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1C849" w14:textId="69EF3AE5" w:rsidR="00341944" w:rsidRPr="00A370B0" w:rsidRDefault="00E4458F" w:rsidP="00341944">
      <w:pPr>
        <w:pStyle w:val="Heading1"/>
        <w:rPr>
          <w:color w:val="FFFFFF" w:themeColor="background1"/>
          <w:sz w:val="16"/>
          <w:szCs w:val="16"/>
        </w:rPr>
      </w:pPr>
      <w:bookmarkStart w:id="0" w:name="_Toc513637667"/>
      <w:r>
        <w:rPr>
          <w:noProof/>
        </w:rPr>
        <w:drawing>
          <wp:anchor distT="0" distB="0" distL="114300" distR="114300" simplePos="0" relativeHeight="251658241" behindDoc="0" locked="0" layoutInCell="1" allowOverlap="1" wp14:anchorId="5DDDDD84" wp14:editId="4569F85A">
            <wp:simplePos x="0" y="0"/>
            <wp:positionH relativeFrom="page">
              <wp:posOffset>-59055</wp:posOffset>
            </wp:positionH>
            <wp:positionV relativeFrom="page">
              <wp:posOffset>-70485</wp:posOffset>
            </wp:positionV>
            <wp:extent cx="7667625" cy="10846435"/>
            <wp:effectExtent l="0" t="0" r="9525" b="0"/>
            <wp:wrapNone/>
            <wp:docPr id="245" name="Picture 245" descr="Cover for: Horizontal Fiscal Equalisation, Productivity Commission Report no. 88, 15 Ma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hands-cover-hfe.png"/>
                    <pic:cNvPicPr/>
                  </pic:nvPicPr>
                  <pic:blipFill>
                    <a:blip r:embed="rId8">
                      <a:extLst>
                        <a:ext uri="{28A0092B-C50C-407E-A947-70E740481C1C}">
                          <a14:useLocalDpi xmlns:a14="http://schemas.microsoft.com/office/drawing/2010/main" val="0"/>
                        </a:ext>
                      </a:extLst>
                    </a:blip>
                    <a:stretch>
                      <a:fillRect/>
                    </a:stretch>
                  </pic:blipFill>
                  <pic:spPr>
                    <a:xfrm>
                      <a:off x="0" y="0"/>
                      <a:ext cx="7667625" cy="10846435"/>
                    </a:xfrm>
                    <a:prstGeom prst="rect">
                      <a:avLst/>
                    </a:prstGeom>
                  </pic:spPr>
                </pic:pic>
              </a:graphicData>
            </a:graphic>
            <wp14:sizeRelH relativeFrom="margin">
              <wp14:pctWidth>0</wp14:pctWidth>
            </wp14:sizeRelH>
            <wp14:sizeRelV relativeFrom="margin">
              <wp14:pctHeight>0</wp14:pctHeight>
            </wp14:sizeRelV>
          </wp:anchor>
        </w:drawing>
      </w:r>
      <w:r w:rsidR="00341944" w:rsidRPr="00A370B0">
        <w:rPr>
          <w:color w:val="FFFFFF" w:themeColor="background1"/>
          <w:sz w:val="16"/>
          <w:szCs w:val="16"/>
        </w:rPr>
        <w:t>Horizontal Fiscal Equalisation</w:t>
      </w:r>
      <w:bookmarkEnd w:id="0"/>
    </w:p>
    <w:p w14:paraId="690D7D5F" w14:textId="77777777" w:rsidR="00341944" w:rsidRPr="00A370B0" w:rsidRDefault="00341944" w:rsidP="00341944">
      <w:pPr>
        <w:pStyle w:val="BodyText"/>
        <w:rPr>
          <w:color w:val="FFFFFF" w:themeColor="background1"/>
          <w:sz w:val="16"/>
          <w:szCs w:val="16"/>
        </w:rPr>
      </w:pPr>
      <w:r w:rsidRPr="00A370B0">
        <w:rPr>
          <w:color w:val="FFFFFF" w:themeColor="background1"/>
          <w:sz w:val="16"/>
          <w:szCs w:val="16"/>
        </w:rPr>
        <w:t>Productivity Commission Report no. 88</w:t>
      </w:r>
    </w:p>
    <w:p w14:paraId="458F9215" w14:textId="39401194" w:rsidR="00341944" w:rsidRDefault="00341944" w:rsidP="00341944">
      <w:pPr>
        <w:pStyle w:val="BodyText"/>
        <w:rPr>
          <w:b/>
          <w:szCs w:val="26"/>
        </w:rPr>
      </w:pPr>
      <w:r>
        <w:br w:type="page"/>
      </w:r>
      <w:bookmarkStart w:id="1" w:name="_GoBack"/>
      <w:bookmarkEnd w:id="1"/>
    </w:p>
    <w:p w14:paraId="2FE41109" w14:textId="77777777" w:rsidR="00341944" w:rsidRDefault="00341944" w:rsidP="00341944">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5B6E6534" w14:textId="77777777" w:rsidR="00341944" w:rsidRPr="00317D05" w:rsidRDefault="00341944" w:rsidP="00341944">
      <w:pPr>
        <w:pStyle w:val="BodyText"/>
        <w:tabs>
          <w:tab w:val="left" w:pos="851"/>
        </w:tabs>
        <w:spacing w:before="120" w:after="120"/>
        <w:jc w:val="left"/>
        <w:rPr>
          <w:b/>
          <w:sz w:val="20"/>
        </w:rPr>
      </w:pPr>
      <w:bookmarkStart w:id="2" w:name="ISSN"/>
      <w:bookmarkEnd w:id="2"/>
      <w:r w:rsidRPr="00317D05">
        <w:rPr>
          <w:b/>
          <w:sz w:val="20"/>
        </w:rPr>
        <w:t>ISSN</w:t>
      </w:r>
      <w:r w:rsidRPr="00317D05">
        <w:rPr>
          <w:b/>
          <w:sz w:val="20"/>
        </w:rPr>
        <w:tab/>
        <w:t>1447-1337 (online)</w:t>
      </w:r>
      <w:r w:rsidRPr="00317D05">
        <w:rPr>
          <w:b/>
          <w:color w:val="FF0000"/>
          <w:sz w:val="20"/>
        </w:rPr>
        <w:br/>
      </w:r>
      <w:r w:rsidRPr="00317D05">
        <w:rPr>
          <w:b/>
          <w:sz w:val="20"/>
        </w:rPr>
        <w:t>IS</w:t>
      </w:r>
      <w:r>
        <w:rPr>
          <w:b/>
          <w:sz w:val="20"/>
        </w:rPr>
        <w:t>S</w:t>
      </w:r>
      <w:r w:rsidRPr="00317D05">
        <w:rPr>
          <w:b/>
          <w:sz w:val="20"/>
        </w:rPr>
        <w:t>N</w:t>
      </w:r>
      <w:r w:rsidRPr="00317D05">
        <w:rPr>
          <w:b/>
          <w:sz w:val="20"/>
        </w:rPr>
        <w:tab/>
        <w:t>1447-1329 (print)</w:t>
      </w:r>
      <w:r w:rsidRPr="00317D05">
        <w:rPr>
          <w:b/>
          <w:sz w:val="20"/>
        </w:rPr>
        <w:br/>
        <w:t>ISBN</w:t>
      </w:r>
      <w:r w:rsidRPr="00317D05">
        <w:rPr>
          <w:b/>
          <w:sz w:val="20"/>
        </w:rPr>
        <w:tab/>
        <w:t>978-1-74037-658-7 (online)</w:t>
      </w:r>
      <w:r w:rsidRPr="00317D05">
        <w:rPr>
          <w:b/>
          <w:color w:val="FF0000"/>
          <w:sz w:val="20"/>
        </w:rPr>
        <w:t xml:space="preserve"> </w:t>
      </w:r>
      <w:r w:rsidRPr="00317D05">
        <w:rPr>
          <w:b/>
          <w:color w:val="FF0000"/>
          <w:sz w:val="20"/>
        </w:rPr>
        <w:br/>
      </w:r>
      <w:r w:rsidRPr="00317D05">
        <w:rPr>
          <w:b/>
          <w:sz w:val="20"/>
        </w:rPr>
        <w:t>ISBN</w:t>
      </w:r>
      <w:r w:rsidRPr="00317D05">
        <w:rPr>
          <w:b/>
          <w:sz w:val="20"/>
        </w:rPr>
        <w:tab/>
        <w:t>978-1-74037-657-0 (print)</w:t>
      </w:r>
    </w:p>
    <w:p w14:paraId="352D5B0D" w14:textId="77777777" w:rsidR="00341944" w:rsidRDefault="00341944" w:rsidP="00341944">
      <w:pPr>
        <w:pStyle w:val="BodyText"/>
        <w:spacing w:before="200" w:after="120"/>
      </w:pPr>
      <w:r w:rsidRPr="00862D8F">
        <w:rPr>
          <w:noProof/>
          <w:sz w:val="22"/>
          <w:szCs w:val="22"/>
        </w:rPr>
        <w:drawing>
          <wp:inline distT="0" distB="0" distL="0" distR="0" wp14:anchorId="33803A4D" wp14:editId="59497BE1">
            <wp:extent cx="843280" cy="295043"/>
            <wp:effectExtent l="0" t="0" r="0" b="0"/>
            <wp:docPr id="246" name="Picture 246"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280ACF6D" w14:textId="77777777" w:rsidR="00341944" w:rsidRPr="00341944" w:rsidRDefault="00341944" w:rsidP="00341944">
      <w:pPr>
        <w:pStyle w:val="Copyrightbodytext"/>
        <w:rPr>
          <w:spacing w:val="-2"/>
          <w:sz w:val="20"/>
        </w:rPr>
      </w:pPr>
      <w:r w:rsidRPr="00341944">
        <w:rPr>
          <w:spacing w:val="-2"/>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41C449EF" w14:textId="77777777" w:rsidR="00341944" w:rsidRPr="008A3857" w:rsidRDefault="00341944" w:rsidP="00341944">
      <w:pPr>
        <w:pStyle w:val="Copyrightsubtitle"/>
        <w:spacing w:before="200"/>
      </w:pPr>
      <w:r w:rsidRPr="008A3857">
        <w:t>Use of the Commonwealth Coat of Arms</w:t>
      </w:r>
    </w:p>
    <w:p w14:paraId="22553EA7" w14:textId="77777777" w:rsidR="00341944" w:rsidRPr="00341944" w:rsidRDefault="00341944" w:rsidP="00341944">
      <w:pPr>
        <w:pStyle w:val="Copyrightbodytext"/>
        <w:rPr>
          <w:sz w:val="20"/>
        </w:rPr>
      </w:pPr>
      <w:r w:rsidRPr="00341944">
        <w:rPr>
          <w:sz w:val="20"/>
        </w:rPr>
        <w:t>Terms of use for the Coat of Arms are available from the Department of the Prime Minister and Cabinet’s website:</w:t>
      </w:r>
      <w:r w:rsidRPr="00341944">
        <w:rPr>
          <w:spacing w:val="-6"/>
          <w:sz w:val="20"/>
        </w:rPr>
        <w:t xml:space="preserve"> </w:t>
      </w:r>
      <w:hyperlink r:id="rId10" w:history="1">
        <w:r w:rsidRPr="00341944">
          <w:rPr>
            <w:rStyle w:val="Hyperlink"/>
            <w:sz w:val="20"/>
            <w:u w:val="none"/>
          </w:rPr>
          <w:t>https://www.pmc.gov.au/government/commonwealth-coat-arms</w:t>
        </w:r>
      </w:hyperlink>
    </w:p>
    <w:p w14:paraId="3B514491" w14:textId="77777777" w:rsidR="00341944" w:rsidRPr="008A3857" w:rsidRDefault="00341944" w:rsidP="00341944">
      <w:pPr>
        <w:pStyle w:val="Copyrightsubtitle"/>
        <w:spacing w:before="200"/>
      </w:pPr>
      <w:r w:rsidRPr="008A3857">
        <w:t>Third party copyright</w:t>
      </w:r>
    </w:p>
    <w:p w14:paraId="37C0357C" w14:textId="77777777" w:rsidR="00341944" w:rsidRPr="00341944" w:rsidRDefault="00341944" w:rsidP="00341944">
      <w:pPr>
        <w:pStyle w:val="Copyrightbodytext"/>
        <w:rPr>
          <w:sz w:val="20"/>
        </w:rPr>
      </w:pPr>
      <w:r w:rsidRPr="00341944">
        <w:rPr>
          <w:sz w:val="20"/>
        </w:rPr>
        <w:t>Wherever a third party holds copyright in this material, the copyright remains with that party. Their permission may be required to use the material, please contact them directly.</w:t>
      </w:r>
    </w:p>
    <w:p w14:paraId="63D0A279" w14:textId="77777777" w:rsidR="00341944" w:rsidRPr="008A3857" w:rsidRDefault="00341944" w:rsidP="00341944">
      <w:pPr>
        <w:pStyle w:val="Copyrightsubtitle"/>
        <w:spacing w:before="200"/>
      </w:pPr>
      <w:r w:rsidRPr="008A3857">
        <w:t>Attribution</w:t>
      </w:r>
    </w:p>
    <w:p w14:paraId="55F5E049" w14:textId="77777777" w:rsidR="00341944" w:rsidRPr="00341944" w:rsidRDefault="00341944" w:rsidP="00341944">
      <w:pPr>
        <w:pStyle w:val="Copyrightbodytext"/>
        <w:rPr>
          <w:sz w:val="20"/>
        </w:rPr>
      </w:pPr>
      <w:r w:rsidRPr="00341944">
        <w:rPr>
          <w:sz w:val="20"/>
        </w:rPr>
        <w:t xml:space="preserve">This work should be attributed as follows, </w:t>
      </w:r>
      <w:r w:rsidRPr="00341944">
        <w:rPr>
          <w:i/>
          <w:sz w:val="20"/>
        </w:rPr>
        <w:t>Source: Productivity Commission 2018, Horizontal Fiscal Equalisation, Report no. 88, Canberra</w:t>
      </w:r>
      <w:r w:rsidRPr="00341944">
        <w:rPr>
          <w:sz w:val="20"/>
        </w:rPr>
        <w:t>.</w:t>
      </w:r>
    </w:p>
    <w:p w14:paraId="54AA32AD" w14:textId="77777777" w:rsidR="00341944" w:rsidRPr="00341944" w:rsidRDefault="00341944" w:rsidP="00341944">
      <w:pPr>
        <w:pStyle w:val="Copyrightbodytext"/>
        <w:spacing w:before="120"/>
        <w:rPr>
          <w:sz w:val="20"/>
        </w:rPr>
      </w:pPr>
      <w:r w:rsidRPr="00341944">
        <w:rPr>
          <w:sz w:val="20"/>
        </w:rPr>
        <w:t xml:space="preserve">If you have adapted, modified or transformed this work in anyway, please use the following, </w:t>
      </w:r>
      <w:r w:rsidRPr="00341944">
        <w:rPr>
          <w:i/>
          <w:sz w:val="20"/>
        </w:rPr>
        <w:t>Source: based on Productivity Commission data, Horizontal Fiscal Equalisation, Report no. 88</w:t>
      </w:r>
      <w:r w:rsidRPr="00341944">
        <w:rPr>
          <w:sz w:val="20"/>
        </w:rPr>
        <w:t>.</w:t>
      </w:r>
    </w:p>
    <w:p w14:paraId="2066EEBE" w14:textId="77777777" w:rsidR="00341944" w:rsidRPr="008A3857" w:rsidRDefault="00341944" w:rsidP="00341944">
      <w:pPr>
        <w:pStyle w:val="Copyrightsubtitle"/>
        <w:spacing w:before="200"/>
      </w:pPr>
      <w:r w:rsidRPr="008A3857">
        <w:t xml:space="preserve">An appropriate </w:t>
      </w:r>
      <w:r>
        <w:t>reference</w:t>
      </w:r>
      <w:r w:rsidRPr="008A3857">
        <w:t xml:space="preserve"> for this publication is:</w:t>
      </w:r>
    </w:p>
    <w:p w14:paraId="27E1A4F9" w14:textId="77777777" w:rsidR="00341944" w:rsidRPr="00341944" w:rsidRDefault="00341944" w:rsidP="00341944">
      <w:pPr>
        <w:pStyle w:val="Copyrightbodytext"/>
        <w:rPr>
          <w:sz w:val="20"/>
        </w:rPr>
      </w:pPr>
      <w:bookmarkStart w:id="3" w:name="JEL"/>
      <w:bookmarkEnd w:id="3"/>
      <w:r w:rsidRPr="00341944">
        <w:rPr>
          <w:sz w:val="20"/>
        </w:rPr>
        <w:t xml:space="preserve">Productivity Commission 2018, </w:t>
      </w:r>
      <w:r w:rsidRPr="00341944">
        <w:rPr>
          <w:i/>
          <w:sz w:val="20"/>
        </w:rPr>
        <w:t>Horizontal Fiscal Equalisation</w:t>
      </w:r>
      <w:r w:rsidRPr="00341944">
        <w:rPr>
          <w:sz w:val="20"/>
        </w:rPr>
        <w:t>, Report no. 88, Canberra</w:t>
      </w:r>
    </w:p>
    <w:p w14:paraId="1682B5E8" w14:textId="77777777" w:rsidR="00341944" w:rsidRPr="008A3857" w:rsidRDefault="00341944" w:rsidP="00341944">
      <w:pPr>
        <w:pStyle w:val="Copyrightsubtitle"/>
        <w:spacing w:before="200"/>
      </w:pPr>
      <w:r w:rsidRPr="008A3857">
        <w:t>Publications enquiries</w:t>
      </w:r>
    </w:p>
    <w:p w14:paraId="2F8949C4" w14:textId="77777777" w:rsidR="00341944" w:rsidRPr="00341944" w:rsidRDefault="00341944" w:rsidP="00341944">
      <w:pPr>
        <w:pStyle w:val="Copyrightbodytext"/>
        <w:rPr>
          <w:sz w:val="20"/>
        </w:rPr>
      </w:pPr>
      <w:r w:rsidRPr="00341944">
        <w:rPr>
          <w:sz w:val="20"/>
        </w:rPr>
        <w:t>Media, Publications and Web, phone: (03) 9653 2244 or email: mpw@pc.gov.au</w:t>
      </w:r>
    </w:p>
    <w:p w14:paraId="40DFBECB" w14:textId="77777777" w:rsidR="00341944" w:rsidRDefault="00341944" w:rsidP="00341944">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41944" w14:paraId="44C4056B" w14:textId="77777777" w:rsidTr="006606FA">
        <w:trPr>
          <w:tblHeader/>
        </w:trPr>
        <w:tc>
          <w:tcPr>
            <w:tcW w:w="5000" w:type="pct"/>
            <w:tcBorders>
              <w:top w:val="single" w:sz="6" w:space="0" w:color="78A22F"/>
              <w:left w:val="nil"/>
              <w:bottom w:val="nil"/>
              <w:right w:val="nil"/>
            </w:tcBorders>
            <w:shd w:val="clear" w:color="auto" w:fill="F2F2F2" w:themeFill="background1" w:themeFillShade="F2"/>
          </w:tcPr>
          <w:p w14:paraId="62A73C5F" w14:textId="77777777" w:rsidR="00341944" w:rsidRPr="008A3857" w:rsidRDefault="00341944" w:rsidP="006606FA">
            <w:pPr>
              <w:pStyle w:val="BoxTitle"/>
              <w:rPr>
                <w:sz w:val="22"/>
                <w:szCs w:val="22"/>
              </w:rPr>
            </w:pPr>
            <w:r w:rsidRPr="008A3857">
              <w:rPr>
                <w:sz w:val="22"/>
                <w:szCs w:val="22"/>
              </w:rPr>
              <w:t>The Productivity Commission</w:t>
            </w:r>
          </w:p>
        </w:tc>
      </w:tr>
      <w:tr w:rsidR="00341944" w14:paraId="1A9C08DE" w14:textId="77777777" w:rsidTr="006606FA">
        <w:tc>
          <w:tcPr>
            <w:tcW w:w="5000" w:type="pct"/>
            <w:tcBorders>
              <w:top w:val="nil"/>
              <w:left w:val="nil"/>
              <w:bottom w:val="nil"/>
              <w:right w:val="nil"/>
            </w:tcBorders>
            <w:shd w:val="clear" w:color="auto" w:fill="F2F2F2" w:themeFill="background1" w:themeFillShade="F2"/>
          </w:tcPr>
          <w:p w14:paraId="2F10ABD8" w14:textId="77777777" w:rsidR="00341944" w:rsidRPr="00341944" w:rsidRDefault="00341944" w:rsidP="006606FA">
            <w:pPr>
              <w:pStyle w:val="Box"/>
              <w:rPr>
                <w:spacing w:val="-2"/>
              </w:rPr>
            </w:pPr>
            <w:r w:rsidRPr="00341944">
              <w:rPr>
                <w:spacing w:val="-2"/>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D9D4C5F" w14:textId="77777777" w:rsidR="00341944" w:rsidRPr="00341944" w:rsidRDefault="00341944" w:rsidP="006606FA">
            <w:pPr>
              <w:pStyle w:val="Box"/>
              <w:rPr>
                <w:spacing w:val="-2"/>
              </w:rPr>
            </w:pPr>
            <w:r w:rsidRPr="00341944">
              <w:rPr>
                <w:spacing w:val="-2"/>
              </w:rPr>
              <w:t>The Commission’s independence is underpinned by an Act of Parliament. Its processes and outputs are open to public scrutiny and are driven by concern for the wellbeing of the community as a whole.</w:t>
            </w:r>
          </w:p>
          <w:p w14:paraId="06879642" w14:textId="77777777" w:rsidR="00341944" w:rsidRPr="00317D05" w:rsidRDefault="00341944" w:rsidP="006606FA">
            <w:pPr>
              <w:pStyle w:val="Box"/>
              <w:rPr>
                <w:spacing w:val="-2"/>
              </w:rPr>
            </w:pPr>
            <w:r w:rsidRPr="00341944">
              <w:rPr>
                <w:spacing w:val="-2"/>
              </w:rPr>
              <w:t>Further information on the Productivity Commission can be obtained from the Commission’s website (</w:t>
            </w:r>
            <w:hyperlink r:id="rId11" w:history="1">
              <w:r w:rsidRPr="00341944">
                <w:rPr>
                  <w:rStyle w:val="Hyperlink"/>
                  <w:spacing w:val="-2"/>
                  <w:u w:val="none"/>
                </w:rPr>
                <w:t>www.pc.gov.au</w:t>
              </w:r>
            </w:hyperlink>
            <w:r w:rsidRPr="00341944">
              <w:rPr>
                <w:spacing w:val="-2"/>
              </w:rPr>
              <w:t>).</w:t>
            </w:r>
          </w:p>
        </w:tc>
      </w:tr>
      <w:tr w:rsidR="00341944" w14:paraId="5D8E8B52" w14:textId="77777777" w:rsidTr="006606FA">
        <w:tc>
          <w:tcPr>
            <w:tcW w:w="5000" w:type="pct"/>
            <w:tcBorders>
              <w:top w:val="nil"/>
              <w:left w:val="nil"/>
              <w:bottom w:val="single" w:sz="6" w:space="0" w:color="78A22F"/>
              <w:right w:val="nil"/>
            </w:tcBorders>
            <w:shd w:val="clear" w:color="auto" w:fill="F2F2F2" w:themeFill="background1" w:themeFillShade="F2"/>
          </w:tcPr>
          <w:p w14:paraId="6F0CEA89" w14:textId="77777777" w:rsidR="00341944" w:rsidRDefault="00341944" w:rsidP="006606FA">
            <w:pPr>
              <w:pStyle w:val="Box"/>
              <w:keepNext w:val="0"/>
              <w:spacing w:before="0" w:line="120" w:lineRule="exact"/>
            </w:pPr>
          </w:p>
        </w:tc>
      </w:tr>
    </w:tbl>
    <w:p w14:paraId="4083A4E0" w14:textId="77777777" w:rsidR="00341944" w:rsidRPr="00317D05" w:rsidRDefault="00341944" w:rsidP="00341944">
      <w:pPr>
        <w:pStyle w:val="BodyText"/>
        <w:spacing w:before="0"/>
        <w:rPr>
          <w:sz w:val="12"/>
          <w:szCs w:val="12"/>
        </w:rPr>
      </w:pPr>
      <w:bookmarkStart w:id="4" w:name="cov"/>
      <w:bookmarkEnd w:id="4"/>
      <w:r w:rsidRPr="00317D05">
        <w:rPr>
          <w:sz w:val="12"/>
          <w:szCs w:val="12"/>
        </w:rPr>
        <w:br w:type="page"/>
      </w:r>
    </w:p>
    <w:tbl>
      <w:tblPr>
        <w:tblW w:w="9073" w:type="dxa"/>
        <w:tblInd w:w="-34" w:type="dxa"/>
        <w:tblLayout w:type="fixed"/>
        <w:tblLook w:val="0000" w:firstRow="0" w:lastRow="0" w:firstColumn="0" w:lastColumn="0" w:noHBand="0" w:noVBand="0"/>
      </w:tblPr>
      <w:tblGrid>
        <w:gridCol w:w="2434"/>
        <w:gridCol w:w="1824"/>
        <w:gridCol w:w="1696"/>
        <w:gridCol w:w="3119"/>
      </w:tblGrid>
      <w:tr w:rsidR="00341944" w14:paraId="45B41836" w14:textId="77777777" w:rsidTr="001113B1">
        <w:trPr>
          <w:cantSplit/>
          <w:trHeight w:hRule="exact" w:val="996"/>
          <w:tblHeader/>
        </w:trPr>
        <w:tc>
          <w:tcPr>
            <w:tcW w:w="2434" w:type="dxa"/>
          </w:tcPr>
          <w:p w14:paraId="15590849" w14:textId="77777777" w:rsidR="00341944" w:rsidRPr="00205C77" w:rsidRDefault="00341944" w:rsidP="006606FA">
            <w:pPr>
              <w:pStyle w:val="PCAddress"/>
              <w:ind w:left="709"/>
              <w:rPr>
                <w:rFonts w:ascii="Goudy Old Style" w:hAnsi="Goudy Old Style"/>
                <w:b/>
                <w:i/>
              </w:rPr>
            </w:pPr>
          </w:p>
        </w:tc>
        <w:tc>
          <w:tcPr>
            <w:tcW w:w="1824" w:type="dxa"/>
          </w:tcPr>
          <w:p w14:paraId="139F8302" w14:textId="77777777" w:rsidR="00341944" w:rsidRPr="00205C77" w:rsidRDefault="00341944" w:rsidP="006606FA">
            <w:pPr>
              <w:pStyle w:val="PCAddress"/>
              <w:ind w:left="709"/>
              <w:rPr>
                <w:rFonts w:ascii="Goudy Old Style" w:hAnsi="Goudy Old Style"/>
                <w:b/>
                <w:i/>
              </w:rPr>
            </w:pPr>
          </w:p>
        </w:tc>
        <w:tc>
          <w:tcPr>
            <w:tcW w:w="4815" w:type="dxa"/>
            <w:gridSpan w:val="2"/>
          </w:tcPr>
          <w:p w14:paraId="697196D3" w14:textId="77777777" w:rsidR="00341944" w:rsidRPr="00205C77" w:rsidRDefault="00341944" w:rsidP="006606FA">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732253C2" wp14:editId="06F41E55">
                  <wp:extent cx="2057400" cy="600075"/>
                  <wp:effectExtent l="0" t="0" r="0" b="9525"/>
                  <wp:docPr id="247" name="Picture 247"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2"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341944" w14:paraId="725A105D" w14:textId="77777777" w:rsidTr="006606FA">
        <w:trPr>
          <w:cantSplit/>
          <w:trHeight w:hRule="exact" w:val="2793"/>
        </w:trPr>
        <w:tc>
          <w:tcPr>
            <w:tcW w:w="5954" w:type="dxa"/>
            <w:gridSpan w:val="3"/>
            <w:vAlign w:val="bottom"/>
          </w:tcPr>
          <w:p w14:paraId="29119740" w14:textId="77777777" w:rsidR="00341944" w:rsidRPr="00E61DA2" w:rsidRDefault="00341944" w:rsidP="006606FA">
            <w:pPr>
              <w:pStyle w:val="LetterDate"/>
            </w:pPr>
            <w:r>
              <w:t>15 May 2018</w:t>
            </w:r>
          </w:p>
        </w:tc>
        <w:tc>
          <w:tcPr>
            <w:tcW w:w="3119" w:type="dxa"/>
            <w:vAlign w:val="center"/>
          </w:tcPr>
          <w:p w14:paraId="22E43E9B" w14:textId="77777777" w:rsidR="00341944" w:rsidRPr="00205C77" w:rsidRDefault="00341944" w:rsidP="006606FA">
            <w:pPr>
              <w:pStyle w:val="PCAddress"/>
              <w:ind w:left="709"/>
              <w:rPr>
                <w:rFonts w:ascii="Goudy Old Style" w:hAnsi="Goudy Old Style"/>
                <w:b/>
                <w:i/>
              </w:rPr>
            </w:pPr>
            <w:r w:rsidRPr="00205C77">
              <w:rPr>
                <w:rFonts w:ascii="Goudy Old Style" w:hAnsi="Goudy Old Style"/>
                <w:b/>
                <w:i/>
              </w:rPr>
              <w:t>Melbourne Office</w:t>
            </w:r>
          </w:p>
          <w:p w14:paraId="2942774F" w14:textId="77777777" w:rsidR="00341944" w:rsidRPr="00205C77" w:rsidRDefault="00341944" w:rsidP="006606FA">
            <w:pPr>
              <w:pStyle w:val="PCAddress"/>
              <w:spacing w:after="0"/>
              <w:ind w:left="709"/>
              <w:rPr>
                <w:rFonts w:ascii="Goudy Old Style" w:hAnsi="Goudy Old Style"/>
              </w:rPr>
            </w:pPr>
            <w:r w:rsidRPr="00205C77">
              <w:rPr>
                <w:rFonts w:ascii="Goudy Old Style" w:hAnsi="Goudy Old Style"/>
              </w:rPr>
              <w:t>Level 12, 530 Collins Street</w:t>
            </w:r>
          </w:p>
          <w:p w14:paraId="75E7D19C" w14:textId="77777777" w:rsidR="00341944" w:rsidRPr="00205C77" w:rsidRDefault="00341944" w:rsidP="006606FA">
            <w:pPr>
              <w:pStyle w:val="PCAddress"/>
              <w:ind w:left="709"/>
              <w:rPr>
                <w:rFonts w:ascii="Goudy Old Style" w:hAnsi="Goudy Old Style"/>
              </w:rPr>
            </w:pPr>
            <w:r w:rsidRPr="00205C77">
              <w:rPr>
                <w:rFonts w:ascii="Goudy Old Style" w:hAnsi="Goudy Old Style"/>
              </w:rPr>
              <w:t>Melbourne  VIC  3000</w:t>
            </w:r>
          </w:p>
          <w:p w14:paraId="59614B8D" w14:textId="77777777" w:rsidR="00341944" w:rsidRPr="00205C77" w:rsidRDefault="00341944" w:rsidP="006606FA">
            <w:pPr>
              <w:pStyle w:val="PCAddress"/>
              <w:spacing w:after="0"/>
              <w:ind w:left="709"/>
              <w:rPr>
                <w:rFonts w:ascii="Goudy Old Style" w:hAnsi="Goudy Old Style"/>
              </w:rPr>
            </w:pPr>
            <w:r w:rsidRPr="00205C77">
              <w:rPr>
                <w:rFonts w:ascii="Goudy Old Style" w:hAnsi="Goudy Old Style"/>
              </w:rPr>
              <w:t xml:space="preserve">Locked Bag 2 Collins Street East </w:t>
            </w:r>
          </w:p>
          <w:p w14:paraId="049C400F" w14:textId="77777777" w:rsidR="00341944" w:rsidRPr="00205C77" w:rsidRDefault="00341944" w:rsidP="006606FA">
            <w:pPr>
              <w:pStyle w:val="PCAddress"/>
              <w:ind w:left="709"/>
              <w:rPr>
                <w:rFonts w:ascii="Goudy Old Style" w:hAnsi="Goudy Old Style"/>
              </w:rPr>
            </w:pPr>
            <w:r w:rsidRPr="00205C77">
              <w:rPr>
                <w:rFonts w:ascii="Goudy Old Style" w:hAnsi="Goudy Old Style"/>
              </w:rPr>
              <w:t>Melbourne  VIC  8003</w:t>
            </w:r>
          </w:p>
          <w:p w14:paraId="79523F23" w14:textId="77777777" w:rsidR="00341944" w:rsidRPr="00205C77" w:rsidRDefault="00341944" w:rsidP="006606FA">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14:paraId="634D0AB0" w14:textId="77777777" w:rsidR="00341944" w:rsidRPr="00205C77" w:rsidRDefault="00341944" w:rsidP="006606FA">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t>03 9653 2199</w:t>
            </w:r>
          </w:p>
          <w:p w14:paraId="1D9FEE36" w14:textId="77777777" w:rsidR="00341944" w:rsidRPr="00205C77" w:rsidRDefault="00341944" w:rsidP="006606FA">
            <w:pPr>
              <w:pStyle w:val="PCAddress"/>
              <w:ind w:left="709"/>
              <w:rPr>
                <w:rFonts w:ascii="Goudy Old Style" w:hAnsi="Goudy Old Style"/>
                <w:b/>
                <w:i/>
              </w:rPr>
            </w:pPr>
            <w:r w:rsidRPr="00205C77">
              <w:rPr>
                <w:rFonts w:ascii="Goudy Old Style" w:hAnsi="Goudy Old Style"/>
                <w:b/>
                <w:i/>
              </w:rPr>
              <w:t>Canberra Office</w:t>
            </w:r>
          </w:p>
          <w:p w14:paraId="1B825327" w14:textId="77777777" w:rsidR="00341944" w:rsidRPr="00205C77" w:rsidRDefault="00341944" w:rsidP="006606FA">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14:paraId="71BCC838" w14:textId="77777777" w:rsidR="00341944" w:rsidRPr="00205C77" w:rsidRDefault="00341944" w:rsidP="006606FA">
            <w:pPr>
              <w:pStyle w:val="PCAddress"/>
              <w:ind w:left="709"/>
              <w:rPr>
                <w:rFonts w:ascii="Goudy Old Style" w:hAnsi="Goudy Old Style"/>
              </w:rPr>
            </w:pPr>
            <w:r w:rsidRPr="00205C77">
              <w:rPr>
                <w:rFonts w:ascii="Goudy Old Style" w:hAnsi="Goudy Old Style"/>
              </w:rPr>
              <w:t>www.pc.gov.au</w:t>
            </w:r>
          </w:p>
        </w:tc>
      </w:tr>
    </w:tbl>
    <w:p w14:paraId="0432C217" w14:textId="77777777" w:rsidR="00341944" w:rsidRPr="00C76C25" w:rsidRDefault="00341944" w:rsidP="00341944">
      <w:pPr>
        <w:pStyle w:val="LetterAddress"/>
      </w:pPr>
    </w:p>
    <w:p w14:paraId="2A4C9B0A" w14:textId="77777777" w:rsidR="00341944" w:rsidRDefault="00341944" w:rsidP="00341944">
      <w:pPr>
        <w:pStyle w:val="LetterAddress"/>
      </w:pPr>
      <w:r>
        <w:t>The Hon Scott Morrison MP</w:t>
      </w:r>
    </w:p>
    <w:p w14:paraId="57E48854" w14:textId="77777777" w:rsidR="00341944" w:rsidRDefault="00341944" w:rsidP="00341944">
      <w:pPr>
        <w:pStyle w:val="LetterAddress"/>
      </w:pPr>
      <w:r>
        <w:t>Treasurer</w:t>
      </w:r>
    </w:p>
    <w:p w14:paraId="754ED31B" w14:textId="77777777" w:rsidR="00341944" w:rsidRDefault="00341944" w:rsidP="00341944">
      <w:pPr>
        <w:pStyle w:val="LetterAddress"/>
      </w:pPr>
      <w:r>
        <w:t>Parliament House</w:t>
      </w:r>
    </w:p>
    <w:p w14:paraId="6C05B5C8" w14:textId="77777777" w:rsidR="00341944" w:rsidRDefault="00341944" w:rsidP="00341944">
      <w:pPr>
        <w:pStyle w:val="LetterAddress"/>
        <w:spacing w:after="480"/>
      </w:pPr>
      <w:r>
        <w:t>CANBERRA ACT 2600</w:t>
      </w:r>
    </w:p>
    <w:p w14:paraId="321BA6FA" w14:textId="77777777" w:rsidR="00341944" w:rsidRPr="00C76C25" w:rsidRDefault="00341944" w:rsidP="00341944">
      <w:pPr>
        <w:pStyle w:val="Salutation"/>
      </w:pPr>
      <w:r w:rsidRPr="00C76C25">
        <w:t>Dear Treasurer</w:t>
      </w:r>
    </w:p>
    <w:p w14:paraId="69E19F42" w14:textId="77777777" w:rsidR="00341944" w:rsidRPr="0027513F" w:rsidRDefault="00341944" w:rsidP="00341944">
      <w:pPr>
        <w:pStyle w:val="BodyText"/>
      </w:pPr>
      <w:r>
        <w:t>In accordance with s</w:t>
      </w:r>
      <w:r w:rsidRPr="0027513F">
        <w:t xml:space="preserve">ection 11 of the </w:t>
      </w:r>
      <w:r w:rsidRPr="00692889">
        <w:rPr>
          <w:i/>
        </w:rPr>
        <w:t>Productivity Commission Act 1998</w:t>
      </w:r>
      <w:r w:rsidRPr="0027513F">
        <w:t>, we have pleasure in submitting to you the Commission’s final report</w:t>
      </w:r>
      <w:r>
        <w:t xml:space="preserve"> into </w:t>
      </w:r>
      <w:r w:rsidRPr="0039360F">
        <w:rPr>
          <w:i/>
        </w:rPr>
        <w:t>Horizontal Fiscal Equalisation</w:t>
      </w:r>
      <w:r w:rsidRPr="00A07354">
        <w:t>.</w:t>
      </w:r>
    </w:p>
    <w:p w14:paraId="0FA78A09" w14:textId="77777777" w:rsidR="00341944" w:rsidRDefault="00341944" w:rsidP="00341944">
      <w:pPr>
        <w:pStyle w:val="Signoff"/>
        <w:rPr>
          <w:noProof/>
        </w:rPr>
      </w:pPr>
      <w:r w:rsidRPr="00C76C25">
        <w:t>Yours sincerely</w:t>
      </w:r>
    </w:p>
    <w:tbl>
      <w:tblPr>
        <w:tblStyle w:val="TableGrid"/>
        <w:tblpPr w:leftFromText="180" w:rightFromText="180" w:vertAnchor="text" w:horzAnchor="margin" w:tblpXSpec="center" w:tblpY="17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design layout "/>
      </w:tblPr>
      <w:tblGrid>
        <w:gridCol w:w="2930"/>
        <w:gridCol w:w="2954"/>
        <w:gridCol w:w="2905"/>
      </w:tblGrid>
      <w:tr w:rsidR="00341944" w14:paraId="55AC298B" w14:textId="77777777" w:rsidTr="006606FA">
        <w:trPr>
          <w:tblHeader/>
        </w:trPr>
        <w:tc>
          <w:tcPr>
            <w:tcW w:w="2930" w:type="dxa"/>
          </w:tcPr>
          <w:p w14:paraId="296733B1" w14:textId="77777777" w:rsidR="00341944" w:rsidRPr="0027513F" w:rsidRDefault="00341944" w:rsidP="006606FA">
            <w:pPr>
              <w:pStyle w:val="BodyText"/>
              <w:rPr>
                <w:szCs w:val="25"/>
              </w:rPr>
            </w:pPr>
            <w:r>
              <w:rPr>
                <w:szCs w:val="25"/>
              </w:rPr>
              <w:t>Karen Chester</w:t>
            </w:r>
          </w:p>
          <w:p w14:paraId="7736DE85" w14:textId="77777777" w:rsidR="00341944" w:rsidRPr="0027513F" w:rsidRDefault="00341944" w:rsidP="006606FA">
            <w:pPr>
              <w:pStyle w:val="LetterAddress"/>
              <w:rPr>
                <w:szCs w:val="25"/>
              </w:rPr>
            </w:pPr>
            <w:r>
              <w:rPr>
                <w:szCs w:val="25"/>
              </w:rPr>
              <w:t>Deputy Chair</w:t>
            </w:r>
          </w:p>
        </w:tc>
        <w:tc>
          <w:tcPr>
            <w:tcW w:w="2954" w:type="dxa"/>
          </w:tcPr>
          <w:p w14:paraId="0F0390A0" w14:textId="77777777" w:rsidR="00341944" w:rsidRPr="0027513F" w:rsidRDefault="00341944" w:rsidP="006606FA">
            <w:pPr>
              <w:pStyle w:val="BodyText"/>
              <w:rPr>
                <w:szCs w:val="25"/>
              </w:rPr>
            </w:pPr>
            <w:r>
              <w:rPr>
                <w:szCs w:val="25"/>
              </w:rPr>
              <w:t>Jonathan Coppel</w:t>
            </w:r>
          </w:p>
          <w:p w14:paraId="16D00ACA" w14:textId="77777777" w:rsidR="00341944" w:rsidRPr="0027513F" w:rsidRDefault="00341944" w:rsidP="006606FA">
            <w:pPr>
              <w:pStyle w:val="LetterAddress"/>
              <w:rPr>
                <w:szCs w:val="25"/>
              </w:rPr>
            </w:pPr>
            <w:r w:rsidRPr="0027513F">
              <w:rPr>
                <w:szCs w:val="25"/>
              </w:rPr>
              <w:t>Commissioner</w:t>
            </w:r>
          </w:p>
        </w:tc>
        <w:tc>
          <w:tcPr>
            <w:tcW w:w="2905" w:type="dxa"/>
          </w:tcPr>
          <w:p w14:paraId="463AB7DB" w14:textId="77777777" w:rsidR="00341944" w:rsidRPr="0027513F" w:rsidRDefault="00341944" w:rsidP="006606FA">
            <w:pPr>
              <w:pStyle w:val="LetterAddress"/>
              <w:rPr>
                <w:szCs w:val="25"/>
              </w:rPr>
            </w:pPr>
          </w:p>
        </w:tc>
      </w:tr>
    </w:tbl>
    <w:p w14:paraId="48C2A34B" w14:textId="77777777" w:rsidR="00341944" w:rsidRDefault="00341944" w:rsidP="00341944">
      <w:pPr>
        <w:pStyle w:val="Signoff"/>
      </w:pPr>
      <w:r w:rsidRPr="003B1B52">
        <w:rPr>
          <w:noProof/>
        </w:rPr>
        <w:drawing>
          <wp:anchor distT="0" distB="0" distL="114300" distR="114300" simplePos="0" relativeHeight="251658240" behindDoc="1" locked="0" layoutInCell="1" allowOverlap="1" wp14:anchorId="5E3C693C" wp14:editId="4E9E1224">
            <wp:simplePos x="0" y="0"/>
            <wp:positionH relativeFrom="column">
              <wp:posOffset>1951541</wp:posOffset>
            </wp:positionH>
            <wp:positionV relativeFrom="paragraph">
              <wp:posOffset>212058</wp:posOffset>
            </wp:positionV>
            <wp:extent cx="1866900" cy="721995"/>
            <wp:effectExtent l="0" t="0" r="0" b="1905"/>
            <wp:wrapTight wrapText="bothSides">
              <wp:wrapPolygon edited="0">
                <wp:start x="0" y="0"/>
                <wp:lineTo x="0" y="21087"/>
                <wp:lineTo x="21380" y="21087"/>
                <wp:lineTo x="21380" y="0"/>
                <wp:lineTo x="0" y="0"/>
              </wp:wrapPolygon>
            </wp:wrapTight>
            <wp:docPr id="248" name="Picture 24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158">
        <w:rPr>
          <w:noProof/>
        </w:rPr>
        <w:drawing>
          <wp:inline distT="0" distB="0" distL="0" distR="0" wp14:anchorId="212AC5C6" wp14:editId="00F1F67B">
            <wp:extent cx="1828800" cy="622300"/>
            <wp:effectExtent l="0" t="0" r="0" b="6350"/>
            <wp:docPr id="249" name="Picture 24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0434" cy="622856"/>
                    </a:xfrm>
                    <a:prstGeom prst="rect">
                      <a:avLst/>
                    </a:prstGeom>
                    <a:noFill/>
                    <a:ln>
                      <a:noFill/>
                    </a:ln>
                  </pic:spPr>
                </pic:pic>
              </a:graphicData>
            </a:graphic>
          </wp:inline>
        </w:drawing>
      </w:r>
    </w:p>
    <w:p w14:paraId="6DFF605D" w14:textId="77777777" w:rsidR="00341944" w:rsidRDefault="00341944" w:rsidP="00341944">
      <w:pPr>
        <w:pStyle w:val="BodyText"/>
        <w:sectPr w:rsidR="00341944" w:rsidSect="006606FA">
          <w:headerReference w:type="default" r:id="rId15"/>
          <w:footerReference w:type="even" r:id="rId16"/>
          <w:footerReference w:type="default" r:id="rId17"/>
          <w:pgSz w:w="11907" w:h="16840" w:code="9"/>
          <w:pgMar w:top="1985" w:right="1304" w:bottom="1247" w:left="1814" w:header="1701" w:footer="397" w:gutter="0"/>
          <w:pgNumType w:fmt="lowerRoman"/>
          <w:cols w:space="720"/>
        </w:sectPr>
      </w:pPr>
      <w:r>
        <w:br w:type="page"/>
      </w:r>
    </w:p>
    <w:p w14:paraId="7920D41B" w14:textId="77777777" w:rsidR="00341944" w:rsidRDefault="00341944" w:rsidP="00341944">
      <w:pPr>
        <w:pStyle w:val="Heading1"/>
      </w:pPr>
      <w:bookmarkStart w:id="5" w:name="_Toc513547829"/>
      <w:bookmarkStart w:id="6" w:name="_Toc513637668"/>
      <w:r>
        <w:lastRenderedPageBreak/>
        <w:t>Terms of reference</w:t>
      </w:r>
      <w:bookmarkEnd w:id="5"/>
      <w:bookmarkEnd w:id="6"/>
    </w:p>
    <w:p w14:paraId="7B76079E" w14:textId="77777777" w:rsidR="00341944" w:rsidRDefault="00341944" w:rsidP="00341944">
      <w:pPr>
        <w:pStyle w:val="BodyText"/>
      </w:pPr>
      <w:r>
        <w:t xml:space="preserve">I, Scott Morrison, Treasurer, pursuant to Parts 2 and 3 of the </w:t>
      </w:r>
      <w:r>
        <w:rPr>
          <w:i/>
        </w:rPr>
        <w:t>Productivity Commission Act 1998</w:t>
      </w:r>
      <w:r>
        <w:t xml:space="preserve">, hereby request that the Productivity Commission undertake an inquiry into Australia’s system of horizontal fiscal equalisation (HFE) which underpins the distribution of GST revenue to the States and Territories (States). The inquiry should consider the influence the current system has on productivity, efficiency and economic growth, including the movement of capital and labour across state borders; the incentives for the States to undertake fiscal (expense and revenue) reforms that improve the operation of their own jurisdictions, and on the States’ abilities to prepare and deliver annual budgets. </w:t>
      </w:r>
    </w:p>
    <w:p w14:paraId="7A0F2351" w14:textId="77777777" w:rsidR="00341944" w:rsidRPr="00A370B0" w:rsidRDefault="00341944" w:rsidP="00341944">
      <w:pPr>
        <w:pStyle w:val="Heading2"/>
        <w:spacing w:before="480"/>
        <w:rPr>
          <w:sz w:val="26"/>
          <w:szCs w:val="26"/>
        </w:rPr>
      </w:pPr>
      <w:bookmarkStart w:id="7" w:name="_Toc513637669"/>
      <w:r>
        <w:rPr>
          <w:sz w:val="26"/>
          <w:szCs w:val="26"/>
        </w:rPr>
        <w:t>Background</w:t>
      </w:r>
      <w:bookmarkEnd w:id="7"/>
    </w:p>
    <w:p w14:paraId="31CAE26C" w14:textId="77777777" w:rsidR="00341944" w:rsidRDefault="00341944" w:rsidP="00341944">
      <w:pPr>
        <w:pStyle w:val="BodyText"/>
      </w:pPr>
      <w:r>
        <w:t>HFE has been a feature of Commonwealth</w:t>
      </w:r>
      <w:r>
        <w:noBreakHyphen/>
        <w:t xml:space="preserve">State financial relations since Federation and is Commonwealth Government policy. HFE involves the distribution of Commonwealth financial support to the States so that each State has the capacity to provide its citizens with a comparable level of Government services. Under the current approach to HFE, the GST is distributed to the States on the basis of relativities recommended by the independent Commonwealth Grants Commission (CGC). In calculating the relativities, the CGC assesses each State’s fiscal capacity, including its capacity to raise revenue and its costs of providing government services. </w:t>
      </w:r>
    </w:p>
    <w:p w14:paraId="4F5D16C9" w14:textId="77777777" w:rsidR="00341944" w:rsidRDefault="00341944" w:rsidP="00341944">
      <w:pPr>
        <w:pStyle w:val="BodyText"/>
      </w:pPr>
      <w:r>
        <w:t xml:space="preserve">In recent years, some States and commentators have suggested Australia’s approach to HFE does not sufficiently recognise the differences between States’ individual circumstances nor States’ efforts to manage those circumstances thereby creating disincentives for reform, including reforms to enhance revenue raising capacities or drive efficiencies in spending. In commissioning this inquiry, the Government seeks an examination of the issues underlying these claims and concerns that any gains from reform are effectively redistributed to other States. </w:t>
      </w:r>
    </w:p>
    <w:p w14:paraId="413FF6C9" w14:textId="77777777" w:rsidR="00341944" w:rsidRPr="00A370B0" w:rsidRDefault="00341944" w:rsidP="00341944">
      <w:pPr>
        <w:pStyle w:val="Heading2"/>
        <w:spacing w:before="480"/>
        <w:rPr>
          <w:sz w:val="26"/>
          <w:szCs w:val="26"/>
        </w:rPr>
      </w:pPr>
      <w:bookmarkStart w:id="8" w:name="_Toc513637670"/>
      <w:r w:rsidRPr="00A370B0">
        <w:rPr>
          <w:sz w:val="26"/>
          <w:szCs w:val="26"/>
        </w:rPr>
        <w:t>Scope of the inquiry</w:t>
      </w:r>
      <w:bookmarkEnd w:id="8"/>
      <w:r w:rsidRPr="00A370B0">
        <w:rPr>
          <w:sz w:val="26"/>
          <w:szCs w:val="26"/>
        </w:rPr>
        <w:t xml:space="preserve"> </w:t>
      </w:r>
    </w:p>
    <w:p w14:paraId="4DEB47B9" w14:textId="77777777" w:rsidR="00341944" w:rsidRDefault="00341944" w:rsidP="00341944">
      <w:pPr>
        <w:pStyle w:val="BodyText"/>
      </w:pPr>
      <w:r>
        <w:t xml:space="preserve">The Commission should consider the effect of Australia’s system of HFE on productivity, economic growth and budget management for the States and for Australia as a whole. In doing so, the Commission should, in particular, consider: </w:t>
      </w:r>
    </w:p>
    <w:p w14:paraId="59509DB1" w14:textId="23375008" w:rsidR="00341944" w:rsidRDefault="00341944" w:rsidP="00341944">
      <w:pPr>
        <w:pStyle w:val="ListBullet"/>
      </w:pPr>
      <w:r>
        <w:t xml:space="preserve">Whether the present adoption by the CGC of a HFE formula to equalise states’ revenue raising and service delivery capacities is in the best interests of national productivity; or whether there may be preferable alternatives. On this matter the Productivity </w:t>
      </w:r>
      <w:r>
        <w:lastRenderedPageBreak/>
        <w:t xml:space="preserve">Commission should enquire as to whether this aspect of the CGC formula or any other aspect of it may restrict the appropriate movement of capital and labour across State borders to more productive regions during times of high labour demand; </w:t>
      </w:r>
    </w:p>
    <w:p w14:paraId="04BE84F1" w14:textId="77777777" w:rsidR="00341944" w:rsidRDefault="00341944" w:rsidP="00341944">
      <w:pPr>
        <w:pStyle w:val="ListBullet"/>
      </w:pPr>
      <w:r>
        <w:t xml:space="preserve">Policies affecting energy and resources, noting the uneven distribution of natural resources across the nation; whether sufficient consideration is given to the different underlying and structural characteristics of different revenue bases; </w:t>
      </w:r>
    </w:p>
    <w:p w14:paraId="1BFECBC6" w14:textId="77777777" w:rsidR="00341944" w:rsidRDefault="00341944" w:rsidP="00341944">
      <w:pPr>
        <w:pStyle w:val="ListBullet"/>
      </w:pPr>
      <w:r>
        <w:t>State laws and policies restricting the development of energy resources;</w:t>
      </w:r>
    </w:p>
    <w:p w14:paraId="18DC2394" w14:textId="77777777" w:rsidR="00341944" w:rsidRDefault="00341944" w:rsidP="00341944">
      <w:pPr>
        <w:pStyle w:val="ListBullet"/>
      </w:pPr>
      <w:r>
        <w:t>Whether the present use by the CGC in its HFE formula of rolling three year averages provides the most appropriate estimate of real state revenue raising abilities, particularly for those States heavily reliant on large and volatile revenue streams. Particular analysis should be given to whether the lagged fiscal impacts that result from averaging and non</w:t>
      </w:r>
      <w:r>
        <w:noBreakHyphen/>
        <w:t xml:space="preserve">contemporary data leads to GST relativities which accentuate rather than moderate peaks and troughs in state economic cycles; </w:t>
      </w:r>
    </w:p>
    <w:p w14:paraId="504DA487" w14:textId="77777777" w:rsidR="00341944" w:rsidRDefault="00341944" w:rsidP="00341944">
      <w:pPr>
        <w:pStyle w:val="ListBullet"/>
      </w:pPr>
      <w:r>
        <w:t xml:space="preserve">Whether the present HFE formula, may have the effect of producing a disincentive for a State to develop a potential industry or raise a royalty rate for an existing industry at an appropriate time; and </w:t>
      </w:r>
    </w:p>
    <w:p w14:paraId="4DADBEFC" w14:textId="77777777" w:rsidR="00341944" w:rsidRDefault="00341944" w:rsidP="00341944">
      <w:pPr>
        <w:pStyle w:val="ListBullet"/>
      </w:pPr>
      <w:r>
        <w:t xml:space="preserve">Whether the present HFE formula in its stated aim of comprehensively equalising States’ fiscal capacities places too great a reliance on broad indicators and insufficient relevance on specific indicators which recognise States’ different circumstances. </w:t>
      </w:r>
    </w:p>
    <w:p w14:paraId="1D84B1A0" w14:textId="77777777" w:rsidR="00341944" w:rsidRDefault="00341944" w:rsidP="00341944">
      <w:pPr>
        <w:pStyle w:val="BodyText"/>
      </w:pPr>
      <w:r>
        <w:t>The Commission should take into account previous reviews of the HFE process, including the 2012 GST Distribution Review report as well as international approaches to fiscal equalisation within federations.</w:t>
      </w:r>
    </w:p>
    <w:p w14:paraId="069F0612" w14:textId="77777777" w:rsidR="00341944" w:rsidRDefault="00341944" w:rsidP="00341944">
      <w:pPr>
        <w:pStyle w:val="BodyText"/>
      </w:pPr>
      <w:r>
        <w:t>The Commission should also consider implications for equity across jurisdictions, efficiency and simplicity.</w:t>
      </w:r>
    </w:p>
    <w:p w14:paraId="1DB883D5" w14:textId="77777777" w:rsidR="00341944" w:rsidRPr="00A370B0" w:rsidRDefault="00341944" w:rsidP="00341944">
      <w:pPr>
        <w:pStyle w:val="Heading2"/>
        <w:spacing w:before="480"/>
        <w:rPr>
          <w:sz w:val="26"/>
          <w:szCs w:val="26"/>
        </w:rPr>
      </w:pPr>
      <w:bookmarkStart w:id="9" w:name="_Toc513637671"/>
      <w:r w:rsidRPr="00A370B0">
        <w:rPr>
          <w:sz w:val="26"/>
          <w:szCs w:val="26"/>
        </w:rPr>
        <w:t>Process</w:t>
      </w:r>
      <w:bookmarkEnd w:id="9"/>
    </w:p>
    <w:p w14:paraId="4AA64B0F" w14:textId="77777777" w:rsidR="00341944" w:rsidRDefault="00341944" w:rsidP="00341944">
      <w:pPr>
        <w:pStyle w:val="BodyText"/>
      </w:pPr>
      <w:r>
        <w:t>The Commission should undertake appropriate public consultation, including holding hearings, inviting public submissions and releasing a draft report to the public. It should consult widely, including with State and Territory governments.</w:t>
      </w:r>
    </w:p>
    <w:p w14:paraId="689A5FA1" w14:textId="77777777" w:rsidR="00341944" w:rsidRDefault="00341944" w:rsidP="00341944">
      <w:pPr>
        <w:pStyle w:val="BodyText"/>
      </w:pPr>
      <w:r>
        <w:t>The Commission should provide a final report to the Government by 31 January 2018.</w:t>
      </w:r>
    </w:p>
    <w:p w14:paraId="055393E2" w14:textId="6B62CA86" w:rsidR="00341944" w:rsidRDefault="00341944" w:rsidP="00341944">
      <w:pPr>
        <w:pStyle w:val="BodyText"/>
        <w:spacing w:before="480"/>
        <w:jc w:val="left"/>
      </w:pPr>
      <w:r>
        <w:t>SCOTT MORRISON</w:t>
      </w:r>
      <w:r>
        <w:br/>
        <w:t>Treasurer</w:t>
      </w:r>
    </w:p>
    <w:p w14:paraId="725D0A42" w14:textId="77777777" w:rsidR="00341944" w:rsidRDefault="00341944" w:rsidP="00341944">
      <w:pPr>
        <w:pStyle w:val="BodyText"/>
        <w:spacing w:before="120"/>
      </w:pPr>
      <w:r>
        <w:t>[Received 5 May 2017]</w:t>
      </w:r>
      <w:r>
        <w:br w:type="page"/>
      </w:r>
    </w:p>
    <w:p w14:paraId="765F78EA" w14:textId="77777777" w:rsidR="00341944" w:rsidRDefault="00341944" w:rsidP="00341944">
      <w:pPr>
        <w:pStyle w:val="Heading1"/>
      </w:pPr>
      <w:bookmarkStart w:id="10" w:name="_Toc513547830"/>
      <w:bookmarkStart w:id="11" w:name="_Toc513637672"/>
      <w:r>
        <w:lastRenderedPageBreak/>
        <w:t>Inquiry timeline</w:t>
      </w:r>
      <w:bookmarkEnd w:id="10"/>
      <w:bookmarkEnd w:id="11"/>
    </w:p>
    <w:p w14:paraId="47AE9B6C" w14:textId="77777777" w:rsidR="00341944" w:rsidRPr="00342F7C" w:rsidRDefault="00341944" w:rsidP="00341944">
      <w:pPr>
        <w:pStyle w:val="BodyText"/>
      </w:pPr>
      <w:r>
        <w:t>The Treasurer agreed to revised timing for the inquiry into Horizontal Fiscal Equalisation (HFE) following advice from the Commission that the submission date for the final report should preferably be moved to 15 May 2018. This was to allow time for additional consultation and analysis of transition issues associated with a revised system of HFE, as well as further analysis of the effect the current HFE system has on the incentives for State and Territory Governments to undertake reform.</w:t>
      </w:r>
    </w:p>
    <w:p w14:paraId="108D662A" w14:textId="77777777" w:rsidR="00341944" w:rsidRDefault="00341944" w:rsidP="00341944">
      <w:pPr>
        <w:pStyle w:val="BodyText"/>
      </w:pPr>
    </w:p>
    <w:p w14:paraId="1B950A43" w14:textId="77777777" w:rsidR="00341944" w:rsidRDefault="00341944" w:rsidP="00341944">
      <w:pPr>
        <w:pStyle w:val="BodyText"/>
        <w:sectPr w:rsidR="00341944" w:rsidSect="006606FA">
          <w:headerReference w:type="even" r:id="rId18"/>
          <w:headerReference w:type="default" r:id="rId19"/>
          <w:footerReference w:type="even" r:id="rId20"/>
          <w:footerReference w:type="default" r:id="rId21"/>
          <w:pgSz w:w="11907" w:h="16840" w:code="9"/>
          <w:pgMar w:top="1985" w:right="1304" w:bottom="1247" w:left="1814" w:header="1701" w:footer="397" w:gutter="0"/>
          <w:pgNumType w:fmt="lowerRoman"/>
          <w:cols w:space="720"/>
        </w:sectPr>
      </w:pPr>
    </w:p>
    <w:p w14:paraId="3FB77E3D" w14:textId="77777777" w:rsidR="00341944" w:rsidRDefault="00341944" w:rsidP="00341944">
      <w:pPr>
        <w:pStyle w:val="Heading1NotTOC"/>
      </w:pPr>
      <w:bookmarkStart w:id="12" w:name="Contents"/>
      <w:bookmarkEnd w:id="12"/>
      <w:r w:rsidRPr="00B153C3">
        <w:lastRenderedPageBreak/>
        <w:t>Contents</w:t>
      </w:r>
      <w:bookmarkStart w:id="13" w:name="InsertContents"/>
      <w:bookmarkEnd w:id="13"/>
    </w:p>
    <w:p w14:paraId="0B809091" w14:textId="3F3C4102" w:rsidR="00247C8B" w:rsidRPr="00247C8B" w:rsidRDefault="00247C8B" w:rsidP="00247C8B">
      <w:pPr>
        <w:pStyle w:val="TOC1"/>
        <w:rPr>
          <w:rFonts w:asciiTheme="minorHAnsi" w:eastAsiaTheme="minorEastAsia" w:hAnsiTheme="minorHAnsi" w:cstheme="minorBidi"/>
          <w:b w:val="0"/>
          <w:noProof/>
          <w:sz w:val="22"/>
          <w:szCs w:val="22"/>
          <w:lang w:eastAsia="en-AU"/>
        </w:rPr>
      </w:pPr>
      <w:r w:rsidRPr="00247C8B">
        <w:rPr>
          <w:b w:val="0"/>
          <w:noProof/>
        </w:rPr>
        <w:t>Terms of reference</w:t>
      </w:r>
      <w:r w:rsidRPr="00247C8B">
        <w:rPr>
          <w:b w:val="0"/>
          <w:noProof/>
        </w:rPr>
        <w:tab/>
        <w:t>iv</w:t>
      </w:r>
    </w:p>
    <w:p w14:paraId="2399A4C3" w14:textId="516A9532" w:rsidR="00247C8B" w:rsidRPr="00247C8B" w:rsidRDefault="00247C8B" w:rsidP="00247C8B">
      <w:pPr>
        <w:pStyle w:val="TOC1"/>
        <w:rPr>
          <w:rFonts w:asciiTheme="minorHAnsi" w:eastAsiaTheme="minorEastAsia" w:hAnsiTheme="minorHAnsi" w:cstheme="minorBidi"/>
          <w:b w:val="0"/>
          <w:noProof/>
          <w:sz w:val="22"/>
          <w:szCs w:val="22"/>
          <w:lang w:eastAsia="en-AU"/>
        </w:rPr>
      </w:pPr>
      <w:r w:rsidRPr="00247C8B">
        <w:rPr>
          <w:b w:val="0"/>
          <w:noProof/>
        </w:rPr>
        <w:t>Inquiry timeline</w:t>
      </w:r>
      <w:r w:rsidRPr="00247C8B">
        <w:rPr>
          <w:b w:val="0"/>
          <w:noProof/>
        </w:rPr>
        <w:tab/>
        <w:t>vi</w:t>
      </w:r>
    </w:p>
    <w:p w14:paraId="58528F13" w14:textId="0596C37F" w:rsidR="00247C8B" w:rsidRPr="00247C8B" w:rsidRDefault="00247C8B" w:rsidP="00247C8B">
      <w:pPr>
        <w:pStyle w:val="TOC1"/>
        <w:rPr>
          <w:rFonts w:asciiTheme="minorHAnsi" w:eastAsiaTheme="minorEastAsia" w:hAnsiTheme="minorHAnsi" w:cstheme="minorBidi"/>
          <w:b w:val="0"/>
          <w:noProof/>
          <w:sz w:val="22"/>
          <w:szCs w:val="22"/>
          <w:lang w:eastAsia="en-AU"/>
        </w:rPr>
      </w:pPr>
      <w:r w:rsidRPr="00247C8B">
        <w:rPr>
          <w:b w:val="0"/>
          <w:noProof/>
        </w:rPr>
        <w:t>Acknowledgments</w:t>
      </w:r>
      <w:r w:rsidRPr="00247C8B">
        <w:rPr>
          <w:b w:val="0"/>
          <w:noProof/>
        </w:rPr>
        <w:tab/>
        <w:t>x</w:t>
      </w:r>
    </w:p>
    <w:p w14:paraId="7247BB9E" w14:textId="03D68EF2" w:rsidR="00247C8B" w:rsidRPr="00247C8B" w:rsidRDefault="00247C8B" w:rsidP="00247C8B">
      <w:pPr>
        <w:pStyle w:val="TOC1"/>
        <w:rPr>
          <w:rFonts w:asciiTheme="minorHAnsi" w:eastAsiaTheme="minorEastAsia" w:hAnsiTheme="minorHAnsi" w:cstheme="minorBidi"/>
          <w:b w:val="0"/>
          <w:noProof/>
          <w:sz w:val="22"/>
          <w:szCs w:val="22"/>
          <w:lang w:eastAsia="en-AU"/>
        </w:rPr>
      </w:pPr>
      <w:r w:rsidRPr="00247C8B">
        <w:rPr>
          <w:b w:val="0"/>
          <w:noProof/>
        </w:rPr>
        <w:t>Abbreviations and explanations</w:t>
      </w:r>
      <w:r w:rsidRPr="00247C8B">
        <w:rPr>
          <w:b w:val="0"/>
          <w:noProof/>
        </w:rPr>
        <w:tab/>
        <w:t>xi</w:t>
      </w:r>
    </w:p>
    <w:p w14:paraId="44F595EF" w14:textId="1C344E81" w:rsidR="00247C8B" w:rsidRPr="00247C8B" w:rsidRDefault="00247C8B" w:rsidP="00247C8B">
      <w:pPr>
        <w:pStyle w:val="TOC1"/>
        <w:rPr>
          <w:rFonts w:asciiTheme="minorHAnsi" w:eastAsiaTheme="minorEastAsia" w:hAnsiTheme="minorHAnsi" w:cstheme="minorBidi"/>
          <w:b w:val="0"/>
          <w:noProof/>
          <w:sz w:val="22"/>
          <w:szCs w:val="22"/>
          <w:lang w:eastAsia="en-AU"/>
        </w:rPr>
      </w:pPr>
      <w:r w:rsidRPr="00247C8B">
        <w:rPr>
          <w:b w:val="0"/>
          <w:noProof/>
        </w:rPr>
        <w:t>Glossary</w:t>
      </w:r>
      <w:r w:rsidRPr="00247C8B">
        <w:rPr>
          <w:b w:val="0"/>
          <w:noProof/>
        </w:rPr>
        <w:tab/>
      </w:r>
      <w:r>
        <w:rPr>
          <w:b w:val="0"/>
          <w:noProof/>
        </w:rPr>
        <w:t>xii</w:t>
      </w:r>
    </w:p>
    <w:p w14:paraId="1C85BD48" w14:textId="69CDD6DB" w:rsidR="00247C8B" w:rsidRDefault="00247C8B" w:rsidP="00247C8B">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629CD853" w14:textId="2C84A9B6" w:rsidR="00247C8B" w:rsidRDefault="00247C8B" w:rsidP="00247C8B">
      <w:pPr>
        <w:pStyle w:val="TOC1"/>
        <w:rPr>
          <w:rFonts w:asciiTheme="minorHAnsi" w:eastAsiaTheme="minorEastAsia" w:hAnsiTheme="minorHAnsi" w:cstheme="minorBidi"/>
          <w:b w:val="0"/>
          <w:noProof/>
          <w:sz w:val="22"/>
          <w:szCs w:val="22"/>
          <w:lang w:eastAsia="en-AU"/>
        </w:rPr>
      </w:pPr>
      <w:r>
        <w:rPr>
          <w:noProof/>
        </w:rPr>
        <w:t>Findings and recommendations</w:t>
      </w:r>
      <w:r>
        <w:rPr>
          <w:noProof/>
        </w:rPr>
        <w:tab/>
        <w:t>37</w:t>
      </w:r>
    </w:p>
    <w:p w14:paraId="3B9B34BA" w14:textId="29556D85" w:rsidR="00247C8B" w:rsidRDefault="00247C8B" w:rsidP="00247C8B">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45</w:t>
      </w:r>
    </w:p>
    <w:p w14:paraId="4C429864" w14:textId="6B36FA2D"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Background to the inquiry</w:t>
      </w:r>
      <w:r>
        <w:rPr>
          <w:noProof/>
        </w:rPr>
        <w:tab/>
        <w:t>46</w:t>
      </w:r>
    </w:p>
    <w:p w14:paraId="31DCFF7B" w14:textId="20FC760C"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has the Commission been asked to do?</w:t>
      </w:r>
      <w:r>
        <w:rPr>
          <w:noProof/>
        </w:rPr>
        <w:tab/>
        <w:t>52</w:t>
      </w:r>
    </w:p>
    <w:p w14:paraId="0641F2A5" w14:textId="7C207919"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Productivity Commission’s approach</w:t>
      </w:r>
      <w:r>
        <w:rPr>
          <w:noProof/>
        </w:rPr>
        <w:tab/>
        <w:t>53</w:t>
      </w:r>
    </w:p>
    <w:p w14:paraId="2B065911" w14:textId="50615BA7"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What is the evidence base?</w:t>
      </w:r>
      <w:r>
        <w:rPr>
          <w:noProof/>
        </w:rPr>
        <w:tab/>
        <w:t>63</w:t>
      </w:r>
    </w:p>
    <w:p w14:paraId="2D93B2B3" w14:textId="45539D34"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Scope of the inquiry</w:t>
      </w:r>
      <w:r>
        <w:rPr>
          <w:noProof/>
        </w:rPr>
        <w:tab/>
        <w:t>64</w:t>
      </w:r>
    </w:p>
    <w:p w14:paraId="163B487C" w14:textId="6586C5A6"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1.6</w:t>
      </w:r>
      <w:r>
        <w:rPr>
          <w:rFonts w:asciiTheme="minorHAnsi" w:eastAsiaTheme="minorEastAsia" w:hAnsiTheme="minorHAnsi" w:cstheme="minorBidi"/>
          <w:noProof/>
          <w:sz w:val="22"/>
          <w:szCs w:val="22"/>
          <w:lang w:eastAsia="en-AU"/>
        </w:rPr>
        <w:tab/>
      </w:r>
      <w:r>
        <w:rPr>
          <w:noProof/>
        </w:rPr>
        <w:t>Consultation in the course of the inquiry</w:t>
      </w:r>
      <w:r>
        <w:rPr>
          <w:noProof/>
        </w:rPr>
        <w:tab/>
        <w:t>65</w:t>
      </w:r>
    </w:p>
    <w:p w14:paraId="7B586D26" w14:textId="439B26F9" w:rsidR="00247C8B" w:rsidRDefault="00247C8B" w:rsidP="00247C8B">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How does HFE work in Australia?</w:t>
      </w:r>
      <w:r>
        <w:rPr>
          <w:noProof/>
        </w:rPr>
        <w:tab/>
        <w:t>67</w:t>
      </w:r>
    </w:p>
    <w:p w14:paraId="0A603C2D" w14:textId="131E08A9"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evolution of HFE in Australia</w:t>
      </w:r>
      <w:r>
        <w:rPr>
          <w:noProof/>
        </w:rPr>
        <w:tab/>
        <w:t>68</w:t>
      </w:r>
    </w:p>
    <w:p w14:paraId="28F13715" w14:textId="049922D2"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Present day context for HFE in Australia</w:t>
      </w:r>
      <w:r>
        <w:rPr>
          <w:noProof/>
        </w:rPr>
        <w:tab/>
        <w:t>79</w:t>
      </w:r>
    </w:p>
    <w:p w14:paraId="48DAE4F7" w14:textId="3EBA7290"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Calculation of the GST distribution</w:t>
      </w:r>
      <w:r>
        <w:rPr>
          <w:noProof/>
        </w:rPr>
        <w:tab/>
        <w:t>86</w:t>
      </w:r>
    </w:p>
    <w:p w14:paraId="108EA463" w14:textId="7E3A9D10"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The size of the equalisation task</w:t>
      </w:r>
      <w:r>
        <w:rPr>
          <w:noProof/>
        </w:rPr>
        <w:tab/>
        <w:t>91</w:t>
      </w:r>
    </w:p>
    <w:p w14:paraId="4B451679" w14:textId="426B3551" w:rsidR="00247C8B" w:rsidRDefault="00247C8B" w:rsidP="00247C8B">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sidRPr="00247C8B">
        <w:rPr>
          <w:rFonts w:ascii="Arial Bold" w:hAnsi="Arial Bold"/>
          <w:noProof/>
          <w:spacing w:val="-4"/>
        </w:rPr>
        <w:t>Does HFE influence States’ incentives to undertake reforms?</w:t>
      </w:r>
      <w:r>
        <w:rPr>
          <w:noProof/>
        </w:rPr>
        <w:tab/>
        <w:t>99</w:t>
      </w:r>
    </w:p>
    <w:p w14:paraId="347BF5C0" w14:textId="2F06061A"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State tax reform</w:t>
      </w:r>
      <w:r>
        <w:rPr>
          <w:noProof/>
        </w:rPr>
        <w:tab/>
        <w:t>100</w:t>
      </w:r>
    </w:p>
    <w:p w14:paraId="128F9FC5" w14:textId="175D3E3F"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Efficiency of service delivery</w:t>
      </w:r>
      <w:r>
        <w:rPr>
          <w:noProof/>
        </w:rPr>
        <w:tab/>
        <w:t>114</w:t>
      </w:r>
    </w:p>
    <w:p w14:paraId="2AF0F3F4" w14:textId="773793DB"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Mineral and energy resources</w:t>
      </w:r>
      <w:r>
        <w:rPr>
          <w:noProof/>
        </w:rPr>
        <w:tab/>
        <w:t>120</w:t>
      </w:r>
    </w:p>
    <w:p w14:paraId="78CB91A2" w14:textId="71C88F01"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Broader distortions across the HFE system</w:t>
      </w:r>
      <w:r>
        <w:rPr>
          <w:noProof/>
        </w:rPr>
        <w:tab/>
        <w:t>129</w:t>
      </w:r>
    </w:p>
    <w:p w14:paraId="2AA226D8" w14:textId="77777777" w:rsidR="00247C8B" w:rsidRDefault="00247C8B" w:rsidP="00247C8B">
      <w:pPr>
        <w:pStyle w:val="TOC1"/>
        <w:rPr>
          <w:noProof/>
        </w:rPr>
      </w:pPr>
      <w:r>
        <w:rPr>
          <w:noProof/>
        </w:rPr>
        <w:br w:type="page"/>
      </w:r>
    </w:p>
    <w:p w14:paraId="349EE452" w14:textId="6A5D7E88" w:rsidR="00247C8B" w:rsidRDefault="00247C8B" w:rsidP="00247C8B">
      <w:pPr>
        <w:pStyle w:val="TOC1"/>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How does HFE affect State budget management?</w:t>
      </w:r>
      <w:r>
        <w:rPr>
          <w:noProof/>
        </w:rPr>
        <w:tab/>
        <w:t>131</w:t>
      </w:r>
    </w:p>
    <w:p w14:paraId="4EA9E9FE" w14:textId="0C9E7A1E"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How does HFE affect State budget cycles?</w:t>
      </w:r>
      <w:r>
        <w:rPr>
          <w:noProof/>
        </w:rPr>
        <w:tab/>
        <w:t>132</w:t>
      </w:r>
    </w:p>
    <w:p w14:paraId="678284B2" w14:textId="091E8672"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How does the HFE system affect budget planning?</w:t>
      </w:r>
      <w:r>
        <w:rPr>
          <w:noProof/>
        </w:rPr>
        <w:tab/>
        <w:t>144</w:t>
      </w:r>
    </w:p>
    <w:p w14:paraId="15298F30" w14:textId="0D33F083" w:rsidR="00247C8B" w:rsidRDefault="00247C8B" w:rsidP="00247C8B">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Does HFE influence interstate migration?</w:t>
      </w:r>
      <w:r>
        <w:rPr>
          <w:noProof/>
        </w:rPr>
        <w:tab/>
        <w:t>151</w:t>
      </w:r>
    </w:p>
    <w:p w14:paraId="7666D4D7" w14:textId="7AC7103E"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HFE and efficient migration: what the theory says</w:t>
      </w:r>
      <w:r>
        <w:rPr>
          <w:noProof/>
        </w:rPr>
        <w:tab/>
        <w:t>152</w:t>
      </w:r>
    </w:p>
    <w:p w14:paraId="620022FB" w14:textId="44FDF561"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Modelling HFE’s impact on migration</w:t>
      </w:r>
      <w:r>
        <w:rPr>
          <w:noProof/>
        </w:rPr>
        <w:tab/>
        <w:t>154</w:t>
      </w:r>
    </w:p>
    <w:p w14:paraId="3A4AE029" w14:textId="1D826176"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Has HFE influenced migration decisions?</w:t>
      </w:r>
      <w:r>
        <w:rPr>
          <w:noProof/>
        </w:rPr>
        <w:tab/>
        <w:t>155</w:t>
      </w:r>
    </w:p>
    <w:p w14:paraId="65864ABA" w14:textId="0D6EB184" w:rsidR="00247C8B" w:rsidRDefault="00247C8B" w:rsidP="00247C8B">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Summing up the need for change</w:t>
      </w:r>
      <w:r>
        <w:rPr>
          <w:noProof/>
        </w:rPr>
        <w:tab/>
        <w:t>163</w:t>
      </w:r>
    </w:p>
    <w:p w14:paraId="6BEDA67F" w14:textId="44D48118"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The interpretation of equity is incomplete</w:t>
      </w:r>
      <w:r>
        <w:rPr>
          <w:noProof/>
        </w:rPr>
        <w:tab/>
        <w:t>164</w:t>
      </w:r>
    </w:p>
    <w:p w14:paraId="171949AE" w14:textId="70081E03"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Efficiency is being compromised</w:t>
      </w:r>
      <w:r>
        <w:rPr>
          <w:noProof/>
        </w:rPr>
        <w:tab/>
        <w:t>166</w:t>
      </w:r>
    </w:p>
    <w:p w14:paraId="402C4F49" w14:textId="77E3354A"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Transparency and accountability are lacking</w:t>
      </w:r>
      <w:r>
        <w:rPr>
          <w:noProof/>
        </w:rPr>
        <w:tab/>
        <w:t>169</w:t>
      </w:r>
    </w:p>
    <w:p w14:paraId="7EEA6A66" w14:textId="0F71879B"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A revised objective for HFE is needed</w:t>
      </w:r>
      <w:r>
        <w:rPr>
          <w:noProof/>
        </w:rPr>
        <w:tab/>
        <w:t>174</w:t>
      </w:r>
    </w:p>
    <w:p w14:paraId="0200C4D1" w14:textId="0DD583C9"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Improving HFE governance arrangements</w:t>
      </w:r>
      <w:r>
        <w:rPr>
          <w:noProof/>
        </w:rPr>
        <w:tab/>
        <w:t>181</w:t>
      </w:r>
    </w:p>
    <w:p w14:paraId="728B3FD8" w14:textId="60B08BE9" w:rsidR="00247C8B" w:rsidRDefault="00247C8B" w:rsidP="00247C8B">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Are there better ways to assess fiscal capacity?</w:t>
      </w:r>
      <w:r>
        <w:rPr>
          <w:noProof/>
        </w:rPr>
        <w:tab/>
        <w:t>191</w:t>
      </w:r>
    </w:p>
    <w:p w14:paraId="631D2AF8" w14:textId="49800CC1"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Applying benchmark costs</w:t>
      </w:r>
      <w:r>
        <w:rPr>
          <w:noProof/>
        </w:rPr>
        <w:tab/>
        <w:t>192</w:t>
      </w:r>
    </w:p>
    <w:p w14:paraId="7106536B" w14:textId="2004D9C1"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Using a single broad indicator</w:t>
      </w:r>
      <w:r>
        <w:rPr>
          <w:noProof/>
        </w:rPr>
        <w:tab/>
        <w:t>194</w:t>
      </w:r>
    </w:p>
    <w:p w14:paraId="1ABB1C38" w14:textId="6D2B07B5"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Streamlining revenue and expenditure assessments</w:t>
      </w:r>
      <w:r>
        <w:rPr>
          <w:noProof/>
        </w:rPr>
        <w:tab/>
        <w:t>199</w:t>
      </w:r>
    </w:p>
    <w:p w14:paraId="17365D00" w14:textId="4C03E429"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Discounting entire revenue categories</w:t>
      </w:r>
      <w:r>
        <w:rPr>
          <w:noProof/>
        </w:rPr>
        <w:tab/>
        <w:t>209</w:t>
      </w:r>
    </w:p>
    <w:p w14:paraId="1B9A7583" w14:textId="124F4F05"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Targeted interventions for future policy changes</w:t>
      </w:r>
      <w:r>
        <w:rPr>
          <w:noProof/>
        </w:rPr>
        <w:tab/>
        <w:t>212</w:t>
      </w:r>
    </w:p>
    <w:p w14:paraId="0F9AD206" w14:textId="6326A7BD"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7.6</w:t>
      </w:r>
      <w:r>
        <w:rPr>
          <w:rFonts w:asciiTheme="minorHAnsi" w:eastAsiaTheme="minorEastAsia" w:hAnsiTheme="minorHAnsi" w:cstheme="minorBidi"/>
          <w:noProof/>
          <w:sz w:val="22"/>
          <w:szCs w:val="22"/>
          <w:lang w:eastAsia="en-AU"/>
        </w:rPr>
        <w:tab/>
      </w:r>
      <w:r>
        <w:rPr>
          <w:noProof/>
        </w:rPr>
        <w:t>Summing up</w:t>
      </w:r>
      <w:r>
        <w:rPr>
          <w:noProof/>
        </w:rPr>
        <w:tab/>
        <w:t>218</w:t>
      </w:r>
    </w:p>
    <w:p w14:paraId="4177E2D5" w14:textId="3AD90676" w:rsidR="00247C8B" w:rsidRDefault="00247C8B" w:rsidP="00247C8B">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Is there a preferred alternative benchmark for fiscal equalisation?</w:t>
      </w:r>
      <w:r>
        <w:rPr>
          <w:noProof/>
        </w:rPr>
        <w:tab/>
        <w:t>221</w:t>
      </w:r>
    </w:p>
    <w:p w14:paraId="2F45D721" w14:textId="720D0542"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Equal per capita and variants</w:t>
      </w:r>
      <w:r>
        <w:rPr>
          <w:noProof/>
        </w:rPr>
        <w:tab/>
        <w:t>223</w:t>
      </w:r>
    </w:p>
    <w:p w14:paraId="255AC6FC" w14:textId="33812A58"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A relativity floor</w:t>
      </w:r>
      <w:r>
        <w:rPr>
          <w:noProof/>
        </w:rPr>
        <w:tab/>
        <w:t>229</w:t>
      </w:r>
    </w:p>
    <w:p w14:paraId="26907BA7" w14:textId="1BF0F259"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Alternative equalisation benchmarks</w:t>
      </w:r>
      <w:r>
        <w:rPr>
          <w:noProof/>
        </w:rPr>
        <w:tab/>
        <w:t>232</w:t>
      </w:r>
    </w:p>
    <w:p w14:paraId="0FE481CC" w14:textId="2B19D044"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How do the alternative benchmarks stack up?</w:t>
      </w:r>
      <w:r>
        <w:rPr>
          <w:noProof/>
        </w:rPr>
        <w:tab/>
        <w:t>23</w:t>
      </w:r>
      <w:r w:rsidR="008A6C49">
        <w:rPr>
          <w:noProof/>
        </w:rPr>
        <w:t>8</w:t>
      </w:r>
    </w:p>
    <w:p w14:paraId="4C543791" w14:textId="315BB4DD" w:rsidR="00247C8B" w:rsidRDefault="00247C8B" w:rsidP="00247C8B">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The way ahead</w:t>
      </w:r>
      <w:r>
        <w:rPr>
          <w:noProof/>
        </w:rPr>
        <w:tab/>
        <w:t>257</w:t>
      </w:r>
    </w:p>
    <w:p w14:paraId="6D3BC252" w14:textId="77777777"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sidRPr="004D37DF">
        <w:rPr>
          <w:noProof/>
        </w:rPr>
        <w:t>Transitioning to a new equalisation benchmark</w:t>
      </w:r>
      <w:r>
        <w:rPr>
          <w:noProof/>
        </w:rPr>
        <w:tab/>
        <w:t>258</w:t>
      </w:r>
    </w:p>
    <w:p w14:paraId="289AB6F5" w14:textId="77777777"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sidRPr="004D37DF">
        <w:rPr>
          <w:noProof/>
        </w:rPr>
        <w:t>Choosing an appropriate transition period</w:t>
      </w:r>
      <w:r>
        <w:rPr>
          <w:noProof/>
        </w:rPr>
        <w:tab/>
        <w:t>262</w:t>
      </w:r>
    </w:p>
    <w:p w14:paraId="52698F86" w14:textId="77777777"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sidRPr="004D37DF">
        <w:rPr>
          <w:noProof/>
        </w:rPr>
        <w:t>Broader reforms to federal financial relations</w:t>
      </w:r>
      <w:r>
        <w:rPr>
          <w:noProof/>
        </w:rPr>
        <w:tab/>
        <w:t>272</w:t>
      </w:r>
    </w:p>
    <w:p w14:paraId="5C437110" w14:textId="77777777" w:rsidR="00247C8B" w:rsidRDefault="00247C8B" w:rsidP="00247C8B">
      <w:pPr>
        <w:pStyle w:val="TOC1"/>
        <w:rPr>
          <w:noProof/>
        </w:rPr>
      </w:pPr>
      <w:r>
        <w:rPr>
          <w:noProof/>
        </w:rPr>
        <w:br w:type="page"/>
      </w:r>
    </w:p>
    <w:p w14:paraId="22554CCE" w14:textId="77777777" w:rsidR="00247C8B" w:rsidRDefault="00247C8B" w:rsidP="00247C8B">
      <w:pPr>
        <w:pStyle w:val="TOC1"/>
        <w:rPr>
          <w:noProof/>
        </w:rPr>
      </w:pPr>
      <w:r>
        <w:rPr>
          <w:noProof/>
        </w:rPr>
        <w:lastRenderedPageBreak/>
        <w:t>Appendixes</w:t>
      </w:r>
    </w:p>
    <w:p w14:paraId="55E481F4" w14:textId="745BCE37" w:rsidR="00247C8B" w:rsidRDefault="00247C8B" w:rsidP="00247C8B">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t>285</w:t>
      </w:r>
    </w:p>
    <w:p w14:paraId="3A5A4409" w14:textId="02C65610" w:rsidR="00247C8B" w:rsidRDefault="00247C8B" w:rsidP="00247C8B">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Other Commonwealth payments</w:t>
      </w:r>
      <w:r>
        <w:rPr>
          <w:noProof/>
        </w:rPr>
        <w:tab/>
        <w:t>293</w:t>
      </w:r>
    </w:p>
    <w:p w14:paraId="33F0D14E" w14:textId="17F63F03"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B.1</w:t>
      </w:r>
      <w:r>
        <w:rPr>
          <w:rFonts w:asciiTheme="minorHAnsi" w:eastAsiaTheme="minorEastAsia" w:hAnsiTheme="minorHAnsi" w:cstheme="minorBidi"/>
          <w:noProof/>
          <w:sz w:val="22"/>
          <w:szCs w:val="22"/>
          <w:lang w:eastAsia="en-AU"/>
        </w:rPr>
        <w:tab/>
      </w:r>
      <w:r>
        <w:rPr>
          <w:noProof/>
        </w:rPr>
        <w:t>Types of payments for specific purposes</w:t>
      </w:r>
      <w:r>
        <w:rPr>
          <w:noProof/>
        </w:rPr>
        <w:tab/>
        <w:t>293</w:t>
      </w:r>
    </w:p>
    <w:p w14:paraId="389A747A" w14:textId="35ECC91D"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B.2</w:t>
      </w:r>
      <w:r>
        <w:rPr>
          <w:rFonts w:asciiTheme="minorHAnsi" w:eastAsiaTheme="minorEastAsia" w:hAnsiTheme="minorHAnsi" w:cstheme="minorBidi"/>
          <w:noProof/>
          <w:sz w:val="22"/>
          <w:szCs w:val="22"/>
          <w:lang w:eastAsia="en-AU"/>
        </w:rPr>
        <w:tab/>
      </w:r>
      <w:r>
        <w:rPr>
          <w:noProof/>
        </w:rPr>
        <w:t>Treatment of payments for specific purposes in the GST distribution</w:t>
      </w:r>
      <w:r>
        <w:rPr>
          <w:noProof/>
        </w:rPr>
        <w:tab/>
        <w:t>296</w:t>
      </w:r>
    </w:p>
    <w:p w14:paraId="18734FAE" w14:textId="19BD8EEB" w:rsidR="00247C8B" w:rsidRDefault="00247C8B" w:rsidP="00247C8B">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Calculations and cameos</w:t>
      </w:r>
      <w:r>
        <w:rPr>
          <w:noProof/>
        </w:rPr>
        <w:tab/>
        <w:t>305</w:t>
      </w:r>
    </w:p>
    <w:p w14:paraId="1AC47425" w14:textId="73A2D97E"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C.1</w:t>
      </w:r>
      <w:r>
        <w:rPr>
          <w:rFonts w:asciiTheme="minorHAnsi" w:eastAsiaTheme="minorEastAsia" w:hAnsiTheme="minorHAnsi" w:cstheme="minorBidi"/>
          <w:noProof/>
          <w:sz w:val="22"/>
          <w:szCs w:val="22"/>
          <w:lang w:eastAsia="en-AU"/>
        </w:rPr>
        <w:tab/>
      </w:r>
      <w:r w:rsidRPr="00F82126">
        <w:rPr>
          <w:noProof/>
          <w:spacing w:val="-4"/>
        </w:rPr>
        <w:t>Alternative approaches to equalising States’ fiscal capacities</w:t>
      </w:r>
      <w:r>
        <w:rPr>
          <w:noProof/>
        </w:rPr>
        <w:tab/>
        <w:t>305</w:t>
      </w:r>
    </w:p>
    <w:p w14:paraId="7DA8702D" w14:textId="313D09A4"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C.2</w:t>
      </w:r>
      <w:r>
        <w:rPr>
          <w:rFonts w:asciiTheme="minorHAnsi" w:eastAsiaTheme="minorEastAsia" w:hAnsiTheme="minorHAnsi" w:cstheme="minorBidi"/>
          <w:noProof/>
          <w:sz w:val="22"/>
          <w:szCs w:val="22"/>
          <w:lang w:eastAsia="en-AU"/>
        </w:rPr>
        <w:tab/>
      </w:r>
      <w:r>
        <w:rPr>
          <w:noProof/>
        </w:rPr>
        <w:t>Adjustments to the current HFE system</w:t>
      </w:r>
      <w:r>
        <w:rPr>
          <w:noProof/>
        </w:rPr>
        <w:tab/>
        <w:t>313</w:t>
      </w:r>
    </w:p>
    <w:p w14:paraId="41E46C27" w14:textId="6496CA68"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C.3</w:t>
      </w:r>
      <w:r>
        <w:rPr>
          <w:rFonts w:asciiTheme="minorHAnsi" w:eastAsiaTheme="minorEastAsia" w:hAnsiTheme="minorHAnsi" w:cstheme="minorBidi"/>
          <w:noProof/>
          <w:sz w:val="22"/>
          <w:szCs w:val="22"/>
          <w:lang w:eastAsia="en-AU"/>
        </w:rPr>
        <w:tab/>
      </w:r>
      <w:r>
        <w:rPr>
          <w:noProof/>
        </w:rPr>
        <w:t>Average rate effects</w:t>
      </w:r>
      <w:r>
        <w:rPr>
          <w:noProof/>
        </w:rPr>
        <w:tab/>
        <w:t>321</w:t>
      </w:r>
    </w:p>
    <w:p w14:paraId="7315ED1B" w14:textId="1049945B"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C.4</w:t>
      </w:r>
      <w:r>
        <w:rPr>
          <w:rFonts w:asciiTheme="minorHAnsi" w:eastAsiaTheme="minorEastAsia" w:hAnsiTheme="minorHAnsi" w:cstheme="minorBidi"/>
          <w:noProof/>
          <w:sz w:val="22"/>
          <w:szCs w:val="22"/>
          <w:lang w:eastAsia="en-AU"/>
        </w:rPr>
        <w:tab/>
      </w:r>
      <w:r>
        <w:rPr>
          <w:noProof/>
        </w:rPr>
        <w:t>Cameos</w:t>
      </w:r>
      <w:r>
        <w:rPr>
          <w:noProof/>
        </w:rPr>
        <w:tab/>
        <w:t>322</w:t>
      </w:r>
    </w:p>
    <w:p w14:paraId="2B3615F4" w14:textId="0B98857D" w:rsidR="00247C8B" w:rsidRDefault="00247C8B" w:rsidP="00247C8B">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Modelling the efficiency of HFE</w:t>
      </w:r>
      <w:r>
        <w:rPr>
          <w:noProof/>
        </w:rPr>
        <w:tab/>
        <w:t>341</w:t>
      </w:r>
    </w:p>
    <w:p w14:paraId="54F4EFE8" w14:textId="5D416B95"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D.1</w:t>
      </w:r>
      <w:r>
        <w:rPr>
          <w:rFonts w:asciiTheme="minorHAnsi" w:eastAsiaTheme="minorEastAsia" w:hAnsiTheme="minorHAnsi" w:cstheme="minorBidi"/>
          <w:noProof/>
          <w:sz w:val="22"/>
          <w:szCs w:val="22"/>
          <w:lang w:eastAsia="en-AU"/>
        </w:rPr>
        <w:tab/>
      </w:r>
      <w:r>
        <w:rPr>
          <w:noProof/>
        </w:rPr>
        <w:t>Studies that model the efficiency effects of HFE</w:t>
      </w:r>
      <w:r>
        <w:rPr>
          <w:noProof/>
        </w:rPr>
        <w:tab/>
        <w:t>341</w:t>
      </w:r>
    </w:p>
    <w:p w14:paraId="53A46EF2" w14:textId="5EDDDE5D"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D.2</w:t>
      </w:r>
      <w:r>
        <w:rPr>
          <w:rFonts w:asciiTheme="minorHAnsi" w:eastAsiaTheme="minorEastAsia" w:hAnsiTheme="minorHAnsi" w:cstheme="minorBidi"/>
          <w:noProof/>
          <w:sz w:val="22"/>
          <w:szCs w:val="22"/>
          <w:lang w:eastAsia="en-AU"/>
        </w:rPr>
        <w:tab/>
      </w:r>
      <w:r>
        <w:rPr>
          <w:noProof/>
        </w:rPr>
        <w:t>Limitations of the modelling</w:t>
      </w:r>
      <w:r>
        <w:rPr>
          <w:noProof/>
        </w:rPr>
        <w:tab/>
        <w:t>344</w:t>
      </w:r>
    </w:p>
    <w:p w14:paraId="664127AF" w14:textId="6DC6CA3C" w:rsidR="00247C8B" w:rsidRDefault="00247C8B" w:rsidP="00247C8B">
      <w:pPr>
        <w:pStyle w:val="TOC1"/>
        <w:rPr>
          <w:rFonts w:asciiTheme="minorHAnsi" w:eastAsiaTheme="minorEastAsia" w:hAnsiTheme="minorHAnsi" w:cstheme="minorBidi"/>
          <w:b w:val="0"/>
          <w:noProof/>
          <w:sz w:val="22"/>
          <w:szCs w:val="22"/>
          <w:lang w:eastAsia="en-AU"/>
        </w:rPr>
      </w:pPr>
      <w:r>
        <w:rPr>
          <w:noProof/>
        </w:rPr>
        <w:t>E</w:t>
      </w:r>
      <w:r>
        <w:rPr>
          <w:rFonts w:asciiTheme="minorHAnsi" w:eastAsiaTheme="minorEastAsia" w:hAnsiTheme="minorHAnsi" w:cstheme="minorBidi"/>
          <w:b w:val="0"/>
          <w:noProof/>
          <w:sz w:val="22"/>
          <w:szCs w:val="22"/>
          <w:lang w:eastAsia="en-AU"/>
        </w:rPr>
        <w:tab/>
      </w:r>
      <w:r w:rsidRPr="0066023B">
        <w:rPr>
          <w:noProof/>
          <w:spacing w:val="-4"/>
        </w:rPr>
        <w:t>Fiscal equalisation in OECD countries</w:t>
      </w:r>
      <w:r>
        <w:rPr>
          <w:noProof/>
        </w:rPr>
        <w:tab/>
        <w:t>347</w:t>
      </w:r>
    </w:p>
    <w:p w14:paraId="6C9C4262" w14:textId="2F10C9BF"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E.1</w:t>
      </w:r>
      <w:r>
        <w:rPr>
          <w:rFonts w:asciiTheme="minorHAnsi" w:eastAsiaTheme="minorEastAsia" w:hAnsiTheme="minorHAnsi" w:cstheme="minorBidi"/>
          <w:noProof/>
          <w:sz w:val="22"/>
          <w:szCs w:val="22"/>
          <w:lang w:eastAsia="en-AU"/>
        </w:rPr>
        <w:tab/>
      </w:r>
      <w:r>
        <w:rPr>
          <w:noProof/>
        </w:rPr>
        <w:t>Features of fiscal equalisation</w:t>
      </w:r>
      <w:r>
        <w:rPr>
          <w:noProof/>
        </w:rPr>
        <w:tab/>
        <w:t>347</w:t>
      </w:r>
    </w:p>
    <w:p w14:paraId="41AB9353" w14:textId="54CAE15E"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E.2</w:t>
      </w:r>
      <w:r>
        <w:rPr>
          <w:rFonts w:asciiTheme="minorHAnsi" w:eastAsiaTheme="minorEastAsia" w:hAnsiTheme="minorHAnsi" w:cstheme="minorBidi"/>
          <w:noProof/>
          <w:sz w:val="22"/>
          <w:szCs w:val="22"/>
          <w:lang w:eastAsia="en-AU"/>
        </w:rPr>
        <w:tab/>
      </w:r>
      <w:r>
        <w:rPr>
          <w:noProof/>
        </w:rPr>
        <w:t>Lessons from international experience</w:t>
      </w:r>
      <w:r>
        <w:rPr>
          <w:noProof/>
        </w:rPr>
        <w:tab/>
        <w:t>355</w:t>
      </w:r>
    </w:p>
    <w:p w14:paraId="6E3FBC61" w14:textId="018152E7" w:rsidR="00247C8B" w:rsidRDefault="00247C8B" w:rsidP="00247C8B">
      <w:pPr>
        <w:pStyle w:val="TOC1"/>
        <w:rPr>
          <w:rFonts w:asciiTheme="minorHAnsi" w:eastAsiaTheme="minorEastAsia" w:hAnsiTheme="minorHAnsi" w:cstheme="minorBidi"/>
          <w:b w:val="0"/>
          <w:noProof/>
          <w:sz w:val="22"/>
          <w:szCs w:val="22"/>
          <w:lang w:eastAsia="en-AU"/>
        </w:rPr>
      </w:pPr>
      <w:r>
        <w:rPr>
          <w:noProof/>
        </w:rPr>
        <w:t>F</w:t>
      </w:r>
      <w:r>
        <w:rPr>
          <w:rFonts w:asciiTheme="minorHAnsi" w:eastAsiaTheme="minorEastAsia" w:hAnsiTheme="minorHAnsi" w:cstheme="minorBidi"/>
          <w:b w:val="0"/>
          <w:noProof/>
          <w:sz w:val="22"/>
          <w:szCs w:val="22"/>
          <w:lang w:eastAsia="en-AU"/>
        </w:rPr>
        <w:tab/>
      </w:r>
      <w:r>
        <w:rPr>
          <w:noProof/>
        </w:rPr>
        <w:t>Transition analysis</w:t>
      </w:r>
      <w:r>
        <w:rPr>
          <w:noProof/>
        </w:rPr>
        <w:tab/>
        <w:t>359</w:t>
      </w:r>
    </w:p>
    <w:p w14:paraId="1E2ABE4A" w14:textId="5BE19445"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F.1</w:t>
      </w:r>
      <w:r>
        <w:rPr>
          <w:rFonts w:asciiTheme="minorHAnsi" w:eastAsiaTheme="minorEastAsia" w:hAnsiTheme="minorHAnsi" w:cstheme="minorBidi"/>
          <w:noProof/>
          <w:sz w:val="22"/>
          <w:szCs w:val="22"/>
          <w:lang w:eastAsia="en-AU"/>
        </w:rPr>
        <w:tab/>
      </w:r>
      <w:r>
        <w:rPr>
          <w:noProof/>
        </w:rPr>
        <w:t>Transition options and principles</w:t>
      </w:r>
      <w:r>
        <w:rPr>
          <w:noProof/>
        </w:rPr>
        <w:tab/>
        <w:t>359</w:t>
      </w:r>
    </w:p>
    <w:p w14:paraId="68D2E9D5" w14:textId="2BF322CF"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F.2</w:t>
      </w:r>
      <w:r>
        <w:rPr>
          <w:rFonts w:asciiTheme="minorHAnsi" w:eastAsiaTheme="minorEastAsia" w:hAnsiTheme="minorHAnsi" w:cstheme="minorBidi"/>
          <w:noProof/>
          <w:sz w:val="22"/>
          <w:szCs w:val="22"/>
          <w:lang w:eastAsia="en-AU"/>
        </w:rPr>
        <w:tab/>
      </w:r>
      <w:r>
        <w:rPr>
          <w:noProof/>
        </w:rPr>
        <w:t>Assessment methodology, inputs and assumptions</w:t>
      </w:r>
      <w:r>
        <w:rPr>
          <w:noProof/>
        </w:rPr>
        <w:tab/>
        <w:t>360</w:t>
      </w:r>
    </w:p>
    <w:p w14:paraId="7E617F1F" w14:textId="643A2AAB" w:rsidR="00247C8B" w:rsidRDefault="00247C8B" w:rsidP="00247C8B">
      <w:pPr>
        <w:pStyle w:val="TOC2"/>
        <w:tabs>
          <w:tab w:val="left" w:pos="1134"/>
        </w:tabs>
        <w:rPr>
          <w:rFonts w:asciiTheme="minorHAnsi" w:eastAsiaTheme="minorEastAsia" w:hAnsiTheme="minorHAnsi" w:cstheme="minorBidi"/>
          <w:noProof/>
          <w:sz w:val="22"/>
          <w:szCs w:val="22"/>
          <w:lang w:eastAsia="en-AU"/>
        </w:rPr>
      </w:pPr>
      <w:r>
        <w:rPr>
          <w:noProof/>
        </w:rPr>
        <w:t>F.3</w:t>
      </w:r>
      <w:r>
        <w:rPr>
          <w:rFonts w:asciiTheme="minorHAnsi" w:eastAsiaTheme="minorEastAsia" w:hAnsiTheme="minorHAnsi" w:cstheme="minorBidi"/>
          <w:noProof/>
          <w:sz w:val="22"/>
          <w:szCs w:val="22"/>
          <w:lang w:eastAsia="en-AU"/>
        </w:rPr>
        <w:tab/>
      </w:r>
      <w:r>
        <w:rPr>
          <w:noProof/>
        </w:rPr>
        <w:t>Transition results</w:t>
      </w:r>
      <w:r>
        <w:rPr>
          <w:noProof/>
        </w:rPr>
        <w:tab/>
        <w:t>367</w:t>
      </w:r>
    </w:p>
    <w:p w14:paraId="7D56B3EE" w14:textId="357E7512" w:rsidR="00247C8B" w:rsidRDefault="00247C8B" w:rsidP="00247C8B">
      <w:pPr>
        <w:pStyle w:val="TOC2"/>
        <w:tabs>
          <w:tab w:val="left" w:pos="1190"/>
        </w:tabs>
        <w:rPr>
          <w:rFonts w:asciiTheme="minorHAnsi" w:eastAsiaTheme="minorEastAsia" w:hAnsiTheme="minorHAnsi" w:cstheme="minorBidi"/>
          <w:noProof/>
          <w:sz w:val="22"/>
          <w:szCs w:val="22"/>
          <w:lang w:eastAsia="en-AU"/>
        </w:rPr>
      </w:pPr>
      <w:r>
        <w:rPr>
          <w:noProof/>
        </w:rPr>
        <w:t>F.A</w:t>
      </w:r>
      <w:r>
        <w:rPr>
          <w:rFonts w:asciiTheme="minorHAnsi" w:eastAsiaTheme="minorEastAsia" w:hAnsiTheme="minorHAnsi" w:cstheme="minorBidi"/>
          <w:noProof/>
          <w:sz w:val="22"/>
          <w:szCs w:val="22"/>
          <w:lang w:eastAsia="en-AU"/>
        </w:rPr>
        <w:tab/>
      </w:r>
      <w:r>
        <w:rPr>
          <w:noProof/>
        </w:rPr>
        <w:t>Annex: Alternative scenarios for future GST payments</w:t>
      </w:r>
      <w:r>
        <w:rPr>
          <w:noProof/>
        </w:rPr>
        <w:tab/>
        <w:t>380</w:t>
      </w:r>
    </w:p>
    <w:p w14:paraId="780B5F94" w14:textId="1B7F2203" w:rsidR="00247C8B" w:rsidRDefault="00247C8B" w:rsidP="00247C8B">
      <w:pPr>
        <w:pStyle w:val="TOC1"/>
        <w:spacing w:before="360"/>
        <w:rPr>
          <w:noProof/>
        </w:rPr>
      </w:pPr>
      <w:r>
        <w:rPr>
          <w:noProof/>
        </w:rPr>
        <w:t>References</w:t>
      </w:r>
      <w:r>
        <w:rPr>
          <w:noProof/>
        </w:rPr>
        <w:tab/>
        <w:t>393</w:t>
      </w:r>
    </w:p>
    <w:p w14:paraId="3839A817" w14:textId="77777777" w:rsidR="00341944" w:rsidRDefault="00341944" w:rsidP="00341944">
      <w:pPr>
        <w:pStyle w:val="BodyText"/>
      </w:pPr>
    </w:p>
    <w:p w14:paraId="16F25C4A" w14:textId="77777777" w:rsidR="00341944" w:rsidRDefault="00341944" w:rsidP="00341944">
      <w:pPr>
        <w:pStyle w:val="BodyText"/>
        <w:sectPr w:rsidR="00341944" w:rsidSect="006606FA">
          <w:headerReference w:type="even" r:id="rId22"/>
          <w:headerReference w:type="default" r:id="rId23"/>
          <w:footerReference w:type="even" r:id="rId24"/>
          <w:footerReference w:type="default" r:id="rId25"/>
          <w:type w:val="oddPage"/>
          <w:pgSz w:w="11907" w:h="16840" w:code="9"/>
          <w:pgMar w:top="1985" w:right="1304" w:bottom="1247" w:left="1814" w:header="1701" w:footer="397" w:gutter="0"/>
          <w:pgNumType w:fmt="lowerRoman"/>
          <w:cols w:space="720"/>
        </w:sectPr>
      </w:pPr>
    </w:p>
    <w:p w14:paraId="6ACB45DE" w14:textId="77777777" w:rsidR="00341944" w:rsidRDefault="00341944" w:rsidP="00341944">
      <w:pPr>
        <w:pStyle w:val="Heading1"/>
      </w:pPr>
      <w:bookmarkStart w:id="14" w:name="Abbreviations"/>
      <w:bookmarkStart w:id="15" w:name="RDnote"/>
      <w:bookmarkStart w:id="16" w:name="_Toc513547831"/>
      <w:bookmarkStart w:id="17" w:name="_Toc513637673"/>
      <w:bookmarkEnd w:id="14"/>
      <w:bookmarkEnd w:id="15"/>
      <w:r>
        <w:lastRenderedPageBreak/>
        <w:t>Acknowledgments</w:t>
      </w:r>
      <w:bookmarkEnd w:id="16"/>
      <w:bookmarkEnd w:id="17"/>
    </w:p>
    <w:p w14:paraId="13443E54" w14:textId="77777777" w:rsidR="00341944" w:rsidRDefault="00341944" w:rsidP="00341944">
      <w:pPr>
        <w:pStyle w:val="BodyText"/>
        <w:rPr>
          <w:lang w:eastAsia="en-US"/>
        </w:rPr>
      </w:pPr>
      <w:r w:rsidRPr="00B56D12">
        <w:rPr>
          <w:lang w:eastAsia="en-US"/>
        </w:rPr>
        <w:t>The Commission is grateful to the many individuals and organisations who have taken time to contribute to this inquiry, including th</w:t>
      </w:r>
      <w:r>
        <w:rPr>
          <w:lang w:eastAsia="en-US"/>
        </w:rPr>
        <w:t>ose who participated in visits</w:t>
      </w:r>
      <w:r w:rsidRPr="00B56D12">
        <w:rPr>
          <w:lang w:eastAsia="en-US"/>
        </w:rPr>
        <w:t>, public hearings, and provided submissions</w:t>
      </w:r>
      <w:r>
        <w:rPr>
          <w:lang w:eastAsia="en-US"/>
        </w:rPr>
        <w:t>.</w:t>
      </w:r>
    </w:p>
    <w:p w14:paraId="3C17C68D" w14:textId="0FD085CF" w:rsidR="00341944" w:rsidRPr="003B5DBB" w:rsidRDefault="00341944" w:rsidP="00341944">
      <w:pPr>
        <w:pStyle w:val="BodyText"/>
        <w:rPr>
          <w:spacing w:val="-2"/>
          <w:lang w:eastAsia="en-US"/>
        </w:rPr>
      </w:pPr>
      <w:r w:rsidRPr="003B5DBB">
        <w:rPr>
          <w:spacing w:val="-2"/>
          <w:lang w:eastAsia="en-US"/>
        </w:rPr>
        <w:t>In particular, the Commission wishes to thank the staff of the Commonwealth Grants Commission, who reviewed many of the Productivity Commission’s calculations included in this report, and provided data and answers to questions raised during the co</w:t>
      </w:r>
      <w:r w:rsidR="003B5DBB">
        <w:rPr>
          <w:spacing w:val="-2"/>
          <w:lang w:eastAsia="en-US"/>
        </w:rPr>
        <w:t>urse of the inquiry.</w:t>
      </w:r>
    </w:p>
    <w:p w14:paraId="7728E53D" w14:textId="77777777" w:rsidR="00341944" w:rsidRPr="003B5DBB" w:rsidRDefault="00341944" w:rsidP="00341944">
      <w:pPr>
        <w:pStyle w:val="BodyText"/>
        <w:rPr>
          <w:spacing w:val="-2"/>
          <w:lang w:eastAsia="en-US"/>
        </w:rPr>
      </w:pPr>
      <w:r w:rsidRPr="003B5DBB">
        <w:rPr>
          <w:spacing w:val="-2"/>
          <w:lang w:eastAsia="en-US"/>
        </w:rPr>
        <w:t xml:space="preserve">During the course of consultations, the Commission met with the panel members of the 2012 GST Distribution Review — Bruce Carter, the Hon. John Brumby, and the Hon. Nick Greiner — and extends its thanks to these individuals. </w:t>
      </w:r>
    </w:p>
    <w:p w14:paraId="76EF4314" w14:textId="77777777" w:rsidR="00341944" w:rsidRDefault="00341944" w:rsidP="00341944">
      <w:pPr>
        <w:pStyle w:val="BodyText"/>
        <w:rPr>
          <w:lang w:eastAsia="en-US"/>
        </w:rPr>
      </w:pPr>
      <w:r>
        <w:rPr>
          <w:lang w:eastAsia="en-US"/>
        </w:rPr>
        <w:t>The Commission also wishes to thank the Commonwealth Treasury and State and Territory Treasuries for providing data used in this report, as well as the Organisation for Economic Cooperation and Development.</w:t>
      </w:r>
    </w:p>
    <w:p w14:paraId="53ED4216" w14:textId="77777777" w:rsidR="00341944" w:rsidRPr="00A678D3" w:rsidRDefault="00341944" w:rsidP="00341944">
      <w:pPr>
        <w:pStyle w:val="BodyText"/>
        <w:rPr>
          <w:lang w:eastAsia="en-US"/>
        </w:rPr>
      </w:pPr>
      <w:r>
        <w:rPr>
          <w:lang w:eastAsia="en-US"/>
        </w:rPr>
        <w:t>The conclusions and views reached by the Commission on the basis of these data and feedback are those of the Productivity Commission. They should not be attributed to other organisations.</w:t>
      </w:r>
    </w:p>
    <w:p w14:paraId="500D2E84" w14:textId="77777777" w:rsidR="00341944" w:rsidRDefault="00341944" w:rsidP="00341944">
      <w:pPr>
        <w:pStyle w:val="BodyText"/>
        <w:sectPr w:rsidR="00341944" w:rsidSect="006606FA">
          <w:headerReference w:type="even" r:id="rId26"/>
          <w:headerReference w:type="default" r:id="rId27"/>
          <w:footerReference w:type="even" r:id="rId28"/>
          <w:footerReference w:type="default" r:id="rId29"/>
          <w:pgSz w:w="11906" w:h="16838" w:code="9"/>
          <w:pgMar w:top="1985" w:right="1304" w:bottom="1247" w:left="1814" w:header="1701" w:footer="397" w:gutter="0"/>
          <w:pgNumType w:fmt="lowerRoman"/>
          <w:cols w:space="708"/>
          <w:docGrid w:linePitch="360"/>
        </w:sectPr>
      </w:pPr>
    </w:p>
    <w:p w14:paraId="24BE66B4" w14:textId="77777777" w:rsidR="00341944" w:rsidRDefault="00341944" w:rsidP="00341944">
      <w:pPr>
        <w:pStyle w:val="Heading1"/>
      </w:pPr>
      <w:bookmarkStart w:id="18" w:name="EndContents"/>
      <w:bookmarkStart w:id="19" w:name="_Toc513547832"/>
      <w:bookmarkStart w:id="20" w:name="_Toc513637674"/>
      <w:bookmarkEnd w:id="18"/>
      <w:r>
        <w:lastRenderedPageBreak/>
        <w:t>Abbreviations and explanations</w:t>
      </w:r>
      <w:bookmarkEnd w:id="19"/>
      <w:bookmarkEnd w:id="20"/>
    </w:p>
    <w:p w14:paraId="3776DEAF" w14:textId="77777777" w:rsidR="00341944" w:rsidRDefault="00341944" w:rsidP="00341944">
      <w:pPr>
        <w:pStyle w:val="Heading2NotTOC"/>
      </w:pPr>
      <w:r>
        <w:t>Abbrevia</w:t>
      </w:r>
      <w:r w:rsidRPr="00F85393">
        <w:t>t</w:t>
      </w:r>
      <w:r>
        <w:t>ions</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341944" w14:paraId="42F412DC" w14:textId="77777777" w:rsidTr="001113B1">
        <w:trPr>
          <w:tblHeader/>
        </w:trPr>
        <w:tc>
          <w:tcPr>
            <w:tcW w:w="2410" w:type="dxa"/>
          </w:tcPr>
          <w:p w14:paraId="6649AA80" w14:textId="77777777" w:rsidR="00341944" w:rsidRPr="00767C8C" w:rsidRDefault="00341944" w:rsidP="006606FA">
            <w:pPr>
              <w:pStyle w:val="BodyText"/>
              <w:spacing w:before="120"/>
              <w:ind w:right="6"/>
            </w:pPr>
            <w:r w:rsidRPr="00767C8C">
              <w:t>ABS</w:t>
            </w:r>
          </w:p>
        </w:tc>
        <w:tc>
          <w:tcPr>
            <w:tcW w:w="6379" w:type="dxa"/>
          </w:tcPr>
          <w:p w14:paraId="331EE2EB" w14:textId="77777777" w:rsidR="00341944" w:rsidRPr="00767C8C" w:rsidRDefault="00341944" w:rsidP="006606FA">
            <w:pPr>
              <w:pStyle w:val="BodyText"/>
              <w:spacing w:before="120"/>
              <w:ind w:left="227" w:right="6"/>
            </w:pPr>
            <w:r w:rsidRPr="00767C8C">
              <w:t>Australian Bureau of Statistics</w:t>
            </w:r>
          </w:p>
        </w:tc>
      </w:tr>
      <w:tr w:rsidR="00341944" w14:paraId="5C5471C1" w14:textId="77777777" w:rsidTr="006606FA">
        <w:tc>
          <w:tcPr>
            <w:tcW w:w="2410" w:type="dxa"/>
          </w:tcPr>
          <w:p w14:paraId="28845252" w14:textId="77777777" w:rsidR="00341944" w:rsidRPr="00767C8C" w:rsidRDefault="00341944" w:rsidP="006606FA">
            <w:pPr>
              <w:pStyle w:val="BodyText"/>
              <w:spacing w:before="120"/>
              <w:ind w:right="6"/>
            </w:pPr>
            <w:r w:rsidRPr="00767C8C">
              <w:t>ATO</w:t>
            </w:r>
          </w:p>
        </w:tc>
        <w:tc>
          <w:tcPr>
            <w:tcW w:w="6379" w:type="dxa"/>
          </w:tcPr>
          <w:p w14:paraId="7756E9CE" w14:textId="77777777" w:rsidR="00341944" w:rsidRPr="00767C8C" w:rsidRDefault="00341944" w:rsidP="006606FA">
            <w:pPr>
              <w:pStyle w:val="BodyText"/>
              <w:spacing w:before="120"/>
              <w:ind w:left="227" w:right="6"/>
            </w:pPr>
            <w:r w:rsidRPr="00767C8C">
              <w:t>Australian Taxation Office</w:t>
            </w:r>
          </w:p>
        </w:tc>
      </w:tr>
      <w:tr w:rsidR="00341944" w14:paraId="40C39836" w14:textId="77777777" w:rsidTr="006606FA">
        <w:tc>
          <w:tcPr>
            <w:tcW w:w="2410" w:type="dxa"/>
          </w:tcPr>
          <w:p w14:paraId="2E9CE4F0" w14:textId="77777777" w:rsidR="00341944" w:rsidRPr="002005D1" w:rsidRDefault="00341944" w:rsidP="006606FA">
            <w:pPr>
              <w:pStyle w:val="BodyText"/>
              <w:spacing w:before="120"/>
              <w:ind w:right="6"/>
            </w:pPr>
            <w:r w:rsidRPr="002005D1">
              <w:t>CGC</w:t>
            </w:r>
          </w:p>
        </w:tc>
        <w:tc>
          <w:tcPr>
            <w:tcW w:w="6379" w:type="dxa"/>
          </w:tcPr>
          <w:p w14:paraId="54078D46" w14:textId="77777777" w:rsidR="00341944" w:rsidRPr="002005D1" w:rsidRDefault="00341944" w:rsidP="006606FA">
            <w:pPr>
              <w:pStyle w:val="BodyText"/>
              <w:spacing w:before="120"/>
              <w:ind w:left="227" w:right="6"/>
            </w:pPr>
            <w:r w:rsidRPr="002005D1">
              <w:t>Commonwealth Grants Commission</w:t>
            </w:r>
          </w:p>
        </w:tc>
      </w:tr>
      <w:tr w:rsidR="00341944" w14:paraId="652D2A70" w14:textId="77777777" w:rsidTr="006606FA">
        <w:tc>
          <w:tcPr>
            <w:tcW w:w="2410" w:type="dxa"/>
          </w:tcPr>
          <w:p w14:paraId="2AB32B08" w14:textId="77777777" w:rsidR="00341944" w:rsidRPr="002005D1" w:rsidRDefault="00341944" w:rsidP="006606FA">
            <w:pPr>
              <w:pStyle w:val="BodyText"/>
              <w:spacing w:before="120"/>
              <w:ind w:right="6"/>
            </w:pPr>
            <w:r w:rsidRPr="002005D1">
              <w:t>COAG</w:t>
            </w:r>
          </w:p>
        </w:tc>
        <w:tc>
          <w:tcPr>
            <w:tcW w:w="6379" w:type="dxa"/>
          </w:tcPr>
          <w:p w14:paraId="36869C76" w14:textId="77777777" w:rsidR="00341944" w:rsidRPr="002005D1" w:rsidRDefault="00341944" w:rsidP="006606FA">
            <w:pPr>
              <w:pStyle w:val="BodyText"/>
              <w:spacing w:before="120"/>
              <w:ind w:left="227" w:right="6"/>
            </w:pPr>
            <w:r w:rsidRPr="002005D1">
              <w:t xml:space="preserve">Council of Australian Governments </w:t>
            </w:r>
          </w:p>
        </w:tc>
      </w:tr>
      <w:tr w:rsidR="00341944" w14:paraId="4A94BF5B" w14:textId="77777777" w:rsidTr="006606FA">
        <w:tc>
          <w:tcPr>
            <w:tcW w:w="2410" w:type="dxa"/>
          </w:tcPr>
          <w:p w14:paraId="10C20726" w14:textId="77777777" w:rsidR="00341944" w:rsidRPr="002005D1" w:rsidRDefault="00341944" w:rsidP="006606FA">
            <w:pPr>
              <w:pStyle w:val="BodyText"/>
              <w:spacing w:before="120"/>
              <w:ind w:right="6"/>
            </w:pPr>
            <w:r>
              <w:t>ETA</w:t>
            </w:r>
          </w:p>
        </w:tc>
        <w:tc>
          <w:tcPr>
            <w:tcW w:w="6379" w:type="dxa"/>
          </w:tcPr>
          <w:p w14:paraId="7E98E4F6" w14:textId="77777777" w:rsidR="00341944" w:rsidRPr="002005D1" w:rsidRDefault="00341944" w:rsidP="006606FA">
            <w:pPr>
              <w:pStyle w:val="BodyText"/>
              <w:spacing w:before="120"/>
              <w:ind w:left="227" w:right="6"/>
            </w:pPr>
            <w:r>
              <w:t>Equalisation to the average of all States</w:t>
            </w:r>
          </w:p>
        </w:tc>
      </w:tr>
      <w:tr w:rsidR="00341944" w14:paraId="7644D2A6" w14:textId="77777777" w:rsidTr="006606FA">
        <w:tc>
          <w:tcPr>
            <w:tcW w:w="2410" w:type="dxa"/>
          </w:tcPr>
          <w:p w14:paraId="477DE7FD" w14:textId="77777777" w:rsidR="00341944" w:rsidRPr="002005D1" w:rsidRDefault="00341944" w:rsidP="006606FA">
            <w:pPr>
              <w:pStyle w:val="BodyText"/>
              <w:spacing w:before="120"/>
              <w:ind w:right="6"/>
            </w:pPr>
            <w:r w:rsidRPr="002005D1">
              <w:t>EPC</w:t>
            </w:r>
          </w:p>
        </w:tc>
        <w:tc>
          <w:tcPr>
            <w:tcW w:w="6379" w:type="dxa"/>
          </w:tcPr>
          <w:p w14:paraId="4439BE42" w14:textId="77777777" w:rsidR="00341944" w:rsidRPr="002005D1" w:rsidRDefault="00341944" w:rsidP="006606FA">
            <w:pPr>
              <w:pStyle w:val="BodyText"/>
              <w:spacing w:before="120"/>
              <w:ind w:left="227" w:right="6"/>
            </w:pPr>
            <w:r w:rsidRPr="002005D1">
              <w:t>Equal per capita</w:t>
            </w:r>
          </w:p>
        </w:tc>
      </w:tr>
      <w:tr w:rsidR="00341944" w14:paraId="1CC95ED5" w14:textId="77777777" w:rsidTr="006606FA">
        <w:tc>
          <w:tcPr>
            <w:tcW w:w="2410" w:type="dxa"/>
          </w:tcPr>
          <w:p w14:paraId="495220FE" w14:textId="77777777" w:rsidR="00341944" w:rsidRPr="002005D1" w:rsidRDefault="00341944" w:rsidP="006606FA">
            <w:pPr>
              <w:pStyle w:val="BodyText"/>
              <w:spacing w:before="120"/>
              <w:ind w:right="6"/>
            </w:pPr>
            <w:r>
              <w:t>ESSS</w:t>
            </w:r>
          </w:p>
        </w:tc>
        <w:tc>
          <w:tcPr>
            <w:tcW w:w="6379" w:type="dxa"/>
          </w:tcPr>
          <w:p w14:paraId="6EC87F52" w14:textId="77777777" w:rsidR="00341944" w:rsidRPr="002005D1" w:rsidRDefault="00341944" w:rsidP="006606FA">
            <w:pPr>
              <w:pStyle w:val="BodyText"/>
              <w:spacing w:before="120"/>
              <w:ind w:left="227" w:right="6"/>
            </w:pPr>
            <w:r>
              <w:t>Equalisation to the Second Strongest State</w:t>
            </w:r>
          </w:p>
        </w:tc>
      </w:tr>
      <w:tr w:rsidR="00341944" w14:paraId="6DD26A2B" w14:textId="77777777" w:rsidTr="006606FA">
        <w:tc>
          <w:tcPr>
            <w:tcW w:w="2410" w:type="dxa"/>
          </w:tcPr>
          <w:p w14:paraId="7447D689" w14:textId="77777777" w:rsidR="00341944" w:rsidRPr="005C42D9" w:rsidRDefault="00341944" w:rsidP="006606FA">
            <w:pPr>
              <w:pStyle w:val="BodyText"/>
              <w:spacing w:before="120"/>
              <w:ind w:right="6"/>
              <w:rPr>
                <w:color w:val="000000" w:themeColor="text1"/>
              </w:rPr>
            </w:pPr>
            <w:r w:rsidRPr="005C42D9">
              <w:rPr>
                <w:color w:val="000000" w:themeColor="text1"/>
              </w:rPr>
              <w:t>GDI</w:t>
            </w:r>
          </w:p>
        </w:tc>
        <w:tc>
          <w:tcPr>
            <w:tcW w:w="6379" w:type="dxa"/>
          </w:tcPr>
          <w:p w14:paraId="02FE38B7" w14:textId="77777777" w:rsidR="00341944" w:rsidRPr="005C42D9" w:rsidRDefault="00341944" w:rsidP="006606FA">
            <w:pPr>
              <w:pStyle w:val="BodyText"/>
              <w:spacing w:before="120"/>
              <w:ind w:left="227" w:right="6"/>
              <w:rPr>
                <w:color w:val="000000" w:themeColor="text1"/>
              </w:rPr>
            </w:pPr>
            <w:r w:rsidRPr="005C42D9">
              <w:rPr>
                <w:color w:val="000000" w:themeColor="text1"/>
              </w:rPr>
              <w:t>Gross disposable income</w:t>
            </w:r>
          </w:p>
        </w:tc>
      </w:tr>
      <w:tr w:rsidR="00341944" w14:paraId="688BAE3E" w14:textId="77777777" w:rsidTr="006606FA">
        <w:tc>
          <w:tcPr>
            <w:tcW w:w="2410" w:type="dxa"/>
          </w:tcPr>
          <w:p w14:paraId="3C3FDB7A" w14:textId="77777777" w:rsidR="00341944" w:rsidRPr="005C42D9" w:rsidRDefault="00341944" w:rsidP="006606FA">
            <w:pPr>
              <w:pStyle w:val="BodyText"/>
              <w:spacing w:before="120"/>
              <w:ind w:right="6"/>
              <w:rPr>
                <w:color w:val="000000" w:themeColor="text1"/>
              </w:rPr>
            </w:pPr>
            <w:r w:rsidRPr="005C42D9">
              <w:rPr>
                <w:color w:val="000000" w:themeColor="text1"/>
              </w:rPr>
              <w:t>GDP</w:t>
            </w:r>
          </w:p>
        </w:tc>
        <w:tc>
          <w:tcPr>
            <w:tcW w:w="6379" w:type="dxa"/>
          </w:tcPr>
          <w:p w14:paraId="78D3986E" w14:textId="77777777" w:rsidR="00341944" w:rsidRPr="005C42D9" w:rsidRDefault="00341944" w:rsidP="006606FA">
            <w:pPr>
              <w:pStyle w:val="BodyText"/>
              <w:spacing w:before="120"/>
              <w:ind w:left="227" w:right="6"/>
              <w:rPr>
                <w:color w:val="000000" w:themeColor="text1"/>
              </w:rPr>
            </w:pPr>
            <w:r w:rsidRPr="005C42D9">
              <w:rPr>
                <w:color w:val="000000" w:themeColor="text1"/>
              </w:rPr>
              <w:t>Gross domestic product</w:t>
            </w:r>
          </w:p>
        </w:tc>
      </w:tr>
      <w:tr w:rsidR="00341944" w14:paraId="77B9D066" w14:textId="77777777" w:rsidTr="006606FA">
        <w:tc>
          <w:tcPr>
            <w:tcW w:w="2410" w:type="dxa"/>
          </w:tcPr>
          <w:p w14:paraId="51A86B25" w14:textId="77777777" w:rsidR="00341944" w:rsidRPr="005C42D9" w:rsidRDefault="00341944" w:rsidP="006606FA">
            <w:pPr>
              <w:pStyle w:val="BodyText"/>
              <w:spacing w:before="120"/>
              <w:ind w:right="6"/>
              <w:rPr>
                <w:color w:val="000000" w:themeColor="text1"/>
              </w:rPr>
            </w:pPr>
            <w:r w:rsidRPr="005C42D9">
              <w:rPr>
                <w:color w:val="000000" w:themeColor="text1"/>
              </w:rPr>
              <w:t>GSP</w:t>
            </w:r>
          </w:p>
        </w:tc>
        <w:tc>
          <w:tcPr>
            <w:tcW w:w="6379" w:type="dxa"/>
          </w:tcPr>
          <w:p w14:paraId="4523567D" w14:textId="77777777" w:rsidR="00341944" w:rsidRPr="005C42D9" w:rsidRDefault="00341944" w:rsidP="006606FA">
            <w:pPr>
              <w:pStyle w:val="BodyText"/>
              <w:spacing w:before="120"/>
              <w:ind w:left="227" w:right="6"/>
              <w:rPr>
                <w:color w:val="000000" w:themeColor="text1"/>
              </w:rPr>
            </w:pPr>
            <w:r w:rsidRPr="005C42D9">
              <w:rPr>
                <w:color w:val="000000" w:themeColor="text1"/>
              </w:rPr>
              <w:t>Gross state product</w:t>
            </w:r>
          </w:p>
        </w:tc>
      </w:tr>
      <w:tr w:rsidR="00341944" w14:paraId="7A447424" w14:textId="77777777" w:rsidTr="006606FA">
        <w:tc>
          <w:tcPr>
            <w:tcW w:w="2410" w:type="dxa"/>
          </w:tcPr>
          <w:p w14:paraId="2E7CD4D6" w14:textId="77777777" w:rsidR="00341944" w:rsidRPr="009A49A1" w:rsidRDefault="00341944" w:rsidP="006606FA">
            <w:pPr>
              <w:pStyle w:val="BodyText"/>
              <w:spacing w:before="120"/>
              <w:ind w:right="6"/>
            </w:pPr>
            <w:r w:rsidRPr="009A49A1">
              <w:t>GST</w:t>
            </w:r>
          </w:p>
        </w:tc>
        <w:tc>
          <w:tcPr>
            <w:tcW w:w="6379" w:type="dxa"/>
          </w:tcPr>
          <w:p w14:paraId="05FDF248" w14:textId="77777777" w:rsidR="00341944" w:rsidRPr="009A49A1" w:rsidRDefault="00341944" w:rsidP="006606FA">
            <w:pPr>
              <w:pStyle w:val="BodyText"/>
              <w:spacing w:before="120"/>
              <w:ind w:left="227" w:right="6"/>
            </w:pPr>
            <w:r w:rsidRPr="009A49A1">
              <w:t>Goods and services tax</w:t>
            </w:r>
          </w:p>
        </w:tc>
      </w:tr>
      <w:tr w:rsidR="00341944" w14:paraId="53CB037F" w14:textId="77777777" w:rsidTr="006606FA">
        <w:tc>
          <w:tcPr>
            <w:tcW w:w="2410" w:type="dxa"/>
          </w:tcPr>
          <w:p w14:paraId="2F288DED" w14:textId="77777777" w:rsidR="00341944" w:rsidRPr="0022515F" w:rsidRDefault="00341944" w:rsidP="006606FA">
            <w:pPr>
              <w:pStyle w:val="BodyText"/>
              <w:spacing w:before="120"/>
              <w:ind w:right="6"/>
            </w:pPr>
            <w:r w:rsidRPr="0022515F">
              <w:t>HFE</w:t>
            </w:r>
          </w:p>
        </w:tc>
        <w:tc>
          <w:tcPr>
            <w:tcW w:w="6379" w:type="dxa"/>
          </w:tcPr>
          <w:p w14:paraId="41D998E3" w14:textId="77777777" w:rsidR="00341944" w:rsidRPr="0022515F" w:rsidRDefault="00341944" w:rsidP="006606FA">
            <w:pPr>
              <w:pStyle w:val="BodyText"/>
              <w:spacing w:before="120"/>
              <w:ind w:left="227" w:right="6"/>
            </w:pPr>
            <w:r w:rsidRPr="0022515F">
              <w:t>Horizontal fiscal equalisation</w:t>
            </w:r>
          </w:p>
        </w:tc>
      </w:tr>
      <w:tr w:rsidR="00341944" w14:paraId="7108F83A" w14:textId="77777777" w:rsidTr="006606FA">
        <w:tc>
          <w:tcPr>
            <w:tcW w:w="2410" w:type="dxa"/>
          </w:tcPr>
          <w:p w14:paraId="2E520078" w14:textId="77777777" w:rsidR="00341944" w:rsidRPr="0022515F" w:rsidRDefault="00341944" w:rsidP="006606FA">
            <w:pPr>
              <w:pStyle w:val="BodyText"/>
              <w:spacing w:before="120"/>
              <w:ind w:right="6"/>
            </w:pPr>
            <w:r>
              <w:t>IGAFFR</w:t>
            </w:r>
          </w:p>
        </w:tc>
        <w:tc>
          <w:tcPr>
            <w:tcW w:w="6379" w:type="dxa"/>
          </w:tcPr>
          <w:p w14:paraId="1AE8D390" w14:textId="77777777" w:rsidR="00341944" w:rsidRPr="0022515F" w:rsidRDefault="00341944" w:rsidP="006606FA">
            <w:pPr>
              <w:pStyle w:val="BodyText"/>
              <w:spacing w:before="120"/>
              <w:ind w:left="227" w:right="6"/>
            </w:pPr>
            <w:r>
              <w:t>Intergovernmental Agreement on Federal Financial Relations</w:t>
            </w:r>
          </w:p>
        </w:tc>
      </w:tr>
      <w:tr w:rsidR="00341944" w14:paraId="6DF52F18" w14:textId="77777777" w:rsidTr="006606FA">
        <w:tc>
          <w:tcPr>
            <w:tcW w:w="2410" w:type="dxa"/>
          </w:tcPr>
          <w:p w14:paraId="0027BCC4" w14:textId="77777777" w:rsidR="00341944" w:rsidRPr="00381C96" w:rsidRDefault="00341944" w:rsidP="006606FA">
            <w:pPr>
              <w:pStyle w:val="BodyText"/>
              <w:spacing w:before="120"/>
              <w:ind w:right="6"/>
            </w:pPr>
            <w:r>
              <w:t>MYEFO</w:t>
            </w:r>
          </w:p>
        </w:tc>
        <w:tc>
          <w:tcPr>
            <w:tcW w:w="6379" w:type="dxa"/>
          </w:tcPr>
          <w:p w14:paraId="0F8149B4" w14:textId="77777777" w:rsidR="00341944" w:rsidRPr="00381C96" w:rsidRDefault="00341944" w:rsidP="006606FA">
            <w:pPr>
              <w:pStyle w:val="BodyText"/>
              <w:spacing w:before="120"/>
              <w:ind w:left="227" w:right="6"/>
            </w:pPr>
            <w:r>
              <w:t>Mid-Year Economic and Fiscal Outlook</w:t>
            </w:r>
          </w:p>
        </w:tc>
      </w:tr>
      <w:tr w:rsidR="00341944" w14:paraId="2C1D9603" w14:textId="77777777" w:rsidTr="006606FA">
        <w:tc>
          <w:tcPr>
            <w:tcW w:w="2410" w:type="dxa"/>
          </w:tcPr>
          <w:p w14:paraId="721C9678" w14:textId="77777777" w:rsidR="00341944" w:rsidRPr="00381C96" w:rsidRDefault="00341944" w:rsidP="006606FA">
            <w:pPr>
              <w:pStyle w:val="BodyText"/>
              <w:spacing w:before="120"/>
              <w:ind w:right="6"/>
            </w:pPr>
            <w:r w:rsidRPr="00381C96">
              <w:t>NCOA</w:t>
            </w:r>
          </w:p>
        </w:tc>
        <w:tc>
          <w:tcPr>
            <w:tcW w:w="6379" w:type="dxa"/>
          </w:tcPr>
          <w:p w14:paraId="4DC57B72" w14:textId="77777777" w:rsidR="00341944" w:rsidRPr="00381C96" w:rsidRDefault="00341944" w:rsidP="006606FA">
            <w:pPr>
              <w:pStyle w:val="BodyText"/>
              <w:spacing w:before="120"/>
              <w:ind w:left="227" w:right="6"/>
            </w:pPr>
            <w:r w:rsidRPr="00381C96">
              <w:t>National Commission of Audit</w:t>
            </w:r>
          </w:p>
        </w:tc>
      </w:tr>
      <w:tr w:rsidR="00341944" w14:paraId="672CA490" w14:textId="77777777" w:rsidTr="006606FA">
        <w:tc>
          <w:tcPr>
            <w:tcW w:w="2410" w:type="dxa"/>
          </w:tcPr>
          <w:p w14:paraId="0610C384" w14:textId="77777777" w:rsidR="00341944" w:rsidRPr="00870B92" w:rsidRDefault="00341944" w:rsidP="006606FA">
            <w:pPr>
              <w:pStyle w:val="BodyText"/>
              <w:spacing w:before="120"/>
              <w:ind w:right="6"/>
            </w:pPr>
            <w:r w:rsidRPr="00870B92">
              <w:t>OECD</w:t>
            </w:r>
          </w:p>
        </w:tc>
        <w:tc>
          <w:tcPr>
            <w:tcW w:w="6379" w:type="dxa"/>
          </w:tcPr>
          <w:p w14:paraId="4C294AF0" w14:textId="77777777" w:rsidR="00341944" w:rsidRPr="00870B92" w:rsidRDefault="00341944" w:rsidP="006606FA">
            <w:pPr>
              <w:pStyle w:val="BodyText"/>
              <w:spacing w:before="120"/>
              <w:ind w:left="227" w:right="6"/>
            </w:pPr>
            <w:r w:rsidRPr="00870B92">
              <w:t xml:space="preserve">Organisation for Economic Cooperation and Development </w:t>
            </w:r>
          </w:p>
        </w:tc>
      </w:tr>
      <w:tr w:rsidR="00341944" w14:paraId="2C26BB9B" w14:textId="77777777" w:rsidTr="006606FA">
        <w:tc>
          <w:tcPr>
            <w:tcW w:w="2410" w:type="dxa"/>
          </w:tcPr>
          <w:p w14:paraId="36B21E2D" w14:textId="77777777" w:rsidR="00341944" w:rsidRPr="00870B92" w:rsidRDefault="00341944" w:rsidP="006606FA">
            <w:pPr>
              <w:pStyle w:val="BodyText"/>
              <w:spacing w:before="120"/>
              <w:ind w:right="6"/>
            </w:pPr>
            <w:r w:rsidRPr="00870B92">
              <w:t>PBO</w:t>
            </w:r>
          </w:p>
        </w:tc>
        <w:tc>
          <w:tcPr>
            <w:tcW w:w="6379" w:type="dxa"/>
          </w:tcPr>
          <w:p w14:paraId="6A3C7378" w14:textId="77777777" w:rsidR="00341944" w:rsidRPr="00870B92" w:rsidRDefault="00341944" w:rsidP="006606FA">
            <w:pPr>
              <w:pStyle w:val="BodyText"/>
              <w:spacing w:before="120"/>
              <w:ind w:left="227" w:right="6"/>
            </w:pPr>
            <w:r w:rsidRPr="00870B92">
              <w:t>Parliamentary Budget Office</w:t>
            </w:r>
          </w:p>
        </w:tc>
      </w:tr>
      <w:tr w:rsidR="00341944" w14:paraId="5CA4561E" w14:textId="77777777" w:rsidTr="006606FA">
        <w:tc>
          <w:tcPr>
            <w:tcW w:w="2410" w:type="dxa"/>
          </w:tcPr>
          <w:p w14:paraId="64F7EA32" w14:textId="77777777" w:rsidR="00341944" w:rsidRPr="00870B92" w:rsidRDefault="00341944" w:rsidP="006606FA">
            <w:pPr>
              <w:pStyle w:val="BodyText"/>
              <w:spacing w:before="120"/>
              <w:ind w:right="6"/>
            </w:pPr>
            <w:r w:rsidRPr="00870B92">
              <w:t>PC</w:t>
            </w:r>
          </w:p>
        </w:tc>
        <w:tc>
          <w:tcPr>
            <w:tcW w:w="6379" w:type="dxa"/>
          </w:tcPr>
          <w:p w14:paraId="15E0658C" w14:textId="77777777" w:rsidR="00341944" w:rsidRPr="00870B92" w:rsidRDefault="00341944" w:rsidP="006606FA">
            <w:pPr>
              <w:pStyle w:val="BodyText"/>
              <w:spacing w:before="120"/>
              <w:ind w:left="227" w:right="6"/>
            </w:pPr>
            <w:r w:rsidRPr="00870B92">
              <w:t>Productivity Commission</w:t>
            </w:r>
          </w:p>
        </w:tc>
      </w:tr>
      <w:tr w:rsidR="00341944" w14:paraId="1615BF58" w14:textId="77777777" w:rsidTr="006606FA">
        <w:tc>
          <w:tcPr>
            <w:tcW w:w="2410" w:type="dxa"/>
          </w:tcPr>
          <w:p w14:paraId="2788A7D3" w14:textId="77777777" w:rsidR="00341944" w:rsidRPr="00870B92" w:rsidRDefault="00341944" w:rsidP="006606FA">
            <w:pPr>
              <w:pStyle w:val="BodyText"/>
              <w:spacing w:before="120"/>
              <w:ind w:right="6"/>
            </w:pPr>
            <w:r w:rsidRPr="00870B92">
              <w:t>RBA</w:t>
            </w:r>
          </w:p>
        </w:tc>
        <w:tc>
          <w:tcPr>
            <w:tcW w:w="6379" w:type="dxa"/>
          </w:tcPr>
          <w:p w14:paraId="409B04D9" w14:textId="77777777" w:rsidR="00341944" w:rsidRPr="00870B92" w:rsidRDefault="00341944" w:rsidP="006606FA">
            <w:pPr>
              <w:pStyle w:val="BodyText"/>
              <w:spacing w:before="120"/>
              <w:ind w:left="227" w:right="6"/>
            </w:pPr>
            <w:r w:rsidRPr="00870B92">
              <w:t>Reserve Bank of Australia</w:t>
            </w:r>
          </w:p>
        </w:tc>
      </w:tr>
      <w:tr w:rsidR="00341944" w14:paraId="320BE4A6" w14:textId="77777777" w:rsidTr="006606FA">
        <w:tc>
          <w:tcPr>
            <w:tcW w:w="2410" w:type="dxa"/>
          </w:tcPr>
          <w:p w14:paraId="5B5A4385" w14:textId="77777777" w:rsidR="00341944" w:rsidRPr="00870B92" w:rsidRDefault="00341944" w:rsidP="006606FA">
            <w:pPr>
              <w:pStyle w:val="BodyText"/>
              <w:spacing w:before="120"/>
              <w:ind w:right="6"/>
            </w:pPr>
            <w:r w:rsidRPr="00870B92">
              <w:t>SPP</w:t>
            </w:r>
          </w:p>
        </w:tc>
        <w:tc>
          <w:tcPr>
            <w:tcW w:w="6379" w:type="dxa"/>
          </w:tcPr>
          <w:p w14:paraId="30DD3A22" w14:textId="77777777" w:rsidR="00341944" w:rsidRPr="00870B92" w:rsidRDefault="00341944" w:rsidP="006606FA">
            <w:pPr>
              <w:pStyle w:val="BodyText"/>
              <w:spacing w:before="120"/>
              <w:ind w:left="227" w:right="6"/>
            </w:pPr>
            <w:r w:rsidRPr="00870B92">
              <w:t>Specific Purpose Payment</w:t>
            </w:r>
          </w:p>
        </w:tc>
      </w:tr>
      <w:tr w:rsidR="00341944" w14:paraId="0792B332" w14:textId="77777777" w:rsidTr="006606FA">
        <w:tc>
          <w:tcPr>
            <w:tcW w:w="2410" w:type="dxa"/>
          </w:tcPr>
          <w:p w14:paraId="0D4F73EC" w14:textId="77777777" w:rsidR="00341944" w:rsidRPr="00870B92" w:rsidRDefault="00341944" w:rsidP="006606FA">
            <w:pPr>
              <w:pStyle w:val="BodyText"/>
              <w:spacing w:before="120"/>
              <w:ind w:right="6"/>
            </w:pPr>
            <w:r w:rsidRPr="00870B92">
              <w:t>VFI</w:t>
            </w:r>
          </w:p>
        </w:tc>
        <w:tc>
          <w:tcPr>
            <w:tcW w:w="6379" w:type="dxa"/>
          </w:tcPr>
          <w:p w14:paraId="3C1EE061" w14:textId="77777777" w:rsidR="00341944" w:rsidRPr="00870B92" w:rsidRDefault="00341944" w:rsidP="006606FA">
            <w:pPr>
              <w:pStyle w:val="BodyText"/>
              <w:spacing w:before="120"/>
              <w:ind w:left="227" w:right="6"/>
            </w:pPr>
            <w:r w:rsidRPr="00870B92">
              <w:t xml:space="preserve">Vertical fiscal imbalance </w:t>
            </w:r>
          </w:p>
        </w:tc>
      </w:tr>
    </w:tbl>
    <w:p w14:paraId="21F1435B" w14:textId="77777777" w:rsidR="00341944" w:rsidRDefault="00341944" w:rsidP="00341944">
      <w:pPr>
        <w:pStyle w:val="Heading2NotTOC"/>
        <w:spacing w:before="360"/>
      </w:pPr>
      <w:r>
        <w:t>Explanations</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341944" w14:paraId="2AF043CD" w14:textId="77777777" w:rsidTr="001113B1">
        <w:trPr>
          <w:tblHeader/>
        </w:trPr>
        <w:tc>
          <w:tcPr>
            <w:tcW w:w="2410" w:type="dxa"/>
          </w:tcPr>
          <w:p w14:paraId="3FB1CAC2" w14:textId="77777777" w:rsidR="00341944" w:rsidRDefault="00341944" w:rsidP="006606FA">
            <w:pPr>
              <w:pStyle w:val="BodyText"/>
              <w:spacing w:before="120"/>
              <w:ind w:right="6"/>
            </w:pPr>
            <w:r>
              <w:t>Billion</w:t>
            </w:r>
          </w:p>
        </w:tc>
        <w:tc>
          <w:tcPr>
            <w:tcW w:w="6379" w:type="dxa"/>
          </w:tcPr>
          <w:p w14:paraId="22BC4002" w14:textId="77777777" w:rsidR="00341944" w:rsidRDefault="00341944" w:rsidP="006606FA">
            <w:pPr>
              <w:pStyle w:val="BodyText"/>
              <w:spacing w:before="120"/>
              <w:ind w:left="227" w:right="6"/>
            </w:pPr>
            <w:r>
              <w:t>The convention used for a billion is a thousand million (10</w:t>
            </w:r>
            <w:r>
              <w:rPr>
                <w:position w:val="6"/>
                <w:sz w:val="22"/>
              </w:rPr>
              <w:t>9</w:t>
            </w:r>
            <w:r>
              <w:t>).</w:t>
            </w:r>
          </w:p>
        </w:tc>
      </w:tr>
      <w:tr w:rsidR="00341944" w14:paraId="58322659" w14:textId="77777777" w:rsidTr="006606FA">
        <w:tc>
          <w:tcPr>
            <w:tcW w:w="2410" w:type="dxa"/>
          </w:tcPr>
          <w:p w14:paraId="5E65D65A" w14:textId="77777777" w:rsidR="00341944" w:rsidRDefault="00341944" w:rsidP="006606FA">
            <w:pPr>
              <w:pStyle w:val="BodyText"/>
              <w:spacing w:before="120"/>
              <w:ind w:right="6"/>
            </w:pPr>
            <w:r>
              <w:t>States</w:t>
            </w:r>
          </w:p>
        </w:tc>
        <w:tc>
          <w:tcPr>
            <w:tcW w:w="6379" w:type="dxa"/>
          </w:tcPr>
          <w:p w14:paraId="03DD3475" w14:textId="77777777" w:rsidR="00341944" w:rsidRDefault="00341944" w:rsidP="006606FA">
            <w:pPr>
              <w:pStyle w:val="BodyText"/>
              <w:spacing w:before="120"/>
              <w:ind w:left="227" w:right="6"/>
            </w:pPr>
            <w:r>
              <w:t xml:space="preserve">Unless otherwise specified, this refers to the six States and two Territories of Australia </w:t>
            </w:r>
          </w:p>
        </w:tc>
      </w:tr>
    </w:tbl>
    <w:p w14:paraId="16F606DE" w14:textId="77777777" w:rsidR="00341944" w:rsidRPr="00A07354" w:rsidRDefault="00341944" w:rsidP="00341944">
      <w:pPr>
        <w:pStyle w:val="BodyText"/>
        <w:sectPr w:rsidR="00341944" w:rsidRPr="00A07354" w:rsidSect="006606FA">
          <w:headerReference w:type="even" r:id="rId30"/>
          <w:headerReference w:type="default" r:id="rId31"/>
          <w:footerReference w:type="even" r:id="rId32"/>
          <w:footerReference w:type="default" r:id="rId33"/>
          <w:pgSz w:w="11907" w:h="16840" w:code="9"/>
          <w:pgMar w:top="1332" w:right="1304" w:bottom="1247" w:left="1814" w:header="1701" w:footer="397" w:gutter="0"/>
          <w:pgNumType w:fmt="lowerRoman"/>
          <w:cols w:space="720"/>
        </w:sectPr>
      </w:pPr>
      <w:bookmarkStart w:id="21" w:name="Glossary"/>
      <w:bookmarkEnd w:id="21"/>
    </w:p>
    <w:p w14:paraId="777220A7" w14:textId="77777777" w:rsidR="00341944" w:rsidRDefault="00341944" w:rsidP="00341944">
      <w:pPr>
        <w:pStyle w:val="Heading1"/>
      </w:pPr>
      <w:bookmarkStart w:id="22" w:name="_Toc513637675"/>
      <w:r w:rsidRPr="002408E8">
        <w:lastRenderedPageBreak/>
        <w:t>Glossary</w:t>
      </w:r>
      <w:bookmarkEnd w:id="22"/>
    </w:p>
    <w:p w14:paraId="705B94BC" w14:textId="77777777" w:rsidR="00341944" w:rsidRDefault="00341944" w:rsidP="00341944">
      <w:pPr>
        <w:pStyle w:val="BodyText"/>
        <w:spacing w:before="600" w:after="240"/>
      </w:pPr>
      <w:r>
        <w:rPr>
          <w:i/>
          <w:lang w:eastAsia="en-US"/>
        </w:rPr>
        <w:t>Note: the terms in this glossary are defined with respect to their application to an Australian context, and hence may differ from international usage.</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table for design layout "/>
      </w:tblPr>
      <w:tblGrid>
        <w:gridCol w:w="2141"/>
        <w:gridCol w:w="6648"/>
      </w:tblGrid>
      <w:tr w:rsidR="00341944" w14:paraId="70482EA5" w14:textId="77777777" w:rsidTr="006606FA">
        <w:trPr>
          <w:tblHeader/>
        </w:trPr>
        <w:tc>
          <w:tcPr>
            <w:tcW w:w="2141" w:type="dxa"/>
          </w:tcPr>
          <w:p w14:paraId="0465EA0F" w14:textId="77777777" w:rsidR="00341944" w:rsidRDefault="00341944" w:rsidP="006606FA">
            <w:pPr>
              <w:pStyle w:val="BodyText"/>
              <w:jc w:val="left"/>
            </w:pPr>
            <w:r>
              <w:t>Disability</w:t>
            </w:r>
          </w:p>
        </w:tc>
        <w:tc>
          <w:tcPr>
            <w:tcW w:w="6648" w:type="dxa"/>
          </w:tcPr>
          <w:p w14:paraId="54D0FB5E" w14:textId="77777777" w:rsidR="00341944" w:rsidRDefault="00341944" w:rsidP="006606FA">
            <w:pPr>
              <w:pStyle w:val="BodyText"/>
            </w:pPr>
            <w:r>
              <w:t>An influence beyond the control of a State that results in it having to either: spend more per capita than average to provide the average level of service (cost disability); provide certain services to a higher proportion of its citizens than average (use disability); or make a greater effort than average to raise the average amount of revenue per capita (revenue disability).</w:t>
            </w:r>
          </w:p>
        </w:tc>
      </w:tr>
      <w:tr w:rsidR="00341944" w14:paraId="77A2D8CA" w14:textId="77777777" w:rsidTr="006606FA">
        <w:tc>
          <w:tcPr>
            <w:tcW w:w="2141" w:type="dxa"/>
          </w:tcPr>
          <w:p w14:paraId="1C32668E" w14:textId="77777777" w:rsidR="00341944" w:rsidRDefault="00341944" w:rsidP="006606FA">
            <w:pPr>
              <w:pStyle w:val="BodyText"/>
              <w:jc w:val="left"/>
            </w:pPr>
            <w:r>
              <w:t>Discounting</w:t>
            </w:r>
          </w:p>
        </w:tc>
        <w:tc>
          <w:tcPr>
            <w:tcW w:w="6648" w:type="dxa"/>
          </w:tcPr>
          <w:p w14:paraId="54951DBE" w14:textId="77777777" w:rsidR="00341944" w:rsidRDefault="00341944" w:rsidP="006606FA">
            <w:pPr>
              <w:pStyle w:val="BodyText"/>
            </w:pPr>
            <w:r>
              <w:t>A reduction in the value of a revenue or expenditure item for the purpose of a fiscal capacity assessment (for example, where the Commonwealth Grants Commission only includes 50 per cent of the actual value of a Commonwealth payment in a State’s assessed total revenue). A discount factor will most often be applied where a conceptual case has been established for including a disability or revenue stream in a category, but measurement is affected by imperfect data or methods, or the measurement may not be policy neutral.</w:t>
            </w:r>
          </w:p>
        </w:tc>
      </w:tr>
      <w:tr w:rsidR="00341944" w14:paraId="74113679" w14:textId="77777777" w:rsidTr="006606FA">
        <w:tc>
          <w:tcPr>
            <w:tcW w:w="2141" w:type="dxa"/>
          </w:tcPr>
          <w:p w14:paraId="3D63A443" w14:textId="77777777" w:rsidR="00341944" w:rsidRDefault="00341944" w:rsidP="006606FA">
            <w:pPr>
              <w:pStyle w:val="BodyText"/>
              <w:jc w:val="left"/>
            </w:pPr>
            <w:r>
              <w:t>Equal per capita distribution</w:t>
            </w:r>
          </w:p>
        </w:tc>
        <w:tc>
          <w:tcPr>
            <w:tcW w:w="6648" w:type="dxa"/>
          </w:tcPr>
          <w:p w14:paraId="32A160F4" w14:textId="77777777" w:rsidR="00341944" w:rsidRDefault="00341944" w:rsidP="006606FA">
            <w:pPr>
              <w:pStyle w:val="BodyText"/>
            </w:pPr>
            <w:r>
              <w:t>A GST distribution in which all States receive an equal amount of GST revenue per person.</w:t>
            </w:r>
          </w:p>
        </w:tc>
      </w:tr>
      <w:tr w:rsidR="00341944" w14:paraId="538001BC" w14:textId="77777777" w:rsidTr="006606FA">
        <w:tc>
          <w:tcPr>
            <w:tcW w:w="2141" w:type="dxa"/>
          </w:tcPr>
          <w:p w14:paraId="5363A4E2" w14:textId="77777777" w:rsidR="00341944" w:rsidRDefault="00341944" w:rsidP="006606FA">
            <w:pPr>
              <w:pStyle w:val="BodyText"/>
              <w:jc w:val="left"/>
            </w:pPr>
            <w:r>
              <w:t>Fiscal capacity</w:t>
            </w:r>
          </w:p>
        </w:tc>
        <w:tc>
          <w:tcPr>
            <w:tcW w:w="6648" w:type="dxa"/>
          </w:tcPr>
          <w:p w14:paraId="30B965B8" w14:textId="77777777" w:rsidR="00341944" w:rsidRDefault="00341944" w:rsidP="006606FA">
            <w:pPr>
              <w:pStyle w:val="BodyText"/>
            </w:pPr>
            <w:r>
              <w:t xml:space="preserve">The ability of a State to fund public services and infrastructure for its residents (that is, whether its revenues are adequate to finance its necessary expenses), assuming it makes the average effort to raise revenue and operates at the average level of efficiency when differences in revenue streams, demographics, and costs are adjusted for. </w:t>
            </w:r>
          </w:p>
        </w:tc>
      </w:tr>
      <w:tr w:rsidR="00341944" w14:paraId="6BEAAC62" w14:textId="77777777" w:rsidTr="006606FA">
        <w:tc>
          <w:tcPr>
            <w:tcW w:w="2141" w:type="dxa"/>
          </w:tcPr>
          <w:p w14:paraId="70CF647B" w14:textId="77777777" w:rsidR="00341944" w:rsidRDefault="00341944" w:rsidP="006606FA">
            <w:pPr>
              <w:pStyle w:val="BodyText"/>
              <w:jc w:val="left"/>
            </w:pPr>
            <w:r>
              <w:br w:type="page"/>
              <w:t>General revenue assistance</w:t>
            </w:r>
          </w:p>
        </w:tc>
        <w:tc>
          <w:tcPr>
            <w:tcW w:w="6648" w:type="dxa"/>
          </w:tcPr>
          <w:p w14:paraId="5F4EC50F" w14:textId="77777777" w:rsidR="00341944" w:rsidRDefault="00341944" w:rsidP="006606FA">
            <w:pPr>
              <w:pStyle w:val="BodyText"/>
            </w:pPr>
            <w:r>
              <w:t>Financial assistance provided by the Commonwealth to the States which is not tied to any specific service area or conditional upon any specific benchmarks. GST payments make up the majority of general revenue assistance.</w:t>
            </w:r>
          </w:p>
        </w:tc>
      </w:tr>
    </w:tbl>
    <w:p w14:paraId="24E426EF" w14:textId="77777777" w:rsidR="00341944" w:rsidRDefault="00341944" w:rsidP="00341944">
      <w:r>
        <w:br w:type="page"/>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table for design layout "/>
      </w:tblPr>
      <w:tblGrid>
        <w:gridCol w:w="2141"/>
        <w:gridCol w:w="6648"/>
      </w:tblGrid>
      <w:tr w:rsidR="00341944" w14:paraId="19D17D3A" w14:textId="77777777" w:rsidTr="006606FA">
        <w:trPr>
          <w:tblHeader/>
        </w:trPr>
        <w:tc>
          <w:tcPr>
            <w:tcW w:w="2141" w:type="dxa"/>
          </w:tcPr>
          <w:p w14:paraId="5FB67810" w14:textId="77777777" w:rsidR="00341944" w:rsidRDefault="00341944" w:rsidP="006606FA">
            <w:pPr>
              <w:pStyle w:val="BodyText"/>
              <w:jc w:val="left"/>
            </w:pPr>
            <w:r w:rsidRPr="0092591B">
              <w:lastRenderedPageBreak/>
              <w:t xml:space="preserve">Goods and </w:t>
            </w:r>
            <w:r>
              <w:t>s</w:t>
            </w:r>
            <w:r w:rsidRPr="0092591B">
              <w:t xml:space="preserve">ervices </w:t>
            </w:r>
            <w:r>
              <w:t>t</w:t>
            </w:r>
            <w:r w:rsidRPr="0092591B">
              <w:t>ax (GST)</w:t>
            </w:r>
          </w:p>
        </w:tc>
        <w:tc>
          <w:tcPr>
            <w:tcW w:w="6648" w:type="dxa"/>
          </w:tcPr>
          <w:p w14:paraId="7628E476" w14:textId="77777777" w:rsidR="00341944" w:rsidRDefault="00341944" w:rsidP="006606FA">
            <w:pPr>
              <w:pStyle w:val="BodyText"/>
              <w:tabs>
                <w:tab w:val="left" w:pos="2607"/>
              </w:tabs>
            </w:pPr>
            <w:r>
              <w:t xml:space="preserve">A value-added tax of 10 per cent on most goods and services sold or consumed in Australia. The tax is collected by the Commonwealth Government and remitted to the States as general revenue assistance, subject to HFE. </w:t>
            </w:r>
          </w:p>
        </w:tc>
      </w:tr>
      <w:tr w:rsidR="00341944" w14:paraId="5286D507" w14:textId="77777777" w:rsidTr="006606FA">
        <w:tc>
          <w:tcPr>
            <w:tcW w:w="2141" w:type="dxa"/>
          </w:tcPr>
          <w:p w14:paraId="14BDE560" w14:textId="77777777" w:rsidR="00341944" w:rsidRDefault="00341944" w:rsidP="006606FA">
            <w:pPr>
              <w:pStyle w:val="BodyText"/>
              <w:jc w:val="left"/>
            </w:pPr>
            <w:r w:rsidRPr="00AA02E1">
              <w:t>Horizontal fiscal equalisation (HFE)</w:t>
            </w:r>
          </w:p>
        </w:tc>
        <w:tc>
          <w:tcPr>
            <w:tcW w:w="6648" w:type="dxa"/>
          </w:tcPr>
          <w:p w14:paraId="54155C68" w14:textId="77777777" w:rsidR="00341944" w:rsidRDefault="00341944" w:rsidP="006606FA">
            <w:pPr>
              <w:pStyle w:val="BodyText"/>
            </w:pPr>
            <w:r w:rsidRPr="00AA02E1">
              <w:t>The process whereby the Australian Government distributes goods and services tax revenues so that each state and territory has the fiscal capacity to provide services and infrastructure to the same standard (assuming they each make the same effort to raise revenue and operate at the same level of efficiency).</w:t>
            </w:r>
          </w:p>
        </w:tc>
      </w:tr>
      <w:tr w:rsidR="00341944" w14:paraId="24352BDD" w14:textId="77777777" w:rsidTr="006606FA">
        <w:tc>
          <w:tcPr>
            <w:tcW w:w="2141" w:type="dxa"/>
          </w:tcPr>
          <w:p w14:paraId="19A73FD1" w14:textId="77777777" w:rsidR="00341944" w:rsidRDefault="00341944" w:rsidP="006606FA">
            <w:pPr>
              <w:pStyle w:val="BodyText"/>
              <w:jc w:val="left"/>
            </w:pPr>
            <w:r w:rsidRPr="00A35EA9">
              <w:t>Materiality</w:t>
            </w:r>
          </w:p>
        </w:tc>
        <w:tc>
          <w:tcPr>
            <w:tcW w:w="6648" w:type="dxa"/>
          </w:tcPr>
          <w:p w14:paraId="4047F956" w14:textId="77777777" w:rsidR="00341944" w:rsidRDefault="00341944" w:rsidP="006606FA">
            <w:pPr>
              <w:pStyle w:val="BodyText"/>
            </w:pPr>
            <w:r w:rsidRPr="00A35EA9">
              <w:t>A threshold test used by the Commonwealth Grants Commission to assist determinations on whether a separate assessment of disabilities should be made or when data should be adjusted, based on the effect that change would have on the amount of GST redistributed per capita for any State.</w:t>
            </w:r>
          </w:p>
        </w:tc>
      </w:tr>
      <w:tr w:rsidR="00341944" w14:paraId="4BE89D2E" w14:textId="77777777" w:rsidTr="006606FA">
        <w:tc>
          <w:tcPr>
            <w:tcW w:w="2141" w:type="dxa"/>
          </w:tcPr>
          <w:p w14:paraId="26E08C09" w14:textId="77777777" w:rsidR="00341944" w:rsidRDefault="00341944" w:rsidP="006606FA">
            <w:pPr>
              <w:pStyle w:val="BodyText"/>
              <w:jc w:val="left"/>
            </w:pPr>
            <w:r w:rsidRPr="00130DC1">
              <w:t>Payments for specific purposes</w:t>
            </w:r>
          </w:p>
        </w:tc>
        <w:tc>
          <w:tcPr>
            <w:tcW w:w="6648" w:type="dxa"/>
          </w:tcPr>
          <w:p w14:paraId="0F690B71" w14:textId="77777777" w:rsidR="00341944" w:rsidRDefault="00341944" w:rsidP="006606FA">
            <w:pPr>
              <w:pStyle w:val="BodyText"/>
            </w:pPr>
            <w:r w:rsidRPr="00130DC1">
              <w:t>Payments made by the Commonwealth to the States that must be used for specified types of expenditure in policy areas where the States have primary responsibility. These ‘tied’ payments often carry specific reporting requirements or are conditional upon particular benchmarks.</w:t>
            </w:r>
          </w:p>
        </w:tc>
      </w:tr>
      <w:tr w:rsidR="00341944" w14:paraId="46E4AF7A" w14:textId="77777777" w:rsidTr="006606FA">
        <w:tc>
          <w:tcPr>
            <w:tcW w:w="2141" w:type="dxa"/>
          </w:tcPr>
          <w:p w14:paraId="35E2D137" w14:textId="77777777" w:rsidR="00341944" w:rsidRDefault="00341944" w:rsidP="006606FA">
            <w:pPr>
              <w:pStyle w:val="BodyText"/>
              <w:jc w:val="left"/>
            </w:pPr>
            <w:r w:rsidRPr="00130DC1">
              <w:t>Quarantine</w:t>
            </w:r>
          </w:p>
        </w:tc>
        <w:tc>
          <w:tcPr>
            <w:tcW w:w="6648" w:type="dxa"/>
          </w:tcPr>
          <w:p w14:paraId="59810D36" w14:textId="77777777" w:rsidR="00341944" w:rsidRDefault="00341944" w:rsidP="006606FA">
            <w:pPr>
              <w:pStyle w:val="BodyText"/>
            </w:pPr>
            <w:r w:rsidRPr="00130DC1">
              <w:t>The treatment of a Commonwealth payment such that it has no effect on the GST relativities calculated by the Commonwealth Grants Commission, because it is excluded from assessments of a State’s revenue-raising capacity.</w:t>
            </w:r>
          </w:p>
        </w:tc>
      </w:tr>
      <w:tr w:rsidR="00341944" w14:paraId="3537F579" w14:textId="77777777" w:rsidTr="006606FA">
        <w:tc>
          <w:tcPr>
            <w:tcW w:w="2141" w:type="dxa"/>
          </w:tcPr>
          <w:p w14:paraId="4E2CB383" w14:textId="77777777" w:rsidR="00341944" w:rsidRDefault="00341944" w:rsidP="006606FA">
            <w:pPr>
              <w:pStyle w:val="BodyText"/>
              <w:jc w:val="left"/>
            </w:pPr>
            <w:r w:rsidRPr="00130DC1">
              <w:t>Relativity</w:t>
            </w:r>
          </w:p>
        </w:tc>
        <w:tc>
          <w:tcPr>
            <w:tcW w:w="6648" w:type="dxa"/>
          </w:tcPr>
          <w:p w14:paraId="23EF7A6A" w14:textId="77777777" w:rsidR="00341944" w:rsidRDefault="00341944" w:rsidP="006606FA">
            <w:pPr>
              <w:pStyle w:val="BodyText"/>
            </w:pPr>
            <w:r w:rsidRPr="00130DC1">
              <w:t xml:space="preserve">The ratio of a State’s per capita GST allocation to the national average per capita GST distributed for a given year. </w:t>
            </w:r>
          </w:p>
        </w:tc>
      </w:tr>
      <w:tr w:rsidR="00341944" w14:paraId="63DE0805" w14:textId="77777777" w:rsidTr="006606FA">
        <w:tc>
          <w:tcPr>
            <w:tcW w:w="2141" w:type="dxa"/>
          </w:tcPr>
          <w:p w14:paraId="3ED0E8F1" w14:textId="77777777" w:rsidR="00341944" w:rsidRDefault="00341944" w:rsidP="006606FA">
            <w:pPr>
              <w:pStyle w:val="BodyText"/>
              <w:jc w:val="left"/>
            </w:pPr>
            <w:r w:rsidRPr="00747105">
              <w:t>Vertical fiscal imbalance (VFI)</w:t>
            </w:r>
          </w:p>
        </w:tc>
        <w:tc>
          <w:tcPr>
            <w:tcW w:w="6648" w:type="dxa"/>
          </w:tcPr>
          <w:p w14:paraId="6F85320D" w14:textId="77777777" w:rsidR="00341944" w:rsidRDefault="00341944" w:rsidP="006606FA">
            <w:pPr>
              <w:pStyle w:val="BodyText"/>
            </w:pPr>
            <w:r w:rsidRPr="00747105">
              <w:t>The situation where the Commonwealth raises more revenue than it requires for its own direct expenditure responsibilities, whereas States raise less revenue than they require for their expenditure responsibilities.</w:t>
            </w:r>
          </w:p>
        </w:tc>
      </w:tr>
      <w:tr w:rsidR="00341944" w14:paraId="2B488BA9" w14:textId="77777777" w:rsidTr="006606FA">
        <w:tc>
          <w:tcPr>
            <w:tcW w:w="2141" w:type="dxa"/>
          </w:tcPr>
          <w:p w14:paraId="57E685DA" w14:textId="77777777" w:rsidR="00341944" w:rsidRDefault="00341944" w:rsidP="006606FA">
            <w:pPr>
              <w:pStyle w:val="BodyText"/>
              <w:jc w:val="left"/>
            </w:pPr>
            <w:r w:rsidRPr="00747105">
              <w:t>Zero-sum game</w:t>
            </w:r>
          </w:p>
        </w:tc>
        <w:tc>
          <w:tcPr>
            <w:tcW w:w="6648" w:type="dxa"/>
          </w:tcPr>
          <w:p w14:paraId="41A9D476" w14:textId="77777777" w:rsidR="00341944" w:rsidRDefault="00341944" w:rsidP="006606FA">
            <w:pPr>
              <w:pStyle w:val="BodyText"/>
              <w:tabs>
                <w:tab w:val="left" w:pos="2607"/>
              </w:tabs>
            </w:pPr>
            <w:r w:rsidRPr="00747105">
              <w:t>A situation in which the gain or loss experienced by one participant is exactly offset by gains or losses to the other participant(s).</w:t>
            </w:r>
          </w:p>
        </w:tc>
      </w:tr>
    </w:tbl>
    <w:p w14:paraId="19228F3D" w14:textId="77777777" w:rsidR="00341944" w:rsidRDefault="00341944" w:rsidP="00341944">
      <w:pPr>
        <w:pStyle w:val="BodyText"/>
        <w:rPr>
          <w:rStyle w:val="CommentReference"/>
          <w:vanish w:val="0"/>
        </w:rPr>
        <w:sectPr w:rsidR="00341944" w:rsidSect="006606FA">
          <w:headerReference w:type="default" r:id="rId34"/>
          <w:footerReference w:type="default" r:id="rId35"/>
          <w:pgSz w:w="11907" w:h="16840" w:code="9"/>
          <w:pgMar w:top="1332" w:right="1304" w:bottom="1247" w:left="1814" w:header="1701" w:footer="397" w:gutter="0"/>
          <w:pgNumType w:fmt="lowerRoman"/>
          <w:cols w:space="720"/>
        </w:sectPr>
      </w:pPr>
    </w:p>
    <w:p w14:paraId="795494AD" w14:textId="77777777" w:rsidR="00F05DC7" w:rsidRDefault="00F05DC7">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F05DC7" w14:paraId="795494B0" w14:textId="77777777" w:rsidTr="001113B1">
        <w:trPr>
          <w:tblHeader/>
        </w:trPr>
        <w:tc>
          <w:tcPr>
            <w:tcW w:w="6634" w:type="dxa"/>
            <w:tcBorders>
              <w:top w:val="single" w:sz="6" w:space="0" w:color="auto"/>
            </w:tcBorders>
          </w:tcPr>
          <w:p w14:paraId="795494AE" w14:textId="77777777" w:rsidR="00F05DC7" w:rsidRDefault="00F05DC7">
            <w:pPr>
              <w:pStyle w:val="PartDivider"/>
            </w:pPr>
          </w:p>
        </w:tc>
        <w:tc>
          <w:tcPr>
            <w:tcW w:w="2155" w:type="dxa"/>
            <w:tcBorders>
              <w:top w:val="single" w:sz="24" w:space="0" w:color="auto"/>
            </w:tcBorders>
          </w:tcPr>
          <w:p w14:paraId="795494AF" w14:textId="77777777" w:rsidR="00F05DC7" w:rsidRDefault="00F05DC7">
            <w:pPr>
              <w:pStyle w:val="PartDivider"/>
            </w:pPr>
          </w:p>
        </w:tc>
      </w:tr>
    </w:tbl>
    <w:p w14:paraId="795494B1" w14:textId="77777777" w:rsidR="00F05DC7" w:rsidRDefault="00F05DC7">
      <w:pPr>
        <w:pStyle w:val="PartDivider"/>
      </w:pPr>
    </w:p>
    <w:p w14:paraId="795494B2" w14:textId="77777777" w:rsidR="00F05DC7" w:rsidRDefault="00F05DC7">
      <w:pPr>
        <w:pStyle w:val="PartTitle"/>
      </w:pPr>
      <w:bookmarkStart w:id="23" w:name="_Toc513637676"/>
      <w:r>
        <w:t>Overview</w:t>
      </w:r>
      <w:bookmarkEnd w:id="23"/>
    </w:p>
    <w:p w14:paraId="795494B3" w14:textId="77777777" w:rsidR="00F05DC7" w:rsidRDefault="00F05DC7">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F05DC7" w14:paraId="795494B5" w14:textId="77777777" w:rsidTr="001113B1">
        <w:trPr>
          <w:tblHeader/>
        </w:trPr>
        <w:tc>
          <w:tcPr>
            <w:tcW w:w="5000" w:type="pct"/>
            <w:tcBorders>
              <w:top w:val="single" w:sz="4" w:space="0" w:color="78A22F" w:themeColor="accent1"/>
              <w:left w:val="nil"/>
              <w:bottom w:val="nil"/>
              <w:right w:val="nil"/>
            </w:tcBorders>
            <w:shd w:val="clear" w:color="auto" w:fill="E5F1D0"/>
          </w:tcPr>
          <w:p w14:paraId="795494B4" w14:textId="77777777" w:rsidR="00F05DC7" w:rsidRDefault="00F05DC7" w:rsidP="00A3786D">
            <w:pPr>
              <w:pStyle w:val="BoxTitle"/>
            </w:pPr>
            <w:r>
              <w:lastRenderedPageBreak/>
              <w:t>Key points</w:t>
            </w:r>
          </w:p>
        </w:tc>
      </w:tr>
      <w:tr w:rsidR="00F05DC7" w14:paraId="795494C8" w14:textId="77777777" w:rsidTr="00A3786D">
        <w:tc>
          <w:tcPr>
            <w:tcW w:w="5000" w:type="pct"/>
            <w:tcBorders>
              <w:top w:val="nil"/>
              <w:left w:val="nil"/>
              <w:bottom w:val="nil"/>
              <w:right w:val="nil"/>
            </w:tcBorders>
            <w:shd w:val="clear" w:color="auto" w:fill="E5F1D0"/>
          </w:tcPr>
          <w:p w14:paraId="795494B6" w14:textId="77777777" w:rsidR="00F05DC7" w:rsidRDefault="00F05DC7" w:rsidP="00A3786D">
            <w:pPr>
              <w:pStyle w:val="KeyPointsListBullet"/>
              <w:spacing w:line="240" w:lineRule="atLeast"/>
            </w:pPr>
            <w:r>
              <w:t>The basic premise of Horizontal Fiscal Equalisation — fiscal equality in the Australian federation — has broad support from all levels of government.</w:t>
            </w:r>
          </w:p>
          <w:p w14:paraId="795494B7" w14:textId="77777777" w:rsidR="00F05DC7" w:rsidRDefault="00F05DC7" w:rsidP="00A3786D">
            <w:pPr>
              <w:pStyle w:val="KeyPointsListBullet"/>
              <w:spacing w:line="240" w:lineRule="atLeast"/>
            </w:pPr>
            <w:r>
              <w:t>The current practice of HFE seeks to give all States the same fiscal capacity to deliver public services. To do this, all States are brought up to the fiscal capacity of the fiscally strongest State (currently, as assessed by the Commonwealth Grants Commission, Western Australia).</w:t>
            </w:r>
          </w:p>
          <w:p w14:paraId="795494B8" w14:textId="77777777" w:rsidR="00F05DC7" w:rsidRDefault="00F05DC7" w:rsidP="00A3786D">
            <w:pPr>
              <w:pStyle w:val="KeyPointsListBullet"/>
              <w:spacing w:line="240" w:lineRule="atLeast"/>
            </w:pPr>
            <w:r>
              <w:t>This approach to HFE is under intense scrutiny at present as Western Australia’s share of the GST has fallen to a record low. Even so, the current system of HFE has strengths.</w:t>
            </w:r>
          </w:p>
          <w:p w14:paraId="795494B9" w14:textId="77777777" w:rsidR="00F05DC7" w:rsidRPr="00A365C5" w:rsidRDefault="00F05DC7" w:rsidP="00A3786D">
            <w:pPr>
              <w:pStyle w:val="KeyPointsListBullet2"/>
              <w:spacing w:before="80" w:line="240" w:lineRule="atLeast"/>
            </w:pPr>
            <w:r>
              <w:t>I</w:t>
            </w:r>
            <w:r w:rsidRPr="00A365C5">
              <w:t xml:space="preserve">t </w:t>
            </w:r>
            <w:r>
              <w:t xml:space="preserve">compensates States for their structural disadvantages and </w:t>
            </w:r>
            <w:r w:rsidRPr="00A365C5">
              <w:t xml:space="preserve">achieves an almost complete degree of </w:t>
            </w:r>
            <w:r>
              <w:t xml:space="preserve">fiscal </w:t>
            </w:r>
            <w:r w:rsidRPr="00A365C5">
              <w:t>equalisation</w:t>
            </w:r>
            <w:r>
              <w:t xml:space="preserve"> </w:t>
            </w:r>
            <w:r w:rsidRPr="00A365C5">
              <w:t>— unique among OECD countries</w:t>
            </w:r>
            <w:r>
              <w:t>.</w:t>
            </w:r>
          </w:p>
          <w:p w14:paraId="795494BA" w14:textId="77777777" w:rsidR="00F05DC7" w:rsidRDefault="00F05DC7" w:rsidP="00A3786D">
            <w:pPr>
              <w:pStyle w:val="KeyPointsListBullet2"/>
              <w:spacing w:before="80" w:line="240" w:lineRule="atLeast"/>
            </w:pPr>
            <w:r>
              <w:t>The independent and expert CGC is well placed to recommend GST relativities. It has well</w:t>
            </w:r>
            <w:r>
              <w:noBreakHyphen/>
              <w:t>established processes that involve consultation and regular methodology reviews.</w:t>
            </w:r>
          </w:p>
          <w:p w14:paraId="795494BB" w14:textId="77777777" w:rsidR="00F05DC7" w:rsidRDefault="00F05DC7" w:rsidP="00A3786D">
            <w:pPr>
              <w:pStyle w:val="KeyPointsListBullet"/>
              <w:spacing w:line="240" w:lineRule="atLeast"/>
            </w:pPr>
            <w:r>
              <w:t>But the current approach also has significant weaknesses. Reform and development opportunities are likely being missed at the expense of community wellbeing over time.</w:t>
            </w:r>
          </w:p>
          <w:p w14:paraId="795494BC" w14:textId="77777777" w:rsidR="00F05DC7" w:rsidRPr="00A365C5" w:rsidRDefault="00F05DC7" w:rsidP="00A3786D">
            <w:pPr>
              <w:pStyle w:val="KeyPointsListBullet2"/>
              <w:spacing w:line="230" w:lineRule="atLeast"/>
            </w:pPr>
            <w:r>
              <w:t>T</w:t>
            </w:r>
            <w:r w:rsidRPr="00A365C5">
              <w:t xml:space="preserve">here is </w:t>
            </w:r>
            <w:r>
              <w:t>much scope</w:t>
            </w:r>
            <w:r w:rsidRPr="00A365C5">
              <w:t xml:space="preserve"> for </w:t>
            </w:r>
            <w:r>
              <w:t>the system to</w:t>
            </w:r>
            <w:r w:rsidRPr="00A365C5">
              <w:t xml:space="preserve"> </w:t>
            </w:r>
            <w:r>
              <w:t xml:space="preserve">discourage </w:t>
            </w:r>
            <w:r w:rsidRPr="00A365C5">
              <w:t xml:space="preserve">State policy for major tax reform </w:t>
            </w:r>
            <w:r>
              <w:t>and desirable</w:t>
            </w:r>
            <w:r w:rsidRPr="00A365C5">
              <w:t xml:space="preserve"> mineral and energy policies (royalties and </w:t>
            </w:r>
            <w:r>
              <w:t>development).</w:t>
            </w:r>
          </w:p>
          <w:p w14:paraId="795494BD" w14:textId="77777777" w:rsidR="00F05DC7" w:rsidRPr="00A365C5" w:rsidRDefault="00F05DC7" w:rsidP="00A3786D">
            <w:pPr>
              <w:pStyle w:val="KeyPointsListBullet2"/>
              <w:spacing w:line="230" w:lineRule="atLeast"/>
            </w:pPr>
            <w:r>
              <w:t xml:space="preserve">Full fiscal equalisation does not systematically allow States to retain the dividends of their policy efforts. This raises concerns about the fairness of equalisation outcomes </w:t>
            </w:r>
            <w:r w:rsidDel="00334A92">
              <w:t xml:space="preserve">and </w:t>
            </w:r>
            <w:r>
              <w:t>corrodes public confidence in the system.</w:t>
            </w:r>
          </w:p>
          <w:p w14:paraId="795494BE" w14:textId="77777777" w:rsidR="00F05DC7" w:rsidRDefault="00F05DC7" w:rsidP="00A3786D">
            <w:pPr>
              <w:pStyle w:val="KeyPointsListBullet2"/>
              <w:spacing w:line="230" w:lineRule="atLeast"/>
            </w:pPr>
            <w:r>
              <w:t>T</w:t>
            </w:r>
            <w:r w:rsidRPr="00A365C5">
              <w:t>he</w:t>
            </w:r>
            <w:r>
              <w:t xml:space="preserve"> system is very poorly understood by the public and indeed by most within government — lending itself to a myriad of myths and confused accountability. </w:t>
            </w:r>
          </w:p>
          <w:p w14:paraId="795494BF" w14:textId="77777777" w:rsidR="00F05DC7" w:rsidRDefault="00F05DC7" w:rsidP="00A3786D">
            <w:pPr>
              <w:pStyle w:val="KeyPointsListBullet"/>
              <w:spacing w:line="240" w:lineRule="atLeast"/>
            </w:pPr>
            <w:r>
              <w:t>While equity should remain at the heart of HFE, there is a need for a better balance between equity and efficiency.</w:t>
            </w:r>
          </w:p>
          <w:p w14:paraId="795494C0" w14:textId="4AF79151" w:rsidR="00F05DC7" w:rsidRDefault="00F05DC7" w:rsidP="00A3786D">
            <w:pPr>
              <w:pStyle w:val="KeyPointsListBullet2"/>
              <w:spacing w:line="240" w:lineRule="atLeast"/>
            </w:pPr>
            <w:r>
              <w:t>T</w:t>
            </w:r>
            <w:r w:rsidRPr="0071168B">
              <w:t>he</w:t>
            </w:r>
            <w:r>
              <w:t xml:space="preserve"> Commonwealth Government should set a revised objective for HFE to provide States with the fiscal capacity to deliver a </w:t>
            </w:r>
            <w:r w:rsidRPr="009B17B7">
              <w:rPr>
                <w:b/>
              </w:rPr>
              <w:t xml:space="preserve">reasonable </w:t>
            </w:r>
            <w:r w:rsidR="00E41D08">
              <w:rPr>
                <w:b/>
              </w:rPr>
              <w:t>standard</w:t>
            </w:r>
            <w:r>
              <w:t xml:space="preserve"> of services. Changing the objective is an essential precursor to further improvements to the HFE system. </w:t>
            </w:r>
          </w:p>
          <w:p w14:paraId="795494C1" w14:textId="77777777" w:rsidR="00F05DC7" w:rsidRDefault="00F05DC7" w:rsidP="00A3786D">
            <w:pPr>
              <w:pStyle w:val="KeyPointsListBullet"/>
              <w:spacing w:line="240" w:lineRule="atLeast"/>
            </w:pPr>
            <w:r>
              <w:t>Governance reforms are also needed. This includes the CGC playing a more prominent communication role to inform the public discourse on HFE.</w:t>
            </w:r>
          </w:p>
          <w:p w14:paraId="795494C2" w14:textId="47156118" w:rsidR="00F05DC7" w:rsidRDefault="00F05DC7" w:rsidP="00A3786D">
            <w:pPr>
              <w:pStyle w:val="KeyPointsListBullet"/>
              <w:spacing w:line="240" w:lineRule="atLeast"/>
            </w:pPr>
            <w:r>
              <w:t>The CGC should be directed (without delay) to pursue more simple and policy</w:t>
            </w:r>
            <w:r>
              <w:noBreakHyphen/>
              <w:t xml:space="preserve">neutral assessments, and increase its materiality thresholds, in line with achieving a reasonable </w:t>
            </w:r>
            <w:r w:rsidR="002D01E0">
              <w:t>standard</w:t>
            </w:r>
            <w:r>
              <w:t xml:space="preserve"> of equalisation. Other ‘in</w:t>
            </w:r>
            <w:r>
              <w:noBreakHyphen/>
              <w:t xml:space="preserve">system’ changes proposed by others, such as mining discounts, do not resolve HFE’s deficiencies and pose too much of a risk to fiscal equality. </w:t>
            </w:r>
          </w:p>
          <w:p w14:paraId="795494C3" w14:textId="77777777" w:rsidR="00F05DC7" w:rsidRDefault="00F05DC7" w:rsidP="00A3786D">
            <w:pPr>
              <w:pStyle w:val="KeyPointsListBullet"/>
              <w:spacing w:line="240" w:lineRule="atLeast"/>
            </w:pPr>
            <w:r>
              <w:t>In</w:t>
            </w:r>
            <w:r>
              <w:noBreakHyphen/>
              <w:t xml:space="preserve">system and governance changes will improve HFE but can only go so far. Additional efficiency gains are only in prospect from an alternative equalisation benchmark, which many would regard as a fairer outcome. </w:t>
            </w:r>
          </w:p>
          <w:p w14:paraId="795494C4" w14:textId="77777777" w:rsidR="00F05DC7" w:rsidRDefault="00F05DC7" w:rsidP="00A3786D">
            <w:pPr>
              <w:pStyle w:val="KeyPointsListBullet2"/>
              <w:spacing w:before="80" w:line="240" w:lineRule="atLeast"/>
            </w:pPr>
            <w:r>
              <w:t xml:space="preserve">Amongst a number of options designed to equalise to </w:t>
            </w:r>
            <w:r w:rsidRPr="00C80F8C">
              <w:t>a</w:t>
            </w:r>
            <w:r w:rsidRPr="00F854C6">
              <w:rPr>
                <w:b/>
              </w:rPr>
              <w:t xml:space="preserve"> reasonable </w:t>
            </w:r>
            <w:r>
              <w:rPr>
                <w:b/>
              </w:rPr>
              <w:t>standard</w:t>
            </w:r>
            <w:r w:rsidRPr="00C80F8C">
              <w:t>,</w:t>
            </w:r>
            <w:r>
              <w:t xml:space="preserve"> e</w:t>
            </w:r>
            <w:r w:rsidRPr="00BC7672">
              <w:t xml:space="preserve">qualisation </w:t>
            </w:r>
            <w:r>
              <w:t xml:space="preserve">to the average of all States (rather than to the strongest State) is judged to provide a better balance between fiscal equality, fairness and efficiency. </w:t>
            </w:r>
          </w:p>
          <w:p w14:paraId="795494C5" w14:textId="77777777" w:rsidR="00F05DC7" w:rsidRDefault="00F05DC7" w:rsidP="00A3786D">
            <w:pPr>
              <w:pStyle w:val="KeyPointsListBullet"/>
              <w:spacing w:before="80" w:line="240" w:lineRule="atLeast"/>
            </w:pPr>
            <w:r>
              <w:t xml:space="preserve">Changing the benchmark in the current fiscal environment will lead to a material redistribution of the GST. This change is likely to prove manageable for all States if phased. Transition should be funded by the beneficiary States and by hastening slowly, such that no State sees a reduction in its GST from one year to the next of more than 2 per cent of its overall revenue. </w:t>
            </w:r>
          </w:p>
          <w:p w14:paraId="795494C6" w14:textId="77777777" w:rsidR="00F05DC7" w:rsidRDefault="00F05DC7" w:rsidP="00A3786D">
            <w:pPr>
              <w:pStyle w:val="KeyPointsListBullet"/>
              <w:spacing w:line="240" w:lineRule="atLeast"/>
            </w:pPr>
            <w:r>
              <w:t>The transition paths outlined in this report would soften any year</w:t>
            </w:r>
            <w:r>
              <w:noBreakHyphen/>
              <w:t>on</w:t>
            </w:r>
            <w:r>
              <w:noBreakHyphen/>
              <w:t xml:space="preserve">year impact, to less than 1 per cent of State revenue. </w:t>
            </w:r>
          </w:p>
          <w:p w14:paraId="795494C7" w14:textId="77777777" w:rsidR="00F05DC7" w:rsidRDefault="00F05DC7" w:rsidP="005602D0">
            <w:pPr>
              <w:pStyle w:val="KeyPointsListBullet"/>
              <w:spacing w:before="80" w:after="80" w:line="240" w:lineRule="atLeast"/>
            </w:pPr>
            <w:r>
              <w:t>Improving HFE will deliver benefits to the Australian community. But ultimately, greater benefits will only come from more fundamental reforms to Australia’s federal financial relations: namely, to spending and revenue raising responsibilities and ensuing accountabilities.</w:t>
            </w:r>
          </w:p>
        </w:tc>
      </w:tr>
      <w:tr w:rsidR="00F05DC7" w14:paraId="795494CA" w14:textId="77777777" w:rsidTr="00A3786D">
        <w:tc>
          <w:tcPr>
            <w:tcW w:w="5000" w:type="pct"/>
            <w:tcBorders>
              <w:top w:val="single" w:sz="4" w:space="0" w:color="78A22F" w:themeColor="accent1"/>
              <w:left w:val="nil"/>
              <w:bottom w:val="nil"/>
              <w:right w:val="nil"/>
            </w:tcBorders>
          </w:tcPr>
          <w:p w14:paraId="795494C9" w14:textId="77777777" w:rsidR="00F05DC7" w:rsidRDefault="00F05DC7" w:rsidP="00A3786D">
            <w:pPr>
              <w:pStyle w:val="Box"/>
              <w:keepNext w:val="0"/>
              <w:spacing w:before="60" w:after="60" w:line="80" w:lineRule="exact"/>
            </w:pPr>
          </w:p>
        </w:tc>
      </w:tr>
    </w:tbl>
    <w:p w14:paraId="795494CB" w14:textId="77777777" w:rsidR="00F05DC7" w:rsidRDefault="00F05DC7" w:rsidP="00A3786D">
      <w:pPr>
        <w:pStyle w:val="Heading1"/>
      </w:pPr>
      <w:bookmarkStart w:id="24" w:name="_Toc513637677"/>
      <w:r>
        <w:lastRenderedPageBreak/>
        <w:t>Overview</w:t>
      </w:r>
      <w:bookmarkEnd w:id="24"/>
    </w:p>
    <w:p w14:paraId="795494CC" w14:textId="77777777" w:rsidR="00F05DC7" w:rsidRDefault="00F05DC7" w:rsidP="00A3786D">
      <w:pPr>
        <w:pStyle w:val="BodyText"/>
      </w:pPr>
      <w:r>
        <w:t xml:space="preserve">Australia’s system of </w:t>
      </w:r>
      <w:r w:rsidRPr="00BD592B">
        <w:t>horizontal f</w:t>
      </w:r>
      <w:r>
        <w:t>iscal equalisation (HFE) transfers GST between the States and Territories (hereafter States) with the aim of equalising States’ fiscal capacities to deliver public services. HFE</w:t>
      </w:r>
      <w:r w:rsidRPr="00BD592B">
        <w:t xml:space="preserve"> </w:t>
      </w:r>
      <w:r>
        <w:t xml:space="preserve">has often been </w:t>
      </w:r>
      <w:r w:rsidRPr="001D6A6C">
        <w:t>a point of contention</w:t>
      </w:r>
      <w:r>
        <w:t xml:space="preserve"> with the States</w:t>
      </w:r>
      <w:r w:rsidRPr="001D6A6C">
        <w:t xml:space="preserve">, as each has vied for a larger share of the </w:t>
      </w:r>
      <w:r>
        <w:t xml:space="preserve">funding pool. </w:t>
      </w:r>
    </w:p>
    <w:p w14:paraId="795494CD" w14:textId="77777777" w:rsidR="00F05DC7" w:rsidRDefault="00F05DC7" w:rsidP="00A3786D">
      <w:pPr>
        <w:pStyle w:val="Quote"/>
      </w:pPr>
      <w:r w:rsidRPr="00F4076D">
        <w:t>There is nothing new about these arguments between the States. This has been going on since 1933</w:t>
      </w:r>
      <w:r>
        <w:t>. (Peter Costello 2006)</w:t>
      </w:r>
    </w:p>
    <w:p w14:paraId="795494CE" w14:textId="77777777" w:rsidR="00F05DC7" w:rsidRDefault="00F05DC7" w:rsidP="00A3786D">
      <w:pPr>
        <w:pStyle w:val="BodyText"/>
      </w:pPr>
      <w:r>
        <w:t xml:space="preserve">But this contention has elevated markedly in recent times as the extent of redistribution has risen to an unprecedented high — embodied in Western Australia’s share of the GST falling to a record low (figure 1). This ‘new low’ has been anticipated since 2011, but arguably was not at the time the GST distribution deal was struck more than a decade earlier in 1999. </w:t>
      </w:r>
    </w:p>
    <w:p w14:paraId="795494CF" w14:textId="77777777" w:rsidR="00F05DC7" w:rsidRDefault="00F05DC7" w:rsidP="00A3786D">
      <w:pPr>
        <w:pStyle w:val="BodyText"/>
      </w:pPr>
      <w:r>
        <w:t>A key factor behind this has been the recent mining investment and construction boom, which had a particularly strong and lasting impact on Western Australia’s fiscal capacity. Although the mining boom is fading and Western Australia’s economy (and revenue</w:t>
      </w:r>
      <w:r>
        <w:noBreakHyphen/>
        <w:t xml:space="preserve">raising capacity) has significantly weakened, it still remains the fiscally strongest State — as assessed by the Commonwealth Grants Commission (CGC) — and is expected to remain so for much of the foreseeable future. </w:t>
      </w:r>
    </w:p>
    <w:p w14:paraId="795494D0" w14:textId="77777777" w:rsidR="00F05DC7" w:rsidRDefault="00F05DC7" w:rsidP="00A3786D">
      <w:pPr>
        <w:pStyle w:val="BodyText"/>
      </w:pPr>
      <w:r>
        <w:t xml:space="preserve">Since its inception, the way any State views the operation of HFE at any point in time is largely subject to Miles’ law — ‘where you stand depends on where you sit’. </w:t>
      </w:r>
    </w:p>
    <w:p w14:paraId="795494D1" w14:textId="77777777" w:rsidR="00F05DC7" w:rsidRDefault="00F05DC7" w:rsidP="00A3786D">
      <w:pPr>
        <w:pStyle w:val="BodyText"/>
      </w:pPr>
      <w:r>
        <w:t xml:space="preserve">Many in Western Australia have expressed extreme dissatisfaction with that State’s low share of the GST. This discontent reflects perceptions about fairness and the extent of equalisation away from Western Australia, although some of this is driven by the misconception that States are ‘entitled’ to their population share of the GST revenue pool. </w:t>
      </w:r>
    </w:p>
    <w:p w14:paraId="795494D2" w14:textId="77777777" w:rsidR="00F05DC7" w:rsidRDefault="00F05DC7" w:rsidP="00A3786D">
      <w:pPr>
        <w:pStyle w:val="BodyText"/>
      </w:pPr>
      <w:r>
        <w:t>Some participants have also argued that the HFE system impedes economic growth by acting as a disincentive for State Governments to reform their tax system or to develop particular industries or projects, or by cross</w:t>
      </w:r>
      <w:r>
        <w:noBreakHyphen/>
        <w:t xml:space="preserve">subsidising States that ban mineral or energy extraction. Some of these concerns have become heightened in recent times due to the mining boom and debate about the domestic availability of natural gas. </w:t>
      </w:r>
    </w:p>
    <w:p w14:paraId="795494D3" w14:textId="661E5CD2" w:rsidR="00F05DC7" w:rsidRDefault="00F05DC7" w:rsidP="00A3786D">
      <w:pPr>
        <w:pStyle w:val="BodyText"/>
      </w:pPr>
      <w:r>
        <w:t>Other parties, particularly from the smaller and fiscally weaker States,</w:t>
      </w:r>
      <w:r w:rsidRPr="005E3694">
        <w:t xml:space="preserve"> have</w:t>
      </w:r>
      <w:r>
        <w:t xml:space="preserve"> spoken out against many of these views, emphasising</w:t>
      </w:r>
      <w:r w:rsidRPr="005E3694">
        <w:t xml:space="preserve"> </w:t>
      </w:r>
      <w:r>
        <w:t>HFE’s role in promoting fiscal equality across the Australian</w:t>
      </w:r>
      <w:r w:rsidRPr="005E3694">
        <w:t xml:space="preserve"> federation, </w:t>
      </w:r>
      <w:r>
        <w:t xml:space="preserve">especially </w:t>
      </w:r>
      <w:r w:rsidRPr="005E3694">
        <w:t>given the inherent disadvantages some States face in raising revenue or delivering services.</w:t>
      </w:r>
    </w:p>
    <w:p w14:paraId="795494D4" w14:textId="35DBCF70" w:rsidR="00F05DC7" w:rsidRPr="009C1A8A" w:rsidRDefault="00F05DC7" w:rsidP="00A3786D">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4D6" w14:textId="77777777" w:rsidTr="00A3786D">
        <w:trPr>
          <w:tblHeader/>
        </w:trPr>
        <w:tc>
          <w:tcPr>
            <w:tcW w:w="5000" w:type="pct"/>
            <w:tcBorders>
              <w:top w:val="single" w:sz="6" w:space="0" w:color="78A22F"/>
              <w:left w:val="nil"/>
              <w:bottom w:val="nil"/>
              <w:right w:val="nil"/>
            </w:tcBorders>
            <w:shd w:val="clear" w:color="auto" w:fill="auto"/>
          </w:tcPr>
          <w:p w14:paraId="795494D5" w14:textId="77777777" w:rsidR="00F05DC7" w:rsidRPr="00176D3F" w:rsidRDefault="00F05DC7" w:rsidP="00A3786D">
            <w:pPr>
              <w:pStyle w:val="FigureTitle"/>
            </w:pPr>
            <w:r w:rsidRPr="00784A05">
              <w:rPr>
                <w:b w:val="0"/>
              </w:rPr>
              <w:t xml:space="preserve">Figure </w:t>
            </w:r>
            <w:r>
              <w:rPr>
                <w:b w:val="0"/>
              </w:rPr>
              <w:t>1</w:t>
            </w:r>
            <w:r>
              <w:tab/>
              <w:t>Divergence in State per capita GST relativities</w:t>
            </w:r>
          </w:p>
        </w:tc>
      </w:tr>
      <w:tr w:rsidR="00F05DC7" w14:paraId="795494DA" w14:textId="77777777" w:rsidTr="00A3786D">
        <w:tc>
          <w:tcPr>
            <w:tcW w:w="5000" w:type="pct"/>
            <w:tcBorders>
              <w:top w:val="nil"/>
              <w:left w:val="nil"/>
              <w:bottom w:val="nil"/>
              <w:right w:val="nil"/>
            </w:tcBorders>
            <w:shd w:val="clear" w:color="auto" w:fill="auto"/>
            <w:tcMar>
              <w:top w:w="28" w:type="dxa"/>
              <w:left w:w="28" w:type="dxa"/>
              <w:bottom w:w="28" w:type="dxa"/>
              <w:right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F05DC7" w:rsidRPr="00B1465D" w14:paraId="795494D8" w14:textId="77777777" w:rsidTr="00A3786D">
              <w:trPr>
                <w:trHeight w:val="5738"/>
                <w:tblHeader/>
                <w:jc w:val="center"/>
              </w:trPr>
              <w:tc>
                <w:tcPr>
                  <w:tcW w:w="8504" w:type="dxa"/>
                  <w:tcBorders>
                    <w:top w:val="nil"/>
                    <w:bottom w:val="nil"/>
                  </w:tcBorders>
                  <w:tcMar>
                    <w:left w:w="0" w:type="dxa"/>
                    <w:right w:w="0" w:type="dxa"/>
                  </w:tcMar>
                </w:tcPr>
                <w:p w14:paraId="795494D7" w14:textId="77777777" w:rsidR="00F05DC7" w:rsidRPr="00B1465D" w:rsidRDefault="00F05DC7" w:rsidP="00A3786D">
                  <w:pPr>
                    <w:pStyle w:val="Figure"/>
                    <w:spacing w:after="60"/>
                    <w:jc w:val="left"/>
                    <w:rPr>
                      <w:rFonts w:ascii="Arial" w:hAnsi="Arial" w:cs="Arial"/>
                      <w:sz w:val="18"/>
                      <w:szCs w:val="18"/>
                    </w:rPr>
                  </w:pPr>
                  <w:r w:rsidRPr="00C7542A">
                    <w:rPr>
                      <w:rFonts w:ascii="Arial" w:hAnsi="Arial" w:cs="Arial"/>
                      <w:noProof/>
                      <w:sz w:val="18"/>
                      <w:szCs w:val="18"/>
                    </w:rPr>
                    <w:drawing>
                      <wp:inline distT="0" distB="0" distL="0" distR="0" wp14:anchorId="7954D581" wp14:editId="7954D582">
                        <wp:extent cx="5385769" cy="3336699"/>
                        <wp:effectExtent l="0" t="0" r="5715" b="0"/>
                        <wp:docPr id="1" name="Picture 1" descr="From 1981 82 until 1993 94, Victoria’s relativity was set at 1.0, with those of the other States fluctuating around this. New South Wales had a relativity slightly above 1.0 for most of this period, with the other States fluctuating between roughly 1.3 and 2.0. &#10;From the 1993 94 update, when the ACT was brought into the system and Victoria’s relativity was no longer fixed at 1.0, New South Wales, Victoria and the ACT were the three States with the strongest fiscal capacity and therefore the lowest relativities. The ACT’s relativity started to increase from the late 1990s, while the relativities of Western Australia, South Australia, and Tasmania were roughly constant (with Tasmania’s being the highest). &#10;After the onset of the mining boom in the mid 2000s, Western Australia’s relativity declined below 1.0, falling to reach a low of about 0.3 in 2015 16 and 2016 17. There was an increase in Queensland’s relativity after 2010 11, with its relativity exceeding 1.0 by 2012 13.&#10;" title="Divergence in State per capita GST rela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90" r="2658"/>
                                <a:stretch/>
                              </pic:blipFill>
                              <pic:spPr bwMode="auto">
                                <a:xfrm>
                                  <a:off x="0" y="0"/>
                                  <a:ext cx="5386134" cy="3336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494D9" w14:textId="77777777" w:rsidR="00F05DC7" w:rsidRDefault="00F05DC7" w:rsidP="00A3786D">
            <w:pPr>
              <w:pStyle w:val="Figure"/>
            </w:pPr>
          </w:p>
        </w:tc>
      </w:tr>
      <w:tr w:rsidR="00F05DC7" w14:paraId="795494DC" w14:textId="77777777" w:rsidTr="00A3786D">
        <w:tc>
          <w:tcPr>
            <w:tcW w:w="5000" w:type="pct"/>
            <w:tcBorders>
              <w:top w:val="nil"/>
              <w:left w:val="nil"/>
              <w:bottom w:val="single" w:sz="6" w:space="0" w:color="78A22F"/>
              <w:right w:val="nil"/>
            </w:tcBorders>
            <w:shd w:val="clear" w:color="auto" w:fill="auto"/>
          </w:tcPr>
          <w:p w14:paraId="795494DB" w14:textId="77777777" w:rsidR="00F05DC7" w:rsidRDefault="00F05DC7" w:rsidP="00A3786D">
            <w:pPr>
              <w:pStyle w:val="Figurespace"/>
            </w:pPr>
          </w:p>
        </w:tc>
      </w:tr>
      <w:tr w:rsidR="00F05DC7" w:rsidRPr="000863A5" w14:paraId="795494DE" w14:textId="77777777" w:rsidTr="00A3786D">
        <w:tc>
          <w:tcPr>
            <w:tcW w:w="5000" w:type="pct"/>
            <w:tcBorders>
              <w:top w:val="single" w:sz="6" w:space="0" w:color="78A22F"/>
              <w:left w:val="nil"/>
              <w:bottom w:val="nil"/>
              <w:right w:val="nil"/>
            </w:tcBorders>
          </w:tcPr>
          <w:p w14:paraId="795494DD" w14:textId="77777777" w:rsidR="00F05DC7" w:rsidRPr="00626D32" w:rsidRDefault="00F05DC7" w:rsidP="00A3786D">
            <w:pPr>
              <w:pStyle w:val="BoxSpaceBelow"/>
            </w:pPr>
          </w:p>
        </w:tc>
      </w:tr>
    </w:tbl>
    <w:p w14:paraId="795494DF" w14:textId="7CF3D45A" w:rsidR="00F05DC7" w:rsidRDefault="00F05DC7" w:rsidP="00A3786D">
      <w:pPr>
        <w:pStyle w:val="BodyText"/>
      </w:pPr>
      <w:r>
        <w:t>Views about Australia’s HFE system are strongly held but some of these are underpinned by misconceptions or are encumbered by a dearth of evidence on the effects of the system on the Australian economy and community. Over the years there have been numerous calls for substantial change to HFE, including in several major independent reviews — such as the review of Commonwealth</w:t>
      </w:r>
      <w:r>
        <w:noBreakHyphen/>
        <w:t xml:space="preserve">State Funding in 2002 </w:t>
      </w:r>
      <w:r w:rsidR="009D6331" w:rsidRPr="009D6331">
        <w:rPr>
          <w:szCs w:val="24"/>
        </w:rPr>
        <w:t>(Garnaut and FitzGerald 2002b)</w:t>
      </w:r>
      <w:r>
        <w:t xml:space="preserve">, the GST Distribution Review in 2012 </w:t>
      </w:r>
      <w:r w:rsidR="009D6331" w:rsidRPr="009D6331">
        <w:rPr>
          <w:szCs w:val="24"/>
        </w:rPr>
        <w:t>(Brumby, Carter and Greiner 2012a)</w:t>
      </w:r>
      <w:r>
        <w:t xml:space="preserve">, and the National Commission of Audit in 2014 </w:t>
      </w:r>
      <w:r w:rsidRPr="003E5607">
        <w:rPr>
          <w:szCs w:val="24"/>
        </w:rPr>
        <w:t>(NCOA 2014)</w:t>
      </w:r>
      <w:r>
        <w:t xml:space="preserve">. And while there have been modest improvements to the system, deficiencies remain. </w:t>
      </w:r>
    </w:p>
    <w:p w14:paraId="795494E0" w14:textId="77777777" w:rsidR="00F05DC7" w:rsidRDefault="00F05DC7" w:rsidP="00A3786D">
      <w:pPr>
        <w:pStyle w:val="BodyText"/>
      </w:pPr>
      <w:r>
        <w:t>It is against this backdrop that the Commission has been asked to undertake an inquiry into Australia’s system of HFE. The inquiry provides an opportunity to examine whether there are sustainable ways to address long</w:t>
      </w:r>
      <w:r>
        <w:noBreakHyphen/>
        <w:t xml:space="preserve">running concerns about the HFE system. And while the outcomes for Western Australia have exposed weaknesses in the HFE system, the Commission’s recommendations in this report are not designed to ‘repair’ the current fiscal circumstances of any single State. The proposed changes are aimed at improving the HFE system for the benefit of the Australian community as a whole. </w:t>
      </w:r>
    </w:p>
    <w:p w14:paraId="795494E1" w14:textId="77777777" w:rsidR="00F05DC7" w:rsidRDefault="00F05DC7" w:rsidP="00A3786D">
      <w:pPr>
        <w:pStyle w:val="Heading2"/>
      </w:pPr>
      <w:bookmarkStart w:id="25" w:name="_Toc513637678"/>
      <w:r>
        <w:lastRenderedPageBreak/>
        <w:t>The Commission’s task and approach</w:t>
      </w:r>
      <w:bookmarkEnd w:id="25"/>
      <w:r>
        <w:t xml:space="preserve"> </w:t>
      </w:r>
    </w:p>
    <w:p w14:paraId="795494E2" w14:textId="77777777" w:rsidR="00F05DC7" w:rsidRDefault="00F05DC7" w:rsidP="00A3786D">
      <w:pPr>
        <w:pStyle w:val="BodyText"/>
        <w:keepNext/>
      </w:pPr>
      <w:r w:rsidRPr="00BD592B">
        <w:t xml:space="preserve">The </w:t>
      </w:r>
      <w:r>
        <w:t>terms of reference for this inquiry essentially task the Productivity Commission to ask and answer two broad questions. The first is how the current HFE system impacts on the Australian community, economy and State Governments, specifically with respect to:</w:t>
      </w:r>
    </w:p>
    <w:p w14:paraId="795494E3" w14:textId="77777777" w:rsidR="00F05DC7" w:rsidRDefault="00F05DC7" w:rsidP="00A3786D">
      <w:pPr>
        <w:pStyle w:val="ListBullet"/>
      </w:pPr>
      <w:r w:rsidRPr="00BD592B">
        <w:t>productivity, efficiency and economic growth, including the movemen</w:t>
      </w:r>
      <w:r>
        <w:t>t of capital and labour across S</w:t>
      </w:r>
      <w:r w:rsidRPr="00BD592B">
        <w:t xml:space="preserve">tate borders </w:t>
      </w:r>
    </w:p>
    <w:p w14:paraId="795494E4" w14:textId="77777777" w:rsidR="00F05DC7" w:rsidRDefault="00F05DC7" w:rsidP="00A3786D">
      <w:pPr>
        <w:pStyle w:val="ListBullet"/>
      </w:pPr>
      <w:r w:rsidRPr="00BD592B">
        <w:t>the incentives for the States to undertake fiscal (expen</w:t>
      </w:r>
      <w:r>
        <w:t>diture</w:t>
      </w:r>
      <w:r w:rsidRPr="00BD592B">
        <w:t xml:space="preserve"> and revenue) reforms that improve the operation of their own jurisdictions</w:t>
      </w:r>
    </w:p>
    <w:p w14:paraId="795494E5" w14:textId="77777777" w:rsidR="00F05DC7" w:rsidRDefault="00F05DC7" w:rsidP="00A3786D">
      <w:pPr>
        <w:pStyle w:val="ListBullet"/>
      </w:pPr>
      <w:r w:rsidRPr="00BD592B">
        <w:t>States’ abilities to prepare and deliver annual budgets</w:t>
      </w:r>
      <w:r>
        <w:t>.</w:t>
      </w:r>
    </w:p>
    <w:p w14:paraId="795494E6" w14:textId="77777777" w:rsidR="00F05DC7" w:rsidRDefault="00F05DC7" w:rsidP="00A3786D">
      <w:pPr>
        <w:pStyle w:val="BodyText"/>
      </w:pPr>
      <w:r>
        <w:t>The second is w</w:t>
      </w:r>
      <w:r w:rsidRPr="00BD592B">
        <w:t>hether the</w:t>
      </w:r>
      <w:r>
        <w:t>re are preferable alternatives to the</w:t>
      </w:r>
      <w:r w:rsidRPr="00BD592B">
        <w:t xml:space="preserve"> </w:t>
      </w:r>
      <w:r>
        <w:t xml:space="preserve">current system of HFE. </w:t>
      </w:r>
    </w:p>
    <w:p w14:paraId="795494E7" w14:textId="77777777" w:rsidR="00F05DC7" w:rsidRDefault="00F05DC7" w:rsidP="00A3786D">
      <w:pPr>
        <w:pStyle w:val="BodyText"/>
      </w:pPr>
      <w:r w:rsidRPr="0041225F">
        <w:t xml:space="preserve">With that in mind, the Commission has </w:t>
      </w:r>
      <w:r>
        <w:t>assessed the current HFE system and proposed alternatives against a framework built on the criteria of equity, efficiency, and transparency and accountability. The Commission’s framework has evolved from that used in the draft report and takes a broad interpretation of equity for HFE — one that incorporates both fiscal equality and fairness (or reward for policy effort) in the distribution of the GST (box 1). Balancing fiscal equality and fairness through this broader equity lens means that States’ fiscal capacities do not necessarily have to be equal.</w:t>
      </w:r>
    </w:p>
    <w:p w14:paraId="795494E8" w14:textId="77777777" w:rsidR="00F05DC7" w:rsidRDefault="00F05DC7" w:rsidP="00A3786D">
      <w:pPr>
        <w:pStyle w:val="BoxSpaceAbove"/>
      </w:pPr>
      <w:bookmarkStart w:id="26" w:name="begin"/>
      <w:bookmarkEnd w:id="26"/>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4EA" w14:textId="77777777" w:rsidTr="00A3786D">
        <w:trPr>
          <w:tblHeader/>
        </w:trPr>
        <w:tc>
          <w:tcPr>
            <w:tcW w:w="5000" w:type="pct"/>
            <w:tcBorders>
              <w:top w:val="single" w:sz="6" w:space="0" w:color="78A22F"/>
              <w:left w:val="nil"/>
              <w:bottom w:val="nil"/>
              <w:right w:val="nil"/>
            </w:tcBorders>
            <w:shd w:val="clear" w:color="auto" w:fill="F2F2F2"/>
          </w:tcPr>
          <w:p w14:paraId="795494E9" w14:textId="77777777" w:rsidR="00F05DC7" w:rsidRDefault="00F05DC7" w:rsidP="00A3786D">
            <w:pPr>
              <w:pStyle w:val="BoxTitle"/>
            </w:pPr>
            <w:r>
              <w:rPr>
                <w:b w:val="0"/>
              </w:rPr>
              <w:t>Box 1</w:t>
            </w:r>
            <w:r>
              <w:tab/>
              <w:t>‘Fairness’ — a broader interpretation of equity for HFE</w:t>
            </w:r>
          </w:p>
        </w:tc>
      </w:tr>
      <w:tr w:rsidR="00F05DC7" w14:paraId="795494EE" w14:textId="77777777" w:rsidTr="00A3786D">
        <w:tc>
          <w:tcPr>
            <w:tcW w:w="5000" w:type="pct"/>
            <w:tcBorders>
              <w:top w:val="nil"/>
              <w:left w:val="nil"/>
              <w:bottom w:val="nil"/>
              <w:right w:val="nil"/>
            </w:tcBorders>
            <w:shd w:val="clear" w:color="auto" w:fill="F2F2F2"/>
          </w:tcPr>
          <w:p w14:paraId="795494EB" w14:textId="77777777" w:rsidR="00F05DC7" w:rsidRPr="00A078C8" w:rsidRDefault="00F05DC7" w:rsidP="00A3786D">
            <w:pPr>
              <w:pStyle w:val="Box"/>
              <w:rPr>
                <w:spacing w:val="-2"/>
              </w:rPr>
            </w:pPr>
            <w:r>
              <w:t>The basic premise of HFE — fiscal equality in the Australian federation — has broad support</w:t>
            </w:r>
            <w:r>
              <w:rPr>
                <w:spacing w:val="-2"/>
              </w:rPr>
              <w:t>. Even so, views on</w:t>
            </w:r>
            <w:r w:rsidRPr="007C50C3">
              <w:rPr>
                <w:spacing w:val="-2"/>
              </w:rPr>
              <w:t xml:space="preserve"> ‘equity’, ‘equality’ and ‘fairness’ </w:t>
            </w:r>
            <w:r>
              <w:rPr>
                <w:spacing w:val="-2"/>
              </w:rPr>
              <w:t>of the system differ. The</w:t>
            </w:r>
            <w:r w:rsidRPr="00A078C8">
              <w:rPr>
                <w:spacing w:val="-2"/>
              </w:rPr>
              <w:t xml:space="preserve"> </w:t>
            </w:r>
            <w:r>
              <w:rPr>
                <w:spacing w:val="-2"/>
              </w:rPr>
              <w:t xml:space="preserve">current HFE objective </w:t>
            </w:r>
            <w:r w:rsidRPr="00A078C8">
              <w:rPr>
                <w:spacing w:val="-2"/>
              </w:rPr>
              <w:t xml:space="preserve">presents equity as </w:t>
            </w:r>
            <w:r>
              <w:rPr>
                <w:spacing w:val="-2"/>
              </w:rPr>
              <w:t>full</w:t>
            </w:r>
            <w:r w:rsidRPr="00A078C8">
              <w:rPr>
                <w:spacing w:val="-2"/>
              </w:rPr>
              <w:t xml:space="preserve"> equalisation of fiscal capacities between States. Many participants agreed with this, while others saw equity as </w:t>
            </w:r>
            <w:r>
              <w:rPr>
                <w:spacing w:val="-2"/>
              </w:rPr>
              <w:t>equal</w:t>
            </w:r>
            <w:r w:rsidRPr="00A078C8">
              <w:rPr>
                <w:i/>
                <w:spacing w:val="-2"/>
              </w:rPr>
              <w:t xml:space="preserve"> treatment</w:t>
            </w:r>
            <w:r>
              <w:rPr>
                <w:i/>
                <w:spacing w:val="-2"/>
              </w:rPr>
              <w:t xml:space="preserve"> </w:t>
            </w:r>
            <w:r w:rsidRPr="00F82BA1">
              <w:rPr>
                <w:spacing w:val="-2"/>
              </w:rPr>
              <w:t>of States</w:t>
            </w:r>
            <w:r>
              <w:rPr>
                <w:spacing w:val="-2"/>
              </w:rPr>
              <w:t xml:space="preserve"> —</w:t>
            </w:r>
            <w:r w:rsidRPr="00A078C8">
              <w:rPr>
                <w:spacing w:val="-2"/>
              </w:rPr>
              <w:t xml:space="preserve"> </w:t>
            </w:r>
            <w:r>
              <w:rPr>
                <w:spacing w:val="-2"/>
              </w:rPr>
              <w:t>with</w:t>
            </w:r>
            <w:r w:rsidRPr="00A078C8">
              <w:rPr>
                <w:spacing w:val="-2"/>
              </w:rPr>
              <w:t xml:space="preserve"> </w:t>
            </w:r>
            <w:r>
              <w:rPr>
                <w:spacing w:val="-2"/>
              </w:rPr>
              <w:t xml:space="preserve">the </w:t>
            </w:r>
            <w:r w:rsidRPr="00A078C8">
              <w:rPr>
                <w:spacing w:val="-2"/>
              </w:rPr>
              <w:t xml:space="preserve">GST distributed equally per capita, regardless of </w:t>
            </w:r>
            <w:r>
              <w:rPr>
                <w:spacing w:val="-2"/>
              </w:rPr>
              <w:t xml:space="preserve">State </w:t>
            </w:r>
            <w:r w:rsidRPr="00A078C8">
              <w:rPr>
                <w:spacing w:val="-2"/>
              </w:rPr>
              <w:t xml:space="preserve">demographics or circumstances. </w:t>
            </w:r>
            <w:r>
              <w:rPr>
                <w:spacing w:val="-2"/>
              </w:rPr>
              <w:t xml:space="preserve">Yet </w:t>
            </w:r>
            <w:r w:rsidRPr="00A078C8">
              <w:rPr>
                <w:spacing w:val="-2"/>
              </w:rPr>
              <w:t>other</w:t>
            </w:r>
            <w:r>
              <w:rPr>
                <w:spacing w:val="-2"/>
              </w:rPr>
              <w:t>s</w:t>
            </w:r>
            <w:r w:rsidRPr="00A078C8">
              <w:rPr>
                <w:spacing w:val="-2"/>
              </w:rPr>
              <w:t xml:space="preserve"> </w:t>
            </w:r>
            <w:r>
              <w:rPr>
                <w:spacing w:val="-2"/>
              </w:rPr>
              <w:t xml:space="preserve">viewed </w:t>
            </w:r>
            <w:r w:rsidRPr="00A078C8">
              <w:rPr>
                <w:spacing w:val="-2"/>
              </w:rPr>
              <w:t xml:space="preserve">equity </w:t>
            </w:r>
            <w:r>
              <w:rPr>
                <w:spacing w:val="-2"/>
              </w:rPr>
              <w:t xml:space="preserve">as </w:t>
            </w:r>
            <w:r w:rsidRPr="00A078C8">
              <w:rPr>
                <w:spacing w:val="-2"/>
              </w:rPr>
              <w:t xml:space="preserve">equality of </w:t>
            </w:r>
            <w:r w:rsidRPr="00A078C8">
              <w:rPr>
                <w:i/>
                <w:spacing w:val="-2"/>
              </w:rPr>
              <w:t xml:space="preserve">opportunity </w:t>
            </w:r>
            <w:r>
              <w:rPr>
                <w:i/>
                <w:spacing w:val="-2"/>
              </w:rPr>
              <w:t>—</w:t>
            </w:r>
            <w:r w:rsidRPr="00A078C8">
              <w:rPr>
                <w:i/>
                <w:spacing w:val="-2"/>
              </w:rPr>
              <w:t xml:space="preserve"> </w:t>
            </w:r>
            <w:r>
              <w:rPr>
                <w:spacing w:val="-2"/>
              </w:rPr>
              <w:t>where funding</w:t>
            </w:r>
            <w:r w:rsidRPr="00A078C8">
              <w:rPr>
                <w:spacing w:val="-2"/>
              </w:rPr>
              <w:t xml:space="preserve"> compensate</w:t>
            </w:r>
            <w:r>
              <w:rPr>
                <w:spacing w:val="-2"/>
              </w:rPr>
              <w:t>s</w:t>
            </w:r>
            <w:r w:rsidRPr="00A078C8">
              <w:rPr>
                <w:spacing w:val="-2"/>
              </w:rPr>
              <w:t xml:space="preserve"> </w:t>
            </w:r>
            <w:r>
              <w:rPr>
                <w:spacing w:val="-2"/>
              </w:rPr>
              <w:t xml:space="preserve">States </w:t>
            </w:r>
            <w:r w:rsidRPr="00A078C8">
              <w:rPr>
                <w:spacing w:val="-2"/>
              </w:rPr>
              <w:t>for unequal starting points, but also allow</w:t>
            </w:r>
            <w:r>
              <w:rPr>
                <w:spacing w:val="-2"/>
              </w:rPr>
              <w:t>s them</w:t>
            </w:r>
            <w:r w:rsidRPr="00A078C8">
              <w:rPr>
                <w:spacing w:val="-2"/>
              </w:rPr>
              <w:t xml:space="preserve"> to reap some fiscal benefits from their policy </w:t>
            </w:r>
            <w:r>
              <w:rPr>
                <w:spacing w:val="-2"/>
              </w:rPr>
              <w:t>efforts</w:t>
            </w:r>
            <w:r w:rsidRPr="00A078C8">
              <w:rPr>
                <w:spacing w:val="-2"/>
              </w:rPr>
              <w:t>.</w:t>
            </w:r>
          </w:p>
          <w:p w14:paraId="795494EC" w14:textId="77777777" w:rsidR="00F05DC7" w:rsidRDefault="00F05DC7" w:rsidP="00A3786D">
            <w:pPr>
              <w:pStyle w:val="Box"/>
              <w:rPr>
                <w:spacing w:val="-2"/>
              </w:rPr>
            </w:pPr>
            <w:r>
              <w:rPr>
                <w:spacing w:val="-2"/>
              </w:rPr>
              <w:t>The notion of</w:t>
            </w:r>
            <w:r w:rsidRPr="00A078C8">
              <w:rPr>
                <w:spacing w:val="-2"/>
              </w:rPr>
              <w:t xml:space="preserve"> ‘fairness’ of the HFE system</w:t>
            </w:r>
            <w:r>
              <w:rPr>
                <w:spacing w:val="-2"/>
              </w:rPr>
              <w:t xml:space="preserve"> was also raised. Although interpretations differ,</w:t>
            </w:r>
            <w:r w:rsidRPr="00A078C8">
              <w:rPr>
                <w:spacing w:val="-2"/>
              </w:rPr>
              <w:t xml:space="preserve"> </w:t>
            </w:r>
            <w:r>
              <w:rPr>
                <w:spacing w:val="-2"/>
              </w:rPr>
              <w:t>it</w:t>
            </w:r>
            <w:r w:rsidRPr="00A078C8">
              <w:rPr>
                <w:spacing w:val="-2"/>
              </w:rPr>
              <w:t xml:space="preserve"> </w:t>
            </w:r>
            <w:r>
              <w:rPr>
                <w:spacing w:val="-2"/>
              </w:rPr>
              <w:t>was often viewed as</w:t>
            </w:r>
            <w:r w:rsidRPr="00A078C8">
              <w:rPr>
                <w:spacing w:val="-2"/>
              </w:rPr>
              <w:t xml:space="preserve"> reward for hard work or skill — or keeping a </w:t>
            </w:r>
            <w:r>
              <w:rPr>
                <w:spacing w:val="-2"/>
              </w:rPr>
              <w:t>share</w:t>
            </w:r>
            <w:r w:rsidRPr="00A078C8">
              <w:rPr>
                <w:spacing w:val="-2"/>
              </w:rPr>
              <w:t xml:space="preserve"> of the financial benefits</w:t>
            </w:r>
            <w:r>
              <w:rPr>
                <w:spacing w:val="-2"/>
              </w:rPr>
              <w:t xml:space="preserve"> of that</w:t>
            </w:r>
            <w:r w:rsidRPr="00A078C8">
              <w:rPr>
                <w:spacing w:val="-2"/>
              </w:rPr>
              <w:t xml:space="preserve"> work</w:t>
            </w:r>
            <w:r>
              <w:rPr>
                <w:spacing w:val="-2"/>
              </w:rPr>
              <w:t xml:space="preserve">. The dilemma in designing an HFE system is that it is not easy to distinguish between fiscal gains that reflect a State Government’s policy effort from those that are merely ‘the luck of the draw’. In many cases, it will be a combination of the two. For instance, although some States are endowed with an abundance of valuable natural resources, such as minerals, they must exert some effort in facilitating extraction and development of their resources, such as licensing and approvals. Such effort can be considerable, especially for contentious mining activities. </w:t>
            </w:r>
          </w:p>
          <w:p w14:paraId="795494ED" w14:textId="77777777" w:rsidR="00F05DC7" w:rsidRPr="00B74674" w:rsidRDefault="00F05DC7" w:rsidP="00A3786D">
            <w:pPr>
              <w:pStyle w:val="Box"/>
              <w:rPr>
                <w:spacing w:val="-2"/>
              </w:rPr>
            </w:pPr>
            <w:r>
              <w:rPr>
                <w:spacing w:val="-2"/>
              </w:rPr>
              <w:t>The</w:t>
            </w:r>
            <w:r w:rsidRPr="00B74674">
              <w:rPr>
                <w:spacing w:val="-2"/>
              </w:rPr>
              <w:t xml:space="preserve"> Commission considers it important to take account </w:t>
            </w:r>
            <w:r>
              <w:rPr>
                <w:spacing w:val="-2"/>
              </w:rPr>
              <w:t xml:space="preserve">of </w:t>
            </w:r>
            <w:r w:rsidRPr="00B74674">
              <w:rPr>
                <w:spacing w:val="-2"/>
              </w:rPr>
              <w:t xml:space="preserve">concerns </w:t>
            </w:r>
            <w:r>
              <w:rPr>
                <w:spacing w:val="-2"/>
              </w:rPr>
              <w:t xml:space="preserve">about </w:t>
            </w:r>
            <w:r w:rsidRPr="00B74674">
              <w:rPr>
                <w:spacing w:val="-2"/>
              </w:rPr>
              <w:t>fairness</w:t>
            </w:r>
            <w:r>
              <w:rPr>
                <w:spacing w:val="-2"/>
              </w:rPr>
              <w:t xml:space="preserve">, especially where such concerns relate to disincentives for good policy (efficiency). And thus, our </w:t>
            </w:r>
            <w:r w:rsidRPr="00B74674">
              <w:rPr>
                <w:spacing w:val="-2"/>
              </w:rPr>
              <w:t>assessment of how the HFE system achieves equity take</w:t>
            </w:r>
            <w:r>
              <w:rPr>
                <w:spacing w:val="-2"/>
              </w:rPr>
              <w:t>s</w:t>
            </w:r>
            <w:r w:rsidRPr="00B74674">
              <w:rPr>
                <w:spacing w:val="-2"/>
              </w:rPr>
              <w:t xml:space="preserve"> account </w:t>
            </w:r>
            <w:r>
              <w:rPr>
                <w:spacing w:val="-2"/>
              </w:rPr>
              <w:t xml:space="preserve">of </w:t>
            </w:r>
            <w:r w:rsidRPr="00B74674">
              <w:rPr>
                <w:spacing w:val="-2"/>
              </w:rPr>
              <w:t>whether it can address inherent advantages and disadvantages in the fiscal capacities of the States</w:t>
            </w:r>
            <w:r>
              <w:rPr>
                <w:spacing w:val="-2"/>
              </w:rPr>
              <w:t xml:space="preserve"> (fiscal equality)</w:t>
            </w:r>
            <w:r w:rsidRPr="00B74674">
              <w:rPr>
                <w:spacing w:val="-2"/>
              </w:rPr>
              <w:t xml:space="preserve"> </w:t>
            </w:r>
            <w:r w:rsidRPr="004E612C">
              <w:rPr>
                <w:i/>
                <w:spacing w:val="-2"/>
              </w:rPr>
              <w:t>and</w:t>
            </w:r>
            <w:r w:rsidRPr="00B74674">
              <w:rPr>
                <w:spacing w:val="-2"/>
              </w:rPr>
              <w:t xml:space="preserve"> reflect some fiscal reward for effort</w:t>
            </w:r>
            <w:r>
              <w:rPr>
                <w:spacing w:val="-2"/>
              </w:rPr>
              <w:t xml:space="preserve"> </w:t>
            </w:r>
            <w:r w:rsidRPr="00B74674">
              <w:rPr>
                <w:spacing w:val="-2"/>
              </w:rPr>
              <w:t>and policy reform</w:t>
            </w:r>
            <w:r>
              <w:rPr>
                <w:spacing w:val="-2"/>
              </w:rPr>
              <w:t xml:space="preserve"> (fairness)</w:t>
            </w:r>
            <w:r w:rsidRPr="00B74674">
              <w:rPr>
                <w:spacing w:val="-2"/>
              </w:rPr>
              <w:t>.</w:t>
            </w:r>
            <w:r>
              <w:rPr>
                <w:spacing w:val="-2"/>
              </w:rPr>
              <w:t xml:space="preserve"> </w:t>
            </w:r>
          </w:p>
        </w:tc>
      </w:tr>
      <w:tr w:rsidR="00F05DC7" w14:paraId="795494F0" w14:textId="77777777" w:rsidTr="00A3786D">
        <w:tc>
          <w:tcPr>
            <w:tcW w:w="5000" w:type="pct"/>
            <w:tcBorders>
              <w:top w:val="nil"/>
              <w:left w:val="nil"/>
              <w:bottom w:val="single" w:sz="6" w:space="0" w:color="78A22F"/>
              <w:right w:val="nil"/>
            </w:tcBorders>
            <w:shd w:val="clear" w:color="auto" w:fill="F2F2F2"/>
          </w:tcPr>
          <w:p w14:paraId="795494EF" w14:textId="77777777" w:rsidR="00F05DC7" w:rsidRDefault="00F05DC7" w:rsidP="00A3786D">
            <w:pPr>
              <w:pStyle w:val="Box"/>
              <w:spacing w:before="0" w:line="120" w:lineRule="exact"/>
            </w:pPr>
          </w:p>
        </w:tc>
      </w:tr>
      <w:tr w:rsidR="00F05DC7" w:rsidRPr="000863A5" w14:paraId="795494F2" w14:textId="77777777" w:rsidTr="00A3786D">
        <w:tc>
          <w:tcPr>
            <w:tcW w:w="5000" w:type="pct"/>
            <w:tcBorders>
              <w:top w:val="single" w:sz="6" w:space="0" w:color="78A22F"/>
              <w:left w:val="nil"/>
              <w:bottom w:val="nil"/>
              <w:right w:val="nil"/>
            </w:tcBorders>
          </w:tcPr>
          <w:p w14:paraId="795494F1" w14:textId="77777777" w:rsidR="00F05DC7" w:rsidRPr="00626D32" w:rsidRDefault="00F05DC7" w:rsidP="00A3786D">
            <w:pPr>
              <w:pStyle w:val="BoxSpaceBelow"/>
            </w:pPr>
          </w:p>
        </w:tc>
      </w:tr>
    </w:tbl>
    <w:p w14:paraId="795494F3" w14:textId="77777777" w:rsidR="00F05DC7" w:rsidRDefault="00F05DC7" w:rsidP="00A3786D">
      <w:pPr>
        <w:pStyle w:val="BodyText"/>
      </w:pPr>
      <w:r>
        <w:lastRenderedPageBreak/>
        <w:t xml:space="preserve">The Commission’s framework also acknowledges that it is not possible to </w:t>
      </w:r>
      <w:r w:rsidRPr="008277E5">
        <w:t>completely</w:t>
      </w:r>
      <w:r>
        <w:t xml:space="preserve"> avoid adverse efficiency effects arising from any system of HFE. This is because systems of redistribution, such as HFE, are based on measures of fiscal capacities that can be influenced by governments, and thus adverse incentive effects are, </w:t>
      </w:r>
      <w:r w:rsidRPr="008277E5">
        <w:t>in principle</w:t>
      </w:r>
      <w:r>
        <w:t xml:space="preserve">, inescapable. The key goal is to ensure that the </w:t>
      </w:r>
      <w:r w:rsidRPr="00212123">
        <w:t xml:space="preserve">HFE </w:t>
      </w:r>
      <w:r>
        <w:t xml:space="preserve">system does not </w:t>
      </w:r>
      <w:r w:rsidRPr="00691EC2">
        <w:rPr>
          <w:i/>
        </w:rPr>
        <w:t>unduly</w:t>
      </w:r>
      <w:r>
        <w:t xml:space="preserve"> discourage efficiency</w:t>
      </w:r>
      <w:r>
        <w:noBreakHyphen/>
        <w:t>enhancing reforms, productivity improvements, or growth.</w:t>
      </w:r>
    </w:p>
    <w:p w14:paraId="795494F4" w14:textId="77777777" w:rsidR="00F05DC7" w:rsidRDefault="00F05DC7" w:rsidP="00A3786D">
      <w:pPr>
        <w:pStyle w:val="BodyText"/>
      </w:pPr>
      <w:r>
        <w:t>In carrying out our assessment, the Commission has constructed a set of ‘cameos’ to illustrate the efficiency effects of the system. This was done by looking at how potential State policy changes can impact on States’ GST shares and the influence this might have on States’ incentives. Since the draft report, the Commission has developed additional cameos to test these ideas further. Work has also been undertaken to assess the relative efficiency effects of alternative equalisation benchmarks. Finally, the Commission has developed a set of principles to guide the transition to any new equalisation approach and has assessed what the transitional impacts might be. The latter benefited from further (post draft report) consultation with the Commonwealth and the States, to inform projections of State relativities and the GST pool for the transition period.</w:t>
      </w:r>
    </w:p>
    <w:p w14:paraId="795494F5" w14:textId="77777777" w:rsidR="00F05DC7" w:rsidRDefault="00F05DC7" w:rsidP="00A3786D">
      <w:pPr>
        <w:pStyle w:val="Heading2"/>
      </w:pPr>
      <w:bookmarkStart w:id="27" w:name="_Toc513637679"/>
      <w:r>
        <w:t>What is HFE and why does it exist?</w:t>
      </w:r>
      <w:bookmarkEnd w:id="27"/>
    </w:p>
    <w:p w14:paraId="795494F6" w14:textId="77777777" w:rsidR="00F05DC7" w:rsidRDefault="00F05DC7" w:rsidP="00A3786D">
      <w:pPr>
        <w:pStyle w:val="BodyText"/>
      </w:pPr>
      <w:r>
        <w:t>HFE involves the transfer of funds to or between States to offset differences in revenue</w:t>
      </w:r>
      <w:r>
        <w:noBreakHyphen/>
        <w:t>raising capacities and/or the use and costs of providing services and infrastructure.</w:t>
      </w:r>
    </w:p>
    <w:p w14:paraId="795494F7" w14:textId="77777777" w:rsidR="00F05DC7" w:rsidRDefault="00F05DC7" w:rsidP="00A3786D">
      <w:pPr>
        <w:pStyle w:val="BodyText"/>
      </w:pPr>
      <w:r>
        <w:t xml:space="preserve">The primary rationale for HFE is fiscal equality, or the equal treatment of equals — as people in different regions might expect to be treated under a unitary government. This is an unrealistic expectation in a federation, where the States have significant policy autonomy. So in practice HFE seeks equal fiscal treatment of jurisdictions, not interpersonal equity. </w:t>
      </w:r>
    </w:p>
    <w:p w14:paraId="795494F8" w14:textId="77777777" w:rsidR="00F05DC7" w:rsidRDefault="00F05DC7" w:rsidP="00A3786D">
      <w:pPr>
        <w:pStyle w:val="BodyText"/>
      </w:pPr>
      <w:r w:rsidDel="000D4AD5">
        <w:t xml:space="preserve">There is also an efficiency </w:t>
      </w:r>
      <w:r>
        <w:t>aspect</w:t>
      </w:r>
      <w:r w:rsidDel="000D4AD5">
        <w:t xml:space="preserve"> to HFE. </w:t>
      </w:r>
      <w:r>
        <w:t xml:space="preserve">The theory argues that, in the absence of HFE, people could move interstate solely due to differences in States’ abilities to offer lower taxes or a greater level of services, instead of underlying economic drivers like employment opportunities. </w:t>
      </w:r>
      <w:r w:rsidDel="000D4AD5">
        <w:t xml:space="preserve">HFE is sometimes </w:t>
      </w:r>
      <w:r>
        <w:t xml:space="preserve">also </w:t>
      </w:r>
      <w:r w:rsidDel="000D4AD5">
        <w:t xml:space="preserve">seen as a mechanism to insure against adverse </w:t>
      </w:r>
      <w:r>
        <w:t xml:space="preserve">economic </w:t>
      </w:r>
      <w:r w:rsidDel="000D4AD5">
        <w:t>shocks</w:t>
      </w:r>
      <w:r>
        <w:t>, by acting to offset lower revenues in a single jurisdiction</w:t>
      </w:r>
      <w:r w:rsidDel="000D4AD5">
        <w:t xml:space="preserve">. </w:t>
      </w:r>
      <w:r>
        <w:t xml:space="preserve">The relevance of these other rationales for HFE is more contested. </w:t>
      </w:r>
    </w:p>
    <w:p w14:paraId="795494F9" w14:textId="77777777" w:rsidR="00F05DC7" w:rsidRDefault="00F05DC7" w:rsidP="00A3786D">
      <w:pPr>
        <w:pStyle w:val="BodyText"/>
      </w:pPr>
      <w:r>
        <w:t xml:space="preserve">HFE is one part of a broader system of federal financial relations in Australia, which is characterised by both </w:t>
      </w:r>
      <w:r w:rsidRPr="00CA3137">
        <w:rPr>
          <w:i/>
        </w:rPr>
        <w:t>horizontal</w:t>
      </w:r>
      <w:r>
        <w:t xml:space="preserve"> and </w:t>
      </w:r>
      <w:r w:rsidRPr="00CA3137">
        <w:rPr>
          <w:i/>
        </w:rPr>
        <w:t>vertical</w:t>
      </w:r>
      <w:r>
        <w:t xml:space="preserve"> fiscal inequities (gaps). </w:t>
      </w:r>
      <w:r w:rsidRPr="003B67FA">
        <w:t xml:space="preserve">The </w:t>
      </w:r>
      <w:r>
        <w:t>latter refers to the fact that the Commonwealth</w:t>
      </w:r>
      <w:r w:rsidRPr="003B67FA">
        <w:t xml:space="preserve"> Government raises revenues in excess of its spending</w:t>
      </w:r>
      <w:r>
        <w:t xml:space="preserve"> responsibilities, while State G</w:t>
      </w:r>
      <w:r w:rsidRPr="003B67FA">
        <w:t>overnments have insufficient revenue from their own sources to finance their spending responsibilities</w:t>
      </w:r>
      <w:r>
        <w:t xml:space="preserve">. For the States, some of this ‘gap’ is of their own volition, due to how they choose to use their tax bases. The distribution of GST revenues in Australia aims to </w:t>
      </w:r>
      <w:r w:rsidRPr="003B67FA">
        <w:t xml:space="preserve">correct </w:t>
      </w:r>
      <w:r>
        <w:t xml:space="preserve">both </w:t>
      </w:r>
      <w:r w:rsidRPr="003B67FA">
        <w:t xml:space="preserve">for </w:t>
      </w:r>
      <w:r>
        <w:t>the</w:t>
      </w:r>
      <w:r w:rsidRPr="003B67FA">
        <w:t xml:space="preserve"> imbalance in taxing and spending</w:t>
      </w:r>
      <w:r>
        <w:t xml:space="preserve"> powers</w:t>
      </w:r>
      <w:r w:rsidRPr="003B67FA">
        <w:t xml:space="preserve"> between the Commonwealth and the States</w:t>
      </w:r>
      <w:r>
        <w:t xml:space="preserve"> (vertical),</w:t>
      </w:r>
      <w:r w:rsidRPr="003B67FA">
        <w:t xml:space="preserve"> and </w:t>
      </w:r>
      <w:r>
        <w:t>between</w:t>
      </w:r>
      <w:r w:rsidRPr="003B67FA">
        <w:t xml:space="preserve"> the States</w:t>
      </w:r>
      <w:r>
        <w:t xml:space="preserve"> (horizontal)</w:t>
      </w:r>
      <w:r w:rsidRPr="003B67FA">
        <w:t>.</w:t>
      </w:r>
      <w:r>
        <w:t xml:space="preserve"> </w:t>
      </w:r>
    </w:p>
    <w:p w14:paraId="795494FA" w14:textId="77777777" w:rsidR="00F05DC7" w:rsidRDefault="00F05DC7" w:rsidP="00A3786D">
      <w:pPr>
        <w:pStyle w:val="Heading3"/>
      </w:pPr>
      <w:r>
        <w:lastRenderedPageBreak/>
        <w:t>The current practice of HFE in Australia</w:t>
      </w:r>
    </w:p>
    <w:p w14:paraId="795494FB" w14:textId="77777777" w:rsidR="00F05DC7" w:rsidRDefault="00F05DC7" w:rsidP="00A3786D">
      <w:pPr>
        <w:pStyle w:val="BodyText"/>
      </w:pPr>
      <w:r w:rsidRPr="00AA4876">
        <w:t xml:space="preserve">The HFE </w:t>
      </w:r>
      <w:r>
        <w:t>system</w:t>
      </w:r>
      <w:r w:rsidRPr="00AA4876">
        <w:t xml:space="preserve"> has evolved over time, primarily as a result of the work of the CGC</w:t>
      </w:r>
      <w:r>
        <w:t xml:space="preserve">. The objective has also </w:t>
      </w:r>
      <w:r w:rsidRPr="00AA4876">
        <w:t>evolved</w:t>
      </w:r>
      <w:r>
        <w:t xml:space="preserve"> </w:t>
      </w:r>
      <w:r w:rsidRPr="00AA4876">
        <w:t>from partial to full and comprehensive equalisation</w:t>
      </w:r>
      <w:r>
        <w:t xml:space="preserve"> by the early 1980s</w:t>
      </w:r>
      <w:r w:rsidRPr="00AA4876">
        <w:t>.</w:t>
      </w:r>
      <w:r>
        <w:t xml:space="preserve"> Since the introduction of the GST in 2000, there has been limited input from the Commonwealth Government, which has provided only implicit approval of GST relativities and developments in the HFE methodology through yearly updates and the five</w:t>
      </w:r>
      <w:r>
        <w:noBreakHyphen/>
        <w:t>yearly methodology review terms of reference (box 2)</w:t>
      </w:r>
      <w:r w:rsidRPr="00AA4876">
        <w:t xml:space="preserve">. </w:t>
      </w:r>
      <w:r>
        <w:t>Australia is recognised internationally as unique in almost completely eliminating disparities in fiscal capacity between States.</w:t>
      </w:r>
    </w:p>
    <w:p w14:paraId="795494FC" w14:textId="77777777" w:rsidR="00F05DC7" w:rsidRDefault="00F05DC7" w:rsidP="00A3786D">
      <w:pPr>
        <w:pStyle w:val="BodyText"/>
      </w:pPr>
      <w:r>
        <w:t>Presently, the CGC recommends a distribution of GST revenue according to the following:</w:t>
      </w:r>
    </w:p>
    <w:p w14:paraId="795494FD" w14:textId="77777777" w:rsidR="00F05DC7" w:rsidRDefault="00F05DC7" w:rsidP="00A3786D">
      <w:pPr>
        <w:pStyle w:val="Quote"/>
      </w:pPr>
      <w:r>
        <w:t xml:space="preserve">State governments should receive funding from the pool of goods and services tax revenue such that, </w:t>
      </w:r>
      <w:r w:rsidRPr="00B857D0">
        <w:t>after allowing for material factors affecting revenues and expenditures</w:t>
      </w:r>
      <w:r>
        <w:t xml:space="preserve">, each would have the fiscal capacity to provide services and the associated infrastructure at the same standard, if each made the same effort to raise revenue from its own sources and operated at the same level of efficiency. </w:t>
      </w:r>
    </w:p>
    <w:p w14:paraId="795494FE" w14:textId="77777777" w:rsidR="00F05DC7" w:rsidRDefault="00F05DC7" w:rsidP="00A3786D">
      <w:pPr>
        <w:pStyle w:val="BodyText"/>
      </w:pPr>
      <w:r>
        <w:t>The CGC also applies a set of four supporting principles to guide its methodology. These are: reflect what States collectively do (rather than what they could or should do), policy neutrality (avoid individual State policy decisions directly affecting their GST shares), practicality and contemporaneity. These supporting principles, however, are generally subsidiary to the primary objective of achieving full and comprehensive equalisation.</w:t>
      </w:r>
    </w:p>
    <w:p w14:paraId="795494FF" w14:textId="77777777" w:rsidR="00F05DC7" w:rsidRDefault="00F05DC7" w:rsidP="00A3786D">
      <w:pPr>
        <w:pStyle w:val="BodyText"/>
      </w:pPr>
      <w:r>
        <w:t>The process used by the CGC to calculate the GST relativities is complex and comprehensive. It covers all State general government activities across seven revenue categories plus Commonwealth payments and 13 expense categories (plus net borrowing). The CGC’s 2015 methodology review comprised two volumes that totalled over 800 pages.</w:t>
      </w:r>
    </w:p>
    <w:p w14:paraId="79549500" w14:textId="77777777" w:rsidR="00F05DC7" w:rsidRDefault="00F05DC7" w:rsidP="00A3786D">
      <w:pPr>
        <w:pStyle w:val="BodyText"/>
      </w:pPr>
      <w:r>
        <w:t>This comprehensive scope does not mean that all activities are differentially assessed (that is, have ‘disabilities’ that reflect a State’s structural disadvantages applied to them) or that HFE achieves perfect equalisation. Some</w:t>
      </w:r>
      <w:r w:rsidRPr="008E13E5">
        <w:t xml:space="preserve"> disabilities cannot be reliably measured</w:t>
      </w:r>
      <w:r>
        <w:t xml:space="preserve"> </w:t>
      </w:r>
      <w:r w:rsidRPr="008E13E5">
        <w:t>or have an immaterial impact</w:t>
      </w:r>
      <w:r>
        <w:t xml:space="preserve"> and are either discounted or assessed on an equal per capita (EPC) basis. Due to this, i</w:t>
      </w:r>
      <w:r w:rsidRPr="00784C3F">
        <w:t>n 201</w:t>
      </w:r>
      <w:r>
        <w:t>6</w:t>
      </w:r>
      <w:r>
        <w:noBreakHyphen/>
        <w:t>17, nearly 40 per cent of revenues, and about 20 per cent of expenditures were assessed on an EPC basis, or near EPC basis.</w:t>
      </w:r>
    </w:p>
    <w:p w14:paraId="79549501" w14:textId="77777777" w:rsidR="00F05DC7" w:rsidRDefault="00F05DC7" w:rsidP="00A3786D">
      <w:pPr>
        <w:pStyle w:val="BodyText"/>
        <w:keepNext/>
      </w:pPr>
      <w:r>
        <w:t>Conceptually, the CGC’s formula does the following (figure 2):</w:t>
      </w:r>
    </w:p>
    <w:p w14:paraId="79549502" w14:textId="77777777" w:rsidR="00F05DC7" w:rsidRPr="00E76870" w:rsidRDefault="00F05DC7" w:rsidP="00A3786D">
      <w:pPr>
        <w:pStyle w:val="ListNumber"/>
      </w:pPr>
      <w:r w:rsidRPr="00E76870">
        <w:t xml:space="preserve">States with relatively low fiscal capacities are raised to the average </w:t>
      </w:r>
      <w:r>
        <w:t>(pre</w:t>
      </w:r>
      <w:r>
        <w:noBreakHyphen/>
        <w:t xml:space="preserve">GST) </w:t>
      </w:r>
      <w:r w:rsidRPr="00E76870">
        <w:t>fiscal capacity of all States</w:t>
      </w:r>
    </w:p>
    <w:p w14:paraId="79549503" w14:textId="77777777" w:rsidR="00F05DC7" w:rsidRDefault="00F05DC7" w:rsidP="00A3786D">
      <w:pPr>
        <w:pStyle w:val="ListNumber"/>
      </w:pPr>
      <w:r>
        <w:t>a</w:t>
      </w:r>
      <w:r w:rsidRPr="00E76870">
        <w:t xml:space="preserve">ll States are then raised to the capacity of the fiscally strongest </w:t>
      </w:r>
      <w:r>
        <w:t>State</w:t>
      </w:r>
      <w:r w:rsidRPr="00E76870">
        <w:t xml:space="preserve"> (currently W</w:t>
      </w:r>
      <w:r>
        <w:t xml:space="preserve">estern </w:t>
      </w:r>
      <w:r w:rsidRPr="00E76870">
        <w:t>A</w:t>
      </w:r>
      <w:r>
        <w:t>ustralia</w:t>
      </w:r>
      <w:r w:rsidRPr="00E76870">
        <w:t>)</w:t>
      </w:r>
    </w:p>
    <w:p w14:paraId="79549504" w14:textId="77777777" w:rsidR="00F05DC7" w:rsidRPr="00F77B75" w:rsidRDefault="00F05DC7" w:rsidP="00A3786D">
      <w:pPr>
        <w:pStyle w:val="ListNumber"/>
      </w:pPr>
      <w:r>
        <w:t>a</w:t>
      </w:r>
      <w:r w:rsidRPr="00E76870">
        <w:t>ny remaining</w:t>
      </w:r>
      <w:r>
        <w:t xml:space="preserve"> revenue from the GST pool is distributed to all States on an EPC </w:t>
      </w:r>
      <w:r w:rsidRPr="00244824">
        <w:t>basis.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506" w14:textId="77777777" w:rsidTr="001113B1">
        <w:trPr>
          <w:tblHeader/>
        </w:trPr>
        <w:tc>
          <w:tcPr>
            <w:tcW w:w="5000" w:type="pct"/>
            <w:tcBorders>
              <w:top w:val="single" w:sz="6" w:space="0" w:color="78A22F"/>
              <w:left w:val="nil"/>
              <w:bottom w:val="nil"/>
              <w:right w:val="nil"/>
            </w:tcBorders>
            <w:shd w:val="clear" w:color="auto" w:fill="F2F2F2"/>
          </w:tcPr>
          <w:p w14:paraId="79549505" w14:textId="77777777" w:rsidR="00F05DC7" w:rsidRDefault="00F05DC7" w:rsidP="00A3786D">
            <w:pPr>
              <w:pStyle w:val="BoxTitle"/>
            </w:pPr>
            <w:r>
              <w:rPr>
                <w:b w:val="0"/>
              </w:rPr>
              <w:lastRenderedPageBreak/>
              <w:t>Box 2</w:t>
            </w:r>
            <w:r>
              <w:tab/>
              <w:t>The evolution of HFE in Australia</w:t>
            </w:r>
          </w:p>
        </w:tc>
      </w:tr>
      <w:tr w:rsidR="00F05DC7" w14:paraId="7954950E" w14:textId="77777777" w:rsidTr="00A3786D">
        <w:tc>
          <w:tcPr>
            <w:tcW w:w="5000" w:type="pct"/>
            <w:tcBorders>
              <w:top w:val="nil"/>
              <w:left w:val="nil"/>
              <w:bottom w:val="nil"/>
              <w:right w:val="nil"/>
            </w:tcBorders>
            <w:shd w:val="clear" w:color="auto" w:fill="F2F2F2"/>
          </w:tcPr>
          <w:p w14:paraId="79549507" w14:textId="77777777" w:rsidR="00F05DC7" w:rsidRDefault="00F05DC7" w:rsidP="00A3786D">
            <w:pPr>
              <w:pStyle w:val="Box"/>
            </w:pPr>
            <w:r>
              <w:t>Horizontal fiscal equalisation has a long history in Australia. Upon federating, the six colonies of Australia ceded the right to impose and collect customs and excise duties (the dominant source of public revenue at the time) in favour of the Commonwealth. This created a vertical fiscal imbalance (VFI) and led to various general revenue</w:t>
            </w:r>
            <w:r>
              <w:noBreakHyphen/>
              <w:t>sharing schemes with the States. In addition, special grants were made to the fiscally weaker States — Western Australia, Tasmania and South Australia — largely on an ad hoc basis.</w:t>
            </w:r>
          </w:p>
          <w:p w14:paraId="79549508" w14:textId="77777777" w:rsidR="00F05DC7" w:rsidRDefault="00F05DC7" w:rsidP="00A3786D">
            <w:pPr>
              <w:pStyle w:val="Box"/>
            </w:pPr>
            <w:r>
              <w:t>In 1933, following the threat of Western Australia’s secession, the Commonwealth Grants Commission (CGC) was established to make recommendations on these special grants. This was done on the basis of making it possible for a claimant State ‘</w:t>
            </w:r>
            <w:r w:rsidRPr="00F2498E">
              <w:t>by reasonable effort to function at a standard not appreciably below that of other States</w:t>
            </w:r>
            <w:r>
              <w:t>’</w:t>
            </w:r>
            <w:r w:rsidRPr="00F2498E">
              <w:t xml:space="preserve">. </w:t>
            </w:r>
            <w:r>
              <w:t>The CGC</w:t>
            </w:r>
            <w:r w:rsidRPr="00F2498E">
              <w:t xml:space="preserve"> also imposed a ‘penalty</w:t>
            </w:r>
            <w:r>
              <w:t xml:space="preserve"> for claimancy’ until 1945.</w:t>
            </w:r>
          </w:p>
          <w:p w14:paraId="79549509" w14:textId="77777777" w:rsidR="00F05DC7" w:rsidRDefault="00F05DC7" w:rsidP="00A3786D">
            <w:pPr>
              <w:pStyle w:val="Box"/>
            </w:pPr>
            <w:r>
              <w:t>During the Second World War, the Commonwealth assumed sole responsibility for collecting income tax. This significantly exacerbated VFI and necessitated a greater level of general revenue sharing with the States. In</w:t>
            </w:r>
            <w:r w:rsidRPr="00DD6C33">
              <w:t xml:space="preserve"> </w:t>
            </w:r>
            <w:r>
              <w:t>the postwar period</w:t>
            </w:r>
            <w:r w:rsidRPr="00DD6C33">
              <w:t xml:space="preserve">, </w:t>
            </w:r>
            <w:r>
              <w:t xml:space="preserve">specific purpose payments also became more important </w:t>
            </w:r>
            <w:r w:rsidRPr="008F791C">
              <w:t xml:space="preserve">as a means of providing financial assistance </w:t>
            </w:r>
            <w:r>
              <w:t xml:space="preserve">and </w:t>
            </w:r>
            <w:r w:rsidRPr="008F791C">
              <w:t>influencing the delivery of services and infrastructure within States</w:t>
            </w:r>
            <w:r>
              <w:t xml:space="preserve">. In contrast, </w:t>
            </w:r>
            <w:r w:rsidRPr="00DD6C33">
              <w:t xml:space="preserve">the significance of horizontal equalisation achieved by way of special grants </w:t>
            </w:r>
            <w:r>
              <w:t xml:space="preserve">recommended by the CGC </w:t>
            </w:r>
            <w:r w:rsidRPr="00DD6C33">
              <w:t>gradually declined</w:t>
            </w:r>
            <w:r>
              <w:t xml:space="preserve">. South Australia, Western Australia, Tasmania and Queensland entered and withdrew from claimancy at various times between 1960 and 1975. </w:t>
            </w:r>
          </w:p>
          <w:p w14:paraId="7954950A" w14:textId="77777777" w:rsidR="00F05DC7" w:rsidRDefault="00F05DC7" w:rsidP="00A3786D">
            <w:pPr>
              <w:pStyle w:val="Box"/>
              <w:rPr>
                <w:rFonts w:ascii="Times New Roman" w:hAnsi="Times New Roman"/>
                <w:sz w:val="24"/>
                <w:szCs w:val="24"/>
              </w:rPr>
            </w:pPr>
            <w:r>
              <w:t>A major change occurred in the mid to late 1970s. Financial assistance grants (to address VFI) were replaced by income tax sharing arrangements, and the Premiers’ Conference of April 1977 decided that revenue under this arrangement was to be distributed on the basis of relativities based on equalisation principles. This meant that the same funding source was being used to address vertical and horizontal fiscal imbalance, and the CGC’s recommendations affected the finances of all States, not just the claimant States</w:t>
            </w:r>
            <w:r w:rsidRPr="00082161">
              <w:t>. By 1985, the allocation to the States had become a zero</w:t>
            </w:r>
            <w:r>
              <w:noBreakHyphen/>
            </w:r>
            <w:r w:rsidRPr="00082161">
              <w:t>sum game, albeit initially from a much smaller pool of grants than today ($10</w:t>
            </w:r>
            <w:r>
              <w:t> </w:t>
            </w:r>
            <w:r w:rsidRPr="00082161">
              <w:t>billion in 1985</w:t>
            </w:r>
            <w:r>
              <w:noBreakHyphen/>
            </w:r>
            <w:r w:rsidRPr="00082161">
              <w:t>86</w:t>
            </w:r>
            <w:r>
              <w:t>, or about $28 billion in current dollars</w:t>
            </w:r>
            <w:r w:rsidRPr="00082161">
              <w:t>).</w:t>
            </w:r>
            <w:r>
              <w:t xml:space="preserve"> </w:t>
            </w:r>
          </w:p>
          <w:p w14:paraId="7954950B" w14:textId="77777777" w:rsidR="00F05DC7" w:rsidRDefault="00F05DC7" w:rsidP="00A3786D">
            <w:pPr>
              <w:pStyle w:val="Box"/>
            </w:pPr>
            <w:r>
              <w:t xml:space="preserve">The full equalisation principle, as embodied in the </w:t>
            </w:r>
            <w:r w:rsidRPr="00D10E0A">
              <w:rPr>
                <w:i/>
              </w:rPr>
              <w:t>States (Personal Income Tax Sharing) Amendment Act 1978</w:t>
            </w:r>
            <w:r>
              <w:t xml:space="preserve"> (Cwlth), referred to ‘ … </w:t>
            </w:r>
            <w:r w:rsidRPr="00F2498E">
              <w:t>standards not appreciably different from the standards of government services provided by the other States</w:t>
            </w:r>
            <w:r>
              <w:t>’. Since then, there have been further revisions by the CGC to the equalisation principle, which now refers to States being able to function at the ‘same standard’. Essentially, the CGC has been recommending relativities based on full equalisation since 1981.</w:t>
            </w:r>
          </w:p>
          <w:p w14:paraId="7954950C" w14:textId="77777777" w:rsidR="00F05DC7" w:rsidRDefault="00F05DC7" w:rsidP="00A3786D">
            <w:pPr>
              <w:pStyle w:val="Box"/>
            </w:pPr>
            <w:r>
              <w:t xml:space="preserve">Another significant change occurred with the introduction of the GST in 2000. The GST replaced financial assistance grants and various state taxes, and the GST pool was to be returned to the States according to the principle of HFE. It meant that the Commonwealth no longer had any substantive role in determining the total level of general revenue grants to the States: </w:t>
            </w:r>
          </w:p>
          <w:p w14:paraId="7954950D" w14:textId="77777777" w:rsidR="00F05DC7" w:rsidRDefault="00F05DC7" w:rsidP="00A3786D">
            <w:pPr>
              <w:pStyle w:val="BoxQuote"/>
            </w:pPr>
            <w:r>
              <w:t>…</w:t>
            </w:r>
            <w:r w:rsidRPr="00F842E2">
              <w:t xml:space="preserve"> </w:t>
            </w:r>
            <w:r>
              <w:t>[T]</w:t>
            </w:r>
            <w:r w:rsidRPr="00F842E2">
              <w:t xml:space="preserve">he terms were agreed between the States. This is a very important point. Now, New South Wales will come in here and say it needs more money. That is an argument it is having with Queensland and Western Australia. Not an argument with me. </w:t>
            </w:r>
            <w:r>
              <w:t>(Peter Costello 2006)</w:t>
            </w:r>
          </w:p>
        </w:tc>
      </w:tr>
      <w:tr w:rsidR="00F05DC7" w14:paraId="79549510" w14:textId="77777777" w:rsidTr="00A3786D">
        <w:tc>
          <w:tcPr>
            <w:tcW w:w="5000" w:type="pct"/>
            <w:tcBorders>
              <w:top w:val="nil"/>
              <w:left w:val="nil"/>
              <w:bottom w:val="single" w:sz="6" w:space="0" w:color="78A22F"/>
              <w:right w:val="nil"/>
            </w:tcBorders>
            <w:shd w:val="clear" w:color="auto" w:fill="F2F2F2"/>
          </w:tcPr>
          <w:p w14:paraId="7954950F" w14:textId="77777777" w:rsidR="00F05DC7" w:rsidRDefault="00F05DC7" w:rsidP="00A3786D">
            <w:pPr>
              <w:pStyle w:val="Box"/>
              <w:spacing w:before="0" w:line="120" w:lineRule="exact"/>
            </w:pPr>
          </w:p>
        </w:tc>
      </w:tr>
    </w:tbl>
    <w:p w14:paraId="79549511" w14:textId="77777777" w:rsidR="00F05DC7" w:rsidRDefault="00F05DC7" w:rsidP="00A3786D">
      <w:pPr>
        <w:pStyle w:val="BodyText"/>
        <w:spacing w:after="240"/>
      </w:pPr>
      <w:r>
        <w:t>After these equalisation steps, all States are provided with the fiscal capacity to provide the national average level of services. And due to a vertical fiscal imbalance (VFI) between the State and Commonwealth Governments, even the fiscally strongest State requires an EPC component ‘top up’ (step three) to be able to provide the average level of services.</w:t>
      </w:r>
    </w:p>
    <w:p w14:paraId="79549512" w14:textId="77777777" w:rsidR="00F05DC7" w:rsidRDefault="00F05DC7" w:rsidP="00A3786D">
      <w:pPr>
        <w:pStyle w:val="BodyText"/>
        <w:spacing w:after="240"/>
      </w:pPr>
      <w:r>
        <w:lastRenderedPageBreak/>
        <w:t>The size of the equalisation task — that is, the share of the GST pool required to bring all States up to the fiscal capacity of the strongest State — fluctuated between 14 per cent and 17 per cent of GST revenue from 2000</w:t>
      </w:r>
      <w:r>
        <w:noBreakHyphen/>
        <w:t>01 to 2007</w:t>
      </w:r>
      <w:r>
        <w:noBreakHyphen/>
        <w:t>08, before rising to 70 per cent of the pool in 2016</w:t>
      </w:r>
      <w:r>
        <w:noBreakHyphen/>
        <w:t>17 and falling to just over 50 per cent in 2018</w:t>
      </w:r>
      <w:r>
        <w:noBreakHyphen/>
        <w:t>19. This equalisation task reflects the increased disparity in the fiscal capacities of the States during this period (as also revealed in the unprecedented dispersion in GST relativities).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514" w14:textId="77777777" w:rsidTr="00A3786D">
        <w:trPr>
          <w:tblHeader/>
        </w:trPr>
        <w:tc>
          <w:tcPr>
            <w:tcW w:w="5000" w:type="pct"/>
            <w:tcBorders>
              <w:top w:val="single" w:sz="6" w:space="0" w:color="78A22F"/>
              <w:left w:val="nil"/>
              <w:bottom w:val="nil"/>
              <w:right w:val="nil"/>
            </w:tcBorders>
            <w:shd w:val="clear" w:color="auto" w:fill="auto"/>
          </w:tcPr>
          <w:p w14:paraId="79549513" w14:textId="77777777" w:rsidR="00F05DC7" w:rsidRPr="00176D3F" w:rsidRDefault="00F05DC7" w:rsidP="00A3786D">
            <w:pPr>
              <w:pStyle w:val="FigureTitle"/>
            </w:pPr>
            <w:r w:rsidRPr="00784A05">
              <w:rPr>
                <w:b w:val="0"/>
              </w:rPr>
              <w:t xml:space="preserve">Figure </w:t>
            </w:r>
            <w:r>
              <w:rPr>
                <w:b w:val="0"/>
              </w:rPr>
              <w:t>2</w:t>
            </w:r>
            <w:r>
              <w:tab/>
              <w:t>Schema of the conceptual stages of the HFE process</w:t>
            </w:r>
          </w:p>
        </w:tc>
      </w:tr>
      <w:tr w:rsidR="00F05DC7" w14:paraId="79549518" w14:textId="77777777" w:rsidTr="00A3786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05DC7" w:rsidRPr="00B1465D" w14:paraId="79549516" w14:textId="77777777" w:rsidTr="00A3786D">
              <w:trPr>
                <w:tblHeader/>
                <w:jc w:val="center"/>
              </w:trPr>
              <w:tc>
                <w:tcPr>
                  <w:tcW w:w="8505" w:type="dxa"/>
                  <w:tcBorders>
                    <w:top w:val="nil"/>
                    <w:bottom w:val="nil"/>
                  </w:tcBorders>
                </w:tcPr>
                <w:p w14:paraId="79549515" w14:textId="77777777" w:rsidR="00F05DC7" w:rsidRPr="00B1465D" w:rsidRDefault="00F05DC7" w:rsidP="00A3786D">
                  <w:pPr>
                    <w:pStyle w:val="Figure"/>
                    <w:spacing w:before="60" w:after="60"/>
                    <w:jc w:val="left"/>
                    <w:rPr>
                      <w:rFonts w:ascii="Arial" w:hAnsi="Arial" w:cs="Arial"/>
                      <w:sz w:val="18"/>
                      <w:szCs w:val="18"/>
                    </w:rPr>
                  </w:pPr>
                  <w:r w:rsidRPr="00A61089">
                    <w:rPr>
                      <w:rFonts w:ascii="Arial" w:hAnsi="Arial" w:cs="Arial"/>
                      <w:noProof/>
                      <w:sz w:val="18"/>
                      <w:szCs w:val="18"/>
                    </w:rPr>
                    <w:drawing>
                      <wp:inline distT="0" distB="0" distL="0" distR="0" wp14:anchorId="7954D583" wp14:editId="7954D584">
                        <wp:extent cx="5348145" cy="2995246"/>
                        <wp:effectExtent l="0" t="0" r="5080" b="0"/>
                        <wp:docPr id="5" name="Picture 5" descr="This chart conceptualises HFE.&#10;Firstly, HFE brings States to the average: States with relatively low fiscal capacities are raised to the average fiscal capacity of all States. &#10;Secondly, it brings all states to the strongest: all States are raised to the capacity of the fiscally strongest States.&#10;Finally, the remainder of the GST pool is distributed equal per capita.&#10;" title="Scheme of the conceptual stages of the HF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46" r="2450"/>
                                <a:stretch/>
                              </pic:blipFill>
                              <pic:spPr bwMode="auto">
                                <a:xfrm>
                                  <a:off x="0" y="0"/>
                                  <a:ext cx="5363600" cy="30039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49517" w14:textId="77777777" w:rsidR="00F05DC7" w:rsidRDefault="00F05DC7" w:rsidP="00A3786D">
            <w:pPr>
              <w:pStyle w:val="Figure"/>
            </w:pPr>
          </w:p>
        </w:tc>
      </w:tr>
      <w:tr w:rsidR="00F05DC7" w14:paraId="7954951A" w14:textId="77777777" w:rsidTr="00A3786D">
        <w:tc>
          <w:tcPr>
            <w:tcW w:w="5000" w:type="pct"/>
            <w:tcBorders>
              <w:top w:val="nil"/>
              <w:left w:val="nil"/>
              <w:bottom w:val="single" w:sz="6" w:space="0" w:color="78A22F"/>
              <w:right w:val="nil"/>
            </w:tcBorders>
            <w:shd w:val="clear" w:color="auto" w:fill="auto"/>
          </w:tcPr>
          <w:p w14:paraId="79549519" w14:textId="77777777" w:rsidR="00F05DC7" w:rsidRDefault="00F05DC7" w:rsidP="00A3786D">
            <w:pPr>
              <w:pStyle w:val="Figurespace"/>
            </w:pPr>
          </w:p>
        </w:tc>
      </w:tr>
      <w:tr w:rsidR="00F05DC7" w:rsidRPr="000863A5" w14:paraId="7954951C" w14:textId="77777777" w:rsidTr="00A3786D">
        <w:tc>
          <w:tcPr>
            <w:tcW w:w="5000" w:type="pct"/>
            <w:tcBorders>
              <w:top w:val="single" w:sz="6" w:space="0" w:color="78A22F"/>
              <w:left w:val="nil"/>
              <w:bottom w:val="nil"/>
              <w:right w:val="nil"/>
            </w:tcBorders>
          </w:tcPr>
          <w:p w14:paraId="7954951B" w14:textId="77777777" w:rsidR="00F05DC7" w:rsidRPr="00626D32" w:rsidRDefault="00F05DC7" w:rsidP="00A3786D">
            <w:pPr>
              <w:pStyle w:val="BoxSpaceBelow"/>
            </w:pPr>
          </w:p>
        </w:tc>
      </w:tr>
    </w:tbl>
    <w:p w14:paraId="7954951D" w14:textId="77777777" w:rsidR="00F05DC7" w:rsidRDefault="00F05DC7" w:rsidP="00A3786D">
      <w:pPr>
        <w:pStyle w:val="BodyText"/>
      </w:pPr>
      <w:r>
        <w:t>Another way to think about the size of the equalisation task is to first distribute the GST on an EPC basis and then redistribute — from States with above</w:t>
      </w:r>
      <w:r>
        <w:noBreakHyphen/>
        <w:t>average fiscal capacity to those with below</w:t>
      </w:r>
      <w:r>
        <w:noBreakHyphen/>
        <w:t>average fiscal capacity</w:t>
      </w:r>
      <w:r w:rsidRPr="00F05375">
        <w:t xml:space="preserve"> </w:t>
      </w:r>
      <w:r>
        <w:t>— to achieve equalisation. This measure of the equalisation task has increased from about 8 per cent to 12</w:t>
      </w:r>
      <w:r>
        <w:noBreakHyphen/>
        <w:t>13 per cent, and back down to 10</w:t>
      </w:r>
      <w:r>
        <w:noBreakHyphen/>
        <w:t>11 per cent, over the same period (figure 3).</w:t>
      </w:r>
      <w:r w:rsidRPr="003F5605">
        <w:t xml:space="preserve"> </w:t>
      </w:r>
    </w:p>
    <w:p w14:paraId="7954951E" w14:textId="77777777" w:rsidR="00F05DC7" w:rsidRDefault="00F05DC7" w:rsidP="00A3786D">
      <w:pPr>
        <w:pStyle w:val="BodyText"/>
      </w:pPr>
      <w:r w:rsidRPr="00EA0E8C">
        <w:t xml:space="preserve">Some of the key factors affecting the redistribution of </w:t>
      </w:r>
      <w:r>
        <w:t xml:space="preserve">the </w:t>
      </w:r>
      <w:r w:rsidRPr="00EA0E8C">
        <w:t>GST</w:t>
      </w:r>
      <w:r>
        <w:t xml:space="preserve"> (away from a per capita</w:t>
      </w:r>
      <w:r w:rsidRPr="00EA0E8C">
        <w:t xml:space="preserve"> dis</w:t>
      </w:r>
      <w:r>
        <w:t>tribution) are mining</w:t>
      </w:r>
      <w:r w:rsidRPr="00EA0E8C">
        <w:t>, remoteness and regional costs, and Indigenous status</w:t>
      </w:r>
      <w:r>
        <w:t xml:space="preserve"> (figure 4).</w:t>
      </w:r>
    </w:p>
    <w:p w14:paraId="7954951F"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521" w14:textId="77777777" w:rsidTr="00A3786D">
        <w:trPr>
          <w:tblHeader/>
        </w:trPr>
        <w:tc>
          <w:tcPr>
            <w:tcW w:w="5000" w:type="pct"/>
            <w:tcBorders>
              <w:top w:val="single" w:sz="6" w:space="0" w:color="78A22F"/>
              <w:left w:val="nil"/>
              <w:bottom w:val="nil"/>
              <w:right w:val="nil"/>
            </w:tcBorders>
            <w:shd w:val="clear" w:color="auto" w:fill="auto"/>
          </w:tcPr>
          <w:p w14:paraId="79549520" w14:textId="77777777" w:rsidR="00F05DC7" w:rsidRPr="00176D3F" w:rsidRDefault="00F05DC7" w:rsidP="00A3786D">
            <w:pPr>
              <w:pStyle w:val="FigureTitle"/>
            </w:pPr>
            <w:r w:rsidRPr="00784A05">
              <w:rPr>
                <w:b w:val="0"/>
              </w:rPr>
              <w:t xml:space="preserve">Figure </w:t>
            </w:r>
            <w:r>
              <w:rPr>
                <w:b w:val="0"/>
              </w:rPr>
              <w:t>3</w:t>
            </w:r>
            <w:r>
              <w:tab/>
              <w:t>Share of GST pool not distributed on a per capita basis</w:t>
            </w:r>
          </w:p>
        </w:tc>
      </w:tr>
      <w:tr w:rsidR="00F05DC7" w14:paraId="79549525"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05DC7" w:rsidRPr="00B1465D" w14:paraId="79549523" w14:textId="77777777" w:rsidTr="00A3786D">
              <w:trPr>
                <w:tblHeader/>
                <w:jc w:val="center"/>
              </w:trPr>
              <w:tc>
                <w:tcPr>
                  <w:tcW w:w="5000" w:type="pct"/>
                  <w:tcBorders>
                    <w:top w:val="nil"/>
                    <w:bottom w:val="nil"/>
                  </w:tcBorders>
                </w:tcPr>
                <w:p w14:paraId="79549522" w14:textId="77777777" w:rsidR="00F05DC7" w:rsidRPr="00B1465D" w:rsidRDefault="00F05DC7" w:rsidP="00A3786D">
                  <w:pPr>
                    <w:pStyle w:val="Figure"/>
                    <w:spacing w:before="60" w:after="60"/>
                    <w:rPr>
                      <w:rFonts w:ascii="Arial" w:hAnsi="Arial" w:cs="Arial"/>
                      <w:sz w:val="18"/>
                      <w:szCs w:val="18"/>
                    </w:rPr>
                  </w:pPr>
                  <w:r w:rsidRPr="00C21C72">
                    <w:rPr>
                      <w:rFonts w:ascii="Arial" w:hAnsi="Arial" w:cs="Arial"/>
                      <w:noProof/>
                      <w:sz w:val="18"/>
                      <w:szCs w:val="18"/>
                    </w:rPr>
                    <w:drawing>
                      <wp:inline distT="0" distB="0" distL="0" distR="0" wp14:anchorId="7954D585" wp14:editId="7954D586">
                        <wp:extent cx="5164455" cy="2804160"/>
                        <wp:effectExtent l="0" t="0" r="0" b="0"/>
                        <wp:docPr id="9" name="Picture 9" descr="The proportion of the GST pool redistributed away from equal per capita has increased in recent years as the difference between WA’s fiscal capacity and those of the other States has grown. It has risen from about 8 per cent of the pool in 2000-01, when Victoria and then New South Wales were the fiscally strongest States, to roughly 13 per cent in 2016-17. &#10;The overall amount of GST redistributed away from equal per capita has increased from approximately $2 billion in 2000-01, to about $7.6 billion in 2016-17.&#10;" title="Share of GST pool not distributed on a per capita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64455" cy="2804160"/>
                                </a:xfrm>
                                <a:prstGeom prst="rect">
                                  <a:avLst/>
                                </a:prstGeom>
                                <a:noFill/>
                                <a:ln>
                                  <a:noFill/>
                                </a:ln>
                              </pic:spPr>
                            </pic:pic>
                          </a:graphicData>
                        </a:graphic>
                      </wp:inline>
                    </w:drawing>
                  </w:r>
                </w:p>
              </w:tc>
            </w:tr>
          </w:tbl>
          <w:p w14:paraId="79549524" w14:textId="77777777" w:rsidR="00F05DC7" w:rsidRDefault="00F05DC7" w:rsidP="00A3786D">
            <w:pPr>
              <w:pStyle w:val="Figure"/>
            </w:pPr>
          </w:p>
        </w:tc>
      </w:tr>
      <w:tr w:rsidR="00F05DC7" w14:paraId="79549527" w14:textId="77777777" w:rsidTr="00A3786D">
        <w:tc>
          <w:tcPr>
            <w:tcW w:w="5000" w:type="pct"/>
            <w:tcBorders>
              <w:top w:val="nil"/>
              <w:left w:val="nil"/>
              <w:bottom w:val="single" w:sz="6" w:space="0" w:color="78A22F"/>
              <w:right w:val="nil"/>
            </w:tcBorders>
            <w:shd w:val="clear" w:color="auto" w:fill="auto"/>
          </w:tcPr>
          <w:p w14:paraId="79549526" w14:textId="77777777" w:rsidR="00F05DC7" w:rsidRDefault="00F05DC7" w:rsidP="00A3786D">
            <w:pPr>
              <w:pStyle w:val="Figurespace"/>
            </w:pPr>
          </w:p>
        </w:tc>
      </w:tr>
    </w:tbl>
    <w:p w14:paraId="4F6C0F74" w14:textId="77777777" w:rsidR="00A505C1" w:rsidRDefault="00A505C1" w:rsidP="00A15C3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52B" w14:textId="77777777" w:rsidTr="00A3786D">
        <w:trPr>
          <w:tblHeader/>
        </w:trPr>
        <w:tc>
          <w:tcPr>
            <w:tcW w:w="5000" w:type="pct"/>
            <w:tcBorders>
              <w:top w:val="single" w:sz="6" w:space="0" w:color="78A22F"/>
              <w:left w:val="nil"/>
              <w:bottom w:val="nil"/>
              <w:right w:val="nil"/>
            </w:tcBorders>
            <w:shd w:val="clear" w:color="auto" w:fill="auto"/>
          </w:tcPr>
          <w:p w14:paraId="7954952A" w14:textId="77777777" w:rsidR="00F05DC7" w:rsidRPr="00176D3F" w:rsidRDefault="00F05DC7" w:rsidP="00A3786D">
            <w:pPr>
              <w:pStyle w:val="FigureTitle"/>
            </w:pPr>
            <w:r w:rsidRPr="00784A05">
              <w:rPr>
                <w:b w:val="0"/>
              </w:rPr>
              <w:t xml:space="preserve">Figure </w:t>
            </w:r>
            <w:r>
              <w:rPr>
                <w:b w:val="0"/>
              </w:rPr>
              <w:t>4</w:t>
            </w:r>
            <w:r>
              <w:tab/>
            </w:r>
            <w:r w:rsidRPr="001A2F66">
              <w:t>GST redistribution from equal per capit</w:t>
            </w:r>
            <w:r>
              <w:t>a, 2018</w:t>
            </w:r>
            <w:r>
              <w:noBreakHyphen/>
              <w:t>19</w:t>
            </w:r>
          </w:p>
        </w:tc>
      </w:tr>
      <w:tr w:rsidR="00F05DC7" w14:paraId="7954952F"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952D" w14:textId="77777777" w:rsidTr="00A3786D">
              <w:trPr>
                <w:tblHeader/>
                <w:jc w:val="center"/>
              </w:trPr>
              <w:tc>
                <w:tcPr>
                  <w:tcW w:w="5000" w:type="pct"/>
                  <w:tcBorders>
                    <w:top w:val="nil"/>
                    <w:bottom w:val="nil"/>
                  </w:tcBorders>
                </w:tcPr>
                <w:p w14:paraId="7954952C" w14:textId="77777777" w:rsidR="00F05DC7" w:rsidRPr="00B1465D" w:rsidRDefault="00F05DC7" w:rsidP="00A505C1">
                  <w:pPr>
                    <w:pStyle w:val="Figure"/>
                    <w:keepNext w:val="0"/>
                    <w:spacing w:before="60" w:after="60"/>
                    <w:rPr>
                      <w:rFonts w:ascii="Arial" w:hAnsi="Arial" w:cs="Arial"/>
                      <w:sz w:val="18"/>
                      <w:szCs w:val="18"/>
                    </w:rPr>
                  </w:pPr>
                  <w:r w:rsidRPr="0084166D">
                    <w:rPr>
                      <w:rFonts w:ascii="Arial" w:hAnsi="Arial" w:cs="Arial"/>
                      <w:noProof/>
                      <w:sz w:val="18"/>
                      <w:szCs w:val="18"/>
                    </w:rPr>
                    <w:drawing>
                      <wp:inline distT="0" distB="0" distL="0" distR="0" wp14:anchorId="7954D587" wp14:editId="7954D588">
                        <wp:extent cx="5401945" cy="2659380"/>
                        <wp:effectExtent l="0" t="0" r="8255" b="7620"/>
                        <wp:docPr id="10" name="Picture 10" descr="This figure shows the key items that lead to a redistribution away from an equal per capita distribution. This is mining on the revenue side, and remoteness and Indigenous status on the expenditure side." title="GST redistribution from equal per capita,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1945" cy="2659380"/>
                                </a:xfrm>
                                <a:prstGeom prst="rect">
                                  <a:avLst/>
                                </a:prstGeom>
                                <a:noFill/>
                                <a:ln>
                                  <a:noFill/>
                                </a:ln>
                              </pic:spPr>
                            </pic:pic>
                          </a:graphicData>
                        </a:graphic>
                      </wp:inline>
                    </w:drawing>
                  </w:r>
                </w:p>
              </w:tc>
            </w:tr>
          </w:tbl>
          <w:p w14:paraId="7954952E" w14:textId="77777777" w:rsidR="00F05DC7" w:rsidRDefault="00F05DC7" w:rsidP="00A505C1">
            <w:pPr>
              <w:pStyle w:val="Figure"/>
              <w:keepNext w:val="0"/>
            </w:pPr>
          </w:p>
        </w:tc>
      </w:tr>
      <w:tr w:rsidR="00F05DC7" w14:paraId="79549531" w14:textId="77777777" w:rsidTr="00A3786D">
        <w:tc>
          <w:tcPr>
            <w:tcW w:w="5000" w:type="pct"/>
            <w:tcBorders>
              <w:top w:val="nil"/>
              <w:left w:val="nil"/>
              <w:bottom w:val="single" w:sz="6" w:space="0" w:color="78A22F"/>
              <w:right w:val="nil"/>
            </w:tcBorders>
            <w:shd w:val="clear" w:color="auto" w:fill="auto"/>
          </w:tcPr>
          <w:p w14:paraId="79549530" w14:textId="77777777" w:rsidR="00F05DC7" w:rsidRDefault="00F05DC7" w:rsidP="00A505C1">
            <w:pPr>
              <w:pStyle w:val="Figurespace"/>
              <w:keepNext w:val="0"/>
            </w:pPr>
          </w:p>
        </w:tc>
      </w:tr>
    </w:tbl>
    <w:p w14:paraId="79549532" w14:textId="77777777" w:rsidR="00F05DC7" w:rsidRDefault="00F05DC7" w:rsidP="00A15C30">
      <w:pPr>
        <w:pStyle w:val="Heading2"/>
        <w:keepNext w:val="0"/>
        <w:spacing w:before="480"/>
      </w:pPr>
      <w:bookmarkStart w:id="28" w:name="_Toc513637680"/>
      <w:r>
        <w:t>Our assessment of the current HFE system</w:t>
      </w:r>
      <w:bookmarkEnd w:id="28"/>
      <w:r>
        <w:t xml:space="preserve"> </w:t>
      </w:r>
    </w:p>
    <w:p w14:paraId="79549533" w14:textId="77777777" w:rsidR="00F05DC7" w:rsidRDefault="00F05DC7" w:rsidP="00A15C30">
      <w:pPr>
        <w:pStyle w:val="Heading3"/>
        <w:keepNext w:val="0"/>
        <w:spacing w:before="280"/>
      </w:pPr>
      <w:r>
        <w:t>How does HFE affect State budget management?</w:t>
      </w:r>
    </w:p>
    <w:p w14:paraId="79549534" w14:textId="77777777" w:rsidR="00F05DC7" w:rsidRDefault="00F05DC7" w:rsidP="00A15C30">
      <w:pPr>
        <w:pStyle w:val="BodyText"/>
      </w:pPr>
      <w:r>
        <w:t>GST payments</w:t>
      </w:r>
      <w:r w:rsidRPr="00632AEC">
        <w:t xml:space="preserve"> provide </w:t>
      </w:r>
      <w:r>
        <w:t xml:space="preserve">most </w:t>
      </w:r>
      <w:r w:rsidRPr="00632AEC">
        <w:t>States with a substantial share of their overall revenue</w:t>
      </w:r>
      <w:r>
        <w:t xml:space="preserve"> (table 1)</w:t>
      </w:r>
      <w:r w:rsidRPr="00632AEC">
        <w:t>. As a result, HFE has considerable scope to influence States’ budget outcomes and management.</w:t>
      </w:r>
    </w:p>
    <w:p w14:paraId="79549535"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9537" w14:textId="77777777" w:rsidTr="001113B1">
        <w:trPr>
          <w:tblHeader/>
        </w:trPr>
        <w:tc>
          <w:tcPr>
            <w:tcW w:w="5000" w:type="pct"/>
            <w:tcBorders>
              <w:top w:val="single" w:sz="6" w:space="0" w:color="78A22F"/>
              <w:left w:val="nil"/>
              <w:bottom w:val="nil"/>
              <w:right w:val="nil"/>
            </w:tcBorders>
            <w:shd w:val="clear" w:color="auto" w:fill="auto"/>
          </w:tcPr>
          <w:p w14:paraId="79549536" w14:textId="77777777" w:rsidR="00F05DC7" w:rsidRPr="00784A05" w:rsidRDefault="00F05DC7" w:rsidP="00A3786D">
            <w:pPr>
              <w:pStyle w:val="TableTitle"/>
            </w:pPr>
            <w:r>
              <w:rPr>
                <w:b w:val="0"/>
              </w:rPr>
              <w:t>Table 1</w:t>
            </w:r>
            <w:r>
              <w:tab/>
              <w:t>GST payments and State budgets, 2017</w:t>
            </w:r>
            <w:r>
              <w:noBreakHyphen/>
              <w:t xml:space="preserve">18 </w:t>
            </w:r>
          </w:p>
        </w:tc>
      </w:tr>
      <w:tr w:rsidR="00F05DC7" w14:paraId="79549575" w14:textId="77777777" w:rsidTr="00A3786D">
        <w:tc>
          <w:tcPr>
            <w:tcW w:w="5000" w:type="pct"/>
            <w:tcBorders>
              <w:top w:val="nil"/>
              <w:left w:val="nil"/>
              <w:bottom w:val="nil"/>
              <w:right w:val="nil"/>
            </w:tcBorders>
            <w:shd w:val="clear" w:color="auto" w:fill="auto"/>
          </w:tcPr>
          <w:tbl>
            <w:tblPr>
              <w:tblW w:w="8611" w:type="dxa"/>
              <w:tblCellMar>
                <w:left w:w="0" w:type="dxa"/>
                <w:right w:w="0" w:type="dxa"/>
              </w:tblCellMar>
              <w:tblLook w:val="04A0" w:firstRow="1" w:lastRow="0" w:firstColumn="1" w:lastColumn="0" w:noHBand="0" w:noVBand="1"/>
            </w:tblPr>
            <w:tblGrid>
              <w:gridCol w:w="2693"/>
              <w:gridCol w:w="739"/>
              <w:gridCol w:w="740"/>
              <w:gridCol w:w="740"/>
              <w:gridCol w:w="740"/>
              <w:gridCol w:w="739"/>
              <w:gridCol w:w="740"/>
              <w:gridCol w:w="740"/>
              <w:gridCol w:w="740"/>
            </w:tblGrid>
            <w:tr w:rsidR="00F05DC7" w14:paraId="79549541" w14:textId="77777777" w:rsidTr="005602D0">
              <w:trPr>
                <w:trHeight w:val="300"/>
                <w:tblHeader/>
              </w:trPr>
              <w:tc>
                <w:tcPr>
                  <w:tcW w:w="2693" w:type="dxa"/>
                  <w:tcBorders>
                    <w:top w:val="single" w:sz="6" w:space="0" w:color="BFBFBF"/>
                    <w:left w:val="nil"/>
                    <w:bottom w:val="single" w:sz="6" w:space="0" w:color="BFBFBF"/>
                    <w:right w:val="nil"/>
                  </w:tcBorders>
                  <w:shd w:val="clear" w:color="auto" w:fill="auto"/>
                  <w:vAlign w:val="center"/>
                  <w:hideMark/>
                </w:tcPr>
                <w:p w14:paraId="79549538" w14:textId="77777777" w:rsidR="00F05DC7" w:rsidRDefault="00F05DC7" w:rsidP="00A3786D">
                  <w:pPr>
                    <w:rPr>
                      <w:color w:val="000000"/>
                      <w:sz w:val="20"/>
                      <w:szCs w:val="20"/>
                    </w:rPr>
                  </w:pPr>
                  <w:r>
                    <w:rPr>
                      <w:color w:val="000000"/>
                      <w:sz w:val="20"/>
                      <w:szCs w:val="20"/>
                    </w:rPr>
                    <w:t> </w:t>
                  </w:r>
                </w:p>
              </w:tc>
              <w:tc>
                <w:tcPr>
                  <w:tcW w:w="739" w:type="dxa"/>
                  <w:tcBorders>
                    <w:top w:val="single" w:sz="6" w:space="0" w:color="BFBFBF"/>
                    <w:left w:val="nil"/>
                    <w:bottom w:val="single" w:sz="6" w:space="0" w:color="BFBFBF"/>
                    <w:right w:val="nil"/>
                  </w:tcBorders>
                  <w:shd w:val="clear" w:color="auto" w:fill="auto"/>
                  <w:vAlign w:val="center"/>
                  <w:hideMark/>
                </w:tcPr>
                <w:p w14:paraId="79549539" w14:textId="77777777" w:rsidR="00F05DC7" w:rsidRDefault="00F05DC7" w:rsidP="00A3786D">
                  <w:pPr>
                    <w:pStyle w:val="TableColumnHeading"/>
                  </w:pPr>
                  <w:r>
                    <w:t>NSW</w:t>
                  </w:r>
                </w:p>
              </w:tc>
              <w:tc>
                <w:tcPr>
                  <w:tcW w:w="740" w:type="dxa"/>
                  <w:tcBorders>
                    <w:top w:val="single" w:sz="6" w:space="0" w:color="BFBFBF"/>
                    <w:left w:val="nil"/>
                    <w:bottom w:val="single" w:sz="6" w:space="0" w:color="BFBFBF"/>
                    <w:right w:val="nil"/>
                  </w:tcBorders>
                  <w:shd w:val="clear" w:color="auto" w:fill="auto"/>
                  <w:vAlign w:val="center"/>
                  <w:hideMark/>
                </w:tcPr>
                <w:p w14:paraId="7954953A" w14:textId="77777777" w:rsidR="00F05DC7" w:rsidRDefault="00F05DC7" w:rsidP="00A3786D">
                  <w:pPr>
                    <w:pStyle w:val="TableColumnHeading"/>
                  </w:pPr>
                  <w:r>
                    <w:t>Vic</w:t>
                  </w:r>
                </w:p>
              </w:tc>
              <w:tc>
                <w:tcPr>
                  <w:tcW w:w="740" w:type="dxa"/>
                  <w:tcBorders>
                    <w:top w:val="single" w:sz="6" w:space="0" w:color="BFBFBF"/>
                    <w:left w:val="nil"/>
                    <w:bottom w:val="single" w:sz="6" w:space="0" w:color="BFBFBF"/>
                    <w:right w:val="nil"/>
                  </w:tcBorders>
                  <w:shd w:val="clear" w:color="auto" w:fill="auto"/>
                  <w:vAlign w:val="center"/>
                  <w:hideMark/>
                </w:tcPr>
                <w:p w14:paraId="7954953B" w14:textId="77777777" w:rsidR="00F05DC7" w:rsidRDefault="00F05DC7" w:rsidP="00A3786D">
                  <w:pPr>
                    <w:pStyle w:val="TableColumnHeading"/>
                  </w:pPr>
                  <w:r>
                    <w:t>Qld</w:t>
                  </w:r>
                </w:p>
              </w:tc>
              <w:tc>
                <w:tcPr>
                  <w:tcW w:w="740" w:type="dxa"/>
                  <w:tcBorders>
                    <w:top w:val="single" w:sz="6" w:space="0" w:color="BFBFBF"/>
                    <w:left w:val="nil"/>
                    <w:bottom w:val="single" w:sz="6" w:space="0" w:color="BFBFBF"/>
                    <w:right w:val="nil"/>
                  </w:tcBorders>
                  <w:shd w:val="clear" w:color="auto" w:fill="auto"/>
                  <w:vAlign w:val="center"/>
                  <w:hideMark/>
                </w:tcPr>
                <w:p w14:paraId="7954953C" w14:textId="77777777" w:rsidR="00F05DC7" w:rsidRDefault="00F05DC7" w:rsidP="00A3786D">
                  <w:pPr>
                    <w:pStyle w:val="TableColumnHeading"/>
                  </w:pPr>
                  <w:r>
                    <w:t>WA</w:t>
                  </w:r>
                </w:p>
              </w:tc>
              <w:tc>
                <w:tcPr>
                  <w:tcW w:w="739" w:type="dxa"/>
                  <w:tcBorders>
                    <w:top w:val="single" w:sz="6" w:space="0" w:color="BFBFBF"/>
                    <w:left w:val="nil"/>
                    <w:bottom w:val="single" w:sz="6" w:space="0" w:color="BFBFBF"/>
                    <w:right w:val="nil"/>
                  </w:tcBorders>
                  <w:shd w:val="clear" w:color="auto" w:fill="auto"/>
                  <w:vAlign w:val="center"/>
                  <w:hideMark/>
                </w:tcPr>
                <w:p w14:paraId="7954953D" w14:textId="77777777" w:rsidR="00F05DC7" w:rsidRDefault="00F05DC7" w:rsidP="00A3786D">
                  <w:pPr>
                    <w:pStyle w:val="TableColumnHeading"/>
                  </w:pPr>
                  <w:r>
                    <w:t>SA</w:t>
                  </w:r>
                </w:p>
              </w:tc>
              <w:tc>
                <w:tcPr>
                  <w:tcW w:w="740" w:type="dxa"/>
                  <w:tcBorders>
                    <w:top w:val="single" w:sz="6" w:space="0" w:color="BFBFBF"/>
                    <w:left w:val="nil"/>
                    <w:bottom w:val="single" w:sz="6" w:space="0" w:color="BFBFBF"/>
                    <w:right w:val="nil"/>
                  </w:tcBorders>
                  <w:shd w:val="clear" w:color="auto" w:fill="auto"/>
                  <w:vAlign w:val="center"/>
                  <w:hideMark/>
                </w:tcPr>
                <w:p w14:paraId="7954953E" w14:textId="77777777" w:rsidR="00F05DC7" w:rsidRDefault="00F05DC7" w:rsidP="00A3786D">
                  <w:pPr>
                    <w:pStyle w:val="TableColumnHeading"/>
                  </w:pPr>
                  <w:r>
                    <w:t>Tas</w:t>
                  </w:r>
                </w:p>
              </w:tc>
              <w:tc>
                <w:tcPr>
                  <w:tcW w:w="740" w:type="dxa"/>
                  <w:tcBorders>
                    <w:top w:val="single" w:sz="6" w:space="0" w:color="BFBFBF"/>
                    <w:left w:val="nil"/>
                    <w:bottom w:val="single" w:sz="6" w:space="0" w:color="BFBFBF"/>
                    <w:right w:val="nil"/>
                  </w:tcBorders>
                  <w:shd w:val="clear" w:color="auto" w:fill="auto"/>
                  <w:vAlign w:val="center"/>
                  <w:hideMark/>
                </w:tcPr>
                <w:p w14:paraId="7954953F" w14:textId="77777777" w:rsidR="00F05DC7" w:rsidRDefault="00F05DC7" w:rsidP="00A3786D">
                  <w:pPr>
                    <w:pStyle w:val="TableColumnHeading"/>
                  </w:pPr>
                  <w:r>
                    <w:t>ACT</w:t>
                  </w:r>
                </w:p>
              </w:tc>
              <w:tc>
                <w:tcPr>
                  <w:tcW w:w="740" w:type="dxa"/>
                  <w:tcBorders>
                    <w:top w:val="single" w:sz="6" w:space="0" w:color="BFBFBF"/>
                    <w:left w:val="nil"/>
                    <w:bottom w:val="single" w:sz="6" w:space="0" w:color="BFBFBF"/>
                    <w:right w:val="nil"/>
                  </w:tcBorders>
                  <w:shd w:val="clear" w:color="auto" w:fill="auto"/>
                  <w:vAlign w:val="center"/>
                  <w:hideMark/>
                </w:tcPr>
                <w:p w14:paraId="79549540" w14:textId="77777777" w:rsidR="00F05DC7" w:rsidRDefault="00F05DC7" w:rsidP="00A3786D">
                  <w:pPr>
                    <w:pStyle w:val="TableColumnHeading"/>
                    <w:ind w:right="28"/>
                  </w:pPr>
                  <w:r>
                    <w:t>NT</w:t>
                  </w:r>
                </w:p>
              </w:tc>
            </w:tr>
            <w:tr w:rsidR="00F05DC7" w14:paraId="7954954B" w14:textId="77777777" w:rsidTr="005602D0">
              <w:trPr>
                <w:trHeight w:val="288"/>
              </w:trPr>
              <w:tc>
                <w:tcPr>
                  <w:tcW w:w="2693" w:type="dxa"/>
                  <w:tcBorders>
                    <w:top w:val="single" w:sz="6" w:space="0" w:color="BFBFBF"/>
                    <w:left w:val="nil"/>
                    <w:right w:val="nil"/>
                  </w:tcBorders>
                  <w:shd w:val="pct5" w:color="auto" w:fill="auto"/>
                  <w:vAlign w:val="center"/>
                  <w:hideMark/>
                </w:tcPr>
                <w:p w14:paraId="79549542" w14:textId="77777777" w:rsidR="00F05DC7" w:rsidRPr="002F2180" w:rsidRDefault="00F05DC7" w:rsidP="005602D0">
                  <w:pPr>
                    <w:spacing w:before="80"/>
                    <w:rPr>
                      <w:rFonts w:ascii="Arial" w:hAnsi="Arial" w:cs="Arial"/>
                      <w:bCs/>
                      <w:color w:val="000000"/>
                      <w:sz w:val="18"/>
                      <w:szCs w:val="18"/>
                    </w:rPr>
                  </w:pPr>
                  <w:r w:rsidRPr="002F2180">
                    <w:rPr>
                      <w:rFonts w:ascii="Arial" w:hAnsi="Arial" w:cs="Arial"/>
                      <w:bCs/>
                      <w:color w:val="000000"/>
                      <w:sz w:val="18"/>
                      <w:szCs w:val="18"/>
                    </w:rPr>
                    <w:t>Total grants revenue ($b)</w:t>
                  </w:r>
                </w:p>
              </w:tc>
              <w:tc>
                <w:tcPr>
                  <w:tcW w:w="739" w:type="dxa"/>
                  <w:tcBorders>
                    <w:top w:val="single" w:sz="6" w:space="0" w:color="BFBFBF"/>
                    <w:left w:val="nil"/>
                    <w:right w:val="nil"/>
                  </w:tcBorders>
                  <w:shd w:val="pct5" w:color="auto" w:fill="auto"/>
                  <w:vAlign w:val="center"/>
                  <w:hideMark/>
                </w:tcPr>
                <w:p w14:paraId="79549543" w14:textId="77777777" w:rsidR="00F05DC7" w:rsidRDefault="00F05DC7" w:rsidP="005602D0">
                  <w:pPr>
                    <w:pStyle w:val="TableBodyText"/>
                    <w:spacing w:before="80" w:after="0"/>
                  </w:pPr>
                  <w:r>
                    <w:t>31.59</w:t>
                  </w:r>
                </w:p>
              </w:tc>
              <w:tc>
                <w:tcPr>
                  <w:tcW w:w="740" w:type="dxa"/>
                  <w:tcBorders>
                    <w:top w:val="single" w:sz="6" w:space="0" w:color="BFBFBF"/>
                    <w:left w:val="nil"/>
                    <w:right w:val="nil"/>
                  </w:tcBorders>
                  <w:shd w:val="pct5" w:color="auto" w:fill="auto"/>
                  <w:vAlign w:val="center"/>
                  <w:hideMark/>
                </w:tcPr>
                <w:p w14:paraId="79549544" w14:textId="77777777" w:rsidR="00F05DC7" w:rsidRDefault="00F05DC7" w:rsidP="005602D0">
                  <w:pPr>
                    <w:pStyle w:val="TableBodyText"/>
                    <w:spacing w:before="80" w:after="0"/>
                  </w:pPr>
                  <w:r>
                    <w:t>30.22</w:t>
                  </w:r>
                </w:p>
              </w:tc>
              <w:tc>
                <w:tcPr>
                  <w:tcW w:w="740" w:type="dxa"/>
                  <w:tcBorders>
                    <w:top w:val="single" w:sz="6" w:space="0" w:color="BFBFBF"/>
                    <w:left w:val="nil"/>
                    <w:right w:val="nil"/>
                  </w:tcBorders>
                  <w:shd w:val="pct5" w:color="auto" w:fill="auto"/>
                  <w:vAlign w:val="center"/>
                  <w:hideMark/>
                </w:tcPr>
                <w:p w14:paraId="79549545" w14:textId="77777777" w:rsidR="00F05DC7" w:rsidRDefault="00F05DC7" w:rsidP="005602D0">
                  <w:pPr>
                    <w:pStyle w:val="TableBodyText"/>
                    <w:spacing w:before="80" w:after="0"/>
                  </w:pPr>
                  <w:r>
                    <w:t>27.95</w:t>
                  </w:r>
                </w:p>
              </w:tc>
              <w:tc>
                <w:tcPr>
                  <w:tcW w:w="740" w:type="dxa"/>
                  <w:tcBorders>
                    <w:top w:val="single" w:sz="6" w:space="0" w:color="BFBFBF"/>
                    <w:left w:val="nil"/>
                    <w:right w:val="nil"/>
                  </w:tcBorders>
                  <w:shd w:val="pct5" w:color="auto" w:fill="auto"/>
                  <w:vAlign w:val="center"/>
                  <w:hideMark/>
                </w:tcPr>
                <w:p w14:paraId="79549546" w14:textId="77777777" w:rsidR="00F05DC7" w:rsidRDefault="00F05DC7" w:rsidP="005602D0">
                  <w:pPr>
                    <w:pStyle w:val="TableBodyText"/>
                    <w:spacing w:before="80" w:after="0"/>
                  </w:pPr>
                  <w:r>
                    <w:t>9.04</w:t>
                  </w:r>
                </w:p>
              </w:tc>
              <w:tc>
                <w:tcPr>
                  <w:tcW w:w="739" w:type="dxa"/>
                  <w:tcBorders>
                    <w:top w:val="single" w:sz="6" w:space="0" w:color="BFBFBF"/>
                    <w:left w:val="nil"/>
                    <w:right w:val="nil"/>
                  </w:tcBorders>
                  <w:shd w:val="pct5" w:color="auto" w:fill="auto"/>
                  <w:vAlign w:val="center"/>
                  <w:hideMark/>
                </w:tcPr>
                <w:p w14:paraId="79549547" w14:textId="77777777" w:rsidR="00F05DC7" w:rsidRDefault="00F05DC7" w:rsidP="005602D0">
                  <w:pPr>
                    <w:pStyle w:val="TableBodyText"/>
                    <w:spacing w:before="80" w:after="0"/>
                  </w:pPr>
                  <w:r>
                    <w:t>10.74</w:t>
                  </w:r>
                </w:p>
              </w:tc>
              <w:tc>
                <w:tcPr>
                  <w:tcW w:w="740" w:type="dxa"/>
                  <w:tcBorders>
                    <w:top w:val="single" w:sz="6" w:space="0" w:color="BFBFBF"/>
                    <w:left w:val="nil"/>
                    <w:right w:val="nil"/>
                  </w:tcBorders>
                  <w:shd w:val="pct5" w:color="auto" w:fill="auto"/>
                  <w:vAlign w:val="center"/>
                  <w:hideMark/>
                </w:tcPr>
                <w:p w14:paraId="79549548" w14:textId="77777777" w:rsidR="00F05DC7" w:rsidRDefault="00F05DC7" w:rsidP="005602D0">
                  <w:pPr>
                    <w:pStyle w:val="TableBodyText"/>
                    <w:spacing w:before="80" w:after="0"/>
                  </w:pPr>
                  <w:r>
                    <w:t>3.69</w:t>
                  </w:r>
                </w:p>
              </w:tc>
              <w:tc>
                <w:tcPr>
                  <w:tcW w:w="740" w:type="dxa"/>
                  <w:tcBorders>
                    <w:top w:val="single" w:sz="6" w:space="0" w:color="BFBFBF"/>
                    <w:left w:val="nil"/>
                    <w:right w:val="nil"/>
                  </w:tcBorders>
                  <w:shd w:val="pct5" w:color="auto" w:fill="auto"/>
                  <w:vAlign w:val="center"/>
                  <w:hideMark/>
                </w:tcPr>
                <w:p w14:paraId="79549549" w14:textId="77777777" w:rsidR="00F05DC7" w:rsidRDefault="00F05DC7" w:rsidP="005602D0">
                  <w:pPr>
                    <w:pStyle w:val="TableBodyText"/>
                    <w:spacing w:before="80" w:after="0"/>
                  </w:pPr>
                  <w:r>
                    <w:t>2.24</w:t>
                  </w:r>
                </w:p>
              </w:tc>
              <w:tc>
                <w:tcPr>
                  <w:tcW w:w="740" w:type="dxa"/>
                  <w:tcBorders>
                    <w:top w:val="single" w:sz="6" w:space="0" w:color="BFBFBF"/>
                    <w:left w:val="nil"/>
                    <w:right w:val="nil"/>
                  </w:tcBorders>
                  <w:shd w:val="pct5" w:color="auto" w:fill="auto"/>
                  <w:vAlign w:val="center"/>
                  <w:hideMark/>
                </w:tcPr>
                <w:p w14:paraId="7954954A" w14:textId="77777777" w:rsidR="00F05DC7" w:rsidRDefault="00F05DC7" w:rsidP="005602D0">
                  <w:pPr>
                    <w:pStyle w:val="TableBodyText"/>
                    <w:spacing w:before="80" w:after="0"/>
                    <w:ind w:right="28"/>
                  </w:pPr>
                  <w:r>
                    <w:t>4.26</w:t>
                  </w:r>
                </w:p>
              </w:tc>
            </w:tr>
            <w:tr w:rsidR="00F05DC7" w14:paraId="79549555" w14:textId="77777777" w:rsidTr="00A3786D">
              <w:trPr>
                <w:trHeight w:val="288"/>
              </w:trPr>
              <w:tc>
                <w:tcPr>
                  <w:tcW w:w="2693" w:type="dxa"/>
                  <w:tcBorders>
                    <w:top w:val="nil"/>
                    <w:left w:val="nil"/>
                    <w:right w:val="nil"/>
                  </w:tcBorders>
                  <w:shd w:val="clear" w:color="auto" w:fill="auto"/>
                  <w:vAlign w:val="center"/>
                  <w:hideMark/>
                </w:tcPr>
                <w:p w14:paraId="7954954C" w14:textId="77777777" w:rsidR="00F05DC7" w:rsidRPr="002F2180" w:rsidRDefault="00F05DC7" w:rsidP="00A3786D">
                  <w:pPr>
                    <w:rPr>
                      <w:rFonts w:ascii="Arial" w:hAnsi="Arial" w:cs="Arial"/>
                      <w:bCs/>
                      <w:color w:val="000000"/>
                      <w:sz w:val="18"/>
                      <w:szCs w:val="18"/>
                    </w:rPr>
                  </w:pPr>
                  <w:r w:rsidRPr="002F2180">
                    <w:rPr>
                      <w:rFonts w:ascii="Arial" w:hAnsi="Arial" w:cs="Arial"/>
                      <w:bCs/>
                      <w:color w:val="000000"/>
                      <w:sz w:val="18"/>
                      <w:szCs w:val="18"/>
                    </w:rPr>
                    <w:t>Total revenue ($b)</w:t>
                  </w:r>
                </w:p>
              </w:tc>
              <w:tc>
                <w:tcPr>
                  <w:tcW w:w="739" w:type="dxa"/>
                  <w:tcBorders>
                    <w:top w:val="nil"/>
                    <w:left w:val="nil"/>
                    <w:right w:val="nil"/>
                  </w:tcBorders>
                  <w:shd w:val="clear" w:color="auto" w:fill="auto"/>
                  <w:vAlign w:val="center"/>
                  <w:hideMark/>
                </w:tcPr>
                <w:p w14:paraId="7954954D" w14:textId="77777777" w:rsidR="00F05DC7" w:rsidRDefault="00F05DC7" w:rsidP="00A3786D">
                  <w:pPr>
                    <w:pStyle w:val="TableBodyText"/>
                    <w:spacing w:after="0"/>
                  </w:pPr>
                  <w:r>
                    <w:t>79.84</w:t>
                  </w:r>
                </w:p>
              </w:tc>
              <w:tc>
                <w:tcPr>
                  <w:tcW w:w="740" w:type="dxa"/>
                  <w:tcBorders>
                    <w:top w:val="nil"/>
                    <w:left w:val="nil"/>
                    <w:right w:val="nil"/>
                  </w:tcBorders>
                  <w:shd w:val="clear" w:color="auto" w:fill="auto"/>
                  <w:vAlign w:val="center"/>
                  <w:hideMark/>
                </w:tcPr>
                <w:p w14:paraId="7954954E" w14:textId="77777777" w:rsidR="00F05DC7" w:rsidRDefault="00F05DC7" w:rsidP="00A3786D">
                  <w:pPr>
                    <w:pStyle w:val="TableBodyText"/>
                    <w:spacing w:after="0"/>
                  </w:pPr>
                  <w:r>
                    <w:t>64.39</w:t>
                  </w:r>
                </w:p>
              </w:tc>
              <w:tc>
                <w:tcPr>
                  <w:tcW w:w="740" w:type="dxa"/>
                  <w:tcBorders>
                    <w:top w:val="nil"/>
                    <w:left w:val="nil"/>
                    <w:right w:val="nil"/>
                  </w:tcBorders>
                  <w:shd w:val="clear" w:color="auto" w:fill="auto"/>
                  <w:vAlign w:val="center"/>
                  <w:hideMark/>
                </w:tcPr>
                <w:p w14:paraId="7954954F" w14:textId="77777777" w:rsidR="00F05DC7" w:rsidRDefault="00F05DC7" w:rsidP="00A3786D">
                  <w:pPr>
                    <w:pStyle w:val="TableBodyText"/>
                    <w:spacing w:after="0"/>
                  </w:pPr>
                  <w:r>
                    <w:t>56.46</w:t>
                  </w:r>
                </w:p>
              </w:tc>
              <w:tc>
                <w:tcPr>
                  <w:tcW w:w="740" w:type="dxa"/>
                  <w:tcBorders>
                    <w:top w:val="nil"/>
                    <w:left w:val="nil"/>
                    <w:right w:val="nil"/>
                  </w:tcBorders>
                  <w:shd w:val="clear" w:color="auto" w:fill="auto"/>
                  <w:vAlign w:val="center"/>
                  <w:hideMark/>
                </w:tcPr>
                <w:p w14:paraId="79549550" w14:textId="77777777" w:rsidR="00F05DC7" w:rsidRDefault="00F05DC7" w:rsidP="00A3786D">
                  <w:pPr>
                    <w:pStyle w:val="TableBodyText"/>
                    <w:spacing w:after="0"/>
                  </w:pPr>
                  <w:r>
                    <w:t>28.19</w:t>
                  </w:r>
                </w:p>
              </w:tc>
              <w:tc>
                <w:tcPr>
                  <w:tcW w:w="739" w:type="dxa"/>
                  <w:tcBorders>
                    <w:top w:val="nil"/>
                    <w:left w:val="nil"/>
                    <w:right w:val="nil"/>
                  </w:tcBorders>
                  <w:shd w:val="clear" w:color="auto" w:fill="auto"/>
                  <w:vAlign w:val="center"/>
                  <w:hideMark/>
                </w:tcPr>
                <w:p w14:paraId="79549551" w14:textId="77777777" w:rsidR="00F05DC7" w:rsidRDefault="00F05DC7" w:rsidP="00A3786D">
                  <w:pPr>
                    <w:pStyle w:val="TableBodyText"/>
                    <w:spacing w:after="0"/>
                  </w:pPr>
                  <w:r>
                    <w:t>19.17</w:t>
                  </w:r>
                </w:p>
              </w:tc>
              <w:tc>
                <w:tcPr>
                  <w:tcW w:w="740" w:type="dxa"/>
                  <w:tcBorders>
                    <w:top w:val="nil"/>
                    <w:left w:val="nil"/>
                    <w:right w:val="nil"/>
                  </w:tcBorders>
                  <w:shd w:val="clear" w:color="auto" w:fill="auto"/>
                  <w:vAlign w:val="center"/>
                  <w:hideMark/>
                </w:tcPr>
                <w:p w14:paraId="79549552" w14:textId="77777777" w:rsidR="00F05DC7" w:rsidRDefault="00F05DC7" w:rsidP="00A3786D">
                  <w:pPr>
                    <w:pStyle w:val="TableBodyText"/>
                    <w:spacing w:after="0"/>
                  </w:pPr>
                  <w:r>
                    <w:t>5.93</w:t>
                  </w:r>
                </w:p>
              </w:tc>
              <w:tc>
                <w:tcPr>
                  <w:tcW w:w="740" w:type="dxa"/>
                  <w:tcBorders>
                    <w:top w:val="nil"/>
                    <w:left w:val="nil"/>
                    <w:right w:val="nil"/>
                  </w:tcBorders>
                  <w:shd w:val="clear" w:color="auto" w:fill="auto"/>
                  <w:vAlign w:val="center"/>
                  <w:hideMark/>
                </w:tcPr>
                <w:p w14:paraId="79549553" w14:textId="77777777" w:rsidR="00F05DC7" w:rsidRDefault="00F05DC7" w:rsidP="00A3786D">
                  <w:pPr>
                    <w:pStyle w:val="TableBodyText"/>
                    <w:spacing w:after="0"/>
                  </w:pPr>
                  <w:r>
                    <w:t>5.42</w:t>
                  </w:r>
                </w:p>
              </w:tc>
              <w:tc>
                <w:tcPr>
                  <w:tcW w:w="740" w:type="dxa"/>
                  <w:tcBorders>
                    <w:top w:val="nil"/>
                    <w:left w:val="nil"/>
                    <w:right w:val="nil"/>
                  </w:tcBorders>
                  <w:shd w:val="clear" w:color="auto" w:fill="auto"/>
                  <w:vAlign w:val="center"/>
                  <w:hideMark/>
                </w:tcPr>
                <w:p w14:paraId="79549554" w14:textId="77777777" w:rsidR="00F05DC7" w:rsidRDefault="00F05DC7" w:rsidP="00A3786D">
                  <w:pPr>
                    <w:pStyle w:val="TableBodyText"/>
                    <w:spacing w:after="0"/>
                    <w:ind w:right="28"/>
                  </w:pPr>
                  <w:r>
                    <w:t>5.88</w:t>
                  </w:r>
                </w:p>
              </w:tc>
            </w:tr>
            <w:tr w:rsidR="00F05DC7" w14:paraId="7954955F" w14:textId="77777777" w:rsidTr="00A3786D">
              <w:trPr>
                <w:trHeight w:val="288"/>
              </w:trPr>
              <w:tc>
                <w:tcPr>
                  <w:tcW w:w="2693" w:type="dxa"/>
                  <w:tcBorders>
                    <w:left w:val="nil"/>
                    <w:bottom w:val="nil"/>
                    <w:right w:val="nil"/>
                  </w:tcBorders>
                  <w:shd w:val="pct5" w:color="auto" w:fill="auto"/>
                  <w:vAlign w:val="center"/>
                  <w:hideMark/>
                </w:tcPr>
                <w:p w14:paraId="79549556" w14:textId="77777777" w:rsidR="00F05DC7" w:rsidRPr="002F2180" w:rsidRDefault="00F05DC7" w:rsidP="00A3786D">
                  <w:pPr>
                    <w:rPr>
                      <w:rFonts w:ascii="Arial" w:hAnsi="Arial" w:cs="Arial"/>
                      <w:bCs/>
                      <w:color w:val="000000"/>
                      <w:sz w:val="18"/>
                      <w:szCs w:val="18"/>
                    </w:rPr>
                  </w:pPr>
                  <w:r w:rsidRPr="002F2180">
                    <w:rPr>
                      <w:rFonts w:ascii="Arial" w:hAnsi="Arial" w:cs="Arial"/>
                      <w:bCs/>
                      <w:color w:val="000000"/>
                      <w:sz w:val="18"/>
                      <w:szCs w:val="18"/>
                    </w:rPr>
                    <w:t>GST payments ($b)</w:t>
                  </w:r>
                </w:p>
              </w:tc>
              <w:tc>
                <w:tcPr>
                  <w:tcW w:w="739" w:type="dxa"/>
                  <w:tcBorders>
                    <w:left w:val="nil"/>
                    <w:bottom w:val="nil"/>
                    <w:right w:val="nil"/>
                  </w:tcBorders>
                  <w:shd w:val="pct5" w:color="auto" w:fill="auto"/>
                  <w:vAlign w:val="center"/>
                  <w:hideMark/>
                </w:tcPr>
                <w:p w14:paraId="79549557" w14:textId="77777777" w:rsidR="00F05DC7" w:rsidRDefault="00F05DC7" w:rsidP="00A3786D">
                  <w:pPr>
                    <w:pStyle w:val="TableBodyText"/>
                    <w:spacing w:after="0"/>
                  </w:pPr>
                  <w:r>
                    <w:t>17.51</w:t>
                  </w:r>
                </w:p>
              </w:tc>
              <w:tc>
                <w:tcPr>
                  <w:tcW w:w="740" w:type="dxa"/>
                  <w:tcBorders>
                    <w:left w:val="nil"/>
                    <w:bottom w:val="nil"/>
                    <w:right w:val="nil"/>
                  </w:tcBorders>
                  <w:shd w:val="pct5" w:color="auto" w:fill="auto"/>
                  <w:vAlign w:val="center"/>
                  <w:hideMark/>
                </w:tcPr>
                <w:p w14:paraId="79549558" w14:textId="77777777" w:rsidR="00F05DC7" w:rsidRDefault="00F05DC7" w:rsidP="00A3786D">
                  <w:pPr>
                    <w:pStyle w:val="TableBodyText"/>
                    <w:spacing w:after="0"/>
                  </w:pPr>
                  <w:r>
                    <w:t>14.99</w:t>
                  </w:r>
                </w:p>
              </w:tc>
              <w:tc>
                <w:tcPr>
                  <w:tcW w:w="740" w:type="dxa"/>
                  <w:tcBorders>
                    <w:left w:val="nil"/>
                    <w:bottom w:val="nil"/>
                    <w:right w:val="nil"/>
                  </w:tcBorders>
                  <w:shd w:val="pct5" w:color="auto" w:fill="auto"/>
                  <w:vAlign w:val="center"/>
                  <w:hideMark/>
                </w:tcPr>
                <w:p w14:paraId="79549559" w14:textId="77777777" w:rsidR="00F05DC7" w:rsidRDefault="00F05DC7" w:rsidP="00A3786D">
                  <w:pPr>
                    <w:pStyle w:val="TableBodyText"/>
                    <w:spacing w:after="0"/>
                  </w:pPr>
                  <w:r>
                    <w:t>14.85</w:t>
                  </w:r>
                </w:p>
              </w:tc>
              <w:tc>
                <w:tcPr>
                  <w:tcW w:w="740" w:type="dxa"/>
                  <w:tcBorders>
                    <w:left w:val="nil"/>
                    <w:bottom w:val="nil"/>
                    <w:right w:val="nil"/>
                  </w:tcBorders>
                  <w:shd w:val="pct5" w:color="auto" w:fill="auto"/>
                  <w:vAlign w:val="center"/>
                  <w:hideMark/>
                </w:tcPr>
                <w:p w14:paraId="7954955A" w14:textId="77777777" w:rsidR="00F05DC7" w:rsidRDefault="00F05DC7" w:rsidP="00A3786D">
                  <w:pPr>
                    <w:pStyle w:val="TableBodyText"/>
                    <w:spacing w:after="0"/>
                  </w:pPr>
                  <w:r>
                    <w:t>2.26</w:t>
                  </w:r>
                </w:p>
              </w:tc>
              <w:tc>
                <w:tcPr>
                  <w:tcW w:w="739" w:type="dxa"/>
                  <w:tcBorders>
                    <w:left w:val="nil"/>
                    <w:bottom w:val="nil"/>
                    <w:right w:val="nil"/>
                  </w:tcBorders>
                  <w:shd w:val="pct5" w:color="auto" w:fill="auto"/>
                  <w:vAlign w:val="center"/>
                  <w:hideMark/>
                </w:tcPr>
                <w:p w14:paraId="7954955B" w14:textId="77777777" w:rsidR="00F05DC7" w:rsidRDefault="00F05DC7" w:rsidP="00A3786D">
                  <w:pPr>
                    <w:pStyle w:val="TableBodyText"/>
                    <w:spacing w:after="0"/>
                  </w:pPr>
                  <w:r>
                    <w:t>6.28</w:t>
                  </w:r>
                </w:p>
              </w:tc>
              <w:tc>
                <w:tcPr>
                  <w:tcW w:w="740" w:type="dxa"/>
                  <w:tcBorders>
                    <w:left w:val="nil"/>
                    <w:bottom w:val="nil"/>
                    <w:right w:val="nil"/>
                  </w:tcBorders>
                  <w:shd w:val="pct5" w:color="auto" w:fill="auto"/>
                  <w:vAlign w:val="center"/>
                  <w:hideMark/>
                </w:tcPr>
                <w:p w14:paraId="7954955C" w14:textId="77777777" w:rsidR="00F05DC7" w:rsidRDefault="00F05DC7" w:rsidP="00A3786D">
                  <w:pPr>
                    <w:pStyle w:val="TableBodyText"/>
                    <w:spacing w:after="0"/>
                  </w:pPr>
                  <w:r>
                    <w:t>2.38</w:t>
                  </w:r>
                </w:p>
              </w:tc>
              <w:tc>
                <w:tcPr>
                  <w:tcW w:w="740" w:type="dxa"/>
                  <w:tcBorders>
                    <w:left w:val="nil"/>
                    <w:bottom w:val="nil"/>
                    <w:right w:val="nil"/>
                  </w:tcBorders>
                  <w:shd w:val="pct5" w:color="auto" w:fill="auto"/>
                  <w:vAlign w:val="center"/>
                  <w:hideMark/>
                </w:tcPr>
                <w:p w14:paraId="7954955D" w14:textId="77777777" w:rsidR="00F05DC7" w:rsidRDefault="00F05DC7" w:rsidP="00A3786D">
                  <w:pPr>
                    <w:pStyle w:val="TableBodyText"/>
                    <w:spacing w:after="0"/>
                  </w:pPr>
                  <w:r>
                    <w:t>1.24</w:t>
                  </w:r>
                </w:p>
              </w:tc>
              <w:tc>
                <w:tcPr>
                  <w:tcW w:w="740" w:type="dxa"/>
                  <w:tcBorders>
                    <w:left w:val="nil"/>
                    <w:bottom w:val="nil"/>
                    <w:right w:val="nil"/>
                  </w:tcBorders>
                  <w:shd w:val="pct5" w:color="auto" w:fill="auto"/>
                  <w:vAlign w:val="center"/>
                  <w:hideMark/>
                </w:tcPr>
                <w:p w14:paraId="7954955E" w14:textId="77777777" w:rsidR="00F05DC7" w:rsidRDefault="00F05DC7" w:rsidP="00A3786D">
                  <w:pPr>
                    <w:pStyle w:val="TableBodyText"/>
                    <w:spacing w:after="0"/>
                    <w:ind w:right="28"/>
                  </w:pPr>
                  <w:r>
                    <w:t>2.89</w:t>
                  </w:r>
                </w:p>
              </w:tc>
            </w:tr>
            <w:tr w:rsidR="00F05DC7" w14:paraId="79549569" w14:textId="77777777" w:rsidTr="005602D0">
              <w:trPr>
                <w:trHeight w:val="288"/>
              </w:trPr>
              <w:tc>
                <w:tcPr>
                  <w:tcW w:w="2693" w:type="dxa"/>
                  <w:tcBorders>
                    <w:top w:val="nil"/>
                    <w:left w:val="nil"/>
                    <w:right w:val="nil"/>
                  </w:tcBorders>
                  <w:shd w:val="clear" w:color="auto" w:fill="auto"/>
                  <w:vAlign w:val="center"/>
                  <w:hideMark/>
                </w:tcPr>
                <w:p w14:paraId="79549560" w14:textId="77777777" w:rsidR="00F05DC7" w:rsidRDefault="00F05DC7" w:rsidP="00A3786D">
                  <w:pPr>
                    <w:ind w:firstLineChars="200" w:firstLine="360"/>
                    <w:rPr>
                      <w:rFonts w:ascii="Arial" w:hAnsi="Arial" w:cs="Arial"/>
                      <w:color w:val="000000"/>
                      <w:sz w:val="18"/>
                      <w:szCs w:val="18"/>
                    </w:rPr>
                  </w:pPr>
                  <w:r>
                    <w:rPr>
                      <w:rFonts w:ascii="Arial" w:hAnsi="Arial" w:cs="Arial"/>
                      <w:color w:val="000000"/>
                      <w:sz w:val="18"/>
                      <w:szCs w:val="18"/>
                    </w:rPr>
                    <w:t xml:space="preserve">% total grants revenue </w:t>
                  </w:r>
                </w:p>
              </w:tc>
              <w:tc>
                <w:tcPr>
                  <w:tcW w:w="739" w:type="dxa"/>
                  <w:tcBorders>
                    <w:top w:val="nil"/>
                    <w:left w:val="nil"/>
                    <w:right w:val="nil"/>
                  </w:tcBorders>
                  <w:shd w:val="clear" w:color="auto" w:fill="auto"/>
                  <w:vAlign w:val="center"/>
                  <w:hideMark/>
                </w:tcPr>
                <w:p w14:paraId="79549561" w14:textId="77777777" w:rsidR="00F05DC7" w:rsidRDefault="00F05DC7" w:rsidP="00A3786D">
                  <w:pPr>
                    <w:pStyle w:val="TableBodyText"/>
                    <w:spacing w:after="0"/>
                  </w:pPr>
                  <w:r>
                    <w:t>55</w:t>
                  </w:r>
                </w:p>
              </w:tc>
              <w:tc>
                <w:tcPr>
                  <w:tcW w:w="740" w:type="dxa"/>
                  <w:tcBorders>
                    <w:top w:val="nil"/>
                    <w:left w:val="nil"/>
                    <w:right w:val="nil"/>
                  </w:tcBorders>
                  <w:shd w:val="clear" w:color="auto" w:fill="auto"/>
                  <w:vAlign w:val="center"/>
                  <w:hideMark/>
                </w:tcPr>
                <w:p w14:paraId="79549562" w14:textId="77777777" w:rsidR="00F05DC7" w:rsidRDefault="00F05DC7" w:rsidP="00A3786D">
                  <w:pPr>
                    <w:pStyle w:val="TableBodyText"/>
                    <w:spacing w:after="0"/>
                  </w:pPr>
                  <w:r>
                    <w:t>50</w:t>
                  </w:r>
                </w:p>
              </w:tc>
              <w:tc>
                <w:tcPr>
                  <w:tcW w:w="740" w:type="dxa"/>
                  <w:tcBorders>
                    <w:top w:val="nil"/>
                    <w:left w:val="nil"/>
                    <w:right w:val="nil"/>
                  </w:tcBorders>
                  <w:shd w:val="clear" w:color="auto" w:fill="auto"/>
                  <w:vAlign w:val="center"/>
                  <w:hideMark/>
                </w:tcPr>
                <w:p w14:paraId="79549563" w14:textId="77777777" w:rsidR="00F05DC7" w:rsidRDefault="00F05DC7" w:rsidP="00A3786D">
                  <w:pPr>
                    <w:pStyle w:val="TableBodyText"/>
                    <w:spacing w:after="0"/>
                  </w:pPr>
                  <w:r>
                    <w:t>53</w:t>
                  </w:r>
                </w:p>
              </w:tc>
              <w:tc>
                <w:tcPr>
                  <w:tcW w:w="740" w:type="dxa"/>
                  <w:tcBorders>
                    <w:top w:val="nil"/>
                    <w:left w:val="nil"/>
                    <w:right w:val="nil"/>
                  </w:tcBorders>
                  <w:shd w:val="clear" w:color="auto" w:fill="auto"/>
                  <w:vAlign w:val="center"/>
                  <w:hideMark/>
                </w:tcPr>
                <w:p w14:paraId="79549564" w14:textId="77777777" w:rsidR="00F05DC7" w:rsidRDefault="00F05DC7" w:rsidP="00A3786D">
                  <w:pPr>
                    <w:pStyle w:val="TableBodyText"/>
                    <w:spacing w:after="0"/>
                  </w:pPr>
                  <w:r>
                    <w:t>25</w:t>
                  </w:r>
                </w:p>
              </w:tc>
              <w:tc>
                <w:tcPr>
                  <w:tcW w:w="739" w:type="dxa"/>
                  <w:tcBorders>
                    <w:top w:val="nil"/>
                    <w:left w:val="nil"/>
                    <w:right w:val="nil"/>
                  </w:tcBorders>
                  <w:shd w:val="clear" w:color="auto" w:fill="auto"/>
                  <w:vAlign w:val="center"/>
                  <w:hideMark/>
                </w:tcPr>
                <w:p w14:paraId="79549565" w14:textId="77777777" w:rsidR="00F05DC7" w:rsidRDefault="00F05DC7" w:rsidP="00A3786D">
                  <w:pPr>
                    <w:pStyle w:val="TableBodyText"/>
                    <w:spacing w:after="0"/>
                  </w:pPr>
                  <w:r>
                    <w:t>58</w:t>
                  </w:r>
                </w:p>
              </w:tc>
              <w:tc>
                <w:tcPr>
                  <w:tcW w:w="740" w:type="dxa"/>
                  <w:tcBorders>
                    <w:top w:val="nil"/>
                    <w:left w:val="nil"/>
                    <w:right w:val="nil"/>
                  </w:tcBorders>
                  <w:shd w:val="clear" w:color="auto" w:fill="auto"/>
                  <w:vAlign w:val="center"/>
                  <w:hideMark/>
                </w:tcPr>
                <w:p w14:paraId="79549566" w14:textId="77777777" w:rsidR="00F05DC7" w:rsidRDefault="00F05DC7" w:rsidP="00A3786D">
                  <w:pPr>
                    <w:pStyle w:val="TableBodyText"/>
                    <w:spacing w:after="0"/>
                  </w:pPr>
                  <w:r>
                    <w:t>64</w:t>
                  </w:r>
                </w:p>
              </w:tc>
              <w:tc>
                <w:tcPr>
                  <w:tcW w:w="740" w:type="dxa"/>
                  <w:tcBorders>
                    <w:top w:val="nil"/>
                    <w:left w:val="nil"/>
                    <w:right w:val="nil"/>
                  </w:tcBorders>
                  <w:shd w:val="clear" w:color="auto" w:fill="auto"/>
                  <w:vAlign w:val="center"/>
                  <w:hideMark/>
                </w:tcPr>
                <w:p w14:paraId="79549567" w14:textId="77777777" w:rsidR="00F05DC7" w:rsidRDefault="00F05DC7" w:rsidP="00A3786D">
                  <w:pPr>
                    <w:pStyle w:val="TableBodyText"/>
                    <w:spacing w:after="0"/>
                  </w:pPr>
                  <w:r>
                    <w:t>55</w:t>
                  </w:r>
                </w:p>
              </w:tc>
              <w:tc>
                <w:tcPr>
                  <w:tcW w:w="740" w:type="dxa"/>
                  <w:tcBorders>
                    <w:top w:val="nil"/>
                    <w:left w:val="nil"/>
                    <w:right w:val="nil"/>
                  </w:tcBorders>
                  <w:shd w:val="clear" w:color="auto" w:fill="auto"/>
                  <w:vAlign w:val="center"/>
                  <w:hideMark/>
                </w:tcPr>
                <w:p w14:paraId="79549568" w14:textId="77777777" w:rsidR="00F05DC7" w:rsidRDefault="00F05DC7" w:rsidP="00A3786D">
                  <w:pPr>
                    <w:pStyle w:val="TableBodyText"/>
                    <w:spacing w:after="0"/>
                    <w:ind w:right="28"/>
                  </w:pPr>
                  <w:r>
                    <w:t>68</w:t>
                  </w:r>
                </w:p>
              </w:tc>
            </w:tr>
            <w:tr w:rsidR="00F05DC7" w14:paraId="79549573" w14:textId="77777777" w:rsidTr="005602D0">
              <w:trPr>
                <w:trHeight w:val="300"/>
              </w:trPr>
              <w:tc>
                <w:tcPr>
                  <w:tcW w:w="2693" w:type="dxa"/>
                  <w:tcBorders>
                    <w:top w:val="nil"/>
                    <w:left w:val="nil"/>
                    <w:bottom w:val="single" w:sz="6" w:space="0" w:color="BFBFBF"/>
                    <w:right w:val="nil"/>
                  </w:tcBorders>
                  <w:shd w:val="clear" w:color="auto" w:fill="auto"/>
                  <w:vAlign w:val="center"/>
                  <w:hideMark/>
                </w:tcPr>
                <w:p w14:paraId="7954956A" w14:textId="77777777" w:rsidR="00F05DC7" w:rsidRDefault="00F05DC7" w:rsidP="00A3786D">
                  <w:pPr>
                    <w:ind w:firstLineChars="200" w:firstLine="360"/>
                    <w:rPr>
                      <w:rFonts w:ascii="Arial" w:hAnsi="Arial" w:cs="Arial"/>
                      <w:color w:val="000000"/>
                      <w:sz w:val="18"/>
                      <w:szCs w:val="18"/>
                    </w:rPr>
                  </w:pPr>
                  <w:r>
                    <w:rPr>
                      <w:rFonts w:ascii="Arial" w:hAnsi="Arial" w:cs="Arial"/>
                      <w:color w:val="000000"/>
                      <w:sz w:val="18"/>
                      <w:szCs w:val="18"/>
                    </w:rPr>
                    <w:t xml:space="preserve">% total revenue </w:t>
                  </w:r>
                </w:p>
              </w:tc>
              <w:tc>
                <w:tcPr>
                  <w:tcW w:w="739" w:type="dxa"/>
                  <w:tcBorders>
                    <w:top w:val="nil"/>
                    <w:left w:val="nil"/>
                    <w:bottom w:val="single" w:sz="6" w:space="0" w:color="BFBFBF"/>
                    <w:right w:val="nil"/>
                  </w:tcBorders>
                  <w:shd w:val="clear" w:color="auto" w:fill="auto"/>
                  <w:vAlign w:val="center"/>
                  <w:hideMark/>
                </w:tcPr>
                <w:p w14:paraId="7954956B" w14:textId="77777777" w:rsidR="00F05DC7" w:rsidRDefault="00F05DC7" w:rsidP="00A3786D">
                  <w:pPr>
                    <w:pStyle w:val="TableBodyText"/>
                    <w:spacing w:after="0"/>
                  </w:pPr>
                  <w:r>
                    <w:t>22</w:t>
                  </w:r>
                </w:p>
              </w:tc>
              <w:tc>
                <w:tcPr>
                  <w:tcW w:w="740" w:type="dxa"/>
                  <w:tcBorders>
                    <w:top w:val="nil"/>
                    <w:left w:val="nil"/>
                    <w:bottom w:val="single" w:sz="6" w:space="0" w:color="BFBFBF"/>
                    <w:right w:val="nil"/>
                  </w:tcBorders>
                  <w:shd w:val="clear" w:color="auto" w:fill="auto"/>
                  <w:vAlign w:val="center"/>
                  <w:hideMark/>
                </w:tcPr>
                <w:p w14:paraId="7954956C" w14:textId="77777777" w:rsidR="00F05DC7" w:rsidRDefault="00F05DC7" w:rsidP="00A3786D">
                  <w:pPr>
                    <w:pStyle w:val="TableBodyText"/>
                    <w:spacing w:after="0"/>
                  </w:pPr>
                  <w:r>
                    <w:t>23</w:t>
                  </w:r>
                </w:p>
              </w:tc>
              <w:tc>
                <w:tcPr>
                  <w:tcW w:w="740" w:type="dxa"/>
                  <w:tcBorders>
                    <w:top w:val="nil"/>
                    <w:left w:val="nil"/>
                    <w:bottom w:val="single" w:sz="6" w:space="0" w:color="BFBFBF"/>
                    <w:right w:val="nil"/>
                  </w:tcBorders>
                  <w:shd w:val="clear" w:color="auto" w:fill="auto"/>
                  <w:vAlign w:val="center"/>
                  <w:hideMark/>
                </w:tcPr>
                <w:p w14:paraId="7954956D" w14:textId="77777777" w:rsidR="00F05DC7" w:rsidRDefault="00F05DC7" w:rsidP="00A3786D">
                  <w:pPr>
                    <w:pStyle w:val="TableBodyText"/>
                    <w:spacing w:after="0"/>
                  </w:pPr>
                  <w:r>
                    <w:t>26</w:t>
                  </w:r>
                </w:p>
              </w:tc>
              <w:tc>
                <w:tcPr>
                  <w:tcW w:w="740" w:type="dxa"/>
                  <w:tcBorders>
                    <w:top w:val="nil"/>
                    <w:left w:val="nil"/>
                    <w:bottom w:val="single" w:sz="6" w:space="0" w:color="BFBFBF"/>
                    <w:right w:val="nil"/>
                  </w:tcBorders>
                  <w:shd w:val="clear" w:color="auto" w:fill="auto"/>
                  <w:vAlign w:val="center"/>
                  <w:hideMark/>
                </w:tcPr>
                <w:p w14:paraId="7954956E" w14:textId="77777777" w:rsidR="00F05DC7" w:rsidRDefault="00F05DC7" w:rsidP="00A3786D">
                  <w:pPr>
                    <w:pStyle w:val="TableBodyText"/>
                    <w:spacing w:after="0"/>
                  </w:pPr>
                  <w:r>
                    <w:t>8</w:t>
                  </w:r>
                </w:p>
              </w:tc>
              <w:tc>
                <w:tcPr>
                  <w:tcW w:w="739" w:type="dxa"/>
                  <w:tcBorders>
                    <w:top w:val="nil"/>
                    <w:left w:val="nil"/>
                    <w:bottom w:val="single" w:sz="6" w:space="0" w:color="BFBFBF"/>
                    <w:right w:val="nil"/>
                  </w:tcBorders>
                  <w:shd w:val="clear" w:color="auto" w:fill="auto"/>
                  <w:vAlign w:val="center"/>
                  <w:hideMark/>
                </w:tcPr>
                <w:p w14:paraId="7954956F" w14:textId="77777777" w:rsidR="00F05DC7" w:rsidRDefault="00F05DC7" w:rsidP="00A3786D">
                  <w:pPr>
                    <w:pStyle w:val="TableBodyText"/>
                    <w:spacing w:after="0"/>
                  </w:pPr>
                  <w:r>
                    <w:t>33</w:t>
                  </w:r>
                </w:p>
              </w:tc>
              <w:tc>
                <w:tcPr>
                  <w:tcW w:w="740" w:type="dxa"/>
                  <w:tcBorders>
                    <w:top w:val="nil"/>
                    <w:left w:val="nil"/>
                    <w:bottom w:val="single" w:sz="6" w:space="0" w:color="BFBFBF"/>
                    <w:right w:val="nil"/>
                  </w:tcBorders>
                  <w:shd w:val="clear" w:color="auto" w:fill="auto"/>
                  <w:vAlign w:val="center"/>
                  <w:hideMark/>
                </w:tcPr>
                <w:p w14:paraId="79549570" w14:textId="77777777" w:rsidR="00F05DC7" w:rsidRDefault="00F05DC7" w:rsidP="00A3786D">
                  <w:pPr>
                    <w:pStyle w:val="TableBodyText"/>
                    <w:spacing w:after="0"/>
                  </w:pPr>
                  <w:r>
                    <w:t>40</w:t>
                  </w:r>
                </w:p>
              </w:tc>
              <w:tc>
                <w:tcPr>
                  <w:tcW w:w="740" w:type="dxa"/>
                  <w:tcBorders>
                    <w:top w:val="nil"/>
                    <w:left w:val="nil"/>
                    <w:bottom w:val="single" w:sz="6" w:space="0" w:color="BFBFBF"/>
                    <w:right w:val="nil"/>
                  </w:tcBorders>
                  <w:shd w:val="clear" w:color="auto" w:fill="auto"/>
                  <w:vAlign w:val="center"/>
                  <w:hideMark/>
                </w:tcPr>
                <w:p w14:paraId="79549571" w14:textId="77777777" w:rsidR="00F05DC7" w:rsidRDefault="00F05DC7" w:rsidP="00A3786D">
                  <w:pPr>
                    <w:pStyle w:val="TableBodyText"/>
                    <w:spacing w:after="0"/>
                  </w:pPr>
                  <w:r>
                    <w:t>23</w:t>
                  </w:r>
                </w:p>
              </w:tc>
              <w:tc>
                <w:tcPr>
                  <w:tcW w:w="740" w:type="dxa"/>
                  <w:tcBorders>
                    <w:top w:val="nil"/>
                    <w:left w:val="nil"/>
                    <w:bottom w:val="single" w:sz="6" w:space="0" w:color="BFBFBF"/>
                    <w:right w:val="nil"/>
                  </w:tcBorders>
                  <w:shd w:val="clear" w:color="auto" w:fill="auto"/>
                  <w:vAlign w:val="center"/>
                  <w:hideMark/>
                </w:tcPr>
                <w:p w14:paraId="79549572" w14:textId="77777777" w:rsidR="00F05DC7" w:rsidRDefault="00F05DC7" w:rsidP="00A3786D">
                  <w:pPr>
                    <w:pStyle w:val="TableBodyText"/>
                    <w:spacing w:after="0"/>
                    <w:ind w:right="28"/>
                  </w:pPr>
                  <w:r>
                    <w:t>49</w:t>
                  </w:r>
                </w:p>
              </w:tc>
            </w:tr>
          </w:tbl>
          <w:p w14:paraId="79549574" w14:textId="77777777" w:rsidR="00F05DC7" w:rsidRDefault="00F05DC7" w:rsidP="00A3786D">
            <w:pPr>
              <w:pStyle w:val="Box"/>
            </w:pPr>
          </w:p>
        </w:tc>
      </w:tr>
      <w:tr w:rsidR="00F05DC7" w14:paraId="79549577" w14:textId="77777777" w:rsidTr="00A3786D">
        <w:tc>
          <w:tcPr>
            <w:tcW w:w="5000" w:type="pct"/>
            <w:tcBorders>
              <w:top w:val="nil"/>
              <w:left w:val="nil"/>
              <w:bottom w:val="single" w:sz="6" w:space="0" w:color="78A22F"/>
              <w:right w:val="nil"/>
            </w:tcBorders>
            <w:shd w:val="clear" w:color="auto" w:fill="auto"/>
          </w:tcPr>
          <w:p w14:paraId="79549576" w14:textId="77777777" w:rsidR="00F05DC7" w:rsidRDefault="00F05DC7" w:rsidP="00A3786D">
            <w:pPr>
              <w:pStyle w:val="Box"/>
              <w:spacing w:before="0" w:line="120" w:lineRule="exact"/>
            </w:pPr>
          </w:p>
        </w:tc>
      </w:tr>
    </w:tbl>
    <w:p w14:paraId="79549578" w14:textId="77777777" w:rsidR="00F05DC7" w:rsidRDefault="00F05DC7" w:rsidP="00A3786D">
      <w:pPr>
        <w:pStyle w:val="BodyText"/>
      </w:pPr>
      <w:r>
        <w:t>Several features of Australia’s HFE system promote predictable and stable GST payments. This stability is primarily achieved by applying a three</w:t>
      </w:r>
      <w:r>
        <w:noBreakHyphen/>
        <w:t>year moving average to relativity calculations, plus a two</w:t>
      </w:r>
      <w:r>
        <w:noBreakHyphen/>
        <w:t>year data lag (to ensure robust data are available). A consequence of this emphasis on stability is that equalisation is less contemp</w:t>
      </w:r>
      <w:r w:rsidRPr="00011B14">
        <w:t>oraneou</w:t>
      </w:r>
      <w:r>
        <w:t>s.</w:t>
      </w:r>
    </w:p>
    <w:p w14:paraId="79549579" w14:textId="77777777" w:rsidR="00F05DC7" w:rsidRDefault="00F05DC7" w:rsidP="00A3786D">
      <w:pPr>
        <w:pStyle w:val="BodyText"/>
        <w:spacing w:after="240"/>
      </w:pPr>
      <w:r>
        <w:t>Less contemporaneous equalisation can exacerbate the budget cycle where State fiscal situations change abruptly — as happened to Western Australia during the mining boom. In this instance, the three</w:t>
      </w:r>
      <w:r>
        <w:noBreakHyphen/>
        <w:t>year assessment period and two</w:t>
      </w:r>
      <w:r>
        <w:noBreakHyphen/>
        <w:t>year lag in the system resulted in declining GST relativities coinciding with falls in royalty revenue, thereby intensifying the effects of the economic cycle on Western Australia’s budget (box 3).</w:t>
      </w:r>
    </w:p>
    <w:p w14:paraId="7954957A" w14:textId="77777777" w:rsidR="00F05DC7" w:rsidRDefault="00F05DC7" w:rsidP="00A3786D">
      <w:pPr>
        <w:pStyle w:val="BodyText"/>
      </w:pPr>
      <w:r>
        <w:t>That said, Western Australia still remains the fiscally strongest State — its mining royalties are about three and a half times higher now than they were before the mining boom. Indeed, the higher level of mining production in Western Australia is expected to continue for the foreseeable future, indicating a more enduring change, rather than a transitory change, in its revenue fortunes. This is an important factor when it comes to assessing the case for change. It strongly suggests that ad hoc top</w:t>
      </w:r>
      <w:r>
        <w:noBreakHyphen/>
        <w:t xml:space="preserve">ups are not an enduring solution. </w:t>
      </w:r>
    </w:p>
    <w:p w14:paraId="7954957B" w14:textId="77777777" w:rsidR="00F05DC7" w:rsidRDefault="00F05DC7" w:rsidP="00A3786D">
      <w:pPr>
        <w:pStyle w:val="BodyText"/>
      </w:pPr>
      <w:r>
        <w:t xml:space="preserve">Western Australia’s experience has been unprecedented, exacerbated by earlier budget decisions of the WA Government. For States with less extreme changes in fiscal capacity, limited contemporaneity has been less problematic, and indeed most other States prefer an emphasis on stability (particularly as GST payments are </w:t>
      </w:r>
      <w:r w:rsidDel="00DE1B59">
        <w:t xml:space="preserve">on average </w:t>
      </w:r>
      <w:r>
        <w:t xml:space="preserve">less volatile than other State revenue sources). </w:t>
      </w:r>
    </w:p>
    <w:p w14:paraId="7954957C" w14:textId="77777777" w:rsidR="00F05DC7" w:rsidRDefault="00F05DC7" w:rsidP="00A3786D">
      <w:pPr>
        <w:pStyle w:val="BodyText"/>
      </w:pPr>
      <w:r>
        <w:t>Trying to increase the contemporaneity of the assessment could introduce additional complexity and volatility. The most effective response to a lack of contemporaneity lies with the States themselves. States have a range of methods, including borrowing and saving, by which they can manage gaps between their GST needs and actual payments, as they already use for other sources of budget volatility.</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57E" w14:textId="77777777" w:rsidTr="001113B1">
        <w:trPr>
          <w:tblHeader/>
        </w:trPr>
        <w:tc>
          <w:tcPr>
            <w:tcW w:w="5000" w:type="pct"/>
            <w:tcBorders>
              <w:top w:val="single" w:sz="6" w:space="0" w:color="78A22F"/>
              <w:left w:val="nil"/>
              <w:bottom w:val="nil"/>
              <w:right w:val="nil"/>
            </w:tcBorders>
            <w:shd w:val="clear" w:color="auto" w:fill="F2F2F2"/>
            <w:tcMar>
              <w:left w:w="113" w:type="dxa"/>
              <w:right w:w="113" w:type="dxa"/>
            </w:tcMar>
          </w:tcPr>
          <w:p w14:paraId="7954957D" w14:textId="77777777" w:rsidR="00F05DC7" w:rsidRDefault="00F05DC7" w:rsidP="00A3786D">
            <w:pPr>
              <w:pStyle w:val="BoxTitle"/>
              <w:spacing w:line="240" w:lineRule="exact"/>
            </w:pPr>
            <w:r>
              <w:rPr>
                <w:b w:val="0"/>
              </w:rPr>
              <w:lastRenderedPageBreak/>
              <w:t>Box 3</w:t>
            </w:r>
            <w:r>
              <w:tab/>
              <w:t>Western Australia’s fiscal position</w:t>
            </w:r>
          </w:p>
        </w:tc>
      </w:tr>
      <w:tr w:rsidR="00F05DC7" w14:paraId="79549585" w14:textId="77777777" w:rsidTr="00A3786D">
        <w:tc>
          <w:tcPr>
            <w:tcW w:w="5000" w:type="pct"/>
            <w:tcBorders>
              <w:top w:val="nil"/>
              <w:left w:val="nil"/>
              <w:bottom w:val="nil"/>
              <w:right w:val="nil"/>
            </w:tcBorders>
            <w:shd w:val="clear" w:color="auto" w:fill="F2F2F2"/>
            <w:tcMar>
              <w:left w:w="113" w:type="dxa"/>
              <w:right w:w="113" w:type="dxa"/>
            </w:tcMar>
          </w:tcPr>
          <w:p w14:paraId="7954957F" w14:textId="77777777" w:rsidR="00F05DC7" w:rsidRPr="00685F39" w:rsidRDefault="00F05DC7" w:rsidP="00A3786D">
            <w:pPr>
              <w:pStyle w:val="Box"/>
            </w:pPr>
            <w:r w:rsidRPr="00685F39">
              <w:t>The mining construction boom has driven large shifts in Western Australia’s fiscal capacity. Its revenue</w:t>
            </w:r>
            <w:r w:rsidRPr="00685F39">
              <w:noBreakHyphen/>
              <w:t>raising capacity increased by about 90 per cent from 2007</w:t>
            </w:r>
            <w:r w:rsidRPr="00685F39">
              <w:noBreakHyphen/>
              <w:t>08 to its peak in 2013</w:t>
            </w:r>
            <w:r w:rsidRPr="00685F39">
              <w:noBreakHyphen/>
              <w:t>14. Royalty income alone over this period increased from about $1.7 billion to about $6 billion, but declined in the following years. The three</w:t>
            </w:r>
            <w:r w:rsidRPr="00685F39">
              <w:noBreakHyphen/>
              <w:t>year assessment period and two</w:t>
            </w:r>
            <w:r w:rsidRPr="00685F39">
              <w:noBreakHyphen/>
              <w:t xml:space="preserve">year lag have complicated budget management by slowing the change in Western Australia’s relativity to these changes in its fiscal capacity. </w:t>
            </w:r>
          </w:p>
          <w:p w14:paraId="79549580" w14:textId="77777777" w:rsidR="00F05DC7" w:rsidRDefault="00F05DC7" w:rsidP="00A3786D">
            <w:pPr>
              <w:pStyle w:val="Box"/>
              <w:spacing w:before="180" w:after="180" w:line="280" w:lineRule="atLeast"/>
              <w:jc w:val="center"/>
            </w:pPr>
            <w:r w:rsidRPr="00D5440A">
              <w:rPr>
                <w:noProof/>
              </w:rPr>
              <w:drawing>
                <wp:inline distT="0" distB="0" distL="0" distR="0" wp14:anchorId="7954D589" wp14:editId="7954D58A">
                  <wp:extent cx="5303943" cy="2586153"/>
                  <wp:effectExtent l="0" t="0" r="0" b="5080"/>
                  <wp:docPr id="8" name="Picture 8" descr="This figure shows the GST required for Western Australia in a particular year (estimated using the CGC’s most recent annual relativity calculation for each year) and the GST it actually receives. This difference arises due to the two-year assessment lag and the use of a three-year averaging period. Until 2013 14, WA’s GST needs were well below what it received. However, when the mining boom began to tail off and WA’s budget began to suffer, its GST needs increased sharply and well above the GST it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203" r="2657"/>
                          <a:stretch/>
                        </pic:blipFill>
                        <pic:spPr bwMode="auto">
                          <a:xfrm>
                            <a:off x="0" y="0"/>
                            <a:ext cx="5304356" cy="2586355"/>
                          </a:xfrm>
                          <a:prstGeom prst="rect">
                            <a:avLst/>
                          </a:prstGeom>
                          <a:noFill/>
                          <a:ln>
                            <a:noFill/>
                          </a:ln>
                          <a:extLst>
                            <a:ext uri="{53640926-AAD7-44D8-BBD7-CCE9431645EC}">
                              <a14:shadowObscured xmlns:a14="http://schemas.microsoft.com/office/drawing/2010/main"/>
                            </a:ext>
                          </a:extLst>
                        </pic:spPr>
                      </pic:pic>
                    </a:graphicData>
                  </a:graphic>
                </wp:inline>
              </w:drawing>
            </w:r>
          </w:p>
          <w:p w14:paraId="79549581" w14:textId="77777777" w:rsidR="00F05DC7" w:rsidRPr="00685F39" w:rsidRDefault="00F05DC7" w:rsidP="00A3786D">
            <w:pPr>
              <w:pStyle w:val="Box"/>
            </w:pPr>
            <w:r w:rsidRPr="00685F39">
              <w:t>In practice this meant that while Western Australia’s royalties were increasing, it received larger GST payments than it would have received under a fully contemporaneous HFE system. The CGC has estimated that growth in iron ore royalties resulted in Western Australia retaining an extra $7 billion in the six years to 2015</w:t>
            </w:r>
            <w:r w:rsidRPr="00685F39">
              <w:noBreakHyphen/>
              <w:t>16. Similarly, as Western Australia’s royalty income has declined, it has received lower GST payments than its assessed needs. This has contributed to a deteriorating fiscal position.</w:t>
            </w:r>
          </w:p>
          <w:p w14:paraId="79549582" w14:textId="77777777" w:rsidR="00F05DC7" w:rsidRPr="00685F39" w:rsidRDefault="00F05DC7" w:rsidP="00A3786D">
            <w:pPr>
              <w:pStyle w:val="Box"/>
            </w:pPr>
            <w:r w:rsidRPr="00685F39">
              <w:t>However, the lower GST payments were forecast by the WA State Treasury. The 2011</w:t>
            </w:r>
            <w:r w:rsidRPr="00685F39">
              <w:noBreakHyphen/>
              <w:t>12 budget projected a fall in WA’s relativity from 0.72 to 0.33 by 2014</w:t>
            </w:r>
            <w:r w:rsidRPr="00685F39">
              <w:noBreakHyphen/>
              <w:t>15. But the WA Government had expectations of HFE reform (following the 2012 GST Review). The then WA Treasurer stated in his 2011</w:t>
            </w:r>
            <w:r w:rsidRPr="00685F39">
              <w:noBreakHyphen/>
              <w:t>12 budget speech:</w:t>
            </w:r>
          </w:p>
          <w:p w14:paraId="79549583" w14:textId="58910AB5" w:rsidR="00F05DC7" w:rsidRPr="00685F39" w:rsidRDefault="00F05DC7" w:rsidP="00A3786D">
            <w:pPr>
              <w:pStyle w:val="BoxQuote"/>
            </w:pPr>
            <w:r w:rsidRPr="00685F39">
              <w:t>What we reasonably anticipate is that in 2013</w:t>
            </w:r>
            <w:r w:rsidRPr="00685F39">
              <w:noBreakHyphen/>
              <w:t>14 the CGC will have brought in a new GST system. We expect it will produce a floor of about 75 per cent of our population share of the GST. Therefore we expect extra revenue of $1.8 billion in 2013</w:t>
            </w:r>
            <w:r w:rsidRPr="00685F39">
              <w:noBreakHyphen/>
              <w:t>14 and $2.5 billion in 2014</w:t>
            </w:r>
            <w:r w:rsidRPr="00685F39">
              <w:noBreakHyphen/>
              <w:t>15. These amounts will allow for reduced borrowings and will be used to progressively reduce existing debt to less than $18 billion while maintaining strong infrastructure investment … If that change does not occur in that year, the State Government will then have no choice but to wind back infrastructure investment to decrease debt</w:t>
            </w:r>
            <w:r>
              <w:t>.</w:t>
            </w:r>
            <w:r w:rsidRPr="00685F39">
              <w:t xml:space="preserve"> (Porter 2011, p. 3)</w:t>
            </w:r>
          </w:p>
          <w:p w14:paraId="79549584" w14:textId="4E46EC1B" w:rsidR="00F05DC7" w:rsidRPr="00685F39" w:rsidRDefault="00F05DC7" w:rsidP="00A3786D">
            <w:pPr>
              <w:pStyle w:val="Box"/>
            </w:pPr>
            <w:r w:rsidRPr="00685F39">
              <w:t xml:space="preserve">This suggests the State was on a higher course of spending than would be the case if there were no expectation of a floor. A recent inquiry into WA Government expenditure (Langoulant 2018) reached a similar conclusion, stating that ‘if the warnings Treasury provided that the policy settings of the day would cause major difficulties in the future had been heeded, it is highly likely that the State’s current budget and debt positions would have been mitigated, and in a material manner’ (p. 55). Several inquiry participants </w:t>
            </w:r>
            <w:r>
              <w:t xml:space="preserve">made similar points. </w:t>
            </w:r>
          </w:p>
        </w:tc>
      </w:tr>
      <w:tr w:rsidR="00F05DC7" w14:paraId="79549587" w14:textId="77777777" w:rsidTr="00A3786D">
        <w:tc>
          <w:tcPr>
            <w:tcW w:w="5000" w:type="pct"/>
            <w:tcBorders>
              <w:top w:val="nil"/>
              <w:left w:val="nil"/>
              <w:bottom w:val="single" w:sz="6" w:space="0" w:color="78A22F"/>
              <w:right w:val="nil"/>
            </w:tcBorders>
            <w:shd w:val="clear" w:color="auto" w:fill="F2F2F2"/>
          </w:tcPr>
          <w:p w14:paraId="79549586" w14:textId="77777777" w:rsidR="00F05DC7" w:rsidRDefault="00F05DC7" w:rsidP="00A3786D">
            <w:pPr>
              <w:pStyle w:val="Box"/>
              <w:keepNext w:val="0"/>
              <w:spacing w:before="0" w:line="80" w:lineRule="exact"/>
            </w:pPr>
          </w:p>
        </w:tc>
      </w:tr>
    </w:tbl>
    <w:p w14:paraId="79549588" w14:textId="77777777" w:rsidR="00F05DC7" w:rsidRDefault="00F05DC7" w:rsidP="00A3786D">
      <w:pPr>
        <w:pStyle w:val="Heading3"/>
      </w:pPr>
      <w:r>
        <w:lastRenderedPageBreak/>
        <w:t>Does HFE affect State incentives for reform?</w:t>
      </w:r>
    </w:p>
    <w:p w14:paraId="79549589" w14:textId="77777777" w:rsidR="00F05DC7" w:rsidRDefault="00F05DC7" w:rsidP="00A3786D">
      <w:pPr>
        <w:pStyle w:val="BodyText"/>
      </w:pPr>
      <w:r>
        <w:t xml:space="preserve">The CGC’s methods for calculating GST shares to the States are intended to be policy neutral — that is, GST shares should not be affected by an individual State’s policy decisions. But because average State policy is determined by what States collectively do, there is some inevitable tension with the principle of policy neutrality. </w:t>
      </w:r>
    </w:p>
    <w:p w14:paraId="7954958A" w14:textId="77777777" w:rsidR="00F05DC7" w:rsidRDefault="00F05DC7" w:rsidP="00A3786D">
      <w:pPr>
        <w:pStyle w:val="BodyText"/>
      </w:pPr>
      <w:r>
        <w:t>The CGC calculates GST shares by reference to average policy. On the revenue side, this means calculating how much tax a State could raise if it applied the national average tax rate. GST is then used to balance out differences between States with stronger or weaker tax bases (revenue disabilities). On the expenditure side,</w:t>
      </w:r>
      <w:r w:rsidRPr="00B93B7B">
        <w:t xml:space="preserve"> </w:t>
      </w:r>
      <w:r>
        <w:t>calculations tend to be more complex but in essence the CGC calculates how much it would cost to provide a service if every State spent in line with the national average. States’ assessed expenses are then adjusted up or down depending on structural factors (expenditure disabilities) that bear on the use and/or cost of providing services, such as the age profile or level of dispersion of their population.</w:t>
      </w:r>
    </w:p>
    <w:p w14:paraId="7954958B" w14:textId="77777777" w:rsidR="00F05DC7" w:rsidRDefault="00F05DC7" w:rsidP="00A3786D">
      <w:pPr>
        <w:pStyle w:val="BodyText"/>
      </w:pPr>
      <w:r>
        <w:t xml:space="preserve">The tension between what States do and policy neutrality is inherent to </w:t>
      </w:r>
      <w:r>
        <w:rPr>
          <w:i/>
        </w:rPr>
        <w:t>any</w:t>
      </w:r>
      <w:r>
        <w:t xml:space="preserve"> system of HFE, in that any increase in a State’s fiscal capacity relative to others will see it receive less in equalisation payments. In practice, most of the concerns about potential incentives for inefficient policy outcomes are on the revenue side, with some very large potential effects in relation to major State tax reform and the taxation of minerals and energy.</w:t>
      </w:r>
    </w:p>
    <w:p w14:paraId="7954958C" w14:textId="77777777" w:rsidR="00F05DC7" w:rsidRDefault="00F05DC7" w:rsidP="00A3786D">
      <w:pPr>
        <w:pStyle w:val="Heading4"/>
      </w:pPr>
      <w:r>
        <w:t>There can be disincentives for State tax reform</w:t>
      </w:r>
    </w:p>
    <w:p w14:paraId="7954958D" w14:textId="77777777" w:rsidR="00F05DC7" w:rsidRDefault="00F05DC7" w:rsidP="00A3786D">
      <w:pPr>
        <w:pStyle w:val="BodyText"/>
      </w:pPr>
      <w:r>
        <w:t xml:space="preserve">When a State changes its tax </w:t>
      </w:r>
      <w:r w:rsidRPr="00E4139F">
        <w:rPr>
          <w:i/>
        </w:rPr>
        <w:t>rate</w:t>
      </w:r>
      <w:r>
        <w:t xml:space="preserve"> or tax </w:t>
      </w:r>
      <w:r w:rsidRPr="00E4139F">
        <w:rPr>
          <w:i/>
        </w:rPr>
        <w:t>base</w:t>
      </w:r>
      <w:r>
        <w:t>, this policy change can lead to a change in that State’s share of the GST — by virtue of how the GST formula works. The direction and size of the effect is not straightforward and depends on where the State sits relative to the average.</w:t>
      </w:r>
    </w:p>
    <w:p w14:paraId="7954958E" w14:textId="77777777" w:rsidR="00F05DC7" w:rsidRDefault="00F05DC7" w:rsidP="00A3786D">
      <w:pPr>
        <w:pStyle w:val="BodyText"/>
      </w:pPr>
      <w:r>
        <w:t>In general, where a State changes its tax rate, the subsequent effect on the GST distribution will be small (except for the case of mining royalties). It will be larger for the larger States, as they have a bigger impact on the national average tax rate.</w:t>
      </w:r>
    </w:p>
    <w:p w14:paraId="7954958F" w14:textId="77777777" w:rsidR="00F05DC7" w:rsidRDefault="00F05DC7" w:rsidP="00A3786D">
      <w:pPr>
        <w:pStyle w:val="BodyText"/>
      </w:pPr>
      <w:r>
        <w:t xml:space="preserve">However, policy changes that affect the base — for example, </w:t>
      </w:r>
      <w:r w:rsidRPr="00C254B0">
        <w:t xml:space="preserve">approving new mining activity or increasing </w:t>
      </w:r>
      <w:r>
        <w:t>stamp duty</w:t>
      </w:r>
      <w:r w:rsidRPr="00C254B0">
        <w:t xml:space="preserve"> compliance </w:t>
      </w:r>
      <w:r>
        <w:t>— can have a significant effect on the GST distribution. This is because changes to the base mean changes to assessed revenue raising capacity (vis</w:t>
      </w:r>
      <w:r>
        <w:noBreakHyphen/>
        <w:t>à</w:t>
      </w:r>
      <w:r>
        <w:noBreakHyphen/>
        <w:t>vis other States). For example, if a State like Victoria (with 25 per cent of Australia’s population), increased its tax base and therefore increased tax revenue by $100, it would see $75 ($100 less its population share) of the additional revenue redistributed to other States.</w:t>
      </w:r>
    </w:p>
    <w:p w14:paraId="79549590" w14:textId="77777777" w:rsidR="00F05DC7" w:rsidRDefault="00F05DC7" w:rsidP="00A3786D">
      <w:pPr>
        <w:pStyle w:val="BodyText"/>
      </w:pPr>
      <w:r>
        <w:t>The potential to lose GST payments could discourage States from pursuing efficiency</w:t>
      </w:r>
      <w:r>
        <w:noBreakHyphen/>
        <w:t>enhancing reforms that are in the national interest. States could also be discouraged from pursuing reforms due to uncertainty about how the CGC will assess their revenues. These concerns would be significant in the event of a State undertaking major reforms to its tax mix. These incentive effects are illustrated by way of cameos in box 4.</w:t>
      </w:r>
    </w:p>
    <w:p w14:paraId="79549591"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593" w14:textId="77777777" w:rsidTr="001113B1">
        <w:trPr>
          <w:tblHeader/>
        </w:trPr>
        <w:tc>
          <w:tcPr>
            <w:tcW w:w="5000" w:type="pct"/>
            <w:tcBorders>
              <w:top w:val="single" w:sz="6" w:space="0" w:color="78A22F"/>
              <w:left w:val="nil"/>
              <w:bottom w:val="nil"/>
              <w:right w:val="nil"/>
            </w:tcBorders>
            <w:shd w:val="clear" w:color="auto" w:fill="F2F2F2"/>
          </w:tcPr>
          <w:p w14:paraId="79549592" w14:textId="77777777" w:rsidR="00F05DC7" w:rsidRDefault="00F05DC7" w:rsidP="00A3786D">
            <w:pPr>
              <w:pStyle w:val="BoxTitle"/>
            </w:pPr>
            <w:r>
              <w:rPr>
                <w:b w:val="0"/>
              </w:rPr>
              <w:t>Box 4</w:t>
            </w:r>
            <w:r>
              <w:tab/>
            </w:r>
            <w:r w:rsidRPr="00D668D5">
              <w:t>Impact on GST payments of hypothetical reform ‘cameos’</w:t>
            </w:r>
          </w:p>
        </w:tc>
      </w:tr>
      <w:tr w:rsidR="00F05DC7" w14:paraId="79549654" w14:textId="77777777" w:rsidTr="00A3786D">
        <w:tc>
          <w:tcPr>
            <w:tcW w:w="5000" w:type="pct"/>
            <w:tcBorders>
              <w:top w:val="nil"/>
              <w:left w:val="nil"/>
              <w:bottom w:val="nil"/>
              <w:right w:val="nil"/>
            </w:tcBorders>
            <w:shd w:val="clear" w:color="auto" w:fill="F2F2F2"/>
          </w:tcPr>
          <w:p w14:paraId="79549594" w14:textId="77777777" w:rsidR="00F05DC7" w:rsidRDefault="00F05DC7" w:rsidP="00A3786D">
            <w:pPr>
              <w:pStyle w:val="Box"/>
            </w:pPr>
            <w:r w:rsidRPr="003A79AA">
              <w:t xml:space="preserve">The Commission has analysed </w:t>
            </w:r>
            <w:r>
              <w:t>three</w:t>
            </w:r>
            <w:r w:rsidRPr="003A79AA">
              <w:t xml:space="preserve"> reform ‘cameos’ to illustrate how GST payments can be affected by changes in State policy</w:t>
            </w:r>
            <w:r>
              <w:t>. The cameos are hypothetical and show the GST impact for a single year for each State if it was to undertake the reform while the other States made no change. The impacts highlight how sensitive GST shares can be to individual State policies.</w:t>
            </w:r>
          </w:p>
          <w:p w14:paraId="79549595" w14:textId="77777777" w:rsidR="00F05DC7" w:rsidRDefault="00F05DC7" w:rsidP="00A3786D">
            <w:pPr>
              <w:pStyle w:val="Box"/>
            </w:pPr>
            <w:r>
              <w:t>In the first cameo, a State unilaterally cuts its rate of stamp duty on property in half. The lost revenue is replaced by introducing a new broad</w:t>
            </w:r>
            <w:r>
              <w:noBreakHyphen/>
              <w:t>based land tax that applies to all residential land. While the direct impact is revenue neutral, any State that does this would likely end up losing GST payments, with New South Wales, Victoria and Queensland potentially losing about $1 billion — and Queensland and the ACT facing the biggest per</w:t>
            </w:r>
            <w:r>
              <w:noBreakHyphen/>
              <w:t>capita losses.</w:t>
            </w:r>
          </w:p>
          <w:p w14:paraId="79549596" w14:textId="77777777" w:rsidR="00F05DC7" w:rsidRDefault="00F05DC7" w:rsidP="00A3786D">
            <w:pPr>
              <w:pStyle w:val="Box"/>
            </w:pPr>
            <w:r>
              <w:t>In the second cameo, a State unilaterally abolishes its insurance taxes. Any State that does this would lose because spending on insurance (and consequently the measured tax base) would increase and because the State would still be assessed as having the capacity to raise revenue through insurance taxes. The GST impacts are lower than the first cameo since the insurance tax base is small relative to other tax bases.</w:t>
            </w:r>
          </w:p>
          <w:p w14:paraId="79549597" w14:textId="77777777" w:rsidR="00F05DC7" w:rsidRDefault="00F05DC7" w:rsidP="00A3786D">
            <w:pPr>
              <w:pStyle w:val="Box"/>
            </w:pPr>
            <w:r>
              <w:t>In the third cameo, a State unilaterally introduces a new congestion tax in its capital city. This raises revenue equivalent to $200 per capita, which is then hypothecated to public transport. The GST impacts are also modest in this case, though in practice there would be considerable uncertainty about how the CGC might treat the new tax and hypothecated spending.</w:t>
            </w:r>
          </w:p>
          <w:p w14:paraId="79549598" w14:textId="77777777" w:rsidR="00F05DC7" w:rsidRDefault="00F05DC7" w:rsidP="00A3786D">
            <w:pPr>
              <w:pStyle w:val="BoxHeading1"/>
              <w:spacing w:after="80"/>
            </w:pPr>
            <w:r>
              <w:t>Impacts on GST payments, unilateral reform, 2016</w:t>
            </w:r>
            <w:r>
              <w:noBreakHyphen/>
              <w:t>17</w:t>
            </w:r>
          </w:p>
          <w:tbl>
            <w:tblPr>
              <w:tblW w:w="5000" w:type="pct"/>
              <w:tblCellMar>
                <w:top w:w="28" w:type="dxa"/>
                <w:left w:w="0" w:type="dxa"/>
                <w:right w:w="0" w:type="dxa"/>
              </w:tblCellMar>
              <w:tblLook w:val="0000" w:firstRow="0" w:lastRow="0" w:firstColumn="0" w:lastColumn="0" w:noHBand="0" w:noVBand="0"/>
            </w:tblPr>
            <w:tblGrid>
              <w:gridCol w:w="2857"/>
              <w:gridCol w:w="686"/>
              <w:gridCol w:w="781"/>
              <w:gridCol w:w="781"/>
              <w:gridCol w:w="781"/>
              <w:gridCol w:w="653"/>
              <w:gridCol w:w="655"/>
              <w:gridCol w:w="653"/>
              <w:gridCol w:w="658"/>
            </w:tblGrid>
            <w:tr w:rsidR="00F05DC7" w14:paraId="795495A2" w14:textId="77777777" w:rsidTr="002F2180">
              <w:trPr>
                <w:tblHeader/>
              </w:trPr>
              <w:tc>
                <w:tcPr>
                  <w:tcW w:w="1680" w:type="pct"/>
                  <w:tcBorders>
                    <w:top w:val="single" w:sz="6" w:space="0" w:color="BFBFBF"/>
                  </w:tcBorders>
                  <w:shd w:val="clear" w:color="auto" w:fill="auto"/>
                  <w:tcMar>
                    <w:top w:w="28" w:type="dxa"/>
                  </w:tcMar>
                </w:tcPr>
                <w:p w14:paraId="79549599" w14:textId="77777777" w:rsidR="00F05DC7" w:rsidRDefault="00F05DC7" w:rsidP="00A3786D">
                  <w:pPr>
                    <w:pStyle w:val="TableColumnHeading"/>
                    <w:jc w:val="left"/>
                  </w:pPr>
                </w:p>
              </w:tc>
              <w:tc>
                <w:tcPr>
                  <w:tcW w:w="403" w:type="pct"/>
                  <w:tcBorders>
                    <w:top w:val="single" w:sz="6" w:space="0" w:color="BFBFBF"/>
                    <w:bottom w:val="single" w:sz="6" w:space="0" w:color="BFBFBF"/>
                  </w:tcBorders>
                </w:tcPr>
                <w:p w14:paraId="7954959A" w14:textId="77777777" w:rsidR="00F05DC7" w:rsidRDefault="00F05DC7" w:rsidP="00A3786D">
                  <w:pPr>
                    <w:pStyle w:val="TableColumnHeading"/>
                  </w:pPr>
                  <w:r w:rsidRPr="005B63C7">
                    <w:t>NSW</w:t>
                  </w:r>
                </w:p>
              </w:tc>
              <w:tc>
                <w:tcPr>
                  <w:tcW w:w="459" w:type="pct"/>
                  <w:tcBorders>
                    <w:top w:val="single" w:sz="6" w:space="0" w:color="BFBFBF"/>
                    <w:bottom w:val="single" w:sz="6" w:space="0" w:color="BFBFBF"/>
                  </w:tcBorders>
                </w:tcPr>
                <w:p w14:paraId="7954959B" w14:textId="77777777" w:rsidR="00F05DC7" w:rsidRDefault="00F05DC7" w:rsidP="00A3786D">
                  <w:pPr>
                    <w:pStyle w:val="TableColumnHeading"/>
                  </w:pPr>
                  <w:r w:rsidRPr="005B63C7">
                    <w:t>Vic</w:t>
                  </w:r>
                </w:p>
              </w:tc>
              <w:tc>
                <w:tcPr>
                  <w:tcW w:w="459" w:type="pct"/>
                  <w:tcBorders>
                    <w:top w:val="single" w:sz="6" w:space="0" w:color="BFBFBF"/>
                    <w:bottom w:val="single" w:sz="6" w:space="0" w:color="BFBFBF"/>
                  </w:tcBorders>
                </w:tcPr>
                <w:p w14:paraId="7954959C" w14:textId="77777777" w:rsidR="00F05DC7" w:rsidRDefault="00F05DC7" w:rsidP="00A3786D">
                  <w:pPr>
                    <w:pStyle w:val="TableColumnHeading"/>
                  </w:pPr>
                  <w:r w:rsidRPr="005B63C7">
                    <w:t>Qld</w:t>
                  </w:r>
                </w:p>
              </w:tc>
              <w:tc>
                <w:tcPr>
                  <w:tcW w:w="459" w:type="pct"/>
                  <w:tcBorders>
                    <w:top w:val="single" w:sz="6" w:space="0" w:color="BFBFBF"/>
                    <w:bottom w:val="single" w:sz="6" w:space="0" w:color="BFBFBF"/>
                  </w:tcBorders>
                </w:tcPr>
                <w:p w14:paraId="7954959D" w14:textId="77777777" w:rsidR="00F05DC7" w:rsidRDefault="00F05DC7" w:rsidP="00A3786D">
                  <w:pPr>
                    <w:pStyle w:val="TableColumnHeading"/>
                  </w:pPr>
                  <w:r w:rsidRPr="005B63C7">
                    <w:t>WA</w:t>
                  </w:r>
                </w:p>
              </w:tc>
              <w:tc>
                <w:tcPr>
                  <w:tcW w:w="384" w:type="pct"/>
                  <w:tcBorders>
                    <w:top w:val="single" w:sz="6" w:space="0" w:color="BFBFBF"/>
                    <w:bottom w:val="single" w:sz="6" w:space="0" w:color="BFBFBF"/>
                  </w:tcBorders>
                </w:tcPr>
                <w:p w14:paraId="7954959E" w14:textId="77777777" w:rsidR="00F05DC7" w:rsidRDefault="00F05DC7" w:rsidP="00A3786D">
                  <w:pPr>
                    <w:pStyle w:val="TableColumnHeading"/>
                  </w:pPr>
                  <w:r w:rsidRPr="005B63C7">
                    <w:t>SA</w:t>
                  </w:r>
                </w:p>
              </w:tc>
              <w:tc>
                <w:tcPr>
                  <w:tcW w:w="385" w:type="pct"/>
                  <w:tcBorders>
                    <w:top w:val="single" w:sz="6" w:space="0" w:color="BFBFBF"/>
                    <w:bottom w:val="single" w:sz="6" w:space="0" w:color="BFBFBF"/>
                  </w:tcBorders>
                </w:tcPr>
                <w:p w14:paraId="7954959F" w14:textId="77777777" w:rsidR="00F05DC7" w:rsidRDefault="00F05DC7" w:rsidP="00A3786D">
                  <w:pPr>
                    <w:pStyle w:val="TableColumnHeading"/>
                  </w:pPr>
                  <w:r w:rsidRPr="005B63C7">
                    <w:t>Tas</w:t>
                  </w:r>
                </w:p>
              </w:tc>
              <w:tc>
                <w:tcPr>
                  <w:tcW w:w="384" w:type="pct"/>
                  <w:tcBorders>
                    <w:top w:val="single" w:sz="6" w:space="0" w:color="BFBFBF"/>
                    <w:bottom w:val="single" w:sz="6" w:space="0" w:color="BFBFBF"/>
                  </w:tcBorders>
                  <w:shd w:val="clear" w:color="auto" w:fill="auto"/>
                  <w:tcMar>
                    <w:top w:w="28" w:type="dxa"/>
                  </w:tcMar>
                </w:tcPr>
                <w:p w14:paraId="795495A0" w14:textId="77777777" w:rsidR="00F05DC7" w:rsidRDefault="00F05DC7" w:rsidP="00A3786D">
                  <w:pPr>
                    <w:pStyle w:val="TableColumnHeading"/>
                  </w:pPr>
                  <w:r w:rsidRPr="005B63C7">
                    <w:t>ACT</w:t>
                  </w:r>
                </w:p>
              </w:tc>
              <w:tc>
                <w:tcPr>
                  <w:tcW w:w="387" w:type="pct"/>
                  <w:tcBorders>
                    <w:top w:val="single" w:sz="6" w:space="0" w:color="BFBFBF"/>
                    <w:bottom w:val="single" w:sz="6" w:space="0" w:color="BFBFBF"/>
                  </w:tcBorders>
                  <w:shd w:val="clear" w:color="auto" w:fill="auto"/>
                  <w:tcMar>
                    <w:top w:w="28" w:type="dxa"/>
                  </w:tcMar>
                </w:tcPr>
                <w:p w14:paraId="795495A1" w14:textId="77777777" w:rsidR="00F05DC7" w:rsidRDefault="00F05DC7" w:rsidP="00A3786D">
                  <w:pPr>
                    <w:pStyle w:val="TableColumnHeading"/>
                  </w:pPr>
                  <w:r w:rsidRPr="005B63C7">
                    <w:t>NT</w:t>
                  </w:r>
                </w:p>
              </w:tc>
            </w:tr>
            <w:tr w:rsidR="00F05DC7" w14:paraId="795495AC" w14:textId="77777777" w:rsidTr="002F2180">
              <w:tc>
                <w:tcPr>
                  <w:tcW w:w="1680" w:type="pct"/>
                  <w:tcBorders>
                    <w:bottom w:val="single" w:sz="6" w:space="0" w:color="BFBFBF"/>
                  </w:tcBorders>
                  <w:vAlign w:val="center"/>
                </w:tcPr>
                <w:p w14:paraId="795495A3" w14:textId="77777777" w:rsidR="00F05DC7" w:rsidRPr="00C63041" w:rsidRDefault="00F05DC7" w:rsidP="00A3786D">
                  <w:pPr>
                    <w:pStyle w:val="TableBodyText"/>
                    <w:spacing w:before="40"/>
                    <w:jc w:val="left"/>
                  </w:pPr>
                  <w:r>
                    <w:t xml:space="preserve">Baseline annual </w:t>
                  </w:r>
                  <w:r w:rsidRPr="00C63041">
                    <w:t>relativity</w:t>
                  </w:r>
                </w:p>
              </w:tc>
              <w:tc>
                <w:tcPr>
                  <w:tcW w:w="403" w:type="pct"/>
                  <w:tcBorders>
                    <w:top w:val="nil"/>
                    <w:left w:val="nil"/>
                    <w:bottom w:val="nil"/>
                    <w:right w:val="nil"/>
                  </w:tcBorders>
                  <w:shd w:val="clear" w:color="auto" w:fill="auto"/>
                  <w:vAlign w:val="bottom"/>
                </w:tcPr>
                <w:p w14:paraId="795495A4" w14:textId="77777777" w:rsidR="00F05DC7" w:rsidRDefault="00F05DC7" w:rsidP="00A3786D">
                  <w:pPr>
                    <w:pStyle w:val="TableBodyText"/>
                  </w:pPr>
                  <w:r w:rsidRPr="00C94245">
                    <w:rPr>
                      <w:rFonts w:asciiTheme="minorHAnsi" w:hAnsiTheme="minorHAnsi" w:cstheme="minorHAnsi"/>
                      <w:bCs/>
                      <w:color w:val="000000" w:themeColor="text1"/>
                      <w:szCs w:val="18"/>
                    </w:rPr>
                    <w:t>0.84</w:t>
                  </w:r>
                </w:p>
              </w:tc>
              <w:tc>
                <w:tcPr>
                  <w:tcW w:w="459" w:type="pct"/>
                  <w:tcBorders>
                    <w:top w:val="nil"/>
                    <w:left w:val="nil"/>
                    <w:bottom w:val="nil"/>
                    <w:right w:val="nil"/>
                  </w:tcBorders>
                  <w:shd w:val="clear" w:color="auto" w:fill="auto"/>
                  <w:vAlign w:val="bottom"/>
                </w:tcPr>
                <w:p w14:paraId="795495A5" w14:textId="77777777" w:rsidR="00F05DC7" w:rsidRDefault="00F05DC7" w:rsidP="00A3786D">
                  <w:pPr>
                    <w:pStyle w:val="TableBodyText"/>
                  </w:pPr>
                  <w:r w:rsidRPr="00C94245">
                    <w:rPr>
                      <w:rFonts w:asciiTheme="minorHAnsi" w:hAnsiTheme="minorHAnsi" w:cstheme="minorHAnsi"/>
                      <w:bCs/>
                      <w:color w:val="000000" w:themeColor="text1"/>
                      <w:szCs w:val="18"/>
                    </w:rPr>
                    <w:t>1.01</w:t>
                  </w:r>
                </w:p>
              </w:tc>
              <w:tc>
                <w:tcPr>
                  <w:tcW w:w="459" w:type="pct"/>
                  <w:tcBorders>
                    <w:top w:val="nil"/>
                    <w:left w:val="nil"/>
                    <w:bottom w:val="nil"/>
                    <w:right w:val="nil"/>
                  </w:tcBorders>
                  <w:shd w:val="clear" w:color="auto" w:fill="auto"/>
                  <w:vAlign w:val="bottom"/>
                </w:tcPr>
                <w:p w14:paraId="795495A6" w14:textId="77777777" w:rsidR="00F05DC7" w:rsidRDefault="00F05DC7" w:rsidP="00A3786D">
                  <w:pPr>
                    <w:pStyle w:val="TableBodyText"/>
                  </w:pPr>
                  <w:r w:rsidRPr="00C94245">
                    <w:rPr>
                      <w:rFonts w:asciiTheme="minorHAnsi" w:hAnsiTheme="minorHAnsi" w:cstheme="minorHAnsi"/>
                      <w:bCs/>
                      <w:color w:val="000000" w:themeColor="text1"/>
                      <w:szCs w:val="18"/>
                    </w:rPr>
                    <w:t>1.03</w:t>
                  </w:r>
                </w:p>
              </w:tc>
              <w:tc>
                <w:tcPr>
                  <w:tcW w:w="459" w:type="pct"/>
                  <w:tcBorders>
                    <w:top w:val="nil"/>
                    <w:left w:val="nil"/>
                    <w:bottom w:val="nil"/>
                    <w:right w:val="nil"/>
                  </w:tcBorders>
                  <w:shd w:val="clear" w:color="auto" w:fill="auto"/>
                  <w:vAlign w:val="bottom"/>
                </w:tcPr>
                <w:p w14:paraId="795495A7" w14:textId="77777777" w:rsidR="00F05DC7" w:rsidRDefault="00F05DC7" w:rsidP="00A3786D">
                  <w:pPr>
                    <w:pStyle w:val="TableBodyText"/>
                  </w:pPr>
                  <w:r w:rsidRPr="00C94245">
                    <w:rPr>
                      <w:rFonts w:asciiTheme="minorHAnsi" w:hAnsiTheme="minorHAnsi" w:cstheme="minorHAnsi"/>
                      <w:bCs/>
                      <w:color w:val="000000" w:themeColor="text1"/>
                      <w:szCs w:val="18"/>
                    </w:rPr>
                    <w:t>0.57</w:t>
                  </w:r>
                </w:p>
              </w:tc>
              <w:tc>
                <w:tcPr>
                  <w:tcW w:w="384" w:type="pct"/>
                  <w:tcBorders>
                    <w:top w:val="nil"/>
                    <w:left w:val="nil"/>
                    <w:bottom w:val="nil"/>
                    <w:right w:val="nil"/>
                  </w:tcBorders>
                  <w:shd w:val="clear" w:color="auto" w:fill="auto"/>
                  <w:vAlign w:val="bottom"/>
                </w:tcPr>
                <w:p w14:paraId="795495A8" w14:textId="77777777" w:rsidR="00F05DC7" w:rsidRDefault="00F05DC7" w:rsidP="00A3786D">
                  <w:pPr>
                    <w:pStyle w:val="TableBodyText"/>
                  </w:pPr>
                  <w:r w:rsidRPr="00C94245">
                    <w:rPr>
                      <w:rFonts w:asciiTheme="minorHAnsi" w:hAnsiTheme="minorHAnsi" w:cstheme="minorHAnsi"/>
                      <w:bCs/>
                      <w:color w:val="000000" w:themeColor="text1"/>
                      <w:szCs w:val="18"/>
                    </w:rPr>
                    <w:t>1.53</w:t>
                  </w:r>
                </w:p>
              </w:tc>
              <w:tc>
                <w:tcPr>
                  <w:tcW w:w="385" w:type="pct"/>
                  <w:tcBorders>
                    <w:top w:val="nil"/>
                    <w:left w:val="nil"/>
                    <w:bottom w:val="nil"/>
                    <w:right w:val="nil"/>
                  </w:tcBorders>
                  <w:shd w:val="clear" w:color="auto" w:fill="auto"/>
                  <w:vAlign w:val="bottom"/>
                </w:tcPr>
                <w:p w14:paraId="795495A9" w14:textId="77777777" w:rsidR="00F05DC7" w:rsidRDefault="00F05DC7" w:rsidP="00A3786D">
                  <w:pPr>
                    <w:pStyle w:val="TableBodyText"/>
                  </w:pPr>
                  <w:r w:rsidRPr="00C94245">
                    <w:rPr>
                      <w:rFonts w:asciiTheme="minorHAnsi" w:hAnsiTheme="minorHAnsi" w:cstheme="minorHAnsi"/>
                      <w:bCs/>
                      <w:color w:val="000000" w:themeColor="text1"/>
                      <w:szCs w:val="18"/>
                    </w:rPr>
                    <w:t>1.72</w:t>
                  </w:r>
                </w:p>
              </w:tc>
              <w:tc>
                <w:tcPr>
                  <w:tcW w:w="384" w:type="pct"/>
                  <w:tcBorders>
                    <w:top w:val="nil"/>
                    <w:left w:val="nil"/>
                    <w:bottom w:val="nil"/>
                    <w:right w:val="nil"/>
                  </w:tcBorders>
                  <w:shd w:val="clear" w:color="auto" w:fill="auto"/>
                  <w:vAlign w:val="bottom"/>
                </w:tcPr>
                <w:p w14:paraId="795495AA" w14:textId="77777777" w:rsidR="00F05DC7" w:rsidRDefault="00F05DC7" w:rsidP="00A3786D">
                  <w:pPr>
                    <w:pStyle w:val="TableBodyText"/>
                  </w:pPr>
                  <w:r w:rsidRPr="00C94245">
                    <w:rPr>
                      <w:rFonts w:asciiTheme="minorHAnsi" w:hAnsiTheme="minorHAnsi" w:cstheme="minorHAnsi"/>
                      <w:bCs/>
                      <w:color w:val="000000" w:themeColor="text1"/>
                      <w:szCs w:val="18"/>
                    </w:rPr>
                    <w:t>1.21</w:t>
                  </w:r>
                </w:p>
              </w:tc>
              <w:tc>
                <w:tcPr>
                  <w:tcW w:w="387" w:type="pct"/>
                  <w:tcBorders>
                    <w:top w:val="nil"/>
                    <w:left w:val="nil"/>
                    <w:bottom w:val="nil"/>
                    <w:right w:val="nil"/>
                  </w:tcBorders>
                  <w:shd w:val="clear" w:color="auto" w:fill="auto"/>
                  <w:vAlign w:val="bottom"/>
                </w:tcPr>
                <w:p w14:paraId="795495AB" w14:textId="77777777" w:rsidR="00F05DC7" w:rsidRPr="00105E3E" w:rsidRDefault="00F05DC7" w:rsidP="00A3786D">
                  <w:pPr>
                    <w:pStyle w:val="TableBodyText"/>
                    <w:rPr>
                      <w:i/>
                    </w:rPr>
                  </w:pPr>
                  <w:r w:rsidRPr="00C94245">
                    <w:rPr>
                      <w:rFonts w:asciiTheme="minorHAnsi" w:hAnsiTheme="minorHAnsi" w:cstheme="minorHAnsi"/>
                      <w:bCs/>
                      <w:color w:val="000000" w:themeColor="text1"/>
                      <w:szCs w:val="18"/>
                    </w:rPr>
                    <w:t>4.19</w:t>
                  </w:r>
                </w:p>
              </w:tc>
            </w:tr>
            <w:tr w:rsidR="00F05DC7" w14:paraId="795495AE" w14:textId="77777777" w:rsidTr="00A3786D">
              <w:tc>
                <w:tcPr>
                  <w:tcW w:w="5000" w:type="pct"/>
                  <w:gridSpan w:val="9"/>
                  <w:tcBorders>
                    <w:top w:val="single" w:sz="6" w:space="0" w:color="BFBFBF"/>
                  </w:tcBorders>
                  <w:vAlign w:val="center"/>
                </w:tcPr>
                <w:p w14:paraId="795495AD" w14:textId="77777777" w:rsidR="00F05DC7" w:rsidRPr="00105E3E" w:rsidRDefault="00F05DC7" w:rsidP="00A3786D">
                  <w:pPr>
                    <w:pStyle w:val="TableBodyText"/>
                    <w:spacing w:before="80" w:after="80"/>
                    <w:jc w:val="left"/>
                    <w:rPr>
                      <w:rStyle w:val="NoteLabel"/>
                    </w:rPr>
                  </w:pPr>
                  <w:r w:rsidRPr="00105E3E">
                    <w:rPr>
                      <w:b/>
                    </w:rPr>
                    <w:t xml:space="preserve">Cameo 1: </w:t>
                  </w:r>
                  <w:r>
                    <w:rPr>
                      <w:b/>
                    </w:rPr>
                    <w:t>Stamp</w:t>
                  </w:r>
                  <w:r w:rsidRPr="00105E3E">
                    <w:rPr>
                      <w:b/>
                    </w:rPr>
                    <w:t xml:space="preserve"> duty</w:t>
                  </w:r>
                  <w:r>
                    <w:rPr>
                      <w:b/>
                    </w:rPr>
                    <w:t xml:space="preserve"> halved with revenue replaced</w:t>
                  </w:r>
                  <w:r w:rsidRPr="00105E3E">
                    <w:rPr>
                      <w:b/>
                    </w:rPr>
                    <w:t xml:space="preserve"> </w:t>
                  </w:r>
                  <w:r>
                    <w:rPr>
                      <w:b/>
                    </w:rPr>
                    <w:t xml:space="preserve">by </w:t>
                  </w:r>
                  <w:r w:rsidRPr="00105E3E">
                    <w:rPr>
                      <w:b/>
                    </w:rPr>
                    <w:t>new land tax</w:t>
                  </w:r>
                </w:p>
              </w:tc>
            </w:tr>
            <w:tr w:rsidR="00F05DC7" w14:paraId="795495B8" w14:textId="77777777" w:rsidTr="002F2180">
              <w:tc>
                <w:tcPr>
                  <w:tcW w:w="1680" w:type="pct"/>
                  <w:vAlign w:val="center"/>
                </w:tcPr>
                <w:p w14:paraId="795495AF" w14:textId="77777777" w:rsidR="00F05DC7" w:rsidRDefault="00F05DC7" w:rsidP="00A3786D">
                  <w:pPr>
                    <w:pStyle w:val="TableBodyText"/>
                    <w:spacing w:before="40"/>
                    <w:jc w:val="left"/>
                    <w:rPr>
                      <w:i/>
                    </w:rPr>
                  </w:pPr>
                  <w:r>
                    <w:rPr>
                      <w:i/>
                    </w:rPr>
                    <w:t>Lower</w:t>
                  </w:r>
                  <w:r>
                    <w:rPr>
                      <w:i/>
                    </w:rPr>
                    <w:noBreakHyphen/>
                    <w:t>bound</w:t>
                  </w:r>
                </w:p>
              </w:tc>
              <w:tc>
                <w:tcPr>
                  <w:tcW w:w="403" w:type="pct"/>
                  <w:vAlign w:val="center"/>
                </w:tcPr>
                <w:p w14:paraId="795495B0" w14:textId="77777777" w:rsidR="00F05DC7" w:rsidRPr="00CE6393" w:rsidRDefault="00F05DC7" w:rsidP="00A3786D">
                  <w:pPr>
                    <w:pStyle w:val="TableBodyText"/>
                    <w:rPr>
                      <w:rFonts w:asciiTheme="minorHAnsi" w:hAnsiTheme="minorHAnsi" w:cstheme="minorHAnsi"/>
                      <w:color w:val="000000"/>
                      <w:szCs w:val="18"/>
                    </w:rPr>
                  </w:pPr>
                </w:p>
              </w:tc>
              <w:tc>
                <w:tcPr>
                  <w:tcW w:w="459" w:type="pct"/>
                  <w:vAlign w:val="center"/>
                </w:tcPr>
                <w:p w14:paraId="795495B1" w14:textId="77777777" w:rsidR="00F05DC7" w:rsidRPr="00CE6393" w:rsidRDefault="00F05DC7" w:rsidP="00A3786D">
                  <w:pPr>
                    <w:pStyle w:val="TableBodyText"/>
                    <w:rPr>
                      <w:rFonts w:asciiTheme="minorHAnsi" w:hAnsiTheme="minorHAnsi" w:cstheme="minorHAnsi"/>
                      <w:color w:val="000000"/>
                      <w:szCs w:val="18"/>
                    </w:rPr>
                  </w:pPr>
                </w:p>
              </w:tc>
              <w:tc>
                <w:tcPr>
                  <w:tcW w:w="459" w:type="pct"/>
                  <w:vAlign w:val="center"/>
                </w:tcPr>
                <w:p w14:paraId="795495B2" w14:textId="77777777" w:rsidR="00F05DC7" w:rsidRPr="00CE6393" w:rsidRDefault="00F05DC7" w:rsidP="00A3786D">
                  <w:pPr>
                    <w:pStyle w:val="TableBodyText"/>
                    <w:rPr>
                      <w:rFonts w:asciiTheme="minorHAnsi" w:hAnsiTheme="minorHAnsi" w:cstheme="minorHAnsi"/>
                      <w:color w:val="000000"/>
                      <w:szCs w:val="18"/>
                    </w:rPr>
                  </w:pPr>
                </w:p>
              </w:tc>
              <w:tc>
                <w:tcPr>
                  <w:tcW w:w="459" w:type="pct"/>
                  <w:vAlign w:val="center"/>
                </w:tcPr>
                <w:p w14:paraId="795495B3" w14:textId="77777777" w:rsidR="00F05DC7" w:rsidRPr="00CE6393" w:rsidRDefault="00F05DC7" w:rsidP="00A3786D">
                  <w:pPr>
                    <w:pStyle w:val="TableBodyText"/>
                    <w:rPr>
                      <w:rFonts w:asciiTheme="minorHAnsi" w:hAnsiTheme="minorHAnsi" w:cstheme="minorHAnsi"/>
                      <w:color w:val="000000"/>
                      <w:szCs w:val="18"/>
                    </w:rPr>
                  </w:pPr>
                </w:p>
              </w:tc>
              <w:tc>
                <w:tcPr>
                  <w:tcW w:w="384" w:type="pct"/>
                  <w:vAlign w:val="center"/>
                </w:tcPr>
                <w:p w14:paraId="795495B4" w14:textId="77777777" w:rsidR="00F05DC7" w:rsidRPr="00CE6393" w:rsidRDefault="00F05DC7" w:rsidP="00A3786D">
                  <w:pPr>
                    <w:pStyle w:val="TableBodyText"/>
                    <w:rPr>
                      <w:rFonts w:asciiTheme="minorHAnsi" w:hAnsiTheme="minorHAnsi" w:cstheme="minorHAnsi"/>
                      <w:color w:val="000000"/>
                      <w:szCs w:val="18"/>
                    </w:rPr>
                  </w:pPr>
                </w:p>
              </w:tc>
              <w:tc>
                <w:tcPr>
                  <w:tcW w:w="385" w:type="pct"/>
                  <w:vAlign w:val="center"/>
                </w:tcPr>
                <w:p w14:paraId="795495B5" w14:textId="77777777" w:rsidR="00F05DC7" w:rsidRPr="00CE6393" w:rsidRDefault="00F05DC7" w:rsidP="00A3786D">
                  <w:pPr>
                    <w:pStyle w:val="TableBodyText"/>
                    <w:rPr>
                      <w:rFonts w:asciiTheme="minorHAnsi" w:hAnsiTheme="minorHAnsi" w:cstheme="minorHAnsi"/>
                      <w:color w:val="000000"/>
                      <w:szCs w:val="18"/>
                    </w:rPr>
                  </w:pPr>
                </w:p>
              </w:tc>
              <w:tc>
                <w:tcPr>
                  <w:tcW w:w="384" w:type="pct"/>
                  <w:vAlign w:val="center"/>
                </w:tcPr>
                <w:p w14:paraId="795495B6" w14:textId="77777777" w:rsidR="00F05DC7" w:rsidRPr="00CE6393" w:rsidRDefault="00F05DC7" w:rsidP="00A3786D">
                  <w:pPr>
                    <w:pStyle w:val="TableBodyText"/>
                    <w:rPr>
                      <w:rFonts w:asciiTheme="minorHAnsi" w:hAnsiTheme="minorHAnsi" w:cstheme="minorHAnsi"/>
                      <w:color w:val="000000"/>
                      <w:szCs w:val="18"/>
                    </w:rPr>
                  </w:pPr>
                </w:p>
              </w:tc>
              <w:tc>
                <w:tcPr>
                  <w:tcW w:w="387" w:type="pct"/>
                  <w:vAlign w:val="center"/>
                </w:tcPr>
                <w:p w14:paraId="795495B7" w14:textId="77777777" w:rsidR="00F05DC7" w:rsidRDefault="00F05DC7" w:rsidP="00A3786D">
                  <w:pPr>
                    <w:pStyle w:val="TableColumnHeading"/>
                    <w:spacing w:before="0" w:after="40"/>
                    <w:ind w:right="28"/>
                    <w:rPr>
                      <w:rFonts w:asciiTheme="minorHAnsi" w:hAnsiTheme="minorHAnsi" w:cstheme="minorHAnsi"/>
                      <w:i w:val="0"/>
                      <w:color w:val="000000"/>
                      <w:szCs w:val="18"/>
                    </w:rPr>
                  </w:pPr>
                </w:p>
              </w:tc>
            </w:tr>
            <w:tr w:rsidR="00F05DC7" w14:paraId="795495C2" w14:textId="77777777" w:rsidTr="002F2180">
              <w:tc>
                <w:tcPr>
                  <w:tcW w:w="1680" w:type="pct"/>
                  <w:vAlign w:val="center"/>
                </w:tcPr>
                <w:p w14:paraId="795495B9" w14:textId="77777777" w:rsidR="00F05DC7" w:rsidRDefault="00F05DC7" w:rsidP="00A3786D">
                  <w:pPr>
                    <w:pStyle w:val="TableBodyText"/>
                    <w:spacing w:before="40"/>
                    <w:jc w:val="left"/>
                    <w:rPr>
                      <w:i/>
                    </w:rPr>
                  </w:pPr>
                  <w:r>
                    <w:t xml:space="preserve"> Change in GST payments ($m)</w:t>
                  </w:r>
                </w:p>
              </w:tc>
              <w:tc>
                <w:tcPr>
                  <w:tcW w:w="403" w:type="pct"/>
                  <w:shd w:val="pct5" w:color="auto" w:fill="auto"/>
                  <w:vAlign w:val="center"/>
                </w:tcPr>
                <w:p w14:paraId="795495BA"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t>337</w:t>
                  </w:r>
                </w:p>
              </w:tc>
              <w:tc>
                <w:tcPr>
                  <w:tcW w:w="459" w:type="pct"/>
                  <w:shd w:val="pct5" w:color="auto" w:fill="auto"/>
                  <w:vAlign w:val="center"/>
                </w:tcPr>
                <w:p w14:paraId="795495BB"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r>
                  <w:r w:rsidRPr="000C175D">
                    <w:rPr>
                      <w:rFonts w:cs="Arial"/>
                      <w:szCs w:val="18"/>
                    </w:rPr>
                    <w:t>3</w:t>
                  </w:r>
                  <w:r>
                    <w:rPr>
                      <w:rFonts w:cs="Arial"/>
                      <w:szCs w:val="18"/>
                    </w:rPr>
                    <w:t>51</w:t>
                  </w:r>
                </w:p>
              </w:tc>
              <w:tc>
                <w:tcPr>
                  <w:tcW w:w="459" w:type="pct"/>
                  <w:shd w:val="pct5" w:color="auto" w:fill="auto"/>
                  <w:vAlign w:val="center"/>
                </w:tcPr>
                <w:p w14:paraId="795495BC"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t>308</w:t>
                  </w:r>
                </w:p>
              </w:tc>
              <w:tc>
                <w:tcPr>
                  <w:tcW w:w="459" w:type="pct"/>
                  <w:shd w:val="pct5" w:color="auto" w:fill="auto"/>
                  <w:vAlign w:val="center"/>
                </w:tcPr>
                <w:p w14:paraId="795495BD"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t>131</w:t>
                  </w:r>
                </w:p>
              </w:tc>
              <w:tc>
                <w:tcPr>
                  <w:tcW w:w="384" w:type="pct"/>
                  <w:shd w:val="pct5" w:color="auto" w:fill="auto"/>
                  <w:vAlign w:val="center"/>
                </w:tcPr>
                <w:p w14:paraId="795495BE"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r>
                  <w:r w:rsidRPr="000C175D">
                    <w:rPr>
                      <w:rFonts w:cs="Arial"/>
                      <w:szCs w:val="18"/>
                    </w:rPr>
                    <w:t>83</w:t>
                  </w:r>
                </w:p>
              </w:tc>
              <w:tc>
                <w:tcPr>
                  <w:tcW w:w="385" w:type="pct"/>
                  <w:shd w:val="pct5" w:color="auto" w:fill="auto"/>
                  <w:vAlign w:val="center"/>
                </w:tcPr>
                <w:p w14:paraId="795495BF"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r>
                  <w:r w:rsidRPr="000C175D">
                    <w:rPr>
                      <w:rFonts w:cs="Arial"/>
                      <w:szCs w:val="18"/>
                    </w:rPr>
                    <w:t>2</w:t>
                  </w:r>
                  <w:r>
                    <w:rPr>
                      <w:rFonts w:cs="Arial"/>
                      <w:szCs w:val="18"/>
                    </w:rPr>
                    <w:t>4</w:t>
                  </w:r>
                </w:p>
              </w:tc>
              <w:tc>
                <w:tcPr>
                  <w:tcW w:w="384" w:type="pct"/>
                  <w:shd w:val="pct5" w:color="auto" w:fill="auto"/>
                  <w:vAlign w:val="center"/>
                </w:tcPr>
                <w:p w14:paraId="795495C0"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r>
                  <w:r w:rsidRPr="000C175D">
                    <w:rPr>
                      <w:rFonts w:cs="Arial"/>
                      <w:szCs w:val="18"/>
                    </w:rPr>
                    <w:t>3</w:t>
                  </w:r>
                  <w:r>
                    <w:rPr>
                      <w:rFonts w:cs="Arial"/>
                      <w:szCs w:val="18"/>
                    </w:rPr>
                    <w:t>3</w:t>
                  </w:r>
                </w:p>
              </w:tc>
              <w:tc>
                <w:tcPr>
                  <w:tcW w:w="387" w:type="pct"/>
                  <w:shd w:val="pct5" w:color="auto" w:fill="auto"/>
                  <w:vAlign w:val="center"/>
                </w:tcPr>
                <w:p w14:paraId="795495C1" w14:textId="77777777" w:rsidR="00F05DC7" w:rsidRDefault="00F05DC7" w:rsidP="00A3786D">
                  <w:pPr>
                    <w:pStyle w:val="TableBodyText"/>
                    <w:rPr>
                      <w:rFonts w:asciiTheme="minorHAnsi" w:hAnsiTheme="minorHAnsi" w:cstheme="minorHAnsi"/>
                      <w:i/>
                      <w:color w:val="000000"/>
                    </w:rPr>
                  </w:pPr>
                  <w:r>
                    <w:rPr>
                      <w:rFonts w:cs="Arial"/>
                      <w:szCs w:val="18"/>
                    </w:rPr>
                    <w:noBreakHyphen/>
                  </w:r>
                  <w:r w:rsidRPr="000C175D">
                    <w:rPr>
                      <w:rFonts w:cs="Arial"/>
                      <w:szCs w:val="18"/>
                    </w:rPr>
                    <w:t>1</w:t>
                  </w:r>
                  <w:r>
                    <w:rPr>
                      <w:rFonts w:cs="Arial"/>
                      <w:szCs w:val="18"/>
                    </w:rPr>
                    <w:t>0</w:t>
                  </w:r>
                </w:p>
              </w:tc>
            </w:tr>
            <w:tr w:rsidR="00F05DC7" w14:paraId="795495CC" w14:textId="77777777" w:rsidTr="002F2180">
              <w:tc>
                <w:tcPr>
                  <w:tcW w:w="1680" w:type="pct"/>
                  <w:vAlign w:val="center"/>
                </w:tcPr>
                <w:p w14:paraId="795495C3" w14:textId="77777777" w:rsidR="00F05DC7" w:rsidRDefault="00F05DC7" w:rsidP="00A3786D">
                  <w:pPr>
                    <w:pStyle w:val="TableBodyText"/>
                    <w:spacing w:before="40"/>
                    <w:jc w:val="left"/>
                    <w:rPr>
                      <w:i/>
                    </w:rPr>
                  </w:pPr>
                  <w:r>
                    <w:t xml:space="preserve"> Change in GST payments ($pc)</w:t>
                  </w:r>
                </w:p>
              </w:tc>
              <w:tc>
                <w:tcPr>
                  <w:tcW w:w="403" w:type="pct"/>
                  <w:shd w:val="clear" w:color="auto" w:fill="auto"/>
                  <w:vAlign w:val="center"/>
                </w:tcPr>
                <w:p w14:paraId="795495C4"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r>
                  <w:r w:rsidRPr="000C175D">
                    <w:rPr>
                      <w:rFonts w:cs="Arial"/>
                      <w:szCs w:val="18"/>
                    </w:rPr>
                    <w:t>4</w:t>
                  </w:r>
                  <w:r>
                    <w:rPr>
                      <w:rFonts w:cs="Arial"/>
                      <w:szCs w:val="18"/>
                    </w:rPr>
                    <w:t>3</w:t>
                  </w:r>
                </w:p>
              </w:tc>
              <w:tc>
                <w:tcPr>
                  <w:tcW w:w="459" w:type="pct"/>
                  <w:shd w:val="clear" w:color="auto" w:fill="auto"/>
                  <w:vAlign w:val="center"/>
                </w:tcPr>
                <w:p w14:paraId="795495C5"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r>
                  <w:r w:rsidRPr="000C175D">
                    <w:rPr>
                      <w:rFonts w:cs="Arial"/>
                      <w:szCs w:val="18"/>
                    </w:rPr>
                    <w:t>5</w:t>
                  </w:r>
                  <w:r>
                    <w:rPr>
                      <w:rFonts w:cs="Arial"/>
                      <w:szCs w:val="18"/>
                    </w:rPr>
                    <w:t>6</w:t>
                  </w:r>
                </w:p>
              </w:tc>
              <w:tc>
                <w:tcPr>
                  <w:tcW w:w="459" w:type="pct"/>
                  <w:shd w:val="clear" w:color="auto" w:fill="auto"/>
                  <w:vAlign w:val="center"/>
                </w:tcPr>
                <w:p w14:paraId="795495C6"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r>
                  <w:r w:rsidRPr="000C175D">
                    <w:rPr>
                      <w:rFonts w:cs="Arial"/>
                      <w:szCs w:val="18"/>
                    </w:rPr>
                    <w:t>63</w:t>
                  </w:r>
                </w:p>
              </w:tc>
              <w:tc>
                <w:tcPr>
                  <w:tcW w:w="459" w:type="pct"/>
                  <w:shd w:val="clear" w:color="auto" w:fill="auto"/>
                  <w:vAlign w:val="center"/>
                </w:tcPr>
                <w:p w14:paraId="795495C7"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t>51</w:t>
                  </w:r>
                </w:p>
              </w:tc>
              <w:tc>
                <w:tcPr>
                  <w:tcW w:w="384" w:type="pct"/>
                  <w:shd w:val="clear" w:color="auto" w:fill="auto"/>
                  <w:vAlign w:val="center"/>
                </w:tcPr>
                <w:p w14:paraId="795495C8"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t>48</w:t>
                  </w:r>
                </w:p>
              </w:tc>
              <w:tc>
                <w:tcPr>
                  <w:tcW w:w="385" w:type="pct"/>
                  <w:shd w:val="clear" w:color="auto" w:fill="auto"/>
                  <w:vAlign w:val="center"/>
                </w:tcPr>
                <w:p w14:paraId="795495C9"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t>45</w:t>
                  </w:r>
                </w:p>
              </w:tc>
              <w:tc>
                <w:tcPr>
                  <w:tcW w:w="384" w:type="pct"/>
                  <w:shd w:val="clear" w:color="auto" w:fill="auto"/>
                  <w:vAlign w:val="center"/>
                </w:tcPr>
                <w:p w14:paraId="795495CA" w14:textId="77777777" w:rsidR="00F05DC7" w:rsidRPr="00CE6393" w:rsidRDefault="00F05DC7" w:rsidP="00A3786D">
                  <w:pPr>
                    <w:pStyle w:val="TableBodyText"/>
                    <w:rPr>
                      <w:rFonts w:asciiTheme="minorHAnsi" w:hAnsiTheme="minorHAnsi" w:cstheme="minorHAnsi"/>
                      <w:color w:val="000000"/>
                    </w:rPr>
                  </w:pPr>
                  <w:r>
                    <w:rPr>
                      <w:rFonts w:cs="Arial"/>
                      <w:szCs w:val="18"/>
                    </w:rPr>
                    <w:noBreakHyphen/>
                    <w:t>82</w:t>
                  </w:r>
                </w:p>
              </w:tc>
              <w:tc>
                <w:tcPr>
                  <w:tcW w:w="387" w:type="pct"/>
                  <w:shd w:val="clear" w:color="auto" w:fill="auto"/>
                  <w:vAlign w:val="center"/>
                </w:tcPr>
                <w:p w14:paraId="795495CB" w14:textId="77777777" w:rsidR="00F05DC7" w:rsidRDefault="00F05DC7" w:rsidP="00A3786D">
                  <w:pPr>
                    <w:pStyle w:val="TableBodyText"/>
                    <w:rPr>
                      <w:rFonts w:asciiTheme="minorHAnsi" w:hAnsiTheme="minorHAnsi" w:cstheme="minorHAnsi"/>
                      <w:i/>
                      <w:color w:val="000000"/>
                    </w:rPr>
                  </w:pPr>
                  <w:r>
                    <w:rPr>
                      <w:rFonts w:cs="Arial"/>
                      <w:szCs w:val="18"/>
                    </w:rPr>
                    <w:noBreakHyphen/>
                    <w:t>39</w:t>
                  </w:r>
                </w:p>
              </w:tc>
            </w:tr>
            <w:tr w:rsidR="00F05DC7" w14:paraId="795495D6" w14:textId="77777777" w:rsidTr="002F2180">
              <w:tc>
                <w:tcPr>
                  <w:tcW w:w="1680" w:type="pct"/>
                  <w:tcBorders>
                    <w:bottom w:val="single" w:sz="6" w:space="0" w:color="BFBFBF"/>
                  </w:tcBorders>
                  <w:vAlign w:val="center"/>
                </w:tcPr>
                <w:p w14:paraId="795495CD" w14:textId="77777777" w:rsidR="00F05DC7" w:rsidRDefault="00F05DC7" w:rsidP="00A3786D">
                  <w:pPr>
                    <w:pStyle w:val="TableBodyText"/>
                    <w:spacing w:before="40"/>
                    <w:jc w:val="left"/>
                    <w:rPr>
                      <w:i/>
                    </w:rPr>
                  </w:pPr>
                  <w:r>
                    <w:t xml:space="preserve"> New GST relativity</w:t>
                  </w:r>
                </w:p>
              </w:tc>
              <w:tc>
                <w:tcPr>
                  <w:tcW w:w="403" w:type="pct"/>
                  <w:shd w:val="clear" w:color="auto" w:fill="auto"/>
                  <w:vAlign w:val="center"/>
                </w:tcPr>
                <w:p w14:paraId="795495CE" w14:textId="77777777" w:rsidR="00F05DC7" w:rsidRPr="00CE6393" w:rsidRDefault="00F05DC7" w:rsidP="00A3786D">
                  <w:pPr>
                    <w:pStyle w:val="TableBodyText"/>
                    <w:rPr>
                      <w:rFonts w:asciiTheme="minorHAnsi" w:hAnsiTheme="minorHAnsi" w:cstheme="minorHAnsi"/>
                      <w:color w:val="000000"/>
                    </w:rPr>
                  </w:pPr>
                  <w:r>
                    <w:rPr>
                      <w:rFonts w:cs="Arial"/>
                      <w:color w:val="000000"/>
                      <w:szCs w:val="18"/>
                    </w:rPr>
                    <w:t>0.82</w:t>
                  </w:r>
                </w:p>
              </w:tc>
              <w:tc>
                <w:tcPr>
                  <w:tcW w:w="459" w:type="pct"/>
                  <w:shd w:val="clear" w:color="auto" w:fill="auto"/>
                  <w:vAlign w:val="center"/>
                </w:tcPr>
                <w:p w14:paraId="795495CF" w14:textId="77777777" w:rsidR="00F05DC7" w:rsidRPr="00CE6393" w:rsidRDefault="00F05DC7" w:rsidP="00A3786D">
                  <w:pPr>
                    <w:pStyle w:val="TableBodyText"/>
                    <w:rPr>
                      <w:rFonts w:asciiTheme="minorHAnsi" w:hAnsiTheme="minorHAnsi" w:cstheme="minorHAnsi"/>
                      <w:color w:val="000000"/>
                    </w:rPr>
                  </w:pPr>
                  <w:r>
                    <w:rPr>
                      <w:rFonts w:cs="Arial"/>
                      <w:color w:val="000000"/>
                      <w:szCs w:val="18"/>
                    </w:rPr>
                    <w:t>0.99</w:t>
                  </w:r>
                </w:p>
              </w:tc>
              <w:tc>
                <w:tcPr>
                  <w:tcW w:w="459" w:type="pct"/>
                  <w:shd w:val="clear" w:color="auto" w:fill="auto"/>
                  <w:vAlign w:val="center"/>
                </w:tcPr>
                <w:p w14:paraId="795495D0" w14:textId="77777777" w:rsidR="00F05DC7" w:rsidRPr="00CE6393" w:rsidRDefault="00F05DC7" w:rsidP="00A3786D">
                  <w:pPr>
                    <w:pStyle w:val="TableBodyText"/>
                    <w:rPr>
                      <w:rFonts w:asciiTheme="minorHAnsi" w:hAnsiTheme="minorHAnsi" w:cstheme="minorHAnsi"/>
                      <w:color w:val="000000"/>
                    </w:rPr>
                  </w:pPr>
                  <w:r>
                    <w:rPr>
                      <w:rFonts w:cs="Arial"/>
                      <w:color w:val="000000"/>
                      <w:szCs w:val="18"/>
                    </w:rPr>
                    <w:t>1.00</w:t>
                  </w:r>
                </w:p>
              </w:tc>
              <w:tc>
                <w:tcPr>
                  <w:tcW w:w="459" w:type="pct"/>
                  <w:shd w:val="clear" w:color="auto" w:fill="auto"/>
                  <w:vAlign w:val="center"/>
                </w:tcPr>
                <w:p w14:paraId="795495D1" w14:textId="77777777" w:rsidR="00F05DC7" w:rsidRPr="00CE6393" w:rsidRDefault="00F05DC7" w:rsidP="00A3786D">
                  <w:pPr>
                    <w:pStyle w:val="TableBodyText"/>
                    <w:rPr>
                      <w:rFonts w:asciiTheme="minorHAnsi" w:hAnsiTheme="minorHAnsi" w:cstheme="minorHAnsi"/>
                      <w:color w:val="000000"/>
                    </w:rPr>
                  </w:pPr>
                  <w:r>
                    <w:rPr>
                      <w:rFonts w:cs="Arial"/>
                      <w:color w:val="000000"/>
                      <w:szCs w:val="18"/>
                    </w:rPr>
                    <w:t>0.55</w:t>
                  </w:r>
                </w:p>
              </w:tc>
              <w:tc>
                <w:tcPr>
                  <w:tcW w:w="384" w:type="pct"/>
                  <w:shd w:val="clear" w:color="auto" w:fill="auto"/>
                  <w:vAlign w:val="center"/>
                </w:tcPr>
                <w:p w14:paraId="795495D2" w14:textId="77777777" w:rsidR="00F05DC7" w:rsidRPr="00CE6393" w:rsidRDefault="00F05DC7" w:rsidP="00A3786D">
                  <w:pPr>
                    <w:pStyle w:val="TableBodyText"/>
                    <w:rPr>
                      <w:rFonts w:asciiTheme="minorHAnsi" w:hAnsiTheme="minorHAnsi" w:cstheme="minorHAnsi"/>
                      <w:color w:val="000000"/>
                    </w:rPr>
                  </w:pPr>
                  <w:r>
                    <w:rPr>
                      <w:rFonts w:cs="Arial"/>
                      <w:color w:val="000000"/>
                      <w:szCs w:val="18"/>
                    </w:rPr>
                    <w:t>1.51</w:t>
                  </w:r>
                </w:p>
              </w:tc>
              <w:tc>
                <w:tcPr>
                  <w:tcW w:w="385" w:type="pct"/>
                  <w:shd w:val="clear" w:color="auto" w:fill="auto"/>
                  <w:vAlign w:val="center"/>
                </w:tcPr>
                <w:p w14:paraId="795495D3" w14:textId="77777777" w:rsidR="00F05DC7" w:rsidRPr="00CE6393" w:rsidRDefault="00F05DC7" w:rsidP="00A3786D">
                  <w:pPr>
                    <w:pStyle w:val="TableBodyText"/>
                    <w:rPr>
                      <w:rFonts w:asciiTheme="minorHAnsi" w:hAnsiTheme="minorHAnsi" w:cstheme="minorHAnsi"/>
                      <w:color w:val="000000"/>
                    </w:rPr>
                  </w:pPr>
                  <w:r>
                    <w:rPr>
                      <w:rFonts w:cs="Arial"/>
                      <w:color w:val="000000"/>
                      <w:szCs w:val="18"/>
                    </w:rPr>
                    <w:t>1.70</w:t>
                  </w:r>
                </w:p>
              </w:tc>
              <w:tc>
                <w:tcPr>
                  <w:tcW w:w="384" w:type="pct"/>
                  <w:shd w:val="clear" w:color="auto" w:fill="auto"/>
                  <w:vAlign w:val="center"/>
                </w:tcPr>
                <w:p w14:paraId="795495D4" w14:textId="77777777" w:rsidR="00F05DC7" w:rsidRPr="00CE6393" w:rsidRDefault="00F05DC7" w:rsidP="00A3786D">
                  <w:pPr>
                    <w:pStyle w:val="TableBodyText"/>
                    <w:rPr>
                      <w:rFonts w:asciiTheme="minorHAnsi" w:hAnsiTheme="minorHAnsi" w:cstheme="minorHAnsi"/>
                      <w:color w:val="000000"/>
                    </w:rPr>
                  </w:pPr>
                  <w:r>
                    <w:rPr>
                      <w:rFonts w:cs="Arial"/>
                      <w:color w:val="000000"/>
                      <w:szCs w:val="18"/>
                    </w:rPr>
                    <w:t>1.18</w:t>
                  </w:r>
                </w:p>
              </w:tc>
              <w:tc>
                <w:tcPr>
                  <w:tcW w:w="387" w:type="pct"/>
                  <w:shd w:val="clear" w:color="auto" w:fill="auto"/>
                  <w:vAlign w:val="center"/>
                </w:tcPr>
                <w:p w14:paraId="795495D5" w14:textId="77777777" w:rsidR="00F05DC7" w:rsidRPr="00105E3E" w:rsidRDefault="00F05DC7" w:rsidP="00A3786D">
                  <w:pPr>
                    <w:pStyle w:val="TableBodyText"/>
                    <w:rPr>
                      <w:rFonts w:asciiTheme="minorHAnsi" w:hAnsiTheme="minorHAnsi" w:cstheme="minorHAnsi"/>
                      <w:i/>
                      <w:color w:val="000000"/>
                    </w:rPr>
                  </w:pPr>
                  <w:r>
                    <w:rPr>
                      <w:rFonts w:cs="Arial"/>
                      <w:color w:val="000000"/>
                      <w:szCs w:val="18"/>
                    </w:rPr>
                    <w:t>4.17</w:t>
                  </w:r>
                </w:p>
              </w:tc>
            </w:tr>
            <w:tr w:rsidR="00F05DC7" w14:paraId="795495E0" w14:textId="77777777" w:rsidTr="002F2180">
              <w:tc>
                <w:tcPr>
                  <w:tcW w:w="1680" w:type="pct"/>
                  <w:tcBorders>
                    <w:top w:val="single" w:sz="6" w:space="0" w:color="BFBFBF"/>
                  </w:tcBorders>
                  <w:vAlign w:val="center"/>
                </w:tcPr>
                <w:p w14:paraId="795495D7" w14:textId="77777777" w:rsidR="00F05DC7" w:rsidRDefault="00F05DC7" w:rsidP="00A3786D">
                  <w:pPr>
                    <w:pStyle w:val="TableBodyText"/>
                    <w:spacing w:before="40"/>
                    <w:jc w:val="left"/>
                  </w:pPr>
                  <w:r>
                    <w:rPr>
                      <w:i/>
                    </w:rPr>
                    <w:t>Upper</w:t>
                  </w:r>
                  <w:r>
                    <w:rPr>
                      <w:i/>
                    </w:rPr>
                    <w:noBreakHyphen/>
                    <w:t>bound</w:t>
                  </w:r>
                </w:p>
              </w:tc>
              <w:tc>
                <w:tcPr>
                  <w:tcW w:w="403" w:type="pct"/>
                  <w:tcBorders>
                    <w:top w:val="single" w:sz="6" w:space="0" w:color="BFBFBF"/>
                  </w:tcBorders>
                  <w:vAlign w:val="bottom"/>
                </w:tcPr>
                <w:p w14:paraId="795495D8" w14:textId="77777777" w:rsidR="00F05DC7" w:rsidRPr="00CE6393" w:rsidRDefault="00F05DC7" w:rsidP="00A3786D">
                  <w:pPr>
                    <w:pStyle w:val="TableBodyText"/>
                    <w:rPr>
                      <w:rFonts w:asciiTheme="minorHAnsi" w:hAnsiTheme="minorHAnsi" w:cstheme="minorHAnsi"/>
                      <w:color w:val="000000"/>
                      <w:szCs w:val="18"/>
                    </w:rPr>
                  </w:pPr>
                </w:p>
              </w:tc>
              <w:tc>
                <w:tcPr>
                  <w:tcW w:w="459" w:type="pct"/>
                  <w:tcBorders>
                    <w:top w:val="single" w:sz="6" w:space="0" w:color="BFBFBF"/>
                  </w:tcBorders>
                  <w:vAlign w:val="bottom"/>
                </w:tcPr>
                <w:p w14:paraId="795495D9" w14:textId="77777777" w:rsidR="00F05DC7" w:rsidRPr="00CE6393" w:rsidRDefault="00F05DC7" w:rsidP="00A3786D">
                  <w:pPr>
                    <w:pStyle w:val="TableBodyText"/>
                    <w:rPr>
                      <w:rFonts w:asciiTheme="minorHAnsi" w:hAnsiTheme="minorHAnsi" w:cstheme="minorHAnsi"/>
                      <w:color w:val="000000"/>
                      <w:szCs w:val="18"/>
                    </w:rPr>
                  </w:pPr>
                </w:p>
              </w:tc>
              <w:tc>
                <w:tcPr>
                  <w:tcW w:w="459" w:type="pct"/>
                  <w:tcBorders>
                    <w:top w:val="single" w:sz="6" w:space="0" w:color="BFBFBF"/>
                  </w:tcBorders>
                  <w:vAlign w:val="bottom"/>
                </w:tcPr>
                <w:p w14:paraId="795495DA" w14:textId="77777777" w:rsidR="00F05DC7" w:rsidRPr="00CE6393" w:rsidRDefault="00F05DC7" w:rsidP="00A3786D">
                  <w:pPr>
                    <w:pStyle w:val="TableBodyText"/>
                    <w:rPr>
                      <w:rFonts w:asciiTheme="minorHAnsi" w:hAnsiTheme="minorHAnsi" w:cstheme="minorHAnsi"/>
                      <w:color w:val="000000"/>
                      <w:szCs w:val="18"/>
                    </w:rPr>
                  </w:pPr>
                </w:p>
              </w:tc>
              <w:tc>
                <w:tcPr>
                  <w:tcW w:w="459" w:type="pct"/>
                  <w:tcBorders>
                    <w:top w:val="single" w:sz="6" w:space="0" w:color="BFBFBF"/>
                  </w:tcBorders>
                  <w:vAlign w:val="bottom"/>
                </w:tcPr>
                <w:p w14:paraId="795495DB" w14:textId="77777777" w:rsidR="00F05DC7" w:rsidRPr="00CE6393" w:rsidRDefault="00F05DC7" w:rsidP="00A3786D">
                  <w:pPr>
                    <w:pStyle w:val="TableBodyText"/>
                    <w:rPr>
                      <w:rFonts w:asciiTheme="minorHAnsi" w:hAnsiTheme="minorHAnsi" w:cstheme="minorHAnsi"/>
                      <w:color w:val="000000"/>
                      <w:szCs w:val="18"/>
                    </w:rPr>
                  </w:pPr>
                </w:p>
              </w:tc>
              <w:tc>
                <w:tcPr>
                  <w:tcW w:w="384" w:type="pct"/>
                  <w:tcBorders>
                    <w:top w:val="single" w:sz="6" w:space="0" w:color="BFBFBF"/>
                  </w:tcBorders>
                  <w:vAlign w:val="bottom"/>
                </w:tcPr>
                <w:p w14:paraId="795495DC" w14:textId="77777777" w:rsidR="00F05DC7" w:rsidRPr="00CE6393" w:rsidRDefault="00F05DC7" w:rsidP="00A3786D">
                  <w:pPr>
                    <w:pStyle w:val="TableBodyText"/>
                    <w:rPr>
                      <w:rFonts w:asciiTheme="minorHAnsi" w:hAnsiTheme="minorHAnsi" w:cstheme="minorHAnsi"/>
                      <w:color w:val="000000"/>
                      <w:szCs w:val="18"/>
                    </w:rPr>
                  </w:pPr>
                </w:p>
              </w:tc>
              <w:tc>
                <w:tcPr>
                  <w:tcW w:w="385" w:type="pct"/>
                  <w:tcBorders>
                    <w:top w:val="single" w:sz="6" w:space="0" w:color="BFBFBF"/>
                  </w:tcBorders>
                  <w:vAlign w:val="bottom"/>
                </w:tcPr>
                <w:p w14:paraId="795495DD" w14:textId="77777777" w:rsidR="00F05DC7" w:rsidRPr="00CE6393" w:rsidRDefault="00F05DC7" w:rsidP="00A3786D">
                  <w:pPr>
                    <w:pStyle w:val="TableBodyText"/>
                    <w:rPr>
                      <w:rFonts w:asciiTheme="minorHAnsi" w:hAnsiTheme="minorHAnsi" w:cstheme="minorHAnsi"/>
                      <w:color w:val="000000"/>
                      <w:szCs w:val="18"/>
                    </w:rPr>
                  </w:pPr>
                </w:p>
              </w:tc>
              <w:tc>
                <w:tcPr>
                  <w:tcW w:w="384" w:type="pct"/>
                  <w:tcBorders>
                    <w:top w:val="single" w:sz="6" w:space="0" w:color="BFBFBF"/>
                  </w:tcBorders>
                  <w:vAlign w:val="bottom"/>
                </w:tcPr>
                <w:p w14:paraId="795495DE" w14:textId="77777777" w:rsidR="00F05DC7" w:rsidRPr="00CE6393" w:rsidRDefault="00F05DC7" w:rsidP="00A3786D">
                  <w:pPr>
                    <w:pStyle w:val="TableBodyText"/>
                    <w:rPr>
                      <w:rFonts w:asciiTheme="minorHAnsi" w:hAnsiTheme="minorHAnsi" w:cstheme="minorHAnsi"/>
                      <w:color w:val="000000"/>
                      <w:szCs w:val="18"/>
                    </w:rPr>
                  </w:pPr>
                </w:p>
              </w:tc>
              <w:tc>
                <w:tcPr>
                  <w:tcW w:w="387" w:type="pct"/>
                  <w:tcBorders>
                    <w:top w:val="single" w:sz="6" w:space="0" w:color="BFBFBF"/>
                  </w:tcBorders>
                  <w:vAlign w:val="bottom"/>
                </w:tcPr>
                <w:p w14:paraId="795495DF" w14:textId="77777777" w:rsidR="00F05DC7" w:rsidRPr="00105E3E" w:rsidRDefault="00F05DC7" w:rsidP="00A3786D">
                  <w:pPr>
                    <w:pStyle w:val="TableBodyText"/>
                    <w:rPr>
                      <w:rFonts w:asciiTheme="minorHAnsi" w:hAnsiTheme="minorHAnsi" w:cstheme="minorHAnsi"/>
                      <w:i/>
                      <w:color w:val="000000"/>
                      <w:szCs w:val="18"/>
                    </w:rPr>
                  </w:pPr>
                </w:p>
              </w:tc>
            </w:tr>
            <w:tr w:rsidR="00F05DC7" w14:paraId="795495EA" w14:textId="77777777" w:rsidTr="002F2180">
              <w:tc>
                <w:tcPr>
                  <w:tcW w:w="1680" w:type="pct"/>
                  <w:shd w:val="pct5" w:color="auto" w:fill="auto"/>
                  <w:vAlign w:val="center"/>
                </w:tcPr>
                <w:p w14:paraId="795495E1" w14:textId="77777777" w:rsidR="00F05DC7" w:rsidRDefault="00F05DC7" w:rsidP="00A3786D">
                  <w:pPr>
                    <w:pStyle w:val="TableBodyText"/>
                    <w:jc w:val="left"/>
                  </w:pPr>
                  <w:r>
                    <w:t xml:space="preserve"> Change in GST payments ($m)</w:t>
                  </w:r>
                </w:p>
              </w:tc>
              <w:tc>
                <w:tcPr>
                  <w:tcW w:w="403" w:type="pct"/>
                  <w:shd w:val="clear" w:color="auto" w:fill="auto"/>
                  <w:vAlign w:val="center"/>
                </w:tcPr>
                <w:p w14:paraId="795495E2"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r>
                  <w:r w:rsidRPr="000C175D">
                    <w:rPr>
                      <w:rFonts w:cs="Arial"/>
                      <w:szCs w:val="18"/>
                    </w:rPr>
                    <w:t>1</w:t>
                  </w:r>
                  <w:r>
                    <w:rPr>
                      <w:rFonts w:cs="Arial"/>
                      <w:szCs w:val="18"/>
                    </w:rPr>
                    <w:t> </w:t>
                  </w:r>
                  <w:r w:rsidRPr="000C175D">
                    <w:rPr>
                      <w:rFonts w:cs="Arial"/>
                      <w:szCs w:val="18"/>
                    </w:rPr>
                    <w:t>2</w:t>
                  </w:r>
                  <w:r>
                    <w:rPr>
                      <w:rFonts w:cs="Arial"/>
                      <w:szCs w:val="18"/>
                    </w:rPr>
                    <w:t>81</w:t>
                  </w:r>
                </w:p>
              </w:tc>
              <w:tc>
                <w:tcPr>
                  <w:tcW w:w="459" w:type="pct"/>
                  <w:shd w:val="clear" w:color="auto" w:fill="auto"/>
                  <w:vAlign w:val="center"/>
                </w:tcPr>
                <w:p w14:paraId="795495E3"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r>
                  <w:r w:rsidRPr="000C175D">
                    <w:rPr>
                      <w:rFonts w:cs="Arial"/>
                      <w:szCs w:val="18"/>
                    </w:rPr>
                    <w:t>1</w:t>
                  </w:r>
                  <w:r>
                    <w:rPr>
                      <w:rFonts w:cs="Arial"/>
                      <w:szCs w:val="18"/>
                    </w:rPr>
                    <w:t> </w:t>
                  </w:r>
                  <w:r w:rsidRPr="000C175D">
                    <w:rPr>
                      <w:rFonts w:cs="Arial"/>
                      <w:szCs w:val="18"/>
                    </w:rPr>
                    <w:t>1</w:t>
                  </w:r>
                  <w:r>
                    <w:rPr>
                      <w:rFonts w:cs="Arial"/>
                      <w:szCs w:val="18"/>
                    </w:rPr>
                    <w:t>78</w:t>
                  </w:r>
                </w:p>
              </w:tc>
              <w:tc>
                <w:tcPr>
                  <w:tcW w:w="459" w:type="pct"/>
                  <w:shd w:val="clear" w:color="auto" w:fill="auto"/>
                  <w:vAlign w:val="center"/>
                </w:tcPr>
                <w:p w14:paraId="795495E4"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r>
                  <w:r w:rsidRPr="000C175D">
                    <w:rPr>
                      <w:rFonts w:cs="Arial"/>
                      <w:szCs w:val="18"/>
                    </w:rPr>
                    <w:t>9</w:t>
                  </w:r>
                  <w:r>
                    <w:rPr>
                      <w:rFonts w:cs="Arial"/>
                      <w:szCs w:val="18"/>
                    </w:rPr>
                    <w:t>82</w:t>
                  </w:r>
                </w:p>
              </w:tc>
              <w:tc>
                <w:tcPr>
                  <w:tcW w:w="459" w:type="pct"/>
                  <w:shd w:val="clear" w:color="auto" w:fill="auto"/>
                  <w:vAlign w:val="center"/>
                </w:tcPr>
                <w:p w14:paraId="795495E5"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t>366</w:t>
                  </w:r>
                </w:p>
              </w:tc>
              <w:tc>
                <w:tcPr>
                  <w:tcW w:w="384" w:type="pct"/>
                  <w:shd w:val="clear" w:color="auto" w:fill="auto"/>
                  <w:vAlign w:val="center"/>
                </w:tcPr>
                <w:p w14:paraId="795495E6"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r>
                  <w:r w:rsidRPr="000C175D">
                    <w:rPr>
                      <w:rFonts w:cs="Arial"/>
                      <w:szCs w:val="18"/>
                    </w:rPr>
                    <w:t>250</w:t>
                  </w:r>
                </w:p>
              </w:tc>
              <w:tc>
                <w:tcPr>
                  <w:tcW w:w="385" w:type="pct"/>
                  <w:shd w:val="clear" w:color="auto" w:fill="auto"/>
                  <w:vAlign w:val="center"/>
                </w:tcPr>
                <w:p w14:paraId="795495E7"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t>79</w:t>
                  </w:r>
                </w:p>
              </w:tc>
              <w:tc>
                <w:tcPr>
                  <w:tcW w:w="384" w:type="pct"/>
                  <w:shd w:val="clear" w:color="auto" w:fill="auto"/>
                  <w:vAlign w:val="center"/>
                </w:tcPr>
                <w:p w14:paraId="795495E8"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r>
                  <w:r w:rsidRPr="000C175D">
                    <w:rPr>
                      <w:rFonts w:cs="Arial"/>
                      <w:szCs w:val="18"/>
                    </w:rPr>
                    <w:t>1</w:t>
                  </w:r>
                  <w:r>
                    <w:rPr>
                      <w:rFonts w:cs="Arial"/>
                      <w:szCs w:val="18"/>
                    </w:rPr>
                    <w:t>15</w:t>
                  </w:r>
                </w:p>
              </w:tc>
              <w:tc>
                <w:tcPr>
                  <w:tcW w:w="387" w:type="pct"/>
                  <w:shd w:val="clear" w:color="auto" w:fill="auto"/>
                  <w:vAlign w:val="center"/>
                </w:tcPr>
                <w:p w14:paraId="795495E9" w14:textId="77777777" w:rsidR="00F05DC7" w:rsidRPr="00105E3E" w:rsidRDefault="00F05DC7" w:rsidP="00A3786D">
                  <w:pPr>
                    <w:pStyle w:val="TableBodyText"/>
                    <w:rPr>
                      <w:rFonts w:asciiTheme="minorHAnsi" w:hAnsiTheme="minorHAnsi" w:cstheme="minorHAnsi"/>
                      <w:i/>
                      <w:color w:val="000000"/>
                      <w:szCs w:val="18"/>
                    </w:rPr>
                  </w:pPr>
                  <w:r>
                    <w:rPr>
                      <w:rFonts w:cs="Arial"/>
                      <w:szCs w:val="18"/>
                    </w:rPr>
                    <w:noBreakHyphen/>
                  </w:r>
                  <w:r w:rsidRPr="000C175D">
                    <w:rPr>
                      <w:rFonts w:cs="Arial"/>
                      <w:szCs w:val="18"/>
                    </w:rPr>
                    <w:t>3</w:t>
                  </w:r>
                  <w:r>
                    <w:rPr>
                      <w:rFonts w:cs="Arial"/>
                      <w:szCs w:val="18"/>
                    </w:rPr>
                    <w:t>2</w:t>
                  </w:r>
                </w:p>
              </w:tc>
            </w:tr>
            <w:tr w:rsidR="00F05DC7" w14:paraId="795495F4" w14:textId="77777777" w:rsidTr="002F2180">
              <w:tc>
                <w:tcPr>
                  <w:tcW w:w="1680" w:type="pct"/>
                  <w:vAlign w:val="center"/>
                </w:tcPr>
                <w:p w14:paraId="795495EB" w14:textId="77777777" w:rsidR="00F05DC7" w:rsidRDefault="00F05DC7" w:rsidP="00A3786D">
                  <w:pPr>
                    <w:pStyle w:val="TableBodyText"/>
                    <w:jc w:val="left"/>
                  </w:pPr>
                  <w:r>
                    <w:t xml:space="preserve"> Change in GST payments ($pc)</w:t>
                  </w:r>
                </w:p>
              </w:tc>
              <w:tc>
                <w:tcPr>
                  <w:tcW w:w="403" w:type="pct"/>
                  <w:shd w:val="clear" w:color="auto" w:fill="auto"/>
                  <w:vAlign w:val="center"/>
                </w:tcPr>
                <w:p w14:paraId="795495EC"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t>164</w:t>
                  </w:r>
                </w:p>
              </w:tc>
              <w:tc>
                <w:tcPr>
                  <w:tcW w:w="459" w:type="pct"/>
                  <w:shd w:val="clear" w:color="auto" w:fill="auto"/>
                  <w:vAlign w:val="center"/>
                </w:tcPr>
                <w:p w14:paraId="795495ED"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t>189</w:t>
                  </w:r>
                </w:p>
              </w:tc>
              <w:tc>
                <w:tcPr>
                  <w:tcW w:w="459" w:type="pct"/>
                  <w:shd w:val="clear" w:color="auto" w:fill="auto"/>
                  <w:vAlign w:val="center"/>
                </w:tcPr>
                <w:p w14:paraId="795495EE"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t>201</w:t>
                  </w:r>
                </w:p>
              </w:tc>
              <w:tc>
                <w:tcPr>
                  <w:tcW w:w="459" w:type="pct"/>
                  <w:shd w:val="clear" w:color="auto" w:fill="auto"/>
                  <w:vAlign w:val="center"/>
                </w:tcPr>
                <w:p w14:paraId="795495EF"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r>
                  <w:r w:rsidRPr="000C175D">
                    <w:rPr>
                      <w:rFonts w:cs="Arial"/>
                      <w:szCs w:val="18"/>
                    </w:rPr>
                    <w:t>1</w:t>
                  </w:r>
                  <w:r>
                    <w:rPr>
                      <w:rFonts w:cs="Arial"/>
                      <w:szCs w:val="18"/>
                    </w:rPr>
                    <w:t>43</w:t>
                  </w:r>
                </w:p>
              </w:tc>
              <w:tc>
                <w:tcPr>
                  <w:tcW w:w="384" w:type="pct"/>
                  <w:shd w:val="clear" w:color="auto" w:fill="auto"/>
                  <w:vAlign w:val="center"/>
                </w:tcPr>
                <w:p w14:paraId="795495F0"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t>146</w:t>
                  </w:r>
                </w:p>
              </w:tc>
              <w:tc>
                <w:tcPr>
                  <w:tcW w:w="385" w:type="pct"/>
                  <w:shd w:val="clear" w:color="auto" w:fill="auto"/>
                  <w:vAlign w:val="center"/>
                </w:tcPr>
                <w:p w14:paraId="795495F1"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r>
                  <w:r w:rsidRPr="000C175D">
                    <w:rPr>
                      <w:rFonts w:cs="Arial"/>
                      <w:szCs w:val="18"/>
                    </w:rPr>
                    <w:t>1</w:t>
                  </w:r>
                  <w:r>
                    <w:rPr>
                      <w:rFonts w:cs="Arial"/>
                      <w:szCs w:val="18"/>
                    </w:rPr>
                    <w:t>52</w:t>
                  </w:r>
                </w:p>
              </w:tc>
              <w:tc>
                <w:tcPr>
                  <w:tcW w:w="384" w:type="pct"/>
                  <w:shd w:val="clear" w:color="auto" w:fill="auto"/>
                  <w:vAlign w:val="center"/>
                </w:tcPr>
                <w:p w14:paraId="795495F2" w14:textId="77777777" w:rsidR="00F05DC7" w:rsidRPr="00CE6393" w:rsidRDefault="00F05DC7" w:rsidP="00A3786D">
                  <w:pPr>
                    <w:pStyle w:val="TableBodyText"/>
                    <w:rPr>
                      <w:rFonts w:asciiTheme="minorHAnsi" w:hAnsiTheme="minorHAnsi" w:cstheme="minorHAnsi"/>
                      <w:color w:val="000000"/>
                      <w:szCs w:val="18"/>
                    </w:rPr>
                  </w:pPr>
                  <w:r>
                    <w:rPr>
                      <w:rFonts w:cs="Arial"/>
                      <w:szCs w:val="18"/>
                    </w:rPr>
                    <w:noBreakHyphen/>
                  </w:r>
                  <w:r w:rsidRPr="000C175D">
                    <w:rPr>
                      <w:rFonts w:cs="Arial"/>
                      <w:szCs w:val="18"/>
                    </w:rPr>
                    <w:t>2</w:t>
                  </w:r>
                  <w:r>
                    <w:rPr>
                      <w:rFonts w:cs="Arial"/>
                      <w:szCs w:val="18"/>
                    </w:rPr>
                    <w:t>83</w:t>
                  </w:r>
                </w:p>
              </w:tc>
              <w:tc>
                <w:tcPr>
                  <w:tcW w:w="387" w:type="pct"/>
                  <w:shd w:val="clear" w:color="auto" w:fill="auto"/>
                  <w:vAlign w:val="center"/>
                </w:tcPr>
                <w:p w14:paraId="795495F3" w14:textId="77777777" w:rsidR="00F05DC7" w:rsidRPr="00105E3E" w:rsidRDefault="00F05DC7" w:rsidP="00A3786D">
                  <w:pPr>
                    <w:pStyle w:val="TableBodyText"/>
                    <w:rPr>
                      <w:rFonts w:asciiTheme="minorHAnsi" w:hAnsiTheme="minorHAnsi" w:cstheme="minorHAnsi"/>
                      <w:i/>
                      <w:color w:val="000000"/>
                      <w:szCs w:val="18"/>
                    </w:rPr>
                  </w:pPr>
                  <w:r>
                    <w:rPr>
                      <w:rFonts w:cs="Arial"/>
                      <w:szCs w:val="18"/>
                    </w:rPr>
                    <w:noBreakHyphen/>
                  </w:r>
                  <w:r w:rsidRPr="000C175D">
                    <w:rPr>
                      <w:rFonts w:cs="Arial"/>
                      <w:szCs w:val="18"/>
                    </w:rPr>
                    <w:t>1</w:t>
                  </w:r>
                  <w:r>
                    <w:rPr>
                      <w:rFonts w:cs="Arial"/>
                      <w:szCs w:val="18"/>
                    </w:rPr>
                    <w:t>32</w:t>
                  </w:r>
                </w:p>
              </w:tc>
            </w:tr>
            <w:tr w:rsidR="00F05DC7" w14:paraId="795495FE" w14:textId="77777777" w:rsidTr="002F2180">
              <w:tc>
                <w:tcPr>
                  <w:tcW w:w="1680" w:type="pct"/>
                  <w:tcBorders>
                    <w:bottom w:val="single" w:sz="6" w:space="0" w:color="BFBFBF"/>
                  </w:tcBorders>
                  <w:shd w:val="pct5" w:color="auto" w:fill="auto"/>
                  <w:vAlign w:val="center"/>
                </w:tcPr>
                <w:p w14:paraId="795495F5" w14:textId="77777777" w:rsidR="00F05DC7" w:rsidRDefault="00F05DC7" w:rsidP="00A3786D">
                  <w:pPr>
                    <w:pStyle w:val="TableBodyText"/>
                    <w:jc w:val="left"/>
                  </w:pPr>
                  <w:r>
                    <w:t xml:space="preserve"> New GST relativity</w:t>
                  </w:r>
                </w:p>
              </w:tc>
              <w:tc>
                <w:tcPr>
                  <w:tcW w:w="403" w:type="pct"/>
                  <w:tcBorders>
                    <w:bottom w:val="single" w:sz="6" w:space="0" w:color="BFBFBF"/>
                  </w:tcBorders>
                  <w:shd w:val="clear" w:color="auto" w:fill="auto"/>
                  <w:vAlign w:val="center"/>
                </w:tcPr>
                <w:p w14:paraId="795495F6" w14:textId="77777777" w:rsidR="00F05DC7" w:rsidRPr="00CE6393" w:rsidRDefault="00F05DC7" w:rsidP="00A3786D">
                  <w:pPr>
                    <w:pStyle w:val="TableBodyText"/>
                    <w:rPr>
                      <w:rFonts w:asciiTheme="minorHAnsi" w:hAnsiTheme="minorHAnsi" w:cstheme="minorHAnsi"/>
                      <w:color w:val="000000"/>
                      <w:szCs w:val="18"/>
                    </w:rPr>
                  </w:pPr>
                  <w:r>
                    <w:rPr>
                      <w:rFonts w:cs="Arial"/>
                      <w:color w:val="000000"/>
                      <w:szCs w:val="18"/>
                    </w:rPr>
                    <w:t>0.77</w:t>
                  </w:r>
                </w:p>
              </w:tc>
              <w:tc>
                <w:tcPr>
                  <w:tcW w:w="459" w:type="pct"/>
                  <w:tcBorders>
                    <w:bottom w:val="single" w:sz="6" w:space="0" w:color="BFBFBF"/>
                  </w:tcBorders>
                  <w:shd w:val="clear" w:color="auto" w:fill="auto"/>
                  <w:vAlign w:val="center"/>
                </w:tcPr>
                <w:p w14:paraId="795495F7" w14:textId="77777777" w:rsidR="00F05DC7" w:rsidRPr="00CE6393" w:rsidRDefault="00F05DC7" w:rsidP="00A3786D">
                  <w:pPr>
                    <w:pStyle w:val="TableBodyText"/>
                    <w:rPr>
                      <w:rFonts w:asciiTheme="minorHAnsi" w:hAnsiTheme="minorHAnsi" w:cstheme="minorHAnsi"/>
                      <w:color w:val="000000"/>
                      <w:szCs w:val="18"/>
                    </w:rPr>
                  </w:pPr>
                  <w:r>
                    <w:rPr>
                      <w:rFonts w:cs="Arial"/>
                      <w:color w:val="000000"/>
                      <w:szCs w:val="18"/>
                    </w:rPr>
                    <w:t>0.93</w:t>
                  </w:r>
                </w:p>
              </w:tc>
              <w:tc>
                <w:tcPr>
                  <w:tcW w:w="459" w:type="pct"/>
                  <w:tcBorders>
                    <w:bottom w:val="single" w:sz="6" w:space="0" w:color="BFBFBF"/>
                  </w:tcBorders>
                  <w:shd w:val="clear" w:color="auto" w:fill="auto"/>
                  <w:vAlign w:val="center"/>
                </w:tcPr>
                <w:p w14:paraId="795495F8" w14:textId="77777777" w:rsidR="00F05DC7" w:rsidRPr="00CE6393" w:rsidRDefault="00F05DC7" w:rsidP="00A3786D">
                  <w:pPr>
                    <w:pStyle w:val="TableBodyText"/>
                    <w:rPr>
                      <w:rFonts w:asciiTheme="minorHAnsi" w:hAnsiTheme="minorHAnsi" w:cstheme="minorHAnsi"/>
                      <w:color w:val="000000"/>
                      <w:szCs w:val="18"/>
                    </w:rPr>
                  </w:pPr>
                  <w:r>
                    <w:rPr>
                      <w:rFonts w:cs="Arial"/>
                      <w:color w:val="000000"/>
                      <w:szCs w:val="18"/>
                    </w:rPr>
                    <w:t>0.95</w:t>
                  </w:r>
                </w:p>
              </w:tc>
              <w:tc>
                <w:tcPr>
                  <w:tcW w:w="459" w:type="pct"/>
                  <w:tcBorders>
                    <w:bottom w:val="single" w:sz="6" w:space="0" w:color="BFBFBF"/>
                  </w:tcBorders>
                  <w:shd w:val="clear" w:color="auto" w:fill="auto"/>
                  <w:vAlign w:val="center"/>
                </w:tcPr>
                <w:p w14:paraId="795495F9" w14:textId="77777777" w:rsidR="00F05DC7" w:rsidRPr="00CE6393" w:rsidRDefault="00F05DC7" w:rsidP="00A3786D">
                  <w:pPr>
                    <w:pStyle w:val="TableBodyText"/>
                    <w:rPr>
                      <w:rFonts w:asciiTheme="minorHAnsi" w:hAnsiTheme="minorHAnsi" w:cstheme="minorHAnsi"/>
                      <w:color w:val="000000"/>
                      <w:szCs w:val="18"/>
                    </w:rPr>
                  </w:pPr>
                  <w:r>
                    <w:rPr>
                      <w:rFonts w:cs="Arial"/>
                      <w:color w:val="000000"/>
                      <w:szCs w:val="18"/>
                    </w:rPr>
                    <w:t>0.52</w:t>
                  </w:r>
                </w:p>
              </w:tc>
              <w:tc>
                <w:tcPr>
                  <w:tcW w:w="384" w:type="pct"/>
                  <w:tcBorders>
                    <w:bottom w:val="single" w:sz="6" w:space="0" w:color="BFBFBF"/>
                  </w:tcBorders>
                  <w:shd w:val="clear" w:color="auto" w:fill="auto"/>
                  <w:vAlign w:val="center"/>
                </w:tcPr>
                <w:p w14:paraId="795495FA" w14:textId="77777777" w:rsidR="00F05DC7" w:rsidRPr="00CE6393" w:rsidRDefault="00F05DC7" w:rsidP="00A3786D">
                  <w:pPr>
                    <w:pStyle w:val="TableBodyText"/>
                    <w:rPr>
                      <w:rFonts w:asciiTheme="minorHAnsi" w:hAnsiTheme="minorHAnsi" w:cstheme="minorHAnsi"/>
                      <w:color w:val="000000"/>
                      <w:szCs w:val="18"/>
                    </w:rPr>
                  </w:pPr>
                  <w:r>
                    <w:rPr>
                      <w:rFonts w:cs="Arial"/>
                      <w:color w:val="000000"/>
                      <w:szCs w:val="18"/>
                    </w:rPr>
                    <w:t>1.47</w:t>
                  </w:r>
                </w:p>
              </w:tc>
              <w:tc>
                <w:tcPr>
                  <w:tcW w:w="385" w:type="pct"/>
                  <w:tcBorders>
                    <w:bottom w:val="single" w:sz="6" w:space="0" w:color="BFBFBF"/>
                  </w:tcBorders>
                  <w:shd w:val="clear" w:color="auto" w:fill="auto"/>
                  <w:vAlign w:val="center"/>
                </w:tcPr>
                <w:p w14:paraId="795495FB" w14:textId="77777777" w:rsidR="00F05DC7" w:rsidRPr="00CE6393" w:rsidRDefault="00F05DC7" w:rsidP="00A3786D">
                  <w:pPr>
                    <w:pStyle w:val="TableBodyText"/>
                    <w:rPr>
                      <w:rFonts w:asciiTheme="minorHAnsi" w:hAnsiTheme="minorHAnsi" w:cstheme="minorHAnsi"/>
                      <w:color w:val="000000"/>
                      <w:szCs w:val="18"/>
                    </w:rPr>
                  </w:pPr>
                  <w:r>
                    <w:rPr>
                      <w:rFonts w:cs="Arial"/>
                      <w:color w:val="000000"/>
                      <w:szCs w:val="18"/>
                    </w:rPr>
                    <w:t>1.66</w:t>
                  </w:r>
                </w:p>
              </w:tc>
              <w:tc>
                <w:tcPr>
                  <w:tcW w:w="384" w:type="pct"/>
                  <w:tcBorders>
                    <w:bottom w:val="single" w:sz="6" w:space="0" w:color="BFBFBF"/>
                  </w:tcBorders>
                  <w:shd w:val="clear" w:color="auto" w:fill="auto"/>
                  <w:vAlign w:val="center"/>
                </w:tcPr>
                <w:p w14:paraId="795495FC" w14:textId="77777777" w:rsidR="00F05DC7" w:rsidRPr="00CE6393" w:rsidRDefault="00F05DC7" w:rsidP="00A3786D">
                  <w:pPr>
                    <w:pStyle w:val="TableBodyText"/>
                    <w:rPr>
                      <w:rFonts w:asciiTheme="minorHAnsi" w:hAnsiTheme="minorHAnsi" w:cstheme="minorHAnsi"/>
                      <w:color w:val="000000"/>
                      <w:szCs w:val="18"/>
                    </w:rPr>
                  </w:pPr>
                  <w:r>
                    <w:rPr>
                      <w:rFonts w:cs="Arial"/>
                      <w:color w:val="000000"/>
                      <w:szCs w:val="18"/>
                    </w:rPr>
                    <w:t>1.10</w:t>
                  </w:r>
                </w:p>
              </w:tc>
              <w:tc>
                <w:tcPr>
                  <w:tcW w:w="387" w:type="pct"/>
                  <w:tcBorders>
                    <w:bottom w:val="single" w:sz="6" w:space="0" w:color="BFBFBF"/>
                  </w:tcBorders>
                  <w:shd w:val="clear" w:color="auto" w:fill="auto"/>
                  <w:vAlign w:val="center"/>
                </w:tcPr>
                <w:p w14:paraId="795495FD" w14:textId="77777777" w:rsidR="00F05DC7" w:rsidRPr="00105E3E" w:rsidRDefault="00F05DC7" w:rsidP="00A3786D">
                  <w:pPr>
                    <w:pStyle w:val="TableBodyText"/>
                    <w:rPr>
                      <w:rFonts w:asciiTheme="minorHAnsi" w:hAnsiTheme="minorHAnsi" w:cstheme="minorHAnsi"/>
                      <w:i/>
                      <w:color w:val="000000"/>
                      <w:szCs w:val="18"/>
                    </w:rPr>
                  </w:pPr>
                  <w:r>
                    <w:rPr>
                      <w:rFonts w:cs="Arial"/>
                      <w:color w:val="000000"/>
                      <w:szCs w:val="18"/>
                    </w:rPr>
                    <w:t>4.13</w:t>
                  </w:r>
                </w:p>
              </w:tc>
            </w:tr>
            <w:tr w:rsidR="002F2180" w:rsidRPr="00786D2B" w14:paraId="435BD398" w14:textId="77777777" w:rsidTr="002F2180">
              <w:tc>
                <w:tcPr>
                  <w:tcW w:w="5000" w:type="pct"/>
                  <w:gridSpan w:val="9"/>
                  <w:vAlign w:val="center"/>
                </w:tcPr>
                <w:p w14:paraId="4A29DEF9" w14:textId="35B731B6" w:rsidR="002F2180" w:rsidRPr="00786D2B" w:rsidRDefault="002F2180" w:rsidP="002F2180">
                  <w:pPr>
                    <w:pStyle w:val="TableBodyText"/>
                    <w:spacing w:before="80" w:after="80"/>
                    <w:jc w:val="left"/>
                    <w:rPr>
                      <w:rStyle w:val="NoteLabel"/>
                    </w:rPr>
                  </w:pPr>
                  <w:r>
                    <w:rPr>
                      <w:b/>
                    </w:rPr>
                    <w:t>Cameo 2</w:t>
                  </w:r>
                  <w:r w:rsidRPr="00105E3E">
                    <w:rPr>
                      <w:b/>
                    </w:rPr>
                    <w:t xml:space="preserve">: </w:t>
                  </w:r>
                  <w:r>
                    <w:rPr>
                      <w:b/>
                    </w:rPr>
                    <w:t>Insurance</w:t>
                  </w:r>
                  <w:r w:rsidRPr="00994633">
                    <w:rPr>
                      <w:b/>
                    </w:rPr>
                    <w:t xml:space="preserve"> </w:t>
                  </w:r>
                  <w:r>
                    <w:rPr>
                      <w:b/>
                    </w:rPr>
                    <w:t>taxes abolished</w:t>
                  </w:r>
                </w:p>
              </w:tc>
            </w:tr>
            <w:tr w:rsidR="00F05DC7" w14:paraId="7954960A" w14:textId="77777777" w:rsidTr="002F2180">
              <w:tc>
                <w:tcPr>
                  <w:tcW w:w="1680" w:type="pct"/>
                  <w:shd w:val="pct5" w:color="auto" w:fill="auto"/>
                  <w:vAlign w:val="center"/>
                </w:tcPr>
                <w:p w14:paraId="79549601" w14:textId="77777777" w:rsidR="00F05DC7" w:rsidRDefault="00F05DC7" w:rsidP="00A3786D">
                  <w:pPr>
                    <w:pStyle w:val="TableBodyText"/>
                    <w:jc w:val="left"/>
                  </w:pPr>
                  <w:r>
                    <w:t>Loss in own</w:t>
                  </w:r>
                  <w:r>
                    <w:noBreakHyphen/>
                    <w:t>source revenue ($m)</w:t>
                  </w:r>
                </w:p>
              </w:tc>
              <w:tc>
                <w:tcPr>
                  <w:tcW w:w="403" w:type="pct"/>
                  <w:tcBorders>
                    <w:top w:val="nil"/>
                    <w:left w:val="nil"/>
                    <w:bottom w:val="nil"/>
                    <w:right w:val="nil"/>
                  </w:tcBorders>
                  <w:shd w:val="clear" w:color="auto" w:fill="auto"/>
                  <w:vAlign w:val="bottom"/>
                </w:tcPr>
                <w:p w14:paraId="79549602" w14:textId="77777777" w:rsidR="00F05DC7" w:rsidRDefault="00F05DC7" w:rsidP="00A3786D">
                  <w:pPr>
                    <w:pStyle w:val="TableBodyText"/>
                    <w:rPr>
                      <w:rFonts w:cs="Arial"/>
                      <w:color w:val="000000"/>
                      <w:szCs w:val="18"/>
                    </w:rPr>
                  </w:pPr>
                  <w:r w:rsidRPr="00C85B36">
                    <w:rPr>
                      <w:rFonts w:asciiTheme="minorHAnsi" w:hAnsiTheme="minorHAnsi" w:cstheme="minorHAnsi"/>
                      <w:color w:val="000000"/>
                      <w:szCs w:val="18"/>
                    </w:rPr>
                    <w:t>1</w:t>
                  </w:r>
                  <w:r>
                    <w:rPr>
                      <w:rFonts w:asciiTheme="minorHAnsi" w:hAnsiTheme="minorHAnsi" w:cstheme="minorHAnsi"/>
                      <w:color w:val="000000"/>
                      <w:szCs w:val="18"/>
                    </w:rPr>
                    <w:t xml:space="preserve"> </w:t>
                  </w:r>
                  <w:r w:rsidRPr="00C85B36">
                    <w:rPr>
                      <w:rFonts w:asciiTheme="minorHAnsi" w:hAnsiTheme="minorHAnsi" w:cstheme="minorHAnsi"/>
                      <w:color w:val="000000"/>
                      <w:szCs w:val="18"/>
                    </w:rPr>
                    <w:t>985</w:t>
                  </w:r>
                </w:p>
              </w:tc>
              <w:tc>
                <w:tcPr>
                  <w:tcW w:w="459" w:type="pct"/>
                  <w:tcBorders>
                    <w:top w:val="nil"/>
                    <w:left w:val="nil"/>
                    <w:bottom w:val="nil"/>
                    <w:right w:val="nil"/>
                  </w:tcBorders>
                  <w:shd w:val="clear" w:color="auto" w:fill="auto"/>
                  <w:vAlign w:val="bottom"/>
                </w:tcPr>
                <w:p w14:paraId="79549603" w14:textId="77777777" w:rsidR="00F05DC7" w:rsidRDefault="00F05DC7" w:rsidP="00A3786D">
                  <w:pPr>
                    <w:pStyle w:val="TableBodyText"/>
                    <w:rPr>
                      <w:rFonts w:cs="Arial"/>
                      <w:color w:val="000000"/>
                      <w:szCs w:val="18"/>
                    </w:rPr>
                  </w:pPr>
                  <w:r w:rsidRPr="00C85B36">
                    <w:rPr>
                      <w:rFonts w:asciiTheme="minorHAnsi" w:hAnsiTheme="minorHAnsi" w:cstheme="minorHAnsi"/>
                      <w:color w:val="000000"/>
                      <w:szCs w:val="18"/>
                    </w:rPr>
                    <w:t>1</w:t>
                  </w:r>
                  <w:r>
                    <w:rPr>
                      <w:rFonts w:asciiTheme="minorHAnsi" w:hAnsiTheme="minorHAnsi" w:cstheme="minorHAnsi"/>
                      <w:color w:val="000000"/>
                      <w:szCs w:val="18"/>
                    </w:rPr>
                    <w:t xml:space="preserve"> </w:t>
                  </w:r>
                  <w:r w:rsidRPr="00C85B36">
                    <w:rPr>
                      <w:rFonts w:asciiTheme="minorHAnsi" w:hAnsiTheme="minorHAnsi" w:cstheme="minorHAnsi"/>
                      <w:color w:val="000000"/>
                      <w:szCs w:val="18"/>
                    </w:rPr>
                    <w:t>218</w:t>
                  </w:r>
                </w:p>
              </w:tc>
              <w:tc>
                <w:tcPr>
                  <w:tcW w:w="459" w:type="pct"/>
                  <w:tcBorders>
                    <w:top w:val="nil"/>
                    <w:left w:val="nil"/>
                    <w:bottom w:val="nil"/>
                    <w:right w:val="nil"/>
                  </w:tcBorders>
                  <w:shd w:val="clear" w:color="auto" w:fill="auto"/>
                  <w:vAlign w:val="bottom"/>
                </w:tcPr>
                <w:p w14:paraId="79549604" w14:textId="77777777" w:rsidR="00F05DC7" w:rsidRDefault="00F05DC7" w:rsidP="00A3786D">
                  <w:pPr>
                    <w:pStyle w:val="TableBodyText"/>
                    <w:rPr>
                      <w:rFonts w:cs="Arial"/>
                      <w:color w:val="000000"/>
                      <w:szCs w:val="18"/>
                    </w:rPr>
                  </w:pPr>
                  <w:r w:rsidRPr="00C85B36">
                    <w:rPr>
                      <w:rFonts w:asciiTheme="minorHAnsi" w:hAnsiTheme="minorHAnsi" w:cstheme="minorHAnsi"/>
                      <w:color w:val="000000"/>
                      <w:szCs w:val="18"/>
                    </w:rPr>
                    <w:t>828</w:t>
                  </w:r>
                </w:p>
              </w:tc>
              <w:tc>
                <w:tcPr>
                  <w:tcW w:w="459" w:type="pct"/>
                  <w:tcBorders>
                    <w:top w:val="nil"/>
                    <w:left w:val="nil"/>
                    <w:bottom w:val="nil"/>
                    <w:right w:val="nil"/>
                  </w:tcBorders>
                  <w:shd w:val="clear" w:color="auto" w:fill="auto"/>
                  <w:vAlign w:val="bottom"/>
                </w:tcPr>
                <w:p w14:paraId="79549605" w14:textId="77777777" w:rsidR="00F05DC7" w:rsidRDefault="00F05DC7" w:rsidP="00A3786D">
                  <w:pPr>
                    <w:pStyle w:val="TableBodyText"/>
                    <w:rPr>
                      <w:rFonts w:cs="Arial"/>
                      <w:color w:val="000000"/>
                      <w:szCs w:val="18"/>
                    </w:rPr>
                  </w:pPr>
                  <w:r w:rsidRPr="00C85B36">
                    <w:rPr>
                      <w:rFonts w:asciiTheme="minorHAnsi" w:hAnsiTheme="minorHAnsi" w:cstheme="minorHAnsi"/>
                      <w:color w:val="000000"/>
                      <w:szCs w:val="18"/>
                    </w:rPr>
                    <w:t>661</w:t>
                  </w:r>
                </w:p>
              </w:tc>
              <w:tc>
                <w:tcPr>
                  <w:tcW w:w="384" w:type="pct"/>
                  <w:tcBorders>
                    <w:top w:val="nil"/>
                    <w:left w:val="nil"/>
                    <w:bottom w:val="nil"/>
                    <w:right w:val="nil"/>
                  </w:tcBorders>
                  <w:shd w:val="clear" w:color="auto" w:fill="auto"/>
                  <w:vAlign w:val="bottom"/>
                </w:tcPr>
                <w:p w14:paraId="79549606" w14:textId="77777777" w:rsidR="00F05DC7" w:rsidRDefault="00F05DC7" w:rsidP="00A3786D">
                  <w:pPr>
                    <w:pStyle w:val="TableBodyText"/>
                    <w:rPr>
                      <w:rFonts w:cs="Arial"/>
                      <w:color w:val="000000"/>
                      <w:szCs w:val="18"/>
                    </w:rPr>
                  </w:pPr>
                  <w:r w:rsidRPr="00C85B36">
                    <w:rPr>
                      <w:rFonts w:asciiTheme="minorHAnsi" w:hAnsiTheme="minorHAnsi" w:cstheme="minorHAnsi"/>
                      <w:color w:val="000000"/>
                      <w:szCs w:val="18"/>
                    </w:rPr>
                    <w:t>479</w:t>
                  </w:r>
                </w:p>
              </w:tc>
              <w:tc>
                <w:tcPr>
                  <w:tcW w:w="385" w:type="pct"/>
                  <w:tcBorders>
                    <w:top w:val="nil"/>
                    <w:left w:val="nil"/>
                    <w:bottom w:val="nil"/>
                    <w:right w:val="nil"/>
                  </w:tcBorders>
                  <w:shd w:val="clear" w:color="auto" w:fill="auto"/>
                  <w:vAlign w:val="bottom"/>
                </w:tcPr>
                <w:p w14:paraId="79549607" w14:textId="77777777" w:rsidR="00F05DC7" w:rsidRDefault="00F05DC7" w:rsidP="00A3786D">
                  <w:pPr>
                    <w:pStyle w:val="TableBodyText"/>
                    <w:rPr>
                      <w:rFonts w:cs="Arial"/>
                      <w:color w:val="000000"/>
                      <w:szCs w:val="18"/>
                    </w:rPr>
                  </w:pPr>
                  <w:r w:rsidRPr="00C85B36">
                    <w:rPr>
                      <w:rFonts w:asciiTheme="minorHAnsi" w:hAnsiTheme="minorHAnsi" w:cstheme="minorHAnsi"/>
                      <w:color w:val="000000"/>
                      <w:szCs w:val="18"/>
                    </w:rPr>
                    <w:t>104</w:t>
                  </w:r>
                </w:p>
              </w:tc>
              <w:tc>
                <w:tcPr>
                  <w:tcW w:w="384" w:type="pct"/>
                  <w:tcBorders>
                    <w:top w:val="nil"/>
                    <w:left w:val="nil"/>
                    <w:bottom w:val="nil"/>
                    <w:right w:val="nil"/>
                  </w:tcBorders>
                  <w:shd w:val="clear" w:color="auto" w:fill="auto"/>
                  <w:vAlign w:val="bottom"/>
                </w:tcPr>
                <w:p w14:paraId="79549608" w14:textId="77777777" w:rsidR="00F05DC7" w:rsidRDefault="00F05DC7" w:rsidP="00A3786D">
                  <w:pPr>
                    <w:pStyle w:val="TableBodyText"/>
                    <w:rPr>
                      <w:rFonts w:cs="Arial"/>
                      <w:color w:val="000000"/>
                      <w:szCs w:val="18"/>
                    </w:rPr>
                  </w:pPr>
                  <w:r w:rsidRPr="00C85B36">
                    <w:rPr>
                      <w:rFonts w:asciiTheme="minorHAnsi" w:hAnsiTheme="minorHAnsi" w:cstheme="minorHAnsi"/>
                      <w:color w:val="000000"/>
                      <w:szCs w:val="18"/>
                    </w:rPr>
                    <w:t>20</w:t>
                  </w:r>
                </w:p>
              </w:tc>
              <w:tc>
                <w:tcPr>
                  <w:tcW w:w="387" w:type="pct"/>
                  <w:tcBorders>
                    <w:top w:val="nil"/>
                    <w:left w:val="nil"/>
                    <w:bottom w:val="nil"/>
                    <w:right w:val="nil"/>
                  </w:tcBorders>
                  <w:shd w:val="clear" w:color="auto" w:fill="auto"/>
                  <w:vAlign w:val="bottom"/>
                </w:tcPr>
                <w:p w14:paraId="79549609" w14:textId="77777777" w:rsidR="00F05DC7" w:rsidRDefault="00F05DC7" w:rsidP="00A3786D">
                  <w:pPr>
                    <w:pStyle w:val="TableBodyText"/>
                    <w:rPr>
                      <w:rFonts w:cs="Arial"/>
                      <w:color w:val="000000"/>
                      <w:szCs w:val="18"/>
                    </w:rPr>
                  </w:pPr>
                  <w:r w:rsidRPr="00C85B36">
                    <w:rPr>
                      <w:rFonts w:asciiTheme="minorHAnsi" w:hAnsiTheme="minorHAnsi" w:cstheme="minorHAnsi"/>
                      <w:color w:val="000000"/>
                      <w:szCs w:val="18"/>
                    </w:rPr>
                    <w:t>43</w:t>
                  </w:r>
                </w:p>
              </w:tc>
            </w:tr>
            <w:tr w:rsidR="00F05DC7" w14:paraId="79549614" w14:textId="77777777" w:rsidTr="002F2180">
              <w:tc>
                <w:tcPr>
                  <w:tcW w:w="1680" w:type="pct"/>
                  <w:shd w:val="pct5" w:color="auto" w:fill="auto"/>
                  <w:vAlign w:val="center"/>
                </w:tcPr>
                <w:p w14:paraId="7954960B" w14:textId="77777777" w:rsidR="00F05DC7" w:rsidRDefault="00F05DC7" w:rsidP="00A3786D">
                  <w:pPr>
                    <w:pStyle w:val="TableBodyText"/>
                    <w:jc w:val="left"/>
                  </w:pPr>
                  <w:r>
                    <w:t xml:space="preserve"> GST ($m)</w:t>
                  </w:r>
                </w:p>
              </w:tc>
              <w:tc>
                <w:tcPr>
                  <w:tcW w:w="403" w:type="pct"/>
                  <w:tcBorders>
                    <w:left w:val="nil"/>
                    <w:bottom w:val="nil"/>
                    <w:right w:val="nil"/>
                  </w:tcBorders>
                  <w:shd w:val="clear" w:color="auto" w:fill="auto"/>
                </w:tcPr>
                <w:p w14:paraId="7954960C" w14:textId="77777777" w:rsidR="00F05DC7" w:rsidRDefault="00F05DC7" w:rsidP="00A3786D">
                  <w:pPr>
                    <w:pStyle w:val="TableBodyText"/>
                    <w:rPr>
                      <w:rFonts w:cs="Arial"/>
                      <w:color w:val="000000"/>
                      <w:szCs w:val="18"/>
                    </w:rPr>
                  </w:pPr>
                  <w:r>
                    <w:noBreakHyphen/>
                    <w:t>16</w:t>
                  </w:r>
                </w:p>
              </w:tc>
              <w:tc>
                <w:tcPr>
                  <w:tcW w:w="459" w:type="pct"/>
                  <w:tcBorders>
                    <w:left w:val="nil"/>
                    <w:bottom w:val="nil"/>
                    <w:right w:val="nil"/>
                  </w:tcBorders>
                  <w:shd w:val="clear" w:color="auto" w:fill="auto"/>
                </w:tcPr>
                <w:p w14:paraId="7954960D" w14:textId="77777777" w:rsidR="00F05DC7" w:rsidRDefault="00F05DC7" w:rsidP="00A3786D">
                  <w:pPr>
                    <w:pStyle w:val="TableBodyText"/>
                    <w:rPr>
                      <w:rFonts w:cs="Arial"/>
                      <w:color w:val="000000"/>
                      <w:szCs w:val="18"/>
                    </w:rPr>
                  </w:pPr>
                  <w:r>
                    <w:noBreakHyphen/>
                  </w:r>
                  <w:r w:rsidRPr="003C4808">
                    <w:t>8</w:t>
                  </w:r>
                  <w:r>
                    <w:t>7</w:t>
                  </w:r>
                </w:p>
              </w:tc>
              <w:tc>
                <w:tcPr>
                  <w:tcW w:w="459" w:type="pct"/>
                  <w:tcBorders>
                    <w:left w:val="nil"/>
                    <w:bottom w:val="nil"/>
                    <w:right w:val="nil"/>
                  </w:tcBorders>
                  <w:shd w:val="clear" w:color="auto" w:fill="auto"/>
                </w:tcPr>
                <w:p w14:paraId="7954960E" w14:textId="77777777" w:rsidR="00F05DC7" w:rsidRDefault="00F05DC7" w:rsidP="00A3786D">
                  <w:pPr>
                    <w:pStyle w:val="TableBodyText"/>
                    <w:rPr>
                      <w:rFonts w:cs="Arial"/>
                      <w:color w:val="000000"/>
                      <w:szCs w:val="18"/>
                    </w:rPr>
                  </w:pPr>
                  <w:r>
                    <w:noBreakHyphen/>
                    <w:t>61</w:t>
                  </w:r>
                </w:p>
              </w:tc>
              <w:tc>
                <w:tcPr>
                  <w:tcW w:w="459" w:type="pct"/>
                  <w:tcBorders>
                    <w:left w:val="nil"/>
                    <w:bottom w:val="nil"/>
                    <w:right w:val="nil"/>
                  </w:tcBorders>
                  <w:shd w:val="clear" w:color="auto" w:fill="auto"/>
                </w:tcPr>
                <w:p w14:paraId="7954960F" w14:textId="77777777" w:rsidR="00F05DC7" w:rsidRDefault="00F05DC7" w:rsidP="00A3786D">
                  <w:pPr>
                    <w:pStyle w:val="TableBodyText"/>
                    <w:rPr>
                      <w:rFonts w:cs="Arial"/>
                      <w:color w:val="000000"/>
                      <w:szCs w:val="18"/>
                    </w:rPr>
                  </w:pPr>
                  <w:r>
                    <w:noBreakHyphen/>
                  </w:r>
                  <w:r w:rsidRPr="003C4808">
                    <w:t>3</w:t>
                  </w:r>
                  <w:r>
                    <w:t>7</w:t>
                  </w:r>
                </w:p>
              </w:tc>
              <w:tc>
                <w:tcPr>
                  <w:tcW w:w="384" w:type="pct"/>
                  <w:tcBorders>
                    <w:left w:val="nil"/>
                    <w:bottom w:val="nil"/>
                    <w:right w:val="nil"/>
                  </w:tcBorders>
                  <w:shd w:val="clear" w:color="auto" w:fill="auto"/>
                </w:tcPr>
                <w:p w14:paraId="79549610" w14:textId="77777777" w:rsidR="00F05DC7" w:rsidRDefault="00F05DC7" w:rsidP="00A3786D">
                  <w:pPr>
                    <w:pStyle w:val="TableBodyText"/>
                    <w:rPr>
                      <w:rFonts w:cs="Arial"/>
                      <w:color w:val="000000"/>
                      <w:szCs w:val="18"/>
                    </w:rPr>
                  </w:pPr>
                  <w:r>
                    <w:noBreakHyphen/>
                    <w:t>30</w:t>
                  </w:r>
                </w:p>
              </w:tc>
              <w:tc>
                <w:tcPr>
                  <w:tcW w:w="385" w:type="pct"/>
                  <w:tcBorders>
                    <w:left w:val="nil"/>
                    <w:bottom w:val="nil"/>
                    <w:right w:val="nil"/>
                  </w:tcBorders>
                  <w:shd w:val="clear" w:color="auto" w:fill="auto"/>
                </w:tcPr>
                <w:p w14:paraId="79549611" w14:textId="77777777" w:rsidR="00F05DC7" w:rsidRDefault="00F05DC7" w:rsidP="00A3786D">
                  <w:pPr>
                    <w:pStyle w:val="TableBodyText"/>
                    <w:rPr>
                      <w:rFonts w:cs="Arial"/>
                      <w:color w:val="000000"/>
                      <w:szCs w:val="18"/>
                    </w:rPr>
                  </w:pPr>
                  <w:r>
                    <w:noBreakHyphen/>
                  </w:r>
                  <w:r w:rsidRPr="003C4808">
                    <w:t>8</w:t>
                  </w:r>
                </w:p>
              </w:tc>
              <w:tc>
                <w:tcPr>
                  <w:tcW w:w="384" w:type="pct"/>
                  <w:tcBorders>
                    <w:left w:val="nil"/>
                    <w:bottom w:val="nil"/>
                    <w:right w:val="nil"/>
                  </w:tcBorders>
                  <w:shd w:val="clear" w:color="auto" w:fill="auto"/>
                </w:tcPr>
                <w:p w14:paraId="79549612" w14:textId="77777777" w:rsidR="00F05DC7" w:rsidRDefault="00F05DC7" w:rsidP="00A3786D">
                  <w:pPr>
                    <w:pStyle w:val="TableBodyText"/>
                    <w:rPr>
                      <w:rFonts w:cs="Arial"/>
                      <w:color w:val="000000"/>
                      <w:szCs w:val="18"/>
                    </w:rPr>
                  </w:pPr>
                  <w:r>
                    <w:noBreakHyphen/>
                  </w:r>
                  <w:r w:rsidRPr="003C4808">
                    <w:t>4</w:t>
                  </w:r>
                </w:p>
              </w:tc>
              <w:tc>
                <w:tcPr>
                  <w:tcW w:w="387" w:type="pct"/>
                  <w:tcBorders>
                    <w:left w:val="nil"/>
                    <w:bottom w:val="nil"/>
                    <w:right w:val="nil"/>
                  </w:tcBorders>
                  <w:shd w:val="clear" w:color="auto" w:fill="auto"/>
                </w:tcPr>
                <w:p w14:paraId="79549613" w14:textId="77777777" w:rsidR="00F05DC7" w:rsidRDefault="00F05DC7" w:rsidP="00A3786D">
                  <w:pPr>
                    <w:pStyle w:val="TableBodyText"/>
                    <w:rPr>
                      <w:rFonts w:cs="Arial"/>
                      <w:color w:val="000000"/>
                      <w:szCs w:val="18"/>
                    </w:rPr>
                  </w:pPr>
                  <w:r>
                    <w:noBreakHyphen/>
                    <w:t>3</w:t>
                  </w:r>
                </w:p>
              </w:tc>
            </w:tr>
            <w:tr w:rsidR="00F05DC7" w14:paraId="7954961E" w14:textId="77777777" w:rsidTr="002F2180">
              <w:tc>
                <w:tcPr>
                  <w:tcW w:w="1680" w:type="pct"/>
                  <w:shd w:val="pct5" w:color="auto" w:fill="auto"/>
                  <w:vAlign w:val="center"/>
                </w:tcPr>
                <w:p w14:paraId="79549615" w14:textId="77777777" w:rsidR="00F05DC7" w:rsidRDefault="00F05DC7" w:rsidP="00A3786D">
                  <w:pPr>
                    <w:pStyle w:val="TableBodyText"/>
                    <w:jc w:val="left"/>
                  </w:pPr>
                  <w:r>
                    <w:t xml:space="preserve"> GST ($pc)</w:t>
                  </w:r>
                </w:p>
              </w:tc>
              <w:tc>
                <w:tcPr>
                  <w:tcW w:w="403" w:type="pct"/>
                  <w:tcBorders>
                    <w:top w:val="nil"/>
                    <w:left w:val="nil"/>
                    <w:bottom w:val="nil"/>
                    <w:right w:val="nil"/>
                  </w:tcBorders>
                  <w:shd w:val="clear" w:color="auto" w:fill="auto"/>
                </w:tcPr>
                <w:p w14:paraId="79549616" w14:textId="77777777" w:rsidR="00F05DC7" w:rsidRDefault="00F05DC7" w:rsidP="00A3786D">
                  <w:pPr>
                    <w:pStyle w:val="TableBodyText"/>
                    <w:rPr>
                      <w:rFonts w:cs="Arial"/>
                      <w:color w:val="000000"/>
                      <w:szCs w:val="18"/>
                    </w:rPr>
                  </w:pPr>
                  <w:r>
                    <w:noBreakHyphen/>
                    <w:t>2</w:t>
                  </w:r>
                </w:p>
              </w:tc>
              <w:tc>
                <w:tcPr>
                  <w:tcW w:w="459" w:type="pct"/>
                  <w:tcBorders>
                    <w:top w:val="nil"/>
                    <w:left w:val="nil"/>
                    <w:bottom w:val="nil"/>
                    <w:right w:val="nil"/>
                  </w:tcBorders>
                  <w:shd w:val="clear" w:color="auto" w:fill="auto"/>
                </w:tcPr>
                <w:p w14:paraId="79549617" w14:textId="77777777" w:rsidR="00F05DC7" w:rsidRDefault="00F05DC7" w:rsidP="00A3786D">
                  <w:pPr>
                    <w:pStyle w:val="TableBodyText"/>
                    <w:rPr>
                      <w:rFonts w:cs="Arial"/>
                      <w:color w:val="000000"/>
                      <w:szCs w:val="18"/>
                    </w:rPr>
                  </w:pPr>
                  <w:r>
                    <w:noBreakHyphen/>
                    <w:t>14</w:t>
                  </w:r>
                </w:p>
              </w:tc>
              <w:tc>
                <w:tcPr>
                  <w:tcW w:w="459" w:type="pct"/>
                  <w:tcBorders>
                    <w:top w:val="nil"/>
                    <w:left w:val="nil"/>
                    <w:bottom w:val="nil"/>
                    <w:right w:val="nil"/>
                  </w:tcBorders>
                  <w:shd w:val="clear" w:color="auto" w:fill="auto"/>
                </w:tcPr>
                <w:p w14:paraId="79549618" w14:textId="77777777" w:rsidR="00F05DC7" w:rsidRDefault="00F05DC7" w:rsidP="00A3786D">
                  <w:pPr>
                    <w:pStyle w:val="TableBodyText"/>
                    <w:rPr>
                      <w:rFonts w:cs="Arial"/>
                      <w:color w:val="000000"/>
                      <w:szCs w:val="18"/>
                    </w:rPr>
                  </w:pPr>
                  <w:r>
                    <w:noBreakHyphen/>
                  </w:r>
                  <w:r w:rsidRPr="003C4808">
                    <w:t>12</w:t>
                  </w:r>
                </w:p>
              </w:tc>
              <w:tc>
                <w:tcPr>
                  <w:tcW w:w="459" w:type="pct"/>
                  <w:tcBorders>
                    <w:top w:val="nil"/>
                    <w:left w:val="nil"/>
                    <w:bottom w:val="nil"/>
                    <w:right w:val="nil"/>
                  </w:tcBorders>
                  <w:shd w:val="clear" w:color="auto" w:fill="auto"/>
                </w:tcPr>
                <w:p w14:paraId="79549619" w14:textId="77777777" w:rsidR="00F05DC7" w:rsidRDefault="00F05DC7" w:rsidP="00A3786D">
                  <w:pPr>
                    <w:pStyle w:val="TableBodyText"/>
                    <w:rPr>
                      <w:rFonts w:cs="Arial"/>
                      <w:color w:val="000000"/>
                      <w:szCs w:val="18"/>
                    </w:rPr>
                  </w:pPr>
                  <w:r>
                    <w:noBreakHyphen/>
                  </w:r>
                  <w:r w:rsidRPr="003C4808">
                    <w:t>14</w:t>
                  </w:r>
                </w:p>
              </w:tc>
              <w:tc>
                <w:tcPr>
                  <w:tcW w:w="384" w:type="pct"/>
                  <w:tcBorders>
                    <w:top w:val="nil"/>
                    <w:left w:val="nil"/>
                    <w:bottom w:val="nil"/>
                    <w:right w:val="nil"/>
                  </w:tcBorders>
                  <w:shd w:val="clear" w:color="auto" w:fill="auto"/>
                </w:tcPr>
                <w:p w14:paraId="7954961A" w14:textId="77777777" w:rsidR="00F05DC7" w:rsidRDefault="00F05DC7" w:rsidP="00A3786D">
                  <w:pPr>
                    <w:pStyle w:val="TableBodyText"/>
                    <w:rPr>
                      <w:rFonts w:cs="Arial"/>
                      <w:color w:val="000000"/>
                      <w:szCs w:val="18"/>
                    </w:rPr>
                  </w:pPr>
                  <w:r>
                    <w:noBreakHyphen/>
                  </w:r>
                  <w:r w:rsidRPr="003C4808">
                    <w:t>17</w:t>
                  </w:r>
                </w:p>
              </w:tc>
              <w:tc>
                <w:tcPr>
                  <w:tcW w:w="385" w:type="pct"/>
                  <w:tcBorders>
                    <w:top w:val="nil"/>
                    <w:left w:val="nil"/>
                    <w:bottom w:val="nil"/>
                    <w:right w:val="nil"/>
                  </w:tcBorders>
                  <w:shd w:val="clear" w:color="auto" w:fill="auto"/>
                </w:tcPr>
                <w:p w14:paraId="7954961B" w14:textId="77777777" w:rsidR="00F05DC7" w:rsidRDefault="00F05DC7" w:rsidP="00A3786D">
                  <w:pPr>
                    <w:pStyle w:val="TableBodyText"/>
                    <w:rPr>
                      <w:rFonts w:cs="Arial"/>
                      <w:color w:val="000000"/>
                      <w:szCs w:val="18"/>
                    </w:rPr>
                  </w:pPr>
                  <w:r>
                    <w:noBreakHyphen/>
                  </w:r>
                  <w:r w:rsidRPr="003C4808">
                    <w:t>15</w:t>
                  </w:r>
                </w:p>
              </w:tc>
              <w:tc>
                <w:tcPr>
                  <w:tcW w:w="384" w:type="pct"/>
                  <w:tcBorders>
                    <w:top w:val="nil"/>
                    <w:left w:val="nil"/>
                    <w:bottom w:val="nil"/>
                    <w:right w:val="nil"/>
                  </w:tcBorders>
                  <w:shd w:val="clear" w:color="auto" w:fill="auto"/>
                </w:tcPr>
                <w:p w14:paraId="7954961C" w14:textId="77777777" w:rsidR="00F05DC7" w:rsidRDefault="00F05DC7" w:rsidP="00A3786D">
                  <w:pPr>
                    <w:pStyle w:val="TableBodyText"/>
                    <w:rPr>
                      <w:rFonts w:cs="Arial"/>
                      <w:color w:val="000000"/>
                      <w:szCs w:val="18"/>
                    </w:rPr>
                  </w:pPr>
                  <w:r>
                    <w:noBreakHyphen/>
                    <w:t>9</w:t>
                  </w:r>
                </w:p>
              </w:tc>
              <w:tc>
                <w:tcPr>
                  <w:tcW w:w="387" w:type="pct"/>
                  <w:tcBorders>
                    <w:top w:val="nil"/>
                    <w:left w:val="nil"/>
                    <w:bottom w:val="nil"/>
                    <w:right w:val="nil"/>
                  </w:tcBorders>
                  <w:shd w:val="clear" w:color="auto" w:fill="auto"/>
                </w:tcPr>
                <w:p w14:paraId="7954961D" w14:textId="77777777" w:rsidR="00F05DC7" w:rsidRDefault="00F05DC7" w:rsidP="00A3786D">
                  <w:pPr>
                    <w:pStyle w:val="TableBodyText"/>
                    <w:rPr>
                      <w:rFonts w:cs="Arial"/>
                      <w:color w:val="000000"/>
                      <w:szCs w:val="18"/>
                    </w:rPr>
                  </w:pPr>
                  <w:r>
                    <w:noBreakHyphen/>
                    <w:t>11</w:t>
                  </w:r>
                </w:p>
              </w:tc>
            </w:tr>
            <w:tr w:rsidR="00F05DC7" w14:paraId="79549628" w14:textId="77777777" w:rsidTr="002F2180">
              <w:tc>
                <w:tcPr>
                  <w:tcW w:w="1680" w:type="pct"/>
                  <w:tcBorders>
                    <w:bottom w:val="single" w:sz="6" w:space="0" w:color="D9D9D9" w:themeColor="background1" w:themeShade="D9"/>
                  </w:tcBorders>
                  <w:shd w:val="pct5" w:color="auto" w:fill="auto"/>
                  <w:vAlign w:val="center"/>
                </w:tcPr>
                <w:p w14:paraId="7954961F" w14:textId="77777777" w:rsidR="00F05DC7" w:rsidRDefault="00F05DC7" w:rsidP="00A3786D">
                  <w:pPr>
                    <w:pStyle w:val="TableBodyText"/>
                    <w:jc w:val="left"/>
                  </w:pPr>
                  <w:r>
                    <w:t>New GST relativity</w:t>
                  </w:r>
                </w:p>
              </w:tc>
              <w:tc>
                <w:tcPr>
                  <w:tcW w:w="403" w:type="pct"/>
                  <w:tcBorders>
                    <w:top w:val="nil"/>
                    <w:left w:val="nil"/>
                    <w:bottom w:val="single" w:sz="6" w:space="0" w:color="D9D9D9" w:themeColor="background1" w:themeShade="D9"/>
                    <w:right w:val="nil"/>
                  </w:tcBorders>
                  <w:shd w:val="clear" w:color="auto" w:fill="auto"/>
                </w:tcPr>
                <w:p w14:paraId="79549620" w14:textId="77777777" w:rsidR="00F05DC7" w:rsidRPr="00E879BC" w:rsidRDefault="00F05DC7" w:rsidP="00A3786D">
                  <w:pPr>
                    <w:pStyle w:val="TableBodyText"/>
                  </w:pPr>
                  <w:r w:rsidRPr="003C4808">
                    <w:t>0.8</w:t>
                  </w:r>
                  <w:r>
                    <w:t>4</w:t>
                  </w:r>
                </w:p>
              </w:tc>
              <w:tc>
                <w:tcPr>
                  <w:tcW w:w="459" w:type="pct"/>
                  <w:tcBorders>
                    <w:top w:val="nil"/>
                    <w:left w:val="nil"/>
                    <w:bottom w:val="single" w:sz="6" w:space="0" w:color="D9D9D9" w:themeColor="background1" w:themeShade="D9"/>
                    <w:right w:val="nil"/>
                  </w:tcBorders>
                  <w:shd w:val="clear" w:color="auto" w:fill="auto"/>
                </w:tcPr>
                <w:p w14:paraId="79549621" w14:textId="77777777" w:rsidR="00F05DC7" w:rsidRPr="00E879BC" w:rsidRDefault="00F05DC7" w:rsidP="00A3786D">
                  <w:pPr>
                    <w:pStyle w:val="TableBodyText"/>
                  </w:pPr>
                  <w:r>
                    <w:t>1.01</w:t>
                  </w:r>
                </w:p>
              </w:tc>
              <w:tc>
                <w:tcPr>
                  <w:tcW w:w="459" w:type="pct"/>
                  <w:tcBorders>
                    <w:top w:val="nil"/>
                    <w:left w:val="nil"/>
                    <w:bottom w:val="single" w:sz="6" w:space="0" w:color="D9D9D9" w:themeColor="background1" w:themeShade="D9"/>
                    <w:right w:val="nil"/>
                  </w:tcBorders>
                  <w:shd w:val="clear" w:color="auto" w:fill="auto"/>
                </w:tcPr>
                <w:p w14:paraId="79549622" w14:textId="77777777" w:rsidR="00F05DC7" w:rsidRPr="00E879BC" w:rsidRDefault="00F05DC7" w:rsidP="00A3786D">
                  <w:pPr>
                    <w:pStyle w:val="TableBodyText"/>
                  </w:pPr>
                  <w:r>
                    <w:t>1.03</w:t>
                  </w:r>
                </w:p>
              </w:tc>
              <w:tc>
                <w:tcPr>
                  <w:tcW w:w="459" w:type="pct"/>
                  <w:tcBorders>
                    <w:top w:val="nil"/>
                    <w:left w:val="nil"/>
                    <w:bottom w:val="single" w:sz="6" w:space="0" w:color="D9D9D9" w:themeColor="background1" w:themeShade="D9"/>
                    <w:right w:val="nil"/>
                  </w:tcBorders>
                  <w:shd w:val="clear" w:color="auto" w:fill="auto"/>
                </w:tcPr>
                <w:p w14:paraId="79549623" w14:textId="77777777" w:rsidR="00F05DC7" w:rsidRPr="00E879BC" w:rsidRDefault="00F05DC7" w:rsidP="00A3786D">
                  <w:pPr>
                    <w:pStyle w:val="TableBodyText"/>
                  </w:pPr>
                  <w:r w:rsidRPr="003C4808">
                    <w:t>0.5</w:t>
                  </w:r>
                  <w:r>
                    <w:t>7</w:t>
                  </w:r>
                </w:p>
              </w:tc>
              <w:tc>
                <w:tcPr>
                  <w:tcW w:w="384" w:type="pct"/>
                  <w:tcBorders>
                    <w:top w:val="nil"/>
                    <w:left w:val="nil"/>
                    <w:bottom w:val="single" w:sz="6" w:space="0" w:color="D9D9D9" w:themeColor="background1" w:themeShade="D9"/>
                    <w:right w:val="nil"/>
                  </w:tcBorders>
                  <w:shd w:val="clear" w:color="auto" w:fill="auto"/>
                </w:tcPr>
                <w:p w14:paraId="79549624" w14:textId="77777777" w:rsidR="00F05DC7" w:rsidRPr="00E879BC" w:rsidRDefault="00F05DC7" w:rsidP="00A3786D">
                  <w:pPr>
                    <w:pStyle w:val="TableBodyText"/>
                  </w:pPr>
                  <w:r>
                    <w:t>1.52</w:t>
                  </w:r>
                </w:p>
              </w:tc>
              <w:tc>
                <w:tcPr>
                  <w:tcW w:w="385" w:type="pct"/>
                  <w:tcBorders>
                    <w:top w:val="nil"/>
                    <w:left w:val="nil"/>
                    <w:bottom w:val="single" w:sz="6" w:space="0" w:color="D9D9D9" w:themeColor="background1" w:themeShade="D9"/>
                    <w:right w:val="nil"/>
                  </w:tcBorders>
                  <w:shd w:val="clear" w:color="auto" w:fill="auto"/>
                </w:tcPr>
                <w:p w14:paraId="79549625" w14:textId="77777777" w:rsidR="00F05DC7" w:rsidRPr="00E879BC" w:rsidRDefault="00F05DC7" w:rsidP="00A3786D">
                  <w:pPr>
                    <w:pStyle w:val="TableBodyText"/>
                  </w:pPr>
                  <w:r>
                    <w:t>1.71</w:t>
                  </w:r>
                </w:p>
              </w:tc>
              <w:tc>
                <w:tcPr>
                  <w:tcW w:w="384" w:type="pct"/>
                  <w:tcBorders>
                    <w:top w:val="nil"/>
                    <w:left w:val="nil"/>
                    <w:bottom w:val="single" w:sz="6" w:space="0" w:color="D9D9D9" w:themeColor="background1" w:themeShade="D9"/>
                    <w:right w:val="nil"/>
                  </w:tcBorders>
                  <w:shd w:val="clear" w:color="auto" w:fill="auto"/>
                </w:tcPr>
                <w:p w14:paraId="79549626" w14:textId="77777777" w:rsidR="00F05DC7" w:rsidRPr="00E879BC" w:rsidRDefault="00F05DC7" w:rsidP="00A3786D">
                  <w:pPr>
                    <w:pStyle w:val="TableBodyText"/>
                  </w:pPr>
                  <w:r>
                    <w:t>1.21</w:t>
                  </w:r>
                </w:p>
              </w:tc>
              <w:tc>
                <w:tcPr>
                  <w:tcW w:w="387" w:type="pct"/>
                  <w:tcBorders>
                    <w:top w:val="nil"/>
                    <w:left w:val="nil"/>
                    <w:bottom w:val="single" w:sz="6" w:space="0" w:color="D9D9D9" w:themeColor="background1" w:themeShade="D9"/>
                    <w:right w:val="nil"/>
                  </w:tcBorders>
                  <w:shd w:val="clear" w:color="auto" w:fill="auto"/>
                </w:tcPr>
                <w:p w14:paraId="79549627" w14:textId="77777777" w:rsidR="00F05DC7" w:rsidRPr="00496B73" w:rsidRDefault="00F05DC7" w:rsidP="00A3786D">
                  <w:pPr>
                    <w:pStyle w:val="TableBodyText"/>
                  </w:pPr>
                  <w:r w:rsidRPr="003C4808">
                    <w:t>4.</w:t>
                  </w:r>
                  <w:r>
                    <w:t>18</w:t>
                  </w:r>
                </w:p>
              </w:tc>
            </w:tr>
            <w:tr w:rsidR="00F05DC7" w14:paraId="7954962A" w14:textId="77777777" w:rsidTr="00A3786D">
              <w:tc>
                <w:tcPr>
                  <w:tcW w:w="5000" w:type="pct"/>
                  <w:gridSpan w:val="9"/>
                  <w:vAlign w:val="center"/>
                </w:tcPr>
                <w:p w14:paraId="79549629" w14:textId="77777777" w:rsidR="00F05DC7" w:rsidRPr="00786D2B" w:rsidRDefault="00F05DC7" w:rsidP="00A3786D">
                  <w:pPr>
                    <w:pStyle w:val="TableBodyText"/>
                    <w:spacing w:before="80" w:after="80"/>
                    <w:jc w:val="left"/>
                    <w:rPr>
                      <w:rStyle w:val="NoteLabel"/>
                    </w:rPr>
                  </w:pPr>
                  <w:r w:rsidRPr="00994633">
                    <w:rPr>
                      <w:b/>
                    </w:rPr>
                    <w:t xml:space="preserve">Cameo </w:t>
                  </w:r>
                  <w:r>
                    <w:rPr>
                      <w:b/>
                    </w:rPr>
                    <w:t>3</w:t>
                  </w:r>
                  <w:r w:rsidRPr="00994633">
                    <w:rPr>
                      <w:b/>
                    </w:rPr>
                    <w:t xml:space="preserve">: </w:t>
                  </w:r>
                  <w:r>
                    <w:rPr>
                      <w:b/>
                    </w:rPr>
                    <w:t>New congestion tax introduced and hypothecated to public transport</w:t>
                  </w:r>
                </w:p>
              </w:tc>
            </w:tr>
            <w:tr w:rsidR="00F05DC7" w14:paraId="79549634" w14:textId="77777777" w:rsidTr="002F2180">
              <w:tc>
                <w:tcPr>
                  <w:tcW w:w="1680" w:type="pct"/>
                  <w:vAlign w:val="center"/>
                </w:tcPr>
                <w:p w14:paraId="7954962B" w14:textId="77777777" w:rsidR="00F05DC7" w:rsidRDefault="00F05DC7" w:rsidP="00A3786D">
                  <w:pPr>
                    <w:pStyle w:val="TableBodyText"/>
                    <w:jc w:val="left"/>
                  </w:pPr>
                  <w:r>
                    <w:t>Congestion tax revenue ($m)</w:t>
                  </w:r>
                </w:p>
              </w:tc>
              <w:tc>
                <w:tcPr>
                  <w:tcW w:w="403" w:type="pct"/>
                  <w:tcBorders>
                    <w:top w:val="nil"/>
                    <w:left w:val="nil"/>
                    <w:bottom w:val="nil"/>
                    <w:right w:val="nil"/>
                  </w:tcBorders>
                  <w:shd w:val="clear" w:color="auto" w:fill="auto"/>
                  <w:vAlign w:val="bottom"/>
                </w:tcPr>
                <w:p w14:paraId="7954962C" w14:textId="77777777" w:rsidR="00F05DC7" w:rsidRDefault="00F05DC7" w:rsidP="00A3786D">
                  <w:pPr>
                    <w:pStyle w:val="TableBodyText"/>
                  </w:pPr>
                  <w:r w:rsidRPr="00BB789C">
                    <w:rPr>
                      <w:rFonts w:cs="Arial"/>
                      <w:color w:val="000000"/>
                      <w:szCs w:val="18"/>
                    </w:rPr>
                    <w:t>1</w:t>
                  </w:r>
                  <w:r>
                    <w:rPr>
                      <w:rFonts w:cs="Arial"/>
                      <w:color w:val="000000"/>
                      <w:szCs w:val="18"/>
                    </w:rPr>
                    <w:t xml:space="preserve"> </w:t>
                  </w:r>
                  <w:r w:rsidRPr="00BB789C">
                    <w:rPr>
                      <w:rFonts w:cs="Arial"/>
                      <w:color w:val="000000"/>
                      <w:szCs w:val="18"/>
                    </w:rPr>
                    <w:t>560</w:t>
                  </w:r>
                </w:p>
              </w:tc>
              <w:tc>
                <w:tcPr>
                  <w:tcW w:w="459" w:type="pct"/>
                  <w:tcBorders>
                    <w:top w:val="nil"/>
                    <w:left w:val="nil"/>
                    <w:bottom w:val="nil"/>
                    <w:right w:val="nil"/>
                  </w:tcBorders>
                  <w:shd w:val="clear" w:color="auto" w:fill="auto"/>
                  <w:vAlign w:val="bottom"/>
                </w:tcPr>
                <w:p w14:paraId="7954962D" w14:textId="77777777" w:rsidR="00F05DC7" w:rsidRDefault="00F05DC7" w:rsidP="00A3786D">
                  <w:pPr>
                    <w:pStyle w:val="TableBodyText"/>
                  </w:pPr>
                  <w:r w:rsidRPr="00BB789C">
                    <w:rPr>
                      <w:rFonts w:cs="Arial"/>
                      <w:color w:val="000000"/>
                      <w:szCs w:val="18"/>
                    </w:rPr>
                    <w:t>1</w:t>
                  </w:r>
                  <w:r>
                    <w:rPr>
                      <w:rFonts w:cs="Arial"/>
                      <w:color w:val="000000"/>
                      <w:szCs w:val="18"/>
                    </w:rPr>
                    <w:t xml:space="preserve"> </w:t>
                  </w:r>
                  <w:r w:rsidRPr="00BB789C">
                    <w:rPr>
                      <w:rFonts w:cs="Arial"/>
                      <w:color w:val="000000"/>
                      <w:szCs w:val="18"/>
                    </w:rPr>
                    <w:t>249</w:t>
                  </w:r>
                </w:p>
              </w:tc>
              <w:tc>
                <w:tcPr>
                  <w:tcW w:w="459" w:type="pct"/>
                  <w:tcBorders>
                    <w:top w:val="nil"/>
                    <w:left w:val="nil"/>
                    <w:bottom w:val="nil"/>
                    <w:right w:val="nil"/>
                  </w:tcBorders>
                  <w:shd w:val="clear" w:color="auto" w:fill="auto"/>
                  <w:vAlign w:val="bottom"/>
                </w:tcPr>
                <w:p w14:paraId="7954962E" w14:textId="77777777" w:rsidR="00F05DC7" w:rsidRDefault="00F05DC7" w:rsidP="00A3786D">
                  <w:pPr>
                    <w:pStyle w:val="TableBodyText"/>
                  </w:pPr>
                  <w:r w:rsidRPr="00BB789C">
                    <w:rPr>
                      <w:rFonts w:cs="Arial"/>
                      <w:color w:val="000000"/>
                      <w:szCs w:val="18"/>
                    </w:rPr>
                    <w:t>977</w:t>
                  </w:r>
                </w:p>
              </w:tc>
              <w:tc>
                <w:tcPr>
                  <w:tcW w:w="459" w:type="pct"/>
                  <w:tcBorders>
                    <w:top w:val="nil"/>
                    <w:left w:val="nil"/>
                    <w:bottom w:val="nil"/>
                    <w:right w:val="nil"/>
                  </w:tcBorders>
                  <w:shd w:val="clear" w:color="auto" w:fill="auto"/>
                  <w:vAlign w:val="bottom"/>
                </w:tcPr>
                <w:p w14:paraId="7954962F" w14:textId="77777777" w:rsidR="00F05DC7" w:rsidRDefault="00F05DC7" w:rsidP="00A3786D">
                  <w:pPr>
                    <w:pStyle w:val="TableBodyText"/>
                  </w:pPr>
                  <w:r w:rsidRPr="00BB789C">
                    <w:rPr>
                      <w:rFonts w:cs="Arial"/>
                      <w:color w:val="000000"/>
                      <w:szCs w:val="18"/>
                    </w:rPr>
                    <w:t>514</w:t>
                  </w:r>
                </w:p>
              </w:tc>
              <w:tc>
                <w:tcPr>
                  <w:tcW w:w="384" w:type="pct"/>
                  <w:tcBorders>
                    <w:top w:val="nil"/>
                    <w:left w:val="nil"/>
                    <w:bottom w:val="nil"/>
                    <w:right w:val="nil"/>
                  </w:tcBorders>
                  <w:shd w:val="clear" w:color="auto" w:fill="auto"/>
                  <w:vAlign w:val="bottom"/>
                </w:tcPr>
                <w:p w14:paraId="79549630" w14:textId="77777777" w:rsidR="00F05DC7" w:rsidRDefault="00F05DC7" w:rsidP="00A3786D">
                  <w:pPr>
                    <w:pStyle w:val="TableBodyText"/>
                  </w:pPr>
                  <w:r w:rsidRPr="00BB789C">
                    <w:rPr>
                      <w:rFonts w:cs="Arial"/>
                      <w:color w:val="000000"/>
                      <w:szCs w:val="18"/>
                    </w:rPr>
                    <w:t>343</w:t>
                  </w:r>
                </w:p>
              </w:tc>
              <w:tc>
                <w:tcPr>
                  <w:tcW w:w="385" w:type="pct"/>
                  <w:tcBorders>
                    <w:top w:val="nil"/>
                    <w:left w:val="nil"/>
                    <w:bottom w:val="nil"/>
                    <w:right w:val="nil"/>
                  </w:tcBorders>
                  <w:shd w:val="clear" w:color="auto" w:fill="auto"/>
                  <w:vAlign w:val="bottom"/>
                </w:tcPr>
                <w:p w14:paraId="79549631" w14:textId="77777777" w:rsidR="00F05DC7" w:rsidRDefault="00F05DC7" w:rsidP="00A3786D">
                  <w:pPr>
                    <w:pStyle w:val="TableBodyText"/>
                  </w:pPr>
                  <w:r w:rsidRPr="00BB789C">
                    <w:rPr>
                      <w:rFonts w:cs="Arial"/>
                      <w:color w:val="000000"/>
                      <w:szCs w:val="18"/>
                    </w:rPr>
                    <w:t>104</w:t>
                  </w:r>
                </w:p>
              </w:tc>
              <w:tc>
                <w:tcPr>
                  <w:tcW w:w="384" w:type="pct"/>
                  <w:tcBorders>
                    <w:top w:val="nil"/>
                    <w:left w:val="nil"/>
                    <w:bottom w:val="nil"/>
                    <w:right w:val="nil"/>
                  </w:tcBorders>
                  <w:shd w:val="clear" w:color="auto" w:fill="auto"/>
                  <w:vAlign w:val="bottom"/>
                </w:tcPr>
                <w:p w14:paraId="79549632" w14:textId="77777777" w:rsidR="00F05DC7" w:rsidRDefault="00F05DC7" w:rsidP="00A3786D">
                  <w:pPr>
                    <w:pStyle w:val="TableBodyText"/>
                  </w:pPr>
                  <w:r w:rsidRPr="00BB789C">
                    <w:rPr>
                      <w:rFonts w:cs="Arial"/>
                      <w:color w:val="000000"/>
                      <w:szCs w:val="18"/>
                    </w:rPr>
                    <w:t>81</w:t>
                  </w:r>
                </w:p>
              </w:tc>
              <w:tc>
                <w:tcPr>
                  <w:tcW w:w="387" w:type="pct"/>
                  <w:tcBorders>
                    <w:top w:val="nil"/>
                    <w:left w:val="nil"/>
                    <w:bottom w:val="nil"/>
                    <w:right w:val="nil"/>
                  </w:tcBorders>
                  <w:shd w:val="clear" w:color="auto" w:fill="auto"/>
                  <w:vAlign w:val="bottom"/>
                </w:tcPr>
                <w:p w14:paraId="79549633" w14:textId="77777777" w:rsidR="00F05DC7" w:rsidRPr="00476E7F" w:rsidRDefault="00F05DC7" w:rsidP="00A3786D">
                  <w:pPr>
                    <w:pStyle w:val="TableBodyText"/>
                    <w:rPr>
                      <w:i/>
                    </w:rPr>
                  </w:pPr>
                  <w:r w:rsidRPr="00BB789C">
                    <w:rPr>
                      <w:rFonts w:cs="Arial"/>
                      <w:color w:val="000000"/>
                      <w:szCs w:val="18"/>
                    </w:rPr>
                    <w:t>49</w:t>
                  </w:r>
                </w:p>
              </w:tc>
            </w:tr>
            <w:tr w:rsidR="00F05DC7" w14:paraId="7954963E" w14:textId="77777777" w:rsidTr="002F2180">
              <w:tc>
                <w:tcPr>
                  <w:tcW w:w="1680" w:type="pct"/>
                  <w:shd w:val="pct5" w:color="auto" w:fill="auto"/>
                  <w:vAlign w:val="center"/>
                </w:tcPr>
                <w:p w14:paraId="79549635" w14:textId="77777777" w:rsidR="00F05DC7" w:rsidRDefault="00F05DC7" w:rsidP="00A3786D">
                  <w:pPr>
                    <w:pStyle w:val="TableBodyText"/>
                    <w:jc w:val="left"/>
                  </w:pPr>
                  <w:r>
                    <w:t>Change in GST payments ($m)</w:t>
                  </w:r>
                </w:p>
              </w:tc>
              <w:tc>
                <w:tcPr>
                  <w:tcW w:w="403" w:type="pct"/>
                  <w:tcBorders>
                    <w:top w:val="nil"/>
                    <w:left w:val="nil"/>
                    <w:bottom w:val="nil"/>
                    <w:right w:val="nil"/>
                  </w:tcBorders>
                  <w:shd w:val="clear" w:color="auto" w:fill="auto"/>
                  <w:vAlign w:val="bottom"/>
                </w:tcPr>
                <w:p w14:paraId="79549636" w14:textId="77777777" w:rsidR="00F05DC7" w:rsidRDefault="00F05DC7" w:rsidP="00A3786D">
                  <w:pPr>
                    <w:pStyle w:val="TableBodyText"/>
                  </w:pPr>
                  <w:r w:rsidRPr="00CA72B3">
                    <w:rPr>
                      <w:rFonts w:asciiTheme="minorHAnsi" w:hAnsiTheme="minorHAnsi" w:cstheme="minorHAnsi"/>
                      <w:color w:val="000000"/>
                      <w:szCs w:val="18"/>
                    </w:rPr>
                    <w:t>73</w:t>
                  </w:r>
                </w:p>
              </w:tc>
              <w:tc>
                <w:tcPr>
                  <w:tcW w:w="459" w:type="pct"/>
                  <w:tcBorders>
                    <w:top w:val="nil"/>
                    <w:left w:val="nil"/>
                    <w:bottom w:val="nil"/>
                    <w:right w:val="nil"/>
                  </w:tcBorders>
                  <w:shd w:val="clear" w:color="auto" w:fill="auto"/>
                  <w:vAlign w:val="bottom"/>
                </w:tcPr>
                <w:p w14:paraId="79549637" w14:textId="77777777" w:rsidR="00F05DC7" w:rsidRDefault="00F05DC7" w:rsidP="00A3786D">
                  <w:pPr>
                    <w:pStyle w:val="TableBodyText"/>
                  </w:pPr>
                  <w:r w:rsidRPr="00CA72B3">
                    <w:rPr>
                      <w:rFonts w:asciiTheme="minorHAnsi" w:hAnsiTheme="minorHAnsi" w:cstheme="minorHAnsi"/>
                      <w:color w:val="000000"/>
                      <w:szCs w:val="18"/>
                    </w:rPr>
                    <w:t>19</w:t>
                  </w:r>
                </w:p>
              </w:tc>
              <w:tc>
                <w:tcPr>
                  <w:tcW w:w="459" w:type="pct"/>
                  <w:tcBorders>
                    <w:top w:val="nil"/>
                    <w:left w:val="nil"/>
                    <w:bottom w:val="nil"/>
                    <w:right w:val="nil"/>
                  </w:tcBorders>
                  <w:shd w:val="clear" w:color="auto" w:fill="auto"/>
                  <w:vAlign w:val="bottom"/>
                </w:tcPr>
                <w:p w14:paraId="79549638" w14:textId="77777777" w:rsidR="00F05DC7" w:rsidRDefault="00F05DC7" w:rsidP="00A3786D">
                  <w:pPr>
                    <w:pStyle w:val="TableBodyText"/>
                  </w:pPr>
                  <w:r>
                    <w:rPr>
                      <w:rFonts w:asciiTheme="minorHAnsi" w:hAnsiTheme="minorHAnsi" w:cstheme="minorHAnsi"/>
                      <w:color w:val="000000"/>
                      <w:szCs w:val="18"/>
                    </w:rPr>
                    <w:noBreakHyphen/>
                  </w:r>
                  <w:r w:rsidRPr="00CA72B3">
                    <w:rPr>
                      <w:rFonts w:asciiTheme="minorHAnsi" w:hAnsiTheme="minorHAnsi" w:cstheme="minorHAnsi"/>
                      <w:color w:val="000000"/>
                      <w:szCs w:val="18"/>
                    </w:rPr>
                    <w:t>36</w:t>
                  </w:r>
                </w:p>
              </w:tc>
              <w:tc>
                <w:tcPr>
                  <w:tcW w:w="459" w:type="pct"/>
                  <w:tcBorders>
                    <w:top w:val="nil"/>
                    <w:left w:val="nil"/>
                    <w:bottom w:val="nil"/>
                    <w:right w:val="nil"/>
                  </w:tcBorders>
                  <w:shd w:val="clear" w:color="auto" w:fill="auto"/>
                  <w:vAlign w:val="bottom"/>
                </w:tcPr>
                <w:p w14:paraId="79549639" w14:textId="77777777" w:rsidR="00F05DC7" w:rsidRDefault="00F05DC7" w:rsidP="00A3786D">
                  <w:pPr>
                    <w:pStyle w:val="TableBodyText"/>
                  </w:pPr>
                  <w:r w:rsidRPr="00CA72B3">
                    <w:rPr>
                      <w:rFonts w:asciiTheme="minorHAnsi" w:hAnsiTheme="minorHAnsi" w:cstheme="minorHAnsi"/>
                      <w:color w:val="000000"/>
                      <w:szCs w:val="18"/>
                    </w:rPr>
                    <w:t>2</w:t>
                  </w:r>
                </w:p>
              </w:tc>
              <w:tc>
                <w:tcPr>
                  <w:tcW w:w="384" w:type="pct"/>
                  <w:tcBorders>
                    <w:top w:val="nil"/>
                    <w:left w:val="nil"/>
                    <w:bottom w:val="nil"/>
                    <w:right w:val="nil"/>
                  </w:tcBorders>
                  <w:shd w:val="clear" w:color="auto" w:fill="auto"/>
                  <w:vAlign w:val="bottom"/>
                </w:tcPr>
                <w:p w14:paraId="7954963A" w14:textId="77777777" w:rsidR="00F05DC7" w:rsidRDefault="00F05DC7" w:rsidP="00A3786D">
                  <w:pPr>
                    <w:pStyle w:val="TableBodyText"/>
                  </w:pPr>
                  <w:r>
                    <w:rPr>
                      <w:rFonts w:asciiTheme="minorHAnsi" w:hAnsiTheme="minorHAnsi" w:cstheme="minorHAnsi"/>
                      <w:color w:val="000000"/>
                      <w:szCs w:val="18"/>
                    </w:rPr>
                    <w:noBreakHyphen/>
                  </w:r>
                  <w:r w:rsidRPr="00CA72B3">
                    <w:rPr>
                      <w:rFonts w:asciiTheme="minorHAnsi" w:hAnsiTheme="minorHAnsi" w:cstheme="minorHAnsi"/>
                      <w:color w:val="000000"/>
                      <w:szCs w:val="18"/>
                    </w:rPr>
                    <w:t>3</w:t>
                  </w:r>
                </w:p>
              </w:tc>
              <w:tc>
                <w:tcPr>
                  <w:tcW w:w="385" w:type="pct"/>
                  <w:tcBorders>
                    <w:top w:val="nil"/>
                    <w:left w:val="nil"/>
                    <w:bottom w:val="nil"/>
                    <w:right w:val="nil"/>
                  </w:tcBorders>
                  <w:shd w:val="clear" w:color="auto" w:fill="auto"/>
                  <w:vAlign w:val="bottom"/>
                </w:tcPr>
                <w:p w14:paraId="7954963B" w14:textId="77777777" w:rsidR="00F05DC7" w:rsidRDefault="00F05DC7" w:rsidP="00A3786D">
                  <w:pPr>
                    <w:pStyle w:val="TableBodyText"/>
                  </w:pPr>
                  <w:r>
                    <w:rPr>
                      <w:rFonts w:asciiTheme="minorHAnsi" w:hAnsiTheme="minorHAnsi" w:cstheme="minorHAnsi"/>
                      <w:color w:val="000000"/>
                      <w:szCs w:val="18"/>
                    </w:rPr>
                    <w:noBreakHyphen/>
                  </w:r>
                  <w:r w:rsidRPr="00CA72B3">
                    <w:rPr>
                      <w:rFonts w:asciiTheme="minorHAnsi" w:hAnsiTheme="minorHAnsi" w:cstheme="minorHAnsi"/>
                      <w:color w:val="000000"/>
                      <w:szCs w:val="18"/>
                    </w:rPr>
                    <w:t>2</w:t>
                  </w:r>
                </w:p>
              </w:tc>
              <w:tc>
                <w:tcPr>
                  <w:tcW w:w="384" w:type="pct"/>
                  <w:tcBorders>
                    <w:top w:val="nil"/>
                    <w:left w:val="nil"/>
                    <w:bottom w:val="nil"/>
                    <w:right w:val="nil"/>
                  </w:tcBorders>
                  <w:shd w:val="clear" w:color="auto" w:fill="auto"/>
                  <w:vAlign w:val="bottom"/>
                </w:tcPr>
                <w:p w14:paraId="7954963C" w14:textId="77777777" w:rsidR="00F05DC7" w:rsidRDefault="00F05DC7" w:rsidP="00A3786D">
                  <w:pPr>
                    <w:pStyle w:val="TableBodyText"/>
                  </w:pPr>
                  <w:r w:rsidRPr="00CA72B3">
                    <w:rPr>
                      <w:rFonts w:asciiTheme="minorHAnsi" w:hAnsiTheme="minorHAnsi" w:cstheme="minorHAnsi"/>
                      <w:color w:val="000000"/>
                      <w:szCs w:val="18"/>
                    </w:rPr>
                    <w:t>0</w:t>
                  </w:r>
                </w:p>
              </w:tc>
              <w:tc>
                <w:tcPr>
                  <w:tcW w:w="387" w:type="pct"/>
                  <w:tcBorders>
                    <w:top w:val="nil"/>
                    <w:left w:val="nil"/>
                    <w:bottom w:val="nil"/>
                    <w:right w:val="nil"/>
                  </w:tcBorders>
                  <w:shd w:val="clear" w:color="auto" w:fill="auto"/>
                  <w:vAlign w:val="bottom"/>
                </w:tcPr>
                <w:p w14:paraId="7954963D" w14:textId="77777777" w:rsidR="00F05DC7" w:rsidRPr="00E7460D" w:rsidRDefault="00F05DC7" w:rsidP="00A3786D">
                  <w:pPr>
                    <w:pStyle w:val="TableBodyText"/>
                    <w:rPr>
                      <w:i/>
                    </w:rPr>
                  </w:pPr>
                  <w:r w:rsidRPr="00CA72B3">
                    <w:rPr>
                      <w:rFonts w:asciiTheme="minorHAnsi" w:hAnsiTheme="minorHAnsi" w:cstheme="minorHAnsi"/>
                      <w:color w:val="000000"/>
                      <w:szCs w:val="18"/>
                    </w:rPr>
                    <w:t>0</w:t>
                  </w:r>
                </w:p>
              </w:tc>
            </w:tr>
            <w:tr w:rsidR="00F05DC7" w14:paraId="79549648" w14:textId="77777777" w:rsidTr="002F2180">
              <w:tc>
                <w:tcPr>
                  <w:tcW w:w="1680" w:type="pct"/>
                  <w:shd w:val="clear" w:color="auto" w:fill="auto"/>
                  <w:vAlign w:val="center"/>
                </w:tcPr>
                <w:p w14:paraId="7954963F" w14:textId="77777777" w:rsidR="00F05DC7" w:rsidRDefault="00F05DC7" w:rsidP="00A3786D">
                  <w:pPr>
                    <w:pStyle w:val="TableBodyText"/>
                    <w:jc w:val="left"/>
                  </w:pPr>
                  <w:r>
                    <w:t>Change in GST payments ($pc)</w:t>
                  </w:r>
                </w:p>
              </w:tc>
              <w:tc>
                <w:tcPr>
                  <w:tcW w:w="403" w:type="pct"/>
                  <w:tcBorders>
                    <w:top w:val="nil"/>
                    <w:left w:val="nil"/>
                    <w:right w:val="nil"/>
                  </w:tcBorders>
                  <w:shd w:val="clear" w:color="auto" w:fill="auto"/>
                  <w:vAlign w:val="bottom"/>
                </w:tcPr>
                <w:p w14:paraId="79549640" w14:textId="77777777" w:rsidR="00F05DC7" w:rsidRDefault="00F05DC7" w:rsidP="00A3786D">
                  <w:pPr>
                    <w:pStyle w:val="TableBodyText"/>
                  </w:pPr>
                  <w:r w:rsidRPr="00CA72B3">
                    <w:rPr>
                      <w:rFonts w:asciiTheme="minorHAnsi" w:hAnsiTheme="minorHAnsi" w:cstheme="minorHAnsi"/>
                      <w:color w:val="000000"/>
                      <w:szCs w:val="18"/>
                    </w:rPr>
                    <w:t>9</w:t>
                  </w:r>
                </w:p>
              </w:tc>
              <w:tc>
                <w:tcPr>
                  <w:tcW w:w="459" w:type="pct"/>
                  <w:tcBorders>
                    <w:top w:val="nil"/>
                    <w:left w:val="nil"/>
                    <w:right w:val="nil"/>
                  </w:tcBorders>
                  <w:shd w:val="clear" w:color="auto" w:fill="auto"/>
                  <w:vAlign w:val="bottom"/>
                </w:tcPr>
                <w:p w14:paraId="79549641" w14:textId="77777777" w:rsidR="00F05DC7" w:rsidRDefault="00F05DC7" w:rsidP="00A3786D">
                  <w:pPr>
                    <w:pStyle w:val="TableBodyText"/>
                  </w:pPr>
                  <w:r w:rsidRPr="00CA72B3">
                    <w:rPr>
                      <w:rFonts w:asciiTheme="minorHAnsi" w:hAnsiTheme="minorHAnsi" w:cstheme="minorHAnsi"/>
                      <w:color w:val="000000"/>
                      <w:szCs w:val="18"/>
                    </w:rPr>
                    <w:t>3</w:t>
                  </w:r>
                </w:p>
              </w:tc>
              <w:tc>
                <w:tcPr>
                  <w:tcW w:w="459" w:type="pct"/>
                  <w:tcBorders>
                    <w:top w:val="nil"/>
                    <w:left w:val="nil"/>
                    <w:right w:val="nil"/>
                  </w:tcBorders>
                  <w:shd w:val="clear" w:color="auto" w:fill="auto"/>
                  <w:vAlign w:val="bottom"/>
                </w:tcPr>
                <w:p w14:paraId="79549642" w14:textId="77777777" w:rsidR="00F05DC7" w:rsidRDefault="00F05DC7" w:rsidP="00A3786D">
                  <w:pPr>
                    <w:pStyle w:val="TableBodyText"/>
                  </w:pPr>
                  <w:r>
                    <w:rPr>
                      <w:rFonts w:asciiTheme="minorHAnsi" w:hAnsiTheme="minorHAnsi" w:cstheme="minorHAnsi"/>
                      <w:color w:val="000000"/>
                      <w:szCs w:val="18"/>
                    </w:rPr>
                    <w:noBreakHyphen/>
                  </w:r>
                  <w:r w:rsidRPr="00CA72B3">
                    <w:rPr>
                      <w:rFonts w:asciiTheme="minorHAnsi" w:hAnsiTheme="minorHAnsi" w:cstheme="minorHAnsi"/>
                      <w:color w:val="000000"/>
                      <w:szCs w:val="18"/>
                    </w:rPr>
                    <w:t>7</w:t>
                  </w:r>
                </w:p>
              </w:tc>
              <w:tc>
                <w:tcPr>
                  <w:tcW w:w="459" w:type="pct"/>
                  <w:tcBorders>
                    <w:top w:val="nil"/>
                    <w:left w:val="nil"/>
                    <w:right w:val="nil"/>
                  </w:tcBorders>
                  <w:shd w:val="clear" w:color="auto" w:fill="auto"/>
                  <w:vAlign w:val="bottom"/>
                </w:tcPr>
                <w:p w14:paraId="79549643" w14:textId="77777777" w:rsidR="00F05DC7" w:rsidRDefault="00F05DC7" w:rsidP="00A3786D">
                  <w:pPr>
                    <w:pStyle w:val="TableBodyText"/>
                  </w:pPr>
                  <w:r w:rsidRPr="00CA72B3">
                    <w:rPr>
                      <w:rFonts w:asciiTheme="minorHAnsi" w:hAnsiTheme="minorHAnsi" w:cstheme="minorHAnsi"/>
                      <w:color w:val="000000"/>
                      <w:szCs w:val="18"/>
                    </w:rPr>
                    <w:t>1</w:t>
                  </w:r>
                </w:p>
              </w:tc>
              <w:tc>
                <w:tcPr>
                  <w:tcW w:w="384" w:type="pct"/>
                  <w:tcBorders>
                    <w:top w:val="nil"/>
                    <w:left w:val="nil"/>
                    <w:right w:val="nil"/>
                  </w:tcBorders>
                  <w:shd w:val="clear" w:color="auto" w:fill="auto"/>
                  <w:vAlign w:val="bottom"/>
                </w:tcPr>
                <w:p w14:paraId="79549644" w14:textId="77777777" w:rsidR="00F05DC7" w:rsidRDefault="00F05DC7" w:rsidP="00A3786D">
                  <w:pPr>
                    <w:pStyle w:val="TableBodyText"/>
                  </w:pPr>
                  <w:r>
                    <w:rPr>
                      <w:rFonts w:asciiTheme="minorHAnsi" w:hAnsiTheme="minorHAnsi" w:cstheme="minorHAnsi"/>
                      <w:color w:val="000000"/>
                      <w:szCs w:val="18"/>
                    </w:rPr>
                    <w:noBreakHyphen/>
                  </w:r>
                  <w:r w:rsidRPr="00CA72B3">
                    <w:rPr>
                      <w:rFonts w:asciiTheme="minorHAnsi" w:hAnsiTheme="minorHAnsi" w:cstheme="minorHAnsi"/>
                      <w:color w:val="000000"/>
                      <w:szCs w:val="18"/>
                    </w:rPr>
                    <w:t>2</w:t>
                  </w:r>
                </w:p>
              </w:tc>
              <w:tc>
                <w:tcPr>
                  <w:tcW w:w="385" w:type="pct"/>
                  <w:tcBorders>
                    <w:top w:val="nil"/>
                    <w:left w:val="nil"/>
                    <w:right w:val="nil"/>
                  </w:tcBorders>
                  <w:shd w:val="clear" w:color="auto" w:fill="auto"/>
                  <w:vAlign w:val="bottom"/>
                </w:tcPr>
                <w:p w14:paraId="79549645" w14:textId="77777777" w:rsidR="00F05DC7" w:rsidRDefault="00F05DC7" w:rsidP="00A3786D">
                  <w:pPr>
                    <w:pStyle w:val="TableBodyText"/>
                  </w:pPr>
                  <w:r>
                    <w:rPr>
                      <w:rFonts w:asciiTheme="minorHAnsi" w:hAnsiTheme="minorHAnsi" w:cstheme="minorHAnsi"/>
                      <w:color w:val="000000"/>
                      <w:szCs w:val="18"/>
                    </w:rPr>
                    <w:noBreakHyphen/>
                  </w:r>
                  <w:r w:rsidRPr="00CA72B3">
                    <w:rPr>
                      <w:rFonts w:asciiTheme="minorHAnsi" w:hAnsiTheme="minorHAnsi" w:cstheme="minorHAnsi"/>
                      <w:color w:val="000000"/>
                      <w:szCs w:val="18"/>
                    </w:rPr>
                    <w:t>3</w:t>
                  </w:r>
                </w:p>
              </w:tc>
              <w:tc>
                <w:tcPr>
                  <w:tcW w:w="384" w:type="pct"/>
                  <w:tcBorders>
                    <w:top w:val="nil"/>
                    <w:left w:val="nil"/>
                    <w:right w:val="nil"/>
                  </w:tcBorders>
                  <w:shd w:val="clear" w:color="auto" w:fill="auto"/>
                  <w:vAlign w:val="bottom"/>
                </w:tcPr>
                <w:p w14:paraId="79549646" w14:textId="77777777" w:rsidR="00F05DC7" w:rsidRDefault="00F05DC7" w:rsidP="00A3786D">
                  <w:pPr>
                    <w:pStyle w:val="TableBodyText"/>
                  </w:pPr>
                  <w:r>
                    <w:rPr>
                      <w:rFonts w:asciiTheme="minorHAnsi" w:hAnsiTheme="minorHAnsi" w:cstheme="minorHAnsi"/>
                      <w:color w:val="000000"/>
                      <w:szCs w:val="18"/>
                    </w:rPr>
                    <w:noBreakHyphen/>
                  </w:r>
                  <w:r w:rsidRPr="00CA72B3">
                    <w:rPr>
                      <w:rFonts w:asciiTheme="minorHAnsi" w:hAnsiTheme="minorHAnsi" w:cstheme="minorHAnsi"/>
                      <w:color w:val="000000"/>
                      <w:szCs w:val="18"/>
                    </w:rPr>
                    <w:t>1</w:t>
                  </w:r>
                </w:p>
              </w:tc>
              <w:tc>
                <w:tcPr>
                  <w:tcW w:w="387" w:type="pct"/>
                  <w:tcBorders>
                    <w:top w:val="nil"/>
                    <w:left w:val="nil"/>
                    <w:right w:val="nil"/>
                  </w:tcBorders>
                  <w:shd w:val="clear" w:color="auto" w:fill="auto"/>
                  <w:vAlign w:val="bottom"/>
                </w:tcPr>
                <w:p w14:paraId="79549647" w14:textId="77777777" w:rsidR="00F05DC7" w:rsidRPr="00E7460D" w:rsidRDefault="00F05DC7" w:rsidP="00A3786D">
                  <w:pPr>
                    <w:pStyle w:val="TableBodyText"/>
                    <w:rPr>
                      <w:i/>
                    </w:rPr>
                  </w:pPr>
                  <w:r>
                    <w:rPr>
                      <w:rFonts w:asciiTheme="minorHAnsi" w:hAnsiTheme="minorHAnsi" w:cstheme="minorHAnsi"/>
                      <w:color w:val="000000"/>
                      <w:szCs w:val="18"/>
                    </w:rPr>
                    <w:noBreakHyphen/>
                  </w:r>
                  <w:r w:rsidRPr="00CA72B3">
                    <w:rPr>
                      <w:rFonts w:asciiTheme="minorHAnsi" w:hAnsiTheme="minorHAnsi" w:cstheme="minorHAnsi"/>
                      <w:color w:val="000000"/>
                      <w:szCs w:val="18"/>
                    </w:rPr>
                    <w:t>2</w:t>
                  </w:r>
                </w:p>
              </w:tc>
            </w:tr>
            <w:tr w:rsidR="00F05DC7" w14:paraId="79549652" w14:textId="77777777" w:rsidTr="002F2180">
              <w:tc>
                <w:tcPr>
                  <w:tcW w:w="1680" w:type="pct"/>
                  <w:tcBorders>
                    <w:bottom w:val="single" w:sz="6" w:space="0" w:color="D9D9D9" w:themeColor="background1" w:themeShade="D9"/>
                  </w:tcBorders>
                  <w:shd w:val="pct5" w:color="auto" w:fill="auto"/>
                  <w:vAlign w:val="center"/>
                </w:tcPr>
                <w:p w14:paraId="79549649" w14:textId="77777777" w:rsidR="00F05DC7" w:rsidRDefault="00F05DC7" w:rsidP="00A3786D">
                  <w:pPr>
                    <w:pStyle w:val="TableBodyText"/>
                    <w:jc w:val="left"/>
                  </w:pPr>
                  <w:r>
                    <w:t>New GST relativity</w:t>
                  </w:r>
                </w:p>
              </w:tc>
              <w:tc>
                <w:tcPr>
                  <w:tcW w:w="403" w:type="pct"/>
                  <w:tcBorders>
                    <w:top w:val="nil"/>
                    <w:left w:val="nil"/>
                    <w:bottom w:val="single" w:sz="6" w:space="0" w:color="D9D9D9" w:themeColor="background1" w:themeShade="D9"/>
                    <w:right w:val="nil"/>
                  </w:tcBorders>
                  <w:shd w:val="clear" w:color="auto" w:fill="auto"/>
                  <w:vAlign w:val="bottom"/>
                </w:tcPr>
                <w:p w14:paraId="7954964A" w14:textId="77777777" w:rsidR="00F05DC7" w:rsidRDefault="00F05DC7" w:rsidP="00A3786D">
                  <w:pPr>
                    <w:pStyle w:val="TableBodyText"/>
                  </w:pPr>
                  <w:r w:rsidRPr="00CA72B3">
                    <w:rPr>
                      <w:rFonts w:asciiTheme="minorHAnsi" w:hAnsiTheme="minorHAnsi" w:cstheme="minorHAnsi"/>
                      <w:szCs w:val="18"/>
                    </w:rPr>
                    <w:t>0.84</w:t>
                  </w:r>
                </w:p>
              </w:tc>
              <w:tc>
                <w:tcPr>
                  <w:tcW w:w="459" w:type="pct"/>
                  <w:tcBorders>
                    <w:top w:val="nil"/>
                    <w:left w:val="nil"/>
                    <w:bottom w:val="single" w:sz="6" w:space="0" w:color="D9D9D9" w:themeColor="background1" w:themeShade="D9"/>
                    <w:right w:val="nil"/>
                  </w:tcBorders>
                  <w:shd w:val="clear" w:color="auto" w:fill="auto"/>
                  <w:vAlign w:val="bottom"/>
                </w:tcPr>
                <w:p w14:paraId="7954964B" w14:textId="77777777" w:rsidR="00F05DC7" w:rsidRDefault="00F05DC7" w:rsidP="00A3786D">
                  <w:pPr>
                    <w:pStyle w:val="TableBodyText"/>
                  </w:pPr>
                  <w:r w:rsidRPr="00CA72B3">
                    <w:rPr>
                      <w:rFonts w:asciiTheme="minorHAnsi" w:hAnsiTheme="minorHAnsi" w:cstheme="minorHAnsi"/>
                      <w:szCs w:val="18"/>
                    </w:rPr>
                    <w:t>1.01</w:t>
                  </w:r>
                </w:p>
              </w:tc>
              <w:tc>
                <w:tcPr>
                  <w:tcW w:w="459" w:type="pct"/>
                  <w:tcBorders>
                    <w:top w:val="nil"/>
                    <w:left w:val="nil"/>
                    <w:bottom w:val="single" w:sz="6" w:space="0" w:color="D9D9D9" w:themeColor="background1" w:themeShade="D9"/>
                    <w:right w:val="nil"/>
                  </w:tcBorders>
                  <w:shd w:val="clear" w:color="auto" w:fill="auto"/>
                  <w:vAlign w:val="bottom"/>
                </w:tcPr>
                <w:p w14:paraId="7954964C" w14:textId="77777777" w:rsidR="00F05DC7" w:rsidRDefault="00F05DC7" w:rsidP="00A3786D">
                  <w:pPr>
                    <w:pStyle w:val="TableBodyText"/>
                  </w:pPr>
                  <w:r w:rsidRPr="00CA72B3">
                    <w:rPr>
                      <w:rFonts w:asciiTheme="minorHAnsi" w:hAnsiTheme="minorHAnsi" w:cstheme="minorHAnsi"/>
                      <w:szCs w:val="18"/>
                    </w:rPr>
                    <w:t>1.03</w:t>
                  </w:r>
                </w:p>
              </w:tc>
              <w:tc>
                <w:tcPr>
                  <w:tcW w:w="459" w:type="pct"/>
                  <w:tcBorders>
                    <w:top w:val="nil"/>
                    <w:left w:val="nil"/>
                    <w:bottom w:val="single" w:sz="6" w:space="0" w:color="D9D9D9" w:themeColor="background1" w:themeShade="D9"/>
                    <w:right w:val="nil"/>
                  </w:tcBorders>
                  <w:shd w:val="clear" w:color="auto" w:fill="auto"/>
                  <w:vAlign w:val="bottom"/>
                </w:tcPr>
                <w:p w14:paraId="7954964D" w14:textId="77777777" w:rsidR="00F05DC7" w:rsidRDefault="00F05DC7" w:rsidP="00A3786D">
                  <w:pPr>
                    <w:pStyle w:val="TableBodyText"/>
                  </w:pPr>
                  <w:r w:rsidRPr="00CA72B3">
                    <w:rPr>
                      <w:rFonts w:asciiTheme="minorHAnsi" w:hAnsiTheme="minorHAnsi" w:cstheme="minorHAnsi"/>
                      <w:szCs w:val="18"/>
                    </w:rPr>
                    <w:t>0.57</w:t>
                  </w:r>
                </w:p>
              </w:tc>
              <w:tc>
                <w:tcPr>
                  <w:tcW w:w="384" w:type="pct"/>
                  <w:tcBorders>
                    <w:top w:val="nil"/>
                    <w:left w:val="nil"/>
                    <w:bottom w:val="single" w:sz="6" w:space="0" w:color="D9D9D9" w:themeColor="background1" w:themeShade="D9"/>
                    <w:right w:val="nil"/>
                  </w:tcBorders>
                  <w:shd w:val="clear" w:color="auto" w:fill="auto"/>
                  <w:vAlign w:val="bottom"/>
                </w:tcPr>
                <w:p w14:paraId="7954964E" w14:textId="77777777" w:rsidR="00F05DC7" w:rsidRDefault="00F05DC7" w:rsidP="00A3786D">
                  <w:pPr>
                    <w:pStyle w:val="TableBodyText"/>
                  </w:pPr>
                  <w:r w:rsidRPr="00CA72B3">
                    <w:rPr>
                      <w:rFonts w:asciiTheme="minorHAnsi" w:hAnsiTheme="minorHAnsi" w:cstheme="minorHAnsi"/>
                      <w:szCs w:val="18"/>
                    </w:rPr>
                    <w:t>1.53</w:t>
                  </w:r>
                </w:p>
              </w:tc>
              <w:tc>
                <w:tcPr>
                  <w:tcW w:w="385" w:type="pct"/>
                  <w:tcBorders>
                    <w:top w:val="nil"/>
                    <w:left w:val="nil"/>
                    <w:bottom w:val="single" w:sz="6" w:space="0" w:color="D9D9D9" w:themeColor="background1" w:themeShade="D9"/>
                    <w:right w:val="nil"/>
                  </w:tcBorders>
                  <w:shd w:val="clear" w:color="auto" w:fill="auto"/>
                  <w:vAlign w:val="bottom"/>
                </w:tcPr>
                <w:p w14:paraId="7954964F" w14:textId="77777777" w:rsidR="00F05DC7" w:rsidRDefault="00F05DC7" w:rsidP="00A3786D">
                  <w:pPr>
                    <w:pStyle w:val="TableBodyText"/>
                  </w:pPr>
                  <w:r w:rsidRPr="00CA72B3">
                    <w:rPr>
                      <w:rFonts w:asciiTheme="minorHAnsi" w:hAnsiTheme="minorHAnsi" w:cstheme="minorHAnsi"/>
                      <w:szCs w:val="18"/>
                    </w:rPr>
                    <w:t>1.72</w:t>
                  </w:r>
                </w:p>
              </w:tc>
              <w:tc>
                <w:tcPr>
                  <w:tcW w:w="384" w:type="pct"/>
                  <w:tcBorders>
                    <w:top w:val="nil"/>
                    <w:left w:val="nil"/>
                    <w:bottom w:val="single" w:sz="6" w:space="0" w:color="D9D9D9" w:themeColor="background1" w:themeShade="D9"/>
                    <w:right w:val="nil"/>
                  </w:tcBorders>
                  <w:shd w:val="clear" w:color="auto" w:fill="auto"/>
                  <w:vAlign w:val="bottom"/>
                </w:tcPr>
                <w:p w14:paraId="79549650" w14:textId="77777777" w:rsidR="00F05DC7" w:rsidRDefault="00F05DC7" w:rsidP="00A3786D">
                  <w:pPr>
                    <w:pStyle w:val="TableBodyText"/>
                  </w:pPr>
                  <w:r w:rsidRPr="00CA72B3">
                    <w:rPr>
                      <w:rFonts w:asciiTheme="minorHAnsi" w:hAnsiTheme="minorHAnsi" w:cstheme="minorHAnsi"/>
                      <w:szCs w:val="18"/>
                    </w:rPr>
                    <w:t>1.21</w:t>
                  </w:r>
                </w:p>
              </w:tc>
              <w:tc>
                <w:tcPr>
                  <w:tcW w:w="387" w:type="pct"/>
                  <w:tcBorders>
                    <w:top w:val="nil"/>
                    <w:left w:val="nil"/>
                    <w:bottom w:val="single" w:sz="6" w:space="0" w:color="D9D9D9" w:themeColor="background1" w:themeShade="D9"/>
                  </w:tcBorders>
                  <w:shd w:val="clear" w:color="auto" w:fill="auto"/>
                  <w:vAlign w:val="bottom"/>
                </w:tcPr>
                <w:p w14:paraId="79549651" w14:textId="77777777" w:rsidR="00F05DC7" w:rsidRPr="00476E7F" w:rsidRDefault="00F05DC7" w:rsidP="00A3786D">
                  <w:pPr>
                    <w:pStyle w:val="TableBodyText"/>
                    <w:rPr>
                      <w:i/>
                    </w:rPr>
                  </w:pPr>
                  <w:r w:rsidRPr="00CA72B3">
                    <w:rPr>
                      <w:rFonts w:asciiTheme="minorHAnsi" w:hAnsiTheme="minorHAnsi" w:cstheme="minorHAnsi"/>
                      <w:szCs w:val="18"/>
                    </w:rPr>
                    <w:t>4.19</w:t>
                  </w:r>
                </w:p>
              </w:tc>
            </w:tr>
          </w:tbl>
          <w:p w14:paraId="79549653" w14:textId="77777777" w:rsidR="00F05DC7" w:rsidRDefault="00F05DC7" w:rsidP="00A3786D">
            <w:pPr>
              <w:pStyle w:val="Box"/>
            </w:pPr>
          </w:p>
        </w:tc>
      </w:tr>
      <w:tr w:rsidR="00F05DC7" w14:paraId="79549656" w14:textId="77777777" w:rsidTr="00A3786D">
        <w:tc>
          <w:tcPr>
            <w:tcW w:w="5000" w:type="pct"/>
            <w:tcBorders>
              <w:top w:val="nil"/>
              <w:left w:val="nil"/>
              <w:bottom w:val="single" w:sz="6" w:space="0" w:color="78A22F"/>
              <w:right w:val="nil"/>
            </w:tcBorders>
            <w:shd w:val="clear" w:color="auto" w:fill="F2F2F2"/>
          </w:tcPr>
          <w:p w14:paraId="79549655" w14:textId="77777777" w:rsidR="00F05DC7" w:rsidRDefault="00F05DC7" w:rsidP="00A3786D">
            <w:pPr>
              <w:pStyle w:val="Box"/>
              <w:spacing w:before="0" w:line="120" w:lineRule="exact"/>
            </w:pPr>
          </w:p>
        </w:tc>
      </w:tr>
      <w:tr w:rsidR="00F05DC7" w:rsidRPr="000863A5" w14:paraId="79549658" w14:textId="77777777" w:rsidTr="00A3786D">
        <w:tc>
          <w:tcPr>
            <w:tcW w:w="5000" w:type="pct"/>
            <w:tcBorders>
              <w:top w:val="single" w:sz="6" w:space="0" w:color="78A22F"/>
              <w:left w:val="nil"/>
              <w:bottom w:val="nil"/>
              <w:right w:val="nil"/>
            </w:tcBorders>
          </w:tcPr>
          <w:p w14:paraId="79549657" w14:textId="77777777" w:rsidR="00F05DC7" w:rsidRPr="00626D32" w:rsidRDefault="00F05DC7" w:rsidP="00A3786D">
            <w:pPr>
              <w:pStyle w:val="BoxSpaceBelow"/>
            </w:pPr>
          </w:p>
        </w:tc>
      </w:tr>
    </w:tbl>
    <w:p w14:paraId="79549659" w14:textId="77777777" w:rsidR="00F05DC7" w:rsidRDefault="00F05DC7" w:rsidP="00A3786D">
      <w:pPr>
        <w:pStyle w:val="BodyText"/>
      </w:pPr>
      <w:r>
        <w:lastRenderedPageBreak/>
        <w:t>Where the tax reform involves modifying existing taxes (cameos 1 and 2), there can be a distinct first</w:t>
      </w:r>
      <w:r>
        <w:noBreakHyphen/>
        <w:t>mover disadvantage. In the somewhat unlikely case of multilateral reform (by all States), there would still be effects on the GST distribution, but of a smaller magnitude. If a State were to unilaterally abolish a tax (cameo 2) it would lose GST because it would still be assessed as having the capacity to raise revenue in that area (and the tax base would increase due to the removal of the tax and the consequential increase in demand). In the case of a new tax (cameo 3), the results are more ambiguous, and sometimes multilateral reform can have bigger GST effects.</w:t>
      </w:r>
    </w:p>
    <w:p w14:paraId="7954965A" w14:textId="77777777" w:rsidR="00F05DC7" w:rsidRDefault="00F05DC7" w:rsidP="00A3786D">
      <w:pPr>
        <w:spacing w:before="240" w:line="300" w:lineRule="atLeast"/>
        <w:jc w:val="both"/>
      </w:pPr>
      <w:r w:rsidRPr="005E0807">
        <w:t>There is no doubt that policy reform disincentives exist</w:t>
      </w:r>
      <w:r>
        <w:t>,</w:t>
      </w:r>
      <w:r w:rsidRPr="005E0807">
        <w:t xml:space="preserve"> and no</w:t>
      </w:r>
      <w:r>
        <w:noBreakHyphen/>
      </w:r>
      <w:r w:rsidRPr="005E0807">
        <w:t>one disputes the p</w:t>
      </w:r>
      <w:r>
        <w:t>rinciple. To some extent, the presence of such policy disincentives is an inescapable consequence of pursuing full fiscal equalisation — whereby the tax bases of fiscally stronger States are ‘shared’ (through equalisation) with fiscally weaker States. W</w:t>
      </w:r>
      <w:r w:rsidRPr="001D69F7">
        <w:t xml:space="preserve">hether </w:t>
      </w:r>
      <w:r>
        <w:t xml:space="preserve">such </w:t>
      </w:r>
      <w:r w:rsidRPr="001D69F7">
        <w:t>effects</w:t>
      </w:r>
      <w:r>
        <w:t xml:space="preserve"> </w:t>
      </w:r>
      <w:r w:rsidRPr="001D69F7">
        <w:t>actually influence policy decisions i</w:t>
      </w:r>
      <w:r>
        <w:t>s naturally harder to discern, given closed</w:t>
      </w:r>
      <w:r>
        <w:noBreakHyphen/>
        <w:t>door decision making.</w:t>
      </w:r>
    </w:p>
    <w:p w14:paraId="7954965B" w14:textId="77777777" w:rsidR="00F05DC7" w:rsidRDefault="00F05DC7" w:rsidP="00A3786D">
      <w:pPr>
        <w:spacing w:before="240" w:line="300" w:lineRule="atLeast"/>
        <w:jc w:val="both"/>
      </w:pPr>
      <w:r w:rsidRPr="005E0807">
        <w:t>There is widespread disagreement on th</w:t>
      </w:r>
      <w:r>
        <w:t>e occurrence and magnitude of disincentive effects</w:t>
      </w:r>
      <w:r w:rsidRPr="005E0807">
        <w:t xml:space="preserve"> and</w:t>
      </w:r>
      <w:r>
        <w:t>,</w:t>
      </w:r>
      <w:r w:rsidRPr="005E0807">
        <w:t xml:space="preserve"> unsurprisingly, conclusive evidence is scarce</w:t>
      </w:r>
      <w:r>
        <w:t xml:space="preserve">. Some inquiry participants argued that the GST effects of tax reform have no influence at all on State behaviour; others suggested that the effects can be pervasive and accumulate over time. Some States also said that they do not even consider the GST consequences of their tax changes, even when contemplating major reforms, such as replacing stamp duties with land tax. This implies </w:t>
      </w:r>
      <w:r w:rsidRPr="005E0807">
        <w:t xml:space="preserve">that important policy decisions are being taken without consideration </w:t>
      </w:r>
      <w:r>
        <w:t>of</w:t>
      </w:r>
      <w:r w:rsidRPr="005E0807">
        <w:t xml:space="preserve"> the total fiscal impacts on the State.</w:t>
      </w:r>
      <w:r>
        <w:t xml:space="preserve"> As noted by one participant to this inquiry, ‘it</w:t>
      </w:r>
      <w:r w:rsidRPr="005F087F">
        <w:t xml:space="preserve"> would appear to us quite reasonable that any state Treasury would consider and model the impact on GST receipts of any tax reform — it would be negligent not to</w:t>
      </w:r>
      <w:r>
        <w:t xml:space="preserve">’. </w:t>
      </w:r>
    </w:p>
    <w:p w14:paraId="7954965C" w14:textId="77777777" w:rsidR="00F05DC7" w:rsidRDefault="00F05DC7" w:rsidP="00A3786D">
      <w:pPr>
        <w:spacing w:before="240" w:line="300" w:lineRule="atLeast"/>
        <w:jc w:val="both"/>
      </w:pPr>
      <w:r>
        <w:t>Overall, while there is limited direct evidence, absence of evidence is not equivalent to evidence of absence. Indeed, decisions not to pursue reforms are impossible to directly observe when there are strong first</w:t>
      </w:r>
      <w:r>
        <w:noBreakHyphen/>
        <w:t>mover disincentives for policy reform. The</w:t>
      </w:r>
      <w:r w:rsidRPr="005E0807">
        <w:t xml:space="preserve"> potential </w:t>
      </w:r>
      <w:r>
        <w:t>for</w:t>
      </w:r>
      <w:r w:rsidRPr="005E0807">
        <w:t xml:space="preserve"> </w:t>
      </w:r>
      <w:r>
        <w:t xml:space="preserve">large </w:t>
      </w:r>
      <w:r w:rsidRPr="005E0807">
        <w:t>impacts on GST</w:t>
      </w:r>
      <w:r>
        <w:t xml:space="preserve"> (as illustrated in cameo 1) — combined with VFI and an arguably limited range of efficient State revenue sources — means that States may not even consider major reforms, even where the benefits to the community would be considerable. </w:t>
      </w:r>
    </w:p>
    <w:p w14:paraId="7954965D" w14:textId="77777777" w:rsidR="00F05DC7" w:rsidRDefault="00F05DC7" w:rsidP="00A3786D">
      <w:pPr>
        <w:pStyle w:val="Heading4"/>
      </w:pPr>
      <w:r>
        <w:t>Mining poses particularly large problems for policy neutrality</w:t>
      </w:r>
    </w:p>
    <w:p w14:paraId="7954965E" w14:textId="77777777" w:rsidR="00F05DC7" w:rsidRDefault="00F05DC7" w:rsidP="00A3786D">
      <w:pPr>
        <w:pStyle w:val="BodyText"/>
      </w:pPr>
      <w:r>
        <w:t>T</w:t>
      </w:r>
      <w:r w:rsidRPr="00D55C41">
        <w:t>he potential for HFE to distort State policy is pronounced for mineral and energy resources</w:t>
      </w:r>
      <w:r>
        <w:t xml:space="preserve">, as these are very unevenly distributed across States. For example, over 98 per cent of all iron ore production </w:t>
      </w:r>
      <w:r w:rsidRPr="00185C2E">
        <w:t>is</w:t>
      </w:r>
      <w:r>
        <w:t xml:space="preserve"> in Western Australia. In such extreme situations, Western Australia’s policy </w:t>
      </w:r>
      <w:r w:rsidRPr="00185C2E">
        <w:rPr>
          <w:i/>
        </w:rPr>
        <w:t>is</w:t>
      </w:r>
      <w:r>
        <w:t xml:space="preserve"> average State policy — and thus the mining assessment is not policy</w:t>
      </w:r>
      <w:r>
        <w:noBreakHyphen/>
        <w:t>neutral because that State’s own choices directly influence the level of GST payments it receives. If Western Australia raised royalties on iron ore, it would lose close to 90 </w:t>
      </w:r>
      <w:r w:rsidRPr="00AC17B9">
        <w:t>per cent of the additional revenues to other State</w:t>
      </w:r>
      <w:r>
        <w:t>s.</w:t>
      </w:r>
    </w:p>
    <w:p w14:paraId="7954965F" w14:textId="77777777" w:rsidR="00F05DC7" w:rsidRDefault="00F05DC7" w:rsidP="00A3786D">
      <w:pPr>
        <w:pStyle w:val="BodyText"/>
      </w:pPr>
      <w:r>
        <w:t>Due to these outsized effects, some have argued that States have an incentive to under</w:t>
      </w:r>
      <w:r>
        <w:noBreakHyphen/>
        <w:t xml:space="preserve">tax mineral rents or extract rents through other means — an example pointed to by participants </w:t>
      </w:r>
      <w:r>
        <w:lastRenderedPageBreak/>
        <w:t xml:space="preserve">was Western Australia abandoning its proposal to raise royalty rates on gold. Several participants also strongly criticised the HFE system as a major disincentive to States developing their mineral and energy resources. Any State that developed contentious mining activity would bear the full social and political cost of the development, but only retain its population share of the royalties (due to the tax base effects discussed earlier). </w:t>
      </w:r>
      <w:r w:rsidRPr="0059752D">
        <w:t>And there are perennial concerns that the equalisation process does not fully account for industry development expense</w:t>
      </w:r>
      <w:r>
        <w:t xml:space="preserve">s, though </w:t>
      </w:r>
      <w:r w:rsidRPr="0059752D">
        <w:t xml:space="preserve">this </w:t>
      </w:r>
      <w:r>
        <w:t>i</w:t>
      </w:r>
      <w:r w:rsidRPr="0059752D">
        <w:t xml:space="preserve">nquiry has not been presented with new </w:t>
      </w:r>
      <w:r>
        <w:t xml:space="preserve">or </w:t>
      </w:r>
      <w:r w:rsidRPr="0059752D">
        <w:t>convincing evidence that changes are required</w:t>
      </w:r>
      <w:r>
        <w:t>.</w:t>
      </w:r>
    </w:p>
    <w:p w14:paraId="79549660" w14:textId="77777777" w:rsidR="00F05DC7" w:rsidRDefault="00F05DC7" w:rsidP="00A3786D">
      <w:pPr>
        <w:pStyle w:val="BodyText"/>
      </w:pPr>
      <w:r>
        <w:t>Similarly, several</w:t>
      </w:r>
      <w:r w:rsidRPr="00BC3B8A">
        <w:t xml:space="preserve"> participants argued that the HFE system effectively rewards States for restricting resource extraction</w:t>
      </w:r>
      <w:r>
        <w:t>. For example, New South Wales and Victoria, which have restricted coal</w:t>
      </w:r>
      <w:r>
        <w:noBreakHyphen/>
        <w:t xml:space="preserve">seam gas exploration, benefit from the equalisation of Queensland’s gas royalties — because where a State has restricted resource extraction it is assessed as having zero capacity to raise royalty revenue. Essentially, </w:t>
      </w:r>
      <w:r w:rsidRPr="00D55C41">
        <w:t xml:space="preserve">policy decisions to </w:t>
      </w:r>
      <w:r w:rsidRPr="00D55C41">
        <w:rPr>
          <w:i/>
        </w:rPr>
        <w:t>restrict</w:t>
      </w:r>
      <w:r w:rsidRPr="00D55C41">
        <w:t xml:space="preserve"> extraction are not treated symmetrically with policy decisions to </w:t>
      </w:r>
      <w:r w:rsidRPr="00D55C41">
        <w:rPr>
          <w:i/>
        </w:rPr>
        <w:t>facilitate</w:t>
      </w:r>
      <w:r>
        <w:t xml:space="preserve"> extraction. This is often contrasted with the assessment of gambling revenue, which has no effect on the GST distribution because each State is assumed to have the same per capita capacity to raise revenue from gambling. </w:t>
      </w:r>
    </w:p>
    <w:p w14:paraId="79549661" w14:textId="77777777" w:rsidR="00F05DC7" w:rsidRDefault="00F05DC7" w:rsidP="00A3786D">
      <w:pPr>
        <w:pStyle w:val="BodyText"/>
      </w:pPr>
      <w:r>
        <w:t>In sum, there is a large potential for the HFE system to discourage efficient taxation and extraction of (some) minerals.</w:t>
      </w:r>
      <w:r w:rsidRPr="00022632">
        <w:t xml:space="preserve"> </w:t>
      </w:r>
      <w:r>
        <w:t>Indeed, the mining assessment has always thrown up problems, due to the dominance of select minerals and particular States, and has been subject to significant change in methodology over the years. Over time, the disincentives for major tax reform and the efficient taxation of minerals could have a material cumulative impact on the economy and wellbeing.</w:t>
      </w:r>
    </w:p>
    <w:p w14:paraId="79549662" w14:textId="77777777" w:rsidR="00F05DC7" w:rsidRDefault="00F05DC7" w:rsidP="00A3786D">
      <w:pPr>
        <w:pStyle w:val="Heading4"/>
      </w:pPr>
      <w:r>
        <w:t>Efficiency concerns about expenditure</w:t>
      </w:r>
      <w:r>
        <w:noBreakHyphen/>
        <w:t>side equalisation are less prevalent</w:t>
      </w:r>
    </w:p>
    <w:p w14:paraId="79549663" w14:textId="77777777" w:rsidR="00F05DC7" w:rsidRDefault="00F05DC7" w:rsidP="00A3786D">
      <w:pPr>
        <w:pStyle w:val="BodyText"/>
      </w:pPr>
      <w:r>
        <w:t xml:space="preserve">When the CGC assesses </w:t>
      </w:r>
      <w:r w:rsidRPr="00755F54">
        <w:t>State expenditure needs</w:t>
      </w:r>
      <w:r>
        <w:t xml:space="preserve">, it considers the </w:t>
      </w:r>
      <w:r w:rsidRPr="00616A60">
        <w:rPr>
          <w:i/>
        </w:rPr>
        <w:t>cost</w:t>
      </w:r>
      <w:r>
        <w:t xml:space="preserve"> of providing a service and the levels of service </w:t>
      </w:r>
      <w:r>
        <w:rPr>
          <w:i/>
        </w:rPr>
        <w:t xml:space="preserve">use. </w:t>
      </w:r>
      <w:r>
        <w:t>These are equivalent to the rate and base effects on the tax side, and lead to similar incentive effects. Where a State reduces or increases its average costs, it has very little impact on the GST distribution, and as such, the current HFE system is unlikely to materially distort State incentives to provide public services cost effectively.</w:t>
      </w:r>
    </w:p>
    <w:p w14:paraId="79549664" w14:textId="77777777" w:rsidR="00F05DC7" w:rsidRDefault="00F05DC7" w:rsidP="00A3786D">
      <w:pPr>
        <w:pStyle w:val="BodyText"/>
      </w:pPr>
      <w:r>
        <w:t xml:space="preserve">However, where a State addresses its structural disadvantage and therefore affects the use of its services and infrastructure, its GST share would move in line with the structural change, meaning the State would only receive its population share of the fiscal benefits. This could create </w:t>
      </w:r>
      <w:r w:rsidRPr="004F1D9A">
        <w:t>disincentives for States to address their structural disadvantages, particularly if they would incur high costs to do so</w:t>
      </w:r>
      <w:r>
        <w:t>. More generally, there are long</w:t>
      </w:r>
      <w:r>
        <w:noBreakHyphen/>
        <w:t>running concerns that HFE leads to grant dependency in the smaller States and a failure to pursue economic development. Again, these in</w:t>
      </w:r>
      <w:r>
        <w:noBreakHyphen/>
        <w:t xml:space="preserve">principle incentive effects are hard to substantiate with direct evidence. </w:t>
      </w:r>
    </w:p>
    <w:p w14:paraId="79549665" w14:textId="77777777" w:rsidR="00F05DC7" w:rsidRDefault="00F05DC7" w:rsidP="00A3786D">
      <w:pPr>
        <w:pStyle w:val="BodyText"/>
      </w:pPr>
      <w:r>
        <w:t xml:space="preserve">A related concern is that the HFE process redistributes significant funds due to Indigeneity, but that some States are not spending that money on Indigenous services nor delivering better </w:t>
      </w:r>
      <w:r>
        <w:lastRenderedPageBreak/>
        <w:t xml:space="preserve">outcomes. Such concerns are often accompanied by the suggestion to take Indigeneity out of HFE. However, Indigeneity is a genuine and significant driver of </w:t>
      </w:r>
      <w:r w:rsidRPr="00EB2BB8">
        <w:t>jurisdictional spending</w:t>
      </w:r>
      <w:r>
        <w:t xml:space="preserve">, and </w:t>
      </w:r>
      <w:r w:rsidRPr="00EB2BB8">
        <w:t xml:space="preserve">absent </w:t>
      </w:r>
      <w:r>
        <w:t>some fundamental reform to Commonwealth</w:t>
      </w:r>
      <w:r>
        <w:noBreakHyphen/>
        <w:t>State roles and responsibilities — and thus accountabilities (discussed later)</w:t>
      </w:r>
      <w:r w:rsidRPr="00EB2BB8">
        <w:t xml:space="preserve"> </w:t>
      </w:r>
      <w:r>
        <w:t>—</w:t>
      </w:r>
      <w:r w:rsidRPr="00EB2BB8">
        <w:t xml:space="preserve"> it remains open to question what taking Indigeneity out of HFE would achieve.</w:t>
      </w:r>
      <w:r>
        <w:t xml:space="preserve"> </w:t>
      </w:r>
    </w:p>
    <w:p w14:paraId="79549666" w14:textId="77777777" w:rsidR="00F05DC7" w:rsidRDefault="00F05DC7" w:rsidP="00A3786D">
      <w:pPr>
        <w:pStyle w:val="BodyText"/>
      </w:pPr>
      <w:r>
        <w:t xml:space="preserve">Overall, the potential for HFE to distort State policy is much lower on the expenditure side than it is on the revenue side. The greater driver of expenditure effort is accountability for the way funds are allocated. Such accountability is systematically absent due to VFI and blurred funding responsibilities in many areas. </w:t>
      </w:r>
    </w:p>
    <w:p w14:paraId="79549667" w14:textId="77777777" w:rsidR="00F05DC7" w:rsidRDefault="00F05DC7" w:rsidP="00A3786D">
      <w:pPr>
        <w:pStyle w:val="Heading3"/>
      </w:pPr>
      <w:r>
        <w:t>Does HFE affect interstate migration?</w:t>
      </w:r>
    </w:p>
    <w:p w14:paraId="79549668" w14:textId="77777777" w:rsidR="00F05DC7" w:rsidRDefault="00F05DC7" w:rsidP="00A3786D">
      <w:pPr>
        <w:pStyle w:val="BodyText"/>
      </w:pPr>
      <w:r>
        <w:t>There are longstanding academic debates about the effect of HFE on interstate migration and thus productivity and economic growth. Some researchers contend that HFE improves economic efficiency by reducing incentives for labour and capital to move because of different levels of taxes and services between States. Others argue that HFE can harm economic growth by dulling the incentives for labour and capital to move where they would be most productive.</w:t>
      </w:r>
    </w:p>
    <w:p w14:paraId="79549669" w14:textId="77777777" w:rsidR="00F05DC7" w:rsidRDefault="00F05DC7" w:rsidP="00A3786D">
      <w:pPr>
        <w:pStyle w:val="BodyText"/>
      </w:pPr>
      <w:r>
        <w:t>In practice, it is hard to demonstrate that Australia’s HFE system has had a material influence on migration. People move interstate for a range of reasons (often for work or family), though the evidence shows they do not respond to the full extent of work opportunities available in other States. Fiscal differences by jurisdiction are unlikely to play a significant role. And the magnitude of fiscal redistribution that arises from HFE is small relative to total government revenue (just over 1 per cent). Either way, HFE is unlikely to have a significant effect on interstate fiscal differences, and hence on incentives to relocate.</w:t>
      </w:r>
      <w:r w:rsidRPr="007741F1">
        <w:t xml:space="preserve"> </w:t>
      </w:r>
    </w:p>
    <w:p w14:paraId="7954966A" w14:textId="77777777" w:rsidR="00F05DC7" w:rsidRDefault="00F05DC7" w:rsidP="00A3786D">
      <w:pPr>
        <w:pStyle w:val="Heading3"/>
      </w:pPr>
      <w:r>
        <w:t>In summary, how is the current system performing?</w:t>
      </w:r>
    </w:p>
    <w:p w14:paraId="7954966B" w14:textId="77777777" w:rsidR="00F05DC7" w:rsidRDefault="00F05DC7" w:rsidP="00A3786D">
      <w:pPr>
        <w:pStyle w:val="BodyText"/>
      </w:pPr>
      <w:r>
        <w:t>Our overall assessment is that the current HFE system is functioning reasonably well in regard</w:t>
      </w:r>
      <w:r w:rsidRPr="002F5A27">
        <w:t xml:space="preserve"> to</w:t>
      </w:r>
      <w:r>
        <w:t>:</w:t>
      </w:r>
    </w:p>
    <w:p w14:paraId="7954966C" w14:textId="77777777" w:rsidR="00F05DC7" w:rsidRPr="00F56C63" w:rsidRDefault="00F05DC7" w:rsidP="00A3786D">
      <w:pPr>
        <w:pStyle w:val="ListBullet"/>
      </w:pPr>
      <w:r>
        <w:rPr>
          <w:i/>
        </w:rPr>
        <w:t xml:space="preserve">a high degree of fiscal equality: </w:t>
      </w:r>
      <w:r>
        <w:t>the principle of fiscal equalisation is strongly supported and Australia’s HFE system achieves a high degree of equalisation. It enables all States to provide the average national level of services and mostly adjusts for material structural disadvantages that are out of States’ control</w:t>
      </w:r>
    </w:p>
    <w:p w14:paraId="7954966D" w14:textId="77777777" w:rsidR="00F05DC7" w:rsidRPr="005C44BA" w:rsidRDefault="00F05DC7" w:rsidP="00A3786D">
      <w:pPr>
        <w:pStyle w:val="ListBullet"/>
      </w:pPr>
      <w:r>
        <w:rPr>
          <w:i/>
        </w:rPr>
        <w:t xml:space="preserve">an independent process: </w:t>
      </w:r>
      <w:r>
        <w:t>the CGC, as an expert agency independent from governments, is well placed to conduct the HFE distribution process. It has well</w:t>
      </w:r>
      <w:r>
        <w:noBreakHyphen/>
        <w:t>established processes that involve consultation and regular methodology reviews. This helps to remove some (although not all) of the political melee around the distribution of GST</w:t>
      </w:r>
    </w:p>
    <w:p w14:paraId="7954966E" w14:textId="77777777" w:rsidR="00F05DC7" w:rsidRDefault="00F05DC7" w:rsidP="00A3786D">
      <w:pPr>
        <w:pStyle w:val="ListBullet"/>
      </w:pPr>
      <w:r w:rsidRPr="00C46427">
        <w:rPr>
          <w:i/>
        </w:rPr>
        <w:t>stability</w:t>
      </w:r>
      <w:r>
        <w:rPr>
          <w:i/>
        </w:rPr>
        <w:t xml:space="preserve"> for State budgets</w:t>
      </w:r>
      <w:r>
        <w:t>: HFE responds reasonably well to State circumstances and supports budget stability, with predictability of GST payments for (most) States.</w:t>
      </w:r>
    </w:p>
    <w:p w14:paraId="7954966F" w14:textId="77777777" w:rsidR="00F05DC7" w:rsidRDefault="00F05DC7" w:rsidP="00A3786D">
      <w:pPr>
        <w:pStyle w:val="BodyText"/>
      </w:pPr>
      <w:r>
        <w:lastRenderedPageBreak/>
        <w:t>However, there are deficiencies in a number of areas, which have become particularly pronounced recently. These include:</w:t>
      </w:r>
    </w:p>
    <w:p w14:paraId="79549670" w14:textId="77777777" w:rsidR="00F05DC7" w:rsidRDefault="00F05DC7" w:rsidP="00A3786D">
      <w:pPr>
        <w:pStyle w:val="ListBullet"/>
      </w:pPr>
      <w:r>
        <w:rPr>
          <w:i/>
        </w:rPr>
        <w:t xml:space="preserve">the system is not </w:t>
      </w:r>
      <w:r w:rsidRPr="0054729D">
        <w:rPr>
          <w:i/>
        </w:rPr>
        <w:t>policy</w:t>
      </w:r>
      <w:r>
        <w:rPr>
          <w:i/>
        </w:rPr>
        <w:t xml:space="preserve"> </w:t>
      </w:r>
      <w:r w:rsidRPr="0054729D">
        <w:rPr>
          <w:i/>
        </w:rPr>
        <w:t>neutral</w:t>
      </w:r>
      <w:r>
        <w:t>: the potential for States to lose significant GST payments in some instances can deter them from the politically difficult task of improving the efficiency of their tax mixes or expanding their tax bases.</w:t>
      </w:r>
      <w:r w:rsidDel="0045170A">
        <w:t xml:space="preserve"> </w:t>
      </w:r>
      <w:r>
        <w:t>Distortions are particularly pronounced for major tax reform exercises and in relation to mineral and energy resources (including royalty policies and restrictions on extraction)</w:t>
      </w:r>
    </w:p>
    <w:p w14:paraId="79549671" w14:textId="77777777" w:rsidR="00F05DC7" w:rsidRPr="00C07474" w:rsidRDefault="00F05DC7" w:rsidP="00A3786D">
      <w:pPr>
        <w:pStyle w:val="ListBullet"/>
        <w:rPr>
          <w:i/>
        </w:rPr>
      </w:pPr>
      <w:r w:rsidRPr="00C07474">
        <w:rPr>
          <w:i/>
        </w:rPr>
        <w:t xml:space="preserve">too </w:t>
      </w:r>
      <w:r w:rsidRPr="00C54C65">
        <w:rPr>
          <w:i/>
        </w:rPr>
        <w:t>little</w:t>
      </w:r>
      <w:r w:rsidRPr="00B775E7">
        <w:rPr>
          <w:i/>
        </w:rPr>
        <w:t xml:space="preserve"> weight is </w:t>
      </w:r>
      <w:r w:rsidRPr="00C07474">
        <w:rPr>
          <w:i/>
        </w:rPr>
        <w:t xml:space="preserve">afforded to </w:t>
      </w:r>
      <w:r>
        <w:rPr>
          <w:i/>
        </w:rPr>
        <w:t>the importance of fairly rewarding effort</w:t>
      </w:r>
      <w:r w:rsidRPr="00C07474">
        <w:rPr>
          <w:i/>
        </w:rPr>
        <w:t>:</w:t>
      </w:r>
      <w:r w:rsidRPr="00B775E7">
        <w:t xml:space="preserve"> </w:t>
      </w:r>
      <w:r>
        <w:t>the</w:t>
      </w:r>
      <w:r w:rsidRPr="00B775E7">
        <w:t xml:space="preserve"> </w:t>
      </w:r>
      <w:r>
        <w:t>current HFE system does not systematically provide for States to retain</w:t>
      </w:r>
      <w:r w:rsidRPr="0032353F">
        <w:t xml:space="preserve"> </w:t>
      </w:r>
      <w:r>
        <w:t xml:space="preserve">a reasonable share of </w:t>
      </w:r>
      <w:r w:rsidRPr="0032353F">
        <w:t xml:space="preserve">the fiscal dividends of their policy </w:t>
      </w:r>
      <w:r>
        <w:t xml:space="preserve">efforts </w:t>
      </w:r>
      <w:r w:rsidRPr="0032353F">
        <w:t>with</w:t>
      </w:r>
      <w:r>
        <w:t>out them being ‘equalised away’ through lower GST payments. This can result in outcomes considered to be ‘unfair’</w:t>
      </w:r>
    </w:p>
    <w:p w14:paraId="79549672" w14:textId="77777777" w:rsidR="00F05DC7" w:rsidRDefault="00F05DC7" w:rsidP="00A3786D">
      <w:pPr>
        <w:pStyle w:val="ListBullet"/>
      </w:pPr>
      <w:r w:rsidRPr="00C07474">
        <w:rPr>
          <w:i/>
        </w:rPr>
        <w:t>lack of transparency and accountability</w:t>
      </w:r>
      <w:r>
        <w:t xml:space="preserve">: </w:t>
      </w:r>
      <w:r w:rsidRPr="00B435F5">
        <w:t>the</w:t>
      </w:r>
      <w:r>
        <w:t xml:space="preserve"> complexity of the HFE system has increased over time. And while this may not be a problem in itself — indeed, there are many aspects of public policy that are highly complex — it can lead to misinformation and </w:t>
      </w:r>
      <w:r w:rsidRPr="006D0EB6">
        <w:t>undermine accountability</w:t>
      </w:r>
      <w:r>
        <w:t xml:space="preserve"> for decisions</w:t>
      </w:r>
      <w:r w:rsidRPr="006D0EB6">
        <w:t xml:space="preserve"> </w:t>
      </w:r>
      <w:r>
        <w:t>and</w:t>
      </w:r>
      <w:r w:rsidRPr="006D0EB6">
        <w:t xml:space="preserve"> publ</w:t>
      </w:r>
      <w:r>
        <w:t xml:space="preserve">ic confidence in the system. There are also concerns from some State Governments and others that the CGC at times makes judgments about policy matters that should be the domain of elected governments. </w:t>
      </w:r>
    </w:p>
    <w:p w14:paraId="79549673" w14:textId="77777777" w:rsidR="00F05DC7" w:rsidRDefault="00F05DC7" w:rsidP="00A3786D">
      <w:pPr>
        <w:pStyle w:val="Heading2"/>
      </w:pPr>
      <w:bookmarkStart w:id="29" w:name="_Toc513637681"/>
      <w:r>
        <w:t>A revised objective and better governance for HFE</w:t>
      </w:r>
      <w:bookmarkEnd w:id="29"/>
    </w:p>
    <w:p w14:paraId="79549674" w14:textId="77777777" w:rsidR="00F05DC7" w:rsidRDefault="00F05DC7" w:rsidP="00A3786D">
      <w:pPr>
        <w:pStyle w:val="Heading3"/>
        <w:spacing w:before="280"/>
      </w:pPr>
      <w:r>
        <w:t>The need for a revised objective</w:t>
      </w:r>
    </w:p>
    <w:p w14:paraId="79549675" w14:textId="77777777" w:rsidR="00F05DC7" w:rsidRDefault="00F05DC7" w:rsidP="00A3786D">
      <w:pPr>
        <w:pStyle w:val="BodyText"/>
      </w:pPr>
      <w:r>
        <w:t>To some degree, the problems with HFE arise because the objective is almost singularly focused on achieving full equalisation of fiscal capacities. In doing so, it does not afford a meaningful trade</w:t>
      </w:r>
      <w:r>
        <w:noBreakHyphen/>
        <w:t xml:space="preserve">off (if any) between equity, efficiency, transparency and accountability. Although efficiency is partially considered by way of the supporting principle of policy neutrality, it has typically (until recently with respect to the mining assessment) taken a ‘back seat’ to fiscal equality. </w:t>
      </w:r>
    </w:p>
    <w:p w14:paraId="79549676" w14:textId="77777777" w:rsidR="00F05DC7" w:rsidRDefault="00F05DC7" w:rsidP="00A3786D">
      <w:pPr>
        <w:pStyle w:val="BodyText"/>
      </w:pPr>
      <w:r>
        <w:t xml:space="preserve">In striving for full fiscal equalisation, it is likely that opportunities are being missed to achieve broader equity outcomes (that incorporate fairness by rewarding States for their policy efforts) and to improve efficiency for the benefit of the Australian community. </w:t>
      </w:r>
    </w:p>
    <w:p w14:paraId="79549677" w14:textId="77777777" w:rsidR="00F05DC7" w:rsidRPr="00664B38" w:rsidRDefault="00F05DC7" w:rsidP="00A3786D">
      <w:pPr>
        <w:pStyle w:val="BodyText"/>
      </w:pPr>
      <w:r>
        <w:t xml:space="preserve">A revision to the objective of HFE would be in the best interests of national productivity and wellbeing, and is an essential precursor to achieving other improvements to the HFE system. </w:t>
      </w:r>
      <w:r w:rsidRPr="00664B38">
        <w:t xml:space="preserve">The primary objective of the HFE system should be to provide the States with the fiscal capacity to supply services and associated infrastructure of a reasonable (rather than the same) standard. </w:t>
      </w:r>
      <w:r>
        <w:t xml:space="preserve">A similar objective has been adopted in several other countries, including Canada, where equalisation is intended to achieve ‘reasonably comparable’ levels of public services at reasonably comparable levels of taxation across provinces. </w:t>
      </w:r>
    </w:p>
    <w:p w14:paraId="79549678" w14:textId="77777777" w:rsidR="00F05DC7" w:rsidRDefault="00F05DC7" w:rsidP="00A3786D">
      <w:pPr>
        <w:pStyle w:val="BodyText"/>
      </w:pPr>
      <w:r>
        <w:t>Like the current approach to HFE, this proposed objective puts fiscal equality at the heart of HFE. However, the revised objective acknowledges the trade</w:t>
      </w:r>
      <w:r>
        <w:noBreakHyphen/>
        <w:t xml:space="preserve">off between full and </w:t>
      </w:r>
      <w:r>
        <w:lastRenderedPageBreak/>
        <w:t>comprehensive equalisation on the one hand, and fairness and efficiency on the other. It is also more flexible than the way the HFE objective is currently framed and would give the Treasurer greater scope (via the terms of reference) to direct the CGC to achieve less equalisation where this can deliver greater fairness and efficiency.</w:t>
      </w:r>
    </w:p>
    <w:p w14:paraId="79549679" w14:textId="77777777" w:rsidR="00F05DC7" w:rsidRDefault="00F05DC7" w:rsidP="00A3786D">
      <w:pPr>
        <w:pStyle w:val="BodyText"/>
        <w:spacing w:line="290" w:lineRule="atLeast"/>
      </w:pPr>
      <w:r>
        <w:t>The</w:t>
      </w:r>
      <w:r w:rsidDel="008966C4">
        <w:t xml:space="preserve"> </w:t>
      </w:r>
      <w:r>
        <w:t xml:space="preserve">Commonwealth Government should take on a greater leadership role in specifying the objective. The Treasurer should present the revised objective to the </w:t>
      </w:r>
      <w:r w:rsidRPr="00345D33">
        <w:t xml:space="preserve">Council on Federal Financial Relations </w:t>
      </w:r>
      <w:r>
        <w:t>(</w:t>
      </w:r>
      <w:r w:rsidRPr="00345D33">
        <w:t xml:space="preserve">the COAG council that oversees the financial relationship between the Commonwealth and the States, including the </w:t>
      </w:r>
      <w:r w:rsidRPr="00A3010A">
        <w:t>Intergovernmental Agreement on Federal Financial Relations</w:t>
      </w:r>
      <w:r>
        <w:t>). The objective should then be reflected in the terms of reference issued by the Treasurer to the CGC.</w:t>
      </w:r>
    </w:p>
    <w:p w14:paraId="7954967A" w14:textId="77777777" w:rsidR="00F05DC7" w:rsidRDefault="00F05DC7" w:rsidP="00A3786D">
      <w:pPr>
        <w:pStyle w:val="Heading3"/>
      </w:pPr>
      <w:r>
        <w:t>What governance reforms are needed?</w:t>
      </w:r>
    </w:p>
    <w:p w14:paraId="7954967B" w14:textId="77777777" w:rsidR="00F05DC7" w:rsidRDefault="00F05DC7" w:rsidP="00A3786D">
      <w:pPr>
        <w:pStyle w:val="BodyText"/>
      </w:pPr>
      <w:r>
        <w:t>Reforms to improve governance and accountability are needed, especially w</w:t>
      </w:r>
      <w:r w:rsidRPr="00D54535">
        <w:t xml:space="preserve">ith the revision of the </w:t>
      </w:r>
      <w:r>
        <w:t>HFE</w:t>
      </w:r>
      <w:r w:rsidRPr="00D54535">
        <w:t xml:space="preserve"> objective to allow scope for a better balance between efficiency and equity</w:t>
      </w:r>
      <w:r>
        <w:t xml:space="preserve">. </w:t>
      </w:r>
    </w:p>
    <w:p w14:paraId="7954967C" w14:textId="77777777" w:rsidR="00F05DC7" w:rsidRDefault="00F05DC7" w:rsidP="00A3786D">
      <w:pPr>
        <w:pStyle w:val="BodyText"/>
      </w:pPr>
      <w:r>
        <w:t xml:space="preserve">There is a dearth of public (and even government) understanding of how HFE works, and this is compounded by the lack of a strong neutral voice in public discussion. The CGC should take on a stronger communication role to facilitate a more informed public discourse on HFE, much like the RBA and Parliamentary Budget Office do today. </w:t>
      </w:r>
    </w:p>
    <w:p w14:paraId="7954967D" w14:textId="77777777" w:rsidR="00F05DC7" w:rsidRDefault="00F05DC7" w:rsidP="00A3786D">
      <w:pPr>
        <w:pStyle w:val="BodyText"/>
      </w:pPr>
      <w:r>
        <w:t>The CGC should also engage better with the States, by building on its extensive consultation practices to provide, when requested by a State, provisional ‘draft rulings’ on the possible GST implications of a change in State policy (for example, a major tax reform). This would help to reduce some of the fiscal uncertainty that States face when considering reforms, and provide greater transparency about the CGC’s deliberations on such decisions.</w:t>
      </w:r>
    </w:p>
    <w:p w14:paraId="7954967E" w14:textId="77777777" w:rsidR="00F05DC7" w:rsidRDefault="00F05DC7" w:rsidP="00A3786D">
      <w:pPr>
        <w:pStyle w:val="BodyText"/>
      </w:pPr>
      <w:r>
        <w:t>A</w:t>
      </w:r>
      <w:r w:rsidRPr="00D54535">
        <w:t xml:space="preserve"> strengthened decision</w:t>
      </w:r>
      <w:r>
        <w:noBreakHyphen/>
      </w:r>
      <w:r w:rsidRPr="00D54535">
        <w:t xml:space="preserve">making framework will </w:t>
      </w:r>
      <w:r>
        <w:t xml:space="preserve">also </w:t>
      </w:r>
      <w:r w:rsidRPr="00D54535">
        <w:t>be necessary for the CGC</w:t>
      </w:r>
      <w:r>
        <w:t xml:space="preserve"> to make better</w:t>
      </w:r>
      <w:r>
        <w:noBreakHyphen/>
        <w:t>informed decisions</w:t>
      </w:r>
      <w:r w:rsidRPr="00D54535">
        <w:t xml:space="preserve"> and for the States and the public to understand the CGC’s judgment</w:t>
      </w:r>
      <w:r>
        <w:t>s. T</w:t>
      </w:r>
      <w:r w:rsidRPr="00990A40">
        <w:t xml:space="preserve">he Commonwealth Treasury </w:t>
      </w:r>
      <w:r>
        <w:t>(drawing upon its community</w:t>
      </w:r>
      <w:r>
        <w:noBreakHyphen/>
        <w:t xml:space="preserve">wide perspective) </w:t>
      </w:r>
      <w:r w:rsidRPr="00990A40">
        <w:t xml:space="preserve">should provide input </w:t>
      </w:r>
      <w:r>
        <w:t>to</w:t>
      </w:r>
      <w:r w:rsidRPr="00990A40">
        <w:t xml:space="preserve"> the CGC’s consultation process</w:t>
      </w:r>
      <w:r>
        <w:t>es</w:t>
      </w:r>
      <w:r w:rsidRPr="00990A40">
        <w:t xml:space="preserve">, including </w:t>
      </w:r>
      <w:r>
        <w:t xml:space="preserve">by </w:t>
      </w:r>
      <w:r w:rsidRPr="00990A40">
        <w:t>making public submissions</w:t>
      </w:r>
      <w:r>
        <w:t>. T</w:t>
      </w:r>
      <w:r w:rsidRPr="00990A40">
        <w:t>he Treasurer should</w:t>
      </w:r>
      <w:r>
        <w:t xml:space="preserve"> also</w:t>
      </w:r>
      <w:r w:rsidRPr="00990A40">
        <w:t xml:space="preserve"> nominate specific areas of focus for the CGC in the terms of reference for the five yearly </w:t>
      </w:r>
      <w:r>
        <w:t>m</w:t>
      </w:r>
      <w:r w:rsidRPr="00990A40">
        <w:t>ethodolog</w:t>
      </w:r>
      <w:r>
        <w:t>y r</w:t>
      </w:r>
      <w:r w:rsidRPr="00990A40">
        <w:t>eviews</w:t>
      </w:r>
      <w:r>
        <w:t xml:space="preserve">. </w:t>
      </w:r>
    </w:p>
    <w:p w14:paraId="7954967F" w14:textId="77777777" w:rsidR="00F05DC7" w:rsidRDefault="00F05DC7" w:rsidP="00A3786D">
      <w:pPr>
        <w:pStyle w:val="BodyText"/>
      </w:pPr>
      <w:r>
        <w:t>T</w:t>
      </w:r>
      <w:r w:rsidRPr="00EB7D5B">
        <w:t xml:space="preserve">here is </w:t>
      </w:r>
      <w:r>
        <w:t>also</w:t>
      </w:r>
      <w:r w:rsidRPr="00EB7D5B">
        <w:t xml:space="preserve"> scope to improve accountability</w:t>
      </w:r>
      <w:r>
        <w:t xml:space="preserve">, by </w:t>
      </w:r>
      <w:r w:rsidRPr="00EB7D5B">
        <w:t xml:space="preserve">the CGC </w:t>
      </w:r>
      <w:r>
        <w:t xml:space="preserve">systematically </w:t>
      </w:r>
      <w:r w:rsidRPr="00EB7D5B">
        <w:t>mak</w:t>
      </w:r>
      <w:r>
        <w:t>ing</w:t>
      </w:r>
      <w:r w:rsidRPr="00EB7D5B">
        <w:t xml:space="preserve"> the data provided by the States publicly available. </w:t>
      </w:r>
      <w:r>
        <w:t>This will create greater transparency of how HFE is applied in practice and make the system less of a ‘black box’. There are also broader national interest benefits (for example, to researchers) from making data available. It will ultimately improve government decision making and the efficiency of service delivery. And it will help to hold States accountable for their own policies and spending.</w:t>
      </w:r>
    </w:p>
    <w:p w14:paraId="79549680" w14:textId="77777777" w:rsidR="00F05DC7" w:rsidRDefault="00F05DC7" w:rsidP="00A3786D">
      <w:pPr>
        <w:pStyle w:val="BodyText"/>
      </w:pPr>
      <w:r>
        <w:t xml:space="preserve">Accountability is already blurred by the patchwork of payments from the Commonwealth to the States. While the general principles applied to Commonwealth payments in the HFE formula appear sound and internally consistent with the CGC’s overall approach to HFE, </w:t>
      </w:r>
      <w:r>
        <w:lastRenderedPageBreak/>
        <w:t xml:space="preserve">they may not always be consistent with governments’ other, more direct, objectives for those payments. Perhaps as a result of this, there has been a growing tendency to quarantine some Commonwealth payments purely on political grounds. </w:t>
      </w:r>
    </w:p>
    <w:p w14:paraId="79549681" w14:textId="77777777" w:rsidR="00F05DC7" w:rsidRDefault="00F05DC7" w:rsidP="00A3786D">
      <w:pPr>
        <w:pStyle w:val="BodyText"/>
      </w:pPr>
      <w:r>
        <w:t xml:space="preserve">The ability of the Commonwealth Treasurer to quarantine payments from HFE would benefit from stricter, principled guidelines. This would ensure that quarantining does not compromise the objective of HFE and undermine the efficacy of the equalisation process. These guidelines should be determined in consultation with the States, and should seek </w:t>
      </w:r>
      <w:r w:rsidRPr="009D136B">
        <w:t>a balance between enhancing accountability and transparency, while not unduly affecting the ability of the Commonwealth Treasurer to quarantine payments in exceptional circumstances</w:t>
      </w:r>
      <w:r>
        <w:t xml:space="preserve"> (</w:t>
      </w:r>
      <w:r w:rsidRPr="009D136B">
        <w:t>where quarantining is in the national interest</w:t>
      </w:r>
      <w:r>
        <w:t>)</w:t>
      </w:r>
      <w:r w:rsidRPr="009D136B">
        <w:t>.</w:t>
      </w:r>
    </w:p>
    <w:p w14:paraId="79549682" w14:textId="77777777" w:rsidR="00F05DC7" w:rsidRDefault="00F05DC7" w:rsidP="00A3786D">
      <w:pPr>
        <w:pStyle w:val="BodyText"/>
      </w:pPr>
      <w:r>
        <w:t>The Commission’s recommended governance changes to improve transparency and accountability are readily implementable and should commence promptly.</w:t>
      </w:r>
    </w:p>
    <w:p w14:paraId="79549683" w14:textId="77777777" w:rsidR="00F05DC7" w:rsidRDefault="00F05DC7" w:rsidP="00A3786D">
      <w:pPr>
        <w:pStyle w:val="BodyText"/>
      </w:pPr>
      <w:r>
        <w:t xml:space="preserve">More broadly, there is clearly a need for an holistic assessment of how different kinds of payments interact with each other. </w:t>
      </w:r>
      <w:r w:rsidRPr="00DA572F">
        <w:t xml:space="preserve">The </w:t>
      </w:r>
      <w:r>
        <w:t xml:space="preserve">tapestry </w:t>
      </w:r>
      <w:r w:rsidRPr="00DA572F">
        <w:t xml:space="preserve">of payments is symptomatic of broader problems with federal financial relations, the roots of which lie in the very high degree of </w:t>
      </w:r>
      <w:r>
        <w:t>VFI</w:t>
      </w:r>
      <w:r w:rsidRPr="00DA572F">
        <w:t xml:space="preserve"> and the unclear delineation of responsibilities for service provision across governments. Ultimately, reform to HFE will only go part of the way to improving </w:t>
      </w:r>
      <w:r>
        <w:t xml:space="preserve">the </w:t>
      </w:r>
      <w:r w:rsidRPr="00DA572F">
        <w:t xml:space="preserve">outcomes </w:t>
      </w:r>
      <w:r>
        <w:t xml:space="preserve">from Australia’s </w:t>
      </w:r>
      <w:r w:rsidRPr="00DA572F">
        <w:t xml:space="preserve">federal financial </w:t>
      </w:r>
      <w:r>
        <w:t>arrangement</w:t>
      </w:r>
      <w:r w:rsidRPr="00DA572F">
        <w:t xml:space="preserve">s. </w:t>
      </w:r>
    </w:p>
    <w:p w14:paraId="79549684" w14:textId="77777777" w:rsidR="00F05DC7" w:rsidRDefault="00F05DC7" w:rsidP="00A3786D">
      <w:pPr>
        <w:pStyle w:val="BodyText"/>
      </w:pPr>
      <w:r w:rsidRPr="00DA572F">
        <w:t xml:space="preserve">There is a need </w:t>
      </w:r>
      <w:r>
        <w:t xml:space="preserve">and an appetite </w:t>
      </w:r>
      <w:r w:rsidRPr="00DA572F">
        <w:t>to renew e</w:t>
      </w:r>
      <w:r>
        <w:t xml:space="preserve">ndeavours </w:t>
      </w:r>
      <w:r w:rsidRPr="00DA572F">
        <w:t>to reform federal financial relations in the broad</w:t>
      </w:r>
      <w:r>
        <w:t>. This</w:t>
      </w:r>
      <w:r w:rsidRPr="00DA572F">
        <w:t xml:space="preserve"> process should be led by the Council on Federal Financial Relations</w:t>
      </w:r>
      <w:r>
        <w:t xml:space="preserve"> with input from, and prioritisation by, the recently formed Board of Treasurers. Such broader reform to federal financial relations was universally supported by participants to this inquiry, albeit none were able to clearly articulate just what this would look like. </w:t>
      </w:r>
    </w:p>
    <w:p w14:paraId="79549685" w14:textId="77777777" w:rsidR="00F05DC7" w:rsidRPr="00452568" w:rsidRDefault="00F05DC7" w:rsidP="00A3786D">
      <w:pPr>
        <w:pStyle w:val="BodyText"/>
        <w:rPr>
          <w:spacing w:val="-2"/>
        </w:rPr>
      </w:pPr>
      <w:r w:rsidRPr="00452568">
        <w:rPr>
          <w:spacing w:val="-2"/>
        </w:rPr>
        <w:t>In the first instance, governments should assess how Commonwealth payments to the States — both general revenue assistance and payments for specific purposes — interact with each other. Governments should also work to a better</w:t>
      </w:r>
      <w:r w:rsidRPr="00452568">
        <w:rPr>
          <w:spacing w:val="-2"/>
        </w:rPr>
        <w:noBreakHyphen/>
        <w:t>delineated division of responsibilities. In particular, responsibilities and accountabilities for Indigenous policy — an area where there continues to be little improvement despite significant expenditure — should be given priority. Where responsibilities remain ‘hybrid’ in nature, as will inevitably be the case in some instances — especially where there is an intersection of national and State priorities and where State or local delivery of services may be more efficient (such as for transport) — then stronger up front ‘belts and braces’ are needed for governments to be held accountable to the community for the funding and provision of public services. Following this, and ultimately informed by the allocation of funding responsibilities and accountabilities, options to meaningfully address VFI in Australia should be considered and advanced.</w:t>
      </w:r>
    </w:p>
    <w:p w14:paraId="79549686" w14:textId="77777777" w:rsidR="00F05DC7" w:rsidRDefault="00F05DC7" w:rsidP="00A3786D">
      <w:pPr>
        <w:pStyle w:val="Heading2"/>
      </w:pPr>
      <w:bookmarkStart w:id="30" w:name="_Toc513637682"/>
      <w:r>
        <w:lastRenderedPageBreak/>
        <w:t>Are there alternative approaches?</w:t>
      </w:r>
      <w:bookmarkEnd w:id="30"/>
    </w:p>
    <w:p w14:paraId="79549687" w14:textId="77777777" w:rsidR="00F05DC7" w:rsidRDefault="00F05DC7" w:rsidP="00A3786D">
      <w:pPr>
        <w:pStyle w:val="BodyText"/>
      </w:pPr>
      <w:r>
        <w:t>The Productivity Commission has been asked to consider whether there are preferable alternatives to the present approach to equalising States’ fiscal capacities.</w:t>
      </w:r>
    </w:p>
    <w:p w14:paraId="79549688" w14:textId="77777777" w:rsidR="00F05DC7" w:rsidRDefault="00F05DC7" w:rsidP="00A3786D">
      <w:pPr>
        <w:pStyle w:val="BodyText"/>
      </w:pPr>
      <w:r>
        <w:t xml:space="preserve">The Commission’s proposed revised objective — equalisation to a reasonable standard — strongly suggests that alternatives to the present system are needed. </w:t>
      </w:r>
    </w:p>
    <w:p w14:paraId="79549689" w14:textId="77777777" w:rsidR="00F05DC7" w:rsidRDefault="00F05DC7" w:rsidP="00A3786D">
      <w:pPr>
        <w:pStyle w:val="BodyText"/>
      </w:pPr>
      <w:r>
        <w:t xml:space="preserve">The Commission’s consideration of alternative approaches covers two broad types. </w:t>
      </w:r>
    </w:p>
    <w:p w14:paraId="7954968A" w14:textId="77777777" w:rsidR="00F05DC7" w:rsidRDefault="00F05DC7" w:rsidP="00A3786D">
      <w:pPr>
        <w:pStyle w:val="ListBullet"/>
      </w:pPr>
      <w:r>
        <w:t xml:space="preserve">The first involves ‘in system’ changes to the way fiscal capacities are assessed, to achieve greater efficiency (policy neutrality), and transparency and accountability in the system. </w:t>
      </w:r>
    </w:p>
    <w:p w14:paraId="7954968B" w14:textId="77777777" w:rsidR="00F05DC7" w:rsidRDefault="00F05DC7" w:rsidP="00A3786D">
      <w:pPr>
        <w:pStyle w:val="ListBullet"/>
      </w:pPr>
      <w:r>
        <w:t xml:space="preserve">The second involves use of alternative equalisation benchmarks, which could more holistically address some of the problems identified and achieve broader efficiency and fairness benefits. </w:t>
      </w:r>
    </w:p>
    <w:p w14:paraId="7954968C" w14:textId="77777777" w:rsidR="00F05DC7" w:rsidRDefault="00F05DC7" w:rsidP="00A3786D">
      <w:pPr>
        <w:pStyle w:val="BodyText"/>
      </w:pPr>
      <w:r>
        <w:t xml:space="preserve">Both approaches, and the specific options within them, variously trade </w:t>
      </w:r>
      <w:r w:rsidRPr="00D67317">
        <w:t>off equity, efficiency</w:t>
      </w:r>
      <w:r>
        <w:t>,</w:t>
      </w:r>
      <w:r w:rsidRPr="00D67317">
        <w:t xml:space="preserve"> and </w:t>
      </w:r>
      <w:r>
        <w:t>transparency and accountability. The trade</w:t>
      </w:r>
      <w:r>
        <w:noBreakHyphen/>
        <w:t xml:space="preserve">off between equity and efficiency is an inescapable consequence of HFE and of any move away from a ‘precise’ equalisation approach to a reasonable standard that injects greater fairness and efficiency into the system. </w:t>
      </w:r>
    </w:p>
    <w:p w14:paraId="7954968D" w14:textId="7B5517FC" w:rsidR="00F05DC7" w:rsidRDefault="00F05DC7" w:rsidP="00A3786D">
      <w:pPr>
        <w:pStyle w:val="BodyText"/>
      </w:pPr>
      <w:r>
        <w:t xml:space="preserve">To be ‘preferable’ to current arrangements, alternative approaches would need to address the concerns identified above and still provide States with the fiscal capacity to deliver a reasonable </w:t>
      </w:r>
      <w:r w:rsidR="006C2AD3">
        <w:t>standard</w:t>
      </w:r>
      <w:r>
        <w:t xml:space="preserve"> of services to their communities (in line with the Productivity Commission’s proposed objective for HFE).</w:t>
      </w:r>
    </w:p>
    <w:p w14:paraId="7954968E" w14:textId="77777777" w:rsidR="00F05DC7" w:rsidRDefault="00F05DC7" w:rsidP="00A3786D">
      <w:pPr>
        <w:pStyle w:val="Heading3"/>
      </w:pPr>
      <w:r>
        <w:t>Better ‘in system’ ways to assess State fiscal capacities</w:t>
      </w:r>
    </w:p>
    <w:p w14:paraId="7954968F" w14:textId="77777777" w:rsidR="00F05DC7" w:rsidRDefault="00F05DC7" w:rsidP="00A3786D">
      <w:pPr>
        <w:pStyle w:val="BodyText"/>
      </w:pPr>
      <w:r>
        <w:t>The Commission considered several ways of assessing States’ fiscal capacities. These included, discounts for individual revenue categories, targeted discounts for specific policy decisions, and the use of broad indicators and category level indicators to assess State revenue raising capacities and expenditure needs.</w:t>
      </w:r>
    </w:p>
    <w:p w14:paraId="79549690" w14:textId="77777777" w:rsidR="00F05DC7" w:rsidRDefault="00F05DC7" w:rsidP="00A3786D">
      <w:pPr>
        <w:pStyle w:val="BodyText"/>
      </w:pPr>
      <w:r>
        <w:t>At first pass, some of these options appear to offer</w:t>
      </w:r>
      <w:r w:rsidRPr="005E0807">
        <w:t xml:space="preserve"> prospective benefits</w:t>
      </w:r>
      <w:r>
        <w:t>,</w:t>
      </w:r>
      <w:r w:rsidRPr="005E0807">
        <w:t xml:space="preserve"> </w:t>
      </w:r>
      <w:r>
        <w:t xml:space="preserve">such as broad indicators and targeted discounts, </w:t>
      </w:r>
      <w:r w:rsidRPr="005E0807">
        <w:t xml:space="preserve">but on balance are not </w:t>
      </w:r>
      <w:r>
        <w:t xml:space="preserve">workable or pose too great of a risk to fiscal equality (they may not achieve a ‘reasonable’ level of equalisation). </w:t>
      </w:r>
    </w:p>
    <w:p w14:paraId="79549691" w14:textId="77777777" w:rsidR="00F05DC7" w:rsidRDefault="00F05DC7" w:rsidP="00A3786D">
      <w:pPr>
        <w:pStyle w:val="BodyText"/>
      </w:pPr>
      <w:r>
        <w:t>Use of simpler and more policy</w:t>
      </w:r>
      <w:r>
        <w:noBreakHyphen/>
        <w:t>neutral category</w:t>
      </w:r>
      <w:r>
        <w:noBreakHyphen/>
        <w:t xml:space="preserve">level indicators hold the most promise but can only go so far in addressing the problems with the HFE system. </w:t>
      </w:r>
    </w:p>
    <w:p w14:paraId="79549692" w14:textId="77777777" w:rsidR="00F05DC7" w:rsidRDefault="00F05DC7" w:rsidP="00A3786D">
      <w:pPr>
        <w:pStyle w:val="Heading4"/>
      </w:pPr>
      <w:r>
        <w:t>Discounts for mining or other revenue categories are hard to justify</w:t>
      </w:r>
    </w:p>
    <w:p w14:paraId="79549693" w14:textId="77777777" w:rsidR="00F05DC7" w:rsidRDefault="00F05DC7" w:rsidP="00A3786D">
      <w:pPr>
        <w:pStyle w:val="BodyText"/>
      </w:pPr>
      <w:r>
        <w:t>Discounting entire revenue categories, such as mining revenue or stamp duty, could be used to address policy non</w:t>
      </w:r>
      <w:r>
        <w:noBreakHyphen/>
        <w:t xml:space="preserve">neutrality concerns. This approach would guarantee that a State retains </w:t>
      </w:r>
      <w:r>
        <w:lastRenderedPageBreak/>
        <w:t xml:space="preserve">at least the discounted proportion of the change in revenue (as the discounted revenue would essentially be quarantined from equalisation). </w:t>
      </w:r>
    </w:p>
    <w:p w14:paraId="79549694" w14:textId="77777777" w:rsidR="00F05DC7" w:rsidRDefault="00F05DC7" w:rsidP="00A3786D">
      <w:pPr>
        <w:pStyle w:val="BodyText"/>
      </w:pPr>
      <w:r>
        <w:t>A common proposal among inquiry participants was to impose discounts of 25 per cent or 50 per cent to the mining revenue assessment. Canada applies a 50 per cent discount to mining revenues in its equalisation formula (although Canada’s HFE approach is not full equalisation to begin with). Applying a mining discount would deliver significant benefits to Western Australia, and to a lesser extent, Queensland and the Northern Territory.</w:t>
      </w:r>
    </w:p>
    <w:p w14:paraId="79549695" w14:textId="77777777" w:rsidR="00F05DC7" w:rsidRDefault="00F05DC7" w:rsidP="00A3786D">
      <w:pPr>
        <w:pStyle w:val="BodyText"/>
      </w:pPr>
      <w:r>
        <w:t>Proponents of this option argue that applying a discount would reflect the lack of policy neutrality inherent in the current mining assessment. However, a discount does not sit well with the main fiscal equality objective of HFE. Mining revenue, in particular, is a prime example of a source</w:t>
      </w:r>
      <w:r>
        <w:noBreakHyphen/>
        <w:t xml:space="preserve">based advantage — one a State benefits from by virtue of where its borders happen to be drawn — and should prima facie be included in the equalisation process. Further, there is a possibility that introduction of such a discount would herald calls for other carve outs. The proposal of a discount points to a legitimate problem in the HFE process, but provides a less than robust solution. </w:t>
      </w:r>
    </w:p>
    <w:p w14:paraId="79549696" w14:textId="77777777" w:rsidR="00F05DC7" w:rsidRDefault="00F05DC7" w:rsidP="00A3786D">
      <w:pPr>
        <w:pStyle w:val="Heading4"/>
      </w:pPr>
      <w:r>
        <w:t xml:space="preserve">Targeted discounts for future policy changes </w:t>
      </w:r>
    </w:p>
    <w:p w14:paraId="79549697" w14:textId="77777777" w:rsidR="00F05DC7" w:rsidRDefault="00F05DC7" w:rsidP="00A3786D">
      <w:pPr>
        <w:pStyle w:val="BodyText"/>
      </w:pPr>
      <w:r>
        <w:t xml:space="preserve">A more targeted approach would be to directly link the amount of GST a State retains after HFE to a specific policy decision that is expected to have a large impact on that State’s GST payment. Such an approach would apply discounts to prospective policy changes and would therefore provide policy neutrality at a lower cost to fiscal equality than would discounts to entire revenue categories. </w:t>
      </w:r>
    </w:p>
    <w:p w14:paraId="79549698" w14:textId="77777777" w:rsidR="00F05DC7" w:rsidRDefault="00F05DC7" w:rsidP="00A3786D">
      <w:pPr>
        <w:pStyle w:val="BodyText"/>
      </w:pPr>
      <w:r>
        <w:t>As part of its 2020 methodology review, the CGC has put forward an option for a State undertaking a tax or royalty rate change to retain at least 50 per cent of the additional revenue after equalisation. The CGC did not articulate a rationale for this proportion of retained revenue and in principle it could be higher or lower. The CGC’s decision on the level is subject to consultation with the States and finalisation of the 2020 review. Unlike previous CGC</w:t>
      </w:r>
      <w:r>
        <w:noBreakHyphen/>
        <w:t xml:space="preserve">initiated changes to the mining assessment, this change represents a significant methodology change and departure from full equalisation. </w:t>
      </w:r>
    </w:p>
    <w:p w14:paraId="79549699" w14:textId="77777777" w:rsidR="00F05DC7" w:rsidRDefault="00F05DC7" w:rsidP="00A3786D">
      <w:pPr>
        <w:pStyle w:val="BodyText"/>
      </w:pPr>
      <w:r>
        <w:t>The Commission’s analysis of this proposal shows that in practice, and for the foreseeable future, it would apply only to Western Australia, and only to iron ore, nickel and gold (as these are the only instances where more than 50 per cent of the additional revenue could be ‘equalised away’ by HFE). As such, it would have no impact on State policy disincentives for other types of tax changes (such as replacing stamp duty with land tax). And it does not offer a systematic way of addressing policy non</w:t>
      </w:r>
      <w:r>
        <w:noBreakHyphen/>
        <w:t>neutrality arising from States expanding their tax bases.</w:t>
      </w:r>
    </w:p>
    <w:p w14:paraId="7954969A" w14:textId="77777777" w:rsidR="00F05DC7" w:rsidRDefault="00F05DC7" w:rsidP="00A3786D">
      <w:pPr>
        <w:pStyle w:val="BodyText"/>
      </w:pPr>
      <w:r>
        <w:t xml:space="preserve">Leaving the discount in place indefinitely for a given policy decision may not be desirable, and may have unintended consequences, for fiscal equality. Any revenue sources (such as minerals) that provide States with a material fiscal advantage should, in principle, be </w:t>
      </w:r>
      <w:r>
        <w:lastRenderedPageBreak/>
        <w:t xml:space="preserve">included within HFE. Further, over time, multiple discounts would increase the complexity of the HFE system and reduce its transparency. </w:t>
      </w:r>
    </w:p>
    <w:p w14:paraId="7954969B" w14:textId="77777777" w:rsidR="00F05DC7" w:rsidRDefault="00F05DC7" w:rsidP="00A3786D">
      <w:pPr>
        <w:pStyle w:val="Heading4"/>
      </w:pPr>
      <w:r>
        <w:t>A broad indicator could achieve policy neutrality but remains elusive in practice</w:t>
      </w:r>
    </w:p>
    <w:p w14:paraId="7954969C" w14:textId="77777777" w:rsidR="00F05DC7" w:rsidRDefault="00F05DC7" w:rsidP="00A3786D">
      <w:pPr>
        <w:pStyle w:val="BodyText"/>
      </w:pPr>
      <w:r>
        <w:t>Another approach to achieving greater simplicity and policy neutrality is to use a single broad indicator (such as gross state product or household disposable income) to assess each State’s fiscal capacity. Such an approach, in principle, offers a simple, transparent and genuinely policy</w:t>
      </w:r>
      <w:r>
        <w:noBreakHyphen/>
        <w:t>neutral measure of fiscal capacity — to the extent that changes in an individual State’s taxes have very little influence on the broad indicator and thus would not influence the amount of GST the State receives.</w:t>
      </w:r>
      <w:r w:rsidRPr="00057D81">
        <w:t xml:space="preserve"> </w:t>
      </w:r>
      <w:r>
        <w:t xml:space="preserve">This approach has been used for some transfers in the United States but is otherwise not commonly used in equalisation schemes overseas. </w:t>
      </w:r>
    </w:p>
    <w:p w14:paraId="7954969D" w14:textId="77777777" w:rsidR="00F05DC7" w:rsidRDefault="00F05DC7" w:rsidP="00A3786D">
      <w:pPr>
        <w:pStyle w:val="BodyText"/>
      </w:pPr>
      <w:r>
        <w:t>But there are also a number of genuine concerns with a single broad indicator, including whether the indicator meaningfully reflects fiscal circumstances within States. A broad indicator would have significant costs in terms of material loss of accuracy, and may not achieve a ‘reasonable’ level of equalisation. The broader the indicator that is used, the more such risks may arise. And in practice, finding a single indicator that provides a reasonable reflection of States’ fiscal capacities remains elusive and arguably does not exist.</w:t>
      </w:r>
    </w:p>
    <w:p w14:paraId="7954969E" w14:textId="77777777" w:rsidR="00F05DC7" w:rsidRDefault="00F05DC7" w:rsidP="00A3786D">
      <w:pPr>
        <w:pStyle w:val="Heading4"/>
      </w:pPr>
      <w:r>
        <w:t>Simpler and more policy</w:t>
      </w:r>
      <w:r>
        <w:noBreakHyphen/>
        <w:t>neutral category level indicators could improve efficiency</w:t>
      </w:r>
    </w:p>
    <w:p w14:paraId="7954969F" w14:textId="77777777" w:rsidR="00F05DC7" w:rsidRDefault="00F05DC7" w:rsidP="00A3786D">
      <w:pPr>
        <w:pStyle w:val="BodyText"/>
      </w:pPr>
      <w:r>
        <w:t>A better approach involves the use of simpler and more policy</w:t>
      </w:r>
      <w:r>
        <w:noBreakHyphen/>
        <w:t>neutral indicators at the revenue and expenditure category level. This offers a way of achieving simplicity (and hence transparency) in the system as well as improving efficiency, without unduly risking fiscal equity in the way that a single broad indicator does</w:t>
      </w:r>
      <w:r w:rsidDel="00BA3B02">
        <w:t>.</w:t>
      </w:r>
      <w:r>
        <w:t xml:space="preserve"> This could be done in several ways, including using more general measures of tax bases (and removing adjustments and carve outs for tax free thresholds and exemptions), or by using a single measure for each revenue or expenditure category (rather than separate measures for each sub</w:t>
      </w:r>
      <w:r>
        <w:noBreakHyphen/>
        <w:t xml:space="preserve">category). </w:t>
      </w:r>
    </w:p>
    <w:p w14:paraId="795496A0" w14:textId="77777777" w:rsidR="00F05DC7" w:rsidRDefault="00F05DC7" w:rsidP="00A3786D">
      <w:pPr>
        <w:pStyle w:val="BodyText"/>
      </w:pPr>
      <w:r>
        <w:t>Greater use of simpler and policy</w:t>
      </w:r>
      <w:r>
        <w:noBreakHyphen/>
        <w:t xml:space="preserve">neutral indicators at the category level would more directly link GST shares to each State’s underlying capacity to raise taxes or provide services. Thus, it is less prone to influence from an individual State’s policy choices and designs, and therefore would have efficiency benefits. </w:t>
      </w:r>
    </w:p>
    <w:p w14:paraId="795496A1" w14:textId="77777777" w:rsidR="00F05DC7" w:rsidRDefault="00F05DC7" w:rsidP="00A3786D">
      <w:pPr>
        <w:pStyle w:val="BodyText"/>
      </w:pPr>
      <w:r>
        <w:t xml:space="preserve">During the time of this inquiry, the Commission has </w:t>
      </w:r>
      <w:r w:rsidDel="00B467FF">
        <w:t xml:space="preserve">identified </w:t>
      </w:r>
      <w:r>
        <w:t>and assessed one prospective candidate. Use of a more policy</w:t>
      </w:r>
      <w:r>
        <w:noBreakHyphen/>
        <w:t>neutral measure of the underlying stamp duty tax base would mean that GST payments are less susceptible to change as a result of tax reforms to replace stamp duty with land tax (box 5). In this example, each of the alternative indicators would achieve better policy neutrality, but come at the potential cost of less accurately reflecting States’ abilities to raise revenue. The key challenge in selecting an indicator is thus striking a balance between these two factors.</w:t>
      </w:r>
      <w:r w:rsidRPr="00057D81">
        <w:t xml:space="preserve"> </w:t>
      </w:r>
    </w:p>
    <w:p w14:paraId="795496A2" w14:textId="77C86282" w:rsidR="00F05DC7" w:rsidRDefault="00F05DC7" w:rsidP="00A3786D">
      <w:pPr>
        <w:pStyle w:val="BodyText"/>
      </w:pPr>
      <w:r>
        <w:lastRenderedPageBreak/>
        <w:t xml:space="preserve">Ideally, the indicators should be beyond the direct influence of State policy (thus achieving policy neutrality), while also ensuring States are provided with the fiscal capacity to deliver a reasonable </w:t>
      </w:r>
      <w:r w:rsidR="006C2AD3">
        <w:t>standard</w:t>
      </w:r>
      <w:r>
        <w:t xml:space="preserve"> of services.</w:t>
      </w:r>
    </w:p>
    <w:p w14:paraId="795496A3"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6A5" w14:textId="77777777" w:rsidTr="00A3786D">
        <w:trPr>
          <w:tblHeader/>
        </w:trPr>
        <w:tc>
          <w:tcPr>
            <w:tcW w:w="5000" w:type="pct"/>
            <w:tcBorders>
              <w:top w:val="single" w:sz="6" w:space="0" w:color="78A22F"/>
              <w:left w:val="nil"/>
              <w:bottom w:val="nil"/>
              <w:right w:val="nil"/>
            </w:tcBorders>
            <w:shd w:val="clear" w:color="auto" w:fill="F2F2F2"/>
          </w:tcPr>
          <w:p w14:paraId="795496A4" w14:textId="77777777" w:rsidR="00F05DC7" w:rsidRDefault="00F05DC7" w:rsidP="00A3786D">
            <w:pPr>
              <w:pStyle w:val="BoxTitle"/>
            </w:pPr>
            <w:r>
              <w:rPr>
                <w:b w:val="0"/>
              </w:rPr>
              <w:t>Box 5</w:t>
            </w:r>
            <w:r>
              <w:tab/>
              <w:t>Improving the policy neutrality of the stamp duty assessment</w:t>
            </w:r>
          </w:p>
        </w:tc>
      </w:tr>
      <w:tr w:rsidR="00F05DC7" w14:paraId="795496F2" w14:textId="77777777" w:rsidTr="00A3786D">
        <w:tc>
          <w:tcPr>
            <w:tcW w:w="5000" w:type="pct"/>
            <w:tcBorders>
              <w:top w:val="nil"/>
              <w:left w:val="nil"/>
              <w:bottom w:val="nil"/>
              <w:right w:val="nil"/>
            </w:tcBorders>
            <w:shd w:val="clear" w:color="auto" w:fill="F2F2F2"/>
          </w:tcPr>
          <w:p w14:paraId="795496A6" w14:textId="77777777" w:rsidR="00F05DC7" w:rsidRDefault="00F05DC7" w:rsidP="00A3786D">
            <w:pPr>
              <w:pStyle w:val="Box"/>
            </w:pPr>
            <w:r>
              <w:t>The CGC currently uses the total value of property transferred (adjusted for tax exemptions and progressive tax rates) to assess a State’s ability to raise revenue from stamp duties on property — a tax base that, while reflecting ‘what States do’, can be highly sensitive to changes in policy. This can create strong disincentives to replace stamp duty with a more efficient broad</w:t>
            </w:r>
            <w:r>
              <w:noBreakHyphen/>
              <w:t xml:space="preserve">based land tax (box 4). </w:t>
            </w:r>
          </w:p>
          <w:p w14:paraId="795496A7" w14:textId="77777777" w:rsidR="00F05DC7" w:rsidRDefault="00F05DC7" w:rsidP="00A3786D">
            <w:pPr>
              <w:pStyle w:val="Box"/>
            </w:pPr>
            <w:r>
              <w:t>These undesirable GST impacts could be reduced if a more policy</w:t>
            </w:r>
            <w:r>
              <w:noBreakHyphen/>
              <w:t>neutral measure of the tax base was used in the CGC’s assessment — one that is less sensitive to changes in State tax rates or other policy settings. Specifically, if the total value of the dwelling stock was used instead, reform disincentives could be reduced by up to 63 per cent. And if the unimproved value of land was used, disincentives could be eliminated — this is because the same indicator is used to estimate the GST distribution due to the new land tax, and because the size of the underlying tax base is not expected to change as a result of the tax reform.</w:t>
            </w:r>
          </w:p>
          <w:p w14:paraId="24A1CE5D" w14:textId="3F5A481B" w:rsidR="00C20F7B" w:rsidRDefault="00C20F7B" w:rsidP="00C20F7B">
            <w:pPr>
              <w:pStyle w:val="Box"/>
              <w:spacing w:after="80"/>
            </w:pPr>
            <w:r>
              <w:rPr>
                <w:b/>
              </w:rPr>
              <w:t>Stamp</w:t>
            </w:r>
            <w:r w:rsidRPr="00105E3E">
              <w:rPr>
                <w:b/>
              </w:rPr>
              <w:t xml:space="preserve"> duty</w:t>
            </w:r>
            <w:r>
              <w:rPr>
                <w:b/>
              </w:rPr>
              <w:t xml:space="preserve"> halved with revenue replaced</w:t>
            </w:r>
            <w:r w:rsidRPr="00105E3E">
              <w:rPr>
                <w:b/>
              </w:rPr>
              <w:t xml:space="preserve"> </w:t>
            </w:r>
            <w:r>
              <w:rPr>
                <w:b/>
              </w:rPr>
              <w:t xml:space="preserve">by </w:t>
            </w:r>
            <w:r w:rsidRPr="00105E3E">
              <w:rPr>
                <w:b/>
              </w:rPr>
              <w:t>new land ta</w:t>
            </w:r>
            <w:r>
              <w:rPr>
                <w:b/>
              </w:rPr>
              <w:t>x, unilateral reform, 2016</w:t>
            </w:r>
            <w:r>
              <w:rPr>
                <w:b/>
              </w:rPr>
              <w:noBreakHyphen/>
              <w:t>17</w:t>
            </w:r>
          </w:p>
          <w:tbl>
            <w:tblPr>
              <w:tblW w:w="5000" w:type="pct"/>
              <w:tblLook w:val="04A0" w:firstRow="1" w:lastRow="0" w:firstColumn="1" w:lastColumn="0" w:noHBand="0" w:noVBand="1"/>
            </w:tblPr>
            <w:tblGrid>
              <w:gridCol w:w="2760"/>
              <w:gridCol w:w="838"/>
              <w:gridCol w:w="701"/>
              <w:gridCol w:w="701"/>
              <w:gridCol w:w="701"/>
              <w:gridCol w:w="701"/>
              <w:gridCol w:w="701"/>
              <w:gridCol w:w="701"/>
              <w:gridCol w:w="701"/>
            </w:tblGrid>
            <w:tr w:rsidR="00C20F7B" w14:paraId="415607FA" w14:textId="77777777" w:rsidTr="005602D0">
              <w:trPr>
                <w:trHeight w:val="286"/>
              </w:trPr>
              <w:tc>
                <w:tcPr>
                  <w:tcW w:w="1623"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424D5C4D" w14:textId="77777777" w:rsidR="00C20F7B" w:rsidRDefault="00C20F7B" w:rsidP="00C20F7B">
                  <w:pPr>
                    <w:rPr>
                      <w:color w:val="000000"/>
                      <w:sz w:val="20"/>
                      <w:szCs w:val="20"/>
                    </w:rPr>
                  </w:pPr>
                  <w:r>
                    <w:rPr>
                      <w:color w:val="000000"/>
                      <w:sz w:val="20"/>
                      <w:szCs w:val="20"/>
                    </w:rPr>
                    <w:t> </w:t>
                  </w:r>
                </w:p>
              </w:tc>
              <w:tc>
                <w:tcPr>
                  <w:tcW w:w="493"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2CDAC40D" w14:textId="77777777" w:rsidR="00C20F7B" w:rsidRDefault="00C20F7B" w:rsidP="00C20F7B">
                  <w:pPr>
                    <w:pStyle w:val="TableColumnHeading"/>
                    <w:ind w:right="57"/>
                  </w:pPr>
                  <w:r>
                    <w:t>NSW</w:t>
                  </w:r>
                </w:p>
              </w:tc>
              <w:tc>
                <w:tcPr>
                  <w:tcW w:w="412"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5F9FE489" w14:textId="77777777" w:rsidR="00C20F7B" w:rsidRDefault="00C20F7B" w:rsidP="00C20F7B">
                  <w:pPr>
                    <w:pStyle w:val="TableColumnHeading"/>
                    <w:ind w:right="57"/>
                  </w:pPr>
                  <w:r>
                    <w:t>Vic</w:t>
                  </w:r>
                </w:p>
              </w:tc>
              <w:tc>
                <w:tcPr>
                  <w:tcW w:w="412"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140F565B" w14:textId="77777777" w:rsidR="00C20F7B" w:rsidRDefault="00C20F7B" w:rsidP="00C20F7B">
                  <w:pPr>
                    <w:pStyle w:val="TableColumnHeading"/>
                    <w:ind w:right="57"/>
                  </w:pPr>
                  <w:r>
                    <w:t>Qld</w:t>
                  </w:r>
                </w:p>
              </w:tc>
              <w:tc>
                <w:tcPr>
                  <w:tcW w:w="412"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2B709AD4" w14:textId="77777777" w:rsidR="00C20F7B" w:rsidRDefault="00C20F7B" w:rsidP="00C20F7B">
                  <w:pPr>
                    <w:pStyle w:val="TableColumnHeading"/>
                    <w:ind w:right="57"/>
                  </w:pPr>
                  <w:r>
                    <w:t>WA</w:t>
                  </w:r>
                </w:p>
              </w:tc>
              <w:tc>
                <w:tcPr>
                  <w:tcW w:w="412"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19F09295" w14:textId="77777777" w:rsidR="00C20F7B" w:rsidRDefault="00C20F7B" w:rsidP="00C20F7B">
                  <w:pPr>
                    <w:pStyle w:val="TableColumnHeading"/>
                    <w:ind w:right="57"/>
                  </w:pPr>
                  <w:r>
                    <w:t>SA</w:t>
                  </w:r>
                </w:p>
              </w:tc>
              <w:tc>
                <w:tcPr>
                  <w:tcW w:w="412"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3D341042" w14:textId="77777777" w:rsidR="00C20F7B" w:rsidRDefault="00C20F7B" w:rsidP="00C20F7B">
                  <w:pPr>
                    <w:pStyle w:val="TableColumnHeading"/>
                    <w:ind w:right="57"/>
                  </w:pPr>
                  <w:r>
                    <w:t>Tas</w:t>
                  </w:r>
                </w:p>
              </w:tc>
              <w:tc>
                <w:tcPr>
                  <w:tcW w:w="412"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11607B50" w14:textId="77777777" w:rsidR="00C20F7B" w:rsidRDefault="00C20F7B" w:rsidP="00C20F7B">
                  <w:pPr>
                    <w:pStyle w:val="TableColumnHeading"/>
                    <w:ind w:right="57"/>
                  </w:pPr>
                  <w:r>
                    <w:t>ACT</w:t>
                  </w:r>
                </w:p>
              </w:tc>
              <w:tc>
                <w:tcPr>
                  <w:tcW w:w="412"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3D675C8B" w14:textId="77777777" w:rsidR="00C20F7B" w:rsidRDefault="00C20F7B" w:rsidP="00C20F7B">
                  <w:pPr>
                    <w:pStyle w:val="TableColumnHeading"/>
                    <w:ind w:right="57"/>
                  </w:pPr>
                  <w:r>
                    <w:t>NT</w:t>
                  </w:r>
                </w:p>
              </w:tc>
            </w:tr>
            <w:tr w:rsidR="00C20F7B" w:rsidRPr="00142FD1" w14:paraId="7EA7612E" w14:textId="77777777" w:rsidTr="005602D0">
              <w:trPr>
                <w:trHeight w:val="287"/>
              </w:trPr>
              <w:tc>
                <w:tcPr>
                  <w:tcW w:w="5000" w:type="pct"/>
                  <w:gridSpan w:val="9"/>
                  <w:tcBorders>
                    <w:top w:val="single" w:sz="6" w:space="0" w:color="BFBFBF"/>
                    <w:left w:val="nil"/>
                    <w:bottom w:val="nil"/>
                    <w:right w:val="nil"/>
                  </w:tcBorders>
                  <w:shd w:val="clear" w:color="auto" w:fill="auto"/>
                  <w:tcMar>
                    <w:left w:w="0" w:type="dxa"/>
                    <w:right w:w="0" w:type="dxa"/>
                  </w:tcMar>
                  <w:vAlign w:val="center"/>
                  <w:hideMark/>
                </w:tcPr>
                <w:p w14:paraId="1C7CE69A" w14:textId="77777777" w:rsidR="00C20F7B" w:rsidRPr="00142FD1" w:rsidRDefault="00C20F7B" w:rsidP="00C20F7B">
                  <w:pPr>
                    <w:spacing w:before="80"/>
                    <w:rPr>
                      <w:rFonts w:asciiTheme="minorHAnsi" w:hAnsiTheme="minorHAnsi" w:cstheme="minorHAnsi"/>
                      <w:sz w:val="18"/>
                      <w:szCs w:val="18"/>
                    </w:rPr>
                  </w:pPr>
                  <w:r w:rsidRPr="00142FD1">
                    <w:rPr>
                      <w:rFonts w:asciiTheme="minorHAnsi" w:hAnsiTheme="minorHAnsi" w:cstheme="minorHAnsi"/>
                      <w:b/>
                      <w:bCs/>
                      <w:color w:val="000000"/>
                      <w:sz w:val="18"/>
                      <w:szCs w:val="18"/>
                    </w:rPr>
                    <w:t>Change in GST payments ($m)</w:t>
                  </w:r>
                </w:p>
              </w:tc>
            </w:tr>
            <w:tr w:rsidR="00C20F7B" w:rsidRPr="00240BB1" w14:paraId="4A0A4B94" w14:textId="77777777" w:rsidTr="00707C52">
              <w:trPr>
                <w:trHeight w:val="287"/>
              </w:trPr>
              <w:tc>
                <w:tcPr>
                  <w:tcW w:w="5000" w:type="pct"/>
                  <w:gridSpan w:val="9"/>
                  <w:tcBorders>
                    <w:top w:val="nil"/>
                    <w:left w:val="nil"/>
                    <w:bottom w:val="nil"/>
                    <w:right w:val="nil"/>
                  </w:tcBorders>
                  <w:shd w:val="clear" w:color="auto" w:fill="auto"/>
                  <w:tcMar>
                    <w:left w:w="0" w:type="dxa"/>
                    <w:right w:w="0" w:type="dxa"/>
                  </w:tcMar>
                  <w:vAlign w:val="center"/>
                </w:tcPr>
                <w:p w14:paraId="76482D99" w14:textId="77777777" w:rsidR="00C20F7B" w:rsidRPr="00240BB1" w:rsidRDefault="00C20F7B" w:rsidP="00C20F7B">
                  <w:pPr>
                    <w:spacing w:before="80"/>
                    <w:rPr>
                      <w:rFonts w:asciiTheme="minorHAnsi" w:hAnsiTheme="minorHAnsi" w:cstheme="minorHAnsi"/>
                      <w:bCs/>
                      <w:i/>
                      <w:color w:val="000000"/>
                      <w:sz w:val="18"/>
                      <w:szCs w:val="18"/>
                    </w:rPr>
                  </w:pPr>
                  <w:r w:rsidRPr="00240BB1">
                    <w:rPr>
                      <w:rFonts w:asciiTheme="minorHAnsi" w:hAnsiTheme="minorHAnsi" w:cstheme="minorHAnsi"/>
                      <w:bCs/>
                      <w:i/>
                      <w:color w:val="000000"/>
                      <w:sz w:val="18"/>
                      <w:szCs w:val="18"/>
                    </w:rPr>
                    <w:t>Current approach</w:t>
                  </w:r>
                </w:p>
              </w:tc>
            </w:tr>
            <w:tr w:rsidR="00C20F7B" w:rsidRPr="007E351B" w14:paraId="29B8E276" w14:textId="77777777" w:rsidTr="00707C52">
              <w:trPr>
                <w:trHeight w:val="287"/>
              </w:trPr>
              <w:tc>
                <w:tcPr>
                  <w:tcW w:w="1623" w:type="pct"/>
                  <w:tcBorders>
                    <w:top w:val="nil"/>
                    <w:left w:val="nil"/>
                    <w:bottom w:val="nil"/>
                    <w:right w:val="nil"/>
                  </w:tcBorders>
                  <w:shd w:val="clear" w:color="auto" w:fill="auto"/>
                  <w:tcMar>
                    <w:left w:w="0" w:type="dxa"/>
                    <w:right w:w="0" w:type="dxa"/>
                  </w:tcMar>
                  <w:vAlign w:val="center"/>
                </w:tcPr>
                <w:p w14:paraId="0802567E" w14:textId="77777777" w:rsidR="00C20F7B" w:rsidRPr="00791D71" w:rsidRDefault="00C20F7B" w:rsidP="00C20F7B">
                  <w:pPr>
                    <w:ind w:left="113"/>
                    <w:rPr>
                      <w:rFonts w:asciiTheme="minorHAnsi" w:hAnsiTheme="minorHAnsi" w:cstheme="minorHAnsi"/>
                      <w:color w:val="000000"/>
                      <w:sz w:val="18"/>
                      <w:szCs w:val="18"/>
                    </w:rPr>
                  </w:pPr>
                  <w:r w:rsidRPr="002E6AE6">
                    <w:rPr>
                      <w:rFonts w:asciiTheme="minorHAnsi" w:hAnsiTheme="minorHAnsi" w:cstheme="minorHAnsi"/>
                      <w:color w:val="000000"/>
                      <w:sz w:val="18"/>
                      <w:szCs w:val="18"/>
                    </w:rPr>
                    <w:t>GST, lower bound ($m)</w:t>
                  </w:r>
                </w:p>
              </w:tc>
              <w:tc>
                <w:tcPr>
                  <w:tcW w:w="493" w:type="pct"/>
                  <w:shd w:val="clear" w:color="auto" w:fill="auto"/>
                  <w:tcMar>
                    <w:left w:w="0" w:type="dxa"/>
                    <w:right w:w="28" w:type="dxa"/>
                  </w:tcMar>
                  <w:vAlign w:val="center"/>
                </w:tcPr>
                <w:p w14:paraId="5CBCDE90"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337</w:t>
                  </w:r>
                </w:p>
              </w:tc>
              <w:tc>
                <w:tcPr>
                  <w:tcW w:w="412" w:type="pct"/>
                  <w:shd w:val="clear" w:color="auto" w:fill="auto"/>
                  <w:tcMar>
                    <w:left w:w="0" w:type="dxa"/>
                    <w:right w:w="28" w:type="dxa"/>
                  </w:tcMar>
                  <w:vAlign w:val="center"/>
                </w:tcPr>
                <w:p w14:paraId="54B31C65"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351</w:t>
                  </w:r>
                </w:p>
              </w:tc>
              <w:tc>
                <w:tcPr>
                  <w:tcW w:w="412" w:type="pct"/>
                  <w:shd w:val="clear" w:color="auto" w:fill="auto"/>
                  <w:tcMar>
                    <w:left w:w="0" w:type="dxa"/>
                    <w:right w:w="28" w:type="dxa"/>
                  </w:tcMar>
                  <w:vAlign w:val="center"/>
                </w:tcPr>
                <w:p w14:paraId="76551F9C"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308</w:t>
                  </w:r>
                </w:p>
              </w:tc>
              <w:tc>
                <w:tcPr>
                  <w:tcW w:w="412" w:type="pct"/>
                  <w:shd w:val="clear" w:color="auto" w:fill="auto"/>
                  <w:tcMar>
                    <w:left w:w="0" w:type="dxa"/>
                    <w:right w:w="28" w:type="dxa"/>
                  </w:tcMar>
                  <w:vAlign w:val="center"/>
                </w:tcPr>
                <w:p w14:paraId="3AAAAA78"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131</w:t>
                  </w:r>
                </w:p>
              </w:tc>
              <w:tc>
                <w:tcPr>
                  <w:tcW w:w="412" w:type="pct"/>
                  <w:shd w:val="clear" w:color="auto" w:fill="auto"/>
                  <w:tcMar>
                    <w:left w:w="0" w:type="dxa"/>
                    <w:right w:w="28" w:type="dxa"/>
                  </w:tcMar>
                  <w:vAlign w:val="center"/>
                </w:tcPr>
                <w:p w14:paraId="405A8EBE"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83</w:t>
                  </w:r>
                </w:p>
              </w:tc>
              <w:tc>
                <w:tcPr>
                  <w:tcW w:w="412" w:type="pct"/>
                  <w:shd w:val="clear" w:color="auto" w:fill="auto"/>
                  <w:tcMar>
                    <w:left w:w="0" w:type="dxa"/>
                    <w:right w:w="28" w:type="dxa"/>
                  </w:tcMar>
                  <w:vAlign w:val="center"/>
                </w:tcPr>
                <w:p w14:paraId="6D22DDFF"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24</w:t>
                  </w:r>
                </w:p>
              </w:tc>
              <w:tc>
                <w:tcPr>
                  <w:tcW w:w="412" w:type="pct"/>
                  <w:shd w:val="clear" w:color="auto" w:fill="auto"/>
                  <w:tcMar>
                    <w:left w:w="0" w:type="dxa"/>
                    <w:right w:w="28" w:type="dxa"/>
                  </w:tcMar>
                  <w:vAlign w:val="center"/>
                </w:tcPr>
                <w:p w14:paraId="6DAB6AB5"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33</w:t>
                  </w:r>
                </w:p>
              </w:tc>
              <w:tc>
                <w:tcPr>
                  <w:tcW w:w="412" w:type="pct"/>
                  <w:shd w:val="clear" w:color="auto" w:fill="auto"/>
                  <w:tcMar>
                    <w:left w:w="0" w:type="dxa"/>
                    <w:right w:w="28" w:type="dxa"/>
                  </w:tcMar>
                  <w:vAlign w:val="center"/>
                </w:tcPr>
                <w:p w14:paraId="64299152"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10</w:t>
                  </w:r>
                </w:p>
              </w:tc>
            </w:tr>
            <w:tr w:rsidR="00C20F7B" w:rsidRPr="007E351B" w14:paraId="4FCE6F55" w14:textId="77777777" w:rsidTr="00707C52">
              <w:trPr>
                <w:trHeight w:val="287"/>
              </w:trPr>
              <w:tc>
                <w:tcPr>
                  <w:tcW w:w="1623" w:type="pct"/>
                  <w:tcBorders>
                    <w:top w:val="nil"/>
                    <w:left w:val="nil"/>
                    <w:bottom w:val="nil"/>
                    <w:right w:val="nil"/>
                  </w:tcBorders>
                  <w:shd w:val="clear" w:color="auto" w:fill="auto"/>
                  <w:tcMar>
                    <w:left w:w="0" w:type="dxa"/>
                    <w:right w:w="0" w:type="dxa"/>
                  </w:tcMar>
                  <w:vAlign w:val="center"/>
                </w:tcPr>
                <w:p w14:paraId="34D4A362" w14:textId="77777777" w:rsidR="00C20F7B" w:rsidRPr="00791D71" w:rsidRDefault="00C20F7B" w:rsidP="00C20F7B">
                  <w:pPr>
                    <w:ind w:left="113"/>
                    <w:rPr>
                      <w:rFonts w:asciiTheme="minorHAnsi" w:hAnsiTheme="minorHAnsi" w:cstheme="minorHAnsi"/>
                      <w:color w:val="000000"/>
                      <w:sz w:val="18"/>
                      <w:szCs w:val="18"/>
                    </w:rPr>
                  </w:pPr>
                  <w:r w:rsidRPr="002E6AE6">
                    <w:rPr>
                      <w:rFonts w:asciiTheme="minorHAnsi" w:hAnsiTheme="minorHAnsi" w:cstheme="minorHAnsi"/>
                      <w:color w:val="000000"/>
                      <w:sz w:val="18"/>
                      <w:szCs w:val="18"/>
                    </w:rPr>
                    <w:t>GST, upper bound ($m)</w:t>
                  </w:r>
                </w:p>
              </w:tc>
              <w:tc>
                <w:tcPr>
                  <w:tcW w:w="493" w:type="pct"/>
                  <w:shd w:val="clear" w:color="auto" w:fill="auto"/>
                  <w:tcMar>
                    <w:left w:w="0" w:type="dxa"/>
                    <w:right w:w="28" w:type="dxa"/>
                  </w:tcMar>
                  <w:vAlign w:val="center"/>
                </w:tcPr>
                <w:p w14:paraId="5C8CAA43"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1 281</w:t>
                  </w:r>
                </w:p>
              </w:tc>
              <w:tc>
                <w:tcPr>
                  <w:tcW w:w="412" w:type="pct"/>
                  <w:shd w:val="clear" w:color="auto" w:fill="auto"/>
                  <w:tcMar>
                    <w:left w:w="0" w:type="dxa"/>
                    <w:right w:w="28" w:type="dxa"/>
                  </w:tcMar>
                  <w:vAlign w:val="center"/>
                </w:tcPr>
                <w:p w14:paraId="1B6CA701"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1 178</w:t>
                  </w:r>
                </w:p>
              </w:tc>
              <w:tc>
                <w:tcPr>
                  <w:tcW w:w="412" w:type="pct"/>
                  <w:shd w:val="clear" w:color="auto" w:fill="auto"/>
                  <w:tcMar>
                    <w:left w:w="0" w:type="dxa"/>
                    <w:right w:w="28" w:type="dxa"/>
                  </w:tcMar>
                  <w:vAlign w:val="center"/>
                </w:tcPr>
                <w:p w14:paraId="324FA2F6"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982</w:t>
                  </w:r>
                </w:p>
              </w:tc>
              <w:tc>
                <w:tcPr>
                  <w:tcW w:w="412" w:type="pct"/>
                  <w:shd w:val="clear" w:color="auto" w:fill="auto"/>
                  <w:tcMar>
                    <w:left w:w="0" w:type="dxa"/>
                    <w:right w:w="28" w:type="dxa"/>
                  </w:tcMar>
                  <w:vAlign w:val="center"/>
                </w:tcPr>
                <w:p w14:paraId="342B89CA"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366</w:t>
                  </w:r>
                </w:p>
              </w:tc>
              <w:tc>
                <w:tcPr>
                  <w:tcW w:w="412" w:type="pct"/>
                  <w:shd w:val="clear" w:color="auto" w:fill="auto"/>
                  <w:tcMar>
                    <w:left w:w="0" w:type="dxa"/>
                    <w:right w:w="28" w:type="dxa"/>
                  </w:tcMar>
                  <w:vAlign w:val="center"/>
                </w:tcPr>
                <w:p w14:paraId="0551DCBC"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250</w:t>
                  </w:r>
                </w:p>
              </w:tc>
              <w:tc>
                <w:tcPr>
                  <w:tcW w:w="412" w:type="pct"/>
                  <w:shd w:val="clear" w:color="auto" w:fill="auto"/>
                  <w:tcMar>
                    <w:left w:w="0" w:type="dxa"/>
                    <w:right w:w="28" w:type="dxa"/>
                  </w:tcMar>
                  <w:vAlign w:val="center"/>
                </w:tcPr>
                <w:p w14:paraId="308DBD50"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79</w:t>
                  </w:r>
                </w:p>
              </w:tc>
              <w:tc>
                <w:tcPr>
                  <w:tcW w:w="412" w:type="pct"/>
                  <w:shd w:val="clear" w:color="auto" w:fill="auto"/>
                  <w:tcMar>
                    <w:left w:w="0" w:type="dxa"/>
                    <w:right w:w="28" w:type="dxa"/>
                  </w:tcMar>
                  <w:vAlign w:val="center"/>
                </w:tcPr>
                <w:p w14:paraId="48A47590"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115</w:t>
                  </w:r>
                </w:p>
              </w:tc>
              <w:tc>
                <w:tcPr>
                  <w:tcW w:w="412" w:type="pct"/>
                  <w:shd w:val="clear" w:color="auto" w:fill="auto"/>
                  <w:tcMar>
                    <w:left w:w="0" w:type="dxa"/>
                    <w:right w:w="28" w:type="dxa"/>
                  </w:tcMar>
                  <w:vAlign w:val="center"/>
                </w:tcPr>
                <w:p w14:paraId="683EE46F"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32</w:t>
                  </w:r>
                </w:p>
              </w:tc>
            </w:tr>
            <w:tr w:rsidR="00C20F7B" w:rsidRPr="009B4EBA" w14:paraId="23C2925E" w14:textId="77777777" w:rsidTr="00707C52">
              <w:trPr>
                <w:trHeight w:val="287"/>
              </w:trPr>
              <w:tc>
                <w:tcPr>
                  <w:tcW w:w="5000" w:type="pct"/>
                  <w:gridSpan w:val="9"/>
                  <w:tcBorders>
                    <w:top w:val="nil"/>
                    <w:left w:val="nil"/>
                    <w:bottom w:val="nil"/>
                    <w:right w:val="nil"/>
                  </w:tcBorders>
                  <w:shd w:val="clear" w:color="auto" w:fill="auto"/>
                  <w:tcMar>
                    <w:left w:w="0" w:type="dxa"/>
                    <w:right w:w="0" w:type="dxa"/>
                  </w:tcMar>
                  <w:vAlign w:val="center"/>
                </w:tcPr>
                <w:p w14:paraId="3D91F721" w14:textId="77777777" w:rsidR="00C20F7B" w:rsidRPr="009B4EBA" w:rsidRDefault="00C20F7B" w:rsidP="00C20F7B">
                  <w:pPr>
                    <w:spacing w:before="80"/>
                    <w:rPr>
                      <w:rStyle w:val="NoteLabel"/>
                    </w:rPr>
                  </w:pPr>
                  <w:r w:rsidRPr="00240BB1">
                    <w:rPr>
                      <w:rFonts w:asciiTheme="minorHAnsi" w:hAnsiTheme="minorHAnsi" w:cstheme="minorHAnsi"/>
                      <w:i/>
                      <w:sz w:val="18"/>
                      <w:szCs w:val="18"/>
                    </w:rPr>
                    <w:t>Value of dwelling stock</w:t>
                  </w:r>
                  <w:r>
                    <w:rPr>
                      <w:rStyle w:val="NoteLabel"/>
                    </w:rPr>
                    <w:t>a</w:t>
                  </w:r>
                </w:p>
              </w:tc>
            </w:tr>
            <w:tr w:rsidR="00C20F7B" w:rsidRPr="007E351B" w14:paraId="273B0BA9" w14:textId="77777777" w:rsidTr="00707C52">
              <w:trPr>
                <w:trHeight w:val="287"/>
              </w:trPr>
              <w:tc>
                <w:tcPr>
                  <w:tcW w:w="1623" w:type="pct"/>
                  <w:tcBorders>
                    <w:top w:val="nil"/>
                    <w:left w:val="nil"/>
                    <w:bottom w:val="nil"/>
                    <w:right w:val="nil"/>
                  </w:tcBorders>
                  <w:shd w:val="clear" w:color="auto" w:fill="auto"/>
                  <w:tcMar>
                    <w:left w:w="0" w:type="dxa"/>
                    <w:right w:w="0" w:type="dxa"/>
                  </w:tcMar>
                  <w:vAlign w:val="center"/>
                </w:tcPr>
                <w:p w14:paraId="7A75F0C5" w14:textId="77777777" w:rsidR="00C20F7B" w:rsidRDefault="00C20F7B" w:rsidP="00C20F7B">
                  <w:pPr>
                    <w:ind w:left="113"/>
                    <w:rPr>
                      <w:rFonts w:asciiTheme="minorHAnsi" w:hAnsiTheme="minorHAnsi" w:cstheme="minorHAnsi"/>
                      <w:sz w:val="18"/>
                      <w:szCs w:val="18"/>
                    </w:rPr>
                  </w:pPr>
                  <w:r w:rsidRPr="002E6AE6">
                    <w:rPr>
                      <w:rFonts w:asciiTheme="minorHAnsi" w:hAnsiTheme="minorHAnsi" w:cstheme="minorHAnsi"/>
                      <w:color w:val="000000"/>
                      <w:sz w:val="18"/>
                      <w:szCs w:val="18"/>
                    </w:rPr>
                    <w:t>GST, lower bound ($m)</w:t>
                  </w:r>
                </w:p>
              </w:tc>
              <w:tc>
                <w:tcPr>
                  <w:tcW w:w="493" w:type="pct"/>
                  <w:tcBorders>
                    <w:top w:val="nil"/>
                    <w:left w:val="nil"/>
                    <w:bottom w:val="nil"/>
                    <w:right w:val="nil"/>
                  </w:tcBorders>
                  <w:shd w:val="clear" w:color="auto" w:fill="auto"/>
                  <w:tcMar>
                    <w:left w:w="0" w:type="dxa"/>
                    <w:right w:w="28" w:type="dxa"/>
                  </w:tcMar>
                  <w:vAlign w:val="bottom"/>
                </w:tcPr>
                <w:p w14:paraId="19A2A07E"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404</w:t>
                  </w:r>
                </w:p>
              </w:tc>
              <w:tc>
                <w:tcPr>
                  <w:tcW w:w="412" w:type="pct"/>
                  <w:tcBorders>
                    <w:top w:val="nil"/>
                    <w:left w:val="nil"/>
                    <w:bottom w:val="nil"/>
                    <w:right w:val="nil"/>
                  </w:tcBorders>
                  <w:shd w:val="clear" w:color="auto" w:fill="auto"/>
                  <w:tcMar>
                    <w:left w:w="0" w:type="dxa"/>
                    <w:right w:w="28" w:type="dxa"/>
                  </w:tcMar>
                  <w:vAlign w:val="bottom"/>
                </w:tcPr>
                <w:p w14:paraId="0EF3BD0C"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340</w:t>
                  </w:r>
                </w:p>
              </w:tc>
              <w:tc>
                <w:tcPr>
                  <w:tcW w:w="412" w:type="pct"/>
                  <w:tcBorders>
                    <w:top w:val="nil"/>
                    <w:left w:val="nil"/>
                    <w:bottom w:val="nil"/>
                    <w:right w:val="nil"/>
                  </w:tcBorders>
                  <w:shd w:val="clear" w:color="auto" w:fill="auto"/>
                  <w:tcMar>
                    <w:left w:w="0" w:type="dxa"/>
                    <w:right w:w="28" w:type="dxa"/>
                  </w:tcMar>
                  <w:vAlign w:val="bottom"/>
                </w:tcPr>
                <w:p w14:paraId="37A81C79"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329</w:t>
                  </w:r>
                </w:p>
              </w:tc>
              <w:tc>
                <w:tcPr>
                  <w:tcW w:w="412" w:type="pct"/>
                  <w:tcBorders>
                    <w:top w:val="nil"/>
                    <w:left w:val="nil"/>
                    <w:bottom w:val="nil"/>
                    <w:right w:val="nil"/>
                  </w:tcBorders>
                  <w:shd w:val="clear" w:color="auto" w:fill="auto"/>
                  <w:tcMar>
                    <w:left w:w="0" w:type="dxa"/>
                    <w:right w:w="28" w:type="dxa"/>
                  </w:tcMar>
                  <w:vAlign w:val="bottom"/>
                </w:tcPr>
                <w:p w14:paraId="475920C1"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169</w:t>
                  </w:r>
                </w:p>
              </w:tc>
              <w:tc>
                <w:tcPr>
                  <w:tcW w:w="412" w:type="pct"/>
                  <w:tcBorders>
                    <w:top w:val="nil"/>
                    <w:left w:val="nil"/>
                    <w:bottom w:val="nil"/>
                    <w:right w:val="nil"/>
                  </w:tcBorders>
                  <w:shd w:val="clear" w:color="auto" w:fill="auto"/>
                  <w:tcMar>
                    <w:left w:w="0" w:type="dxa"/>
                    <w:right w:w="28" w:type="dxa"/>
                  </w:tcMar>
                  <w:vAlign w:val="bottom"/>
                </w:tcPr>
                <w:p w14:paraId="414A5AF0"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105</w:t>
                  </w:r>
                </w:p>
              </w:tc>
              <w:tc>
                <w:tcPr>
                  <w:tcW w:w="412" w:type="pct"/>
                  <w:tcBorders>
                    <w:top w:val="nil"/>
                    <w:left w:val="nil"/>
                    <w:bottom w:val="nil"/>
                    <w:right w:val="nil"/>
                  </w:tcBorders>
                  <w:shd w:val="clear" w:color="auto" w:fill="auto"/>
                  <w:tcMar>
                    <w:left w:w="0" w:type="dxa"/>
                    <w:right w:w="28" w:type="dxa"/>
                  </w:tcMar>
                  <w:vAlign w:val="bottom"/>
                </w:tcPr>
                <w:p w14:paraId="5C8F8652"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27</w:t>
                  </w:r>
                </w:p>
              </w:tc>
              <w:tc>
                <w:tcPr>
                  <w:tcW w:w="412" w:type="pct"/>
                  <w:tcBorders>
                    <w:top w:val="nil"/>
                    <w:left w:val="nil"/>
                    <w:bottom w:val="nil"/>
                    <w:right w:val="nil"/>
                  </w:tcBorders>
                  <w:shd w:val="clear" w:color="auto" w:fill="auto"/>
                  <w:tcMar>
                    <w:left w:w="0" w:type="dxa"/>
                    <w:right w:w="28" w:type="dxa"/>
                  </w:tcMar>
                  <w:vAlign w:val="bottom"/>
                </w:tcPr>
                <w:p w14:paraId="0920EF87"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33</w:t>
                  </w:r>
                </w:p>
              </w:tc>
              <w:tc>
                <w:tcPr>
                  <w:tcW w:w="412" w:type="pct"/>
                  <w:tcBorders>
                    <w:top w:val="nil"/>
                    <w:left w:val="nil"/>
                    <w:bottom w:val="nil"/>
                    <w:right w:val="nil"/>
                  </w:tcBorders>
                  <w:shd w:val="clear" w:color="auto" w:fill="auto"/>
                  <w:tcMar>
                    <w:left w:w="0" w:type="dxa"/>
                    <w:right w:w="28" w:type="dxa"/>
                  </w:tcMar>
                  <w:vAlign w:val="bottom"/>
                </w:tcPr>
                <w:p w14:paraId="4F91CB8F"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10</w:t>
                  </w:r>
                </w:p>
              </w:tc>
            </w:tr>
            <w:tr w:rsidR="00C20F7B" w:rsidRPr="007E351B" w14:paraId="5D446B16" w14:textId="77777777" w:rsidTr="00707C52">
              <w:trPr>
                <w:trHeight w:val="287"/>
              </w:trPr>
              <w:tc>
                <w:tcPr>
                  <w:tcW w:w="1623" w:type="pct"/>
                  <w:tcBorders>
                    <w:top w:val="nil"/>
                    <w:left w:val="nil"/>
                    <w:bottom w:val="nil"/>
                    <w:right w:val="nil"/>
                  </w:tcBorders>
                  <w:shd w:val="clear" w:color="auto" w:fill="auto"/>
                  <w:tcMar>
                    <w:left w:w="0" w:type="dxa"/>
                    <w:right w:w="0" w:type="dxa"/>
                  </w:tcMar>
                  <w:vAlign w:val="center"/>
                </w:tcPr>
                <w:p w14:paraId="1F3B1CA7" w14:textId="77777777" w:rsidR="00C20F7B" w:rsidRDefault="00C20F7B" w:rsidP="00C20F7B">
                  <w:pPr>
                    <w:ind w:left="113"/>
                    <w:rPr>
                      <w:rFonts w:asciiTheme="minorHAnsi" w:hAnsiTheme="minorHAnsi" w:cstheme="minorHAnsi"/>
                      <w:sz w:val="18"/>
                      <w:szCs w:val="18"/>
                    </w:rPr>
                  </w:pPr>
                  <w:r w:rsidRPr="002E6AE6">
                    <w:rPr>
                      <w:rFonts w:asciiTheme="minorHAnsi" w:hAnsiTheme="minorHAnsi" w:cstheme="minorHAnsi"/>
                      <w:color w:val="000000"/>
                      <w:sz w:val="18"/>
                      <w:szCs w:val="18"/>
                    </w:rPr>
                    <w:t>GST, upper bound ($m)</w:t>
                  </w:r>
                </w:p>
              </w:tc>
              <w:tc>
                <w:tcPr>
                  <w:tcW w:w="493" w:type="pct"/>
                  <w:tcBorders>
                    <w:top w:val="nil"/>
                    <w:left w:val="nil"/>
                    <w:bottom w:val="nil"/>
                    <w:right w:val="nil"/>
                  </w:tcBorders>
                  <w:shd w:val="clear" w:color="auto" w:fill="auto"/>
                  <w:tcMar>
                    <w:left w:w="0" w:type="dxa"/>
                    <w:right w:w="28" w:type="dxa"/>
                  </w:tcMar>
                  <w:vAlign w:val="bottom"/>
                </w:tcPr>
                <w:p w14:paraId="39C6E65F"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523</w:t>
                  </w:r>
                </w:p>
              </w:tc>
              <w:tc>
                <w:tcPr>
                  <w:tcW w:w="412" w:type="pct"/>
                  <w:tcBorders>
                    <w:top w:val="nil"/>
                    <w:left w:val="nil"/>
                    <w:bottom w:val="nil"/>
                    <w:right w:val="nil"/>
                  </w:tcBorders>
                  <w:shd w:val="clear" w:color="auto" w:fill="auto"/>
                  <w:tcMar>
                    <w:left w:w="0" w:type="dxa"/>
                    <w:right w:w="28" w:type="dxa"/>
                  </w:tcMar>
                  <w:vAlign w:val="bottom"/>
                </w:tcPr>
                <w:p w14:paraId="1E808ABA"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449</w:t>
                  </w:r>
                </w:p>
              </w:tc>
              <w:tc>
                <w:tcPr>
                  <w:tcW w:w="412" w:type="pct"/>
                  <w:tcBorders>
                    <w:top w:val="nil"/>
                    <w:left w:val="nil"/>
                    <w:bottom w:val="nil"/>
                    <w:right w:val="nil"/>
                  </w:tcBorders>
                  <w:shd w:val="clear" w:color="auto" w:fill="auto"/>
                  <w:tcMar>
                    <w:left w:w="0" w:type="dxa"/>
                    <w:right w:w="28" w:type="dxa"/>
                  </w:tcMar>
                  <w:vAlign w:val="bottom"/>
                </w:tcPr>
                <w:p w14:paraId="4456CE99"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398</w:t>
                  </w:r>
                </w:p>
              </w:tc>
              <w:tc>
                <w:tcPr>
                  <w:tcW w:w="412" w:type="pct"/>
                  <w:tcBorders>
                    <w:top w:val="nil"/>
                    <w:left w:val="nil"/>
                    <w:bottom w:val="nil"/>
                    <w:right w:val="nil"/>
                  </w:tcBorders>
                  <w:shd w:val="clear" w:color="auto" w:fill="auto"/>
                  <w:tcMar>
                    <w:left w:w="0" w:type="dxa"/>
                    <w:right w:w="28" w:type="dxa"/>
                  </w:tcMar>
                  <w:vAlign w:val="bottom"/>
                </w:tcPr>
                <w:p w14:paraId="514092EE"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215</w:t>
                  </w:r>
                </w:p>
              </w:tc>
              <w:tc>
                <w:tcPr>
                  <w:tcW w:w="412" w:type="pct"/>
                  <w:tcBorders>
                    <w:top w:val="nil"/>
                    <w:left w:val="nil"/>
                    <w:bottom w:val="nil"/>
                    <w:right w:val="nil"/>
                  </w:tcBorders>
                  <w:shd w:val="clear" w:color="auto" w:fill="auto"/>
                  <w:tcMar>
                    <w:left w:w="0" w:type="dxa"/>
                    <w:right w:w="28" w:type="dxa"/>
                  </w:tcMar>
                  <w:vAlign w:val="bottom"/>
                </w:tcPr>
                <w:p w14:paraId="35519C03"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133</w:t>
                  </w:r>
                </w:p>
              </w:tc>
              <w:tc>
                <w:tcPr>
                  <w:tcW w:w="412" w:type="pct"/>
                  <w:tcBorders>
                    <w:top w:val="nil"/>
                    <w:left w:val="nil"/>
                    <w:bottom w:val="nil"/>
                    <w:right w:val="nil"/>
                  </w:tcBorders>
                  <w:shd w:val="clear" w:color="auto" w:fill="auto"/>
                  <w:tcMar>
                    <w:left w:w="0" w:type="dxa"/>
                    <w:right w:w="28" w:type="dxa"/>
                  </w:tcMar>
                  <w:vAlign w:val="bottom"/>
                </w:tcPr>
                <w:p w14:paraId="16DAF9FB"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35</w:t>
                  </w:r>
                </w:p>
              </w:tc>
              <w:tc>
                <w:tcPr>
                  <w:tcW w:w="412" w:type="pct"/>
                  <w:tcBorders>
                    <w:top w:val="nil"/>
                    <w:left w:val="nil"/>
                    <w:bottom w:val="nil"/>
                    <w:right w:val="nil"/>
                  </w:tcBorders>
                  <w:shd w:val="clear" w:color="auto" w:fill="auto"/>
                  <w:tcMar>
                    <w:left w:w="0" w:type="dxa"/>
                    <w:right w:w="28" w:type="dxa"/>
                  </w:tcMar>
                  <w:vAlign w:val="bottom"/>
                </w:tcPr>
                <w:p w14:paraId="69B4D252"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43</w:t>
                  </w:r>
                </w:p>
              </w:tc>
              <w:tc>
                <w:tcPr>
                  <w:tcW w:w="412" w:type="pct"/>
                  <w:tcBorders>
                    <w:top w:val="nil"/>
                    <w:left w:val="nil"/>
                    <w:bottom w:val="nil"/>
                    <w:right w:val="nil"/>
                  </w:tcBorders>
                  <w:shd w:val="clear" w:color="auto" w:fill="auto"/>
                  <w:tcMar>
                    <w:left w:w="0" w:type="dxa"/>
                    <w:right w:w="28" w:type="dxa"/>
                  </w:tcMar>
                  <w:vAlign w:val="bottom"/>
                </w:tcPr>
                <w:p w14:paraId="58F58036" w14:textId="77777777" w:rsidR="00C20F7B" w:rsidRPr="007E351B" w:rsidRDefault="00C20F7B" w:rsidP="00C20F7B">
                  <w:pPr>
                    <w:jc w:val="right"/>
                    <w:rPr>
                      <w:rFonts w:asciiTheme="minorHAnsi" w:hAnsiTheme="minorHAnsi" w:cstheme="minorHAnsi"/>
                      <w:sz w:val="18"/>
                      <w:szCs w:val="18"/>
                    </w:rPr>
                  </w:pPr>
                  <w:r>
                    <w:rPr>
                      <w:rFonts w:asciiTheme="minorHAnsi" w:hAnsiTheme="minorHAnsi" w:cstheme="minorHAnsi"/>
                      <w:sz w:val="18"/>
                      <w:szCs w:val="18"/>
                    </w:rPr>
                    <w:noBreakHyphen/>
                  </w:r>
                  <w:r w:rsidRPr="007E351B">
                    <w:rPr>
                      <w:rFonts w:asciiTheme="minorHAnsi" w:hAnsiTheme="minorHAnsi" w:cstheme="minorHAnsi"/>
                      <w:sz w:val="18"/>
                      <w:szCs w:val="18"/>
                    </w:rPr>
                    <w:t>13</w:t>
                  </w:r>
                </w:p>
              </w:tc>
            </w:tr>
            <w:tr w:rsidR="00C20F7B" w:rsidRPr="00240BB1" w14:paraId="6A3EDA07" w14:textId="77777777" w:rsidTr="00707C52">
              <w:trPr>
                <w:trHeight w:val="287"/>
              </w:trPr>
              <w:tc>
                <w:tcPr>
                  <w:tcW w:w="5000" w:type="pct"/>
                  <w:gridSpan w:val="9"/>
                  <w:tcBorders>
                    <w:top w:val="nil"/>
                    <w:left w:val="nil"/>
                    <w:right w:val="nil"/>
                  </w:tcBorders>
                  <w:shd w:val="clear" w:color="auto" w:fill="auto"/>
                  <w:tcMar>
                    <w:left w:w="0" w:type="dxa"/>
                    <w:right w:w="0" w:type="dxa"/>
                  </w:tcMar>
                  <w:vAlign w:val="center"/>
                </w:tcPr>
                <w:p w14:paraId="24CD122C" w14:textId="77777777" w:rsidR="00C20F7B" w:rsidRPr="00240BB1" w:rsidRDefault="00C20F7B" w:rsidP="00C20F7B">
                  <w:pPr>
                    <w:spacing w:before="80"/>
                    <w:rPr>
                      <w:rFonts w:asciiTheme="minorHAnsi" w:hAnsiTheme="minorHAnsi" w:cstheme="minorHAnsi"/>
                      <w:bCs/>
                      <w:i/>
                      <w:color w:val="000000"/>
                      <w:sz w:val="18"/>
                      <w:szCs w:val="18"/>
                    </w:rPr>
                  </w:pPr>
                  <w:r>
                    <w:rPr>
                      <w:rFonts w:asciiTheme="minorHAnsi" w:hAnsiTheme="minorHAnsi" w:cstheme="minorHAnsi"/>
                      <w:i/>
                      <w:sz w:val="18"/>
                      <w:szCs w:val="18"/>
                    </w:rPr>
                    <w:t>Unimproved value</w:t>
                  </w:r>
                  <w:r w:rsidRPr="00240BB1">
                    <w:rPr>
                      <w:rFonts w:asciiTheme="minorHAnsi" w:hAnsiTheme="minorHAnsi" w:cstheme="minorHAnsi"/>
                      <w:i/>
                      <w:sz w:val="18"/>
                      <w:szCs w:val="18"/>
                    </w:rPr>
                    <w:t xml:space="preserve"> of </w:t>
                  </w:r>
                  <w:r>
                    <w:rPr>
                      <w:rFonts w:asciiTheme="minorHAnsi" w:hAnsiTheme="minorHAnsi" w:cstheme="minorHAnsi"/>
                      <w:i/>
                      <w:sz w:val="18"/>
                      <w:szCs w:val="18"/>
                    </w:rPr>
                    <w:t>land</w:t>
                  </w:r>
                </w:p>
              </w:tc>
            </w:tr>
            <w:tr w:rsidR="00C20F7B" w:rsidRPr="00142FD1" w14:paraId="7F6BAFA2" w14:textId="77777777" w:rsidTr="00707C52">
              <w:trPr>
                <w:trHeight w:val="287"/>
              </w:trPr>
              <w:tc>
                <w:tcPr>
                  <w:tcW w:w="1623" w:type="pct"/>
                  <w:tcBorders>
                    <w:top w:val="nil"/>
                    <w:left w:val="nil"/>
                    <w:bottom w:val="single" w:sz="6" w:space="0" w:color="BFBFBF" w:themeColor="background1" w:themeShade="BF"/>
                    <w:right w:val="nil"/>
                  </w:tcBorders>
                  <w:shd w:val="clear" w:color="auto" w:fill="auto"/>
                  <w:tcMar>
                    <w:left w:w="0" w:type="dxa"/>
                    <w:right w:w="0" w:type="dxa"/>
                  </w:tcMar>
                  <w:vAlign w:val="center"/>
                </w:tcPr>
                <w:p w14:paraId="083F39A7" w14:textId="77777777" w:rsidR="00C20F7B" w:rsidRDefault="00C20F7B" w:rsidP="00C20F7B">
                  <w:pPr>
                    <w:ind w:left="113"/>
                    <w:rPr>
                      <w:rFonts w:asciiTheme="minorHAnsi" w:hAnsiTheme="minorHAnsi" w:cstheme="minorHAnsi"/>
                      <w:color w:val="000000"/>
                      <w:sz w:val="18"/>
                      <w:szCs w:val="18"/>
                    </w:rPr>
                  </w:pPr>
                  <w:r>
                    <w:rPr>
                      <w:rFonts w:asciiTheme="minorHAnsi" w:hAnsiTheme="minorHAnsi" w:cstheme="minorHAnsi"/>
                      <w:color w:val="000000"/>
                      <w:sz w:val="18"/>
                      <w:szCs w:val="18"/>
                    </w:rPr>
                    <w:t>GST</w:t>
                  </w:r>
                  <w:r w:rsidRPr="002E6AE6">
                    <w:rPr>
                      <w:rFonts w:asciiTheme="minorHAnsi" w:hAnsiTheme="minorHAnsi" w:cstheme="minorHAnsi"/>
                      <w:color w:val="000000"/>
                      <w:sz w:val="18"/>
                      <w:szCs w:val="18"/>
                    </w:rPr>
                    <w:t xml:space="preserve"> ($m)</w:t>
                  </w:r>
                </w:p>
              </w:tc>
              <w:tc>
                <w:tcPr>
                  <w:tcW w:w="493" w:type="pct"/>
                  <w:tcBorders>
                    <w:top w:val="nil"/>
                    <w:left w:val="nil"/>
                    <w:bottom w:val="single" w:sz="6" w:space="0" w:color="BFBFBF" w:themeColor="background1" w:themeShade="BF"/>
                    <w:right w:val="nil"/>
                  </w:tcBorders>
                  <w:shd w:val="clear" w:color="auto" w:fill="auto"/>
                  <w:tcMar>
                    <w:left w:w="0" w:type="dxa"/>
                    <w:right w:w="28" w:type="dxa"/>
                  </w:tcMar>
                  <w:vAlign w:val="bottom"/>
                </w:tcPr>
                <w:p w14:paraId="7C937FD9" w14:textId="77777777" w:rsidR="00C20F7B" w:rsidRPr="00142FD1" w:rsidRDefault="00C20F7B" w:rsidP="00C20F7B">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6" w:space="0" w:color="BFBFBF" w:themeColor="background1" w:themeShade="BF"/>
                    <w:right w:val="nil"/>
                  </w:tcBorders>
                  <w:shd w:val="clear" w:color="auto" w:fill="auto"/>
                  <w:tcMar>
                    <w:left w:w="0" w:type="dxa"/>
                    <w:right w:w="28" w:type="dxa"/>
                  </w:tcMar>
                  <w:vAlign w:val="bottom"/>
                </w:tcPr>
                <w:p w14:paraId="419CB346" w14:textId="77777777" w:rsidR="00C20F7B" w:rsidRPr="00142FD1" w:rsidRDefault="00C20F7B" w:rsidP="00C20F7B">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6" w:space="0" w:color="BFBFBF" w:themeColor="background1" w:themeShade="BF"/>
                    <w:right w:val="nil"/>
                  </w:tcBorders>
                  <w:shd w:val="clear" w:color="auto" w:fill="auto"/>
                  <w:tcMar>
                    <w:left w:w="0" w:type="dxa"/>
                    <w:right w:w="28" w:type="dxa"/>
                  </w:tcMar>
                  <w:vAlign w:val="bottom"/>
                </w:tcPr>
                <w:p w14:paraId="33965F9E" w14:textId="77777777" w:rsidR="00C20F7B" w:rsidRPr="00142FD1" w:rsidRDefault="00C20F7B" w:rsidP="00C20F7B">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6" w:space="0" w:color="BFBFBF" w:themeColor="background1" w:themeShade="BF"/>
                    <w:right w:val="nil"/>
                  </w:tcBorders>
                  <w:shd w:val="clear" w:color="auto" w:fill="auto"/>
                  <w:tcMar>
                    <w:left w:w="0" w:type="dxa"/>
                    <w:right w:w="28" w:type="dxa"/>
                  </w:tcMar>
                  <w:vAlign w:val="bottom"/>
                </w:tcPr>
                <w:p w14:paraId="2ADF0C69" w14:textId="77777777" w:rsidR="00C20F7B" w:rsidRPr="00142FD1" w:rsidRDefault="00C20F7B" w:rsidP="00C20F7B">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6" w:space="0" w:color="BFBFBF" w:themeColor="background1" w:themeShade="BF"/>
                    <w:right w:val="nil"/>
                  </w:tcBorders>
                  <w:shd w:val="clear" w:color="auto" w:fill="auto"/>
                  <w:tcMar>
                    <w:left w:w="0" w:type="dxa"/>
                    <w:right w:w="28" w:type="dxa"/>
                  </w:tcMar>
                  <w:vAlign w:val="bottom"/>
                </w:tcPr>
                <w:p w14:paraId="49EBF415" w14:textId="77777777" w:rsidR="00C20F7B" w:rsidRPr="00142FD1" w:rsidRDefault="00C20F7B" w:rsidP="00C20F7B">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6" w:space="0" w:color="BFBFBF" w:themeColor="background1" w:themeShade="BF"/>
                    <w:right w:val="nil"/>
                  </w:tcBorders>
                  <w:shd w:val="clear" w:color="auto" w:fill="auto"/>
                  <w:tcMar>
                    <w:left w:w="0" w:type="dxa"/>
                    <w:right w:w="28" w:type="dxa"/>
                  </w:tcMar>
                  <w:vAlign w:val="bottom"/>
                </w:tcPr>
                <w:p w14:paraId="7BFF9E98" w14:textId="77777777" w:rsidR="00C20F7B" w:rsidRPr="00142FD1" w:rsidRDefault="00C20F7B" w:rsidP="00C20F7B">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6" w:space="0" w:color="BFBFBF" w:themeColor="background1" w:themeShade="BF"/>
                    <w:right w:val="nil"/>
                  </w:tcBorders>
                  <w:shd w:val="clear" w:color="auto" w:fill="auto"/>
                  <w:tcMar>
                    <w:left w:w="0" w:type="dxa"/>
                    <w:right w:w="28" w:type="dxa"/>
                  </w:tcMar>
                  <w:vAlign w:val="bottom"/>
                </w:tcPr>
                <w:p w14:paraId="18742CAD" w14:textId="77777777" w:rsidR="00C20F7B" w:rsidRPr="00142FD1" w:rsidRDefault="00C20F7B" w:rsidP="00C20F7B">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6" w:space="0" w:color="BFBFBF" w:themeColor="background1" w:themeShade="BF"/>
                    <w:right w:val="nil"/>
                  </w:tcBorders>
                  <w:shd w:val="clear" w:color="auto" w:fill="auto"/>
                  <w:tcMar>
                    <w:left w:w="0" w:type="dxa"/>
                    <w:right w:w="28" w:type="dxa"/>
                  </w:tcMar>
                  <w:vAlign w:val="bottom"/>
                </w:tcPr>
                <w:p w14:paraId="3BE29B46" w14:textId="77777777" w:rsidR="00C20F7B" w:rsidRPr="00142FD1" w:rsidRDefault="00C20F7B" w:rsidP="00C20F7B">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r>
          </w:tbl>
          <w:p w14:paraId="3DD7CD9F" w14:textId="5C3CD164" w:rsidR="00C20F7B" w:rsidRPr="00C20F7B" w:rsidRDefault="00C20F7B" w:rsidP="00C20F7B">
            <w:pPr>
              <w:pStyle w:val="Box"/>
              <w:spacing w:before="80"/>
              <w:rPr>
                <w:rStyle w:val="NoteChar"/>
              </w:rPr>
            </w:pPr>
            <w:r w:rsidRPr="008E77FE">
              <w:rPr>
                <w:rStyle w:val="NoteLabel"/>
              </w:rPr>
              <w:t>a</w:t>
            </w:r>
            <w:r>
              <w:t xml:space="preserve"> </w:t>
            </w:r>
            <w:r w:rsidRPr="00C20F7B">
              <w:rPr>
                <w:rStyle w:val="NoteChar"/>
              </w:rPr>
              <w:t>The lower and upper bound calculations are based on estimates of the elasticity of the value of average house prices to a one percentage point change in stamp duty rates (</w:t>
            </w:r>
            <w:r w:rsidRPr="00C20F7B">
              <w:rPr>
                <w:rStyle w:val="NoteChar"/>
              </w:rPr>
              <w:noBreakHyphen/>
              <w:t xml:space="preserve">0.20 and </w:t>
            </w:r>
            <w:r w:rsidRPr="00C20F7B">
              <w:rPr>
                <w:rStyle w:val="NoteChar"/>
              </w:rPr>
              <w:noBreakHyphen/>
              <w:t>0.26 respectively).</w:t>
            </w:r>
          </w:p>
          <w:p w14:paraId="795496F1" w14:textId="77777777" w:rsidR="00F05DC7" w:rsidRDefault="00F05DC7" w:rsidP="00A3786D">
            <w:pPr>
              <w:pStyle w:val="Box"/>
            </w:pPr>
            <w:r>
              <w:t>Both of these alternative indicators trade</w:t>
            </w:r>
            <w:r>
              <w:noBreakHyphen/>
              <w:t xml:space="preserve">off accuracy in reflecting States’ abilities to raise revenue with policy neutrality. Using the unimproved value of land performs better in terms of reducing disincentives to reform, but using the total value of the dwelling stock may better reflect States’ underlying abilities to raise property tax (as it reflects the value of structures and improvements). </w:t>
            </w:r>
          </w:p>
        </w:tc>
      </w:tr>
      <w:tr w:rsidR="00F05DC7" w14:paraId="795496F4" w14:textId="77777777" w:rsidTr="00A3786D">
        <w:tc>
          <w:tcPr>
            <w:tcW w:w="5000" w:type="pct"/>
            <w:tcBorders>
              <w:top w:val="nil"/>
              <w:left w:val="nil"/>
              <w:bottom w:val="single" w:sz="6" w:space="0" w:color="78A22F"/>
              <w:right w:val="nil"/>
            </w:tcBorders>
            <w:shd w:val="clear" w:color="auto" w:fill="F2F2F2"/>
          </w:tcPr>
          <w:p w14:paraId="795496F3" w14:textId="77777777" w:rsidR="00F05DC7" w:rsidRDefault="00F05DC7">
            <w:pPr>
              <w:pStyle w:val="Box"/>
              <w:spacing w:before="0" w:line="120" w:lineRule="exact"/>
            </w:pPr>
          </w:p>
        </w:tc>
      </w:tr>
      <w:tr w:rsidR="00F05DC7" w:rsidRPr="000863A5" w14:paraId="795496F6" w14:textId="77777777" w:rsidTr="00A3786D">
        <w:tc>
          <w:tcPr>
            <w:tcW w:w="5000" w:type="pct"/>
            <w:tcBorders>
              <w:top w:val="single" w:sz="6" w:space="0" w:color="78A22F"/>
              <w:left w:val="nil"/>
              <w:bottom w:val="nil"/>
              <w:right w:val="nil"/>
            </w:tcBorders>
          </w:tcPr>
          <w:p w14:paraId="795496F5" w14:textId="77777777" w:rsidR="00F05DC7" w:rsidRPr="00626D32" w:rsidRDefault="00F05DC7" w:rsidP="00A3786D">
            <w:pPr>
              <w:pStyle w:val="BoxSpaceBelow"/>
            </w:pPr>
          </w:p>
        </w:tc>
      </w:tr>
    </w:tbl>
    <w:p w14:paraId="795496F7" w14:textId="77777777" w:rsidR="00F05DC7" w:rsidRDefault="00F05DC7" w:rsidP="00A3786D">
      <w:pPr>
        <w:pStyle w:val="BodyText"/>
      </w:pPr>
      <w:r>
        <w:t>Further exploration of the application of simpler and more policy</w:t>
      </w:r>
      <w:r>
        <w:noBreakHyphen/>
        <w:t>neutral indicators (beginning with the prospective candidate identified by the Commission) is ideal fodder for the CGC’s five</w:t>
      </w:r>
      <w:r>
        <w:noBreakHyphen/>
        <w:t>yearly methodology reviews. However, the CGC is unlikely to pursue and implement such an approach absent of direction to do so and while the HFE objective remains focused on achieving full equalisation. The HFE objective needs to be revised (as discussed above) to pave the way for a better balance between equity and efficiency in the CGC’s assessments. The CGC also needs to be explicitly directed, via the terms of reference it receives from the Treasurer, to examine simpler and more policy</w:t>
      </w:r>
      <w:r>
        <w:noBreakHyphen/>
        <w:t xml:space="preserve">neutral indicators. This </w:t>
      </w:r>
      <w:r>
        <w:lastRenderedPageBreak/>
        <w:t xml:space="preserve">should also include direction to adopt significant increases in materiality thresholds (to determine which revenues and expenditures are incorporated into the equalisation process), which would assist in determining and applying the indicators. For example, if the materiality threshold was to be quadrupled (as recommended in the 2012 GST Distribution Review) then insurance taxes and some expenditure disabilities would be removed from the assessment. </w:t>
      </w:r>
    </w:p>
    <w:p w14:paraId="795496F8" w14:textId="77777777" w:rsidR="00F05DC7" w:rsidRDefault="00F05DC7" w:rsidP="00A3786D">
      <w:pPr>
        <w:spacing w:before="240" w:line="300" w:lineRule="atLeast"/>
        <w:jc w:val="both"/>
      </w:pPr>
      <w:r>
        <w:t xml:space="preserve">These changes have merit regardless of any changes to the equalisation benchmark itself, but would need to be implemented alongside the change to the HFE objective and governance reforms proposed above. </w:t>
      </w:r>
    </w:p>
    <w:p w14:paraId="795496F9" w14:textId="77777777" w:rsidR="00F05DC7" w:rsidRDefault="00F05DC7" w:rsidP="00A3786D">
      <w:pPr>
        <w:spacing w:before="240" w:line="300" w:lineRule="atLeast"/>
        <w:jc w:val="both"/>
      </w:pPr>
      <w:r>
        <w:t>But without a benchmark change to give substance to ‘reasonable’ equalisation, it has to be acknowledged that these options are limited. Although they offer potential benefits, they do not resolve some of the other material problems of the system. In particular, there does not appear to be any obvious policy</w:t>
      </w:r>
      <w:r>
        <w:noBreakHyphen/>
        <w:t xml:space="preserve">neutral indicators, or any other workable methodology changes, that could be applied to </w:t>
      </w:r>
      <w:r w:rsidRPr="005E0807">
        <w:t>the mining revenue assessment</w:t>
      </w:r>
      <w:r>
        <w:t>. Thus, without more fundamental changes to HFE,</w:t>
      </w:r>
      <w:r w:rsidRPr="005E0807">
        <w:t xml:space="preserve"> the largest source of policy non</w:t>
      </w:r>
      <w:r w:rsidRPr="005E0807">
        <w:noBreakHyphen/>
        <w:t xml:space="preserve">neutrality </w:t>
      </w:r>
      <w:r>
        <w:t xml:space="preserve">— both now and into the foreseeable future — would remain </w:t>
      </w:r>
      <w:r w:rsidRPr="005E0807">
        <w:t>untouched.</w:t>
      </w:r>
    </w:p>
    <w:p w14:paraId="795496FA" w14:textId="77777777" w:rsidR="00F05DC7" w:rsidRDefault="00F05DC7" w:rsidP="00A3786D">
      <w:pPr>
        <w:spacing w:before="240" w:line="300" w:lineRule="atLeast"/>
        <w:jc w:val="both"/>
      </w:pPr>
      <w:r>
        <w:t>Further, u</w:t>
      </w:r>
      <w:r w:rsidRPr="005E0807">
        <w:t xml:space="preserve">se of </w:t>
      </w:r>
      <w:r>
        <w:t xml:space="preserve">more </w:t>
      </w:r>
      <w:r w:rsidRPr="005E0807">
        <w:t>policy</w:t>
      </w:r>
      <w:r>
        <w:noBreakHyphen/>
      </w:r>
      <w:r w:rsidRPr="005E0807">
        <w:t xml:space="preserve">neutral indictors cannot </w:t>
      </w:r>
      <w:r>
        <w:t xml:space="preserve">completely </w:t>
      </w:r>
      <w:r w:rsidRPr="005E0807">
        <w:t xml:space="preserve">remove </w:t>
      </w:r>
      <w:r>
        <w:t>the scope for State policy changes (such as tax design and development approvals) to influence the size of tax bases — and thus GST payments — especially over the long term.</w:t>
      </w:r>
      <w:r w:rsidRPr="00977E18">
        <w:t xml:space="preserve"> </w:t>
      </w:r>
      <w:r>
        <w:t>These effects</w:t>
      </w:r>
      <w:r w:rsidRPr="00977E18">
        <w:t xml:space="preserve"> </w:t>
      </w:r>
      <w:r>
        <w:t xml:space="preserve">are inherent to equalisation itself </w:t>
      </w:r>
      <w:r w:rsidRPr="00977E18">
        <w:t xml:space="preserve">and </w:t>
      </w:r>
      <w:r>
        <w:t>in many cases can only be reduced significantly by reducing the extent of equalisation</w:t>
      </w:r>
      <w:r w:rsidRPr="00977E18">
        <w:t>.</w:t>
      </w:r>
      <w:r>
        <w:t xml:space="preserve"> </w:t>
      </w:r>
    </w:p>
    <w:p w14:paraId="795496FB" w14:textId="77777777" w:rsidR="00F05DC7" w:rsidRDefault="00F05DC7" w:rsidP="00A3786D">
      <w:pPr>
        <w:pStyle w:val="Heading3"/>
      </w:pPr>
      <w:r>
        <w:t>Is there a preferred alternative benchmark for equalisation?</w:t>
      </w:r>
    </w:p>
    <w:p w14:paraId="795496FC" w14:textId="77777777" w:rsidR="00F05DC7" w:rsidRDefault="00F05DC7" w:rsidP="00A3786D">
      <w:pPr>
        <w:pStyle w:val="BodyText"/>
      </w:pPr>
      <w:r>
        <w:t>Changing the equalisation benchmark would be a simple way to help address the main policy non</w:t>
      </w:r>
      <w:r>
        <w:noBreakHyphen/>
        <w:t xml:space="preserve">neutrality issues that arise for mining, and more broadly, that relate to State’s developing their tax bases. But as with substantial ‘in system’ changes to the way fiscal capacities are assessed, it is a judgment as to what level of equalisation best balances fiscal equality, on the one hand, and efficiency and fairness, on the other. </w:t>
      </w:r>
    </w:p>
    <w:p w14:paraId="795496FD" w14:textId="77777777" w:rsidR="00F05DC7" w:rsidRDefault="00F05DC7" w:rsidP="00A3786D">
      <w:pPr>
        <w:pStyle w:val="BodyText"/>
      </w:pPr>
      <w:r>
        <w:t xml:space="preserve">The Commission has considered a range of alternative equalisation benchmarks, drawing on practices used overseas or proposed in submissions. Each approach is targeted at achieving less than full equalisation of State fiscal capacities. </w:t>
      </w:r>
    </w:p>
    <w:p w14:paraId="795496FE" w14:textId="77777777" w:rsidR="00F05DC7" w:rsidRDefault="00F05DC7" w:rsidP="00A3786D">
      <w:pPr>
        <w:pStyle w:val="Heading4"/>
      </w:pPr>
      <w:r>
        <w:t>An equal per capita approach to distributing GST</w:t>
      </w:r>
    </w:p>
    <w:p w14:paraId="795496FF" w14:textId="77777777" w:rsidR="00F05DC7" w:rsidRDefault="00F05DC7" w:rsidP="00A3786D">
      <w:pPr>
        <w:pStyle w:val="BodyText"/>
      </w:pPr>
      <w:r>
        <w:t>Under an EPC approach, each State would receive a share of the total pool of GST revenue equal to its share of the national population. Participants proposing the adoption of an EPC allocation argued that it would be a ‘fairer’ system of distributing GST revenues.</w:t>
      </w:r>
    </w:p>
    <w:p w14:paraId="79549700" w14:textId="77777777" w:rsidR="00F05DC7" w:rsidRDefault="00F05DC7" w:rsidP="00A3786D">
      <w:pPr>
        <w:pStyle w:val="BodyText"/>
      </w:pPr>
      <w:r>
        <w:lastRenderedPageBreak/>
        <w:t>In the current environment, an EPC distribution would see more GST revenue flow to New South Wales, Victoria and Western Australia, and less to the remaining States, with the Northern Territory experiencing the largest reduction in per capita terms.</w:t>
      </w:r>
    </w:p>
    <w:p w14:paraId="79549701" w14:textId="77777777" w:rsidR="00F05DC7" w:rsidRDefault="00F05DC7" w:rsidP="00A3786D">
      <w:pPr>
        <w:pStyle w:val="BodyText"/>
      </w:pPr>
      <w:r>
        <w:t>An EPC approach would be extremely simple and policy</w:t>
      </w:r>
      <w:r>
        <w:noBreakHyphen/>
        <w:t xml:space="preserve">neutral. It would have no adverse </w:t>
      </w:r>
      <w:r w:rsidRPr="001336DB">
        <w:t xml:space="preserve">effect on States’ incentives </w:t>
      </w:r>
      <w:r>
        <w:t>to pursue increased prosperity (and revenue) or improved efficiency in providing services, as it is determined solely by State populations. However, an EPC</w:t>
      </w:r>
      <w:r w:rsidRPr="001336DB">
        <w:t xml:space="preserve"> </w:t>
      </w:r>
      <w:r>
        <w:t>approach</w:t>
      </w:r>
      <w:r w:rsidRPr="001336DB">
        <w:t xml:space="preserve"> </w:t>
      </w:r>
      <w:r>
        <w:t>is inimical to the fundamental fiscal equality objective of HFE. It takes no account of State differences in revenue</w:t>
      </w:r>
      <w:r>
        <w:noBreakHyphen/>
        <w:t>raising capacities nor does it recognise that some States face higher costs in providing services to their communities. It is therefore an unviable option.</w:t>
      </w:r>
    </w:p>
    <w:p w14:paraId="79549702" w14:textId="77777777" w:rsidR="00F05DC7" w:rsidRDefault="00F05DC7" w:rsidP="00A3786D">
      <w:pPr>
        <w:pStyle w:val="Heading4"/>
      </w:pPr>
      <w:r>
        <w:t>An equal per capita approach with ‘top</w:t>
      </w:r>
      <w:r>
        <w:noBreakHyphen/>
        <w:t>up’ funding</w:t>
      </w:r>
    </w:p>
    <w:p w14:paraId="79549703" w14:textId="77777777" w:rsidR="00F05DC7" w:rsidRDefault="00F05DC7" w:rsidP="00A3786D">
      <w:pPr>
        <w:pStyle w:val="BodyText"/>
      </w:pPr>
      <w:r>
        <w:t>An extension of the EPC approach is to distribute the GST pool on an EPC basis but supplement these funds with ‘top</w:t>
      </w:r>
      <w:r>
        <w:rPr>
          <w:rFonts w:ascii="Arial" w:hAnsi="Arial" w:cs="Arial"/>
        </w:rPr>
        <w:noBreakHyphen/>
      </w:r>
      <w:r>
        <w:t>up’ funding from the Commonwealth to the fiscally weaker States. Such funding might, for example, be provided at a level that ensures no State is worse off than under current arrangements (or that all States are able to provide a minimum level of services). Had it been applied for 2018</w:t>
      </w:r>
      <w:r>
        <w:noBreakHyphen/>
        <w:t xml:space="preserve">19, Queensland, South Australia, Tasmania, the ACT and the Northern Territory would have required </w:t>
      </w:r>
      <w:r w:rsidRPr="00B91CB1">
        <w:t>top</w:t>
      </w:r>
      <w:r>
        <w:noBreakHyphen/>
      </w:r>
      <w:r w:rsidRPr="00B91CB1">
        <w:t>up</w:t>
      </w:r>
      <w:r>
        <w:t xml:space="preserve"> funding.</w:t>
      </w:r>
    </w:p>
    <w:p w14:paraId="79549704" w14:textId="77777777" w:rsidR="00F05DC7" w:rsidRDefault="00F05DC7" w:rsidP="00A3786D">
      <w:pPr>
        <w:pStyle w:val="BodyText"/>
      </w:pPr>
      <w:r>
        <w:t>The National Commission of Audit in 2014 considered and recommended a model in which the GST was distributed to the States on an EPC basis, with the Commonwealth providing top</w:t>
      </w:r>
      <w:r>
        <w:noBreakHyphen/>
        <w:t xml:space="preserve">up funding to the fiscally weaker States (with the amounts to be determined by the CGC). Importantly though, this recommendation was not designed to be adopted on its own. It was intended to be implemented as part of a broader suite of recommendations to reform federal financial relations, including to address VFI and to clarify roles and responsibilities between the States and the Commonwealth. </w:t>
      </w:r>
    </w:p>
    <w:p w14:paraId="79549705" w14:textId="77777777" w:rsidR="00F05DC7" w:rsidRDefault="00F05DC7" w:rsidP="00A3786D">
      <w:pPr>
        <w:pStyle w:val="BodyText"/>
      </w:pPr>
      <w:r>
        <w:t>The key benefit of this approach is that it would break out of the zero</w:t>
      </w:r>
      <w:r>
        <w:noBreakHyphen/>
        <w:t>sum game. It would also highlight the scale of the transfers required to address horizontal fiscal inequity (the top</w:t>
      </w:r>
      <w:r>
        <w:noBreakHyphen/>
        <w:t>up component), which may improve transparency and accountability in the federation. The OECD has found that systems that mix both horizontal and vertical equalisation are less transparent and accountable because they blur responsibility between financing and funding.</w:t>
      </w:r>
    </w:p>
    <w:p w14:paraId="79549706" w14:textId="77777777" w:rsidR="00F05DC7" w:rsidRDefault="00F05DC7" w:rsidP="00A3786D">
      <w:pPr>
        <w:pStyle w:val="BodyText"/>
      </w:pPr>
      <w:r>
        <w:t xml:space="preserve">Further, by making the big States’ GST grants contingent only on their population, this model </w:t>
      </w:r>
      <w:r w:rsidRPr="000568A6">
        <w:t xml:space="preserve">would have no adverse effect on </w:t>
      </w:r>
      <w:r>
        <w:t>their</w:t>
      </w:r>
      <w:r w:rsidRPr="000568A6">
        <w:t xml:space="preserve"> incentives to increase revenue or pursue improved efficiency in providing services</w:t>
      </w:r>
      <w:r>
        <w:t xml:space="preserve">. But, this model is reliant on additional funding from the Commonwealth Government, which has its own opportunity costs and is unlikely to be forthcoming in the current environment. Given the ‘cost’ of this approach, it should only be considered in the context of broader reform to federal financial relations that generate compensating benefits. </w:t>
      </w:r>
    </w:p>
    <w:p w14:paraId="79549707" w14:textId="77777777" w:rsidR="00F05DC7" w:rsidRDefault="00F05DC7" w:rsidP="00A3786D">
      <w:pPr>
        <w:pStyle w:val="Heading4"/>
      </w:pPr>
      <w:r>
        <w:lastRenderedPageBreak/>
        <w:t xml:space="preserve">Relativity floors </w:t>
      </w:r>
    </w:p>
    <w:p w14:paraId="79549708" w14:textId="77777777" w:rsidR="00F05DC7" w:rsidRDefault="00F05DC7" w:rsidP="00A3786D">
      <w:pPr>
        <w:pStyle w:val="BodyText"/>
      </w:pPr>
      <w:r>
        <w:t xml:space="preserve">A further commonly suggested change to HFE is to introduce a relativity floor. A State whose relativity fell below the floor would be lifted up to that floor. This could be achieved using funds from the GST pool (meaning it would come at the expense of the other States) or some external funding source. The additional infrastructure payments the Commonwealth has made to Western Australia are effectively already providing a de facto floor. </w:t>
      </w:r>
    </w:p>
    <w:p w14:paraId="79549709" w14:textId="77777777" w:rsidR="00F05DC7" w:rsidRDefault="00F05DC7" w:rsidP="00A3786D">
      <w:pPr>
        <w:pStyle w:val="BodyText"/>
      </w:pPr>
      <w:r>
        <w:t>An HFE system with a relativity floor would result in partial equalisation</w:t>
      </w:r>
      <w:r w:rsidRPr="00F515EC">
        <w:t xml:space="preserve"> </w:t>
      </w:r>
      <w:r>
        <w:t>for all States when one State’s underlying relativity goes below this boundary, but full equalisation at other times. The most common proposal was for a relativity floor of 0.7, but there were also suggestions for hybrid approaches and the gradual introduction of a relativity floor over coming years. While Western Australia’s relativity is forecast to increase over the next few years, it remains likely that a relativity floor of 0.7 would ‘bite’ in the future.</w:t>
      </w:r>
    </w:p>
    <w:p w14:paraId="7954970A" w14:textId="77777777" w:rsidR="00F05DC7" w:rsidRDefault="00F05DC7" w:rsidP="00A3786D">
      <w:pPr>
        <w:pStyle w:val="BodyText"/>
      </w:pPr>
      <w:r>
        <w:t xml:space="preserve">The concept of a floor has some initial attraction. It acknowledges that the current system works in a satisfactory way </w:t>
      </w:r>
      <w:r w:rsidRPr="00F07372">
        <w:rPr>
          <w:i/>
        </w:rPr>
        <w:t>on average</w:t>
      </w:r>
      <w:r>
        <w:t xml:space="preserve">, and when jurisdictions are similar, but is seen to produce ‘unfair’ outcomes in circumstances where there are large disparities in the fiscal fortunes of States. At the margin, a floor may provide greater incentives to States to pursue further development. An </w:t>
      </w:r>
      <w:r w:rsidRPr="00A67A52">
        <w:rPr>
          <w:i/>
        </w:rPr>
        <w:t>explicit</w:t>
      </w:r>
      <w:r>
        <w:t xml:space="preserve"> floor would also be more transparent than the </w:t>
      </w:r>
      <w:r w:rsidRPr="00A67A52">
        <w:rPr>
          <w:i/>
        </w:rPr>
        <w:t>implicit</w:t>
      </w:r>
      <w:r>
        <w:t xml:space="preserve"> floor that has emerged through the additional infrastructure payments to Western Australia.</w:t>
      </w:r>
    </w:p>
    <w:p w14:paraId="7954970B" w14:textId="77777777" w:rsidR="00F05DC7" w:rsidRDefault="00F05DC7" w:rsidP="00A3786D">
      <w:pPr>
        <w:pStyle w:val="BodyText"/>
      </w:pPr>
      <w:r>
        <w:t>However, the introduction of a relativity floor is unlikely to provide a solution to the efficiency concerns identified earlier. It would only address policy non</w:t>
      </w:r>
      <w:r>
        <w:noBreakHyphen/>
        <w:t>neutrality for the State(s) for which the floor binds (Western Australia for the foreseeable future) and this depends on the level at which the floor is set. And adding a floor today creates a variant to the system that can be further varied — with inevitable pressure for funding beyond the GST pool. A floor is targeting a symptom, and ultimately, prevention is better than cure.</w:t>
      </w:r>
    </w:p>
    <w:p w14:paraId="7954970C" w14:textId="77777777" w:rsidR="00F05DC7" w:rsidRDefault="00F05DC7" w:rsidP="00A3786D">
      <w:pPr>
        <w:pStyle w:val="Heading4"/>
      </w:pPr>
      <w:r>
        <w:t xml:space="preserve">Benchmarks that deliver a reasonable standard of services </w:t>
      </w:r>
    </w:p>
    <w:p w14:paraId="7954970D" w14:textId="31950BC3" w:rsidR="00F05DC7" w:rsidRDefault="00F05DC7" w:rsidP="00A3786D">
      <w:pPr>
        <w:pStyle w:val="BodyText"/>
      </w:pPr>
      <w:r>
        <w:t xml:space="preserve">An alternative </w:t>
      </w:r>
      <w:r w:rsidRPr="00C3111B">
        <w:t>approach</w:t>
      </w:r>
      <w:r>
        <w:t xml:space="preserve"> is to</w:t>
      </w:r>
      <w:r w:rsidRPr="00C3111B">
        <w:t xml:space="preserve"> lift States up to some agreed </w:t>
      </w:r>
      <w:r>
        <w:t>reasonable</w:t>
      </w:r>
      <w:r w:rsidRPr="00C3111B">
        <w:t xml:space="preserve"> </w:t>
      </w:r>
      <w:r w:rsidR="002D01E0">
        <w:t>standard</w:t>
      </w:r>
      <w:r w:rsidRPr="00C3111B">
        <w:t xml:space="preserve"> of fiscal capacity</w:t>
      </w:r>
      <w:r>
        <w:t xml:space="preserve"> —</w:t>
      </w:r>
      <w:r w:rsidRPr="00C3111B">
        <w:t xml:space="preserve"> but not </w:t>
      </w:r>
      <w:r>
        <w:t>as far as</w:t>
      </w:r>
      <w:r w:rsidRPr="00C3111B">
        <w:t xml:space="preserve"> to the level of the fiscally strongest State</w:t>
      </w:r>
      <w:r>
        <w:t>,</w:t>
      </w:r>
      <w:r w:rsidRPr="00C3111B">
        <w:t xml:space="preserve"> as presently occurs </w:t>
      </w:r>
      <w:r>
        <w:t>—</w:t>
      </w:r>
      <w:r w:rsidRPr="00C3111B">
        <w:t xml:space="preserve"> and </w:t>
      </w:r>
      <w:r>
        <w:t>then distribute</w:t>
      </w:r>
      <w:r w:rsidRPr="00C3111B">
        <w:t xml:space="preserve"> the balance of the GST </w:t>
      </w:r>
      <w:r>
        <w:t>equally per capita. In principle, th</w:t>
      </w:r>
      <w:r w:rsidRPr="002B51DF">
        <w:t xml:space="preserve">is approach could be used to bring States up to </w:t>
      </w:r>
      <w:r w:rsidRPr="00032D67">
        <w:rPr>
          <w:i/>
        </w:rPr>
        <w:t>any</w:t>
      </w:r>
      <w:r w:rsidRPr="002B51DF">
        <w:t xml:space="preserve"> level</w:t>
      </w:r>
      <w:r>
        <w:t xml:space="preserve"> of fiscal capacity</w:t>
      </w:r>
      <w:r w:rsidRPr="002B51DF">
        <w:t xml:space="preserve"> less than that of the strongest State</w:t>
      </w:r>
      <w:r>
        <w:t xml:space="preserve">. </w:t>
      </w:r>
    </w:p>
    <w:p w14:paraId="7954970E" w14:textId="77777777" w:rsidR="00F05DC7" w:rsidRDefault="00F05DC7" w:rsidP="00A3786D">
      <w:pPr>
        <w:pStyle w:val="BodyText"/>
        <w:spacing w:after="240"/>
      </w:pPr>
      <w:r>
        <w:t xml:space="preserve">The Productivity Commission has assessed </w:t>
      </w:r>
      <w:r w:rsidRPr="005E0807">
        <w:t xml:space="preserve">five alternative </w:t>
      </w:r>
      <w:r>
        <w:t xml:space="preserve">equalisation </w:t>
      </w:r>
      <w:r w:rsidRPr="005E0807">
        <w:t>benchmarks</w:t>
      </w:r>
      <w:r>
        <w:t xml:space="preserve">, including those raised in the draft report and some others that were raised by participants: </w:t>
      </w:r>
    </w:p>
    <w:p w14:paraId="7954970F" w14:textId="77777777" w:rsidR="00F05DC7" w:rsidRDefault="00F05DC7" w:rsidP="00A3786D">
      <w:pPr>
        <w:pStyle w:val="ListBullet"/>
      </w:pPr>
      <w:r w:rsidRPr="005E0807">
        <w:t>equalising to the</w:t>
      </w:r>
      <w:r>
        <w:t xml:space="preserve"> fiscal capacity of the second s</w:t>
      </w:r>
      <w:r w:rsidRPr="005E0807">
        <w:t>trongest State (ESSS)</w:t>
      </w:r>
    </w:p>
    <w:p w14:paraId="79549710" w14:textId="77777777" w:rsidR="00F05DC7" w:rsidRDefault="00F05DC7" w:rsidP="00A3786D">
      <w:pPr>
        <w:pStyle w:val="ListBullet"/>
      </w:pPr>
      <w:r>
        <w:t>equalising to</w:t>
      </w:r>
      <w:r w:rsidRPr="005E0807">
        <w:t xml:space="preserve"> the</w:t>
      </w:r>
      <w:r>
        <w:t xml:space="preserve"> </w:t>
      </w:r>
      <w:r w:rsidRPr="005E0807">
        <w:t>average of the fiscally strongest (donor) States</w:t>
      </w:r>
    </w:p>
    <w:p w14:paraId="79549711" w14:textId="77777777" w:rsidR="00F05DC7" w:rsidRDefault="00F05DC7" w:rsidP="00A3786D">
      <w:pPr>
        <w:pStyle w:val="ListBullet"/>
      </w:pPr>
      <w:r>
        <w:t xml:space="preserve">equalising to </w:t>
      </w:r>
      <w:r w:rsidRPr="005E0807">
        <w:t>the average of all States (ETA)</w:t>
      </w:r>
    </w:p>
    <w:p w14:paraId="79549712" w14:textId="77777777" w:rsidR="00F05DC7" w:rsidRDefault="00F05DC7" w:rsidP="00A3786D">
      <w:pPr>
        <w:pStyle w:val="ListBullet"/>
      </w:pPr>
      <w:r w:rsidRPr="005E0807">
        <w:t xml:space="preserve">full equalisation for </w:t>
      </w:r>
      <w:r>
        <w:t xml:space="preserve">only </w:t>
      </w:r>
      <w:r w:rsidRPr="005E0807">
        <w:t>the small States</w:t>
      </w:r>
    </w:p>
    <w:p w14:paraId="79549713" w14:textId="77777777" w:rsidR="00F05DC7" w:rsidRDefault="00F05DC7" w:rsidP="00A3786D">
      <w:pPr>
        <w:pStyle w:val="ListBullet"/>
      </w:pPr>
      <w:r w:rsidRPr="005E0807">
        <w:lastRenderedPageBreak/>
        <w:t>90 per cent</w:t>
      </w:r>
      <w:r>
        <w:t xml:space="preserve"> full</w:t>
      </w:r>
      <w:r w:rsidRPr="005E0807">
        <w:t xml:space="preserve"> equalisation</w:t>
      </w:r>
      <w:r>
        <w:t xml:space="preserve"> (as mooted by the CGC).</w:t>
      </w:r>
    </w:p>
    <w:p w14:paraId="79549714" w14:textId="77777777" w:rsidR="00F05DC7" w:rsidRDefault="00F05DC7" w:rsidP="00A3786D">
      <w:pPr>
        <w:pStyle w:val="BodyText"/>
        <w:spacing w:after="240"/>
      </w:pPr>
      <w:r>
        <w:t>The equalisation task under each of these approaches is shown in figure 5 for the past 17 years (to demonstrate what would have transpired) and over the forward estimates.</w:t>
      </w:r>
    </w:p>
    <w:p w14:paraId="79549715" w14:textId="77777777" w:rsidR="00F05DC7" w:rsidRDefault="00F05DC7" w:rsidP="00A3786D">
      <w:pPr>
        <w:pStyle w:val="BodyText"/>
        <w:spacing w:after="240"/>
      </w:pPr>
      <w:r>
        <w:t>Changing the benchmark makes way for further consideration of efficiency issues. It offers a simple way to lessen the disincentives for significant State tax reform or mining development and royalties — and is consistent with the revised objective of HFE. However, this approach on its own is unlikely to deliver significant improvements to simplicity.</w:t>
      </w:r>
    </w:p>
    <w:p w14:paraId="79549716" w14:textId="77777777" w:rsidR="00F05DC7" w:rsidRDefault="00F05DC7" w:rsidP="00A3786D">
      <w:pPr>
        <w:pStyle w:val="BodyText"/>
        <w:spacing w:after="240"/>
      </w:pPr>
      <w:r>
        <w:t xml:space="preserve">Importantly, from a policy neutrality (and efficiency) perspective, </w:t>
      </w:r>
      <w:r w:rsidRPr="005E0807">
        <w:t xml:space="preserve">States that are above the relevant equalisation benchmark (such as the strongest State in the case of ESSS) have less of a disincentive to </w:t>
      </w:r>
      <w:r>
        <w:t>initiate</w:t>
      </w:r>
      <w:r w:rsidRPr="005E0807">
        <w:t xml:space="preserve"> </w:t>
      </w:r>
      <w:r>
        <w:t xml:space="preserve">policy effort (such as tax </w:t>
      </w:r>
      <w:r w:rsidRPr="005E0807">
        <w:t xml:space="preserve">reform </w:t>
      </w:r>
      <w:r>
        <w:t xml:space="preserve">or controversial development activity) </w:t>
      </w:r>
      <w:r w:rsidRPr="005E0807">
        <w:t xml:space="preserve">than States that are below the </w:t>
      </w:r>
      <w:r>
        <w:t>benchmark</w:t>
      </w:r>
      <w:r w:rsidRPr="005E0807">
        <w:t xml:space="preserve">. This is because States above the </w:t>
      </w:r>
      <w:r>
        <w:t>benchmark</w:t>
      </w:r>
      <w:r w:rsidRPr="005E0807">
        <w:t xml:space="preserve"> only receive their EPC share of the residual GST pool (</w:t>
      </w:r>
      <w:r>
        <w:t xml:space="preserve">they are </w:t>
      </w:r>
      <w:r w:rsidRPr="005E0807">
        <w:t xml:space="preserve">not ‘equalised’ as they are already above the equalisation </w:t>
      </w:r>
      <w:r>
        <w:t>benchmark</w:t>
      </w:r>
      <w:r w:rsidRPr="005E0807">
        <w:t xml:space="preserve">). </w:t>
      </w:r>
      <w:r>
        <w:t>In other words, each State’s GST grant is largely invariant to its own policy choices (box 6)</w:t>
      </w:r>
      <w:r w:rsidRPr="005E0807">
        <w:t>.</w:t>
      </w:r>
    </w:p>
    <w:p w14:paraId="79549717" w14:textId="77777777" w:rsidR="00F05DC7" w:rsidRPr="005E0807" w:rsidRDefault="00F05DC7" w:rsidP="00A3786D">
      <w:pPr>
        <w:pStyle w:val="Heading3"/>
        <w:spacing w:before="360"/>
      </w:pPr>
      <w:r w:rsidRPr="005E0807">
        <w:t xml:space="preserve">Which </w:t>
      </w:r>
      <w:r>
        <w:t>benchmark</w:t>
      </w:r>
      <w:r w:rsidRPr="005E0807">
        <w:t xml:space="preserve"> provides </w:t>
      </w:r>
      <w:r>
        <w:t>a better</w:t>
      </w:r>
      <w:r w:rsidRPr="005E0807">
        <w:t xml:space="preserve"> balance between equity and efficiency?</w:t>
      </w:r>
    </w:p>
    <w:p w14:paraId="79549718" w14:textId="77777777" w:rsidR="00F05DC7" w:rsidRDefault="00F05DC7" w:rsidP="00A3786D">
      <w:pPr>
        <w:spacing w:before="240" w:line="300" w:lineRule="atLeast"/>
        <w:jc w:val="both"/>
      </w:pPr>
      <w:r>
        <w:t xml:space="preserve">None of these </w:t>
      </w:r>
      <w:r w:rsidRPr="005213A1">
        <w:t>benchmark</w:t>
      </w:r>
      <w:r>
        <w:t>s</w:t>
      </w:r>
      <w:r w:rsidRPr="005213A1">
        <w:t xml:space="preserve"> is unam</w:t>
      </w:r>
      <w:r>
        <w:t>biguously superior and there is no ‘right’ balance</w:t>
      </w:r>
      <w:r w:rsidRPr="005213A1">
        <w:t xml:space="preserve">. </w:t>
      </w:r>
      <w:r>
        <w:t xml:space="preserve">Each has advantages and disadvantages that are difficult to comprehensively identify, let alone quantify. The preferred option is the one with the greatest potential benefits (in terms of greater fairness and increased policy neutrality) relative to the potential costs (less fiscal equality). </w:t>
      </w:r>
    </w:p>
    <w:p w14:paraId="79549719" w14:textId="77777777" w:rsidR="00F05DC7" w:rsidRDefault="00F05DC7" w:rsidP="00A3786D">
      <w:pPr>
        <w:pStyle w:val="BodyText"/>
        <w:spacing w:after="240"/>
      </w:pPr>
      <w:r w:rsidRPr="005E0807">
        <w:t xml:space="preserve">Equalising to the average of the fiscally strong States and equalising to the second strongest State have the smallest </w:t>
      </w:r>
      <w:r>
        <w:t>fiscal equality</w:t>
      </w:r>
      <w:r w:rsidRPr="005E0807">
        <w:t xml:space="preserve"> impacts (table</w:t>
      </w:r>
      <w:r>
        <w:t> 2</w:t>
      </w:r>
      <w:r w:rsidRPr="005E0807">
        <w:t>)</w:t>
      </w:r>
      <w:r>
        <w:t>,</w:t>
      </w:r>
      <w:r w:rsidRPr="005E0807">
        <w:t xml:space="preserve"> but do not </w:t>
      </w:r>
      <w:r>
        <w:t>significantly</w:t>
      </w:r>
      <w:r w:rsidRPr="005E0807">
        <w:t xml:space="preserve"> reduce disincentives for reform</w:t>
      </w:r>
      <w:r>
        <w:t xml:space="preserve"> </w:t>
      </w:r>
      <w:r w:rsidRPr="005E0807">
        <w:t>other than for the fiscally strongest State, and perhaps the second strongest State</w:t>
      </w:r>
      <w:r>
        <w:t xml:space="preserve"> (depending on the relative fiscal capacities of the strongest States)</w:t>
      </w:r>
      <w:r w:rsidRPr="005E0807">
        <w:t>. They also raise other potential problems. In particular, because the benchmark would be determined based on the fiscal capacity of only</w:t>
      </w:r>
      <w:r>
        <w:t xml:space="preserve"> a few </w:t>
      </w:r>
      <w:r w:rsidRPr="005E0807">
        <w:t xml:space="preserve">States, equalisation could continue to be driven by </w:t>
      </w:r>
      <w:r>
        <w:t xml:space="preserve">fiscal </w:t>
      </w:r>
      <w:r w:rsidRPr="005E0807">
        <w:t>outliers, should the strongest and second strongest States attain a significantly stronger fiscal capacity than the other States</w:t>
      </w:r>
      <w:r>
        <w:t xml:space="preserve">. </w:t>
      </w:r>
    </w:p>
    <w:p w14:paraId="7954971A" w14:textId="77777777" w:rsidR="00F05DC7" w:rsidRDefault="00F05DC7" w:rsidP="00A3786D">
      <w:pPr>
        <w:spacing w:before="240" w:line="300" w:lineRule="atLeast"/>
        <w:jc w:val="both"/>
      </w:pPr>
    </w:p>
    <w:p w14:paraId="7954971B" w14:textId="77777777" w:rsidR="00F05DC7" w:rsidRDefault="00F05DC7">
      <w:pPr>
        <w:pStyle w:val="BodyText"/>
        <w:sectPr w:rsidR="00F05DC7" w:rsidSect="00341944">
          <w:headerReference w:type="even" r:id="rId41"/>
          <w:headerReference w:type="default" r:id="rId42"/>
          <w:footerReference w:type="even" r:id="rId43"/>
          <w:footerReference w:type="default" r:id="rId44"/>
          <w:headerReference w:type="first" r:id="rId45"/>
          <w:footerReference w:type="first" r:id="rId46"/>
          <w:pgSz w:w="11907" w:h="16840" w:code="9"/>
          <w:pgMar w:top="1985" w:right="1304" w:bottom="1247" w:left="1814" w:header="1701" w:footer="397" w:gutter="0"/>
          <w:pgNumType w:start="1" w:chapSep="period"/>
          <w:cols w:space="720"/>
          <w:titlePg/>
          <w:docGrid w:linePitch="326"/>
        </w:sectPr>
      </w:pPr>
    </w:p>
    <w:p w14:paraId="7954971C"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F05DC7" w14:paraId="7954971E" w14:textId="77777777" w:rsidTr="00A3786D">
        <w:trPr>
          <w:tblHeader/>
        </w:trPr>
        <w:tc>
          <w:tcPr>
            <w:tcW w:w="5000" w:type="pct"/>
            <w:tcBorders>
              <w:top w:val="single" w:sz="6" w:space="0" w:color="78A22F"/>
              <w:left w:val="nil"/>
              <w:bottom w:val="nil"/>
              <w:right w:val="nil"/>
            </w:tcBorders>
            <w:shd w:val="clear" w:color="auto" w:fill="auto"/>
          </w:tcPr>
          <w:p w14:paraId="7954971D" w14:textId="77777777" w:rsidR="00F05DC7" w:rsidRPr="00176D3F" w:rsidRDefault="00F05DC7" w:rsidP="00A3786D">
            <w:pPr>
              <w:pStyle w:val="FigureTitle"/>
            </w:pPr>
            <w:r w:rsidRPr="00784A05">
              <w:rPr>
                <w:b w:val="0"/>
              </w:rPr>
              <w:t xml:space="preserve">Figure </w:t>
            </w:r>
            <w:r>
              <w:rPr>
                <w:b w:val="0"/>
              </w:rPr>
              <w:t>5</w:t>
            </w:r>
            <w:r>
              <w:tab/>
              <w:t>The equalisation task under alternative benchmarks</w:t>
            </w:r>
            <w:r w:rsidRPr="005F04D9">
              <w:rPr>
                <w:rStyle w:val="NoteLabel"/>
                <w:b/>
              </w:rPr>
              <w:t>a</w:t>
            </w:r>
          </w:p>
        </w:tc>
      </w:tr>
      <w:tr w:rsidR="00F05DC7" w14:paraId="79549722" w14:textId="77777777" w:rsidTr="00A3786D">
        <w:tc>
          <w:tcPr>
            <w:tcW w:w="5000" w:type="pct"/>
            <w:tcBorders>
              <w:top w:val="nil"/>
              <w:left w:val="nil"/>
              <w:bottom w:val="nil"/>
              <w:right w:val="nil"/>
            </w:tcBorders>
            <w:shd w:val="clear" w:color="auto" w:fill="auto"/>
            <w:tcMar>
              <w:top w:w="28" w:type="dxa"/>
              <w:left w:w="57" w:type="dxa"/>
              <w:bottom w:w="28" w:type="dxa"/>
              <w:right w:w="57"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2870"/>
            </w:tblGrid>
            <w:tr w:rsidR="00F05DC7" w:rsidRPr="00B1465D" w14:paraId="79549720" w14:textId="77777777" w:rsidTr="00A3786D">
              <w:trPr>
                <w:tblHeader/>
                <w:jc w:val="center"/>
              </w:trPr>
              <w:tc>
                <w:tcPr>
                  <w:tcW w:w="5000" w:type="pct"/>
                  <w:tcBorders>
                    <w:top w:val="nil"/>
                    <w:bottom w:val="nil"/>
                  </w:tcBorders>
                </w:tcPr>
                <w:p w14:paraId="7954971F" w14:textId="77777777" w:rsidR="00F05DC7" w:rsidRPr="00B1465D" w:rsidRDefault="00F05DC7" w:rsidP="00A3786D">
                  <w:pPr>
                    <w:pStyle w:val="Figure"/>
                    <w:spacing w:before="60" w:after="60"/>
                    <w:rPr>
                      <w:rFonts w:ascii="Arial" w:hAnsi="Arial" w:cs="Arial"/>
                      <w:sz w:val="18"/>
                      <w:szCs w:val="18"/>
                    </w:rPr>
                  </w:pPr>
                  <w:r w:rsidRPr="003D290A">
                    <w:rPr>
                      <w:rFonts w:ascii="Arial" w:hAnsi="Arial" w:cs="Arial"/>
                      <w:noProof/>
                      <w:sz w:val="18"/>
                      <w:szCs w:val="18"/>
                    </w:rPr>
                    <w:drawing>
                      <wp:inline distT="0" distB="0" distL="0" distR="0" wp14:anchorId="7954D58B" wp14:editId="7954D58C">
                        <wp:extent cx="8169910" cy="3793067"/>
                        <wp:effectExtent l="0" t="0" r="2540" b="0"/>
                        <wp:docPr id="6" name="Picture 6" descr="Compared to alternative benchmarks, the size of the equalisation task is greatest under current arrangements, and would remain so for the duration of the forward estimates. &#10;90 per cent full equalisation, equalisation to the second strongest State, and equalisation to the average of the fiscally strong States tend to result in a similar size of equalisation task. The size of the equalisation task is smallest under equalising to the average, and is close to that for full equalisation for the smallest States only.  &#10;" title="The equalisation task under alternative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83017" cy="3799152"/>
                                </a:xfrm>
                                <a:prstGeom prst="rect">
                                  <a:avLst/>
                                </a:prstGeom>
                                <a:noFill/>
                                <a:ln>
                                  <a:noFill/>
                                </a:ln>
                              </pic:spPr>
                            </pic:pic>
                          </a:graphicData>
                        </a:graphic>
                      </wp:inline>
                    </w:drawing>
                  </w:r>
                </w:p>
              </w:tc>
            </w:tr>
          </w:tbl>
          <w:p w14:paraId="79549721" w14:textId="77777777" w:rsidR="00F05DC7" w:rsidRDefault="00F05DC7" w:rsidP="00A3786D">
            <w:pPr>
              <w:pStyle w:val="Figure"/>
            </w:pPr>
          </w:p>
        </w:tc>
      </w:tr>
      <w:tr w:rsidR="00F05DC7" w:rsidRPr="00176D3F" w14:paraId="79549724" w14:textId="77777777" w:rsidTr="00A3786D">
        <w:tc>
          <w:tcPr>
            <w:tcW w:w="5000" w:type="pct"/>
            <w:tcBorders>
              <w:top w:val="nil"/>
              <w:left w:val="nil"/>
              <w:bottom w:val="nil"/>
              <w:right w:val="nil"/>
            </w:tcBorders>
            <w:shd w:val="clear" w:color="auto" w:fill="auto"/>
          </w:tcPr>
          <w:p w14:paraId="79549723" w14:textId="77777777" w:rsidR="00F05DC7" w:rsidRPr="00176D3F" w:rsidRDefault="00F05DC7" w:rsidP="00A3786D">
            <w:pPr>
              <w:pStyle w:val="Note"/>
            </w:pPr>
            <w:r>
              <w:rPr>
                <w:rStyle w:val="NoteLabel"/>
              </w:rPr>
              <w:t>a</w:t>
            </w:r>
            <w:r>
              <w:t xml:space="preserve"> The pool includes Health Care Grants in estimates made before 2009. Dashed sections denote projections.</w:t>
            </w:r>
          </w:p>
        </w:tc>
      </w:tr>
      <w:tr w:rsidR="00F05DC7" w14:paraId="79549726" w14:textId="77777777" w:rsidTr="00A3786D">
        <w:tc>
          <w:tcPr>
            <w:tcW w:w="5000" w:type="pct"/>
            <w:tcBorders>
              <w:top w:val="nil"/>
              <w:left w:val="nil"/>
              <w:bottom w:val="single" w:sz="6" w:space="0" w:color="78A22F"/>
              <w:right w:val="nil"/>
            </w:tcBorders>
            <w:shd w:val="clear" w:color="auto" w:fill="auto"/>
          </w:tcPr>
          <w:p w14:paraId="79549725" w14:textId="77777777" w:rsidR="00F05DC7" w:rsidRDefault="00F05DC7" w:rsidP="00A3786D">
            <w:pPr>
              <w:pStyle w:val="Figurespace"/>
            </w:pPr>
          </w:p>
        </w:tc>
      </w:tr>
      <w:tr w:rsidR="00F05DC7" w:rsidRPr="000863A5" w14:paraId="79549728" w14:textId="77777777" w:rsidTr="00A3786D">
        <w:tc>
          <w:tcPr>
            <w:tcW w:w="5000" w:type="pct"/>
            <w:tcBorders>
              <w:top w:val="single" w:sz="6" w:space="0" w:color="78A22F"/>
              <w:left w:val="nil"/>
              <w:bottom w:val="nil"/>
              <w:right w:val="nil"/>
            </w:tcBorders>
          </w:tcPr>
          <w:p w14:paraId="79549727" w14:textId="77777777" w:rsidR="00F05DC7" w:rsidRPr="00626D32" w:rsidRDefault="00F05DC7" w:rsidP="00A3786D">
            <w:pPr>
              <w:pStyle w:val="BoxSpaceBelow"/>
            </w:pPr>
          </w:p>
        </w:tc>
      </w:tr>
    </w:tbl>
    <w:p w14:paraId="79549729" w14:textId="77777777" w:rsidR="00F05DC7" w:rsidRDefault="00F05DC7" w:rsidP="00A3786D">
      <w:pPr>
        <w:pStyle w:val="BodyText"/>
      </w:pPr>
    </w:p>
    <w:p w14:paraId="7954972A" w14:textId="77777777" w:rsidR="00F05DC7" w:rsidRDefault="00F05DC7">
      <w:pPr>
        <w:pStyle w:val="BodyText"/>
        <w:sectPr w:rsidR="00F05DC7">
          <w:headerReference w:type="even" r:id="rId48"/>
          <w:headerReference w:type="default" r:id="rId49"/>
          <w:footerReference w:type="even" r:id="rId50"/>
          <w:footerReference w:type="default" r:id="rId51"/>
          <w:pgSz w:w="16840" w:h="11907" w:orient="landscape" w:code="9"/>
          <w:pgMar w:top="1814" w:right="1985" w:bottom="1304" w:left="1418" w:header="1701" w:footer="567" w:gutter="0"/>
          <w:pgNumType w:chapSep="period"/>
          <w:cols w:space="720"/>
        </w:sectPr>
      </w:pPr>
    </w:p>
    <w:p w14:paraId="7954972B" w14:textId="77777777" w:rsidR="00F05DC7" w:rsidRDefault="00F05DC7" w:rsidP="00A3786D">
      <w:pPr>
        <w:spacing w:before="240" w:line="300" w:lineRule="atLeast"/>
        <w:jc w:val="both"/>
      </w:pPr>
      <w:r w:rsidRPr="005E0807">
        <w:lastRenderedPageBreak/>
        <w:t xml:space="preserve">By contrast, although ETA has the largest </w:t>
      </w:r>
      <w:r>
        <w:t>fiscal equality</w:t>
      </w:r>
      <w:r w:rsidRPr="005E0807">
        <w:t xml:space="preserve"> impacts, </w:t>
      </w:r>
      <w:r>
        <w:t xml:space="preserve">it also </w:t>
      </w:r>
      <w:r w:rsidRPr="005E0807">
        <w:t xml:space="preserve">offers the greatest scope for efficiency </w:t>
      </w:r>
      <w:r>
        <w:t xml:space="preserve">and fairness </w:t>
      </w:r>
      <w:r w:rsidRPr="005E0807">
        <w:t xml:space="preserve">gains, as it mutes </w:t>
      </w:r>
      <w:r>
        <w:t>policy non</w:t>
      </w:r>
      <w:r>
        <w:noBreakHyphen/>
        <w:t>neutrality</w:t>
      </w:r>
      <w:r w:rsidRPr="005E0807">
        <w:t xml:space="preserve"> for a larger number of States</w:t>
      </w:r>
      <w:r>
        <w:t>,</w:t>
      </w:r>
      <w:r w:rsidRPr="005E0807">
        <w:t xml:space="preserve"> allow</w:t>
      </w:r>
      <w:r>
        <w:t>ing</w:t>
      </w:r>
      <w:r w:rsidRPr="005E0807">
        <w:t xml:space="preserve"> more </w:t>
      </w:r>
      <w:r>
        <w:t>(albeit the large)</w:t>
      </w:r>
      <w:r w:rsidRPr="005E0807">
        <w:t xml:space="preserve"> States to retain a greater portion of the benefits of</w:t>
      </w:r>
      <w:r>
        <w:t xml:space="preserve"> policy effort, including major</w:t>
      </w:r>
      <w:r w:rsidRPr="005E0807">
        <w:t xml:space="preserve"> </w:t>
      </w:r>
      <w:r>
        <w:t xml:space="preserve">tax </w:t>
      </w:r>
      <w:r w:rsidRPr="005E0807">
        <w:t>reform.</w:t>
      </w:r>
      <w:r>
        <w:t xml:space="preserve"> The Commission’s analysis suggests that disincentives would be reduced for New South Wales, Victoria and Western Australia by between 85 and 96 per cent. </w:t>
      </w:r>
    </w:p>
    <w:p w14:paraId="7954972C" w14:textId="77777777" w:rsidR="00F05DC7" w:rsidRPr="005E0807" w:rsidRDefault="00F05DC7" w:rsidP="00A3786D">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0807" w14:paraId="7954972E" w14:textId="77777777" w:rsidTr="00A3786D">
        <w:trPr>
          <w:tblHeader/>
        </w:trPr>
        <w:tc>
          <w:tcPr>
            <w:tcW w:w="5000" w:type="pct"/>
            <w:tcBorders>
              <w:top w:val="single" w:sz="6" w:space="0" w:color="78A22F"/>
              <w:left w:val="nil"/>
              <w:bottom w:val="nil"/>
              <w:right w:val="nil"/>
            </w:tcBorders>
            <w:shd w:val="clear" w:color="auto" w:fill="F2F2F2"/>
          </w:tcPr>
          <w:p w14:paraId="7954972D" w14:textId="77777777" w:rsidR="00F05DC7" w:rsidRPr="005E0807" w:rsidRDefault="00F05DC7" w:rsidP="00A3786D">
            <w:pPr>
              <w:keepNext/>
              <w:keepLines/>
              <w:spacing w:before="120" w:line="280" w:lineRule="exact"/>
              <w:ind w:left="1474" w:hanging="1474"/>
              <w:rPr>
                <w:rFonts w:ascii="Arial" w:hAnsi="Arial"/>
                <w:b/>
              </w:rPr>
            </w:pPr>
            <w:r>
              <w:rPr>
                <w:rFonts w:ascii="Arial" w:hAnsi="Arial"/>
              </w:rPr>
              <w:t>Box 6</w:t>
            </w:r>
            <w:r w:rsidRPr="005E0807">
              <w:rPr>
                <w:rFonts w:ascii="Arial" w:hAnsi="Arial"/>
                <w:b/>
              </w:rPr>
              <w:tab/>
            </w:r>
            <w:r>
              <w:rPr>
                <w:rFonts w:ascii="Arial" w:hAnsi="Arial"/>
                <w:b/>
              </w:rPr>
              <w:t>H</w:t>
            </w:r>
            <w:r w:rsidRPr="005E0807">
              <w:rPr>
                <w:rFonts w:ascii="Arial" w:hAnsi="Arial"/>
                <w:b/>
              </w:rPr>
              <w:t xml:space="preserve">ow do alternative equalisation benchmarks </w:t>
            </w:r>
            <w:r>
              <w:rPr>
                <w:rFonts w:ascii="Arial" w:hAnsi="Arial"/>
                <w:b/>
              </w:rPr>
              <w:t>influence</w:t>
            </w:r>
            <w:r w:rsidRPr="005E0807">
              <w:rPr>
                <w:rFonts w:ascii="Arial" w:hAnsi="Arial"/>
                <w:b/>
              </w:rPr>
              <w:t xml:space="preserve"> State reform incentives? </w:t>
            </w:r>
          </w:p>
        </w:tc>
      </w:tr>
      <w:tr w:rsidR="00F05DC7" w:rsidRPr="005E0807" w14:paraId="79549731" w14:textId="77777777" w:rsidTr="00A3786D">
        <w:tc>
          <w:tcPr>
            <w:tcW w:w="5000" w:type="pct"/>
            <w:tcBorders>
              <w:top w:val="nil"/>
              <w:left w:val="nil"/>
              <w:bottom w:val="nil"/>
              <w:right w:val="nil"/>
            </w:tcBorders>
            <w:shd w:val="clear" w:color="auto" w:fill="F2F2F2"/>
          </w:tcPr>
          <w:p w14:paraId="7954972F" w14:textId="77777777" w:rsidR="00F05DC7" w:rsidRPr="003B5DBB" w:rsidRDefault="00F05DC7" w:rsidP="00A3786D">
            <w:pPr>
              <w:pStyle w:val="Box"/>
              <w:rPr>
                <w:spacing w:val="-1"/>
              </w:rPr>
            </w:pPr>
            <w:r w:rsidRPr="003B5DBB">
              <w:rPr>
                <w:spacing w:val="-1"/>
              </w:rPr>
              <w:t>A general ‘in principle’ illustration of how alternative equalisation benchmarks could affect policy reform disincentives is to examine what happens when one State loses $100 per capita of GST revenue. This loss could be from any reform that resulted in that State losing GST revenue — for example, due to a policy that encouraged the expansion of one of its tax bases — while all other States gain an equal per capita amount such that the total amount of GST distributed remains constant. Examining whether a State loses more or less than the original $100 under each of the equalisation benchmarks provides an indication of how the alternative benchmarks affect disincentives. Compared to the current system (where disincentives are fully present for all States), the alternative equalisation benchmarks mute disincentives to varying degrees, with full equalisation for only the small States providing the greatest muting of disincentives for the large States, and 90 per cent equalisation providing the least muting of disincentives for the large States.</w:t>
            </w:r>
          </w:p>
          <w:p w14:paraId="79549730" w14:textId="77777777" w:rsidR="00F05DC7" w:rsidRPr="005E0807" w:rsidRDefault="00F05DC7" w:rsidP="00A3786D">
            <w:pPr>
              <w:pStyle w:val="Box"/>
            </w:pPr>
            <w:r w:rsidRPr="00E933BE">
              <w:rPr>
                <w:noProof/>
              </w:rPr>
              <w:drawing>
                <wp:inline distT="0" distB="0" distL="0" distR="0" wp14:anchorId="7954D58D" wp14:editId="7954D58E">
                  <wp:extent cx="5480538" cy="2963545"/>
                  <wp:effectExtent l="0" t="0" r="0" b="0"/>
                  <wp:docPr id="3" name="Picture 3" descr="Full equalisation tor the small States only would provide large reductions in disincentives for reform by the largest States. Similarly, equalising to the average would provide large reductions for New South Wales, Victoria, and Western Australia, with a modest reduction for Queensland, and smaller reductions for the remaining States. Other benchmarks provide more limited reductions in disincentives for reform by States." title="Reduction in the financial disincentive to undertake reform by equalisation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3054" cy="2964906"/>
                          </a:xfrm>
                          <a:prstGeom prst="rect">
                            <a:avLst/>
                          </a:prstGeom>
                          <a:noFill/>
                          <a:ln>
                            <a:noFill/>
                          </a:ln>
                        </pic:spPr>
                      </pic:pic>
                    </a:graphicData>
                  </a:graphic>
                </wp:inline>
              </w:drawing>
            </w:r>
            <w:r>
              <w:t xml:space="preserve">These generalised findings apply to the stamp duty and land tax reform cameo in box 4 — the analysis shows that ESSS would remove disincentives for this reform for the strongest State (currently Western Australia) and reduce them for the second strongest State (currently New South Wales). Under ETA, disincentives are substantially reduced for Western Australia, New South Wales and Victoria and by a small amount for Queensland. For the remaining States (South Australia, Tasmania, the ACT and the Northern Territory) disincentives are slightly reduced. </w:t>
            </w:r>
          </w:p>
        </w:tc>
      </w:tr>
      <w:tr w:rsidR="00F05DC7" w:rsidRPr="005E0807" w14:paraId="79549733" w14:textId="77777777" w:rsidTr="00A3786D">
        <w:tc>
          <w:tcPr>
            <w:tcW w:w="5000" w:type="pct"/>
            <w:tcBorders>
              <w:top w:val="nil"/>
              <w:left w:val="nil"/>
              <w:bottom w:val="single" w:sz="6" w:space="0" w:color="78A22F"/>
              <w:right w:val="nil"/>
            </w:tcBorders>
            <w:shd w:val="clear" w:color="auto" w:fill="F2F2F2"/>
          </w:tcPr>
          <w:p w14:paraId="79549732" w14:textId="77777777" w:rsidR="00F05DC7" w:rsidRPr="005E0807" w:rsidRDefault="00F05DC7" w:rsidP="00A3786D">
            <w:pPr>
              <w:keepNext/>
              <w:spacing w:line="120" w:lineRule="exact"/>
              <w:jc w:val="both"/>
              <w:rPr>
                <w:rFonts w:ascii="Arial" w:hAnsi="Arial"/>
                <w:sz w:val="20"/>
              </w:rPr>
            </w:pPr>
          </w:p>
        </w:tc>
      </w:tr>
      <w:tr w:rsidR="00F05DC7" w:rsidRPr="005E0807" w14:paraId="79549735" w14:textId="77777777" w:rsidTr="00A3786D">
        <w:tc>
          <w:tcPr>
            <w:tcW w:w="5000" w:type="pct"/>
            <w:tcBorders>
              <w:top w:val="single" w:sz="6" w:space="0" w:color="78A22F"/>
              <w:left w:val="nil"/>
              <w:bottom w:val="nil"/>
              <w:right w:val="nil"/>
            </w:tcBorders>
          </w:tcPr>
          <w:p w14:paraId="79549734" w14:textId="77777777" w:rsidR="00F05DC7" w:rsidRPr="005E0807" w:rsidRDefault="00F05DC7" w:rsidP="00A3786D">
            <w:pPr>
              <w:spacing w:before="60" w:after="60" w:line="80" w:lineRule="exact"/>
              <w:jc w:val="both"/>
              <w:rPr>
                <w:rFonts w:ascii="Arial" w:hAnsi="Arial"/>
                <w:sz w:val="14"/>
              </w:rPr>
            </w:pPr>
          </w:p>
        </w:tc>
      </w:tr>
    </w:tbl>
    <w:p w14:paraId="79549736" w14:textId="77777777" w:rsidR="00F05DC7" w:rsidRDefault="00F05DC7" w:rsidP="00A3786D">
      <w:pPr>
        <w:spacing w:before="240" w:line="300" w:lineRule="atLeast"/>
        <w:jc w:val="both"/>
      </w:pPr>
      <w:r w:rsidRPr="005E0807">
        <w:lastRenderedPageBreak/>
        <w:t>Under immediate implementation</w:t>
      </w:r>
      <w:r>
        <w:t xml:space="preserve"> to ETA, with no transition</w:t>
      </w:r>
      <w:r w:rsidRPr="005E0807">
        <w:t xml:space="preserve">, </w:t>
      </w:r>
      <w:r>
        <w:t>the reduction in GST payments</w:t>
      </w:r>
      <w:r w:rsidRPr="005E0807">
        <w:t xml:space="preserve"> would not</w:t>
      </w:r>
      <w:r>
        <w:t xml:space="preserve"> (in 2018</w:t>
      </w:r>
      <w:r>
        <w:noBreakHyphen/>
        <w:t>19)</w:t>
      </w:r>
      <w:r w:rsidRPr="005E0807">
        <w:t xml:space="preserve"> </w:t>
      </w:r>
      <w:r>
        <w:t xml:space="preserve">have </w:t>
      </w:r>
      <w:r w:rsidRPr="005E0807">
        <w:t>exceed</w:t>
      </w:r>
      <w:r>
        <w:t>ed</w:t>
      </w:r>
      <w:r w:rsidRPr="005E0807">
        <w:t xml:space="preserve"> </w:t>
      </w:r>
      <w:r>
        <w:t>2.5</w:t>
      </w:r>
      <w:r w:rsidRPr="005E0807">
        <w:t> per cent of total revenue for any State</w:t>
      </w:r>
      <w:r>
        <w:t>,</w:t>
      </w:r>
      <w:r w:rsidRPr="005E0807">
        <w:t xml:space="preserve"> and all States would </w:t>
      </w:r>
      <w:r>
        <w:t xml:space="preserve">have </w:t>
      </w:r>
      <w:r w:rsidRPr="005E0807">
        <w:t>be</w:t>
      </w:r>
      <w:r>
        <w:t>en</w:t>
      </w:r>
      <w:r w:rsidRPr="005E0807">
        <w:t xml:space="preserve"> able to meet at least 97 per cent of their assessed expenditure </w:t>
      </w:r>
      <w:r>
        <w:t>needs.</w:t>
      </w:r>
    </w:p>
    <w:p w14:paraId="79549737" w14:textId="77777777" w:rsidR="00F05DC7" w:rsidRDefault="00F05DC7" w:rsidP="00A3786D">
      <w:pPr>
        <w:spacing w:before="240" w:line="300" w:lineRule="atLeast"/>
        <w:jc w:val="both"/>
      </w:pPr>
      <w:r>
        <w:t xml:space="preserve">More generally, States can choose (as they already do) to prioritise and adjust the way they spend their GST payments to ensure that key services continue to be funded. There are instances where States choose to fund services to a higher or lower degree than the CGC assesses they need to in order to provide the national average level of services. </w:t>
      </w:r>
    </w:p>
    <w:p w14:paraId="79549738" w14:textId="77777777" w:rsidR="00F05DC7" w:rsidRDefault="00F05DC7" w:rsidP="00A3786D">
      <w:pPr>
        <w:spacing w:before="240" w:line="300" w:lineRule="atLeast"/>
        <w:jc w:val="both"/>
      </w:pPr>
      <w:r>
        <w:t>To the extent that there are major adverse budgetary impacts on States of a sudden move to ETA, a carefully designed transition can help to alleviate the impacts (discussed below).</w:t>
      </w:r>
    </w:p>
    <w:p w14:paraId="79549739" w14:textId="77777777" w:rsidR="00F05DC7" w:rsidRPr="005E0807" w:rsidRDefault="00F05DC7" w:rsidP="00A3786D">
      <w:pPr>
        <w:keepNext/>
        <w:spacing w:before="240" w:line="300" w:lineRule="atLeast"/>
        <w:jc w:val="both"/>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rsidRPr="005E0807" w14:paraId="7954973C" w14:textId="77777777" w:rsidTr="00A3786D">
        <w:trPr>
          <w:tblHeader/>
        </w:trPr>
        <w:tc>
          <w:tcPr>
            <w:tcW w:w="5000" w:type="pct"/>
            <w:tcBorders>
              <w:top w:val="single" w:sz="6" w:space="0" w:color="78A22F"/>
              <w:left w:val="nil"/>
              <w:bottom w:val="nil"/>
              <w:right w:val="nil"/>
            </w:tcBorders>
            <w:shd w:val="clear" w:color="auto" w:fill="auto"/>
          </w:tcPr>
          <w:p w14:paraId="7954973A" w14:textId="77777777" w:rsidR="00F05DC7" w:rsidRPr="005E0807" w:rsidRDefault="00F05DC7" w:rsidP="00A3786D">
            <w:pPr>
              <w:keepNext/>
              <w:keepLines/>
              <w:spacing w:before="120" w:after="80" w:line="280" w:lineRule="exact"/>
              <w:ind w:left="1474" w:hanging="1474"/>
              <w:rPr>
                <w:rFonts w:ascii="Arial" w:hAnsi="Arial"/>
                <w:b/>
              </w:rPr>
            </w:pPr>
            <w:r w:rsidRPr="005E0807">
              <w:rPr>
                <w:rFonts w:ascii="Arial" w:hAnsi="Arial"/>
              </w:rPr>
              <w:t>Table</w:t>
            </w:r>
            <w:r>
              <w:rPr>
                <w:rFonts w:ascii="Arial" w:hAnsi="Arial"/>
              </w:rPr>
              <w:t> 2</w:t>
            </w:r>
            <w:r w:rsidRPr="005E0807">
              <w:rPr>
                <w:rFonts w:ascii="Arial" w:hAnsi="Arial"/>
                <w:b/>
              </w:rPr>
              <w:tab/>
              <w:t xml:space="preserve">Fiscal impacts of </w:t>
            </w:r>
            <w:r>
              <w:rPr>
                <w:rFonts w:ascii="Arial" w:hAnsi="Arial"/>
                <w:b/>
              </w:rPr>
              <w:t>immediate implementation (no transition) of the alternative equalisation benchmarks</w:t>
            </w:r>
          </w:p>
          <w:p w14:paraId="7954973B" w14:textId="77777777" w:rsidR="00F05DC7" w:rsidRPr="005E0807" w:rsidRDefault="00F05DC7" w:rsidP="00A3786D">
            <w:pPr>
              <w:keepNext/>
              <w:keepLines/>
              <w:spacing w:after="80" w:line="200" w:lineRule="exact"/>
              <w:ind w:left="1474"/>
              <w:rPr>
                <w:rFonts w:ascii="Arial" w:hAnsi="Arial"/>
                <w:sz w:val="20"/>
              </w:rPr>
            </w:pPr>
            <w:r>
              <w:rPr>
                <w:rFonts w:ascii="Arial" w:hAnsi="Arial"/>
                <w:sz w:val="20"/>
              </w:rPr>
              <w:t xml:space="preserve">Changes in </w:t>
            </w:r>
            <w:r w:rsidRPr="005E0807">
              <w:rPr>
                <w:rFonts w:ascii="Arial" w:hAnsi="Arial"/>
                <w:sz w:val="20"/>
              </w:rPr>
              <w:t xml:space="preserve">GST payments relative to the current </w:t>
            </w:r>
            <w:r>
              <w:rPr>
                <w:rFonts w:ascii="Arial" w:hAnsi="Arial"/>
                <w:sz w:val="20"/>
              </w:rPr>
              <w:t>benchmark, 2018</w:t>
            </w:r>
            <w:r>
              <w:rPr>
                <w:rFonts w:ascii="Arial" w:hAnsi="Arial"/>
                <w:sz w:val="20"/>
              </w:rPr>
              <w:noBreakHyphen/>
              <w:t>19</w:t>
            </w:r>
            <w:r w:rsidRPr="005E0807">
              <w:rPr>
                <w:rFonts w:ascii="Arial" w:hAnsi="Arial"/>
                <w:sz w:val="20"/>
              </w:rPr>
              <w:t xml:space="preserve"> </w:t>
            </w:r>
          </w:p>
        </w:tc>
      </w:tr>
      <w:tr w:rsidR="00F05DC7" w:rsidRPr="005E0807" w14:paraId="7954982E" w14:textId="77777777" w:rsidTr="00A3786D">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708"/>
              <w:gridCol w:w="726"/>
              <w:gridCol w:w="730"/>
              <w:gridCol w:w="726"/>
              <w:gridCol w:w="728"/>
              <w:gridCol w:w="728"/>
              <w:gridCol w:w="726"/>
              <w:gridCol w:w="728"/>
              <w:gridCol w:w="725"/>
            </w:tblGrid>
            <w:tr w:rsidR="00F05DC7" w14:paraId="79549746" w14:textId="77777777" w:rsidTr="00A3786D">
              <w:trPr>
                <w:tblHeader/>
              </w:trPr>
              <w:tc>
                <w:tcPr>
                  <w:tcW w:w="1588" w:type="pct"/>
                  <w:tcBorders>
                    <w:top w:val="single" w:sz="6" w:space="0" w:color="BFBFBF"/>
                    <w:bottom w:val="single" w:sz="6" w:space="0" w:color="BFBFBF"/>
                  </w:tcBorders>
                  <w:shd w:val="clear" w:color="auto" w:fill="auto"/>
                  <w:tcMar>
                    <w:top w:w="28" w:type="dxa"/>
                  </w:tcMar>
                </w:tcPr>
                <w:p w14:paraId="7954973D" w14:textId="77777777" w:rsidR="00F05DC7" w:rsidRDefault="00F05DC7" w:rsidP="00A3786D">
                  <w:pPr>
                    <w:pStyle w:val="TableColumnHeading"/>
                    <w:jc w:val="left"/>
                  </w:pPr>
                  <w:r>
                    <w:t>Change in GST payments</w:t>
                  </w:r>
                </w:p>
              </w:tc>
              <w:tc>
                <w:tcPr>
                  <w:tcW w:w="426" w:type="pct"/>
                  <w:tcBorders>
                    <w:top w:val="single" w:sz="6" w:space="0" w:color="BFBFBF"/>
                    <w:bottom w:val="single" w:sz="6" w:space="0" w:color="BFBFBF"/>
                  </w:tcBorders>
                </w:tcPr>
                <w:p w14:paraId="7954973E" w14:textId="77777777" w:rsidR="00F05DC7" w:rsidRDefault="00F05DC7" w:rsidP="00A3786D">
                  <w:pPr>
                    <w:pStyle w:val="TableColumnHeading"/>
                  </w:pPr>
                  <w:r>
                    <w:t>NSW</w:t>
                  </w:r>
                </w:p>
              </w:tc>
              <w:tc>
                <w:tcPr>
                  <w:tcW w:w="428" w:type="pct"/>
                  <w:tcBorders>
                    <w:top w:val="single" w:sz="6" w:space="0" w:color="BFBFBF"/>
                    <w:bottom w:val="single" w:sz="6" w:space="0" w:color="BFBFBF"/>
                  </w:tcBorders>
                </w:tcPr>
                <w:p w14:paraId="7954973F" w14:textId="77777777" w:rsidR="00F05DC7" w:rsidRDefault="00F05DC7" w:rsidP="00A3786D">
                  <w:pPr>
                    <w:pStyle w:val="TableColumnHeading"/>
                  </w:pPr>
                  <w:r>
                    <w:t>Vic</w:t>
                  </w:r>
                </w:p>
              </w:tc>
              <w:tc>
                <w:tcPr>
                  <w:tcW w:w="426" w:type="pct"/>
                  <w:tcBorders>
                    <w:top w:val="single" w:sz="6" w:space="0" w:color="BFBFBF"/>
                    <w:bottom w:val="single" w:sz="6" w:space="0" w:color="BFBFBF"/>
                  </w:tcBorders>
                </w:tcPr>
                <w:p w14:paraId="79549740" w14:textId="77777777" w:rsidR="00F05DC7" w:rsidRDefault="00F05DC7" w:rsidP="00A3786D">
                  <w:pPr>
                    <w:pStyle w:val="TableColumnHeading"/>
                  </w:pPr>
                  <w:r>
                    <w:t>Qld</w:t>
                  </w:r>
                </w:p>
              </w:tc>
              <w:tc>
                <w:tcPr>
                  <w:tcW w:w="427" w:type="pct"/>
                  <w:tcBorders>
                    <w:top w:val="single" w:sz="6" w:space="0" w:color="BFBFBF"/>
                    <w:bottom w:val="single" w:sz="6" w:space="0" w:color="BFBFBF"/>
                  </w:tcBorders>
                </w:tcPr>
                <w:p w14:paraId="79549741" w14:textId="77777777" w:rsidR="00F05DC7" w:rsidRDefault="00F05DC7" w:rsidP="00A3786D">
                  <w:pPr>
                    <w:pStyle w:val="TableColumnHeading"/>
                  </w:pPr>
                  <w:r>
                    <w:t>WA</w:t>
                  </w:r>
                </w:p>
              </w:tc>
              <w:tc>
                <w:tcPr>
                  <w:tcW w:w="427" w:type="pct"/>
                  <w:tcBorders>
                    <w:top w:val="single" w:sz="6" w:space="0" w:color="BFBFBF"/>
                    <w:bottom w:val="single" w:sz="6" w:space="0" w:color="BFBFBF"/>
                  </w:tcBorders>
                  <w:shd w:val="clear" w:color="auto" w:fill="auto"/>
                  <w:tcMar>
                    <w:top w:w="28" w:type="dxa"/>
                  </w:tcMar>
                </w:tcPr>
                <w:p w14:paraId="79549742" w14:textId="77777777" w:rsidR="00F05DC7" w:rsidRDefault="00F05DC7" w:rsidP="00A3786D">
                  <w:pPr>
                    <w:pStyle w:val="TableColumnHeading"/>
                  </w:pPr>
                  <w:r>
                    <w:t>SA</w:t>
                  </w:r>
                </w:p>
              </w:tc>
              <w:tc>
                <w:tcPr>
                  <w:tcW w:w="426" w:type="pct"/>
                  <w:tcBorders>
                    <w:top w:val="single" w:sz="6" w:space="0" w:color="BFBFBF"/>
                    <w:bottom w:val="single" w:sz="6" w:space="0" w:color="BFBFBF"/>
                  </w:tcBorders>
                </w:tcPr>
                <w:p w14:paraId="79549743" w14:textId="77777777" w:rsidR="00F05DC7" w:rsidRDefault="00F05DC7" w:rsidP="00A3786D">
                  <w:pPr>
                    <w:pStyle w:val="TableColumnHeading"/>
                    <w:ind w:right="28"/>
                  </w:pPr>
                  <w:r>
                    <w:t>Tas</w:t>
                  </w:r>
                </w:p>
              </w:tc>
              <w:tc>
                <w:tcPr>
                  <w:tcW w:w="427" w:type="pct"/>
                  <w:tcBorders>
                    <w:top w:val="single" w:sz="6" w:space="0" w:color="BFBFBF"/>
                    <w:bottom w:val="single" w:sz="6" w:space="0" w:color="BFBFBF"/>
                  </w:tcBorders>
                </w:tcPr>
                <w:p w14:paraId="79549744" w14:textId="77777777" w:rsidR="00F05DC7" w:rsidRDefault="00F05DC7" w:rsidP="00A3786D">
                  <w:pPr>
                    <w:pStyle w:val="TableColumnHeading"/>
                    <w:ind w:right="28"/>
                  </w:pPr>
                  <w:r>
                    <w:t>ACT</w:t>
                  </w:r>
                </w:p>
              </w:tc>
              <w:tc>
                <w:tcPr>
                  <w:tcW w:w="425" w:type="pct"/>
                  <w:tcBorders>
                    <w:top w:val="single" w:sz="6" w:space="0" w:color="BFBFBF"/>
                    <w:bottom w:val="single" w:sz="6" w:space="0" w:color="BFBFBF"/>
                  </w:tcBorders>
                  <w:shd w:val="clear" w:color="auto" w:fill="auto"/>
                  <w:tcMar>
                    <w:top w:w="28" w:type="dxa"/>
                  </w:tcMar>
                </w:tcPr>
                <w:p w14:paraId="79549745" w14:textId="77777777" w:rsidR="00F05DC7" w:rsidRDefault="00F05DC7" w:rsidP="00A3786D">
                  <w:pPr>
                    <w:pStyle w:val="TableColumnHeading"/>
                    <w:ind w:right="28"/>
                  </w:pPr>
                  <w:r>
                    <w:t>NT</w:t>
                  </w:r>
                </w:p>
              </w:tc>
            </w:tr>
            <w:tr w:rsidR="00F05DC7" w14:paraId="79549750" w14:textId="77777777" w:rsidTr="00A3786D">
              <w:tc>
                <w:tcPr>
                  <w:tcW w:w="1588" w:type="pct"/>
                  <w:tcBorders>
                    <w:top w:val="single" w:sz="6" w:space="0" w:color="BFBFBF"/>
                  </w:tcBorders>
                </w:tcPr>
                <w:p w14:paraId="79549747" w14:textId="77777777" w:rsidR="00F05DC7" w:rsidRPr="002E79C4" w:rsidRDefault="00F05DC7" w:rsidP="00A3786D">
                  <w:pPr>
                    <w:pStyle w:val="TableUnitsRow"/>
                    <w:jc w:val="left"/>
                    <w:rPr>
                      <w:b/>
                    </w:rPr>
                  </w:pPr>
                  <w:r w:rsidRPr="00E23F9B">
                    <w:rPr>
                      <w:b/>
                    </w:rPr>
                    <w:t>90 per cent full equalisation</w:t>
                  </w:r>
                </w:p>
              </w:tc>
              <w:tc>
                <w:tcPr>
                  <w:tcW w:w="426" w:type="pct"/>
                  <w:tcBorders>
                    <w:top w:val="single" w:sz="6" w:space="0" w:color="BFBFBF"/>
                  </w:tcBorders>
                </w:tcPr>
                <w:p w14:paraId="79549748" w14:textId="77777777" w:rsidR="00F05DC7" w:rsidRDefault="00F05DC7" w:rsidP="00A3786D">
                  <w:pPr>
                    <w:pStyle w:val="TableUnitsRow"/>
                  </w:pPr>
                </w:p>
              </w:tc>
              <w:tc>
                <w:tcPr>
                  <w:tcW w:w="428" w:type="pct"/>
                  <w:tcBorders>
                    <w:top w:val="single" w:sz="6" w:space="0" w:color="BFBFBF"/>
                  </w:tcBorders>
                </w:tcPr>
                <w:p w14:paraId="79549749" w14:textId="77777777" w:rsidR="00F05DC7" w:rsidRDefault="00F05DC7" w:rsidP="00A3786D">
                  <w:pPr>
                    <w:pStyle w:val="TableUnitsRow"/>
                  </w:pPr>
                </w:p>
              </w:tc>
              <w:tc>
                <w:tcPr>
                  <w:tcW w:w="426" w:type="pct"/>
                  <w:tcBorders>
                    <w:top w:val="single" w:sz="6" w:space="0" w:color="BFBFBF"/>
                  </w:tcBorders>
                </w:tcPr>
                <w:p w14:paraId="7954974A" w14:textId="77777777" w:rsidR="00F05DC7" w:rsidRDefault="00F05DC7" w:rsidP="00A3786D">
                  <w:pPr>
                    <w:pStyle w:val="TableUnitsRow"/>
                  </w:pPr>
                </w:p>
              </w:tc>
              <w:tc>
                <w:tcPr>
                  <w:tcW w:w="427" w:type="pct"/>
                  <w:tcBorders>
                    <w:top w:val="single" w:sz="6" w:space="0" w:color="BFBFBF"/>
                  </w:tcBorders>
                </w:tcPr>
                <w:p w14:paraId="7954974B" w14:textId="77777777" w:rsidR="00F05DC7" w:rsidRDefault="00F05DC7" w:rsidP="00A3786D">
                  <w:pPr>
                    <w:pStyle w:val="TableUnitsRow"/>
                  </w:pPr>
                </w:p>
              </w:tc>
              <w:tc>
                <w:tcPr>
                  <w:tcW w:w="427" w:type="pct"/>
                  <w:tcBorders>
                    <w:top w:val="single" w:sz="6" w:space="0" w:color="BFBFBF"/>
                  </w:tcBorders>
                </w:tcPr>
                <w:p w14:paraId="7954974C" w14:textId="77777777" w:rsidR="00F05DC7" w:rsidRDefault="00F05DC7" w:rsidP="00A3786D">
                  <w:pPr>
                    <w:pStyle w:val="TableUnitsRow"/>
                  </w:pPr>
                </w:p>
              </w:tc>
              <w:tc>
                <w:tcPr>
                  <w:tcW w:w="426" w:type="pct"/>
                  <w:tcBorders>
                    <w:top w:val="single" w:sz="6" w:space="0" w:color="BFBFBF"/>
                  </w:tcBorders>
                </w:tcPr>
                <w:p w14:paraId="7954974D" w14:textId="77777777" w:rsidR="00F05DC7" w:rsidRDefault="00F05DC7" w:rsidP="00A3786D">
                  <w:pPr>
                    <w:pStyle w:val="TableUnitsRow"/>
                    <w:ind w:right="28"/>
                  </w:pPr>
                </w:p>
              </w:tc>
              <w:tc>
                <w:tcPr>
                  <w:tcW w:w="427" w:type="pct"/>
                  <w:tcBorders>
                    <w:top w:val="single" w:sz="6" w:space="0" w:color="BFBFBF"/>
                  </w:tcBorders>
                </w:tcPr>
                <w:p w14:paraId="7954974E" w14:textId="77777777" w:rsidR="00F05DC7" w:rsidRDefault="00F05DC7" w:rsidP="00A3786D">
                  <w:pPr>
                    <w:pStyle w:val="TableUnitsRow"/>
                    <w:ind w:right="28"/>
                  </w:pPr>
                </w:p>
              </w:tc>
              <w:tc>
                <w:tcPr>
                  <w:tcW w:w="425" w:type="pct"/>
                  <w:tcBorders>
                    <w:top w:val="single" w:sz="6" w:space="0" w:color="BFBFBF"/>
                  </w:tcBorders>
                </w:tcPr>
                <w:p w14:paraId="7954974F" w14:textId="77777777" w:rsidR="00F05DC7" w:rsidRDefault="00F05DC7" w:rsidP="00A3786D">
                  <w:pPr>
                    <w:pStyle w:val="TableUnitsRow"/>
                    <w:ind w:right="28"/>
                  </w:pPr>
                </w:p>
              </w:tc>
            </w:tr>
            <w:tr w:rsidR="00F05DC7" w14:paraId="7954975A" w14:textId="77777777" w:rsidTr="00A3786D">
              <w:tc>
                <w:tcPr>
                  <w:tcW w:w="1588" w:type="pct"/>
                </w:tcPr>
                <w:p w14:paraId="79549751" w14:textId="77777777" w:rsidR="00F05DC7" w:rsidRDefault="00F05DC7" w:rsidP="00A3786D">
                  <w:pPr>
                    <w:pStyle w:val="TableBodyText"/>
                    <w:jc w:val="left"/>
                  </w:pPr>
                  <w:r w:rsidRPr="00E23F9B">
                    <w:t>$ million</w:t>
                  </w:r>
                </w:p>
              </w:tc>
              <w:tc>
                <w:tcPr>
                  <w:tcW w:w="426" w:type="pct"/>
                </w:tcPr>
                <w:p w14:paraId="79549752" w14:textId="77777777" w:rsidR="00F05DC7" w:rsidRDefault="00F05DC7" w:rsidP="00A3786D">
                  <w:pPr>
                    <w:pStyle w:val="TableBodyText"/>
                  </w:pPr>
                  <w:r>
                    <w:t>302</w:t>
                  </w:r>
                </w:p>
              </w:tc>
              <w:tc>
                <w:tcPr>
                  <w:tcW w:w="428" w:type="pct"/>
                </w:tcPr>
                <w:p w14:paraId="79549753" w14:textId="77777777" w:rsidR="00F05DC7" w:rsidRDefault="00F05DC7" w:rsidP="00A3786D">
                  <w:pPr>
                    <w:pStyle w:val="TableBodyText"/>
                  </w:pPr>
                  <w:r>
                    <w:t>20</w:t>
                  </w:r>
                </w:p>
              </w:tc>
              <w:tc>
                <w:tcPr>
                  <w:tcW w:w="426" w:type="pct"/>
                </w:tcPr>
                <w:p w14:paraId="79549754" w14:textId="77777777" w:rsidR="00F05DC7" w:rsidRDefault="00F05DC7" w:rsidP="00A3786D">
                  <w:pPr>
                    <w:pStyle w:val="TableBodyText"/>
                  </w:pPr>
                  <w:r>
                    <w:noBreakHyphen/>
                    <w:t>128</w:t>
                  </w:r>
                </w:p>
              </w:tc>
              <w:tc>
                <w:tcPr>
                  <w:tcW w:w="427" w:type="pct"/>
                </w:tcPr>
                <w:p w14:paraId="79549755" w14:textId="77777777" w:rsidR="00F05DC7" w:rsidRDefault="00F05DC7" w:rsidP="00A3786D">
                  <w:pPr>
                    <w:pStyle w:val="TableBodyText"/>
                  </w:pPr>
                  <w:r>
                    <w:t>362</w:t>
                  </w:r>
                </w:p>
              </w:tc>
              <w:tc>
                <w:tcPr>
                  <w:tcW w:w="427" w:type="pct"/>
                </w:tcPr>
                <w:p w14:paraId="79549756" w14:textId="77777777" w:rsidR="00F05DC7" w:rsidRDefault="00F05DC7" w:rsidP="00A3786D">
                  <w:pPr>
                    <w:pStyle w:val="TableBodyText"/>
                  </w:pPr>
                  <w:r>
                    <w:noBreakHyphen/>
                    <w:t>219</w:t>
                  </w:r>
                </w:p>
              </w:tc>
              <w:tc>
                <w:tcPr>
                  <w:tcW w:w="426" w:type="pct"/>
                </w:tcPr>
                <w:p w14:paraId="79549757" w14:textId="77777777" w:rsidR="00F05DC7" w:rsidRDefault="00F05DC7" w:rsidP="00A3786D">
                  <w:pPr>
                    <w:pStyle w:val="TableBodyText"/>
                  </w:pPr>
                  <w:r>
                    <w:noBreakHyphen/>
                    <w:t>106</w:t>
                  </w:r>
                </w:p>
              </w:tc>
              <w:tc>
                <w:tcPr>
                  <w:tcW w:w="427" w:type="pct"/>
                </w:tcPr>
                <w:p w14:paraId="79549758" w14:textId="77777777" w:rsidR="00F05DC7" w:rsidRDefault="00F05DC7" w:rsidP="00A3786D">
                  <w:pPr>
                    <w:pStyle w:val="TableBodyText"/>
                  </w:pPr>
                  <w:r>
                    <w:noBreakHyphen/>
                    <w:t>20</w:t>
                  </w:r>
                </w:p>
              </w:tc>
              <w:tc>
                <w:tcPr>
                  <w:tcW w:w="425" w:type="pct"/>
                </w:tcPr>
                <w:p w14:paraId="79549759" w14:textId="77777777" w:rsidR="00F05DC7" w:rsidRDefault="00F05DC7" w:rsidP="00A3786D">
                  <w:pPr>
                    <w:pStyle w:val="TableBodyText"/>
                  </w:pPr>
                  <w:r>
                    <w:noBreakHyphen/>
                    <w:t>211</w:t>
                  </w:r>
                </w:p>
              </w:tc>
            </w:tr>
            <w:tr w:rsidR="00F05DC7" w14:paraId="79549764" w14:textId="77777777" w:rsidTr="00A3786D">
              <w:tc>
                <w:tcPr>
                  <w:tcW w:w="1588" w:type="pct"/>
                </w:tcPr>
                <w:p w14:paraId="7954975B" w14:textId="77777777" w:rsidR="00F05DC7" w:rsidRDefault="00F05DC7" w:rsidP="00A3786D">
                  <w:pPr>
                    <w:pStyle w:val="TableBodyText"/>
                    <w:jc w:val="left"/>
                  </w:pPr>
                  <w:r w:rsidRPr="002E79C4">
                    <w:t>$ per capita</w:t>
                  </w:r>
                </w:p>
              </w:tc>
              <w:tc>
                <w:tcPr>
                  <w:tcW w:w="426" w:type="pct"/>
                </w:tcPr>
                <w:p w14:paraId="7954975C" w14:textId="77777777" w:rsidR="00F05DC7" w:rsidRDefault="00F05DC7" w:rsidP="00A3786D">
                  <w:pPr>
                    <w:pStyle w:val="TableBodyText"/>
                  </w:pPr>
                  <w:r>
                    <w:t>38</w:t>
                  </w:r>
                </w:p>
              </w:tc>
              <w:tc>
                <w:tcPr>
                  <w:tcW w:w="428" w:type="pct"/>
                </w:tcPr>
                <w:p w14:paraId="7954975D" w14:textId="77777777" w:rsidR="00F05DC7" w:rsidRDefault="00F05DC7" w:rsidP="00A3786D">
                  <w:pPr>
                    <w:pStyle w:val="TableBodyText"/>
                  </w:pPr>
                  <w:r>
                    <w:t>3</w:t>
                  </w:r>
                </w:p>
              </w:tc>
              <w:tc>
                <w:tcPr>
                  <w:tcW w:w="426" w:type="pct"/>
                </w:tcPr>
                <w:p w14:paraId="7954975E" w14:textId="77777777" w:rsidR="00F05DC7" w:rsidRDefault="00F05DC7" w:rsidP="00A3786D">
                  <w:pPr>
                    <w:pStyle w:val="TableBodyText"/>
                  </w:pPr>
                  <w:r>
                    <w:noBreakHyphen/>
                    <w:t>26</w:t>
                  </w:r>
                </w:p>
              </w:tc>
              <w:tc>
                <w:tcPr>
                  <w:tcW w:w="427" w:type="pct"/>
                </w:tcPr>
                <w:p w14:paraId="7954975F" w14:textId="77777777" w:rsidR="00F05DC7" w:rsidRDefault="00F05DC7" w:rsidP="00A3786D">
                  <w:pPr>
                    <w:pStyle w:val="TableBodyText"/>
                  </w:pPr>
                  <w:r>
                    <w:t>138</w:t>
                  </w:r>
                </w:p>
              </w:tc>
              <w:tc>
                <w:tcPr>
                  <w:tcW w:w="427" w:type="pct"/>
                </w:tcPr>
                <w:p w14:paraId="79549760" w14:textId="77777777" w:rsidR="00F05DC7" w:rsidRDefault="00F05DC7" w:rsidP="00A3786D">
                  <w:pPr>
                    <w:pStyle w:val="TableBodyText"/>
                  </w:pPr>
                  <w:r>
                    <w:noBreakHyphen/>
                    <w:t>126</w:t>
                  </w:r>
                </w:p>
              </w:tc>
              <w:tc>
                <w:tcPr>
                  <w:tcW w:w="426" w:type="pct"/>
                </w:tcPr>
                <w:p w14:paraId="79549761" w14:textId="77777777" w:rsidR="00F05DC7" w:rsidRDefault="00F05DC7" w:rsidP="00A3786D">
                  <w:pPr>
                    <w:pStyle w:val="TableBodyText"/>
                  </w:pPr>
                  <w:r>
                    <w:noBreakHyphen/>
                    <w:t>202</w:t>
                  </w:r>
                </w:p>
              </w:tc>
              <w:tc>
                <w:tcPr>
                  <w:tcW w:w="427" w:type="pct"/>
                </w:tcPr>
                <w:p w14:paraId="79549762" w14:textId="77777777" w:rsidR="00F05DC7" w:rsidRDefault="00F05DC7" w:rsidP="00A3786D">
                  <w:pPr>
                    <w:pStyle w:val="TableBodyText"/>
                  </w:pPr>
                  <w:r>
                    <w:noBreakHyphen/>
                    <w:t>48</w:t>
                  </w:r>
                </w:p>
              </w:tc>
              <w:tc>
                <w:tcPr>
                  <w:tcW w:w="425" w:type="pct"/>
                </w:tcPr>
                <w:p w14:paraId="79549763" w14:textId="77777777" w:rsidR="00F05DC7" w:rsidRDefault="00F05DC7" w:rsidP="00A3786D">
                  <w:pPr>
                    <w:pStyle w:val="TableBodyText"/>
                  </w:pPr>
                  <w:r>
                    <w:noBreakHyphen/>
                    <w:t>856</w:t>
                  </w:r>
                </w:p>
              </w:tc>
            </w:tr>
            <w:tr w:rsidR="00F05DC7" w14:paraId="7954976E" w14:textId="77777777" w:rsidTr="00A3786D">
              <w:tc>
                <w:tcPr>
                  <w:tcW w:w="1588" w:type="pct"/>
                </w:tcPr>
                <w:p w14:paraId="79549765" w14:textId="77777777" w:rsidR="00F05DC7" w:rsidRPr="002E79C4" w:rsidRDefault="00F05DC7" w:rsidP="00A3786D">
                  <w:pPr>
                    <w:pStyle w:val="TableBodyText"/>
                    <w:jc w:val="left"/>
                  </w:pPr>
                  <w:r>
                    <w:t>% of total revenue</w:t>
                  </w:r>
                </w:p>
              </w:tc>
              <w:tc>
                <w:tcPr>
                  <w:tcW w:w="426" w:type="pct"/>
                </w:tcPr>
                <w:p w14:paraId="79549766" w14:textId="77777777" w:rsidR="00F05DC7" w:rsidRDefault="00F05DC7" w:rsidP="00A3786D">
                  <w:pPr>
                    <w:pStyle w:val="TableBodyText"/>
                  </w:pPr>
                  <w:r>
                    <w:t>0.4</w:t>
                  </w:r>
                </w:p>
              </w:tc>
              <w:tc>
                <w:tcPr>
                  <w:tcW w:w="428" w:type="pct"/>
                </w:tcPr>
                <w:p w14:paraId="79549767" w14:textId="77777777" w:rsidR="00F05DC7" w:rsidRDefault="00F05DC7" w:rsidP="00A3786D">
                  <w:pPr>
                    <w:pStyle w:val="TableBodyText"/>
                  </w:pPr>
                  <w:r>
                    <w:t>0.0</w:t>
                  </w:r>
                </w:p>
              </w:tc>
              <w:tc>
                <w:tcPr>
                  <w:tcW w:w="426" w:type="pct"/>
                </w:tcPr>
                <w:p w14:paraId="79549768" w14:textId="77777777" w:rsidR="00F05DC7" w:rsidRDefault="00F05DC7" w:rsidP="00A3786D">
                  <w:pPr>
                    <w:pStyle w:val="TableBodyText"/>
                  </w:pPr>
                  <w:r>
                    <w:noBreakHyphen/>
                    <w:t>0.2</w:t>
                  </w:r>
                </w:p>
              </w:tc>
              <w:tc>
                <w:tcPr>
                  <w:tcW w:w="427" w:type="pct"/>
                </w:tcPr>
                <w:p w14:paraId="79549769" w14:textId="77777777" w:rsidR="00F05DC7" w:rsidRDefault="00F05DC7" w:rsidP="00A3786D">
                  <w:pPr>
                    <w:pStyle w:val="TableBodyText"/>
                  </w:pPr>
                  <w:r>
                    <w:t>1.2</w:t>
                  </w:r>
                </w:p>
              </w:tc>
              <w:tc>
                <w:tcPr>
                  <w:tcW w:w="427" w:type="pct"/>
                </w:tcPr>
                <w:p w14:paraId="7954976A" w14:textId="77777777" w:rsidR="00F05DC7" w:rsidRDefault="00F05DC7" w:rsidP="00A3786D">
                  <w:pPr>
                    <w:pStyle w:val="TableBodyText"/>
                  </w:pPr>
                  <w:r>
                    <w:noBreakHyphen/>
                    <w:t>1.1</w:t>
                  </w:r>
                </w:p>
              </w:tc>
              <w:tc>
                <w:tcPr>
                  <w:tcW w:w="426" w:type="pct"/>
                </w:tcPr>
                <w:p w14:paraId="7954976B" w14:textId="77777777" w:rsidR="00F05DC7" w:rsidRDefault="00F05DC7" w:rsidP="00A3786D">
                  <w:pPr>
                    <w:pStyle w:val="TableBodyText"/>
                  </w:pPr>
                  <w:r>
                    <w:noBreakHyphen/>
                    <w:t>1.8</w:t>
                  </w:r>
                </w:p>
              </w:tc>
              <w:tc>
                <w:tcPr>
                  <w:tcW w:w="427" w:type="pct"/>
                </w:tcPr>
                <w:p w14:paraId="7954976C" w14:textId="77777777" w:rsidR="00F05DC7" w:rsidRDefault="00F05DC7" w:rsidP="00A3786D">
                  <w:pPr>
                    <w:pStyle w:val="TableBodyText"/>
                  </w:pPr>
                  <w:r>
                    <w:noBreakHyphen/>
                    <w:t>0.4</w:t>
                  </w:r>
                </w:p>
              </w:tc>
              <w:tc>
                <w:tcPr>
                  <w:tcW w:w="425" w:type="pct"/>
                </w:tcPr>
                <w:p w14:paraId="7954976D" w14:textId="77777777" w:rsidR="00F05DC7" w:rsidRDefault="00F05DC7" w:rsidP="00A3786D">
                  <w:pPr>
                    <w:pStyle w:val="TableBodyText"/>
                  </w:pPr>
                  <w:r>
                    <w:noBreakHyphen/>
                    <w:t>3.9</w:t>
                  </w:r>
                </w:p>
              </w:tc>
            </w:tr>
            <w:tr w:rsidR="00F05DC7" w14:paraId="79549778" w14:textId="77777777" w:rsidTr="00A3786D">
              <w:tc>
                <w:tcPr>
                  <w:tcW w:w="1588" w:type="pct"/>
                </w:tcPr>
                <w:p w14:paraId="7954976F" w14:textId="77777777" w:rsidR="00F05DC7" w:rsidRPr="00E23F9B" w:rsidRDefault="00F05DC7" w:rsidP="00A3786D">
                  <w:pPr>
                    <w:pStyle w:val="TableBodyText"/>
                    <w:jc w:val="left"/>
                    <w:rPr>
                      <w:b/>
                    </w:rPr>
                  </w:pPr>
                  <w:r w:rsidRPr="00E23F9B">
                    <w:rPr>
                      <w:b/>
                    </w:rPr>
                    <w:t>Equalisation to the average of the fiscally strong States</w:t>
                  </w:r>
                </w:p>
              </w:tc>
              <w:tc>
                <w:tcPr>
                  <w:tcW w:w="426" w:type="pct"/>
                </w:tcPr>
                <w:p w14:paraId="79549770" w14:textId="77777777" w:rsidR="00F05DC7" w:rsidRDefault="00F05DC7" w:rsidP="00A3786D">
                  <w:pPr>
                    <w:pStyle w:val="TableBodyText"/>
                  </w:pPr>
                </w:p>
              </w:tc>
              <w:tc>
                <w:tcPr>
                  <w:tcW w:w="428" w:type="pct"/>
                </w:tcPr>
                <w:p w14:paraId="79549771" w14:textId="77777777" w:rsidR="00F05DC7" w:rsidRDefault="00F05DC7" w:rsidP="00A3786D">
                  <w:pPr>
                    <w:pStyle w:val="TableBodyText"/>
                  </w:pPr>
                </w:p>
              </w:tc>
              <w:tc>
                <w:tcPr>
                  <w:tcW w:w="426" w:type="pct"/>
                </w:tcPr>
                <w:p w14:paraId="79549772" w14:textId="77777777" w:rsidR="00F05DC7" w:rsidRDefault="00F05DC7" w:rsidP="00A3786D">
                  <w:pPr>
                    <w:pStyle w:val="TableBodyText"/>
                  </w:pPr>
                </w:p>
              </w:tc>
              <w:tc>
                <w:tcPr>
                  <w:tcW w:w="427" w:type="pct"/>
                </w:tcPr>
                <w:p w14:paraId="79549773" w14:textId="77777777" w:rsidR="00F05DC7" w:rsidRDefault="00F05DC7" w:rsidP="00A3786D">
                  <w:pPr>
                    <w:pStyle w:val="TableBodyText"/>
                  </w:pPr>
                </w:p>
              </w:tc>
              <w:tc>
                <w:tcPr>
                  <w:tcW w:w="427" w:type="pct"/>
                </w:tcPr>
                <w:p w14:paraId="79549774" w14:textId="77777777" w:rsidR="00F05DC7" w:rsidRDefault="00F05DC7" w:rsidP="00A3786D">
                  <w:pPr>
                    <w:pStyle w:val="TableBodyText"/>
                  </w:pPr>
                </w:p>
              </w:tc>
              <w:tc>
                <w:tcPr>
                  <w:tcW w:w="426" w:type="pct"/>
                </w:tcPr>
                <w:p w14:paraId="79549775" w14:textId="77777777" w:rsidR="00F05DC7" w:rsidRDefault="00F05DC7" w:rsidP="00A3786D">
                  <w:pPr>
                    <w:pStyle w:val="TableBodyText"/>
                    <w:ind w:right="28"/>
                  </w:pPr>
                </w:p>
              </w:tc>
              <w:tc>
                <w:tcPr>
                  <w:tcW w:w="427" w:type="pct"/>
                </w:tcPr>
                <w:p w14:paraId="79549776" w14:textId="77777777" w:rsidR="00F05DC7" w:rsidRDefault="00F05DC7" w:rsidP="00A3786D">
                  <w:pPr>
                    <w:pStyle w:val="TableBodyText"/>
                    <w:ind w:right="28"/>
                  </w:pPr>
                </w:p>
              </w:tc>
              <w:tc>
                <w:tcPr>
                  <w:tcW w:w="425" w:type="pct"/>
                </w:tcPr>
                <w:p w14:paraId="79549777" w14:textId="77777777" w:rsidR="00F05DC7" w:rsidRDefault="00F05DC7" w:rsidP="00A3786D">
                  <w:pPr>
                    <w:pStyle w:val="TableBodyText"/>
                    <w:ind w:right="28"/>
                  </w:pPr>
                </w:p>
              </w:tc>
            </w:tr>
            <w:tr w:rsidR="00F05DC7" w14:paraId="79549782" w14:textId="77777777" w:rsidTr="00A3786D">
              <w:tc>
                <w:tcPr>
                  <w:tcW w:w="1588" w:type="pct"/>
                </w:tcPr>
                <w:p w14:paraId="79549779" w14:textId="77777777" w:rsidR="00F05DC7" w:rsidRPr="00E23F9B" w:rsidRDefault="00F05DC7" w:rsidP="00A3786D">
                  <w:pPr>
                    <w:pStyle w:val="TableBodyText"/>
                    <w:jc w:val="left"/>
                  </w:pPr>
                  <w:r>
                    <w:t>$ million</w:t>
                  </w:r>
                </w:p>
              </w:tc>
              <w:tc>
                <w:tcPr>
                  <w:tcW w:w="426" w:type="pct"/>
                </w:tcPr>
                <w:p w14:paraId="7954977A" w14:textId="77777777" w:rsidR="00F05DC7" w:rsidRDefault="00F05DC7" w:rsidP="00A3786D">
                  <w:pPr>
                    <w:pStyle w:val="TableBodyText"/>
                  </w:pPr>
                  <w:r>
                    <w:noBreakHyphen/>
                    <w:t>823</w:t>
                  </w:r>
                </w:p>
              </w:tc>
              <w:tc>
                <w:tcPr>
                  <w:tcW w:w="428" w:type="pct"/>
                </w:tcPr>
                <w:p w14:paraId="7954977B" w14:textId="77777777" w:rsidR="00F05DC7" w:rsidRDefault="00F05DC7" w:rsidP="00A3786D">
                  <w:pPr>
                    <w:pStyle w:val="TableBodyText"/>
                  </w:pPr>
                  <w:r>
                    <w:noBreakHyphen/>
                    <w:t>666</w:t>
                  </w:r>
                </w:p>
              </w:tc>
              <w:tc>
                <w:tcPr>
                  <w:tcW w:w="426" w:type="pct"/>
                </w:tcPr>
                <w:p w14:paraId="7954977C" w14:textId="77777777" w:rsidR="00F05DC7" w:rsidRDefault="00F05DC7" w:rsidP="00A3786D">
                  <w:pPr>
                    <w:pStyle w:val="TableBodyText"/>
                  </w:pPr>
                  <w:r>
                    <w:noBreakHyphen/>
                    <w:t>515</w:t>
                  </w:r>
                </w:p>
              </w:tc>
              <w:tc>
                <w:tcPr>
                  <w:tcW w:w="427" w:type="pct"/>
                </w:tcPr>
                <w:p w14:paraId="7954977D" w14:textId="77777777" w:rsidR="00F05DC7" w:rsidRDefault="00F05DC7" w:rsidP="00A3786D">
                  <w:pPr>
                    <w:pStyle w:val="TableBodyText"/>
                  </w:pPr>
                  <w:r>
                    <w:t>2 303</w:t>
                  </w:r>
                </w:p>
              </w:tc>
              <w:tc>
                <w:tcPr>
                  <w:tcW w:w="427" w:type="pct"/>
                </w:tcPr>
                <w:p w14:paraId="7954977E" w14:textId="77777777" w:rsidR="00F05DC7" w:rsidRDefault="00F05DC7" w:rsidP="00A3786D">
                  <w:pPr>
                    <w:pStyle w:val="TableBodyText"/>
                  </w:pPr>
                  <w:r>
                    <w:noBreakHyphen/>
                    <w:t>178</w:t>
                  </w:r>
                </w:p>
              </w:tc>
              <w:tc>
                <w:tcPr>
                  <w:tcW w:w="426" w:type="pct"/>
                </w:tcPr>
                <w:p w14:paraId="7954977F" w14:textId="77777777" w:rsidR="00F05DC7" w:rsidRDefault="00F05DC7" w:rsidP="00A3786D">
                  <w:pPr>
                    <w:pStyle w:val="TableBodyText"/>
                    <w:ind w:right="28"/>
                  </w:pPr>
                  <w:r>
                    <w:noBreakHyphen/>
                    <w:t>54</w:t>
                  </w:r>
                </w:p>
              </w:tc>
              <w:tc>
                <w:tcPr>
                  <w:tcW w:w="427" w:type="pct"/>
                </w:tcPr>
                <w:p w14:paraId="79549780" w14:textId="77777777" w:rsidR="00F05DC7" w:rsidRDefault="00F05DC7" w:rsidP="00A3786D">
                  <w:pPr>
                    <w:pStyle w:val="TableBodyText"/>
                    <w:ind w:right="28"/>
                  </w:pPr>
                  <w:r>
                    <w:noBreakHyphen/>
                    <w:t>43</w:t>
                  </w:r>
                </w:p>
              </w:tc>
              <w:tc>
                <w:tcPr>
                  <w:tcW w:w="425" w:type="pct"/>
                </w:tcPr>
                <w:p w14:paraId="79549781" w14:textId="77777777" w:rsidR="00F05DC7" w:rsidRDefault="00F05DC7" w:rsidP="00A3786D">
                  <w:pPr>
                    <w:pStyle w:val="TableBodyText"/>
                    <w:ind w:right="28"/>
                  </w:pPr>
                  <w:r>
                    <w:noBreakHyphen/>
                    <w:t>25</w:t>
                  </w:r>
                </w:p>
              </w:tc>
            </w:tr>
            <w:tr w:rsidR="00F05DC7" w14:paraId="7954978C" w14:textId="77777777" w:rsidTr="00A3786D">
              <w:tc>
                <w:tcPr>
                  <w:tcW w:w="1588" w:type="pct"/>
                </w:tcPr>
                <w:p w14:paraId="79549783" w14:textId="77777777" w:rsidR="00F05DC7" w:rsidRPr="002E79C4" w:rsidRDefault="00F05DC7" w:rsidP="00A3786D">
                  <w:pPr>
                    <w:pStyle w:val="TableBodyText"/>
                    <w:jc w:val="left"/>
                  </w:pPr>
                  <w:r>
                    <w:t>$ per capita</w:t>
                  </w:r>
                </w:p>
              </w:tc>
              <w:tc>
                <w:tcPr>
                  <w:tcW w:w="426" w:type="pct"/>
                </w:tcPr>
                <w:p w14:paraId="79549784" w14:textId="77777777" w:rsidR="00F05DC7" w:rsidRDefault="00F05DC7" w:rsidP="00A3786D">
                  <w:pPr>
                    <w:pStyle w:val="TableBodyText"/>
                  </w:pPr>
                  <w:r>
                    <w:noBreakHyphen/>
                    <w:t>102</w:t>
                  </w:r>
                </w:p>
              </w:tc>
              <w:tc>
                <w:tcPr>
                  <w:tcW w:w="428" w:type="pct"/>
                </w:tcPr>
                <w:p w14:paraId="79549785" w14:textId="77777777" w:rsidR="00F05DC7" w:rsidRDefault="00F05DC7" w:rsidP="00A3786D">
                  <w:pPr>
                    <w:pStyle w:val="TableBodyText"/>
                  </w:pPr>
                  <w:r>
                    <w:noBreakHyphen/>
                    <w:t>102</w:t>
                  </w:r>
                </w:p>
              </w:tc>
              <w:tc>
                <w:tcPr>
                  <w:tcW w:w="426" w:type="pct"/>
                </w:tcPr>
                <w:p w14:paraId="79549786" w14:textId="77777777" w:rsidR="00F05DC7" w:rsidRDefault="00F05DC7" w:rsidP="00A3786D">
                  <w:pPr>
                    <w:pStyle w:val="TableBodyText"/>
                  </w:pPr>
                  <w:r>
                    <w:noBreakHyphen/>
                    <w:t>102</w:t>
                  </w:r>
                </w:p>
              </w:tc>
              <w:tc>
                <w:tcPr>
                  <w:tcW w:w="427" w:type="pct"/>
                </w:tcPr>
                <w:p w14:paraId="79549787" w14:textId="77777777" w:rsidR="00F05DC7" w:rsidRDefault="00F05DC7" w:rsidP="00A3786D">
                  <w:pPr>
                    <w:pStyle w:val="TableBodyText"/>
                  </w:pPr>
                  <w:r>
                    <w:t>879</w:t>
                  </w:r>
                </w:p>
              </w:tc>
              <w:tc>
                <w:tcPr>
                  <w:tcW w:w="427" w:type="pct"/>
                </w:tcPr>
                <w:p w14:paraId="79549788" w14:textId="77777777" w:rsidR="00F05DC7" w:rsidRDefault="00F05DC7" w:rsidP="00A3786D">
                  <w:pPr>
                    <w:pStyle w:val="TableBodyText"/>
                  </w:pPr>
                  <w:r>
                    <w:noBreakHyphen/>
                    <w:t>102</w:t>
                  </w:r>
                </w:p>
              </w:tc>
              <w:tc>
                <w:tcPr>
                  <w:tcW w:w="426" w:type="pct"/>
                </w:tcPr>
                <w:p w14:paraId="79549789" w14:textId="77777777" w:rsidR="00F05DC7" w:rsidRDefault="00F05DC7" w:rsidP="00A3786D">
                  <w:pPr>
                    <w:pStyle w:val="TableBodyText"/>
                    <w:ind w:right="28"/>
                  </w:pPr>
                  <w:r>
                    <w:noBreakHyphen/>
                    <w:t>102</w:t>
                  </w:r>
                </w:p>
              </w:tc>
              <w:tc>
                <w:tcPr>
                  <w:tcW w:w="427" w:type="pct"/>
                </w:tcPr>
                <w:p w14:paraId="7954978A" w14:textId="77777777" w:rsidR="00F05DC7" w:rsidRDefault="00F05DC7" w:rsidP="00A3786D">
                  <w:pPr>
                    <w:pStyle w:val="TableBodyText"/>
                    <w:ind w:right="28"/>
                  </w:pPr>
                  <w:r>
                    <w:noBreakHyphen/>
                    <w:t>102</w:t>
                  </w:r>
                </w:p>
              </w:tc>
              <w:tc>
                <w:tcPr>
                  <w:tcW w:w="425" w:type="pct"/>
                </w:tcPr>
                <w:p w14:paraId="7954978B" w14:textId="77777777" w:rsidR="00F05DC7" w:rsidRDefault="00F05DC7" w:rsidP="00A3786D">
                  <w:pPr>
                    <w:pStyle w:val="TableBodyText"/>
                    <w:ind w:right="28"/>
                  </w:pPr>
                  <w:r>
                    <w:noBreakHyphen/>
                    <w:t>102</w:t>
                  </w:r>
                </w:p>
              </w:tc>
            </w:tr>
            <w:tr w:rsidR="00F05DC7" w14:paraId="79549796" w14:textId="77777777" w:rsidTr="00A3786D">
              <w:tc>
                <w:tcPr>
                  <w:tcW w:w="1588" w:type="pct"/>
                </w:tcPr>
                <w:p w14:paraId="7954978D" w14:textId="77777777" w:rsidR="00F05DC7" w:rsidRDefault="00F05DC7" w:rsidP="00A3786D">
                  <w:pPr>
                    <w:pStyle w:val="TableBodyText"/>
                    <w:jc w:val="left"/>
                  </w:pPr>
                  <w:r>
                    <w:t>% of total revenue</w:t>
                  </w:r>
                </w:p>
              </w:tc>
              <w:tc>
                <w:tcPr>
                  <w:tcW w:w="426" w:type="pct"/>
                </w:tcPr>
                <w:p w14:paraId="7954978E" w14:textId="77777777" w:rsidR="00F05DC7" w:rsidRDefault="00F05DC7" w:rsidP="00A3786D">
                  <w:pPr>
                    <w:pStyle w:val="TableBodyText"/>
                  </w:pPr>
                  <w:r>
                    <w:noBreakHyphen/>
                    <w:t>1.0</w:t>
                  </w:r>
                </w:p>
              </w:tc>
              <w:tc>
                <w:tcPr>
                  <w:tcW w:w="428" w:type="pct"/>
                </w:tcPr>
                <w:p w14:paraId="7954978F" w14:textId="77777777" w:rsidR="00F05DC7" w:rsidRDefault="00F05DC7" w:rsidP="00A3786D">
                  <w:pPr>
                    <w:pStyle w:val="TableBodyText"/>
                  </w:pPr>
                  <w:r>
                    <w:noBreakHyphen/>
                    <w:t>1.0</w:t>
                  </w:r>
                </w:p>
              </w:tc>
              <w:tc>
                <w:tcPr>
                  <w:tcW w:w="426" w:type="pct"/>
                </w:tcPr>
                <w:p w14:paraId="79549790" w14:textId="77777777" w:rsidR="00F05DC7" w:rsidRDefault="00F05DC7" w:rsidP="00A3786D">
                  <w:pPr>
                    <w:pStyle w:val="TableBodyText"/>
                  </w:pPr>
                  <w:r>
                    <w:noBreakHyphen/>
                    <w:t>0.9</w:t>
                  </w:r>
                </w:p>
              </w:tc>
              <w:tc>
                <w:tcPr>
                  <w:tcW w:w="427" w:type="pct"/>
                </w:tcPr>
                <w:p w14:paraId="79549791" w14:textId="77777777" w:rsidR="00F05DC7" w:rsidRDefault="00F05DC7" w:rsidP="00A3786D">
                  <w:pPr>
                    <w:pStyle w:val="TableBodyText"/>
                  </w:pPr>
                  <w:r>
                    <w:t>7.8</w:t>
                  </w:r>
                </w:p>
              </w:tc>
              <w:tc>
                <w:tcPr>
                  <w:tcW w:w="427" w:type="pct"/>
                </w:tcPr>
                <w:p w14:paraId="79549792" w14:textId="77777777" w:rsidR="00F05DC7" w:rsidRDefault="00F05DC7" w:rsidP="00A3786D">
                  <w:pPr>
                    <w:pStyle w:val="TableBodyText"/>
                  </w:pPr>
                  <w:r>
                    <w:noBreakHyphen/>
                    <w:t>0.9</w:t>
                  </w:r>
                </w:p>
              </w:tc>
              <w:tc>
                <w:tcPr>
                  <w:tcW w:w="426" w:type="pct"/>
                </w:tcPr>
                <w:p w14:paraId="79549793" w14:textId="77777777" w:rsidR="00F05DC7" w:rsidRDefault="00F05DC7" w:rsidP="00A3786D">
                  <w:pPr>
                    <w:pStyle w:val="TableBodyText"/>
                    <w:ind w:right="28"/>
                  </w:pPr>
                  <w:r>
                    <w:noBreakHyphen/>
                    <w:t>0.9</w:t>
                  </w:r>
                </w:p>
              </w:tc>
              <w:tc>
                <w:tcPr>
                  <w:tcW w:w="427" w:type="pct"/>
                </w:tcPr>
                <w:p w14:paraId="79549794" w14:textId="77777777" w:rsidR="00F05DC7" w:rsidRDefault="00F05DC7" w:rsidP="00A3786D">
                  <w:pPr>
                    <w:pStyle w:val="TableBodyText"/>
                    <w:ind w:right="28"/>
                  </w:pPr>
                  <w:r>
                    <w:noBreakHyphen/>
                    <w:t>0.8</w:t>
                  </w:r>
                </w:p>
              </w:tc>
              <w:tc>
                <w:tcPr>
                  <w:tcW w:w="425" w:type="pct"/>
                </w:tcPr>
                <w:p w14:paraId="79549795" w14:textId="77777777" w:rsidR="00F05DC7" w:rsidRDefault="00F05DC7" w:rsidP="00A3786D">
                  <w:pPr>
                    <w:pStyle w:val="TableBodyText"/>
                    <w:ind w:right="28"/>
                  </w:pPr>
                  <w:r>
                    <w:noBreakHyphen/>
                    <w:t>0.5</w:t>
                  </w:r>
                </w:p>
              </w:tc>
            </w:tr>
            <w:tr w:rsidR="00F05DC7" w14:paraId="795497A0" w14:textId="77777777" w:rsidTr="00A3786D">
              <w:tc>
                <w:tcPr>
                  <w:tcW w:w="1588" w:type="pct"/>
                </w:tcPr>
                <w:p w14:paraId="79549797" w14:textId="77777777" w:rsidR="00F05DC7" w:rsidRPr="002E79C4" w:rsidRDefault="00F05DC7" w:rsidP="00A3786D">
                  <w:pPr>
                    <w:pStyle w:val="TableBodyText"/>
                    <w:jc w:val="left"/>
                    <w:rPr>
                      <w:b/>
                    </w:rPr>
                  </w:pPr>
                  <w:r w:rsidRPr="002E79C4">
                    <w:rPr>
                      <w:b/>
                    </w:rPr>
                    <w:t>Equalisation to the second strongest State</w:t>
                  </w:r>
                </w:p>
              </w:tc>
              <w:tc>
                <w:tcPr>
                  <w:tcW w:w="426" w:type="pct"/>
                </w:tcPr>
                <w:p w14:paraId="79549798" w14:textId="77777777" w:rsidR="00F05DC7" w:rsidRDefault="00F05DC7" w:rsidP="00A3786D">
                  <w:pPr>
                    <w:pStyle w:val="TableBodyText"/>
                  </w:pPr>
                </w:p>
              </w:tc>
              <w:tc>
                <w:tcPr>
                  <w:tcW w:w="428" w:type="pct"/>
                </w:tcPr>
                <w:p w14:paraId="79549799" w14:textId="77777777" w:rsidR="00F05DC7" w:rsidRDefault="00F05DC7" w:rsidP="00A3786D">
                  <w:pPr>
                    <w:pStyle w:val="TableBodyText"/>
                  </w:pPr>
                </w:p>
              </w:tc>
              <w:tc>
                <w:tcPr>
                  <w:tcW w:w="426" w:type="pct"/>
                </w:tcPr>
                <w:p w14:paraId="7954979A" w14:textId="77777777" w:rsidR="00F05DC7" w:rsidRDefault="00F05DC7" w:rsidP="00A3786D">
                  <w:pPr>
                    <w:pStyle w:val="TableBodyText"/>
                  </w:pPr>
                </w:p>
              </w:tc>
              <w:tc>
                <w:tcPr>
                  <w:tcW w:w="427" w:type="pct"/>
                </w:tcPr>
                <w:p w14:paraId="7954979B" w14:textId="77777777" w:rsidR="00F05DC7" w:rsidRDefault="00F05DC7" w:rsidP="00A3786D">
                  <w:pPr>
                    <w:pStyle w:val="TableBodyText"/>
                  </w:pPr>
                </w:p>
              </w:tc>
              <w:tc>
                <w:tcPr>
                  <w:tcW w:w="427" w:type="pct"/>
                </w:tcPr>
                <w:p w14:paraId="7954979C" w14:textId="77777777" w:rsidR="00F05DC7" w:rsidRDefault="00F05DC7" w:rsidP="00A3786D">
                  <w:pPr>
                    <w:pStyle w:val="TableBodyText"/>
                  </w:pPr>
                </w:p>
              </w:tc>
              <w:tc>
                <w:tcPr>
                  <w:tcW w:w="426" w:type="pct"/>
                </w:tcPr>
                <w:p w14:paraId="7954979D" w14:textId="77777777" w:rsidR="00F05DC7" w:rsidRDefault="00F05DC7" w:rsidP="00A3786D">
                  <w:pPr>
                    <w:pStyle w:val="TableBodyText"/>
                    <w:ind w:right="28"/>
                  </w:pPr>
                </w:p>
              </w:tc>
              <w:tc>
                <w:tcPr>
                  <w:tcW w:w="427" w:type="pct"/>
                </w:tcPr>
                <w:p w14:paraId="7954979E" w14:textId="77777777" w:rsidR="00F05DC7" w:rsidRDefault="00F05DC7" w:rsidP="00A3786D">
                  <w:pPr>
                    <w:pStyle w:val="TableBodyText"/>
                    <w:ind w:right="28"/>
                  </w:pPr>
                </w:p>
              </w:tc>
              <w:tc>
                <w:tcPr>
                  <w:tcW w:w="425" w:type="pct"/>
                </w:tcPr>
                <w:p w14:paraId="7954979F" w14:textId="77777777" w:rsidR="00F05DC7" w:rsidRDefault="00F05DC7" w:rsidP="00A3786D">
                  <w:pPr>
                    <w:pStyle w:val="TableBodyText"/>
                    <w:ind w:right="28"/>
                  </w:pPr>
                </w:p>
              </w:tc>
            </w:tr>
            <w:tr w:rsidR="00F05DC7" w14:paraId="795497AA" w14:textId="77777777" w:rsidTr="00A3786D">
              <w:tc>
                <w:tcPr>
                  <w:tcW w:w="1588" w:type="pct"/>
                </w:tcPr>
                <w:p w14:paraId="795497A1" w14:textId="77777777" w:rsidR="00F05DC7" w:rsidRPr="00E23F9B" w:rsidRDefault="00F05DC7" w:rsidP="00A3786D">
                  <w:pPr>
                    <w:pStyle w:val="TableBodyText"/>
                    <w:jc w:val="left"/>
                  </w:pPr>
                  <w:r>
                    <w:t>$ million</w:t>
                  </w:r>
                </w:p>
              </w:tc>
              <w:tc>
                <w:tcPr>
                  <w:tcW w:w="426" w:type="pct"/>
                </w:tcPr>
                <w:p w14:paraId="795497A2" w14:textId="77777777" w:rsidR="00F05DC7" w:rsidRDefault="00F05DC7" w:rsidP="00A3786D">
                  <w:pPr>
                    <w:pStyle w:val="TableBodyText"/>
                  </w:pPr>
                  <w:r>
                    <w:noBreakHyphen/>
                    <w:t>842</w:t>
                  </w:r>
                </w:p>
              </w:tc>
              <w:tc>
                <w:tcPr>
                  <w:tcW w:w="428" w:type="pct"/>
                </w:tcPr>
                <w:p w14:paraId="795497A3" w14:textId="77777777" w:rsidR="00F05DC7" w:rsidRDefault="00F05DC7" w:rsidP="00A3786D">
                  <w:pPr>
                    <w:pStyle w:val="TableBodyText"/>
                  </w:pPr>
                  <w:r>
                    <w:noBreakHyphen/>
                    <w:t>681</w:t>
                  </w:r>
                </w:p>
              </w:tc>
              <w:tc>
                <w:tcPr>
                  <w:tcW w:w="426" w:type="pct"/>
                </w:tcPr>
                <w:p w14:paraId="795497A4" w14:textId="77777777" w:rsidR="00F05DC7" w:rsidRDefault="00F05DC7" w:rsidP="00A3786D">
                  <w:pPr>
                    <w:pStyle w:val="TableBodyText"/>
                  </w:pPr>
                  <w:r>
                    <w:noBreakHyphen/>
                    <w:t>526</w:t>
                  </w:r>
                </w:p>
              </w:tc>
              <w:tc>
                <w:tcPr>
                  <w:tcW w:w="427" w:type="pct"/>
                </w:tcPr>
                <w:p w14:paraId="795497A5" w14:textId="77777777" w:rsidR="00F05DC7" w:rsidRDefault="00F05DC7" w:rsidP="00A3786D">
                  <w:pPr>
                    <w:pStyle w:val="TableBodyText"/>
                  </w:pPr>
                  <w:r>
                    <w:t>2 357</w:t>
                  </w:r>
                </w:p>
              </w:tc>
              <w:tc>
                <w:tcPr>
                  <w:tcW w:w="427" w:type="pct"/>
                </w:tcPr>
                <w:p w14:paraId="795497A6" w14:textId="77777777" w:rsidR="00F05DC7" w:rsidRDefault="00F05DC7" w:rsidP="00A3786D">
                  <w:pPr>
                    <w:pStyle w:val="TableBodyText"/>
                  </w:pPr>
                  <w:r>
                    <w:noBreakHyphen/>
                    <w:t>182</w:t>
                  </w:r>
                </w:p>
              </w:tc>
              <w:tc>
                <w:tcPr>
                  <w:tcW w:w="426" w:type="pct"/>
                </w:tcPr>
                <w:p w14:paraId="795497A7" w14:textId="77777777" w:rsidR="00F05DC7" w:rsidRDefault="00F05DC7" w:rsidP="00A3786D">
                  <w:pPr>
                    <w:pStyle w:val="TableBodyText"/>
                    <w:ind w:right="28"/>
                  </w:pPr>
                  <w:r>
                    <w:noBreakHyphen/>
                    <w:t>55</w:t>
                  </w:r>
                </w:p>
              </w:tc>
              <w:tc>
                <w:tcPr>
                  <w:tcW w:w="427" w:type="pct"/>
                </w:tcPr>
                <w:p w14:paraId="795497A8" w14:textId="77777777" w:rsidR="00F05DC7" w:rsidRDefault="00F05DC7" w:rsidP="00A3786D">
                  <w:pPr>
                    <w:pStyle w:val="TableBodyText"/>
                    <w:ind w:right="28"/>
                  </w:pPr>
                  <w:r>
                    <w:noBreakHyphen/>
                    <w:t>44</w:t>
                  </w:r>
                </w:p>
              </w:tc>
              <w:tc>
                <w:tcPr>
                  <w:tcW w:w="425" w:type="pct"/>
                </w:tcPr>
                <w:p w14:paraId="795497A9" w14:textId="77777777" w:rsidR="00F05DC7" w:rsidRDefault="00F05DC7" w:rsidP="00A3786D">
                  <w:pPr>
                    <w:pStyle w:val="TableBodyText"/>
                    <w:ind w:right="28"/>
                  </w:pPr>
                  <w:r>
                    <w:noBreakHyphen/>
                    <w:t>26</w:t>
                  </w:r>
                </w:p>
              </w:tc>
            </w:tr>
            <w:tr w:rsidR="00F05DC7" w14:paraId="795497B4" w14:textId="77777777" w:rsidTr="00A3786D">
              <w:tc>
                <w:tcPr>
                  <w:tcW w:w="1588" w:type="pct"/>
                </w:tcPr>
                <w:p w14:paraId="795497AB" w14:textId="77777777" w:rsidR="00F05DC7" w:rsidRDefault="00F05DC7" w:rsidP="00A3786D">
                  <w:pPr>
                    <w:pStyle w:val="TableBodyText"/>
                    <w:jc w:val="left"/>
                    <w:rPr>
                      <w:b/>
                    </w:rPr>
                  </w:pPr>
                  <w:r>
                    <w:t>$ per capita</w:t>
                  </w:r>
                </w:p>
              </w:tc>
              <w:tc>
                <w:tcPr>
                  <w:tcW w:w="426" w:type="pct"/>
                </w:tcPr>
                <w:p w14:paraId="795497AC" w14:textId="77777777" w:rsidR="00F05DC7" w:rsidRDefault="00F05DC7" w:rsidP="00A3786D">
                  <w:pPr>
                    <w:pStyle w:val="TableBodyText"/>
                  </w:pPr>
                  <w:r>
                    <w:noBreakHyphen/>
                    <w:t>105</w:t>
                  </w:r>
                </w:p>
              </w:tc>
              <w:tc>
                <w:tcPr>
                  <w:tcW w:w="428" w:type="pct"/>
                </w:tcPr>
                <w:p w14:paraId="795497AD" w14:textId="77777777" w:rsidR="00F05DC7" w:rsidRDefault="00F05DC7" w:rsidP="00A3786D">
                  <w:pPr>
                    <w:pStyle w:val="TableBodyText"/>
                  </w:pPr>
                  <w:r>
                    <w:noBreakHyphen/>
                    <w:t>105</w:t>
                  </w:r>
                </w:p>
              </w:tc>
              <w:tc>
                <w:tcPr>
                  <w:tcW w:w="426" w:type="pct"/>
                </w:tcPr>
                <w:p w14:paraId="795497AE" w14:textId="77777777" w:rsidR="00F05DC7" w:rsidRDefault="00F05DC7" w:rsidP="00A3786D">
                  <w:pPr>
                    <w:pStyle w:val="TableBodyText"/>
                  </w:pPr>
                  <w:r>
                    <w:noBreakHyphen/>
                    <w:t>105</w:t>
                  </w:r>
                </w:p>
              </w:tc>
              <w:tc>
                <w:tcPr>
                  <w:tcW w:w="427" w:type="pct"/>
                </w:tcPr>
                <w:p w14:paraId="795497AF" w14:textId="77777777" w:rsidR="00F05DC7" w:rsidRDefault="00F05DC7" w:rsidP="00A3786D">
                  <w:pPr>
                    <w:pStyle w:val="TableBodyText"/>
                  </w:pPr>
                  <w:r>
                    <w:t>899</w:t>
                  </w:r>
                </w:p>
              </w:tc>
              <w:tc>
                <w:tcPr>
                  <w:tcW w:w="427" w:type="pct"/>
                </w:tcPr>
                <w:p w14:paraId="795497B0" w14:textId="77777777" w:rsidR="00F05DC7" w:rsidRDefault="00F05DC7" w:rsidP="00A3786D">
                  <w:pPr>
                    <w:pStyle w:val="TableBodyText"/>
                  </w:pPr>
                  <w:r>
                    <w:noBreakHyphen/>
                    <w:t>105</w:t>
                  </w:r>
                </w:p>
              </w:tc>
              <w:tc>
                <w:tcPr>
                  <w:tcW w:w="426" w:type="pct"/>
                </w:tcPr>
                <w:p w14:paraId="795497B1" w14:textId="77777777" w:rsidR="00F05DC7" w:rsidRDefault="00F05DC7" w:rsidP="00A3786D">
                  <w:pPr>
                    <w:pStyle w:val="TableBodyText"/>
                    <w:ind w:right="28"/>
                  </w:pPr>
                  <w:r>
                    <w:noBreakHyphen/>
                    <w:t>105</w:t>
                  </w:r>
                </w:p>
              </w:tc>
              <w:tc>
                <w:tcPr>
                  <w:tcW w:w="427" w:type="pct"/>
                </w:tcPr>
                <w:p w14:paraId="795497B2" w14:textId="77777777" w:rsidR="00F05DC7" w:rsidRDefault="00F05DC7" w:rsidP="00A3786D">
                  <w:pPr>
                    <w:pStyle w:val="TableBodyText"/>
                    <w:ind w:right="28"/>
                  </w:pPr>
                  <w:r>
                    <w:noBreakHyphen/>
                    <w:t>105</w:t>
                  </w:r>
                </w:p>
              </w:tc>
              <w:tc>
                <w:tcPr>
                  <w:tcW w:w="425" w:type="pct"/>
                </w:tcPr>
                <w:p w14:paraId="795497B3" w14:textId="77777777" w:rsidR="00F05DC7" w:rsidRDefault="00F05DC7" w:rsidP="00A3786D">
                  <w:pPr>
                    <w:pStyle w:val="TableBodyText"/>
                    <w:ind w:right="28"/>
                  </w:pPr>
                  <w:r>
                    <w:noBreakHyphen/>
                    <w:t>105</w:t>
                  </w:r>
                </w:p>
              </w:tc>
            </w:tr>
            <w:tr w:rsidR="00F05DC7" w14:paraId="795497BE" w14:textId="77777777" w:rsidTr="00A3786D">
              <w:tc>
                <w:tcPr>
                  <w:tcW w:w="1588" w:type="pct"/>
                </w:tcPr>
                <w:p w14:paraId="795497B5" w14:textId="77777777" w:rsidR="00F05DC7" w:rsidRDefault="00F05DC7" w:rsidP="00A3786D">
                  <w:pPr>
                    <w:pStyle w:val="TableBodyText"/>
                    <w:jc w:val="left"/>
                  </w:pPr>
                  <w:r>
                    <w:t>% of total revenue</w:t>
                  </w:r>
                </w:p>
              </w:tc>
              <w:tc>
                <w:tcPr>
                  <w:tcW w:w="426" w:type="pct"/>
                </w:tcPr>
                <w:p w14:paraId="795497B6" w14:textId="77777777" w:rsidR="00F05DC7" w:rsidRDefault="00F05DC7" w:rsidP="00A3786D">
                  <w:pPr>
                    <w:pStyle w:val="TableBodyText"/>
                  </w:pPr>
                  <w:r>
                    <w:noBreakHyphen/>
                    <w:t>1.0</w:t>
                  </w:r>
                </w:p>
              </w:tc>
              <w:tc>
                <w:tcPr>
                  <w:tcW w:w="428" w:type="pct"/>
                </w:tcPr>
                <w:p w14:paraId="795497B7" w14:textId="77777777" w:rsidR="00F05DC7" w:rsidRDefault="00F05DC7" w:rsidP="00A3786D">
                  <w:pPr>
                    <w:pStyle w:val="TableBodyText"/>
                  </w:pPr>
                  <w:r>
                    <w:noBreakHyphen/>
                    <w:t>1.0</w:t>
                  </w:r>
                </w:p>
              </w:tc>
              <w:tc>
                <w:tcPr>
                  <w:tcW w:w="426" w:type="pct"/>
                </w:tcPr>
                <w:p w14:paraId="795497B8" w14:textId="77777777" w:rsidR="00F05DC7" w:rsidRDefault="00F05DC7" w:rsidP="00A3786D">
                  <w:pPr>
                    <w:pStyle w:val="TableBodyText"/>
                  </w:pPr>
                  <w:r>
                    <w:noBreakHyphen/>
                    <w:t>0.9</w:t>
                  </w:r>
                </w:p>
              </w:tc>
              <w:tc>
                <w:tcPr>
                  <w:tcW w:w="427" w:type="pct"/>
                </w:tcPr>
                <w:p w14:paraId="795497B9" w14:textId="77777777" w:rsidR="00F05DC7" w:rsidRDefault="00F05DC7" w:rsidP="00A3786D">
                  <w:pPr>
                    <w:pStyle w:val="TableBodyText"/>
                  </w:pPr>
                  <w:r>
                    <w:t>8.0</w:t>
                  </w:r>
                </w:p>
              </w:tc>
              <w:tc>
                <w:tcPr>
                  <w:tcW w:w="427" w:type="pct"/>
                </w:tcPr>
                <w:p w14:paraId="795497BA" w14:textId="77777777" w:rsidR="00F05DC7" w:rsidRDefault="00F05DC7" w:rsidP="00A3786D">
                  <w:pPr>
                    <w:pStyle w:val="TableBodyText"/>
                  </w:pPr>
                  <w:r>
                    <w:noBreakHyphen/>
                    <w:t>0.9</w:t>
                  </w:r>
                </w:p>
              </w:tc>
              <w:tc>
                <w:tcPr>
                  <w:tcW w:w="426" w:type="pct"/>
                </w:tcPr>
                <w:p w14:paraId="795497BB" w14:textId="77777777" w:rsidR="00F05DC7" w:rsidRDefault="00F05DC7" w:rsidP="00A3786D">
                  <w:pPr>
                    <w:pStyle w:val="TableBodyText"/>
                    <w:ind w:right="28"/>
                  </w:pPr>
                  <w:r>
                    <w:noBreakHyphen/>
                    <w:t>0.9</w:t>
                  </w:r>
                </w:p>
              </w:tc>
              <w:tc>
                <w:tcPr>
                  <w:tcW w:w="427" w:type="pct"/>
                </w:tcPr>
                <w:p w14:paraId="795497BC" w14:textId="77777777" w:rsidR="00F05DC7" w:rsidRDefault="00F05DC7" w:rsidP="00A3786D">
                  <w:pPr>
                    <w:pStyle w:val="TableBodyText"/>
                    <w:ind w:right="28"/>
                  </w:pPr>
                  <w:r>
                    <w:noBreakHyphen/>
                    <w:t>0.8</w:t>
                  </w:r>
                </w:p>
              </w:tc>
              <w:tc>
                <w:tcPr>
                  <w:tcW w:w="425" w:type="pct"/>
                </w:tcPr>
                <w:p w14:paraId="795497BD" w14:textId="77777777" w:rsidR="00F05DC7" w:rsidRDefault="00F05DC7" w:rsidP="00A3786D">
                  <w:pPr>
                    <w:pStyle w:val="TableBodyText"/>
                    <w:ind w:right="28"/>
                  </w:pPr>
                  <w:r>
                    <w:noBreakHyphen/>
                    <w:t>0.5</w:t>
                  </w:r>
                </w:p>
              </w:tc>
            </w:tr>
            <w:tr w:rsidR="00F05DC7" w14:paraId="795497C8" w14:textId="77777777" w:rsidTr="00A3786D">
              <w:tc>
                <w:tcPr>
                  <w:tcW w:w="1588" w:type="pct"/>
                </w:tcPr>
                <w:p w14:paraId="795497BF" w14:textId="77777777" w:rsidR="00F05DC7" w:rsidRPr="002E79C4" w:rsidRDefault="00F05DC7" w:rsidP="00A3786D">
                  <w:pPr>
                    <w:pStyle w:val="TableBodyText"/>
                    <w:jc w:val="left"/>
                    <w:rPr>
                      <w:b/>
                    </w:rPr>
                  </w:pPr>
                  <w:r w:rsidRPr="002E79C4">
                    <w:rPr>
                      <w:b/>
                    </w:rPr>
                    <w:t>Full equalisation for the smallest States</w:t>
                  </w:r>
                </w:p>
              </w:tc>
              <w:tc>
                <w:tcPr>
                  <w:tcW w:w="426" w:type="pct"/>
                </w:tcPr>
                <w:p w14:paraId="795497C0" w14:textId="77777777" w:rsidR="00F05DC7" w:rsidRDefault="00F05DC7" w:rsidP="00A3786D">
                  <w:pPr>
                    <w:pStyle w:val="TableBodyText"/>
                  </w:pPr>
                </w:p>
              </w:tc>
              <w:tc>
                <w:tcPr>
                  <w:tcW w:w="428" w:type="pct"/>
                </w:tcPr>
                <w:p w14:paraId="795497C1" w14:textId="77777777" w:rsidR="00F05DC7" w:rsidRDefault="00F05DC7" w:rsidP="00A3786D">
                  <w:pPr>
                    <w:pStyle w:val="TableBodyText"/>
                  </w:pPr>
                </w:p>
              </w:tc>
              <w:tc>
                <w:tcPr>
                  <w:tcW w:w="426" w:type="pct"/>
                </w:tcPr>
                <w:p w14:paraId="795497C2" w14:textId="77777777" w:rsidR="00F05DC7" w:rsidRDefault="00F05DC7" w:rsidP="00A3786D">
                  <w:pPr>
                    <w:pStyle w:val="TableBodyText"/>
                  </w:pPr>
                </w:p>
              </w:tc>
              <w:tc>
                <w:tcPr>
                  <w:tcW w:w="427" w:type="pct"/>
                </w:tcPr>
                <w:p w14:paraId="795497C3" w14:textId="77777777" w:rsidR="00F05DC7" w:rsidRDefault="00F05DC7" w:rsidP="00A3786D">
                  <w:pPr>
                    <w:pStyle w:val="TableBodyText"/>
                  </w:pPr>
                </w:p>
              </w:tc>
              <w:tc>
                <w:tcPr>
                  <w:tcW w:w="427" w:type="pct"/>
                </w:tcPr>
                <w:p w14:paraId="795497C4" w14:textId="77777777" w:rsidR="00F05DC7" w:rsidRDefault="00F05DC7" w:rsidP="00A3786D">
                  <w:pPr>
                    <w:pStyle w:val="TableBodyText"/>
                  </w:pPr>
                </w:p>
              </w:tc>
              <w:tc>
                <w:tcPr>
                  <w:tcW w:w="426" w:type="pct"/>
                </w:tcPr>
                <w:p w14:paraId="795497C5" w14:textId="77777777" w:rsidR="00F05DC7" w:rsidRDefault="00F05DC7" w:rsidP="00A3786D">
                  <w:pPr>
                    <w:pStyle w:val="TableBodyText"/>
                    <w:ind w:right="28"/>
                  </w:pPr>
                </w:p>
              </w:tc>
              <w:tc>
                <w:tcPr>
                  <w:tcW w:w="427" w:type="pct"/>
                </w:tcPr>
                <w:p w14:paraId="795497C6" w14:textId="77777777" w:rsidR="00F05DC7" w:rsidRDefault="00F05DC7" w:rsidP="00A3786D">
                  <w:pPr>
                    <w:pStyle w:val="TableBodyText"/>
                    <w:ind w:right="28"/>
                  </w:pPr>
                </w:p>
              </w:tc>
              <w:tc>
                <w:tcPr>
                  <w:tcW w:w="425" w:type="pct"/>
                </w:tcPr>
                <w:p w14:paraId="795497C7" w14:textId="77777777" w:rsidR="00F05DC7" w:rsidRDefault="00F05DC7" w:rsidP="00A3786D">
                  <w:pPr>
                    <w:pStyle w:val="TableBodyText"/>
                    <w:ind w:right="28"/>
                  </w:pPr>
                </w:p>
              </w:tc>
            </w:tr>
            <w:tr w:rsidR="00F05DC7" w14:paraId="795497D2" w14:textId="77777777" w:rsidTr="00A3786D">
              <w:tc>
                <w:tcPr>
                  <w:tcW w:w="1588" w:type="pct"/>
                </w:tcPr>
                <w:p w14:paraId="795497C9" w14:textId="77777777" w:rsidR="00F05DC7" w:rsidRDefault="00F05DC7" w:rsidP="00A3786D">
                  <w:pPr>
                    <w:pStyle w:val="TableBodyText"/>
                    <w:jc w:val="left"/>
                  </w:pPr>
                  <w:r w:rsidRPr="00E23F9B">
                    <w:t>$ million</w:t>
                  </w:r>
                </w:p>
              </w:tc>
              <w:tc>
                <w:tcPr>
                  <w:tcW w:w="426" w:type="pct"/>
                </w:tcPr>
                <w:p w14:paraId="795497CA" w14:textId="77777777" w:rsidR="00F05DC7" w:rsidRDefault="00F05DC7" w:rsidP="00A3786D">
                  <w:pPr>
                    <w:pStyle w:val="TableBodyText"/>
                  </w:pPr>
                  <w:r>
                    <w:t>1 009</w:t>
                  </w:r>
                </w:p>
              </w:tc>
              <w:tc>
                <w:tcPr>
                  <w:tcW w:w="428" w:type="pct"/>
                </w:tcPr>
                <w:p w14:paraId="795497CB" w14:textId="77777777" w:rsidR="00F05DC7" w:rsidRDefault="00F05DC7" w:rsidP="00A3786D">
                  <w:pPr>
                    <w:pStyle w:val="TableBodyText"/>
                  </w:pPr>
                  <w:r>
                    <w:noBreakHyphen/>
                    <w:t>1 427</w:t>
                  </w:r>
                </w:p>
              </w:tc>
              <w:tc>
                <w:tcPr>
                  <w:tcW w:w="426" w:type="pct"/>
                </w:tcPr>
                <w:p w14:paraId="795497CC" w14:textId="77777777" w:rsidR="00F05DC7" w:rsidRDefault="00F05DC7" w:rsidP="00A3786D">
                  <w:pPr>
                    <w:pStyle w:val="TableBodyText"/>
                  </w:pPr>
                  <w:r>
                    <w:noBreakHyphen/>
                    <w:t>2 524</w:t>
                  </w:r>
                </w:p>
              </w:tc>
              <w:tc>
                <w:tcPr>
                  <w:tcW w:w="427" w:type="pct"/>
                </w:tcPr>
                <w:p w14:paraId="795497CD" w14:textId="77777777" w:rsidR="00F05DC7" w:rsidRDefault="00F05DC7" w:rsidP="00A3786D">
                  <w:pPr>
                    <w:pStyle w:val="TableBodyText"/>
                  </w:pPr>
                  <w:r>
                    <w:t>2 961</w:t>
                  </w:r>
                </w:p>
              </w:tc>
              <w:tc>
                <w:tcPr>
                  <w:tcW w:w="427" w:type="pct"/>
                </w:tcPr>
                <w:p w14:paraId="795497CE" w14:textId="77777777" w:rsidR="00F05DC7" w:rsidRDefault="00F05DC7" w:rsidP="00A3786D">
                  <w:pPr>
                    <w:pStyle w:val="TableBodyText"/>
                  </w:pPr>
                  <w:r>
                    <w:t>0</w:t>
                  </w:r>
                </w:p>
              </w:tc>
              <w:tc>
                <w:tcPr>
                  <w:tcW w:w="426" w:type="pct"/>
                </w:tcPr>
                <w:p w14:paraId="795497CF" w14:textId="77777777" w:rsidR="00F05DC7" w:rsidRDefault="00F05DC7" w:rsidP="00A3786D">
                  <w:pPr>
                    <w:pStyle w:val="TableBodyText"/>
                    <w:ind w:right="28"/>
                  </w:pPr>
                  <w:r>
                    <w:t>0</w:t>
                  </w:r>
                </w:p>
              </w:tc>
              <w:tc>
                <w:tcPr>
                  <w:tcW w:w="427" w:type="pct"/>
                </w:tcPr>
                <w:p w14:paraId="795497D0" w14:textId="77777777" w:rsidR="00F05DC7" w:rsidRDefault="00F05DC7" w:rsidP="00A3786D">
                  <w:pPr>
                    <w:pStyle w:val="TableBodyText"/>
                    <w:ind w:right="28"/>
                  </w:pPr>
                  <w:r>
                    <w:t>0</w:t>
                  </w:r>
                </w:p>
              </w:tc>
              <w:tc>
                <w:tcPr>
                  <w:tcW w:w="425" w:type="pct"/>
                </w:tcPr>
                <w:p w14:paraId="795497D1" w14:textId="77777777" w:rsidR="00F05DC7" w:rsidRDefault="00F05DC7" w:rsidP="00A3786D">
                  <w:pPr>
                    <w:pStyle w:val="TableBodyText"/>
                    <w:ind w:right="28"/>
                  </w:pPr>
                  <w:r>
                    <w:t>0</w:t>
                  </w:r>
                </w:p>
              </w:tc>
            </w:tr>
            <w:tr w:rsidR="00F05DC7" w14:paraId="795497DC" w14:textId="77777777" w:rsidTr="00A3786D">
              <w:tc>
                <w:tcPr>
                  <w:tcW w:w="1588" w:type="pct"/>
                </w:tcPr>
                <w:p w14:paraId="795497D3" w14:textId="77777777" w:rsidR="00F05DC7" w:rsidRDefault="00F05DC7" w:rsidP="00A3786D">
                  <w:pPr>
                    <w:pStyle w:val="TableBodyText"/>
                    <w:jc w:val="left"/>
                  </w:pPr>
                  <w:r>
                    <w:t>$ per capita</w:t>
                  </w:r>
                </w:p>
              </w:tc>
              <w:tc>
                <w:tcPr>
                  <w:tcW w:w="426" w:type="pct"/>
                </w:tcPr>
                <w:p w14:paraId="795497D4" w14:textId="77777777" w:rsidR="00F05DC7" w:rsidRDefault="00F05DC7" w:rsidP="00A3786D">
                  <w:pPr>
                    <w:pStyle w:val="TableBodyText"/>
                  </w:pPr>
                  <w:r>
                    <w:t>126</w:t>
                  </w:r>
                </w:p>
              </w:tc>
              <w:tc>
                <w:tcPr>
                  <w:tcW w:w="428" w:type="pct"/>
                </w:tcPr>
                <w:p w14:paraId="795497D5" w14:textId="77777777" w:rsidR="00F05DC7" w:rsidRDefault="00F05DC7" w:rsidP="00A3786D">
                  <w:pPr>
                    <w:pStyle w:val="TableBodyText"/>
                  </w:pPr>
                  <w:r>
                    <w:noBreakHyphen/>
                    <w:t>220</w:t>
                  </w:r>
                </w:p>
              </w:tc>
              <w:tc>
                <w:tcPr>
                  <w:tcW w:w="426" w:type="pct"/>
                </w:tcPr>
                <w:p w14:paraId="795497D6" w14:textId="77777777" w:rsidR="00F05DC7" w:rsidRDefault="00F05DC7" w:rsidP="00A3786D">
                  <w:pPr>
                    <w:pStyle w:val="TableBodyText"/>
                  </w:pPr>
                  <w:r>
                    <w:noBreakHyphen/>
                    <w:t>506</w:t>
                  </w:r>
                </w:p>
              </w:tc>
              <w:tc>
                <w:tcPr>
                  <w:tcW w:w="427" w:type="pct"/>
                </w:tcPr>
                <w:p w14:paraId="795497D7" w14:textId="77777777" w:rsidR="00F05DC7" w:rsidRDefault="00F05DC7" w:rsidP="00A3786D">
                  <w:pPr>
                    <w:pStyle w:val="TableBodyText"/>
                  </w:pPr>
                  <w:r>
                    <w:t>1 129</w:t>
                  </w:r>
                </w:p>
              </w:tc>
              <w:tc>
                <w:tcPr>
                  <w:tcW w:w="427" w:type="pct"/>
                </w:tcPr>
                <w:p w14:paraId="795497D8" w14:textId="77777777" w:rsidR="00F05DC7" w:rsidRDefault="00F05DC7" w:rsidP="00A3786D">
                  <w:pPr>
                    <w:pStyle w:val="TableBodyText"/>
                  </w:pPr>
                  <w:r>
                    <w:t>0</w:t>
                  </w:r>
                </w:p>
              </w:tc>
              <w:tc>
                <w:tcPr>
                  <w:tcW w:w="426" w:type="pct"/>
                </w:tcPr>
                <w:p w14:paraId="795497D9" w14:textId="77777777" w:rsidR="00F05DC7" w:rsidRDefault="00F05DC7" w:rsidP="00A3786D">
                  <w:pPr>
                    <w:pStyle w:val="TableBodyText"/>
                    <w:ind w:right="28"/>
                  </w:pPr>
                  <w:r>
                    <w:t>0</w:t>
                  </w:r>
                </w:p>
              </w:tc>
              <w:tc>
                <w:tcPr>
                  <w:tcW w:w="427" w:type="pct"/>
                </w:tcPr>
                <w:p w14:paraId="795497DA" w14:textId="77777777" w:rsidR="00F05DC7" w:rsidRDefault="00F05DC7" w:rsidP="00A3786D">
                  <w:pPr>
                    <w:pStyle w:val="TableBodyText"/>
                    <w:ind w:right="28"/>
                  </w:pPr>
                  <w:r>
                    <w:t>0</w:t>
                  </w:r>
                </w:p>
              </w:tc>
              <w:tc>
                <w:tcPr>
                  <w:tcW w:w="425" w:type="pct"/>
                </w:tcPr>
                <w:p w14:paraId="795497DB" w14:textId="77777777" w:rsidR="00F05DC7" w:rsidRDefault="00F05DC7" w:rsidP="00A3786D">
                  <w:pPr>
                    <w:pStyle w:val="TableBodyText"/>
                    <w:ind w:right="28"/>
                  </w:pPr>
                  <w:r>
                    <w:t>0</w:t>
                  </w:r>
                </w:p>
              </w:tc>
            </w:tr>
            <w:tr w:rsidR="00F05DC7" w14:paraId="795497E6" w14:textId="77777777" w:rsidTr="00A3786D">
              <w:tc>
                <w:tcPr>
                  <w:tcW w:w="1588" w:type="pct"/>
                </w:tcPr>
                <w:p w14:paraId="795497DD" w14:textId="77777777" w:rsidR="00F05DC7" w:rsidRDefault="00F05DC7" w:rsidP="00A3786D">
                  <w:pPr>
                    <w:pStyle w:val="TableBodyText"/>
                    <w:jc w:val="left"/>
                  </w:pPr>
                  <w:r>
                    <w:t>% of total revenue</w:t>
                  </w:r>
                </w:p>
              </w:tc>
              <w:tc>
                <w:tcPr>
                  <w:tcW w:w="426" w:type="pct"/>
                </w:tcPr>
                <w:p w14:paraId="795497DE" w14:textId="77777777" w:rsidR="00F05DC7" w:rsidRDefault="00F05DC7" w:rsidP="00A3786D">
                  <w:pPr>
                    <w:pStyle w:val="TableBodyText"/>
                  </w:pPr>
                  <w:r>
                    <w:t>1.2</w:t>
                  </w:r>
                </w:p>
              </w:tc>
              <w:tc>
                <w:tcPr>
                  <w:tcW w:w="428" w:type="pct"/>
                </w:tcPr>
                <w:p w14:paraId="795497DF" w14:textId="77777777" w:rsidR="00F05DC7" w:rsidRDefault="00F05DC7" w:rsidP="00A3786D">
                  <w:pPr>
                    <w:pStyle w:val="TableBodyText"/>
                  </w:pPr>
                  <w:r>
                    <w:noBreakHyphen/>
                    <w:t>2.1</w:t>
                  </w:r>
                </w:p>
              </w:tc>
              <w:tc>
                <w:tcPr>
                  <w:tcW w:w="426" w:type="pct"/>
                </w:tcPr>
                <w:p w14:paraId="795497E0" w14:textId="77777777" w:rsidR="00F05DC7" w:rsidRDefault="00F05DC7" w:rsidP="00A3786D">
                  <w:pPr>
                    <w:pStyle w:val="TableBodyText"/>
                  </w:pPr>
                  <w:r>
                    <w:noBreakHyphen/>
                    <w:t>4.5</w:t>
                  </w:r>
                </w:p>
              </w:tc>
              <w:tc>
                <w:tcPr>
                  <w:tcW w:w="427" w:type="pct"/>
                </w:tcPr>
                <w:p w14:paraId="795497E1" w14:textId="77777777" w:rsidR="00F05DC7" w:rsidRDefault="00F05DC7" w:rsidP="00A3786D">
                  <w:pPr>
                    <w:pStyle w:val="TableBodyText"/>
                  </w:pPr>
                  <w:r>
                    <w:t>10.0</w:t>
                  </w:r>
                </w:p>
              </w:tc>
              <w:tc>
                <w:tcPr>
                  <w:tcW w:w="427" w:type="pct"/>
                </w:tcPr>
                <w:p w14:paraId="795497E2" w14:textId="77777777" w:rsidR="00F05DC7" w:rsidRDefault="00F05DC7" w:rsidP="00A3786D">
                  <w:pPr>
                    <w:pStyle w:val="TableBodyText"/>
                  </w:pPr>
                  <w:r>
                    <w:t>0.0</w:t>
                  </w:r>
                </w:p>
              </w:tc>
              <w:tc>
                <w:tcPr>
                  <w:tcW w:w="426" w:type="pct"/>
                </w:tcPr>
                <w:p w14:paraId="795497E3" w14:textId="77777777" w:rsidR="00F05DC7" w:rsidRDefault="00F05DC7" w:rsidP="00A3786D">
                  <w:pPr>
                    <w:pStyle w:val="TableBodyText"/>
                    <w:ind w:right="28"/>
                  </w:pPr>
                  <w:r>
                    <w:t>0.0</w:t>
                  </w:r>
                </w:p>
              </w:tc>
              <w:tc>
                <w:tcPr>
                  <w:tcW w:w="427" w:type="pct"/>
                </w:tcPr>
                <w:p w14:paraId="795497E4" w14:textId="77777777" w:rsidR="00F05DC7" w:rsidRDefault="00F05DC7" w:rsidP="00A3786D">
                  <w:pPr>
                    <w:pStyle w:val="TableBodyText"/>
                    <w:ind w:right="28"/>
                  </w:pPr>
                  <w:r>
                    <w:t>0.0</w:t>
                  </w:r>
                </w:p>
              </w:tc>
              <w:tc>
                <w:tcPr>
                  <w:tcW w:w="425" w:type="pct"/>
                </w:tcPr>
                <w:p w14:paraId="795497E5" w14:textId="77777777" w:rsidR="00F05DC7" w:rsidRDefault="00F05DC7" w:rsidP="00A3786D">
                  <w:pPr>
                    <w:pStyle w:val="TableBodyText"/>
                    <w:ind w:right="28"/>
                  </w:pPr>
                  <w:r>
                    <w:t>0.0</w:t>
                  </w:r>
                </w:p>
              </w:tc>
            </w:tr>
            <w:tr w:rsidR="00F05DC7" w14:paraId="795497F0" w14:textId="77777777" w:rsidTr="00A3786D">
              <w:tc>
                <w:tcPr>
                  <w:tcW w:w="1588" w:type="pct"/>
                  <w:shd w:val="clear" w:color="auto" w:fill="auto"/>
                </w:tcPr>
                <w:p w14:paraId="795497E7" w14:textId="77777777" w:rsidR="00F05DC7" w:rsidRPr="00E23F9B" w:rsidRDefault="00F05DC7" w:rsidP="00A3786D">
                  <w:pPr>
                    <w:pStyle w:val="TableBodyText"/>
                    <w:jc w:val="left"/>
                    <w:rPr>
                      <w:b/>
                    </w:rPr>
                  </w:pPr>
                  <w:r w:rsidRPr="002E79C4">
                    <w:rPr>
                      <w:b/>
                    </w:rPr>
                    <w:t>Equalisation to the average</w:t>
                  </w:r>
                </w:p>
              </w:tc>
              <w:tc>
                <w:tcPr>
                  <w:tcW w:w="426" w:type="pct"/>
                </w:tcPr>
                <w:p w14:paraId="795497E8" w14:textId="77777777" w:rsidR="00F05DC7" w:rsidRDefault="00F05DC7" w:rsidP="00A3786D">
                  <w:pPr>
                    <w:pStyle w:val="TableBodyText"/>
                  </w:pPr>
                </w:p>
              </w:tc>
              <w:tc>
                <w:tcPr>
                  <w:tcW w:w="428" w:type="pct"/>
                </w:tcPr>
                <w:p w14:paraId="795497E9" w14:textId="77777777" w:rsidR="00F05DC7" w:rsidRDefault="00F05DC7" w:rsidP="00A3786D">
                  <w:pPr>
                    <w:pStyle w:val="TableBodyText"/>
                  </w:pPr>
                </w:p>
              </w:tc>
              <w:tc>
                <w:tcPr>
                  <w:tcW w:w="426" w:type="pct"/>
                </w:tcPr>
                <w:p w14:paraId="795497EA" w14:textId="77777777" w:rsidR="00F05DC7" w:rsidRDefault="00F05DC7" w:rsidP="00A3786D">
                  <w:pPr>
                    <w:pStyle w:val="TableBodyText"/>
                  </w:pPr>
                </w:p>
              </w:tc>
              <w:tc>
                <w:tcPr>
                  <w:tcW w:w="427" w:type="pct"/>
                </w:tcPr>
                <w:p w14:paraId="795497EB" w14:textId="77777777" w:rsidR="00F05DC7" w:rsidRDefault="00F05DC7" w:rsidP="00A3786D">
                  <w:pPr>
                    <w:pStyle w:val="TableBodyText"/>
                  </w:pPr>
                </w:p>
              </w:tc>
              <w:tc>
                <w:tcPr>
                  <w:tcW w:w="427" w:type="pct"/>
                  <w:shd w:val="clear" w:color="auto" w:fill="auto"/>
                </w:tcPr>
                <w:p w14:paraId="795497EC" w14:textId="77777777" w:rsidR="00F05DC7" w:rsidRDefault="00F05DC7" w:rsidP="00A3786D">
                  <w:pPr>
                    <w:pStyle w:val="TableBodyText"/>
                  </w:pPr>
                </w:p>
              </w:tc>
              <w:tc>
                <w:tcPr>
                  <w:tcW w:w="426" w:type="pct"/>
                </w:tcPr>
                <w:p w14:paraId="795497ED" w14:textId="77777777" w:rsidR="00F05DC7" w:rsidRDefault="00F05DC7" w:rsidP="00A3786D">
                  <w:pPr>
                    <w:pStyle w:val="TableBodyText"/>
                    <w:ind w:right="28"/>
                  </w:pPr>
                </w:p>
              </w:tc>
              <w:tc>
                <w:tcPr>
                  <w:tcW w:w="427" w:type="pct"/>
                </w:tcPr>
                <w:p w14:paraId="795497EE" w14:textId="77777777" w:rsidR="00F05DC7" w:rsidRDefault="00F05DC7" w:rsidP="00A3786D">
                  <w:pPr>
                    <w:pStyle w:val="TableBodyText"/>
                    <w:ind w:right="28"/>
                  </w:pPr>
                </w:p>
              </w:tc>
              <w:tc>
                <w:tcPr>
                  <w:tcW w:w="425" w:type="pct"/>
                  <w:shd w:val="clear" w:color="auto" w:fill="auto"/>
                </w:tcPr>
                <w:p w14:paraId="795497EF" w14:textId="77777777" w:rsidR="00F05DC7" w:rsidRDefault="00F05DC7" w:rsidP="00A3786D">
                  <w:pPr>
                    <w:pStyle w:val="TableBodyText"/>
                    <w:ind w:right="28"/>
                  </w:pPr>
                </w:p>
              </w:tc>
            </w:tr>
            <w:tr w:rsidR="00F05DC7" w14:paraId="795497FA" w14:textId="77777777" w:rsidTr="00A3786D">
              <w:tc>
                <w:tcPr>
                  <w:tcW w:w="1588" w:type="pct"/>
                  <w:shd w:val="clear" w:color="auto" w:fill="auto"/>
                </w:tcPr>
                <w:p w14:paraId="795497F1" w14:textId="77777777" w:rsidR="00F05DC7" w:rsidRDefault="00F05DC7" w:rsidP="00A3786D">
                  <w:pPr>
                    <w:pStyle w:val="TableBodyText"/>
                    <w:jc w:val="left"/>
                  </w:pPr>
                  <w:r>
                    <w:t>$ million</w:t>
                  </w:r>
                </w:p>
              </w:tc>
              <w:tc>
                <w:tcPr>
                  <w:tcW w:w="426" w:type="pct"/>
                </w:tcPr>
                <w:p w14:paraId="795497F2" w14:textId="77777777" w:rsidR="00F05DC7" w:rsidRDefault="00F05DC7" w:rsidP="00A3786D">
                  <w:pPr>
                    <w:pStyle w:val="TableBodyText"/>
                  </w:pPr>
                  <w:r>
                    <w:t>833</w:t>
                  </w:r>
                </w:p>
              </w:tc>
              <w:tc>
                <w:tcPr>
                  <w:tcW w:w="428" w:type="pct"/>
                </w:tcPr>
                <w:p w14:paraId="795497F3" w14:textId="77777777" w:rsidR="00F05DC7" w:rsidRDefault="00F05DC7" w:rsidP="00A3786D">
                  <w:pPr>
                    <w:pStyle w:val="TableBodyText"/>
                  </w:pPr>
                  <w:r>
                    <w:noBreakHyphen/>
                    <w:t>1 570</w:t>
                  </w:r>
                </w:p>
              </w:tc>
              <w:tc>
                <w:tcPr>
                  <w:tcW w:w="426" w:type="pct"/>
                </w:tcPr>
                <w:p w14:paraId="795497F4" w14:textId="77777777" w:rsidR="00F05DC7" w:rsidRDefault="00F05DC7" w:rsidP="00A3786D">
                  <w:pPr>
                    <w:pStyle w:val="TableBodyText"/>
                  </w:pPr>
                  <w:r>
                    <w:noBreakHyphen/>
                    <w:t>1 368</w:t>
                  </w:r>
                </w:p>
              </w:tc>
              <w:tc>
                <w:tcPr>
                  <w:tcW w:w="427" w:type="pct"/>
                </w:tcPr>
                <w:p w14:paraId="795497F5" w14:textId="77777777" w:rsidR="00F05DC7" w:rsidRDefault="00F05DC7" w:rsidP="00A3786D">
                  <w:pPr>
                    <w:pStyle w:val="TableBodyText"/>
                  </w:pPr>
                  <w:r>
                    <w:t>2 903</w:t>
                  </w:r>
                </w:p>
              </w:tc>
              <w:tc>
                <w:tcPr>
                  <w:tcW w:w="427" w:type="pct"/>
                  <w:shd w:val="clear" w:color="auto" w:fill="auto"/>
                </w:tcPr>
                <w:p w14:paraId="795497F6" w14:textId="77777777" w:rsidR="00F05DC7" w:rsidRDefault="00F05DC7" w:rsidP="00A3786D">
                  <w:pPr>
                    <w:pStyle w:val="TableBodyText"/>
                  </w:pPr>
                  <w:r>
                    <w:noBreakHyphen/>
                    <w:t>474</w:t>
                  </w:r>
                </w:p>
              </w:tc>
              <w:tc>
                <w:tcPr>
                  <w:tcW w:w="426" w:type="pct"/>
                </w:tcPr>
                <w:p w14:paraId="795497F7" w14:textId="77777777" w:rsidR="00F05DC7" w:rsidRDefault="00F05DC7" w:rsidP="00A3786D">
                  <w:pPr>
                    <w:pStyle w:val="TableBodyText"/>
                    <w:ind w:right="28"/>
                  </w:pPr>
                  <w:r>
                    <w:noBreakHyphen/>
                    <w:t>143</w:t>
                  </w:r>
                </w:p>
              </w:tc>
              <w:tc>
                <w:tcPr>
                  <w:tcW w:w="427" w:type="pct"/>
                </w:tcPr>
                <w:p w14:paraId="795497F8" w14:textId="77777777" w:rsidR="00F05DC7" w:rsidRDefault="00F05DC7" w:rsidP="00A3786D">
                  <w:pPr>
                    <w:pStyle w:val="TableBodyText"/>
                    <w:ind w:right="28"/>
                  </w:pPr>
                  <w:r>
                    <w:noBreakHyphen/>
                    <w:t>114</w:t>
                  </w:r>
                </w:p>
              </w:tc>
              <w:tc>
                <w:tcPr>
                  <w:tcW w:w="425" w:type="pct"/>
                  <w:shd w:val="clear" w:color="auto" w:fill="auto"/>
                </w:tcPr>
                <w:p w14:paraId="795497F9" w14:textId="77777777" w:rsidR="00F05DC7" w:rsidRDefault="00F05DC7" w:rsidP="00A3786D">
                  <w:pPr>
                    <w:pStyle w:val="TableBodyText"/>
                    <w:ind w:right="28"/>
                  </w:pPr>
                  <w:r>
                    <w:noBreakHyphen/>
                    <w:t>67</w:t>
                  </w:r>
                </w:p>
              </w:tc>
            </w:tr>
            <w:tr w:rsidR="00F05DC7" w14:paraId="79549804" w14:textId="77777777" w:rsidTr="00A3786D">
              <w:tc>
                <w:tcPr>
                  <w:tcW w:w="1588" w:type="pct"/>
                  <w:shd w:val="clear" w:color="auto" w:fill="auto"/>
                </w:tcPr>
                <w:p w14:paraId="795497FB" w14:textId="77777777" w:rsidR="00F05DC7" w:rsidRDefault="00F05DC7" w:rsidP="00A3786D">
                  <w:pPr>
                    <w:pStyle w:val="TableBodyText"/>
                    <w:jc w:val="left"/>
                  </w:pPr>
                  <w:r>
                    <w:t>$ per capita</w:t>
                  </w:r>
                </w:p>
              </w:tc>
              <w:tc>
                <w:tcPr>
                  <w:tcW w:w="426" w:type="pct"/>
                </w:tcPr>
                <w:p w14:paraId="795497FC" w14:textId="77777777" w:rsidR="00F05DC7" w:rsidRDefault="00F05DC7" w:rsidP="00A3786D">
                  <w:pPr>
                    <w:pStyle w:val="TableBodyText"/>
                  </w:pPr>
                  <w:r>
                    <w:t>104</w:t>
                  </w:r>
                </w:p>
              </w:tc>
              <w:tc>
                <w:tcPr>
                  <w:tcW w:w="428" w:type="pct"/>
                </w:tcPr>
                <w:p w14:paraId="795497FD" w14:textId="77777777" w:rsidR="00F05DC7" w:rsidRDefault="00F05DC7" w:rsidP="00A3786D">
                  <w:pPr>
                    <w:pStyle w:val="TableBodyText"/>
                  </w:pPr>
                  <w:r>
                    <w:noBreakHyphen/>
                    <w:t>242</w:t>
                  </w:r>
                </w:p>
              </w:tc>
              <w:tc>
                <w:tcPr>
                  <w:tcW w:w="426" w:type="pct"/>
                </w:tcPr>
                <w:p w14:paraId="795497FE" w14:textId="77777777" w:rsidR="00F05DC7" w:rsidRDefault="00F05DC7" w:rsidP="00A3786D">
                  <w:pPr>
                    <w:pStyle w:val="TableBodyText"/>
                  </w:pPr>
                  <w:r>
                    <w:noBreakHyphen/>
                    <w:t>273</w:t>
                  </w:r>
                </w:p>
              </w:tc>
              <w:tc>
                <w:tcPr>
                  <w:tcW w:w="427" w:type="pct"/>
                </w:tcPr>
                <w:p w14:paraId="795497FF" w14:textId="77777777" w:rsidR="00F05DC7" w:rsidRDefault="00F05DC7" w:rsidP="00A3786D">
                  <w:pPr>
                    <w:pStyle w:val="TableBodyText"/>
                  </w:pPr>
                  <w:r>
                    <w:t>1 108</w:t>
                  </w:r>
                </w:p>
              </w:tc>
              <w:tc>
                <w:tcPr>
                  <w:tcW w:w="427" w:type="pct"/>
                  <w:shd w:val="clear" w:color="auto" w:fill="auto"/>
                </w:tcPr>
                <w:p w14:paraId="79549800" w14:textId="77777777" w:rsidR="00F05DC7" w:rsidRDefault="00F05DC7" w:rsidP="00A3786D">
                  <w:pPr>
                    <w:pStyle w:val="TableBodyText"/>
                  </w:pPr>
                  <w:r>
                    <w:noBreakHyphen/>
                    <w:t>273</w:t>
                  </w:r>
                </w:p>
              </w:tc>
              <w:tc>
                <w:tcPr>
                  <w:tcW w:w="426" w:type="pct"/>
                </w:tcPr>
                <w:p w14:paraId="79549801" w14:textId="77777777" w:rsidR="00F05DC7" w:rsidRDefault="00F05DC7" w:rsidP="00A3786D">
                  <w:pPr>
                    <w:pStyle w:val="TableBodyText"/>
                    <w:ind w:right="28"/>
                  </w:pPr>
                  <w:r>
                    <w:noBreakHyphen/>
                    <w:t>273</w:t>
                  </w:r>
                </w:p>
              </w:tc>
              <w:tc>
                <w:tcPr>
                  <w:tcW w:w="427" w:type="pct"/>
                </w:tcPr>
                <w:p w14:paraId="79549802" w14:textId="77777777" w:rsidR="00F05DC7" w:rsidRDefault="00F05DC7" w:rsidP="00A3786D">
                  <w:pPr>
                    <w:pStyle w:val="TableBodyText"/>
                    <w:ind w:right="28"/>
                  </w:pPr>
                  <w:r>
                    <w:noBreakHyphen/>
                    <w:t>273</w:t>
                  </w:r>
                </w:p>
              </w:tc>
              <w:tc>
                <w:tcPr>
                  <w:tcW w:w="425" w:type="pct"/>
                  <w:shd w:val="clear" w:color="auto" w:fill="auto"/>
                </w:tcPr>
                <w:p w14:paraId="79549803" w14:textId="77777777" w:rsidR="00F05DC7" w:rsidRDefault="00F05DC7" w:rsidP="00A3786D">
                  <w:pPr>
                    <w:pStyle w:val="TableBodyText"/>
                    <w:ind w:right="28"/>
                  </w:pPr>
                  <w:r>
                    <w:noBreakHyphen/>
                    <w:t>273</w:t>
                  </w:r>
                </w:p>
              </w:tc>
            </w:tr>
            <w:tr w:rsidR="00F05DC7" w14:paraId="7954980E" w14:textId="77777777" w:rsidTr="00A3786D">
              <w:tc>
                <w:tcPr>
                  <w:tcW w:w="1588" w:type="pct"/>
                  <w:shd w:val="clear" w:color="auto" w:fill="auto"/>
                </w:tcPr>
                <w:p w14:paraId="79549805" w14:textId="77777777" w:rsidR="00F05DC7" w:rsidRDefault="00F05DC7" w:rsidP="00A3786D">
                  <w:pPr>
                    <w:pStyle w:val="TableBodyText"/>
                    <w:jc w:val="left"/>
                  </w:pPr>
                  <w:r>
                    <w:t>% of total revenue</w:t>
                  </w:r>
                </w:p>
              </w:tc>
              <w:tc>
                <w:tcPr>
                  <w:tcW w:w="426" w:type="pct"/>
                </w:tcPr>
                <w:p w14:paraId="79549806" w14:textId="77777777" w:rsidR="00F05DC7" w:rsidRDefault="00F05DC7" w:rsidP="00A3786D">
                  <w:pPr>
                    <w:pStyle w:val="TableBodyText"/>
                  </w:pPr>
                  <w:r>
                    <w:t>1.0</w:t>
                  </w:r>
                </w:p>
              </w:tc>
              <w:tc>
                <w:tcPr>
                  <w:tcW w:w="428" w:type="pct"/>
                </w:tcPr>
                <w:p w14:paraId="79549807" w14:textId="77777777" w:rsidR="00F05DC7" w:rsidRDefault="00F05DC7" w:rsidP="00A3786D">
                  <w:pPr>
                    <w:pStyle w:val="TableBodyText"/>
                  </w:pPr>
                  <w:r>
                    <w:noBreakHyphen/>
                    <w:t>2.3</w:t>
                  </w:r>
                </w:p>
              </w:tc>
              <w:tc>
                <w:tcPr>
                  <w:tcW w:w="426" w:type="pct"/>
                </w:tcPr>
                <w:p w14:paraId="79549808" w14:textId="77777777" w:rsidR="00F05DC7" w:rsidRDefault="00F05DC7" w:rsidP="00A3786D">
                  <w:pPr>
                    <w:pStyle w:val="TableBodyText"/>
                  </w:pPr>
                  <w:r>
                    <w:noBreakHyphen/>
                    <w:t>2.4</w:t>
                  </w:r>
                </w:p>
              </w:tc>
              <w:tc>
                <w:tcPr>
                  <w:tcW w:w="427" w:type="pct"/>
                </w:tcPr>
                <w:p w14:paraId="79549809" w14:textId="77777777" w:rsidR="00F05DC7" w:rsidRDefault="00F05DC7" w:rsidP="00A3786D">
                  <w:pPr>
                    <w:pStyle w:val="TableBodyText"/>
                  </w:pPr>
                  <w:r>
                    <w:t>9.8</w:t>
                  </w:r>
                </w:p>
              </w:tc>
              <w:tc>
                <w:tcPr>
                  <w:tcW w:w="427" w:type="pct"/>
                </w:tcPr>
                <w:p w14:paraId="7954980A" w14:textId="77777777" w:rsidR="00F05DC7" w:rsidRDefault="00F05DC7" w:rsidP="00A3786D">
                  <w:pPr>
                    <w:pStyle w:val="TableBodyText"/>
                  </w:pPr>
                  <w:r>
                    <w:noBreakHyphen/>
                    <w:t>2.5</w:t>
                  </w:r>
                </w:p>
              </w:tc>
              <w:tc>
                <w:tcPr>
                  <w:tcW w:w="426" w:type="pct"/>
                  <w:shd w:val="clear" w:color="auto" w:fill="auto"/>
                </w:tcPr>
                <w:p w14:paraId="7954980B" w14:textId="77777777" w:rsidR="00F05DC7" w:rsidRDefault="00F05DC7" w:rsidP="00A3786D">
                  <w:pPr>
                    <w:pStyle w:val="TableBodyText"/>
                    <w:ind w:right="28"/>
                  </w:pPr>
                  <w:r>
                    <w:noBreakHyphen/>
                    <w:t>2.4</w:t>
                  </w:r>
                </w:p>
              </w:tc>
              <w:tc>
                <w:tcPr>
                  <w:tcW w:w="427" w:type="pct"/>
                </w:tcPr>
                <w:p w14:paraId="7954980C" w14:textId="77777777" w:rsidR="00F05DC7" w:rsidRDefault="00F05DC7" w:rsidP="00A3786D">
                  <w:pPr>
                    <w:pStyle w:val="TableBodyText"/>
                    <w:ind w:right="28"/>
                  </w:pPr>
                  <w:r>
                    <w:noBreakHyphen/>
                    <w:t>2.0</w:t>
                  </w:r>
                </w:p>
              </w:tc>
              <w:tc>
                <w:tcPr>
                  <w:tcW w:w="425" w:type="pct"/>
                  <w:shd w:val="clear" w:color="auto" w:fill="auto"/>
                </w:tcPr>
                <w:p w14:paraId="7954980D" w14:textId="77777777" w:rsidR="00F05DC7" w:rsidRDefault="00F05DC7" w:rsidP="00A3786D">
                  <w:pPr>
                    <w:pStyle w:val="TableBodyText"/>
                    <w:ind w:right="28"/>
                  </w:pPr>
                  <w:r>
                    <w:noBreakHyphen/>
                    <w:t>1.2</w:t>
                  </w:r>
                </w:p>
              </w:tc>
            </w:tr>
            <w:tr w:rsidR="00F05DC7" w14:paraId="79549818" w14:textId="77777777" w:rsidTr="00A3786D">
              <w:tc>
                <w:tcPr>
                  <w:tcW w:w="1588" w:type="pct"/>
                  <w:shd w:val="clear" w:color="auto" w:fill="auto"/>
                </w:tcPr>
                <w:p w14:paraId="7954980F" w14:textId="77777777" w:rsidR="00F05DC7" w:rsidRDefault="00F05DC7" w:rsidP="00A3786D">
                  <w:pPr>
                    <w:pStyle w:val="TableBodyText"/>
                    <w:jc w:val="left"/>
                    <w:rPr>
                      <w:b/>
                    </w:rPr>
                  </w:pPr>
                  <w:r>
                    <w:rPr>
                      <w:b/>
                    </w:rPr>
                    <w:t>Total GST payments under current system</w:t>
                  </w:r>
                </w:p>
              </w:tc>
              <w:tc>
                <w:tcPr>
                  <w:tcW w:w="426" w:type="pct"/>
                </w:tcPr>
                <w:p w14:paraId="79549810" w14:textId="77777777" w:rsidR="00F05DC7" w:rsidRDefault="00F05DC7" w:rsidP="00A3786D">
                  <w:pPr>
                    <w:pStyle w:val="TableColumnHeading"/>
                  </w:pPr>
                  <w:r>
                    <w:t>NSW</w:t>
                  </w:r>
                </w:p>
              </w:tc>
              <w:tc>
                <w:tcPr>
                  <w:tcW w:w="428" w:type="pct"/>
                </w:tcPr>
                <w:p w14:paraId="79549811" w14:textId="77777777" w:rsidR="00F05DC7" w:rsidRDefault="00F05DC7" w:rsidP="00A3786D">
                  <w:pPr>
                    <w:pStyle w:val="TableColumnHeading"/>
                  </w:pPr>
                  <w:r>
                    <w:t>Vic</w:t>
                  </w:r>
                </w:p>
              </w:tc>
              <w:tc>
                <w:tcPr>
                  <w:tcW w:w="426" w:type="pct"/>
                </w:tcPr>
                <w:p w14:paraId="79549812" w14:textId="77777777" w:rsidR="00F05DC7" w:rsidRDefault="00F05DC7" w:rsidP="00A3786D">
                  <w:pPr>
                    <w:pStyle w:val="TableColumnHeading"/>
                  </w:pPr>
                  <w:r>
                    <w:t>Qld</w:t>
                  </w:r>
                </w:p>
              </w:tc>
              <w:tc>
                <w:tcPr>
                  <w:tcW w:w="427" w:type="pct"/>
                </w:tcPr>
                <w:p w14:paraId="79549813" w14:textId="77777777" w:rsidR="00F05DC7" w:rsidRDefault="00F05DC7" w:rsidP="00A3786D">
                  <w:pPr>
                    <w:pStyle w:val="TableColumnHeading"/>
                  </w:pPr>
                  <w:r>
                    <w:t>WA</w:t>
                  </w:r>
                </w:p>
              </w:tc>
              <w:tc>
                <w:tcPr>
                  <w:tcW w:w="427" w:type="pct"/>
                  <w:shd w:val="clear" w:color="auto" w:fill="auto"/>
                </w:tcPr>
                <w:p w14:paraId="79549814" w14:textId="77777777" w:rsidR="00F05DC7" w:rsidRDefault="00F05DC7" w:rsidP="00A3786D">
                  <w:pPr>
                    <w:pStyle w:val="TableColumnHeading"/>
                  </w:pPr>
                  <w:r>
                    <w:t>SA</w:t>
                  </w:r>
                </w:p>
              </w:tc>
              <w:tc>
                <w:tcPr>
                  <w:tcW w:w="426" w:type="pct"/>
                </w:tcPr>
                <w:p w14:paraId="79549815" w14:textId="77777777" w:rsidR="00F05DC7" w:rsidRDefault="00F05DC7" w:rsidP="00A3786D">
                  <w:pPr>
                    <w:pStyle w:val="TableColumnHeading"/>
                  </w:pPr>
                  <w:r>
                    <w:t>Tas</w:t>
                  </w:r>
                </w:p>
              </w:tc>
              <w:tc>
                <w:tcPr>
                  <w:tcW w:w="427" w:type="pct"/>
                </w:tcPr>
                <w:p w14:paraId="79549816" w14:textId="77777777" w:rsidR="00F05DC7" w:rsidRDefault="00F05DC7" w:rsidP="00A3786D">
                  <w:pPr>
                    <w:pStyle w:val="TableColumnHeading"/>
                  </w:pPr>
                  <w:r>
                    <w:t>ACT</w:t>
                  </w:r>
                </w:p>
              </w:tc>
              <w:tc>
                <w:tcPr>
                  <w:tcW w:w="425" w:type="pct"/>
                  <w:shd w:val="clear" w:color="auto" w:fill="auto"/>
                </w:tcPr>
                <w:p w14:paraId="79549817" w14:textId="77777777" w:rsidR="00F05DC7" w:rsidRDefault="00F05DC7" w:rsidP="00A3786D">
                  <w:pPr>
                    <w:pStyle w:val="TableColumnHeading"/>
                  </w:pPr>
                  <w:r>
                    <w:t>NT</w:t>
                  </w:r>
                </w:p>
              </w:tc>
            </w:tr>
            <w:tr w:rsidR="00F05DC7" w14:paraId="79549822" w14:textId="77777777" w:rsidTr="00A3786D">
              <w:tc>
                <w:tcPr>
                  <w:tcW w:w="1588" w:type="pct"/>
                  <w:shd w:val="clear" w:color="auto" w:fill="auto"/>
                </w:tcPr>
                <w:p w14:paraId="79549819" w14:textId="77777777" w:rsidR="00F05DC7" w:rsidRPr="00BA38FE" w:rsidRDefault="00F05DC7" w:rsidP="00A3786D">
                  <w:pPr>
                    <w:pStyle w:val="TableBodyText"/>
                    <w:jc w:val="left"/>
                  </w:pPr>
                  <w:r w:rsidRPr="00BA38FE">
                    <w:t xml:space="preserve"> $ million</w:t>
                  </w:r>
                </w:p>
              </w:tc>
              <w:tc>
                <w:tcPr>
                  <w:tcW w:w="426" w:type="pct"/>
                </w:tcPr>
                <w:p w14:paraId="7954981A" w14:textId="77777777" w:rsidR="00F05DC7" w:rsidRDefault="00F05DC7" w:rsidP="00A3786D">
                  <w:pPr>
                    <w:pStyle w:val="TableBodyText"/>
                  </w:pPr>
                  <w:r>
                    <w:t>18 030</w:t>
                  </w:r>
                </w:p>
              </w:tc>
              <w:tc>
                <w:tcPr>
                  <w:tcW w:w="428" w:type="pct"/>
                </w:tcPr>
                <w:p w14:paraId="7954981B" w14:textId="77777777" w:rsidR="00F05DC7" w:rsidRDefault="00F05DC7" w:rsidP="00A3786D">
                  <w:pPr>
                    <w:pStyle w:val="TableBodyText"/>
                  </w:pPr>
                  <w:r>
                    <w:t>16 830</w:t>
                  </w:r>
                </w:p>
              </w:tc>
              <w:tc>
                <w:tcPr>
                  <w:tcW w:w="426" w:type="pct"/>
                </w:tcPr>
                <w:p w14:paraId="7954981C" w14:textId="77777777" w:rsidR="00F05DC7" w:rsidRDefault="00F05DC7" w:rsidP="00A3786D">
                  <w:pPr>
                    <w:pStyle w:val="TableBodyText"/>
                  </w:pPr>
                  <w:r>
                    <w:t>14 447</w:t>
                  </w:r>
                </w:p>
              </w:tc>
              <w:tc>
                <w:tcPr>
                  <w:tcW w:w="427" w:type="pct"/>
                </w:tcPr>
                <w:p w14:paraId="7954981D" w14:textId="77777777" w:rsidR="00F05DC7" w:rsidRDefault="00F05DC7" w:rsidP="00A3786D">
                  <w:pPr>
                    <w:pStyle w:val="TableBodyText"/>
                  </w:pPr>
                  <w:r>
                    <w:t>3 255</w:t>
                  </w:r>
                </w:p>
              </w:tc>
              <w:tc>
                <w:tcPr>
                  <w:tcW w:w="427" w:type="pct"/>
                  <w:shd w:val="clear" w:color="auto" w:fill="auto"/>
                </w:tcPr>
                <w:p w14:paraId="7954981E" w14:textId="77777777" w:rsidR="00F05DC7" w:rsidRDefault="00F05DC7" w:rsidP="00A3786D">
                  <w:pPr>
                    <w:pStyle w:val="TableBodyText"/>
                  </w:pPr>
                  <w:r>
                    <w:t>6 751</w:t>
                  </w:r>
                </w:p>
              </w:tc>
              <w:tc>
                <w:tcPr>
                  <w:tcW w:w="426" w:type="pct"/>
                </w:tcPr>
                <w:p w14:paraId="7954981F" w14:textId="77777777" w:rsidR="00F05DC7" w:rsidRDefault="00F05DC7" w:rsidP="00A3786D">
                  <w:pPr>
                    <w:pStyle w:val="TableBodyText"/>
                    <w:ind w:right="28"/>
                  </w:pPr>
                  <w:r>
                    <w:t>2 434</w:t>
                  </w:r>
                </w:p>
              </w:tc>
              <w:tc>
                <w:tcPr>
                  <w:tcW w:w="427" w:type="pct"/>
                </w:tcPr>
                <w:p w14:paraId="79549820" w14:textId="77777777" w:rsidR="00F05DC7" w:rsidRDefault="00F05DC7" w:rsidP="00A3786D">
                  <w:pPr>
                    <w:pStyle w:val="TableBodyText"/>
                    <w:ind w:right="28"/>
                  </w:pPr>
                  <w:r>
                    <w:t>1 298</w:t>
                  </w:r>
                </w:p>
              </w:tc>
              <w:tc>
                <w:tcPr>
                  <w:tcW w:w="425" w:type="pct"/>
                  <w:shd w:val="clear" w:color="auto" w:fill="auto"/>
                </w:tcPr>
                <w:p w14:paraId="79549821" w14:textId="77777777" w:rsidR="00F05DC7" w:rsidRDefault="00F05DC7" w:rsidP="00A3786D">
                  <w:pPr>
                    <w:pStyle w:val="TableBodyText"/>
                    <w:ind w:right="28"/>
                  </w:pPr>
                  <w:r>
                    <w:t>2 755</w:t>
                  </w:r>
                </w:p>
              </w:tc>
            </w:tr>
            <w:tr w:rsidR="00F05DC7" w14:paraId="7954982C" w14:textId="77777777" w:rsidTr="00A3786D">
              <w:tc>
                <w:tcPr>
                  <w:tcW w:w="1588" w:type="pct"/>
                  <w:tcBorders>
                    <w:bottom w:val="single" w:sz="6" w:space="0" w:color="BFBFBF"/>
                  </w:tcBorders>
                  <w:shd w:val="clear" w:color="auto" w:fill="auto"/>
                </w:tcPr>
                <w:p w14:paraId="79549823" w14:textId="77777777" w:rsidR="00F05DC7" w:rsidRPr="00BA38FE" w:rsidRDefault="00F05DC7" w:rsidP="00A3786D">
                  <w:pPr>
                    <w:pStyle w:val="TableBodyText"/>
                    <w:jc w:val="left"/>
                  </w:pPr>
                  <w:r w:rsidRPr="00BA38FE">
                    <w:t xml:space="preserve"> $ per capita</w:t>
                  </w:r>
                </w:p>
              </w:tc>
              <w:tc>
                <w:tcPr>
                  <w:tcW w:w="426" w:type="pct"/>
                  <w:tcBorders>
                    <w:bottom w:val="single" w:sz="6" w:space="0" w:color="BFBFBF"/>
                  </w:tcBorders>
                </w:tcPr>
                <w:p w14:paraId="79549824" w14:textId="77777777" w:rsidR="00F05DC7" w:rsidRDefault="00F05DC7" w:rsidP="00A3786D">
                  <w:pPr>
                    <w:pStyle w:val="TableBodyText"/>
                  </w:pPr>
                  <w:r>
                    <w:t>2 246</w:t>
                  </w:r>
                </w:p>
              </w:tc>
              <w:tc>
                <w:tcPr>
                  <w:tcW w:w="428" w:type="pct"/>
                  <w:tcBorders>
                    <w:bottom w:val="single" w:sz="6" w:space="0" w:color="BFBFBF"/>
                  </w:tcBorders>
                </w:tcPr>
                <w:p w14:paraId="79549825" w14:textId="77777777" w:rsidR="00F05DC7" w:rsidRDefault="00F05DC7" w:rsidP="00A3786D">
                  <w:pPr>
                    <w:pStyle w:val="TableBodyText"/>
                  </w:pPr>
                  <w:r>
                    <w:t>2 591</w:t>
                  </w:r>
                </w:p>
              </w:tc>
              <w:tc>
                <w:tcPr>
                  <w:tcW w:w="426" w:type="pct"/>
                  <w:tcBorders>
                    <w:bottom w:val="single" w:sz="6" w:space="0" w:color="BFBFBF"/>
                  </w:tcBorders>
                </w:tcPr>
                <w:p w14:paraId="79549826" w14:textId="77777777" w:rsidR="00F05DC7" w:rsidRDefault="00F05DC7" w:rsidP="00A3786D">
                  <w:pPr>
                    <w:pStyle w:val="TableBodyText"/>
                  </w:pPr>
                  <w:r>
                    <w:t>2 878</w:t>
                  </w:r>
                </w:p>
              </w:tc>
              <w:tc>
                <w:tcPr>
                  <w:tcW w:w="427" w:type="pct"/>
                  <w:tcBorders>
                    <w:bottom w:val="single" w:sz="6" w:space="0" w:color="BFBFBF"/>
                  </w:tcBorders>
                </w:tcPr>
                <w:p w14:paraId="79549827" w14:textId="77777777" w:rsidR="00F05DC7" w:rsidRDefault="00F05DC7" w:rsidP="00A3786D">
                  <w:pPr>
                    <w:pStyle w:val="TableBodyText"/>
                  </w:pPr>
                  <w:r>
                    <w:t>1 242</w:t>
                  </w:r>
                </w:p>
              </w:tc>
              <w:tc>
                <w:tcPr>
                  <w:tcW w:w="427" w:type="pct"/>
                  <w:tcBorders>
                    <w:bottom w:val="single" w:sz="6" w:space="0" w:color="BFBFBF"/>
                  </w:tcBorders>
                  <w:shd w:val="clear" w:color="auto" w:fill="auto"/>
                </w:tcPr>
                <w:p w14:paraId="79549828" w14:textId="77777777" w:rsidR="00F05DC7" w:rsidRDefault="00F05DC7" w:rsidP="00A3786D">
                  <w:pPr>
                    <w:pStyle w:val="TableBodyText"/>
                  </w:pPr>
                  <w:r>
                    <w:t>3 879</w:t>
                  </w:r>
                </w:p>
              </w:tc>
              <w:tc>
                <w:tcPr>
                  <w:tcW w:w="426" w:type="pct"/>
                  <w:tcBorders>
                    <w:bottom w:val="single" w:sz="6" w:space="0" w:color="BFBFBF"/>
                  </w:tcBorders>
                </w:tcPr>
                <w:p w14:paraId="79549829" w14:textId="77777777" w:rsidR="00F05DC7" w:rsidRDefault="00F05DC7" w:rsidP="00A3786D">
                  <w:pPr>
                    <w:pStyle w:val="TableBodyText"/>
                    <w:ind w:right="28"/>
                  </w:pPr>
                  <w:r>
                    <w:t>4 640</w:t>
                  </w:r>
                </w:p>
              </w:tc>
              <w:tc>
                <w:tcPr>
                  <w:tcW w:w="427" w:type="pct"/>
                  <w:tcBorders>
                    <w:bottom w:val="single" w:sz="6" w:space="0" w:color="BFBFBF"/>
                  </w:tcBorders>
                </w:tcPr>
                <w:p w14:paraId="7954982A" w14:textId="77777777" w:rsidR="00F05DC7" w:rsidRDefault="00F05DC7" w:rsidP="00A3786D">
                  <w:pPr>
                    <w:pStyle w:val="TableBodyText"/>
                    <w:ind w:right="28"/>
                  </w:pPr>
                  <w:r>
                    <w:t>3 100</w:t>
                  </w:r>
                </w:p>
              </w:tc>
              <w:tc>
                <w:tcPr>
                  <w:tcW w:w="425" w:type="pct"/>
                  <w:tcBorders>
                    <w:bottom w:val="single" w:sz="6" w:space="0" w:color="BFBFBF"/>
                  </w:tcBorders>
                  <w:shd w:val="clear" w:color="auto" w:fill="auto"/>
                </w:tcPr>
                <w:p w14:paraId="7954982B" w14:textId="77777777" w:rsidR="00F05DC7" w:rsidRDefault="00F05DC7" w:rsidP="00A3786D">
                  <w:pPr>
                    <w:pStyle w:val="TableBodyText"/>
                    <w:ind w:right="28"/>
                  </w:pPr>
                  <w:r>
                    <w:t>11 181</w:t>
                  </w:r>
                </w:p>
              </w:tc>
            </w:tr>
          </w:tbl>
          <w:p w14:paraId="7954982D" w14:textId="77777777" w:rsidR="00F05DC7" w:rsidRPr="005E0807" w:rsidRDefault="00F05DC7" w:rsidP="00A3786D">
            <w:pPr>
              <w:keepNext/>
              <w:spacing w:before="120" w:line="260" w:lineRule="atLeast"/>
              <w:jc w:val="both"/>
              <w:rPr>
                <w:rFonts w:ascii="Arial" w:hAnsi="Arial"/>
                <w:sz w:val="20"/>
              </w:rPr>
            </w:pPr>
          </w:p>
        </w:tc>
      </w:tr>
      <w:tr w:rsidR="00F05DC7" w:rsidRPr="005E0807" w14:paraId="79549830" w14:textId="77777777" w:rsidTr="00A3786D">
        <w:tc>
          <w:tcPr>
            <w:tcW w:w="5000" w:type="pct"/>
            <w:tcBorders>
              <w:top w:val="nil"/>
              <w:left w:val="nil"/>
              <w:bottom w:val="single" w:sz="6" w:space="0" w:color="78A22F"/>
              <w:right w:val="nil"/>
            </w:tcBorders>
            <w:shd w:val="clear" w:color="auto" w:fill="auto"/>
          </w:tcPr>
          <w:p w14:paraId="7954982F" w14:textId="77777777" w:rsidR="00F05DC7" w:rsidRPr="005E0807" w:rsidRDefault="00F05DC7" w:rsidP="00A3786D">
            <w:pPr>
              <w:keepNext/>
              <w:spacing w:line="120" w:lineRule="exact"/>
              <w:jc w:val="both"/>
              <w:rPr>
                <w:rFonts w:ascii="Arial" w:hAnsi="Arial"/>
                <w:sz w:val="20"/>
              </w:rPr>
            </w:pPr>
          </w:p>
        </w:tc>
      </w:tr>
      <w:tr w:rsidR="00F05DC7" w:rsidRPr="005E0807" w14:paraId="79549832" w14:textId="77777777" w:rsidTr="00A3786D">
        <w:tc>
          <w:tcPr>
            <w:tcW w:w="5000" w:type="pct"/>
            <w:tcBorders>
              <w:top w:val="single" w:sz="6" w:space="0" w:color="78A22F"/>
              <w:left w:val="nil"/>
              <w:bottom w:val="nil"/>
              <w:right w:val="nil"/>
            </w:tcBorders>
          </w:tcPr>
          <w:p w14:paraId="79549831" w14:textId="77777777" w:rsidR="00F05DC7" w:rsidRPr="005E0807" w:rsidRDefault="00F05DC7" w:rsidP="00A3786D">
            <w:pPr>
              <w:spacing w:before="60" w:after="60" w:line="80" w:lineRule="exact"/>
              <w:jc w:val="both"/>
              <w:rPr>
                <w:rFonts w:ascii="Arial" w:hAnsi="Arial"/>
                <w:sz w:val="14"/>
              </w:rPr>
            </w:pPr>
          </w:p>
        </w:tc>
      </w:tr>
    </w:tbl>
    <w:p w14:paraId="79549833" w14:textId="77777777" w:rsidR="00F05DC7" w:rsidRDefault="00F05DC7" w:rsidP="00A3786D">
      <w:pPr>
        <w:spacing w:before="240" w:line="300" w:lineRule="atLeast"/>
        <w:jc w:val="both"/>
      </w:pPr>
      <w:r>
        <w:lastRenderedPageBreak/>
        <w:t>F</w:t>
      </w:r>
      <w:r w:rsidRPr="005E0807">
        <w:t xml:space="preserve">ull equalisation for </w:t>
      </w:r>
      <w:r>
        <w:t xml:space="preserve">only </w:t>
      </w:r>
      <w:r w:rsidRPr="005E0807">
        <w:t>the smallest</w:t>
      </w:r>
      <w:r>
        <w:t xml:space="preserve"> </w:t>
      </w:r>
      <w:r w:rsidRPr="005E0807">
        <w:t xml:space="preserve">States </w:t>
      </w:r>
      <w:r>
        <w:t>— another alternative benchmark —</w:t>
      </w:r>
      <w:r w:rsidRPr="005E0807">
        <w:t xml:space="preserve"> has the potential to deliver similar efficiency benefits as ETA</w:t>
      </w:r>
      <w:r>
        <w:t>. But it runs into the problem</w:t>
      </w:r>
      <w:r w:rsidRPr="005E0807">
        <w:t xml:space="preserve"> of whether </w:t>
      </w:r>
      <w:r>
        <w:t>the larger</w:t>
      </w:r>
      <w:r w:rsidRPr="005E0807">
        <w:t xml:space="preserve"> States should be </w:t>
      </w:r>
      <w:r>
        <w:t>eligible for full equalisation</w:t>
      </w:r>
      <w:r w:rsidRPr="005E0807">
        <w:t xml:space="preserve">. </w:t>
      </w:r>
      <w:r>
        <w:t xml:space="preserve">For example, under this option, Queensland </w:t>
      </w:r>
      <w:r w:rsidRPr="005E0807">
        <w:t xml:space="preserve">would not be equalised as it is a large State. </w:t>
      </w:r>
      <w:r>
        <w:t>Thus, a</w:t>
      </w:r>
      <w:r w:rsidRPr="005E0807">
        <w:t xml:space="preserve">ny fiscal equalisation required to account for the </w:t>
      </w:r>
      <w:r>
        <w:t>fiscal cost of economic shocks in Queensland — for example, from a natural disaster —</w:t>
      </w:r>
      <w:r w:rsidRPr="005E0807">
        <w:t xml:space="preserve"> could require top</w:t>
      </w:r>
      <w:r>
        <w:noBreakHyphen/>
      </w:r>
      <w:r w:rsidRPr="005E0807">
        <w:t>up funding</w:t>
      </w:r>
      <w:r>
        <w:t>. As with an EPC with top</w:t>
      </w:r>
      <w:r>
        <w:noBreakHyphen/>
        <w:t xml:space="preserve">up funding approach, this funding </w:t>
      </w:r>
      <w:r w:rsidRPr="005E0807">
        <w:t xml:space="preserve">would likely always be hostage to </w:t>
      </w:r>
      <w:r>
        <w:t xml:space="preserve">Commonwealth </w:t>
      </w:r>
      <w:r w:rsidRPr="005E0807">
        <w:t xml:space="preserve">fiscal </w:t>
      </w:r>
      <w:r w:rsidRPr="006B3542">
        <w:t>vicissitudes</w:t>
      </w:r>
      <w:r w:rsidRPr="005E0807">
        <w:t>.</w:t>
      </w:r>
    </w:p>
    <w:p w14:paraId="79549834" w14:textId="77777777" w:rsidR="00F05DC7" w:rsidRPr="005E0807" w:rsidRDefault="00F05DC7" w:rsidP="00A3786D">
      <w:pPr>
        <w:spacing w:before="240" w:line="300" w:lineRule="atLeast"/>
        <w:jc w:val="both"/>
      </w:pPr>
      <w:r>
        <w:t>The Commission has judged that, o</w:t>
      </w:r>
      <w:r w:rsidRPr="005E0807">
        <w:t xml:space="preserve">n balance, ETA is </w:t>
      </w:r>
      <w:r>
        <w:t>a preferable alternative to the current benchmark. ETA is expected to</w:t>
      </w:r>
      <w:r w:rsidRPr="005E0807">
        <w:t xml:space="preserve"> </w:t>
      </w:r>
      <w:r>
        <w:t>provide the best balance between equity and efficiency compared to the current approach and the alternative benchmarks considered. It would also be a more stable basis for deriving GST relativities. This is because the benchmark is determined using the fiscal capacities of all States, rather than only one State (as presently occurs) or a few States (as is the case under most of the other alternatives). It is thus the least susceptible to fiscal outliers.</w:t>
      </w:r>
    </w:p>
    <w:p w14:paraId="79549835" w14:textId="77777777" w:rsidR="00F05DC7" w:rsidRDefault="00F05DC7" w:rsidP="00A3786D">
      <w:pPr>
        <w:pStyle w:val="Heading2"/>
      </w:pPr>
      <w:bookmarkStart w:id="31" w:name="_Toc513637683"/>
      <w:r>
        <w:t>A proposed way forward</w:t>
      </w:r>
      <w:bookmarkEnd w:id="31"/>
    </w:p>
    <w:p w14:paraId="79549836" w14:textId="77777777" w:rsidR="00F05DC7" w:rsidRDefault="00F05DC7" w:rsidP="00A3786D">
      <w:pPr>
        <w:pStyle w:val="BodyText"/>
      </w:pPr>
      <w:r w:rsidRPr="00C07474">
        <w:t xml:space="preserve">The </w:t>
      </w:r>
      <w:r>
        <w:t xml:space="preserve">Productivity </w:t>
      </w:r>
      <w:r w:rsidRPr="00C07474">
        <w:t xml:space="preserve">Commission has identified a package of </w:t>
      </w:r>
      <w:r>
        <w:t xml:space="preserve">changes </w:t>
      </w:r>
      <w:r w:rsidRPr="00C07474">
        <w:t xml:space="preserve">that </w:t>
      </w:r>
      <w:r>
        <w:t>are expected to</w:t>
      </w:r>
      <w:r w:rsidRPr="00C07474">
        <w:t xml:space="preserve"> improve the equity, efficiency</w:t>
      </w:r>
      <w:r>
        <w:t>,</w:t>
      </w:r>
      <w:r w:rsidRPr="00C07474">
        <w:t xml:space="preserve"> and transparency and accountability of the HFE system</w:t>
      </w:r>
      <w:r>
        <w:t xml:space="preserve"> (table 3)</w:t>
      </w:r>
      <w:r w:rsidRPr="00C07474">
        <w:t xml:space="preserve">. </w:t>
      </w:r>
    </w:p>
    <w:p w14:paraId="79549837" w14:textId="77777777" w:rsidR="00F05DC7" w:rsidRDefault="00F05DC7" w:rsidP="00A3786D">
      <w:pPr>
        <w:pStyle w:val="BodyText"/>
      </w:pPr>
      <w:r w:rsidRPr="00C07474">
        <w:t>Most of these improvements</w:t>
      </w:r>
      <w:r>
        <w:t xml:space="preserve"> are highly desirable (and should be the source of few, if any, serious objections)</w:t>
      </w:r>
      <w:r w:rsidRPr="000D42FE">
        <w:t xml:space="preserve"> </w:t>
      </w:r>
      <w:r>
        <w:t xml:space="preserve">and </w:t>
      </w:r>
      <w:r w:rsidRPr="000D42FE">
        <w:t xml:space="preserve">can be pursued </w:t>
      </w:r>
      <w:r>
        <w:t xml:space="preserve">now. First, there needs to be clear articulation of a </w:t>
      </w:r>
      <w:r w:rsidRPr="002B5320">
        <w:t>revised objective for HFE</w:t>
      </w:r>
      <w:r>
        <w:t>. This is an essential precursor to implementing the Commission’s proposed improvements to the way State fiscal capacities are assessed (namely, the use of simpler and more policy</w:t>
      </w:r>
      <w:r>
        <w:noBreakHyphen/>
        <w:t xml:space="preserve">neutral indicators and increases in materiality thresholds). Changes to HFE governance would be complementary to these changes and would help to establish the balance between equity and efficiency in practice, as well as increase accountability in the system. </w:t>
      </w:r>
    </w:p>
    <w:p w14:paraId="79549838" w14:textId="77777777" w:rsidR="00F05DC7" w:rsidRDefault="00F05DC7" w:rsidP="00A3786D">
      <w:pPr>
        <w:pStyle w:val="BodyText"/>
      </w:pPr>
      <w:r>
        <w:t xml:space="preserve">Additional benefits, but more controversy, will come from also adjusting the equalisation benchmark to ETA. This would help to address some of the broader equity and efficiency problems of the HFE system, particularly with respect to policy distortions for mining and disincentives faced by some States to develop their tax bases. </w:t>
      </w:r>
    </w:p>
    <w:p w14:paraId="79549839" w14:textId="77777777" w:rsidR="00F05DC7" w:rsidRPr="00ED54AB" w:rsidRDefault="00F05DC7" w:rsidP="00A3786D">
      <w:pPr>
        <w:pStyle w:val="Heading3"/>
      </w:pPr>
      <w:r>
        <w:t>Hastening slowly in the t</w:t>
      </w:r>
      <w:r w:rsidRPr="00CF591B">
        <w:t xml:space="preserve">ransition to </w:t>
      </w:r>
      <w:r>
        <w:t>the</w:t>
      </w:r>
      <w:r w:rsidRPr="00CF591B">
        <w:t xml:space="preserve"> </w:t>
      </w:r>
      <w:r>
        <w:t>new</w:t>
      </w:r>
      <w:r w:rsidRPr="00CF591B">
        <w:t xml:space="preserve"> </w:t>
      </w:r>
      <w:r>
        <w:t xml:space="preserve">equalisation </w:t>
      </w:r>
      <w:r w:rsidRPr="00CF591B">
        <w:t>benchmark</w:t>
      </w:r>
      <w:r w:rsidRPr="00ED54AB">
        <w:t xml:space="preserve"> </w:t>
      </w:r>
    </w:p>
    <w:p w14:paraId="7954983A" w14:textId="77777777" w:rsidR="00F05DC7" w:rsidRDefault="00F05DC7" w:rsidP="00A3786D">
      <w:pPr>
        <w:pStyle w:val="BodyText"/>
      </w:pPr>
      <w:r>
        <w:t xml:space="preserve">Any changes to the equalisation benchmark in the current fiscal environment will result in a smaller amount of GST redistributed away from EPC, and commensurately a material redistribution of GST payments to Western Australia and in some cases New South Wales at the expense of the other States. Any changes therefore need to be timed and implemented </w:t>
      </w:r>
      <w:r>
        <w:lastRenderedPageBreak/>
        <w:t xml:space="preserve">carefully over a transition period, to give States sufficient time to adjust, and in particular, to avoid materially disadvantaging the fiscally weaker States. </w:t>
      </w:r>
    </w:p>
    <w:p w14:paraId="7954983B" w14:textId="77777777" w:rsidR="00F05DC7" w:rsidRDefault="00F05DC7" w:rsidP="00A3786D">
      <w:pPr>
        <w:pStyle w:val="BodyText"/>
        <w:keepNext/>
      </w:pPr>
      <w:r>
        <w:t>Transition to ETA could be implemented in a number of ways, but any approach should be guided by a clear set of principles to help ensure that the transition:</w:t>
      </w:r>
    </w:p>
    <w:p w14:paraId="7954983C" w14:textId="77777777" w:rsidR="00F05DC7" w:rsidRDefault="00F05DC7" w:rsidP="00A3786D">
      <w:pPr>
        <w:pStyle w:val="ListBullet"/>
      </w:pPr>
      <w:r>
        <w:rPr>
          <w:i/>
        </w:rPr>
        <w:t>is manageable for</w:t>
      </w:r>
      <w:r w:rsidRPr="003D5820">
        <w:rPr>
          <w:i/>
        </w:rPr>
        <w:t xml:space="preserve"> </w:t>
      </w:r>
      <w:r>
        <w:rPr>
          <w:i/>
        </w:rPr>
        <w:t>State budgets</w:t>
      </w:r>
      <w:r>
        <w:t xml:space="preserve"> — States should be able to manage their budgets during the current forward estimates period and plan for changes over the longer term. There is no hard and fast rule on what is manageable but as a rule of thumb, States could be expected to manage a reduction in their GST payments (relative to what they expected to receive) of about 2 per cent of their total revenue from one year to the next </w:t>
      </w:r>
    </w:p>
    <w:p w14:paraId="7954983D" w14:textId="77777777" w:rsidR="00F05DC7" w:rsidRDefault="00F05DC7" w:rsidP="00A3786D">
      <w:pPr>
        <w:pStyle w:val="ListBullet"/>
      </w:pPr>
      <w:r>
        <w:rPr>
          <w:i/>
        </w:rPr>
        <w:t xml:space="preserve">is </w:t>
      </w:r>
      <w:r w:rsidRPr="003D5820">
        <w:rPr>
          <w:i/>
        </w:rPr>
        <w:t>fiscally</w:t>
      </w:r>
      <w:r>
        <w:rPr>
          <w:i/>
        </w:rPr>
        <w:t xml:space="preserve"> sustainable for all Governments </w:t>
      </w:r>
      <w:r w:rsidRPr="008A6C49">
        <w:t>—</w:t>
      </w:r>
      <w:r>
        <w:rPr>
          <w:i/>
        </w:rPr>
        <w:t xml:space="preserve"> </w:t>
      </w:r>
      <w:r w:rsidRPr="00BE266E">
        <w:t>the</w:t>
      </w:r>
      <w:r>
        <w:t xml:space="preserve"> most sustainable approach is for the transition to be funded through the GST pool, rather than from sources outside the pool, such as other Commonwealth payments. Any funding outside the pool should only be contemplated as part of an agreement on broader federal financial reform, and even then it should be time limited and have clear limits set around its magnitude </w:t>
      </w:r>
    </w:p>
    <w:p w14:paraId="7954983E" w14:textId="77777777" w:rsidR="00F05DC7" w:rsidRDefault="00F05DC7" w:rsidP="00A3786D">
      <w:pPr>
        <w:pStyle w:val="ListBullet"/>
      </w:pPr>
      <w:r w:rsidRPr="003D5820">
        <w:rPr>
          <w:i/>
        </w:rPr>
        <w:t>deliver</w:t>
      </w:r>
      <w:r>
        <w:rPr>
          <w:i/>
        </w:rPr>
        <w:t>s</w:t>
      </w:r>
      <w:r w:rsidRPr="003D5820">
        <w:rPr>
          <w:i/>
        </w:rPr>
        <w:t xml:space="preserve"> the benefits of reform in a timely manner</w:t>
      </w:r>
      <w:r>
        <w:t xml:space="preserve"> — although a lengthy</w:t>
      </w:r>
      <w:r w:rsidRPr="005E2BD3">
        <w:t xml:space="preserve"> transition path would </w:t>
      </w:r>
      <w:r>
        <w:t>benefit</w:t>
      </w:r>
      <w:r w:rsidRPr="005E2BD3">
        <w:t xml:space="preserve"> </w:t>
      </w:r>
      <w:r>
        <w:t xml:space="preserve">some </w:t>
      </w:r>
      <w:r w:rsidRPr="005E2BD3">
        <w:t xml:space="preserve">States, there are potential costs involved from deferring full implementation of the new benchmark. The transition </w:t>
      </w:r>
      <w:r>
        <w:t>needs to</w:t>
      </w:r>
      <w:r w:rsidRPr="005E2BD3">
        <w:t xml:space="preserve"> strike a balance between assisting States </w:t>
      </w:r>
      <w:r>
        <w:t>to</w:t>
      </w:r>
      <w:r w:rsidRPr="005E2BD3">
        <w:t xml:space="preserve"> </w:t>
      </w:r>
      <w:r>
        <w:t xml:space="preserve">manage a change in their GST </w:t>
      </w:r>
      <w:r w:rsidRPr="005E2BD3">
        <w:t xml:space="preserve">and capturing the benefits </w:t>
      </w:r>
      <w:r>
        <w:t>of</w:t>
      </w:r>
      <w:r w:rsidRPr="005E2BD3">
        <w:t xml:space="preserve"> reform.</w:t>
      </w:r>
    </w:p>
    <w:p w14:paraId="7954983F" w14:textId="77777777" w:rsidR="00F05DC7" w:rsidRDefault="00F05DC7" w:rsidP="00A3786D">
      <w:pPr>
        <w:spacing w:before="240" w:line="300" w:lineRule="atLeast"/>
        <w:jc w:val="both"/>
      </w:pPr>
      <w:r>
        <w:t>Regardless of the transition approach taken there is inevitable uncertainty in the potential future impacts. The Commission has adopted a simple, illustrative analysis to assess two possible transition paths to ETA, both beginning in 2019</w:t>
      </w:r>
      <w:r>
        <w:noBreakHyphen/>
        <w:t>20 — a four year transition and an eight year transition. The effect of the transition is to gradually spread the GST impacts of the change to ETA over these years, giving States time to adjust (figure 6).</w:t>
      </w:r>
    </w:p>
    <w:p w14:paraId="79549840" w14:textId="77777777" w:rsidR="00F05DC7" w:rsidRDefault="00F05DC7" w:rsidP="00A3786D">
      <w:pPr>
        <w:spacing w:before="240" w:line="300" w:lineRule="atLeast"/>
        <w:jc w:val="both"/>
      </w:pPr>
      <w:r>
        <w:t xml:space="preserve">The key assumptions underpinning the transition analysis were informed by consultation with the Commonwealth and State Treasuries. The Commission’s ‘best estimate’ uses Commonwealth Treasury MYEFO projections for growth in State populations and growth in the GST pool, and an average of the GST relativity forecasts provided by contributing State Treasuries. </w:t>
      </w:r>
    </w:p>
    <w:p w14:paraId="79549841" w14:textId="77777777" w:rsidR="00F05DC7" w:rsidRDefault="00F05DC7" w:rsidP="00A3786D">
      <w:pPr>
        <w:spacing w:before="240" w:line="300" w:lineRule="atLeast"/>
        <w:jc w:val="both"/>
        <w:rPr>
          <w:szCs w:val="20"/>
        </w:rPr>
      </w:pPr>
      <w:r>
        <w:rPr>
          <w:szCs w:val="20"/>
        </w:rPr>
        <w:t>Based on the analysis, it is judged that</w:t>
      </w:r>
      <w:r w:rsidRPr="005E2BD3">
        <w:rPr>
          <w:szCs w:val="20"/>
        </w:rPr>
        <w:t xml:space="preserve"> </w:t>
      </w:r>
      <w:r>
        <w:rPr>
          <w:szCs w:val="20"/>
        </w:rPr>
        <w:t>transition to ETA would be manageable over either a four or eight year timeframe.</w:t>
      </w:r>
      <w:r w:rsidRPr="005E2BD3">
        <w:rPr>
          <w:szCs w:val="20"/>
        </w:rPr>
        <w:t xml:space="preserve"> </w:t>
      </w:r>
      <w:r>
        <w:rPr>
          <w:szCs w:val="20"/>
        </w:rPr>
        <w:t>The</w:t>
      </w:r>
      <w:r w:rsidRPr="005E2BD3">
        <w:rPr>
          <w:szCs w:val="20"/>
        </w:rPr>
        <w:t xml:space="preserve"> Commission’s </w:t>
      </w:r>
      <w:r>
        <w:rPr>
          <w:szCs w:val="20"/>
        </w:rPr>
        <w:t>‘</w:t>
      </w:r>
      <w:r w:rsidRPr="005E2BD3">
        <w:rPr>
          <w:szCs w:val="20"/>
        </w:rPr>
        <w:t>best estimate</w:t>
      </w:r>
      <w:r>
        <w:rPr>
          <w:szCs w:val="20"/>
        </w:rPr>
        <w:t xml:space="preserve">’ (and alternative scenarios that take into account different GST relativities) show that between any two years, the amount by which any State will need to adjust its budget is less than 1 per cent of its total State revenue (figure 7). </w:t>
      </w:r>
    </w:p>
    <w:p w14:paraId="79549842" w14:textId="77777777" w:rsidR="00F05DC7" w:rsidRDefault="00F05DC7" w:rsidP="00A3786D">
      <w:pPr>
        <w:spacing w:before="240" w:line="300" w:lineRule="atLeast"/>
        <w:jc w:val="both"/>
        <w:rPr>
          <w:szCs w:val="20"/>
        </w:rPr>
      </w:pPr>
      <w:r>
        <w:rPr>
          <w:szCs w:val="20"/>
        </w:rPr>
        <w:t>However</w:t>
      </w:r>
      <w:r w:rsidRPr="005E2BD3">
        <w:rPr>
          <w:szCs w:val="20"/>
        </w:rPr>
        <w:t xml:space="preserve">, there </w:t>
      </w:r>
      <w:r>
        <w:rPr>
          <w:szCs w:val="20"/>
        </w:rPr>
        <w:t>are</w:t>
      </w:r>
      <w:r w:rsidRPr="005E2BD3">
        <w:rPr>
          <w:szCs w:val="20"/>
        </w:rPr>
        <w:t xml:space="preserve"> a large number of factors that </w:t>
      </w:r>
      <w:r>
        <w:rPr>
          <w:szCs w:val="20"/>
        </w:rPr>
        <w:t xml:space="preserve">could </w:t>
      </w:r>
      <w:r w:rsidRPr="005E2BD3">
        <w:rPr>
          <w:szCs w:val="20"/>
        </w:rPr>
        <w:t>affect GST payments</w:t>
      </w:r>
      <w:r>
        <w:rPr>
          <w:szCs w:val="20"/>
        </w:rPr>
        <w:t xml:space="preserve"> and State revenues</w:t>
      </w:r>
      <w:r w:rsidRPr="005E2BD3">
        <w:rPr>
          <w:szCs w:val="20"/>
        </w:rPr>
        <w:t xml:space="preserve"> </w:t>
      </w:r>
      <w:r>
        <w:rPr>
          <w:szCs w:val="20"/>
        </w:rPr>
        <w:t xml:space="preserve">that are not captured in this </w:t>
      </w:r>
      <w:r w:rsidRPr="005E2BD3">
        <w:rPr>
          <w:szCs w:val="20"/>
        </w:rPr>
        <w:t>analysis</w:t>
      </w:r>
      <w:r>
        <w:rPr>
          <w:szCs w:val="20"/>
        </w:rPr>
        <w:t xml:space="preserve">. Economic variables do not always evolve as expected and it is difficult to project how fiscal capacities will develop over time. Further, </w:t>
      </w:r>
      <w:r w:rsidRPr="005E2BD3">
        <w:rPr>
          <w:szCs w:val="20"/>
        </w:rPr>
        <w:t>States may encounter unforeseen o</w:t>
      </w:r>
      <w:r>
        <w:rPr>
          <w:szCs w:val="20"/>
        </w:rPr>
        <w:t>r exceptional events — f</w:t>
      </w:r>
      <w:r w:rsidRPr="005E2BD3">
        <w:rPr>
          <w:szCs w:val="20"/>
        </w:rPr>
        <w:t xml:space="preserve">or example, </w:t>
      </w:r>
      <w:r>
        <w:rPr>
          <w:szCs w:val="20"/>
        </w:rPr>
        <w:t>a large shock to a single State, such as a natural disaster, could result</w:t>
      </w:r>
      <w:r w:rsidRPr="005E2BD3">
        <w:rPr>
          <w:szCs w:val="20"/>
        </w:rPr>
        <w:t xml:space="preserve"> in its relative fiscal capacity being </w:t>
      </w:r>
      <w:r>
        <w:rPr>
          <w:szCs w:val="20"/>
        </w:rPr>
        <w:t xml:space="preserve">much </w:t>
      </w:r>
      <w:r w:rsidRPr="005E2BD3">
        <w:rPr>
          <w:szCs w:val="20"/>
        </w:rPr>
        <w:lastRenderedPageBreak/>
        <w:t xml:space="preserve">lower than </w:t>
      </w:r>
      <w:r>
        <w:rPr>
          <w:szCs w:val="20"/>
        </w:rPr>
        <w:t xml:space="preserve">currently expected. Such events could make the transition to ETA less (or indeed more, in the case of a positive shock) manageable than projected. </w:t>
      </w:r>
    </w:p>
    <w:p w14:paraId="79549843"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846" w14:textId="77777777" w:rsidTr="00A3786D">
        <w:trPr>
          <w:tblHeader/>
        </w:trPr>
        <w:tc>
          <w:tcPr>
            <w:tcW w:w="5000" w:type="pct"/>
            <w:tcBorders>
              <w:top w:val="single" w:sz="6" w:space="0" w:color="78A22F"/>
              <w:left w:val="nil"/>
              <w:bottom w:val="nil"/>
              <w:right w:val="nil"/>
            </w:tcBorders>
            <w:shd w:val="clear" w:color="auto" w:fill="auto"/>
          </w:tcPr>
          <w:p w14:paraId="79549844" w14:textId="77777777" w:rsidR="00F05DC7" w:rsidRDefault="00F05DC7" w:rsidP="00A3786D">
            <w:pPr>
              <w:pStyle w:val="FigureTitle"/>
            </w:pPr>
            <w:r w:rsidRPr="00784A05">
              <w:rPr>
                <w:b w:val="0"/>
              </w:rPr>
              <w:t>Figure</w:t>
            </w:r>
            <w:r>
              <w:rPr>
                <w:b w:val="0"/>
              </w:rPr>
              <w:t xml:space="preserve"> 6</w:t>
            </w:r>
            <w:r>
              <w:tab/>
              <w:t>Two transition paths to ETA: phasing GST impacts over time</w:t>
            </w:r>
          </w:p>
          <w:p w14:paraId="79549845" w14:textId="77777777" w:rsidR="00F05DC7" w:rsidRPr="00176D3F" w:rsidRDefault="00F05DC7" w:rsidP="00A3786D">
            <w:pPr>
              <w:pStyle w:val="Subtitle"/>
            </w:pPr>
            <w:r>
              <w:t>Change in GST payments (relative to the current benchmark) as a share of State revenue, best estimate scenario, 2019</w:t>
            </w:r>
            <w:r>
              <w:noBreakHyphen/>
              <w:t>20 to 2026</w:t>
            </w:r>
            <w:r>
              <w:noBreakHyphen/>
              <w:t>27</w:t>
            </w:r>
          </w:p>
        </w:tc>
      </w:tr>
      <w:tr w:rsidR="00F05DC7" w14:paraId="7954984C"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984A" w14:textId="77777777" w:rsidTr="00A3786D">
              <w:trPr>
                <w:tblHeader/>
                <w:jc w:val="center"/>
              </w:trPr>
              <w:tc>
                <w:tcPr>
                  <w:tcW w:w="5000" w:type="pct"/>
                  <w:tcBorders>
                    <w:top w:val="nil"/>
                    <w:bottom w:val="nil"/>
                  </w:tcBorders>
                </w:tcPr>
                <w:p w14:paraId="79549849" w14:textId="0347AFE8" w:rsidR="00F05DC7" w:rsidRPr="00B1465D" w:rsidRDefault="00CF57C9" w:rsidP="00A3786D">
                  <w:pPr>
                    <w:pStyle w:val="Figure"/>
                    <w:spacing w:before="60" w:after="60"/>
                    <w:rPr>
                      <w:rFonts w:ascii="Arial" w:hAnsi="Arial" w:cs="Arial"/>
                      <w:sz w:val="18"/>
                      <w:szCs w:val="18"/>
                    </w:rPr>
                  </w:pPr>
                  <w:r w:rsidRPr="00CF57C9">
                    <w:rPr>
                      <w:rFonts w:ascii="Arial" w:hAnsi="Arial" w:cs="Arial"/>
                      <w:noProof/>
                      <w:sz w:val="18"/>
                      <w:szCs w:val="18"/>
                    </w:rPr>
                    <w:drawing>
                      <wp:inline distT="0" distB="0" distL="0" distR="0" wp14:anchorId="53E93B94" wp14:editId="36700B89">
                        <wp:extent cx="5439410" cy="4751070"/>
                        <wp:effectExtent l="0" t="0" r="8890" b="0"/>
                        <wp:docPr id="187" name="Picture 187" descr="Under a four year transition to equalising to the average, New South Wales experiences a gain in GST payments (and therefore State revenue) of just over 2 per cent by 2022-23. Under an eight year transition, the revenue gains are smaller, reaching a maximum of nearly 2 per cent by 2026-27.&#10;For Victoria, the largest reduction in its revenue under a four transition occurs in 2022-23, when State revenue falls by 1.25 per cent. With an eight year transition, the largest decline is 0.64 per cent of State revenue.&#10;Queensland’s revenue declines under a four year transition by a maximum of 2.72 per cent in any one year. The maximum decline under an eight year transition is 2.70 per cent.&#10;Western Australia experiences a maximum total revenue gain in any one year of 5.17 per cent under a four year transition. For an eight year transition, the maximum gain is 3.11 per cent.&#10;South Australia experiences revenue reductions similar to Queensland on the transition to equalising to the average.&#10;Tasmania experience a similar profile of revenue changes to Queensland and South Australia under a movement towards equalisation to the average. &#10;The ACT undergoes a revenue decline similar to other smaller States under a transition towards equalising to the average. &#10;The Northern Territory has a maximum reduction in State revenue in any one year of 1.29 per cent under a four year transition to equalising to the average. The maximum reduction under a four year transition is 1.2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39410" cy="4751070"/>
                                </a:xfrm>
                                <a:prstGeom prst="rect">
                                  <a:avLst/>
                                </a:prstGeom>
                                <a:noFill/>
                                <a:ln>
                                  <a:noFill/>
                                </a:ln>
                              </pic:spPr>
                            </pic:pic>
                          </a:graphicData>
                        </a:graphic>
                      </wp:inline>
                    </w:drawing>
                  </w:r>
                </w:p>
              </w:tc>
            </w:tr>
          </w:tbl>
          <w:p w14:paraId="7954984B" w14:textId="77777777" w:rsidR="00F05DC7" w:rsidRDefault="00F05DC7" w:rsidP="00A3786D">
            <w:pPr>
              <w:pStyle w:val="Figure"/>
            </w:pPr>
          </w:p>
        </w:tc>
      </w:tr>
      <w:tr w:rsidR="00F05DC7" w14:paraId="7954984E" w14:textId="77777777" w:rsidTr="00A3786D">
        <w:tc>
          <w:tcPr>
            <w:tcW w:w="5000" w:type="pct"/>
            <w:tcBorders>
              <w:top w:val="nil"/>
              <w:left w:val="nil"/>
              <w:bottom w:val="single" w:sz="6" w:space="0" w:color="78A22F"/>
              <w:right w:val="nil"/>
            </w:tcBorders>
            <w:shd w:val="clear" w:color="auto" w:fill="auto"/>
          </w:tcPr>
          <w:p w14:paraId="7954984D" w14:textId="77777777" w:rsidR="00F05DC7" w:rsidRDefault="00F05DC7" w:rsidP="00A3786D">
            <w:pPr>
              <w:pStyle w:val="Figurespace"/>
            </w:pPr>
          </w:p>
        </w:tc>
      </w:tr>
      <w:tr w:rsidR="00F05DC7" w:rsidRPr="000863A5" w14:paraId="79549850" w14:textId="77777777" w:rsidTr="00A3786D">
        <w:tc>
          <w:tcPr>
            <w:tcW w:w="5000" w:type="pct"/>
            <w:tcBorders>
              <w:top w:val="single" w:sz="6" w:space="0" w:color="78A22F"/>
              <w:left w:val="nil"/>
              <w:bottom w:val="nil"/>
              <w:right w:val="nil"/>
            </w:tcBorders>
          </w:tcPr>
          <w:p w14:paraId="7954984F" w14:textId="77777777" w:rsidR="00F05DC7" w:rsidRPr="00626D32" w:rsidRDefault="00F05DC7" w:rsidP="00A3786D">
            <w:pPr>
              <w:pStyle w:val="BoxSpaceBelow"/>
            </w:pPr>
          </w:p>
        </w:tc>
      </w:tr>
    </w:tbl>
    <w:p w14:paraId="79549851" w14:textId="77777777" w:rsidR="00F05DC7" w:rsidRPr="005E2BD3" w:rsidRDefault="00F05DC7" w:rsidP="00A3786D">
      <w:pPr>
        <w:spacing w:before="240" w:line="300" w:lineRule="atLeast"/>
        <w:jc w:val="both"/>
        <w:rPr>
          <w:szCs w:val="20"/>
        </w:rPr>
      </w:pPr>
      <w:r w:rsidRPr="005E2BD3">
        <w:rPr>
          <w:szCs w:val="20"/>
        </w:rPr>
        <w:t xml:space="preserve">An eight year transition </w:t>
      </w:r>
      <w:r>
        <w:rPr>
          <w:szCs w:val="20"/>
        </w:rPr>
        <w:t>path</w:t>
      </w:r>
      <w:r w:rsidRPr="005E2BD3">
        <w:rPr>
          <w:szCs w:val="20"/>
        </w:rPr>
        <w:t xml:space="preserve"> </w:t>
      </w:r>
      <w:r>
        <w:rPr>
          <w:szCs w:val="20"/>
        </w:rPr>
        <w:t xml:space="preserve">gives States </w:t>
      </w:r>
      <w:r w:rsidRPr="005E2BD3">
        <w:rPr>
          <w:szCs w:val="20"/>
        </w:rPr>
        <w:t>considerable</w:t>
      </w:r>
      <w:r>
        <w:rPr>
          <w:szCs w:val="20"/>
        </w:rPr>
        <w:t xml:space="preserve"> time to adjust and provides</w:t>
      </w:r>
      <w:r w:rsidRPr="005E2BD3">
        <w:rPr>
          <w:szCs w:val="20"/>
        </w:rPr>
        <w:t xml:space="preserve"> latitude to deal with </w:t>
      </w:r>
      <w:r>
        <w:rPr>
          <w:szCs w:val="20"/>
        </w:rPr>
        <w:t>unexpected changes in States’ fiscal capacities, although it would delay the potential benefits of the change compared to a four year transition. That said, the costs of delay would be largely borne by the State(s) that stand to benefit the most: Western Australia and to a lesser extent New South Wales. These States (especially Western Australia as the initial primary beneficiary) could essentially ‘fund’ the transition to ETA by a transition path that ‘hastens slowly’.</w:t>
      </w:r>
      <w:r w:rsidRPr="005E2BD3">
        <w:rPr>
          <w:szCs w:val="20"/>
        </w:rPr>
        <w:t xml:space="preserve"> </w:t>
      </w:r>
      <w:r>
        <w:rPr>
          <w:szCs w:val="20"/>
        </w:rPr>
        <w:t xml:space="preserve">An eight year transition would also </w:t>
      </w:r>
      <w:r w:rsidRPr="005E2BD3">
        <w:rPr>
          <w:szCs w:val="20"/>
        </w:rPr>
        <w:t>significantly reduce the potential need for funding to be provided to St</w:t>
      </w:r>
      <w:r>
        <w:rPr>
          <w:szCs w:val="20"/>
        </w:rPr>
        <w:t>ates from outside the GST pool.</w:t>
      </w:r>
    </w:p>
    <w:p w14:paraId="79549852"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855" w14:textId="77777777" w:rsidTr="00A3786D">
        <w:trPr>
          <w:tblHeader/>
        </w:trPr>
        <w:tc>
          <w:tcPr>
            <w:tcW w:w="5000" w:type="pct"/>
            <w:tcBorders>
              <w:top w:val="single" w:sz="6" w:space="0" w:color="78A22F"/>
              <w:left w:val="nil"/>
              <w:bottom w:val="nil"/>
              <w:right w:val="nil"/>
            </w:tcBorders>
            <w:shd w:val="clear" w:color="auto" w:fill="auto"/>
          </w:tcPr>
          <w:p w14:paraId="79549853" w14:textId="77777777" w:rsidR="00F05DC7" w:rsidRDefault="00F05DC7" w:rsidP="00A3786D">
            <w:pPr>
              <w:pStyle w:val="FigureTitle"/>
            </w:pPr>
            <w:r w:rsidRPr="00784A05">
              <w:rPr>
                <w:b w:val="0"/>
              </w:rPr>
              <w:t xml:space="preserve">Figure </w:t>
            </w:r>
            <w:r>
              <w:rPr>
                <w:b w:val="0"/>
              </w:rPr>
              <w:t>7</w:t>
            </w:r>
            <w:r>
              <w:tab/>
              <w:t>Transitioning to ETA: the year-on-year impacts on State budgets are likely to prove manageable</w:t>
            </w:r>
          </w:p>
          <w:p w14:paraId="79549854" w14:textId="77777777" w:rsidR="00F05DC7" w:rsidRPr="00176D3F" w:rsidRDefault="00F05DC7" w:rsidP="00A3786D">
            <w:pPr>
              <w:pStyle w:val="Subtitle"/>
            </w:pPr>
            <w:r>
              <w:t>Year</w:t>
            </w:r>
            <w:r>
              <w:noBreakHyphen/>
              <w:t>on</w:t>
            </w:r>
            <w:r>
              <w:noBreakHyphen/>
              <w:t>year change (incremental change from previous year) in GST payments (relative to the current benchmark) as a share of State revenue, best estimate scenario, 2019</w:t>
            </w:r>
            <w:r>
              <w:noBreakHyphen/>
              <w:t>20 to 2026</w:t>
            </w:r>
            <w:r>
              <w:noBreakHyphen/>
              <w:t>27</w:t>
            </w:r>
          </w:p>
        </w:tc>
      </w:tr>
      <w:tr w:rsidR="00F05DC7" w14:paraId="7954985A" w14:textId="77777777" w:rsidTr="00A3786D">
        <w:tc>
          <w:tcPr>
            <w:tcW w:w="5000" w:type="pct"/>
            <w:tcBorders>
              <w:top w:val="nil"/>
              <w:left w:val="nil"/>
              <w:bottom w:val="nil"/>
              <w:right w:val="nil"/>
            </w:tcBorders>
            <w:shd w:val="clear" w:color="auto" w:fill="auto"/>
            <w:tcMar>
              <w:top w:w="28" w:type="dxa"/>
              <w:bottom w:w="28" w:type="dxa"/>
            </w:tcMar>
          </w:tcPr>
          <w:p w14:paraId="79549859" w14:textId="15904C3B" w:rsidR="00F05DC7" w:rsidRPr="00CF57C9" w:rsidRDefault="00CF57C9" w:rsidP="00CF57C9">
            <w:pPr>
              <w:pStyle w:val="Figure"/>
              <w:spacing w:before="60" w:after="60"/>
              <w:jc w:val="left"/>
              <w:rPr>
                <w:rFonts w:ascii="Arial" w:hAnsi="Arial" w:cs="Arial"/>
                <w:sz w:val="18"/>
                <w:szCs w:val="18"/>
              </w:rPr>
            </w:pPr>
            <w:r w:rsidRPr="00CF57C9">
              <w:rPr>
                <w:noProof/>
              </w:rPr>
              <w:drawing>
                <wp:inline distT="0" distB="0" distL="0" distR="0" wp14:anchorId="72CA0C62" wp14:editId="38D06888">
                  <wp:extent cx="5439410" cy="4836160"/>
                  <wp:effectExtent l="0" t="0" r="8890" b="2540"/>
                  <wp:docPr id="188" name="Picture 188" descr="Under a four year transition to equalising to the average, New South Wales experiences year on year changes in GST payments of about 0.5 per cent over the period 2019-20 to 2022-23. Under an eight year transition, the year on year change in GST payments remain flat at about 0.25 per cent.&#10;For Victoria, the largest year on year change in GST payments under a four year transition occurs in 2019-20 (a reduction of 0.42 per cent). With an eight year transition, the largest decline occurs in 2019-2020 (0.2 per cent) before increasing gradually and returning to a positive value of around 0.11% by 2026-27)&#10;For Queensland, the largest year on year change in GST payments under a four year transition occurs in 2022-23 (a reduction of 0.81 per cent). With an eight year transition, the year on year change in GST payments remains flat at about negative 0.35 per cet.&#10;For Western Australia the largest year on year change in GST payments under a four year transition occurs in 2019-2020 (an increase of 1.76 per cent). With an eight year transition path the largest increase occurs in 2019-20 (about 0.8 per cent) before gradually declining to 0.31 per cent by 2026-27.&#10;For South Australia the largest year on year change in GST payments under a four year transition occurs in 2022-23 (a reduction of 0.82 per cent). With an eight year transition, the year on year change in GST payments remains flat at about negative 0.35 per cet.&#10;For Tasmania the largest year on year change in GST payments under a four year transition occurs in 2022-23 (a reduction of  0.8 per cent). With an eight year transition, the year on year change in GST payments remains flat at about  negative 0.35 per cet.&#10;For the ACT the largest year on year change in GST payments under a four year transition occurs in 2022-23 (a reduction of about 0.67 per cent). With an eight year transition, the year on year change in GST payments remains flat at about negative 0.3 per cet.&#10;For the Northern Territory the largest year on year change in GST payments under a four year transition occurs in 2022-23 (a reduction of 0.37 per cent). With an eight year transition, the year on year change in GST payments remains flat at about negative 0.2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39410" cy="4836160"/>
                          </a:xfrm>
                          <a:prstGeom prst="rect">
                            <a:avLst/>
                          </a:prstGeom>
                          <a:noFill/>
                          <a:ln>
                            <a:noFill/>
                          </a:ln>
                        </pic:spPr>
                      </pic:pic>
                    </a:graphicData>
                  </a:graphic>
                </wp:inline>
              </w:drawing>
            </w:r>
          </w:p>
        </w:tc>
      </w:tr>
      <w:tr w:rsidR="00F05DC7" w14:paraId="7954985C" w14:textId="77777777" w:rsidTr="00A3786D">
        <w:tc>
          <w:tcPr>
            <w:tcW w:w="5000" w:type="pct"/>
            <w:tcBorders>
              <w:top w:val="nil"/>
              <w:left w:val="nil"/>
              <w:bottom w:val="single" w:sz="6" w:space="0" w:color="78A22F"/>
              <w:right w:val="nil"/>
            </w:tcBorders>
            <w:shd w:val="clear" w:color="auto" w:fill="auto"/>
          </w:tcPr>
          <w:p w14:paraId="7954985B" w14:textId="77777777" w:rsidR="00F05DC7" w:rsidRDefault="00F05DC7" w:rsidP="00A3786D">
            <w:pPr>
              <w:pStyle w:val="Figurespace"/>
            </w:pPr>
          </w:p>
        </w:tc>
      </w:tr>
      <w:tr w:rsidR="00F05DC7" w:rsidRPr="000863A5" w14:paraId="7954985E" w14:textId="77777777" w:rsidTr="00A3786D">
        <w:tc>
          <w:tcPr>
            <w:tcW w:w="5000" w:type="pct"/>
            <w:tcBorders>
              <w:top w:val="single" w:sz="6" w:space="0" w:color="78A22F"/>
              <w:left w:val="nil"/>
              <w:bottom w:val="nil"/>
              <w:right w:val="nil"/>
            </w:tcBorders>
          </w:tcPr>
          <w:p w14:paraId="7954985D" w14:textId="77777777" w:rsidR="00F05DC7" w:rsidRPr="00626D32" w:rsidRDefault="00F05DC7" w:rsidP="00A3786D">
            <w:pPr>
              <w:pStyle w:val="BoxSpaceBelow"/>
            </w:pPr>
          </w:p>
        </w:tc>
      </w:tr>
    </w:tbl>
    <w:p w14:paraId="7954985F" w14:textId="77777777" w:rsidR="00F05DC7" w:rsidRDefault="00F05DC7" w:rsidP="00A3786D">
      <w:pPr>
        <w:spacing w:before="240" w:line="300" w:lineRule="atLeast"/>
        <w:jc w:val="both"/>
        <w:rPr>
          <w:szCs w:val="20"/>
        </w:rPr>
      </w:pPr>
      <w:r>
        <w:rPr>
          <w:szCs w:val="20"/>
        </w:rPr>
        <w:t xml:space="preserve">A longer transition path also </w:t>
      </w:r>
      <w:r w:rsidRPr="005E2BD3">
        <w:rPr>
          <w:szCs w:val="20"/>
        </w:rPr>
        <w:t xml:space="preserve">provides </w:t>
      </w:r>
      <w:r>
        <w:rPr>
          <w:szCs w:val="20"/>
        </w:rPr>
        <w:t xml:space="preserve">a greater window </w:t>
      </w:r>
      <w:r w:rsidRPr="005E2BD3">
        <w:rPr>
          <w:szCs w:val="20"/>
        </w:rPr>
        <w:t xml:space="preserve">for the States and the Commonwealth to </w:t>
      </w:r>
      <w:r>
        <w:rPr>
          <w:szCs w:val="20"/>
        </w:rPr>
        <w:t xml:space="preserve">substantively revisit </w:t>
      </w:r>
      <w:r w:rsidRPr="005E2BD3">
        <w:rPr>
          <w:szCs w:val="20"/>
        </w:rPr>
        <w:t>broader reforms to federal</w:t>
      </w:r>
      <w:r>
        <w:rPr>
          <w:szCs w:val="20"/>
        </w:rPr>
        <w:t xml:space="preserve"> </w:t>
      </w:r>
      <w:r w:rsidRPr="005E2BD3">
        <w:rPr>
          <w:szCs w:val="20"/>
        </w:rPr>
        <w:t>financial relations</w:t>
      </w:r>
      <w:r>
        <w:rPr>
          <w:szCs w:val="20"/>
        </w:rPr>
        <w:t xml:space="preserve">, which could potentially alleviate any residual ongoing fiscal impacts on the States from the new benchmark. Indeed, during this inquiry all States were united on one single policy endeavour — the need for substantive reform to federal financial relations. The Productivity Commission views such policy endeavour as timely, benefitting from the input of the newly formed Board of Treasurers, with the prospect of </w:t>
      </w:r>
      <w:r w:rsidRPr="005E2BD3">
        <w:rPr>
          <w:szCs w:val="20"/>
        </w:rPr>
        <w:t xml:space="preserve">larger </w:t>
      </w:r>
      <w:r>
        <w:rPr>
          <w:szCs w:val="20"/>
        </w:rPr>
        <w:t xml:space="preserve">ongoing economic </w:t>
      </w:r>
      <w:r w:rsidRPr="005E2BD3">
        <w:rPr>
          <w:szCs w:val="20"/>
        </w:rPr>
        <w:t>benefits</w:t>
      </w:r>
      <w:r>
        <w:rPr>
          <w:szCs w:val="20"/>
        </w:rPr>
        <w:t xml:space="preserve"> for all Australians.</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05DC7" w:rsidRPr="00784A05" w14:paraId="79549862" w14:textId="77777777" w:rsidTr="00A3786D">
        <w:trPr>
          <w:tblHeader/>
        </w:trPr>
        <w:tc>
          <w:tcPr>
            <w:tcW w:w="5000" w:type="pct"/>
            <w:tcBorders>
              <w:top w:val="single" w:sz="6" w:space="0" w:color="78A22F"/>
              <w:left w:val="nil"/>
              <w:bottom w:val="nil"/>
              <w:right w:val="nil"/>
            </w:tcBorders>
            <w:shd w:val="clear" w:color="auto" w:fill="auto"/>
          </w:tcPr>
          <w:p w14:paraId="79549861" w14:textId="77777777" w:rsidR="00F05DC7" w:rsidRPr="00784A05" w:rsidRDefault="00F05DC7" w:rsidP="00A3786D">
            <w:pPr>
              <w:pStyle w:val="TableTitle"/>
            </w:pPr>
            <w:r>
              <w:rPr>
                <w:b w:val="0"/>
              </w:rPr>
              <w:lastRenderedPageBreak/>
              <w:t>Table 3</w:t>
            </w:r>
            <w:r>
              <w:tab/>
              <w:t>A package of changes to improve the HFE system</w:t>
            </w:r>
          </w:p>
        </w:tc>
      </w:tr>
      <w:tr w:rsidR="00F05DC7" w14:paraId="7954989C"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59"/>
              <w:gridCol w:w="2812"/>
              <w:gridCol w:w="2834"/>
            </w:tblGrid>
            <w:tr w:rsidR="00F05DC7" w14:paraId="79549866" w14:textId="77777777" w:rsidTr="00A3786D">
              <w:trPr>
                <w:tblHeader/>
              </w:trPr>
              <w:tc>
                <w:tcPr>
                  <w:tcW w:w="1681" w:type="pct"/>
                  <w:tcBorders>
                    <w:top w:val="single" w:sz="6" w:space="0" w:color="BFBFBF"/>
                    <w:bottom w:val="single" w:sz="6" w:space="0" w:color="BFBFBF"/>
                  </w:tcBorders>
                  <w:shd w:val="clear" w:color="auto" w:fill="auto"/>
                  <w:tcMar>
                    <w:top w:w="28" w:type="dxa"/>
                  </w:tcMar>
                </w:tcPr>
                <w:p w14:paraId="79549863" w14:textId="77777777" w:rsidR="00F05DC7" w:rsidRDefault="00F05DC7" w:rsidP="00A3786D">
                  <w:pPr>
                    <w:pStyle w:val="TableColumnHeading"/>
                    <w:jc w:val="left"/>
                  </w:pPr>
                  <w:r>
                    <w:t>Problem to be addressed</w:t>
                  </w:r>
                </w:p>
              </w:tc>
              <w:tc>
                <w:tcPr>
                  <w:tcW w:w="1653" w:type="pct"/>
                  <w:tcBorders>
                    <w:top w:val="single" w:sz="6" w:space="0" w:color="BFBFBF"/>
                    <w:bottom w:val="single" w:sz="6" w:space="0" w:color="BFBFBF"/>
                  </w:tcBorders>
                </w:tcPr>
                <w:p w14:paraId="79549864" w14:textId="77777777" w:rsidR="00F05DC7" w:rsidRDefault="00F05DC7" w:rsidP="00A3786D">
                  <w:pPr>
                    <w:pStyle w:val="TableColumnHeading"/>
                    <w:jc w:val="left"/>
                  </w:pPr>
                  <w:r>
                    <w:t>Proposed change</w:t>
                  </w:r>
                </w:p>
              </w:tc>
              <w:tc>
                <w:tcPr>
                  <w:tcW w:w="1666" w:type="pct"/>
                  <w:tcBorders>
                    <w:top w:val="single" w:sz="6" w:space="0" w:color="BFBFBF"/>
                    <w:bottom w:val="single" w:sz="6" w:space="0" w:color="BFBFBF"/>
                  </w:tcBorders>
                  <w:shd w:val="clear" w:color="auto" w:fill="auto"/>
                  <w:tcMar>
                    <w:top w:w="28" w:type="dxa"/>
                  </w:tcMar>
                </w:tcPr>
                <w:p w14:paraId="79549865" w14:textId="77777777" w:rsidR="00F05DC7" w:rsidRDefault="00F05DC7" w:rsidP="00A3786D">
                  <w:pPr>
                    <w:pStyle w:val="TableColumnHeading"/>
                    <w:jc w:val="left"/>
                  </w:pPr>
                  <w:r>
                    <w:t>Main benefits of change</w:t>
                  </w:r>
                </w:p>
              </w:tc>
            </w:tr>
            <w:tr w:rsidR="00F05DC7" w14:paraId="79549868" w14:textId="77777777" w:rsidTr="00A3786D">
              <w:tc>
                <w:tcPr>
                  <w:tcW w:w="5000" w:type="pct"/>
                  <w:gridSpan w:val="3"/>
                  <w:tcBorders>
                    <w:top w:val="single" w:sz="6" w:space="0" w:color="BFBFBF"/>
                    <w:bottom w:val="single" w:sz="4" w:space="0" w:color="BFBFBF" w:themeColor="background1" w:themeShade="BF"/>
                  </w:tcBorders>
                  <w:shd w:val="clear" w:color="auto" w:fill="F2F2F2" w:themeFill="background1" w:themeFillShade="F2"/>
                </w:tcPr>
                <w:p w14:paraId="79549867" w14:textId="77777777" w:rsidR="00F05DC7" w:rsidRPr="00C252A3" w:rsidRDefault="00F05DC7" w:rsidP="00A3786D">
                  <w:pPr>
                    <w:pStyle w:val="TableUnitsRow"/>
                    <w:jc w:val="left"/>
                    <w:rPr>
                      <w:b/>
                    </w:rPr>
                  </w:pPr>
                  <w:r>
                    <w:rPr>
                      <w:b/>
                    </w:rPr>
                    <w:t xml:space="preserve">Revising the </w:t>
                  </w:r>
                  <w:r w:rsidRPr="00C252A3">
                    <w:rPr>
                      <w:b/>
                    </w:rPr>
                    <w:t xml:space="preserve">objective </w:t>
                  </w:r>
                  <w:r>
                    <w:rPr>
                      <w:b/>
                    </w:rPr>
                    <w:t>for</w:t>
                  </w:r>
                  <w:r w:rsidRPr="00C252A3">
                    <w:rPr>
                      <w:b/>
                    </w:rPr>
                    <w:t xml:space="preserve"> HFE</w:t>
                  </w:r>
                  <w:r w:rsidRPr="00A20A31">
                    <w:rPr>
                      <w:i/>
                    </w:rPr>
                    <w:t xml:space="preserve"> </w:t>
                  </w:r>
                  <w:r>
                    <w:rPr>
                      <w:i/>
                    </w:rPr>
                    <w:t>— r</w:t>
                  </w:r>
                  <w:r w:rsidRPr="00A20A31">
                    <w:rPr>
                      <w:i/>
                    </w:rPr>
                    <w:t xml:space="preserve">efining the objective to allow for the HFE system to provide a better balance between </w:t>
                  </w:r>
                  <w:r>
                    <w:rPr>
                      <w:i/>
                    </w:rPr>
                    <w:t xml:space="preserve">fiscal </w:t>
                  </w:r>
                  <w:r w:rsidRPr="00A20A31">
                    <w:rPr>
                      <w:i/>
                    </w:rPr>
                    <w:t>equ</w:t>
                  </w:r>
                  <w:r>
                    <w:rPr>
                      <w:i/>
                    </w:rPr>
                    <w:t>al</w:t>
                  </w:r>
                  <w:r w:rsidRPr="00A20A31">
                    <w:rPr>
                      <w:i/>
                    </w:rPr>
                    <w:t>ity and efficiency</w:t>
                  </w:r>
                </w:p>
              </w:tc>
            </w:tr>
            <w:tr w:rsidR="00F05DC7" w14:paraId="7954986C" w14:textId="77777777" w:rsidTr="00A3786D">
              <w:tc>
                <w:tcPr>
                  <w:tcW w:w="1681" w:type="pct"/>
                  <w:tcBorders>
                    <w:top w:val="single" w:sz="4" w:space="0" w:color="BFBFBF" w:themeColor="background1" w:themeShade="BF"/>
                  </w:tcBorders>
                </w:tcPr>
                <w:p w14:paraId="79549869" w14:textId="77777777" w:rsidR="00F05DC7" w:rsidRDefault="00F05DC7" w:rsidP="00A3786D">
                  <w:pPr>
                    <w:pStyle w:val="TableBodyText"/>
                    <w:jc w:val="left"/>
                  </w:pPr>
                  <w:r>
                    <w:t xml:space="preserve">A narrow interpretation of equity — fiscal equality is pursued above all else, at the expense of fairness and efficiency. </w:t>
                  </w:r>
                </w:p>
              </w:tc>
              <w:tc>
                <w:tcPr>
                  <w:tcW w:w="1653" w:type="pct"/>
                  <w:tcBorders>
                    <w:top w:val="single" w:sz="4" w:space="0" w:color="BFBFBF" w:themeColor="background1" w:themeShade="BF"/>
                  </w:tcBorders>
                </w:tcPr>
                <w:p w14:paraId="7954986A" w14:textId="77777777" w:rsidR="00F05DC7" w:rsidRDefault="00F05DC7" w:rsidP="00A3786D">
                  <w:pPr>
                    <w:pStyle w:val="TableBodyText"/>
                    <w:jc w:val="left"/>
                  </w:pPr>
                  <w:r>
                    <w:t>Reframe the objective of HFE to enable a ‘reasonable standard’ of services (rec. 6.1).</w:t>
                  </w:r>
                </w:p>
              </w:tc>
              <w:tc>
                <w:tcPr>
                  <w:tcW w:w="1666" w:type="pct"/>
                  <w:tcBorders>
                    <w:top w:val="single" w:sz="4" w:space="0" w:color="BFBFBF" w:themeColor="background1" w:themeShade="BF"/>
                  </w:tcBorders>
                </w:tcPr>
                <w:p w14:paraId="7954986B" w14:textId="77777777" w:rsidR="00F05DC7" w:rsidRDefault="00F05DC7" w:rsidP="00A3786D">
                  <w:pPr>
                    <w:pStyle w:val="TableBodyText"/>
                    <w:jc w:val="left"/>
                  </w:pPr>
                  <w:r>
                    <w:t>Provide a better balance of HFE objectives — fiscal equality, fairness and efficiency.</w:t>
                  </w:r>
                </w:p>
              </w:tc>
            </w:tr>
            <w:tr w:rsidR="00F05DC7" w14:paraId="79549870" w14:textId="77777777" w:rsidTr="00A3786D">
              <w:tc>
                <w:tcPr>
                  <w:tcW w:w="1681" w:type="pct"/>
                  <w:tcBorders>
                    <w:bottom w:val="single" w:sz="4" w:space="0" w:color="BFBFBF" w:themeColor="background1" w:themeShade="BF"/>
                  </w:tcBorders>
                </w:tcPr>
                <w:p w14:paraId="7954986D" w14:textId="77777777" w:rsidR="00F05DC7" w:rsidRDefault="00F05DC7" w:rsidP="00A3786D">
                  <w:pPr>
                    <w:pStyle w:val="TableBodyText"/>
                    <w:jc w:val="left"/>
                  </w:pPr>
                  <w:r>
                    <w:t xml:space="preserve">Leadership by the C’wlth Government on the objective is missing. </w:t>
                  </w:r>
                </w:p>
              </w:tc>
              <w:tc>
                <w:tcPr>
                  <w:tcW w:w="1653" w:type="pct"/>
                  <w:tcBorders>
                    <w:bottom w:val="single" w:sz="4" w:space="0" w:color="BFBFBF" w:themeColor="background1" w:themeShade="BF"/>
                  </w:tcBorders>
                </w:tcPr>
                <w:p w14:paraId="7954986E" w14:textId="77777777" w:rsidR="00F05DC7" w:rsidRDefault="00F05DC7" w:rsidP="00A3786D">
                  <w:pPr>
                    <w:pStyle w:val="TableBodyText"/>
                    <w:jc w:val="left"/>
                  </w:pPr>
                  <w:r>
                    <w:t>Clear articulation by the C’wlth Government of the objective (rec. 6.1).</w:t>
                  </w:r>
                </w:p>
              </w:tc>
              <w:tc>
                <w:tcPr>
                  <w:tcW w:w="1666" w:type="pct"/>
                  <w:tcBorders>
                    <w:bottom w:val="single" w:sz="4" w:space="0" w:color="BFBFBF" w:themeColor="background1" w:themeShade="BF"/>
                  </w:tcBorders>
                </w:tcPr>
                <w:p w14:paraId="7954986F" w14:textId="77777777" w:rsidR="00F05DC7" w:rsidRDefault="00F05DC7" w:rsidP="00A3786D">
                  <w:pPr>
                    <w:pStyle w:val="TableBodyText"/>
                    <w:jc w:val="left"/>
                  </w:pPr>
                  <w:r>
                    <w:t xml:space="preserve">Condition community and State expectations and improve confidence in the system. </w:t>
                  </w:r>
                </w:p>
              </w:tc>
            </w:tr>
            <w:tr w:rsidR="00F05DC7" w:rsidRPr="00D30978" w14:paraId="79549872" w14:textId="77777777" w:rsidTr="00A3786D">
              <w:tc>
                <w:tcPr>
                  <w:tcW w:w="5000"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9549871" w14:textId="77777777" w:rsidR="00F05DC7" w:rsidRPr="00D30978" w:rsidRDefault="00F05DC7" w:rsidP="00A3786D">
                  <w:pPr>
                    <w:pStyle w:val="TableUnitsRow"/>
                    <w:jc w:val="left"/>
                    <w:rPr>
                      <w:b/>
                    </w:rPr>
                  </w:pPr>
                  <w:r w:rsidRPr="00D30978">
                    <w:rPr>
                      <w:b/>
                      <w:shd w:val="clear" w:color="auto" w:fill="F2F2F2" w:themeFill="background1" w:themeFillShade="F2"/>
                    </w:rPr>
                    <w:t>Improv</w:t>
                  </w:r>
                  <w:r>
                    <w:rPr>
                      <w:b/>
                      <w:shd w:val="clear" w:color="auto" w:fill="F2F2F2" w:themeFill="background1" w:themeFillShade="F2"/>
                    </w:rPr>
                    <w:t xml:space="preserve">ing </w:t>
                  </w:r>
                  <w:r w:rsidRPr="00D30978">
                    <w:rPr>
                      <w:b/>
                      <w:shd w:val="clear" w:color="auto" w:fill="F2F2F2" w:themeFill="background1" w:themeFillShade="F2"/>
                    </w:rPr>
                    <w:t>governance arrangements</w:t>
                  </w:r>
                  <w:r w:rsidRPr="00A20A31">
                    <w:rPr>
                      <w:i/>
                      <w:shd w:val="clear" w:color="auto" w:fill="F2F2F2" w:themeFill="background1" w:themeFillShade="F2"/>
                    </w:rPr>
                    <w:t xml:space="preserve"> </w:t>
                  </w:r>
                  <w:r>
                    <w:rPr>
                      <w:i/>
                      <w:shd w:val="clear" w:color="auto" w:fill="F2F2F2" w:themeFill="background1" w:themeFillShade="F2"/>
                    </w:rPr>
                    <w:t>— e</w:t>
                  </w:r>
                  <w:r w:rsidRPr="00A20A31">
                    <w:rPr>
                      <w:i/>
                      <w:shd w:val="clear" w:color="auto" w:fill="F2F2F2" w:themeFill="background1" w:themeFillShade="F2"/>
                    </w:rPr>
                    <w:t>nhancing transparency and accountability through more robust decision</w:t>
                  </w:r>
                  <w:r>
                    <w:rPr>
                      <w:i/>
                      <w:shd w:val="clear" w:color="auto" w:fill="F2F2F2" w:themeFill="background1" w:themeFillShade="F2"/>
                    </w:rPr>
                    <w:noBreakHyphen/>
                  </w:r>
                  <w:r w:rsidRPr="00A20A31">
                    <w:rPr>
                      <w:i/>
                      <w:shd w:val="clear" w:color="auto" w:fill="F2F2F2" w:themeFill="background1" w:themeFillShade="F2"/>
                    </w:rPr>
                    <w:t>making frameworks</w:t>
                  </w:r>
                  <w:r>
                    <w:rPr>
                      <w:i/>
                      <w:shd w:val="clear" w:color="auto" w:fill="F2F2F2" w:themeFill="background1" w:themeFillShade="F2"/>
                    </w:rPr>
                    <w:t xml:space="preserve"> and stronger communication</w:t>
                  </w:r>
                </w:p>
              </w:tc>
            </w:tr>
            <w:tr w:rsidR="00F05DC7" w14:paraId="79549876" w14:textId="77777777" w:rsidTr="00A3786D">
              <w:tc>
                <w:tcPr>
                  <w:tcW w:w="1681" w:type="pct"/>
                  <w:tcBorders>
                    <w:top w:val="single" w:sz="4" w:space="0" w:color="BFBFBF" w:themeColor="background1" w:themeShade="BF"/>
                  </w:tcBorders>
                </w:tcPr>
                <w:p w14:paraId="79549873" w14:textId="77777777" w:rsidR="00F05DC7" w:rsidRDefault="00F05DC7" w:rsidP="00A3786D">
                  <w:pPr>
                    <w:pStyle w:val="TableBodyText"/>
                    <w:jc w:val="left"/>
                  </w:pPr>
                  <w:r>
                    <w:t>The system is not well understood by the public — myths and confused accountability.</w:t>
                  </w:r>
                </w:p>
              </w:tc>
              <w:tc>
                <w:tcPr>
                  <w:tcW w:w="1653" w:type="pct"/>
                  <w:tcBorders>
                    <w:top w:val="single" w:sz="4" w:space="0" w:color="BFBFBF" w:themeColor="background1" w:themeShade="BF"/>
                  </w:tcBorders>
                </w:tcPr>
                <w:p w14:paraId="79549874" w14:textId="77777777" w:rsidR="00F05DC7" w:rsidRDefault="00F05DC7" w:rsidP="00A3786D">
                  <w:pPr>
                    <w:pStyle w:val="TableBodyText"/>
                    <w:jc w:val="left"/>
                  </w:pPr>
                  <w:r>
                    <w:t>The CGC should provide a strong neutral voice in the public debate (rec. 6.2).</w:t>
                  </w:r>
                </w:p>
              </w:tc>
              <w:tc>
                <w:tcPr>
                  <w:tcW w:w="1666" w:type="pct"/>
                  <w:tcBorders>
                    <w:top w:val="single" w:sz="4" w:space="0" w:color="BFBFBF" w:themeColor="background1" w:themeShade="BF"/>
                  </w:tcBorders>
                </w:tcPr>
                <w:p w14:paraId="79549875" w14:textId="77777777" w:rsidR="00F05DC7" w:rsidRDefault="00F05DC7" w:rsidP="00A3786D">
                  <w:pPr>
                    <w:pStyle w:val="TableBodyText"/>
                    <w:jc w:val="left"/>
                  </w:pPr>
                  <w:r>
                    <w:t>Less misunderstanding and greater confidence in the system.</w:t>
                  </w:r>
                </w:p>
              </w:tc>
            </w:tr>
            <w:tr w:rsidR="00F05DC7" w14:paraId="7954987A" w14:textId="77777777" w:rsidTr="00A3786D">
              <w:trPr>
                <w:trHeight w:val="785"/>
              </w:trPr>
              <w:tc>
                <w:tcPr>
                  <w:tcW w:w="1681" w:type="pct"/>
                </w:tcPr>
                <w:p w14:paraId="79549877" w14:textId="77777777" w:rsidR="00F05DC7" w:rsidRDefault="00F05DC7" w:rsidP="00A3786D">
                  <w:pPr>
                    <w:pStyle w:val="TableBodyText"/>
                    <w:jc w:val="left"/>
                  </w:pPr>
                  <w:r>
                    <w:t>Uncertainty for States with respect to how tax changes will be assessed by the CGC.</w:t>
                  </w:r>
                </w:p>
              </w:tc>
              <w:tc>
                <w:tcPr>
                  <w:tcW w:w="1653" w:type="pct"/>
                </w:tcPr>
                <w:p w14:paraId="79549878" w14:textId="77777777" w:rsidR="00F05DC7" w:rsidRDefault="00F05DC7" w:rsidP="00A3786D">
                  <w:pPr>
                    <w:pStyle w:val="TableBodyText"/>
                    <w:jc w:val="left"/>
                  </w:pPr>
                  <w:r>
                    <w:t>Provisional and time limited ‘draft rulings’ on the implications of a policy change (rec. 6.3).</w:t>
                  </w:r>
                </w:p>
              </w:tc>
              <w:tc>
                <w:tcPr>
                  <w:tcW w:w="1666" w:type="pct"/>
                </w:tcPr>
                <w:p w14:paraId="79549879" w14:textId="77777777" w:rsidR="00F05DC7" w:rsidRDefault="00F05DC7" w:rsidP="00A3786D">
                  <w:pPr>
                    <w:pStyle w:val="TableBodyText"/>
                    <w:jc w:val="left"/>
                  </w:pPr>
                  <w:r>
                    <w:t>Better enable States to assess the implications of a policy change for their GST payments.</w:t>
                  </w:r>
                </w:p>
              </w:tc>
            </w:tr>
            <w:tr w:rsidR="00F05DC7" w14:paraId="7954987E" w14:textId="77777777" w:rsidTr="00A3786D">
              <w:trPr>
                <w:trHeight w:val="688"/>
              </w:trPr>
              <w:tc>
                <w:tcPr>
                  <w:tcW w:w="1681" w:type="pct"/>
                </w:tcPr>
                <w:p w14:paraId="7954987B" w14:textId="77777777" w:rsidR="00F05DC7" w:rsidRDefault="00F05DC7" w:rsidP="00A3786D">
                  <w:pPr>
                    <w:pStyle w:val="TableBodyText"/>
                    <w:jc w:val="left"/>
                  </w:pPr>
                  <w:r>
                    <w:t>The approach to Treasurer quarantining C’wlth payments is ad hoc and undermines the objective of fiscal equalisation.</w:t>
                  </w:r>
                </w:p>
              </w:tc>
              <w:tc>
                <w:tcPr>
                  <w:tcW w:w="1653" w:type="pct"/>
                </w:tcPr>
                <w:p w14:paraId="7954987C" w14:textId="77777777" w:rsidR="00F05DC7" w:rsidRDefault="00F05DC7" w:rsidP="00A3786D">
                  <w:pPr>
                    <w:pStyle w:val="TableBodyText"/>
                    <w:jc w:val="left"/>
                  </w:pPr>
                  <w:r>
                    <w:t>Develop guidelines for quarantining by the Treasurer (rec. 6.4).</w:t>
                  </w:r>
                </w:p>
              </w:tc>
              <w:tc>
                <w:tcPr>
                  <w:tcW w:w="1666" w:type="pct"/>
                </w:tcPr>
                <w:p w14:paraId="7954987D" w14:textId="77777777" w:rsidR="00F05DC7" w:rsidRDefault="00F05DC7" w:rsidP="00A3786D">
                  <w:pPr>
                    <w:pStyle w:val="TableBodyText"/>
                    <w:jc w:val="left"/>
                  </w:pPr>
                  <w:r>
                    <w:t>Improve predictability and transparency, and the integrity of the HFE system.</w:t>
                  </w:r>
                </w:p>
              </w:tc>
            </w:tr>
            <w:tr w:rsidR="00F05DC7" w14:paraId="79549882" w14:textId="77777777" w:rsidTr="00A3786D">
              <w:tc>
                <w:tcPr>
                  <w:tcW w:w="1681" w:type="pct"/>
                </w:tcPr>
                <w:p w14:paraId="7954987F" w14:textId="77777777" w:rsidR="00F05DC7" w:rsidRDefault="00F05DC7" w:rsidP="00A3786D">
                  <w:pPr>
                    <w:pStyle w:val="TableBodyText"/>
                    <w:jc w:val="left"/>
                  </w:pPr>
                  <w:r>
                    <w:t>The CGC at times makes policy judgments on trade</w:t>
                  </w:r>
                  <w:r>
                    <w:noBreakHyphen/>
                    <w:t xml:space="preserve">offs between equity and efficiency that are not transparent or well understood by the States. </w:t>
                  </w:r>
                </w:p>
              </w:tc>
              <w:tc>
                <w:tcPr>
                  <w:tcW w:w="1653" w:type="pct"/>
                </w:tcPr>
                <w:p w14:paraId="79549880" w14:textId="77777777" w:rsidR="00F05DC7" w:rsidRDefault="00F05DC7" w:rsidP="00A3786D">
                  <w:pPr>
                    <w:pStyle w:val="TableBodyText"/>
                    <w:jc w:val="left"/>
                  </w:pPr>
                  <w:r>
                    <w:t>The C’wlth Treasury should provide submissions to the CGC’s processes, and t</w:t>
                  </w:r>
                  <w:r w:rsidRPr="0067159A">
                    <w:t>he C</w:t>
                  </w:r>
                  <w:r>
                    <w:t>’</w:t>
                  </w:r>
                  <w:r w:rsidRPr="0067159A">
                    <w:t>wlth Treasurer should nominate areas of focus in the terms of reference</w:t>
                  </w:r>
                  <w:r>
                    <w:t xml:space="preserve"> (rec. 6.5).</w:t>
                  </w:r>
                </w:p>
              </w:tc>
              <w:tc>
                <w:tcPr>
                  <w:tcW w:w="1666" w:type="pct"/>
                </w:tcPr>
                <w:p w14:paraId="79549881" w14:textId="77777777" w:rsidR="00F05DC7" w:rsidRDefault="00F05DC7" w:rsidP="00A3786D">
                  <w:pPr>
                    <w:pStyle w:val="TableBodyText"/>
                    <w:jc w:val="left"/>
                  </w:pPr>
                  <w:r>
                    <w:t xml:space="preserve">Better inform decisions from the perspective of the broader Australian community. </w:t>
                  </w:r>
                </w:p>
              </w:tc>
            </w:tr>
            <w:tr w:rsidR="00F05DC7" w14:paraId="79549886" w14:textId="77777777" w:rsidTr="00A3786D">
              <w:tc>
                <w:tcPr>
                  <w:tcW w:w="1681" w:type="pct"/>
                  <w:tcBorders>
                    <w:bottom w:val="single" w:sz="4" w:space="0" w:color="BFBFBF" w:themeColor="background1" w:themeShade="BF"/>
                  </w:tcBorders>
                </w:tcPr>
                <w:p w14:paraId="79549883" w14:textId="77777777" w:rsidR="00F05DC7" w:rsidRDefault="00F05DC7" w:rsidP="00A3786D">
                  <w:pPr>
                    <w:pStyle w:val="TableBodyText"/>
                    <w:jc w:val="left"/>
                  </w:pPr>
                  <w:r>
                    <w:t xml:space="preserve">Limited access to data and calculations of revenue and expenditure assessments. </w:t>
                  </w:r>
                </w:p>
              </w:tc>
              <w:tc>
                <w:tcPr>
                  <w:tcW w:w="1653" w:type="pct"/>
                  <w:tcBorders>
                    <w:bottom w:val="single" w:sz="4" w:space="0" w:color="BFBFBF" w:themeColor="background1" w:themeShade="BF"/>
                  </w:tcBorders>
                </w:tcPr>
                <w:p w14:paraId="79549884" w14:textId="77777777" w:rsidR="00F05DC7" w:rsidRDefault="00F05DC7" w:rsidP="00A3786D">
                  <w:pPr>
                    <w:pStyle w:val="TableBodyText"/>
                    <w:jc w:val="left"/>
                  </w:pPr>
                  <w:r>
                    <w:t xml:space="preserve">Make </w:t>
                  </w:r>
                  <w:r w:rsidRPr="003F37E1">
                    <w:t xml:space="preserve">the data </w:t>
                  </w:r>
                  <w:r>
                    <w:t xml:space="preserve">and calculations from the CGC </w:t>
                  </w:r>
                  <w:r w:rsidRPr="003F37E1">
                    <w:t xml:space="preserve">publicly available </w:t>
                  </w:r>
                  <w:r>
                    <w:t>(rec. 6.6)</w:t>
                  </w:r>
                  <w:r w:rsidRPr="003F37E1">
                    <w:t>.</w:t>
                  </w:r>
                </w:p>
              </w:tc>
              <w:tc>
                <w:tcPr>
                  <w:tcW w:w="1666" w:type="pct"/>
                  <w:tcBorders>
                    <w:bottom w:val="single" w:sz="4" w:space="0" w:color="BFBFBF" w:themeColor="background1" w:themeShade="BF"/>
                  </w:tcBorders>
                </w:tcPr>
                <w:p w14:paraId="79549885" w14:textId="77777777" w:rsidR="00F05DC7" w:rsidRDefault="00F05DC7" w:rsidP="00A3786D">
                  <w:pPr>
                    <w:pStyle w:val="TableBodyText"/>
                    <w:jc w:val="left"/>
                  </w:pPr>
                  <w:r>
                    <w:t xml:space="preserve">Greater accountability and replicability. </w:t>
                  </w:r>
                </w:p>
              </w:tc>
            </w:tr>
            <w:tr w:rsidR="00F05DC7" w14:paraId="79549888" w14:textId="77777777" w:rsidTr="00A3786D">
              <w:tc>
                <w:tcPr>
                  <w:tcW w:w="5000"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9549887" w14:textId="77777777" w:rsidR="00F05DC7" w:rsidRPr="00356B45" w:rsidRDefault="00F05DC7" w:rsidP="00A3786D">
                  <w:pPr>
                    <w:pStyle w:val="TableUnitsRow"/>
                    <w:jc w:val="left"/>
                    <w:rPr>
                      <w:b/>
                      <w:shd w:val="clear" w:color="auto" w:fill="F2F2F2" w:themeFill="background1" w:themeFillShade="F2"/>
                    </w:rPr>
                  </w:pPr>
                  <w:r>
                    <w:rPr>
                      <w:b/>
                      <w:shd w:val="clear" w:color="auto" w:fill="F2F2F2" w:themeFill="background1" w:themeFillShade="F2"/>
                    </w:rPr>
                    <w:t>Improving the way fiscal capacities are assessed</w:t>
                  </w:r>
                  <w:r w:rsidRPr="00356B45">
                    <w:rPr>
                      <w:i/>
                    </w:rPr>
                    <w:t xml:space="preserve"> </w:t>
                  </w:r>
                  <w:r>
                    <w:rPr>
                      <w:i/>
                    </w:rPr>
                    <w:t>— ‘in</w:t>
                  </w:r>
                  <w:r>
                    <w:rPr>
                      <w:i/>
                    </w:rPr>
                    <w:noBreakHyphen/>
                    <w:t xml:space="preserve">system’ </w:t>
                  </w:r>
                  <w:r w:rsidRPr="00356B45">
                    <w:rPr>
                      <w:i/>
                    </w:rPr>
                    <w:t xml:space="preserve">changes </w:t>
                  </w:r>
                  <w:r>
                    <w:rPr>
                      <w:i/>
                    </w:rPr>
                    <w:t xml:space="preserve">to </w:t>
                  </w:r>
                  <w:r w:rsidRPr="00356B45">
                    <w:rPr>
                      <w:i/>
                    </w:rPr>
                    <w:t xml:space="preserve">correct for some of the </w:t>
                  </w:r>
                  <w:r>
                    <w:rPr>
                      <w:i/>
                    </w:rPr>
                    <w:t xml:space="preserve">equity and </w:t>
                  </w:r>
                  <w:r w:rsidRPr="00356B45">
                    <w:rPr>
                      <w:i/>
                    </w:rPr>
                    <w:t>efficiency problems with the HFE system</w:t>
                  </w:r>
                </w:p>
              </w:tc>
            </w:tr>
            <w:tr w:rsidR="00F05DC7" w14:paraId="7954988C" w14:textId="77777777" w:rsidTr="00A3786D">
              <w:tc>
                <w:tcPr>
                  <w:tcW w:w="1681" w:type="pct"/>
                  <w:tcBorders>
                    <w:top w:val="single" w:sz="4" w:space="0" w:color="BFBFBF"/>
                  </w:tcBorders>
                </w:tcPr>
                <w:p w14:paraId="79549889" w14:textId="77777777" w:rsidR="00F05DC7" w:rsidRDefault="00F05DC7" w:rsidP="00A3786D">
                  <w:pPr>
                    <w:pStyle w:val="TableBodyText"/>
                    <w:jc w:val="left"/>
                  </w:pPr>
                  <w:r>
                    <w:t>The HFE system is not policy</w:t>
                  </w:r>
                  <w:r>
                    <w:noBreakHyphen/>
                    <w:t xml:space="preserve">neutral, with disincentives for some major State tax reforms and economic development. </w:t>
                  </w:r>
                </w:p>
              </w:tc>
              <w:tc>
                <w:tcPr>
                  <w:tcW w:w="1653" w:type="pct"/>
                  <w:tcBorders>
                    <w:top w:val="single" w:sz="4" w:space="0" w:color="BFBFBF"/>
                  </w:tcBorders>
                </w:tcPr>
                <w:p w14:paraId="7954988A" w14:textId="77777777" w:rsidR="00F05DC7" w:rsidRDefault="00F05DC7" w:rsidP="00A3786D">
                  <w:pPr>
                    <w:pStyle w:val="TableBodyText"/>
                    <w:jc w:val="left"/>
                  </w:pPr>
                  <w:r>
                    <w:t>S</w:t>
                  </w:r>
                  <w:r w:rsidRPr="0038018F">
                    <w:t xml:space="preserve">impler and more </w:t>
                  </w:r>
                  <w:r>
                    <w:t>policy</w:t>
                  </w:r>
                  <w:r>
                    <w:noBreakHyphen/>
                    <w:t xml:space="preserve">neutral </w:t>
                  </w:r>
                  <w:r w:rsidRPr="0038018F">
                    <w:t>revenue and expenditure assessments</w:t>
                  </w:r>
                  <w:r>
                    <w:t>. Increases in materiality thresholds (rec. 7.1).</w:t>
                  </w:r>
                </w:p>
              </w:tc>
              <w:tc>
                <w:tcPr>
                  <w:tcW w:w="1666" w:type="pct"/>
                  <w:tcBorders>
                    <w:top w:val="single" w:sz="4" w:space="0" w:color="BFBFBF"/>
                  </w:tcBorders>
                </w:tcPr>
                <w:p w14:paraId="7954988B" w14:textId="77777777" w:rsidR="00F05DC7" w:rsidRDefault="00F05DC7" w:rsidP="00A3786D">
                  <w:pPr>
                    <w:pStyle w:val="TableBodyText"/>
                    <w:jc w:val="left"/>
                  </w:pPr>
                  <w:r>
                    <w:t xml:space="preserve">Directly target some efficiency problems and simplify the system. Allow States to retain more from their policy effort. Increased public confidence. </w:t>
                  </w:r>
                </w:p>
              </w:tc>
            </w:tr>
            <w:tr w:rsidR="00F05DC7" w14:paraId="7954988E" w14:textId="77777777" w:rsidTr="00A3786D">
              <w:tc>
                <w:tcPr>
                  <w:tcW w:w="5000"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954988D" w14:textId="77777777" w:rsidR="00F05DC7" w:rsidRDefault="00F05DC7" w:rsidP="00A3786D">
                  <w:pPr>
                    <w:pStyle w:val="TableBodyText"/>
                    <w:jc w:val="left"/>
                  </w:pPr>
                  <w:r>
                    <w:rPr>
                      <w:b/>
                      <w:shd w:val="clear" w:color="auto" w:fill="F2F2F2" w:themeFill="background1" w:themeFillShade="F2"/>
                    </w:rPr>
                    <w:t>Moving to a better equalisation benchmark</w:t>
                  </w:r>
                  <w:r w:rsidRPr="00DC5FA3">
                    <w:rPr>
                      <w:i/>
                    </w:rPr>
                    <w:t xml:space="preserve"> </w:t>
                  </w:r>
                  <w:r>
                    <w:rPr>
                      <w:i/>
                    </w:rPr>
                    <w:t>— additional equity and efficiency benefits could be captured by changing the</w:t>
                  </w:r>
                  <w:r w:rsidRPr="00DC5FA3">
                    <w:rPr>
                      <w:i/>
                    </w:rPr>
                    <w:t xml:space="preserve"> equalisation benchmark </w:t>
                  </w:r>
                </w:p>
              </w:tc>
            </w:tr>
            <w:tr w:rsidR="00F05DC7" w14:paraId="79549894" w14:textId="77777777" w:rsidTr="00A3786D">
              <w:tc>
                <w:tcPr>
                  <w:tcW w:w="1681" w:type="pct"/>
                  <w:shd w:val="clear" w:color="auto" w:fill="auto"/>
                </w:tcPr>
                <w:p w14:paraId="7954988F" w14:textId="77777777" w:rsidR="00F05DC7" w:rsidRDefault="00F05DC7" w:rsidP="00A3786D">
                  <w:pPr>
                    <w:pStyle w:val="TableBodyText"/>
                    <w:jc w:val="left"/>
                  </w:pPr>
                  <w:r>
                    <w:t xml:space="preserve">States do not systematically receive reward for policy effort — distortions are pronounced for mineral and energy resources. </w:t>
                  </w:r>
                </w:p>
              </w:tc>
              <w:tc>
                <w:tcPr>
                  <w:tcW w:w="1653" w:type="pct"/>
                </w:tcPr>
                <w:p w14:paraId="79549890" w14:textId="77777777" w:rsidR="00F05DC7" w:rsidRDefault="00F05DC7" w:rsidP="00A3786D">
                  <w:pPr>
                    <w:pStyle w:val="TableBodyText"/>
                    <w:jc w:val="left"/>
                  </w:pPr>
                  <w:r>
                    <w:t>Equalise to the average (pre</w:t>
                  </w:r>
                  <w:r>
                    <w:noBreakHyphen/>
                    <w:t xml:space="preserve">GST) fiscal capacity of the States (rec. 8.1). </w:t>
                  </w:r>
                </w:p>
                <w:p w14:paraId="79549891" w14:textId="77777777" w:rsidR="00F05DC7" w:rsidRDefault="00F05DC7" w:rsidP="00A3786D">
                  <w:pPr>
                    <w:pStyle w:val="TableBodyText"/>
                    <w:jc w:val="left"/>
                  </w:pPr>
                  <w:r>
                    <w:t xml:space="preserve">Phase in the new benchmark over a number of years. </w:t>
                  </w:r>
                </w:p>
              </w:tc>
              <w:tc>
                <w:tcPr>
                  <w:tcW w:w="1666" w:type="pct"/>
                  <w:shd w:val="clear" w:color="auto" w:fill="auto"/>
                </w:tcPr>
                <w:p w14:paraId="79549892" w14:textId="77777777" w:rsidR="00F05DC7" w:rsidRDefault="00F05DC7" w:rsidP="00A3786D">
                  <w:pPr>
                    <w:pStyle w:val="TableBodyText"/>
                    <w:jc w:val="left"/>
                  </w:pPr>
                  <w:r>
                    <w:t xml:space="preserve">Reduce major policy disincentives for some States. Improve fairness. </w:t>
                  </w:r>
                </w:p>
                <w:p w14:paraId="79549893" w14:textId="77777777" w:rsidR="00F05DC7" w:rsidRDefault="00F05DC7" w:rsidP="00A3786D">
                  <w:pPr>
                    <w:pStyle w:val="TableBodyText"/>
                    <w:jc w:val="left"/>
                  </w:pPr>
                  <w:r>
                    <w:t xml:space="preserve">Time for States to adjust. </w:t>
                  </w:r>
                </w:p>
              </w:tc>
            </w:tr>
            <w:tr w:rsidR="00F05DC7" w14:paraId="79549896" w14:textId="77777777" w:rsidTr="00A3786D">
              <w:tc>
                <w:tcPr>
                  <w:tcW w:w="5000"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9549895" w14:textId="77777777" w:rsidR="00F05DC7" w:rsidRDefault="00F05DC7" w:rsidP="00A3786D">
                  <w:pPr>
                    <w:pStyle w:val="TableBodyText"/>
                    <w:jc w:val="left"/>
                  </w:pPr>
                  <w:r>
                    <w:rPr>
                      <w:b/>
                      <w:shd w:val="clear" w:color="auto" w:fill="F2F2F2" w:themeFill="background1" w:themeFillShade="F2"/>
                    </w:rPr>
                    <w:t>Broader reform to federal financial relations</w:t>
                  </w:r>
                  <w:r>
                    <w:rPr>
                      <w:i/>
                    </w:rPr>
                    <w:t xml:space="preserve"> — greater gains are likely through broader reform to federal financial relations</w:t>
                  </w:r>
                </w:p>
              </w:tc>
            </w:tr>
            <w:tr w:rsidR="00F05DC7" w14:paraId="7954989A" w14:textId="77777777" w:rsidTr="00A3786D">
              <w:tc>
                <w:tcPr>
                  <w:tcW w:w="1681" w:type="pct"/>
                  <w:shd w:val="clear" w:color="auto" w:fill="auto"/>
                </w:tcPr>
                <w:p w14:paraId="79549897" w14:textId="77777777" w:rsidR="00F05DC7" w:rsidRDefault="00F05DC7" w:rsidP="00A3786D">
                  <w:pPr>
                    <w:pStyle w:val="TableBodyText"/>
                    <w:jc w:val="left"/>
                  </w:pPr>
                  <w:r>
                    <w:t>Accountability is blurred, particularly for Indigenous outcomes. There is a complex web of C’wlth payments and VFI remains high.</w:t>
                  </w:r>
                </w:p>
              </w:tc>
              <w:tc>
                <w:tcPr>
                  <w:tcW w:w="1653" w:type="pct"/>
                </w:tcPr>
                <w:p w14:paraId="79549898" w14:textId="77777777" w:rsidR="00F05DC7" w:rsidRDefault="00F05DC7" w:rsidP="00A3786D">
                  <w:pPr>
                    <w:pStyle w:val="TableBodyText"/>
                    <w:jc w:val="left"/>
                  </w:pPr>
                  <w:r>
                    <w:t>Assess how C’wlth payments interact and develop a clear division of responsibilities, followed by consideration of options to reduce VFI (rec 9.1).</w:t>
                  </w:r>
                </w:p>
              </w:tc>
              <w:tc>
                <w:tcPr>
                  <w:tcW w:w="1666" w:type="pct"/>
                  <w:shd w:val="clear" w:color="auto" w:fill="auto"/>
                </w:tcPr>
                <w:p w14:paraId="79549899" w14:textId="77777777" w:rsidR="00F05DC7" w:rsidRDefault="00F05DC7" w:rsidP="00A3786D">
                  <w:pPr>
                    <w:pStyle w:val="TableBodyText"/>
                    <w:jc w:val="left"/>
                  </w:pPr>
                  <w:r>
                    <w:t xml:space="preserve">Improved accountability and transparency. Greater State autonomy. Paves the way for broader reform to VFI. </w:t>
                  </w:r>
                </w:p>
              </w:tc>
            </w:tr>
          </w:tbl>
          <w:p w14:paraId="7954989B" w14:textId="77777777" w:rsidR="00F05DC7" w:rsidRDefault="00F05DC7" w:rsidP="00A3786D">
            <w:pPr>
              <w:pStyle w:val="Box"/>
              <w:jc w:val="left"/>
            </w:pPr>
          </w:p>
        </w:tc>
      </w:tr>
      <w:tr w:rsidR="00F05DC7" w14:paraId="7954989E" w14:textId="77777777" w:rsidTr="00A3786D">
        <w:tc>
          <w:tcPr>
            <w:tcW w:w="5000" w:type="pct"/>
            <w:tcBorders>
              <w:top w:val="nil"/>
              <w:left w:val="nil"/>
              <w:bottom w:val="single" w:sz="6" w:space="0" w:color="78A22F"/>
              <w:right w:val="nil"/>
            </w:tcBorders>
            <w:shd w:val="clear" w:color="auto" w:fill="auto"/>
          </w:tcPr>
          <w:p w14:paraId="7954989D" w14:textId="77777777" w:rsidR="00F05DC7" w:rsidRDefault="00F05DC7" w:rsidP="00A3786D">
            <w:pPr>
              <w:pStyle w:val="Box"/>
              <w:spacing w:before="0" w:line="120" w:lineRule="exact"/>
            </w:pPr>
          </w:p>
        </w:tc>
      </w:tr>
    </w:tbl>
    <w:p w14:paraId="7954989F" w14:textId="77777777" w:rsidR="00F05DC7" w:rsidRDefault="00F05DC7" w:rsidP="004B5669">
      <w:pPr>
        <w:pStyle w:val="BodyText"/>
        <w:spacing w:before="0"/>
      </w:pPr>
    </w:p>
    <w:p w14:paraId="795498A0" w14:textId="77777777" w:rsidR="00F05DC7" w:rsidRDefault="00F05DC7" w:rsidP="00F05DC7">
      <w:pPr>
        <w:sectPr w:rsidR="00F05DC7" w:rsidSect="00F05DC7">
          <w:headerReference w:type="even" r:id="rId55"/>
          <w:headerReference w:type="default" r:id="rId56"/>
          <w:footerReference w:type="even" r:id="rId57"/>
          <w:footerReference w:type="default" r:id="rId58"/>
          <w:headerReference w:type="first" r:id="rId59"/>
          <w:footerReference w:type="first" r:id="rId60"/>
          <w:pgSz w:w="11907" w:h="16840" w:code="9"/>
          <w:pgMar w:top="1985" w:right="1304" w:bottom="1247" w:left="1814" w:header="1701" w:footer="397" w:gutter="0"/>
          <w:pgNumType w:chapSep="period"/>
          <w:cols w:space="720"/>
          <w:titlePg/>
          <w:docGrid w:linePitch="326"/>
        </w:sectPr>
      </w:pPr>
    </w:p>
    <w:p w14:paraId="795498A1" w14:textId="77777777" w:rsidR="00F05DC7" w:rsidRPr="002A7FC4" w:rsidRDefault="00F05DC7" w:rsidP="00A3786D">
      <w:pPr>
        <w:pStyle w:val="Heading1"/>
        <w:spacing w:before="0"/>
      </w:pPr>
      <w:bookmarkStart w:id="33" w:name="ChapterTitle"/>
      <w:bookmarkStart w:id="34" w:name="_Toc513637684"/>
      <w:r w:rsidRPr="002A7FC4">
        <w:lastRenderedPageBreak/>
        <w:t>Findings and recommendations</w:t>
      </w:r>
      <w:bookmarkEnd w:id="33"/>
      <w:bookmarkEnd w:id="34"/>
    </w:p>
    <w:p w14:paraId="795498A2" w14:textId="77777777" w:rsidR="00F05DC7" w:rsidRPr="002A7FC4" w:rsidRDefault="00F05DC7" w:rsidP="00A3786D">
      <w:pPr>
        <w:pStyle w:val="BodyText"/>
        <w:rPr>
          <w:i/>
        </w:rPr>
      </w:pPr>
      <w:r w:rsidRPr="002A7FC4">
        <w:rPr>
          <w:i/>
        </w:rPr>
        <w:t>States refers to States and Territories in the following findings and recommendations.</w:t>
      </w:r>
    </w:p>
    <w:p w14:paraId="795498A3" w14:textId="5766870B" w:rsidR="00F05DC7" w:rsidRPr="00AC3D16" w:rsidRDefault="001636A9" w:rsidP="00AC3D16">
      <w:pPr>
        <w:pStyle w:val="Heading2"/>
        <w:rPr>
          <w:sz w:val="26"/>
          <w:szCs w:val="26"/>
        </w:rPr>
      </w:pPr>
      <w:bookmarkStart w:id="35" w:name="_Toc513637685"/>
      <w:r>
        <w:rPr>
          <w:sz w:val="26"/>
          <w:szCs w:val="26"/>
        </w:rPr>
        <w:t>Australian</w:t>
      </w:r>
      <w:r w:rsidR="00F05DC7" w:rsidRPr="00AC3D16">
        <w:rPr>
          <w:sz w:val="26"/>
          <w:szCs w:val="26"/>
        </w:rPr>
        <w:t xml:space="preserve"> and</w:t>
      </w:r>
      <w:r w:rsidR="004D6261">
        <w:rPr>
          <w:sz w:val="26"/>
          <w:szCs w:val="26"/>
        </w:rPr>
        <w:t xml:space="preserve"> international</w:t>
      </w:r>
      <w:r w:rsidR="00F05DC7" w:rsidRPr="00AC3D16">
        <w:rPr>
          <w:sz w:val="26"/>
          <w:szCs w:val="26"/>
        </w:rPr>
        <w:t xml:space="preserve"> equalisation</w:t>
      </w:r>
      <w:bookmarkEnd w:id="35"/>
    </w:p>
    <w:p w14:paraId="795498A4" w14:textId="77777777" w:rsidR="00F05DC7" w:rsidRPr="002A7FC4" w:rsidRDefault="00F05DC7" w:rsidP="000D52D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8A7"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8A5" w14:textId="77777777" w:rsidR="00F05DC7" w:rsidRPr="002A7FC4" w:rsidRDefault="00F05DC7" w:rsidP="00A3786D">
            <w:pPr>
              <w:pStyle w:val="FindingTitle"/>
              <w:spacing w:before="120"/>
              <w:rPr>
                <w:noProof/>
              </w:rPr>
            </w:pPr>
            <w:r w:rsidRPr="002A7FC4">
              <w:t>Finding 2.</w:t>
            </w:r>
            <w:r>
              <w:rPr>
                <w:noProof/>
              </w:rPr>
              <w:t>1</w:t>
            </w:r>
          </w:p>
          <w:p w14:paraId="795498A6" w14:textId="77777777" w:rsidR="00F05DC7" w:rsidRPr="002A7FC4" w:rsidRDefault="00F05DC7" w:rsidP="00A3786D">
            <w:pPr>
              <w:pStyle w:val="Finding"/>
              <w:keepNext/>
            </w:pPr>
            <w:r>
              <w:t>Australia achieves a high degree of horizontal fiscal equalisation and to a much greater extent than other countries. It is the only OECD country with a federal government that seeks to fully eliminate disparities in fiscal capacity between sub</w:t>
            </w:r>
            <w:r>
              <w:noBreakHyphen/>
              <w:t>national governments.</w:t>
            </w:r>
          </w:p>
        </w:tc>
      </w:tr>
      <w:tr w:rsidR="00F05DC7" w:rsidRPr="002A7FC4" w14:paraId="795498A9"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8A8" w14:textId="77777777" w:rsidR="00F05DC7" w:rsidRPr="002A7FC4" w:rsidRDefault="00F05DC7" w:rsidP="00A3786D">
            <w:pPr>
              <w:pStyle w:val="Space"/>
              <w:keepLines/>
            </w:pPr>
          </w:p>
        </w:tc>
      </w:tr>
      <w:tr w:rsidR="00F05DC7" w:rsidRPr="002A7FC4" w14:paraId="795498AB"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8AA" w14:textId="77777777" w:rsidR="00F05DC7" w:rsidRPr="002A7FC4" w:rsidRDefault="00F05DC7" w:rsidP="00A3786D">
            <w:pPr>
              <w:pStyle w:val="BoxSpaceBelow"/>
              <w:keepLines/>
            </w:pPr>
          </w:p>
        </w:tc>
      </w:tr>
    </w:tbl>
    <w:p w14:paraId="795498AC" w14:textId="77777777" w:rsidR="00F05DC7" w:rsidRPr="00AC3D16" w:rsidRDefault="00F05DC7" w:rsidP="00AC3D16">
      <w:pPr>
        <w:pStyle w:val="Heading2"/>
        <w:rPr>
          <w:sz w:val="26"/>
          <w:szCs w:val="26"/>
        </w:rPr>
      </w:pPr>
      <w:bookmarkStart w:id="36" w:name="_Toc513637686"/>
      <w:r w:rsidRPr="00AC3D16">
        <w:rPr>
          <w:sz w:val="26"/>
          <w:szCs w:val="26"/>
        </w:rPr>
        <w:t>HFE and State policies</w:t>
      </w:r>
      <w:bookmarkEnd w:id="36"/>
    </w:p>
    <w:p w14:paraId="795498AD" w14:textId="77777777" w:rsidR="00F05DC7" w:rsidRPr="002A7FC4" w:rsidRDefault="00F05DC7" w:rsidP="000D52D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8B0"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8AE" w14:textId="77777777" w:rsidR="00F05DC7" w:rsidRPr="002A7FC4" w:rsidRDefault="00F05DC7" w:rsidP="00A3786D">
            <w:pPr>
              <w:pStyle w:val="FindingTitle"/>
              <w:spacing w:before="120"/>
              <w:rPr>
                <w:noProof/>
              </w:rPr>
            </w:pPr>
            <w:r w:rsidRPr="002A7FC4">
              <w:t xml:space="preserve">Finding </w:t>
            </w:r>
            <w:r>
              <w:t>3.1</w:t>
            </w:r>
          </w:p>
          <w:p w14:paraId="795498AF" w14:textId="77777777" w:rsidR="00F05DC7" w:rsidRPr="002A7FC4" w:rsidRDefault="00F05DC7" w:rsidP="00A3786D">
            <w:pPr>
              <w:pStyle w:val="Finding"/>
            </w:pPr>
            <w:r>
              <w:t>Most</w:t>
            </w:r>
            <w:r w:rsidRPr="0013531A">
              <w:t xml:space="preserve"> State tax reforms would </w:t>
            </w:r>
            <w:r>
              <w:t xml:space="preserve">have limited impacts </w:t>
            </w:r>
            <w:r w:rsidRPr="0013531A">
              <w:t>on</w:t>
            </w:r>
            <w:r>
              <w:t xml:space="preserve"> the</w:t>
            </w:r>
            <w:r w:rsidRPr="0013531A">
              <w:t xml:space="preserve"> GST distribution. However, there are circumstances where the GST effects can be material — such as for a State undertaking large scale tax reform — and act as a significant disincentive </w:t>
            </w:r>
            <w:r>
              <w:t>for</w:t>
            </w:r>
            <w:r w:rsidRPr="0013531A">
              <w:t xml:space="preserve"> States </w:t>
            </w:r>
            <w:r>
              <w:t xml:space="preserve">to </w:t>
            </w:r>
            <w:r w:rsidRPr="0013531A">
              <w:t>implement efficient tax policy. These disincentives are likely to be exacerbated where the State is a first mover on reform</w:t>
            </w:r>
            <w:r>
              <w:t xml:space="preserve"> </w:t>
            </w:r>
            <w:r w:rsidRPr="0013531A">
              <w:t xml:space="preserve">or where there is uncertainty about how significant tax changes will be assessed by the </w:t>
            </w:r>
            <w:r>
              <w:t>CGC</w:t>
            </w:r>
            <w:r w:rsidRPr="0013531A">
              <w:t>.</w:t>
            </w:r>
          </w:p>
        </w:tc>
      </w:tr>
      <w:tr w:rsidR="00F05DC7" w:rsidRPr="002A7FC4" w14:paraId="795498B2"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8B1" w14:textId="77777777" w:rsidR="00F05DC7" w:rsidRPr="002A7FC4" w:rsidRDefault="00F05DC7" w:rsidP="00A3786D">
            <w:pPr>
              <w:pStyle w:val="Space"/>
              <w:keepLines/>
            </w:pPr>
          </w:p>
        </w:tc>
      </w:tr>
      <w:tr w:rsidR="00F05DC7" w:rsidRPr="002A7FC4" w14:paraId="795498B4"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8B3" w14:textId="77777777" w:rsidR="00F05DC7" w:rsidRPr="002A7FC4" w:rsidRDefault="00F05DC7" w:rsidP="00A3786D">
            <w:pPr>
              <w:pStyle w:val="BoxSpaceBelow"/>
              <w:keepLines/>
            </w:pPr>
          </w:p>
        </w:tc>
      </w:tr>
    </w:tbl>
    <w:p w14:paraId="795498B5" w14:textId="77777777" w:rsidR="00F05DC7" w:rsidRPr="002A7FC4" w:rsidRDefault="00F05DC7" w:rsidP="000D52D9">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8B8"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8B6" w14:textId="77777777" w:rsidR="00F05DC7" w:rsidRPr="002A7FC4" w:rsidRDefault="00F05DC7" w:rsidP="00A3786D">
            <w:pPr>
              <w:pStyle w:val="FindingTitle"/>
              <w:spacing w:before="120"/>
              <w:rPr>
                <w:noProof/>
              </w:rPr>
            </w:pPr>
            <w:r w:rsidRPr="002A7FC4">
              <w:t xml:space="preserve">Finding </w:t>
            </w:r>
            <w:r>
              <w:t>3.2</w:t>
            </w:r>
          </w:p>
          <w:p w14:paraId="795498B7" w14:textId="77777777" w:rsidR="00F05DC7" w:rsidRPr="002A7FC4" w:rsidRDefault="00F05DC7" w:rsidP="00A3786D">
            <w:pPr>
              <w:pStyle w:val="Finding"/>
              <w:rPr>
                <w:rStyle w:val="DraftingNote"/>
                <w:b w:val="0"/>
                <w:color w:val="auto"/>
                <w:sz w:val="22"/>
                <w:u w:val="none"/>
              </w:rPr>
            </w:pPr>
            <w:r w:rsidRPr="0013531A">
              <w:t xml:space="preserve">Changes in State service delivery policies can impact on GST payments, but the impacts are mostly </w:t>
            </w:r>
            <w:r>
              <w:t>trivial</w:t>
            </w:r>
            <w:r w:rsidRPr="0013531A">
              <w:t xml:space="preserve">. HFE is unlikely to </w:t>
            </w:r>
            <w:r>
              <w:t>directly</w:t>
            </w:r>
            <w:r w:rsidRPr="0013531A">
              <w:t xml:space="preserve"> discourage — nor encourage — States from </w:t>
            </w:r>
            <w:r>
              <w:t>improving the efficiency of service delivery</w:t>
            </w:r>
            <w:r w:rsidRPr="0013531A">
              <w:t xml:space="preserve"> or addressing their structural disadvantages</w:t>
            </w:r>
            <w:r>
              <w:t>,</w:t>
            </w:r>
            <w:r w:rsidRPr="0013531A">
              <w:t xml:space="preserve"> given the broader and more significant benefits of doing so to the community</w:t>
            </w:r>
            <w:r>
              <w:t xml:space="preserve">. Accountability for policy outcomes — which is lacking — is a much greater driver of expenditure choices. </w:t>
            </w:r>
          </w:p>
        </w:tc>
      </w:tr>
      <w:tr w:rsidR="00F05DC7" w:rsidRPr="002A7FC4" w14:paraId="795498BA"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8B9" w14:textId="77777777" w:rsidR="00F05DC7" w:rsidRPr="002A7FC4" w:rsidRDefault="00F05DC7" w:rsidP="00A3786D">
            <w:pPr>
              <w:pStyle w:val="Space"/>
              <w:keepLines/>
            </w:pPr>
          </w:p>
        </w:tc>
      </w:tr>
      <w:tr w:rsidR="00F05DC7" w:rsidRPr="002A7FC4" w14:paraId="795498BC"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8BB" w14:textId="77777777" w:rsidR="00F05DC7" w:rsidRPr="002A7FC4" w:rsidRDefault="00F05DC7" w:rsidP="00A3786D">
            <w:pPr>
              <w:pStyle w:val="BoxSpaceBelow"/>
              <w:keepLines/>
            </w:pPr>
          </w:p>
        </w:tc>
      </w:tr>
    </w:tbl>
    <w:p w14:paraId="795498BD"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8C1"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8BE" w14:textId="77777777" w:rsidR="00F05DC7" w:rsidRPr="002A7FC4" w:rsidRDefault="00F05DC7" w:rsidP="00A3786D">
            <w:pPr>
              <w:pStyle w:val="FindingTitle"/>
              <w:spacing w:before="120"/>
              <w:rPr>
                <w:noProof/>
              </w:rPr>
            </w:pPr>
            <w:r w:rsidRPr="002A7FC4">
              <w:t xml:space="preserve">Finding </w:t>
            </w:r>
            <w:r>
              <w:t>3.3</w:t>
            </w:r>
          </w:p>
          <w:p w14:paraId="795498BF" w14:textId="77777777" w:rsidR="00F05DC7" w:rsidRDefault="00F05DC7" w:rsidP="00A3786D">
            <w:pPr>
              <w:pStyle w:val="Finding"/>
              <w:keepNext/>
            </w:pPr>
            <w:r>
              <w:t>The potential for HFE to distort State policy is pronounced for mineral and energy resources. While there is limited direct evidence that GST effects have influenced specific policy decisions, the incentive effects for some States are palpable and have the potential to undermine State policy neutrality.</w:t>
            </w:r>
          </w:p>
          <w:p w14:paraId="795498C0" w14:textId="77777777" w:rsidR="00F05DC7" w:rsidRPr="002A7FC4" w:rsidRDefault="00F05DC7" w:rsidP="00A3786D">
            <w:pPr>
              <w:pStyle w:val="Finding"/>
              <w:keepNext/>
            </w:pPr>
            <w:r>
              <w:t>However, making adjustments to the HFE system specifically to add incentives (rather than remove disincentives) for desirable resource exploration policies, or to singularly remedy disincentives for mining taxation, would not advance policy neutrality, would be a source of additional complexity, and come at the expense of fiscal equality.</w:t>
            </w:r>
          </w:p>
        </w:tc>
      </w:tr>
      <w:tr w:rsidR="00F05DC7" w:rsidRPr="002A7FC4" w14:paraId="795498C3"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8C2" w14:textId="77777777" w:rsidR="00F05DC7" w:rsidRPr="002A7FC4" w:rsidRDefault="00F05DC7" w:rsidP="00A3786D">
            <w:pPr>
              <w:pStyle w:val="Space"/>
              <w:keepLines/>
            </w:pPr>
          </w:p>
        </w:tc>
      </w:tr>
      <w:tr w:rsidR="00F05DC7" w:rsidRPr="002A7FC4" w14:paraId="795498C5"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8C4" w14:textId="77777777" w:rsidR="00F05DC7" w:rsidRPr="002A7FC4" w:rsidRDefault="00F05DC7" w:rsidP="00A3786D">
            <w:pPr>
              <w:pStyle w:val="BoxSpaceBelow"/>
              <w:keepLines/>
            </w:pPr>
          </w:p>
        </w:tc>
      </w:tr>
    </w:tbl>
    <w:p w14:paraId="795498C6" w14:textId="77777777" w:rsidR="00F05DC7" w:rsidRPr="00AC3D16" w:rsidRDefault="00F05DC7" w:rsidP="00AC3D16">
      <w:pPr>
        <w:pStyle w:val="Heading2"/>
        <w:rPr>
          <w:sz w:val="26"/>
          <w:szCs w:val="26"/>
        </w:rPr>
      </w:pPr>
      <w:bookmarkStart w:id="37" w:name="_Toc513637687"/>
      <w:r w:rsidRPr="00AC3D16">
        <w:rPr>
          <w:sz w:val="26"/>
          <w:szCs w:val="26"/>
        </w:rPr>
        <w:t>HFE and State budgets</w:t>
      </w:r>
      <w:bookmarkEnd w:id="37"/>
    </w:p>
    <w:p w14:paraId="795498C7"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8C9"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8C8" w14:textId="77777777" w:rsidR="00F05DC7" w:rsidRPr="002A7FC4" w:rsidRDefault="00F05DC7" w:rsidP="00A3786D">
            <w:pPr>
              <w:pStyle w:val="FindingTitle"/>
              <w:spacing w:before="120"/>
              <w:rPr>
                <w:noProof/>
              </w:rPr>
            </w:pPr>
            <w:r w:rsidRPr="002A7FC4">
              <w:t>Finding 4.1</w:t>
            </w:r>
          </w:p>
        </w:tc>
      </w:tr>
      <w:tr w:rsidR="00F05DC7" w:rsidRPr="002A7FC4" w14:paraId="795498CF" w14:textId="77777777" w:rsidTr="00A3786D">
        <w:trPr>
          <w:cantSplit/>
        </w:trPr>
        <w:tc>
          <w:tcPr>
            <w:tcW w:w="5000" w:type="pct"/>
            <w:tcBorders>
              <w:top w:val="nil"/>
              <w:left w:val="nil"/>
              <w:bottom w:val="nil"/>
              <w:right w:val="nil"/>
            </w:tcBorders>
            <w:shd w:val="clear" w:color="auto" w:fill="F2F2F2"/>
            <w:tcMar>
              <w:left w:w="170" w:type="dxa"/>
              <w:right w:w="170" w:type="dxa"/>
            </w:tcMar>
          </w:tcPr>
          <w:p w14:paraId="795498CA" w14:textId="77777777" w:rsidR="00F05DC7" w:rsidRDefault="00F05DC7" w:rsidP="00A3786D">
            <w:pPr>
              <w:pStyle w:val="Finding"/>
              <w:spacing w:before="80" w:line="260" w:lineRule="atLeast"/>
            </w:pPr>
            <w:r>
              <w:t>Features of Australia’s HFE system can exacerbate the fiscal impact of economic cycles when States experience large economic shocks. Such a situation recently occurred in Western Australia.</w:t>
            </w:r>
          </w:p>
          <w:p w14:paraId="795498CB" w14:textId="77777777" w:rsidR="00F05DC7" w:rsidRDefault="00F05DC7" w:rsidP="00A3786D">
            <w:pPr>
              <w:pStyle w:val="Finding"/>
              <w:spacing w:before="80" w:line="260" w:lineRule="atLeast"/>
            </w:pPr>
            <w:r>
              <w:t xml:space="preserve">However, offsetting cyclical influences on State budgets is not the primary objective of HFE, and options to improve contemporaneity do not offer unequivocal improvements. </w:t>
            </w:r>
          </w:p>
          <w:p w14:paraId="795498CC" w14:textId="77777777" w:rsidR="00F05DC7" w:rsidRDefault="00F05DC7" w:rsidP="00A3786D">
            <w:pPr>
              <w:pStyle w:val="FindingBullet"/>
              <w:spacing w:line="260" w:lineRule="atLeast"/>
            </w:pPr>
            <w:r w:rsidRPr="004723D6">
              <w:t>Reducing the length of the assessment period would have mixed impacts across State</w:t>
            </w:r>
            <w:r>
              <w:t>s, and may ultimately have little effect on State budget fluctuations</w:t>
            </w:r>
            <w:r w:rsidRPr="004723D6">
              <w:t>.</w:t>
            </w:r>
            <w:r>
              <w:t xml:space="preserve"> </w:t>
            </w:r>
          </w:p>
          <w:p w14:paraId="795498CD" w14:textId="77777777" w:rsidR="00F05DC7" w:rsidRDefault="00F05DC7" w:rsidP="00A3786D">
            <w:pPr>
              <w:pStyle w:val="FindingBullet"/>
              <w:spacing w:line="260" w:lineRule="atLeast"/>
            </w:pPr>
            <w:r>
              <w:t>The two</w:t>
            </w:r>
            <w:r>
              <w:noBreakHyphen/>
              <w:t xml:space="preserve">year data availability lag cannot be substantially reduced without introducing </w:t>
            </w:r>
            <w:r w:rsidRPr="00562B0E">
              <w:t xml:space="preserve">additional </w:t>
            </w:r>
            <w:r>
              <w:t>scope for volatility and dispute.</w:t>
            </w:r>
          </w:p>
          <w:p w14:paraId="795498CE" w14:textId="77777777" w:rsidR="00F05DC7" w:rsidRPr="002A7FC4" w:rsidRDefault="00F05DC7" w:rsidP="00A3786D">
            <w:pPr>
              <w:pStyle w:val="Finding"/>
              <w:spacing w:before="80" w:line="260" w:lineRule="atLeast"/>
            </w:pPr>
            <w:r>
              <w:t>The most effective response to a lack of contemporaneity lies with the States themselves, and with the necessity for State Treasuries to factor the assessment period and GST lag into their budget management processes (which most do).</w:t>
            </w:r>
          </w:p>
        </w:tc>
      </w:tr>
      <w:tr w:rsidR="00F05DC7" w:rsidRPr="002A7FC4" w14:paraId="795498D1" w14:textId="77777777" w:rsidTr="00A3786D">
        <w:trPr>
          <w:cantSplit/>
        </w:trPr>
        <w:tc>
          <w:tcPr>
            <w:tcW w:w="5000" w:type="pct"/>
            <w:tcBorders>
              <w:top w:val="nil"/>
              <w:left w:val="nil"/>
              <w:bottom w:val="single" w:sz="6" w:space="0" w:color="78A22F"/>
              <w:right w:val="nil"/>
            </w:tcBorders>
            <w:shd w:val="clear" w:color="auto" w:fill="F2F2F2"/>
            <w:tcMar>
              <w:left w:w="170" w:type="dxa"/>
              <w:right w:w="170" w:type="dxa"/>
            </w:tcMar>
          </w:tcPr>
          <w:p w14:paraId="795498D0" w14:textId="77777777" w:rsidR="00F05DC7" w:rsidRPr="002A7FC4" w:rsidRDefault="00F05DC7" w:rsidP="00A3786D">
            <w:pPr>
              <w:pStyle w:val="Space"/>
              <w:keepLines/>
            </w:pPr>
          </w:p>
        </w:tc>
      </w:tr>
      <w:tr w:rsidR="00F05DC7" w:rsidRPr="002A7FC4" w14:paraId="795498D3" w14:textId="77777777" w:rsidTr="00A3786D">
        <w:trPr>
          <w:cantSplit/>
        </w:trPr>
        <w:tc>
          <w:tcPr>
            <w:tcW w:w="5000" w:type="pct"/>
            <w:tcBorders>
              <w:top w:val="single" w:sz="6" w:space="0" w:color="78A22F"/>
              <w:left w:val="nil"/>
              <w:bottom w:val="nil"/>
              <w:right w:val="nil"/>
            </w:tcBorders>
            <w:tcMar>
              <w:left w:w="170" w:type="dxa"/>
              <w:right w:w="170" w:type="dxa"/>
            </w:tcMar>
          </w:tcPr>
          <w:p w14:paraId="795498D2" w14:textId="77777777" w:rsidR="00F05DC7" w:rsidRPr="002A7FC4" w:rsidRDefault="00F05DC7" w:rsidP="00A3786D">
            <w:pPr>
              <w:pStyle w:val="BoxSpaceBelow"/>
              <w:keepLines/>
            </w:pPr>
          </w:p>
        </w:tc>
      </w:tr>
    </w:tbl>
    <w:p w14:paraId="795498D4" w14:textId="77777777" w:rsidR="00F05DC7" w:rsidRPr="004E3B94" w:rsidRDefault="00F05DC7" w:rsidP="00A3786D">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98D6"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8D5" w14:textId="77777777" w:rsidR="00F05DC7" w:rsidRPr="00CE4C64" w:rsidRDefault="00F05DC7" w:rsidP="00A3786D">
            <w:pPr>
              <w:pStyle w:val="FindingTitle"/>
              <w:spacing w:before="120"/>
              <w:rPr>
                <w:noProof/>
              </w:rPr>
            </w:pPr>
            <w:r>
              <w:t>Finding 4.2</w:t>
            </w:r>
          </w:p>
        </w:tc>
      </w:tr>
      <w:tr w:rsidR="00F05DC7" w:rsidRPr="00750BE2" w14:paraId="795498D8" w14:textId="77777777" w:rsidTr="00A3786D">
        <w:trPr>
          <w:cantSplit/>
        </w:trPr>
        <w:tc>
          <w:tcPr>
            <w:tcW w:w="5000" w:type="pct"/>
            <w:tcBorders>
              <w:top w:val="nil"/>
              <w:left w:val="nil"/>
              <w:bottom w:val="nil"/>
              <w:right w:val="nil"/>
            </w:tcBorders>
            <w:shd w:val="clear" w:color="auto" w:fill="F2F2F2"/>
            <w:tcMar>
              <w:left w:w="170" w:type="dxa"/>
              <w:right w:w="170" w:type="dxa"/>
            </w:tcMar>
          </w:tcPr>
          <w:p w14:paraId="795498D7" w14:textId="77777777" w:rsidR="00F05DC7" w:rsidRDefault="00F05DC7" w:rsidP="00A3786D">
            <w:pPr>
              <w:pStyle w:val="Finding"/>
              <w:keepNext/>
            </w:pPr>
            <w:r>
              <w:t>Volatile State revenues can contribute to uncertainty in budgeting processes. Compared with other sources of State Government revenue, GST payments are relatively stable and in some cases may offset volatility from other revenue sources.</w:t>
            </w:r>
          </w:p>
        </w:tc>
      </w:tr>
      <w:tr w:rsidR="00F05DC7" w14:paraId="795498DA" w14:textId="77777777" w:rsidTr="00A3786D">
        <w:trPr>
          <w:cantSplit/>
        </w:trPr>
        <w:tc>
          <w:tcPr>
            <w:tcW w:w="5000" w:type="pct"/>
            <w:tcBorders>
              <w:top w:val="nil"/>
              <w:left w:val="nil"/>
              <w:bottom w:val="single" w:sz="6" w:space="0" w:color="78A22F"/>
              <w:right w:val="nil"/>
            </w:tcBorders>
            <w:shd w:val="clear" w:color="auto" w:fill="F2F2F2"/>
            <w:tcMar>
              <w:left w:w="170" w:type="dxa"/>
              <w:right w:w="170" w:type="dxa"/>
            </w:tcMar>
          </w:tcPr>
          <w:p w14:paraId="795498D9" w14:textId="77777777" w:rsidR="00F05DC7" w:rsidRDefault="00F05DC7" w:rsidP="00A3786D">
            <w:pPr>
              <w:pStyle w:val="Space"/>
              <w:keepLines/>
            </w:pPr>
          </w:p>
        </w:tc>
      </w:tr>
      <w:tr w:rsidR="00F05DC7" w:rsidRPr="000863A5" w14:paraId="795498DC" w14:textId="77777777" w:rsidTr="00A3786D">
        <w:trPr>
          <w:cantSplit/>
        </w:trPr>
        <w:tc>
          <w:tcPr>
            <w:tcW w:w="5000" w:type="pct"/>
            <w:tcBorders>
              <w:top w:val="single" w:sz="6" w:space="0" w:color="78A22F"/>
              <w:left w:val="nil"/>
              <w:bottom w:val="nil"/>
              <w:right w:val="nil"/>
            </w:tcBorders>
            <w:tcMar>
              <w:left w:w="170" w:type="dxa"/>
              <w:right w:w="170" w:type="dxa"/>
            </w:tcMar>
          </w:tcPr>
          <w:p w14:paraId="795498DB" w14:textId="77777777" w:rsidR="00F05DC7" w:rsidRPr="00626D32" w:rsidRDefault="00F05DC7" w:rsidP="00A3786D">
            <w:pPr>
              <w:pStyle w:val="BoxSpaceBelow"/>
              <w:keepLines/>
            </w:pPr>
          </w:p>
        </w:tc>
      </w:tr>
    </w:tbl>
    <w:p w14:paraId="795498DD" w14:textId="77777777" w:rsidR="00F05DC7" w:rsidRPr="00AC3D16" w:rsidRDefault="00F05DC7" w:rsidP="00AC3D16">
      <w:pPr>
        <w:pStyle w:val="Heading2"/>
        <w:rPr>
          <w:sz w:val="26"/>
          <w:szCs w:val="26"/>
        </w:rPr>
      </w:pPr>
      <w:bookmarkStart w:id="38" w:name="_Toc513637688"/>
      <w:r w:rsidRPr="00AC3D16">
        <w:rPr>
          <w:sz w:val="26"/>
          <w:szCs w:val="26"/>
        </w:rPr>
        <w:lastRenderedPageBreak/>
        <w:t>HFE and interstate migration</w:t>
      </w:r>
      <w:bookmarkEnd w:id="38"/>
    </w:p>
    <w:p w14:paraId="795498DE"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8E1"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8DF" w14:textId="77777777" w:rsidR="00F05DC7" w:rsidRPr="002A7FC4" w:rsidRDefault="00F05DC7" w:rsidP="00A3786D">
            <w:pPr>
              <w:pStyle w:val="FindingTitle"/>
              <w:spacing w:before="120"/>
              <w:rPr>
                <w:noProof/>
              </w:rPr>
            </w:pPr>
            <w:r w:rsidRPr="002A7FC4">
              <w:t>Finding 5.</w:t>
            </w:r>
            <w:r w:rsidRPr="002A7FC4">
              <w:rPr>
                <w:noProof/>
              </w:rPr>
              <w:t>1</w:t>
            </w:r>
          </w:p>
          <w:p w14:paraId="795498E0" w14:textId="77777777" w:rsidR="00F05DC7" w:rsidRPr="002A7FC4" w:rsidRDefault="00F05DC7" w:rsidP="00A3786D">
            <w:pPr>
              <w:pStyle w:val="Finding"/>
              <w:keepNext/>
            </w:pPr>
            <w:r>
              <w:t>Taken together, the available evidence suggests that fiscal factors (including those related to HFE) are unlikely to play a major part in interstate migration decisions. Other factors, such as differences in work opportunities between States and personal reasons, are bigger drivers of interstate migration.</w:t>
            </w:r>
          </w:p>
        </w:tc>
      </w:tr>
      <w:tr w:rsidR="00F05DC7" w:rsidRPr="002A7FC4" w14:paraId="795498E3"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8E2" w14:textId="77777777" w:rsidR="00F05DC7" w:rsidRPr="002A7FC4" w:rsidRDefault="00F05DC7" w:rsidP="00A3786D">
            <w:pPr>
              <w:pStyle w:val="Space"/>
              <w:keepLines/>
            </w:pPr>
          </w:p>
        </w:tc>
      </w:tr>
      <w:tr w:rsidR="00F05DC7" w:rsidRPr="002A7FC4" w14:paraId="795498E5"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8E4" w14:textId="77777777" w:rsidR="00F05DC7" w:rsidRPr="002A7FC4" w:rsidRDefault="00F05DC7" w:rsidP="00A3786D">
            <w:pPr>
              <w:pStyle w:val="BoxSpaceBelow"/>
              <w:keepLines/>
            </w:pPr>
          </w:p>
        </w:tc>
      </w:tr>
    </w:tbl>
    <w:p w14:paraId="795498E6" w14:textId="77777777" w:rsidR="00F05DC7" w:rsidRPr="00AC3D16" w:rsidRDefault="00F05DC7" w:rsidP="00AC3D16">
      <w:pPr>
        <w:pStyle w:val="Heading2"/>
        <w:rPr>
          <w:sz w:val="26"/>
          <w:szCs w:val="26"/>
        </w:rPr>
      </w:pPr>
      <w:bookmarkStart w:id="39" w:name="_Toc513637689"/>
      <w:r w:rsidRPr="00AC3D16">
        <w:rPr>
          <w:sz w:val="26"/>
          <w:szCs w:val="26"/>
        </w:rPr>
        <w:t>The case for change to the current approach</w:t>
      </w:r>
      <w:bookmarkEnd w:id="39"/>
    </w:p>
    <w:p w14:paraId="795498E7"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8EB"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8E8" w14:textId="77777777" w:rsidR="00F05DC7" w:rsidRPr="002A7FC4" w:rsidRDefault="00F05DC7" w:rsidP="00A3786D">
            <w:pPr>
              <w:pStyle w:val="FindingTitle"/>
              <w:spacing w:before="120"/>
              <w:rPr>
                <w:noProof/>
              </w:rPr>
            </w:pPr>
            <w:r w:rsidRPr="002A7FC4">
              <w:t>Finding 6.</w:t>
            </w:r>
            <w:r w:rsidRPr="002A7FC4">
              <w:rPr>
                <w:noProof/>
              </w:rPr>
              <w:t>1</w:t>
            </w:r>
          </w:p>
          <w:p w14:paraId="795498E9" w14:textId="77777777" w:rsidR="00F05DC7" w:rsidRDefault="00F05DC7" w:rsidP="00A3786D">
            <w:pPr>
              <w:pStyle w:val="Rec"/>
              <w:spacing w:line="270" w:lineRule="atLeast"/>
            </w:pPr>
            <w:r>
              <w:t xml:space="preserve">While Australia’s HFE system has a number of strengths, it also has several deficiencies. In particular, it </w:t>
            </w:r>
            <w:r w:rsidRPr="00B97B35">
              <w:t xml:space="preserve">can provide disincentives for </w:t>
            </w:r>
            <w:r>
              <w:t>desirable</w:t>
            </w:r>
            <w:r w:rsidRPr="00B97B35">
              <w:t xml:space="preserve"> tax and </w:t>
            </w:r>
            <w:r>
              <w:t xml:space="preserve">resource development </w:t>
            </w:r>
            <w:r w:rsidRPr="00B97B35">
              <w:t>policies</w:t>
            </w:r>
            <w:r>
              <w:t xml:space="preserve">, and, to the </w:t>
            </w:r>
            <w:r w:rsidRPr="00B97B35">
              <w:t xml:space="preserve">extent that States do not reap </w:t>
            </w:r>
            <w:r>
              <w:t>much of</w:t>
            </w:r>
            <w:r w:rsidRPr="00B97B35">
              <w:t xml:space="preserve"> the rewards of their own </w:t>
            </w:r>
            <w:r>
              <w:t xml:space="preserve">policy </w:t>
            </w:r>
            <w:r w:rsidRPr="00B97B35">
              <w:t>efforts, can detract from fairness</w:t>
            </w:r>
            <w:r>
              <w:t>.</w:t>
            </w:r>
          </w:p>
          <w:p w14:paraId="795498EA" w14:textId="77777777" w:rsidR="00F05DC7" w:rsidRPr="002A7FC4" w:rsidRDefault="00F05DC7" w:rsidP="00A3786D">
            <w:pPr>
              <w:pStyle w:val="Rec"/>
            </w:pPr>
            <w:r w:rsidRPr="00756FC4">
              <w:t>Many of thes</w:t>
            </w:r>
            <w:r>
              <w:t>e concerns</w:t>
            </w:r>
            <w:r w:rsidRPr="00756FC4">
              <w:t xml:space="preserve"> are due to the pursuit, above all else, of comprehensive equalisation of fiscal capacities. It is likely that opportunities are being missed to</w:t>
            </w:r>
            <w:r>
              <w:t xml:space="preserve"> more fairly reward States for their policy efforts, </w:t>
            </w:r>
            <w:r w:rsidRPr="00756FC4">
              <w:t>and to improve efficiency</w:t>
            </w:r>
            <w:r>
              <w:t xml:space="preserve"> and enhance the wellbeing of the Australian community over time. </w:t>
            </w:r>
          </w:p>
        </w:tc>
      </w:tr>
      <w:tr w:rsidR="00F05DC7" w:rsidRPr="002A7FC4" w14:paraId="795498ED"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8EC" w14:textId="77777777" w:rsidR="00F05DC7" w:rsidRPr="002A7FC4" w:rsidRDefault="00F05DC7" w:rsidP="00A3786D">
            <w:pPr>
              <w:pStyle w:val="Space"/>
              <w:keepLines/>
            </w:pPr>
          </w:p>
        </w:tc>
      </w:tr>
      <w:tr w:rsidR="00F05DC7" w:rsidRPr="002A7FC4" w14:paraId="795498EF"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8EE" w14:textId="77777777" w:rsidR="00F05DC7" w:rsidRPr="002A7FC4" w:rsidRDefault="00F05DC7" w:rsidP="00A3786D">
            <w:pPr>
              <w:pStyle w:val="BoxSpaceBelow"/>
              <w:keepLines/>
            </w:pPr>
          </w:p>
        </w:tc>
      </w:tr>
    </w:tbl>
    <w:p w14:paraId="795498F0" w14:textId="77777777" w:rsidR="00F05DC7" w:rsidRPr="00AC3D16" w:rsidRDefault="00F05DC7" w:rsidP="00AC3D16">
      <w:pPr>
        <w:pStyle w:val="Heading2"/>
        <w:rPr>
          <w:sz w:val="26"/>
          <w:szCs w:val="26"/>
        </w:rPr>
      </w:pPr>
      <w:bookmarkStart w:id="40" w:name="_Toc513637690"/>
      <w:r w:rsidRPr="00AC3D16">
        <w:rPr>
          <w:sz w:val="26"/>
          <w:szCs w:val="26"/>
        </w:rPr>
        <w:t>A revised objective for HFE</w:t>
      </w:r>
      <w:bookmarkEnd w:id="40"/>
    </w:p>
    <w:p w14:paraId="795498F1"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98F3"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98F2" w14:textId="77777777" w:rsidR="00F05DC7" w:rsidRPr="00CE4C64" w:rsidRDefault="00F05DC7" w:rsidP="00A3786D">
            <w:pPr>
              <w:pStyle w:val="RecTitle"/>
              <w:spacing w:before="120"/>
              <w:rPr>
                <w:noProof/>
              </w:rPr>
            </w:pPr>
            <w:r>
              <w:t>Recommendation 6.1</w:t>
            </w:r>
          </w:p>
        </w:tc>
      </w:tr>
      <w:tr w:rsidR="00F05DC7" w:rsidRPr="00750BE2" w14:paraId="795498FA" w14:textId="77777777" w:rsidTr="00A3786D">
        <w:tc>
          <w:tcPr>
            <w:tcW w:w="5000" w:type="pct"/>
            <w:tcBorders>
              <w:top w:val="nil"/>
              <w:left w:val="nil"/>
              <w:bottom w:val="nil"/>
              <w:right w:val="nil"/>
            </w:tcBorders>
            <w:shd w:val="clear" w:color="auto" w:fill="E5F1D0"/>
            <w:tcMar>
              <w:left w:w="170" w:type="dxa"/>
              <w:right w:w="170" w:type="dxa"/>
            </w:tcMar>
          </w:tcPr>
          <w:p w14:paraId="795498F4" w14:textId="77777777" w:rsidR="00F05DC7" w:rsidRPr="005D40AE" w:rsidRDefault="00F05DC7" w:rsidP="00A3786D">
            <w:pPr>
              <w:pStyle w:val="Rec"/>
              <w:spacing w:line="270" w:lineRule="atLeast"/>
              <w:rPr>
                <w:color w:val="000000" w:themeColor="text1"/>
              </w:rPr>
            </w:pPr>
            <w:r w:rsidRPr="005D40AE">
              <w:rPr>
                <w:color w:val="000000" w:themeColor="text1"/>
              </w:rPr>
              <w:t xml:space="preserve">The objective of the HFE system should be refocused to provide the States with the fiscal capacity to </w:t>
            </w:r>
            <w:r>
              <w:rPr>
                <w:color w:val="000000" w:themeColor="text1"/>
              </w:rPr>
              <w:t>provide</w:t>
            </w:r>
            <w:r w:rsidRPr="005D40AE">
              <w:rPr>
                <w:color w:val="000000" w:themeColor="text1"/>
              </w:rPr>
              <w:t xml:space="preserve"> services and associated infrastructure of a reasonable (rather than the same) standard.</w:t>
            </w:r>
          </w:p>
          <w:p w14:paraId="795498F5" w14:textId="77777777" w:rsidR="00F05DC7" w:rsidRDefault="00F05DC7" w:rsidP="00A3786D">
            <w:pPr>
              <w:pStyle w:val="Rec"/>
              <w:spacing w:line="270" w:lineRule="atLeast"/>
              <w:rPr>
                <w:color w:val="000000" w:themeColor="text1"/>
              </w:rPr>
            </w:pPr>
            <w:r w:rsidRPr="005D40AE">
              <w:rPr>
                <w:color w:val="000000" w:themeColor="text1"/>
              </w:rPr>
              <w:t xml:space="preserve">The Commonwealth Government should </w:t>
            </w:r>
            <w:r>
              <w:rPr>
                <w:color w:val="000000" w:themeColor="text1"/>
              </w:rPr>
              <w:t>set</w:t>
            </w:r>
            <w:r w:rsidRPr="005D40AE">
              <w:rPr>
                <w:color w:val="000000" w:themeColor="text1"/>
              </w:rPr>
              <w:t xml:space="preserve"> this revised objective of HFE</w:t>
            </w:r>
            <w:r>
              <w:rPr>
                <w:color w:val="000000" w:themeColor="text1"/>
              </w:rPr>
              <w:t xml:space="preserve">. </w:t>
            </w:r>
          </w:p>
          <w:p w14:paraId="795498F6" w14:textId="77777777" w:rsidR="00F05DC7" w:rsidRDefault="00F05DC7" w:rsidP="00A3786D">
            <w:pPr>
              <w:pStyle w:val="FindingBullet"/>
              <w:rPr>
                <w:color w:val="000000" w:themeColor="text1"/>
              </w:rPr>
            </w:pPr>
            <w:r>
              <w:rPr>
                <w:color w:val="000000" w:themeColor="text1"/>
              </w:rPr>
              <w:t>The Treasurer</w:t>
            </w:r>
            <w:r w:rsidRPr="005D40AE">
              <w:rPr>
                <w:color w:val="000000" w:themeColor="text1"/>
              </w:rPr>
              <w:t xml:space="preserve"> </w:t>
            </w:r>
            <w:r>
              <w:rPr>
                <w:color w:val="000000" w:themeColor="text1"/>
              </w:rPr>
              <w:t xml:space="preserve">should present the revised objective to the Council on Federal Financial Relations. </w:t>
            </w:r>
          </w:p>
          <w:p w14:paraId="795498F7" w14:textId="77777777" w:rsidR="00F05DC7" w:rsidRDefault="00F05DC7" w:rsidP="00A3786D">
            <w:pPr>
              <w:pStyle w:val="FindingBullet"/>
            </w:pPr>
            <w:r>
              <w:t>Following this, the Treasurer should reissue the terms of reference to the CGC for the 2020 methodology review to reflect the new objective.</w:t>
            </w:r>
            <w:r w:rsidRPr="005D40AE">
              <w:t xml:space="preserve"> </w:t>
            </w:r>
          </w:p>
          <w:p w14:paraId="795498F8" w14:textId="77777777" w:rsidR="00F05DC7" w:rsidRDefault="00F05DC7" w:rsidP="00A3786D">
            <w:pPr>
              <w:pStyle w:val="Rec"/>
              <w:spacing w:line="270" w:lineRule="atLeast"/>
              <w:rPr>
                <w:color w:val="000000" w:themeColor="text1"/>
              </w:rPr>
            </w:pPr>
            <w:r w:rsidRPr="00233A5E">
              <w:rPr>
                <w:color w:val="000000" w:themeColor="text1"/>
              </w:rPr>
              <w:t>The terms of reference for all future relativity updates and five</w:t>
            </w:r>
            <w:r>
              <w:rPr>
                <w:color w:val="000000" w:themeColor="text1"/>
              </w:rPr>
              <w:noBreakHyphen/>
            </w:r>
            <w:r w:rsidRPr="00233A5E">
              <w:rPr>
                <w:color w:val="000000" w:themeColor="text1"/>
              </w:rPr>
              <w:t xml:space="preserve">yearly </w:t>
            </w:r>
            <w:r>
              <w:rPr>
                <w:color w:val="000000" w:themeColor="text1"/>
              </w:rPr>
              <w:t>m</w:t>
            </w:r>
            <w:r w:rsidRPr="00233A5E">
              <w:rPr>
                <w:color w:val="000000" w:themeColor="text1"/>
              </w:rPr>
              <w:t>ethodolog</w:t>
            </w:r>
            <w:r>
              <w:rPr>
                <w:color w:val="000000" w:themeColor="text1"/>
              </w:rPr>
              <w:t>y</w:t>
            </w:r>
            <w:r w:rsidRPr="00233A5E">
              <w:rPr>
                <w:color w:val="000000" w:themeColor="text1"/>
              </w:rPr>
              <w:t xml:space="preserve"> </w:t>
            </w:r>
            <w:r>
              <w:rPr>
                <w:color w:val="000000" w:themeColor="text1"/>
              </w:rPr>
              <w:t>r</w:t>
            </w:r>
            <w:r w:rsidRPr="00233A5E">
              <w:rPr>
                <w:color w:val="000000" w:themeColor="text1"/>
              </w:rPr>
              <w:t xml:space="preserve">eviews should reflect this revised objective. </w:t>
            </w:r>
          </w:p>
          <w:p w14:paraId="795498F9" w14:textId="77777777" w:rsidR="00F05DC7" w:rsidRDefault="00F05DC7" w:rsidP="00A3786D">
            <w:pPr>
              <w:pStyle w:val="Rec"/>
              <w:keepNext/>
            </w:pPr>
            <w:r>
              <w:rPr>
                <w:color w:val="000000" w:themeColor="text1"/>
              </w:rPr>
              <w:t>T</w:t>
            </w:r>
            <w:r w:rsidRPr="005D40AE">
              <w:rPr>
                <w:color w:val="000000" w:themeColor="text1"/>
              </w:rPr>
              <w:t>he Intergovernmental Agreement on Federal Financial Relations</w:t>
            </w:r>
            <w:r>
              <w:rPr>
                <w:color w:val="000000" w:themeColor="text1"/>
              </w:rPr>
              <w:t xml:space="preserve"> and the </w:t>
            </w:r>
            <w:r w:rsidRPr="005D40AE">
              <w:rPr>
                <w:i/>
                <w:color w:val="000000" w:themeColor="text1"/>
              </w:rPr>
              <w:t>Commonwealth Grants Commission Act 1973</w:t>
            </w:r>
            <w:r w:rsidRPr="005D40AE">
              <w:rPr>
                <w:color w:val="000000" w:themeColor="text1"/>
              </w:rPr>
              <w:t xml:space="preserve"> (Cwlth) </w:t>
            </w:r>
            <w:r>
              <w:rPr>
                <w:color w:val="000000" w:themeColor="text1"/>
              </w:rPr>
              <w:t>should also be amended to reflect the revised objective.</w:t>
            </w:r>
          </w:p>
        </w:tc>
      </w:tr>
      <w:tr w:rsidR="00F05DC7" w14:paraId="795498FC"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98FB" w14:textId="77777777" w:rsidR="00F05DC7" w:rsidRDefault="00F05DC7" w:rsidP="00A3786D">
            <w:pPr>
              <w:pStyle w:val="Space"/>
              <w:keepLines/>
            </w:pPr>
          </w:p>
        </w:tc>
      </w:tr>
      <w:tr w:rsidR="00F05DC7" w:rsidRPr="000863A5" w14:paraId="795498FE" w14:textId="77777777" w:rsidTr="00A3786D">
        <w:tc>
          <w:tcPr>
            <w:tcW w:w="5000" w:type="pct"/>
            <w:tcBorders>
              <w:top w:val="single" w:sz="6" w:space="0" w:color="78A22F"/>
              <w:left w:val="nil"/>
              <w:bottom w:val="nil"/>
              <w:right w:val="nil"/>
            </w:tcBorders>
            <w:tcMar>
              <w:left w:w="170" w:type="dxa"/>
              <w:right w:w="170" w:type="dxa"/>
            </w:tcMar>
          </w:tcPr>
          <w:p w14:paraId="795498FD" w14:textId="77777777" w:rsidR="00F05DC7" w:rsidRPr="00626D32" w:rsidRDefault="00F05DC7" w:rsidP="00A3786D">
            <w:pPr>
              <w:pStyle w:val="BoxSpaceBelow"/>
              <w:keepLines/>
            </w:pPr>
          </w:p>
        </w:tc>
      </w:tr>
    </w:tbl>
    <w:p w14:paraId="795498FF" w14:textId="77777777" w:rsidR="00F05DC7" w:rsidRDefault="00F05DC7" w:rsidP="00AC3D16">
      <w:pPr>
        <w:pStyle w:val="Heading2"/>
        <w:rPr>
          <w:sz w:val="26"/>
          <w:szCs w:val="26"/>
        </w:rPr>
      </w:pPr>
      <w:bookmarkStart w:id="41" w:name="_Toc513637691"/>
      <w:r w:rsidRPr="00AC3D16">
        <w:rPr>
          <w:sz w:val="26"/>
          <w:szCs w:val="26"/>
        </w:rPr>
        <w:lastRenderedPageBreak/>
        <w:t>Governance changes to improve transparency and accountability</w:t>
      </w:r>
      <w:bookmarkEnd w:id="41"/>
    </w:p>
    <w:p w14:paraId="7969AC5A" w14:textId="77777777" w:rsidR="00B07FFB" w:rsidRPr="004E3B94" w:rsidRDefault="00B07FFB" w:rsidP="00B07FF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07FFB" w14:paraId="4A35FD53" w14:textId="77777777" w:rsidTr="00B07FFB">
        <w:trPr>
          <w:tblHeader/>
        </w:trPr>
        <w:tc>
          <w:tcPr>
            <w:tcW w:w="5000" w:type="pct"/>
            <w:tcBorders>
              <w:top w:val="single" w:sz="6" w:space="0" w:color="78A22F"/>
              <w:left w:val="nil"/>
              <w:bottom w:val="nil"/>
              <w:right w:val="nil"/>
            </w:tcBorders>
            <w:shd w:val="clear" w:color="auto" w:fill="E5F1D0"/>
            <w:tcMar>
              <w:left w:w="170" w:type="dxa"/>
              <w:right w:w="170" w:type="dxa"/>
            </w:tcMar>
          </w:tcPr>
          <w:p w14:paraId="4AB62F00" w14:textId="0B031D31" w:rsidR="00B07FFB" w:rsidRPr="00CE4C64" w:rsidRDefault="00B07FFB" w:rsidP="00B07FFB">
            <w:pPr>
              <w:pStyle w:val="RecTitle"/>
              <w:spacing w:before="120"/>
              <w:rPr>
                <w:noProof/>
              </w:rPr>
            </w:pPr>
            <w:r w:rsidRPr="002A7FC4">
              <w:t>Recommendation 6.</w:t>
            </w:r>
            <w:r>
              <w:t>2</w:t>
            </w:r>
          </w:p>
        </w:tc>
      </w:tr>
      <w:tr w:rsidR="00B07FFB" w:rsidRPr="00750BE2" w14:paraId="15F23CA2" w14:textId="77777777" w:rsidTr="00B07FFB">
        <w:tc>
          <w:tcPr>
            <w:tcW w:w="5000" w:type="pct"/>
            <w:tcBorders>
              <w:top w:val="nil"/>
              <w:left w:val="nil"/>
              <w:bottom w:val="nil"/>
              <w:right w:val="nil"/>
            </w:tcBorders>
            <w:shd w:val="clear" w:color="auto" w:fill="E5F1D0"/>
            <w:tcMar>
              <w:left w:w="170" w:type="dxa"/>
              <w:right w:w="170" w:type="dxa"/>
            </w:tcMar>
          </w:tcPr>
          <w:p w14:paraId="14442954" w14:textId="56C1643F" w:rsidR="00B07FFB" w:rsidRDefault="00B07FFB" w:rsidP="00B07FFB">
            <w:pPr>
              <w:pStyle w:val="Rec"/>
              <w:keepNext/>
            </w:pPr>
            <w:r>
              <w:t>The CGC — through its Chairperson and Commission members — should provide a strong neutral voice, to facilitate a better informed public discourse on the HFE system.</w:t>
            </w:r>
          </w:p>
        </w:tc>
      </w:tr>
      <w:tr w:rsidR="00B07FFB" w14:paraId="493E4067" w14:textId="77777777" w:rsidTr="00B07FFB">
        <w:tc>
          <w:tcPr>
            <w:tcW w:w="5000" w:type="pct"/>
            <w:tcBorders>
              <w:top w:val="nil"/>
              <w:left w:val="nil"/>
              <w:bottom w:val="single" w:sz="6" w:space="0" w:color="78A22F"/>
              <w:right w:val="nil"/>
            </w:tcBorders>
            <w:shd w:val="clear" w:color="auto" w:fill="E5F1D0"/>
            <w:tcMar>
              <w:left w:w="170" w:type="dxa"/>
              <w:right w:w="170" w:type="dxa"/>
            </w:tcMar>
          </w:tcPr>
          <w:p w14:paraId="090CC069" w14:textId="77777777" w:rsidR="00B07FFB" w:rsidRDefault="00B07FFB" w:rsidP="00B07FFB">
            <w:pPr>
              <w:pStyle w:val="Space"/>
              <w:keepLines/>
            </w:pPr>
          </w:p>
        </w:tc>
      </w:tr>
      <w:tr w:rsidR="00B07FFB" w:rsidRPr="000863A5" w14:paraId="610DFB38" w14:textId="77777777" w:rsidTr="00B07FFB">
        <w:tc>
          <w:tcPr>
            <w:tcW w:w="5000" w:type="pct"/>
            <w:tcBorders>
              <w:top w:val="single" w:sz="6" w:space="0" w:color="78A22F"/>
              <w:left w:val="nil"/>
              <w:bottom w:val="nil"/>
              <w:right w:val="nil"/>
            </w:tcBorders>
            <w:tcMar>
              <w:left w:w="170" w:type="dxa"/>
              <w:right w:w="170" w:type="dxa"/>
            </w:tcMar>
          </w:tcPr>
          <w:p w14:paraId="74399B76" w14:textId="6B117FB1" w:rsidR="00B07FFB" w:rsidRPr="00626D32" w:rsidRDefault="00B07FFB" w:rsidP="00B07FFB">
            <w:pPr>
              <w:pStyle w:val="BoxSpaceBelow"/>
              <w:keepLines/>
            </w:pPr>
          </w:p>
        </w:tc>
      </w:tr>
    </w:tbl>
    <w:p w14:paraId="79549906" w14:textId="77777777" w:rsidR="00B07FFB" w:rsidRPr="004E3B94" w:rsidRDefault="00B07FFB" w:rsidP="00B07FF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07FFB" w14:paraId="3DC841C8" w14:textId="77777777" w:rsidTr="00B07FFB">
        <w:trPr>
          <w:tblHeader/>
        </w:trPr>
        <w:tc>
          <w:tcPr>
            <w:tcW w:w="5000" w:type="pct"/>
            <w:tcBorders>
              <w:top w:val="single" w:sz="6" w:space="0" w:color="78A22F"/>
              <w:left w:val="nil"/>
              <w:bottom w:val="nil"/>
              <w:right w:val="nil"/>
            </w:tcBorders>
            <w:shd w:val="clear" w:color="auto" w:fill="E5F1D0"/>
            <w:tcMar>
              <w:left w:w="170" w:type="dxa"/>
              <w:right w:w="170" w:type="dxa"/>
            </w:tcMar>
          </w:tcPr>
          <w:p w14:paraId="405FFF0C" w14:textId="606598F4" w:rsidR="00B07FFB" w:rsidRPr="00CE4C64" w:rsidRDefault="00B07FFB" w:rsidP="00B07FFB">
            <w:pPr>
              <w:pStyle w:val="RecTitle"/>
              <w:spacing w:before="120"/>
              <w:rPr>
                <w:noProof/>
              </w:rPr>
            </w:pPr>
            <w:r w:rsidRPr="002A7FC4">
              <w:t>Recommendation 6.</w:t>
            </w:r>
            <w:r>
              <w:t>3</w:t>
            </w:r>
          </w:p>
        </w:tc>
      </w:tr>
      <w:tr w:rsidR="00B07FFB" w:rsidRPr="00750BE2" w14:paraId="2CF2B9BE" w14:textId="77777777" w:rsidTr="00B07FFB">
        <w:tc>
          <w:tcPr>
            <w:tcW w:w="5000" w:type="pct"/>
            <w:tcBorders>
              <w:top w:val="nil"/>
              <w:left w:val="nil"/>
              <w:bottom w:val="nil"/>
              <w:right w:val="nil"/>
            </w:tcBorders>
            <w:shd w:val="clear" w:color="auto" w:fill="E5F1D0"/>
            <w:tcMar>
              <w:left w:w="170" w:type="dxa"/>
              <w:right w:w="170" w:type="dxa"/>
            </w:tcMar>
          </w:tcPr>
          <w:p w14:paraId="46906801" w14:textId="51E2C51B" w:rsidR="00B07FFB" w:rsidRDefault="00B07FFB" w:rsidP="00B07FFB">
            <w:pPr>
              <w:pStyle w:val="Rec"/>
              <w:keepNext/>
            </w:pPr>
            <w:r>
              <w:t xml:space="preserve">The CGC should strengthen its formal interactions with the State and Commonwealth Governments. In particular, when requested by a State Government, it should provide </w:t>
            </w:r>
            <w:r w:rsidRPr="00F82C1F">
              <w:t xml:space="preserve">provisional </w:t>
            </w:r>
            <w:r>
              <w:t>‘draft rulings’ on the HFE implications of a policy change.</w:t>
            </w:r>
          </w:p>
        </w:tc>
      </w:tr>
      <w:tr w:rsidR="00B07FFB" w14:paraId="1DF84CCE" w14:textId="77777777" w:rsidTr="00B07FFB">
        <w:tc>
          <w:tcPr>
            <w:tcW w:w="5000" w:type="pct"/>
            <w:tcBorders>
              <w:top w:val="nil"/>
              <w:left w:val="nil"/>
              <w:bottom w:val="single" w:sz="6" w:space="0" w:color="78A22F"/>
              <w:right w:val="nil"/>
            </w:tcBorders>
            <w:shd w:val="clear" w:color="auto" w:fill="E5F1D0"/>
            <w:tcMar>
              <w:left w:w="170" w:type="dxa"/>
              <w:right w:w="170" w:type="dxa"/>
            </w:tcMar>
          </w:tcPr>
          <w:p w14:paraId="76CC7D85" w14:textId="77777777" w:rsidR="00B07FFB" w:rsidRDefault="00B07FFB" w:rsidP="00B07FFB">
            <w:pPr>
              <w:pStyle w:val="Space"/>
              <w:keepLines/>
            </w:pPr>
          </w:p>
        </w:tc>
      </w:tr>
      <w:tr w:rsidR="00B07FFB" w:rsidRPr="000863A5" w14:paraId="02544EF0" w14:textId="77777777" w:rsidTr="00B07FFB">
        <w:tc>
          <w:tcPr>
            <w:tcW w:w="5000" w:type="pct"/>
            <w:tcBorders>
              <w:top w:val="single" w:sz="6" w:space="0" w:color="78A22F"/>
              <w:left w:val="nil"/>
              <w:bottom w:val="nil"/>
              <w:right w:val="nil"/>
            </w:tcBorders>
            <w:tcMar>
              <w:left w:w="170" w:type="dxa"/>
              <w:right w:w="170" w:type="dxa"/>
            </w:tcMar>
          </w:tcPr>
          <w:p w14:paraId="59A74D7B" w14:textId="4BA66089" w:rsidR="00B07FFB" w:rsidRPr="00626D32" w:rsidRDefault="00B07FFB" w:rsidP="00B07FFB">
            <w:pPr>
              <w:pStyle w:val="BoxSpaceBelow"/>
              <w:keepLines/>
            </w:pPr>
          </w:p>
        </w:tc>
      </w:tr>
    </w:tbl>
    <w:p w14:paraId="7954990C"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9910"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990D" w14:textId="77777777" w:rsidR="00F05DC7" w:rsidRDefault="00F05DC7" w:rsidP="00A3786D">
            <w:pPr>
              <w:pStyle w:val="RecTitle"/>
              <w:spacing w:before="120"/>
              <w:rPr>
                <w:noProof/>
              </w:rPr>
            </w:pPr>
            <w:r>
              <w:t>Recommendation 6.4</w:t>
            </w:r>
          </w:p>
          <w:p w14:paraId="7954990E" w14:textId="77777777" w:rsidR="00F05DC7" w:rsidRDefault="00F05DC7" w:rsidP="00A3786D">
            <w:pPr>
              <w:pStyle w:val="Rec"/>
              <w:keepNext/>
            </w:pPr>
            <w:r>
              <w:t xml:space="preserve">The Commonwealth Government, in consultation with the States, should develop clear guidelines detailing the basis on which Commonwealth payments are to be quarantined from HFE by the Commonwealth Treasurer (so that they do not unnecessarily erode the efficacy of the CGC’s relativities and compromise the objective of HFE). </w:t>
            </w:r>
          </w:p>
          <w:p w14:paraId="7954990F" w14:textId="77777777" w:rsidR="00F05DC7" w:rsidRPr="00CE4C64" w:rsidRDefault="00F05DC7" w:rsidP="00A3786D">
            <w:pPr>
              <w:pStyle w:val="Rec"/>
              <w:keepNext/>
            </w:pPr>
            <w:r>
              <w:t xml:space="preserve">The guidelines should strike a balance between enhancing accountability and transparency, while not unduly affecting the Treasurer’s ability to quarantine payments in exceptional circumstances that are in the national interest. </w:t>
            </w:r>
          </w:p>
        </w:tc>
      </w:tr>
      <w:tr w:rsidR="00F05DC7" w14:paraId="79549912"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9911" w14:textId="77777777" w:rsidR="00F05DC7" w:rsidRDefault="00F05DC7" w:rsidP="00A3786D">
            <w:pPr>
              <w:pStyle w:val="Space"/>
              <w:keepLines/>
            </w:pPr>
          </w:p>
        </w:tc>
      </w:tr>
      <w:tr w:rsidR="00F05DC7" w:rsidRPr="000863A5" w14:paraId="79549914" w14:textId="77777777" w:rsidTr="00A3786D">
        <w:tc>
          <w:tcPr>
            <w:tcW w:w="5000" w:type="pct"/>
            <w:tcBorders>
              <w:top w:val="single" w:sz="6" w:space="0" w:color="78A22F"/>
              <w:left w:val="nil"/>
              <w:bottom w:val="nil"/>
              <w:right w:val="nil"/>
            </w:tcBorders>
            <w:tcMar>
              <w:left w:w="170" w:type="dxa"/>
              <w:right w:w="170" w:type="dxa"/>
            </w:tcMar>
          </w:tcPr>
          <w:p w14:paraId="79549913" w14:textId="77777777" w:rsidR="00F05DC7" w:rsidRPr="00626D32" w:rsidRDefault="00F05DC7" w:rsidP="00A3786D">
            <w:pPr>
              <w:pStyle w:val="BoxSpaceBelow"/>
              <w:keepLines/>
            </w:pPr>
          </w:p>
        </w:tc>
      </w:tr>
    </w:tbl>
    <w:p w14:paraId="79549915"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9917"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9916" w14:textId="77777777" w:rsidR="00F05DC7" w:rsidRPr="00CE4C64" w:rsidRDefault="00F05DC7" w:rsidP="00A3786D">
            <w:pPr>
              <w:pStyle w:val="RecTitle"/>
              <w:spacing w:before="120"/>
              <w:rPr>
                <w:noProof/>
              </w:rPr>
            </w:pPr>
            <w:r>
              <w:t>Recommendation 6.5</w:t>
            </w:r>
          </w:p>
        </w:tc>
      </w:tr>
      <w:tr w:rsidR="00F05DC7" w:rsidRPr="00750BE2" w14:paraId="7954991B" w14:textId="77777777" w:rsidTr="00A3786D">
        <w:tc>
          <w:tcPr>
            <w:tcW w:w="5000" w:type="pct"/>
            <w:tcBorders>
              <w:top w:val="nil"/>
              <w:left w:val="nil"/>
              <w:bottom w:val="nil"/>
              <w:right w:val="nil"/>
            </w:tcBorders>
            <w:shd w:val="clear" w:color="auto" w:fill="E5F1D0"/>
            <w:tcMar>
              <w:left w:w="170" w:type="dxa"/>
              <w:right w:w="170" w:type="dxa"/>
            </w:tcMar>
          </w:tcPr>
          <w:p w14:paraId="79549918" w14:textId="77777777" w:rsidR="00F05DC7" w:rsidRPr="00737F73" w:rsidRDefault="00F05DC7" w:rsidP="00A3786D">
            <w:pPr>
              <w:pStyle w:val="Rec"/>
              <w:rPr>
                <w:rStyle w:val="DraftingNote"/>
                <w:b w:val="0"/>
                <w:color w:val="auto"/>
                <w:sz w:val="22"/>
                <w:u w:val="none"/>
              </w:rPr>
            </w:pPr>
            <w:r w:rsidRPr="00737F73">
              <w:rPr>
                <w:rStyle w:val="DraftingNote"/>
                <w:b w:val="0"/>
                <w:color w:val="auto"/>
                <w:sz w:val="22"/>
                <w:u w:val="none"/>
              </w:rPr>
              <w:t>The Commonwealth Government should strengthen the CGC’s decision</w:t>
            </w:r>
            <w:r w:rsidRPr="00737F73">
              <w:rPr>
                <w:rStyle w:val="DraftingNote"/>
                <w:b w:val="0"/>
                <w:color w:val="auto"/>
                <w:sz w:val="22"/>
                <w:u w:val="none"/>
              </w:rPr>
              <w:noBreakHyphen/>
              <w:t>making framework. In particular:</w:t>
            </w:r>
          </w:p>
          <w:p w14:paraId="79549919" w14:textId="77777777" w:rsidR="00F05DC7" w:rsidRDefault="00F05DC7" w:rsidP="00A3786D">
            <w:pPr>
              <w:pStyle w:val="RecBullet"/>
              <w:rPr>
                <w:rStyle w:val="DraftingNote"/>
                <w:b w:val="0"/>
                <w:color w:val="auto"/>
                <w:sz w:val="22"/>
                <w:u w:val="none"/>
              </w:rPr>
            </w:pPr>
            <w:r w:rsidRPr="00737F73">
              <w:rPr>
                <w:rStyle w:val="DraftingNote"/>
                <w:b w:val="0"/>
                <w:color w:val="auto"/>
                <w:sz w:val="22"/>
                <w:u w:val="none"/>
              </w:rPr>
              <w:t>the Commonwealth Treasury should provide input, including public submissions, to the CGC’s five</w:t>
            </w:r>
            <w:r w:rsidRPr="00737F73">
              <w:rPr>
                <w:rStyle w:val="DraftingNote"/>
                <w:b w:val="0"/>
                <w:color w:val="auto"/>
                <w:sz w:val="22"/>
                <w:u w:val="none"/>
              </w:rPr>
              <w:noBreakHyphen/>
              <w:t>yearly methodology review process, drawing upon its community</w:t>
            </w:r>
            <w:r w:rsidRPr="00737F73">
              <w:rPr>
                <w:rStyle w:val="DraftingNote"/>
                <w:b w:val="0"/>
                <w:color w:val="auto"/>
                <w:sz w:val="22"/>
                <w:u w:val="none"/>
              </w:rPr>
              <w:noBreakHyphen/>
              <w:t>wide perspective</w:t>
            </w:r>
          </w:p>
          <w:p w14:paraId="7954991A" w14:textId="77777777" w:rsidR="00F05DC7" w:rsidRDefault="00F05DC7" w:rsidP="00A3786D">
            <w:pPr>
              <w:pStyle w:val="RecBullet"/>
            </w:pPr>
            <w:r w:rsidRPr="004844BA">
              <w:rPr>
                <w:rStyle w:val="DraftingNote"/>
                <w:b w:val="0"/>
                <w:color w:val="auto"/>
                <w:sz w:val="22"/>
                <w:u w:val="none"/>
              </w:rPr>
              <w:t>the Commonwealth Treasurer should nominate specific areas of focus for the CGC in the terms of reference for the five</w:t>
            </w:r>
            <w:r w:rsidRPr="004844BA">
              <w:rPr>
                <w:rStyle w:val="DraftingNote"/>
                <w:b w:val="0"/>
                <w:color w:val="auto"/>
                <w:sz w:val="22"/>
                <w:u w:val="none"/>
              </w:rPr>
              <w:noBreakHyphen/>
              <w:t>yearly methodology reviews, following (as is currently the case) consultation with the States.</w:t>
            </w:r>
          </w:p>
        </w:tc>
      </w:tr>
      <w:tr w:rsidR="00F05DC7" w14:paraId="7954991D"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991C" w14:textId="77777777" w:rsidR="00F05DC7" w:rsidRDefault="00F05DC7" w:rsidP="00A3786D">
            <w:pPr>
              <w:pStyle w:val="Space"/>
              <w:keepLines/>
            </w:pPr>
          </w:p>
        </w:tc>
      </w:tr>
      <w:tr w:rsidR="00F05DC7" w:rsidRPr="000863A5" w14:paraId="7954991F" w14:textId="77777777" w:rsidTr="00A3786D">
        <w:tc>
          <w:tcPr>
            <w:tcW w:w="5000" w:type="pct"/>
            <w:tcBorders>
              <w:top w:val="single" w:sz="6" w:space="0" w:color="78A22F"/>
              <w:left w:val="nil"/>
              <w:bottom w:val="nil"/>
              <w:right w:val="nil"/>
            </w:tcBorders>
            <w:tcMar>
              <w:left w:w="170" w:type="dxa"/>
              <w:right w:w="170" w:type="dxa"/>
            </w:tcMar>
          </w:tcPr>
          <w:p w14:paraId="7954991E" w14:textId="77777777" w:rsidR="00F05DC7" w:rsidRPr="00626D32" w:rsidRDefault="00F05DC7" w:rsidP="00A3786D">
            <w:pPr>
              <w:pStyle w:val="BoxSpaceBelow"/>
              <w:keepLines/>
            </w:pPr>
          </w:p>
        </w:tc>
      </w:tr>
    </w:tbl>
    <w:p w14:paraId="79549920"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rsidRPr="002A7FC4" w14:paraId="79549923"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9921" w14:textId="77777777" w:rsidR="00F05DC7" w:rsidRPr="002A7FC4" w:rsidRDefault="00F05DC7" w:rsidP="00A3786D">
            <w:pPr>
              <w:pStyle w:val="RecTitle"/>
              <w:spacing w:before="120"/>
              <w:rPr>
                <w:noProof/>
              </w:rPr>
            </w:pPr>
            <w:r w:rsidRPr="002A7FC4">
              <w:t>Recommendation 6.</w:t>
            </w:r>
            <w:r>
              <w:t>6</w:t>
            </w:r>
          </w:p>
          <w:p w14:paraId="79549922" w14:textId="77777777" w:rsidR="00F05DC7" w:rsidRPr="002A7FC4" w:rsidRDefault="00F05DC7" w:rsidP="00A3786D">
            <w:pPr>
              <w:pStyle w:val="Rec"/>
              <w:keepNext/>
            </w:pPr>
            <w:r>
              <w:t xml:space="preserve">The CGC should immediately and systematically make the data provided by the States publicly available on its website, along with the CGC’s calculations on these data. </w:t>
            </w:r>
          </w:p>
        </w:tc>
      </w:tr>
      <w:tr w:rsidR="00F05DC7" w:rsidRPr="002A7FC4" w14:paraId="79549925"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9924" w14:textId="77777777" w:rsidR="00F05DC7" w:rsidRPr="002A7FC4" w:rsidRDefault="00F05DC7" w:rsidP="00A3786D">
            <w:pPr>
              <w:pStyle w:val="Space"/>
              <w:keepLines/>
            </w:pPr>
          </w:p>
        </w:tc>
      </w:tr>
      <w:tr w:rsidR="00F05DC7" w:rsidRPr="002A7FC4" w14:paraId="79549927" w14:textId="77777777" w:rsidTr="00A3786D">
        <w:tc>
          <w:tcPr>
            <w:tcW w:w="5000" w:type="pct"/>
            <w:tcBorders>
              <w:top w:val="single" w:sz="6" w:space="0" w:color="78A22F"/>
              <w:left w:val="nil"/>
              <w:bottom w:val="nil"/>
              <w:right w:val="nil"/>
            </w:tcBorders>
            <w:tcMar>
              <w:left w:w="170" w:type="dxa"/>
              <w:right w:w="170" w:type="dxa"/>
            </w:tcMar>
          </w:tcPr>
          <w:p w14:paraId="79549926" w14:textId="77777777" w:rsidR="00F05DC7" w:rsidRPr="002A7FC4" w:rsidRDefault="00F05DC7" w:rsidP="00A3786D">
            <w:pPr>
              <w:pStyle w:val="BoxSpaceBelow"/>
              <w:keepLines/>
            </w:pPr>
          </w:p>
        </w:tc>
      </w:tr>
    </w:tbl>
    <w:p w14:paraId="79549928" w14:textId="77777777" w:rsidR="00F05DC7" w:rsidRPr="00AC3D16" w:rsidRDefault="00F05DC7" w:rsidP="00AC3D16">
      <w:pPr>
        <w:pStyle w:val="Heading2"/>
        <w:rPr>
          <w:sz w:val="26"/>
          <w:szCs w:val="26"/>
        </w:rPr>
      </w:pPr>
      <w:bookmarkStart w:id="42" w:name="_Toc513637692"/>
      <w:r w:rsidRPr="00AC3D16">
        <w:rPr>
          <w:sz w:val="26"/>
          <w:szCs w:val="26"/>
        </w:rPr>
        <w:lastRenderedPageBreak/>
        <w:t>‘In system’ changes to better assess States’ fiscal capacities</w:t>
      </w:r>
      <w:bookmarkEnd w:id="42"/>
    </w:p>
    <w:p w14:paraId="79549929"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92C"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92A" w14:textId="77777777" w:rsidR="00F05DC7" w:rsidRPr="002A7FC4" w:rsidRDefault="00F05DC7" w:rsidP="00A3786D">
            <w:pPr>
              <w:pStyle w:val="FindingTitle"/>
              <w:spacing w:before="120"/>
              <w:rPr>
                <w:noProof/>
              </w:rPr>
            </w:pPr>
            <w:r w:rsidRPr="002A7FC4">
              <w:t>Finding 7.1</w:t>
            </w:r>
          </w:p>
          <w:p w14:paraId="7954992B" w14:textId="77777777" w:rsidR="00F05DC7" w:rsidRPr="002A7FC4" w:rsidRDefault="00F05DC7" w:rsidP="00A3786D">
            <w:pPr>
              <w:pStyle w:val="Finding"/>
              <w:keepNext/>
            </w:pPr>
            <w:r w:rsidRPr="002A7FC4">
              <w:t xml:space="preserve">The use of externally defined benchmark costs in the HFE system to assess State expenditure on service delivery would encourage greater efficiency, but faces daunting practical difficulties and a high degree of scope for dispute. </w:t>
            </w:r>
          </w:p>
        </w:tc>
      </w:tr>
      <w:tr w:rsidR="00F05DC7" w:rsidRPr="002A7FC4" w14:paraId="7954992E"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92D" w14:textId="77777777" w:rsidR="00F05DC7" w:rsidRPr="002A7FC4" w:rsidRDefault="00F05DC7" w:rsidP="00A3786D">
            <w:pPr>
              <w:pStyle w:val="Space"/>
              <w:keepLines/>
            </w:pPr>
          </w:p>
        </w:tc>
      </w:tr>
      <w:tr w:rsidR="00F05DC7" w:rsidRPr="002A7FC4" w14:paraId="79549930"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92F" w14:textId="77777777" w:rsidR="00F05DC7" w:rsidRPr="002A7FC4" w:rsidRDefault="00F05DC7" w:rsidP="00A3786D">
            <w:pPr>
              <w:pStyle w:val="BoxSpaceBelow"/>
              <w:keepLines/>
            </w:pPr>
          </w:p>
        </w:tc>
      </w:tr>
    </w:tbl>
    <w:p w14:paraId="79549931"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934"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932" w14:textId="77777777" w:rsidR="00F05DC7" w:rsidRPr="002A7FC4" w:rsidRDefault="00F05DC7" w:rsidP="00A3786D">
            <w:pPr>
              <w:pStyle w:val="FindingTitle"/>
              <w:spacing w:before="120"/>
              <w:rPr>
                <w:noProof/>
              </w:rPr>
            </w:pPr>
            <w:r w:rsidRPr="002A7FC4">
              <w:t>Finding 7.2</w:t>
            </w:r>
          </w:p>
          <w:p w14:paraId="79549933" w14:textId="77777777" w:rsidR="00F05DC7" w:rsidRPr="002A7FC4" w:rsidRDefault="00F05DC7" w:rsidP="00A3786D">
            <w:pPr>
              <w:pStyle w:val="Finding"/>
              <w:keepNext/>
            </w:pPr>
            <w:r w:rsidRPr="002A7FC4">
              <w:t xml:space="preserve">Using a single broad indicator to assess States’ fiscal capacities offers considerable potential to improve policy neutrality and simplify the HFE system. However, </w:t>
            </w:r>
            <w:r>
              <w:t>a</w:t>
            </w:r>
            <w:r w:rsidRPr="00961F59">
              <w:t xml:space="preserve"> single indicator that accurately reflects the underlying revenue</w:t>
            </w:r>
            <w:r>
              <w:noBreakHyphen/>
            </w:r>
            <w:r w:rsidRPr="00961F59">
              <w:t xml:space="preserve">raising capacities and expenditure needs of each State </w:t>
            </w:r>
            <w:r>
              <w:t xml:space="preserve">remains elusive and arguably does not </w:t>
            </w:r>
            <w:r w:rsidRPr="00961F59">
              <w:t>exist.</w:t>
            </w:r>
            <w:r>
              <w:t xml:space="preserve"> </w:t>
            </w:r>
          </w:p>
        </w:tc>
      </w:tr>
      <w:tr w:rsidR="00F05DC7" w:rsidRPr="002A7FC4" w14:paraId="79549936"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935" w14:textId="77777777" w:rsidR="00F05DC7" w:rsidRPr="002A7FC4" w:rsidRDefault="00F05DC7" w:rsidP="00A3786D">
            <w:pPr>
              <w:pStyle w:val="Space"/>
              <w:keepLines/>
            </w:pPr>
          </w:p>
        </w:tc>
      </w:tr>
      <w:tr w:rsidR="00F05DC7" w:rsidRPr="002A7FC4" w14:paraId="79549938"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937" w14:textId="77777777" w:rsidR="00F05DC7" w:rsidRPr="002A7FC4" w:rsidRDefault="00F05DC7" w:rsidP="00A3786D">
            <w:pPr>
              <w:pStyle w:val="BoxSpaceBelow"/>
              <w:keepLines/>
            </w:pPr>
          </w:p>
        </w:tc>
      </w:tr>
    </w:tbl>
    <w:p w14:paraId="79549939"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93D"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93A" w14:textId="77777777" w:rsidR="00F05DC7" w:rsidRPr="002A7FC4" w:rsidRDefault="00F05DC7" w:rsidP="00A3786D">
            <w:pPr>
              <w:pStyle w:val="FindingTitle"/>
              <w:spacing w:before="120"/>
              <w:rPr>
                <w:noProof/>
              </w:rPr>
            </w:pPr>
            <w:r w:rsidRPr="002A7FC4">
              <w:t>Finding 7.3</w:t>
            </w:r>
          </w:p>
          <w:p w14:paraId="7954993B" w14:textId="77777777" w:rsidR="00F05DC7" w:rsidRDefault="00F05DC7" w:rsidP="00A3786D">
            <w:pPr>
              <w:pStyle w:val="Finding"/>
              <w:keepNext/>
            </w:pPr>
            <w:r w:rsidRPr="002A7FC4">
              <w:t>The use of more policy</w:t>
            </w:r>
            <w:r w:rsidRPr="002A7FC4">
              <w:noBreakHyphen/>
              <w:t xml:space="preserve">neutral revenue and expenditure indicators, along with significantly higher materiality thresholds, offers considerable scope to secure greater </w:t>
            </w:r>
            <w:r>
              <w:t xml:space="preserve">efficiency and simplify </w:t>
            </w:r>
            <w:r w:rsidRPr="002A7FC4">
              <w:t>the HFE system</w:t>
            </w:r>
            <w:r>
              <w:t xml:space="preserve"> </w:t>
            </w:r>
            <w:r w:rsidRPr="002A7FC4">
              <w:t xml:space="preserve">(and therefore improve transparency and accountability), while also achieving a high degree of </w:t>
            </w:r>
            <w:r>
              <w:t xml:space="preserve">fiscal </w:t>
            </w:r>
            <w:r w:rsidRPr="002A7FC4">
              <w:t>equ</w:t>
            </w:r>
            <w:r>
              <w:t>ality</w:t>
            </w:r>
            <w:r w:rsidRPr="002A7FC4">
              <w:t xml:space="preserve"> in overall State fiscal capacities. </w:t>
            </w:r>
          </w:p>
          <w:p w14:paraId="7954993C" w14:textId="77777777" w:rsidR="00F05DC7" w:rsidRPr="002A7FC4" w:rsidRDefault="00F05DC7" w:rsidP="00A3786D">
            <w:pPr>
              <w:pStyle w:val="Finding"/>
              <w:keepNext/>
            </w:pPr>
            <w:r>
              <w:t xml:space="preserve">The Commission has identified one prospective candidate — in the stamp duty tax base. </w:t>
            </w:r>
            <w:r w:rsidRPr="002A7FC4">
              <w:t>But there is only limited scope to secure</w:t>
            </w:r>
            <w:r>
              <w:t xml:space="preserve"> greater</w:t>
            </w:r>
            <w:r w:rsidRPr="002A7FC4">
              <w:t xml:space="preserve"> policy neutrality through this approach where it matters most — in the mining assessment.</w:t>
            </w:r>
          </w:p>
        </w:tc>
      </w:tr>
      <w:tr w:rsidR="00F05DC7" w:rsidRPr="002A7FC4" w14:paraId="7954993F"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93E" w14:textId="77777777" w:rsidR="00F05DC7" w:rsidRPr="002A7FC4" w:rsidRDefault="00F05DC7" w:rsidP="00A3786D">
            <w:pPr>
              <w:pStyle w:val="Space"/>
              <w:keepLines/>
            </w:pPr>
          </w:p>
        </w:tc>
      </w:tr>
      <w:tr w:rsidR="00F05DC7" w:rsidRPr="002A7FC4" w14:paraId="79549941"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940" w14:textId="77777777" w:rsidR="00F05DC7" w:rsidRPr="002A7FC4" w:rsidRDefault="00F05DC7" w:rsidP="00A3786D">
            <w:pPr>
              <w:pStyle w:val="BoxSpaceBelow"/>
              <w:keepLines/>
            </w:pPr>
          </w:p>
        </w:tc>
      </w:tr>
    </w:tbl>
    <w:p w14:paraId="79549942"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9944"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943" w14:textId="77777777" w:rsidR="00F05DC7" w:rsidRPr="00CE4C64" w:rsidRDefault="00F05DC7" w:rsidP="00A3786D">
            <w:pPr>
              <w:pStyle w:val="FindingTitle"/>
              <w:spacing w:before="120"/>
              <w:rPr>
                <w:noProof/>
              </w:rPr>
            </w:pPr>
            <w:r>
              <w:t>Finding 7.4</w:t>
            </w:r>
          </w:p>
        </w:tc>
      </w:tr>
      <w:tr w:rsidR="00F05DC7" w:rsidRPr="00750BE2" w14:paraId="79549946" w14:textId="77777777" w:rsidTr="00A3786D">
        <w:trPr>
          <w:cantSplit/>
        </w:trPr>
        <w:tc>
          <w:tcPr>
            <w:tcW w:w="5000" w:type="pct"/>
            <w:tcBorders>
              <w:top w:val="nil"/>
              <w:left w:val="nil"/>
              <w:bottom w:val="nil"/>
              <w:right w:val="nil"/>
            </w:tcBorders>
            <w:shd w:val="clear" w:color="auto" w:fill="F2F2F2"/>
            <w:tcMar>
              <w:left w:w="170" w:type="dxa"/>
              <w:right w:w="170" w:type="dxa"/>
            </w:tcMar>
          </w:tcPr>
          <w:p w14:paraId="79549945" w14:textId="77777777" w:rsidR="00F05DC7" w:rsidRDefault="00F05DC7" w:rsidP="00A3786D">
            <w:pPr>
              <w:pStyle w:val="Finding"/>
              <w:keepNext/>
            </w:pPr>
            <w:r w:rsidRPr="00737F73">
              <w:t>Discounting mining (or other revenue categories) in the HFE process — or removing it entirely — is not justified and would come at a high cost to fiscal equality.</w:t>
            </w:r>
          </w:p>
        </w:tc>
      </w:tr>
      <w:tr w:rsidR="00F05DC7" w14:paraId="79549948" w14:textId="77777777" w:rsidTr="00A3786D">
        <w:trPr>
          <w:cantSplit/>
        </w:trPr>
        <w:tc>
          <w:tcPr>
            <w:tcW w:w="5000" w:type="pct"/>
            <w:tcBorders>
              <w:top w:val="nil"/>
              <w:left w:val="nil"/>
              <w:bottom w:val="single" w:sz="6" w:space="0" w:color="78A22F"/>
              <w:right w:val="nil"/>
            </w:tcBorders>
            <w:shd w:val="clear" w:color="auto" w:fill="F2F2F2"/>
            <w:tcMar>
              <w:left w:w="170" w:type="dxa"/>
              <w:right w:w="170" w:type="dxa"/>
            </w:tcMar>
          </w:tcPr>
          <w:p w14:paraId="79549947" w14:textId="77777777" w:rsidR="00F05DC7" w:rsidRDefault="00F05DC7" w:rsidP="00A3786D">
            <w:pPr>
              <w:pStyle w:val="Space"/>
              <w:keepLines/>
            </w:pPr>
          </w:p>
        </w:tc>
      </w:tr>
      <w:tr w:rsidR="00F05DC7" w:rsidRPr="000863A5" w14:paraId="7954994A" w14:textId="77777777" w:rsidTr="00A3786D">
        <w:trPr>
          <w:cantSplit/>
        </w:trPr>
        <w:tc>
          <w:tcPr>
            <w:tcW w:w="5000" w:type="pct"/>
            <w:tcBorders>
              <w:top w:val="single" w:sz="6" w:space="0" w:color="78A22F"/>
              <w:left w:val="nil"/>
              <w:bottom w:val="nil"/>
              <w:right w:val="nil"/>
            </w:tcBorders>
            <w:tcMar>
              <w:left w:w="170" w:type="dxa"/>
              <w:right w:w="170" w:type="dxa"/>
            </w:tcMar>
          </w:tcPr>
          <w:p w14:paraId="79549949" w14:textId="77777777" w:rsidR="00F05DC7" w:rsidRPr="00626D32" w:rsidRDefault="00F05DC7" w:rsidP="00A3786D">
            <w:pPr>
              <w:pStyle w:val="BoxSpaceBelow"/>
              <w:keepLines/>
            </w:pPr>
          </w:p>
        </w:tc>
      </w:tr>
    </w:tbl>
    <w:p w14:paraId="7954994B" w14:textId="77777777" w:rsidR="00F05DC7" w:rsidRPr="002A7FC4" w:rsidRDefault="00F05DC7" w:rsidP="00A3786D">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94D"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94C" w14:textId="77777777" w:rsidR="00F05DC7" w:rsidRPr="002A7FC4" w:rsidRDefault="00F05DC7" w:rsidP="00A3786D">
            <w:pPr>
              <w:pStyle w:val="FindingTitle"/>
              <w:spacing w:before="120"/>
              <w:rPr>
                <w:noProof/>
              </w:rPr>
            </w:pPr>
            <w:r w:rsidRPr="002A7FC4">
              <w:t>Finding 7.5</w:t>
            </w:r>
          </w:p>
        </w:tc>
      </w:tr>
      <w:tr w:rsidR="00F05DC7" w:rsidRPr="002A7FC4" w14:paraId="7954994F" w14:textId="77777777" w:rsidTr="00A3786D">
        <w:trPr>
          <w:cantSplit/>
        </w:trPr>
        <w:tc>
          <w:tcPr>
            <w:tcW w:w="5000" w:type="pct"/>
            <w:tcBorders>
              <w:top w:val="nil"/>
              <w:left w:val="nil"/>
              <w:bottom w:val="nil"/>
              <w:right w:val="nil"/>
            </w:tcBorders>
            <w:shd w:val="clear" w:color="auto" w:fill="F2F2F2"/>
            <w:tcMar>
              <w:left w:w="170" w:type="dxa"/>
              <w:right w:w="170" w:type="dxa"/>
            </w:tcMar>
          </w:tcPr>
          <w:p w14:paraId="7954994E" w14:textId="77777777" w:rsidR="00F05DC7" w:rsidRPr="002A7FC4" w:rsidRDefault="00F05DC7" w:rsidP="00A3786D">
            <w:pPr>
              <w:pStyle w:val="Finding"/>
              <w:keepNext/>
            </w:pPr>
            <w:r>
              <w:t>The CGC’s proposal to discount revenues such that a State retains at least 50 per cent of the own</w:t>
            </w:r>
            <w:r>
              <w:noBreakHyphen/>
              <w:t>source revenue impacts of a tax or royalty rate change (net of GST payments) is an incomplete approach to mitigate policy non</w:t>
            </w:r>
            <w:r>
              <w:noBreakHyphen/>
              <w:t xml:space="preserve">neutrality in HFE. </w:t>
            </w:r>
            <w:r w:rsidRPr="00D53CF9">
              <w:t xml:space="preserve">It would only address policy influence on average tax rates, </w:t>
            </w:r>
            <w:r>
              <w:t xml:space="preserve">not on tax bases, </w:t>
            </w:r>
            <w:r w:rsidRPr="00D53CF9">
              <w:t>and only for Western Australia for the foreseeable future.</w:t>
            </w:r>
          </w:p>
        </w:tc>
      </w:tr>
      <w:tr w:rsidR="00F05DC7" w:rsidRPr="002A7FC4" w14:paraId="79549951" w14:textId="77777777" w:rsidTr="00A3786D">
        <w:trPr>
          <w:cantSplit/>
        </w:trPr>
        <w:tc>
          <w:tcPr>
            <w:tcW w:w="5000" w:type="pct"/>
            <w:tcBorders>
              <w:top w:val="nil"/>
              <w:left w:val="nil"/>
              <w:bottom w:val="single" w:sz="6" w:space="0" w:color="78A22F"/>
              <w:right w:val="nil"/>
            </w:tcBorders>
            <w:shd w:val="clear" w:color="auto" w:fill="F2F2F2"/>
            <w:tcMar>
              <w:left w:w="170" w:type="dxa"/>
              <w:right w:w="170" w:type="dxa"/>
            </w:tcMar>
          </w:tcPr>
          <w:p w14:paraId="79549950" w14:textId="77777777" w:rsidR="00F05DC7" w:rsidRPr="002A7FC4" w:rsidRDefault="00F05DC7" w:rsidP="00A3786D">
            <w:pPr>
              <w:pStyle w:val="Space"/>
              <w:keepLines/>
            </w:pPr>
          </w:p>
        </w:tc>
      </w:tr>
      <w:tr w:rsidR="00F05DC7" w:rsidRPr="002A7FC4" w14:paraId="79549953" w14:textId="77777777" w:rsidTr="00A3786D">
        <w:tc>
          <w:tcPr>
            <w:tcW w:w="5000" w:type="pct"/>
            <w:tcBorders>
              <w:top w:val="single" w:sz="6" w:space="0" w:color="78A22F"/>
              <w:left w:val="nil"/>
              <w:bottom w:val="nil"/>
              <w:right w:val="nil"/>
            </w:tcBorders>
            <w:tcMar>
              <w:left w:w="170" w:type="dxa"/>
              <w:right w:w="170" w:type="dxa"/>
            </w:tcMar>
          </w:tcPr>
          <w:p w14:paraId="79549952" w14:textId="77777777" w:rsidR="00F05DC7" w:rsidRPr="002A7FC4" w:rsidRDefault="00F05DC7" w:rsidP="00A3786D">
            <w:pPr>
              <w:pStyle w:val="BoxSpaceBelow"/>
              <w:keepLines/>
            </w:pPr>
          </w:p>
        </w:tc>
      </w:tr>
    </w:tbl>
    <w:p w14:paraId="79549954"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9956"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9955" w14:textId="77777777" w:rsidR="00F05DC7" w:rsidRPr="00CE4C64" w:rsidRDefault="00F05DC7" w:rsidP="00A3786D">
            <w:pPr>
              <w:pStyle w:val="RecTitle"/>
              <w:spacing w:before="120"/>
              <w:rPr>
                <w:noProof/>
              </w:rPr>
            </w:pPr>
            <w:r>
              <w:t>Recommendation 7.1</w:t>
            </w:r>
          </w:p>
        </w:tc>
      </w:tr>
      <w:tr w:rsidR="00F05DC7" w:rsidRPr="00750BE2" w14:paraId="7954995B" w14:textId="77777777" w:rsidTr="00A3786D">
        <w:tc>
          <w:tcPr>
            <w:tcW w:w="5000" w:type="pct"/>
            <w:tcBorders>
              <w:top w:val="nil"/>
              <w:left w:val="nil"/>
              <w:bottom w:val="nil"/>
              <w:right w:val="nil"/>
            </w:tcBorders>
            <w:shd w:val="clear" w:color="auto" w:fill="E5F1D0"/>
            <w:tcMar>
              <w:left w:w="170" w:type="dxa"/>
              <w:right w:w="170" w:type="dxa"/>
            </w:tcMar>
          </w:tcPr>
          <w:p w14:paraId="79549957" w14:textId="77777777" w:rsidR="00F05DC7" w:rsidRDefault="00F05DC7" w:rsidP="00A3786D">
            <w:pPr>
              <w:pStyle w:val="Rec"/>
              <w:keepNext/>
            </w:pPr>
            <w:r>
              <w:t>The Commonwealth Treasurer should direct the CGC (in accordance with the refocused HFE objective) to:</w:t>
            </w:r>
          </w:p>
          <w:p w14:paraId="79549958" w14:textId="7BE9DF67" w:rsidR="00F05DC7" w:rsidRDefault="00F05DC7" w:rsidP="00A3786D">
            <w:pPr>
              <w:pStyle w:val="RecBullet"/>
            </w:pPr>
            <w:r>
              <w:t>examine simpler and more aggregated revenue and expenditure assessments that use more policy</w:t>
            </w:r>
            <w:r>
              <w:noBreakHyphen/>
              <w:t xml:space="preserve">neutral indicators, consistent with achieving a reasonable </w:t>
            </w:r>
            <w:r w:rsidR="006C2AD3">
              <w:t>standard</w:t>
            </w:r>
            <w:r>
              <w:t xml:space="preserve"> of services </w:t>
            </w:r>
          </w:p>
          <w:p w14:paraId="79549959" w14:textId="77777777" w:rsidR="00F05DC7" w:rsidRDefault="00F05DC7" w:rsidP="00A3786D">
            <w:pPr>
              <w:pStyle w:val="RecBullet"/>
            </w:pPr>
            <w:r w:rsidRPr="003709AA">
              <w:t xml:space="preserve">adopt </w:t>
            </w:r>
            <w:r>
              <w:t>significant increases in materiality thresholds, which would assist in determining and applying more policy</w:t>
            </w:r>
            <w:r>
              <w:noBreakHyphen/>
              <w:t>neutral category level indicators.</w:t>
            </w:r>
          </w:p>
          <w:p w14:paraId="7954995A" w14:textId="77777777" w:rsidR="00F05DC7" w:rsidRDefault="00F05DC7" w:rsidP="00A3786D">
            <w:pPr>
              <w:pStyle w:val="Rec"/>
              <w:keepNext/>
            </w:pPr>
            <w:r>
              <w:t>This initial direction should be embedded in revised terms of reference for the CGC’s 2020 methodology review.</w:t>
            </w:r>
          </w:p>
        </w:tc>
      </w:tr>
      <w:tr w:rsidR="00F05DC7" w14:paraId="7954995D"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995C" w14:textId="77777777" w:rsidR="00F05DC7" w:rsidRDefault="00F05DC7" w:rsidP="00A3786D">
            <w:pPr>
              <w:pStyle w:val="Space"/>
              <w:keepLines/>
            </w:pPr>
          </w:p>
        </w:tc>
      </w:tr>
      <w:tr w:rsidR="00F05DC7" w:rsidRPr="000863A5" w14:paraId="7954995F" w14:textId="77777777" w:rsidTr="00A3786D">
        <w:tc>
          <w:tcPr>
            <w:tcW w:w="5000" w:type="pct"/>
            <w:tcBorders>
              <w:top w:val="single" w:sz="6" w:space="0" w:color="78A22F"/>
              <w:left w:val="nil"/>
              <w:bottom w:val="nil"/>
              <w:right w:val="nil"/>
            </w:tcBorders>
            <w:tcMar>
              <w:left w:w="170" w:type="dxa"/>
              <w:right w:w="170" w:type="dxa"/>
            </w:tcMar>
          </w:tcPr>
          <w:p w14:paraId="7954995E" w14:textId="77777777" w:rsidR="00F05DC7" w:rsidRPr="00626D32" w:rsidRDefault="00F05DC7" w:rsidP="00A3786D">
            <w:pPr>
              <w:pStyle w:val="BoxSpaceBelow"/>
              <w:keepLines/>
            </w:pPr>
          </w:p>
        </w:tc>
      </w:tr>
    </w:tbl>
    <w:p w14:paraId="79549960" w14:textId="77777777" w:rsidR="00F05DC7" w:rsidRPr="00AC3D16" w:rsidRDefault="00F05DC7" w:rsidP="00AC3D16">
      <w:pPr>
        <w:pStyle w:val="Heading2"/>
        <w:rPr>
          <w:sz w:val="26"/>
          <w:szCs w:val="26"/>
        </w:rPr>
      </w:pPr>
      <w:bookmarkStart w:id="43" w:name="_Toc513637693"/>
      <w:r w:rsidRPr="00AC3D16">
        <w:rPr>
          <w:sz w:val="26"/>
          <w:szCs w:val="26"/>
        </w:rPr>
        <w:t>Alternative equalisation benchmarks</w:t>
      </w:r>
      <w:bookmarkEnd w:id="43"/>
    </w:p>
    <w:p w14:paraId="79549961"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964"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962" w14:textId="77777777" w:rsidR="00F05DC7" w:rsidRPr="002A7FC4" w:rsidRDefault="00F05DC7" w:rsidP="00A3786D">
            <w:pPr>
              <w:pStyle w:val="FindingTitle"/>
              <w:spacing w:before="120"/>
              <w:rPr>
                <w:noProof/>
              </w:rPr>
            </w:pPr>
            <w:r w:rsidRPr="002A7FC4">
              <w:t>Finding 8.1</w:t>
            </w:r>
          </w:p>
          <w:p w14:paraId="79549963" w14:textId="2B644798" w:rsidR="00F05DC7" w:rsidRPr="002A7FC4" w:rsidRDefault="00F05DC7" w:rsidP="006C2AD3">
            <w:pPr>
              <w:pStyle w:val="Finding"/>
              <w:keepNext/>
            </w:pPr>
            <w:r w:rsidRPr="002A7FC4">
              <w:t xml:space="preserve">An equal per capita approach </w:t>
            </w:r>
            <w:r>
              <w:t>to the distribution of</w:t>
            </w:r>
            <w:r w:rsidRPr="002A7FC4">
              <w:t xml:space="preserve"> GST revenue is incapable of providing States with the fiscal capacities to deliver a reasonable </w:t>
            </w:r>
            <w:r w:rsidR="006C2AD3">
              <w:t>standard</w:t>
            </w:r>
            <w:r w:rsidRPr="002A7FC4">
              <w:t xml:space="preserve"> of services. </w:t>
            </w:r>
            <w:r>
              <w:t>It</w:t>
            </w:r>
            <w:r w:rsidRPr="002A7FC4">
              <w:t xml:space="preserve"> is thus inimical to the fiscal equality rationale underpinning </w:t>
            </w:r>
            <w:r>
              <w:t>HFE</w:t>
            </w:r>
            <w:r w:rsidRPr="002A7FC4">
              <w:t>.</w:t>
            </w:r>
          </w:p>
        </w:tc>
      </w:tr>
      <w:tr w:rsidR="00F05DC7" w:rsidRPr="002A7FC4" w14:paraId="79549966"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965" w14:textId="77777777" w:rsidR="00F05DC7" w:rsidRPr="002A7FC4" w:rsidRDefault="00F05DC7" w:rsidP="00A3786D">
            <w:pPr>
              <w:pStyle w:val="Space"/>
              <w:keepLines/>
            </w:pPr>
          </w:p>
        </w:tc>
      </w:tr>
      <w:tr w:rsidR="00F05DC7" w:rsidRPr="002A7FC4" w14:paraId="79549968"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967" w14:textId="77777777" w:rsidR="00F05DC7" w:rsidRPr="002A7FC4" w:rsidRDefault="00F05DC7" w:rsidP="00A3786D">
            <w:pPr>
              <w:pStyle w:val="BoxSpaceBelow"/>
              <w:keepLines/>
            </w:pPr>
          </w:p>
        </w:tc>
      </w:tr>
    </w:tbl>
    <w:p w14:paraId="79549969"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96C"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96A" w14:textId="77777777" w:rsidR="00F05DC7" w:rsidRPr="002A7FC4" w:rsidRDefault="00F05DC7" w:rsidP="00A3786D">
            <w:pPr>
              <w:pStyle w:val="FindingTitle"/>
              <w:spacing w:before="120"/>
              <w:rPr>
                <w:noProof/>
              </w:rPr>
            </w:pPr>
            <w:r w:rsidRPr="002A7FC4">
              <w:t>Finding 8.2</w:t>
            </w:r>
          </w:p>
          <w:p w14:paraId="7954996B" w14:textId="362FC573" w:rsidR="00F05DC7" w:rsidRPr="002A7FC4" w:rsidRDefault="00F05DC7" w:rsidP="006C2AD3">
            <w:pPr>
              <w:pStyle w:val="Finding"/>
              <w:keepNext/>
            </w:pPr>
            <w:r w:rsidRPr="002A7FC4">
              <w:t>An equal per capita with top</w:t>
            </w:r>
            <w:r w:rsidRPr="002A7FC4">
              <w:noBreakHyphen/>
              <w:t xml:space="preserve">up funding </w:t>
            </w:r>
            <w:r>
              <w:t>approach for distributing GST revenue c</w:t>
            </w:r>
            <w:r w:rsidRPr="002A7FC4">
              <w:t xml:space="preserve">ould provide all States with the fiscal capacity to deliver a reasonable </w:t>
            </w:r>
            <w:r w:rsidR="006C2AD3">
              <w:t>standard</w:t>
            </w:r>
            <w:r w:rsidRPr="002A7FC4">
              <w:t xml:space="preserve"> of services</w:t>
            </w:r>
            <w:r>
              <w:t>, depending on the level of top</w:t>
            </w:r>
            <w:r w:rsidRPr="002A7FC4">
              <w:noBreakHyphen/>
            </w:r>
            <w:r>
              <w:t>up funding</w:t>
            </w:r>
            <w:r w:rsidRPr="002A7FC4">
              <w:t xml:space="preserve">. While this would meet the </w:t>
            </w:r>
            <w:r>
              <w:t xml:space="preserve">fiscal </w:t>
            </w:r>
            <w:r w:rsidRPr="002A7FC4">
              <w:t>e</w:t>
            </w:r>
            <w:r>
              <w:t xml:space="preserve">quality </w:t>
            </w:r>
            <w:r w:rsidRPr="002A7FC4">
              <w:t xml:space="preserve">rationale underpinning </w:t>
            </w:r>
            <w:r>
              <w:t>HFE</w:t>
            </w:r>
            <w:r w:rsidRPr="002A7FC4">
              <w:t>, the top</w:t>
            </w:r>
            <w:r w:rsidRPr="002A7FC4">
              <w:noBreakHyphen/>
              <w:t xml:space="preserve">up funding would always be </w:t>
            </w:r>
            <w:r>
              <w:t>subject to the vagaries of the</w:t>
            </w:r>
            <w:r w:rsidRPr="002A7FC4">
              <w:t xml:space="preserve"> Commonwealth</w:t>
            </w:r>
            <w:r>
              <w:t xml:space="preserve"> budget. It should only be considered in the context of broader reform to federal financial relations that generate compensating benefits. </w:t>
            </w:r>
          </w:p>
        </w:tc>
      </w:tr>
      <w:tr w:rsidR="00F05DC7" w:rsidRPr="002A7FC4" w14:paraId="7954996E"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96D" w14:textId="77777777" w:rsidR="00F05DC7" w:rsidRPr="002A7FC4" w:rsidRDefault="00F05DC7" w:rsidP="00A3786D">
            <w:pPr>
              <w:pStyle w:val="Space"/>
              <w:keepLines/>
            </w:pPr>
          </w:p>
        </w:tc>
      </w:tr>
      <w:tr w:rsidR="00F05DC7" w:rsidRPr="002A7FC4" w14:paraId="79549970"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96F" w14:textId="77777777" w:rsidR="00F05DC7" w:rsidRPr="002A7FC4" w:rsidRDefault="00F05DC7" w:rsidP="00A3786D">
            <w:pPr>
              <w:pStyle w:val="BoxSpaceBelow"/>
              <w:keepLines/>
            </w:pPr>
          </w:p>
        </w:tc>
      </w:tr>
    </w:tbl>
    <w:p w14:paraId="79549971" w14:textId="77777777" w:rsidR="00F05DC7" w:rsidRPr="002A7FC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974"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972" w14:textId="77777777" w:rsidR="00F05DC7" w:rsidRPr="002A7FC4" w:rsidRDefault="00F05DC7" w:rsidP="00A3786D">
            <w:pPr>
              <w:pStyle w:val="FindingTitle"/>
              <w:spacing w:before="120"/>
              <w:rPr>
                <w:noProof/>
              </w:rPr>
            </w:pPr>
            <w:r w:rsidRPr="002A7FC4">
              <w:t>Finding 8.</w:t>
            </w:r>
            <w:r>
              <w:t>3</w:t>
            </w:r>
          </w:p>
          <w:p w14:paraId="79549973" w14:textId="77777777" w:rsidR="00F05DC7" w:rsidRPr="002A7FC4" w:rsidRDefault="00F05DC7" w:rsidP="00A3786D">
            <w:pPr>
              <w:pStyle w:val="Finding"/>
              <w:keepNext/>
            </w:pPr>
            <w:r w:rsidRPr="002A7FC4">
              <w:t>The introduction of a relativity floor would blunt the equalisation task and introduce greater incentives for policy effort for the beneficiary State</w:t>
            </w:r>
            <w:r>
              <w:t>(</w:t>
            </w:r>
            <w:r w:rsidRPr="002A7FC4">
              <w:t>s</w:t>
            </w:r>
            <w:r>
              <w:t>)</w:t>
            </w:r>
            <w:r w:rsidRPr="002A7FC4">
              <w:t xml:space="preserve"> — Western Australia for the foreseeable future. But a floor represents a band</w:t>
            </w:r>
            <w:r w:rsidRPr="002A7FC4">
              <w:noBreakHyphen/>
              <w:t>aid solution</w:t>
            </w:r>
            <w:r>
              <w:t>,</w:t>
            </w:r>
            <w:r w:rsidRPr="002A7FC4">
              <w:t xml:space="preserve"> as it </w:t>
            </w:r>
            <w:r>
              <w:t>is not well targeted to</w:t>
            </w:r>
            <w:r w:rsidRPr="002A7FC4">
              <w:t xml:space="preserve"> broader efficiency and fairness problems. </w:t>
            </w:r>
          </w:p>
        </w:tc>
      </w:tr>
      <w:tr w:rsidR="00F05DC7" w:rsidRPr="002A7FC4" w14:paraId="79549976"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975" w14:textId="77777777" w:rsidR="00F05DC7" w:rsidRPr="002A7FC4" w:rsidRDefault="00F05DC7" w:rsidP="00A3786D">
            <w:pPr>
              <w:pStyle w:val="Space"/>
              <w:keepLines/>
            </w:pPr>
          </w:p>
        </w:tc>
      </w:tr>
      <w:tr w:rsidR="00F05DC7" w:rsidRPr="002A7FC4" w14:paraId="79549978"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977" w14:textId="77777777" w:rsidR="00F05DC7" w:rsidRPr="002A7FC4" w:rsidRDefault="00F05DC7" w:rsidP="00A3786D">
            <w:pPr>
              <w:pStyle w:val="BoxSpaceBelow"/>
              <w:keepLines/>
            </w:pPr>
          </w:p>
        </w:tc>
      </w:tr>
    </w:tbl>
    <w:p w14:paraId="74EDAFB4" w14:textId="2B3C2567" w:rsidR="00D56F34" w:rsidRPr="004E3B94" w:rsidRDefault="00D56F34" w:rsidP="00452568">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56F34" w14:paraId="402303F8" w14:textId="77777777" w:rsidTr="00452568">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D7A83E6" w14:textId="4D7A5F0B" w:rsidR="00D56F34" w:rsidRPr="00CE4C64" w:rsidRDefault="00D56F34" w:rsidP="00452568">
            <w:pPr>
              <w:pStyle w:val="FindingTitle"/>
              <w:spacing w:before="120"/>
              <w:rPr>
                <w:noProof/>
              </w:rPr>
            </w:pPr>
            <w:r w:rsidRPr="002A7FC4">
              <w:t>Finding 8.</w:t>
            </w:r>
            <w:r>
              <w:t>4</w:t>
            </w:r>
          </w:p>
        </w:tc>
      </w:tr>
      <w:tr w:rsidR="00D56F34" w:rsidRPr="00750BE2" w14:paraId="5862CCF0" w14:textId="77777777" w:rsidTr="00452568">
        <w:trPr>
          <w:cantSplit/>
        </w:trPr>
        <w:tc>
          <w:tcPr>
            <w:tcW w:w="5000" w:type="pct"/>
            <w:tcBorders>
              <w:top w:val="nil"/>
              <w:left w:val="nil"/>
              <w:bottom w:val="nil"/>
              <w:right w:val="nil"/>
            </w:tcBorders>
            <w:shd w:val="clear" w:color="auto" w:fill="F2F2F2"/>
            <w:tcMar>
              <w:left w:w="170" w:type="dxa"/>
              <w:right w:w="170" w:type="dxa"/>
            </w:tcMar>
          </w:tcPr>
          <w:p w14:paraId="70E8C779" w14:textId="77777777" w:rsidR="00D56F34" w:rsidRDefault="00D56F34" w:rsidP="00D56F34">
            <w:pPr>
              <w:pStyle w:val="Finding"/>
              <w:keepNext/>
            </w:pPr>
            <w:r>
              <w:t xml:space="preserve">No alternative benchmark for equalisation is unambiguously superior to any other. All have costs and benefits that are difficult to comprehensively identify, let alone quantify. Determining which alternative benchmark is most likely to provide the greatest net benefit — the right balance — involves judgment about whether the benefits of greater policy neutrality (efficiency) and reward for policy effort and risk taking (fairness) outweigh the fiscal equality impacts. </w:t>
            </w:r>
          </w:p>
          <w:p w14:paraId="2D3967EA" w14:textId="77777777" w:rsidR="00D56F34" w:rsidRDefault="00D56F34" w:rsidP="00D56F34">
            <w:pPr>
              <w:pStyle w:val="Finding"/>
              <w:keepNext/>
            </w:pPr>
            <w:r>
              <w:t>Overall, equalising to the average (pre</w:t>
            </w:r>
            <w:r>
              <w:noBreakHyphen/>
              <w:t xml:space="preserve">GST) fiscal capacity of all States is judged to provide a better balance than the current benchmark and is thus a preferred alternative. </w:t>
            </w:r>
          </w:p>
          <w:p w14:paraId="0E5458B3" w14:textId="77777777" w:rsidR="00D56F34" w:rsidRDefault="00D56F34" w:rsidP="00D56F34">
            <w:pPr>
              <w:pStyle w:val="FindingBullet"/>
            </w:pPr>
            <w:r>
              <w:t>It offers the greatest incentives for some States (but not all) to undertake efficiency</w:t>
            </w:r>
            <w:r>
              <w:noBreakHyphen/>
              <w:t>enhancing tax reform and broadly reduces policy non</w:t>
            </w:r>
            <w:r>
              <w:noBreakHyphen/>
              <w:t xml:space="preserve">neutrality with respect to the mining revenue assessment. </w:t>
            </w:r>
          </w:p>
          <w:p w14:paraId="54DB7297" w14:textId="77777777" w:rsidR="00D56F34" w:rsidRDefault="00D56F34" w:rsidP="00D56F34">
            <w:pPr>
              <w:pStyle w:val="FindingBullet"/>
            </w:pPr>
            <w:r>
              <w:t>It is less susceptible to fiscal outliers and therefore provides a more stable basis for deriving GST relativities.</w:t>
            </w:r>
          </w:p>
          <w:p w14:paraId="1A5C0CC6" w14:textId="01C7E11A" w:rsidR="00D56F34" w:rsidRDefault="00D56F34" w:rsidP="00D56F34">
            <w:pPr>
              <w:pStyle w:val="Finding"/>
              <w:keepNext/>
            </w:pPr>
            <w:r>
              <w:t>The impacts on fiscal equality are expected to be modest and manageable, especially when implemented through a carefully designed transition.</w:t>
            </w:r>
          </w:p>
        </w:tc>
      </w:tr>
      <w:tr w:rsidR="00D56F34" w14:paraId="46AA43F2" w14:textId="77777777" w:rsidTr="00452568">
        <w:trPr>
          <w:cantSplit/>
        </w:trPr>
        <w:tc>
          <w:tcPr>
            <w:tcW w:w="5000" w:type="pct"/>
            <w:tcBorders>
              <w:top w:val="nil"/>
              <w:left w:val="nil"/>
              <w:bottom w:val="single" w:sz="6" w:space="0" w:color="78A22F"/>
              <w:right w:val="nil"/>
            </w:tcBorders>
            <w:shd w:val="clear" w:color="auto" w:fill="F2F2F2"/>
            <w:tcMar>
              <w:left w:w="170" w:type="dxa"/>
              <w:right w:w="170" w:type="dxa"/>
            </w:tcMar>
          </w:tcPr>
          <w:p w14:paraId="615CF830" w14:textId="77777777" w:rsidR="00D56F34" w:rsidRDefault="00D56F34" w:rsidP="00452568">
            <w:pPr>
              <w:pStyle w:val="Space"/>
              <w:keepLines/>
            </w:pPr>
          </w:p>
        </w:tc>
      </w:tr>
      <w:tr w:rsidR="00D56F34" w:rsidRPr="000863A5" w14:paraId="725B02F2" w14:textId="77777777" w:rsidTr="00452568">
        <w:trPr>
          <w:cantSplit/>
        </w:trPr>
        <w:tc>
          <w:tcPr>
            <w:tcW w:w="5000" w:type="pct"/>
            <w:tcBorders>
              <w:top w:val="single" w:sz="6" w:space="0" w:color="78A22F"/>
              <w:left w:val="nil"/>
              <w:bottom w:val="nil"/>
              <w:right w:val="nil"/>
            </w:tcBorders>
            <w:tcMar>
              <w:left w:w="170" w:type="dxa"/>
              <w:right w:w="170" w:type="dxa"/>
            </w:tcMar>
          </w:tcPr>
          <w:p w14:paraId="0CFD7415" w14:textId="428D5A59" w:rsidR="00D56F34" w:rsidRPr="00626D32" w:rsidRDefault="00D56F34" w:rsidP="00452568">
            <w:pPr>
              <w:pStyle w:val="BoxSpaceBelow"/>
              <w:keepLines/>
            </w:pPr>
          </w:p>
        </w:tc>
      </w:tr>
    </w:tbl>
    <w:p w14:paraId="00A3B9E7" w14:textId="77777777" w:rsidR="00D56F34" w:rsidRPr="002A7FC4" w:rsidRDefault="00D56F34"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rsidRPr="002A7FC4" w14:paraId="79549986"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9985" w14:textId="77777777" w:rsidR="00F05DC7" w:rsidRPr="002A7FC4" w:rsidRDefault="00F05DC7" w:rsidP="00A3786D">
            <w:pPr>
              <w:pStyle w:val="RecTitle"/>
              <w:spacing w:before="120"/>
              <w:rPr>
                <w:noProof/>
              </w:rPr>
            </w:pPr>
            <w:r w:rsidRPr="002A7FC4">
              <w:t>Recommendation 8.</w:t>
            </w:r>
            <w:r w:rsidRPr="002A7FC4">
              <w:rPr>
                <w:noProof/>
              </w:rPr>
              <w:t>1</w:t>
            </w:r>
          </w:p>
        </w:tc>
      </w:tr>
      <w:tr w:rsidR="00F05DC7" w:rsidRPr="002A7FC4" w14:paraId="79549988" w14:textId="77777777" w:rsidTr="00A3786D">
        <w:tc>
          <w:tcPr>
            <w:tcW w:w="5000" w:type="pct"/>
            <w:tcBorders>
              <w:top w:val="nil"/>
              <w:left w:val="nil"/>
              <w:bottom w:val="nil"/>
              <w:right w:val="nil"/>
            </w:tcBorders>
            <w:shd w:val="clear" w:color="auto" w:fill="E5F1D0"/>
            <w:tcMar>
              <w:left w:w="170" w:type="dxa"/>
              <w:right w:w="170" w:type="dxa"/>
            </w:tcMar>
          </w:tcPr>
          <w:p w14:paraId="79549987" w14:textId="77777777" w:rsidR="00F05DC7" w:rsidRPr="002A7FC4" w:rsidRDefault="00F05DC7" w:rsidP="00A3786D">
            <w:pPr>
              <w:pStyle w:val="Rec"/>
              <w:keepNext/>
            </w:pPr>
            <w:r w:rsidRPr="002A7FC4">
              <w:t>The Commonwealth Government should transition Australia’s system of HFE towards equalisation to the average (pre</w:t>
            </w:r>
            <w:r w:rsidRPr="002A7FC4">
              <w:noBreakHyphen/>
              <w:t>GST) fiscal capacity of all States</w:t>
            </w:r>
            <w:r>
              <w:t>, with the remaining GST revenue distributed on a per capita basis</w:t>
            </w:r>
            <w:r w:rsidRPr="002A7FC4">
              <w:t xml:space="preserve">. </w:t>
            </w:r>
          </w:p>
        </w:tc>
      </w:tr>
      <w:tr w:rsidR="00F05DC7" w:rsidRPr="002A7FC4" w14:paraId="7954998A"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9989" w14:textId="77777777" w:rsidR="00F05DC7" w:rsidRPr="002A7FC4" w:rsidRDefault="00F05DC7" w:rsidP="00A3786D">
            <w:pPr>
              <w:pStyle w:val="Space"/>
              <w:keepLines/>
            </w:pPr>
          </w:p>
        </w:tc>
      </w:tr>
      <w:tr w:rsidR="00F05DC7" w:rsidRPr="002A7FC4" w14:paraId="7954998C" w14:textId="77777777" w:rsidTr="00A3786D">
        <w:tc>
          <w:tcPr>
            <w:tcW w:w="5000" w:type="pct"/>
            <w:tcBorders>
              <w:top w:val="single" w:sz="6" w:space="0" w:color="78A22F"/>
              <w:left w:val="nil"/>
              <w:bottom w:val="nil"/>
              <w:right w:val="nil"/>
            </w:tcBorders>
            <w:tcMar>
              <w:left w:w="170" w:type="dxa"/>
              <w:right w:w="170" w:type="dxa"/>
            </w:tcMar>
          </w:tcPr>
          <w:p w14:paraId="7954998B" w14:textId="77777777" w:rsidR="00F05DC7" w:rsidRPr="002A7FC4" w:rsidRDefault="00F05DC7" w:rsidP="00A3786D">
            <w:pPr>
              <w:pStyle w:val="BoxSpaceBelow"/>
              <w:keepLines/>
            </w:pPr>
          </w:p>
        </w:tc>
      </w:tr>
    </w:tbl>
    <w:p w14:paraId="7954998D" w14:textId="77777777" w:rsidR="00F05DC7" w:rsidRDefault="00F05DC7" w:rsidP="00AC3D16">
      <w:pPr>
        <w:pStyle w:val="Heading2"/>
        <w:rPr>
          <w:sz w:val="26"/>
          <w:szCs w:val="26"/>
        </w:rPr>
      </w:pPr>
      <w:bookmarkStart w:id="44" w:name="_Toc513637694"/>
      <w:r w:rsidRPr="00AC3D16">
        <w:rPr>
          <w:sz w:val="26"/>
          <w:szCs w:val="26"/>
        </w:rPr>
        <w:lastRenderedPageBreak/>
        <w:t>Transition to an alternative equalisation benchmark</w:t>
      </w:r>
      <w:bookmarkEnd w:id="44"/>
      <w:r w:rsidRPr="00AC3D16">
        <w:rPr>
          <w:sz w:val="26"/>
          <w:szCs w:val="26"/>
        </w:rPr>
        <w:t xml:space="preserve"> </w:t>
      </w:r>
    </w:p>
    <w:p w14:paraId="033A2330" w14:textId="77777777" w:rsidR="00A332C2" w:rsidRPr="00A332C2" w:rsidRDefault="00A332C2" w:rsidP="008B7FA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rsidRPr="002A7FC4" w14:paraId="7954998F"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98E" w14:textId="77777777" w:rsidR="00F05DC7" w:rsidRPr="002A7FC4" w:rsidRDefault="00F05DC7" w:rsidP="00A3786D">
            <w:pPr>
              <w:pStyle w:val="FindingTitle"/>
              <w:spacing w:before="120"/>
              <w:rPr>
                <w:noProof/>
              </w:rPr>
            </w:pPr>
            <w:r w:rsidRPr="002A7FC4">
              <w:t xml:space="preserve">Finding </w:t>
            </w:r>
            <w:r>
              <w:t>9.1</w:t>
            </w:r>
          </w:p>
        </w:tc>
      </w:tr>
      <w:tr w:rsidR="00F05DC7" w:rsidRPr="002A7FC4" w14:paraId="79549996" w14:textId="77777777" w:rsidTr="00A3786D">
        <w:trPr>
          <w:cantSplit/>
        </w:trPr>
        <w:tc>
          <w:tcPr>
            <w:tcW w:w="5000" w:type="pct"/>
            <w:tcBorders>
              <w:top w:val="nil"/>
              <w:left w:val="nil"/>
              <w:bottom w:val="nil"/>
              <w:right w:val="nil"/>
            </w:tcBorders>
            <w:shd w:val="clear" w:color="auto" w:fill="F2F2F2"/>
            <w:tcMar>
              <w:left w:w="170" w:type="dxa"/>
              <w:right w:w="170" w:type="dxa"/>
            </w:tcMar>
          </w:tcPr>
          <w:p w14:paraId="79549990" w14:textId="77777777" w:rsidR="00F05DC7" w:rsidRDefault="00F05DC7" w:rsidP="00A3786D">
            <w:pPr>
              <w:pStyle w:val="Finding"/>
              <w:keepNext/>
            </w:pPr>
            <w:r>
              <w:t xml:space="preserve">There are many ways a new equalisation benchmark could be phased in. The most effective transition approach is one that: </w:t>
            </w:r>
          </w:p>
          <w:p w14:paraId="79549991" w14:textId="77777777" w:rsidR="00F05DC7" w:rsidRDefault="00F05DC7" w:rsidP="00A3786D">
            <w:pPr>
              <w:pStyle w:val="FindingBullet"/>
            </w:pPr>
            <w:r>
              <w:t>enables States to manage their budgets during the current forward estimates period and plan for changes over the longer term</w:t>
            </w:r>
          </w:p>
          <w:p w14:paraId="79549992" w14:textId="77777777" w:rsidR="00F05DC7" w:rsidRDefault="00F05DC7" w:rsidP="00A3786D">
            <w:pPr>
              <w:pStyle w:val="FindingBullet"/>
            </w:pPr>
            <w:r>
              <w:t>is fiscally sustainable for all governments, in that it is funded through the GST pool (in effect, by the States that benefit from the change) and not from outside the pool</w:t>
            </w:r>
          </w:p>
          <w:p w14:paraId="79549993" w14:textId="77777777" w:rsidR="00F05DC7" w:rsidRDefault="00F05DC7" w:rsidP="00A3786D">
            <w:pPr>
              <w:pStyle w:val="FindingBullet"/>
            </w:pPr>
            <w:r>
              <w:t xml:space="preserve">delivers the benefits of the new benchmark in a timely manner. </w:t>
            </w:r>
          </w:p>
          <w:p w14:paraId="79549994" w14:textId="77777777" w:rsidR="00F05DC7" w:rsidRDefault="00F05DC7" w:rsidP="00A3786D">
            <w:pPr>
              <w:pStyle w:val="Finding"/>
              <w:keepNext/>
            </w:pPr>
            <w:r>
              <w:t xml:space="preserve">Either a four year or eight year transition path to ETA is judged to be manageable for the States. A four year transition would deliver the benefits of reform more quickly, but an eight year transition provides greater latitude to deal with unexpected changes in the future fiscal circumstances of the States. By delaying the full implementation of ETA, both approaches are effectively funded from within the GST pool by the States that stand to benefit the most. </w:t>
            </w:r>
          </w:p>
          <w:p w14:paraId="79549995" w14:textId="77777777" w:rsidR="00F05DC7" w:rsidRPr="002A7FC4" w:rsidRDefault="00F05DC7" w:rsidP="00A3786D">
            <w:pPr>
              <w:pStyle w:val="Finding"/>
              <w:keepNext/>
            </w:pPr>
            <w:r>
              <w:t xml:space="preserve">An eight year transition would also provide more time for State and Commonwealth Governments to negotiate broader reforms to federal financial relations, which could potentially alleviate any residual ongoing adverse fiscal impacts on States from the new benchmark. </w:t>
            </w:r>
          </w:p>
        </w:tc>
      </w:tr>
      <w:tr w:rsidR="00F05DC7" w:rsidRPr="002A7FC4" w14:paraId="79549998" w14:textId="77777777" w:rsidTr="00A3786D">
        <w:trPr>
          <w:cantSplit/>
        </w:trPr>
        <w:tc>
          <w:tcPr>
            <w:tcW w:w="5000" w:type="pct"/>
            <w:tcBorders>
              <w:top w:val="nil"/>
              <w:left w:val="nil"/>
              <w:bottom w:val="single" w:sz="6" w:space="0" w:color="78A22F"/>
              <w:right w:val="nil"/>
            </w:tcBorders>
            <w:shd w:val="clear" w:color="auto" w:fill="F2F2F2"/>
            <w:tcMar>
              <w:left w:w="170" w:type="dxa"/>
              <w:right w:w="170" w:type="dxa"/>
            </w:tcMar>
          </w:tcPr>
          <w:p w14:paraId="79549997" w14:textId="77777777" w:rsidR="00F05DC7" w:rsidRPr="002A7FC4" w:rsidRDefault="00F05DC7" w:rsidP="00A3786D">
            <w:pPr>
              <w:pStyle w:val="Space"/>
              <w:keepLines/>
            </w:pPr>
          </w:p>
        </w:tc>
      </w:tr>
    </w:tbl>
    <w:p w14:paraId="79549999" w14:textId="77777777" w:rsidR="00F05DC7" w:rsidRPr="00AC3D16" w:rsidRDefault="00F05DC7" w:rsidP="00AC3D16">
      <w:pPr>
        <w:pStyle w:val="Heading2"/>
        <w:rPr>
          <w:sz w:val="26"/>
          <w:szCs w:val="26"/>
        </w:rPr>
      </w:pPr>
      <w:bookmarkStart w:id="45" w:name="_Toc513637695"/>
      <w:r w:rsidRPr="00AC3D16">
        <w:rPr>
          <w:sz w:val="26"/>
          <w:szCs w:val="26"/>
        </w:rPr>
        <w:t>Broader reform to federal financial relations</w:t>
      </w:r>
      <w:bookmarkEnd w:id="45"/>
    </w:p>
    <w:p w14:paraId="7954999A"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99A2"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999B" w14:textId="77777777" w:rsidR="00F05DC7" w:rsidRDefault="00F05DC7" w:rsidP="00A3786D">
            <w:pPr>
              <w:pStyle w:val="RecTitle"/>
              <w:spacing w:before="120"/>
              <w:rPr>
                <w:noProof/>
              </w:rPr>
            </w:pPr>
            <w:r>
              <w:t>Recommendation 9.1</w:t>
            </w:r>
          </w:p>
          <w:p w14:paraId="7954999C" w14:textId="77777777" w:rsidR="00F05DC7" w:rsidRDefault="00F05DC7" w:rsidP="00A3786D">
            <w:pPr>
              <w:pStyle w:val="Rec"/>
              <w:keepNext/>
            </w:pPr>
            <w:r>
              <w:t xml:space="preserve">Improvements to the HFE system can only go so far. </w:t>
            </w:r>
          </w:p>
          <w:p w14:paraId="7954999D" w14:textId="77777777" w:rsidR="00F05DC7" w:rsidRDefault="00F05DC7" w:rsidP="00A3786D">
            <w:pPr>
              <w:pStyle w:val="Rec"/>
              <w:keepNext/>
            </w:pPr>
            <w:r>
              <w:t xml:space="preserve">The Commonwealth and State Governments, through the Council on Federal Financial Relations and recently formed Board of Treasurers, should work towards meaningful reform to federal financial relations. </w:t>
            </w:r>
          </w:p>
          <w:p w14:paraId="7954999E" w14:textId="77777777" w:rsidR="00F05DC7" w:rsidRDefault="00F05DC7" w:rsidP="00A3786D">
            <w:pPr>
              <w:pStyle w:val="Rec"/>
              <w:keepNext/>
            </w:pPr>
            <w:r>
              <w:t>In the first instance, the process should:</w:t>
            </w:r>
          </w:p>
          <w:p w14:paraId="7954999F" w14:textId="77777777" w:rsidR="00F05DC7" w:rsidRDefault="00F05DC7" w:rsidP="00A3786D">
            <w:pPr>
              <w:pStyle w:val="RecBullet"/>
            </w:pPr>
            <w:r>
              <w:t>assess how Commonwealth payments to the States — both general revenue assistance and payments for specific purposes — interact with each other, given the significant reforms to payments for specific purposes that have occurred in recent years</w:t>
            </w:r>
          </w:p>
          <w:p w14:paraId="795499A0" w14:textId="77777777" w:rsidR="00F05DC7" w:rsidRDefault="00F05DC7" w:rsidP="00A3786D">
            <w:pPr>
              <w:pStyle w:val="RecBullet"/>
            </w:pPr>
            <w:r>
              <w:t>develop a better</w:t>
            </w:r>
            <w:r>
              <w:noBreakHyphen/>
              <w:t>delineated division of responsibilities between the States and the Commonwealth and establish clear lines and forms of accountability. Policies to address Indigenous disadvantage should be a priority.</w:t>
            </w:r>
          </w:p>
          <w:p w14:paraId="795499A1" w14:textId="77777777" w:rsidR="00F05DC7" w:rsidRPr="00CE4C64" w:rsidRDefault="00F05DC7" w:rsidP="00A3786D">
            <w:pPr>
              <w:pStyle w:val="Rec"/>
            </w:pPr>
            <w:r w:rsidRPr="00E50934">
              <w:t>Following this, options to address the vertical fiscal imbalance</w:t>
            </w:r>
            <w:r>
              <w:t xml:space="preserve"> should be considered and advanced</w:t>
            </w:r>
            <w:r w:rsidRPr="00E50934">
              <w:t>.</w:t>
            </w:r>
          </w:p>
        </w:tc>
      </w:tr>
      <w:tr w:rsidR="00F05DC7" w14:paraId="795499A4"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99A3" w14:textId="77777777" w:rsidR="00F05DC7" w:rsidRDefault="00F05DC7" w:rsidP="00A3786D">
            <w:pPr>
              <w:pStyle w:val="Space"/>
              <w:keepLines/>
            </w:pPr>
          </w:p>
        </w:tc>
      </w:tr>
    </w:tbl>
    <w:p w14:paraId="795499A5" w14:textId="77777777" w:rsidR="00F05DC7" w:rsidRPr="00484ECD" w:rsidRDefault="00F05DC7" w:rsidP="00A3786D"/>
    <w:p w14:paraId="795499A6" w14:textId="77777777" w:rsidR="00F05DC7" w:rsidRDefault="00F05DC7" w:rsidP="00F05DC7">
      <w:pPr>
        <w:sectPr w:rsidR="00F05DC7" w:rsidSect="00F05DC7">
          <w:headerReference w:type="even" r:id="rId61"/>
          <w:headerReference w:type="default" r:id="rId62"/>
          <w:footerReference w:type="even" r:id="rId63"/>
          <w:footerReference w:type="default" r:id="rId64"/>
          <w:type w:val="oddPage"/>
          <w:pgSz w:w="11907" w:h="16840" w:code="9"/>
          <w:pgMar w:top="1985" w:right="1304" w:bottom="1247" w:left="1814" w:header="1701" w:footer="397" w:gutter="0"/>
          <w:pgNumType w:chapSep="period"/>
          <w:cols w:space="720"/>
          <w:docGrid w:linePitch="326"/>
        </w:sectPr>
      </w:pPr>
    </w:p>
    <w:p w14:paraId="795499A7" w14:textId="77777777" w:rsidR="00F05DC7" w:rsidRDefault="00F05DC7" w:rsidP="00A3786D">
      <w:pPr>
        <w:pStyle w:val="Heading1"/>
        <w:spacing w:before="0"/>
      </w:pPr>
      <w:bookmarkStart w:id="46" w:name="_Toc513637696"/>
      <w:r>
        <w:lastRenderedPageBreak/>
        <w:t>1</w:t>
      </w:r>
      <w:r>
        <w:tab/>
        <w:t>About this inquiry</w:t>
      </w:r>
      <w:bookmarkEnd w:id="46"/>
    </w:p>
    <w:p w14:paraId="795499A8" w14:textId="77777777" w:rsidR="00F05DC7" w:rsidRPr="004749B8" w:rsidRDefault="00F05DC7" w:rsidP="005A6B5D">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F05DC7" w14:paraId="795499AA" w14:textId="77777777" w:rsidTr="00BB3BF5">
        <w:trPr>
          <w:tblHeader/>
        </w:trPr>
        <w:tc>
          <w:tcPr>
            <w:tcW w:w="5000" w:type="pct"/>
            <w:tcBorders>
              <w:top w:val="single" w:sz="4" w:space="0" w:color="78A22F"/>
              <w:left w:val="nil"/>
              <w:bottom w:val="nil"/>
              <w:right w:val="nil"/>
            </w:tcBorders>
            <w:shd w:val="clear" w:color="auto" w:fill="F2F2F2" w:themeFill="background1" w:themeFillShade="F2"/>
          </w:tcPr>
          <w:p w14:paraId="795499A9" w14:textId="77777777" w:rsidR="00F05DC7" w:rsidRDefault="00F05DC7">
            <w:pPr>
              <w:pStyle w:val="BoxTitle"/>
            </w:pPr>
            <w:r>
              <w:t>Key points</w:t>
            </w:r>
          </w:p>
        </w:tc>
      </w:tr>
      <w:tr w:rsidR="00F05DC7" w14:paraId="795499B4" w14:textId="77777777" w:rsidTr="00BB3BF5">
        <w:tc>
          <w:tcPr>
            <w:tcW w:w="5000" w:type="pct"/>
            <w:tcBorders>
              <w:top w:val="nil"/>
              <w:left w:val="nil"/>
              <w:bottom w:val="nil"/>
              <w:right w:val="nil"/>
            </w:tcBorders>
            <w:shd w:val="clear" w:color="auto" w:fill="F2F2F2" w:themeFill="background1" w:themeFillShade="F2"/>
          </w:tcPr>
          <w:p w14:paraId="795499AB" w14:textId="77777777" w:rsidR="00F05DC7" w:rsidRPr="00363A70" w:rsidRDefault="00F05DC7" w:rsidP="00F05DC7">
            <w:pPr>
              <w:pStyle w:val="KeyPointsListBullet"/>
              <w:numPr>
                <w:ilvl w:val="0"/>
                <w:numId w:val="1"/>
              </w:numPr>
              <w:spacing w:line="270" w:lineRule="atLeast"/>
              <w:rPr>
                <w:rStyle w:val="apple-converted-space"/>
              </w:rPr>
            </w:pPr>
            <w:r>
              <w:rPr>
                <w:rStyle w:val="normaltextrun"/>
                <w:color w:val="000000"/>
              </w:rPr>
              <w:t>Australia’s system of horizontal fiscal equalisation (HFE) acts to distribute revenue among the States — seeking to equalise States’ fiscal capacities to deliver public services.</w:t>
            </w:r>
            <w:r>
              <w:rPr>
                <w:rStyle w:val="apple-converted-space"/>
                <w:color w:val="000000"/>
              </w:rPr>
              <w:t> </w:t>
            </w:r>
            <w:r>
              <w:t>HFE is achieved primarily through the Commonwealth’s distribution of GST revenue to the States.</w:t>
            </w:r>
          </w:p>
          <w:p w14:paraId="795499AC" w14:textId="77777777" w:rsidR="00F05DC7" w:rsidRPr="004A6642" w:rsidRDefault="00F05DC7" w:rsidP="00A3786D">
            <w:pPr>
              <w:pStyle w:val="KeyPointsListBullet2"/>
              <w:rPr>
                <w:rFonts w:ascii="Times New Roman" w:hAnsi="Times New Roman"/>
                <w:sz w:val="24"/>
                <w:szCs w:val="24"/>
              </w:rPr>
            </w:pPr>
            <w:r w:rsidRPr="004B09A7">
              <w:rPr>
                <w:rStyle w:val="apple-converted-space"/>
                <w:color w:val="000000"/>
              </w:rPr>
              <w:t xml:space="preserve">HFE </w:t>
            </w:r>
            <w:r>
              <w:rPr>
                <w:rStyle w:val="apple-converted-space"/>
                <w:color w:val="000000"/>
              </w:rPr>
              <w:t xml:space="preserve">broadly </w:t>
            </w:r>
            <w:r w:rsidRPr="004B09A7">
              <w:rPr>
                <w:rStyle w:val="apple-converted-space"/>
                <w:color w:val="000000"/>
              </w:rPr>
              <w:t>pursues ‘horizontal equity’, whereby</w:t>
            </w:r>
            <w:r>
              <w:rPr>
                <w:rStyle w:val="apple-converted-space"/>
                <w:color w:val="000000"/>
              </w:rPr>
              <w:t xml:space="preserve"> </w:t>
            </w:r>
            <w:r>
              <w:t>people in similar circumstances, but in different States, should have access to similar levels of public services.</w:t>
            </w:r>
          </w:p>
          <w:p w14:paraId="795499AD" w14:textId="77777777" w:rsidR="00F05DC7" w:rsidRPr="004A6642" w:rsidRDefault="00F05DC7" w:rsidP="00A3786D">
            <w:pPr>
              <w:pStyle w:val="KeyPointsListBullet2"/>
              <w:rPr>
                <w:rFonts w:ascii="Times New Roman" w:hAnsi="Times New Roman"/>
                <w:sz w:val="24"/>
                <w:szCs w:val="24"/>
              </w:rPr>
            </w:pPr>
            <w:r>
              <w:t>The HFE system coexists with a vertical fiscal imbalance (VFI) and a complex web of other payments from the Commonwealth to the States.</w:t>
            </w:r>
          </w:p>
          <w:p w14:paraId="795499AE" w14:textId="77777777" w:rsidR="00F05DC7" w:rsidRDefault="00F05DC7" w:rsidP="00A3786D">
            <w:pPr>
              <w:pStyle w:val="KeyPointsListBullet"/>
            </w:pPr>
            <w:r>
              <w:t>Each year, the Commonwealth Grants Commission (CGC) calculates a relativity for each State, based on its assessed fiscal capacity. This assessment takes into account both the revenue and expenditure sides of State budgets.</w:t>
            </w:r>
          </w:p>
          <w:p w14:paraId="795499AF" w14:textId="77777777" w:rsidR="00F05DC7" w:rsidRDefault="00F05DC7" w:rsidP="00A3786D">
            <w:pPr>
              <w:pStyle w:val="KeyPointsListBullet"/>
            </w:pPr>
            <w:r>
              <w:t>The specific practice of HFE has often been debated amongst the States. But in recent years, the divergence between some States’ relativities has reached an unprecedented level, and contention around HFE has escalated.</w:t>
            </w:r>
          </w:p>
          <w:p w14:paraId="795499B0" w14:textId="77777777" w:rsidR="00F05DC7" w:rsidRDefault="00F05DC7" w:rsidP="00A3786D">
            <w:pPr>
              <w:pStyle w:val="KeyPointsListBullet2"/>
            </w:pPr>
            <w:r>
              <w:t>A major factor is Western Australia’s share of the GST, which has fallen to an unprecedented low as the impact of the mining investment and construction boom flows through the CGC’s formula, even as the Western Australian economy is no longer at its peak.</w:t>
            </w:r>
          </w:p>
          <w:p w14:paraId="795499B1" w14:textId="77777777" w:rsidR="00F05DC7" w:rsidRDefault="00F05DC7" w:rsidP="00A3786D">
            <w:pPr>
              <w:pStyle w:val="KeyPointsListBullet"/>
            </w:pPr>
            <w:r>
              <w:t>Critics have suggested that the HFE system impedes economic growth by acting as a disincentive for State Governments to pursue economic development, or to undertake efficiency</w:t>
            </w:r>
            <w:r>
              <w:noBreakHyphen/>
              <w:t>enhancing reforms. Others have argued that HFE is crucial to providing a level of equity in the public services used by all Australians.</w:t>
            </w:r>
          </w:p>
          <w:p w14:paraId="795499B2" w14:textId="77777777" w:rsidR="00F05DC7" w:rsidRDefault="00F05DC7" w:rsidP="00A3786D">
            <w:pPr>
              <w:pStyle w:val="KeyPointsListBullet"/>
            </w:pPr>
            <w:r>
              <w:t xml:space="preserve">The Productivity Commission has been asked to examine how the current HFE system </w:t>
            </w:r>
            <w:r w:rsidRPr="0051168F">
              <w:t>impact</w:t>
            </w:r>
            <w:r>
              <w:t>s</w:t>
            </w:r>
            <w:r w:rsidRPr="0051168F">
              <w:t xml:space="preserve"> the Australian community, economy and State and Territory </w:t>
            </w:r>
            <w:r>
              <w:t>G</w:t>
            </w:r>
            <w:r w:rsidRPr="0051168F">
              <w:t>overnments</w:t>
            </w:r>
            <w:r>
              <w:t>, and to identify desirable improvements or alternatives to the current system.</w:t>
            </w:r>
          </w:p>
          <w:p w14:paraId="795499B3" w14:textId="77777777" w:rsidR="00F05DC7" w:rsidRDefault="00F05DC7" w:rsidP="00A3786D">
            <w:pPr>
              <w:pStyle w:val="KeyPointsListBullet"/>
            </w:pPr>
            <w:r>
              <w:t xml:space="preserve">The Commission has assessed the current HFE system, and a range of potential alternative approaches, against a framework built on the criteria of </w:t>
            </w:r>
            <w:r w:rsidRPr="00B14880">
              <w:rPr>
                <w:b/>
              </w:rPr>
              <w:t xml:space="preserve">equity, efficiency, </w:t>
            </w:r>
            <w:r w:rsidRPr="00B14880">
              <w:t>and</w:t>
            </w:r>
            <w:r w:rsidRPr="00B14880">
              <w:rPr>
                <w:b/>
              </w:rPr>
              <w:t xml:space="preserve"> transparency and accountability</w:t>
            </w:r>
            <w:r>
              <w:t>. In carrying out this assessment, t</w:t>
            </w:r>
            <w:r w:rsidRPr="00D3021A">
              <w:t xml:space="preserve">he Commission has </w:t>
            </w:r>
            <w:r>
              <w:t xml:space="preserve">constructed a set of ‘cameos’ to </w:t>
            </w:r>
            <w:r w:rsidRPr="00D3021A">
              <w:t xml:space="preserve">illustrate the effects of </w:t>
            </w:r>
            <w:r>
              <w:t>possible</w:t>
            </w:r>
            <w:r w:rsidRPr="00D3021A">
              <w:t xml:space="preserve"> State policy changes on GST shares</w:t>
            </w:r>
            <w:r>
              <w:t xml:space="preserve"> (and to estimate</w:t>
            </w:r>
            <w:r w:rsidRPr="00D3021A">
              <w:t xml:space="preserve"> the distributional impacts, and possible incentive effects</w:t>
            </w:r>
            <w:r>
              <w:t>, of the current HFE system).</w:t>
            </w:r>
          </w:p>
        </w:tc>
      </w:tr>
      <w:tr w:rsidR="00F05DC7" w14:paraId="795499B6" w14:textId="77777777" w:rsidTr="00BB3BF5">
        <w:tc>
          <w:tcPr>
            <w:tcW w:w="5000" w:type="pct"/>
            <w:tcBorders>
              <w:top w:val="nil"/>
              <w:left w:val="nil"/>
              <w:bottom w:val="single" w:sz="4" w:space="0" w:color="78A22F"/>
              <w:right w:val="nil"/>
            </w:tcBorders>
            <w:shd w:val="clear" w:color="auto" w:fill="F2F2F2" w:themeFill="background1" w:themeFillShade="F2"/>
          </w:tcPr>
          <w:p w14:paraId="795499B5" w14:textId="77777777" w:rsidR="00F05DC7" w:rsidRDefault="00F05DC7">
            <w:pPr>
              <w:pStyle w:val="Box"/>
              <w:spacing w:before="0" w:line="120" w:lineRule="exact"/>
            </w:pPr>
          </w:p>
        </w:tc>
      </w:tr>
      <w:tr w:rsidR="00F05DC7" w14:paraId="795499B8" w14:textId="77777777" w:rsidTr="00BB3BF5">
        <w:tc>
          <w:tcPr>
            <w:tcW w:w="5000" w:type="pct"/>
            <w:tcBorders>
              <w:top w:val="single" w:sz="4" w:space="0" w:color="78A22F"/>
              <w:left w:val="nil"/>
              <w:bottom w:val="nil"/>
              <w:right w:val="nil"/>
            </w:tcBorders>
          </w:tcPr>
          <w:p w14:paraId="795499B7" w14:textId="77777777" w:rsidR="00F05DC7" w:rsidRDefault="00F05DC7">
            <w:pPr>
              <w:pStyle w:val="Box"/>
              <w:keepNext w:val="0"/>
              <w:spacing w:before="60" w:after="60" w:line="80" w:lineRule="exact"/>
            </w:pPr>
          </w:p>
        </w:tc>
      </w:tr>
    </w:tbl>
    <w:p w14:paraId="795499B9" w14:textId="77777777" w:rsidR="00F05DC7" w:rsidRPr="00E016B4" w:rsidRDefault="00F05DC7" w:rsidP="00A3786D">
      <w:pPr>
        <w:pStyle w:val="BodyText"/>
        <w:rPr>
          <w:spacing w:val="2"/>
        </w:rPr>
      </w:pPr>
      <w:r w:rsidRPr="00E016B4">
        <w:rPr>
          <w:spacing w:val="2"/>
        </w:rPr>
        <w:t>The Commonwealth Government has tasked the Productivity Commission to undertake an inquiry into Australia’s system of horizontal fiscal equalisation (HFE), which underpins the distribution of the Goods and Services Tax (GST) to the States and Territories (hereafter States).</w:t>
      </w:r>
    </w:p>
    <w:p w14:paraId="795499BA" w14:textId="4FF349B7" w:rsidR="00F05DC7" w:rsidRPr="006D1ED0" w:rsidRDefault="00F05DC7" w:rsidP="00A3786D">
      <w:pPr>
        <w:pStyle w:val="Heading2"/>
      </w:pPr>
      <w:bookmarkStart w:id="47" w:name="_Toc513637697"/>
      <w:r>
        <w:lastRenderedPageBreak/>
        <w:t>1.</w:t>
      </w:r>
      <w:r>
        <w:rPr>
          <w:noProof/>
        </w:rPr>
        <w:t>1</w:t>
      </w:r>
      <w:r>
        <w:tab/>
        <w:t>Background to the inquiry</w:t>
      </w:r>
      <w:bookmarkEnd w:id="47"/>
    </w:p>
    <w:p w14:paraId="795499BB" w14:textId="589FF8EF" w:rsidR="00F05DC7" w:rsidRPr="00135516" w:rsidRDefault="00F05DC7" w:rsidP="00A3786D">
      <w:pPr>
        <w:pStyle w:val="BodyText"/>
        <w:spacing w:before="230"/>
      </w:pPr>
      <w:r w:rsidRPr="00135516">
        <w:rPr>
          <w:rStyle w:val="normaltextrun"/>
        </w:rPr>
        <w:t>Australia’s system of HFE acts to distribute revenue among the States with the aim of equalising States’ fiscal capacities to deliver public services.</w:t>
      </w:r>
      <w:r w:rsidRPr="00135516">
        <w:rPr>
          <w:rStyle w:val="apple-converted-space"/>
        </w:rPr>
        <w:t> </w:t>
      </w:r>
      <w:r w:rsidRPr="00135516">
        <w:t>In recent years, it has come under pressure, especially as the mining boom’s investment phase led to significant growth in Western Australia’s fiscal capacity and a corresponding reduction in its share of the GST pool. This share reached an historic low in 2015</w:t>
      </w:r>
      <w:r w:rsidRPr="00135516">
        <w:noBreakHyphen/>
        <w:t xml:space="preserve">16 when the State was allocated a ‘relativity’ (the State’s share of the GST pool, relative to its share of the national population) of 0.30, while no other State’s relativity fell below 0.89 at that time </w:t>
      </w:r>
      <w:r w:rsidR="009D6331" w:rsidRPr="009D6331">
        <w:rPr>
          <w:szCs w:val="24"/>
        </w:rPr>
        <w:t>(CGC 2018g)</w:t>
      </w:r>
      <w:r w:rsidRPr="00135516">
        <w:t>. Prior to the mining boom, Western Australia had consistently received more GST per capita than both Victoria and New South Wales.</w:t>
      </w:r>
    </w:p>
    <w:p w14:paraId="795499BC" w14:textId="77777777" w:rsidR="00F05DC7" w:rsidRPr="00135516" w:rsidRDefault="00F05DC7" w:rsidP="00A3786D">
      <w:pPr>
        <w:pStyle w:val="BodyText"/>
        <w:spacing w:before="230"/>
        <w:rPr>
          <w:rStyle w:val="normaltextrun"/>
        </w:rPr>
      </w:pPr>
      <w:r w:rsidRPr="00135516">
        <w:t>Since t</w:t>
      </w:r>
      <w:r w:rsidRPr="00135516">
        <w:rPr>
          <w:rStyle w:val="normaltextrun"/>
        </w:rPr>
        <w:t>he end of the mining boom’s investment phase, Western Australia’s economic situation has weakened, but its assessed fiscal capacity remains the strongest of any State. Accordingly, its GST share has remained by far the lowest in the country, though its current relativity (0.</w:t>
      </w:r>
      <w:r>
        <w:rPr>
          <w:rStyle w:val="normaltextrun"/>
        </w:rPr>
        <w:t>47</w:t>
      </w:r>
      <w:r w:rsidRPr="00135516">
        <w:rPr>
          <w:rStyle w:val="normaltextrun"/>
        </w:rPr>
        <w:t xml:space="preserve"> in 201</w:t>
      </w:r>
      <w:r>
        <w:rPr>
          <w:rStyle w:val="normaltextrun"/>
        </w:rPr>
        <w:t>8</w:t>
      </w:r>
      <w:r w:rsidRPr="00135516">
        <w:rPr>
          <w:rStyle w:val="normaltextrun"/>
        </w:rPr>
        <w:noBreakHyphen/>
        <w:t>1</w:t>
      </w:r>
      <w:r>
        <w:rPr>
          <w:rStyle w:val="normaltextrun"/>
        </w:rPr>
        <w:t>9</w:t>
      </w:r>
      <w:r w:rsidRPr="00135516">
        <w:rPr>
          <w:rStyle w:val="normaltextrun"/>
        </w:rPr>
        <w:t xml:space="preserve">) still </w:t>
      </w:r>
      <w:r>
        <w:rPr>
          <w:rStyle w:val="normaltextrun"/>
        </w:rPr>
        <w:t xml:space="preserve">partially </w:t>
      </w:r>
      <w:r w:rsidRPr="00135516">
        <w:rPr>
          <w:rStyle w:val="normaltextrun"/>
        </w:rPr>
        <w:t>reflects the heights of the boom — a byproduct of how HFE relativities are calculated based on several years of past data and with a lag. This continued low relativity has generated dissatisfaction in Western Australia with the HFE system. Some stakeholders in New South Wales have also expressed frustrations with the system, and both States have called for substantial change. The remaining six States are broadly satisfied with the current arrangements, albeit the Queensland Government acknowledged that HFE has never (arguably) provided States with precisely the same fiscal capacities, and pointed to the benefits of a simpler and more pragmatic approach (sub. DR106, pp. 4, 12; trans.</w:t>
      </w:r>
      <w:r>
        <w:rPr>
          <w:rStyle w:val="normaltextrun"/>
        </w:rPr>
        <w:t>,</w:t>
      </w:r>
      <w:r w:rsidRPr="00135516">
        <w:rPr>
          <w:rStyle w:val="normaltextrun"/>
        </w:rPr>
        <w:t xml:space="preserve"> p. 589).</w:t>
      </w:r>
    </w:p>
    <w:p w14:paraId="795499BD" w14:textId="77777777" w:rsidR="00F05DC7" w:rsidRDefault="00F05DC7" w:rsidP="00613C47">
      <w:pPr>
        <w:pStyle w:val="Heading3"/>
      </w:pPr>
      <w:r>
        <w:t>What is horizontal fiscal equalisation?</w:t>
      </w:r>
    </w:p>
    <w:p w14:paraId="795499BE" w14:textId="77777777" w:rsidR="00F05DC7" w:rsidRDefault="00F05DC7">
      <w:pPr>
        <w:pStyle w:val="Heading4"/>
        <w:spacing w:before="240"/>
      </w:pPr>
      <w:r>
        <w:t>The aim of the HFE system</w:t>
      </w:r>
    </w:p>
    <w:p w14:paraId="795499BF" w14:textId="77777777" w:rsidR="00F05DC7" w:rsidRPr="00135516" w:rsidRDefault="00F05DC7" w:rsidP="00A3786D">
      <w:pPr>
        <w:pStyle w:val="BodyText"/>
        <w:spacing w:before="230"/>
      </w:pPr>
      <w:r w:rsidRPr="00135516">
        <w:t xml:space="preserve">The primary </w:t>
      </w:r>
      <w:r w:rsidRPr="00135516">
        <w:rPr>
          <w:i/>
        </w:rPr>
        <w:t>rationale</w:t>
      </w:r>
      <w:r w:rsidRPr="00135516">
        <w:t xml:space="preserve"> for HFE is fiscal equity, though what this means exactly is complex and contested. Broadly, it reflects the concept of horizontal equity, which refers to ‘the equal treatment of equals’ — that is, people in similar circumstances should be treated alike.</w:t>
      </w:r>
      <w:r w:rsidRPr="00282527">
        <w:rPr>
          <w:rStyle w:val="FootnoteReference"/>
        </w:rPr>
        <w:footnoteReference w:id="2"/>
      </w:r>
      <w:r w:rsidRPr="00135516">
        <w:t xml:space="preserve"> In the HFE context, horizontal equity would require that people in similar circumstances, but in different States, have access to similar levels of public services.</w:t>
      </w:r>
    </w:p>
    <w:p w14:paraId="795499C0" w14:textId="77777777" w:rsidR="00F05DC7" w:rsidRPr="00135516" w:rsidRDefault="00F05DC7" w:rsidP="00A3786D">
      <w:pPr>
        <w:pStyle w:val="BodyText"/>
        <w:spacing w:before="230"/>
      </w:pPr>
      <w:r w:rsidRPr="00135516">
        <w:t>With regard to public services, the HFE rationale also reflects the way that residents of different regions might expect to be treated under a unitary government. However, in a federation such as Australia, where States have significant policy autonomy and taxing powers, this is an unrealistic expectation. As such, HFE seeks equity between jurisdictions — specifically, equity in the capacity of States to provide individuals with</w:t>
      </w:r>
      <w:r>
        <w:t xml:space="preserve"> public services, if the State G</w:t>
      </w:r>
      <w:r w:rsidRPr="00135516">
        <w:t>overnment wishes to do so. Thus, HFE aims to avoid the situation where, based on different revenue</w:t>
      </w:r>
      <w:r>
        <w:noBreakHyphen/>
      </w:r>
      <w:r w:rsidRPr="00135516">
        <w:t xml:space="preserve">raising abilities, some States would either have </w:t>
      </w:r>
      <w:r w:rsidRPr="00135516">
        <w:lastRenderedPageBreak/>
        <w:t>to levy higher taxes to deliver the same services to their residents, or provide their residents with a lower standard of services.</w:t>
      </w:r>
    </w:p>
    <w:p w14:paraId="795499C1" w14:textId="172C850A" w:rsidR="00F05DC7" w:rsidRPr="00135516" w:rsidRDefault="00F05DC7" w:rsidP="00A3786D">
      <w:pPr>
        <w:pStyle w:val="BodyText"/>
      </w:pPr>
      <w:r w:rsidRPr="00135516">
        <w:t>In Australia, HFE is pursued primarily through the Commonwealth’s distribution of GST revenue to the States. The formula for distributing GST revenue is applied annually by the Commonwealth Grants Commission (CGC), which calculates a relativity for each State. Frequently, and erroneously, these relativities are referred to as the share of GST ‘returned’ to a State compared to the amount that was ‘collected’ or ‘generated’ by, or in, that State. However, this is not a component of the GST distribution, and in many cases is not measurable</w:t>
      </w:r>
      <w:r>
        <w:t xml:space="preserve"> (nor lends itself to ready measurement)</w:t>
      </w:r>
      <w:r w:rsidRPr="00135516">
        <w:t xml:space="preserve"> given that the GST is a national tax </w:t>
      </w:r>
      <w:r w:rsidR="009D6331" w:rsidRPr="009D6331">
        <w:rPr>
          <w:szCs w:val="24"/>
        </w:rPr>
        <w:t>(Dale 2014)</w:t>
      </w:r>
      <w:r w:rsidRPr="00135516">
        <w:t>.</w:t>
      </w:r>
    </w:p>
    <w:p w14:paraId="795499C2" w14:textId="77777777" w:rsidR="00F05DC7" w:rsidRPr="00135516" w:rsidRDefault="00F05DC7" w:rsidP="00A3786D">
      <w:pPr>
        <w:pStyle w:val="BodyText"/>
      </w:pPr>
      <w:r w:rsidRPr="00135516">
        <w:t>Relativities reflect differences between the States’ fiscal capacities, and are dependent on both the revenue and expenditure sides of State budgets. The CGC’s assessment of State fiscal capacity includes those factors outside the control of a State, or ‘disabilities’, that increase its costs of delivering services relative to the average (such as remoteness or a higher proportion of Indigenous residents), or that hinder its ability to raise revenue.</w:t>
      </w:r>
    </w:p>
    <w:p w14:paraId="795499C3" w14:textId="77777777" w:rsidR="00F05DC7" w:rsidRPr="00135516" w:rsidRDefault="00F05DC7" w:rsidP="00A3786D">
      <w:pPr>
        <w:pStyle w:val="BodyText"/>
      </w:pPr>
      <w:r w:rsidRPr="00135516">
        <w:t xml:space="preserve">GST revenue is distributed in the form of general revenue assistance, meaning it is not tied to any specific purpose. This means that States can (and often do) choose to allocate their GST payments in ways that differ to what the CGC assesses their expenditure needs to be for each service (discussed further in </w:t>
      </w:r>
      <w:r>
        <w:t>box 2.6, chapter 2</w:t>
      </w:r>
      <w:r w:rsidRPr="00135516">
        <w:t xml:space="preserve">). </w:t>
      </w:r>
    </w:p>
    <w:p w14:paraId="795499C4" w14:textId="77777777" w:rsidR="00F05DC7" w:rsidRPr="00135516" w:rsidRDefault="00F05DC7" w:rsidP="00A3786D">
      <w:pPr>
        <w:pStyle w:val="BodyText"/>
      </w:pPr>
      <w:r>
        <w:t>Some State G</w:t>
      </w:r>
      <w:r w:rsidRPr="00135516">
        <w:t xml:space="preserve">overnments receive less GST from this process than they would if the GST pool was distributed purely on the basis of population, whereby each State would receive an equal amount of GST per resident (‘equal per capita’ or EPC). This reflects that the State in question is fiscally stronger than the national average. Other States receive </w:t>
      </w:r>
      <w:r w:rsidRPr="00135516">
        <w:rPr>
          <w:i/>
        </w:rPr>
        <w:t>more</w:t>
      </w:r>
      <w:r w:rsidRPr="00135516">
        <w:t xml:space="preserve"> than they would with an EPC distribution, due to being fiscally weaker. The overall effect of HFE is to place States’ fiscal capacities on a more level playing field. </w:t>
      </w:r>
    </w:p>
    <w:p w14:paraId="795499C5" w14:textId="77777777" w:rsidR="00F05DC7" w:rsidRDefault="00F05DC7" w:rsidP="00A3786D">
      <w:pPr>
        <w:pStyle w:val="Heading4"/>
      </w:pPr>
      <w:r>
        <w:t>HFE is one part of the broader system of federal financial relations</w:t>
      </w:r>
    </w:p>
    <w:p w14:paraId="795499C6" w14:textId="17BBCF5B" w:rsidR="00F05DC7" w:rsidRPr="00135516" w:rsidRDefault="00F05DC7" w:rsidP="00A3786D">
      <w:pPr>
        <w:pStyle w:val="BodyText"/>
      </w:pPr>
      <w:r w:rsidRPr="00135516">
        <w:t>HFE is not the only system in which the Commonwealth distributes differential allocations of funding between the States. The Commonwealth also makes fiscal transfers to the States to support the provision of specific public services such as health, education, and infrastructure — in 2017</w:t>
      </w:r>
      <w:r w:rsidRPr="00135516">
        <w:noBreakHyphen/>
        <w:t>18 these are expected to constitute</w:t>
      </w:r>
      <w:r>
        <w:t xml:space="preserve"> approximately</w:t>
      </w:r>
      <w:r w:rsidRPr="00135516">
        <w:t xml:space="preserve"> $56 billion of Commonwealth Government expenditure, while GST revenue is forecast to exceed $62</w:t>
      </w:r>
      <w:r>
        <w:t> </w:t>
      </w:r>
      <w:r w:rsidRPr="00135516">
        <w:t xml:space="preserve">billion </w:t>
      </w:r>
      <w:r w:rsidR="009D6331" w:rsidRPr="009D6331">
        <w:rPr>
          <w:szCs w:val="24"/>
        </w:rPr>
        <w:t>(Commonwealth of Australia 2017b, p. 5)</w:t>
      </w:r>
      <w:r w:rsidRPr="00135516">
        <w:t>. Some of these payments for specific purposes (or ‘tied grants’) also have an explicit equalising element.</w:t>
      </w:r>
    </w:p>
    <w:p w14:paraId="795499C7" w14:textId="566C5BB2" w:rsidR="00F05DC7" w:rsidRPr="00135516" w:rsidRDefault="00F05DC7" w:rsidP="00A3786D">
      <w:pPr>
        <w:pStyle w:val="BodyText"/>
      </w:pPr>
      <w:r w:rsidRPr="00135516">
        <w:t>Additionally, due to different patterns of individual or household needs and incomes between States, different total amounts of funding are transferred to the residents of each State through the social security and welfare system — which is expected to amount to $164 billion in 2017</w:t>
      </w:r>
      <w:r w:rsidRPr="00135516">
        <w:noBreakHyphen/>
        <w:t>18, or more than one</w:t>
      </w:r>
      <w:r w:rsidRPr="00135516">
        <w:noBreakHyphen/>
        <w:t xml:space="preserve">third of the Commonwealth budget </w:t>
      </w:r>
      <w:r w:rsidR="009D6331" w:rsidRPr="009D6331">
        <w:rPr>
          <w:szCs w:val="24"/>
        </w:rPr>
        <w:t>(Commonwealth of Australia 2017a, p. 150)</w:t>
      </w:r>
      <w:r w:rsidRPr="00135516">
        <w:t xml:space="preserve">. </w:t>
      </w:r>
    </w:p>
    <w:p w14:paraId="795499C8" w14:textId="77777777" w:rsidR="00F05DC7" w:rsidRPr="00135516" w:rsidRDefault="00F05DC7" w:rsidP="00A3786D">
      <w:pPr>
        <w:pStyle w:val="BodyText"/>
      </w:pPr>
      <w:r w:rsidRPr="00135516">
        <w:lastRenderedPageBreak/>
        <w:t>The HFE system coexists with a vertical fiscal imbalance (VFI), which refers to the Commonwealth Government having a much greater capaci</w:t>
      </w:r>
      <w:r>
        <w:t>ty to raise revenue than State G</w:t>
      </w:r>
      <w:r w:rsidRPr="00135516">
        <w:t>overnments (currently all income taxes, company taxes, excises and sales taxes are federally colle</w:t>
      </w:r>
      <w:r>
        <w:t>cted). At the same time, State G</w:t>
      </w:r>
      <w:r w:rsidRPr="00135516">
        <w:t>overnments are responsible for providing — and partially funding — a wide range of public services to their residents. The result is that the Commonwealth Government raises revenues in excess of its spending r</w:t>
      </w:r>
      <w:r>
        <w:t>esponsibilities, while State G</w:t>
      </w:r>
      <w:r w:rsidRPr="00135516">
        <w:t>overnments have insufficient revenue from their own sources to finance their spending responsibilities (chapter</w:t>
      </w:r>
      <w:r>
        <w:t> </w:t>
      </w:r>
      <w:r w:rsidRPr="00135516">
        <w:t>2). VFI is best reflected in the reality that equalising State fiscal capacities does not, in and of itself, render States able to meet their entire expenditure needs (even as assessed by the CGC).</w:t>
      </w:r>
    </w:p>
    <w:p w14:paraId="795499C9" w14:textId="77777777" w:rsidR="00F05DC7" w:rsidRPr="00135516" w:rsidRDefault="00F05DC7" w:rsidP="00A3786D">
      <w:pPr>
        <w:pStyle w:val="BodyText"/>
      </w:pPr>
      <w:r w:rsidRPr="00135516">
        <w:t>The difference between the States’ own</w:t>
      </w:r>
      <w:r w:rsidRPr="00135516">
        <w:noBreakHyphen/>
        <w:t xml:space="preserve">source revenues and spending responsibilities is mostly made up by fiscal transfers from the Commonwealth Government. The GST is one source of such funds, along with Commonwealth payments made for specific purposes. The complex assortment of federal transfers makes it difficult to distinguish the contribution that each individual transfer makes to addressing vertical and horizontal imbalances. Appendix B provides an overview of other Commonwealth payments and their interaction with HFE. </w:t>
      </w:r>
    </w:p>
    <w:p w14:paraId="795499CA" w14:textId="77777777" w:rsidR="00F05DC7" w:rsidRPr="00135516" w:rsidRDefault="00F05DC7" w:rsidP="00A3786D">
      <w:pPr>
        <w:pStyle w:val="BodyText"/>
      </w:pPr>
      <w:r w:rsidRPr="00135516">
        <w:t xml:space="preserve">Viewing HFE in this broader context highlights that HFE is but one component of the much larger (and exceptionally complex) architecture of </w:t>
      </w:r>
      <w:r>
        <w:t>federal</w:t>
      </w:r>
      <w:r w:rsidRPr="00135516">
        <w:t xml:space="preserve"> financial relations, which ultimately determines fiscal equity between the States. </w:t>
      </w:r>
    </w:p>
    <w:p w14:paraId="795499CB" w14:textId="77777777" w:rsidR="00F05DC7" w:rsidRDefault="00F05DC7" w:rsidP="00613C47">
      <w:pPr>
        <w:pStyle w:val="Heading3"/>
      </w:pPr>
      <w:r>
        <w:t>The GST distribution has come under pressure</w:t>
      </w:r>
    </w:p>
    <w:p w14:paraId="795499CC" w14:textId="77777777" w:rsidR="00F05DC7" w:rsidRPr="00135516" w:rsidRDefault="00F05DC7" w:rsidP="00A3786D">
      <w:pPr>
        <w:pStyle w:val="BodyText"/>
      </w:pPr>
      <w:r w:rsidRPr="00135516">
        <w:t xml:space="preserve">HFE, in one form or another, has been an aspect of Commonwealth–State funding arrangements for decades and predates the GST (chapter 2). </w:t>
      </w:r>
      <w:r>
        <w:t>Since</w:t>
      </w:r>
      <w:r w:rsidRPr="00135516">
        <w:t xml:space="preserve"> </w:t>
      </w:r>
      <w:r>
        <w:t>the GST was introduced in 2000, two States</w:t>
      </w:r>
      <w:r w:rsidRPr="00135516">
        <w:t> — Western Australia and Queensland — have fluctuated between being fiscally stronger (‘donor States’) and weaker (‘recipient States’), whereas all other States have consistently remained as either above average or below average fiscal capacity (figure 1.1). HFE has frequently been a point of contention among States, as each has vied for a larger share of the grant pool — though it has not always been a ‘zero</w:t>
      </w:r>
      <w:r w:rsidRPr="00135516">
        <w:noBreakHyphen/>
        <w:t>sum game’.</w:t>
      </w:r>
    </w:p>
    <w:p w14:paraId="795499CD" w14:textId="77777777" w:rsidR="00F05DC7" w:rsidRPr="00135516" w:rsidRDefault="00F05DC7" w:rsidP="00A3786D">
      <w:pPr>
        <w:pStyle w:val="BodyText"/>
      </w:pPr>
      <w:r w:rsidRPr="00135516">
        <w:t>In recent years</w:t>
      </w:r>
      <w:r>
        <w:t>,</w:t>
      </w:r>
      <w:r w:rsidRPr="00135516">
        <w:t xml:space="preserve"> the divergence in some States’ relativities has reached an unprecedented level, and contention around HFE has risen markedly. The aforementioned mining investment and construction boom, which lasted from roughly 200</w:t>
      </w:r>
      <w:r>
        <w:t>4</w:t>
      </w:r>
      <w:r>
        <w:noBreakHyphen/>
        <w:t>0</w:t>
      </w:r>
      <w:r w:rsidRPr="00135516">
        <w:t>5 to 2013</w:t>
      </w:r>
      <w:r>
        <w:noBreakHyphen/>
        <w:t>14</w:t>
      </w:r>
      <w:r w:rsidRPr="00135516">
        <w:t xml:space="preserve">, has been a key driver of this increased friction. </w:t>
      </w:r>
    </w:p>
    <w:p w14:paraId="795499CE" w14:textId="0EBD5537" w:rsidR="00F05DC7" w:rsidRPr="00387A0B" w:rsidRDefault="00F05DC7" w:rsidP="00A3786D">
      <w:pPr>
        <w:pStyle w:val="BodyText"/>
        <w:rPr>
          <w:spacing w:val="-2"/>
        </w:rPr>
      </w:pPr>
      <w:r w:rsidRPr="00387A0B">
        <w:rPr>
          <w:spacing w:val="-2"/>
        </w:rPr>
        <w:t>The mining boom had a particularly strong impact on Western Australia’s economy, given that it is home to most of Australia’s iron ore deposits. Mineral and energy royalty revenues alone increased from about $1.7 billion in 2007</w:t>
      </w:r>
      <w:r w:rsidRPr="00387A0B">
        <w:rPr>
          <w:spacing w:val="-2"/>
        </w:rPr>
        <w:noBreakHyphen/>
        <w:t>08 to about $6 billion at their peak in 2013</w:t>
      </w:r>
      <w:r w:rsidRPr="00387A0B">
        <w:rPr>
          <w:spacing w:val="-2"/>
        </w:rPr>
        <w:noBreakHyphen/>
        <w:t>14 (but declined in the following years, to just over $4.1 billion in 2015</w:t>
      </w:r>
      <w:r w:rsidRPr="00387A0B">
        <w:rPr>
          <w:spacing w:val="-2"/>
        </w:rPr>
        <w:noBreakHyphen/>
        <w:t>16 and $5.3 billion in 2016</w:t>
      </w:r>
      <w:r w:rsidRPr="00387A0B">
        <w:rPr>
          <w:spacing w:val="-2"/>
        </w:rPr>
        <w:noBreakHyphen/>
        <w:t xml:space="preserve">17) </w:t>
      </w:r>
      <w:r w:rsidR="009D6331" w:rsidRPr="009D6331">
        <w:rPr>
          <w:szCs w:val="24"/>
        </w:rPr>
        <w:t>(WA Government 2008, 2014, 2017a)</w:t>
      </w:r>
      <w:r w:rsidRPr="00387A0B">
        <w:rPr>
          <w:spacing w:val="-2"/>
        </w:rPr>
        <w:t>. Combined with significant growth in payroll tax and stamp duty revenue, this saw Western Australia’s assessed revenue</w:t>
      </w:r>
      <w:r w:rsidRPr="00387A0B">
        <w:rPr>
          <w:spacing w:val="-2"/>
        </w:rPr>
        <w:noBreakHyphen/>
        <w:t>raising capacity increase sharply — by 90 per cent in nominal terms between 2007</w:t>
      </w:r>
      <w:r w:rsidRPr="00387A0B">
        <w:rPr>
          <w:spacing w:val="-2"/>
        </w:rPr>
        <w:noBreakHyphen/>
        <w:t>08 and 2013</w:t>
      </w:r>
      <w:r w:rsidRPr="00387A0B">
        <w:rPr>
          <w:spacing w:val="-2"/>
        </w:rPr>
        <w:noBreakHyphen/>
        <w:t xml:space="preserve">14 — and the State moved from being a ‘recipient’ (relativity greater than 1.0) to a ‘donor’ (relativity less </w:t>
      </w:r>
      <w:r w:rsidRPr="00387A0B">
        <w:rPr>
          <w:spacing w:val="-2"/>
        </w:rPr>
        <w:lastRenderedPageBreak/>
        <w:t>than 1.0) in 2007</w:t>
      </w:r>
      <w:r w:rsidRPr="00387A0B">
        <w:rPr>
          <w:spacing w:val="-2"/>
        </w:rPr>
        <w:noBreakHyphen/>
        <w:t xml:space="preserve">08 </w:t>
      </w:r>
      <w:r w:rsidR="009D6331" w:rsidRPr="009D6331">
        <w:rPr>
          <w:szCs w:val="24"/>
        </w:rPr>
        <w:t>(CGC 2018g)</w:t>
      </w:r>
      <w:r w:rsidRPr="00387A0B">
        <w:rPr>
          <w:spacing w:val="-2"/>
        </w:rPr>
        <w:t>. Accordingly, for the past decade, the CGC has assessed Western Australia to be significantly fiscally stronger than any other State, and the HFE system has seen a substantial increase in the redistribution task.</w:t>
      </w:r>
    </w:p>
    <w:p w14:paraId="795499CF" w14:textId="05AEEC0C" w:rsidR="00F05DC7" w:rsidRPr="00C6042F" w:rsidRDefault="00F05DC7" w:rsidP="00A3786D">
      <w:pPr>
        <w:pStyle w:val="BodyText"/>
      </w:pPr>
      <w:r w:rsidRPr="00C6042F">
        <w:t>The winding down of the investment phase of the mining boom over the past few years has seen Western Australia’s economy transition beyond the construction</w:t>
      </w:r>
      <w:r>
        <w:noBreakHyphen/>
      </w:r>
      <w:r w:rsidRPr="00C6042F">
        <w:t>driven growth stage, into the production phase. As capacity has expanded, higher levels of production in the State are likely to continue for the foreseeable future (CCIWA, sub. DR86, pp. 8</w:t>
      </w:r>
      <w:r w:rsidRPr="00C6042F">
        <w:noBreakHyphen/>
        <w:t xml:space="preserve">10; PC 2017b, pp. 96, 138); indicating a </w:t>
      </w:r>
      <w:r>
        <w:t>more enduring</w:t>
      </w:r>
      <w:r w:rsidRPr="00C6042F">
        <w:t xml:space="preserve"> shift</w:t>
      </w:r>
      <w:r>
        <w:t>,</w:t>
      </w:r>
      <w:r w:rsidRPr="00C6042F">
        <w:t xml:space="preserve"> rather than a transitory change</w:t>
      </w:r>
      <w:r>
        <w:t>,</w:t>
      </w:r>
      <w:r w:rsidRPr="00C6042F">
        <w:t xml:space="preserve"> in Western Australia’s revenue fortunes.</w:t>
      </w:r>
      <w:r>
        <w:t xml:space="preserve"> E</w:t>
      </w:r>
      <w:r w:rsidRPr="00C6042F">
        <w:t xml:space="preserve">conomic activity </w:t>
      </w:r>
      <w:r>
        <w:t>(</w:t>
      </w:r>
      <w:r w:rsidRPr="00C6042F">
        <w:t>and revenue</w:t>
      </w:r>
      <w:r w:rsidRPr="00C6042F">
        <w:noBreakHyphen/>
        <w:t>raising capacity</w:t>
      </w:r>
      <w:r>
        <w:t>) in Western Australia has</w:t>
      </w:r>
      <w:r w:rsidRPr="00C6042F">
        <w:t xml:space="preserve"> weakened since the peak of the construction phase </w:t>
      </w:r>
      <w:r w:rsidR="009D6331" w:rsidRPr="009D6331">
        <w:rPr>
          <w:szCs w:val="24"/>
        </w:rPr>
        <w:t>(with its real gross state income shrinking by about 12 per cent from 2013-14 to 2016-17: ABS 2017b)</w:t>
      </w:r>
      <w:r>
        <w:t>.</w:t>
      </w:r>
      <w:r w:rsidRPr="00C6042F">
        <w:t xml:space="preserve"> </w:t>
      </w:r>
      <w:r>
        <w:t>However, its</w:t>
      </w:r>
      <w:r w:rsidRPr="00C6042F">
        <w:t xml:space="preserve"> assessed revenue</w:t>
      </w:r>
      <w:r w:rsidRPr="00C6042F">
        <w:noBreakHyphen/>
        <w:t xml:space="preserve">raising capacity is still strong relative to other States </w:t>
      </w:r>
      <w:r w:rsidRPr="00C6042F">
        <w:rPr>
          <w:szCs w:val="24"/>
        </w:rPr>
        <w:t>(about 30 per cent higher, per capita, than the national average in 2016</w:t>
      </w:r>
      <w:r>
        <w:rPr>
          <w:szCs w:val="24"/>
        </w:rPr>
        <w:noBreakHyphen/>
      </w:r>
      <w:r w:rsidRPr="00C6042F">
        <w:rPr>
          <w:szCs w:val="24"/>
        </w:rPr>
        <w:t>17: CGC 2018a)</w:t>
      </w:r>
      <w:r w:rsidRPr="00C6042F">
        <w:t>, and will likely remain so over the foreseeable future. As a result, Western Australia’s relativity is likely to stabilise at a lower level (compared to its average relativity during the period prior to the mining boom, as seen in figure</w:t>
      </w:r>
      <w:r>
        <w:t> </w:t>
      </w:r>
      <w:r w:rsidRPr="00C6042F">
        <w:t xml:space="preserve">1.1). </w:t>
      </w:r>
    </w:p>
    <w:p w14:paraId="795499D0" w14:textId="77777777" w:rsidR="00F05DC7" w:rsidRDefault="00F05DC7" w:rsidP="00A3786D">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9D2" w14:textId="77777777" w:rsidTr="00A3786D">
        <w:trPr>
          <w:tblHeader/>
        </w:trPr>
        <w:tc>
          <w:tcPr>
            <w:tcW w:w="5000" w:type="pct"/>
            <w:tcBorders>
              <w:top w:val="single" w:sz="6" w:space="0" w:color="78A22F"/>
              <w:left w:val="nil"/>
              <w:bottom w:val="nil"/>
              <w:right w:val="nil"/>
            </w:tcBorders>
            <w:shd w:val="clear" w:color="auto" w:fill="auto"/>
          </w:tcPr>
          <w:p w14:paraId="795499D1" w14:textId="5D83B407" w:rsidR="00F05DC7" w:rsidRPr="000D32B0" w:rsidRDefault="00F05DC7" w:rsidP="00A3786D">
            <w:pPr>
              <w:pStyle w:val="FigureTitle"/>
              <w:rPr>
                <w:rStyle w:val="NoteLabel"/>
              </w:rPr>
            </w:pPr>
            <w:bookmarkStart w:id="48" w:name="_Ref488222718"/>
            <w:r w:rsidRPr="00784A05">
              <w:rPr>
                <w:b w:val="0"/>
              </w:rPr>
              <w:t xml:space="preserve">Figure </w:t>
            </w:r>
            <w:r>
              <w:rPr>
                <w:b w:val="0"/>
              </w:rPr>
              <w:t>1.</w:t>
            </w:r>
            <w:bookmarkEnd w:id="48"/>
            <w:r>
              <w:rPr>
                <w:b w:val="0"/>
              </w:rPr>
              <w:t>1</w:t>
            </w:r>
            <w:r>
              <w:tab/>
              <w:t>Divergence in State per capita relativities</w:t>
            </w:r>
            <w:r w:rsidRPr="00613C47">
              <w:rPr>
                <w:rStyle w:val="NoteLabel"/>
                <w:b/>
              </w:rPr>
              <w:t>a,b</w:t>
            </w:r>
          </w:p>
        </w:tc>
      </w:tr>
      <w:tr w:rsidR="00F05DC7" w14:paraId="795499D6" w14:textId="77777777" w:rsidTr="00A3786D">
        <w:tc>
          <w:tcPr>
            <w:tcW w:w="5000" w:type="pct"/>
            <w:tcBorders>
              <w:top w:val="nil"/>
              <w:left w:val="nil"/>
              <w:bottom w:val="nil"/>
              <w:right w:val="nil"/>
            </w:tcBorders>
            <w:shd w:val="clear" w:color="auto" w:fill="auto"/>
            <w:tcMar>
              <w:top w:w="28" w:type="dxa"/>
              <w:left w:w="28" w:type="dxa"/>
              <w:bottom w:w="28" w:type="dxa"/>
              <w:right w:w="28" w:type="dxa"/>
            </w:tcMar>
          </w:tcPr>
          <w:tbl>
            <w:tblPr>
              <w:tblW w:w="8789" w:type="dxa"/>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9"/>
            </w:tblGrid>
            <w:tr w:rsidR="00F05DC7" w:rsidRPr="00B43A2F" w14:paraId="795499D4" w14:textId="77777777" w:rsidTr="00A3786D">
              <w:trPr>
                <w:tblHeader/>
              </w:trPr>
              <w:tc>
                <w:tcPr>
                  <w:tcW w:w="8789" w:type="dxa"/>
                  <w:tcBorders>
                    <w:top w:val="nil"/>
                    <w:bottom w:val="nil"/>
                  </w:tcBorders>
                  <w:tcMar>
                    <w:left w:w="28" w:type="dxa"/>
                    <w:right w:w="28" w:type="dxa"/>
                  </w:tcMar>
                </w:tcPr>
                <w:p w14:paraId="795499D3" w14:textId="77777777" w:rsidR="00F05DC7" w:rsidRPr="00B43A2F" w:rsidRDefault="00F05DC7" w:rsidP="00A3786D">
                  <w:pPr>
                    <w:pStyle w:val="Figure"/>
                    <w:spacing w:before="60" w:after="60"/>
                    <w:jc w:val="left"/>
                    <w:rPr>
                      <w:rFonts w:asciiTheme="minorHAnsi" w:hAnsiTheme="minorHAnsi" w:cstheme="minorHAnsi"/>
                      <w:sz w:val="18"/>
                      <w:szCs w:val="18"/>
                    </w:rPr>
                  </w:pPr>
                  <w:r w:rsidRPr="000755F7">
                    <w:rPr>
                      <w:rFonts w:asciiTheme="minorHAnsi" w:hAnsiTheme="minorHAnsi" w:cstheme="minorHAnsi"/>
                      <w:noProof/>
                      <w:sz w:val="18"/>
                      <w:szCs w:val="18"/>
                    </w:rPr>
                    <w:drawing>
                      <wp:inline distT="0" distB="0" distL="0" distR="0" wp14:anchorId="7954D5A3" wp14:editId="2948DA00">
                        <wp:extent cx="5500239" cy="3330389"/>
                        <wp:effectExtent l="0" t="0" r="5715" b="3810"/>
                        <wp:docPr id="2" name="Picture 2" descr="From 1981 82 until 1993 94, Victoria’s relativity was set at 1.0, with those of the other States fluctuating around this. New South Wales had a relativity slightly above 1.0 for most of this period, with the other States fluctuating between roughly 1.3 and 2.0. &#10;From the 1993 94 update, when the ACT was brought into the system and Victoria’s relativity was no longer fixed at 1.0, New South Wales, Victoria and the ACT were the three States with the strongest fiscal capacity and therefore the lowest relativities. The ACT’s relativity started to increase from the late 1990s, while the relativities of Western Australia, South Australia, and Tasmania were roughly constant (with Tasmania’s being the highest). &#10;After the onset of the mining boom in the mid 2000s, Western Australia’s relativity declined below 1.0, falling to reach a low of about 0.3 in 2015 16 and 2016 17. There was an increase in Queensland’s relativity after 2010 11, with its relativity exceeding 1.0 by 2012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884" t="1209" r="2604" b="1127"/>
                                <a:stretch/>
                              </pic:blipFill>
                              <pic:spPr bwMode="auto">
                                <a:xfrm>
                                  <a:off x="0" y="0"/>
                                  <a:ext cx="5508053" cy="33351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499D5" w14:textId="77777777" w:rsidR="00F05DC7" w:rsidRPr="00B43A2F" w:rsidRDefault="00F05DC7" w:rsidP="00A3786D">
            <w:pPr>
              <w:pStyle w:val="Figure"/>
              <w:tabs>
                <w:tab w:val="left" w:pos="1029"/>
                <w:tab w:val="center" w:pos="4394"/>
              </w:tabs>
              <w:jc w:val="left"/>
              <w:rPr>
                <w:rFonts w:asciiTheme="minorHAnsi" w:hAnsiTheme="minorHAnsi" w:cstheme="minorHAnsi"/>
                <w:sz w:val="18"/>
                <w:szCs w:val="18"/>
              </w:rPr>
            </w:pPr>
          </w:p>
        </w:tc>
      </w:tr>
      <w:tr w:rsidR="00F05DC7" w:rsidRPr="00AC3D16" w14:paraId="795499D9" w14:textId="77777777" w:rsidTr="00A3786D">
        <w:tc>
          <w:tcPr>
            <w:tcW w:w="5000" w:type="pct"/>
            <w:tcBorders>
              <w:top w:val="nil"/>
              <w:left w:val="nil"/>
              <w:bottom w:val="nil"/>
              <w:right w:val="nil"/>
            </w:tcBorders>
            <w:shd w:val="clear" w:color="auto" w:fill="auto"/>
          </w:tcPr>
          <w:p w14:paraId="795499D7" w14:textId="77777777" w:rsidR="00F05DC7" w:rsidRPr="00AC3D16" w:rsidRDefault="00F05DC7" w:rsidP="00A3786D">
            <w:pPr>
              <w:pStyle w:val="BoxSource"/>
              <w:spacing w:before="80"/>
            </w:pPr>
            <w:r w:rsidRPr="00AC3D16">
              <w:rPr>
                <w:rStyle w:val="NoteLabel"/>
              </w:rPr>
              <w:t xml:space="preserve">a </w:t>
            </w:r>
            <w:r w:rsidRPr="00AC3D16">
              <w:t xml:space="preserve">A relativity is the ratio between a State’s actual GST share and the share it would receive under an EPC distribution. It is derived by dividing the State’s allocated share of GST by its share of the national population. </w:t>
            </w:r>
          </w:p>
          <w:p w14:paraId="795499D8" w14:textId="77777777" w:rsidR="00F05DC7" w:rsidRPr="00AC3D16" w:rsidRDefault="00F05DC7" w:rsidP="00A3786D">
            <w:pPr>
              <w:pStyle w:val="BoxSource"/>
              <w:spacing w:before="60"/>
              <w:rPr>
                <w:rStyle w:val="DraftingNote"/>
                <w:color w:val="auto"/>
              </w:rPr>
            </w:pPr>
            <w:r w:rsidRPr="00AC3D16">
              <w:rPr>
                <w:rStyle w:val="NoteLabel"/>
              </w:rPr>
              <w:t>b</w:t>
            </w:r>
            <w:r w:rsidRPr="00AC3D16">
              <w:rPr>
                <w:rStyle w:val="NoteLabel"/>
                <w:sz w:val="14"/>
              </w:rPr>
              <w:t xml:space="preserve"> </w:t>
            </w:r>
            <w:r w:rsidRPr="00AC3D16">
              <w:t>For the 1993</w:t>
            </w:r>
            <w:r w:rsidRPr="00AC3D16">
              <w:noBreakHyphen/>
              <w:t>94 update, the CGC stopped calculating State relativities according to Victoria’s share of grants, and moved to a per capita basis. That is, before this update, a relativity of 1.0 represented the pool of funds allocated to Victoria. Afterwards, a relativity of 1.0 represented a share of the pool equal to a State’s share of the Australian population.</w:t>
            </w:r>
          </w:p>
        </w:tc>
      </w:tr>
      <w:tr w:rsidR="00F05DC7" w:rsidRPr="00176D3F" w14:paraId="795499DB" w14:textId="77777777" w:rsidTr="00A3786D">
        <w:tblPrEx>
          <w:tblCellMar>
            <w:left w:w="108" w:type="dxa"/>
            <w:right w:w="108" w:type="dxa"/>
          </w:tblCellMar>
        </w:tblPrEx>
        <w:tc>
          <w:tcPr>
            <w:tcW w:w="5000" w:type="pct"/>
            <w:tcBorders>
              <w:top w:val="nil"/>
              <w:left w:val="nil"/>
              <w:bottom w:val="nil"/>
              <w:right w:val="nil"/>
            </w:tcBorders>
            <w:shd w:val="clear" w:color="auto" w:fill="auto"/>
          </w:tcPr>
          <w:p w14:paraId="795499DA" w14:textId="230FDF55" w:rsidR="00F05DC7" w:rsidRPr="00176D3F" w:rsidRDefault="00F05DC7" w:rsidP="00A3786D">
            <w:pPr>
              <w:pStyle w:val="Source"/>
              <w:spacing w:before="60"/>
            </w:pPr>
            <w:r>
              <w:rPr>
                <w:i/>
              </w:rPr>
              <w:t>Source</w:t>
            </w:r>
            <w:r w:rsidRPr="00176D3F">
              <w:t xml:space="preserve">: </w:t>
            </w:r>
            <w:r>
              <w:t xml:space="preserve">CGC </w:t>
            </w:r>
            <w:r w:rsidR="009D6331" w:rsidRPr="009D6331">
              <w:rPr>
                <w:rFonts w:cs="Arial"/>
              </w:rPr>
              <w:t>(2018g)</w:t>
            </w:r>
            <w:r>
              <w:t>.</w:t>
            </w:r>
            <w:r>
              <w:rPr>
                <w:noProof/>
              </w:rPr>
              <w:t xml:space="preserve"> </w:t>
            </w:r>
          </w:p>
        </w:tc>
      </w:tr>
      <w:tr w:rsidR="00F05DC7" w14:paraId="795499DD" w14:textId="77777777" w:rsidTr="00A3786D">
        <w:tc>
          <w:tcPr>
            <w:tcW w:w="5000" w:type="pct"/>
            <w:tcBorders>
              <w:top w:val="nil"/>
              <w:left w:val="nil"/>
              <w:bottom w:val="single" w:sz="6" w:space="0" w:color="78A22F"/>
              <w:right w:val="nil"/>
            </w:tcBorders>
            <w:shd w:val="clear" w:color="auto" w:fill="auto"/>
          </w:tcPr>
          <w:p w14:paraId="795499DC" w14:textId="77777777" w:rsidR="00F05DC7" w:rsidRDefault="00F05DC7" w:rsidP="00A3786D">
            <w:pPr>
              <w:pStyle w:val="Figurespace"/>
            </w:pPr>
          </w:p>
        </w:tc>
      </w:tr>
      <w:tr w:rsidR="00F05DC7" w:rsidRPr="000863A5" w14:paraId="795499DF" w14:textId="77777777" w:rsidTr="00A3786D">
        <w:tc>
          <w:tcPr>
            <w:tcW w:w="5000" w:type="pct"/>
            <w:tcBorders>
              <w:top w:val="single" w:sz="6" w:space="0" w:color="78A22F"/>
              <w:left w:val="nil"/>
              <w:bottom w:val="nil"/>
              <w:right w:val="nil"/>
            </w:tcBorders>
          </w:tcPr>
          <w:p w14:paraId="795499DE" w14:textId="77777777" w:rsidR="00F05DC7" w:rsidRPr="00626D32" w:rsidRDefault="00F05DC7" w:rsidP="00A3786D">
            <w:pPr>
              <w:pStyle w:val="BoxSpaceBelow"/>
              <w:spacing w:before="40" w:after="20" w:line="60" w:lineRule="exact"/>
            </w:pPr>
          </w:p>
        </w:tc>
      </w:tr>
    </w:tbl>
    <w:p w14:paraId="795499E0" w14:textId="77777777" w:rsidR="00F05DC7" w:rsidRPr="00135516" w:rsidRDefault="00F05DC7" w:rsidP="00A3786D">
      <w:pPr>
        <w:pStyle w:val="BodyText"/>
      </w:pPr>
      <w:r w:rsidRPr="00135516">
        <w:lastRenderedPageBreak/>
        <w:t>However, partly as a consequence of the lagged assessment period used by the CGC to assess State revenues and expenditures, Western Australia’s current share of the GST pool remains historically low (in 201</w:t>
      </w:r>
      <w:r>
        <w:t>8</w:t>
      </w:r>
      <w:r w:rsidRPr="00135516">
        <w:noBreakHyphen/>
        <w:t>1</w:t>
      </w:r>
      <w:r>
        <w:t>9</w:t>
      </w:r>
      <w:r w:rsidRPr="00135516">
        <w:t>, it was allocated a relativity of 0.</w:t>
      </w:r>
      <w:r>
        <w:t>47</w:t>
      </w:r>
      <w:r w:rsidRPr="00135516">
        <w:t xml:space="preserve">). </w:t>
      </w:r>
      <w:r w:rsidRPr="00A964E7">
        <w:t>In part this reflects residual high revenues from the peak of the boom, rather than the State’s current transitional circumstances</w:t>
      </w:r>
      <w:r>
        <w:t>.</w:t>
      </w:r>
    </w:p>
    <w:p w14:paraId="795499E1" w14:textId="77777777" w:rsidR="00F05DC7" w:rsidRPr="00135516" w:rsidRDefault="00F05DC7" w:rsidP="00A3786D">
      <w:pPr>
        <w:pStyle w:val="BodyText"/>
      </w:pPr>
      <w:r w:rsidRPr="00135516">
        <w:t>Meanwhile, some States that experienced rates of growth well above the national average in 201</w:t>
      </w:r>
      <w:r>
        <w:t>7</w:t>
      </w:r>
      <w:r w:rsidRPr="00135516">
        <w:noBreakHyphen/>
        <w:t>1</w:t>
      </w:r>
      <w:r>
        <w:t>8</w:t>
      </w:r>
      <w:r w:rsidRPr="00135516">
        <w:t>, such as New South Wales and Victoria, received much higher relativities than Western Australia (of 0.8</w:t>
      </w:r>
      <w:r>
        <w:t>6</w:t>
      </w:r>
      <w:r w:rsidRPr="00135516">
        <w:t xml:space="preserve"> and 0.9</w:t>
      </w:r>
      <w:r>
        <w:t>9</w:t>
      </w:r>
      <w:r w:rsidRPr="00135516">
        <w:t>, respectively, for 201</w:t>
      </w:r>
      <w:r>
        <w:t>8</w:t>
      </w:r>
      <w:r w:rsidRPr="00135516">
        <w:noBreakHyphen/>
        <w:t>1</w:t>
      </w:r>
      <w:r>
        <w:t>9</w:t>
      </w:r>
      <w:r w:rsidRPr="00135516">
        <w:t xml:space="preserve">: table 1.1). </w:t>
      </w:r>
    </w:p>
    <w:p w14:paraId="795499E2" w14:textId="77777777" w:rsidR="00F05DC7" w:rsidRPr="00135516" w:rsidRDefault="00F05DC7" w:rsidP="00A3786D">
      <w:pPr>
        <w:pStyle w:val="BodyText"/>
      </w:pPr>
      <w:r w:rsidRPr="00135516">
        <w:t>As States’ relativities have diverged from each other, the proportion of the GST pool transferred for equalisation purposes has increased markedly over time (as the differences between States’ fiscal capacities have widened), due to both the circumstances of individual States and variations in the total GST revenue raised in a given year (</w:t>
      </w:r>
      <w:r>
        <w:t xml:space="preserve">figure 2.9, </w:t>
      </w:r>
      <w:r w:rsidRPr="00135516">
        <w:t>chapter</w:t>
      </w:r>
      <w:r>
        <w:t> </w:t>
      </w:r>
      <w:r w:rsidRPr="00135516">
        <w:t xml:space="preserve">2). </w:t>
      </w:r>
    </w:p>
    <w:p w14:paraId="795499E3" w14:textId="7A2A5256" w:rsidR="00F05DC7" w:rsidRPr="00135516" w:rsidRDefault="00F05DC7" w:rsidP="00A3786D">
      <w:pPr>
        <w:pStyle w:val="BodyText"/>
      </w:pPr>
      <w:r w:rsidRPr="00135516">
        <w:t xml:space="preserve">At the same time, total GST revenue has been declining as a share of both GDP and household consumption. This has largely been attributed to a decline in overall consumption relative to GDP (with a commensurate rise in savings), and </w:t>
      </w:r>
      <w:r>
        <w:t xml:space="preserve">to </w:t>
      </w:r>
      <w:r w:rsidRPr="00135516">
        <w:t>a shift in consumption patterns towards goods and services exempt from GST, such as healthcare and education (chapter</w:t>
      </w:r>
      <w:r>
        <w:t> </w:t>
      </w:r>
      <w:r w:rsidRPr="00135516">
        <w:t>4, section</w:t>
      </w:r>
      <w:r>
        <w:t> </w:t>
      </w:r>
      <w:r w:rsidRPr="00135516">
        <w:t>4.2; Daley et al. 2015, pp. 5–6; PBO 2014, pp. 38–40).</w:t>
      </w:r>
    </w:p>
    <w:p w14:paraId="795499E4" w14:textId="77777777" w:rsidR="00F05DC7" w:rsidRDefault="00F05DC7" w:rsidP="00A3786D">
      <w:pPr>
        <w:pStyle w:val="BoxSpaceAbove"/>
        <w:spacing w:before="30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99E6" w14:textId="77777777" w:rsidTr="001113B1">
        <w:trPr>
          <w:tblHeader/>
        </w:trPr>
        <w:tc>
          <w:tcPr>
            <w:tcW w:w="5000" w:type="pct"/>
            <w:tcBorders>
              <w:top w:val="single" w:sz="6" w:space="0" w:color="78A22F"/>
              <w:left w:val="nil"/>
              <w:bottom w:val="nil"/>
              <w:right w:val="nil"/>
            </w:tcBorders>
            <w:shd w:val="clear" w:color="auto" w:fill="auto"/>
          </w:tcPr>
          <w:p w14:paraId="795499E5" w14:textId="7655AC32" w:rsidR="00F05DC7" w:rsidRPr="00784A05" w:rsidRDefault="00F05DC7" w:rsidP="00A3786D">
            <w:pPr>
              <w:pStyle w:val="TableTitle"/>
            </w:pPr>
            <w:r>
              <w:rPr>
                <w:b w:val="0"/>
              </w:rPr>
              <w:t xml:space="preserve">Table </w:t>
            </w:r>
            <w:r>
              <w:rPr>
                <w:b w:val="0"/>
                <w:noProof/>
              </w:rPr>
              <w:t>1</w:t>
            </w:r>
            <w:r>
              <w:rPr>
                <w:b w:val="0"/>
              </w:rPr>
              <w:t>.1</w:t>
            </w:r>
            <w:r>
              <w:tab/>
              <w:t>2018</w:t>
            </w:r>
            <w:r>
              <w:noBreakHyphen/>
              <w:t>19 GST distribution</w:t>
            </w:r>
          </w:p>
        </w:tc>
      </w:tr>
      <w:tr w:rsidR="00F05DC7" w14:paraId="79549A38" w14:textId="77777777" w:rsidTr="00A3786D">
        <w:tc>
          <w:tcPr>
            <w:tcW w:w="5000" w:type="pct"/>
            <w:tcBorders>
              <w:top w:val="nil"/>
              <w:left w:val="nil"/>
              <w:bottom w:val="nil"/>
              <w:right w:val="nil"/>
            </w:tcBorders>
            <w:shd w:val="clear" w:color="auto" w:fill="auto"/>
          </w:tcPr>
          <w:tbl>
            <w:tblPr>
              <w:tblW w:w="8480" w:type="dxa"/>
              <w:tblCellMar>
                <w:top w:w="28" w:type="dxa"/>
                <w:left w:w="0" w:type="dxa"/>
                <w:right w:w="0" w:type="dxa"/>
              </w:tblCellMar>
              <w:tblLook w:val="0000" w:firstRow="0" w:lastRow="0" w:firstColumn="0" w:lastColumn="0" w:noHBand="0" w:noVBand="0"/>
            </w:tblPr>
            <w:tblGrid>
              <w:gridCol w:w="549"/>
              <w:gridCol w:w="992"/>
              <w:gridCol w:w="1416"/>
              <w:gridCol w:w="1557"/>
              <w:gridCol w:w="991"/>
              <w:gridCol w:w="1417"/>
              <w:gridCol w:w="1558"/>
            </w:tblGrid>
            <w:tr w:rsidR="00F05DC7" w14:paraId="795499EE" w14:textId="77777777" w:rsidTr="00A3786D">
              <w:trPr>
                <w:tblHeader/>
              </w:trPr>
              <w:tc>
                <w:tcPr>
                  <w:tcW w:w="318" w:type="pct"/>
                  <w:tcBorders>
                    <w:top w:val="single" w:sz="6" w:space="0" w:color="BFBFBF"/>
                    <w:bottom w:val="single" w:sz="6" w:space="0" w:color="BFBFBF"/>
                  </w:tcBorders>
                  <w:shd w:val="clear" w:color="auto" w:fill="auto"/>
                  <w:tcMar>
                    <w:top w:w="28" w:type="dxa"/>
                  </w:tcMar>
                </w:tcPr>
                <w:p w14:paraId="795499E7" w14:textId="77777777" w:rsidR="00F05DC7" w:rsidRDefault="00F05DC7" w:rsidP="00A3786D">
                  <w:pPr>
                    <w:pStyle w:val="TableColumnHeading"/>
                    <w:jc w:val="left"/>
                  </w:pPr>
                </w:p>
              </w:tc>
              <w:tc>
                <w:tcPr>
                  <w:tcW w:w="586" w:type="pct"/>
                  <w:tcBorders>
                    <w:top w:val="single" w:sz="6" w:space="0" w:color="BFBFBF"/>
                    <w:bottom w:val="single" w:sz="6" w:space="0" w:color="BFBFBF"/>
                  </w:tcBorders>
                  <w:vAlign w:val="bottom"/>
                </w:tcPr>
                <w:p w14:paraId="795499E8" w14:textId="77777777" w:rsidR="00F05DC7" w:rsidRDefault="00F05DC7" w:rsidP="00A3786D">
                  <w:pPr>
                    <w:pStyle w:val="TableColumnHeading"/>
                  </w:pPr>
                  <w:r>
                    <w:t>Relativities</w:t>
                  </w:r>
                </w:p>
              </w:tc>
              <w:tc>
                <w:tcPr>
                  <w:tcW w:w="836" w:type="pct"/>
                  <w:tcBorders>
                    <w:top w:val="single" w:sz="6" w:space="0" w:color="BFBFBF"/>
                    <w:bottom w:val="single" w:sz="6" w:space="0" w:color="BFBFBF"/>
                  </w:tcBorders>
                  <w:vAlign w:val="bottom"/>
                </w:tcPr>
                <w:p w14:paraId="795499E9" w14:textId="77777777" w:rsidR="00F05DC7" w:rsidRDefault="00F05DC7" w:rsidP="00A3786D">
                  <w:pPr>
                    <w:pStyle w:val="TableColumnHeading"/>
                  </w:pPr>
                  <w:r>
                    <w:t>Population share (per cent)</w:t>
                  </w:r>
                </w:p>
              </w:tc>
              <w:tc>
                <w:tcPr>
                  <w:tcW w:w="919" w:type="pct"/>
                  <w:tcBorders>
                    <w:top w:val="single" w:sz="6" w:space="0" w:color="BFBFBF"/>
                    <w:bottom w:val="single" w:sz="6" w:space="0" w:color="BFBFBF"/>
                  </w:tcBorders>
                  <w:vAlign w:val="bottom"/>
                </w:tcPr>
                <w:p w14:paraId="795499EA" w14:textId="77777777" w:rsidR="00F05DC7" w:rsidRDefault="00F05DC7" w:rsidP="00A3786D">
                  <w:pPr>
                    <w:pStyle w:val="TableColumnHeading"/>
                  </w:pPr>
                  <w:r>
                    <w:t>GST distribution</w:t>
                  </w:r>
                  <w:r w:rsidRPr="00E15347">
                    <w:rPr>
                      <w:rStyle w:val="NoteLabel"/>
                    </w:rPr>
                    <w:t>a</w:t>
                  </w:r>
                  <w:r>
                    <w:t xml:space="preserve"> ($m)</w:t>
                  </w:r>
                </w:p>
              </w:tc>
              <w:tc>
                <w:tcPr>
                  <w:tcW w:w="585" w:type="pct"/>
                  <w:tcBorders>
                    <w:top w:val="single" w:sz="6" w:space="0" w:color="BFBFBF"/>
                    <w:bottom w:val="single" w:sz="6" w:space="0" w:color="BFBFBF"/>
                  </w:tcBorders>
                  <w:vAlign w:val="bottom"/>
                </w:tcPr>
                <w:p w14:paraId="795499EB" w14:textId="77777777" w:rsidR="00F05DC7" w:rsidRDefault="00F05DC7" w:rsidP="00A3786D">
                  <w:pPr>
                    <w:pStyle w:val="TableColumnHeading"/>
                  </w:pPr>
                  <w:r>
                    <w:t>GST share</w:t>
                  </w:r>
                  <w:r>
                    <w:rPr>
                      <w:rStyle w:val="NoteLabel"/>
                    </w:rPr>
                    <w:t xml:space="preserve"> </w:t>
                  </w:r>
                  <w:r w:rsidRPr="00E15347">
                    <w:t>(per</w:t>
                  </w:r>
                  <w:r>
                    <w:t> </w:t>
                  </w:r>
                  <w:r w:rsidRPr="00E15347">
                    <w:t>cent)</w:t>
                  </w:r>
                </w:p>
              </w:tc>
              <w:tc>
                <w:tcPr>
                  <w:tcW w:w="836" w:type="pct"/>
                  <w:tcBorders>
                    <w:top w:val="single" w:sz="6" w:space="0" w:color="BFBFBF"/>
                    <w:bottom w:val="single" w:sz="6" w:space="0" w:color="BFBFBF"/>
                  </w:tcBorders>
                  <w:vAlign w:val="bottom"/>
                </w:tcPr>
                <w:p w14:paraId="795499EC" w14:textId="77777777" w:rsidR="00F05DC7" w:rsidRDefault="00F05DC7" w:rsidP="00A3786D">
                  <w:pPr>
                    <w:pStyle w:val="TableColumnHeading"/>
                  </w:pPr>
                  <w:r>
                    <w:t>Equal per capita distribution ($m)</w:t>
                  </w:r>
                </w:p>
              </w:tc>
              <w:tc>
                <w:tcPr>
                  <w:tcW w:w="919" w:type="pct"/>
                  <w:tcBorders>
                    <w:top w:val="single" w:sz="6" w:space="0" w:color="BFBFBF"/>
                    <w:bottom w:val="single" w:sz="6" w:space="0" w:color="BFBFBF"/>
                  </w:tcBorders>
                  <w:vAlign w:val="bottom"/>
                </w:tcPr>
                <w:p w14:paraId="795499ED" w14:textId="77777777" w:rsidR="00F05DC7" w:rsidRDefault="00F05DC7" w:rsidP="00A3786D">
                  <w:pPr>
                    <w:pStyle w:val="TableColumnHeading"/>
                  </w:pPr>
                  <w:r>
                    <w:t>Difference from equal per capita distribution ($m)</w:t>
                  </w:r>
                </w:p>
              </w:tc>
            </w:tr>
            <w:tr w:rsidR="00F05DC7" w14:paraId="795499F6" w14:textId="77777777" w:rsidTr="00A3786D">
              <w:tc>
                <w:tcPr>
                  <w:tcW w:w="318" w:type="pct"/>
                  <w:shd w:val="clear" w:color="auto" w:fill="auto"/>
                  <w:vAlign w:val="bottom"/>
                </w:tcPr>
                <w:p w14:paraId="795499EF" w14:textId="77777777" w:rsidR="00F05DC7" w:rsidRPr="00AD6945" w:rsidRDefault="00F05DC7" w:rsidP="00A3786D">
                  <w:pPr>
                    <w:pStyle w:val="TableBodyText"/>
                    <w:jc w:val="left"/>
                  </w:pPr>
                  <w:r>
                    <w:t>NSW</w:t>
                  </w:r>
                </w:p>
              </w:tc>
              <w:tc>
                <w:tcPr>
                  <w:tcW w:w="586" w:type="pct"/>
                  <w:shd w:val="clear" w:color="auto" w:fill="auto"/>
                  <w:vAlign w:val="bottom"/>
                </w:tcPr>
                <w:p w14:paraId="795499F0" w14:textId="77777777" w:rsidR="00F05DC7" w:rsidRDefault="00F05DC7" w:rsidP="00A3786D">
                  <w:pPr>
                    <w:pStyle w:val="TableBodyText"/>
                    <w:ind w:right="142"/>
                  </w:pPr>
                  <w:r>
                    <w:t>0.855</w:t>
                  </w:r>
                </w:p>
              </w:tc>
              <w:tc>
                <w:tcPr>
                  <w:tcW w:w="836" w:type="pct"/>
                  <w:shd w:val="clear" w:color="auto" w:fill="auto"/>
                  <w:vAlign w:val="bottom"/>
                </w:tcPr>
                <w:p w14:paraId="795499F1" w14:textId="77777777" w:rsidR="00F05DC7" w:rsidRDefault="00F05DC7" w:rsidP="00A3786D">
                  <w:pPr>
                    <w:pStyle w:val="TableBodyText"/>
                    <w:ind w:left="57" w:right="142"/>
                  </w:pPr>
                  <w:r>
                    <w:t>32.0</w:t>
                  </w:r>
                </w:p>
              </w:tc>
              <w:tc>
                <w:tcPr>
                  <w:tcW w:w="919" w:type="pct"/>
                  <w:shd w:val="clear" w:color="auto" w:fill="auto"/>
                  <w:vAlign w:val="bottom"/>
                </w:tcPr>
                <w:p w14:paraId="795499F2" w14:textId="77777777" w:rsidR="00F05DC7" w:rsidRDefault="00F05DC7" w:rsidP="00A3786D">
                  <w:pPr>
                    <w:pStyle w:val="TableBodyText"/>
                    <w:ind w:left="57" w:right="142"/>
                  </w:pPr>
                  <w:r>
                    <w:t>18 030</w:t>
                  </w:r>
                </w:p>
              </w:tc>
              <w:tc>
                <w:tcPr>
                  <w:tcW w:w="585" w:type="pct"/>
                  <w:shd w:val="clear" w:color="auto" w:fill="auto"/>
                  <w:vAlign w:val="bottom"/>
                </w:tcPr>
                <w:p w14:paraId="795499F3" w14:textId="77777777" w:rsidR="00F05DC7" w:rsidRDefault="00F05DC7" w:rsidP="00A3786D">
                  <w:pPr>
                    <w:pStyle w:val="TableBodyText"/>
                    <w:ind w:left="57" w:right="142"/>
                  </w:pPr>
                  <w:r>
                    <w:t>27.4</w:t>
                  </w:r>
                </w:p>
              </w:tc>
              <w:tc>
                <w:tcPr>
                  <w:tcW w:w="836" w:type="pct"/>
                  <w:shd w:val="clear" w:color="auto" w:fill="auto"/>
                  <w:vAlign w:val="bottom"/>
                </w:tcPr>
                <w:p w14:paraId="795499F4" w14:textId="77777777" w:rsidR="00F05DC7" w:rsidRDefault="00F05DC7" w:rsidP="00A3786D">
                  <w:pPr>
                    <w:pStyle w:val="TableBodyText"/>
                    <w:ind w:left="57" w:right="142"/>
                  </w:pPr>
                  <w:r>
                    <w:t>21 052</w:t>
                  </w:r>
                </w:p>
              </w:tc>
              <w:tc>
                <w:tcPr>
                  <w:tcW w:w="919" w:type="pct"/>
                  <w:shd w:val="clear" w:color="auto" w:fill="auto"/>
                  <w:vAlign w:val="bottom"/>
                </w:tcPr>
                <w:p w14:paraId="795499F5" w14:textId="77777777" w:rsidR="00F05DC7" w:rsidRDefault="00F05DC7" w:rsidP="00A3786D">
                  <w:pPr>
                    <w:pStyle w:val="TableBodyText"/>
                    <w:ind w:right="142"/>
                  </w:pPr>
                  <w:r>
                    <w:noBreakHyphen/>
                    <w:t>3 022</w:t>
                  </w:r>
                </w:p>
              </w:tc>
            </w:tr>
            <w:tr w:rsidR="00F05DC7" w14:paraId="795499FE" w14:textId="77777777" w:rsidTr="00A3786D">
              <w:tc>
                <w:tcPr>
                  <w:tcW w:w="318" w:type="pct"/>
                  <w:shd w:val="pct5" w:color="auto" w:fill="auto"/>
                  <w:vAlign w:val="bottom"/>
                </w:tcPr>
                <w:p w14:paraId="795499F7" w14:textId="77777777" w:rsidR="00F05DC7" w:rsidRDefault="00F05DC7" w:rsidP="00A3786D">
                  <w:pPr>
                    <w:pStyle w:val="TableBodyText"/>
                    <w:jc w:val="left"/>
                  </w:pPr>
                  <w:r>
                    <w:t>Vic</w:t>
                  </w:r>
                </w:p>
              </w:tc>
              <w:tc>
                <w:tcPr>
                  <w:tcW w:w="586" w:type="pct"/>
                  <w:shd w:val="pct5" w:color="auto" w:fill="auto"/>
                  <w:vAlign w:val="bottom"/>
                </w:tcPr>
                <w:p w14:paraId="795499F8" w14:textId="77777777" w:rsidR="00F05DC7" w:rsidRDefault="00F05DC7" w:rsidP="00A3786D">
                  <w:pPr>
                    <w:pStyle w:val="TableBodyText"/>
                    <w:ind w:right="142"/>
                  </w:pPr>
                  <w:r>
                    <w:t>0.987</w:t>
                  </w:r>
                </w:p>
              </w:tc>
              <w:tc>
                <w:tcPr>
                  <w:tcW w:w="836" w:type="pct"/>
                  <w:shd w:val="pct5" w:color="auto" w:fill="auto"/>
                  <w:vAlign w:val="bottom"/>
                </w:tcPr>
                <w:p w14:paraId="795499F9" w14:textId="77777777" w:rsidR="00F05DC7" w:rsidRDefault="00F05DC7" w:rsidP="00A3786D">
                  <w:pPr>
                    <w:pStyle w:val="TableBodyText"/>
                    <w:ind w:left="57" w:right="142"/>
                  </w:pPr>
                  <w:r>
                    <w:t>25.9</w:t>
                  </w:r>
                </w:p>
              </w:tc>
              <w:tc>
                <w:tcPr>
                  <w:tcW w:w="919" w:type="pct"/>
                  <w:shd w:val="pct5" w:color="auto" w:fill="auto"/>
                  <w:vAlign w:val="bottom"/>
                </w:tcPr>
                <w:p w14:paraId="795499FA" w14:textId="77777777" w:rsidR="00F05DC7" w:rsidRDefault="00F05DC7" w:rsidP="00A3786D">
                  <w:pPr>
                    <w:pStyle w:val="TableBodyText"/>
                    <w:ind w:left="57" w:right="142"/>
                  </w:pPr>
                  <w:r>
                    <w:t>16 830</w:t>
                  </w:r>
                </w:p>
              </w:tc>
              <w:tc>
                <w:tcPr>
                  <w:tcW w:w="585" w:type="pct"/>
                  <w:shd w:val="pct5" w:color="auto" w:fill="auto"/>
                  <w:vAlign w:val="bottom"/>
                </w:tcPr>
                <w:p w14:paraId="795499FB" w14:textId="77777777" w:rsidR="00F05DC7" w:rsidRDefault="00F05DC7" w:rsidP="00A3786D">
                  <w:pPr>
                    <w:pStyle w:val="TableBodyText"/>
                    <w:ind w:left="57" w:right="142"/>
                  </w:pPr>
                  <w:r>
                    <w:t>25.6</w:t>
                  </w:r>
                </w:p>
              </w:tc>
              <w:tc>
                <w:tcPr>
                  <w:tcW w:w="836" w:type="pct"/>
                  <w:shd w:val="pct5" w:color="auto" w:fill="auto"/>
                  <w:vAlign w:val="bottom"/>
                </w:tcPr>
                <w:p w14:paraId="795499FC" w14:textId="77777777" w:rsidR="00F05DC7" w:rsidRDefault="00F05DC7" w:rsidP="00A3786D">
                  <w:pPr>
                    <w:pStyle w:val="TableBodyText"/>
                    <w:ind w:left="57" w:right="142"/>
                  </w:pPr>
                  <w:r>
                    <w:t>17 031</w:t>
                  </w:r>
                </w:p>
              </w:tc>
              <w:tc>
                <w:tcPr>
                  <w:tcW w:w="919" w:type="pct"/>
                  <w:shd w:val="pct5" w:color="auto" w:fill="auto"/>
                  <w:vAlign w:val="bottom"/>
                </w:tcPr>
                <w:p w14:paraId="795499FD" w14:textId="77777777" w:rsidR="00F05DC7" w:rsidRDefault="00F05DC7" w:rsidP="00A3786D">
                  <w:pPr>
                    <w:pStyle w:val="TableBodyText"/>
                    <w:ind w:right="142"/>
                  </w:pPr>
                  <w:r>
                    <w:noBreakHyphen/>
                    <w:t>201</w:t>
                  </w:r>
                </w:p>
              </w:tc>
            </w:tr>
            <w:tr w:rsidR="00F05DC7" w14:paraId="79549A06" w14:textId="77777777" w:rsidTr="00A3786D">
              <w:tc>
                <w:tcPr>
                  <w:tcW w:w="318" w:type="pct"/>
                  <w:shd w:val="clear" w:color="auto" w:fill="auto"/>
                  <w:vAlign w:val="bottom"/>
                </w:tcPr>
                <w:p w14:paraId="795499FF" w14:textId="77777777" w:rsidR="00F05DC7" w:rsidRDefault="00F05DC7" w:rsidP="00A3786D">
                  <w:pPr>
                    <w:pStyle w:val="TableBodyText"/>
                    <w:jc w:val="left"/>
                  </w:pPr>
                  <w:r>
                    <w:t>Qld</w:t>
                  </w:r>
                </w:p>
              </w:tc>
              <w:tc>
                <w:tcPr>
                  <w:tcW w:w="586" w:type="pct"/>
                  <w:shd w:val="clear" w:color="auto" w:fill="auto"/>
                  <w:vAlign w:val="bottom"/>
                </w:tcPr>
                <w:p w14:paraId="79549A00" w14:textId="77777777" w:rsidR="00F05DC7" w:rsidRDefault="00F05DC7" w:rsidP="00A3786D">
                  <w:pPr>
                    <w:pStyle w:val="TableBodyText"/>
                    <w:ind w:right="142"/>
                  </w:pPr>
                  <w:r>
                    <w:t>1.096</w:t>
                  </w:r>
                </w:p>
              </w:tc>
              <w:tc>
                <w:tcPr>
                  <w:tcW w:w="836" w:type="pct"/>
                  <w:shd w:val="clear" w:color="auto" w:fill="auto"/>
                  <w:vAlign w:val="bottom"/>
                </w:tcPr>
                <w:p w14:paraId="79549A01" w14:textId="77777777" w:rsidR="00F05DC7" w:rsidRDefault="00F05DC7" w:rsidP="00A3786D">
                  <w:pPr>
                    <w:pStyle w:val="TableBodyText"/>
                    <w:ind w:left="57" w:right="142"/>
                  </w:pPr>
                  <w:r>
                    <w:t>20.0</w:t>
                  </w:r>
                </w:p>
              </w:tc>
              <w:tc>
                <w:tcPr>
                  <w:tcW w:w="919" w:type="pct"/>
                  <w:shd w:val="clear" w:color="auto" w:fill="auto"/>
                  <w:vAlign w:val="bottom"/>
                </w:tcPr>
                <w:p w14:paraId="79549A02" w14:textId="77777777" w:rsidR="00F05DC7" w:rsidRDefault="00F05DC7" w:rsidP="00A3786D">
                  <w:pPr>
                    <w:pStyle w:val="TableBodyText"/>
                    <w:ind w:left="57" w:right="142"/>
                  </w:pPr>
                  <w:r>
                    <w:t>14 447</w:t>
                  </w:r>
                </w:p>
              </w:tc>
              <w:tc>
                <w:tcPr>
                  <w:tcW w:w="585" w:type="pct"/>
                  <w:shd w:val="clear" w:color="auto" w:fill="auto"/>
                  <w:vAlign w:val="bottom"/>
                </w:tcPr>
                <w:p w14:paraId="79549A03" w14:textId="77777777" w:rsidR="00F05DC7" w:rsidRDefault="00F05DC7" w:rsidP="00A3786D">
                  <w:pPr>
                    <w:pStyle w:val="TableBodyText"/>
                    <w:ind w:left="57" w:right="142"/>
                  </w:pPr>
                  <w:r>
                    <w:t>22.0</w:t>
                  </w:r>
                </w:p>
              </w:tc>
              <w:tc>
                <w:tcPr>
                  <w:tcW w:w="836" w:type="pct"/>
                  <w:shd w:val="clear" w:color="auto" w:fill="auto"/>
                  <w:vAlign w:val="bottom"/>
                </w:tcPr>
                <w:p w14:paraId="79549A04" w14:textId="77777777" w:rsidR="00F05DC7" w:rsidRDefault="00F05DC7" w:rsidP="00A3786D">
                  <w:pPr>
                    <w:pStyle w:val="TableBodyText"/>
                    <w:ind w:left="57" w:right="142"/>
                  </w:pPr>
                  <w:r>
                    <w:t>13 164</w:t>
                  </w:r>
                </w:p>
              </w:tc>
              <w:tc>
                <w:tcPr>
                  <w:tcW w:w="919" w:type="pct"/>
                  <w:shd w:val="clear" w:color="auto" w:fill="auto"/>
                  <w:vAlign w:val="bottom"/>
                </w:tcPr>
                <w:p w14:paraId="79549A05" w14:textId="77777777" w:rsidR="00F05DC7" w:rsidRDefault="00F05DC7" w:rsidP="00A3786D">
                  <w:pPr>
                    <w:pStyle w:val="TableBodyText"/>
                    <w:ind w:right="142"/>
                  </w:pPr>
                  <w:r>
                    <w:t>1 283</w:t>
                  </w:r>
                </w:p>
              </w:tc>
            </w:tr>
            <w:tr w:rsidR="00F05DC7" w14:paraId="79549A0E" w14:textId="77777777" w:rsidTr="00A3786D">
              <w:tc>
                <w:tcPr>
                  <w:tcW w:w="318" w:type="pct"/>
                  <w:shd w:val="pct5" w:color="auto" w:fill="auto"/>
                  <w:vAlign w:val="bottom"/>
                </w:tcPr>
                <w:p w14:paraId="79549A07" w14:textId="77777777" w:rsidR="00F05DC7" w:rsidRDefault="00F05DC7" w:rsidP="00A3786D">
                  <w:pPr>
                    <w:pStyle w:val="TableBodyText"/>
                    <w:jc w:val="left"/>
                  </w:pPr>
                  <w:r>
                    <w:t>WA</w:t>
                  </w:r>
                </w:p>
              </w:tc>
              <w:tc>
                <w:tcPr>
                  <w:tcW w:w="586" w:type="pct"/>
                  <w:shd w:val="pct5" w:color="auto" w:fill="auto"/>
                  <w:vAlign w:val="bottom"/>
                </w:tcPr>
                <w:p w14:paraId="79549A08" w14:textId="77777777" w:rsidR="00F05DC7" w:rsidRDefault="00F05DC7" w:rsidP="00A3786D">
                  <w:pPr>
                    <w:pStyle w:val="TableBodyText"/>
                    <w:ind w:right="142"/>
                  </w:pPr>
                  <w:r>
                    <w:t>0.473</w:t>
                  </w:r>
                </w:p>
              </w:tc>
              <w:tc>
                <w:tcPr>
                  <w:tcW w:w="836" w:type="pct"/>
                  <w:shd w:val="pct5" w:color="auto" w:fill="auto"/>
                  <w:vAlign w:val="bottom"/>
                </w:tcPr>
                <w:p w14:paraId="79549A09" w14:textId="77777777" w:rsidR="00F05DC7" w:rsidRDefault="00F05DC7" w:rsidP="00A3786D">
                  <w:pPr>
                    <w:pStyle w:val="TableBodyText"/>
                    <w:ind w:left="57" w:right="142"/>
                  </w:pPr>
                  <w:r>
                    <w:t>10.4</w:t>
                  </w:r>
                </w:p>
              </w:tc>
              <w:tc>
                <w:tcPr>
                  <w:tcW w:w="919" w:type="pct"/>
                  <w:shd w:val="pct5" w:color="auto" w:fill="auto"/>
                  <w:vAlign w:val="bottom"/>
                </w:tcPr>
                <w:p w14:paraId="79549A0A" w14:textId="77777777" w:rsidR="00F05DC7" w:rsidRDefault="00F05DC7" w:rsidP="00A3786D">
                  <w:pPr>
                    <w:pStyle w:val="TableBodyText"/>
                    <w:ind w:left="57" w:right="142"/>
                  </w:pPr>
                  <w:r>
                    <w:t>3 255</w:t>
                  </w:r>
                </w:p>
              </w:tc>
              <w:tc>
                <w:tcPr>
                  <w:tcW w:w="585" w:type="pct"/>
                  <w:shd w:val="pct5" w:color="auto" w:fill="auto"/>
                  <w:vAlign w:val="bottom"/>
                </w:tcPr>
                <w:p w14:paraId="79549A0B" w14:textId="77777777" w:rsidR="00F05DC7" w:rsidRDefault="00F05DC7" w:rsidP="00A3786D">
                  <w:pPr>
                    <w:pStyle w:val="TableBodyText"/>
                    <w:ind w:left="57" w:right="142"/>
                  </w:pPr>
                  <w:r>
                    <w:t>4.9</w:t>
                  </w:r>
                </w:p>
              </w:tc>
              <w:tc>
                <w:tcPr>
                  <w:tcW w:w="836" w:type="pct"/>
                  <w:shd w:val="pct5" w:color="auto" w:fill="auto"/>
                  <w:vAlign w:val="bottom"/>
                </w:tcPr>
                <w:p w14:paraId="79549A0C" w14:textId="77777777" w:rsidR="00F05DC7" w:rsidRDefault="00F05DC7" w:rsidP="00A3786D">
                  <w:pPr>
                    <w:pStyle w:val="TableBodyText"/>
                    <w:ind w:left="57" w:right="142"/>
                  </w:pPr>
                  <w:r>
                    <w:t>6 873</w:t>
                  </w:r>
                </w:p>
              </w:tc>
              <w:tc>
                <w:tcPr>
                  <w:tcW w:w="919" w:type="pct"/>
                  <w:shd w:val="pct5" w:color="auto" w:fill="auto"/>
                  <w:vAlign w:val="bottom"/>
                </w:tcPr>
                <w:p w14:paraId="79549A0D" w14:textId="77777777" w:rsidR="00F05DC7" w:rsidRDefault="00F05DC7" w:rsidP="00A3786D">
                  <w:pPr>
                    <w:pStyle w:val="TableBodyText"/>
                    <w:ind w:right="142"/>
                  </w:pPr>
                  <w:r>
                    <w:noBreakHyphen/>
                    <w:t>3 618</w:t>
                  </w:r>
                </w:p>
              </w:tc>
            </w:tr>
            <w:tr w:rsidR="00F05DC7" w14:paraId="79549A16" w14:textId="77777777" w:rsidTr="00A3786D">
              <w:tc>
                <w:tcPr>
                  <w:tcW w:w="318" w:type="pct"/>
                  <w:shd w:val="clear" w:color="auto" w:fill="auto"/>
                  <w:vAlign w:val="bottom"/>
                </w:tcPr>
                <w:p w14:paraId="79549A0F" w14:textId="77777777" w:rsidR="00F05DC7" w:rsidRDefault="00F05DC7" w:rsidP="00A3786D">
                  <w:pPr>
                    <w:pStyle w:val="TableBodyText"/>
                    <w:jc w:val="left"/>
                  </w:pPr>
                  <w:r>
                    <w:t>SA</w:t>
                  </w:r>
                </w:p>
              </w:tc>
              <w:tc>
                <w:tcPr>
                  <w:tcW w:w="586" w:type="pct"/>
                  <w:shd w:val="clear" w:color="auto" w:fill="auto"/>
                  <w:vAlign w:val="bottom"/>
                </w:tcPr>
                <w:p w14:paraId="79549A10" w14:textId="77777777" w:rsidR="00F05DC7" w:rsidRDefault="00F05DC7" w:rsidP="00A3786D">
                  <w:pPr>
                    <w:pStyle w:val="TableBodyText"/>
                    <w:ind w:right="142"/>
                  </w:pPr>
                  <w:r>
                    <w:t>1.477</w:t>
                  </w:r>
                </w:p>
              </w:tc>
              <w:tc>
                <w:tcPr>
                  <w:tcW w:w="836" w:type="pct"/>
                  <w:shd w:val="clear" w:color="auto" w:fill="auto"/>
                  <w:vAlign w:val="bottom"/>
                </w:tcPr>
                <w:p w14:paraId="79549A11" w14:textId="77777777" w:rsidR="00F05DC7" w:rsidRDefault="00F05DC7" w:rsidP="00A3786D">
                  <w:pPr>
                    <w:pStyle w:val="TableBodyText"/>
                    <w:ind w:left="57" w:right="142"/>
                  </w:pPr>
                  <w:r>
                    <w:t>6.9</w:t>
                  </w:r>
                </w:p>
              </w:tc>
              <w:tc>
                <w:tcPr>
                  <w:tcW w:w="919" w:type="pct"/>
                  <w:shd w:val="clear" w:color="auto" w:fill="auto"/>
                  <w:vAlign w:val="bottom"/>
                </w:tcPr>
                <w:p w14:paraId="79549A12" w14:textId="77777777" w:rsidR="00F05DC7" w:rsidRDefault="00F05DC7" w:rsidP="00A3786D">
                  <w:pPr>
                    <w:pStyle w:val="TableBodyText"/>
                    <w:ind w:left="57" w:right="142"/>
                  </w:pPr>
                  <w:r>
                    <w:t>6 751</w:t>
                  </w:r>
                </w:p>
              </w:tc>
              <w:tc>
                <w:tcPr>
                  <w:tcW w:w="585" w:type="pct"/>
                  <w:shd w:val="clear" w:color="auto" w:fill="auto"/>
                  <w:vAlign w:val="bottom"/>
                </w:tcPr>
                <w:p w14:paraId="79549A13" w14:textId="77777777" w:rsidR="00F05DC7" w:rsidRDefault="00F05DC7" w:rsidP="00A3786D">
                  <w:pPr>
                    <w:pStyle w:val="TableBodyText"/>
                    <w:ind w:left="57" w:right="142"/>
                  </w:pPr>
                  <w:r>
                    <w:t>10.3</w:t>
                  </w:r>
                </w:p>
              </w:tc>
              <w:tc>
                <w:tcPr>
                  <w:tcW w:w="836" w:type="pct"/>
                  <w:shd w:val="clear" w:color="auto" w:fill="auto"/>
                  <w:vAlign w:val="bottom"/>
                </w:tcPr>
                <w:p w14:paraId="79549A14" w14:textId="77777777" w:rsidR="00F05DC7" w:rsidRDefault="00F05DC7" w:rsidP="00A3786D">
                  <w:pPr>
                    <w:pStyle w:val="TableBodyText"/>
                    <w:ind w:left="57" w:right="142"/>
                  </w:pPr>
                  <w:r>
                    <w:t>4 563</w:t>
                  </w:r>
                </w:p>
              </w:tc>
              <w:tc>
                <w:tcPr>
                  <w:tcW w:w="919" w:type="pct"/>
                  <w:shd w:val="clear" w:color="auto" w:fill="auto"/>
                  <w:vAlign w:val="bottom"/>
                </w:tcPr>
                <w:p w14:paraId="79549A15" w14:textId="77777777" w:rsidR="00F05DC7" w:rsidRDefault="00F05DC7" w:rsidP="00A3786D">
                  <w:pPr>
                    <w:pStyle w:val="TableBodyText"/>
                    <w:ind w:right="142"/>
                  </w:pPr>
                  <w:r>
                    <w:t>2 188</w:t>
                  </w:r>
                </w:p>
              </w:tc>
            </w:tr>
            <w:tr w:rsidR="00F05DC7" w14:paraId="79549A1E" w14:textId="77777777" w:rsidTr="00A3786D">
              <w:tc>
                <w:tcPr>
                  <w:tcW w:w="318" w:type="pct"/>
                  <w:shd w:val="pct5" w:color="auto" w:fill="auto"/>
                  <w:vAlign w:val="bottom"/>
                </w:tcPr>
                <w:p w14:paraId="79549A17" w14:textId="77777777" w:rsidR="00F05DC7" w:rsidRDefault="00F05DC7" w:rsidP="00A3786D">
                  <w:pPr>
                    <w:pStyle w:val="TableBodyText"/>
                    <w:jc w:val="left"/>
                  </w:pPr>
                  <w:r>
                    <w:t>Tas</w:t>
                  </w:r>
                </w:p>
              </w:tc>
              <w:tc>
                <w:tcPr>
                  <w:tcW w:w="586" w:type="pct"/>
                  <w:shd w:val="pct5" w:color="auto" w:fill="auto"/>
                  <w:vAlign w:val="bottom"/>
                </w:tcPr>
                <w:p w14:paraId="79549A18" w14:textId="77777777" w:rsidR="00F05DC7" w:rsidRDefault="00F05DC7" w:rsidP="00A3786D">
                  <w:pPr>
                    <w:pStyle w:val="TableBodyText"/>
                    <w:ind w:right="142"/>
                  </w:pPr>
                  <w:r>
                    <w:t>1.767</w:t>
                  </w:r>
                </w:p>
              </w:tc>
              <w:tc>
                <w:tcPr>
                  <w:tcW w:w="836" w:type="pct"/>
                  <w:shd w:val="pct5" w:color="auto" w:fill="auto"/>
                  <w:vAlign w:val="bottom"/>
                </w:tcPr>
                <w:p w14:paraId="79549A19" w14:textId="77777777" w:rsidR="00F05DC7" w:rsidRDefault="00F05DC7" w:rsidP="00A3786D">
                  <w:pPr>
                    <w:pStyle w:val="TableBodyText"/>
                    <w:ind w:left="57" w:right="142"/>
                  </w:pPr>
                  <w:r>
                    <w:t>2.1</w:t>
                  </w:r>
                </w:p>
              </w:tc>
              <w:tc>
                <w:tcPr>
                  <w:tcW w:w="919" w:type="pct"/>
                  <w:shd w:val="pct5" w:color="auto" w:fill="auto"/>
                  <w:vAlign w:val="bottom"/>
                </w:tcPr>
                <w:p w14:paraId="79549A1A" w14:textId="77777777" w:rsidR="00F05DC7" w:rsidRDefault="00F05DC7" w:rsidP="00A3786D">
                  <w:pPr>
                    <w:pStyle w:val="TableBodyText"/>
                    <w:ind w:left="57" w:right="142"/>
                  </w:pPr>
                  <w:r>
                    <w:t>2 434</w:t>
                  </w:r>
                </w:p>
              </w:tc>
              <w:tc>
                <w:tcPr>
                  <w:tcW w:w="585" w:type="pct"/>
                  <w:shd w:val="pct5" w:color="auto" w:fill="auto"/>
                  <w:vAlign w:val="bottom"/>
                </w:tcPr>
                <w:p w14:paraId="79549A1B" w14:textId="77777777" w:rsidR="00F05DC7" w:rsidRDefault="00F05DC7" w:rsidP="00A3786D">
                  <w:pPr>
                    <w:pStyle w:val="TableBodyText"/>
                    <w:ind w:left="57" w:right="142"/>
                  </w:pPr>
                  <w:r>
                    <w:t>3.7</w:t>
                  </w:r>
                </w:p>
              </w:tc>
              <w:tc>
                <w:tcPr>
                  <w:tcW w:w="836" w:type="pct"/>
                  <w:shd w:val="pct5" w:color="auto" w:fill="auto"/>
                  <w:vAlign w:val="bottom"/>
                </w:tcPr>
                <w:p w14:paraId="79549A1C" w14:textId="77777777" w:rsidR="00F05DC7" w:rsidRDefault="00F05DC7" w:rsidP="00A3786D">
                  <w:pPr>
                    <w:pStyle w:val="TableBodyText"/>
                    <w:ind w:left="57" w:right="142"/>
                  </w:pPr>
                  <w:r>
                    <w:t>1 375</w:t>
                  </w:r>
                </w:p>
              </w:tc>
              <w:tc>
                <w:tcPr>
                  <w:tcW w:w="919" w:type="pct"/>
                  <w:shd w:val="pct5" w:color="auto" w:fill="auto"/>
                  <w:vAlign w:val="bottom"/>
                </w:tcPr>
                <w:p w14:paraId="79549A1D" w14:textId="77777777" w:rsidR="00F05DC7" w:rsidRDefault="00F05DC7" w:rsidP="00A3786D">
                  <w:pPr>
                    <w:pStyle w:val="TableBodyText"/>
                    <w:ind w:right="142"/>
                  </w:pPr>
                  <w:r>
                    <w:t>1 059</w:t>
                  </w:r>
                </w:p>
              </w:tc>
            </w:tr>
            <w:tr w:rsidR="00F05DC7" w14:paraId="79549A26" w14:textId="77777777" w:rsidTr="00A3786D">
              <w:tc>
                <w:tcPr>
                  <w:tcW w:w="318" w:type="pct"/>
                  <w:shd w:val="clear" w:color="auto" w:fill="auto"/>
                  <w:vAlign w:val="bottom"/>
                </w:tcPr>
                <w:p w14:paraId="79549A1F" w14:textId="77777777" w:rsidR="00F05DC7" w:rsidRDefault="00F05DC7" w:rsidP="00A3786D">
                  <w:pPr>
                    <w:pStyle w:val="TableBodyText"/>
                    <w:jc w:val="left"/>
                  </w:pPr>
                  <w:r>
                    <w:t>ACT</w:t>
                  </w:r>
                </w:p>
              </w:tc>
              <w:tc>
                <w:tcPr>
                  <w:tcW w:w="586" w:type="pct"/>
                  <w:shd w:val="clear" w:color="auto" w:fill="auto"/>
                  <w:vAlign w:val="bottom"/>
                </w:tcPr>
                <w:p w14:paraId="79549A20" w14:textId="77777777" w:rsidR="00F05DC7" w:rsidRDefault="00F05DC7" w:rsidP="00A3786D">
                  <w:pPr>
                    <w:pStyle w:val="TableBodyText"/>
                    <w:ind w:right="142"/>
                  </w:pPr>
                  <w:r>
                    <w:t>1.181</w:t>
                  </w:r>
                </w:p>
              </w:tc>
              <w:tc>
                <w:tcPr>
                  <w:tcW w:w="836" w:type="pct"/>
                  <w:shd w:val="clear" w:color="auto" w:fill="auto"/>
                  <w:vAlign w:val="bottom"/>
                </w:tcPr>
                <w:p w14:paraId="79549A21" w14:textId="77777777" w:rsidR="00F05DC7" w:rsidRDefault="00F05DC7" w:rsidP="00A3786D">
                  <w:pPr>
                    <w:pStyle w:val="TableBodyText"/>
                    <w:ind w:left="57" w:right="142"/>
                  </w:pPr>
                  <w:r>
                    <w:t>1.7</w:t>
                  </w:r>
                </w:p>
              </w:tc>
              <w:tc>
                <w:tcPr>
                  <w:tcW w:w="919" w:type="pct"/>
                  <w:shd w:val="clear" w:color="auto" w:fill="auto"/>
                  <w:vAlign w:val="bottom"/>
                </w:tcPr>
                <w:p w14:paraId="79549A22" w14:textId="77777777" w:rsidR="00F05DC7" w:rsidRDefault="00F05DC7" w:rsidP="00A3786D">
                  <w:pPr>
                    <w:pStyle w:val="TableBodyText"/>
                    <w:ind w:left="57" w:right="142"/>
                  </w:pPr>
                  <w:r>
                    <w:t>1 298</w:t>
                  </w:r>
                </w:p>
              </w:tc>
              <w:tc>
                <w:tcPr>
                  <w:tcW w:w="585" w:type="pct"/>
                  <w:shd w:val="clear" w:color="auto" w:fill="auto"/>
                  <w:vAlign w:val="bottom"/>
                </w:tcPr>
                <w:p w14:paraId="79549A23" w14:textId="77777777" w:rsidR="00F05DC7" w:rsidRDefault="00F05DC7" w:rsidP="00A3786D">
                  <w:pPr>
                    <w:pStyle w:val="TableBodyText"/>
                    <w:ind w:left="57" w:right="142"/>
                  </w:pPr>
                  <w:r>
                    <w:t>2.0</w:t>
                  </w:r>
                </w:p>
              </w:tc>
              <w:tc>
                <w:tcPr>
                  <w:tcW w:w="836" w:type="pct"/>
                  <w:shd w:val="clear" w:color="auto" w:fill="auto"/>
                  <w:vAlign w:val="bottom"/>
                </w:tcPr>
                <w:p w14:paraId="79549A24" w14:textId="77777777" w:rsidR="00F05DC7" w:rsidRDefault="00F05DC7" w:rsidP="00A3786D">
                  <w:pPr>
                    <w:pStyle w:val="TableBodyText"/>
                    <w:ind w:left="57" w:right="142"/>
                  </w:pPr>
                  <w:r>
                    <w:t>1 098</w:t>
                  </w:r>
                </w:p>
              </w:tc>
              <w:tc>
                <w:tcPr>
                  <w:tcW w:w="919" w:type="pct"/>
                  <w:shd w:val="clear" w:color="auto" w:fill="auto"/>
                  <w:vAlign w:val="bottom"/>
                </w:tcPr>
                <w:p w14:paraId="79549A25" w14:textId="77777777" w:rsidR="00F05DC7" w:rsidRDefault="00F05DC7" w:rsidP="00A3786D">
                  <w:pPr>
                    <w:pStyle w:val="TableBodyText"/>
                    <w:ind w:right="142"/>
                  </w:pPr>
                  <w:r>
                    <w:t>200</w:t>
                  </w:r>
                </w:p>
              </w:tc>
            </w:tr>
            <w:tr w:rsidR="00F05DC7" w14:paraId="79549A2E" w14:textId="77777777" w:rsidTr="00A3786D">
              <w:tc>
                <w:tcPr>
                  <w:tcW w:w="318" w:type="pct"/>
                  <w:shd w:val="pct5" w:color="auto" w:fill="auto"/>
                  <w:vAlign w:val="bottom"/>
                </w:tcPr>
                <w:p w14:paraId="79549A27" w14:textId="77777777" w:rsidR="00F05DC7" w:rsidRDefault="00F05DC7" w:rsidP="00A3786D">
                  <w:pPr>
                    <w:pStyle w:val="TableBodyText"/>
                    <w:jc w:val="left"/>
                  </w:pPr>
                  <w:r>
                    <w:t>NT</w:t>
                  </w:r>
                </w:p>
              </w:tc>
              <w:tc>
                <w:tcPr>
                  <w:tcW w:w="586" w:type="pct"/>
                  <w:shd w:val="pct5" w:color="auto" w:fill="auto"/>
                  <w:vAlign w:val="bottom"/>
                </w:tcPr>
                <w:p w14:paraId="79549A28" w14:textId="77777777" w:rsidR="00F05DC7" w:rsidRDefault="00F05DC7" w:rsidP="00A3786D">
                  <w:pPr>
                    <w:pStyle w:val="TableBodyText"/>
                    <w:ind w:right="142"/>
                  </w:pPr>
                  <w:r>
                    <w:t>4.258</w:t>
                  </w:r>
                </w:p>
              </w:tc>
              <w:tc>
                <w:tcPr>
                  <w:tcW w:w="836" w:type="pct"/>
                  <w:shd w:val="pct5" w:color="auto" w:fill="auto"/>
                  <w:vAlign w:val="bottom"/>
                </w:tcPr>
                <w:p w14:paraId="79549A29" w14:textId="77777777" w:rsidR="00F05DC7" w:rsidRDefault="00F05DC7" w:rsidP="00A3786D">
                  <w:pPr>
                    <w:pStyle w:val="TableBodyText"/>
                    <w:ind w:left="57" w:right="142"/>
                  </w:pPr>
                  <w:r>
                    <w:t>1.0</w:t>
                  </w:r>
                </w:p>
              </w:tc>
              <w:tc>
                <w:tcPr>
                  <w:tcW w:w="919" w:type="pct"/>
                  <w:shd w:val="pct5" w:color="auto" w:fill="auto"/>
                  <w:vAlign w:val="bottom"/>
                </w:tcPr>
                <w:p w14:paraId="79549A2A" w14:textId="77777777" w:rsidR="00F05DC7" w:rsidRDefault="00F05DC7" w:rsidP="00A3786D">
                  <w:pPr>
                    <w:pStyle w:val="TableBodyText"/>
                    <w:ind w:left="57" w:right="142"/>
                  </w:pPr>
                  <w:r>
                    <w:t>2 755</w:t>
                  </w:r>
                </w:p>
              </w:tc>
              <w:tc>
                <w:tcPr>
                  <w:tcW w:w="585" w:type="pct"/>
                  <w:shd w:val="pct5" w:color="auto" w:fill="auto"/>
                  <w:vAlign w:val="bottom"/>
                </w:tcPr>
                <w:p w14:paraId="79549A2B" w14:textId="77777777" w:rsidR="00F05DC7" w:rsidRDefault="00F05DC7" w:rsidP="00A3786D">
                  <w:pPr>
                    <w:pStyle w:val="TableBodyText"/>
                    <w:ind w:left="57" w:right="142"/>
                  </w:pPr>
                  <w:r>
                    <w:t>4.2</w:t>
                  </w:r>
                </w:p>
              </w:tc>
              <w:tc>
                <w:tcPr>
                  <w:tcW w:w="836" w:type="pct"/>
                  <w:shd w:val="pct5" w:color="auto" w:fill="auto"/>
                  <w:vAlign w:val="bottom"/>
                </w:tcPr>
                <w:p w14:paraId="79549A2C" w14:textId="77777777" w:rsidR="00F05DC7" w:rsidRDefault="00F05DC7" w:rsidP="00A3786D">
                  <w:pPr>
                    <w:pStyle w:val="TableBodyText"/>
                    <w:ind w:left="57" w:right="142"/>
                  </w:pPr>
                  <w:r>
                    <w:t>646</w:t>
                  </w:r>
                </w:p>
              </w:tc>
              <w:tc>
                <w:tcPr>
                  <w:tcW w:w="919" w:type="pct"/>
                  <w:shd w:val="pct5" w:color="auto" w:fill="auto"/>
                  <w:vAlign w:val="bottom"/>
                </w:tcPr>
                <w:p w14:paraId="79549A2D" w14:textId="77777777" w:rsidR="00F05DC7" w:rsidRDefault="00F05DC7" w:rsidP="00A3786D">
                  <w:pPr>
                    <w:pStyle w:val="TableBodyText"/>
                    <w:ind w:right="142"/>
                  </w:pPr>
                  <w:r>
                    <w:t>2 109</w:t>
                  </w:r>
                </w:p>
              </w:tc>
            </w:tr>
            <w:tr w:rsidR="00F05DC7" w14:paraId="79549A36" w14:textId="77777777" w:rsidTr="00A3786D">
              <w:tc>
                <w:tcPr>
                  <w:tcW w:w="318" w:type="pct"/>
                  <w:tcBorders>
                    <w:bottom w:val="single" w:sz="6" w:space="0" w:color="BFBFBF"/>
                  </w:tcBorders>
                  <w:shd w:val="clear" w:color="auto" w:fill="auto"/>
                  <w:vAlign w:val="bottom"/>
                </w:tcPr>
                <w:p w14:paraId="79549A2F" w14:textId="77777777" w:rsidR="00F05DC7" w:rsidRPr="00A6320E" w:rsidRDefault="00F05DC7" w:rsidP="00A3786D">
                  <w:pPr>
                    <w:pStyle w:val="TableBodyText"/>
                    <w:jc w:val="left"/>
                    <w:rPr>
                      <w:b/>
                    </w:rPr>
                  </w:pPr>
                  <w:r w:rsidRPr="00A6320E">
                    <w:rPr>
                      <w:b/>
                    </w:rPr>
                    <w:t>Total</w:t>
                  </w:r>
                </w:p>
              </w:tc>
              <w:tc>
                <w:tcPr>
                  <w:tcW w:w="586" w:type="pct"/>
                  <w:tcBorders>
                    <w:bottom w:val="single" w:sz="6" w:space="0" w:color="BFBFBF"/>
                  </w:tcBorders>
                  <w:shd w:val="clear" w:color="auto" w:fill="auto"/>
                  <w:vAlign w:val="bottom"/>
                </w:tcPr>
                <w:p w14:paraId="79549A30" w14:textId="77777777" w:rsidR="00F05DC7" w:rsidRPr="00A6320E" w:rsidRDefault="00F05DC7" w:rsidP="00A3786D">
                  <w:pPr>
                    <w:pStyle w:val="TableBodyText"/>
                    <w:ind w:right="142"/>
                    <w:rPr>
                      <w:b/>
                    </w:rPr>
                  </w:pPr>
                  <w:r w:rsidRPr="00A6320E">
                    <w:rPr>
                      <w:b/>
                    </w:rPr>
                    <w:t>1.000</w:t>
                  </w:r>
                </w:p>
              </w:tc>
              <w:tc>
                <w:tcPr>
                  <w:tcW w:w="836" w:type="pct"/>
                  <w:tcBorders>
                    <w:bottom w:val="single" w:sz="6" w:space="0" w:color="BFBFBF"/>
                  </w:tcBorders>
                  <w:shd w:val="clear" w:color="auto" w:fill="auto"/>
                  <w:vAlign w:val="bottom"/>
                </w:tcPr>
                <w:p w14:paraId="79549A31" w14:textId="77777777" w:rsidR="00F05DC7" w:rsidRPr="00A6320E" w:rsidRDefault="00F05DC7" w:rsidP="00A3786D">
                  <w:pPr>
                    <w:pStyle w:val="TableBodyText"/>
                    <w:ind w:right="142"/>
                    <w:rPr>
                      <w:b/>
                    </w:rPr>
                  </w:pPr>
                  <w:r w:rsidRPr="00A6320E">
                    <w:rPr>
                      <w:b/>
                    </w:rPr>
                    <w:t>100.0</w:t>
                  </w:r>
                </w:p>
              </w:tc>
              <w:tc>
                <w:tcPr>
                  <w:tcW w:w="919" w:type="pct"/>
                  <w:tcBorders>
                    <w:bottom w:val="single" w:sz="6" w:space="0" w:color="BFBFBF"/>
                  </w:tcBorders>
                  <w:shd w:val="clear" w:color="auto" w:fill="auto"/>
                  <w:vAlign w:val="bottom"/>
                </w:tcPr>
                <w:p w14:paraId="79549A32" w14:textId="77777777" w:rsidR="00F05DC7" w:rsidRPr="00A6320E" w:rsidRDefault="00F05DC7" w:rsidP="00A3786D">
                  <w:pPr>
                    <w:pStyle w:val="TableBodyText"/>
                    <w:ind w:right="28"/>
                    <w:rPr>
                      <w:b/>
                    </w:rPr>
                  </w:pPr>
                  <w:r w:rsidRPr="00A6320E">
                    <w:rPr>
                      <w:b/>
                    </w:rPr>
                    <w:t>65 800</w:t>
                  </w:r>
                  <w:r w:rsidRPr="00A6320E">
                    <w:rPr>
                      <w:rStyle w:val="NoteLabel"/>
                    </w:rPr>
                    <w:t>b</w:t>
                  </w:r>
                </w:p>
              </w:tc>
              <w:tc>
                <w:tcPr>
                  <w:tcW w:w="585" w:type="pct"/>
                  <w:tcBorders>
                    <w:bottom w:val="single" w:sz="6" w:space="0" w:color="BFBFBF"/>
                  </w:tcBorders>
                  <w:shd w:val="clear" w:color="auto" w:fill="auto"/>
                  <w:vAlign w:val="bottom"/>
                </w:tcPr>
                <w:p w14:paraId="79549A33" w14:textId="77777777" w:rsidR="00F05DC7" w:rsidRPr="00A6320E" w:rsidRDefault="00F05DC7" w:rsidP="00A3786D">
                  <w:pPr>
                    <w:pStyle w:val="TableBodyText"/>
                    <w:ind w:right="142"/>
                    <w:rPr>
                      <w:b/>
                    </w:rPr>
                  </w:pPr>
                  <w:r w:rsidRPr="00A6320E">
                    <w:rPr>
                      <w:b/>
                    </w:rPr>
                    <w:t>100.0</w:t>
                  </w:r>
                </w:p>
              </w:tc>
              <w:tc>
                <w:tcPr>
                  <w:tcW w:w="836" w:type="pct"/>
                  <w:tcBorders>
                    <w:bottom w:val="single" w:sz="6" w:space="0" w:color="BFBFBF"/>
                  </w:tcBorders>
                  <w:shd w:val="clear" w:color="auto" w:fill="auto"/>
                  <w:vAlign w:val="bottom"/>
                </w:tcPr>
                <w:p w14:paraId="79549A34" w14:textId="77777777" w:rsidR="00F05DC7" w:rsidRPr="00A6320E" w:rsidRDefault="00F05DC7" w:rsidP="00A3786D">
                  <w:pPr>
                    <w:pStyle w:val="TableBodyText"/>
                    <w:ind w:right="28"/>
                    <w:rPr>
                      <w:b/>
                    </w:rPr>
                  </w:pPr>
                  <w:r w:rsidRPr="00A6320E">
                    <w:rPr>
                      <w:b/>
                    </w:rPr>
                    <w:t>65 800</w:t>
                  </w:r>
                  <w:r w:rsidRPr="00A6320E">
                    <w:rPr>
                      <w:rStyle w:val="NoteLabel"/>
                    </w:rPr>
                    <w:t>b</w:t>
                  </w:r>
                </w:p>
              </w:tc>
              <w:tc>
                <w:tcPr>
                  <w:tcW w:w="919" w:type="pct"/>
                  <w:tcBorders>
                    <w:bottom w:val="single" w:sz="6" w:space="0" w:color="BFBFBF"/>
                  </w:tcBorders>
                  <w:shd w:val="clear" w:color="auto" w:fill="auto"/>
                  <w:vAlign w:val="bottom"/>
                </w:tcPr>
                <w:p w14:paraId="79549A35" w14:textId="77777777" w:rsidR="00F05DC7" w:rsidRPr="00A6320E" w:rsidRDefault="00F05DC7" w:rsidP="00A3786D">
                  <w:pPr>
                    <w:pStyle w:val="TableBodyText"/>
                    <w:ind w:right="142"/>
                    <w:rPr>
                      <w:b/>
                    </w:rPr>
                  </w:pPr>
                  <w:r w:rsidRPr="00A6320E">
                    <w:rPr>
                      <w:b/>
                    </w:rPr>
                    <w:t>..</w:t>
                  </w:r>
                </w:p>
              </w:tc>
            </w:tr>
          </w:tbl>
          <w:p w14:paraId="79549A37" w14:textId="77777777" w:rsidR="00F05DC7" w:rsidRDefault="00F05DC7" w:rsidP="00A3786D">
            <w:pPr>
              <w:pStyle w:val="Box"/>
            </w:pPr>
          </w:p>
        </w:tc>
      </w:tr>
      <w:tr w:rsidR="00F05DC7" w14:paraId="79549A3A" w14:textId="77777777" w:rsidTr="00A3786D">
        <w:tc>
          <w:tcPr>
            <w:tcW w:w="5000" w:type="pct"/>
            <w:tcBorders>
              <w:top w:val="nil"/>
              <w:left w:val="nil"/>
              <w:bottom w:val="nil"/>
              <w:right w:val="nil"/>
            </w:tcBorders>
            <w:shd w:val="clear" w:color="auto" w:fill="auto"/>
          </w:tcPr>
          <w:p w14:paraId="79549A39" w14:textId="77777777" w:rsidR="00F05DC7" w:rsidRDefault="00F05DC7" w:rsidP="00A3786D">
            <w:pPr>
              <w:pStyle w:val="Note"/>
              <w:spacing w:before="40" w:line="230" w:lineRule="exact"/>
              <w:rPr>
                <w:i/>
              </w:rPr>
            </w:pPr>
            <w:r>
              <w:rPr>
                <w:rStyle w:val="NoteLabel"/>
              </w:rPr>
              <w:t>a</w:t>
            </w:r>
            <w:r>
              <w:t xml:space="preserve"> Forecasts. A State’s GST distribution is calculated according to the equation: </w:t>
            </w:r>
            <m:oMath>
              <m:sSub>
                <m:sSubPr>
                  <m:ctrlPr>
                    <w:rPr>
                      <w:rFonts w:ascii="Cambria Math" w:hAnsi="Cambria Math"/>
                      <w:i/>
                    </w:rPr>
                  </m:ctrlPr>
                </m:sSubPr>
                <m:e>
                  <m:r>
                    <w:rPr>
                      <w:rFonts w:ascii="Cambria Math" w:hAnsi="Cambria Math"/>
                    </w:rPr>
                    <m:t>AGSTR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den>
                  </m:f>
                </m:e>
              </m:d>
            </m:oMath>
            <w:r>
              <w:t xml:space="preserve"> where </w:t>
            </w:r>
            <m:oMath>
              <m:sSub>
                <m:sSubPr>
                  <m:ctrlPr>
                    <w:rPr>
                      <w:rFonts w:ascii="Cambria Math" w:hAnsi="Cambria Math"/>
                      <w:i/>
                    </w:rPr>
                  </m:ctrlPr>
                </m:sSubPr>
                <m:e>
                  <m:r>
                    <w:rPr>
                      <w:rFonts w:ascii="Cambria Math" w:hAnsi="Cambria Math"/>
                    </w:rPr>
                    <m:t>AGSTR</m:t>
                  </m:r>
                </m:e>
                <m:sub>
                  <m:r>
                    <w:rPr>
                      <w:rFonts w:ascii="Cambria Math" w:hAnsi="Cambria Math"/>
                    </w:rPr>
                    <m:t>i</m:t>
                  </m:r>
                </m:sub>
              </m:sSub>
            </m:oMath>
            <w:r>
              <w:t xml:space="preserve"> denotes assessed GST revenue for State </w:t>
            </w:r>
            <m:oMath>
              <m:r>
                <w:rPr>
                  <w:rFonts w:ascii="Cambria Math" w:hAnsi="Cambria Math"/>
                </w:rPr>
                <m:t>i</m:t>
              </m:r>
            </m:oMath>
            <w:r>
              <w:t xml:space="preserve">, </w:t>
            </w:r>
            <m:oMath>
              <m:sSub>
                <m:sSubPr>
                  <m:ctrlPr>
                    <w:rPr>
                      <w:rFonts w:ascii="Cambria Math" w:hAnsi="Cambria Math"/>
                      <w:i/>
                    </w:rPr>
                  </m:ctrlPr>
                </m:sSubPr>
                <m:e>
                  <m:r>
                    <w:rPr>
                      <w:rFonts w:ascii="Cambria Math" w:hAnsi="Cambria Math"/>
                    </w:rPr>
                    <m:t>G</m:t>
                  </m:r>
                </m:e>
                <m:sub>
                  <m:r>
                    <w:rPr>
                      <w:rFonts w:ascii="Cambria Math" w:hAnsi="Cambria Math"/>
                    </w:rPr>
                    <m:t>S</m:t>
                  </m:r>
                </m:sub>
              </m:sSub>
            </m:oMath>
            <w:r>
              <w:t xml:space="preserve"> is the total pool of GST revenue,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is the population of State</w:t>
            </w:r>
            <m:oMath>
              <m:r>
                <w:rPr>
                  <w:rFonts w:ascii="Cambria Math" w:hAnsi="Cambria Math"/>
                </w:rPr>
                <m:t xml:space="preserve"> i</m:t>
              </m:r>
            </m:oMath>
            <w:r>
              <w:t xml:space="preserve"> and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t xml:space="preserve"> is the relativity for State </w:t>
            </w:r>
            <m:oMath>
              <m:r>
                <w:rPr>
                  <w:rFonts w:ascii="Cambria Math" w:hAnsi="Cambria Math"/>
                </w:rPr>
                <m:t>i</m:t>
              </m:r>
            </m:oMath>
            <w:r>
              <w:t xml:space="preserve">. </w:t>
            </w:r>
            <w:r>
              <w:rPr>
                <w:rStyle w:val="NoteLabel"/>
              </w:rPr>
              <w:t xml:space="preserve">b </w:t>
            </w:r>
            <w:r w:rsidRPr="00EA40E6">
              <w:t>Forecast</w:t>
            </w:r>
            <w:r>
              <w:t xml:space="preserve"> GST collections for 2018</w:t>
            </w:r>
            <w:r>
              <w:noBreakHyphen/>
              <w:t>19</w:t>
            </w:r>
            <w:r w:rsidRPr="00EA40E6">
              <w:t>.</w:t>
            </w:r>
          </w:p>
        </w:tc>
      </w:tr>
      <w:tr w:rsidR="00F05DC7" w14:paraId="79549A3C" w14:textId="77777777" w:rsidTr="00A3786D">
        <w:tc>
          <w:tcPr>
            <w:tcW w:w="5000" w:type="pct"/>
            <w:tcBorders>
              <w:top w:val="nil"/>
              <w:left w:val="nil"/>
              <w:bottom w:val="nil"/>
              <w:right w:val="nil"/>
            </w:tcBorders>
            <w:shd w:val="clear" w:color="auto" w:fill="auto"/>
          </w:tcPr>
          <w:p w14:paraId="79549A3B" w14:textId="4A3208F6" w:rsidR="00F05DC7" w:rsidRPr="0085152D" w:rsidRDefault="00F05DC7" w:rsidP="009D6331">
            <w:pPr>
              <w:pStyle w:val="Source"/>
              <w:rPr>
                <w:rStyle w:val="DraftingNote"/>
              </w:rPr>
            </w:pPr>
            <w:r>
              <w:rPr>
                <w:i/>
              </w:rPr>
              <w:t>Sources</w:t>
            </w:r>
            <w:r w:rsidRPr="00167F06">
              <w:t xml:space="preserve">: </w:t>
            </w:r>
            <w:r>
              <w:t xml:space="preserve">CGC </w:t>
            </w:r>
            <w:r w:rsidR="009D6331" w:rsidRPr="009D6331">
              <w:rPr>
                <w:rFonts w:cs="Arial"/>
                <w:szCs w:val="24"/>
              </w:rPr>
              <w:t>(2017h, 2018h, pp. 2, 8–15)</w:t>
            </w:r>
            <w:r>
              <w:t>.</w:t>
            </w:r>
          </w:p>
        </w:tc>
      </w:tr>
      <w:tr w:rsidR="00F05DC7" w14:paraId="79549A3E" w14:textId="77777777" w:rsidTr="00A3786D">
        <w:tc>
          <w:tcPr>
            <w:tcW w:w="5000" w:type="pct"/>
            <w:tcBorders>
              <w:top w:val="nil"/>
              <w:left w:val="nil"/>
              <w:bottom w:val="single" w:sz="6" w:space="0" w:color="78A22F"/>
              <w:right w:val="nil"/>
            </w:tcBorders>
            <w:shd w:val="clear" w:color="auto" w:fill="auto"/>
          </w:tcPr>
          <w:p w14:paraId="79549A3D" w14:textId="77777777" w:rsidR="00F05DC7" w:rsidRDefault="00F05DC7" w:rsidP="00A3786D">
            <w:pPr>
              <w:pStyle w:val="Box"/>
              <w:spacing w:before="0" w:line="120" w:lineRule="exact"/>
            </w:pPr>
          </w:p>
        </w:tc>
      </w:tr>
      <w:tr w:rsidR="00F05DC7" w:rsidRPr="000863A5" w14:paraId="79549A40" w14:textId="77777777" w:rsidTr="00A3786D">
        <w:tc>
          <w:tcPr>
            <w:tcW w:w="5000" w:type="pct"/>
            <w:tcBorders>
              <w:top w:val="single" w:sz="6" w:space="0" w:color="78A22F"/>
              <w:left w:val="nil"/>
              <w:bottom w:val="nil"/>
              <w:right w:val="nil"/>
            </w:tcBorders>
          </w:tcPr>
          <w:p w14:paraId="79549A3F" w14:textId="77777777" w:rsidR="00F05DC7" w:rsidRPr="00626D32" w:rsidRDefault="00F05DC7" w:rsidP="00A3786D">
            <w:pPr>
              <w:pStyle w:val="BoxSpaceBelow"/>
              <w:spacing w:before="40" w:after="40"/>
            </w:pPr>
          </w:p>
        </w:tc>
      </w:tr>
    </w:tbl>
    <w:p w14:paraId="79549A41" w14:textId="77777777" w:rsidR="00F05DC7" w:rsidRDefault="00F05DC7" w:rsidP="00A3786D">
      <w:pPr>
        <w:pStyle w:val="BodyText"/>
      </w:pPr>
      <w:r w:rsidRPr="00135516">
        <w:t>Many Western Australians have expressed extreme dissatisfaction with their State’s low relativity, and have called for changes to the HFE system to ensure that individual States’ relativities will not fall below a certain point in the future. Since 2014</w:t>
      </w:r>
      <w:r w:rsidRPr="00135516">
        <w:noBreakHyphen/>
        <w:t>15, the Commonwealth Government has provided over $1.2 billion in payments for infrastructure projects to Western Australia, which have been quarantined from the HFE process (table B.1)</w:t>
      </w:r>
      <w:r>
        <w:t xml:space="preserve"> and which </w:t>
      </w:r>
      <w:r w:rsidRPr="00135516">
        <w:t xml:space="preserve">are generally perceived as compensation for that State’s low GST </w:t>
      </w:r>
      <w:r w:rsidRPr="00135516">
        <w:lastRenderedPageBreak/>
        <w:t>relativity</w:t>
      </w:r>
      <w:r>
        <w:t>. Western Australia’s</w:t>
      </w:r>
      <w:r w:rsidRPr="00135516">
        <w:t xml:space="preserve"> effective relativit</w:t>
      </w:r>
      <w:r>
        <w:t>y</w:t>
      </w:r>
      <w:r w:rsidRPr="00135516">
        <w:t xml:space="preserve"> </w:t>
      </w:r>
      <w:r>
        <w:t>is</w:t>
      </w:r>
      <w:r w:rsidRPr="00135516">
        <w:t>, therefore, higher than the headline relativity provided by the GST pool alone (chapter 2).</w:t>
      </w:r>
      <w:r>
        <w:t xml:space="preserve"> </w:t>
      </w:r>
    </w:p>
    <w:p w14:paraId="79549A42" w14:textId="3817102A" w:rsidR="00F05DC7" w:rsidRPr="00135516" w:rsidRDefault="00F05DC7" w:rsidP="00A3786D">
      <w:pPr>
        <w:pStyle w:val="BodyText"/>
      </w:pPr>
      <w:r>
        <w:t>Following the release of the 2018</w:t>
      </w:r>
      <w:r>
        <w:noBreakHyphen/>
        <w:t xml:space="preserve">19 relativities, the Commonwealth Government also announced ‘top up’ payments to Western Australia (of $189 million) and the Northern Territory (of $260 million). The payment to Western Australia effectively lifts its relativity to 0.50 for 2018-19 </w:t>
      </w:r>
      <w:r w:rsidR="009D6331" w:rsidRPr="009D6331">
        <w:rPr>
          <w:szCs w:val="24"/>
        </w:rPr>
        <w:t>(Cormann, Turnbull and Morrison 2018)</w:t>
      </w:r>
      <w:r>
        <w:t>; if the $3 billion allocated to the State for further infrastructure projects in the 2018</w:t>
      </w:r>
      <w:r>
        <w:noBreakHyphen/>
        <w:t xml:space="preserve">19 Commonwealth budget </w:t>
      </w:r>
      <w:r w:rsidR="009D6331" w:rsidRPr="009D6331">
        <w:rPr>
          <w:szCs w:val="24"/>
        </w:rPr>
        <w:t>(Turnbull and McGowan 2018)</w:t>
      </w:r>
      <w:r>
        <w:t xml:space="preserve"> is also quarantined from future HFE processes, this effective relativity would be lifted further. The payment to the Northern Territory represents what it could have received from the increased GST pool had its relatively remained at 4.66, as it was in the 2017-18 financial year </w:t>
      </w:r>
      <w:r w:rsidR="009D6331" w:rsidRPr="009D6331">
        <w:rPr>
          <w:szCs w:val="24"/>
        </w:rPr>
        <w:t>(Morrison, Manison and Scullion 2018)</w:t>
      </w:r>
      <w:r>
        <w:t>.</w:t>
      </w:r>
      <w:r w:rsidRPr="00135516">
        <w:t xml:space="preserve"> </w:t>
      </w:r>
      <w:r>
        <w:t xml:space="preserve"> </w:t>
      </w:r>
    </w:p>
    <w:p w14:paraId="79549A43" w14:textId="77777777" w:rsidR="00F05DC7" w:rsidRPr="00135516" w:rsidRDefault="00F05DC7" w:rsidP="00A3786D">
      <w:pPr>
        <w:pStyle w:val="BodyText"/>
      </w:pPr>
      <w:r w:rsidRPr="00135516">
        <w:t xml:space="preserve">Much of </w:t>
      </w:r>
      <w:r>
        <w:t xml:space="preserve">the </w:t>
      </w:r>
      <w:r w:rsidRPr="00135516">
        <w:t>dissatisfaction</w:t>
      </w:r>
      <w:r>
        <w:t xml:space="preserve"> around HFE</w:t>
      </w:r>
      <w:r w:rsidRPr="00135516">
        <w:t xml:space="preserve"> </w:t>
      </w:r>
      <w:r>
        <w:t xml:space="preserve">in </w:t>
      </w:r>
      <w:r w:rsidRPr="00135516">
        <w:t>Western Australia is premised on the misconception that States are ‘entitled’ to EPC shares of the GST revenue pool. Others have countered these views by emphasising HFE’s role in the equity of the Australian federation, given the inherent disadvantages some States face in raising revenue or delivering services (partly driven by the ‘luck’ of where Australia’s State borders are drawn). For most of Australia’s post</w:t>
      </w:r>
      <w:r w:rsidRPr="00135516">
        <w:noBreakHyphen/>
        <w:t>federation history, this included Western Australia (as a consequence of — among other factors — its vast geography and low, dispersed population). Figure 1.</w:t>
      </w:r>
      <w:r>
        <w:t>2</w:t>
      </w:r>
      <w:r w:rsidRPr="00135516">
        <w:t xml:space="preserve"> illustrates the cumulative effect of all Commonwealth grants on the States (minus the Territories), compared to EPC distributions, since federation.</w:t>
      </w:r>
    </w:p>
    <w:p w14:paraId="79549A44" w14:textId="77777777" w:rsidR="00F05DC7" w:rsidRPr="00135516" w:rsidRDefault="00F05DC7" w:rsidP="00A3786D">
      <w:pPr>
        <w:pStyle w:val="BodyText"/>
      </w:pPr>
      <w:r w:rsidRPr="00135516">
        <w:t>Some stakeholders have also argued that the HFE system impedes economic growth by acting as a disincentive for</w:t>
      </w:r>
      <w:r>
        <w:t xml:space="preserve"> State G</w:t>
      </w:r>
      <w:r w:rsidRPr="00135516">
        <w:t>overnments to pursue economic development, in particular with respect to specific industries such as mining, or by subsidising States that ban mineral or energy extraction. This concern has heightened in light of recent uncertainties around the domestic availability of natural gas. There are also concerns that HFE presents a disincentive for States to undertake major efficiency</w:t>
      </w:r>
      <w:r w:rsidRPr="00135516">
        <w:noBreakHyphen/>
        <w:t>enhancing tax reforms (chapter</w:t>
      </w:r>
      <w:r>
        <w:t> </w:t>
      </w:r>
      <w:r w:rsidRPr="00135516">
        <w:t>3), and that the three</w:t>
      </w:r>
      <w:r w:rsidRPr="00135516">
        <w:noBreakHyphen/>
        <w:t>year averaging period may exacerbate economic cycles instead of smoothing them (chapter</w:t>
      </w:r>
      <w:r>
        <w:t> </w:t>
      </w:r>
      <w:r w:rsidRPr="00135516">
        <w:t>4).</w:t>
      </w:r>
    </w:p>
    <w:p w14:paraId="79549A45" w14:textId="77777777" w:rsidR="00F05DC7" w:rsidRPr="00135516" w:rsidRDefault="00F05DC7" w:rsidP="00A3786D">
      <w:pPr>
        <w:pStyle w:val="BodyText"/>
      </w:pPr>
      <w:r w:rsidRPr="00135516">
        <w:t>Finally, concerns have also been raised around the institutional settings of the current system, particularly with regard to governance and oversight of the CGC’s decision</w:t>
      </w:r>
      <w:r w:rsidRPr="00135516">
        <w:noBreakHyphen/>
        <w:t>making process. Some inquiry participants contended that the CGC’s complex methodology hinders transparency and renders the HFE process a ‘black box’, reducing confidence within the community about the way the GST is distributed between States. It was also argued that the current arrangements result in a lack of accountability for HFE’s operation and that the CGC is effectively making policy decisions (chapter</w:t>
      </w:r>
      <w:r>
        <w:t> </w:t>
      </w:r>
      <w:r w:rsidRPr="00135516">
        <w:t>6).</w:t>
      </w:r>
    </w:p>
    <w:p w14:paraId="79549A46" w14:textId="77777777" w:rsidR="00F05DC7" w:rsidRPr="00135516" w:rsidRDefault="00F05DC7" w:rsidP="00A3786D">
      <w:pPr>
        <w:pStyle w:val="BodyText"/>
      </w:pPr>
      <w:r w:rsidRPr="00135516">
        <w:t>This report assesses how the HFE system is handling these concerns and current circumstances. In doing so, the Commission will ‘bust’ a handful of myths that have emerged around HFE and the GST pool more broadly, while also being mindful that recent exceptional circumstances, coupled with heated public debate, can unintentionally undermine community acceptance of HFE itself.</w:t>
      </w:r>
    </w:p>
    <w:p w14:paraId="79549A47" w14:textId="77777777" w:rsidR="00F05DC7" w:rsidRPr="004749B8" w:rsidRDefault="00F05DC7" w:rsidP="00A3786D">
      <w:pPr>
        <w:pStyle w:val="BoxSpaceAbove"/>
        <w:spacing w:before="320" w:line="60" w:lineRule="exact"/>
        <w:rPr>
          <w:color w:val="FFFFFF" w:themeColor="background1"/>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A4A" w14:textId="77777777" w:rsidTr="00A3786D">
        <w:trPr>
          <w:tblHeader/>
        </w:trPr>
        <w:tc>
          <w:tcPr>
            <w:tcW w:w="5000" w:type="pct"/>
            <w:tcBorders>
              <w:top w:val="single" w:sz="6" w:space="0" w:color="78A22F"/>
              <w:left w:val="nil"/>
              <w:bottom w:val="nil"/>
              <w:right w:val="nil"/>
            </w:tcBorders>
            <w:shd w:val="clear" w:color="auto" w:fill="auto"/>
            <w:tcMar>
              <w:right w:w="28" w:type="dxa"/>
            </w:tcMar>
          </w:tcPr>
          <w:p w14:paraId="79549A48" w14:textId="352B94B0" w:rsidR="00F05DC7" w:rsidRDefault="00F05DC7" w:rsidP="00A3786D">
            <w:pPr>
              <w:pStyle w:val="FigureTitle"/>
              <w:spacing w:before="100" w:after="60" w:line="240" w:lineRule="exact"/>
              <w:rPr>
                <w:spacing w:val="-2"/>
                <w:position w:val="6"/>
                <w:sz w:val="18"/>
              </w:rPr>
            </w:pPr>
            <w:r w:rsidRPr="00784A05">
              <w:rPr>
                <w:b w:val="0"/>
              </w:rPr>
              <w:t xml:space="preserve">Figure </w:t>
            </w:r>
            <w:r>
              <w:rPr>
                <w:b w:val="0"/>
                <w:noProof/>
              </w:rPr>
              <w:t>1</w:t>
            </w:r>
            <w:r>
              <w:rPr>
                <w:b w:val="0"/>
              </w:rPr>
              <w:t>.2</w:t>
            </w:r>
            <w:r>
              <w:tab/>
            </w:r>
            <w:r w:rsidRPr="00063BE9">
              <w:rPr>
                <w:spacing w:val="-4"/>
              </w:rPr>
              <w:t>Cumulative distribution of all Commonwealth grants to States</w:t>
            </w:r>
            <w:r w:rsidRPr="00063BE9">
              <w:rPr>
                <w:spacing w:val="-4"/>
                <w:position w:val="6"/>
                <w:sz w:val="18"/>
              </w:rPr>
              <w:t>a,b</w:t>
            </w:r>
          </w:p>
          <w:p w14:paraId="79549A49" w14:textId="77777777" w:rsidR="00F05DC7" w:rsidRPr="00A733BB" w:rsidRDefault="00F05DC7" w:rsidP="00A3786D">
            <w:pPr>
              <w:keepNext/>
              <w:keepLines/>
              <w:spacing w:after="80" w:line="200" w:lineRule="exact"/>
              <w:ind w:left="1474"/>
              <w:rPr>
                <w:rFonts w:ascii="Arial" w:hAnsi="Arial"/>
                <w:sz w:val="20"/>
              </w:rPr>
            </w:pPr>
            <w:r>
              <w:rPr>
                <w:rFonts w:ascii="Arial" w:hAnsi="Arial"/>
                <w:sz w:val="20"/>
              </w:rPr>
              <w:t>Difference from EPC distribution of grants, excluding Territories; $2015</w:t>
            </w:r>
          </w:p>
        </w:tc>
      </w:tr>
      <w:tr w:rsidR="00F05DC7" w14:paraId="79549A4E"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05DC7" w:rsidRPr="00B1465D" w14:paraId="79549A4C" w14:textId="77777777" w:rsidTr="00A3786D">
              <w:trPr>
                <w:tblHeader/>
                <w:jc w:val="center"/>
              </w:trPr>
              <w:tc>
                <w:tcPr>
                  <w:tcW w:w="5000" w:type="pct"/>
                  <w:tcBorders>
                    <w:top w:val="nil"/>
                    <w:bottom w:val="nil"/>
                  </w:tcBorders>
                </w:tcPr>
                <w:p w14:paraId="79549A4B" w14:textId="77777777" w:rsidR="00F05DC7" w:rsidRPr="00B1465D" w:rsidRDefault="00F05DC7" w:rsidP="00A3786D">
                  <w:pPr>
                    <w:pStyle w:val="Figure"/>
                    <w:spacing w:before="40" w:after="40" w:line="240" w:lineRule="auto"/>
                    <w:rPr>
                      <w:rFonts w:ascii="Arial" w:hAnsi="Arial" w:cs="Arial"/>
                      <w:sz w:val="18"/>
                      <w:szCs w:val="18"/>
                    </w:rPr>
                  </w:pPr>
                  <w:r w:rsidRPr="00130EC3">
                    <w:rPr>
                      <w:rFonts w:ascii="Arial" w:hAnsi="Arial" w:cs="Arial"/>
                      <w:noProof/>
                      <w:sz w:val="18"/>
                      <w:szCs w:val="18"/>
                    </w:rPr>
                    <w:drawing>
                      <wp:inline distT="0" distB="0" distL="0" distR="0" wp14:anchorId="7954D5A5" wp14:editId="4D0C68BE">
                        <wp:extent cx="5166398" cy="3649016"/>
                        <wp:effectExtent l="0" t="0" r="0" b="8890"/>
                        <wp:docPr id="7" name="Picture 7" descr="The cumulative distribution of grants by the Commonwealth to the States exhibits a clear pattern from the early 1930s onwards. New South Wales and Victoria have received less in total Commonwealth payments than if Commonwealth payments were distributed on an equal per capita basis, and the size of this gap continues to grow most years. By contrast, Queensland, Western Australia, South Australia, and Tasmania have all received more in Commonwealth payments than if Commonwealth payments were distributed on an equal per capita basis. WA’s low GST relativities in recent years have seen its aggregate Commonwealth grants receipts decline considerably, but it has still received, cumulatively, well over $20 billion more than if grants were distributed equal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622" r="1240" b="5900"/>
                                <a:stretch/>
                              </pic:blipFill>
                              <pic:spPr bwMode="auto">
                                <a:xfrm>
                                  <a:off x="0" y="0"/>
                                  <a:ext cx="5175229" cy="36552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49A4D" w14:textId="77777777" w:rsidR="00F05DC7" w:rsidRDefault="00F05DC7" w:rsidP="00A3786D">
            <w:pPr>
              <w:pStyle w:val="Figure"/>
              <w:spacing w:before="40" w:after="40" w:line="240" w:lineRule="auto"/>
            </w:pPr>
          </w:p>
        </w:tc>
      </w:tr>
      <w:tr w:rsidR="00F05DC7" w:rsidRPr="00176D3F" w14:paraId="79549A50" w14:textId="77777777" w:rsidTr="00A3786D">
        <w:tc>
          <w:tcPr>
            <w:tcW w:w="5000" w:type="pct"/>
            <w:tcBorders>
              <w:top w:val="nil"/>
              <w:left w:val="nil"/>
              <w:bottom w:val="nil"/>
              <w:right w:val="nil"/>
            </w:tcBorders>
            <w:shd w:val="clear" w:color="auto" w:fill="auto"/>
          </w:tcPr>
          <w:p w14:paraId="79549A4F" w14:textId="77777777" w:rsidR="00F05DC7" w:rsidRPr="00176D3F" w:rsidRDefault="00F05DC7" w:rsidP="00A3786D">
            <w:pPr>
              <w:pStyle w:val="Note"/>
              <w:spacing w:before="40" w:line="200" w:lineRule="exact"/>
            </w:pPr>
            <w:r w:rsidRPr="00C03559">
              <w:rPr>
                <w:b/>
                <w:position w:val="6"/>
              </w:rPr>
              <w:t>a</w:t>
            </w:r>
            <w:r w:rsidRPr="00C03559">
              <w:t xml:space="preserve"> </w:t>
            </w:r>
            <w:r>
              <w:t xml:space="preserve">‘Commonwealth grants’ includes general revenue assistance (primarily equalisation payments), Specific Purpose Payments (SPPs), National Partnership (NP) payments, and capital grants. </w:t>
            </w:r>
            <w:r w:rsidRPr="006C1D76">
              <w:rPr>
                <w:b/>
                <w:position w:val="4"/>
              </w:rPr>
              <w:t>b</w:t>
            </w:r>
            <w:r w:rsidRPr="006C1D76">
              <w:rPr>
                <w:position w:val="4"/>
              </w:rPr>
              <w:t xml:space="preserve"> </w:t>
            </w:r>
            <w:r>
              <w:t>T</w:t>
            </w:r>
            <w:r w:rsidRPr="00C03559">
              <w:t xml:space="preserve">he </w:t>
            </w:r>
            <w:r>
              <w:t xml:space="preserve">years </w:t>
            </w:r>
            <w:r w:rsidRPr="00BE1143">
              <w:t>1994</w:t>
            </w:r>
            <w:r>
              <w:noBreakHyphen/>
            </w:r>
            <w:r w:rsidRPr="00BE1143">
              <w:t>95 and 1995</w:t>
            </w:r>
            <w:r>
              <w:noBreakHyphen/>
            </w:r>
            <w:r w:rsidRPr="00BE1143">
              <w:t xml:space="preserve">96 used estimates </w:t>
            </w:r>
            <w:r>
              <w:t>(n</w:t>
            </w:r>
            <w:r w:rsidRPr="00BE1143">
              <w:t>ot actual data</w:t>
            </w:r>
            <w:r>
              <w:t>)</w:t>
            </w:r>
            <w:r w:rsidRPr="00BE1143">
              <w:t xml:space="preserve"> for NP and SPP data</w:t>
            </w:r>
            <w:r>
              <w:t>. No data were available for the 1996</w:t>
            </w:r>
            <w:r>
              <w:noBreakHyphen/>
              <w:t>97 SPP and NP components so the averages of past and future years were used.</w:t>
            </w:r>
          </w:p>
        </w:tc>
      </w:tr>
      <w:tr w:rsidR="00F05DC7" w:rsidRPr="00176D3F" w14:paraId="79549A52" w14:textId="77777777" w:rsidTr="00A3786D">
        <w:tc>
          <w:tcPr>
            <w:tcW w:w="5000" w:type="pct"/>
            <w:tcBorders>
              <w:top w:val="nil"/>
              <w:left w:val="nil"/>
              <w:bottom w:val="nil"/>
              <w:right w:val="nil"/>
            </w:tcBorders>
            <w:shd w:val="clear" w:color="auto" w:fill="auto"/>
          </w:tcPr>
          <w:p w14:paraId="79549A51" w14:textId="77777777" w:rsidR="00F05DC7" w:rsidRPr="00176D3F" w:rsidRDefault="00F05DC7" w:rsidP="00A3786D">
            <w:pPr>
              <w:pStyle w:val="Source"/>
              <w:spacing w:before="40" w:line="200" w:lineRule="exact"/>
            </w:pPr>
            <w:r w:rsidRPr="00C03559">
              <w:rPr>
                <w:i/>
              </w:rPr>
              <w:t>Source</w:t>
            </w:r>
            <w:r w:rsidRPr="00C03559">
              <w:t>: Victorian Government (sub.</w:t>
            </w:r>
            <w:r>
              <w:t> </w:t>
            </w:r>
            <w:r w:rsidRPr="00C03559">
              <w:t>53</w:t>
            </w:r>
            <w:r>
              <w:t>, p. 1</w:t>
            </w:r>
            <w:r w:rsidRPr="00C03559">
              <w:t>); calculations by Department of Treasury and Finance (Vic)</w:t>
            </w:r>
            <w:r>
              <w:t xml:space="preserve"> (pers. comm., 14 September 2017), based on Commonwealth Budget Papers</w:t>
            </w:r>
            <w:r w:rsidRPr="00C03559">
              <w:t>.</w:t>
            </w:r>
          </w:p>
        </w:tc>
      </w:tr>
      <w:tr w:rsidR="00F05DC7" w:rsidRPr="002F695B" w14:paraId="79549A54" w14:textId="77777777" w:rsidTr="00A3786D">
        <w:tc>
          <w:tcPr>
            <w:tcW w:w="5000" w:type="pct"/>
            <w:tcBorders>
              <w:top w:val="nil"/>
              <w:left w:val="nil"/>
              <w:bottom w:val="single" w:sz="6" w:space="0" w:color="78A22F"/>
              <w:right w:val="nil"/>
            </w:tcBorders>
            <w:shd w:val="clear" w:color="auto" w:fill="auto"/>
          </w:tcPr>
          <w:p w14:paraId="79549A53" w14:textId="77777777" w:rsidR="00F05DC7" w:rsidRPr="002F695B" w:rsidRDefault="00F05DC7" w:rsidP="00A3786D">
            <w:pPr>
              <w:pStyle w:val="Figurespace"/>
            </w:pPr>
          </w:p>
        </w:tc>
      </w:tr>
      <w:tr w:rsidR="00F05DC7" w14:paraId="79549A56" w14:textId="77777777" w:rsidTr="00A3786D">
        <w:tc>
          <w:tcPr>
            <w:tcW w:w="5000" w:type="pct"/>
            <w:tcBorders>
              <w:top w:val="single" w:sz="6" w:space="0" w:color="78A22F"/>
              <w:left w:val="nil"/>
              <w:bottom w:val="nil"/>
              <w:right w:val="nil"/>
            </w:tcBorders>
            <w:shd w:val="clear" w:color="auto" w:fill="auto"/>
          </w:tcPr>
          <w:p w14:paraId="79549A55" w14:textId="77777777" w:rsidR="00F05DC7" w:rsidRDefault="00F05DC7" w:rsidP="00A3786D">
            <w:pPr>
              <w:pStyle w:val="BoxSpaceBelow"/>
              <w:spacing w:before="40" w:after="40" w:line="60" w:lineRule="exact"/>
            </w:pPr>
          </w:p>
        </w:tc>
      </w:tr>
    </w:tbl>
    <w:p w14:paraId="79549A57" w14:textId="2646EFBD" w:rsidR="00F05DC7" w:rsidRDefault="00F05DC7" w:rsidP="00F100AE">
      <w:pPr>
        <w:pStyle w:val="Heading2"/>
        <w:spacing w:before="480"/>
      </w:pPr>
      <w:bookmarkStart w:id="49" w:name="_Toc513637698"/>
      <w:r>
        <w:t>1.</w:t>
      </w:r>
      <w:r>
        <w:rPr>
          <w:noProof/>
        </w:rPr>
        <w:t>2</w:t>
      </w:r>
      <w:r>
        <w:tab/>
        <w:t>What has the Commission been asked to do?</w:t>
      </w:r>
      <w:bookmarkEnd w:id="49"/>
    </w:p>
    <w:p w14:paraId="79549A58" w14:textId="77777777" w:rsidR="00F05DC7" w:rsidRDefault="00F05DC7" w:rsidP="00A3786D">
      <w:pPr>
        <w:pStyle w:val="BodyText"/>
      </w:pPr>
      <w:r>
        <w:t>The terms of reference for this inquiry essentially present two broad issues for the Productivity Commission to address:</w:t>
      </w:r>
    </w:p>
    <w:p w14:paraId="79549A59" w14:textId="77777777" w:rsidR="00F05DC7" w:rsidRDefault="00F05DC7" w:rsidP="00C8767A">
      <w:pPr>
        <w:pStyle w:val="ListBullet"/>
      </w:pPr>
      <w:r>
        <w:t xml:space="preserve">First, how does the current HFE system </w:t>
      </w:r>
      <w:r w:rsidRPr="0051168F">
        <w:t>impact the Australian community, economy and State and Territory governments</w:t>
      </w:r>
      <w:r>
        <w:t>?</w:t>
      </w:r>
    </w:p>
    <w:p w14:paraId="79549A5A" w14:textId="77777777" w:rsidR="00F05DC7" w:rsidRDefault="00F05DC7" w:rsidP="00A3786D">
      <w:pPr>
        <w:pStyle w:val="ListBullet2"/>
      </w:pPr>
      <w:r>
        <w:t>What are the effects on economic activity, national productivity, incentives for State revenue and expenditure reforms, and on States’ budgeting activities?</w:t>
      </w:r>
      <w:r w:rsidRPr="0051168F">
        <w:t xml:space="preserve"> </w:t>
      </w:r>
      <w:r>
        <w:t>Does HFE produce disincentives for States to develop a potential industry (particularly in energy or resources) or to alter tax arrangements for an existing industry?</w:t>
      </w:r>
    </w:p>
    <w:p w14:paraId="79549A5B" w14:textId="77777777" w:rsidR="00F05DC7" w:rsidRDefault="00F05DC7" w:rsidP="00A3786D">
      <w:pPr>
        <w:pStyle w:val="ListBullet2"/>
      </w:pPr>
      <w:r>
        <w:t>Does HFE restrict the appropriate movement of capital and labour across State borders to more productive regions during times of high labour demand?</w:t>
      </w:r>
    </w:p>
    <w:p w14:paraId="79549A5C" w14:textId="77777777" w:rsidR="00F05DC7" w:rsidRDefault="00F05DC7" w:rsidP="00A3786D">
      <w:pPr>
        <w:pStyle w:val="ListBullet"/>
        <w:spacing w:line="280" w:lineRule="atLeast"/>
      </w:pPr>
      <w:r>
        <w:t>Second, w</w:t>
      </w:r>
      <w:r w:rsidRPr="0051168F">
        <w:t>hat preferable alternatives are there</w:t>
      </w:r>
      <w:r>
        <w:t>, if any,</w:t>
      </w:r>
      <w:r w:rsidRPr="0051168F">
        <w:t xml:space="preserve"> to the current HFE system</w:t>
      </w:r>
      <w:r>
        <w:t>?</w:t>
      </w:r>
      <w:r w:rsidRPr="0051168F">
        <w:t xml:space="preserve"> </w:t>
      </w:r>
      <w:r>
        <w:t>What improvements could be achieved by changing particular aspects of the existing system?</w:t>
      </w:r>
    </w:p>
    <w:p w14:paraId="79549A5D" w14:textId="77777777" w:rsidR="00F05DC7" w:rsidRDefault="00F05DC7" w:rsidP="00A3786D">
      <w:pPr>
        <w:pStyle w:val="ListBullet2"/>
        <w:spacing w:line="280" w:lineRule="atLeast"/>
      </w:pPr>
      <w:r>
        <w:lastRenderedPageBreak/>
        <w:t>How do other federations internationally approach fiscal equalisation, and how might those different approaches translate to the Australian context?</w:t>
      </w:r>
    </w:p>
    <w:p w14:paraId="79549A5E" w14:textId="77777777" w:rsidR="00F05DC7" w:rsidRPr="00135516" w:rsidRDefault="00F05DC7" w:rsidP="00A3786D">
      <w:pPr>
        <w:pStyle w:val="BodyText"/>
      </w:pPr>
      <w:r w:rsidRPr="00135516">
        <w:t>The terms of reference also ask the Commission to consider some specific aspects of the operation of the CGC’s relativity formula, such as the lagged, rolling three</w:t>
      </w:r>
      <w:r w:rsidRPr="00135516">
        <w:noBreakHyphen/>
        <w:t>year average. And there is a heavy emphasis on mining and energy resources, reflecting the genesis of the inquiry in the aftermath of the mining investment boom and the current political climate around energy and resource extraction.</w:t>
      </w:r>
    </w:p>
    <w:p w14:paraId="79549A5F" w14:textId="71C8CC03" w:rsidR="00F05DC7" w:rsidRPr="00135516" w:rsidRDefault="00F05DC7" w:rsidP="00A3786D">
      <w:pPr>
        <w:pStyle w:val="BodyText"/>
      </w:pPr>
      <w:r w:rsidRPr="00135516">
        <w:t>The terms of reference direct the Commission to take into account previous reviews of the HFE process, including the CGC’s five</w:t>
      </w:r>
      <w:r w:rsidRPr="00135516">
        <w:noBreakHyphen/>
        <w:t>yearly Methodology Reviews and the 2012 GST Distribution Review (Brumby, Carter and Greiner 2012). Box 1.1 summarises the findings of these, and other, past reviews.</w:t>
      </w:r>
    </w:p>
    <w:p w14:paraId="79549A60" w14:textId="77777777" w:rsidR="00F05DC7" w:rsidRPr="00135516" w:rsidRDefault="00F05DC7" w:rsidP="00A3786D">
      <w:pPr>
        <w:pStyle w:val="BodyText"/>
      </w:pPr>
      <w:r w:rsidRPr="00135516">
        <w:t xml:space="preserve">The 2012 GST Distribution Review was the most recent independent review of HFE. In the Final Report, the Review Panel found that, overall, the </w:t>
      </w:r>
      <w:r>
        <w:t xml:space="preserve">basic </w:t>
      </w:r>
      <w:r w:rsidRPr="00135516">
        <w:t xml:space="preserve">practice of HFE between States </w:t>
      </w:r>
      <w:r>
        <w:t>worked satisfactorily</w:t>
      </w:r>
      <w:r w:rsidRPr="00135516">
        <w:t>, but made several recommendations around improving simplicity, transparency, stability and governance arrangements (for which this inquiry has also produced draft recommendations).</w:t>
      </w:r>
    </w:p>
    <w:p w14:paraId="79549A61" w14:textId="77777777" w:rsidR="00F05DC7" w:rsidRPr="00135516" w:rsidRDefault="00F05DC7" w:rsidP="00A3786D">
      <w:pPr>
        <w:pStyle w:val="BodyText"/>
      </w:pPr>
      <w:r w:rsidRPr="00135516">
        <w:t>The Commonwealth Government did not release a formal response to the Final Report, but nine of the Panel’s 3</w:t>
      </w:r>
      <w:r>
        <w:t>1</w:t>
      </w:r>
      <w:r w:rsidRPr="00135516">
        <w:t xml:space="preserve"> recommendations were incorporated into the terms of reference issued by the Commonwealth Treasurer for the CGC’s 2015 Methodology Review, indicating in</w:t>
      </w:r>
      <w:r w:rsidRPr="00135516">
        <w:noBreakHyphen/>
        <w:t>practice acceptance for at least some of the recommendations. This process resulted in some methodological changes to the CGC’s approach, most notably increased materiality thresholds and changes to the assessment of mining revenue, mining</w:t>
      </w:r>
      <w:r w:rsidRPr="00135516">
        <w:noBreakHyphen/>
        <w:t xml:space="preserve">related expenses and the Indigenous population. A number of other recommendations were also considered by the CGC pursuant to the terms of reference, but not implemented (such as rounding of relativities, discussed in chapter 2, and a simplified assessment method). </w:t>
      </w:r>
    </w:p>
    <w:p w14:paraId="79549A62" w14:textId="0EA4AAE9" w:rsidR="00F05DC7" w:rsidRPr="00135516" w:rsidRDefault="00F05DC7" w:rsidP="00A3786D">
      <w:pPr>
        <w:pStyle w:val="BodyText"/>
      </w:pPr>
      <w:r w:rsidRPr="00135516">
        <w:t>The Panel also expressed some concerns over the long</w:t>
      </w:r>
      <w:r w:rsidRPr="00135516">
        <w:noBreakHyphen/>
        <w:t xml:space="preserve">term future of HFE and of </w:t>
      </w:r>
      <w:r>
        <w:t>federal</w:t>
      </w:r>
      <w:r w:rsidRPr="00135516">
        <w:t xml:space="preserve"> financial relations more generally (as did the Productivity Commission in the first Five</w:t>
      </w:r>
      <w:r w:rsidRPr="00135516">
        <w:noBreakHyphen/>
        <w:t xml:space="preserve">Year Productivity Review </w:t>
      </w:r>
      <w:r w:rsidR="009D6331" w:rsidRPr="009D6331">
        <w:rPr>
          <w:szCs w:val="24"/>
        </w:rPr>
        <w:t>(PC 2017d)</w:t>
      </w:r>
      <w:r w:rsidRPr="00135516">
        <w:t>). However, the terms of reference for that Review were constrained by the current — CGC</w:t>
      </w:r>
      <w:r w:rsidRPr="00135516">
        <w:noBreakHyphen/>
        <w:t>established and </w:t>
      </w:r>
      <w:r w:rsidRPr="00135516">
        <w:noBreakHyphen/>
        <w:t>interpreted — objective of HFE, and gave the Panel less scope to consider and recommend alternative models. This inquiry thus has an opportunity to consider the HFE system holistically and through a broader lens.</w:t>
      </w:r>
    </w:p>
    <w:p w14:paraId="79549A63" w14:textId="37C12616" w:rsidR="00F05DC7" w:rsidRDefault="00F05DC7" w:rsidP="00A3786D">
      <w:pPr>
        <w:pStyle w:val="Heading2"/>
      </w:pPr>
      <w:bookmarkStart w:id="50" w:name="_Toc513637699"/>
      <w:r>
        <w:t>1.</w:t>
      </w:r>
      <w:r>
        <w:rPr>
          <w:noProof/>
        </w:rPr>
        <w:t>3</w:t>
      </w:r>
      <w:r>
        <w:tab/>
        <w:t>The Productivity Commission’s approach</w:t>
      </w:r>
      <w:bookmarkEnd w:id="50"/>
    </w:p>
    <w:p w14:paraId="79549A64" w14:textId="77777777" w:rsidR="00F05DC7" w:rsidRPr="00135516" w:rsidRDefault="00F05DC7" w:rsidP="00A3786D">
      <w:pPr>
        <w:pStyle w:val="BodyText"/>
      </w:pPr>
      <w:r w:rsidRPr="00135516">
        <w:t xml:space="preserve">Under the </w:t>
      </w:r>
      <w:r w:rsidRPr="00135516">
        <w:rPr>
          <w:i/>
        </w:rPr>
        <w:t>Productivity Commission Act 1998</w:t>
      </w:r>
      <w:r w:rsidRPr="00135516">
        <w:t xml:space="preserve"> (Cwlth), the Commission must have regard to the living standards for all members of the Australian community (section 8(1)). This remit is a core tenet of the approach taken to this inquiry: our recommendations are designed to offer net benefits to the Australian community as a whole, and are not framed solely in the interests of any particular group or individual State jurisdiction.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A66" w14:textId="77777777" w:rsidTr="001113B1">
        <w:trPr>
          <w:tblHeader/>
        </w:trPr>
        <w:tc>
          <w:tcPr>
            <w:tcW w:w="5000" w:type="pct"/>
            <w:tcBorders>
              <w:top w:val="single" w:sz="6" w:space="0" w:color="78A22F"/>
              <w:left w:val="nil"/>
              <w:bottom w:val="nil"/>
              <w:right w:val="nil"/>
            </w:tcBorders>
            <w:shd w:val="clear" w:color="auto" w:fill="F2F2F2"/>
          </w:tcPr>
          <w:p w14:paraId="79549A65" w14:textId="476767E1" w:rsidR="00F05DC7" w:rsidRDefault="00F05DC7" w:rsidP="00A3786D">
            <w:pPr>
              <w:pStyle w:val="BoxTitle"/>
              <w:spacing w:before="100" w:line="260" w:lineRule="exact"/>
            </w:pPr>
            <w:r>
              <w:rPr>
                <w:b w:val="0"/>
              </w:rPr>
              <w:lastRenderedPageBreak/>
              <w:t>Box 1.1</w:t>
            </w:r>
            <w:r>
              <w:tab/>
              <w:t>Findings from previous reviews</w:t>
            </w:r>
          </w:p>
        </w:tc>
      </w:tr>
      <w:tr w:rsidR="00F05DC7" w:rsidRPr="00B61355" w14:paraId="79549A71" w14:textId="77777777" w:rsidTr="00A3786D">
        <w:tc>
          <w:tcPr>
            <w:tcW w:w="5000" w:type="pct"/>
            <w:tcBorders>
              <w:top w:val="nil"/>
              <w:left w:val="nil"/>
              <w:bottom w:val="nil"/>
              <w:right w:val="nil"/>
            </w:tcBorders>
            <w:shd w:val="clear" w:color="auto" w:fill="F2F2F2"/>
          </w:tcPr>
          <w:p w14:paraId="79549A67" w14:textId="35278007" w:rsidR="00F05DC7" w:rsidRPr="00B61355" w:rsidRDefault="00F05DC7" w:rsidP="00A3786D">
            <w:pPr>
              <w:pStyle w:val="Box"/>
              <w:spacing w:before="100" w:line="240" w:lineRule="atLeast"/>
              <w:rPr>
                <w:b/>
                <w:sz w:val="19"/>
                <w:szCs w:val="19"/>
              </w:rPr>
            </w:pPr>
            <w:r w:rsidRPr="00B61355">
              <w:rPr>
                <w:b/>
                <w:sz w:val="19"/>
                <w:szCs w:val="19"/>
              </w:rPr>
              <w:t xml:space="preserve">Review of Commonwealth–State Funding </w:t>
            </w:r>
            <w:r w:rsidR="009D6331" w:rsidRPr="00B61355">
              <w:rPr>
                <w:rFonts w:cs="Arial"/>
                <w:sz w:val="19"/>
                <w:szCs w:val="24"/>
              </w:rPr>
              <w:t>(Garnaut and FitzGerald 2002b)</w:t>
            </w:r>
          </w:p>
          <w:p w14:paraId="79549A68" w14:textId="77777777" w:rsidR="00F05DC7" w:rsidRPr="00B61355" w:rsidRDefault="00F05DC7" w:rsidP="00A3786D">
            <w:pPr>
              <w:pStyle w:val="Box"/>
              <w:spacing w:before="60" w:line="230" w:lineRule="atLeast"/>
              <w:rPr>
                <w:sz w:val="19"/>
                <w:szCs w:val="19"/>
              </w:rPr>
            </w:pPr>
            <w:r w:rsidRPr="00B61355">
              <w:rPr>
                <w:sz w:val="19"/>
                <w:szCs w:val="19"/>
              </w:rPr>
              <w:t>This Review was commissioned by the Governments of New South Wales, Victoria and Western Australia. It concluded that Commonwealth–State funding arrangements rewarded inefficiencies and cost disabilities, encouraged gaming of the system, disincentivised growth, and otherwise distorted State policy decisions; and, further, that the system’s main objective should be interpersonal vertical equity (transferring funds, on average, from richer to poorer households), not equity of State fiscal capacity. It was also concluded that the CGC’s methods did not improve vertical equity, but rather may have worsened it slightly (relative to an EPC approach: p. 2). Accordingly, the Review recommended a move to a system where the GST was primarily distributed on an EPC basis and interpersonal equity was targeted with Specific Purpose Payments (p. 4).</w:t>
            </w:r>
          </w:p>
          <w:p w14:paraId="79549A69" w14:textId="35609542" w:rsidR="00F05DC7" w:rsidRPr="00B61355" w:rsidRDefault="00F05DC7" w:rsidP="00A3786D">
            <w:pPr>
              <w:pStyle w:val="Box"/>
              <w:spacing w:beforeLines="100" w:before="240" w:line="240" w:lineRule="exact"/>
              <w:rPr>
                <w:b/>
                <w:sz w:val="19"/>
                <w:szCs w:val="19"/>
              </w:rPr>
            </w:pPr>
            <w:r w:rsidRPr="00B61355">
              <w:rPr>
                <w:b/>
                <w:sz w:val="19"/>
                <w:szCs w:val="19"/>
              </w:rPr>
              <w:t xml:space="preserve">GST Distribution Review </w:t>
            </w:r>
            <w:r w:rsidR="009D6331" w:rsidRPr="00B61355">
              <w:rPr>
                <w:rFonts w:cs="Arial"/>
                <w:sz w:val="19"/>
                <w:szCs w:val="24"/>
              </w:rPr>
              <w:t>(Brumby, Carter and Greiner 2012a)</w:t>
            </w:r>
          </w:p>
          <w:p w14:paraId="79549A6A" w14:textId="77777777" w:rsidR="00F05DC7" w:rsidRPr="00B61355" w:rsidRDefault="00F05DC7" w:rsidP="00A3786D">
            <w:pPr>
              <w:pStyle w:val="Box"/>
              <w:spacing w:before="60" w:line="230" w:lineRule="atLeast"/>
              <w:rPr>
                <w:sz w:val="19"/>
                <w:szCs w:val="19"/>
              </w:rPr>
            </w:pPr>
            <w:r w:rsidRPr="00B61355">
              <w:rPr>
                <w:sz w:val="19"/>
                <w:szCs w:val="19"/>
              </w:rPr>
              <w:t>The Commonwealth Government directed this Review to consider whether the HFE system would assist Australia in responding to pronounced, long</w:t>
            </w:r>
            <w:r w:rsidRPr="00B61355">
              <w:rPr>
                <w:sz w:val="19"/>
                <w:szCs w:val="19"/>
              </w:rPr>
              <w:noBreakHyphen/>
              <w:t>term structural change in the economy. While the Review found that the practice of HFE to be satisfactory overall (p. 9), the Panel also expressed concerns about the long</w:t>
            </w:r>
            <w:r w:rsidRPr="00B61355">
              <w:rPr>
                <w:sz w:val="19"/>
                <w:szCs w:val="19"/>
              </w:rPr>
              <w:noBreakHyphen/>
              <w:t>term sustainability of Commonwealth–State funding arrangements in the face of increasing social service demands and cost pressures (p. 165). It contemplated future tax reform as needing to bring about a fall in the size of the VFI and a corresponding reduction in the amount of redistribution through HFE. In this context, a GST distribution model of EPC, plus Commonwealth</w:t>
            </w:r>
            <w:r w:rsidRPr="00B61355">
              <w:rPr>
                <w:sz w:val="19"/>
                <w:szCs w:val="19"/>
              </w:rPr>
              <w:noBreakHyphen/>
              <w:t>funded top</w:t>
            </w:r>
            <w:r w:rsidRPr="00B61355">
              <w:rPr>
                <w:sz w:val="19"/>
                <w:szCs w:val="19"/>
              </w:rPr>
              <w:noBreakHyphen/>
              <w:t>ups for fiscally weaker States, was contemplated (p. 173).</w:t>
            </w:r>
          </w:p>
          <w:p w14:paraId="79549A6B" w14:textId="19EBD917" w:rsidR="00F05DC7" w:rsidRPr="00B61355" w:rsidRDefault="00F05DC7" w:rsidP="00A3786D">
            <w:pPr>
              <w:pStyle w:val="Box"/>
              <w:spacing w:beforeLines="100" w:before="240" w:line="240" w:lineRule="exact"/>
              <w:rPr>
                <w:b/>
                <w:sz w:val="19"/>
                <w:szCs w:val="19"/>
              </w:rPr>
            </w:pPr>
            <w:r w:rsidRPr="00B61355">
              <w:rPr>
                <w:b/>
                <w:sz w:val="19"/>
                <w:szCs w:val="19"/>
              </w:rPr>
              <w:t xml:space="preserve">Towards Responsible Government: Phase One </w:t>
            </w:r>
            <w:r w:rsidRPr="009D29AD">
              <w:rPr>
                <w:rFonts w:cs="Arial"/>
                <w:sz w:val="19"/>
              </w:rPr>
              <w:t>(National Commission of Audit (NCOA) 2014)</w:t>
            </w:r>
          </w:p>
          <w:p w14:paraId="79549A6C" w14:textId="77777777" w:rsidR="00F05DC7" w:rsidRPr="00B61355" w:rsidRDefault="00F05DC7" w:rsidP="00A3786D">
            <w:pPr>
              <w:pStyle w:val="Box"/>
              <w:spacing w:before="60" w:line="230" w:lineRule="atLeast"/>
              <w:rPr>
                <w:sz w:val="19"/>
                <w:szCs w:val="19"/>
              </w:rPr>
            </w:pPr>
            <w:r w:rsidRPr="00B61355">
              <w:rPr>
                <w:sz w:val="19"/>
                <w:szCs w:val="19"/>
              </w:rPr>
              <w:t>The NCOA was commissioned to examine Australia’s public sector expenditure, with a focus on ‘making spending sustainable’ by identifying opportunities for savings. It concluded that Australia’s federal system was ‘not working as it should’ (p. </w:t>
            </w:r>
            <w:r w:rsidRPr="00B61355">
              <w:t>xiii)</w:t>
            </w:r>
            <w:r w:rsidRPr="00B61355">
              <w:rPr>
                <w:sz w:val="19"/>
                <w:szCs w:val="19"/>
              </w:rPr>
              <w:t xml:space="preserve"> and reform was necessary — specifically, that the Commonwealth should withdraw from certain policy areas and in return, the States should access and control more (and bigger) tax bases, such as income tax. Similar to the GST Distribution Review, the NCOA (p. 74) recommended a GST distribution of EPC, plus Commonwealth</w:t>
            </w:r>
            <w:r w:rsidRPr="00B61355">
              <w:rPr>
                <w:sz w:val="19"/>
                <w:szCs w:val="19"/>
              </w:rPr>
              <w:noBreakHyphen/>
              <w:t>funded top</w:t>
            </w:r>
            <w:r w:rsidRPr="00B61355">
              <w:rPr>
                <w:sz w:val="19"/>
                <w:szCs w:val="19"/>
              </w:rPr>
              <w:noBreakHyphen/>
              <w:t>ups for the fiscally weaker States.</w:t>
            </w:r>
          </w:p>
          <w:p w14:paraId="79549A6D" w14:textId="77777777" w:rsidR="00F05DC7" w:rsidRPr="00B61355" w:rsidRDefault="00F05DC7" w:rsidP="00A3786D">
            <w:pPr>
              <w:pStyle w:val="Box"/>
              <w:spacing w:beforeLines="100" w:before="240" w:line="240" w:lineRule="exact"/>
              <w:rPr>
                <w:b/>
                <w:sz w:val="19"/>
                <w:szCs w:val="19"/>
              </w:rPr>
            </w:pPr>
            <w:r w:rsidRPr="00B61355">
              <w:rPr>
                <w:b/>
                <w:sz w:val="19"/>
                <w:szCs w:val="19"/>
              </w:rPr>
              <w:t xml:space="preserve">CGC Methodology Reviews </w:t>
            </w:r>
            <w:r w:rsidRPr="009D29AD">
              <w:rPr>
                <w:sz w:val="19"/>
                <w:szCs w:val="19"/>
              </w:rPr>
              <w:t>(1999, 2004, 2010, 2015; 2020 in progress)</w:t>
            </w:r>
          </w:p>
          <w:p w14:paraId="79549A6E" w14:textId="77777777" w:rsidR="00F05DC7" w:rsidRPr="00B61355" w:rsidRDefault="00F05DC7" w:rsidP="00A3786D">
            <w:pPr>
              <w:pStyle w:val="Box"/>
              <w:spacing w:before="60" w:line="230" w:lineRule="atLeast"/>
              <w:rPr>
                <w:sz w:val="19"/>
                <w:szCs w:val="19"/>
              </w:rPr>
            </w:pPr>
            <w:r w:rsidRPr="00B61355">
              <w:rPr>
                <w:sz w:val="19"/>
                <w:szCs w:val="19"/>
              </w:rPr>
              <w:t>The CGC also periodically conducts Methodology Reviews (figure below) in which all components of the equalisation formula are open to modification. The Treasurer issues terms of reference, which normally direct the CGC to focus on particular aims for improvement, such as stability or simplicity. However, since the GST</w:t>
            </w:r>
            <w:r w:rsidRPr="00B61355">
              <w:rPr>
                <w:sz w:val="19"/>
                <w:szCs w:val="19"/>
              </w:rPr>
              <w:noBreakHyphen/>
              <w:t>specific formulation of the overarching HFE objective in the 1999 Review, the terms of reference have not directed the CGC to consider change to the objective itself. Consequently, the Methodology Reviews have chiefly recommended change related to specific assessment methods, data sources, or revenue and expenditure categories — mostly outside the scope of this inquiry.</w:t>
            </w:r>
          </w:p>
          <w:p w14:paraId="79549A6F" w14:textId="77777777" w:rsidR="00F05DC7" w:rsidRPr="00B61355" w:rsidRDefault="00F05DC7" w:rsidP="00A3786D">
            <w:pPr>
              <w:pStyle w:val="BoxTitle"/>
              <w:spacing w:beforeLines="100" w:before="240" w:line="240" w:lineRule="exact"/>
              <w:rPr>
                <w:sz w:val="19"/>
                <w:szCs w:val="19"/>
              </w:rPr>
            </w:pPr>
            <w:r w:rsidRPr="00B61355">
              <w:rPr>
                <w:sz w:val="19"/>
                <w:szCs w:val="19"/>
              </w:rPr>
              <w:t>Reviews and major events in HFE, 1999–present</w:t>
            </w:r>
          </w:p>
          <w:p w14:paraId="79549A70" w14:textId="35317959" w:rsidR="00200D2D" w:rsidRPr="00200D2D" w:rsidRDefault="00F05DC7" w:rsidP="00200D2D">
            <w:pPr>
              <w:pStyle w:val="Box"/>
            </w:pPr>
            <w:r w:rsidRPr="00200D2D">
              <w:rPr>
                <w:noProof/>
              </w:rPr>
              <w:drawing>
                <wp:inline distT="0" distB="0" distL="0" distR="0" wp14:anchorId="7954D5A7" wp14:editId="71C0C2AB">
                  <wp:extent cx="5400624" cy="1946366"/>
                  <wp:effectExtent l="0" t="0" r="0" b="0"/>
                  <wp:docPr id="11" name="Picture 11" descr="This figure plots out a timeline of the major reviews that have considered HFE and Commonwealth State finances more broadly since the turn of the century. Since the GST took effect in 2000, there has been three independent reviews that analysed HFE (including the National Commission of Audit, which was not focused on HFE but took it into account in considering Commonwealth financial sustainability). The Productivity Commission’s current inquiry is the fourth of these. And there have been three CGC Methodological Reviews, with the next one coming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86" t="2021" r="986" b="3001"/>
                          <a:stretch/>
                        </pic:blipFill>
                        <pic:spPr bwMode="auto">
                          <a:xfrm>
                            <a:off x="0" y="0"/>
                            <a:ext cx="5400624" cy="19463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5DC7" w:rsidRPr="00CB5FD9" w14:paraId="79549A73" w14:textId="77777777" w:rsidTr="00A3786D">
        <w:tc>
          <w:tcPr>
            <w:tcW w:w="5000" w:type="pct"/>
            <w:tcBorders>
              <w:top w:val="nil"/>
              <w:left w:val="nil"/>
              <w:bottom w:val="single" w:sz="6" w:space="0" w:color="78A22F"/>
              <w:right w:val="nil"/>
            </w:tcBorders>
            <w:shd w:val="clear" w:color="auto" w:fill="F2F2F2"/>
          </w:tcPr>
          <w:p w14:paraId="79549A72" w14:textId="77777777" w:rsidR="00F05DC7" w:rsidRPr="00CB5FD9" w:rsidRDefault="00F05DC7" w:rsidP="00A3786D">
            <w:pPr>
              <w:pStyle w:val="Box"/>
              <w:spacing w:before="0" w:line="60" w:lineRule="exact"/>
              <w:rPr>
                <w:sz w:val="10"/>
              </w:rPr>
            </w:pPr>
          </w:p>
        </w:tc>
      </w:tr>
    </w:tbl>
    <w:p w14:paraId="79549A74" w14:textId="77777777" w:rsidR="00F05DC7" w:rsidRDefault="00F05DC7" w:rsidP="00A3786D">
      <w:pPr>
        <w:pStyle w:val="BodyText"/>
        <w:spacing w:before="230"/>
      </w:pPr>
      <w:r w:rsidRPr="00135516">
        <w:lastRenderedPageBreak/>
        <w:t>The general objective of the HFE system has received strong support, both during the course of this inquiry and historically. However, the key goal of this inquiry is to ensure that the mechanisms used to reach this broad goal are able to achieve the best outcomes at the least cost. This requires a conceptual framework for assessing how the HFE system works and whether it can achieve its stated aims.</w:t>
      </w:r>
    </w:p>
    <w:p w14:paraId="79549A75" w14:textId="77777777" w:rsidR="00F05DC7" w:rsidRDefault="00F05DC7" w:rsidP="00A3786D">
      <w:pPr>
        <w:pStyle w:val="BodyText"/>
        <w:spacing w:before="230"/>
      </w:pPr>
      <w:r>
        <w:t xml:space="preserve">There are three components to this framework: </w:t>
      </w:r>
      <w:r w:rsidRPr="005872C3">
        <w:rPr>
          <w:b/>
        </w:rPr>
        <w:t>equity</w:t>
      </w:r>
      <w:r>
        <w:t xml:space="preserve">, </w:t>
      </w:r>
      <w:r w:rsidRPr="005872C3">
        <w:rPr>
          <w:b/>
        </w:rPr>
        <w:t>efficiency</w:t>
      </w:r>
      <w:r>
        <w:t xml:space="preserve">, and </w:t>
      </w:r>
      <w:r w:rsidRPr="005872C3">
        <w:rPr>
          <w:b/>
        </w:rPr>
        <w:t>transparency and</w:t>
      </w:r>
      <w:r>
        <w:t xml:space="preserve"> </w:t>
      </w:r>
      <w:r w:rsidRPr="005872C3">
        <w:rPr>
          <w:b/>
        </w:rPr>
        <w:t>accountability</w:t>
      </w:r>
      <w:r>
        <w:t xml:space="preserve">. </w:t>
      </w:r>
      <w:r w:rsidRPr="009D6331">
        <w:t>Though these criteria are ranked (from most to least important), they are not assigned specific weights and any trade</w:t>
      </w:r>
      <w:r w:rsidRPr="009D6331">
        <w:noBreakHyphen/>
        <w:t>off between criteria will ultimately come down to the particular circumstances at hand. Further, in assessing trade</w:t>
      </w:r>
      <w:r w:rsidRPr="009D6331">
        <w:noBreakHyphen/>
        <w:t>offs, for example between equity and efficiency, an element of judgment is necessarily involved, particularly given the differing interpretations of equity and what is equitable in the context of HFE.</w:t>
      </w:r>
    </w:p>
    <w:p w14:paraId="79549A76" w14:textId="77777777" w:rsidR="00F05DC7" w:rsidRDefault="00F05DC7" w:rsidP="00A3786D">
      <w:pPr>
        <w:pStyle w:val="Heading3"/>
        <w:ind w:left="1080" w:hanging="1080"/>
      </w:pPr>
      <w:r>
        <w:t>Equity</w:t>
      </w:r>
    </w:p>
    <w:p w14:paraId="79549A77" w14:textId="125CEDF2" w:rsidR="00F05DC7" w:rsidRDefault="00F05DC7" w:rsidP="00A3786D">
      <w:pPr>
        <w:pStyle w:val="BodyText"/>
        <w:spacing w:before="230"/>
      </w:pPr>
      <w:r>
        <w:t xml:space="preserve">Any framework for assessing the HFE system should have equity as its basis. Indeed, equity is intrinsically no less important for community wellbeing than is economic growth, efficiency or productivity </w:t>
      </w:r>
      <w:r w:rsidR="009D6331" w:rsidRPr="009D6331">
        <w:rPr>
          <w:szCs w:val="24"/>
        </w:rPr>
        <w:t>(PC 2016, p. 517)</w:t>
      </w:r>
      <w:r>
        <w:t>. Most</w:t>
      </w:r>
      <w:r w:rsidRPr="008853EF">
        <w:t xml:space="preserve"> </w:t>
      </w:r>
      <w:r>
        <w:t>participants in this inquiry agreed that equity should be the first priority for any system of HFE — and that the approach taken to implement HFE can potentially have a significant impact upon equity outcomes.</w:t>
      </w:r>
    </w:p>
    <w:p w14:paraId="79549A78" w14:textId="77777777" w:rsidR="00F05DC7" w:rsidRPr="00C1543C" w:rsidRDefault="00F05DC7" w:rsidP="00A3786D">
      <w:pPr>
        <w:pStyle w:val="BodyText"/>
        <w:spacing w:before="230"/>
      </w:pPr>
      <w:r w:rsidRPr="00C1543C">
        <w:t>But determining precisely what equity means is a much more difficult proposition. The terms ‘equity’, ‘equality’ and ‘fairness’ are used interchangeably, and are frequently disputed in the context of HFE (as are, relatedly, the concepts of what States ‘need’ or ‘deserve’ — see, for example, NSW Government (sub.</w:t>
      </w:r>
      <w:r>
        <w:t> </w:t>
      </w:r>
      <w:r w:rsidRPr="00C1543C">
        <w:t>52, p. 2); John Pitman (sub.</w:t>
      </w:r>
      <w:r>
        <w:t> </w:t>
      </w:r>
      <w:r w:rsidRPr="00C1543C">
        <w:t xml:space="preserve">5, p. 1); WA Government (sub. 15, p. 10)). </w:t>
      </w:r>
    </w:p>
    <w:p w14:paraId="79549A79" w14:textId="77777777" w:rsidR="00F05DC7" w:rsidRPr="00C1543C" w:rsidRDefault="00F05DC7" w:rsidP="00A3786D">
      <w:pPr>
        <w:pStyle w:val="BodyText"/>
        <w:spacing w:before="230"/>
      </w:pPr>
      <w:r w:rsidRPr="00C1543C">
        <w:t xml:space="preserve">For the purpose of this framework, equity is differentiated from these other concepts in the sense that it is an umbrella term, under which multiple contributing factors </w:t>
      </w:r>
      <w:r>
        <w:t xml:space="preserve">may </w:t>
      </w:r>
      <w:r w:rsidRPr="00C1543C">
        <w:t>sit. For example, equality (regardless of the specific interpretation) may translate to an equitable outcome in some circumstances, but not all equitable outcomes will be driven by equality.</w:t>
      </w:r>
    </w:p>
    <w:p w14:paraId="79549A7A" w14:textId="77777777" w:rsidR="00F05DC7" w:rsidRPr="00C1543C" w:rsidRDefault="00F05DC7" w:rsidP="00A3786D">
      <w:pPr>
        <w:pStyle w:val="BodyText"/>
        <w:spacing w:before="230"/>
      </w:pPr>
      <w:r w:rsidRPr="00C1543C">
        <w:t xml:space="preserve">A further complicating factor is that equity is generally regarded as an interpersonal concept (and as noted above, interpersonal horizontal equity is part of the underlying rationale for HFE). Equity of State fiscal capacities does not necessarily translate to equity of individuals’ access to public services. However, the importance of State autonomy in the Australian federation, along with the broader system of federal financial relations, means that State fiscal capacity has been adopted as a proxy for interpersonal equity (box 1.2). Given these factors, there is a need to set out a more explicit concept of equity for the purposes of HFE, retaining the reference point of State fiscal capacities and encompassing the elements of </w:t>
      </w:r>
      <w:r>
        <w:t xml:space="preserve">fiscal </w:t>
      </w:r>
      <w:r w:rsidRPr="00C1543C">
        <w:t xml:space="preserve">equality and fairness. </w:t>
      </w:r>
    </w:p>
    <w:p w14:paraId="79549A7B" w14:textId="77777777" w:rsidR="00F05DC7" w:rsidRPr="004749B8" w:rsidRDefault="00F05DC7" w:rsidP="005A6B5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A7D" w14:textId="77777777" w:rsidTr="00A3786D">
        <w:trPr>
          <w:tblHeader/>
        </w:trPr>
        <w:tc>
          <w:tcPr>
            <w:tcW w:w="5000" w:type="pct"/>
            <w:tcBorders>
              <w:top w:val="single" w:sz="6" w:space="0" w:color="78A22F"/>
              <w:left w:val="nil"/>
              <w:bottom w:val="nil"/>
              <w:right w:val="nil"/>
            </w:tcBorders>
            <w:shd w:val="clear" w:color="auto" w:fill="F2F2F2"/>
          </w:tcPr>
          <w:p w14:paraId="79549A7C" w14:textId="3355A5B6" w:rsidR="00F05DC7" w:rsidRDefault="00F05DC7" w:rsidP="00A3786D">
            <w:pPr>
              <w:pStyle w:val="BoxTitle"/>
            </w:pPr>
            <w:r>
              <w:rPr>
                <w:b w:val="0"/>
              </w:rPr>
              <w:t xml:space="preserve">Box </w:t>
            </w:r>
            <w:r>
              <w:rPr>
                <w:b w:val="0"/>
                <w:noProof/>
              </w:rPr>
              <w:t>1</w:t>
            </w:r>
            <w:r>
              <w:rPr>
                <w:b w:val="0"/>
              </w:rPr>
              <w:t>.2</w:t>
            </w:r>
            <w:r>
              <w:tab/>
              <w:t>The federal financial relations trilemma</w:t>
            </w:r>
          </w:p>
        </w:tc>
      </w:tr>
      <w:tr w:rsidR="00F05DC7" w14:paraId="79549A84" w14:textId="77777777" w:rsidTr="00A3786D">
        <w:tc>
          <w:tcPr>
            <w:tcW w:w="5000" w:type="pct"/>
            <w:tcBorders>
              <w:top w:val="nil"/>
              <w:left w:val="nil"/>
              <w:bottom w:val="nil"/>
              <w:right w:val="nil"/>
            </w:tcBorders>
            <w:shd w:val="clear" w:color="auto" w:fill="F2F2F2"/>
          </w:tcPr>
          <w:p w14:paraId="79549A7E" w14:textId="5639C895" w:rsidR="00F05DC7" w:rsidRPr="009D6331" w:rsidRDefault="00F05DC7" w:rsidP="009D6331">
            <w:pPr>
              <w:pStyle w:val="Box"/>
              <w:rPr>
                <w:rStyle w:val="DraftingNote"/>
                <w:b w:val="0"/>
                <w:color w:val="auto"/>
                <w:sz w:val="20"/>
                <w:u w:val="none"/>
              </w:rPr>
            </w:pPr>
            <w:r w:rsidRPr="009D6331">
              <w:rPr>
                <w:rStyle w:val="DraftingNote"/>
                <w:b w:val="0"/>
                <w:color w:val="auto"/>
                <w:sz w:val="20"/>
                <w:u w:val="none"/>
              </w:rPr>
              <w:t xml:space="preserve">HFE does not guarantee interpersonal equity in access to services, given that States may spend GST revenue as they see fit. Garnaut and FitzGerald </w:t>
            </w:r>
            <w:r w:rsidR="009D6331" w:rsidRPr="009D6331">
              <w:t>(2002b, p. 2)</w:t>
            </w:r>
            <w:r w:rsidRPr="009D6331">
              <w:rPr>
                <w:rStyle w:val="DraftingNote"/>
                <w:b w:val="0"/>
                <w:color w:val="auto"/>
                <w:sz w:val="20"/>
                <w:u w:val="none"/>
              </w:rPr>
              <w:t xml:space="preserve"> argue that this fact negates the rationale for HFE, as ‘… the concept of equity between States has no meaning; equity must relate to outcomes for individuals and households.’</w:t>
            </w:r>
          </w:p>
          <w:p w14:paraId="79549A7F" w14:textId="77777777" w:rsidR="00F05DC7" w:rsidRPr="009D6331" w:rsidRDefault="00F05DC7" w:rsidP="009D6331">
            <w:pPr>
              <w:pStyle w:val="Box"/>
              <w:rPr>
                <w:rStyle w:val="DraftingNote"/>
                <w:b w:val="0"/>
                <w:color w:val="auto"/>
                <w:sz w:val="20"/>
                <w:u w:val="none"/>
              </w:rPr>
            </w:pPr>
            <w:r w:rsidRPr="009D6331">
              <w:rPr>
                <w:rStyle w:val="DraftingNote"/>
                <w:b w:val="0"/>
                <w:color w:val="auto"/>
                <w:sz w:val="20"/>
                <w:u w:val="none"/>
              </w:rPr>
              <w:t xml:space="preserve">This phenomenon results from the interaction of three major and longstanding aspects of Australian federal financial relations — policy autonomy, vertical fiscal imbalance and the goal of horizontal equity in service access. </w:t>
            </w:r>
          </w:p>
          <w:p w14:paraId="79549A80" w14:textId="77777777" w:rsidR="00F05DC7" w:rsidRPr="009D6331" w:rsidRDefault="00F05DC7" w:rsidP="009D6331">
            <w:pPr>
              <w:pStyle w:val="Box"/>
              <w:rPr>
                <w:rStyle w:val="DraftingNote"/>
                <w:b w:val="0"/>
                <w:color w:val="auto"/>
                <w:sz w:val="20"/>
                <w:u w:val="none"/>
              </w:rPr>
            </w:pPr>
            <w:r w:rsidRPr="009D6331">
              <w:rPr>
                <w:rStyle w:val="DraftingNote"/>
                <w:b w:val="0"/>
                <w:color w:val="auto"/>
                <w:sz w:val="20"/>
                <w:u w:val="none"/>
              </w:rPr>
              <w:t>As noted above, HFE is</w:t>
            </w:r>
            <w:r w:rsidRPr="009D6331">
              <w:t xml:space="preserve"> based on the rationale that the overall level of public services available to people should not materially differ on the basis of which jurisdiction they live in. </w:t>
            </w:r>
            <w:r w:rsidRPr="009D6331">
              <w:rPr>
                <w:rStyle w:val="DraftingNote"/>
                <w:b w:val="0"/>
                <w:color w:val="auto"/>
                <w:sz w:val="20"/>
                <w:u w:val="none"/>
              </w:rPr>
              <w:t xml:space="preserve">However, the fact that most public services are delivered at the State level means that the Commonwealth Government cannot directly bring about horizontal equity in access to services nationwide — State Governments have, and value, a considerable degree of policy autonomy in these fields, which is underscored by the Constitution. Thus, the Commonwealth Government’s closest possible proximity to interpersonal equity in service access is reached by pursuing equity among State fiscal capacities. </w:t>
            </w:r>
          </w:p>
          <w:p w14:paraId="79549A81" w14:textId="77777777" w:rsidR="00F05DC7" w:rsidRPr="009D6331" w:rsidRDefault="00F05DC7" w:rsidP="009D6331">
            <w:pPr>
              <w:pStyle w:val="Box"/>
              <w:rPr>
                <w:rStyle w:val="DraftingNote"/>
                <w:b w:val="0"/>
                <w:color w:val="auto"/>
                <w:sz w:val="20"/>
                <w:u w:val="none"/>
              </w:rPr>
            </w:pPr>
            <w:r w:rsidRPr="009D6331">
              <w:rPr>
                <w:rStyle w:val="DraftingNote"/>
                <w:b w:val="0"/>
                <w:color w:val="auto"/>
                <w:sz w:val="20"/>
                <w:u w:val="none"/>
              </w:rPr>
              <w:t xml:space="preserve">However, a barrier to achieving fiscal equity between States is the large vertical fiscal imbalance (VFI). For States to provide an acceptable level of services to all their residents, more revenue is needed than State Governments can generate from their own sources. Funding from the Commonwealth Government is needed, but when it is tied to specific conditions this decreases State autonomy (since autonomy is not only a matter of the legal ability to make policy — it also depends on having the revenue to provide services according to that policy). </w:t>
            </w:r>
          </w:p>
          <w:p w14:paraId="79549A82" w14:textId="77777777" w:rsidR="00F05DC7" w:rsidRPr="009D6331" w:rsidRDefault="00F05DC7" w:rsidP="009D6331">
            <w:pPr>
              <w:pStyle w:val="Box"/>
              <w:rPr>
                <w:rStyle w:val="DraftingNote"/>
                <w:b w:val="0"/>
                <w:color w:val="auto"/>
                <w:sz w:val="20"/>
                <w:u w:val="none"/>
              </w:rPr>
            </w:pPr>
            <w:r w:rsidRPr="009D6331">
              <w:rPr>
                <w:rStyle w:val="DraftingNote"/>
                <w:b w:val="0"/>
                <w:color w:val="auto"/>
                <w:sz w:val="20"/>
                <w:u w:val="none"/>
              </w:rPr>
              <w:t>These three aspects of federal financial relations in Australia form something of an ‘impossible triangle’ — where only two of the three conditions can ever be adhered to without an additional exogenous factor (see figure below). The exogenous factor, which can link the two objectives together while adhering to the constraint of VFI, is HFE: untied Commonwealth grants making up the difference between State revenues and expenditure needs, ‘overriding’ the impact of VFI on State fiscal capacity. But State policy autonomy demands that the distribution of revenue for the purposes of HFE be made on a policy</w:t>
            </w:r>
            <w:r w:rsidRPr="009D6331">
              <w:rPr>
                <w:rStyle w:val="DraftingNote"/>
                <w:b w:val="0"/>
                <w:color w:val="auto"/>
                <w:sz w:val="20"/>
                <w:u w:val="none"/>
              </w:rPr>
              <w:noBreakHyphen/>
              <w:t>neutral basis: otherwise, if States were required to make certain policies in order to receive HFE grants, they would not have substantive policy autonomy.</w:t>
            </w:r>
          </w:p>
          <w:p w14:paraId="79549A83" w14:textId="77777777" w:rsidR="00F05DC7" w:rsidRPr="00412A3E" w:rsidRDefault="00F05DC7" w:rsidP="00613C47">
            <w:pPr>
              <w:pStyle w:val="Box"/>
              <w:ind w:left="-624"/>
              <w:jc w:val="center"/>
            </w:pPr>
            <w:r w:rsidRPr="00412A3E">
              <w:rPr>
                <w:noProof/>
              </w:rPr>
              <w:drawing>
                <wp:inline distT="0" distB="0" distL="0" distR="0" wp14:anchorId="7954D5A9" wp14:editId="15CD9915">
                  <wp:extent cx="3800780" cy="2611120"/>
                  <wp:effectExtent l="0" t="0" r="0" b="0"/>
                  <wp:docPr id="4" name="Picture 4" descr="This figure shows the federal financial relations policy trilemma. The exogenous factor of HFE allows Australian federal financial relations to achieve the twin objectives of State policy autonomy and interpersonal equity of services while adhering to the unavoidable constraint of vertical fiscal imbalance. The two objectives would otherwise not be able to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5130" cy="2620978"/>
                          </a:xfrm>
                          <a:prstGeom prst="rect">
                            <a:avLst/>
                          </a:prstGeom>
                          <a:noFill/>
                          <a:ln>
                            <a:noFill/>
                          </a:ln>
                        </pic:spPr>
                      </pic:pic>
                    </a:graphicData>
                  </a:graphic>
                </wp:inline>
              </w:drawing>
            </w:r>
          </w:p>
        </w:tc>
      </w:tr>
      <w:tr w:rsidR="00F05DC7" w14:paraId="79549A86" w14:textId="77777777" w:rsidTr="00A3786D">
        <w:tc>
          <w:tcPr>
            <w:tcW w:w="5000" w:type="pct"/>
            <w:tcBorders>
              <w:top w:val="nil"/>
              <w:left w:val="nil"/>
              <w:bottom w:val="single" w:sz="6" w:space="0" w:color="78A22F"/>
              <w:right w:val="nil"/>
            </w:tcBorders>
            <w:shd w:val="clear" w:color="auto" w:fill="F2F2F2"/>
          </w:tcPr>
          <w:p w14:paraId="79549A85" w14:textId="77777777" w:rsidR="00F05DC7" w:rsidRDefault="00F05DC7" w:rsidP="00A3786D">
            <w:pPr>
              <w:pStyle w:val="Box"/>
              <w:spacing w:before="0" w:line="120" w:lineRule="exact"/>
            </w:pPr>
          </w:p>
        </w:tc>
      </w:tr>
      <w:tr w:rsidR="00F05DC7" w:rsidRPr="000863A5" w14:paraId="79549A88" w14:textId="77777777" w:rsidTr="00A3786D">
        <w:tc>
          <w:tcPr>
            <w:tcW w:w="5000" w:type="pct"/>
            <w:tcBorders>
              <w:top w:val="single" w:sz="6" w:space="0" w:color="78A22F"/>
              <w:left w:val="nil"/>
              <w:bottom w:val="nil"/>
              <w:right w:val="nil"/>
            </w:tcBorders>
          </w:tcPr>
          <w:p w14:paraId="79549A87" w14:textId="77777777" w:rsidR="00F05DC7" w:rsidRPr="00626D32" w:rsidRDefault="00F05DC7" w:rsidP="00A3786D">
            <w:pPr>
              <w:pStyle w:val="BoxSpaceBelow"/>
              <w:spacing w:after="0"/>
            </w:pPr>
          </w:p>
        </w:tc>
      </w:tr>
    </w:tbl>
    <w:p w14:paraId="79549A89" w14:textId="77777777" w:rsidR="00F05DC7" w:rsidRPr="005D28E2" w:rsidRDefault="00F05DC7" w:rsidP="00A3786D">
      <w:pPr>
        <w:pStyle w:val="Heading4"/>
      </w:pPr>
      <w:r>
        <w:lastRenderedPageBreak/>
        <w:t>What do we mean by equality?</w:t>
      </w:r>
    </w:p>
    <w:p w14:paraId="79549A8A" w14:textId="5523352F" w:rsidR="00F05DC7" w:rsidRPr="00C1543C" w:rsidRDefault="00F05DC7" w:rsidP="00A3786D">
      <w:pPr>
        <w:pStyle w:val="BodyText"/>
      </w:pPr>
      <w:r>
        <w:t>The concept of e</w:t>
      </w:r>
      <w:r w:rsidRPr="00C1543C">
        <w:t>quality can be interpreted in several different ways, even in the specific conte</w:t>
      </w:r>
      <w:r>
        <w:t>xt of State fiscal capacities.</w:t>
      </w:r>
    </w:p>
    <w:p w14:paraId="79549A8B" w14:textId="77777777" w:rsidR="00F05DC7" w:rsidRDefault="00F05DC7" w:rsidP="00A3786D">
      <w:pPr>
        <w:pStyle w:val="BodyText"/>
      </w:pPr>
      <w:r>
        <w:t xml:space="preserve">Some participants considered that equality and equity should focus on </w:t>
      </w:r>
      <w:r w:rsidRPr="003E0178">
        <w:rPr>
          <w:i/>
        </w:rPr>
        <w:t>outcomes</w:t>
      </w:r>
      <w:r>
        <w:t>,</w:t>
      </w:r>
      <w:r w:rsidRPr="00F3645A">
        <w:t xml:space="preserve"> </w:t>
      </w:r>
      <w:r>
        <w:t>whereby</w:t>
      </w:r>
      <w:r w:rsidRPr="00F3645A">
        <w:t xml:space="preserve"> all States end up with </w:t>
      </w:r>
      <w:r>
        <w:t>the same fiscal capacities, resulting from funding</w:t>
      </w:r>
      <w:r w:rsidRPr="00F3645A">
        <w:t xml:space="preserve"> allocat</w:t>
      </w:r>
      <w:r>
        <w:t>ions</w:t>
      </w:r>
      <w:r w:rsidRPr="00F3645A">
        <w:t xml:space="preserve"> based on </w:t>
      </w:r>
      <w:r>
        <w:t>States’</w:t>
      </w:r>
      <w:r w:rsidRPr="00F3645A">
        <w:t xml:space="preserve"> circumstances or ‘needs’</w:t>
      </w:r>
      <w:r>
        <w:t xml:space="preserve"> (NT Government, sub. 51, pp. 1, 31; Tasmanian Greens, sub. 30, pp. 1</w:t>
      </w:r>
      <w:r>
        <w:noBreakHyphen/>
        <w:t>2; Victorian Government, sub. 53, pp. i, ii, 17</w:t>
      </w:r>
      <w:r w:rsidRPr="00F3645A">
        <w:t xml:space="preserve">). </w:t>
      </w:r>
      <w:r>
        <w:t xml:space="preserve">This is consistent with the CGC’s current interpretation of </w:t>
      </w:r>
      <w:r w:rsidRPr="0091252A">
        <w:rPr>
          <w:i/>
        </w:rPr>
        <w:t>equity</w:t>
      </w:r>
      <w:r>
        <w:t xml:space="preserve">. </w:t>
      </w:r>
    </w:p>
    <w:p w14:paraId="79549A8C" w14:textId="77777777" w:rsidR="00F05DC7" w:rsidRDefault="00F05DC7" w:rsidP="00A3786D">
      <w:pPr>
        <w:pStyle w:val="BodyText"/>
      </w:pPr>
      <w:r>
        <w:t>Other participants agreed on the importance of bringing outcomes closer together, but considered that equality should also acknowledge States’ efforts in achieving economic success, and should not pose significant disincentives to further efforts (CCIWA., sub. 11, pp. 2</w:t>
      </w:r>
      <w:r>
        <w:noBreakHyphen/>
        <w:t xml:space="preserve">3; APPEA, sub. DR73). This view essentially represents equality of </w:t>
      </w:r>
      <w:r>
        <w:rPr>
          <w:i/>
        </w:rPr>
        <w:t>opportunity.</w:t>
      </w:r>
      <w:r>
        <w:t xml:space="preserve"> In the HFE context, equality of opportunity could be interpreted to mean that no State should be disadvantaged </w:t>
      </w:r>
      <w:r w:rsidRPr="00AE075C">
        <w:rPr>
          <w:i/>
        </w:rPr>
        <w:t xml:space="preserve">through no fault of </w:t>
      </w:r>
      <w:r>
        <w:rPr>
          <w:i/>
        </w:rPr>
        <w:t>its</w:t>
      </w:r>
      <w:r w:rsidRPr="00AE075C">
        <w:rPr>
          <w:i/>
        </w:rPr>
        <w:t xml:space="preserve"> own</w:t>
      </w:r>
      <w:r>
        <w:t>: the distribution of funding should compensate for unequal starting points (inherent, or entrenched, advantages and disadvantages), but should also allow States to reap some fiscal benefits from their development efforts and (potentially risk</w:t>
      </w:r>
      <w:r>
        <w:noBreakHyphen/>
        <w:t>taking) policy reform.</w:t>
      </w:r>
    </w:p>
    <w:p w14:paraId="79549A8D" w14:textId="767F647C" w:rsidR="00F05DC7" w:rsidRDefault="00F05DC7" w:rsidP="00A3786D">
      <w:pPr>
        <w:pStyle w:val="BodyText"/>
      </w:pPr>
      <w:r>
        <w:t xml:space="preserve">In the context of </w:t>
      </w:r>
      <w:r>
        <w:rPr>
          <w:i/>
        </w:rPr>
        <w:t>individuals</w:t>
      </w:r>
      <w:r>
        <w:t>,</w:t>
      </w:r>
      <w:r>
        <w:rPr>
          <w:i/>
        </w:rPr>
        <w:t xml:space="preserve"> </w:t>
      </w:r>
      <w:r>
        <w:t xml:space="preserve">equality of opportunity is highly valued (Queensland Government, sub. 32, p. 3; TasCOSS, sub. DR66, p. 1). Indeed, </w:t>
      </w:r>
      <w:r w:rsidRPr="008853EF">
        <w:t xml:space="preserve">Australians </w:t>
      </w:r>
      <w:r>
        <w:t xml:space="preserve">largely </w:t>
      </w:r>
      <w:r w:rsidRPr="008853EF">
        <w:t>believe that all citizens should have an equal opportunity to develop their capacities — the idea of a ‘fair go’</w:t>
      </w:r>
      <w:r w:rsidRPr="009C43FA">
        <w:t xml:space="preserve"> </w:t>
      </w:r>
      <w:r w:rsidR="009D6331" w:rsidRPr="009D6331">
        <w:rPr>
          <w:szCs w:val="24"/>
        </w:rPr>
        <w:t>(Argy 2006, p. 77; SCARC 2014, p. 58)</w:t>
      </w:r>
      <w:r>
        <w:t>.</w:t>
      </w:r>
      <w:r w:rsidRPr="008853EF">
        <w:t xml:space="preserve"> </w:t>
      </w:r>
      <w:r>
        <w:t xml:space="preserve">There are also </w:t>
      </w:r>
      <w:r w:rsidRPr="008853EF">
        <w:t xml:space="preserve">broader </w:t>
      </w:r>
      <w:r>
        <w:t xml:space="preserve">positive </w:t>
      </w:r>
      <w:r w:rsidRPr="008853EF">
        <w:t>implications for social cohesion</w:t>
      </w:r>
      <w:r>
        <w:t xml:space="preserve"> — a</w:t>
      </w:r>
      <w:r w:rsidRPr="008853EF">
        <w:t xml:space="preserve">ccess to high quality services (including childcare, education, healthcare and housing) can reduce the incidence of some of the adverse consequences of income or wealth inequality, </w:t>
      </w:r>
      <w:r>
        <w:t xml:space="preserve">and can also </w:t>
      </w:r>
      <w:r w:rsidRPr="008853EF">
        <w:t>foster upward mobility and create greater opportunit</w:t>
      </w:r>
      <w:r>
        <w:t>ies for success</w:t>
      </w:r>
      <w:r w:rsidRPr="008853EF">
        <w:t xml:space="preserve"> in the long run </w:t>
      </w:r>
      <w:r w:rsidR="009D6331" w:rsidRPr="009D6331">
        <w:rPr>
          <w:szCs w:val="24"/>
        </w:rPr>
        <w:t>(Jenkins et al. 2017; OECD 2010, p. 184)</w:t>
      </w:r>
      <w:r>
        <w:t>.</w:t>
      </w:r>
    </w:p>
    <w:p w14:paraId="79549A8E" w14:textId="77777777" w:rsidR="00F05DC7" w:rsidRDefault="00F05DC7" w:rsidP="00A3786D">
      <w:pPr>
        <w:pStyle w:val="BodyText"/>
      </w:pPr>
      <w:r>
        <w:t xml:space="preserve">Finally, there were participants who interpreted equality as equal </w:t>
      </w:r>
      <w:r>
        <w:rPr>
          <w:i/>
        </w:rPr>
        <w:t>treatment</w:t>
      </w:r>
      <w:r>
        <w:t>, in which the GST would be distributed equally per capita, regardless of the demographics or circumstances of each State (Julie Matheson for Western Australia Party, sub. 4, p. 2; Parliamentary Liberal Party of WA, sub. 22, p. 5; NSW Government, sub. 52, pp. 2</w:t>
      </w:r>
      <w:r>
        <w:noBreakHyphen/>
        <w:t>3).</w:t>
      </w:r>
    </w:p>
    <w:p w14:paraId="79549A8F" w14:textId="3177F47E" w:rsidR="00F05DC7" w:rsidRDefault="00F05DC7" w:rsidP="00A3786D">
      <w:pPr>
        <w:pStyle w:val="BodyText"/>
      </w:pPr>
      <w:r>
        <w:t>The results of the 2017 Australian Constitutional Values Survey (ACVS) suggest that the greater Australian public holds an equally wide range of views about what constitutes equality. Some may even view equality through more than one of the lenses discussed above — even though they could be interpreted as mutually exclusive. For example, while 72 per cent of online respondents to the 2017 ACVS agreed with the statement that ‘money should be transferred from the richer parts of Australia to the poorer parts to ensure that everyone can have similar levels of public services’, 52 per cent also agreed that ‘m</w:t>
      </w:r>
      <w:r w:rsidRPr="00092650">
        <w:t>oney for public services should be distributed equally (by head of population) around Australia, irrespective of who needs the services more or less</w:t>
      </w:r>
      <w:r>
        <w:t xml:space="preserve">’ </w:t>
      </w:r>
      <w:r w:rsidR="009D6331" w:rsidRPr="009D6331">
        <w:rPr>
          <w:szCs w:val="24"/>
        </w:rPr>
        <w:t>(Brown and Hollander 2017, p. 11)</w:t>
      </w:r>
      <w:r>
        <w:t>.</w:t>
      </w:r>
    </w:p>
    <w:p w14:paraId="79549A90" w14:textId="77777777" w:rsidR="00F05DC7" w:rsidRDefault="00F05DC7" w:rsidP="00A3786D">
      <w:pPr>
        <w:pStyle w:val="BodyText"/>
      </w:pPr>
      <w:r>
        <w:lastRenderedPageBreak/>
        <w:t xml:space="preserve">The Productivity Commission has focused on equality of fiscal outcomes between States (‘fiscal equality’), which can be quantified by comparing States’ fiscal capacities. The concept of ‘reward for effort’ is encapsulated by the fairness criterion. </w:t>
      </w:r>
    </w:p>
    <w:p w14:paraId="79549A91" w14:textId="77777777" w:rsidR="00F05DC7" w:rsidRDefault="00F05DC7" w:rsidP="00A3786D">
      <w:pPr>
        <w:pStyle w:val="Heading4"/>
      </w:pPr>
      <w:r>
        <w:t>What is fair?</w:t>
      </w:r>
    </w:p>
    <w:p w14:paraId="79549A92" w14:textId="77777777" w:rsidR="00F05DC7" w:rsidRPr="0029630D" w:rsidRDefault="00F05DC7" w:rsidP="00A3786D">
      <w:pPr>
        <w:pStyle w:val="BodyText"/>
      </w:pPr>
      <w:r w:rsidRPr="0029630D">
        <w:t>Participants also expressed views on the ‘fairness’ of the HFE system. These views tended to bifurcate according to whether they were based in a fiscally stronger or weaker State (a</w:t>
      </w:r>
      <w:r>
        <w:t> </w:t>
      </w:r>
      <w:r w:rsidRPr="0029630D">
        <w:t xml:space="preserve">case of </w:t>
      </w:r>
      <w:r>
        <w:t>‘</w:t>
      </w:r>
      <w:r w:rsidRPr="0029630D">
        <w:t xml:space="preserve">Miles’s </w:t>
      </w:r>
      <w:r>
        <w:t>L</w:t>
      </w:r>
      <w:r w:rsidRPr="0029630D">
        <w:t>aw</w:t>
      </w:r>
      <w:r>
        <w:t>’</w:t>
      </w:r>
      <w:r w:rsidRPr="0029630D">
        <w:t>), as the Australian Chamber of Commerce and Industry (sub.</w:t>
      </w:r>
      <w:r>
        <w:t> </w:t>
      </w:r>
      <w:r w:rsidRPr="0029630D">
        <w:t>40, p.</w:t>
      </w:r>
      <w:r>
        <w:t> </w:t>
      </w:r>
      <w:r w:rsidRPr="0029630D">
        <w:t>2) noted:</w:t>
      </w:r>
    </w:p>
    <w:p w14:paraId="79549A93" w14:textId="77777777" w:rsidR="00F05DC7" w:rsidRDefault="00F05DC7" w:rsidP="00A3786D">
      <w:pPr>
        <w:pStyle w:val="Quote"/>
      </w:pPr>
      <w:r w:rsidRPr="004971B8">
        <w:t>At the heart of [the suggestions of some commentators] is the concern or dissatisfaction that some States have with their share of GST revenue, with some stating that it is no longer ‘fair’. … What is regarded as ‘fair’ for one party may not necessarily be regarded as fair for another.</w:t>
      </w:r>
    </w:p>
    <w:p w14:paraId="79549A94" w14:textId="77777777" w:rsidR="00F05DC7" w:rsidRDefault="00F05DC7" w:rsidP="00A3786D">
      <w:pPr>
        <w:pStyle w:val="BodyText"/>
      </w:pPr>
      <w:r>
        <w:t>F</w:t>
      </w:r>
      <w:r w:rsidRPr="00FD5FF5">
        <w:t>airness was a particular concern of participants from Western Australia</w:t>
      </w:r>
      <w:r>
        <w:t xml:space="preserve"> (Janine Harding, sub. 19; Senator Peter Georgiou, sub. 44, p. 1; Parliamentary National Party of WA, sub. DR76, p. 3; Roslyn Miles, brief sub. 5)</w:t>
      </w:r>
      <w:r w:rsidRPr="00FD5FF5">
        <w:t xml:space="preserve">, who </w:t>
      </w:r>
      <w:r>
        <w:t>were of the</w:t>
      </w:r>
      <w:r w:rsidRPr="00FD5FF5">
        <w:t xml:space="preserve"> firm view that </w:t>
      </w:r>
      <w:r>
        <w:t xml:space="preserve">their </w:t>
      </w:r>
      <w:r w:rsidRPr="00FD5FF5">
        <w:t xml:space="preserve">State’s low GST relativities in recent years were </w:t>
      </w:r>
      <w:r>
        <w:t>‘</w:t>
      </w:r>
      <w:r w:rsidRPr="00FD5FF5">
        <w:t>unfair</w:t>
      </w:r>
      <w:r>
        <w:t>’</w:t>
      </w:r>
      <w:r w:rsidRPr="00FD5FF5">
        <w:t>.</w:t>
      </w:r>
      <w:r w:rsidRPr="00B8268A">
        <w:t xml:space="preserve"> </w:t>
      </w:r>
    </w:p>
    <w:p w14:paraId="79549A95" w14:textId="77777777" w:rsidR="00F05DC7" w:rsidRDefault="00F05DC7" w:rsidP="00A3786D">
      <w:pPr>
        <w:pStyle w:val="BodyText"/>
      </w:pPr>
      <w:r>
        <w:t>Conversely, other participants (including Jim Hancock, sub. 54, p. 11; NT Government, sub. DR69, pp. 7, 10; SA Government, sub. DR89, pp. 1, 5) suggested that these low relativities merely reflected the reality of Western Australia’s fiscal capacity being far higher than any other State:</w:t>
      </w:r>
    </w:p>
    <w:p w14:paraId="79549A96" w14:textId="77777777" w:rsidR="00F05DC7" w:rsidRDefault="00F05DC7" w:rsidP="00A3786D">
      <w:pPr>
        <w:pStyle w:val="Quote"/>
      </w:pPr>
      <w:r>
        <w:t>Over the five years to 2014</w:t>
      </w:r>
      <w:r>
        <w:noBreakHyphen/>
        <w:t>15, Western Australia’s per capita gross state product, which is a reasonable proxy for its revenue</w:t>
      </w:r>
      <w:r>
        <w:noBreakHyphen/>
        <w:t>raising capacity … was, on average, more than 49% above Australia’s per capita gross domestic product … From this perspective, the relativity which the Grants Commission has determined for Western Australia in recent years should be seen as evidence that the HFE system is working as it should.</w:t>
      </w:r>
    </w:p>
    <w:p w14:paraId="79549A97" w14:textId="77777777" w:rsidR="00F05DC7" w:rsidRDefault="00F05DC7" w:rsidP="00A3786D">
      <w:pPr>
        <w:pStyle w:val="Quote"/>
      </w:pPr>
      <w:r>
        <w:t>The mere fact that an overwhelming majority of Western Australians feel that the present HFE system is ‘unfair’ … is no more evidence that there is ‘something wrong’ with that system than the fact that many people in the top personal income tax bracket think there is something ‘unfair’ about [the income tax structure] … means that there is ‘something wrong’ with the personal income tax system. (Eslake, sub. DR71, pp. 1</w:t>
      </w:r>
      <w:r>
        <w:noBreakHyphen/>
        <w:t>2)</w:t>
      </w:r>
    </w:p>
    <w:p w14:paraId="79549A98" w14:textId="77777777" w:rsidR="00F05DC7" w:rsidRPr="00646543" w:rsidRDefault="00F05DC7" w:rsidP="00A3786D">
      <w:pPr>
        <w:pStyle w:val="BodyText"/>
      </w:pPr>
      <w:r w:rsidRPr="00646543">
        <w:t xml:space="preserve">Some participants characterised fairness as meaning that every State should receive the funding it </w:t>
      </w:r>
      <w:r w:rsidRPr="00646543">
        <w:rPr>
          <w:i/>
        </w:rPr>
        <w:t>deserves</w:t>
      </w:r>
      <w:r w:rsidRPr="00282527">
        <w:rPr>
          <w:rStyle w:val="FootnoteReference"/>
        </w:rPr>
        <w:footnoteReference w:id="3"/>
      </w:r>
      <w:r w:rsidRPr="00646543">
        <w:t xml:space="preserve"> (based on the own</w:t>
      </w:r>
      <w:r w:rsidRPr="00646543">
        <w:noBreakHyphen/>
        <w:t xml:space="preserve">source revenue generated by each State, or the States’ ‘financial success’: see, for example, John Pitman, sub. 5, p. 1), while others characterised fairness as every State being treated on the basis of </w:t>
      </w:r>
      <w:r w:rsidRPr="00646543">
        <w:rPr>
          <w:i/>
        </w:rPr>
        <w:t>need.</w:t>
      </w:r>
      <w:r w:rsidRPr="00282527">
        <w:rPr>
          <w:rStyle w:val="FootnoteReference"/>
        </w:rPr>
        <w:footnoteReference w:id="4"/>
      </w:r>
    </w:p>
    <w:p w14:paraId="79549A99" w14:textId="77777777" w:rsidR="00F05DC7" w:rsidRPr="00646543" w:rsidRDefault="00F05DC7" w:rsidP="00A3786D">
      <w:pPr>
        <w:pStyle w:val="BodyText"/>
      </w:pPr>
      <w:r w:rsidRPr="00646543">
        <w:lastRenderedPageBreak/>
        <w:t>Most often, though, participants (Wealth Wisdom Pty Ltd, sub. 10, p. </w:t>
      </w:r>
      <w:r>
        <w:t>4</w:t>
      </w:r>
      <w:r w:rsidRPr="00646543">
        <w:t>; AMEC, sub. 23, p. 2; NSW Business Chamber, sub. 27,</w:t>
      </w:r>
      <w:r>
        <w:t xml:space="preserve"> p. 6</w:t>
      </w:r>
      <w:r w:rsidRPr="00646543">
        <w:t>; Minerals Council of Australia, sub. 34, pp. 5</w:t>
      </w:r>
      <w:r>
        <w:noBreakHyphen/>
      </w:r>
      <w:r w:rsidRPr="00646543">
        <w:t>6; NSW Government, sub. 52, p. 2; Put Western Australia First Party, sub. DR72, pp. 6</w:t>
      </w:r>
      <w:r>
        <w:noBreakHyphen/>
      </w:r>
      <w:r w:rsidRPr="00646543">
        <w:t xml:space="preserve">8) suggested that ‘fairness’ had to do with being rewarded for hard work or skill — or keeping a certain proportion of the financial benefits arising from that work or skill — and not being treated in a notably ‘better’ or ‘worse’ fashion than other States on the basis of similar actions or policies. </w:t>
      </w:r>
    </w:p>
    <w:p w14:paraId="79549A9A" w14:textId="5ECD5D3F" w:rsidR="00F05DC7" w:rsidRPr="00C47108" w:rsidRDefault="00F05DC7" w:rsidP="00A3786D">
      <w:pPr>
        <w:pStyle w:val="BodyText"/>
      </w:pPr>
      <w:r w:rsidRPr="00C47108">
        <w:t xml:space="preserve">Relatedly, Argy </w:t>
      </w:r>
      <w:r w:rsidR="009D6331" w:rsidRPr="009D6331">
        <w:rPr>
          <w:szCs w:val="24"/>
        </w:rPr>
        <w:t>(2006, p. 77)</w:t>
      </w:r>
      <w:r w:rsidRPr="00C47108">
        <w:t xml:space="preserve"> has found that Australians broadly value the concepts of self</w:t>
      </w:r>
      <w:r>
        <w:noBreakHyphen/>
      </w:r>
      <w:r w:rsidRPr="00C47108">
        <w:t xml:space="preserve">reliance and individual responsibility — part of the idea that people should ‘have a go’. And recent analysis from the United States has found that humans naturally favour ‘fair distributions’ (which take into account variations in effort) rather than equal ones; when fairness and equality clash, people prefer ‘fair inequality’ over ‘unfair equality’ </w:t>
      </w:r>
      <w:r w:rsidR="009D6331" w:rsidRPr="009D6331">
        <w:rPr>
          <w:szCs w:val="24"/>
        </w:rPr>
        <w:t>(Starmans, Sheskin and Bloom 2017, p. 1)</w:t>
      </w:r>
      <w:r w:rsidRPr="00C47108">
        <w:t>.</w:t>
      </w:r>
    </w:p>
    <w:p w14:paraId="79549A9B" w14:textId="2DD677BC" w:rsidR="00F05DC7" w:rsidRPr="00665629" w:rsidRDefault="00F05DC7" w:rsidP="00A3786D">
      <w:pPr>
        <w:pStyle w:val="BodyText"/>
      </w:pPr>
      <w:r w:rsidRPr="00665629">
        <w:t xml:space="preserve">The concept of ‘fair inequality’ revolves around the presence of hard work or effort, and bears a close relationship to equality of opportunity, as noted by Martinez et al. </w:t>
      </w:r>
      <w:r w:rsidRPr="00665629">
        <w:rPr>
          <w:szCs w:val="24"/>
        </w:rPr>
        <w:t>(2017, p. 380)</w:t>
      </w:r>
      <w:r w:rsidRPr="00665629">
        <w:t xml:space="preserve">: </w:t>
      </w:r>
    </w:p>
    <w:p w14:paraId="79549A9C" w14:textId="77777777" w:rsidR="00F05DC7" w:rsidRDefault="00F05DC7" w:rsidP="00A3786D">
      <w:pPr>
        <w:pStyle w:val="Quote"/>
      </w:pPr>
      <w:r>
        <w:rPr>
          <w:b/>
        </w:rPr>
        <w:t xml:space="preserve">Fair inequality </w:t>
      </w:r>
      <w:r w:rsidRPr="00C17854">
        <w:t>emerges as a result of meritocratic societies rewarding people who are skilled and work harder</w:t>
      </w:r>
      <w:r>
        <w:t xml:space="preserve"> while </w:t>
      </w:r>
      <w:r>
        <w:rPr>
          <w:b/>
        </w:rPr>
        <w:t xml:space="preserve">unfair inequality </w:t>
      </w:r>
      <w:r w:rsidRPr="00C17854">
        <w:t>is driven by differences in the lottery of birth</w:t>
      </w:r>
      <w:r>
        <w:t>,</w:t>
      </w:r>
      <w:r w:rsidRPr="00C17854">
        <w:t xml:space="preserve"> where the choices available to people are already constrained by the circumstances that they were born into</w:t>
      </w:r>
      <w:r>
        <w:t>. [emphasis added]</w:t>
      </w:r>
    </w:p>
    <w:p w14:paraId="79549A9D" w14:textId="46354060" w:rsidR="00F05DC7" w:rsidRPr="00665629" w:rsidRDefault="00F05DC7" w:rsidP="00A3786D">
      <w:pPr>
        <w:pStyle w:val="BodyText"/>
      </w:pPr>
      <w:r w:rsidRPr="00665629">
        <w:t xml:space="preserve">In the context of HFE, therefore, there may exist both fair inequality and ‘unfair equality’ — where a State, rather than being </w:t>
      </w:r>
      <w:r w:rsidRPr="00665629">
        <w:rPr>
          <w:i/>
        </w:rPr>
        <w:t>disadvantaged</w:t>
      </w:r>
      <w:r w:rsidRPr="00665629">
        <w:t xml:space="preserve"> through no </w:t>
      </w:r>
      <w:r w:rsidRPr="00665629">
        <w:rPr>
          <w:i/>
        </w:rPr>
        <w:t>fault</w:t>
      </w:r>
      <w:r w:rsidRPr="00665629">
        <w:t xml:space="preserve"> of its own, is </w:t>
      </w:r>
      <w:r w:rsidRPr="00665629">
        <w:rPr>
          <w:i/>
        </w:rPr>
        <w:t xml:space="preserve">advantaged </w:t>
      </w:r>
      <w:r w:rsidRPr="00665629">
        <w:t xml:space="preserve">by no </w:t>
      </w:r>
      <w:r w:rsidRPr="00665629">
        <w:rPr>
          <w:i/>
        </w:rPr>
        <w:t>merit</w:t>
      </w:r>
      <w:r w:rsidRPr="00665629">
        <w:t xml:space="preserve"> of its own (such as where considerable equalisation </w:t>
      </w:r>
      <w:r w:rsidRPr="00665629">
        <w:rPr>
          <w:i/>
        </w:rPr>
        <w:t>beyond</w:t>
      </w:r>
      <w:r w:rsidRPr="00665629">
        <w:t xml:space="preserve"> equality of opportunity takes place). Keeping in mind that not all fiscal success is the result of State Government effort (some is ‘the luck of the draw’), there is a sound basis for this concept — some of the economic literature around equality of opportunity has specifically included an element of effort </w:t>
      </w:r>
      <w:r w:rsidR="009D6331" w:rsidRPr="009D6331">
        <w:rPr>
          <w:szCs w:val="24"/>
        </w:rPr>
        <w:t>(see, for example, Brunori 2016, p. 3; Roemer 1998)</w:t>
      </w:r>
      <w:r w:rsidRPr="00665629">
        <w:t>.</w:t>
      </w:r>
    </w:p>
    <w:p w14:paraId="79549A9E" w14:textId="77777777" w:rsidR="00F05DC7" w:rsidRPr="004A7FDE" w:rsidRDefault="00F05DC7" w:rsidP="00A3786D">
      <w:pPr>
        <w:pStyle w:val="Heading4"/>
      </w:pPr>
      <w:r w:rsidRPr="004A7FDE">
        <w:t xml:space="preserve">Assessing equity in the context of HFE </w:t>
      </w:r>
    </w:p>
    <w:p w14:paraId="79549A9F" w14:textId="77777777" w:rsidR="00F05DC7" w:rsidRPr="00665629" w:rsidRDefault="00F05DC7" w:rsidP="00A3786D">
      <w:pPr>
        <w:pStyle w:val="BodyText"/>
        <w:rPr>
          <w:szCs w:val="24"/>
        </w:rPr>
      </w:pPr>
      <w:r w:rsidRPr="00665629">
        <w:t xml:space="preserve">Policymakers have many good reasons to seek a level of equity — among them voter preferences, productivity and social cohesion. That said, a threshold question is to what extent should equity be addressed through the HFE system, compared to other mechanisms that </w:t>
      </w:r>
      <w:r>
        <w:t>g</w:t>
      </w:r>
      <w:r w:rsidRPr="00665629">
        <w:t>overnments have available to them, including the tax and transfer system. States’ choices should also be factored into the outcome to a certain degree, as they are for individuals. This aspect also feeds into the concept of efficiency, discussed below.</w:t>
      </w:r>
    </w:p>
    <w:p w14:paraId="79549AA0" w14:textId="77777777" w:rsidR="00F05DC7" w:rsidRPr="00665629" w:rsidRDefault="00F05DC7" w:rsidP="00A3786D">
      <w:pPr>
        <w:pStyle w:val="BodyText"/>
      </w:pPr>
      <w:r w:rsidRPr="00665629">
        <w:lastRenderedPageBreak/>
        <w:t>Ultimately,</w:t>
      </w:r>
      <w:r>
        <w:t xml:space="preserve"> people’s values differ around </w:t>
      </w:r>
      <w:r w:rsidRPr="00665629">
        <w:t>what constitutes ‘merit’ or ‘effort’ and what weights these warrant relative to alternative equity criteria such as ‘need’. Some judgment on these matters is therefore unavoidable. The Productivity Commission proposes that any assessment of how the HFE system achieves equity should take into account whether it can address inherent advantages and disadvantages in the fiscal capacities of the States (fiscal equality), as well as reflect some fiscal reward for effort, risk</w:t>
      </w:r>
      <w:r>
        <w:noBreakHyphen/>
      </w:r>
      <w:r w:rsidRPr="00665629">
        <w:t xml:space="preserve">taking and policy reform (fairness). </w:t>
      </w:r>
    </w:p>
    <w:p w14:paraId="79549AA1" w14:textId="77777777" w:rsidR="00F05DC7" w:rsidRPr="00665629" w:rsidRDefault="00F05DC7" w:rsidP="00A3786D">
      <w:pPr>
        <w:pStyle w:val="BodyText"/>
      </w:pPr>
      <w:r w:rsidRPr="00665629">
        <w:t>This will enable the system to deliver equity in a way that does not detract from reward for effort (or incentives for economic growth and reform) to such an extent that it undermines community confidence in the system overall. This is important, given that concerns about what is fair in terms of GST distributions have appeared before, and will no doubt appear again.</w:t>
      </w:r>
    </w:p>
    <w:p w14:paraId="79549AA2" w14:textId="5814D57C" w:rsidR="00F05DC7" w:rsidRDefault="00F05DC7" w:rsidP="00A3786D">
      <w:pPr>
        <w:pStyle w:val="BodyText"/>
      </w:pPr>
      <w:r w:rsidRPr="00665629">
        <w:t xml:space="preserve">In the context of HFE, this concept of equity would require that all States have the fiscal capacity to provide a </w:t>
      </w:r>
      <w:r w:rsidR="006C2AD3">
        <w:t>standard</w:t>
      </w:r>
      <w:r w:rsidRPr="00665629">
        <w:t xml:space="preserve"> of services to their residents that is reasonable to the Australian populace, but would not necessarily demand identical capacities. As such, </w:t>
      </w:r>
      <w:r w:rsidRPr="00665629">
        <w:rPr>
          <w:i/>
        </w:rPr>
        <w:t>some</w:t>
      </w:r>
      <w:r w:rsidRPr="00665629">
        <w:t xml:space="preserve"> differences between the levels of public services available in different States (and by proxy, in those</w:t>
      </w:r>
      <w:r>
        <w:t xml:space="preserve"> States’ fiscal capacities) may be acceptable — in order to achieve fairness and to better integrate the principle of efficiency. </w:t>
      </w:r>
    </w:p>
    <w:p w14:paraId="79549AA3" w14:textId="023DD3CE" w:rsidR="00F05DC7" w:rsidRDefault="00F05DC7" w:rsidP="00A3786D">
      <w:pPr>
        <w:pStyle w:val="BodyText"/>
      </w:pPr>
      <w:r>
        <w:t xml:space="preserve">Equity and efficiency are often perceived as mutually exclusive, such that to increase one it is necessary to trade off a portion of the other </w:t>
      </w:r>
      <w:r w:rsidR="009D6331" w:rsidRPr="009D6331">
        <w:rPr>
          <w:szCs w:val="24"/>
        </w:rPr>
        <w:t>(Okun 2015)</w:t>
      </w:r>
      <w:r>
        <w:t>. However, this is not always the case. The concepts of fairness and efficiency are linked in circumstances where fair distributions, which take into account variations in effort, can help to encourage efficiency</w:t>
      </w:r>
      <w:r>
        <w:noBreakHyphen/>
        <w:t>enhancing policy changes. Further, even in an ostensibly zero</w:t>
      </w:r>
      <w:r>
        <w:noBreakHyphen/>
        <w:t xml:space="preserve">sum situation like HFE, efficiency improvements resulting in greater output can increase the resources available to all parties, while the potential mobility brought about by equality of opportunity (a component of equity) can itself boost productivity </w:t>
      </w:r>
      <w:r w:rsidR="009D6331" w:rsidRPr="009D6331">
        <w:rPr>
          <w:szCs w:val="24"/>
        </w:rPr>
        <w:t>(Jenkins et al. 2017; OECD 2010, p. 184)</w:t>
      </w:r>
      <w:r>
        <w:t>.</w:t>
      </w:r>
    </w:p>
    <w:p w14:paraId="79549AA4" w14:textId="77777777" w:rsidR="00F05DC7" w:rsidRDefault="00F05DC7" w:rsidP="00A3786D">
      <w:pPr>
        <w:pStyle w:val="BodyText"/>
      </w:pPr>
      <w:r>
        <w:t>With this in mind, the Commission has focused its equity assessment on three questions:</w:t>
      </w:r>
    </w:p>
    <w:p w14:paraId="79549AA5" w14:textId="230967A5" w:rsidR="00F05DC7" w:rsidRPr="00E16F9D" w:rsidRDefault="00B0271B" w:rsidP="00A3786D">
      <w:pPr>
        <w:pStyle w:val="ListBullet"/>
        <w:spacing w:line="300" w:lineRule="exact"/>
      </w:pPr>
      <w:r>
        <w:t>d</w:t>
      </w:r>
      <w:r w:rsidR="00F05DC7" w:rsidRPr="00E16F9D">
        <w:t>oes HFE compensate States for their inherent disadvantages (i.e. any material cost and use disabilities that are out of States’ control)?</w:t>
      </w:r>
    </w:p>
    <w:p w14:paraId="79549AA6" w14:textId="4E76CD4B" w:rsidR="00F05DC7" w:rsidRPr="00E16F9D" w:rsidRDefault="00B0271B" w:rsidP="00A3786D">
      <w:pPr>
        <w:pStyle w:val="ListBullet"/>
        <w:spacing w:line="300" w:lineRule="exact"/>
      </w:pPr>
      <w:r>
        <w:t>d</w:t>
      </w:r>
      <w:r w:rsidR="00F05DC7" w:rsidRPr="00E16F9D">
        <w:t>o all States have t</w:t>
      </w:r>
      <w:r w:rsidR="00F05DC7">
        <w:t>he fiscal capacity to provide a</w:t>
      </w:r>
      <w:r w:rsidR="00F05DC7" w:rsidRPr="00E16F9D">
        <w:t xml:space="preserve"> </w:t>
      </w:r>
      <w:r w:rsidR="00F05DC7">
        <w:t>reasonable</w:t>
      </w:r>
      <w:r w:rsidR="00F05DC7" w:rsidRPr="00E16F9D">
        <w:t xml:space="preserve"> </w:t>
      </w:r>
      <w:r w:rsidR="002D01E0">
        <w:t>standard</w:t>
      </w:r>
      <w:r w:rsidR="00F05DC7" w:rsidRPr="00E16F9D">
        <w:t xml:space="preserve"> of public services?</w:t>
      </w:r>
    </w:p>
    <w:p w14:paraId="79549AA7" w14:textId="024CDBE3" w:rsidR="00F05DC7" w:rsidRPr="00E16F9D" w:rsidRDefault="00B0271B" w:rsidP="00A3786D">
      <w:pPr>
        <w:pStyle w:val="ListBullet"/>
        <w:spacing w:line="300" w:lineRule="exact"/>
      </w:pPr>
      <w:r>
        <w:t>d</w:t>
      </w:r>
      <w:r w:rsidR="00F05DC7" w:rsidRPr="00E16F9D">
        <w:t xml:space="preserve">oes HFE </w:t>
      </w:r>
      <w:r w:rsidR="00F05DC7">
        <w:t>enable State G</w:t>
      </w:r>
      <w:r w:rsidR="00F05DC7" w:rsidRPr="00E16F9D">
        <w:t xml:space="preserve">overnments to retain some of the fiscal dividends of good policy reform or </w:t>
      </w:r>
      <w:r w:rsidR="00F05DC7">
        <w:t>economic</w:t>
      </w:r>
      <w:r w:rsidR="00F05DC7" w:rsidRPr="00E16F9D">
        <w:t xml:space="preserve"> development?</w:t>
      </w:r>
    </w:p>
    <w:p w14:paraId="79549AA8" w14:textId="77777777" w:rsidR="00F05DC7" w:rsidRDefault="00F05DC7" w:rsidP="00A3786D">
      <w:pPr>
        <w:pStyle w:val="BodyText"/>
      </w:pPr>
      <w:r>
        <w:t>Chapters 3, 4 and 5 consider a range of channels by which the current HFE system may affect equity, while chapter 6 presents a system</w:t>
      </w:r>
      <w:r>
        <w:noBreakHyphen/>
        <w:t>wide assessment against the Productivity Commission’s framework, and chapters 7 and 8 assess options to improve the HFE system.</w:t>
      </w:r>
    </w:p>
    <w:p w14:paraId="79549AA9" w14:textId="77777777" w:rsidR="00F05DC7" w:rsidRPr="0066784E" w:rsidRDefault="00F05DC7" w:rsidP="0066784E">
      <w:pPr>
        <w:pStyle w:val="Heading3"/>
        <w:rPr>
          <w:rStyle w:val="DraftingNote"/>
          <w:b/>
          <w:color w:val="auto"/>
          <w:sz w:val="26"/>
          <w:u w:val="none"/>
        </w:rPr>
      </w:pPr>
      <w:r w:rsidRPr="0066784E">
        <w:rPr>
          <w:rStyle w:val="DraftingNote"/>
          <w:b/>
          <w:color w:val="auto"/>
          <w:sz w:val="26"/>
          <w:u w:val="none"/>
        </w:rPr>
        <w:lastRenderedPageBreak/>
        <w:t>Efficiency</w:t>
      </w:r>
    </w:p>
    <w:p w14:paraId="79549AAA" w14:textId="77777777" w:rsidR="00F05DC7" w:rsidRDefault="00F05DC7" w:rsidP="00A3786D">
      <w:pPr>
        <w:pStyle w:val="BodyText"/>
      </w:pPr>
      <w:r w:rsidRPr="0066784E">
        <w:t>The second element of the Commission’s framework is efficiency. While it is paramount that HFE enables equity,</w:t>
      </w:r>
      <w:r w:rsidRPr="00DD5ABF">
        <w:t xml:space="preserve"> </w:t>
      </w:r>
      <w:r>
        <w:t>it is also important that it not discourage efficiency</w:t>
      </w:r>
      <w:r>
        <w:noBreakHyphen/>
        <w:t>enhancing reforms, productivity improvements, or growth — key contributors to improvements in the future standard of living of Australians, and indeed the economic activity that ultimately funds public services.</w:t>
      </w:r>
    </w:p>
    <w:p w14:paraId="79549AAB" w14:textId="380891F0" w:rsidR="00F05DC7" w:rsidRPr="00511EEC" w:rsidDel="000D4AD5" w:rsidRDefault="00F05DC7" w:rsidP="00A3786D">
      <w:pPr>
        <w:pStyle w:val="BodyText"/>
        <w:rPr>
          <w:spacing w:val="-2"/>
        </w:rPr>
      </w:pPr>
      <w:r w:rsidRPr="00511EEC">
        <w:rPr>
          <w:spacing w:val="-2"/>
        </w:rPr>
        <w:t>Commentators have argued that Australia’s system of HFE both boosts and stifles efficiency.</w:t>
      </w:r>
      <w:r>
        <w:rPr>
          <w:spacing w:val="-2"/>
        </w:rPr>
        <w:t xml:space="preserve"> </w:t>
      </w:r>
      <w:r w:rsidRPr="00511EEC" w:rsidDel="000D4AD5">
        <w:rPr>
          <w:spacing w:val="-2"/>
        </w:rPr>
        <w:t>Buchanan</w:t>
      </w:r>
      <w:r w:rsidRPr="00511EEC">
        <w:rPr>
          <w:spacing w:val="-2"/>
        </w:rPr>
        <w:t xml:space="preserve"> </w:t>
      </w:r>
      <w:r w:rsidR="009D6331" w:rsidRPr="009D6331">
        <w:rPr>
          <w:szCs w:val="24"/>
        </w:rPr>
        <w:t>(1950, p. 589)</w:t>
      </w:r>
      <w:r w:rsidRPr="00511EEC">
        <w:rPr>
          <w:spacing w:val="-2"/>
        </w:rPr>
        <w:t xml:space="preserve">, for example, </w:t>
      </w:r>
      <w:r w:rsidRPr="00511EEC" w:rsidDel="000D4AD5">
        <w:rPr>
          <w:spacing w:val="-2"/>
        </w:rPr>
        <w:t xml:space="preserve">argued that </w:t>
      </w:r>
      <w:r>
        <w:rPr>
          <w:spacing w:val="-2"/>
        </w:rPr>
        <w:t>an HFE system would</w:t>
      </w:r>
      <w:r w:rsidRPr="00511EEC" w:rsidDel="000D4AD5">
        <w:rPr>
          <w:spacing w:val="-2"/>
        </w:rPr>
        <w:t xml:space="preserve"> </w:t>
      </w:r>
      <w:r w:rsidRPr="00511EEC">
        <w:rPr>
          <w:spacing w:val="-2"/>
        </w:rPr>
        <w:t xml:space="preserve">remove </w:t>
      </w:r>
      <w:r>
        <w:rPr>
          <w:spacing w:val="-2"/>
        </w:rPr>
        <w:t xml:space="preserve">the </w:t>
      </w:r>
      <w:r w:rsidRPr="00511EEC">
        <w:rPr>
          <w:spacing w:val="-2"/>
        </w:rPr>
        <w:t>incentives for people to</w:t>
      </w:r>
      <w:r w:rsidRPr="00511EEC" w:rsidDel="000D4AD5">
        <w:rPr>
          <w:spacing w:val="-2"/>
        </w:rPr>
        <w:t xml:space="preserve"> migrate </w:t>
      </w:r>
      <w:r>
        <w:rPr>
          <w:spacing w:val="-2"/>
        </w:rPr>
        <w:t>between</w:t>
      </w:r>
      <w:r w:rsidRPr="00511EEC" w:rsidDel="000D4AD5">
        <w:rPr>
          <w:spacing w:val="-2"/>
        </w:rPr>
        <w:t xml:space="preserve"> jurisdiction</w:t>
      </w:r>
      <w:r w:rsidRPr="00511EEC">
        <w:rPr>
          <w:spacing w:val="-2"/>
        </w:rPr>
        <w:t>s</w:t>
      </w:r>
      <w:r w:rsidRPr="00511EEC" w:rsidDel="000D4AD5">
        <w:rPr>
          <w:spacing w:val="-2"/>
        </w:rPr>
        <w:t xml:space="preserve"> based </w:t>
      </w:r>
      <w:r>
        <w:rPr>
          <w:spacing w:val="-2"/>
        </w:rPr>
        <w:t xml:space="preserve">only </w:t>
      </w:r>
      <w:r w:rsidRPr="00511EEC" w:rsidDel="000D4AD5">
        <w:rPr>
          <w:spacing w:val="-2"/>
        </w:rPr>
        <w:t xml:space="preserve">on </w:t>
      </w:r>
      <w:r w:rsidRPr="00511EEC">
        <w:rPr>
          <w:spacing w:val="-2"/>
        </w:rPr>
        <w:t>States’ capacities to provide services</w:t>
      </w:r>
      <w:r>
        <w:rPr>
          <w:spacing w:val="-2"/>
        </w:rPr>
        <w:t xml:space="preserve"> and infrastructure,</w:t>
      </w:r>
      <w:r w:rsidRPr="00511EEC">
        <w:rPr>
          <w:spacing w:val="-2"/>
        </w:rPr>
        <w:t xml:space="preserve"> or </w:t>
      </w:r>
      <w:r>
        <w:rPr>
          <w:spacing w:val="-2"/>
        </w:rPr>
        <w:t xml:space="preserve">to </w:t>
      </w:r>
      <w:r w:rsidRPr="00511EEC">
        <w:rPr>
          <w:spacing w:val="-2"/>
        </w:rPr>
        <w:t>offer lower tax rates</w:t>
      </w:r>
      <w:r w:rsidRPr="00511EEC" w:rsidDel="000D4AD5">
        <w:rPr>
          <w:spacing w:val="-2"/>
        </w:rPr>
        <w:t xml:space="preserve">. Instead, migration decisions </w:t>
      </w:r>
      <w:r w:rsidRPr="00511EEC">
        <w:rPr>
          <w:spacing w:val="-2"/>
        </w:rPr>
        <w:t>could</w:t>
      </w:r>
      <w:r w:rsidRPr="00511EEC" w:rsidDel="000D4AD5">
        <w:rPr>
          <w:spacing w:val="-2"/>
        </w:rPr>
        <w:t xml:space="preserve"> be based on</w:t>
      </w:r>
      <w:r w:rsidRPr="00511EEC">
        <w:rPr>
          <w:spacing w:val="-2"/>
        </w:rPr>
        <w:t xml:space="preserve"> </w:t>
      </w:r>
      <w:r>
        <w:rPr>
          <w:spacing w:val="-2"/>
        </w:rPr>
        <w:t xml:space="preserve">other </w:t>
      </w:r>
      <w:r w:rsidRPr="00511EEC">
        <w:rPr>
          <w:spacing w:val="-2"/>
        </w:rPr>
        <w:t>factors</w:t>
      </w:r>
      <w:r>
        <w:rPr>
          <w:spacing w:val="-2"/>
        </w:rPr>
        <w:t>,</w:t>
      </w:r>
      <w:r w:rsidRPr="00511EEC">
        <w:rPr>
          <w:spacing w:val="-2"/>
        </w:rPr>
        <w:t xml:space="preserve"> such as employment opportunities. </w:t>
      </w:r>
      <w:r w:rsidRPr="00511EEC" w:rsidDel="000D4AD5">
        <w:rPr>
          <w:spacing w:val="-2"/>
        </w:rPr>
        <w:t xml:space="preserve">HFE is </w:t>
      </w:r>
      <w:r w:rsidRPr="00511EEC">
        <w:rPr>
          <w:spacing w:val="-2"/>
        </w:rPr>
        <w:t xml:space="preserve">also </w:t>
      </w:r>
      <w:r w:rsidRPr="00511EEC" w:rsidDel="000D4AD5">
        <w:rPr>
          <w:spacing w:val="-2"/>
        </w:rPr>
        <w:t xml:space="preserve">sometimes seen as a mechanism to insure against </w:t>
      </w:r>
      <w:r w:rsidRPr="00511EEC">
        <w:rPr>
          <w:spacing w:val="-2"/>
        </w:rPr>
        <w:t xml:space="preserve">economic </w:t>
      </w:r>
      <w:r w:rsidRPr="00511EEC" w:rsidDel="000D4AD5">
        <w:rPr>
          <w:spacing w:val="-2"/>
        </w:rPr>
        <w:t>shocks</w:t>
      </w:r>
      <w:r w:rsidRPr="00511EEC">
        <w:rPr>
          <w:spacing w:val="-2"/>
        </w:rPr>
        <w:t xml:space="preserve"> — </w:t>
      </w:r>
      <w:r w:rsidRPr="00511EEC" w:rsidDel="000D4AD5">
        <w:rPr>
          <w:spacing w:val="-2"/>
        </w:rPr>
        <w:t xml:space="preserve">redistributive grants </w:t>
      </w:r>
      <w:r w:rsidRPr="00511EEC">
        <w:rPr>
          <w:spacing w:val="-2"/>
        </w:rPr>
        <w:t>can serve as</w:t>
      </w:r>
      <w:r w:rsidRPr="00511EEC" w:rsidDel="000D4AD5">
        <w:rPr>
          <w:spacing w:val="-2"/>
        </w:rPr>
        <w:t xml:space="preserve"> insurance against the adverse </w:t>
      </w:r>
      <w:r w:rsidRPr="00511EEC">
        <w:rPr>
          <w:spacing w:val="-2"/>
        </w:rPr>
        <w:t xml:space="preserve">(and possibly contagious) </w:t>
      </w:r>
      <w:r w:rsidRPr="00511EEC" w:rsidDel="000D4AD5">
        <w:rPr>
          <w:spacing w:val="-2"/>
        </w:rPr>
        <w:t xml:space="preserve">effects </w:t>
      </w:r>
      <w:r w:rsidRPr="00511EEC">
        <w:rPr>
          <w:spacing w:val="-2"/>
        </w:rPr>
        <w:t xml:space="preserve">on </w:t>
      </w:r>
      <w:r w:rsidRPr="00511EEC" w:rsidDel="000D4AD5">
        <w:rPr>
          <w:spacing w:val="-2"/>
        </w:rPr>
        <w:t xml:space="preserve">income or employment of </w:t>
      </w:r>
      <w:r w:rsidRPr="00511EEC">
        <w:rPr>
          <w:spacing w:val="-2"/>
        </w:rPr>
        <w:t xml:space="preserve">an exogenous </w:t>
      </w:r>
      <w:r w:rsidRPr="00511EEC" w:rsidDel="000D4AD5">
        <w:rPr>
          <w:spacing w:val="-2"/>
        </w:rPr>
        <w:t>shock</w:t>
      </w:r>
      <w:r>
        <w:rPr>
          <w:spacing w:val="-2"/>
        </w:rPr>
        <w:t xml:space="preserve"> (positive or negative)</w:t>
      </w:r>
      <w:r w:rsidRPr="00511EEC" w:rsidDel="000D4AD5">
        <w:rPr>
          <w:spacing w:val="-2"/>
        </w:rPr>
        <w:t xml:space="preserve"> </w:t>
      </w:r>
      <w:r w:rsidRPr="00511EEC">
        <w:rPr>
          <w:spacing w:val="-2"/>
        </w:rPr>
        <w:t xml:space="preserve">to a particular State </w:t>
      </w:r>
      <w:r w:rsidR="009D6331" w:rsidRPr="009D6331">
        <w:rPr>
          <w:szCs w:val="24"/>
        </w:rPr>
        <w:t>(Blöchliger et al. 2007, p. 7)</w:t>
      </w:r>
      <w:r w:rsidRPr="00511EEC" w:rsidDel="000D4AD5">
        <w:rPr>
          <w:spacing w:val="-2"/>
        </w:rPr>
        <w:t>.</w:t>
      </w:r>
    </w:p>
    <w:p w14:paraId="79549AAC" w14:textId="77777777" w:rsidR="00F05DC7" w:rsidRDefault="00F05DC7" w:rsidP="00A3786D">
      <w:pPr>
        <w:pStyle w:val="BodyText"/>
      </w:pPr>
      <w:r>
        <w:t>Conversely, critics of HFE contend that equalisation creates perverse incentives for State Governments (by compensating them for failing to undertake efficiency</w:t>
      </w:r>
      <w:r>
        <w:noBreakHyphen/>
        <w:t xml:space="preserve"> or output</w:t>
      </w:r>
      <w:r>
        <w:noBreakHyphen/>
        <w:t>boosting reforms) and for individuals (blunting migration decisions by counteracting the incentives for people to move where they could enjoy higher earnings or better public services). The OECD posited that this could ultimately run counter to the goals of equalisation:</w:t>
      </w:r>
    </w:p>
    <w:p w14:paraId="79549AAD" w14:textId="008E7EBF" w:rsidR="00F05DC7" w:rsidRPr="00353984" w:rsidRDefault="00F05DC7" w:rsidP="00A3786D">
      <w:pPr>
        <w:pStyle w:val="Quote"/>
        <w:rPr>
          <w:spacing w:val="-1"/>
        </w:rPr>
      </w:pPr>
      <w:r w:rsidRPr="00353984">
        <w:rPr>
          <w:spacing w:val="-1"/>
        </w:rPr>
        <w:t>Equalisation may in fact be self</w:t>
      </w:r>
      <w:r w:rsidRPr="00353984">
        <w:rPr>
          <w:spacing w:val="-1"/>
        </w:rPr>
        <w:noBreakHyphen/>
        <w:t xml:space="preserve">defeating in that it slows down regional convergence. … the more generous equalisation is, the less incentive there is for poor regions to catch up or for households and firms to migrate to more prosperous jurisdictions. As a result, disparities may widen rather than narrow. </w:t>
      </w:r>
      <w:r w:rsidR="009D6331" w:rsidRPr="009D6331">
        <w:rPr>
          <w:szCs w:val="24"/>
        </w:rPr>
        <w:t>(OECD 2013, p. 111)</w:t>
      </w:r>
    </w:p>
    <w:p w14:paraId="79549AAE" w14:textId="77777777" w:rsidR="00F05DC7" w:rsidRDefault="00F05DC7" w:rsidP="00A3786D">
      <w:pPr>
        <w:pStyle w:val="BodyText"/>
      </w:pPr>
      <w:r>
        <w:t>The CGC’s methodology currently incorporates the principle of policy neutrality (subsidiary to the main objective of fiscal equality). This seeks to avoid States’ policy decisions directly affecting the GST they receive (aiming, by extension, to prevent the GST distribution process from providing States with incentives to vary their policies: box 1.2). This principle is embodied in the CGC’s practice of assuming that each State follows the average policies in raising revenue and delivering services. But some participants to this inquiry (including APPEA, sub. 18, p. 2; Rio Tinto, sub. 37, pp. 2</w:t>
      </w:r>
      <w:r>
        <w:noBreakHyphen/>
        <w:t>3; WA Government, sub. DR83, pp. 7–11) have argued that the overriding objective of fiscal equality dampens the effect of the policy neutrality principle and means that HFE does affect State policy.</w:t>
      </w:r>
    </w:p>
    <w:p w14:paraId="79549AAF" w14:textId="77777777" w:rsidR="00F05DC7" w:rsidRDefault="00F05DC7" w:rsidP="00A3786D">
      <w:pPr>
        <w:pStyle w:val="BodyText"/>
      </w:pPr>
      <w:r>
        <w:t xml:space="preserve">In any case, it is not possible to </w:t>
      </w:r>
      <w:r>
        <w:rPr>
          <w:i/>
        </w:rPr>
        <w:t>completely</w:t>
      </w:r>
      <w:r>
        <w:t xml:space="preserve"> prevent adverse efficiency effects arising from any system of HFE; the key goal is rather to ensure that the </w:t>
      </w:r>
      <w:r w:rsidRPr="00212123">
        <w:t xml:space="preserve">HFE </w:t>
      </w:r>
      <w:r>
        <w:t xml:space="preserve">system does not </w:t>
      </w:r>
      <w:r w:rsidRPr="009F1E0D">
        <w:rPr>
          <w:i/>
        </w:rPr>
        <w:t>unduly</w:t>
      </w:r>
      <w:r w:rsidRPr="00212123">
        <w:t xml:space="preserve"> influence </w:t>
      </w:r>
      <w:r>
        <w:t xml:space="preserve">State </w:t>
      </w:r>
      <w:r w:rsidRPr="00212123">
        <w:t>policies</w:t>
      </w:r>
      <w:r>
        <w:t>,</w:t>
      </w:r>
      <w:r w:rsidRPr="00212123">
        <w:t xml:space="preserve"> </w:t>
      </w:r>
      <w:r>
        <w:t>or</w:t>
      </w:r>
      <w:r w:rsidRPr="00212123">
        <w:t xml:space="preserve"> hinder efficient </w:t>
      </w:r>
      <w:r>
        <w:t>allocation of resources</w:t>
      </w:r>
      <w:r w:rsidRPr="00212123">
        <w:t xml:space="preserve"> between States.</w:t>
      </w:r>
      <w:r>
        <w:t xml:space="preserve"> In this context, the report considers five major channels by which HFE can affect efficiency and thus has the potential to distort the decisions of State Governments and individuals:</w:t>
      </w:r>
    </w:p>
    <w:p w14:paraId="79549AB0" w14:textId="77777777" w:rsidR="00F05DC7" w:rsidRPr="00511EEC" w:rsidRDefault="00F05DC7" w:rsidP="00A3786D">
      <w:pPr>
        <w:pStyle w:val="ListBullet"/>
        <w:rPr>
          <w:spacing w:val="-2"/>
        </w:rPr>
      </w:pPr>
      <w:r w:rsidRPr="00511EEC">
        <w:rPr>
          <w:i/>
          <w:spacing w:val="-2"/>
        </w:rPr>
        <w:t>State policy choices</w:t>
      </w:r>
      <w:r w:rsidRPr="00511EEC">
        <w:rPr>
          <w:spacing w:val="-2"/>
        </w:rPr>
        <w:t>: are States insulated from the full consequences of poor economic policy decisions (that is, are they compensated for poor decisions through the HFE system)? Conversely, does HFE mute incentives to make good economic policy decisions?</w:t>
      </w:r>
    </w:p>
    <w:p w14:paraId="79549AB1" w14:textId="77777777" w:rsidR="00F05DC7" w:rsidRDefault="00F05DC7" w:rsidP="00A3786D">
      <w:pPr>
        <w:pStyle w:val="ListBullet"/>
      </w:pPr>
      <w:r w:rsidRPr="006D3449">
        <w:rPr>
          <w:i/>
        </w:rPr>
        <w:lastRenderedPageBreak/>
        <w:t>State service delivery</w:t>
      </w:r>
      <w:r>
        <w:t>: does HFE, by compensating for expenditure</w:t>
      </w:r>
      <w:r>
        <w:noBreakHyphen/>
        <w:t>side disabilities, dull or remove the incentives for States to fully address those disabilities, or to pursue cost</w:t>
      </w:r>
      <w:r>
        <w:noBreakHyphen/>
        <w:t>reducing or efficiency</w:t>
      </w:r>
      <w:r>
        <w:noBreakHyphen/>
        <w:t>enhancing reforms in the relevant service areas?</w:t>
      </w:r>
    </w:p>
    <w:p w14:paraId="79549AB2" w14:textId="77777777" w:rsidR="00F05DC7" w:rsidRDefault="00F05DC7" w:rsidP="00A3786D">
      <w:pPr>
        <w:pStyle w:val="ListBullet"/>
      </w:pPr>
      <w:r w:rsidRPr="006D3449">
        <w:rPr>
          <w:i/>
        </w:rPr>
        <w:t>Government spending</w:t>
      </w:r>
      <w:r>
        <w:t xml:space="preserve">: does HFE cause the public sectors in fiscally weaker States to be relatively larger than those in fiscally stronger States? Do these larger public sectors exceed the underlying needs and preferences of those States’ residents? </w:t>
      </w:r>
    </w:p>
    <w:p w14:paraId="79549AB3" w14:textId="77777777" w:rsidR="00F05DC7" w:rsidRDefault="00F05DC7" w:rsidP="00A3786D">
      <w:pPr>
        <w:pStyle w:val="ListBullet"/>
      </w:pPr>
      <w:r w:rsidRPr="006D3449">
        <w:rPr>
          <w:i/>
        </w:rPr>
        <w:t>Budget management</w:t>
      </w:r>
      <w:r>
        <w:t>: does the lagged HFE assessment cycle amplify State economic circumstances — and does this complicate budget management or encourage poor budgeting? Does HFE reduce State Governments’ accountability for their budget outcomes?</w:t>
      </w:r>
    </w:p>
    <w:p w14:paraId="79549AB4" w14:textId="77777777" w:rsidR="00F05DC7" w:rsidRDefault="00F05DC7" w:rsidP="00A3786D">
      <w:pPr>
        <w:pStyle w:val="ListBullet"/>
      </w:pPr>
      <w:r w:rsidRPr="006D3449">
        <w:rPr>
          <w:i/>
        </w:rPr>
        <w:t>Location decisions</w:t>
      </w:r>
      <w:r>
        <w:t>: does HFE reduce individuals’ and business owners’ incentives to relocate to higher</w:t>
      </w:r>
      <w:r>
        <w:noBreakHyphen/>
        <w:t>income regions in order to receive better services or lower taxes (funded through location</w:t>
      </w:r>
      <w:r>
        <w:noBreakHyphen/>
        <w:t>specific rents), rather than due to the possibility of higher wages or business profitability? Or does it encourage labour and capital to remain in relatively high</w:t>
      </w:r>
      <w:r>
        <w:noBreakHyphen/>
        <w:t>cost regions (such as remote communities) by blunting the incentives to relocate to areas where they will enjoy higher incomes or better public services?</w:t>
      </w:r>
    </w:p>
    <w:p w14:paraId="79549AB5" w14:textId="77777777" w:rsidR="00F05DC7" w:rsidRDefault="00F05DC7" w:rsidP="00A3786D">
      <w:pPr>
        <w:pStyle w:val="BodyText"/>
      </w:pPr>
      <w:r>
        <w:t>Chapter 3 assesses the current HFE system against the first three efficiency channels, and chapters 4 and 5 respectively assess the system against the remaining two channels.</w:t>
      </w:r>
    </w:p>
    <w:p w14:paraId="79549AB6" w14:textId="77777777" w:rsidR="00F05DC7" w:rsidRPr="0066784E" w:rsidRDefault="00F05DC7" w:rsidP="0066784E">
      <w:pPr>
        <w:pStyle w:val="Heading3"/>
        <w:rPr>
          <w:rStyle w:val="DraftingNote"/>
          <w:b/>
          <w:color w:val="auto"/>
          <w:sz w:val="26"/>
          <w:u w:val="none"/>
        </w:rPr>
      </w:pPr>
      <w:r w:rsidRPr="0066784E">
        <w:rPr>
          <w:rStyle w:val="DraftingNote"/>
          <w:b/>
          <w:color w:val="auto"/>
          <w:sz w:val="26"/>
          <w:u w:val="none"/>
        </w:rPr>
        <w:t>Transparency and accountability</w:t>
      </w:r>
    </w:p>
    <w:p w14:paraId="79549AB7" w14:textId="77777777" w:rsidR="00F05DC7" w:rsidRDefault="00F05DC7" w:rsidP="00A3786D">
      <w:pPr>
        <w:pStyle w:val="BodyText"/>
      </w:pPr>
      <w:r>
        <w:t>The third element of the Commission’s framework is transparency and accountability, two essential prerequisites for good public policy. Transparency and accountability are focused on ensuring robust governance arrangements and processes for the HFE system. Amongst others, they help to build trust and confidence in the system. This can have a flow</w:t>
      </w:r>
      <w:r>
        <w:noBreakHyphen/>
        <w:t>on effect for both equity (through people’s perceptions of whether the system is fair) and efficiency (for example, whether States are willing to reach future agreements on efficiency</w:t>
      </w:r>
      <w:r>
        <w:noBreakHyphen/>
        <w:t>enhancing reform). They can also lead to greater scrutiny of the system, which can result in greater accountability for decisions and, ultimately, improve policy outcomes.</w:t>
      </w:r>
    </w:p>
    <w:p w14:paraId="79549AB8" w14:textId="77777777" w:rsidR="00F05DC7" w:rsidRDefault="00F05DC7" w:rsidP="00A3786D">
      <w:pPr>
        <w:pStyle w:val="BodyText"/>
      </w:pPr>
      <w:r>
        <w:t>Transparency and accountability in the HFE system are assessed with respect to whether:</w:t>
      </w:r>
    </w:p>
    <w:p w14:paraId="79549AB9" w14:textId="7FEA4B00" w:rsidR="00F05DC7" w:rsidRDefault="00F05DC7" w:rsidP="00A3786D">
      <w:pPr>
        <w:pStyle w:val="ListBullet"/>
      </w:pPr>
      <w:r>
        <w:t>there is public understanding of (and agreement on) what the system is trying to achieve, how its processes broadly work, and how well the HFE system meets its objectives. This is most important for State Governments, but an element of understanding from the community is also desirable — especially as the HFE debate is afflicted with misu</w:t>
      </w:r>
      <w:r w:rsidR="009D29AD">
        <w:t>nderstanding and misconceptions</w:t>
      </w:r>
    </w:p>
    <w:p w14:paraId="79549ABA" w14:textId="631F5AD7" w:rsidR="00F05DC7" w:rsidRDefault="00F05DC7" w:rsidP="00A3786D">
      <w:pPr>
        <w:pStyle w:val="ListBullet"/>
      </w:pPr>
      <w:r>
        <w:t>there is a robust governance structure and accountability framework that enables the system to achieve its key objectives. Participants in this governance structure include the CGC, the Commonwealth G</w:t>
      </w:r>
      <w:r w:rsidR="009D29AD">
        <w:t>overnment and State Governments</w:t>
      </w:r>
    </w:p>
    <w:p w14:paraId="79549ABB" w14:textId="77777777" w:rsidR="00F05DC7" w:rsidRDefault="00F05DC7" w:rsidP="00A3786D">
      <w:pPr>
        <w:pStyle w:val="ListBullet"/>
      </w:pPr>
      <w:r>
        <w:t xml:space="preserve">the CGC, State Governments and the Commonwealth Government understand what their roles and responsibilities are within the HFE system. In particular, where decisions are </w:t>
      </w:r>
      <w:r>
        <w:lastRenderedPageBreak/>
        <w:t>made by the CGC, there should be a clear understanding of why that decision has been taken. Further, there should be a clear delineation of decision</w:t>
      </w:r>
      <w:r>
        <w:noBreakHyphen/>
        <w:t>making responsibilities in relation to policymaking and policy implementation, with policymaking being firmly in the realm of governments (through elected officials).</w:t>
      </w:r>
    </w:p>
    <w:p w14:paraId="79549ABC" w14:textId="77777777" w:rsidR="00F05DC7" w:rsidRPr="00D67964" w:rsidRDefault="00F05DC7" w:rsidP="00A3786D">
      <w:pPr>
        <w:pStyle w:val="BodyText"/>
      </w:pPr>
      <w:r w:rsidRPr="00D67964">
        <w:t>While simplicity per se is not a criterion against which the current system is assessed, it is relevant because complexity can impede transparency and accountability. An overly complex system can adversely affect both the understanding of the system more broadly and the way in which decisions are made. It is difficult to achieve transparency and accountability if the system is so complex that only a handful of people understand it.</w:t>
      </w:r>
    </w:p>
    <w:p w14:paraId="79549ABD" w14:textId="77777777" w:rsidR="00F05DC7" w:rsidRPr="00D67964" w:rsidRDefault="00F05DC7" w:rsidP="00A3786D">
      <w:pPr>
        <w:pStyle w:val="BodyText"/>
      </w:pPr>
      <w:r w:rsidRPr="00D67964">
        <w:t>Many of the concepts discussed in this framework section are already factored into the CGC’s objective for HFE, albeit in a subsidiary fashion to the main goal of fiscal equality. Chapter</w:t>
      </w:r>
      <w:r>
        <w:t> </w:t>
      </w:r>
      <w:r w:rsidRPr="00D67964">
        <w:t>2 summarises the application of these concepts and discusses the history and practice of HFE in Australia, so as to provide an overview of the evolution of the current objective of HFE. The way in which the practice of HFE has evolved over eight decades reveals much about the broader context within which HFE operates — that is, the complex and ever</w:t>
      </w:r>
      <w:r>
        <w:noBreakHyphen/>
      </w:r>
      <w:r w:rsidRPr="00D67964">
        <w:t xml:space="preserve">changing field of </w:t>
      </w:r>
      <w:r>
        <w:t>federal</w:t>
      </w:r>
      <w:r w:rsidRPr="00D67964">
        <w:t xml:space="preserve"> financial relations, and the supporting institutional arrangements.</w:t>
      </w:r>
    </w:p>
    <w:p w14:paraId="79549ABE" w14:textId="58A08CE3" w:rsidR="00F05DC7" w:rsidRDefault="00F05DC7" w:rsidP="00A3786D">
      <w:pPr>
        <w:pStyle w:val="Heading2"/>
      </w:pPr>
      <w:bookmarkStart w:id="51" w:name="_Toc513637700"/>
      <w:r>
        <w:t>1.</w:t>
      </w:r>
      <w:r>
        <w:rPr>
          <w:noProof/>
        </w:rPr>
        <w:t>4</w:t>
      </w:r>
      <w:r w:rsidRPr="005B293D">
        <w:tab/>
      </w:r>
      <w:r>
        <w:t>What is the evidence base?</w:t>
      </w:r>
      <w:bookmarkEnd w:id="51"/>
    </w:p>
    <w:p w14:paraId="79549ABF" w14:textId="77777777" w:rsidR="00F05DC7" w:rsidRPr="00646543" w:rsidRDefault="00F05DC7" w:rsidP="00A3786D">
      <w:pPr>
        <w:pStyle w:val="BodyText"/>
      </w:pPr>
      <w:r w:rsidRPr="00646543">
        <w:t>Claims about the effects of HFE on the incentives of individuals, firms and governments are often made in theoretical terms. However, there is sparse evidence of these incentives having actually impacted past behaviour. This is unsurprising for a number of reasons. It is partially due to HFE not existing in a vacuum, such that there are many other factors simultaneously contributing to a particular economic or policy decision. It is also a consequence of the zero</w:t>
      </w:r>
      <w:r>
        <w:noBreakHyphen/>
      </w:r>
      <w:r w:rsidRPr="00646543">
        <w:t>sum nature of HFE and the fact that, where there are strong first</w:t>
      </w:r>
      <w:r w:rsidRPr="00646543">
        <w:noBreakHyphen/>
        <w:t>mover disincentives for reform (chapter</w:t>
      </w:r>
      <w:r>
        <w:t> </w:t>
      </w:r>
      <w:r w:rsidRPr="00646543">
        <w:t>3), decisions are not observable.</w:t>
      </w:r>
    </w:p>
    <w:p w14:paraId="79549AC0" w14:textId="77777777" w:rsidR="00F05DC7" w:rsidRPr="00646543" w:rsidRDefault="00F05DC7" w:rsidP="00A3786D">
      <w:pPr>
        <w:pStyle w:val="BodyText"/>
      </w:pPr>
      <w:r w:rsidRPr="00646543">
        <w:t xml:space="preserve">As a result, the Productivity Commission has placed weight on inquiry participants and submissions providing evidence of their claims. And as in any inquiry, the Commission’s findings are also driven by economic principles and consideration of the incentives generated by HFE, especially where evidence has not been forthcoming or behavioural impacts are too difficult to reliably measure. </w:t>
      </w:r>
    </w:p>
    <w:p w14:paraId="79549AC1" w14:textId="77777777" w:rsidR="00F05DC7" w:rsidRPr="00646543" w:rsidRDefault="00F05DC7" w:rsidP="00A3786D">
      <w:pPr>
        <w:pStyle w:val="BodyText"/>
      </w:pPr>
      <w:r w:rsidRPr="00646543">
        <w:t>To support its analysis of these incentives, the Commission has constructed a set of quantitative ‘cameos’ (appendix C). These illustrate the effects of possible State policy changes on GST shares (for recent distributions; that is, they provide comparative statics, rather than modelling future effects) in order to identify and estimate the distributional impacts, and possible incentive effects, of the current system of HFE.</w:t>
      </w:r>
    </w:p>
    <w:p w14:paraId="79549AC2" w14:textId="0E1A9F7B" w:rsidR="00F05DC7" w:rsidRPr="00646543" w:rsidRDefault="00F05DC7" w:rsidP="00A3786D">
      <w:pPr>
        <w:pStyle w:val="BodyText"/>
      </w:pPr>
      <w:r w:rsidRPr="00646543">
        <w:t>The Productivity Commission has not undertaken economy</w:t>
      </w:r>
      <w:r w:rsidRPr="00646543">
        <w:noBreakHyphen/>
        <w:t xml:space="preserve">wide modelling of the impacts of HFE (through, for example, the development of a computable general equilibrium model). </w:t>
      </w:r>
      <w:r w:rsidRPr="00646543">
        <w:lastRenderedPageBreak/>
        <w:t xml:space="preserve">This is in part because extensive work has already been carried out in this field </w:t>
      </w:r>
      <w:r w:rsidR="009D6331" w:rsidRPr="009D6331">
        <w:rPr>
          <w:szCs w:val="24"/>
        </w:rPr>
        <w:t>(Dixon, Picton and Rimmer 2005; Independent Economics 2012, 2015, Murphy 2015, 2017)</w:t>
      </w:r>
      <w:r w:rsidRPr="00646543">
        <w:t>. It also reflects the reality that such a model is ill</w:t>
      </w:r>
      <w:r w:rsidRPr="00646543">
        <w:noBreakHyphen/>
        <w:t xml:space="preserve">suited to predict, on its own, whether HFE affects discrete decisions, such as interstate migration or State </w:t>
      </w:r>
      <w:r>
        <w:t>G</w:t>
      </w:r>
      <w:r w:rsidRPr="00646543">
        <w:t>overnment taxation and spending. Any modelling would therefore need to make a host of assumptions about these effects, which risks rendering the modelling assumption</w:t>
      </w:r>
      <w:r w:rsidRPr="00646543">
        <w:noBreakHyphen/>
        <w:t>driven and — particularly where evidence is sparse — of little predictive value (chapter 5). Appendix D elaborates on the challenges presented by modelling the effects of HFE, and summarises the major work undertaken in this field so far.</w:t>
      </w:r>
    </w:p>
    <w:p w14:paraId="79549AC3" w14:textId="4DBD687A" w:rsidR="00F05DC7" w:rsidRDefault="00F05DC7" w:rsidP="00A3786D">
      <w:pPr>
        <w:pStyle w:val="Heading2"/>
      </w:pPr>
      <w:bookmarkStart w:id="52" w:name="_Toc513637701"/>
      <w:r>
        <w:t>1.</w:t>
      </w:r>
      <w:r>
        <w:rPr>
          <w:noProof/>
        </w:rPr>
        <w:t>5</w:t>
      </w:r>
      <w:r w:rsidRPr="005B293D">
        <w:tab/>
      </w:r>
      <w:r>
        <w:t>Scope of the inquiry</w:t>
      </w:r>
      <w:bookmarkEnd w:id="52"/>
    </w:p>
    <w:p w14:paraId="79549AC4" w14:textId="77777777" w:rsidR="00F05DC7" w:rsidRPr="00646543" w:rsidRDefault="00F05DC7" w:rsidP="00A3786D">
      <w:pPr>
        <w:pStyle w:val="BodyText"/>
      </w:pPr>
      <w:r w:rsidRPr="00646543">
        <w:t>In line with a predominantly principles</w:t>
      </w:r>
      <w:r>
        <w:noBreakHyphen/>
      </w:r>
      <w:r w:rsidRPr="00646543">
        <w:t xml:space="preserve">based approach, the Productivity Commission has focused on the consequences of HFE for equity and efficiency, along with transparency and accountability in the system. There is also some discussion of the actual service delivery outcomes (and consequent interpersonal equity effects) across States; however, mindful of the policy autonomy of State </w:t>
      </w:r>
      <w:r>
        <w:t>G</w:t>
      </w:r>
      <w:r w:rsidRPr="00646543">
        <w:t>overnments, this is not a key focus of the analysis.</w:t>
      </w:r>
    </w:p>
    <w:p w14:paraId="79549AC5" w14:textId="77777777" w:rsidR="00F05DC7" w:rsidRPr="00646543" w:rsidRDefault="00F05DC7" w:rsidP="00A3786D">
      <w:pPr>
        <w:pStyle w:val="BodyText"/>
      </w:pPr>
      <w:r w:rsidRPr="00646543">
        <w:t>The Commission has deliberately avoided replicating the CGC’s approach or delving into the minutiae of CGC practice and method, but has considered elements of the HFE methodology that could materially impact on policy neutrality (chapter</w:t>
      </w:r>
      <w:r>
        <w:t> </w:t>
      </w:r>
      <w:r w:rsidRPr="00646543">
        <w:t>3</w:t>
      </w:r>
      <w:r>
        <w:t>; chapter 7</w:t>
      </w:r>
      <w:r w:rsidRPr="00646543">
        <w:t>). The CGC conducts an in</w:t>
      </w:r>
      <w:r w:rsidRPr="00646543">
        <w:noBreakHyphen/>
        <w:t>depth Methodology Review every five years; the next such Review, to be released in 2020, is</w:t>
      </w:r>
      <w:r w:rsidRPr="00D3021A">
        <w:t xml:space="preserve"> </w:t>
      </w:r>
      <w:r w:rsidRPr="00646543">
        <w:t>underway. While this results in parallel consultation processes, this inquiry and the 2020 Review are complementary and co</w:t>
      </w:r>
      <w:r w:rsidRPr="00646543">
        <w:noBreakHyphen/>
        <w:t>operative — the Productivity Commission has drawn extensively on supporting material published by the CGC, and the CGC has made detailed submissions to this inquiry.</w:t>
      </w:r>
    </w:p>
    <w:p w14:paraId="79549AC6" w14:textId="77777777" w:rsidR="00F05DC7" w:rsidRPr="00646543" w:rsidRDefault="00F05DC7" w:rsidP="00A3786D">
      <w:pPr>
        <w:pStyle w:val="BodyText"/>
      </w:pPr>
      <w:r w:rsidRPr="00646543">
        <w:t xml:space="preserve">As such, this inquiry does not — </w:t>
      </w:r>
      <w:r w:rsidRPr="00646543">
        <w:rPr>
          <w:i/>
        </w:rPr>
        <w:t>for the most part</w:t>
      </w:r>
      <w:r w:rsidRPr="00646543">
        <w:t xml:space="preserve"> — consider specific assessment methods, the use of particular data sources or data adjustments, or the treatment of individual revenue or expenditure categories. These issues are only addressed where they carry implications for State incentives. Where State </w:t>
      </w:r>
      <w:r>
        <w:t>G</w:t>
      </w:r>
      <w:r w:rsidRPr="00646543">
        <w:t>overnments have raised other concerns about these issues, it is expected that the CGC will take account of these in the course of its 2020 Review.</w:t>
      </w:r>
    </w:p>
    <w:p w14:paraId="79549AC7" w14:textId="77777777" w:rsidR="00F05DC7" w:rsidRPr="00646543" w:rsidRDefault="00F05DC7" w:rsidP="00A3786D">
      <w:pPr>
        <w:pStyle w:val="BodyText"/>
      </w:pPr>
      <w:r w:rsidRPr="00646543">
        <w:t>The terms of reference, by explicitly inviting the consideration of the impacts of HFE, and whether alternative approaches may be preferable, allow this inquiry to take a broader approach to the subject. Accordingly, chapter 7 considers whether there</w:t>
      </w:r>
      <w:r>
        <w:t xml:space="preserve"> are</w:t>
      </w:r>
      <w:r w:rsidRPr="00646543">
        <w:t xml:space="preserve"> </w:t>
      </w:r>
      <w:r>
        <w:t>options available to improve the assessment of States’ fiscal capacities</w:t>
      </w:r>
      <w:r w:rsidRPr="00646543">
        <w:t>, while chapter 8 explores a range of possible alternative approaches to distributing GST revenue in Australia (and appendix</w:t>
      </w:r>
      <w:r>
        <w:t> </w:t>
      </w:r>
      <w:r w:rsidRPr="00646543">
        <w:t>E describes a selection of the different systems used to implement HFE across other OECD countries). The Productivity Commission’s recommended new benchmark for fiscal equalisation, and the pathway for transitioning to a new system, are outlined in chapter 9, while appendix</w:t>
      </w:r>
      <w:r>
        <w:t> </w:t>
      </w:r>
      <w:r w:rsidRPr="00646543">
        <w:t>F provides the quantitative details underlying this transition analysis.</w:t>
      </w:r>
    </w:p>
    <w:p w14:paraId="79549AC8" w14:textId="28DADAB1" w:rsidR="00F05DC7" w:rsidRDefault="00F05DC7" w:rsidP="00A3786D">
      <w:pPr>
        <w:pStyle w:val="Heading2"/>
      </w:pPr>
      <w:bookmarkStart w:id="53" w:name="_Toc513637702"/>
      <w:r>
        <w:lastRenderedPageBreak/>
        <w:t>1.</w:t>
      </w:r>
      <w:r>
        <w:rPr>
          <w:noProof/>
        </w:rPr>
        <w:t>6</w:t>
      </w:r>
      <w:r>
        <w:tab/>
        <w:t>Consultation in the course of the inquiry</w:t>
      </w:r>
      <w:bookmarkEnd w:id="53"/>
    </w:p>
    <w:p w14:paraId="79549AC9" w14:textId="77777777" w:rsidR="00F05DC7" w:rsidRPr="00646543" w:rsidRDefault="00F05DC7" w:rsidP="00A3786D">
      <w:pPr>
        <w:pStyle w:val="BodyText"/>
      </w:pPr>
      <w:r w:rsidRPr="00135516">
        <w:t>The terms of reference for this inquiry were received on 5 May 2017. In response to its initial</w:t>
      </w:r>
      <w:r w:rsidRPr="00646543">
        <w:t xml:space="preserve"> guidance note, the Commission received 56 submissions and </w:t>
      </w:r>
      <w:r>
        <w:t>9</w:t>
      </w:r>
      <w:r w:rsidRPr="00646543">
        <w:t xml:space="preserve"> brief submissions. There were also a large number of (essentially identical) submissions expressing individuals’ concerns about the link between HFE and State policies on gas exploration (more than 5600 in total). The large volume has made it impractical to list the names of individuals who made these submissions; however, the text of the submission is available on the inquiry webpage.</w:t>
      </w:r>
    </w:p>
    <w:p w14:paraId="79549ACA" w14:textId="77777777" w:rsidR="00F05DC7" w:rsidRPr="00646543" w:rsidRDefault="00F05DC7" w:rsidP="00A3786D">
      <w:pPr>
        <w:pStyle w:val="BodyText"/>
      </w:pPr>
      <w:r w:rsidRPr="00646543">
        <w:t>The draft report to this inquiry was released on 9 October 2017. Following the release of the draft report, the Productivity Commission held public hearings in Perth, Melbourne, Adelaide, Darwin, Hobart, and (later, in February 2018) in Brisbane (with some participants also teleconferencing in from other cities). Transcripts are available on the Commission’s website.</w:t>
      </w:r>
    </w:p>
    <w:p w14:paraId="79549ACB" w14:textId="5D0DD827" w:rsidR="00F05DC7" w:rsidRPr="00646543" w:rsidRDefault="00F05DC7" w:rsidP="00A3786D">
      <w:pPr>
        <w:pStyle w:val="BodyText"/>
      </w:pPr>
      <w:r w:rsidRPr="00646543">
        <w:t xml:space="preserve">A further 67 submissions were received in response to the draft report. A list of the individuals and organisations that made submissions is provided in appendix A, and all submissions are available on the Commission’s website. As part of this inquiry, the Productivity Commission also commissioned a paper on </w:t>
      </w:r>
      <w:r w:rsidRPr="00646543">
        <w:rPr>
          <w:i/>
        </w:rPr>
        <w:t>Accountability in the Australian Federation</w:t>
      </w:r>
      <w:r w:rsidRPr="00646543">
        <w:t xml:space="preserve"> </w:t>
      </w:r>
      <w:r w:rsidR="009D6331" w:rsidRPr="009D6331">
        <w:rPr>
          <w:szCs w:val="24"/>
        </w:rPr>
        <w:t>(Gray 2017)</w:t>
      </w:r>
      <w:r w:rsidRPr="00646543">
        <w:t>, which is available on the inquiry webpage.</w:t>
      </w:r>
    </w:p>
    <w:p w14:paraId="79549ACC" w14:textId="77777777" w:rsidR="00F05DC7" w:rsidRPr="00646543" w:rsidRDefault="00F05DC7" w:rsidP="00A3786D">
      <w:pPr>
        <w:pStyle w:val="BodyText"/>
      </w:pPr>
      <w:r w:rsidRPr="00646543">
        <w:t xml:space="preserve">In the course of preparing the draft and final reports for this inquiry, the Commission visited all State and Territory </w:t>
      </w:r>
      <w:r>
        <w:t>G</w:t>
      </w:r>
      <w:r w:rsidRPr="00646543">
        <w:t>overnments for consultation, and also consulted with the CGC, the 2012 GST Distribution Review Panel members, several State grants commissions, a number of business groups, several past State Under</w:t>
      </w:r>
      <w:r w:rsidRPr="00646543">
        <w:noBreakHyphen/>
        <w:t>Treasurers, and a range of academics and others specialising in federalism and tax policy. The Commission also consulted with individuals who have worked on previous reviews of the HFE process. Appendix A provides details.</w:t>
      </w:r>
    </w:p>
    <w:p w14:paraId="79549ACD" w14:textId="77777777" w:rsidR="00F05DC7" w:rsidRDefault="00F05DC7" w:rsidP="00F05DC7">
      <w:pPr>
        <w:sectPr w:rsidR="00F05DC7" w:rsidSect="00F05DC7">
          <w:headerReference w:type="even" r:id="rId69"/>
          <w:headerReference w:type="default" r:id="rId70"/>
          <w:footerReference w:type="even" r:id="rId71"/>
          <w:footerReference w:type="default" r:id="rId72"/>
          <w:type w:val="oddPage"/>
          <w:pgSz w:w="11907" w:h="16840" w:code="9"/>
          <w:pgMar w:top="1985" w:right="1304" w:bottom="1247" w:left="1814" w:header="1701" w:footer="397" w:gutter="0"/>
          <w:pgNumType w:chapSep="period"/>
          <w:cols w:space="720"/>
          <w:docGrid w:linePitch="326"/>
        </w:sectPr>
      </w:pPr>
    </w:p>
    <w:p w14:paraId="79549ACE" w14:textId="77777777" w:rsidR="00F05DC7" w:rsidRDefault="00F05DC7" w:rsidP="00460F2D">
      <w:pPr>
        <w:pStyle w:val="Heading1"/>
        <w:spacing w:after="1200"/>
      </w:pPr>
      <w:bookmarkStart w:id="54" w:name="_Toc513637703"/>
      <w:r>
        <w:lastRenderedPageBreak/>
        <w:t>2</w:t>
      </w:r>
      <w:r>
        <w:tab/>
        <w:t>How does HFE work in Australia?</w:t>
      </w:r>
      <w:bookmarkEnd w:id="54"/>
    </w:p>
    <w:p w14:paraId="79549ACF" w14:textId="77777777" w:rsidR="00F05DC7" w:rsidRDefault="00F05DC7" w:rsidP="00A3786D">
      <w:pPr>
        <w:pStyle w:val="BoxSpaceAbove"/>
        <w:spacing w:before="0"/>
        <w:ind w:left="907" w:hanging="907"/>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05DC7" w14:paraId="79549AD1" w14:textId="77777777" w:rsidTr="001113B1">
        <w:trPr>
          <w:tblHeader/>
        </w:trPr>
        <w:tc>
          <w:tcPr>
            <w:tcW w:w="5000" w:type="pct"/>
            <w:tcBorders>
              <w:top w:val="single" w:sz="6" w:space="0" w:color="78A22F"/>
              <w:left w:val="nil"/>
              <w:bottom w:val="nil"/>
              <w:right w:val="nil"/>
            </w:tcBorders>
            <w:shd w:val="clear" w:color="auto" w:fill="F2F2F2"/>
          </w:tcPr>
          <w:p w14:paraId="79549AD0" w14:textId="77777777" w:rsidR="00F05DC7" w:rsidRPr="007A3F85" w:rsidRDefault="00F05DC7">
            <w:pPr>
              <w:pStyle w:val="BoxTitle"/>
            </w:pPr>
            <w:r w:rsidRPr="007A3F85">
              <w:t>Key points</w:t>
            </w:r>
          </w:p>
        </w:tc>
      </w:tr>
      <w:tr w:rsidR="00F05DC7" w14:paraId="79549AE1" w14:textId="77777777" w:rsidTr="00A3786D">
        <w:tc>
          <w:tcPr>
            <w:tcW w:w="5000" w:type="pct"/>
            <w:tcBorders>
              <w:top w:val="nil"/>
              <w:left w:val="nil"/>
              <w:bottom w:val="nil"/>
              <w:right w:val="nil"/>
            </w:tcBorders>
            <w:shd w:val="clear" w:color="auto" w:fill="F2F2F2"/>
          </w:tcPr>
          <w:p w14:paraId="79549AD2" w14:textId="77777777" w:rsidR="00F05DC7" w:rsidRDefault="00F05DC7" w:rsidP="00A3786D">
            <w:pPr>
              <w:pStyle w:val="BoxListBullet"/>
              <w:spacing w:line="240" w:lineRule="atLeast"/>
            </w:pPr>
            <w:r>
              <w:t>Since Federation, the fiscal power of the Commonwealth relative to the States has increased. Key developments marking this shift were the Commonwealth’s introduction of income tax, and the High Court’s disallowance of State indirect taxes on goods.</w:t>
            </w:r>
          </w:p>
          <w:p w14:paraId="79549AD3" w14:textId="77777777" w:rsidR="00F05DC7" w:rsidRDefault="00F05DC7" w:rsidP="00A3786D">
            <w:pPr>
              <w:pStyle w:val="BoxListBullet"/>
              <w:spacing w:line="240" w:lineRule="atLeast"/>
            </w:pPr>
            <w:r>
              <w:t>Some form of horizontal fiscal equalisation (HFE) has been in place in Australia since Federation, to address both the imbalance between revenue raising capabilities and expenditure responsibilities between the States and the Commonwealth, and differences in fiscal capacities across the States.</w:t>
            </w:r>
          </w:p>
          <w:p w14:paraId="79549AD4" w14:textId="77777777" w:rsidR="00F05DC7" w:rsidRDefault="00F05DC7" w:rsidP="00A3786D">
            <w:pPr>
              <w:pStyle w:val="BoxListBullet"/>
              <w:spacing w:line="240" w:lineRule="atLeast"/>
            </w:pPr>
            <w:r>
              <w:t>The Commonwealth Grants Commission (CGC) plays a prominent role in HFE. It was established in 1933 following numerous ad hoc measures to provide assistance to financially weaker States and the threat of Western Australia’s secession.</w:t>
            </w:r>
          </w:p>
          <w:p w14:paraId="79549AD5" w14:textId="77777777" w:rsidR="00F05DC7" w:rsidRDefault="00F05DC7" w:rsidP="00A3786D">
            <w:pPr>
              <w:pStyle w:val="BoxListBullet"/>
              <w:spacing w:line="240" w:lineRule="atLeast"/>
            </w:pPr>
            <w:r>
              <w:t>The definition of equalisation adopted by the CGC and its methods have evolved over time. Many of the changes have been driven primarily by the CGC, in consultation with the States.</w:t>
            </w:r>
          </w:p>
          <w:p w14:paraId="79549AD6" w14:textId="77777777" w:rsidR="00F05DC7" w:rsidRDefault="00F05DC7" w:rsidP="00A3786D">
            <w:pPr>
              <w:pStyle w:val="BoxListBullet2"/>
              <w:spacing w:line="240" w:lineRule="atLeast"/>
            </w:pPr>
            <w:r>
              <w:t>Up until 1981, the CGC’s role in HFE was to recommend special grants to those States making claims for financial assistance — ‘recipient’ States.</w:t>
            </w:r>
          </w:p>
          <w:p w14:paraId="79549AD7" w14:textId="77777777" w:rsidR="00F05DC7" w:rsidRDefault="00F05DC7" w:rsidP="00A3786D">
            <w:pPr>
              <w:pStyle w:val="BoxListBullet2"/>
              <w:spacing w:line="240" w:lineRule="atLeast"/>
            </w:pPr>
            <w:r>
              <w:t>In 1981, the CGC commenced full equalisation, in which a given pool of funds were to be distributed amongst the six States (later joined by the Northern Territory and the ACT), marking the beginning of the ‘zero sum’ distribution.</w:t>
            </w:r>
          </w:p>
          <w:p w14:paraId="79549AD8" w14:textId="77777777" w:rsidR="00F05DC7" w:rsidRDefault="00F05DC7" w:rsidP="00A3786D">
            <w:pPr>
              <w:pStyle w:val="BoxListBullet2"/>
              <w:spacing w:line="240" w:lineRule="atLeast"/>
            </w:pPr>
            <w:r>
              <w:t xml:space="preserve">At this time, the definition of equalisation referred to payments to enable States to provide services ‘not appreciably different’, but by 1999, this had evolved to ‘the same standard’ at the behest of the CGC. Unsurprisingly, the current definition of equalisation is not reflected in the </w:t>
            </w:r>
            <w:r w:rsidRPr="00B02219">
              <w:rPr>
                <w:i/>
              </w:rPr>
              <w:t>Commonwealth Grants Commission Act 1973</w:t>
            </w:r>
            <w:r>
              <w:t xml:space="preserve"> (Cwlth).</w:t>
            </w:r>
          </w:p>
          <w:p w14:paraId="79549AD9" w14:textId="77777777" w:rsidR="00F05DC7" w:rsidRDefault="00F05DC7" w:rsidP="00A3786D">
            <w:pPr>
              <w:pStyle w:val="BoxListBullet2"/>
              <w:spacing w:line="240" w:lineRule="atLeast"/>
            </w:pPr>
            <w:r>
              <w:t>Since 2000, t</w:t>
            </w:r>
            <w:r w:rsidRPr="00FA1792">
              <w:t>he</w:t>
            </w:r>
            <w:r>
              <w:t xml:space="preserve"> Commonwealth has not played a substantive role in determining the amount of revenue to be distributed amongst the States for the purposes of HFE, with it being solely funded by the GST pool (with the exception of Health Care Grants until 2009). </w:t>
            </w:r>
          </w:p>
          <w:p w14:paraId="79549ADA" w14:textId="77777777" w:rsidR="00F05DC7" w:rsidRDefault="00F05DC7" w:rsidP="00A3786D">
            <w:pPr>
              <w:pStyle w:val="BoxListBullet"/>
              <w:spacing w:line="240" w:lineRule="atLeast"/>
            </w:pPr>
            <w:r>
              <w:t>Most of the GST pool is distributed on an equal per capita (EPC) basis, with only about 10 per cent redistributed away from EPC.</w:t>
            </w:r>
          </w:p>
          <w:p w14:paraId="79549ADB" w14:textId="77777777" w:rsidR="00F05DC7" w:rsidRDefault="00F05DC7" w:rsidP="00A3786D">
            <w:pPr>
              <w:pStyle w:val="BoxListBullet2"/>
              <w:spacing w:line="240" w:lineRule="atLeast"/>
            </w:pPr>
            <w:r w:rsidRPr="00CC6BC6">
              <w:t>The</w:t>
            </w:r>
            <w:r>
              <w:t xml:space="preserve"> pool has increased (in real terms) from about $25 billion in 1981</w:t>
            </w:r>
            <w:r>
              <w:noBreakHyphen/>
              <w:t>82 to $36 billion in 2000</w:t>
            </w:r>
            <w:r>
              <w:noBreakHyphen/>
              <w:t>01 (GST only), and is estimated to be over $62 billion in 2017</w:t>
            </w:r>
            <w:r>
              <w:noBreakHyphen/>
              <w:t>18. However, the annual growth rate of the GST pool roughly halved between 2000–08 and 2009–17.</w:t>
            </w:r>
          </w:p>
          <w:p w14:paraId="79549ADC" w14:textId="77777777" w:rsidR="00F05DC7" w:rsidRDefault="00F05DC7" w:rsidP="00A3786D">
            <w:pPr>
              <w:pStyle w:val="BoxListBullet"/>
              <w:spacing w:line="240" w:lineRule="atLeast"/>
            </w:pPr>
            <w:r>
              <w:t>Australia’s system of HFE is aspirational — seeking to comprehensively and fully equalise fiscal capacities across the States. In reality it achieves proximate equalisation.</w:t>
            </w:r>
          </w:p>
          <w:p w14:paraId="79549ADD" w14:textId="77777777" w:rsidR="00F05DC7" w:rsidRDefault="00F05DC7" w:rsidP="00A3786D">
            <w:pPr>
              <w:pStyle w:val="BoxListBullet2"/>
              <w:spacing w:line="240" w:lineRule="atLeast"/>
            </w:pPr>
            <w:r>
              <w:t xml:space="preserve">It does not equalise aspects such as living standards across States, regions, communities, or </w:t>
            </w:r>
            <w:r w:rsidRPr="00B2264E">
              <w:t>individuals</w:t>
            </w:r>
            <w:r>
              <w:t xml:space="preserve"> — that is, it does not focus on interpersonal outcomes.</w:t>
            </w:r>
          </w:p>
          <w:p w14:paraId="79549ADE" w14:textId="77777777" w:rsidR="00F05DC7" w:rsidRDefault="00F05DC7" w:rsidP="00A3786D">
            <w:pPr>
              <w:pStyle w:val="BoxListBullet2"/>
              <w:spacing w:line="240" w:lineRule="atLeast"/>
            </w:pPr>
            <w:r>
              <w:t>Data and conceptual considerations mean that in practice, much is either unassessed or discounted — over 35 per cent of revenues were assessed on an EPC basis in 2016</w:t>
            </w:r>
            <w:r>
              <w:noBreakHyphen/>
              <w:t>17.</w:t>
            </w:r>
          </w:p>
          <w:p w14:paraId="79549ADF" w14:textId="77777777" w:rsidR="00F05DC7" w:rsidRDefault="00F05DC7" w:rsidP="00A3786D">
            <w:pPr>
              <w:pStyle w:val="BoxListBullet"/>
              <w:spacing w:line="240" w:lineRule="atLeast"/>
            </w:pPr>
            <w:r>
              <w:t xml:space="preserve">The key factors that currently lead to redistribution among the States are mining production, population growth, Indigeneity, remoteness and property sales. </w:t>
            </w:r>
          </w:p>
          <w:p w14:paraId="79549AE0" w14:textId="77777777" w:rsidR="00F05DC7" w:rsidRDefault="00F05DC7" w:rsidP="00A3786D">
            <w:pPr>
              <w:pStyle w:val="BoxListBullet"/>
              <w:spacing w:line="240" w:lineRule="atLeast"/>
            </w:pPr>
            <w:r>
              <w:t>Australia achieves a higher degree of fiscal equalisation compared with other federations.</w:t>
            </w:r>
          </w:p>
        </w:tc>
      </w:tr>
      <w:tr w:rsidR="00F05DC7" w14:paraId="79549AE3" w14:textId="77777777" w:rsidTr="00A3786D">
        <w:tc>
          <w:tcPr>
            <w:tcW w:w="5000" w:type="pct"/>
            <w:tcBorders>
              <w:top w:val="nil"/>
              <w:left w:val="nil"/>
              <w:bottom w:val="single" w:sz="6" w:space="0" w:color="78A22F"/>
              <w:right w:val="nil"/>
            </w:tcBorders>
            <w:shd w:val="clear" w:color="auto" w:fill="F2F2F2"/>
          </w:tcPr>
          <w:p w14:paraId="79549AE2" w14:textId="77777777" w:rsidR="00F05DC7" w:rsidRDefault="00F05DC7">
            <w:pPr>
              <w:pStyle w:val="Box"/>
              <w:spacing w:before="0" w:line="120" w:lineRule="exact"/>
            </w:pPr>
          </w:p>
        </w:tc>
      </w:tr>
      <w:tr w:rsidR="00F05DC7" w:rsidRPr="000863A5" w14:paraId="79549AE5" w14:textId="77777777" w:rsidTr="00A3786D">
        <w:tc>
          <w:tcPr>
            <w:tcW w:w="5000" w:type="pct"/>
            <w:tcBorders>
              <w:top w:val="single" w:sz="6" w:space="0" w:color="78A22F"/>
              <w:left w:val="nil"/>
              <w:bottom w:val="nil"/>
              <w:right w:val="nil"/>
            </w:tcBorders>
          </w:tcPr>
          <w:p w14:paraId="79549AE4" w14:textId="77777777" w:rsidR="00F05DC7" w:rsidRPr="00626D32" w:rsidRDefault="00F05DC7" w:rsidP="00A3786D">
            <w:pPr>
              <w:pStyle w:val="BoxSpaceBelow"/>
            </w:pPr>
          </w:p>
        </w:tc>
      </w:tr>
    </w:tbl>
    <w:p w14:paraId="79549AE6" w14:textId="77777777" w:rsidR="00F05DC7" w:rsidRDefault="00F05DC7" w:rsidP="00A3786D">
      <w:pPr>
        <w:pStyle w:val="BodyText"/>
      </w:pPr>
      <w:r>
        <w:lastRenderedPageBreak/>
        <w:t>This chapter traces the evolution of Australia’s system of HFE. This includes revenue sharing arrangements and special grants in the decades immediately following Federation, to the current system in which the CGC makes recommendations on the GST payments to be distributed to the States (figure 2.1). The chapter also outlines how the current HFE system works, its place within the broader framework of federal financial relations, and assesses the extent to which it succeeds in its aim of equalisation.</w:t>
      </w:r>
    </w:p>
    <w:p w14:paraId="79549AE7" w14:textId="073D9A2C" w:rsidR="00F05DC7" w:rsidRPr="00B35F9A" w:rsidRDefault="00F05DC7" w:rsidP="00A3786D">
      <w:pPr>
        <w:pStyle w:val="Heading2"/>
      </w:pPr>
      <w:bookmarkStart w:id="55" w:name="_Toc513637704"/>
      <w:r>
        <w:t>2.</w:t>
      </w:r>
      <w:r>
        <w:rPr>
          <w:noProof/>
        </w:rPr>
        <w:t>1</w:t>
      </w:r>
      <w:r w:rsidRPr="00B35F9A">
        <w:tab/>
        <w:t>The evolution of HFE in Australia</w:t>
      </w:r>
      <w:bookmarkEnd w:id="55"/>
    </w:p>
    <w:p w14:paraId="79549AE8" w14:textId="77777777" w:rsidR="00F05DC7" w:rsidRDefault="00F05DC7" w:rsidP="00A3786D">
      <w:pPr>
        <w:pStyle w:val="BodyText"/>
      </w:pPr>
      <w:r>
        <w:t>Upon federating, the six Colonies of Australia ceded the right to impose and collect customs and excise duties (the dominant source of public revenue at the time) in favour of the Commonwealth. Granting the Commonwealth exclusive rights to impose customs and excise duties resulted in vertical fiscal imbalance (VFI) in which there was a surplus of revenue over expenditure at the Commonwealth level, and vice</w:t>
      </w:r>
      <w:r>
        <w:noBreakHyphen/>
        <w:t xml:space="preserve">versa at the State level. This necessitated a system for managing federal financial relations. </w:t>
      </w:r>
    </w:p>
    <w:p w14:paraId="79549AE9" w14:textId="77777777" w:rsidR="00F05DC7" w:rsidRPr="00BE2C06" w:rsidRDefault="00F05DC7" w:rsidP="00A3786D">
      <w:pPr>
        <w:pStyle w:val="Heading3"/>
      </w:pPr>
      <w:r>
        <w:t>Early fiscal equalisation arrangements</w:t>
      </w:r>
    </w:p>
    <w:p w14:paraId="79549AEA" w14:textId="6214E162" w:rsidR="00F05DC7" w:rsidRDefault="00F05DC7" w:rsidP="00A3786D">
      <w:pPr>
        <w:pStyle w:val="BodyText"/>
      </w:pPr>
      <w:r>
        <w:t xml:space="preserve">In the early decades of Federation, Australia had no formally established framework for pursuing fiscal equalisation between the Commonwealth and the States (vertical), and across the States (horizontal). Although State economic development differed markedly at Federation, there was an expectation among those who framed the Constitution that economic conditions would converge towards those in the wealthier States (although some acknowledged that there was little evidence to support such an assumption). There was also a belief that the development of revenue bases would be concentrated at the State level </w:t>
      </w:r>
      <w:r w:rsidRPr="00323808">
        <w:rPr>
          <w:szCs w:val="24"/>
        </w:rPr>
        <w:t>(Gray 2017, pp.</w:t>
      </w:r>
      <w:r w:rsidRPr="005956F2">
        <w:rPr>
          <w:szCs w:val="24"/>
        </w:rPr>
        <w:t> 4–5)</w:t>
      </w:r>
      <w:r>
        <w:t xml:space="preserve">. </w:t>
      </w:r>
    </w:p>
    <w:p w14:paraId="79549AEB" w14:textId="0EBB2F4D" w:rsidR="00F05DC7" w:rsidRDefault="00F05DC7" w:rsidP="00A3786D">
      <w:pPr>
        <w:pStyle w:val="BodyText"/>
      </w:pPr>
      <w:r>
        <w:t>Various ad hoc schemes for sharing revenue were adopted during this time. Until 1910, at least three</w:t>
      </w:r>
      <w:r>
        <w:noBreakHyphen/>
        <w:t xml:space="preserve">quarters of customs and excise revenue was returned to the States, as required by the Constitution. This was replaced by equal per capita (EPC) grants in 1910, which were in turn replaced by arrangements for the Commonwealth takeover of State debts in 1927. In addition to general revenue sharing arrangements, special grants were made to the financially weaker States — Western Australia received its first special grant in 1910, followed by Tasmania from 1912 and South Australia from 1929 </w:t>
      </w:r>
      <w:r w:rsidRPr="00990A1E">
        <w:rPr>
          <w:szCs w:val="24"/>
        </w:rPr>
        <w:t>(Williams 2012, p. 146)</w:t>
      </w:r>
      <w:r>
        <w:t xml:space="preserve">. </w:t>
      </w:r>
    </w:p>
    <w:p w14:paraId="79549AEC" w14:textId="665FE4DB" w:rsidR="00F05DC7" w:rsidRDefault="00F05DC7" w:rsidP="00A3786D">
      <w:pPr>
        <w:pStyle w:val="BodyText"/>
      </w:pPr>
      <w:r>
        <w:t xml:space="preserve">On the taxation side, the Commonwealth had begun encroaching on areas of taxation that had previously been the sole domain of the States. In 1910, the Commonwealth imposed a progressive federal land tax to discourage the acquisition of multiple parcels of land by landholders </w:t>
      </w:r>
      <w:r w:rsidRPr="00091E78">
        <w:rPr>
          <w:szCs w:val="24"/>
        </w:rPr>
        <w:t>(Simpson and Figgis 1998, p. 4)</w:t>
      </w:r>
      <w:r>
        <w:t xml:space="preserve">. </w:t>
      </w:r>
    </w:p>
    <w:p w14:paraId="79549AED" w14:textId="77777777" w:rsidR="00F05DC7" w:rsidRDefault="00F05DC7">
      <w:pPr>
        <w:pStyle w:val="BodyText"/>
      </w:pPr>
      <w:r>
        <w:br w:type="page"/>
      </w:r>
    </w:p>
    <w:p w14:paraId="79549AEE" w14:textId="77777777" w:rsidR="00F05DC7" w:rsidRDefault="00F05DC7">
      <w:pPr>
        <w:pStyle w:val="BodyText"/>
        <w:sectPr w:rsidR="00F05DC7" w:rsidSect="00F05DC7">
          <w:headerReference w:type="even" r:id="rId73"/>
          <w:headerReference w:type="default" r:id="rId74"/>
          <w:footerReference w:type="even" r:id="rId75"/>
          <w:footerReference w:type="default" r:id="rId76"/>
          <w:type w:val="oddPage"/>
          <w:pgSz w:w="11907" w:h="16840" w:code="9"/>
          <w:pgMar w:top="1985" w:right="1304" w:bottom="1247" w:left="1814" w:header="1701" w:footer="397" w:gutter="0"/>
          <w:pgNumType w:chapSep="period"/>
          <w:cols w:space="720"/>
          <w:docGrid w:linePitch="326"/>
        </w:sectPr>
      </w:pPr>
    </w:p>
    <w:p w14:paraId="79549AEF"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F05DC7" w14:paraId="79549AF1" w14:textId="77777777" w:rsidTr="001113B1">
        <w:trPr>
          <w:tblHeader/>
        </w:trPr>
        <w:tc>
          <w:tcPr>
            <w:tcW w:w="5000" w:type="pct"/>
            <w:tcBorders>
              <w:top w:val="single" w:sz="6" w:space="0" w:color="78A22F"/>
              <w:left w:val="nil"/>
              <w:bottom w:val="nil"/>
              <w:right w:val="nil"/>
            </w:tcBorders>
            <w:shd w:val="clear" w:color="auto" w:fill="auto"/>
          </w:tcPr>
          <w:p w14:paraId="79549AF0" w14:textId="4B580108" w:rsidR="00F05DC7" w:rsidRPr="00176D3F" w:rsidRDefault="00F05DC7" w:rsidP="00A3786D">
            <w:pPr>
              <w:pStyle w:val="FigureTitle"/>
            </w:pPr>
            <w:r w:rsidRPr="00784A05">
              <w:rPr>
                <w:b w:val="0"/>
              </w:rPr>
              <w:t xml:space="preserve">Figure </w:t>
            </w:r>
            <w:r>
              <w:rPr>
                <w:b w:val="0"/>
              </w:rPr>
              <w:t>2.1</w:t>
            </w:r>
            <w:r>
              <w:tab/>
              <w:t>Evolution of HFE in Australia</w:t>
            </w:r>
          </w:p>
        </w:tc>
      </w:tr>
      <w:tr w:rsidR="00F05DC7" w:rsidRPr="00B1465D" w14:paraId="79549AF5" w14:textId="77777777" w:rsidTr="00A3786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layout."/>
            </w:tblPr>
            <w:tblGrid>
              <w:gridCol w:w="13153"/>
            </w:tblGrid>
            <w:tr w:rsidR="00F05DC7" w:rsidRPr="00B1465D" w14:paraId="79549AF3" w14:textId="77777777" w:rsidTr="00A3786D">
              <w:trPr>
                <w:tblHeader/>
                <w:jc w:val="center"/>
              </w:trPr>
              <w:tc>
                <w:tcPr>
                  <w:tcW w:w="5000" w:type="pct"/>
                  <w:tcBorders>
                    <w:top w:val="nil"/>
                    <w:bottom w:val="nil"/>
                  </w:tcBorders>
                </w:tcPr>
                <w:p w14:paraId="79549AF2" w14:textId="77777777" w:rsidR="00F05DC7" w:rsidRPr="00B1465D" w:rsidRDefault="00F05DC7" w:rsidP="00A3786D">
                  <w:pPr>
                    <w:pStyle w:val="Figure"/>
                    <w:spacing w:before="60" w:after="60"/>
                    <w:rPr>
                      <w:rFonts w:ascii="Arial" w:hAnsi="Arial" w:cs="Arial"/>
                      <w:sz w:val="18"/>
                      <w:szCs w:val="18"/>
                    </w:rPr>
                  </w:pPr>
                  <w:r w:rsidRPr="00DA50D0">
                    <w:rPr>
                      <w:rFonts w:ascii="Arial" w:hAnsi="Arial" w:cs="Arial"/>
                      <w:noProof/>
                      <w:sz w:val="18"/>
                      <w:szCs w:val="18"/>
                    </w:rPr>
                    <w:drawing>
                      <wp:inline distT="0" distB="0" distL="0" distR="0" wp14:anchorId="7954D5AB" wp14:editId="7954D5AC">
                        <wp:extent cx="7865110" cy="4055534"/>
                        <wp:effectExtent l="0" t="0" r="2540" b="2540"/>
                        <wp:docPr id="14" name="Picture 14" descr="This figure shows the evolution of Australia’s system of HFE over time. Initially, special grants were provided by the Commonwealth to Western Australia, South Australia, and Tasmania. In 1933, the Commonwealth Grants Commission was formed to provide advice to the Commonwealth on the amounts paid in special grants to the claimant States.&#10;A significant change in federal financial relations occurred in 1942, when the Commonwealth assumed sole responsibility for collecting income tax. In the ensuing decades, the Commonwealth provided general revenue assistance, initially tax reimbursement grants and then financial assistance grants, to all States. &#10;In 1976, the Fraser Government introduced income tax sharing grants for the States, and in 1981 the Commonwealth Grants Commission handed down its first report advising on tax sharing relativities, marking the commencement of full equalisation in Australia (although the relativities recommended by the CGC were not fully implemented).&#10;From 1985, tax sharing grants were replaced with financial assistance grants, and from 2000, the pool of funds used for horizontal fiscal equalisation has been the G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85062" cy="4065822"/>
                                </a:xfrm>
                                <a:prstGeom prst="rect">
                                  <a:avLst/>
                                </a:prstGeom>
                                <a:noFill/>
                                <a:ln>
                                  <a:noFill/>
                                </a:ln>
                              </pic:spPr>
                            </pic:pic>
                          </a:graphicData>
                        </a:graphic>
                      </wp:inline>
                    </w:drawing>
                  </w:r>
                </w:p>
              </w:tc>
            </w:tr>
          </w:tbl>
          <w:p w14:paraId="79549AF4" w14:textId="77777777" w:rsidR="00F05DC7" w:rsidRPr="00B1465D" w:rsidRDefault="00F05DC7" w:rsidP="00A3786D">
            <w:pPr>
              <w:pStyle w:val="Figure"/>
              <w:rPr>
                <w:rFonts w:ascii="Arial" w:hAnsi="Arial" w:cs="Arial"/>
                <w:sz w:val="18"/>
                <w:szCs w:val="18"/>
              </w:rPr>
            </w:pPr>
          </w:p>
        </w:tc>
      </w:tr>
      <w:tr w:rsidR="00F05DC7" w14:paraId="79549AF7" w14:textId="77777777" w:rsidTr="00A3786D">
        <w:tc>
          <w:tcPr>
            <w:tcW w:w="5000" w:type="pct"/>
            <w:tcBorders>
              <w:top w:val="nil"/>
              <w:left w:val="nil"/>
              <w:bottom w:val="single" w:sz="6" w:space="0" w:color="78A22F"/>
              <w:right w:val="nil"/>
            </w:tcBorders>
            <w:shd w:val="clear" w:color="auto" w:fill="auto"/>
          </w:tcPr>
          <w:p w14:paraId="79549AF6" w14:textId="77777777" w:rsidR="00F05DC7" w:rsidRDefault="00F05DC7" w:rsidP="00A3786D">
            <w:pPr>
              <w:pStyle w:val="Figurespace"/>
            </w:pPr>
          </w:p>
        </w:tc>
      </w:tr>
      <w:tr w:rsidR="00F05DC7" w:rsidRPr="000863A5" w14:paraId="79549AF9" w14:textId="77777777" w:rsidTr="00A3786D">
        <w:tc>
          <w:tcPr>
            <w:tcW w:w="5000" w:type="pct"/>
            <w:tcBorders>
              <w:top w:val="single" w:sz="6" w:space="0" w:color="78A22F"/>
              <w:left w:val="nil"/>
              <w:bottom w:val="nil"/>
              <w:right w:val="nil"/>
            </w:tcBorders>
          </w:tcPr>
          <w:p w14:paraId="79549AF8" w14:textId="77777777" w:rsidR="00F05DC7" w:rsidRPr="00626D32" w:rsidRDefault="00F05DC7" w:rsidP="00A3786D">
            <w:pPr>
              <w:pStyle w:val="BoxSpaceBelow"/>
            </w:pPr>
          </w:p>
        </w:tc>
      </w:tr>
    </w:tbl>
    <w:p w14:paraId="79549AFA" w14:textId="77777777" w:rsidR="00F05DC7" w:rsidRDefault="00F05DC7">
      <w:pPr>
        <w:pStyle w:val="BodyText"/>
      </w:pPr>
    </w:p>
    <w:p w14:paraId="79549AFB" w14:textId="77777777" w:rsidR="00F05DC7" w:rsidRDefault="00F05DC7">
      <w:pPr>
        <w:pStyle w:val="BodyText"/>
        <w:sectPr w:rsidR="00F05DC7" w:rsidSect="00F05DC7">
          <w:headerReference w:type="even" r:id="rId78"/>
          <w:headerReference w:type="default" r:id="rId79"/>
          <w:footerReference w:type="even" r:id="rId80"/>
          <w:footerReference w:type="default" r:id="rId81"/>
          <w:pgSz w:w="16840" w:h="11907" w:orient="landscape" w:code="9"/>
          <w:pgMar w:top="1814" w:right="1985" w:bottom="1304" w:left="1418" w:header="1701" w:footer="567" w:gutter="0"/>
          <w:pgNumType w:chapSep="period"/>
          <w:cols w:space="720"/>
          <w:docGrid w:linePitch="326"/>
        </w:sectPr>
      </w:pPr>
    </w:p>
    <w:p w14:paraId="79549AFC" w14:textId="0E45EBED" w:rsidR="00F05DC7" w:rsidRDefault="00F05DC7" w:rsidP="00A3786D">
      <w:pPr>
        <w:pStyle w:val="BodyText"/>
        <w:spacing w:before="0"/>
      </w:pPr>
      <w:r>
        <w:lastRenderedPageBreak/>
        <w:t xml:space="preserve">In 1915, the Commonwealth introduced its own income tax </w:t>
      </w:r>
      <w:r w:rsidRPr="00FF566A">
        <w:rPr>
          <w:szCs w:val="24"/>
        </w:rPr>
        <w:t>(Reinhardt and Steel 2006, p. 2)</w:t>
      </w:r>
      <w:r>
        <w:t>.</w:t>
      </w:r>
      <w:r w:rsidDel="006108B0">
        <w:t xml:space="preserve"> </w:t>
      </w:r>
      <w:r>
        <w:t xml:space="preserve">Despite the highly progressive nature of the tax, the Commonwealth collected almost twice as much income tax revenue as the States </w:t>
      </w:r>
      <w:r w:rsidRPr="005956F2">
        <w:rPr>
          <w:szCs w:val="24"/>
        </w:rPr>
        <w:t>(James 2001, p. 6)</w:t>
      </w:r>
      <w:r>
        <w:t xml:space="preserve">. The Commonwealth began to reduce its taxation of incomes from 1922, at the same time as State income tax revenues began to expand (figure 2.2), enabling the latter to finance new social spending </w:t>
      </w:r>
      <w:r w:rsidRPr="00FF566A">
        <w:rPr>
          <w:szCs w:val="24"/>
        </w:rPr>
        <w:t>(Smith 2015, pp. </w:t>
      </w:r>
      <w:r w:rsidRPr="003F7FA0">
        <w:rPr>
          <w:szCs w:val="24"/>
        </w:rPr>
        <w:t>32–33)</w:t>
      </w:r>
      <w:r>
        <w:t>.</w:t>
      </w:r>
    </w:p>
    <w:p w14:paraId="79549AFD"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AFF" w14:textId="77777777" w:rsidTr="00A3786D">
        <w:trPr>
          <w:tblHeader/>
        </w:trPr>
        <w:tc>
          <w:tcPr>
            <w:tcW w:w="5000" w:type="pct"/>
            <w:tcBorders>
              <w:top w:val="single" w:sz="6" w:space="0" w:color="78A22F"/>
              <w:left w:val="nil"/>
              <w:bottom w:val="nil"/>
              <w:right w:val="nil"/>
            </w:tcBorders>
            <w:shd w:val="clear" w:color="auto" w:fill="auto"/>
          </w:tcPr>
          <w:p w14:paraId="79549AFE" w14:textId="4AD438E7" w:rsidR="00F05DC7" w:rsidRPr="00EF3570" w:rsidRDefault="00F05DC7" w:rsidP="00A3786D">
            <w:pPr>
              <w:pStyle w:val="ListNumber"/>
              <w:keepNext/>
              <w:keepLines/>
              <w:numPr>
                <w:ilvl w:val="0"/>
                <w:numId w:val="0"/>
              </w:numPr>
              <w:spacing w:after="80" w:line="280" w:lineRule="exact"/>
              <w:ind w:left="1474" w:hanging="1474"/>
              <w:jc w:val="left"/>
              <w:rPr>
                <w:b/>
              </w:rPr>
            </w:pPr>
            <w:r w:rsidRPr="00EF3570">
              <w:rPr>
                <w:rFonts w:ascii="Arial" w:hAnsi="Arial" w:cs="Arial"/>
              </w:rPr>
              <w:t>Figure</w:t>
            </w:r>
            <w:r>
              <w:rPr>
                <w:rFonts w:ascii="Arial" w:hAnsi="Arial" w:cs="Arial"/>
              </w:rPr>
              <w:t> 2.2</w:t>
            </w:r>
            <w:r>
              <w:tab/>
            </w:r>
            <w:r>
              <w:rPr>
                <w:rFonts w:ascii="Arial" w:hAnsi="Arial" w:cs="Arial"/>
                <w:b/>
              </w:rPr>
              <w:t>S</w:t>
            </w:r>
            <w:r w:rsidRPr="00EF3570">
              <w:rPr>
                <w:rFonts w:ascii="Arial" w:hAnsi="Arial" w:cs="Arial"/>
                <w:b/>
              </w:rPr>
              <w:t xml:space="preserve">hare of </w:t>
            </w:r>
            <w:r>
              <w:rPr>
                <w:rFonts w:ascii="Arial" w:hAnsi="Arial" w:cs="Arial"/>
                <w:b/>
              </w:rPr>
              <w:t xml:space="preserve">income </w:t>
            </w:r>
            <w:r w:rsidRPr="00EF3570">
              <w:rPr>
                <w:rFonts w:ascii="Arial" w:hAnsi="Arial" w:cs="Arial"/>
                <w:b/>
              </w:rPr>
              <w:t>taxation</w:t>
            </w:r>
            <w:r>
              <w:rPr>
                <w:rFonts w:ascii="Arial" w:hAnsi="Arial" w:cs="Arial"/>
                <w:b/>
              </w:rPr>
              <w:t xml:space="preserve"> by level of government</w:t>
            </w:r>
            <w:r w:rsidRPr="00EF3570">
              <w:rPr>
                <w:rFonts w:ascii="Arial" w:hAnsi="Arial" w:cs="Arial"/>
                <w:b/>
              </w:rPr>
              <w:t>, 1901–45</w:t>
            </w:r>
          </w:p>
        </w:tc>
      </w:tr>
      <w:tr w:rsidR="00F05DC7" w14:paraId="79549B03"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9B01" w14:textId="77777777" w:rsidTr="00A3786D">
              <w:trPr>
                <w:tblHeader/>
                <w:jc w:val="center"/>
              </w:trPr>
              <w:tc>
                <w:tcPr>
                  <w:tcW w:w="5000" w:type="pct"/>
                  <w:tcBorders>
                    <w:top w:val="nil"/>
                    <w:bottom w:val="nil"/>
                  </w:tcBorders>
                </w:tcPr>
                <w:p w14:paraId="79549B00" w14:textId="77777777" w:rsidR="00F05DC7" w:rsidRPr="00B1465D" w:rsidRDefault="00F05DC7" w:rsidP="00A3786D">
                  <w:pPr>
                    <w:pStyle w:val="Figure"/>
                    <w:spacing w:before="60" w:after="60"/>
                    <w:rPr>
                      <w:rFonts w:ascii="Arial" w:hAnsi="Arial" w:cs="Arial"/>
                      <w:sz w:val="18"/>
                      <w:szCs w:val="18"/>
                    </w:rPr>
                  </w:pPr>
                  <w:r w:rsidRPr="00FA40B0">
                    <w:rPr>
                      <w:rFonts w:ascii="Arial" w:hAnsi="Arial" w:cs="Arial"/>
                      <w:noProof/>
                      <w:sz w:val="18"/>
                      <w:szCs w:val="18"/>
                    </w:rPr>
                    <w:drawing>
                      <wp:inline distT="0" distB="0" distL="0" distR="0" wp14:anchorId="7954D5AD" wp14:editId="7954D5AE">
                        <wp:extent cx="5579745" cy="3065145"/>
                        <wp:effectExtent l="0" t="0" r="1905" b="1905"/>
                        <wp:docPr id="16" name="Picture 16" descr="At Federation, only the States raised income tax, and this constituted about 5 per cent of total taxation. By 1920, the share of income tax in total taxation had reached 38 per cent, 27 percentage points of this being Commonwealth income taxation. &#10;In the 1920s and 1930s, the Commonwealth’s share of income taxation declined, while that of the States increased. By 1945, when only the Commonwealth collected income tax, income tax accounted for nearly 60 per cent of total tax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79745" cy="3065145"/>
                                </a:xfrm>
                                <a:prstGeom prst="rect">
                                  <a:avLst/>
                                </a:prstGeom>
                                <a:noFill/>
                                <a:ln>
                                  <a:noFill/>
                                </a:ln>
                              </pic:spPr>
                            </pic:pic>
                          </a:graphicData>
                        </a:graphic>
                      </wp:inline>
                    </w:drawing>
                  </w:r>
                </w:p>
              </w:tc>
            </w:tr>
          </w:tbl>
          <w:p w14:paraId="79549B02" w14:textId="77777777" w:rsidR="00F05DC7" w:rsidRDefault="00F05DC7" w:rsidP="00A3786D">
            <w:pPr>
              <w:pStyle w:val="Figure"/>
            </w:pPr>
          </w:p>
        </w:tc>
      </w:tr>
      <w:tr w:rsidR="00F05DC7" w:rsidRPr="00176D3F" w14:paraId="79549B05" w14:textId="77777777" w:rsidTr="00A3786D">
        <w:tc>
          <w:tcPr>
            <w:tcW w:w="5000" w:type="pct"/>
            <w:tcBorders>
              <w:top w:val="nil"/>
              <w:left w:val="nil"/>
              <w:bottom w:val="nil"/>
              <w:right w:val="nil"/>
            </w:tcBorders>
            <w:shd w:val="clear" w:color="auto" w:fill="auto"/>
          </w:tcPr>
          <w:p w14:paraId="79549B04" w14:textId="09EB0340" w:rsidR="00F05DC7" w:rsidRPr="00176D3F" w:rsidRDefault="00F05DC7" w:rsidP="00A3786D">
            <w:pPr>
              <w:pStyle w:val="Source"/>
            </w:pPr>
            <w:r>
              <w:rPr>
                <w:i/>
              </w:rPr>
              <w:t>S</w:t>
            </w:r>
            <w:r w:rsidRPr="00784A05">
              <w:rPr>
                <w:i/>
              </w:rPr>
              <w:t>ource</w:t>
            </w:r>
            <w:r w:rsidRPr="00176D3F">
              <w:t xml:space="preserve">: </w:t>
            </w:r>
            <w:r>
              <w:t xml:space="preserve">Smith </w:t>
            </w:r>
            <w:r w:rsidRPr="00310811">
              <w:rPr>
                <w:rFonts w:cs="Arial"/>
              </w:rPr>
              <w:t>(2015)</w:t>
            </w:r>
            <w:r>
              <w:t xml:space="preserve">, derived from Barnard </w:t>
            </w:r>
            <w:r w:rsidRPr="005956F2">
              <w:rPr>
                <w:rFonts w:cs="Arial"/>
              </w:rPr>
              <w:t>(1985)</w:t>
            </w:r>
            <w:r>
              <w:t>.</w:t>
            </w:r>
          </w:p>
        </w:tc>
      </w:tr>
      <w:tr w:rsidR="00F05DC7" w14:paraId="79549B07" w14:textId="77777777" w:rsidTr="00A3786D">
        <w:tc>
          <w:tcPr>
            <w:tcW w:w="5000" w:type="pct"/>
            <w:tcBorders>
              <w:top w:val="nil"/>
              <w:left w:val="nil"/>
              <w:bottom w:val="single" w:sz="6" w:space="0" w:color="78A22F"/>
              <w:right w:val="nil"/>
            </w:tcBorders>
            <w:shd w:val="clear" w:color="auto" w:fill="auto"/>
          </w:tcPr>
          <w:p w14:paraId="79549B06" w14:textId="77777777" w:rsidR="00F05DC7" w:rsidRDefault="00F05DC7" w:rsidP="00A3786D">
            <w:pPr>
              <w:pStyle w:val="Figurespace"/>
            </w:pPr>
          </w:p>
        </w:tc>
      </w:tr>
      <w:tr w:rsidR="00F05DC7" w:rsidRPr="000863A5" w14:paraId="79549B09" w14:textId="77777777" w:rsidTr="00A3786D">
        <w:tc>
          <w:tcPr>
            <w:tcW w:w="5000" w:type="pct"/>
            <w:tcBorders>
              <w:top w:val="single" w:sz="6" w:space="0" w:color="78A22F"/>
              <w:left w:val="nil"/>
              <w:bottom w:val="nil"/>
              <w:right w:val="nil"/>
            </w:tcBorders>
          </w:tcPr>
          <w:p w14:paraId="79549B08" w14:textId="77777777" w:rsidR="00F05DC7" w:rsidRPr="00626D32" w:rsidRDefault="00F05DC7" w:rsidP="00A3786D">
            <w:pPr>
              <w:pStyle w:val="BoxSpaceBelow"/>
            </w:pPr>
          </w:p>
        </w:tc>
      </w:tr>
    </w:tbl>
    <w:p w14:paraId="79549B0A" w14:textId="664E1F4C" w:rsidR="00F05DC7" w:rsidRDefault="00F05DC7" w:rsidP="00A3786D">
      <w:pPr>
        <w:pStyle w:val="BodyText"/>
      </w:pPr>
      <w:r>
        <w:t>With the onset of the Great Depression, Western Australia and Tasmania made more frequent claims for special grants, and the arbitrary nature of the special grants process became a larger political issue. This culminated in a referendum in Western Australia in 1933, in which approximately two</w:t>
      </w:r>
      <w:r>
        <w:noBreakHyphen/>
        <w:t xml:space="preserve">thirds of citizens voted for secession. The petition for secession was later rejected by a committee of the UK Parliament, which determined that the Australian Constitution could not be amended without the consent of the Commonwealth </w:t>
      </w:r>
      <w:r w:rsidRPr="00FD607E">
        <w:rPr>
          <w:szCs w:val="24"/>
        </w:rPr>
        <w:t>(Foley 2013)</w:t>
      </w:r>
      <w:r>
        <w:t>.</w:t>
      </w:r>
    </w:p>
    <w:p w14:paraId="79549B0B" w14:textId="44138B9B" w:rsidR="00F05DC7" w:rsidRDefault="00F05DC7" w:rsidP="00A3786D">
      <w:pPr>
        <w:pStyle w:val="BodyText"/>
      </w:pPr>
      <w:r>
        <w:t>Anti</w:t>
      </w:r>
      <w:r>
        <w:noBreakHyphen/>
        <w:t xml:space="preserve">federal feeling amongst the financially weaker States was also exacerbated by the offer of the Commonwealth to provide a special grant to South Australia in return for part of the State’s railway system, and to Western Australia in exchange for the transfer of a northwest portion of the State to the Commonwealth </w:t>
      </w:r>
      <w:r w:rsidRPr="00825ED5">
        <w:rPr>
          <w:szCs w:val="24"/>
        </w:rPr>
        <w:t>(Hancock and Smith 2001, p. 31)</w:t>
      </w:r>
      <w:r>
        <w:t>.</w:t>
      </w:r>
    </w:p>
    <w:p w14:paraId="79549B0C" w14:textId="77777777" w:rsidR="00F05DC7" w:rsidRDefault="00F05DC7" w:rsidP="00A3786D">
      <w:pPr>
        <w:pStyle w:val="Heading3"/>
      </w:pPr>
      <w:r>
        <w:lastRenderedPageBreak/>
        <w:t>Efforts towards formal equalisation</w:t>
      </w:r>
    </w:p>
    <w:p w14:paraId="79549B0D" w14:textId="77777777" w:rsidR="00F05DC7" w:rsidRDefault="00F05DC7" w:rsidP="00A3786D">
      <w:pPr>
        <w:pStyle w:val="BodyText"/>
      </w:pPr>
      <w:r>
        <w:t xml:space="preserve">The ad hoc nature of financial assistance provided to the States by the Commonwealth and ongoing discontent with the outcomes of Federation amongst Western Australia, Tasmania and South Australia created pressure for the development of a more formal and lasting solution. Consequently, the independent CGC was established in 1933, with the objective of inquiring into applications for financial assistance to the States and making recommendations to the Commonwealth on the level of grants to be paid (CGC, sub. 1, p. 3). </w:t>
      </w:r>
    </w:p>
    <w:p w14:paraId="79549B0E" w14:textId="78CEC661" w:rsidR="00F05DC7" w:rsidRDefault="00F05DC7" w:rsidP="00A3786D">
      <w:pPr>
        <w:pStyle w:val="BodyText"/>
      </w:pPr>
      <w:r>
        <w:t>The CGC handed down its first report in its first year, and in determining grants, essentially followed a principle of financial need, calculating grants such that claimant States would be able ‘</w:t>
      </w:r>
      <w:r w:rsidRPr="00AF7815">
        <w:rPr>
          <w:i/>
        </w:rPr>
        <w:t>with reasonable effort</w:t>
      </w:r>
      <w:r>
        <w:t xml:space="preserve">, to put their finances in about as good a position as that of the other States’ </w:t>
      </w:r>
      <w:r w:rsidRPr="00795774">
        <w:t>[emphasis added]</w:t>
      </w:r>
      <w:r>
        <w:t xml:space="preserve"> </w:t>
      </w:r>
      <w:r w:rsidRPr="00C734A3">
        <w:rPr>
          <w:szCs w:val="24"/>
        </w:rPr>
        <w:t>(CGC 1995, p. 30)</w:t>
      </w:r>
      <w:r>
        <w:t xml:space="preserve">. Grants were not intended, however, to equalise the incomes or living standards of individuals in the States </w:t>
      </w:r>
      <w:r w:rsidRPr="005956F2">
        <w:rPr>
          <w:szCs w:val="24"/>
        </w:rPr>
        <w:t>(CGC 2009, p. 31)</w:t>
      </w:r>
      <w:r>
        <w:t>.</w:t>
      </w:r>
    </w:p>
    <w:p w14:paraId="79549B0F" w14:textId="77777777" w:rsidR="00F05DC7" w:rsidRDefault="00F05DC7" w:rsidP="00A3786D">
      <w:pPr>
        <w:pStyle w:val="BodyText"/>
      </w:pPr>
      <w:r>
        <w:t>The CGC’s approach to determining grants was made clearer in its second and third reports (1935 and 1936 respectively). The second report argued that the only rationale for grants was the inability of a State to carry on without it, while the third report stated that:</w:t>
      </w:r>
    </w:p>
    <w:p w14:paraId="79549B10" w14:textId="6836CCC2" w:rsidR="00F05DC7" w:rsidRDefault="00F05DC7" w:rsidP="00A3786D">
      <w:pPr>
        <w:pStyle w:val="Quote"/>
      </w:pPr>
      <w:r>
        <w:t xml:space="preserve">Special grants are justified when a State through financial stress from any cause is unable to efficiently discharge its functions as a member of the federation and should be determined by the amount of help found necessary to make it possible for that State by reasonable effort to function at a standard not appreciably below that of other States. </w:t>
      </w:r>
      <w:r w:rsidR="009D6331" w:rsidRPr="009D6331">
        <w:rPr>
          <w:szCs w:val="24"/>
        </w:rPr>
        <w:t>(CGC 2016b, p. 4)</w:t>
      </w:r>
    </w:p>
    <w:p w14:paraId="79549B11" w14:textId="16F1AC24" w:rsidR="00F05DC7" w:rsidRDefault="00F05DC7" w:rsidP="00A3786D">
      <w:pPr>
        <w:pStyle w:val="BodyText"/>
      </w:pPr>
      <w:r>
        <w:t xml:space="preserve">The CGC’s second report also introduced the concept of a penalty for claimancy, reflecting the notion that claimant States would have to make a greater effort to raise revenue if they wished to be raised to financial equality with the ‘standard’ States, or achieve economies in the range and standard of government services. It also acted as a disincentive for making claims. The penalty for claimancy was expressed as a percentage of a State’s social services expenditure. During this time, penalties were also imposed for ‘past mistakes’ arising from what were deemed to be poor policy choices. These penalties were expressed as a percentage of State taxation. Both types of penalties were suspended in 1945, at the behest of claimant States, and were not revived </w:t>
      </w:r>
      <w:r w:rsidRPr="00364154">
        <w:rPr>
          <w:szCs w:val="24"/>
        </w:rPr>
        <w:t>(CGC 1995, p. 43)</w:t>
      </w:r>
      <w:r>
        <w:t>.</w:t>
      </w:r>
    </w:p>
    <w:p w14:paraId="79549B12" w14:textId="5F7E6974" w:rsidR="00F05DC7" w:rsidRDefault="00F05DC7" w:rsidP="00A3786D">
      <w:pPr>
        <w:pStyle w:val="BodyText"/>
      </w:pPr>
      <w:r>
        <w:t xml:space="preserve">Meanwhile, although the Commonwealth had begun to encroach on areas of taxation that had previously been the sole domain of the States from 1910, a major turning point in federal financial relations occurred in 1942, when the Commonwealth assumed sole responsibility for collecting income tax. Although initially instituted as a wartime measure, the Commonwealth continued to be the sole collector of income tax after the conclusion of the Second World War </w:t>
      </w:r>
      <w:r w:rsidRPr="009F5CB9">
        <w:rPr>
          <w:szCs w:val="24"/>
        </w:rPr>
        <w:t>(Twomey 2014, p. 15)</w:t>
      </w:r>
      <w:r>
        <w:t>.</w:t>
      </w:r>
    </w:p>
    <w:p w14:paraId="79549B13" w14:textId="77777777" w:rsidR="00F05DC7" w:rsidRDefault="00F05DC7" w:rsidP="00A3786D">
      <w:pPr>
        <w:pStyle w:val="Heading3"/>
      </w:pPr>
      <w:r>
        <w:t>Postwar taxation and spending arrangements</w:t>
      </w:r>
    </w:p>
    <w:p w14:paraId="79549B14" w14:textId="601AF33D" w:rsidR="00F05DC7" w:rsidRDefault="00F05DC7" w:rsidP="00A3786D">
      <w:pPr>
        <w:pStyle w:val="BodyText"/>
      </w:pPr>
      <w:r>
        <w:t xml:space="preserve">The introduction of uniform federal income taxation and the abolition of State income tax led to an increase in VFI. To address VFI, the Commonwealth paid tax reimbursement grants to all States (as distinct from special grants provided only to claimant States), until these </w:t>
      </w:r>
      <w:r>
        <w:lastRenderedPageBreak/>
        <w:t xml:space="preserve">were replaced by financial assistance grants in 1959. During this era, the significance of horizontal equalisation achieved by way of </w:t>
      </w:r>
      <w:r w:rsidRPr="000102D7">
        <w:t>special grants</w:t>
      </w:r>
      <w:r>
        <w:t xml:space="preserve"> gradually declined, to a large extent because tax reimbursement grants and financial assistance grants provided by the Commonwealth included significant elements of HFE </w:t>
      </w:r>
      <w:r w:rsidRPr="00A63D4C">
        <w:rPr>
          <w:szCs w:val="24"/>
        </w:rPr>
        <w:t>(Williams 2012, p. 145)</w:t>
      </w:r>
      <w:r>
        <w:t xml:space="preserve">. </w:t>
      </w:r>
    </w:p>
    <w:p w14:paraId="79549B15" w14:textId="4A31859B" w:rsidR="00F05DC7" w:rsidRDefault="00F05DC7" w:rsidP="00A3786D">
      <w:pPr>
        <w:pStyle w:val="BodyText"/>
      </w:pPr>
      <w:r>
        <w:t xml:space="preserve">After 1959, South Australia withdrew from claimancy, leaving Western Australia and Tasmania as the only claimant States. In 1968, after reaching an agreement with the Commonwealth on increasing its financial assistance grants, Western Australia also withdrew from claimancy </w:t>
      </w:r>
      <w:r w:rsidRPr="005956F2">
        <w:rPr>
          <w:szCs w:val="24"/>
        </w:rPr>
        <w:t>(CGC 1995, p. 68)</w:t>
      </w:r>
      <w:r>
        <w:t xml:space="preserve">. </w:t>
      </w:r>
    </w:p>
    <w:p w14:paraId="79549B16" w14:textId="7249ADBC" w:rsidR="00F05DC7" w:rsidRDefault="00F05DC7" w:rsidP="00A3786D">
      <w:pPr>
        <w:pStyle w:val="BodyText"/>
      </w:pPr>
      <w:r>
        <w:t xml:space="preserve">After a renegotiation of </w:t>
      </w:r>
      <w:r w:rsidRPr="000102D7">
        <w:t>financial assistance grants</w:t>
      </w:r>
      <w:r>
        <w:t xml:space="preserve"> in 1970, Queensland, South Australia and Tasmania all became free to apply for special grants, a right they chose to exercise. After receiving increases in their financial assistance grants, Tasmania and South Australia again withdrew from claimancy in 1974 and 1975 respectively, leaving Queensland as the only claimant State (which it remained until 1982) </w:t>
      </w:r>
      <w:r w:rsidRPr="00F450ED">
        <w:rPr>
          <w:szCs w:val="24"/>
        </w:rPr>
        <w:t>(CGC 1995, p. 68; figure 2.3)</w:t>
      </w:r>
      <w:r>
        <w:t>. As Williams </w:t>
      </w:r>
      <w:r w:rsidRPr="006650B7">
        <w:t>(2012)</w:t>
      </w:r>
      <w:r>
        <w:t xml:space="preserve"> observed, the CGC had, by this stage, ‘become a relatively minor player in the allocation of general revenue grants to the States’ (p. 152) (table 2.1).</w:t>
      </w:r>
    </w:p>
    <w:p w14:paraId="79549B17"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B1A" w14:textId="77777777" w:rsidTr="00A3786D">
        <w:trPr>
          <w:tblHeader/>
        </w:trPr>
        <w:tc>
          <w:tcPr>
            <w:tcW w:w="5000" w:type="pct"/>
            <w:tcBorders>
              <w:top w:val="single" w:sz="6" w:space="0" w:color="78A22F"/>
              <w:left w:val="nil"/>
              <w:bottom w:val="nil"/>
              <w:right w:val="nil"/>
            </w:tcBorders>
            <w:shd w:val="clear" w:color="auto" w:fill="auto"/>
          </w:tcPr>
          <w:p w14:paraId="79549B18" w14:textId="0832A307" w:rsidR="00F05DC7" w:rsidRDefault="00F05DC7" w:rsidP="00A3786D">
            <w:pPr>
              <w:pStyle w:val="FigureTitle"/>
            </w:pPr>
            <w:r w:rsidRPr="00784A05">
              <w:rPr>
                <w:b w:val="0"/>
              </w:rPr>
              <w:t xml:space="preserve">Figure </w:t>
            </w:r>
            <w:r>
              <w:rPr>
                <w:b w:val="0"/>
              </w:rPr>
              <w:t>2.3</w:t>
            </w:r>
            <w:r>
              <w:tab/>
              <w:t>Special grants paid to claimant States</w:t>
            </w:r>
            <w:r w:rsidRPr="00795774">
              <w:rPr>
                <w:rStyle w:val="NoteLabel"/>
                <w:b/>
              </w:rPr>
              <w:t>a</w:t>
            </w:r>
            <w:r>
              <w:t xml:space="preserve"> </w:t>
            </w:r>
          </w:p>
          <w:p w14:paraId="79549B19" w14:textId="77777777" w:rsidR="00F05DC7" w:rsidRPr="00C23D49" w:rsidRDefault="00F05DC7" w:rsidP="00A3786D">
            <w:pPr>
              <w:pStyle w:val="Subtitle"/>
              <w:rPr>
                <w:szCs w:val="20"/>
              </w:rPr>
            </w:pPr>
            <w:r>
              <w:rPr>
                <w:szCs w:val="20"/>
              </w:rPr>
              <w:t xml:space="preserve">$ </w:t>
            </w:r>
            <w:r w:rsidRPr="00C23D49">
              <w:rPr>
                <w:szCs w:val="20"/>
              </w:rPr>
              <w:t>2016</w:t>
            </w:r>
            <w:r>
              <w:rPr>
                <w:szCs w:val="20"/>
              </w:rPr>
              <w:noBreakHyphen/>
            </w:r>
            <w:r w:rsidRPr="00C23D49">
              <w:rPr>
                <w:szCs w:val="20"/>
              </w:rPr>
              <w:t>17</w:t>
            </w:r>
          </w:p>
        </w:tc>
      </w:tr>
      <w:tr w:rsidR="00F05DC7" w14:paraId="79549B1E" w14:textId="77777777" w:rsidTr="00A3786D">
        <w:tc>
          <w:tcPr>
            <w:tcW w:w="5000" w:type="pct"/>
            <w:tcBorders>
              <w:top w:val="nil"/>
              <w:left w:val="nil"/>
              <w:bottom w:val="nil"/>
              <w:right w:val="nil"/>
            </w:tcBorders>
            <w:shd w:val="clear" w:color="auto" w:fill="auto"/>
            <w:tcMar>
              <w:top w:w="28" w:type="dxa"/>
              <w:bottom w:w="28" w:type="dxa"/>
            </w:tcMar>
          </w:tcPr>
          <w:tbl>
            <w:tblPr>
              <w:tblW w:w="8432"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9B1C" w14:textId="77777777" w:rsidTr="00A3786D">
              <w:trPr>
                <w:trHeight w:val="4549"/>
                <w:tblHeader/>
                <w:jc w:val="center"/>
              </w:trPr>
              <w:tc>
                <w:tcPr>
                  <w:tcW w:w="5000" w:type="pct"/>
                  <w:tcBorders>
                    <w:top w:val="nil"/>
                    <w:bottom w:val="nil"/>
                  </w:tcBorders>
                </w:tcPr>
                <w:p w14:paraId="79549B1B" w14:textId="77777777" w:rsidR="00F05DC7" w:rsidRPr="00B1465D" w:rsidRDefault="00F05DC7" w:rsidP="00A3786D">
                  <w:pPr>
                    <w:pStyle w:val="Figure"/>
                    <w:spacing w:before="60" w:after="60"/>
                    <w:rPr>
                      <w:rFonts w:ascii="Arial" w:hAnsi="Arial" w:cs="Arial"/>
                      <w:sz w:val="18"/>
                      <w:szCs w:val="18"/>
                    </w:rPr>
                  </w:pPr>
                  <w:r w:rsidRPr="00EE31C4">
                    <w:rPr>
                      <w:rFonts w:ascii="Arial" w:hAnsi="Arial" w:cs="Arial"/>
                      <w:noProof/>
                      <w:sz w:val="18"/>
                      <w:szCs w:val="18"/>
                    </w:rPr>
                    <w:drawing>
                      <wp:inline distT="0" distB="0" distL="0" distR="0" wp14:anchorId="7954D5AF" wp14:editId="7954D5B0">
                        <wp:extent cx="5410200" cy="3124200"/>
                        <wp:effectExtent l="0" t="0" r="0" b="0"/>
                        <wp:docPr id="17" name="Picture 17" descr="From the inception of the CGC in 1933, Western Australia, South Australia, and Tasmania were the recipients of special grants, of gradually increasing amounts. They remained claimant States until 1960, when South Australia withdrew from claimancy. &#10;Western Australia withdrew from claimancy in 1968, while South Australia re entered claimancy in the early 1970s, to be joined by Queensland. By the late 1970s however, Queensland remained the only claimant State after renegotiations of Commonwealth financial assistance to the St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10200" cy="3124200"/>
                                </a:xfrm>
                                <a:prstGeom prst="rect">
                                  <a:avLst/>
                                </a:prstGeom>
                                <a:noFill/>
                                <a:ln>
                                  <a:noFill/>
                                </a:ln>
                              </pic:spPr>
                            </pic:pic>
                          </a:graphicData>
                        </a:graphic>
                      </wp:inline>
                    </w:drawing>
                  </w:r>
                </w:p>
              </w:tc>
            </w:tr>
          </w:tbl>
          <w:p w14:paraId="79549B1D" w14:textId="77777777" w:rsidR="00F05DC7" w:rsidRDefault="00F05DC7" w:rsidP="00A3786D">
            <w:pPr>
              <w:pStyle w:val="Figure"/>
            </w:pPr>
          </w:p>
        </w:tc>
      </w:tr>
      <w:tr w:rsidR="00F05DC7" w:rsidRPr="00176D3F" w14:paraId="79549B20" w14:textId="77777777" w:rsidTr="00A3786D">
        <w:tc>
          <w:tcPr>
            <w:tcW w:w="5000" w:type="pct"/>
            <w:tcBorders>
              <w:top w:val="nil"/>
              <w:left w:val="nil"/>
              <w:bottom w:val="nil"/>
              <w:right w:val="nil"/>
            </w:tcBorders>
            <w:shd w:val="clear" w:color="auto" w:fill="auto"/>
          </w:tcPr>
          <w:p w14:paraId="79549B1F" w14:textId="77777777" w:rsidR="00F05DC7" w:rsidRPr="00176D3F" w:rsidRDefault="00F05DC7" w:rsidP="00A3786D">
            <w:pPr>
              <w:pStyle w:val="Note"/>
            </w:pPr>
            <w:r>
              <w:rPr>
                <w:rStyle w:val="NoteLabel"/>
              </w:rPr>
              <w:t>a</w:t>
            </w:r>
            <w:r>
              <w:t xml:space="preserve"> Figure does not show special grants that were paid to Western Australia, South Australia and Tasmania prior to 1933</w:t>
            </w:r>
            <w:r>
              <w:noBreakHyphen/>
              <w:t>34.</w:t>
            </w:r>
          </w:p>
        </w:tc>
      </w:tr>
      <w:tr w:rsidR="00F05DC7" w:rsidRPr="00176D3F" w14:paraId="79549B22" w14:textId="77777777" w:rsidTr="00A3786D">
        <w:tc>
          <w:tcPr>
            <w:tcW w:w="5000" w:type="pct"/>
            <w:tcBorders>
              <w:top w:val="nil"/>
              <w:left w:val="nil"/>
              <w:bottom w:val="nil"/>
              <w:right w:val="nil"/>
            </w:tcBorders>
            <w:shd w:val="clear" w:color="auto" w:fill="auto"/>
          </w:tcPr>
          <w:p w14:paraId="79549B21" w14:textId="5A788740" w:rsidR="00F05DC7" w:rsidRPr="00176D3F" w:rsidRDefault="00F05DC7" w:rsidP="00A3786D">
            <w:pPr>
              <w:pStyle w:val="Source"/>
            </w:pPr>
            <w:r>
              <w:rPr>
                <w:i/>
              </w:rPr>
              <w:t>S</w:t>
            </w:r>
            <w:r w:rsidRPr="00784A05">
              <w:rPr>
                <w:i/>
              </w:rPr>
              <w:t>ource</w:t>
            </w:r>
            <w:r>
              <w:rPr>
                <w:i/>
              </w:rPr>
              <w:t>s</w:t>
            </w:r>
            <w:r w:rsidRPr="00176D3F">
              <w:t xml:space="preserve">: </w:t>
            </w:r>
            <w:r>
              <w:t xml:space="preserve">Productivity Commission estimates based on CGC </w:t>
            </w:r>
            <w:r w:rsidR="009D6331" w:rsidRPr="009D6331">
              <w:rPr>
                <w:rFonts w:cs="Arial"/>
              </w:rPr>
              <w:t>(2017c)</w:t>
            </w:r>
            <w:r>
              <w:t xml:space="preserve">; RBA </w:t>
            </w:r>
            <w:r w:rsidR="009D6331" w:rsidRPr="009D6331">
              <w:rPr>
                <w:rFonts w:cs="Arial"/>
              </w:rPr>
              <w:t>(2017b)</w:t>
            </w:r>
            <w:r>
              <w:t>.</w:t>
            </w:r>
          </w:p>
        </w:tc>
      </w:tr>
      <w:tr w:rsidR="00F05DC7" w14:paraId="79549B24" w14:textId="77777777" w:rsidTr="00A3786D">
        <w:tc>
          <w:tcPr>
            <w:tcW w:w="5000" w:type="pct"/>
            <w:tcBorders>
              <w:top w:val="nil"/>
              <w:left w:val="nil"/>
              <w:bottom w:val="single" w:sz="6" w:space="0" w:color="78A22F"/>
              <w:right w:val="nil"/>
            </w:tcBorders>
            <w:shd w:val="clear" w:color="auto" w:fill="auto"/>
          </w:tcPr>
          <w:p w14:paraId="79549B23" w14:textId="77777777" w:rsidR="00F05DC7" w:rsidRDefault="00F05DC7" w:rsidP="00A3786D">
            <w:pPr>
              <w:pStyle w:val="Figurespace"/>
            </w:pPr>
          </w:p>
        </w:tc>
      </w:tr>
      <w:tr w:rsidR="00F05DC7" w:rsidRPr="000863A5" w14:paraId="79549B26" w14:textId="77777777" w:rsidTr="00A3786D">
        <w:tc>
          <w:tcPr>
            <w:tcW w:w="5000" w:type="pct"/>
            <w:tcBorders>
              <w:top w:val="single" w:sz="6" w:space="0" w:color="78A22F"/>
              <w:left w:val="nil"/>
              <w:bottom w:val="nil"/>
              <w:right w:val="nil"/>
            </w:tcBorders>
          </w:tcPr>
          <w:p w14:paraId="79549B25" w14:textId="77777777" w:rsidR="00F05DC7" w:rsidRPr="00626D32" w:rsidRDefault="00F05DC7" w:rsidP="00A3786D">
            <w:pPr>
              <w:pStyle w:val="BoxSpaceBelow"/>
            </w:pPr>
          </w:p>
        </w:tc>
      </w:tr>
    </w:tbl>
    <w:p w14:paraId="79549B27" w14:textId="1CA4D68D" w:rsidR="00F05DC7" w:rsidRDefault="00F05DC7" w:rsidP="00A3786D">
      <w:pPr>
        <w:pStyle w:val="BodyText"/>
      </w:pPr>
      <w:r>
        <w:t xml:space="preserve">In conjunction with the fluctuating level of </w:t>
      </w:r>
      <w:r w:rsidRPr="000102D7">
        <w:t xml:space="preserve">special </w:t>
      </w:r>
      <w:r>
        <w:t xml:space="preserve">grants provided on the recommendation of the CGC, specific purpose payments were also increasingly used by the Commonwealth </w:t>
      </w:r>
      <w:r>
        <w:lastRenderedPageBreak/>
        <w:t xml:space="preserve">as a means of providing financial assistance to the States and influencing the delivery of services and infrastructure within States (table 2.2). Although the Commonwealth had used section 96 of the Constitution to make tied grants to the States as early as 1923 (for roads), the importance of specific purpose payments increased rapidly in the late 1960s and early 1970s, especially after the election of the Whitlam Government </w:t>
      </w:r>
      <w:r w:rsidRPr="004E1FCB">
        <w:rPr>
          <w:szCs w:val="24"/>
        </w:rPr>
        <w:t>(Gray 2017, p. 6,11)</w:t>
      </w:r>
      <w:r>
        <w:t xml:space="preserve">. </w:t>
      </w:r>
    </w:p>
    <w:p w14:paraId="79549B28"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9B2B" w14:textId="77777777" w:rsidTr="00A3786D">
        <w:tc>
          <w:tcPr>
            <w:tcW w:w="5000" w:type="pct"/>
            <w:tcBorders>
              <w:top w:val="single" w:sz="6" w:space="0" w:color="78A22F"/>
              <w:left w:val="nil"/>
              <w:bottom w:val="nil"/>
              <w:right w:val="nil"/>
            </w:tcBorders>
            <w:shd w:val="clear" w:color="auto" w:fill="auto"/>
          </w:tcPr>
          <w:p w14:paraId="79549B29" w14:textId="642A2A33" w:rsidR="00F05DC7" w:rsidRDefault="00F05DC7" w:rsidP="00A3786D">
            <w:pPr>
              <w:pStyle w:val="TableTitle"/>
            </w:pPr>
            <w:r>
              <w:rPr>
                <w:b w:val="0"/>
              </w:rPr>
              <w:t>Table 2.</w:t>
            </w:r>
            <w:r>
              <w:rPr>
                <w:b w:val="0"/>
                <w:noProof/>
              </w:rPr>
              <w:t>1</w:t>
            </w:r>
            <w:r>
              <w:tab/>
              <w:t>Special grants as a share of State revenues</w:t>
            </w:r>
          </w:p>
          <w:p w14:paraId="79549B2A" w14:textId="77777777" w:rsidR="00F05DC7" w:rsidRPr="002F24A4" w:rsidRDefault="00F05DC7" w:rsidP="00A3786D">
            <w:pPr>
              <w:pStyle w:val="Subtitle"/>
            </w:pPr>
            <w:r>
              <w:t>Per cent</w:t>
            </w:r>
          </w:p>
        </w:tc>
      </w:tr>
      <w:tr w:rsidR="00F05DC7" w14:paraId="79549B63" w14:textId="77777777" w:rsidTr="00A3786D">
        <w:trPr>
          <w:trHeight w:val="273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7"/>
              <w:gridCol w:w="1807"/>
              <w:gridCol w:w="1807"/>
              <w:gridCol w:w="1806"/>
              <w:gridCol w:w="1808"/>
            </w:tblGrid>
            <w:tr w:rsidR="00F05DC7" w14:paraId="79549B31" w14:textId="77777777" w:rsidTr="00A3786D">
              <w:trPr>
                <w:tblHeader/>
              </w:trPr>
              <w:tc>
                <w:tcPr>
                  <w:tcW w:w="750" w:type="pct"/>
                  <w:tcBorders>
                    <w:top w:val="single" w:sz="6" w:space="0" w:color="BFBFBF"/>
                    <w:bottom w:val="single" w:sz="6" w:space="0" w:color="BFBFBF"/>
                  </w:tcBorders>
                  <w:shd w:val="clear" w:color="auto" w:fill="auto"/>
                  <w:tcMar>
                    <w:top w:w="28" w:type="dxa"/>
                  </w:tcMar>
                </w:tcPr>
                <w:p w14:paraId="79549B2C" w14:textId="77777777" w:rsidR="00F05DC7" w:rsidRDefault="00F05DC7" w:rsidP="00A3786D">
                  <w:pPr>
                    <w:pStyle w:val="TableColumnHeading"/>
                    <w:jc w:val="left"/>
                  </w:pPr>
                </w:p>
              </w:tc>
              <w:tc>
                <w:tcPr>
                  <w:tcW w:w="1062" w:type="pct"/>
                  <w:tcBorders>
                    <w:top w:val="single" w:sz="6" w:space="0" w:color="BFBFBF"/>
                    <w:bottom w:val="single" w:sz="6" w:space="0" w:color="BFBFBF"/>
                  </w:tcBorders>
                </w:tcPr>
                <w:p w14:paraId="79549B2D" w14:textId="77777777" w:rsidR="00F05DC7" w:rsidRDefault="00F05DC7" w:rsidP="00A3786D">
                  <w:pPr>
                    <w:pStyle w:val="TableColumnHeading"/>
                  </w:pPr>
                  <w:r>
                    <w:t>Queensland</w:t>
                  </w:r>
                </w:p>
              </w:tc>
              <w:tc>
                <w:tcPr>
                  <w:tcW w:w="1062" w:type="pct"/>
                  <w:tcBorders>
                    <w:top w:val="single" w:sz="6" w:space="0" w:color="BFBFBF"/>
                    <w:bottom w:val="single" w:sz="6" w:space="0" w:color="BFBFBF"/>
                  </w:tcBorders>
                  <w:shd w:val="clear" w:color="auto" w:fill="auto"/>
                  <w:tcMar>
                    <w:top w:w="28" w:type="dxa"/>
                  </w:tcMar>
                </w:tcPr>
                <w:p w14:paraId="79549B2E" w14:textId="77777777" w:rsidR="00F05DC7" w:rsidRDefault="00F05DC7" w:rsidP="00A3786D">
                  <w:pPr>
                    <w:pStyle w:val="TableColumnHeading"/>
                  </w:pPr>
                  <w:r>
                    <w:t>Western Australia</w:t>
                  </w:r>
                </w:p>
              </w:tc>
              <w:tc>
                <w:tcPr>
                  <w:tcW w:w="1062" w:type="pct"/>
                  <w:tcBorders>
                    <w:top w:val="single" w:sz="6" w:space="0" w:color="BFBFBF"/>
                    <w:bottom w:val="single" w:sz="6" w:space="0" w:color="BFBFBF"/>
                  </w:tcBorders>
                </w:tcPr>
                <w:p w14:paraId="79549B2F" w14:textId="77777777" w:rsidR="00F05DC7" w:rsidRDefault="00F05DC7" w:rsidP="00A3786D">
                  <w:pPr>
                    <w:pStyle w:val="TableColumnHeading"/>
                    <w:ind w:right="28"/>
                  </w:pPr>
                  <w:r>
                    <w:t>South Australia</w:t>
                  </w:r>
                </w:p>
              </w:tc>
              <w:tc>
                <w:tcPr>
                  <w:tcW w:w="1063" w:type="pct"/>
                  <w:tcBorders>
                    <w:top w:val="single" w:sz="6" w:space="0" w:color="BFBFBF"/>
                    <w:bottom w:val="single" w:sz="6" w:space="0" w:color="BFBFBF"/>
                  </w:tcBorders>
                  <w:shd w:val="clear" w:color="auto" w:fill="auto"/>
                  <w:tcMar>
                    <w:top w:w="28" w:type="dxa"/>
                  </w:tcMar>
                </w:tcPr>
                <w:p w14:paraId="79549B30" w14:textId="77777777" w:rsidR="00F05DC7" w:rsidRDefault="00F05DC7" w:rsidP="00A3786D">
                  <w:pPr>
                    <w:pStyle w:val="TableColumnHeading"/>
                    <w:ind w:right="28"/>
                  </w:pPr>
                  <w:r>
                    <w:t>Tasmania</w:t>
                  </w:r>
                </w:p>
              </w:tc>
            </w:tr>
            <w:tr w:rsidR="00F05DC7" w14:paraId="79549B37" w14:textId="77777777" w:rsidTr="00A3786D">
              <w:tc>
                <w:tcPr>
                  <w:tcW w:w="750" w:type="pct"/>
                  <w:tcBorders>
                    <w:top w:val="single" w:sz="6" w:space="0" w:color="BFBFBF"/>
                  </w:tcBorders>
                </w:tcPr>
                <w:p w14:paraId="79549B32" w14:textId="77777777" w:rsidR="00F05DC7" w:rsidRDefault="00F05DC7" w:rsidP="00A3786D">
                  <w:pPr>
                    <w:pStyle w:val="TableUnitsRow"/>
                    <w:jc w:val="left"/>
                  </w:pPr>
                  <w:r>
                    <w:t>1910</w:t>
                  </w:r>
                  <w:r>
                    <w:noBreakHyphen/>
                    <w:t>11</w:t>
                  </w:r>
                </w:p>
              </w:tc>
              <w:tc>
                <w:tcPr>
                  <w:tcW w:w="1062" w:type="pct"/>
                  <w:tcBorders>
                    <w:top w:val="single" w:sz="6" w:space="0" w:color="BFBFBF"/>
                  </w:tcBorders>
                </w:tcPr>
                <w:p w14:paraId="79549B33" w14:textId="77777777" w:rsidR="00F05DC7" w:rsidRDefault="00F05DC7" w:rsidP="00A3786D">
                  <w:pPr>
                    <w:pStyle w:val="TableUnitsRow"/>
                  </w:pPr>
                  <w:r>
                    <w:t>0.0</w:t>
                  </w:r>
                </w:p>
              </w:tc>
              <w:tc>
                <w:tcPr>
                  <w:tcW w:w="1062" w:type="pct"/>
                  <w:tcBorders>
                    <w:top w:val="single" w:sz="6" w:space="0" w:color="BFBFBF"/>
                  </w:tcBorders>
                </w:tcPr>
                <w:p w14:paraId="79549B34" w14:textId="77777777" w:rsidR="00F05DC7" w:rsidRDefault="00F05DC7" w:rsidP="00A3786D">
                  <w:pPr>
                    <w:pStyle w:val="TableUnitsRow"/>
                  </w:pPr>
                  <w:r>
                    <w:t>6.5</w:t>
                  </w:r>
                </w:p>
              </w:tc>
              <w:tc>
                <w:tcPr>
                  <w:tcW w:w="1062" w:type="pct"/>
                  <w:tcBorders>
                    <w:top w:val="single" w:sz="6" w:space="0" w:color="BFBFBF"/>
                  </w:tcBorders>
                </w:tcPr>
                <w:p w14:paraId="79549B35" w14:textId="77777777" w:rsidR="00F05DC7" w:rsidRDefault="00F05DC7" w:rsidP="00A3786D">
                  <w:pPr>
                    <w:pStyle w:val="TableUnitsRow"/>
                    <w:ind w:right="28"/>
                  </w:pPr>
                  <w:r>
                    <w:t>0.0</w:t>
                  </w:r>
                </w:p>
              </w:tc>
              <w:tc>
                <w:tcPr>
                  <w:tcW w:w="1063" w:type="pct"/>
                  <w:tcBorders>
                    <w:top w:val="single" w:sz="6" w:space="0" w:color="BFBFBF"/>
                  </w:tcBorders>
                </w:tcPr>
                <w:p w14:paraId="79549B36" w14:textId="77777777" w:rsidR="00F05DC7" w:rsidRDefault="00F05DC7" w:rsidP="00A3786D">
                  <w:pPr>
                    <w:pStyle w:val="TableUnitsRow"/>
                    <w:ind w:right="28"/>
                  </w:pPr>
                  <w:r>
                    <w:t>0.0</w:t>
                  </w:r>
                </w:p>
              </w:tc>
            </w:tr>
            <w:tr w:rsidR="00F05DC7" w14:paraId="79549B3D" w14:textId="77777777" w:rsidTr="00A3786D">
              <w:tc>
                <w:tcPr>
                  <w:tcW w:w="750" w:type="pct"/>
                </w:tcPr>
                <w:p w14:paraId="79549B38" w14:textId="77777777" w:rsidR="00F05DC7" w:rsidRDefault="00F05DC7" w:rsidP="00A3786D">
                  <w:pPr>
                    <w:pStyle w:val="TableBodyText"/>
                    <w:jc w:val="left"/>
                  </w:pPr>
                  <w:r>
                    <w:t>1920</w:t>
                  </w:r>
                  <w:r>
                    <w:noBreakHyphen/>
                    <w:t>21</w:t>
                  </w:r>
                </w:p>
              </w:tc>
              <w:tc>
                <w:tcPr>
                  <w:tcW w:w="1062" w:type="pct"/>
                </w:tcPr>
                <w:p w14:paraId="79549B39" w14:textId="77777777" w:rsidR="00F05DC7" w:rsidRDefault="00F05DC7" w:rsidP="00A3786D">
                  <w:pPr>
                    <w:pStyle w:val="TableBodyText"/>
                  </w:pPr>
                  <w:r>
                    <w:t>0.0</w:t>
                  </w:r>
                </w:p>
              </w:tc>
              <w:tc>
                <w:tcPr>
                  <w:tcW w:w="1062" w:type="pct"/>
                </w:tcPr>
                <w:p w14:paraId="79549B3A" w14:textId="77777777" w:rsidR="00F05DC7" w:rsidRDefault="00F05DC7" w:rsidP="00A3786D">
                  <w:pPr>
                    <w:pStyle w:val="TableBodyText"/>
                  </w:pPr>
                  <w:r>
                    <w:t>2.2</w:t>
                  </w:r>
                </w:p>
              </w:tc>
              <w:tc>
                <w:tcPr>
                  <w:tcW w:w="1062" w:type="pct"/>
                </w:tcPr>
                <w:p w14:paraId="79549B3B" w14:textId="77777777" w:rsidR="00F05DC7" w:rsidRDefault="00F05DC7" w:rsidP="00A3786D">
                  <w:pPr>
                    <w:pStyle w:val="TableBodyText"/>
                    <w:ind w:right="28"/>
                  </w:pPr>
                  <w:r>
                    <w:t>0.0</w:t>
                  </w:r>
                </w:p>
              </w:tc>
              <w:tc>
                <w:tcPr>
                  <w:tcW w:w="1063" w:type="pct"/>
                </w:tcPr>
                <w:p w14:paraId="79549B3C" w14:textId="77777777" w:rsidR="00F05DC7" w:rsidRDefault="00F05DC7" w:rsidP="00A3786D">
                  <w:pPr>
                    <w:pStyle w:val="TableBodyText"/>
                    <w:ind w:right="28"/>
                  </w:pPr>
                  <w:r>
                    <w:t>4.3</w:t>
                  </w:r>
                </w:p>
              </w:tc>
            </w:tr>
            <w:tr w:rsidR="00F05DC7" w14:paraId="79549B43" w14:textId="77777777" w:rsidTr="00A3786D">
              <w:tc>
                <w:tcPr>
                  <w:tcW w:w="750" w:type="pct"/>
                </w:tcPr>
                <w:p w14:paraId="79549B3E" w14:textId="77777777" w:rsidR="00F05DC7" w:rsidRDefault="00F05DC7" w:rsidP="00A3786D">
                  <w:pPr>
                    <w:pStyle w:val="TableBodyText"/>
                    <w:jc w:val="left"/>
                  </w:pPr>
                  <w:r>
                    <w:t>1930</w:t>
                  </w:r>
                  <w:r>
                    <w:noBreakHyphen/>
                    <w:t>31</w:t>
                  </w:r>
                </w:p>
              </w:tc>
              <w:tc>
                <w:tcPr>
                  <w:tcW w:w="1062" w:type="pct"/>
                </w:tcPr>
                <w:p w14:paraId="79549B3F" w14:textId="77777777" w:rsidR="00F05DC7" w:rsidRDefault="00F05DC7" w:rsidP="00A3786D">
                  <w:pPr>
                    <w:pStyle w:val="TableBodyText"/>
                  </w:pPr>
                  <w:r>
                    <w:t>0.0</w:t>
                  </w:r>
                </w:p>
              </w:tc>
              <w:tc>
                <w:tcPr>
                  <w:tcW w:w="1062" w:type="pct"/>
                </w:tcPr>
                <w:p w14:paraId="79549B40" w14:textId="77777777" w:rsidR="00F05DC7" w:rsidRDefault="00F05DC7" w:rsidP="00A3786D">
                  <w:pPr>
                    <w:pStyle w:val="TableBodyText"/>
                  </w:pPr>
                  <w:r>
                    <w:t>3.5</w:t>
                  </w:r>
                </w:p>
              </w:tc>
              <w:tc>
                <w:tcPr>
                  <w:tcW w:w="1062" w:type="pct"/>
                </w:tcPr>
                <w:p w14:paraId="79549B41" w14:textId="77777777" w:rsidR="00F05DC7" w:rsidRDefault="00F05DC7" w:rsidP="00A3786D">
                  <w:pPr>
                    <w:pStyle w:val="TableBodyText"/>
                    <w:ind w:right="28"/>
                  </w:pPr>
                  <w:r>
                    <w:t>10.9</w:t>
                  </w:r>
                </w:p>
              </w:tc>
              <w:tc>
                <w:tcPr>
                  <w:tcW w:w="1063" w:type="pct"/>
                </w:tcPr>
                <w:p w14:paraId="79549B42" w14:textId="77777777" w:rsidR="00F05DC7" w:rsidRDefault="00F05DC7" w:rsidP="00A3786D">
                  <w:pPr>
                    <w:pStyle w:val="TableBodyText"/>
                    <w:ind w:right="28"/>
                  </w:pPr>
                  <w:r>
                    <w:t>9.6</w:t>
                  </w:r>
                </w:p>
              </w:tc>
            </w:tr>
            <w:tr w:rsidR="00F05DC7" w14:paraId="79549B49" w14:textId="77777777" w:rsidTr="00A3786D">
              <w:tc>
                <w:tcPr>
                  <w:tcW w:w="750" w:type="pct"/>
                </w:tcPr>
                <w:p w14:paraId="79549B44" w14:textId="77777777" w:rsidR="00F05DC7" w:rsidRDefault="00F05DC7" w:rsidP="00A3786D">
                  <w:pPr>
                    <w:pStyle w:val="TableBodyText"/>
                    <w:jc w:val="left"/>
                  </w:pPr>
                  <w:r>
                    <w:t>1940</w:t>
                  </w:r>
                  <w:r>
                    <w:noBreakHyphen/>
                    <w:t>41</w:t>
                  </w:r>
                </w:p>
              </w:tc>
              <w:tc>
                <w:tcPr>
                  <w:tcW w:w="1062" w:type="pct"/>
                </w:tcPr>
                <w:p w14:paraId="79549B45" w14:textId="77777777" w:rsidR="00F05DC7" w:rsidRDefault="00F05DC7" w:rsidP="00A3786D">
                  <w:pPr>
                    <w:pStyle w:val="TableBodyText"/>
                  </w:pPr>
                  <w:r>
                    <w:t>0.0</w:t>
                  </w:r>
                </w:p>
              </w:tc>
              <w:tc>
                <w:tcPr>
                  <w:tcW w:w="1062" w:type="pct"/>
                </w:tcPr>
                <w:p w14:paraId="79549B46" w14:textId="77777777" w:rsidR="00F05DC7" w:rsidRDefault="00F05DC7" w:rsidP="00A3786D">
                  <w:pPr>
                    <w:pStyle w:val="TableBodyText"/>
                  </w:pPr>
                  <w:r>
                    <w:t>5.7</w:t>
                  </w:r>
                </w:p>
              </w:tc>
              <w:tc>
                <w:tcPr>
                  <w:tcW w:w="1062" w:type="pct"/>
                </w:tcPr>
                <w:p w14:paraId="79549B47" w14:textId="77777777" w:rsidR="00F05DC7" w:rsidRDefault="00F05DC7" w:rsidP="00A3786D">
                  <w:pPr>
                    <w:pStyle w:val="TableBodyText"/>
                    <w:ind w:right="28"/>
                  </w:pPr>
                  <w:r>
                    <w:t>7.7</w:t>
                  </w:r>
                </w:p>
              </w:tc>
              <w:tc>
                <w:tcPr>
                  <w:tcW w:w="1063" w:type="pct"/>
                </w:tcPr>
                <w:p w14:paraId="79549B48" w14:textId="77777777" w:rsidR="00F05DC7" w:rsidRDefault="00F05DC7" w:rsidP="00A3786D">
                  <w:pPr>
                    <w:pStyle w:val="TableBodyText"/>
                    <w:ind w:right="28"/>
                  </w:pPr>
                  <w:r>
                    <w:t>13.7</w:t>
                  </w:r>
                </w:p>
              </w:tc>
            </w:tr>
            <w:tr w:rsidR="00F05DC7" w14:paraId="79549B4F" w14:textId="77777777" w:rsidTr="00A3786D">
              <w:tc>
                <w:tcPr>
                  <w:tcW w:w="750" w:type="pct"/>
                </w:tcPr>
                <w:p w14:paraId="79549B4A" w14:textId="77777777" w:rsidR="00F05DC7" w:rsidRDefault="00F05DC7" w:rsidP="00A3786D">
                  <w:pPr>
                    <w:pStyle w:val="TableBodyText"/>
                    <w:jc w:val="left"/>
                  </w:pPr>
                  <w:r>
                    <w:t>1950</w:t>
                  </w:r>
                  <w:r>
                    <w:noBreakHyphen/>
                    <w:t>51</w:t>
                  </w:r>
                </w:p>
              </w:tc>
              <w:tc>
                <w:tcPr>
                  <w:tcW w:w="1062" w:type="pct"/>
                </w:tcPr>
                <w:p w14:paraId="79549B4B" w14:textId="77777777" w:rsidR="00F05DC7" w:rsidRDefault="00F05DC7" w:rsidP="00A3786D">
                  <w:pPr>
                    <w:pStyle w:val="TableBodyText"/>
                  </w:pPr>
                  <w:r>
                    <w:t>0.0</w:t>
                  </w:r>
                </w:p>
              </w:tc>
              <w:tc>
                <w:tcPr>
                  <w:tcW w:w="1062" w:type="pct"/>
                </w:tcPr>
                <w:p w14:paraId="79549B4C" w14:textId="77777777" w:rsidR="00F05DC7" w:rsidRDefault="00F05DC7" w:rsidP="00A3786D">
                  <w:pPr>
                    <w:pStyle w:val="TableBodyText"/>
                  </w:pPr>
                  <w:r>
                    <w:t>20.2</w:t>
                  </w:r>
                </w:p>
              </w:tc>
              <w:tc>
                <w:tcPr>
                  <w:tcW w:w="1062" w:type="pct"/>
                </w:tcPr>
                <w:p w14:paraId="79549B4D" w14:textId="77777777" w:rsidR="00F05DC7" w:rsidRDefault="00F05DC7" w:rsidP="00A3786D">
                  <w:pPr>
                    <w:pStyle w:val="TableBodyText"/>
                    <w:ind w:right="28"/>
                  </w:pPr>
                  <w:r>
                    <w:t>17.2</w:t>
                  </w:r>
                </w:p>
              </w:tc>
              <w:tc>
                <w:tcPr>
                  <w:tcW w:w="1063" w:type="pct"/>
                </w:tcPr>
                <w:p w14:paraId="79549B4E" w14:textId="77777777" w:rsidR="00F05DC7" w:rsidRDefault="00F05DC7" w:rsidP="00A3786D">
                  <w:pPr>
                    <w:pStyle w:val="TableBodyText"/>
                    <w:ind w:right="28"/>
                  </w:pPr>
                  <w:r>
                    <w:t>12.8</w:t>
                  </w:r>
                </w:p>
              </w:tc>
            </w:tr>
            <w:tr w:rsidR="00F05DC7" w14:paraId="79549B55" w14:textId="77777777" w:rsidTr="00A3786D">
              <w:tc>
                <w:tcPr>
                  <w:tcW w:w="750" w:type="pct"/>
                </w:tcPr>
                <w:p w14:paraId="79549B50" w14:textId="77777777" w:rsidR="00F05DC7" w:rsidRDefault="00F05DC7" w:rsidP="00A3786D">
                  <w:pPr>
                    <w:pStyle w:val="TableBodyText"/>
                    <w:jc w:val="left"/>
                  </w:pPr>
                  <w:r>
                    <w:t>1960</w:t>
                  </w:r>
                  <w:r>
                    <w:noBreakHyphen/>
                    <w:t>61</w:t>
                  </w:r>
                </w:p>
              </w:tc>
              <w:tc>
                <w:tcPr>
                  <w:tcW w:w="1062" w:type="pct"/>
                </w:tcPr>
                <w:p w14:paraId="79549B51" w14:textId="77777777" w:rsidR="00F05DC7" w:rsidRDefault="00F05DC7" w:rsidP="00A3786D">
                  <w:pPr>
                    <w:pStyle w:val="TableBodyText"/>
                  </w:pPr>
                  <w:r>
                    <w:t>0.0</w:t>
                  </w:r>
                </w:p>
              </w:tc>
              <w:tc>
                <w:tcPr>
                  <w:tcW w:w="1062" w:type="pct"/>
                </w:tcPr>
                <w:p w14:paraId="79549B52" w14:textId="77777777" w:rsidR="00F05DC7" w:rsidRDefault="00F05DC7" w:rsidP="00A3786D">
                  <w:pPr>
                    <w:pStyle w:val="TableBodyText"/>
                  </w:pPr>
                  <w:r>
                    <w:t>6.2</w:t>
                  </w:r>
                </w:p>
              </w:tc>
              <w:tc>
                <w:tcPr>
                  <w:tcW w:w="1062" w:type="pct"/>
                </w:tcPr>
                <w:p w14:paraId="79549B53" w14:textId="77777777" w:rsidR="00F05DC7" w:rsidRDefault="00F05DC7" w:rsidP="00A3786D">
                  <w:pPr>
                    <w:pStyle w:val="TableBodyText"/>
                    <w:ind w:right="28"/>
                  </w:pPr>
                  <w:r>
                    <w:t>0.0</w:t>
                  </w:r>
                </w:p>
              </w:tc>
              <w:tc>
                <w:tcPr>
                  <w:tcW w:w="1063" w:type="pct"/>
                </w:tcPr>
                <w:p w14:paraId="79549B54" w14:textId="77777777" w:rsidR="00F05DC7" w:rsidRDefault="00F05DC7" w:rsidP="00A3786D">
                  <w:pPr>
                    <w:pStyle w:val="TableBodyText"/>
                    <w:ind w:right="28"/>
                  </w:pPr>
                  <w:r>
                    <w:t>15.5</w:t>
                  </w:r>
                </w:p>
              </w:tc>
            </w:tr>
            <w:tr w:rsidR="00F05DC7" w14:paraId="79549B5B" w14:textId="77777777" w:rsidTr="00A3786D">
              <w:tc>
                <w:tcPr>
                  <w:tcW w:w="750" w:type="pct"/>
                </w:tcPr>
                <w:p w14:paraId="79549B56" w14:textId="77777777" w:rsidR="00F05DC7" w:rsidRDefault="00F05DC7" w:rsidP="00A3786D">
                  <w:pPr>
                    <w:pStyle w:val="TableBodyText"/>
                    <w:jc w:val="left"/>
                  </w:pPr>
                  <w:r>
                    <w:t>1970</w:t>
                  </w:r>
                  <w:r>
                    <w:noBreakHyphen/>
                    <w:t>71</w:t>
                  </w:r>
                </w:p>
              </w:tc>
              <w:tc>
                <w:tcPr>
                  <w:tcW w:w="1062" w:type="pct"/>
                </w:tcPr>
                <w:p w14:paraId="79549B57" w14:textId="77777777" w:rsidR="00F05DC7" w:rsidRDefault="00F05DC7" w:rsidP="00A3786D">
                  <w:pPr>
                    <w:pStyle w:val="TableBodyText"/>
                  </w:pPr>
                  <w:r>
                    <w:t>0.0</w:t>
                  </w:r>
                </w:p>
              </w:tc>
              <w:tc>
                <w:tcPr>
                  <w:tcW w:w="1062" w:type="pct"/>
                </w:tcPr>
                <w:p w14:paraId="79549B58" w14:textId="77777777" w:rsidR="00F05DC7" w:rsidRDefault="00F05DC7" w:rsidP="00A3786D">
                  <w:pPr>
                    <w:pStyle w:val="TableBodyText"/>
                  </w:pPr>
                  <w:r>
                    <w:t>0.0</w:t>
                  </w:r>
                </w:p>
              </w:tc>
              <w:tc>
                <w:tcPr>
                  <w:tcW w:w="1062" w:type="pct"/>
                </w:tcPr>
                <w:p w14:paraId="79549B59" w14:textId="77777777" w:rsidR="00F05DC7" w:rsidRDefault="00F05DC7" w:rsidP="00A3786D">
                  <w:pPr>
                    <w:pStyle w:val="TableBodyText"/>
                    <w:ind w:right="28"/>
                  </w:pPr>
                  <w:r>
                    <w:t>1.3</w:t>
                  </w:r>
                </w:p>
              </w:tc>
              <w:tc>
                <w:tcPr>
                  <w:tcW w:w="1063" w:type="pct"/>
                </w:tcPr>
                <w:p w14:paraId="79549B5A" w14:textId="77777777" w:rsidR="00F05DC7" w:rsidRDefault="00F05DC7" w:rsidP="00A3786D">
                  <w:pPr>
                    <w:pStyle w:val="TableBodyText"/>
                    <w:ind w:right="28"/>
                  </w:pPr>
                  <w:r>
                    <w:t>8.4</w:t>
                  </w:r>
                </w:p>
              </w:tc>
            </w:tr>
            <w:tr w:rsidR="00F05DC7" w14:paraId="79549B61" w14:textId="77777777" w:rsidTr="00A3786D">
              <w:tc>
                <w:tcPr>
                  <w:tcW w:w="750" w:type="pct"/>
                  <w:tcBorders>
                    <w:bottom w:val="single" w:sz="6" w:space="0" w:color="BFBFBF"/>
                  </w:tcBorders>
                  <w:shd w:val="clear" w:color="auto" w:fill="auto"/>
                </w:tcPr>
                <w:p w14:paraId="79549B5C" w14:textId="77777777" w:rsidR="00F05DC7" w:rsidRDefault="00F05DC7" w:rsidP="00A3786D">
                  <w:pPr>
                    <w:pStyle w:val="TableBodyText"/>
                    <w:jc w:val="left"/>
                  </w:pPr>
                  <w:r>
                    <w:t>1980</w:t>
                  </w:r>
                  <w:r>
                    <w:noBreakHyphen/>
                    <w:t>81</w:t>
                  </w:r>
                </w:p>
              </w:tc>
              <w:tc>
                <w:tcPr>
                  <w:tcW w:w="1062" w:type="pct"/>
                  <w:tcBorders>
                    <w:bottom w:val="single" w:sz="6" w:space="0" w:color="BFBFBF"/>
                  </w:tcBorders>
                </w:tcPr>
                <w:p w14:paraId="79549B5D" w14:textId="77777777" w:rsidR="00F05DC7" w:rsidRDefault="00F05DC7" w:rsidP="00A3786D">
                  <w:pPr>
                    <w:pStyle w:val="TableBodyText"/>
                  </w:pPr>
                  <w:r>
                    <w:t>0.2</w:t>
                  </w:r>
                </w:p>
              </w:tc>
              <w:tc>
                <w:tcPr>
                  <w:tcW w:w="1062" w:type="pct"/>
                  <w:tcBorders>
                    <w:bottom w:val="single" w:sz="6" w:space="0" w:color="BFBFBF"/>
                  </w:tcBorders>
                  <w:shd w:val="clear" w:color="auto" w:fill="auto"/>
                </w:tcPr>
                <w:p w14:paraId="79549B5E" w14:textId="77777777" w:rsidR="00F05DC7" w:rsidRDefault="00F05DC7" w:rsidP="00A3786D">
                  <w:pPr>
                    <w:pStyle w:val="TableBodyText"/>
                  </w:pPr>
                  <w:r>
                    <w:t>0.0</w:t>
                  </w:r>
                </w:p>
              </w:tc>
              <w:tc>
                <w:tcPr>
                  <w:tcW w:w="1062" w:type="pct"/>
                  <w:tcBorders>
                    <w:bottom w:val="single" w:sz="6" w:space="0" w:color="BFBFBF"/>
                  </w:tcBorders>
                </w:tcPr>
                <w:p w14:paraId="79549B5F" w14:textId="77777777" w:rsidR="00F05DC7" w:rsidRDefault="00F05DC7" w:rsidP="00A3786D">
                  <w:pPr>
                    <w:pStyle w:val="TableBodyText"/>
                    <w:ind w:right="28"/>
                  </w:pPr>
                  <w:r>
                    <w:t>0.0</w:t>
                  </w:r>
                </w:p>
              </w:tc>
              <w:tc>
                <w:tcPr>
                  <w:tcW w:w="1063" w:type="pct"/>
                  <w:tcBorders>
                    <w:bottom w:val="single" w:sz="6" w:space="0" w:color="BFBFBF"/>
                  </w:tcBorders>
                  <w:shd w:val="clear" w:color="auto" w:fill="auto"/>
                </w:tcPr>
                <w:p w14:paraId="79549B60" w14:textId="77777777" w:rsidR="00F05DC7" w:rsidRDefault="00F05DC7" w:rsidP="00A3786D">
                  <w:pPr>
                    <w:pStyle w:val="TableBodyText"/>
                    <w:ind w:right="28"/>
                  </w:pPr>
                  <w:r>
                    <w:t>0.0</w:t>
                  </w:r>
                </w:p>
              </w:tc>
            </w:tr>
          </w:tbl>
          <w:p w14:paraId="79549B62" w14:textId="77777777" w:rsidR="00F05DC7" w:rsidRDefault="00F05DC7" w:rsidP="00A3786D">
            <w:pPr>
              <w:pStyle w:val="Box"/>
            </w:pPr>
          </w:p>
        </w:tc>
      </w:tr>
      <w:tr w:rsidR="00F05DC7" w14:paraId="79549B65" w14:textId="77777777" w:rsidTr="00A3786D">
        <w:tc>
          <w:tcPr>
            <w:tcW w:w="5000" w:type="pct"/>
            <w:tcBorders>
              <w:top w:val="nil"/>
              <w:left w:val="nil"/>
              <w:bottom w:val="nil"/>
              <w:right w:val="nil"/>
            </w:tcBorders>
            <w:shd w:val="clear" w:color="auto" w:fill="auto"/>
          </w:tcPr>
          <w:p w14:paraId="79549B64" w14:textId="79D73D51" w:rsidR="00F05DC7" w:rsidRDefault="00F05DC7" w:rsidP="00A3786D">
            <w:pPr>
              <w:pStyle w:val="Source"/>
            </w:pPr>
            <w:r>
              <w:rPr>
                <w:i/>
              </w:rPr>
              <w:t>Sources</w:t>
            </w:r>
            <w:r w:rsidRPr="00167F06">
              <w:t xml:space="preserve">: </w:t>
            </w:r>
            <w:r>
              <w:t>Productivity Commission estimated based on ABS (</w:t>
            </w:r>
            <w:r w:rsidRPr="00E65D01">
              <w:rPr>
                <w:i/>
              </w:rPr>
              <w:t xml:space="preserve">Year Book Australia, </w:t>
            </w:r>
            <w:r w:rsidRPr="004D39E3">
              <w:t>Cat. no. 1301.0</w:t>
            </w:r>
            <w:r>
              <w:t xml:space="preserve">, various editions); CGC </w:t>
            </w:r>
            <w:r w:rsidR="009D6331" w:rsidRPr="009D6331">
              <w:rPr>
                <w:rFonts w:cs="Arial"/>
              </w:rPr>
              <w:t>(2017c)</w:t>
            </w:r>
            <w:r>
              <w:t>.</w:t>
            </w:r>
          </w:p>
        </w:tc>
      </w:tr>
      <w:tr w:rsidR="00F05DC7" w14:paraId="79549B67" w14:textId="77777777" w:rsidTr="00A3786D">
        <w:tc>
          <w:tcPr>
            <w:tcW w:w="5000" w:type="pct"/>
            <w:tcBorders>
              <w:top w:val="nil"/>
              <w:left w:val="nil"/>
              <w:bottom w:val="single" w:sz="6" w:space="0" w:color="78A22F"/>
              <w:right w:val="nil"/>
            </w:tcBorders>
            <w:shd w:val="clear" w:color="auto" w:fill="auto"/>
          </w:tcPr>
          <w:p w14:paraId="79549B66" w14:textId="77777777" w:rsidR="00F05DC7" w:rsidRDefault="00F05DC7" w:rsidP="00A3786D">
            <w:pPr>
              <w:pStyle w:val="Box"/>
              <w:spacing w:before="0" w:line="120" w:lineRule="exact"/>
            </w:pPr>
          </w:p>
        </w:tc>
      </w:tr>
      <w:tr w:rsidR="00F05DC7" w:rsidRPr="000863A5" w14:paraId="79549B69" w14:textId="77777777" w:rsidTr="00A3786D">
        <w:tc>
          <w:tcPr>
            <w:tcW w:w="5000" w:type="pct"/>
            <w:tcBorders>
              <w:top w:val="single" w:sz="6" w:space="0" w:color="78A22F"/>
              <w:left w:val="nil"/>
              <w:bottom w:val="nil"/>
              <w:right w:val="nil"/>
            </w:tcBorders>
          </w:tcPr>
          <w:p w14:paraId="79549B68" w14:textId="77777777" w:rsidR="00F05DC7" w:rsidRPr="00626D32" w:rsidRDefault="00F05DC7" w:rsidP="00A3786D">
            <w:pPr>
              <w:pStyle w:val="BoxSpaceBelow"/>
            </w:pPr>
          </w:p>
        </w:tc>
      </w:tr>
    </w:tbl>
    <w:p w14:paraId="79549B6A" w14:textId="6D910488" w:rsidR="00F05DC7" w:rsidRDefault="00F05DC7" w:rsidP="00A3786D">
      <w:pPr>
        <w:pStyle w:val="BodyText"/>
      </w:pPr>
      <w:r>
        <w:t xml:space="preserve">This era also saw two tax bases return to the States that were shared with the Commonwealth. In 1952, the Commonwealth ceased collecting land tax, partly because the tax had been ineffective in its original aim of breaking up large estates, and its importance had been diminished by growth in other taxes, notably income tax </w:t>
      </w:r>
      <w:r w:rsidRPr="00414C78">
        <w:rPr>
          <w:szCs w:val="24"/>
        </w:rPr>
        <w:t>(Simpson and Figgis 1998, p. 4)</w:t>
      </w:r>
      <w:r>
        <w:t xml:space="preserve">. In addition, in 1971, the Commonwealth transferred the ability to impose payroll tax to the States in exchange for a reduction in financial assistance grants </w:t>
      </w:r>
      <w:r w:rsidRPr="00A50CAE">
        <w:rPr>
          <w:szCs w:val="24"/>
        </w:rPr>
        <w:t>(Williams 2012, p. 152)</w:t>
      </w:r>
      <w:r>
        <w:t>.</w:t>
      </w:r>
    </w:p>
    <w:p w14:paraId="79549B6B"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9B6E" w14:textId="77777777" w:rsidTr="00A3786D">
        <w:tc>
          <w:tcPr>
            <w:tcW w:w="5000" w:type="pct"/>
            <w:tcBorders>
              <w:top w:val="single" w:sz="6" w:space="0" w:color="78A22F"/>
              <w:left w:val="nil"/>
              <w:bottom w:val="nil"/>
              <w:right w:val="nil"/>
            </w:tcBorders>
            <w:shd w:val="clear" w:color="auto" w:fill="auto"/>
          </w:tcPr>
          <w:p w14:paraId="79549B6C" w14:textId="0BE31D6C" w:rsidR="00F05DC7" w:rsidRDefault="00F05DC7" w:rsidP="00A3786D">
            <w:pPr>
              <w:pStyle w:val="TableTitle"/>
            </w:pPr>
            <w:r>
              <w:rPr>
                <w:b w:val="0"/>
              </w:rPr>
              <w:t>Table 2.</w:t>
            </w:r>
            <w:r>
              <w:rPr>
                <w:b w:val="0"/>
                <w:noProof/>
              </w:rPr>
              <w:t>2</w:t>
            </w:r>
            <w:r>
              <w:tab/>
              <w:t>All Commonwealth payments to States</w:t>
            </w:r>
          </w:p>
          <w:p w14:paraId="79549B6D" w14:textId="77777777" w:rsidR="00F05DC7" w:rsidRPr="00784A05" w:rsidRDefault="00F05DC7" w:rsidP="00A3786D">
            <w:pPr>
              <w:pStyle w:val="Subtitle"/>
            </w:pPr>
            <w:r>
              <w:t>Average annual payments, 2016</w:t>
            </w:r>
            <w:r>
              <w:noBreakHyphen/>
              <w:t xml:space="preserve">17 $million </w:t>
            </w:r>
          </w:p>
        </w:tc>
      </w:tr>
      <w:tr w:rsidR="00F05DC7" w14:paraId="79549BA2"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6"/>
              <w:gridCol w:w="1560"/>
              <w:gridCol w:w="1133"/>
              <w:gridCol w:w="1276"/>
              <w:gridCol w:w="1250"/>
              <w:gridCol w:w="1560"/>
            </w:tblGrid>
            <w:tr w:rsidR="00F05DC7" w14:paraId="79549B76" w14:textId="77777777" w:rsidTr="00BB3BF5">
              <w:trPr>
                <w:tblHeader/>
              </w:trPr>
              <w:tc>
                <w:tcPr>
                  <w:tcW w:w="1015" w:type="pct"/>
                  <w:tcBorders>
                    <w:top w:val="single" w:sz="4" w:space="0" w:color="BFBFBF"/>
                    <w:bottom w:val="single" w:sz="4" w:space="0" w:color="BFBFBF"/>
                  </w:tcBorders>
                  <w:shd w:val="clear" w:color="auto" w:fill="auto"/>
                  <w:tcMar>
                    <w:top w:w="28" w:type="dxa"/>
                  </w:tcMar>
                </w:tcPr>
                <w:p w14:paraId="79549B6F" w14:textId="77777777" w:rsidR="00F05DC7" w:rsidRDefault="00F05DC7" w:rsidP="00A3786D">
                  <w:pPr>
                    <w:pStyle w:val="TableColumnHeading"/>
                    <w:jc w:val="left"/>
                  </w:pPr>
                </w:p>
              </w:tc>
              <w:tc>
                <w:tcPr>
                  <w:tcW w:w="917" w:type="pct"/>
                  <w:tcBorders>
                    <w:top w:val="single" w:sz="4" w:space="0" w:color="BFBFBF"/>
                    <w:bottom w:val="single" w:sz="4" w:space="0" w:color="BFBFBF"/>
                  </w:tcBorders>
                </w:tcPr>
                <w:p w14:paraId="79549B70" w14:textId="77777777" w:rsidR="00F05DC7" w:rsidRDefault="00F05DC7" w:rsidP="00A3786D">
                  <w:pPr>
                    <w:pStyle w:val="TableColumnHeading"/>
                  </w:pPr>
                  <w:r>
                    <w:t>General revenue payments</w:t>
                  </w:r>
                  <w:r w:rsidRPr="00E65D01">
                    <w:rPr>
                      <w:rStyle w:val="NoteLabel"/>
                    </w:rPr>
                    <w:t>a</w:t>
                  </w:r>
                </w:p>
              </w:tc>
              <w:tc>
                <w:tcPr>
                  <w:tcW w:w="666" w:type="pct"/>
                  <w:tcBorders>
                    <w:top w:val="single" w:sz="4" w:space="0" w:color="BFBFBF"/>
                    <w:bottom w:val="single" w:sz="4" w:space="0" w:color="BFBFBF"/>
                  </w:tcBorders>
                </w:tcPr>
                <w:p w14:paraId="79549B71" w14:textId="77777777" w:rsidR="00F05DC7" w:rsidRDefault="00F05DC7" w:rsidP="00A3786D">
                  <w:pPr>
                    <w:pStyle w:val="TableColumnHeading"/>
                  </w:pPr>
                  <w:r>
                    <w:t>Special grants</w:t>
                  </w:r>
                </w:p>
              </w:tc>
              <w:tc>
                <w:tcPr>
                  <w:tcW w:w="750" w:type="pct"/>
                  <w:tcBorders>
                    <w:top w:val="single" w:sz="4" w:space="0" w:color="BFBFBF"/>
                    <w:bottom w:val="single" w:sz="4" w:space="0" w:color="BFBFBF"/>
                  </w:tcBorders>
                  <w:shd w:val="clear" w:color="auto" w:fill="auto"/>
                  <w:tcMar>
                    <w:top w:w="28" w:type="dxa"/>
                  </w:tcMar>
                </w:tcPr>
                <w:p w14:paraId="79549B72" w14:textId="77777777" w:rsidR="00F05DC7" w:rsidRDefault="00F05DC7" w:rsidP="00A3786D">
                  <w:pPr>
                    <w:pStyle w:val="TableColumnHeading"/>
                  </w:pPr>
                  <w:r>
                    <w:t>Specific purpose payments</w:t>
                  </w:r>
                </w:p>
              </w:tc>
              <w:tc>
                <w:tcPr>
                  <w:tcW w:w="735" w:type="pct"/>
                  <w:tcBorders>
                    <w:top w:val="single" w:sz="4" w:space="0" w:color="BFBFBF"/>
                    <w:bottom w:val="single" w:sz="4" w:space="0" w:color="BFBFBF"/>
                  </w:tcBorders>
                </w:tcPr>
                <w:p w14:paraId="79549B73" w14:textId="77777777" w:rsidR="00F05DC7" w:rsidRPr="00C964A3" w:rsidRDefault="00F05DC7" w:rsidP="00A3786D">
                  <w:pPr>
                    <w:pStyle w:val="TableColumnHeading"/>
                    <w:ind w:right="28"/>
                    <w:rPr>
                      <w:b/>
                    </w:rPr>
                  </w:pPr>
                  <w:r w:rsidRPr="00C964A3">
                    <w:rPr>
                      <w:b/>
                    </w:rPr>
                    <w:t>Total</w:t>
                  </w:r>
                </w:p>
              </w:tc>
              <w:tc>
                <w:tcPr>
                  <w:tcW w:w="917" w:type="pct"/>
                  <w:tcBorders>
                    <w:top w:val="single" w:sz="4" w:space="0" w:color="BFBFBF"/>
                    <w:left w:val="nil"/>
                    <w:bottom w:val="single" w:sz="4" w:space="0" w:color="BFBFBF"/>
                  </w:tcBorders>
                  <w:shd w:val="clear" w:color="auto" w:fill="auto"/>
                  <w:tcMar>
                    <w:top w:w="28" w:type="dxa"/>
                  </w:tcMar>
                </w:tcPr>
                <w:p w14:paraId="79549B74" w14:textId="77777777" w:rsidR="00F05DC7" w:rsidRDefault="00F05DC7" w:rsidP="00A3786D">
                  <w:pPr>
                    <w:pStyle w:val="TableColumnHeading"/>
                    <w:ind w:right="28"/>
                  </w:pPr>
                  <w:r>
                    <w:t xml:space="preserve">Specific purpose payments, </w:t>
                  </w:r>
                </w:p>
                <w:p w14:paraId="79549B75" w14:textId="77777777" w:rsidR="00F05DC7" w:rsidRDefault="00F05DC7" w:rsidP="00A3786D">
                  <w:pPr>
                    <w:pStyle w:val="TableColumnHeading"/>
                    <w:ind w:right="28"/>
                  </w:pPr>
                  <w:r>
                    <w:t>per cent of total</w:t>
                  </w:r>
                </w:p>
              </w:tc>
            </w:tr>
            <w:tr w:rsidR="00F05DC7" w14:paraId="79549B7D" w14:textId="77777777" w:rsidTr="00BB3BF5">
              <w:tc>
                <w:tcPr>
                  <w:tcW w:w="1015" w:type="pct"/>
                  <w:tcBorders>
                    <w:top w:val="single" w:sz="4" w:space="0" w:color="BFBFBF"/>
                  </w:tcBorders>
                </w:tcPr>
                <w:p w14:paraId="79549B77" w14:textId="77777777" w:rsidR="00F05DC7" w:rsidRDefault="00F05DC7" w:rsidP="00A3786D">
                  <w:pPr>
                    <w:pStyle w:val="TableUnitsRow"/>
                    <w:jc w:val="left"/>
                  </w:pPr>
                  <w:r>
                    <w:t>1934</w:t>
                  </w:r>
                  <w:r>
                    <w:noBreakHyphen/>
                    <w:t>35 to 1941</w:t>
                  </w:r>
                  <w:r>
                    <w:noBreakHyphen/>
                    <w:t>42</w:t>
                  </w:r>
                </w:p>
              </w:tc>
              <w:tc>
                <w:tcPr>
                  <w:tcW w:w="917" w:type="pct"/>
                  <w:tcBorders>
                    <w:top w:val="single" w:sz="4" w:space="0" w:color="BFBFBF"/>
                  </w:tcBorders>
                </w:tcPr>
                <w:p w14:paraId="79549B78" w14:textId="77777777" w:rsidR="00F05DC7" w:rsidRDefault="00F05DC7" w:rsidP="00A3786D">
                  <w:pPr>
                    <w:pStyle w:val="TableUnitsRow"/>
                  </w:pPr>
                  <w:r>
                    <w:t>0.0</w:t>
                  </w:r>
                </w:p>
              </w:tc>
              <w:tc>
                <w:tcPr>
                  <w:tcW w:w="666" w:type="pct"/>
                  <w:tcBorders>
                    <w:top w:val="single" w:sz="4" w:space="0" w:color="BFBFBF"/>
                  </w:tcBorders>
                </w:tcPr>
                <w:p w14:paraId="79549B79" w14:textId="77777777" w:rsidR="00F05DC7" w:rsidRDefault="00F05DC7" w:rsidP="00A3786D">
                  <w:pPr>
                    <w:pStyle w:val="TableUnitsRow"/>
                  </w:pPr>
                  <w:r>
                    <w:t>175</w:t>
                  </w:r>
                </w:p>
              </w:tc>
              <w:tc>
                <w:tcPr>
                  <w:tcW w:w="750" w:type="pct"/>
                  <w:tcBorders>
                    <w:top w:val="single" w:sz="4" w:space="0" w:color="BFBFBF"/>
                  </w:tcBorders>
                </w:tcPr>
                <w:p w14:paraId="79549B7A" w14:textId="77777777" w:rsidR="00F05DC7" w:rsidRDefault="00F05DC7" w:rsidP="00A3786D">
                  <w:pPr>
                    <w:pStyle w:val="TableUnitsRow"/>
                  </w:pPr>
                  <w:r>
                    <w:t>973</w:t>
                  </w:r>
                </w:p>
              </w:tc>
              <w:tc>
                <w:tcPr>
                  <w:tcW w:w="735" w:type="pct"/>
                  <w:tcBorders>
                    <w:top w:val="single" w:sz="4" w:space="0" w:color="BFBFBF"/>
                  </w:tcBorders>
                </w:tcPr>
                <w:p w14:paraId="79549B7B" w14:textId="77777777" w:rsidR="00F05DC7" w:rsidRPr="00C964A3" w:rsidRDefault="00F05DC7" w:rsidP="00A3786D">
                  <w:pPr>
                    <w:pStyle w:val="TableUnitsRow"/>
                    <w:ind w:right="28"/>
                    <w:rPr>
                      <w:b/>
                    </w:rPr>
                  </w:pPr>
                  <w:r w:rsidRPr="00C964A3">
                    <w:rPr>
                      <w:b/>
                    </w:rPr>
                    <w:t>1 148</w:t>
                  </w:r>
                </w:p>
              </w:tc>
              <w:tc>
                <w:tcPr>
                  <w:tcW w:w="917" w:type="pct"/>
                  <w:tcBorders>
                    <w:top w:val="single" w:sz="4" w:space="0" w:color="BFBFBF"/>
                    <w:left w:val="nil"/>
                  </w:tcBorders>
                </w:tcPr>
                <w:p w14:paraId="79549B7C" w14:textId="77777777" w:rsidR="00F05DC7" w:rsidRDefault="00F05DC7" w:rsidP="00A3786D">
                  <w:pPr>
                    <w:pStyle w:val="TableUnitsRow"/>
                    <w:ind w:right="28"/>
                  </w:pPr>
                  <w:r>
                    <w:t>85</w:t>
                  </w:r>
                </w:p>
              </w:tc>
            </w:tr>
            <w:tr w:rsidR="00F05DC7" w14:paraId="79549B84" w14:textId="77777777" w:rsidTr="009D29AD">
              <w:tc>
                <w:tcPr>
                  <w:tcW w:w="1015" w:type="pct"/>
                </w:tcPr>
                <w:p w14:paraId="79549B7E" w14:textId="77777777" w:rsidR="00F05DC7" w:rsidRDefault="00F05DC7" w:rsidP="00A3786D">
                  <w:pPr>
                    <w:pStyle w:val="TableBodyText"/>
                    <w:jc w:val="left"/>
                  </w:pPr>
                  <w:r>
                    <w:t>1942</w:t>
                  </w:r>
                  <w:r>
                    <w:noBreakHyphen/>
                    <w:t>43 to 1945</w:t>
                  </w:r>
                  <w:r>
                    <w:noBreakHyphen/>
                    <w:t>46</w:t>
                  </w:r>
                </w:p>
              </w:tc>
              <w:tc>
                <w:tcPr>
                  <w:tcW w:w="917" w:type="pct"/>
                </w:tcPr>
                <w:p w14:paraId="79549B7F" w14:textId="77777777" w:rsidR="00F05DC7" w:rsidRDefault="00F05DC7" w:rsidP="00A3786D">
                  <w:pPr>
                    <w:pStyle w:val="TableBodyText"/>
                  </w:pPr>
                  <w:r>
                    <w:t>2 369</w:t>
                  </w:r>
                </w:p>
              </w:tc>
              <w:tc>
                <w:tcPr>
                  <w:tcW w:w="666" w:type="pct"/>
                </w:tcPr>
                <w:p w14:paraId="79549B80" w14:textId="77777777" w:rsidR="00F05DC7" w:rsidRDefault="00F05DC7" w:rsidP="00A3786D">
                  <w:pPr>
                    <w:pStyle w:val="TableBodyText"/>
                  </w:pPr>
                  <w:r>
                    <w:t>179</w:t>
                  </w:r>
                </w:p>
              </w:tc>
              <w:tc>
                <w:tcPr>
                  <w:tcW w:w="750" w:type="pct"/>
                </w:tcPr>
                <w:p w14:paraId="79549B81" w14:textId="77777777" w:rsidR="00F05DC7" w:rsidRDefault="00F05DC7" w:rsidP="00A3786D">
                  <w:pPr>
                    <w:pStyle w:val="TableBodyText"/>
                  </w:pPr>
                  <w:r>
                    <w:t>780</w:t>
                  </w:r>
                </w:p>
              </w:tc>
              <w:tc>
                <w:tcPr>
                  <w:tcW w:w="735" w:type="pct"/>
                </w:tcPr>
                <w:p w14:paraId="79549B82" w14:textId="77777777" w:rsidR="00F05DC7" w:rsidRPr="00C964A3" w:rsidRDefault="00F05DC7" w:rsidP="00A3786D">
                  <w:pPr>
                    <w:pStyle w:val="TableBodyText"/>
                    <w:ind w:right="28"/>
                    <w:rPr>
                      <w:b/>
                    </w:rPr>
                  </w:pPr>
                  <w:r w:rsidRPr="00C964A3">
                    <w:rPr>
                      <w:b/>
                    </w:rPr>
                    <w:t>3 328</w:t>
                  </w:r>
                </w:p>
              </w:tc>
              <w:tc>
                <w:tcPr>
                  <w:tcW w:w="917" w:type="pct"/>
                  <w:tcBorders>
                    <w:left w:val="nil"/>
                  </w:tcBorders>
                </w:tcPr>
                <w:p w14:paraId="79549B83" w14:textId="77777777" w:rsidR="00F05DC7" w:rsidRDefault="00F05DC7" w:rsidP="00A3786D">
                  <w:pPr>
                    <w:pStyle w:val="TableBodyText"/>
                    <w:ind w:right="28"/>
                  </w:pPr>
                  <w:r>
                    <w:t>23</w:t>
                  </w:r>
                </w:p>
              </w:tc>
            </w:tr>
            <w:tr w:rsidR="00F05DC7" w14:paraId="79549B8B" w14:textId="77777777" w:rsidTr="009D29AD">
              <w:tc>
                <w:tcPr>
                  <w:tcW w:w="1015" w:type="pct"/>
                </w:tcPr>
                <w:p w14:paraId="79549B85" w14:textId="77777777" w:rsidR="00F05DC7" w:rsidRDefault="00F05DC7" w:rsidP="00A3786D">
                  <w:pPr>
                    <w:pStyle w:val="TableBodyText"/>
                    <w:jc w:val="left"/>
                  </w:pPr>
                  <w:r>
                    <w:t>1946</w:t>
                  </w:r>
                  <w:r>
                    <w:noBreakHyphen/>
                    <w:t>47 to 1958</w:t>
                  </w:r>
                  <w:r>
                    <w:noBreakHyphen/>
                    <w:t>59</w:t>
                  </w:r>
                </w:p>
              </w:tc>
              <w:tc>
                <w:tcPr>
                  <w:tcW w:w="917" w:type="pct"/>
                </w:tcPr>
                <w:p w14:paraId="79549B86" w14:textId="77777777" w:rsidR="00F05DC7" w:rsidRDefault="00F05DC7" w:rsidP="00A3786D">
                  <w:pPr>
                    <w:pStyle w:val="TableBodyText"/>
                  </w:pPr>
                  <w:r>
                    <w:t>9 240</w:t>
                  </w:r>
                </w:p>
              </w:tc>
              <w:tc>
                <w:tcPr>
                  <w:tcW w:w="666" w:type="pct"/>
                </w:tcPr>
                <w:p w14:paraId="79549B87" w14:textId="77777777" w:rsidR="00F05DC7" w:rsidRDefault="00F05DC7" w:rsidP="00A3786D">
                  <w:pPr>
                    <w:pStyle w:val="TableBodyText"/>
                  </w:pPr>
                  <w:r>
                    <w:t>1 010</w:t>
                  </w:r>
                </w:p>
              </w:tc>
              <w:tc>
                <w:tcPr>
                  <w:tcW w:w="750" w:type="pct"/>
                </w:tcPr>
                <w:p w14:paraId="79549B88" w14:textId="77777777" w:rsidR="00F05DC7" w:rsidRDefault="00F05DC7" w:rsidP="00A3786D">
                  <w:pPr>
                    <w:pStyle w:val="TableBodyText"/>
                  </w:pPr>
                  <w:r>
                    <w:t>2 842</w:t>
                  </w:r>
                </w:p>
              </w:tc>
              <w:tc>
                <w:tcPr>
                  <w:tcW w:w="735" w:type="pct"/>
                </w:tcPr>
                <w:p w14:paraId="79549B89" w14:textId="77777777" w:rsidR="00F05DC7" w:rsidRPr="00C964A3" w:rsidRDefault="00F05DC7" w:rsidP="00A3786D">
                  <w:pPr>
                    <w:pStyle w:val="TableBodyText"/>
                    <w:ind w:right="28"/>
                    <w:rPr>
                      <w:b/>
                    </w:rPr>
                  </w:pPr>
                  <w:r w:rsidRPr="00C964A3">
                    <w:rPr>
                      <w:b/>
                    </w:rPr>
                    <w:t>13 092</w:t>
                  </w:r>
                </w:p>
              </w:tc>
              <w:tc>
                <w:tcPr>
                  <w:tcW w:w="917" w:type="pct"/>
                  <w:tcBorders>
                    <w:left w:val="nil"/>
                  </w:tcBorders>
                </w:tcPr>
                <w:p w14:paraId="79549B8A" w14:textId="77777777" w:rsidR="00F05DC7" w:rsidRDefault="00F05DC7" w:rsidP="00A3786D">
                  <w:pPr>
                    <w:pStyle w:val="TableBodyText"/>
                    <w:ind w:right="28"/>
                  </w:pPr>
                  <w:r>
                    <w:t>22</w:t>
                  </w:r>
                </w:p>
              </w:tc>
            </w:tr>
            <w:tr w:rsidR="00F05DC7" w14:paraId="79549B92" w14:textId="77777777" w:rsidTr="009D29AD">
              <w:tc>
                <w:tcPr>
                  <w:tcW w:w="1015" w:type="pct"/>
                </w:tcPr>
                <w:p w14:paraId="79549B8C" w14:textId="77777777" w:rsidR="00F05DC7" w:rsidRDefault="00F05DC7" w:rsidP="00A3786D">
                  <w:pPr>
                    <w:pStyle w:val="TableBodyText"/>
                    <w:jc w:val="left"/>
                  </w:pPr>
                  <w:r>
                    <w:t>1959</w:t>
                  </w:r>
                  <w:r>
                    <w:noBreakHyphen/>
                    <w:t>60 to 1964</w:t>
                  </w:r>
                  <w:r>
                    <w:noBreakHyphen/>
                    <w:t>65</w:t>
                  </w:r>
                </w:p>
              </w:tc>
              <w:tc>
                <w:tcPr>
                  <w:tcW w:w="917" w:type="pct"/>
                </w:tcPr>
                <w:p w14:paraId="79549B8D" w14:textId="77777777" w:rsidR="00F05DC7" w:rsidRDefault="00F05DC7" w:rsidP="00A3786D">
                  <w:pPr>
                    <w:pStyle w:val="TableBodyText"/>
                  </w:pPr>
                  <w:r>
                    <w:t>8 354</w:t>
                  </w:r>
                </w:p>
              </w:tc>
              <w:tc>
                <w:tcPr>
                  <w:tcW w:w="666" w:type="pct"/>
                </w:tcPr>
                <w:p w14:paraId="79549B8E" w14:textId="77777777" w:rsidR="00F05DC7" w:rsidRDefault="00F05DC7" w:rsidP="00A3786D">
                  <w:pPr>
                    <w:pStyle w:val="TableBodyText"/>
                  </w:pPr>
                  <w:r>
                    <w:t>313</w:t>
                  </w:r>
                </w:p>
              </w:tc>
              <w:tc>
                <w:tcPr>
                  <w:tcW w:w="750" w:type="pct"/>
                </w:tcPr>
                <w:p w14:paraId="79549B8F" w14:textId="77777777" w:rsidR="00F05DC7" w:rsidRDefault="00F05DC7" w:rsidP="00A3786D">
                  <w:pPr>
                    <w:pStyle w:val="TableBodyText"/>
                  </w:pPr>
                  <w:r>
                    <w:t>2 727</w:t>
                  </w:r>
                </w:p>
              </w:tc>
              <w:tc>
                <w:tcPr>
                  <w:tcW w:w="735" w:type="pct"/>
                </w:tcPr>
                <w:p w14:paraId="79549B90" w14:textId="77777777" w:rsidR="00F05DC7" w:rsidRPr="00C964A3" w:rsidRDefault="00F05DC7" w:rsidP="00A3786D">
                  <w:pPr>
                    <w:pStyle w:val="TableBodyText"/>
                    <w:ind w:right="28"/>
                    <w:rPr>
                      <w:b/>
                    </w:rPr>
                  </w:pPr>
                  <w:r w:rsidRPr="00C964A3">
                    <w:rPr>
                      <w:b/>
                    </w:rPr>
                    <w:t>11 393</w:t>
                  </w:r>
                </w:p>
              </w:tc>
              <w:tc>
                <w:tcPr>
                  <w:tcW w:w="917" w:type="pct"/>
                  <w:tcBorders>
                    <w:left w:val="nil"/>
                  </w:tcBorders>
                </w:tcPr>
                <w:p w14:paraId="79549B91" w14:textId="77777777" w:rsidR="00F05DC7" w:rsidRDefault="00F05DC7" w:rsidP="00A3786D">
                  <w:pPr>
                    <w:pStyle w:val="TableBodyText"/>
                    <w:ind w:right="28"/>
                  </w:pPr>
                  <w:r>
                    <w:t>24</w:t>
                  </w:r>
                </w:p>
              </w:tc>
            </w:tr>
            <w:tr w:rsidR="00F05DC7" w14:paraId="79549B99" w14:textId="77777777" w:rsidTr="00CF0E0D">
              <w:tc>
                <w:tcPr>
                  <w:tcW w:w="1015" w:type="pct"/>
                </w:tcPr>
                <w:p w14:paraId="79549B93" w14:textId="77777777" w:rsidR="00F05DC7" w:rsidRDefault="00F05DC7" w:rsidP="00A3786D">
                  <w:pPr>
                    <w:pStyle w:val="TableBodyText"/>
                    <w:jc w:val="left"/>
                  </w:pPr>
                  <w:r>
                    <w:t>1965</w:t>
                  </w:r>
                  <w:r>
                    <w:noBreakHyphen/>
                    <w:t>66 to 1971</w:t>
                  </w:r>
                  <w:r>
                    <w:noBreakHyphen/>
                    <w:t>72</w:t>
                  </w:r>
                </w:p>
              </w:tc>
              <w:tc>
                <w:tcPr>
                  <w:tcW w:w="917" w:type="pct"/>
                </w:tcPr>
                <w:p w14:paraId="79549B94" w14:textId="77777777" w:rsidR="00F05DC7" w:rsidRDefault="00F05DC7" w:rsidP="00A3786D">
                  <w:pPr>
                    <w:pStyle w:val="TableBodyText"/>
                  </w:pPr>
                  <w:r>
                    <w:t>12 744</w:t>
                  </w:r>
                </w:p>
              </w:tc>
              <w:tc>
                <w:tcPr>
                  <w:tcW w:w="666" w:type="pct"/>
                </w:tcPr>
                <w:p w14:paraId="79549B95" w14:textId="77777777" w:rsidR="00F05DC7" w:rsidRDefault="00F05DC7" w:rsidP="00A3786D">
                  <w:pPr>
                    <w:pStyle w:val="TableBodyText"/>
                  </w:pPr>
                  <w:r>
                    <w:t>341</w:t>
                  </w:r>
                </w:p>
              </w:tc>
              <w:tc>
                <w:tcPr>
                  <w:tcW w:w="750" w:type="pct"/>
                </w:tcPr>
                <w:p w14:paraId="79549B96" w14:textId="77777777" w:rsidR="00F05DC7" w:rsidRDefault="00F05DC7" w:rsidP="00A3786D">
                  <w:pPr>
                    <w:pStyle w:val="TableBodyText"/>
                  </w:pPr>
                  <w:r>
                    <w:t>4 955</w:t>
                  </w:r>
                </w:p>
              </w:tc>
              <w:tc>
                <w:tcPr>
                  <w:tcW w:w="735" w:type="pct"/>
                </w:tcPr>
                <w:p w14:paraId="79549B97" w14:textId="77777777" w:rsidR="00F05DC7" w:rsidRPr="00C964A3" w:rsidRDefault="00F05DC7" w:rsidP="00A3786D">
                  <w:pPr>
                    <w:pStyle w:val="TableBodyText"/>
                    <w:ind w:right="28"/>
                    <w:rPr>
                      <w:b/>
                    </w:rPr>
                  </w:pPr>
                  <w:r w:rsidRPr="00C964A3">
                    <w:rPr>
                      <w:b/>
                    </w:rPr>
                    <w:t>18 040</w:t>
                  </w:r>
                </w:p>
              </w:tc>
              <w:tc>
                <w:tcPr>
                  <w:tcW w:w="917" w:type="pct"/>
                  <w:tcBorders>
                    <w:left w:val="nil"/>
                  </w:tcBorders>
                </w:tcPr>
                <w:p w14:paraId="79549B98" w14:textId="77777777" w:rsidR="00F05DC7" w:rsidRDefault="00F05DC7" w:rsidP="00A3786D">
                  <w:pPr>
                    <w:pStyle w:val="TableBodyText"/>
                    <w:ind w:right="28"/>
                  </w:pPr>
                  <w:r>
                    <w:t>28</w:t>
                  </w:r>
                </w:p>
              </w:tc>
            </w:tr>
            <w:tr w:rsidR="00F05DC7" w14:paraId="79549BA0" w14:textId="77777777" w:rsidTr="00CF0E0D">
              <w:tc>
                <w:tcPr>
                  <w:tcW w:w="1015" w:type="pct"/>
                  <w:tcBorders>
                    <w:bottom w:val="single" w:sz="4" w:space="0" w:color="BFBFBF"/>
                  </w:tcBorders>
                  <w:shd w:val="clear" w:color="auto" w:fill="auto"/>
                </w:tcPr>
                <w:p w14:paraId="79549B9A" w14:textId="77777777" w:rsidR="00F05DC7" w:rsidRDefault="00F05DC7" w:rsidP="00A3786D">
                  <w:pPr>
                    <w:pStyle w:val="TableBodyText"/>
                    <w:jc w:val="left"/>
                  </w:pPr>
                  <w:r>
                    <w:t>1972</w:t>
                  </w:r>
                  <w:r>
                    <w:noBreakHyphen/>
                    <w:t>73 to 1982</w:t>
                  </w:r>
                  <w:r>
                    <w:noBreakHyphen/>
                    <w:t>83</w:t>
                  </w:r>
                </w:p>
              </w:tc>
              <w:tc>
                <w:tcPr>
                  <w:tcW w:w="917" w:type="pct"/>
                  <w:tcBorders>
                    <w:bottom w:val="single" w:sz="4" w:space="0" w:color="BFBFBF"/>
                  </w:tcBorders>
                </w:tcPr>
                <w:p w14:paraId="79549B9B" w14:textId="77777777" w:rsidR="00F05DC7" w:rsidRDefault="00F05DC7" w:rsidP="00A3786D">
                  <w:pPr>
                    <w:pStyle w:val="TableBodyText"/>
                  </w:pPr>
                  <w:r>
                    <w:t>22 272</w:t>
                  </w:r>
                </w:p>
              </w:tc>
              <w:tc>
                <w:tcPr>
                  <w:tcW w:w="666" w:type="pct"/>
                  <w:tcBorders>
                    <w:bottom w:val="single" w:sz="4" w:space="0" w:color="BFBFBF"/>
                  </w:tcBorders>
                </w:tcPr>
                <w:p w14:paraId="79549B9C" w14:textId="77777777" w:rsidR="00F05DC7" w:rsidRDefault="00F05DC7" w:rsidP="00A3786D">
                  <w:pPr>
                    <w:pStyle w:val="TableBodyText"/>
                  </w:pPr>
                  <w:r>
                    <w:t>135</w:t>
                  </w:r>
                </w:p>
              </w:tc>
              <w:tc>
                <w:tcPr>
                  <w:tcW w:w="750" w:type="pct"/>
                  <w:tcBorders>
                    <w:bottom w:val="single" w:sz="4" w:space="0" w:color="BFBFBF"/>
                  </w:tcBorders>
                  <w:shd w:val="clear" w:color="auto" w:fill="auto"/>
                </w:tcPr>
                <w:p w14:paraId="79549B9D" w14:textId="77777777" w:rsidR="00F05DC7" w:rsidRDefault="00F05DC7" w:rsidP="00A3786D">
                  <w:pPr>
                    <w:pStyle w:val="TableBodyText"/>
                  </w:pPr>
                  <w:r>
                    <w:t>19 858</w:t>
                  </w:r>
                </w:p>
              </w:tc>
              <w:tc>
                <w:tcPr>
                  <w:tcW w:w="735" w:type="pct"/>
                  <w:tcBorders>
                    <w:bottom w:val="single" w:sz="4" w:space="0" w:color="BFBFBF"/>
                  </w:tcBorders>
                </w:tcPr>
                <w:p w14:paraId="79549B9E" w14:textId="77777777" w:rsidR="00F05DC7" w:rsidRPr="00C964A3" w:rsidRDefault="00F05DC7" w:rsidP="00A3786D">
                  <w:pPr>
                    <w:pStyle w:val="TableBodyText"/>
                    <w:ind w:right="28"/>
                    <w:rPr>
                      <w:b/>
                    </w:rPr>
                  </w:pPr>
                  <w:r w:rsidRPr="00C964A3">
                    <w:rPr>
                      <w:b/>
                    </w:rPr>
                    <w:t>42 266</w:t>
                  </w:r>
                </w:p>
              </w:tc>
              <w:tc>
                <w:tcPr>
                  <w:tcW w:w="917" w:type="pct"/>
                  <w:tcBorders>
                    <w:left w:val="nil"/>
                    <w:bottom w:val="single" w:sz="4" w:space="0" w:color="BFBFBF"/>
                  </w:tcBorders>
                  <w:shd w:val="clear" w:color="auto" w:fill="auto"/>
                </w:tcPr>
                <w:p w14:paraId="79549B9F" w14:textId="77777777" w:rsidR="00F05DC7" w:rsidRDefault="00F05DC7" w:rsidP="00A3786D">
                  <w:pPr>
                    <w:pStyle w:val="TableBodyText"/>
                    <w:ind w:right="28"/>
                  </w:pPr>
                  <w:r>
                    <w:t>47</w:t>
                  </w:r>
                </w:p>
              </w:tc>
            </w:tr>
          </w:tbl>
          <w:p w14:paraId="79549BA1" w14:textId="77777777" w:rsidR="00F05DC7" w:rsidRDefault="00F05DC7" w:rsidP="00A3786D">
            <w:pPr>
              <w:pStyle w:val="Box"/>
            </w:pPr>
          </w:p>
        </w:tc>
      </w:tr>
      <w:tr w:rsidR="00F05DC7" w14:paraId="79549BA4" w14:textId="77777777" w:rsidTr="00A3786D">
        <w:tc>
          <w:tcPr>
            <w:tcW w:w="5000" w:type="pct"/>
            <w:tcBorders>
              <w:top w:val="nil"/>
              <w:left w:val="nil"/>
              <w:bottom w:val="nil"/>
              <w:right w:val="nil"/>
            </w:tcBorders>
            <w:shd w:val="clear" w:color="auto" w:fill="auto"/>
          </w:tcPr>
          <w:p w14:paraId="79549BA3" w14:textId="77777777" w:rsidR="00F05DC7" w:rsidRDefault="00F05DC7" w:rsidP="00A3786D">
            <w:pPr>
              <w:pStyle w:val="Note"/>
              <w:rPr>
                <w:i/>
              </w:rPr>
            </w:pPr>
            <w:r w:rsidRPr="008E77FE">
              <w:rPr>
                <w:rStyle w:val="NoteLabel"/>
              </w:rPr>
              <w:t>a</w:t>
            </w:r>
            <w:r>
              <w:t xml:space="preserve"> Excluding special grants.</w:t>
            </w:r>
          </w:p>
        </w:tc>
      </w:tr>
      <w:tr w:rsidR="00F05DC7" w14:paraId="79549BA6" w14:textId="77777777" w:rsidTr="00A3786D">
        <w:tc>
          <w:tcPr>
            <w:tcW w:w="5000" w:type="pct"/>
            <w:tcBorders>
              <w:top w:val="nil"/>
              <w:left w:val="nil"/>
              <w:bottom w:val="nil"/>
              <w:right w:val="nil"/>
            </w:tcBorders>
            <w:shd w:val="clear" w:color="auto" w:fill="auto"/>
          </w:tcPr>
          <w:p w14:paraId="79549BA5" w14:textId="64F7508B" w:rsidR="00F05DC7" w:rsidRDefault="00F05DC7" w:rsidP="00A3786D">
            <w:pPr>
              <w:pStyle w:val="Source"/>
            </w:pPr>
            <w:r>
              <w:rPr>
                <w:i/>
              </w:rPr>
              <w:t>Sources</w:t>
            </w:r>
            <w:r w:rsidRPr="00167F06">
              <w:t xml:space="preserve">: </w:t>
            </w:r>
            <w:r>
              <w:t xml:space="preserve">Productivity Commission estimates based on CGC </w:t>
            </w:r>
            <w:r w:rsidRPr="00985AC9">
              <w:rPr>
                <w:rFonts w:cs="Arial"/>
              </w:rPr>
              <w:t>(2009)</w:t>
            </w:r>
            <w:r>
              <w:t xml:space="preserve">; RBA </w:t>
            </w:r>
            <w:r w:rsidR="009D6331" w:rsidRPr="009D6331">
              <w:rPr>
                <w:rFonts w:cs="Arial"/>
              </w:rPr>
              <w:t>(2017b)</w:t>
            </w:r>
            <w:r>
              <w:t>.</w:t>
            </w:r>
          </w:p>
        </w:tc>
      </w:tr>
      <w:tr w:rsidR="00F05DC7" w14:paraId="79549BA8" w14:textId="77777777" w:rsidTr="00A3786D">
        <w:tc>
          <w:tcPr>
            <w:tcW w:w="5000" w:type="pct"/>
            <w:tcBorders>
              <w:top w:val="nil"/>
              <w:left w:val="nil"/>
              <w:bottom w:val="single" w:sz="6" w:space="0" w:color="78A22F"/>
              <w:right w:val="nil"/>
            </w:tcBorders>
            <w:shd w:val="clear" w:color="auto" w:fill="auto"/>
          </w:tcPr>
          <w:p w14:paraId="79549BA7" w14:textId="77777777" w:rsidR="00F05DC7" w:rsidRDefault="00F05DC7" w:rsidP="00A3786D">
            <w:pPr>
              <w:pStyle w:val="Box"/>
              <w:spacing w:before="0" w:line="120" w:lineRule="exact"/>
            </w:pPr>
          </w:p>
        </w:tc>
      </w:tr>
      <w:tr w:rsidR="00F05DC7" w:rsidRPr="000863A5" w14:paraId="79549BAA" w14:textId="77777777" w:rsidTr="00A3786D">
        <w:tc>
          <w:tcPr>
            <w:tcW w:w="5000" w:type="pct"/>
            <w:tcBorders>
              <w:top w:val="single" w:sz="6" w:space="0" w:color="78A22F"/>
              <w:left w:val="nil"/>
              <w:bottom w:val="nil"/>
              <w:right w:val="nil"/>
            </w:tcBorders>
          </w:tcPr>
          <w:p w14:paraId="79549BA9" w14:textId="77777777" w:rsidR="00F05DC7" w:rsidRPr="00626D32" w:rsidRDefault="00F05DC7" w:rsidP="00A3786D">
            <w:pPr>
              <w:pStyle w:val="BoxSpaceBelow"/>
            </w:pPr>
          </w:p>
        </w:tc>
      </w:tr>
    </w:tbl>
    <w:p w14:paraId="79549BAB" w14:textId="77777777" w:rsidR="00F05DC7" w:rsidRDefault="00F05DC7" w:rsidP="00A3786D">
      <w:pPr>
        <w:pStyle w:val="Heading3"/>
      </w:pPr>
      <w:r>
        <w:lastRenderedPageBreak/>
        <w:t>Towards full equalisation and the zero</w:t>
      </w:r>
      <w:r>
        <w:noBreakHyphen/>
        <w:t>sum system</w:t>
      </w:r>
    </w:p>
    <w:p w14:paraId="79549BAC" w14:textId="77777777" w:rsidR="00F05DC7" w:rsidRPr="00475D71" w:rsidRDefault="00F05DC7" w:rsidP="00A3786D">
      <w:pPr>
        <w:pStyle w:val="BodyText"/>
      </w:pPr>
      <w:r>
        <w:t>Since its establishment in 1933, the CGC had evaluated claims for special grants by the financially weaker States. Its decisions had no bearing on the financial capacities of the standard (or ‘non</w:t>
      </w:r>
      <w:r>
        <w:noBreakHyphen/>
        <w:t>claimant’) States.</w:t>
      </w:r>
    </w:p>
    <w:p w14:paraId="79549BAD" w14:textId="0DC042DA" w:rsidR="00F05DC7" w:rsidRDefault="00F05DC7" w:rsidP="00A3786D">
      <w:pPr>
        <w:pStyle w:val="BodyText"/>
      </w:pPr>
      <w:r>
        <w:t xml:space="preserve">In 1976, financial assistance grants, which had grown increasingly ad hoc in terms of both size and method of determination, were replaced by income tax sharing arrangements, as part of the Fraser Government’s ‘New Federalism’ policy. New Federalism also permitted each State to impose a surcharge on income tax collected within that State, or to provide a rebate at the State’s own expense, as embodied in the </w:t>
      </w:r>
      <w:r w:rsidRPr="00795774">
        <w:rPr>
          <w:i/>
        </w:rPr>
        <w:t xml:space="preserve">Income Tax (Arrangements with the States) Act 1978 </w:t>
      </w:r>
      <w:r>
        <w:t xml:space="preserve">(Cwlth). No State enacted these arrangements, however, and the provisions were later repealed by the Hawke Government </w:t>
      </w:r>
      <w:r w:rsidRPr="006B3814">
        <w:rPr>
          <w:szCs w:val="24"/>
        </w:rPr>
        <w:t>(Twomey 2014, p. 16)</w:t>
      </w:r>
      <w:r>
        <w:t>.</w:t>
      </w:r>
    </w:p>
    <w:p w14:paraId="79549BAE" w14:textId="172C2473" w:rsidR="00F05DC7" w:rsidRDefault="00F05DC7" w:rsidP="00A3786D">
      <w:pPr>
        <w:pStyle w:val="BodyText"/>
      </w:pPr>
      <w:r>
        <w:t>The initial per capita relativities</w:t>
      </w:r>
      <w:r w:rsidRPr="00282527">
        <w:rPr>
          <w:rStyle w:val="FootnoteReference"/>
        </w:rPr>
        <w:footnoteReference w:id="5"/>
      </w:r>
      <w:r>
        <w:t xml:space="preserve"> used to distribute revenue under this framework and agreed upon by the Commonwealth and States were obtained by dividing the per capita financial assistance grant received by each State in 1975</w:t>
      </w:r>
      <w:r>
        <w:noBreakHyphen/>
        <w:t xml:space="preserve">76 by the per capita grant received by Victoria (which received the smallest grant). Hence, Victoria’s relativity was set at 1.0, with those of the other States being above this amount. The relativities were used in conjunction with population data to determine the share of tax revenue received by each State. Provision was also made for the relativities to be reviewed, although the agreement between the Commonwealth and States did not specify the body that would carry out the review </w:t>
      </w:r>
      <w:r w:rsidRPr="00E45A2E">
        <w:rPr>
          <w:szCs w:val="24"/>
        </w:rPr>
        <w:t>(CGC 1995, p. 137)</w:t>
      </w:r>
      <w:r>
        <w:t xml:space="preserve">. </w:t>
      </w:r>
    </w:p>
    <w:p w14:paraId="79549BAF" w14:textId="77777777" w:rsidR="00F05DC7" w:rsidRDefault="00F05DC7" w:rsidP="00A3786D">
      <w:pPr>
        <w:pStyle w:val="BodyText"/>
      </w:pPr>
      <w:r>
        <w:t>The April 1977 Premiers’ Conference saw the Commonwealth and States agree that:</w:t>
      </w:r>
    </w:p>
    <w:p w14:paraId="79549BB0" w14:textId="63C94B25" w:rsidR="00F05DC7" w:rsidRDefault="00F05DC7" w:rsidP="00A3786D">
      <w:pPr>
        <w:pStyle w:val="Quote"/>
      </w:pPr>
      <w:r>
        <w:t xml:space="preserve">The review should be on the basis of the principle that each State should be able to provide State Government services of a recurrent kind of the same standard as other States without imposing higher rates of taxes or charges; differences in revenue raising capacities and in the relative costs of providing comparable government services should be taken into account. </w:t>
      </w:r>
      <w:r w:rsidRPr="001D7598">
        <w:rPr>
          <w:szCs w:val="24"/>
        </w:rPr>
        <w:t>(Commonwealth of Australia 1977, p. </w:t>
      </w:r>
      <w:r w:rsidRPr="00AA6942">
        <w:rPr>
          <w:szCs w:val="24"/>
        </w:rPr>
        <w:t>17)</w:t>
      </w:r>
    </w:p>
    <w:p w14:paraId="79549BB1" w14:textId="77777777" w:rsidR="00F05DC7" w:rsidRDefault="00F05DC7">
      <w:pPr>
        <w:pStyle w:val="BodyText"/>
      </w:pPr>
      <w:r>
        <w:t xml:space="preserve">The CGC was ultimately given the task of reviewing the tax sharing relativities, under legislation that was approved in 1978. In 1979, the CGC conducted its review of relativities based on equalisation principles outlined in the </w:t>
      </w:r>
      <w:r w:rsidRPr="00BB42B5">
        <w:rPr>
          <w:i/>
        </w:rPr>
        <w:t>States (Personal Income Tax Sharing) Amendment Act 1978</w:t>
      </w:r>
      <w:r>
        <w:t xml:space="preserve"> (Cwlth), which specified:</w:t>
      </w:r>
    </w:p>
    <w:p w14:paraId="79549BB2" w14:textId="77777777" w:rsidR="00F05DC7" w:rsidRDefault="00F05DC7" w:rsidP="00A3786D">
      <w:pPr>
        <w:pStyle w:val="Quote"/>
      </w:pPr>
      <w:r>
        <w:t>… the respective payments to which the States are entitled … should enable each State to provide, without imposing taxes and charges at levels appreciably different from the levels of the taxes and charges imposed by other States, government services at standards not appreciably different from the standards of government services provided by the other States;</w:t>
      </w:r>
    </w:p>
    <w:p w14:paraId="79549BB3" w14:textId="77777777" w:rsidR="00F05DC7" w:rsidRDefault="00F05DC7" w:rsidP="00A3786D">
      <w:pPr>
        <w:pStyle w:val="Quote"/>
      </w:pPr>
      <w:r>
        <w:t>(ii) taking account of:</w:t>
      </w:r>
    </w:p>
    <w:p w14:paraId="79549BB4" w14:textId="77777777" w:rsidR="00F05DC7" w:rsidRDefault="00F05DC7" w:rsidP="00A3786D">
      <w:pPr>
        <w:pStyle w:val="QuoteBullet"/>
      </w:pPr>
      <w:r>
        <w:t>differences in the capacities of States to raise revenues; and</w:t>
      </w:r>
    </w:p>
    <w:p w14:paraId="79549BB5" w14:textId="77777777" w:rsidR="00F05DC7" w:rsidRDefault="00F05DC7" w:rsidP="00A3786D">
      <w:pPr>
        <w:pStyle w:val="QuoteBullet"/>
      </w:pPr>
      <w:r>
        <w:lastRenderedPageBreak/>
        <w:t>differences in the amounts required to be expended by the States in providing comparable government services … (s. 5)</w:t>
      </w:r>
    </w:p>
    <w:p w14:paraId="79549BB6" w14:textId="23CFB6EC" w:rsidR="00F05DC7" w:rsidRDefault="00F05DC7" w:rsidP="00A3786D">
      <w:pPr>
        <w:pStyle w:val="BodyText"/>
      </w:pPr>
      <w:r>
        <w:t>The task given to the CGC marked a significant departure from its previous work. From its inception, the CGC had assessed the additional funding needs required by claimant States to bring them up to a standard based on other States; as noted, grants recommended by the CGC had no direct bearing on the financial position of non</w:t>
      </w:r>
      <w:r>
        <w:noBreakHyphen/>
        <w:t>claimant States. In the case of distributing taxation revenue amongst the six States, however, an amount given to one State meant that the same amount was foregone for the other States — that is, allocation to the States had become a zero</w:t>
      </w:r>
      <w:r>
        <w:noBreakHyphen/>
        <w:t xml:space="preserve">sum game. In Williams’ </w:t>
      </w:r>
      <w:r w:rsidRPr="00C03517">
        <w:rPr>
          <w:szCs w:val="24"/>
        </w:rPr>
        <w:t>(2012, p. 147)</w:t>
      </w:r>
      <w:r>
        <w:t xml:space="preserve"> view ‘the CGC moved from being a peripheral to a major player in federal</w:t>
      </w:r>
      <w:r>
        <w:noBreakHyphen/>
        <w:t>state fiscal relations.’</w:t>
      </w:r>
    </w:p>
    <w:p w14:paraId="79549BB7" w14:textId="751626E5" w:rsidR="00F05DC7" w:rsidRDefault="00F05DC7" w:rsidP="00A3786D">
      <w:pPr>
        <w:pStyle w:val="BodyText"/>
      </w:pPr>
      <w:r>
        <w:t xml:space="preserve">The CGC reported in 1981, and the relativities it calculated suggested that the existing distribution of grants favoured Western Australia, South Australia, and Tasmania, at the expense of the remaining States. The CGC was asked to review its findings, and reported in 1982, with the revised relativities to be phased in over three years, subject to a guarantee that each State would receive a specified minimum increase in its grant each year. That guarantee prevented most of the adjustments to the recommended relativities from actually taking place </w:t>
      </w:r>
      <w:r w:rsidRPr="007071F5">
        <w:rPr>
          <w:szCs w:val="24"/>
        </w:rPr>
        <w:t>(CGC 2009, p. 33)</w:t>
      </w:r>
      <w:r>
        <w:t xml:space="preserve">. </w:t>
      </w:r>
    </w:p>
    <w:p w14:paraId="79549BB8" w14:textId="34703146" w:rsidR="00F05DC7" w:rsidRDefault="00F05DC7" w:rsidP="00A3786D">
      <w:pPr>
        <w:pStyle w:val="BodyText"/>
      </w:pPr>
      <w:r>
        <w:t>The CGC produced a new set of relativities in 1985, and recommended a set of relativities closer to pre</w:t>
      </w:r>
      <w:r>
        <w:noBreakHyphen/>
        <w:t xml:space="preserve">existing ones than the reviews of 1981 and 1982, and hence, were less difficult for States to accept. This was the first time that a set of relativities from the CGC representing full equalisation had been accepted largely intact </w:t>
      </w:r>
      <w:r w:rsidRPr="007071F5">
        <w:rPr>
          <w:szCs w:val="24"/>
        </w:rPr>
        <w:t>(Gray 2017, p. 14)</w:t>
      </w:r>
      <w:r>
        <w:t xml:space="preserve">. In addition, the Hawke Government changed the pool of funds used for HFE from a share of income tax to financial assistance grants in 1985 </w:t>
      </w:r>
      <w:r w:rsidRPr="0082648D">
        <w:rPr>
          <w:szCs w:val="24"/>
        </w:rPr>
        <w:t>(CGC 2009, p. 9)</w:t>
      </w:r>
      <w:r>
        <w:t xml:space="preserve">. </w:t>
      </w:r>
    </w:p>
    <w:p w14:paraId="79549BB9" w14:textId="77777777" w:rsidR="00F05DC7" w:rsidRDefault="00F05DC7" w:rsidP="00A3786D">
      <w:pPr>
        <w:pStyle w:val="Heading4"/>
      </w:pPr>
      <w:r>
        <w:t>Evolution of the equalisation objective</w:t>
      </w:r>
    </w:p>
    <w:p w14:paraId="79549BBA" w14:textId="77777777" w:rsidR="00F05DC7" w:rsidRDefault="00F05DC7" w:rsidP="00A3786D">
      <w:pPr>
        <w:pStyle w:val="BodyText"/>
      </w:pPr>
      <w:r>
        <w:t>An aspect of equalisation that has evolved through subsequent CGC reviews is the definition of the objective of HFE itself. Debate during the 1993 review indicated that a more precise statement of the objectives of equalisation might improve understanding of the concept, and by 1999 the CGC revised its definition of equalisation to:</w:t>
      </w:r>
    </w:p>
    <w:p w14:paraId="79549BBB" w14:textId="23F87747" w:rsidR="00F05DC7" w:rsidRDefault="00F05DC7" w:rsidP="00A3786D">
      <w:pPr>
        <w:pStyle w:val="Quote"/>
      </w:pPr>
      <w:r>
        <w:t xml:space="preserve">State governments should receive funding from the Commonwealth such that, if each made the same effort to raise revenue from its own sources and operated at the same level of efficiency, each would have the capacity to provide services at the same standard. </w:t>
      </w:r>
      <w:r w:rsidRPr="003A6695">
        <w:rPr>
          <w:szCs w:val="24"/>
        </w:rPr>
        <w:t>(CGC 2009, p. 33)</w:t>
      </w:r>
      <w:r>
        <w:t xml:space="preserve"> </w:t>
      </w:r>
    </w:p>
    <w:p w14:paraId="79549BBC" w14:textId="77777777" w:rsidR="00F05DC7" w:rsidRDefault="00F05DC7" w:rsidP="00A3786D">
      <w:pPr>
        <w:pStyle w:val="BodyText"/>
      </w:pPr>
      <w:r>
        <w:t>In the 2010 review, the CGC again revised its definition of equalisation. The intention was to better reflect the scope of State activities examined (for example, by including infrastructure) and provide clarity that only material influences were measured in constructing relativities. The definition applied by the CGC for the 2010 review was:</w:t>
      </w:r>
    </w:p>
    <w:p w14:paraId="79549BBD" w14:textId="1594D251" w:rsidR="00F05DC7" w:rsidRDefault="00F05DC7" w:rsidP="00A3786D">
      <w:pPr>
        <w:pStyle w:val="Quote"/>
      </w:pPr>
      <w:r>
        <w:t xml:space="preserve">State governments should receive funding from the pool of goods and services tax revenue such that, </w:t>
      </w:r>
      <w:r w:rsidRPr="003F7EEF">
        <w:t>after allowing for material factors affecting revenues and expenditures</w:t>
      </w:r>
      <w:r>
        <w:t xml:space="preserve">, each would have the fiscal capacity to provide services and the associated infrastructure at the same standard, if each </w:t>
      </w:r>
      <w:r>
        <w:lastRenderedPageBreak/>
        <w:t xml:space="preserve">made the same effort to raise revenue from its own sources and operated at the same level of efficiency. </w:t>
      </w:r>
      <w:r w:rsidRPr="003A6695">
        <w:rPr>
          <w:szCs w:val="24"/>
        </w:rPr>
        <w:t>(CGC 2010, p. 34)</w:t>
      </w:r>
    </w:p>
    <w:p w14:paraId="79549BBE" w14:textId="77777777" w:rsidR="00F05DC7" w:rsidRDefault="00F05DC7" w:rsidP="00A3786D">
      <w:pPr>
        <w:pStyle w:val="BodyText"/>
      </w:pPr>
      <w:r>
        <w:t>The definition of equalisation adopted in the 2010 review remains in use by the CGC. The CGC submitted that while the wording of the principle of equalisation has evolved over the years, ‘the principle has focused on the provision of financial support from the Commonwealth to ensure that each State has the same capacity to provide an equivalent standard of services to its residents’ (sub. 1, p. 3). The definition of equalisation among other OECD countries is discussed in appendix E.</w:t>
      </w:r>
    </w:p>
    <w:p w14:paraId="79549BBF" w14:textId="77777777" w:rsidR="00F05DC7" w:rsidRDefault="00F05DC7" w:rsidP="00A3786D">
      <w:pPr>
        <w:pStyle w:val="BodyText"/>
      </w:pPr>
      <w:r>
        <w:t xml:space="preserve">The current expression of the objective differs from that articulated in the </w:t>
      </w:r>
      <w:r w:rsidRPr="0035767E">
        <w:t>States (Personal Income Tax Sharing) Amendment Act</w:t>
      </w:r>
      <w:r w:rsidRPr="00BB42B5">
        <w:rPr>
          <w:i/>
        </w:rPr>
        <w:t xml:space="preserve"> </w:t>
      </w:r>
      <w:r>
        <w:t xml:space="preserve">(quoted above), in that the latter made reference to States providing services at standards ‘not appreciably different’ from each other, rather than the same standard. The implications of this are discussed in chapter 6. </w:t>
      </w:r>
    </w:p>
    <w:p w14:paraId="79549BC0" w14:textId="14430DE5" w:rsidR="00F05DC7" w:rsidRDefault="00F05DC7" w:rsidP="00A3786D">
      <w:pPr>
        <w:pStyle w:val="BodyText"/>
      </w:pPr>
      <w:r>
        <w:t xml:space="preserve">1981 thus marks the beginning of the system of full equalisation in which all States were equalised to the same fiscal capacity </w:t>
      </w:r>
      <w:r w:rsidRPr="0067333A">
        <w:rPr>
          <w:szCs w:val="24"/>
        </w:rPr>
        <w:t>(CGC 1995, p. 247)</w:t>
      </w:r>
      <w:r>
        <w:t xml:space="preserve">, albeit the term ‘the same fiscal capacity’ was not precisely expressed in the definition of the objective by the CGC until much later, in 1999. Although presentational approaches have changed and methods have evolved over time, the CGC’s overall approach to calculating per capita relativities has remained largely unchanged since 1981. </w:t>
      </w:r>
    </w:p>
    <w:p w14:paraId="79549BC1" w14:textId="77777777" w:rsidR="00F05DC7" w:rsidRDefault="00F05DC7" w:rsidP="00A3786D">
      <w:pPr>
        <w:pStyle w:val="Heading3"/>
      </w:pPr>
      <w:r>
        <w:t>Introduction of the GST</w:t>
      </w:r>
    </w:p>
    <w:p w14:paraId="79549BC2" w14:textId="2D91470B" w:rsidR="00F05DC7" w:rsidRDefault="00F05DC7" w:rsidP="00A3786D">
      <w:pPr>
        <w:pStyle w:val="BodyText"/>
      </w:pPr>
      <w:r>
        <w:t>By the mid</w:t>
      </w:r>
      <w:r>
        <w:noBreakHyphen/>
        <w:t xml:space="preserve">1970s, the States had started to impose franchise taxes on alcohol, petroleum and tobacco products. But in 1997, the High Court ruled that business franchise taxes were an excise tax and therefore invalid as imposed by the States. Prior to the ruling, these taxes had collectively accounted for 16 per cent of all State revenue </w:t>
      </w:r>
      <w:r w:rsidRPr="002048B5">
        <w:rPr>
          <w:szCs w:val="24"/>
        </w:rPr>
        <w:t>(James 1997)</w:t>
      </w:r>
      <w:r>
        <w:t>, and therefore represented a significant loss of revenue for the States. The Commonwealth responded to the ruling by increasing its own taxes on the affected commodities and distributing the revenue directly to the States as a stop</w:t>
      </w:r>
      <w:r>
        <w:noBreakHyphen/>
        <w:t>gap measure.</w:t>
      </w:r>
    </w:p>
    <w:p w14:paraId="79549BC3" w14:textId="77777777" w:rsidR="00F05DC7" w:rsidRDefault="00F05DC7" w:rsidP="00A3786D">
      <w:pPr>
        <w:pStyle w:val="BodyText"/>
      </w:pPr>
      <w:r>
        <w:t>The year after the High Court’s decision on State franchise taxes, the Commonwealth proposed the introduction of a GST, with all revenue from the tax to be delivered back to the States. In return, however, the States would have to abolish a number of existing taxes of their own, including wholesale sales tax, financial institutions taxes, and stamp duties on business, financial and capital transactions.</w:t>
      </w:r>
    </w:p>
    <w:p w14:paraId="79549BC4" w14:textId="77777777" w:rsidR="00F05DC7" w:rsidRDefault="00F05DC7" w:rsidP="00A3786D">
      <w:pPr>
        <w:pStyle w:val="BodyText"/>
      </w:pPr>
      <w:r>
        <w:t>The Intergovernmental Agreement on Federal Financial Relations accompanied the reform of Australia’s taxation system in 1999–2000. This Agreement made provisions for all GST revenue (less administration costs) to be shared among the States on the principles of equalisation (box 2.1).</w:t>
      </w:r>
      <w:r w:rsidRPr="00282527">
        <w:rPr>
          <w:rStyle w:val="FootnoteReference"/>
        </w:rPr>
        <w:footnoteReference w:id="6"/>
      </w:r>
      <w:r>
        <w:t xml:space="preserve"> States would be free to spend GST payments as they wished, thus </w:t>
      </w:r>
      <w:r>
        <w:lastRenderedPageBreak/>
        <w:t>granting States financial autonomy for this stream of revenue. The GST therefore further cemented the zero</w:t>
      </w:r>
      <w:r>
        <w:noBreakHyphen/>
        <w:t xml:space="preserve">sum game as an element of HFE in Australia. </w:t>
      </w:r>
    </w:p>
    <w:p w14:paraId="79549BC5"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BC7" w14:textId="77777777" w:rsidTr="001113B1">
        <w:trPr>
          <w:tblHeader/>
        </w:trPr>
        <w:tc>
          <w:tcPr>
            <w:tcW w:w="5000" w:type="pct"/>
            <w:tcBorders>
              <w:top w:val="single" w:sz="6" w:space="0" w:color="78A22F"/>
              <w:left w:val="nil"/>
              <w:bottom w:val="nil"/>
              <w:right w:val="nil"/>
            </w:tcBorders>
            <w:shd w:val="clear" w:color="auto" w:fill="F2F2F2"/>
          </w:tcPr>
          <w:p w14:paraId="79549BC6" w14:textId="3BC0535A" w:rsidR="00F05DC7" w:rsidRDefault="00F05DC7" w:rsidP="00A3786D">
            <w:pPr>
              <w:pStyle w:val="BoxTitle"/>
            </w:pPr>
            <w:r>
              <w:rPr>
                <w:b w:val="0"/>
              </w:rPr>
              <w:t>Box 2.</w:t>
            </w:r>
            <w:r>
              <w:rPr>
                <w:b w:val="0"/>
                <w:noProof/>
              </w:rPr>
              <w:t>1</w:t>
            </w:r>
            <w:r>
              <w:tab/>
              <w:t>The GST and HFE — a case of great expectations?</w:t>
            </w:r>
          </w:p>
        </w:tc>
      </w:tr>
      <w:tr w:rsidR="00F05DC7" w14:paraId="79549BDA" w14:textId="77777777" w:rsidTr="00A3786D">
        <w:tc>
          <w:tcPr>
            <w:tcW w:w="5000" w:type="pct"/>
            <w:tcBorders>
              <w:top w:val="nil"/>
              <w:left w:val="nil"/>
              <w:bottom w:val="nil"/>
              <w:right w:val="nil"/>
            </w:tcBorders>
            <w:shd w:val="clear" w:color="auto" w:fill="F2F2F2"/>
          </w:tcPr>
          <w:p w14:paraId="79549BC8" w14:textId="77777777" w:rsidR="00F05DC7" w:rsidRDefault="00F05DC7" w:rsidP="00A3786D">
            <w:pPr>
              <w:pStyle w:val="Box"/>
            </w:pPr>
            <w:r>
              <w:t>In a national address on 29 June 2000, two days before the GST and associated reforms were introduced, the then Prime Minister, John Howard, stated:</w:t>
            </w:r>
          </w:p>
          <w:p w14:paraId="79549BC9" w14:textId="18E9186D" w:rsidR="00F05DC7" w:rsidRDefault="00F05DC7" w:rsidP="00A3786D">
            <w:pPr>
              <w:pStyle w:val="BoxQuote"/>
            </w:pPr>
            <w:r>
              <w:t xml:space="preserve">Every last cent of GST revenue will go to the States. Every State in Australia, over time, will have more money to fund the roads, police, schools, and hospitals so important to our daily lives. (quoted in ABC News </w:t>
            </w:r>
            <w:r w:rsidRPr="005B022D">
              <w:rPr>
                <w:rFonts w:cs="Arial"/>
              </w:rPr>
              <w:t>2015</w:t>
            </w:r>
            <w:r>
              <w:t>)</w:t>
            </w:r>
          </w:p>
          <w:p w14:paraId="79549BCA" w14:textId="77777777" w:rsidR="00F05DC7" w:rsidRDefault="00F05DC7">
            <w:pPr>
              <w:pStyle w:val="Box"/>
            </w:pPr>
            <w:r>
              <w:t>On the future distribution of GST payments, the New South Wales Treasurer stated in 1999:</w:t>
            </w:r>
          </w:p>
          <w:p w14:paraId="79549BCB" w14:textId="5320294A" w:rsidR="00F05DC7" w:rsidRDefault="00F05DC7" w:rsidP="00A3786D">
            <w:pPr>
              <w:pStyle w:val="BoxQuote"/>
            </w:pPr>
            <w:r>
              <w:t xml:space="preserve">… New South Wales will be contributing about 36 per cent of total Commonwealth tax revenues … but will be getting back only about 30 per cent. That is also the case under existing arrangements. In other words, New South Wales taxpayers continue to subsidise the other States … Those funds … go to Queensland, South Australia, Western Australia and Tasmania. </w:t>
            </w:r>
            <w:r w:rsidRPr="00482A04">
              <w:rPr>
                <w:rFonts w:cs="Arial"/>
                <w:szCs w:val="24"/>
              </w:rPr>
              <w:t>(Egan 1999, p. 77)</w:t>
            </w:r>
          </w:p>
          <w:p w14:paraId="79549BCC" w14:textId="77777777" w:rsidR="00F05DC7" w:rsidRDefault="00F05DC7">
            <w:pPr>
              <w:pStyle w:val="Box"/>
            </w:pPr>
            <w:r>
              <w:t>The Queensland Treasurer argued in May 1999 that:</w:t>
            </w:r>
          </w:p>
          <w:p w14:paraId="79549BCD" w14:textId="3C40B2E4" w:rsidR="00F05DC7" w:rsidRDefault="00F05DC7" w:rsidP="00A3786D">
            <w:pPr>
              <w:pStyle w:val="BoxQuote"/>
            </w:pPr>
            <w:r>
              <w:t xml:space="preserve">Already under the coalition’s proposed GST package Queensland stands to lose $465 million in the first three years of the new tax. That is $465 million of tax money raised in Queensland which will be siphoned off to fund the removal of State taxes in Victoria and New South Wales. </w:t>
            </w:r>
            <w:r w:rsidRPr="00482A04">
              <w:rPr>
                <w:rFonts w:cs="Arial"/>
                <w:szCs w:val="24"/>
              </w:rPr>
              <w:t>(Hamill 1999, p. 98)</w:t>
            </w:r>
            <w:r>
              <w:t xml:space="preserve"> </w:t>
            </w:r>
          </w:p>
          <w:p w14:paraId="79549BCE" w14:textId="77777777" w:rsidR="00F05DC7" w:rsidRDefault="00F05DC7" w:rsidP="00A3786D">
            <w:pPr>
              <w:pStyle w:val="Box"/>
            </w:pPr>
            <w:r>
              <w:t>In April 2000, the Victorian Premier commented:</w:t>
            </w:r>
          </w:p>
          <w:p w14:paraId="79549BCF" w14:textId="2C202FDC" w:rsidR="00F05DC7" w:rsidRDefault="00F05DC7" w:rsidP="00A3786D">
            <w:pPr>
              <w:pStyle w:val="BoxQuote"/>
            </w:pPr>
            <w:r>
              <w:t>… the compromise with the Australian Democrats requiring exemptions from the GST meant that what was delivered by the federal Treasurer … was a document that showed that the benefits of the GST would not accrue to the Victorian economy until the year 2007</w:t>
            </w:r>
            <w:r>
              <w:noBreakHyphen/>
              <w:t xml:space="preserve">08 — a disturbing prospect. They will accrue to Queensland in the next couple of years. </w:t>
            </w:r>
            <w:r w:rsidRPr="00482A04">
              <w:rPr>
                <w:rFonts w:cs="Arial"/>
                <w:szCs w:val="24"/>
              </w:rPr>
              <w:t>(Bracks 2000, p. 690)</w:t>
            </w:r>
          </w:p>
          <w:p w14:paraId="79549BD0" w14:textId="77777777" w:rsidR="00F05DC7" w:rsidRDefault="00F05DC7" w:rsidP="00A3786D">
            <w:pPr>
              <w:pStyle w:val="Box"/>
            </w:pPr>
            <w:r>
              <w:t>The Victorian Minister for Finance remarked in September 2000:</w:t>
            </w:r>
          </w:p>
          <w:p w14:paraId="79549BD1" w14:textId="246033A5" w:rsidR="00F05DC7" w:rsidRDefault="00F05DC7" w:rsidP="00A3786D">
            <w:pPr>
              <w:pStyle w:val="BoxQuote"/>
            </w:pPr>
            <w:r>
              <w:t xml:space="preserve">… all GST payments are being returned to the States, although in the case of Victoria GST payments are less than they should be because of adverse Commonwealth Grants Commission relativities. </w:t>
            </w:r>
            <w:r w:rsidRPr="00482A04">
              <w:rPr>
                <w:rFonts w:cs="Arial"/>
                <w:szCs w:val="24"/>
              </w:rPr>
              <w:t>(Brumby 2000, p. 740)</w:t>
            </w:r>
          </w:p>
          <w:p w14:paraId="79549BD2" w14:textId="77777777" w:rsidR="00F05DC7" w:rsidRDefault="00F05DC7" w:rsidP="00A3786D">
            <w:pPr>
              <w:pStyle w:val="Box"/>
            </w:pPr>
            <w:r>
              <w:t>The Western Australian budget overview for the 2000</w:t>
            </w:r>
            <w:r>
              <w:noBreakHyphen/>
              <w:t>01 State budget predicted:</w:t>
            </w:r>
          </w:p>
          <w:p w14:paraId="79549BD3" w14:textId="524FA4F6" w:rsidR="00F05DC7" w:rsidRPr="006F6915" w:rsidRDefault="00F05DC7" w:rsidP="00A3786D">
            <w:pPr>
              <w:pStyle w:val="BoxQuote"/>
            </w:pPr>
            <w:r>
              <w:t xml:space="preserve">… in the longer term Western Australia is expected to gain significantly from tax reform, as the growth in GST revenues is expected to exceed the growth in the revenues it replaces. </w:t>
            </w:r>
            <w:r w:rsidRPr="00E72455">
              <w:rPr>
                <w:rFonts w:cs="Arial"/>
                <w:szCs w:val="24"/>
              </w:rPr>
              <w:t>(WA Government 2000, p. 12)</w:t>
            </w:r>
          </w:p>
          <w:p w14:paraId="79549BD4" w14:textId="77777777" w:rsidR="00F05DC7" w:rsidRDefault="00F05DC7" w:rsidP="00A3786D">
            <w:pPr>
              <w:pStyle w:val="Box"/>
            </w:pPr>
            <w:r>
              <w:t>In 2006, the then Commonwealth Treasurer argued that the GST had:</w:t>
            </w:r>
          </w:p>
          <w:p w14:paraId="79549BD5" w14:textId="7074ABC6" w:rsidR="00F05DC7" w:rsidRPr="00F32096" w:rsidRDefault="00F05DC7" w:rsidP="00A3786D">
            <w:pPr>
              <w:pStyle w:val="BoxQuote"/>
            </w:pPr>
            <w:r>
              <w:t xml:space="preserve">… opened up rivers of gold to State governments, more money than they were ever promised. </w:t>
            </w:r>
            <w:r w:rsidRPr="00F10A3A">
              <w:rPr>
                <w:rFonts w:cs="Arial"/>
                <w:szCs w:val="24"/>
              </w:rPr>
              <w:t>(Costello 2006b)</w:t>
            </w:r>
          </w:p>
          <w:p w14:paraId="79549BD6" w14:textId="77777777" w:rsidR="00F05DC7" w:rsidRDefault="00F05DC7" w:rsidP="00A3786D">
            <w:pPr>
              <w:pStyle w:val="Box"/>
            </w:pPr>
            <w:r>
              <w:t>The WA Government, in its submission to this inquiry, quoted the former Prime Minister, John Howard, as saying:</w:t>
            </w:r>
          </w:p>
          <w:p w14:paraId="79549BD7" w14:textId="3759E48D" w:rsidR="00F05DC7" w:rsidRDefault="00F05DC7" w:rsidP="00A3786D">
            <w:pPr>
              <w:pStyle w:val="BoxQuote"/>
            </w:pPr>
            <w:r>
              <w:t xml:space="preserve">I always knew that there would be fluctuations. I don’t think anybody in 1998 or 2000 had in front of them projections as to how unequal the distribution would become. (quoted in Parker </w:t>
            </w:r>
            <w:r w:rsidRPr="00F10A3A">
              <w:rPr>
                <w:rFonts w:cs="Arial"/>
                <w:szCs w:val="24"/>
              </w:rPr>
              <w:t>2013, p. 6</w:t>
            </w:r>
            <w:r>
              <w:t>)</w:t>
            </w:r>
          </w:p>
          <w:p w14:paraId="79549BD8" w14:textId="77777777" w:rsidR="00F05DC7" w:rsidRDefault="00F05DC7" w:rsidP="00A3786D">
            <w:pPr>
              <w:pStyle w:val="Box"/>
            </w:pPr>
            <w:r>
              <w:t>The WA Government also argued that:</w:t>
            </w:r>
          </w:p>
          <w:p w14:paraId="79549BD9" w14:textId="77777777" w:rsidR="00F05DC7" w:rsidRPr="00323F5E" w:rsidRDefault="00F05DC7" w:rsidP="00A3786D">
            <w:pPr>
              <w:pStyle w:val="BoxQuote"/>
            </w:pPr>
            <w:r>
              <w:t>It was never envisaged that GST relativities would fall so low when the 1999 GST agreement was negotiated with States and Western Australia may have never concurred to the agreement if perfect foresight had existed. (sub. 15, p. 11)</w:t>
            </w:r>
          </w:p>
        </w:tc>
      </w:tr>
      <w:tr w:rsidR="00F05DC7" w14:paraId="79549BDC" w14:textId="77777777" w:rsidTr="00A3786D">
        <w:tc>
          <w:tcPr>
            <w:tcW w:w="5000" w:type="pct"/>
            <w:tcBorders>
              <w:top w:val="nil"/>
              <w:left w:val="nil"/>
              <w:bottom w:val="single" w:sz="6" w:space="0" w:color="78A22F"/>
              <w:right w:val="nil"/>
            </w:tcBorders>
            <w:shd w:val="clear" w:color="auto" w:fill="F2F2F2"/>
          </w:tcPr>
          <w:p w14:paraId="79549BDB" w14:textId="77777777" w:rsidR="00F05DC7" w:rsidRDefault="00F05DC7">
            <w:pPr>
              <w:pStyle w:val="Box"/>
              <w:spacing w:before="0" w:line="120" w:lineRule="exact"/>
            </w:pPr>
          </w:p>
        </w:tc>
      </w:tr>
      <w:tr w:rsidR="00F05DC7" w:rsidRPr="000863A5" w14:paraId="79549BDE" w14:textId="77777777" w:rsidTr="00A3786D">
        <w:tc>
          <w:tcPr>
            <w:tcW w:w="5000" w:type="pct"/>
            <w:tcBorders>
              <w:top w:val="single" w:sz="6" w:space="0" w:color="78A22F"/>
              <w:left w:val="nil"/>
              <w:bottom w:val="nil"/>
              <w:right w:val="nil"/>
            </w:tcBorders>
          </w:tcPr>
          <w:p w14:paraId="79549BDD" w14:textId="77777777" w:rsidR="00F05DC7" w:rsidRPr="00626D32" w:rsidRDefault="00F05DC7" w:rsidP="00A3786D">
            <w:pPr>
              <w:pStyle w:val="BoxSpaceBelow"/>
            </w:pPr>
          </w:p>
        </w:tc>
      </w:tr>
    </w:tbl>
    <w:p w14:paraId="79549BDF" w14:textId="77777777" w:rsidR="00F05DC7" w:rsidRDefault="00F05DC7" w:rsidP="00A3786D">
      <w:pPr>
        <w:pStyle w:val="BodyText"/>
      </w:pPr>
      <w:r>
        <w:lastRenderedPageBreak/>
        <w:t>While this tax reform increased VFI in Australia, it was expected at the time to provide the States with a stable and more robust source of revenue:</w:t>
      </w:r>
    </w:p>
    <w:p w14:paraId="79549BE0" w14:textId="1F6B7F47" w:rsidR="00F05DC7" w:rsidRDefault="00F05DC7" w:rsidP="00A3786D">
      <w:pPr>
        <w:pStyle w:val="Quote"/>
      </w:pPr>
      <w:r>
        <w:t>Reflecting the strength of GST collections relative to the existing system of Commonwealth grants and narrowly based State indirect taxes, the Budgets of the States are projected to improve by $1.25 billion in 2004</w:t>
      </w:r>
      <w:r>
        <w:noBreakHyphen/>
        <w:t>05, $2.25 billion in 2005</w:t>
      </w:r>
      <w:r>
        <w:noBreakHyphen/>
        <w:t xml:space="preserve">06, and commensurately larger amounts in subsequent years. The enhanced revenue security of the States will ensure that they can provide a sustainable level of high quality services … </w:t>
      </w:r>
      <w:r w:rsidRPr="000F2BB5">
        <w:rPr>
          <w:szCs w:val="24"/>
        </w:rPr>
        <w:t>(Commonwealth of Australia 1998, p. 78)</w:t>
      </w:r>
    </w:p>
    <w:p w14:paraId="79549BE1" w14:textId="77777777" w:rsidR="00F05DC7" w:rsidRDefault="00F05DC7" w:rsidP="00A3786D">
      <w:pPr>
        <w:pStyle w:val="BodyText"/>
      </w:pPr>
      <w:r>
        <w:t xml:space="preserve">Importantly, therefore, the tax reforms of 2000 shifted the emphasis from the amount of assistance made available to the States — which was previously a negotiated amount between the Commonwealth and States — to matters of interstate allocation. This reduced the role of the Commonwealth in HFE issues by </w:t>
      </w:r>
      <w:r w:rsidRPr="006F2737">
        <w:t>curtailing</w:t>
      </w:r>
      <w:r>
        <w:t xml:space="preserve"> its part in determining the overall size of the pool of funds to be redistributed among the States: </w:t>
      </w:r>
    </w:p>
    <w:p w14:paraId="79549BE2" w14:textId="0761C952" w:rsidR="00F05DC7" w:rsidRDefault="00F05DC7" w:rsidP="00A3786D">
      <w:pPr>
        <w:pStyle w:val="Quote"/>
      </w:pPr>
      <w:r>
        <w:t xml:space="preserve">… introduction of the GST stabilised the process for determining the size of the pool. It also locked in the role of the CGC in determining the distribution of the pool among the States. At this point, the Commonwealth very clearly shed any responsibility for determining the distribution. </w:t>
      </w:r>
      <w:r w:rsidRPr="00F10A3A">
        <w:rPr>
          <w:szCs w:val="24"/>
        </w:rPr>
        <w:t>(Gray 2017, p. 30)</w:t>
      </w:r>
      <w:r>
        <w:t xml:space="preserve"> </w:t>
      </w:r>
    </w:p>
    <w:p w14:paraId="79549BE3" w14:textId="77777777" w:rsidR="00F05DC7" w:rsidRDefault="00F05DC7" w:rsidP="00A3786D">
      <w:pPr>
        <w:pStyle w:val="BodyText"/>
      </w:pPr>
      <w:r>
        <w:t>Indeed, in 2006, the then</w:t>
      </w:r>
      <w:r>
        <w:noBreakHyphen/>
        <w:t>Commonwealth Treasurer emphasised the Commonwealth’s lack of involvement in the HFE process, in response to disagreements amongst the States about the distribution of GST payments:</w:t>
      </w:r>
    </w:p>
    <w:p w14:paraId="79549BE4" w14:textId="4DB9B8EA" w:rsidR="00F05DC7" w:rsidRDefault="00F05DC7" w:rsidP="00A3786D">
      <w:pPr>
        <w:pStyle w:val="Quote"/>
      </w:pPr>
      <w:r w:rsidRPr="00B956D8">
        <w:t>There is nothing new about these arguments between the States. This has been going on since 1933. The only difference is they now have more money to argue about and the terms were agreed between the States. This is a very important point. Now, New South Wales will come in here and say it needs more money. That is an argument it is having with Queensland and Western Australia. Not an argument with me. I am not going to be joining into an argument between New South Wales and Queensland and New South Wales and Western Australia and New South Wales and South Australia.</w:t>
      </w:r>
      <w:r>
        <w:t xml:space="preserve"> </w:t>
      </w:r>
      <w:r w:rsidRPr="00F10A3A">
        <w:rPr>
          <w:szCs w:val="24"/>
        </w:rPr>
        <w:t>(Costello 2006a)</w:t>
      </w:r>
    </w:p>
    <w:p w14:paraId="79549BE5" w14:textId="510A1E42" w:rsidR="00F05DC7" w:rsidRDefault="00F05DC7" w:rsidP="00A3786D">
      <w:pPr>
        <w:pStyle w:val="BodyText"/>
      </w:pPr>
      <w:r>
        <w:t>The real average annual growth rate of GST revenue</w:t>
      </w:r>
      <w:r w:rsidRPr="00282527">
        <w:rPr>
          <w:rStyle w:val="FootnoteReference"/>
        </w:rPr>
        <w:footnoteReference w:id="7"/>
      </w:r>
      <w:r>
        <w:t xml:space="preserve"> over the period 2000</w:t>
      </w:r>
      <w:r>
        <w:noBreakHyphen/>
        <w:t>01 to 2016</w:t>
      </w:r>
      <w:r>
        <w:noBreakHyphen/>
        <w:t xml:space="preserve">17 was approximately 3.6 per cent, roughly the same growth rate as personal income tax, but less than that for stamp duties on conveyances, which grew at an annual rate of 6.6 per cent during the same period (figure 2.4). The GST pool has grown more slowly in recent years, and is arguably not the steady and growing source of revenue for the States that was first envisaged. Williams </w:t>
      </w:r>
      <w:r w:rsidRPr="004E3A5F">
        <w:rPr>
          <w:szCs w:val="24"/>
        </w:rPr>
        <w:t>(2012, p. 153)</w:t>
      </w:r>
      <w:r>
        <w:t xml:space="preserve"> observed:</w:t>
      </w:r>
    </w:p>
    <w:p w14:paraId="79549BE6" w14:textId="77777777" w:rsidR="00F05DC7" w:rsidRDefault="00F05DC7">
      <w:pPr>
        <w:pStyle w:val="Quote"/>
      </w:pPr>
      <w:r>
        <w:t>Tying general revenue payments to the GST was seen by the States and Commonwealth as providing a growth tax to the States. In practice, the exemptions from the GST have meant that the revenue from it is now growing at a slower rate than personal consumption expenditure.</w:t>
      </w:r>
    </w:p>
    <w:p w14:paraId="79549BE7" w14:textId="11A0E4EA" w:rsidR="00F05DC7" w:rsidRPr="00F23C38" w:rsidRDefault="00F05DC7" w:rsidP="00A3786D">
      <w:pPr>
        <w:pStyle w:val="BodyText"/>
      </w:pPr>
      <w:r>
        <w:lastRenderedPageBreak/>
        <w:t>The size of the pool distributed to the States has grown considerably since 1981. In 1981</w:t>
      </w:r>
      <w:r>
        <w:noBreakHyphen/>
        <w:t>82, approximately $25.4 billion (in 2016</w:t>
      </w:r>
      <w:r>
        <w:noBreakHyphen/>
        <w:t>17 terms) was distributed to States on the basis of HFE. In 1985</w:t>
      </w:r>
      <w:r>
        <w:noBreakHyphen/>
        <w:t>86, the amount had grown to nearly $28 billion (in 2016</w:t>
      </w:r>
      <w:r>
        <w:noBreakHyphen/>
        <w:t>17 terms) compared with roughly $62.4 billion in 2017</w:t>
      </w:r>
      <w:r>
        <w:noBreakHyphen/>
        <w:t xml:space="preserve">18 </w:t>
      </w:r>
      <w:r w:rsidR="009D6331" w:rsidRPr="009D6331">
        <w:rPr>
          <w:szCs w:val="24"/>
        </w:rPr>
        <w:t>(Commonwealth of Australia 2017e)</w:t>
      </w:r>
      <w:r>
        <w:t xml:space="preserve">. Nevertheless, the growth rate of GST revenue (in real terms) approximately halved between 2000–08 and 2009–17, from 4.5 per cent to 2.1 per cent. </w:t>
      </w:r>
    </w:p>
    <w:p w14:paraId="79549BE8"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BEB" w14:textId="77777777" w:rsidTr="00A3786D">
        <w:trPr>
          <w:tblHeader/>
        </w:trPr>
        <w:tc>
          <w:tcPr>
            <w:tcW w:w="5000" w:type="pct"/>
            <w:tcBorders>
              <w:top w:val="single" w:sz="6" w:space="0" w:color="78A22F"/>
              <w:left w:val="nil"/>
              <w:bottom w:val="nil"/>
              <w:right w:val="nil"/>
            </w:tcBorders>
            <w:shd w:val="clear" w:color="auto" w:fill="auto"/>
          </w:tcPr>
          <w:p w14:paraId="79549BE9" w14:textId="5E2503A6" w:rsidR="00F05DC7" w:rsidRDefault="00F05DC7" w:rsidP="00F968DA">
            <w:pPr>
              <w:pStyle w:val="FigureTitle"/>
            </w:pPr>
            <w:r w:rsidRPr="00F968DA">
              <w:rPr>
                <w:b w:val="0"/>
              </w:rPr>
              <w:t>Figure 2.4</w:t>
            </w:r>
            <w:r>
              <w:tab/>
              <w:t>Selected Commonwealth and State tax revenues</w:t>
            </w:r>
          </w:p>
          <w:p w14:paraId="79549BEA" w14:textId="77777777" w:rsidR="00F05DC7" w:rsidRPr="00795774" w:rsidRDefault="00F05DC7" w:rsidP="00A3786D">
            <w:pPr>
              <w:pStyle w:val="Subtitle"/>
            </w:pPr>
            <w:r>
              <w:t>$ 2016</w:t>
            </w:r>
            <w:r>
              <w:noBreakHyphen/>
              <w:t>17</w:t>
            </w:r>
          </w:p>
        </w:tc>
      </w:tr>
      <w:tr w:rsidR="00F05DC7" w14:paraId="79549BEF"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9BED" w14:textId="77777777" w:rsidTr="00A3786D">
              <w:trPr>
                <w:tblHeader/>
                <w:jc w:val="center"/>
              </w:trPr>
              <w:tc>
                <w:tcPr>
                  <w:tcW w:w="5000" w:type="pct"/>
                  <w:tcBorders>
                    <w:top w:val="nil"/>
                    <w:bottom w:val="nil"/>
                  </w:tcBorders>
                </w:tcPr>
                <w:p w14:paraId="79549BEC" w14:textId="77777777" w:rsidR="00F05DC7" w:rsidRPr="00B1465D" w:rsidRDefault="00F05DC7" w:rsidP="00A3786D">
                  <w:pPr>
                    <w:pStyle w:val="Figure"/>
                    <w:spacing w:before="60" w:after="60"/>
                    <w:rPr>
                      <w:rFonts w:ascii="Arial" w:hAnsi="Arial" w:cs="Arial"/>
                      <w:sz w:val="18"/>
                      <w:szCs w:val="18"/>
                    </w:rPr>
                  </w:pPr>
                  <w:r w:rsidRPr="00BD0B92">
                    <w:rPr>
                      <w:rFonts w:ascii="Arial" w:hAnsi="Arial" w:cs="Arial"/>
                      <w:noProof/>
                      <w:sz w:val="18"/>
                      <w:szCs w:val="18"/>
                    </w:rPr>
                    <w:drawing>
                      <wp:inline distT="0" distB="0" distL="0" distR="0" wp14:anchorId="7954D5B1" wp14:editId="7954D5B2">
                        <wp:extent cx="5410200" cy="2895600"/>
                        <wp:effectExtent l="0" t="0" r="0" b="0"/>
                        <wp:docPr id="12" name="Picture 12" descr="This figure shows the level of four major tax streams since 2000 01: the GST, income tax, company tax, and total State stamp duties on conveyances.&#10;Income tax collection has grown from approximately $120 million in the early 2000s, to nearly 200 million by 2016-17. While company tax has exhibited fluctuations in the total amount collected, GST and stamp duties on conveyances have generally exhibited steadier grow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tc>
            </w:tr>
          </w:tbl>
          <w:p w14:paraId="79549BEE" w14:textId="77777777" w:rsidR="00F05DC7" w:rsidRDefault="00F05DC7" w:rsidP="00A3786D">
            <w:pPr>
              <w:pStyle w:val="Figure"/>
            </w:pPr>
          </w:p>
        </w:tc>
      </w:tr>
      <w:tr w:rsidR="00F05DC7" w:rsidRPr="00176D3F" w14:paraId="79549BF1" w14:textId="77777777" w:rsidTr="00A3786D">
        <w:tc>
          <w:tcPr>
            <w:tcW w:w="5000" w:type="pct"/>
            <w:tcBorders>
              <w:top w:val="nil"/>
              <w:left w:val="nil"/>
              <w:bottom w:val="nil"/>
              <w:right w:val="nil"/>
            </w:tcBorders>
            <w:shd w:val="clear" w:color="auto" w:fill="auto"/>
          </w:tcPr>
          <w:p w14:paraId="79549BF0" w14:textId="029AB242" w:rsidR="00F05DC7" w:rsidRPr="00176D3F" w:rsidRDefault="00F05DC7" w:rsidP="00A3786D">
            <w:pPr>
              <w:pStyle w:val="Source"/>
            </w:pPr>
            <w:r>
              <w:rPr>
                <w:i/>
              </w:rPr>
              <w:t>S</w:t>
            </w:r>
            <w:r w:rsidRPr="00784A05">
              <w:rPr>
                <w:i/>
              </w:rPr>
              <w:t>ource</w:t>
            </w:r>
            <w:r>
              <w:rPr>
                <w:i/>
              </w:rPr>
              <w:t>s</w:t>
            </w:r>
            <w:r w:rsidRPr="00176D3F">
              <w:t xml:space="preserve">: </w:t>
            </w:r>
            <w:r>
              <w:t>Productivity Commission estimates based on ABS (</w:t>
            </w:r>
            <w:r w:rsidRPr="00690985">
              <w:rPr>
                <w:i/>
              </w:rPr>
              <w:t>Consumer Price Index, Australia,</w:t>
            </w:r>
            <w:r>
              <w:t xml:space="preserve"> Cat. no. 6401.0 and </w:t>
            </w:r>
            <w:r w:rsidRPr="00795774">
              <w:rPr>
                <w:i/>
              </w:rPr>
              <w:t>Taxation Revenue, Australia</w:t>
            </w:r>
            <w:r>
              <w:t xml:space="preserve">, Cat. no. 6606.0) and Commonwealth of Australia </w:t>
            </w:r>
            <w:r w:rsidR="009D6331" w:rsidRPr="009D6331">
              <w:rPr>
                <w:rFonts w:cs="Arial"/>
              </w:rPr>
              <w:t>(2017e)</w:t>
            </w:r>
            <w:r>
              <w:t>.</w:t>
            </w:r>
          </w:p>
        </w:tc>
      </w:tr>
      <w:tr w:rsidR="00F05DC7" w14:paraId="79549BF3" w14:textId="77777777" w:rsidTr="00A3786D">
        <w:tc>
          <w:tcPr>
            <w:tcW w:w="5000" w:type="pct"/>
            <w:tcBorders>
              <w:top w:val="nil"/>
              <w:left w:val="nil"/>
              <w:bottom w:val="single" w:sz="6" w:space="0" w:color="78A22F"/>
              <w:right w:val="nil"/>
            </w:tcBorders>
            <w:shd w:val="clear" w:color="auto" w:fill="auto"/>
          </w:tcPr>
          <w:p w14:paraId="79549BF2" w14:textId="77777777" w:rsidR="00F05DC7" w:rsidRDefault="00F05DC7" w:rsidP="00A3786D">
            <w:pPr>
              <w:pStyle w:val="Figurespace"/>
            </w:pPr>
          </w:p>
        </w:tc>
      </w:tr>
      <w:tr w:rsidR="00F05DC7" w:rsidRPr="000863A5" w14:paraId="79549BF5" w14:textId="77777777" w:rsidTr="00A3786D">
        <w:tc>
          <w:tcPr>
            <w:tcW w:w="5000" w:type="pct"/>
            <w:tcBorders>
              <w:top w:val="single" w:sz="6" w:space="0" w:color="78A22F"/>
              <w:left w:val="nil"/>
              <w:bottom w:val="nil"/>
              <w:right w:val="nil"/>
            </w:tcBorders>
          </w:tcPr>
          <w:p w14:paraId="79549BF4" w14:textId="77777777" w:rsidR="00F05DC7" w:rsidRPr="00626D32" w:rsidRDefault="00F05DC7" w:rsidP="00A3786D">
            <w:pPr>
              <w:pStyle w:val="BoxSpaceBelow"/>
            </w:pPr>
          </w:p>
        </w:tc>
      </w:tr>
    </w:tbl>
    <w:p w14:paraId="79549BF6" w14:textId="0CFBB6EF" w:rsidR="00F05DC7" w:rsidRPr="0052092E" w:rsidRDefault="00F05DC7">
      <w:pPr>
        <w:pStyle w:val="Heading2"/>
      </w:pPr>
      <w:bookmarkStart w:id="56" w:name="_Toc513637705"/>
      <w:r>
        <w:t>2.</w:t>
      </w:r>
      <w:r>
        <w:rPr>
          <w:noProof/>
        </w:rPr>
        <w:t>2</w:t>
      </w:r>
      <w:r>
        <w:tab/>
        <w:t>Present day context for HFE in Australia</w:t>
      </w:r>
      <w:bookmarkEnd w:id="56"/>
    </w:p>
    <w:p w14:paraId="79549BF7" w14:textId="77777777" w:rsidR="00F05DC7" w:rsidRPr="00A778BF" w:rsidRDefault="00F05DC7" w:rsidP="00A3786D">
      <w:pPr>
        <w:pStyle w:val="BodyText"/>
      </w:pPr>
      <w:r>
        <w:t>HFE today relates to the distribution of a pool of revenue (GST) among the States. The Intergovernmental Agreement on Federal Financial Relations of 2011 governs that GST is paid to the States on the basis of the principle of HFE. This pool is used for two purposes. First, it partially corrects for fiscal imbalances between the Commonwealth and the States (vertical equalisation). Second, it corrects for fiscal imbalances between the States (horizontal equalisation)</w:t>
      </w:r>
      <w:r w:rsidRPr="00A778BF">
        <w:t>.</w:t>
      </w:r>
      <w:r>
        <w:t xml:space="preserve"> </w:t>
      </w:r>
    </w:p>
    <w:p w14:paraId="79549BF8" w14:textId="77777777" w:rsidR="00F05DC7" w:rsidRDefault="00F05DC7" w:rsidP="00A3786D">
      <w:pPr>
        <w:pStyle w:val="Heading3"/>
        <w:spacing w:before="240"/>
        <w:rPr>
          <w:rFonts w:ascii="Times New Roman" w:hAnsi="Times New Roman"/>
          <w:b w:val="0"/>
          <w:sz w:val="24"/>
        </w:rPr>
      </w:pPr>
      <w:r>
        <w:rPr>
          <w:rFonts w:ascii="Times New Roman" w:hAnsi="Times New Roman"/>
          <w:b w:val="0"/>
          <w:sz w:val="24"/>
        </w:rPr>
        <w:t>HFE sits within a broader landscape of federal financial relations characterised by:</w:t>
      </w:r>
    </w:p>
    <w:p w14:paraId="79549BF9" w14:textId="77777777" w:rsidR="00F05DC7" w:rsidRDefault="00F05DC7" w:rsidP="00A3786D">
      <w:pPr>
        <w:pStyle w:val="ListBullet"/>
      </w:pPr>
      <w:r w:rsidRPr="00896BFA">
        <w:rPr>
          <w:i/>
        </w:rPr>
        <w:t xml:space="preserve">relatively strong concentration of power at the Commonwealth level </w:t>
      </w:r>
      <w:r>
        <w:t xml:space="preserve">— the Commonwealth places conditions (albeit loosely) on grants provided to the States, sets </w:t>
      </w:r>
      <w:r>
        <w:lastRenderedPageBreak/>
        <w:t>national priorities and has a significantly greater share of the tax base available to it</w:t>
      </w:r>
      <w:r w:rsidRPr="00E804BD">
        <w:t xml:space="preserve"> </w:t>
      </w:r>
      <w:r w:rsidRPr="00073C99">
        <w:rPr>
          <w:szCs w:val="24"/>
        </w:rPr>
        <w:t>(Robinson and Farrelly 2013, pp.</w:t>
      </w:r>
      <w:r w:rsidRPr="00701DF7">
        <w:rPr>
          <w:szCs w:val="24"/>
        </w:rPr>
        <w:t> 304–306)</w:t>
      </w:r>
    </w:p>
    <w:p w14:paraId="79549BFA" w14:textId="77777777" w:rsidR="00F05DC7" w:rsidRDefault="00F05DC7" w:rsidP="00A3786D">
      <w:pPr>
        <w:pStyle w:val="ListBullet"/>
      </w:pPr>
      <w:r>
        <w:rPr>
          <w:i/>
        </w:rPr>
        <w:t xml:space="preserve">comparatively </w:t>
      </w:r>
      <w:r w:rsidRPr="00896BFA">
        <w:rPr>
          <w:i/>
        </w:rPr>
        <w:t>low</w:t>
      </w:r>
      <w:r>
        <w:rPr>
          <w:i/>
        </w:rPr>
        <w:t>er</w:t>
      </w:r>
      <w:r w:rsidRPr="00896BFA">
        <w:rPr>
          <w:i/>
        </w:rPr>
        <w:t xml:space="preserve"> taxing powers of the </w:t>
      </w:r>
      <w:r>
        <w:rPr>
          <w:i/>
        </w:rPr>
        <w:t>States</w:t>
      </w:r>
      <w:r w:rsidRPr="00E804BD">
        <w:t xml:space="preserve"> </w:t>
      </w:r>
      <w:r>
        <w:t>— the State taxing powers mainly consist of payroll taxes, mining royalties, stamp duty and land taxes. In addition, States elect to refrain from taxing certain activities and bases, even though they are not highly distortionary (for example, death duties). This partly reflects tax competition between the States, but also the choice of tax base utilisation (discussed below)</w:t>
      </w:r>
    </w:p>
    <w:p w14:paraId="79549BFB" w14:textId="16FBA37B" w:rsidR="00F05DC7" w:rsidRDefault="00F05DC7" w:rsidP="00A3786D">
      <w:pPr>
        <w:pStyle w:val="ListBullet"/>
      </w:pPr>
      <w:r w:rsidRPr="00896BFA">
        <w:rPr>
          <w:i/>
        </w:rPr>
        <w:t>a co</w:t>
      </w:r>
      <w:r>
        <w:rPr>
          <w:i/>
        </w:rPr>
        <w:noBreakHyphen/>
      </w:r>
      <w:r w:rsidRPr="00896BFA">
        <w:rPr>
          <w:i/>
        </w:rPr>
        <w:t>operative approach to federalism</w:t>
      </w:r>
      <w:r>
        <w:rPr>
          <w:i/>
        </w:rPr>
        <w:t xml:space="preserve"> </w:t>
      </w:r>
      <w:r w:rsidRPr="00A778BF">
        <w:t xml:space="preserve">— </w:t>
      </w:r>
      <w:r>
        <w:t xml:space="preserve">there is </w:t>
      </w:r>
      <w:r w:rsidRPr="00A778BF">
        <w:t>widespread joint government involvement in many areas</w:t>
      </w:r>
      <w:r>
        <w:t xml:space="preserve">, such as in health and education </w:t>
      </w:r>
      <w:r w:rsidRPr="003F5923">
        <w:rPr>
          <w:szCs w:val="24"/>
        </w:rPr>
        <w:t>(Gray 2017, p. 20)</w:t>
      </w:r>
      <w:r>
        <w:t>.</w:t>
      </w:r>
    </w:p>
    <w:p w14:paraId="79549BFC" w14:textId="77777777" w:rsidR="00F05DC7" w:rsidRDefault="00F05DC7" w:rsidP="00A3786D">
      <w:pPr>
        <w:pStyle w:val="BodyText"/>
      </w:pPr>
      <w:r w:rsidRPr="00A778BF">
        <w:t>Australia’s need for HFE is</w:t>
      </w:r>
      <w:r>
        <w:t xml:space="preserve"> therefore</w:t>
      </w:r>
      <w:r w:rsidRPr="00A778BF">
        <w:t xml:space="preserve"> partly (though not entirely) a function of the </w:t>
      </w:r>
      <w:r>
        <w:t xml:space="preserve">VFI </w:t>
      </w:r>
      <w:r w:rsidRPr="00A778BF">
        <w:t xml:space="preserve">that currently exists between the </w:t>
      </w:r>
      <w:r>
        <w:t>States</w:t>
      </w:r>
      <w:r w:rsidRPr="00A778BF">
        <w:t xml:space="preserve"> and Commonwealth</w:t>
      </w:r>
      <w:r>
        <w:t xml:space="preserve"> (figure 2.5)</w:t>
      </w:r>
      <w:r w:rsidRPr="00A778BF">
        <w:t xml:space="preserve">. </w:t>
      </w:r>
      <w:r>
        <w:t xml:space="preserve">The imbalance is ‘corrected’ by transfers from the Commonwealth to the States which are either tied (payments for specific purposes — box 2.2) or untied general revenue assistance — almost exclusively GST payments. </w:t>
      </w:r>
    </w:p>
    <w:p w14:paraId="79549BFD"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C00" w14:textId="77777777" w:rsidTr="00A3786D">
        <w:trPr>
          <w:tblHeader/>
        </w:trPr>
        <w:tc>
          <w:tcPr>
            <w:tcW w:w="5000" w:type="pct"/>
            <w:tcBorders>
              <w:top w:val="single" w:sz="6" w:space="0" w:color="78A22F"/>
              <w:left w:val="nil"/>
              <w:bottom w:val="nil"/>
              <w:right w:val="nil"/>
            </w:tcBorders>
            <w:shd w:val="clear" w:color="auto" w:fill="auto"/>
          </w:tcPr>
          <w:p w14:paraId="79549BFE" w14:textId="40E42F4F" w:rsidR="00F05DC7" w:rsidRDefault="00F05DC7" w:rsidP="00A3786D">
            <w:pPr>
              <w:pStyle w:val="FigureTitle"/>
            </w:pPr>
            <w:r w:rsidRPr="00784A05">
              <w:rPr>
                <w:b w:val="0"/>
              </w:rPr>
              <w:t xml:space="preserve">Figure </w:t>
            </w:r>
            <w:r>
              <w:rPr>
                <w:b w:val="0"/>
              </w:rPr>
              <w:t>2.5</w:t>
            </w:r>
            <w:r>
              <w:tab/>
              <w:t xml:space="preserve">Vertical fiscal imbalance </w:t>
            </w:r>
          </w:p>
          <w:p w14:paraId="79549BFF" w14:textId="77777777" w:rsidR="00F05DC7" w:rsidRPr="00176D3F" w:rsidRDefault="00F05DC7" w:rsidP="00A3786D">
            <w:pPr>
              <w:pStyle w:val="Subtitle"/>
            </w:pPr>
            <w:r>
              <w:t>Commonwealth grants as a per cent of total State revenue</w:t>
            </w:r>
          </w:p>
        </w:tc>
      </w:tr>
      <w:tr w:rsidR="00F05DC7" w14:paraId="79549C04"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9C02" w14:textId="77777777" w:rsidTr="00A3786D">
              <w:trPr>
                <w:tblHeader/>
                <w:jc w:val="center"/>
              </w:trPr>
              <w:tc>
                <w:tcPr>
                  <w:tcW w:w="5000" w:type="pct"/>
                  <w:tcBorders>
                    <w:top w:val="nil"/>
                    <w:bottom w:val="nil"/>
                  </w:tcBorders>
                </w:tcPr>
                <w:p w14:paraId="79549C01" w14:textId="77777777" w:rsidR="00F05DC7" w:rsidRPr="00B1465D" w:rsidRDefault="00F05DC7" w:rsidP="00A3786D">
                  <w:pPr>
                    <w:pStyle w:val="Figure"/>
                    <w:spacing w:before="60" w:after="60"/>
                    <w:rPr>
                      <w:rFonts w:ascii="Arial" w:hAnsi="Arial" w:cs="Arial"/>
                      <w:sz w:val="18"/>
                      <w:szCs w:val="18"/>
                    </w:rPr>
                  </w:pPr>
                  <w:r w:rsidRPr="00927317">
                    <w:rPr>
                      <w:rFonts w:ascii="Arial" w:hAnsi="Arial" w:cs="Arial"/>
                      <w:noProof/>
                      <w:sz w:val="18"/>
                      <w:szCs w:val="18"/>
                    </w:rPr>
                    <w:drawing>
                      <wp:inline distT="0" distB="0" distL="0" distR="0" wp14:anchorId="7954D5B3" wp14:editId="7954D5B4">
                        <wp:extent cx="5401945" cy="2878455"/>
                        <wp:effectExtent l="0" t="0" r="8255" b="0"/>
                        <wp:docPr id="13" name="Picture 13" descr="At the time of Federation, the size of the vertical fiscal imbalance (VFI) in Australia, measured by the size of Commonwealth grants as a percentage of State revenue, was about 37 per cent. This declined throughout the 1920s and 1930s, reaching 14 per cent by 1938 39. &#10;After the Commonwealth assumed sole responsibility for collecting income tax, VFI rose significantly, reaching nearly 60 per cent by 1948 49 and rising to almost 70 per cent in 1958 59.&#10;Since the introduction of the GST, VFI has tended to fluctuate at about 45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14:paraId="79549C03" w14:textId="77777777" w:rsidR="00F05DC7" w:rsidRDefault="00F05DC7" w:rsidP="00A3786D">
            <w:pPr>
              <w:pStyle w:val="Figure"/>
            </w:pPr>
          </w:p>
        </w:tc>
      </w:tr>
      <w:tr w:rsidR="00F05DC7" w:rsidRPr="00176D3F" w14:paraId="79549C06" w14:textId="77777777" w:rsidTr="00A3786D">
        <w:tc>
          <w:tcPr>
            <w:tcW w:w="5000" w:type="pct"/>
            <w:tcBorders>
              <w:top w:val="nil"/>
              <w:left w:val="nil"/>
              <w:bottom w:val="nil"/>
              <w:right w:val="nil"/>
            </w:tcBorders>
            <w:shd w:val="clear" w:color="auto" w:fill="auto"/>
          </w:tcPr>
          <w:p w14:paraId="79549C05" w14:textId="77777777" w:rsidR="00F05DC7" w:rsidRPr="00176D3F" w:rsidRDefault="00F05DC7" w:rsidP="00A3786D">
            <w:pPr>
              <w:pStyle w:val="Source"/>
            </w:pPr>
            <w:r>
              <w:rPr>
                <w:i/>
              </w:rPr>
              <w:t>S</w:t>
            </w:r>
            <w:r w:rsidRPr="00784A05">
              <w:rPr>
                <w:i/>
              </w:rPr>
              <w:t>ource</w:t>
            </w:r>
            <w:r w:rsidRPr="00176D3F">
              <w:t>:</w:t>
            </w:r>
            <w:r w:rsidRPr="00964F13">
              <w:t xml:space="preserve"> </w:t>
            </w:r>
            <w:r w:rsidRPr="00AF7815">
              <w:t>Treasury (pers. comm., 8 September 2017).</w:t>
            </w:r>
          </w:p>
        </w:tc>
      </w:tr>
      <w:tr w:rsidR="00F05DC7" w14:paraId="79549C08" w14:textId="77777777" w:rsidTr="00A3786D">
        <w:tc>
          <w:tcPr>
            <w:tcW w:w="5000" w:type="pct"/>
            <w:tcBorders>
              <w:top w:val="nil"/>
              <w:left w:val="nil"/>
              <w:bottom w:val="single" w:sz="6" w:space="0" w:color="78A22F"/>
              <w:right w:val="nil"/>
            </w:tcBorders>
            <w:shd w:val="clear" w:color="auto" w:fill="auto"/>
          </w:tcPr>
          <w:p w14:paraId="79549C07" w14:textId="77777777" w:rsidR="00F05DC7" w:rsidRDefault="00F05DC7" w:rsidP="00A3786D">
            <w:pPr>
              <w:pStyle w:val="Figurespace"/>
            </w:pPr>
          </w:p>
        </w:tc>
      </w:tr>
      <w:tr w:rsidR="00F05DC7" w:rsidRPr="000863A5" w14:paraId="79549C0A" w14:textId="77777777" w:rsidTr="00A3786D">
        <w:tc>
          <w:tcPr>
            <w:tcW w:w="5000" w:type="pct"/>
            <w:tcBorders>
              <w:top w:val="single" w:sz="6" w:space="0" w:color="78A22F"/>
              <w:left w:val="nil"/>
              <w:bottom w:val="nil"/>
              <w:right w:val="nil"/>
            </w:tcBorders>
          </w:tcPr>
          <w:p w14:paraId="79549C09" w14:textId="77777777" w:rsidR="00F05DC7" w:rsidRPr="00626D32" w:rsidRDefault="00F05DC7" w:rsidP="00A3786D">
            <w:pPr>
              <w:pStyle w:val="BoxSpaceBelow"/>
            </w:pPr>
          </w:p>
        </w:tc>
      </w:tr>
    </w:tbl>
    <w:p w14:paraId="79549C0B" w14:textId="3A9299CA" w:rsidR="00F05DC7" w:rsidRDefault="00F05DC7" w:rsidP="00A3786D">
      <w:pPr>
        <w:pStyle w:val="BodyText"/>
      </w:pPr>
      <w:r>
        <w:t xml:space="preserve">When compared with other federations in the OECD, Australia features a relatively high VFI. Australia’s VFI is higher than Austria, Canada, Germany and the United States, but lower than Belgium and Mexico </w:t>
      </w:r>
      <w:r w:rsidRPr="00B04AE1">
        <w:rPr>
          <w:szCs w:val="24"/>
        </w:rPr>
        <w:t>(Koutsogeorgopulou and Tuske 2015, p. 10)</w:t>
      </w:r>
      <w:r>
        <w:t xml:space="preserve">. There is potential for VFI to be lower, however, if the States were themselves to alter the utilisation of their own tax bases. </w:t>
      </w:r>
    </w:p>
    <w:p w14:paraId="79549C0C" w14:textId="77777777" w:rsidR="00F05DC7" w:rsidRDefault="00F05DC7" w:rsidP="00A3786D">
      <w:pPr>
        <w:pStyle w:val="BodyText"/>
      </w:pPr>
      <w:r>
        <w:lastRenderedPageBreak/>
        <w:t>In particular, land taxes and payroll taxes have the potential to be imposed more efficiently, as observed by Walsh:</w:t>
      </w:r>
    </w:p>
    <w:p w14:paraId="79549C0D" w14:textId="77777777" w:rsidR="00F05DC7" w:rsidRDefault="00F05DC7" w:rsidP="00A3786D">
      <w:pPr>
        <w:pStyle w:val="Quote"/>
      </w:pPr>
      <w:r>
        <w:t>… the ostensible degree of fiscal dependence of the States on the Commonwealth is, at least to some degree, a choice the States have made … the payroll tax base and the land tax base are potentially very broad.</w:t>
      </w:r>
    </w:p>
    <w:p w14:paraId="79549C0E" w14:textId="5B0A6B54" w:rsidR="00F05DC7" w:rsidRPr="00EF70D4" w:rsidRDefault="00F05DC7" w:rsidP="00A3786D">
      <w:pPr>
        <w:pStyle w:val="Quote"/>
      </w:pPr>
      <w:r>
        <w:t xml:space="preserve">Land tax is one of the most efficient forms of tax … The States have chosen to apply it to a narrow base … Payroll tax … also has a potentially much broader base than it is effectively applied to now … </w:t>
      </w:r>
      <w:r w:rsidRPr="00CE51E0">
        <w:rPr>
          <w:szCs w:val="24"/>
        </w:rPr>
        <w:t>(2008, pp. 56–</w:t>
      </w:r>
      <w:r w:rsidRPr="00550B3A">
        <w:rPr>
          <w:szCs w:val="24"/>
        </w:rPr>
        <w:t>57)</w:t>
      </w:r>
      <w:r>
        <w:t xml:space="preserve"> </w:t>
      </w:r>
    </w:p>
    <w:p w14:paraId="79549C0F" w14:textId="77777777" w:rsidR="00F05DC7" w:rsidRPr="000C1A96" w:rsidRDefault="00F05DC7" w:rsidP="00A3786D">
      <w:pPr>
        <w:pStyle w:val="BodyText"/>
      </w:pPr>
      <w:r>
        <w:t>Australia’s degree of VFI was also remarked upon by participants to this inquiry, who commented on the limitations of HFE in an environment of fiscal imbalance between the Commonwealth and States (chapter 9).</w:t>
      </w:r>
    </w:p>
    <w:p w14:paraId="79549C10"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C12" w14:textId="77777777" w:rsidTr="001113B1">
        <w:trPr>
          <w:tblHeader/>
        </w:trPr>
        <w:tc>
          <w:tcPr>
            <w:tcW w:w="5000" w:type="pct"/>
            <w:tcBorders>
              <w:top w:val="single" w:sz="6" w:space="0" w:color="78A22F"/>
              <w:left w:val="nil"/>
              <w:bottom w:val="nil"/>
              <w:right w:val="nil"/>
            </w:tcBorders>
            <w:shd w:val="clear" w:color="auto" w:fill="F2F2F2"/>
          </w:tcPr>
          <w:p w14:paraId="79549C11" w14:textId="4BC28CDC" w:rsidR="00F05DC7" w:rsidRDefault="00F05DC7" w:rsidP="00A3786D">
            <w:pPr>
              <w:pStyle w:val="BoxTitle"/>
            </w:pPr>
            <w:r>
              <w:rPr>
                <w:b w:val="0"/>
              </w:rPr>
              <w:t>Box 2.</w:t>
            </w:r>
            <w:r>
              <w:rPr>
                <w:b w:val="0"/>
                <w:noProof/>
              </w:rPr>
              <w:t>2</w:t>
            </w:r>
            <w:r>
              <w:tab/>
              <w:t>Other redistributive mechanisms</w:t>
            </w:r>
          </w:p>
        </w:tc>
      </w:tr>
      <w:tr w:rsidR="00F05DC7" w14:paraId="79549C4D" w14:textId="77777777" w:rsidTr="00A3786D">
        <w:tc>
          <w:tcPr>
            <w:tcW w:w="5000" w:type="pct"/>
            <w:tcBorders>
              <w:top w:val="nil"/>
              <w:left w:val="nil"/>
              <w:bottom w:val="nil"/>
              <w:right w:val="nil"/>
            </w:tcBorders>
            <w:shd w:val="clear" w:color="auto" w:fill="F2F2F2"/>
          </w:tcPr>
          <w:p w14:paraId="79549C13" w14:textId="77777777" w:rsidR="00F05DC7" w:rsidRDefault="00F05DC7" w:rsidP="00A3786D">
            <w:pPr>
              <w:pStyle w:val="Box"/>
            </w:pPr>
            <w:r>
              <w:t>Along with HFE, the Commonwealth makes a range of other payments to the States in the form of payments for specific purposes:</w:t>
            </w:r>
          </w:p>
          <w:p w14:paraId="79549C14" w14:textId="77777777" w:rsidR="00F05DC7" w:rsidRPr="001C76ED" w:rsidRDefault="00F05DC7" w:rsidP="00A3786D">
            <w:pPr>
              <w:pStyle w:val="BoxListBullet"/>
            </w:pPr>
            <w:r w:rsidRPr="00A120FC">
              <w:rPr>
                <w:i/>
              </w:rPr>
              <w:t>National Specific Purpose Payments</w:t>
            </w:r>
            <w:r>
              <w:t xml:space="preserve"> — ongoing payments that are required to be spent in a particular sector, distributed between the States on an equal per capita basis</w:t>
            </w:r>
          </w:p>
          <w:p w14:paraId="79549C15" w14:textId="77777777" w:rsidR="00F05DC7" w:rsidRPr="001C76ED" w:rsidRDefault="00F05DC7" w:rsidP="00A3786D">
            <w:pPr>
              <w:pStyle w:val="BoxListBullet"/>
            </w:pPr>
            <w:r w:rsidRPr="00A120FC">
              <w:rPr>
                <w:i/>
              </w:rPr>
              <w:t>National Health Reform funding</w:t>
            </w:r>
            <w:r>
              <w:t xml:space="preserve"> — ongoing payments for spending on hospitals and other public health activities managed by the States, provided on an activity basis</w:t>
            </w:r>
          </w:p>
          <w:p w14:paraId="79549C16" w14:textId="77777777" w:rsidR="00F05DC7" w:rsidRPr="001C76ED" w:rsidRDefault="00F05DC7" w:rsidP="00A3786D">
            <w:pPr>
              <w:pStyle w:val="BoxListBullet"/>
            </w:pPr>
            <w:r>
              <w:rPr>
                <w:i/>
              </w:rPr>
              <w:t>Quality Schools</w:t>
            </w:r>
            <w:r w:rsidRPr="00A120FC">
              <w:rPr>
                <w:i/>
              </w:rPr>
              <w:t xml:space="preserve"> funding</w:t>
            </w:r>
            <w:r w:rsidRPr="001C76ED">
              <w:t xml:space="preserve"> </w:t>
            </w:r>
            <w:r>
              <w:t>— ongoing payments for spending on schooling, distributed according to the Schooling Resource Standard, which includes a per student base amount with loadings for factors including location, size,</w:t>
            </w:r>
            <w:r w:rsidRPr="00572690">
              <w:t xml:space="preserve"> low socioeconomic</w:t>
            </w:r>
            <w:r>
              <w:t xml:space="preserve"> status students,</w:t>
            </w:r>
            <w:r w:rsidRPr="00572690">
              <w:t xml:space="preserve"> </w:t>
            </w:r>
            <w:r>
              <w:t xml:space="preserve">and </w:t>
            </w:r>
            <w:r w:rsidRPr="00572690">
              <w:t xml:space="preserve">Aboriginal and Torres Strait Islander </w:t>
            </w:r>
            <w:r>
              <w:t>students</w:t>
            </w:r>
          </w:p>
          <w:p w14:paraId="79549C17" w14:textId="77777777" w:rsidR="00F05DC7" w:rsidRDefault="00F05DC7" w:rsidP="00A3786D">
            <w:pPr>
              <w:pStyle w:val="BoxListBullet"/>
              <w:spacing w:after="120"/>
            </w:pPr>
            <w:r w:rsidRPr="00A120FC">
              <w:rPr>
                <w:i/>
              </w:rPr>
              <w:t>National Partnership Payments</w:t>
            </w:r>
            <w:r>
              <w:t xml:space="preserve"> — payments </w:t>
            </w:r>
            <w:r w:rsidRPr="00C4018E">
              <w:t>to support the delivery of specified outputs or projects, to facilitate reforms or to reward those jurisdictions that deliver on nationally significant reforms.</w:t>
            </w:r>
          </w:p>
          <w:p w14:paraId="79549C18" w14:textId="77777777" w:rsidR="00F05DC7" w:rsidRPr="00AF7815" w:rsidRDefault="00F05DC7" w:rsidP="00A3786D">
            <w:pPr>
              <w:pStyle w:val="BoxHeading1"/>
            </w:pPr>
            <w:r w:rsidRPr="00AF7815">
              <w:t>Commonwealth transfers to the States</w:t>
            </w:r>
          </w:p>
          <w:p w14:paraId="79549C19" w14:textId="77777777" w:rsidR="00F05DC7" w:rsidRDefault="00F05DC7" w:rsidP="00A3786D">
            <w:pPr>
              <w:pStyle w:val="Box"/>
              <w:spacing w:before="0" w:after="80"/>
            </w:pPr>
            <w:r w:rsidRPr="00BB69F5">
              <w:t>Estimated values, $million</w:t>
            </w:r>
          </w:p>
          <w:tbl>
            <w:tblPr>
              <w:tblW w:w="5000" w:type="pct"/>
              <w:tblCellMar>
                <w:top w:w="28" w:type="dxa"/>
                <w:left w:w="0" w:type="dxa"/>
                <w:right w:w="0" w:type="dxa"/>
              </w:tblCellMar>
              <w:tblLook w:val="0000" w:firstRow="0" w:lastRow="0" w:firstColumn="0" w:lastColumn="0" w:noHBand="0" w:noVBand="0"/>
            </w:tblPr>
            <w:tblGrid>
              <w:gridCol w:w="3224"/>
              <w:gridCol w:w="1761"/>
              <w:gridCol w:w="1761"/>
              <w:gridCol w:w="1759"/>
            </w:tblGrid>
            <w:tr w:rsidR="00F05DC7" w14:paraId="79549C1E" w14:textId="77777777" w:rsidTr="00A3786D">
              <w:trPr>
                <w:tblHeader/>
              </w:trPr>
              <w:tc>
                <w:tcPr>
                  <w:tcW w:w="1896" w:type="pct"/>
                  <w:tcBorders>
                    <w:top w:val="single" w:sz="6" w:space="0" w:color="BFBFBF"/>
                    <w:bottom w:val="single" w:sz="6" w:space="0" w:color="BFBFBF"/>
                  </w:tcBorders>
                  <w:shd w:val="clear" w:color="auto" w:fill="auto"/>
                  <w:tcMar>
                    <w:top w:w="28" w:type="dxa"/>
                  </w:tcMar>
                </w:tcPr>
                <w:p w14:paraId="79549C1A" w14:textId="77777777" w:rsidR="00F05DC7" w:rsidRDefault="00F05DC7" w:rsidP="00A3786D">
                  <w:pPr>
                    <w:pStyle w:val="TableColumnHeading"/>
                    <w:jc w:val="left"/>
                  </w:pPr>
                </w:p>
              </w:tc>
              <w:tc>
                <w:tcPr>
                  <w:tcW w:w="1035" w:type="pct"/>
                  <w:tcBorders>
                    <w:top w:val="single" w:sz="6" w:space="0" w:color="BFBFBF"/>
                    <w:bottom w:val="single" w:sz="6" w:space="0" w:color="BFBFBF"/>
                  </w:tcBorders>
                  <w:shd w:val="clear" w:color="auto" w:fill="auto"/>
                  <w:tcMar>
                    <w:top w:w="28" w:type="dxa"/>
                  </w:tcMar>
                </w:tcPr>
                <w:p w14:paraId="79549C1B" w14:textId="77777777" w:rsidR="00F05DC7" w:rsidRDefault="00F05DC7" w:rsidP="00A3786D">
                  <w:pPr>
                    <w:pStyle w:val="TableColumnHeading"/>
                  </w:pPr>
                  <w:r>
                    <w:t>2016</w:t>
                  </w:r>
                  <w:r>
                    <w:noBreakHyphen/>
                    <w:t>17</w:t>
                  </w:r>
                </w:p>
              </w:tc>
              <w:tc>
                <w:tcPr>
                  <w:tcW w:w="1035" w:type="pct"/>
                  <w:tcBorders>
                    <w:top w:val="single" w:sz="6" w:space="0" w:color="BFBFBF"/>
                    <w:bottom w:val="single" w:sz="6" w:space="0" w:color="BFBFBF"/>
                  </w:tcBorders>
                  <w:shd w:val="clear" w:color="auto" w:fill="auto"/>
                  <w:tcMar>
                    <w:top w:w="28" w:type="dxa"/>
                  </w:tcMar>
                </w:tcPr>
                <w:p w14:paraId="79549C1C" w14:textId="77777777" w:rsidR="00F05DC7" w:rsidRDefault="00F05DC7" w:rsidP="00A3786D">
                  <w:pPr>
                    <w:pStyle w:val="TableColumnHeading"/>
                    <w:ind w:right="28"/>
                  </w:pPr>
                  <w:r>
                    <w:t>2017</w:t>
                  </w:r>
                  <w:r>
                    <w:noBreakHyphen/>
                    <w:t>18</w:t>
                  </w:r>
                </w:p>
              </w:tc>
              <w:tc>
                <w:tcPr>
                  <w:tcW w:w="1035" w:type="pct"/>
                  <w:tcBorders>
                    <w:top w:val="single" w:sz="6" w:space="0" w:color="BFBFBF"/>
                    <w:bottom w:val="single" w:sz="6" w:space="0" w:color="BFBFBF"/>
                  </w:tcBorders>
                </w:tcPr>
                <w:p w14:paraId="79549C1D" w14:textId="77777777" w:rsidR="00F05DC7" w:rsidRDefault="00F05DC7" w:rsidP="00A3786D">
                  <w:pPr>
                    <w:pStyle w:val="TableColumnHeading"/>
                    <w:ind w:right="28"/>
                  </w:pPr>
                  <w:r>
                    <w:t>Distribution basis</w:t>
                  </w:r>
                </w:p>
              </w:tc>
            </w:tr>
            <w:tr w:rsidR="00F05DC7" w14:paraId="79549C23" w14:textId="77777777" w:rsidTr="00A3786D">
              <w:tc>
                <w:tcPr>
                  <w:tcW w:w="1896" w:type="pct"/>
                  <w:tcBorders>
                    <w:top w:val="single" w:sz="6" w:space="0" w:color="BFBFBF"/>
                  </w:tcBorders>
                </w:tcPr>
                <w:p w14:paraId="79549C1F" w14:textId="77777777" w:rsidR="00F05DC7" w:rsidRDefault="00F05DC7" w:rsidP="00A3786D">
                  <w:pPr>
                    <w:pStyle w:val="TableUnitsRow"/>
                    <w:jc w:val="left"/>
                  </w:pPr>
                  <w:r>
                    <w:t>National Specific Purpose Payments</w:t>
                  </w:r>
                </w:p>
              </w:tc>
              <w:tc>
                <w:tcPr>
                  <w:tcW w:w="1035" w:type="pct"/>
                  <w:tcBorders>
                    <w:top w:val="single" w:sz="6" w:space="0" w:color="BFBFBF"/>
                  </w:tcBorders>
                </w:tcPr>
                <w:p w14:paraId="79549C20" w14:textId="77777777" w:rsidR="00F05DC7" w:rsidRDefault="00F05DC7" w:rsidP="00A3786D">
                  <w:pPr>
                    <w:pStyle w:val="TableUnitsRow"/>
                  </w:pPr>
                  <w:r>
                    <w:t>4 309</w:t>
                  </w:r>
                </w:p>
              </w:tc>
              <w:tc>
                <w:tcPr>
                  <w:tcW w:w="1035" w:type="pct"/>
                  <w:tcBorders>
                    <w:top w:val="single" w:sz="6" w:space="0" w:color="BFBFBF"/>
                  </w:tcBorders>
                </w:tcPr>
                <w:p w14:paraId="79549C21" w14:textId="77777777" w:rsidR="00F05DC7" w:rsidRDefault="00F05DC7" w:rsidP="00A3786D">
                  <w:pPr>
                    <w:pStyle w:val="TableUnitsRow"/>
                    <w:ind w:right="28"/>
                  </w:pPr>
                  <w:r>
                    <w:t>4 375</w:t>
                  </w:r>
                </w:p>
              </w:tc>
              <w:tc>
                <w:tcPr>
                  <w:tcW w:w="1035" w:type="pct"/>
                  <w:tcBorders>
                    <w:top w:val="single" w:sz="6" w:space="0" w:color="BFBFBF"/>
                  </w:tcBorders>
                </w:tcPr>
                <w:p w14:paraId="79549C22" w14:textId="77777777" w:rsidR="00F05DC7" w:rsidRDefault="00F05DC7" w:rsidP="00A3786D">
                  <w:pPr>
                    <w:pStyle w:val="TableUnitsRow"/>
                    <w:ind w:right="28"/>
                  </w:pPr>
                  <w:r>
                    <w:t>Equal per capita</w:t>
                  </w:r>
                </w:p>
              </w:tc>
            </w:tr>
            <w:tr w:rsidR="00F05DC7" w14:paraId="79549C28" w14:textId="77777777" w:rsidTr="00A3786D">
              <w:tc>
                <w:tcPr>
                  <w:tcW w:w="1896" w:type="pct"/>
                </w:tcPr>
                <w:p w14:paraId="79549C24" w14:textId="77777777" w:rsidR="00F05DC7" w:rsidRDefault="00F05DC7" w:rsidP="00A3786D">
                  <w:pPr>
                    <w:pStyle w:val="TableBodyText"/>
                    <w:jc w:val="left"/>
                  </w:pPr>
                  <w:r>
                    <w:t>National Health Reform funding</w:t>
                  </w:r>
                </w:p>
              </w:tc>
              <w:tc>
                <w:tcPr>
                  <w:tcW w:w="1035" w:type="pct"/>
                </w:tcPr>
                <w:p w14:paraId="79549C25" w14:textId="77777777" w:rsidR="00F05DC7" w:rsidRDefault="00F05DC7" w:rsidP="00A3786D">
                  <w:pPr>
                    <w:pStyle w:val="TableBodyText"/>
                  </w:pPr>
                  <w:r>
                    <w:t>18 638</w:t>
                  </w:r>
                </w:p>
              </w:tc>
              <w:tc>
                <w:tcPr>
                  <w:tcW w:w="1035" w:type="pct"/>
                </w:tcPr>
                <w:p w14:paraId="79549C26" w14:textId="77777777" w:rsidR="00F05DC7" w:rsidRDefault="00F05DC7" w:rsidP="00A3786D">
                  <w:pPr>
                    <w:pStyle w:val="TableBodyText"/>
                    <w:ind w:right="28"/>
                  </w:pPr>
                  <w:r>
                    <w:t>19 563</w:t>
                  </w:r>
                </w:p>
              </w:tc>
              <w:tc>
                <w:tcPr>
                  <w:tcW w:w="1035" w:type="pct"/>
                </w:tcPr>
                <w:p w14:paraId="79549C27" w14:textId="77777777" w:rsidR="00F05DC7" w:rsidRDefault="00F05DC7" w:rsidP="00A3786D">
                  <w:pPr>
                    <w:pStyle w:val="TableBodyText"/>
                    <w:ind w:right="28"/>
                  </w:pPr>
                  <w:r>
                    <w:t>Activity</w:t>
                  </w:r>
                </w:p>
              </w:tc>
            </w:tr>
            <w:tr w:rsidR="00F05DC7" w14:paraId="79549C2D" w14:textId="77777777" w:rsidTr="00A3786D">
              <w:tc>
                <w:tcPr>
                  <w:tcW w:w="1896" w:type="pct"/>
                </w:tcPr>
                <w:p w14:paraId="79549C29" w14:textId="77777777" w:rsidR="00F05DC7" w:rsidRDefault="00F05DC7" w:rsidP="00A3786D">
                  <w:pPr>
                    <w:pStyle w:val="TableBodyText"/>
                    <w:jc w:val="left"/>
                  </w:pPr>
                  <w:r>
                    <w:t>Quality Schools funding</w:t>
                  </w:r>
                </w:p>
              </w:tc>
              <w:tc>
                <w:tcPr>
                  <w:tcW w:w="1035" w:type="pct"/>
                </w:tcPr>
                <w:p w14:paraId="79549C2A" w14:textId="77777777" w:rsidR="00F05DC7" w:rsidRDefault="00F05DC7" w:rsidP="00A3786D">
                  <w:pPr>
                    <w:pStyle w:val="TableBodyText"/>
                  </w:pPr>
                  <w:r>
                    <w:t>17 091</w:t>
                  </w:r>
                </w:p>
              </w:tc>
              <w:tc>
                <w:tcPr>
                  <w:tcW w:w="1035" w:type="pct"/>
                </w:tcPr>
                <w:p w14:paraId="79549C2B" w14:textId="77777777" w:rsidR="00F05DC7" w:rsidRDefault="00F05DC7" w:rsidP="00A3786D">
                  <w:pPr>
                    <w:pStyle w:val="TableBodyText"/>
                    <w:ind w:right="28"/>
                  </w:pPr>
                  <w:r>
                    <w:t>18 324</w:t>
                  </w:r>
                </w:p>
              </w:tc>
              <w:tc>
                <w:tcPr>
                  <w:tcW w:w="1035" w:type="pct"/>
                </w:tcPr>
                <w:p w14:paraId="79549C2C" w14:textId="77777777" w:rsidR="00F05DC7" w:rsidRDefault="00F05DC7" w:rsidP="00A3786D">
                  <w:pPr>
                    <w:pStyle w:val="TableBodyText"/>
                    <w:ind w:right="28"/>
                  </w:pPr>
                  <w:r>
                    <w:t>Needs</w:t>
                  </w:r>
                </w:p>
              </w:tc>
            </w:tr>
            <w:tr w:rsidR="00F05DC7" w14:paraId="79549C32" w14:textId="77777777" w:rsidTr="00A3786D">
              <w:tc>
                <w:tcPr>
                  <w:tcW w:w="1896" w:type="pct"/>
                </w:tcPr>
                <w:p w14:paraId="79549C2E" w14:textId="77777777" w:rsidR="00F05DC7" w:rsidRDefault="00F05DC7" w:rsidP="00A3786D">
                  <w:pPr>
                    <w:pStyle w:val="TableBodyText"/>
                    <w:jc w:val="left"/>
                  </w:pPr>
                  <w:r>
                    <w:t>National Partnership Payments</w:t>
                  </w:r>
                </w:p>
              </w:tc>
              <w:tc>
                <w:tcPr>
                  <w:tcW w:w="1035" w:type="pct"/>
                </w:tcPr>
                <w:p w14:paraId="79549C2F" w14:textId="77777777" w:rsidR="00F05DC7" w:rsidRDefault="00F05DC7" w:rsidP="00A3786D">
                  <w:pPr>
                    <w:pStyle w:val="TableBodyText"/>
                  </w:pPr>
                  <w:r>
                    <w:t>15 090</w:t>
                  </w:r>
                </w:p>
              </w:tc>
              <w:tc>
                <w:tcPr>
                  <w:tcW w:w="1035" w:type="pct"/>
                </w:tcPr>
                <w:p w14:paraId="79549C30" w14:textId="77777777" w:rsidR="00F05DC7" w:rsidRDefault="00F05DC7" w:rsidP="00A3786D">
                  <w:pPr>
                    <w:pStyle w:val="TableBodyText"/>
                    <w:ind w:right="28"/>
                  </w:pPr>
                  <w:r>
                    <w:t>13 337</w:t>
                  </w:r>
                </w:p>
              </w:tc>
              <w:tc>
                <w:tcPr>
                  <w:tcW w:w="1035" w:type="pct"/>
                </w:tcPr>
                <w:p w14:paraId="79549C31" w14:textId="77777777" w:rsidR="00F05DC7" w:rsidRDefault="00F05DC7" w:rsidP="00A3786D">
                  <w:pPr>
                    <w:pStyle w:val="TableBodyText"/>
                    <w:ind w:right="28"/>
                  </w:pPr>
                  <w:r>
                    <w:t>Negotiation</w:t>
                  </w:r>
                </w:p>
              </w:tc>
            </w:tr>
            <w:tr w:rsidR="00F05DC7" w14:paraId="79549C37" w14:textId="77777777" w:rsidTr="00A3786D">
              <w:tc>
                <w:tcPr>
                  <w:tcW w:w="1896" w:type="pct"/>
                </w:tcPr>
                <w:p w14:paraId="79549C33" w14:textId="77777777" w:rsidR="00F05DC7" w:rsidRDefault="00F05DC7" w:rsidP="00A3786D">
                  <w:pPr>
                    <w:pStyle w:val="TableBodyText"/>
                    <w:jc w:val="left"/>
                  </w:pPr>
                  <w:r>
                    <w:t>GST entitlement</w:t>
                  </w:r>
                </w:p>
              </w:tc>
              <w:tc>
                <w:tcPr>
                  <w:tcW w:w="1035" w:type="pct"/>
                </w:tcPr>
                <w:p w14:paraId="79549C34" w14:textId="77777777" w:rsidR="00F05DC7" w:rsidRDefault="00F05DC7" w:rsidP="00A3786D">
                  <w:pPr>
                    <w:pStyle w:val="TableBodyText"/>
                  </w:pPr>
                </w:p>
              </w:tc>
              <w:tc>
                <w:tcPr>
                  <w:tcW w:w="1035" w:type="pct"/>
                </w:tcPr>
                <w:p w14:paraId="79549C35" w14:textId="77777777" w:rsidR="00F05DC7" w:rsidRDefault="00F05DC7" w:rsidP="00A3786D">
                  <w:pPr>
                    <w:pStyle w:val="TableBodyText"/>
                    <w:ind w:right="28"/>
                  </w:pPr>
                </w:p>
              </w:tc>
              <w:tc>
                <w:tcPr>
                  <w:tcW w:w="1035" w:type="pct"/>
                </w:tcPr>
                <w:p w14:paraId="79549C36" w14:textId="77777777" w:rsidR="00F05DC7" w:rsidRDefault="00F05DC7" w:rsidP="00A3786D">
                  <w:pPr>
                    <w:pStyle w:val="TableBodyText"/>
                    <w:ind w:right="28"/>
                  </w:pPr>
                  <w:r>
                    <w:t>HFE</w:t>
                  </w:r>
                </w:p>
              </w:tc>
            </w:tr>
            <w:tr w:rsidR="00F05DC7" w14:paraId="79549C3C" w14:textId="77777777" w:rsidTr="00A3786D">
              <w:tc>
                <w:tcPr>
                  <w:tcW w:w="1896" w:type="pct"/>
                </w:tcPr>
                <w:p w14:paraId="79549C38" w14:textId="77777777" w:rsidR="00F05DC7" w:rsidRPr="00AF7815" w:rsidRDefault="00F05DC7" w:rsidP="00A3786D">
                  <w:pPr>
                    <w:pStyle w:val="TableBodyText"/>
                    <w:ind w:left="284"/>
                    <w:jc w:val="left"/>
                  </w:pPr>
                  <w:r w:rsidRPr="00AF7815">
                    <w:t>Equal per capita component</w:t>
                  </w:r>
                </w:p>
              </w:tc>
              <w:tc>
                <w:tcPr>
                  <w:tcW w:w="1035" w:type="pct"/>
                </w:tcPr>
                <w:p w14:paraId="79549C39" w14:textId="77777777" w:rsidR="00F05DC7" w:rsidRDefault="00F05DC7" w:rsidP="00A3786D">
                  <w:pPr>
                    <w:pStyle w:val="TableBodyText"/>
                  </w:pPr>
                  <w:r>
                    <w:t>52 283</w:t>
                  </w:r>
                </w:p>
              </w:tc>
              <w:tc>
                <w:tcPr>
                  <w:tcW w:w="1035" w:type="pct"/>
                </w:tcPr>
                <w:p w14:paraId="79549C3A" w14:textId="77777777" w:rsidR="00F05DC7" w:rsidRDefault="00F05DC7" w:rsidP="00A3786D">
                  <w:pPr>
                    <w:pStyle w:val="TableBodyText"/>
                    <w:ind w:right="28"/>
                  </w:pPr>
                  <w:r>
                    <w:t>54 705</w:t>
                  </w:r>
                </w:p>
              </w:tc>
              <w:tc>
                <w:tcPr>
                  <w:tcW w:w="1035" w:type="pct"/>
                </w:tcPr>
                <w:p w14:paraId="79549C3B" w14:textId="77777777" w:rsidR="00F05DC7" w:rsidRDefault="00F05DC7" w:rsidP="00A3786D">
                  <w:pPr>
                    <w:pStyle w:val="TableBodyText"/>
                    <w:ind w:right="28"/>
                  </w:pPr>
                </w:p>
              </w:tc>
            </w:tr>
            <w:tr w:rsidR="00F05DC7" w14:paraId="79549C41" w14:textId="77777777" w:rsidTr="00A3786D">
              <w:tc>
                <w:tcPr>
                  <w:tcW w:w="1896" w:type="pct"/>
                </w:tcPr>
                <w:p w14:paraId="79549C3D" w14:textId="77777777" w:rsidR="00F05DC7" w:rsidRPr="00AF7815" w:rsidRDefault="00F05DC7" w:rsidP="00A3786D">
                  <w:pPr>
                    <w:pStyle w:val="TableBodyText"/>
                    <w:ind w:left="284"/>
                    <w:jc w:val="left"/>
                  </w:pPr>
                  <w:r w:rsidRPr="00AF7815">
                    <w:t>Redistributive component</w:t>
                  </w:r>
                </w:p>
              </w:tc>
              <w:tc>
                <w:tcPr>
                  <w:tcW w:w="1035" w:type="pct"/>
                </w:tcPr>
                <w:p w14:paraId="79549C3E" w14:textId="77777777" w:rsidR="00F05DC7" w:rsidRDefault="00F05DC7" w:rsidP="00A3786D">
                  <w:pPr>
                    <w:pStyle w:val="TableBodyText"/>
                  </w:pPr>
                  <w:r>
                    <w:t>7 562</w:t>
                  </w:r>
                </w:p>
              </w:tc>
              <w:tc>
                <w:tcPr>
                  <w:tcW w:w="1035" w:type="pct"/>
                </w:tcPr>
                <w:p w14:paraId="79549C3F" w14:textId="77777777" w:rsidR="00F05DC7" w:rsidRDefault="00F05DC7" w:rsidP="00A3786D">
                  <w:pPr>
                    <w:pStyle w:val="TableBodyText"/>
                    <w:ind w:right="28"/>
                  </w:pPr>
                  <w:r>
                    <w:t>7 695</w:t>
                  </w:r>
                </w:p>
              </w:tc>
              <w:tc>
                <w:tcPr>
                  <w:tcW w:w="1035" w:type="pct"/>
                </w:tcPr>
                <w:p w14:paraId="79549C40" w14:textId="77777777" w:rsidR="00F05DC7" w:rsidRDefault="00F05DC7" w:rsidP="00A3786D">
                  <w:pPr>
                    <w:pStyle w:val="TableBodyText"/>
                    <w:ind w:right="28"/>
                  </w:pPr>
                </w:p>
              </w:tc>
            </w:tr>
            <w:tr w:rsidR="00F05DC7" w14:paraId="79549C46" w14:textId="77777777" w:rsidTr="00A3786D">
              <w:tc>
                <w:tcPr>
                  <w:tcW w:w="1896" w:type="pct"/>
                  <w:shd w:val="clear" w:color="auto" w:fill="auto"/>
                </w:tcPr>
                <w:p w14:paraId="79549C42" w14:textId="77777777" w:rsidR="00F05DC7" w:rsidRDefault="00F05DC7" w:rsidP="00A3786D">
                  <w:pPr>
                    <w:pStyle w:val="TableBodyText"/>
                    <w:jc w:val="left"/>
                  </w:pPr>
                  <w:r>
                    <w:t>Other general revenue assistance</w:t>
                  </w:r>
                </w:p>
              </w:tc>
              <w:tc>
                <w:tcPr>
                  <w:tcW w:w="1035" w:type="pct"/>
                  <w:shd w:val="clear" w:color="auto" w:fill="auto"/>
                </w:tcPr>
                <w:p w14:paraId="79549C43" w14:textId="77777777" w:rsidR="00F05DC7" w:rsidRDefault="00F05DC7" w:rsidP="00A3786D">
                  <w:pPr>
                    <w:pStyle w:val="TableBodyText"/>
                  </w:pPr>
                  <w:r>
                    <w:t>709</w:t>
                  </w:r>
                </w:p>
              </w:tc>
              <w:tc>
                <w:tcPr>
                  <w:tcW w:w="1035" w:type="pct"/>
                  <w:shd w:val="clear" w:color="auto" w:fill="auto"/>
                </w:tcPr>
                <w:p w14:paraId="79549C44" w14:textId="77777777" w:rsidR="00F05DC7" w:rsidRDefault="00F05DC7" w:rsidP="00A3786D">
                  <w:pPr>
                    <w:pStyle w:val="TableBodyText"/>
                    <w:ind w:right="28"/>
                  </w:pPr>
                  <w:r>
                    <w:t>741</w:t>
                  </w:r>
                </w:p>
              </w:tc>
              <w:tc>
                <w:tcPr>
                  <w:tcW w:w="1035" w:type="pct"/>
                </w:tcPr>
                <w:p w14:paraId="79549C45" w14:textId="77777777" w:rsidR="00F05DC7" w:rsidRDefault="00F05DC7" w:rsidP="00A3786D">
                  <w:pPr>
                    <w:pStyle w:val="TableBodyText"/>
                    <w:ind w:right="28"/>
                  </w:pPr>
                  <w:r>
                    <w:t>na</w:t>
                  </w:r>
                </w:p>
              </w:tc>
            </w:tr>
            <w:tr w:rsidR="00F05DC7" w14:paraId="79549C4B" w14:textId="77777777" w:rsidTr="00A3786D">
              <w:tc>
                <w:tcPr>
                  <w:tcW w:w="1896" w:type="pct"/>
                  <w:tcBorders>
                    <w:bottom w:val="single" w:sz="6" w:space="0" w:color="BFBFBF"/>
                  </w:tcBorders>
                  <w:shd w:val="clear" w:color="auto" w:fill="auto"/>
                </w:tcPr>
                <w:p w14:paraId="79549C47" w14:textId="77777777" w:rsidR="00F05DC7" w:rsidRPr="00AF7815" w:rsidRDefault="00F05DC7" w:rsidP="00A3786D">
                  <w:pPr>
                    <w:pStyle w:val="TableBodyText"/>
                    <w:jc w:val="left"/>
                    <w:rPr>
                      <w:b/>
                    </w:rPr>
                  </w:pPr>
                  <w:r w:rsidRPr="00AF7815">
                    <w:rPr>
                      <w:b/>
                    </w:rPr>
                    <w:t>Total payments</w:t>
                  </w:r>
                </w:p>
              </w:tc>
              <w:tc>
                <w:tcPr>
                  <w:tcW w:w="1035" w:type="pct"/>
                  <w:tcBorders>
                    <w:bottom w:val="single" w:sz="6" w:space="0" w:color="BFBFBF"/>
                  </w:tcBorders>
                  <w:shd w:val="clear" w:color="auto" w:fill="auto"/>
                </w:tcPr>
                <w:p w14:paraId="79549C48" w14:textId="77777777" w:rsidR="00F05DC7" w:rsidRPr="00AF7815" w:rsidRDefault="00F05DC7" w:rsidP="00A3786D">
                  <w:pPr>
                    <w:pStyle w:val="TableBodyText"/>
                    <w:rPr>
                      <w:b/>
                    </w:rPr>
                  </w:pPr>
                  <w:r w:rsidRPr="00AF7815">
                    <w:rPr>
                      <w:b/>
                    </w:rPr>
                    <w:t>115 </w:t>
                  </w:r>
                  <w:r>
                    <w:rPr>
                      <w:b/>
                    </w:rPr>
                    <w:t>682</w:t>
                  </w:r>
                </w:p>
              </w:tc>
              <w:tc>
                <w:tcPr>
                  <w:tcW w:w="1035" w:type="pct"/>
                  <w:tcBorders>
                    <w:bottom w:val="single" w:sz="6" w:space="0" w:color="BFBFBF"/>
                  </w:tcBorders>
                  <w:shd w:val="clear" w:color="auto" w:fill="auto"/>
                </w:tcPr>
                <w:p w14:paraId="79549C49" w14:textId="77777777" w:rsidR="00F05DC7" w:rsidRPr="00AF7815" w:rsidRDefault="00F05DC7" w:rsidP="00A3786D">
                  <w:pPr>
                    <w:pStyle w:val="TableBodyText"/>
                    <w:ind w:right="28"/>
                    <w:rPr>
                      <w:b/>
                    </w:rPr>
                  </w:pPr>
                  <w:r>
                    <w:rPr>
                      <w:b/>
                    </w:rPr>
                    <w:t>118</w:t>
                  </w:r>
                  <w:r>
                    <w:t> </w:t>
                  </w:r>
                  <w:r w:rsidRPr="00AB1FED">
                    <w:rPr>
                      <w:b/>
                    </w:rPr>
                    <w:t>7</w:t>
                  </w:r>
                  <w:r>
                    <w:rPr>
                      <w:b/>
                    </w:rPr>
                    <w:t>4</w:t>
                  </w:r>
                  <w:r w:rsidRPr="0004477E">
                    <w:rPr>
                      <w:b/>
                    </w:rPr>
                    <w:t>0</w:t>
                  </w:r>
                </w:p>
              </w:tc>
              <w:tc>
                <w:tcPr>
                  <w:tcW w:w="1035" w:type="pct"/>
                  <w:tcBorders>
                    <w:bottom w:val="single" w:sz="6" w:space="0" w:color="BFBFBF"/>
                  </w:tcBorders>
                </w:tcPr>
                <w:p w14:paraId="79549C4A" w14:textId="77777777" w:rsidR="00F05DC7" w:rsidRPr="00AF7815" w:rsidRDefault="00F05DC7" w:rsidP="00A3786D">
                  <w:pPr>
                    <w:pStyle w:val="TableBodyText"/>
                    <w:ind w:right="28"/>
                    <w:rPr>
                      <w:b/>
                    </w:rPr>
                  </w:pPr>
                </w:p>
              </w:tc>
            </w:tr>
          </w:tbl>
          <w:p w14:paraId="79549C4C" w14:textId="11470C08" w:rsidR="00F05DC7" w:rsidRPr="00A120FC" w:rsidRDefault="00F05DC7" w:rsidP="00A3786D">
            <w:pPr>
              <w:pStyle w:val="Source"/>
            </w:pPr>
            <w:r w:rsidRPr="006B2A20">
              <w:rPr>
                <w:i/>
              </w:rPr>
              <w:t>Source</w:t>
            </w:r>
            <w:r>
              <w:rPr>
                <w:i/>
              </w:rPr>
              <w:t>s</w:t>
            </w:r>
            <w:r w:rsidRPr="006B2A20">
              <w:t xml:space="preserve">: </w:t>
            </w:r>
            <w:r>
              <w:t xml:space="preserve">Appendix B, </w:t>
            </w:r>
            <w:r w:rsidRPr="006B2A20">
              <w:t xml:space="preserve">Commonwealth of Australia </w:t>
            </w:r>
            <w:r w:rsidR="009D6331" w:rsidRPr="009D6331">
              <w:rPr>
                <w:rFonts w:cs="Arial"/>
              </w:rPr>
              <w:t>(2017b, 2017c)</w:t>
            </w:r>
            <w:r>
              <w:t>; Productivity Commission estimates based on CGC </w:t>
            </w:r>
            <w:r w:rsidR="009D6331" w:rsidRPr="009D6331">
              <w:rPr>
                <w:rFonts w:cs="Arial"/>
              </w:rPr>
              <w:t>(2017f, 2018g)</w:t>
            </w:r>
            <w:r w:rsidRPr="006B2A20">
              <w:t>.</w:t>
            </w:r>
          </w:p>
        </w:tc>
      </w:tr>
      <w:tr w:rsidR="00F05DC7" w14:paraId="79549C4F" w14:textId="77777777" w:rsidTr="00A3786D">
        <w:tc>
          <w:tcPr>
            <w:tcW w:w="5000" w:type="pct"/>
            <w:tcBorders>
              <w:top w:val="nil"/>
              <w:left w:val="nil"/>
              <w:bottom w:val="single" w:sz="6" w:space="0" w:color="78A22F"/>
              <w:right w:val="nil"/>
            </w:tcBorders>
            <w:shd w:val="clear" w:color="auto" w:fill="F2F2F2"/>
          </w:tcPr>
          <w:p w14:paraId="79549C4E" w14:textId="77777777" w:rsidR="00F05DC7" w:rsidRDefault="00F05DC7" w:rsidP="00A3786D">
            <w:pPr>
              <w:pStyle w:val="Box"/>
              <w:spacing w:before="0" w:line="120" w:lineRule="exact"/>
            </w:pPr>
          </w:p>
        </w:tc>
      </w:tr>
      <w:tr w:rsidR="00F05DC7" w:rsidRPr="000863A5" w14:paraId="79549C51" w14:textId="77777777" w:rsidTr="00A3786D">
        <w:tc>
          <w:tcPr>
            <w:tcW w:w="5000" w:type="pct"/>
            <w:tcBorders>
              <w:top w:val="single" w:sz="6" w:space="0" w:color="78A22F"/>
              <w:left w:val="nil"/>
              <w:bottom w:val="nil"/>
              <w:right w:val="nil"/>
            </w:tcBorders>
          </w:tcPr>
          <w:p w14:paraId="79549C50" w14:textId="77777777" w:rsidR="00F05DC7" w:rsidRPr="00626D32" w:rsidRDefault="00F05DC7" w:rsidP="00A3786D">
            <w:pPr>
              <w:pStyle w:val="BoxSpaceBelow"/>
            </w:pPr>
          </w:p>
        </w:tc>
      </w:tr>
    </w:tbl>
    <w:p w14:paraId="79549C52" w14:textId="77777777" w:rsidR="00F05DC7" w:rsidRDefault="00F05DC7" w:rsidP="00A3786D">
      <w:pPr>
        <w:pStyle w:val="Heading3"/>
      </w:pPr>
      <w:r>
        <w:lastRenderedPageBreak/>
        <w:t>Horizontal equalisation between the States</w:t>
      </w:r>
    </w:p>
    <w:p w14:paraId="79549C53" w14:textId="77777777" w:rsidR="00F05DC7" w:rsidRDefault="00F05DC7" w:rsidP="00A3786D">
      <w:pPr>
        <w:pStyle w:val="BodyText"/>
      </w:pPr>
      <w:r>
        <w:t>T</w:t>
      </w:r>
      <w:r w:rsidRPr="00067FAA">
        <w:t xml:space="preserve">he CGC </w:t>
      </w:r>
      <w:r>
        <w:t xml:space="preserve">makes recommendations about the distribution of GST payments with the aim, after allowing for material factors affecting revenue and expenditure, of providing each State with a fiscal capacity to provide services and associated infrastructure at the same standard. </w:t>
      </w:r>
    </w:p>
    <w:p w14:paraId="79549C54" w14:textId="77777777" w:rsidR="00F05DC7" w:rsidRDefault="00F05DC7" w:rsidP="00A3786D">
      <w:pPr>
        <w:pStyle w:val="BodyText"/>
      </w:pPr>
      <w:r>
        <w:t>A State’s ‘fiscal capacity’ is a measure of its ability to provide average services and infrastructure to its population if it raised revenue from its own revenue bases at average rates and received its actual Commonwealth payments (excluding the GST).</w:t>
      </w:r>
    </w:p>
    <w:p w14:paraId="79549C55" w14:textId="77777777" w:rsidR="00F05DC7" w:rsidRPr="0074791A" w:rsidRDefault="00F05DC7" w:rsidP="00A3786D">
      <w:pPr>
        <w:pStyle w:val="BodyText"/>
      </w:pPr>
      <w:r w:rsidRPr="00F10495">
        <w:t>The ‘</w:t>
      </w:r>
      <w:r w:rsidRPr="00E306CD">
        <w:t>material factors</w:t>
      </w:r>
      <w:r>
        <w:t>’ referred to in the HFE principle are what the CGC has termed ‘</w:t>
      </w:r>
      <w:r w:rsidRPr="0074791A">
        <w:t>disabilities</w:t>
      </w:r>
      <w:r>
        <w:t xml:space="preserve">’. These are the different circumstances of a State that are perceived to be outside its control, and that </w:t>
      </w:r>
      <w:r w:rsidRPr="0074791A">
        <w:t xml:space="preserve">affect </w:t>
      </w:r>
      <w:r>
        <w:t xml:space="preserve">a State’s capacity to raise </w:t>
      </w:r>
      <w:r w:rsidRPr="0074791A">
        <w:t>revenue and</w:t>
      </w:r>
      <w:r>
        <w:t xml:space="preserve">/or that result in differences in the costs of providing services and infrastructure (further discussed below). </w:t>
      </w:r>
    </w:p>
    <w:p w14:paraId="79549C56" w14:textId="77777777" w:rsidR="00F05DC7" w:rsidRDefault="00F05DC7" w:rsidP="00A3786D">
      <w:pPr>
        <w:pStyle w:val="BodyText"/>
        <w:spacing w:after="120"/>
      </w:pPr>
      <w:r>
        <w:t>The HFE system in Australia is complex and comprehensive, but can be broadly thought of as consisting of three steps (these steps are conceptually shown in figure 2.6).</w:t>
      </w:r>
    </w:p>
    <w:p w14:paraId="79549C57" w14:textId="77777777" w:rsidR="00F05DC7" w:rsidRPr="00B02219"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C59" w14:textId="77777777" w:rsidTr="00A3786D">
        <w:trPr>
          <w:tblHeader/>
        </w:trPr>
        <w:tc>
          <w:tcPr>
            <w:tcW w:w="5000" w:type="pct"/>
            <w:tcBorders>
              <w:top w:val="single" w:sz="6" w:space="0" w:color="78A22F"/>
              <w:left w:val="nil"/>
              <w:bottom w:val="nil"/>
              <w:right w:val="nil"/>
            </w:tcBorders>
            <w:shd w:val="clear" w:color="auto" w:fill="auto"/>
          </w:tcPr>
          <w:p w14:paraId="79549C58" w14:textId="45BD39C7" w:rsidR="00F05DC7" w:rsidRPr="00176D3F" w:rsidRDefault="00F05DC7" w:rsidP="00A3786D">
            <w:pPr>
              <w:pStyle w:val="FigureTitle"/>
            </w:pPr>
            <w:r w:rsidRPr="00784A05">
              <w:rPr>
                <w:b w:val="0"/>
              </w:rPr>
              <w:t xml:space="preserve">Figure </w:t>
            </w:r>
            <w:r>
              <w:rPr>
                <w:b w:val="0"/>
              </w:rPr>
              <w:t>2.6</w:t>
            </w:r>
            <w:r>
              <w:tab/>
              <w:t xml:space="preserve">Schema of the conceptual stages of the HFE process </w:t>
            </w:r>
          </w:p>
        </w:tc>
      </w:tr>
      <w:tr w:rsidR="00F05DC7" w14:paraId="79549C5D" w14:textId="77777777" w:rsidTr="00A3786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05DC7" w:rsidRPr="00B1465D" w14:paraId="79549C5B" w14:textId="77777777" w:rsidTr="00A3786D">
              <w:trPr>
                <w:tblHeader/>
                <w:jc w:val="center"/>
              </w:trPr>
              <w:tc>
                <w:tcPr>
                  <w:tcW w:w="8505" w:type="dxa"/>
                  <w:tcBorders>
                    <w:top w:val="nil"/>
                    <w:bottom w:val="nil"/>
                  </w:tcBorders>
                </w:tcPr>
                <w:p w14:paraId="79549C5A" w14:textId="77777777" w:rsidR="00F05DC7" w:rsidRPr="00B1465D" w:rsidRDefault="00F05DC7" w:rsidP="00A3786D">
                  <w:pPr>
                    <w:pStyle w:val="Figure"/>
                    <w:spacing w:before="60" w:after="60"/>
                    <w:rPr>
                      <w:rFonts w:ascii="Arial" w:hAnsi="Arial" w:cs="Arial"/>
                      <w:sz w:val="18"/>
                      <w:szCs w:val="18"/>
                    </w:rPr>
                  </w:pPr>
                  <w:r w:rsidRPr="007C79BA">
                    <w:rPr>
                      <w:rFonts w:ascii="Arial" w:hAnsi="Arial" w:cs="Arial"/>
                      <w:noProof/>
                      <w:sz w:val="18"/>
                      <w:szCs w:val="18"/>
                    </w:rPr>
                    <w:drawing>
                      <wp:inline distT="0" distB="0" distL="0" distR="0" wp14:anchorId="7954D5B5" wp14:editId="7954D5B6">
                        <wp:extent cx="5401945" cy="2734945"/>
                        <wp:effectExtent l="0" t="0" r="8255" b="8255"/>
                        <wp:docPr id="18" name="Picture 18" descr="This chart conceptualises HFE.&#10;Firstly, HFE bring states to the average: States with relatively low fiscal capacities are raised to the average fiscal capacity of all States. &#10;Secondly, it brings all states to the strongest: all States are raised to the capacity of the fiscally strongest States.&#10;Finally, the remainder if the GST pool is distributed as equal per capi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1945" cy="2734945"/>
                                </a:xfrm>
                                <a:prstGeom prst="rect">
                                  <a:avLst/>
                                </a:prstGeom>
                                <a:noFill/>
                                <a:ln>
                                  <a:noFill/>
                                </a:ln>
                              </pic:spPr>
                            </pic:pic>
                          </a:graphicData>
                        </a:graphic>
                      </wp:inline>
                    </w:drawing>
                  </w:r>
                </w:p>
              </w:tc>
            </w:tr>
          </w:tbl>
          <w:p w14:paraId="79549C5C" w14:textId="77777777" w:rsidR="00F05DC7" w:rsidRDefault="00F05DC7" w:rsidP="00A3786D">
            <w:pPr>
              <w:pStyle w:val="Figure"/>
            </w:pPr>
          </w:p>
        </w:tc>
      </w:tr>
      <w:tr w:rsidR="00F05DC7" w14:paraId="79549C5F" w14:textId="77777777" w:rsidTr="00A3786D">
        <w:tc>
          <w:tcPr>
            <w:tcW w:w="5000" w:type="pct"/>
            <w:tcBorders>
              <w:top w:val="nil"/>
              <w:left w:val="nil"/>
              <w:bottom w:val="single" w:sz="6" w:space="0" w:color="78A22F"/>
              <w:right w:val="nil"/>
            </w:tcBorders>
            <w:shd w:val="clear" w:color="auto" w:fill="auto"/>
          </w:tcPr>
          <w:p w14:paraId="79549C5E" w14:textId="77777777" w:rsidR="00F05DC7" w:rsidRDefault="00F05DC7" w:rsidP="00A3786D">
            <w:pPr>
              <w:pStyle w:val="Figurespace"/>
            </w:pPr>
          </w:p>
        </w:tc>
      </w:tr>
      <w:tr w:rsidR="00F05DC7" w:rsidRPr="000863A5" w14:paraId="79549C61" w14:textId="77777777" w:rsidTr="00A3786D">
        <w:tc>
          <w:tcPr>
            <w:tcW w:w="5000" w:type="pct"/>
            <w:tcBorders>
              <w:top w:val="single" w:sz="6" w:space="0" w:color="78A22F"/>
              <w:left w:val="nil"/>
              <w:bottom w:val="nil"/>
              <w:right w:val="nil"/>
            </w:tcBorders>
          </w:tcPr>
          <w:p w14:paraId="79549C60" w14:textId="77777777" w:rsidR="00F05DC7" w:rsidRPr="00626D32" w:rsidRDefault="00F05DC7" w:rsidP="00A3786D">
            <w:pPr>
              <w:pStyle w:val="BoxSpaceBelow"/>
            </w:pPr>
          </w:p>
        </w:tc>
      </w:tr>
    </w:tbl>
    <w:p w14:paraId="79549C62" w14:textId="77777777" w:rsidR="00F05DC7" w:rsidRDefault="00F05DC7" w:rsidP="00F05DC7">
      <w:pPr>
        <w:pStyle w:val="ListNumber"/>
        <w:numPr>
          <w:ilvl w:val="0"/>
          <w:numId w:val="20"/>
        </w:numPr>
      </w:pPr>
      <w:r>
        <w:t>Bring States to the average: States with relatively low fiscal capacities (most recently, the Northern Territory, Tasmania, South Australia, ACT and Queensland) are raised to the average (pre</w:t>
      </w:r>
      <w:r>
        <w:noBreakHyphen/>
        <w:t xml:space="preserve">GST) fiscal capacity of all States. </w:t>
      </w:r>
    </w:p>
    <w:p w14:paraId="79549C63" w14:textId="77777777" w:rsidR="00F05DC7" w:rsidRDefault="00F05DC7" w:rsidP="00A3786D">
      <w:pPr>
        <w:pStyle w:val="ListNumber"/>
      </w:pPr>
      <w:r>
        <w:t>Bring all States to the strongest: all States are raised to the capacity of the fiscally strongest, currently Western Australia. It should be noted that even the fiscally strongest State would not have the fiscal capacity at this point to finance its assessed expenditures, due to VFI. That is, even the strongest State would not be able to provide the average (post-GST) level of services at this point.</w:t>
      </w:r>
    </w:p>
    <w:p w14:paraId="79549C64" w14:textId="5C7044BC" w:rsidR="00F05DC7" w:rsidRDefault="00F05DC7" w:rsidP="00A3786D">
      <w:pPr>
        <w:pStyle w:val="ListNumber"/>
      </w:pPr>
      <w:r>
        <w:lastRenderedPageBreak/>
        <w:t xml:space="preserve">Redistribute the remainder on an EPC basis: any remaining revenue from the GST pool is distributed to all states on an EPC </w:t>
      </w:r>
      <w:r w:rsidRPr="00244824">
        <w:t xml:space="preserve">basis </w:t>
      </w:r>
      <w:r w:rsidRPr="003C00E8">
        <w:t>(Chan and Petchey 2017, p. 5)</w:t>
      </w:r>
      <w:r w:rsidRPr="00244824">
        <w:t>.</w:t>
      </w:r>
      <w:r>
        <w:t xml:space="preserve"> At the end of this step, all States have the same fiscal capacity, and can therefore provide the same (that is, the average) level of services.</w:t>
      </w:r>
    </w:p>
    <w:p w14:paraId="79549C65" w14:textId="77777777" w:rsidR="00F05DC7" w:rsidRDefault="00F05DC7" w:rsidP="00A3786D">
      <w:pPr>
        <w:pStyle w:val="BodyText"/>
      </w:pPr>
      <w:r>
        <w:t>As discussed below, the CGC does not achieve perfect (full and comprehensive) equalisation. L</w:t>
      </w:r>
      <w:r w:rsidRPr="007E21A8">
        <w:t>ags in the system, and data and method problems</w:t>
      </w:r>
      <w:r>
        <w:t xml:space="preserve"> (</w:t>
      </w:r>
      <w:r w:rsidRPr="007E21A8">
        <w:t>dealt with through reliability and materiality criteria</w:t>
      </w:r>
      <w:r>
        <w:t>), mean that ultimately, the equalisation process results in comparable, rather than the same, fiscal capacities across States</w:t>
      </w:r>
      <w:r w:rsidRPr="007E21A8">
        <w:t>.</w:t>
      </w:r>
      <w:r>
        <w:t xml:space="preserve"> </w:t>
      </w:r>
    </w:p>
    <w:p w14:paraId="79549C66" w14:textId="77777777" w:rsidR="00F05DC7" w:rsidRDefault="00F05DC7" w:rsidP="00A3786D">
      <w:pPr>
        <w:pStyle w:val="BodyText"/>
      </w:pPr>
      <w:r>
        <w:t>The CGC has adopted four supporting principles to guide its methodology. These are:</w:t>
      </w:r>
    </w:p>
    <w:p w14:paraId="79549C67" w14:textId="77777777" w:rsidR="00F05DC7" w:rsidRDefault="00F05DC7" w:rsidP="00A3786D">
      <w:pPr>
        <w:pStyle w:val="ListBullet"/>
      </w:pPr>
      <w:r>
        <w:t xml:space="preserve">reflect what States </w:t>
      </w:r>
      <w:r w:rsidRPr="00E306CD">
        <w:t>collectively</w:t>
      </w:r>
      <w:r>
        <w:t xml:space="preserve"> do</w:t>
      </w:r>
    </w:p>
    <w:p w14:paraId="79549C68" w14:textId="77777777" w:rsidR="00F05DC7" w:rsidRDefault="00F05DC7" w:rsidP="00A3786D">
      <w:pPr>
        <w:pStyle w:val="ListBullet"/>
      </w:pPr>
      <w:r>
        <w:t>policy neutrality</w:t>
      </w:r>
    </w:p>
    <w:p w14:paraId="79549C69" w14:textId="77777777" w:rsidR="00F05DC7" w:rsidRDefault="00F05DC7" w:rsidP="00A3786D">
      <w:pPr>
        <w:pStyle w:val="ListBullet"/>
      </w:pPr>
      <w:r>
        <w:t>practicality</w:t>
      </w:r>
    </w:p>
    <w:p w14:paraId="79549C6A" w14:textId="0BD2E09A" w:rsidR="00F05DC7" w:rsidRDefault="00F05DC7" w:rsidP="00A3786D">
      <w:pPr>
        <w:pStyle w:val="ListBullet"/>
      </w:pPr>
      <w:r>
        <w:t xml:space="preserve">contemporaneity </w:t>
      </w:r>
      <w:r w:rsidRPr="00922331">
        <w:rPr>
          <w:szCs w:val="24"/>
        </w:rPr>
        <w:t>(box 2.3; CGC 2010, p. 35)</w:t>
      </w:r>
      <w:r>
        <w:t>.</w:t>
      </w:r>
    </w:p>
    <w:p w14:paraId="79549C6B" w14:textId="77777777" w:rsidR="00F05DC7" w:rsidRDefault="00F05DC7" w:rsidP="00A3786D">
      <w:pPr>
        <w:pStyle w:val="Heading3"/>
      </w:pPr>
      <w:r>
        <w:t>What role do other Commonwealth transfers play in HFE?</w:t>
      </w:r>
    </w:p>
    <w:p w14:paraId="79549C6C" w14:textId="43CAAC5A" w:rsidR="00F05DC7" w:rsidRDefault="00F05DC7" w:rsidP="00A3786D">
      <w:pPr>
        <w:pStyle w:val="BodyText"/>
      </w:pPr>
      <w:r>
        <w:t xml:space="preserve">Two parallel developments greatly enhanced the financial power of the Commonwealth relative to the States since the early Federation period </w:t>
      </w:r>
      <w:r w:rsidRPr="00972589">
        <w:rPr>
          <w:szCs w:val="24"/>
        </w:rPr>
        <w:t>(Gray 2017, p. 24)</w:t>
      </w:r>
      <w:r>
        <w:t xml:space="preserve">. These were the emergence of the Commonwealth as a major provider of revenue to the States, leading to a large increase in VFI (figure 2.5). The second is the increasing role the Commonwealth has sought to play via the provision of payments for specific purposes. </w:t>
      </w:r>
    </w:p>
    <w:p w14:paraId="79549C6D" w14:textId="4392276A" w:rsidR="00F05DC7" w:rsidRPr="00C40E02" w:rsidRDefault="00F05DC7" w:rsidP="00A3786D">
      <w:pPr>
        <w:pStyle w:val="BodyText"/>
      </w:pPr>
      <w:r>
        <w:t xml:space="preserve">How payments for specific purposes interact with the HFE system depends on how they are treated by the Commonwealth, as well as the CGC. (This is covered in chapters 6 and 9, and the general principles applying to the treatment of Commonwealth payments are detailed in appendix B.) </w:t>
      </w:r>
      <w:r w:rsidRPr="00FA2E40">
        <w:t>The CGC</w:t>
      </w:r>
      <w:r>
        <w:t xml:space="preserve">’s broad approach is that </w:t>
      </w:r>
      <w:r w:rsidRPr="00FA2E40">
        <w:t xml:space="preserve">payments which support State services or other Commonwealth activities that affect them, and for which expenditure needs are assessed, will have an effect on relativities </w:t>
      </w:r>
      <w:r w:rsidR="009D6331" w:rsidRPr="009D6331">
        <w:rPr>
          <w:szCs w:val="24"/>
        </w:rPr>
        <w:t>(CGC 2015f, p. 49)</w:t>
      </w:r>
      <w:r w:rsidRPr="000C37BE">
        <w:t>.</w:t>
      </w:r>
      <w:r>
        <w:t xml:space="preserve"> </w:t>
      </w:r>
      <w:r w:rsidRPr="00C40E02">
        <w:t>The CGC has advised that:</w:t>
      </w:r>
    </w:p>
    <w:p w14:paraId="79549C6E" w14:textId="77777777" w:rsidR="00F05DC7" w:rsidRPr="00C668DB" w:rsidRDefault="00F05DC7" w:rsidP="00A3786D">
      <w:pPr>
        <w:pStyle w:val="Quote"/>
      </w:pPr>
      <w:r w:rsidRPr="00C668DB">
        <w:t xml:space="preserve">We consider that in exercising our discretion we can be guided only by the objective of the GST distribution which is the principle of HFE. The appropriate treatment of a particular payment where we have discretion is that which improves the HFE outcome. </w:t>
      </w:r>
    </w:p>
    <w:p w14:paraId="79549C6F" w14:textId="0860805F" w:rsidR="00F05DC7" w:rsidRDefault="00F05DC7" w:rsidP="00A3786D">
      <w:pPr>
        <w:pStyle w:val="Quote"/>
      </w:pPr>
      <w:r w:rsidRPr="00D0193F">
        <w:t xml:space="preserve">We are aware there are other policy objectives behind the distribution of Commonwealth payments … We have no discretion other than that which improves the HFE outcome. </w:t>
      </w:r>
      <w:r w:rsidR="009D6331" w:rsidRPr="009D6331">
        <w:rPr>
          <w:szCs w:val="24"/>
        </w:rPr>
        <w:t>(CGC 2015f, p. 36)</w:t>
      </w:r>
    </w:p>
    <w:p w14:paraId="79549C70"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C72" w14:textId="77777777" w:rsidTr="00A3786D">
        <w:trPr>
          <w:tblHeader/>
        </w:trPr>
        <w:tc>
          <w:tcPr>
            <w:tcW w:w="5000" w:type="pct"/>
            <w:tcBorders>
              <w:top w:val="single" w:sz="6" w:space="0" w:color="78A22F"/>
              <w:left w:val="nil"/>
              <w:bottom w:val="nil"/>
              <w:right w:val="nil"/>
            </w:tcBorders>
            <w:shd w:val="clear" w:color="auto" w:fill="F2F2F2"/>
          </w:tcPr>
          <w:p w14:paraId="79549C71" w14:textId="0F06CC78" w:rsidR="00F05DC7" w:rsidRDefault="00F05DC7">
            <w:pPr>
              <w:pStyle w:val="BoxTitle"/>
            </w:pPr>
            <w:r>
              <w:rPr>
                <w:b w:val="0"/>
              </w:rPr>
              <w:t>Box 2.</w:t>
            </w:r>
            <w:r>
              <w:rPr>
                <w:b w:val="0"/>
                <w:noProof/>
              </w:rPr>
              <w:t>3</w:t>
            </w:r>
            <w:r>
              <w:tab/>
              <w:t>Supporting principles of HFE</w:t>
            </w:r>
          </w:p>
        </w:tc>
      </w:tr>
      <w:tr w:rsidR="00F05DC7" w14:paraId="79549C82" w14:textId="77777777" w:rsidTr="00A3786D">
        <w:tc>
          <w:tcPr>
            <w:tcW w:w="5000" w:type="pct"/>
            <w:tcBorders>
              <w:top w:val="nil"/>
              <w:left w:val="nil"/>
              <w:bottom w:val="nil"/>
              <w:right w:val="nil"/>
            </w:tcBorders>
            <w:shd w:val="clear" w:color="auto" w:fill="F2F2F2"/>
          </w:tcPr>
          <w:p w14:paraId="79549C73" w14:textId="77777777" w:rsidR="00F05DC7" w:rsidRDefault="00F05DC7" w:rsidP="00A3786D">
            <w:pPr>
              <w:pStyle w:val="BoxHeading1"/>
            </w:pPr>
            <w:r>
              <w:t>Reflect what States collectively do</w:t>
            </w:r>
          </w:p>
          <w:p w14:paraId="79549C74" w14:textId="77777777" w:rsidR="00F05DC7" w:rsidRDefault="00F05DC7" w:rsidP="00A3786D">
            <w:pPr>
              <w:pStyle w:val="Box"/>
            </w:pPr>
            <w:r>
              <w:t>As far as practically possible, assessments made by the CGC should reflect what the States do, on a collective basis. This, according to the CGC, results in the adoption of internal standards that remove the need for judgments about what States could do or should do.</w:t>
            </w:r>
          </w:p>
          <w:p w14:paraId="79549C75" w14:textId="77777777" w:rsidR="00F05DC7" w:rsidRDefault="00F05DC7" w:rsidP="00A3786D">
            <w:pPr>
              <w:pStyle w:val="Box"/>
            </w:pPr>
            <w:r>
              <w:t>This approach works well when all the States follow relatively similar policies, but can become problematic where States follow different policies. For example, the States have different approaches to regulating gambling activity — Western Australia prohibits gaming machines outside its sole casino, while in other States they are more common. The challenges with determining the gambling revenue assessment are discussed further in chapter 3.</w:t>
            </w:r>
          </w:p>
          <w:p w14:paraId="79549C76" w14:textId="77777777" w:rsidR="00F05DC7" w:rsidRDefault="00F05DC7" w:rsidP="00A3786D">
            <w:pPr>
              <w:pStyle w:val="BoxHeading1"/>
            </w:pPr>
            <w:r>
              <w:t>Policy neutrality</w:t>
            </w:r>
          </w:p>
          <w:p w14:paraId="79549C77" w14:textId="2329EDD8" w:rsidR="00F05DC7" w:rsidRDefault="00F05DC7" w:rsidP="00A3786D">
            <w:pPr>
              <w:pStyle w:val="Box"/>
            </w:pPr>
            <w:r>
              <w:t xml:space="preserve">The principle of policy neutrality seeks to avoid the actual policies of a State directly affecting the GST it receives. It also seeks to avoid the GST distribution process providing the States with incentives to vary their policies. This principle is embodied in the CGC’s assessment practice of assuming that each State follows the average policies in raising revenue and delivering services. The CGC has itself stated that there is some ‘overlap’ between this principle and the ‘what States do’ principle </w:t>
            </w:r>
            <w:r w:rsidRPr="00CF4921">
              <w:rPr>
                <w:szCs w:val="24"/>
              </w:rPr>
              <w:t>(CGC 2010, p. 36)</w:t>
            </w:r>
            <w:r>
              <w:t>.</w:t>
            </w:r>
          </w:p>
          <w:p w14:paraId="79549C78" w14:textId="77777777" w:rsidR="00F05DC7" w:rsidRDefault="00F05DC7" w:rsidP="00A3786D">
            <w:pPr>
              <w:pStyle w:val="BoxHeading1"/>
            </w:pPr>
            <w:r>
              <w:t>Practicality</w:t>
            </w:r>
          </w:p>
          <w:p w14:paraId="79549C79" w14:textId="77777777" w:rsidR="00F05DC7" w:rsidRDefault="00F05DC7" w:rsidP="00A3786D">
            <w:pPr>
              <w:pStyle w:val="Box"/>
            </w:pPr>
            <w:r>
              <w:t xml:space="preserve">Practicality is an overarching principle directing </w:t>
            </w:r>
            <w:r w:rsidRPr="00C26571">
              <w:t>the</w:t>
            </w:r>
            <w:r>
              <w:t xml:space="preserve"> CGC to only consider</w:t>
            </w:r>
            <w:r w:rsidRPr="00C26571">
              <w:t xml:space="preserve"> factors whe</w:t>
            </w:r>
            <w:r>
              <w:t xml:space="preserve">re there is </w:t>
            </w:r>
            <w:r w:rsidRPr="00C26571">
              <w:t xml:space="preserve">sufficient </w:t>
            </w:r>
            <w:r>
              <w:t xml:space="preserve">information and </w:t>
            </w:r>
            <w:r w:rsidRPr="00C26571">
              <w:t xml:space="preserve">where </w:t>
            </w:r>
            <w:r>
              <w:t>they will actually have an effect on the GST distribution. It covers:</w:t>
            </w:r>
          </w:p>
          <w:p w14:paraId="79549C7A" w14:textId="77777777" w:rsidR="00F05DC7" w:rsidRDefault="00F05DC7" w:rsidP="00A3786D">
            <w:pPr>
              <w:pStyle w:val="BoxListBullet"/>
            </w:pPr>
            <w:r>
              <w:t>simplicity — assessments should be as simple as possible while making sense conceptually</w:t>
            </w:r>
          </w:p>
          <w:p w14:paraId="79549C7B" w14:textId="77777777" w:rsidR="00F05DC7" w:rsidRDefault="00F05DC7" w:rsidP="00A3786D">
            <w:pPr>
              <w:pStyle w:val="BoxListBullet"/>
            </w:pPr>
            <w:r>
              <w:t>reliability — methods for assessments should use reliable data, and make use of discounting where there are concerns</w:t>
            </w:r>
          </w:p>
          <w:p w14:paraId="79549C7C" w14:textId="77777777" w:rsidR="00F05DC7" w:rsidRDefault="00F05DC7" w:rsidP="00A3786D">
            <w:pPr>
              <w:pStyle w:val="BoxListBullet"/>
            </w:pPr>
            <w:r>
              <w:t>materiality — factors are considered only where they have at least a minimum effect on the GST distribution (a materiality threshold)</w:t>
            </w:r>
          </w:p>
          <w:p w14:paraId="79549C7D" w14:textId="248CD06E" w:rsidR="00F05DC7" w:rsidRDefault="00F05DC7" w:rsidP="00A3786D">
            <w:pPr>
              <w:pStyle w:val="BoxListBullet"/>
            </w:pPr>
            <w:r>
              <w:t xml:space="preserve">quality assurance — processes are in place to ensure that data and methods are robust and in accordance with the objective of HFE and its supporting principles </w:t>
            </w:r>
            <w:r w:rsidR="009D6331" w:rsidRPr="009D6331">
              <w:rPr>
                <w:rFonts w:cs="Arial"/>
                <w:szCs w:val="24"/>
              </w:rPr>
              <w:t>(CGC 2017i, pp. 27–28)</w:t>
            </w:r>
            <w:r>
              <w:t>.</w:t>
            </w:r>
          </w:p>
          <w:p w14:paraId="79549C7E" w14:textId="77777777" w:rsidR="00F05DC7" w:rsidRDefault="00F05DC7" w:rsidP="00A3786D">
            <w:pPr>
              <w:pStyle w:val="BoxHeading1"/>
            </w:pPr>
            <w:r>
              <w:t>Contemporaneity</w:t>
            </w:r>
          </w:p>
          <w:p w14:paraId="79549C7F" w14:textId="77777777" w:rsidR="00F05DC7" w:rsidRDefault="00F05DC7" w:rsidP="00A3786D">
            <w:pPr>
              <w:pStyle w:val="Box"/>
            </w:pPr>
            <w:r>
              <w:t>The principle of contemporaneity means that, as far as reliable data will allow, the distribution of GST provided to the States in a year should reflect State circumstances in that year. The CGC currently uses data for three historical years as the basis for its assessments, and stated that it:</w:t>
            </w:r>
          </w:p>
          <w:p w14:paraId="79549C80" w14:textId="3DA0DFA8" w:rsidR="00F05DC7" w:rsidRDefault="00F05DC7" w:rsidP="00A3786D">
            <w:pPr>
              <w:pStyle w:val="BoxQuote"/>
            </w:pPr>
            <w:r>
              <w:t xml:space="preserve">… has accepted that fiscal equalisation is achieved over a run of years with a lag. While imperfect, this approach recognises that State fiscal capacity in any one year must take account of the operation of the system over a run of years. </w:t>
            </w:r>
            <w:r w:rsidR="009D6331" w:rsidRPr="009D6331">
              <w:rPr>
                <w:rFonts w:cs="Arial"/>
                <w:szCs w:val="24"/>
              </w:rPr>
              <w:t>(CGC 2016c, p. 2)</w:t>
            </w:r>
          </w:p>
          <w:p w14:paraId="79549C81" w14:textId="34252878" w:rsidR="00F05DC7" w:rsidRPr="00B2362C" w:rsidRDefault="00F05DC7" w:rsidP="00A3786D">
            <w:pPr>
              <w:pStyle w:val="Box"/>
            </w:pPr>
            <w:r>
              <w:t xml:space="preserve">During the 2010 review, the CGC decided to shorten the averaging period for assessments from five years to three years, on the basis that this would better reflect current conditions. This was a decision not strongly opposed by the States at that time </w:t>
            </w:r>
            <w:r w:rsidRPr="00B03548">
              <w:rPr>
                <w:szCs w:val="24"/>
              </w:rPr>
              <w:t>(CGC 2010, p. 54)</w:t>
            </w:r>
            <w:r>
              <w:t xml:space="preserve">. The issue of contemporaneity is discussed in more detail in chapter 4. </w:t>
            </w:r>
          </w:p>
        </w:tc>
      </w:tr>
      <w:tr w:rsidR="00F05DC7" w14:paraId="79549C84" w14:textId="77777777" w:rsidTr="00A3786D">
        <w:tc>
          <w:tcPr>
            <w:tcW w:w="5000" w:type="pct"/>
            <w:tcBorders>
              <w:top w:val="nil"/>
              <w:left w:val="nil"/>
              <w:bottom w:val="single" w:sz="6" w:space="0" w:color="78A22F"/>
              <w:right w:val="nil"/>
            </w:tcBorders>
            <w:shd w:val="clear" w:color="auto" w:fill="F2F2F2"/>
          </w:tcPr>
          <w:p w14:paraId="79549C83" w14:textId="77777777" w:rsidR="00F05DC7" w:rsidRDefault="00F05DC7">
            <w:pPr>
              <w:pStyle w:val="Box"/>
              <w:spacing w:before="0" w:line="120" w:lineRule="exact"/>
            </w:pPr>
          </w:p>
        </w:tc>
      </w:tr>
      <w:tr w:rsidR="00F05DC7" w:rsidRPr="000863A5" w14:paraId="79549C86" w14:textId="77777777" w:rsidTr="00A3786D">
        <w:tc>
          <w:tcPr>
            <w:tcW w:w="5000" w:type="pct"/>
            <w:tcBorders>
              <w:top w:val="single" w:sz="6" w:space="0" w:color="78A22F"/>
              <w:left w:val="nil"/>
              <w:bottom w:val="nil"/>
              <w:right w:val="nil"/>
            </w:tcBorders>
          </w:tcPr>
          <w:p w14:paraId="79549C85" w14:textId="77777777" w:rsidR="00F05DC7" w:rsidRPr="00626D32" w:rsidRDefault="00F05DC7" w:rsidP="00A3786D">
            <w:pPr>
              <w:pStyle w:val="BoxSpaceBelow"/>
            </w:pPr>
          </w:p>
        </w:tc>
      </w:tr>
    </w:tbl>
    <w:p w14:paraId="79549C87" w14:textId="77777777" w:rsidR="00F05DC7" w:rsidRDefault="00F05DC7" w:rsidP="00A3786D">
      <w:pPr>
        <w:pStyle w:val="BodyText"/>
      </w:pPr>
      <w:r>
        <w:lastRenderedPageBreak/>
        <w:t>The CGC has also stated that where Commonwealth payments are made on an equal per capita basis, it may in essence override that basis for distributing payments where the distribution is inconsistent with the CGC’s assessment of needs:</w:t>
      </w:r>
    </w:p>
    <w:p w14:paraId="79549C88" w14:textId="150839A8" w:rsidR="00F05DC7" w:rsidRPr="00E65D01" w:rsidRDefault="00F05DC7" w:rsidP="00A3786D">
      <w:pPr>
        <w:pStyle w:val="Quote"/>
        <w:rPr>
          <w:sz w:val="24"/>
          <w:szCs w:val="24"/>
        </w:rPr>
      </w:pPr>
      <w:r>
        <w:t xml:space="preserve">The closer Commonwealth payments in total are to an EPC distribution, the more work the GST has to do in meeting State needs. A larger proportion of the GST will be required for equalisation purposes. If the payments are distributed in a manner consistent with the Commission’s assessment of needs, this will reduce the extent to which GST is redistributed. State needs have already been met by the Commonwealth payments. </w:t>
      </w:r>
      <w:r w:rsidR="009D6331" w:rsidRPr="009D6331">
        <w:rPr>
          <w:szCs w:val="24"/>
        </w:rPr>
        <w:t>(CGC 2015f, p. 47)</w:t>
      </w:r>
      <w:r>
        <w:t xml:space="preserve"> </w:t>
      </w:r>
    </w:p>
    <w:p w14:paraId="79549C89" w14:textId="77777777" w:rsidR="00F05DC7" w:rsidRDefault="00F05DC7" w:rsidP="00A3786D">
      <w:pPr>
        <w:pStyle w:val="BodyText"/>
      </w:pPr>
      <w:r>
        <w:t xml:space="preserve">Only a small share of payments are quarantined from the relativity process. These tend to be payments supporting national priorities, reward payments for achieving specific reforms, and other payments quarantined at the discretion of the Commonwealth Treasurer. </w:t>
      </w:r>
      <w:r w:rsidRPr="002E6392">
        <w:t>In 201</w:t>
      </w:r>
      <w:r>
        <w:t>6</w:t>
      </w:r>
      <w:r>
        <w:noBreakHyphen/>
      </w:r>
      <w:r w:rsidRPr="002E6392">
        <w:t>1</w:t>
      </w:r>
      <w:r>
        <w:t>7</w:t>
      </w:r>
      <w:r w:rsidRPr="002E6392">
        <w:t xml:space="preserve">, approximately </w:t>
      </w:r>
      <w:r>
        <w:t>5</w:t>
      </w:r>
      <w:r w:rsidRPr="002E6392">
        <w:t> per cent of C</w:t>
      </w:r>
      <w:r w:rsidRPr="007E7960">
        <w:t>ommonwealth payments</w:t>
      </w:r>
      <w:r>
        <w:t xml:space="preserve"> for specific purposes</w:t>
      </w:r>
      <w:r w:rsidRPr="007E7960">
        <w:t xml:space="preserve"> were quarantined </w:t>
      </w:r>
      <w:r>
        <w:t>(by the Commonwealth Treasurer) based on terms of reference requirements (CGC, pers. comm., 5 April 2018)</w:t>
      </w:r>
      <w:r w:rsidRPr="002E6392">
        <w:t>.</w:t>
      </w:r>
      <w:r w:rsidRPr="00925992">
        <w:t xml:space="preserve"> </w:t>
      </w:r>
      <w:r>
        <w:t>The larger the share of excluded Commonwealth payments, the greater is the movement to more partial equalisation.</w:t>
      </w:r>
    </w:p>
    <w:p w14:paraId="79549C8A" w14:textId="0485FA0C" w:rsidR="00F05DC7" w:rsidRDefault="00F05DC7" w:rsidP="00A3786D">
      <w:pPr>
        <w:pStyle w:val="BodyText"/>
      </w:pPr>
      <w:r>
        <w:t>Quarantined payments made to a State can raise that State’s ‘effective relativity’, enabling it to receive additional Commonwealth funds without the consequence of a reduction in its relativity as calculated by the CGC. For example, controversy about Western Australia’s declining relativity following the mining investment boom led to the State receiving quarantined Commonwealth payments for infrastructure, amounting to over $1.2 billion from 2014</w:t>
      </w:r>
      <w:r>
        <w:noBreakHyphen/>
        <w:t>15 to 2016</w:t>
      </w:r>
      <w:r>
        <w:noBreakHyphen/>
        <w:t xml:space="preserve">17 (appendix B; table B.1) </w:t>
      </w:r>
      <w:r w:rsidR="009D6331" w:rsidRPr="009D6331">
        <w:rPr>
          <w:szCs w:val="24"/>
        </w:rPr>
        <w:t>(appendix B, table B.1; CGC 2018i; Commonwealth of Australia 2015a, 2016a, 2017b)</w:t>
      </w:r>
      <w:r>
        <w:t>. The Commonwealth explicitly indicated that the payments were made to affect Western Australia’s relativity:</w:t>
      </w:r>
    </w:p>
    <w:p w14:paraId="79549C8B" w14:textId="2E962533" w:rsidR="00F05DC7" w:rsidRDefault="00F05DC7" w:rsidP="00A3786D">
      <w:pPr>
        <w:pStyle w:val="Quote"/>
      </w:pPr>
      <w:r w:rsidRPr="00CB22C5">
        <w:t xml:space="preserve">The Commonwealth will invest </w:t>
      </w:r>
      <w:r>
        <w:t>…</w:t>
      </w:r>
      <w:r w:rsidRPr="00CB22C5">
        <w:t xml:space="preserve"> </w:t>
      </w:r>
      <w:r>
        <w:t>[in]</w:t>
      </w:r>
      <w:r w:rsidRPr="00CB22C5">
        <w:t xml:space="preserve"> Western Australian infrastructure in 2016</w:t>
      </w:r>
      <w:r>
        <w:noBreakHyphen/>
      </w:r>
      <w:r w:rsidRPr="00CB22C5">
        <w:t>17, to ensure that Western Australia’s share of the GST is effectively maintained at its 2014</w:t>
      </w:r>
      <w:r>
        <w:noBreakHyphen/>
      </w:r>
      <w:r w:rsidRPr="00CB22C5">
        <w:t>15 levels.</w:t>
      </w:r>
      <w:r>
        <w:t xml:space="preserve"> </w:t>
      </w:r>
      <w:r w:rsidRPr="00F10A3A">
        <w:rPr>
          <w:szCs w:val="24"/>
        </w:rPr>
        <w:t>(Morrison, Turnbull and Cormann 2016)</w:t>
      </w:r>
    </w:p>
    <w:p w14:paraId="79549C8C" w14:textId="77777777" w:rsidR="00F05DC7" w:rsidRPr="00F21C7D" w:rsidRDefault="00F05DC7">
      <w:pPr>
        <w:pStyle w:val="Heading3"/>
      </w:pPr>
      <w:r>
        <w:t xml:space="preserve">The role of HFE in compensating for differences between States </w:t>
      </w:r>
    </w:p>
    <w:p w14:paraId="79549C8D" w14:textId="77777777" w:rsidR="00F05DC7" w:rsidRDefault="00F05DC7" w:rsidP="00A3786D">
      <w:pPr>
        <w:pStyle w:val="BodyText"/>
        <w:tabs>
          <w:tab w:val="left" w:pos="2415"/>
        </w:tabs>
      </w:pPr>
      <w:r>
        <w:t>The system of HFE also corrects for structural differences between States in the costs of supplying services. These differences are referred to as disability factors. The CGC defines a disability as:</w:t>
      </w:r>
    </w:p>
    <w:p w14:paraId="79549C8E" w14:textId="77777777" w:rsidR="00F05DC7" w:rsidRDefault="00F05DC7" w:rsidP="00A3786D">
      <w:pPr>
        <w:pStyle w:val="Quote"/>
      </w:pPr>
      <w:r>
        <w:t xml:space="preserve">An influence beyond a State’s control that requires it: </w:t>
      </w:r>
    </w:p>
    <w:p w14:paraId="79549C8F" w14:textId="77777777" w:rsidR="00F05DC7" w:rsidRDefault="00F05DC7" w:rsidP="00A3786D">
      <w:pPr>
        <w:pStyle w:val="QuoteBullet"/>
      </w:pPr>
      <w:r>
        <w:t xml:space="preserve">to spend </w:t>
      </w:r>
      <w:r w:rsidRPr="006B79E1">
        <w:t>more (or less) per capita than the average to provide the average level of service, or</w:t>
      </w:r>
    </w:p>
    <w:p w14:paraId="79549C90" w14:textId="2793ED21" w:rsidR="00F05DC7" w:rsidRDefault="00F05DC7" w:rsidP="00A3786D">
      <w:pPr>
        <w:pStyle w:val="QuoteBullet"/>
      </w:pPr>
      <w:r w:rsidRPr="00FA24E3">
        <w:t>to make a greater (or lesser) effort than the average to raise the average amount of revenue per capita.</w:t>
      </w:r>
      <w:r>
        <w:t xml:space="preserve"> </w:t>
      </w:r>
      <w:r w:rsidR="009D6331" w:rsidRPr="009D6331">
        <w:rPr>
          <w:szCs w:val="24"/>
        </w:rPr>
        <w:t>(CGC 2015g, p. 663)</w:t>
      </w:r>
    </w:p>
    <w:p w14:paraId="79549C91" w14:textId="77777777" w:rsidR="00F05DC7" w:rsidRDefault="00F05DC7" w:rsidP="00A3786D">
      <w:pPr>
        <w:pStyle w:val="BodyText"/>
        <w:tabs>
          <w:tab w:val="left" w:pos="2415"/>
        </w:tabs>
      </w:pPr>
      <w:r>
        <w:t xml:space="preserve">Each State has its own distinctive features, such as geography, natural endowments, industry mix and population characteristics. Thus, some States are affected by disability factors more than others, and therefore face a constrained ability to raise revenue, or incur higher expenditures due to geography and population factors. </w:t>
      </w:r>
    </w:p>
    <w:p w14:paraId="79549C92" w14:textId="1A58C9A2" w:rsidR="00F05DC7" w:rsidRDefault="00F05DC7" w:rsidP="00A3786D">
      <w:pPr>
        <w:pStyle w:val="BodyText"/>
        <w:tabs>
          <w:tab w:val="left" w:pos="2415"/>
        </w:tabs>
      </w:pPr>
      <w:r>
        <w:lastRenderedPageBreak/>
        <w:t xml:space="preserve">For instance, the Northern Territory’s fiscal capacity is affected by its remoteness and the Indigenous share of its population. These affect the Northern Territory’s expenditure levels. By contrast, the concentration of federal public servants in Canberra means that the ACT has a limited ability to raise payroll tax (because government payrolls are exempt), and it also has relatively low revenue raising capacity from land values and stamp duty </w:t>
      </w:r>
      <w:r w:rsidR="009D6331" w:rsidRPr="009D6331">
        <w:rPr>
          <w:szCs w:val="24"/>
        </w:rPr>
        <w:t>(CGC 2017f)</w:t>
      </w:r>
      <w:r>
        <w:t xml:space="preserve">. </w:t>
      </w:r>
    </w:p>
    <w:p w14:paraId="79549C93" w14:textId="538DFFE2" w:rsidR="00F05DC7" w:rsidRDefault="00F05DC7" w:rsidP="00A3786D">
      <w:pPr>
        <w:pStyle w:val="BodyText"/>
      </w:pPr>
      <w:r>
        <w:t xml:space="preserve">For the States where there are structural, as opposed to cyclical, factors affecting revenue and expenditure GST payments are a significant part of their budget (chapter 4; </w:t>
      </w:r>
      <w:r w:rsidRPr="00E306CD">
        <w:t>figure </w:t>
      </w:r>
      <w:r w:rsidRPr="009A4219">
        <w:t>4</w:t>
      </w:r>
      <w:r w:rsidRPr="00E306CD">
        <w:t>.1</w:t>
      </w:r>
      <w:r>
        <w:t xml:space="preserve">). For example, in the Northern Territory, revenue from the GST pool accounted for 47 per cent of its total revenue in 2017-18 </w:t>
      </w:r>
      <w:r w:rsidRPr="007771D9">
        <w:rPr>
          <w:szCs w:val="24"/>
        </w:rPr>
        <w:t>(Northern Territory Government 2017, p. 2)</w:t>
      </w:r>
      <w:r>
        <w:t>, and in Tasmania, funding from the GST pool accounted for 41 per cent of its total revenue in 2017</w:t>
      </w:r>
      <w:r>
        <w:noBreakHyphen/>
        <w:t xml:space="preserve">18 </w:t>
      </w:r>
      <w:r w:rsidRPr="009F564E">
        <w:rPr>
          <w:szCs w:val="24"/>
        </w:rPr>
        <w:t>(Tasmanian Government 2017, p. 83)</w:t>
      </w:r>
      <w:r>
        <w:t xml:space="preserve">. </w:t>
      </w:r>
    </w:p>
    <w:p w14:paraId="79549C94" w14:textId="77777777" w:rsidR="00F05DC7" w:rsidRDefault="00F05DC7" w:rsidP="00A3786D">
      <w:pPr>
        <w:pStyle w:val="Heading3"/>
      </w:pPr>
      <w:r>
        <w:t>HFE at the local government level</w:t>
      </w:r>
    </w:p>
    <w:p w14:paraId="79549C95" w14:textId="2DE49007" w:rsidR="00F05DC7" w:rsidRDefault="00F05DC7" w:rsidP="00A3786D">
      <w:pPr>
        <w:pStyle w:val="BodyText"/>
      </w:pPr>
      <w:r>
        <w:t>The principle of HFE is also applied within States, through Financial Assistance Grants provided from the Commonwealth to local governments (via State governments). However, HFE is not the only guiding principle that applies to these grants and each council is entitled to a minimum grant amount (box 2.4). The HFE aspect of grants provided to local governments seeks to ensure that ‘</w:t>
      </w:r>
      <w:r w:rsidRPr="003A6C3B">
        <w:t>each local governing body in the State or Territory is able to function, by reasonable effort, at a standard not lower than the average standard of other local governing bodies in the State or Territory</w:t>
      </w:r>
      <w:r>
        <w:t xml:space="preserve">’ </w:t>
      </w:r>
      <w:r w:rsidRPr="00231E4C">
        <w:rPr>
          <w:szCs w:val="24"/>
        </w:rPr>
        <w:t>(DIRD 2017c)</w:t>
      </w:r>
      <w:r>
        <w:t xml:space="preserve">. </w:t>
      </w:r>
    </w:p>
    <w:p w14:paraId="79549C96" w14:textId="7A5518E0" w:rsidR="00F05DC7" w:rsidRPr="00681942" w:rsidRDefault="00F05DC7" w:rsidP="00A3786D">
      <w:pPr>
        <w:pStyle w:val="Heading2"/>
      </w:pPr>
      <w:bookmarkStart w:id="57" w:name="_Toc513637706"/>
      <w:r>
        <w:t>2.</w:t>
      </w:r>
      <w:r>
        <w:rPr>
          <w:noProof/>
        </w:rPr>
        <w:t>3</w:t>
      </w:r>
      <w:r>
        <w:tab/>
        <w:t>Calculation of the GST distribution</w:t>
      </w:r>
      <w:bookmarkEnd w:id="57"/>
    </w:p>
    <w:p w14:paraId="79549C97" w14:textId="77777777" w:rsidR="00F05DC7" w:rsidRDefault="00F05DC7" w:rsidP="00A3786D">
      <w:pPr>
        <w:pStyle w:val="BodyText"/>
      </w:pPr>
      <w:r>
        <w:t xml:space="preserve">The decision made in 2000 to distribute GST to the States on the principle of HFE means that States do not receive an equal per capita distribution of GST because State circumstances and fiscal capacities differ. Hence, the CGC calculates the GST payment a State would require to give it the fiscal capacity to provide services at the same standard as the other States. This is a complex process involving many calculations. It is comprehensively outlined in CGC documents and so is not detailed at length here. </w:t>
      </w:r>
    </w:p>
    <w:p w14:paraId="79549C98" w14:textId="53577B5A" w:rsidR="00F05DC7" w:rsidRDefault="00F05DC7" w:rsidP="00A3786D">
      <w:pPr>
        <w:pStyle w:val="BodyText"/>
      </w:pPr>
      <w:r>
        <w:t xml:space="preserve">The categories of State revenue and expenditure considered by the CGC are listed in figure 2.7. The ‘other revenue’ category is a residual category for those State revenues that are not assessed in other revenue categories. The revenues that appear in this category are those for which reliable data could not be found to make an assessment, an assessment method could not be developed, or where an assessment was not material. As such, this category has no influence on the relativities calculated by the CGC, and therefore no implications for the distribution of GST payments </w:t>
      </w:r>
      <w:r w:rsidR="009D6331" w:rsidRPr="009D6331">
        <w:rPr>
          <w:szCs w:val="24"/>
        </w:rPr>
        <w:t>(CGC 2015f, p. 120)</w:t>
      </w:r>
      <w:r>
        <w:t>.</w:t>
      </w:r>
    </w:p>
    <w:p w14:paraId="79549C99"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C9B" w14:textId="77777777" w:rsidTr="00A3786D">
        <w:trPr>
          <w:tblHeader/>
        </w:trPr>
        <w:tc>
          <w:tcPr>
            <w:tcW w:w="5000" w:type="pct"/>
            <w:tcBorders>
              <w:top w:val="single" w:sz="6" w:space="0" w:color="78A22F"/>
              <w:left w:val="nil"/>
              <w:bottom w:val="nil"/>
              <w:right w:val="nil"/>
            </w:tcBorders>
            <w:shd w:val="clear" w:color="auto" w:fill="F2F2F2"/>
          </w:tcPr>
          <w:p w14:paraId="79549C9A" w14:textId="6E8F6CE8" w:rsidR="00F05DC7" w:rsidRDefault="00F05DC7" w:rsidP="00A3786D">
            <w:pPr>
              <w:pStyle w:val="BoxTitle"/>
            </w:pPr>
            <w:r>
              <w:rPr>
                <w:b w:val="0"/>
              </w:rPr>
              <w:t>Box 2.</w:t>
            </w:r>
            <w:r>
              <w:rPr>
                <w:b w:val="0"/>
                <w:noProof/>
              </w:rPr>
              <w:t>4</w:t>
            </w:r>
            <w:r>
              <w:tab/>
              <w:t>HFE and local government funding</w:t>
            </w:r>
          </w:p>
        </w:tc>
      </w:tr>
      <w:tr w:rsidR="00F05DC7" w14:paraId="79549CA7" w14:textId="77777777" w:rsidTr="00A3786D">
        <w:tc>
          <w:tcPr>
            <w:tcW w:w="5000" w:type="pct"/>
            <w:tcBorders>
              <w:top w:val="nil"/>
              <w:left w:val="nil"/>
              <w:bottom w:val="nil"/>
              <w:right w:val="nil"/>
            </w:tcBorders>
            <w:shd w:val="clear" w:color="auto" w:fill="F2F2F2"/>
          </w:tcPr>
          <w:p w14:paraId="79549C9C" w14:textId="77777777" w:rsidR="00F05DC7" w:rsidRDefault="00F05DC7" w:rsidP="00A3786D">
            <w:pPr>
              <w:pStyle w:val="Box"/>
            </w:pPr>
            <w:r>
              <w:t>The Commonwealth’s Financial Assistance Grant Program provides funding to local governments across Australia. The Program consists of two components:</w:t>
            </w:r>
          </w:p>
          <w:p w14:paraId="79549C9D" w14:textId="77777777" w:rsidR="00F05DC7" w:rsidRDefault="00F05DC7" w:rsidP="00A3786D">
            <w:pPr>
              <w:pStyle w:val="BoxListBullet"/>
            </w:pPr>
            <w:r>
              <w:t>a general purpose component, which is distributed to the States on a per capita basis</w:t>
            </w:r>
          </w:p>
          <w:p w14:paraId="79549C9E" w14:textId="27116E22" w:rsidR="00F05DC7" w:rsidRDefault="00F05DC7" w:rsidP="00A3786D">
            <w:pPr>
              <w:pStyle w:val="BoxListBullet"/>
            </w:pPr>
            <w:r>
              <w:t xml:space="preserve">a local road component, distributed amongst the States based on fixed percentages that have a historic basis </w:t>
            </w:r>
            <w:r w:rsidRPr="00231E4C">
              <w:rPr>
                <w:rFonts w:cs="Arial"/>
                <w:szCs w:val="24"/>
              </w:rPr>
              <w:t>(DIRD 2017a)</w:t>
            </w:r>
            <w:r>
              <w:t>.</w:t>
            </w:r>
          </w:p>
          <w:p w14:paraId="79549C9F" w14:textId="01878F96" w:rsidR="00F05DC7" w:rsidRDefault="00F05DC7" w:rsidP="00A3786D">
            <w:pPr>
              <w:pStyle w:val="Box"/>
            </w:pPr>
            <w:r>
              <w:t xml:space="preserve">State Grants Commissions in each jurisdiction (except the ACT) make recommendations on the distribution of funding to local government bodies in accordance with the </w:t>
            </w:r>
            <w:r w:rsidRPr="00742DDB">
              <w:rPr>
                <w:i/>
              </w:rPr>
              <w:t>Local Government (Financial Assistance) Act</w:t>
            </w:r>
            <w:r>
              <w:t xml:space="preserve"> </w:t>
            </w:r>
            <w:r w:rsidRPr="007B49A2">
              <w:rPr>
                <w:i/>
              </w:rPr>
              <w:t>1995</w:t>
            </w:r>
            <w:r>
              <w:t xml:space="preserve"> (Cwlth) and the National Principles for the allocation of Financial Assistance Grants </w:t>
            </w:r>
            <w:r w:rsidRPr="00231E4C">
              <w:rPr>
                <w:rFonts w:cs="Arial"/>
                <w:szCs w:val="24"/>
              </w:rPr>
              <w:t>(DIRD 2017c)</w:t>
            </w:r>
            <w:r>
              <w:t xml:space="preserve">. </w:t>
            </w:r>
          </w:p>
          <w:p w14:paraId="79549CA0" w14:textId="77777777" w:rsidR="00F05DC7" w:rsidRDefault="00F05DC7" w:rsidP="00A3786D">
            <w:pPr>
              <w:pStyle w:val="Box"/>
            </w:pPr>
            <w:r>
              <w:t>The National Principles for the allocation of grants stipulate that general purpose grants are to be distributed on the basis of HFE, subject to a minimum grant based on a nominal per capita distribution of 30 per cent. The Principles state that:</w:t>
            </w:r>
          </w:p>
          <w:p w14:paraId="79549CA1" w14:textId="648B528D" w:rsidR="00F05DC7" w:rsidRDefault="00F05DC7" w:rsidP="00A3786D">
            <w:pPr>
              <w:pStyle w:val="BoxQuote"/>
            </w:pPr>
            <w:r>
              <w:t xml:space="preserve">General purpose grants will be allocated to local governing bodies, as far as practicable, on a full horizontal equalisation basis as defined by the Act. This is a basis that ensures that each local governing body in the State/Territory is able to function, by reasonable effort, at a standard not lower than the average standard of other local governing bodies in the State. </w:t>
            </w:r>
            <w:r w:rsidRPr="00231E4C">
              <w:rPr>
                <w:rFonts w:cs="Arial"/>
                <w:szCs w:val="24"/>
              </w:rPr>
              <w:t>(DIRD 2017b, p. 46)</w:t>
            </w:r>
          </w:p>
          <w:p w14:paraId="79549CA2" w14:textId="77777777" w:rsidR="00F05DC7" w:rsidRDefault="00F05DC7" w:rsidP="00A3786D">
            <w:pPr>
              <w:pStyle w:val="Box"/>
            </w:pPr>
            <w:r>
              <w:t>One participant at the Productivity Commission’s hearing in Adelaide remarked:</w:t>
            </w:r>
          </w:p>
          <w:p w14:paraId="79549CA3" w14:textId="77777777" w:rsidR="00F05DC7" w:rsidRDefault="00F05DC7" w:rsidP="00A3786D">
            <w:pPr>
              <w:pStyle w:val="BoxQuote"/>
            </w:pPr>
            <w:r>
              <w:t>The reason we don’t fully equalise in that area [local government] is first of all there’s a severe limitation on the amount of money which is far insufficient to fully equalise. And the other aspect is that there is a requirement in Federal legislation for a minimum grant so that even the best off Councils get this minimum grant. (Peter Emery, trans., p. 255)</w:t>
            </w:r>
          </w:p>
          <w:p w14:paraId="79549CA4" w14:textId="77777777" w:rsidR="00F05DC7" w:rsidRDefault="00F05DC7">
            <w:pPr>
              <w:pStyle w:val="Box"/>
            </w:pPr>
            <w:r>
              <w:t>The Under Treasurer of the Northern Territory stated:</w:t>
            </w:r>
          </w:p>
          <w:p w14:paraId="79549CA5" w14:textId="77777777" w:rsidR="00F05DC7" w:rsidRPr="00366A87" w:rsidRDefault="00F05DC7" w:rsidP="00A3786D">
            <w:pPr>
              <w:pStyle w:val="BoxQuote"/>
            </w:pPr>
            <w:r>
              <w:t>… in terms of distribution of funding within the Northern Territory … we do have funding formulas which account for issues like remoteness and indigeneity, school funding formulas, formulas for funding allocation of police and health resources, so there is I guess attempts made to ensure that the factors that influence costs and demand of services within the Northern Territory are taken into account in the … allocation of funding and resources. (trans., p. 409)</w:t>
            </w:r>
          </w:p>
          <w:p w14:paraId="79549CA6" w14:textId="3092B494" w:rsidR="00F05DC7" w:rsidRPr="00B7420B" w:rsidRDefault="00F05DC7" w:rsidP="009D6331">
            <w:pPr>
              <w:pStyle w:val="Box"/>
            </w:pPr>
            <w:r>
              <w:t>Local governments that receive the minimum grant entitlement are typically located in capital cities or urban areas and have a greater than average capacity to provide services. In 2014</w:t>
            </w:r>
            <w:r>
              <w:noBreakHyphen/>
              <w:t xml:space="preserve">15, just over 44 per cent of the population resided in ‘minimum grant’ councils </w:t>
            </w:r>
            <w:r w:rsidR="009D6331" w:rsidRPr="009D6331">
              <w:rPr>
                <w:rFonts w:cs="Arial"/>
                <w:szCs w:val="24"/>
              </w:rPr>
              <w:t>(PC 2017c, p. 12)</w:t>
            </w:r>
            <w:r>
              <w:t>.</w:t>
            </w:r>
          </w:p>
        </w:tc>
      </w:tr>
      <w:tr w:rsidR="00F05DC7" w14:paraId="79549CA9" w14:textId="77777777" w:rsidTr="00A3786D">
        <w:tc>
          <w:tcPr>
            <w:tcW w:w="5000" w:type="pct"/>
            <w:tcBorders>
              <w:top w:val="nil"/>
              <w:left w:val="nil"/>
              <w:bottom w:val="single" w:sz="6" w:space="0" w:color="78A22F"/>
              <w:right w:val="nil"/>
            </w:tcBorders>
            <w:shd w:val="clear" w:color="auto" w:fill="F2F2F2"/>
          </w:tcPr>
          <w:p w14:paraId="79549CA8" w14:textId="77777777" w:rsidR="00F05DC7" w:rsidRDefault="00F05DC7" w:rsidP="00A3786D">
            <w:pPr>
              <w:pStyle w:val="Box"/>
              <w:spacing w:before="0" w:line="120" w:lineRule="exact"/>
            </w:pPr>
          </w:p>
        </w:tc>
      </w:tr>
      <w:tr w:rsidR="00F05DC7" w:rsidRPr="000863A5" w14:paraId="79549CAB" w14:textId="77777777" w:rsidTr="00A3786D">
        <w:tc>
          <w:tcPr>
            <w:tcW w:w="5000" w:type="pct"/>
            <w:tcBorders>
              <w:top w:val="single" w:sz="6" w:space="0" w:color="78A22F"/>
              <w:left w:val="nil"/>
              <w:bottom w:val="nil"/>
              <w:right w:val="nil"/>
            </w:tcBorders>
          </w:tcPr>
          <w:p w14:paraId="79549CAA" w14:textId="77777777" w:rsidR="00F05DC7" w:rsidRPr="00626D32" w:rsidRDefault="00F05DC7" w:rsidP="00A3786D">
            <w:pPr>
              <w:pStyle w:val="BoxSpaceBelow"/>
            </w:pPr>
          </w:p>
        </w:tc>
      </w:tr>
    </w:tbl>
    <w:p w14:paraId="79549CAC" w14:textId="29A6B5E0" w:rsidR="00F05DC7" w:rsidRDefault="00F05DC7" w:rsidP="00A3786D">
      <w:pPr>
        <w:pStyle w:val="BodyText"/>
      </w:pPr>
      <w:r>
        <w:t>The size of the other revenue category can hence be viewed as one source of divergence between the theoretical objective of perfect equalisation, and the actual outcome of less than perfect equalisation (discussed in section 2.4). The share of State revenues classified in the ‘other revenue’ category is significant, ranging in 2016</w:t>
      </w:r>
      <w:r>
        <w:noBreakHyphen/>
        <w:t>17 from about one</w:t>
      </w:r>
      <w:r>
        <w:noBreakHyphen/>
        <w:t>quarter of Western Australia’s own</w:t>
      </w:r>
      <w:r>
        <w:noBreakHyphen/>
        <w:t xml:space="preserve">source revenues to over 45 per cent for Tasmania </w:t>
      </w:r>
      <w:r w:rsidR="009D6331" w:rsidRPr="009D6331">
        <w:rPr>
          <w:szCs w:val="24"/>
        </w:rPr>
        <w:t>(CGC 2018c)</w:t>
      </w:r>
      <w:r>
        <w:t>. Nevertheless, the share of the other revenue category has fallen for all States in the past decade (figure 2.8). In total in 2016</w:t>
      </w:r>
      <w:r>
        <w:noBreakHyphen/>
        <w:t>17, about 37 per cent of revenues were assessed on an EPC basis, or near EPC basis, while about 18 per cent of expenditure was assessed on an EPC basis, or near EPC basis (with limited disabilities) (CGC, pers. comm., 5 April 2018).</w:t>
      </w:r>
      <w:r w:rsidRPr="00676AE0">
        <w:t xml:space="preserve"> </w:t>
      </w:r>
      <w:r>
        <w:t>As acknowledged by the CGC:</w:t>
      </w:r>
    </w:p>
    <w:p w14:paraId="79549CAD" w14:textId="3792E6B8" w:rsidR="00F05DC7" w:rsidRDefault="00F05DC7" w:rsidP="00A3786D">
      <w:pPr>
        <w:pStyle w:val="Quote"/>
      </w:pPr>
      <w:r>
        <w:t xml:space="preserve">… while precise (or complete) equalisation is the aspirational goal, in reality the Commission achieves proximate equalisation. </w:t>
      </w:r>
      <w:r w:rsidR="009D6331" w:rsidRPr="009D6331">
        <w:rPr>
          <w:szCs w:val="24"/>
        </w:rPr>
        <w:t>(2017i, p. 4)</w:t>
      </w:r>
    </w:p>
    <w:p w14:paraId="79549CAE"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CB0" w14:textId="77777777" w:rsidTr="00A3786D">
        <w:trPr>
          <w:tblHeader/>
        </w:trPr>
        <w:tc>
          <w:tcPr>
            <w:tcW w:w="5000" w:type="pct"/>
            <w:tcBorders>
              <w:top w:val="single" w:sz="6" w:space="0" w:color="78A22F"/>
              <w:left w:val="nil"/>
              <w:bottom w:val="nil"/>
              <w:right w:val="nil"/>
            </w:tcBorders>
            <w:shd w:val="clear" w:color="auto" w:fill="auto"/>
          </w:tcPr>
          <w:p w14:paraId="79549CAF" w14:textId="682CBD01" w:rsidR="00F05DC7" w:rsidRPr="000F2925" w:rsidRDefault="00F05DC7" w:rsidP="00A3786D">
            <w:pPr>
              <w:pStyle w:val="ListNumber"/>
              <w:keepNext/>
              <w:keepLines/>
              <w:numPr>
                <w:ilvl w:val="0"/>
                <w:numId w:val="0"/>
              </w:numPr>
              <w:spacing w:after="80" w:line="280" w:lineRule="exact"/>
              <w:ind w:left="1474" w:hanging="1474"/>
              <w:jc w:val="left"/>
              <w:rPr>
                <w:rFonts w:cs="Arial"/>
              </w:rPr>
            </w:pPr>
            <w:r w:rsidRPr="00482A04">
              <w:rPr>
                <w:rFonts w:ascii="Arial" w:hAnsi="Arial" w:cs="Arial"/>
              </w:rPr>
              <w:t>Figure</w:t>
            </w:r>
            <w:r>
              <w:rPr>
                <w:rFonts w:ascii="Arial" w:hAnsi="Arial" w:cs="Arial"/>
              </w:rPr>
              <w:t> 2.7</w:t>
            </w:r>
            <w:r w:rsidRPr="00482A04">
              <w:rPr>
                <w:rFonts w:ascii="Arial" w:hAnsi="Arial" w:cs="Arial"/>
              </w:rPr>
              <w:tab/>
            </w:r>
            <w:r w:rsidRPr="00482A04">
              <w:rPr>
                <w:rFonts w:ascii="Arial" w:hAnsi="Arial" w:cs="Arial"/>
                <w:b/>
              </w:rPr>
              <w:t>Categories of State revenue and expenditure</w:t>
            </w:r>
          </w:p>
        </w:tc>
      </w:tr>
      <w:tr w:rsidR="00F05DC7" w14:paraId="79549CB4"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05DC7" w:rsidRPr="00B1465D" w14:paraId="79549CB2" w14:textId="77777777" w:rsidTr="00A3786D">
              <w:trPr>
                <w:tblHeader/>
                <w:jc w:val="center"/>
              </w:trPr>
              <w:tc>
                <w:tcPr>
                  <w:tcW w:w="5000" w:type="pct"/>
                  <w:tcBorders>
                    <w:top w:val="nil"/>
                    <w:bottom w:val="nil"/>
                  </w:tcBorders>
                </w:tcPr>
                <w:p w14:paraId="79549CB1" w14:textId="6F843B3D" w:rsidR="00F05DC7" w:rsidRPr="00B1465D" w:rsidRDefault="00B25343" w:rsidP="00CC79C0">
                  <w:pPr>
                    <w:pStyle w:val="Figure"/>
                    <w:spacing w:before="160" w:after="60"/>
                    <w:rPr>
                      <w:rFonts w:ascii="Arial" w:hAnsi="Arial" w:cs="Arial"/>
                      <w:sz w:val="18"/>
                      <w:szCs w:val="18"/>
                    </w:rPr>
                  </w:pPr>
                  <w:r w:rsidRPr="00B25343">
                    <w:rPr>
                      <w:rFonts w:ascii="Arial" w:hAnsi="Arial" w:cs="Arial"/>
                      <w:noProof/>
                      <w:sz w:val="18"/>
                      <w:szCs w:val="18"/>
                    </w:rPr>
                    <w:drawing>
                      <wp:inline distT="0" distB="0" distL="0" distR="0" wp14:anchorId="15FC9243" wp14:editId="1A3D1BEE">
                        <wp:extent cx="3312000" cy="4800217"/>
                        <wp:effectExtent l="0" t="0" r="3175" b="635"/>
                        <wp:docPr id="22" name="Picture 22" descr="The Commonwealth Grants Commission has seven categories of State revenue (payroll tax, land tax, stamp duty, insurance taxes, motor taxes, mining revenue, and other revenue) as well as revenue from Commonwealth payments. &#10;There are thirteen categories of expenditure (schools education, post secondary education, health, welfare, housing, services to communities, justice services, roads, transport services, services to industry, depreciation, investment, and other expenses), plus net bor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12000" cy="4800217"/>
                                </a:xfrm>
                                <a:prstGeom prst="rect">
                                  <a:avLst/>
                                </a:prstGeom>
                                <a:noFill/>
                                <a:ln>
                                  <a:noFill/>
                                </a:ln>
                              </pic:spPr>
                            </pic:pic>
                          </a:graphicData>
                        </a:graphic>
                      </wp:inline>
                    </w:drawing>
                  </w:r>
                  <w:r w:rsidRPr="00B25343">
                    <w:rPr>
                      <w:rFonts w:ascii="Arial" w:hAnsi="Arial" w:cs="Arial"/>
                      <w:sz w:val="18"/>
                      <w:szCs w:val="18"/>
                    </w:rPr>
                    <w:t xml:space="preserve"> </w:t>
                  </w:r>
                </w:p>
              </w:tc>
            </w:tr>
          </w:tbl>
          <w:p w14:paraId="79549CB3" w14:textId="77777777" w:rsidR="00F05DC7" w:rsidRDefault="00F05DC7" w:rsidP="00A3786D">
            <w:pPr>
              <w:pStyle w:val="Figure"/>
            </w:pPr>
          </w:p>
        </w:tc>
      </w:tr>
      <w:tr w:rsidR="00F05DC7" w:rsidRPr="00176D3F" w14:paraId="79549CB6" w14:textId="77777777" w:rsidTr="00A3786D">
        <w:tc>
          <w:tcPr>
            <w:tcW w:w="5000" w:type="pct"/>
            <w:tcBorders>
              <w:top w:val="nil"/>
              <w:left w:val="nil"/>
              <w:bottom w:val="nil"/>
              <w:right w:val="nil"/>
            </w:tcBorders>
            <w:shd w:val="clear" w:color="auto" w:fill="auto"/>
          </w:tcPr>
          <w:p w14:paraId="79549CB5" w14:textId="77777777" w:rsidR="00F05DC7" w:rsidRPr="00176D3F" w:rsidRDefault="00F05DC7" w:rsidP="00A3786D">
            <w:pPr>
              <w:pStyle w:val="Note"/>
            </w:pPr>
            <w:r>
              <w:rPr>
                <w:rStyle w:val="NoteLabel"/>
              </w:rPr>
              <w:t>a</w:t>
            </w:r>
            <w:r>
              <w:t xml:space="preserve"> Includes gambling taxes, user charges, fees and fines, interest and dividend income, contributions by trading enterprises, and other revenue, such as taxes to be abolished under the Intergovernmental Agreement on Federal Financial Relations. </w:t>
            </w:r>
            <w:r>
              <w:rPr>
                <w:rStyle w:val="NoteLabel"/>
              </w:rPr>
              <w:t>b</w:t>
            </w:r>
            <w:r>
              <w:t xml:space="preserve"> Only refers to investment in new infrastructure and equipment. Replacement of existing assets is assumed to be funded by depreciation expense. </w:t>
            </w:r>
            <w:r>
              <w:rPr>
                <w:rStyle w:val="NoteLabel"/>
              </w:rPr>
              <w:t>c</w:t>
            </w:r>
            <w:r>
              <w:t xml:space="preserve"> Includes expenses on general public services, natural disasters, and capital grants to local governments for community amenities, among other expenses.</w:t>
            </w:r>
          </w:p>
        </w:tc>
      </w:tr>
      <w:tr w:rsidR="00F05DC7" w:rsidRPr="00176D3F" w14:paraId="79549CB8" w14:textId="77777777" w:rsidTr="00A3786D">
        <w:tc>
          <w:tcPr>
            <w:tcW w:w="5000" w:type="pct"/>
            <w:tcBorders>
              <w:top w:val="nil"/>
              <w:left w:val="nil"/>
              <w:bottom w:val="nil"/>
              <w:right w:val="nil"/>
            </w:tcBorders>
            <w:shd w:val="clear" w:color="auto" w:fill="auto"/>
          </w:tcPr>
          <w:p w14:paraId="79549CB7" w14:textId="7C744E65" w:rsidR="00F05DC7" w:rsidRPr="00176D3F" w:rsidRDefault="00F05DC7" w:rsidP="00A3786D">
            <w:pPr>
              <w:pStyle w:val="Source"/>
            </w:pPr>
            <w:r>
              <w:rPr>
                <w:i/>
              </w:rPr>
              <w:t>S</w:t>
            </w:r>
            <w:r w:rsidRPr="00784A05">
              <w:rPr>
                <w:i/>
              </w:rPr>
              <w:t>ource</w:t>
            </w:r>
            <w:r w:rsidRPr="00176D3F">
              <w:t xml:space="preserve">: </w:t>
            </w:r>
            <w:r>
              <w:t xml:space="preserve">CGC </w:t>
            </w:r>
            <w:r w:rsidR="009D6331" w:rsidRPr="009D6331">
              <w:rPr>
                <w:rFonts w:cs="Arial"/>
              </w:rPr>
              <w:t>(2015f)</w:t>
            </w:r>
            <w:r>
              <w:t>.</w:t>
            </w:r>
          </w:p>
        </w:tc>
      </w:tr>
      <w:tr w:rsidR="00F05DC7" w14:paraId="79549CBA" w14:textId="77777777" w:rsidTr="00A3786D">
        <w:tc>
          <w:tcPr>
            <w:tcW w:w="5000" w:type="pct"/>
            <w:tcBorders>
              <w:top w:val="nil"/>
              <w:left w:val="nil"/>
              <w:bottom w:val="single" w:sz="6" w:space="0" w:color="78A22F"/>
              <w:right w:val="nil"/>
            </w:tcBorders>
            <w:shd w:val="clear" w:color="auto" w:fill="auto"/>
          </w:tcPr>
          <w:p w14:paraId="79549CB9" w14:textId="77777777" w:rsidR="00F05DC7" w:rsidRDefault="00F05DC7" w:rsidP="00A3786D">
            <w:pPr>
              <w:pStyle w:val="Figurespace"/>
            </w:pPr>
          </w:p>
        </w:tc>
      </w:tr>
      <w:tr w:rsidR="00F05DC7" w:rsidRPr="000863A5" w14:paraId="79549CBC" w14:textId="77777777" w:rsidTr="00A3786D">
        <w:tc>
          <w:tcPr>
            <w:tcW w:w="5000" w:type="pct"/>
            <w:tcBorders>
              <w:top w:val="single" w:sz="6" w:space="0" w:color="78A22F"/>
              <w:left w:val="nil"/>
              <w:bottom w:val="nil"/>
              <w:right w:val="nil"/>
            </w:tcBorders>
          </w:tcPr>
          <w:p w14:paraId="79549CBB" w14:textId="77777777" w:rsidR="00F05DC7" w:rsidRPr="00626D32" w:rsidRDefault="00F05DC7" w:rsidP="00A3786D">
            <w:pPr>
              <w:pStyle w:val="BoxSpaceBelow"/>
            </w:pPr>
          </w:p>
        </w:tc>
      </w:tr>
    </w:tbl>
    <w:p w14:paraId="79549CBD" w14:textId="1793CF89" w:rsidR="00F05DC7" w:rsidRPr="00976B83" w:rsidRDefault="00F05DC7" w:rsidP="00A3786D">
      <w:pPr>
        <w:pStyle w:val="BodyText"/>
      </w:pPr>
      <w:r>
        <w:t xml:space="preserve">Another illustration of the fact that equalisation is not precise in practice is the use of discounting by the CGC. In 2015, the discounting applied by the CGC (table 2.3) resulted in a total redistribution of $503 million relative to a case where no discounting was applied </w:t>
      </w:r>
      <w:r w:rsidR="009D6331" w:rsidRPr="009D6331">
        <w:rPr>
          <w:szCs w:val="24"/>
        </w:rPr>
        <w:t>(CGC 2015f, pp. 18–19)</w:t>
      </w:r>
      <w:r>
        <w:t xml:space="preserve">. </w:t>
      </w:r>
    </w:p>
    <w:p w14:paraId="79549CBE"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CC0" w14:textId="77777777" w:rsidTr="00A3786D">
        <w:trPr>
          <w:tblHeader/>
        </w:trPr>
        <w:tc>
          <w:tcPr>
            <w:tcW w:w="5000" w:type="pct"/>
            <w:tcBorders>
              <w:top w:val="single" w:sz="6" w:space="0" w:color="78A22F"/>
              <w:left w:val="nil"/>
              <w:bottom w:val="nil"/>
              <w:right w:val="nil"/>
            </w:tcBorders>
            <w:shd w:val="clear" w:color="auto" w:fill="auto"/>
          </w:tcPr>
          <w:p w14:paraId="79549CBF" w14:textId="0176A0E6" w:rsidR="00F05DC7" w:rsidRPr="00176D3F" w:rsidRDefault="00F05DC7" w:rsidP="00A3786D">
            <w:pPr>
              <w:pStyle w:val="FigureTitle"/>
            </w:pPr>
            <w:r w:rsidRPr="00784A05">
              <w:rPr>
                <w:b w:val="0"/>
              </w:rPr>
              <w:t xml:space="preserve">Figure </w:t>
            </w:r>
            <w:r>
              <w:rPr>
                <w:b w:val="0"/>
              </w:rPr>
              <w:t>2.8</w:t>
            </w:r>
            <w:r>
              <w:tab/>
              <w:t>State shares of unassessed revenue</w:t>
            </w:r>
            <w:r w:rsidRPr="00795774">
              <w:rPr>
                <w:rStyle w:val="NoteLabel"/>
                <w:b/>
              </w:rPr>
              <w:t>a</w:t>
            </w:r>
            <w:r>
              <w:rPr>
                <w:rStyle w:val="NoteLabel"/>
                <w:b/>
              </w:rPr>
              <w:t>,b</w:t>
            </w:r>
          </w:p>
        </w:tc>
      </w:tr>
      <w:tr w:rsidR="00F05DC7" w14:paraId="79549CC4" w14:textId="77777777" w:rsidTr="00A3786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05DC7" w:rsidRPr="00B1465D" w14:paraId="79549CC2" w14:textId="77777777" w:rsidTr="00A3786D">
              <w:trPr>
                <w:tblHeader/>
                <w:jc w:val="center"/>
              </w:trPr>
              <w:tc>
                <w:tcPr>
                  <w:tcW w:w="8505" w:type="dxa"/>
                  <w:tcBorders>
                    <w:top w:val="nil"/>
                    <w:bottom w:val="nil"/>
                  </w:tcBorders>
                </w:tcPr>
                <w:p w14:paraId="79549CC1" w14:textId="0A27BDFB" w:rsidR="00F05DC7" w:rsidRPr="00B1465D" w:rsidRDefault="00AA7C86" w:rsidP="00A3786D">
                  <w:pPr>
                    <w:pStyle w:val="Figure"/>
                    <w:spacing w:before="60" w:after="60"/>
                    <w:rPr>
                      <w:rFonts w:ascii="Arial" w:hAnsi="Arial" w:cs="Arial"/>
                      <w:sz w:val="18"/>
                      <w:szCs w:val="18"/>
                    </w:rPr>
                  </w:pPr>
                  <w:r w:rsidRPr="00AA7C86">
                    <w:rPr>
                      <w:rFonts w:ascii="Arial" w:hAnsi="Arial" w:cs="Arial"/>
                      <w:noProof/>
                      <w:sz w:val="18"/>
                      <w:szCs w:val="18"/>
                    </w:rPr>
                    <w:drawing>
                      <wp:inline distT="0" distB="0" distL="0" distR="0" wp14:anchorId="7191500C" wp14:editId="382783F8">
                        <wp:extent cx="5271247" cy="2481580"/>
                        <wp:effectExtent l="0" t="0" r="5715" b="0"/>
                        <wp:docPr id="225" name="Picture 225" descr="Shares of State revenue that fall into the ‘other revenue’ category vary across States. In 2015 16, this ranged from a low of approximately 25 per cent in Western Australia to a high of nearly 60 per cent for the ACT.&#10;Compared to 2006 07, all States experienced reductions in the proportion of State revenue that was classified as other reven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 r="1720"/>
                                <a:stretch/>
                              </pic:blipFill>
                              <pic:spPr bwMode="auto">
                                <a:xfrm>
                                  <a:off x="0" y="0"/>
                                  <a:ext cx="5271710" cy="2481798"/>
                                </a:xfrm>
                                <a:prstGeom prst="rect">
                                  <a:avLst/>
                                </a:prstGeom>
                                <a:noFill/>
                                <a:ln>
                                  <a:noFill/>
                                </a:ln>
                                <a:extLst>
                                  <a:ext uri="{53640926-AAD7-44D8-BBD7-CCE9431645EC}">
                                    <a14:shadowObscured xmlns:a14="http://schemas.microsoft.com/office/drawing/2010/main"/>
                                  </a:ext>
                                </a:extLst>
                              </pic:spPr>
                            </pic:pic>
                          </a:graphicData>
                        </a:graphic>
                      </wp:inline>
                    </w:drawing>
                  </w:r>
                  <w:r w:rsidR="00F05DC7" w:rsidRPr="00DB62E6" w:rsidDel="00A67C76">
                    <w:rPr>
                      <w:rFonts w:ascii="Arial" w:hAnsi="Arial" w:cs="Arial"/>
                      <w:noProof/>
                      <w:sz w:val="18"/>
                      <w:szCs w:val="18"/>
                    </w:rPr>
                    <w:t xml:space="preserve"> </w:t>
                  </w:r>
                </w:p>
              </w:tc>
            </w:tr>
          </w:tbl>
          <w:p w14:paraId="79549CC3" w14:textId="77777777" w:rsidR="00F05DC7" w:rsidRDefault="00F05DC7" w:rsidP="00A3786D">
            <w:pPr>
              <w:pStyle w:val="Figure"/>
            </w:pPr>
          </w:p>
        </w:tc>
      </w:tr>
      <w:tr w:rsidR="00F05DC7" w:rsidRPr="00176D3F" w14:paraId="79549CC6" w14:textId="77777777" w:rsidTr="00A3786D">
        <w:tc>
          <w:tcPr>
            <w:tcW w:w="5000" w:type="pct"/>
            <w:tcBorders>
              <w:top w:val="nil"/>
              <w:left w:val="nil"/>
              <w:bottom w:val="nil"/>
              <w:right w:val="nil"/>
            </w:tcBorders>
            <w:shd w:val="clear" w:color="auto" w:fill="auto"/>
          </w:tcPr>
          <w:p w14:paraId="79549CC5" w14:textId="77777777" w:rsidR="00F05DC7" w:rsidRPr="00176D3F" w:rsidRDefault="00F05DC7" w:rsidP="00A3786D">
            <w:pPr>
              <w:pStyle w:val="Note"/>
            </w:pPr>
            <w:r>
              <w:rPr>
                <w:rStyle w:val="NoteLabel"/>
              </w:rPr>
              <w:t>a</w:t>
            </w:r>
            <w:r>
              <w:t xml:space="preserve"> Calculated as the amount of State revenue in the ‘other revenue’ category as a share of total State own</w:t>
            </w:r>
            <w:r>
              <w:noBreakHyphen/>
              <w:t xml:space="preserve">source revenue using the adjusted budget summaries published by the CGC. </w:t>
            </w:r>
            <w:r w:rsidRPr="00F10A3A">
              <w:rPr>
                <w:rStyle w:val="NoteLabel"/>
              </w:rPr>
              <w:t>b</w:t>
            </w:r>
            <w:r>
              <w:t xml:space="preserve"> Data for total revenue classified as ‘other revenue’ refers to 2016</w:t>
            </w:r>
            <w:r>
              <w:noBreakHyphen/>
              <w:t xml:space="preserve">17 dollar terms. </w:t>
            </w:r>
          </w:p>
        </w:tc>
      </w:tr>
      <w:tr w:rsidR="00F05DC7" w:rsidRPr="00176D3F" w14:paraId="79549CC8" w14:textId="77777777" w:rsidTr="00A3786D">
        <w:tc>
          <w:tcPr>
            <w:tcW w:w="5000" w:type="pct"/>
            <w:tcBorders>
              <w:top w:val="nil"/>
              <w:left w:val="nil"/>
              <w:bottom w:val="nil"/>
              <w:right w:val="nil"/>
            </w:tcBorders>
            <w:shd w:val="clear" w:color="auto" w:fill="auto"/>
          </w:tcPr>
          <w:p w14:paraId="79549CC7" w14:textId="7E1F5F89" w:rsidR="00F05DC7" w:rsidRPr="00176D3F" w:rsidRDefault="00F05DC7" w:rsidP="00A3786D">
            <w:pPr>
              <w:pStyle w:val="Source"/>
            </w:pPr>
            <w:r>
              <w:rPr>
                <w:i/>
              </w:rPr>
              <w:t>S</w:t>
            </w:r>
            <w:r w:rsidRPr="00784A05">
              <w:rPr>
                <w:i/>
              </w:rPr>
              <w:t>ource</w:t>
            </w:r>
            <w:r>
              <w:rPr>
                <w:i/>
              </w:rPr>
              <w:t>s</w:t>
            </w:r>
            <w:r w:rsidRPr="00176D3F">
              <w:t xml:space="preserve">: </w:t>
            </w:r>
            <w:r>
              <w:t xml:space="preserve">Productivity Commission estimates based on CGC </w:t>
            </w:r>
            <w:r w:rsidR="009D6331" w:rsidRPr="009D6331">
              <w:rPr>
                <w:rFonts w:cs="Arial"/>
              </w:rPr>
              <w:t>(2013a, 2018c)</w:t>
            </w:r>
            <w:r>
              <w:t>.</w:t>
            </w:r>
          </w:p>
        </w:tc>
      </w:tr>
      <w:tr w:rsidR="00F05DC7" w14:paraId="79549CCA" w14:textId="77777777" w:rsidTr="00A3786D">
        <w:tc>
          <w:tcPr>
            <w:tcW w:w="5000" w:type="pct"/>
            <w:tcBorders>
              <w:top w:val="nil"/>
              <w:left w:val="nil"/>
              <w:bottom w:val="single" w:sz="6" w:space="0" w:color="78A22F"/>
              <w:right w:val="nil"/>
            </w:tcBorders>
            <w:shd w:val="clear" w:color="auto" w:fill="auto"/>
          </w:tcPr>
          <w:p w14:paraId="79549CC9" w14:textId="77777777" w:rsidR="00F05DC7" w:rsidRDefault="00F05DC7" w:rsidP="00A3786D">
            <w:pPr>
              <w:pStyle w:val="Figurespace"/>
            </w:pPr>
          </w:p>
        </w:tc>
      </w:tr>
      <w:tr w:rsidR="00F05DC7" w:rsidRPr="000863A5" w14:paraId="79549CCC" w14:textId="77777777" w:rsidTr="00A3786D">
        <w:tc>
          <w:tcPr>
            <w:tcW w:w="5000" w:type="pct"/>
            <w:tcBorders>
              <w:top w:val="single" w:sz="6" w:space="0" w:color="78A22F"/>
              <w:left w:val="nil"/>
              <w:bottom w:val="nil"/>
              <w:right w:val="nil"/>
            </w:tcBorders>
          </w:tcPr>
          <w:p w14:paraId="79549CCB" w14:textId="77777777" w:rsidR="00F05DC7" w:rsidRPr="00626D32" w:rsidRDefault="00F05DC7" w:rsidP="00A3786D">
            <w:pPr>
              <w:pStyle w:val="BoxSpaceBelow"/>
            </w:pPr>
          </w:p>
        </w:tc>
      </w:tr>
    </w:tbl>
    <w:p w14:paraId="79549CCD"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9CCF" w14:textId="77777777" w:rsidTr="001113B1">
        <w:trPr>
          <w:tblHeader/>
        </w:trPr>
        <w:tc>
          <w:tcPr>
            <w:tcW w:w="5000" w:type="pct"/>
            <w:tcBorders>
              <w:top w:val="single" w:sz="6" w:space="0" w:color="78A22F"/>
              <w:left w:val="nil"/>
              <w:bottom w:val="nil"/>
              <w:right w:val="nil"/>
            </w:tcBorders>
            <w:shd w:val="clear" w:color="auto" w:fill="auto"/>
          </w:tcPr>
          <w:p w14:paraId="79549CCE" w14:textId="36D5C17D" w:rsidR="00F05DC7" w:rsidRPr="00784A05" w:rsidRDefault="00F05DC7" w:rsidP="00A3786D">
            <w:pPr>
              <w:pStyle w:val="TableTitle"/>
            </w:pPr>
            <w:r>
              <w:rPr>
                <w:b w:val="0"/>
              </w:rPr>
              <w:t>Table 2.</w:t>
            </w:r>
            <w:r>
              <w:rPr>
                <w:b w:val="0"/>
                <w:noProof/>
              </w:rPr>
              <w:t>3</w:t>
            </w:r>
            <w:r>
              <w:tab/>
              <w:t>Discounted assessments in the 2015 review</w:t>
            </w:r>
          </w:p>
        </w:tc>
      </w:tr>
      <w:tr w:rsidR="00F05DC7" w14:paraId="79549CEF" w14:textId="77777777" w:rsidTr="00A3786D">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7112"/>
              <w:gridCol w:w="1418"/>
            </w:tblGrid>
            <w:tr w:rsidR="00F05DC7" w14:paraId="79549CD2" w14:textId="77777777" w:rsidTr="00A3786D">
              <w:trPr>
                <w:tblHeader/>
              </w:trPr>
              <w:tc>
                <w:tcPr>
                  <w:tcW w:w="4169" w:type="pct"/>
                  <w:tcBorders>
                    <w:top w:val="single" w:sz="6" w:space="0" w:color="BFBFBF"/>
                    <w:bottom w:val="single" w:sz="6" w:space="0" w:color="BFBFBF"/>
                  </w:tcBorders>
                  <w:shd w:val="clear" w:color="auto" w:fill="auto"/>
                  <w:tcMar>
                    <w:top w:w="28" w:type="dxa"/>
                  </w:tcMar>
                </w:tcPr>
                <w:p w14:paraId="79549CD0" w14:textId="77777777" w:rsidR="00F05DC7" w:rsidRDefault="00F05DC7" w:rsidP="00A3786D">
                  <w:pPr>
                    <w:pStyle w:val="TableColumnHeading"/>
                    <w:jc w:val="left"/>
                  </w:pPr>
                  <w:r>
                    <w:t>Assessment</w:t>
                  </w:r>
                </w:p>
              </w:tc>
              <w:tc>
                <w:tcPr>
                  <w:tcW w:w="831" w:type="pct"/>
                  <w:tcBorders>
                    <w:top w:val="single" w:sz="6" w:space="0" w:color="BFBFBF"/>
                    <w:bottom w:val="single" w:sz="6" w:space="0" w:color="BFBFBF"/>
                  </w:tcBorders>
                  <w:shd w:val="clear" w:color="auto" w:fill="auto"/>
                  <w:tcMar>
                    <w:top w:w="28" w:type="dxa"/>
                  </w:tcMar>
                </w:tcPr>
                <w:p w14:paraId="79549CD1" w14:textId="77777777" w:rsidR="00F05DC7" w:rsidRDefault="00F05DC7" w:rsidP="00A3786D">
                  <w:pPr>
                    <w:pStyle w:val="TableColumnHeading"/>
                    <w:ind w:right="28"/>
                  </w:pPr>
                  <w:r>
                    <w:t>Discount factor (per cent)</w:t>
                  </w:r>
                </w:p>
              </w:tc>
            </w:tr>
            <w:tr w:rsidR="00F05DC7" w14:paraId="79549CD5" w14:textId="77777777" w:rsidTr="00A3786D">
              <w:tc>
                <w:tcPr>
                  <w:tcW w:w="4169" w:type="pct"/>
                  <w:tcBorders>
                    <w:top w:val="single" w:sz="6" w:space="0" w:color="BFBFBF"/>
                  </w:tcBorders>
                </w:tcPr>
                <w:p w14:paraId="79549CD3" w14:textId="77777777" w:rsidR="00F05DC7" w:rsidRDefault="00F05DC7" w:rsidP="00A3786D">
                  <w:pPr>
                    <w:pStyle w:val="TableUnitsRow"/>
                    <w:jc w:val="left"/>
                  </w:pPr>
                  <w:r>
                    <w:t>Police custody weights</w:t>
                  </w:r>
                </w:p>
              </w:tc>
              <w:tc>
                <w:tcPr>
                  <w:tcW w:w="831" w:type="pct"/>
                  <w:tcBorders>
                    <w:top w:val="single" w:sz="6" w:space="0" w:color="BFBFBF"/>
                  </w:tcBorders>
                </w:tcPr>
                <w:p w14:paraId="79549CD4" w14:textId="77777777" w:rsidR="00F05DC7" w:rsidRDefault="00F05DC7" w:rsidP="00A3786D">
                  <w:pPr>
                    <w:pStyle w:val="TableUnitsRow"/>
                    <w:ind w:right="28"/>
                  </w:pPr>
                  <w:r>
                    <w:t>12.5</w:t>
                  </w:r>
                </w:p>
              </w:tc>
            </w:tr>
            <w:tr w:rsidR="00F05DC7" w14:paraId="79549CD8" w14:textId="77777777" w:rsidTr="00A3786D">
              <w:tc>
                <w:tcPr>
                  <w:tcW w:w="4169" w:type="pct"/>
                </w:tcPr>
                <w:p w14:paraId="79549CD6" w14:textId="77777777" w:rsidR="00F05DC7" w:rsidRDefault="00F05DC7" w:rsidP="00A3786D">
                  <w:pPr>
                    <w:pStyle w:val="TableBodyText"/>
                    <w:jc w:val="left"/>
                  </w:pPr>
                  <w:r>
                    <w:t>Location — wage costs factor</w:t>
                  </w:r>
                </w:p>
              </w:tc>
              <w:tc>
                <w:tcPr>
                  <w:tcW w:w="831" w:type="pct"/>
                </w:tcPr>
                <w:p w14:paraId="79549CD7" w14:textId="77777777" w:rsidR="00F05DC7" w:rsidRDefault="00F05DC7" w:rsidP="00A3786D">
                  <w:pPr>
                    <w:pStyle w:val="TableBodyText"/>
                    <w:ind w:right="28"/>
                  </w:pPr>
                  <w:r>
                    <w:t>12.5</w:t>
                  </w:r>
                </w:p>
              </w:tc>
            </w:tr>
            <w:tr w:rsidR="00F05DC7" w14:paraId="79549CDB" w14:textId="77777777" w:rsidTr="00A3786D">
              <w:tc>
                <w:tcPr>
                  <w:tcW w:w="4169" w:type="pct"/>
                </w:tcPr>
                <w:p w14:paraId="79549CD9" w14:textId="77777777" w:rsidR="00F05DC7" w:rsidRDefault="00F05DC7" w:rsidP="00A3786D">
                  <w:pPr>
                    <w:pStyle w:val="TableBodyText"/>
                    <w:jc w:val="left"/>
                  </w:pPr>
                  <w:r>
                    <w:t>Location — regional cost factors in police</w:t>
                  </w:r>
                </w:p>
              </w:tc>
              <w:tc>
                <w:tcPr>
                  <w:tcW w:w="831" w:type="pct"/>
                </w:tcPr>
                <w:p w14:paraId="79549CDA" w14:textId="77777777" w:rsidR="00F05DC7" w:rsidRDefault="00F05DC7" w:rsidP="00A3786D">
                  <w:pPr>
                    <w:pStyle w:val="TableBodyText"/>
                    <w:ind w:right="28"/>
                  </w:pPr>
                  <w:r>
                    <w:t>12.5</w:t>
                  </w:r>
                </w:p>
              </w:tc>
            </w:tr>
            <w:tr w:rsidR="00F05DC7" w14:paraId="79549CDE" w14:textId="77777777" w:rsidTr="00A3786D">
              <w:tc>
                <w:tcPr>
                  <w:tcW w:w="4169" w:type="pct"/>
                </w:tcPr>
                <w:p w14:paraId="79549CDC" w14:textId="77777777" w:rsidR="00F05DC7" w:rsidRDefault="00F05DC7" w:rsidP="00A3786D">
                  <w:pPr>
                    <w:pStyle w:val="TableBodyText"/>
                    <w:jc w:val="left"/>
                  </w:pPr>
                  <w:r>
                    <w:t>Service delivery scale — factors in police</w:t>
                  </w:r>
                </w:p>
              </w:tc>
              <w:tc>
                <w:tcPr>
                  <w:tcW w:w="831" w:type="pct"/>
                </w:tcPr>
                <w:p w14:paraId="79549CDD" w14:textId="77777777" w:rsidR="00F05DC7" w:rsidRDefault="00F05DC7" w:rsidP="00A3786D">
                  <w:pPr>
                    <w:pStyle w:val="TableBodyText"/>
                    <w:ind w:right="28"/>
                  </w:pPr>
                  <w:r>
                    <w:t>12.5</w:t>
                  </w:r>
                </w:p>
              </w:tc>
            </w:tr>
            <w:tr w:rsidR="00F05DC7" w14:paraId="79549CE1" w14:textId="77777777" w:rsidTr="00A3786D">
              <w:tc>
                <w:tcPr>
                  <w:tcW w:w="4169" w:type="pct"/>
                </w:tcPr>
                <w:p w14:paraId="79549CDF" w14:textId="77777777" w:rsidR="00F05DC7" w:rsidRDefault="00F05DC7" w:rsidP="00A3786D">
                  <w:pPr>
                    <w:pStyle w:val="TableBodyText"/>
                    <w:jc w:val="left"/>
                  </w:pPr>
                  <w:r>
                    <w:t>Net borrowing — assessed net borrowing</w:t>
                  </w:r>
                </w:p>
              </w:tc>
              <w:tc>
                <w:tcPr>
                  <w:tcW w:w="831" w:type="pct"/>
                </w:tcPr>
                <w:p w14:paraId="79549CE0" w14:textId="77777777" w:rsidR="00F05DC7" w:rsidRDefault="00F05DC7" w:rsidP="00A3786D">
                  <w:pPr>
                    <w:pStyle w:val="TableBodyText"/>
                    <w:ind w:right="28"/>
                  </w:pPr>
                  <w:r>
                    <w:t>12.5</w:t>
                  </w:r>
                </w:p>
              </w:tc>
            </w:tr>
            <w:tr w:rsidR="00F05DC7" w14:paraId="79549CE4" w14:textId="77777777" w:rsidTr="00A3786D">
              <w:tc>
                <w:tcPr>
                  <w:tcW w:w="4169" w:type="pct"/>
                </w:tcPr>
                <w:p w14:paraId="79549CE2" w14:textId="77777777" w:rsidR="00F05DC7" w:rsidRDefault="00F05DC7" w:rsidP="00A3786D">
                  <w:pPr>
                    <w:pStyle w:val="TableBodyText"/>
                    <w:jc w:val="left"/>
                  </w:pPr>
                  <w:r>
                    <w:t>Land tax — differential land values</w:t>
                  </w:r>
                </w:p>
              </w:tc>
              <w:tc>
                <w:tcPr>
                  <w:tcW w:w="831" w:type="pct"/>
                </w:tcPr>
                <w:p w14:paraId="79549CE3" w14:textId="77777777" w:rsidR="00F05DC7" w:rsidRDefault="00F05DC7" w:rsidP="00A3786D">
                  <w:pPr>
                    <w:pStyle w:val="TableBodyText"/>
                    <w:ind w:right="28"/>
                  </w:pPr>
                  <w:r>
                    <w:t>25</w:t>
                  </w:r>
                </w:p>
              </w:tc>
            </w:tr>
            <w:tr w:rsidR="00F05DC7" w14:paraId="79549CE7" w14:textId="77777777" w:rsidTr="00A3786D">
              <w:tc>
                <w:tcPr>
                  <w:tcW w:w="4169" w:type="pct"/>
                </w:tcPr>
                <w:p w14:paraId="79549CE5" w14:textId="77777777" w:rsidR="00F05DC7" w:rsidRDefault="00F05DC7" w:rsidP="00A3786D">
                  <w:pPr>
                    <w:pStyle w:val="TableBodyText"/>
                    <w:jc w:val="left"/>
                  </w:pPr>
                  <w:r>
                    <w:t>Health — proxy measures for community health socio</w:t>
                  </w:r>
                  <w:r>
                    <w:noBreakHyphen/>
                    <w:t>demographic composition and community health non</w:t>
                  </w:r>
                  <w:r>
                    <w:noBreakHyphen/>
                    <w:t>State sector adjustment</w:t>
                  </w:r>
                </w:p>
              </w:tc>
              <w:tc>
                <w:tcPr>
                  <w:tcW w:w="831" w:type="pct"/>
                </w:tcPr>
                <w:p w14:paraId="79549CE6" w14:textId="77777777" w:rsidR="00F05DC7" w:rsidRDefault="00F05DC7" w:rsidP="00A3786D">
                  <w:pPr>
                    <w:pStyle w:val="TableBodyText"/>
                    <w:ind w:right="28"/>
                  </w:pPr>
                  <w:r>
                    <w:t>25</w:t>
                  </w:r>
                </w:p>
              </w:tc>
            </w:tr>
            <w:tr w:rsidR="00F05DC7" w14:paraId="79549CEA" w14:textId="77777777" w:rsidTr="00A3786D">
              <w:tc>
                <w:tcPr>
                  <w:tcW w:w="4169" w:type="pct"/>
                </w:tcPr>
                <w:p w14:paraId="79549CE8" w14:textId="77777777" w:rsidR="00F05DC7" w:rsidRDefault="00F05DC7" w:rsidP="00A3786D">
                  <w:pPr>
                    <w:pStyle w:val="TableBodyText"/>
                    <w:jc w:val="left"/>
                  </w:pPr>
                  <w:r>
                    <w:t>Location — regional costs assessment where the general regional costs gradient is extrapolated to other categories and the police gradient to other justice components</w:t>
                  </w:r>
                </w:p>
              </w:tc>
              <w:tc>
                <w:tcPr>
                  <w:tcW w:w="831" w:type="pct"/>
                </w:tcPr>
                <w:p w14:paraId="79549CE9" w14:textId="77777777" w:rsidR="00F05DC7" w:rsidRDefault="00F05DC7" w:rsidP="00A3786D">
                  <w:pPr>
                    <w:pStyle w:val="TableBodyText"/>
                    <w:ind w:right="28"/>
                  </w:pPr>
                  <w:r>
                    <w:t>25</w:t>
                  </w:r>
                </w:p>
              </w:tc>
            </w:tr>
            <w:tr w:rsidR="00F05DC7" w14:paraId="79549CED" w14:textId="77777777" w:rsidTr="00A3786D">
              <w:tc>
                <w:tcPr>
                  <w:tcW w:w="4169" w:type="pct"/>
                  <w:tcBorders>
                    <w:bottom w:val="single" w:sz="6" w:space="0" w:color="BFBFBF"/>
                  </w:tcBorders>
                  <w:shd w:val="clear" w:color="auto" w:fill="auto"/>
                </w:tcPr>
                <w:p w14:paraId="79549CEB" w14:textId="77777777" w:rsidR="00F05DC7" w:rsidRDefault="00F05DC7" w:rsidP="00A3786D">
                  <w:pPr>
                    <w:pStyle w:val="TableBodyText"/>
                    <w:jc w:val="left"/>
                  </w:pPr>
                  <w:r>
                    <w:t>Service delivery scale — where factors are extrapolated</w:t>
                  </w:r>
                </w:p>
              </w:tc>
              <w:tc>
                <w:tcPr>
                  <w:tcW w:w="831" w:type="pct"/>
                  <w:tcBorders>
                    <w:bottom w:val="single" w:sz="6" w:space="0" w:color="BFBFBF"/>
                  </w:tcBorders>
                  <w:shd w:val="clear" w:color="auto" w:fill="auto"/>
                </w:tcPr>
                <w:p w14:paraId="79549CEC" w14:textId="77777777" w:rsidR="00F05DC7" w:rsidRDefault="00F05DC7" w:rsidP="00A3786D">
                  <w:pPr>
                    <w:pStyle w:val="TableBodyText"/>
                    <w:ind w:right="28"/>
                  </w:pPr>
                  <w:r>
                    <w:t>25</w:t>
                  </w:r>
                </w:p>
              </w:tc>
            </w:tr>
          </w:tbl>
          <w:p w14:paraId="79549CEE" w14:textId="77777777" w:rsidR="00F05DC7" w:rsidRDefault="00F05DC7" w:rsidP="00A3786D">
            <w:pPr>
              <w:pStyle w:val="Box"/>
            </w:pPr>
          </w:p>
        </w:tc>
      </w:tr>
      <w:tr w:rsidR="00F05DC7" w14:paraId="79549CF1" w14:textId="77777777" w:rsidTr="00A3786D">
        <w:tc>
          <w:tcPr>
            <w:tcW w:w="5000" w:type="pct"/>
            <w:tcBorders>
              <w:top w:val="nil"/>
              <w:left w:val="nil"/>
              <w:bottom w:val="nil"/>
              <w:right w:val="nil"/>
            </w:tcBorders>
            <w:shd w:val="clear" w:color="auto" w:fill="auto"/>
          </w:tcPr>
          <w:p w14:paraId="79549CF0" w14:textId="1A499786" w:rsidR="00F05DC7" w:rsidRDefault="00F05DC7" w:rsidP="009D6331">
            <w:pPr>
              <w:pStyle w:val="TableBodyText"/>
              <w:keepNext w:val="0"/>
              <w:spacing w:before="80" w:after="0" w:line="220" w:lineRule="exact"/>
              <w:ind w:left="0" w:right="0"/>
              <w:jc w:val="both"/>
            </w:pPr>
            <w:r w:rsidRPr="00383B50">
              <w:rPr>
                <w:i/>
                <w:szCs w:val="18"/>
              </w:rPr>
              <w:t>Source</w:t>
            </w:r>
            <w:r w:rsidRPr="00383B50">
              <w:rPr>
                <w:szCs w:val="18"/>
              </w:rPr>
              <w:t>:</w:t>
            </w:r>
            <w:r>
              <w:t xml:space="preserve"> CGC </w:t>
            </w:r>
            <w:r w:rsidR="009D6331" w:rsidRPr="009D6331">
              <w:rPr>
                <w:rFonts w:cs="Arial"/>
                <w:szCs w:val="24"/>
              </w:rPr>
              <w:t>(2015f, p. 18)</w:t>
            </w:r>
            <w:r>
              <w:t>.</w:t>
            </w:r>
          </w:p>
        </w:tc>
      </w:tr>
      <w:tr w:rsidR="00F05DC7" w14:paraId="79549CF3" w14:textId="77777777" w:rsidTr="00A3786D">
        <w:tc>
          <w:tcPr>
            <w:tcW w:w="5000" w:type="pct"/>
            <w:tcBorders>
              <w:top w:val="nil"/>
              <w:left w:val="nil"/>
              <w:bottom w:val="single" w:sz="6" w:space="0" w:color="78A22F"/>
              <w:right w:val="nil"/>
            </w:tcBorders>
            <w:shd w:val="clear" w:color="auto" w:fill="auto"/>
          </w:tcPr>
          <w:p w14:paraId="79549CF2" w14:textId="77777777" w:rsidR="00F05DC7" w:rsidRDefault="00F05DC7" w:rsidP="00A3786D">
            <w:pPr>
              <w:pStyle w:val="Box"/>
              <w:spacing w:before="0" w:line="120" w:lineRule="exact"/>
            </w:pPr>
          </w:p>
        </w:tc>
      </w:tr>
      <w:tr w:rsidR="00F05DC7" w:rsidRPr="000863A5" w14:paraId="79549CF5" w14:textId="77777777" w:rsidTr="00A3786D">
        <w:tc>
          <w:tcPr>
            <w:tcW w:w="5000" w:type="pct"/>
            <w:tcBorders>
              <w:top w:val="single" w:sz="6" w:space="0" w:color="78A22F"/>
              <w:left w:val="nil"/>
              <w:bottom w:val="nil"/>
              <w:right w:val="nil"/>
            </w:tcBorders>
          </w:tcPr>
          <w:p w14:paraId="79549CF4" w14:textId="77777777" w:rsidR="00F05DC7" w:rsidRPr="00626D32" w:rsidRDefault="00F05DC7" w:rsidP="00A3786D">
            <w:pPr>
              <w:pStyle w:val="BoxSpaceBelow"/>
            </w:pPr>
          </w:p>
        </w:tc>
      </w:tr>
    </w:tbl>
    <w:p w14:paraId="79549CF6" w14:textId="77777777" w:rsidR="00F05DC7" w:rsidRDefault="00F05DC7" w:rsidP="00A3786D">
      <w:pPr>
        <w:pStyle w:val="Heading3"/>
      </w:pPr>
      <w:r>
        <w:t>Complexity and precision</w:t>
      </w:r>
    </w:p>
    <w:p w14:paraId="79549CF7" w14:textId="77777777" w:rsidR="00F05DC7" w:rsidRDefault="00F05DC7" w:rsidP="00A3786D">
      <w:pPr>
        <w:pStyle w:val="BodyText"/>
      </w:pPr>
      <w:r>
        <w:t>Australia’s system of HFE is comprehensive and complex, incorporating a large number of calculations, data, and judgements in constructing relativities. The complexity of the current system was an issue raised in several submissions to this inquiry (box 2.5).</w:t>
      </w:r>
    </w:p>
    <w:p w14:paraId="79549CF8"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CFA" w14:textId="77777777" w:rsidTr="001113B1">
        <w:trPr>
          <w:tblHeader/>
        </w:trPr>
        <w:tc>
          <w:tcPr>
            <w:tcW w:w="5000" w:type="pct"/>
            <w:tcBorders>
              <w:top w:val="single" w:sz="6" w:space="0" w:color="78A22F"/>
              <w:left w:val="nil"/>
              <w:bottom w:val="nil"/>
              <w:right w:val="nil"/>
            </w:tcBorders>
            <w:shd w:val="clear" w:color="auto" w:fill="F2F2F2"/>
          </w:tcPr>
          <w:p w14:paraId="79549CF9" w14:textId="3B546EEB" w:rsidR="00F05DC7" w:rsidRDefault="00F05DC7" w:rsidP="00A3786D">
            <w:pPr>
              <w:pStyle w:val="BoxTitle"/>
            </w:pPr>
            <w:r>
              <w:rPr>
                <w:b w:val="0"/>
              </w:rPr>
              <w:t>Box 2.</w:t>
            </w:r>
            <w:r>
              <w:rPr>
                <w:b w:val="0"/>
                <w:noProof/>
              </w:rPr>
              <w:t>5</w:t>
            </w:r>
            <w:r>
              <w:tab/>
              <w:t>HFE complexity: what participants say</w:t>
            </w:r>
          </w:p>
        </w:tc>
      </w:tr>
      <w:tr w:rsidR="00F05DC7" w14:paraId="79549D08" w14:textId="77777777" w:rsidTr="00A3786D">
        <w:tc>
          <w:tcPr>
            <w:tcW w:w="5000" w:type="pct"/>
            <w:tcBorders>
              <w:top w:val="nil"/>
              <w:left w:val="nil"/>
              <w:bottom w:val="nil"/>
              <w:right w:val="nil"/>
            </w:tcBorders>
            <w:shd w:val="clear" w:color="auto" w:fill="F2F2F2"/>
          </w:tcPr>
          <w:p w14:paraId="79549CFB" w14:textId="77777777" w:rsidR="00F05DC7" w:rsidRDefault="00F05DC7" w:rsidP="00A3786D">
            <w:pPr>
              <w:pStyle w:val="Box"/>
            </w:pPr>
            <w:r>
              <w:t>A number of submissions to this inquiry remarked upon the complexity of the HFE system. The Queensland Government:</w:t>
            </w:r>
          </w:p>
          <w:p w14:paraId="79549CFC" w14:textId="77777777" w:rsidR="00F05DC7" w:rsidRDefault="00F05DC7" w:rsidP="00A3786D">
            <w:pPr>
              <w:pStyle w:val="BoxQuote"/>
            </w:pPr>
            <w:r w:rsidRPr="002C551A">
              <w:t>Queensland recognises the current HFE system is complex and some parts can be difficult to comprehend</w:t>
            </w:r>
            <w:r>
              <w:t>. (trans, p. 587)</w:t>
            </w:r>
          </w:p>
          <w:p w14:paraId="79549CFD" w14:textId="77777777" w:rsidR="00F05DC7" w:rsidRDefault="00F05DC7" w:rsidP="00A3786D">
            <w:pPr>
              <w:pStyle w:val="Box"/>
            </w:pPr>
            <w:r>
              <w:t>The ACT Government:</w:t>
            </w:r>
          </w:p>
          <w:p w14:paraId="79549CFE" w14:textId="77777777" w:rsidR="00F05DC7" w:rsidRDefault="00F05DC7" w:rsidP="00A3786D">
            <w:pPr>
              <w:pStyle w:val="BoxQuote"/>
            </w:pPr>
            <w:r>
              <w:t>States and Territories themselves have often sought greater complexity in order to capture their special circumstances. Hence, simpler is not necessarily better. That said, the system has in many respects been simplified in recent years … (sub. DR81, p. 9)</w:t>
            </w:r>
          </w:p>
          <w:p w14:paraId="79549CFF" w14:textId="77777777" w:rsidR="00F05DC7" w:rsidRDefault="00F05DC7" w:rsidP="00A3786D">
            <w:pPr>
              <w:pStyle w:val="Box"/>
            </w:pPr>
            <w:r>
              <w:t>The NSW Government:</w:t>
            </w:r>
          </w:p>
          <w:p w14:paraId="79549D00" w14:textId="77777777" w:rsidR="00F05DC7" w:rsidRPr="004A0315" w:rsidRDefault="00F05DC7" w:rsidP="00A3786D">
            <w:pPr>
              <w:pStyle w:val="BoxQuote"/>
            </w:pPr>
            <w:r>
              <w:t>… the current system of HFE is complex and lacks transparency. (sub. 52, p. 1)</w:t>
            </w:r>
          </w:p>
          <w:p w14:paraId="79549D01" w14:textId="77777777" w:rsidR="00F05DC7" w:rsidRDefault="00F05DC7" w:rsidP="00A3786D">
            <w:pPr>
              <w:pStyle w:val="Box"/>
            </w:pPr>
            <w:r>
              <w:t xml:space="preserve">The WA Government (sub. 15, p. 82) alleged that with respect to assessments, there was great variance in approach and detail. They pointed out that while, for example, some assessments are based on population shares, others are highly detailed. </w:t>
            </w:r>
          </w:p>
          <w:p w14:paraId="79549D02" w14:textId="77777777" w:rsidR="00F05DC7" w:rsidRDefault="00F05DC7" w:rsidP="00A3786D">
            <w:pPr>
              <w:pStyle w:val="Box"/>
            </w:pPr>
            <w:r>
              <w:t>A contrary view was provided by the Tasmanian Government:</w:t>
            </w:r>
          </w:p>
          <w:p w14:paraId="79549D03" w14:textId="77777777" w:rsidR="00F05DC7" w:rsidRDefault="00F05DC7" w:rsidP="00A3786D">
            <w:pPr>
              <w:pStyle w:val="BoxQuote"/>
            </w:pPr>
            <w:r>
              <w:t>The distribution of the GST revenue will by its very nature invariably involve certain levels of complexity. However, the core concepts of the CGC methodology are straight</w:t>
            </w:r>
            <w:r>
              <w:noBreakHyphen/>
              <w:t>forward … Tasmania does not believe the CGC methodologies to be unnecessarily complex … (sub. 28, p. 37)</w:t>
            </w:r>
          </w:p>
          <w:p w14:paraId="79549D04" w14:textId="77777777" w:rsidR="00F05DC7" w:rsidRDefault="00F05DC7">
            <w:pPr>
              <w:pStyle w:val="Box"/>
            </w:pPr>
            <w:r>
              <w:t xml:space="preserve">The Victorian Government considered that: </w:t>
            </w:r>
          </w:p>
          <w:p w14:paraId="79549D05" w14:textId="77777777" w:rsidR="00F05DC7" w:rsidRDefault="00F05DC7" w:rsidP="00A3786D">
            <w:pPr>
              <w:pStyle w:val="BoxQuote"/>
            </w:pPr>
            <w:r>
              <w:t>… the basic concept of the current HFE framework is not complex — it seeks to equalise the fiscal capacities of all jurisdictions through GST funds … While the actual assessment of individual expense and revenue categories involve more complexity, this is not a level of detail that the public would ordinarily be expected to access without some background knowledge. Certainly, few members of the public would understand the complexities behind bilateral Commonwealth</w:t>
            </w:r>
            <w:r>
              <w:noBreakHyphen/>
              <w:t>state funding agreements and all the conditions that are often attached to such arrangements. (sub. DR87, p. 22)</w:t>
            </w:r>
          </w:p>
          <w:p w14:paraId="79549D06" w14:textId="77777777" w:rsidR="00F05DC7" w:rsidRPr="001E706F" w:rsidRDefault="00F05DC7">
            <w:pPr>
              <w:pStyle w:val="Box"/>
            </w:pPr>
            <w:r>
              <w:t>The Northern Territory Government (sub. DR69, pp. 9, 23) stated that proposed alternatives to the current HFE system would result in more complexity and less administrative efficiency, instead proposing that an HFE advocate explain the intent of equalisation and the distribution methodology to the public. The SA Government (sub. DR89, p. 3, 16) remarked that many aspects of public policy are inevitably complex, and that the degree of complexity in the current system did not have any adverse consequences for stakeholders.</w:t>
            </w:r>
          </w:p>
          <w:p w14:paraId="79549D07" w14:textId="77777777" w:rsidR="00F05DC7" w:rsidRPr="003E4B5D" w:rsidRDefault="00F05DC7" w:rsidP="00A3786D">
            <w:pPr>
              <w:pStyle w:val="Box"/>
            </w:pPr>
            <w:r>
              <w:t xml:space="preserve">The NSW Business Chamber (sub. 27, p. 3) submitted that complexity was one of the criticisms that could be made about the current system, and contributed to the Chamber’s previous support for moving to a simpler version of HFE underpinned by a per capita distribution of the GST pool. The Minerals Council of Australia (sub. 48, p. 6) also made reference to the complexity of assessment methods used by the CGC, as did the Association of Mining and Exploration Companies (sub. 23, p. 1), the Business Council of Australia (sub. 47, p. 2), and the Parliamentary Liberal Party of Western Australia (sub. 22, p. 2). </w:t>
            </w:r>
          </w:p>
        </w:tc>
      </w:tr>
      <w:tr w:rsidR="00F05DC7" w14:paraId="79549D0A" w14:textId="77777777" w:rsidTr="00A3786D">
        <w:tc>
          <w:tcPr>
            <w:tcW w:w="5000" w:type="pct"/>
            <w:tcBorders>
              <w:top w:val="nil"/>
              <w:left w:val="nil"/>
              <w:bottom w:val="single" w:sz="6" w:space="0" w:color="78A22F"/>
              <w:right w:val="nil"/>
            </w:tcBorders>
            <w:shd w:val="clear" w:color="auto" w:fill="F2F2F2"/>
          </w:tcPr>
          <w:p w14:paraId="79549D09" w14:textId="77777777" w:rsidR="00F05DC7" w:rsidRDefault="00F05DC7">
            <w:pPr>
              <w:pStyle w:val="Box"/>
              <w:spacing w:before="0" w:line="120" w:lineRule="exact"/>
            </w:pPr>
          </w:p>
        </w:tc>
      </w:tr>
      <w:tr w:rsidR="00F05DC7" w:rsidRPr="000863A5" w14:paraId="79549D0C" w14:textId="77777777" w:rsidTr="00A3786D">
        <w:tc>
          <w:tcPr>
            <w:tcW w:w="5000" w:type="pct"/>
            <w:tcBorders>
              <w:top w:val="single" w:sz="6" w:space="0" w:color="78A22F"/>
              <w:left w:val="nil"/>
              <w:bottom w:val="nil"/>
              <w:right w:val="nil"/>
            </w:tcBorders>
          </w:tcPr>
          <w:p w14:paraId="79549D0B" w14:textId="77777777" w:rsidR="00F05DC7" w:rsidRPr="00626D32" w:rsidRDefault="00F05DC7" w:rsidP="00A3786D">
            <w:pPr>
              <w:pStyle w:val="BoxSpaceBelow"/>
            </w:pPr>
          </w:p>
        </w:tc>
      </w:tr>
    </w:tbl>
    <w:p w14:paraId="79549D0D" w14:textId="7B06FB27" w:rsidR="00F05DC7" w:rsidRDefault="00F05DC7" w:rsidP="00A3786D">
      <w:pPr>
        <w:pStyle w:val="BodyText"/>
      </w:pPr>
      <w:r>
        <w:t xml:space="preserve">Some participants to this inquiry expressed a view that the methods and processes used by the CGC result in, or at least run the risk of, ‘false precision’ (Business Council of Australia, sub. 47, p. 6, NSW Government, sub. 52, p. 17). That is, despite finely detailed calculations, a number of assumptions and judgements are used in the process of making these calculations (such as discounting based on data reliability). Practices such as publishing relativities to five decimal places contribute to perceptions of false precision. Brumby, Carter </w:t>
      </w:r>
      <w:r>
        <w:lastRenderedPageBreak/>
        <w:t>and Greiner </w:t>
      </w:r>
      <w:r w:rsidR="009D6331" w:rsidRPr="009D6331">
        <w:t>(2012a)</w:t>
      </w:r>
      <w:r>
        <w:t xml:space="preserve"> recommended an alteration to materiality thresholds and rounding relativities to two decimal places, but only the former was adopted, and only partially. </w:t>
      </w:r>
    </w:p>
    <w:p w14:paraId="79549D0E" w14:textId="77777777" w:rsidR="00F05DC7" w:rsidRDefault="00F05DC7" w:rsidP="00A3786D">
      <w:pPr>
        <w:pStyle w:val="BodyText"/>
      </w:pPr>
      <w:r>
        <w:t>Against this, there are some areas where less precision is employed by the CGC — such as in the State revenues that are unassessed (illustrated in figure 2.8).</w:t>
      </w:r>
    </w:p>
    <w:p w14:paraId="79549D0F" w14:textId="77777777" w:rsidR="00F05DC7" w:rsidRDefault="00F05DC7" w:rsidP="00A3786D">
      <w:pPr>
        <w:pStyle w:val="BodyText"/>
      </w:pPr>
      <w:r>
        <w:t xml:space="preserve">Nevertheless, a system of full and comprehensive equalisation will necessarily involve some degree of complexity. That said, a system that is overly complex risks undermining public confidence, if it is perceived as largely incomprehensible by all but a few. </w:t>
      </w:r>
    </w:p>
    <w:p w14:paraId="79549D10" w14:textId="6A336940" w:rsidR="00F05DC7" w:rsidRDefault="00F05DC7" w:rsidP="00A3786D">
      <w:pPr>
        <w:pStyle w:val="Heading2"/>
      </w:pPr>
      <w:bookmarkStart w:id="58" w:name="_Toc513637707"/>
      <w:r>
        <w:t>2.</w:t>
      </w:r>
      <w:r>
        <w:rPr>
          <w:noProof/>
        </w:rPr>
        <w:t>4</w:t>
      </w:r>
      <w:r>
        <w:tab/>
        <w:t>The size of the equalisation task</w:t>
      </w:r>
      <w:bookmarkEnd w:id="58"/>
    </w:p>
    <w:p w14:paraId="79549D11" w14:textId="77777777" w:rsidR="00F05DC7" w:rsidRPr="0091743A" w:rsidRDefault="00F05DC7" w:rsidP="00A3786D">
      <w:pPr>
        <w:pStyle w:val="Heading3"/>
        <w:spacing w:before="280"/>
      </w:pPr>
      <w:r>
        <w:t>Measuring the equalisation task</w:t>
      </w:r>
    </w:p>
    <w:p w14:paraId="79549D12" w14:textId="77777777" w:rsidR="00F05DC7" w:rsidRDefault="00F05DC7" w:rsidP="00A3786D">
      <w:pPr>
        <w:pStyle w:val="BodyText"/>
      </w:pPr>
      <w:r>
        <w:t>The CGC has two ways of measuring the size of the equalisation task.</w:t>
      </w:r>
      <w:r w:rsidDel="00192564">
        <w:t xml:space="preserve"> </w:t>
      </w:r>
      <w:r>
        <w:t xml:space="preserve">The first is to identify the redistribution from States with above average fiscal capacity to those with below average fiscal capacity </w:t>
      </w:r>
      <w:r w:rsidRPr="00377AA8">
        <w:rPr>
          <w:i/>
        </w:rPr>
        <w:t xml:space="preserve">after </w:t>
      </w:r>
      <w:r w:rsidRPr="00F50687">
        <w:t xml:space="preserve">GST </w:t>
      </w:r>
      <w:r>
        <w:t>has been distributed on an EPC basis. On this measure the redistribution task has increased from about 8 per cent of the GST pool in 2000</w:t>
      </w:r>
      <w:r>
        <w:noBreakHyphen/>
        <w:t>01 to about 10 per cent in 2018</w:t>
      </w:r>
      <w:r>
        <w:noBreakHyphen/>
        <w:t>19 (figure 2.9).</w:t>
      </w:r>
    </w:p>
    <w:p w14:paraId="79549D13" w14:textId="2B516444" w:rsidR="00F05DC7" w:rsidRDefault="00F05DC7" w:rsidP="00A3786D">
      <w:pPr>
        <w:pStyle w:val="BodyText"/>
      </w:pPr>
      <w:r>
        <w:t>Alternatively and equivalently, the equalisation process can be thought of as distributing GST to bring the initial fiscal capacities of all States up to that of the strongest State (that is, the State with the smallest VFI), with the remaining GST distributed on an equal per capita basis in order to provide all States with the fiscal capacity to provide the same (average) level of services. The CGC started presenting this measure of the equalisation task in the 2011 update report, and this is depicted conceptually in figure 2.6 above. On this measure, the size of the equalisation task fluctuated between 14 per cent and 17 per cent of GST from 2000</w:t>
      </w:r>
      <w:r>
        <w:noBreakHyphen/>
        <w:t>01 to 2007</w:t>
      </w:r>
      <w:r>
        <w:noBreakHyphen/>
        <w:t>08, before rising to approximately 70 per cent of the pool in 2015</w:t>
      </w:r>
      <w:r>
        <w:noBreakHyphen/>
        <w:t>16 and 2016</w:t>
      </w:r>
      <w:r>
        <w:noBreakHyphen/>
        <w:t>17, and subsequently declining to 53 per cent in 2018</w:t>
      </w:r>
      <w:r>
        <w:noBreakHyphen/>
        <w:t xml:space="preserve">19 (figure 2.10) </w:t>
      </w:r>
      <w:r w:rsidR="009D6331" w:rsidRPr="009D6331">
        <w:rPr>
          <w:szCs w:val="24"/>
        </w:rPr>
        <w:t>(CGC 2017f, p. 36, 2018h, p. 35)</w:t>
      </w:r>
      <w:r>
        <w:t>.</w:t>
      </w:r>
    </w:p>
    <w:p w14:paraId="79549D14"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D16" w14:textId="77777777" w:rsidTr="00A3786D">
        <w:trPr>
          <w:tblHeader/>
        </w:trPr>
        <w:tc>
          <w:tcPr>
            <w:tcW w:w="5000" w:type="pct"/>
            <w:tcBorders>
              <w:top w:val="single" w:sz="6" w:space="0" w:color="78A22F"/>
              <w:left w:val="nil"/>
              <w:bottom w:val="nil"/>
              <w:right w:val="nil"/>
            </w:tcBorders>
            <w:shd w:val="clear" w:color="auto" w:fill="auto"/>
          </w:tcPr>
          <w:p w14:paraId="79549D15" w14:textId="67F3A2F3" w:rsidR="00F05DC7" w:rsidRPr="00176D3F" w:rsidRDefault="00F05DC7" w:rsidP="00A3786D">
            <w:pPr>
              <w:pStyle w:val="FigureTitle"/>
            </w:pPr>
            <w:r w:rsidRPr="00784A05">
              <w:rPr>
                <w:b w:val="0"/>
              </w:rPr>
              <w:t xml:space="preserve">Figure </w:t>
            </w:r>
            <w:r>
              <w:rPr>
                <w:b w:val="0"/>
              </w:rPr>
              <w:t>2.9</w:t>
            </w:r>
            <w:r>
              <w:tab/>
              <w:t>Share of GST pool not distributed on an equal per capita basis</w:t>
            </w:r>
            <w:r w:rsidRPr="00795774">
              <w:rPr>
                <w:rStyle w:val="NoteLabel"/>
                <w:b/>
              </w:rPr>
              <w:t>a</w:t>
            </w:r>
            <w:r>
              <w:rPr>
                <w:rStyle w:val="NoteLabel"/>
                <w:b/>
              </w:rPr>
              <w:t>,b</w:t>
            </w:r>
          </w:p>
        </w:tc>
      </w:tr>
      <w:tr w:rsidR="00F05DC7" w14:paraId="79549D1A"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05DC7" w:rsidRPr="00B1465D" w14:paraId="79549D18" w14:textId="77777777" w:rsidTr="00A3786D">
              <w:trPr>
                <w:tblHeader/>
                <w:jc w:val="center"/>
              </w:trPr>
              <w:tc>
                <w:tcPr>
                  <w:tcW w:w="5000" w:type="pct"/>
                  <w:tcBorders>
                    <w:top w:val="nil"/>
                    <w:bottom w:val="nil"/>
                  </w:tcBorders>
                </w:tcPr>
                <w:p w14:paraId="79549D17" w14:textId="77777777" w:rsidR="00F05DC7" w:rsidRPr="00B1465D" w:rsidRDefault="00F05DC7" w:rsidP="00A3786D">
                  <w:pPr>
                    <w:pStyle w:val="Figure"/>
                    <w:spacing w:before="60" w:after="60"/>
                    <w:rPr>
                      <w:rFonts w:ascii="Arial" w:hAnsi="Arial" w:cs="Arial"/>
                      <w:sz w:val="18"/>
                      <w:szCs w:val="18"/>
                    </w:rPr>
                  </w:pPr>
                  <w:r w:rsidRPr="00784DAC">
                    <w:rPr>
                      <w:rFonts w:ascii="Arial" w:hAnsi="Arial" w:cs="Arial"/>
                      <w:noProof/>
                      <w:sz w:val="18"/>
                      <w:szCs w:val="18"/>
                    </w:rPr>
                    <w:drawing>
                      <wp:inline distT="0" distB="0" distL="0" distR="0" wp14:anchorId="7954D5BB" wp14:editId="7954D5BC">
                        <wp:extent cx="5181600" cy="2819400"/>
                        <wp:effectExtent l="0" t="0" r="0" b="0"/>
                        <wp:docPr id="23" name="Picture 23" descr="The proportion of the GST pool redistributed away from equal per capita has increased in recent years as the difference between WA’s fiscal capacity and those of the other States has grown. It has risen from about 8 per cent of the pool in 2000-01, when Victoria and then New South Wales were the fiscally strongest States, to roughly 13 per cent in 2016-17. &#10;The overall amount of GST redistributed away from equal per capita has increased from approximately $2 billion in 2000-01, to about $7.6 billion in 2016-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81600" cy="2819400"/>
                                </a:xfrm>
                                <a:prstGeom prst="rect">
                                  <a:avLst/>
                                </a:prstGeom>
                                <a:noFill/>
                                <a:ln>
                                  <a:noFill/>
                                </a:ln>
                              </pic:spPr>
                            </pic:pic>
                          </a:graphicData>
                        </a:graphic>
                      </wp:inline>
                    </w:drawing>
                  </w:r>
                </w:p>
              </w:tc>
            </w:tr>
          </w:tbl>
          <w:p w14:paraId="79549D19" w14:textId="77777777" w:rsidR="00F05DC7" w:rsidRDefault="00F05DC7" w:rsidP="00A3786D">
            <w:pPr>
              <w:pStyle w:val="Figure"/>
            </w:pPr>
          </w:p>
        </w:tc>
      </w:tr>
      <w:tr w:rsidR="00F05DC7" w:rsidRPr="00176D3F" w14:paraId="79549D1C" w14:textId="77777777" w:rsidTr="00A3786D">
        <w:tc>
          <w:tcPr>
            <w:tcW w:w="5000" w:type="pct"/>
            <w:tcBorders>
              <w:top w:val="nil"/>
              <w:left w:val="nil"/>
              <w:bottom w:val="nil"/>
              <w:right w:val="nil"/>
            </w:tcBorders>
            <w:shd w:val="clear" w:color="auto" w:fill="auto"/>
          </w:tcPr>
          <w:p w14:paraId="79549D1B" w14:textId="77777777" w:rsidR="00F05DC7" w:rsidRPr="00176D3F" w:rsidRDefault="00F05DC7" w:rsidP="00A3786D">
            <w:pPr>
              <w:pStyle w:val="Note"/>
            </w:pPr>
            <w:r>
              <w:rPr>
                <w:rStyle w:val="NoteLabel"/>
              </w:rPr>
              <w:t>a</w:t>
            </w:r>
            <w:r>
              <w:t xml:space="preserve"> The share of the GST pool redistributed was calculated by taking the difference between actual GST distributions and equal per capita distributions for each State. Positive differences were summed, and then divided by the total GST pool for that year. </w:t>
            </w:r>
            <w:r w:rsidRPr="0042388B">
              <w:rPr>
                <w:rStyle w:val="NoteLabel"/>
              </w:rPr>
              <w:t>b</w:t>
            </w:r>
            <w:r>
              <w:t xml:space="preserve"> From 2000</w:t>
            </w:r>
            <w:r>
              <w:noBreakHyphen/>
              <w:t>01 to 2008</w:t>
            </w:r>
            <w:r>
              <w:noBreakHyphen/>
              <w:t>09, the CGC recommended relativities for distributing the pool of GST revenue plus Health Care Grants. Health Care Grants were not included in the calculations for this figure.</w:t>
            </w:r>
          </w:p>
        </w:tc>
      </w:tr>
      <w:tr w:rsidR="00F05DC7" w:rsidRPr="00176D3F" w14:paraId="79549D1E" w14:textId="77777777" w:rsidTr="00A3786D">
        <w:tc>
          <w:tcPr>
            <w:tcW w:w="5000" w:type="pct"/>
            <w:tcBorders>
              <w:top w:val="nil"/>
              <w:left w:val="nil"/>
              <w:bottom w:val="nil"/>
              <w:right w:val="nil"/>
            </w:tcBorders>
            <w:shd w:val="clear" w:color="auto" w:fill="auto"/>
          </w:tcPr>
          <w:p w14:paraId="79549D1D" w14:textId="6C5B9D4C" w:rsidR="00F05DC7" w:rsidRPr="00176D3F" w:rsidRDefault="00F05DC7" w:rsidP="00A3786D">
            <w:pPr>
              <w:pStyle w:val="Source"/>
            </w:pPr>
            <w:r w:rsidRPr="00795774">
              <w:rPr>
                <w:i/>
              </w:rPr>
              <w:t>Source</w:t>
            </w:r>
            <w:r>
              <w:rPr>
                <w:i/>
              </w:rPr>
              <w:t>s</w:t>
            </w:r>
            <w:r>
              <w:t>: Productivity Commission estimated based on ABS (</w:t>
            </w:r>
            <w:r w:rsidRPr="00F10A3A">
              <w:rPr>
                <w:i/>
              </w:rPr>
              <w:t>Austral</w:t>
            </w:r>
            <w:r>
              <w:rPr>
                <w:i/>
              </w:rPr>
              <w:t>ian Demographic Statistics, Dec </w:t>
            </w:r>
            <w:r w:rsidRPr="00F10A3A">
              <w:rPr>
                <w:i/>
              </w:rPr>
              <w:t>2016</w:t>
            </w:r>
            <w:r>
              <w:t xml:space="preserve">, Cat. no. 3101.0); Commonwealth of Australia </w:t>
            </w:r>
            <w:r w:rsidR="009D6331" w:rsidRPr="009D6331">
              <w:rPr>
                <w:rFonts w:cs="Arial"/>
              </w:rPr>
              <w:t>(2017e)</w:t>
            </w:r>
            <w:r>
              <w:t>; CGC </w:t>
            </w:r>
            <w:r w:rsidR="009D6331" w:rsidRPr="009D6331">
              <w:rPr>
                <w:rFonts w:cs="Arial"/>
              </w:rPr>
              <w:t>(2017c, 2017f)</w:t>
            </w:r>
            <w:r>
              <w:t>.</w:t>
            </w:r>
          </w:p>
        </w:tc>
      </w:tr>
      <w:tr w:rsidR="00F05DC7" w14:paraId="79549D20" w14:textId="77777777" w:rsidTr="00A3786D">
        <w:tc>
          <w:tcPr>
            <w:tcW w:w="5000" w:type="pct"/>
            <w:tcBorders>
              <w:top w:val="nil"/>
              <w:left w:val="nil"/>
              <w:bottom w:val="single" w:sz="6" w:space="0" w:color="78A22F"/>
              <w:right w:val="nil"/>
            </w:tcBorders>
            <w:shd w:val="clear" w:color="auto" w:fill="auto"/>
          </w:tcPr>
          <w:p w14:paraId="79549D1F" w14:textId="77777777" w:rsidR="00F05DC7" w:rsidRDefault="00F05DC7" w:rsidP="00A3786D">
            <w:pPr>
              <w:pStyle w:val="Figurespace"/>
            </w:pPr>
          </w:p>
        </w:tc>
      </w:tr>
      <w:tr w:rsidR="00F05DC7" w:rsidRPr="000863A5" w14:paraId="79549D22" w14:textId="77777777" w:rsidTr="00A3786D">
        <w:tc>
          <w:tcPr>
            <w:tcW w:w="5000" w:type="pct"/>
            <w:tcBorders>
              <w:top w:val="single" w:sz="6" w:space="0" w:color="78A22F"/>
              <w:left w:val="nil"/>
              <w:bottom w:val="nil"/>
              <w:right w:val="nil"/>
            </w:tcBorders>
          </w:tcPr>
          <w:p w14:paraId="79549D21" w14:textId="77777777" w:rsidR="00F05DC7" w:rsidRPr="00626D32" w:rsidRDefault="00F05DC7" w:rsidP="00A3786D">
            <w:pPr>
              <w:pStyle w:val="BoxSpaceBelow"/>
            </w:pPr>
          </w:p>
        </w:tc>
      </w:tr>
    </w:tbl>
    <w:p w14:paraId="79549D23" w14:textId="77777777" w:rsidR="00F05DC7" w:rsidRDefault="00F05DC7" w:rsidP="00A3786D">
      <w:pPr>
        <w:pStyle w:val="Heading3"/>
      </w:pPr>
      <w:r>
        <w:t>Drivers of the equalisation task</w:t>
      </w:r>
    </w:p>
    <w:p w14:paraId="79549D24" w14:textId="77777777" w:rsidR="00F05DC7" w:rsidRDefault="00F05DC7" w:rsidP="00A3786D">
      <w:pPr>
        <w:pStyle w:val="BodyText"/>
      </w:pPr>
      <w:r>
        <w:t>Changes in the financial circumstances and characteristics of States lead to changes in calculated relativities (as can changes in the methodology used to construct relativities). These changes may be driven by a mixture of structural and cyclical factors including demography, population dispersion, real estate markets and mineral endowments (table 2.4).</w:t>
      </w:r>
    </w:p>
    <w:p w14:paraId="79549D25" w14:textId="77777777" w:rsidR="00F05DC7" w:rsidRDefault="00F05DC7" w:rsidP="00A3786D">
      <w:pPr>
        <w:pStyle w:val="BodyText"/>
      </w:pPr>
      <w:r>
        <w:t>Some of the key factors affecting the redistribution of GST (away from an equal per capita distribution) most recently are mining production, remoteness and regional costs and Indigenous status. The Northern Territory, for instance, has been assessed to have a below average fiscal capacity since its entry into the HFE system in 1988</w:t>
      </w:r>
      <w:r>
        <w:noBreakHyphen/>
        <w:t xml:space="preserve">89. </w:t>
      </w:r>
    </w:p>
    <w:p w14:paraId="79549D26" w14:textId="524D6240" w:rsidR="00F05DC7" w:rsidRDefault="00F05DC7" w:rsidP="00A3786D">
      <w:pPr>
        <w:pStyle w:val="BodyText"/>
      </w:pPr>
      <w:r>
        <w:t>Western Australia has historically had an expense disadvantage, caused by factors such as its above average shares of people living in remote areas and Indigenous population, as well as a below average share of non</w:t>
      </w:r>
      <w:r>
        <w:noBreakHyphen/>
        <w:t xml:space="preserve">State provision of health services </w:t>
      </w:r>
      <w:r w:rsidR="009D6331" w:rsidRPr="009D6331">
        <w:rPr>
          <w:szCs w:val="24"/>
        </w:rPr>
        <w:t>(CGC 2016e, p. 21)</w:t>
      </w:r>
      <w:r>
        <w:t>. Hence, disability factors have historically resulted in a higher relativity for Western Australia.</w:t>
      </w:r>
    </w:p>
    <w:p w14:paraId="79549D27"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D2A" w14:textId="77777777" w:rsidTr="00A3786D">
        <w:trPr>
          <w:tblHeader/>
        </w:trPr>
        <w:tc>
          <w:tcPr>
            <w:tcW w:w="5000" w:type="pct"/>
            <w:tcBorders>
              <w:top w:val="single" w:sz="6" w:space="0" w:color="78A22F"/>
              <w:left w:val="nil"/>
              <w:bottom w:val="nil"/>
              <w:right w:val="nil"/>
            </w:tcBorders>
            <w:shd w:val="clear" w:color="auto" w:fill="auto"/>
          </w:tcPr>
          <w:p w14:paraId="79549D28" w14:textId="5CD7BC87" w:rsidR="00F05DC7" w:rsidRDefault="00F05DC7" w:rsidP="00A3786D">
            <w:pPr>
              <w:pStyle w:val="FigureTitle"/>
            </w:pPr>
            <w:r w:rsidRPr="00784A05">
              <w:rPr>
                <w:b w:val="0"/>
              </w:rPr>
              <w:t xml:space="preserve">Figure </w:t>
            </w:r>
            <w:r>
              <w:rPr>
                <w:b w:val="0"/>
              </w:rPr>
              <w:t>2.10</w:t>
            </w:r>
            <w:r>
              <w:tab/>
              <w:t>Size of the equalisation task</w:t>
            </w:r>
          </w:p>
          <w:p w14:paraId="79549D29" w14:textId="77777777" w:rsidR="00F05DC7" w:rsidRPr="00176D3F" w:rsidRDefault="00F05DC7" w:rsidP="00A3786D">
            <w:pPr>
              <w:pStyle w:val="Subtitle"/>
            </w:pPr>
            <w:r>
              <w:t>Share of GST pool required to give States the same fiscal capacity as the strongest State</w:t>
            </w:r>
            <w:r w:rsidRPr="00E33B23">
              <w:rPr>
                <w:rStyle w:val="NoteLabel"/>
              </w:rPr>
              <w:t>a</w:t>
            </w:r>
          </w:p>
        </w:tc>
      </w:tr>
      <w:tr w:rsidR="00F05DC7" w14:paraId="79549D2E"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9D2C" w14:textId="77777777" w:rsidTr="00A3786D">
              <w:trPr>
                <w:tblHeader/>
                <w:jc w:val="center"/>
              </w:trPr>
              <w:tc>
                <w:tcPr>
                  <w:tcW w:w="5000" w:type="pct"/>
                  <w:tcBorders>
                    <w:top w:val="nil"/>
                    <w:bottom w:val="nil"/>
                  </w:tcBorders>
                </w:tcPr>
                <w:p w14:paraId="79549D2B" w14:textId="77777777" w:rsidR="00F05DC7" w:rsidRPr="00B1465D" w:rsidRDefault="00F05DC7" w:rsidP="00A3786D">
                  <w:pPr>
                    <w:pStyle w:val="Figure"/>
                    <w:spacing w:before="60" w:after="60"/>
                    <w:rPr>
                      <w:rFonts w:ascii="Arial" w:hAnsi="Arial" w:cs="Arial"/>
                      <w:sz w:val="18"/>
                      <w:szCs w:val="18"/>
                    </w:rPr>
                  </w:pPr>
                  <w:r w:rsidRPr="00334FE5">
                    <w:rPr>
                      <w:rFonts w:ascii="Arial" w:hAnsi="Arial" w:cs="Arial"/>
                      <w:noProof/>
                      <w:sz w:val="18"/>
                      <w:szCs w:val="18"/>
                    </w:rPr>
                    <w:drawing>
                      <wp:inline distT="0" distB="0" distL="0" distR="0" wp14:anchorId="7954D5BD" wp14:editId="7954D5BE">
                        <wp:extent cx="5401945" cy="2878455"/>
                        <wp:effectExtent l="0" t="0" r="8255" b="0"/>
                        <wp:docPr id="28" name="Picture 28" descr="The size of the equalisation task — as measured by the share of the GST pool required to bring all States up to the fiscal capacity of the strongest State — measured approximately 15 per cent from 2000-01 to 2008-09, a time in which Victoria, followed by New South Wales, was the fiscally strongest State. The size of the equalisation task increased rapidly as Western Australia’s fiscally capacity strengthened, rising from just over 20 per cent in 2009-10 to a peak of approximately 70 per cent in 2015-16 and 2016-17. In 2018-19, the size of the equalisation task declined to 53 per cent of th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14:paraId="79549D2D" w14:textId="77777777" w:rsidR="00F05DC7" w:rsidRDefault="00F05DC7" w:rsidP="00A3786D">
            <w:pPr>
              <w:pStyle w:val="Figure"/>
            </w:pPr>
          </w:p>
        </w:tc>
      </w:tr>
      <w:tr w:rsidR="00F05DC7" w:rsidRPr="00176D3F" w14:paraId="79549D30" w14:textId="77777777" w:rsidTr="00A3786D">
        <w:tc>
          <w:tcPr>
            <w:tcW w:w="5000" w:type="pct"/>
            <w:tcBorders>
              <w:top w:val="nil"/>
              <w:left w:val="nil"/>
              <w:bottom w:val="nil"/>
              <w:right w:val="nil"/>
            </w:tcBorders>
            <w:shd w:val="clear" w:color="auto" w:fill="auto"/>
          </w:tcPr>
          <w:p w14:paraId="79549D2F" w14:textId="77777777" w:rsidR="00F05DC7" w:rsidRDefault="00F05DC7" w:rsidP="00A3786D">
            <w:pPr>
              <w:pStyle w:val="Source"/>
              <w:rPr>
                <w:i/>
              </w:rPr>
            </w:pPr>
            <w:r>
              <w:rPr>
                <w:rStyle w:val="NoteLabel"/>
              </w:rPr>
              <w:t>a</w:t>
            </w:r>
            <w:r>
              <w:t xml:space="preserve"> From 2000</w:t>
            </w:r>
            <w:r>
              <w:noBreakHyphen/>
              <w:t>01 to 2008</w:t>
            </w:r>
            <w:r>
              <w:noBreakHyphen/>
              <w:t>09, the CGC recommended relativities for distributing the pool of GST revenue plus Health Care Grants. Health Care Grants were not included in the calculations for this figure.</w:t>
            </w:r>
          </w:p>
        </w:tc>
      </w:tr>
      <w:tr w:rsidR="00F05DC7" w:rsidRPr="00176D3F" w14:paraId="79549D32" w14:textId="77777777" w:rsidTr="00A3786D">
        <w:tc>
          <w:tcPr>
            <w:tcW w:w="5000" w:type="pct"/>
            <w:tcBorders>
              <w:top w:val="nil"/>
              <w:left w:val="nil"/>
              <w:bottom w:val="nil"/>
              <w:right w:val="nil"/>
            </w:tcBorders>
            <w:shd w:val="clear" w:color="auto" w:fill="auto"/>
          </w:tcPr>
          <w:p w14:paraId="79549D31" w14:textId="04C7882D" w:rsidR="00F05DC7" w:rsidRPr="00176D3F" w:rsidRDefault="00F05DC7" w:rsidP="00A3786D">
            <w:pPr>
              <w:pStyle w:val="Source"/>
            </w:pPr>
            <w:r>
              <w:rPr>
                <w:i/>
              </w:rPr>
              <w:t>S</w:t>
            </w:r>
            <w:r w:rsidRPr="00784A05">
              <w:rPr>
                <w:i/>
              </w:rPr>
              <w:t>ource</w:t>
            </w:r>
            <w:r>
              <w:rPr>
                <w:i/>
              </w:rPr>
              <w:t>s</w:t>
            </w:r>
            <w:r w:rsidRPr="00176D3F">
              <w:t xml:space="preserve">: </w:t>
            </w:r>
            <w:r>
              <w:t xml:space="preserve">CGC </w:t>
            </w:r>
            <w:r w:rsidR="009D6331" w:rsidRPr="009D6331">
              <w:rPr>
                <w:rFonts w:cs="Arial"/>
              </w:rPr>
              <w:t>(2018h; pers. comm. 4 September 2017)</w:t>
            </w:r>
            <w:r>
              <w:t>.</w:t>
            </w:r>
          </w:p>
        </w:tc>
      </w:tr>
      <w:tr w:rsidR="00F05DC7" w14:paraId="79549D34" w14:textId="77777777" w:rsidTr="00A3786D">
        <w:tc>
          <w:tcPr>
            <w:tcW w:w="5000" w:type="pct"/>
            <w:tcBorders>
              <w:top w:val="nil"/>
              <w:left w:val="nil"/>
              <w:bottom w:val="single" w:sz="6" w:space="0" w:color="78A22F"/>
              <w:right w:val="nil"/>
            </w:tcBorders>
            <w:shd w:val="clear" w:color="auto" w:fill="auto"/>
          </w:tcPr>
          <w:p w14:paraId="79549D33" w14:textId="77777777" w:rsidR="00F05DC7" w:rsidRDefault="00F05DC7" w:rsidP="00A3786D">
            <w:pPr>
              <w:pStyle w:val="Figurespace"/>
            </w:pPr>
          </w:p>
        </w:tc>
      </w:tr>
      <w:tr w:rsidR="00F05DC7" w:rsidRPr="000863A5" w14:paraId="79549D36" w14:textId="77777777" w:rsidTr="00A3786D">
        <w:tc>
          <w:tcPr>
            <w:tcW w:w="5000" w:type="pct"/>
            <w:tcBorders>
              <w:top w:val="single" w:sz="6" w:space="0" w:color="78A22F"/>
              <w:left w:val="nil"/>
              <w:bottom w:val="nil"/>
              <w:right w:val="nil"/>
            </w:tcBorders>
          </w:tcPr>
          <w:p w14:paraId="79549D35" w14:textId="77777777" w:rsidR="00F05DC7" w:rsidRPr="00626D32" w:rsidRDefault="00F05DC7" w:rsidP="00A3786D">
            <w:pPr>
              <w:pStyle w:val="BoxSpaceBelow"/>
            </w:pPr>
          </w:p>
        </w:tc>
      </w:tr>
    </w:tbl>
    <w:p w14:paraId="79549D37" w14:textId="77777777" w:rsidR="00F05DC7" w:rsidRDefault="00F05DC7" w:rsidP="00A3786D">
      <w:pPr>
        <w:pStyle w:val="BodyText"/>
      </w:pPr>
      <w:r>
        <w:t>During the investment and construction phase of the mining boom, Western Australia’s relativity declined significantly, falling to the lowest of any State historically (chapter 1, figure 1.1). Due to recent falls in the value of iron ore production, Western Australia’s capacity to raise revenue from mining royalties has declined, leading to an increase in its relativity to reach 0.47 for 2018-19. Despite these recent developments, high levels of production are likely to continue for the foreseeable future, indicating that Western Australia’s relativity is likely to have structurally shifted to a lower level compared with the pre</w:t>
      </w:r>
      <w:r>
        <w:noBreakHyphen/>
        <w:t xml:space="preserve">mining boom era, reflecting its relatively stronger fiscal capacity (chapter 1). </w:t>
      </w:r>
    </w:p>
    <w:p w14:paraId="79549D38" w14:textId="08F310EB" w:rsidR="00F05DC7" w:rsidRDefault="00F05DC7" w:rsidP="00A3786D">
      <w:pPr>
        <w:pStyle w:val="BodyText"/>
      </w:pPr>
      <w:r>
        <w:t xml:space="preserve">Victoria, by contrast, has been experiencing strong competing fiscal capacity forces — population growth (one effect of which is to increase fiscal need) and corresponding activity in the property sector (resulting in increased revenue) </w:t>
      </w:r>
      <w:r w:rsidR="009D6331" w:rsidRPr="009D6331">
        <w:rPr>
          <w:szCs w:val="24"/>
        </w:rPr>
        <w:t>(CGC 2018h, p. 9)</w:t>
      </w:r>
      <w:r>
        <w:t xml:space="preserve">. </w:t>
      </w:r>
    </w:p>
    <w:p w14:paraId="79549D39"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9D3C" w14:textId="77777777" w:rsidTr="001113B1">
        <w:trPr>
          <w:tblHeader/>
        </w:trPr>
        <w:tc>
          <w:tcPr>
            <w:tcW w:w="5000" w:type="pct"/>
            <w:tcBorders>
              <w:top w:val="single" w:sz="6" w:space="0" w:color="78A22F"/>
              <w:left w:val="nil"/>
              <w:bottom w:val="nil"/>
              <w:right w:val="nil"/>
            </w:tcBorders>
            <w:shd w:val="clear" w:color="auto" w:fill="auto"/>
          </w:tcPr>
          <w:p w14:paraId="79549D3A" w14:textId="0FA86CC8" w:rsidR="00F05DC7" w:rsidRDefault="00F05DC7" w:rsidP="00A3786D">
            <w:pPr>
              <w:pStyle w:val="TableTitle"/>
            </w:pPr>
            <w:r>
              <w:rPr>
                <w:b w:val="0"/>
              </w:rPr>
              <w:t>Table 2.</w:t>
            </w:r>
            <w:r>
              <w:rPr>
                <w:b w:val="0"/>
                <w:noProof/>
              </w:rPr>
              <w:t>4</w:t>
            </w:r>
            <w:r>
              <w:tab/>
              <w:t>Difference from an equal per capita distribution of GST</w:t>
            </w:r>
          </w:p>
          <w:p w14:paraId="79549D3B" w14:textId="77777777" w:rsidR="00F05DC7" w:rsidRPr="00784A05" w:rsidRDefault="00F05DC7" w:rsidP="00A3786D">
            <w:pPr>
              <w:pStyle w:val="Subtitle"/>
            </w:pPr>
            <w:r>
              <w:t>2018</w:t>
            </w:r>
            <w:r>
              <w:noBreakHyphen/>
              <w:t>19, $million</w:t>
            </w:r>
          </w:p>
        </w:tc>
      </w:tr>
      <w:tr w:rsidR="00F05DC7" w14:paraId="79549E0F"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13"/>
              <w:gridCol w:w="722"/>
              <w:gridCol w:w="722"/>
              <w:gridCol w:w="722"/>
              <w:gridCol w:w="721"/>
              <w:gridCol w:w="721"/>
              <w:gridCol w:w="721"/>
              <w:gridCol w:w="721"/>
              <w:gridCol w:w="721"/>
              <w:gridCol w:w="721"/>
            </w:tblGrid>
            <w:tr w:rsidR="00F05DC7" w14:paraId="79549D47" w14:textId="77777777" w:rsidTr="00A3786D">
              <w:trPr>
                <w:tblHeader/>
              </w:trPr>
              <w:tc>
                <w:tcPr>
                  <w:tcW w:w="1183" w:type="pct"/>
                  <w:tcBorders>
                    <w:top w:val="single" w:sz="6" w:space="0" w:color="BFBFBF"/>
                    <w:bottom w:val="single" w:sz="6" w:space="0" w:color="BFBFBF"/>
                  </w:tcBorders>
                  <w:shd w:val="clear" w:color="auto" w:fill="auto"/>
                  <w:tcMar>
                    <w:top w:w="28" w:type="dxa"/>
                  </w:tcMar>
                </w:tcPr>
                <w:p w14:paraId="79549D3D" w14:textId="77777777" w:rsidR="00F05DC7" w:rsidRDefault="00F05DC7" w:rsidP="00A3786D">
                  <w:pPr>
                    <w:pStyle w:val="TableColumnHeading"/>
                    <w:jc w:val="left"/>
                  </w:pPr>
                </w:p>
              </w:tc>
              <w:tc>
                <w:tcPr>
                  <w:tcW w:w="424" w:type="pct"/>
                  <w:tcBorders>
                    <w:top w:val="single" w:sz="6" w:space="0" w:color="BFBFBF"/>
                    <w:bottom w:val="single" w:sz="6" w:space="0" w:color="BFBFBF"/>
                  </w:tcBorders>
                  <w:vAlign w:val="bottom"/>
                </w:tcPr>
                <w:p w14:paraId="79549D3E" w14:textId="77777777" w:rsidR="00F05DC7" w:rsidRDefault="00F05DC7" w:rsidP="00A3786D">
                  <w:pPr>
                    <w:pStyle w:val="TableColumnHeading"/>
                  </w:pPr>
                  <w:r>
                    <w:t>NSW</w:t>
                  </w:r>
                </w:p>
              </w:tc>
              <w:tc>
                <w:tcPr>
                  <w:tcW w:w="424" w:type="pct"/>
                  <w:tcBorders>
                    <w:top w:val="single" w:sz="6" w:space="0" w:color="BFBFBF"/>
                    <w:bottom w:val="single" w:sz="6" w:space="0" w:color="BFBFBF"/>
                  </w:tcBorders>
                  <w:shd w:val="clear" w:color="auto" w:fill="auto"/>
                  <w:tcMar>
                    <w:top w:w="28" w:type="dxa"/>
                  </w:tcMar>
                  <w:vAlign w:val="bottom"/>
                </w:tcPr>
                <w:p w14:paraId="79549D3F" w14:textId="77777777" w:rsidR="00F05DC7" w:rsidRDefault="00F05DC7" w:rsidP="00A3786D">
                  <w:pPr>
                    <w:pStyle w:val="TableColumnHeading"/>
                  </w:pPr>
                  <w:r>
                    <w:t>Vic</w:t>
                  </w:r>
                </w:p>
              </w:tc>
              <w:tc>
                <w:tcPr>
                  <w:tcW w:w="424" w:type="pct"/>
                  <w:tcBorders>
                    <w:top w:val="single" w:sz="6" w:space="0" w:color="BFBFBF"/>
                    <w:bottom w:val="single" w:sz="6" w:space="0" w:color="BFBFBF"/>
                  </w:tcBorders>
                  <w:vAlign w:val="bottom"/>
                </w:tcPr>
                <w:p w14:paraId="79549D40" w14:textId="77777777" w:rsidR="00F05DC7" w:rsidRDefault="00F05DC7" w:rsidP="00A3786D">
                  <w:pPr>
                    <w:pStyle w:val="TableColumnHeading"/>
                    <w:ind w:right="28"/>
                  </w:pPr>
                  <w:r>
                    <w:t>Qld</w:t>
                  </w:r>
                </w:p>
              </w:tc>
              <w:tc>
                <w:tcPr>
                  <w:tcW w:w="424" w:type="pct"/>
                  <w:tcBorders>
                    <w:top w:val="single" w:sz="6" w:space="0" w:color="BFBFBF"/>
                    <w:bottom w:val="single" w:sz="6" w:space="0" w:color="BFBFBF"/>
                  </w:tcBorders>
                  <w:vAlign w:val="bottom"/>
                </w:tcPr>
                <w:p w14:paraId="79549D41" w14:textId="77777777" w:rsidR="00F05DC7" w:rsidRDefault="00F05DC7" w:rsidP="00A3786D">
                  <w:pPr>
                    <w:pStyle w:val="TableColumnHeading"/>
                    <w:ind w:right="28"/>
                  </w:pPr>
                  <w:r>
                    <w:t>WA</w:t>
                  </w:r>
                </w:p>
              </w:tc>
              <w:tc>
                <w:tcPr>
                  <w:tcW w:w="424" w:type="pct"/>
                  <w:tcBorders>
                    <w:top w:val="single" w:sz="6" w:space="0" w:color="BFBFBF"/>
                    <w:bottom w:val="single" w:sz="6" w:space="0" w:color="BFBFBF"/>
                  </w:tcBorders>
                  <w:vAlign w:val="bottom"/>
                </w:tcPr>
                <w:p w14:paraId="79549D42" w14:textId="77777777" w:rsidR="00F05DC7" w:rsidRDefault="00F05DC7" w:rsidP="00A3786D">
                  <w:pPr>
                    <w:pStyle w:val="TableColumnHeading"/>
                    <w:ind w:right="28"/>
                  </w:pPr>
                  <w:r>
                    <w:t>SA</w:t>
                  </w:r>
                </w:p>
              </w:tc>
              <w:tc>
                <w:tcPr>
                  <w:tcW w:w="424" w:type="pct"/>
                  <w:tcBorders>
                    <w:top w:val="single" w:sz="6" w:space="0" w:color="BFBFBF"/>
                    <w:bottom w:val="single" w:sz="6" w:space="0" w:color="BFBFBF"/>
                  </w:tcBorders>
                  <w:vAlign w:val="bottom"/>
                </w:tcPr>
                <w:p w14:paraId="79549D43" w14:textId="77777777" w:rsidR="00F05DC7" w:rsidRDefault="00F05DC7" w:rsidP="00A3786D">
                  <w:pPr>
                    <w:pStyle w:val="TableColumnHeading"/>
                    <w:ind w:right="28"/>
                  </w:pPr>
                  <w:r>
                    <w:t>Tas</w:t>
                  </w:r>
                </w:p>
              </w:tc>
              <w:tc>
                <w:tcPr>
                  <w:tcW w:w="424" w:type="pct"/>
                  <w:tcBorders>
                    <w:top w:val="single" w:sz="6" w:space="0" w:color="BFBFBF"/>
                    <w:bottom w:val="single" w:sz="6" w:space="0" w:color="BFBFBF"/>
                  </w:tcBorders>
                  <w:vAlign w:val="bottom"/>
                </w:tcPr>
                <w:p w14:paraId="79549D44" w14:textId="77777777" w:rsidR="00F05DC7" w:rsidRDefault="00F05DC7" w:rsidP="00A3786D">
                  <w:pPr>
                    <w:pStyle w:val="TableColumnHeading"/>
                    <w:ind w:right="28"/>
                  </w:pPr>
                  <w:r>
                    <w:t>ACT</w:t>
                  </w:r>
                </w:p>
              </w:tc>
              <w:tc>
                <w:tcPr>
                  <w:tcW w:w="424" w:type="pct"/>
                  <w:tcBorders>
                    <w:top w:val="single" w:sz="6" w:space="0" w:color="BFBFBF"/>
                    <w:bottom w:val="single" w:sz="6" w:space="0" w:color="BFBFBF"/>
                  </w:tcBorders>
                  <w:vAlign w:val="bottom"/>
                </w:tcPr>
                <w:p w14:paraId="79549D45" w14:textId="77777777" w:rsidR="00F05DC7" w:rsidRDefault="00F05DC7" w:rsidP="00A3786D">
                  <w:pPr>
                    <w:pStyle w:val="TableColumnHeading"/>
                    <w:ind w:right="28"/>
                  </w:pPr>
                  <w:r>
                    <w:t>NT</w:t>
                  </w:r>
                </w:p>
              </w:tc>
              <w:tc>
                <w:tcPr>
                  <w:tcW w:w="424" w:type="pct"/>
                  <w:tcBorders>
                    <w:top w:val="single" w:sz="6" w:space="0" w:color="BFBFBF"/>
                    <w:bottom w:val="single" w:sz="6" w:space="0" w:color="BFBFBF"/>
                  </w:tcBorders>
                  <w:shd w:val="clear" w:color="auto" w:fill="auto"/>
                  <w:tcMar>
                    <w:top w:w="28" w:type="dxa"/>
                  </w:tcMar>
                </w:tcPr>
                <w:p w14:paraId="79549D46" w14:textId="77777777" w:rsidR="00F05DC7" w:rsidRDefault="00F05DC7" w:rsidP="00A3786D">
                  <w:pPr>
                    <w:pStyle w:val="TableColumnHeading"/>
                    <w:ind w:right="28"/>
                  </w:pPr>
                  <w:r>
                    <w:t>Redist</w:t>
                  </w:r>
                  <w:r w:rsidRPr="009C6838">
                    <w:rPr>
                      <w:rStyle w:val="NoteLabel"/>
                    </w:rPr>
                    <w:t>b</w:t>
                  </w:r>
                </w:p>
              </w:tc>
            </w:tr>
            <w:tr w:rsidR="00F05DC7" w14:paraId="79549D52" w14:textId="77777777" w:rsidTr="00A3786D">
              <w:tc>
                <w:tcPr>
                  <w:tcW w:w="1183" w:type="pct"/>
                  <w:tcBorders>
                    <w:top w:val="single" w:sz="6" w:space="0" w:color="BFBFBF"/>
                  </w:tcBorders>
                </w:tcPr>
                <w:p w14:paraId="79549D48" w14:textId="77777777" w:rsidR="00F05DC7" w:rsidRPr="00795774" w:rsidRDefault="00F05DC7" w:rsidP="00A3786D">
                  <w:pPr>
                    <w:pStyle w:val="TableUnitsRow"/>
                    <w:jc w:val="left"/>
                    <w:rPr>
                      <w:i/>
                    </w:rPr>
                  </w:pPr>
                  <w:r w:rsidRPr="00795774">
                    <w:rPr>
                      <w:i/>
                    </w:rPr>
                    <w:t xml:space="preserve">Revenue </w:t>
                  </w:r>
                </w:p>
              </w:tc>
              <w:tc>
                <w:tcPr>
                  <w:tcW w:w="424" w:type="pct"/>
                  <w:tcBorders>
                    <w:top w:val="single" w:sz="6" w:space="0" w:color="BFBFBF"/>
                  </w:tcBorders>
                </w:tcPr>
                <w:p w14:paraId="79549D49" w14:textId="77777777" w:rsidR="00F05DC7" w:rsidRDefault="00F05DC7" w:rsidP="00A3786D">
                  <w:pPr>
                    <w:pStyle w:val="TableUnitsRow"/>
                  </w:pPr>
                </w:p>
              </w:tc>
              <w:tc>
                <w:tcPr>
                  <w:tcW w:w="424" w:type="pct"/>
                  <w:tcBorders>
                    <w:top w:val="single" w:sz="6" w:space="0" w:color="BFBFBF"/>
                  </w:tcBorders>
                </w:tcPr>
                <w:p w14:paraId="79549D4A" w14:textId="77777777" w:rsidR="00F05DC7" w:rsidRDefault="00F05DC7" w:rsidP="00A3786D">
                  <w:pPr>
                    <w:pStyle w:val="TableUnitsRow"/>
                  </w:pPr>
                </w:p>
              </w:tc>
              <w:tc>
                <w:tcPr>
                  <w:tcW w:w="424" w:type="pct"/>
                  <w:tcBorders>
                    <w:top w:val="single" w:sz="6" w:space="0" w:color="BFBFBF"/>
                  </w:tcBorders>
                </w:tcPr>
                <w:p w14:paraId="79549D4B" w14:textId="77777777" w:rsidR="00F05DC7" w:rsidRDefault="00F05DC7" w:rsidP="00A3786D">
                  <w:pPr>
                    <w:pStyle w:val="TableUnitsRow"/>
                    <w:ind w:right="28"/>
                  </w:pPr>
                </w:p>
              </w:tc>
              <w:tc>
                <w:tcPr>
                  <w:tcW w:w="424" w:type="pct"/>
                  <w:tcBorders>
                    <w:top w:val="single" w:sz="6" w:space="0" w:color="BFBFBF"/>
                  </w:tcBorders>
                </w:tcPr>
                <w:p w14:paraId="79549D4C" w14:textId="77777777" w:rsidR="00F05DC7" w:rsidRDefault="00F05DC7" w:rsidP="00A3786D">
                  <w:pPr>
                    <w:pStyle w:val="TableUnitsRow"/>
                    <w:ind w:right="28"/>
                  </w:pPr>
                </w:p>
              </w:tc>
              <w:tc>
                <w:tcPr>
                  <w:tcW w:w="424" w:type="pct"/>
                  <w:tcBorders>
                    <w:top w:val="single" w:sz="6" w:space="0" w:color="BFBFBF"/>
                  </w:tcBorders>
                </w:tcPr>
                <w:p w14:paraId="79549D4D" w14:textId="77777777" w:rsidR="00F05DC7" w:rsidRDefault="00F05DC7" w:rsidP="00A3786D">
                  <w:pPr>
                    <w:pStyle w:val="TableUnitsRow"/>
                    <w:ind w:right="28"/>
                  </w:pPr>
                </w:p>
              </w:tc>
              <w:tc>
                <w:tcPr>
                  <w:tcW w:w="424" w:type="pct"/>
                  <w:tcBorders>
                    <w:top w:val="single" w:sz="6" w:space="0" w:color="BFBFBF"/>
                  </w:tcBorders>
                </w:tcPr>
                <w:p w14:paraId="79549D4E" w14:textId="77777777" w:rsidR="00F05DC7" w:rsidRDefault="00F05DC7" w:rsidP="00A3786D">
                  <w:pPr>
                    <w:pStyle w:val="TableUnitsRow"/>
                    <w:ind w:right="28"/>
                  </w:pPr>
                </w:p>
              </w:tc>
              <w:tc>
                <w:tcPr>
                  <w:tcW w:w="424" w:type="pct"/>
                  <w:tcBorders>
                    <w:top w:val="single" w:sz="6" w:space="0" w:color="BFBFBF"/>
                  </w:tcBorders>
                </w:tcPr>
                <w:p w14:paraId="79549D4F" w14:textId="77777777" w:rsidR="00F05DC7" w:rsidRDefault="00F05DC7" w:rsidP="00A3786D">
                  <w:pPr>
                    <w:pStyle w:val="TableUnitsRow"/>
                    <w:ind w:right="28"/>
                  </w:pPr>
                </w:p>
              </w:tc>
              <w:tc>
                <w:tcPr>
                  <w:tcW w:w="424" w:type="pct"/>
                  <w:tcBorders>
                    <w:top w:val="single" w:sz="6" w:space="0" w:color="BFBFBF"/>
                  </w:tcBorders>
                </w:tcPr>
                <w:p w14:paraId="79549D50" w14:textId="77777777" w:rsidR="00F05DC7" w:rsidRDefault="00F05DC7" w:rsidP="00A3786D">
                  <w:pPr>
                    <w:pStyle w:val="TableUnitsRow"/>
                    <w:ind w:right="28"/>
                  </w:pPr>
                </w:p>
              </w:tc>
              <w:tc>
                <w:tcPr>
                  <w:tcW w:w="424" w:type="pct"/>
                  <w:tcBorders>
                    <w:top w:val="single" w:sz="6" w:space="0" w:color="BFBFBF"/>
                  </w:tcBorders>
                </w:tcPr>
                <w:p w14:paraId="79549D51" w14:textId="77777777" w:rsidR="00F05DC7" w:rsidRDefault="00F05DC7" w:rsidP="00A3786D">
                  <w:pPr>
                    <w:pStyle w:val="TableUnitsRow"/>
                    <w:ind w:right="28"/>
                  </w:pPr>
                </w:p>
              </w:tc>
            </w:tr>
            <w:tr w:rsidR="00F05DC7" w14:paraId="79549D5D" w14:textId="77777777" w:rsidTr="00A3786D">
              <w:tc>
                <w:tcPr>
                  <w:tcW w:w="1183" w:type="pct"/>
                </w:tcPr>
                <w:p w14:paraId="79549D53" w14:textId="77777777" w:rsidR="00F05DC7" w:rsidRDefault="00F05DC7" w:rsidP="00A3786D">
                  <w:pPr>
                    <w:pStyle w:val="TableBodyText"/>
                    <w:ind w:left="113"/>
                    <w:jc w:val="left"/>
                  </w:pPr>
                  <w:r>
                    <w:t xml:space="preserve">Mining </w:t>
                  </w:r>
                </w:p>
              </w:tc>
              <w:tc>
                <w:tcPr>
                  <w:tcW w:w="424" w:type="pct"/>
                </w:tcPr>
                <w:p w14:paraId="79549D54" w14:textId="77777777" w:rsidR="00F05DC7" w:rsidRDefault="00F05DC7" w:rsidP="00A3786D">
                  <w:pPr>
                    <w:pStyle w:val="TableBodyText"/>
                  </w:pPr>
                  <w:r>
                    <w:t>1 977</w:t>
                  </w:r>
                </w:p>
              </w:tc>
              <w:tc>
                <w:tcPr>
                  <w:tcW w:w="424" w:type="pct"/>
                </w:tcPr>
                <w:p w14:paraId="79549D55" w14:textId="77777777" w:rsidR="00F05DC7" w:rsidRDefault="00F05DC7" w:rsidP="00A3786D">
                  <w:pPr>
                    <w:pStyle w:val="TableBodyText"/>
                  </w:pPr>
                  <w:r>
                    <w:t>2 810</w:t>
                  </w:r>
                </w:p>
              </w:tc>
              <w:tc>
                <w:tcPr>
                  <w:tcW w:w="424" w:type="pct"/>
                </w:tcPr>
                <w:p w14:paraId="79549D56" w14:textId="77777777" w:rsidR="00F05DC7" w:rsidRDefault="00F05DC7" w:rsidP="00A3786D">
                  <w:pPr>
                    <w:pStyle w:val="TableBodyText"/>
                    <w:ind w:right="28"/>
                  </w:pPr>
                  <w:r>
                    <w:noBreakHyphen/>
                    <w:t>658</w:t>
                  </w:r>
                </w:p>
              </w:tc>
              <w:tc>
                <w:tcPr>
                  <w:tcW w:w="424" w:type="pct"/>
                </w:tcPr>
                <w:p w14:paraId="79549D57" w14:textId="77777777" w:rsidR="00F05DC7" w:rsidRDefault="00F05DC7" w:rsidP="00A3786D">
                  <w:pPr>
                    <w:pStyle w:val="TableBodyText"/>
                    <w:ind w:right="28"/>
                  </w:pPr>
                  <w:r>
                    <w:noBreakHyphen/>
                    <w:t>4 927</w:t>
                  </w:r>
                </w:p>
              </w:tc>
              <w:tc>
                <w:tcPr>
                  <w:tcW w:w="424" w:type="pct"/>
                </w:tcPr>
                <w:p w14:paraId="79549D58" w14:textId="77777777" w:rsidR="00F05DC7" w:rsidRDefault="00F05DC7" w:rsidP="00A3786D">
                  <w:pPr>
                    <w:pStyle w:val="TableBodyText"/>
                    <w:ind w:right="28"/>
                  </w:pPr>
                  <w:r>
                    <w:t>486</w:t>
                  </w:r>
                </w:p>
              </w:tc>
              <w:tc>
                <w:tcPr>
                  <w:tcW w:w="424" w:type="pct"/>
                </w:tcPr>
                <w:p w14:paraId="79549D59" w14:textId="77777777" w:rsidR="00F05DC7" w:rsidRDefault="00F05DC7" w:rsidP="00A3786D">
                  <w:pPr>
                    <w:pStyle w:val="TableBodyText"/>
                    <w:ind w:right="28"/>
                  </w:pPr>
                  <w:r>
                    <w:t>178</w:t>
                  </w:r>
                </w:p>
              </w:tc>
              <w:tc>
                <w:tcPr>
                  <w:tcW w:w="424" w:type="pct"/>
                </w:tcPr>
                <w:p w14:paraId="79549D5A" w14:textId="77777777" w:rsidR="00F05DC7" w:rsidRDefault="00F05DC7" w:rsidP="00A3786D">
                  <w:pPr>
                    <w:pStyle w:val="TableBodyText"/>
                    <w:ind w:right="28"/>
                  </w:pPr>
                  <w:r>
                    <w:t>188</w:t>
                  </w:r>
                </w:p>
              </w:tc>
              <w:tc>
                <w:tcPr>
                  <w:tcW w:w="424" w:type="pct"/>
                </w:tcPr>
                <w:p w14:paraId="79549D5B" w14:textId="77777777" w:rsidR="00F05DC7" w:rsidRDefault="00F05DC7" w:rsidP="00A3786D">
                  <w:pPr>
                    <w:pStyle w:val="TableBodyText"/>
                    <w:ind w:right="28"/>
                  </w:pPr>
                  <w:r>
                    <w:noBreakHyphen/>
                    <w:t>54</w:t>
                  </w:r>
                </w:p>
              </w:tc>
              <w:tc>
                <w:tcPr>
                  <w:tcW w:w="424" w:type="pct"/>
                </w:tcPr>
                <w:p w14:paraId="79549D5C" w14:textId="77777777" w:rsidR="00F05DC7" w:rsidRDefault="00F05DC7" w:rsidP="00A3786D">
                  <w:pPr>
                    <w:pStyle w:val="TableBodyText"/>
                    <w:ind w:right="28"/>
                  </w:pPr>
                  <w:r>
                    <w:t>5 639</w:t>
                  </w:r>
                </w:p>
              </w:tc>
            </w:tr>
            <w:tr w:rsidR="00F05DC7" w14:paraId="79549D68" w14:textId="77777777" w:rsidTr="00A3786D">
              <w:tc>
                <w:tcPr>
                  <w:tcW w:w="1183" w:type="pct"/>
                </w:tcPr>
                <w:p w14:paraId="79549D5E" w14:textId="77777777" w:rsidR="00F05DC7" w:rsidRDefault="00F05DC7" w:rsidP="00A3786D">
                  <w:pPr>
                    <w:pStyle w:val="TableBodyText"/>
                    <w:ind w:left="113"/>
                    <w:jc w:val="left"/>
                  </w:pPr>
                  <w:r>
                    <w:t>Property sales</w:t>
                  </w:r>
                </w:p>
              </w:tc>
              <w:tc>
                <w:tcPr>
                  <w:tcW w:w="424" w:type="pct"/>
                </w:tcPr>
                <w:p w14:paraId="79549D5F" w14:textId="77777777" w:rsidR="00F05DC7" w:rsidRDefault="00F05DC7" w:rsidP="00A3786D">
                  <w:pPr>
                    <w:pStyle w:val="TableBodyText"/>
                  </w:pPr>
                  <w:r>
                    <w:noBreakHyphen/>
                    <w:t>2 141</w:t>
                  </w:r>
                </w:p>
              </w:tc>
              <w:tc>
                <w:tcPr>
                  <w:tcW w:w="424" w:type="pct"/>
                </w:tcPr>
                <w:p w14:paraId="79549D60" w14:textId="77777777" w:rsidR="00F05DC7" w:rsidRDefault="00F05DC7" w:rsidP="00A3786D">
                  <w:pPr>
                    <w:pStyle w:val="TableBodyText"/>
                  </w:pPr>
                  <w:r>
                    <w:noBreakHyphen/>
                    <w:t>242</w:t>
                  </w:r>
                </w:p>
              </w:tc>
              <w:tc>
                <w:tcPr>
                  <w:tcW w:w="424" w:type="pct"/>
                </w:tcPr>
                <w:p w14:paraId="79549D61" w14:textId="77777777" w:rsidR="00F05DC7" w:rsidRDefault="00F05DC7" w:rsidP="00A3786D">
                  <w:pPr>
                    <w:pStyle w:val="TableBodyText"/>
                    <w:ind w:right="28"/>
                  </w:pPr>
                  <w:r>
                    <w:t>442</w:t>
                  </w:r>
                </w:p>
              </w:tc>
              <w:tc>
                <w:tcPr>
                  <w:tcW w:w="424" w:type="pct"/>
                </w:tcPr>
                <w:p w14:paraId="79549D62" w14:textId="77777777" w:rsidR="00F05DC7" w:rsidRDefault="00F05DC7" w:rsidP="00A3786D">
                  <w:pPr>
                    <w:pStyle w:val="TableBodyText"/>
                    <w:ind w:right="28"/>
                  </w:pPr>
                  <w:r>
                    <w:t>793</w:t>
                  </w:r>
                </w:p>
              </w:tc>
              <w:tc>
                <w:tcPr>
                  <w:tcW w:w="424" w:type="pct"/>
                </w:tcPr>
                <w:p w14:paraId="79549D63" w14:textId="77777777" w:rsidR="00F05DC7" w:rsidRDefault="00F05DC7" w:rsidP="00A3786D">
                  <w:pPr>
                    <w:pStyle w:val="TableBodyText"/>
                    <w:ind w:right="28"/>
                  </w:pPr>
                  <w:r>
                    <w:t>760</w:t>
                  </w:r>
                </w:p>
              </w:tc>
              <w:tc>
                <w:tcPr>
                  <w:tcW w:w="424" w:type="pct"/>
                </w:tcPr>
                <w:p w14:paraId="79549D64" w14:textId="77777777" w:rsidR="00F05DC7" w:rsidRDefault="00F05DC7" w:rsidP="00A3786D">
                  <w:pPr>
                    <w:pStyle w:val="TableBodyText"/>
                    <w:ind w:right="28"/>
                  </w:pPr>
                  <w:r>
                    <w:t>240</w:t>
                  </w:r>
                </w:p>
              </w:tc>
              <w:tc>
                <w:tcPr>
                  <w:tcW w:w="424" w:type="pct"/>
                </w:tcPr>
                <w:p w14:paraId="79549D65" w14:textId="77777777" w:rsidR="00F05DC7" w:rsidRDefault="00F05DC7" w:rsidP="00A3786D">
                  <w:pPr>
                    <w:pStyle w:val="TableBodyText"/>
                    <w:ind w:right="28"/>
                  </w:pPr>
                  <w:r>
                    <w:t>38</w:t>
                  </w:r>
                </w:p>
              </w:tc>
              <w:tc>
                <w:tcPr>
                  <w:tcW w:w="424" w:type="pct"/>
                </w:tcPr>
                <w:p w14:paraId="79549D66" w14:textId="77777777" w:rsidR="00F05DC7" w:rsidRDefault="00F05DC7" w:rsidP="00A3786D">
                  <w:pPr>
                    <w:pStyle w:val="TableBodyText"/>
                    <w:ind w:right="28"/>
                  </w:pPr>
                  <w:r>
                    <w:t>109</w:t>
                  </w:r>
                </w:p>
              </w:tc>
              <w:tc>
                <w:tcPr>
                  <w:tcW w:w="424" w:type="pct"/>
                </w:tcPr>
                <w:p w14:paraId="79549D67" w14:textId="77777777" w:rsidR="00F05DC7" w:rsidRDefault="00F05DC7" w:rsidP="00A3786D">
                  <w:pPr>
                    <w:pStyle w:val="TableBodyText"/>
                    <w:ind w:right="28"/>
                  </w:pPr>
                  <w:r>
                    <w:t>2 383</w:t>
                  </w:r>
                </w:p>
              </w:tc>
            </w:tr>
            <w:tr w:rsidR="00F05DC7" w14:paraId="79549D73" w14:textId="77777777" w:rsidTr="00A3786D">
              <w:tc>
                <w:tcPr>
                  <w:tcW w:w="1183" w:type="pct"/>
                </w:tcPr>
                <w:p w14:paraId="79549D69" w14:textId="77777777" w:rsidR="00F05DC7" w:rsidRDefault="00F05DC7" w:rsidP="00A3786D">
                  <w:pPr>
                    <w:pStyle w:val="TableBodyText"/>
                    <w:ind w:left="113"/>
                    <w:jc w:val="left"/>
                  </w:pPr>
                  <w:r>
                    <w:t>Taxable payrolls</w:t>
                  </w:r>
                </w:p>
              </w:tc>
              <w:tc>
                <w:tcPr>
                  <w:tcW w:w="424" w:type="pct"/>
                </w:tcPr>
                <w:p w14:paraId="79549D6A" w14:textId="77777777" w:rsidR="00F05DC7" w:rsidRDefault="00F05DC7" w:rsidP="00A3786D">
                  <w:pPr>
                    <w:pStyle w:val="TableBodyText"/>
                  </w:pPr>
                  <w:r>
                    <w:noBreakHyphen/>
                    <w:t>536</w:t>
                  </w:r>
                </w:p>
              </w:tc>
              <w:tc>
                <w:tcPr>
                  <w:tcW w:w="424" w:type="pct"/>
                </w:tcPr>
                <w:p w14:paraId="79549D6B" w14:textId="77777777" w:rsidR="00F05DC7" w:rsidRDefault="00F05DC7" w:rsidP="00A3786D">
                  <w:pPr>
                    <w:pStyle w:val="TableBodyText"/>
                  </w:pPr>
                  <w:r>
                    <w:t>423</w:t>
                  </w:r>
                </w:p>
              </w:tc>
              <w:tc>
                <w:tcPr>
                  <w:tcW w:w="424" w:type="pct"/>
                </w:tcPr>
                <w:p w14:paraId="79549D6C" w14:textId="77777777" w:rsidR="00F05DC7" w:rsidRDefault="00F05DC7" w:rsidP="00A3786D">
                  <w:pPr>
                    <w:pStyle w:val="TableBodyText"/>
                    <w:ind w:right="28"/>
                  </w:pPr>
                  <w:r>
                    <w:t>478</w:t>
                  </w:r>
                </w:p>
              </w:tc>
              <w:tc>
                <w:tcPr>
                  <w:tcW w:w="424" w:type="pct"/>
                </w:tcPr>
                <w:p w14:paraId="79549D6D" w14:textId="77777777" w:rsidR="00F05DC7" w:rsidRDefault="00F05DC7" w:rsidP="00A3786D">
                  <w:pPr>
                    <w:pStyle w:val="TableBodyText"/>
                    <w:ind w:right="28"/>
                  </w:pPr>
                  <w:r>
                    <w:noBreakHyphen/>
                    <w:t>993</w:t>
                  </w:r>
                </w:p>
              </w:tc>
              <w:tc>
                <w:tcPr>
                  <w:tcW w:w="424" w:type="pct"/>
                </w:tcPr>
                <w:p w14:paraId="79549D6E" w14:textId="77777777" w:rsidR="00F05DC7" w:rsidRDefault="00F05DC7" w:rsidP="00A3786D">
                  <w:pPr>
                    <w:pStyle w:val="TableBodyText"/>
                    <w:ind w:right="28"/>
                  </w:pPr>
                  <w:r>
                    <w:t>466</w:t>
                  </w:r>
                </w:p>
              </w:tc>
              <w:tc>
                <w:tcPr>
                  <w:tcW w:w="424" w:type="pct"/>
                </w:tcPr>
                <w:p w14:paraId="79549D6F" w14:textId="77777777" w:rsidR="00F05DC7" w:rsidRDefault="00F05DC7" w:rsidP="00A3786D">
                  <w:pPr>
                    <w:pStyle w:val="TableBodyText"/>
                    <w:ind w:right="28"/>
                  </w:pPr>
                  <w:r>
                    <w:t>200</w:t>
                  </w:r>
                </w:p>
              </w:tc>
              <w:tc>
                <w:tcPr>
                  <w:tcW w:w="424" w:type="pct"/>
                </w:tcPr>
                <w:p w14:paraId="79549D70" w14:textId="77777777" w:rsidR="00F05DC7" w:rsidRDefault="00F05DC7" w:rsidP="00A3786D">
                  <w:pPr>
                    <w:pStyle w:val="TableBodyText"/>
                    <w:ind w:right="28"/>
                  </w:pPr>
                  <w:r>
                    <w:t>7</w:t>
                  </w:r>
                </w:p>
              </w:tc>
              <w:tc>
                <w:tcPr>
                  <w:tcW w:w="424" w:type="pct"/>
                </w:tcPr>
                <w:p w14:paraId="79549D71" w14:textId="77777777" w:rsidR="00F05DC7" w:rsidRDefault="00F05DC7" w:rsidP="00A3786D">
                  <w:pPr>
                    <w:pStyle w:val="TableBodyText"/>
                    <w:ind w:right="28"/>
                  </w:pPr>
                  <w:r>
                    <w:noBreakHyphen/>
                    <w:t>46</w:t>
                  </w:r>
                </w:p>
              </w:tc>
              <w:tc>
                <w:tcPr>
                  <w:tcW w:w="424" w:type="pct"/>
                </w:tcPr>
                <w:p w14:paraId="79549D72" w14:textId="77777777" w:rsidR="00F05DC7" w:rsidRDefault="00F05DC7" w:rsidP="00A3786D">
                  <w:pPr>
                    <w:pStyle w:val="TableBodyText"/>
                    <w:ind w:right="28"/>
                  </w:pPr>
                  <w:r>
                    <w:t>1 575</w:t>
                  </w:r>
                </w:p>
              </w:tc>
            </w:tr>
            <w:tr w:rsidR="00F05DC7" w14:paraId="79549D7E" w14:textId="77777777" w:rsidTr="00A3786D">
              <w:tc>
                <w:tcPr>
                  <w:tcW w:w="1183" w:type="pct"/>
                </w:tcPr>
                <w:p w14:paraId="79549D74" w14:textId="77777777" w:rsidR="00F05DC7" w:rsidRDefault="00F05DC7" w:rsidP="00A3786D">
                  <w:pPr>
                    <w:pStyle w:val="TableBodyText"/>
                    <w:ind w:left="113"/>
                    <w:jc w:val="left"/>
                  </w:pPr>
                  <w:r>
                    <w:t>Taxable land values</w:t>
                  </w:r>
                </w:p>
              </w:tc>
              <w:tc>
                <w:tcPr>
                  <w:tcW w:w="424" w:type="pct"/>
                </w:tcPr>
                <w:p w14:paraId="79549D75" w14:textId="77777777" w:rsidR="00F05DC7" w:rsidRDefault="00F05DC7" w:rsidP="00A3786D">
                  <w:pPr>
                    <w:pStyle w:val="TableBodyText"/>
                  </w:pPr>
                  <w:r>
                    <w:noBreakHyphen/>
                    <w:t>449</w:t>
                  </w:r>
                </w:p>
              </w:tc>
              <w:tc>
                <w:tcPr>
                  <w:tcW w:w="424" w:type="pct"/>
                </w:tcPr>
                <w:p w14:paraId="79549D76" w14:textId="77777777" w:rsidR="00F05DC7" w:rsidRDefault="00F05DC7" w:rsidP="00A3786D">
                  <w:pPr>
                    <w:pStyle w:val="TableBodyText"/>
                  </w:pPr>
                  <w:r>
                    <w:noBreakHyphen/>
                    <w:t>234</w:t>
                  </w:r>
                </w:p>
              </w:tc>
              <w:tc>
                <w:tcPr>
                  <w:tcW w:w="424" w:type="pct"/>
                </w:tcPr>
                <w:p w14:paraId="79549D77" w14:textId="77777777" w:rsidR="00F05DC7" w:rsidRDefault="00F05DC7" w:rsidP="00A3786D">
                  <w:pPr>
                    <w:pStyle w:val="TableBodyText"/>
                    <w:ind w:right="28"/>
                  </w:pPr>
                  <w:r>
                    <w:t>406</w:t>
                  </w:r>
                </w:p>
              </w:tc>
              <w:tc>
                <w:tcPr>
                  <w:tcW w:w="424" w:type="pct"/>
                </w:tcPr>
                <w:p w14:paraId="79549D78" w14:textId="77777777" w:rsidR="00F05DC7" w:rsidRDefault="00F05DC7" w:rsidP="00A3786D">
                  <w:pPr>
                    <w:pStyle w:val="TableBodyText"/>
                    <w:ind w:right="28"/>
                  </w:pPr>
                  <w:r>
                    <w:noBreakHyphen/>
                    <w:t>173</w:t>
                  </w:r>
                </w:p>
              </w:tc>
              <w:tc>
                <w:tcPr>
                  <w:tcW w:w="424" w:type="pct"/>
                </w:tcPr>
                <w:p w14:paraId="79549D79" w14:textId="77777777" w:rsidR="00F05DC7" w:rsidRDefault="00F05DC7" w:rsidP="00A3786D">
                  <w:pPr>
                    <w:pStyle w:val="TableBodyText"/>
                    <w:ind w:right="28"/>
                  </w:pPr>
                  <w:r>
                    <w:t>266</w:t>
                  </w:r>
                </w:p>
              </w:tc>
              <w:tc>
                <w:tcPr>
                  <w:tcW w:w="424" w:type="pct"/>
                </w:tcPr>
                <w:p w14:paraId="79549D7A" w14:textId="77777777" w:rsidR="00F05DC7" w:rsidRDefault="00F05DC7" w:rsidP="00A3786D">
                  <w:pPr>
                    <w:pStyle w:val="TableBodyText"/>
                    <w:ind w:right="28"/>
                  </w:pPr>
                  <w:r>
                    <w:t>95</w:t>
                  </w:r>
                </w:p>
              </w:tc>
              <w:tc>
                <w:tcPr>
                  <w:tcW w:w="424" w:type="pct"/>
                </w:tcPr>
                <w:p w14:paraId="79549D7B" w14:textId="77777777" w:rsidR="00F05DC7" w:rsidRDefault="00F05DC7" w:rsidP="00A3786D">
                  <w:pPr>
                    <w:pStyle w:val="TableBodyText"/>
                    <w:ind w:right="28"/>
                  </w:pPr>
                  <w:r>
                    <w:t>64</w:t>
                  </w:r>
                </w:p>
              </w:tc>
              <w:tc>
                <w:tcPr>
                  <w:tcW w:w="424" w:type="pct"/>
                </w:tcPr>
                <w:p w14:paraId="79549D7C" w14:textId="77777777" w:rsidR="00F05DC7" w:rsidRDefault="00F05DC7" w:rsidP="00A3786D">
                  <w:pPr>
                    <w:pStyle w:val="TableBodyText"/>
                    <w:ind w:right="28"/>
                  </w:pPr>
                  <w:r>
                    <w:t>25</w:t>
                  </w:r>
                </w:p>
              </w:tc>
              <w:tc>
                <w:tcPr>
                  <w:tcW w:w="424" w:type="pct"/>
                </w:tcPr>
                <w:p w14:paraId="79549D7D" w14:textId="77777777" w:rsidR="00F05DC7" w:rsidRDefault="00F05DC7" w:rsidP="00A3786D">
                  <w:pPr>
                    <w:pStyle w:val="TableBodyText"/>
                    <w:ind w:right="28"/>
                  </w:pPr>
                  <w:r>
                    <w:t>857</w:t>
                  </w:r>
                </w:p>
              </w:tc>
            </w:tr>
            <w:tr w:rsidR="00F05DC7" w14:paraId="79549D89" w14:textId="77777777" w:rsidTr="00A3786D">
              <w:tc>
                <w:tcPr>
                  <w:tcW w:w="1183" w:type="pct"/>
                </w:tcPr>
                <w:p w14:paraId="79549D7F" w14:textId="77777777" w:rsidR="00F05DC7" w:rsidRDefault="00F05DC7" w:rsidP="00A3786D">
                  <w:pPr>
                    <w:pStyle w:val="TableBodyText"/>
                    <w:ind w:left="113"/>
                    <w:jc w:val="left"/>
                  </w:pPr>
                  <w:r>
                    <w:t>Other revenue</w:t>
                  </w:r>
                </w:p>
              </w:tc>
              <w:tc>
                <w:tcPr>
                  <w:tcW w:w="424" w:type="pct"/>
                  <w:tcBorders>
                    <w:bottom w:val="single" w:sz="4" w:space="0" w:color="BFBFBF"/>
                  </w:tcBorders>
                </w:tcPr>
                <w:p w14:paraId="79549D80" w14:textId="77777777" w:rsidR="00F05DC7" w:rsidRDefault="00F05DC7" w:rsidP="00A3786D">
                  <w:pPr>
                    <w:pStyle w:val="TableBodyText"/>
                  </w:pPr>
                  <w:r>
                    <w:t>193</w:t>
                  </w:r>
                </w:p>
              </w:tc>
              <w:tc>
                <w:tcPr>
                  <w:tcW w:w="424" w:type="pct"/>
                  <w:tcBorders>
                    <w:bottom w:val="single" w:sz="4" w:space="0" w:color="BFBFBF"/>
                  </w:tcBorders>
                </w:tcPr>
                <w:p w14:paraId="79549D81" w14:textId="77777777" w:rsidR="00F05DC7" w:rsidRDefault="00F05DC7" w:rsidP="00A3786D">
                  <w:pPr>
                    <w:pStyle w:val="TableBodyText"/>
                  </w:pPr>
                  <w:r>
                    <w:t>124</w:t>
                  </w:r>
                </w:p>
              </w:tc>
              <w:tc>
                <w:tcPr>
                  <w:tcW w:w="424" w:type="pct"/>
                  <w:tcBorders>
                    <w:bottom w:val="single" w:sz="4" w:space="0" w:color="BFBFBF"/>
                  </w:tcBorders>
                </w:tcPr>
                <w:p w14:paraId="79549D82" w14:textId="77777777" w:rsidR="00F05DC7" w:rsidRDefault="00F05DC7" w:rsidP="00A3786D">
                  <w:pPr>
                    <w:pStyle w:val="TableBodyText"/>
                    <w:ind w:right="28"/>
                  </w:pPr>
                  <w:r>
                    <w:noBreakHyphen/>
                    <w:t>85</w:t>
                  </w:r>
                </w:p>
              </w:tc>
              <w:tc>
                <w:tcPr>
                  <w:tcW w:w="424" w:type="pct"/>
                  <w:tcBorders>
                    <w:bottom w:val="single" w:sz="4" w:space="0" w:color="BFBFBF"/>
                  </w:tcBorders>
                </w:tcPr>
                <w:p w14:paraId="79549D83" w14:textId="77777777" w:rsidR="00F05DC7" w:rsidRDefault="00F05DC7" w:rsidP="00A3786D">
                  <w:pPr>
                    <w:pStyle w:val="TableBodyText"/>
                    <w:ind w:right="28"/>
                  </w:pPr>
                  <w:r>
                    <w:noBreakHyphen/>
                    <w:t>231</w:t>
                  </w:r>
                </w:p>
              </w:tc>
              <w:tc>
                <w:tcPr>
                  <w:tcW w:w="424" w:type="pct"/>
                  <w:tcBorders>
                    <w:bottom w:val="single" w:sz="4" w:space="0" w:color="BFBFBF"/>
                  </w:tcBorders>
                </w:tcPr>
                <w:p w14:paraId="79549D84" w14:textId="77777777" w:rsidR="00F05DC7" w:rsidRDefault="00F05DC7" w:rsidP="00A3786D">
                  <w:pPr>
                    <w:pStyle w:val="TableBodyText"/>
                    <w:ind w:right="28"/>
                  </w:pPr>
                  <w:r>
                    <w:noBreakHyphen/>
                    <w:t>46</w:t>
                  </w:r>
                </w:p>
              </w:tc>
              <w:tc>
                <w:tcPr>
                  <w:tcW w:w="424" w:type="pct"/>
                  <w:tcBorders>
                    <w:bottom w:val="single" w:sz="4" w:space="0" w:color="BFBFBF"/>
                  </w:tcBorders>
                </w:tcPr>
                <w:p w14:paraId="79549D85" w14:textId="77777777" w:rsidR="00F05DC7" w:rsidRDefault="00F05DC7" w:rsidP="00A3786D">
                  <w:pPr>
                    <w:pStyle w:val="TableBodyText"/>
                    <w:ind w:right="28"/>
                  </w:pPr>
                  <w:r>
                    <w:t>3</w:t>
                  </w:r>
                </w:p>
              </w:tc>
              <w:tc>
                <w:tcPr>
                  <w:tcW w:w="424" w:type="pct"/>
                  <w:tcBorders>
                    <w:bottom w:val="single" w:sz="4" w:space="0" w:color="BFBFBF"/>
                  </w:tcBorders>
                </w:tcPr>
                <w:p w14:paraId="79549D86" w14:textId="77777777" w:rsidR="00F05DC7" w:rsidRDefault="00F05DC7" w:rsidP="00A3786D">
                  <w:pPr>
                    <w:pStyle w:val="TableBodyText"/>
                    <w:ind w:right="28"/>
                  </w:pPr>
                  <w:r>
                    <w:t>35</w:t>
                  </w:r>
                </w:p>
              </w:tc>
              <w:tc>
                <w:tcPr>
                  <w:tcW w:w="424" w:type="pct"/>
                  <w:tcBorders>
                    <w:bottom w:val="single" w:sz="4" w:space="0" w:color="BFBFBF"/>
                  </w:tcBorders>
                </w:tcPr>
                <w:p w14:paraId="79549D87" w14:textId="77777777" w:rsidR="00F05DC7" w:rsidRDefault="00F05DC7" w:rsidP="00A3786D">
                  <w:pPr>
                    <w:pStyle w:val="TableBodyText"/>
                    <w:ind w:right="28"/>
                  </w:pPr>
                  <w:r>
                    <w:t>6</w:t>
                  </w:r>
                </w:p>
              </w:tc>
              <w:tc>
                <w:tcPr>
                  <w:tcW w:w="424" w:type="pct"/>
                  <w:tcBorders>
                    <w:bottom w:val="single" w:sz="4" w:space="0" w:color="BFBFBF"/>
                  </w:tcBorders>
                </w:tcPr>
                <w:p w14:paraId="79549D88" w14:textId="77777777" w:rsidR="00F05DC7" w:rsidRDefault="00F05DC7" w:rsidP="00A3786D">
                  <w:pPr>
                    <w:pStyle w:val="TableBodyText"/>
                    <w:ind w:right="28"/>
                  </w:pPr>
                  <w:r>
                    <w:t>362</w:t>
                  </w:r>
                </w:p>
              </w:tc>
            </w:tr>
            <w:tr w:rsidR="00F05DC7" w14:paraId="79549D94" w14:textId="77777777" w:rsidTr="00A3786D">
              <w:tc>
                <w:tcPr>
                  <w:tcW w:w="1183" w:type="pct"/>
                </w:tcPr>
                <w:p w14:paraId="79549D8A" w14:textId="77777777" w:rsidR="00F05DC7" w:rsidRDefault="00F05DC7" w:rsidP="00A3786D">
                  <w:pPr>
                    <w:pStyle w:val="TableBodyText"/>
                    <w:spacing w:after="80"/>
                    <w:jc w:val="left"/>
                  </w:pPr>
                  <w:r>
                    <w:t>Total revenue</w:t>
                  </w:r>
                </w:p>
              </w:tc>
              <w:tc>
                <w:tcPr>
                  <w:tcW w:w="424" w:type="pct"/>
                  <w:tcBorders>
                    <w:top w:val="single" w:sz="4" w:space="0" w:color="BFBFBF"/>
                  </w:tcBorders>
                </w:tcPr>
                <w:p w14:paraId="79549D8B" w14:textId="77777777" w:rsidR="00F05DC7" w:rsidRDefault="00F05DC7" w:rsidP="00A3786D">
                  <w:pPr>
                    <w:pStyle w:val="TableBodyText"/>
                    <w:spacing w:after="80"/>
                  </w:pPr>
                  <w:r>
                    <w:noBreakHyphen/>
                    <w:t>956</w:t>
                  </w:r>
                </w:p>
              </w:tc>
              <w:tc>
                <w:tcPr>
                  <w:tcW w:w="424" w:type="pct"/>
                  <w:tcBorders>
                    <w:top w:val="single" w:sz="4" w:space="0" w:color="BFBFBF"/>
                  </w:tcBorders>
                </w:tcPr>
                <w:p w14:paraId="79549D8C" w14:textId="77777777" w:rsidR="00F05DC7" w:rsidRDefault="00F05DC7" w:rsidP="00A3786D">
                  <w:pPr>
                    <w:pStyle w:val="TableBodyText"/>
                    <w:spacing w:after="80"/>
                  </w:pPr>
                  <w:r>
                    <w:t>2 882</w:t>
                  </w:r>
                </w:p>
              </w:tc>
              <w:tc>
                <w:tcPr>
                  <w:tcW w:w="424" w:type="pct"/>
                  <w:tcBorders>
                    <w:top w:val="single" w:sz="4" w:space="0" w:color="BFBFBF"/>
                  </w:tcBorders>
                </w:tcPr>
                <w:p w14:paraId="79549D8D" w14:textId="77777777" w:rsidR="00F05DC7" w:rsidRDefault="00F05DC7" w:rsidP="00A3786D">
                  <w:pPr>
                    <w:pStyle w:val="TableBodyText"/>
                    <w:spacing w:after="80"/>
                    <w:ind w:right="28"/>
                  </w:pPr>
                  <w:r>
                    <w:t>583</w:t>
                  </w:r>
                </w:p>
              </w:tc>
              <w:tc>
                <w:tcPr>
                  <w:tcW w:w="424" w:type="pct"/>
                  <w:tcBorders>
                    <w:top w:val="single" w:sz="4" w:space="0" w:color="BFBFBF"/>
                  </w:tcBorders>
                </w:tcPr>
                <w:p w14:paraId="79549D8E" w14:textId="77777777" w:rsidR="00F05DC7" w:rsidRDefault="00F05DC7" w:rsidP="00A3786D">
                  <w:pPr>
                    <w:pStyle w:val="TableBodyText"/>
                    <w:spacing w:after="80"/>
                    <w:ind w:right="28"/>
                  </w:pPr>
                  <w:r>
                    <w:noBreakHyphen/>
                    <w:t>5 531</w:t>
                  </w:r>
                </w:p>
              </w:tc>
              <w:tc>
                <w:tcPr>
                  <w:tcW w:w="424" w:type="pct"/>
                  <w:tcBorders>
                    <w:top w:val="single" w:sz="4" w:space="0" w:color="BFBFBF"/>
                  </w:tcBorders>
                </w:tcPr>
                <w:p w14:paraId="79549D8F" w14:textId="77777777" w:rsidR="00F05DC7" w:rsidRDefault="00F05DC7" w:rsidP="00A3786D">
                  <w:pPr>
                    <w:pStyle w:val="TableBodyText"/>
                    <w:spacing w:after="80"/>
                    <w:ind w:right="28"/>
                  </w:pPr>
                  <w:r>
                    <w:t>1 932</w:t>
                  </w:r>
                </w:p>
              </w:tc>
              <w:tc>
                <w:tcPr>
                  <w:tcW w:w="424" w:type="pct"/>
                  <w:tcBorders>
                    <w:top w:val="single" w:sz="4" w:space="0" w:color="BFBFBF"/>
                  </w:tcBorders>
                </w:tcPr>
                <w:p w14:paraId="79549D90" w14:textId="77777777" w:rsidR="00F05DC7" w:rsidRDefault="00F05DC7" w:rsidP="00A3786D">
                  <w:pPr>
                    <w:pStyle w:val="TableBodyText"/>
                    <w:spacing w:after="80"/>
                    <w:ind w:right="28"/>
                  </w:pPr>
                  <w:r>
                    <w:t>717</w:t>
                  </w:r>
                </w:p>
              </w:tc>
              <w:tc>
                <w:tcPr>
                  <w:tcW w:w="424" w:type="pct"/>
                  <w:tcBorders>
                    <w:top w:val="single" w:sz="4" w:space="0" w:color="BFBFBF"/>
                  </w:tcBorders>
                </w:tcPr>
                <w:p w14:paraId="79549D91" w14:textId="77777777" w:rsidR="00F05DC7" w:rsidRDefault="00F05DC7" w:rsidP="00A3786D">
                  <w:pPr>
                    <w:pStyle w:val="TableBodyText"/>
                    <w:spacing w:after="80"/>
                    <w:ind w:right="28"/>
                  </w:pPr>
                  <w:r>
                    <w:t>332</w:t>
                  </w:r>
                </w:p>
              </w:tc>
              <w:tc>
                <w:tcPr>
                  <w:tcW w:w="424" w:type="pct"/>
                  <w:tcBorders>
                    <w:top w:val="single" w:sz="4" w:space="0" w:color="BFBFBF"/>
                  </w:tcBorders>
                </w:tcPr>
                <w:p w14:paraId="79549D92" w14:textId="77777777" w:rsidR="00F05DC7" w:rsidRDefault="00F05DC7" w:rsidP="00A3786D">
                  <w:pPr>
                    <w:pStyle w:val="TableBodyText"/>
                    <w:spacing w:after="80"/>
                    <w:ind w:right="28"/>
                  </w:pPr>
                  <w:r>
                    <w:t>40</w:t>
                  </w:r>
                </w:p>
              </w:tc>
              <w:tc>
                <w:tcPr>
                  <w:tcW w:w="424" w:type="pct"/>
                  <w:tcBorders>
                    <w:top w:val="single" w:sz="4" w:space="0" w:color="BFBFBF"/>
                  </w:tcBorders>
                </w:tcPr>
                <w:p w14:paraId="79549D93" w14:textId="77777777" w:rsidR="00F05DC7" w:rsidRDefault="00F05DC7" w:rsidP="00A3786D">
                  <w:pPr>
                    <w:pStyle w:val="TableBodyText"/>
                    <w:spacing w:after="80"/>
                    <w:ind w:right="28"/>
                  </w:pPr>
                  <w:r>
                    <w:t>6 487</w:t>
                  </w:r>
                </w:p>
              </w:tc>
            </w:tr>
            <w:tr w:rsidR="00F05DC7" w14:paraId="79549D9F" w14:textId="77777777" w:rsidTr="00A3786D">
              <w:tc>
                <w:tcPr>
                  <w:tcW w:w="1183" w:type="pct"/>
                </w:tcPr>
                <w:p w14:paraId="79549D95" w14:textId="77777777" w:rsidR="00F05DC7" w:rsidRPr="00795774" w:rsidRDefault="00F05DC7" w:rsidP="00A3786D">
                  <w:pPr>
                    <w:pStyle w:val="TableBodyText"/>
                    <w:jc w:val="left"/>
                    <w:rPr>
                      <w:i/>
                    </w:rPr>
                  </w:pPr>
                  <w:r w:rsidRPr="00795774">
                    <w:rPr>
                      <w:i/>
                    </w:rPr>
                    <w:t>Expenditure</w:t>
                  </w:r>
                </w:p>
              </w:tc>
              <w:tc>
                <w:tcPr>
                  <w:tcW w:w="424" w:type="pct"/>
                </w:tcPr>
                <w:p w14:paraId="79549D96" w14:textId="77777777" w:rsidR="00F05DC7" w:rsidRDefault="00F05DC7" w:rsidP="00A3786D">
                  <w:pPr>
                    <w:pStyle w:val="TableBodyText"/>
                  </w:pPr>
                </w:p>
              </w:tc>
              <w:tc>
                <w:tcPr>
                  <w:tcW w:w="424" w:type="pct"/>
                </w:tcPr>
                <w:p w14:paraId="79549D97" w14:textId="77777777" w:rsidR="00F05DC7" w:rsidRDefault="00F05DC7" w:rsidP="00A3786D">
                  <w:pPr>
                    <w:pStyle w:val="TableBodyText"/>
                  </w:pPr>
                </w:p>
              </w:tc>
              <w:tc>
                <w:tcPr>
                  <w:tcW w:w="424" w:type="pct"/>
                </w:tcPr>
                <w:p w14:paraId="79549D98" w14:textId="77777777" w:rsidR="00F05DC7" w:rsidRDefault="00F05DC7" w:rsidP="00A3786D">
                  <w:pPr>
                    <w:pStyle w:val="TableBodyText"/>
                    <w:ind w:right="28"/>
                  </w:pPr>
                </w:p>
              </w:tc>
              <w:tc>
                <w:tcPr>
                  <w:tcW w:w="424" w:type="pct"/>
                </w:tcPr>
                <w:p w14:paraId="79549D99" w14:textId="77777777" w:rsidR="00F05DC7" w:rsidRDefault="00F05DC7" w:rsidP="00A3786D">
                  <w:pPr>
                    <w:pStyle w:val="TableBodyText"/>
                    <w:ind w:right="28"/>
                  </w:pPr>
                </w:p>
              </w:tc>
              <w:tc>
                <w:tcPr>
                  <w:tcW w:w="424" w:type="pct"/>
                </w:tcPr>
                <w:p w14:paraId="79549D9A" w14:textId="77777777" w:rsidR="00F05DC7" w:rsidRDefault="00F05DC7" w:rsidP="00A3786D">
                  <w:pPr>
                    <w:pStyle w:val="TableBodyText"/>
                    <w:ind w:right="28"/>
                  </w:pPr>
                </w:p>
              </w:tc>
              <w:tc>
                <w:tcPr>
                  <w:tcW w:w="424" w:type="pct"/>
                </w:tcPr>
                <w:p w14:paraId="79549D9B" w14:textId="77777777" w:rsidR="00F05DC7" w:rsidRDefault="00F05DC7" w:rsidP="00A3786D">
                  <w:pPr>
                    <w:pStyle w:val="TableBodyText"/>
                    <w:ind w:right="28"/>
                  </w:pPr>
                </w:p>
              </w:tc>
              <w:tc>
                <w:tcPr>
                  <w:tcW w:w="424" w:type="pct"/>
                </w:tcPr>
                <w:p w14:paraId="79549D9C" w14:textId="77777777" w:rsidR="00F05DC7" w:rsidRDefault="00F05DC7" w:rsidP="00A3786D">
                  <w:pPr>
                    <w:pStyle w:val="TableBodyText"/>
                    <w:ind w:right="28"/>
                  </w:pPr>
                </w:p>
              </w:tc>
              <w:tc>
                <w:tcPr>
                  <w:tcW w:w="424" w:type="pct"/>
                </w:tcPr>
                <w:p w14:paraId="79549D9D" w14:textId="77777777" w:rsidR="00F05DC7" w:rsidRDefault="00F05DC7" w:rsidP="00A3786D">
                  <w:pPr>
                    <w:pStyle w:val="TableBodyText"/>
                    <w:ind w:right="28"/>
                  </w:pPr>
                </w:p>
              </w:tc>
              <w:tc>
                <w:tcPr>
                  <w:tcW w:w="424" w:type="pct"/>
                </w:tcPr>
                <w:p w14:paraId="79549D9E" w14:textId="77777777" w:rsidR="00F05DC7" w:rsidRDefault="00F05DC7" w:rsidP="00A3786D">
                  <w:pPr>
                    <w:pStyle w:val="TableBodyText"/>
                    <w:ind w:right="28"/>
                  </w:pPr>
                </w:p>
              </w:tc>
            </w:tr>
            <w:tr w:rsidR="00F05DC7" w14:paraId="79549DAA" w14:textId="77777777" w:rsidTr="00A3786D">
              <w:tc>
                <w:tcPr>
                  <w:tcW w:w="1183" w:type="pct"/>
                </w:tcPr>
                <w:p w14:paraId="79549DA0" w14:textId="77777777" w:rsidR="00F05DC7" w:rsidRDefault="00F05DC7" w:rsidP="00A3786D">
                  <w:pPr>
                    <w:pStyle w:val="TableBodyText"/>
                    <w:ind w:left="113"/>
                    <w:jc w:val="left"/>
                  </w:pPr>
                  <w:r>
                    <w:t>Socio</w:t>
                  </w:r>
                  <w:r>
                    <w:noBreakHyphen/>
                    <w:t>demographic characteristics</w:t>
                  </w:r>
                </w:p>
              </w:tc>
              <w:tc>
                <w:tcPr>
                  <w:tcW w:w="424" w:type="pct"/>
                </w:tcPr>
                <w:p w14:paraId="79549DA1" w14:textId="77777777" w:rsidR="00F05DC7" w:rsidRDefault="00F05DC7" w:rsidP="00A3786D">
                  <w:pPr>
                    <w:pStyle w:val="TableBodyText"/>
                  </w:pPr>
                  <w:r>
                    <w:noBreakHyphen/>
                    <w:t>1 099</w:t>
                  </w:r>
                </w:p>
              </w:tc>
              <w:tc>
                <w:tcPr>
                  <w:tcW w:w="424" w:type="pct"/>
                </w:tcPr>
                <w:p w14:paraId="79549DA2" w14:textId="77777777" w:rsidR="00F05DC7" w:rsidRDefault="00F05DC7" w:rsidP="00A3786D">
                  <w:pPr>
                    <w:pStyle w:val="TableBodyText"/>
                  </w:pPr>
                  <w:r>
                    <w:noBreakHyphen/>
                    <w:t>3 393</w:t>
                  </w:r>
                </w:p>
              </w:tc>
              <w:tc>
                <w:tcPr>
                  <w:tcW w:w="424" w:type="pct"/>
                </w:tcPr>
                <w:p w14:paraId="79549DA3" w14:textId="77777777" w:rsidR="00F05DC7" w:rsidRDefault="00F05DC7" w:rsidP="00A3786D">
                  <w:pPr>
                    <w:pStyle w:val="TableBodyText"/>
                    <w:ind w:right="28"/>
                  </w:pPr>
                  <w:r>
                    <w:t>1 853</w:t>
                  </w:r>
                </w:p>
              </w:tc>
              <w:tc>
                <w:tcPr>
                  <w:tcW w:w="424" w:type="pct"/>
                </w:tcPr>
                <w:p w14:paraId="79549DA4" w14:textId="77777777" w:rsidR="00F05DC7" w:rsidRDefault="00F05DC7" w:rsidP="00A3786D">
                  <w:pPr>
                    <w:pStyle w:val="TableBodyText"/>
                    <w:ind w:right="28"/>
                  </w:pPr>
                  <w:r>
                    <w:t>478</w:t>
                  </w:r>
                </w:p>
              </w:tc>
              <w:tc>
                <w:tcPr>
                  <w:tcW w:w="424" w:type="pct"/>
                </w:tcPr>
                <w:p w14:paraId="79549DA5" w14:textId="77777777" w:rsidR="00F05DC7" w:rsidRDefault="00F05DC7" w:rsidP="00A3786D">
                  <w:pPr>
                    <w:pStyle w:val="TableBodyText"/>
                    <w:ind w:right="28"/>
                  </w:pPr>
                  <w:r>
                    <w:t>509</w:t>
                  </w:r>
                </w:p>
              </w:tc>
              <w:tc>
                <w:tcPr>
                  <w:tcW w:w="424" w:type="pct"/>
                </w:tcPr>
                <w:p w14:paraId="79549DA6" w14:textId="77777777" w:rsidR="00F05DC7" w:rsidRDefault="00F05DC7" w:rsidP="00A3786D">
                  <w:pPr>
                    <w:pStyle w:val="TableBodyText"/>
                    <w:ind w:right="28"/>
                  </w:pPr>
                  <w:r>
                    <w:t>599</w:t>
                  </w:r>
                </w:p>
              </w:tc>
              <w:tc>
                <w:tcPr>
                  <w:tcW w:w="424" w:type="pct"/>
                </w:tcPr>
                <w:p w14:paraId="79549DA7" w14:textId="77777777" w:rsidR="00F05DC7" w:rsidRDefault="00F05DC7" w:rsidP="00A3786D">
                  <w:pPr>
                    <w:pStyle w:val="TableBodyText"/>
                    <w:ind w:right="28"/>
                  </w:pPr>
                  <w:r>
                    <w:noBreakHyphen/>
                    <w:t>433</w:t>
                  </w:r>
                </w:p>
              </w:tc>
              <w:tc>
                <w:tcPr>
                  <w:tcW w:w="424" w:type="pct"/>
                </w:tcPr>
                <w:p w14:paraId="79549DA8" w14:textId="77777777" w:rsidR="00F05DC7" w:rsidRDefault="00F05DC7" w:rsidP="00A3786D">
                  <w:pPr>
                    <w:pStyle w:val="TableBodyText"/>
                    <w:ind w:right="28"/>
                  </w:pPr>
                  <w:r>
                    <w:t>1 487</w:t>
                  </w:r>
                </w:p>
              </w:tc>
              <w:tc>
                <w:tcPr>
                  <w:tcW w:w="424" w:type="pct"/>
                </w:tcPr>
                <w:p w14:paraId="79549DA9" w14:textId="77777777" w:rsidR="00F05DC7" w:rsidRDefault="00F05DC7" w:rsidP="00A3786D">
                  <w:pPr>
                    <w:pStyle w:val="TableBodyText"/>
                    <w:ind w:right="28"/>
                  </w:pPr>
                  <w:r>
                    <w:t>4 925</w:t>
                  </w:r>
                </w:p>
              </w:tc>
            </w:tr>
            <w:tr w:rsidR="00F05DC7" w14:paraId="79549DB5" w14:textId="77777777" w:rsidTr="00A3786D">
              <w:tc>
                <w:tcPr>
                  <w:tcW w:w="1183" w:type="pct"/>
                </w:tcPr>
                <w:p w14:paraId="79549DAB" w14:textId="77777777" w:rsidR="00F05DC7" w:rsidRDefault="00F05DC7" w:rsidP="00A3786D">
                  <w:pPr>
                    <w:pStyle w:val="TableBodyText"/>
                    <w:ind w:left="113"/>
                    <w:jc w:val="left"/>
                  </w:pPr>
                  <w:r>
                    <w:t>Wage costs</w:t>
                  </w:r>
                </w:p>
              </w:tc>
              <w:tc>
                <w:tcPr>
                  <w:tcW w:w="424" w:type="pct"/>
                </w:tcPr>
                <w:p w14:paraId="79549DAC" w14:textId="77777777" w:rsidR="00F05DC7" w:rsidRDefault="00F05DC7" w:rsidP="00A3786D">
                  <w:pPr>
                    <w:pStyle w:val="TableBodyText"/>
                  </w:pPr>
                  <w:r>
                    <w:t>157</w:t>
                  </w:r>
                </w:p>
              </w:tc>
              <w:tc>
                <w:tcPr>
                  <w:tcW w:w="424" w:type="pct"/>
                </w:tcPr>
                <w:p w14:paraId="79549DAD" w14:textId="77777777" w:rsidR="00F05DC7" w:rsidRDefault="00F05DC7" w:rsidP="00A3786D">
                  <w:pPr>
                    <w:pStyle w:val="TableBodyText"/>
                  </w:pPr>
                  <w:r>
                    <w:noBreakHyphen/>
                    <w:t>390</w:t>
                  </w:r>
                </w:p>
              </w:tc>
              <w:tc>
                <w:tcPr>
                  <w:tcW w:w="424" w:type="pct"/>
                </w:tcPr>
                <w:p w14:paraId="79549DAE" w14:textId="77777777" w:rsidR="00F05DC7" w:rsidRDefault="00F05DC7" w:rsidP="00A3786D">
                  <w:pPr>
                    <w:pStyle w:val="TableBodyText"/>
                    <w:ind w:right="28"/>
                  </w:pPr>
                  <w:r>
                    <w:noBreakHyphen/>
                    <w:t>228</w:t>
                  </w:r>
                </w:p>
              </w:tc>
              <w:tc>
                <w:tcPr>
                  <w:tcW w:w="424" w:type="pct"/>
                </w:tcPr>
                <w:p w14:paraId="79549DAF" w14:textId="77777777" w:rsidR="00F05DC7" w:rsidRDefault="00F05DC7" w:rsidP="00A3786D">
                  <w:pPr>
                    <w:pStyle w:val="TableBodyText"/>
                    <w:ind w:right="28"/>
                  </w:pPr>
                  <w:r>
                    <w:t>712</w:t>
                  </w:r>
                </w:p>
              </w:tc>
              <w:tc>
                <w:tcPr>
                  <w:tcW w:w="424" w:type="pct"/>
                </w:tcPr>
                <w:p w14:paraId="79549DB0" w14:textId="77777777" w:rsidR="00F05DC7" w:rsidRDefault="00F05DC7" w:rsidP="00A3786D">
                  <w:pPr>
                    <w:pStyle w:val="TableBodyText"/>
                    <w:ind w:right="28"/>
                  </w:pPr>
                  <w:r>
                    <w:noBreakHyphen/>
                    <w:t>242</w:t>
                  </w:r>
                </w:p>
              </w:tc>
              <w:tc>
                <w:tcPr>
                  <w:tcW w:w="424" w:type="pct"/>
                </w:tcPr>
                <w:p w14:paraId="79549DB1" w14:textId="77777777" w:rsidR="00F05DC7" w:rsidRDefault="00F05DC7" w:rsidP="00A3786D">
                  <w:pPr>
                    <w:pStyle w:val="TableBodyText"/>
                    <w:ind w:right="28"/>
                  </w:pPr>
                  <w:r>
                    <w:noBreakHyphen/>
                    <w:t>188</w:t>
                  </w:r>
                </w:p>
              </w:tc>
              <w:tc>
                <w:tcPr>
                  <w:tcW w:w="424" w:type="pct"/>
                </w:tcPr>
                <w:p w14:paraId="79549DB2" w14:textId="77777777" w:rsidR="00F05DC7" w:rsidRDefault="00F05DC7" w:rsidP="00A3786D">
                  <w:pPr>
                    <w:pStyle w:val="TableBodyText"/>
                    <w:ind w:right="28"/>
                  </w:pPr>
                  <w:r>
                    <w:t>100</w:t>
                  </w:r>
                </w:p>
              </w:tc>
              <w:tc>
                <w:tcPr>
                  <w:tcW w:w="424" w:type="pct"/>
                </w:tcPr>
                <w:p w14:paraId="79549DB3" w14:textId="77777777" w:rsidR="00F05DC7" w:rsidRDefault="00F05DC7" w:rsidP="00A3786D">
                  <w:pPr>
                    <w:pStyle w:val="TableBodyText"/>
                    <w:ind w:right="28"/>
                  </w:pPr>
                  <w:r>
                    <w:t>79</w:t>
                  </w:r>
                </w:p>
              </w:tc>
              <w:tc>
                <w:tcPr>
                  <w:tcW w:w="424" w:type="pct"/>
                </w:tcPr>
                <w:p w14:paraId="79549DB4" w14:textId="77777777" w:rsidR="00F05DC7" w:rsidRDefault="00F05DC7" w:rsidP="00A3786D">
                  <w:pPr>
                    <w:pStyle w:val="TableBodyText"/>
                    <w:ind w:right="28"/>
                  </w:pPr>
                  <w:r>
                    <w:t>1 048</w:t>
                  </w:r>
                </w:p>
              </w:tc>
            </w:tr>
            <w:tr w:rsidR="00F05DC7" w14:paraId="79549DC0" w14:textId="77777777" w:rsidTr="00A3786D">
              <w:tc>
                <w:tcPr>
                  <w:tcW w:w="1183" w:type="pct"/>
                </w:tcPr>
                <w:p w14:paraId="79549DB6" w14:textId="77777777" w:rsidR="00F05DC7" w:rsidRDefault="00F05DC7" w:rsidP="00A3786D">
                  <w:pPr>
                    <w:pStyle w:val="TableBodyText"/>
                    <w:ind w:left="113"/>
                    <w:jc w:val="left"/>
                  </w:pPr>
                  <w:r>
                    <w:t>Urban centre size</w:t>
                  </w:r>
                </w:p>
              </w:tc>
              <w:tc>
                <w:tcPr>
                  <w:tcW w:w="424" w:type="pct"/>
                </w:tcPr>
                <w:p w14:paraId="79549DB7" w14:textId="77777777" w:rsidR="00F05DC7" w:rsidRDefault="00F05DC7" w:rsidP="00A3786D">
                  <w:pPr>
                    <w:pStyle w:val="TableBodyText"/>
                  </w:pPr>
                  <w:r>
                    <w:t>258</w:t>
                  </w:r>
                </w:p>
              </w:tc>
              <w:tc>
                <w:tcPr>
                  <w:tcW w:w="424" w:type="pct"/>
                </w:tcPr>
                <w:p w14:paraId="79549DB8" w14:textId="77777777" w:rsidR="00F05DC7" w:rsidRDefault="00F05DC7" w:rsidP="00A3786D">
                  <w:pPr>
                    <w:pStyle w:val="TableBodyText"/>
                  </w:pPr>
                  <w:r>
                    <w:t>700</w:t>
                  </w:r>
                </w:p>
              </w:tc>
              <w:tc>
                <w:tcPr>
                  <w:tcW w:w="424" w:type="pct"/>
                </w:tcPr>
                <w:p w14:paraId="79549DB9" w14:textId="77777777" w:rsidR="00F05DC7" w:rsidRDefault="00F05DC7" w:rsidP="00A3786D">
                  <w:pPr>
                    <w:pStyle w:val="TableBodyText"/>
                    <w:ind w:right="28"/>
                  </w:pPr>
                  <w:r>
                    <w:noBreakHyphen/>
                    <w:t>495</w:t>
                  </w:r>
                </w:p>
              </w:tc>
              <w:tc>
                <w:tcPr>
                  <w:tcW w:w="424" w:type="pct"/>
                </w:tcPr>
                <w:p w14:paraId="79549DBA" w14:textId="77777777" w:rsidR="00F05DC7" w:rsidRDefault="00F05DC7" w:rsidP="00A3786D">
                  <w:pPr>
                    <w:pStyle w:val="TableBodyText"/>
                    <w:ind w:right="28"/>
                  </w:pPr>
                  <w:r>
                    <w:t>22</w:t>
                  </w:r>
                </w:p>
              </w:tc>
              <w:tc>
                <w:tcPr>
                  <w:tcW w:w="424" w:type="pct"/>
                </w:tcPr>
                <w:p w14:paraId="79549DBB" w14:textId="77777777" w:rsidR="00F05DC7" w:rsidRDefault="00F05DC7" w:rsidP="00A3786D">
                  <w:pPr>
                    <w:pStyle w:val="TableBodyText"/>
                    <w:ind w:right="28"/>
                  </w:pPr>
                  <w:r>
                    <w:noBreakHyphen/>
                    <w:t>112</w:t>
                  </w:r>
                </w:p>
              </w:tc>
              <w:tc>
                <w:tcPr>
                  <w:tcW w:w="424" w:type="pct"/>
                </w:tcPr>
                <w:p w14:paraId="79549DBC" w14:textId="77777777" w:rsidR="00F05DC7" w:rsidRDefault="00F05DC7" w:rsidP="00A3786D">
                  <w:pPr>
                    <w:pStyle w:val="TableBodyText"/>
                    <w:ind w:right="28"/>
                  </w:pPr>
                  <w:r>
                    <w:noBreakHyphen/>
                    <w:t>216</w:t>
                  </w:r>
                </w:p>
              </w:tc>
              <w:tc>
                <w:tcPr>
                  <w:tcW w:w="424" w:type="pct"/>
                </w:tcPr>
                <w:p w14:paraId="79549DBD" w14:textId="77777777" w:rsidR="00F05DC7" w:rsidRDefault="00F05DC7" w:rsidP="00A3786D">
                  <w:pPr>
                    <w:pStyle w:val="TableBodyText"/>
                    <w:ind w:right="28"/>
                  </w:pPr>
                  <w:r>
                    <w:noBreakHyphen/>
                    <w:t>50</w:t>
                  </w:r>
                </w:p>
              </w:tc>
              <w:tc>
                <w:tcPr>
                  <w:tcW w:w="424" w:type="pct"/>
                </w:tcPr>
                <w:p w14:paraId="79549DBE" w14:textId="77777777" w:rsidR="00F05DC7" w:rsidRDefault="00F05DC7" w:rsidP="00A3786D">
                  <w:pPr>
                    <w:pStyle w:val="TableBodyText"/>
                    <w:ind w:right="28"/>
                  </w:pPr>
                  <w:r>
                    <w:noBreakHyphen/>
                    <w:t>107</w:t>
                  </w:r>
                </w:p>
              </w:tc>
              <w:tc>
                <w:tcPr>
                  <w:tcW w:w="424" w:type="pct"/>
                </w:tcPr>
                <w:p w14:paraId="79549DBF" w14:textId="77777777" w:rsidR="00F05DC7" w:rsidRDefault="00F05DC7" w:rsidP="00A3786D">
                  <w:pPr>
                    <w:pStyle w:val="TableBodyText"/>
                    <w:ind w:right="28"/>
                  </w:pPr>
                  <w:r>
                    <w:t>980</w:t>
                  </w:r>
                </w:p>
              </w:tc>
            </w:tr>
            <w:tr w:rsidR="00F05DC7" w14:paraId="79549DCB" w14:textId="77777777" w:rsidTr="00A3786D">
              <w:tc>
                <w:tcPr>
                  <w:tcW w:w="1183" w:type="pct"/>
                </w:tcPr>
                <w:p w14:paraId="79549DC1" w14:textId="77777777" w:rsidR="00F05DC7" w:rsidRDefault="00F05DC7" w:rsidP="00A3786D">
                  <w:pPr>
                    <w:pStyle w:val="TableBodyText"/>
                    <w:ind w:left="113"/>
                    <w:jc w:val="left"/>
                  </w:pPr>
                  <w:r>
                    <w:t>Administrative scale</w:t>
                  </w:r>
                </w:p>
              </w:tc>
              <w:tc>
                <w:tcPr>
                  <w:tcW w:w="424" w:type="pct"/>
                </w:tcPr>
                <w:p w14:paraId="79549DC2" w14:textId="77777777" w:rsidR="00F05DC7" w:rsidRDefault="00F05DC7" w:rsidP="00A3786D">
                  <w:pPr>
                    <w:pStyle w:val="TableBodyText"/>
                  </w:pPr>
                  <w:r>
                    <w:noBreakHyphen/>
                    <w:t>448</w:t>
                  </w:r>
                </w:p>
              </w:tc>
              <w:tc>
                <w:tcPr>
                  <w:tcW w:w="424" w:type="pct"/>
                </w:tcPr>
                <w:p w14:paraId="79549DC3" w14:textId="77777777" w:rsidR="00F05DC7" w:rsidRDefault="00F05DC7" w:rsidP="00A3786D">
                  <w:pPr>
                    <w:pStyle w:val="TableBodyText"/>
                  </w:pPr>
                  <w:r>
                    <w:noBreakHyphen/>
                    <w:t>301</w:t>
                  </w:r>
                </w:p>
              </w:tc>
              <w:tc>
                <w:tcPr>
                  <w:tcW w:w="424" w:type="pct"/>
                </w:tcPr>
                <w:p w14:paraId="79549DC4" w14:textId="77777777" w:rsidR="00F05DC7" w:rsidRDefault="00F05DC7" w:rsidP="00A3786D">
                  <w:pPr>
                    <w:pStyle w:val="TableBodyText"/>
                    <w:ind w:right="28"/>
                  </w:pPr>
                  <w:r>
                    <w:noBreakHyphen/>
                    <w:t>171</w:t>
                  </w:r>
                </w:p>
              </w:tc>
              <w:tc>
                <w:tcPr>
                  <w:tcW w:w="424" w:type="pct"/>
                </w:tcPr>
                <w:p w14:paraId="79549DC5" w14:textId="77777777" w:rsidR="00F05DC7" w:rsidRDefault="00F05DC7" w:rsidP="00A3786D">
                  <w:pPr>
                    <w:pStyle w:val="TableBodyText"/>
                    <w:ind w:right="28"/>
                  </w:pPr>
                  <w:r>
                    <w:t>46</w:t>
                  </w:r>
                </w:p>
              </w:tc>
              <w:tc>
                <w:tcPr>
                  <w:tcW w:w="424" w:type="pct"/>
                </w:tcPr>
                <w:p w14:paraId="79549DC6" w14:textId="77777777" w:rsidR="00F05DC7" w:rsidRDefault="00F05DC7" w:rsidP="00A3786D">
                  <w:pPr>
                    <w:pStyle w:val="TableBodyText"/>
                    <w:ind w:right="28"/>
                  </w:pPr>
                  <w:r>
                    <w:t>126</w:t>
                  </w:r>
                </w:p>
              </w:tc>
              <w:tc>
                <w:tcPr>
                  <w:tcW w:w="424" w:type="pct"/>
                </w:tcPr>
                <w:p w14:paraId="79549DC7" w14:textId="77777777" w:rsidR="00F05DC7" w:rsidRDefault="00F05DC7" w:rsidP="00A3786D">
                  <w:pPr>
                    <w:pStyle w:val="TableBodyText"/>
                    <w:ind w:right="28"/>
                  </w:pPr>
                  <w:r>
                    <w:t>236</w:t>
                  </w:r>
                </w:p>
              </w:tc>
              <w:tc>
                <w:tcPr>
                  <w:tcW w:w="424" w:type="pct"/>
                </w:tcPr>
                <w:p w14:paraId="79549DC8" w14:textId="77777777" w:rsidR="00F05DC7" w:rsidRDefault="00F05DC7" w:rsidP="00A3786D">
                  <w:pPr>
                    <w:pStyle w:val="TableBodyText"/>
                    <w:ind w:right="28"/>
                  </w:pPr>
                  <w:r>
                    <w:t>243</w:t>
                  </w:r>
                </w:p>
              </w:tc>
              <w:tc>
                <w:tcPr>
                  <w:tcW w:w="424" w:type="pct"/>
                </w:tcPr>
                <w:p w14:paraId="79549DC9" w14:textId="77777777" w:rsidR="00F05DC7" w:rsidRDefault="00F05DC7" w:rsidP="00A3786D">
                  <w:pPr>
                    <w:pStyle w:val="TableBodyText"/>
                    <w:ind w:right="28"/>
                  </w:pPr>
                  <w:r>
                    <w:t>268</w:t>
                  </w:r>
                </w:p>
              </w:tc>
              <w:tc>
                <w:tcPr>
                  <w:tcW w:w="424" w:type="pct"/>
                </w:tcPr>
                <w:p w14:paraId="79549DCA" w14:textId="77777777" w:rsidR="00F05DC7" w:rsidRDefault="00F05DC7" w:rsidP="00A3786D">
                  <w:pPr>
                    <w:pStyle w:val="TableBodyText"/>
                    <w:ind w:right="28"/>
                  </w:pPr>
                  <w:r>
                    <w:t>920</w:t>
                  </w:r>
                </w:p>
              </w:tc>
            </w:tr>
            <w:tr w:rsidR="00F05DC7" w14:paraId="79549DD6" w14:textId="77777777" w:rsidTr="00A3786D">
              <w:tc>
                <w:tcPr>
                  <w:tcW w:w="1183" w:type="pct"/>
                </w:tcPr>
                <w:p w14:paraId="79549DCC" w14:textId="77777777" w:rsidR="00F05DC7" w:rsidRDefault="00F05DC7" w:rsidP="00A3786D">
                  <w:pPr>
                    <w:pStyle w:val="TableBodyText"/>
                    <w:ind w:left="113"/>
                    <w:jc w:val="left"/>
                  </w:pPr>
                  <w:r>
                    <w:t>Small communities</w:t>
                  </w:r>
                </w:p>
              </w:tc>
              <w:tc>
                <w:tcPr>
                  <w:tcW w:w="424" w:type="pct"/>
                </w:tcPr>
                <w:p w14:paraId="79549DCD" w14:textId="77777777" w:rsidR="00F05DC7" w:rsidRDefault="00F05DC7" w:rsidP="00A3786D">
                  <w:pPr>
                    <w:pStyle w:val="TableBodyText"/>
                  </w:pPr>
                  <w:r>
                    <w:noBreakHyphen/>
                    <w:t>272</w:t>
                  </w:r>
                </w:p>
              </w:tc>
              <w:tc>
                <w:tcPr>
                  <w:tcW w:w="424" w:type="pct"/>
                </w:tcPr>
                <w:p w14:paraId="79549DCE" w14:textId="77777777" w:rsidR="00F05DC7" w:rsidRDefault="00F05DC7" w:rsidP="00A3786D">
                  <w:pPr>
                    <w:pStyle w:val="TableBodyText"/>
                  </w:pPr>
                  <w:r>
                    <w:noBreakHyphen/>
                    <w:t>249</w:t>
                  </w:r>
                </w:p>
              </w:tc>
              <w:tc>
                <w:tcPr>
                  <w:tcW w:w="424" w:type="pct"/>
                </w:tcPr>
                <w:p w14:paraId="79549DCF" w14:textId="77777777" w:rsidR="00F05DC7" w:rsidRDefault="00F05DC7" w:rsidP="00A3786D">
                  <w:pPr>
                    <w:pStyle w:val="TableBodyText"/>
                    <w:ind w:right="28"/>
                  </w:pPr>
                  <w:r>
                    <w:t>88</w:t>
                  </w:r>
                </w:p>
              </w:tc>
              <w:tc>
                <w:tcPr>
                  <w:tcW w:w="424" w:type="pct"/>
                </w:tcPr>
                <w:p w14:paraId="79549DD0" w14:textId="77777777" w:rsidR="00F05DC7" w:rsidRDefault="00F05DC7" w:rsidP="00A3786D">
                  <w:pPr>
                    <w:pStyle w:val="TableBodyText"/>
                    <w:ind w:right="28"/>
                  </w:pPr>
                  <w:r>
                    <w:t>160</w:t>
                  </w:r>
                </w:p>
              </w:tc>
              <w:tc>
                <w:tcPr>
                  <w:tcW w:w="424" w:type="pct"/>
                </w:tcPr>
                <w:p w14:paraId="79549DD1" w14:textId="77777777" w:rsidR="00F05DC7" w:rsidRDefault="00F05DC7" w:rsidP="00A3786D">
                  <w:pPr>
                    <w:pStyle w:val="TableBodyText"/>
                    <w:ind w:right="28"/>
                  </w:pPr>
                  <w:r>
                    <w:t>62</w:t>
                  </w:r>
                </w:p>
              </w:tc>
              <w:tc>
                <w:tcPr>
                  <w:tcW w:w="424" w:type="pct"/>
                </w:tcPr>
                <w:p w14:paraId="79549DD2" w14:textId="77777777" w:rsidR="00F05DC7" w:rsidRDefault="00F05DC7" w:rsidP="00A3786D">
                  <w:pPr>
                    <w:pStyle w:val="TableBodyText"/>
                    <w:ind w:right="28"/>
                  </w:pPr>
                  <w:r>
                    <w:t>22</w:t>
                  </w:r>
                </w:p>
              </w:tc>
              <w:tc>
                <w:tcPr>
                  <w:tcW w:w="424" w:type="pct"/>
                </w:tcPr>
                <w:p w14:paraId="79549DD3" w14:textId="77777777" w:rsidR="00F05DC7" w:rsidRDefault="00F05DC7" w:rsidP="00A3786D">
                  <w:pPr>
                    <w:pStyle w:val="TableBodyText"/>
                    <w:ind w:right="28"/>
                  </w:pPr>
                  <w:r>
                    <w:noBreakHyphen/>
                    <w:t>17</w:t>
                  </w:r>
                </w:p>
              </w:tc>
              <w:tc>
                <w:tcPr>
                  <w:tcW w:w="424" w:type="pct"/>
                </w:tcPr>
                <w:p w14:paraId="79549DD4" w14:textId="77777777" w:rsidR="00F05DC7" w:rsidRDefault="00F05DC7" w:rsidP="00A3786D">
                  <w:pPr>
                    <w:pStyle w:val="TableBodyText"/>
                    <w:ind w:right="28"/>
                  </w:pPr>
                  <w:r>
                    <w:t>206</w:t>
                  </w:r>
                </w:p>
              </w:tc>
              <w:tc>
                <w:tcPr>
                  <w:tcW w:w="424" w:type="pct"/>
                </w:tcPr>
                <w:p w14:paraId="79549DD5" w14:textId="77777777" w:rsidR="00F05DC7" w:rsidRDefault="00F05DC7" w:rsidP="00A3786D">
                  <w:pPr>
                    <w:pStyle w:val="TableBodyText"/>
                    <w:ind w:right="28"/>
                  </w:pPr>
                  <w:r>
                    <w:t>538</w:t>
                  </w:r>
                </w:p>
              </w:tc>
            </w:tr>
            <w:tr w:rsidR="00F05DC7" w14:paraId="79549DE1" w14:textId="77777777" w:rsidTr="00A3786D">
              <w:tc>
                <w:tcPr>
                  <w:tcW w:w="1183" w:type="pct"/>
                </w:tcPr>
                <w:p w14:paraId="79549DD7" w14:textId="77777777" w:rsidR="00F05DC7" w:rsidRDefault="00F05DC7" w:rsidP="00A3786D">
                  <w:pPr>
                    <w:pStyle w:val="TableBodyText"/>
                    <w:ind w:left="113"/>
                    <w:jc w:val="left"/>
                  </w:pPr>
                  <w:r>
                    <w:t>Population growth</w:t>
                  </w:r>
                </w:p>
              </w:tc>
              <w:tc>
                <w:tcPr>
                  <w:tcW w:w="424" w:type="pct"/>
                </w:tcPr>
                <w:p w14:paraId="79549DD8" w14:textId="77777777" w:rsidR="00F05DC7" w:rsidRDefault="00F05DC7" w:rsidP="00A3786D">
                  <w:pPr>
                    <w:pStyle w:val="TableBodyText"/>
                  </w:pPr>
                  <w:r>
                    <w:noBreakHyphen/>
                    <w:t>46</w:t>
                  </w:r>
                </w:p>
              </w:tc>
              <w:tc>
                <w:tcPr>
                  <w:tcW w:w="424" w:type="pct"/>
                </w:tcPr>
                <w:p w14:paraId="79549DD9" w14:textId="77777777" w:rsidR="00F05DC7" w:rsidRDefault="00F05DC7" w:rsidP="00A3786D">
                  <w:pPr>
                    <w:pStyle w:val="TableBodyText"/>
                  </w:pPr>
                  <w:r>
                    <w:t>674</w:t>
                  </w:r>
                </w:p>
              </w:tc>
              <w:tc>
                <w:tcPr>
                  <w:tcW w:w="424" w:type="pct"/>
                </w:tcPr>
                <w:p w14:paraId="79549DDA" w14:textId="77777777" w:rsidR="00F05DC7" w:rsidRDefault="00F05DC7" w:rsidP="00A3786D">
                  <w:pPr>
                    <w:pStyle w:val="TableBodyText"/>
                    <w:ind w:right="28"/>
                  </w:pPr>
                  <w:r>
                    <w:noBreakHyphen/>
                    <w:t>79</w:t>
                  </w:r>
                </w:p>
              </w:tc>
              <w:tc>
                <w:tcPr>
                  <w:tcW w:w="424" w:type="pct"/>
                </w:tcPr>
                <w:p w14:paraId="79549DDB" w14:textId="77777777" w:rsidR="00F05DC7" w:rsidRDefault="00F05DC7" w:rsidP="00A3786D">
                  <w:pPr>
                    <w:pStyle w:val="TableBodyText"/>
                    <w:ind w:right="28"/>
                  </w:pPr>
                  <w:r>
                    <w:noBreakHyphen/>
                    <w:t>297</w:t>
                  </w:r>
                </w:p>
              </w:tc>
              <w:tc>
                <w:tcPr>
                  <w:tcW w:w="424" w:type="pct"/>
                </w:tcPr>
                <w:p w14:paraId="79549DDC" w14:textId="77777777" w:rsidR="00F05DC7" w:rsidRDefault="00F05DC7" w:rsidP="00A3786D">
                  <w:pPr>
                    <w:pStyle w:val="TableBodyText"/>
                    <w:ind w:right="28"/>
                  </w:pPr>
                  <w:r>
                    <w:noBreakHyphen/>
                    <w:t>172</w:t>
                  </w:r>
                </w:p>
              </w:tc>
              <w:tc>
                <w:tcPr>
                  <w:tcW w:w="424" w:type="pct"/>
                </w:tcPr>
                <w:p w14:paraId="79549DDD" w14:textId="77777777" w:rsidR="00F05DC7" w:rsidRDefault="00F05DC7" w:rsidP="00A3786D">
                  <w:pPr>
                    <w:pStyle w:val="TableBodyText"/>
                    <w:ind w:right="28"/>
                  </w:pPr>
                  <w:r>
                    <w:noBreakHyphen/>
                    <w:t>86</w:t>
                  </w:r>
                </w:p>
              </w:tc>
              <w:tc>
                <w:tcPr>
                  <w:tcW w:w="424" w:type="pct"/>
                </w:tcPr>
                <w:p w14:paraId="79549DDE" w14:textId="77777777" w:rsidR="00F05DC7" w:rsidRDefault="00F05DC7" w:rsidP="00A3786D">
                  <w:pPr>
                    <w:pStyle w:val="TableBodyText"/>
                    <w:ind w:right="28"/>
                  </w:pPr>
                  <w:r>
                    <w:noBreakHyphen/>
                    <w:t>29</w:t>
                  </w:r>
                </w:p>
              </w:tc>
              <w:tc>
                <w:tcPr>
                  <w:tcW w:w="424" w:type="pct"/>
                </w:tcPr>
                <w:p w14:paraId="79549DDF" w14:textId="77777777" w:rsidR="00F05DC7" w:rsidRDefault="00F05DC7" w:rsidP="00A3786D">
                  <w:pPr>
                    <w:pStyle w:val="TableBodyText"/>
                    <w:ind w:right="28"/>
                  </w:pPr>
                  <w:r>
                    <w:t>35</w:t>
                  </w:r>
                </w:p>
              </w:tc>
              <w:tc>
                <w:tcPr>
                  <w:tcW w:w="424" w:type="pct"/>
                </w:tcPr>
                <w:p w14:paraId="79549DE0" w14:textId="77777777" w:rsidR="00F05DC7" w:rsidRDefault="00F05DC7" w:rsidP="00A3786D">
                  <w:pPr>
                    <w:pStyle w:val="TableBodyText"/>
                    <w:ind w:right="28"/>
                  </w:pPr>
                  <w:r>
                    <w:t>710</w:t>
                  </w:r>
                </w:p>
              </w:tc>
            </w:tr>
            <w:tr w:rsidR="00F05DC7" w14:paraId="79549DEC" w14:textId="77777777" w:rsidTr="00A3786D">
              <w:tc>
                <w:tcPr>
                  <w:tcW w:w="1183" w:type="pct"/>
                </w:tcPr>
                <w:p w14:paraId="79549DE2" w14:textId="77777777" w:rsidR="00F05DC7" w:rsidRDefault="00F05DC7" w:rsidP="00A3786D">
                  <w:pPr>
                    <w:pStyle w:val="TableBodyText"/>
                    <w:ind w:left="113"/>
                    <w:jc w:val="left"/>
                  </w:pPr>
                  <w:r>
                    <w:t>Other expenses</w:t>
                  </w:r>
                </w:p>
              </w:tc>
              <w:tc>
                <w:tcPr>
                  <w:tcW w:w="424" w:type="pct"/>
                  <w:tcBorders>
                    <w:bottom w:val="single" w:sz="4" w:space="0" w:color="BFBFBF"/>
                  </w:tcBorders>
                </w:tcPr>
                <w:p w14:paraId="79549DE3" w14:textId="77777777" w:rsidR="00F05DC7" w:rsidRDefault="00F05DC7" w:rsidP="00A3786D">
                  <w:pPr>
                    <w:pStyle w:val="TableBodyText"/>
                  </w:pPr>
                  <w:r>
                    <w:noBreakHyphen/>
                    <w:t>316</w:t>
                  </w:r>
                </w:p>
              </w:tc>
              <w:tc>
                <w:tcPr>
                  <w:tcW w:w="424" w:type="pct"/>
                  <w:tcBorders>
                    <w:bottom w:val="single" w:sz="4" w:space="0" w:color="BFBFBF"/>
                  </w:tcBorders>
                </w:tcPr>
                <w:p w14:paraId="79549DE4" w14:textId="77777777" w:rsidR="00F05DC7" w:rsidRDefault="00F05DC7" w:rsidP="00A3786D">
                  <w:pPr>
                    <w:pStyle w:val="TableBodyText"/>
                  </w:pPr>
                  <w:r>
                    <w:noBreakHyphen/>
                    <w:t>640</w:t>
                  </w:r>
                </w:p>
              </w:tc>
              <w:tc>
                <w:tcPr>
                  <w:tcW w:w="424" w:type="pct"/>
                  <w:tcBorders>
                    <w:bottom w:val="single" w:sz="4" w:space="0" w:color="BFBFBF"/>
                  </w:tcBorders>
                </w:tcPr>
                <w:p w14:paraId="79549DE5" w14:textId="77777777" w:rsidR="00F05DC7" w:rsidRDefault="00F05DC7" w:rsidP="00A3786D">
                  <w:pPr>
                    <w:pStyle w:val="TableBodyText"/>
                    <w:ind w:right="28"/>
                  </w:pPr>
                  <w:r>
                    <w:t>87</w:t>
                  </w:r>
                </w:p>
              </w:tc>
              <w:tc>
                <w:tcPr>
                  <w:tcW w:w="424" w:type="pct"/>
                  <w:tcBorders>
                    <w:bottom w:val="single" w:sz="4" w:space="0" w:color="BFBFBF"/>
                  </w:tcBorders>
                </w:tcPr>
                <w:p w14:paraId="79549DE6" w14:textId="77777777" w:rsidR="00F05DC7" w:rsidRDefault="00F05DC7" w:rsidP="00A3786D">
                  <w:pPr>
                    <w:pStyle w:val="TableBodyText"/>
                    <w:ind w:right="28"/>
                  </w:pPr>
                  <w:r>
                    <w:t>468</w:t>
                  </w:r>
                </w:p>
              </w:tc>
              <w:tc>
                <w:tcPr>
                  <w:tcW w:w="424" w:type="pct"/>
                  <w:tcBorders>
                    <w:bottom w:val="single" w:sz="4" w:space="0" w:color="BFBFBF"/>
                  </w:tcBorders>
                </w:tcPr>
                <w:p w14:paraId="79549DE7" w14:textId="77777777" w:rsidR="00F05DC7" w:rsidRDefault="00F05DC7" w:rsidP="00A3786D">
                  <w:pPr>
                    <w:pStyle w:val="TableBodyText"/>
                    <w:ind w:right="28"/>
                  </w:pPr>
                  <w:r>
                    <w:noBreakHyphen/>
                    <w:t>88</w:t>
                  </w:r>
                </w:p>
              </w:tc>
              <w:tc>
                <w:tcPr>
                  <w:tcW w:w="424" w:type="pct"/>
                  <w:tcBorders>
                    <w:bottom w:val="single" w:sz="4" w:space="0" w:color="BFBFBF"/>
                  </w:tcBorders>
                </w:tcPr>
                <w:p w14:paraId="79549DE8" w14:textId="77777777" w:rsidR="00F05DC7" w:rsidRDefault="00F05DC7" w:rsidP="00A3786D">
                  <w:pPr>
                    <w:pStyle w:val="TableBodyText"/>
                    <w:ind w:right="28"/>
                  </w:pPr>
                  <w:r>
                    <w:t>25</w:t>
                  </w:r>
                </w:p>
              </w:tc>
              <w:tc>
                <w:tcPr>
                  <w:tcW w:w="424" w:type="pct"/>
                  <w:tcBorders>
                    <w:bottom w:val="single" w:sz="4" w:space="0" w:color="BFBFBF"/>
                  </w:tcBorders>
                </w:tcPr>
                <w:p w14:paraId="79549DE9" w14:textId="77777777" w:rsidR="00F05DC7" w:rsidRDefault="00F05DC7" w:rsidP="00A3786D">
                  <w:pPr>
                    <w:pStyle w:val="TableBodyText"/>
                    <w:ind w:right="28"/>
                  </w:pPr>
                  <w:r>
                    <w:t>35</w:t>
                  </w:r>
                </w:p>
              </w:tc>
              <w:tc>
                <w:tcPr>
                  <w:tcW w:w="424" w:type="pct"/>
                  <w:tcBorders>
                    <w:bottom w:val="single" w:sz="4" w:space="0" w:color="BFBFBF"/>
                  </w:tcBorders>
                </w:tcPr>
                <w:p w14:paraId="79549DEA" w14:textId="77777777" w:rsidR="00F05DC7" w:rsidRDefault="00F05DC7" w:rsidP="00A3786D">
                  <w:pPr>
                    <w:pStyle w:val="TableBodyText"/>
                    <w:ind w:right="28"/>
                  </w:pPr>
                  <w:r>
                    <w:t>428</w:t>
                  </w:r>
                </w:p>
              </w:tc>
              <w:tc>
                <w:tcPr>
                  <w:tcW w:w="424" w:type="pct"/>
                  <w:tcBorders>
                    <w:bottom w:val="single" w:sz="4" w:space="0" w:color="BFBFBF"/>
                  </w:tcBorders>
                </w:tcPr>
                <w:p w14:paraId="79549DEB" w14:textId="77777777" w:rsidR="00F05DC7" w:rsidRDefault="00F05DC7" w:rsidP="00A3786D">
                  <w:pPr>
                    <w:pStyle w:val="TableBodyText"/>
                    <w:ind w:right="28"/>
                  </w:pPr>
                  <w:r>
                    <w:t>1 043</w:t>
                  </w:r>
                </w:p>
              </w:tc>
            </w:tr>
            <w:tr w:rsidR="00F05DC7" w14:paraId="79549DF7" w14:textId="77777777" w:rsidTr="00A3786D">
              <w:tc>
                <w:tcPr>
                  <w:tcW w:w="1183" w:type="pct"/>
                </w:tcPr>
                <w:p w14:paraId="79549DED" w14:textId="77777777" w:rsidR="00F05DC7" w:rsidRDefault="00F05DC7" w:rsidP="00A3786D">
                  <w:pPr>
                    <w:pStyle w:val="TableBodyText"/>
                    <w:spacing w:after="80"/>
                    <w:ind w:left="113"/>
                    <w:jc w:val="left"/>
                  </w:pPr>
                  <w:r>
                    <w:t>Total expenses</w:t>
                  </w:r>
                  <w:r w:rsidRPr="00795774">
                    <w:rPr>
                      <w:rStyle w:val="NoteLabel"/>
                    </w:rPr>
                    <w:t>a</w:t>
                  </w:r>
                </w:p>
              </w:tc>
              <w:tc>
                <w:tcPr>
                  <w:tcW w:w="424" w:type="pct"/>
                  <w:tcBorders>
                    <w:top w:val="single" w:sz="4" w:space="0" w:color="BFBFBF"/>
                  </w:tcBorders>
                  <w:vAlign w:val="bottom"/>
                </w:tcPr>
                <w:p w14:paraId="79549DEE" w14:textId="77777777" w:rsidR="00F05DC7" w:rsidRDefault="00F05DC7" w:rsidP="00A3786D">
                  <w:pPr>
                    <w:pStyle w:val="TableBodyText"/>
                    <w:spacing w:after="80"/>
                  </w:pPr>
                  <w:r>
                    <w:noBreakHyphen/>
                    <w:t>2 088</w:t>
                  </w:r>
                </w:p>
              </w:tc>
              <w:tc>
                <w:tcPr>
                  <w:tcW w:w="424" w:type="pct"/>
                  <w:tcBorders>
                    <w:top w:val="single" w:sz="4" w:space="0" w:color="BFBFBF"/>
                  </w:tcBorders>
                  <w:vAlign w:val="bottom"/>
                </w:tcPr>
                <w:p w14:paraId="79549DEF" w14:textId="77777777" w:rsidR="00F05DC7" w:rsidRDefault="00F05DC7" w:rsidP="00A3786D">
                  <w:pPr>
                    <w:pStyle w:val="TableBodyText"/>
                    <w:spacing w:after="80"/>
                  </w:pPr>
                  <w:r>
                    <w:noBreakHyphen/>
                    <w:t>3 900</w:t>
                  </w:r>
                </w:p>
              </w:tc>
              <w:tc>
                <w:tcPr>
                  <w:tcW w:w="424" w:type="pct"/>
                  <w:tcBorders>
                    <w:top w:val="single" w:sz="4" w:space="0" w:color="BFBFBF"/>
                  </w:tcBorders>
                  <w:vAlign w:val="bottom"/>
                </w:tcPr>
                <w:p w14:paraId="79549DF0" w14:textId="77777777" w:rsidR="00F05DC7" w:rsidRDefault="00F05DC7" w:rsidP="00A3786D">
                  <w:pPr>
                    <w:pStyle w:val="TableBodyText"/>
                    <w:spacing w:after="80"/>
                    <w:ind w:right="28"/>
                  </w:pPr>
                  <w:r>
                    <w:t>1 206</w:t>
                  </w:r>
                </w:p>
              </w:tc>
              <w:tc>
                <w:tcPr>
                  <w:tcW w:w="424" w:type="pct"/>
                  <w:tcBorders>
                    <w:top w:val="single" w:sz="4" w:space="0" w:color="BFBFBF"/>
                  </w:tcBorders>
                  <w:vAlign w:val="bottom"/>
                </w:tcPr>
                <w:p w14:paraId="79549DF1" w14:textId="77777777" w:rsidR="00F05DC7" w:rsidRDefault="00F05DC7" w:rsidP="00A3786D">
                  <w:pPr>
                    <w:pStyle w:val="TableBodyText"/>
                    <w:spacing w:after="80"/>
                    <w:ind w:right="28"/>
                  </w:pPr>
                  <w:r>
                    <w:t>1 908</w:t>
                  </w:r>
                </w:p>
              </w:tc>
              <w:tc>
                <w:tcPr>
                  <w:tcW w:w="424" w:type="pct"/>
                  <w:tcBorders>
                    <w:top w:val="single" w:sz="4" w:space="0" w:color="BFBFBF"/>
                  </w:tcBorders>
                  <w:vAlign w:val="bottom"/>
                </w:tcPr>
                <w:p w14:paraId="79549DF2" w14:textId="77777777" w:rsidR="00F05DC7" w:rsidRDefault="00F05DC7" w:rsidP="00A3786D">
                  <w:pPr>
                    <w:pStyle w:val="TableBodyText"/>
                    <w:spacing w:after="80"/>
                    <w:ind w:right="28"/>
                  </w:pPr>
                  <w:r>
                    <w:t>187</w:t>
                  </w:r>
                </w:p>
              </w:tc>
              <w:tc>
                <w:tcPr>
                  <w:tcW w:w="424" w:type="pct"/>
                  <w:tcBorders>
                    <w:top w:val="single" w:sz="4" w:space="0" w:color="BFBFBF"/>
                  </w:tcBorders>
                  <w:vAlign w:val="bottom"/>
                </w:tcPr>
                <w:p w14:paraId="79549DF3" w14:textId="77777777" w:rsidR="00F05DC7" w:rsidRDefault="00F05DC7" w:rsidP="00A3786D">
                  <w:pPr>
                    <w:pStyle w:val="TableBodyText"/>
                    <w:spacing w:after="80"/>
                    <w:ind w:right="28"/>
                  </w:pPr>
                  <w:r>
                    <w:t>400</w:t>
                  </w:r>
                </w:p>
              </w:tc>
              <w:tc>
                <w:tcPr>
                  <w:tcW w:w="424" w:type="pct"/>
                  <w:tcBorders>
                    <w:top w:val="single" w:sz="4" w:space="0" w:color="BFBFBF"/>
                  </w:tcBorders>
                  <w:vAlign w:val="bottom"/>
                </w:tcPr>
                <w:p w14:paraId="79549DF4" w14:textId="77777777" w:rsidR="00F05DC7" w:rsidRDefault="00F05DC7" w:rsidP="00A3786D">
                  <w:pPr>
                    <w:pStyle w:val="TableBodyText"/>
                    <w:spacing w:after="80"/>
                    <w:ind w:right="28"/>
                  </w:pPr>
                  <w:r>
                    <w:noBreakHyphen/>
                    <w:t>216</w:t>
                  </w:r>
                </w:p>
              </w:tc>
              <w:tc>
                <w:tcPr>
                  <w:tcW w:w="424" w:type="pct"/>
                  <w:tcBorders>
                    <w:top w:val="single" w:sz="4" w:space="0" w:color="BFBFBF"/>
                  </w:tcBorders>
                  <w:vAlign w:val="bottom"/>
                </w:tcPr>
                <w:p w14:paraId="79549DF5" w14:textId="77777777" w:rsidR="00F05DC7" w:rsidRDefault="00F05DC7" w:rsidP="00A3786D">
                  <w:pPr>
                    <w:pStyle w:val="TableBodyText"/>
                    <w:spacing w:after="80"/>
                    <w:ind w:right="28"/>
                  </w:pPr>
                  <w:r>
                    <w:t>2 503</w:t>
                  </w:r>
                </w:p>
              </w:tc>
              <w:tc>
                <w:tcPr>
                  <w:tcW w:w="424" w:type="pct"/>
                  <w:tcBorders>
                    <w:top w:val="single" w:sz="4" w:space="0" w:color="BFBFBF"/>
                  </w:tcBorders>
                  <w:vAlign w:val="bottom"/>
                </w:tcPr>
                <w:p w14:paraId="79549DF6" w14:textId="77777777" w:rsidR="00F05DC7" w:rsidRDefault="00F05DC7" w:rsidP="00A3786D">
                  <w:pPr>
                    <w:pStyle w:val="TableBodyText"/>
                    <w:spacing w:after="80"/>
                    <w:ind w:right="28"/>
                  </w:pPr>
                  <w:r>
                    <w:t>6 204</w:t>
                  </w:r>
                </w:p>
              </w:tc>
            </w:tr>
            <w:tr w:rsidR="00F05DC7" w14:paraId="79549E02" w14:textId="77777777" w:rsidTr="00A3786D">
              <w:tc>
                <w:tcPr>
                  <w:tcW w:w="1183" w:type="pct"/>
                </w:tcPr>
                <w:p w14:paraId="79549DF8" w14:textId="77777777" w:rsidR="00F05DC7" w:rsidRDefault="00F05DC7" w:rsidP="00A3786D">
                  <w:pPr>
                    <w:pStyle w:val="TableBodyText"/>
                    <w:jc w:val="left"/>
                  </w:pPr>
                  <w:r>
                    <w:t>Commonwealth payments</w:t>
                  </w:r>
                </w:p>
              </w:tc>
              <w:tc>
                <w:tcPr>
                  <w:tcW w:w="424" w:type="pct"/>
                </w:tcPr>
                <w:p w14:paraId="79549DF9" w14:textId="77777777" w:rsidR="00F05DC7" w:rsidRDefault="00F05DC7" w:rsidP="00A3786D">
                  <w:pPr>
                    <w:pStyle w:val="TableBodyText"/>
                  </w:pPr>
                  <w:r>
                    <w:t>22</w:t>
                  </w:r>
                </w:p>
              </w:tc>
              <w:tc>
                <w:tcPr>
                  <w:tcW w:w="424" w:type="pct"/>
                </w:tcPr>
                <w:p w14:paraId="79549DFA" w14:textId="77777777" w:rsidR="00F05DC7" w:rsidRDefault="00F05DC7" w:rsidP="00A3786D">
                  <w:pPr>
                    <w:pStyle w:val="TableBodyText"/>
                  </w:pPr>
                  <w:r>
                    <w:t>817</w:t>
                  </w:r>
                </w:p>
              </w:tc>
              <w:tc>
                <w:tcPr>
                  <w:tcW w:w="424" w:type="pct"/>
                </w:tcPr>
                <w:p w14:paraId="79549DFB" w14:textId="77777777" w:rsidR="00F05DC7" w:rsidRDefault="00F05DC7" w:rsidP="00A3786D">
                  <w:pPr>
                    <w:pStyle w:val="TableBodyText"/>
                    <w:ind w:right="28"/>
                  </w:pPr>
                  <w:r>
                    <w:noBreakHyphen/>
                    <w:t>505</w:t>
                  </w:r>
                </w:p>
              </w:tc>
              <w:tc>
                <w:tcPr>
                  <w:tcW w:w="424" w:type="pct"/>
                </w:tcPr>
                <w:p w14:paraId="79549DFC" w14:textId="77777777" w:rsidR="00F05DC7" w:rsidRDefault="00F05DC7" w:rsidP="00A3786D">
                  <w:pPr>
                    <w:pStyle w:val="TableBodyText"/>
                    <w:ind w:right="28"/>
                  </w:pPr>
                  <w:r>
                    <w:t>5</w:t>
                  </w:r>
                </w:p>
              </w:tc>
              <w:tc>
                <w:tcPr>
                  <w:tcW w:w="424" w:type="pct"/>
                </w:tcPr>
                <w:p w14:paraId="79549DFD" w14:textId="77777777" w:rsidR="00F05DC7" w:rsidRDefault="00F05DC7" w:rsidP="00A3786D">
                  <w:pPr>
                    <w:pStyle w:val="TableBodyText"/>
                    <w:ind w:right="28"/>
                  </w:pPr>
                  <w:r>
                    <w:t>69</w:t>
                  </w:r>
                </w:p>
              </w:tc>
              <w:tc>
                <w:tcPr>
                  <w:tcW w:w="424" w:type="pct"/>
                </w:tcPr>
                <w:p w14:paraId="79549DFE" w14:textId="77777777" w:rsidR="00F05DC7" w:rsidRDefault="00F05DC7" w:rsidP="00A3786D">
                  <w:pPr>
                    <w:pStyle w:val="TableBodyText"/>
                    <w:ind w:right="28"/>
                  </w:pPr>
                  <w:r>
                    <w:noBreakHyphen/>
                    <w:t>58</w:t>
                  </w:r>
                </w:p>
              </w:tc>
              <w:tc>
                <w:tcPr>
                  <w:tcW w:w="424" w:type="pct"/>
                </w:tcPr>
                <w:p w14:paraId="79549DFF" w14:textId="77777777" w:rsidR="00F05DC7" w:rsidRDefault="00F05DC7" w:rsidP="00A3786D">
                  <w:pPr>
                    <w:pStyle w:val="TableBodyText"/>
                    <w:ind w:right="28"/>
                  </w:pPr>
                  <w:r>
                    <w:t>85</w:t>
                  </w:r>
                </w:p>
              </w:tc>
              <w:tc>
                <w:tcPr>
                  <w:tcW w:w="424" w:type="pct"/>
                </w:tcPr>
                <w:p w14:paraId="79549E00" w14:textId="77777777" w:rsidR="00F05DC7" w:rsidRDefault="00F05DC7" w:rsidP="00A3786D">
                  <w:pPr>
                    <w:pStyle w:val="TableBodyText"/>
                    <w:ind w:right="28"/>
                  </w:pPr>
                  <w:r>
                    <w:noBreakHyphen/>
                    <w:t>434</w:t>
                  </w:r>
                </w:p>
              </w:tc>
              <w:tc>
                <w:tcPr>
                  <w:tcW w:w="424" w:type="pct"/>
                </w:tcPr>
                <w:p w14:paraId="79549E01" w14:textId="77777777" w:rsidR="00F05DC7" w:rsidRDefault="00F05DC7" w:rsidP="00A3786D">
                  <w:pPr>
                    <w:pStyle w:val="TableBodyText"/>
                    <w:ind w:right="28"/>
                  </w:pPr>
                  <w:r>
                    <w:t>997</w:t>
                  </w:r>
                </w:p>
              </w:tc>
            </w:tr>
            <w:tr w:rsidR="00F05DC7" w14:paraId="79549E0D" w14:textId="77777777" w:rsidTr="00A3786D">
              <w:tc>
                <w:tcPr>
                  <w:tcW w:w="1183" w:type="pct"/>
                  <w:tcBorders>
                    <w:bottom w:val="single" w:sz="6" w:space="0" w:color="BFBFBF"/>
                  </w:tcBorders>
                  <w:shd w:val="clear" w:color="auto" w:fill="auto"/>
                </w:tcPr>
                <w:p w14:paraId="79549E03" w14:textId="77777777" w:rsidR="00F05DC7" w:rsidRPr="00613F6C" w:rsidRDefault="00F05DC7" w:rsidP="00A3786D">
                  <w:pPr>
                    <w:pStyle w:val="TableBodyText"/>
                    <w:jc w:val="left"/>
                    <w:rPr>
                      <w:b/>
                    </w:rPr>
                  </w:pPr>
                  <w:r w:rsidRPr="00613F6C">
                    <w:rPr>
                      <w:b/>
                    </w:rPr>
                    <w:t>Total</w:t>
                  </w:r>
                </w:p>
              </w:tc>
              <w:tc>
                <w:tcPr>
                  <w:tcW w:w="424" w:type="pct"/>
                  <w:tcBorders>
                    <w:bottom w:val="single" w:sz="6" w:space="0" w:color="BFBFBF"/>
                  </w:tcBorders>
                </w:tcPr>
                <w:p w14:paraId="79549E04" w14:textId="77777777" w:rsidR="00F05DC7" w:rsidRPr="00AF7815" w:rsidRDefault="00F05DC7" w:rsidP="00A3786D">
                  <w:pPr>
                    <w:pStyle w:val="TableBodyText"/>
                    <w:rPr>
                      <w:b/>
                    </w:rPr>
                  </w:pPr>
                  <w:r>
                    <w:rPr>
                      <w:b/>
                    </w:rPr>
                    <w:noBreakHyphen/>
                    <w:t>3 021</w:t>
                  </w:r>
                </w:p>
              </w:tc>
              <w:tc>
                <w:tcPr>
                  <w:tcW w:w="424" w:type="pct"/>
                  <w:tcBorders>
                    <w:bottom w:val="single" w:sz="6" w:space="0" w:color="BFBFBF"/>
                  </w:tcBorders>
                  <w:shd w:val="clear" w:color="auto" w:fill="auto"/>
                </w:tcPr>
                <w:p w14:paraId="79549E05" w14:textId="77777777" w:rsidR="00F05DC7" w:rsidRPr="00AF7815" w:rsidRDefault="00F05DC7" w:rsidP="00A3786D">
                  <w:pPr>
                    <w:pStyle w:val="TableBodyText"/>
                    <w:rPr>
                      <w:b/>
                    </w:rPr>
                  </w:pPr>
                  <w:r>
                    <w:rPr>
                      <w:b/>
                    </w:rPr>
                    <w:noBreakHyphen/>
                    <w:t>201</w:t>
                  </w:r>
                </w:p>
              </w:tc>
              <w:tc>
                <w:tcPr>
                  <w:tcW w:w="424" w:type="pct"/>
                  <w:tcBorders>
                    <w:bottom w:val="single" w:sz="6" w:space="0" w:color="BFBFBF"/>
                  </w:tcBorders>
                </w:tcPr>
                <w:p w14:paraId="79549E06" w14:textId="77777777" w:rsidR="00F05DC7" w:rsidRPr="00AF7815" w:rsidRDefault="00F05DC7" w:rsidP="00A3786D">
                  <w:pPr>
                    <w:pStyle w:val="TableBodyText"/>
                    <w:ind w:right="28"/>
                    <w:rPr>
                      <w:b/>
                    </w:rPr>
                  </w:pPr>
                  <w:r>
                    <w:rPr>
                      <w:b/>
                    </w:rPr>
                    <w:t>1 284</w:t>
                  </w:r>
                </w:p>
              </w:tc>
              <w:tc>
                <w:tcPr>
                  <w:tcW w:w="424" w:type="pct"/>
                  <w:tcBorders>
                    <w:bottom w:val="single" w:sz="6" w:space="0" w:color="BFBFBF"/>
                  </w:tcBorders>
                </w:tcPr>
                <w:p w14:paraId="79549E07" w14:textId="77777777" w:rsidR="00F05DC7" w:rsidRPr="00AF7815" w:rsidRDefault="00F05DC7" w:rsidP="00A3786D">
                  <w:pPr>
                    <w:pStyle w:val="TableBodyText"/>
                    <w:ind w:right="28"/>
                    <w:rPr>
                      <w:b/>
                    </w:rPr>
                  </w:pPr>
                  <w:r>
                    <w:rPr>
                      <w:b/>
                    </w:rPr>
                    <w:noBreakHyphen/>
                    <w:t>3 618</w:t>
                  </w:r>
                </w:p>
              </w:tc>
              <w:tc>
                <w:tcPr>
                  <w:tcW w:w="424" w:type="pct"/>
                  <w:tcBorders>
                    <w:bottom w:val="single" w:sz="6" w:space="0" w:color="BFBFBF"/>
                  </w:tcBorders>
                </w:tcPr>
                <w:p w14:paraId="79549E08" w14:textId="77777777" w:rsidR="00F05DC7" w:rsidRPr="00AF7815" w:rsidRDefault="00F05DC7" w:rsidP="00A3786D">
                  <w:pPr>
                    <w:pStyle w:val="TableBodyText"/>
                    <w:ind w:right="28"/>
                    <w:rPr>
                      <w:b/>
                    </w:rPr>
                  </w:pPr>
                  <w:r>
                    <w:rPr>
                      <w:b/>
                    </w:rPr>
                    <w:t>2 188</w:t>
                  </w:r>
                </w:p>
              </w:tc>
              <w:tc>
                <w:tcPr>
                  <w:tcW w:w="424" w:type="pct"/>
                  <w:tcBorders>
                    <w:bottom w:val="single" w:sz="6" w:space="0" w:color="BFBFBF"/>
                  </w:tcBorders>
                </w:tcPr>
                <w:p w14:paraId="79549E09" w14:textId="77777777" w:rsidR="00F05DC7" w:rsidRPr="00AF7815" w:rsidRDefault="00F05DC7" w:rsidP="00A3786D">
                  <w:pPr>
                    <w:pStyle w:val="TableBodyText"/>
                    <w:ind w:right="28"/>
                    <w:rPr>
                      <w:b/>
                    </w:rPr>
                  </w:pPr>
                  <w:r>
                    <w:rPr>
                      <w:b/>
                    </w:rPr>
                    <w:t>1 059</w:t>
                  </w:r>
                </w:p>
              </w:tc>
              <w:tc>
                <w:tcPr>
                  <w:tcW w:w="424" w:type="pct"/>
                  <w:tcBorders>
                    <w:bottom w:val="single" w:sz="6" w:space="0" w:color="BFBFBF"/>
                  </w:tcBorders>
                </w:tcPr>
                <w:p w14:paraId="79549E0A" w14:textId="77777777" w:rsidR="00F05DC7" w:rsidRPr="00AF7815" w:rsidRDefault="00F05DC7" w:rsidP="00A3786D">
                  <w:pPr>
                    <w:pStyle w:val="TableBodyText"/>
                    <w:ind w:right="28"/>
                    <w:rPr>
                      <w:b/>
                    </w:rPr>
                  </w:pPr>
                  <w:r>
                    <w:rPr>
                      <w:b/>
                    </w:rPr>
                    <w:t>200</w:t>
                  </w:r>
                </w:p>
              </w:tc>
              <w:tc>
                <w:tcPr>
                  <w:tcW w:w="424" w:type="pct"/>
                  <w:tcBorders>
                    <w:bottom w:val="single" w:sz="6" w:space="0" w:color="BFBFBF"/>
                  </w:tcBorders>
                </w:tcPr>
                <w:p w14:paraId="79549E0B" w14:textId="77777777" w:rsidR="00F05DC7" w:rsidRPr="00AF7815" w:rsidRDefault="00F05DC7" w:rsidP="00A3786D">
                  <w:pPr>
                    <w:pStyle w:val="TableBodyText"/>
                    <w:ind w:right="28"/>
                    <w:rPr>
                      <w:b/>
                    </w:rPr>
                  </w:pPr>
                  <w:r>
                    <w:rPr>
                      <w:b/>
                    </w:rPr>
                    <w:t>2 109</w:t>
                  </w:r>
                </w:p>
              </w:tc>
              <w:tc>
                <w:tcPr>
                  <w:tcW w:w="424" w:type="pct"/>
                  <w:tcBorders>
                    <w:bottom w:val="single" w:sz="6" w:space="0" w:color="BFBFBF"/>
                  </w:tcBorders>
                  <w:shd w:val="clear" w:color="auto" w:fill="auto"/>
                </w:tcPr>
                <w:p w14:paraId="79549E0C" w14:textId="77777777" w:rsidR="00F05DC7" w:rsidRPr="00AF7815" w:rsidRDefault="00F05DC7" w:rsidP="00A3786D">
                  <w:pPr>
                    <w:pStyle w:val="TableBodyText"/>
                    <w:ind w:right="28"/>
                    <w:rPr>
                      <w:b/>
                    </w:rPr>
                  </w:pPr>
                  <w:r>
                    <w:rPr>
                      <w:b/>
                    </w:rPr>
                    <w:t>6 840</w:t>
                  </w:r>
                </w:p>
              </w:tc>
            </w:tr>
          </w:tbl>
          <w:p w14:paraId="79549E0E" w14:textId="77777777" w:rsidR="00F05DC7" w:rsidRDefault="00F05DC7" w:rsidP="00A3786D">
            <w:pPr>
              <w:pStyle w:val="Box"/>
            </w:pPr>
          </w:p>
        </w:tc>
      </w:tr>
      <w:tr w:rsidR="00F05DC7" w14:paraId="79549E11" w14:textId="77777777" w:rsidTr="00A3786D">
        <w:tc>
          <w:tcPr>
            <w:tcW w:w="5000" w:type="pct"/>
            <w:tcBorders>
              <w:top w:val="nil"/>
              <w:left w:val="nil"/>
              <w:bottom w:val="nil"/>
              <w:right w:val="nil"/>
            </w:tcBorders>
            <w:shd w:val="clear" w:color="auto" w:fill="auto"/>
          </w:tcPr>
          <w:p w14:paraId="79549E10" w14:textId="77777777" w:rsidR="00F05DC7" w:rsidRDefault="00F05DC7" w:rsidP="00A3786D">
            <w:pPr>
              <w:pStyle w:val="Note"/>
              <w:rPr>
                <w:i/>
              </w:rPr>
            </w:pPr>
            <w:r w:rsidRPr="008E77FE">
              <w:rPr>
                <w:rStyle w:val="NoteLabel"/>
              </w:rPr>
              <w:t>a</w:t>
            </w:r>
            <w:r>
              <w:t xml:space="preserve"> Includes the effect of net borrowing. </w:t>
            </w:r>
            <w:r w:rsidRPr="00E8667D">
              <w:rPr>
                <w:rStyle w:val="NoteLabel"/>
              </w:rPr>
              <w:t>b</w:t>
            </w:r>
            <w:r>
              <w:t xml:space="preserve"> Refers to total redistribution.</w:t>
            </w:r>
          </w:p>
        </w:tc>
      </w:tr>
      <w:tr w:rsidR="00F05DC7" w14:paraId="79549E13" w14:textId="77777777" w:rsidTr="00A3786D">
        <w:tc>
          <w:tcPr>
            <w:tcW w:w="5000" w:type="pct"/>
            <w:tcBorders>
              <w:top w:val="nil"/>
              <w:left w:val="nil"/>
              <w:bottom w:val="nil"/>
              <w:right w:val="nil"/>
            </w:tcBorders>
            <w:shd w:val="clear" w:color="auto" w:fill="auto"/>
          </w:tcPr>
          <w:p w14:paraId="79549E12" w14:textId="44397143" w:rsidR="00F05DC7" w:rsidRPr="006323E6" w:rsidRDefault="00F05DC7" w:rsidP="009D6331">
            <w:pPr>
              <w:pStyle w:val="Subtitle"/>
              <w:keepNext w:val="0"/>
              <w:spacing w:before="80" w:after="0" w:line="220" w:lineRule="exact"/>
              <w:ind w:left="0"/>
              <w:jc w:val="both"/>
              <w:rPr>
                <w:szCs w:val="18"/>
              </w:rPr>
            </w:pPr>
            <w:r w:rsidRPr="00795774">
              <w:rPr>
                <w:i/>
                <w:sz w:val="18"/>
                <w:szCs w:val="18"/>
              </w:rPr>
              <w:t>Source</w:t>
            </w:r>
            <w:r w:rsidRPr="00795774">
              <w:rPr>
                <w:sz w:val="18"/>
                <w:szCs w:val="18"/>
              </w:rPr>
              <w:t>: CGC</w:t>
            </w:r>
            <w:r>
              <w:rPr>
                <w:sz w:val="18"/>
                <w:szCs w:val="18"/>
              </w:rPr>
              <w:t xml:space="preserve"> </w:t>
            </w:r>
            <w:r w:rsidR="009D6331" w:rsidRPr="009D6331">
              <w:rPr>
                <w:rFonts w:cs="Arial"/>
                <w:sz w:val="18"/>
              </w:rPr>
              <w:t>(2018h, p. 32)</w:t>
            </w:r>
            <w:r w:rsidRPr="00795774">
              <w:rPr>
                <w:sz w:val="18"/>
                <w:szCs w:val="18"/>
              </w:rPr>
              <w:t>.</w:t>
            </w:r>
          </w:p>
        </w:tc>
      </w:tr>
      <w:tr w:rsidR="00F05DC7" w14:paraId="79549E15" w14:textId="77777777" w:rsidTr="00A3786D">
        <w:tc>
          <w:tcPr>
            <w:tcW w:w="5000" w:type="pct"/>
            <w:tcBorders>
              <w:top w:val="nil"/>
              <w:left w:val="nil"/>
              <w:bottom w:val="single" w:sz="6" w:space="0" w:color="78A22F"/>
              <w:right w:val="nil"/>
            </w:tcBorders>
            <w:shd w:val="clear" w:color="auto" w:fill="auto"/>
          </w:tcPr>
          <w:p w14:paraId="79549E14" w14:textId="77777777" w:rsidR="00F05DC7" w:rsidRDefault="00F05DC7" w:rsidP="00A3786D">
            <w:pPr>
              <w:pStyle w:val="Box"/>
              <w:spacing w:before="0" w:line="120" w:lineRule="exact"/>
            </w:pPr>
          </w:p>
        </w:tc>
      </w:tr>
      <w:tr w:rsidR="00F05DC7" w:rsidRPr="000863A5" w14:paraId="79549E17" w14:textId="77777777" w:rsidTr="00A3786D">
        <w:tc>
          <w:tcPr>
            <w:tcW w:w="5000" w:type="pct"/>
            <w:tcBorders>
              <w:top w:val="single" w:sz="6" w:space="0" w:color="78A22F"/>
              <w:left w:val="nil"/>
              <w:bottom w:val="nil"/>
              <w:right w:val="nil"/>
            </w:tcBorders>
          </w:tcPr>
          <w:p w14:paraId="79549E16" w14:textId="77777777" w:rsidR="00F05DC7" w:rsidRPr="00626D32" w:rsidRDefault="00F05DC7" w:rsidP="00A3786D">
            <w:pPr>
              <w:pStyle w:val="BoxSpaceBelow"/>
            </w:pPr>
          </w:p>
        </w:tc>
      </w:tr>
    </w:tbl>
    <w:p w14:paraId="79549E18" w14:textId="77777777" w:rsidR="00F05DC7" w:rsidRDefault="00F05DC7" w:rsidP="00A3786D">
      <w:pPr>
        <w:pStyle w:val="Heading3"/>
      </w:pPr>
      <w:r>
        <w:t>To what extent does HFE achieve fiscal equalisation?</w:t>
      </w:r>
    </w:p>
    <w:p w14:paraId="79549E19" w14:textId="5674314C" w:rsidR="00F05DC7" w:rsidRDefault="00F05DC7" w:rsidP="00A3786D">
      <w:pPr>
        <w:pStyle w:val="BodyText"/>
      </w:pPr>
      <w:r>
        <w:t>An evaluation of the extent of fiscal disparity between sub</w:t>
      </w:r>
      <w:r>
        <w:noBreakHyphen/>
        <w:t xml:space="preserve">central governments has been undertaken by the OECD </w:t>
      </w:r>
      <w:r w:rsidRPr="001A6682">
        <w:t>(2013)</w:t>
      </w:r>
      <w:r>
        <w:t>. Based on measurement of the Gini coefficient of tax raising capacity and the ratio of highest and lowest tax raising capacities before and after equalisation, Australia is found to have eliminated measured fiscal disparities among the sub</w:t>
      </w:r>
      <w:r>
        <w:noBreakHyphen/>
        <w:t xml:space="preserve">central governments (table 2.5). However, this does not mean that economic disparities are eliminated. </w:t>
      </w:r>
    </w:p>
    <w:p w14:paraId="79549E1B" w14:textId="068DB873" w:rsidR="00F05DC7" w:rsidRPr="00AA6301" w:rsidRDefault="00F05DC7" w:rsidP="00B25343">
      <w:pPr>
        <w:pStyle w:val="BodyText"/>
      </w:pPr>
      <w:r>
        <w:t>An earlier analysis by the CGC </w:t>
      </w:r>
      <w:r w:rsidRPr="008373E2">
        <w:t>(2009)</w:t>
      </w:r>
      <w:r>
        <w:t xml:space="preserve"> of the extent of equalisation that occurs in federated nations found similar results to the OECD. Specifically, comparing Australia with Canada and Germany in 2006</w:t>
      </w:r>
      <w:r>
        <w:noBreakHyphen/>
        <w:t>07, the CGC </w:t>
      </w:r>
      <w:r w:rsidRPr="00D16B3E">
        <w:rPr>
          <w:szCs w:val="24"/>
        </w:rPr>
        <w:t>(2009, p. 99)</w:t>
      </w:r>
      <w:r>
        <w:t xml:space="preserve"> found that, based on national definitions of equalisation (appendix E), Australia achieved full equalisation, while significant disparities remained in Canada, and some dispar</w:t>
      </w:r>
      <w:r w:rsidR="00B25343">
        <w:t>ities remained in Germany.</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9E1E" w14:textId="77777777" w:rsidTr="001113B1">
        <w:trPr>
          <w:tblHeader/>
        </w:trPr>
        <w:tc>
          <w:tcPr>
            <w:tcW w:w="5000" w:type="pct"/>
            <w:tcBorders>
              <w:top w:val="single" w:sz="6" w:space="0" w:color="78A22F"/>
              <w:left w:val="nil"/>
              <w:bottom w:val="nil"/>
              <w:right w:val="nil"/>
            </w:tcBorders>
            <w:shd w:val="clear" w:color="auto" w:fill="auto"/>
          </w:tcPr>
          <w:p w14:paraId="79549E1C" w14:textId="50B560AF" w:rsidR="00F05DC7" w:rsidRDefault="00F05DC7" w:rsidP="00A3786D">
            <w:pPr>
              <w:pStyle w:val="TableTitle"/>
            </w:pPr>
            <w:r>
              <w:rPr>
                <w:b w:val="0"/>
              </w:rPr>
              <w:lastRenderedPageBreak/>
              <w:t>Table 2.</w:t>
            </w:r>
            <w:r>
              <w:rPr>
                <w:b w:val="0"/>
                <w:noProof/>
              </w:rPr>
              <w:t>5</w:t>
            </w:r>
            <w:r>
              <w:tab/>
              <w:t xml:space="preserve">Fiscal disparities before and after equalisation </w:t>
            </w:r>
          </w:p>
          <w:p w14:paraId="79549E1D" w14:textId="77777777" w:rsidR="00F05DC7" w:rsidRPr="00784A05" w:rsidRDefault="00F05DC7" w:rsidP="00A3786D">
            <w:pPr>
              <w:pStyle w:val="Subtitle"/>
            </w:pPr>
            <w:r>
              <w:t>2012</w:t>
            </w:r>
          </w:p>
        </w:tc>
      </w:tr>
      <w:tr w:rsidR="00F05DC7" w14:paraId="79549E5A"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40"/>
              <w:gridCol w:w="1766"/>
              <w:gridCol w:w="1638"/>
              <w:gridCol w:w="1895"/>
              <w:gridCol w:w="1766"/>
            </w:tblGrid>
            <w:tr w:rsidR="00F05DC7" w14:paraId="79549E22" w14:textId="77777777" w:rsidTr="00A3786D">
              <w:trPr>
                <w:tblHeader/>
              </w:trPr>
              <w:tc>
                <w:tcPr>
                  <w:tcW w:w="847" w:type="pct"/>
                  <w:tcBorders>
                    <w:top w:val="single" w:sz="6" w:space="0" w:color="BFBFBF"/>
                    <w:bottom w:val="single" w:sz="6" w:space="0" w:color="BFBFBF"/>
                  </w:tcBorders>
                  <w:shd w:val="clear" w:color="auto" w:fill="auto"/>
                  <w:tcMar>
                    <w:top w:w="28" w:type="dxa"/>
                  </w:tcMar>
                </w:tcPr>
                <w:p w14:paraId="79549E1F" w14:textId="77777777" w:rsidR="00F05DC7" w:rsidRDefault="00F05DC7" w:rsidP="00A3786D">
                  <w:pPr>
                    <w:pStyle w:val="TableColumnHeading"/>
                    <w:jc w:val="left"/>
                  </w:pPr>
                  <w:r>
                    <w:t>Country</w:t>
                  </w:r>
                </w:p>
              </w:tc>
              <w:tc>
                <w:tcPr>
                  <w:tcW w:w="2001" w:type="pct"/>
                  <w:gridSpan w:val="2"/>
                  <w:tcBorders>
                    <w:top w:val="single" w:sz="6" w:space="0" w:color="BFBFBF"/>
                    <w:bottom w:val="single" w:sz="6" w:space="0" w:color="BFBFBF"/>
                  </w:tcBorders>
                </w:tcPr>
                <w:p w14:paraId="79549E20" w14:textId="77777777" w:rsidR="00F05DC7" w:rsidRDefault="00F05DC7" w:rsidP="00A3786D">
                  <w:pPr>
                    <w:pStyle w:val="TableColumnHeading"/>
                  </w:pPr>
                  <w:r>
                    <w:t>Gini coefficient of tax</w:t>
                  </w:r>
                  <w:r>
                    <w:noBreakHyphen/>
                    <w:t>raising capacity</w:t>
                  </w:r>
                </w:p>
              </w:tc>
              <w:tc>
                <w:tcPr>
                  <w:tcW w:w="2152" w:type="pct"/>
                  <w:gridSpan w:val="2"/>
                  <w:tcBorders>
                    <w:top w:val="single" w:sz="6" w:space="0" w:color="BFBFBF"/>
                    <w:bottom w:val="single" w:sz="6" w:space="0" w:color="BFBFBF"/>
                  </w:tcBorders>
                </w:tcPr>
                <w:p w14:paraId="79549E21" w14:textId="77777777" w:rsidR="00F05DC7" w:rsidRDefault="00F05DC7" w:rsidP="00A3786D">
                  <w:pPr>
                    <w:pStyle w:val="TableColumnHeading"/>
                    <w:ind w:right="28"/>
                  </w:pPr>
                  <w:r>
                    <w:t>Ratio of highest to lowest tax raising capacity</w:t>
                  </w:r>
                </w:p>
              </w:tc>
            </w:tr>
            <w:tr w:rsidR="00F05DC7" w14:paraId="79549E28" w14:textId="77777777" w:rsidTr="00A3786D">
              <w:tc>
                <w:tcPr>
                  <w:tcW w:w="847" w:type="pct"/>
                  <w:tcBorders>
                    <w:top w:val="single" w:sz="6" w:space="0" w:color="BFBFBF"/>
                  </w:tcBorders>
                </w:tcPr>
                <w:p w14:paraId="79549E23" w14:textId="77777777" w:rsidR="00F05DC7" w:rsidRDefault="00F05DC7" w:rsidP="00A3786D">
                  <w:pPr>
                    <w:pStyle w:val="TableUnitsRow"/>
                    <w:jc w:val="left"/>
                  </w:pPr>
                </w:p>
              </w:tc>
              <w:tc>
                <w:tcPr>
                  <w:tcW w:w="1038" w:type="pct"/>
                  <w:tcBorders>
                    <w:top w:val="single" w:sz="6" w:space="0" w:color="BFBFBF"/>
                  </w:tcBorders>
                </w:tcPr>
                <w:p w14:paraId="79549E24" w14:textId="77777777" w:rsidR="00F05DC7" w:rsidRPr="00FF4094" w:rsidRDefault="00F05DC7" w:rsidP="00A3786D">
                  <w:pPr>
                    <w:pStyle w:val="TableUnitsRow"/>
                    <w:rPr>
                      <w:i/>
                    </w:rPr>
                  </w:pPr>
                  <w:r w:rsidRPr="00FF4094">
                    <w:rPr>
                      <w:i/>
                    </w:rPr>
                    <w:t>Before equalisation</w:t>
                  </w:r>
                </w:p>
              </w:tc>
              <w:tc>
                <w:tcPr>
                  <w:tcW w:w="962" w:type="pct"/>
                  <w:tcBorders>
                    <w:top w:val="single" w:sz="6" w:space="0" w:color="BFBFBF"/>
                  </w:tcBorders>
                </w:tcPr>
                <w:p w14:paraId="79549E25" w14:textId="77777777" w:rsidR="00F05DC7" w:rsidRPr="00FF4094" w:rsidRDefault="00F05DC7" w:rsidP="00A3786D">
                  <w:pPr>
                    <w:pStyle w:val="TableUnitsRow"/>
                    <w:rPr>
                      <w:i/>
                    </w:rPr>
                  </w:pPr>
                  <w:r w:rsidRPr="00FF4094">
                    <w:rPr>
                      <w:i/>
                    </w:rPr>
                    <w:t>After equalisation</w:t>
                  </w:r>
                </w:p>
              </w:tc>
              <w:tc>
                <w:tcPr>
                  <w:tcW w:w="1114" w:type="pct"/>
                  <w:tcBorders>
                    <w:top w:val="single" w:sz="6" w:space="0" w:color="BFBFBF"/>
                  </w:tcBorders>
                </w:tcPr>
                <w:p w14:paraId="79549E26" w14:textId="77777777" w:rsidR="00F05DC7" w:rsidRPr="00FF4094" w:rsidRDefault="00F05DC7" w:rsidP="00A3786D">
                  <w:pPr>
                    <w:pStyle w:val="TableUnitsRow"/>
                    <w:ind w:right="28"/>
                    <w:rPr>
                      <w:i/>
                    </w:rPr>
                  </w:pPr>
                  <w:r w:rsidRPr="006238D0">
                    <w:rPr>
                      <w:i/>
                    </w:rPr>
                    <w:t>Before equalisation</w:t>
                  </w:r>
                </w:p>
              </w:tc>
              <w:tc>
                <w:tcPr>
                  <w:tcW w:w="1038" w:type="pct"/>
                  <w:tcBorders>
                    <w:top w:val="single" w:sz="6" w:space="0" w:color="BFBFBF"/>
                  </w:tcBorders>
                </w:tcPr>
                <w:p w14:paraId="79549E27" w14:textId="77777777" w:rsidR="00F05DC7" w:rsidRPr="00FF4094" w:rsidRDefault="00F05DC7" w:rsidP="00A3786D">
                  <w:pPr>
                    <w:pStyle w:val="TableUnitsRow"/>
                    <w:ind w:right="28"/>
                    <w:rPr>
                      <w:i/>
                    </w:rPr>
                  </w:pPr>
                  <w:r w:rsidRPr="006238D0">
                    <w:rPr>
                      <w:i/>
                    </w:rPr>
                    <w:t>After equalisation</w:t>
                  </w:r>
                </w:p>
              </w:tc>
            </w:tr>
            <w:tr w:rsidR="00F05DC7" w14:paraId="79549E2E" w14:textId="77777777" w:rsidTr="00A3786D">
              <w:tc>
                <w:tcPr>
                  <w:tcW w:w="847" w:type="pct"/>
                </w:tcPr>
                <w:p w14:paraId="79549E29" w14:textId="77777777" w:rsidR="00F05DC7" w:rsidRDefault="00F05DC7" w:rsidP="00A3786D">
                  <w:pPr>
                    <w:pStyle w:val="TableBodyText"/>
                    <w:jc w:val="left"/>
                  </w:pPr>
                  <w:r>
                    <w:t>Australia</w:t>
                  </w:r>
                </w:p>
              </w:tc>
              <w:tc>
                <w:tcPr>
                  <w:tcW w:w="1038" w:type="pct"/>
                </w:tcPr>
                <w:p w14:paraId="79549E2A" w14:textId="77777777" w:rsidR="00F05DC7" w:rsidRDefault="00F05DC7" w:rsidP="00A3786D">
                  <w:pPr>
                    <w:pStyle w:val="TableBodyText"/>
                  </w:pPr>
                  <w:r>
                    <w:t>0.07</w:t>
                  </w:r>
                </w:p>
              </w:tc>
              <w:tc>
                <w:tcPr>
                  <w:tcW w:w="962" w:type="pct"/>
                </w:tcPr>
                <w:p w14:paraId="79549E2B" w14:textId="77777777" w:rsidR="00F05DC7" w:rsidRDefault="00F05DC7" w:rsidP="00A3786D">
                  <w:pPr>
                    <w:pStyle w:val="TableBodyText"/>
                  </w:pPr>
                  <w:r>
                    <w:t>0.00</w:t>
                  </w:r>
                </w:p>
              </w:tc>
              <w:tc>
                <w:tcPr>
                  <w:tcW w:w="1114" w:type="pct"/>
                </w:tcPr>
                <w:p w14:paraId="79549E2C" w14:textId="77777777" w:rsidR="00F05DC7" w:rsidRDefault="00F05DC7" w:rsidP="00A3786D">
                  <w:pPr>
                    <w:pStyle w:val="TableBodyText"/>
                    <w:ind w:right="28"/>
                  </w:pPr>
                  <w:r>
                    <w:t>7.5</w:t>
                  </w:r>
                </w:p>
              </w:tc>
              <w:tc>
                <w:tcPr>
                  <w:tcW w:w="1038" w:type="pct"/>
                </w:tcPr>
                <w:p w14:paraId="79549E2D" w14:textId="77777777" w:rsidR="00F05DC7" w:rsidRDefault="00F05DC7" w:rsidP="00A3786D">
                  <w:pPr>
                    <w:pStyle w:val="TableBodyText"/>
                    <w:ind w:right="28"/>
                  </w:pPr>
                  <w:r>
                    <w:t>1.0</w:t>
                  </w:r>
                </w:p>
              </w:tc>
            </w:tr>
            <w:tr w:rsidR="00F05DC7" w14:paraId="79549E34" w14:textId="77777777" w:rsidTr="00A3786D">
              <w:tc>
                <w:tcPr>
                  <w:tcW w:w="847" w:type="pct"/>
                </w:tcPr>
                <w:p w14:paraId="79549E2F" w14:textId="77777777" w:rsidR="00F05DC7" w:rsidRDefault="00F05DC7" w:rsidP="00A3786D">
                  <w:pPr>
                    <w:pStyle w:val="TableBodyText"/>
                    <w:jc w:val="left"/>
                  </w:pPr>
                  <w:r>
                    <w:t>Austria</w:t>
                  </w:r>
                </w:p>
              </w:tc>
              <w:tc>
                <w:tcPr>
                  <w:tcW w:w="1038" w:type="pct"/>
                </w:tcPr>
                <w:p w14:paraId="79549E30" w14:textId="77777777" w:rsidR="00F05DC7" w:rsidRDefault="00F05DC7" w:rsidP="00A3786D">
                  <w:pPr>
                    <w:pStyle w:val="TableBodyText"/>
                  </w:pPr>
                </w:p>
              </w:tc>
              <w:tc>
                <w:tcPr>
                  <w:tcW w:w="962" w:type="pct"/>
                </w:tcPr>
                <w:p w14:paraId="79549E31" w14:textId="77777777" w:rsidR="00F05DC7" w:rsidRDefault="00F05DC7" w:rsidP="00A3786D">
                  <w:pPr>
                    <w:pStyle w:val="TableBodyText"/>
                  </w:pPr>
                  <w:r>
                    <w:t>0.05</w:t>
                  </w:r>
                </w:p>
              </w:tc>
              <w:tc>
                <w:tcPr>
                  <w:tcW w:w="1114" w:type="pct"/>
                </w:tcPr>
                <w:p w14:paraId="79549E32" w14:textId="77777777" w:rsidR="00F05DC7" w:rsidRDefault="00F05DC7" w:rsidP="00A3786D">
                  <w:pPr>
                    <w:pStyle w:val="TableBodyText"/>
                    <w:ind w:right="28"/>
                  </w:pPr>
                </w:p>
              </w:tc>
              <w:tc>
                <w:tcPr>
                  <w:tcW w:w="1038" w:type="pct"/>
                </w:tcPr>
                <w:p w14:paraId="79549E33" w14:textId="77777777" w:rsidR="00F05DC7" w:rsidRDefault="00F05DC7" w:rsidP="00A3786D">
                  <w:pPr>
                    <w:pStyle w:val="TableBodyText"/>
                    <w:ind w:right="28"/>
                  </w:pPr>
                  <w:r>
                    <w:t>1.5</w:t>
                  </w:r>
                </w:p>
              </w:tc>
            </w:tr>
            <w:tr w:rsidR="00F05DC7" w14:paraId="79549E3A" w14:textId="77777777" w:rsidTr="00A3786D">
              <w:tc>
                <w:tcPr>
                  <w:tcW w:w="847" w:type="pct"/>
                </w:tcPr>
                <w:p w14:paraId="79549E35" w14:textId="77777777" w:rsidR="00F05DC7" w:rsidRDefault="00F05DC7" w:rsidP="00A3786D">
                  <w:pPr>
                    <w:pStyle w:val="TableBodyText"/>
                    <w:jc w:val="left"/>
                  </w:pPr>
                  <w:r>
                    <w:t>Canada</w:t>
                  </w:r>
                </w:p>
              </w:tc>
              <w:tc>
                <w:tcPr>
                  <w:tcW w:w="1038" w:type="pct"/>
                </w:tcPr>
                <w:p w14:paraId="79549E36" w14:textId="77777777" w:rsidR="00F05DC7" w:rsidRDefault="00F05DC7" w:rsidP="00A3786D">
                  <w:pPr>
                    <w:pStyle w:val="TableBodyText"/>
                  </w:pPr>
                  <w:r>
                    <w:t>0.11</w:t>
                  </w:r>
                </w:p>
              </w:tc>
              <w:tc>
                <w:tcPr>
                  <w:tcW w:w="962" w:type="pct"/>
                </w:tcPr>
                <w:p w14:paraId="79549E37" w14:textId="77777777" w:rsidR="00F05DC7" w:rsidRDefault="00F05DC7" w:rsidP="00A3786D">
                  <w:pPr>
                    <w:pStyle w:val="TableBodyText"/>
                  </w:pPr>
                  <w:r>
                    <w:t>0.08</w:t>
                  </w:r>
                </w:p>
              </w:tc>
              <w:tc>
                <w:tcPr>
                  <w:tcW w:w="1114" w:type="pct"/>
                </w:tcPr>
                <w:p w14:paraId="79549E38" w14:textId="77777777" w:rsidR="00F05DC7" w:rsidRDefault="00F05DC7" w:rsidP="00A3786D">
                  <w:pPr>
                    <w:pStyle w:val="TableBodyText"/>
                    <w:ind w:right="28"/>
                  </w:pPr>
                  <w:r>
                    <w:t>2.4</w:t>
                  </w:r>
                </w:p>
              </w:tc>
              <w:tc>
                <w:tcPr>
                  <w:tcW w:w="1038" w:type="pct"/>
                </w:tcPr>
                <w:p w14:paraId="79549E39" w14:textId="77777777" w:rsidR="00F05DC7" w:rsidRDefault="00F05DC7" w:rsidP="00A3786D">
                  <w:pPr>
                    <w:pStyle w:val="TableBodyText"/>
                    <w:ind w:right="28"/>
                  </w:pPr>
                  <w:r>
                    <w:t>1.8</w:t>
                  </w:r>
                </w:p>
              </w:tc>
            </w:tr>
            <w:tr w:rsidR="00F05DC7" w14:paraId="79549E40" w14:textId="77777777" w:rsidTr="00A3786D">
              <w:tc>
                <w:tcPr>
                  <w:tcW w:w="847" w:type="pct"/>
                </w:tcPr>
                <w:p w14:paraId="79549E3B" w14:textId="77777777" w:rsidR="00F05DC7" w:rsidRDefault="00F05DC7" w:rsidP="00A3786D">
                  <w:pPr>
                    <w:pStyle w:val="TableBodyText"/>
                    <w:jc w:val="left"/>
                  </w:pPr>
                  <w:r>
                    <w:t>China (2010)</w:t>
                  </w:r>
                </w:p>
              </w:tc>
              <w:tc>
                <w:tcPr>
                  <w:tcW w:w="1038" w:type="pct"/>
                </w:tcPr>
                <w:p w14:paraId="79549E3C" w14:textId="77777777" w:rsidR="00F05DC7" w:rsidRDefault="00F05DC7" w:rsidP="00A3786D">
                  <w:pPr>
                    <w:pStyle w:val="TableBodyText"/>
                  </w:pPr>
                  <w:r>
                    <w:t>0.31</w:t>
                  </w:r>
                </w:p>
              </w:tc>
              <w:tc>
                <w:tcPr>
                  <w:tcW w:w="962" w:type="pct"/>
                </w:tcPr>
                <w:p w14:paraId="79549E3D" w14:textId="77777777" w:rsidR="00F05DC7" w:rsidRDefault="00F05DC7" w:rsidP="00A3786D">
                  <w:pPr>
                    <w:pStyle w:val="TableBodyText"/>
                  </w:pPr>
                  <w:r>
                    <w:t>0.18</w:t>
                  </w:r>
                </w:p>
              </w:tc>
              <w:tc>
                <w:tcPr>
                  <w:tcW w:w="1114" w:type="pct"/>
                </w:tcPr>
                <w:p w14:paraId="79549E3E" w14:textId="77777777" w:rsidR="00F05DC7" w:rsidRDefault="00F05DC7" w:rsidP="00A3786D">
                  <w:pPr>
                    <w:pStyle w:val="TableBodyText"/>
                    <w:ind w:right="28"/>
                  </w:pPr>
                  <w:r>
                    <w:t>10.3</w:t>
                  </w:r>
                </w:p>
              </w:tc>
              <w:tc>
                <w:tcPr>
                  <w:tcW w:w="1038" w:type="pct"/>
                </w:tcPr>
                <w:p w14:paraId="79549E3F" w14:textId="77777777" w:rsidR="00F05DC7" w:rsidRDefault="00F05DC7" w:rsidP="00A3786D">
                  <w:pPr>
                    <w:pStyle w:val="TableBodyText"/>
                    <w:ind w:right="28"/>
                  </w:pPr>
                  <w:r>
                    <w:t>5.3</w:t>
                  </w:r>
                </w:p>
              </w:tc>
            </w:tr>
            <w:tr w:rsidR="00F05DC7" w14:paraId="79549E46" w14:textId="77777777" w:rsidTr="00A3786D">
              <w:tc>
                <w:tcPr>
                  <w:tcW w:w="847" w:type="pct"/>
                </w:tcPr>
                <w:p w14:paraId="79549E41" w14:textId="77777777" w:rsidR="00F05DC7" w:rsidRDefault="00F05DC7" w:rsidP="00A3786D">
                  <w:pPr>
                    <w:pStyle w:val="TableBodyText"/>
                    <w:jc w:val="left"/>
                  </w:pPr>
                  <w:r>
                    <w:t>Germany (2005)</w:t>
                  </w:r>
                </w:p>
              </w:tc>
              <w:tc>
                <w:tcPr>
                  <w:tcW w:w="1038" w:type="pct"/>
                </w:tcPr>
                <w:p w14:paraId="79549E42" w14:textId="77777777" w:rsidR="00F05DC7" w:rsidRDefault="00F05DC7" w:rsidP="00A3786D">
                  <w:pPr>
                    <w:pStyle w:val="TableBodyText"/>
                  </w:pPr>
                  <w:r>
                    <w:t>0.06</w:t>
                  </w:r>
                </w:p>
              </w:tc>
              <w:tc>
                <w:tcPr>
                  <w:tcW w:w="962" w:type="pct"/>
                </w:tcPr>
                <w:p w14:paraId="79549E43" w14:textId="77777777" w:rsidR="00F05DC7" w:rsidRDefault="00F05DC7" w:rsidP="00A3786D">
                  <w:pPr>
                    <w:pStyle w:val="TableBodyText"/>
                  </w:pPr>
                  <w:r>
                    <w:t>0.02</w:t>
                  </w:r>
                </w:p>
              </w:tc>
              <w:tc>
                <w:tcPr>
                  <w:tcW w:w="1114" w:type="pct"/>
                </w:tcPr>
                <w:p w14:paraId="79549E44" w14:textId="77777777" w:rsidR="00F05DC7" w:rsidRDefault="00F05DC7" w:rsidP="00A3786D">
                  <w:pPr>
                    <w:pStyle w:val="TableBodyText"/>
                    <w:ind w:right="28"/>
                  </w:pPr>
                  <w:r>
                    <w:t>1.7</w:t>
                  </w:r>
                </w:p>
              </w:tc>
              <w:tc>
                <w:tcPr>
                  <w:tcW w:w="1038" w:type="pct"/>
                </w:tcPr>
                <w:p w14:paraId="79549E45" w14:textId="77777777" w:rsidR="00F05DC7" w:rsidRDefault="00F05DC7" w:rsidP="00A3786D">
                  <w:pPr>
                    <w:pStyle w:val="TableBodyText"/>
                    <w:ind w:right="28"/>
                  </w:pPr>
                  <w:r>
                    <w:t>1.1</w:t>
                  </w:r>
                </w:p>
              </w:tc>
            </w:tr>
            <w:tr w:rsidR="00F05DC7" w14:paraId="79549E4C" w14:textId="77777777" w:rsidTr="00A3786D">
              <w:tc>
                <w:tcPr>
                  <w:tcW w:w="847" w:type="pct"/>
                </w:tcPr>
                <w:p w14:paraId="79549E47" w14:textId="77777777" w:rsidR="00F05DC7" w:rsidRDefault="00F05DC7" w:rsidP="00A3786D">
                  <w:pPr>
                    <w:pStyle w:val="TableBodyText"/>
                    <w:jc w:val="left"/>
                  </w:pPr>
                  <w:r>
                    <w:t>Italy</w:t>
                  </w:r>
                </w:p>
              </w:tc>
              <w:tc>
                <w:tcPr>
                  <w:tcW w:w="1038" w:type="pct"/>
                </w:tcPr>
                <w:p w14:paraId="79549E48" w14:textId="77777777" w:rsidR="00F05DC7" w:rsidRDefault="00F05DC7" w:rsidP="00A3786D">
                  <w:pPr>
                    <w:pStyle w:val="TableBodyText"/>
                  </w:pPr>
                  <w:r>
                    <w:t>0.19</w:t>
                  </w:r>
                </w:p>
              </w:tc>
              <w:tc>
                <w:tcPr>
                  <w:tcW w:w="962" w:type="pct"/>
                </w:tcPr>
                <w:p w14:paraId="79549E49" w14:textId="77777777" w:rsidR="00F05DC7" w:rsidRDefault="00F05DC7" w:rsidP="00A3786D">
                  <w:pPr>
                    <w:pStyle w:val="TableBodyText"/>
                  </w:pPr>
                  <w:r>
                    <w:t>0.04</w:t>
                  </w:r>
                </w:p>
              </w:tc>
              <w:tc>
                <w:tcPr>
                  <w:tcW w:w="1114" w:type="pct"/>
                </w:tcPr>
                <w:p w14:paraId="79549E4A" w14:textId="77777777" w:rsidR="00F05DC7" w:rsidRDefault="00F05DC7" w:rsidP="00A3786D">
                  <w:pPr>
                    <w:pStyle w:val="TableBodyText"/>
                    <w:ind w:right="28"/>
                  </w:pPr>
                  <w:r>
                    <w:t>4.5</w:t>
                  </w:r>
                </w:p>
              </w:tc>
              <w:tc>
                <w:tcPr>
                  <w:tcW w:w="1038" w:type="pct"/>
                </w:tcPr>
                <w:p w14:paraId="79549E4B" w14:textId="77777777" w:rsidR="00F05DC7" w:rsidRDefault="00F05DC7" w:rsidP="00A3786D">
                  <w:pPr>
                    <w:pStyle w:val="TableBodyText"/>
                    <w:ind w:right="28"/>
                  </w:pPr>
                  <w:r>
                    <w:t>1.3</w:t>
                  </w:r>
                </w:p>
              </w:tc>
            </w:tr>
            <w:tr w:rsidR="00F05DC7" w14:paraId="79549E52" w14:textId="77777777" w:rsidTr="00A3786D">
              <w:tc>
                <w:tcPr>
                  <w:tcW w:w="847" w:type="pct"/>
                </w:tcPr>
                <w:p w14:paraId="79549E4D" w14:textId="77777777" w:rsidR="00F05DC7" w:rsidRDefault="00F05DC7" w:rsidP="00A3786D">
                  <w:pPr>
                    <w:pStyle w:val="TableBodyText"/>
                    <w:jc w:val="left"/>
                  </w:pPr>
                  <w:r>
                    <w:t>Spain</w:t>
                  </w:r>
                </w:p>
              </w:tc>
              <w:tc>
                <w:tcPr>
                  <w:tcW w:w="1038" w:type="pct"/>
                </w:tcPr>
                <w:p w14:paraId="79549E4E" w14:textId="77777777" w:rsidR="00F05DC7" w:rsidRDefault="00F05DC7" w:rsidP="00A3786D">
                  <w:pPr>
                    <w:pStyle w:val="TableBodyText"/>
                  </w:pPr>
                  <w:r>
                    <w:t>0.13</w:t>
                  </w:r>
                </w:p>
              </w:tc>
              <w:tc>
                <w:tcPr>
                  <w:tcW w:w="962" w:type="pct"/>
                </w:tcPr>
                <w:p w14:paraId="79549E4F" w14:textId="77777777" w:rsidR="00F05DC7" w:rsidRDefault="00F05DC7" w:rsidP="00A3786D">
                  <w:pPr>
                    <w:pStyle w:val="TableBodyText"/>
                  </w:pPr>
                  <w:r>
                    <w:t>0.05</w:t>
                  </w:r>
                </w:p>
              </w:tc>
              <w:tc>
                <w:tcPr>
                  <w:tcW w:w="1114" w:type="pct"/>
                </w:tcPr>
                <w:p w14:paraId="79549E50" w14:textId="77777777" w:rsidR="00F05DC7" w:rsidRDefault="00F05DC7" w:rsidP="00A3786D">
                  <w:pPr>
                    <w:pStyle w:val="TableBodyText"/>
                    <w:ind w:right="28"/>
                  </w:pPr>
                  <w:r>
                    <w:t>3.0</w:t>
                  </w:r>
                </w:p>
              </w:tc>
              <w:tc>
                <w:tcPr>
                  <w:tcW w:w="1038" w:type="pct"/>
                </w:tcPr>
                <w:p w14:paraId="79549E51" w14:textId="77777777" w:rsidR="00F05DC7" w:rsidRDefault="00F05DC7" w:rsidP="00A3786D">
                  <w:pPr>
                    <w:pStyle w:val="TableBodyText"/>
                    <w:ind w:right="28"/>
                  </w:pPr>
                  <w:r>
                    <w:t>1.4</w:t>
                  </w:r>
                </w:p>
              </w:tc>
            </w:tr>
            <w:tr w:rsidR="00F05DC7" w14:paraId="79549E58" w14:textId="77777777" w:rsidTr="00A3786D">
              <w:tc>
                <w:tcPr>
                  <w:tcW w:w="847" w:type="pct"/>
                  <w:tcBorders>
                    <w:bottom w:val="single" w:sz="6" w:space="0" w:color="BFBFBF"/>
                  </w:tcBorders>
                  <w:shd w:val="clear" w:color="auto" w:fill="auto"/>
                </w:tcPr>
                <w:p w14:paraId="79549E53" w14:textId="77777777" w:rsidR="00F05DC7" w:rsidRDefault="00F05DC7" w:rsidP="00A3786D">
                  <w:pPr>
                    <w:pStyle w:val="TableBodyText"/>
                    <w:jc w:val="left"/>
                  </w:pPr>
                  <w:r>
                    <w:t>Switzerland</w:t>
                  </w:r>
                </w:p>
              </w:tc>
              <w:tc>
                <w:tcPr>
                  <w:tcW w:w="1038" w:type="pct"/>
                  <w:tcBorders>
                    <w:bottom w:val="single" w:sz="6" w:space="0" w:color="BFBFBF"/>
                  </w:tcBorders>
                </w:tcPr>
                <w:p w14:paraId="79549E54" w14:textId="77777777" w:rsidR="00F05DC7" w:rsidRDefault="00F05DC7" w:rsidP="00A3786D">
                  <w:pPr>
                    <w:pStyle w:val="TableBodyText"/>
                  </w:pPr>
                  <w:r>
                    <w:t>0.17</w:t>
                  </w:r>
                </w:p>
              </w:tc>
              <w:tc>
                <w:tcPr>
                  <w:tcW w:w="962" w:type="pct"/>
                  <w:tcBorders>
                    <w:bottom w:val="single" w:sz="6" w:space="0" w:color="BFBFBF"/>
                  </w:tcBorders>
                  <w:shd w:val="clear" w:color="auto" w:fill="auto"/>
                </w:tcPr>
                <w:p w14:paraId="79549E55" w14:textId="77777777" w:rsidR="00F05DC7" w:rsidRDefault="00F05DC7" w:rsidP="00A3786D">
                  <w:pPr>
                    <w:pStyle w:val="TableBodyText"/>
                  </w:pPr>
                  <w:r>
                    <w:t>0.11</w:t>
                  </w:r>
                </w:p>
              </w:tc>
              <w:tc>
                <w:tcPr>
                  <w:tcW w:w="1114" w:type="pct"/>
                  <w:tcBorders>
                    <w:bottom w:val="single" w:sz="6" w:space="0" w:color="BFBFBF"/>
                  </w:tcBorders>
                </w:tcPr>
                <w:p w14:paraId="79549E56" w14:textId="77777777" w:rsidR="00F05DC7" w:rsidRDefault="00F05DC7" w:rsidP="00A3786D">
                  <w:pPr>
                    <w:pStyle w:val="TableBodyText"/>
                    <w:ind w:right="28"/>
                  </w:pPr>
                  <w:r>
                    <w:t>4.3</w:t>
                  </w:r>
                </w:p>
              </w:tc>
              <w:tc>
                <w:tcPr>
                  <w:tcW w:w="1038" w:type="pct"/>
                  <w:tcBorders>
                    <w:bottom w:val="single" w:sz="6" w:space="0" w:color="BFBFBF"/>
                  </w:tcBorders>
                  <w:shd w:val="clear" w:color="auto" w:fill="auto"/>
                </w:tcPr>
                <w:p w14:paraId="79549E57" w14:textId="77777777" w:rsidR="00F05DC7" w:rsidRDefault="00F05DC7" w:rsidP="00A3786D">
                  <w:pPr>
                    <w:pStyle w:val="TableBodyText"/>
                    <w:ind w:right="28"/>
                  </w:pPr>
                  <w:r>
                    <w:t>2.6</w:t>
                  </w:r>
                </w:p>
              </w:tc>
            </w:tr>
          </w:tbl>
          <w:p w14:paraId="79549E59" w14:textId="77777777" w:rsidR="00F05DC7" w:rsidRDefault="00F05DC7" w:rsidP="00A3786D">
            <w:pPr>
              <w:pStyle w:val="Box"/>
            </w:pPr>
          </w:p>
        </w:tc>
      </w:tr>
      <w:tr w:rsidR="00F05DC7" w14:paraId="79549E5C" w14:textId="77777777" w:rsidTr="00A3786D">
        <w:tc>
          <w:tcPr>
            <w:tcW w:w="5000" w:type="pct"/>
            <w:tcBorders>
              <w:top w:val="nil"/>
              <w:left w:val="nil"/>
              <w:bottom w:val="nil"/>
              <w:right w:val="nil"/>
            </w:tcBorders>
            <w:shd w:val="clear" w:color="auto" w:fill="auto"/>
          </w:tcPr>
          <w:p w14:paraId="79549E5B" w14:textId="433C4D26" w:rsidR="00F05DC7" w:rsidRPr="00A840C0" w:rsidRDefault="00F05DC7" w:rsidP="00A3786D">
            <w:pPr>
              <w:pStyle w:val="Subtitle"/>
              <w:keepNext w:val="0"/>
              <w:spacing w:before="80" w:after="0" w:line="220" w:lineRule="exact"/>
              <w:ind w:left="0"/>
              <w:jc w:val="both"/>
              <w:rPr>
                <w:szCs w:val="18"/>
              </w:rPr>
            </w:pPr>
            <w:r w:rsidRPr="00287CF7">
              <w:rPr>
                <w:i/>
                <w:sz w:val="18"/>
                <w:szCs w:val="18"/>
              </w:rPr>
              <w:t>Source</w:t>
            </w:r>
            <w:r w:rsidRPr="00FF4094">
              <w:rPr>
                <w:sz w:val="18"/>
                <w:szCs w:val="18"/>
              </w:rPr>
              <w:t>: OECD</w:t>
            </w:r>
            <w:r>
              <w:rPr>
                <w:sz w:val="18"/>
                <w:szCs w:val="18"/>
              </w:rPr>
              <w:t> </w:t>
            </w:r>
            <w:r w:rsidRPr="00877F67">
              <w:rPr>
                <w:rFonts w:cs="Arial"/>
                <w:sz w:val="18"/>
              </w:rPr>
              <w:t>(2013, p. 105)</w:t>
            </w:r>
            <w:r>
              <w:rPr>
                <w:sz w:val="18"/>
                <w:szCs w:val="18"/>
              </w:rPr>
              <w:t>.</w:t>
            </w:r>
          </w:p>
        </w:tc>
      </w:tr>
      <w:tr w:rsidR="00F05DC7" w:rsidRPr="000863A5" w14:paraId="79549E5E" w14:textId="77777777" w:rsidTr="00A3786D">
        <w:tc>
          <w:tcPr>
            <w:tcW w:w="5000" w:type="pct"/>
            <w:tcBorders>
              <w:top w:val="single" w:sz="6" w:space="0" w:color="78A22F"/>
              <w:left w:val="nil"/>
              <w:bottom w:val="nil"/>
              <w:right w:val="nil"/>
            </w:tcBorders>
          </w:tcPr>
          <w:p w14:paraId="79549E5D" w14:textId="77777777" w:rsidR="00F05DC7" w:rsidRPr="00626D32" w:rsidRDefault="00F05DC7" w:rsidP="00A3786D">
            <w:pPr>
              <w:pStyle w:val="BoxSpaceBelow"/>
            </w:pPr>
          </w:p>
        </w:tc>
      </w:tr>
    </w:tbl>
    <w:p w14:paraId="79549E5F" w14:textId="2E1F39A2" w:rsidR="00F05DC7" w:rsidRDefault="00F05DC7" w:rsidP="00A3786D">
      <w:pPr>
        <w:pStyle w:val="BodyText"/>
      </w:pPr>
      <w:r>
        <w:t>Even in Australia’s case however, equalisation is not perfect, as acknowledged by the CGC </w:t>
      </w:r>
      <w:r w:rsidR="009D6331" w:rsidRPr="009D6331">
        <w:rPr>
          <w:szCs w:val="24"/>
        </w:rPr>
        <w:t>(2015f, p. 19)</w:t>
      </w:r>
      <w:r>
        <w:t xml:space="preserve">. This is largely due to conceptual considerations and data limitations. For example, materiality thresholds mean that factors with a very small individual effect on the GST distribution do not result in redistribution of GST. As noted above, discounting is another illustration of the implementation of proximate, rather than precise, equalisation. Similarly, a sizable proportion of State revenues classified as ‘other revenue’ (nearly 40 per cent) are assessed on an equal per capita basis and therefore do not affect the distribution of GST payments </w:t>
      </w:r>
      <w:r w:rsidR="009D6331" w:rsidRPr="009D6331">
        <w:rPr>
          <w:szCs w:val="24"/>
        </w:rPr>
        <w:t>(CGC 2018c)</w:t>
      </w:r>
      <w:r>
        <w:t>.</w:t>
      </w:r>
    </w:p>
    <w:p w14:paraId="79549E60" w14:textId="77777777" w:rsidR="00F05DC7" w:rsidRDefault="00F05DC7" w:rsidP="00A3786D">
      <w:pPr>
        <w:pStyle w:val="BodyText"/>
      </w:pPr>
      <w:r>
        <w:t xml:space="preserve">Further, the fact that States are free to spend GST payments as they deem appropriate can also contribute to differences in outcomes across States — the expenditure preferences of State governments and State populations are not nationally uniform. In general, the effort made by States in providing services is about average for most expenditure categories, although there are some significant areas of exception (box 2.6). </w:t>
      </w:r>
    </w:p>
    <w:p w14:paraId="79549E61" w14:textId="528846D8" w:rsidR="00F05DC7" w:rsidRDefault="00F05DC7" w:rsidP="00A3786D">
      <w:pPr>
        <w:pStyle w:val="BodyText"/>
      </w:pPr>
      <w:r>
        <w:t>At the aggregate level, there is also a divergence between actual and assessed expenditures (figure 2.11). However, caution should be exercised when interpreting differences between actual and assessed expenditures. D</w:t>
      </w:r>
      <w:r w:rsidRPr="00E12170">
        <w:t>ifferences between actual and a</w:t>
      </w:r>
      <w:r>
        <w:t xml:space="preserve">ssessed expenses can be due to: </w:t>
      </w:r>
      <w:r w:rsidRPr="00E12170">
        <w:t>State polic</w:t>
      </w:r>
      <w:r>
        <w:t>y choice</w:t>
      </w:r>
      <w:r w:rsidRPr="00E12170">
        <w:t>s</w:t>
      </w:r>
      <w:r>
        <w:t xml:space="preserve">, </w:t>
      </w:r>
      <w:r w:rsidRPr="00E12170">
        <w:t xml:space="preserve">efficiency </w:t>
      </w:r>
      <w:r>
        <w:t xml:space="preserve">of service provision, and </w:t>
      </w:r>
      <w:r w:rsidRPr="00E12170">
        <w:t>disabilities not assessed (either because they could not be reliably measured or because they were not material)</w:t>
      </w:r>
      <w:r>
        <w:t xml:space="preserve"> </w:t>
      </w:r>
      <w:r w:rsidRPr="005A052A">
        <w:rPr>
          <w:szCs w:val="24"/>
        </w:rPr>
        <w:t>(CGC 2008, p. 2)</w:t>
      </w:r>
      <w:r>
        <w:t xml:space="preserve">. Hence, part of any difference between actual and assessed expenditures may be attributable to efficiency considerations, but the extent of this attribution cannot be factually established. </w:t>
      </w:r>
    </w:p>
    <w:p w14:paraId="79549E62" w14:textId="77777777" w:rsidR="00F05DC7" w:rsidRDefault="00F05DC7" w:rsidP="00A3786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E64" w14:textId="77777777" w:rsidTr="001113B1">
        <w:trPr>
          <w:tblHeader/>
        </w:trPr>
        <w:tc>
          <w:tcPr>
            <w:tcW w:w="5000" w:type="pct"/>
            <w:tcBorders>
              <w:top w:val="single" w:sz="6" w:space="0" w:color="78A22F"/>
              <w:left w:val="nil"/>
              <w:bottom w:val="nil"/>
              <w:right w:val="nil"/>
            </w:tcBorders>
            <w:shd w:val="clear" w:color="auto" w:fill="F2F2F2"/>
          </w:tcPr>
          <w:p w14:paraId="79549E63" w14:textId="1C4BDB97" w:rsidR="00F05DC7" w:rsidRDefault="00F05DC7" w:rsidP="00A3786D">
            <w:pPr>
              <w:pStyle w:val="BoxTitle"/>
            </w:pPr>
            <w:r>
              <w:rPr>
                <w:b w:val="0"/>
              </w:rPr>
              <w:lastRenderedPageBreak/>
              <w:t>Box 2.</w:t>
            </w:r>
            <w:r>
              <w:rPr>
                <w:b w:val="0"/>
                <w:noProof/>
              </w:rPr>
              <w:t>6</w:t>
            </w:r>
            <w:r>
              <w:tab/>
              <w:t>How are funds actually used?</w:t>
            </w:r>
          </w:p>
        </w:tc>
      </w:tr>
      <w:tr w:rsidR="00F05DC7" w14:paraId="79549EC7" w14:textId="77777777" w:rsidTr="00A3786D">
        <w:tc>
          <w:tcPr>
            <w:tcW w:w="5000" w:type="pct"/>
            <w:tcBorders>
              <w:top w:val="nil"/>
              <w:left w:val="nil"/>
              <w:bottom w:val="nil"/>
              <w:right w:val="nil"/>
            </w:tcBorders>
            <w:shd w:val="clear" w:color="auto" w:fill="F2F2F2"/>
          </w:tcPr>
          <w:p w14:paraId="79549E65" w14:textId="77777777" w:rsidR="00F05DC7" w:rsidRDefault="00F05DC7" w:rsidP="00A3786D">
            <w:pPr>
              <w:pStyle w:val="Box"/>
            </w:pPr>
            <w:r>
              <w:t>GST distributed to the States is not tied to expenditures in particular areas, although the effort made by States in providing services is generally about average for various expenditure categories. That said, there are some significant exceptions, such as the low level of actual spending for services to communities in Tasmania and housing in South Australia, as well as the relatively high level of expenditure devoted to post</w:t>
            </w:r>
            <w:r>
              <w:noBreakHyphen/>
              <w:t>secondary education in the Northern Territory (shaded areas in the table below).</w:t>
            </w:r>
          </w:p>
          <w:p w14:paraId="79549E66" w14:textId="43776CB3" w:rsidR="00F05DC7" w:rsidRDefault="00F05DC7" w:rsidP="00A3786D">
            <w:pPr>
              <w:pStyle w:val="Box"/>
            </w:pPr>
            <w:r>
              <w:t>Some participants to this inquiry have expressed concerns that HFE revenue is not being used by States in a way that improves services or State structural disadvantage. For instance, Neil Warren (sub. 38, p. 3) suggested reforms were necessary to make States accountable for how HFE funds were actually spent. Similar concerns were expressed by Garnaut and FitzGerald </w:t>
            </w:r>
            <w:r w:rsidR="009D6331" w:rsidRPr="009D6331">
              <w:rPr>
                <w:rFonts w:cs="Arial"/>
              </w:rPr>
              <w:t>(2002b)</w:t>
            </w:r>
            <w:r>
              <w:t xml:space="preserve"> in their review of federal financial relations.</w:t>
            </w:r>
          </w:p>
          <w:p w14:paraId="79549E67" w14:textId="77777777" w:rsidR="00F05DC7" w:rsidRDefault="00F05DC7" w:rsidP="00A3786D">
            <w:pPr>
              <w:pStyle w:val="Box"/>
            </w:pPr>
            <w:r>
              <w:t>The Yothu Yindi Foundation (sub. DR80, p. 3) contended that ‘Indigenous Territorians in particular retain unresolved concerns that the Northern Territory government does not fully apply the funds it receives as assessed by the CGC for the benefit of Indigenous people’.</w:t>
            </w:r>
          </w:p>
          <w:p w14:paraId="79549E68" w14:textId="3406E7A2" w:rsidR="00F05DC7" w:rsidRDefault="00F05DC7" w:rsidP="00A3786D">
            <w:pPr>
              <w:pStyle w:val="Box"/>
            </w:pPr>
            <w:r>
              <w:t xml:space="preserve">The ACT Government (sub. DR81, pp. 21–22) cautioned against interpreting low actual to assessed expense ratios as indicating that funds were not being used in a manner that improves services or seeks to rectify structural disadvantage. They argued that low actual to assessed ratios may in some cases reflect a more efficient use of funds by a State, rather than a lower standard of service, or be due to ‘legitimate’ State policy choices. For instance, the category ‘services to communities’ comprises State general government recurrent spending </w:t>
            </w:r>
            <w:r w:rsidRPr="00926378">
              <w:t xml:space="preserve">for the provision of electricity, water and wastewater services (utilities subsidies) and a range of expenses for </w:t>
            </w:r>
            <w:r>
              <w:t xml:space="preserve">the </w:t>
            </w:r>
            <w:r w:rsidRPr="00926378">
              <w:t>administration of community amenities and environmental services</w:t>
            </w:r>
            <w:r>
              <w:t xml:space="preserve"> </w:t>
            </w:r>
            <w:r w:rsidR="009D6331" w:rsidRPr="009D6331">
              <w:rPr>
                <w:rFonts w:cs="Arial"/>
                <w:szCs w:val="24"/>
              </w:rPr>
              <w:t>(CGC 2015f, p. 276)</w:t>
            </w:r>
            <w:r>
              <w:t xml:space="preserve">. Hence, Tasmania’s low ratio of actual to assessed expenses in this category may reflect a relatively small proportion of funds provided as subsidies for utilities. </w:t>
            </w:r>
          </w:p>
          <w:p w14:paraId="79549E69" w14:textId="77777777" w:rsidR="00F05DC7" w:rsidRPr="00AF7815" w:rsidRDefault="00F05DC7" w:rsidP="00A3786D">
            <w:pPr>
              <w:pStyle w:val="BoxHeading1"/>
            </w:pPr>
            <w:r w:rsidRPr="00AF7815">
              <w:t>Selected ‘effort’ ratios</w:t>
            </w:r>
          </w:p>
          <w:p w14:paraId="79549E6A" w14:textId="77777777" w:rsidR="00F05DC7" w:rsidRDefault="00F05DC7" w:rsidP="00A3786D">
            <w:pPr>
              <w:pStyle w:val="Box"/>
              <w:spacing w:before="0"/>
            </w:pPr>
            <w:r>
              <w:t>Ratio of actual to assessed expenses, 2016-17 assessment year</w:t>
            </w:r>
            <w:r w:rsidRPr="00721E53">
              <w:rPr>
                <w:rStyle w:val="NoteLabel"/>
              </w:rPr>
              <w:t>a</w:t>
            </w:r>
            <w:r>
              <w:rPr>
                <w:rStyle w:val="NoteLabel"/>
              </w:rPr>
              <w:t>,b</w:t>
            </w:r>
          </w:p>
          <w:tbl>
            <w:tblPr>
              <w:tblW w:w="5000" w:type="pct"/>
              <w:tblCellMar>
                <w:top w:w="28" w:type="dxa"/>
                <w:left w:w="0" w:type="dxa"/>
                <w:right w:w="0" w:type="dxa"/>
              </w:tblCellMar>
              <w:tblLook w:val="0000" w:firstRow="0" w:lastRow="0" w:firstColumn="0" w:lastColumn="0" w:noHBand="0" w:noVBand="0"/>
            </w:tblPr>
            <w:tblGrid>
              <w:gridCol w:w="1370"/>
              <w:gridCol w:w="894"/>
              <w:gridCol w:w="894"/>
              <w:gridCol w:w="894"/>
              <w:gridCol w:w="894"/>
              <w:gridCol w:w="894"/>
              <w:gridCol w:w="894"/>
              <w:gridCol w:w="894"/>
              <w:gridCol w:w="877"/>
            </w:tblGrid>
            <w:tr w:rsidR="00F05DC7" w14:paraId="79549E74" w14:textId="77777777" w:rsidTr="00A3786D">
              <w:trPr>
                <w:tblHeader/>
              </w:trPr>
              <w:tc>
                <w:tcPr>
                  <w:tcW w:w="666" w:type="pct"/>
                  <w:tcBorders>
                    <w:top w:val="single" w:sz="6" w:space="0" w:color="BFBFBF"/>
                    <w:bottom w:val="single" w:sz="6" w:space="0" w:color="BFBFBF"/>
                  </w:tcBorders>
                  <w:shd w:val="clear" w:color="auto" w:fill="auto"/>
                  <w:tcMar>
                    <w:top w:w="28" w:type="dxa"/>
                  </w:tcMar>
                </w:tcPr>
                <w:p w14:paraId="79549E6B" w14:textId="77777777" w:rsidR="00F05DC7" w:rsidRPr="00643F85" w:rsidRDefault="00F05DC7" w:rsidP="00A3786D">
                  <w:pPr>
                    <w:pStyle w:val="TableColumnHeading"/>
                  </w:pPr>
                </w:p>
              </w:tc>
              <w:tc>
                <w:tcPr>
                  <w:tcW w:w="543" w:type="pct"/>
                  <w:tcBorders>
                    <w:top w:val="single" w:sz="6" w:space="0" w:color="BFBFBF"/>
                    <w:bottom w:val="single" w:sz="6" w:space="0" w:color="BFBFBF"/>
                  </w:tcBorders>
                  <w:vAlign w:val="center"/>
                </w:tcPr>
                <w:p w14:paraId="79549E6C" w14:textId="77777777" w:rsidR="00F05DC7" w:rsidRPr="00643F85" w:rsidRDefault="00F05DC7" w:rsidP="00A3786D">
                  <w:pPr>
                    <w:pStyle w:val="TableColumnHeading"/>
                  </w:pPr>
                  <w:r w:rsidRPr="009811F2">
                    <w:t>NSW</w:t>
                  </w:r>
                </w:p>
              </w:tc>
              <w:tc>
                <w:tcPr>
                  <w:tcW w:w="543" w:type="pct"/>
                  <w:tcBorders>
                    <w:top w:val="single" w:sz="6" w:space="0" w:color="BFBFBF"/>
                    <w:bottom w:val="single" w:sz="6" w:space="0" w:color="BFBFBF"/>
                  </w:tcBorders>
                  <w:vAlign w:val="center"/>
                </w:tcPr>
                <w:p w14:paraId="79549E6D" w14:textId="77777777" w:rsidR="00F05DC7" w:rsidRPr="00643F85" w:rsidRDefault="00F05DC7" w:rsidP="00A3786D">
                  <w:pPr>
                    <w:pStyle w:val="TableColumnHeading"/>
                  </w:pPr>
                  <w:r w:rsidRPr="009811F2">
                    <w:t>Vic</w:t>
                  </w:r>
                </w:p>
              </w:tc>
              <w:tc>
                <w:tcPr>
                  <w:tcW w:w="543" w:type="pct"/>
                  <w:tcBorders>
                    <w:top w:val="single" w:sz="6" w:space="0" w:color="BFBFBF"/>
                    <w:bottom w:val="single" w:sz="6" w:space="0" w:color="BFBFBF"/>
                  </w:tcBorders>
                  <w:vAlign w:val="center"/>
                </w:tcPr>
                <w:p w14:paraId="79549E6E" w14:textId="77777777" w:rsidR="00F05DC7" w:rsidRPr="00643F85" w:rsidRDefault="00F05DC7" w:rsidP="00A3786D">
                  <w:pPr>
                    <w:pStyle w:val="TableColumnHeading"/>
                  </w:pPr>
                  <w:r w:rsidRPr="009811F2">
                    <w:t>Qld</w:t>
                  </w:r>
                </w:p>
              </w:tc>
              <w:tc>
                <w:tcPr>
                  <w:tcW w:w="543" w:type="pct"/>
                  <w:tcBorders>
                    <w:top w:val="single" w:sz="6" w:space="0" w:color="BFBFBF"/>
                    <w:bottom w:val="single" w:sz="6" w:space="0" w:color="BFBFBF"/>
                  </w:tcBorders>
                  <w:vAlign w:val="center"/>
                </w:tcPr>
                <w:p w14:paraId="79549E6F" w14:textId="77777777" w:rsidR="00F05DC7" w:rsidRPr="00643F85" w:rsidRDefault="00F05DC7" w:rsidP="00A3786D">
                  <w:pPr>
                    <w:pStyle w:val="TableColumnHeading"/>
                  </w:pPr>
                  <w:r w:rsidRPr="009811F2">
                    <w:t>WA</w:t>
                  </w:r>
                </w:p>
              </w:tc>
              <w:tc>
                <w:tcPr>
                  <w:tcW w:w="543" w:type="pct"/>
                  <w:tcBorders>
                    <w:top w:val="single" w:sz="6" w:space="0" w:color="BFBFBF"/>
                    <w:bottom w:val="single" w:sz="6" w:space="0" w:color="BFBFBF"/>
                  </w:tcBorders>
                  <w:vAlign w:val="center"/>
                </w:tcPr>
                <w:p w14:paraId="79549E70" w14:textId="77777777" w:rsidR="00F05DC7" w:rsidRPr="00643F85" w:rsidRDefault="00F05DC7" w:rsidP="00A3786D">
                  <w:pPr>
                    <w:pStyle w:val="TableColumnHeading"/>
                  </w:pPr>
                  <w:r w:rsidRPr="009811F2">
                    <w:t>SA</w:t>
                  </w:r>
                </w:p>
              </w:tc>
              <w:tc>
                <w:tcPr>
                  <w:tcW w:w="543" w:type="pct"/>
                  <w:tcBorders>
                    <w:top w:val="single" w:sz="6" w:space="0" w:color="BFBFBF"/>
                    <w:bottom w:val="single" w:sz="6" w:space="0" w:color="BFBFBF"/>
                  </w:tcBorders>
                  <w:vAlign w:val="center"/>
                </w:tcPr>
                <w:p w14:paraId="79549E71" w14:textId="77777777" w:rsidR="00F05DC7" w:rsidRPr="00643F85" w:rsidRDefault="00F05DC7" w:rsidP="00A3786D">
                  <w:pPr>
                    <w:pStyle w:val="TableColumnHeading"/>
                  </w:pPr>
                  <w:r w:rsidRPr="009811F2">
                    <w:t>Tas</w:t>
                  </w:r>
                </w:p>
              </w:tc>
              <w:tc>
                <w:tcPr>
                  <w:tcW w:w="543" w:type="pct"/>
                  <w:tcBorders>
                    <w:top w:val="single" w:sz="6" w:space="0" w:color="BFBFBF"/>
                    <w:bottom w:val="single" w:sz="6" w:space="0" w:color="BFBFBF"/>
                  </w:tcBorders>
                  <w:shd w:val="clear" w:color="auto" w:fill="auto"/>
                  <w:tcMar>
                    <w:top w:w="28" w:type="dxa"/>
                  </w:tcMar>
                  <w:vAlign w:val="center"/>
                </w:tcPr>
                <w:p w14:paraId="79549E72" w14:textId="77777777" w:rsidR="00F05DC7" w:rsidRPr="00643F85" w:rsidRDefault="00F05DC7" w:rsidP="00A3786D">
                  <w:pPr>
                    <w:pStyle w:val="TableColumnHeading"/>
                  </w:pPr>
                  <w:r w:rsidRPr="009811F2">
                    <w:t>ACT</w:t>
                  </w:r>
                </w:p>
              </w:tc>
              <w:tc>
                <w:tcPr>
                  <w:tcW w:w="535" w:type="pct"/>
                  <w:tcBorders>
                    <w:top w:val="single" w:sz="6" w:space="0" w:color="BFBFBF"/>
                    <w:bottom w:val="single" w:sz="6" w:space="0" w:color="BFBFBF"/>
                  </w:tcBorders>
                  <w:shd w:val="clear" w:color="auto" w:fill="auto"/>
                  <w:tcMar>
                    <w:top w:w="28" w:type="dxa"/>
                  </w:tcMar>
                  <w:vAlign w:val="center"/>
                </w:tcPr>
                <w:p w14:paraId="79549E73" w14:textId="77777777" w:rsidR="00F05DC7" w:rsidRPr="00643F85" w:rsidRDefault="00F05DC7" w:rsidP="00A3786D">
                  <w:pPr>
                    <w:pStyle w:val="TableColumnHeading"/>
                  </w:pPr>
                  <w:r w:rsidRPr="009811F2">
                    <w:t>NT</w:t>
                  </w:r>
                </w:p>
              </w:tc>
            </w:tr>
            <w:tr w:rsidR="00F05DC7" w14:paraId="79549E7E" w14:textId="77777777" w:rsidTr="00A3786D">
              <w:tc>
                <w:tcPr>
                  <w:tcW w:w="666" w:type="pct"/>
                  <w:tcBorders>
                    <w:top w:val="single" w:sz="6" w:space="0" w:color="BFBFBF"/>
                  </w:tcBorders>
                </w:tcPr>
                <w:p w14:paraId="79549E75" w14:textId="77777777" w:rsidR="00F05DC7" w:rsidRDefault="00F05DC7" w:rsidP="00A3786D">
                  <w:pPr>
                    <w:pStyle w:val="TableUnitsRow"/>
                    <w:jc w:val="left"/>
                  </w:pPr>
                  <w:r>
                    <w:t>Schools education</w:t>
                  </w:r>
                </w:p>
              </w:tc>
              <w:tc>
                <w:tcPr>
                  <w:tcW w:w="543" w:type="pct"/>
                  <w:tcBorders>
                    <w:top w:val="single" w:sz="6" w:space="0" w:color="BFBFBF"/>
                  </w:tcBorders>
                  <w:vAlign w:val="bottom"/>
                </w:tcPr>
                <w:p w14:paraId="79549E76" w14:textId="77777777" w:rsidR="00F05DC7" w:rsidRDefault="00F05DC7" w:rsidP="00A3786D">
                  <w:pPr>
                    <w:pStyle w:val="TableBodyText"/>
                  </w:pPr>
                  <w:r w:rsidRPr="002B1A0E">
                    <w:t>101.</w:t>
                  </w:r>
                  <w:r>
                    <w:t>7</w:t>
                  </w:r>
                </w:p>
              </w:tc>
              <w:tc>
                <w:tcPr>
                  <w:tcW w:w="543" w:type="pct"/>
                  <w:tcBorders>
                    <w:top w:val="single" w:sz="6" w:space="0" w:color="BFBFBF"/>
                  </w:tcBorders>
                  <w:vAlign w:val="bottom"/>
                </w:tcPr>
                <w:p w14:paraId="79549E77" w14:textId="77777777" w:rsidR="00F05DC7" w:rsidRDefault="00F05DC7" w:rsidP="00A3786D">
                  <w:pPr>
                    <w:pStyle w:val="TableBodyText"/>
                  </w:pPr>
                  <w:r w:rsidRPr="002B1A0E">
                    <w:t>9</w:t>
                  </w:r>
                  <w:r>
                    <w:t>3</w:t>
                  </w:r>
                  <w:r w:rsidRPr="002B1A0E">
                    <w:t>.</w:t>
                  </w:r>
                  <w:r>
                    <w:t>5</w:t>
                  </w:r>
                </w:p>
              </w:tc>
              <w:tc>
                <w:tcPr>
                  <w:tcW w:w="543" w:type="pct"/>
                  <w:tcBorders>
                    <w:top w:val="single" w:sz="6" w:space="0" w:color="BFBFBF"/>
                  </w:tcBorders>
                  <w:vAlign w:val="bottom"/>
                </w:tcPr>
                <w:p w14:paraId="79549E78" w14:textId="77777777" w:rsidR="00F05DC7" w:rsidRDefault="00F05DC7" w:rsidP="00A3786D">
                  <w:pPr>
                    <w:pStyle w:val="TableBodyText"/>
                  </w:pPr>
                  <w:r w:rsidRPr="002B1A0E">
                    <w:t>98.</w:t>
                  </w:r>
                  <w:r>
                    <w:t>7</w:t>
                  </w:r>
                </w:p>
              </w:tc>
              <w:tc>
                <w:tcPr>
                  <w:tcW w:w="543" w:type="pct"/>
                  <w:tcBorders>
                    <w:top w:val="single" w:sz="6" w:space="0" w:color="BFBFBF"/>
                  </w:tcBorders>
                  <w:vAlign w:val="bottom"/>
                </w:tcPr>
                <w:p w14:paraId="79549E79" w14:textId="77777777" w:rsidR="00F05DC7" w:rsidRDefault="00F05DC7" w:rsidP="00A3786D">
                  <w:pPr>
                    <w:pStyle w:val="TableBodyText"/>
                  </w:pPr>
                  <w:r w:rsidRPr="002B1A0E">
                    <w:t>10</w:t>
                  </w:r>
                  <w:r>
                    <w:t>7</w:t>
                  </w:r>
                  <w:r w:rsidRPr="002B1A0E">
                    <w:t>.1</w:t>
                  </w:r>
                </w:p>
              </w:tc>
              <w:tc>
                <w:tcPr>
                  <w:tcW w:w="543" w:type="pct"/>
                  <w:tcBorders>
                    <w:top w:val="single" w:sz="6" w:space="0" w:color="BFBFBF"/>
                  </w:tcBorders>
                  <w:vAlign w:val="bottom"/>
                </w:tcPr>
                <w:p w14:paraId="79549E7A" w14:textId="77777777" w:rsidR="00F05DC7" w:rsidRDefault="00F05DC7" w:rsidP="00A3786D">
                  <w:pPr>
                    <w:pStyle w:val="TableBodyText"/>
                  </w:pPr>
                  <w:r w:rsidRPr="002B1A0E">
                    <w:t>10</w:t>
                  </w:r>
                  <w:r>
                    <w:t>3</w:t>
                  </w:r>
                  <w:r w:rsidRPr="002B1A0E">
                    <w:t>.</w:t>
                  </w:r>
                  <w:r>
                    <w:t>1</w:t>
                  </w:r>
                </w:p>
              </w:tc>
              <w:tc>
                <w:tcPr>
                  <w:tcW w:w="543" w:type="pct"/>
                  <w:tcBorders>
                    <w:top w:val="single" w:sz="6" w:space="0" w:color="BFBFBF"/>
                  </w:tcBorders>
                  <w:vAlign w:val="bottom"/>
                </w:tcPr>
                <w:p w14:paraId="79549E7B" w14:textId="77777777" w:rsidR="00F05DC7" w:rsidRDefault="00F05DC7" w:rsidP="00A3786D">
                  <w:pPr>
                    <w:pStyle w:val="TableBodyText"/>
                  </w:pPr>
                  <w:r w:rsidRPr="002B1A0E">
                    <w:t>10</w:t>
                  </w:r>
                  <w:r>
                    <w:t>5</w:t>
                  </w:r>
                  <w:r w:rsidRPr="002B1A0E">
                    <w:t>.</w:t>
                  </w:r>
                  <w:r>
                    <w:t>4</w:t>
                  </w:r>
                </w:p>
              </w:tc>
              <w:tc>
                <w:tcPr>
                  <w:tcW w:w="543" w:type="pct"/>
                  <w:tcBorders>
                    <w:top w:val="single" w:sz="6" w:space="0" w:color="BFBFBF"/>
                  </w:tcBorders>
                  <w:vAlign w:val="bottom"/>
                </w:tcPr>
                <w:p w14:paraId="79549E7C" w14:textId="77777777" w:rsidR="00F05DC7" w:rsidRDefault="00F05DC7" w:rsidP="00A3786D">
                  <w:pPr>
                    <w:pStyle w:val="TableBodyText"/>
                  </w:pPr>
                  <w:r w:rsidRPr="002B1A0E">
                    <w:t>10</w:t>
                  </w:r>
                  <w:r>
                    <w:t>8</w:t>
                  </w:r>
                  <w:r w:rsidRPr="002B1A0E">
                    <w:t>.</w:t>
                  </w:r>
                  <w:r>
                    <w:t>6</w:t>
                  </w:r>
                </w:p>
              </w:tc>
              <w:tc>
                <w:tcPr>
                  <w:tcW w:w="535" w:type="pct"/>
                  <w:tcBorders>
                    <w:top w:val="single" w:sz="6" w:space="0" w:color="BFBFBF"/>
                  </w:tcBorders>
                  <w:vAlign w:val="bottom"/>
                </w:tcPr>
                <w:p w14:paraId="79549E7D" w14:textId="77777777" w:rsidR="00F05DC7" w:rsidRDefault="00F05DC7" w:rsidP="00A3786D">
                  <w:pPr>
                    <w:pStyle w:val="TableBodyText"/>
                  </w:pPr>
                  <w:r>
                    <w:t>102.3</w:t>
                  </w:r>
                </w:p>
              </w:tc>
            </w:tr>
            <w:tr w:rsidR="00F05DC7" w14:paraId="79549E88" w14:textId="77777777" w:rsidTr="00A3786D">
              <w:tc>
                <w:tcPr>
                  <w:tcW w:w="666" w:type="pct"/>
                </w:tcPr>
                <w:p w14:paraId="79549E7F" w14:textId="77777777" w:rsidR="00F05DC7" w:rsidRDefault="00F05DC7" w:rsidP="00A3786D">
                  <w:pPr>
                    <w:pStyle w:val="TableUnitsRow"/>
                    <w:jc w:val="left"/>
                  </w:pPr>
                  <w:r>
                    <w:t>Post</w:t>
                  </w:r>
                  <w:r>
                    <w:noBreakHyphen/>
                    <w:t>secondary education</w:t>
                  </w:r>
                </w:p>
              </w:tc>
              <w:tc>
                <w:tcPr>
                  <w:tcW w:w="543" w:type="pct"/>
                  <w:vAlign w:val="bottom"/>
                </w:tcPr>
                <w:p w14:paraId="79549E80" w14:textId="77777777" w:rsidR="00F05DC7" w:rsidRDefault="00F05DC7" w:rsidP="00A3786D">
                  <w:pPr>
                    <w:pStyle w:val="TableBodyText"/>
                  </w:pPr>
                  <w:r>
                    <w:t>8</w:t>
                  </w:r>
                  <w:r w:rsidRPr="002B1A0E">
                    <w:t>7.7</w:t>
                  </w:r>
                </w:p>
              </w:tc>
              <w:tc>
                <w:tcPr>
                  <w:tcW w:w="543" w:type="pct"/>
                  <w:vAlign w:val="bottom"/>
                </w:tcPr>
                <w:p w14:paraId="79549E81" w14:textId="77777777" w:rsidR="00F05DC7" w:rsidRDefault="00F05DC7" w:rsidP="00A3786D">
                  <w:pPr>
                    <w:pStyle w:val="TableBodyText"/>
                  </w:pPr>
                  <w:r w:rsidRPr="002B1A0E">
                    <w:t>1</w:t>
                  </w:r>
                  <w:r>
                    <w:t>19</w:t>
                  </w:r>
                  <w:r w:rsidRPr="002B1A0E">
                    <w:t>.4</w:t>
                  </w:r>
                </w:p>
              </w:tc>
              <w:tc>
                <w:tcPr>
                  <w:tcW w:w="543" w:type="pct"/>
                  <w:vAlign w:val="bottom"/>
                </w:tcPr>
                <w:p w14:paraId="79549E82" w14:textId="77777777" w:rsidR="00F05DC7" w:rsidRDefault="00F05DC7" w:rsidP="00A3786D">
                  <w:pPr>
                    <w:pStyle w:val="TableBodyText"/>
                  </w:pPr>
                  <w:r w:rsidRPr="002B1A0E">
                    <w:t>9</w:t>
                  </w:r>
                  <w:r>
                    <w:t>1</w:t>
                  </w:r>
                  <w:r w:rsidRPr="002B1A0E">
                    <w:t>.</w:t>
                  </w:r>
                  <w:r>
                    <w:t>8</w:t>
                  </w:r>
                </w:p>
              </w:tc>
              <w:tc>
                <w:tcPr>
                  <w:tcW w:w="543" w:type="pct"/>
                  <w:vAlign w:val="bottom"/>
                </w:tcPr>
                <w:p w14:paraId="79549E83" w14:textId="77777777" w:rsidR="00F05DC7" w:rsidRDefault="00F05DC7" w:rsidP="00A3786D">
                  <w:pPr>
                    <w:pStyle w:val="TableBodyText"/>
                  </w:pPr>
                  <w:r>
                    <w:t>90.4</w:t>
                  </w:r>
                </w:p>
              </w:tc>
              <w:tc>
                <w:tcPr>
                  <w:tcW w:w="543" w:type="pct"/>
                  <w:vAlign w:val="bottom"/>
                </w:tcPr>
                <w:p w14:paraId="79549E84" w14:textId="77777777" w:rsidR="00F05DC7" w:rsidRDefault="00F05DC7" w:rsidP="00A3786D">
                  <w:pPr>
                    <w:pStyle w:val="TableBodyText"/>
                  </w:pPr>
                  <w:r>
                    <w:t>103.4</w:t>
                  </w:r>
                </w:p>
              </w:tc>
              <w:tc>
                <w:tcPr>
                  <w:tcW w:w="543" w:type="pct"/>
                  <w:vAlign w:val="bottom"/>
                </w:tcPr>
                <w:p w14:paraId="79549E85" w14:textId="77777777" w:rsidR="00F05DC7" w:rsidRDefault="00F05DC7" w:rsidP="00A3786D">
                  <w:pPr>
                    <w:pStyle w:val="TableBodyText"/>
                  </w:pPr>
                  <w:r>
                    <w:t>86.7</w:t>
                  </w:r>
                </w:p>
              </w:tc>
              <w:tc>
                <w:tcPr>
                  <w:tcW w:w="543" w:type="pct"/>
                  <w:shd w:val="clear" w:color="auto" w:fill="F2F2F2" w:themeFill="background1" w:themeFillShade="F2"/>
                  <w:vAlign w:val="bottom"/>
                </w:tcPr>
                <w:p w14:paraId="79549E86" w14:textId="77777777" w:rsidR="00F05DC7" w:rsidRDefault="00F05DC7" w:rsidP="00A3786D">
                  <w:pPr>
                    <w:pStyle w:val="TableBodyText"/>
                  </w:pPr>
                  <w:r>
                    <w:t>121.2</w:t>
                  </w:r>
                </w:p>
              </w:tc>
              <w:tc>
                <w:tcPr>
                  <w:tcW w:w="535" w:type="pct"/>
                  <w:shd w:val="clear" w:color="auto" w:fill="B2D673"/>
                  <w:vAlign w:val="bottom"/>
                </w:tcPr>
                <w:p w14:paraId="79549E87" w14:textId="77777777" w:rsidR="00F05DC7" w:rsidRDefault="00F05DC7" w:rsidP="00A3786D">
                  <w:pPr>
                    <w:pStyle w:val="TableBodyText"/>
                  </w:pPr>
                  <w:r w:rsidRPr="002B1A0E">
                    <w:t>2</w:t>
                  </w:r>
                  <w:r>
                    <w:t>00</w:t>
                  </w:r>
                  <w:r w:rsidRPr="002B1A0E">
                    <w:t>.</w:t>
                  </w:r>
                  <w:r>
                    <w:t>6</w:t>
                  </w:r>
                </w:p>
              </w:tc>
            </w:tr>
            <w:tr w:rsidR="00F05DC7" w14:paraId="79549E92" w14:textId="77777777" w:rsidTr="00A3786D">
              <w:tc>
                <w:tcPr>
                  <w:tcW w:w="666" w:type="pct"/>
                </w:tcPr>
                <w:p w14:paraId="79549E89" w14:textId="77777777" w:rsidR="00F05DC7" w:rsidRDefault="00F05DC7" w:rsidP="00A3786D">
                  <w:pPr>
                    <w:pStyle w:val="TableUnitsRow"/>
                    <w:jc w:val="left"/>
                  </w:pPr>
                  <w:r>
                    <w:t>Health</w:t>
                  </w:r>
                </w:p>
              </w:tc>
              <w:tc>
                <w:tcPr>
                  <w:tcW w:w="543" w:type="pct"/>
                  <w:vAlign w:val="bottom"/>
                </w:tcPr>
                <w:p w14:paraId="79549E8A" w14:textId="77777777" w:rsidR="00F05DC7" w:rsidRDefault="00F05DC7" w:rsidP="00A3786D">
                  <w:pPr>
                    <w:pStyle w:val="TableBodyText"/>
                  </w:pPr>
                  <w:r w:rsidRPr="002B1A0E">
                    <w:t>9</w:t>
                  </w:r>
                  <w:r>
                    <w:t>2</w:t>
                  </w:r>
                  <w:r w:rsidRPr="002B1A0E">
                    <w:t>.</w:t>
                  </w:r>
                  <w:r>
                    <w:t>1</w:t>
                  </w:r>
                </w:p>
              </w:tc>
              <w:tc>
                <w:tcPr>
                  <w:tcW w:w="543" w:type="pct"/>
                  <w:vAlign w:val="bottom"/>
                </w:tcPr>
                <w:p w14:paraId="79549E8B" w14:textId="77777777" w:rsidR="00F05DC7" w:rsidRDefault="00F05DC7" w:rsidP="00A3786D">
                  <w:pPr>
                    <w:pStyle w:val="TableBodyText"/>
                  </w:pPr>
                  <w:r w:rsidRPr="002B1A0E">
                    <w:t>9</w:t>
                  </w:r>
                  <w:r>
                    <w:t>5</w:t>
                  </w:r>
                  <w:r w:rsidRPr="002B1A0E">
                    <w:t>.1</w:t>
                  </w:r>
                </w:p>
              </w:tc>
              <w:tc>
                <w:tcPr>
                  <w:tcW w:w="543" w:type="pct"/>
                  <w:vAlign w:val="bottom"/>
                </w:tcPr>
                <w:p w14:paraId="79549E8C" w14:textId="77777777" w:rsidR="00F05DC7" w:rsidRDefault="00F05DC7" w:rsidP="00A3786D">
                  <w:pPr>
                    <w:pStyle w:val="TableBodyText"/>
                  </w:pPr>
                  <w:r w:rsidRPr="002B1A0E">
                    <w:t>110</w:t>
                  </w:r>
                  <w:r w:rsidRPr="005F7F44">
                    <w:t>.</w:t>
                  </w:r>
                  <w:r>
                    <w:t>4</w:t>
                  </w:r>
                </w:p>
              </w:tc>
              <w:tc>
                <w:tcPr>
                  <w:tcW w:w="543" w:type="pct"/>
                  <w:vAlign w:val="bottom"/>
                </w:tcPr>
                <w:p w14:paraId="79549E8D" w14:textId="77777777" w:rsidR="00F05DC7" w:rsidRDefault="00F05DC7" w:rsidP="00A3786D">
                  <w:pPr>
                    <w:pStyle w:val="TableBodyText"/>
                  </w:pPr>
                  <w:r w:rsidRPr="002B1A0E">
                    <w:t>11</w:t>
                  </w:r>
                  <w:r>
                    <w:t>1</w:t>
                  </w:r>
                  <w:r w:rsidRPr="002B1A0E">
                    <w:t>.</w:t>
                  </w:r>
                  <w:r>
                    <w:t>1</w:t>
                  </w:r>
                </w:p>
              </w:tc>
              <w:tc>
                <w:tcPr>
                  <w:tcW w:w="543" w:type="pct"/>
                  <w:vAlign w:val="bottom"/>
                </w:tcPr>
                <w:p w14:paraId="79549E8E" w14:textId="77777777" w:rsidR="00F05DC7" w:rsidRDefault="00F05DC7" w:rsidP="00A3786D">
                  <w:pPr>
                    <w:pStyle w:val="TableBodyText"/>
                  </w:pPr>
                  <w:r>
                    <w:t>98.5</w:t>
                  </w:r>
                </w:p>
              </w:tc>
              <w:tc>
                <w:tcPr>
                  <w:tcW w:w="543" w:type="pct"/>
                  <w:vAlign w:val="bottom"/>
                </w:tcPr>
                <w:p w14:paraId="79549E8F" w14:textId="77777777" w:rsidR="00F05DC7" w:rsidRDefault="00F05DC7" w:rsidP="00A3786D">
                  <w:pPr>
                    <w:pStyle w:val="TableBodyText"/>
                  </w:pPr>
                  <w:r w:rsidRPr="002B1A0E">
                    <w:t>8</w:t>
                  </w:r>
                  <w:r>
                    <w:t>9</w:t>
                  </w:r>
                  <w:r w:rsidRPr="002B1A0E">
                    <w:t>.</w:t>
                  </w:r>
                  <w:r>
                    <w:t>7</w:t>
                  </w:r>
                </w:p>
              </w:tc>
              <w:tc>
                <w:tcPr>
                  <w:tcW w:w="543" w:type="pct"/>
                  <w:vAlign w:val="bottom"/>
                </w:tcPr>
                <w:p w14:paraId="79549E90" w14:textId="77777777" w:rsidR="00F05DC7" w:rsidRDefault="00F05DC7" w:rsidP="00A3786D">
                  <w:pPr>
                    <w:pStyle w:val="TableBodyText"/>
                  </w:pPr>
                  <w:r w:rsidRPr="002B1A0E">
                    <w:t>1</w:t>
                  </w:r>
                  <w:r>
                    <w:t>18</w:t>
                  </w:r>
                  <w:r w:rsidRPr="002B1A0E">
                    <w:t>.</w:t>
                  </w:r>
                  <w:r>
                    <w:t>5</w:t>
                  </w:r>
                </w:p>
              </w:tc>
              <w:tc>
                <w:tcPr>
                  <w:tcW w:w="535" w:type="pct"/>
                  <w:vAlign w:val="bottom"/>
                </w:tcPr>
                <w:p w14:paraId="79549E91" w14:textId="77777777" w:rsidR="00F05DC7" w:rsidRDefault="00F05DC7" w:rsidP="00A3786D">
                  <w:pPr>
                    <w:pStyle w:val="TableBodyText"/>
                  </w:pPr>
                  <w:r w:rsidRPr="002B1A0E">
                    <w:t>12</w:t>
                  </w:r>
                  <w:r>
                    <w:t>2</w:t>
                  </w:r>
                  <w:r w:rsidRPr="002B1A0E">
                    <w:t>.</w:t>
                  </w:r>
                  <w:r>
                    <w:t>5</w:t>
                  </w:r>
                </w:p>
              </w:tc>
            </w:tr>
            <w:tr w:rsidR="00F05DC7" w14:paraId="79549E9C" w14:textId="77777777" w:rsidTr="00A3786D">
              <w:tc>
                <w:tcPr>
                  <w:tcW w:w="666" w:type="pct"/>
                </w:tcPr>
                <w:p w14:paraId="79549E93" w14:textId="77777777" w:rsidR="00F05DC7" w:rsidRDefault="00F05DC7" w:rsidP="00A3786D">
                  <w:pPr>
                    <w:pStyle w:val="TableUnitsRow"/>
                    <w:jc w:val="left"/>
                  </w:pPr>
                  <w:r>
                    <w:t>Housing</w:t>
                  </w:r>
                </w:p>
              </w:tc>
              <w:tc>
                <w:tcPr>
                  <w:tcW w:w="543" w:type="pct"/>
                  <w:vAlign w:val="bottom"/>
                </w:tcPr>
                <w:p w14:paraId="79549E94" w14:textId="77777777" w:rsidR="00F05DC7" w:rsidRDefault="00F05DC7" w:rsidP="00A3786D">
                  <w:pPr>
                    <w:pStyle w:val="TableBodyText"/>
                  </w:pPr>
                  <w:r>
                    <w:t>9</w:t>
                  </w:r>
                  <w:r w:rsidRPr="002B1A0E">
                    <w:t>4.9</w:t>
                  </w:r>
                </w:p>
              </w:tc>
              <w:tc>
                <w:tcPr>
                  <w:tcW w:w="543" w:type="pct"/>
                  <w:vAlign w:val="bottom"/>
                </w:tcPr>
                <w:p w14:paraId="79549E95" w14:textId="77777777" w:rsidR="00F05DC7" w:rsidRDefault="00F05DC7" w:rsidP="00A3786D">
                  <w:pPr>
                    <w:pStyle w:val="TableBodyText"/>
                  </w:pPr>
                  <w:r>
                    <w:t>101.5</w:t>
                  </w:r>
                </w:p>
              </w:tc>
              <w:tc>
                <w:tcPr>
                  <w:tcW w:w="543" w:type="pct"/>
                  <w:vAlign w:val="bottom"/>
                </w:tcPr>
                <w:p w14:paraId="79549E96" w14:textId="77777777" w:rsidR="00F05DC7" w:rsidRDefault="00F05DC7" w:rsidP="00A3786D">
                  <w:pPr>
                    <w:pStyle w:val="TableBodyText"/>
                  </w:pPr>
                  <w:r w:rsidRPr="002B1A0E">
                    <w:t>10</w:t>
                  </w:r>
                  <w:r>
                    <w:t>5</w:t>
                  </w:r>
                  <w:r w:rsidRPr="002B1A0E">
                    <w:t>.</w:t>
                  </w:r>
                  <w:r>
                    <w:t>2</w:t>
                  </w:r>
                </w:p>
              </w:tc>
              <w:tc>
                <w:tcPr>
                  <w:tcW w:w="543" w:type="pct"/>
                  <w:shd w:val="clear" w:color="78A22F" w:fill="B2D673"/>
                  <w:vAlign w:val="bottom"/>
                </w:tcPr>
                <w:p w14:paraId="79549E97" w14:textId="77777777" w:rsidR="00F05DC7" w:rsidRDefault="00F05DC7" w:rsidP="00A3786D">
                  <w:pPr>
                    <w:pStyle w:val="TableBodyText"/>
                  </w:pPr>
                  <w:r w:rsidRPr="002B1A0E">
                    <w:t>1</w:t>
                  </w:r>
                  <w:r>
                    <w:t>41</w:t>
                  </w:r>
                  <w:r w:rsidRPr="002B1A0E">
                    <w:t>.</w:t>
                  </w:r>
                  <w:r>
                    <w:t>2</w:t>
                  </w:r>
                </w:p>
              </w:tc>
              <w:tc>
                <w:tcPr>
                  <w:tcW w:w="543" w:type="pct"/>
                  <w:shd w:val="clear" w:color="auto" w:fill="B2D673"/>
                  <w:vAlign w:val="bottom"/>
                </w:tcPr>
                <w:p w14:paraId="79549E98" w14:textId="77777777" w:rsidR="00F05DC7" w:rsidRDefault="00F05DC7" w:rsidP="00A3786D">
                  <w:pPr>
                    <w:pStyle w:val="TableBodyText"/>
                  </w:pPr>
                  <w:r>
                    <w:t>7</w:t>
                  </w:r>
                  <w:r w:rsidRPr="002B1A0E">
                    <w:t>.2</w:t>
                  </w:r>
                </w:p>
              </w:tc>
              <w:tc>
                <w:tcPr>
                  <w:tcW w:w="543" w:type="pct"/>
                  <w:vAlign w:val="bottom"/>
                </w:tcPr>
                <w:p w14:paraId="79549E99" w14:textId="77777777" w:rsidR="00F05DC7" w:rsidRDefault="00F05DC7" w:rsidP="00A3786D">
                  <w:pPr>
                    <w:pStyle w:val="TableBodyText"/>
                  </w:pPr>
                  <w:r w:rsidRPr="002B1A0E">
                    <w:t>8</w:t>
                  </w:r>
                  <w:r>
                    <w:t>1</w:t>
                  </w:r>
                  <w:r w:rsidRPr="002B1A0E">
                    <w:t>.</w:t>
                  </w:r>
                  <w:r>
                    <w:t>5</w:t>
                  </w:r>
                </w:p>
              </w:tc>
              <w:tc>
                <w:tcPr>
                  <w:tcW w:w="543" w:type="pct"/>
                  <w:shd w:val="clear" w:color="auto" w:fill="B2D673"/>
                  <w:vAlign w:val="bottom"/>
                </w:tcPr>
                <w:p w14:paraId="79549E9A" w14:textId="77777777" w:rsidR="00F05DC7" w:rsidRDefault="00F05DC7" w:rsidP="00A3786D">
                  <w:pPr>
                    <w:pStyle w:val="TableBodyText"/>
                  </w:pPr>
                  <w:r w:rsidRPr="002B1A0E">
                    <w:t>15</w:t>
                  </w:r>
                  <w:r>
                    <w:t>2</w:t>
                  </w:r>
                  <w:r w:rsidRPr="002B1A0E">
                    <w:t>.</w:t>
                  </w:r>
                  <w:r>
                    <w:t>0</w:t>
                  </w:r>
                </w:p>
              </w:tc>
              <w:tc>
                <w:tcPr>
                  <w:tcW w:w="535" w:type="pct"/>
                  <w:shd w:val="clear" w:color="auto" w:fill="B2D673"/>
                  <w:vAlign w:val="bottom"/>
                </w:tcPr>
                <w:p w14:paraId="79549E9B" w14:textId="77777777" w:rsidR="00F05DC7" w:rsidRDefault="00F05DC7" w:rsidP="00A3786D">
                  <w:pPr>
                    <w:pStyle w:val="TableBodyText"/>
                  </w:pPr>
                  <w:r w:rsidRPr="002B1A0E">
                    <w:t>1</w:t>
                  </w:r>
                  <w:r>
                    <w:t>64</w:t>
                  </w:r>
                  <w:r w:rsidRPr="002B1A0E">
                    <w:t>.</w:t>
                  </w:r>
                  <w:r>
                    <w:t>9</w:t>
                  </w:r>
                </w:p>
              </w:tc>
            </w:tr>
            <w:tr w:rsidR="00F05DC7" w14:paraId="79549EA6" w14:textId="77777777" w:rsidTr="00A3786D">
              <w:tc>
                <w:tcPr>
                  <w:tcW w:w="666" w:type="pct"/>
                </w:tcPr>
                <w:p w14:paraId="79549E9D" w14:textId="77777777" w:rsidR="00F05DC7" w:rsidRDefault="00F05DC7" w:rsidP="00A3786D">
                  <w:pPr>
                    <w:pStyle w:val="TableUnitsRow"/>
                    <w:jc w:val="left"/>
                  </w:pPr>
                  <w:r>
                    <w:t>Welfare</w:t>
                  </w:r>
                </w:p>
              </w:tc>
              <w:tc>
                <w:tcPr>
                  <w:tcW w:w="543" w:type="pct"/>
                  <w:vAlign w:val="bottom"/>
                </w:tcPr>
                <w:p w14:paraId="79549E9E" w14:textId="77777777" w:rsidR="00F05DC7" w:rsidRDefault="00F05DC7" w:rsidP="00A3786D">
                  <w:pPr>
                    <w:pStyle w:val="TableBodyText"/>
                  </w:pPr>
                  <w:r>
                    <w:t>96.1</w:t>
                  </w:r>
                </w:p>
              </w:tc>
              <w:tc>
                <w:tcPr>
                  <w:tcW w:w="543" w:type="pct"/>
                  <w:vAlign w:val="bottom"/>
                </w:tcPr>
                <w:p w14:paraId="79549E9F" w14:textId="77777777" w:rsidR="00F05DC7" w:rsidRDefault="00F05DC7" w:rsidP="00A3786D">
                  <w:pPr>
                    <w:pStyle w:val="TableBodyText"/>
                  </w:pPr>
                  <w:r w:rsidRPr="002B1A0E">
                    <w:t>10</w:t>
                  </w:r>
                  <w:r>
                    <w:t>2</w:t>
                  </w:r>
                  <w:r w:rsidRPr="002B1A0E">
                    <w:t>.</w:t>
                  </w:r>
                  <w:r>
                    <w:t>9</w:t>
                  </w:r>
                </w:p>
              </w:tc>
              <w:tc>
                <w:tcPr>
                  <w:tcW w:w="543" w:type="pct"/>
                  <w:vAlign w:val="bottom"/>
                </w:tcPr>
                <w:p w14:paraId="79549EA0" w14:textId="77777777" w:rsidR="00F05DC7" w:rsidRDefault="00F05DC7" w:rsidP="00A3786D">
                  <w:pPr>
                    <w:pStyle w:val="TableBodyText"/>
                  </w:pPr>
                  <w:r w:rsidRPr="002B1A0E">
                    <w:t>8</w:t>
                  </w:r>
                  <w:r>
                    <w:t>6</w:t>
                  </w:r>
                  <w:r w:rsidRPr="002B1A0E">
                    <w:t>.3</w:t>
                  </w:r>
                </w:p>
              </w:tc>
              <w:tc>
                <w:tcPr>
                  <w:tcW w:w="543" w:type="pct"/>
                  <w:vAlign w:val="bottom"/>
                </w:tcPr>
                <w:p w14:paraId="79549EA1" w14:textId="77777777" w:rsidR="00F05DC7" w:rsidRDefault="00F05DC7" w:rsidP="00A3786D">
                  <w:pPr>
                    <w:pStyle w:val="TableBodyText"/>
                  </w:pPr>
                  <w:r w:rsidRPr="002B1A0E">
                    <w:t>11</w:t>
                  </w:r>
                  <w:r>
                    <w:t>6</w:t>
                  </w:r>
                  <w:r w:rsidRPr="002B1A0E">
                    <w:t>.</w:t>
                  </w:r>
                  <w:r>
                    <w:t>9</w:t>
                  </w:r>
                </w:p>
              </w:tc>
              <w:tc>
                <w:tcPr>
                  <w:tcW w:w="543" w:type="pct"/>
                  <w:shd w:val="clear" w:color="auto" w:fill="B1D673" w:themeFill="accent1" w:themeFillTint="99"/>
                  <w:vAlign w:val="bottom"/>
                </w:tcPr>
                <w:p w14:paraId="79549EA2" w14:textId="77777777" w:rsidR="00F05DC7" w:rsidRDefault="00F05DC7" w:rsidP="00A3786D">
                  <w:pPr>
                    <w:pStyle w:val="TableBodyText"/>
                  </w:pPr>
                  <w:r w:rsidRPr="002B1A0E">
                    <w:t>1</w:t>
                  </w:r>
                  <w:r>
                    <w:t>28</w:t>
                  </w:r>
                  <w:r w:rsidRPr="002B1A0E">
                    <w:t>.9</w:t>
                  </w:r>
                </w:p>
              </w:tc>
              <w:tc>
                <w:tcPr>
                  <w:tcW w:w="543" w:type="pct"/>
                  <w:vAlign w:val="bottom"/>
                </w:tcPr>
                <w:p w14:paraId="79549EA3" w14:textId="77777777" w:rsidR="00F05DC7" w:rsidRDefault="00F05DC7" w:rsidP="00A3786D">
                  <w:pPr>
                    <w:pStyle w:val="TableBodyText"/>
                  </w:pPr>
                  <w:r w:rsidRPr="002B1A0E">
                    <w:t>87.</w:t>
                  </w:r>
                  <w:r>
                    <w:t>5</w:t>
                  </w:r>
                </w:p>
              </w:tc>
              <w:tc>
                <w:tcPr>
                  <w:tcW w:w="543" w:type="pct"/>
                  <w:vAlign w:val="bottom"/>
                </w:tcPr>
                <w:p w14:paraId="79549EA4" w14:textId="77777777" w:rsidR="00F05DC7" w:rsidRDefault="00F05DC7" w:rsidP="00A3786D">
                  <w:pPr>
                    <w:pStyle w:val="TableBodyText"/>
                  </w:pPr>
                  <w:r w:rsidRPr="002B1A0E">
                    <w:t>11</w:t>
                  </w:r>
                  <w:r>
                    <w:t>7</w:t>
                  </w:r>
                  <w:r w:rsidRPr="002B1A0E">
                    <w:t>.</w:t>
                  </w:r>
                  <w:r>
                    <w:t>4</w:t>
                  </w:r>
                </w:p>
              </w:tc>
              <w:tc>
                <w:tcPr>
                  <w:tcW w:w="535" w:type="pct"/>
                  <w:shd w:val="clear" w:color="auto" w:fill="F2F2F2" w:themeFill="background1" w:themeFillShade="F2"/>
                  <w:vAlign w:val="bottom"/>
                </w:tcPr>
                <w:p w14:paraId="79549EA5" w14:textId="77777777" w:rsidR="00F05DC7" w:rsidRDefault="00F05DC7" w:rsidP="00A3786D">
                  <w:pPr>
                    <w:pStyle w:val="TableBodyText"/>
                  </w:pPr>
                  <w:r>
                    <w:t>90.3</w:t>
                  </w:r>
                </w:p>
              </w:tc>
            </w:tr>
            <w:tr w:rsidR="00F05DC7" w14:paraId="79549EB0" w14:textId="77777777" w:rsidTr="00A3786D">
              <w:tc>
                <w:tcPr>
                  <w:tcW w:w="666" w:type="pct"/>
                </w:tcPr>
                <w:p w14:paraId="79549EA7" w14:textId="77777777" w:rsidR="00F05DC7" w:rsidRDefault="00F05DC7" w:rsidP="00A3786D">
                  <w:pPr>
                    <w:pStyle w:val="TableUnitsRow"/>
                    <w:jc w:val="left"/>
                  </w:pPr>
                  <w:r>
                    <w:t>Services to communities</w:t>
                  </w:r>
                </w:p>
              </w:tc>
              <w:tc>
                <w:tcPr>
                  <w:tcW w:w="543" w:type="pct"/>
                  <w:shd w:val="clear" w:color="auto" w:fill="B1D673" w:themeFill="accent1" w:themeFillTint="99"/>
                  <w:vAlign w:val="bottom"/>
                </w:tcPr>
                <w:p w14:paraId="79549EA8" w14:textId="77777777" w:rsidR="00F05DC7" w:rsidRPr="002B1A0E" w:rsidRDefault="00F05DC7" w:rsidP="00A3786D">
                  <w:pPr>
                    <w:pStyle w:val="TableBodyText"/>
                  </w:pPr>
                  <w:r>
                    <w:t>69.0</w:t>
                  </w:r>
                </w:p>
              </w:tc>
              <w:tc>
                <w:tcPr>
                  <w:tcW w:w="543" w:type="pct"/>
                  <w:vAlign w:val="bottom"/>
                </w:tcPr>
                <w:p w14:paraId="79549EA9" w14:textId="77777777" w:rsidR="00F05DC7" w:rsidRPr="002B1A0E" w:rsidRDefault="00F05DC7" w:rsidP="00A3786D">
                  <w:pPr>
                    <w:pStyle w:val="TableBodyText"/>
                  </w:pPr>
                  <w:r>
                    <w:t>96.8</w:t>
                  </w:r>
                </w:p>
              </w:tc>
              <w:tc>
                <w:tcPr>
                  <w:tcW w:w="543" w:type="pct"/>
                  <w:vAlign w:val="bottom"/>
                </w:tcPr>
                <w:p w14:paraId="79549EAA" w14:textId="77777777" w:rsidR="00F05DC7" w:rsidRPr="002B1A0E" w:rsidRDefault="00F05DC7" w:rsidP="00A3786D">
                  <w:pPr>
                    <w:pStyle w:val="TableBodyText"/>
                  </w:pPr>
                  <w:r>
                    <w:t>122.7</w:t>
                  </w:r>
                </w:p>
              </w:tc>
              <w:tc>
                <w:tcPr>
                  <w:tcW w:w="543" w:type="pct"/>
                  <w:shd w:val="clear" w:color="auto" w:fill="B2D673"/>
                  <w:vAlign w:val="bottom"/>
                </w:tcPr>
                <w:p w14:paraId="79549EAB" w14:textId="77777777" w:rsidR="00F05DC7" w:rsidRPr="002B1A0E" w:rsidRDefault="00F05DC7" w:rsidP="00A3786D">
                  <w:pPr>
                    <w:pStyle w:val="TableBodyText"/>
                  </w:pPr>
                  <w:r>
                    <w:t>168.3</w:t>
                  </w:r>
                </w:p>
              </w:tc>
              <w:tc>
                <w:tcPr>
                  <w:tcW w:w="543" w:type="pct"/>
                  <w:vAlign w:val="bottom"/>
                </w:tcPr>
                <w:p w14:paraId="79549EAC" w14:textId="77777777" w:rsidR="00F05DC7" w:rsidRPr="002B1A0E" w:rsidRDefault="00F05DC7" w:rsidP="00A3786D">
                  <w:pPr>
                    <w:pStyle w:val="TableBodyText"/>
                  </w:pPr>
                  <w:r>
                    <w:t>75.0</w:t>
                  </w:r>
                </w:p>
              </w:tc>
              <w:tc>
                <w:tcPr>
                  <w:tcW w:w="543" w:type="pct"/>
                  <w:shd w:val="clear" w:color="auto" w:fill="B2D673"/>
                  <w:vAlign w:val="bottom"/>
                </w:tcPr>
                <w:p w14:paraId="79549EAD" w14:textId="77777777" w:rsidR="00F05DC7" w:rsidRPr="002B1A0E" w:rsidRDefault="00F05DC7" w:rsidP="00A3786D">
                  <w:pPr>
                    <w:pStyle w:val="TableBodyText"/>
                  </w:pPr>
                  <w:r>
                    <w:t>28.1</w:t>
                  </w:r>
                </w:p>
              </w:tc>
              <w:tc>
                <w:tcPr>
                  <w:tcW w:w="543" w:type="pct"/>
                  <w:shd w:val="clear" w:color="auto" w:fill="B1D673" w:themeFill="accent1" w:themeFillTint="99"/>
                  <w:vAlign w:val="bottom"/>
                </w:tcPr>
                <w:p w14:paraId="79549EAE" w14:textId="77777777" w:rsidR="00F05DC7" w:rsidRPr="002B1A0E" w:rsidRDefault="00F05DC7" w:rsidP="00A3786D">
                  <w:pPr>
                    <w:pStyle w:val="TableBodyText"/>
                  </w:pPr>
                  <w:r>
                    <w:t>65.3</w:t>
                  </w:r>
                </w:p>
              </w:tc>
              <w:tc>
                <w:tcPr>
                  <w:tcW w:w="535" w:type="pct"/>
                  <w:vAlign w:val="bottom"/>
                </w:tcPr>
                <w:p w14:paraId="79549EAF" w14:textId="77777777" w:rsidR="00F05DC7" w:rsidRPr="002B1A0E" w:rsidRDefault="00F05DC7" w:rsidP="00A3786D">
                  <w:pPr>
                    <w:pStyle w:val="TableBodyText"/>
                  </w:pPr>
                  <w:r>
                    <w:t>88.7</w:t>
                  </w:r>
                </w:p>
              </w:tc>
            </w:tr>
            <w:tr w:rsidR="00F05DC7" w14:paraId="79549EBA" w14:textId="77777777" w:rsidTr="00A3786D">
              <w:tc>
                <w:tcPr>
                  <w:tcW w:w="666" w:type="pct"/>
                </w:tcPr>
                <w:p w14:paraId="79549EB1" w14:textId="77777777" w:rsidR="00F05DC7" w:rsidRDefault="00F05DC7" w:rsidP="00A3786D">
                  <w:pPr>
                    <w:pStyle w:val="TableUnitsRow"/>
                    <w:jc w:val="left"/>
                  </w:pPr>
                  <w:r>
                    <w:t>Roads</w:t>
                  </w:r>
                </w:p>
              </w:tc>
              <w:tc>
                <w:tcPr>
                  <w:tcW w:w="543" w:type="pct"/>
                  <w:vAlign w:val="bottom"/>
                </w:tcPr>
                <w:p w14:paraId="79549EB2" w14:textId="77777777" w:rsidR="00F05DC7" w:rsidRDefault="00F05DC7" w:rsidP="00A3786D">
                  <w:pPr>
                    <w:pStyle w:val="TableBodyText"/>
                  </w:pPr>
                  <w:r>
                    <w:t>99.7</w:t>
                  </w:r>
                </w:p>
              </w:tc>
              <w:tc>
                <w:tcPr>
                  <w:tcW w:w="543" w:type="pct"/>
                  <w:shd w:val="clear" w:color="auto" w:fill="B1D673" w:themeFill="accent1" w:themeFillTint="99"/>
                  <w:vAlign w:val="bottom"/>
                </w:tcPr>
                <w:p w14:paraId="79549EB3" w14:textId="77777777" w:rsidR="00F05DC7" w:rsidRDefault="00F05DC7" w:rsidP="00A3786D">
                  <w:pPr>
                    <w:pStyle w:val="TableBodyText"/>
                  </w:pPr>
                  <w:r w:rsidRPr="002B1A0E">
                    <w:t>12</w:t>
                  </w:r>
                  <w:r>
                    <w:t>5</w:t>
                  </w:r>
                  <w:r w:rsidRPr="002B1A0E">
                    <w:t>.</w:t>
                  </w:r>
                  <w:r>
                    <w:t>7</w:t>
                  </w:r>
                </w:p>
              </w:tc>
              <w:tc>
                <w:tcPr>
                  <w:tcW w:w="543" w:type="pct"/>
                  <w:vAlign w:val="bottom"/>
                </w:tcPr>
                <w:p w14:paraId="79549EB4" w14:textId="77777777" w:rsidR="00F05DC7" w:rsidRDefault="00F05DC7" w:rsidP="00A3786D">
                  <w:pPr>
                    <w:pStyle w:val="TableBodyText"/>
                  </w:pPr>
                  <w:r>
                    <w:t>81.2</w:t>
                  </w:r>
                </w:p>
              </w:tc>
              <w:tc>
                <w:tcPr>
                  <w:tcW w:w="543" w:type="pct"/>
                  <w:vAlign w:val="bottom"/>
                </w:tcPr>
                <w:p w14:paraId="79549EB5" w14:textId="77777777" w:rsidR="00F05DC7" w:rsidRDefault="00F05DC7" w:rsidP="00A3786D">
                  <w:pPr>
                    <w:pStyle w:val="TableBodyText"/>
                  </w:pPr>
                  <w:r>
                    <w:t>112.3</w:t>
                  </w:r>
                </w:p>
              </w:tc>
              <w:tc>
                <w:tcPr>
                  <w:tcW w:w="543" w:type="pct"/>
                  <w:shd w:val="clear" w:color="auto" w:fill="B2D673"/>
                  <w:vAlign w:val="bottom"/>
                </w:tcPr>
                <w:p w14:paraId="79549EB6" w14:textId="77777777" w:rsidR="00F05DC7" w:rsidRDefault="00F05DC7" w:rsidP="00A3786D">
                  <w:pPr>
                    <w:pStyle w:val="TableBodyText"/>
                  </w:pPr>
                  <w:r>
                    <w:t>72.8</w:t>
                  </w:r>
                </w:p>
              </w:tc>
              <w:tc>
                <w:tcPr>
                  <w:tcW w:w="543" w:type="pct"/>
                  <w:shd w:val="clear" w:color="auto" w:fill="F2F2F2" w:themeFill="background1" w:themeFillShade="F2"/>
                  <w:vAlign w:val="bottom"/>
                </w:tcPr>
                <w:p w14:paraId="79549EB7" w14:textId="77777777" w:rsidR="00F05DC7" w:rsidRDefault="00F05DC7" w:rsidP="00A3786D">
                  <w:pPr>
                    <w:pStyle w:val="TableBodyText"/>
                  </w:pPr>
                  <w:r>
                    <w:t>77.8</w:t>
                  </w:r>
                </w:p>
              </w:tc>
              <w:tc>
                <w:tcPr>
                  <w:tcW w:w="543" w:type="pct"/>
                  <w:shd w:val="clear" w:color="auto" w:fill="B2D673"/>
                  <w:vAlign w:val="bottom"/>
                </w:tcPr>
                <w:p w14:paraId="79549EB8" w14:textId="77777777" w:rsidR="00F05DC7" w:rsidRDefault="00F05DC7" w:rsidP="00A3786D">
                  <w:pPr>
                    <w:pStyle w:val="TableBodyText"/>
                  </w:pPr>
                  <w:r>
                    <w:t>60.2</w:t>
                  </w:r>
                </w:p>
              </w:tc>
              <w:tc>
                <w:tcPr>
                  <w:tcW w:w="535" w:type="pct"/>
                  <w:vAlign w:val="bottom"/>
                </w:tcPr>
                <w:p w14:paraId="79549EB9" w14:textId="77777777" w:rsidR="00F05DC7" w:rsidRDefault="00F05DC7" w:rsidP="00A3786D">
                  <w:pPr>
                    <w:pStyle w:val="TableBodyText"/>
                  </w:pPr>
                  <w:r>
                    <w:t>96.0</w:t>
                  </w:r>
                </w:p>
              </w:tc>
            </w:tr>
            <w:tr w:rsidR="00F05DC7" w14:paraId="79549EC4" w14:textId="77777777" w:rsidTr="00A3786D">
              <w:tc>
                <w:tcPr>
                  <w:tcW w:w="666" w:type="pct"/>
                  <w:tcBorders>
                    <w:bottom w:val="single" w:sz="6" w:space="0" w:color="BFBFBF"/>
                  </w:tcBorders>
                  <w:shd w:val="clear" w:color="auto" w:fill="auto"/>
                </w:tcPr>
                <w:p w14:paraId="79549EBB" w14:textId="77777777" w:rsidR="00F05DC7" w:rsidRDefault="00F05DC7" w:rsidP="00A3786D">
                  <w:pPr>
                    <w:pStyle w:val="TableUnitsRow"/>
                    <w:jc w:val="left"/>
                  </w:pPr>
                  <w:r>
                    <w:t>Transport</w:t>
                  </w:r>
                </w:p>
              </w:tc>
              <w:tc>
                <w:tcPr>
                  <w:tcW w:w="543" w:type="pct"/>
                  <w:tcBorders>
                    <w:bottom w:val="single" w:sz="6" w:space="0" w:color="BFBFBF"/>
                  </w:tcBorders>
                  <w:shd w:val="clear" w:color="auto" w:fill="B1D673" w:themeFill="accent1" w:themeFillTint="99"/>
                  <w:vAlign w:val="bottom"/>
                </w:tcPr>
                <w:p w14:paraId="79549EBC" w14:textId="77777777" w:rsidR="00F05DC7" w:rsidRDefault="00F05DC7" w:rsidP="00A3786D">
                  <w:pPr>
                    <w:pStyle w:val="TableBodyText"/>
                  </w:pPr>
                  <w:r w:rsidRPr="002B1A0E">
                    <w:t>1</w:t>
                  </w:r>
                  <w:r>
                    <w:t>3</w:t>
                  </w:r>
                  <w:r w:rsidRPr="002B1A0E">
                    <w:t>1.</w:t>
                  </w:r>
                  <w:r>
                    <w:t>0</w:t>
                  </w:r>
                </w:p>
              </w:tc>
              <w:tc>
                <w:tcPr>
                  <w:tcW w:w="543" w:type="pct"/>
                  <w:tcBorders>
                    <w:bottom w:val="single" w:sz="6" w:space="0" w:color="BFBFBF"/>
                  </w:tcBorders>
                  <w:vAlign w:val="bottom"/>
                </w:tcPr>
                <w:p w14:paraId="79549EBD" w14:textId="77777777" w:rsidR="00F05DC7" w:rsidRDefault="00F05DC7" w:rsidP="00A3786D">
                  <w:pPr>
                    <w:pStyle w:val="TableBodyText"/>
                  </w:pPr>
                  <w:r>
                    <w:t>91.1</w:t>
                  </w:r>
                </w:p>
              </w:tc>
              <w:tc>
                <w:tcPr>
                  <w:tcW w:w="543" w:type="pct"/>
                  <w:tcBorders>
                    <w:bottom w:val="single" w:sz="6" w:space="0" w:color="BFBFBF"/>
                  </w:tcBorders>
                  <w:vAlign w:val="bottom"/>
                </w:tcPr>
                <w:p w14:paraId="79549EBE" w14:textId="77777777" w:rsidR="00F05DC7" w:rsidRDefault="00F05DC7" w:rsidP="00A3786D">
                  <w:pPr>
                    <w:pStyle w:val="TableBodyText"/>
                  </w:pPr>
                  <w:r w:rsidRPr="002B1A0E">
                    <w:t>8</w:t>
                  </w:r>
                  <w:r>
                    <w:t>9</w:t>
                  </w:r>
                  <w:r w:rsidRPr="002B1A0E">
                    <w:t>.</w:t>
                  </w:r>
                  <w:r>
                    <w:t>4</w:t>
                  </w:r>
                </w:p>
              </w:tc>
              <w:tc>
                <w:tcPr>
                  <w:tcW w:w="543" w:type="pct"/>
                  <w:tcBorders>
                    <w:bottom w:val="single" w:sz="6" w:space="0" w:color="BFBFBF"/>
                  </w:tcBorders>
                  <w:shd w:val="clear" w:color="auto" w:fill="B2D673"/>
                  <w:vAlign w:val="bottom"/>
                </w:tcPr>
                <w:p w14:paraId="79549EBF" w14:textId="77777777" w:rsidR="00F05DC7" w:rsidRDefault="00F05DC7" w:rsidP="00A3786D">
                  <w:pPr>
                    <w:pStyle w:val="TableBodyText"/>
                  </w:pPr>
                  <w:r>
                    <w:t>71.1</w:t>
                  </w:r>
                </w:p>
              </w:tc>
              <w:tc>
                <w:tcPr>
                  <w:tcW w:w="543" w:type="pct"/>
                  <w:tcBorders>
                    <w:bottom w:val="single" w:sz="6" w:space="0" w:color="BFBFBF"/>
                  </w:tcBorders>
                  <w:shd w:val="clear" w:color="auto" w:fill="B2D673"/>
                  <w:vAlign w:val="bottom"/>
                </w:tcPr>
                <w:p w14:paraId="79549EC0" w14:textId="77777777" w:rsidR="00F05DC7" w:rsidRDefault="00F05DC7" w:rsidP="00A3786D">
                  <w:pPr>
                    <w:pStyle w:val="TableBodyText"/>
                  </w:pPr>
                  <w:r w:rsidRPr="002B1A0E">
                    <w:t>6</w:t>
                  </w:r>
                  <w:r>
                    <w:t>2</w:t>
                  </w:r>
                  <w:r w:rsidRPr="002B1A0E">
                    <w:t>.</w:t>
                  </w:r>
                  <w:r>
                    <w:t>6</w:t>
                  </w:r>
                </w:p>
              </w:tc>
              <w:tc>
                <w:tcPr>
                  <w:tcW w:w="543" w:type="pct"/>
                  <w:tcBorders>
                    <w:bottom w:val="single" w:sz="6" w:space="0" w:color="BFBFBF"/>
                  </w:tcBorders>
                  <w:shd w:val="clear" w:color="auto" w:fill="F2F2F2" w:themeFill="background1" w:themeFillShade="F2"/>
                  <w:vAlign w:val="bottom"/>
                </w:tcPr>
                <w:p w14:paraId="79549EC1" w14:textId="77777777" w:rsidR="00F05DC7" w:rsidRDefault="00F05DC7" w:rsidP="00A3786D">
                  <w:pPr>
                    <w:pStyle w:val="TableBodyText"/>
                  </w:pPr>
                  <w:r w:rsidRPr="002B1A0E">
                    <w:t>7</w:t>
                  </w:r>
                  <w:r>
                    <w:t>5</w:t>
                  </w:r>
                  <w:r w:rsidRPr="002B1A0E">
                    <w:t>.</w:t>
                  </w:r>
                  <w:r>
                    <w:t>7</w:t>
                  </w:r>
                </w:p>
              </w:tc>
              <w:tc>
                <w:tcPr>
                  <w:tcW w:w="543" w:type="pct"/>
                  <w:tcBorders>
                    <w:bottom w:val="single" w:sz="6" w:space="0" w:color="BFBFBF"/>
                  </w:tcBorders>
                  <w:shd w:val="clear" w:color="auto" w:fill="B2D673"/>
                  <w:vAlign w:val="bottom"/>
                </w:tcPr>
                <w:p w14:paraId="79549EC2" w14:textId="77777777" w:rsidR="00F05DC7" w:rsidRDefault="00F05DC7" w:rsidP="00A3786D">
                  <w:pPr>
                    <w:pStyle w:val="TableBodyText"/>
                  </w:pPr>
                  <w:r w:rsidRPr="002B1A0E">
                    <w:t>4</w:t>
                  </w:r>
                  <w:r>
                    <w:t>2</w:t>
                  </w:r>
                  <w:r w:rsidRPr="002B1A0E">
                    <w:t>.</w:t>
                  </w:r>
                  <w:r>
                    <w:t>7</w:t>
                  </w:r>
                </w:p>
              </w:tc>
              <w:tc>
                <w:tcPr>
                  <w:tcW w:w="535" w:type="pct"/>
                  <w:tcBorders>
                    <w:bottom w:val="single" w:sz="6" w:space="0" w:color="BFBFBF"/>
                  </w:tcBorders>
                  <w:shd w:val="clear" w:color="auto" w:fill="B2D673"/>
                  <w:vAlign w:val="bottom"/>
                </w:tcPr>
                <w:p w14:paraId="79549EC3" w14:textId="77777777" w:rsidR="00F05DC7" w:rsidRDefault="00F05DC7" w:rsidP="00A3786D">
                  <w:pPr>
                    <w:pStyle w:val="TableBodyText"/>
                  </w:pPr>
                  <w:r w:rsidRPr="002B1A0E">
                    <w:t>1</w:t>
                  </w:r>
                  <w:r>
                    <w:t>56</w:t>
                  </w:r>
                  <w:r w:rsidRPr="002B1A0E">
                    <w:t>.</w:t>
                  </w:r>
                  <w:r>
                    <w:t>2</w:t>
                  </w:r>
                </w:p>
              </w:tc>
            </w:tr>
          </w:tbl>
          <w:p w14:paraId="79549EC5" w14:textId="77777777" w:rsidR="00F05DC7" w:rsidRDefault="00F05DC7" w:rsidP="00A3786D">
            <w:pPr>
              <w:pStyle w:val="Note"/>
            </w:pPr>
            <w:r w:rsidRPr="008E77FE">
              <w:rPr>
                <w:rStyle w:val="NoteLabel"/>
              </w:rPr>
              <w:t>a</w:t>
            </w:r>
            <w:r>
              <w:t xml:space="preserve"> </w:t>
            </w:r>
            <w:r w:rsidRPr="00721E53">
              <w:t xml:space="preserve">The ratio of actual to assessed expenses of a State is the ratio of </w:t>
            </w:r>
            <w:r>
              <w:t>its</w:t>
            </w:r>
            <w:r w:rsidRPr="00721E53">
              <w:t xml:space="preserve"> actual expenses per capita to its assessed expenses per capita.</w:t>
            </w:r>
            <w:r>
              <w:t xml:space="preserve"> </w:t>
            </w:r>
            <w:r w:rsidRPr="00721E53">
              <w:t xml:space="preserve">A ratio of 100 suggests a State is spending at average levels. A ratio greater than 100 suggests </w:t>
            </w:r>
            <w:r>
              <w:t>a</w:t>
            </w:r>
            <w:r w:rsidRPr="00721E53">
              <w:t xml:space="preserve"> State is spending more than average,</w:t>
            </w:r>
            <w:r>
              <w:t xml:space="preserve"> </w:t>
            </w:r>
            <w:r w:rsidRPr="00721E53">
              <w:t>given its characteristics. A ratio below 100 suggests below average levels of spending.</w:t>
            </w:r>
            <w:r>
              <w:t xml:space="preserve"> </w:t>
            </w:r>
            <w:r w:rsidRPr="00311773">
              <w:rPr>
                <w:rStyle w:val="NoteLabel"/>
              </w:rPr>
              <w:t>b</w:t>
            </w:r>
            <w:r>
              <w:t xml:space="preserve"> Shaded entries highlight areas of significant difference between actual and assessed expenses.</w:t>
            </w:r>
          </w:p>
          <w:p w14:paraId="79549EC6" w14:textId="7E90104B" w:rsidR="00F05DC7" w:rsidRDefault="00F05DC7" w:rsidP="00A3786D">
            <w:pPr>
              <w:pStyle w:val="Source"/>
            </w:pPr>
            <w:r>
              <w:rPr>
                <w:i/>
              </w:rPr>
              <w:t>Source</w:t>
            </w:r>
            <w:r w:rsidRPr="00167F06">
              <w:t xml:space="preserve">: </w:t>
            </w:r>
            <w:r>
              <w:t xml:space="preserve">CGC </w:t>
            </w:r>
            <w:r w:rsidR="009D6331" w:rsidRPr="009D6331">
              <w:rPr>
                <w:rFonts w:cs="Arial"/>
              </w:rPr>
              <w:t>(2018g)</w:t>
            </w:r>
            <w:r>
              <w:t>.</w:t>
            </w:r>
          </w:p>
        </w:tc>
      </w:tr>
      <w:tr w:rsidR="00F05DC7" w14:paraId="79549EC9" w14:textId="77777777" w:rsidTr="00A3786D">
        <w:tc>
          <w:tcPr>
            <w:tcW w:w="5000" w:type="pct"/>
            <w:tcBorders>
              <w:top w:val="nil"/>
              <w:left w:val="nil"/>
              <w:bottom w:val="single" w:sz="6" w:space="0" w:color="78A22F"/>
              <w:right w:val="nil"/>
            </w:tcBorders>
            <w:shd w:val="clear" w:color="auto" w:fill="F2F2F2"/>
          </w:tcPr>
          <w:p w14:paraId="79549EC8" w14:textId="77777777" w:rsidR="00F05DC7" w:rsidRDefault="00F05DC7">
            <w:pPr>
              <w:pStyle w:val="Box"/>
              <w:spacing w:before="0" w:line="120" w:lineRule="exact"/>
            </w:pPr>
          </w:p>
        </w:tc>
      </w:tr>
    </w:tbl>
    <w:p w14:paraId="79549ECA"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ECC" w14:textId="77777777" w:rsidTr="00A3786D">
        <w:trPr>
          <w:tblHeader/>
        </w:trPr>
        <w:tc>
          <w:tcPr>
            <w:tcW w:w="5000" w:type="pct"/>
            <w:tcBorders>
              <w:top w:val="single" w:sz="6" w:space="0" w:color="78A22F"/>
              <w:left w:val="nil"/>
              <w:bottom w:val="nil"/>
              <w:right w:val="nil"/>
            </w:tcBorders>
            <w:shd w:val="clear" w:color="auto" w:fill="auto"/>
          </w:tcPr>
          <w:p w14:paraId="79549ECB" w14:textId="4B79DE66" w:rsidR="00F05DC7" w:rsidRPr="00176D3F" w:rsidRDefault="00F05DC7" w:rsidP="00A3786D">
            <w:pPr>
              <w:pStyle w:val="FigureTitle"/>
            </w:pPr>
            <w:r w:rsidRPr="00784A05">
              <w:rPr>
                <w:b w:val="0"/>
              </w:rPr>
              <w:t xml:space="preserve">Figure </w:t>
            </w:r>
            <w:r>
              <w:rPr>
                <w:b w:val="0"/>
              </w:rPr>
              <w:t>2.11</w:t>
            </w:r>
            <w:r>
              <w:tab/>
              <w:t>Actual to assessed expenditure ratios</w:t>
            </w:r>
          </w:p>
        </w:tc>
      </w:tr>
      <w:tr w:rsidR="00F05DC7" w14:paraId="79549ED0"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9ECE" w14:textId="77777777" w:rsidTr="00A3786D">
              <w:trPr>
                <w:tblHeader/>
                <w:jc w:val="center"/>
              </w:trPr>
              <w:tc>
                <w:tcPr>
                  <w:tcW w:w="5000" w:type="pct"/>
                  <w:tcBorders>
                    <w:top w:val="nil"/>
                    <w:bottom w:val="nil"/>
                  </w:tcBorders>
                </w:tcPr>
                <w:p w14:paraId="79549ECD" w14:textId="49C86A52" w:rsidR="00F05DC7" w:rsidRPr="00B1465D" w:rsidRDefault="00BF0AE0" w:rsidP="00A3786D">
                  <w:pPr>
                    <w:pStyle w:val="Figure"/>
                    <w:spacing w:before="60" w:after="60"/>
                    <w:rPr>
                      <w:rFonts w:ascii="Arial" w:hAnsi="Arial" w:cs="Arial"/>
                      <w:sz w:val="18"/>
                      <w:szCs w:val="18"/>
                    </w:rPr>
                  </w:pPr>
                  <w:r w:rsidRPr="00BF0AE0">
                    <w:rPr>
                      <w:rFonts w:ascii="Arial" w:hAnsi="Arial" w:cs="Arial"/>
                      <w:noProof/>
                      <w:sz w:val="18"/>
                      <w:szCs w:val="18"/>
                    </w:rPr>
                    <w:drawing>
                      <wp:inline distT="0" distB="0" distL="0" distR="0" wp14:anchorId="5B730CCA" wp14:editId="4436F6FF">
                        <wp:extent cx="5401945" cy="2912745"/>
                        <wp:effectExtent l="0" t="0" r="8255" b="1905"/>
                        <wp:docPr id="251" name="Picture 251" descr="Actual to assessed expenditure ratios exhibit variation across the States. From 2010-11 to 2015-16, New South Wales, Victoria, Queensland, and South Australia have generally had actual to assessed expenditure ratios close to 1.0, while Western Australia, the ACT, and the Northern Territory have typically had ratios above 1.0. Tasmania’s actual to assessed expenditure ration was below 1.0 from 2010-11 to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1945" cy="2912745"/>
                                </a:xfrm>
                                <a:prstGeom prst="rect">
                                  <a:avLst/>
                                </a:prstGeom>
                                <a:noFill/>
                                <a:ln>
                                  <a:noFill/>
                                </a:ln>
                              </pic:spPr>
                            </pic:pic>
                          </a:graphicData>
                        </a:graphic>
                      </wp:inline>
                    </w:drawing>
                  </w:r>
                </w:p>
              </w:tc>
            </w:tr>
          </w:tbl>
          <w:p w14:paraId="79549ECF" w14:textId="77777777" w:rsidR="00F05DC7" w:rsidRDefault="00F05DC7" w:rsidP="00A3786D">
            <w:pPr>
              <w:pStyle w:val="Figure"/>
            </w:pPr>
          </w:p>
        </w:tc>
      </w:tr>
      <w:tr w:rsidR="00F05DC7" w:rsidRPr="00176D3F" w14:paraId="79549ED2" w14:textId="77777777" w:rsidTr="00A3786D">
        <w:tc>
          <w:tcPr>
            <w:tcW w:w="5000" w:type="pct"/>
            <w:tcBorders>
              <w:top w:val="nil"/>
              <w:left w:val="nil"/>
              <w:bottom w:val="nil"/>
              <w:right w:val="nil"/>
            </w:tcBorders>
            <w:shd w:val="clear" w:color="auto" w:fill="auto"/>
          </w:tcPr>
          <w:p w14:paraId="79549ED1" w14:textId="6AC8F433" w:rsidR="00F05DC7" w:rsidRPr="00176D3F" w:rsidRDefault="00F05DC7" w:rsidP="006F6A96">
            <w:pPr>
              <w:pStyle w:val="Source"/>
            </w:pPr>
            <w:r>
              <w:rPr>
                <w:i/>
              </w:rPr>
              <w:t>S</w:t>
            </w:r>
            <w:r w:rsidRPr="00784A05">
              <w:rPr>
                <w:i/>
              </w:rPr>
              <w:t>ource</w:t>
            </w:r>
            <w:r>
              <w:rPr>
                <w:i/>
              </w:rPr>
              <w:t>s</w:t>
            </w:r>
            <w:r w:rsidRPr="00176D3F">
              <w:t xml:space="preserve">: </w:t>
            </w:r>
            <w:r>
              <w:t xml:space="preserve">CGC </w:t>
            </w:r>
            <w:r w:rsidR="006F6A96">
              <w:rPr>
                <w:rFonts w:cs="Arial"/>
                <w:szCs w:val="24"/>
              </w:rPr>
              <w:t>(</w:t>
            </w:r>
            <w:r w:rsidR="009D6331" w:rsidRPr="009D6331">
              <w:rPr>
                <w:rFonts w:cs="Arial"/>
                <w:szCs w:val="24"/>
              </w:rPr>
              <w:t>2016f, 2018g)</w:t>
            </w:r>
            <w:r>
              <w:t>.</w:t>
            </w:r>
          </w:p>
        </w:tc>
      </w:tr>
      <w:tr w:rsidR="00F05DC7" w14:paraId="79549ED4" w14:textId="77777777" w:rsidTr="00A3786D">
        <w:tc>
          <w:tcPr>
            <w:tcW w:w="5000" w:type="pct"/>
            <w:tcBorders>
              <w:top w:val="nil"/>
              <w:left w:val="nil"/>
              <w:bottom w:val="single" w:sz="6" w:space="0" w:color="78A22F"/>
              <w:right w:val="nil"/>
            </w:tcBorders>
            <w:shd w:val="clear" w:color="auto" w:fill="auto"/>
          </w:tcPr>
          <w:p w14:paraId="79549ED3" w14:textId="77777777" w:rsidR="00F05DC7" w:rsidRDefault="00F05DC7" w:rsidP="00A3786D">
            <w:pPr>
              <w:pStyle w:val="Figurespace"/>
            </w:pPr>
          </w:p>
        </w:tc>
      </w:tr>
      <w:tr w:rsidR="00F05DC7" w:rsidRPr="000863A5" w14:paraId="79549ED6" w14:textId="77777777" w:rsidTr="00A3786D">
        <w:tc>
          <w:tcPr>
            <w:tcW w:w="5000" w:type="pct"/>
            <w:tcBorders>
              <w:top w:val="single" w:sz="6" w:space="0" w:color="78A22F"/>
              <w:left w:val="nil"/>
              <w:bottom w:val="nil"/>
              <w:right w:val="nil"/>
            </w:tcBorders>
          </w:tcPr>
          <w:p w14:paraId="79549ED5" w14:textId="77777777" w:rsidR="00F05DC7" w:rsidRPr="00626D32" w:rsidRDefault="00F05DC7" w:rsidP="00A3786D">
            <w:pPr>
              <w:pStyle w:val="BoxSpaceBelow"/>
            </w:pPr>
          </w:p>
        </w:tc>
      </w:tr>
    </w:tbl>
    <w:p w14:paraId="79549ED7"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9EDA"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9ED8" w14:textId="0A2603FB" w:rsidR="00F05DC7" w:rsidRDefault="00F05DC7" w:rsidP="00A3786D">
            <w:pPr>
              <w:pStyle w:val="FindingTitle"/>
              <w:spacing w:before="120"/>
              <w:rPr>
                <w:noProof/>
              </w:rPr>
            </w:pPr>
            <w:r>
              <w:t>Finding 2.</w:t>
            </w:r>
            <w:r>
              <w:rPr>
                <w:noProof/>
              </w:rPr>
              <w:t>1</w:t>
            </w:r>
          </w:p>
          <w:p w14:paraId="79549ED9" w14:textId="77777777" w:rsidR="00F05DC7" w:rsidRPr="00CE4C64" w:rsidRDefault="00F05DC7" w:rsidP="00A3786D">
            <w:pPr>
              <w:pStyle w:val="Finding"/>
              <w:keepNext/>
            </w:pPr>
            <w:r>
              <w:t>Australia achieves a high degree of horizontal fiscal equalisation and to a much greater extent than other countries. It is the only OECD country with a federal government that seeks to fully eliminate disparities in fiscal capacity between sub</w:t>
            </w:r>
            <w:r>
              <w:noBreakHyphen/>
              <w:t>national governments.</w:t>
            </w:r>
          </w:p>
        </w:tc>
      </w:tr>
      <w:tr w:rsidR="00F05DC7" w14:paraId="79549EDC"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9EDB" w14:textId="77777777" w:rsidR="00F05DC7" w:rsidRDefault="00F05DC7" w:rsidP="00A3786D">
            <w:pPr>
              <w:pStyle w:val="Space"/>
              <w:keepLines/>
            </w:pPr>
          </w:p>
        </w:tc>
      </w:tr>
      <w:tr w:rsidR="00F05DC7" w:rsidRPr="000863A5" w14:paraId="79549EDE"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9EDD" w14:textId="77777777" w:rsidR="00F05DC7" w:rsidRPr="00626D32" w:rsidRDefault="00F05DC7" w:rsidP="00A3786D">
            <w:pPr>
              <w:pStyle w:val="BoxSpaceBelow"/>
              <w:keepLines/>
            </w:pPr>
          </w:p>
        </w:tc>
      </w:tr>
    </w:tbl>
    <w:p w14:paraId="79549EDF" w14:textId="77777777" w:rsidR="00F05DC7" w:rsidRPr="005B62FB" w:rsidRDefault="00F05DC7">
      <w:pPr>
        <w:pStyle w:val="BodyText"/>
      </w:pPr>
    </w:p>
    <w:p w14:paraId="79549EE0" w14:textId="77777777" w:rsidR="00F05DC7" w:rsidRDefault="00F05DC7" w:rsidP="00F05DC7">
      <w:pPr>
        <w:sectPr w:rsidR="00F05DC7" w:rsidSect="00200D2D">
          <w:headerReference w:type="even" r:id="rId92"/>
          <w:headerReference w:type="default" r:id="rId93"/>
          <w:footerReference w:type="even" r:id="rId94"/>
          <w:footerReference w:type="default" r:id="rId95"/>
          <w:type w:val="evenPage"/>
          <w:pgSz w:w="11907" w:h="16840" w:code="9"/>
          <w:pgMar w:top="1985" w:right="1304" w:bottom="1247" w:left="1814" w:header="1701" w:footer="397" w:gutter="0"/>
          <w:pgNumType w:chapSep="period"/>
          <w:cols w:space="720"/>
          <w:docGrid w:linePitch="326"/>
        </w:sectPr>
      </w:pPr>
    </w:p>
    <w:p w14:paraId="79549EE1" w14:textId="77777777" w:rsidR="00F05DC7" w:rsidRDefault="00F05DC7" w:rsidP="00A3786D">
      <w:pPr>
        <w:pStyle w:val="Heading1"/>
        <w:spacing w:before="0" w:after="1200"/>
      </w:pPr>
      <w:bookmarkStart w:id="59" w:name="_Toc513637708"/>
      <w:r>
        <w:lastRenderedPageBreak/>
        <w:t>3</w:t>
      </w:r>
      <w:r>
        <w:tab/>
        <w:t>Does HFE influence States’ incentives to undertake reforms?</w:t>
      </w:r>
      <w:bookmarkEnd w:id="59"/>
    </w:p>
    <w:p w14:paraId="79549EE2"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EE4" w14:textId="77777777" w:rsidTr="001113B1">
        <w:trPr>
          <w:tblHeader/>
        </w:trPr>
        <w:tc>
          <w:tcPr>
            <w:tcW w:w="5000" w:type="pct"/>
            <w:tcBorders>
              <w:top w:val="single" w:sz="6" w:space="0" w:color="78A22F"/>
              <w:left w:val="nil"/>
              <w:bottom w:val="nil"/>
              <w:right w:val="nil"/>
            </w:tcBorders>
            <w:shd w:val="clear" w:color="auto" w:fill="F2F2F2"/>
          </w:tcPr>
          <w:p w14:paraId="79549EE3" w14:textId="77777777" w:rsidR="00F05DC7" w:rsidRDefault="00F05DC7">
            <w:pPr>
              <w:pStyle w:val="BoxTitle"/>
            </w:pPr>
            <w:r>
              <w:t>Key points</w:t>
            </w:r>
          </w:p>
        </w:tc>
      </w:tr>
      <w:tr w:rsidR="00F05DC7" w14:paraId="79549EF0" w14:textId="77777777" w:rsidTr="00A3786D">
        <w:tc>
          <w:tcPr>
            <w:tcW w:w="5000" w:type="pct"/>
            <w:tcBorders>
              <w:top w:val="nil"/>
              <w:left w:val="nil"/>
              <w:bottom w:val="nil"/>
              <w:right w:val="nil"/>
            </w:tcBorders>
            <w:shd w:val="clear" w:color="auto" w:fill="F2F2F2"/>
          </w:tcPr>
          <w:p w14:paraId="79549EE5" w14:textId="77777777" w:rsidR="00F05DC7" w:rsidRDefault="00F05DC7" w:rsidP="00A3786D">
            <w:pPr>
              <w:pStyle w:val="KeyPointsListBullet"/>
              <w:spacing w:line="244" w:lineRule="atLeast"/>
            </w:pPr>
            <w:r>
              <w:t>Despite the CGC’s aspiration and endeavour, Australia’s HFE system</w:t>
            </w:r>
            <w:r w:rsidRPr="00B73BF0">
              <w:t xml:space="preserve"> is not policy neutral. State policy decisions can and do influence the share of GST revenue flowing to</w:t>
            </w:r>
            <w:r>
              <w:t xml:space="preserve"> each State.</w:t>
            </w:r>
          </w:p>
          <w:p w14:paraId="79549EE6" w14:textId="77777777" w:rsidR="00F05DC7" w:rsidRDefault="00F05DC7" w:rsidP="00A3786D">
            <w:pPr>
              <w:pStyle w:val="KeyPointsListBullet"/>
              <w:spacing w:line="244" w:lineRule="atLeast"/>
            </w:pPr>
            <w:r>
              <w:t>On the revenue side, changes in one State’s tax rates generally have a small impact on GST shares. However, the effect can be substantial in some circumstances — such as large tax reforms where one State departs from what other States do on average, or where State policy has a significant influence on the size of a tax base (such as mining activity in some States).</w:t>
            </w:r>
          </w:p>
          <w:p w14:paraId="79549EE7" w14:textId="77777777" w:rsidR="00F05DC7" w:rsidRDefault="00F05DC7" w:rsidP="00A3786D">
            <w:pPr>
              <w:pStyle w:val="KeyPointsListBullet2"/>
              <w:spacing w:line="244" w:lineRule="atLeast"/>
            </w:pPr>
            <w:r>
              <w:t>HFE can discourage efficiency</w:t>
            </w:r>
            <w:r>
              <w:noBreakHyphen/>
              <w:t>enhancing reform or resource development where, as a consequence, a State experiences a large reduction in GST payments, or where the GST impacts of reform are uncertain. Though there is no direct evidence to link such incentives to individual policy changes, there is likely to be an effect on policy decisions at the margin.</w:t>
            </w:r>
          </w:p>
          <w:p w14:paraId="79549EE8" w14:textId="77777777" w:rsidR="00F05DC7" w:rsidRDefault="00F05DC7" w:rsidP="00A3786D">
            <w:pPr>
              <w:pStyle w:val="KeyPointsListBullet2"/>
              <w:spacing w:line="244" w:lineRule="atLeast"/>
            </w:pPr>
            <w:r>
              <w:t>The impacts can be pronounced where a State significantly reforms an existing tax. Policy cameos suggest that revenue</w:t>
            </w:r>
            <w:r>
              <w:noBreakHyphen/>
              <w:t>neutral reform can have significant effects on GST payments for some States — especially if done unilaterally — which would pose a first</w:t>
            </w:r>
            <w:r>
              <w:noBreakHyphen/>
              <w:t>mover disadvantage to reform.</w:t>
            </w:r>
          </w:p>
          <w:p w14:paraId="79549EE9" w14:textId="77777777" w:rsidR="00F05DC7" w:rsidRDefault="00F05DC7" w:rsidP="00A3786D">
            <w:pPr>
              <w:pStyle w:val="KeyPointsListBullet"/>
              <w:spacing w:line="244" w:lineRule="atLeast"/>
            </w:pPr>
            <w:r>
              <w:t>Definitive evidence that HFE influences State policy decisions is unsurprisingly scant, although there is some limited international evidence.</w:t>
            </w:r>
          </w:p>
          <w:p w14:paraId="79549EEA" w14:textId="77777777" w:rsidR="00F05DC7" w:rsidRDefault="00F05DC7" w:rsidP="00A3786D">
            <w:pPr>
              <w:pStyle w:val="KeyPointsListBullet"/>
              <w:spacing w:line="244" w:lineRule="atLeast"/>
            </w:pPr>
            <w:r>
              <w:t>On the expenditure side, changes in State policy can affect GST shares, though the potential to do so is much lower than on the revenue side. T</w:t>
            </w:r>
            <w:r w:rsidRPr="00433917">
              <w:t xml:space="preserve">here is no compelling </w:t>
            </w:r>
            <w:r>
              <w:t>case</w:t>
            </w:r>
            <w:r w:rsidRPr="00433917">
              <w:t xml:space="preserve"> that Australia’s HFE system</w:t>
            </w:r>
            <w:r>
              <w:t xml:space="preserve"> </w:t>
            </w:r>
            <w:r w:rsidRPr="00433917">
              <w:t>systematically bias</w:t>
            </w:r>
            <w:r>
              <w:t>es</w:t>
            </w:r>
            <w:r w:rsidRPr="00433917">
              <w:t xml:space="preserve"> State</w:t>
            </w:r>
            <w:r>
              <w:t xml:space="preserve"> expenditure policy.</w:t>
            </w:r>
          </w:p>
          <w:p w14:paraId="79549EEB" w14:textId="77777777" w:rsidR="00F05DC7" w:rsidRDefault="00F05DC7" w:rsidP="00A3786D">
            <w:pPr>
              <w:pStyle w:val="KeyPointsListBullet2"/>
              <w:spacing w:line="244" w:lineRule="atLeast"/>
            </w:pPr>
            <w:r>
              <w:t>HFE is unlikely to directly discourage (</w:t>
            </w:r>
            <w:r w:rsidRPr="005152A0">
              <w:t xml:space="preserve">nor </w:t>
            </w:r>
            <w:r>
              <w:t>encourage)</w:t>
            </w:r>
            <w:r w:rsidRPr="005152A0">
              <w:t xml:space="preserve"> States from</w:t>
            </w:r>
            <w:r>
              <w:t xml:space="preserve"> improving the efficiency of service delivery or</w:t>
            </w:r>
            <w:r w:rsidRPr="005152A0">
              <w:t xml:space="preserve"> addressing </w:t>
            </w:r>
            <w:r>
              <w:t xml:space="preserve">their </w:t>
            </w:r>
            <w:r w:rsidRPr="005152A0">
              <w:t xml:space="preserve">structural disadvantages given the broader benefits </w:t>
            </w:r>
            <w:r>
              <w:t xml:space="preserve">of doing so </w:t>
            </w:r>
            <w:r w:rsidRPr="005152A0">
              <w:t>to the community</w:t>
            </w:r>
            <w:r>
              <w:t>. A greater driver of expenditure effort is accountability, which is lacking due to vertical fiscal imbalance and blurred funding responsibilities.</w:t>
            </w:r>
          </w:p>
          <w:p w14:paraId="79549EEC" w14:textId="77777777" w:rsidR="00F05DC7" w:rsidRDefault="00F05DC7" w:rsidP="00A3786D">
            <w:pPr>
              <w:pStyle w:val="KeyPointsListBullet"/>
              <w:spacing w:line="244" w:lineRule="atLeast"/>
            </w:pPr>
            <w:r>
              <w:t>The potential for HFE to distort State policy is pronounced for mineral and energy resources. States that increase mineral production or royalty rates will lose much of the additional revenue to equalisation — such that they retain as little as their population share of any increase in revenue or bear as little as their population share of any decrease.</w:t>
            </w:r>
          </w:p>
          <w:p w14:paraId="79549EED" w14:textId="77777777" w:rsidR="00F05DC7" w:rsidRDefault="00F05DC7" w:rsidP="00A3786D">
            <w:pPr>
              <w:pStyle w:val="KeyPointsListBullet2"/>
              <w:spacing w:line="244" w:lineRule="atLeast"/>
            </w:pPr>
            <w:r>
              <w:t>These perverse incentives are largely driven by the high concentration of mineral production in several States, and were exacerbated by the mining boom. The incentives have the potential to distort trade</w:t>
            </w:r>
            <w:r>
              <w:noBreakHyphen/>
              <w:t>offs States make between fiscal and other policy objectives, includ</w:t>
            </w:r>
            <w:r w:rsidRPr="00346328">
              <w:t xml:space="preserve">ing </w:t>
            </w:r>
            <w:r>
              <w:t xml:space="preserve">controversial </w:t>
            </w:r>
            <w:r w:rsidRPr="00346328">
              <w:t xml:space="preserve">decisions to </w:t>
            </w:r>
            <w:r>
              <w:t>facilitate or restrict</w:t>
            </w:r>
            <w:r w:rsidRPr="00346328">
              <w:t xml:space="preserve"> resource extraction</w:t>
            </w:r>
            <w:r>
              <w:t>.</w:t>
            </w:r>
          </w:p>
          <w:p w14:paraId="79549EEE" w14:textId="77777777" w:rsidR="00F05DC7" w:rsidRDefault="00F05DC7" w:rsidP="00A3786D">
            <w:pPr>
              <w:pStyle w:val="KeyPointsListBullet2"/>
              <w:spacing w:line="244" w:lineRule="atLeast"/>
            </w:pPr>
            <w:r>
              <w:t>To some extent, these incentives are an inevitable consequence of pursuing full and comprehensive equalisation with disparate treatment of revenues, which has embedded policy non</w:t>
            </w:r>
            <w:r>
              <w:noBreakHyphen/>
              <w:t>neutrality in the HFE system.</w:t>
            </w:r>
          </w:p>
          <w:p w14:paraId="79549EEF" w14:textId="77777777" w:rsidR="00F05DC7" w:rsidRPr="00B73BF0" w:rsidRDefault="00F05DC7" w:rsidP="00A3786D">
            <w:pPr>
              <w:pStyle w:val="KeyPointsListBullet2"/>
              <w:spacing w:line="244" w:lineRule="atLeast"/>
            </w:pPr>
            <w:r w:rsidRPr="00DC40C0">
              <w:t xml:space="preserve">Previous reviews have dealt extensively with the equalisation of </w:t>
            </w:r>
            <w:r>
              <w:t>resource</w:t>
            </w:r>
            <w:r w:rsidRPr="00DC40C0">
              <w:t xml:space="preserve"> development costs. The Commission has not received any new or co</w:t>
            </w:r>
            <w:r>
              <w:t>mpelling</w:t>
            </w:r>
            <w:r w:rsidRPr="00DC40C0">
              <w:t xml:space="preserve"> evidence that the treatment of mining</w:t>
            </w:r>
            <w:r>
              <w:noBreakHyphen/>
            </w:r>
            <w:r w:rsidRPr="00DC40C0">
              <w:t>related expen</w:t>
            </w:r>
            <w:r>
              <w:t>ditures requires change.</w:t>
            </w:r>
          </w:p>
        </w:tc>
      </w:tr>
      <w:tr w:rsidR="00F05DC7" w14:paraId="79549EF2" w14:textId="77777777" w:rsidTr="00A3786D">
        <w:tc>
          <w:tcPr>
            <w:tcW w:w="5000" w:type="pct"/>
            <w:tcBorders>
              <w:top w:val="nil"/>
              <w:left w:val="nil"/>
              <w:bottom w:val="single" w:sz="6" w:space="0" w:color="78A22F"/>
              <w:right w:val="nil"/>
            </w:tcBorders>
            <w:shd w:val="clear" w:color="auto" w:fill="F2F2F2"/>
          </w:tcPr>
          <w:p w14:paraId="79549EF1" w14:textId="77777777" w:rsidR="00F05DC7" w:rsidRDefault="00F05DC7">
            <w:pPr>
              <w:pStyle w:val="Box"/>
              <w:spacing w:before="0" w:line="120" w:lineRule="exact"/>
            </w:pPr>
          </w:p>
        </w:tc>
      </w:tr>
      <w:tr w:rsidR="00F05DC7" w:rsidRPr="000863A5" w14:paraId="79549EF4" w14:textId="77777777" w:rsidTr="00A3786D">
        <w:tc>
          <w:tcPr>
            <w:tcW w:w="5000" w:type="pct"/>
            <w:tcBorders>
              <w:top w:val="single" w:sz="6" w:space="0" w:color="78A22F"/>
              <w:left w:val="nil"/>
              <w:bottom w:val="nil"/>
              <w:right w:val="nil"/>
            </w:tcBorders>
          </w:tcPr>
          <w:p w14:paraId="79549EF3" w14:textId="77777777" w:rsidR="00F05DC7" w:rsidRPr="00626D32" w:rsidRDefault="00F05DC7" w:rsidP="00A3786D">
            <w:pPr>
              <w:pStyle w:val="BoxSpaceBelow"/>
            </w:pPr>
          </w:p>
        </w:tc>
      </w:tr>
    </w:tbl>
    <w:p w14:paraId="79549EF5" w14:textId="77777777" w:rsidR="00F05DC7" w:rsidRDefault="00F05DC7" w:rsidP="00A3786D">
      <w:pPr>
        <w:pStyle w:val="BodyText"/>
      </w:pPr>
      <w:r>
        <w:lastRenderedPageBreak/>
        <w:t>The terms of reference ask the Commission to consider the effect of Australia’s system of horizontal fiscal equalisation (HFE) on productivity, economic growth and budget management, with a particular focus on the development or restriction of mineral and energy resources. This chapter does so through the lens of whether HFE influences State policy decisions. Sections 3.1 and 3.2 look at State tax and expenditure reforms respectively. Section 3.3 focuses specifically on mineral and energy resources, where the potential impacts of HFE have been highly contentious.</w:t>
      </w:r>
    </w:p>
    <w:p w14:paraId="79549EF6" w14:textId="336D7C85" w:rsidR="00F05DC7" w:rsidRPr="000344E7" w:rsidRDefault="00F05DC7" w:rsidP="00A3786D">
      <w:pPr>
        <w:pStyle w:val="Heading2"/>
      </w:pPr>
      <w:bookmarkStart w:id="60" w:name="_Toc513637709"/>
      <w:r>
        <w:t>3.</w:t>
      </w:r>
      <w:r>
        <w:rPr>
          <w:noProof/>
        </w:rPr>
        <w:t>1</w:t>
      </w:r>
      <w:r w:rsidRPr="000344E7">
        <w:tab/>
        <w:t>State tax reform</w:t>
      </w:r>
      <w:bookmarkEnd w:id="60"/>
    </w:p>
    <w:p w14:paraId="79549EF7" w14:textId="77777777" w:rsidR="00F05DC7" w:rsidRDefault="00F05DC7" w:rsidP="00A3786D">
      <w:pPr>
        <w:pStyle w:val="BodyText"/>
      </w:pPr>
      <w:r>
        <w:t>Australia’s HFE system is designed to equalise the fiscal capacity of all States. The Commonwealth Grants Commission (CGC) does this by first assuming that each State has the capacity to levy the average tax rate on its tax base (adjusted, where necessary, to reflect average exemptions and thresholds). It then uses GST payments to even out differences in capacity across States (chapter 2). In this way, States with stronger revenue bases (for example, due to high wages or mineral royalties) receive less GST than States with weaker revenue bases.</w:t>
      </w:r>
    </w:p>
    <w:p w14:paraId="79549EF8" w14:textId="11B5FECE" w:rsidR="00F05DC7" w:rsidRDefault="00F05DC7" w:rsidP="00A3786D">
      <w:pPr>
        <w:pStyle w:val="BodyText"/>
      </w:pPr>
      <w:r>
        <w:t>This method is intended to be policy neutral — that is, GST shares should reflect structural differences across States but should not be affected by an individual State’s policy decisions, including the mixture of revenue bases that it chooses to tax. But the formula is complex, and in practice State policy can directly influence components of the formula, such as national average tax rates or the size of actual tax bases, and hence GST shares (box 3.1).</w:t>
      </w:r>
    </w:p>
    <w:p w14:paraId="79549EF9" w14:textId="3617D6B2" w:rsidR="00F05DC7" w:rsidRDefault="00F05DC7" w:rsidP="00A3786D">
      <w:pPr>
        <w:pStyle w:val="BodyText"/>
      </w:pPr>
      <w:r>
        <w:t>The academic literature has found that these effects</w:t>
      </w:r>
      <w:r w:rsidRPr="00671D84">
        <w:t xml:space="preserve"> </w:t>
      </w:r>
      <w:r>
        <w:t xml:space="preserve">are likely to be present in most countries that implement equalisation based on representative tax bases, including Canada, Germany and Australia </w:t>
      </w:r>
      <w:r w:rsidRPr="00E72B8E">
        <w:rPr>
          <w:szCs w:val="24"/>
        </w:rPr>
        <w:t>(Buettner 2005; Dahlby and Warren 2003; Karkalakos and Kotsogiannis 2005)</w:t>
      </w:r>
      <w:r>
        <w:t>. This approach, based on average rates of specific taxes, may lead to ‘double counting’ of tax bases and not always align with long</w:t>
      </w:r>
      <w:r>
        <w:noBreakHyphen/>
        <w:t>term measures of fiscal (or tax</w:t>
      </w:r>
      <w:r>
        <w:noBreakHyphen/>
        <w:t xml:space="preserve">paying) capacity, such as household disposable income </w:t>
      </w:r>
      <w:r w:rsidR="009D6331" w:rsidRPr="009D6331">
        <w:rPr>
          <w:szCs w:val="24"/>
        </w:rPr>
        <w:t>(Peter Abelson, sub. 9; Garnaut and FitzGerald 2002b, p. 167)</w:t>
      </w:r>
      <w:r>
        <w:t>. Such alternative measures are discussed further in chapter 7.</w:t>
      </w:r>
    </w:p>
    <w:p w14:paraId="79549EFA" w14:textId="0BBEB2EA" w:rsidR="00F05DC7" w:rsidRDefault="00F05DC7" w:rsidP="00A3786D">
      <w:pPr>
        <w:pStyle w:val="BodyText"/>
      </w:pPr>
      <w:r>
        <w:t>Moreover, the literature also notes that</w:t>
      </w:r>
      <w:r w:rsidDel="007A3B20">
        <w:t xml:space="preserve"> </w:t>
      </w:r>
      <w:r>
        <w:t xml:space="preserve">because most HFE systems are forms of redistribution based on observable indicators that can be influenced by governments, adverse incentive effects are, </w:t>
      </w:r>
      <w:r>
        <w:rPr>
          <w:i/>
        </w:rPr>
        <w:t>in principle</w:t>
      </w:r>
      <w:r>
        <w:t xml:space="preserve">, inescapable </w:t>
      </w:r>
      <w:r w:rsidRPr="0091628B">
        <w:rPr>
          <w:szCs w:val="24"/>
        </w:rPr>
        <w:t>(Boadway 2004, p. </w:t>
      </w:r>
      <w:r w:rsidRPr="00FF5422">
        <w:rPr>
          <w:szCs w:val="24"/>
        </w:rPr>
        <w:t>216)</w:t>
      </w:r>
      <w:r>
        <w:t>. The precise form of equalisation and how it is implemented will influence the nature and extent of these incentives in practice.</w:t>
      </w:r>
    </w:p>
    <w:p w14:paraId="79549EFB"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EFD" w14:textId="77777777" w:rsidTr="001113B1">
        <w:trPr>
          <w:tblHeader/>
        </w:trPr>
        <w:tc>
          <w:tcPr>
            <w:tcW w:w="5000" w:type="pct"/>
            <w:tcBorders>
              <w:top w:val="single" w:sz="6" w:space="0" w:color="78A22F"/>
              <w:left w:val="nil"/>
              <w:bottom w:val="nil"/>
              <w:right w:val="nil"/>
            </w:tcBorders>
            <w:shd w:val="clear" w:color="auto" w:fill="F2F2F2"/>
          </w:tcPr>
          <w:p w14:paraId="79549EFC" w14:textId="0030520A" w:rsidR="00F05DC7" w:rsidRDefault="00F05DC7" w:rsidP="00A3786D">
            <w:pPr>
              <w:pStyle w:val="BoxTitle"/>
            </w:pPr>
            <w:r>
              <w:rPr>
                <w:b w:val="0"/>
              </w:rPr>
              <w:t xml:space="preserve">Box </w:t>
            </w:r>
            <w:bookmarkStart w:id="61" w:name="OLE_LINK1"/>
            <w:r>
              <w:rPr>
                <w:b w:val="0"/>
              </w:rPr>
              <w:t>3.</w:t>
            </w:r>
            <w:r>
              <w:rPr>
                <w:b w:val="0"/>
                <w:noProof/>
              </w:rPr>
              <w:t>1</w:t>
            </w:r>
            <w:bookmarkEnd w:id="61"/>
            <w:r>
              <w:tab/>
              <w:t>How does State tax reform affect GST shares?</w:t>
            </w:r>
          </w:p>
        </w:tc>
      </w:tr>
      <w:tr w:rsidR="00F05DC7" w14:paraId="79549F08" w14:textId="77777777" w:rsidTr="00A3786D">
        <w:tc>
          <w:tcPr>
            <w:tcW w:w="5000" w:type="pct"/>
            <w:tcBorders>
              <w:top w:val="nil"/>
              <w:left w:val="nil"/>
              <w:bottom w:val="nil"/>
              <w:right w:val="nil"/>
            </w:tcBorders>
            <w:shd w:val="clear" w:color="auto" w:fill="F2F2F2"/>
          </w:tcPr>
          <w:p w14:paraId="79549EFE" w14:textId="77777777" w:rsidR="00F05DC7" w:rsidRDefault="00F05DC7" w:rsidP="00A3786D">
            <w:pPr>
              <w:pStyle w:val="BoxHeading1"/>
            </w:pPr>
            <w:r>
              <w:t>Changes in tax rates</w:t>
            </w:r>
          </w:p>
          <w:p w14:paraId="79549EFF" w14:textId="77777777" w:rsidR="00F05DC7" w:rsidRDefault="00F05DC7" w:rsidP="00A3786D">
            <w:pPr>
              <w:pStyle w:val="Box"/>
            </w:pPr>
            <w:r>
              <w:t>An increase in a tax rate in one State affects GST shares through:</w:t>
            </w:r>
          </w:p>
          <w:p w14:paraId="79549F00" w14:textId="77777777" w:rsidR="00F05DC7" w:rsidRDefault="00F05DC7" w:rsidP="00A3786D">
            <w:pPr>
              <w:pStyle w:val="BoxListBullet"/>
            </w:pPr>
            <w:r>
              <w:t>the average</w:t>
            </w:r>
            <w:r>
              <w:noBreakHyphen/>
              <w:t>rate (‘Robin Hood’) effect — the higher tax rate increases the national weighted</w:t>
            </w:r>
            <w:r>
              <w:noBreakHyphen/>
              <w:t>average rate, which can either reduce GST payments (for States with a relatively large share of the tax base) or increase GST payments (for States with a relatively low share)</w:t>
            </w:r>
          </w:p>
          <w:p w14:paraId="79549F01" w14:textId="77777777" w:rsidR="00F05DC7" w:rsidRDefault="00F05DC7" w:rsidP="00A3786D">
            <w:pPr>
              <w:pStyle w:val="BoxListBullet"/>
            </w:pPr>
            <w:r>
              <w:t>the elasticity effect — the higher tax rate leads to a reduction in the State’s own tax base, due to lower demand or the movement of resources to other States. The State’s GST payments increase as it is assessed as having lower revenue</w:t>
            </w:r>
            <w:r>
              <w:noBreakHyphen/>
              <w:t>raising capacity.</w:t>
            </w:r>
          </w:p>
          <w:p w14:paraId="79549F02" w14:textId="77777777" w:rsidR="00F05DC7" w:rsidRDefault="00F05DC7" w:rsidP="00A3786D">
            <w:pPr>
              <w:pStyle w:val="Box"/>
            </w:pPr>
            <w:r>
              <w:t xml:space="preserve">The reverse occurs for a decrease in a tax rate, as shown in the figure below. The effects occur because an increase or decrease in tax rates changes a State’s position </w:t>
            </w:r>
            <w:r>
              <w:rPr>
                <w:i/>
              </w:rPr>
              <w:t>relative</w:t>
            </w:r>
            <w:r>
              <w:t xml:space="preserve"> to other States.</w:t>
            </w:r>
          </w:p>
          <w:p w14:paraId="79549F03" w14:textId="77777777" w:rsidR="00F05DC7" w:rsidRPr="00404908" w:rsidRDefault="00F05DC7" w:rsidP="00A3786D">
            <w:pPr>
              <w:pStyle w:val="Box"/>
            </w:pPr>
            <w:r>
              <w:t>The average</w:t>
            </w:r>
            <w:r>
              <w:noBreakHyphen/>
              <w:t xml:space="preserve">rate effect will at times be reduced (or more than offset) by the consequent elasticity effect. This change in the tax base means a change in assessed capacity, and thus a State’s position relative </w:t>
            </w:r>
            <w:r w:rsidRPr="00404908">
              <w:t>to the other jurisdictions. In other cases, the elasticity effect will operate in the same direction</w:t>
            </w:r>
            <w:r>
              <w:t xml:space="preserve"> as the average</w:t>
            </w:r>
            <w:r>
              <w:noBreakHyphen/>
              <w:t>rate effect</w:t>
            </w:r>
            <w:r w:rsidRPr="00404908">
              <w:t xml:space="preserve"> and further increase or reduce the State’s GST share.</w:t>
            </w:r>
          </w:p>
          <w:p w14:paraId="79549F04" w14:textId="77777777" w:rsidR="00F05DC7" w:rsidRPr="00404908" w:rsidRDefault="00F05DC7" w:rsidP="00A3786D">
            <w:pPr>
              <w:pStyle w:val="Box"/>
            </w:pPr>
            <w:r w:rsidRPr="00404908">
              <w:t>In general, the average</w:t>
            </w:r>
            <w:r w:rsidRPr="00404908">
              <w:noBreakHyphen/>
              <w:t xml:space="preserve">rate effect is greater for States with </w:t>
            </w:r>
            <w:r>
              <w:t>larger</w:t>
            </w:r>
            <w:r w:rsidRPr="00404908">
              <w:t xml:space="preserve"> shares of the national revenue base (</w:t>
            </w:r>
            <w:r>
              <w:t>as</w:t>
            </w:r>
            <w:r w:rsidRPr="00404908">
              <w:t xml:space="preserve"> they have more scope to influence the national average). The elasticity effect is greater</w:t>
            </w:r>
            <w:r>
              <w:t> </w:t>
            </w:r>
            <w:r w:rsidRPr="00404908">
              <w:t>— all else equal — for smaller States, those with tax bases that are more responsive (elastic) to tax changes, and States with tax rates very different to the average.</w:t>
            </w:r>
          </w:p>
          <w:p w14:paraId="79549F05" w14:textId="77777777" w:rsidR="00F05DC7" w:rsidRPr="00404908" w:rsidRDefault="00F05DC7" w:rsidP="00A3786D">
            <w:pPr>
              <w:pStyle w:val="BoxHeading1"/>
            </w:pPr>
            <w:r w:rsidRPr="00404908">
              <w:t>Changes in tax bases</w:t>
            </w:r>
          </w:p>
          <w:p w14:paraId="79549F06" w14:textId="77777777" w:rsidR="00F05DC7" w:rsidRDefault="00F05DC7" w:rsidP="00A3786D">
            <w:pPr>
              <w:pStyle w:val="Box"/>
            </w:pPr>
            <w:r>
              <w:t>GST effects also</w:t>
            </w:r>
            <w:r w:rsidRPr="00404908">
              <w:t xml:space="preserve"> occur when policy affects </w:t>
            </w:r>
            <w:r>
              <w:t xml:space="preserve">the size of </w:t>
            </w:r>
            <w:r w:rsidRPr="00404908">
              <w:t>a tax base</w:t>
            </w:r>
            <w:r>
              <w:t xml:space="preserve"> — for example, due to additional land being made available for development, State approval of resource extraction or reform by broadening a tax base</w:t>
            </w:r>
            <w:r w:rsidRPr="00404908">
              <w:t xml:space="preserve">. Any change in the size of the base affects a State’s capacity or needs </w:t>
            </w:r>
            <w:r>
              <w:t>compared to</w:t>
            </w:r>
            <w:r w:rsidRPr="00404908">
              <w:t xml:space="preserve"> other</w:t>
            </w:r>
            <w:r w:rsidRPr="004F0F52">
              <w:t xml:space="preserve"> States, with the </w:t>
            </w:r>
            <w:r>
              <w:t>HFE</w:t>
            </w:r>
            <w:r w:rsidRPr="004F0F52">
              <w:t xml:space="preserve"> formula acting to equalise the changes across all States</w:t>
            </w:r>
            <w:r>
              <w:t>. This means that a State that expands its tax base will see all but its population share of the additional revenue (calculated at the average rate, which may rise or fall due to the tax</w:t>
            </w:r>
            <w:r>
              <w:noBreakHyphen/>
              <w:t>base change) redistributed to other States, and vice versa. Further GST effects would arise from impacts on the average tax rate (which is weighted using each State’s tax base).</w:t>
            </w:r>
          </w:p>
          <w:p w14:paraId="79549F07" w14:textId="77777777" w:rsidR="00F05DC7" w:rsidRDefault="00F05DC7" w:rsidP="00A3786D">
            <w:pPr>
              <w:pStyle w:val="Box"/>
              <w:spacing w:before="240"/>
              <w:jc w:val="center"/>
            </w:pPr>
            <w:r w:rsidRPr="00BC6F90">
              <w:rPr>
                <w:noProof/>
              </w:rPr>
              <w:drawing>
                <wp:inline distT="0" distB="0" distL="0" distR="0" wp14:anchorId="7954D5C1" wp14:editId="7954D5C2">
                  <wp:extent cx="4587240" cy="2406422"/>
                  <wp:effectExtent l="0" t="0" r="3810" b="0"/>
                  <wp:docPr id="30" name="Picture 30" descr="An increase in State tax rate leads to a decrease in GST if the State has an above average base, or to an increase in GST if the State has a below average base. A decrease in State tax rate leads to an increase in GST if the State has an above average base, or to a decrease in GST if the State has a below average base. In addition, an increase in tax base leads to a decrease in GST, and a decrease in tax base leads to an increase in GST. The base change can comprise elasticity effects from a change in ta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48531" cy="2438574"/>
                          </a:xfrm>
                          <a:prstGeom prst="rect">
                            <a:avLst/>
                          </a:prstGeom>
                          <a:noFill/>
                          <a:ln>
                            <a:noFill/>
                          </a:ln>
                        </pic:spPr>
                      </pic:pic>
                    </a:graphicData>
                  </a:graphic>
                </wp:inline>
              </w:drawing>
            </w:r>
          </w:p>
        </w:tc>
      </w:tr>
      <w:tr w:rsidR="00F05DC7" w14:paraId="79549F0A" w14:textId="77777777" w:rsidTr="00A3786D">
        <w:tc>
          <w:tcPr>
            <w:tcW w:w="5000" w:type="pct"/>
            <w:tcBorders>
              <w:top w:val="nil"/>
              <w:left w:val="nil"/>
              <w:bottom w:val="nil"/>
              <w:right w:val="nil"/>
            </w:tcBorders>
            <w:shd w:val="clear" w:color="auto" w:fill="F2F2F2"/>
          </w:tcPr>
          <w:p w14:paraId="79549F09" w14:textId="0C1FD1F6" w:rsidR="00F05DC7" w:rsidRDefault="00F05DC7" w:rsidP="00A3786D">
            <w:pPr>
              <w:pStyle w:val="BoxSource"/>
            </w:pPr>
            <w:bookmarkStart w:id="62" w:name="OLE_LINK20"/>
            <w:r>
              <w:rPr>
                <w:i/>
              </w:rPr>
              <w:t>Sources</w:t>
            </w:r>
            <w:r w:rsidRPr="00167F06">
              <w:t>:</w:t>
            </w:r>
            <w:r>
              <w:t xml:space="preserve"> Boadway </w:t>
            </w:r>
            <w:r w:rsidRPr="00E72B8E">
              <w:rPr>
                <w:rFonts w:cs="Arial"/>
              </w:rPr>
              <w:t>(2004)</w:t>
            </w:r>
            <w:r>
              <w:t xml:space="preserve">; Bucovetsky and Smart </w:t>
            </w:r>
            <w:r w:rsidRPr="001C0DD4">
              <w:rPr>
                <w:rFonts w:cs="Arial"/>
              </w:rPr>
              <w:t>(2002)</w:t>
            </w:r>
            <w:r>
              <w:t>; Dahlby and Warren</w:t>
            </w:r>
            <w:r w:rsidRPr="00167F06">
              <w:t xml:space="preserve"> </w:t>
            </w:r>
            <w:r w:rsidRPr="00D577DE">
              <w:rPr>
                <w:rFonts w:cs="Arial"/>
              </w:rPr>
              <w:t>(2003)</w:t>
            </w:r>
            <w:r>
              <w:t>.</w:t>
            </w:r>
          </w:p>
        </w:tc>
      </w:tr>
      <w:bookmarkEnd w:id="62"/>
      <w:tr w:rsidR="00F05DC7" w14:paraId="79549F0C" w14:textId="77777777" w:rsidTr="00A3786D">
        <w:tc>
          <w:tcPr>
            <w:tcW w:w="5000" w:type="pct"/>
            <w:tcBorders>
              <w:top w:val="nil"/>
              <w:left w:val="nil"/>
              <w:bottom w:val="single" w:sz="6" w:space="0" w:color="78A22F"/>
              <w:right w:val="nil"/>
            </w:tcBorders>
            <w:shd w:val="clear" w:color="auto" w:fill="F2F2F2"/>
          </w:tcPr>
          <w:p w14:paraId="79549F0B" w14:textId="77777777" w:rsidR="00F05DC7" w:rsidRDefault="00F05DC7" w:rsidP="00A3786D">
            <w:pPr>
              <w:pStyle w:val="Box"/>
              <w:spacing w:before="0" w:line="120" w:lineRule="exact"/>
            </w:pPr>
          </w:p>
        </w:tc>
      </w:tr>
      <w:tr w:rsidR="00F05DC7" w:rsidRPr="000863A5" w14:paraId="79549F0E" w14:textId="77777777" w:rsidTr="00A3786D">
        <w:tc>
          <w:tcPr>
            <w:tcW w:w="5000" w:type="pct"/>
            <w:tcBorders>
              <w:top w:val="single" w:sz="6" w:space="0" w:color="78A22F"/>
              <w:left w:val="nil"/>
              <w:bottom w:val="nil"/>
              <w:right w:val="nil"/>
            </w:tcBorders>
          </w:tcPr>
          <w:p w14:paraId="79549F0D" w14:textId="77777777" w:rsidR="00F05DC7" w:rsidRPr="00626D32" w:rsidRDefault="00F05DC7" w:rsidP="00A3786D">
            <w:pPr>
              <w:pStyle w:val="BoxSpaceBelow"/>
            </w:pPr>
          </w:p>
        </w:tc>
      </w:tr>
    </w:tbl>
    <w:p w14:paraId="79549F0F" w14:textId="77777777" w:rsidR="00F05DC7" w:rsidRDefault="00F05DC7" w:rsidP="00A3786D">
      <w:pPr>
        <w:pStyle w:val="Heading3"/>
      </w:pPr>
      <w:r>
        <w:lastRenderedPageBreak/>
        <w:t>How does HFE discourage State tax reform?</w:t>
      </w:r>
    </w:p>
    <w:p w14:paraId="79549F10" w14:textId="77777777" w:rsidR="00F05DC7" w:rsidRDefault="00F05DC7" w:rsidP="00A3786D">
      <w:pPr>
        <w:pStyle w:val="BodyText"/>
      </w:pPr>
      <w:r>
        <w:t>In principle, the GST distribution formula can influence State policy incentives in several ways.</w:t>
      </w:r>
    </w:p>
    <w:p w14:paraId="79549F11" w14:textId="24CC753A" w:rsidR="00F05DC7" w:rsidRPr="00034D75" w:rsidRDefault="00F05DC7" w:rsidP="00A3786D">
      <w:pPr>
        <w:pStyle w:val="BodyText"/>
      </w:pPr>
      <w:r>
        <w:t xml:space="preserve">First, the formula gives States a financial incentive to rely on inefficient </w:t>
      </w:r>
      <w:r w:rsidDel="000C6AF9">
        <w:t>taxes</w:t>
      </w:r>
      <w:r>
        <w:t> — namely those with a mobile (elastic) tax base. Reducing the rate of these taxes would see a relatively large increase in the tax base, all else equal, and thus a reduction in the State’s GST payments. By way of example, if a State with high insurance taxes were to lower its tax rate, the reduced cost of insurance would lead to greater take</w:t>
      </w:r>
      <w:r>
        <w:noBreakHyphen/>
        <w:t>up by households and businesses. But this larger tax base would mean the State is assessed as having a higher revenue</w:t>
      </w:r>
      <w:r>
        <w:noBreakHyphen/>
        <w:t xml:space="preserve">raising capacity, and so receives less in GST payments. If the State’s capacity was initially below average, the effect on GST payments would be exacerbated by the downward impact on the average tax rate </w:t>
      </w:r>
      <w:r w:rsidRPr="000C5741">
        <w:rPr>
          <w:szCs w:val="24"/>
        </w:rPr>
        <w:t>(Dahlby and Warren 2003)</w:t>
      </w:r>
      <w:r>
        <w:t>.</w:t>
      </w:r>
    </w:p>
    <w:p w14:paraId="79549F12" w14:textId="67752E0A" w:rsidR="00F05DC7" w:rsidRDefault="00F05DC7" w:rsidP="00A3786D">
      <w:pPr>
        <w:pStyle w:val="BodyText"/>
      </w:pPr>
      <w:r>
        <w:t>Second, GST effects can arise where a State seeks to reform its tax base mix — for example, phasing out insurance tax and replacing it with a new congestion tax — and can either offset or exacerbate the direct revenue effects. In this example, the State would lose revenue if the CGC deemed that it still had the capacity to tax insurance and the imputed tax base expanded because of the lower tax rate (though the lower average rate would partly reduce the GST impact). The impact of the new congestion tax would be more ambiguous, as some revenues may be shared with other States through equalisation (if the State is assessed as having above</w:t>
      </w:r>
      <w:r>
        <w:noBreakHyphen/>
        <w:t xml:space="preserve">average capacity) or, alternatively, may not be subject to equalisation at all (if the new tax is not considered to have a material distributional impact at the national level) </w:t>
      </w:r>
      <w:r w:rsidRPr="00A64CBA">
        <w:rPr>
          <w:szCs w:val="24"/>
        </w:rPr>
        <w:t>(Brumby, Carter and Greiner 2012a, p. 68)</w:t>
      </w:r>
      <w:r>
        <w:t>. The impacts will also depend on the size of the State, because States will generally only retain their population share of any changes in their fiscal capacity — anywhere from 1 per cent (for the Northern Territory) up to 32 per cent (for New South Wales).</w:t>
      </w:r>
    </w:p>
    <w:p w14:paraId="79549F13" w14:textId="1696A1DF" w:rsidR="00F05DC7" w:rsidRDefault="00F05DC7" w:rsidP="00A3786D">
      <w:pPr>
        <w:pStyle w:val="BodyText"/>
      </w:pPr>
      <w:r>
        <w:t xml:space="preserve">Third, a range of State policies can have a material impact on economic growth and productivity over the long term, and thus change the size of individual State tax bases </w:t>
      </w:r>
      <w:r w:rsidRPr="00417377">
        <w:rPr>
          <w:szCs w:val="24"/>
        </w:rPr>
        <w:t>(Henry et al. </w:t>
      </w:r>
      <w:r w:rsidRPr="00937529">
        <w:rPr>
          <w:szCs w:val="24"/>
        </w:rPr>
        <w:t>2010a; PC </w:t>
      </w:r>
      <w:r w:rsidRPr="00417377">
        <w:rPr>
          <w:szCs w:val="24"/>
        </w:rPr>
        <w:t>2005)</w:t>
      </w:r>
      <w:r>
        <w:t xml:space="preserve"> — with a direct flow</w:t>
      </w:r>
      <w:r>
        <w:noBreakHyphen/>
        <w:t>on effect to a State’s assessed capacity to raise revenue. For example, the WA Government (sub. DR83, p. 12) argued that land values (the land tax base) are sensitive to State policies on land supply, zoning and planning regulation. Any changes relative to other States will affect GST shares — in general, a State will only retain a small proportion of any additional tax revenue it collects from a larger tax base, and bear only a small proportion of any reduction in revenue (box 3.1).</w:t>
      </w:r>
    </w:p>
    <w:p w14:paraId="79549F14" w14:textId="26B8C418" w:rsidR="00F05DC7" w:rsidRDefault="00F05DC7" w:rsidP="00A3786D">
      <w:pPr>
        <w:pStyle w:val="BodyText"/>
      </w:pPr>
      <w:r>
        <w:t>In some specific revenue areas, the above GST impacts can be moderated by other components of the formula. For example, the CGC currently applies an average tax</w:t>
      </w:r>
      <w:r>
        <w:noBreakHyphen/>
        <w:t>free threshold to its assessment of payroll tax, the largest own</w:t>
      </w:r>
      <w:r>
        <w:noBreakHyphen/>
        <w:t>source revenue item in most State budgets. This process means that actions by one State to broaden or narrow its payroll tax base are unlikely to have a significant influence on its GST payments (box 3.2).</w:t>
      </w:r>
    </w:p>
    <w:p w14:paraId="79549F15"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F17" w14:textId="77777777" w:rsidTr="00A3786D">
        <w:trPr>
          <w:tblHeader/>
        </w:trPr>
        <w:tc>
          <w:tcPr>
            <w:tcW w:w="5000" w:type="pct"/>
            <w:tcBorders>
              <w:top w:val="single" w:sz="6" w:space="0" w:color="78A22F"/>
              <w:left w:val="nil"/>
              <w:bottom w:val="nil"/>
              <w:right w:val="nil"/>
            </w:tcBorders>
            <w:shd w:val="clear" w:color="auto" w:fill="F2F2F2"/>
          </w:tcPr>
          <w:p w14:paraId="79549F16" w14:textId="3C3CE214" w:rsidR="00F05DC7" w:rsidRDefault="00F05DC7" w:rsidP="00A3786D">
            <w:pPr>
              <w:pStyle w:val="BoxTitle"/>
            </w:pPr>
            <w:r>
              <w:rPr>
                <w:b w:val="0"/>
              </w:rPr>
              <w:t xml:space="preserve">Box </w:t>
            </w:r>
            <w:bookmarkStart w:id="63" w:name="OLE_LINK17"/>
            <w:r>
              <w:rPr>
                <w:b w:val="0"/>
              </w:rPr>
              <w:t>3.</w:t>
            </w:r>
            <w:r>
              <w:rPr>
                <w:b w:val="0"/>
                <w:noProof/>
              </w:rPr>
              <w:t>2</w:t>
            </w:r>
            <w:bookmarkEnd w:id="63"/>
            <w:r>
              <w:tab/>
              <w:t>The payroll tax assessment</w:t>
            </w:r>
          </w:p>
        </w:tc>
      </w:tr>
      <w:tr w:rsidR="00F05DC7" w14:paraId="79549F1C" w14:textId="77777777" w:rsidTr="00A3786D">
        <w:tc>
          <w:tcPr>
            <w:tcW w:w="5000" w:type="pct"/>
            <w:tcBorders>
              <w:top w:val="nil"/>
              <w:left w:val="nil"/>
              <w:bottom w:val="nil"/>
              <w:right w:val="nil"/>
            </w:tcBorders>
            <w:shd w:val="clear" w:color="auto" w:fill="F2F2F2"/>
          </w:tcPr>
          <w:p w14:paraId="79549F18" w14:textId="77777777" w:rsidR="00F05DC7" w:rsidRDefault="00F05DC7" w:rsidP="00A3786D">
            <w:pPr>
              <w:pStyle w:val="Box"/>
            </w:pPr>
            <w:r>
              <w:t>The CGC assesses each State’s capacity to raise payroll taxes in a broadly similar manner to other taxes: it calculates an average tax rate (weighted using each State’s tax base) then estimates how much revenue each State would raise if it were to apply that average rate.</w:t>
            </w:r>
          </w:p>
          <w:p w14:paraId="79549F19" w14:textId="7577FABD" w:rsidR="00F05DC7" w:rsidRDefault="00F05DC7" w:rsidP="00A3786D">
            <w:pPr>
              <w:pStyle w:val="Box"/>
            </w:pPr>
            <w:r>
              <w:t xml:space="preserve">However, calculating the tax base for each State — taxable remuneration (payrolls) — is a complex exercise that involves the CGC making adjustments for the different coverage of payroll taxes across States </w:t>
            </w:r>
            <w:r w:rsidR="009D6331" w:rsidRPr="009D6331">
              <w:rPr>
                <w:rFonts w:cs="Arial"/>
                <w:szCs w:val="24"/>
              </w:rPr>
              <w:t>(CGC 2015f, pp. 54–61)</w:t>
            </w:r>
            <w:r>
              <w:t>. General government payrolls are removed from the tax base measure, since these are either untaxed or any tax collected reflects an internal budget transfer within States. An average threshold is then calculated, based on the tax</w:t>
            </w:r>
            <w:r>
              <w:noBreakHyphen/>
              <w:t xml:space="preserve">free threshold in each State (weighted by States’ shares of total payrolls). This is done separately for the private sector and taxable public sector (government business enterprises and universities).The CGC then uses a measure of the value of payrolls in each State that is above the </w:t>
            </w:r>
            <w:r w:rsidRPr="00816281">
              <w:rPr>
                <w:i/>
              </w:rPr>
              <w:t>average</w:t>
            </w:r>
            <w:r>
              <w:t xml:space="preserve"> threshold.</w:t>
            </w:r>
          </w:p>
          <w:p w14:paraId="79549F1A" w14:textId="28A15099" w:rsidR="00F05DC7" w:rsidRDefault="00F05DC7" w:rsidP="00A3786D">
            <w:pPr>
              <w:pStyle w:val="Box"/>
            </w:pPr>
            <w:r>
              <w:t>This is intended to produce a policy</w:t>
            </w:r>
            <w:r>
              <w:noBreakHyphen/>
              <w:t xml:space="preserve">neutral approach to assessing payroll tax capacity </w:t>
            </w:r>
            <w:r w:rsidR="009D6331" w:rsidRPr="009D6331">
              <w:rPr>
                <w:rFonts w:cs="Arial"/>
                <w:szCs w:val="24"/>
              </w:rPr>
              <w:t>(CGC 2015f, p. 58)</w:t>
            </w:r>
            <w:r>
              <w:t xml:space="preserve">. Because the tax base is derived from a measure of an average threshold — not the value of payrolls above the </w:t>
            </w:r>
            <w:r>
              <w:rPr>
                <w:i/>
              </w:rPr>
              <w:t>actual</w:t>
            </w:r>
            <w:r>
              <w:t xml:space="preserve"> threshold that applies in a given State — a policy change in one State to narrow or broaden its payroll tax base by changing its threshold is unlikely to have significant impacts on the GST distribution. (The Productivity Commission has not quantified the size of these impacts — and thus any reform disincentives — given the need for customised data drawn from confidential business</w:t>
            </w:r>
            <w:r>
              <w:noBreakHyphen/>
              <w:t>level payroll data by the ABS, and because there are limited publicly available elasticity estimates).</w:t>
            </w:r>
          </w:p>
          <w:p w14:paraId="79549F1B" w14:textId="36C7AE30" w:rsidR="00F05DC7" w:rsidRDefault="00F05DC7">
            <w:pPr>
              <w:pStyle w:val="Box"/>
            </w:pPr>
            <w:r>
              <w:t>That said, payroll tax is in principle a highly efficient tax, setting aside the (often considerable) economic distortions that arise from tax</w:t>
            </w:r>
            <w:r>
              <w:noBreakHyphen/>
              <w:t xml:space="preserve">free thresholds </w:t>
            </w:r>
            <w:r w:rsidRPr="00E26208">
              <w:rPr>
                <w:rFonts w:cs="Arial"/>
                <w:szCs w:val="24"/>
              </w:rPr>
              <w:t>(Henry et al. 2010a, p. 13)</w:t>
            </w:r>
            <w:r>
              <w:t>. This means that the elasticity effects of a rise in one State’s tax rate — and thus the impact on its GST payments — are likely to be small.</w:t>
            </w:r>
          </w:p>
        </w:tc>
      </w:tr>
      <w:tr w:rsidR="00F05DC7" w14:paraId="79549F1E" w14:textId="77777777" w:rsidTr="00A3786D">
        <w:tc>
          <w:tcPr>
            <w:tcW w:w="5000" w:type="pct"/>
            <w:tcBorders>
              <w:top w:val="nil"/>
              <w:left w:val="nil"/>
              <w:bottom w:val="single" w:sz="6" w:space="0" w:color="78A22F"/>
              <w:right w:val="nil"/>
            </w:tcBorders>
            <w:shd w:val="clear" w:color="auto" w:fill="F2F2F2"/>
          </w:tcPr>
          <w:p w14:paraId="79549F1D" w14:textId="77777777" w:rsidR="00F05DC7" w:rsidRDefault="00F05DC7">
            <w:pPr>
              <w:pStyle w:val="Box"/>
              <w:spacing w:before="0" w:line="120" w:lineRule="exact"/>
            </w:pPr>
          </w:p>
        </w:tc>
      </w:tr>
      <w:tr w:rsidR="00F05DC7" w:rsidRPr="000863A5" w14:paraId="79549F20" w14:textId="77777777" w:rsidTr="00A3786D">
        <w:tc>
          <w:tcPr>
            <w:tcW w:w="5000" w:type="pct"/>
            <w:tcBorders>
              <w:top w:val="single" w:sz="6" w:space="0" w:color="78A22F"/>
              <w:left w:val="nil"/>
              <w:bottom w:val="nil"/>
              <w:right w:val="nil"/>
            </w:tcBorders>
          </w:tcPr>
          <w:p w14:paraId="79549F1F" w14:textId="77777777" w:rsidR="00F05DC7" w:rsidRPr="00626D32" w:rsidRDefault="00F05DC7" w:rsidP="00A3786D">
            <w:pPr>
              <w:pStyle w:val="BoxSpaceBelow"/>
            </w:pPr>
          </w:p>
        </w:tc>
      </w:tr>
    </w:tbl>
    <w:p w14:paraId="79549F21" w14:textId="77777777" w:rsidR="00F05DC7" w:rsidRPr="008C3F91" w:rsidRDefault="00F05DC7" w:rsidP="00A3786D">
      <w:pPr>
        <w:pStyle w:val="BodyText"/>
      </w:pPr>
      <w:r>
        <w:t>Regardless of the mechanics in the formula, the potential to lose GST payments could discourage States from pursuing efficiency</w:t>
      </w:r>
      <w:r>
        <w:noBreakHyphen/>
        <w:t xml:space="preserve">enhancing reforms that would benefit the wellbeing of Australians. Conversely, the potential to gain GST payments at the expense of other States could encourage States to favour particular policy changes regardless of their efficiency implications. Policy is most likely to be influenced </w:t>
      </w:r>
      <w:r w:rsidRPr="008C3F91">
        <w:t xml:space="preserve">when the effect on GST payments is large, or when raising revenue is </w:t>
      </w:r>
      <w:r>
        <w:t>the</w:t>
      </w:r>
      <w:r w:rsidRPr="008C3F91">
        <w:t xml:space="preserve"> primary objective of a reform.</w:t>
      </w:r>
    </w:p>
    <w:p w14:paraId="79549F22" w14:textId="764173DA" w:rsidR="00F05DC7" w:rsidRPr="008C3F91" w:rsidRDefault="00F05DC7" w:rsidP="00A3786D">
      <w:pPr>
        <w:pStyle w:val="BodyText"/>
      </w:pPr>
      <w:r w:rsidRPr="008C3F91">
        <w:t>Inquiry participants pointed to a number of potential policy distortions that can arise due to HFE (box </w:t>
      </w:r>
      <w:r>
        <w:t>3.3</w:t>
      </w:r>
      <w:r w:rsidRPr="008C3F91">
        <w:t>). For example, the WA Government (sub. 15) submitted that the GST formula gives States a stronger incentive to raise tax rates than to pursue structural</w:t>
      </w:r>
      <w:r w:rsidRPr="00684D82">
        <w:t xml:space="preserve"> reforms that grow the tax base (or</w:t>
      </w:r>
      <w:r w:rsidRPr="00441096">
        <w:t xml:space="preserve"> to pursue</w:t>
      </w:r>
      <w:r w:rsidRPr="005F087F">
        <w:t xml:space="preserve"> efforts to improve tax compliance).</w:t>
      </w:r>
      <w:r w:rsidRPr="008C3F91">
        <w:t xml:space="preserve"> It also argued that the redistribution of revenue gains to other States makes it less likely that a State will undertake significant structural reforms with high upfront costs and long</w:t>
      </w:r>
      <w:r w:rsidRPr="008C3F91">
        <w:noBreakHyphen/>
        <w:t>term benefits (WA Government, sub.</w:t>
      </w:r>
      <w:r>
        <w:t> </w:t>
      </w:r>
      <w:r w:rsidRPr="008C3F91">
        <w:t xml:space="preserve">DR83, p. 13). The NSW Government (sub. 52, p. 13) argued that HFE can discourage a State from adjusting its tax </w:t>
      </w:r>
      <w:r>
        <w:t xml:space="preserve">base </w:t>
      </w:r>
      <w:r w:rsidRPr="008C3F91">
        <w:t>mix to better align with the structure of its economy or to extract the greatest value from available tax bases.</w:t>
      </w:r>
    </w:p>
    <w:p w14:paraId="79549F23" w14:textId="12BC636F" w:rsidR="00F05DC7" w:rsidRDefault="00F05DC7" w:rsidP="00A3786D">
      <w:pPr>
        <w:pStyle w:val="BodyText"/>
      </w:pPr>
      <w:r w:rsidRPr="008C3F91">
        <w:t>These effects could be stronger in cases where the costs States incur</w:t>
      </w:r>
      <w:r>
        <w:t xml:space="preserve"> in material policy effort are not fully shared with other jurisdictions through equalisation. Others have argued that, in general, HFE diminishes incentives to undertake contentious reforms because State </w:t>
      </w:r>
      <w:r>
        <w:lastRenderedPageBreak/>
        <w:t xml:space="preserve">Governments must bear all the political costs but see the fiscal benefits diluted </w:t>
      </w:r>
      <w:r w:rsidRPr="000C47BC">
        <w:rPr>
          <w:szCs w:val="24"/>
        </w:rPr>
        <w:t>(Ergas and Pincus 2011, p. 8)</w:t>
      </w:r>
      <w:r>
        <w:t>.</w:t>
      </w:r>
    </w:p>
    <w:p w14:paraId="79549F24" w14:textId="77777777" w:rsidR="00F05DC7" w:rsidRDefault="00F05DC7" w:rsidP="00A3786D">
      <w:pPr>
        <w:pStyle w:val="BodyText"/>
      </w:pPr>
      <w:r>
        <w:t>States could also be discouraged from pursuing reforms due to uncertainty about how the CGC will assess their revenues, and thus about the effects on their GST payments (and total revenues)</w:t>
      </w:r>
      <w:r w:rsidRPr="006E35B2">
        <w:t xml:space="preserve"> </w:t>
      </w:r>
      <w:r>
        <w:t>(Queensland Government, sub. 32, p. 7; Fahrer and FitzGerald, sub. DR102, p. 9). The CGC has considerable discretion over the methodology it adopts and to change that methodology as it sees fit (chapter 2). Uncertainty is likely to be greatest in the case of more substantive reforms — for example, substituting a broader land tax for stamp duty on housing, or introducing a congestion tax in a major city. The NSW Government (sub. 52, p. 14) submitted that it can sometimes be difficult to anticipate how the CGC might change its methodology:</w:t>
      </w:r>
    </w:p>
    <w:p w14:paraId="79549F25" w14:textId="77777777" w:rsidR="00F05DC7" w:rsidRDefault="00F05DC7" w:rsidP="00A3786D">
      <w:pPr>
        <w:pStyle w:val="Quote"/>
      </w:pPr>
      <w:r w:rsidRPr="00B63E95">
        <w:t>The CGC treatment of a potential pol</w:t>
      </w:r>
      <w:r>
        <w:t>icy change is uncertain. State G</w:t>
      </w:r>
      <w:r w:rsidRPr="00B63E95">
        <w:t>overnments must necessarily consult with the CGC and Commonwealth to secure a determination on a proposed treatment before initiating any such reform with confidence regarding its fiscal o</w:t>
      </w:r>
      <w:r>
        <w:t>utcomes —</w:t>
      </w:r>
      <w:r w:rsidRPr="00B63E95">
        <w:t xml:space="preserve"> and even then the final outcome will only be known once all other states’ policy approaches are known.</w:t>
      </w:r>
    </w:p>
    <w:p w14:paraId="79549F26" w14:textId="5AD964BF" w:rsidR="00F05DC7" w:rsidRDefault="00F05DC7" w:rsidP="00A3786D">
      <w:pPr>
        <w:pStyle w:val="BodyText"/>
      </w:pPr>
      <w:r>
        <w:t>That said, in many cases the GST effects of reforms will be small or not a deciding factor in policy decisions (ACT Government, sub. DR81, p. 25). S</w:t>
      </w:r>
      <w:r w:rsidRPr="00A352D5">
        <w:t xml:space="preserve">everal </w:t>
      </w:r>
      <w:r>
        <w:t xml:space="preserve">States </w:t>
      </w:r>
      <w:r w:rsidRPr="00A352D5">
        <w:t xml:space="preserve">argued that they primarily focus on economic efficiency, distributional impacts and community </w:t>
      </w:r>
      <w:r w:rsidRPr="00523608">
        <w:t>welfare when considering tax reform proposals</w:t>
      </w:r>
      <w:r>
        <w:t xml:space="preserve"> — rather than on how reform might impact their GST share</w:t>
      </w:r>
      <w:r w:rsidRPr="00523608">
        <w:t xml:space="preserve"> (box </w:t>
      </w:r>
      <w:r>
        <w:t>3.3</w:t>
      </w:r>
      <w:r w:rsidRPr="00523608">
        <w:t>).</w:t>
      </w:r>
    </w:p>
    <w:p w14:paraId="79549F27" w14:textId="77777777" w:rsidR="00F05DC7" w:rsidRDefault="00F05DC7" w:rsidP="00A3786D">
      <w:pPr>
        <w:pStyle w:val="BodyText"/>
      </w:pPr>
      <w:r>
        <w:t xml:space="preserve">Other jurisdictions </w:t>
      </w:r>
      <w:r w:rsidRPr="00A352D5">
        <w:t xml:space="preserve">pointed to tax reforms </w:t>
      </w:r>
      <w:r>
        <w:t>that smaller</w:t>
      </w:r>
      <w:r w:rsidRPr="00A352D5">
        <w:t xml:space="preserve"> </w:t>
      </w:r>
      <w:r>
        <w:t>States</w:t>
      </w:r>
      <w:r w:rsidRPr="00A352D5">
        <w:t xml:space="preserve"> have undertaken regardless of </w:t>
      </w:r>
      <w:r>
        <w:t xml:space="preserve">the </w:t>
      </w:r>
      <w:r w:rsidRPr="00A352D5">
        <w:t>GST impacts</w:t>
      </w:r>
      <w:r>
        <w:t xml:space="preserve"> (such as abolishing some inefficient taxes or altering payroll taxes)</w:t>
      </w:r>
      <w:r w:rsidRPr="00A352D5">
        <w:t>, or argued that HFE can</w:t>
      </w:r>
      <w:r>
        <w:t xml:space="preserve"> facilitate</w:t>
      </w:r>
      <w:r w:rsidRPr="00A352D5">
        <w:t xml:space="preserve"> multilateral reform</w:t>
      </w:r>
      <w:r>
        <w:t xml:space="preserve"> (in all States) </w:t>
      </w:r>
      <w:r w:rsidRPr="00A352D5">
        <w:t xml:space="preserve">by </w:t>
      </w:r>
      <w:r>
        <w:t>offsetting</w:t>
      </w:r>
      <w:r w:rsidRPr="00A352D5">
        <w:t xml:space="preserve"> impacts on States’ overall</w:t>
      </w:r>
      <w:r>
        <w:t xml:space="preserve"> revenues and thus providing a level of fiscal certainty </w:t>
      </w:r>
      <w:r w:rsidRPr="00C41CE7">
        <w:t>(SA Government, sub. 25, p. 12</w:t>
      </w:r>
      <w:r>
        <w:t xml:space="preserve">; </w:t>
      </w:r>
      <w:r w:rsidRPr="00C41CE7">
        <w:t>Tasmanian Government, sub.</w:t>
      </w:r>
      <w:r>
        <w:t> </w:t>
      </w:r>
      <w:r w:rsidRPr="00C41CE7">
        <w:t>28, p. 14</w:t>
      </w:r>
      <w:r>
        <w:t xml:space="preserve">; </w:t>
      </w:r>
      <w:r w:rsidRPr="00C41CE7">
        <w:t>NT Government</w:t>
      </w:r>
      <w:r>
        <w:t>, sub. 51, p. 20;</w:t>
      </w:r>
      <w:r w:rsidRPr="009A58A2">
        <w:t xml:space="preserve"> </w:t>
      </w:r>
      <w:r>
        <w:t>sub. DR89, p. 14</w:t>
      </w:r>
      <w:r w:rsidDel="005474A2">
        <w:t>;</w:t>
      </w:r>
      <w:r>
        <w:t xml:space="preserve"> Queensland Government, sub. DR106, p. 6</w:t>
      </w:r>
      <w:r w:rsidRPr="00C41CE7">
        <w:t>).</w:t>
      </w:r>
    </w:p>
    <w:p w14:paraId="79549F28" w14:textId="1E08373C" w:rsidR="00F05DC7" w:rsidRDefault="00F05DC7" w:rsidP="00A3786D">
      <w:pPr>
        <w:pStyle w:val="BodyText"/>
      </w:pPr>
      <w:r>
        <w:t xml:space="preserve">The CGC </w:t>
      </w:r>
      <w:r w:rsidR="009D6331" w:rsidRPr="009D6331">
        <w:rPr>
          <w:szCs w:val="24"/>
        </w:rPr>
        <w:t>(2017i, p. 25)</w:t>
      </w:r>
      <w:r>
        <w:t xml:space="preserve"> has acknowledged that States may consider the GST effects of their policy decisions. In general, it examines the policy neutrality of its assessments when considering methodological changes (chapter 2) — though often it is not able to remove the potential for State policy to directly influence GST shares. The CGC is currently undertaking research on whether elasticity effects can be reliably estimated and applied to its revenue assessments. Elasticity adjustments to substantively address policy non</w:t>
      </w:r>
      <w:r>
        <w:noBreakHyphen/>
        <w:t>neutrality in the HFE system are neither imminent nor immediately feasible. Their potential is explored further in chapter 7.</w:t>
      </w:r>
    </w:p>
    <w:p w14:paraId="79549F29"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F2B" w14:textId="77777777" w:rsidTr="001113B1">
        <w:trPr>
          <w:tblHeader/>
        </w:trPr>
        <w:tc>
          <w:tcPr>
            <w:tcW w:w="5000" w:type="pct"/>
            <w:tcBorders>
              <w:top w:val="single" w:sz="6" w:space="0" w:color="78A22F"/>
              <w:left w:val="nil"/>
              <w:bottom w:val="nil"/>
              <w:right w:val="nil"/>
            </w:tcBorders>
            <w:shd w:val="clear" w:color="auto" w:fill="F2F2F2"/>
          </w:tcPr>
          <w:p w14:paraId="79549F2A" w14:textId="30427F71" w:rsidR="00F05DC7" w:rsidRDefault="00F05DC7" w:rsidP="00A3786D">
            <w:pPr>
              <w:pStyle w:val="BoxTitle"/>
            </w:pPr>
            <w:r>
              <w:rPr>
                <w:b w:val="0"/>
              </w:rPr>
              <w:t xml:space="preserve">Box </w:t>
            </w:r>
            <w:bookmarkStart w:id="64" w:name="OLE_LINK2"/>
            <w:r>
              <w:rPr>
                <w:b w:val="0"/>
              </w:rPr>
              <w:t>3.</w:t>
            </w:r>
            <w:r>
              <w:rPr>
                <w:b w:val="0"/>
                <w:noProof/>
              </w:rPr>
              <w:t>3</w:t>
            </w:r>
            <w:bookmarkEnd w:id="64"/>
            <w:r>
              <w:tab/>
              <w:t>HFE and State tax reform: what participants say</w:t>
            </w:r>
          </w:p>
        </w:tc>
      </w:tr>
      <w:tr w:rsidR="00F05DC7" w14:paraId="79549F38" w14:textId="77777777" w:rsidTr="00A3786D">
        <w:tc>
          <w:tcPr>
            <w:tcW w:w="5000" w:type="pct"/>
            <w:tcBorders>
              <w:top w:val="nil"/>
              <w:left w:val="nil"/>
              <w:bottom w:val="nil"/>
              <w:right w:val="nil"/>
            </w:tcBorders>
            <w:shd w:val="clear" w:color="auto" w:fill="F2F2F2"/>
          </w:tcPr>
          <w:p w14:paraId="79549F2C" w14:textId="77777777" w:rsidR="00F05DC7" w:rsidRDefault="00F05DC7" w:rsidP="00A3786D">
            <w:pPr>
              <w:pStyle w:val="Box"/>
            </w:pPr>
            <w:r>
              <w:t>Some participants argued that HFE discourages States from undertaking tax reform or from developing their economies:</w:t>
            </w:r>
          </w:p>
          <w:p w14:paraId="79549F2D" w14:textId="77777777" w:rsidR="00F05DC7" w:rsidRPr="005F087F" w:rsidRDefault="00F05DC7" w:rsidP="00A3786D">
            <w:pPr>
              <w:pStyle w:val="BoxQuote"/>
            </w:pPr>
            <w:r w:rsidRPr="005F087F">
              <w:t>[I]t would appear to us quite reasonable that any state Treasury would consider and model the impact on GST receipts of any tax reform — it would be negligent not to. The outcome of this consideration may not determine the decisions made or policies adopted as it is just one of a number of considerations and our observation of recent tax reform proposals is that political rather than fiscal considerations have been paramount. However, this may not always be the case</w:t>
            </w:r>
            <w:r>
              <w:t>.</w:t>
            </w:r>
            <w:r w:rsidRPr="005F087F">
              <w:t xml:space="preserve"> (SACOSS, sub.</w:t>
            </w:r>
            <w:r>
              <w:t> </w:t>
            </w:r>
            <w:r w:rsidRPr="005F087F">
              <w:t>DR75, p.</w:t>
            </w:r>
            <w:r>
              <w:t> </w:t>
            </w:r>
            <w:r w:rsidRPr="005F087F">
              <w:t>3)</w:t>
            </w:r>
          </w:p>
          <w:p w14:paraId="79549F2E" w14:textId="77777777" w:rsidR="00F05DC7" w:rsidRDefault="00F05DC7" w:rsidP="00A3786D">
            <w:pPr>
              <w:pStyle w:val="BoxQuote"/>
            </w:pPr>
            <w:r>
              <w:t>There is a disincentive [from HFE] to undertake microeconomic reform (such as tax reform) that requires compensation for losers, incentivising States to maintain the status quo and free</w:t>
            </w:r>
            <w:r>
              <w:noBreakHyphen/>
              <w:t>ride on stronger States. (WA Government, sub. 15, p. 50)</w:t>
            </w:r>
          </w:p>
          <w:p w14:paraId="79549F2F" w14:textId="77777777" w:rsidR="00F05DC7" w:rsidRDefault="00F05DC7" w:rsidP="00A3786D">
            <w:pPr>
              <w:pStyle w:val="BoxQuote"/>
            </w:pPr>
            <w:r w:rsidRPr="001757A3">
              <w:t>The CGC seeks to equalise revenue capacity on an individual assessment of various taxation bases</w:t>
            </w:r>
            <w:r>
              <w:t xml:space="preserve"> … </w:t>
            </w:r>
            <w:r w:rsidRPr="001757A3">
              <w:t>This approach can distort state decisions to alter their tax mix to enhance economic efficiency and minimise deadweight losses.</w:t>
            </w:r>
            <w:r>
              <w:t xml:space="preserve"> (NSW Government, sub. 52, p. 13)</w:t>
            </w:r>
          </w:p>
          <w:p w14:paraId="79549F30" w14:textId="77777777" w:rsidR="00F05DC7" w:rsidRPr="00441096" w:rsidRDefault="00F05DC7" w:rsidP="00A3786D">
            <w:pPr>
              <w:pStyle w:val="BoxQuote"/>
            </w:pPr>
            <w:r>
              <w:t>[T]</w:t>
            </w:r>
            <w:r w:rsidRPr="00441096">
              <w:t xml:space="preserve">here are </w:t>
            </w:r>
            <w:r>
              <w:t>…</w:t>
            </w:r>
            <w:r w:rsidRPr="00441096">
              <w:t xml:space="preserve"> some circumstances in which the distribution of the GST may be materially affected by State tax reforms and in such circumstances, States may be disincentivis</w:t>
            </w:r>
            <w:r>
              <w:t>ed from participating in reform.</w:t>
            </w:r>
            <w:r w:rsidRPr="00441096">
              <w:t xml:space="preserve"> (ACT Government, sub.</w:t>
            </w:r>
            <w:r>
              <w:t> </w:t>
            </w:r>
            <w:r w:rsidRPr="00441096">
              <w:t>DR81, p.</w:t>
            </w:r>
            <w:r>
              <w:t> </w:t>
            </w:r>
            <w:r w:rsidRPr="00441096">
              <w:t>23)</w:t>
            </w:r>
          </w:p>
          <w:p w14:paraId="79549F31" w14:textId="77777777" w:rsidR="00F05DC7" w:rsidRDefault="00F05DC7" w:rsidP="00A3786D">
            <w:pPr>
              <w:pStyle w:val="BoxQuote"/>
            </w:pPr>
            <w:r>
              <w:t>[E]qualisation diminishes incentives for states to make difficult political and policy decisions that promote economic development, because they know they will receive a significantly diminished amount of GST if their state</w:t>
            </w:r>
            <w:r>
              <w:noBreakHyphen/>
              <w:t>based revenue increases … (CCIWA, sub. 11, p. 1)</w:t>
            </w:r>
          </w:p>
          <w:p w14:paraId="79549F32" w14:textId="77777777" w:rsidR="00F05DC7" w:rsidRDefault="00F05DC7" w:rsidP="00A3786D">
            <w:pPr>
              <w:pStyle w:val="Box"/>
            </w:pPr>
            <w:r>
              <w:t>Others disagreed, and argued that State policy decisions are determined by other factors, with GST effects playing at most only a minor role:</w:t>
            </w:r>
          </w:p>
          <w:p w14:paraId="79549F33" w14:textId="77777777" w:rsidR="00F05DC7" w:rsidRDefault="00F05DC7" w:rsidP="00A3786D">
            <w:pPr>
              <w:pStyle w:val="BoxQuote"/>
            </w:pPr>
            <w:r>
              <w:t>The overall fiscal impact of unilateral tax reforms tends to weigh more highly than GST revenue implications in the decision</w:t>
            </w:r>
            <w:r>
              <w:noBreakHyphen/>
              <w:t>making process, including level of additional tax revenue to be raised, revenue stability and increased efficiency of a state’s tax regime. (NT Government, sub. 51, p. 19)</w:t>
            </w:r>
          </w:p>
          <w:p w14:paraId="79549F34" w14:textId="77777777" w:rsidR="00F05DC7" w:rsidRDefault="00F05DC7" w:rsidP="00A3786D">
            <w:pPr>
              <w:pStyle w:val="BoxQuote"/>
            </w:pPr>
            <w:r>
              <w:t>[A] distinction must be made between incentives or problems that exist in theory, and those where there is evidence of the problem in practice. While it may be technically possible for States to influence their GST shares at the margin … Queensland continues to remain unaware of any evidence that this is a factor for governments in the setting of expenditure and revenue policies. … Where potential HFE impacts are considered in the policy decision making process, they are at best fourth or fifth order considerations. (Queensland Government, sub. DR106, p. 6)</w:t>
            </w:r>
          </w:p>
          <w:p w14:paraId="79549F35" w14:textId="77777777" w:rsidR="00F05DC7" w:rsidRPr="00D62F9B" w:rsidRDefault="00F05DC7" w:rsidP="00A3786D">
            <w:pPr>
              <w:pStyle w:val="BoxQuote"/>
            </w:pPr>
            <w:r w:rsidRPr="00D62F9B">
              <w:t>[M]ost of those [GST effects] when you’re talking about individual tax measures are very, very marginal. I mean you’d have to be thinking about some major significant rethink of a whole jurisdiction’s tax system before you would start thinking about what does this do to the GST.</w:t>
            </w:r>
            <w:r>
              <w:t xml:space="preserve"> (Victorian Government, trans., p. 147)</w:t>
            </w:r>
          </w:p>
          <w:p w14:paraId="79549F36" w14:textId="77777777" w:rsidR="00F05DC7" w:rsidRDefault="00F05DC7" w:rsidP="00A3786D">
            <w:pPr>
              <w:pStyle w:val="BoxQuote"/>
            </w:pPr>
            <w:r w:rsidRPr="00175F3A">
              <w:t>While the related GST impacts may well have been considered by some states as part of the broader policy development process, there is no evidence that they drove the ultimate decisions. State policies are influenced by a wide range of considerations, including community support, social impacts and economic factors</w:t>
            </w:r>
            <w:r>
              <w:t>.</w:t>
            </w:r>
            <w:r w:rsidRPr="00175F3A">
              <w:t xml:space="preserve"> (SA Government, sub.</w:t>
            </w:r>
            <w:r>
              <w:t> </w:t>
            </w:r>
            <w:r w:rsidRPr="00175F3A">
              <w:t>DR89, p.</w:t>
            </w:r>
            <w:r>
              <w:t> </w:t>
            </w:r>
            <w:r w:rsidRPr="00175F3A">
              <w:t>12)</w:t>
            </w:r>
          </w:p>
          <w:p w14:paraId="79549F37" w14:textId="77777777" w:rsidR="00F05DC7" w:rsidRPr="00175F3A" w:rsidRDefault="00F05DC7" w:rsidP="00A3786D">
            <w:pPr>
              <w:pStyle w:val="BoxQuote"/>
            </w:pPr>
            <w:r>
              <w:t>Governments make a wide-range of policy decisions, regardless of negative GST consequences. In reality, in considering tax reform, States are concerned with broader economic development issues, rather than temporal direct fiscal consequences. If this were not the case, no State would ever provide tax relief. (Tasmanian Government, sub. DR74, p. 6)</w:t>
            </w:r>
          </w:p>
        </w:tc>
      </w:tr>
      <w:tr w:rsidR="00F05DC7" w14:paraId="79549F3A" w14:textId="77777777" w:rsidTr="00A3786D">
        <w:tc>
          <w:tcPr>
            <w:tcW w:w="5000" w:type="pct"/>
            <w:tcBorders>
              <w:top w:val="nil"/>
              <w:left w:val="nil"/>
              <w:bottom w:val="single" w:sz="6" w:space="0" w:color="78A22F"/>
              <w:right w:val="nil"/>
            </w:tcBorders>
            <w:shd w:val="clear" w:color="auto" w:fill="F2F2F2"/>
          </w:tcPr>
          <w:p w14:paraId="79549F39" w14:textId="77777777" w:rsidR="00F05DC7" w:rsidRDefault="00F05DC7" w:rsidP="00A3786D">
            <w:pPr>
              <w:pStyle w:val="Box"/>
              <w:spacing w:before="0" w:line="120" w:lineRule="exact"/>
            </w:pPr>
          </w:p>
        </w:tc>
      </w:tr>
      <w:tr w:rsidR="00F05DC7" w:rsidRPr="000863A5" w14:paraId="79549F3C" w14:textId="77777777" w:rsidTr="00A3786D">
        <w:tc>
          <w:tcPr>
            <w:tcW w:w="5000" w:type="pct"/>
            <w:tcBorders>
              <w:top w:val="single" w:sz="6" w:space="0" w:color="78A22F"/>
              <w:left w:val="nil"/>
              <w:bottom w:val="nil"/>
              <w:right w:val="nil"/>
            </w:tcBorders>
          </w:tcPr>
          <w:p w14:paraId="79549F3B" w14:textId="77777777" w:rsidR="00F05DC7" w:rsidRPr="00626D32" w:rsidRDefault="00F05DC7" w:rsidP="00A3786D">
            <w:pPr>
              <w:pStyle w:val="BoxSpaceBelow"/>
            </w:pPr>
          </w:p>
        </w:tc>
      </w:tr>
    </w:tbl>
    <w:p w14:paraId="79549F3D" w14:textId="77777777" w:rsidR="00F05DC7" w:rsidRDefault="00F05DC7" w:rsidP="00A3786D">
      <w:pPr>
        <w:pStyle w:val="Heading3"/>
      </w:pPr>
      <w:r>
        <w:lastRenderedPageBreak/>
        <w:t>Estimates of State tax policy impacts on GST payments</w:t>
      </w:r>
    </w:p>
    <w:p w14:paraId="79549F3E" w14:textId="1FABDBF0" w:rsidR="00F05DC7" w:rsidRDefault="00F05DC7" w:rsidP="00A3786D">
      <w:pPr>
        <w:pStyle w:val="BodyText"/>
      </w:pPr>
      <w:r w:rsidRPr="00332D19">
        <w:t xml:space="preserve">There have been </w:t>
      </w:r>
      <w:r w:rsidRPr="00CD4060">
        <w:t>several</w:t>
      </w:r>
      <w:r>
        <w:t xml:space="preserve"> previous</w:t>
      </w:r>
      <w:r w:rsidRPr="00CD4060">
        <w:t xml:space="preserve"> attempts to</w:t>
      </w:r>
      <w:r>
        <w:t xml:space="preserve"> quantify </w:t>
      </w:r>
      <w:r w:rsidRPr="00CD4060">
        <w:t xml:space="preserve">the impact that a change in State tax rates </w:t>
      </w:r>
      <w:r w:rsidRPr="001D69F7">
        <w:t xml:space="preserve">would have on </w:t>
      </w:r>
      <w:r>
        <w:t>a</w:t>
      </w:r>
      <w:r w:rsidRPr="001D69F7">
        <w:t xml:space="preserve"> State’s GST payments (box </w:t>
      </w:r>
      <w:r>
        <w:t>3.4</w:t>
      </w:r>
      <w:r w:rsidRPr="001D69F7">
        <w:t xml:space="preserve">). Past research has found that </w:t>
      </w:r>
      <w:r>
        <w:t xml:space="preserve">changes in average tax rates </w:t>
      </w:r>
      <w:r w:rsidRPr="001D69F7">
        <w:t>mostly</w:t>
      </w:r>
      <w:r>
        <w:t xml:space="preserve"> have</w:t>
      </w:r>
      <w:r w:rsidRPr="001D69F7">
        <w:t xml:space="preserve"> small</w:t>
      </w:r>
      <w:r>
        <w:t xml:space="preserve"> effects on States’ GST payments</w:t>
      </w:r>
      <w:r w:rsidRPr="001D69F7">
        <w:t xml:space="preserve">, </w:t>
      </w:r>
      <w:r>
        <w:t>with</w:t>
      </w:r>
      <w:r w:rsidRPr="001D69F7">
        <w:t xml:space="preserve"> the elasticity effects</w:t>
      </w:r>
      <w:r>
        <w:t xml:space="preserve"> </w:t>
      </w:r>
      <w:r w:rsidRPr="00481BF2">
        <w:t>being larger.</w:t>
      </w:r>
      <w:r w:rsidRPr="008063D4">
        <w:t xml:space="preserve"> </w:t>
      </w:r>
      <w:r w:rsidRPr="00785004">
        <w:t xml:space="preserve">These findings are generally consistent with the </w:t>
      </w:r>
      <w:r>
        <w:t xml:space="preserve">Productivity </w:t>
      </w:r>
      <w:r w:rsidRPr="00785004">
        <w:t xml:space="preserve">Commission’s </w:t>
      </w:r>
      <w:r>
        <w:t xml:space="preserve">estimates of </w:t>
      </w:r>
      <w:r w:rsidRPr="00785004">
        <w:t>small average</w:t>
      </w:r>
      <w:r w:rsidRPr="00785004">
        <w:noBreakHyphen/>
        <w:t xml:space="preserve">rate effects </w:t>
      </w:r>
      <w:r>
        <w:t>for most selected tax types (table 3.1; appendix C). The main exception is iron ore royalties — for which Western Australia has a very large share of the revenue base (section 3.3) — and other mineral royalties, though there are also moderate effects on NSW’s GST share from land tax rates and stamp duties on property.</w:t>
      </w:r>
    </w:p>
    <w:p w14:paraId="79549F3F"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9F41" w14:textId="77777777" w:rsidTr="001113B1">
        <w:trPr>
          <w:tblHeader/>
        </w:trPr>
        <w:tc>
          <w:tcPr>
            <w:tcW w:w="5000" w:type="pct"/>
            <w:tcBorders>
              <w:top w:val="single" w:sz="6" w:space="0" w:color="78A22F"/>
              <w:left w:val="nil"/>
              <w:bottom w:val="nil"/>
              <w:right w:val="nil"/>
            </w:tcBorders>
            <w:shd w:val="clear" w:color="auto" w:fill="auto"/>
          </w:tcPr>
          <w:p w14:paraId="79549F40" w14:textId="053E3EBF" w:rsidR="00F05DC7" w:rsidRPr="00784A05" w:rsidRDefault="00F05DC7" w:rsidP="00A3786D">
            <w:pPr>
              <w:pStyle w:val="TableTitle"/>
            </w:pPr>
            <w:r>
              <w:rPr>
                <w:b w:val="0"/>
              </w:rPr>
              <w:t xml:space="preserve">Table </w:t>
            </w:r>
            <w:bookmarkStart w:id="65" w:name="OLE_LINK16"/>
            <w:r>
              <w:rPr>
                <w:b w:val="0"/>
              </w:rPr>
              <w:t>3.</w:t>
            </w:r>
            <w:r>
              <w:rPr>
                <w:b w:val="0"/>
                <w:noProof/>
              </w:rPr>
              <w:t>1</w:t>
            </w:r>
            <w:bookmarkEnd w:id="65"/>
            <w:r>
              <w:tab/>
              <w:t>Average</w:t>
            </w:r>
            <w:r>
              <w:noBreakHyphen/>
              <w:t>rate effects per $100 revenue increase, 2016</w:t>
            </w:r>
            <w:r>
              <w:noBreakHyphen/>
              <w:t>17</w:t>
            </w:r>
            <w:r w:rsidRPr="00C221DF">
              <w:rPr>
                <w:rStyle w:val="NoteLabel"/>
                <w:rFonts w:ascii="Arial Bold" w:hAnsi="Arial Bold"/>
                <w:b/>
                <w:position w:val="10"/>
              </w:rPr>
              <w:t>a</w:t>
            </w:r>
          </w:p>
        </w:tc>
      </w:tr>
      <w:tr w:rsidR="00F05DC7" w14:paraId="79549F93"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72"/>
              <w:gridCol w:w="654"/>
              <w:gridCol w:w="654"/>
              <w:gridCol w:w="656"/>
              <w:gridCol w:w="653"/>
              <w:gridCol w:w="653"/>
              <w:gridCol w:w="655"/>
              <w:gridCol w:w="653"/>
              <w:gridCol w:w="655"/>
            </w:tblGrid>
            <w:tr w:rsidR="00F05DC7" w14:paraId="79549F4B" w14:textId="77777777" w:rsidTr="00A3786D">
              <w:trPr>
                <w:tblHeader/>
              </w:trPr>
              <w:tc>
                <w:tcPr>
                  <w:tcW w:w="1922" w:type="pct"/>
                  <w:tcBorders>
                    <w:top w:val="single" w:sz="6" w:space="0" w:color="BFBFBF"/>
                    <w:bottom w:val="single" w:sz="6" w:space="0" w:color="BFBFBF"/>
                  </w:tcBorders>
                  <w:shd w:val="clear" w:color="auto" w:fill="auto"/>
                  <w:tcMar>
                    <w:top w:w="28" w:type="dxa"/>
                  </w:tcMar>
                </w:tcPr>
                <w:p w14:paraId="79549F42" w14:textId="77777777" w:rsidR="00F05DC7" w:rsidRDefault="00F05DC7" w:rsidP="00A3786D">
                  <w:pPr>
                    <w:pStyle w:val="TableColumnHeading"/>
                    <w:jc w:val="left"/>
                  </w:pPr>
                  <w:r>
                    <w:t>Revenue category</w:t>
                  </w:r>
                </w:p>
              </w:tc>
              <w:tc>
                <w:tcPr>
                  <w:tcW w:w="384" w:type="pct"/>
                  <w:tcBorders>
                    <w:top w:val="single" w:sz="6" w:space="0" w:color="BFBFBF"/>
                    <w:bottom w:val="single" w:sz="6" w:space="0" w:color="BFBFBF"/>
                  </w:tcBorders>
                </w:tcPr>
                <w:p w14:paraId="79549F43" w14:textId="77777777" w:rsidR="00F05DC7" w:rsidRDefault="00F05DC7" w:rsidP="00A3786D">
                  <w:pPr>
                    <w:pStyle w:val="TableColumnHeading"/>
                  </w:pPr>
                  <w:r w:rsidRPr="005B63C7">
                    <w:t>NSW</w:t>
                  </w:r>
                </w:p>
              </w:tc>
              <w:tc>
                <w:tcPr>
                  <w:tcW w:w="384" w:type="pct"/>
                  <w:tcBorders>
                    <w:top w:val="single" w:sz="6" w:space="0" w:color="BFBFBF"/>
                    <w:bottom w:val="single" w:sz="6" w:space="0" w:color="BFBFBF"/>
                  </w:tcBorders>
                </w:tcPr>
                <w:p w14:paraId="79549F44" w14:textId="77777777" w:rsidR="00F05DC7" w:rsidRDefault="00F05DC7" w:rsidP="00A3786D">
                  <w:pPr>
                    <w:pStyle w:val="TableColumnHeading"/>
                  </w:pPr>
                  <w:r w:rsidRPr="005B63C7">
                    <w:t>Vic</w:t>
                  </w:r>
                </w:p>
              </w:tc>
              <w:tc>
                <w:tcPr>
                  <w:tcW w:w="385" w:type="pct"/>
                  <w:tcBorders>
                    <w:top w:val="single" w:sz="6" w:space="0" w:color="BFBFBF"/>
                    <w:bottom w:val="single" w:sz="6" w:space="0" w:color="BFBFBF"/>
                  </w:tcBorders>
                </w:tcPr>
                <w:p w14:paraId="79549F45" w14:textId="77777777" w:rsidR="00F05DC7" w:rsidRDefault="00F05DC7" w:rsidP="00A3786D">
                  <w:pPr>
                    <w:pStyle w:val="TableColumnHeading"/>
                  </w:pPr>
                  <w:r w:rsidRPr="005B63C7">
                    <w:t>Qld</w:t>
                  </w:r>
                </w:p>
              </w:tc>
              <w:tc>
                <w:tcPr>
                  <w:tcW w:w="384" w:type="pct"/>
                  <w:tcBorders>
                    <w:top w:val="single" w:sz="6" w:space="0" w:color="BFBFBF"/>
                    <w:bottom w:val="single" w:sz="6" w:space="0" w:color="BFBFBF"/>
                  </w:tcBorders>
                </w:tcPr>
                <w:p w14:paraId="79549F46" w14:textId="77777777" w:rsidR="00F05DC7" w:rsidRDefault="00F05DC7" w:rsidP="00A3786D">
                  <w:pPr>
                    <w:pStyle w:val="TableColumnHeading"/>
                  </w:pPr>
                  <w:r w:rsidRPr="005B63C7">
                    <w:t>WA</w:t>
                  </w:r>
                </w:p>
              </w:tc>
              <w:tc>
                <w:tcPr>
                  <w:tcW w:w="384" w:type="pct"/>
                  <w:tcBorders>
                    <w:top w:val="single" w:sz="6" w:space="0" w:color="BFBFBF"/>
                    <w:bottom w:val="single" w:sz="6" w:space="0" w:color="BFBFBF"/>
                  </w:tcBorders>
                </w:tcPr>
                <w:p w14:paraId="79549F47" w14:textId="77777777" w:rsidR="00F05DC7" w:rsidRDefault="00F05DC7" w:rsidP="00A3786D">
                  <w:pPr>
                    <w:pStyle w:val="TableColumnHeading"/>
                  </w:pPr>
                  <w:r w:rsidRPr="005B63C7">
                    <w:t>SA</w:t>
                  </w:r>
                </w:p>
              </w:tc>
              <w:tc>
                <w:tcPr>
                  <w:tcW w:w="385" w:type="pct"/>
                  <w:tcBorders>
                    <w:top w:val="single" w:sz="6" w:space="0" w:color="BFBFBF"/>
                    <w:bottom w:val="single" w:sz="6" w:space="0" w:color="BFBFBF"/>
                  </w:tcBorders>
                </w:tcPr>
                <w:p w14:paraId="79549F48" w14:textId="77777777" w:rsidR="00F05DC7" w:rsidRDefault="00F05DC7" w:rsidP="00A3786D">
                  <w:pPr>
                    <w:pStyle w:val="TableColumnHeading"/>
                  </w:pPr>
                  <w:r w:rsidRPr="005B63C7">
                    <w:t>Tas</w:t>
                  </w:r>
                </w:p>
              </w:tc>
              <w:tc>
                <w:tcPr>
                  <w:tcW w:w="384" w:type="pct"/>
                  <w:tcBorders>
                    <w:top w:val="single" w:sz="6" w:space="0" w:color="BFBFBF"/>
                    <w:bottom w:val="single" w:sz="6" w:space="0" w:color="BFBFBF"/>
                  </w:tcBorders>
                  <w:shd w:val="clear" w:color="auto" w:fill="auto"/>
                  <w:tcMar>
                    <w:top w:w="28" w:type="dxa"/>
                  </w:tcMar>
                </w:tcPr>
                <w:p w14:paraId="79549F49" w14:textId="77777777" w:rsidR="00F05DC7" w:rsidRDefault="00F05DC7" w:rsidP="00A3786D">
                  <w:pPr>
                    <w:pStyle w:val="TableColumnHeading"/>
                  </w:pPr>
                  <w:r w:rsidRPr="005B63C7">
                    <w:t>ACT</w:t>
                  </w:r>
                </w:p>
              </w:tc>
              <w:tc>
                <w:tcPr>
                  <w:tcW w:w="385" w:type="pct"/>
                  <w:tcBorders>
                    <w:top w:val="single" w:sz="6" w:space="0" w:color="BFBFBF"/>
                    <w:bottom w:val="single" w:sz="6" w:space="0" w:color="BFBFBF"/>
                  </w:tcBorders>
                  <w:shd w:val="clear" w:color="auto" w:fill="auto"/>
                  <w:tcMar>
                    <w:top w:w="28" w:type="dxa"/>
                  </w:tcMar>
                </w:tcPr>
                <w:p w14:paraId="79549F4A" w14:textId="77777777" w:rsidR="00F05DC7" w:rsidRDefault="00F05DC7" w:rsidP="00A3786D">
                  <w:pPr>
                    <w:pStyle w:val="TableColumnHeading"/>
                    <w:ind w:right="28"/>
                  </w:pPr>
                  <w:r w:rsidRPr="005B63C7">
                    <w:t>NT</w:t>
                  </w:r>
                </w:p>
              </w:tc>
            </w:tr>
            <w:tr w:rsidR="00F05DC7" w14:paraId="79549F55" w14:textId="77777777" w:rsidTr="00A3786D">
              <w:tc>
                <w:tcPr>
                  <w:tcW w:w="1922" w:type="pct"/>
                  <w:tcBorders>
                    <w:top w:val="single" w:sz="6" w:space="0" w:color="BFBFBF"/>
                  </w:tcBorders>
                </w:tcPr>
                <w:p w14:paraId="79549F4C" w14:textId="77777777" w:rsidR="00F05DC7" w:rsidRDefault="00F05DC7" w:rsidP="00A3786D">
                  <w:pPr>
                    <w:pStyle w:val="TableUnitsRow"/>
                    <w:jc w:val="left"/>
                  </w:pPr>
                </w:p>
              </w:tc>
              <w:tc>
                <w:tcPr>
                  <w:tcW w:w="384" w:type="pct"/>
                  <w:tcBorders>
                    <w:top w:val="single" w:sz="6" w:space="0" w:color="BFBFBF"/>
                  </w:tcBorders>
                </w:tcPr>
                <w:p w14:paraId="79549F4D" w14:textId="77777777" w:rsidR="00F05DC7" w:rsidRDefault="00F05DC7" w:rsidP="00A3786D">
                  <w:pPr>
                    <w:pStyle w:val="TableUnitsRow"/>
                  </w:pPr>
                  <w:r>
                    <w:t>$</w:t>
                  </w:r>
                </w:p>
              </w:tc>
              <w:tc>
                <w:tcPr>
                  <w:tcW w:w="384" w:type="pct"/>
                  <w:tcBorders>
                    <w:top w:val="single" w:sz="6" w:space="0" w:color="BFBFBF"/>
                  </w:tcBorders>
                </w:tcPr>
                <w:p w14:paraId="79549F4E" w14:textId="77777777" w:rsidR="00F05DC7" w:rsidRDefault="00F05DC7" w:rsidP="00A3786D">
                  <w:pPr>
                    <w:pStyle w:val="TableUnitsRow"/>
                  </w:pPr>
                  <w:r>
                    <w:t>$</w:t>
                  </w:r>
                </w:p>
              </w:tc>
              <w:tc>
                <w:tcPr>
                  <w:tcW w:w="385" w:type="pct"/>
                  <w:tcBorders>
                    <w:top w:val="single" w:sz="6" w:space="0" w:color="BFBFBF"/>
                  </w:tcBorders>
                </w:tcPr>
                <w:p w14:paraId="79549F4F" w14:textId="77777777" w:rsidR="00F05DC7" w:rsidRDefault="00F05DC7" w:rsidP="00A3786D">
                  <w:pPr>
                    <w:pStyle w:val="TableUnitsRow"/>
                  </w:pPr>
                  <w:r>
                    <w:t>$</w:t>
                  </w:r>
                </w:p>
              </w:tc>
              <w:tc>
                <w:tcPr>
                  <w:tcW w:w="384" w:type="pct"/>
                  <w:tcBorders>
                    <w:top w:val="single" w:sz="6" w:space="0" w:color="BFBFBF"/>
                  </w:tcBorders>
                </w:tcPr>
                <w:p w14:paraId="79549F50" w14:textId="77777777" w:rsidR="00F05DC7" w:rsidRDefault="00F05DC7" w:rsidP="00A3786D">
                  <w:pPr>
                    <w:pStyle w:val="TableUnitsRow"/>
                  </w:pPr>
                  <w:r>
                    <w:t>$</w:t>
                  </w:r>
                </w:p>
              </w:tc>
              <w:tc>
                <w:tcPr>
                  <w:tcW w:w="384" w:type="pct"/>
                  <w:tcBorders>
                    <w:top w:val="single" w:sz="6" w:space="0" w:color="BFBFBF"/>
                  </w:tcBorders>
                </w:tcPr>
                <w:p w14:paraId="79549F51" w14:textId="77777777" w:rsidR="00F05DC7" w:rsidRDefault="00F05DC7" w:rsidP="00A3786D">
                  <w:pPr>
                    <w:pStyle w:val="TableUnitsRow"/>
                  </w:pPr>
                  <w:r>
                    <w:t>$</w:t>
                  </w:r>
                </w:p>
              </w:tc>
              <w:tc>
                <w:tcPr>
                  <w:tcW w:w="385" w:type="pct"/>
                  <w:tcBorders>
                    <w:top w:val="single" w:sz="6" w:space="0" w:color="BFBFBF"/>
                  </w:tcBorders>
                </w:tcPr>
                <w:p w14:paraId="79549F52" w14:textId="77777777" w:rsidR="00F05DC7" w:rsidRDefault="00F05DC7" w:rsidP="00A3786D">
                  <w:pPr>
                    <w:pStyle w:val="TableUnitsRow"/>
                  </w:pPr>
                  <w:r>
                    <w:t>$</w:t>
                  </w:r>
                </w:p>
              </w:tc>
              <w:tc>
                <w:tcPr>
                  <w:tcW w:w="384" w:type="pct"/>
                  <w:tcBorders>
                    <w:top w:val="single" w:sz="6" w:space="0" w:color="BFBFBF"/>
                  </w:tcBorders>
                </w:tcPr>
                <w:p w14:paraId="79549F53" w14:textId="77777777" w:rsidR="00F05DC7" w:rsidRDefault="00F05DC7" w:rsidP="00A3786D">
                  <w:pPr>
                    <w:pStyle w:val="TableUnitsRow"/>
                  </w:pPr>
                  <w:r>
                    <w:t>$</w:t>
                  </w:r>
                </w:p>
              </w:tc>
              <w:tc>
                <w:tcPr>
                  <w:tcW w:w="385" w:type="pct"/>
                  <w:tcBorders>
                    <w:top w:val="single" w:sz="6" w:space="0" w:color="BFBFBF"/>
                  </w:tcBorders>
                </w:tcPr>
                <w:p w14:paraId="79549F54" w14:textId="77777777" w:rsidR="00F05DC7" w:rsidRDefault="00F05DC7" w:rsidP="00A3786D">
                  <w:pPr>
                    <w:pStyle w:val="TableUnitsRow"/>
                    <w:ind w:right="28"/>
                  </w:pPr>
                  <w:r>
                    <w:t>$</w:t>
                  </w:r>
                </w:p>
              </w:tc>
            </w:tr>
            <w:tr w:rsidR="00F05DC7" w14:paraId="79549F5F" w14:textId="77777777" w:rsidTr="00A3786D">
              <w:tc>
                <w:tcPr>
                  <w:tcW w:w="1922" w:type="pct"/>
                  <w:vAlign w:val="center"/>
                </w:tcPr>
                <w:p w14:paraId="79549F56" w14:textId="77777777" w:rsidR="00F05DC7" w:rsidRDefault="00F05DC7" w:rsidP="00A3786D">
                  <w:pPr>
                    <w:pStyle w:val="TableBodyText"/>
                    <w:jc w:val="left"/>
                  </w:pPr>
                  <w:r>
                    <w:rPr>
                      <w:rFonts w:cs="Arial"/>
                      <w:color w:val="000000"/>
                      <w:szCs w:val="18"/>
                    </w:rPr>
                    <w:t>Insurance tax</w:t>
                  </w:r>
                </w:p>
              </w:tc>
              <w:tc>
                <w:tcPr>
                  <w:tcW w:w="384" w:type="pct"/>
                  <w:tcBorders>
                    <w:top w:val="nil"/>
                    <w:left w:val="nil"/>
                    <w:bottom w:val="nil"/>
                    <w:right w:val="nil"/>
                  </w:tcBorders>
                  <w:shd w:val="clear" w:color="auto" w:fill="auto"/>
                  <w:vAlign w:val="center"/>
                </w:tcPr>
                <w:p w14:paraId="79549F57" w14:textId="77777777" w:rsidR="00F05DC7" w:rsidRDefault="00F05DC7" w:rsidP="00A3786D">
                  <w:pPr>
                    <w:pStyle w:val="TableBodyText"/>
                  </w:pPr>
                  <w:r w:rsidRPr="0082062B">
                    <w:t>-</w:t>
                  </w:r>
                  <w:r>
                    <w:t>2.6</w:t>
                  </w:r>
                </w:p>
              </w:tc>
              <w:tc>
                <w:tcPr>
                  <w:tcW w:w="384" w:type="pct"/>
                  <w:tcBorders>
                    <w:top w:val="nil"/>
                    <w:left w:val="nil"/>
                    <w:bottom w:val="nil"/>
                    <w:right w:val="nil"/>
                  </w:tcBorders>
                  <w:shd w:val="clear" w:color="auto" w:fill="auto"/>
                  <w:vAlign w:val="center"/>
                </w:tcPr>
                <w:p w14:paraId="79549F58" w14:textId="77777777" w:rsidR="00F05DC7" w:rsidRDefault="00F05DC7" w:rsidP="00A3786D">
                  <w:pPr>
                    <w:pStyle w:val="TableBodyText"/>
                  </w:pPr>
                  <w:r w:rsidRPr="0082062B">
                    <w:t>1.</w:t>
                  </w:r>
                  <w:r>
                    <w:t>9</w:t>
                  </w:r>
                </w:p>
              </w:tc>
              <w:tc>
                <w:tcPr>
                  <w:tcW w:w="385" w:type="pct"/>
                  <w:tcBorders>
                    <w:top w:val="nil"/>
                    <w:left w:val="nil"/>
                    <w:bottom w:val="nil"/>
                    <w:right w:val="nil"/>
                  </w:tcBorders>
                  <w:shd w:val="clear" w:color="auto" w:fill="auto"/>
                  <w:vAlign w:val="center"/>
                </w:tcPr>
                <w:p w14:paraId="79549F59" w14:textId="77777777" w:rsidR="00F05DC7" w:rsidRDefault="00F05DC7" w:rsidP="00A3786D">
                  <w:pPr>
                    <w:pStyle w:val="TableBodyText"/>
                  </w:pPr>
                  <w:r w:rsidRPr="0082062B">
                    <w:t>0.</w:t>
                  </w:r>
                  <w:r>
                    <w:t>7</w:t>
                  </w:r>
                </w:p>
              </w:tc>
              <w:tc>
                <w:tcPr>
                  <w:tcW w:w="384" w:type="pct"/>
                  <w:tcBorders>
                    <w:top w:val="nil"/>
                    <w:left w:val="nil"/>
                    <w:bottom w:val="nil"/>
                    <w:right w:val="nil"/>
                  </w:tcBorders>
                  <w:shd w:val="clear" w:color="auto" w:fill="auto"/>
                  <w:vAlign w:val="center"/>
                </w:tcPr>
                <w:p w14:paraId="79549F5A" w14:textId="77777777" w:rsidR="00F05DC7" w:rsidRDefault="00F05DC7" w:rsidP="00A3786D">
                  <w:pPr>
                    <w:pStyle w:val="TableBodyText"/>
                  </w:pPr>
                  <w:r w:rsidRPr="0082062B">
                    <w:t>0.</w:t>
                  </w:r>
                  <w:r>
                    <w:t>3</w:t>
                  </w:r>
                </w:p>
              </w:tc>
              <w:tc>
                <w:tcPr>
                  <w:tcW w:w="384" w:type="pct"/>
                  <w:tcBorders>
                    <w:top w:val="nil"/>
                    <w:left w:val="nil"/>
                    <w:bottom w:val="nil"/>
                    <w:right w:val="nil"/>
                  </w:tcBorders>
                  <w:shd w:val="clear" w:color="auto" w:fill="auto"/>
                  <w:vAlign w:val="center"/>
                </w:tcPr>
                <w:p w14:paraId="79549F5B" w14:textId="77777777" w:rsidR="00F05DC7" w:rsidRDefault="00F05DC7" w:rsidP="00A3786D">
                  <w:pPr>
                    <w:pStyle w:val="TableBodyText"/>
                  </w:pPr>
                  <w:r w:rsidRPr="0082062B">
                    <w:t>-0.</w:t>
                  </w:r>
                  <w:r>
                    <w:t>5</w:t>
                  </w:r>
                </w:p>
              </w:tc>
              <w:tc>
                <w:tcPr>
                  <w:tcW w:w="385" w:type="pct"/>
                  <w:tcBorders>
                    <w:top w:val="nil"/>
                    <w:left w:val="nil"/>
                    <w:bottom w:val="nil"/>
                    <w:right w:val="nil"/>
                  </w:tcBorders>
                  <w:shd w:val="clear" w:color="auto" w:fill="auto"/>
                  <w:vAlign w:val="center"/>
                </w:tcPr>
                <w:p w14:paraId="79549F5C" w14:textId="77777777" w:rsidR="00F05DC7" w:rsidRDefault="00F05DC7" w:rsidP="00A3786D">
                  <w:pPr>
                    <w:pStyle w:val="TableBodyText"/>
                  </w:pPr>
                  <w:r w:rsidRPr="0082062B">
                    <w:t>0.4</w:t>
                  </w:r>
                </w:p>
              </w:tc>
              <w:tc>
                <w:tcPr>
                  <w:tcW w:w="384" w:type="pct"/>
                  <w:tcBorders>
                    <w:top w:val="nil"/>
                    <w:left w:val="nil"/>
                    <w:bottom w:val="nil"/>
                    <w:right w:val="nil"/>
                  </w:tcBorders>
                  <w:shd w:val="clear" w:color="auto" w:fill="auto"/>
                  <w:vAlign w:val="center"/>
                </w:tcPr>
                <w:p w14:paraId="79549F5D" w14:textId="77777777" w:rsidR="00F05DC7" w:rsidRDefault="00F05DC7" w:rsidP="00A3786D">
                  <w:pPr>
                    <w:pStyle w:val="TableBodyText"/>
                  </w:pPr>
                  <w:r>
                    <w:t>0.1</w:t>
                  </w:r>
                </w:p>
              </w:tc>
              <w:tc>
                <w:tcPr>
                  <w:tcW w:w="385" w:type="pct"/>
                  <w:tcBorders>
                    <w:top w:val="nil"/>
                    <w:left w:val="nil"/>
                    <w:bottom w:val="nil"/>
                    <w:right w:val="nil"/>
                  </w:tcBorders>
                  <w:shd w:val="clear" w:color="auto" w:fill="auto"/>
                  <w:vAlign w:val="center"/>
                </w:tcPr>
                <w:p w14:paraId="79549F5E" w14:textId="77777777" w:rsidR="00F05DC7" w:rsidRDefault="00F05DC7" w:rsidP="00A3786D">
                  <w:pPr>
                    <w:pStyle w:val="TableBodyText"/>
                    <w:ind w:right="28"/>
                  </w:pPr>
                  <w:r>
                    <w:t>-0.1</w:t>
                  </w:r>
                </w:p>
              </w:tc>
            </w:tr>
            <w:tr w:rsidR="00F05DC7" w14:paraId="79549F69" w14:textId="77777777" w:rsidTr="00D744EA">
              <w:tc>
                <w:tcPr>
                  <w:tcW w:w="1922" w:type="pct"/>
                  <w:shd w:val="clear" w:color="auto" w:fill="F2F2F2" w:themeFill="background1" w:themeFillShade="F2"/>
                  <w:vAlign w:val="center"/>
                </w:tcPr>
                <w:p w14:paraId="79549F60" w14:textId="77777777" w:rsidR="00F05DC7" w:rsidRDefault="00F05DC7" w:rsidP="00A3786D">
                  <w:pPr>
                    <w:pStyle w:val="TableBodyText"/>
                    <w:jc w:val="left"/>
                  </w:pPr>
                  <w:r>
                    <w:rPr>
                      <w:rFonts w:cs="Arial"/>
                      <w:color w:val="000000"/>
                      <w:szCs w:val="18"/>
                    </w:rPr>
                    <w:t>Land tax on income</w:t>
                  </w:r>
                  <w:r>
                    <w:rPr>
                      <w:rFonts w:cs="Arial"/>
                      <w:color w:val="000000"/>
                      <w:szCs w:val="18"/>
                    </w:rPr>
                    <w:noBreakHyphen/>
                    <w:t>producing property</w:t>
                  </w:r>
                </w:p>
              </w:tc>
              <w:tc>
                <w:tcPr>
                  <w:tcW w:w="384" w:type="pct"/>
                  <w:tcBorders>
                    <w:top w:val="nil"/>
                    <w:left w:val="nil"/>
                    <w:bottom w:val="nil"/>
                    <w:right w:val="nil"/>
                  </w:tcBorders>
                  <w:shd w:val="clear" w:color="auto" w:fill="F2F2F2" w:themeFill="background1" w:themeFillShade="F2"/>
                  <w:vAlign w:val="bottom"/>
                </w:tcPr>
                <w:p w14:paraId="79549F61" w14:textId="77777777" w:rsidR="00F05DC7" w:rsidRDefault="00F05DC7" w:rsidP="00A3786D">
                  <w:pPr>
                    <w:pStyle w:val="TableBodyText"/>
                  </w:pPr>
                  <w:r w:rsidRPr="00CF3D6E">
                    <w:rPr>
                      <w:rFonts w:cs="Arial"/>
                      <w:color w:val="000000"/>
                      <w:szCs w:val="18"/>
                    </w:rPr>
                    <w:t>-7.5</w:t>
                  </w:r>
                </w:p>
              </w:tc>
              <w:tc>
                <w:tcPr>
                  <w:tcW w:w="384" w:type="pct"/>
                  <w:tcBorders>
                    <w:top w:val="nil"/>
                    <w:left w:val="nil"/>
                    <w:bottom w:val="nil"/>
                    <w:right w:val="nil"/>
                  </w:tcBorders>
                  <w:shd w:val="clear" w:color="auto" w:fill="F2F2F2" w:themeFill="background1" w:themeFillShade="F2"/>
                  <w:vAlign w:val="bottom"/>
                </w:tcPr>
                <w:p w14:paraId="79549F62" w14:textId="77777777" w:rsidR="00F05DC7" w:rsidRDefault="00F05DC7" w:rsidP="00A3786D">
                  <w:pPr>
                    <w:pStyle w:val="TableBodyText"/>
                  </w:pPr>
                  <w:r w:rsidRPr="00CF3D6E">
                    <w:rPr>
                      <w:rFonts w:cs="Arial"/>
                      <w:color w:val="000000"/>
                      <w:szCs w:val="18"/>
                    </w:rPr>
                    <w:t>-3.7</w:t>
                  </w:r>
                </w:p>
              </w:tc>
              <w:tc>
                <w:tcPr>
                  <w:tcW w:w="385" w:type="pct"/>
                  <w:tcBorders>
                    <w:top w:val="nil"/>
                    <w:left w:val="nil"/>
                    <w:bottom w:val="nil"/>
                    <w:right w:val="nil"/>
                  </w:tcBorders>
                  <w:shd w:val="clear" w:color="auto" w:fill="F2F2F2" w:themeFill="background1" w:themeFillShade="F2"/>
                  <w:vAlign w:val="bottom"/>
                </w:tcPr>
                <w:p w14:paraId="79549F63" w14:textId="77777777" w:rsidR="00F05DC7" w:rsidRDefault="00F05DC7" w:rsidP="00A3786D">
                  <w:pPr>
                    <w:pStyle w:val="TableBodyText"/>
                  </w:pPr>
                  <w:r w:rsidRPr="00CF3D6E">
                    <w:rPr>
                      <w:rFonts w:cs="Arial"/>
                      <w:color w:val="000000"/>
                      <w:szCs w:val="18"/>
                    </w:rPr>
                    <w:t>5.6</w:t>
                  </w:r>
                </w:p>
              </w:tc>
              <w:tc>
                <w:tcPr>
                  <w:tcW w:w="384" w:type="pct"/>
                  <w:tcBorders>
                    <w:top w:val="nil"/>
                    <w:left w:val="nil"/>
                    <w:bottom w:val="nil"/>
                    <w:right w:val="nil"/>
                  </w:tcBorders>
                  <w:shd w:val="clear" w:color="auto" w:fill="F2F2F2" w:themeFill="background1" w:themeFillShade="F2"/>
                  <w:vAlign w:val="bottom"/>
                </w:tcPr>
                <w:p w14:paraId="79549F64" w14:textId="77777777" w:rsidR="00F05DC7" w:rsidRDefault="00F05DC7" w:rsidP="00A3786D">
                  <w:pPr>
                    <w:pStyle w:val="TableBodyText"/>
                  </w:pPr>
                  <w:r w:rsidRPr="00CF3D6E">
                    <w:rPr>
                      <w:rFonts w:cs="Arial"/>
                      <w:color w:val="000000"/>
                      <w:szCs w:val="18"/>
                    </w:rPr>
                    <w:t>-0.2</w:t>
                  </w:r>
                </w:p>
              </w:tc>
              <w:tc>
                <w:tcPr>
                  <w:tcW w:w="384" w:type="pct"/>
                  <w:tcBorders>
                    <w:top w:val="nil"/>
                    <w:left w:val="nil"/>
                    <w:bottom w:val="nil"/>
                    <w:right w:val="nil"/>
                  </w:tcBorders>
                  <w:shd w:val="clear" w:color="auto" w:fill="F2F2F2" w:themeFill="background1" w:themeFillShade="F2"/>
                  <w:vAlign w:val="bottom"/>
                </w:tcPr>
                <w:p w14:paraId="79549F65" w14:textId="77777777" w:rsidR="00F05DC7" w:rsidRDefault="00F05DC7" w:rsidP="00A3786D">
                  <w:pPr>
                    <w:pStyle w:val="TableBodyText"/>
                  </w:pPr>
                  <w:r w:rsidRPr="00CF3D6E">
                    <w:rPr>
                      <w:rFonts w:cs="Arial"/>
                      <w:color w:val="000000"/>
                      <w:szCs w:val="18"/>
                    </w:rPr>
                    <w:t>3.5</w:t>
                  </w:r>
                </w:p>
              </w:tc>
              <w:tc>
                <w:tcPr>
                  <w:tcW w:w="385" w:type="pct"/>
                  <w:tcBorders>
                    <w:top w:val="nil"/>
                    <w:left w:val="nil"/>
                    <w:bottom w:val="nil"/>
                    <w:right w:val="nil"/>
                  </w:tcBorders>
                  <w:shd w:val="clear" w:color="auto" w:fill="F2F2F2" w:themeFill="background1" w:themeFillShade="F2"/>
                  <w:vAlign w:val="bottom"/>
                </w:tcPr>
                <w:p w14:paraId="79549F66" w14:textId="77777777" w:rsidR="00F05DC7" w:rsidRDefault="00F05DC7" w:rsidP="00A3786D">
                  <w:pPr>
                    <w:pStyle w:val="TableBodyText"/>
                  </w:pPr>
                  <w:r w:rsidRPr="00CF3D6E">
                    <w:rPr>
                      <w:rFonts w:cs="Arial"/>
                      <w:color w:val="000000"/>
                      <w:szCs w:val="18"/>
                    </w:rPr>
                    <w:t>1.2</w:t>
                  </w:r>
                </w:p>
              </w:tc>
              <w:tc>
                <w:tcPr>
                  <w:tcW w:w="384" w:type="pct"/>
                  <w:tcBorders>
                    <w:top w:val="nil"/>
                    <w:left w:val="nil"/>
                    <w:bottom w:val="nil"/>
                    <w:right w:val="nil"/>
                  </w:tcBorders>
                  <w:shd w:val="clear" w:color="auto" w:fill="F2F2F2" w:themeFill="background1" w:themeFillShade="F2"/>
                  <w:vAlign w:val="bottom"/>
                </w:tcPr>
                <w:p w14:paraId="79549F67" w14:textId="77777777" w:rsidR="00F05DC7" w:rsidRDefault="00F05DC7" w:rsidP="00A3786D">
                  <w:pPr>
                    <w:pStyle w:val="TableBodyText"/>
                  </w:pPr>
                  <w:r w:rsidRPr="00CF3D6E">
                    <w:rPr>
                      <w:rFonts w:cs="Arial"/>
                      <w:color w:val="000000"/>
                      <w:szCs w:val="18"/>
                    </w:rPr>
                    <w:t>0.8</w:t>
                  </w:r>
                </w:p>
              </w:tc>
              <w:tc>
                <w:tcPr>
                  <w:tcW w:w="385" w:type="pct"/>
                  <w:tcBorders>
                    <w:top w:val="nil"/>
                    <w:left w:val="nil"/>
                    <w:bottom w:val="nil"/>
                    <w:right w:val="nil"/>
                  </w:tcBorders>
                  <w:shd w:val="clear" w:color="auto" w:fill="F2F2F2" w:themeFill="background1" w:themeFillShade="F2"/>
                  <w:vAlign w:val="bottom"/>
                </w:tcPr>
                <w:p w14:paraId="79549F68" w14:textId="77777777" w:rsidR="00F05DC7" w:rsidRDefault="00F05DC7" w:rsidP="00A3786D">
                  <w:pPr>
                    <w:pStyle w:val="TableBodyText"/>
                    <w:ind w:right="28"/>
                  </w:pPr>
                  <w:r w:rsidRPr="00CF3D6E">
                    <w:rPr>
                      <w:rFonts w:cs="Arial"/>
                      <w:color w:val="000000"/>
                      <w:szCs w:val="18"/>
                    </w:rPr>
                    <w:t>0.3</w:t>
                  </w:r>
                </w:p>
              </w:tc>
            </w:tr>
            <w:tr w:rsidR="00F05DC7" w14:paraId="79549F73" w14:textId="77777777" w:rsidTr="00A3786D">
              <w:tc>
                <w:tcPr>
                  <w:tcW w:w="1922" w:type="pct"/>
                  <w:vAlign w:val="center"/>
                </w:tcPr>
                <w:p w14:paraId="79549F6A" w14:textId="77777777" w:rsidR="00F05DC7" w:rsidRDefault="00F05DC7" w:rsidP="00A3786D">
                  <w:pPr>
                    <w:pStyle w:val="TableBodyText"/>
                    <w:jc w:val="left"/>
                  </w:pPr>
                  <w:r>
                    <w:rPr>
                      <w:rFonts w:cs="Arial"/>
                      <w:color w:val="000000"/>
                      <w:szCs w:val="18"/>
                    </w:rPr>
                    <w:t>Iron ore royalties</w:t>
                  </w:r>
                </w:p>
              </w:tc>
              <w:tc>
                <w:tcPr>
                  <w:tcW w:w="384" w:type="pct"/>
                  <w:tcBorders>
                    <w:top w:val="nil"/>
                    <w:left w:val="nil"/>
                    <w:bottom w:val="nil"/>
                    <w:right w:val="nil"/>
                  </w:tcBorders>
                  <w:shd w:val="clear" w:color="auto" w:fill="auto"/>
                  <w:vAlign w:val="center"/>
                </w:tcPr>
                <w:p w14:paraId="79549F6B" w14:textId="77777777" w:rsidR="00F05DC7" w:rsidRDefault="00F05DC7" w:rsidP="00A3786D">
                  <w:pPr>
                    <w:pStyle w:val="TableBodyText"/>
                  </w:pPr>
                  <w:r w:rsidRPr="0082062B">
                    <w:t>32.0</w:t>
                  </w:r>
                </w:p>
              </w:tc>
              <w:tc>
                <w:tcPr>
                  <w:tcW w:w="384" w:type="pct"/>
                  <w:tcBorders>
                    <w:top w:val="nil"/>
                    <w:left w:val="nil"/>
                    <w:bottom w:val="nil"/>
                    <w:right w:val="nil"/>
                  </w:tcBorders>
                  <w:shd w:val="clear" w:color="auto" w:fill="auto"/>
                  <w:vAlign w:val="center"/>
                </w:tcPr>
                <w:p w14:paraId="79549F6C" w14:textId="77777777" w:rsidR="00F05DC7" w:rsidRDefault="00F05DC7" w:rsidP="00A3786D">
                  <w:pPr>
                    <w:pStyle w:val="TableBodyText"/>
                  </w:pPr>
                  <w:r w:rsidRPr="0082062B">
                    <w:t>25.</w:t>
                  </w:r>
                  <w:r>
                    <w:t>6</w:t>
                  </w:r>
                </w:p>
              </w:tc>
              <w:tc>
                <w:tcPr>
                  <w:tcW w:w="385" w:type="pct"/>
                  <w:tcBorders>
                    <w:top w:val="nil"/>
                    <w:left w:val="nil"/>
                    <w:bottom w:val="nil"/>
                    <w:right w:val="nil"/>
                  </w:tcBorders>
                  <w:shd w:val="clear" w:color="auto" w:fill="auto"/>
                  <w:vAlign w:val="center"/>
                </w:tcPr>
                <w:p w14:paraId="79549F6D" w14:textId="77777777" w:rsidR="00F05DC7" w:rsidRDefault="00F05DC7" w:rsidP="00A3786D">
                  <w:pPr>
                    <w:pStyle w:val="TableBodyText"/>
                  </w:pPr>
                  <w:r w:rsidRPr="0082062B">
                    <w:t>20.</w:t>
                  </w:r>
                  <w:r>
                    <w:t>0</w:t>
                  </w:r>
                </w:p>
              </w:tc>
              <w:tc>
                <w:tcPr>
                  <w:tcW w:w="384" w:type="pct"/>
                  <w:tcBorders>
                    <w:top w:val="nil"/>
                    <w:left w:val="nil"/>
                    <w:bottom w:val="nil"/>
                    <w:right w:val="nil"/>
                  </w:tcBorders>
                  <w:shd w:val="clear" w:color="auto" w:fill="auto"/>
                  <w:vAlign w:val="center"/>
                </w:tcPr>
                <w:p w14:paraId="79549F6E" w14:textId="77777777" w:rsidR="00F05DC7" w:rsidRDefault="00F05DC7" w:rsidP="00A3786D">
                  <w:pPr>
                    <w:pStyle w:val="TableBodyText"/>
                  </w:pPr>
                  <w:r w:rsidRPr="0082062B">
                    <w:t>-87.</w:t>
                  </w:r>
                  <w:r>
                    <w:t>9</w:t>
                  </w:r>
                </w:p>
              </w:tc>
              <w:tc>
                <w:tcPr>
                  <w:tcW w:w="384" w:type="pct"/>
                  <w:tcBorders>
                    <w:top w:val="nil"/>
                    <w:left w:val="nil"/>
                    <w:bottom w:val="nil"/>
                    <w:right w:val="nil"/>
                  </w:tcBorders>
                  <w:shd w:val="clear" w:color="auto" w:fill="auto"/>
                  <w:vAlign w:val="center"/>
                </w:tcPr>
                <w:p w14:paraId="79549F6F" w14:textId="77777777" w:rsidR="00F05DC7" w:rsidRDefault="00F05DC7" w:rsidP="00A3786D">
                  <w:pPr>
                    <w:pStyle w:val="TableBodyText"/>
                  </w:pPr>
                  <w:r w:rsidRPr="0082062B">
                    <w:t>6.</w:t>
                  </w:r>
                  <w:r>
                    <w:t>1</w:t>
                  </w:r>
                </w:p>
              </w:tc>
              <w:tc>
                <w:tcPr>
                  <w:tcW w:w="385" w:type="pct"/>
                  <w:tcBorders>
                    <w:top w:val="nil"/>
                    <w:left w:val="nil"/>
                    <w:bottom w:val="nil"/>
                    <w:right w:val="nil"/>
                  </w:tcBorders>
                  <w:shd w:val="clear" w:color="auto" w:fill="auto"/>
                  <w:vAlign w:val="center"/>
                </w:tcPr>
                <w:p w14:paraId="79549F70" w14:textId="77777777" w:rsidR="00F05DC7" w:rsidRDefault="00F05DC7" w:rsidP="00A3786D">
                  <w:pPr>
                    <w:pStyle w:val="TableBodyText"/>
                  </w:pPr>
                  <w:r w:rsidRPr="0082062B">
                    <w:t>1.</w:t>
                  </w:r>
                  <w:r>
                    <w:t>5</w:t>
                  </w:r>
                </w:p>
              </w:tc>
              <w:tc>
                <w:tcPr>
                  <w:tcW w:w="384" w:type="pct"/>
                  <w:tcBorders>
                    <w:top w:val="nil"/>
                    <w:left w:val="nil"/>
                    <w:bottom w:val="nil"/>
                    <w:right w:val="nil"/>
                  </w:tcBorders>
                  <w:shd w:val="clear" w:color="auto" w:fill="auto"/>
                  <w:vAlign w:val="center"/>
                </w:tcPr>
                <w:p w14:paraId="79549F71" w14:textId="77777777" w:rsidR="00F05DC7" w:rsidRDefault="00F05DC7" w:rsidP="00A3786D">
                  <w:pPr>
                    <w:pStyle w:val="TableBodyText"/>
                  </w:pPr>
                  <w:r w:rsidRPr="0082062B">
                    <w:t>1.</w:t>
                  </w:r>
                  <w:r>
                    <w:t>7</w:t>
                  </w:r>
                </w:p>
              </w:tc>
              <w:tc>
                <w:tcPr>
                  <w:tcW w:w="385" w:type="pct"/>
                  <w:tcBorders>
                    <w:top w:val="nil"/>
                    <w:left w:val="nil"/>
                    <w:bottom w:val="nil"/>
                    <w:right w:val="nil"/>
                  </w:tcBorders>
                  <w:shd w:val="clear" w:color="auto" w:fill="auto"/>
                  <w:vAlign w:val="center"/>
                </w:tcPr>
                <w:p w14:paraId="79549F72" w14:textId="77777777" w:rsidR="00F05DC7" w:rsidRDefault="00F05DC7" w:rsidP="00A3786D">
                  <w:pPr>
                    <w:pStyle w:val="TableBodyText"/>
                    <w:ind w:right="28"/>
                  </w:pPr>
                  <w:r w:rsidRPr="0082062B">
                    <w:t>1.0</w:t>
                  </w:r>
                </w:p>
              </w:tc>
            </w:tr>
            <w:tr w:rsidR="00F05DC7" w14:paraId="79549F7D" w14:textId="77777777" w:rsidTr="00D744EA">
              <w:tc>
                <w:tcPr>
                  <w:tcW w:w="1922" w:type="pct"/>
                  <w:shd w:val="clear" w:color="auto" w:fill="F2F2F2" w:themeFill="background1" w:themeFillShade="F2"/>
                  <w:vAlign w:val="center"/>
                </w:tcPr>
                <w:p w14:paraId="79549F74" w14:textId="77777777" w:rsidR="00F05DC7" w:rsidRDefault="00F05DC7" w:rsidP="00A3786D">
                  <w:pPr>
                    <w:pStyle w:val="TableBodyText"/>
                    <w:jc w:val="left"/>
                  </w:pPr>
                  <w:r>
                    <w:rPr>
                      <w:rFonts w:cs="Arial"/>
                      <w:color w:val="000000"/>
                      <w:szCs w:val="18"/>
                    </w:rPr>
                    <w:t>Taxes on heavy vehicles</w:t>
                  </w:r>
                </w:p>
              </w:tc>
              <w:tc>
                <w:tcPr>
                  <w:tcW w:w="384" w:type="pct"/>
                  <w:tcBorders>
                    <w:top w:val="nil"/>
                    <w:left w:val="nil"/>
                    <w:bottom w:val="nil"/>
                    <w:right w:val="nil"/>
                  </w:tcBorders>
                  <w:shd w:val="clear" w:color="auto" w:fill="F2F2F2" w:themeFill="background1" w:themeFillShade="F2"/>
                </w:tcPr>
                <w:p w14:paraId="79549F75" w14:textId="77777777" w:rsidR="00F05DC7" w:rsidRDefault="00F05DC7" w:rsidP="00A3786D">
                  <w:pPr>
                    <w:pStyle w:val="TableBodyText"/>
                  </w:pPr>
                  <w:r w:rsidRPr="0082062B">
                    <w:t>5.</w:t>
                  </w:r>
                  <w:r>
                    <w:t>3</w:t>
                  </w:r>
                </w:p>
              </w:tc>
              <w:tc>
                <w:tcPr>
                  <w:tcW w:w="384" w:type="pct"/>
                  <w:tcBorders>
                    <w:top w:val="nil"/>
                    <w:left w:val="nil"/>
                    <w:bottom w:val="nil"/>
                    <w:right w:val="nil"/>
                  </w:tcBorders>
                  <w:shd w:val="clear" w:color="auto" w:fill="F2F2F2" w:themeFill="background1" w:themeFillShade="F2"/>
                </w:tcPr>
                <w:p w14:paraId="79549F76" w14:textId="77777777" w:rsidR="00F05DC7" w:rsidRDefault="00F05DC7" w:rsidP="00A3786D">
                  <w:pPr>
                    <w:pStyle w:val="TableBodyText"/>
                  </w:pPr>
                  <w:r w:rsidRPr="0082062B">
                    <w:t>0.</w:t>
                  </w:r>
                  <w:r>
                    <w:t>8</w:t>
                  </w:r>
                </w:p>
              </w:tc>
              <w:tc>
                <w:tcPr>
                  <w:tcW w:w="385" w:type="pct"/>
                  <w:tcBorders>
                    <w:top w:val="nil"/>
                    <w:left w:val="nil"/>
                    <w:bottom w:val="nil"/>
                    <w:right w:val="nil"/>
                  </w:tcBorders>
                  <w:shd w:val="clear" w:color="auto" w:fill="F2F2F2" w:themeFill="background1" w:themeFillShade="F2"/>
                </w:tcPr>
                <w:p w14:paraId="79549F77" w14:textId="77777777" w:rsidR="00F05DC7" w:rsidRDefault="00F05DC7" w:rsidP="00A3786D">
                  <w:pPr>
                    <w:pStyle w:val="TableBodyText"/>
                  </w:pPr>
                  <w:r w:rsidRPr="0082062B">
                    <w:t>-1.</w:t>
                  </w:r>
                  <w:r>
                    <w:t>3</w:t>
                  </w:r>
                </w:p>
              </w:tc>
              <w:tc>
                <w:tcPr>
                  <w:tcW w:w="384" w:type="pct"/>
                  <w:tcBorders>
                    <w:top w:val="nil"/>
                    <w:left w:val="nil"/>
                    <w:bottom w:val="nil"/>
                    <w:right w:val="nil"/>
                  </w:tcBorders>
                  <w:shd w:val="clear" w:color="auto" w:fill="F2F2F2" w:themeFill="background1" w:themeFillShade="F2"/>
                </w:tcPr>
                <w:p w14:paraId="79549F78" w14:textId="77777777" w:rsidR="00F05DC7" w:rsidRDefault="00F05DC7" w:rsidP="00A3786D">
                  <w:pPr>
                    <w:pStyle w:val="TableBodyText"/>
                  </w:pPr>
                  <w:r w:rsidRPr="0082062B">
                    <w:t>-5.</w:t>
                  </w:r>
                  <w:r>
                    <w:t>2</w:t>
                  </w:r>
                </w:p>
              </w:tc>
              <w:tc>
                <w:tcPr>
                  <w:tcW w:w="384" w:type="pct"/>
                  <w:tcBorders>
                    <w:top w:val="nil"/>
                    <w:left w:val="nil"/>
                    <w:bottom w:val="nil"/>
                    <w:right w:val="nil"/>
                  </w:tcBorders>
                  <w:shd w:val="clear" w:color="auto" w:fill="F2F2F2" w:themeFill="background1" w:themeFillShade="F2"/>
                </w:tcPr>
                <w:p w14:paraId="79549F79" w14:textId="77777777" w:rsidR="00F05DC7" w:rsidRDefault="00F05DC7" w:rsidP="00A3786D">
                  <w:pPr>
                    <w:pStyle w:val="TableBodyText"/>
                  </w:pPr>
                  <w:r w:rsidRPr="0082062B">
                    <w:t>-0.2</w:t>
                  </w:r>
                </w:p>
              </w:tc>
              <w:tc>
                <w:tcPr>
                  <w:tcW w:w="385" w:type="pct"/>
                  <w:tcBorders>
                    <w:top w:val="nil"/>
                    <w:left w:val="nil"/>
                    <w:bottom w:val="nil"/>
                    <w:right w:val="nil"/>
                  </w:tcBorders>
                  <w:shd w:val="clear" w:color="auto" w:fill="F2F2F2" w:themeFill="background1" w:themeFillShade="F2"/>
                </w:tcPr>
                <w:p w14:paraId="79549F7A" w14:textId="77777777" w:rsidR="00F05DC7" w:rsidRDefault="00F05DC7" w:rsidP="00A3786D">
                  <w:pPr>
                    <w:pStyle w:val="TableBodyText"/>
                  </w:pPr>
                  <w:r w:rsidRPr="0082062B">
                    <w:t>-0.3</w:t>
                  </w:r>
                </w:p>
              </w:tc>
              <w:tc>
                <w:tcPr>
                  <w:tcW w:w="384" w:type="pct"/>
                  <w:tcBorders>
                    <w:top w:val="nil"/>
                    <w:left w:val="nil"/>
                    <w:bottom w:val="nil"/>
                    <w:right w:val="nil"/>
                  </w:tcBorders>
                  <w:shd w:val="clear" w:color="auto" w:fill="F2F2F2" w:themeFill="background1" w:themeFillShade="F2"/>
                </w:tcPr>
                <w:p w14:paraId="79549F7B" w14:textId="77777777" w:rsidR="00F05DC7" w:rsidRDefault="00F05DC7" w:rsidP="00A3786D">
                  <w:pPr>
                    <w:pStyle w:val="TableBodyText"/>
                  </w:pPr>
                  <w:r w:rsidRPr="0082062B">
                    <w:t>1.</w:t>
                  </w:r>
                  <w:r>
                    <w:t>3</w:t>
                  </w:r>
                </w:p>
              </w:tc>
              <w:tc>
                <w:tcPr>
                  <w:tcW w:w="385" w:type="pct"/>
                  <w:tcBorders>
                    <w:top w:val="nil"/>
                    <w:left w:val="nil"/>
                    <w:bottom w:val="nil"/>
                    <w:right w:val="nil"/>
                  </w:tcBorders>
                  <w:shd w:val="clear" w:color="auto" w:fill="F2F2F2" w:themeFill="background1" w:themeFillShade="F2"/>
                </w:tcPr>
                <w:p w14:paraId="79549F7C" w14:textId="77777777" w:rsidR="00F05DC7" w:rsidRDefault="00F05DC7" w:rsidP="00A3786D">
                  <w:pPr>
                    <w:pStyle w:val="TableBodyText"/>
                    <w:ind w:right="28"/>
                  </w:pPr>
                  <w:r w:rsidRPr="0082062B">
                    <w:t>-0.</w:t>
                  </w:r>
                  <w:r>
                    <w:t>3</w:t>
                  </w:r>
                </w:p>
              </w:tc>
            </w:tr>
            <w:tr w:rsidR="00F05DC7" w14:paraId="79549F87" w14:textId="77777777" w:rsidTr="00A3786D">
              <w:tc>
                <w:tcPr>
                  <w:tcW w:w="1922" w:type="pct"/>
                  <w:vAlign w:val="center"/>
                </w:tcPr>
                <w:p w14:paraId="79549F7E" w14:textId="77777777" w:rsidR="00F05DC7" w:rsidRDefault="00F05DC7" w:rsidP="00A3786D">
                  <w:pPr>
                    <w:pStyle w:val="TableBodyText"/>
                    <w:jc w:val="left"/>
                  </w:pPr>
                  <w:r>
                    <w:rPr>
                      <w:rFonts w:cs="Arial"/>
                      <w:color w:val="000000"/>
                      <w:szCs w:val="18"/>
                    </w:rPr>
                    <w:t>Payroll tax</w:t>
                  </w:r>
                </w:p>
              </w:tc>
              <w:tc>
                <w:tcPr>
                  <w:tcW w:w="384" w:type="pct"/>
                  <w:tcBorders>
                    <w:top w:val="nil"/>
                    <w:left w:val="nil"/>
                    <w:bottom w:val="nil"/>
                    <w:right w:val="nil"/>
                  </w:tcBorders>
                  <w:shd w:val="clear" w:color="auto" w:fill="auto"/>
                  <w:vAlign w:val="center"/>
                </w:tcPr>
                <w:p w14:paraId="79549F7F" w14:textId="77777777" w:rsidR="00F05DC7" w:rsidRDefault="00F05DC7" w:rsidP="00A3786D">
                  <w:pPr>
                    <w:pStyle w:val="TableBodyText"/>
                  </w:pPr>
                  <w:r w:rsidRPr="0082062B">
                    <w:t>-2.</w:t>
                  </w:r>
                  <w:r>
                    <w:t>9</w:t>
                  </w:r>
                </w:p>
              </w:tc>
              <w:tc>
                <w:tcPr>
                  <w:tcW w:w="384" w:type="pct"/>
                  <w:tcBorders>
                    <w:top w:val="nil"/>
                    <w:left w:val="nil"/>
                    <w:bottom w:val="nil"/>
                    <w:right w:val="nil"/>
                  </w:tcBorders>
                  <w:shd w:val="clear" w:color="auto" w:fill="auto"/>
                  <w:vAlign w:val="center"/>
                </w:tcPr>
                <w:p w14:paraId="79549F80" w14:textId="77777777" w:rsidR="00F05DC7" w:rsidRDefault="00F05DC7" w:rsidP="00A3786D">
                  <w:pPr>
                    <w:pStyle w:val="TableBodyText"/>
                  </w:pPr>
                  <w:r w:rsidRPr="0082062B">
                    <w:t>1.</w:t>
                  </w:r>
                  <w:r>
                    <w:t>3</w:t>
                  </w:r>
                </w:p>
              </w:tc>
              <w:tc>
                <w:tcPr>
                  <w:tcW w:w="385" w:type="pct"/>
                  <w:tcBorders>
                    <w:top w:val="nil"/>
                    <w:left w:val="nil"/>
                    <w:bottom w:val="nil"/>
                    <w:right w:val="nil"/>
                  </w:tcBorders>
                  <w:shd w:val="clear" w:color="auto" w:fill="auto"/>
                  <w:vAlign w:val="center"/>
                </w:tcPr>
                <w:p w14:paraId="79549F81" w14:textId="77777777" w:rsidR="00F05DC7" w:rsidRDefault="00F05DC7" w:rsidP="00A3786D">
                  <w:pPr>
                    <w:pStyle w:val="TableBodyText"/>
                  </w:pPr>
                  <w:r w:rsidRPr="0082062B">
                    <w:t>2.1</w:t>
                  </w:r>
                </w:p>
              </w:tc>
              <w:tc>
                <w:tcPr>
                  <w:tcW w:w="384" w:type="pct"/>
                  <w:tcBorders>
                    <w:top w:val="nil"/>
                    <w:left w:val="nil"/>
                    <w:bottom w:val="nil"/>
                    <w:right w:val="nil"/>
                  </w:tcBorders>
                  <w:shd w:val="clear" w:color="auto" w:fill="auto"/>
                  <w:vAlign w:val="center"/>
                </w:tcPr>
                <w:p w14:paraId="79549F82" w14:textId="77777777" w:rsidR="00F05DC7" w:rsidRDefault="00F05DC7" w:rsidP="00A3786D">
                  <w:pPr>
                    <w:pStyle w:val="TableBodyText"/>
                  </w:pPr>
                  <w:r w:rsidRPr="0082062B">
                    <w:t>-3.</w:t>
                  </w:r>
                  <w:r>
                    <w:t>1</w:t>
                  </w:r>
                </w:p>
              </w:tc>
              <w:tc>
                <w:tcPr>
                  <w:tcW w:w="384" w:type="pct"/>
                  <w:tcBorders>
                    <w:top w:val="nil"/>
                    <w:left w:val="nil"/>
                    <w:bottom w:val="nil"/>
                    <w:right w:val="nil"/>
                  </w:tcBorders>
                  <w:shd w:val="clear" w:color="auto" w:fill="auto"/>
                  <w:vAlign w:val="center"/>
                </w:tcPr>
                <w:p w14:paraId="79549F83" w14:textId="77777777" w:rsidR="00F05DC7" w:rsidRDefault="00F05DC7" w:rsidP="00A3786D">
                  <w:pPr>
                    <w:pStyle w:val="TableBodyText"/>
                  </w:pPr>
                  <w:r w:rsidRPr="0082062B">
                    <w:t>1.</w:t>
                  </w:r>
                  <w:r>
                    <w:t>9</w:t>
                  </w:r>
                </w:p>
              </w:tc>
              <w:tc>
                <w:tcPr>
                  <w:tcW w:w="385" w:type="pct"/>
                  <w:tcBorders>
                    <w:top w:val="nil"/>
                    <w:left w:val="nil"/>
                    <w:bottom w:val="nil"/>
                    <w:right w:val="nil"/>
                  </w:tcBorders>
                  <w:shd w:val="clear" w:color="auto" w:fill="auto"/>
                  <w:vAlign w:val="center"/>
                </w:tcPr>
                <w:p w14:paraId="79549F84" w14:textId="77777777" w:rsidR="00F05DC7" w:rsidRDefault="00F05DC7" w:rsidP="00A3786D">
                  <w:pPr>
                    <w:pStyle w:val="TableBodyText"/>
                  </w:pPr>
                  <w:r w:rsidRPr="0082062B">
                    <w:t>0.8</w:t>
                  </w:r>
                </w:p>
              </w:tc>
              <w:tc>
                <w:tcPr>
                  <w:tcW w:w="384" w:type="pct"/>
                  <w:tcBorders>
                    <w:top w:val="nil"/>
                    <w:left w:val="nil"/>
                    <w:bottom w:val="nil"/>
                    <w:right w:val="nil"/>
                  </w:tcBorders>
                  <w:shd w:val="clear" w:color="auto" w:fill="auto"/>
                  <w:vAlign w:val="center"/>
                </w:tcPr>
                <w:p w14:paraId="79549F85" w14:textId="77777777" w:rsidR="00F05DC7" w:rsidRDefault="00F05DC7" w:rsidP="00A3786D">
                  <w:pPr>
                    <w:pStyle w:val="TableBodyText"/>
                  </w:pPr>
                  <w:r>
                    <w:t>-</w:t>
                  </w:r>
                  <w:r w:rsidRPr="0082062B">
                    <w:t>0.</w:t>
                  </w:r>
                  <w:r>
                    <w:t>1</w:t>
                  </w:r>
                </w:p>
              </w:tc>
              <w:tc>
                <w:tcPr>
                  <w:tcW w:w="385" w:type="pct"/>
                  <w:tcBorders>
                    <w:top w:val="nil"/>
                    <w:left w:val="nil"/>
                    <w:bottom w:val="nil"/>
                    <w:right w:val="nil"/>
                  </w:tcBorders>
                  <w:shd w:val="clear" w:color="auto" w:fill="auto"/>
                  <w:vAlign w:val="center"/>
                </w:tcPr>
                <w:p w14:paraId="79549F86" w14:textId="77777777" w:rsidR="00F05DC7" w:rsidRDefault="00F05DC7" w:rsidP="00A3786D">
                  <w:pPr>
                    <w:pStyle w:val="TableBodyText"/>
                    <w:ind w:right="28"/>
                  </w:pPr>
                  <w:r w:rsidRPr="0082062B">
                    <w:t>-0.2</w:t>
                  </w:r>
                </w:p>
              </w:tc>
            </w:tr>
            <w:tr w:rsidR="00F05DC7" w14:paraId="79549F91" w14:textId="77777777" w:rsidTr="00D744EA">
              <w:tc>
                <w:tcPr>
                  <w:tcW w:w="1922" w:type="pct"/>
                  <w:tcBorders>
                    <w:bottom w:val="single" w:sz="6" w:space="0" w:color="BFBFBF"/>
                  </w:tcBorders>
                  <w:shd w:val="clear" w:color="auto" w:fill="F2F2F2" w:themeFill="background1" w:themeFillShade="F2"/>
                  <w:vAlign w:val="center"/>
                </w:tcPr>
                <w:p w14:paraId="79549F88" w14:textId="77777777" w:rsidR="00F05DC7" w:rsidRDefault="00F05DC7" w:rsidP="00A3786D">
                  <w:pPr>
                    <w:pStyle w:val="TableBodyText"/>
                    <w:jc w:val="left"/>
                  </w:pPr>
                  <w:r>
                    <w:rPr>
                      <w:rFonts w:cs="Arial"/>
                      <w:color w:val="000000"/>
                      <w:szCs w:val="18"/>
                    </w:rPr>
                    <w:t>Stamp duty on property</w:t>
                  </w:r>
                </w:p>
              </w:tc>
              <w:tc>
                <w:tcPr>
                  <w:tcW w:w="384" w:type="pct"/>
                  <w:tcBorders>
                    <w:top w:val="nil"/>
                    <w:left w:val="nil"/>
                    <w:bottom w:val="single" w:sz="8" w:space="0" w:color="BFBFBF"/>
                    <w:right w:val="nil"/>
                  </w:tcBorders>
                  <w:shd w:val="clear" w:color="auto" w:fill="F2F2F2" w:themeFill="background1" w:themeFillShade="F2"/>
                </w:tcPr>
                <w:p w14:paraId="79549F89" w14:textId="77777777" w:rsidR="00F05DC7" w:rsidRDefault="00F05DC7" w:rsidP="00A3786D">
                  <w:pPr>
                    <w:pStyle w:val="TableBodyText"/>
                  </w:pPr>
                  <w:r w:rsidRPr="0082062B">
                    <w:t>-</w:t>
                  </w:r>
                  <w:r>
                    <w:t>10</w:t>
                  </w:r>
                  <w:r w:rsidRPr="0082062B">
                    <w:t>.</w:t>
                  </w:r>
                  <w:r>
                    <w:t>4</w:t>
                  </w:r>
                </w:p>
              </w:tc>
              <w:tc>
                <w:tcPr>
                  <w:tcW w:w="384" w:type="pct"/>
                  <w:tcBorders>
                    <w:top w:val="nil"/>
                    <w:left w:val="nil"/>
                    <w:bottom w:val="single" w:sz="8" w:space="0" w:color="BFBFBF"/>
                    <w:right w:val="nil"/>
                  </w:tcBorders>
                  <w:shd w:val="clear" w:color="auto" w:fill="F2F2F2" w:themeFill="background1" w:themeFillShade="F2"/>
                </w:tcPr>
                <w:p w14:paraId="79549F8A" w14:textId="77777777" w:rsidR="00F05DC7" w:rsidRDefault="00F05DC7" w:rsidP="00A3786D">
                  <w:pPr>
                    <w:pStyle w:val="TableBodyText"/>
                  </w:pPr>
                  <w:r w:rsidRPr="0082062B">
                    <w:t>-</w:t>
                  </w:r>
                  <w:r>
                    <w:t>1</w:t>
                  </w:r>
                  <w:r w:rsidRPr="0082062B">
                    <w:t>.</w:t>
                  </w:r>
                  <w:r>
                    <w:t>5</w:t>
                  </w:r>
                </w:p>
              </w:tc>
              <w:tc>
                <w:tcPr>
                  <w:tcW w:w="385" w:type="pct"/>
                  <w:tcBorders>
                    <w:top w:val="nil"/>
                    <w:left w:val="nil"/>
                    <w:bottom w:val="single" w:sz="8" w:space="0" w:color="BFBFBF"/>
                    <w:right w:val="nil"/>
                  </w:tcBorders>
                  <w:shd w:val="clear" w:color="auto" w:fill="F2F2F2" w:themeFill="background1" w:themeFillShade="F2"/>
                </w:tcPr>
                <w:p w14:paraId="79549F8B" w14:textId="77777777" w:rsidR="00F05DC7" w:rsidRDefault="00F05DC7" w:rsidP="00A3786D">
                  <w:pPr>
                    <w:pStyle w:val="TableBodyText"/>
                  </w:pPr>
                  <w:r>
                    <w:t>1</w:t>
                  </w:r>
                  <w:r w:rsidRPr="0082062B">
                    <w:t>.</w:t>
                  </w:r>
                  <w:r>
                    <w:t>5</w:t>
                  </w:r>
                </w:p>
              </w:tc>
              <w:tc>
                <w:tcPr>
                  <w:tcW w:w="384" w:type="pct"/>
                  <w:tcBorders>
                    <w:top w:val="nil"/>
                    <w:left w:val="nil"/>
                    <w:bottom w:val="single" w:sz="8" w:space="0" w:color="BFBFBF"/>
                    <w:right w:val="nil"/>
                  </w:tcBorders>
                  <w:shd w:val="clear" w:color="auto" w:fill="F2F2F2" w:themeFill="background1" w:themeFillShade="F2"/>
                </w:tcPr>
                <w:p w14:paraId="79549F8C" w14:textId="77777777" w:rsidR="00F05DC7" w:rsidRDefault="00F05DC7" w:rsidP="00A3786D">
                  <w:pPr>
                    <w:pStyle w:val="TableBodyText"/>
                  </w:pPr>
                  <w:r>
                    <w:t>5</w:t>
                  </w:r>
                  <w:r w:rsidRPr="0082062B">
                    <w:t>.</w:t>
                  </w:r>
                  <w:r>
                    <w:t>3</w:t>
                  </w:r>
                </w:p>
              </w:tc>
              <w:tc>
                <w:tcPr>
                  <w:tcW w:w="384" w:type="pct"/>
                  <w:tcBorders>
                    <w:top w:val="nil"/>
                    <w:left w:val="nil"/>
                    <w:bottom w:val="single" w:sz="8" w:space="0" w:color="BFBFBF"/>
                    <w:right w:val="nil"/>
                  </w:tcBorders>
                  <w:shd w:val="clear" w:color="auto" w:fill="F2F2F2" w:themeFill="background1" w:themeFillShade="F2"/>
                </w:tcPr>
                <w:p w14:paraId="79549F8D" w14:textId="77777777" w:rsidR="00F05DC7" w:rsidRDefault="00F05DC7" w:rsidP="00A3786D">
                  <w:pPr>
                    <w:pStyle w:val="TableBodyText"/>
                  </w:pPr>
                  <w:r w:rsidRPr="0082062B">
                    <w:t>3.4</w:t>
                  </w:r>
                </w:p>
              </w:tc>
              <w:tc>
                <w:tcPr>
                  <w:tcW w:w="385" w:type="pct"/>
                  <w:tcBorders>
                    <w:top w:val="nil"/>
                    <w:left w:val="nil"/>
                    <w:bottom w:val="single" w:sz="8" w:space="0" w:color="BFBFBF"/>
                    <w:right w:val="nil"/>
                  </w:tcBorders>
                  <w:shd w:val="clear" w:color="auto" w:fill="F2F2F2" w:themeFill="background1" w:themeFillShade="F2"/>
                </w:tcPr>
                <w:p w14:paraId="79549F8E" w14:textId="77777777" w:rsidR="00F05DC7" w:rsidRDefault="00F05DC7" w:rsidP="00A3786D">
                  <w:pPr>
                    <w:pStyle w:val="TableBodyText"/>
                  </w:pPr>
                  <w:r w:rsidRPr="0082062B">
                    <w:t>1.</w:t>
                  </w:r>
                  <w:r>
                    <w:t>0</w:t>
                  </w:r>
                </w:p>
              </w:tc>
              <w:tc>
                <w:tcPr>
                  <w:tcW w:w="384" w:type="pct"/>
                  <w:tcBorders>
                    <w:top w:val="nil"/>
                    <w:left w:val="nil"/>
                    <w:bottom w:val="single" w:sz="8" w:space="0" w:color="BFBFBF"/>
                    <w:right w:val="nil"/>
                  </w:tcBorders>
                  <w:shd w:val="clear" w:color="auto" w:fill="F2F2F2" w:themeFill="background1" w:themeFillShade="F2"/>
                </w:tcPr>
                <w:p w14:paraId="79549F8F" w14:textId="77777777" w:rsidR="00F05DC7" w:rsidRDefault="00F05DC7" w:rsidP="00A3786D">
                  <w:pPr>
                    <w:pStyle w:val="TableBodyText"/>
                  </w:pPr>
                  <w:r w:rsidRPr="0082062B">
                    <w:t>0.</w:t>
                  </w:r>
                  <w:r>
                    <w:t>0</w:t>
                  </w:r>
                </w:p>
              </w:tc>
              <w:tc>
                <w:tcPr>
                  <w:tcW w:w="385" w:type="pct"/>
                  <w:tcBorders>
                    <w:top w:val="nil"/>
                    <w:left w:val="nil"/>
                    <w:bottom w:val="single" w:sz="8" w:space="0" w:color="BFBFBF"/>
                    <w:right w:val="nil"/>
                  </w:tcBorders>
                  <w:shd w:val="clear" w:color="auto" w:fill="F2F2F2" w:themeFill="background1" w:themeFillShade="F2"/>
                </w:tcPr>
                <w:p w14:paraId="79549F90" w14:textId="77777777" w:rsidR="00F05DC7" w:rsidRDefault="00F05DC7" w:rsidP="00A3786D">
                  <w:pPr>
                    <w:pStyle w:val="TableBodyText"/>
                    <w:ind w:right="28"/>
                  </w:pPr>
                  <w:r w:rsidRPr="0082062B">
                    <w:t>0.</w:t>
                  </w:r>
                  <w:r>
                    <w:t>6</w:t>
                  </w:r>
                </w:p>
              </w:tc>
            </w:tr>
          </w:tbl>
          <w:p w14:paraId="79549F92" w14:textId="77777777" w:rsidR="00F05DC7" w:rsidRDefault="00F05DC7" w:rsidP="00A3786D">
            <w:pPr>
              <w:pStyle w:val="Box"/>
            </w:pPr>
          </w:p>
        </w:tc>
      </w:tr>
      <w:tr w:rsidR="00F05DC7" w14:paraId="79549F95" w14:textId="77777777" w:rsidTr="00A3786D">
        <w:tc>
          <w:tcPr>
            <w:tcW w:w="5000" w:type="pct"/>
            <w:tcBorders>
              <w:top w:val="nil"/>
              <w:left w:val="nil"/>
              <w:bottom w:val="nil"/>
              <w:right w:val="nil"/>
            </w:tcBorders>
            <w:shd w:val="clear" w:color="auto" w:fill="auto"/>
          </w:tcPr>
          <w:p w14:paraId="79549F94" w14:textId="77777777" w:rsidR="00F05DC7" w:rsidRDefault="00F05DC7" w:rsidP="00A3786D">
            <w:pPr>
              <w:pStyle w:val="Note"/>
              <w:rPr>
                <w:i/>
              </w:rPr>
            </w:pPr>
            <w:r w:rsidRPr="008E77FE">
              <w:rPr>
                <w:rStyle w:val="NoteLabel"/>
              </w:rPr>
              <w:t>a</w:t>
            </w:r>
            <w:r>
              <w:t xml:space="preserve"> Figures indicate the change in each State’s GST payments, in dollars, for a $100 increase in revenue raised by a tax</w:t>
            </w:r>
            <w:r>
              <w:noBreakHyphen/>
              <w:t xml:space="preserve">rate increase in any State (the amount by which that State’s tax rate needs to increase to raise the $100 in revenue will depend on the State), assuming no change in the size of tax bases. </w:t>
            </w:r>
            <w:r w:rsidRPr="00015A9F">
              <w:rPr>
                <w:b/>
              </w:rPr>
              <w:t>–</w:t>
            </w:r>
            <w:r>
              <w:t xml:space="preserve"> Nil or rounded to zero.</w:t>
            </w:r>
          </w:p>
        </w:tc>
      </w:tr>
      <w:tr w:rsidR="00F05DC7" w14:paraId="79549F97" w14:textId="77777777" w:rsidTr="00A3786D">
        <w:tc>
          <w:tcPr>
            <w:tcW w:w="5000" w:type="pct"/>
            <w:tcBorders>
              <w:top w:val="nil"/>
              <w:left w:val="nil"/>
              <w:bottom w:val="nil"/>
              <w:right w:val="nil"/>
            </w:tcBorders>
            <w:shd w:val="clear" w:color="auto" w:fill="auto"/>
          </w:tcPr>
          <w:p w14:paraId="79549F96" w14:textId="77777777" w:rsidR="00F05DC7" w:rsidRDefault="00F05DC7" w:rsidP="00A3786D">
            <w:pPr>
              <w:pStyle w:val="Source"/>
            </w:pPr>
            <w:r>
              <w:rPr>
                <w:i/>
              </w:rPr>
              <w:t>Sources</w:t>
            </w:r>
            <w:r w:rsidRPr="00167F06">
              <w:t xml:space="preserve">: </w:t>
            </w:r>
            <w:r>
              <w:t>Productivity Commission estimates based on data provided by the CGC; Appendix C.</w:t>
            </w:r>
          </w:p>
        </w:tc>
      </w:tr>
      <w:tr w:rsidR="00F05DC7" w14:paraId="79549F99" w14:textId="77777777" w:rsidTr="00A3786D">
        <w:tc>
          <w:tcPr>
            <w:tcW w:w="5000" w:type="pct"/>
            <w:tcBorders>
              <w:top w:val="nil"/>
              <w:left w:val="nil"/>
              <w:bottom w:val="single" w:sz="6" w:space="0" w:color="78A22F"/>
              <w:right w:val="nil"/>
            </w:tcBorders>
            <w:shd w:val="clear" w:color="auto" w:fill="auto"/>
          </w:tcPr>
          <w:p w14:paraId="79549F98" w14:textId="77777777" w:rsidR="00F05DC7" w:rsidRDefault="00F05DC7" w:rsidP="00A3786D">
            <w:pPr>
              <w:pStyle w:val="Box"/>
              <w:spacing w:before="0" w:line="120" w:lineRule="exact"/>
            </w:pPr>
          </w:p>
        </w:tc>
      </w:tr>
      <w:tr w:rsidR="00F05DC7" w:rsidRPr="000863A5" w14:paraId="79549F9B" w14:textId="77777777" w:rsidTr="00A3786D">
        <w:tc>
          <w:tcPr>
            <w:tcW w:w="5000" w:type="pct"/>
            <w:tcBorders>
              <w:top w:val="single" w:sz="6" w:space="0" w:color="78A22F"/>
              <w:left w:val="nil"/>
              <w:bottom w:val="nil"/>
              <w:right w:val="nil"/>
            </w:tcBorders>
          </w:tcPr>
          <w:p w14:paraId="79549F9A" w14:textId="77777777" w:rsidR="00F05DC7" w:rsidRPr="00626D32" w:rsidRDefault="00F05DC7" w:rsidP="00A3786D">
            <w:pPr>
              <w:pStyle w:val="BoxSpaceBelow"/>
            </w:pPr>
          </w:p>
        </w:tc>
      </w:tr>
    </w:tbl>
    <w:p w14:paraId="79549F9C" w14:textId="77777777" w:rsidR="00F05DC7" w:rsidRDefault="00F05DC7" w:rsidP="00A3786D">
      <w:pPr>
        <w:pStyle w:val="BodyText"/>
      </w:pPr>
      <w:r>
        <w:t>However,</w:t>
      </w:r>
      <w:r w:rsidRPr="00C4294A">
        <w:t xml:space="preserve"> </w:t>
      </w:r>
      <w:r w:rsidRPr="008063D4">
        <w:t xml:space="preserve">there are circumstances where the impacts can be very large — such as an individual State undertaking major reforms to its tax </w:t>
      </w:r>
      <w:r>
        <w:t xml:space="preserve">base </w:t>
      </w:r>
      <w:r w:rsidRPr="008063D4">
        <w:t>mix.</w:t>
      </w:r>
      <w:r>
        <w:t xml:space="preserve"> Often this is because of changes in tax bases, which tend to have a larger impact on GST payments than average</w:t>
      </w:r>
      <w:r>
        <w:noBreakHyphen/>
        <w:t>rate effects — and changes in tax bases can significantly impact GST shares even for a State that does not have a dominant share of a tax base. Where reforms involve substantial modification to existing taxes, a State acting unilaterally could find itself deviating far from average policy — with a correspondingly large impact on its GST payments that could serve as a first</w:t>
      </w:r>
      <w:r>
        <w:noBreakHyphen/>
        <w:t>mover disadvantage to State tax reform.</w:t>
      </w:r>
    </w:p>
    <w:p w14:paraId="79549F9E" w14:textId="72B0AFC0" w:rsidR="00F05DC7" w:rsidRDefault="00F05DC7" w:rsidP="00A3786D">
      <w:pPr>
        <w:pStyle w:val="BodyText"/>
      </w:pPr>
      <w:r>
        <w:t>The Productivity Commission has analysed three reform ‘cameos’ to illustrate how tax or expenditure reforms can significantly affect a State’s GST payments (table 3.2; appendix C). All three cameos represent potentially ef</w:t>
      </w:r>
      <w:r w:rsidR="00B25343">
        <w:t>ficiency</w:t>
      </w:r>
      <w:r w:rsidR="00B25343">
        <w:noBreakHyphen/>
        <w:t>enhancing tax reforms.</w:t>
      </w:r>
    </w:p>
    <w:p w14:paraId="79549F9F"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FA1" w14:textId="77777777" w:rsidTr="001113B1">
        <w:trPr>
          <w:tblHeader/>
        </w:trPr>
        <w:tc>
          <w:tcPr>
            <w:tcW w:w="5000" w:type="pct"/>
            <w:tcBorders>
              <w:top w:val="single" w:sz="6" w:space="0" w:color="78A22F"/>
              <w:left w:val="nil"/>
              <w:bottom w:val="nil"/>
              <w:right w:val="nil"/>
            </w:tcBorders>
            <w:shd w:val="clear" w:color="auto" w:fill="F2F2F2"/>
          </w:tcPr>
          <w:p w14:paraId="79549FA0" w14:textId="32756941" w:rsidR="00F05DC7" w:rsidRDefault="00F05DC7" w:rsidP="00A3786D">
            <w:pPr>
              <w:pStyle w:val="BoxTitle"/>
            </w:pPr>
            <w:r>
              <w:rPr>
                <w:b w:val="0"/>
              </w:rPr>
              <w:t xml:space="preserve">Box </w:t>
            </w:r>
            <w:bookmarkStart w:id="66" w:name="OLE_LINK3"/>
            <w:r>
              <w:rPr>
                <w:b w:val="0"/>
              </w:rPr>
              <w:t>3.</w:t>
            </w:r>
            <w:r>
              <w:rPr>
                <w:b w:val="0"/>
                <w:noProof/>
              </w:rPr>
              <w:t>4</w:t>
            </w:r>
            <w:bookmarkEnd w:id="66"/>
            <w:r>
              <w:tab/>
              <w:t>HFE and State tax reform: the evidence</w:t>
            </w:r>
          </w:p>
        </w:tc>
      </w:tr>
      <w:tr w:rsidR="00F05DC7" w14:paraId="79549FAE" w14:textId="77777777" w:rsidTr="00A3786D">
        <w:tc>
          <w:tcPr>
            <w:tcW w:w="5000" w:type="pct"/>
            <w:tcBorders>
              <w:top w:val="nil"/>
              <w:left w:val="nil"/>
              <w:bottom w:val="nil"/>
              <w:right w:val="nil"/>
            </w:tcBorders>
            <w:shd w:val="clear" w:color="auto" w:fill="F2F2F2"/>
          </w:tcPr>
          <w:p w14:paraId="79549FA2" w14:textId="77777777" w:rsidR="00F05DC7" w:rsidRDefault="00F05DC7" w:rsidP="00A3786D">
            <w:pPr>
              <w:pStyle w:val="BoxHeading1"/>
            </w:pPr>
            <w:r>
              <w:t>2012 GST Distribution Review</w:t>
            </w:r>
          </w:p>
          <w:p w14:paraId="79549FA3" w14:textId="7CDD8748" w:rsidR="00F05DC7" w:rsidRDefault="00F05DC7" w:rsidP="00A3786D">
            <w:pPr>
              <w:pStyle w:val="Box"/>
            </w:pPr>
            <w:r>
              <w:t>The</w:t>
            </w:r>
            <w:r w:rsidRPr="00F9182A">
              <w:t xml:space="preserve"> </w:t>
            </w:r>
            <w:r>
              <w:t xml:space="preserve">2012 </w:t>
            </w:r>
            <w:r w:rsidRPr="00F9182A">
              <w:t xml:space="preserve">GST Distribution Review </w:t>
            </w:r>
            <w:r>
              <w:t>produced estimates of average</w:t>
            </w:r>
            <w:r>
              <w:noBreakHyphen/>
              <w:t>rate effects across all main tax categories and all jurisdictions in 2010</w:t>
            </w:r>
            <w:r>
              <w:noBreakHyphen/>
              <w:t>11 (in response to a tax rate increase in any one State). Its estimates were less than 5 cents per $1 change in own</w:t>
            </w:r>
            <w:r>
              <w:noBreakHyphen/>
              <w:t xml:space="preserve">source revenue for most tax categories, with a median effect of less than 1 cent </w:t>
            </w:r>
            <w:r w:rsidR="009D6331" w:rsidRPr="009D6331">
              <w:rPr>
                <w:rFonts w:cs="Arial"/>
                <w:szCs w:val="24"/>
              </w:rPr>
              <w:t>(Brumby, Carter and Greiner 2012c, p. 30)</w:t>
            </w:r>
            <w:r>
              <w:t>. The exception was mining, where the effects were large (up to 42 cents for Western Australia). In the event of a State increasing one tax and reducing another (for example, to make a reform revenue neutral), there would be two average</w:t>
            </w:r>
            <w:r>
              <w:noBreakHyphen/>
              <w:t>rate effects to take into account.</w:t>
            </w:r>
          </w:p>
          <w:p w14:paraId="79549FA4" w14:textId="6832322B" w:rsidR="00F05DC7" w:rsidRDefault="00F05DC7" w:rsidP="00A3786D">
            <w:pPr>
              <w:pStyle w:val="Box"/>
            </w:pPr>
            <w:r>
              <w:t>The 2012</w:t>
            </w:r>
            <w:r w:rsidRPr="00F9182A">
              <w:t xml:space="preserve"> Review </w:t>
            </w:r>
            <w:r>
              <w:t xml:space="preserve">also </w:t>
            </w:r>
            <w:r w:rsidRPr="00F9182A">
              <w:t>examined the effects</w:t>
            </w:r>
            <w:r>
              <w:t xml:space="preserve"> </w:t>
            </w:r>
            <w:r w:rsidRPr="00F9182A">
              <w:t xml:space="preserve">of hypothetical </w:t>
            </w:r>
            <w:r>
              <w:t xml:space="preserve">tax </w:t>
            </w:r>
            <w:r w:rsidRPr="00F9182A">
              <w:t>reforms (which were revenue neutral in terms of own</w:t>
            </w:r>
            <w:r w:rsidRPr="00F9182A">
              <w:noBreakHyphen/>
              <w:t>source revenue). In the case of</w:t>
            </w:r>
            <w:r>
              <w:t xml:space="preserve"> </w:t>
            </w:r>
            <w:r w:rsidRPr="00CB7F5D">
              <w:rPr>
                <w:i/>
              </w:rPr>
              <w:t>all</w:t>
            </w:r>
            <w:r>
              <w:t xml:space="preserve"> States</w:t>
            </w:r>
            <w:r w:rsidRPr="00F9182A">
              <w:t xml:space="preserve"> replacing stamp duties on housing with broad</w:t>
            </w:r>
            <w:r w:rsidRPr="00F9182A">
              <w:noBreakHyphen/>
              <w:t xml:space="preserve">based land taxes, the </w:t>
            </w:r>
            <w:r>
              <w:t>effects on annual GST payments</w:t>
            </w:r>
            <w:r w:rsidRPr="00F9182A">
              <w:t xml:space="preserve"> ranged from a $45</w:t>
            </w:r>
            <w:r>
              <w:t>5</w:t>
            </w:r>
            <w:r w:rsidRPr="00F9182A">
              <w:t xml:space="preserve"> million increase for New South Wales to a $264 million </w:t>
            </w:r>
            <w:r>
              <w:t>decrease</w:t>
            </w:r>
            <w:r w:rsidRPr="00F9182A">
              <w:t xml:space="preserve"> for Western Australia</w:t>
            </w:r>
            <w:r>
              <w:t xml:space="preserve"> </w:t>
            </w:r>
            <w:r w:rsidR="009D6331" w:rsidRPr="009D6331">
              <w:rPr>
                <w:rFonts w:cs="Arial"/>
                <w:szCs w:val="24"/>
              </w:rPr>
              <w:t>(Brumby, Carter and Greiner 2012c, p. 33)</w:t>
            </w:r>
            <w:r w:rsidRPr="00F9182A">
              <w:t>.</w:t>
            </w:r>
            <w:r>
              <w:t xml:space="preserve"> These estimates did not include elasticity effects.</w:t>
            </w:r>
          </w:p>
          <w:p w14:paraId="79549FA5" w14:textId="77777777" w:rsidR="00F05DC7" w:rsidRDefault="00F05DC7" w:rsidP="00A3786D">
            <w:pPr>
              <w:pStyle w:val="BoxHeading1"/>
            </w:pPr>
            <w:r>
              <w:t>State Government estimates</w:t>
            </w:r>
          </w:p>
          <w:p w14:paraId="79549FA6" w14:textId="77777777" w:rsidR="00F05DC7" w:rsidRDefault="00F05DC7" w:rsidP="00A3786D">
            <w:pPr>
              <w:pStyle w:val="Box"/>
            </w:pPr>
            <w:r>
              <w:t>Several State Governments have also estimated the GST effects of hypothetical policy changes, often to illustrate that the effects of unilateral reform can be large. For example, in its submission to this inquiry, the WA Government (sub. 15, p. 54) estimated that:</w:t>
            </w:r>
          </w:p>
          <w:p w14:paraId="79549FA7" w14:textId="77777777" w:rsidR="00F05DC7" w:rsidRDefault="00F05DC7" w:rsidP="00A3786D">
            <w:pPr>
              <w:pStyle w:val="BoxListBullet"/>
            </w:pPr>
            <w:r>
              <w:t>if Western Australia replaced its iron ore royalties with a revenue</w:t>
            </w:r>
            <w:r>
              <w:noBreakHyphen/>
              <w:t>neutral rate increase in payroll tax, its GST payments would increase by $2.8 billion a year</w:t>
            </w:r>
          </w:p>
          <w:p w14:paraId="79549FA8" w14:textId="77777777" w:rsidR="00F05DC7" w:rsidRDefault="00F05DC7" w:rsidP="00A3786D">
            <w:pPr>
              <w:pStyle w:val="BoxListBullet"/>
            </w:pPr>
            <w:r>
              <w:t>similarly, if Queensland replaced its coal royalties with additional stamp duty it would see its GST payments increase by $1.4 billion a year</w:t>
            </w:r>
          </w:p>
          <w:p w14:paraId="79549FA9" w14:textId="77777777" w:rsidR="00F05DC7" w:rsidRDefault="00F05DC7" w:rsidP="00A3786D">
            <w:pPr>
              <w:pStyle w:val="BoxListBullet"/>
            </w:pPr>
            <w:r>
              <w:t>to raise an additional $1 billion in revenue net of HFE, Western Australia would need to raise iron ore royalties by over $8 billion, compared with just $950 million for stamp duty.</w:t>
            </w:r>
          </w:p>
          <w:p w14:paraId="79549FAA" w14:textId="77777777" w:rsidR="00F05DC7" w:rsidRDefault="00F05DC7" w:rsidP="00A3786D">
            <w:pPr>
              <w:pStyle w:val="Box"/>
            </w:pPr>
            <w:r>
              <w:t>The magnitude of these effects is heavily contingent on, and sensitive to, assumptions about mineral prices and hence royalty revenues.</w:t>
            </w:r>
          </w:p>
          <w:p w14:paraId="79549FAB" w14:textId="77777777" w:rsidR="00F05DC7" w:rsidRDefault="00F05DC7" w:rsidP="00A3786D">
            <w:pPr>
              <w:pStyle w:val="Box"/>
            </w:pPr>
            <w:r>
              <w:t xml:space="preserve">The </w:t>
            </w:r>
            <w:r w:rsidRPr="00785004">
              <w:t xml:space="preserve">NSW </w:t>
            </w:r>
            <w:r>
              <w:t>Government (sub. 52, pp. 15–16) estimated the impact of Victoria unilaterally introducing congestion pricing on major roads. It submitted that the collection of $900 million in revenues by Victoria would be offset by a loss of $22 million in GST payments to that State. At the same time, Queensland would gain $53 million and New South Wales would lose $47 million, despite neither having introduced a similar charge.</w:t>
            </w:r>
          </w:p>
          <w:p w14:paraId="79549FAC" w14:textId="77777777" w:rsidR="00F05DC7" w:rsidRPr="009675CF" w:rsidRDefault="00F05DC7" w:rsidP="00A3786D">
            <w:pPr>
              <w:pStyle w:val="BoxHeading1"/>
            </w:pPr>
            <w:r w:rsidRPr="009675CF">
              <w:t>Academic literature</w:t>
            </w:r>
          </w:p>
          <w:p w14:paraId="79549FAD" w14:textId="6E2635ED" w:rsidR="00F05DC7" w:rsidRPr="00EF6EDD" w:rsidRDefault="00F05DC7" w:rsidP="00A3786D">
            <w:pPr>
              <w:pStyle w:val="Box"/>
            </w:pPr>
            <w:r w:rsidRPr="00137CFA">
              <w:t>There have been few attempts to estimate elasticity effects</w:t>
            </w:r>
            <w:r>
              <w:t xml:space="preserve"> in Australia</w:t>
            </w:r>
            <w:r w:rsidRPr="00137CFA">
              <w:t xml:space="preserve">, in part because this </w:t>
            </w:r>
            <w:r>
              <w:t>requires</w:t>
            </w:r>
            <w:r w:rsidRPr="00137CFA">
              <w:t xml:space="preserve"> assumptions </w:t>
            </w:r>
            <w:r>
              <w:t>to</w:t>
            </w:r>
            <w:r w:rsidRPr="00137CFA">
              <w:t xml:space="preserve"> be made about </w:t>
            </w:r>
            <w:r>
              <w:t xml:space="preserve">how </w:t>
            </w:r>
            <w:r w:rsidRPr="00137CFA">
              <w:t xml:space="preserve">tax bases will respond to </w:t>
            </w:r>
            <w:r>
              <w:t xml:space="preserve">tax </w:t>
            </w:r>
            <w:r w:rsidRPr="00137CFA">
              <w:t>rate changes.</w:t>
            </w:r>
            <w:r>
              <w:t xml:space="preserve"> One study </w:t>
            </w:r>
            <w:r w:rsidRPr="00174337">
              <w:t>found that an additional $1 in land tax revenue in 2000</w:t>
            </w:r>
            <w:r w:rsidRPr="00174337">
              <w:noBreakHyphen/>
              <w:t>01 would be accompanied by an increase in GST payments of 23 to 49 cents</w:t>
            </w:r>
            <w:r>
              <w:t xml:space="preserve"> across</w:t>
            </w:r>
            <w:r w:rsidRPr="00174337">
              <w:t xml:space="preserve"> State</w:t>
            </w:r>
            <w:r>
              <w:t>s due to the elasticity effect (on the assumption that</w:t>
            </w:r>
            <w:r w:rsidRPr="00174337">
              <w:t xml:space="preserve"> land taxes are</w:t>
            </w:r>
            <w:r>
              <w:t xml:space="preserve"> capitalised into land values)</w:t>
            </w:r>
            <w:r w:rsidRPr="00174337">
              <w:t xml:space="preserve"> </w:t>
            </w:r>
            <w:r w:rsidRPr="00174337">
              <w:rPr>
                <w:rFonts w:cs="Arial"/>
                <w:szCs w:val="24"/>
              </w:rPr>
              <w:t>(Dahlby and Warren 2003, p. 440)</w:t>
            </w:r>
            <w:r>
              <w:t>.</w:t>
            </w:r>
          </w:p>
        </w:tc>
      </w:tr>
      <w:tr w:rsidR="00F05DC7" w14:paraId="79549FB0" w14:textId="77777777" w:rsidTr="00A3786D">
        <w:tc>
          <w:tcPr>
            <w:tcW w:w="5000" w:type="pct"/>
            <w:tcBorders>
              <w:top w:val="nil"/>
              <w:left w:val="nil"/>
              <w:bottom w:val="single" w:sz="6" w:space="0" w:color="78A22F"/>
              <w:right w:val="nil"/>
            </w:tcBorders>
            <w:shd w:val="clear" w:color="auto" w:fill="F2F2F2"/>
          </w:tcPr>
          <w:p w14:paraId="79549FAF" w14:textId="77777777" w:rsidR="00F05DC7" w:rsidRDefault="00F05DC7" w:rsidP="00A3786D">
            <w:pPr>
              <w:pStyle w:val="Box"/>
              <w:spacing w:before="0" w:line="120" w:lineRule="exact"/>
            </w:pPr>
          </w:p>
        </w:tc>
      </w:tr>
      <w:tr w:rsidR="00F05DC7" w:rsidRPr="000863A5" w14:paraId="79549FB2" w14:textId="77777777" w:rsidTr="00A3786D">
        <w:tc>
          <w:tcPr>
            <w:tcW w:w="5000" w:type="pct"/>
            <w:tcBorders>
              <w:top w:val="single" w:sz="6" w:space="0" w:color="78A22F"/>
              <w:left w:val="nil"/>
              <w:bottom w:val="nil"/>
              <w:right w:val="nil"/>
            </w:tcBorders>
          </w:tcPr>
          <w:p w14:paraId="79549FB1" w14:textId="77777777" w:rsidR="00F05DC7" w:rsidRPr="00626D32" w:rsidRDefault="00F05DC7" w:rsidP="00A3786D">
            <w:pPr>
              <w:pStyle w:val="BoxSpaceBelow"/>
            </w:pPr>
          </w:p>
        </w:tc>
      </w:tr>
    </w:tbl>
    <w:p w14:paraId="79549FB3" w14:textId="0FC1C3BB" w:rsidR="00F05DC7" w:rsidRDefault="00F05DC7" w:rsidP="00A3786D">
      <w:pPr>
        <w:pStyle w:val="BodyText"/>
      </w:pPr>
      <w:r>
        <w:t>These cameos show a single</w:t>
      </w:r>
      <w:r>
        <w:noBreakHyphen/>
        <w:t xml:space="preserve">year impact on GST payments of major changes in a State’s tax base mix — in this sense, it is a ‘comparative static’ analysis. The analysis does </w:t>
      </w:r>
      <w:r>
        <w:rPr>
          <w:i/>
        </w:rPr>
        <w:t>not</w:t>
      </w:r>
      <w:r>
        <w:t xml:space="preserve"> assume that these reforms would be implemented in a single year. In practice, such reforms are likely to be complex endeavours that require lengthy transition periods, especially where there are </w:t>
      </w:r>
      <w:r>
        <w:lastRenderedPageBreak/>
        <w:t>distributional consequences or implementation is complex (appendix C discusses this further). In the ACT’s case, for example, the replacement of stamp duties on housing with municipal duties (economically similar to a land tax) is being phased in over a 20</w:t>
      </w:r>
      <w:r>
        <w:noBreakHyphen/>
        <w:t xml:space="preserve">year period </w:t>
      </w:r>
      <w:r w:rsidRPr="007A10FA">
        <w:rPr>
          <w:szCs w:val="24"/>
        </w:rPr>
        <w:t>(ACT Government 2017)</w:t>
      </w:r>
      <w:r>
        <w:t xml:space="preserve">. The simplifying assumption used for these cameos is that the reforms had already been fully phased in </w:t>
      </w:r>
      <w:r>
        <w:rPr>
          <w:i/>
        </w:rPr>
        <w:t xml:space="preserve">prior </w:t>
      </w:r>
      <w:r>
        <w:t>to the year for which GST effects are calculated (2016</w:t>
      </w:r>
      <w:r>
        <w:noBreakHyphen/>
        <w:t>17), and the estimates apply regardless of the length of time over which reforms are phased in.</w:t>
      </w:r>
    </w:p>
    <w:p w14:paraId="79549FB4" w14:textId="2BD340CD" w:rsidR="00F05DC7" w:rsidRDefault="00F05DC7" w:rsidP="00A3786D">
      <w:pPr>
        <w:pStyle w:val="BodyText"/>
      </w:pPr>
      <w:r>
        <w:t xml:space="preserve">The cameos also rest on other assumptions, including how the </w:t>
      </w:r>
      <w:r w:rsidRPr="0084030C">
        <w:t>new taxes would be structured and how the CGC would treat these taxes in its assessment</w:t>
      </w:r>
      <w:r>
        <w:t>s. Appendix C explains these assumptions in more detail. Some inquiry participants questioned the assumptions underlying the cameos in the draft report (box 3.5).</w:t>
      </w:r>
    </w:p>
    <w:p w14:paraId="79549FB5"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9FB7" w14:textId="77777777" w:rsidTr="00A3786D">
        <w:trPr>
          <w:tblHeader/>
        </w:trPr>
        <w:tc>
          <w:tcPr>
            <w:tcW w:w="5000" w:type="pct"/>
            <w:tcBorders>
              <w:top w:val="single" w:sz="6" w:space="0" w:color="78A22F"/>
              <w:left w:val="nil"/>
              <w:bottom w:val="nil"/>
              <w:right w:val="nil"/>
            </w:tcBorders>
            <w:shd w:val="clear" w:color="auto" w:fill="F2F2F2"/>
          </w:tcPr>
          <w:p w14:paraId="79549FB6" w14:textId="7C624469" w:rsidR="00F05DC7" w:rsidRDefault="00F05DC7">
            <w:pPr>
              <w:pStyle w:val="BoxTitle"/>
            </w:pPr>
            <w:r>
              <w:rPr>
                <w:b w:val="0"/>
              </w:rPr>
              <w:t xml:space="preserve">Box </w:t>
            </w:r>
            <w:bookmarkStart w:id="67" w:name="OLE_LINK11"/>
            <w:r>
              <w:rPr>
                <w:b w:val="0"/>
              </w:rPr>
              <w:t>3.</w:t>
            </w:r>
            <w:r>
              <w:rPr>
                <w:b w:val="0"/>
                <w:noProof/>
              </w:rPr>
              <w:t>5</w:t>
            </w:r>
            <w:bookmarkEnd w:id="67"/>
            <w:r>
              <w:tab/>
            </w:r>
            <w:r w:rsidRPr="00BB2014">
              <w:t>Response to the cameos in the draft report</w:t>
            </w:r>
          </w:p>
        </w:tc>
      </w:tr>
      <w:tr w:rsidR="00F05DC7" w14:paraId="79549FBC" w14:textId="77777777" w:rsidTr="00A3786D">
        <w:tc>
          <w:tcPr>
            <w:tcW w:w="5000" w:type="pct"/>
            <w:tcBorders>
              <w:top w:val="nil"/>
              <w:left w:val="nil"/>
              <w:bottom w:val="nil"/>
              <w:right w:val="nil"/>
            </w:tcBorders>
            <w:shd w:val="clear" w:color="auto" w:fill="F2F2F2"/>
          </w:tcPr>
          <w:p w14:paraId="79549FB8" w14:textId="77777777" w:rsidR="00F05DC7" w:rsidRDefault="00F05DC7" w:rsidP="00A3786D">
            <w:pPr>
              <w:pStyle w:val="Box"/>
            </w:pPr>
            <w:r>
              <w:t>Some States raised objections to the cameos presented in the Productivity Commission’s draft report (cameos 1 and 3). The SA Government (sub. DR89, pp. 13-14) argued that the cameos are ‘unrealistic examples that yield distorted results’, and instead favoured a focus on observed State behaviour. The Victorian Government (sub. DR87, p. 19) estimated that the unilateral stamp duty–land tax cameo would only affect Victoria’s GST payment by $10 million if elasticity effects were disregarded. Both jurisdictions stated that they generally would not consider elasticity effects in their financial modelling to support tax policy decision making (Victorian Government, sub. DR87, p. 19; SA Government, sub. DR89, p. 13).</w:t>
            </w:r>
          </w:p>
          <w:p w14:paraId="79549FB9" w14:textId="77777777" w:rsidR="00F05DC7" w:rsidRDefault="00F05DC7" w:rsidP="00A3786D">
            <w:pPr>
              <w:pStyle w:val="Box"/>
            </w:pPr>
            <w:r>
              <w:t>The Tasmanian Government argued that the cameos do not provide evidence that GST impacts drive State behaviour:</w:t>
            </w:r>
          </w:p>
          <w:p w14:paraId="79549FBA" w14:textId="77777777" w:rsidR="00F05DC7" w:rsidRPr="00385FA6" w:rsidRDefault="00F05DC7" w:rsidP="00A3786D">
            <w:pPr>
              <w:pStyle w:val="BoxQuote"/>
            </w:pPr>
            <w:r w:rsidRPr="00385FA6">
              <w:t xml:space="preserve">I think the cameos as presented, at best, illustrate that under certain circumstances something is theoretically possible. </w:t>
            </w:r>
            <w:r>
              <w:t>… [I]</w:t>
            </w:r>
            <w:r w:rsidRPr="00385FA6">
              <w:t>t’s sort of an n</w:t>
            </w:r>
            <w:r>
              <w:noBreakHyphen/>
            </w:r>
            <w:r w:rsidRPr="00385FA6">
              <w:t>th order issue when you start looking at tax reform or other reforms. So simply because something is theoretically possible under certain circumstances doesn’t mean that it’s supportive or evidence that that is driving a particular behaviour. (trans., p.</w:t>
            </w:r>
            <w:r>
              <w:t> </w:t>
            </w:r>
            <w:r w:rsidRPr="00385FA6">
              <w:t>452)</w:t>
            </w:r>
          </w:p>
          <w:p w14:paraId="79549FBB" w14:textId="77777777" w:rsidR="00F05DC7" w:rsidRDefault="00F05DC7" w:rsidP="00A3786D">
            <w:pPr>
              <w:pStyle w:val="Box"/>
            </w:pPr>
            <w:r>
              <w:t>The Commission’s cameos are not intended to represent how tax reforms would be implemented in practice — they only show a one year GST impact and involve a range of simplifying assumptions. Rather, the cameos illustrate that large scale tax reform — regardless of how it is implemented — can ultimately lead to changes in State tax bases and thus flow through HFE formulas to affect a State’s GST payments.</w:t>
            </w:r>
          </w:p>
        </w:tc>
      </w:tr>
      <w:tr w:rsidR="00F05DC7" w14:paraId="79549FBE" w14:textId="77777777" w:rsidTr="00A3786D">
        <w:tc>
          <w:tcPr>
            <w:tcW w:w="5000" w:type="pct"/>
            <w:tcBorders>
              <w:top w:val="nil"/>
              <w:left w:val="nil"/>
              <w:bottom w:val="single" w:sz="6" w:space="0" w:color="78A22F"/>
              <w:right w:val="nil"/>
            </w:tcBorders>
            <w:shd w:val="clear" w:color="auto" w:fill="F2F2F2"/>
          </w:tcPr>
          <w:p w14:paraId="79549FBD" w14:textId="77777777" w:rsidR="00F05DC7" w:rsidRDefault="00F05DC7">
            <w:pPr>
              <w:pStyle w:val="Box"/>
              <w:spacing w:before="0" w:line="120" w:lineRule="exact"/>
            </w:pPr>
          </w:p>
        </w:tc>
      </w:tr>
      <w:tr w:rsidR="00F05DC7" w:rsidRPr="000863A5" w14:paraId="79549FC0" w14:textId="77777777" w:rsidTr="00A3786D">
        <w:tc>
          <w:tcPr>
            <w:tcW w:w="5000" w:type="pct"/>
            <w:tcBorders>
              <w:top w:val="single" w:sz="6" w:space="0" w:color="78A22F"/>
              <w:left w:val="nil"/>
              <w:bottom w:val="nil"/>
              <w:right w:val="nil"/>
            </w:tcBorders>
          </w:tcPr>
          <w:p w14:paraId="79549FBF" w14:textId="77777777" w:rsidR="00F05DC7" w:rsidRPr="00626D32" w:rsidRDefault="00F05DC7" w:rsidP="00A3786D">
            <w:pPr>
              <w:pStyle w:val="BoxSpaceBelow"/>
            </w:pPr>
          </w:p>
        </w:tc>
      </w:tr>
    </w:tbl>
    <w:p w14:paraId="79549FC1" w14:textId="77777777" w:rsidR="00F05DC7" w:rsidRDefault="00F05DC7" w:rsidP="00A3786D">
      <w:pPr>
        <w:pStyle w:val="Heading4"/>
      </w:pPr>
      <w:r>
        <w:t>Cameo 1: Replacing stamp duty with land tax</w:t>
      </w:r>
    </w:p>
    <w:p w14:paraId="79549FC2" w14:textId="54C8CC68" w:rsidR="00F05DC7" w:rsidRDefault="00F05DC7" w:rsidP="00A3786D">
      <w:pPr>
        <w:pStyle w:val="BodyText"/>
      </w:pPr>
      <w:r>
        <w:t>The first cameo involves a single State halving its average rate of stamp duty on property and replacing the lost revenue with a new broad</w:t>
      </w:r>
      <w:r>
        <w:noBreakHyphen/>
        <w:t xml:space="preserve">based tax on all residential land. Economists have widely recognised that this would improve efficiency by removing a constraint on people moving house (stamp duty). Raising revenue in this way also makes it difficult for people to avoid paying the tax by changing their behaviour </w:t>
      </w:r>
      <w:r w:rsidR="009D6331" w:rsidRPr="009D6331">
        <w:rPr>
          <w:szCs w:val="24"/>
        </w:rPr>
        <w:t>(Henry et al. 2010a; PC 2017d)</w:t>
      </w:r>
      <w:r>
        <w:t xml:space="preserve">. This cameo uses empirical estimates of stamp duty elasticities — which specify how much the tax base would expand over time if duty rates were lowered </w:t>
      </w:r>
      <w:r w:rsidRPr="00896D0E">
        <w:rPr>
          <w:szCs w:val="24"/>
        </w:rPr>
        <w:t>(Davidoff and Leigh 2013)</w:t>
      </w:r>
      <w:r>
        <w:t>.</w:t>
      </w:r>
    </w:p>
    <w:p w14:paraId="79549FC3" w14:textId="77777777" w:rsidR="00F05DC7" w:rsidRDefault="00F05DC7" w:rsidP="00A3786D">
      <w:pPr>
        <w:pStyle w:val="BodyText"/>
      </w:pPr>
      <w:r>
        <w:lastRenderedPageBreak/>
        <w:t>The net effect is a reduction in GST payments for any State that undertakes this reform unilaterally, with the ACT and Queensland experiencing the largest reduction on a per</w:t>
      </w:r>
      <w:r>
        <w:noBreakHyphen/>
        <w:t>capita basis. In absolute terms, the annual net impact on each of New South Wales, Victoria and Queensland could be a reduction of about $1 billion. These are material impacts, at about 2 per cent of total revenues.</w:t>
      </w:r>
    </w:p>
    <w:p w14:paraId="79549FC4" w14:textId="77777777" w:rsidR="00F05DC7" w:rsidRPr="00B25343" w:rsidRDefault="00F05DC7" w:rsidP="00A3786D">
      <w:pPr>
        <w:pStyle w:val="BodyText"/>
        <w:rPr>
          <w:spacing w:val="-2"/>
        </w:rPr>
      </w:pPr>
      <w:r w:rsidRPr="00B25343">
        <w:rPr>
          <w:spacing w:val="-2"/>
        </w:rPr>
        <w:t>The impacts are much smaller in the case of multilateral reform, as the national average stamp duty rate would also fall by half (bringing down assessed revenue in all States). Indeed, because no State would be a big outlier from average policy after multilateral reform, some States would see a modest gain in GST payments whereas others would still experience a reduction (depending on where each State stands in relation to the average for each tax base).</w:t>
      </w:r>
    </w:p>
    <w:p w14:paraId="79549FC5" w14:textId="77777777" w:rsidR="00F05DC7" w:rsidRDefault="00F05DC7" w:rsidP="00A3786D">
      <w:pPr>
        <w:pStyle w:val="Heading4"/>
      </w:pPr>
      <w:r>
        <w:t>Cameo 2: Abolishing insurance taxes</w:t>
      </w:r>
    </w:p>
    <w:p w14:paraId="79549FC6" w14:textId="08C73F96" w:rsidR="00F05DC7" w:rsidRDefault="00F05DC7" w:rsidP="00A3786D">
      <w:pPr>
        <w:pStyle w:val="BodyText"/>
      </w:pPr>
      <w:r>
        <w:t xml:space="preserve">The second cameo illustrates what would happen if a State abolished its insurance taxes. Insurance taxes are among the most inefficient of all taxes, because they discourage households and businesses from taking out adequate levels of insurance cover (or any insurance at all) </w:t>
      </w:r>
      <w:r w:rsidRPr="00015335">
        <w:rPr>
          <w:szCs w:val="24"/>
        </w:rPr>
        <w:t>(Henry et al. 2010b, pp. 472–473)</w:t>
      </w:r>
      <w:r>
        <w:t xml:space="preserve">. The inefficiency of State insurance taxes — and calls for their removal — was recognised by some inquiry participants (ICA, sub. DR70, p. 3; FSC, sub. DR90, p. 2), as well as by the Henry Review </w:t>
      </w:r>
      <w:r w:rsidRPr="00135782">
        <w:rPr>
          <w:szCs w:val="24"/>
        </w:rPr>
        <w:t>(Henry et al. 2010b, p. 474)</w:t>
      </w:r>
      <w:r>
        <w:t xml:space="preserve"> and the Productivity Commission on several occasions </w:t>
      </w:r>
      <w:r w:rsidR="009D6331" w:rsidRPr="009D6331">
        <w:rPr>
          <w:szCs w:val="24"/>
        </w:rPr>
        <w:t>(PC 2014b, 2018)</w:t>
      </w:r>
      <w:r>
        <w:t>.</w:t>
      </w:r>
    </w:p>
    <w:p w14:paraId="79549FC7" w14:textId="6C7BCF44" w:rsidR="00F05DC7" w:rsidRDefault="00F05DC7" w:rsidP="00A3786D">
      <w:pPr>
        <w:pStyle w:val="BodyText"/>
      </w:pPr>
      <w:r>
        <w:t xml:space="preserve">All States would lose from unilateral reform because their tax base has increased (due to increased demand for insurance) and because they are still assessed as having the capacity to raise revenue through insurance taxes (the extent of the increase was calculated using published estimates </w:t>
      </w:r>
      <w:r w:rsidRPr="00417377">
        <w:rPr>
          <w:szCs w:val="24"/>
        </w:rPr>
        <w:t>(Tooth 2015, p. 28)</w:t>
      </w:r>
      <w:r>
        <w:t>). The GST impacts of this reform are typically small due to the small size of the insurance tax base (just over $5 billion nationally in 2016</w:t>
      </w:r>
      <w:r>
        <w:noBreakHyphen/>
        <w:t>17). The total impact is greatest for Victoria (a loss of $87 million), while the per</w:t>
      </w:r>
      <w:r>
        <w:noBreakHyphen/>
        <w:t>capita impact is greatest for South Australia (a loss of $17 per capita). If all States were to multilaterally abolish their insurance taxes the effect would be the same as if insurance taxes were removed from HFE completely (the GST impacts are the same as the CGC’s insurance tax assessment with the signs reversed — in other words, removing insurance taxes would effectively ‘rebate’ the current assessment).</w:t>
      </w:r>
    </w:p>
    <w:p w14:paraId="79549FC8" w14:textId="77777777" w:rsidR="00F05DC7" w:rsidRDefault="00F05DC7" w:rsidP="00A3786D">
      <w:pPr>
        <w:pStyle w:val="Heading4"/>
      </w:pPr>
      <w:r>
        <w:t>Cameo 3: Congestion tax with increased public transport spending</w:t>
      </w:r>
    </w:p>
    <w:p w14:paraId="79549FC9" w14:textId="37B0F36C" w:rsidR="00F05DC7" w:rsidRDefault="00F05DC7" w:rsidP="00A3786D">
      <w:pPr>
        <w:pStyle w:val="BodyText"/>
      </w:pPr>
      <w:r w:rsidRPr="005C6226">
        <w:t xml:space="preserve">The </w:t>
      </w:r>
      <w:r>
        <w:t>third</w:t>
      </w:r>
      <w:r w:rsidRPr="005C6226">
        <w:t xml:space="preserve"> cameo involves a State introducing a new type of congestion tax </w:t>
      </w:r>
      <w:r>
        <w:t>and hypothecating the revenue to public transport. Congestion taxes and other forms of direct road</w:t>
      </w:r>
      <w:r>
        <w:noBreakHyphen/>
        <w:t>user charging have been identified as efficiency</w:t>
      </w:r>
      <w:r>
        <w:noBreakHyphen/>
        <w:t xml:space="preserve">enhancing reforms with the potential to reduce travel times and pollution, and better channel new investment to areas where roads are most highly valued </w:t>
      </w:r>
      <w:r w:rsidR="009D6331" w:rsidRPr="009D6331">
        <w:rPr>
          <w:szCs w:val="24"/>
        </w:rPr>
        <w:t>(Henry et al. 2010a; PC 2014c, 2017d)</w:t>
      </w:r>
      <w:r>
        <w:t>.</w:t>
      </w:r>
    </w:p>
    <w:p w14:paraId="79549FCA"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A7C86" w14:paraId="0B97E302" w14:textId="77777777" w:rsidTr="00B95343">
        <w:tc>
          <w:tcPr>
            <w:tcW w:w="5000" w:type="pct"/>
            <w:tcBorders>
              <w:top w:val="single" w:sz="6" w:space="0" w:color="78A22F"/>
              <w:left w:val="nil"/>
              <w:bottom w:val="nil"/>
              <w:right w:val="nil"/>
            </w:tcBorders>
            <w:shd w:val="clear" w:color="auto" w:fill="auto"/>
          </w:tcPr>
          <w:p w14:paraId="4E937FBA" w14:textId="77FFDBE4" w:rsidR="00AA7C86" w:rsidRPr="00136C76" w:rsidRDefault="00AA7C86" w:rsidP="00B95343">
            <w:pPr>
              <w:pStyle w:val="TableTitle"/>
              <w:rPr>
                <w:sz w:val="20"/>
              </w:rPr>
            </w:pPr>
            <w:r>
              <w:rPr>
                <w:b w:val="0"/>
              </w:rPr>
              <w:t xml:space="preserve">Table </w:t>
            </w:r>
            <w:bookmarkStart w:id="68" w:name="OLE_LINK15"/>
            <w:r>
              <w:rPr>
                <w:b w:val="0"/>
              </w:rPr>
              <w:t>3.</w:t>
            </w:r>
            <w:r>
              <w:rPr>
                <w:b w:val="0"/>
                <w:noProof/>
              </w:rPr>
              <w:t>2</w:t>
            </w:r>
            <w:bookmarkEnd w:id="68"/>
            <w:r>
              <w:tab/>
              <w:t>Impact on GST payments of hypothetical reforms, 2016</w:t>
            </w:r>
            <w:r>
              <w:noBreakHyphen/>
              <w:t>17</w:t>
            </w:r>
            <w:r w:rsidRPr="00136C76">
              <w:rPr>
                <w:rStyle w:val="NoteLabel"/>
                <w:b/>
              </w:rPr>
              <w:t>a</w:t>
            </w:r>
          </w:p>
        </w:tc>
      </w:tr>
      <w:tr w:rsidR="00AA7C86" w14:paraId="4C8A2E51" w14:textId="77777777" w:rsidTr="00B9534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32"/>
              <w:gridCol w:w="712"/>
              <w:gridCol w:w="691"/>
              <w:gridCol w:w="699"/>
              <w:gridCol w:w="7"/>
              <w:gridCol w:w="692"/>
              <w:gridCol w:w="701"/>
              <w:gridCol w:w="691"/>
              <w:gridCol w:w="691"/>
              <w:gridCol w:w="689"/>
            </w:tblGrid>
            <w:tr w:rsidR="00AA7C86" w14:paraId="1860A5A5" w14:textId="77777777" w:rsidTr="00B95343">
              <w:trPr>
                <w:tblHeader/>
              </w:trPr>
              <w:tc>
                <w:tcPr>
                  <w:tcW w:w="1724" w:type="pct"/>
                  <w:tcBorders>
                    <w:top w:val="single" w:sz="6" w:space="0" w:color="BFBFBF"/>
                    <w:bottom w:val="single" w:sz="6" w:space="0" w:color="BFBFBF"/>
                  </w:tcBorders>
                  <w:shd w:val="clear" w:color="auto" w:fill="auto"/>
                  <w:tcMar>
                    <w:top w:w="28" w:type="dxa"/>
                  </w:tcMar>
                </w:tcPr>
                <w:p w14:paraId="5CEC8570" w14:textId="77777777" w:rsidR="00AA7C86" w:rsidRDefault="00AA7C86" w:rsidP="00B95343">
                  <w:pPr>
                    <w:pStyle w:val="TableColumnHeading"/>
                    <w:jc w:val="left"/>
                  </w:pPr>
                </w:p>
              </w:tc>
              <w:tc>
                <w:tcPr>
                  <w:tcW w:w="419" w:type="pct"/>
                  <w:tcBorders>
                    <w:top w:val="single" w:sz="6" w:space="0" w:color="BFBFBF"/>
                    <w:bottom w:val="single" w:sz="6" w:space="0" w:color="BFBFBF"/>
                  </w:tcBorders>
                </w:tcPr>
                <w:p w14:paraId="78C7FEFD" w14:textId="77777777" w:rsidR="00AA7C86" w:rsidRDefault="00AA7C86" w:rsidP="00B95343">
                  <w:pPr>
                    <w:pStyle w:val="TableColumnHeading"/>
                  </w:pPr>
                  <w:r w:rsidRPr="005B63C7">
                    <w:t>NSW</w:t>
                  </w:r>
                </w:p>
              </w:tc>
              <w:tc>
                <w:tcPr>
                  <w:tcW w:w="406" w:type="pct"/>
                  <w:tcBorders>
                    <w:top w:val="single" w:sz="6" w:space="0" w:color="BFBFBF"/>
                    <w:bottom w:val="single" w:sz="6" w:space="0" w:color="BFBFBF"/>
                  </w:tcBorders>
                </w:tcPr>
                <w:p w14:paraId="2B8E1FEE" w14:textId="77777777" w:rsidR="00AA7C86" w:rsidRDefault="00AA7C86" w:rsidP="00B95343">
                  <w:pPr>
                    <w:pStyle w:val="TableColumnHeading"/>
                  </w:pPr>
                  <w:r w:rsidRPr="005B63C7">
                    <w:t>Vic</w:t>
                  </w:r>
                </w:p>
              </w:tc>
              <w:tc>
                <w:tcPr>
                  <w:tcW w:w="415" w:type="pct"/>
                  <w:gridSpan w:val="2"/>
                  <w:tcBorders>
                    <w:top w:val="single" w:sz="6" w:space="0" w:color="BFBFBF"/>
                    <w:bottom w:val="single" w:sz="6" w:space="0" w:color="BFBFBF"/>
                  </w:tcBorders>
                </w:tcPr>
                <w:p w14:paraId="066BB638" w14:textId="77777777" w:rsidR="00AA7C86" w:rsidRDefault="00AA7C86" w:rsidP="00B95343">
                  <w:pPr>
                    <w:pStyle w:val="TableColumnHeading"/>
                  </w:pPr>
                  <w:r w:rsidRPr="005B63C7">
                    <w:t>Qld</w:t>
                  </w:r>
                </w:p>
              </w:tc>
              <w:tc>
                <w:tcPr>
                  <w:tcW w:w="407" w:type="pct"/>
                  <w:tcBorders>
                    <w:top w:val="single" w:sz="6" w:space="0" w:color="BFBFBF"/>
                    <w:bottom w:val="single" w:sz="6" w:space="0" w:color="BFBFBF"/>
                  </w:tcBorders>
                </w:tcPr>
                <w:p w14:paraId="6D3A4421" w14:textId="77777777" w:rsidR="00AA7C86" w:rsidRDefault="00AA7C86" w:rsidP="00B95343">
                  <w:pPr>
                    <w:pStyle w:val="TableColumnHeading"/>
                  </w:pPr>
                  <w:r w:rsidRPr="005B63C7">
                    <w:t>WA</w:t>
                  </w:r>
                </w:p>
              </w:tc>
              <w:tc>
                <w:tcPr>
                  <w:tcW w:w="412" w:type="pct"/>
                  <w:tcBorders>
                    <w:top w:val="single" w:sz="6" w:space="0" w:color="BFBFBF"/>
                    <w:bottom w:val="single" w:sz="6" w:space="0" w:color="BFBFBF"/>
                  </w:tcBorders>
                </w:tcPr>
                <w:p w14:paraId="6F549242" w14:textId="77777777" w:rsidR="00AA7C86" w:rsidRDefault="00AA7C86" w:rsidP="00B95343">
                  <w:pPr>
                    <w:pStyle w:val="TableColumnHeading"/>
                  </w:pPr>
                  <w:r w:rsidRPr="005B63C7">
                    <w:t>SA</w:t>
                  </w:r>
                </w:p>
              </w:tc>
              <w:tc>
                <w:tcPr>
                  <w:tcW w:w="406" w:type="pct"/>
                  <w:tcBorders>
                    <w:top w:val="single" w:sz="6" w:space="0" w:color="BFBFBF"/>
                    <w:bottom w:val="single" w:sz="6" w:space="0" w:color="BFBFBF"/>
                  </w:tcBorders>
                </w:tcPr>
                <w:p w14:paraId="1A7BD9F3" w14:textId="77777777" w:rsidR="00AA7C86" w:rsidRDefault="00AA7C86" w:rsidP="00B95343">
                  <w:pPr>
                    <w:pStyle w:val="TableColumnHeading"/>
                  </w:pPr>
                  <w:r w:rsidRPr="005B63C7">
                    <w:t>Tas</w:t>
                  </w:r>
                </w:p>
              </w:tc>
              <w:tc>
                <w:tcPr>
                  <w:tcW w:w="406" w:type="pct"/>
                  <w:tcBorders>
                    <w:top w:val="single" w:sz="6" w:space="0" w:color="BFBFBF"/>
                    <w:bottom w:val="single" w:sz="6" w:space="0" w:color="BFBFBF"/>
                  </w:tcBorders>
                  <w:shd w:val="clear" w:color="auto" w:fill="auto"/>
                  <w:tcMar>
                    <w:top w:w="28" w:type="dxa"/>
                  </w:tcMar>
                </w:tcPr>
                <w:p w14:paraId="1C650F61" w14:textId="77777777" w:rsidR="00AA7C86" w:rsidRDefault="00AA7C86" w:rsidP="00B95343">
                  <w:pPr>
                    <w:pStyle w:val="TableColumnHeading"/>
                  </w:pPr>
                  <w:r w:rsidRPr="005B63C7">
                    <w:t>ACT</w:t>
                  </w:r>
                </w:p>
              </w:tc>
              <w:tc>
                <w:tcPr>
                  <w:tcW w:w="405" w:type="pct"/>
                  <w:tcBorders>
                    <w:top w:val="single" w:sz="6" w:space="0" w:color="BFBFBF"/>
                    <w:bottom w:val="single" w:sz="6" w:space="0" w:color="BFBFBF"/>
                  </w:tcBorders>
                  <w:shd w:val="clear" w:color="auto" w:fill="auto"/>
                  <w:tcMar>
                    <w:top w:w="28" w:type="dxa"/>
                  </w:tcMar>
                </w:tcPr>
                <w:p w14:paraId="6C0BB661" w14:textId="77777777" w:rsidR="00AA7C86" w:rsidRDefault="00AA7C86" w:rsidP="00B95343">
                  <w:pPr>
                    <w:pStyle w:val="TableColumnHeading"/>
                    <w:ind w:right="28"/>
                  </w:pPr>
                  <w:r w:rsidRPr="005B63C7">
                    <w:t>NT</w:t>
                  </w:r>
                </w:p>
              </w:tc>
            </w:tr>
            <w:tr w:rsidR="00AA7C86" w14:paraId="210E6418" w14:textId="77777777" w:rsidTr="00B95343">
              <w:tc>
                <w:tcPr>
                  <w:tcW w:w="5000" w:type="pct"/>
                  <w:gridSpan w:val="10"/>
                  <w:tcBorders>
                    <w:top w:val="single" w:sz="6" w:space="0" w:color="BFBFBF"/>
                  </w:tcBorders>
                  <w:shd w:val="clear" w:color="auto" w:fill="auto"/>
                  <w:vAlign w:val="center"/>
                </w:tcPr>
                <w:p w14:paraId="4EBF6EE7" w14:textId="77777777" w:rsidR="00AA7C86" w:rsidRPr="00105E3E" w:rsidRDefault="00AA7C86" w:rsidP="00B95343">
                  <w:pPr>
                    <w:pStyle w:val="TableBodyText"/>
                    <w:spacing w:before="80" w:after="80"/>
                    <w:jc w:val="left"/>
                    <w:rPr>
                      <w:rStyle w:val="NoteLabel"/>
                    </w:rPr>
                  </w:pPr>
                  <w:r w:rsidRPr="00105E3E">
                    <w:rPr>
                      <w:b/>
                    </w:rPr>
                    <w:t xml:space="preserve">Cameo 1: </w:t>
                  </w:r>
                  <w:r>
                    <w:rPr>
                      <w:b/>
                    </w:rPr>
                    <w:t>Stamp</w:t>
                  </w:r>
                  <w:r w:rsidRPr="00105E3E">
                    <w:rPr>
                      <w:b/>
                    </w:rPr>
                    <w:t xml:space="preserve"> duty</w:t>
                  </w:r>
                  <w:r>
                    <w:rPr>
                      <w:b/>
                    </w:rPr>
                    <w:t xml:space="preserve"> halved with revenue replaced</w:t>
                  </w:r>
                  <w:r w:rsidRPr="00105E3E">
                    <w:rPr>
                      <w:b/>
                    </w:rPr>
                    <w:t xml:space="preserve"> </w:t>
                  </w:r>
                  <w:r>
                    <w:rPr>
                      <w:b/>
                    </w:rPr>
                    <w:t xml:space="preserve">by </w:t>
                  </w:r>
                  <w:r w:rsidRPr="00105E3E">
                    <w:rPr>
                      <w:b/>
                    </w:rPr>
                    <w:t>new land tax</w:t>
                  </w:r>
                  <w:r w:rsidRPr="00105E3E">
                    <w:rPr>
                      <w:rStyle w:val="NoteLabel"/>
                    </w:rPr>
                    <w:t>b</w:t>
                  </w:r>
                </w:p>
              </w:tc>
            </w:tr>
            <w:tr w:rsidR="00AA7C86" w14:paraId="360D9B9E" w14:textId="77777777" w:rsidTr="00B95343">
              <w:tc>
                <w:tcPr>
                  <w:tcW w:w="1724" w:type="pct"/>
                  <w:shd w:val="clear" w:color="auto" w:fill="FFFFFF" w:themeFill="background1"/>
                  <w:vAlign w:val="center"/>
                </w:tcPr>
                <w:p w14:paraId="4022ADD5" w14:textId="77777777" w:rsidR="00AA7C86" w:rsidRPr="00C63041" w:rsidRDefault="00AA7C86" w:rsidP="00B95343">
                  <w:pPr>
                    <w:pStyle w:val="TableBodyText"/>
                    <w:jc w:val="left"/>
                    <w:rPr>
                      <w:i/>
                    </w:rPr>
                  </w:pPr>
                  <w:r>
                    <w:rPr>
                      <w:i/>
                    </w:rPr>
                    <w:t>Unilateral reform</w:t>
                  </w:r>
                </w:p>
              </w:tc>
              <w:tc>
                <w:tcPr>
                  <w:tcW w:w="419" w:type="pct"/>
                  <w:shd w:val="clear" w:color="auto" w:fill="FFFFFF" w:themeFill="background1"/>
                  <w:vAlign w:val="center"/>
                </w:tcPr>
                <w:p w14:paraId="0D73984D" w14:textId="77777777" w:rsidR="00AA7C86" w:rsidRDefault="00AA7C86" w:rsidP="00B95343">
                  <w:pPr>
                    <w:pStyle w:val="TableBodyText"/>
                  </w:pPr>
                </w:p>
              </w:tc>
              <w:tc>
                <w:tcPr>
                  <w:tcW w:w="406" w:type="pct"/>
                  <w:shd w:val="clear" w:color="auto" w:fill="FFFFFF" w:themeFill="background1"/>
                  <w:vAlign w:val="center"/>
                </w:tcPr>
                <w:p w14:paraId="26A6863C" w14:textId="77777777" w:rsidR="00AA7C86" w:rsidRDefault="00AA7C86" w:rsidP="00B95343">
                  <w:pPr>
                    <w:pStyle w:val="TableBodyText"/>
                  </w:pPr>
                </w:p>
              </w:tc>
              <w:tc>
                <w:tcPr>
                  <w:tcW w:w="415" w:type="pct"/>
                  <w:gridSpan w:val="2"/>
                  <w:shd w:val="clear" w:color="auto" w:fill="FFFFFF" w:themeFill="background1"/>
                  <w:vAlign w:val="center"/>
                </w:tcPr>
                <w:p w14:paraId="5D78717B" w14:textId="77777777" w:rsidR="00AA7C86" w:rsidRDefault="00AA7C86" w:rsidP="00B95343">
                  <w:pPr>
                    <w:pStyle w:val="TableBodyText"/>
                  </w:pPr>
                </w:p>
              </w:tc>
              <w:tc>
                <w:tcPr>
                  <w:tcW w:w="407" w:type="pct"/>
                  <w:shd w:val="clear" w:color="auto" w:fill="FFFFFF" w:themeFill="background1"/>
                  <w:vAlign w:val="center"/>
                </w:tcPr>
                <w:p w14:paraId="70A652AC" w14:textId="77777777" w:rsidR="00AA7C86" w:rsidRDefault="00AA7C86" w:rsidP="00B95343">
                  <w:pPr>
                    <w:pStyle w:val="TableBodyText"/>
                  </w:pPr>
                </w:p>
              </w:tc>
              <w:tc>
                <w:tcPr>
                  <w:tcW w:w="412" w:type="pct"/>
                  <w:shd w:val="clear" w:color="auto" w:fill="FFFFFF" w:themeFill="background1"/>
                  <w:vAlign w:val="center"/>
                </w:tcPr>
                <w:p w14:paraId="37BE8C44" w14:textId="77777777" w:rsidR="00AA7C86" w:rsidRDefault="00AA7C86" w:rsidP="00B95343">
                  <w:pPr>
                    <w:pStyle w:val="TableBodyText"/>
                  </w:pPr>
                </w:p>
              </w:tc>
              <w:tc>
                <w:tcPr>
                  <w:tcW w:w="406" w:type="pct"/>
                  <w:shd w:val="clear" w:color="auto" w:fill="FFFFFF" w:themeFill="background1"/>
                  <w:vAlign w:val="center"/>
                </w:tcPr>
                <w:p w14:paraId="2417E93E" w14:textId="77777777" w:rsidR="00AA7C86" w:rsidRDefault="00AA7C86" w:rsidP="00B95343">
                  <w:pPr>
                    <w:pStyle w:val="TableBodyText"/>
                  </w:pPr>
                </w:p>
              </w:tc>
              <w:tc>
                <w:tcPr>
                  <w:tcW w:w="406" w:type="pct"/>
                  <w:shd w:val="clear" w:color="auto" w:fill="FFFFFF" w:themeFill="background1"/>
                  <w:vAlign w:val="center"/>
                </w:tcPr>
                <w:p w14:paraId="445BAF83" w14:textId="77777777" w:rsidR="00AA7C86" w:rsidRDefault="00AA7C86" w:rsidP="00B95343">
                  <w:pPr>
                    <w:pStyle w:val="TableBodyText"/>
                  </w:pPr>
                </w:p>
              </w:tc>
              <w:tc>
                <w:tcPr>
                  <w:tcW w:w="405" w:type="pct"/>
                  <w:shd w:val="clear" w:color="auto" w:fill="FFFFFF" w:themeFill="background1"/>
                  <w:vAlign w:val="center"/>
                </w:tcPr>
                <w:p w14:paraId="0C691314" w14:textId="77777777" w:rsidR="00AA7C86" w:rsidRPr="00105E3E" w:rsidRDefault="00AA7C86" w:rsidP="00B95343">
                  <w:pPr>
                    <w:pStyle w:val="TableColumnHeading"/>
                    <w:spacing w:before="0" w:after="40"/>
                    <w:ind w:right="28"/>
                    <w:rPr>
                      <w:i w:val="0"/>
                    </w:rPr>
                  </w:pPr>
                </w:p>
              </w:tc>
            </w:tr>
            <w:tr w:rsidR="00AA7C86" w14:paraId="6D846440" w14:textId="77777777" w:rsidTr="00AA7C86">
              <w:tc>
                <w:tcPr>
                  <w:tcW w:w="1724" w:type="pct"/>
                  <w:shd w:val="clear" w:color="auto" w:fill="F2F2F2" w:themeFill="background1" w:themeFillShade="F2"/>
                  <w:vAlign w:val="center"/>
                </w:tcPr>
                <w:p w14:paraId="4317BC76" w14:textId="77777777" w:rsidR="00AA7C86" w:rsidRDefault="00AA7C86" w:rsidP="00B95343">
                  <w:pPr>
                    <w:pStyle w:val="TableBodyText"/>
                    <w:jc w:val="left"/>
                  </w:pPr>
                  <w:r>
                    <w:t xml:space="preserve"> GST, lower bound ($m)</w:t>
                  </w:r>
                </w:p>
              </w:tc>
              <w:tc>
                <w:tcPr>
                  <w:tcW w:w="419" w:type="pct"/>
                  <w:shd w:val="clear" w:color="auto" w:fill="F2F2F2" w:themeFill="background1" w:themeFillShade="F2"/>
                  <w:vAlign w:val="center"/>
                </w:tcPr>
                <w:p w14:paraId="00A5E053" w14:textId="77777777" w:rsidR="00AA7C86" w:rsidRDefault="00AA7C86" w:rsidP="00B95343">
                  <w:pPr>
                    <w:pStyle w:val="TableBodyText"/>
                  </w:pPr>
                  <w:r w:rsidRPr="000C175D">
                    <w:rPr>
                      <w:rFonts w:cs="Arial"/>
                      <w:szCs w:val="18"/>
                    </w:rPr>
                    <w:t>-</w:t>
                  </w:r>
                  <w:r>
                    <w:rPr>
                      <w:rFonts w:cs="Arial"/>
                      <w:szCs w:val="18"/>
                    </w:rPr>
                    <w:t>337</w:t>
                  </w:r>
                </w:p>
              </w:tc>
              <w:tc>
                <w:tcPr>
                  <w:tcW w:w="406" w:type="pct"/>
                  <w:shd w:val="clear" w:color="auto" w:fill="F2F2F2" w:themeFill="background1" w:themeFillShade="F2"/>
                  <w:vAlign w:val="center"/>
                </w:tcPr>
                <w:p w14:paraId="769B8161" w14:textId="77777777" w:rsidR="00AA7C86" w:rsidRDefault="00AA7C86" w:rsidP="00B95343">
                  <w:pPr>
                    <w:pStyle w:val="TableBodyText"/>
                  </w:pPr>
                  <w:r w:rsidRPr="000C175D">
                    <w:rPr>
                      <w:rFonts w:cs="Arial"/>
                      <w:szCs w:val="18"/>
                    </w:rPr>
                    <w:t>-3</w:t>
                  </w:r>
                  <w:r>
                    <w:rPr>
                      <w:rFonts w:cs="Arial"/>
                      <w:szCs w:val="18"/>
                    </w:rPr>
                    <w:t>51</w:t>
                  </w:r>
                </w:p>
              </w:tc>
              <w:tc>
                <w:tcPr>
                  <w:tcW w:w="415" w:type="pct"/>
                  <w:gridSpan w:val="2"/>
                  <w:shd w:val="clear" w:color="auto" w:fill="F2F2F2" w:themeFill="background1" w:themeFillShade="F2"/>
                  <w:vAlign w:val="center"/>
                </w:tcPr>
                <w:p w14:paraId="46BF4D0A" w14:textId="77777777" w:rsidR="00AA7C86" w:rsidRDefault="00AA7C86" w:rsidP="00B95343">
                  <w:pPr>
                    <w:pStyle w:val="TableBodyText"/>
                  </w:pPr>
                  <w:r w:rsidRPr="000C175D">
                    <w:rPr>
                      <w:rFonts w:cs="Arial"/>
                      <w:szCs w:val="18"/>
                    </w:rPr>
                    <w:t>-</w:t>
                  </w:r>
                  <w:r>
                    <w:rPr>
                      <w:rFonts w:cs="Arial"/>
                      <w:szCs w:val="18"/>
                    </w:rPr>
                    <w:t>308</w:t>
                  </w:r>
                </w:p>
              </w:tc>
              <w:tc>
                <w:tcPr>
                  <w:tcW w:w="407" w:type="pct"/>
                  <w:shd w:val="clear" w:color="auto" w:fill="F2F2F2" w:themeFill="background1" w:themeFillShade="F2"/>
                  <w:vAlign w:val="center"/>
                </w:tcPr>
                <w:p w14:paraId="33FB661B" w14:textId="77777777" w:rsidR="00AA7C86" w:rsidRDefault="00AA7C86" w:rsidP="00B95343">
                  <w:pPr>
                    <w:pStyle w:val="TableBodyText"/>
                  </w:pPr>
                  <w:r w:rsidRPr="000C175D">
                    <w:rPr>
                      <w:rFonts w:cs="Arial"/>
                      <w:szCs w:val="18"/>
                    </w:rPr>
                    <w:t>-</w:t>
                  </w:r>
                  <w:r>
                    <w:rPr>
                      <w:rFonts w:cs="Arial"/>
                      <w:szCs w:val="18"/>
                    </w:rPr>
                    <w:t>131</w:t>
                  </w:r>
                </w:p>
              </w:tc>
              <w:tc>
                <w:tcPr>
                  <w:tcW w:w="412" w:type="pct"/>
                  <w:shd w:val="clear" w:color="auto" w:fill="F2F2F2" w:themeFill="background1" w:themeFillShade="F2"/>
                  <w:vAlign w:val="center"/>
                </w:tcPr>
                <w:p w14:paraId="4E88DBBF" w14:textId="77777777" w:rsidR="00AA7C86" w:rsidRDefault="00AA7C86" w:rsidP="00B95343">
                  <w:pPr>
                    <w:pStyle w:val="TableBodyText"/>
                  </w:pPr>
                  <w:r w:rsidRPr="000C175D">
                    <w:rPr>
                      <w:rFonts w:cs="Arial"/>
                      <w:szCs w:val="18"/>
                    </w:rPr>
                    <w:t>-83</w:t>
                  </w:r>
                </w:p>
              </w:tc>
              <w:tc>
                <w:tcPr>
                  <w:tcW w:w="406" w:type="pct"/>
                  <w:shd w:val="clear" w:color="auto" w:fill="F2F2F2" w:themeFill="background1" w:themeFillShade="F2"/>
                  <w:vAlign w:val="center"/>
                </w:tcPr>
                <w:p w14:paraId="7363023B" w14:textId="77777777" w:rsidR="00AA7C86" w:rsidRDefault="00AA7C86" w:rsidP="00B95343">
                  <w:pPr>
                    <w:pStyle w:val="TableBodyText"/>
                  </w:pPr>
                  <w:r w:rsidRPr="000C175D">
                    <w:rPr>
                      <w:rFonts w:cs="Arial"/>
                      <w:szCs w:val="18"/>
                    </w:rPr>
                    <w:t>-2</w:t>
                  </w:r>
                  <w:r>
                    <w:rPr>
                      <w:rFonts w:cs="Arial"/>
                      <w:szCs w:val="18"/>
                    </w:rPr>
                    <w:t>4</w:t>
                  </w:r>
                </w:p>
              </w:tc>
              <w:tc>
                <w:tcPr>
                  <w:tcW w:w="406" w:type="pct"/>
                  <w:shd w:val="clear" w:color="auto" w:fill="F2F2F2" w:themeFill="background1" w:themeFillShade="F2"/>
                  <w:vAlign w:val="center"/>
                </w:tcPr>
                <w:p w14:paraId="38597517" w14:textId="77777777" w:rsidR="00AA7C86" w:rsidRDefault="00AA7C86" w:rsidP="00B95343">
                  <w:pPr>
                    <w:pStyle w:val="TableBodyText"/>
                  </w:pPr>
                  <w:r w:rsidRPr="000C175D">
                    <w:rPr>
                      <w:rFonts w:cs="Arial"/>
                      <w:szCs w:val="18"/>
                    </w:rPr>
                    <w:t>-3</w:t>
                  </w:r>
                  <w:r>
                    <w:rPr>
                      <w:rFonts w:cs="Arial"/>
                      <w:szCs w:val="18"/>
                    </w:rPr>
                    <w:t>3</w:t>
                  </w:r>
                </w:p>
              </w:tc>
              <w:tc>
                <w:tcPr>
                  <w:tcW w:w="405" w:type="pct"/>
                  <w:shd w:val="clear" w:color="auto" w:fill="F2F2F2" w:themeFill="background1" w:themeFillShade="F2"/>
                  <w:vAlign w:val="center"/>
                </w:tcPr>
                <w:p w14:paraId="5AEDBD4F" w14:textId="77777777" w:rsidR="00AA7C86" w:rsidRPr="00026DE5" w:rsidRDefault="00AA7C86" w:rsidP="00B95343">
                  <w:pPr>
                    <w:pStyle w:val="TableColumnHeading"/>
                    <w:spacing w:before="0" w:after="40"/>
                    <w:ind w:right="28"/>
                    <w:rPr>
                      <w:i w:val="0"/>
                    </w:rPr>
                  </w:pPr>
                  <w:r w:rsidRPr="00026DE5">
                    <w:rPr>
                      <w:rFonts w:cs="Arial"/>
                      <w:i w:val="0"/>
                      <w:szCs w:val="18"/>
                    </w:rPr>
                    <w:t>-10</w:t>
                  </w:r>
                </w:p>
              </w:tc>
            </w:tr>
            <w:tr w:rsidR="00AA7C86" w14:paraId="7F4BE318" w14:textId="77777777" w:rsidTr="00B95343">
              <w:tc>
                <w:tcPr>
                  <w:tcW w:w="1724" w:type="pct"/>
                  <w:shd w:val="clear" w:color="auto" w:fill="FFFFFF" w:themeFill="background1"/>
                  <w:vAlign w:val="center"/>
                </w:tcPr>
                <w:p w14:paraId="0B06E251" w14:textId="77777777" w:rsidR="00AA7C86" w:rsidRDefault="00AA7C86" w:rsidP="00B95343">
                  <w:pPr>
                    <w:pStyle w:val="TableBodyText"/>
                    <w:jc w:val="left"/>
                  </w:pPr>
                  <w:r>
                    <w:t xml:space="preserve"> GST, lower bound ($pc)</w:t>
                  </w:r>
                </w:p>
              </w:tc>
              <w:tc>
                <w:tcPr>
                  <w:tcW w:w="419" w:type="pct"/>
                  <w:shd w:val="clear" w:color="auto" w:fill="FFFFFF" w:themeFill="background1"/>
                  <w:vAlign w:val="center"/>
                </w:tcPr>
                <w:p w14:paraId="2224E2AB" w14:textId="77777777" w:rsidR="00AA7C86" w:rsidRDefault="00AA7C86" w:rsidP="00B95343">
                  <w:pPr>
                    <w:pStyle w:val="TableBodyText"/>
                  </w:pPr>
                  <w:r w:rsidRPr="000C175D">
                    <w:rPr>
                      <w:rFonts w:cs="Arial"/>
                      <w:szCs w:val="18"/>
                    </w:rPr>
                    <w:t>-4</w:t>
                  </w:r>
                  <w:r>
                    <w:rPr>
                      <w:rFonts w:cs="Arial"/>
                      <w:szCs w:val="18"/>
                    </w:rPr>
                    <w:t>3</w:t>
                  </w:r>
                </w:p>
              </w:tc>
              <w:tc>
                <w:tcPr>
                  <w:tcW w:w="406" w:type="pct"/>
                  <w:shd w:val="clear" w:color="auto" w:fill="FFFFFF" w:themeFill="background1"/>
                  <w:vAlign w:val="center"/>
                </w:tcPr>
                <w:p w14:paraId="7C187829" w14:textId="77777777" w:rsidR="00AA7C86" w:rsidRDefault="00AA7C86" w:rsidP="00B95343">
                  <w:pPr>
                    <w:pStyle w:val="TableBodyText"/>
                  </w:pPr>
                  <w:r w:rsidRPr="000C175D">
                    <w:rPr>
                      <w:rFonts w:cs="Arial"/>
                      <w:szCs w:val="18"/>
                    </w:rPr>
                    <w:t>-5</w:t>
                  </w:r>
                  <w:r>
                    <w:rPr>
                      <w:rFonts w:cs="Arial"/>
                      <w:szCs w:val="18"/>
                    </w:rPr>
                    <w:t>6</w:t>
                  </w:r>
                </w:p>
              </w:tc>
              <w:tc>
                <w:tcPr>
                  <w:tcW w:w="415" w:type="pct"/>
                  <w:gridSpan w:val="2"/>
                  <w:shd w:val="clear" w:color="auto" w:fill="FFFFFF" w:themeFill="background1"/>
                  <w:vAlign w:val="center"/>
                </w:tcPr>
                <w:p w14:paraId="51C6A605" w14:textId="77777777" w:rsidR="00AA7C86" w:rsidRDefault="00AA7C86" w:rsidP="00B95343">
                  <w:pPr>
                    <w:pStyle w:val="TableBodyText"/>
                  </w:pPr>
                  <w:r w:rsidRPr="000C175D">
                    <w:rPr>
                      <w:rFonts w:cs="Arial"/>
                      <w:szCs w:val="18"/>
                    </w:rPr>
                    <w:t>-63</w:t>
                  </w:r>
                </w:p>
              </w:tc>
              <w:tc>
                <w:tcPr>
                  <w:tcW w:w="407" w:type="pct"/>
                  <w:shd w:val="clear" w:color="auto" w:fill="FFFFFF" w:themeFill="background1"/>
                  <w:vAlign w:val="center"/>
                </w:tcPr>
                <w:p w14:paraId="4CDBE1A9" w14:textId="77777777" w:rsidR="00AA7C86" w:rsidRDefault="00AA7C86" w:rsidP="00B95343">
                  <w:pPr>
                    <w:pStyle w:val="TableBodyText"/>
                  </w:pPr>
                  <w:r w:rsidRPr="000C175D">
                    <w:rPr>
                      <w:rFonts w:cs="Arial"/>
                      <w:szCs w:val="18"/>
                    </w:rPr>
                    <w:t>-</w:t>
                  </w:r>
                  <w:r>
                    <w:rPr>
                      <w:rFonts w:cs="Arial"/>
                      <w:szCs w:val="18"/>
                    </w:rPr>
                    <w:t>51</w:t>
                  </w:r>
                </w:p>
              </w:tc>
              <w:tc>
                <w:tcPr>
                  <w:tcW w:w="412" w:type="pct"/>
                  <w:shd w:val="clear" w:color="auto" w:fill="FFFFFF" w:themeFill="background1"/>
                  <w:vAlign w:val="center"/>
                </w:tcPr>
                <w:p w14:paraId="2A6CF40D" w14:textId="77777777" w:rsidR="00AA7C86" w:rsidRDefault="00AA7C86" w:rsidP="00B95343">
                  <w:pPr>
                    <w:pStyle w:val="TableBodyText"/>
                  </w:pPr>
                  <w:r w:rsidRPr="000C175D">
                    <w:rPr>
                      <w:rFonts w:cs="Arial"/>
                      <w:szCs w:val="18"/>
                    </w:rPr>
                    <w:t>-</w:t>
                  </w:r>
                  <w:r>
                    <w:rPr>
                      <w:rFonts w:cs="Arial"/>
                      <w:szCs w:val="18"/>
                    </w:rPr>
                    <w:t>48</w:t>
                  </w:r>
                </w:p>
              </w:tc>
              <w:tc>
                <w:tcPr>
                  <w:tcW w:w="406" w:type="pct"/>
                  <w:shd w:val="clear" w:color="auto" w:fill="FFFFFF" w:themeFill="background1"/>
                  <w:vAlign w:val="center"/>
                </w:tcPr>
                <w:p w14:paraId="30DB6087" w14:textId="77777777" w:rsidR="00AA7C86" w:rsidRDefault="00AA7C86" w:rsidP="00B95343">
                  <w:pPr>
                    <w:pStyle w:val="TableBodyText"/>
                  </w:pPr>
                  <w:r w:rsidRPr="000C175D">
                    <w:rPr>
                      <w:rFonts w:cs="Arial"/>
                      <w:szCs w:val="18"/>
                    </w:rPr>
                    <w:t>-</w:t>
                  </w:r>
                  <w:r>
                    <w:rPr>
                      <w:rFonts w:cs="Arial"/>
                      <w:szCs w:val="18"/>
                    </w:rPr>
                    <w:t>45</w:t>
                  </w:r>
                </w:p>
              </w:tc>
              <w:tc>
                <w:tcPr>
                  <w:tcW w:w="406" w:type="pct"/>
                  <w:shd w:val="clear" w:color="auto" w:fill="FFFFFF" w:themeFill="background1"/>
                  <w:vAlign w:val="center"/>
                </w:tcPr>
                <w:p w14:paraId="6B12F1A8" w14:textId="77777777" w:rsidR="00AA7C86" w:rsidRDefault="00AA7C86" w:rsidP="00B95343">
                  <w:pPr>
                    <w:pStyle w:val="TableBodyText"/>
                  </w:pPr>
                  <w:r w:rsidRPr="000C175D">
                    <w:rPr>
                      <w:rFonts w:cs="Arial"/>
                      <w:szCs w:val="18"/>
                    </w:rPr>
                    <w:t>-</w:t>
                  </w:r>
                  <w:r>
                    <w:rPr>
                      <w:rFonts w:cs="Arial"/>
                      <w:szCs w:val="18"/>
                    </w:rPr>
                    <w:t>82</w:t>
                  </w:r>
                </w:p>
              </w:tc>
              <w:tc>
                <w:tcPr>
                  <w:tcW w:w="405" w:type="pct"/>
                  <w:shd w:val="clear" w:color="auto" w:fill="FFFFFF" w:themeFill="background1"/>
                  <w:vAlign w:val="center"/>
                </w:tcPr>
                <w:p w14:paraId="50CDB955" w14:textId="77777777" w:rsidR="00AA7C86" w:rsidRPr="00026DE5" w:rsidRDefault="00AA7C86" w:rsidP="00B95343">
                  <w:pPr>
                    <w:pStyle w:val="TableColumnHeading"/>
                    <w:spacing w:before="0" w:after="40"/>
                    <w:ind w:right="28"/>
                    <w:rPr>
                      <w:i w:val="0"/>
                    </w:rPr>
                  </w:pPr>
                  <w:r w:rsidRPr="00026DE5">
                    <w:rPr>
                      <w:rFonts w:cs="Arial"/>
                      <w:i w:val="0"/>
                      <w:szCs w:val="18"/>
                    </w:rPr>
                    <w:t>-39</w:t>
                  </w:r>
                </w:p>
              </w:tc>
            </w:tr>
            <w:tr w:rsidR="00AA7C86" w14:paraId="79A7C6D0" w14:textId="77777777" w:rsidTr="00AA7C86">
              <w:tc>
                <w:tcPr>
                  <w:tcW w:w="1724" w:type="pct"/>
                  <w:shd w:val="clear" w:color="auto" w:fill="F2F2F2" w:themeFill="background1" w:themeFillShade="F2"/>
                  <w:vAlign w:val="center"/>
                </w:tcPr>
                <w:p w14:paraId="1D53FB2B" w14:textId="77777777" w:rsidR="00AA7C86" w:rsidRDefault="00AA7C86" w:rsidP="00B95343">
                  <w:pPr>
                    <w:pStyle w:val="TableBodyText"/>
                    <w:jc w:val="left"/>
                  </w:pPr>
                  <w:r>
                    <w:t xml:space="preserve"> GST, upper bound ($m)</w:t>
                  </w:r>
                </w:p>
              </w:tc>
              <w:tc>
                <w:tcPr>
                  <w:tcW w:w="419" w:type="pct"/>
                  <w:shd w:val="clear" w:color="auto" w:fill="F2F2F2" w:themeFill="background1" w:themeFillShade="F2"/>
                  <w:vAlign w:val="center"/>
                </w:tcPr>
                <w:p w14:paraId="39D76661" w14:textId="77777777" w:rsidR="00AA7C86" w:rsidRPr="00117BEB" w:rsidRDefault="00AA7C86" w:rsidP="00B95343">
                  <w:pPr>
                    <w:pStyle w:val="TableBodyText"/>
                  </w:pPr>
                  <w:r w:rsidRPr="000C175D">
                    <w:rPr>
                      <w:rFonts w:cs="Arial"/>
                      <w:szCs w:val="18"/>
                    </w:rPr>
                    <w:t>-1</w:t>
                  </w:r>
                  <w:r>
                    <w:rPr>
                      <w:rFonts w:cs="Arial"/>
                      <w:szCs w:val="18"/>
                    </w:rPr>
                    <w:t> </w:t>
                  </w:r>
                  <w:r w:rsidRPr="000C175D">
                    <w:rPr>
                      <w:rFonts w:cs="Arial"/>
                      <w:szCs w:val="18"/>
                    </w:rPr>
                    <w:t>2</w:t>
                  </w:r>
                  <w:r>
                    <w:rPr>
                      <w:rFonts w:cs="Arial"/>
                      <w:szCs w:val="18"/>
                    </w:rPr>
                    <w:t>81</w:t>
                  </w:r>
                </w:p>
              </w:tc>
              <w:tc>
                <w:tcPr>
                  <w:tcW w:w="406" w:type="pct"/>
                  <w:shd w:val="clear" w:color="auto" w:fill="F2F2F2" w:themeFill="background1" w:themeFillShade="F2"/>
                  <w:vAlign w:val="center"/>
                </w:tcPr>
                <w:p w14:paraId="177F7533" w14:textId="77777777" w:rsidR="00AA7C86" w:rsidRPr="00117BEB" w:rsidRDefault="00AA7C86" w:rsidP="00B95343">
                  <w:pPr>
                    <w:pStyle w:val="TableBodyText"/>
                  </w:pPr>
                  <w:r w:rsidRPr="000C175D">
                    <w:rPr>
                      <w:rFonts w:cs="Arial"/>
                      <w:szCs w:val="18"/>
                    </w:rPr>
                    <w:t>-1</w:t>
                  </w:r>
                  <w:r>
                    <w:rPr>
                      <w:rFonts w:cs="Arial"/>
                      <w:szCs w:val="18"/>
                    </w:rPr>
                    <w:t> </w:t>
                  </w:r>
                  <w:r w:rsidRPr="000C175D">
                    <w:rPr>
                      <w:rFonts w:cs="Arial"/>
                      <w:szCs w:val="18"/>
                    </w:rPr>
                    <w:t>1</w:t>
                  </w:r>
                  <w:r>
                    <w:rPr>
                      <w:rFonts w:cs="Arial"/>
                      <w:szCs w:val="18"/>
                    </w:rPr>
                    <w:t>78</w:t>
                  </w:r>
                </w:p>
              </w:tc>
              <w:tc>
                <w:tcPr>
                  <w:tcW w:w="415" w:type="pct"/>
                  <w:gridSpan w:val="2"/>
                  <w:shd w:val="clear" w:color="auto" w:fill="F2F2F2" w:themeFill="background1" w:themeFillShade="F2"/>
                  <w:vAlign w:val="center"/>
                </w:tcPr>
                <w:p w14:paraId="0FBFF6D4" w14:textId="77777777" w:rsidR="00AA7C86" w:rsidRPr="00117BEB" w:rsidRDefault="00AA7C86" w:rsidP="00B95343">
                  <w:pPr>
                    <w:pStyle w:val="TableBodyText"/>
                  </w:pPr>
                  <w:r w:rsidRPr="000C175D">
                    <w:rPr>
                      <w:rFonts w:cs="Arial"/>
                      <w:szCs w:val="18"/>
                    </w:rPr>
                    <w:t>-9</w:t>
                  </w:r>
                  <w:r>
                    <w:rPr>
                      <w:rFonts w:cs="Arial"/>
                      <w:szCs w:val="18"/>
                    </w:rPr>
                    <w:t>82</w:t>
                  </w:r>
                </w:p>
              </w:tc>
              <w:tc>
                <w:tcPr>
                  <w:tcW w:w="407" w:type="pct"/>
                  <w:shd w:val="clear" w:color="auto" w:fill="F2F2F2" w:themeFill="background1" w:themeFillShade="F2"/>
                  <w:vAlign w:val="center"/>
                </w:tcPr>
                <w:p w14:paraId="526CD990" w14:textId="77777777" w:rsidR="00AA7C86" w:rsidRPr="00117BEB" w:rsidRDefault="00AA7C86" w:rsidP="00B95343">
                  <w:pPr>
                    <w:pStyle w:val="TableBodyText"/>
                  </w:pPr>
                  <w:r w:rsidRPr="000C175D">
                    <w:rPr>
                      <w:rFonts w:cs="Arial"/>
                      <w:szCs w:val="18"/>
                    </w:rPr>
                    <w:t>-</w:t>
                  </w:r>
                  <w:r>
                    <w:rPr>
                      <w:rFonts w:cs="Arial"/>
                      <w:szCs w:val="18"/>
                    </w:rPr>
                    <w:t>366</w:t>
                  </w:r>
                </w:p>
              </w:tc>
              <w:tc>
                <w:tcPr>
                  <w:tcW w:w="412" w:type="pct"/>
                  <w:shd w:val="clear" w:color="auto" w:fill="F2F2F2" w:themeFill="background1" w:themeFillShade="F2"/>
                  <w:vAlign w:val="center"/>
                </w:tcPr>
                <w:p w14:paraId="34E34C25" w14:textId="77777777" w:rsidR="00AA7C86" w:rsidRPr="00117BEB" w:rsidRDefault="00AA7C86" w:rsidP="00B95343">
                  <w:pPr>
                    <w:pStyle w:val="TableBodyText"/>
                  </w:pPr>
                  <w:r w:rsidRPr="000C175D">
                    <w:rPr>
                      <w:rFonts w:cs="Arial"/>
                      <w:szCs w:val="18"/>
                    </w:rPr>
                    <w:t>-250</w:t>
                  </w:r>
                </w:p>
              </w:tc>
              <w:tc>
                <w:tcPr>
                  <w:tcW w:w="406" w:type="pct"/>
                  <w:shd w:val="clear" w:color="auto" w:fill="F2F2F2" w:themeFill="background1" w:themeFillShade="F2"/>
                  <w:vAlign w:val="center"/>
                </w:tcPr>
                <w:p w14:paraId="0EECF153" w14:textId="77777777" w:rsidR="00AA7C86" w:rsidRPr="00117BEB" w:rsidRDefault="00AA7C86" w:rsidP="00B95343">
                  <w:pPr>
                    <w:pStyle w:val="TableBodyText"/>
                  </w:pPr>
                  <w:r w:rsidRPr="000C175D">
                    <w:rPr>
                      <w:rFonts w:cs="Arial"/>
                      <w:szCs w:val="18"/>
                    </w:rPr>
                    <w:t>-</w:t>
                  </w:r>
                  <w:r>
                    <w:rPr>
                      <w:rFonts w:cs="Arial"/>
                      <w:szCs w:val="18"/>
                    </w:rPr>
                    <w:t>79</w:t>
                  </w:r>
                </w:p>
              </w:tc>
              <w:tc>
                <w:tcPr>
                  <w:tcW w:w="406" w:type="pct"/>
                  <w:shd w:val="clear" w:color="auto" w:fill="F2F2F2" w:themeFill="background1" w:themeFillShade="F2"/>
                  <w:vAlign w:val="center"/>
                </w:tcPr>
                <w:p w14:paraId="32F2B460" w14:textId="77777777" w:rsidR="00AA7C86" w:rsidRPr="00117BEB" w:rsidRDefault="00AA7C86" w:rsidP="00B95343">
                  <w:pPr>
                    <w:pStyle w:val="TableBodyText"/>
                  </w:pPr>
                  <w:r w:rsidRPr="000C175D">
                    <w:rPr>
                      <w:rFonts w:cs="Arial"/>
                      <w:szCs w:val="18"/>
                    </w:rPr>
                    <w:t>-1</w:t>
                  </w:r>
                  <w:r>
                    <w:rPr>
                      <w:rFonts w:cs="Arial"/>
                      <w:szCs w:val="18"/>
                    </w:rPr>
                    <w:t>15</w:t>
                  </w:r>
                </w:p>
              </w:tc>
              <w:tc>
                <w:tcPr>
                  <w:tcW w:w="405" w:type="pct"/>
                  <w:shd w:val="clear" w:color="auto" w:fill="F2F2F2" w:themeFill="background1" w:themeFillShade="F2"/>
                  <w:vAlign w:val="center"/>
                </w:tcPr>
                <w:p w14:paraId="23FE9BB2" w14:textId="77777777" w:rsidR="00AA7C86" w:rsidRPr="00212A49" w:rsidRDefault="00AA7C86" w:rsidP="00B95343">
                  <w:pPr>
                    <w:pStyle w:val="TableColumnHeading"/>
                    <w:spacing w:before="0" w:after="40"/>
                    <w:ind w:right="28"/>
                    <w:rPr>
                      <w:i w:val="0"/>
                    </w:rPr>
                  </w:pPr>
                  <w:r w:rsidRPr="00212A49">
                    <w:rPr>
                      <w:rFonts w:cs="Arial"/>
                      <w:i w:val="0"/>
                      <w:szCs w:val="18"/>
                    </w:rPr>
                    <w:t>-32</w:t>
                  </w:r>
                </w:p>
              </w:tc>
            </w:tr>
            <w:tr w:rsidR="00AA7C86" w14:paraId="17B1C9EC" w14:textId="77777777" w:rsidTr="00B95343">
              <w:tc>
                <w:tcPr>
                  <w:tcW w:w="1724" w:type="pct"/>
                  <w:tcBorders>
                    <w:bottom w:val="single" w:sz="6" w:space="0" w:color="BFBFBF"/>
                  </w:tcBorders>
                  <w:shd w:val="clear" w:color="auto" w:fill="FFFFFF" w:themeFill="background1"/>
                  <w:vAlign w:val="center"/>
                </w:tcPr>
                <w:p w14:paraId="348320E2" w14:textId="77777777" w:rsidR="00AA7C86" w:rsidRDefault="00AA7C86" w:rsidP="00B95343">
                  <w:pPr>
                    <w:pStyle w:val="TableBodyText"/>
                    <w:jc w:val="left"/>
                  </w:pPr>
                  <w:r>
                    <w:t xml:space="preserve"> GST, upper bound ($pc)</w:t>
                  </w:r>
                </w:p>
              </w:tc>
              <w:tc>
                <w:tcPr>
                  <w:tcW w:w="419" w:type="pct"/>
                  <w:tcBorders>
                    <w:bottom w:val="single" w:sz="6" w:space="0" w:color="BFBFBF"/>
                  </w:tcBorders>
                  <w:shd w:val="clear" w:color="auto" w:fill="FFFFFF" w:themeFill="background1"/>
                  <w:vAlign w:val="center"/>
                </w:tcPr>
                <w:p w14:paraId="259159BE" w14:textId="77777777" w:rsidR="00AA7C86" w:rsidRPr="00117BEB" w:rsidRDefault="00AA7C86" w:rsidP="00B95343">
                  <w:pPr>
                    <w:pStyle w:val="TableBodyText"/>
                  </w:pPr>
                  <w:r w:rsidRPr="000C175D">
                    <w:rPr>
                      <w:rFonts w:cs="Arial"/>
                      <w:szCs w:val="18"/>
                    </w:rPr>
                    <w:t>-</w:t>
                  </w:r>
                  <w:r>
                    <w:rPr>
                      <w:rFonts w:cs="Arial"/>
                      <w:szCs w:val="18"/>
                    </w:rPr>
                    <w:t>164</w:t>
                  </w:r>
                </w:p>
              </w:tc>
              <w:tc>
                <w:tcPr>
                  <w:tcW w:w="406" w:type="pct"/>
                  <w:tcBorders>
                    <w:bottom w:val="single" w:sz="6" w:space="0" w:color="BFBFBF"/>
                  </w:tcBorders>
                  <w:shd w:val="clear" w:color="auto" w:fill="FFFFFF" w:themeFill="background1"/>
                  <w:vAlign w:val="center"/>
                </w:tcPr>
                <w:p w14:paraId="542C871E" w14:textId="77777777" w:rsidR="00AA7C86" w:rsidRPr="00117BEB" w:rsidRDefault="00AA7C86" w:rsidP="00B95343">
                  <w:pPr>
                    <w:pStyle w:val="TableBodyText"/>
                  </w:pPr>
                  <w:r w:rsidRPr="000C175D">
                    <w:rPr>
                      <w:rFonts w:cs="Arial"/>
                      <w:szCs w:val="18"/>
                    </w:rPr>
                    <w:t>-</w:t>
                  </w:r>
                  <w:r>
                    <w:rPr>
                      <w:rFonts w:cs="Arial"/>
                      <w:szCs w:val="18"/>
                    </w:rPr>
                    <w:t>189</w:t>
                  </w:r>
                </w:p>
              </w:tc>
              <w:tc>
                <w:tcPr>
                  <w:tcW w:w="415" w:type="pct"/>
                  <w:gridSpan w:val="2"/>
                  <w:tcBorders>
                    <w:bottom w:val="single" w:sz="6" w:space="0" w:color="BFBFBF"/>
                  </w:tcBorders>
                  <w:shd w:val="clear" w:color="auto" w:fill="FFFFFF" w:themeFill="background1"/>
                  <w:vAlign w:val="center"/>
                </w:tcPr>
                <w:p w14:paraId="4B487379" w14:textId="77777777" w:rsidR="00AA7C86" w:rsidRPr="00117BEB" w:rsidRDefault="00AA7C86" w:rsidP="00B95343">
                  <w:pPr>
                    <w:pStyle w:val="TableBodyText"/>
                  </w:pPr>
                  <w:r w:rsidRPr="000C175D">
                    <w:rPr>
                      <w:rFonts w:cs="Arial"/>
                      <w:szCs w:val="18"/>
                    </w:rPr>
                    <w:t>-</w:t>
                  </w:r>
                  <w:r>
                    <w:rPr>
                      <w:rFonts w:cs="Arial"/>
                      <w:szCs w:val="18"/>
                    </w:rPr>
                    <w:t>201</w:t>
                  </w:r>
                </w:p>
              </w:tc>
              <w:tc>
                <w:tcPr>
                  <w:tcW w:w="407" w:type="pct"/>
                  <w:tcBorders>
                    <w:bottom w:val="single" w:sz="6" w:space="0" w:color="BFBFBF"/>
                  </w:tcBorders>
                  <w:shd w:val="clear" w:color="auto" w:fill="FFFFFF" w:themeFill="background1"/>
                  <w:vAlign w:val="center"/>
                </w:tcPr>
                <w:p w14:paraId="3582C02D" w14:textId="77777777" w:rsidR="00AA7C86" w:rsidRPr="00117BEB" w:rsidRDefault="00AA7C86" w:rsidP="00B95343">
                  <w:pPr>
                    <w:pStyle w:val="TableBodyText"/>
                  </w:pPr>
                  <w:r w:rsidRPr="000C175D">
                    <w:rPr>
                      <w:rFonts w:cs="Arial"/>
                      <w:szCs w:val="18"/>
                    </w:rPr>
                    <w:t>-1</w:t>
                  </w:r>
                  <w:r>
                    <w:rPr>
                      <w:rFonts w:cs="Arial"/>
                      <w:szCs w:val="18"/>
                    </w:rPr>
                    <w:t>43</w:t>
                  </w:r>
                </w:p>
              </w:tc>
              <w:tc>
                <w:tcPr>
                  <w:tcW w:w="412" w:type="pct"/>
                  <w:tcBorders>
                    <w:bottom w:val="single" w:sz="6" w:space="0" w:color="BFBFBF"/>
                  </w:tcBorders>
                  <w:shd w:val="clear" w:color="auto" w:fill="FFFFFF" w:themeFill="background1"/>
                  <w:vAlign w:val="center"/>
                </w:tcPr>
                <w:p w14:paraId="7413424E" w14:textId="77777777" w:rsidR="00AA7C86" w:rsidRPr="00117BEB" w:rsidRDefault="00AA7C86" w:rsidP="00B95343">
                  <w:pPr>
                    <w:pStyle w:val="TableBodyText"/>
                  </w:pPr>
                  <w:r w:rsidRPr="000C175D">
                    <w:rPr>
                      <w:rFonts w:cs="Arial"/>
                      <w:szCs w:val="18"/>
                    </w:rPr>
                    <w:t>-</w:t>
                  </w:r>
                  <w:r>
                    <w:rPr>
                      <w:rFonts w:cs="Arial"/>
                      <w:szCs w:val="18"/>
                    </w:rPr>
                    <w:t>146</w:t>
                  </w:r>
                </w:p>
              </w:tc>
              <w:tc>
                <w:tcPr>
                  <w:tcW w:w="406" w:type="pct"/>
                  <w:tcBorders>
                    <w:bottom w:val="single" w:sz="6" w:space="0" w:color="BFBFBF"/>
                  </w:tcBorders>
                  <w:shd w:val="clear" w:color="auto" w:fill="FFFFFF" w:themeFill="background1"/>
                  <w:vAlign w:val="center"/>
                </w:tcPr>
                <w:p w14:paraId="21E3A0E0" w14:textId="77777777" w:rsidR="00AA7C86" w:rsidRPr="00117BEB" w:rsidRDefault="00AA7C86" w:rsidP="00B95343">
                  <w:pPr>
                    <w:pStyle w:val="TableBodyText"/>
                  </w:pPr>
                  <w:r w:rsidRPr="000C175D">
                    <w:rPr>
                      <w:rFonts w:cs="Arial"/>
                      <w:szCs w:val="18"/>
                    </w:rPr>
                    <w:t>-1</w:t>
                  </w:r>
                  <w:r>
                    <w:rPr>
                      <w:rFonts w:cs="Arial"/>
                      <w:szCs w:val="18"/>
                    </w:rPr>
                    <w:t>52</w:t>
                  </w:r>
                </w:p>
              </w:tc>
              <w:tc>
                <w:tcPr>
                  <w:tcW w:w="406" w:type="pct"/>
                  <w:tcBorders>
                    <w:bottom w:val="single" w:sz="6" w:space="0" w:color="BFBFBF"/>
                  </w:tcBorders>
                  <w:shd w:val="clear" w:color="auto" w:fill="FFFFFF" w:themeFill="background1"/>
                  <w:vAlign w:val="center"/>
                </w:tcPr>
                <w:p w14:paraId="349F72A3" w14:textId="77777777" w:rsidR="00AA7C86" w:rsidRPr="00117BEB" w:rsidRDefault="00AA7C86" w:rsidP="00B95343">
                  <w:pPr>
                    <w:pStyle w:val="TableBodyText"/>
                  </w:pPr>
                  <w:r w:rsidRPr="000C175D">
                    <w:rPr>
                      <w:rFonts w:cs="Arial"/>
                      <w:szCs w:val="18"/>
                    </w:rPr>
                    <w:t>-2</w:t>
                  </w:r>
                  <w:r>
                    <w:rPr>
                      <w:rFonts w:cs="Arial"/>
                      <w:szCs w:val="18"/>
                    </w:rPr>
                    <w:t>83</w:t>
                  </w:r>
                </w:p>
              </w:tc>
              <w:tc>
                <w:tcPr>
                  <w:tcW w:w="405" w:type="pct"/>
                  <w:tcBorders>
                    <w:bottom w:val="single" w:sz="6" w:space="0" w:color="BFBFBF"/>
                  </w:tcBorders>
                  <w:shd w:val="clear" w:color="auto" w:fill="FFFFFF" w:themeFill="background1"/>
                  <w:vAlign w:val="center"/>
                </w:tcPr>
                <w:p w14:paraId="63FDB912" w14:textId="77777777" w:rsidR="00AA7C86" w:rsidRPr="00212A49" w:rsidRDefault="00AA7C86" w:rsidP="00B95343">
                  <w:pPr>
                    <w:pStyle w:val="TableColumnHeading"/>
                    <w:spacing w:before="0" w:after="40"/>
                    <w:ind w:right="28"/>
                    <w:rPr>
                      <w:i w:val="0"/>
                    </w:rPr>
                  </w:pPr>
                  <w:r w:rsidRPr="00212A49">
                    <w:rPr>
                      <w:rFonts w:cs="Arial"/>
                      <w:i w:val="0"/>
                      <w:szCs w:val="18"/>
                    </w:rPr>
                    <w:t>-132</w:t>
                  </w:r>
                </w:p>
              </w:tc>
            </w:tr>
            <w:tr w:rsidR="00AA7C86" w14:paraId="62B9D1A1" w14:textId="77777777" w:rsidTr="00B95343">
              <w:tc>
                <w:tcPr>
                  <w:tcW w:w="1724" w:type="pct"/>
                  <w:tcBorders>
                    <w:top w:val="single" w:sz="6" w:space="0" w:color="BFBFBF"/>
                  </w:tcBorders>
                  <w:shd w:val="clear" w:color="auto" w:fill="FFFFFF" w:themeFill="background1"/>
                  <w:vAlign w:val="center"/>
                </w:tcPr>
                <w:p w14:paraId="1A9C292B" w14:textId="77777777" w:rsidR="00AA7C86" w:rsidRDefault="00AA7C86" w:rsidP="00B95343">
                  <w:pPr>
                    <w:pStyle w:val="TableBodyText"/>
                    <w:spacing w:before="40"/>
                    <w:jc w:val="left"/>
                  </w:pPr>
                  <w:r>
                    <w:rPr>
                      <w:i/>
                    </w:rPr>
                    <w:t>Multilateral reform</w:t>
                  </w:r>
                </w:p>
              </w:tc>
              <w:tc>
                <w:tcPr>
                  <w:tcW w:w="419" w:type="pct"/>
                  <w:tcBorders>
                    <w:top w:val="single" w:sz="6" w:space="0" w:color="BFBFBF"/>
                  </w:tcBorders>
                  <w:shd w:val="clear" w:color="auto" w:fill="FFFFFF" w:themeFill="background1"/>
                </w:tcPr>
                <w:p w14:paraId="73E42691" w14:textId="77777777" w:rsidR="00AA7C86" w:rsidRPr="00CE6393" w:rsidRDefault="00AA7C86" w:rsidP="00B95343">
                  <w:pPr>
                    <w:pStyle w:val="TableBodyText"/>
                    <w:rPr>
                      <w:rFonts w:asciiTheme="minorHAnsi" w:hAnsiTheme="minorHAnsi" w:cstheme="minorHAnsi"/>
                      <w:color w:val="000000"/>
                      <w:szCs w:val="18"/>
                    </w:rPr>
                  </w:pPr>
                </w:p>
              </w:tc>
              <w:tc>
                <w:tcPr>
                  <w:tcW w:w="406" w:type="pct"/>
                  <w:tcBorders>
                    <w:top w:val="single" w:sz="6" w:space="0" w:color="BFBFBF"/>
                  </w:tcBorders>
                  <w:shd w:val="clear" w:color="auto" w:fill="FFFFFF" w:themeFill="background1"/>
                </w:tcPr>
                <w:p w14:paraId="12A8819D" w14:textId="77777777" w:rsidR="00AA7C86" w:rsidRPr="00CE6393" w:rsidRDefault="00AA7C86" w:rsidP="00B95343">
                  <w:pPr>
                    <w:pStyle w:val="TableBodyText"/>
                    <w:rPr>
                      <w:rFonts w:asciiTheme="minorHAnsi" w:hAnsiTheme="minorHAnsi" w:cstheme="minorHAnsi"/>
                      <w:color w:val="000000"/>
                      <w:szCs w:val="18"/>
                    </w:rPr>
                  </w:pPr>
                </w:p>
              </w:tc>
              <w:tc>
                <w:tcPr>
                  <w:tcW w:w="415" w:type="pct"/>
                  <w:gridSpan w:val="2"/>
                  <w:tcBorders>
                    <w:top w:val="single" w:sz="6" w:space="0" w:color="BFBFBF"/>
                  </w:tcBorders>
                  <w:shd w:val="clear" w:color="auto" w:fill="FFFFFF" w:themeFill="background1"/>
                </w:tcPr>
                <w:p w14:paraId="65811E1A" w14:textId="77777777" w:rsidR="00AA7C86" w:rsidRPr="00CE6393" w:rsidRDefault="00AA7C86" w:rsidP="00B95343">
                  <w:pPr>
                    <w:pStyle w:val="TableBodyText"/>
                    <w:rPr>
                      <w:rFonts w:asciiTheme="minorHAnsi" w:hAnsiTheme="minorHAnsi" w:cstheme="minorHAnsi"/>
                      <w:color w:val="000000"/>
                      <w:szCs w:val="18"/>
                    </w:rPr>
                  </w:pPr>
                </w:p>
              </w:tc>
              <w:tc>
                <w:tcPr>
                  <w:tcW w:w="407" w:type="pct"/>
                  <w:tcBorders>
                    <w:top w:val="single" w:sz="6" w:space="0" w:color="BFBFBF"/>
                  </w:tcBorders>
                  <w:shd w:val="clear" w:color="auto" w:fill="FFFFFF" w:themeFill="background1"/>
                </w:tcPr>
                <w:p w14:paraId="256CC2E2" w14:textId="77777777" w:rsidR="00AA7C86" w:rsidRPr="00CE6393" w:rsidRDefault="00AA7C86" w:rsidP="00B95343">
                  <w:pPr>
                    <w:pStyle w:val="TableBodyText"/>
                    <w:rPr>
                      <w:rFonts w:asciiTheme="minorHAnsi" w:hAnsiTheme="minorHAnsi" w:cstheme="minorHAnsi"/>
                      <w:color w:val="000000"/>
                      <w:szCs w:val="18"/>
                    </w:rPr>
                  </w:pPr>
                </w:p>
              </w:tc>
              <w:tc>
                <w:tcPr>
                  <w:tcW w:w="412" w:type="pct"/>
                  <w:tcBorders>
                    <w:top w:val="single" w:sz="6" w:space="0" w:color="BFBFBF"/>
                  </w:tcBorders>
                  <w:shd w:val="clear" w:color="auto" w:fill="FFFFFF" w:themeFill="background1"/>
                </w:tcPr>
                <w:p w14:paraId="587D201B" w14:textId="77777777" w:rsidR="00AA7C86" w:rsidRPr="00CE6393" w:rsidRDefault="00AA7C86" w:rsidP="00B95343">
                  <w:pPr>
                    <w:pStyle w:val="TableBodyText"/>
                    <w:rPr>
                      <w:rFonts w:asciiTheme="minorHAnsi" w:hAnsiTheme="minorHAnsi" w:cstheme="minorHAnsi"/>
                      <w:color w:val="000000"/>
                      <w:szCs w:val="18"/>
                    </w:rPr>
                  </w:pPr>
                </w:p>
              </w:tc>
              <w:tc>
                <w:tcPr>
                  <w:tcW w:w="406" w:type="pct"/>
                  <w:tcBorders>
                    <w:top w:val="single" w:sz="6" w:space="0" w:color="BFBFBF"/>
                  </w:tcBorders>
                  <w:shd w:val="clear" w:color="auto" w:fill="FFFFFF" w:themeFill="background1"/>
                </w:tcPr>
                <w:p w14:paraId="53459B00" w14:textId="77777777" w:rsidR="00AA7C86" w:rsidRPr="00CE6393" w:rsidRDefault="00AA7C86" w:rsidP="00B95343">
                  <w:pPr>
                    <w:pStyle w:val="TableBodyText"/>
                    <w:rPr>
                      <w:rFonts w:asciiTheme="minorHAnsi" w:hAnsiTheme="minorHAnsi" w:cstheme="minorHAnsi"/>
                      <w:color w:val="000000"/>
                      <w:szCs w:val="18"/>
                    </w:rPr>
                  </w:pPr>
                </w:p>
              </w:tc>
              <w:tc>
                <w:tcPr>
                  <w:tcW w:w="406" w:type="pct"/>
                  <w:tcBorders>
                    <w:top w:val="single" w:sz="6" w:space="0" w:color="BFBFBF"/>
                  </w:tcBorders>
                  <w:shd w:val="clear" w:color="auto" w:fill="FFFFFF" w:themeFill="background1"/>
                </w:tcPr>
                <w:p w14:paraId="30583E1F" w14:textId="77777777" w:rsidR="00AA7C86" w:rsidRPr="00CE6393" w:rsidRDefault="00AA7C86" w:rsidP="00B95343">
                  <w:pPr>
                    <w:pStyle w:val="TableBodyText"/>
                    <w:rPr>
                      <w:rFonts w:asciiTheme="minorHAnsi" w:hAnsiTheme="minorHAnsi" w:cstheme="minorHAnsi"/>
                      <w:color w:val="000000"/>
                      <w:szCs w:val="18"/>
                    </w:rPr>
                  </w:pPr>
                </w:p>
              </w:tc>
              <w:tc>
                <w:tcPr>
                  <w:tcW w:w="405" w:type="pct"/>
                  <w:tcBorders>
                    <w:top w:val="single" w:sz="6" w:space="0" w:color="BFBFBF"/>
                  </w:tcBorders>
                  <w:shd w:val="clear" w:color="auto" w:fill="FFFFFF" w:themeFill="background1"/>
                </w:tcPr>
                <w:p w14:paraId="4453ED0C" w14:textId="77777777" w:rsidR="00AA7C86" w:rsidRPr="00212A49" w:rsidRDefault="00AA7C86" w:rsidP="00B95343">
                  <w:pPr>
                    <w:pStyle w:val="TableColumnHeading"/>
                    <w:spacing w:before="0" w:after="40"/>
                    <w:ind w:right="28"/>
                    <w:rPr>
                      <w:rFonts w:asciiTheme="minorHAnsi" w:hAnsiTheme="minorHAnsi" w:cstheme="minorHAnsi"/>
                      <w:i w:val="0"/>
                      <w:color w:val="000000"/>
                      <w:szCs w:val="18"/>
                    </w:rPr>
                  </w:pPr>
                </w:p>
              </w:tc>
            </w:tr>
            <w:tr w:rsidR="00AA7C86" w14:paraId="2E7C7B0C" w14:textId="77777777" w:rsidTr="00AA7C86">
              <w:tc>
                <w:tcPr>
                  <w:tcW w:w="1724" w:type="pct"/>
                  <w:shd w:val="clear" w:color="auto" w:fill="F2F2F2" w:themeFill="background1" w:themeFillShade="F2"/>
                  <w:vAlign w:val="center"/>
                </w:tcPr>
                <w:p w14:paraId="0DABF963" w14:textId="77777777" w:rsidR="00AA7C86" w:rsidRDefault="00AA7C86" w:rsidP="00B95343">
                  <w:pPr>
                    <w:pStyle w:val="TableBodyText"/>
                    <w:jc w:val="left"/>
                  </w:pPr>
                  <w:r>
                    <w:t xml:space="preserve"> GST, lower bound ($m)</w:t>
                  </w:r>
                </w:p>
              </w:tc>
              <w:tc>
                <w:tcPr>
                  <w:tcW w:w="419" w:type="pct"/>
                  <w:shd w:val="clear" w:color="auto" w:fill="F2F2F2" w:themeFill="background1" w:themeFillShade="F2"/>
                  <w:vAlign w:val="bottom"/>
                </w:tcPr>
                <w:p w14:paraId="198B1406" w14:textId="77777777" w:rsidR="00AA7C86" w:rsidRPr="00AA6CF0" w:rsidRDefault="00AA7C86" w:rsidP="00B95343">
                  <w:pPr>
                    <w:pStyle w:val="TableBodyText"/>
                  </w:pPr>
                  <w:r w:rsidRPr="007771F9">
                    <w:rPr>
                      <w:rFonts w:asciiTheme="minorHAnsi" w:hAnsiTheme="minorHAnsi" w:cstheme="minorHAnsi"/>
                      <w:bCs/>
                      <w:color w:val="000000" w:themeColor="text1"/>
                      <w:szCs w:val="18"/>
                    </w:rPr>
                    <w:t>135</w:t>
                  </w:r>
                </w:p>
              </w:tc>
              <w:tc>
                <w:tcPr>
                  <w:tcW w:w="406" w:type="pct"/>
                  <w:shd w:val="clear" w:color="auto" w:fill="F2F2F2" w:themeFill="background1" w:themeFillShade="F2"/>
                  <w:vAlign w:val="bottom"/>
                </w:tcPr>
                <w:p w14:paraId="078BE17B" w14:textId="77777777" w:rsidR="00AA7C86" w:rsidRPr="00AA6CF0" w:rsidRDefault="00AA7C86" w:rsidP="00B95343">
                  <w:pPr>
                    <w:pStyle w:val="TableBodyText"/>
                  </w:pPr>
                  <w:r w:rsidRPr="007771F9">
                    <w:rPr>
                      <w:rFonts w:asciiTheme="minorHAnsi" w:hAnsiTheme="minorHAnsi" w:cstheme="minorHAnsi"/>
                      <w:bCs/>
                      <w:color w:val="000000" w:themeColor="text1"/>
                      <w:szCs w:val="18"/>
                    </w:rPr>
                    <w:t>-18</w:t>
                  </w:r>
                </w:p>
              </w:tc>
              <w:tc>
                <w:tcPr>
                  <w:tcW w:w="415" w:type="pct"/>
                  <w:gridSpan w:val="2"/>
                  <w:shd w:val="clear" w:color="auto" w:fill="F2F2F2" w:themeFill="background1" w:themeFillShade="F2"/>
                  <w:vAlign w:val="bottom"/>
                </w:tcPr>
                <w:p w14:paraId="1C55E11C" w14:textId="77777777" w:rsidR="00AA7C86" w:rsidRPr="00AA6CF0" w:rsidRDefault="00AA7C86" w:rsidP="00B95343">
                  <w:pPr>
                    <w:pStyle w:val="TableBodyText"/>
                  </w:pPr>
                  <w:r w:rsidRPr="007771F9">
                    <w:rPr>
                      <w:rFonts w:asciiTheme="minorHAnsi" w:hAnsiTheme="minorHAnsi" w:cstheme="minorHAnsi"/>
                      <w:bCs/>
                      <w:color w:val="000000" w:themeColor="text1"/>
                      <w:szCs w:val="18"/>
                    </w:rPr>
                    <w:t>380</w:t>
                  </w:r>
                </w:p>
              </w:tc>
              <w:tc>
                <w:tcPr>
                  <w:tcW w:w="407" w:type="pct"/>
                  <w:shd w:val="clear" w:color="auto" w:fill="F2F2F2" w:themeFill="background1" w:themeFillShade="F2"/>
                  <w:vAlign w:val="bottom"/>
                </w:tcPr>
                <w:p w14:paraId="25A9B635" w14:textId="77777777" w:rsidR="00AA7C86" w:rsidRPr="00AA6CF0"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306</w:t>
                  </w:r>
                </w:p>
              </w:tc>
              <w:tc>
                <w:tcPr>
                  <w:tcW w:w="412" w:type="pct"/>
                  <w:shd w:val="clear" w:color="auto" w:fill="F2F2F2" w:themeFill="background1" w:themeFillShade="F2"/>
                  <w:vAlign w:val="bottom"/>
                </w:tcPr>
                <w:p w14:paraId="7ABFCA38" w14:textId="77777777" w:rsidR="00AA7C86" w:rsidRPr="00AA6CF0"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157</w:t>
                  </w:r>
                </w:p>
              </w:tc>
              <w:tc>
                <w:tcPr>
                  <w:tcW w:w="406" w:type="pct"/>
                  <w:shd w:val="clear" w:color="auto" w:fill="F2F2F2" w:themeFill="background1" w:themeFillShade="F2"/>
                  <w:vAlign w:val="bottom"/>
                </w:tcPr>
                <w:p w14:paraId="2ABDC4AD" w14:textId="77777777" w:rsidR="00AA7C86" w:rsidRPr="00AA6CF0"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19</w:t>
                  </w:r>
                </w:p>
              </w:tc>
              <w:tc>
                <w:tcPr>
                  <w:tcW w:w="406" w:type="pct"/>
                  <w:shd w:val="clear" w:color="auto" w:fill="F2F2F2" w:themeFill="background1" w:themeFillShade="F2"/>
                  <w:vAlign w:val="bottom"/>
                </w:tcPr>
                <w:p w14:paraId="4D2EDDEA" w14:textId="77777777" w:rsidR="00AA7C86" w:rsidRPr="00AA6CF0"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2</w:t>
                  </w:r>
                </w:p>
              </w:tc>
              <w:tc>
                <w:tcPr>
                  <w:tcW w:w="405" w:type="pct"/>
                  <w:shd w:val="clear" w:color="auto" w:fill="F2F2F2" w:themeFill="background1" w:themeFillShade="F2"/>
                  <w:vAlign w:val="bottom"/>
                </w:tcPr>
                <w:p w14:paraId="1A043546" w14:textId="77777777" w:rsidR="00AA7C86" w:rsidRPr="00212A49" w:rsidRDefault="00AA7C86" w:rsidP="00B95343">
                  <w:pPr>
                    <w:pStyle w:val="TableColumnHeading"/>
                    <w:spacing w:before="0" w:after="40"/>
                    <w:ind w:right="28"/>
                    <w:rPr>
                      <w:i w:val="0"/>
                    </w:rPr>
                  </w:pPr>
                  <w:r w:rsidRPr="00212A49">
                    <w:rPr>
                      <w:rFonts w:asciiTheme="minorHAnsi" w:hAnsiTheme="minorHAnsi" w:cstheme="minorHAnsi"/>
                      <w:i w:val="0"/>
                      <w:color w:val="000000" w:themeColor="text1"/>
                      <w:szCs w:val="18"/>
                    </w:rPr>
                    <w:t>-</w:t>
                  </w:r>
                  <w:r w:rsidRPr="00212A49">
                    <w:rPr>
                      <w:rFonts w:asciiTheme="minorHAnsi" w:hAnsiTheme="minorHAnsi" w:cstheme="minorHAnsi"/>
                      <w:bCs/>
                      <w:i w:val="0"/>
                      <w:color w:val="000000" w:themeColor="text1"/>
                      <w:szCs w:val="18"/>
                    </w:rPr>
                    <w:t>13</w:t>
                  </w:r>
                </w:p>
              </w:tc>
            </w:tr>
            <w:tr w:rsidR="00AA7C86" w14:paraId="011B1269" w14:textId="77777777" w:rsidTr="00B95343">
              <w:tc>
                <w:tcPr>
                  <w:tcW w:w="1724" w:type="pct"/>
                  <w:shd w:val="clear" w:color="auto" w:fill="FFFFFF" w:themeFill="background1"/>
                  <w:vAlign w:val="center"/>
                </w:tcPr>
                <w:p w14:paraId="7889532C" w14:textId="77777777" w:rsidR="00AA7C86" w:rsidRDefault="00AA7C86" w:rsidP="00B95343">
                  <w:pPr>
                    <w:pStyle w:val="TableBodyText"/>
                    <w:jc w:val="left"/>
                  </w:pPr>
                  <w:r>
                    <w:t xml:space="preserve"> GST, lower bound ($pc)</w:t>
                  </w:r>
                </w:p>
              </w:tc>
              <w:tc>
                <w:tcPr>
                  <w:tcW w:w="419" w:type="pct"/>
                  <w:shd w:val="clear" w:color="auto" w:fill="FFFFFF" w:themeFill="background1"/>
                  <w:vAlign w:val="bottom"/>
                </w:tcPr>
                <w:p w14:paraId="4748BAB1" w14:textId="77777777" w:rsidR="00AA7C86" w:rsidRPr="00AA6CF0" w:rsidRDefault="00AA7C86" w:rsidP="00B95343">
                  <w:pPr>
                    <w:pStyle w:val="TableBodyText"/>
                  </w:pPr>
                  <w:r w:rsidRPr="007771F9">
                    <w:rPr>
                      <w:rFonts w:asciiTheme="minorHAnsi" w:hAnsiTheme="minorHAnsi" w:cstheme="minorHAnsi"/>
                      <w:bCs/>
                      <w:color w:val="000000" w:themeColor="text1"/>
                      <w:szCs w:val="18"/>
                    </w:rPr>
                    <w:t>17</w:t>
                  </w:r>
                </w:p>
              </w:tc>
              <w:tc>
                <w:tcPr>
                  <w:tcW w:w="406" w:type="pct"/>
                  <w:shd w:val="clear" w:color="auto" w:fill="FFFFFF" w:themeFill="background1"/>
                  <w:vAlign w:val="bottom"/>
                </w:tcPr>
                <w:p w14:paraId="4C2EEDF2" w14:textId="77777777" w:rsidR="00AA7C86" w:rsidRPr="00AA6CF0" w:rsidRDefault="00AA7C86" w:rsidP="00B95343">
                  <w:pPr>
                    <w:pStyle w:val="TableBodyText"/>
                  </w:pPr>
                  <w:r w:rsidRPr="007771F9">
                    <w:rPr>
                      <w:rFonts w:asciiTheme="minorHAnsi" w:hAnsiTheme="minorHAnsi" w:cstheme="minorHAnsi"/>
                      <w:bCs/>
                      <w:color w:val="000000" w:themeColor="text1"/>
                      <w:szCs w:val="18"/>
                    </w:rPr>
                    <w:t>-3</w:t>
                  </w:r>
                </w:p>
              </w:tc>
              <w:tc>
                <w:tcPr>
                  <w:tcW w:w="415" w:type="pct"/>
                  <w:gridSpan w:val="2"/>
                  <w:shd w:val="clear" w:color="auto" w:fill="FFFFFF" w:themeFill="background1"/>
                  <w:vAlign w:val="bottom"/>
                </w:tcPr>
                <w:p w14:paraId="3F6B27FE" w14:textId="77777777" w:rsidR="00AA7C86" w:rsidRPr="00AA6CF0" w:rsidRDefault="00AA7C86" w:rsidP="00B95343">
                  <w:pPr>
                    <w:pStyle w:val="TableBodyText"/>
                  </w:pPr>
                  <w:r w:rsidRPr="007771F9">
                    <w:rPr>
                      <w:rFonts w:asciiTheme="minorHAnsi" w:hAnsiTheme="minorHAnsi" w:cstheme="minorHAnsi"/>
                      <w:bCs/>
                      <w:color w:val="000000" w:themeColor="text1"/>
                      <w:szCs w:val="18"/>
                    </w:rPr>
                    <w:t>78</w:t>
                  </w:r>
                </w:p>
              </w:tc>
              <w:tc>
                <w:tcPr>
                  <w:tcW w:w="407" w:type="pct"/>
                  <w:shd w:val="clear" w:color="auto" w:fill="FFFFFF" w:themeFill="background1"/>
                  <w:vAlign w:val="bottom"/>
                </w:tcPr>
                <w:p w14:paraId="0CEA1544" w14:textId="77777777" w:rsidR="00AA7C86" w:rsidRPr="00AA6CF0"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119</w:t>
                  </w:r>
                </w:p>
              </w:tc>
              <w:tc>
                <w:tcPr>
                  <w:tcW w:w="412" w:type="pct"/>
                  <w:shd w:val="clear" w:color="auto" w:fill="FFFFFF" w:themeFill="background1"/>
                  <w:vAlign w:val="bottom"/>
                </w:tcPr>
                <w:p w14:paraId="0B3E8AF4" w14:textId="77777777" w:rsidR="00AA7C86" w:rsidRPr="00AA6CF0"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91</w:t>
                  </w:r>
                </w:p>
              </w:tc>
              <w:tc>
                <w:tcPr>
                  <w:tcW w:w="406" w:type="pct"/>
                  <w:shd w:val="clear" w:color="auto" w:fill="FFFFFF" w:themeFill="background1"/>
                  <w:vAlign w:val="bottom"/>
                </w:tcPr>
                <w:p w14:paraId="79655D6C" w14:textId="77777777" w:rsidR="00AA7C86" w:rsidRPr="00AA6CF0"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37</w:t>
                  </w:r>
                </w:p>
              </w:tc>
              <w:tc>
                <w:tcPr>
                  <w:tcW w:w="406" w:type="pct"/>
                  <w:shd w:val="clear" w:color="auto" w:fill="FFFFFF" w:themeFill="background1"/>
                  <w:vAlign w:val="bottom"/>
                </w:tcPr>
                <w:p w14:paraId="40BDED93" w14:textId="77777777" w:rsidR="00AA7C86" w:rsidRPr="00AA6CF0"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5</w:t>
                  </w:r>
                </w:p>
              </w:tc>
              <w:tc>
                <w:tcPr>
                  <w:tcW w:w="405" w:type="pct"/>
                  <w:shd w:val="clear" w:color="auto" w:fill="FFFFFF" w:themeFill="background1"/>
                  <w:vAlign w:val="bottom"/>
                </w:tcPr>
                <w:p w14:paraId="514FE543" w14:textId="77777777" w:rsidR="00AA7C86" w:rsidRPr="00212A49" w:rsidRDefault="00AA7C86" w:rsidP="00B95343">
                  <w:pPr>
                    <w:pStyle w:val="TableColumnHeading"/>
                    <w:spacing w:before="0" w:after="40"/>
                    <w:ind w:right="28"/>
                    <w:rPr>
                      <w:i w:val="0"/>
                    </w:rPr>
                  </w:pPr>
                  <w:r w:rsidRPr="00212A49">
                    <w:rPr>
                      <w:rFonts w:asciiTheme="minorHAnsi" w:hAnsiTheme="minorHAnsi" w:cstheme="minorHAnsi"/>
                      <w:i w:val="0"/>
                      <w:color w:val="000000" w:themeColor="text1"/>
                      <w:szCs w:val="18"/>
                    </w:rPr>
                    <w:t>-</w:t>
                  </w:r>
                  <w:r w:rsidRPr="00212A49">
                    <w:rPr>
                      <w:rFonts w:asciiTheme="minorHAnsi" w:hAnsiTheme="minorHAnsi" w:cstheme="minorHAnsi"/>
                      <w:bCs/>
                      <w:i w:val="0"/>
                      <w:color w:val="000000" w:themeColor="text1"/>
                      <w:szCs w:val="18"/>
                    </w:rPr>
                    <w:t>55</w:t>
                  </w:r>
                </w:p>
              </w:tc>
            </w:tr>
            <w:tr w:rsidR="00AA7C86" w14:paraId="1ACA88D9" w14:textId="77777777" w:rsidTr="00AA7C86">
              <w:tc>
                <w:tcPr>
                  <w:tcW w:w="1724" w:type="pct"/>
                  <w:shd w:val="clear" w:color="auto" w:fill="F2F2F2" w:themeFill="background1" w:themeFillShade="F2"/>
                  <w:vAlign w:val="center"/>
                </w:tcPr>
                <w:p w14:paraId="069DFC2C" w14:textId="77777777" w:rsidR="00AA7C86" w:rsidRDefault="00AA7C86" w:rsidP="00B95343">
                  <w:pPr>
                    <w:pStyle w:val="TableBodyText"/>
                    <w:jc w:val="left"/>
                  </w:pPr>
                  <w:r>
                    <w:t xml:space="preserve"> GST, upper bound ($m)</w:t>
                  </w:r>
                </w:p>
              </w:tc>
              <w:tc>
                <w:tcPr>
                  <w:tcW w:w="419" w:type="pct"/>
                  <w:shd w:val="clear" w:color="auto" w:fill="F2F2F2" w:themeFill="background1" w:themeFillShade="F2"/>
                  <w:vAlign w:val="bottom"/>
                </w:tcPr>
                <w:p w14:paraId="75DFD609" w14:textId="77777777" w:rsidR="00AA7C86" w:rsidRPr="00117BEB" w:rsidRDefault="00AA7C86" w:rsidP="00B95343">
                  <w:pPr>
                    <w:pStyle w:val="TableBodyText"/>
                  </w:pPr>
                  <w:r w:rsidRPr="007771F9">
                    <w:rPr>
                      <w:rFonts w:asciiTheme="minorHAnsi" w:hAnsiTheme="minorHAnsi" w:cstheme="minorHAnsi"/>
                      <w:bCs/>
                      <w:color w:val="000000" w:themeColor="text1"/>
                      <w:szCs w:val="18"/>
                    </w:rPr>
                    <w:t>100</w:t>
                  </w:r>
                </w:p>
              </w:tc>
              <w:tc>
                <w:tcPr>
                  <w:tcW w:w="406" w:type="pct"/>
                  <w:shd w:val="clear" w:color="auto" w:fill="F2F2F2" w:themeFill="background1" w:themeFillShade="F2"/>
                  <w:vAlign w:val="bottom"/>
                </w:tcPr>
                <w:p w14:paraId="2723097F" w14:textId="77777777" w:rsidR="00AA7C86" w:rsidRPr="00117BEB" w:rsidRDefault="00AA7C86" w:rsidP="00B95343">
                  <w:pPr>
                    <w:pStyle w:val="TableBodyText"/>
                  </w:pPr>
                  <w:r w:rsidRPr="007771F9">
                    <w:rPr>
                      <w:rFonts w:asciiTheme="minorHAnsi" w:hAnsiTheme="minorHAnsi" w:cstheme="minorHAnsi"/>
                      <w:bCs/>
                      <w:color w:val="000000" w:themeColor="text1"/>
                      <w:szCs w:val="18"/>
                    </w:rPr>
                    <w:t>-13</w:t>
                  </w:r>
                </w:p>
              </w:tc>
              <w:tc>
                <w:tcPr>
                  <w:tcW w:w="415" w:type="pct"/>
                  <w:gridSpan w:val="2"/>
                  <w:shd w:val="clear" w:color="auto" w:fill="F2F2F2" w:themeFill="background1" w:themeFillShade="F2"/>
                  <w:vAlign w:val="bottom"/>
                </w:tcPr>
                <w:p w14:paraId="063008DC" w14:textId="77777777" w:rsidR="00AA7C86" w:rsidRPr="00117BEB" w:rsidRDefault="00AA7C86" w:rsidP="00B95343">
                  <w:pPr>
                    <w:pStyle w:val="TableBodyText"/>
                  </w:pPr>
                  <w:r w:rsidRPr="007771F9">
                    <w:rPr>
                      <w:rFonts w:asciiTheme="minorHAnsi" w:hAnsiTheme="minorHAnsi" w:cstheme="minorHAnsi"/>
                      <w:bCs/>
                      <w:color w:val="000000" w:themeColor="text1"/>
                      <w:szCs w:val="18"/>
                    </w:rPr>
                    <w:t>281</w:t>
                  </w:r>
                </w:p>
              </w:tc>
              <w:tc>
                <w:tcPr>
                  <w:tcW w:w="407" w:type="pct"/>
                  <w:shd w:val="clear" w:color="auto" w:fill="F2F2F2" w:themeFill="background1" w:themeFillShade="F2"/>
                  <w:vAlign w:val="bottom"/>
                </w:tcPr>
                <w:p w14:paraId="7BD08A7A" w14:textId="77777777" w:rsidR="00AA7C86" w:rsidRPr="00117BEB"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227</w:t>
                  </w:r>
                </w:p>
              </w:tc>
              <w:tc>
                <w:tcPr>
                  <w:tcW w:w="412" w:type="pct"/>
                  <w:shd w:val="clear" w:color="auto" w:fill="F2F2F2" w:themeFill="background1" w:themeFillShade="F2"/>
                  <w:vAlign w:val="bottom"/>
                </w:tcPr>
                <w:p w14:paraId="0A5D711F" w14:textId="77777777" w:rsidR="00AA7C86" w:rsidRPr="00117BEB"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116</w:t>
                  </w:r>
                </w:p>
              </w:tc>
              <w:tc>
                <w:tcPr>
                  <w:tcW w:w="406" w:type="pct"/>
                  <w:shd w:val="clear" w:color="auto" w:fill="F2F2F2" w:themeFill="background1" w:themeFillShade="F2"/>
                  <w:vAlign w:val="bottom"/>
                </w:tcPr>
                <w:p w14:paraId="3DC95D0C" w14:textId="77777777" w:rsidR="00AA7C86" w:rsidRPr="00117BEB"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14</w:t>
                  </w:r>
                </w:p>
              </w:tc>
              <w:tc>
                <w:tcPr>
                  <w:tcW w:w="406" w:type="pct"/>
                  <w:shd w:val="clear" w:color="auto" w:fill="F2F2F2" w:themeFill="background1" w:themeFillShade="F2"/>
                  <w:vAlign w:val="bottom"/>
                </w:tcPr>
                <w:p w14:paraId="71036455" w14:textId="77777777" w:rsidR="00AA7C86" w:rsidRPr="00117BEB"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1</w:t>
                  </w:r>
                </w:p>
              </w:tc>
              <w:tc>
                <w:tcPr>
                  <w:tcW w:w="405" w:type="pct"/>
                  <w:shd w:val="clear" w:color="auto" w:fill="F2F2F2" w:themeFill="background1" w:themeFillShade="F2"/>
                  <w:vAlign w:val="bottom"/>
                </w:tcPr>
                <w:p w14:paraId="2A2CFBF4" w14:textId="77777777" w:rsidR="00AA7C86" w:rsidRPr="00212A49" w:rsidRDefault="00AA7C86" w:rsidP="00B95343">
                  <w:pPr>
                    <w:pStyle w:val="TableColumnHeading"/>
                    <w:spacing w:before="0" w:after="40"/>
                    <w:ind w:right="28"/>
                    <w:rPr>
                      <w:i w:val="0"/>
                    </w:rPr>
                  </w:pPr>
                  <w:r w:rsidRPr="00212A49">
                    <w:rPr>
                      <w:rFonts w:asciiTheme="minorHAnsi" w:hAnsiTheme="minorHAnsi" w:cstheme="minorHAnsi"/>
                      <w:i w:val="0"/>
                      <w:color w:val="000000" w:themeColor="text1"/>
                      <w:szCs w:val="18"/>
                    </w:rPr>
                    <w:t>-</w:t>
                  </w:r>
                  <w:r w:rsidRPr="00212A49">
                    <w:rPr>
                      <w:rFonts w:asciiTheme="minorHAnsi" w:hAnsiTheme="minorHAnsi" w:cstheme="minorHAnsi"/>
                      <w:bCs/>
                      <w:i w:val="0"/>
                      <w:color w:val="000000" w:themeColor="text1"/>
                      <w:szCs w:val="18"/>
                    </w:rPr>
                    <w:t>10</w:t>
                  </w:r>
                </w:p>
              </w:tc>
            </w:tr>
            <w:tr w:rsidR="00AA7C86" w14:paraId="157C8394" w14:textId="77777777" w:rsidTr="00B95343">
              <w:tc>
                <w:tcPr>
                  <w:tcW w:w="1724" w:type="pct"/>
                  <w:tcBorders>
                    <w:bottom w:val="single" w:sz="6" w:space="0" w:color="BFBFBF"/>
                  </w:tcBorders>
                  <w:shd w:val="clear" w:color="auto" w:fill="FFFFFF" w:themeFill="background1"/>
                  <w:vAlign w:val="center"/>
                </w:tcPr>
                <w:p w14:paraId="66F0B210" w14:textId="77777777" w:rsidR="00AA7C86" w:rsidRDefault="00AA7C86" w:rsidP="00B95343">
                  <w:pPr>
                    <w:pStyle w:val="TableBodyText"/>
                    <w:jc w:val="left"/>
                  </w:pPr>
                  <w:r>
                    <w:t xml:space="preserve"> GST, upper bound ($pc)</w:t>
                  </w:r>
                </w:p>
              </w:tc>
              <w:tc>
                <w:tcPr>
                  <w:tcW w:w="419" w:type="pct"/>
                  <w:tcBorders>
                    <w:bottom w:val="single" w:sz="6" w:space="0" w:color="BFBFBF"/>
                  </w:tcBorders>
                  <w:shd w:val="clear" w:color="auto" w:fill="FFFFFF" w:themeFill="background1"/>
                  <w:vAlign w:val="bottom"/>
                </w:tcPr>
                <w:p w14:paraId="3AEC09B9" w14:textId="77777777" w:rsidR="00AA7C86" w:rsidRPr="00117BEB" w:rsidRDefault="00AA7C86" w:rsidP="00B95343">
                  <w:pPr>
                    <w:pStyle w:val="TableBodyText"/>
                  </w:pPr>
                  <w:r w:rsidRPr="007771F9">
                    <w:rPr>
                      <w:rFonts w:asciiTheme="minorHAnsi" w:hAnsiTheme="minorHAnsi" w:cstheme="minorHAnsi"/>
                      <w:bCs/>
                      <w:color w:val="000000" w:themeColor="text1"/>
                      <w:szCs w:val="18"/>
                    </w:rPr>
                    <w:t>13</w:t>
                  </w:r>
                </w:p>
              </w:tc>
              <w:tc>
                <w:tcPr>
                  <w:tcW w:w="406" w:type="pct"/>
                  <w:tcBorders>
                    <w:bottom w:val="single" w:sz="6" w:space="0" w:color="BFBFBF"/>
                  </w:tcBorders>
                  <w:shd w:val="clear" w:color="auto" w:fill="FFFFFF" w:themeFill="background1"/>
                  <w:vAlign w:val="bottom"/>
                </w:tcPr>
                <w:p w14:paraId="0C3DC5FE" w14:textId="77777777" w:rsidR="00AA7C86" w:rsidRPr="00117BEB" w:rsidRDefault="00AA7C86" w:rsidP="00B95343">
                  <w:pPr>
                    <w:pStyle w:val="TableBodyText"/>
                  </w:pPr>
                  <w:r w:rsidRPr="007771F9">
                    <w:rPr>
                      <w:rFonts w:asciiTheme="minorHAnsi" w:hAnsiTheme="minorHAnsi" w:cstheme="minorHAnsi"/>
                      <w:bCs/>
                      <w:color w:val="000000" w:themeColor="text1"/>
                      <w:szCs w:val="18"/>
                    </w:rPr>
                    <w:t>-2</w:t>
                  </w:r>
                </w:p>
              </w:tc>
              <w:tc>
                <w:tcPr>
                  <w:tcW w:w="415" w:type="pct"/>
                  <w:gridSpan w:val="2"/>
                  <w:tcBorders>
                    <w:bottom w:val="single" w:sz="6" w:space="0" w:color="BFBFBF"/>
                  </w:tcBorders>
                  <w:shd w:val="clear" w:color="auto" w:fill="FFFFFF" w:themeFill="background1"/>
                  <w:vAlign w:val="bottom"/>
                </w:tcPr>
                <w:p w14:paraId="38E15533" w14:textId="77777777" w:rsidR="00AA7C86" w:rsidRPr="00117BEB" w:rsidRDefault="00AA7C86" w:rsidP="00B95343">
                  <w:pPr>
                    <w:pStyle w:val="TableBodyText"/>
                  </w:pPr>
                  <w:r w:rsidRPr="007771F9">
                    <w:rPr>
                      <w:rFonts w:asciiTheme="minorHAnsi" w:hAnsiTheme="minorHAnsi" w:cstheme="minorHAnsi"/>
                      <w:bCs/>
                      <w:color w:val="000000" w:themeColor="text1"/>
                      <w:szCs w:val="18"/>
                    </w:rPr>
                    <w:t>58</w:t>
                  </w:r>
                </w:p>
              </w:tc>
              <w:tc>
                <w:tcPr>
                  <w:tcW w:w="407" w:type="pct"/>
                  <w:tcBorders>
                    <w:bottom w:val="single" w:sz="6" w:space="0" w:color="BFBFBF"/>
                  </w:tcBorders>
                  <w:shd w:val="clear" w:color="auto" w:fill="FFFFFF" w:themeFill="background1"/>
                  <w:vAlign w:val="bottom"/>
                </w:tcPr>
                <w:p w14:paraId="378E5AA6" w14:textId="77777777" w:rsidR="00AA7C86" w:rsidRPr="00117BEB"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88</w:t>
                  </w:r>
                </w:p>
              </w:tc>
              <w:tc>
                <w:tcPr>
                  <w:tcW w:w="412" w:type="pct"/>
                  <w:tcBorders>
                    <w:bottom w:val="single" w:sz="6" w:space="0" w:color="BFBFBF"/>
                  </w:tcBorders>
                  <w:shd w:val="clear" w:color="auto" w:fill="FFFFFF" w:themeFill="background1"/>
                  <w:vAlign w:val="bottom"/>
                </w:tcPr>
                <w:p w14:paraId="6B3852F7" w14:textId="77777777" w:rsidR="00AA7C86" w:rsidRPr="00117BEB" w:rsidRDefault="00AA7C86" w:rsidP="00B95343">
                  <w:pPr>
                    <w:pStyle w:val="TableBodyText"/>
                  </w:pPr>
                  <w:r w:rsidRPr="007771F9">
                    <w:rPr>
                      <w:rFonts w:asciiTheme="minorHAnsi" w:hAnsiTheme="minorHAnsi" w:cstheme="minorHAnsi"/>
                      <w:color w:val="000000" w:themeColor="text1"/>
                      <w:szCs w:val="18"/>
                    </w:rPr>
                    <w:t>-68</w:t>
                  </w:r>
                </w:p>
              </w:tc>
              <w:tc>
                <w:tcPr>
                  <w:tcW w:w="406" w:type="pct"/>
                  <w:tcBorders>
                    <w:bottom w:val="single" w:sz="6" w:space="0" w:color="BFBFBF"/>
                  </w:tcBorders>
                  <w:shd w:val="clear" w:color="auto" w:fill="FFFFFF" w:themeFill="background1"/>
                  <w:vAlign w:val="bottom"/>
                </w:tcPr>
                <w:p w14:paraId="6AD3C491" w14:textId="77777777" w:rsidR="00AA7C86" w:rsidRPr="00117BEB"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27</w:t>
                  </w:r>
                </w:p>
              </w:tc>
              <w:tc>
                <w:tcPr>
                  <w:tcW w:w="406" w:type="pct"/>
                  <w:tcBorders>
                    <w:bottom w:val="single" w:sz="6" w:space="0" w:color="BFBFBF"/>
                  </w:tcBorders>
                  <w:shd w:val="clear" w:color="auto" w:fill="FFFFFF" w:themeFill="background1"/>
                  <w:vAlign w:val="bottom"/>
                </w:tcPr>
                <w:p w14:paraId="5928CBCF" w14:textId="77777777" w:rsidR="00AA7C86" w:rsidRPr="00117BEB" w:rsidRDefault="00AA7C86" w:rsidP="00B95343">
                  <w:pPr>
                    <w:pStyle w:val="TableBodyText"/>
                  </w:pPr>
                  <w:r w:rsidRPr="007771F9">
                    <w:rPr>
                      <w:rFonts w:asciiTheme="minorHAnsi" w:hAnsiTheme="minorHAnsi" w:cstheme="minorHAnsi"/>
                      <w:color w:val="000000" w:themeColor="text1"/>
                      <w:szCs w:val="18"/>
                    </w:rPr>
                    <w:t>-</w:t>
                  </w:r>
                  <w:r w:rsidRPr="007771F9">
                    <w:rPr>
                      <w:rFonts w:asciiTheme="minorHAnsi" w:hAnsiTheme="minorHAnsi" w:cstheme="minorHAnsi"/>
                      <w:bCs/>
                      <w:color w:val="000000" w:themeColor="text1"/>
                      <w:szCs w:val="18"/>
                    </w:rPr>
                    <w:t>3</w:t>
                  </w:r>
                </w:p>
              </w:tc>
              <w:tc>
                <w:tcPr>
                  <w:tcW w:w="405" w:type="pct"/>
                  <w:tcBorders>
                    <w:bottom w:val="single" w:sz="6" w:space="0" w:color="BFBFBF"/>
                  </w:tcBorders>
                  <w:shd w:val="clear" w:color="auto" w:fill="FFFFFF" w:themeFill="background1"/>
                  <w:vAlign w:val="bottom"/>
                </w:tcPr>
                <w:p w14:paraId="0D1FBC03" w14:textId="77777777" w:rsidR="00AA7C86" w:rsidRPr="00212A49" w:rsidRDefault="00AA7C86" w:rsidP="00B95343">
                  <w:pPr>
                    <w:pStyle w:val="TableColumnHeading"/>
                    <w:spacing w:before="0" w:after="40"/>
                    <w:ind w:right="28"/>
                    <w:rPr>
                      <w:i w:val="0"/>
                    </w:rPr>
                  </w:pPr>
                  <w:r w:rsidRPr="00212A49">
                    <w:rPr>
                      <w:rFonts w:asciiTheme="minorHAnsi" w:hAnsiTheme="minorHAnsi" w:cstheme="minorHAnsi"/>
                      <w:i w:val="0"/>
                      <w:color w:val="000000" w:themeColor="text1"/>
                      <w:szCs w:val="18"/>
                    </w:rPr>
                    <w:t>-</w:t>
                  </w:r>
                  <w:r w:rsidRPr="00212A49">
                    <w:rPr>
                      <w:rFonts w:asciiTheme="minorHAnsi" w:hAnsiTheme="minorHAnsi" w:cstheme="minorHAnsi"/>
                      <w:bCs/>
                      <w:i w:val="0"/>
                      <w:color w:val="000000" w:themeColor="text1"/>
                      <w:szCs w:val="18"/>
                    </w:rPr>
                    <w:t>41</w:t>
                  </w:r>
                </w:p>
              </w:tc>
            </w:tr>
            <w:tr w:rsidR="00AA7C86" w14:paraId="2CBE72E7" w14:textId="77777777" w:rsidTr="00B95343">
              <w:tc>
                <w:tcPr>
                  <w:tcW w:w="5000" w:type="pct"/>
                  <w:gridSpan w:val="10"/>
                  <w:tcBorders>
                    <w:top w:val="single" w:sz="6" w:space="0" w:color="BFBFBF"/>
                  </w:tcBorders>
                  <w:shd w:val="clear" w:color="auto" w:fill="FFFFFF" w:themeFill="background1"/>
                  <w:vAlign w:val="center"/>
                </w:tcPr>
                <w:p w14:paraId="64D078FD" w14:textId="77777777" w:rsidR="00AA7C86" w:rsidRPr="00994633" w:rsidRDefault="00AA7C86" w:rsidP="00B95343">
                  <w:pPr>
                    <w:pStyle w:val="TableBodyText"/>
                    <w:spacing w:before="80" w:after="80"/>
                    <w:jc w:val="left"/>
                    <w:rPr>
                      <w:b/>
                    </w:rPr>
                  </w:pPr>
                  <w:r w:rsidRPr="00994633">
                    <w:rPr>
                      <w:b/>
                    </w:rPr>
                    <w:t xml:space="preserve">Cameo </w:t>
                  </w:r>
                  <w:r>
                    <w:rPr>
                      <w:b/>
                    </w:rPr>
                    <w:t>2</w:t>
                  </w:r>
                  <w:r w:rsidRPr="00994633">
                    <w:rPr>
                      <w:b/>
                    </w:rPr>
                    <w:t xml:space="preserve">: </w:t>
                  </w:r>
                  <w:r>
                    <w:rPr>
                      <w:b/>
                    </w:rPr>
                    <w:t>Abolishing insurance taxes</w:t>
                  </w:r>
                </w:p>
              </w:tc>
            </w:tr>
            <w:tr w:rsidR="00AA7C86" w14:paraId="6111E53E" w14:textId="77777777" w:rsidTr="00B95343">
              <w:tc>
                <w:tcPr>
                  <w:tcW w:w="1724" w:type="pct"/>
                  <w:shd w:val="clear" w:color="auto" w:fill="FFFFFF" w:themeFill="background1"/>
                  <w:vAlign w:val="center"/>
                </w:tcPr>
                <w:p w14:paraId="214ADE76" w14:textId="77777777" w:rsidR="00AA7C86" w:rsidRDefault="00AA7C86" w:rsidP="00B95343">
                  <w:pPr>
                    <w:pStyle w:val="TableBodyText"/>
                    <w:jc w:val="left"/>
                    <w:rPr>
                      <w:b/>
                    </w:rPr>
                  </w:pPr>
                  <w:r>
                    <w:t>Loss in own</w:t>
                  </w:r>
                  <w:r>
                    <w:noBreakHyphen/>
                    <w:t>source revenue ($m)</w:t>
                  </w:r>
                </w:p>
              </w:tc>
              <w:tc>
                <w:tcPr>
                  <w:tcW w:w="419" w:type="pct"/>
                  <w:shd w:val="clear" w:color="auto" w:fill="FFFFFF" w:themeFill="background1"/>
                  <w:vAlign w:val="bottom"/>
                </w:tcPr>
                <w:p w14:paraId="504526D7" w14:textId="77777777" w:rsidR="00AA7C86" w:rsidRDefault="00AA7C86" w:rsidP="00B95343">
                  <w:pPr>
                    <w:pStyle w:val="TableBodyText"/>
                    <w:rPr>
                      <w:b/>
                    </w:rPr>
                  </w:pPr>
                  <w:r w:rsidRPr="00C85B36">
                    <w:rPr>
                      <w:rFonts w:asciiTheme="minorHAnsi" w:hAnsiTheme="minorHAnsi" w:cstheme="minorHAnsi"/>
                      <w:color w:val="000000"/>
                      <w:szCs w:val="18"/>
                    </w:rPr>
                    <w:t>1</w:t>
                  </w:r>
                  <w:r>
                    <w:rPr>
                      <w:rFonts w:asciiTheme="minorHAnsi" w:hAnsiTheme="minorHAnsi" w:cstheme="minorHAnsi"/>
                      <w:color w:val="000000"/>
                      <w:szCs w:val="18"/>
                    </w:rPr>
                    <w:t> </w:t>
                  </w:r>
                  <w:r w:rsidRPr="00C85B36">
                    <w:rPr>
                      <w:rFonts w:asciiTheme="minorHAnsi" w:hAnsiTheme="minorHAnsi" w:cstheme="minorHAnsi"/>
                      <w:color w:val="000000"/>
                      <w:szCs w:val="18"/>
                    </w:rPr>
                    <w:t>985</w:t>
                  </w:r>
                </w:p>
              </w:tc>
              <w:tc>
                <w:tcPr>
                  <w:tcW w:w="406" w:type="pct"/>
                  <w:shd w:val="clear" w:color="auto" w:fill="FFFFFF" w:themeFill="background1"/>
                  <w:vAlign w:val="bottom"/>
                </w:tcPr>
                <w:p w14:paraId="07EFD502" w14:textId="77777777" w:rsidR="00AA7C86" w:rsidRDefault="00AA7C86" w:rsidP="00B95343">
                  <w:pPr>
                    <w:pStyle w:val="TableBodyText"/>
                    <w:rPr>
                      <w:b/>
                    </w:rPr>
                  </w:pPr>
                  <w:r w:rsidRPr="00C85B36">
                    <w:rPr>
                      <w:rFonts w:asciiTheme="minorHAnsi" w:hAnsiTheme="minorHAnsi" w:cstheme="minorHAnsi"/>
                      <w:color w:val="000000"/>
                      <w:szCs w:val="18"/>
                    </w:rPr>
                    <w:t>1</w:t>
                  </w:r>
                  <w:r>
                    <w:rPr>
                      <w:rFonts w:asciiTheme="minorHAnsi" w:hAnsiTheme="minorHAnsi" w:cstheme="minorHAnsi"/>
                      <w:color w:val="000000"/>
                      <w:szCs w:val="18"/>
                    </w:rPr>
                    <w:t> </w:t>
                  </w:r>
                  <w:r w:rsidRPr="00C85B36">
                    <w:rPr>
                      <w:rFonts w:asciiTheme="minorHAnsi" w:hAnsiTheme="minorHAnsi" w:cstheme="minorHAnsi"/>
                      <w:color w:val="000000"/>
                      <w:szCs w:val="18"/>
                    </w:rPr>
                    <w:t>218</w:t>
                  </w:r>
                </w:p>
              </w:tc>
              <w:tc>
                <w:tcPr>
                  <w:tcW w:w="411" w:type="pct"/>
                  <w:shd w:val="clear" w:color="auto" w:fill="FFFFFF" w:themeFill="background1"/>
                  <w:vAlign w:val="bottom"/>
                </w:tcPr>
                <w:p w14:paraId="16CB6B78" w14:textId="77777777" w:rsidR="00AA7C86" w:rsidRDefault="00AA7C86" w:rsidP="00B95343">
                  <w:pPr>
                    <w:pStyle w:val="TableBodyText"/>
                    <w:rPr>
                      <w:b/>
                    </w:rPr>
                  </w:pPr>
                  <w:r w:rsidRPr="00C85B36">
                    <w:rPr>
                      <w:rFonts w:asciiTheme="minorHAnsi" w:hAnsiTheme="minorHAnsi" w:cstheme="minorHAnsi"/>
                      <w:color w:val="000000"/>
                      <w:szCs w:val="18"/>
                    </w:rPr>
                    <w:t>828</w:t>
                  </w:r>
                </w:p>
              </w:tc>
              <w:tc>
                <w:tcPr>
                  <w:tcW w:w="411" w:type="pct"/>
                  <w:gridSpan w:val="2"/>
                  <w:shd w:val="clear" w:color="auto" w:fill="FFFFFF" w:themeFill="background1"/>
                  <w:vAlign w:val="bottom"/>
                </w:tcPr>
                <w:p w14:paraId="14E6A7D9" w14:textId="77777777" w:rsidR="00AA7C86" w:rsidRDefault="00AA7C86" w:rsidP="00B95343">
                  <w:pPr>
                    <w:pStyle w:val="TableBodyText"/>
                    <w:rPr>
                      <w:b/>
                    </w:rPr>
                  </w:pPr>
                  <w:r w:rsidRPr="00C85B36">
                    <w:rPr>
                      <w:rFonts w:asciiTheme="minorHAnsi" w:hAnsiTheme="minorHAnsi" w:cstheme="minorHAnsi"/>
                      <w:color w:val="000000"/>
                      <w:szCs w:val="18"/>
                    </w:rPr>
                    <w:t>661</w:t>
                  </w:r>
                </w:p>
              </w:tc>
              <w:tc>
                <w:tcPr>
                  <w:tcW w:w="412" w:type="pct"/>
                  <w:shd w:val="clear" w:color="auto" w:fill="FFFFFF" w:themeFill="background1"/>
                  <w:vAlign w:val="bottom"/>
                </w:tcPr>
                <w:p w14:paraId="6FC1EDB8" w14:textId="77777777" w:rsidR="00AA7C86" w:rsidRDefault="00AA7C86" w:rsidP="00B95343">
                  <w:pPr>
                    <w:pStyle w:val="TableBodyText"/>
                    <w:rPr>
                      <w:b/>
                    </w:rPr>
                  </w:pPr>
                  <w:r w:rsidRPr="00C85B36">
                    <w:rPr>
                      <w:rFonts w:asciiTheme="minorHAnsi" w:hAnsiTheme="minorHAnsi" w:cstheme="minorHAnsi"/>
                      <w:color w:val="000000"/>
                      <w:szCs w:val="18"/>
                    </w:rPr>
                    <w:t>479</w:t>
                  </w:r>
                </w:p>
              </w:tc>
              <w:tc>
                <w:tcPr>
                  <w:tcW w:w="406" w:type="pct"/>
                  <w:shd w:val="clear" w:color="auto" w:fill="FFFFFF" w:themeFill="background1"/>
                  <w:vAlign w:val="bottom"/>
                </w:tcPr>
                <w:p w14:paraId="7DC9AD64" w14:textId="77777777" w:rsidR="00AA7C86" w:rsidRDefault="00AA7C86" w:rsidP="00B95343">
                  <w:pPr>
                    <w:pStyle w:val="TableBodyText"/>
                    <w:rPr>
                      <w:b/>
                    </w:rPr>
                  </w:pPr>
                  <w:r w:rsidRPr="00C85B36">
                    <w:rPr>
                      <w:rFonts w:asciiTheme="minorHAnsi" w:hAnsiTheme="minorHAnsi" w:cstheme="minorHAnsi"/>
                      <w:color w:val="000000"/>
                      <w:szCs w:val="18"/>
                    </w:rPr>
                    <w:t>104</w:t>
                  </w:r>
                </w:p>
              </w:tc>
              <w:tc>
                <w:tcPr>
                  <w:tcW w:w="406" w:type="pct"/>
                  <w:shd w:val="clear" w:color="auto" w:fill="FFFFFF" w:themeFill="background1"/>
                  <w:vAlign w:val="bottom"/>
                </w:tcPr>
                <w:p w14:paraId="3D0DD7C7" w14:textId="77777777" w:rsidR="00AA7C86" w:rsidRDefault="00AA7C86" w:rsidP="00B95343">
                  <w:pPr>
                    <w:pStyle w:val="TableBodyText"/>
                    <w:rPr>
                      <w:b/>
                    </w:rPr>
                  </w:pPr>
                  <w:r w:rsidRPr="00C85B36">
                    <w:rPr>
                      <w:rFonts w:asciiTheme="minorHAnsi" w:hAnsiTheme="minorHAnsi" w:cstheme="minorHAnsi"/>
                      <w:color w:val="000000"/>
                      <w:szCs w:val="18"/>
                    </w:rPr>
                    <w:t>20</w:t>
                  </w:r>
                </w:p>
              </w:tc>
              <w:tc>
                <w:tcPr>
                  <w:tcW w:w="405" w:type="pct"/>
                  <w:shd w:val="clear" w:color="auto" w:fill="FFFFFF" w:themeFill="background1"/>
                  <w:vAlign w:val="bottom"/>
                </w:tcPr>
                <w:p w14:paraId="571BD046" w14:textId="77777777" w:rsidR="00AA7C86" w:rsidRDefault="00AA7C86" w:rsidP="00B95343">
                  <w:pPr>
                    <w:pStyle w:val="TableBodyText"/>
                    <w:rPr>
                      <w:b/>
                    </w:rPr>
                  </w:pPr>
                  <w:r w:rsidRPr="00C85B36">
                    <w:rPr>
                      <w:rFonts w:asciiTheme="minorHAnsi" w:hAnsiTheme="minorHAnsi" w:cstheme="minorHAnsi"/>
                      <w:color w:val="000000"/>
                      <w:szCs w:val="18"/>
                    </w:rPr>
                    <w:t>43</w:t>
                  </w:r>
                </w:p>
              </w:tc>
            </w:tr>
            <w:tr w:rsidR="00AA7C86" w14:paraId="08AEE801" w14:textId="77777777" w:rsidTr="00B95343">
              <w:tc>
                <w:tcPr>
                  <w:tcW w:w="5000" w:type="pct"/>
                  <w:gridSpan w:val="10"/>
                  <w:shd w:val="clear" w:color="auto" w:fill="FFFFFF" w:themeFill="background1"/>
                  <w:vAlign w:val="center"/>
                </w:tcPr>
                <w:p w14:paraId="0694773C" w14:textId="77777777" w:rsidR="00AA7C86" w:rsidRDefault="00AA7C86" w:rsidP="00B95343">
                  <w:pPr>
                    <w:pStyle w:val="TableBodyText"/>
                    <w:spacing w:before="40"/>
                    <w:jc w:val="left"/>
                    <w:rPr>
                      <w:b/>
                    </w:rPr>
                  </w:pPr>
                  <w:r>
                    <w:rPr>
                      <w:i/>
                    </w:rPr>
                    <w:t>Unilateral reform</w:t>
                  </w:r>
                </w:p>
              </w:tc>
            </w:tr>
            <w:tr w:rsidR="00AA7C86" w14:paraId="20965A03" w14:textId="77777777" w:rsidTr="00AA7C86">
              <w:tc>
                <w:tcPr>
                  <w:tcW w:w="1724" w:type="pct"/>
                  <w:shd w:val="clear" w:color="auto" w:fill="F2F2F2" w:themeFill="background1" w:themeFillShade="F2"/>
                  <w:vAlign w:val="center"/>
                </w:tcPr>
                <w:p w14:paraId="39073279" w14:textId="77777777" w:rsidR="00AA7C86" w:rsidRDefault="00AA7C86" w:rsidP="00B95343">
                  <w:pPr>
                    <w:pStyle w:val="TableBodyText"/>
                    <w:jc w:val="left"/>
                  </w:pPr>
                  <w:r>
                    <w:t xml:space="preserve"> GST ($m)</w:t>
                  </w:r>
                </w:p>
              </w:tc>
              <w:tc>
                <w:tcPr>
                  <w:tcW w:w="419" w:type="pct"/>
                  <w:shd w:val="clear" w:color="auto" w:fill="F2F2F2" w:themeFill="background1" w:themeFillShade="F2"/>
                </w:tcPr>
                <w:p w14:paraId="64282A11" w14:textId="77777777" w:rsidR="00AA7C86" w:rsidRDefault="00AA7C86" w:rsidP="00B95343">
                  <w:pPr>
                    <w:pStyle w:val="TableBodyText"/>
                  </w:pPr>
                  <w:r w:rsidRPr="00594053">
                    <w:t>-</w:t>
                  </w:r>
                  <w:r>
                    <w:t>16</w:t>
                  </w:r>
                </w:p>
              </w:tc>
              <w:tc>
                <w:tcPr>
                  <w:tcW w:w="406" w:type="pct"/>
                  <w:shd w:val="clear" w:color="auto" w:fill="F2F2F2" w:themeFill="background1" w:themeFillShade="F2"/>
                </w:tcPr>
                <w:p w14:paraId="73E2AD68" w14:textId="77777777" w:rsidR="00AA7C86" w:rsidRDefault="00AA7C86" w:rsidP="00B95343">
                  <w:pPr>
                    <w:pStyle w:val="TableBodyText"/>
                  </w:pPr>
                  <w:r w:rsidRPr="00594053">
                    <w:t>-</w:t>
                  </w:r>
                  <w:r w:rsidRPr="003C4808">
                    <w:t>8</w:t>
                  </w:r>
                  <w:r>
                    <w:t>7</w:t>
                  </w:r>
                </w:p>
              </w:tc>
              <w:tc>
                <w:tcPr>
                  <w:tcW w:w="415" w:type="pct"/>
                  <w:gridSpan w:val="2"/>
                  <w:shd w:val="clear" w:color="auto" w:fill="F2F2F2" w:themeFill="background1" w:themeFillShade="F2"/>
                </w:tcPr>
                <w:p w14:paraId="5A2369D0" w14:textId="77777777" w:rsidR="00AA7C86" w:rsidRDefault="00AA7C86" w:rsidP="00B95343">
                  <w:pPr>
                    <w:pStyle w:val="TableBodyText"/>
                  </w:pPr>
                  <w:r w:rsidRPr="00594053">
                    <w:t>-</w:t>
                  </w:r>
                  <w:r>
                    <w:t>61</w:t>
                  </w:r>
                </w:p>
              </w:tc>
              <w:tc>
                <w:tcPr>
                  <w:tcW w:w="407" w:type="pct"/>
                  <w:shd w:val="clear" w:color="auto" w:fill="F2F2F2" w:themeFill="background1" w:themeFillShade="F2"/>
                </w:tcPr>
                <w:p w14:paraId="1B9F344B" w14:textId="77777777" w:rsidR="00AA7C86" w:rsidRDefault="00AA7C86" w:rsidP="00B95343">
                  <w:pPr>
                    <w:pStyle w:val="TableBodyText"/>
                  </w:pPr>
                  <w:r w:rsidRPr="00594053">
                    <w:t>-</w:t>
                  </w:r>
                  <w:r w:rsidRPr="003C4808">
                    <w:t>3</w:t>
                  </w:r>
                  <w:r>
                    <w:t>7</w:t>
                  </w:r>
                </w:p>
              </w:tc>
              <w:tc>
                <w:tcPr>
                  <w:tcW w:w="412" w:type="pct"/>
                  <w:shd w:val="clear" w:color="auto" w:fill="F2F2F2" w:themeFill="background1" w:themeFillShade="F2"/>
                </w:tcPr>
                <w:p w14:paraId="45A5F205" w14:textId="77777777" w:rsidR="00AA7C86" w:rsidRDefault="00AA7C86" w:rsidP="00B95343">
                  <w:pPr>
                    <w:pStyle w:val="TableBodyText"/>
                  </w:pPr>
                  <w:r w:rsidRPr="00594053">
                    <w:t>-</w:t>
                  </w:r>
                  <w:r>
                    <w:t>30</w:t>
                  </w:r>
                </w:p>
              </w:tc>
              <w:tc>
                <w:tcPr>
                  <w:tcW w:w="406" w:type="pct"/>
                  <w:shd w:val="clear" w:color="auto" w:fill="F2F2F2" w:themeFill="background1" w:themeFillShade="F2"/>
                </w:tcPr>
                <w:p w14:paraId="0A427C51" w14:textId="77777777" w:rsidR="00AA7C86" w:rsidRDefault="00AA7C86" w:rsidP="00B95343">
                  <w:pPr>
                    <w:pStyle w:val="TableBodyText"/>
                  </w:pPr>
                  <w:r w:rsidRPr="00594053">
                    <w:t>-8</w:t>
                  </w:r>
                </w:p>
              </w:tc>
              <w:tc>
                <w:tcPr>
                  <w:tcW w:w="406" w:type="pct"/>
                  <w:shd w:val="clear" w:color="auto" w:fill="F2F2F2" w:themeFill="background1" w:themeFillShade="F2"/>
                </w:tcPr>
                <w:p w14:paraId="33A7E261" w14:textId="77777777" w:rsidR="00AA7C86" w:rsidRDefault="00AA7C86" w:rsidP="00B95343">
                  <w:pPr>
                    <w:pStyle w:val="TableBodyText"/>
                  </w:pPr>
                  <w:r w:rsidRPr="00594053">
                    <w:t>-4</w:t>
                  </w:r>
                </w:p>
              </w:tc>
              <w:tc>
                <w:tcPr>
                  <w:tcW w:w="405" w:type="pct"/>
                  <w:shd w:val="clear" w:color="auto" w:fill="F2F2F2" w:themeFill="background1" w:themeFillShade="F2"/>
                </w:tcPr>
                <w:p w14:paraId="4AA46A7F" w14:textId="77777777" w:rsidR="00AA7C86" w:rsidRPr="00026DE5" w:rsidRDefault="00AA7C86" w:rsidP="00B95343">
                  <w:pPr>
                    <w:pStyle w:val="TableColumnHeading"/>
                    <w:spacing w:before="0" w:after="40"/>
                    <w:ind w:right="28"/>
                    <w:rPr>
                      <w:i w:val="0"/>
                    </w:rPr>
                  </w:pPr>
                  <w:r w:rsidRPr="00026DE5">
                    <w:rPr>
                      <w:i w:val="0"/>
                    </w:rPr>
                    <w:t>-3</w:t>
                  </w:r>
                </w:p>
              </w:tc>
            </w:tr>
            <w:tr w:rsidR="00AA7C86" w14:paraId="30011C4D" w14:textId="77777777" w:rsidTr="00B95343">
              <w:tc>
                <w:tcPr>
                  <w:tcW w:w="1724" w:type="pct"/>
                  <w:tcBorders>
                    <w:bottom w:val="single" w:sz="6" w:space="0" w:color="BFBFBF"/>
                  </w:tcBorders>
                  <w:shd w:val="clear" w:color="auto" w:fill="FFFFFF" w:themeFill="background1"/>
                  <w:vAlign w:val="center"/>
                </w:tcPr>
                <w:p w14:paraId="4307F0B1" w14:textId="77777777" w:rsidR="00AA7C86" w:rsidRDefault="00AA7C86" w:rsidP="00B95343">
                  <w:pPr>
                    <w:pStyle w:val="TableBodyText"/>
                    <w:jc w:val="left"/>
                  </w:pPr>
                  <w:r>
                    <w:t xml:space="preserve"> GST ($pc)</w:t>
                  </w:r>
                </w:p>
              </w:tc>
              <w:tc>
                <w:tcPr>
                  <w:tcW w:w="419" w:type="pct"/>
                  <w:tcBorders>
                    <w:bottom w:val="single" w:sz="6" w:space="0" w:color="BFBFBF"/>
                  </w:tcBorders>
                  <w:shd w:val="clear" w:color="auto" w:fill="FFFFFF" w:themeFill="background1"/>
                </w:tcPr>
                <w:p w14:paraId="22A99AB5" w14:textId="77777777" w:rsidR="00AA7C86" w:rsidRDefault="00AA7C86" w:rsidP="00B95343">
                  <w:pPr>
                    <w:pStyle w:val="TableBodyText"/>
                  </w:pPr>
                  <w:r w:rsidRPr="00594053">
                    <w:t>-</w:t>
                  </w:r>
                  <w:r>
                    <w:t>2</w:t>
                  </w:r>
                </w:p>
              </w:tc>
              <w:tc>
                <w:tcPr>
                  <w:tcW w:w="406" w:type="pct"/>
                  <w:tcBorders>
                    <w:bottom w:val="single" w:sz="6" w:space="0" w:color="BFBFBF"/>
                  </w:tcBorders>
                  <w:shd w:val="clear" w:color="auto" w:fill="FFFFFF" w:themeFill="background1"/>
                </w:tcPr>
                <w:p w14:paraId="5FA0D483" w14:textId="77777777" w:rsidR="00AA7C86" w:rsidRDefault="00AA7C86" w:rsidP="00B95343">
                  <w:pPr>
                    <w:pStyle w:val="TableBodyText"/>
                  </w:pPr>
                  <w:r w:rsidRPr="00594053">
                    <w:t>-</w:t>
                  </w:r>
                  <w:r>
                    <w:t>14</w:t>
                  </w:r>
                </w:p>
              </w:tc>
              <w:tc>
                <w:tcPr>
                  <w:tcW w:w="415" w:type="pct"/>
                  <w:gridSpan w:val="2"/>
                  <w:tcBorders>
                    <w:bottom w:val="single" w:sz="6" w:space="0" w:color="BFBFBF"/>
                  </w:tcBorders>
                  <w:shd w:val="clear" w:color="auto" w:fill="FFFFFF" w:themeFill="background1"/>
                </w:tcPr>
                <w:p w14:paraId="38059FB9" w14:textId="77777777" w:rsidR="00AA7C86" w:rsidRDefault="00AA7C86" w:rsidP="00B95343">
                  <w:pPr>
                    <w:pStyle w:val="TableBodyText"/>
                  </w:pPr>
                  <w:r w:rsidRPr="00594053">
                    <w:t>-12</w:t>
                  </w:r>
                </w:p>
              </w:tc>
              <w:tc>
                <w:tcPr>
                  <w:tcW w:w="407" w:type="pct"/>
                  <w:tcBorders>
                    <w:bottom w:val="single" w:sz="6" w:space="0" w:color="BFBFBF"/>
                  </w:tcBorders>
                  <w:shd w:val="clear" w:color="auto" w:fill="FFFFFF" w:themeFill="background1"/>
                </w:tcPr>
                <w:p w14:paraId="4ACD58E5" w14:textId="77777777" w:rsidR="00AA7C86" w:rsidRDefault="00AA7C86" w:rsidP="00B95343">
                  <w:pPr>
                    <w:pStyle w:val="TableBodyText"/>
                  </w:pPr>
                  <w:r w:rsidRPr="00594053">
                    <w:t>-14</w:t>
                  </w:r>
                </w:p>
              </w:tc>
              <w:tc>
                <w:tcPr>
                  <w:tcW w:w="412" w:type="pct"/>
                  <w:tcBorders>
                    <w:bottom w:val="single" w:sz="6" w:space="0" w:color="BFBFBF"/>
                  </w:tcBorders>
                  <w:shd w:val="clear" w:color="auto" w:fill="FFFFFF" w:themeFill="background1"/>
                </w:tcPr>
                <w:p w14:paraId="42D8171E" w14:textId="77777777" w:rsidR="00AA7C86" w:rsidRDefault="00AA7C86" w:rsidP="00B95343">
                  <w:pPr>
                    <w:pStyle w:val="TableBodyText"/>
                  </w:pPr>
                  <w:r w:rsidRPr="00594053">
                    <w:t>-17</w:t>
                  </w:r>
                </w:p>
              </w:tc>
              <w:tc>
                <w:tcPr>
                  <w:tcW w:w="406" w:type="pct"/>
                  <w:tcBorders>
                    <w:bottom w:val="single" w:sz="6" w:space="0" w:color="BFBFBF"/>
                  </w:tcBorders>
                  <w:shd w:val="clear" w:color="auto" w:fill="FFFFFF" w:themeFill="background1"/>
                </w:tcPr>
                <w:p w14:paraId="76FBB023" w14:textId="77777777" w:rsidR="00AA7C86" w:rsidRDefault="00AA7C86" w:rsidP="00B95343">
                  <w:pPr>
                    <w:pStyle w:val="TableBodyText"/>
                  </w:pPr>
                  <w:r w:rsidRPr="00594053">
                    <w:t>-15</w:t>
                  </w:r>
                </w:p>
              </w:tc>
              <w:tc>
                <w:tcPr>
                  <w:tcW w:w="406" w:type="pct"/>
                  <w:tcBorders>
                    <w:bottom w:val="single" w:sz="6" w:space="0" w:color="BFBFBF"/>
                  </w:tcBorders>
                  <w:shd w:val="clear" w:color="auto" w:fill="FFFFFF" w:themeFill="background1"/>
                </w:tcPr>
                <w:p w14:paraId="30A1318A" w14:textId="77777777" w:rsidR="00AA7C86" w:rsidRDefault="00AA7C86" w:rsidP="00B95343">
                  <w:pPr>
                    <w:pStyle w:val="TableBodyText"/>
                  </w:pPr>
                  <w:r w:rsidRPr="00594053">
                    <w:t>-</w:t>
                  </w:r>
                  <w:r>
                    <w:t>9</w:t>
                  </w:r>
                </w:p>
              </w:tc>
              <w:tc>
                <w:tcPr>
                  <w:tcW w:w="405" w:type="pct"/>
                  <w:tcBorders>
                    <w:bottom w:val="single" w:sz="6" w:space="0" w:color="BFBFBF"/>
                  </w:tcBorders>
                  <w:shd w:val="clear" w:color="auto" w:fill="FFFFFF" w:themeFill="background1"/>
                </w:tcPr>
                <w:p w14:paraId="32F65AAB" w14:textId="77777777" w:rsidR="00AA7C86" w:rsidRPr="007B10AA" w:rsidRDefault="00AA7C86" w:rsidP="00B95343">
                  <w:pPr>
                    <w:pStyle w:val="TableColumnHeading"/>
                    <w:spacing w:before="0" w:after="40"/>
                    <w:ind w:right="28"/>
                    <w:rPr>
                      <w:i w:val="0"/>
                    </w:rPr>
                  </w:pPr>
                  <w:r w:rsidRPr="007B10AA">
                    <w:rPr>
                      <w:i w:val="0"/>
                    </w:rPr>
                    <w:t>-11</w:t>
                  </w:r>
                </w:p>
              </w:tc>
            </w:tr>
            <w:tr w:rsidR="00AA7C86" w14:paraId="1811EA9C" w14:textId="77777777" w:rsidTr="00B95343">
              <w:trPr>
                <w:trHeight w:val="182"/>
              </w:trPr>
              <w:tc>
                <w:tcPr>
                  <w:tcW w:w="1724" w:type="pct"/>
                  <w:tcBorders>
                    <w:top w:val="single" w:sz="6" w:space="0" w:color="BFBFBF"/>
                  </w:tcBorders>
                  <w:shd w:val="clear" w:color="auto" w:fill="FFFFFF" w:themeFill="background1"/>
                  <w:vAlign w:val="center"/>
                </w:tcPr>
                <w:p w14:paraId="35A78912" w14:textId="77777777" w:rsidR="00AA7C86" w:rsidRDefault="00AA7C86" w:rsidP="00B95343">
                  <w:pPr>
                    <w:pStyle w:val="TableBodyText"/>
                    <w:spacing w:before="40"/>
                    <w:jc w:val="left"/>
                  </w:pPr>
                  <w:r>
                    <w:rPr>
                      <w:i/>
                    </w:rPr>
                    <w:t>Multilateral reform</w:t>
                  </w:r>
                </w:p>
              </w:tc>
              <w:tc>
                <w:tcPr>
                  <w:tcW w:w="419" w:type="pct"/>
                  <w:tcBorders>
                    <w:top w:val="single" w:sz="6" w:space="0" w:color="BFBFBF"/>
                  </w:tcBorders>
                  <w:shd w:val="clear" w:color="auto" w:fill="FFFFFF" w:themeFill="background1"/>
                  <w:vAlign w:val="center"/>
                </w:tcPr>
                <w:p w14:paraId="77423BDF" w14:textId="77777777" w:rsidR="00AA7C86" w:rsidRDefault="00AA7C86" w:rsidP="00B95343">
                  <w:pPr>
                    <w:pStyle w:val="TableBodyText"/>
                  </w:pPr>
                </w:p>
              </w:tc>
              <w:tc>
                <w:tcPr>
                  <w:tcW w:w="406" w:type="pct"/>
                  <w:tcBorders>
                    <w:top w:val="single" w:sz="6" w:space="0" w:color="BFBFBF"/>
                  </w:tcBorders>
                  <w:shd w:val="clear" w:color="auto" w:fill="FFFFFF" w:themeFill="background1"/>
                  <w:vAlign w:val="center"/>
                </w:tcPr>
                <w:p w14:paraId="42FFCD07" w14:textId="77777777" w:rsidR="00AA7C86" w:rsidRDefault="00AA7C86" w:rsidP="00B95343">
                  <w:pPr>
                    <w:pStyle w:val="TableBodyText"/>
                  </w:pPr>
                </w:p>
              </w:tc>
              <w:tc>
                <w:tcPr>
                  <w:tcW w:w="415" w:type="pct"/>
                  <w:gridSpan w:val="2"/>
                  <w:tcBorders>
                    <w:top w:val="single" w:sz="6" w:space="0" w:color="BFBFBF"/>
                  </w:tcBorders>
                  <w:shd w:val="clear" w:color="auto" w:fill="FFFFFF" w:themeFill="background1"/>
                  <w:vAlign w:val="center"/>
                </w:tcPr>
                <w:p w14:paraId="6A69587C" w14:textId="77777777" w:rsidR="00AA7C86" w:rsidRDefault="00AA7C86" w:rsidP="00B95343">
                  <w:pPr>
                    <w:pStyle w:val="TableBodyText"/>
                  </w:pPr>
                </w:p>
              </w:tc>
              <w:tc>
                <w:tcPr>
                  <w:tcW w:w="407" w:type="pct"/>
                  <w:tcBorders>
                    <w:top w:val="single" w:sz="6" w:space="0" w:color="BFBFBF"/>
                  </w:tcBorders>
                  <w:shd w:val="clear" w:color="auto" w:fill="FFFFFF" w:themeFill="background1"/>
                  <w:vAlign w:val="center"/>
                </w:tcPr>
                <w:p w14:paraId="6674902B" w14:textId="77777777" w:rsidR="00AA7C86" w:rsidRDefault="00AA7C86" w:rsidP="00B95343">
                  <w:pPr>
                    <w:pStyle w:val="TableBodyText"/>
                  </w:pPr>
                </w:p>
              </w:tc>
              <w:tc>
                <w:tcPr>
                  <w:tcW w:w="412" w:type="pct"/>
                  <w:tcBorders>
                    <w:top w:val="single" w:sz="6" w:space="0" w:color="BFBFBF"/>
                  </w:tcBorders>
                  <w:shd w:val="clear" w:color="auto" w:fill="FFFFFF" w:themeFill="background1"/>
                  <w:vAlign w:val="center"/>
                </w:tcPr>
                <w:p w14:paraId="20CBBCE1" w14:textId="77777777" w:rsidR="00AA7C86" w:rsidRDefault="00AA7C86" w:rsidP="00B95343">
                  <w:pPr>
                    <w:pStyle w:val="TableBodyText"/>
                  </w:pPr>
                </w:p>
              </w:tc>
              <w:tc>
                <w:tcPr>
                  <w:tcW w:w="406" w:type="pct"/>
                  <w:tcBorders>
                    <w:top w:val="single" w:sz="6" w:space="0" w:color="BFBFBF"/>
                  </w:tcBorders>
                  <w:shd w:val="clear" w:color="auto" w:fill="FFFFFF" w:themeFill="background1"/>
                  <w:vAlign w:val="center"/>
                </w:tcPr>
                <w:p w14:paraId="4319D5DC" w14:textId="77777777" w:rsidR="00AA7C86" w:rsidRDefault="00AA7C86" w:rsidP="00B95343">
                  <w:pPr>
                    <w:pStyle w:val="TableBodyText"/>
                  </w:pPr>
                </w:p>
              </w:tc>
              <w:tc>
                <w:tcPr>
                  <w:tcW w:w="406" w:type="pct"/>
                  <w:tcBorders>
                    <w:top w:val="single" w:sz="6" w:space="0" w:color="BFBFBF"/>
                  </w:tcBorders>
                  <w:shd w:val="clear" w:color="auto" w:fill="FFFFFF" w:themeFill="background1"/>
                  <w:vAlign w:val="center"/>
                </w:tcPr>
                <w:p w14:paraId="512E35C2" w14:textId="77777777" w:rsidR="00AA7C86" w:rsidRDefault="00AA7C86" w:rsidP="00B95343">
                  <w:pPr>
                    <w:pStyle w:val="TableBodyText"/>
                  </w:pPr>
                </w:p>
              </w:tc>
              <w:tc>
                <w:tcPr>
                  <w:tcW w:w="405" w:type="pct"/>
                  <w:tcBorders>
                    <w:top w:val="single" w:sz="6" w:space="0" w:color="BFBFBF"/>
                  </w:tcBorders>
                  <w:shd w:val="clear" w:color="auto" w:fill="FFFFFF" w:themeFill="background1"/>
                  <w:vAlign w:val="center"/>
                </w:tcPr>
                <w:p w14:paraId="74D12F56" w14:textId="77777777" w:rsidR="00AA7C86" w:rsidRPr="007B10AA" w:rsidRDefault="00AA7C86" w:rsidP="00B95343">
                  <w:pPr>
                    <w:pStyle w:val="TableColumnHeading"/>
                    <w:spacing w:before="0" w:after="40"/>
                    <w:ind w:right="28"/>
                    <w:rPr>
                      <w:i w:val="0"/>
                    </w:rPr>
                  </w:pPr>
                </w:p>
              </w:tc>
            </w:tr>
            <w:tr w:rsidR="00AA7C86" w14:paraId="02104F04" w14:textId="77777777" w:rsidTr="00AA7C86">
              <w:tc>
                <w:tcPr>
                  <w:tcW w:w="1724" w:type="pct"/>
                  <w:shd w:val="clear" w:color="auto" w:fill="F2F2F2" w:themeFill="background1" w:themeFillShade="F2"/>
                  <w:vAlign w:val="center"/>
                </w:tcPr>
                <w:p w14:paraId="02621999" w14:textId="77777777" w:rsidR="00AA7C86" w:rsidRDefault="00AA7C86" w:rsidP="00B95343">
                  <w:pPr>
                    <w:pStyle w:val="TableBodyText"/>
                    <w:jc w:val="left"/>
                  </w:pPr>
                  <w:r>
                    <w:t xml:space="preserve"> GST ($m)</w:t>
                  </w:r>
                </w:p>
              </w:tc>
              <w:tc>
                <w:tcPr>
                  <w:tcW w:w="419" w:type="pct"/>
                  <w:shd w:val="clear" w:color="auto" w:fill="F2F2F2" w:themeFill="background1" w:themeFillShade="F2"/>
                  <w:vAlign w:val="bottom"/>
                </w:tcPr>
                <w:p w14:paraId="087CBB88" w14:textId="77777777" w:rsidR="00AA7C86" w:rsidRDefault="00AA7C86" w:rsidP="00B95343">
                  <w:pPr>
                    <w:pStyle w:val="TableBodyText"/>
                  </w:pPr>
                  <w:r w:rsidRPr="00CA7E55">
                    <w:rPr>
                      <w:rFonts w:cs="Arial"/>
                      <w:color w:val="000000"/>
                      <w:szCs w:val="18"/>
                    </w:rPr>
                    <w:t>136</w:t>
                  </w:r>
                </w:p>
              </w:tc>
              <w:tc>
                <w:tcPr>
                  <w:tcW w:w="406" w:type="pct"/>
                  <w:shd w:val="clear" w:color="auto" w:fill="F2F2F2" w:themeFill="background1" w:themeFillShade="F2"/>
                  <w:vAlign w:val="bottom"/>
                </w:tcPr>
                <w:p w14:paraId="343305AF" w14:textId="77777777" w:rsidR="00AA7C86" w:rsidRDefault="00AA7C86" w:rsidP="00B95343">
                  <w:pPr>
                    <w:pStyle w:val="TableBodyText"/>
                  </w:pPr>
                  <w:r w:rsidRPr="00CA7E55">
                    <w:rPr>
                      <w:rFonts w:cs="Arial"/>
                      <w:color w:val="000000"/>
                      <w:szCs w:val="18"/>
                    </w:rPr>
                    <w:t>-99</w:t>
                  </w:r>
                </w:p>
              </w:tc>
              <w:tc>
                <w:tcPr>
                  <w:tcW w:w="415" w:type="pct"/>
                  <w:gridSpan w:val="2"/>
                  <w:shd w:val="clear" w:color="auto" w:fill="F2F2F2" w:themeFill="background1" w:themeFillShade="F2"/>
                  <w:vAlign w:val="bottom"/>
                </w:tcPr>
                <w:p w14:paraId="246DDAAA" w14:textId="77777777" w:rsidR="00AA7C86" w:rsidRDefault="00AA7C86" w:rsidP="00B95343">
                  <w:pPr>
                    <w:pStyle w:val="TableBodyText"/>
                  </w:pPr>
                  <w:r w:rsidRPr="00CA7E55">
                    <w:rPr>
                      <w:rFonts w:cs="Arial"/>
                      <w:color w:val="000000"/>
                      <w:szCs w:val="18"/>
                    </w:rPr>
                    <w:t>-35</w:t>
                  </w:r>
                </w:p>
              </w:tc>
              <w:tc>
                <w:tcPr>
                  <w:tcW w:w="407" w:type="pct"/>
                  <w:shd w:val="clear" w:color="auto" w:fill="F2F2F2" w:themeFill="background1" w:themeFillShade="F2"/>
                  <w:vAlign w:val="bottom"/>
                </w:tcPr>
                <w:p w14:paraId="256A7D05" w14:textId="77777777" w:rsidR="00AA7C86" w:rsidRDefault="00AA7C86" w:rsidP="00B95343">
                  <w:pPr>
                    <w:pStyle w:val="TableBodyText"/>
                  </w:pPr>
                  <w:r w:rsidRPr="00CA7E55">
                    <w:rPr>
                      <w:rFonts w:cs="Arial"/>
                      <w:color w:val="000000"/>
                      <w:szCs w:val="18"/>
                    </w:rPr>
                    <w:t>-14</w:t>
                  </w:r>
                </w:p>
              </w:tc>
              <w:tc>
                <w:tcPr>
                  <w:tcW w:w="412" w:type="pct"/>
                  <w:shd w:val="clear" w:color="auto" w:fill="F2F2F2" w:themeFill="background1" w:themeFillShade="F2"/>
                  <w:vAlign w:val="bottom"/>
                </w:tcPr>
                <w:p w14:paraId="014AEF11" w14:textId="77777777" w:rsidR="00AA7C86" w:rsidRDefault="00AA7C86" w:rsidP="00B95343">
                  <w:pPr>
                    <w:pStyle w:val="TableBodyText"/>
                  </w:pPr>
                  <w:r w:rsidRPr="00CA7E55">
                    <w:rPr>
                      <w:rFonts w:cs="Arial"/>
                      <w:color w:val="000000"/>
                      <w:szCs w:val="18"/>
                    </w:rPr>
                    <w:t>29</w:t>
                  </w:r>
                </w:p>
              </w:tc>
              <w:tc>
                <w:tcPr>
                  <w:tcW w:w="406" w:type="pct"/>
                  <w:shd w:val="clear" w:color="auto" w:fill="F2F2F2" w:themeFill="background1" w:themeFillShade="F2"/>
                  <w:vAlign w:val="bottom"/>
                </w:tcPr>
                <w:p w14:paraId="32C20A86" w14:textId="77777777" w:rsidR="00AA7C86" w:rsidRDefault="00AA7C86" w:rsidP="00B95343">
                  <w:pPr>
                    <w:pStyle w:val="TableBodyText"/>
                  </w:pPr>
                  <w:r w:rsidRPr="00CA7E55">
                    <w:rPr>
                      <w:rFonts w:cs="Arial"/>
                      <w:color w:val="000000"/>
                      <w:szCs w:val="18"/>
                    </w:rPr>
                    <w:t>-20</w:t>
                  </w:r>
                </w:p>
              </w:tc>
              <w:tc>
                <w:tcPr>
                  <w:tcW w:w="406" w:type="pct"/>
                  <w:shd w:val="clear" w:color="auto" w:fill="F2F2F2" w:themeFill="background1" w:themeFillShade="F2"/>
                  <w:vAlign w:val="bottom"/>
                </w:tcPr>
                <w:p w14:paraId="591A805F" w14:textId="77777777" w:rsidR="00AA7C86" w:rsidRDefault="00AA7C86" w:rsidP="00B95343">
                  <w:pPr>
                    <w:pStyle w:val="TableBodyText"/>
                  </w:pPr>
                  <w:r w:rsidRPr="00CA7E55">
                    <w:rPr>
                      <w:rFonts w:cs="Arial"/>
                      <w:color w:val="000000"/>
                      <w:szCs w:val="18"/>
                    </w:rPr>
                    <w:t>-4</w:t>
                  </w:r>
                </w:p>
              </w:tc>
              <w:tc>
                <w:tcPr>
                  <w:tcW w:w="405" w:type="pct"/>
                  <w:shd w:val="clear" w:color="auto" w:fill="F2F2F2" w:themeFill="background1" w:themeFillShade="F2"/>
                  <w:vAlign w:val="bottom"/>
                </w:tcPr>
                <w:p w14:paraId="68BBA75B" w14:textId="77777777" w:rsidR="00AA7C86" w:rsidRPr="00026DE5" w:rsidRDefault="00AA7C86" w:rsidP="00B95343">
                  <w:pPr>
                    <w:pStyle w:val="TableColumnHeading"/>
                    <w:spacing w:before="0" w:after="40"/>
                    <w:ind w:right="28"/>
                    <w:rPr>
                      <w:i w:val="0"/>
                    </w:rPr>
                  </w:pPr>
                  <w:r w:rsidRPr="00026DE5">
                    <w:rPr>
                      <w:rFonts w:cs="Arial"/>
                      <w:i w:val="0"/>
                      <w:color w:val="000000"/>
                      <w:szCs w:val="18"/>
                    </w:rPr>
                    <w:t>6</w:t>
                  </w:r>
                </w:p>
              </w:tc>
            </w:tr>
            <w:tr w:rsidR="00AA7C86" w14:paraId="532B7D11" w14:textId="77777777" w:rsidTr="00B95343">
              <w:tc>
                <w:tcPr>
                  <w:tcW w:w="1724" w:type="pct"/>
                  <w:tcBorders>
                    <w:bottom w:val="single" w:sz="6" w:space="0" w:color="BFBFBF"/>
                  </w:tcBorders>
                  <w:shd w:val="clear" w:color="auto" w:fill="FFFFFF" w:themeFill="background1"/>
                  <w:vAlign w:val="center"/>
                </w:tcPr>
                <w:p w14:paraId="46B3F0B8" w14:textId="77777777" w:rsidR="00AA7C86" w:rsidRDefault="00AA7C86" w:rsidP="00B95343">
                  <w:pPr>
                    <w:pStyle w:val="TableBodyText"/>
                    <w:jc w:val="left"/>
                  </w:pPr>
                  <w:r>
                    <w:t xml:space="preserve"> GST ($pc)</w:t>
                  </w:r>
                </w:p>
              </w:tc>
              <w:tc>
                <w:tcPr>
                  <w:tcW w:w="419" w:type="pct"/>
                  <w:tcBorders>
                    <w:bottom w:val="single" w:sz="6" w:space="0" w:color="BFBFBF"/>
                  </w:tcBorders>
                  <w:shd w:val="clear" w:color="auto" w:fill="FFFFFF" w:themeFill="background1"/>
                  <w:vAlign w:val="bottom"/>
                </w:tcPr>
                <w:p w14:paraId="00269964" w14:textId="77777777" w:rsidR="00AA7C86" w:rsidRDefault="00AA7C86" w:rsidP="00B95343">
                  <w:pPr>
                    <w:pStyle w:val="TableBodyText"/>
                  </w:pPr>
                  <w:r w:rsidRPr="00CA7E55">
                    <w:rPr>
                      <w:rFonts w:cs="Arial"/>
                      <w:color w:val="000000"/>
                      <w:szCs w:val="18"/>
                    </w:rPr>
                    <w:t>17</w:t>
                  </w:r>
                </w:p>
              </w:tc>
              <w:tc>
                <w:tcPr>
                  <w:tcW w:w="406" w:type="pct"/>
                  <w:tcBorders>
                    <w:bottom w:val="single" w:sz="6" w:space="0" w:color="BFBFBF"/>
                  </w:tcBorders>
                  <w:shd w:val="clear" w:color="auto" w:fill="FFFFFF" w:themeFill="background1"/>
                  <w:vAlign w:val="bottom"/>
                </w:tcPr>
                <w:p w14:paraId="63D753F0" w14:textId="77777777" w:rsidR="00AA7C86" w:rsidRDefault="00AA7C86" w:rsidP="00B95343">
                  <w:pPr>
                    <w:pStyle w:val="TableBodyText"/>
                  </w:pPr>
                  <w:r w:rsidRPr="00CA7E55">
                    <w:rPr>
                      <w:rFonts w:cs="Arial"/>
                      <w:color w:val="000000"/>
                      <w:szCs w:val="18"/>
                    </w:rPr>
                    <w:t>-16</w:t>
                  </w:r>
                </w:p>
              </w:tc>
              <w:tc>
                <w:tcPr>
                  <w:tcW w:w="415" w:type="pct"/>
                  <w:gridSpan w:val="2"/>
                  <w:tcBorders>
                    <w:bottom w:val="single" w:sz="6" w:space="0" w:color="BFBFBF"/>
                  </w:tcBorders>
                  <w:shd w:val="clear" w:color="auto" w:fill="FFFFFF" w:themeFill="background1"/>
                  <w:vAlign w:val="bottom"/>
                </w:tcPr>
                <w:p w14:paraId="56BC0A62" w14:textId="77777777" w:rsidR="00AA7C86" w:rsidRDefault="00AA7C86" w:rsidP="00B95343">
                  <w:pPr>
                    <w:pStyle w:val="TableBodyText"/>
                  </w:pPr>
                  <w:r w:rsidRPr="00CA7E55">
                    <w:rPr>
                      <w:rFonts w:cs="Arial"/>
                      <w:color w:val="000000"/>
                      <w:szCs w:val="18"/>
                    </w:rPr>
                    <w:t>-7</w:t>
                  </w:r>
                </w:p>
              </w:tc>
              <w:tc>
                <w:tcPr>
                  <w:tcW w:w="407" w:type="pct"/>
                  <w:tcBorders>
                    <w:bottom w:val="single" w:sz="6" w:space="0" w:color="BFBFBF"/>
                  </w:tcBorders>
                  <w:shd w:val="clear" w:color="auto" w:fill="FFFFFF" w:themeFill="background1"/>
                  <w:vAlign w:val="bottom"/>
                </w:tcPr>
                <w:p w14:paraId="06E744EC" w14:textId="77777777" w:rsidR="00AA7C86" w:rsidRDefault="00AA7C86" w:rsidP="00B95343">
                  <w:pPr>
                    <w:pStyle w:val="TableBodyText"/>
                  </w:pPr>
                  <w:r w:rsidRPr="00CA7E55">
                    <w:rPr>
                      <w:rFonts w:cs="Arial"/>
                      <w:color w:val="000000"/>
                      <w:szCs w:val="18"/>
                    </w:rPr>
                    <w:t>-5</w:t>
                  </w:r>
                </w:p>
              </w:tc>
              <w:tc>
                <w:tcPr>
                  <w:tcW w:w="412" w:type="pct"/>
                  <w:tcBorders>
                    <w:bottom w:val="single" w:sz="6" w:space="0" w:color="BFBFBF"/>
                  </w:tcBorders>
                  <w:shd w:val="clear" w:color="auto" w:fill="FFFFFF" w:themeFill="background1"/>
                  <w:vAlign w:val="bottom"/>
                </w:tcPr>
                <w:p w14:paraId="714BB3C0" w14:textId="77777777" w:rsidR="00AA7C86" w:rsidRDefault="00AA7C86" w:rsidP="00B95343">
                  <w:pPr>
                    <w:pStyle w:val="TableBodyText"/>
                  </w:pPr>
                  <w:r w:rsidRPr="00CA7E55">
                    <w:rPr>
                      <w:rFonts w:cs="Arial"/>
                      <w:color w:val="000000"/>
                      <w:szCs w:val="18"/>
                    </w:rPr>
                    <w:t>17</w:t>
                  </w:r>
                </w:p>
              </w:tc>
              <w:tc>
                <w:tcPr>
                  <w:tcW w:w="406" w:type="pct"/>
                  <w:tcBorders>
                    <w:bottom w:val="single" w:sz="6" w:space="0" w:color="BFBFBF"/>
                  </w:tcBorders>
                  <w:shd w:val="clear" w:color="auto" w:fill="FFFFFF" w:themeFill="background1"/>
                  <w:vAlign w:val="bottom"/>
                </w:tcPr>
                <w:p w14:paraId="003BB86D" w14:textId="77777777" w:rsidR="00AA7C86" w:rsidRDefault="00AA7C86" w:rsidP="00B95343">
                  <w:pPr>
                    <w:pStyle w:val="TableBodyText"/>
                  </w:pPr>
                  <w:r w:rsidRPr="00CA7E55">
                    <w:rPr>
                      <w:rFonts w:cs="Arial"/>
                      <w:color w:val="000000"/>
                      <w:szCs w:val="18"/>
                    </w:rPr>
                    <w:t>-38</w:t>
                  </w:r>
                </w:p>
              </w:tc>
              <w:tc>
                <w:tcPr>
                  <w:tcW w:w="406" w:type="pct"/>
                  <w:tcBorders>
                    <w:bottom w:val="single" w:sz="6" w:space="0" w:color="BFBFBF"/>
                  </w:tcBorders>
                  <w:shd w:val="clear" w:color="auto" w:fill="FFFFFF" w:themeFill="background1"/>
                  <w:vAlign w:val="bottom"/>
                </w:tcPr>
                <w:p w14:paraId="0E1EE1D3" w14:textId="77777777" w:rsidR="00AA7C86" w:rsidRDefault="00AA7C86" w:rsidP="00B95343">
                  <w:pPr>
                    <w:pStyle w:val="TableBodyText"/>
                  </w:pPr>
                  <w:r w:rsidRPr="00CA7E55">
                    <w:rPr>
                      <w:rFonts w:cs="Arial"/>
                      <w:color w:val="000000"/>
                      <w:szCs w:val="18"/>
                    </w:rPr>
                    <w:t>-9</w:t>
                  </w:r>
                </w:p>
              </w:tc>
              <w:tc>
                <w:tcPr>
                  <w:tcW w:w="405" w:type="pct"/>
                  <w:tcBorders>
                    <w:bottom w:val="single" w:sz="6" w:space="0" w:color="BFBFBF"/>
                  </w:tcBorders>
                  <w:shd w:val="clear" w:color="auto" w:fill="FFFFFF" w:themeFill="background1"/>
                  <w:vAlign w:val="bottom"/>
                </w:tcPr>
                <w:p w14:paraId="51CA2648" w14:textId="77777777" w:rsidR="00AA7C86" w:rsidRPr="00026DE5" w:rsidRDefault="00AA7C86" w:rsidP="00B95343">
                  <w:pPr>
                    <w:pStyle w:val="TableColumnHeading"/>
                    <w:spacing w:before="0" w:after="40"/>
                    <w:ind w:right="28"/>
                    <w:rPr>
                      <w:i w:val="0"/>
                    </w:rPr>
                  </w:pPr>
                  <w:r w:rsidRPr="00026DE5">
                    <w:rPr>
                      <w:rFonts w:cs="Arial"/>
                      <w:i w:val="0"/>
                      <w:color w:val="000000"/>
                      <w:szCs w:val="18"/>
                    </w:rPr>
                    <w:t>26</w:t>
                  </w:r>
                </w:p>
              </w:tc>
            </w:tr>
            <w:tr w:rsidR="00AA7C86" w14:paraId="637FA666" w14:textId="77777777" w:rsidTr="00B95343">
              <w:tc>
                <w:tcPr>
                  <w:tcW w:w="5000" w:type="pct"/>
                  <w:gridSpan w:val="10"/>
                  <w:tcBorders>
                    <w:top w:val="single" w:sz="6" w:space="0" w:color="BFBFBF"/>
                  </w:tcBorders>
                  <w:shd w:val="clear" w:color="auto" w:fill="FFFFFF" w:themeFill="background1"/>
                  <w:vAlign w:val="center"/>
                </w:tcPr>
                <w:p w14:paraId="4669CA38" w14:textId="77777777" w:rsidR="00AA7C86" w:rsidRPr="00786D2B" w:rsidRDefault="00AA7C86" w:rsidP="00B95343">
                  <w:pPr>
                    <w:pStyle w:val="TableBodyText"/>
                    <w:spacing w:before="80" w:after="80"/>
                    <w:jc w:val="left"/>
                    <w:rPr>
                      <w:rStyle w:val="NoteLabel"/>
                    </w:rPr>
                  </w:pPr>
                  <w:r w:rsidRPr="00994633">
                    <w:rPr>
                      <w:b/>
                    </w:rPr>
                    <w:t xml:space="preserve">Cameo </w:t>
                  </w:r>
                  <w:r>
                    <w:rPr>
                      <w:b/>
                    </w:rPr>
                    <w:t>3</w:t>
                  </w:r>
                  <w:r w:rsidRPr="00994633">
                    <w:rPr>
                      <w:b/>
                    </w:rPr>
                    <w:t xml:space="preserve">: </w:t>
                  </w:r>
                  <w:r>
                    <w:rPr>
                      <w:b/>
                    </w:rPr>
                    <w:t>New congestion tax introduced and hypothecated to public transport</w:t>
                  </w:r>
                  <w:r>
                    <w:rPr>
                      <w:rStyle w:val="NoteLabel"/>
                    </w:rPr>
                    <w:t>c</w:t>
                  </w:r>
                </w:p>
              </w:tc>
            </w:tr>
            <w:tr w:rsidR="00AA7C86" w14:paraId="3B9676B3" w14:textId="77777777" w:rsidTr="00B95343">
              <w:tc>
                <w:tcPr>
                  <w:tcW w:w="1724" w:type="pct"/>
                  <w:shd w:val="clear" w:color="auto" w:fill="FFFFFF" w:themeFill="background1"/>
                  <w:vAlign w:val="center"/>
                </w:tcPr>
                <w:p w14:paraId="331F9203" w14:textId="77777777" w:rsidR="00AA7C86" w:rsidRDefault="00AA7C86" w:rsidP="00B95343">
                  <w:pPr>
                    <w:pStyle w:val="TableBodyText"/>
                    <w:jc w:val="left"/>
                    <w:rPr>
                      <w:i/>
                    </w:rPr>
                  </w:pPr>
                  <w:r>
                    <w:t>Congestion tax revenue ($m)</w:t>
                  </w:r>
                </w:p>
              </w:tc>
              <w:tc>
                <w:tcPr>
                  <w:tcW w:w="419" w:type="pct"/>
                  <w:tcBorders>
                    <w:top w:val="nil"/>
                    <w:left w:val="nil"/>
                    <w:bottom w:val="nil"/>
                    <w:right w:val="nil"/>
                  </w:tcBorders>
                  <w:shd w:val="clear" w:color="auto" w:fill="FFFFFF" w:themeFill="background1"/>
                  <w:vAlign w:val="bottom"/>
                </w:tcPr>
                <w:p w14:paraId="5D3159B3" w14:textId="77777777" w:rsidR="00AA7C86" w:rsidRPr="00AA6CF0" w:rsidRDefault="00AA7C86" w:rsidP="00B95343">
                  <w:pPr>
                    <w:pStyle w:val="TableBodyText"/>
                  </w:pPr>
                  <w:r w:rsidRPr="00BB789C">
                    <w:rPr>
                      <w:rFonts w:cs="Arial"/>
                      <w:color w:val="000000"/>
                      <w:szCs w:val="18"/>
                    </w:rPr>
                    <w:t>1</w:t>
                  </w:r>
                  <w:r>
                    <w:rPr>
                      <w:rFonts w:cs="Arial"/>
                      <w:color w:val="000000"/>
                      <w:szCs w:val="18"/>
                    </w:rPr>
                    <w:t xml:space="preserve"> </w:t>
                  </w:r>
                  <w:r w:rsidRPr="00BB789C">
                    <w:rPr>
                      <w:rFonts w:cs="Arial"/>
                      <w:color w:val="000000"/>
                      <w:szCs w:val="18"/>
                    </w:rPr>
                    <w:t>560</w:t>
                  </w:r>
                </w:p>
              </w:tc>
              <w:tc>
                <w:tcPr>
                  <w:tcW w:w="406" w:type="pct"/>
                  <w:tcBorders>
                    <w:top w:val="nil"/>
                    <w:left w:val="nil"/>
                    <w:bottom w:val="nil"/>
                    <w:right w:val="nil"/>
                  </w:tcBorders>
                  <w:shd w:val="clear" w:color="auto" w:fill="FFFFFF" w:themeFill="background1"/>
                  <w:vAlign w:val="bottom"/>
                </w:tcPr>
                <w:p w14:paraId="494B1559" w14:textId="77777777" w:rsidR="00AA7C86" w:rsidRPr="00AA6CF0" w:rsidRDefault="00AA7C86" w:rsidP="00B95343">
                  <w:pPr>
                    <w:pStyle w:val="TableBodyText"/>
                  </w:pPr>
                  <w:r w:rsidRPr="00BB789C">
                    <w:rPr>
                      <w:rFonts w:cs="Arial"/>
                      <w:color w:val="000000"/>
                      <w:szCs w:val="18"/>
                    </w:rPr>
                    <w:t>1</w:t>
                  </w:r>
                  <w:r>
                    <w:rPr>
                      <w:rFonts w:cs="Arial"/>
                      <w:color w:val="000000"/>
                      <w:szCs w:val="18"/>
                    </w:rPr>
                    <w:t xml:space="preserve"> </w:t>
                  </w:r>
                  <w:r w:rsidRPr="00BB789C">
                    <w:rPr>
                      <w:rFonts w:cs="Arial"/>
                      <w:color w:val="000000"/>
                      <w:szCs w:val="18"/>
                    </w:rPr>
                    <w:t>249</w:t>
                  </w:r>
                </w:p>
              </w:tc>
              <w:tc>
                <w:tcPr>
                  <w:tcW w:w="415" w:type="pct"/>
                  <w:gridSpan w:val="2"/>
                  <w:tcBorders>
                    <w:top w:val="nil"/>
                    <w:left w:val="nil"/>
                    <w:bottom w:val="nil"/>
                    <w:right w:val="nil"/>
                  </w:tcBorders>
                  <w:shd w:val="clear" w:color="auto" w:fill="FFFFFF" w:themeFill="background1"/>
                  <w:vAlign w:val="bottom"/>
                </w:tcPr>
                <w:p w14:paraId="607ED1B2" w14:textId="77777777" w:rsidR="00AA7C86" w:rsidRPr="00AA6CF0" w:rsidRDefault="00AA7C86" w:rsidP="00B95343">
                  <w:pPr>
                    <w:pStyle w:val="TableBodyText"/>
                  </w:pPr>
                  <w:r w:rsidRPr="00BB789C">
                    <w:rPr>
                      <w:rFonts w:cs="Arial"/>
                      <w:color w:val="000000"/>
                      <w:szCs w:val="18"/>
                    </w:rPr>
                    <w:t>977</w:t>
                  </w:r>
                </w:p>
              </w:tc>
              <w:tc>
                <w:tcPr>
                  <w:tcW w:w="407" w:type="pct"/>
                  <w:tcBorders>
                    <w:top w:val="nil"/>
                    <w:left w:val="nil"/>
                    <w:bottom w:val="nil"/>
                    <w:right w:val="nil"/>
                  </w:tcBorders>
                  <w:shd w:val="clear" w:color="auto" w:fill="FFFFFF" w:themeFill="background1"/>
                  <w:vAlign w:val="bottom"/>
                </w:tcPr>
                <w:p w14:paraId="7C3F75BF" w14:textId="77777777" w:rsidR="00AA7C86" w:rsidRPr="00AA6CF0" w:rsidRDefault="00AA7C86" w:rsidP="00B95343">
                  <w:pPr>
                    <w:pStyle w:val="TableBodyText"/>
                  </w:pPr>
                  <w:r w:rsidRPr="00BB789C">
                    <w:rPr>
                      <w:rFonts w:cs="Arial"/>
                      <w:color w:val="000000"/>
                      <w:szCs w:val="18"/>
                    </w:rPr>
                    <w:t>514</w:t>
                  </w:r>
                </w:p>
              </w:tc>
              <w:tc>
                <w:tcPr>
                  <w:tcW w:w="412" w:type="pct"/>
                  <w:tcBorders>
                    <w:top w:val="nil"/>
                    <w:left w:val="nil"/>
                    <w:bottom w:val="nil"/>
                    <w:right w:val="nil"/>
                  </w:tcBorders>
                  <w:shd w:val="clear" w:color="auto" w:fill="FFFFFF" w:themeFill="background1"/>
                  <w:vAlign w:val="bottom"/>
                </w:tcPr>
                <w:p w14:paraId="299529A8" w14:textId="77777777" w:rsidR="00AA7C86" w:rsidRPr="00AA6CF0" w:rsidRDefault="00AA7C86" w:rsidP="00B95343">
                  <w:pPr>
                    <w:pStyle w:val="TableBodyText"/>
                  </w:pPr>
                  <w:r w:rsidRPr="00BB789C">
                    <w:rPr>
                      <w:rFonts w:cs="Arial"/>
                      <w:color w:val="000000"/>
                      <w:szCs w:val="18"/>
                    </w:rPr>
                    <w:t>343</w:t>
                  </w:r>
                </w:p>
              </w:tc>
              <w:tc>
                <w:tcPr>
                  <w:tcW w:w="406" w:type="pct"/>
                  <w:tcBorders>
                    <w:top w:val="nil"/>
                    <w:left w:val="nil"/>
                    <w:bottom w:val="nil"/>
                    <w:right w:val="nil"/>
                  </w:tcBorders>
                  <w:shd w:val="clear" w:color="auto" w:fill="FFFFFF" w:themeFill="background1"/>
                  <w:vAlign w:val="bottom"/>
                </w:tcPr>
                <w:p w14:paraId="5A6BE2E1" w14:textId="77777777" w:rsidR="00AA7C86" w:rsidRPr="00AA6CF0" w:rsidRDefault="00AA7C86" w:rsidP="00B95343">
                  <w:pPr>
                    <w:pStyle w:val="TableBodyText"/>
                  </w:pPr>
                  <w:r w:rsidRPr="00BB789C">
                    <w:rPr>
                      <w:rFonts w:cs="Arial"/>
                      <w:color w:val="000000"/>
                      <w:szCs w:val="18"/>
                    </w:rPr>
                    <w:t>104</w:t>
                  </w:r>
                </w:p>
              </w:tc>
              <w:tc>
                <w:tcPr>
                  <w:tcW w:w="406" w:type="pct"/>
                  <w:tcBorders>
                    <w:top w:val="nil"/>
                    <w:left w:val="nil"/>
                    <w:bottom w:val="nil"/>
                    <w:right w:val="nil"/>
                  </w:tcBorders>
                  <w:shd w:val="clear" w:color="auto" w:fill="FFFFFF" w:themeFill="background1"/>
                  <w:vAlign w:val="bottom"/>
                </w:tcPr>
                <w:p w14:paraId="77EBAB33" w14:textId="77777777" w:rsidR="00AA7C86" w:rsidRPr="00AA6CF0" w:rsidRDefault="00AA7C86" w:rsidP="00B95343">
                  <w:pPr>
                    <w:pStyle w:val="TableBodyText"/>
                  </w:pPr>
                  <w:r w:rsidRPr="00BB789C">
                    <w:rPr>
                      <w:rFonts w:cs="Arial"/>
                      <w:color w:val="000000"/>
                      <w:szCs w:val="18"/>
                    </w:rPr>
                    <w:t>81</w:t>
                  </w:r>
                </w:p>
              </w:tc>
              <w:tc>
                <w:tcPr>
                  <w:tcW w:w="405" w:type="pct"/>
                  <w:tcBorders>
                    <w:top w:val="nil"/>
                    <w:left w:val="nil"/>
                    <w:bottom w:val="nil"/>
                    <w:right w:val="nil"/>
                  </w:tcBorders>
                  <w:shd w:val="clear" w:color="auto" w:fill="FFFFFF" w:themeFill="background1"/>
                  <w:vAlign w:val="bottom"/>
                </w:tcPr>
                <w:p w14:paraId="2713BF16" w14:textId="77777777" w:rsidR="00AA7C86" w:rsidRPr="00026DE5" w:rsidRDefault="00AA7C86" w:rsidP="00B95343">
                  <w:pPr>
                    <w:pStyle w:val="TableColumnHeading"/>
                    <w:spacing w:before="0" w:after="40"/>
                    <w:ind w:right="28"/>
                    <w:rPr>
                      <w:i w:val="0"/>
                    </w:rPr>
                  </w:pPr>
                  <w:r w:rsidRPr="00026DE5">
                    <w:rPr>
                      <w:rFonts w:cs="Arial"/>
                      <w:i w:val="0"/>
                      <w:color w:val="000000"/>
                      <w:szCs w:val="18"/>
                    </w:rPr>
                    <w:t>49</w:t>
                  </w:r>
                </w:p>
              </w:tc>
            </w:tr>
            <w:tr w:rsidR="00AA7C86" w14:paraId="243175B7" w14:textId="77777777" w:rsidTr="00B95343">
              <w:tc>
                <w:tcPr>
                  <w:tcW w:w="1724" w:type="pct"/>
                  <w:shd w:val="clear" w:color="auto" w:fill="FFFFFF" w:themeFill="background1"/>
                  <w:vAlign w:val="center"/>
                </w:tcPr>
                <w:p w14:paraId="1654845A" w14:textId="77777777" w:rsidR="00AA7C86" w:rsidRDefault="00AA7C86" w:rsidP="00B95343">
                  <w:pPr>
                    <w:pStyle w:val="TableBodyText"/>
                    <w:spacing w:before="40"/>
                    <w:jc w:val="left"/>
                  </w:pPr>
                  <w:r>
                    <w:rPr>
                      <w:i/>
                    </w:rPr>
                    <w:t>Unilateral reform</w:t>
                  </w:r>
                </w:p>
              </w:tc>
              <w:tc>
                <w:tcPr>
                  <w:tcW w:w="419" w:type="pct"/>
                  <w:shd w:val="clear" w:color="auto" w:fill="FFFFFF" w:themeFill="background1"/>
                  <w:vAlign w:val="center"/>
                </w:tcPr>
                <w:p w14:paraId="43662392" w14:textId="77777777" w:rsidR="00AA7C86" w:rsidRPr="00AA6CF0" w:rsidRDefault="00AA7C86" w:rsidP="00B95343">
                  <w:pPr>
                    <w:pStyle w:val="TableBodyText"/>
                    <w:spacing w:before="40"/>
                  </w:pPr>
                </w:p>
              </w:tc>
              <w:tc>
                <w:tcPr>
                  <w:tcW w:w="406" w:type="pct"/>
                  <w:shd w:val="clear" w:color="auto" w:fill="FFFFFF" w:themeFill="background1"/>
                  <w:vAlign w:val="center"/>
                </w:tcPr>
                <w:p w14:paraId="406F7EB1" w14:textId="77777777" w:rsidR="00AA7C86" w:rsidRPr="00AA6CF0" w:rsidRDefault="00AA7C86" w:rsidP="00B95343">
                  <w:pPr>
                    <w:pStyle w:val="TableBodyText"/>
                    <w:spacing w:before="40"/>
                  </w:pPr>
                </w:p>
              </w:tc>
              <w:tc>
                <w:tcPr>
                  <w:tcW w:w="415" w:type="pct"/>
                  <w:gridSpan w:val="2"/>
                  <w:shd w:val="clear" w:color="auto" w:fill="FFFFFF" w:themeFill="background1"/>
                  <w:vAlign w:val="center"/>
                </w:tcPr>
                <w:p w14:paraId="105C204C" w14:textId="77777777" w:rsidR="00AA7C86" w:rsidRPr="00AA6CF0" w:rsidRDefault="00AA7C86" w:rsidP="00B95343">
                  <w:pPr>
                    <w:pStyle w:val="TableBodyText"/>
                    <w:spacing w:before="40"/>
                  </w:pPr>
                </w:p>
              </w:tc>
              <w:tc>
                <w:tcPr>
                  <w:tcW w:w="407" w:type="pct"/>
                  <w:shd w:val="clear" w:color="auto" w:fill="FFFFFF" w:themeFill="background1"/>
                  <w:vAlign w:val="center"/>
                </w:tcPr>
                <w:p w14:paraId="394FCED7" w14:textId="77777777" w:rsidR="00AA7C86" w:rsidRPr="00AA6CF0" w:rsidRDefault="00AA7C86" w:rsidP="00B95343">
                  <w:pPr>
                    <w:pStyle w:val="TableBodyText"/>
                    <w:spacing w:before="40"/>
                  </w:pPr>
                </w:p>
              </w:tc>
              <w:tc>
                <w:tcPr>
                  <w:tcW w:w="412" w:type="pct"/>
                  <w:shd w:val="clear" w:color="auto" w:fill="FFFFFF" w:themeFill="background1"/>
                  <w:vAlign w:val="center"/>
                </w:tcPr>
                <w:p w14:paraId="45BECFAB" w14:textId="77777777" w:rsidR="00AA7C86" w:rsidRPr="00AA6CF0" w:rsidRDefault="00AA7C86" w:rsidP="00B95343">
                  <w:pPr>
                    <w:pStyle w:val="TableBodyText"/>
                    <w:spacing w:before="40"/>
                  </w:pPr>
                </w:p>
              </w:tc>
              <w:tc>
                <w:tcPr>
                  <w:tcW w:w="406" w:type="pct"/>
                  <w:shd w:val="clear" w:color="auto" w:fill="FFFFFF" w:themeFill="background1"/>
                  <w:vAlign w:val="center"/>
                </w:tcPr>
                <w:p w14:paraId="4431AA7D" w14:textId="77777777" w:rsidR="00AA7C86" w:rsidRPr="00AA6CF0" w:rsidRDefault="00AA7C86" w:rsidP="00B95343">
                  <w:pPr>
                    <w:pStyle w:val="TableBodyText"/>
                    <w:spacing w:before="40"/>
                  </w:pPr>
                </w:p>
              </w:tc>
              <w:tc>
                <w:tcPr>
                  <w:tcW w:w="406" w:type="pct"/>
                  <w:shd w:val="clear" w:color="auto" w:fill="FFFFFF" w:themeFill="background1"/>
                  <w:vAlign w:val="center"/>
                </w:tcPr>
                <w:p w14:paraId="40664F4F" w14:textId="77777777" w:rsidR="00AA7C86" w:rsidRPr="00AA6CF0" w:rsidRDefault="00AA7C86" w:rsidP="00B95343">
                  <w:pPr>
                    <w:pStyle w:val="TableBodyText"/>
                    <w:spacing w:before="40"/>
                  </w:pPr>
                </w:p>
              </w:tc>
              <w:tc>
                <w:tcPr>
                  <w:tcW w:w="405" w:type="pct"/>
                  <w:shd w:val="clear" w:color="auto" w:fill="FFFFFF" w:themeFill="background1"/>
                  <w:vAlign w:val="center"/>
                </w:tcPr>
                <w:p w14:paraId="2FFD51A2" w14:textId="77777777" w:rsidR="00AA7C86" w:rsidRPr="00AA6CF0" w:rsidRDefault="00AA7C86" w:rsidP="00B95343">
                  <w:pPr>
                    <w:pStyle w:val="TableColumnHeading"/>
                    <w:spacing w:before="40" w:after="40"/>
                    <w:ind w:right="28"/>
                    <w:rPr>
                      <w:i w:val="0"/>
                    </w:rPr>
                  </w:pPr>
                </w:p>
              </w:tc>
            </w:tr>
            <w:tr w:rsidR="00AA7C86" w14:paraId="3210D4A4" w14:textId="77777777" w:rsidTr="00AA7C86">
              <w:tc>
                <w:tcPr>
                  <w:tcW w:w="1724" w:type="pct"/>
                  <w:shd w:val="clear" w:color="auto" w:fill="F2F2F2" w:themeFill="background1" w:themeFillShade="F2"/>
                  <w:vAlign w:val="center"/>
                </w:tcPr>
                <w:p w14:paraId="187DBA5C" w14:textId="77777777" w:rsidR="00AA7C86" w:rsidRDefault="00AA7C86" w:rsidP="00B95343">
                  <w:pPr>
                    <w:pStyle w:val="TableBodyText"/>
                    <w:jc w:val="left"/>
                  </w:pPr>
                  <w:r>
                    <w:t xml:space="preserve"> GST ($m)</w:t>
                  </w:r>
                </w:p>
              </w:tc>
              <w:tc>
                <w:tcPr>
                  <w:tcW w:w="419" w:type="pct"/>
                  <w:tcBorders>
                    <w:top w:val="nil"/>
                    <w:left w:val="nil"/>
                    <w:bottom w:val="nil"/>
                    <w:right w:val="nil"/>
                  </w:tcBorders>
                  <w:shd w:val="clear" w:color="auto" w:fill="F2F2F2" w:themeFill="background1" w:themeFillShade="F2"/>
                  <w:vAlign w:val="bottom"/>
                </w:tcPr>
                <w:p w14:paraId="2A631CD6" w14:textId="77777777" w:rsidR="00AA7C86" w:rsidRPr="00AA6CF0" w:rsidRDefault="00AA7C86" w:rsidP="00B95343">
                  <w:pPr>
                    <w:pStyle w:val="TableBodyText"/>
                  </w:pPr>
                  <w:r w:rsidRPr="00CA72B3">
                    <w:rPr>
                      <w:rFonts w:asciiTheme="minorHAnsi" w:hAnsiTheme="minorHAnsi" w:cstheme="minorHAnsi"/>
                      <w:color w:val="000000"/>
                      <w:szCs w:val="18"/>
                    </w:rPr>
                    <w:t>73</w:t>
                  </w:r>
                </w:p>
              </w:tc>
              <w:tc>
                <w:tcPr>
                  <w:tcW w:w="406" w:type="pct"/>
                  <w:tcBorders>
                    <w:top w:val="nil"/>
                    <w:left w:val="nil"/>
                    <w:bottom w:val="nil"/>
                    <w:right w:val="nil"/>
                  </w:tcBorders>
                  <w:shd w:val="clear" w:color="auto" w:fill="F2F2F2" w:themeFill="background1" w:themeFillShade="F2"/>
                  <w:vAlign w:val="bottom"/>
                </w:tcPr>
                <w:p w14:paraId="3756072C" w14:textId="77777777" w:rsidR="00AA7C86" w:rsidRPr="00AA6CF0" w:rsidRDefault="00AA7C86" w:rsidP="00B95343">
                  <w:pPr>
                    <w:pStyle w:val="TableBodyText"/>
                  </w:pPr>
                  <w:r w:rsidRPr="00CA72B3">
                    <w:rPr>
                      <w:rFonts w:asciiTheme="minorHAnsi" w:hAnsiTheme="minorHAnsi" w:cstheme="minorHAnsi"/>
                      <w:color w:val="000000"/>
                      <w:szCs w:val="18"/>
                    </w:rPr>
                    <w:t>19</w:t>
                  </w:r>
                </w:p>
              </w:tc>
              <w:tc>
                <w:tcPr>
                  <w:tcW w:w="415" w:type="pct"/>
                  <w:gridSpan w:val="2"/>
                  <w:tcBorders>
                    <w:top w:val="nil"/>
                    <w:left w:val="nil"/>
                    <w:bottom w:val="nil"/>
                    <w:right w:val="nil"/>
                  </w:tcBorders>
                  <w:shd w:val="clear" w:color="auto" w:fill="F2F2F2" w:themeFill="background1" w:themeFillShade="F2"/>
                  <w:vAlign w:val="bottom"/>
                </w:tcPr>
                <w:p w14:paraId="7A5DFD1F" w14:textId="77777777" w:rsidR="00AA7C86" w:rsidRPr="00AA6CF0" w:rsidRDefault="00AA7C86" w:rsidP="00B95343">
                  <w:pPr>
                    <w:pStyle w:val="TableBodyText"/>
                  </w:pPr>
                  <w:r w:rsidRPr="00CA72B3">
                    <w:rPr>
                      <w:rFonts w:asciiTheme="minorHAnsi" w:hAnsiTheme="minorHAnsi" w:cstheme="minorHAnsi"/>
                      <w:color w:val="000000"/>
                      <w:szCs w:val="18"/>
                    </w:rPr>
                    <w:t>-36</w:t>
                  </w:r>
                </w:p>
              </w:tc>
              <w:tc>
                <w:tcPr>
                  <w:tcW w:w="407" w:type="pct"/>
                  <w:tcBorders>
                    <w:top w:val="nil"/>
                    <w:left w:val="nil"/>
                    <w:bottom w:val="nil"/>
                    <w:right w:val="nil"/>
                  </w:tcBorders>
                  <w:shd w:val="clear" w:color="auto" w:fill="F2F2F2" w:themeFill="background1" w:themeFillShade="F2"/>
                  <w:vAlign w:val="bottom"/>
                </w:tcPr>
                <w:p w14:paraId="02C47BD0" w14:textId="77777777" w:rsidR="00AA7C86" w:rsidRPr="00AA6CF0" w:rsidRDefault="00AA7C86" w:rsidP="00B95343">
                  <w:pPr>
                    <w:pStyle w:val="TableBodyText"/>
                  </w:pPr>
                  <w:r w:rsidRPr="00CA72B3">
                    <w:rPr>
                      <w:rFonts w:asciiTheme="minorHAnsi" w:hAnsiTheme="minorHAnsi" w:cstheme="minorHAnsi"/>
                      <w:color w:val="000000"/>
                      <w:szCs w:val="18"/>
                    </w:rPr>
                    <w:t>2</w:t>
                  </w:r>
                </w:p>
              </w:tc>
              <w:tc>
                <w:tcPr>
                  <w:tcW w:w="412" w:type="pct"/>
                  <w:tcBorders>
                    <w:top w:val="nil"/>
                    <w:left w:val="nil"/>
                    <w:bottom w:val="nil"/>
                    <w:right w:val="nil"/>
                  </w:tcBorders>
                  <w:shd w:val="clear" w:color="auto" w:fill="F2F2F2" w:themeFill="background1" w:themeFillShade="F2"/>
                  <w:vAlign w:val="bottom"/>
                </w:tcPr>
                <w:p w14:paraId="46CE7D41" w14:textId="77777777" w:rsidR="00AA7C86" w:rsidRPr="00AA6CF0" w:rsidRDefault="00AA7C86" w:rsidP="00B95343">
                  <w:pPr>
                    <w:pStyle w:val="TableBodyText"/>
                  </w:pPr>
                  <w:r w:rsidRPr="00CA72B3">
                    <w:rPr>
                      <w:rFonts w:asciiTheme="minorHAnsi" w:hAnsiTheme="minorHAnsi" w:cstheme="minorHAnsi"/>
                      <w:color w:val="000000"/>
                      <w:szCs w:val="18"/>
                    </w:rPr>
                    <w:t>-3</w:t>
                  </w:r>
                </w:p>
              </w:tc>
              <w:tc>
                <w:tcPr>
                  <w:tcW w:w="406" w:type="pct"/>
                  <w:tcBorders>
                    <w:top w:val="nil"/>
                    <w:left w:val="nil"/>
                    <w:bottom w:val="nil"/>
                    <w:right w:val="nil"/>
                  </w:tcBorders>
                  <w:shd w:val="clear" w:color="auto" w:fill="F2F2F2" w:themeFill="background1" w:themeFillShade="F2"/>
                  <w:vAlign w:val="bottom"/>
                </w:tcPr>
                <w:p w14:paraId="7AA80446" w14:textId="77777777" w:rsidR="00AA7C86" w:rsidRPr="00AA6CF0" w:rsidRDefault="00AA7C86" w:rsidP="00B95343">
                  <w:pPr>
                    <w:pStyle w:val="TableBodyText"/>
                  </w:pPr>
                  <w:r w:rsidRPr="00CA72B3">
                    <w:rPr>
                      <w:rFonts w:asciiTheme="minorHAnsi" w:hAnsiTheme="minorHAnsi" w:cstheme="minorHAnsi"/>
                      <w:color w:val="000000"/>
                      <w:szCs w:val="18"/>
                    </w:rPr>
                    <w:t>-2</w:t>
                  </w:r>
                </w:p>
              </w:tc>
              <w:tc>
                <w:tcPr>
                  <w:tcW w:w="406" w:type="pct"/>
                  <w:tcBorders>
                    <w:top w:val="nil"/>
                    <w:left w:val="nil"/>
                    <w:bottom w:val="nil"/>
                    <w:right w:val="nil"/>
                  </w:tcBorders>
                  <w:shd w:val="clear" w:color="auto" w:fill="F2F2F2" w:themeFill="background1" w:themeFillShade="F2"/>
                  <w:vAlign w:val="bottom"/>
                </w:tcPr>
                <w:p w14:paraId="1AB8E439" w14:textId="77777777" w:rsidR="00AA7C86" w:rsidRPr="00AA6CF0" w:rsidRDefault="00AA7C86" w:rsidP="00B95343">
                  <w:pPr>
                    <w:pStyle w:val="TableBodyText"/>
                  </w:pPr>
                  <w:r w:rsidRPr="00CA72B3">
                    <w:rPr>
                      <w:rFonts w:asciiTheme="minorHAnsi" w:hAnsiTheme="minorHAnsi" w:cstheme="minorHAnsi"/>
                      <w:color w:val="000000"/>
                      <w:szCs w:val="18"/>
                    </w:rPr>
                    <w:t>0</w:t>
                  </w:r>
                </w:p>
              </w:tc>
              <w:tc>
                <w:tcPr>
                  <w:tcW w:w="405" w:type="pct"/>
                  <w:tcBorders>
                    <w:top w:val="nil"/>
                    <w:left w:val="nil"/>
                    <w:bottom w:val="nil"/>
                    <w:right w:val="nil"/>
                  </w:tcBorders>
                  <w:shd w:val="clear" w:color="auto" w:fill="F2F2F2" w:themeFill="background1" w:themeFillShade="F2"/>
                  <w:vAlign w:val="bottom"/>
                </w:tcPr>
                <w:p w14:paraId="42181CAC" w14:textId="77777777" w:rsidR="00AA7C86" w:rsidRPr="00A8427D" w:rsidRDefault="00AA7C86" w:rsidP="00B95343">
                  <w:pPr>
                    <w:pStyle w:val="TableColumnHeading"/>
                    <w:spacing w:before="0" w:after="40"/>
                    <w:ind w:right="28"/>
                    <w:rPr>
                      <w:i w:val="0"/>
                    </w:rPr>
                  </w:pPr>
                  <w:r w:rsidRPr="00A8427D">
                    <w:rPr>
                      <w:rFonts w:asciiTheme="minorHAnsi" w:hAnsiTheme="minorHAnsi" w:cstheme="minorHAnsi"/>
                      <w:i w:val="0"/>
                      <w:color w:val="000000"/>
                      <w:szCs w:val="18"/>
                    </w:rPr>
                    <w:t>0</w:t>
                  </w:r>
                </w:p>
              </w:tc>
            </w:tr>
            <w:tr w:rsidR="00AA7C86" w14:paraId="781A39B6" w14:textId="77777777" w:rsidTr="00B95343">
              <w:tc>
                <w:tcPr>
                  <w:tcW w:w="1724" w:type="pct"/>
                  <w:tcBorders>
                    <w:bottom w:val="single" w:sz="6" w:space="0" w:color="BFBFBF"/>
                  </w:tcBorders>
                  <w:shd w:val="clear" w:color="auto" w:fill="FFFFFF" w:themeFill="background1"/>
                  <w:vAlign w:val="center"/>
                </w:tcPr>
                <w:p w14:paraId="4ABA6F78" w14:textId="77777777" w:rsidR="00AA7C86" w:rsidRDefault="00AA7C86" w:rsidP="00B95343">
                  <w:pPr>
                    <w:pStyle w:val="TableBodyText"/>
                    <w:jc w:val="left"/>
                  </w:pPr>
                  <w:r>
                    <w:t xml:space="preserve"> GST ($pc)</w:t>
                  </w:r>
                </w:p>
              </w:tc>
              <w:tc>
                <w:tcPr>
                  <w:tcW w:w="419" w:type="pct"/>
                  <w:tcBorders>
                    <w:top w:val="nil"/>
                    <w:left w:val="nil"/>
                    <w:bottom w:val="single" w:sz="6" w:space="0" w:color="BFBFBF"/>
                    <w:right w:val="nil"/>
                  </w:tcBorders>
                  <w:shd w:val="clear" w:color="auto" w:fill="FFFFFF" w:themeFill="background1"/>
                  <w:vAlign w:val="bottom"/>
                </w:tcPr>
                <w:p w14:paraId="6D532AE7" w14:textId="77777777" w:rsidR="00AA7C86" w:rsidRPr="00AA6CF0" w:rsidRDefault="00AA7C86" w:rsidP="00B95343">
                  <w:pPr>
                    <w:pStyle w:val="TableBodyText"/>
                  </w:pPr>
                  <w:r w:rsidRPr="00CA72B3">
                    <w:rPr>
                      <w:rFonts w:asciiTheme="minorHAnsi" w:hAnsiTheme="minorHAnsi" w:cstheme="minorHAnsi"/>
                      <w:color w:val="000000"/>
                      <w:szCs w:val="18"/>
                    </w:rPr>
                    <w:t>9</w:t>
                  </w:r>
                </w:p>
              </w:tc>
              <w:tc>
                <w:tcPr>
                  <w:tcW w:w="406" w:type="pct"/>
                  <w:tcBorders>
                    <w:top w:val="nil"/>
                    <w:left w:val="nil"/>
                    <w:bottom w:val="single" w:sz="6" w:space="0" w:color="BFBFBF"/>
                    <w:right w:val="nil"/>
                  </w:tcBorders>
                  <w:shd w:val="clear" w:color="auto" w:fill="FFFFFF" w:themeFill="background1"/>
                  <w:vAlign w:val="bottom"/>
                </w:tcPr>
                <w:p w14:paraId="2AA1D7BB" w14:textId="77777777" w:rsidR="00AA7C86" w:rsidRPr="00AA6CF0" w:rsidRDefault="00AA7C86" w:rsidP="00B95343">
                  <w:pPr>
                    <w:pStyle w:val="TableBodyText"/>
                  </w:pPr>
                  <w:r w:rsidRPr="00CA72B3">
                    <w:rPr>
                      <w:rFonts w:asciiTheme="minorHAnsi" w:hAnsiTheme="minorHAnsi" w:cstheme="minorHAnsi"/>
                      <w:color w:val="000000"/>
                      <w:szCs w:val="18"/>
                    </w:rPr>
                    <w:t>3</w:t>
                  </w:r>
                </w:p>
              </w:tc>
              <w:tc>
                <w:tcPr>
                  <w:tcW w:w="415" w:type="pct"/>
                  <w:gridSpan w:val="2"/>
                  <w:tcBorders>
                    <w:top w:val="nil"/>
                    <w:left w:val="nil"/>
                    <w:bottom w:val="single" w:sz="6" w:space="0" w:color="BFBFBF"/>
                    <w:right w:val="nil"/>
                  </w:tcBorders>
                  <w:shd w:val="clear" w:color="auto" w:fill="FFFFFF" w:themeFill="background1"/>
                  <w:vAlign w:val="bottom"/>
                </w:tcPr>
                <w:p w14:paraId="1DDDE57F" w14:textId="77777777" w:rsidR="00AA7C86" w:rsidRPr="00AA6CF0" w:rsidRDefault="00AA7C86" w:rsidP="00B95343">
                  <w:pPr>
                    <w:pStyle w:val="TableBodyText"/>
                  </w:pPr>
                  <w:r w:rsidRPr="00CA72B3">
                    <w:rPr>
                      <w:rFonts w:asciiTheme="minorHAnsi" w:hAnsiTheme="minorHAnsi" w:cstheme="minorHAnsi"/>
                      <w:color w:val="000000"/>
                      <w:szCs w:val="18"/>
                    </w:rPr>
                    <w:t>-7</w:t>
                  </w:r>
                </w:p>
              </w:tc>
              <w:tc>
                <w:tcPr>
                  <w:tcW w:w="407" w:type="pct"/>
                  <w:tcBorders>
                    <w:top w:val="nil"/>
                    <w:left w:val="nil"/>
                    <w:bottom w:val="single" w:sz="6" w:space="0" w:color="BFBFBF"/>
                    <w:right w:val="nil"/>
                  </w:tcBorders>
                  <w:shd w:val="clear" w:color="auto" w:fill="FFFFFF" w:themeFill="background1"/>
                  <w:vAlign w:val="bottom"/>
                </w:tcPr>
                <w:p w14:paraId="64B9F454" w14:textId="77777777" w:rsidR="00AA7C86" w:rsidRPr="00AA6CF0" w:rsidRDefault="00AA7C86" w:rsidP="00B95343">
                  <w:pPr>
                    <w:pStyle w:val="TableBodyText"/>
                  </w:pPr>
                  <w:r w:rsidRPr="00CA72B3">
                    <w:rPr>
                      <w:rFonts w:asciiTheme="minorHAnsi" w:hAnsiTheme="minorHAnsi" w:cstheme="minorHAnsi"/>
                      <w:color w:val="000000"/>
                      <w:szCs w:val="18"/>
                    </w:rPr>
                    <w:t>1</w:t>
                  </w:r>
                </w:p>
              </w:tc>
              <w:tc>
                <w:tcPr>
                  <w:tcW w:w="412" w:type="pct"/>
                  <w:tcBorders>
                    <w:top w:val="nil"/>
                    <w:left w:val="nil"/>
                    <w:bottom w:val="single" w:sz="6" w:space="0" w:color="BFBFBF"/>
                    <w:right w:val="nil"/>
                  </w:tcBorders>
                  <w:shd w:val="clear" w:color="auto" w:fill="FFFFFF" w:themeFill="background1"/>
                  <w:vAlign w:val="bottom"/>
                </w:tcPr>
                <w:p w14:paraId="4CDF2763" w14:textId="77777777" w:rsidR="00AA7C86" w:rsidRPr="00AA6CF0" w:rsidRDefault="00AA7C86" w:rsidP="00B95343">
                  <w:pPr>
                    <w:pStyle w:val="TableBodyText"/>
                  </w:pPr>
                  <w:r w:rsidRPr="00CA72B3">
                    <w:rPr>
                      <w:rFonts w:asciiTheme="minorHAnsi" w:hAnsiTheme="minorHAnsi" w:cstheme="minorHAnsi"/>
                      <w:color w:val="000000"/>
                      <w:szCs w:val="18"/>
                    </w:rPr>
                    <w:t>-2</w:t>
                  </w:r>
                </w:p>
              </w:tc>
              <w:tc>
                <w:tcPr>
                  <w:tcW w:w="406" w:type="pct"/>
                  <w:tcBorders>
                    <w:top w:val="nil"/>
                    <w:left w:val="nil"/>
                    <w:bottom w:val="single" w:sz="6" w:space="0" w:color="BFBFBF"/>
                    <w:right w:val="nil"/>
                  </w:tcBorders>
                  <w:shd w:val="clear" w:color="auto" w:fill="FFFFFF" w:themeFill="background1"/>
                  <w:vAlign w:val="bottom"/>
                </w:tcPr>
                <w:p w14:paraId="27F6D7E2" w14:textId="77777777" w:rsidR="00AA7C86" w:rsidRPr="00AA6CF0" w:rsidRDefault="00AA7C86" w:rsidP="00B95343">
                  <w:pPr>
                    <w:pStyle w:val="TableBodyText"/>
                  </w:pPr>
                  <w:r w:rsidRPr="00CA72B3">
                    <w:rPr>
                      <w:rFonts w:asciiTheme="minorHAnsi" w:hAnsiTheme="minorHAnsi" w:cstheme="minorHAnsi"/>
                      <w:color w:val="000000"/>
                      <w:szCs w:val="18"/>
                    </w:rPr>
                    <w:t>-3</w:t>
                  </w:r>
                </w:p>
              </w:tc>
              <w:tc>
                <w:tcPr>
                  <w:tcW w:w="406" w:type="pct"/>
                  <w:tcBorders>
                    <w:top w:val="nil"/>
                    <w:left w:val="nil"/>
                    <w:bottom w:val="single" w:sz="6" w:space="0" w:color="BFBFBF"/>
                    <w:right w:val="nil"/>
                  </w:tcBorders>
                  <w:shd w:val="clear" w:color="auto" w:fill="FFFFFF" w:themeFill="background1"/>
                  <w:vAlign w:val="bottom"/>
                </w:tcPr>
                <w:p w14:paraId="43C4C78D" w14:textId="77777777" w:rsidR="00AA7C86" w:rsidRPr="00AA6CF0" w:rsidRDefault="00AA7C86" w:rsidP="00B95343">
                  <w:pPr>
                    <w:pStyle w:val="TableBodyText"/>
                  </w:pPr>
                  <w:r w:rsidRPr="00CA72B3">
                    <w:rPr>
                      <w:rFonts w:asciiTheme="minorHAnsi" w:hAnsiTheme="minorHAnsi" w:cstheme="minorHAnsi"/>
                      <w:color w:val="000000"/>
                      <w:szCs w:val="18"/>
                    </w:rPr>
                    <w:t>-1</w:t>
                  </w:r>
                </w:p>
              </w:tc>
              <w:tc>
                <w:tcPr>
                  <w:tcW w:w="405" w:type="pct"/>
                  <w:tcBorders>
                    <w:top w:val="nil"/>
                    <w:left w:val="nil"/>
                    <w:bottom w:val="single" w:sz="6" w:space="0" w:color="BFBFBF"/>
                    <w:right w:val="nil"/>
                  </w:tcBorders>
                  <w:shd w:val="clear" w:color="auto" w:fill="FFFFFF" w:themeFill="background1"/>
                  <w:vAlign w:val="bottom"/>
                </w:tcPr>
                <w:p w14:paraId="6F284CE1" w14:textId="77777777" w:rsidR="00AA7C86" w:rsidRPr="00A8427D" w:rsidRDefault="00AA7C86" w:rsidP="00B95343">
                  <w:pPr>
                    <w:pStyle w:val="TableColumnHeading"/>
                    <w:spacing w:before="0" w:after="40"/>
                    <w:ind w:right="28"/>
                    <w:rPr>
                      <w:i w:val="0"/>
                    </w:rPr>
                  </w:pPr>
                  <w:r w:rsidRPr="00A8427D">
                    <w:rPr>
                      <w:rFonts w:asciiTheme="minorHAnsi" w:hAnsiTheme="minorHAnsi" w:cstheme="minorHAnsi"/>
                      <w:i w:val="0"/>
                      <w:color w:val="000000"/>
                      <w:szCs w:val="18"/>
                    </w:rPr>
                    <w:t>-2</w:t>
                  </w:r>
                </w:p>
              </w:tc>
            </w:tr>
            <w:tr w:rsidR="00AA7C86" w14:paraId="5F3A7DCF" w14:textId="77777777" w:rsidTr="00B95343">
              <w:tc>
                <w:tcPr>
                  <w:tcW w:w="1724" w:type="pct"/>
                  <w:tcBorders>
                    <w:top w:val="single" w:sz="6" w:space="0" w:color="BFBFBF"/>
                  </w:tcBorders>
                  <w:shd w:val="clear" w:color="auto" w:fill="FFFFFF" w:themeFill="background1"/>
                  <w:vAlign w:val="center"/>
                </w:tcPr>
                <w:p w14:paraId="21250390" w14:textId="77777777" w:rsidR="00AA7C86" w:rsidRDefault="00AA7C86" w:rsidP="00B95343">
                  <w:pPr>
                    <w:pStyle w:val="TableBodyText"/>
                    <w:spacing w:before="40"/>
                    <w:jc w:val="left"/>
                  </w:pPr>
                  <w:r>
                    <w:rPr>
                      <w:i/>
                    </w:rPr>
                    <w:t>Multilateral reform</w:t>
                  </w:r>
                </w:p>
              </w:tc>
              <w:tc>
                <w:tcPr>
                  <w:tcW w:w="419" w:type="pct"/>
                  <w:tcBorders>
                    <w:top w:val="single" w:sz="6" w:space="0" w:color="BFBFBF"/>
                  </w:tcBorders>
                  <w:shd w:val="clear" w:color="auto" w:fill="FFFFFF" w:themeFill="background1"/>
                  <w:vAlign w:val="center"/>
                </w:tcPr>
                <w:p w14:paraId="24067C50" w14:textId="77777777" w:rsidR="00AA7C86" w:rsidRPr="007B10AA" w:rsidRDefault="00AA7C86" w:rsidP="00B95343">
                  <w:pPr>
                    <w:pStyle w:val="TableBodyText"/>
                    <w:spacing w:before="40"/>
                  </w:pPr>
                </w:p>
              </w:tc>
              <w:tc>
                <w:tcPr>
                  <w:tcW w:w="406" w:type="pct"/>
                  <w:tcBorders>
                    <w:top w:val="single" w:sz="6" w:space="0" w:color="BFBFBF"/>
                  </w:tcBorders>
                  <w:shd w:val="clear" w:color="auto" w:fill="FFFFFF" w:themeFill="background1"/>
                  <w:vAlign w:val="center"/>
                </w:tcPr>
                <w:p w14:paraId="27DBCA1A" w14:textId="77777777" w:rsidR="00AA7C86" w:rsidRPr="00212A49" w:rsidRDefault="00AA7C86" w:rsidP="00B95343">
                  <w:pPr>
                    <w:pStyle w:val="TableBodyText"/>
                    <w:spacing w:before="40"/>
                  </w:pPr>
                </w:p>
              </w:tc>
              <w:tc>
                <w:tcPr>
                  <w:tcW w:w="415" w:type="pct"/>
                  <w:gridSpan w:val="2"/>
                  <w:tcBorders>
                    <w:top w:val="single" w:sz="6" w:space="0" w:color="BFBFBF"/>
                  </w:tcBorders>
                  <w:shd w:val="clear" w:color="auto" w:fill="FFFFFF" w:themeFill="background1"/>
                  <w:vAlign w:val="center"/>
                </w:tcPr>
                <w:p w14:paraId="35E51466" w14:textId="77777777" w:rsidR="00AA7C86" w:rsidRPr="00212A49" w:rsidRDefault="00AA7C86" w:rsidP="00B95343">
                  <w:pPr>
                    <w:pStyle w:val="TableBodyText"/>
                    <w:spacing w:before="40"/>
                  </w:pPr>
                </w:p>
              </w:tc>
              <w:tc>
                <w:tcPr>
                  <w:tcW w:w="407" w:type="pct"/>
                  <w:tcBorders>
                    <w:top w:val="single" w:sz="6" w:space="0" w:color="BFBFBF"/>
                  </w:tcBorders>
                  <w:shd w:val="clear" w:color="auto" w:fill="FFFFFF" w:themeFill="background1"/>
                  <w:vAlign w:val="center"/>
                </w:tcPr>
                <w:p w14:paraId="304C5570" w14:textId="77777777" w:rsidR="00AA7C86" w:rsidRPr="00212A49" w:rsidRDefault="00AA7C86" w:rsidP="00B95343">
                  <w:pPr>
                    <w:pStyle w:val="TableBodyText"/>
                    <w:spacing w:before="40"/>
                  </w:pPr>
                </w:p>
              </w:tc>
              <w:tc>
                <w:tcPr>
                  <w:tcW w:w="412" w:type="pct"/>
                  <w:tcBorders>
                    <w:top w:val="single" w:sz="6" w:space="0" w:color="BFBFBF"/>
                  </w:tcBorders>
                  <w:shd w:val="clear" w:color="auto" w:fill="FFFFFF" w:themeFill="background1"/>
                  <w:vAlign w:val="center"/>
                </w:tcPr>
                <w:p w14:paraId="7B766EFE" w14:textId="77777777" w:rsidR="00AA7C86" w:rsidRPr="00212A49" w:rsidRDefault="00AA7C86" w:rsidP="00B95343">
                  <w:pPr>
                    <w:pStyle w:val="TableBodyText"/>
                    <w:spacing w:before="40"/>
                  </w:pPr>
                </w:p>
              </w:tc>
              <w:tc>
                <w:tcPr>
                  <w:tcW w:w="406" w:type="pct"/>
                  <w:tcBorders>
                    <w:top w:val="single" w:sz="6" w:space="0" w:color="BFBFBF"/>
                  </w:tcBorders>
                  <w:shd w:val="clear" w:color="auto" w:fill="FFFFFF" w:themeFill="background1"/>
                  <w:vAlign w:val="center"/>
                </w:tcPr>
                <w:p w14:paraId="098D0727" w14:textId="77777777" w:rsidR="00AA7C86" w:rsidRPr="00212A49" w:rsidRDefault="00AA7C86" w:rsidP="00B95343">
                  <w:pPr>
                    <w:pStyle w:val="TableBodyText"/>
                    <w:spacing w:before="40"/>
                  </w:pPr>
                </w:p>
              </w:tc>
              <w:tc>
                <w:tcPr>
                  <w:tcW w:w="406" w:type="pct"/>
                  <w:tcBorders>
                    <w:top w:val="single" w:sz="6" w:space="0" w:color="BFBFBF"/>
                  </w:tcBorders>
                  <w:shd w:val="clear" w:color="auto" w:fill="FFFFFF" w:themeFill="background1"/>
                  <w:vAlign w:val="center"/>
                </w:tcPr>
                <w:p w14:paraId="025826D5" w14:textId="77777777" w:rsidR="00AA7C86" w:rsidRPr="00EF5795" w:rsidRDefault="00AA7C86" w:rsidP="00B95343">
                  <w:pPr>
                    <w:pStyle w:val="TableBodyText"/>
                    <w:spacing w:before="40"/>
                  </w:pPr>
                </w:p>
              </w:tc>
              <w:tc>
                <w:tcPr>
                  <w:tcW w:w="405" w:type="pct"/>
                  <w:tcBorders>
                    <w:top w:val="single" w:sz="6" w:space="0" w:color="BFBFBF"/>
                  </w:tcBorders>
                  <w:shd w:val="clear" w:color="auto" w:fill="FFFFFF" w:themeFill="background1"/>
                  <w:vAlign w:val="center"/>
                </w:tcPr>
                <w:p w14:paraId="0AD66DAF" w14:textId="77777777" w:rsidR="00AA7C86" w:rsidRPr="00212A49" w:rsidRDefault="00AA7C86" w:rsidP="00B95343">
                  <w:pPr>
                    <w:pStyle w:val="TableColumnHeading"/>
                    <w:spacing w:before="40" w:after="40"/>
                    <w:ind w:right="28"/>
                    <w:rPr>
                      <w:i w:val="0"/>
                    </w:rPr>
                  </w:pPr>
                </w:p>
              </w:tc>
            </w:tr>
            <w:tr w:rsidR="00AA7C86" w14:paraId="2D1AE51E" w14:textId="77777777" w:rsidTr="00AA7C86">
              <w:tc>
                <w:tcPr>
                  <w:tcW w:w="1724" w:type="pct"/>
                  <w:shd w:val="clear" w:color="auto" w:fill="F2F2F2" w:themeFill="background1" w:themeFillShade="F2"/>
                  <w:vAlign w:val="center"/>
                </w:tcPr>
                <w:p w14:paraId="61F9579D" w14:textId="77777777" w:rsidR="00AA7C86" w:rsidRDefault="00AA7C86" w:rsidP="00B95343">
                  <w:pPr>
                    <w:pStyle w:val="TableBodyText"/>
                    <w:jc w:val="left"/>
                  </w:pPr>
                  <w:r>
                    <w:t xml:space="preserve"> GST ($m)</w:t>
                  </w:r>
                </w:p>
              </w:tc>
              <w:tc>
                <w:tcPr>
                  <w:tcW w:w="419" w:type="pct"/>
                  <w:tcBorders>
                    <w:top w:val="nil"/>
                    <w:left w:val="nil"/>
                    <w:bottom w:val="nil"/>
                    <w:right w:val="nil"/>
                  </w:tcBorders>
                  <w:shd w:val="clear" w:color="auto" w:fill="F2F2F2" w:themeFill="background1" w:themeFillShade="F2"/>
                  <w:vAlign w:val="bottom"/>
                </w:tcPr>
                <w:p w14:paraId="35A30265" w14:textId="77777777" w:rsidR="00AA7C86" w:rsidRPr="007B10AA" w:rsidRDefault="00AA7C86" w:rsidP="00B95343">
                  <w:pPr>
                    <w:pStyle w:val="TableBodyText"/>
                  </w:pPr>
                  <w:r w:rsidRPr="007B10AA">
                    <w:rPr>
                      <w:rFonts w:cs="Arial"/>
                      <w:color w:val="000000"/>
                      <w:szCs w:val="18"/>
                    </w:rPr>
                    <w:t>227</w:t>
                  </w:r>
                </w:p>
              </w:tc>
              <w:tc>
                <w:tcPr>
                  <w:tcW w:w="406" w:type="pct"/>
                  <w:tcBorders>
                    <w:top w:val="nil"/>
                    <w:left w:val="nil"/>
                    <w:bottom w:val="nil"/>
                    <w:right w:val="nil"/>
                  </w:tcBorders>
                  <w:shd w:val="clear" w:color="auto" w:fill="F2F2F2" w:themeFill="background1" w:themeFillShade="F2"/>
                  <w:vAlign w:val="bottom"/>
                </w:tcPr>
                <w:p w14:paraId="499FA6CC" w14:textId="77777777" w:rsidR="00AA7C86" w:rsidRPr="00212A49" w:rsidRDefault="00AA7C86" w:rsidP="00B95343">
                  <w:pPr>
                    <w:pStyle w:val="TableBodyText"/>
                  </w:pPr>
                  <w:r w:rsidRPr="00212A49">
                    <w:rPr>
                      <w:rFonts w:cs="Arial"/>
                      <w:color w:val="000000"/>
                      <w:szCs w:val="18"/>
                    </w:rPr>
                    <w:t>76</w:t>
                  </w:r>
                </w:p>
              </w:tc>
              <w:tc>
                <w:tcPr>
                  <w:tcW w:w="415" w:type="pct"/>
                  <w:gridSpan w:val="2"/>
                  <w:tcBorders>
                    <w:top w:val="nil"/>
                    <w:left w:val="nil"/>
                    <w:bottom w:val="nil"/>
                    <w:right w:val="nil"/>
                  </w:tcBorders>
                  <w:shd w:val="clear" w:color="auto" w:fill="F2F2F2" w:themeFill="background1" w:themeFillShade="F2"/>
                  <w:vAlign w:val="bottom"/>
                </w:tcPr>
                <w:p w14:paraId="0CCEAC3D" w14:textId="77777777" w:rsidR="00AA7C86" w:rsidRPr="00212A49" w:rsidRDefault="00AA7C86" w:rsidP="00B95343">
                  <w:pPr>
                    <w:pStyle w:val="TableBodyText"/>
                  </w:pPr>
                  <w:r w:rsidRPr="00212A49">
                    <w:rPr>
                      <w:rFonts w:cs="Arial"/>
                      <w:color w:val="000000"/>
                      <w:szCs w:val="18"/>
                    </w:rPr>
                    <w:t>-8</w:t>
                  </w:r>
                </w:p>
              </w:tc>
              <w:tc>
                <w:tcPr>
                  <w:tcW w:w="407" w:type="pct"/>
                  <w:tcBorders>
                    <w:top w:val="nil"/>
                    <w:left w:val="nil"/>
                    <w:bottom w:val="nil"/>
                    <w:right w:val="nil"/>
                  </w:tcBorders>
                  <w:shd w:val="clear" w:color="auto" w:fill="F2F2F2" w:themeFill="background1" w:themeFillShade="F2"/>
                  <w:vAlign w:val="bottom"/>
                </w:tcPr>
                <w:p w14:paraId="6FB2689D" w14:textId="77777777" w:rsidR="00AA7C86" w:rsidRPr="00EF5795" w:rsidRDefault="00AA7C86" w:rsidP="00B95343">
                  <w:pPr>
                    <w:pStyle w:val="TableBodyText"/>
                  </w:pPr>
                  <w:r w:rsidRPr="00212A49">
                    <w:rPr>
                      <w:rFonts w:cs="Arial"/>
                      <w:color w:val="000000"/>
                      <w:szCs w:val="18"/>
                    </w:rPr>
                    <w:t>-</w:t>
                  </w:r>
                  <w:r w:rsidRPr="00EF5795">
                    <w:rPr>
                      <w:rFonts w:cs="Arial"/>
                      <w:color w:val="000000"/>
                      <w:szCs w:val="18"/>
                    </w:rPr>
                    <w:t>91</w:t>
                  </w:r>
                </w:p>
              </w:tc>
              <w:tc>
                <w:tcPr>
                  <w:tcW w:w="412" w:type="pct"/>
                  <w:tcBorders>
                    <w:top w:val="nil"/>
                    <w:left w:val="nil"/>
                    <w:bottom w:val="nil"/>
                    <w:right w:val="nil"/>
                  </w:tcBorders>
                  <w:shd w:val="clear" w:color="auto" w:fill="F2F2F2" w:themeFill="background1" w:themeFillShade="F2"/>
                  <w:vAlign w:val="bottom"/>
                </w:tcPr>
                <w:p w14:paraId="2A6441AD" w14:textId="77777777" w:rsidR="00AA7C86" w:rsidRPr="007B10AA" w:rsidRDefault="00AA7C86" w:rsidP="00B95343">
                  <w:pPr>
                    <w:pStyle w:val="TableBodyText"/>
                  </w:pPr>
                  <w:r w:rsidRPr="007B10AA">
                    <w:rPr>
                      <w:rFonts w:cs="Arial"/>
                      <w:color w:val="000000"/>
                      <w:szCs w:val="18"/>
                    </w:rPr>
                    <w:t>-62</w:t>
                  </w:r>
                </w:p>
              </w:tc>
              <w:tc>
                <w:tcPr>
                  <w:tcW w:w="406" w:type="pct"/>
                  <w:tcBorders>
                    <w:top w:val="nil"/>
                    <w:left w:val="nil"/>
                    <w:bottom w:val="nil"/>
                    <w:right w:val="nil"/>
                  </w:tcBorders>
                  <w:shd w:val="clear" w:color="auto" w:fill="F2F2F2" w:themeFill="background1" w:themeFillShade="F2"/>
                  <w:vAlign w:val="bottom"/>
                </w:tcPr>
                <w:p w14:paraId="63386063" w14:textId="77777777" w:rsidR="00AA7C86" w:rsidRPr="007B10AA" w:rsidRDefault="00AA7C86" w:rsidP="00B95343">
                  <w:pPr>
                    <w:pStyle w:val="TableBodyText"/>
                  </w:pPr>
                  <w:r w:rsidRPr="007B10AA">
                    <w:rPr>
                      <w:rFonts w:cs="Arial"/>
                      <w:color w:val="000000"/>
                      <w:szCs w:val="18"/>
                    </w:rPr>
                    <w:t>-43</w:t>
                  </w:r>
                </w:p>
              </w:tc>
              <w:tc>
                <w:tcPr>
                  <w:tcW w:w="406" w:type="pct"/>
                  <w:tcBorders>
                    <w:top w:val="nil"/>
                    <w:left w:val="nil"/>
                    <w:bottom w:val="nil"/>
                    <w:right w:val="nil"/>
                  </w:tcBorders>
                  <w:shd w:val="clear" w:color="auto" w:fill="F2F2F2" w:themeFill="background1" w:themeFillShade="F2"/>
                  <w:vAlign w:val="bottom"/>
                </w:tcPr>
                <w:p w14:paraId="04D6AE4E" w14:textId="77777777" w:rsidR="00AA7C86" w:rsidRPr="007B10AA" w:rsidRDefault="00AA7C86" w:rsidP="00B95343">
                  <w:pPr>
                    <w:pStyle w:val="TableBodyText"/>
                  </w:pPr>
                  <w:r w:rsidRPr="007B10AA">
                    <w:rPr>
                      <w:rFonts w:cs="Arial"/>
                      <w:color w:val="000000"/>
                      <w:szCs w:val="18"/>
                    </w:rPr>
                    <w:t>-70</w:t>
                  </w:r>
                </w:p>
              </w:tc>
              <w:tc>
                <w:tcPr>
                  <w:tcW w:w="405" w:type="pct"/>
                  <w:tcBorders>
                    <w:top w:val="nil"/>
                    <w:left w:val="nil"/>
                    <w:bottom w:val="nil"/>
                    <w:right w:val="nil"/>
                  </w:tcBorders>
                  <w:shd w:val="clear" w:color="auto" w:fill="F2F2F2" w:themeFill="background1" w:themeFillShade="F2"/>
                  <w:vAlign w:val="bottom"/>
                </w:tcPr>
                <w:p w14:paraId="3AE98EDF" w14:textId="77777777" w:rsidR="00AA7C86" w:rsidRPr="00212A49" w:rsidRDefault="00AA7C86" w:rsidP="00B95343">
                  <w:pPr>
                    <w:pStyle w:val="TableColumnHeading"/>
                    <w:spacing w:before="0" w:after="40"/>
                    <w:ind w:right="28"/>
                    <w:rPr>
                      <w:i w:val="0"/>
                    </w:rPr>
                  </w:pPr>
                  <w:r w:rsidRPr="007B10AA">
                    <w:rPr>
                      <w:rFonts w:cs="Arial"/>
                      <w:i w:val="0"/>
                      <w:color w:val="000000"/>
                      <w:szCs w:val="18"/>
                    </w:rPr>
                    <w:t>-28</w:t>
                  </w:r>
                </w:p>
              </w:tc>
            </w:tr>
            <w:tr w:rsidR="00AA7C86" w14:paraId="326DF7F0" w14:textId="77777777" w:rsidTr="00B95343">
              <w:tc>
                <w:tcPr>
                  <w:tcW w:w="1724" w:type="pct"/>
                  <w:tcBorders>
                    <w:bottom w:val="single" w:sz="6" w:space="0" w:color="BFBFBF"/>
                  </w:tcBorders>
                  <w:shd w:val="clear" w:color="auto" w:fill="FFFFFF" w:themeFill="background1"/>
                  <w:vAlign w:val="center"/>
                </w:tcPr>
                <w:p w14:paraId="7BD47D25" w14:textId="77777777" w:rsidR="00AA7C86" w:rsidRDefault="00AA7C86" w:rsidP="00B95343">
                  <w:pPr>
                    <w:pStyle w:val="TableBodyText"/>
                    <w:jc w:val="left"/>
                  </w:pPr>
                  <w:r>
                    <w:t xml:space="preserve"> GST ($pc)</w:t>
                  </w:r>
                </w:p>
              </w:tc>
              <w:tc>
                <w:tcPr>
                  <w:tcW w:w="419" w:type="pct"/>
                  <w:tcBorders>
                    <w:top w:val="nil"/>
                    <w:left w:val="nil"/>
                    <w:bottom w:val="single" w:sz="6" w:space="0" w:color="BFBFBF"/>
                    <w:right w:val="nil"/>
                  </w:tcBorders>
                  <w:shd w:val="clear" w:color="auto" w:fill="FFFFFF" w:themeFill="background1"/>
                  <w:vAlign w:val="bottom"/>
                </w:tcPr>
                <w:p w14:paraId="21D1FF10" w14:textId="77777777" w:rsidR="00AA7C86" w:rsidRPr="007B10AA" w:rsidRDefault="00AA7C86" w:rsidP="00B95343">
                  <w:pPr>
                    <w:pStyle w:val="TableBodyText"/>
                  </w:pPr>
                  <w:r w:rsidRPr="007B10AA">
                    <w:rPr>
                      <w:rFonts w:cs="Arial"/>
                      <w:color w:val="000000"/>
                      <w:szCs w:val="18"/>
                    </w:rPr>
                    <w:t>29</w:t>
                  </w:r>
                </w:p>
              </w:tc>
              <w:tc>
                <w:tcPr>
                  <w:tcW w:w="406" w:type="pct"/>
                  <w:tcBorders>
                    <w:top w:val="nil"/>
                    <w:left w:val="nil"/>
                    <w:bottom w:val="single" w:sz="6" w:space="0" w:color="BFBFBF"/>
                    <w:right w:val="nil"/>
                  </w:tcBorders>
                  <w:shd w:val="clear" w:color="auto" w:fill="FFFFFF" w:themeFill="background1"/>
                  <w:vAlign w:val="bottom"/>
                </w:tcPr>
                <w:p w14:paraId="1032BDCA" w14:textId="77777777" w:rsidR="00AA7C86" w:rsidRPr="007B10AA" w:rsidRDefault="00AA7C86" w:rsidP="00B95343">
                  <w:pPr>
                    <w:pStyle w:val="TableBodyText"/>
                  </w:pPr>
                  <w:r w:rsidRPr="007B10AA">
                    <w:rPr>
                      <w:rFonts w:cs="Arial"/>
                      <w:color w:val="000000"/>
                      <w:szCs w:val="18"/>
                    </w:rPr>
                    <w:t>12</w:t>
                  </w:r>
                </w:p>
              </w:tc>
              <w:tc>
                <w:tcPr>
                  <w:tcW w:w="415" w:type="pct"/>
                  <w:gridSpan w:val="2"/>
                  <w:tcBorders>
                    <w:top w:val="nil"/>
                    <w:left w:val="nil"/>
                    <w:bottom w:val="single" w:sz="6" w:space="0" w:color="BFBFBF"/>
                    <w:right w:val="nil"/>
                  </w:tcBorders>
                  <w:shd w:val="clear" w:color="auto" w:fill="FFFFFF" w:themeFill="background1"/>
                  <w:vAlign w:val="bottom"/>
                </w:tcPr>
                <w:p w14:paraId="05A7B1F9" w14:textId="77777777" w:rsidR="00AA7C86" w:rsidRPr="007B10AA" w:rsidRDefault="00AA7C86" w:rsidP="00B95343">
                  <w:pPr>
                    <w:pStyle w:val="TableBodyText"/>
                  </w:pPr>
                  <w:r w:rsidRPr="007B10AA">
                    <w:rPr>
                      <w:rFonts w:cs="Arial"/>
                      <w:color w:val="000000"/>
                      <w:szCs w:val="18"/>
                    </w:rPr>
                    <w:t>-2</w:t>
                  </w:r>
                </w:p>
              </w:tc>
              <w:tc>
                <w:tcPr>
                  <w:tcW w:w="407" w:type="pct"/>
                  <w:tcBorders>
                    <w:top w:val="nil"/>
                    <w:left w:val="nil"/>
                    <w:bottom w:val="single" w:sz="6" w:space="0" w:color="BFBFBF"/>
                    <w:right w:val="nil"/>
                  </w:tcBorders>
                  <w:shd w:val="clear" w:color="auto" w:fill="FFFFFF" w:themeFill="background1"/>
                  <w:vAlign w:val="bottom"/>
                </w:tcPr>
                <w:p w14:paraId="0D634ACB" w14:textId="77777777" w:rsidR="00AA7C86" w:rsidRPr="007B10AA" w:rsidRDefault="00AA7C86" w:rsidP="00B95343">
                  <w:pPr>
                    <w:pStyle w:val="TableBodyText"/>
                  </w:pPr>
                  <w:r w:rsidRPr="007B10AA">
                    <w:rPr>
                      <w:rFonts w:cs="Arial"/>
                      <w:color w:val="000000"/>
                      <w:szCs w:val="18"/>
                    </w:rPr>
                    <w:t>-35</w:t>
                  </w:r>
                </w:p>
              </w:tc>
              <w:tc>
                <w:tcPr>
                  <w:tcW w:w="412" w:type="pct"/>
                  <w:tcBorders>
                    <w:top w:val="nil"/>
                    <w:left w:val="nil"/>
                    <w:bottom w:val="single" w:sz="6" w:space="0" w:color="BFBFBF"/>
                    <w:right w:val="nil"/>
                  </w:tcBorders>
                  <w:shd w:val="clear" w:color="auto" w:fill="FFFFFF" w:themeFill="background1"/>
                  <w:vAlign w:val="bottom"/>
                </w:tcPr>
                <w:p w14:paraId="3538FD1A" w14:textId="77777777" w:rsidR="00AA7C86" w:rsidRPr="007B10AA" w:rsidRDefault="00AA7C86" w:rsidP="00B95343">
                  <w:pPr>
                    <w:pStyle w:val="TableBodyText"/>
                  </w:pPr>
                  <w:r w:rsidRPr="007B10AA">
                    <w:rPr>
                      <w:rFonts w:cs="Arial"/>
                      <w:color w:val="000000"/>
                      <w:szCs w:val="18"/>
                    </w:rPr>
                    <w:t>-36</w:t>
                  </w:r>
                </w:p>
              </w:tc>
              <w:tc>
                <w:tcPr>
                  <w:tcW w:w="406" w:type="pct"/>
                  <w:tcBorders>
                    <w:top w:val="nil"/>
                    <w:left w:val="nil"/>
                    <w:bottom w:val="single" w:sz="6" w:space="0" w:color="BFBFBF"/>
                    <w:right w:val="nil"/>
                  </w:tcBorders>
                  <w:shd w:val="clear" w:color="auto" w:fill="FFFFFF" w:themeFill="background1"/>
                  <w:vAlign w:val="bottom"/>
                </w:tcPr>
                <w:p w14:paraId="6652A07D" w14:textId="77777777" w:rsidR="00AA7C86" w:rsidRPr="007B10AA" w:rsidRDefault="00AA7C86" w:rsidP="00B95343">
                  <w:pPr>
                    <w:pStyle w:val="TableBodyText"/>
                  </w:pPr>
                  <w:r w:rsidRPr="007B10AA">
                    <w:rPr>
                      <w:rFonts w:cs="Arial"/>
                      <w:color w:val="000000"/>
                      <w:szCs w:val="18"/>
                    </w:rPr>
                    <w:t>-83</w:t>
                  </w:r>
                </w:p>
              </w:tc>
              <w:tc>
                <w:tcPr>
                  <w:tcW w:w="406" w:type="pct"/>
                  <w:tcBorders>
                    <w:top w:val="nil"/>
                    <w:left w:val="nil"/>
                    <w:bottom w:val="single" w:sz="6" w:space="0" w:color="BFBFBF"/>
                    <w:right w:val="nil"/>
                  </w:tcBorders>
                  <w:shd w:val="clear" w:color="auto" w:fill="FFFFFF" w:themeFill="background1"/>
                  <w:vAlign w:val="bottom"/>
                </w:tcPr>
                <w:p w14:paraId="0AE3D7A5" w14:textId="77777777" w:rsidR="00AA7C86" w:rsidRPr="007B10AA" w:rsidRDefault="00AA7C86" w:rsidP="00B95343">
                  <w:pPr>
                    <w:pStyle w:val="TableBodyText"/>
                  </w:pPr>
                  <w:r w:rsidRPr="007B10AA">
                    <w:rPr>
                      <w:rFonts w:cs="Arial"/>
                      <w:color w:val="000000"/>
                      <w:szCs w:val="18"/>
                    </w:rPr>
                    <w:t>-172</w:t>
                  </w:r>
                </w:p>
              </w:tc>
              <w:tc>
                <w:tcPr>
                  <w:tcW w:w="405" w:type="pct"/>
                  <w:tcBorders>
                    <w:top w:val="nil"/>
                    <w:left w:val="nil"/>
                    <w:bottom w:val="single" w:sz="6" w:space="0" w:color="BFBFBF"/>
                    <w:right w:val="nil"/>
                  </w:tcBorders>
                  <w:shd w:val="clear" w:color="auto" w:fill="FFFFFF" w:themeFill="background1"/>
                  <w:vAlign w:val="bottom"/>
                </w:tcPr>
                <w:p w14:paraId="61D48E8F" w14:textId="77777777" w:rsidR="00AA7C86" w:rsidRPr="007B10AA" w:rsidRDefault="00AA7C86" w:rsidP="00B95343">
                  <w:pPr>
                    <w:pStyle w:val="TableColumnHeading"/>
                    <w:spacing w:before="0" w:after="40"/>
                    <w:ind w:right="28"/>
                    <w:rPr>
                      <w:i w:val="0"/>
                    </w:rPr>
                  </w:pPr>
                  <w:r w:rsidRPr="007B10AA">
                    <w:rPr>
                      <w:rFonts w:cs="Arial"/>
                      <w:i w:val="0"/>
                      <w:color w:val="000000"/>
                      <w:szCs w:val="18"/>
                    </w:rPr>
                    <w:t>-113</w:t>
                  </w:r>
                </w:p>
              </w:tc>
            </w:tr>
          </w:tbl>
          <w:p w14:paraId="3FCD92EC" w14:textId="77777777" w:rsidR="00AA7C86" w:rsidRDefault="00AA7C86" w:rsidP="00B95343">
            <w:pPr>
              <w:pStyle w:val="Box"/>
            </w:pPr>
          </w:p>
        </w:tc>
      </w:tr>
      <w:tr w:rsidR="00AA7C86" w14:paraId="17C84265" w14:textId="77777777" w:rsidTr="00B95343">
        <w:tc>
          <w:tcPr>
            <w:tcW w:w="5000" w:type="pct"/>
            <w:tcBorders>
              <w:top w:val="nil"/>
              <w:left w:val="nil"/>
              <w:bottom w:val="nil"/>
              <w:right w:val="nil"/>
            </w:tcBorders>
            <w:shd w:val="clear" w:color="auto" w:fill="auto"/>
          </w:tcPr>
          <w:p w14:paraId="6C1FB74F" w14:textId="77777777" w:rsidR="00AA7C86" w:rsidRPr="006259B2" w:rsidRDefault="00AA7C86" w:rsidP="00B95343">
            <w:pPr>
              <w:pStyle w:val="Note"/>
            </w:pPr>
            <w:r w:rsidRPr="008E77FE">
              <w:rPr>
                <w:rStyle w:val="NoteLabel"/>
              </w:rPr>
              <w:t>a</w:t>
            </w:r>
            <w:r>
              <w:t xml:space="preserve"> All three cameos are evaluated on a ‘steady state’ basis; that is, assuming the new policy was fully in place in 2016</w:t>
            </w:r>
            <w:r>
              <w:noBreakHyphen/>
              <w:t xml:space="preserve">17. No transition paths are evaluated. </w:t>
            </w:r>
            <w:r>
              <w:rPr>
                <w:rStyle w:val="NoteLabel"/>
              </w:rPr>
              <w:t>b</w:t>
            </w:r>
            <w:r>
              <w:t xml:space="preserve"> Cameo 1 uses two values for the elasticity of stamp duty revenue to duty rates, and thus produces lower and upper bound estimates. </w:t>
            </w:r>
            <w:r>
              <w:rPr>
                <w:rStyle w:val="NoteLabel"/>
              </w:rPr>
              <w:t>c</w:t>
            </w:r>
            <w:r>
              <w:t xml:space="preserve"> Cameo</w:t>
            </w:r>
            <w:r w:rsidDel="00222D57">
              <w:t xml:space="preserve"> </w:t>
            </w:r>
            <w:r>
              <w:t>3 is associated with a higher per</w:t>
            </w:r>
            <w:r>
              <w:noBreakHyphen/>
              <w:t>capita stock of public transport infrastructure. The analysis only covers the operating and depreciation costs associated with maintaining this higher stock.</w:t>
            </w:r>
          </w:p>
        </w:tc>
      </w:tr>
      <w:tr w:rsidR="00AA7C86" w14:paraId="59FDC6E0" w14:textId="77777777" w:rsidTr="00B95343">
        <w:tc>
          <w:tcPr>
            <w:tcW w:w="5000" w:type="pct"/>
            <w:tcBorders>
              <w:top w:val="nil"/>
              <w:left w:val="nil"/>
              <w:bottom w:val="nil"/>
              <w:right w:val="nil"/>
            </w:tcBorders>
            <w:shd w:val="clear" w:color="auto" w:fill="auto"/>
          </w:tcPr>
          <w:p w14:paraId="78A7D75B" w14:textId="77777777" w:rsidR="00AA7C86" w:rsidRDefault="00AA7C86" w:rsidP="00B95343">
            <w:pPr>
              <w:pStyle w:val="Source"/>
            </w:pPr>
            <w:r>
              <w:rPr>
                <w:i/>
              </w:rPr>
              <w:t>Sources</w:t>
            </w:r>
            <w:r w:rsidRPr="00167F06">
              <w:t xml:space="preserve">: </w:t>
            </w:r>
            <w:r>
              <w:t>Productivity Commission estimates based on data provided by the CGC; Appendix C.</w:t>
            </w:r>
          </w:p>
        </w:tc>
      </w:tr>
      <w:tr w:rsidR="00AA7C86" w14:paraId="202AB7A6" w14:textId="77777777" w:rsidTr="00B95343">
        <w:tc>
          <w:tcPr>
            <w:tcW w:w="5000" w:type="pct"/>
            <w:tcBorders>
              <w:top w:val="nil"/>
              <w:left w:val="nil"/>
              <w:bottom w:val="single" w:sz="6" w:space="0" w:color="78A22F"/>
              <w:right w:val="nil"/>
            </w:tcBorders>
            <w:shd w:val="clear" w:color="auto" w:fill="auto"/>
          </w:tcPr>
          <w:p w14:paraId="77C37349" w14:textId="77777777" w:rsidR="00AA7C86" w:rsidRDefault="00AA7C86" w:rsidP="00B95343">
            <w:pPr>
              <w:pStyle w:val="Box"/>
              <w:spacing w:before="0" w:line="120" w:lineRule="exact"/>
            </w:pPr>
          </w:p>
        </w:tc>
      </w:tr>
      <w:tr w:rsidR="00AA7C86" w:rsidRPr="000863A5" w14:paraId="62C8B7FA" w14:textId="77777777" w:rsidTr="00B95343">
        <w:tc>
          <w:tcPr>
            <w:tcW w:w="5000" w:type="pct"/>
            <w:tcBorders>
              <w:top w:val="single" w:sz="6" w:space="0" w:color="78A22F"/>
              <w:left w:val="nil"/>
              <w:bottom w:val="nil"/>
              <w:right w:val="nil"/>
            </w:tcBorders>
          </w:tcPr>
          <w:p w14:paraId="21D42629" w14:textId="77777777" w:rsidR="00AA7C86" w:rsidRPr="00626D32" w:rsidRDefault="00AA7C86" w:rsidP="00B95343">
            <w:pPr>
              <w:pStyle w:val="BoxSpaceBelow"/>
            </w:pPr>
          </w:p>
        </w:tc>
      </w:tr>
    </w:tbl>
    <w:p w14:paraId="7954A0C7" w14:textId="77777777" w:rsidR="00F05DC7" w:rsidRDefault="00F05DC7" w:rsidP="00A3786D">
      <w:pPr>
        <w:pStyle w:val="BodyText"/>
      </w:pPr>
      <w:r>
        <w:t>In this cameo, the new congestion tax is designed to</w:t>
      </w:r>
      <w:r w:rsidRPr="005C6226">
        <w:t xml:space="preserve"> raise revenue equivalent to $200 per capita</w:t>
      </w:r>
      <w:r>
        <w:t xml:space="preserve"> (though in the smaller jurisdictions with little congestion it may be more akin to a road user charge)</w:t>
      </w:r>
      <w:r w:rsidRPr="005C6226">
        <w:t xml:space="preserve">. The impacts on GST shares are much </w:t>
      </w:r>
      <w:r w:rsidRPr="00E81C60">
        <w:t xml:space="preserve">more modest </w:t>
      </w:r>
      <w:r>
        <w:t>than in</w:t>
      </w:r>
      <w:r w:rsidRPr="00E81C60">
        <w:t xml:space="preserve"> cameo</w:t>
      </w:r>
      <w:r>
        <w:t> 1</w:t>
      </w:r>
      <w:r w:rsidRPr="00E81C60">
        <w:t xml:space="preserve"> (with the </w:t>
      </w:r>
      <w:r>
        <w:t xml:space="preserve">effects </w:t>
      </w:r>
      <w:r w:rsidRPr="00E81C60">
        <w:t>of multilateral reform being higher than for unilateral reform</w:t>
      </w:r>
      <w:r w:rsidRPr="005C6226">
        <w:t>)</w:t>
      </w:r>
      <w:r>
        <w:t xml:space="preserve"> — and less than 1 per cent of revenues for all States except the ACT</w:t>
      </w:r>
      <w:r w:rsidRPr="005C6226">
        <w:t xml:space="preserve">. This is partly driven by the assumption that the congestion tax would not affect the size of the underlying tax base (total kilometres travelled in each </w:t>
      </w:r>
      <w:r w:rsidRPr="00E81C60">
        <w:t>State’s capital city)</w:t>
      </w:r>
      <w:r>
        <w:t xml:space="preserve"> — an assumption made because estimates for the </w:t>
      </w:r>
      <w:r>
        <w:lastRenderedPageBreak/>
        <w:t>elasticity of kilometres travelled to a new congestion tax are not available. In practice, the congestion tax would be expected to reduce total kilometres travelled, which would moderate the GST impacts on States undertaking this reform (because the base and therefore revenue they ultimately collect from the tax would be less).</w:t>
      </w:r>
    </w:p>
    <w:p w14:paraId="7954A0C8" w14:textId="77777777" w:rsidR="00F05DC7" w:rsidRPr="0084030C" w:rsidRDefault="00F05DC7" w:rsidP="00A3786D">
      <w:pPr>
        <w:pStyle w:val="Heading3"/>
      </w:pPr>
      <w:r>
        <w:t>Evidence of policy distortions</w:t>
      </w:r>
    </w:p>
    <w:p w14:paraId="7954A0C9" w14:textId="17664BD8" w:rsidR="00F05DC7" w:rsidRDefault="00F05DC7" w:rsidP="00A3786D">
      <w:pPr>
        <w:pStyle w:val="BodyText"/>
      </w:pPr>
      <w:r>
        <w:t>W</w:t>
      </w:r>
      <w:r w:rsidRPr="001D69F7">
        <w:t xml:space="preserve">hether </w:t>
      </w:r>
      <w:r>
        <w:t>such GST</w:t>
      </w:r>
      <w:r w:rsidRPr="001D69F7">
        <w:t xml:space="preserve"> effects</w:t>
      </w:r>
      <w:r>
        <w:t xml:space="preserve"> — or uncertainty about their magnitude —</w:t>
      </w:r>
      <w:r w:rsidRPr="001D69F7">
        <w:t xml:space="preserve"> actually influence policy </w:t>
      </w:r>
      <w:r>
        <w:t>choices</w:t>
      </w:r>
      <w:r w:rsidRPr="001D69F7">
        <w:t xml:space="preserve"> i</w:t>
      </w:r>
      <w:r>
        <w:t>s difficult to prove, given closed door decision making. Only two studies have looked at this quantitatively. The 2012 GST Distribution Review compared each State’s actual tax revenues and expenditures (relative to the average, across many categories) with estimates of the average</w:t>
      </w:r>
      <w:r>
        <w:noBreakHyphen/>
        <w:t>rate effect. This is one way of seeing whether States rely more on tax or expenditure types that are associated with receiving higher GST payments</w:t>
      </w:r>
      <w:r w:rsidRPr="00F026B8">
        <w:t xml:space="preserve">. </w:t>
      </w:r>
      <w:r w:rsidRPr="00617DBA">
        <w:t xml:space="preserve">It </w:t>
      </w:r>
      <w:r w:rsidRPr="00F026B8">
        <w:t>found</w:t>
      </w:r>
      <w:r>
        <w:t xml:space="preserve"> a correlation close to zero, suggesting that States do not systematically set higher tax rates in cases where doing so would generate the largest consequent gains in GST payments </w:t>
      </w:r>
      <w:r w:rsidRPr="008D06C3">
        <w:rPr>
          <w:szCs w:val="24"/>
        </w:rPr>
        <w:t>(Brumby, Carter and Greiner 2012a, p. 69)</w:t>
      </w:r>
      <w:r>
        <w:t xml:space="preserve">. By contrast, regression analysis by Dahlby and Warren </w:t>
      </w:r>
      <w:r w:rsidRPr="006B5A68">
        <w:rPr>
          <w:szCs w:val="24"/>
        </w:rPr>
        <w:t>(2003, p. 444)</w:t>
      </w:r>
      <w:r>
        <w:t xml:space="preserve"> found some correlation between State tax rates and GST effects, though the authors noted that their model was simplistic and that the results provide only weak evidence of a policy impact.</w:t>
      </w:r>
    </w:p>
    <w:p w14:paraId="7954A0CA" w14:textId="77777777" w:rsidR="00F05DC7" w:rsidRDefault="00F05DC7" w:rsidP="00A3786D">
      <w:pPr>
        <w:pStyle w:val="BodyText"/>
      </w:pPr>
      <w:r>
        <w:t>Several jurisdictions argued that there is a lack of evidence that States change their tax rates to increase their GST shares (Tasmanian Government, sub. 28, p. 1; Queensland Government, sub. 32, p. 7; ACT Government, sub. 49, p. 26). Some pointed to the GST Distribution Review’s conclusion that:</w:t>
      </w:r>
    </w:p>
    <w:p w14:paraId="7954A0CB" w14:textId="10B7A068" w:rsidR="00F05DC7" w:rsidRDefault="00F05DC7" w:rsidP="00A3786D">
      <w:pPr>
        <w:pStyle w:val="Quote"/>
      </w:pPr>
      <w:r>
        <w:t>The current system creates perverse theoretical incentives in some instances, but there is little evidence that they have any effect in the real world</w:t>
      </w:r>
      <w:r>
        <w:rPr>
          <w:szCs w:val="22"/>
        </w:rPr>
        <w:t>. In particular, there is no evidence that HFE acts as a material disincentive to State tax r</w:t>
      </w:r>
      <w:r w:rsidRPr="00B3379A">
        <w:t xml:space="preserve">eform. </w:t>
      </w:r>
      <w:r w:rsidRPr="004664B9">
        <w:rPr>
          <w:szCs w:val="24"/>
        </w:rPr>
        <w:t>(Brumby, Carter and Greiner 2012a, p. 140)</w:t>
      </w:r>
    </w:p>
    <w:p w14:paraId="7954A0CC" w14:textId="77777777" w:rsidR="00F05DC7" w:rsidRDefault="00F05DC7" w:rsidP="00A3786D">
      <w:pPr>
        <w:pStyle w:val="BodyText"/>
      </w:pPr>
      <w:r>
        <w:t>Some</w:t>
      </w:r>
      <w:r w:rsidRPr="00E502CB">
        <w:t xml:space="preserve"> participants criticised the </w:t>
      </w:r>
      <w:r>
        <w:t>Productivity Commission’s draft report</w:t>
      </w:r>
      <w:r w:rsidRPr="00E502CB">
        <w:t xml:space="preserve"> for not providing </w:t>
      </w:r>
      <w:r>
        <w:t xml:space="preserve">concrete </w:t>
      </w:r>
      <w:r w:rsidRPr="00E502CB">
        <w:t>evidence that GST incentives had actually affected State reform outcomes (NT Government, sub.</w:t>
      </w:r>
      <w:r>
        <w:t> </w:t>
      </w:r>
      <w:r w:rsidRPr="00E502CB">
        <w:t>DR69, p.</w:t>
      </w:r>
      <w:r>
        <w:t> </w:t>
      </w:r>
      <w:r w:rsidRPr="00E502CB">
        <w:t>21</w:t>
      </w:r>
      <w:r>
        <w:t>; Saul Eslake, sub. DR71, p. 2</w:t>
      </w:r>
      <w:r w:rsidRPr="00E502CB">
        <w:t>)</w:t>
      </w:r>
      <w:r>
        <w:t>, while others continued to assert that such evidence does not exist (Tasmanian Government, sub. DR74, p. 4; Victorian Government, sub. DR87, p. 1).</w:t>
      </w:r>
    </w:p>
    <w:p w14:paraId="7954A0CD" w14:textId="77777777" w:rsidR="00F05DC7" w:rsidRDefault="00F05DC7" w:rsidP="00A3786D">
      <w:pPr>
        <w:pStyle w:val="BodyText"/>
      </w:pPr>
      <w:r>
        <w:t>Others pointed to one specific example: a recently abandoned proposal in Western Australia to raise royalty rates on gold (Parliamentary National Party of WA, sub. DR76, p. 3; WA Government, sub. DR83, p. 27). The Parliamentary National Party of WA (sub. DR76, p. 3) argued that:</w:t>
      </w:r>
    </w:p>
    <w:p w14:paraId="7954A0CE" w14:textId="77777777" w:rsidR="00F05DC7" w:rsidRDefault="00F05DC7" w:rsidP="00A3786D">
      <w:pPr>
        <w:pStyle w:val="Quote"/>
      </w:pPr>
      <w:r>
        <w:t>It is increasingly found within the Western Australian psyche that any revenue reform or tax increase proposals proposed by the State Governments is pointless and most revenue will be lost in the GST carve up. This is compounded by modelling which shows the majority of WA’s mining royalties have been subject to redistribution via the GST.</w:t>
      </w:r>
    </w:p>
    <w:p w14:paraId="7954A0CF" w14:textId="61DFC1FD" w:rsidR="00F05DC7" w:rsidRDefault="00F05DC7" w:rsidP="00A3786D">
      <w:pPr>
        <w:pStyle w:val="BodyText"/>
      </w:pPr>
      <w:r>
        <w:lastRenderedPageBreak/>
        <w:t xml:space="preserve">Counter examples can also be found, such as where a State explicitly chooses not to pursue </w:t>
      </w:r>
      <w:r w:rsidRPr="00523608">
        <w:t>efficiency</w:t>
      </w:r>
      <w:r w:rsidRPr="00523608">
        <w:noBreakHyphen/>
        <w:t>e</w:t>
      </w:r>
      <w:r>
        <w:t>nhancing reforms even where these</w:t>
      </w:r>
      <w:r w:rsidRPr="00523608">
        <w:t xml:space="preserve"> would be associated with an </w:t>
      </w:r>
      <w:r w:rsidRPr="00785004">
        <w:t>increase</w:t>
      </w:r>
      <w:r>
        <w:t xml:space="preserve"> in GST payments. One such example is the</w:t>
      </w:r>
      <w:r w:rsidRPr="00523608">
        <w:t xml:space="preserve"> NSW Government</w:t>
      </w:r>
      <w:r>
        <w:t>’s decision</w:t>
      </w:r>
      <w:r w:rsidRPr="00523608">
        <w:t xml:space="preserve"> not </w:t>
      </w:r>
      <w:r>
        <w:t xml:space="preserve">to </w:t>
      </w:r>
      <w:r w:rsidRPr="00523608">
        <w:t>replac</w:t>
      </w:r>
      <w:r>
        <w:t>e</w:t>
      </w:r>
      <w:r w:rsidRPr="00523608">
        <w:t xml:space="preserve"> insurance taxes with higher payroll taxes</w:t>
      </w:r>
      <w:r>
        <w:t xml:space="preserve"> (via a lower tax threshold)</w:t>
      </w:r>
      <w:r w:rsidRPr="00523608">
        <w:t xml:space="preserve">, despite its own Financial Audit recommending this in 2012 </w:t>
      </w:r>
      <w:r w:rsidR="009D6331" w:rsidRPr="009D6331">
        <w:rPr>
          <w:szCs w:val="24"/>
        </w:rPr>
        <w:t>(Brumby, Carter and Greiner 2012c, p. 36)</w:t>
      </w:r>
      <w:r w:rsidRPr="00523608">
        <w:t>.</w:t>
      </w:r>
    </w:p>
    <w:p w14:paraId="7954A0D0" w14:textId="77777777" w:rsidR="00F05DC7" w:rsidRDefault="00F05DC7" w:rsidP="00A3786D">
      <w:pPr>
        <w:pStyle w:val="BodyText"/>
      </w:pPr>
      <w:r>
        <w:t>In most cases, however, there is no policy decision to observe and hence no specific examples are available. In a context of vertical fiscal imbalance and an arguably limited range of (at times inefficient) tax bases available to the States, the GST effects of major tax reforms — such as those illustrated in the above cameos — may act as a strong first</w:t>
      </w:r>
      <w:r>
        <w:noBreakHyphen/>
        <w:t>mover disadvantage that discourages States from even investigating a reform.</w:t>
      </w:r>
    </w:p>
    <w:p w14:paraId="7954A0D1" w14:textId="77777777" w:rsidR="00F05DC7" w:rsidRDefault="00F05DC7" w:rsidP="00A3786D">
      <w:pPr>
        <w:pStyle w:val="BodyText"/>
      </w:pPr>
      <w:r>
        <w:t>Yet an absence of evidence is not equivalent to evidence of absence. Ultimately, States choose whether or not to pursue particular policies on the basis of a wide range of factors, as noted earlier. This can arguably mean that ‘State policy behaviour cannot be conclusively linked to Australia’s HFE system’, even in cases where HFE does have an influence (ACT Government, sub. DR81, p. 25).</w:t>
      </w:r>
    </w:p>
    <w:p w14:paraId="7954A0D2" w14:textId="2FB3D982" w:rsidR="00F05DC7" w:rsidRDefault="00F05DC7" w:rsidP="00A3786D">
      <w:pPr>
        <w:pStyle w:val="BodyText"/>
      </w:pPr>
      <w:r>
        <w:t>The effect of HFE incentives on policy outcomes is an empirical question, and one that would require substantial and transparent data on policy decisions and the factors that influence these — data that in many cases are not recorded. In other countries, researchers have found that the incentive effects in HFE formulas have had a detectable bias on jurisdictions’ policy settings. And there is evidence in other policy areas that financial incentives have a bearing on the policies set by governments, whether for good or bad (box 3.6).</w:t>
      </w:r>
    </w:p>
    <w:p w14:paraId="7954A0D3" w14:textId="77777777" w:rsidR="00F05DC7" w:rsidRDefault="00F05DC7" w:rsidP="00A3786D">
      <w:pPr>
        <w:pStyle w:val="BodyText"/>
      </w:pPr>
      <w:r>
        <w:t>On balance, GST effects are likely to be small or modest for most State policy decisions, and thus unlikely to distort most policy outcomes. However, there are likely to be other cases where perverse incentives distort policy at the margin, especially where there are outliers and atypical circumstances, for example, in relation to mineral and energy policy (section 3.3) and when States are contemplating substantive reforms to their tax base mixes that depart from what other States do. Over time, these effects could have a material cumulative impact on the economy and wellbeing. Indeed, it is the substantive reforms to tax base mixes (as opposed to smaller adjustments in individual tax rates) that would generate the greatest potential benefits for the community.</w:t>
      </w:r>
    </w:p>
    <w:p w14:paraId="7954A0D4" w14:textId="2941553A" w:rsidR="00F05DC7" w:rsidRDefault="00F05DC7" w:rsidP="00A3786D">
      <w:pPr>
        <w:pStyle w:val="BodyText"/>
      </w:pPr>
      <w:r>
        <w:t>Yet, in these cases, the potential GST implications of reforms will be too large for State Treasuries to ignore — and at a minimum can and should be estimated prior to a policy decision being made. That some States purport not to examine how prospective reforms would impact their GST payments would suggest that important policy decisions are being taken without due regard for the fiscal implications (box 3.7).</w:t>
      </w:r>
    </w:p>
    <w:p w14:paraId="7954A0D7"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0D9" w14:textId="77777777" w:rsidTr="00A3786D">
        <w:trPr>
          <w:tblHeader/>
        </w:trPr>
        <w:tc>
          <w:tcPr>
            <w:tcW w:w="5000" w:type="pct"/>
            <w:tcBorders>
              <w:top w:val="single" w:sz="6" w:space="0" w:color="78A22F"/>
              <w:left w:val="nil"/>
              <w:bottom w:val="nil"/>
              <w:right w:val="nil"/>
            </w:tcBorders>
            <w:shd w:val="clear" w:color="auto" w:fill="F2F2F2"/>
          </w:tcPr>
          <w:p w14:paraId="7954A0D8" w14:textId="1FFA0D98" w:rsidR="00F05DC7" w:rsidRDefault="00F05DC7" w:rsidP="00A3786D">
            <w:pPr>
              <w:pStyle w:val="BoxTitle"/>
            </w:pPr>
            <w:r>
              <w:rPr>
                <w:b w:val="0"/>
              </w:rPr>
              <w:t xml:space="preserve">Box </w:t>
            </w:r>
            <w:bookmarkStart w:id="69" w:name="OLE_LINK12"/>
            <w:r>
              <w:rPr>
                <w:b w:val="0"/>
              </w:rPr>
              <w:t>3.</w:t>
            </w:r>
            <w:r>
              <w:rPr>
                <w:b w:val="0"/>
                <w:noProof/>
              </w:rPr>
              <w:t>6</w:t>
            </w:r>
            <w:bookmarkEnd w:id="69"/>
            <w:r>
              <w:tab/>
              <w:t>Evidence of financial incentives influencing policy</w:t>
            </w:r>
          </w:p>
        </w:tc>
      </w:tr>
      <w:tr w:rsidR="00F05DC7" w14:paraId="7954A0DF" w14:textId="77777777" w:rsidTr="00A3786D">
        <w:tc>
          <w:tcPr>
            <w:tcW w:w="5000" w:type="pct"/>
            <w:tcBorders>
              <w:top w:val="nil"/>
              <w:left w:val="nil"/>
              <w:bottom w:val="nil"/>
              <w:right w:val="nil"/>
            </w:tcBorders>
            <w:shd w:val="clear" w:color="auto" w:fill="F2F2F2"/>
          </w:tcPr>
          <w:p w14:paraId="7954A0DA" w14:textId="77777777" w:rsidR="00F05DC7" w:rsidRDefault="00F05DC7" w:rsidP="00A3786D">
            <w:pPr>
              <w:pStyle w:val="Box"/>
            </w:pPr>
            <w:r>
              <w:t>Definitive evidence that the GST formula influences State policy outcomes is unsurprisingly scant. Multiple factors influence State policy decisions, and many are impossible to directly observe, let alone quantify. This makes it difficult for researchers to use quantitative techniques (such as econometrics) to isolate the marginal effect of HFE incentives from other factors.</w:t>
            </w:r>
          </w:p>
          <w:p w14:paraId="7954A0DB" w14:textId="77777777" w:rsidR="00F05DC7" w:rsidRDefault="00F05DC7" w:rsidP="00A3786D">
            <w:pPr>
              <w:pStyle w:val="Box"/>
            </w:pPr>
            <w:r>
              <w:t>Similar challenges arise in many policy areas where financial incentives are at play but decision makers may not be primarily driven by a pecuniary motive. In some of these areas, it may be possible to quantify the impact of such incentives on policy decisions. This usually requires having access to robust data over a wide spatial scale or long time horizon.</w:t>
            </w:r>
          </w:p>
          <w:p w14:paraId="7954A0DC" w14:textId="1465C978" w:rsidR="00F05DC7" w:rsidRDefault="00F05DC7" w:rsidP="00A3786D">
            <w:pPr>
              <w:pStyle w:val="Box"/>
            </w:pPr>
            <w:r>
              <w:t xml:space="preserve">Researchers have found evidence that HFE can distort policy decisions in other countries. Studies have found that, </w:t>
            </w:r>
            <w:r w:rsidRPr="0064385A">
              <w:t>all else equal, subnational jurisdictions in Canada and Germany set higher tax rates when this leads to receiving higher payments</w:t>
            </w:r>
            <w:r>
              <w:t xml:space="preserve"> through HFE formulas</w:t>
            </w:r>
            <w:r w:rsidRPr="0064385A">
              <w:t xml:space="preserve"> (Buettner 2005; Ferede 2014).</w:t>
            </w:r>
            <w:r>
              <w:t xml:space="preserve"> The empirical techniques used in these studies (which rely on discontinuities in the equalisation formula to show causality) would not be applicable to Australia, due to differences in HFE formulas and the availability of data.</w:t>
            </w:r>
          </w:p>
          <w:p w14:paraId="7954A0DD" w14:textId="39557A5D" w:rsidR="00F05DC7" w:rsidRPr="0068681B" w:rsidRDefault="00F05DC7" w:rsidP="00A3786D">
            <w:pPr>
              <w:pStyle w:val="Box"/>
            </w:pPr>
            <w:r>
              <w:t xml:space="preserve">More generally, there are other policy areas where it is widely accepted that the availability of funding from another level of government has distorted decision making. For example, the </w:t>
            </w:r>
            <w:r w:rsidRPr="00056ACB">
              <w:t xml:space="preserve">Productivity Commission previously found that the rules set by the Commonwealth to provide financial assistance to the States </w:t>
            </w:r>
            <w:r w:rsidRPr="00976909">
              <w:t xml:space="preserve">to </w:t>
            </w:r>
            <w:r w:rsidRPr="003416C0">
              <w:t xml:space="preserve">rebuild assets following a natural disaster have discouraged States from </w:t>
            </w:r>
            <w:r w:rsidRPr="00056ACB">
              <w:t xml:space="preserve">investing in mitigation and insurance </w:t>
            </w:r>
            <w:r w:rsidR="009D6331" w:rsidRPr="009D6331">
              <w:rPr>
                <w:rFonts w:cs="Arial"/>
                <w:szCs w:val="24"/>
              </w:rPr>
              <w:t>(PC 2014b)</w:t>
            </w:r>
            <w:r w:rsidRPr="00056ACB">
              <w:t>.</w:t>
            </w:r>
          </w:p>
          <w:p w14:paraId="7954A0DE" w14:textId="34F42E8F" w:rsidR="00F05DC7" w:rsidRPr="00274FDC" w:rsidRDefault="00F05DC7" w:rsidP="009D6331">
            <w:pPr>
              <w:pStyle w:val="Box"/>
            </w:pPr>
            <w:r w:rsidRPr="0068681B">
              <w:t>Another example — where financial incentives have been used to drive good policy decisions — is the National Competition Policy.</w:t>
            </w:r>
            <w:r w:rsidRPr="003416C0">
              <w:t xml:space="preserve"> </w:t>
            </w:r>
            <w:r>
              <w:t xml:space="preserve">In this instance </w:t>
            </w:r>
            <w:r w:rsidRPr="00056ACB">
              <w:t>the Commonwealth</w:t>
            </w:r>
            <w:r w:rsidRPr="00976909">
              <w:t xml:space="preserve"> provided financial incentive payments to the States</w:t>
            </w:r>
            <w:r>
              <w:t xml:space="preserve"> to encourage them to enact an agreed set of regulatory reforms designed to spur competition in the economy (the payments </w:t>
            </w:r>
            <w:r w:rsidRPr="00976909">
              <w:t>also acted to share the fiscal benefits of reform). The</w:t>
            </w:r>
            <w:r>
              <w:t>se incentive payments</w:t>
            </w:r>
            <w:r w:rsidRPr="00976909">
              <w:t xml:space="preserve"> played a critical role in keeping the reform process on track </w:t>
            </w:r>
            <w:r w:rsidRPr="003416C0">
              <w:rPr>
                <w:rFonts w:cs="Arial"/>
                <w:szCs w:val="24"/>
              </w:rPr>
              <w:t>(PC 2005, p.</w:t>
            </w:r>
            <w:r w:rsidRPr="00056ACB">
              <w:rPr>
                <w:rFonts w:cs="Arial"/>
                <w:szCs w:val="24"/>
              </w:rPr>
              <w:t> xxiii)</w:t>
            </w:r>
            <w:r>
              <w:t xml:space="preserve">. However, exercising control over payments as a way to drive State reforms can also be a negative, especially where this acts to reinforce problems of poor accountability </w:t>
            </w:r>
            <w:r w:rsidR="009D6331" w:rsidRPr="009D6331">
              <w:rPr>
                <w:rFonts w:cs="Arial"/>
                <w:szCs w:val="24"/>
              </w:rPr>
              <w:t>(PC 2017d, p. 196)</w:t>
            </w:r>
            <w:r>
              <w:t>.</w:t>
            </w:r>
          </w:p>
        </w:tc>
      </w:tr>
      <w:tr w:rsidR="00F05DC7" w14:paraId="7954A0E1" w14:textId="77777777" w:rsidTr="00A3786D">
        <w:tc>
          <w:tcPr>
            <w:tcW w:w="5000" w:type="pct"/>
            <w:tcBorders>
              <w:top w:val="nil"/>
              <w:left w:val="nil"/>
              <w:bottom w:val="single" w:sz="6" w:space="0" w:color="78A22F"/>
              <w:right w:val="nil"/>
            </w:tcBorders>
            <w:shd w:val="clear" w:color="auto" w:fill="F2F2F2"/>
          </w:tcPr>
          <w:p w14:paraId="7954A0E0" w14:textId="77777777" w:rsidR="00F05DC7" w:rsidRDefault="00F05DC7" w:rsidP="00A3786D">
            <w:pPr>
              <w:pStyle w:val="Box"/>
              <w:spacing w:before="0" w:line="120" w:lineRule="exact"/>
            </w:pPr>
          </w:p>
        </w:tc>
      </w:tr>
      <w:tr w:rsidR="00F05DC7" w:rsidRPr="000863A5" w14:paraId="7954A0E3" w14:textId="77777777" w:rsidTr="00A3786D">
        <w:tc>
          <w:tcPr>
            <w:tcW w:w="5000" w:type="pct"/>
            <w:tcBorders>
              <w:top w:val="single" w:sz="6" w:space="0" w:color="78A22F"/>
              <w:left w:val="nil"/>
              <w:bottom w:val="nil"/>
              <w:right w:val="nil"/>
            </w:tcBorders>
          </w:tcPr>
          <w:p w14:paraId="7954A0E2" w14:textId="77777777" w:rsidR="00F05DC7" w:rsidRPr="00626D32" w:rsidRDefault="00F05DC7" w:rsidP="00A3786D">
            <w:pPr>
              <w:pStyle w:val="BoxSpaceBelow"/>
            </w:pPr>
          </w:p>
        </w:tc>
      </w:tr>
    </w:tbl>
    <w:p w14:paraId="7954A0E4"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0E7"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0E5" w14:textId="12F670ED" w:rsidR="00F05DC7" w:rsidRDefault="00F05DC7" w:rsidP="00A3786D">
            <w:pPr>
              <w:pStyle w:val="FindingTitle"/>
              <w:spacing w:before="120"/>
              <w:rPr>
                <w:noProof/>
              </w:rPr>
            </w:pPr>
            <w:r>
              <w:t>Finding 3.</w:t>
            </w:r>
            <w:r>
              <w:rPr>
                <w:noProof/>
              </w:rPr>
              <w:t>1</w:t>
            </w:r>
          </w:p>
          <w:p w14:paraId="7954A0E6" w14:textId="77777777" w:rsidR="00F05DC7" w:rsidRPr="00CE4C64" w:rsidRDefault="00F05DC7" w:rsidP="00A3786D">
            <w:pPr>
              <w:pStyle w:val="Finding"/>
            </w:pPr>
            <w:r>
              <w:t>Most</w:t>
            </w:r>
            <w:r w:rsidRPr="0013531A">
              <w:t xml:space="preserve"> State tax reforms would </w:t>
            </w:r>
            <w:r>
              <w:t xml:space="preserve">have limited impacts </w:t>
            </w:r>
            <w:r w:rsidRPr="0013531A">
              <w:t>on</w:t>
            </w:r>
            <w:r>
              <w:t xml:space="preserve"> the</w:t>
            </w:r>
            <w:r w:rsidRPr="0013531A">
              <w:t xml:space="preserve"> GST distribution. However, there are circumstances where the GST effects can be material — such as for a State undertaking large scale tax reform — and act as a significant disincentive </w:t>
            </w:r>
            <w:r>
              <w:t>for</w:t>
            </w:r>
            <w:r w:rsidRPr="0013531A">
              <w:t xml:space="preserve"> States </w:t>
            </w:r>
            <w:r>
              <w:t xml:space="preserve">to </w:t>
            </w:r>
            <w:r w:rsidRPr="0013531A">
              <w:t>implement efficient tax policy. These disincentives are likely to be exacerbated where the State is a first mover on reform</w:t>
            </w:r>
            <w:r>
              <w:t xml:space="preserve"> </w:t>
            </w:r>
            <w:r w:rsidRPr="0013531A">
              <w:t xml:space="preserve">or where there is uncertainty about how significant tax changes will be assessed by the </w:t>
            </w:r>
            <w:r>
              <w:t>CGC</w:t>
            </w:r>
            <w:r w:rsidRPr="0013531A">
              <w:t>.</w:t>
            </w:r>
          </w:p>
        </w:tc>
      </w:tr>
      <w:tr w:rsidR="00F05DC7" w14:paraId="7954A0E9"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0E8" w14:textId="77777777" w:rsidR="00F05DC7" w:rsidRDefault="00F05DC7" w:rsidP="00A3786D">
            <w:pPr>
              <w:pStyle w:val="Space"/>
              <w:keepLines/>
            </w:pPr>
          </w:p>
        </w:tc>
      </w:tr>
      <w:tr w:rsidR="00F05DC7" w:rsidRPr="000863A5" w14:paraId="7954A0EB"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0EA" w14:textId="77777777" w:rsidR="00F05DC7" w:rsidRPr="00626D32" w:rsidRDefault="00F05DC7" w:rsidP="00A3786D">
            <w:pPr>
              <w:pStyle w:val="BoxSpaceBelow"/>
              <w:keepLines/>
            </w:pPr>
          </w:p>
        </w:tc>
      </w:tr>
    </w:tbl>
    <w:p w14:paraId="7954A0EC"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0EE" w14:textId="77777777" w:rsidTr="00A3786D">
        <w:trPr>
          <w:tblHeader/>
        </w:trPr>
        <w:tc>
          <w:tcPr>
            <w:tcW w:w="5000" w:type="pct"/>
            <w:tcBorders>
              <w:top w:val="single" w:sz="6" w:space="0" w:color="78A22F"/>
              <w:left w:val="nil"/>
              <w:bottom w:val="nil"/>
              <w:right w:val="nil"/>
            </w:tcBorders>
            <w:shd w:val="clear" w:color="auto" w:fill="F2F2F2"/>
          </w:tcPr>
          <w:p w14:paraId="7954A0ED" w14:textId="5A99F53D" w:rsidR="00F05DC7" w:rsidRDefault="00F05DC7" w:rsidP="00A3786D">
            <w:pPr>
              <w:pStyle w:val="BoxTitle"/>
            </w:pPr>
            <w:r>
              <w:rPr>
                <w:b w:val="0"/>
              </w:rPr>
              <w:t xml:space="preserve">Box </w:t>
            </w:r>
            <w:bookmarkStart w:id="70" w:name="OLE_LINK13"/>
            <w:r>
              <w:rPr>
                <w:b w:val="0"/>
              </w:rPr>
              <w:t>3.</w:t>
            </w:r>
            <w:r>
              <w:rPr>
                <w:b w:val="0"/>
                <w:noProof/>
              </w:rPr>
              <w:t>7</w:t>
            </w:r>
            <w:bookmarkEnd w:id="70"/>
            <w:r>
              <w:tab/>
              <w:t>Do States quantify the GST impacts of policy decisions?</w:t>
            </w:r>
          </w:p>
        </w:tc>
      </w:tr>
      <w:tr w:rsidR="00F05DC7" w14:paraId="7954A0FA" w14:textId="77777777" w:rsidTr="00A3786D">
        <w:tc>
          <w:tcPr>
            <w:tcW w:w="5000" w:type="pct"/>
            <w:tcBorders>
              <w:top w:val="nil"/>
              <w:left w:val="nil"/>
              <w:bottom w:val="nil"/>
              <w:right w:val="nil"/>
            </w:tcBorders>
            <w:shd w:val="clear" w:color="auto" w:fill="F2F2F2"/>
          </w:tcPr>
          <w:p w14:paraId="7954A0EF" w14:textId="77777777" w:rsidR="00F05DC7" w:rsidRDefault="00F05DC7" w:rsidP="00A3786D">
            <w:pPr>
              <w:pStyle w:val="Box"/>
            </w:pPr>
            <w:r>
              <w:t>All State Treasuries evaluate the potential revenue implications of policy decisions as a matter of routine. It could reasonably be expected that this includes estimating any impact that policy changes might have on a State’s GST payments.</w:t>
            </w:r>
          </w:p>
          <w:p w14:paraId="7954A0F0" w14:textId="39740ED0" w:rsidR="00F05DC7" w:rsidRDefault="00F05DC7" w:rsidP="00A3786D">
            <w:pPr>
              <w:pStyle w:val="Box"/>
            </w:pPr>
            <w:r>
              <w:t xml:space="preserve">Some States have acknowledged that they actively consider the GST effects of their policy decisions. For example, the WA Government </w:t>
            </w:r>
            <w:r w:rsidR="009D6331" w:rsidRPr="009D6331">
              <w:rPr>
                <w:rFonts w:cs="Arial"/>
                <w:szCs w:val="24"/>
              </w:rPr>
              <w:t>(2017b, pp. 28–29)</w:t>
            </w:r>
            <w:r>
              <w:t xml:space="preserve"> stated that:</w:t>
            </w:r>
          </w:p>
          <w:p w14:paraId="7954A0F1" w14:textId="77777777" w:rsidR="00F05DC7" w:rsidRDefault="00F05DC7" w:rsidP="00A3786D">
            <w:pPr>
              <w:pStyle w:val="BoxQuote"/>
            </w:pPr>
            <w:r>
              <w:t xml:space="preserve">In Western Australia, </w:t>
            </w:r>
            <w:r w:rsidRPr="005C3D0A">
              <w:t>whenever Treasury provides the Government with advice on a possible revenue measure, it is also asked to include the HFE impact of each option</w:t>
            </w:r>
            <w:r>
              <w:t xml:space="preserve">. </w:t>
            </w:r>
            <w:r w:rsidRPr="003C6D26">
              <w:t>The HFE impact is considered up front, when attention should be on whether the option is good policy or not.</w:t>
            </w:r>
          </w:p>
          <w:p w14:paraId="7954A0F2" w14:textId="77777777" w:rsidR="00F05DC7" w:rsidRDefault="00F05DC7" w:rsidP="00A3786D">
            <w:pPr>
              <w:pStyle w:val="Box"/>
            </w:pPr>
            <w:r>
              <w:t>The Victorian Treasurer argued that the Government is aware of GST effects when making policy decisions, but these tend to be minor:</w:t>
            </w:r>
          </w:p>
          <w:p w14:paraId="7954A0F3" w14:textId="77777777" w:rsidR="00F05DC7" w:rsidRDefault="00F05DC7" w:rsidP="00A3786D">
            <w:pPr>
              <w:pStyle w:val="BoxQuote"/>
            </w:pPr>
            <w:r>
              <w:t>[W]e’re cognisant of the impacts that might accrue from it, but they tend to, when they play out, be relatively marginal in terms of the benefit or the disincentive that the State might receive as a consequence of those decisions. (trans., p. 146)</w:t>
            </w:r>
          </w:p>
          <w:p w14:paraId="7954A0F4" w14:textId="77777777" w:rsidR="00F05DC7" w:rsidRDefault="00F05DC7" w:rsidP="00A3786D">
            <w:pPr>
              <w:pStyle w:val="Box"/>
            </w:pPr>
            <w:r>
              <w:t>However, the Victorian Under Treasurer commented that:</w:t>
            </w:r>
          </w:p>
          <w:p w14:paraId="7954A0F5" w14:textId="77777777" w:rsidR="00F05DC7" w:rsidRPr="00072DA9" w:rsidRDefault="00F05DC7" w:rsidP="00A3786D">
            <w:pPr>
              <w:pStyle w:val="BoxQuote"/>
            </w:pPr>
            <w:r w:rsidRPr="00072DA9">
              <w:t xml:space="preserve">… for most jurisdictions, when you’re developing in the bureaucracy tax measures to propose to Government, you don’t take into account </w:t>
            </w:r>
            <w:r w:rsidRPr="00072DA9">
              <w:rPr>
                <w:rStyle w:val="QuoteChar"/>
                <w:sz w:val="18"/>
              </w:rPr>
              <w:t>the GST impact of that particular measure because it’s just too insignificant. (trans., p.</w:t>
            </w:r>
            <w:r>
              <w:rPr>
                <w:rStyle w:val="QuoteChar"/>
                <w:sz w:val="18"/>
              </w:rPr>
              <w:t> </w:t>
            </w:r>
            <w:r w:rsidRPr="00072DA9">
              <w:rPr>
                <w:rStyle w:val="QuoteChar"/>
                <w:sz w:val="18"/>
              </w:rPr>
              <w:t>147)</w:t>
            </w:r>
          </w:p>
          <w:p w14:paraId="7954A0F6" w14:textId="77777777" w:rsidR="00F05DC7" w:rsidRDefault="00F05DC7" w:rsidP="00A3786D">
            <w:pPr>
              <w:pStyle w:val="Box"/>
            </w:pPr>
            <w:r>
              <w:t>And the Queensland Under Treasurer explicitly stated that the Queensland Treasury does not consider GST effects, even when it has contemplated major policy changes such as replacing stamp duties with a land tax:</w:t>
            </w:r>
          </w:p>
          <w:p w14:paraId="7954A0F7" w14:textId="77777777" w:rsidR="00F05DC7" w:rsidRDefault="00F05DC7" w:rsidP="00A3786D">
            <w:pPr>
              <w:pStyle w:val="BoxQuote"/>
            </w:pPr>
            <w:r w:rsidRPr="009B47CE">
              <w:t xml:space="preserve">We’ve looked very hard at replacing all stamp duty with land tax, but it’s like other states, we’ve found it an incredibly difficult task to do that, especially </w:t>
            </w:r>
            <w:r>
              <w:t>[given]</w:t>
            </w:r>
            <w:r w:rsidRPr="009B47CE">
              <w:t xml:space="preserve"> the impact on the state in the short-term. So we’re always looking at payroll, changing payroll rates of taxes and I think the point you’re getting to is that in any of those discussions on tax reform which go to the government before each budget as to what you could do and what you think Queenslanders should pay </w:t>
            </w:r>
            <w:r>
              <w:t>—</w:t>
            </w:r>
            <w:r w:rsidRPr="009B47CE">
              <w:t xml:space="preserve"> motor taxes and you know, motor vehicle tax and all this </w:t>
            </w:r>
            <w:r>
              <w:t>—</w:t>
            </w:r>
            <w:r w:rsidRPr="009B47CE">
              <w:t xml:space="preserve"> we’ve never looked at the impact of the GST on the increased revenue into Queensland.</w:t>
            </w:r>
            <w:r>
              <w:t xml:space="preserve"> (trans., </w:t>
            </w:r>
            <w:r w:rsidRPr="00EC3D66">
              <w:t>p. 599</w:t>
            </w:r>
            <w:r>
              <w:t>)</w:t>
            </w:r>
          </w:p>
          <w:p w14:paraId="7954A0F8" w14:textId="77777777" w:rsidR="00F05DC7" w:rsidRDefault="00F05DC7" w:rsidP="00A3786D">
            <w:pPr>
              <w:pStyle w:val="Box"/>
            </w:pPr>
            <w:r>
              <w:t xml:space="preserve">Not all participants considered this approach to be sensible. For example, the </w:t>
            </w:r>
            <w:r w:rsidRPr="007D2F19">
              <w:t>South Australian Council of Social Service</w:t>
            </w:r>
            <w:r>
              <w:t xml:space="preserve"> (sub. DR75, p. 3) submitted that:</w:t>
            </w:r>
          </w:p>
          <w:p w14:paraId="7954A0F9" w14:textId="77777777" w:rsidR="00F05DC7" w:rsidRPr="007D2F19" w:rsidRDefault="00F05DC7" w:rsidP="00A3786D">
            <w:pPr>
              <w:pStyle w:val="BoxQuote"/>
            </w:pPr>
            <w:r>
              <w:t>While we do not want to get into arguments over evidence and absence of evidence, it would appear to us quite reasonable that any state Treasury would consider and model the impact on GST receipts of any tax reform — it would be negligent not to.</w:t>
            </w:r>
          </w:p>
        </w:tc>
      </w:tr>
      <w:tr w:rsidR="00F05DC7" w14:paraId="7954A0FC" w14:textId="77777777" w:rsidTr="00A3786D">
        <w:tc>
          <w:tcPr>
            <w:tcW w:w="5000" w:type="pct"/>
            <w:tcBorders>
              <w:top w:val="nil"/>
              <w:left w:val="nil"/>
              <w:bottom w:val="single" w:sz="6" w:space="0" w:color="78A22F"/>
              <w:right w:val="nil"/>
            </w:tcBorders>
            <w:shd w:val="clear" w:color="auto" w:fill="F2F2F2"/>
          </w:tcPr>
          <w:p w14:paraId="7954A0FB" w14:textId="77777777" w:rsidR="00F05DC7" w:rsidRDefault="00F05DC7" w:rsidP="00A3786D">
            <w:pPr>
              <w:pStyle w:val="Box"/>
              <w:spacing w:before="0" w:line="120" w:lineRule="exact"/>
            </w:pPr>
          </w:p>
        </w:tc>
      </w:tr>
      <w:tr w:rsidR="00F05DC7" w:rsidRPr="000863A5" w14:paraId="7954A0FE" w14:textId="77777777" w:rsidTr="00A3786D">
        <w:tc>
          <w:tcPr>
            <w:tcW w:w="5000" w:type="pct"/>
            <w:tcBorders>
              <w:top w:val="single" w:sz="6" w:space="0" w:color="78A22F"/>
              <w:left w:val="nil"/>
              <w:bottom w:val="nil"/>
              <w:right w:val="nil"/>
            </w:tcBorders>
          </w:tcPr>
          <w:p w14:paraId="7954A0FD" w14:textId="77777777" w:rsidR="00F05DC7" w:rsidRPr="00626D32" w:rsidRDefault="00F05DC7" w:rsidP="00A3786D">
            <w:pPr>
              <w:pStyle w:val="BoxSpaceBelow"/>
            </w:pPr>
          </w:p>
        </w:tc>
      </w:tr>
    </w:tbl>
    <w:p w14:paraId="7954A0FF" w14:textId="1FF1CE74" w:rsidR="00F05DC7" w:rsidRDefault="00F05DC7" w:rsidP="00A3786D">
      <w:pPr>
        <w:pStyle w:val="Heading2"/>
      </w:pPr>
      <w:bookmarkStart w:id="71" w:name="_Toc513637710"/>
      <w:r>
        <w:t>3.</w:t>
      </w:r>
      <w:r>
        <w:rPr>
          <w:noProof/>
        </w:rPr>
        <w:t>2</w:t>
      </w:r>
      <w:r>
        <w:tab/>
      </w:r>
      <w:r w:rsidRPr="00BC7F3A">
        <w:t>Efficiency of service delivery</w:t>
      </w:r>
      <w:bookmarkEnd w:id="71"/>
    </w:p>
    <w:p w14:paraId="7954A100" w14:textId="77777777" w:rsidR="00F05DC7" w:rsidRDefault="00F05DC7" w:rsidP="00A3786D">
      <w:pPr>
        <w:pStyle w:val="BodyText"/>
      </w:pPr>
      <w:r>
        <w:t>The potential for</w:t>
      </w:r>
      <w:r w:rsidRPr="00755F54">
        <w:t xml:space="preserve"> HFE</w:t>
      </w:r>
      <w:r>
        <w:t xml:space="preserve"> to</w:t>
      </w:r>
      <w:r w:rsidRPr="00755F54">
        <w:t xml:space="preserve"> influence State policies relating to the delivery of services and infrastructure </w:t>
      </w:r>
      <w:r>
        <w:t>has been an ongoing source of contention. Some inquiry participants argued</w:t>
      </w:r>
      <w:r w:rsidRPr="00755F54">
        <w:t xml:space="preserve"> that </w:t>
      </w:r>
      <w:r>
        <w:t>HFE can</w:t>
      </w:r>
      <w:r w:rsidRPr="00755F54">
        <w:t xml:space="preserve"> reward inefficiency and may offer States perverse incentives around the level of services they provide and the costs of those services</w:t>
      </w:r>
      <w:r>
        <w:t xml:space="preserve"> (for example, </w:t>
      </w:r>
      <w:r w:rsidRPr="00A208C5">
        <w:t>MCA, sub.</w:t>
      </w:r>
      <w:r>
        <w:t> </w:t>
      </w:r>
      <w:r w:rsidRPr="00A208C5">
        <w:t>34; NSW Government, sub.</w:t>
      </w:r>
      <w:r>
        <w:t> </w:t>
      </w:r>
      <w:r w:rsidRPr="00A208C5">
        <w:t>52; Fahrer and FitzGerald, sub.</w:t>
      </w:r>
      <w:r>
        <w:t> </w:t>
      </w:r>
      <w:r w:rsidRPr="00A208C5">
        <w:t>DR102; Anwar Shah, sub.</w:t>
      </w:r>
      <w:r>
        <w:t> </w:t>
      </w:r>
      <w:r w:rsidRPr="00A208C5">
        <w:t>DR103</w:t>
      </w:r>
      <w:r>
        <w:t>)</w:t>
      </w:r>
      <w:r w:rsidRPr="00755F54">
        <w:t xml:space="preserve">. </w:t>
      </w:r>
      <w:r>
        <w:t>Incentive effects could arise because of the ability of State policy to influence GST shares through changes in national average costs or by addressing structural disadvantages (which, respectively, are analogous to the average</w:t>
      </w:r>
      <w:r>
        <w:noBreakHyphen/>
        <w:t>rate and tax base effects in box 3.1).</w:t>
      </w:r>
    </w:p>
    <w:p w14:paraId="7954A101" w14:textId="77777777" w:rsidR="00F05DC7" w:rsidRDefault="00F05DC7" w:rsidP="00A3786D">
      <w:pPr>
        <w:pStyle w:val="BodyText"/>
      </w:pPr>
      <w:r>
        <w:lastRenderedPageBreak/>
        <w:t>All State Governments raised concerns about the accuracy of specific assessments undertaken by the CGC, especially on the expenditure side. These concerns often related to the use of specific data sources or the way that data adjustments had been made. Such matters are not a focus of this inquiry, except in cases where there is potential to distort State policy. It is expected that the CGC will consider such concerns in the course of its 2020 methodology review.</w:t>
      </w:r>
    </w:p>
    <w:p w14:paraId="7954A102" w14:textId="77777777" w:rsidR="00F05DC7" w:rsidRPr="00755F54" w:rsidRDefault="00F05DC7" w:rsidP="00A3786D">
      <w:pPr>
        <w:keepNext/>
        <w:spacing w:before="560" w:line="320" w:lineRule="exact"/>
        <w:outlineLvl w:val="2"/>
        <w:rPr>
          <w:rFonts w:ascii="Arial" w:hAnsi="Arial"/>
          <w:b/>
          <w:sz w:val="26"/>
          <w:szCs w:val="20"/>
        </w:rPr>
      </w:pPr>
      <w:r>
        <w:rPr>
          <w:rFonts w:ascii="Arial" w:hAnsi="Arial"/>
          <w:b/>
          <w:sz w:val="26"/>
          <w:szCs w:val="20"/>
        </w:rPr>
        <w:t>Does HFE reduce i</w:t>
      </w:r>
      <w:r w:rsidRPr="00755F54">
        <w:rPr>
          <w:rFonts w:ascii="Arial" w:hAnsi="Arial"/>
          <w:b/>
          <w:sz w:val="26"/>
          <w:szCs w:val="20"/>
        </w:rPr>
        <w:t xml:space="preserve">ncentives to deliver services </w:t>
      </w:r>
      <w:r>
        <w:rPr>
          <w:rFonts w:ascii="Arial" w:hAnsi="Arial"/>
          <w:b/>
          <w:sz w:val="26"/>
          <w:szCs w:val="20"/>
        </w:rPr>
        <w:t>cost</w:t>
      </w:r>
      <w:r>
        <w:rPr>
          <w:rFonts w:ascii="Arial" w:hAnsi="Arial"/>
          <w:b/>
          <w:sz w:val="26"/>
          <w:szCs w:val="20"/>
        </w:rPr>
        <w:noBreakHyphen/>
      </w:r>
      <w:r w:rsidRPr="00755F54">
        <w:rPr>
          <w:rFonts w:ascii="Arial" w:hAnsi="Arial"/>
          <w:b/>
          <w:sz w:val="26"/>
          <w:szCs w:val="20"/>
        </w:rPr>
        <w:t>eff</w:t>
      </w:r>
      <w:r>
        <w:rPr>
          <w:rFonts w:ascii="Arial" w:hAnsi="Arial"/>
          <w:b/>
          <w:sz w:val="26"/>
          <w:szCs w:val="20"/>
        </w:rPr>
        <w:t>ec</w:t>
      </w:r>
      <w:r w:rsidRPr="00755F54">
        <w:rPr>
          <w:rFonts w:ascii="Arial" w:hAnsi="Arial"/>
          <w:b/>
          <w:sz w:val="26"/>
          <w:szCs w:val="20"/>
        </w:rPr>
        <w:t>t</w:t>
      </w:r>
      <w:r>
        <w:rPr>
          <w:rFonts w:ascii="Arial" w:hAnsi="Arial"/>
          <w:b/>
          <w:sz w:val="26"/>
          <w:szCs w:val="20"/>
        </w:rPr>
        <w:t>ive</w:t>
      </w:r>
      <w:r w:rsidRPr="00755F54">
        <w:rPr>
          <w:rFonts w:ascii="Arial" w:hAnsi="Arial"/>
          <w:b/>
          <w:sz w:val="26"/>
          <w:szCs w:val="20"/>
        </w:rPr>
        <w:t>ly</w:t>
      </w:r>
      <w:r>
        <w:rPr>
          <w:rFonts w:ascii="Arial" w:hAnsi="Arial"/>
          <w:b/>
          <w:sz w:val="26"/>
          <w:szCs w:val="20"/>
        </w:rPr>
        <w:t>?</w:t>
      </w:r>
    </w:p>
    <w:p w14:paraId="7954A103" w14:textId="1F926A9E" w:rsidR="00F05DC7" w:rsidRDefault="00F05DC7" w:rsidP="00A3786D">
      <w:pPr>
        <w:pStyle w:val="BodyText"/>
      </w:pPr>
      <w:r>
        <w:t xml:space="preserve">The CGC assesses </w:t>
      </w:r>
      <w:r w:rsidRPr="00755F54">
        <w:t xml:space="preserve">State expenditure needs </w:t>
      </w:r>
      <w:r>
        <w:t xml:space="preserve">by calculating the national average per capita </w:t>
      </w:r>
      <w:r w:rsidRPr="00616A60">
        <w:rPr>
          <w:i/>
        </w:rPr>
        <w:t>cost</w:t>
      </w:r>
      <w:r>
        <w:t xml:space="preserve"> of providing a service, and then applying this to each State using proxy measures for average levels of service </w:t>
      </w:r>
      <w:r>
        <w:rPr>
          <w:i/>
        </w:rPr>
        <w:t>use</w:t>
      </w:r>
      <w:r>
        <w:t xml:space="preserve"> </w:t>
      </w:r>
      <w:r w:rsidR="009D6331" w:rsidRPr="009D6331">
        <w:rPr>
          <w:szCs w:val="24"/>
        </w:rPr>
        <w:t>(CGC 2015f, p. 32)</w:t>
      </w:r>
      <w:r>
        <w:t>.</w:t>
      </w:r>
      <w:r w:rsidRPr="00755F54">
        <w:t xml:space="preserve"> </w:t>
      </w:r>
      <w:r>
        <w:t>These figures are then adjusted up or down for each State depending on structural factors (termed ‘disabilities’), which reflect higher or lower levels of service usage or cost in specific States due to factors beyond the direct control of individual State Governments. For example, the CGC’s expenditure assessment for public housing in Queensland is based on the national average cost of providing housing and Queensland’s share of all households, adjusted up for that State’s above</w:t>
      </w:r>
      <w:r>
        <w:noBreakHyphen/>
        <w:t>average share of lower income and Indigenous households (among other factors).</w:t>
      </w:r>
    </w:p>
    <w:p w14:paraId="7954A104" w14:textId="77777777" w:rsidR="00F05DC7" w:rsidRPr="003516D0" w:rsidRDefault="00F05DC7" w:rsidP="00A3786D">
      <w:pPr>
        <w:pStyle w:val="BodyText"/>
      </w:pPr>
      <w:r w:rsidRPr="00755F54">
        <w:t>This</w:t>
      </w:r>
      <w:r>
        <w:t xml:space="preserve"> approach</w:t>
      </w:r>
      <w:r w:rsidRPr="00755F54">
        <w:t xml:space="preserve"> means that </w:t>
      </w:r>
      <w:r>
        <w:t>a</w:t>
      </w:r>
      <w:r w:rsidRPr="00755F54">
        <w:t xml:space="preserve"> State that reduces its </w:t>
      </w:r>
      <w:r w:rsidRPr="00785004">
        <w:t>actual</w:t>
      </w:r>
      <w:r w:rsidRPr="000B469B">
        <w:t xml:space="preserve"> </w:t>
      </w:r>
      <w:r>
        <w:t>expenditure</w:t>
      </w:r>
      <w:r w:rsidRPr="00755F54">
        <w:t xml:space="preserve"> below its </w:t>
      </w:r>
      <w:r w:rsidRPr="00785004">
        <w:t>assessed</w:t>
      </w:r>
      <w:r w:rsidRPr="000B469B">
        <w:t xml:space="preserve"> </w:t>
      </w:r>
      <w:r w:rsidRPr="00755F54">
        <w:t xml:space="preserve">expenditure needs — whether by lowering the level of services </w:t>
      </w:r>
      <w:r>
        <w:t>provided</w:t>
      </w:r>
      <w:r w:rsidRPr="00755F54">
        <w:t>, cutting the costs of delivering those services, or both —</w:t>
      </w:r>
      <w:r>
        <w:t xml:space="preserve"> </w:t>
      </w:r>
      <w:r w:rsidRPr="00755F54">
        <w:t>retain</w:t>
      </w:r>
      <w:r>
        <w:t>s</w:t>
      </w:r>
      <w:r w:rsidRPr="00755F54">
        <w:t xml:space="preserve"> the full savings from doing so (and vice versa). This gives States a financial incentive to provide services as </w:t>
      </w:r>
      <w:r>
        <w:t>cost</w:t>
      </w:r>
      <w:r>
        <w:noBreakHyphen/>
        <w:t>effectively</w:t>
      </w:r>
      <w:r w:rsidRPr="00755F54">
        <w:t xml:space="preserve"> as possible (Tasmanian Government, </w:t>
      </w:r>
      <w:r w:rsidRPr="003516D0">
        <w:t>sub.</w:t>
      </w:r>
      <w:r>
        <w:t> </w:t>
      </w:r>
      <w:r w:rsidRPr="003516D0">
        <w:t>28, p.</w:t>
      </w:r>
      <w:r>
        <w:t> </w:t>
      </w:r>
      <w:r w:rsidRPr="003516D0">
        <w:t>16).</w:t>
      </w:r>
    </w:p>
    <w:p w14:paraId="7954A105" w14:textId="77777777" w:rsidR="00F05DC7" w:rsidRDefault="00F05DC7" w:rsidP="00A3786D">
      <w:pPr>
        <w:pStyle w:val="BodyText"/>
      </w:pPr>
      <w:r w:rsidRPr="00755F54">
        <w:t xml:space="preserve">However, </w:t>
      </w:r>
      <w:r>
        <w:t>this</w:t>
      </w:r>
      <w:r w:rsidRPr="00755F54">
        <w:t xml:space="preserve"> policy neutrality c</w:t>
      </w:r>
      <w:r>
        <w:t>ould</w:t>
      </w:r>
      <w:r w:rsidRPr="00755F54">
        <w:t xml:space="preserve"> be undermined by the ability of a single State to influence the national average </w:t>
      </w:r>
      <w:r>
        <w:t xml:space="preserve">per capita </w:t>
      </w:r>
      <w:r w:rsidRPr="00755F54">
        <w:t>cost</w:t>
      </w:r>
      <w:r>
        <w:t xml:space="preserve"> </w:t>
      </w:r>
      <w:r w:rsidRPr="00755F54">
        <w:t>— analogous to the average</w:t>
      </w:r>
      <w:r w:rsidRPr="00755F54">
        <w:noBreakHyphen/>
        <w:t>rate effect for taxes.</w:t>
      </w:r>
      <w:r>
        <w:t xml:space="preserve"> For</w:t>
      </w:r>
      <w:r w:rsidRPr="00755F54">
        <w:t xml:space="preserve"> example</w:t>
      </w:r>
      <w:r>
        <w:t>, States with above</w:t>
      </w:r>
      <w:r>
        <w:noBreakHyphen/>
        <w:t>average costs for</w:t>
      </w:r>
      <w:r w:rsidRPr="00755F54">
        <w:t xml:space="preserve"> primary school </w:t>
      </w:r>
      <w:r>
        <w:t xml:space="preserve">education (after taking account of structural disadvantages) could have an incentive </w:t>
      </w:r>
      <w:r w:rsidRPr="00755F54">
        <w:t xml:space="preserve">to </w:t>
      </w:r>
      <w:r w:rsidRPr="007264D2">
        <w:t>increase</w:t>
      </w:r>
      <w:r>
        <w:t xml:space="preserve"> their</w:t>
      </w:r>
      <w:r w:rsidRPr="00755F54">
        <w:t xml:space="preserve"> spending in order to </w:t>
      </w:r>
      <w:r w:rsidRPr="007264D2">
        <w:t>drive</w:t>
      </w:r>
      <w:r w:rsidRPr="00755F54">
        <w:rPr>
          <w:i/>
        </w:rPr>
        <w:t xml:space="preserve"> </w:t>
      </w:r>
      <w:r w:rsidRPr="007264D2">
        <w:t>up</w:t>
      </w:r>
      <w:r w:rsidRPr="00755F54">
        <w:t xml:space="preserve"> the average </w:t>
      </w:r>
      <w:r>
        <w:t>per capita</w:t>
      </w:r>
      <w:r w:rsidRPr="00755F54">
        <w:t xml:space="preserve"> cost and therefore </w:t>
      </w:r>
      <w:r>
        <w:t>the GST payments they receive (the reverse would apply to States with below</w:t>
      </w:r>
      <w:r>
        <w:noBreakHyphen/>
        <w:t xml:space="preserve">average costs). Alternatively, a State could influence the average </w:t>
      </w:r>
      <w:r w:rsidRPr="00785004">
        <w:t>per</w:t>
      </w:r>
      <w:r>
        <w:t xml:space="preserve"> </w:t>
      </w:r>
      <w:r w:rsidRPr="00785004">
        <w:t>capita</w:t>
      </w:r>
      <w:r w:rsidRPr="00FD464F">
        <w:t xml:space="preserve"> </w:t>
      </w:r>
      <w:r>
        <w:t>cost by increasing the number of residents using the government service rather than allowing greater private</w:t>
      </w:r>
      <w:r>
        <w:noBreakHyphen/>
        <w:t>sector provision. Such</w:t>
      </w:r>
      <w:r w:rsidRPr="00755F54">
        <w:t xml:space="preserve"> changes could be counter to economic efficiency if they were not the best course of action </w:t>
      </w:r>
      <w:r>
        <w:t xml:space="preserve">in the absence of </w:t>
      </w:r>
      <w:r w:rsidRPr="00755F54">
        <w:t xml:space="preserve">GST </w:t>
      </w:r>
      <w:r>
        <w:t>effects.</w:t>
      </w:r>
    </w:p>
    <w:p w14:paraId="7954A106" w14:textId="77777777" w:rsidR="00F05DC7" w:rsidRDefault="00F05DC7" w:rsidP="00A3786D">
      <w:pPr>
        <w:pStyle w:val="BodyText"/>
      </w:pPr>
      <w:r w:rsidRPr="00755F54">
        <w:t>The</w:t>
      </w:r>
      <w:r>
        <w:t xml:space="preserve"> most populous</w:t>
      </w:r>
      <w:r w:rsidRPr="00755F54">
        <w:t xml:space="preserve"> States </w:t>
      </w:r>
      <w:r>
        <w:t>will have</w:t>
      </w:r>
      <w:r w:rsidRPr="00755F54">
        <w:t xml:space="preserve"> the </w:t>
      </w:r>
      <w:r>
        <w:t>greatest influence</w:t>
      </w:r>
      <w:r w:rsidRPr="00755F54">
        <w:t xml:space="preserve"> on average costs (</w:t>
      </w:r>
      <w:r>
        <w:t xml:space="preserve">for instance, </w:t>
      </w:r>
      <w:r w:rsidRPr="00755F54">
        <w:t xml:space="preserve">New South Wales and Victoria between them have </w:t>
      </w:r>
      <w:r>
        <w:t>about</w:t>
      </w:r>
      <w:r w:rsidRPr="00755F54">
        <w:t xml:space="preserve"> 57</w:t>
      </w:r>
      <w:r>
        <w:t> </w:t>
      </w:r>
      <w:r w:rsidRPr="00755F54">
        <w:t xml:space="preserve">per cent of the national population). </w:t>
      </w:r>
      <w:r>
        <w:t>The efficiencies that these States are able to achieve will thus be built into the national averages (NT Government, sub. 51, p. 21). By contrast, smaller States have much more limited scope to influence the averages (for example, South Australia has 7 per cent of the population, so in general an extra $1 per capita in expenditure in that State would raise the national average cost by just 7 cents).</w:t>
      </w:r>
    </w:p>
    <w:p w14:paraId="7954A107" w14:textId="19202137" w:rsidR="00F05DC7" w:rsidRDefault="00F05DC7" w:rsidP="00A3786D">
      <w:pPr>
        <w:pStyle w:val="BodyText"/>
      </w:pPr>
      <w:r>
        <w:lastRenderedPageBreak/>
        <w:t xml:space="preserve">However, smaller States can have a large influence on particular parts of expenditure assessments in some cases. </w:t>
      </w:r>
      <w:r w:rsidRPr="00A973B0">
        <w:t>This is often noted in relation to expenditure on Indigenous Australians who, on average, consume more public services than non</w:t>
      </w:r>
      <w:r>
        <w:noBreakHyphen/>
      </w:r>
      <w:r w:rsidRPr="00A973B0">
        <w:t xml:space="preserve">Indigenous Australians. While the average costs of most services to Indigenous Australians are driven by NSW and Queensland (which have the largest numbers of Indigenous residents), the Northern Territory has </w:t>
      </w:r>
      <w:r>
        <w:t>a disproportionate</w:t>
      </w:r>
      <w:r w:rsidRPr="00A973B0">
        <w:t xml:space="preserve"> influence on average costs</w:t>
      </w:r>
      <w:r>
        <w:t xml:space="preserve"> of delivering services to Indigenous people in</w:t>
      </w:r>
      <w:r w:rsidRPr="00A973B0">
        <w:t xml:space="preserve"> remote areas</w:t>
      </w:r>
      <w:r>
        <w:t xml:space="preserve"> </w:t>
      </w:r>
      <w:r w:rsidR="009D6331" w:rsidRPr="009D6331">
        <w:rPr>
          <w:szCs w:val="24"/>
        </w:rPr>
        <w:t>(CGC 2015f)</w:t>
      </w:r>
      <w:r w:rsidRPr="00A973B0">
        <w:t>.</w:t>
      </w:r>
    </w:p>
    <w:p w14:paraId="7954A108" w14:textId="7CDFEC3A" w:rsidR="00F05DC7" w:rsidRDefault="00F05DC7" w:rsidP="00A3786D">
      <w:pPr>
        <w:pStyle w:val="BodyText"/>
      </w:pPr>
      <w:r>
        <w:t>Several inquiry participants argued that the ability of States to influence average costs can give them an incentive to provide services inefficiently. Others argued that the effects are small and do not materially influence State policy decisions (box 3.8). The latter view accords with t</w:t>
      </w:r>
      <w:r w:rsidRPr="00755F54">
        <w:t>he 2012 GST Distribution Review</w:t>
      </w:r>
      <w:r>
        <w:t xml:space="preserve">, which found that the incentives are small in magnitude, and </w:t>
      </w:r>
      <w:r w:rsidRPr="00755F54">
        <w:t>conclu</w:t>
      </w:r>
      <w:r>
        <w:t>ded that ‘e</w:t>
      </w:r>
      <w:r w:rsidRPr="005D0105">
        <w:t>mpirically, there is no obvious correlation between GST incentives and a State’s policy effort</w:t>
      </w:r>
      <w:r>
        <w:t xml:space="preserve">’ </w:t>
      </w:r>
      <w:r w:rsidRPr="005D0105">
        <w:rPr>
          <w:szCs w:val="24"/>
        </w:rPr>
        <w:t>(Brumby, Carter and Greiner 2012a, p. 136)</w:t>
      </w:r>
      <w:r>
        <w:t>.</w:t>
      </w:r>
    </w:p>
    <w:p w14:paraId="7954A109" w14:textId="77777777" w:rsidR="00F05DC7" w:rsidRPr="000D52D9" w:rsidRDefault="00F05DC7" w:rsidP="008766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05DC7" w:rsidRPr="008829A7" w14:paraId="7954A10B" w14:textId="77777777" w:rsidTr="001113B1">
        <w:trPr>
          <w:tblHeader/>
        </w:trPr>
        <w:tc>
          <w:tcPr>
            <w:tcW w:w="5000" w:type="pct"/>
            <w:tcBorders>
              <w:top w:val="single" w:sz="6" w:space="0" w:color="78A22F"/>
              <w:left w:val="nil"/>
              <w:bottom w:val="nil"/>
              <w:right w:val="nil"/>
            </w:tcBorders>
            <w:shd w:val="clear" w:color="auto" w:fill="F2F2F2"/>
          </w:tcPr>
          <w:p w14:paraId="7954A10A" w14:textId="602521C3" w:rsidR="00F05DC7" w:rsidRPr="008829A7" w:rsidRDefault="00F05DC7" w:rsidP="00A3786D">
            <w:pPr>
              <w:keepNext/>
              <w:keepLines/>
              <w:spacing w:before="120" w:line="280" w:lineRule="exact"/>
              <w:ind w:left="1474" w:hanging="1474"/>
              <w:rPr>
                <w:rFonts w:ascii="Arial" w:hAnsi="Arial"/>
                <w:b/>
              </w:rPr>
            </w:pPr>
            <w:r w:rsidRPr="008829A7">
              <w:rPr>
                <w:rFonts w:ascii="Arial" w:hAnsi="Arial"/>
              </w:rPr>
              <w:t>Box</w:t>
            </w:r>
            <w:r>
              <w:rPr>
                <w:rFonts w:ascii="Arial" w:hAnsi="Arial"/>
              </w:rPr>
              <w:t> </w:t>
            </w:r>
            <w:bookmarkStart w:id="72" w:name="OLE_LINK8"/>
            <w:r>
              <w:rPr>
                <w:rFonts w:ascii="Arial" w:hAnsi="Arial"/>
              </w:rPr>
              <w:t>3.</w:t>
            </w:r>
            <w:r>
              <w:rPr>
                <w:rFonts w:ascii="Arial" w:hAnsi="Arial"/>
                <w:noProof/>
              </w:rPr>
              <w:t>8</w:t>
            </w:r>
            <w:bookmarkEnd w:id="72"/>
            <w:r w:rsidRPr="008829A7">
              <w:rPr>
                <w:rFonts w:ascii="Arial" w:hAnsi="Arial"/>
                <w:b/>
              </w:rPr>
              <w:tab/>
              <w:t>Cost</w:t>
            </w:r>
            <w:r>
              <w:rPr>
                <w:rFonts w:ascii="Arial" w:hAnsi="Arial"/>
                <w:b/>
              </w:rPr>
              <w:noBreakHyphen/>
            </w:r>
            <w:r w:rsidRPr="008829A7">
              <w:rPr>
                <w:rFonts w:ascii="Arial" w:hAnsi="Arial"/>
                <w:b/>
              </w:rPr>
              <w:t>effectiveness of service delivery: what participants say</w:t>
            </w:r>
          </w:p>
        </w:tc>
      </w:tr>
      <w:tr w:rsidR="00F05DC7" w:rsidRPr="00755F54" w14:paraId="7954A116" w14:textId="77777777" w:rsidTr="00A3786D">
        <w:tc>
          <w:tcPr>
            <w:tcW w:w="5000" w:type="pct"/>
            <w:tcBorders>
              <w:top w:val="nil"/>
              <w:left w:val="nil"/>
              <w:bottom w:val="nil"/>
              <w:right w:val="nil"/>
            </w:tcBorders>
            <w:shd w:val="clear" w:color="auto" w:fill="F2F2F2"/>
          </w:tcPr>
          <w:p w14:paraId="7954A10C" w14:textId="77777777" w:rsidR="00F05DC7" w:rsidRDefault="00F05DC7" w:rsidP="00876635">
            <w:pPr>
              <w:pStyle w:val="Box"/>
              <w:keepNext w:val="0"/>
            </w:pPr>
            <w:r>
              <w:t>Some participants argued that HFE reduces incentives for States to deliver public services cost</w:t>
            </w:r>
            <w:r>
              <w:noBreakHyphen/>
              <w:t>effectively:</w:t>
            </w:r>
          </w:p>
          <w:p w14:paraId="7954A10D" w14:textId="77777777" w:rsidR="00F05DC7" w:rsidRDefault="00F05DC7" w:rsidP="00876635">
            <w:pPr>
              <w:spacing w:before="60" w:line="240" w:lineRule="exact"/>
              <w:ind w:left="284"/>
              <w:jc w:val="both"/>
              <w:rPr>
                <w:rFonts w:ascii="Arial" w:hAnsi="Arial"/>
                <w:sz w:val="18"/>
                <w:szCs w:val="20"/>
              </w:rPr>
            </w:pPr>
            <w:r w:rsidRPr="002D4364">
              <w:rPr>
                <w:rFonts w:ascii="Arial" w:hAnsi="Arial"/>
                <w:sz w:val="18"/>
                <w:szCs w:val="20"/>
              </w:rPr>
              <w:t>States are, in effect, compensated for continued underinvestment in important areas linked to their assessed disabilities, as defined by the CGC. Further, the incentive for governments to innovate, drive increased efficiency and cost savings in the delivery of government services is often da</w:t>
            </w:r>
            <w:r>
              <w:rPr>
                <w:rFonts w:ascii="Arial" w:hAnsi="Arial"/>
                <w:sz w:val="18"/>
                <w:szCs w:val="20"/>
              </w:rPr>
              <w:t>mpened by the GST distribution. (NSW Government, sub. 52, pp. 6–7)</w:t>
            </w:r>
          </w:p>
          <w:p w14:paraId="7954A10E" w14:textId="77777777" w:rsidR="00F05DC7" w:rsidRPr="0015366D" w:rsidRDefault="00F05DC7" w:rsidP="00876635">
            <w:pPr>
              <w:spacing w:before="60" w:line="240" w:lineRule="exact"/>
              <w:ind w:left="284"/>
              <w:jc w:val="both"/>
              <w:rPr>
                <w:sz w:val="14"/>
              </w:rPr>
            </w:pPr>
            <w:r w:rsidRPr="00804B55">
              <w:rPr>
                <w:rFonts w:ascii="Arial" w:hAnsi="Arial"/>
                <w:sz w:val="18"/>
                <w:szCs w:val="20"/>
              </w:rPr>
              <w:t>Although unintended these perverse incentives punish states that seek to maximise their own</w:t>
            </w:r>
            <w:r>
              <w:rPr>
                <w:rFonts w:ascii="Arial" w:hAnsi="Arial"/>
                <w:sz w:val="18"/>
                <w:szCs w:val="20"/>
              </w:rPr>
              <w:noBreakHyphen/>
            </w:r>
            <w:r w:rsidRPr="00804B55">
              <w:rPr>
                <w:rFonts w:ascii="Arial" w:hAnsi="Arial"/>
                <w:sz w:val="18"/>
                <w:szCs w:val="20"/>
              </w:rPr>
              <w:t>source revenue or improve operating efficiency in the provision of public services. These incentives have been well documented in a number of economic papers … (</w:t>
            </w:r>
            <w:r>
              <w:rPr>
                <w:rFonts w:ascii="Arial" w:hAnsi="Arial"/>
                <w:sz w:val="18"/>
                <w:szCs w:val="20"/>
              </w:rPr>
              <w:t>MCA</w:t>
            </w:r>
            <w:r w:rsidRPr="00804B55">
              <w:rPr>
                <w:rFonts w:ascii="Arial" w:hAnsi="Arial"/>
                <w:sz w:val="18"/>
                <w:szCs w:val="20"/>
              </w:rPr>
              <w:t>, sub. 34, p. 2)</w:t>
            </w:r>
          </w:p>
          <w:p w14:paraId="7954A10F" w14:textId="77777777" w:rsidR="00F05DC7" w:rsidRDefault="00F05DC7" w:rsidP="00876635">
            <w:pPr>
              <w:pStyle w:val="Box"/>
              <w:keepNext w:val="0"/>
            </w:pPr>
            <w:r>
              <w:t>Other States disagreed or pointed to a lack of evidence:</w:t>
            </w:r>
          </w:p>
          <w:p w14:paraId="7954A110" w14:textId="77777777" w:rsidR="00F05DC7" w:rsidRDefault="00F05DC7" w:rsidP="00876635">
            <w:pPr>
              <w:pStyle w:val="BoxQuote"/>
              <w:keepNext w:val="0"/>
            </w:pPr>
            <w:r w:rsidRPr="00B026C5">
              <w:t>While it may be technically possible for states to influence their GST shares at the</w:t>
            </w:r>
            <w:r>
              <w:t xml:space="preserve"> </w:t>
            </w:r>
            <w:r w:rsidRPr="00B026C5">
              <w:t>margin by changing their expenditure or tax mix, Queensland is not aware of any evidence that this is a</w:t>
            </w:r>
            <w:r>
              <w:t xml:space="preserve"> </w:t>
            </w:r>
            <w:r w:rsidRPr="00B026C5">
              <w:t>factor for governments in the setting of expenditure and revenue policies.</w:t>
            </w:r>
            <w:r>
              <w:t xml:space="preserve"> (Queensland Government, sub. 32, p. 7)</w:t>
            </w:r>
          </w:p>
          <w:p w14:paraId="7954A111" w14:textId="77777777" w:rsidR="00F05DC7" w:rsidRPr="00755F54" w:rsidRDefault="00F05DC7" w:rsidP="00876635">
            <w:pPr>
              <w:spacing w:before="60" w:line="240" w:lineRule="exact"/>
              <w:ind w:left="284"/>
              <w:jc w:val="both"/>
              <w:rPr>
                <w:rFonts w:ascii="Arial" w:hAnsi="Arial"/>
                <w:sz w:val="18"/>
                <w:szCs w:val="20"/>
              </w:rPr>
            </w:pPr>
            <w:r w:rsidRPr="00770254">
              <w:rPr>
                <w:rFonts w:ascii="Arial" w:hAnsi="Arial"/>
                <w:sz w:val="18"/>
                <w:szCs w:val="20"/>
              </w:rPr>
              <w:t>South Australia is not aware of any evidence that demonstrates a systematic correlation between the direction of HFE transfers and differences between jurisdictions in their efficiency in delivering services</w:t>
            </w:r>
            <w:r>
              <w:rPr>
                <w:rFonts w:ascii="Arial" w:hAnsi="Arial"/>
                <w:sz w:val="18"/>
                <w:szCs w:val="20"/>
              </w:rPr>
              <w:t>.</w:t>
            </w:r>
            <w:r w:rsidRPr="00755F54">
              <w:rPr>
                <w:rFonts w:ascii="Arial" w:hAnsi="Arial"/>
                <w:sz w:val="18"/>
                <w:szCs w:val="20"/>
              </w:rPr>
              <w:t xml:space="preserve"> </w:t>
            </w:r>
            <w:r w:rsidRPr="0015366D">
              <w:rPr>
                <w:rFonts w:ascii="Arial" w:hAnsi="Arial"/>
                <w:sz w:val="18"/>
                <w:szCs w:val="20"/>
              </w:rPr>
              <w:t>(SA</w:t>
            </w:r>
            <w:r>
              <w:rPr>
                <w:rFonts w:ascii="Arial" w:hAnsi="Arial"/>
                <w:sz w:val="18"/>
                <w:szCs w:val="20"/>
              </w:rPr>
              <w:t xml:space="preserve"> Government</w:t>
            </w:r>
            <w:r w:rsidRPr="0015366D">
              <w:rPr>
                <w:rFonts w:ascii="Arial" w:hAnsi="Arial"/>
                <w:sz w:val="18"/>
                <w:szCs w:val="20"/>
              </w:rPr>
              <w:t>,</w:t>
            </w:r>
            <w:r>
              <w:rPr>
                <w:rFonts w:ascii="Arial" w:hAnsi="Arial"/>
                <w:sz w:val="18"/>
                <w:szCs w:val="20"/>
              </w:rPr>
              <w:t xml:space="preserve"> sub. 25</w:t>
            </w:r>
            <w:r w:rsidRPr="0015366D">
              <w:rPr>
                <w:rFonts w:ascii="Arial" w:hAnsi="Arial"/>
                <w:sz w:val="18"/>
                <w:szCs w:val="20"/>
              </w:rPr>
              <w:t>, p.</w:t>
            </w:r>
            <w:r>
              <w:rPr>
                <w:rFonts w:ascii="Arial" w:hAnsi="Arial"/>
                <w:sz w:val="18"/>
                <w:szCs w:val="20"/>
              </w:rPr>
              <w:t> </w:t>
            </w:r>
            <w:r w:rsidRPr="0015366D">
              <w:rPr>
                <w:rFonts w:ascii="Arial" w:hAnsi="Arial"/>
                <w:sz w:val="18"/>
                <w:szCs w:val="20"/>
              </w:rPr>
              <w:t>11)</w:t>
            </w:r>
          </w:p>
          <w:p w14:paraId="7954A112" w14:textId="77777777" w:rsidR="00F05DC7" w:rsidRDefault="00F05DC7" w:rsidP="00876635">
            <w:pPr>
              <w:spacing w:before="60" w:line="240" w:lineRule="exact"/>
              <w:ind w:left="284"/>
              <w:jc w:val="both"/>
              <w:rPr>
                <w:sz w:val="18"/>
              </w:rPr>
            </w:pPr>
            <w:r w:rsidRPr="00755F54">
              <w:rPr>
                <w:rFonts w:ascii="Arial" w:hAnsi="Arial"/>
                <w:sz w:val="18"/>
                <w:szCs w:val="20"/>
              </w:rPr>
              <w:t>The CGC has established conclusively that the HFE system has virtually no impact on the efficiency of service delivery and that States overwhelmingly get to keep the benefits of reforms which enable services to be delivered at lower cost.</w:t>
            </w:r>
            <w:r w:rsidRPr="0015366D">
              <w:rPr>
                <w:rFonts w:ascii="Arial" w:hAnsi="Arial"/>
                <w:sz w:val="18"/>
                <w:szCs w:val="20"/>
              </w:rPr>
              <w:t xml:space="preserve"> (ACT </w:t>
            </w:r>
            <w:r>
              <w:rPr>
                <w:rFonts w:ascii="Arial" w:hAnsi="Arial"/>
                <w:sz w:val="18"/>
                <w:szCs w:val="20"/>
              </w:rPr>
              <w:t>Government, sub. 49, p. </w:t>
            </w:r>
            <w:r w:rsidRPr="00EE4450">
              <w:rPr>
                <w:rFonts w:ascii="Arial" w:hAnsi="Arial"/>
                <w:sz w:val="18"/>
                <w:szCs w:val="20"/>
              </w:rPr>
              <w:t>14</w:t>
            </w:r>
            <w:r w:rsidRPr="0015366D">
              <w:rPr>
                <w:rFonts w:ascii="Arial" w:hAnsi="Arial"/>
                <w:sz w:val="18"/>
                <w:szCs w:val="20"/>
              </w:rPr>
              <w:t>)</w:t>
            </w:r>
          </w:p>
          <w:p w14:paraId="7954A113" w14:textId="77777777" w:rsidR="00F05DC7" w:rsidRDefault="00F05DC7" w:rsidP="00876635">
            <w:pPr>
              <w:pStyle w:val="BoxQuote"/>
              <w:keepNext w:val="0"/>
            </w:pPr>
            <w:r w:rsidRPr="00755F54">
              <w:t xml:space="preserve">Conceptually, there may be some risks to policy neutrality, where larger states may be able to influence this baseline through a policy change, thereby affecting GST distribution. However, as highlighted earlier, there is little evidence that state governments game this to increase their GST share. </w:t>
            </w:r>
            <w:r w:rsidRPr="0015366D">
              <w:t>(Victoria</w:t>
            </w:r>
            <w:r>
              <w:t>n Government, sub. 53, pp. 16–17)</w:t>
            </w:r>
          </w:p>
          <w:p w14:paraId="7954A114" w14:textId="77777777" w:rsidR="00F05DC7" w:rsidRPr="0029139B" w:rsidRDefault="00F05DC7" w:rsidP="00876635">
            <w:pPr>
              <w:pStyle w:val="BoxQuote"/>
              <w:keepNext w:val="0"/>
            </w:pPr>
            <w:r w:rsidRPr="00804B55">
              <w:t>If a State is able to deliver the average level of service at a cost below the national average, its funding from the GST would only be affected by the marginal impact it would have on the average national standard.</w:t>
            </w:r>
            <w:r w:rsidRPr="005D650F">
              <w:t xml:space="preserve"> Therefore any reforms that States make to their service delivery systems will not materially affect those assessments or HFE transfers. (Tasmanian Government, sub. 28, p. 16)</w:t>
            </w:r>
          </w:p>
          <w:p w14:paraId="7954A115" w14:textId="77777777" w:rsidR="00F05DC7" w:rsidRPr="00B026C5" w:rsidRDefault="00F05DC7" w:rsidP="00876635">
            <w:pPr>
              <w:pStyle w:val="BoxQuote"/>
              <w:keepNext w:val="0"/>
            </w:pPr>
            <w:r>
              <w:t>The supporting principles of ‘what states do’ and ‘policy neutrality’ remove the ability and incentives for states to game the HFE process through unilateral changes to tax and service delivery policies. In addition, the use of the internal standard means national average expenditure and tax rates reflect the policies of the largest, most efficient states. (NT Government, sub. 51, p. 21)</w:t>
            </w:r>
          </w:p>
        </w:tc>
      </w:tr>
      <w:tr w:rsidR="00F05DC7" w:rsidRPr="00755F54" w14:paraId="7954A118" w14:textId="77777777" w:rsidTr="00A3786D">
        <w:tc>
          <w:tcPr>
            <w:tcW w:w="5000" w:type="pct"/>
            <w:tcBorders>
              <w:top w:val="nil"/>
              <w:left w:val="nil"/>
              <w:bottom w:val="single" w:sz="6" w:space="0" w:color="78A22F"/>
              <w:right w:val="nil"/>
            </w:tcBorders>
            <w:shd w:val="clear" w:color="auto" w:fill="F2F2F2"/>
          </w:tcPr>
          <w:p w14:paraId="7954A117" w14:textId="77777777" w:rsidR="00F05DC7" w:rsidRPr="00755F54" w:rsidRDefault="00F05DC7" w:rsidP="00876635">
            <w:pPr>
              <w:spacing w:line="120" w:lineRule="exact"/>
              <w:jc w:val="both"/>
              <w:rPr>
                <w:rFonts w:ascii="Arial" w:hAnsi="Arial"/>
                <w:sz w:val="20"/>
                <w:szCs w:val="20"/>
              </w:rPr>
            </w:pPr>
          </w:p>
        </w:tc>
      </w:tr>
    </w:tbl>
    <w:p w14:paraId="7954A11B" w14:textId="77777777" w:rsidR="00F05DC7" w:rsidRDefault="00F05DC7" w:rsidP="00A3786D">
      <w:pPr>
        <w:pStyle w:val="BodyText"/>
      </w:pPr>
      <w:r>
        <w:lastRenderedPageBreak/>
        <w:t>The ability of individual States to influence national average costs is small — across the major expenditure categories, an additional dollar of expenditure in any State will move the national average by less than one cent (appendix C). There is a degree of homogeneity across States in the types of services they provide — at least compared to their revenue</w:t>
      </w:r>
      <w:r>
        <w:noBreakHyphen/>
        <w:t>raising capacities — meaning that there are few outliers (with the possible exception of the Northern Territory). Any attempt by a State to increase or decrease the cost of service provision in order to ‘game’ its GST share is likely to have very limited benefits, and in any case will generally be outweighed by the myriad other policy priorities that State Governments have. For this reason, the current HFE system is unlikely to materially distort State incentives to provide public services cost effectively.</w:t>
      </w:r>
    </w:p>
    <w:p w14:paraId="7954A11C" w14:textId="77777777" w:rsidR="00F05DC7" w:rsidRDefault="00F05DC7" w:rsidP="00A3786D">
      <w:pPr>
        <w:pStyle w:val="Heading3"/>
      </w:pPr>
      <w:r w:rsidRPr="00AE751C">
        <w:t>Does HFE reduce i</w:t>
      </w:r>
      <w:r w:rsidRPr="0015366D">
        <w:t>ncentives to address structural disadvantages?</w:t>
      </w:r>
    </w:p>
    <w:p w14:paraId="7954A11D" w14:textId="369E7F56" w:rsidR="00F05DC7" w:rsidRDefault="00F05DC7" w:rsidP="00A3786D">
      <w:pPr>
        <w:pStyle w:val="BodyText"/>
      </w:pPr>
      <w:r>
        <w:t>Structural factors have a significant impact on expenditure assessments, and hence GST shares (figure 3.1). This impact arises through both the use and cost of services. While these factors are largely invariant to State policy in the short term, and some (such as climate) may be completely beyond State Government control, there may be scope for State policy to address specific disadvantages over time, and thus affect GST shares.</w:t>
      </w:r>
    </w:p>
    <w:p w14:paraId="7954A11E" w14:textId="07E632C6" w:rsidR="00F05DC7" w:rsidRDefault="00F05DC7" w:rsidP="00A3786D">
      <w:pPr>
        <w:pStyle w:val="BodyText"/>
      </w:pPr>
      <w:r w:rsidRPr="00755F54">
        <w:t xml:space="preserve">To the extent that a State’s policy decisions can affect its assessed capacity, any State that addresses the underlying drivers of </w:t>
      </w:r>
      <w:r>
        <w:t xml:space="preserve">the </w:t>
      </w:r>
      <w:r>
        <w:rPr>
          <w:i/>
        </w:rPr>
        <w:t>use</w:t>
      </w:r>
      <w:r>
        <w:t xml:space="preserve"> of</w:t>
      </w:r>
      <w:r w:rsidRPr="00755F54">
        <w:t xml:space="preserve"> service</w:t>
      </w:r>
      <w:r>
        <w:t>s or infrastructure</w:t>
      </w:r>
      <w:r w:rsidRPr="00755F54">
        <w:t xml:space="preserve"> would</w:t>
      </w:r>
      <w:r>
        <w:t xml:space="preserve"> in general</w:t>
      </w:r>
      <w:r w:rsidRPr="00755F54">
        <w:t xml:space="preserve"> only receive its population share of the fiscal benefits (Brumby, Carter and Greiner 2012a, p. 138).</w:t>
      </w:r>
      <w:r>
        <w:t xml:space="preserve"> Moreover, where a State actually spends less than the expenditure it is assessed to require (and thus retains the fiscal difference), addressing the underlying disadvantage would lead to a net financial loss, all else equal.</w:t>
      </w:r>
      <w:r w:rsidRPr="00755F54">
        <w:t xml:space="preserve"> These factors suggest there may be </w:t>
      </w:r>
      <w:r>
        <w:t xml:space="preserve">financial </w:t>
      </w:r>
      <w:r w:rsidRPr="00755F54">
        <w:t xml:space="preserve">disincentives for States to address their structural disadvantages, particularly if </w:t>
      </w:r>
      <w:r>
        <w:t>they would incur high costs to do so.</w:t>
      </w:r>
    </w:p>
    <w:p w14:paraId="7954A11F" w14:textId="27087E65" w:rsidR="00F05DC7" w:rsidRDefault="00F05DC7" w:rsidP="00A3786D">
      <w:pPr>
        <w:pStyle w:val="BodyText"/>
      </w:pPr>
      <w:r>
        <w:t xml:space="preserve">Several inquiry participants argued that HFE can dissuade States from addressing their structural disadvantages (box 3.9). Such incentives can be readily apparent in specific areas. To give one example, the Productivity Commission has previously found that the equalisation of spending on natural disaster recovery, but not of disaster mitigation expenses, biases States’ incentives to effectively manage natural disaster risks </w:t>
      </w:r>
      <w:r w:rsidR="009D6331" w:rsidRPr="009D6331">
        <w:rPr>
          <w:szCs w:val="24"/>
        </w:rPr>
        <w:t>(PC 2014b, p. 33)</w:t>
      </w:r>
      <w:r>
        <w:t>. More generally, some a</w:t>
      </w:r>
      <w:r w:rsidRPr="004670E6">
        <w:t>nalysts have argued that</w:t>
      </w:r>
      <w:r>
        <w:t xml:space="preserve"> the CGC does not adequately distinguish inherent disabilities from those arising from poor policy decisions or implementation (Fahrer and FitzGerald, sub. DR102, p. 9). A related view is that</w:t>
      </w:r>
      <w:r w:rsidRPr="004670E6">
        <w:t xml:space="preserve"> assessments of </w:t>
      </w:r>
      <w:r>
        <w:t xml:space="preserve">service delivery </w:t>
      </w:r>
      <w:r w:rsidRPr="004670E6">
        <w:t xml:space="preserve">costs and </w:t>
      </w:r>
      <w:r>
        <w:t>usage</w:t>
      </w:r>
      <w:r w:rsidRPr="004670E6">
        <w:t xml:space="preserve"> are unlikely to be policy independent in the long term, because State </w:t>
      </w:r>
      <w:r>
        <w:t>Governments</w:t>
      </w:r>
      <w:r w:rsidRPr="004670E6">
        <w:t xml:space="preserve"> can indirectly affect the location, health, economic circumstances </w:t>
      </w:r>
      <w:r>
        <w:t>and</w:t>
      </w:r>
      <w:r w:rsidRPr="004670E6">
        <w:t xml:space="preserve"> behaviours of the</w:t>
      </w:r>
      <w:r>
        <w:t>ir</w:t>
      </w:r>
      <w:r w:rsidRPr="004670E6">
        <w:t xml:space="preserve"> population</w:t>
      </w:r>
      <w:r>
        <w:t>s</w:t>
      </w:r>
      <w:r w:rsidRPr="004670E6">
        <w:t xml:space="preserve"> </w:t>
      </w:r>
      <w:r w:rsidR="009D6331" w:rsidRPr="009D6331">
        <w:rPr>
          <w:szCs w:val="24"/>
        </w:rPr>
        <w:t>(Garnaut and FitzGerald 2002b, p. 149)</w:t>
      </w:r>
      <w:r w:rsidRPr="004670E6">
        <w:t>.</w:t>
      </w:r>
    </w:p>
    <w:p w14:paraId="7954A121" w14:textId="77777777" w:rsidR="00F05DC7" w:rsidRPr="00F24D18" w:rsidRDefault="00F05DC7" w:rsidP="00A3786D">
      <w:pPr>
        <w:pStyle w:val="BoxSpaceAbove"/>
        <w:rPr>
          <w:color w:val="FFFFFF" w:themeColor="background1"/>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05DC7" w:rsidRPr="00755F54" w14:paraId="7954A124" w14:textId="77777777" w:rsidTr="00A3786D">
        <w:trPr>
          <w:tblHeader/>
        </w:trPr>
        <w:tc>
          <w:tcPr>
            <w:tcW w:w="5000" w:type="pct"/>
            <w:tcBorders>
              <w:top w:val="single" w:sz="6" w:space="0" w:color="78A22F"/>
              <w:left w:val="nil"/>
              <w:bottom w:val="nil"/>
              <w:right w:val="nil"/>
            </w:tcBorders>
          </w:tcPr>
          <w:p w14:paraId="7954A122" w14:textId="04E8F405" w:rsidR="00F05DC7" w:rsidRDefault="00F05DC7" w:rsidP="00A3786D">
            <w:pPr>
              <w:pStyle w:val="FigureTitle"/>
            </w:pPr>
            <w:r w:rsidRPr="0066382C">
              <w:rPr>
                <w:b w:val="0"/>
              </w:rPr>
              <w:t xml:space="preserve">Figure </w:t>
            </w:r>
            <w:bookmarkStart w:id="73" w:name="OLE_LINK10"/>
            <w:r>
              <w:rPr>
                <w:b w:val="0"/>
              </w:rPr>
              <w:t>3.</w:t>
            </w:r>
            <w:r>
              <w:rPr>
                <w:b w:val="0"/>
                <w:noProof/>
              </w:rPr>
              <w:t>1</w:t>
            </w:r>
            <w:bookmarkEnd w:id="73"/>
            <w:r w:rsidRPr="00755F54">
              <w:rPr>
                <w:b w:val="0"/>
              </w:rPr>
              <w:tab/>
            </w:r>
            <w:r w:rsidRPr="00363546">
              <w:t xml:space="preserve">Selected drivers of </w:t>
            </w:r>
            <w:r>
              <w:t>expenditure capacity</w:t>
            </w:r>
            <w:r w:rsidRPr="00363546">
              <w:t>, 201</w:t>
            </w:r>
            <w:r>
              <w:t>8</w:t>
            </w:r>
            <w:r>
              <w:noBreakHyphen/>
            </w:r>
            <w:r w:rsidRPr="00363546">
              <w:t>1</w:t>
            </w:r>
            <w:r>
              <w:t>9</w:t>
            </w:r>
          </w:p>
          <w:p w14:paraId="7954A123" w14:textId="77777777" w:rsidR="00F05DC7" w:rsidRPr="0066382C" w:rsidRDefault="00F05DC7" w:rsidP="00A3786D">
            <w:pPr>
              <w:pStyle w:val="Subtitle"/>
              <w:rPr>
                <w:b/>
              </w:rPr>
            </w:pPr>
            <w:r>
              <w:t>Difference from equal per capita distribution</w:t>
            </w:r>
          </w:p>
        </w:tc>
      </w:tr>
      <w:tr w:rsidR="00F05DC7" w:rsidRPr="00755F54" w14:paraId="7954A128" w14:textId="77777777" w:rsidTr="00A3786D">
        <w:tc>
          <w:tcPr>
            <w:tcW w:w="5000" w:type="pct"/>
            <w:tcBorders>
              <w:top w:val="nil"/>
              <w:left w:val="nil"/>
              <w:bottom w:val="nil"/>
              <w:right w:val="nil"/>
            </w:tcBorders>
            <w:tcMar>
              <w:top w:w="28" w:type="dxa"/>
              <w:bottom w:w="28" w:type="dxa"/>
            </w:tcMar>
          </w:tcPr>
          <w:tbl>
            <w:tblPr>
              <w:tblW w:w="8504" w:type="dxa"/>
              <w:jc w:val="center"/>
              <w:tblCellMar>
                <w:top w:w="28" w:type="dxa"/>
                <w:left w:w="0" w:type="dxa"/>
                <w:right w:w="0" w:type="dxa"/>
              </w:tblCellMar>
              <w:tblLook w:val="0000" w:firstRow="0" w:lastRow="0" w:firstColumn="0" w:lastColumn="0" w:noHBand="0" w:noVBand="0"/>
            </w:tblPr>
            <w:tblGrid>
              <w:gridCol w:w="8505"/>
            </w:tblGrid>
            <w:tr w:rsidR="00F05DC7" w:rsidRPr="00755F54" w14:paraId="7954A126" w14:textId="77777777" w:rsidTr="00D744EA">
              <w:trPr>
                <w:tblHeader/>
                <w:jc w:val="center"/>
              </w:trPr>
              <w:tc>
                <w:tcPr>
                  <w:tcW w:w="5000" w:type="pct"/>
                </w:tcPr>
                <w:p w14:paraId="7954A125" w14:textId="77777777" w:rsidR="00F05DC7" w:rsidRPr="00755F54" w:rsidRDefault="00F05DC7" w:rsidP="00851DC0">
                  <w:pPr>
                    <w:pStyle w:val="Figure"/>
                  </w:pPr>
                  <w:r w:rsidRPr="00F65B38">
                    <w:rPr>
                      <w:noProof/>
                    </w:rPr>
                    <w:drawing>
                      <wp:inline distT="0" distB="0" distL="0" distR="0" wp14:anchorId="7954D5C3" wp14:editId="7954D5C4">
                        <wp:extent cx="5505450" cy="4110355"/>
                        <wp:effectExtent l="0" t="0" r="0" b="4445"/>
                        <wp:docPr id="31" name="Picture 31" descr="Expenditure capacity differs from an equal per capita distribution across States depending on remoteness and regional costs, Indigenous status, socio economic status, wage costs, urban centre size, natural disaster relief and other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05450" cy="4110355"/>
                                </a:xfrm>
                                <a:prstGeom prst="rect">
                                  <a:avLst/>
                                </a:prstGeom>
                                <a:noFill/>
                                <a:ln>
                                  <a:noFill/>
                                </a:ln>
                              </pic:spPr>
                            </pic:pic>
                          </a:graphicData>
                        </a:graphic>
                      </wp:inline>
                    </w:drawing>
                  </w:r>
                  <w:r>
                    <w:t xml:space="preserve"> </w:t>
                  </w:r>
                </w:p>
              </w:tc>
            </w:tr>
          </w:tbl>
          <w:p w14:paraId="7954A127" w14:textId="77777777" w:rsidR="00F05DC7" w:rsidRPr="00755F54" w:rsidRDefault="00F05DC7" w:rsidP="00A3786D">
            <w:pPr>
              <w:keepNext/>
              <w:spacing w:before="120" w:after="120" w:line="240" w:lineRule="atLeast"/>
              <w:jc w:val="center"/>
              <w:rPr>
                <w:szCs w:val="20"/>
              </w:rPr>
            </w:pPr>
          </w:p>
        </w:tc>
      </w:tr>
      <w:tr w:rsidR="00F05DC7" w:rsidRPr="00755F54" w14:paraId="7954A12A" w14:textId="77777777" w:rsidTr="00A3786D">
        <w:tc>
          <w:tcPr>
            <w:tcW w:w="5000" w:type="pct"/>
            <w:tcBorders>
              <w:top w:val="nil"/>
              <w:left w:val="nil"/>
              <w:bottom w:val="nil"/>
              <w:right w:val="nil"/>
            </w:tcBorders>
          </w:tcPr>
          <w:p w14:paraId="7954A129" w14:textId="24C88488" w:rsidR="00F05DC7" w:rsidRPr="00755F54" w:rsidRDefault="00F05DC7" w:rsidP="009D6331">
            <w:pPr>
              <w:keepLines/>
              <w:spacing w:before="80" w:line="220" w:lineRule="exact"/>
              <w:jc w:val="both"/>
              <w:rPr>
                <w:rFonts w:ascii="Arial" w:hAnsi="Arial"/>
                <w:sz w:val="18"/>
                <w:szCs w:val="20"/>
              </w:rPr>
            </w:pPr>
            <w:r>
              <w:rPr>
                <w:rFonts w:ascii="Arial" w:hAnsi="Arial"/>
                <w:i/>
                <w:sz w:val="18"/>
                <w:szCs w:val="20"/>
              </w:rPr>
              <w:t>Source</w:t>
            </w:r>
            <w:r w:rsidRPr="00755F54">
              <w:rPr>
                <w:rFonts w:ascii="Arial" w:hAnsi="Arial"/>
                <w:sz w:val="18"/>
                <w:szCs w:val="20"/>
              </w:rPr>
              <w:t xml:space="preserve">: CGC </w:t>
            </w:r>
            <w:r w:rsidR="009D6331" w:rsidRPr="009D6331">
              <w:rPr>
                <w:rFonts w:ascii="Arial" w:hAnsi="Arial" w:cs="Arial"/>
                <w:sz w:val="18"/>
              </w:rPr>
              <w:t>(2018h, p. 32)</w:t>
            </w:r>
            <w:r>
              <w:rPr>
                <w:rFonts w:ascii="Arial" w:hAnsi="Arial"/>
                <w:sz w:val="18"/>
                <w:szCs w:val="20"/>
              </w:rPr>
              <w:t>.</w:t>
            </w:r>
          </w:p>
        </w:tc>
      </w:tr>
      <w:tr w:rsidR="00F05DC7" w:rsidRPr="00755F54" w14:paraId="7954A12C" w14:textId="77777777" w:rsidTr="00A3786D">
        <w:tc>
          <w:tcPr>
            <w:tcW w:w="5000" w:type="pct"/>
            <w:tcBorders>
              <w:top w:val="nil"/>
              <w:left w:val="nil"/>
              <w:bottom w:val="single" w:sz="6" w:space="0" w:color="78A22F"/>
              <w:right w:val="nil"/>
            </w:tcBorders>
          </w:tcPr>
          <w:p w14:paraId="7954A12B" w14:textId="77777777" w:rsidR="00F05DC7" w:rsidRPr="00755F54" w:rsidRDefault="00F05DC7" w:rsidP="00A3786D">
            <w:pPr>
              <w:keepNext/>
              <w:spacing w:line="120" w:lineRule="exact"/>
              <w:jc w:val="both"/>
              <w:rPr>
                <w:rFonts w:ascii="Arial" w:hAnsi="Arial"/>
                <w:sz w:val="20"/>
                <w:szCs w:val="20"/>
              </w:rPr>
            </w:pPr>
          </w:p>
        </w:tc>
      </w:tr>
      <w:tr w:rsidR="00F05DC7" w:rsidRPr="00755F54" w14:paraId="7954A12E" w14:textId="77777777" w:rsidTr="00A3786D">
        <w:tc>
          <w:tcPr>
            <w:tcW w:w="5000" w:type="pct"/>
            <w:tcBorders>
              <w:top w:val="single" w:sz="6" w:space="0" w:color="78A22F"/>
              <w:left w:val="nil"/>
              <w:bottom w:val="nil"/>
              <w:right w:val="nil"/>
            </w:tcBorders>
          </w:tcPr>
          <w:p w14:paraId="7954A12D" w14:textId="77777777" w:rsidR="00F05DC7" w:rsidRPr="00755F54" w:rsidRDefault="00F05DC7" w:rsidP="00A3786D">
            <w:pPr>
              <w:spacing w:before="60" w:after="60" w:line="80" w:lineRule="exact"/>
              <w:jc w:val="both"/>
              <w:rPr>
                <w:rFonts w:ascii="Arial" w:hAnsi="Arial"/>
                <w:sz w:val="14"/>
                <w:szCs w:val="20"/>
              </w:rPr>
            </w:pPr>
          </w:p>
        </w:tc>
      </w:tr>
    </w:tbl>
    <w:p w14:paraId="7954A12F" w14:textId="223D91BF" w:rsidR="00F05DC7" w:rsidRDefault="00F05DC7" w:rsidP="00A3786D">
      <w:pPr>
        <w:pStyle w:val="BodyText"/>
      </w:pPr>
      <w:r>
        <w:t>There are sound objections to adjusting for cost</w:t>
      </w:r>
      <w:r>
        <w:noBreakHyphen/>
        <w:t xml:space="preserve">related disadvantages in service delivery across States. The academic literature has argued that using HFE to compensate for interstate cost differences due to location or wage levels can be inefficient because it can impede people moving to take up jobs in highly productive industries or locations, or can </w:t>
      </w:r>
      <w:r w:rsidRPr="004670E6">
        <w:t xml:space="preserve">preserve inefficient institutional structures </w:t>
      </w:r>
      <w:r>
        <w:t>that impede cost</w:t>
      </w:r>
      <w:r>
        <w:noBreakHyphen/>
        <w:t xml:space="preserve">saving technologies </w:t>
      </w:r>
      <w:r w:rsidRPr="00C37C77">
        <w:rPr>
          <w:szCs w:val="24"/>
        </w:rPr>
        <w:t>(chapter</w:t>
      </w:r>
      <w:r>
        <w:rPr>
          <w:szCs w:val="24"/>
        </w:rPr>
        <w:t> </w:t>
      </w:r>
      <w:r w:rsidRPr="00C37C77">
        <w:rPr>
          <w:szCs w:val="24"/>
        </w:rPr>
        <w:t>5; Murphy 2017)</w:t>
      </w:r>
      <w:r>
        <w:t>. Specifically, compensating for the higher costs of providing services to more remote or dispersed populations may give States an incentive to</w:t>
      </w:r>
      <w:r w:rsidRPr="00755F54">
        <w:t xml:space="preserve"> </w:t>
      </w:r>
      <w:r>
        <w:t xml:space="preserve">continue providing services to </w:t>
      </w:r>
      <w:r w:rsidRPr="00755F54">
        <w:t xml:space="preserve">remote settlements </w:t>
      </w:r>
      <w:r w:rsidRPr="009D5B74">
        <w:rPr>
          <w:szCs w:val="24"/>
        </w:rPr>
        <w:t>(Ergas and Pincus 2011, p. 9)</w:t>
      </w:r>
      <w:r>
        <w:t>, rather than reducing service levels or charging residents in these areas more to access services</w:t>
      </w:r>
      <w:r w:rsidRPr="00755F54">
        <w:t>.</w:t>
      </w:r>
      <w:r>
        <w:t xml:space="preserve"> This can act to impede migration within States.</w:t>
      </w:r>
      <w:r w:rsidRPr="007237A9">
        <w:t xml:space="preserve"> </w:t>
      </w:r>
    </w:p>
    <w:p w14:paraId="7954A130" w14:textId="6DE6E56F" w:rsidR="00F05DC7" w:rsidRDefault="00F05DC7" w:rsidP="00A3786D">
      <w:pPr>
        <w:pStyle w:val="BodyText"/>
      </w:pPr>
      <w:r>
        <w:t>More generally, there are long</w:t>
      </w:r>
      <w:r>
        <w:noBreakHyphen/>
        <w:t xml:space="preserve">running concerns that HFE reduces the need for smaller States to grow their economies and </w:t>
      </w:r>
      <w:r w:rsidRPr="00755F54">
        <w:t>address their underlying sources of disadvantage</w:t>
      </w:r>
      <w:r>
        <w:t xml:space="preserve">. </w:t>
      </w:r>
      <w:r w:rsidRPr="00C80901">
        <w:t xml:space="preserve">Garnaut and FitzGerald </w:t>
      </w:r>
      <w:r w:rsidR="009D6331" w:rsidRPr="009D6331">
        <w:rPr>
          <w:szCs w:val="24"/>
        </w:rPr>
        <w:t>(2002b, p. 146)</w:t>
      </w:r>
      <w:r w:rsidRPr="00C80901">
        <w:t xml:space="preserve"> argued that</w:t>
      </w:r>
      <w:r>
        <w:t xml:space="preserve"> the fiscally weaker </w:t>
      </w:r>
      <w:r w:rsidRPr="00C80901">
        <w:t>States tend to have a higher share of their workforce</w:t>
      </w:r>
      <w:r>
        <w:t>s</w:t>
      </w:r>
      <w:r w:rsidRPr="00C80901">
        <w:t xml:space="preserve"> in public rather than private sector </w:t>
      </w:r>
      <w:r w:rsidRPr="00D218ED">
        <w:t>employment, and as a result are less supportive of growth</w:t>
      </w:r>
      <w:r w:rsidRPr="00D218ED">
        <w:noBreakHyphen/>
        <w:t>oriented policies and more dependent on Commonwealth transfers</w:t>
      </w:r>
      <w:r>
        <w:t xml:space="preserve">. In </w:t>
      </w:r>
      <w:r>
        <w:lastRenderedPageBreak/>
        <w:t xml:space="preserve">addition, researchers in other countries have found some evidence for a ‘flypaper effect’, where subnational jurisdictions use fiscal transfers to expand service provision rather than reduce taxes </w:t>
      </w:r>
      <w:r w:rsidRPr="00A845A3">
        <w:rPr>
          <w:szCs w:val="24"/>
        </w:rPr>
        <w:t>(Inman 2008)</w:t>
      </w:r>
      <w:r>
        <w:t>.</w:t>
      </w:r>
    </w:p>
    <w:p w14:paraId="7954A131" w14:textId="707314A2" w:rsidR="00F05DC7" w:rsidRDefault="00F05DC7" w:rsidP="00A3786D">
      <w:pPr>
        <w:pStyle w:val="BodyText"/>
      </w:pPr>
      <w:r>
        <w:t xml:space="preserve">Several States refuted these views. They argued that HFE is intended to compensate only for </w:t>
      </w:r>
      <w:r w:rsidRPr="009101F6">
        <w:t>difference</w:t>
      </w:r>
      <w:r>
        <w:t>s</w:t>
      </w:r>
      <w:r w:rsidRPr="009101F6">
        <w:t xml:space="preserve"> </w:t>
      </w:r>
      <w:r>
        <w:t xml:space="preserve">between a State’s service delivery costs and the average </w:t>
      </w:r>
      <w:r w:rsidRPr="00755F54">
        <w:rPr>
          <w:i/>
        </w:rPr>
        <w:t xml:space="preserve">— </w:t>
      </w:r>
      <w:r>
        <w:t xml:space="preserve">it is not designed to </w:t>
      </w:r>
      <w:r w:rsidRPr="00755F54">
        <w:t xml:space="preserve">provide </w:t>
      </w:r>
      <w:r>
        <w:t>funds for the State to deliver services over and above the average level, or to tackle the root causes of structural disadvantage (box 3.9).</w:t>
      </w:r>
      <w:r w:rsidRPr="00755F54">
        <w:t xml:space="preserve"> </w:t>
      </w:r>
      <w:r>
        <w:t xml:space="preserve">In addition, the Commonwealth Treasury has suggested that fiscally weaker States may have larger public sector workforces because of the very structural disadvantages that drive their high GST relativities </w:t>
      </w:r>
      <w:r w:rsidRPr="00D218ED">
        <w:rPr>
          <w:szCs w:val="24"/>
        </w:rPr>
        <w:t>(</w:t>
      </w:r>
      <w:r w:rsidR="004530D7">
        <w:rPr>
          <w:szCs w:val="24"/>
        </w:rPr>
        <w:t>Commonwealth of Australia</w:t>
      </w:r>
      <w:r w:rsidRPr="00D218ED">
        <w:rPr>
          <w:szCs w:val="24"/>
        </w:rPr>
        <w:t> 2011, p. 35)</w:t>
      </w:r>
      <w:r w:rsidRPr="00C80901">
        <w:t>.</w:t>
      </w:r>
    </w:p>
    <w:p w14:paraId="7954A132"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134" w14:textId="77777777" w:rsidTr="001113B1">
        <w:trPr>
          <w:tblHeader/>
        </w:trPr>
        <w:tc>
          <w:tcPr>
            <w:tcW w:w="5000" w:type="pct"/>
            <w:tcBorders>
              <w:top w:val="single" w:sz="6" w:space="0" w:color="78A22F"/>
              <w:left w:val="nil"/>
              <w:bottom w:val="nil"/>
              <w:right w:val="nil"/>
            </w:tcBorders>
            <w:shd w:val="clear" w:color="auto" w:fill="F2F2F2"/>
          </w:tcPr>
          <w:p w14:paraId="7954A133" w14:textId="76CBEC4E" w:rsidR="00F05DC7" w:rsidRDefault="00F05DC7" w:rsidP="00A3786D">
            <w:pPr>
              <w:pStyle w:val="BoxTitle"/>
            </w:pPr>
            <w:r>
              <w:rPr>
                <w:b w:val="0"/>
              </w:rPr>
              <w:t xml:space="preserve">Box </w:t>
            </w:r>
            <w:bookmarkStart w:id="74" w:name="OLE_LINK14"/>
            <w:r>
              <w:rPr>
                <w:b w:val="0"/>
              </w:rPr>
              <w:t>3.</w:t>
            </w:r>
            <w:r>
              <w:rPr>
                <w:b w:val="0"/>
                <w:noProof/>
              </w:rPr>
              <w:t>9</w:t>
            </w:r>
            <w:bookmarkEnd w:id="74"/>
            <w:r>
              <w:tab/>
              <w:t>Addressing structural disadvantages: what participants say</w:t>
            </w:r>
          </w:p>
        </w:tc>
      </w:tr>
      <w:tr w:rsidR="00F05DC7" w14:paraId="7954A140" w14:textId="77777777" w:rsidTr="00A3786D">
        <w:tc>
          <w:tcPr>
            <w:tcW w:w="5000" w:type="pct"/>
            <w:tcBorders>
              <w:top w:val="nil"/>
              <w:left w:val="nil"/>
              <w:bottom w:val="nil"/>
              <w:right w:val="nil"/>
            </w:tcBorders>
            <w:shd w:val="clear" w:color="auto" w:fill="F2F2F2"/>
          </w:tcPr>
          <w:p w14:paraId="7954A135" w14:textId="77777777" w:rsidR="00F05DC7" w:rsidRPr="00785004" w:rsidRDefault="00F05DC7" w:rsidP="00A3786D">
            <w:pPr>
              <w:pStyle w:val="Box"/>
            </w:pPr>
            <w:r w:rsidRPr="00785004">
              <w:t xml:space="preserve">Some participants claimed that HFE </w:t>
            </w:r>
            <w:r>
              <w:t>discourages States from addressing their structural disadvantages</w:t>
            </w:r>
            <w:r w:rsidRPr="00785004">
              <w:t>:</w:t>
            </w:r>
          </w:p>
          <w:p w14:paraId="7954A136" w14:textId="77777777" w:rsidR="00F05DC7" w:rsidRDefault="00F05DC7" w:rsidP="00A3786D">
            <w:pPr>
              <w:keepNext/>
              <w:spacing w:before="60" w:line="240" w:lineRule="exact"/>
              <w:ind w:left="284"/>
              <w:jc w:val="both"/>
              <w:rPr>
                <w:rFonts w:ascii="Arial" w:hAnsi="Arial"/>
                <w:sz w:val="18"/>
                <w:szCs w:val="20"/>
              </w:rPr>
            </w:pPr>
            <w:r>
              <w:rPr>
                <w:rFonts w:ascii="Arial" w:hAnsi="Arial"/>
                <w:sz w:val="18"/>
                <w:szCs w:val="20"/>
              </w:rPr>
              <w:t>[T]</w:t>
            </w:r>
            <w:r w:rsidRPr="000141EF">
              <w:rPr>
                <w:rFonts w:ascii="Arial" w:hAnsi="Arial"/>
                <w:sz w:val="18"/>
                <w:szCs w:val="20"/>
              </w:rPr>
              <w:t>he current HFE system provides perverse incentives for states with these</w:t>
            </w:r>
            <w:r>
              <w:rPr>
                <w:rFonts w:ascii="Arial" w:hAnsi="Arial"/>
                <w:sz w:val="18"/>
                <w:szCs w:val="20"/>
              </w:rPr>
              <w:t xml:space="preserve"> [expenditure] disabilities to:</w:t>
            </w:r>
          </w:p>
          <w:p w14:paraId="7954A137" w14:textId="77777777" w:rsidR="00F05DC7" w:rsidRDefault="00F05DC7" w:rsidP="00A3786D">
            <w:pPr>
              <w:pStyle w:val="BoxQuoteBullet"/>
            </w:pPr>
            <w:r w:rsidRPr="000141EF">
              <w:t xml:space="preserve">Address disadvantages faced by particular social groups that qualify that state for a greater share of GST, as this would sustain (or increase) that state’s </w:t>
            </w:r>
            <w:r>
              <w:t>national share of that group.</w:t>
            </w:r>
          </w:p>
          <w:p w14:paraId="7954A138" w14:textId="77777777" w:rsidR="00F05DC7" w:rsidRPr="00D7059B" w:rsidRDefault="00F05DC7" w:rsidP="00A3786D">
            <w:pPr>
              <w:pStyle w:val="BoxQuoteBullet"/>
            </w:pPr>
            <w:r w:rsidRPr="000141EF">
              <w:t>Underinvest in infrastructure, or other efficiency</w:t>
            </w:r>
            <w:r>
              <w:noBreakHyphen/>
            </w:r>
            <w:r w:rsidRPr="000141EF">
              <w:t>enhancing initiatives, that lower the cost of providing services to a remote area or particular group.</w:t>
            </w:r>
            <w:r>
              <w:t xml:space="preserve"> (NSW Government, sub. 52, p. 7)</w:t>
            </w:r>
          </w:p>
          <w:p w14:paraId="7954A139" w14:textId="77777777" w:rsidR="00F05DC7" w:rsidRPr="00510909" w:rsidRDefault="00F05DC7" w:rsidP="00A3786D">
            <w:pPr>
              <w:pStyle w:val="BoxQuote"/>
            </w:pPr>
            <w:r w:rsidRPr="00244A88">
              <w:t>The system particularly encourages recipient States to adopt a welfare mentality. The motivation to undertake reform is diminished by</w:t>
            </w:r>
            <w:r>
              <w:t xml:space="preserve"> the </w:t>
            </w:r>
            <w:r w:rsidRPr="00244A88">
              <w:t>resulting loss of GST grants they are accustomed to receiving. Further, it entrenches a mindset</w:t>
            </w:r>
            <w:r>
              <w:t xml:space="preserve"> that </w:t>
            </w:r>
            <w:r w:rsidRPr="00244A88">
              <w:t xml:space="preserve">reform is not needed as they can continue to rely upon these grants. </w:t>
            </w:r>
            <w:r>
              <w:t>(</w:t>
            </w:r>
            <w:r w:rsidRPr="00244A88">
              <w:t>WA</w:t>
            </w:r>
            <w:r>
              <w:t xml:space="preserve"> Government, sub. 1</w:t>
            </w:r>
            <w:r w:rsidRPr="00244A88">
              <w:t>5</w:t>
            </w:r>
            <w:r>
              <w:t>,</w:t>
            </w:r>
            <w:r w:rsidRPr="00244A88">
              <w:t xml:space="preserve"> p</w:t>
            </w:r>
            <w:r>
              <w:t>. </w:t>
            </w:r>
            <w:r w:rsidRPr="00244A88">
              <w:t>52</w:t>
            </w:r>
            <w:r>
              <w:t>)</w:t>
            </w:r>
          </w:p>
          <w:p w14:paraId="7954A13A" w14:textId="77777777" w:rsidR="00F05DC7" w:rsidRDefault="00F05DC7" w:rsidP="00A3786D">
            <w:pPr>
              <w:pStyle w:val="Box"/>
            </w:pPr>
            <w:r w:rsidRPr="00785004">
              <w:t xml:space="preserve">Others </w:t>
            </w:r>
            <w:r w:rsidRPr="00D93281">
              <w:t>disagreed</w:t>
            </w:r>
            <w:r>
              <w:t>:</w:t>
            </w:r>
          </w:p>
          <w:p w14:paraId="7954A13B" w14:textId="77777777" w:rsidR="00F05DC7" w:rsidRDefault="00F05DC7" w:rsidP="00A3786D">
            <w:pPr>
              <w:pStyle w:val="BoxQuote"/>
            </w:pPr>
            <w:r w:rsidRPr="00244A88">
              <w:t>As a recipient HFE state, South Australia is not dissuaded from improving economic outcomes for its citizens. But the influence of state policy in this sphere is dwarfed by national and global forces and the investment decisions of individual firms.</w:t>
            </w:r>
            <w:r>
              <w:t xml:space="preserve"> (SA Government, sub. 25, p. 22)</w:t>
            </w:r>
          </w:p>
          <w:p w14:paraId="7954A13C" w14:textId="77777777" w:rsidR="00F05DC7" w:rsidRDefault="00F05DC7" w:rsidP="00A3786D">
            <w:pPr>
              <w:pStyle w:val="BoxQuote"/>
            </w:pPr>
            <w:r w:rsidRPr="008768A5">
              <w:t>Divergences in fiscal capacity also occur because of structural factors such as socio</w:t>
            </w:r>
            <w:r>
              <w:noBreakHyphen/>
            </w:r>
            <w:r w:rsidRPr="008768A5">
              <w:t>demographic factors, regional dispersion, and scale. These factors can cause fiscal divergence through increasing cost to provide services because of a State’s inherent disadvantages. These disadvantages may take a long time to resolve or may never be overcome.</w:t>
            </w:r>
            <w:r>
              <w:t xml:space="preserve"> (Tasmanian Government, sub. 28, p. 34)</w:t>
            </w:r>
          </w:p>
          <w:p w14:paraId="7954A13D" w14:textId="77777777" w:rsidR="00F05DC7" w:rsidRDefault="00F05DC7" w:rsidP="00A3786D">
            <w:pPr>
              <w:pStyle w:val="Box"/>
            </w:pPr>
            <w:r>
              <w:t>And several participants noted that HFE is not intended to address structural disadvantages:</w:t>
            </w:r>
          </w:p>
          <w:p w14:paraId="7954A13E" w14:textId="77777777" w:rsidR="00F05DC7" w:rsidRPr="00FA4819" w:rsidRDefault="00F05DC7" w:rsidP="00A3786D">
            <w:pPr>
              <w:pStyle w:val="BoxQuote"/>
            </w:pPr>
            <w:r w:rsidRPr="00FA4819">
              <w:t xml:space="preserve">The current </w:t>
            </w:r>
            <w:r w:rsidRPr="00C443F9">
              <w:t>HFE framework only compensates states for the higher costs incurred by governments in delivering its servic</w:t>
            </w:r>
            <w:r>
              <w:t>es to these remote communities —</w:t>
            </w:r>
            <w:r w:rsidRPr="00C443F9">
              <w:t xml:space="preserve"> that is, it does not provide additional funding in excess of the cost of compensating for the disability so as to be</w:t>
            </w:r>
            <w:r w:rsidRPr="009F7911">
              <w:t xml:space="preserve"> able to reduce the disability. </w:t>
            </w:r>
            <w:r w:rsidRPr="00373242">
              <w:t>(Victorian Government, sub. 53</w:t>
            </w:r>
            <w:r w:rsidRPr="00FA4819">
              <w:t>, p.</w:t>
            </w:r>
            <w:r w:rsidRPr="00373242">
              <w:t> 4</w:t>
            </w:r>
            <w:r w:rsidRPr="00FA4819">
              <w:t>)</w:t>
            </w:r>
          </w:p>
          <w:p w14:paraId="7954A13F" w14:textId="77777777" w:rsidR="00F05DC7" w:rsidRPr="005D4243" w:rsidRDefault="00F05DC7" w:rsidP="00A3786D">
            <w:pPr>
              <w:pStyle w:val="BoxQuote"/>
            </w:pPr>
            <w:r w:rsidRPr="00FA4819">
              <w:t xml:space="preserve">HFE is not designed to </w:t>
            </w:r>
            <w:r w:rsidRPr="00373242">
              <w:t>close</w:t>
            </w:r>
            <w:r w:rsidRPr="00FA4819">
              <w:t xml:space="preserve"> the gap in unmet need, </w:t>
            </w:r>
            <w:r w:rsidRPr="00373242">
              <w:t xml:space="preserve">or </w:t>
            </w:r>
            <w:r w:rsidRPr="00FA4819">
              <w:t xml:space="preserve">address extreme disadvantage, backlogs in service provision, </w:t>
            </w:r>
            <w:r w:rsidRPr="00373242">
              <w:t>infrastructure deficits or</w:t>
            </w:r>
            <w:r w:rsidRPr="00FA4819">
              <w:t xml:space="preserve"> economic efficiency</w:t>
            </w:r>
            <w:r w:rsidRPr="00373242">
              <w:t>. These are important issues and there</w:t>
            </w:r>
            <w:r w:rsidRPr="00FA4819">
              <w:t xml:space="preserve"> are more appropriate means of </w:t>
            </w:r>
            <w:r w:rsidRPr="00373242">
              <w:t>pursuing</w:t>
            </w:r>
            <w:r w:rsidRPr="00FA4819">
              <w:t xml:space="preserve"> these objectives from outside HFE</w:t>
            </w:r>
            <w:r w:rsidRPr="00373242">
              <w:t xml:space="preserve"> …</w:t>
            </w:r>
            <w:r w:rsidRPr="00FA4819">
              <w:t xml:space="preserve"> </w:t>
            </w:r>
            <w:r w:rsidRPr="00C443F9">
              <w:t>(NT</w:t>
            </w:r>
            <w:r w:rsidRPr="00373242">
              <w:t> Government, sub. 51</w:t>
            </w:r>
            <w:r w:rsidRPr="00FA4819">
              <w:t>, p.</w:t>
            </w:r>
            <w:r w:rsidRPr="00373242">
              <w:t> 31)</w:t>
            </w:r>
          </w:p>
        </w:tc>
      </w:tr>
      <w:tr w:rsidR="00F05DC7" w14:paraId="7954A142" w14:textId="77777777" w:rsidTr="00A3786D">
        <w:tc>
          <w:tcPr>
            <w:tcW w:w="5000" w:type="pct"/>
            <w:tcBorders>
              <w:top w:val="nil"/>
              <w:left w:val="nil"/>
              <w:bottom w:val="single" w:sz="6" w:space="0" w:color="78A22F"/>
              <w:right w:val="nil"/>
            </w:tcBorders>
            <w:shd w:val="clear" w:color="auto" w:fill="F2F2F2"/>
          </w:tcPr>
          <w:p w14:paraId="7954A141" w14:textId="77777777" w:rsidR="00F05DC7" w:rsidRDefault="00F05DC7" w:rsidP="00A3786D">
            <w:pPr>
              <w:pStyle w:val="Box"/>
              <w:spacing w:before="0" w:line="120" w:lineRule="exact"/>
            </w:pPr>
          </w:p>
        </w:tc>
      </w:tr>
      <w:tr w:rsidR="00F05DC7" w:rsidRPr="000863A5" w14:paraId="7954A144" w14:textId="77777777" w:rsidTr="00A3786D">
        <w:tc>
          <w:tcPr>
            <w:tcW w:w="5000" w:type="pct"/>
            <w:tcBorders>
              <w:top w:val="single" w:sz="6" w:space="0" w:color="78A22F"/>
              <w:left w:val="nil"/>
              <w:bottom w:val="nil"/>
              <w:right w:val="nil"/>
            </w:tcBorders>
          </w:tcPr>
          <w:p w14:paraId="7954A143" w14:textId="77777777" w:rsidR="00F05DC7" w:rsidRPr="00626D32" w:rsidRDefault="00F05DC7" w:rsidP="00A3786D">
            <w:pPr>
              <w:pStyle w:val="BoxSpaceBelow"/>
            </w:pPr>
          </w:p>
        </w:tc>
      </w:tr>
    </w:tbl>
    <w:p w14:paraId="7954A145" w14:textId="77777777" w:rsidR="00F05DC7" w:rsidRDefault="00F05DC7" w:rsidP="00A3786D">
      <w:pPr>
        <w:pStyle w:val="BodyText"/>
      </w:pPr>
      <w:r>
        <w:t xml:space="preserve">It is difficult to conclusively link HFE to specific State behaviour on the expenditure side, as GST effects are likely to be just one of many factors that States consider when pursuing reform (BCA, sub. 47, p. 7). It is undisputed that HFE influences State service delivery by virtue of giving fiscally weaker States the capacity to provide a similar </w:t>
      </w:r>
      <w:r>
        <w:rPr>
          <w:i/>
        </w:rPr>
        <w:t xml:space="preserve">level </w:t>
      </w:r>
      <w:r>
        <w:t xml:space="preserve">of services to </w:t>
      </w:r>
      <w:r>
        <w:lastRenderedPageBreak/>
        <w:t>the fiscally stronger States (chapter 2). And a State experiencing an increase in its own fiscal capacity will see some of the fiscal benefits flowing to other States under any form of full HFE.</w:t>
      </w:r>
    </w:p>
    <w:p w14:paraId="7954A146" w14:textId="77777777" w:rsidR="00F05DC7" w:rsidRDefault="00F05DC7" w:rsidP="00A3786D">
      <w:pPr>
        <w:pStyle w:val="BodyText"/>
      </w:pPr>
      <w:r>
        <w:t>But HFE only aligns States’ fiscal capacities, not their policy outcomes. There is no compelling evidence that Australia’s HFE system is likely to systematically bias States towards providing services in a particular way, or towards particular policies aimed at growing their economies or addressing structural disadvantages.</w:t>
      </w:r>
    </w:p>
    <w:p w14:paraId="7954A147" w14:textId="77777777" w:rsidR="00F05DC7" w:rsidRDefault="00F05DC7" w:rsidP="00A3786D">
      <w:pPr>
        <w:pStyle w:val="BodyText"/>
      </w:pPr>
      <w:r>
        <w:t>In sum, the potential for HFE to distort State policy is much lower on the expenditure side than it is on the revenue side. In some policy areas, States do not spend at the national average level despite being provided the fiscal capacity to do so through HFE (chapter 2) — an issue that has been contentious in the Northern Territory (Yothu Yindi Foundation, sub. DR80, p. 3; Fahrer and FitzGerald, sub. DR102, p. 15). However, accountability is a much greater driver of expenditure policy than HFE, and has been eroded by high levels of vertical fiscal imbalance, the complexity of HFE and the collective, consequential blurred funding responsibilities (chapters 6 and 9).</w:t>
      </w:r>
    </w:p>
    <w:p w14:paraId="7954A148" w14:textId="77777777" w:rsidR="00F05DC7" w:rsidRPr="004F4295" w:rsidRDefault="00F05DC7" w:rsidP="004F4295">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14B"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149" w14:textId="09914F57" w:rsidR="00F05DC7" w:rsidRDefault="00F05DC7" w:rsidP="00A3786D">
            <w:pPr>
              <w:pStyle w:val="FindingTitle"/>
              <w:spacing w:before="120"/>
              <w:rPr>
                <w:noProof/>
              </w:rPr>
            </w:pPr>
            <w:r>
              <w:t>Finding 3.</w:t>
            </w:r>
            <w:r>
              <w:rPr>
                <w:noProof/>
              </w:rPr>
              <w:t>2</w:t>
            </w:r>
          </w:p>
          <w:p w14:paraId="7954A14A" w14:textId="77777777" w:rsidR="00F05DC7" w:rsidRPr="00066EE8" w:rsidRDefault="00F05DC7" w:rsidP="00A3786D">
            <w:pPr>
              <w:pStyle w:val="Finding"/>
              <w:rPr>
                <w:rStyle w:val="DraftingNote"/>
                <w:b w:val="0"/>
                <w:color w:val="auto"/>
                <w:sz w:val="22"/>
                <w:u w:val="none"/>
              </w:rPr>
            </w:pPr>
            <w:r w:rsidRPr="0013531A">
              <w:t xml:space="preserve">Changes in State service delivery policies can impact on GST payments, but the impacts are mostly </w:t>
            </w:r>
            <w:r>
              <w:t>trivial</w:t>
            </w:r>
            <w:r w:rsidRPr="0013531A">
              <w:t xml:space="preserve">. HFE is unlikely to </w:t>
            </w:r>
            <w:r>
              <w:t>directly</w:t>
            </w:r>
            <w:r w:rsidRPr="0013531A">
              <w:t xml:space="preserve"> discourage — nor encourage — States from </w:t>
            </w:r>
            <w:r>
              <w:t>improving the efficiency of service delivery</w:t>
            </w:r>
            <w:r w:rsidRPr="0013531A">
              <w:t xml:space="preserve"> or addressing their structural disadvantages</w:t>
            </w:r>
            <w:r>
              <w:t>,</w:t>
            </w:r>
            <w:r w:rsidRPr="0013531A">
              <w:t xml:space="preserve"> given the broader and more significant benefits of doing so to the community</w:t>
            </w:r>
            <w:r>
              <w:t xml:space="preserve">. Accountability for policy outcomes — which is lacking — is a much greater driver of expenditure choices.  </w:t>
            </w:r>
          </w:p>
        </w:tc>
      </w:tr>
      <w:tr w:rsidR="00F05DC7" w14:paraId="7954A14D"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14C" w14:textId="77777777" w:rsidR="00F05DC7" w:rsidRDefault="00F05DC7" w:rsidP="00A3786D">
            <w:pPr>
              <w:pStyle w:val="Space"/>
              <w:keepLines/>
            </w:pPr>
          </w:p>
        </w:tc>
      </w:tr>
      <w:tr w:rsidR="00F05DC7" w:rsidRPr="000863A5" w14:paraId="7954A14F"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14E" w14:textId="77777777" w:rsidR="00F05DC7" w:rsidRPr="00626D32" w:rsidRDefault="00F05DC7" w:rsidP="00A3786D">
            <w:pPr>
              <w:pStyle w:val="BoxSpaceBelow"/>
              <w:keepLines/>
            </w:pPr>
          </w:p>
        </w:tc>
      </w:tr>
    </w:tbl>
    <w:p w14:paraId="7954A150" w14:textId="64942602" w:rsidR="00F05DC7" w:rsidRDefault="00F05DC7" w:rsidP="004F4295">
      <w:pPr>
        <w:pStyle w:val="Heading2"/>
        <w:spacing w:before="480"/>
      </w:pPr>
      <w:bookmarkStart w:id="75" w:name="_Toc513637711"/>
      <w:r>
        <w:t>3.</w:t>
      </w:r>
      <w:r>
        <w:rPr>
          <w:noProof/>
        </w:rPr>
        <w:t>3</w:t>
      </w:r>
      <w:r>
        <w:tab/>
        <w:t>Mineral and energy resources</w:t>
      </w:r>
      <w:bookmarkEnd w:id="75"/>
    </w:p>
    <w:p w14:paraId="7954A151" w14:textId="247F15D2" w:rsidR="00F05DC7" w:rsidRDefault="00F05DC7" w:rsidP="00A3786D">
      <w:pPr>
        <w:pStyle w:val="BodyText"/>
      </w:pPr>
      <w:r>
        <w:t>State royalties from the extraction of mineral and energy resources have been a major source of redistribution and controversy in Australia’s HFE system. Though royalties comprised just 9 per cent of total State own</w:t>
      </w:r>
      <w:r>
        <w:noBreakHyphen/>
        <w:t>source revenues in 2016</w:t>
      </w:r>
      <w:r>
        <w:noBreakHyphen/>
        <w:t xml:space="preserve">17, they were the most unevenly distributed revenue source across jurisdictions </w:t>
      </w:r>
      <w:r w:rsidR="009D6331" w:rsidRPr="009D6331">
        <w:rPr>
          <w:szCs w:val="24"/>
        </w:rPr>
        <w:t>(CGC 2018b)</w:t>
      </w:r>
      <w:r>
        <w:t>.</w:t>
      </w:r>
    </w:p>
    <w:p w14:paraId="7954A152" w14:textId="6A43977C" w:rsidR="00F05DC7" w:rsidRDefault="00F05DC7" w:rsidP="00A3786D">
      <w:pPr>
        <w:pStyle w:val="BodyText"/>
      </w:pPr>
      <w:r>
        <w:t>Royalty revenue led to over $44 billion being redistributed between States for the ten years to 2016</w:t>
      </w:r>
      <w:r>
        <w:noBreakHyphen/>
        <w:t>17 (primarily as a result of the mining boom) — with $37.9 billion being redistributed away from resource</w:t>
      </w:r>
      <w:r>
        <w:noBreakHyphen/>
        <w:t>rich Western Australia, and gains for more populous New South Wales ($15.8 billion) and Victoria ($21.5 billion) (Productivity Commission estimates). This redistribution has been the primary cause of the fall in Western Australia’s GST relativity to a low of 0.30 in 2015</w:t>
      </w:r>
      <w:r>
        <w:noBreakHyphen/>
        <w:t xml:space="preserve">16. In that year, $6.2 billion was redistributed due to mining, compared to an aggregate redistribution of $6.9 billion </w:t>
      </w:r>
      <w:r w:rsidR="009D6331" w:rsidRPr="009D6331">
        <w:rPr>
          <w:szCs w:val="24"/>
        </w:rPr>
        <w:t>(CGC 2015e)</w:t>
      </w:r>
      <w:r>
        <w:t>.</w:t>
      </w:r>
      <w:r w:rsidRPr="00282527">
        <w:rPr>
          <w:rStyle w:val="FootnoteReference"/>
        </w:rPr>
        <w:footnoteReference w:id="8"/>
      </w:r>
    </w:p>
    <w:p w14:paraId="7954A153" w14:textId="32D2A9E1" w:rsidR="00F05DC7" w:rsidRDefault="00F05DC7" w:rsidP="00A3786D">
      <w:pPr>
        <w:pStyle w:val="BodyText"/>
      </w:pPr>
      <w:r>
        <w:lastRenderedPageBreak/>
        <w:t>Mineral and energy resources are very unevenly distributed across States (figure 3.2). Though States have ownership of onshore resources under the Constitution, the GST distribution is today used to balance out the differences between the States in their capacities to generate royalties. The CGC does this by calculating the value of production in each State (the tax base) and applying the average royalty rate, across seven mineral groups (</w:t>
      </w:r>
      <w:r w:rsidRPr="00A37D30">
        <w:t>iron ore, coal, gold, onshore oil and gas, copper, bauxite and nickel</w:t>
      </w:r>
      <w:r>
        <w:t>), plus an eighth residual category. The total is then redistributed across States on a per</w:t>
      </w:r>
      <w:r>
        <w:noBreakHyphen/>
        <w:t>capita basis.</w:t>
      </w:r>
    </w:p>
    <w:p w14:paraId="7954A154"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156" w14:textId="77777777" w:rsidTr="00A3786D">
        <w:trPr>
          <w:tblHeader/>
        </w:trPr>
        <w:tc>
          <w:tcPr>
            <w:tcW w:w="5000" w:type="pct"/>
            <w:tcBorders>
              <w:top w:val="single" w:sz="6" w:space="0" w:color="78A22F"/>
              <w:left w:val="nil"/>
              <w:bottom w:val="nil"/>
              <w:right w:val="nil"/>
            </w:tcBorders>
            <w:shd w:val="clear" w:color="auto" w:fill="auto"/>
          </w:tcPr>
          <w:p w14:paraId="7954A155" w14:textId="161CB34F" w:rsidR="00F05DC7" w:rsidRPr="00176D3F" w:rsidRDefault="00F05DC7" w:rsidP="00A3786D">
            <w:pPr>
              <w:pStyle w:val="FigureTitle"/>
            </w:pPr>
            <w:r w:rsidRPr="00784A05">
              <w:rPr>
                <w:b w:val="0"/>
              </w:rPr>
              <w:t xml:space="preserve">Figure </w:t>
            </w:r>
            <w:bookmarkStart w:id="76" w:name="OLE_LINK9"/>
            <w:r>
              <w:rPr>
                <w:b w:val="0"/>
              </w:rPr>
              <w:t>3.</w:t>
            </w:r>
            <w:r>
              <w:rPr>
                <w:b w:val="0"/>
                <w:noProof/>
              </w:rPr>
              <w:t>2</w:t>
            </w:r>
            <w:bookmarkEnd w:id="76"/>
            <w:r>
              <w:tab/>
            </w:r>
            <w:r w:rsidRPr="00D83AB2">
              <w:t>State shares</w:t>
            </w:r>
            <w:r>
              <w:t xml:space="preserve"> of value of mineral production, 2016</w:t>
            </w:r>
            <w:r>
              <w:noBreakHyphen/>
              <w:t>17</w:t>
            </w:r>
            <w:r>
              <w:rPr>
                <w:rStyle w:val="NoteLabel"/>
                <w:b/>
              </w:rPr>
              <w:t>a</w:t>
            </w:r>
          </w:p>
        </w:tc>
      </w:tr>
      <w:tr w:rsidR="00F05DC7" w14:paraId="7954A15A"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05DC7" w:rsidRPr="00B1465D" w14:paraId="7954A158" w14:textId="77777777" w:rsidTr="00A3786D">
              <w:trPr>
                <w:tblHeader/>
                <w:jc w:val="center"/>
              </w:trPr>
              <w:tc>
                <w:tcPr>
                  <w:tcW w:w="5000" w:type="pct"/>
                  <w:tcBorders>
                    <w:top w:val="nil"/>
                    <w:bottom w:val="nil"/>
                  </w:tcBorders>
                </w:tcPr>
                <w:p w14:paraId="7954A157" w14:textId="77777777" w:rsidR="00F05DC7" w:rsidRPr="00B1465D" w:rsidRDefault="00F05DC7" w:rsidP="00A3786D">
                  <w:pPr>
                    <w:pStyle w:val="Figure"/>
                    <w:spacing w:before="60" w:after="60"/>
                    <w:rPr>
                      <w:rFonts w:ascii="Arial" w:hAnsi="Arial" w:cs="Arial"/>
                      <w:sz w:val="18"/>
                      <w:szCs w:val="18"/>
                    </w:rPr>
                  </w:pPr>
                  <w:r w:rsidRPr="0071194E">
                    <w:rPr>
                      <w:rFonts w:ascii="Arial" w:hAnsi="Arial" w:cs="Arial"/>
                      <w:noProof/>
                      <w:sz w:val="18"/>
                      <w:szCs w:val="18"/>
                    </w:rPr>
                    <w:drawing>
                      <wp:inline distT="0" distB="0" distL="0" distR="0" wp14:anchorId="7954D5C5" wp14:editId="7954D5C6">
                        <wp:extent cx="5367867" cy="2919709"/>
                        <wp:effectExtent l="0" t="0" r="4445" b="0"/>
                        <wp:docPr id="32" name="Picture 32" descr="Iron ore and nickel are almost entirely produced in Western Australia, with revenues of $3597 million and $46 million respectively. Coal is mostly produced in Queensland and New South Wales, with revenues of $2726 million. Bauxite production is shared between Western Australia, Queensland and the Northern Territory, with revenues of $222 million. Production of gold, copper and other minerals is more dispersed among States — with combined revenues of $1304 million — though the majority of gold is produced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78174" cy="2925315"/>
                                </a:xfrm>
                                <a:prstGeom prst="rect">
                                  <a:avLst/>
                                </a:prstGeom>
                                <a:noFill/>
                                <a:ln>
                                  <a:noFill/>
                                </a:ln>
                              </pic:spPr>
                            </pic:pic>
                          </a:graphicData>
                        </a:graphic>
                      </wp:inline>
                    </w:drawing>
                  </w:r>
                </w:p>
              </w:tc>
            </w:tr>
          </w:tbl>
          <w:p w14:paraId="7954A159" w14:textId="77777777" w:rsidR="00F05DC7" w:rsidRDefault="00F05DC7" w:rsidP="00A3786D">
            <w:pPr>
              <w:pStyle w:val="Figure"/>
            </w:pPr>
          </w:p>
        </w:tc>
      </w:tr>
      <w:tr w:rsidR="00F05DC7" w:rsidRPr="00176D3F" w14:paraId="7954A15C" w14:textId="77777777" w:rsidTr="00A3786D">
        <w:tc>
          <w:tcPr>
            <w:tcW w:w="5000" w:type="pct"/>
            <w:tcBorders>
              <w:top w:val="nil"/>
              <w:left w:val="nil"/>
              <w:bottom w:val="nil"/>
              <w:right w:val="nil"/>
            </w:tcBorders>
            <w:shd w:val="clear" w:color="auto" w:fill="auto"/>
          </w:tcPr>
          <w:p w14:paraId="7954A15B" w14:textId="77777777" w:rsidR="00F05DC7" w:rsidRPr="00176D3F" w:rsidRDefault="00F05DC7" w:rsidP="00A3786D">
            <w:pPr>
              <w:pStyle w:val="Note"/>
            </w:pPr>
            <w:r>
              <w:rPr>
                <w:rStyle w:val="NoteLabel"/>
              </w:rPr>
              <w:t>a</w:t>
            </w:r>
            <w:r>
              <w:t> The share for ‘Other minerals’ includes the share for onshore oil and gas, which the CGC does not separately disclose for confidentiality reasons. ‘Other States’ comprise Victoria, Tasmania and the ACT.</w:t>
            </w:r>
          </w:p>
        </w:tc>
      </w:tr>
      <w:tr w:rsidR="00F05DC7" w:rsidRPr="00176D3F" w14:paraId="7954A15E" w14:textId="77777777" w:rsidTr="00A3786D">
        <w:tc>
          <w:tcPr>
            <w:tcW w:w="5000" w:type="pct"/>
            <w:tcBorders>
              <w:top w:val="nil"/>
              <w:left w:val="nil"/>
              <w:bottom w:val="nil"/>
              <w:right w:val="nil"/>
            </w:tcBorders>
            <w:shd w:val="clear" w:color="auto" w:fill="auto"/>
          </w:tcPr>
          <w:p w14:paraId="7954A15D" w14:textId="77777777" w:rsidR="00F05DC7" w:rsidRPr="00176D3F" w:rsidRDefault="00F05DC7" w:rsidP="00A3786D">
            <w:pPr>
              <w:pStyle w:val="Source"/>
            </w:pPr>
            <w:r>
              <w:rPr>
                <w:i/>
              </w:rPr>
              <w:t>S</w:t>
            </w:r>
            <w:r w:rsidRPr="00784A05">
              <w:rPr>
                <w:i/>
              </w:rPr>
              <w:t>ource</w:t>
            </w:r>
            <w:r w:rsidRPr="00176D3F">
              <w:t xml:space="preserve">: </w:t>
            </w:r>
            <w:r>
              <w:t>Productivity Commission estimates based on data provided by the CGC.</w:t>
            </w:r>
          </w:p>
        </w:tc>
      </w:tr>
      <w:tr w:rsidR="00F05DC7" w14:paraId="7954A160" w14:textId="77777777" w:rsidTr="00A3786D">
        <w:tc>
          <w:tcPr>
            <w:tcW w:w="5000" w:type="pct"/>
            <w:tcBorders>
              <w:top w:val="nil"/>
              <w:left w:val="nil"/>
              <w:bottom w:val="single" w:sz="6" w:space="0" w:color="78A22F"/>
              <w:right w:val="nil"/>
            </w:tcBorders>
            <w:shd w:val="clear" w:color="auto" w:fill="auto"/>
          </w:tcPr>
          <w:p w14:paraId="7954A15F" w14:textId="77777777" w:rsidR="00F05DC7" w:rsidRDefault="00F05DC7" w:rsidP="00A3786D">
            <w:pPr>
              <w:pStyle w:val="Figurespace"/>
            </w:pPr>
          </w:p>
        </w:tc>
      </w:tr>
      <w:tr w:rsidR="00F05DC7" w:rsidRPr="000863A5" w14:paraId="7954A162" w14:textId="77777777" w:rsidTr="00A3786D">
        <w:tc>
          <w:tcPr>
            <w:tcW w:w="5000" w:type="pct"/>
            <w:tcBorders>
              <w:top w:val="single" w:sz="6" w:space="0" w:color="78A22F"/>
              <w:left w:val="nil"/>
              <w:bottom w:val="nil"/>
              <w:right w:val="nil"/>
            </w:tcBorders>
          </w:tcPr>
          <w:p w14:paraId="7954A161" w14:textId="77777777" w:rsidR="00F05DC7" w:rsidRPr="00626D32" w:rsidRDefault="00F05DC7" w:rsidP="00A3786D">
            <w:pPr>
              <w:pStyle w:val="BoxSpaceBelow"/>
            </w:pPr>
          </w:p>
        </w:tc>
      </w:tr>
    </w:tbl>
    <w:p w14:paraId="7954A163" w14:textId="77777777" w:rsidR="00F05DC7" w:rsidRDefault="00F05DC7" w:rsidP="00A3786D">
      <w:pPr>
        <w:pStyle w:val="BodyText"/>
      </w:pPr>
      <w:r>
        <w:t>This is similar to the method used to equalise most other categories of State taxes (section 3.1). However, HFE combined with the concentration of known resources in a few States may be distorting State royalty policies and incentives to develop resources.</w:t>
      </w:r>
    </w:p>
    <w:p w14:paraId="7954A164" w14:textId="77777777" w:rsidR="00F05DC7" w:rsidRDefault="00F05DC7" w:rsidP="00A3786D">
      <w:pPr>
        <w:pStyle w:val="Heading3"/>
      </w:pPr>
      <w:r>
        <w:t>Does HFE influence State royalty policies?</w:t>
      </w:r>
    </w:p>
    <w:p w14:paraId="7954A165" w14:textId="5F29F4F9" w:rsidR="00F05DC7" w:rsidRDefault="00F05DC7" w:rsidP="00A3786D">
      <w:pPr>
        <w:pStyle w:val="BodyText"/>
      </w:pPr>
      <w:r>
        <w:t>Some inquiry participants argued that the way mineral and energy royalties are assessed acts as a disincentive for States to set royalty rates in an efficient way (for example, WA Government, sub. 15). This has been a long</w:t>
      </w:r>
      <w:r>
        <w:noBreakHyphen/>
        <w:t xml:space="preserve">running consternation that has persisted despite frequent changes in the CGC’s methodology over the </w:t>
      </w:r>
      <w:r w:rsidRPr="002D7769">
        <w:t>years (box </w:t>
      </w:r>
      <w:r>
        <w:t>3.10).</w:t>
      </w:r>
    </w:p>
    <w:p w14:paraId="7954A166"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168" w14:textId="77777777" w:rsidTr="001113B1">
        <w:trPr>
          <w:tblHeader/>
        </w:trPr>
        <w:tc>
          <w:tcPr>
            <w:tcW w:w="5000" w:type="pct"/>
            <w:tcBorders>
              <w:top w:val="single" w:sz="6" w:space="0" w:color="78A22F"/>
              <w:left w:val="nil"/>
              <w:bottom w:val="nil"/>
              <w:right w:val="nil"/>
            </w:tcBorders>
            <w:shd w:val="clear" w:color="auto" w:fill="F2F2F2"/>
          </w:tcPr>
          <w:p w14:paraId="7954A167" w14:textId="0A421B5B" w:rsidR="00F05DC7" w:rsidRDefault="00F05DC7" w:rsidP="00A3786D">
            <w:pPr>
              <w:pStyle w:val="BoxTitle"/>
            </w:pPr>
            <w:r>
              <w:rPr>
                <w:b w:val="0"/>
              </w:rPr>
              <w:t xml:space="preserve">Box </w:t>
            </w:r>
            <w:bookmarkStart w:id="77" w:name="OLE_LINK4"/>
            <w:r>
              <w:rPr>
                <w:b w:val="0"/>
              </w:rPr>
              <w:t>3.</w:t>
            </w:r>
            <w:r>
              <w:rPr>
                <w:b w:val="0"/>
                <w:noProof/>
              </w:rPr>
              <w:t>10</w:t>
            </w:r>
            <w:bookmarkEnd w:id="77"/>
            <w:r>
              <w:tab/>
              <w:t>The ever</w:t>
            </w:r>
            <w:r>
              <w:noBreakHyphen/>
              <w:t>evolving mineral royalty assessment</w:t>
            </w:r>
          </w:p>
        </w:tc>
      </w:tr>
      <w:tr w:rsidR="00F05DC7" w14:paraId="7954A16F" w14:textId="77777777" w:rsidTr="00A3786D">
        <w:tc>
          <w:tcPr>
            <w:tcW w:w="5000" w:type="pct"/>
            <w:tcBorders>
              <w:top w:val="nil"/>
              <w:left w:val="nil"/>
              <w:bottom w:val="nil"/>
              <w:right w:val="nil"/>
            </w:tcBorders>
            <w:shd w:val="clear" w:color="auto" w:fill="F2F2F2"/>
          </w:tcPr>
          <w:p w14:paraId="7954A169" w14:textId="77777777" w:rsidR="00F05DC7" w:rsidRDefault="00F05DC7" w:rsidP="00A3786D">
            <w:pPr>
              <w:pStyle w:val="Box"/>
            </w:pPr>
            <w:r>
              <w:t>The methodology the CGC applies in its mineral royalty assessment has changed frequently over the years, with the level of complexity waxing and waning. The timeline below indicates changes to the measure of revenue</w:t>
            </w:r>
            <w:r>
              <w:noBreakHyphen/>
              <w:t>raising capacity, including a major change from profitability to production values in 2004.</w:t>
            </w:r>
          </w:p>
          <w:p w14:paraId="7954A16A" w14:textId="77777777" w:rsidR="00F05DC7" w:rsidRDefault="00F05DC7" w:rsidP="00A3786D">
            <w:pPr>
              <w:pStyle w:val="BodyText"/>
              <w:jc w:val="center"/>
            </w:pPr>
            <w:r w:rsidRPr="00805AAE">
              <w:rPr>
                <w:noProof/>
              </w:rPr>
              <w:drawing>
                <wp:inline distT="0" distB="0" distL="0" distR="0" wp14:anchorId="7954D5C7" wp14:editId="7954D5C8">
                  <wp:extent cx="5435600" cy="1451844"/>
                  <wp:effectExtent l="0" t="0" r="0" b="0"/>
                  <wp:docPr id="33" name="Picture 33" descr="In 1981, the CGC adopted a profitability method. In 2004, it adopted a value of production method with 6 categories of minerals. In 2010 this was changed to two categories, and in 2015 to 8 categories. The CGC has indicated it may revisit the minerals assessment in its 2020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48736" cy="1455353"/>
                          </a:xfrm>
                          <a:prstGeom prst="rect">
                            <a:avLst/>
                          </a:prstGeom>
                          <a:noFill/>
                          <a:ln>
                            <a:noFill/>
                          </a:ln>
                        </pic:spPr>
                      </pic:pic>
                    </a:graphicData>
                  </a:graphic>
                </wp:inline>
              </w:drawing>
            </w:r>
          </w:p>
          <w:p w14:paraId="7954A16B" w14:textId="77777777" w:rsidR="00F05DC7" w:rsidRDefault="00F05DC7" w:rsidP="00A3786D">
            <w:pPr>
              <w:pStyle w:val="Box"/>
            </w:pPr>
            <w:r>
              <w:t>Amidst all this change, one constant has been the difficulty of disentangling the impact of State policy from underlying revenue</w:t>
            </w:r>
            <w:r>
              <w:noBreakHyphen/>
              <w:t>raising capacity. This is a nigh on impossible task, given the high concentration of activity in Western Australia, Queensland and New South Wales, which means that each of these States can have a disproportionate influence on national average rates and total production for specific minerals.</w:t>
            </w:r>
          </w:p>
          <w:p w14:paraId="7954A16C" w14:textId="77777777" w:rsidR="00F05DC7" w:rsidRDefault="00F05DC7" w:rsidP="00A3786D">
            <w:pPr>
              <w:pStyle w:val="Box"/>
            </w:pPr>
            <w:r>
              <w:t xml:space="preserve">The prior assessment approach in place from 2010 to 2015, based on aggregating royalties into two categories (high and low rate), was heavily criticised for being sensitive to a single State’s policy changes. The CGC adopted the approach just </w:t>
            </w:r>
            <w:r w:rsidRPr="00916EA2">
              <w:t>after Western Australia had negotiated to remove concessions on iron ore royalties for some producers, which would have led to iron ore fines moving from the low to the high royalty category.</w:t>
            </w:r>
            <w:r>
              <w:t xml:space="preserve"> This re</w:t>
            </w:r>
            <w:r>
              <w:noBreakHyphen/>
              <w:t>categorisation would have seen Western Australia lose up to three times as much in GST payments as it gained in additional own</w:t>
            </w:r>
            <w:r>
              <w:noBreakHyphen/>
              <w:t>source revenue — a much larger GST effect than the State Government had originally estimated (WA Government, sub. 15, p. 69).</w:t>
            </w:r>
            <w:r w:rsidRPr="00916EA2">
              <w:t xml:space="preserve"> </w:t>
            </w:r>
            <w:r>
              <w:t>This specific outcome</w:t>
            </w:r>
            <w:r w:rsidRPr="00916EA2">
              <w:t xml:space="preserve"> was a major focus of the 2012 GST Distribution Review, as was the incentive for States to raise their royalty rates in anticipation of these being rebated under a future</w:t>
            </w:r>
            <w:r>
              <w:t xml:space="preserve"> national profit</w:t>
            </w:r>
            <w:r>
              <w:noBreakHyphen/>
              <w:t>based mining tax. Ultimately, the Commonwealth Treasurer directed the CGC to adjust its assessments from 2011 to 2014 to reduce the fiscal impact on Western Australia.</w:t>
            </w:r>
          </w:p>
          <w:p w14:paraId="7954A16D" w14:textId="77777777" w:rsidR="00F05DC7" w:rsidRDefault="00F05DC7" w:rsidP="00A3786D">
            <w:pPr>
              <w:pStyle w:val="Box"/>
            </w:pPr>
            <w:r>
              <w:t>The current mineral</w:t>
            </w:r>
            <w:r>
              <w:noBreakHyphen/>
              <w:t>by</w:t>
            </w:r>
            <w:r>
              <w:noBreakHyphen/>
              <w:t xml:space="preserve">mineral methodology, adopted in 2015, avoids the problem of a mineral moving between categories but could still impact States’ incentives. It gives States with a high share of production for a particular mineral an outsized influence on the national average. </w:t>
            </w:r>
            <w:r w:rsidRPr="001F79A0">
              <w:t>As a result, a change in royalty rate can still be accompanied by a substantial change in GST payments (such that the State retains only its population share of any increase in revenue, and bears only its population share of any decrease in revenue</w:t>
            </w:r>
            <w:r>
              <w:t>).</w:t>
            </w:r>
          </w:p>
          <w:p w14:paraId="7954A16E" w14:textId="77777777" w:rsidR="00F05DC7" w:rsidRDefault="00F05DC7" w:rsidP="00A3786D">
            <w:pPr>
              <w:pStyle w:val="Box"/>
            </w:pPr>
            <w:r>
              <w:t>The CGC has recently mooted a new methodological adjustment in its 2020 review. This would entail discounting the impact of any discretionary change in royalty (or other tax) rates by a State that has a dominant role in the relevant tax base, such that the State retains at least 50 per cent of its own</w:t>
            </w:r>
            <w:r>
              <w:noBreakHyphen/>
              <w:t>source revenue change net of GST payments (chapter 7).</w:t>
            </w:r>
          </w:p>
        </w:tc>
      </w:tr>
      <w:tr w:rsidR="00F05DC7" w14:paraId="7954A171" w14:textId="77777777" w:rsidTr="00A3786D">
        <w:tc>
          <w:tcPr>
            <w:tcW w:w="5000" w:type="pct"/>
            <w:tcBorders>
              <w:top w:val="nil"/>
              <w:left w:val="nil"/>
              <w:bottom w:val="nil"/>
              <w:right w:val="nil"/>
            </w:tcBorders>
            <w:shd w:val="clear" w:color="auto" w:fill="F2F2F2"/>
          </w:tcPr>
          <w:p w14:paraId="7954A170" w14:textId="76B459CB" w:rsidR="00F05DC7" w:rsidRDefault="00F05DC7" w:rsidP="009D6331">
            <w:pPr>
              <w:pStyle w:val="BoxSource"/>
            </w:pPr>
            <w:r>
              <w:rPr>
                <w:i/>
              </w:rPr>
              <w:t>Sources</w:t>
            </w:r>
            <w:r w:rsidRPr="00167F06">
              <w:t xml:space="preserve">: </w:t>
            </w:r>
            <w:r>
              <w:t xml:space="preserve">Brumby, Carter and Greiner </w:t>
            </w:r>
            <w:r w:rsidRPr="0046691E">
              <w:rPr>
                <w:rFonts w:cs="Arial"/>
              </w:rPr>
              <w:t>(2012a)</w:t>
            </w:r>
            <w:r>
              <w:t xml:space="preserve">; CGC </w:t>
            </w:r>
            <w:r w:rsidR="009D6331" w:rsidRPr="009D6331">
              <w:rPr>
                <w:rFonts w:cs="Arial"/>
                <w:szCs w:val="24"/>
              </w:rPr>
              <w:t>(2015d, p. 9, 2017g, p. 7, 2017j, p. 5)</w:t>
            </w:r>
            <w:r>
              <w:t>.</w:t>
            </w:r>
          </w:p>
        </w:tc>
      </w:tr>
      <w:tr w:rsidR="00F05DC7" w14:paraId="7954A173" w14:textId="77777777" w:rsidTr="00A3786D">
        <w:tc>
          <w:tcPr>
            <w:tcW w:w="5000" w:type="pct"/>
            <w:tcBorders>
              <w:top w:val="nil"/>
              <w:left w:val="nil"/>
              <w:bottom w:val="single" w:sz="6" w:space="0" w:color="78A22F"/>
              <w:right w:val="nil"/>
            </w:tcBorders>
            <w:shd w:val="clear" w:color="auto" w:fill="F2F2F2"/>
          </w:tcPr>
          <w:p w14:paraId="7954A172" w14:textId="77777777" w:rsidR="00F05DC7" w:rsidRDefault="00F05DC7" w:rsidP="00A3786D">
            <w:pPr>
              <w:pStyle w:val="Box"/>
              <w:spacing w:before="0" w:line="120" w:lineRule="exact"/>
            </w:pPr>
          </w:p>
        </w:tc>
      </w:tr>
      <w:tr w:rsidR="00F05DC7" w:rsidRPr="000863A5" w14:paraId="7954A175" w14:textId="77777777" w:rsidTr="00A3786D">
        <w:tc>
          <w:tcPr>
            <w:tcW w:w="5000" w:type="pct"/>
            <w:tcBorders>
              <w:top w:val="single" w:sz="6" w:space="0" w:color="78A22F"/>
              <w:left w:val="nil"/>
              <w:bottom w:val="nil"/>
              <w:right w:val="nil"/>
            </w:tcBorders>
          </w:tcPr>
          <w:p w14:paraId="7954A174" w14:textId="77777777" w:rsidR="00F05DC7" w:rsidRPr="00626D32" w:rsidRDefault="00F05DC7" w:rsidP="00A3786D">
            <w:pPr>
              <w:pStyle w:val="BoxSpaceBelow"/>
            </w:pPr>
          </w:p>
        </w:tc>
      </w:tr>
    </w:tbl>
    <w:p w14:paraId="7954A176" w14:textId="523C3097" w:rsidR="00F05DC7" w:rsidRDefault="00F05DC7" w:rsidP="00A3786D">
      <w:pPr>
        <w:pStyle w:val="BodyText"/>
      </w:pPr>
      <w:r w:rsidRPr="002D7769">
        <w:t>In particular, the methodology can give States an incentive to keep royalty rates low.</w:t>
      </w:r>
      <w:r>
        <w:t xml:space="preserve"> The WA Government (sub. DR83, p. 10) submitted estimates of the GST losses that various States would incur if they raised royalties on particular minerals — which can be close to </w:t>
      </w:r>
      <w:r>
        <w:lastRenderedPageBreak/>
        <w:t>90 per cent of the own</w:t>
      </w:r>
      <w:r>
        <w:noBreakHyphen/>
        <w:t>source revenue gain in the case of Western Australia’s iron ore and nickel royalties (table 3.1). The ACT Government (sub. DR81, p. 27) also provided quantitative estimates that indicate these GST effects are much larger for States that are dominant producers of particular minerals than for States that are relatively minor producers. It argued that ‘dominant producers … can be faced with incentives to lower or avoid raising their royalty rates’ (ACT Government, sub. DR81, p. 27). Academics have suggested that HFE is likely to be one of many factors driving the under</w:t>
      </w:r>
      <w:r>
        <w:noBreakHyphen/>
        <w:t xml:space="preserve">taxation of mineral rents by Australian States </w:t>
      </w:r>
      <w:r w:rsidRPr="002F5058">
        <w:rPr>
          <w:szCs w:val="24"/>
        </w:rPr>
        <w:t>(Petchey 2017, p. 18)</w:t>
      </w:r>
      <w:r>
        <w:t>.</w:t>
      </w:r>
    </w:p>
    <w:p w14:paraId="7954A177" w14:textId="167E7EF2" w:rsidR="00F05DC7" w:rsidRPr="004E64B2" w:rsidRDefault="00F05DC7" w:rsidP="00A3786D">
      <w:pPr>
        <w:pStyle w:val="BodyText"/>
      </w:pPr>
      <w:r>
        <w:t xml:space="preserve">The </w:t>
      </w:r>
      <w:r w:rsidRPr="004E64B2">
        <w:t xml:space="preserve">GST consequences of an increase in royalty rates have attracted public attention in Western Australia, with politicians acknowledging that much of the increase would be redistributed to other States through HFE </w:t>
      </w:r>
      <w:r w:rsidRPr="004E64B2">
        <w:rPr>
          <w:szCs w:val="24"/>
        </w:rPr>
        <w:t>(McKinnon 2017; O’Connor 2016)</w:t>
      </w:r>
      <w:r w:rsidRPr="004E64B2">
        <w:t xml:space="preserve">. </w:t>
      </w:r>
      <w:r>
        <w:t>Indeed, the WA Government (</w:t>
      </w:r>
      <w:r w:rsidRPr="00274F59">
        <w:t>sub.</w:t>
      </w:r>
      <w:r>
        <w:t> </w:t>
      </w:r>
      <w:r w:rsidRPr="00274F59">
        <w:t>DR83, p.</w:t>
      </w:r>
      <w:r>
        <w:t> </w:t>
      </w:r>
      <w:r w:rsidRPr="00274F59">
        <w:t>27</w:t>
      </w:r>
      <w:r>
        <w:t>) has argued that ‘</w:t>
      </w:r>
      <w:r w:rsidRPr="00274F59">
        <w:t>GST losses have been a factor in recent debates in Western Australia over proposed royalty rate</w:t>
      </w:r>
      <w:r>
        <w:t xml:space="preserve"> changes for iron ore and gold’.</w:t>
      </w:r>
    </w:p>
    <w:p w14:paraId="7954A178" w14:textId="17FADACC" w:rsidR="00F05DC7" w:rsidRDefault="00F05DC7" w:rsidP="00A3786D">
      <w:pPr>
        <w:pStyle w:val="BodyText"/>
      </w:pPr>
      <w:r w:rsidRPr="004E64B2">
        <w:t xml:space="preserve">The methodology could </w:t>
      </w:r>
      <w:r>
        <w:t xml:space="preserve">also give States an incentive to extract rents through other means. For example, States could require mining companies to provide infrastructure and services directly to remote communities in exchange for paying lower royalties </w:t>
      </w:r>
      <w:r w:rsidRPr="00913994">
        <w:rPr>
          <w:szCs w:val="24"/>
        </w:rPr>
        <w:t>(Ergas and Pincus 2011, p. 8; Pincus 2011, p. 17)</w:t>
      </w:r>
      <w:r>
        <w:t>, or could set low royalty rates and use other charges to extract rents from mining companies (such as freight charges) (Peter Urban, sub. DR123).</w:t>
      </w:r>
    </w:p>
    <w:p w14:paraId="7954A179" w14:textId="77777777" w:rsidR="00F05DC7" w:rsidRDefault="00F05DC7" w:rsidP="00A3786D">
      <w:pPr>
        <w:pStyle w:val="BodyText"/>
      </w:pPr>
      <w:r>
        <w:t>Alternatively, a State might facilitate resource development by providing royalty relief rather than direct assistance — for example, the WA Government (sub. 15, p. 72) argued that Queensland recently considered giving a ‘royalty holiday’ to a proposed coal mine, which would have resulted in increased GST payments that would offset 40 per cent of the foregone royalty revenue. Such incentives to ‘game’ the system could be reinforced by under</w:t>
      </w:r>
      <w:r>
        <w:noBreakHyphen/>
        <w:t>equalisation of some expenditures (discussed below), because royalty relief would mean that a State loses less revenue to other jurisdictions while bearing fewer unequalised costs.</w:t>
      </w:r>
    </w:p>
    <w:p w14:paraId="7954A17A" w14:textId="1004F94E" w:rsidR="00F05DC7" w:rsidRDefault="00F05DC7" w:rsidP="00A3786D">
      <w:pPr>
        <w:pStyle w:val="BodyText"/>
      </w:pPr>
      <w:r>
        <w:t xml:space="preserve">These kinds of disincentives will not always work against good policy. Indeed, the way royalties are structured in most States (based on the volume or value of production) is highly inefficient — the Henry Review found that these royalties distort investment and production decisions, and fail to collect a significant proportion of the underlying economic rents </w:t>
      </w:r>
      <w:r w:rsidRPr="00417377">
        <w:rPr>
          <w:szCs w:val="24"/>
        </w:rPr>
        <w:t>(Henry et al. 2010a, p. 47)</w:t>
      </w:r>
      <w:r>
        <w:t>. In addition to giving States an incentive to under</w:t>
      </w:r>
      <w:r>
        <w:noBreakHyphen/>
        <w:t xml:space="preserve">tax minerals, the use of production values in HFE calculations can </w:t>
      </w:r>
      <w:r w:rsidRPr="00524513">
        <w:t>discourage</w:t>
      </w:r>
      <w:r>
        <w:t xml:space="preserve"> States from taxing minerals and energy in more efficient ways, such as by directly targeting economic rents using profit</w:t>
      </w:r>
      <w:r>
        <w:noBreakHyphen/>
        <w:t xml:space="preserve">based taxes (as in the Northern Territory, sub. 51, p. 19) or by providing royalty deductions relating to mine profitability, exploration costs and/or required rates of return </w:t>
      </w:r>
      <w:r w:rsidR="009D6331" w:rsidRPr="009D6331">
        <w:rPr>
          <w:szCs w:val="24"/>
        </w:rPr>
        <w:t>(Garnaut and FitzGerald 2002b, p. 169)</w:t>
      </w:r>
      <w:r>
        <w:t>. This is because such features would tend to reduce actual revenues to below the level the CGC assesses a State to have the capacity to raise based on production values.</w:t>
      </w:r>
    </w:p>
    <w:p w14:paraId="7954A17B" w14:textId="77777777" w:rsidR="00F05DC7" w:rsidRDefault="00F05DC7" w:rsidP="00A3786D">
      <w:pPr>
        <w:pStyle w:val="BodyText"/>
      </w:pPr>
      <w:r>
        <w:t>In sum, t</w:t>
      </w:r>
      <w:r w:rsidRPr="000A3991">
        <w:t xml:space="preserve">here is potential for </w:t>
      </w:r>
      <w:r>
        <w:t>Australia’s</w:t>
      </w:r>
      <w:r w:rsidRPr="000A3991">
        <w:t xml:space="preserve"> HFE system to distort State royalty policies</w:t>
      </w:r>
      <w:r>
        <w:t xml:space="preserve"> — it is not policy neutral — and to discourage efficient taxation of minerals</w:t>
      </w:r>
      <w:r w:rsidRPr="000A3991">
        <w:t>.</w:t>
      </w:r>
      <w:r>
        <w:t xml:space="preserve"> While there is only limited direct evidence </w:t>
      </w:r>
      <w:r w:rsidRPr="00E63C7F">
        <w:t xml:space="preserve">that GST </w:t>
      </w:r>
      <w:r>
        <w:t>effects</w:t>
      </w:r>
      <w:r w:rsidRPr="00E63C7F">
        <w:t xml:space="preserve"> </w:t>
      </w:r>
      <w:r w:rsidRPr="0049629F">
        <w:t xml:space="preserve">have influenced </w:t>
      </w:r>
      <w:r>
        <w:t xml:space="preserve">past </w:t>
      </w:r>
      <w:r w:rsidRPr="0049629F">
        <w:t>royalty policy decisions</w:t>
      </w:r>
      <w:r>
        <w:t>,</w:t>
      </w:r>
      <w:r w:rsidRPr="0049629F">
        <w:t xml:space="preserve"> </w:t>
      </w:r>
      <w:r>
        <w:t xml:space="preserve">there </w:t>
      </w:r>
      <w:r>
        <w:lastRenderedPageBreak/>
        <w:t>are likely to be strong incentive effects at the margin, especially in the context of a mining boom. And, as discussed below, the policy neutrality issues associated with the current mining assessment could provide incentives for some resource</w:t>
      </w:r>
      <w:r>
        <w:noBreakHyphen/>
        <w:t>rich States to raise revenues in other areas, including by making efficiency</w:t>
      </w:r>
      <w:r>
        <w:noBreakHyphen/>
        <w:t>reducing tax changes, such as increasing stamp duties.</w:t>
      </w:r>
    </w:p>
    <w:p w14:paraId="7954A17C" w14:textId="11F32C1D" w:rsidR="00F05DC7" w:rsidRDefault="00F05DC7" w:rsidP="00A3786D">
      <w:pPr>
        <w:pStyle w:val="BodyText"/>
      </w:pPr>
      <w:r>
        <w:t>The CGC has indicated that it is considering changes to its mining assessments in its 2020 methodology review to address policy neutrality problems, including the use of discounting where a State dominates a particular revenue base. This would represent a material methodological change and a departure from full equalisation, and as such is further addressed in chapter 7 alongside other options to address mining policy non-neutrality. More generally, the CGC has stated that it ‘</w:t>
      </w:r>
      <w:r w:rsidRPr="00E141E4">
        <w:t>should articulate more explicitly, and in advance, how it would respond to discretionary changes in effective tax or royalty rates applied to mining</w:t>
      </w:r>
      <w:r>
        <w:t xml:space="preserve">’ </w:t>
      </w:r>
      <w:r w:rsidR="009D6331" w:rsidRPr="009D6331">
        <w:rPr>
          <w:szCs w:val="24"/>
        </w:rPr>
        <w:t>(CGC 2017j, p. 28)</w:t>
      </w:r>
      <w:r>
        <w:t>.</w:t>
      </w:r>
    </w:p>
    <w:p w14:paraId="7954A17D" w14:textId="77777777" w:rsidR="00F05DC7" w:rsidRDefault="00F05DC7" w:rsidP="00A3786D">
      <w:pPr>
        <w:pStyle w:val="Heading3"/>
        <w:tabs>
          <w:tab w:val="right" w:pos="8789"/>
        </w:tabs>
      </w:pPr>
      <w:r>
        <w:t>Does HFE discourage resource development?</w:t>
      </w:r>
    </w:p>
    <w:p w14:paraId="7954A17E" w14:textId="14F89868" w:rsidR="00F05DC7" w:rsidRDefault="00F05DC7" w:rsidP="00A3786D">
      <w:pPr>
        <w:pStyle w:val="BodyText"/>
      </w:pPr>
      <w:r>
        <w:t>Several participants strongly criticised the HFE system as a major disincentive to States developing their mineral and energy resources (box 3.11). This is because any State that sees an increase in production levels will lose GST payments, such that it only retains its population share of the increased royalties (calculated at the average rate). These are tax base effects, and arise regardless of how average rates are determined (section 3.1).</w:t>
      </w:r>
    </w:p>
    <w:p w14:paraId="7954A17F" w14:textId="57893908" w:rsidR="00F05DC7" w:rsidRDefault="00F05DC7" w:rsidP="00A3786D">
      <w:pPr>
        <w:pStyle w:val="BodyText"/>
      </w:pPr>
      <w:r>
        <w:t xml:space="preserve">State Governments generally have a greater influence on their mining revenue base than on the size of other tax bases </w:t>
      </w:r>
      <w:r w:rsidRPr="00F7438B">
        <w:rPr>
          <w:szCs w:val="24"/>
        </w:rPr>
        <w:t>(Brumby, Carter and Greiner 2012a, p. 107)</w:t>
      </w:r>
      <w:r>
        <w:t xml:space="preserve">. Extraction activity can be influenced, to varying degrees, by a wide range of policies relating to geological surveying, exploration licensing, approval processes, environmental regulation, and the provision of economic and social infrastructure </w:t>
      </w:r>
      <w:r w:rsidR="009D6331" w:rsidRPr="009D6331">
        <w:rPr>
          <w:szCs w:val="24"/>
        </w:rPr>
        <w:t>(MCA, sub. 34, p. 3; WA Government, sub. DR83, p. 12; Garnaut and FitzGerald 2002b, p. 169)</w:t>
      </w:r>
      <w:r>
        <w:t>. However, the method used to assess royalty revenues does not take account of past or current policy efforts.</w:t>
      </w:r>
    </w:p>
    <w:p w14:paraId="7954A180" w14:textId="63F9ED6B" w:rsidR="00F05DC7" w:rsidRDefault="00F05DC7" w:rsidP="00A3786D">
      <w:pPr>
        <w:pStyle w:val="BodyText"/>
      </w:pPr>
      <w:r>
        <w:t xml:space="preserve">As a result, State Governments may be discouraged from developing or approving (contentious) mining or other industry activity because they would bear the full social and political cost but retain only part of the revenue benefits after equalisation </w:t>
      </w:r>
      <w:r w:rsidR="009D6331" w:rsidRPr="009D6331">
        <w:rPr>
          <w:szCs w:val="24"/>
        </w:rPr>
        <w:t>(Ergas and Pincus 2011, p. 8; Garnaut and FitzGerald 2002b, p. 9)</w:t>
      </w:r>
      <w:r>
        <w:t xml:space="preserve">. The WA Government (sub. 15, p. 41) argued that equalisation can discourage State efforts to develop mining and reduce the funds available to offset risks to the community or to invest in infrastructure that would grow the national economy. It specifically pointed to the assistance it provided to </w:t>
      </w:r>
      <w:r w:rsidRPr="00785D10">
        <w:t>support development of the North West Shelf gas project in the 1970s and 1980s</w:t>
      </w:r>
      <w:r>
        <w:t xml:space="preserve">, which it has previously argued ‘may not have gone ahead if the [future] impact of fiscal equalisation had been fully appreciated at the time’ </w:t>
      </w:r>
      <w:r w:rsidR="009D6331" w:rsidRPr="009D6331">
        <w:rPr>
          <w:szCs w:val="24"/>
        </w:rPr>
        <w:t>(WA Government 2011b, p. 27)</w:t>
      </w:r>
      <w:r>
        <w:t>.</w:t>
      </w:r>
    </w:p>
    <w:p w14:paraId="7954A181" w14:textId="77777777" w:rsidR="00F05DC7" w:rsidRDefault="00F05DC7" w:rsidP="00A3786D">
      <w:pPr>
        <w:pStyle w:val="BoxSpaceAbove"/>
        <w:spacing w:before="3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183" w14:textId="77777777" w:rsidTr="001113B1">
        <w:trPr>
          <w:tblHeader/>
        </w:trPr>
        <w:tc>
          <w:tcPr>
            <w:tcW w:w="5000" w:type="pct"/>
            <w:tcBorders>
              <w:top w:val="single" w:sz="6" w:space="0" w:color="78A22F"/>
              <w:left w:val="nil"/>
              <w:bottom w:val="nil"/>
              <w:right w:val="nil"/>
            </w:tcBorders>
            <w:shd w:val="clear" w:color="auto" w:fill="F2F2F2"/>
          </w:tcPr>
          <w:p w14:paraId="7954A182" w14:textId="24E4DBDF" w:rsidR="00F05DC7" w:rsidRDefault="00F05DC7" w:rsidP="00A3786D">
            <w:pPr>
              <w:pStyle w:val="BoxTitle"/>
            </w:pPr>
            <w:r>
              <w:rPr>
                <w:b w:val="0"/>
              </w:rPr>
              <w:t xml:space="preserve">Box </w:t>
            </w:r>
            <w:bookmarkStart w:id="78" w:name="OLE_LINK5"/>
            <w:r>
              <w:rPr>
                <w:b w:val="0"/>
              </w:rPr>
              <w:t>3.</w:t>
            </w:r>
            <w:r>
              <w:rPr>
                <w:b w:val="0"/>
                <w:noProof/>
              </w:rPr>
              <w:t>11</w:t>
            </w:r>
            <w:bookmarkEnd w:id="78"/>
            <w:r>
              <w:tab/>
              <w:t>HFE and resource development: what participants say</w:t>
            </w:r>
          </w:p>
        </w:tc>
      </w:tr>
      <w:tr w:rsidR="00F05DC7" w14:paraId="7954A193" w14:textId="77777777" w:rsidTr="00A3786D">
        <w:tc>
          <w:tcPr>
            <w:tcW w:w="5000" w:type="pct"/>
            <w:tcBorders>
              <w:top w:val="nil"/>
              <w:left w:val="nil"/>
              <w:bottom w:val="nil"/>
              <w:right w:val="nil"/>
            </w:tcBorders>
            <w:shd w:val="clear" w:color="auto" w:fill="F2F2F2"/>
          </w:tcPr>
          <w:p w14:paraId="7954A184" w14:textId="77777777" w:rsidR="00F05DC7" w:rsidRDefault="00F05DC7" w:rsidP="00A3786D">
            <w:pPr>
              <w:pStyle w:val="Box"/>
              <w:spacing w:before="100"/>
            </w:pPr>
            <w:r>
              <w:t>The WA Government and other participants argued that the way royalties are assessed discourages resource development:</w:t>
            </w:r>
          </w:p>
          <w:p w14:paraId="7954A185" w14:textId="77777777" w:rsidR="00F05DC7" w:rsidRDefault="00F05DC7" w:rsidP="00A3786D">
            <w:pPr>
              <w:pStyle w:val="BoxQuote"/>
            </w:pPr>
            <w:r>
              <w:t>Risk averse development is encouraged, as risky successes are taxed by HFE, but risky failures are not subsidised by HFE. This can also mean a focus on shorter</w:t>
            </w:r>
            <w:r>
              <w:noBreakHyphen/>
              <w:t>term prospects, or reliance on large private firms to lead development initiatives who do not have an interest in establishing infrastructure to facilitate other entrants into the industry or broader economic activity. (WA Government, sub. 15, p. 46)</w:t>
            </w:r>
          </w:p>
          <w:p w14:paraId="7954A186" w14:textId="77777777" w:rsidR="00F05DC7" w:rsidRDefault="00F05DC7" w:rsidP="00A3786D">
            <w:pPr>
              <w:pStyle w:val="BoxQuote"/>
            </w:pPr>
            <w:r>
              <w:t>The system’s treatment of resources revenue … dulls the incentives for States to stimulate development of their resource endowment. Over time, this is likely to result in less investment in the resources sector than would otherwise be the case. (BHP, sub. 42, p. 1)</w:t>
            </w:r>
          </w:p>
          <w:p w14:paraId="7954A187" w14:textId="77777777" w:rsidR="00F05DC7" w:rsidRPr="003E4376" w:rsidRDefault="00F05DC7" w:rsidP="00A3786D">
            <w:pPr>
              <w:pStyle w:val="BoxQuote"/>
            </w:pPr>
            <w:r w:rsidRPr="00750CBE">
              <w:t>Under the current system, mining revenue is assessed mineral by mineral. Given the dominance of Western Australia and Queensland in iron ore and coal respectively, the policy of one State effectively becomes the policy average for HFE purposes, which in turn can create problems for the policy neutrality principle. (Queensland Government, sub. 32, p. 9)</w:t>
            </w:r>
          </w:p>
          <w:p w14:paraId="7954A188" w14:textId="77777777" w:rsidR="00F05DC7" w:rsidRDefault="00F05DC7" w:rsidP="00A3786D">
            <w:pPr>
              <w:pStyle w:val="Box"/>
              <w:spacing w:before="100"/>
            </w:pPr>
            <w:r>
              <w:t>Other participants argued that HFE is not a core consideration for mining policy:</w:t>
            </w:r>
          </w:p>
          <w:p w14:paraId="7954A189" w14:textId="77777777" w:rsidR="00F05DC7" w:rsidRDefault="00F05DC7" w:rsidP="00A3786D">
            <w:pPr>
              <w:pStyle w:val="BoxQuote"/>
            </w:pPr>
            <w:r w:rsidRPr="00D36151">
              <w:t>No government would expect to be returned to office, nor opposition expect to win government, if it did not actively propose and implement policies which are designed to increase economic development</w:t>
            </w:r>
            <w:r>
              <w:t>. (Tasmanian Government, sub. 28, p. 20)</w:t>
            </w:r>
          </w:p>
          <w:p w14:paraId="7954A18A" w14:textId="77777777" w:rsidR="00F05DC7" w:rsidRDefault="00F05DC7" w:rsidP="00A3786D">
            <w:pPr>
              <w:pStyle w:val="BoxQuote"/>
            </w:pPr>
            <w:r w:rsidRPr="008155F2">
              <w:t xml:space="preserve">The South Australian Government has actively pursued expansion of mining through investments in geological mapping and creating regulatory certainty </w:t>
            </w:r>
            <w:r>
              <w:t>—</w:t>
            </w:r>
            <w:r w:rsidRPr="008155F2">
              <w:t xml:space="preserve"> even though additional royalties would be shared wi</w:t>
            </w:r>
            <w:r>
              <w:t>th other states through HFE. (SA Government, sub. 25</w:t>
            </w:r>
            <w:r w:rsidRPr="008155F2">
              <w:t>, p.</w:t>
            </w:r>
            <w:r>
              <w:t> </w:t>
            </w:r>
            <w:r w:rsidRPr="008155F2">
              <w:t>5)</w:t>
            </w:r>
          </w:p>
          <w:p w14:paraId="7954A18B" w14:textId="77777777" w:rsidR="00F05DC7" w:rsidRPr="00FF5EAD" w:rsidRDefault="00F05DC7" w:rsidP="00A3786D">
            <w:pPr>
              <w:pStyle w:val="BoxQuote"/>
            </w:pPr>
            <w:r w:rsidRPr="00FF5EAD">
              <w:t>Critics of the current HFE system have claimed that it acts as a disincentive for State governments to pursue policies which are favourable to mining development and that this can have the effect of deterring otherwise productive investments. However, international comparisons of the favourability of jurisdictional mining prospects do not support this contention.</w:t>
            </w:r>
            <w:r>
              <w:t xml:space="preserve"> (ACT Government, sub. 49, p. 32)</w:t>
            </w:r>
          </w:p>
          <w:p w14:paraId="7954A18C" w14:textId="77777777" w:rsidR="00F05DC7" w:rsidRDefault="00F05DC7" w:rsidP="00A3786D">
            <w:pPr>
              <w:pStyle w:val="Box"/>
              <w:spacing w:before="100"/>
            </w:pPr>
            <w:r>
              <w:t>Some participants argued that the HFE system perversely encourages States to limit mineral or energy extraction:</w:t>
            </w:r>
          </w:p>
          <w:p w14:paraId="7954A18D" w14:textId="77777777" w:rsidR="00F05DC7" w:rsidRDefault="00F05DC7" w:rsidP="00A3786D">
            <w:pPr>
              <w:pStyle w:val="BoxQuote"/>
            </w:pPr>
            <w:r w:rsidRPr="00602B2D">
              <w:t>The problem for the pro</w:t>
            </w:r>
            <w:r>
              <w:noBreakHyphen/>
            </w:r>
            <w:r w:rsidRPr="00602B2D">
              <w:t>active states is that as soon as the royalty revenues start to flow, their GST receipts start to fall. Meanwhile, for the obstructionist states, their share of GST distributions starts to rise. The policy signal heard in state capitals is unmistakeable. State Governments can impose moratoria on new gas development, ban uranium mining, close brown coal generation and be rewarded with windfall gains for their budgets</w:t>
            </w:r>
            <w:r>
              <w:t xml:space="preserve"> … (MCA, sub. 48, p. 23)</w:t>
            </w:r>
          </w:p>
          <w:p w14:paraId="7954A18E" w14:textId="77777777" w:rsidR="00F05DC7" w:rsidRPr="002601F9" w:rsidRDefault="00F05DC7" w:rsidP="00A3786D">
            <w:pPr>
              <w:pStyle w:val="BoxQuote"/>
            </w:pPr>
            <w:r>
              <w:t>[The]</w:t>
            </w:r>
            <w:r w:rsidRPr="002601F9">
              <w:t xml:space="preserve"> HFE system offers perverse incentives for some states that prohibit </w:t>
            </w:r>
            <w:r>
              <w:t>or limit gas activities for non</w:t>
            </w:r>
            <w:r>
              <w:noBreakHyphen/>
            </w:r>
            <w:r w:rsidRPr="002601F9">
              <w:t>scientific reasons, as the loss of revenue from such decisions is in part shielded by increased shares of GST revenue. Not only is this hampering economic development, it is placing even further pressure on those states and territories that have chosen not to impose restrictions</w:t>
            </w:r>
            <w:r>
              <w:t>.</w:t>
            </w:r>
            <w:r w:rsidRPr="002601F9">
              <w:t xml:space="preserve"> (APPEA, sub.</w:t>
            </w:r>
            <w:r>
              <w:t> </w:t>
            </w:r>
            <w:r w:rsidRPr="002601F9">
              <w:t>DR73, p.</w:t>
            </w:r>
            <w:r>
              <w:t> </w:t>
            </w:r>
            <w:r w:rsidRPr="002601F9">
              <w:t>2)</w:t>
            </w:r>
          </w:p>
          <w:p w14:paraId="7954A18F" w14:textId="77777777" w:rsidR="00F05DC7" w:rsidRPr="000714E4" w:rsidRDefault="00F05DC7" w:rsidP="00A3786D">
            <w:pPr>
              <w:pStyle w:val="Box"/>
              <w:spacing w:before="100"/>
            </w:pPr>
            <w:r>
              <w:t>Others warned that penalising States for not extracting a resource would be fraught with danger:</w:t>
            </w:r>
          </w:p>
          <w:p w14:paraId="7954A190" w14:textId="77777777" w:rsidR="00F05DC7" w:rsidRDefault="00F05DC7" w:rsidP="00A3786D">
            <w:pPr>
              <w:pStyle w:val="BoxQuote"/>
            </w:pPr>
            <w:r w:rsidRPr="00610B7B">
              <w:t xml:space="preserve">Proposals for financial </w:t>
            </w:r>
            <w:r>
              <w:t>‘</w:t>
            </w:r>
            <w:r w:rsidRPr="00610B7B">
              <w:t>penalties</w:t>
            </w:r>
            <w:r>
              <w:t>’</w:t>
            </w:r>
            <w:r w:rsidRPr="00610B7B">
              <w:t xml:space="preserve"> through the GST for states that have a ban</w:t>
            </w:r>
            <w:r>
              <w:t xml:space="preserve"> on onshore unconventional gas … </w:t>
            </w:r>
            <w:r w:rsidRPr="00610B7B">
              <w:t>would undermine state accountabilities to their constituents, and may reduce the capacity for sovereign state governments to balance potential economic gains of extracting non</w:t>
            </w:r>
            <w:r>
              <w:noBreakHyphen/>
            </w:r>
            <w:r w:rsidRPr="00610B7B">
              <w:t>renewable natural resources against other economic and policy considerations</w:t>
            </w:r>
            <w:r>
              <w:t>.</w:t>
            </w:r>
            <w:r w:rsidRPr="00610B7B">
              <w:t xml:space="preserve"> (Victorian Government, sub.</w:t>
            </w:r>
            <w:r>
              <w:t> </w:t>
            </w:r>
            <w:r w:rsidRPr="00610B7B">
              <w:t>53, p. i)</w:t>
            </w:r>
          </w:p>
          <w:p w14:paraId="7954A191" w14:textId="77777777" w:rsidR="00F05DC7" w:rsidRDefault="00F05DC7" w:rsidP="00A3786D">
            <w:pPr>
              <w:pStyle w:val="BoxQuote"/>
            </w:pPr>
            <w:r w:rsidRPr="00E844C1">
              <w:t xml:space="preserve">Seeking to penalise states that choose not to adopt a particular extraction method, </w:t>
            </w:r>
            <w:r>
              <w:t>due to environmental, economic, cultural or social concerns of their constituents, would open up all revenue sources to scrutiny regarding whether or not states are fully exploiting all options to broaden their revenue bases. (NT Government, sub. 51, p. 24)</w:t>
            </w:r>
          </w:p>
          <w:p w14:paraId="7954A192" w14:textId="77777777" w:rsidR="00F05DC7" w:rsidRPr="00A56589" w:rsidRDefault="00F05DC7" w:rsidP="00A3786D">
            <w:pPr>
              <w:pStyle w:val="BoxQuote"/>
            </w:pPr>
            <w:r w:rsidRPr="006B31A0">
              <w:t>Withholding GST from the states to force them to allow unsustainable development of unconventional gas mining will have perverse economic and environmental impacts on Australia</w:t>
            </w:r>
            <w:r>
              <w:t>. (Lock the Gate Alliance, sub. 20, p. 2)</w:t>
            </w:r>
          </w:p>
        </w:tc>
      </w:tr>
      <w:tr w:rsidR="00F05DC7" w14:paraId="7954A195" w14:textId="77777777" w:rsidTr="00A3786D">
        <w:tc>
          <w:tcPr>
            <w:tcW w:w="5000" w:type="pct"/>
            <w:tcBorders>
              <w:top w:val="nil"/>
              <w:left w:val="nil"/>
              <w:bottom w:val="single" w:sz="6" w:space="0" w:color="78A22F"/>
              <w:right w:val="nil"/>
            </w:tcBorders>
            <w:shd w:val="clear" w:color="auto" w:fill="F2F2F2"/>
          </w:tcPr>
          <w:p w14:paraId="7954A194" w14:textId="77777777" w:rsidR="00F05DC7" w:rsidRDefault="00F05DC7" w:rsidP="00A3786D">
            <w:pPr>
              <w:pStyle w:val="Box"/>
              <w:spacing w:before="0" w:line="120" w:lineRule="exact"/>
            </w:pPr>
          </w:p>
        </w:tc>
      </w:tr>
      <w:tr w:rsidR="00F05DC7" w:rsidRPr="000863A5" w14:paraId="7954A197" w14:textId="77777777" w:rsidTr="00A3786D">
        <w:tc>
          <w:tcPr>
            <w:tcW w:w="5000" w:type="pct"/>
            <w:tcBorders>
              <w:top w:val="single" w:sz="6" w:space="0" w:color="78A22F"/>
              <w:left w:val="nil"/>
              <w:bottom w:val="nil"/>
              <w:right w:val="nil"/>
            </w:tcBorders>
          </w:tcPr>
          <w:p w14:paraId="7954A196" w14:textId="77777777" w:rsidR="00F05DC7" w:rsidRPr="00626D32" w:rsidRDefault="00F05DC7" w:rsidP="00A3786D">
            <w:pPr>
              <w:pStyle w:val="BoxSpaceBelow"/>
            </w:pPr>
          </w:p>
        </w:tc>
      </w:tr>
    </w:tbl>
    <w:p w14:paraId="7954A198" w14:textId="77777777" w:rsidR="00F05DC7" w:rsidRDefault="00F05DC7" w:rsidP="00A3786D">
      <w:pPr>
        <w:pStyle w:val="Heading4"/>
      </w:pPr>
      <w:r>
        <w:lastRenderedPageBreak/>
        <w:t>Equalisation of resource development expenses</w:t>
      </w:r>
    </w:p>
    <w:p w14:paraId="7954A199" w14:textId="77777777" w:rsidR="00F05DC7" w:rsidRDefault="00F05DC7" w:rsidP="00A3786D">
      <w:pPr>
        <w:pStyle w:val="BodyText"/>
        <w:rPr>
          <w:spacing w:val="-2"/>
        </w:rPr>
      </w:pPr>
      <w:r w:rsidRPr="00890423">
        <w:rPr>
          <w:spacing w:val="-2"/>
        </w:rPr>
        <w:t xml:space="preserve">Disincentives to develop resources may be reinforced by incomplete equalisation of the </w:t>
      </w:r>
      <w:r>
        <w:rPr>
          <w:spacing w:val="-2"/>
        </w:rPr>
        <w:t>expenses</w:t>
      </w:r>
      <w:r w:rsidRPr="00890423">
        <w:rPr>
          <w:spacing w:val="-2"/>
        </w:rPr>
        <w:t xml:space="preserve"> States incur to facilitate development — that is, where the </w:t>
      </w:r>
      <w:r>
        <w:rPr>
          <w:spacing w:val="-2"/>
        </w:rPr>
        <w:t>expenses</w:t>
      </w:r>
      <w:r w:rsidRPr="00890423">
        <w:rPr>
          <w:spacing w:val="-2"/>
        </w:rPr>
        <w:t xml:space="preserve"> are not shared with other States to the same extent </w:t>
      </w:r>
      <w:r>
        <w:rPr>
          <w:spacing w:val="-2"/>
        </w:rPr>
        <w:t>as</w:t>
      </w:r>
      <w:r w:rsidRPr="00890423">
        <w:rPr>
          <w:spacing w:val="-2"/>
        </w:rPr>
        <w:t xml:space="preserve"> </w:t>
      </w:r>
      <w:r>
        <w:rPr>
          <w:spacing w:val="-2"/>
        </w:rPr>
        <w:t xml:space="preserve">the </w:t>
      </w:r>
      <w:r w:rsidRPr="00890423">
        <w:rPr>
          <w:spacing w:val="-2"/>
        </w:rPr>
        <w:t xml:space="preserve">revenues. </w:t>
      </w:r>
      <w:r>
        <w:rPr>
          <w:spacing w:val="-2"/>
        </w:rPr>
        <w:t>Because HFE is currently premised on average State policy, an individual State’s resource development expenses are only shared among other States through equalisation to the extent they align with the CGC’s expenditure categories and disability factors (most of which are agnostic to specific industry sectors). While this is true for all industry sectors, it has been especially contentious for mining, given the scale of upfront investment that often accompanies new development.</w:t>
      </w:r>
    </w:p>
    <w:p w14:paraId="7954A19A" w14:textId="636C8B2B" w:rsidR="00F05DC7" w:rsidRDefault="00F05DC7" w:rsidP="00A3786D">
      <w:pPr>
        <w:pStyle w:val="BodyText"/>
        <w:rPr>
          <w:spacing w:val="-2"/>
        </w:rPr>
      </w:pPr>
      <w:r w:rsidRPr="00890423">
        <w:rPr>
          <w:spacing w:val="-2"/>
        </w:rPr>
        <w:t>The WA Government</w:t>
      </w:r>
      <w:r>
        <w:rPr>
          <w:spacing w:val="-2"/>
        </w:rPr>
        <w:t xml:space="preserve"> (sub. 15, p. 60) argued that the CGC does not adequately recognise its expenditures on resource development, which compounds the disincentive for States to develop mining activity. It has also </w:t>
      </w:r>
      <w:r w:rsidRPr="00890423">
        <w:rPr>
          <w:spacing w:val="-2"/>
        </w:rPr>
        <w:t xml:space="preserve">argued that </w:t>
      </w:r>
      <w:r>
        <w:rPr>
          <w:spacing w:val="-2"/>
        </w:rPr>
        <w:t xml:space="preserve">the </w:t>
      </w:r>
      <w:r w:rsidRPr="00890423">
        <w:rPr>
          <w:spacing w:val="-2"/>
        </w:rPr>
        <w:t xml:space="preserve">high costs it incurs to </w:t>
      </w:r>
      <w:r>
        <w:rPr>
          <w:spacing w:val="-2"/>
        </w:rPr>
        <w:t xml:space="preserve">support mining activity in remote areas, including by providing </w:t>
      </w:r>
      <w:r w:rsidRPr="00890423">
        <w:rPr>
          <w:spacing w:val="-2"/>
        </w:rPr>
        <w:t>infrastructure and services (such as ports and schools)</w:t>
      </w:r>
      <w:r>
        <w:rPr>
          <w:spacing w:val="-2"/>
        </w:rPr>
        <w:t xml:space="preserve">, are not fully recognised </w:t>
      </w:r>
      <w:r w:rsidRPr="00882BFD">
        <w:rPr>
          <w:szCs w:val="24"/>
        </w:rPr>
        <w:t>(WA Government </w:t>
      </w:r>
      <w:r w:rsidRPr="00D86260">
        <w:rPr>
          <w:szCs w:val="24"/>
        </w:rPr>
        <w:t>2013, pp. </w:t>
      </w:r>
      <w:r w:rsidRPr="00776275">
        <w:rPr>
          <w:szCs w:val="24"/>
        </w:rPr>
        <w:t>34–</w:t>
      </w:r>
      <w:r w:rsidRPr="00883CF6">
        <w:rPr>
          <w:szCs w:val="24"/>
        </w:rPr>
        <w:t>35)</w:t>
      </w:r>
      <w:r w:rsidRPr="00890423">
        <w:rPr>
          <w:spacing w:val="-2"/>
        </w:rPr>
        <w:t>.</w:t>
      </w:r>
    </w:p>
    <w:p w14:paraId="7954A19B" w14:textId="0F1A964A" w:rsidR="00F05DC7" w:rsidRDefault="00F05DC7" w:rsidP="00A3786D">
      <w:pPr>
        <w:pStyle w:val="BodyText"/>
      </w:pPr>
      <w:r>
        <w:t>This view was not shared by all States. Some noted that the CGC already takes account of remoteness and other mining</w:t>
      </w:r>
      <w:r>
        <w:noBreakHyphen/>
        <w:t xml:space="preserve">related factors in assessing service delivery costs. Moreover, some States argued that the bulk of investment in mining infrastructure has been (and should be) undertaken by the private sector </w:t>
      </w:r>
      <w:r w:rsidRPr="0023199F">
        <w:t>(SA Government 2012, p. 20)</w:t>
      </w:r>
      <w:r>
        <w:t xml:space="preserve">, or that the nature of the underlying resources — coupled with global commodity prices — is a much bigger driver of mining activity than State Government actions (ACT Government, sub. 49, p. 5; NT Government, sub. 51, p. 25; Tasmanian Government, sub. DR74, p. 11). The NSW </w:t>
      </w:r>
      <w:r w:rsidRPr="00A1125D">
        <w:t>Government (sub. </w:t>
      </w:r>
      <w:r>
        <w:t>DR</w:t>
      </w:r>
      <w:r w:rsidRPr="00A1125D">
        <w:t>109, p. 32) argued</w:t>
      </w:r>
      <w:r>
        <w:t xml:space="preserve"> that increased equalisation of development costs could create perverse incentives for States to over</w:t>
      </w:r>
      <w:r>
        <w:noBreakHyphen/>
        <w:t>invest and displace private capital.</w:t>
      </w:r>
    </w:p>
    <w:p w14:paraId="7954A19C" w14:textId="47D8DA03" w:rsidR="00F05DC7" w:rsidRDefault="00F05DC7" w:rsidP="00A3786D">
      <w:pPr>
        <w:pStyle w:val="BodyText"/>
      </w:pPr>
      <w:r>
        <w:t>The e</w:t>
      </w:r>
      <w:r w:rsidRPr="00B32071">
        <w:t xml:space="preserve">qualisation of </w:t>
      </w:r>
      <w:r>
        <w:t>resource</w:t>
      </w:r>
      <w:r w:rsidRPr="00B32071">
        <w:t xml:space="preserve"> development costs</w:t>
      </w:r>
      <w:r>
        <w:t xml:space="preserve"> has been a long</w:t>
      </w:r>
      <w:r>
        <w:noBreakHyphen/>
        <w:t>running point of contention. It relates to specific details of the CGC’s methodology and the availability of reliable data,</w:t>
      </w:r>
      <w:r>
        <w:softHyphen/>
        <w:t xml:space="preserve"> as well as subjectivity in defining which activities constitute average expenditure policy across States. The 2012 GST Distribution Review dealt extensively with the equalisation of resource development costs, and found that Western Australia’s unrecognised expenditures amounted to at most $120 million in 2010</w:t>
      </w:r>
      <w:r>
        <w:noBreakHyphen/>
        <w:t xml:space="preserve">11, significantly less than that State’s own estimate of $1.6 billion </w:t>
      </w:r>
      <w:r w:rsidRPr="001E2BAE">
        <w:rPr>
          <w:szCs w:val="24"/>
        </w:rPr>
        <w:t>(Brumby, Carter and Greiner 2012a, p. 119)</w:t>
      </w:r>
      <w:r>
        <w:t xml:space="preserve">. The CGC’s 2015 methodology review also examined these costs and, in response, introduced two new expenditure assessments </w:t>
      </w:r>
      <w:r w:rsidR="009D6331" w:rsidRPr="009D6331">
        <w:rPr>
          <w:szCs w:val="24"/>
        </w:rPr>
        <w:t>(CGC 2015e, p. 44)</w:t>
      </w:r>
      <w:r>
        <w:t>.</w:t>
      </w:r>
    </w:p>
    <w:p w14:paraId="7954A19D" w14:textId="77777777" w:rsidR="00F05DC7" w:rsidRDefault="00F05DC7" w:rsidP="00A3786D">
      <w:pPr>
        <w:pStyle w:val="BodyText"/>
      </w:pPr>
      <w:r>
        <w:t>Earlier reviews have considered these matters in detail, and changes have already been made to the CGC’s methodology. The Productivity Commission has</w:t>
      </w:r>
      <w:r w:rsidRPr="00AB3492">
        <w:t xml:space="preserve"> not been presented with new </w:t>
      </w:r>
      <w:r>
        <w:t>or compelling</w:t>
      </w:r>
      <w:r w:rsidRPr="00AB3492">
        <w:t xml:space="preserve"> evidence that changes </w:t>
      </w:r>
      <w:r>
        <w:t>to the treatment of mining</w:t>
      </w:r>
      <w:r>
        <w:noBreakHyphen/>
        <w:t>related expenditures are required.</w:t>
      </w:r>
    </w:p>
    <w:p w14:paraId="7954A19E" w14:textId="77777777" w:rsidR="00F05DC7" w:rsidRDefault="00F05DC7" w:rsidP="00A3786D">
      <w:pPr>
        <w:pStyle w:val="Heading4"/>
      </w:pPr>
      <w:r>
        <w:lastRenderedPageBreak/>
        <w:t>Restrictions on mineral and energy extraction</w:t>
      </w:r>
    </w:p>
    <w:p w14:paraId="7954A19F" w14:textId="4265E0A5" w:rsidR="00F05DC7" w:rsidRDefault="00F05DC7" w:rsidP="00A3786D">
      <w:pPr>
        <w:pStyle w:val="BodyText"/>
        <w:rPr>
          <w:spacing w:val="-2"/>
        </w:rPr>
      </w:pPr>
      <w:r>
        <w:rPr>
          <w:spacing w:val="-2"/>
        </w:rPr>
        <w:t>Some States have imposed wide</w:t>
      </w:r>
      <w:r>
        <w:rPr>
          <w:spacing w:val="-2"/>
        </w:rPr>
        <w:noBreakHyphen/>
        <w:t>scale r</w:t>
      </w:r>
      <w:r w:rsidRPr="008A4186">
        <w:rPr>
          <w:spacing w:val="-2"/>
        </w:rPr>
        <w:t>estrictions on mineral and energy extraction (box </w:t>
      </w:r>
      <w:r>
        <w:rPr>
          <w:spacing w:val="-2"/>
        </w:rPr>
        <w:t>3.12</w:t>
      </w:r>
      <w:r w:rsidRPr="008A4186">
        <w:rPr>
          <w:spacing w:val="-2"/>
        </w:rPr>
        <w:t xml:space="preserve">). Where a State has banned </w:t>
      </w:r>
      <w:r>
        <w:rPr>
          <w:spacing w:val="-2"/>
        </w:rPr>
        <w:t xml:space="preserve">or heavily restricted </w:t>
      </w:r>
      <w:r w:rsidRPr="008A4186">
        <w:rPr>
          <w:spacing w:val="-2"/>
        </w:rPr>
        <w:t xml:space="preserve">extraction of a resource, the CGC assesses it to have zero capacity to raise royalty revenue </w:t>
      </w:r>
      <w:r w:rsidR="009D6331" w:rsidRPr="009D6331">
        <w:rPr>
          <w:szCs w:val="24"/>
        </w:rPr>
        <w:t>(CGC 2017g, p. 6)</w:t>
      </w:r>
      <w:r w:rsidRPr="008A4186">
        <w:rPr>
          <w:spacing w:val="-2"/>
        </w:rPr>
        <w:t xml:space="preserve">. </w:t>
      </w:r>
      <w:r>
        <w:rPr>
          <w:spacing w:val="-2"/>
        </w:rPr>
        <w:t>This treatment</w:t>
      </w:r>
      <w:r w:rsidRPr="008A4186">
        <w:rPr>
          <w:spacing w:val="-2"/>
        </w:rPr>
        <w:t xml:space="preserve"> may distort States’ incentives because policy decisions to </w:t>
      </w:r>
      <w:r w:rsidRPr="008A4186">
        <w:rPr>
          <w:i/>
          <w:spacing w:val="-2"/>
        </w:rPr>
        <w:t>restrict</w:t>
      </w:r>
      <w:r w:rsidRPr="008A4186">
        <w:rPr>
          <w:spacing w:val="-2"/>
        </w:rPr>
        <w:t xml:space="preserve"> extraction are not treated symmetrically with policy decisions to </w:t>
      </w:r>
      <w:r w:rsidRPr="008A4186">
        <w:rPr>
          <w:i/>
          <w:spacing w:val="-2"/>
        </w:rPr>
        <w:t>facilitate</w:t>
      </w:r>
      <w:r w:rsidRPr="008A4186">
        <w:rPr>
          <w:spacing w:val="-2"/>
        </w:rPr>
        <w:t xml:space="preserve"> extraction</w:t>
      </w:r>
      <w:r>
        <w:rPr>
          <w:spacing w:val="-2"/>
        </w:rPr>
        <w:t>. For example, a State with 10 per cent of the population that allows extraction of a specific mineral would see about 90 per cent of the revenue equalised away to other States, whereas if it were to ban extraction it would effectively receive a share of other States’ royalties from that mineral.</w:t>
      </w:r>
    </w:p>
    <w:p w14:paraId="7954A1A0" w14:textId="77777777" w:rsidR="00F05DC7" w:rsidRDefault="00F05DC7" w:rsidP="00A3786D">
      <w:pPr>
        <w:pStyle w:val="BodyText"/>
      </w:pPr>
      <w:r>
        <w:t>Several</w:t>
      </w:r>
      <w:r w:rsidRPr="00BC3B8A">
        <w:t xml:space="preserve"> participants argued that the HFE system effectively rewards States for restricting resource extraction (</w:t>
      </w:r>
      <w:r w:rsidRPr="0026374B">
        <w:t>box </w:t>
      </w:r>
      <w:r>
        <w:t>3.11</w:t>
      </w:r>
      <w:r w:rsidRPr="00BC3B8A">
        <w:t xml:space="preserve">). </w:t>
      </w:r>
      <w:r>
        <w:t>B</w:t>
      </w:r>
      <w:r w:rsidRPr="00BC3B8A">
        <w:t xml:space="preserve">ecause GST shares </w:t>
      </w:r>
      <w:r>
        <w:t>do</w:t>
      </w:r>
      <w:r w:rsidRPr="00BC3B8A">
        <w:t xml:space="preserve"> not change, these States would continue to receive a share of other</w:t>
      </w:r>
      <w:r>
        <w:t xml:space="preserve"> States’ royalties through HFE. For example, the WA Government (sub. 15, p. 89) argued that NSW and Victoria — which have restricted or banned coal</w:t>
      </w:r>
      <w:r>
        <w:noBreakHyphen/>
        <w:t>seam gas exploration — will benefit from the equalisation of Queensland’s gas royalties. And Mike Nahan, the WA Opposition Leader, argued that:</w:t>
      </w:r>
    </w:p>
    <w:p w14:paraId="7954A1A1" w14:textId="77777777" w:rsidR="00F05DC7" w:rsidRDefault="00F05DC7" w:rsidP="00A3786D">
      <w:pPr>
        <w:pStyle w:val="Quote"/>
      </w:pPr>
      <w:r w:rsidRPr="00537A80">
        <w:t>Even though New South Wales and Vict</w:t>
      </w:r>
      <w:r>
        <w:t>oria are donor states and will —</w:t>
      </w:r>
      <w:r w:rsidRPr="00537A80">
        <w:t xml:space="preserve"> always have been and always, for the foreseeable future</w:t>
      </w:r>
      <w:r>
        <w:t xml:space="preserve"> —</w:t>
      </w:r>
      <w:r w:rsidRPr="00537A80">
        <w:t xml:space="preserve"> remain</w:t>
      </w:r>
      <w:r>
        <w:t>,</w:t>
      </w:r>
      <w:r w:rsidRPr="00537A80">
        <w:t xml:space="preserve"> they know that at the margin they are being compensated from Western Australia for locking gas into the ground.</w:t>
      </w:r>
      <w:r>
        <w:t xml:space="preserve"> (trans, p. 130)</w:t>
      </w:r>
    </w:p>
    <w:p w14:paraId="7954A1A2" w14:textId="77777777" w:rsidR="00F05DC7" w:rsidRDefault="00F05DC7" w:rsidP="00A3786D">
      <w:pPr>
        <w:pStyle w:val="BodyText"/>
      </w:pPr>
      <w:r>
        <w:t>This GST effect could give States a financial incentive to accede to community pressure to introduce restrictions.</w:t>
      </w:r>
    </w:p>
    <w:p w14:paraId="7954A1A3" w14:textId="77777777" w:rsidR="00F05DC7" w:rsidRDefault="00F05DC7" w:rsidP="00A3786D">
      <w:pPr>
        <w:pStyle w:val="BodyText"/>
      </w:pPr>
      <w:r>
        <w:t>Other participants argued that restrictions on resource extraction are driven entirely by environmental, social and/or scientific considerations, rather than by HFE (box 3.11). Indeed, in some cases the Commonwealth has imposed restrictions on States on environmental grounds, even where a State Government has sought development (such as the proposed Franklin Dam in Tasmania in the early 1980s). Participants also noted that States benefit from resource development in terms of higher employment and incomes, separate to any royalty payments (for example, SA Government, sub. 25, p. 5).</w:t>
      </w:r>
    </w:p>
    <w:p w14:paraId="7954A1A4" w14:textId="0D336392" w:rsidR="00F05DC7" w:rsidRDefault="00F05DC7" w:rsidP="00A3786D">
      <w:pPr>
        <w:pStyle w:val="BodyText"/>
      </w:pPr>
      <w:r w:rsidRPr="00E63C7F">
        <w:t xml:space="preserve">There is </w:t>
      </w:r>
      <w:r>
        <w:t>no</w:t>
      </w:r>
      <w:r w:rsidRPr="00E63C7F">
        <w:t xml:space="preserve"> direct evidence that State policy decisions</w:t>
      </w:r>
      <w:r>
        <w:t xml:space="preserve"> to restrict mineral and energy extraction have been influenced by GST effects. And in some (but not all) cases, the amount of reserves subject to restriction could be small — for example, the Victorian Government (sub. 53, p. 6) has stated that ‘there are no proved and probable onshore gas reserves in Victoria’, though the extent of extractable unconventional gas reserves in Victoria is not well known </w:t>
      </w:r>
      <w:r w:rsidRPr="00042FB3">
        <w:rPr>
          <w:szCs w:val="24"/>
        </w:rPr>
        <w:t>(Ross and Darby 2013, p. 12)</w:t>
      </w:r>
      <w:r w:rsidRPr="00EF6759">
        <w:t>.</w:t>
      </w:r>
      <w:r>
        <w:t xml:space="preserve"> </w:t>
      </w:r>
    </w:p>
    <w:p w14:paraId="7954A1A5" w14:textId="5AE3099C" w:rsidR="00F05DC7" w:rsidRDefault="00F05DC7" w:rsidP="00A3786D">
      <w:pPr>
        <w:pStyle w:val="BodyText"/>
      </w:pPr>
      <w:r>
        <w:t>In its 2018 update, the CGC decided not to make any changes to its assessment of coal</w:t>
      </w:r>
      <w:r>
        <w:noBreakHyphen/>
        <w:t xml:space="preserve">seam gas royalties </w:t>
      </w:r>
      <w:r w:rsidR="009D6331" w:rsidRPr="009D6331">
        <w:rPr>
          <w:szCs w:val="24"/>
        </w:rPr>
        <w:t>(CGC 2018h)</w:t>
      </w:r>
      <w:r>
        <w:t>. However, it also noted that it would review the matter in its 2020 methodology review. One option it has identified is to treat these revenues on an equal per capita basis, on the premise that ‘</w:t>
      </w:r>
      <w:r w:rsidRPr="00825F4C">
        <w:t xml:space="preserve">all States that have </w:t>
      </w:r>
      <w:r>
        <w:t>[coal</w:t>
      </w:r>
      <w:r>
        <w:noBreakHyphen/>
        <w:t>seam gas]</w:t>
      </w:r>
      <w:r w:rsidRPr="00825F4C">
        <w:t xml:space="preserve"> have the opportunity to exploit it and whether they do or not solely reflects policy choice</w:t>
      </w:r>
      <w:r>
        <w:t xml:space="preserve">’ </w:t>
      </w:r>
      <w:r w:rsidR="009D6331" w:rsidRPr="009D6331">
        <w:rPr>
          <w:szCs w:val="24"/>
        </w:rPr>
        <w:t>(CGC 2017j, p. 25)</w:t>
      </w:r>
      <w:r>
        <w:t xml:space="preserve">. The CGC has also considered using an assessment based on measures of known reserves, </w:t>
      </w:r>
      <w:r>
        <w:lastRenderedPageBreak/>
        <w:t>but found that this would be impractical and unlikely to have a material impact on GST relativities (chapter 7). More generally, a change in methodology would only be warranted where the impacts on States’ GST payments and incentives are material — which looks unlikely for the foreseeable future.</w:t>
      </w:r>
    </w:p>
    <w:p w14:paraId="7954A1A6"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1A8" w14:textId="77777777" w:rsidTr="001113B1">
        <w:trPr>
          <w:tblHeader/>
        </w:trPr>
        <w:tc>
          <w:tcPr>
            <w:tcW w:w="5000" w:type="pct"/>
            <w:tcBorders>
              <w:top w:val="single" w:sz="6" w:space="0" w:color="78A22F"/>
              <w:left w:val="nil"/>
              <w:bottom w:val="nil"/>
              <w:right w:val="nil"/>
            </w:tcBorders>
            <w:shd w:val="clear" w:color="auto" w:fill="F2F2F2"/>
          </w:tcPr>
          <w:p w14:paraId="7954A1A7" w14:textId="05D4BC9A" w:rsidR="00F05DC7" w:rsidRDefault="00F05DC7" w:rsidP="00A3786D">
            <w:pPr>
              <w:pStyle w:val="BoxTitle"/>
            </w:pPr>
            <w:r>
              <w:rPr>
                <w:b w:val="0"/>
              </w:rPr>
              <w:t xml:space="preserve">Box </w:t>
            </w:r>
            <w:bookmarkStart w:id="79" w:name="OLE_LINK6"/>
            <w:r>
              <w:rPr>
                <w:b w:val="0"/>
              </w:rPr>
              <w:t>3.</w:t>
            </w:r>
            <w:r>
              <w:rPr>
                <w:b w:val="0"/>
                <w:noProof/>
              </w:rPr>
              <w:t>12</w:t>
            </w:r>
            <w:bookmarkEnd w:id="79"/>
            <w:r>
              <w:tab/>
              <w:t>State restrictions on mineral and energy extraction</w:t>
            </w:r>
          </w:p>
        </w:tc>
      </w:tr>
      <w:tr w:rsidR="00F05DC7" w14:paraId="7954A1B2" w14:textId="77777777" w:rsidTr="00A3786D">
        <w:tc>
          <w:tcPr>
            <w:tcW w:w="5000" w:type="pct"/>
            <w:tcBorders>
              <w:top w:val="nil"/>
              <w:left w:val="nil"/>
              <w:bottom w:val="nil"/>
              <w:right w:val="nil"/>
            </w:tcBorders>
            <w:shd w:val="clear" w:color="auto" w:fill="F2F2F2"/>
          </w:tcPr>
          <w:p w14:paraId="7954A1A9" w14:textId="77777777" w:rsidR="00F05DC7" w:rsidRDefault="00F05DC7" w:rsidP="00A3786D">
            <w:pPr>
              <w:pStyle w:val="Box"/>
            </w:pPr>
            <w:r>
              <w:t>Most States have implemented bans or moratoria on mineral and energy extraction:</w:t>
            </w:r>
          </w:p>
          <w:p w14:paraId="7954A1AA" w14:textId="77777777" w:rsidR="00F05DC7" w:rsidRDefault="00F05DC7" w:rsidP="00A3786D">
            <w:pPr>
              <w:pStyle w:val="BoxListBullet"/>
            </w:pPr>
            <w:r>
              <w:t>NSW, Victoria, Queensland and Western Australia ban uranium mining.</w:t>
            </w:r>
          </w:p>
          <w:p w14:paraId="7954A1AB" w14:textId="77777777" w:rsidR="00F05DC7" w:rsidRDefault="00F05DC7" w:rsidP="00A3786D">
            <w:pPr>
              <w:pStyle w:val="BoxListBullet"/>
            </w:pPr>
            <w:r>
              <w:t>Victoria has a moratorium on onshore conventional gas mining.</w:t>
            </w:r>
          </w:p>
          <w:p w14:paraId="7954A1AC" w14:textId="77777777" w:rsidR="00F05DC7" w:rsidRDefault="00F05DC7" w:rsidP="00A3786D">
            <w:pPr>
              <w:pStyle w:val="BoxListBullet"/>
            </w:pPr>
            <w:r>
              <w:t>All States except Queensland, South Australia and the ACT have placed heavy restrictions on coal</w:t>
            </w:r>
            <w:r>
              <w:noBreakHyphen/>
              <w:t>seam gas extraction:</w:t>
            </w:r>
          </w:p>
          <w:p w14:paraId="7954A1AD" w14:textId="77777777" w:rsidR="00F05DC7" w:rsidRDefault="00F05DC7" w:rsidP="00A3786D">
            <w:pPr>
              <w:pStyle w:val="BoxListBullet2"/>
            </w:pPr>
            <w:r>
              <w:t>Victoria bans onshore exploration for unconventional gas and hydraulic fracturing</w:t>
            </w:r>
          </w:p>
          <w:p w14:paraId="7954A1AE" w14:textId="77777777" w:rsidR="00F05DC7" w:rsidRDefault="00F05DC7" w:rsidP="00A3786D">
            <w:pPr>
              <w:pStyle w:val="BoxListBullet2"/>
            </w:pPr>
            <w:r>
              <w:t>NSW has significantly restricted coal</w:t>
            </w:r>
            <w:r>
              <w:noBreakHyphen/>
              <w:t>seam gas exploration and development</w:t>
            </w:r>
          </w:p>
          <w:p w14:paraId="7954A1AF" w14:textId="77777777" w:rsidR="00F05DC7" w:rsidRDefault="00F05DC7" w:rsidP="00A3786D">
            <w:pPr>
              <w:pStyle w:val="BoxListBullet2"/>
            </w:pPr>
            <w:r>
              <w:t>Western Australia and the Northern Territory have moratoria on hydraulic fracturing (pending scientific review), and Western Australia has banned hydraulic fracturing in the south</w:t>
            </w:r>
            <w:r>
              <w:noBreakHyphen/>
              <w:t>west of the State</w:t>
            </w:r>
          </w:p>
          <w:p w14:paraId="7954A1B0" w14:textId="77777777" w:rsidR="00F05DC7" w:rsidRDefault="00F05DC7" w:rsidP="00A3786D">
            <w:pPr>
              <w:pStyle w:val="BoxListBullet2"/>
            </w:pPr>
            <w:r>
              <w:t>Tasmania has a ban on hydraulic fracturing.</w:t>
            </w:r>
          </w:p>
          <w:p w14:paraId="7954A1B1" w14:textId="77777777" w:rsidR="00F05DC7" w:rsidRDefault="00F05DC7" w:rsidP="00A3786D">
            <w:pPr>
              <w:pStyle w:val="BoxListBullet"/>
            </w:pPr>
            <w:r>
              <w:t>Western Australia bans coal mining in an area around the Margaret River township.</w:t>
            </w:r>
          </w:p>
        </w:tc>
      </w:tr>
      <w:tr w:rsidR="00F05DC7" w14:paraId="7954A1B4" w14:textId="77777777" w:rsidTr="00A3786D">
        <w:tc>
          <w:tcPr>
            <w:tcW w:w="5000" w:type="pct"/>
            <w:tcBorders>
              <w:top w:val="nil"/>
              <w:left w:val="nil"/>
              <w:bottom w:val="nil"/>
              <w:right w:val="nil"/>
            </w:tcBorders>
            <w:shd w:val="clear" w:color="auto" w:fill="F2F2F2"/>
          </w:tcPr>
          <w:p w14:paraId="7954A1B3" w14:textId="5A6ADFE6" w:rsidR="00F05DC7" w:rsidRDefault="00F05DC7" w:rsidP="009D6331">
            <w:pPr>
              <w:pStyle w:val="BoxSource"/>
            </w:pPr>
            <w:r>
              <w:rPr>
                <w:i/>
              </w:rPr>
              <w:t>Sources</w:t>
            </w:r>
            <w:r w:rsidRPr="00167F06">
              <w:t xml:space="preserve">: </w:t>
            </w:r>
            <w:r>
              <w:t xml:space="preserve">CGC </w:t>
            </w:r>
            <w:r w:rsidR="009D6331" w:rsidRPr="009D6331">
              <w:rPr>
                <w:rFonts w:cs="Arial"/>
                <w:szCs w:val="24"/>
              </w:rPr>
              <w:t>(2017g, pp. 4–5)</w:t>
            </w:r>
            <w:r>
              <w:t xml:space="preserve">; Dawson and Johnston </w:t>
            </w:r>
            <w:r w:rsidRPr="00343610">
              <w:rPr>
                <w:rFonts w:cs="Arial"/>
              </w:rPr>
              <w:t>(2017)</w:t>
            </w:r>
            <w:r>
              <w:t>.</w:t>
            </w:r>
          </w:p>
        </w:tc>
      </w:tr>
      <w:tr w:rsidR="00F05DC7" w14:paraId="7954A1B6" w14:textId="77777777" w:rsidTr="00A3786D">
        <w:tc>
          <w:tcPr>
            <w:tcW w:w="5000" w:type="pct"/>
            <w:tcBorders>
              <w:top w:val="nil"/>
              <w:left w:val="nil"/>
              <w:bottom w:val="single" w:sz="6" w:space="0" w:color="78A22F"/>
              <w:right w:val="nil"/>
            </w:tcBorders>
            <w:shd w:val="clear" w:color="auto" w:fill="F2F2F2"/>
          </w:tcPr>
          <w:p w14:paraId="7954A1B5" w14:textId="77777777" w:rsidR="00F05DC7" w:rsidRDefault="00F05DC7" w:rsidP="00A3786D">
            <w:pPr>
              <w:pStyle w:val="Box"/>
              <w:spacing w:before="0" w:line="120" w:lineRule="exact"/>
            </w:pPr>
          </w:p>
        </w:tc>
      </w:tr>
      <w:tr w:rsidR="00F05DC7" w:rsidRPr="000863A5" w14:paraId="7954A1B8" w14:textId="77777777" w:rsidTr="00A3786D">
        <w:tc>
          <w:tcPr>
            <w:tcW w:w="5000" w:type="pct"/>
            <w:tcBorders>
              <w:top w:val="single" w:sz="6" w:space="0" w:color="78A22F"/>
              <w:left w:val="nil"/>
              <w:bottom w:val="nil"/>
              <w:right w:val="nil"/>
            </w:tcBorders>
          </w:tcPr>
          <w:p w14:paraId="7954A1B7" w14:textId="77777777" w:rsidR="00F05DC7" w:rsidRPr="00626D32" w:rsidRDefault="00F05DC7" w:rsidP="00A3786D">
            <w:pPr>
              <w:pStyle w:val="BoxSpaceBelow"/>
            </w:pPr>
          </w:p>
        </w:tc>
      </w:tr>
    </w:tbl>
    <w:p w14:paraId="7954A1B9" w14:textId="77777777" w:rsidR="00F05DC7" w:rsidRDefault="00F05DC7" w:rsidP="00A3786D">
      <w:pPr>
        <w:pStyle w:val="BodyText"/>
      </w:pPr>
      <w:r>
        <w:t>Nevertheless</w:t>
      </w:r>
      <w:r w:rsidRPr="00EF6759">
        <w:t>, the distortions arising from the treatment of resource restrictions</w:t>
      </w:r>
      <w:r>
        <w:t xml:space="preserve"> — at least under the current methodology —</w:t>
      </w:r>
      <w:r w:rsidRPr="00EF6759">
        <w:t xml:space="preserve"> could</w:t>
      </w:r>
      <w:r>
        <w:t xml:space="preserve"> ultimately</w:t>
      </w:r>
      <w:r w:rsidRPr="00EF6759">
        <w:t xml:space="preserve"> have large financial implications for some States, especially over the long term.</w:t>
      </w:r>
      <w:r>
        <w:t xml:space="preserve"> Although the policy counterfactual is unobservable, the fiscal incentives that arise through HFE are likely to distort policy decisions at the margin.</w:t>
      </w:r>
    </w:p>
    <w:p w14:paraId="7954A1BA" w14:textId="77777777" w:rsidR="00F05DC7" w:rsidRDefault="00F05DC7" w:rsidP="00A3786D">
      <w:pPr>
        <w:pStyle w:val="BodyText"/>
      </w:pPr>
      <w:r>
        <w:t>However, m</w:t>
      </w:r>
      <w:r w:rsidRPr="009E46C7">
        <w:t>aking</w:t>
      </w:r>
      <w:r>
        <w:t xml:space="preserve"> adjustments to the HFE system specifically to </w:t>
      </w:r>
      <w:r w:rsidRPr="0021780B">
        <w:rPr>
          <w:i/>
        </w:rPr>
        <w:t>add</w:t>
      </w:r>
      <w:r>
        <w:t xml:space="preserve"> incentives for policies that are deemed to be desirable would be an intentional breach of policy neutrality and State autonomy, be a source of additional complexity, and affect State fiscal equality to the extent it departs from full equalisation. To the extent that there are other obstacles to State development of resources (such as cumbersome or ineffective development approval processes), these should be addressed directly rather than through HFE.</w:t>
      </w:r>
    </w:p>
    <w:p w14:paraId="7954A1BB" w14:textId="77777777" w:rsidR="00F05DC7" w:rsidRPr="004E3B94" w:rsidRDefault="00F05DC7" w:rsidP="000D52D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1BF"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1BC" w14:textId="5935A8FC" w:rsidR="00F05DC7" w:rsidRDefault="00F05DC7" w:rsidP="00A3786D">
            <w:pPr>
              <w:pStyle w:val="FindingTitle"/>
              <w:spacing w:before="120"/>
              <w:rPr>
                <w:noProof/>
              </w:rPr>
            </w:pPr>
            <w:r w:rsidRPr="00171683">
              <w:t xml:space="preserve">Finding </w:t>
            </w:r>
            <w:r>
              <w:t>3.</w:t>
            </w:r>
            <w:r>
              <w:rPr>
                <w:noProof/>
              </w:rPr>
              <w:t>3</w:t>
            </w:r>
          </w:p>
          <w:p w14:paraId="7954A1BD" w14:textId="77777777" w:rsidR="00F05DC7" w:rsidRDefault="00F05DC7" w:rsidP="00A3786D">
            <w:pPr>
              <w:pStyle w:val="Finding"/>
              <w:keepNext/>
            </w:pPr>
            <w:r>
              <w:t>The potential for HFE to distort State policy is pronounced for mineral and energy resources. While there is limited direct evidence that GST effects have influenced specific policy decisions, the incentive effects for some States are palpable and have the potential to undermine State policy neutrality.</w:t>
            </w:r>
          </w:p>
          <w:p w14:paraId="7954A1BE" w14:textId="77777777" w:rsidR="00F05DC7" w:rsidRPr="00CE4C64" w:rsidRDefault="00F05DC7" w:rsidP="00A3786D">
            <w:pPr>
              <w:pStyle w:val="Finding"/>
              <w:keepNext/>
            </w:pPr>
            <w:r>
              <w:t>However, making adjustments to the HFE system specifically to add incentives (rather than remove disincentives) for desirable resource exploration policies, or to singularly remedy disincentives for mining taxation, would not advance policy neutrality, would be a source of additional complexity, and come at the expense of fiscal equality.</w:t>
            </w:r>
          </w:p>
        </w:tc>
      </w:tr>
      <w:tr w:rsidR="00F05DC7" w14:paraId="7954A1C1"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1C0" w14:textId="77777777" w:rsidR="00F05DC7" w:rsidRDefault="00F05DC7" w:rsidP="00A3786D">
            <w:pPr>
              <w:pStyle w:val="Space"/>
              <w:keepLines/>
            </w:pPr>
          </w:p>
        </w:tc>
      </w:tr>
      <w:tr w:rsidR="00F05DC7" w:rsidRPr="000863A5" w14:paraId="7954A1C3"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1C2" w14:textId="77777777" w:rsidR="00F05DC7" w:rsidRPr="00626D32" w:rsidRDefault="00F05DC7" w:rsidP="00A3786D">
            <w:pPr>
              <w:pStyle w:val="BoxSpaceBelow"/>
              <w:keepLines/>
            </w:pPr>
          </w:p>
        </w:tc>
      </w:tr>
    </w:tbl>
    <w:p w14:paraId="7954A1C4" w14:textId="578FAB87" w:rsidR="00F05DC7" w:rsidRDefault="00F05DC7" w:rsidP="00A3786D">
      <w:pPr>
        <w:pStyle w:val="Heading2"/>
      </w:pPr>
      <w:bookmarkStart w:id="80" w:name="_Toc513637712"/>
      <w:r>
        <w:t>3.</w:t>
      </w:r>
      <w:r>
        <w:rPr>
          <w:noProof/>
        </w:rPr>
        <w:t>4</w:t>
      </w:r>
      <w:r>
        <w:tab/>
        <w:t>Broader distortions across the HFE system</w:t>
      </w:r>
      <w:bookmarkEnd w:id="80"/>
    </w:p>
    <w:p w14:paraId="7954A1C5" w14:textId="77777777" w:rsidR="00F05DC7" w:rsidRDefault="00F05DC7" w:rsidP="00A3786D">
      <w:pPr>
        <w:pStyle w:val="BodyText"/>
      </w:pPr>
      <w:r>
        <w:t>The potential policy distortions that arise from the way mineral and energy resources are equalised are symptomatic of broader distortions across the HFE system. These distortions arise from inconsistencies in how the CGC treats different revenue and expenditure categories.</w:t>
      </w:r>
    </w:p>
    <w:p w14:paraId="7954A1C6" w14:textId="77777777" w:rsidR="00F05DC7" w:rsidRDefault="00F05DC7" w:rsidP="00A3786D">
      <w:pPr>
        <w:pStyle w:val="BodyText"/>
      </w:pPr>
      <w:r>
        <w:t>A significant portion of State own</w:t>
      </w:r>
      <w:r>
        <w:noBreakHyphen/>
        <w:t>source revenues are not differentially assessed, with wide variation across States: from about a quarter for Western Australia to almost 60 per cent for the ACT (chapter 2). While this is often for good reason — generally, due to difficulty in defining average policy or obtaining suitable data — the result is that States may have a stronger incentive to rely on taxes that the CGC does not differentially assess (such as gambling, user charges, fines and licensing fees) rather than those which it does (such as mining royalties and land taxes). In addition, there could also be an incentive for States to raise taxes for which the GST effects are small (such as motor vehicle taxes) rather than mining royalties, which can be associated with large GST impacts (WA Government, sub. DR83, p. 27).</w:t>
      </w:r>
    </w:p>
    <w:p w14:paraId="7954A1C7" w14:textId="77777777" w:rsidR="00F05DC7" w:rsidRDefault="00F05DC7" w:rsidP="00A3786D">
      <w:pPr>
        <w:pStyle w:val="BodyText"/>
      </w:pPr>
      <w:r>
        <w:t>The WA Treasurer has argued that:</w:t>
      </w:r>
    </w:p>
    <w:p w14:paraId="7954A1C8" w14:textId="77777777" w:rsidR="00F05DC7" w:rsidRPr="00602068" w:rsidRDefault="00F05DC7" w:rsidP="00A3786D">
      <w:pPr>
        <w:pStyle w:val="Quote"/>
      </w:pPr>
      <w:r w:rsidRPr="00397F0F">
        <w:t>GST losses have been a factor in recent debates in WA over rate changes for iron ore, gold and stamp duty. Such debates impact on which revenues are increased and which are not. … My budget is predicated upon a gold royalty increase. Now we lose about 60 per cent of our gold royalty [to HFE]</w:t>
      </w:r>
      <w:r w:rsidRPr="00602068">
        <w:t>… When your mechanisms are limited as a State Treasurer and they’re all in decline, the own source revenue then you — sort of you do have to sort of, you know — consider even the ones that you don’t capture.</w:t>
      </w:r>
      <w:r w:rsidRPr="00586E82">
        <w:t xml:space="preserve"> (WA Government, trans., pp. 61</w:t>
      </w:r>
      <w:r>
        <w:t>–</w:t>
      </w:r>
      <w:r w:rsidRPr="00586E82">
        <w:t>69)</w:t>
      </w:r>
    </w:p>
    <w:p w14:paraId="7954A1C9" w14:textId="69FE62BD" w:rsidR="00F05DC7" w:rsidRDefault="00F05DC7" w:rsidP="00A3786D">
      <w:pPr>
        <w:pStyle w:val="BodyText"/>
      </w:pPr>
      <w:r>
        <w:t xml:space="preserve">Several participants compared the treatment of mining royalties with gambling revenues to highlight the disparate treatment (by the CGC) and consequential distortions (box 3.13). States have a greater incentive to increase gambling activity (because they retain all of the revenue) than mining production (because they lose most of the revenue to equalisation). This incentive does not arise from the gambling assessment itself (which is policy neutral) or the equalisation of other revenues </w:t>
      </w:r>
      <w:r>
        <w:rPr>
          <w:i/>
        </w:rPr>
        <w:t>per se</w:t>
      </w:r>
      <w:r>
        <w:t xml:space="preserve">, but from inconsistencies in how the CGC </w:t>
      </w:r>
      <w:r>
        <w:lastRenderedPageBreak/>
        <w:t>assesses different categories of revenues (some on an equal per capita basis, such as gambling and fines, and others on a differential basis, such as mining). In other words, State revenue</w:t>
      </w:r>
      <w:r>
        <w:noBreakHyphen/>
        <w:t>raising effort may be biased towards revenue sources that are more policy neutral in the GST distribution formula.</w:t>
      </w:r>
    </w:p>
    <w:p w14:paraId="7954A1CA" w14:textId="77777777" w:rsidR="00F05DC7" w:rsidRDefault="00F05DC7" w:rsidP="00A3786D">
      <w:pPr>
        <w:pStyle w:val="BodyText"/>
      </w:pPr>
      <w:r>
        <w:t>These inconsistencies in the HFE system will sometimes have large revenue consequences for State Governments. In extreme circumstances, they will compromise the trade</w:t>
      </w:r>
      <w:r>
        <w:noBreakHyphen/>
        <w:t>offs that States make between fiscal and other policy objectives. Such circumstances are likely to arise in mineral and energy policy, given the highly uneven distribution of resources across States, combined with the volatile nature of royalty revenues. Significant revenue consequences arising from HFE can discourage States from developing resources and give them an incentive to set the rate and timing of royalty changes in ways that are inefficient.</w:t>
      </w:r>
    </w:p>
    <w:p w14:paraId="7954A1CB" w14:textId="77777777" w:rsidR="00F05DC7" w:rsidRPr="001C208B" w:rsidRDefault="00F05DC7" w:rsidP="00A3786D">
      <w:pPr>
        <w:pStyle w:val="BodyText"/>
      </w:pPr>
      <w:r>
        <w:t xml:space="preserve">Such incentives are not a desirable feature of the HFE system, but to some extent may be an inevitable consequence of pursuing full and comprehensive equalisation with the data available (which are of variable quality). The </w:t>
      </w:r>
      <w:r w:rsidRPr="009E46C7">
        <w:t>incentives also point to an inherent tension in the HFE process between</w:t>
      </w:r>
      <w:r>
        <w:t xml:space="preserve"> fiscal</w:t>
      </w:r>
      <w:r w:rsidRPr="009E46C7">
        <w:t xml:space="preserve"> equ</w:t>
      </w:r>
      <w:r>
        <w:t>al</w:t>
      </w:r>
      <w:r w:rsidRPr="009E46C7">
        <w:t xml:space="preserve">ity (providing all States </w:t>
      </w:r>
      <w:r>
        <w:t xml:space="preserve">with </w:t>
      </w:r>
      <w:r w:rsidRPr="009E46C7">
        <w:t xml:space="preserve">the same fiscal capacity) and efficiency (not encouraging or discouraging particular State policies). </w:t>
      </w:r>
      <w:r>
        <w:t xml:space="preserve">In principle, it is impossible </w:t>
      </w:r>
      <w:r w:rsidRPr="009E46C7">
        <w:t xml:space="preserve">to </w:t>
      </w:r>
      <w:r>
        <w:t>remove</w:t>
      </w:r>
      <w:r w:rsidRPr="009E46C7">
        <w:t xml:space="preserve"> this tension and provide outcomes that are both fully equitable and completely policy neutral — especially in the case of mining (chapter </w:t>
      </w:r>
      <w:r>
        <w:t>7</w:t>
      </w:r>
      <w:r w:rsidRPr="009E46C7">
        <w:t>).</w:t>
      </w:r>
    </w:p>
    <w:p w14:paraId="7954A1CC"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1CE" w14:textId="77777777" w:rsidTr="001113B1">
        <w:trPr>
          <w:tblHeader/>
        </w:trPr>
        <w:tc>
          <w:tcPr>
            <w:tcW w:w="5000" w:type="pct"/>
            <w:tcBorders>
              <w:top w:val="single" w:sz="6" w:space="0" w:color="78A22F"/>
              <w:left w:val="nil"/>
              <w:bottom w:val="nil"/>
              <w:right w:val="nil"/>
            </w:tcBorders>
            <w:shd w:val="clear" w:color="auto" w:fill="F2F2F2"/>
          </w:tcPr>
          <w:p w14:paraId="7954A1CD" w14:textId="24ED1EA3" w:rsidR="00F05DC7" w:rsidRDefault="00F05DC7" w:rsidP="00A3786D">
            <w:pPr>
              <w:pStyle w:val="BoxTitle"/>
            </w:pPr>
            <w:r>
              <w:rPr>
                <w:b w:val="0"/>
              </w:rPr>
              <w:t xml:space="preserve">Box </w:t>
            </w:r>
            <w:bookmarkStart w:id="81" w:name="OLE_LINK7"/>
            <w:r>
              <w:rPr>
                <w:b w:val="0"/>
              </w:rPr>
              <w:t>3.</w:t>
            </w:r>
            <w:r>
              <w:rPr>
                <w:b w:val="0"/>
                <w:noProof/>
              </w:rPr>
              <w:t>13</w:t>
            </w:r>
            <w:bookmarkEnd w:id="81"/>
            <w:r>
              <w:tab/>
              <w:t>Case study: gambling revenues in the GST formula</w:t>
            </w:r>
          </w:p>
        </w:tc>
      </w:tr>
      <w:tr w:rsidR="00F05DC7" w14:paraId="7954A1D3" w14:textId="77777777" w:rsidTr="00A3786D">
        <w:tc>
          <w:tcPr>
            <w:tcW w:w="5000" w:type="pct"/>
            <w:tcBorders>
              <w:top w:val="nil"/>
              <w:left w:val="nil"/>
              <w:bottom w:val="nil"/>
              <w:right w:val="nil"/>
            </w:tcBorders>
            <w:shd w:val="clear" w:color="auto" w:fill="F2F2F2"/>
          </w:tcPr>
          <w:p w14:paraId="7954A1CF" w14:textId="77777777" w:rsidR="00F05DC7" w:rsidRDefault="00F05DC7" w:rsidP="00A3786D">
            <w:pPr>
              <w:pStyle w:val="Box"/>
            </w:pPr>
            <w:r>
              <w:t>Gambling has been a contentious part of the HFE formula, in part because State Governments are responsible for both taxing and regulating gambling (as well as managing the costs it places on individuals and communities). All States licence and tax gambling activities to some degree, but their approaches vary widely — for example, tax rates and deductions on wagering vary across States, as does the structure of taxes on gaming machines (pokies). Some States (such as New South Wales and Queensland) licence large numbers of gaming machines, whereas Western Australia has banned these machines outside its sole casino.</w:t>
            </w:r>
          </w:p>
          <w:p w14:paraId="7954A1D0" w14:textId="77777777" w:rsidR="00F05DC7" w:rsidRDefault="00F05DC7" w:rsidP="00A3786D">
            <w:pPr>
              <w:pStyle w:val="Box"/>
            </w:pPr>
            <w:r>
              <w:t>Gambling revenues are heavily influenced by State policy. The CGC currently assesses these revenues on an ‘equal per capita’ basis, meaning that it assumes each State has the same per</w:t>
            </w:r>
            <w:r>
              <w:noBreakHyphen/>
              <w:t>capita capacity to raise revenue. As a result, the revenues have</w:t>
            </w:r>
            <w:r w:rsidRPr="0072103C">
              <w:t xml:space="preserve"> no impact on GST relativities.</w:t>
            </w:r>
          </w:p>
          <w:p w14:paraId="7954A1D1" w14:textId="77777777" w:rsidR="00F05DC7" w:rsidRPr="00452568" w:rsidRDefault="00F05DC7" w:rsidP="00A3786D">
            <w:pPr>
              <w:pStyle w:val="Box"/>
              <w:rPr>
                <w:spacing w:val="-1"/>
              </w:rPr>
            </w:pPr>
            <w:r w:rsidRPr="00452568">
              <w:rPr>
                <w:spacing w:val="-1"/>
              </w:rPr>
              <w:t>The CGC previously used a measure of household disposable income to guide the redistribution of gambling revenue, but ceased doing so because of evidence that the relationship between income and gambling activity within a State had weakened (potentially due to the rise in online gambling). Since 2010, it has been unable to find sufficient evidence to construct a reliable and material indicator of gambling revenue capacity that is not under the direct influence of State policy.</w:t>
            </w:r>
          </w:p>
          <w:p w14:paraId="7954A1D2" w14:textId="77777777" w:rsidR="00F05DC7" w:rsidRDefault="00F05DC7" w:rsidP="00A3786D">
            <w:pPr>
              <w:pStyle w:val="Box"/>
            </w:pPr>
            <w:r>
              <w:t>Some inquiry participants argued that the gambling assessment effectively penalises States that restrict gambling and rewards those that allow it, and thus gives States an incentive to over</w:t>
            </w:r>
            <w:r>
              <w:noBreakHyphen/>
              <w:t xml:space="preserve">rely on socially harmful gambling activity (WA Government, sub. 15, p. 56; </w:t>
            </w:r>
            <w:r w:rsidRPr="00845396">
              <w:t>Pa</w:t>
            </w:r>
            <w:r>
              <w:t>rliamentary Liberal Party of WA, sub. 22, p. 3; Parliamentary National Party of WA, sub. 43, p. 9).</w:t>
            </w:r>
          </w:p>
        </w:tc>
      </w:tr>
      <w:tr w:rsidR="00F05DC7" w14:paraId="7954A1D5" w14:textId="77777777" w:rsidTr="00A3786D">
        <w:tc>
          <w:tcPr>
            <w:tcW w:w="5000" w:type="pct"/>
            <w:tcBorders>
              <w:top w:val="nil"/>
              <w:left w:val="nil"/>
              <w:bottom w:val="nil"/>
              <w:right w:val="nil"/>
            </w:tcBorders>
            <w:shd w:val="clear" w:color="auto" w:fill="F2F2F2"/>
          </w:tcPr>
          <w:p w14:paraId="7954A1D4" w14:textId="7817D71C" w:rsidR="00F05DC7" w:rsidRDefault="00F05DC7" w:rsidP="009D6331">
            <w:pPr>
              <w:pStyle w:val="BoxSource"/>
            </w:pPr>
            <w:r w:rsidRPr="00A453B0">
              <w:rPr>
                <w:i/>
              </w:rPr>
              <w:t>Source</w:t>
            </w:r>
            <w:r>
              <w:rPr>
                <w:i/>
              </w:rPr>
              <w:t>s</w:t>
            </w:r>
            <w:r w:rsidRPr="00A453B0">
              <w:t>:</w:t>
            </w:r>
            <w:r>
              <w:t xml:space="preserve"> CGC</w:t>
            </w:r>
            <w:r w:rsidRPr="00A453B0">
              <w:t xml:space="preserve"> </w:t>
            </w:r>
            <w:r w:rsidR="009D6331" w:rsidRPr="009D6331">
              <w:rPr>
                <w:rFonts w:cs="Arial"/>
                <w:szCs w:val="24"/>
              </w:rPr>
              <w:t>(2015c, pp. 8–9, 2015f, pp. 122–123)</w:t>
            </w:r>
            <w:r w:rsidRPr="00A453B0">
              <w:t xml:space="preserve">; QGSO </w:t>
            </w:r>
            <w:r w:rsidRPr="00A453B0">
              <w:rPr>
                <w:rFonts w:cs="Arial"/>
              </w:rPr>
              <w:t>(2016)</w:t>
            </w:r>
            <w:r w:rsidRPr="00A453B0">
              <w:t>.</w:t>
            </w:r>
          </w:p>
        </w:tc>
      </w:tr>
      <w:tr w:rsidR="00F05DC7" w14:paraId="7954A1D7" w14:textId="77777777" w:rsidTr="00A3786D">
        <w:tc>
          <w:tcPr>
            <w:tcW w:w="5000" w:type="pct"/>
            <w:tcBorders>
              <w:top w:val="nil"/>
              <w:left w:val="nil"/>
              <w:bottom w:val="single" w:sz="6" w:space="0" w:color="78A22F"/>
              <w:right w:val="nil"/>
            </w:tcBorders>
            <w:shd w:val="clear" w:color="auto" w:fill="F2F2F2"/>
          </w:tcPr>
          <w:p w14:paraId="7954A1D6" w14:textId="77777777" w:rsidR="00F05DC7" w:rsidRDefault="00F05DC7" w:rsidP="00A3786D">
            <w:pPr>
              <w:pStyle w:val="Box"/>
              <w:spacing w:before="0" w:line="120" w:lineRule="exact"/>
            </w:pPr>
          </w:p>
        </w:tc>
      </w:tr>
    </w:tbl>
    <w:p w14:paraId="7954A1D8" w14:textId="77777777" w:rsidR="00F05DC7" w:rsidRPr="00882BFD" w:rsidRDefault="00F05DC7" w:rsidP="00A3786D">
      <w:pPr>
        <w:pStyle w:val="BodyText"/>
      </w:pPr>
    </w:p>
    <w:p w14:paraId="7954A1D9" w14:textId="77777777" w:rsidR="00F05DC7" w:rsidRDefault="00F05DC7" w:rsidP="00F05DC7">
      <w:pPr>
        <w:sectPr w:rsidR="00F05DC7" w:rsidSect="00F05DC7">
          <w:headerReference w:type="even" r:id="rId100"/>
          <w:headerReference w:type="default" r:id="rId101"/>
          <w:footerReference w:type="even" r:id="rId102"/>
          <w:footerReference w:type="default" r:id="rId103"/>
          <w:type w:val="oddPage"/>
          <w:pgSz w:w="11907" w:h="16840" w:code="9"/>
          <w:pgMar w:top="1985" w:right="1304" w:bottom="1247" w:left="1814" w:header="1701" w:footer="397" w:gutter="0"/>
          <w:pgNumType w:chapSep="period"/>
          <w:cols w:space="720"/>
          <w:docGrid w:linePitch="326"/>
        </w:sectPr>
      </w:pPr>
    </w:p>
    <w:p w14:paraId="7954A1DA" w14:textId="77777777" w:rsidR="00F05DC7" w:rsidRDefault="00F05DC7" w:rsidP="00A3786D">
      <w:pPr>
        <w:pStyle w:val="Heading1"/>
        <w:spacing w:before="0" w:after="1080"/>
      </w:pPr>
      <w:bookmarkStart w:id="82" w:name="_Toc513637713"/>
      <w:r>
        <w:lastRenderedPageBreak/>
        <w:t>4</w:t>
      </w:r>
      <w:r>
        <w:tab/>
        <w:t>How does HFE affect State budget management?</w:t>
      </w:r>
      <w:bookmarkEnd w:id="82"/>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1DC" w14:textId="77777777" w:rsidTr="001113B1">
        <w:trPr>
          <w:tblHeader/>
        </w:trPr>
        <w:tc>
          <w:tcPr>
            <w:tcW w:w="5000" w:type="pct"/>
            <w:tcBorders>
              <w:top w:val="single" w:sz="6" w:space="0" w:color="78A22F"/>
              <w:left w:val="nil"/>
              <w:bottom w:val="nil"/>
              <w:right w:val="nil"/>
            </w:tcBorders>
            <w:shd w:val="clear" w:color="auto" w:fill="F2F2F2"/>
          </w:tcPr>
          <w:p w14:paraId="7954A1DB" w14:textId="77777777" w:rsidR="00F05DC7" w:rsidRDefault="00F05DC7" w:rsidP="00A3786D">
            <w:pPr>
              <w:pStyle w:val="BoxTitle"/>
            </w:pPr>
            <w:r>
              <w:t xml:space="preserve">Key points </w:t>
            </w:r>
          </w:p>
        </w:tc>
      </w:tr>
      <w:tr w:rsidR="00F05DC7" w14:paraId="7954A1E8" w14:textId="77777777" w:rsidTr="00A3786D">
        <w:tc>
          <w:tcPr>
            <w:tcW w:w="5000" w:type="pct"/>
            <w:tcBorders>
              <w:top w:val="nil"/>
              <w:left w:val="nil"/>
              <w:bottom w:val="nil"/>
              <w:right w:val="nil"/>
            </w:tcBorders>
            <w:shd w:val="clear" w:color="auto" w:fill="F2F2F2"/>
          </w:tcPr>
          <w:p w14:paraId="7954A1DD" w14:textId="77777777" w:rsidR="00F05DC7" w:rsidRPr="00B06FBF" w:rsidRDefault="00F05DC7" w:rsidP="00A3786D">
            <w:pPr>
              <w:pStyle w:val="KeyPointsListBullet"/>
              <w:spacing w:before="90" w:line="250" w:lineRule="atLeast"/>
              <w:ind w:left="284" w:hanging="284"/>
              <w:rPr>
                <w:spacing w:val="-2"/>
              </w:rPr>
            </w:pPr>
            <w:r w:rsidRPr="00B06FBF">
              <w:rPr>
                <w:spacing w:val="-2"/>
              </w:rPr>
              <w:t xml:space="preserve">Australia’s HFE system provides </w:t>
            </w:r>
            <w:r>
              <w:rPr>
                <w:spacing w:val="-2"/>
              </w:rPr>
              <w:t xml:space="preserve">most </w:t>
            </w:r>
            <w:r w:rsidRPr="00B06FBF">
              <w:rPr>
                <w:spacing w:val="-2"/>
              </w:rPr>
              <w:t xml:space="preserve">State </w:t>
            </w:r>
            <w:r>
              <w:rPr>
                <w:spacing w:val="-2"/>
              </w:rPr>
              <w:t>G</w:t>
            </w:r>
            <w:r w:rsidRPr="00B06FBF">
              <w:rPr>
                <w:spacing w:val="-2"/>
              </w:rPr>
              <w:t xml:space="preserve">overnments with a substantial share of their overall revenue, and its implementation can impact State budget management. </w:t>
            </w:r>
          </w:p>
          <w:p w14:paraId="7954A1DE" w14:textId="77777777" w:rsidR="00F05DC7" w:rsidRPr="00B06FBF" w:rsidRDefault="00F05DC7" w:rsidP="00A3786D">
            <w:pPr>
              <w:pStyle w:val="KeyPointsListBullet"/>
              <w:spacing w:before="90" w:line="250" w:lineRule="atLeast"/>
              <w:ind w:left="284" w:hanging="284"/>
              <w:rPr>
                <w:spacing w:val="-2"/>
              </w:rPr>
            </w:pPr>
            <w:r w:rsidRPr="00B06FBF">
              <w:rPr>
                <w:spacing w:val="-2"/>
              </w:rPr>
              <w:t>The lack of contemporaneity of Australia’s HFE system has mixed impacts on State budget management, but changes do not offer unequivocal improvements</w:t>
            </w:r>
            <w:r>
              <w:rPr>
                <w:spacing w:val="-2"/>
              </w:rPr>
              <w:t>.</w:t>
            </w:r>
            <w:r w:rsidRPr="00B06FBF">
              <w:rPr>
                <w:spacing w:val="-2"/>
              </w:rPr>
              <w:t xml:space="preserve"> </w:t>
            </w:r>
          </w:p>
          <w:p w14:paraId="7954A1DF" w14:textId="77777777" w:rsidR="00F05DC7" w:rsidRPr="00B06FBF" w:rsidRDefault="00F05DC7" w:rsidP="00A3786D">
            <w:pPr>
              <w:pStyle w:val="KeyPointsListBullet2"/>
              <w:spacing w:before="90" w:line="250" w:lineRule="atLeast"/>
              <w:rPr>
                <w:spacing w:val="-2"/>
              </w:rPr>
            </w:pPr>
            <w:r w:rsidRPr="00B06FBF">
              <w:rPr>
                <w:spacing w:val="-2"/>
              </w:rPr>
              <w:t>The three</w:t>
            </w:r>
            <w:r w:rsidRPr="00B06FBF">
              <w:rPr>
                <w:spacing w:val="-2"/>
              </w:rPr>
              <w:noBreakHyphen/>
              <w:t>year assessment period and two</w:t>
            </w:r>
            <w:r w:rsidRPr="00B06FBF">
              <w:rPr>
                <w:spacing w:val="-2"/>
              </w:rPr>
              <w:noBreakHyphen/>
              <w:t xml:space="preserve">year </w:t>
            </w:r>
            <w:r>
              <w:rPr>
                <w:spacing w:val="-2"/>
              </w:rPr>
              <w:t>data</w:t>
            </w:r>
            <w:r w:rsidRPr="00B06FBF">
              <w:rPr>
                <w:spacing w:val="-2"/>
              </w:rPr>
              <w:t xml:space="preserve"> lag limit the responsiveness of GST payments to changes in States’ budget positions. This can exacerbate the fiscal impact of economic cycles when States experience large, localised economic shocks. This appears to have been the case with Western Australia through the mining investment and construction boom, which is still influencing its GST payments.</w:t>
            </w:r>
          </w:p>
          <w:p w14:paraId="7954A1E0" w14:textId="77777777" w:rsidR="00F05DC7" w:rsidRPr="00B06FBF" w:rsidRDefault="00F05DC7" w:rsidP="00A3786D">
            <w:pPr>
              <w:pStyle w:val="KeyPointsListBullet2"/>
              <w:spacing w:before="90" w:line="250" w:lineRule="atLeast"/>
              <w:rPr>
                <w:spacing w:val="-2"/>
              </w:rPr>
            </w:pPr>
            <w:r w:rsidRPr="00B06FBF">
              <w:rPr>
                <w:spacing w:val="-2"/>
              </w:rPr>
              <w:t xml:space="preserve">These impacts can generally be accommodated by sound budget management processes, and do not represent a case for </w:t>
            </w:r>
            <w:r>
              <w:rPr>
                <w:spacing w:val="-2"/>
              </w:rPr>
              <w:t xml:space="preserve">significant </w:t>
            </w:r>
            <w:r w:rsidRPr="00B06FBF">
              <w:rPr>
                <w:spacing w:val="-2"/>
              </w:rPr>
              <w:t>change</w:t>
            </w:r>
            <w:r>
              <w:rPr>
                <w:spacing w:val="-2"/>
              </w:rPr>
              <w:t>.</w:t>
            </w:r>
          </w:p>
          <w:p w14:paraId="7954A1E1" w14:textId="77777777" w:rsidR="00F05DC7" w:rsidRPr="00B06FBF" w:rsidRDefault="00F05DC7" w:rsidP="00A3786D">
            <w:pPr>
              <w:pStyle w:val="KeyPointsListBullet2"/>
              <w:spacing w:before="90" w:line="250" w:lineRule="atLeast"/>
              <w:rPr>
                <w:spacing w:val="-2"/>
              </w:rPr>
            </w:pPr>
            <w:r w:rsidRPr="00B06FBF">
              <w:rPr>
                <w:spacing w:val="-2"/>
              </w:rPr>
              <w:t>Introducing a shorter assessment period would not offer unequivocal improvements, as there is a trade</w:t>
            </w:r>
            <w:r>
              <w:rPr>
                <w:spacing w:val="-2"/>
              </w:rPr>
              <w:noBreakHyphen/>
            </w:r>
            <w:r w:rsidRPr="00B06FBF">
              <w:rPr>
                <w:spacing w:val="-2"/>
              </w:rPr>
              <w:t xml:space="preserve">off between contemporaneity and smoother, more predictable GST payments. </w:t>
            </w:r>
            <w:r>
              <w:rPr>
                <w:spacing w:val="-2"/>
              </w:rPr>
              <w:t>Further, the</w:t>
            </w:r>
            <w:r w:rsidRPr="00B06FBF">
              <w:rPr>
                <w:spacing w:val="-2"/>
              </w:rPr>
              <w:t xml:space="preserve"> stability of overall revenues is more important for State budget management than GST </w:t>
            </w:r>
            <w:r>
              <w:rPr>
                <w:spacing w:val="-2"/>
              </w:rPr>
              <w:t>payments</w:t>
            </w:r>
            <w:r w:rsidRPr="00B06FBF">
              <w:rPr>
                <w:spacing w:val="-2"/>
              </w:rPr>
              <w:t xml:space="preserve"> alone.</w:t>
            </w:r>
          </w:p>
          <w:p w14:paraId="7954A1E2" w14:textId="77777777" w:rsidR="00F05DC7" w:rsidRPr="00B06FBF" w:rsidRDefault="00F05DC7" w:rsidP="00A3786D">
            <w:pPr>
              <w:pStyle w:val="KeyPointsListBullet2"/>
              <w:spacing w:before="90" w:line="250" w:lineRule="atLeast"/>
              <w:rPr>
                <w:spacing w:val="-2"/>
              </w:rPr>
            </w:pPr>
            <w:r w:rsidRPr="00B06FBF">
              <w:rPr>
                <w:spacing w:val="-2"/>
              </w:rPr>
              <w:t>Reducing the data availability lag would require the use of forecasts, which would introduce additional complexity, volatility and the potential for unintended consequences.</w:t>
            </w:r>
          </w:p>
          <w:p w14:paraId="7954A1E3" w14:textId="77777777" w:rsidR="00F05DC7" w:rsidRPr="00B06FBF" w:rsidRDefault="00F05DC7" w:rsidP="00A3786D">
            <w:pPr>
              <w:pStyle w:val="KeyPointsListBullet"/>
              <w:spacing w:before="90" w:line="250" w:lineRule="atLeast"/>
              <w:ind w:left="284" w:hanging="284"/>
              <w:rPr>
                <w:spacing w:val="-2"/>
              </w:rPr>
            </w:pPr>
            <w:r w:rsidRPr="00B06FBF">
              <w:rPr>
                <w:spacing w:val="-2"/>
              </w:rPr>
              <w:t>The three</w:t>
            </w:r>
            <w:r w:rsidRPr="00B06FBF">
              <w:rPr>
                <w:spacing w:val="-2"/>
              </w:rPr>
              <w:noBreakHyphen/>
              <w:t xml:space="preserve">year assessment period reduces the volatility of GST payments. Compared with other sources of State </w:t>
            </w:r>
            <w:r>
              <w:rPr>
                <w:spacing w:val="-2"/>
              </w:rPr>
              <w:t>G</w:t>
            </w:r>
            <w:r w:rsidRPr="00B06FBF">
              <w:rPr>
                <w:spacing w:val="-2"/>
              </w:rPr>
              <w:t>overnment revenue, GST payments are relatively stable. Despite this, States have experienced mixed results in budget forecasting.</w:t>
            </w:r>
          </w:p>
          <w:p w14:paraId="7954A1E4" w14:textId="77777777" w:rsidR="00F05DC7" w:rsidRPr="00B06FBF" w:rsidRDefault="00F05DC7" w:rsidP="00A3786D">
            <w:pPr>
              <w:pStyle w:val="KeyPointsListBullet"/>
              <w:spacing w:before="90" w:line="250" w:lineRule="atLeast"/>
              <w:ind w:left="284" w:hanging="284"/>
              <w:rPr>
                <w:spacing w:val="-2"/>
              </w:rPr>
            </w:pPr>
            <w:r w:rsidRPr="00B06FBF">
              <w:rPr>
                <w:spacing w:val="-2"/>
              </w:rPr>
              <w:t xml:space="preserve">GST payments have not been the steady, growing source of revenue for States that was first envisaged. However, this is largely a product of </w:t>
            </w:r>
            <w:r>
              <w:rPr>
                <w:spacing w:val="-2"/>
              </w:rPr>
              <w:t>a rising share</w:t>
            </w:r>
            <w:r w:rsidRPr="00B06FBF">
              <w:rPr>
                <w:spacing w:val="-2"/>
              </w:rPr>
              <w:t xml:space="preserve"> of consumption on education and health services —</w:t>
            </w:r>
            <w:r>
              <w:rPr>
                <w:spacing w:val="-2"/>
              </w:rPr>
              <w:t xml:space="preserve"> </w:t>
            </w:r>
            <w:r w:rsidRPr="00B06FBF">
              <w:rPr>
                <w:spacing w:val="-2"/>
              </w:rPr>
              <w:t xml:space="preserve">which are exempt from the GST tax base — rather than a lack of contemporaneity in how HFE is enacted. </w:t>
            </w:r>
          </w:p>
          <w:p w14:paraId="7954A1E5" w14:textId="77777777" w:rsidR="00F05DC7" w:rsidRPr="007075F5" w:rsidRDefault="00F05DC7" w:rsidP="00A3786D">
            <w:pPr>
              <w:pStyle w:val="KeyPointsListBullet"/>
              <w:spacing w:before="90" w:line="250" w:lineRule="atLeast"/>
              <w:ind w:left="284" w:hanging="284"/>
            </w:pPr>
            <w:r w:rsidRPr="00302D36">
              <w:rPr>
                <w:spacing w:val="-2"/>
              </w:rPr>
              <w:t xml:space="preserve">Although Western Australia currently receives less GST than it would under fully contemporaneous equalisation, it </w:t>
            </w:r>
            <w:r>
              <w:rPr>
                <w:spacing w:val="-2"/>
              </w:rPr>
              <w:t xml:space="preserve">benefited from the lack of contemporaneity </w:t>
            </w:r>
            <w:r w:rsidRPr="00302D36">
              <w:rPr>
                <w:spacing w:val="-2"/>
              </w:rPr>
              <w:t>(</w:t>
            </w:r>
            <w:r>
              <w:rPr>
                <w:spacing w:val="-2"/>
              </w:rPr>
              <w:t>by about</w:t>
            </w:r>
            <w:r w:rsidRPr="00302D36">
              <w:rPr>
                <w:spacing w:val="-2"/>
              </w:rPr>
              <w:t xml:space="preserve"> $7 billion) </w:t>
            </w:r>
            <w:r w:rsidRPr="00B60ED5" w:rsidDel="00B03BB3">
              <w:t>b</w:t>
            </w:r>
            <w:r w:rsidRPr="00B60ED5">
              <w:t>efore the construction phase of the mining boom came to an end</w:t>
            </w:r>
            <w:r>
              <w:t xml:space="preserve"> and while iron</w:t>
            </w:r>
            <w:r w:rsidRPr="00302D36">
              <w:rPr>
                <w:spacing w:val="-2"/>
              </w:rPr>
              <w:t xml:space="preserve"> ore royalties were increasing </w:t>
            </w:r>
            <w:r>
              <w:rPr>
                <w:spacing w:val="-2"/>
              </w:rPr>
              <w:t>(</w:t>
            </w:r>
            <w:r w:rsidRPr="00302D36">
              <w:rPr>
                <w:spacing w:val="-2"/>
              </w:rPr>
              <w:t>between 2010</w:t>
            </w:r>
            <w:r>
              <w:rPr>
                <w:spacing w:val="-2"/>
              </w:rPr>
              <w:noBreakHyphen/>
              <w:t>11 and 2015</w:t>
            </w:r>
            <w:r>
              <w:rPr>
                <w:spacing w:val="-2"/>
              </w:rPr>
              <w:noBreakHyphen/>
            </w:r>
            <w:r w:rsidRPr="00302D36">
              <w:rPr>
                <w:spacing w:val="-2"/>
              </w:rPr>
              <w:t>16</w:t>
            </w:r>
            <w:r>
              <w:rPr>
                <w:spacing w:val="-2"/>
              </w:rPr>
              <w:t>)</w:t>
            </w:r>
            <w:r>
              <w:t>.</w:t>
            </w:r>
            <w:r w:rsidRPr="00B60ED5">
              <w:t xml:space="preserve"> </w:t>
            </w:r>
            <w:r>
              <w:t>Moreover, i</w:t>
            </w:r>
            <w:r w:rsidRPr="00B60ED5">
              <w:t>t is possible that this sum may never be completely ‘unwound’</w:t>
            </w:r>
            <w:r w:rsidRPr="00302D36">
              <w:rPr>
                <w:spacing w:val="-2"/>
              </w:rPr>
              <w:t>.</w:t>
            </w:r>
          </w:p>
          <w:p w14:paraId="7954A1E6" w14:textId="77777777" w:rsidR="00F05DC7" w:rsidRPr="00302D36" w:rsidRDefault="00F05DC7" w:rsidP="00A3786D">
            <w:pPr>
              <w:pStyle w:val="KeyPointsListBullet"/>
              <w:spacing w:before="90" w:line="250" w:lineRule="atLeast"/>
              <w:ind w:left="284" w:hanging="284"/>
              <w:rPr>
                <w:spacing w:val="-2"/>
              </w:rPr>
            </w:pPr>
            <w:r w:rsidRPr="00302D36">
              <w:rPr>
                <w:spacing w:val="-2"/>
              </w:rPr>
              <w:t>Western Australia’s revenue</w:t>
            </w:r>
            <w:r>
              <w:rPr>
                <w:spacing w:val="-2"/>
              </w:rPr>
              <w:noBreakHyphen/>
            </w:r>
            <w:r w:rsidRPr="00302D36">
              <w:rPr>
                <w:spacing w:val="-2"/>
              </w:rPr>
              <w:t>raising capacity remains structurally higher than it was before the mining construction boom</w:t>
            </w:r>
            <w:r>
              <w:rPr>
                <w:spacing w:val="-2"/>
              </w:rPr>
              <w:t xml:space="preserve"> </w:t>
            </w:r>
            <w:r w:rsidRPr="00302D36">
              <w:rPr>
                <w:spacing w:val="-2"/>
              </w:rPr>
              <w:t xml:space="preserve">and </w:t>
            </w:r>
            <w:r>
              <w:rPr>
                <w:spacing w:val="-2"/>
              </w:rPr>
              <w:t>the highest of all the</w:t>
            </w:r>
            <w:r w:rsidRPr="00302D36">
              <w:rPr>
                <w:spacing w:val="-2"/>
              </w:rPr>
              <w:t xml:space="preserve"> States</w:t>
            </w:r>
            <w:r>
              <w:rPr>
                <w:spacing w:val="-2"/>
              </w:rPr>
              <w:t>. Its</w:t>
            </w:r>
            <w:r w:rsidRPr="00302D36">
              <w:rPr>
                <w:spacing w:val="-2"/>
              </w:rPr>
              <w:t xml:space="preserve"> </w:t>
            </w:r>
            <w:r w:rsidRPr="005C2F2F">
              <w:rPr>
                <w:spacing w:val="-2"/>
              </w:rPr>
              <w:t>current (</w:t>
            </w:r>
            <w:r w:rsidRPr="00302D36">
              <w:rPr>
                <w:spacing w:val="-2"/>
              </w:rPr>
              <w:t>low</w:t>
            </w:r>
            <w:r w:rsidRPr="005C2F2F">
              <w:rPr>
                <w:spacing w:val="-2"/>
              </w:rPr>
              <w:t>)</w:t>
            </w:r>
            <w:r w:rsidRPr="00302D36">
              <w:rPr>
                <w:spacing w:val="-2"/>
              </w:rPr>
              <w:t xml:space="preserve"> GST payments are </w:t>
            </w:r>
            <w:r>
              <w:rPr>
                <w:spacing w:val="-2"/>
              </w:rPr>
              <w:t xml:space="preserve">chiefly reflective of this relative </w:t>
            </w:r>
            <w:r w:rsidRPr="005C2F2F">
              <w:rPr>
                <w:spacing w:val="-2"/>
              </w:rPr>
              <w:t xml:space="preserve">fiscal </w:t>
            </w:r>
            <w:r>
              <w:rPr>
                <w:spacing w:val="-2"/>
              </w:rPr>
              <w:t>strength</w:t>
            </w:r>
            <w:r w:rsidRPr="00302D36">
              <w:rPr>
                <w:spacing w:val="-2"/>
              </w:rPr>
              <w:t>.</w:t>
            </w:r>
          </w:p>
          <w:p w14:paraId="7954A1E7" w14:textId="77777777" w:rsidR="00F05DC7" w:rsidRPr="003D45DD" w:rsidRDefault="00F05DC7" w:rsidP="00A3786D">
            <w:pPr>
              <w:pStyle w:val="KeyPointsListBullet"/>
              <w:spacing w:before="90" w:line="250" w:lineRule="atLeast"/>
              <w:ind w:left="284" w:hanging="284"/>
              <w:rPr>
                <w:spacing w:val="-2"/>
              </w:rPr>
            </w:pPr>
            <w:r w:rsidRPr="00B06FBF">
              <w:rPr>
                <w:spacing w:val="-2"/>
              </w:rPr>
              <w:t xml:space="preserve">The current implementation of HFE blurs accountability for State budget outcomes, as it </w:t>
            </w:r>
            <w:r>
              <w:rPr>
                <w:spacing w:val="-2"/>
              </w:rPr>
              <w:t>seeks to address</w:t>
            </w:r>
            <w:r w:rsidRPr="00B06FBF">
              <w:rPr>
                <w:spacing w:val="-2"/>
              </w:rPr>
              <w:t xml:space="preserve"> both vertical and horizontal equalisation. This is exacerbated by overlaps in funding </w:t>
            </w:r>
            <w:r>
              <w:rPr>
                <w:spacing w:val="-2"/>
              </w:rPr>
              <w:t xml:space="preserve">and service delivery </w:t>
            </w:r>
            <w:r w:rsidRPr="00B06FBF">
              <w:rPr>
                <w:spacing w:val="-2"/>
              </w:rPr>
              <w:t xml:space="preserve">responsibilities between the Commonwealth and States. </w:t>
            </w:r>
            <w:r>
              <w:rPr>
                <w:spacing w:val="-2"/>
              </w:rPr>
              <w:t xml:space="preserve">The need for </w:t>
            </w:r>
            <w:r w:rsidRPr="00B06FBF">
              <w:rPr>
                <w:spacing w:val="-2"/>
              </w:rPr>
              <w:t>sustainable and accountable fiscal management by States</w:t>
            </w:r>
            <w:r>
              <w:rPr>
                <w:spacing w:val="-2"/>
              </w:rPr>
              <w:t xml:space="preserve"> is not negated by Australia’s current HFE arrangement.</w:t>
            </w:r>
          </w:p>
        </w:tc>
      </w:tr>
      <w:tr w:rsidR="00F05DC7" w14:paraId="7954A1EA" w14:textId="77777777" w:rsidTr="00A3786D">
        <w:tc>
          <w:tcPr>
            <w:tcW w:w="5000" w:type="pct"/>
            <w:tcBorders>
              <w:top w:val="nil"/>
              <w:left w:val="nil"/>
              <w:bottom w:val="single" w:sz="6" w:space="0" w:color="78A22F"/>
              <w:right w:val="nil"/>
            </w:tcBorders>
            <w:shd w:val="clear" w:color="auto" w:fill="F2F2F2"/>
          </w:tcPr>
          <w:p w14:paraId="7954A1E9" w14:textId="77777777" w:rsidR="00F05DC7" w:rsidRDefault="00F05DC7" w:rsidP="00A3786D">
            <w:pPr>
              <w:pStyle w:val="Box"/>
              <w:spacing w:before="0" w:line="120" w:lineRule="exact"/>
            </w:pPr>
          </w:p>
        </w:tc>
      </w:tr>
      <w:tr w:rsidR="00F05DC7" w:rsidRPr="000863A5" w14:paraId="7954A1EC" w14:textId="77777777" w:rsidTr="00A3786D">
        <w:tc>
          <w:tcPr>
            <w:tcW w:w="5000" w:type="pct"/>
            <w:tcBorders>
              <w:top w:val="single" w:sz="6" w:space="0" w:color="78A22F"/>
              <w:left w:val="nil"/>
              <w:bottom w:val="nil"/>
              <w:right w:val="nil"/>
            </w:tcBorders>
          </w:tcPr>
          <w:p w14:paraId="7954A1EB" w14:textId="77777777" w:rsidR="00F05DC7" w:rsidRPr="00626D32" w:rsidRDefault="00F05DC7" w:rsidP="00A3786D">
            <w:pPr>
              <w:pStyle w:val="BoxSpaceBelow"/>
            </w:pPr>
          </w:p>
        </w:tc>
      </w:tr>
    </w:tbl>
    <w:p w14:paraId="7954A1ED" w14:textId="77777777" w:rsidR="00F05DC7" w:rsidRDefault="00F05DC7" w:rsidP="00A3786D">
      <w:pPr>
        <w:pStyle w:val="BodyText"/>
      </w:pPr>
      <w:r>
        <w:lastRenderedPageBreak/>
        <w:t xml:space="preserve">The terms of reference ask the Productivity Commission to consider the effect of Australia’s system of HFE on productivity, economic growth and State budget management. Chapter 3 examines how HFE can affect incentives regarding State Government decision making, while chapter 5 considers the influence of Australia’s HFE system on interstate migration. </w:t>
      </w:r>
    </w:p>
    <w:p w14:paraId="7954A1EE" w14:textId="77777777" w:rsidR="00F05DC7" w:rsidRDefault="00F05DC7" w:rsidP="00A3786D">
      <w:pPr>
        <w:pStyle w:val="BodyText"/>
      </w:pPr>
      <w:r>
        <w:t xml:space="preserve">This chapter focuses on how features of Australia’s HFE system affect States’ ability to manage their budgets. More specifically, section 4.1 examines how HFE can alter the impact of economic fluctuations on State budget cycles, while section 4.2 looks at how the volatility of GST payments may impact on State budget planning. </w:t>
      </w:r>
    </w:p>
    <w:p w14:paraId="7954A1EF" w14:textId="3E9A0984" w:rsidR="00F05DC7" w:rsidRDefault="00F05DC7" w:rsidP="00A3786D">
      <w:pPr>
        <w:pStyle w:val="Heading2"/>
      </w:pPr>
      <w:bookmarkStart w:id="83" w:name="_Toc513637714"/>
      <w:r>
        <w:t>4.</w:t>
      </w:r>
      <w:r>
        <w:rPr>
          <w:noProof/>
        </w:rPr>
        <w:t>1</w:t>
      </w:r>
      <w:r>
        <w:tab/>
      </w:r>
      <w:r w:rsidRPr="007B7745">
        <w:t>How does HFE affect State budget cycles?</w:t>
      </w:r>
      <w:bookmarkEnd w:id="83"/>
    </w:p>
    <w:p w14:paraId="7954A1F0" w14:textId="77777777" w:rsidR="00F05DC7" w:rsidRDefault="00F05DC7" w:rsidP="00A3786D">
      <w:pPr>
        <w:pStyle w:val="BodyText"/>
      </w:pPr>
      <w:r w:rsidRPr="00BD458D">
        <w:t>Austral</w:t>
      </w:r>
      <w:r>
        <w:t xml:space="preserve">ia’s HFE system provides most </w:t>
      </w:r>
      <w:r w:rsidRPr="00BD458D">
        <w:t xml:space="preserve">States with a substantial share of </w:t>
      </w:r>
      <w:r>
        <w:t>their</w:t>
      </w:r>
      <w:r w:rsidRPr="00BD458D">
        <w:t xml:space="preserve"> overall revenue. </w:t>
      </w:r>
      <w:r w:rsidRPr="00926045">
        <w:t xml:space="preserve">Over the </w:t>
      </w:r>
      <w:r>
        <w:t>p</w:t>
      </w:r>
      <w:r w:rsidRPr="00926045">
        <w:t>ast 1</w:t>
      </w:r>
      <w:r>
        <w:t>6</w:t>
      </w:r>
      <w:r w:rsidRPr="00926045">
        <w:t xml:space="preserve"> years, GST </w:t>
      </w:r>
      <w:r>
        <w:t>payments</w:t>
      </w:r>
      <w:r w:rsidRPr="00926045">
        <w:t xml:space="preserve"> as a proportion of total </w:t>
      </w:r>
      <w:r>
        <w:t>S</w:t>
      </w:r>
      <w:r w:rsidRPr="00926045">
        <w:t xml:space="preserve">tate revenue have ranged from </w:t>
      </w:r>
      <w:r>
        <w:t>an average of 18 </w:t>
      </w:r>
      <w:r w:rsidRPr="00926045">
        <w:t>per</w:t>
      </w:r>
      <w:r>
        <w:t> </w:t>
      </w:r>
      <w:r w:rsidRPr="00926045">
        <w:t xml:space="preserve">cent (in Western Australia) to </w:t>
      </w:r>
      <w:r>
        <w:t>57 </w:t>
      </w:r>
      <w:r w:rsidRPr="00926045">
        <w:t>per</w:t>
      </w:r>
      <w:r>
        <w:t> </w:t>
      </w:r>
      <w:r w:rsidRPr="00926045">
        <w:t>cent (in</w:t>
      </w:r>
      <w:r>
        <w:t xml:space="preserve"> the</w:t>
      </w:r>
      <w:r w:rsidRPr="00926045">
        <w:t xml:space="preserve"> Northern Territory</w:t>
      </w:r>
      <w:r w:rsidRPr="00C0047C">
        <w:rPr>
          <w:color w:val="000000" w:themeColor="text1"/>
        </w:rPr>
        <w:t>)</w:t>
      </w:r>
      <w:r>
        <w:rPr>
          <w:color w:val="000000" w:themeColor="text1"/>
        </w:rPr>
        <w:t xml:space="preserve"> (figure 4.1)</w:t>
      </w:r>
      <w:r w:rsidRPr="00C0047C">
        <w:rPr>
          <w:color w:val="000000" w:themeColor="text1"/>
        </w:rPr>
        <w:t xml:space="preserve">. As </w:t>
      </w:r>
      <w:r>
        <w:t>a result</w:t>
      </w:r>
      <w:r w:rsidRPr="00953996">
        <w:t xml:space="preserve">, </w:t>
      </w:r>
      <w:r>
        <w:t>HFE</w:t>
      </w:r>
      <w:r w:rsidRPr="003F51D4">
        <w:t xml:space="preserve"> </w:t>
      </w:r>
      <w:r>
        <w:t>has</w:t>
      </w:r>
      <w:r w:rsidRPr="003F51D4">
        <w:t xml:space="preserve"> </w:t>
      </w:r>
      <w:r>
        <w:t xml:space="preserve">considerable scope to influence </w:t>
      </w:r>
      <w:r w:rsidRPr="003F51D4">
        <w:t>States</w:t>
      </w:r>
      <w:r>
        <w:t>’</w:t>
      </w:r>
      <w:r w:rsidRPr="003F51D4">
        <w:t xml:space="preserve"> </w:t>
      </w:r>
      <w:r>
        <w:t xml:space="preserve">budget outcomes and management. </w:t>
      </w:r>
    </w:p>
    <w:p w14:paraId="7954A1F1" w14:textId="77777777" w:rsidR="00F05DC7" w:rsidRDefault="00F05DC7" w:rsidP="00A3786D">
      <w:pPr>
        <w:pStyle w:val="BodyText"/>
      </w:pPr>
      <w:r>
        <w:t>One recurring theme of consultation with participants was that, while equalisation payments help to smooth fluctuations in individual States’ financial circumstances, shorter</w:t>
      </w:r>
      <w:r>
        <w:noBreakHyphen/>
        <w:t>term shocks can see a lack of contemporaneity (timeliness) in those payments amplifying fluctuations.</w:t>
      </w:r>
    </w:p>
    <w:p w14:paraId="7954A1F2" w14:textId="77777777" w:rsidR="00F05DC7" w:rsidRDefault="00F05DC7" w:rsidP="00A3786D">
      <w:pPr>
        <w:pStyle w:val="Heading3"/>
      </w:pPr>
      <w:r>
        <w:t>GST payments can help to smooth out fiscal disparities due to localised shocks …</w:t>
      </w:r>
    </w:p>
    <w:p w14:paraId="7954A1F3" w14:textId="77777777" w:rsidR="00F05DC7" w:rsidRDefault="00F05DC7" w:rsidP="00A3786D">
      <w:pPr>
        <w:pStyle w:val="BodyText"/>
      </w:pPr>
      <w:r>
        <w:t>States’ year</w:t>
      </w:r>
      <w:r>
        <w:noBreakHyphen/>
        <w:t>to</w:t>
      </w:r>
      <w:r>
        <w:noBreakHyphen/>
        <w:t>year fiscal capacities are affected not only by long</w:t>
      </w:r>
      <w:r>
        <w:noBreakHyphen/>
        <w:t>term structural factors such as demographics and remoteness (discussed in chapter 3), but also by business cycles and economic shocks. While structural factors tend to have a consistently positive or negative effect on fiscal capacities, economic shocks have the potential to either attenuate or exacerbate a State’s budget position. These types of shocks include natural disasters (box 4.1), rapid commodity price changes, and transformational technologies.</w:t>
      </w:r>
    </w:p>
    <w:p w14:paraId="7954A1F4" w14:textId="4EA91557" w:rsidR="00F05DC7" w:rsidRDefault="00F05DC7" w:rsidP="00A3786D">
      <w:pPr>
        <w:pStyle w:val="BodyText"/>
      </w:pPr>
      <w:r>
        <w:t>During a localised downturn, more contemporaneous equalisation payments can offset declines in States’ own</w:t>
      </w:r>
      <w:r>
        <w:noBreakHyphen/>
        <w:t xml:space="preserve">source revenue or increases in expenditure requirements, reducing the need for States to run budget deficits or reduce their expenditure </w:t>
      </w:r>
      <w:r w:rsidRPr="00EB0684">
        <w:rPr>
          <w:szCs w:val="24"/>
        </w:rPr>
        <w:t>(Smart 2004, pp. 197</w:t>
      </w:r>
      <w:r>
        <w:rPr>
          <w:szCs w:val="24"/>
        </w:rPr>
        <w:noBreakHyphen/>
      </w:r>
      <w:r w:rsidRPr="00EB0684">
        <w:rPr>
          <w:szCs w:val="24"/>
        </w:rPr>
        <w:t>198)</w:t>
      </w:r>
      <w:r>
        <w:t>. In contrast, were a nationwide downturn to take place, HFE would not be able to offset all States’ declines in their other revenues. As Hancock put it:</w:t>
      </w:r>
    </w:p>
    <w:p w14:paraId="7954A1F5" w14:textId="77777777" w:rsidR="00F05DC7" w:rsidRDefault="00F05DC7" w:rsidP="00A3786D">
      <w:pPr>
        <w:pStyle w:val="Quote"/>
        <w:spacing w:after="240"/>
      </w:pPr>
      <w:r>
        <w:t>No State can escape the fiscal consequences of a collective downturn in the Australian States’ fiscal position. But HFE protects a State from isolated variations in its own fiscal position at the cost of some exposure to variations in the States’ collective fiscal position. HFE is a risk pooling mechanism and can be seen as providing ‘insurance’ for State budgets. (Hancock, sub. 54, p. 8)</w:t>
      </w: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425"/>
        <w:gridCol w:w="8364"/>
      </w:tblGrid>
      <w:tr w:rsidR="00F05DC7" w14:paraId="7954A1F8" w14:textId="77777777" w:rsidTr="001113B1">
        <w:trPr>
          <w:trHeight w:val="341"/>
          <w:tblHeader/>
        </w:trPr>
        <w:tc>
          <w:tcPr>
            <w:tcW w:w="242" w:type="pct"/>
            <w:tcBorders>
              <w:top w:val="single" w:sz="6" w:space="0" w:color="78A22F"/>
              <w:left w:val="nil"/>
              <w:bottom w:val="nil"/>
              <w:right w:val="nil"/>
            </w:tcBorders>
          </w:tcPr>
          <w:p w14:paraId="7954A1F6" w14:textId="77777777" w:rsidR="00F05DC7" w:rsidRPr="00784A05" w:rsidRDefault="00F05DC7" w:rsidP="00A3786D">
            <w:pPr>
              <w:pStyle w:val="FigureTitle"/>
              <w:rPr>
                <w:b w:val="0"/>
              </w:rPr>
            </w:pPr>
          </w:p>
        </w:tc>
        <w:tc>
          <w:tcPr>
            <w:tcW w:w="4758" w:type="pct"/>
            <w:tcBorders>
              <w:top w:val="single" w:sz="6" w:space="0" w:color="78A22F"/>
              <w:left w:val="nil"/>
              <w:bottom w:val="nil"/>
              <w:right w:val="nil"/>
            </w:tcBorders>
            <w:shd w:val="clear" w:color="auto" w:fill="auto"/>
          </w:tcPr>
          <w:p w14:paraId="7954A1F7" w14:textId="7D595107" w:rsidR="00F05DC7" w:rsidRPr="00176D3F" w:rsidRDefault="00F05DC7" w:rsidP="00A3786D">
            <w:pPr>
              <w:pStyle w:val="FigureTitle"/>
              <w:spacing w:after="40" w:line="240" w:lineRule="exact"/>
            </w:pPr>
            <w:r w:rsidRPr="00784A05">
              <w:rPr>
                <w:b w:val="0"/>
              </w:rPr>
              <w:t xml:space="preserve">Figure </w:t>
            </w:r>
            <w:r>
              <w:rPr>
                <w:b w:val="0"/>
              </w:rPr>
              <w:t>4.</w:t>
            </w:r>
            <w:r>
              <w:rPr>
                <w:b w:val="0"/>
                <w:noProof/>
              </w:rPr>
              <w:t>1</w:t>
            </w:r>
            <w:r>
              <w:tab/>
              <w:t>State government sources of revenue</w:t>
            </w:r>
            <w:r w:rsidRPr="00C84402">
              <w:rPr>
                <w:rStyle w:val="NoteLabel"/>
                <w:b/>
                <w:sz w:val="20"/>
              </w:rPr>
              <w:t>a</w:t>
            </w:r>
          </w:p>
        </w:tc>
      </w:tr>
      <w:tr w:rsidR="00F05DC7" w:rsidRPr="00B1465D" w14:paraId="7954A200" w14:textId="77777777" w:rsidTr="00E01D58">
        <w:trPr>
          <w:trHeight w:val="4536"/>
        </w:trPr>
        <w:tc>
          <w:tcPr>
            <w:tcW w:w="242" w:type="pct"/>
            <w:tcBorders>
              <w:top w:val="nil"/>
              <w:left w:val="nil"/>
              <w:right w:val="nil"/>
            </w:tcBorders>
            <w:textDirection w:val="btLr"/>
          </w:tcPr>
          <w:p w14:paraId="7954A1F9" w14:textId="77777777" w:rsidR="00F05DC7" w:rsidRPr="00931084" w:rsidRDefault="00F05DC7" w:rsidP="00A3786D">
            <w:pPr>
              <w:pStyle w:val="Figure"/>
              <w:spacing w:before="0" w:after="0"/>
              <w:rPr>
                <w:rFonts w:ascii="Arial" w:hAnsi="Arial" w:cs="Arial"/>
                <w:sz w:val="20"/>
              </w:rPr>
            </w:pPr>
            <w:r w:rsidRPr="00931084">
              <w:rPr>
                <w:rFonts w:ascii="Arial" w:hAnsi="Arial" w:cs="Arial"/>
                <w:b/>
                <w:bCs/>
                <w:sz w:val="20"/>
              </w:rPr>
              <w:t xml:space="preserve">Share of </w:t>
            </w:r>
            <w:r>
              <w:rPr>
                <w:rFonts w:ascii="Arial" w:hAnsi="Arial" w:cs="Arial"/>
                <w:b/>
                <w:bCs/>
                <w:sz w:val="20"/>
              </w:rPr>
              <w:t>S</w:t>
            </w:r>
            <w:r w:rsidRPr="00931084">
              <w:rPr>
                <w:rFonts w:ascii="Arial" w:hAnsi="Arial" w:cs="Arial"/>
                <w:b/>
                <w:bCs/>
                <w:sz w:val="20"/>
              </w:rPr>
              <w:t>tate revenue (per cent)</w:t>
            </w:r>
          </w:p>
          <w:p w14:paraId="7954A1FA" w14:textId="77777777" w:rsidR="00F05DC7" w:rsidRDefault="00F05DC7" w:rsidP="00A3786D">
            <w:pPr>
              <w:pStyle w:val="Figure"/>
              <w:ind w:left="113" w:right="113"/>
              <w:rPr>
                <w:rFonts w:ascii="Arial" w:hAnsi="Arial" w:cs="Arial"/>
                <w:sz w:val="18"/>
                <w:szCs w:val="18"/>
              </w:rPr>
            </w:pPr>
          </w:p>
          <w:p w14:paraId="7954A1FB" w14:textId="77777777" w:rsidR="00F05DC7" w:rsidRDefault="00F05DC7" w:rsidP="00A3786D">
            <w:pPr>
              <w:pStyle w:val="Figure"/>
              <w:ind w:left="113" w:right="113"/>
              <w:rPr>
                <w:rFonts w:ascii="Arial" w:hAnsi="Arial" w:cs="Arial"/>
                <w:sz w:val="18"/>
                <w:szCs w:val="18"/>
              </w:rPr>
            </w:pPr>
          </w:p>
        </w:tc>
        <w:tc>
          <w:tcPr>
            <w:tcW w:w="4758" w:type="pct"/>
            <w:tcBorders>
              <w:top w:val="nil"/>
              <w:left w:val="nil"/>
              <w:right w:val="nil"/>
            </w:tcBorders>
            <w:shd w:val="clear" w:color="auto" w:fill="auto"/>
          </w:tcPr>
          <w:p w14:paraId="7954A1FF" w14:textId="2BFD7D72" w:rsidR="00F05DC7" w:rsidRPr="00B1465D" w:rsidRDefault="00E01D58" w:rsidP="00A3786D">
            <w:pPr>
              <w:pStyle w:val="Figure"/>
              <w:spacing w:before="20" w:after="30" w:line="200" w:lineRule="atLeast"/>
              <w:rPr>
                <w:rFonts w:ascii="Arial" w:hAnsi="Arial" w:cs="Arial"/>
                <w:sz w:val="18"/>
                <w:szCs w:val="18"/>
              </w:rPr>
            </w:pPr>
            <w:r w:rsidRPr="00E01D58">
              <w:rPr>
                <w:rFonts w:ascii="Arial" w:hAnsi="Arial" w:cs="Arial"/>
                <w:noProof/>
                <w:sz w:val="18"/>
                <w:szCs w:val="18"/>
              </w:rPr>
              <w:drawing>
                <wp:inline distT="0" distB="0" distL="0" distR="0" wp14:anchorId="188445A1" wp14:editId="3520EA94">
                  <wp:extent cx="5128260" cy="6683375"/>
                  <wp:effectExtent l="0" t="0" r="0" b="3175"/>
                  <wp:docPr id="189" name="Picture 189" descr="This figure shows the share of revenue raised by States from: interest income, sales of goods and services, taxation revenue, non GST grants, GST payments and ‘other revenue’. For most States, GST payments comprise around 20 to 25 per cent of revenue from 2000 to 2015. This figure is much higher for the Norther Territory (above 50 per cent in all years) and lower for Western Australia (dropping below 10 per cent in rec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28260" cy="6683375"/>
                          </a:xfrm>
                          <a:prstGeom prst="rect">
                            <a:avLst/>
                          </a:prstGeom>
                          <a:noFill/>
                          <a:ln>
                            <a:noFill/>
                          </a:ln>
                        </pic:spPr>
                      </pic:pic>
                    </a:graphicData>
                  </a:graphic>
                </wp:inline>
              </w:drawing>
            </w:r>
          </w:p>
        </w:tc>
      </w:tr>
      <w:tr w:rsidR="00F05DC7" w:rsidRPr="00B1465D" w14:paraId="7954A215" w14:textId="77777777" w:rsidTr="00A3786D">
        <w:trPr>
          <w:trHeight w:val="504"/>
        </w:trPr>
        <w:tc>
          <w:tcPr>
            <w:tcW w:w="242" w:type="pct"/>
            <w:tcBorders>
              <w:top w:val="nil"/>
              <w:left w:val="nil"/>
              <w:bottom w:val="nil"/>
              <w:right w:val="nil"/>
            </w:tcBorders>
          </w:tcPr>
          <w:p w14:paraId="7954A213" w14:textId="77777777" w:rsidR="00F05DC7" w:rsidRDefault="00F05DC7" w:rsidP="00A3786D">
            <w:pPr>
              <w:pStyle w:val="Figure"/>
              <w:rPr>
                <w:rFonts w:ascii="Arial" w:hAnsi="Arial" w:cs="Arial"/>
                <w:sz w:val="18"/>
                <w:szCs w:val="18"/>
              </w:rPr>
            </w:pPr>
          </w:p>
        </w:tc>
        <w:tc>
          <w:tcPr>
            <w:tcW w:w="4758" w:type="pct"/>
            <w:tcBorders>
              <w:top w:val="nil"/>
              <w:left w:val="nil"/>
              <w:bottom w:val="nil"/>
              <w:right w:val="nil"/>
            </w:tcBorders>
            <w:shd w:val="clear" w:color="auto" w:fill="auto"/>
          </w:tcPr>
          <w:p w14:paraId="7954A214" w14:textId="77777777" w:rsidR="00F05DC7" w:rsidRDefault="00F05DC7" w:rsidP="00A3786D">
            <w:pPr>
              <w:pStyle w:val="Figure"/>
              <w:spacing w:before="20" w:after="20" w:line="220" w:lineRule="atLeast"/>
              <w:rPr>
                <w:noProof/>
              </w:rPr>
            </w:pPr>
            <w:r>
              <w:rPr>
                <w:noProof/>
              </w:rPr>
              <w:drawing>
                <wp:inline distT="0" distB="0" distL="0" distR="0" wp14:anchorId="7954D5D9" wp14:editId="55FA7214">
                  <wp:extent cx="4961250" cy="320040"/>
                  <wp:effectExtent l="0" t="0" r="0" b="3810"/>
                  <wp:docPr id="47" name="Picture 47" descr="This is the legend to the above figure" title="2000-01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16593" cy="362315"/>
                          </a:xfrm>
                          <a:prstGeom prst="rect">
                            <a:avLst/>
                          </a:prstGeom>
                        </pic:spPr>
                      </pic:pic>
                    </a:graphicData>
                  </a:graphic>
                </wp:inline>
              </w:drawing>
            </w:r>
          </w:p>
        </w:tc>
      </w:tr>
      <w:tr w:rsidR="00F05DC7" w:rsidRPr="00176D3F" w14:paraId="7954A218" w14:textId="77777777" w:rsidTr="00A3786D">
        <w:tc>
          <w:tcPr>
            <w:tcW w:w="242" w:type="pct"/>
            <w:tcBorders>
              <w:top w:val="nil"/>
              <w:left w:val="nil"/>
              <w:bottom w:val="nil"/>
              <w:right w:val="nil"/>
            </w:tcBorders>
          </w:tcPr>
          <w:p w14:paraId="7954A216" w14:textId="77777777" w:rsidR="00F05DC7" w:rsidRPr="00230698" w:rsidRDefault="00F05DC7" w:rsidP="00A3786D">
            <w:pPr>
              <w:pStyle w:val="Source"/>
              <w:rPr>
                <w:i/>
              </w:rPr>
            </w:pPr>
          </w:p>
        </w:tc>
        <w:tc>
          <w:tcPr>
            <w:tcW w:w="4758" w:type="pct"/>
            <w:tcBorders>
              <w:top w:val="nil"/>
              <w:left w:val="nil"/>
              <w:bottom w:val="nil"/>
              <w:right w:val="nil"/>
            </w:tcBorders>
            <w:shd w:val="clear" w:color="auto" w:fill="auto"/>
          </w:tcPr>
          <w:p w14:paraId="7954A217" w14:textId="77777777" w:rsidR="00F05DC7" w:rsidRPr="00230698" w:rsidRDefault="00F05DC7" w:rsidP="00A3786D">
            <w:pPr>
              <w:pStyle w:val="Source"/>
              <w:spacing w:before="60"/>
              <w:rPr>
                <w:i/>
              </w:rPr>
            </w:pPr>
            <w:r>
              <w:rPr>
                <w:rStyle w:val="NoteLabel"/>
              </w:rPr>
              <w:t>a</w:t>
            </w:r>
            <w:r>
              <w:t xml:space="preserve"> The data underlying these figures may differ from those published in State financial statements due to ABS adjustments. See ABS (</w:t>
            </w:r>
            <w:r w:rsidRPr="00B846E1">
              <w:rPr>
                <w:i/>
              </w:rPr>
              <w:t>Australian System of Government Finance Statistics: Concepts, Sources and Methods, 2015</w:t>
            </w:r>
            <w:r>
              <w:t>, Cat. no. 5514.0).</w:t>
            </w:r>
          </w:p>
        </w:tc>
      </w:tr>
      <w:tr w:rsidR="00F05DC7" w:rsidRPr="00176D3F" w14:paraId="7954A21B" w14:textId="77777777" w:rsidTr="00A3786D">
        <w:tc>
          <w:tcPr>
            <w:tcW w:w="242" w:type="pct"/>
            <w:tcBorders>
              <w:top w:val="nil"/>
              <w:left w:val="nil"/>
              <w:bottom w:val="nil"/>
              <w:right w:val="nil"/>
            </w:tcBorders>
          </w:tcPr>
          <w:p w14:paraId="7954A219" w14:textId="77777777" w:rsidR="00F05DC7" w:rsidRPr="00230698" w:rsidRDefault="00F05DC7" w:rsidP="00A3786D">
            <w:pPr>
              <w:pStyle w:val="Source"/>
              <w:rPr>
                <w:i/>
              </w:rPr>
            </w:pPr>
          </w:p>
        </w:tc>
        <w:tc>
          <w:tcPr>
            <w:tcW w:w="4758" w:type="pct"/>
            <w:tcBorders>
              <w:top w:val="nil"/>
              <w:left w:val="nil"/>
              <w:bottom w:val="nil"/>
              <w:right w:val="nil"/>
            </w:tcBorders>
            <w:shd w:val="clear" w:color="auto" w:fill="auto"/>
          </w:tcPr>
          <w:p w14:paraId="7954A21A" w14:textId="77777777" w:rsidR="00F05DC7" w:rsidRPr="00176D3F" w:rsidRDefault="00F05DC7" w:rsidP="00A3786D">
            <w:pPr>
              <w:pStyle w:val="Source"/>
              <w:spacing w:before="60"/>
            </w:pPr>
            <w:r w:rsidRPr="00230698">
              <w:rPr>
                <w:i/>
              </w:rPr>
              <w:t>Sour</w:t>
            </w:r>
            <w:r w:rsidRPr="00874CB7">
              <w:rPr>
                <w:i/>
              </w:rPr>
              <w:t>ce</w:t>
            </w:r>
            <w:r w:rsidRPr="00176D3F">
              <w:t xml:space="preserve">: </w:t>
            </w:r>
            <w:r>
              <w:t>Productivity Commission estimates based on ABS (</w:t>
            </w:r>
            <w:r w:rsidRPr="00B827D9">
              <w:rPr>
                <w:i/>
              </w:rPr>
              <w:t>Government Finance Statistics, Australia, 2015</w:t>
            </w:r>
            <w:r w:rsidRPr="00B827D9">
              <w:rPr>
                <w:i/>
              </w:rPr>
              <w:noBreakHyphen/>
              <w:t>16</w:t>
            </w:r>
            <w:r>
              <w:t xml:space="preserve">, </w:t>
            </w:r>
            <w:r w:rsidRPr="00EE43FF">
              <w:t>Cat. no. 5512.0</w:t>
            </w:r>
            <w:r>
              <w:t>) and Treasury (pers. comm., 20 July 2017).</w:t>
            </w:r>
          </w:p>
        </w:tc>
      </w:tr>
      <w:tr w:rsidR="00F05DC7" w14:paraId="7954A21E" w14:textId="77777777" w:rsidTr="00A3786D">
        <w:tc>
          <w:tcPr>
            <w:tcW w:w="242" w:type="pct"/>
            <w:tcBorders>
              <w:top w:val="nil"/>
              <w:left w:val="nil"/>
              <w:bottom w:val="single" w:sz="6" w:space="0" w:color="78A22F"/>
              <w:right w:val="nil"/>
            </w:tcBorders>
          </w:tcPr>
          <w:p w14:paraId="7954A21C" w14:textId="77777777" w:rsidR="00F05DC7" w:rsidRPr="00B846E1" w:rsidRDefault="00F05DC7" w:rsidP="00A3786D">
            <w:pPr>
              <w:pStyle w:val="Figurespace"/>
              <w:keepNext w:val="0"/>
              <w:spacing w:line="80" w:lineRule="exact"/>
              <w:rPr>
                <w:sz w:val="12"/>
              </w:rPr>
            </w:pPr>
          </w:p>
        </w:tc>
        <w:tc>
          <w:tcPr>
            <w:tcW w:w="4758" w:type="pct"/>
            <w:tcBorders>
              <w:top w:val="nil"/>
              <w:left w:val="nil"/>
              <w:bottom w:val="single" w:sz="6" w:space="0" w:color="78A22F"/>
              <w:right w:val="nil"/>
            </w:tcBorders>
            <w:shd w:val="clear" w:color="auto" w:fill="auto"/>
          </w:tcPr>
          <w:p w14:paraId="7954A21D" w14:textId="77777777" w:rsidR="00F05DC7" w:rsidRPr="00B846E1" w:rsidRDefault="00F05DC7" w:rsidP="00A3786D">
            <w:pPr>
              <w:pStyle w:val="Figurespace"/>
              <w:keepNext w:val="0"/>
              <w:spacing w:line="80" w:lineRule="exact"/>
              <w:rPr>
                <w:sz w:val="12"/>
              </w:rPr>
            </w:pPr>
          </w:p>
        </w:tc>
      </w:tr>
    </w:tbl>
    <w:p w14:paraId="7954A21F"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221" w14:textId="77777777" w:rsidTr="00A3786D">
        <w:trPr>
          <w:tblHeader/>
        </w:trPr>
        <w:tc>
          <w:tcPr>
            <w:tcW w:w="5000" w:type="pct"/>
            <w:tcBorders>
              <w:top w:val="single" w:sz="6" w:space="0" w:color="78A22F"/>
              <w:left w:val="nil"/>
              <w:bottom w:val="nil"/>
              <w:right w:val="nil"/>
            </w:tcBorders>
            <w:shd w:val="clear" w:color="auto" w:fill="F2F2F2"/>
          </w:tcPr>
          <w:p w14:paraId="7954A220" w14:textId="15F78649" w:rsidR="00F05DC7" w:rsidRDefault="00F05DC7" w:rsidP="00A3786D">
            <w:pPr>
              <w:pStyle w:val="BoxTitle"/>
            </w:pPr>
            <w:r>
              <w:rPr>
                <w:b w:val="0"/>
              </w:rPr>
              <w:t>Box 4.</w:t>
            </w:r>
            <w:r>
              <w:rPr>
                <w:b w:val="0"/>
                <w:noProof/>
              </w:rPr>
              <w:t>1</w:t>
            </w:r>
            <w:r>
              <w:tab/>
              <w:t>Natural disasters and Queensland’s relativity</w:t>
            </w:r>
          </w:p>
        </w:tc>
      </w:tr>
      <w:tr w:rsidR="00F05DC7" w14:paraId="7954A226" w14:textId="77777777" w:rsidTr="00A3786D">
        <w:tc>
          <w:tcPr>
            <w:tcW w:w="5000" w:type="pct"/>
            <w:tcBorders>
              <w:top w:val="nil"/>
              <w:left w:val="nil"/>
              <w:bottom w:val="nil"/>
              <w:right w:val="nil"/>
            </w:tcBorders>
            <w:shd w:val="clear" w:color="auto" w:fill="F2F2F2"/>
          </w:tcPr>
          <w:p w14:paraId="7954A222" w14:textId="0A827E18" w:rsidR="00F05DC7" w:rsidRPr="00004F7B" w:rsidRDefault="00F05DC7" w:rsidP="00A3786D">
            <w:pPr>
              <w:pStyle w:val="Box"/>
            </w:pPr>
            <w:r w:rsidRPr="00004F7B">
              <w:t>Between 2009 and 2014, Queensland experienced a particularly severe succession of tropical cyclones and floods (Queensland Government 2013, p. 5). These events adversely affected both the State’s revenue</w:t>
            </w:r>
            <w:r>
              <w:noBreakHyphen/>
            </w:r>
            <w:r w:rsidRPr="00004F7B">
              <w:t>raising capacity (for example, through the destruction of infrastructure and properties) and expenditure needs (due to greater emergency services expenditure, and the need to repair and replace damaged infrastructure — though some of this was funded by quarantined Commonwealth grants) (CGC 2012, p. 5).</w:t>
            </w:r>
          </w:p>
          <w:p w14:paraId="7954A223" w14:textId="692E6BB6" w:rsidR="00F05DC7" w:rsidRPr="00004F7B" w:rsidRDefault="00F05DC7" w:rsidP="00A3786D">
            <w:pPr>
              <w:pStyle w:val="Box"/>
            </w:pPr>
            <w:r w:rsidRPr="00004F7B">
              <w:t>Once the fiscal impacts of these natural disasters began to flow through into the CGC’s assessments of fiscal capacity in the 2012</w:t>
            </w:r>
            <w:r w:rsidRPr="00004F7B">
              <w:noBreakHyphen/>
              <w:t>13 update, Queensland’s relativity began to increase substantially (from 0.916 in 2009</w:t>
            </w:r>
            <w:r w:rsidRPr="00004F7B">
              <w:noBreakHyphen/>
              <w:t>10, up to 1.188 in 2017</w:t>
            </w:r>
            <w:r w:rsidRPr="00004F7B">
              <w:noBreakHyphen/>
              <w:t xml:space="preserve">18) </w:t>
            </w:r>
            <w:r w:rsidR="009D6331" w:rsidRPr="009D6331">
              <w:rPr>
                <w:rFonts w:cs="Arial"/>
                <w:szCs w:val="24"/>
              </w:rPr>
              <w:t>(CGC 2018g)</w:t>
            </w:r>
            <w:r w:rsidRPr="00004F7B">
              <w:t>.</w:t>
            </w:r>
          </w:p>
          <w:p w14:paraId="7954A224" w14:textId="77777777" w:rsidR="00F05DC7" w:rsidRPr="00004F7B" w:rsidRDefault="00F05DC7" w:rsidP="00A3786D">
            <w:pPr>
              <w:pStyle w:val="Box"/>
            </w:pPr>
            <w:r w:rsidRPr="00004F7B">
              <w:t xml:space="preserve">Although natural disasters are sudden and relatively unexpected occurrences (and occur over only short periods of time), in some circumstances they can be considered structural </w:t>
            </w:r>
            <w:r>
              <w:t>disadvantages</w:t>
            </w:r>
            <w:r w:rsidRPr="00004F7B">
              <w:t xml:space="preserve"> rather than cyclical events, particularly for the States that experience disasters more frequently (such as Queensland and the Northern Territory). </w:t>
            </w:r>
          </w:p>
          <w:p w14:paraId="7954A225" w14:textId="1E138646" w:rsidR="00F05DC7" w:rsidRPr="00004F7B" w:rsidRDefault="00F05DC7" w:rsidP="009D6331">
            <w:pPr>
              <w:pStyle w:val="Box"/>
            </w:pPr>
            <w:r w:rsidRPr="00004F7B">
              <w:t xml:space="preserve">However, unlike most structural </w:t>
            </w:r>
            <w:r>
              <w:t>disadvantages</w:t>
            </w:r>
            <w:r w:rsidRPr="00004F7B">
              <w:t>, the risk exposure to costs arising from natural disasters is not entirely out of States’ control. State land planning management and investment in disaster mitigation initiatives can reduce the budgetary impact of disasters, but States’ incentives to do these can be distorted by HFE’s treatment of disaster</w:t>
            </w:r>
            <w:r>
              <w:noBreakHyphen/>
            </w:r>
            <w:r w:rsidRPr="00004F7B">
              <w:t xml:space="preserve">related expenditure. The Productivity Commission has previously found that the equalisation of spending on natural disaster recovery, but not of mitigation expenses, biases States’ incentives to effectively manage natural disaster risks </w:t>
            </w:r>
            <w:r w:rsidR="009D6331" w:rsidRPr="009D6331">
              <w:rPr>
                <w:rFonts w:cs="Arial"/>
                <w:szCs w:val="24"/>
              </w:rPr>
              <w:t>(PC 2014b, p. 33)</w:t>
            </w:r>
            <w:r w:rsidRPr="00004F7B">
              <w:t>.</w:t>
            </w:r>
          </w:p>
        </w:tc>
      </w:tr>
      <w:tr w:rsidR="00F05DC7" w14:paraId="7954A228" w14:textId="77777777" w:rsidTr="00A3786D">
        <w:tc>
          <w:tcPr>
            <w:tcW w:w="5000" w:type="pct"/>
            <w:tcBorders>
              <w:top w:val="nil"/>
              <w:left w:val="nil"/>
              <w:bottom w:val="single" w:sz="6" w:space="0" w:color="78A22F"/>
              <w:right w:val="nil"/>
            </w:tcBorders>
            <w:shd w:val="clear" w:color="auto" w:fill="F2F2F2"/>
          </w:tcPr>
          <w:p w14:paraId="7954A227" w14:textId="77777777" w:rsidR="00F05DC7" w:rsidRDefault="00F05DC7" w:rsidP="00A3786D">
            <w:pPr>
              <w:pStyle w:val="Box"/>
              <w:spacing w:before="0" w:line="120" w:lineRule="exact"/>
            </w:pPr>
          </w:p>
        </w:tc>
      </w:tr>
      <w:tr w:rsidR="00F05DC7" w:rsidRPr="000863A5" w14:paraId="7954A22A" w14:textId="77777777" w:rsidTr="00A3786D">
        <w:tc>
          <w:tcPr>
            <w:tcW w:w="5000" w:type="pct"/>
            <w:tcBorders>
              <w:top w:val="single" w:sz="6" w:space="0" w:color="78A22F"/>
              <w:left w:val="nil"/>
              <w:bottom w:val="nil"/>
              <w:right w:val="nil"/>
            </w:tcBorders>
          </w:tcPr>
          <w:p w14:paraId="7954A229" w14:textId="77777777" w:rsidR="00F05DC7" w:rsidRPr="00626D32" w:rsidRDefault="00F05DC7" w:rsidP="00A3786D">
            <w:pPr>
              <w:pStyle w:val="BoxSpaceBelow"/>
            </w:pPr>
          </w:p>
        </w:tc>
      </w:tr>
    </w:tbl>
    <w:p w14:paraId="7954A22B" w14:textId="77777777" w:rsidR="00F05DC7" w:rsidRDefault="00F05DC7" w:rsidP="00A3786D">
      <w:pPr>
        <w:pStyle w:val="Heading3"/>
      </w:pPr>
      <w:r>
        <w:t>… but a lack of contemporaneity can amplify budget fluctuations</w:t>
      </w:r>
    </w:p>
    <w:p w14:paraId="7954A22C" w14:textId="77777777" w:rsidR="00F05DC7" w:rsidRDefault="00F05DC7" w:rsidP="00A3786D">
      <w:pPr>
        <w:pStyle w:val="BodyText"/>
      </w:pPr>
      <w:r>
        <w:t xml:space="preserve">By contrast, less contemporaneous equalisation can exacerbate the budget cycle where State fiscal situations change abruptly and equalisation payments fail to reflect new circumstances. Less contemporaneous equalisation will nevertheless respond over the longer term to </w:t>
      </w:r>
      <w:r w:rsidRPr="00DB38F0">
        <w:rPr>
          <w:i/>
        </w:rPr>
        <w:t>structural</w:t>
      </w:r>
      <w:r>
        <w:t xml:space="preserve"> change in States’ fiscal capacities. </w:t>
      </w:r>
    </w:p>
    <w:p w14:paraId="7954A22D" w14:textId="77777777" w:rsidR="00F05DC7" w:rsidRDefault="00F05DC7" w:rsidP="00A3786D">
      <w:pPr>
        <w:pStyle w:val="Heading4"/>
      </w:pPr>
      <w:r>
        <w:t>How does a lack of contemporaneity arise?</w:t>
      </w:r>
    </w:p>
    <w:p w14:paraId="7954A22E" w14:textId="77777777" w:rsidR="00F05DC7" w:rsidRDefault="00F05DC7" w:rsidP="00A3786D">
      <w:pPr>
        <w:pStyle w:val="BodyText"/>
      </w:pPr>
      <w:r w:rsidRPr="00586FA2">
        <w:t>Two key features of Australia’s HFE system limit the contemporaneity of GST payments. First, relativities are averaged over a number of years (the assessment period). Second, there is a lag between the assessment period and the year in which relativities apply</w:t>
      </w:r>
      <w:r>
        <w:t xml:space="preserve"> (the application year)</w:t>
      </w:r>
      <w:r w:rsidRPr="00586FA2">
        <w:t xml:space="preserve">, which is the result of delays in data availability. </w:t>
      </w:r>
    </w:p>
    <w:p w14:paraId="7954A22F" w14:textId="77777777" w:rsidR="00F05DC7" w:rsidRDefault="00F05DC7" w:rsidP="00A3786D">
      <w:pPr>
        <w:pStyle w:val="BodyText"/>
      </w:pPr>
      <w:r w:rsidRPr="00586FA2">
        <w:t>Australia’s HFE system currently involves a three</w:t>
      </w:r>
      <w:r w:rsidRPr="00586FA2">
        <w:noBreakHyphen/>
        <w:t>year assessment period and a two</w:t>
      </w:r>
      <w:r w:rsidRPr="00586FA2">
        <w:noBreakHyphen/>
        <w:t>year lag, such that equalisation payments for the 201</w:t>
      </w:r>
      <w:r>
        <w:t>8</w:t>
      </w:r>
      <w:r>
        <w:noBreakHyphen/>
      </w:r>
      <w:r w:rsidRPr="00586FA2">
        <w:t>1</w:t>
      </w:r>
      <w:r>
        <w:t>9</w:t>
      </w:r>
      <w:r w:rsidRPr="00586FA2">
        <w:t xml:space="preserve"> financial year are determined by States’ circumstances in the financial years 201</w:t>
      </w:r>
      <w:r>
        <w:t>4</w:t>
      </w:r>
      <w:r w:rsidRPr="00586FA2">
        <w:noBreakHyphen/>
        <w:t>1</w:t>
      </w:r>
      <w:r>
        <w:t>5</w:t>
      </w:r>
      <w:r w:rsidRPr="00586FA2">
        <w:t xml:space="preserve"> to 201</w:t>
      </w:r>
      <w:r>
        <w:t>6</w:t>
      </w:r>
      <w:r w:rsidRPr="00586FA2">
        <w:noBreakHyphen/>
        <w:t>1</w:t>
      </w:r>
      <w:r>
        <w:t>7</w:t>
      </w:r>
      <w:r w:rsidRPr="00586FA2">
        <w:t xml:space="preserve">. </w:t>
      </w:r>
    </w:p>
    <w:p w14:paraId="7954A230" w14:textId="5842C099" w:rsidR="00F05DC7" w:rsidRPr="00B60ED5" w:rsidRDefault="00F05DC7" w:rsidP="00A3786D">
      <w:pPr>
        <w:pStyle w:val="BodyText"/>
        <w:keepNext/>
        <w:spacing w:before="230"/>
      </w:pPr>
      <w:r w:rsidRPr="00B60ED5">
        <w:lastRenderedPageBreak/>
        <w:t xml:space="preserve">The combination of the assessment period and the data availability lag can flow through to a ‘mismatch’ between States’ economic circumstances and GST payments in two ways, as the CGC </w:t>
      </w:r>
      <w:r w:rsidR="009D6331" w:rsidRPr="009D6331">
        <w:rPr>
          <w:szCs w:val="24"/>
        </w:rPr>
        <w:t>(2017e, p. 3)</w:t>
      </w:r>
      <w:r w:rsidRPr="00B60ED5">
        <w:t xml:space="preserve"> explained:</w:t>
      </w:r>
    </w:p>
    <w:p w14:paraId="7954A231" w14:textId="77777777" w:rsidR="00F05DC7" w:rsidRDefault="00F05DC7" w:rsidP="00A3786D">
      <w:pPr>
        <w:pStyle w:val="Quote"/>
      </w:pPr>
      <w:r w:rsidRPr="004037EA">
        <w:t xml:space="preserve">Gaps arise when the assumption that States’ assessed deficits change in line with the growth in the pool does not hold. For example, a gap can arise when: </w:t>
      </w:r>
    </w:p>
    <w:p w14:paraId="7954A232" w14:textId="77777777" w:rsidR="00F05DC7" w:rsidRDefault="00F05DC7" w:rsidP="00A3786D">
      <w:pPr>
        <w:pStyle w:val="QuoteBullet"/>
      </w:pPr>
      <w:r w:rsidRPr="004037EA">
        <w:t xml:space="preserve">a State is experiencing a long term structural trend (so that its fiscal capacity is growing — or declining — more rapidly than the change in the pool) </w:t>
      </w:r>
    </w:p>
    <w:p w14:paraId="7954A233" w14:textId="77777777" w:rsidR="00F05DC7" w:rsidRPr="004037EA" w:rsidRDefault="00F05DC7" w:rsidP="00A3786D">
      <w:pPr>
        <w:pStyle w:val="QuoteBullet"/>
      </w:pPr>
      <w:r w:rsidRPr="004037EA">
        <w:t xml:space="preserve">a State is experiencing a sudden change in its fiscal capacity. </w:t>
      </w:r>
    </w:p>
    <w:p w14:paraId="7954A234" w14:textId="77777777" w:rsidR="00F05DC7" w:rsidRPr="00B60ED5" w:rsidRDefault="00F05DC7" w:rsidP="00A3786D">
      <w:pPr>
        <w:pStyle w:val="BodyText"/>
        <w:spacing w:before="230" w:line="300" w:lineRule="exact"/>
      </w:pPr>
      <w:r w:rsidRPr="00B60ED5">
        <w:t xml:space="preserve">As a result, States’ actual GST payments can differ substantially from their contemporaneous GST requirements — the payments they would receive if relativities reflected their circumstances in the application year. </w:t>
      </w:r>
      <w:r>
        <w:t>I</w:t>
      </w:r>
      <w:r w:rsidRPr="00B60ED5">
        <w:t>n 201</w:t>
      </w:r>
      <w:r>
        <w:t>6</w:t>
      </w:r>
      <w:r w:rsidRPr="00B60ED5">
        <w:noBreakHyphen/>
        <w:t>1</w:t>
      </w:r>
      <w:r>
        <w:t>7</w:t>
      </w:r>
      <w:r w:rsidRPr="00B60ED5">
        <w:t xml:space="preserve">, </w:t>
      </w:r>
      <w:r>
        <w:t>four</w:t>
      </w:r>
      <w:r w:rsidRPr="00B60ED5">
        <w:t xml:space="preserve"> States </w:t>
      </w:r>
      <w:r>
        <w:t xml:space="preserve">(Victoria, Western Australia, South Australia and the ACT) </w:t>
      </w:r>
      <w:r w:rsidRPr="00B60ED5">
        <w:t>received GST payments below their contemporaneous requirements</w:t>
      </w:r>
      <w:r>
        <w:t xml:space="preserve"> (figure 4.2)</w:t>
      </w:r>
      <w:r w:rsidRPr="00B60ED5">
        <w:t xml:space="preserve">. </w:t>
      </w:r>
      <w:r>
        <w:t>That said, t</w:t>
      </w:r>
      <w:r w:rsidRPr="00B60ED5">
        <w:t>he value of the mismatch has generally been small relative to the States’ GST payments overall — with the notable exception of Western Australia, discussed further below</w:t>
      </w:r>
      <w:r>
        <w:t>.</w:t>
      </w:r>
      <w:r w:rsidRPr="00B60ED5">
        <w:t xml:space="preserve"> </w:t>
      </w:r>
    </w:p>
    <w:p w14:paraId="7954A235" w14:textId="77777777" w:rsidR="00F05DC7" w:rsidRPr="00B60ED5" w:rsidRDefault="00F05DC7" w:rsidP="00A3786D">
      <w:pPr>
        <w:pStyle w:val="BodyText"/>
        <w:spacing w:before="230" w:line="300" w:lineRule="exact"/>
      </w:pPr>
      <w:r w:rsidRPr="00B60ED5">
        <w:t xml:space="preserve">Further, notwithstanding significant changes in other States’ circumstances, individual States’ actual GST payments tend to follow the same trends as their </w:t>
      </w:r>
      <w:r>
        <w:t xml:space="preserve">contemporaneous </w:t>
      </w:r>
      <w:r w:rsidRPr="00B60ED5">
        <w:t>GST requirements, but display smaller fluctuations as a result of averaging over the assessment period (figure</w:t>
      </w:r>
      <w:r>
        <w:t> </w:t>
      </w:r>
      <w:r w:rsidRPr="00B60ED5">
        <w:t>4.2).</w:t>
      </w:r>
    </w:p>
    <w:p w14:paraId="7954A236" w14:textId="77777777" w:rsidR="00F05DC7" w:rsidRDefault="00F05DC7" w:rsidP="00A3786D">
      <w:pPr>
        <w:pStyle w:val="Heading4"/>
      </w:pPr>
      <w:r>
        <w:t>What are the effects of non</w:t>
      </w:r>
      <w:r>
        <w:noBreakHyphen/>
        <w:t>contemporaneity on States?</w:t>
      </w:r>
    </w:p>
    <w:p w14:paraId="7954A237" w14:textId="005559C2" w:rsidR="00F05DC7" w:rsidRPr="00B60ED5" w:rsidRDefault="00F05DC7" w:rsidP="00A3786D">
      <w:pPr>
        <w:pStyle w:val="BodyText"/>
        <w:spacing w:before="230" w:line="300" w:lineRule="exact"/>
      </w:pPr>
      <w:r w:rsidRPr="00B60ED5">
        <w:t>Several States outlined the impact</w:t>
      </w:r>
      <w:r>
        <w:t>s</w:t>
      </w:r>
      <w:r w:rsidRPr="00B60ED5">
        <w:t xml:space="preserve"> of limited contemporaneity on </w:t>
      </w:r>
      <w:r>
        <w:t>State</w:t>
      </w:r>
      <w:r w:rsidRPr="00B60ED5">
        <w:t xml:space="preserve"> budget management. For example, the WA Government (sub. 15, p. 94) argued that limited contemporaneity can lead to more extreme fiscal policies as lags ‘hide’ the GST consequences of increased State revenues, leading States to apply lower tax rates — or expend more revenue — than they would otherwise. The WA Government contended that this contributed to its lower land tax rates and reduced electricity prices prior to 2008</w:t>
      </w:r>
      <w:r w:rsidRPr="00B60ED5">
        <w:noBreakHyphen/>
        <w:t xml:space="preserve">09. (However, Western Australia’s increased </w:t>
      </w:r>
      <w:r>
        <w:t>gross operating</w:t>
      </w:r>
      <w:r w:rsidRPr="00B60ED5">
        <w:t xml:space="preserve"> expenditure per capita, which rose </w:t>
      </w:r>
      <w:r>
        <w:t>241</w:t>
      </w:r>
      <w:r w:rsidRPr="00B60ED5">
        <w:t xml:space="preserve"> per cent in nominal terms from </w:t>
      </w:r>
      <w:r>
        <w:t>1999</w:t>
      </w:r>
      <w:r>
        <w:noBreakHyphen/>
      </w:r>
      <w:r w:rsidRPr="00B60ED5">
        <w:t>2000</w:t>
      </w:r>
      <w:r>
        <w:t xml:space="preserve"> to </w:t>
      </w:r>
      <w:r w:rsidRPr="00B60ED5">
        <w:t>2015</w:t>
      </w:r>
      <w:r>
        <w:noBreakHyphen/>
        <w:t>16</w:t>
      </w:r>
      <w:r w:rsidRPr="00B60ED5">
        <w:t xml:space="preserve"> compared to </w:t>
      </w:r>
      <w:r>
        <w:t>201</w:t>
      </w:r>
      <w:r w:rsidRPr="00B60ED5">
        <w:t xml:space="preserve"> per cent for the rest of Australia </w:t>
      </w:r>
      <w:r w:rsidR="009D6331" w:rsidRPr="009D6331">
        <w:rPr>
          <w:szCs w:val="24"/>
        </w:rPr>
        <w:t>(ABS 2017d)</w:t>
      </w:r>
      <w:r w:rsidRPr="00B60ED5">
        <w:t>, may have been a larger driver of its current budget position.)</w:t>
      </w:r>
    </w:p>
    <w:p w14:paraId="7954A238" w14:textId="77777777" w:rsidR="00F05DC7" w:rsidRPr="00004F7B" w:rsidRDefault="00F05DC7" w:rsidP="00A3786D">
      <w:pPr>
        <w:pStyle w:val="BodyText"/>
        <w:spacing w:before="230" w:line="290" w:lineRule="exact"/>
        <w:rPr>
          <w:spacing w:val="-2"/>
        </w:rPr>
      </w:pPr>
      <w:r w:rsidRPr="00004F7B">
        <w:rPr>
          <w:spacing w:val="-2"/>
        </w:rPr>
        <w:t xml:space="preserve">The WA Government (sub. 15, p. 93) further </w:t>
      </w:r>
      <w:r>
        <w:rPr>
          <w:spacing w:val="-2"/>
        </w:rPr>
        <w:t>argued</w:t>
      </w:r>
      <w:r w:rsidRPr="00004F7B">
        <w:rPr>
          <w:spacing w:val="-2"/>
        </w:rPr>
        <w:t xml:space="preserve"> that Australia’s combination of a three</w:t>
      </w:r>
      <w:r w:rsidRPr="00004F7B">
        <w:rPr>
          <w:spacing w:val="-2"/>
        </w:rPr>
        <w:noBreakHyphen/>
        <w:t>year assessment period and two</w:t>
      </w:r>
      <w:r w:rsidRPr="00004F7B">
        <w:rPr>
          <w:spacing w:val="-2"/>
        </w:rPr>
        <w:noBreakHyphen/>
        <w:t>year lag mean that changes in economic conditions in the current year impact GST payments beyond the State’s four</w:t>
      </w:r>
      <w:r w:rsidRPr="00004F7B">
        <w:rPr>
          <w:spacing w:val="-2"/>
        </w:rPr>
        <w:noBreakHyphen/>
        <w:t>year budget forward estimates, reducing its propensity to incorporate changes in GST payments into its budget planning.</w:t>
      </w:r>
    </w:p>
    <w:p w14:paraId="7954A239" w14:textId="77777777" w:rsidR="00F05DC7" w:rsidRPr="00B60ED5" w:rsidRDefault="00F05DC7" w:rsidP="00A3786D">
      <w:pPr>
        <w:pStyle w:val="BodyText"/>
        <w:spacing w:before="230" w:line="290" w:lineRule="exact"/>
      </w:pPr>
      <w:r w:rsidRPr="00B60ED5">
        <w:t>But Stat</w:t>
      </w:r>
      <w:r>
        <w:t>e Governments’</w:t>
      </w:r>
      <w:r w:rsidRPr="00B60ED5">
        <w:t xml:space="preserve"> central concern with limited contemporaneity is that, with GST payments failing to respond to particularly rapid changes in fiscal capacity in the short term, the GST distribution can be pro</w:t>
      </w:r>
      <w:r>
        <w:noBreakHyphen/>
      </w:r>
      <w:r w:rsidRPr="00B60ED5">
        <w:t>cyclical, rather than counter</w:t>
      </w:r>
      <w:r>
        <w:noBreakHyphen/>
      </w:r>
      <w:r w:rsidRPr="00B60ED5">
        <w:t>cyclical, for individual States</w:t>
      </w:r>
      <w:r>
        <w:t> </w:t>
      </w:r>
      <w:r w:rsidRPr="00B60ED5">
        <w:t xml:space="preserve">— potentially amplifying the size and impact of economic fluctuations. </w:t>
      </w:r>
      <w:r>
        <w:t>The ACT Government (sub. DR81, p. 30) argued that this phenomenon was one of the key factors leading to weakened community support for HFE.</w:t>
      </w:r>
    </w:p>
    <w:tbl>
      <w:tblPr>
        <w:tblW w:w="4838"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504"/>
      </w:tblGrid>
      <w:tr w:rsidR="00AA7C86" w14:paraId="7954A23C" w14:textId="77777777" w:rsidTr="00AA7C86">
        <w:trPr>
          <w:tblHeader/>
        </w:trPr>
        <w:tc>
          <w:tcPr>
            <w:tcW w:w="5000" w:type="pct"/>
            <w:tcBorders>
              <w:top w:val="single" w:sz="6" w:space="0" w:color="78A22F"/>
              <w:left w:val="nil"/>
              <w:bottom w:val="nil"/>
              <w:right w:val="nil"/>
            </w:tcBorders>
            <w:shd w:val="clear" w:color="auto" w:fill="auto"/>
          </w:tcPr>
          <w:p w14:paraId="7954A23B" w14:textId="40EF6A0F" w:rsidR="00AA7C86" w:rsidRPr="00176D3F" w:rsidRDefault="00AA7C86" w:rsidP="00A3786D">
            <w:pPr>
              <w:pStyle w:val="FigureTitle"/>
            </w:pPr>
            <w:r w:rsidRPr="00784A05">
              <w:rPr>
                <w:b w:val="0"/>
              </w:rPr>
              <w:lastRenderedPageBreak/>
              <w:t xml:space="preserve">Figure </w:t>
            </w:r>
            <w:bookmarkStart w:id="84" w:name="OLE_LINK18"/>
            <w:r>
              <w:rPr>
                <w:b w:val="0"/>
              </w:rPr>
              <w:t>4.</w:t>
            </w:r>
            <w:r>
              <w:rPr>
                <w:b w:val="0"/>
                <w:noProof/>
              </w:rPr>
              <w:t>2</w:t>
            </w:r>
            <w:bookmarkEnd w:id="84"/>
            <w:r>
              <w:tab/>
              <w:t>GST payments and assessed requirements</w:t>
            </w:r>
            <w:r w:rsidRPr="00C84402">
              <w:rPr>
                <w:rStyle w:val="NoteLabel"/>
                <w:b/>
                <w:sz w:val="20"/>
              </w:rPr>
              <w:t>a</w:t>
            </w:r>
            <w:r>
              <w:rPr>
                <w:rStyle w:val="NoteLabel"/>
                <w:b/>
                <w:sz w:val="20"/>
              </w:rPr>
              <w:t>,b</w:t>
            </w:r>
          </w:p>
        </w:tc>
      </w:tr>
      <w:tr w:rsidR="00AA7C86" w14:paraId="7954A247" w14:textId="77777777" w:rsidTr="00AA7C86">
        <w:trPr>
          <w:cantSplit/>
          <w:trHeight w:val="2640"/>
        </w:trPr>
        <w:tc>
          <w:tcPr>
            <w:tcW w:w="5000" w:type="pct"/>
            <w:tcBorders>
              <w:top w:val="nil"/>
              <w:left w:val="nil"/>
              <w:right w:val="nil"/>
            </w:tcBorders>
            <w:shd w:val="clear" w:color="auto" w:fill="auto"/>
          </w:tcPr>
          <w:p w14:paraId="7954A246" w14:textId="6B7E3919" w:rsidR="00AA7C86" w:rsidRPr="00202A60" w:rsidRDefault="00AA7C86" w:rsidP="00A3786D">
            <w:pPr>
              <w:pStyle w:val="Figure"/>
              <w:spacing w:before="100" w:after="0" w:line="200" w:lineRule="atLeast"/>
              <w:rPr>
                <w:rFonts w:asciiTheme="majorHAnsi" w:hAnsiTheme="majorHAnsi" w:cstheme="majorHAnsi"/>
                <w:b/>
                <w:sz w:val="20"/>
              </w:rPr>
            </w:pPr>
            <w:r w:rsidRPr="00E01D58">
              <w:rPr>
                <w:rFonts w:asciiTheme="majorHAnsi" w:hAnsiTheme="majorHAnsi" w:cstheme="majorHAnsi"/>
                <w:b/>
                <w:noProof/>
                <w:sz w:val="20"/>
              </w:rPr>
              <w:drawing>
                <wp:inline distT="0" distB="0" distL="0" distR="0" wp14:anchorId="2E200D33" wp14:editId="6A670A40">
                  <wp:extent cx="5156200" cy="6635750"/>
                  <wp:effectExtent l="0" t="0" r="6350" b="0"/>
                  <wp:docPr id="191" name="Picture 191" descr="This figure shows the GST received by, and the GST required for, each State for the years from 2000 to 2018. Most notably, Western Australia’s GST requirements dropped substantially below its GST receipts from around 2005 to 2013, after which this relationship reversed (due to both its much lower relativities and weaker budge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1545"/>
                          <a:stretch/>
                        </pic:blipFill>
                        <pic:spPr bwMode="auto">
                          <a:xfrm>
                            <a:off x="0" y="0"/>
                            <a:ext cx="5156200" cy="6635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7C86" w14:paraId="7954A25C" w14:textId="77777777" w:rsidTr="00AA7C86">
        <w:trPr>
          <w:cantSplit/>
          <w:trHeight w:val="68"/>
        </w:trPr>
        <w:tc>
          <w:tcPr>
            <w:tcW w:w="5000" w:type="pct"/>
            <w:tcBorders>
              <w:top w:val="nil"/>
              <w:left w:val="nil"/>
              <w:bottom w:val="nil"/>
              <w:right w:val="nil"/>
            </w:tcBorders>
            <w:shd w:val="clear" w:color="auto" w:fill="auto"/>
          </w:tcPr>
          <w:p w14:paraId="7954A25B" w14:textId="407A4CB7" w:rsidR="00AA7C86" w:rsidRPr="00B22BB4" w:rsidRDefault="00AA7C86" w:rsidP="00A3786D">
            <w:pPr>
              <w:pStyle w:val="Figure"/>
              <w:spacing w:before="80" w:after="20" w:line="200" w:lineRule="atLeast"/>
              <w:rPr>
                <w:rFonts w:asciiTheme="majorHAnsi" w:hAnsiTheme="majorHAnsi" w:cstheme="majorHAnsi"/>
                <w:b/>
                <w:sz w:val="20"/>
              </w:rPr>
            </w:pPr>
            <w:r w:rsidRPr="00AA7C86">
              <w:rPr>
                <w:rFonts w:asciiTheme="majorHAnsi" w:hAnsiTheme="majorHAnsi" w:cstheme="majorHAnsi"/>
                <w:b/>
                <w:noProof/>
                <w:sz w:val="20"/>
              </w:rPr>
              <w:drawing>
                <wp:inline distT="0" distB="0" distL="0" distR="0" wp14:anchorId="429D516B" wp14:editId="01409EC3">
                  <wp:extent cx="4778375" cy="215900"/>
                  <wp:effectExtent l="0" t="0" r="3175" b="0"/>
                  <wp:docPr id="226" name="Picture 226" descr="Legend: GST paid; GS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7153" t="60230" r="11679" b="11946"/>
                          <a:stretch/>
                        </pic:blipFill>
                        <pic:spPr bwMode="auto">
                          <a:xfrm>
                            <a:off x="0" y="0"/>
                            <a:ext cx="4786363" cy="2162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7C86" w:rsidRPr="00005AF1" w14:paraId="7954A25F" w14:textId="77777777" w:rsidTr="00AA7C86">
        <w:tc>
          <w:tcPr>
            <w:tcW w:w="5000" w:type="pct"/>
            <w:tcBorders>
              <w:top w:val="nil"/>
              <w:left w:val="nil"/>
              <w:bottom w:val="nil"/>
              <w:right w:val="nil"/>
            </w:tcBorders>
            <w:shd w:val="clear" w:color="auto" w:fill="auto"/>
          </w:tcPr>
          <w:p w14:paraId="7954A25E" w14:textId="77777777" w:rsidR="00AA7C86" w:rsidRPr="00005AF1" w:rsidRDefault="00AA7C86" w:rsidP="00005AF1">
            <w:pPr>
              <w:pStyle w:val="Note"/>
              <w:rPr>
                <w:rStyle w:val="DraftingNote"/>
                <w:b w:val="0"/>
                <w:color w:val="auto"/>
                <w:sz w:val="18"/>
                <w:u w:val="none"/>
              </w:rPr>
            </w:pPr>
            <w:r w:rsidRPr="00005AF1">
              <w:rPr>
                <w:rStyle w:val="NoteLabel"/>
              </w:rPr>
              <w:t>a</w:t>
            </w:r>
            <w:r w:rsidRPr="00005AF1">
              <w:t xml:space="preserve"> ‘GST payments’ represent the actual amount of funds allocated to States. ‘GST requirements’ represent the payments that States would have received had the CGC access to data on States’ circumstances and populations in the application year. Estimates use the annual relativity calculations included in later assessments. For example, GST required in 2015</w:t>
            </w:r>
            <w:r w:rsidRPr="00005AF1">
              <w:noBreakHyphen/>
              <w:t>16 is determined using the 2015</w:t>
            </w:r>
            <w:r w:rsidRPr="00005AF1">
              <w:noBreakHyphen/>
              <w:t>16 annual relativity from the 2018</w:t>
            </w:r>
            <w:r w:rsidRPr="00005AF1">
              <w:noBreakHyphen/>
              <w:t xml:space="preserve">19 update. </w:t>
            </w:r>
            <w:r w:rsidRPr="00005AF1">
              <w:rPr>
                <w:rStyle w:val="NoteLabel"/>
              </w:rPr>
              <w:t>b</w:t>
            </w:r>
            <w:r w:rsidRPr="00005AF1">
              <w:t xml:space="preserve"> From 2000</w:t>
            </w:r>
            <w:r w:rsidRPr="00005AF1">
              <w:noBreakHyphen/>
              <w:t xml:space="preserve">01 </w:t>
            </w:r>
            <w:r w:rsidRPr="00005AF1">
              <w:rPr>
                <w:rStyle w:val="NoteChar"/>
              </w:rPr>
              <w:t>to 2008</w:t>
            </w:r>
            <w:r w:rsidRPr="00005AF1">
              <w:rPr>
                <w:rStyle w:val="NoteChar"/>
              </w:rPr>
              <w:noBreakHyphen/>
              <w:t xml:space="preserve">09, the CGC recommended relativities for distributing the pool of GST revenue plus Health Care </w:t>
            </w:r>
            <w:r w:rsidRPr="00005AF1">
              <w:t>Grants.</w:t>
            </w:r>
          </w:p>
        </w:tc>
      </w:tr>
      <w:tr w:rsidR="00AA7C86" w:rsidRPr="00176D3F" w14:paraId="7954A262" w14:textId="77777777" w:rsidTr="00AA7C86">
        <w:tc>
          <w:tcPr>
            <w:tcW w:w="5000" w:type="pct"/>
            <w:tcBorders>
              <w:top w:val="nil"/>
              <w:left w:val="nil"/>
              <w:bottom w:val="nil"/>
              <w:right w:val="nil"/>
            </w:tcBorders>
            <w:shd w:val="clear" w:color="auto" w:fill="auto"/>
          </w:tcPr>
          <w:p w14:paraId="7954A261" w14:textId="77777777" w:rsidR="00AA7C86" w:rsidRPr="00176D3F" w:rsidRDefault="00AA7C86" w:rsidP="00A3786D">
            <w:pPr>
              <w:pStyle w:val="Source"/>
              <w:spacing w:before="60" w:line="210" w:lineRule="exact"/>
            </w:pPr>
            <w:r>
              <w:rPr>
                <w:i/>
              </w:rPr>
              <w:t>S</w:t>
            </w:r>
            <w:r w:rsidRPr="00784A05">
              <w:rPr>
                <w:i/>
              </w:rPr>
              <w:t>ource</w:t>
            </w:r>
            <w:r w:rsidRPr="00176D3F">
              <w:t xml:space="preserve">: </w:t>
            </w:r>
            <w:r>
              <w:t>CGC (pers. comm., 10 July 2017).</w:t>
            </w:r>
          </w:p>
        </w:tc>
      </w:tr>
      <w:tr w:rsidR="00AA7C86" w14:paraId="7954A265" w14:textId="77777777" w:rsidTr="00AA7C86">
        <w:tc>
          <w:tcPr>
            <w:tcW w:w="5000" w:type="pct"/>
            <w:tcBorders>
              <w:top w:val="nil"/>
              <w:left w:val="nil"/>
              <w:bottom w:val="single" w:sz="6" w:space="0" w:color="78A22F"/>
              <w:right w:val="nil"/>
            </w:tcBorders>
            <w:shd w:val="clear" w:color="auto" w:fill="auto"/>
          </w:tcPr>
          <w:p w14:paraId="7954A264" w14:textId="77777777" w:rsidR="00AA7C86" w:rsidRDefault="00AA7C86" w:rsidP="00A3786D">
            <w:pPr>
              <w:pStyle w:val="Figurespace"/>
              <w:keepNext w:val="0"/>
            </w:pPr>
          </w:p>
        </w:tc>
      </w:tr>
    </w:tbl>
    <w:p w14:paraId="7954A266" w14:textId="77777777" w:rsidR="00F05DC7" w:rsidRPr="00CA5B70" w:rsidRDefault="00F05DC7" w:rsidP="00A3786D">
      <w:pPr>
        <w:pStyle w:val="BodyText"/>
      </w:pPr>
      <w:r w:rsidRPr="00CA5B70">
        <w:lastRenderedPageBreak/>
        <w:t>For example, the Queensland Government (sub. 32</w:t>
      </w:r>
      <w:r>
        <w:t>, p. 10</w:t>
      </w:r>
      <w:r w:rsidRPr="00CA5B70">
        <w:t>) noted that:</w:t>
      </w:r>
    </w:p>
    <w:p w14:paraId="7954A267" w14:textId="77777777" w:rsidR="00F05DC7" w:rsidRPr="00CA5B70" w:rsidRDefault="00F05DC7" w:rsidP="00A3786D">
      <w:pPr>
        <w:pStyle w:val="Quote"/>
      </w:pPr>
      <w:r w:rsidRPr="00CA5B70">
        <w:t>The volatility seen in recent years often appears inconsistent with the economic activity and the structural fiscal position of a particular jurisdiction at a particular time. The effects of HFE can magnify the fiscal experience of states — distributing more GST as a State’s fiscal position improves and then distributing less when a State’s fiscal capacity reverses. This feature of the system makes it even more challenging to manage State budgets, and ensure that essential ongoing services continue to be provided as required.</w:t>
      </w:r>
    </w:p>
    <w:p w14:paraId="7954A268" w14:textId="77777777" w:rsidR="00F05DC7" w:rsidRPr="00CA5B70" w:rsidRDefault="00F05DC7" w:rsidP="00A3786D">
      <w:pPr>
        <w:pStyle w:val="BodyText"/>
      </w:pPr>
      <w:r w:rsidRPr="00CA5B70">
        <w:t xml:space="preserve">The </w:t>
      </w:r>
      <w:r w:rsidRPr="00CA5B70" w:rsidDel="00B03BB3">
        <w:t xml:space="preserve">potential for HFE to exacerbate the impact of economic cycles on State budgets </w:t>
      </w:r>
      <w:r w:rsidRPr="00CA5B70">
        <w:t>has been brought to the fore in recent years in Western Australia. In this instance, the three</w:t>
      </w:r>
      <w:r w:rsidRPr="00CA5B70">
        <w:noBreakHyphen/>
        <w:t>year assessment period and two</w:t>
      </w:r>
      <w:r w:rsidRPr="00CA5B70">
        <w:noBreakHyphen/>
        <w:t xml:space="preserve">year lag have resulted in declining GST relativities coinciding with significant falls in royalty revenue, thereby exacerbating the effects of the economic cycle on Western Australia’s budget. As at the </w:t>
      </w:r>
      <w:r>
        <w:t>2018</w:t>
      </w:r>
      <w:r>
        <w:noBreakHyphen/>
        <w:t xml:space="preserve">19 </w:t>
      </w:r>
      <w:r w:rsidRPr="00CA5B70">
        <w:t>relativity update, the State’s GST payments have</w:t>
      </w:r>
      <w:r>
        <w:t xml:space="preserve"> still not</w:t>
      </w:r>
      <w:r w:rsidRPr="00CA5B70">
        <w:t xml:space="preserve"> fully caught up with its increased annual GST require</w:t>
      </w:r>
      <w:r>
        <w:t>ments (as assessed by the CGC) (figure 4.2).</w:t>
      </w:r>
    </w:p>
    <w:p w14:paraId="7954A269" w14:textId="33C16F40" w:rsidR="00F05DC7" w:rsidRPr="00CA5B70" w:rsidRDefault="00F05DC7" w:rsidP="00A3786D">
      <w:pPr>
        <w:pStyle w:val="BodyText"/>
      </w:pPr>
      <w:r w:rsidRPr="00CA5B70">
        <w:t xml:space="preserve">Yet even with the decrease in economic activity from the heights of the construction boom, Western Australia’s economy remains larger in per capita terms than </w:t>
      </w:r>
      <w:r>
        <w:t xml:space="preserve">all </w:t>
      </w:r>
      <w:r w:rsidRPr="00CA5B70">
        <w:t>other States and the nationwide average (figure</w:t>
      </w:r>
      <w:r>
        <w:t> </w:t>
      </w:r>
      <w:r w:rsidRPr="00CA5B70">
        <w:t>4.3).</w:t>
      </w:r>
      <w:r>
        <w:t xml:space="preserve"> In 2016</w:t>
      </w:r>
      <w:r>
        <w:noBreakHyphen/>
        <w:t>17 (the most recent assessment year), the CGC assessed Western Australia’s per capita revenue</w:t>
      </w:r>
      <w:r>
        <w:noBreakHyphen/>
        <w:t>raising capacity to be 27 per cent higher than that of the next</w:t>
      </w:r>
      <w:r>
        <w:noBreakHyphen/>
        <w:t xml:space="preserve">strongest State (New South Wales), and 31 per cent higher than the average </w:t>
      </w:r>
      <w:r w:rsidR="009D6331" w:rsidRPr="009D6331">
        <w:rPr>
          <w:szCs w:val="24"/>
        </w:rPr>
        <w:t>(CGC 2018f)</w:t>
      </w:r>
      <w:r>
        <w:t>.</w:t>
      </w:r>
      <w:r w:rsidRPr="00CA5B70">
        <w:t xml:space="preserve"> Eslake (2017a, pp. 11–12) has also noted that the relative growth in Western Australia’s per capita gross state product throughout the mining boom was unprecedented, arguing that the State’s all</w:t>
      </w:r>
      <w:r>
        <w:noBreakHyphen/>
      </w:r>
      <w:r w:rsidRPr="00CA5B70">
        <w:t>time low GST payments merely reflect this strong growth.</w:t>
      </w:r>
    </w:p>
    <w:p w14:paraId="7954A26A" w14:textId="77777777" w:rsidR="00F05DC7" w:rsidRPr="00CA5B70" w:rsidRDefault="00F05DC7" w:rsidP="00A3786D">
      <w:pPr>
        <w:pStyle w:val="BodyText"/>
      </w:pPr>
      <w:r w:rsidRPr="00CA5B70">
        <w:t>Some participants (Phillip Bubb, sub.</w:t>
      </w:r>
      <w:r>
        <w:t> </w:t>
      </w:r>
      <w:r w:rsidRPr="00CA5B70">
        <w:t>DR60, p. 2; NT Opposition, sub. DR78, p. </w:t>
      </w:r>
      <w:r>
        <w:t>6</w:t>
      </w:r>
      <w:r w:rsidRPr="00CA5B70">
        <w:t>) also noted that the lack of contemporaneity can over</w:t>
      </w:r>
      <w:r w:rsidRPr="00CA5B70">
        <w:noBreakHyphen/>
        <w:t>equalise — delivering more funds than a State requires to equalise its fiscal capacity — if the State is undergoing economic expansion:</w:t>
      </w:r>
    </w:p>
    <w:p w14:paraId="7954A26B" w14:textId="77777777" w:rsidR="00F05DC7" w:rsidRPr="00CA5B70" w:rsidRDefault="00F05DC7" w:rsidP="00A3786D">
      <w:pPr>
        <w:pStyle w:val="Quote"/>
      </w:pPr>
      <w:r w:rsidRPr="00CA5B70">
        <w:t>Clearly the averaging of relativities over three years has a perverse effect on Western Australia because they reflect a legacy of boom in mining royalties which no longer applies. At the same time, averaging provided Western Australia with above standard levels of service when the boom was ramping up.  Something similar occurred to New South Wales years earlier when a property boom collapsed, and stamp duties revenues too. (Phillip Bubb, sub. DR60, p. 2)</w:t>
      </w:r>
    </w:p>
    <w:p w14:paraId="7954A26C" w14:textId="77777777" w:rsidR="00F05DC7" w:rsidRPr="00CA5B70" w:rsidRDefault="00F05DC7" w:rsidP="00A3786D">
      <w:pPr>
        <w:pStyle w:val="BodyText"/>
      </w:pPr>
      <w:r w:rsidRPr="00CA5B70">
        <w:t xml:space="preserve">For example, </w:t>
      </w:r>
      <w:r w:rsidRPr="00CA5B70" w:rsidDel="00B03BB3">
        <w:t>b</w:t>
      </w:r>
      <w:r w:rsidRPr="00CA5B70">
        <w:t>efore the construction phase of the mining boom came to an end, Western Australia benefited from the lack of contemporaneity — with the CGC estimating that the State retained about $7 billion more than it would have under fully contemporaneous GST payments (box</w:t>
      </w:r>
      <w:r>
        <w:t> </w:t>
      </w:r>
      <w:r w:rsidRPr="00CA5B70">
        <w:t>4.2). Moreover, it is possible that this sum may not ever be completely ‘unwound’:</w:t>
      </w:r>
    </w:p>
    <w:p w14:paraId="7954A26D" w14:textId="58119862" w:rsidR="00F05DC7" w:rsidRPr="00CA5B70" w:rsidRDefault="00F05DC7" w:rsidP="00A3786D">
      <w:pPr>
        <w:pStyle w:val="Quote"/>
      </w:pPr>
      <w:r w:rsidRPr="00CA5B70">
        <w:t xml:space="preserve">… unless iron ore royalty revenues grow at low rates into the future, a significant part [of the $7 billion] may remain as a permanent net benefit to Western Australia. … The lags in the assessment system have provided a large and likely ongoing benefit to Western Australia (at the expense of other States) while cyclical developments (around the trend) provide broadly offsetting short term gains and losses. </w:t>
      </w:r>
      <w:r w:rsidR="009D6331" w:rsidRPr="009D6331">
        <w:rPr>
          <w:szCs w:val="24"/>
        </w:rPr>
        <w:t>(CGC 2015a, p. 8)</w:t>
      </w:r>
    </w:p>
    <w:p w14:paraId="7954A26E" w14:textId="77777777" w:rsidR="00F05DC7" w:rsidRPr="00CA5B70" w:rsidRDefault="00F05DC7" w:rsidP="00A3786D">
      <w:pPr>
        <w:pStyle w:val="BodyText"/>
        <w:spacing w:before="220"/>
      </w:pPr>
      <w:r w:rsidRPr="00CA5B70">
        <w:lastRenderedPageBreak/>
        <w:t>While this ‘over</w:t>
      </w:r>
      <w:r>
        <w:noBreakHyphen/>
      </w:r>
      <w:r w:rsidRPr="00CA5B70">
        <w:t>equalisation’ offers a benefit rather than a problem for the booming State that is over</w:t>
      </w:r>
      <w:r w:rsidRPr="00CA5B70">
        <w:noBreakHyphen/>
        <w:t>equalised, it also means that the other States are being less than fully equalised for that year. For those States that do not experience large and rapid changes in fiscal capacity, or significant volatility in own</w:t>
      </w:r>
      <w:r w:rsidRPr="00CA5B70">
        <w:noBreakHyphen/>
        <w:t xml:space="preserve">source revenue, limited contemporaneity has been less problematic. </w:t>
      </w:r>
    </w:p>
    <w:p w14:paraId="7954A26F" w14:textId="77777777" w:rsidR="00F05DC7" w:rsidRDefault="00F05DC7" w:rsidP="00A3786D">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272" w14:textId="77777777" w:rsidTr="00A3786D">
        <w:trPr>
          <w:tblHeader/>
        </w:trPr>
        <w:tc>
          <w:tcPr>
            <w:tcW w:w="5000" w:type="pct"/>
            <w:tcBorders>
              <w:top w:val="single" w:sz="6" w:space="0" w:color="78A22F"/>
              <w:left w:val="nil"/>
              <w:bottom w:val="nil"/>
              <w:right w:val="nil"/>
            </w:tcBorders>
            <w:shd w:val="clear" w:color="auto" w:fill="auto"/>
          </w:tcPr>
          <w:p w14:paraId="5BFEF7FE" w14:textId="77777777" w:rsidR="00F05DC7" w:rsidRDefault="00F05DC7" w:rsidP="007531EA">
            <w:pPr>
              <w:pStyle w:val="FigureTitle"/>
            </w:pPr>
            <w:r w:rsidRPr="00784A05">
              <w:rPr>
                <w:b w:val="0"/>
              </w:rPr>
              <w:t xml:space="preserve">Figure </w:t>
            </w:r>
            <w:r>
              <w:rPr>
                <w:b w:val="0"/>
              </w:rPr>
              <w:t>4.3</w:t>
            </w:r>
            <w:r w:rsidR="007531EA">
              <w:tab/>
              <w:t>Per capita gross state product</w:t>
            </w:r>
          </w:p>
          <w:p w14:paraId="7954A271" w14:textId="41AA93AC" w:rsidR="00005AF1" w:rsidRPr="00005AF1" w:rsidRDefault="00005AF1" w:rsidP="00005AF1">
            <w:pPr>
              <w:pStyle w:val="Subtitle"/>
            </w:pPr>
            <w:r w:rsidRPr="00005AF1">
              <w:t>Nominal dollars</w:t>
            </w:r>
          </w:p>
        </w:tc>
      </w:tr>
      <w:tr w:rsidR="00F05DC7" w14:paraId="7954A276"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05DC7" w:rsidRPr="00B1465D" w14:paraId="7954A274" w14:textId="77777777" w:rsidTr="00A3786D">
              <w:trPr>
                <w:tblHeader/>
                <w:jc w:val="center"/>
              </w:trPr>
              <w:tc>
                <w:tcPr>
                  <w:tcW w:w="5000" w:type="pct"/>
                  <w:tcBorders>
                    <w:top w:val="nil"/>
                    <w:bottom w:val="nil"/>
                  </w:tcBorders>
                </w:tcPr>
                <w:p w14:paraId="7954A273" w14:textId="77777777" w:rsidR="00F05DC7" w:rsidRPr="00B1465D" w:rsidRDefault="00F05DC7" w:rsidP="00A3786D">
                  <w:pPr>
                    <w:pStyle w:val="Figure"/>
                    <w:spacing w:before="60" w:after="60"/>
                    <w:rPr>
                      <w:rFonts w:ascii="Arial" w:hAnsi="Arial" w:cs="Arial"/>
                      <w:sz w:val="18"/>
                      <w:szCs w:val="18"/>
                    </w:rPr>
                  </w:pPr>
                  <w:r w:rsidRPr="009C751E">
                    <w:rPr>
                      <w:rFonts w:ascii="Arial" w:hAnsi="Arial" w:cs="Arial"/>
                      <w:noProof/>
                      <w:sz w:val="18"/>
                      <w:szCs w:val="18"/>
                    </w:rPr>
                    <w:drawing>
                      <wp:inline distT="0" distB="0" distL="0" distR="0" wp14:anchorId="7954D5ED" wp14:editId="7954D5EE">
                        <wp:extent cx="5361568" cy="3024602"/>
                        <wp:effectExtent l="0" t="0" r="0" b="4445"/>
                        <wp:docPr id="38" name="Picture 38" descr="This figure shows per capita gross state product for Western Australia and the average of all other States from 1989-90 to 2016-17. From 1989-90 to 2001-02, these two series do not differ significantly. But as the State’s mining industry begins to grow in the early 2000s, Western Australia’s gross state product climbs rapidly, peaking at around 160 per cent of the average of other States in 2013-14. Since then, the difference has shrunk, but Western Australia’s gross state product in 2016-17 was still around 140 per cent of the other States’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821" t="1115" r="1105" b="2210"/>
                                <a:stretch/>
                              </pic:blipFill>
                              <pic:spPr bwMode="auto">
                                <a:xfrm>
                                  <a:off x="0" y="0"/>
                                  <a:ext cx="5369759" cy="30292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4A275" w14:textId="77777777" w:rsidR="00F05DC7" w:rsidRDefault="00F05DC7" w:rsidP="00A3786D">
            <w:pPr>
              <w:pStyle w:val="Figure"/>
            </w:pPr>
          </w:p>
        </w:tc>
      </w:tr>
      <w:tr w:rsidR="00F05DC7" w:rsidRPr="00176D3F" w14:paraId="7954A278" w14:textId="77777777" w:rsidTr="00A3786D">
        <w:tc>
          <w:tcPr>
            <w:tcW w:w="5000" w:type="pct"/>
            <w:tcBorders>
              <w:top w:val="nil"/>
              <w:left w:val="nil"/>
              <w:bottom w:val="nil"/>
              <w:right w:val="nil"/>
            </w:tcBorders>
            <w:shd w:val="clear" w:color="auto" w:fill="auto"/>
          </w:tcPr>
          <w:p w14:paraId="7954A277" w14:textId="77777777" w:rsidR="00F05DC7" w:rsidRPr="00176D3F" w:rsidRDefault="00F05DC7" w:rsidP="00A3786D">
            <w:pPr>
              <w:pStyle w:val="Source"/>
            </w:pPr>
            <w:r>
              <w:rPr>
                <w:i/>
              </w:rPr>
              <w:t>S</w:t>
            </w:r>
            <w:r w:rsidRPr="00784A05">
              <w:rPr>
                <w:i/>
              </w:rPr>
              <w:t>ource</w:t>
            </w:r>
            <w:r w:rsidRPr="00176D3F">
              <w:t xml:space="preserve">: </w:t>
            </w:r>
            <w:r>
              <w:t>Productivity Commission estimates based on ABS (</w:t>
            </w:r>
            <w:r w:rsidRPr="00771A3F">
              <w:rPr>
                <w:i/>
              </w:rPr>
              <w:t>Australian Demographic Statistics, Jun 2017</w:t>
            </w:r>
            <w:r>
              <w:rPr>
                <w:i/>
              </w:rPr>
              <w:t>,</w:t>
            </w:r>
            <w:r>
              <w:t xml:space="preserve"> Cat. no. 3101.0) and ABS (</w:t>
            </w:r>
            <w:r>
              <w:rPr>
                <w:i/>
              </w:rPr>
              <w:t>Australian National Accounts: State Accounts, 2016</w:t>
            </w:r>
            <w:r>
              <w:rPr>
                <w:i/>
              </w:rPr>
              <w:noBreakHyphen/>
              <w:t>17,</w:t>
            </w:r>
            <w:r>
              <w:t xml:space="preserve"> Cat. no. 5220.0).</w:t>
            </w:r>
          </w:p>
        </w:tc>
      </w:tr>
      <w:tr w:rsidR="00F05DC7" w14:paraId="7954A27A" w14:textId="77777777" w:rsidTr="00A3786D">
        <w:tc>
          <w:tcPr>
            <w:tcW w:w="5000" w:type="pct"/>
            <w:tcBorders>
              <w:top w:val="nil"/>
              <w:left w:val="nil"/>
              <w:bottom w:val="single" w:sz="6" w:space="0" w:color="78A22F"/>
              <w:right w:val="nil"/>
            </w:tcBorders>
            <w:shd w:val="clear" w:color="auto" w:fill="auto"/>
          </w:tcPr>
          <w:p w14:paraId="7954A279" w14:textId="77777777" w:rsidR="00F05DC7" w:rsidRDefault="00F05DC7" w:rsidP="00A3786D">
            <w:pPr>
              <w:pStyle w:val="Figurespace"/>
            </w:pPr>
          </w:p>
        </w:tc>
      </w:tr>
      <w:tr w:rsidR="00F05DC7" w:rsidRPr="000863A5" w14:paraId="7954A27C" w14:textId="77777777" w:rsidTr="00A3786D">
        <w:tc>
          <w:tcPr>
            <w:tcW w:w="5000" w:type="pct"/>
            <w:tcBorders>
              <w:top w:val="single" w:sz="6" w:space="0" w:color="78A22F"/>
              <w:left w:val="nil"/>
              <w:bottom w:val="nil"/>
              <w:right w:val="nil"/>
            </w:tcBorders>
          </w:tcPr>
          <w:p w14:paraId="7954A27B" w14:textId="77777777" w:rsidR="00F05DC7" w:rsidRPr="00626D32" w:rsidRDefault="00F05DC7" w:rsidP="00A3786D">
            <w:pPr>
              <w:pStyle w:val="BoxSpaceBelow"/>
            </w:pPr>
          </w:p>
        </w:tc>
      </w:tr>
    </w:tbl>
    <w:p w14:paraId="7954A27D" w14:textId="77777777" w:rsidR="00F05DC7" w:rsidRDefault="00F05DC7" w:rsidP="00A3786D">
      <w:pPr>
        <w:pStyle w:val="Heading4"/>
        <w:spacing w:before="420"/>
      </w:pPr>
      <w:r>
        <w:t>States should be able to manage the impacts of pro</w:t>
      </w:r>
      <w:r>
        <w:noBreakHyphen/>
        <w:t>cyclicality</w:t>
      </w:r>
    </w:p>
    <w:p w14:paraId="7954A27E" w14:textId="77777777" w:rsidR="00F05DC7" w:rsidRPr="00CA5B70" w:rsidRDefault="00F05DC7" w:rsidP="00A3786D">
      <w:pPr>
        <w:pStyle w:val="BodyText"/>
        <w:spacing w:before="220"/>
      </w:pPr>
      <w:r w:rsidRPr="00CA5B70">
        <w:t>Even with limited contemporaneity, States should be able to manage the budgetary implications of lagged GST payments. Given the retrospective nature of the CGC’s assessment processes, States are generally able to forecast the direction of changes in their GST relativities</w:t>
      </w:r>
      <w:r>
        <w:t>.</w:t>
      </w:r>
      <w:r w:rsidRPr="00CA5B70">
        <w:t xml:space="preserve"> </w:t>
      </w:r>
      <w:r>
        <w:t>Although volatile revenue streams —</w:t>
      </w:r>
      <w:r w:rsidRPr="00CA5B70">
        <w:t xml:space="preserve"> and fluctuations in </w:t>
      </w:r>
      <w:r>
        <w:t>the growth rate of the GST pool —</w:t>
      </w:r>
      <w:r w:rsidRPr="00CA5B70">
        <w:t xml:space="preserve"> can create difficulties in accurately forecasting specific relativities</w:t>
      </w:r>
      <w:r>
        <w:t>, GST payments are relatively stable compared to other revenue streams, and for several States they comprise the least volatile source of revenue (</w:t>
      </w:r>
      <w:r w:rsidRPr="00CA5B70">
        <w:t>section</w:t>
      </w:r>
      <w:r>
        <w:t> </w:t>
      </w:r>
      <w:r w:rsidRPr="00CA5B70">
        <w:t xml:space="preserve">4.2 provides more detail). </w:t>
      </w:r>
    </w:p>
    <w:p w14:paraId="7954A27F" w14:textId="77777777" w:rsidR="00F05DC7" w:rsidRDefault="00F05DC7" w:rsidP="00A3786D">
      <w:pPr>
        <w:pStyle w:val="BodyText"/>
      </w:pPr>
      <w:r w:rsidRPr="00CA5B70">
        <w:t xml:space="preserve">Indeed, some States argued that, by allowing State </w:t>
      </w:r>
      <w:r>
        <w:t>G</w:t>
      </w:r>
      <w:r w:rsidRPr="00CA5B70">
        <w:t>overnments to forecast several years of GST relativities based on current and recent circumstances, limited contemporaneity promotes stability of GST payments and provides States with more certainty when managing their budgets (SA Government, sub.</w:t>
      </w:r>
      <w:r>
        <w:t> </w:t>
      </w:r>
      <w:r w:rsidRPr="00CA5B70">
        <w:t>25, p</w:t>
      </w:r>
      <w:r>
        <w:t>p</w:t>
      </w:r>
      <w:r w:rsidRPr="00CA5B70">
        <w:t>. 16</w:t>
      </w:r>
      <w:r>
        <w:noBreakHyphen/>
        <w:t>17</w:t>
      </w:r>
      <w:r w:rsidRPr="00CA5B70">
        <w:t>; Tasmanian Government, sub.</w:t>
      </w:r>
      <w:r>
        <w:t> </w:t>
      </w:r>
      <w:r w:rsidRPr="00CA5B70">
        <w:t>28, p. 28; Victorian Government, sub.</w:t>
      </w:r>
      <w:r>
        <w:t> </w:t>
      </w:r>
      <w:r w:rsidRPr="00CA5B70">
        <w:t>DR87, p. 20).</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281" w14:textId="77777777" w:rsidTr="00A3786D">
        <w:trPr>
          <w:tblHeader/>
        </w:trPr>
        <w:tc>
          <w:tcPr>
            <w:tcW w:w="5000" w:type="pct"/>
            <w:tcBorders>
              <w:top w:val="single" w:sz="6" w:space="0" w:color="78A22F"/>
              <w:left w:val="nil"/>
              <w:bottom w:val="nil"/>
              <w:right w:val="nil"/>
            </w:tcBorders>
            <w:shd w:val="clear" w:color="auto" w:fill="F2F2F2"/>
          </w:tcPr>
          <w:p w14:paraId="7954A280" w14:textId="5BD94DCB" w:rsidR="00F05DC7" w:rsidRDefault="00F05DC7" w:rsidP="00A3786D">
            <w:pPr>
              <w:pStyle w:val="BoxTitle"/>
              <w:spacing w:before="100" w:line="260" w:lineRule="exact"/>
            </w:pPr>
            <w:r>
              <w:rPr>
                <w:b w:val="0"/>
              </w:rPr>
              <w:lastRenderedPageBreak/>
              <w:t>Box 4.</w:t>
            </w:r>
            <w:r>
              <w:rPr>
                <w:b w:val="0"/>
                <w:noProof/>
              </w:rPr>
              <w:t>2</w:t>
            </w:r>
            <w:r>
              <w:tab/>
            </w:r>
            <w:r w:rsidRPr="00F459F1">
              <w:rPr>
                <w:rFonts w:ascii="Arial Bold" w:hAnsi="Arial Bold"/>
                <w:spacing w:val="-2"/>
              </w:rPr>
              <w:t>Non</w:t>
            </w:r>
            <w:r>
              <w:rPr>
                <w:rFonts w:ascii="Arial Bold" w:hAnsi="Arial Bold"/>
                <w:spacing w:val="-2"/>
              </w:rPr>
              <w:noBreakHyphen/>
            </w:r>
            <w:r w:rsidRPr="00F459F1">
              <w:rPr>
                <w:rFonts w:ascii="Arial Bold" w:hAnsi="Arial Bold"/>
                <w:spacing w:val="-2"/>
              </w:rPr>
              <w:t>contemporaneity and Western Australia’s budget position</w:t>
            </w:r>
          </w:p>
        </w:tc>
      </w:tr>
      <w:tr w:rsidR="00F05DC7" w14:paraId="7954A28B" w14:textId="77777777" w:rsidTr="00A3786D">
        <w:tc>
          <w:tcPr>
            <w:tcW w:w="5000" w:type="pct"/>
            <w:tcBorders>
              <w:top w:val="nil"/>
              <w:left w:val="nil"/>
              <w:bottom w:val="nil"/>
              <w:right w:val="nil"/>
            </w:tcBorders>
            <w:shd w:val="clear" w:color="auto" w:fill="F2F2F2"/>
          </w:tcPr>
          <w:p w14:paraId="7954A282" w14:textId="77777777" w:rsidR="00F05DC7" w:rsidRPr="004E4F26" w:rsidRDefault="00F05DC7" w:rsidP="00A3786D">
            <w:pPr>
              <w:pStyle w:val="Box"/>
              <w:spacing w:before="100" w:line="240" w:lineRule="atLeast"/>
            </w:pPr>
            <w:r w:rsidRPr="004E4F26">
              <w:t xml:space="preserve">After </w:t>
            </w:r>
            <w:r>
              <w:t xml:space="preserve">roughly </w:t>
            </w:r>
            <w:r w:rsidRPr="004E4F26">
              <w:t>10 years of strong growth</w:t>
            </w:r>
            <w:r>
              <w:t xml:space="preserve"> driven by the mining construction boom</w:t>
            </w:r>
            <w:r w:rsidRPr="004E4F26">
              <w:t>, Western Australia’s royalty revenue peaked in 2013</w:t>
            </w:r>
            <w:r w:rsidRPr="004E4F26">
              <w:noBreakHyphen/>
              <w:t>14 and declined substantially thereafter. Due to the three</w:t>
            </w:r>
            <w:r w:rsidRPr="004E4F26">
              <w:noBreakHyphen/>
              <w:t>year assessment period and two</w:t>
            </w:r>
            <w:r w:rsidRPr="004E4F26">
              <w:noBreakHyphen/>
              <w:t xml:space="preserve">year lag, Western Australia’s GST payments have remained heavily influenced by previously high royalty revenues, contributing to </w:t>
            </w:r>
            <w:r>
              <w:t>a deteriorating fiscal position</w:t>
            </w:r>
            <w:r w:rsidRPr="004E4F26">
              <w:t>. The WA Government argued that the HFE system thereby exacerbated the effect of the downturn on the State’s finances (sub. 15, p. 93).</w:t>
            </w:r>
          </w:p>
          <w:p w14:paraId="7954A283" w14:textId="56258222" w:rsidR="00F05DC7" w:rsidRPr="00EC396C" w:rsidRDefault="00F05DC7" w:rsidP="00A3786D">
            <w:pPr>
              <w:pStyle w:val="Box"/>
              <w:spacing w:before="100" w:line="240" w:lineRule="atLeast"/>
            </w:pPr>
            <w:r w:rsidRPr="00EC396C">
              <w:t xml:space="preserve">However, many have argued that Western Australia’s current fiscal predicament is chiefly a product of its continued high spending, despite falling GST payments </w:t>
            </w:r>
            <w:r w:rsidRPr="00EC396C">
              <w:rPr>
                <w:rFonts w:cs="Arial"/>
                <w:szCs w:val="24"/>
              </w:rPr>
              <w:t>(Langoulant 2018, p. 55; CCIWA, sub. 11, p. 1; Tasmanian Government, sub. 28, pp. 6, 24; NT Government, sub. DR69, p. 16; SACOSS, sub. DR75, p. 2; Victorian Government, sub. DR87, p. 20)</w:t>
            </w:r>
            <w:r w:rsidRPr="00EC396C">
              <w:t xml:space="preserve">. Eslake (2017b), for example, argued: </w:t>
            </w:r>
          </w:p>
          <w:p w14:paraId="7954A284" w14:textId="77777777" w:rsidR="00F05DC7" w:rsidRPr="00A86209" w:rsidRDefault="00F05DC7" w:rsidP="00A3786D">
            <w:pPr>
              <w:pStyle w:val="BoxQuote"/>
            </w:pPr>
            <w:r w:rsidRPr="00A86209">
              <w:t>Despite the sharp decline in its share of GST revenues, the WA government’s total revenue per head of population in 2015</w:t>
            </w:r>
            <w:r w:rsidRPr="00A86209">
              <w:noBreakHyphen/>
              <w:t>16 was just A$67 (or 0.7%) below the average for all states and territories. By contrast, by 2015</w:t>
            </w:r>
            <w:r w:rsidRPr="00A86209">
              <w:noBreakHyphen/>
              <w:t xml:space="preserve">16 the WA government was spending over A$1000 (or 10.5%) more per head of population on ‘operating expenses’, than the average of all states and territories … </w:t>
            </w:r>
          </w:p>
          <w:p w14:paraId="7954A285" w14:textId="77777777" w:rsidR="00F05DC7" w:rsidRPr="00A86209" w:rsidRDefault="00F05DC7" w:rsidP="00A3786D">
            <w:pPr>
              <w:pStyle w:val="BoxQuote"/>
            </w:pPr>
            <w:r w:rsidRPr="00A86209">
              <w:t xml:space="preserve">WA’s present fiscal woes are the result not of a flawed system of distributing revenue from the GST among the states and territories, but rather of its inability to control its own spending. </w:t>
            </w:r>
          </w:p>
          <w:p w14:paraId="7954A286" w14:textId="60ED1D9A" w:rsidR="00F05DC7" w:rsidRPr="004E4F26" w:rsidRDefault="00F05DC7" w:rsidP="00A3786D">
            <w:pPr>
              <w:pStyle w:val="Box"/>
              <w:spacing w:before="100" w:line="240" w:lineRule="atLeast"/>
            </w:pPr>
            <w:r>
              <w:t>Though</w:t>
            </w:r>
            <w:r w:rsidRPr="004E4F26">
              <w:t xml:space="preserve"> Western Australia currently receives </w:t>
            </w:r>
            <w:r>
              <w:t>lower</w:t>
            </w:r>
            <w:r w:rsidRPr="004E4F26">
              <w:t xml:space="preserve"> </w:t>
            </w:r>
            <w:r>
              <w:t xml:space="preserve">GST payments </w:t>
            </w:r>
            <w:r w:rsidRPr="004E4F26">
              <w:t>than it</w:t>
            </w:r>
            <w:r>
              <w:t xml:space="preserve"> is assessed to need,</w:t>
            </w:r>
            <w:r w:rsidRPr="004E4F26">
              <w:t xml:space="preserve"> while mining royalties were increasing</w:t>
            </w:r>
            <w:r>
              <w:t xml:space="preserve"> it received larger GST payments than it </w:t>
            </w:r>
            <w:r w:rsidRPr="004E4F26">
              <w:t xml:space="preserve">would </w:t>
            </w:r>
            <w:r>
              <w:t xml:space="preserve">have </w:t>
            </w:r>
            <w:r w:rsidRPr="004E4F26">
              <w:t xml:space="preserve">under </w:t>
            </w:r>
            <w:r>
              <w:t xml:space="preserve">a </w:t>
            </w:r>
            <w:r w:rsidRPr="004E4F26">
              <w:t xml:space="preserve">fully contemporaneous </w:t>
            </w:r>
            <w:r>
              <w:t>HFE system</w:t>
            </w:r>
            <w:r w:rsidRPr="004E4F26">
              <w:t xml:space="preserve">. The CGC </w:t>
            </w:r>
            <w:r>
              <w:t xml:space="preserve">has </w:t>
            </w:r>
            <w:r w:rsidRPr="004E4F26">
              <w:t xml:space="preserve">estimated that growth in iron ore royalties alone resulted in Western Australia retaining </w:t>
            </w:r>
            <w:r>
              <w:t>an extra</w:t>
            </w:r>
            <w:r w:rsidRPr="004E4F26">
              <w:t xml:space="preserve"> $7 billion from 2010</w:t>
            </w:r>
            <w:r w:rsidRPr="004E4F26">
              <w:noBreakHyphen/>
              <w:t>11 to 2015</w:t>
            </w:r>
            <w:r w:rsidRPr="004E4F26">
              <w:noBreakHyphen/>
              <w:t xml:space="preserve">16 </w:t>
            </w:r>
            <w:r>
              <w:t>compared to</w:t>
            </w:r>
            <w:r w:rsidRPr="004E4F26">
              <w:t xml:space="preserve"> contemporaneous GST payments </w:t>
            </w:r>
            <w:r w:rsidR="009D6331" w:rsidRPr="009D6331">
              <w:rPr>
                <w:rFonts w:cs="Arial"/>
                <w:szCs w:val="24"/>
              </w:rPr>
              <w:t>(CGC 2015a, p. 8; pers. comm., 11 August 2018)</w:t>
            </w:r>
            <w:r w:rsidRPr="004E4F26">
              <w:t>.</w:t>
            </w:r>
          </w:p>
          <w:p w14:paraId="7954A287" w14:textId="66C0181C" w:rsidR="00F05DC7" w:rsidRPr="004E4F26" w:rsidRDefault="00F05DC7" w:rsidP="00A3786D">
            <w:pPr>
              <w:pStyle w:val="Box"/>
              <w:spacing w:before="100" w:line="240" w:lineRule="atLeast"/>
            </w:pPr>
            <w:r w:rsidRPr="004E4F26">
              <w:t>In its first submission to this inquiry, the WA Government (sub. 15, pp. 97</w:t>
            </w:r>
            <w:r w:rsidRPr="004E4F26">
              <w:noBreakHyphen/>
              <w:t>99) discussed why these excess GST payments were not provisioned as a contingency for the emerging (and forecast) downturn in GST payments. (The 2011</w:t>
            </w:r>
            <w:r w:rsidRPr="004E4F26">
              <w:noBreakHyphen/>
              <w:t>12 budget projected a fall in WA’s relativity from 0.72 to 0.33 by 2014</w:t>
            </w:r>
            <w:r w:rsidRPr="004E4F26">
              <w:noBreakHyphen/>
              <w:t xml:space="preserve">15 </w:t>
            </w:r>
            <w:r w:rsidR="009D6331" w:rsidRPr="009D6331">
              <w:rPr>
                <w:rFonts w:cs="Arial"/>
                <w:szCs w:val="24"/>
              </w:rPr>
              <w:t>(WA Government 2011a)</w:t>
            </w:r>
            <w:r>
              <w:t xml:space="preserve"> </w:t>
            </w:r>
            <w:r w:rsidRPr="004E4F26">
              <w:t>— its actual relativity in 2014</w:t>
            </w:r>
            <w:r w:rsidRPr="004E4F26">
              <w:noBreakHyphen/>
              <w:t xml:space="preserve">15 was 0.38). Among the reasons given was an expectation within the WA Government that the HFE system would be reformed following the 2012 GST Distribution Review (that is, it did not see the continued decline in its GST relativities as guaranteed). Consistent with this notion, the </w:t>
            </w:r>
            <w:r>
              <w:t xml:space="preserve">then </w:t>
            </w:r>
            <w:r w:rsidRPr="004E4F26">
              <w:t>WA Treasurer</w:t>
            </w:r>
            <w:r>
              <w:t xml:space="preserve"> </w:t>
            </w:r>
            <w:r w:rsidRPr="00A86209">
              <w:t>(Porter 2011, p. 3)</w:t>
            </w:r>
            <w:r w:rsidRPr="004E4F26">
              <w:t xml:space="preserve"> stated in his 2011</w:t>
            </w:r>
            <w:r>
              <w:noBreakHyphen/>
            </w:r>
            <w:r w:rsidRPr="004E4F26">
              <w:t>12 budget speech:</w:t>
            </w:r>
          </w:p>
          <w:p w14:paraId="7954A288" w14:textId="77777777" w:rsidR="00F05DC7" w:rsidRPr="00A86209" w:rsidRDefault="00F05DC7" w:rsidP="00A3786D">
            <w:pPr>
              <w:pStyle w:val="BoxQuote"/>
              <w:spacing w:line="230" w:lineRule="exact"/>
            </w:pPr>
            <w:r w:rsidRPr="00A86209">
              <w:t>What we reasonably anticipate is that in 2013</w:t>
            </w:r>
            <w:r>
              <w:noBreakHyphen/>
            </w:r>
            <w:r w:rsidRPr="00A86209">
              <w:t>14 the CGC will have brought in a new GST system. We expect it will produce a floor of about 75 per cent of our population share of the GST. Therefore we expect extra revenue of $1.8 billion in 2013</w:t>
            </w:r>
            <w:r>
              <w:noBreakHyphen/>
            </w:r>
            <w:r w:rsidRPr="00A86209">
              <w:t>14 and $2.5 billion in 2014</w:t>
            </w:r>
            <w:r>
              <w:noBreakHyphen/>
            </w:r>
            <w:r w:rsidRPr="00A86209">
              <w:t xml:space="preserve">15. These amounts will allow for reduced borrowings and will be used to progressively reduce existing debt to less than $18 billion while maintaining strong infrastructure investment. … If that change does not occur in that year, the State Government will then have no choice but to wind back infrastructure investment to decrease debt. </w:t>
            </w:r>
          </w:p>
          <w:p w14:paraId="7954A289" w14:textId="420CA53B" w:rsidR="00F05DC7" w:rsidRPr="004E4F26" w:rsidRDefault="00F05DC7" w:rsidP="00A3786D">
            <w:pPr>
              <w:pStyle w:val="Box"/>
              <w:spacing w:before="100" w:line="240" w:lineRule="atLeast"/>
            </w:pPr>
            <w:r w:rsidRPr="004E4F26">
              <w:t>In the 2011</w:t>
            </w:r>
            <w:r>
              <w:noBreakHyphen/>
            </w:r>
            <w:r w:rsidRPr="004E4F26">
              <w:t xml:space="preserve">12 budget papers, the WA Government’s spending over the forward estimates </w:t>
            </w:r>
            <w:r w:rsidR="009D6331" w:rsidRPr="009D6331">
              <w:rPr>
                <w:rFonts w:cs="Arial"/>
                <w:szCs w:val="24"/>
              </w:rPr>
              <w:t>(2011a, p. 33)</w:t>
            </w:r>
            <w:r w:rsidRPr="004E4F26">
              <w:t xml:space="preserve"> did not explicitly include additional GST revenue from the anticipated relativity floor. However, the asset investment program in the key budget aggregates (p. 6) is identical to that shown in the assumed budget aggregates if a floor of 0.75 were introduced (p. 64). This suggests the State was on a higher course of spending than would be the case if there </w:t>
            </w:r>
            <w:r>
              <w:t>was</w:t>
            </w:r>
            <w:r w:rsidRPr="004E4F26">
              <w:t xml:space="preserve"> no expectation of a floor. A </w:t>
            </w:r>
            <w:r>
              <w:t xml:space="preserve">recent </w:t>
            </w:r>
            <w:r w:rsidRPr="004E4F26">
              <w:t xml:space="preserve">inquiry into WA Government expenditure (Langoulant 2018) reached a similar conclusion (p. 54), </w:t>
            </w:r>
            <w:r>
              <w:t>stating</w:t>
            </w:r>
            <w:r w:rsidRPr="004E4F26">
              <w:t xml:space="preserve"> that ‘if the warnings Treasury provided that the policy settings of the day would cause major difficulties in the future had been heeded, it is highly likely that the State’s current budget and debt positions would have been mitigated, and in a material manner’ (p. 55).</w:t>
            </w:r>
          </w:p>
          <w:p w14:paraId="7954A28A" w14:textId="77777777" w:rsidR="00F05DC7" w:rsidRDefault="00F05DC7" w:rsidP="00A3786D">
            <w:pPr>
              <w:pStyle w:val="Box"/>
              <w:spacing w:before="100" w:line="240" w:lineRule="atLeast"/>
            </w:pPr>
            <w:r w:rsidRPr="004E4F26">
              <w:t>Although a lack of contemporaneity arguably exacerbated its existing budget problems after the decline of the construction phase of the mining boom, overall, Western Australia benefited from limited contemporaneity during the boom. With its relativity set to increase substantially in the next few years, Western Australia could be expected to remain a net beneficiary of the lag and three</w:t>
            </w:r>
            <w:r w:rsidRPr="004E4F26">
              <w:noBreakHyphen/>
              <w:t>year averaging into the next decade.</w:t>
            </w:r>
          </w:p>
        </w:tc>
      </w:tr>
      <w:tr w:rsidR="00F05DC7" w14:paraId="7954A28D" w14:textId="77777777" w:rsidTr="00A3786D">
        <w:tc>
          <w:tcPr>
            <w:tcW w:w="5000" w:type="pct"/>
            <w:tcBorders>
              <w:top w:val="nil"/>
              <w:left w:val="nil"/>
              <w:bottom w:val="single" w:sz="6" w:space="0" w:color="78A22F"/>
              <w:right w:val="nil"/>
            </w:tcBorders>
            <w:shd w:val="clear" w:color="auto" w:fill="F2F2F2"/>
          </w:tcPr>
          <w:p w14:paraId="7954A28C" w14:textId="77777777" w:rsidR="00F05DC7" w:rsidRDefault="00F05DC7">
            <w:pPr>
              <w:pStyle w:val="Box"/>
              <w:spacing w:before="0" w:line="120" w:lineRule="exact"/>
            </w:pPr>
          </w:p>
        </w:tc>
      </w:tr>
    </w:tbl>
    <w:p w14:paraId="7954A28E" w14:textId="4B7A51CA" w:rsidR="00F05DC7" w:rsidRDefault="00F05DC7" w:rsidP="00A3786D">
      <w:pPr>
        <w:pStyle w:val="BodyText"/>
      </w:pPr>
      <w:r>
        <w:lastRenderedPageBreak/>
        <w:t>Further, States have a range of options with which they can manage short</w:t>
      </w:r>
      <w:r>
        <w:noBreakHyphen/>
        <w:t xml:space="preserve">term fluctuations in their GST payments, just as they would with any other source of volatility in State revenues </w:t>
      </w:r>
      <w:r w:rsidR="009D6331" w:rsidRPr="009D6331">
        <w:rPr>
          <w:szCs w:val="24"/>
        </w:rPr>
        <w:t>(Jim Hancock, sub. 54, p. 8; Victorian Government, sub. DR87, p. 2; CGC 2015a, pp. 4–5, 14)</w:t>
      </w:r>
      <w:r>
        <w:t>. These options include: increasing revenue</w:t>
      </w:r>
      <w:r>
        <w:noBreakHyphen/>
        <w:t xml:space="preserve">raising capacity by bringing more revenue sources onstream or lifting tax rates; increasing borrowing; running a surplus to accumulate a fiscal ‘contingency fund’ for the onset of lower GST payments; or tapering expenditures down to align with reduced revenues. The CGC </w:t>
      </w:r>
      <w:r w:rsidRPr="005F45D2">
        <w:t>(2015a,</w:t>
      </w:r>
      <w:r>
        <w:t> </w:t>
      </w:r>
      <w:r w:rsidRPr="005F45D2">
        <w:t>pp. 10, 14)</w:t>
      </w:r>
      <w:r>
        <w:t xml:space="preserve"> has also noted that, while HFE necessarily </w:t>
      </w:r>
      <w:r w:rsidRPr="005F45D2">
        <w:t>interacts</w:t>
      </w:r>
      <w:r>
        <w:t xml:space="preserve"> with State budget management, the system’s priority is not to balance State budgets on behalf of Governments.</w:t>
      </w:r>
    </w:p>
    <w:p w14:paraId="7954A28F" w14:textId="77777777" w:rsidR="00F05DC7" w:rsidRDefault="00F05DC7" w:rsidP="00A3786D">
      <w:pPr>
        <w:pStyle w:val="Heading3"/>
      </w:pPr>
      <w:r>
        <w:t>How could greater contemporaneity be achieved?</w:t>
      </w:r>
    </w:p>
    <w:p w14:paraId="7954A290" w14:textId="1866BED0" w:rsidR="00F05DC7" w:rsidRDefault="00F05DC7" w:rsidP="00A3786D">
      <w:pPr>
        <w:pStyle w:val="BodyText"/>
      </w:pPr>
      <w:r>
        <w:t xml:space="preserve">Without moving substantially away from the current assessment methods used by the CGC, contemporaneity could be increased by reducing the length of the assessment period, addressing the lag in data availability, or both. The CGC </w:t>
      </w:r>
      <w:r w:rsidR="009D6331" w:rsidRPr="009D6331">
        <w:t>(2017e)</w:t>
      </w:r>
      <w:r>
        <w:t xml:space="preserve"> considered both of these options in preliminary work for the 2020 Methodology Review. </w:t>
      </w:r>
    </w:p>
    <w:p w14:paraId="7954A291" w14:textId="77777777" w:rsidR="00F05DC7" w:rsidRDefault="00F05DC7" w:rsidP="00A3786D">
      <w:pPr>
        <w:pStyle w:val="Heading4"/>
      </w:pPr>
      <w:r>
        <w:t>Reducing the length of the assessment period</w:t>
      </w:r>
    </w:p>
    <w:p w14:paraId="7954A292" w14:textId="77777777" w:rsidR="00F05DC7" w:rsidRDefault="00F05DC7" w:rsidP="00A3786D">
      <w:pPr>
        <w:pStyle w:val="BodyText"/>
        <w:rPr>
          <w:rStyle w:val="DraftingNote"/>
          <w:b w:val="0"/>
          <w:color w:val="auto"/>
          <w:u w:val="none"/>
        </w:rPr>
      </w:pPr>
      <w:r>
        <w:rPr>
          <w:rStyle w:val="DraftingNote"/>
          <w:b w:val="0"/>
          <w:color w:val="auto"/>
          <w:u w:val="none"/>
        </w:rPr>
        <w:t xml:space="preserve">Several participants have suggested that the assessment period </w:t>
      </w:r>
      <w:r w:rsidRPr="00302959">
        <w:rPr>
          <w:rStyle w:val="DraftingNote"/>
          <w:b w:val="0"/>
          <w:color w:val="auto"/>
          <w:u w:val="none"/>
        </w:rPr>
        <w:t xml:space="preserve">be shortened </w:t>
      </w:r>
      <w:r>
        <w:rPr>
          <w:rStyle w:val="DraftingNote"/>
          <w:b w:val="0"/>
          <w:color w:val="auto"/>
          <w:u w:val="none"/>
        </w:rPr>
        <w:t>so that</w:t>
      </w:r>
      <w:r w:rsidRPr="00302959">
        <w:rPr>
          <w:rStyle w:val="DraftingNote"/>
          <w:b w:val="0"/>
          <w:color w:val="auto"/>
          <w:u w:val="none"/>
        </w:rPr>
        <w:t xml:space="preserve"> GST relativities </w:t>
      </w:r>
      <w:r>
        <w:rPr>
          <w:rStyle w:val="DraftingNote"/>
          <w:b w:val="0"/>
          <w:color w:val="auto"/>
          <w:u w:val="none"/>
        </w:rPr>
        <w:t>can</w:t>
      </w:r>
      <w:r w:rsidRPr="00302959">
        <w:rPr>
          <w:rStyle w:val="DraftingNote"/>
          <w:b w:val="0"/>
          <w:color w:val="auto"/>
          <w:u w:val="none"/>
        </w:rPr>
        <w:t xml:space="preserve"> respond faster to changes in States’ fiscal circumstances</w:t>
      </w:r>
      <w:r>
        <w:rPr>
          <w:rStyle w:val="DraftingNote"/>
          <w:b w:val="0"/>
          <w:color w:val="auto"/>
          <w:u w:val="none"/>
        </w:rPr>
        <w:t xml:space="preserve"> </w:t>
      </w:r>
      <w:r w:rsidRPr="009761AB">
        <w:rPr>
          <w:rStyle w:val="DraftingNote"/>
          <w:b w:val="0"/>
          <w:color w:val="auto"/>
          <w:u w:val="none"/>
        </w:rPr>
        <w:t>(</w:t>
      </w:r>
      <w:r>
        <w:rPr>
          <w:rStyle w:val="DraftingNote"/>
          <w:b w:val="0"/>
          <w:color w:val="auto"/>
          <w:u w:val="none"/>
        </w:rPr>
        <w:t xml:space="preserve">Business Council of Australia, sub. 47, p. 5; WA Government, sub. DR83, p. 34; Business SA, sub. DR94, p. 5). </w:t>
      </w:r>
    </w:p>
    <w:p w14:paraId="7954A293" w14:textId="77777777" w:rsidR="00F05DC7" w:rsidRDefault="00F05DC7" w:rsidP="00A3786D">
      <w:pPr>
        <w:pStyle w:val="BodyText"/>
        <w:rPr>
          <w:rStyle w:val="DraftingNote"/>
          <w:b w:val="0"/>
          <w:color w:val="auto"/>
          <w:u w:val="none"/>
        </w:rPr>
      </w:pPr>
      <w:r>
        <w:rPr>
          <w:rStyle w:val="DraftingNote"/>
          <w:b w:val="0"/>
          <w:color w:val="auto"/>
          <w:u w:val="none"/>
        </w:rPr>
        <w:t>Phillip Bubb and the ACT Government both mooted the option of assessing a single year for each update:</w:t>
      </w:r>
    </w:p>
    <w:p w14:paraId="7954A294" w14:textId="77777777" w:rsidR="00F05DC7" w:rsidRDefault="00F05DC7" w:rsidP="00A3786D">
      <w:pPr>
        <w:pStyle w:val="Quote"/>
      </w:pPr>
      <w:r>
        <w:t>Averaging … makes the calculation and understanding of the changes to relativities all but impossible, not least for Grants Commissioners themselves. I suggest that the [CGC] base recommendations to the Commonwealth on an assessment only of the latest year for which data are available.  This should provide more up to date and accurate recommendations.  It is also far simpler. (Phillip Bubb, sub. DR60, p. 3)</w:t>
      </w:r>
    </w:p>
    <w:p w14:paraId="7954A295" w14:textId="77777777" w:rsidR="00F05DC7" w:rsidRPr="009761AB" w:rsidRDefault="00F05DC7" w:rsidP="00A3786D">
      <w:pPr>
        <w:pStyle w:val="Quote"/>
      </w:pPr>
      <w:r>
        <w:t>A possible option that can be considered is a move to a one</w:t>
      </w:r>
      <w:r>
        <w:noBreakHyphen/>
        <w:t>year assessment period from the current three</w:t>
      </w:r>
      <w:r>
        <w:noBreakHyphen/>
        <w:t>year assessment period. It is expected that the relativities calculated using a one</w:t>
      </w:r>
      <w:r>
        <w:noBreakHyphen/>
        <w:t>year assessment period would be much more volatile than relativities calculated using a three</w:t>
      </w:r>
      <w:r>
        <w:noBreakHyphen/>
        <w:t>year assessment period. However, the ACT’s analysis … shows only a slight increase in volatility between the two approaches. (ACT Government, sub. DR81, p. 31</w:t>
      </w:r>
      <w:r>
        <w:noBreakHyphen/>
        <w:t xml:space="preserve">2) </w:t>
      </w:r>
    </w:p>
    <w:p w14:paraId="7954A296" w14:textId="77777777" w:rsidR="00F05DC7" w:rsidRDefault="00F05DC7" w:rsidP="00A3786D">
      <w:pPr>
        <w:pStyle w:val="BodyText"/>
      </w:pPr>
      <w:r w:rsidRPr="005C7D6A">
        <w:t>Productivity Commission analysis of such a change suggests it is unlikely that reducing the length of the assessment period would systematically reduce the amplifying effect HFE can have on State budget cycles. Figure 4.</w:t>
      </w:r>
      <w:r>
        <w:t>4</w:t>
      </w:r>
      <w:r w:rsidRPr="005C7D6A">
        <w:t xml:space="preserve"> shows how States’ net operating balances would have differed had GST payments been calculated using a one</w:t>
      </w:r>
      <w:r w:rsidRPr="005C7D6A">
        <w:noBreakHyphen/>
        <w:t xml:space="preserve">year assessment period. It suggests that a shorter assessment period could have led to larger extremes in operating balances in some cases (for example, during Victoria’s, South Australia’s and Western Australia’s most recent operating balance minimums) and smaller declines in others (notably, Queensland’s most recent minimum). </w:t>
      </w: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425"/>
        <w:gridCol w:w="8364"/>
      </w:tblGrid>
      <w:tr w:rsidR="00F05DC7" w14:paraId="7954A299" w14:textId="77777777" w:rsidTr="00A3786D">
        <w:trPr>
          <w:tblHeader/>
        </w:trPr>
        <w:tc>
          <w:tcPr>
            <w:tcW w:w="242" w:type="pct"/>
            <w:tcBorders>
              <w:top w:val="single" w:sz="6" w:space="0" w:color="78A22F"/>
              <w:left w:val="nil"/>
              <w:bottom w:val="nil"/>
              <w:right w:val="nil"/>
            </w:tcBorders>
          </w:tcPr>
          <w:p w14:paraId="7954A297" w14:textId="77777777" w:rsidR="00F05DC7" w:rsidRPr="00784A05" w:rsidRDefault="00F05DC7" w:rsidP="00A3786D">
            <w:pPr>
              <w:pStyle w:val="FigureTitle"/>
              <w:rPr>
                <w:b w:val="0"/>
              </w:rPr>
            </w:pPr>
          </w:p>
        </w:tc>
        <w:tc>
          <w:tcPr>
            <w:tcW w:w="4758" w:type="pct"/>
            <w:tcBorders>
              <w:top w:val="single" w:sz="6" w:space="0" w:color="78A22F"/>
              <w:left w:val="nil"/>
              <w:bottom w:val="nil"/>
              <w:right w:val="nil"/>
            </w:tcBorders>
            <w:shd w:val="clear" w:color="auto" w:fill="auto"/>
          </w:tcPr>
          <w:p w14:paraId="7954A298" w14:textId="7C4A9998" w:rsidR="00F05DC7" w:rsidRPr="00176D3F" w:rsidRDefault="00F05DC7" w:rsidP="00A3786D">
            <w:pPr>
              <w:pStyle w:val="FigureTitle"/>
            </w:pPr>
            <w:r w:rsidRPr="00784A05">
              <w:rPr>
                <w:b w:val="0"/>
              </w:rPr>
              <w:t xml:space="preserve">Figure </w:t>
            </w:r>
            <w:r>
              <w:rPr>
                <w:b w:val="0"/>
              </w:rPr>
              <w:t>4.4</w:t>
            </w:r>
            <w:r>
              <w:tab/>
              <w:t>Net operating balance and assessment period</w:t>
            </w:r>
          </w:p>
        </w:tc>
      </w:tr>
      <w:tr w:rsidR="00F05DC7" w14:paraId="7954A2A3" w14:textId="77777777" w:rsidTr="00D85C4C">
        <w:trPr>
          <w:trHeight w:val="2480"/>
        </w:trPr>
        <w:tc>
          <w:tcPr>
            <w:tcW w:w="242" w:type="pct"/>
            <w:tcBorders>
              <w:top w:val="nil"/>
              <w:left w:val="nil"/>
              <w:right w:val="nil"/>
            </w:tcBorders>
            <w:textDirection w:val="btLr"/>
          </w:tcPr>
          <w:p w14:paraId="7954A29C" w14:textId="1B996B9E" w:rsidR="00F05DC7" w:rsidRPr="003F68CD" w:rsidRDefault="00F05DC7" w:rsidP="003F68CD">
            <w:pPr>
              <w:pStyle w:val="Figure"/>
              <w:spacing w:before="0" w:after="0"/>
              <w:rPr>
                <w:rFonts w:ascii="Arial" w:hAnsi="Arial" w:cs="Arial"/>
                <w:sz w:val="20"/>
              </w:rPr>
            </w:pPr>
            <w:r>
              <w:rPr>
                <w:rFonts w:ascii="Arial" w:hAnsi="Arial" w:cs="Arial"/>
                <w:b/>
                <w:bCs/>
                <w:sz w:val="20"/>
              </w:rPr>
              <w:t>Net operating balance, $ billion</w:t>
            </w:r>
          </w:p>
          <w:p w14:paraId="7954A29D" w14:textId="77777777" w:rsidR="00F05DC7" w:rsidRDefault="00F05DC7" w:rsidP="00A3786D">
            <w:pPr>
              <w:pStyle w:val="Figure"/>
              <w:ind w:left="113" w:right="113"/>
            </w:pPr>
          </w:p>
          <w:p w14:paraId="7954A29E" w14:textId="77777777" w:rsidR="00F05DC7" w:rsidRDefault="00F05DC7" w:rsidP="00A3786D">
            <w:pPr>
              <w:pStyle w:val="Figure"/>
              <w:ind w:left="113" w:right="113"/>
            </w:pPr>
          </w:p>
        </w:tc>
        <w:tc>
          <w:tcPr>
            <w:tcW w:w="4758" w:type="pct"/>
            <w:tcBorders>
              <w:top w:val="nil"/>
              <w:left w:val="nil"/>
              <w:right w:val="nil"/>
            </w:tcBorders>
            <w:shd w:val="clear" w:color="auto" w:fill="auto"/>
            <w:tcMar>
              <w:left w:w="28" w:type="dxa"/>
              <w:right w:w="28" w:type="dxa"/>
            </w:tcMar>
          </w:tcPr>
          <w:p w14:paraId="7954A2A2" w14:textId="40D4E90F" w:rsidR="00F05DC7" w:rsidRPr="00202A60" w:rsidRDefault="00D85C4C" w:rsidP="00A3786D">
            <w:pPr>
              <w:pStyle w:val="Figure"/>
              <w:spacing w:before="60" w:after="40" w:line="240" w:lineRule="auto"/>
              <w:rPr>
                <w:rFonts w:asciiTheme="majorHAnsi" w:hAnsiTheme="majorHAnsi" w:cstheme="majorHAnsi"/>
                <w:b/>
                <w:sz w:val="20"/>
              </w:rPr>
            </w:pPr>
            <w:r w:rsidRPr="00D85C4C">
              <w:rPr>
                <w:rFonts w:asciiTheme="majorHAnsi" w:hAnsiTheme="majorHAnsi" w:cstheme="majorHAnsi"/>
                <w:b/>
                <w:noProof/>
                <w:sz w:val="20"/>
              </w:rPr>
              <w:drawing>
                <wp:inline distT="0" distB="0" distL="0" distR="0" wp14:anchorId="037F40AE" wp14:editId="7AF3A720">
                  <wp:extent cx="5165725" cy="6683375"/>
                  <wp:effectExtent l="0" t="0" r="0" b="3175"/>
                  <wp:docPr id="252" name="Picture 252" descr="This figure shows States’ net operating balances under circumstances where GST payments are allocated according to the current system and according to a hypothetical system involving a one year assessment period. As outlined in the text, a one year assessment period would introduce larger extremes in net operating balance for some States (including Victoria, South Australia and Western Australia) but not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65725" cy="6683375"/>
                          </a:xfrm>
                          <a:prstGeom prst="rect">
                            <a:avLst/>
                          </a:prstGeom>
                          <a:noFill/>
                          <a:ln>
                            <a:noFill/>
                          </a:ln>
                        </pic:spPr>
                      </pic:pic>
                    </a:graphicData>
                  </a:graphic>
                </wp:inline>
              </w:drawing>
            </w:r>
          </w:p>
        </w:tc>
      </w:tr>
      <w:tr w:rsidR="00F05DC7" w14:paraId="7954A2B8" w14:textId="77777777" w:rsidTr="00A3786D">
        <w:tblPrEx>
          <w:tblCellMar>
            <w:left w:w="108" w:type="dxa"/>
            <w:right w:w="108" w:type="dxa"/>
          </w:tblCellMar>
        </w:tblPrEx>
        <w:trPr>
          <w:trHeight w:val="161"/>
        </w:trPr>
        <w:tc>
          <w:tcPr>
            <w:tcW w:w="242" w:type="pct"/>
            <w:tcBorders>
              <w:left w:val="nil"/>
              <w:bottom w:val="nil"/>
              <w:right w:val="nil"/>
            </w:tcBorders>
          </w:tcPr>
          <w:p w14:paraId="7954A2B6" w14:textId="77777777" w:rsidR="00F05DC7" w:rsidRDefault="00F05DC7" w:rsidP="00A3786D">
            <w:pPr>
              <w:pStyle w:val="Figure"/>
            </w:pPr>
          </w:p>
        </w:tc>
        <w:tc>
          <w:tcPr>
            <w:tcW w:w="4758" w:type="pct"/>
            <w:tcBorders>
              <w:top w:val="nil"/>
              <w:left w:val="nil"/>
              <w:bottom w:val="nil"/>
              <w:right w:val="nil"/>
            </w:tcBorders>
            <w:shd w:val="clear" w:color="auto" w:fill="auto"/>
          </w:tcPr>
          <w:p w14:paraId="7954A2B7" w14:textId="77777777" w:rsidR="00F05DC7" w:rsidRPr="008E3766" w:rsidRDefault="00F05DC7" w:rsidP="00A3786D">
            <w:pPr>
              <w:pStyle w:val="Figure"/>
              <w:rPr>
                <w:rFonts w:asciiTheme="majorHAnsi" w:hAnsiTheme="majorHAnsi" w:cstheme="majorHAnsi"/>
                <w:b/>
                <w:sz w:val="20"/>
              </w:rPr>
            </w:pPr>
            <w:r w:rsidRPr="00403774">
              <w:rPr>
                <w:rFonts w:asciiTheme="majorHAnsi" w:hAnsiTheme="majorHAnsi" w:cstheme="majorHAnsi"/>
                <w:b/>
                <w:noProof/>
                <w:sz w:val="20"/>
              </w:rPr>
              <w:drawing>
                <wp:inline distT="0" distB="0" distL="0" distR="0" wp14:anchorId="7954D5FF" wp14:editId="7E71B487">
                  <wp:extent cx="5169852" cy="254000"/>
                  <wp:effectExtent l="0" t="0" r="0" b="0"/>
                  <wp:docPr id="62" name="Picture 62" descr="This is the legend to the above figure" title="2010-11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54321" b="27148"/>
                          <a:stretch/>
                        </pic:blipFill>
                        <pic:spPr bwMode="auto">
                          <a:xfrm>
                            <a:off x="0" y="0"/>
                            <a:ext cx="5173345" cy="254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5DC7" w:rsidRPr="00176D3F" w14:paraId="7954A2BB" w14:textId="77777777" w:rsidTr="00A3786D">
        <w:tc>
          <w:tcPr>
            <w:tcW w:w="242" w:type="pct"/>
            <w:tcBorders>
              <w:top w:val="nil"/>
              <w:left w:val="nil"/>
              <w:bottom w:val="nil"/>
              <w:right w:val="nil"/>
            </w:tcBorders>
          </w:tcPr>
          <w:p w14:paraId="7954A2B9" w14:textId="77777777" w:rsidR="00F05DC7" w:rsidRDefault="00F05DC7" w:rsidP="00A3786D">
            <w:pPr>
              <w:pStyle w:val="Source"/>
              <w:rPr>
                <w:i/>
              </w:rPr>
            </w:pPr>
          </w:p>
        </w:tc>
        <w:tc>
          <w:tcPr>
            <w:tcW w:w="4758" w:type="pct"/>
            <w:tcBorders>
              <w:top w:val="nil"/>
              <w:left w:val="nil"/>
              <w:bottom w:val="nil"/>
              <w:right w:val="nil"/>
            </w:tcBorders>
            <w:shd w:val="clear" w:color="auto" w:fill="auto"/>
          </w:tcPr>
          <w:p w14:paraId="7954A2BA" w14:textId="77777777" w:rsidR="00F05DC7" w:rsidRPr="00176D3F" w:rsidRDefault="00F05DC7" w:rsidP="00A3786D">
            <w:pPr>
              <w:pStyle w:val="Source"/>
            </w:pPr>
            <w:r>
              <w:rPr>
                <w:i/>
              </w:rPr>
              <w:t>S</w:t>
            </w:r>
            <w:r w:rsidRPr="00784A05">
              <w:rPr>
                <w:i/>
              </w:rPr>
              <w:t>ource</w:t>
            </w:r>
            <w:r w:rsidRPr="00176D3F">
              <w:t xml:space="preserve">: </w:t>
            </w:r>
            <w:r>
              <w:t>Productivity Commission estimates based on ABS (</w:t>
            </w:r>
            <w:r w:rsidRPr="00230698">
              <w:rPr>
                <w:i/>
              </w:rPr>
              <w:t>Government Finance Statistics, Australia, 2015</w:t>
            </w:r>
            <w:r w:rsidRPr="00230698">
              <w:rPr>
                <w:i/>
              </w:rPr>
              <w:noBreakHyphen/>
              <w:t>16</w:t>
            </w:r>
            <w:r>
              <w:t xml:space="preserve">, </w:t>
            </w:r>
            <w:r w:rsidRPr="00EE43FF">
              <w:t>Cat. no. 5512.0</w:t>
            </w:r>
            <w:r>
              <w:t>) and CGC (pers. comm., 10 July 2017).</w:t>
            </w:r>
          </w:p>
        </w:tc>
      </w:tr>
      <w:tr w:rsidR="00F05DC7" w14:paraId="7954A2BE" w14:textId="77777777" w:rsidTr="00A3786D">
        <w:tc>
          <w:tcPr>
            <w:tcW w:w="242" w:type="pct"/>
            <w:tcBorders>
              <w:top w:val="nil"/>
              <w:left w:val="nil"/>
              <w:bottom w:val="single" w:sz="6" w:space="0" w:color="78A22F"/>
              <w:right w:val="nil"/>
            </w:tcBorders>
          </w:tcPr>
          <w:p w14:paraId="7954A2BC" w14:textId="77777777" w:rsidR="00F05DC7" w:rsidRDefault="00F05DC7" w:rsidP="00A3786D">
            <w:pPr>
              <w:pStyle w:val="Figurespace"/>
            </w:pPr>
          </w:p>
        </w:tc>
        <w:tc>
          <w:tcPr>
            <w:tcW w:w="4758" w:type="pct"/>
            <w:tcBorders>
              <w:top w:val="nil"/>
              <w:left w:val="nil"/>
              <w:bottom w:val="single" w:sz="6" w:space="0" w:color="78A22F"/>
              <w:right w:val="nil"/>
            </w:tcBorders>
            <w:shd w:val="clear" w:color="auto" w:fill="auto"/>
          </w:tcPr>
          <w:p w14:paraId="7954A2BD" w14:textId="77777777" w:rsidR="00F05DC7" w:rsidRDefault="00F05DC7" w:rsidP="00A3786D">
            <w:pPr>
              <w:pStyle w:val="Figurespace"/>
            </w:pPr>
          </w:p>
        </w:tc>
      </w:tr>
      <w:tr w:rsidR="00F05DC7" w:rsidRPr="000863A5" w14:paraId="7954A2C1" w14:textId="77777777" w:rsidTr="00A3786D">
        <w:trPr>
          <w:trHeight w:val="154"/>
        </w:trPr>
        <w:tc>
          <w:tcPr>
            <w:tcW w:w="242" w:type="pct"/>
            <w:tcBorders>
              <w:top w:val="single" w:sz="6" w:space="0" w:color="78A22F"/>
              <w:left w:val="nil"/>
              <w:bottom w:val="nil"/>
              <w:right w:val="nil"/>
            </w:tcBorders>
          </w:tcPr>
          <w:p w14:paraId="7954A2BF" w14:textId="77777777" w:rsidR="00F05DC7" w:rsidRPr="00626D32" w:rsidRDefault="00F05DC7" w:rsidP="00A3786D">
            <w:pPr>
              <w:pStyle w:val="BoxSpaceBelow"/>
              <w:spacing w:after="0"/>
            </w:pPr>
          </w:p>
        </w:tc>
        <w:tc>
          <w:tcPr>
            <w:tcW w:w="4758" w:type="pct"/>
            <w:tcBorders>
              <w:top w:val="single" w:sz="6" w:space="0" w:color="78A22F"/>
              <w:left w:val="nil"/>
              <w:bottom w:val="nil"/>
              <w:right w:val="nil"/>
            </w:tcBorders>
          </w:tcPr>
          <w:p w14:paraId="7954A2C0" w14:textId="77777777" w:rsidR="00F05DC7" w:rsidRPr="00626D32" w:rsidRDefault="00F05DC7" w:rsidP="00A3786D">
            <w:pPr>
              <w:pStyle w:val="BoxSpaceBelow"/>
              <w:spacing w:after="0"/>
            </w:pPr>
          </w:p>
        </w:tc>
      </w:tr>
    </w:tbl>
    <w:p w14:paraId="7954A2C2" w14:textId="77777777" w:rsidR="00F05DC7" w:rsidRPr="005F45D2" w:rsidRDefault="00F05DC7" w:rsidP="00A3786D">
      <w:pPr>
        <w:pStyle w:val="BodyText"/>
        <w:rPr>
          <w:rStyle w:val="DraftingNote"/>
          <w:b w:val="0"/>
          <w:color w:val="auto"/>
          <w:u w:val="none"/>
        </w:rPr>
      </w:pPr>
      <w:r w:rsidRPr="005F45D2">
        <w:rPr>
          <w:rStyle w:val="DraftingNote"/>
          <w:b w:val="0"/>
          <w:color w:val="auto"/>
          <w:u w:val="none"/>
        </w:rPr>
        <w:t>These figures must be interpreted cautiously, however, as they assume that the States would have implemented identical policy and expenditure measures in the face of a single</w:t>
      </w:r>
      <w:r w:rsidRPr="005F45D2">
        <w:rPr>
          <w:rStyle w:val="DraftingNote"/>
          <w:b w:val="0"/>
          <w:color w:val="auto"/>
          <w:u w:val="none"/>
        </w:rPr>
        <w:noBreakHyphen/>
        <w:t xml:space="preserve">year </w:t>
      </w:r>
      <w:r w:rsidRPr="005F45D2">
        <w:rPr>
          <w:rStyle w:val="DraftingNote"/>
          <w:b w:val="0"/>
          <w:color w:val="auto"/>
          <w:u w:val="none"/>
        </w:rPr>
        <w:lastRenderedPageBreak/>
        <w:t xml:space="preserve">assessment period. It is not possible to know the counterfactual, and as discussed above, greater contemporaneity may have had a material impact on some States’ revenue forecasts and, therefore, expenditure decisions. </w:t>
      </w:r>
    </w:p>
    <w:p w14:paraId="7954A2C3" w14:textId="41FA715F" w:rsidR="00F05DC7" w:rsidRPr="005F45D2" w:rsidRDefault="00F05DC7" w:rsidP="00A3786D">
      <w:pPr>
        <w:pStyle w:val="BodyText"/>
        <w:rPr>
          <w:rStyle w:val="DraftingNote"/>
          <w:b w:val="0"/>
          <w:color w:val="auto"/>
          <w:u w:val="none"/>
        </w:rPr>
      </w:pPr>
      <w:r w:rsidRPr="005F45D2">
        <w:rPr>
          <w:rStyle w:val="DraftingNote"/>
          <w:b w:val="0"/>
          <w:color w:val="auto"/>
          <w:u w:val="none"/>
        </w:rPr>
        <w:t>In its most recent preliminary work for the 2020 Methodology Review, the CGC has indicated that, subject to the availability of reliable data and the trade</w:t>
      </w:r>
      <w:r w:rsidRPr="005F45D2">
        <w:rPr>
          <w:rStyle w:val="DraftingNote"/>
          <w:b w:val="0"/>
          <w:color w:val="auto"/>
          <w:u w:val="none"/>
        </w:rPr>
        <w:noBreakHyphen/>
        <w:t>off between contemporaneity and predictability, it will seek to minimise the length of time between the assessment years (or year) and the application year. As such, it will consider whether the three</w:t>
      </w:r>
      <w:r w:rsidRPr="005F45D2">
        <w:rPr>
          <w:rStyle w:val="DraftingNote"/>
          <w:b w:val="0"/>
          <w:color w:val="auto"/>
          <w:u w:val="none"/>
        </w:rPr>
        <w:noBreakHyphen/>
        <w:t xml:space="preserve">year assessment period is still fit for purpose, or whether a reduced assessment period — as short as a single year — may be warranted </w:t>
      </w:r>
      <w:r w:rsidR="009D6331" w:rsidRPr="009D6331">
        <w:rPr>
          <w:szCs w:val="24"/>
        </w:rPr>
        <w:t>(CGC 2017j, p. 29)</w:t>
      </w:r>
      <w:r w:rsidRPr="005F45D2">
        <w:rPr>
          <w:rStyle w:val="DraftingNote"/>
          <w:b w:val="0"/>
          <w:color w:val="auto"/>
          <w:u w:val="none"/>
        </w:rPr>
        <w:t>. (The assessment period was previously shortened from five years to three years, as an outcome of the 2010</w:t>
      </w:r>
      <w:r>
        <w:rPr>
          <w:rStyle w:val="DraftingNote"/>
          <w:b w:val="0"/>
          <w:color w:val="auto"/>
          <w:u w:val="none"/>
        </w:rPr>
        <w:t> </w:t>
      </w:r>
      <w:r w:rsidRPr="005F45D2">
        <w:rPr>
          <w:rStyle w:val="DraftingNote"/>
          <w:b w:val="0"/>
          <w:color w:val="auto"/>
          <w:u w:val="none"/>
        </w:rPr>
        <w:t>Methodology Review.)</w:t>
      </w:r>
    </w:p>
    <w:p w14:paraId="7954A2C4" w14:textId="77777777" w:rsidR="00F05DC7" w:rsidRPr="005F45D2" w:rsidRDefault="00F05DC7" w:rsidP="00A3786D">
      <w:pPr>
        <w:pStyle w:val="BodyText"/>
        <w:rPr>
          <w:rStyle w:val="DraftingNote"/>
          <w:b w:val="0"/>
          <w:color w:val="auto"/>
          <w:u w:val="none"/>
        </w:rPr>
      </w:pPr>
      <w:r w:rsidRPr="005F45D2">
        <w:rPr>
          <w:rStyle w:val="DraftingNote"/>
          <w:b w:val="0"/>
          <w:color w:val="auto"/>
          <w:u w:val="none"/>
        </w:rPr>
        <w:t>The move to consider this issue may reflect that the trade</w:t>
      </w:r>
      <w:r>
        <w:rPr>
          <w:rStyle w:val="DraftingNote"/>
          <w:b w:val="0"/>
          <w:color w:val="auto"/>
          <w:u w:val="none"/>
        </w:rPr>
        <w:noBreakHyphen/>
      </w:r>
      <w:r w:rsidRPr="005F45D2">
        <w:rPr>
          <w:rStyle w:val="DraftingNote"/>
          <w:b w:val="0"/>
          <w:color w:val="auto"/>
          <w:u w:val="none"/>
        </w:rPr>
        <w:t xml:space="preserve">off has worked more in favour of smoother, more predictable GST shares rather than contemporaneity (at least in recent years). Given the current economic circumstances in Western Australia (regardless of whether the lack of contemporaneity per se can be said to have exacerbated those circumstances), a relevant consideration may be whether the effects of a localised downturn are amplified rather than muted by the HFE system’s assessment timeframe, and if these effects spread to the national economy. </w:t>
      </w:r>
    </w:p>
    <w:p w14:paraId="7954A2C5" w14:textId="77777777" w:rsidR="00F05DC7" w:rsidRPr="00045DD0" w:rsidRDefault="00F05DC7" w:rsidP="00A3786D">
      <w:pPr>
        <w:pStyle w:val="Heading4"/>
      </w:pPr>
      <w:r w:rsidRPr="00045DD0">
        <w:t>Shortening the lag</w:t>
      </w:r>
    </w:p>
    <w:p w14:paraId="7954A2C6" w14:textId="77777777" w:rsidR="00F05DC7" w:rsidRDefault="00F05DC7" w:rsidP="00A3786D">
      <w:pPr>
        <w:pStyle w:val="BodyText"/>
        <w:spacing w:before="220" w:line="290" w:lineRule="atLeast"/>
      </w:pPr>
      <w:r w:rsidRPr="009761AB">
        <w:rPr>
          <w:spacing w:val="2"/>
        </w:rPr>
        <w:t>Another option would be to reduce the lag between the assessment period and application year. Given that the lag exists because of delays in the finalisation of reliable annual State data, substantial reductions would require the CGC to forecast States’</w:t>
      </w:r>
      <w:r>
        <w:rPr>
          <w:spacing w:val="2"/>
        </w:rPr>
        <w:t xml:space="preserve"> </w:t>
      </w:r>
      <w:r>
        <w:t xml:space="preserve">circumstances up to the application year. Such approaches have been suggested by the ACT Government and the WA Government. </w:t>
      </w:r>
    </w:p>
    <w:p w14:paraId="7954A2C7" w14:textId="77777777" w:rsidR="00F05DC7" w:rsidRDefault="00F05DC7" w:rsidP="00A3786D">
      <w:pPr>
        <w:pStyle w:val="BodyText"/>
        <w:spacing w:before="220" w:line="290" w:lineRule="atLeast"/>
      </w:pPr>
      <w:r>
        <w:t>The WA Government (sub. 15, pp. 113</w:t>
      </w:r>
      <w:r>
        <w:noBreakHyphen/>
        <w:t xml:space="preserve">14) has outlined a system in which forward estimates could be used as the basis for the calculation of State fiscal capacities, in an attempt to implement a fully contemporaneous GST assessment. Forward estimates — and therefore fiscal capacities — could be updated during the financial year (for example, following each State budget) and monthly GST payments adjusted to reflect these, with a final correction in the following financial year to ensure the assessed fiscal capacities matched States’ final budget outcomes. </w:t>
      </w:r>
    </w:p>
    <w:p w14:paraId="7954A2C8" w14:textId="77777777" w:rsidR="00F05DC7" w:rsidRDefault="00F05DC7" w:rsidP="00A3786D">
      <w:pPr>
        <w:pStyle w:val="BodyText"/>
        <w:spacing w:before="220" w:line="290" w:lineRule="atLeast"/>
      </w:pPr>
      <w:r>
        <w:t>The WA Government argued that, while this system would result in greater volatility of GST payments, ‘this [would be] necessary to cancel out the volatility in other revenue and ensure much more stable total revenue’ (sub. 15, p. 93).</w:t>
      </w:r>
    </w:p>
    <w:p w14:paraId="7954A2CA" w14:textId="77777777" w:rsidR="00F05DC7" w:rsidRDefault="00F05DC7" w:rsidP="00A3786D">
      <w:pPr>
        <w:pStyle w:val="BodyText"/>
        <w:spacing w:before="220" w:line="290" w:lineRule="atLeast"/>
      </w:pPr>
      <w:r>
        <w:t>The ACT Government (sub. 49, pp. 76</w:t>
      </w:r>
      <w:r>
        <w:noBreakHyphen/>
        <w:t>78; sub. DR81, pp. 66–68) proposed retaining the three</w:t>
      </w:r>
      <w:r>
        <w:noBreakHyphen/>
        <w:t>year assessment period, but replacing the earliest assessment year with estimates for the year prior to the application year. For example, the 2017</w:t>
      </w:r>
      <w:r>
        <w:noBreakHyphen/>
        <w:t>18 GST relativities would have been calculated as follows:</w:t>
      </w:r>
    </w:p>
    <w:p w14:paraId="7954A2CB" w14:textId="77777777" w:rsidR="00F05DC7" w:rsidRDefault="00F05DC7" w:rsidP="00A3786D">
      <w:pPr>
        <w:pStyle w:val="ListBullet"/>
      </w:pPr>
      <w:r>
        <w:t>The application year would be the 2017</w:t>
      </w:r>
      <w:r>
        <w:noBreakHyphen/>
        <w:t>18 financial year.</w:t>
      </w:r>
    </w:p>
    <w:p w14:paraId="7954A2CC" w14:textId="77777777" w:rsidR="00F05DC7" w:rsidRDefault="00F05DC7" w:rsidP="00A3786D">
      <w:pPr>
        <w:pStyle w:val="ListBullet"/>
      </w:pPr>
      <w:r>
        <w:lastRenderedPageBreak/>
        <w:t>The assessment years would be 2014</w:t>
      </w:r>
      <w:r>
        <w:noBreakHyphen/>
        <w:t>15, 2015</w:t>
      </w:r>
      <w:r>
        <w:noBreakHyphen/>
        <w:t>16 and 2016</w:t>
      </w:r>
      <w:r>
        <w:noBreakHyphen/>
        <w:t>17. The earliest year would be weighted at 20 per cent, with the other two years weighted at 40 per cent each.</w:t>
      </w:r>
    </w:p>
    <w:p w14:paraId="7954A2CD" w14:textId="77777777" w:rsidR="00F05DC7" w:rsidRDefault="00F05DC7" w:rsidP="00A3786D">
      <w:pPr>
        <w:pStyle w:val="ListBullet"/>
      </w:pPr>
      <w:r>
        <w:t>Finalised State data would be available for 2014</w:t>
      </w:r>
      <w:r>
        <w:noBreakHyphen/>
        <w:t>15 and 2015</w:t>
      </w:r>
      <w:r>
        <w:noBreakHyphen/>
        <w:t>16.</w:t>
      </w:r>
    </w:p>
    <w:p w14:paraId="7954A2CE" w14:textId="77777777" w:rsidR="00F05DC7" w:rsidRDefault="00F05DC7" w:rsidP="00A3786D">
      <w:pPr>
        <w:pStyle w:val="ListBullet"/>
      </w:pPr>
      <w:r>
        <w:t>Forecasts would be required for 2016</w:t>
      </w:r>
      <w:r>
        <w:noBreakHyphen/>
        <w:t xml:space="preserve">17. </w:t>
      </w:r>
    </w:p>
    <w:p w14:paraId="7954A2CF" w14:textId="77777777" w:rsidR="00F05DC7" w:rsidRDefault="00F05DC7" w:rsidP="00A3786D">
      <w:pPr>
        <w:pStyle w:val="BodyText"/>
        <w:spacing w:before="220" w:line="280" w:lineRule="atLeast"/>
      </w:pPr>
      <w:r>
        <w:t>Given that the CGC’s relativity update is typically released early in the calendar year, actual data would likely be available for the complete first half of the financial year. The ACT Government (sub. 49, p. 77</w:t>
      </w:r>
      <w:r>
        <w:noBreakHyphen/>
        <w:t>78) contended that this would reduce the level of reliance on State estimates and therefore minimise the scope for error in forecasting. It further recommended that the CGC either source the abovementioned forecasts from independent parties or develop the capability itself, to avoid the errors which could arise due to differences in forecasting methods across States.</w:t>
      </w:r>
    </w:p>
    <w:p w14:paraId="7954A2D0" w14:textId="77777777" w:rsidR="00F05DC7" w:rsidRDefault="00F05DC7" w:rsidP="00A3786D">
      <w:pPr>
        <w:pStyle w:val="Heading5"/>
      </w:pPr>
      <w:r>
        <w:t>Is reducing the lag feasible?</w:t>
      </w:r>
    </w:p>
    <w:p w14:paraId="7954A2D1" w14:textId="77777777" w:rsidR="00F05DC7" w:rsidRDefault="00F05DC7" w:rsidP="00A3786D">
      <w:pPr>
        <w:pStyle w:val="BodyText"/>
        <w:spacing w:before="220" w:line="280" w:lineRule="atLeast"/>
      </w:pPr>
      <w:r>
        <w:t>While the potential benefits of increased contemporaneity are clear, the use of forecasts and projections would introduce several complications. First, forecast and projection approaches are likely to produce inaccurate relativities when States’ economic circumstances change course, as has occurred recently in Western Australia (that State’s forecasts are discussed in more detail later in this chapter). The CGC noted this risk in preliminary work for the 2020 Methodology Review:</w:t>
      </w:r>
    </w:p>
    <w:p w14:paraId="7954A2D2" w14:textId="6A1E03A4" w:rsidR="00F05DC7" w:rsidRDefault="00F05DC7" w:rsidP="00A3786D">
      <w:pPr>
        <w:pStyle w:val="Quote"/>
      </w:pPr>
      <w:r>
        <w:t xml:space="preserve">It is not clear that estimating financial data will reduce gaps if the cause is a sudden change in State fiscal capacities. It is unlikely forecasts or projections could reliably predict turning points, particularly for the more volatile revenue streams (such as property duties and royalties) or payments for specific purposes (PSPs). </w:t>
      </w:r>
      <w:r w:rsidR="009D6331" w:rsidRPr="009D6331">
        <w:rPr>
          <w:szCs w:val="24"/>
        </w:rPr>
        <w:t>(2017e, p. 8)</w:t>
      </w:r>
    </w:p>
    <w:p w14:paraId="7954A2D3" w14:textId="77777777" w:rsidR="00F05DC7" w:rsidRDefault="00F05DC7" w:rsidP="00A3786D">
      <w:pPr>
        <w:pStyle w:val="BodyText"/>
        <w:spacing w:before="220" w:line="280" w:lineRule="atLeast"/>
      </w:pPr>
      <w:r>
        <w:t>Inaccuracies in the calculation of relativities due to using forecasts or projections would likely need to be corrected in later years. These corrections could be large, introducing additional volatility and uncertainty to GST payments and increasing the complexity of the HFE system (Tasmanian Government, sub 28, pp. 26</w:t>
      </w:r>
      <w:r>
        <w:noBreakHyphen/>
        <w:t xml:space="preserve">27; Queensland Government, sub. 32, p. 13; NT Government, sub. 51, p. 27; Victorian Government, sub. 53, p. 10). The CGC also noted recently that this could, itself, have adverse effects on contemporaneity: </w:t>
      </w:r>
    </w:p>
    <w:p w14:paraId="7954A2D4" w14:textId="6D2AE7C1" w:rsidR="00F05DC7" w:rsidRPr="003D56C6" w:rsidRDefault="00F05DC7" w:rsidP="00A3786D">
      <w:pPr>
        <w:pStyle w:val="Quote"/>
      </w:pPr>
      <w:r w:rsidRPr="00932EC0">
        <w:t xml:space="preserve">The </w:t>
      </w:r>
      <w:r>
        <w:t>[CGC]</w:t>
      </w:r>
      <w:r w:rsidRPr="00932EC0">
        <w:t>’s view is that an approach using such unreliable data raises a range of issues, including that it would almost certainly require consequent GST adjustments in future to compensate for errors. This ex</w:t>
      </w:r>
      <w:r>
        <w:noBreakHyphen/>
      </w:r>
      <w:r w:rsidRPr="00932EC0">
        <w:t xml:space="preserve">post correction could, of itself, undermine the contemporaneity of GST distributions in future years. Most States expressed concerns that the use of forecasts would merely introduce unwarranted complexity, uncertainty and volatility. </w:t>
      </w:r>
      <w:r w:rsidR="009D6331" w:rsidRPr="009D6331">
        <w:rPr>
          <w:szCs w:val="24"/>
        </w:rPr>
        <w:t>(2017j, p. 30)</w:t>
      </w:r>
    </w:p>
    <w:p w14:paraId="7954A2D5" w14:textId="77777777" w:rsidR="00F05DC7" w:rsidRDefault="00F05DC7" w:rsidP="00A3786D">
      <w:pPr>
        <w:pStyle w:val="BodyText"/>
        <w:spacing w:before="220" w:line="280" w:lineRule="atLeast"/>
      </w:pPr>
      <w:r>
        <w:t xml:space="preserve">An additional issue introduced by forecast approaches is the increased degree of judgment required by the CGC, as it would be required to develop forecast methods. Using forecasts produced by States, on the other hand, could be difficult due to inconsistency in methods and a lack of comparability across States (Queensland Government, sub. 32, p. 13). </w:t>
      </w:r>
    </w:p>
    <w:p w14:paraId="7954A2D6" w14:textId="77777777" w:rsidR="00F05DC7" w:rsidRDefault="00F05DC7" w:rsidP="00A3786D">
      <w:pPr>
        <w:pStyle w:val="BodyText"/>
        <w:spacing w:before="220" w:line="280" w:lineRule="atLeast"/>
      </w:pPr>
      <w:r>
        <w:t xml:space="preserve">Moreover, relying on States’ forecasts could lead to unintended consequences, as forecasting techniques and assumptions could affect GST payments. In this regard, the Victorian Government noted that forecasts ‘introduce a number of risks, including to greatly increase </w:t>
      </w:r>
      <w:r>
        <w:lastRenderedPageBreak/>
        <w:t xml:space="preserve">the risk of gaming of GST shares by some States by varying their revenue forecasting assumptions’ (Victorian Government, sub. 53, p. 10). </w:t>
      </w:r>
    </w:p>
    <w:p w14:paraId="7954A2D7" w14:textId="77777777" w:rsidR="00F05DC7" w:rsidRPr="004E3B94" w:rsidRDefault="00F05DC7" w:rsidP="00A3786D">
      <w:pPr>
        <w:pStyle w:val="BoxSpaceAboveElement"/>
        <w:keepLines/>
        <w:spacing w:before="36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2D9"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2D8" w14:textId="660E0596" w:rsidR="00F05DC7" w:rsidRPr="00CE4C64" w:rsidRDefault="00F05DC7" w:rsidP="00A3786D">
            <w:pPr>
              <w:pStyle w:val="FindingTitle"/>
              <w:spacing w:before="120"/>
              <w:rPr>
                <w:noProof/>
              </w:rPr>
            </w:pPr>
            <w:r>
              <w:t>Finding 4.1</w:t>
            </w:r>
          </w:p>
        </w:tc>
      </w:tr>
      <w:tr w:rsidR="00F05DC7" w:rsidRPr="00750BE2" w14:paraId="7954A2DF" w14:textId="77777777" w:rsidTr="00A3786D">
        <w:trPr>
          <w:cantSplit/>
        </w:trPr>
        <w:tc>
          <w:tcPr>
            <w:tcW w:w="5000" w:type="pct"/>
            <w:tcBorders>
              <w:top w:val="nil"/>
              <w:left w:val="nil"/>
              <w:bottom w:val="nil"/>
              <w:right w:val="nil"/>
            </w:tcBorders>
            <w:shd w:val="clear" w:color="auto" w:fill="F2F2F2"/>
            <w:tcMar>
              <w:left w:w="170" w:type="dxa"/>
              <w:right w:w="170" w:type="dxa"/>
            </w:tcMar>
          </w:tcPr>
          <w:p w14:paraId="7954A2DA" w14:textId="77777777" w:rsidR="00F05DC7" w:rsidRDefault="00F05DC7" w:rsidP="00A3786D">
            <w:pPr>
              <w:pStyle w:val="Finding"/>
              <w:spacing w:before="80" w:line="260" w:lineRule="atLeast"/>
            </w:pPr>
            <w:r>
              <w:t>Features of Australia’s HFE system can exacerbate the fiscal impact of economic cycles when States experience large economic shocks. Such a situation recently occurred in Western Australia.</w:t>
            </w:r>
          </w:p>
          <w:p w14:paraId="7954A2DB" w14:textId="77777777" w:rsidR="00F05DC7" w:rsidRDefault="00F05DC7" w:rsidP="00A3786D">
            <w:pPr>
              <w:pStyle w:val="Finding"/>
              <w:spacing w:before="80" w:line="260" w:lineRule="atLeast"/>
            </w:pPr>
            <w:r>
              <w:t xml:space="preserve">However, offsetting cyclical influences on State budgets is not the primary objective of HFE, and options to improve contemporaneity do not offer unequivocal improvements. </w:t>
            </w:r>
          </w:p>
          <w:p w14:paraId="7954A2DC" w14:textId="77777777" w:rsidR="00F05DC7" w:rsidRDefault="00F05DC7" w:rsidP="00A3786D">
            <w:pPr>
              <w:pStyle w:val="FindingBullet"/>
              <w:spacing w:line="260" w:lineRule="atLeast"/>
            </w:pPr>
            <w:r w:rsidRPr="004723D6">
              <w:t>Reducing the length of the assessment period would have mixed impacts across State</w:t>
            </w:r>
            <w:r>
              <w:t>s, and may ultimately have little effect on State budget fluctuations</w:t>
            </w:r>
            <w:r w:rsidRPr="004723D6">
              <w:t>.</w:t>
            </w:r>
            <w:r>
              <w:t xml:space="preserve"> </w:t>
            </w:r>
          </w:p>
          <w:p w14:paraId="7954A2DD" w14:textId="77777777" w:rsidR="00F05DC7" w:rsidRDefault="00F05DC7" w:rsidP="00A3786D">
            <w:pPr>
              <w:pStyle w:val="FindingBullet"/>
              <w:spacing w:line="260" w:lineRule="atLeast"/>
            </w:pPr>
            <w:r>
              <w:t>The two</w:t>
            </w:r>
            <w:r>
              <w:noBreakHyphen/>
              <w:t xml:space="preserve">year data availability lag cannot be substantially reduced without introducing </w:t>
            </w:r>
            <w:r w:rsidRPr="00562B0E">
              <w:t xml:space="preserve">additional </w:t>
            </w:r>
            <w:r>
              <w:t>scope for volatility and dispute.</w:t>
            </w:r>
          </w:p>
          <w:p w14:paraId="7954A2DE" w14:textId="77777777" w:rsidR="00F05DC7" w:rsidRDefault="00F05DC7" w:rsidP="00A3786D">
            <w:pPr>
              <w:pStyle w:val="Finding"/>
            </w:pPr>
            <w:r>
              <w:t>The most effective response to a lack of contemporaneity lies with the States themselves, and with the necessity for State Treasuries to factor the assessment period and GST lag into their budget management processes (which most do).</w:t>
            </w:r>
          </w:p>
        </w:tc>
      </w:tr>
      <w:tr w:rsidR="00F05DC7" w14:paraId="7954A2E1" w14:textId="77777777" w:rsidTr="00A3786D">
        <w:trPr>
          <w:cantSplit/>
        </w:trPr>
        <w:tc>
          <w:tcPr>
            <w:tcW w:w="5000" w:type="pct"/>
            <w:tcBorders>
              <w:top w:val="nil"/>
              <w:left w:val="nil"/>
              <w:bottom w:val="single" w:sz="6" w:space="0" w:color="78A22F"/>
              <w:right w:val="nil"/>
            </w:tcBorders>
            <w:shd w:val="clear" w:color="auto" w:fill="F2F2F2"/>
            <w:tcMar>
              <w:left w:w="170" w:type="dxa"/>
              <w:right w:w="170" w:type="dxa"/>
            </w:tcMar>
          </w:tcPr>
          <w:p w14:paraId="7954A2E0" w14:textId="77777777" w:rsidR="00F05DC7" w:rsidRDefault="00F05DC7" w:rsidP="00A3786D">
            <w:pPr>
              <w:pStyle w:val="Space"/>
              <w:keepLines/>
            </w:pPr>
          </w:p>
        </w:tc>
      </w:tr>
      <w:tr w:rsidR="00F05DC7" w:rsidRPr="000863A5" w14:paraId="7954A2E3" w14:textId="77777777" w:rsidTr="00A3786D">
        <w:trPr>
          <w:cantSplit/>
        </w:trPr>
        <w:tc>
          <w:tcPr>
            <w:tcW w:w="5000" w:type="pct"/>
            <w:tcBorders>
              <w:top w:val="single" w:sz="6" w:space="0" w:color="78A22F"/>
              <w:left w:val="nil"/>
              <w:bottom w:val="nil"/>
              <w:right w:val="nil"/>
            </w:tcBorders>
            <w:tcMar>
              <w:left w:w="170" w:type="dxa"/>
              <w:right w:w="170" w:type="dxa"/>
            </w:tcMar>
          </w:tcPr>
          <w:p w14:paraId="7954A2E2" w14:textId="77777777" w:rsidR="00F05DC7" w:rsidRPr="00626D32" w:rsidRDefault="00F05DC7" w:rsidP="00A3786D">
            <w:pPr>
              <w:pStyle w:val="BoxSpaceBelow"/>
              <w:keepLines/>
            </w:pPr>
          </w:p>
        </w:tc>
      </w:tr>
    </w:tbl>
    <w:p w14:paraId="7954A2E4" w14:textId="2EC22998" w:rsidR="00F05DC7" w:rsidRDefault="00F05DC7" w:rsidP="00A3786D">
      <w:pPr>
        <w:pStyle w:val="Heading2"/>
      </w:pPr>
      <w:bookmarkStart w:id="85" w:name="_Toc513637715"/>
      <w:r>
        <w:t>4.</w:t>
      </w:r>
      <w:r>
        <w:rPr>
          <w:noProof/>
        </w:rPr>
        <w:t>2</w:t>
      </w:r>
      <w:r>
        <w:tab/>
        <w:t>How does the HFE system affect budget planning?</w:t>
      </w:r>
      <w:bookmarkEnd w:id="85"/>
    </w:p>
    <w:p w14:paraId="7954A2E5" w14:textId="77777777" w:rsidR="00F05DC7" w:rsidRPr="002743C3" w:rsidRDefault="00F05DC7" w:rsidP="00A3786D">
      <w:pPr>
        <w:pStyle w:val="BodyText"/>
      </w:pPr>
      <w:r w:rsidRPr="002743C3">
        <w:t>Volatile equalisation payments can contribute to uncertainty in budgetary processes. Several States stressed the importance of st</w:t>
      </w:r>
      <w:r w:rsidRPr="002743C3">
        <w:rPr>
          <w:color w:val="000000" w:themeColor="text1"/>
        </w:rPr>
        <w:t>able and predictable equalisation payments (for example, SA Government, sub. 25, p. 16</w:t>
      </w:r>
      <w:r>
        <w:rPr>
          <w:color w:val="000000" w:themeColor="text1"/>
        </w:rPr>
        <w:t xml:space="preserve">; </w:t>
      </w:r>
      <w:r w:rsidRPr="002743C3">
        <w:rPr>
          <w:color w:val="000000" w:themeColor="text1"/>
        </w:rPr>
        <w:t xml:space="preserve">NT Government, sub. 51, p. 27). </w:t>
      </w:r>
      <w:r w:rsidRPr="002743C3">
        <w:t>The Queensland Government (sub. 32</w:t>
      </w:r>
      <w:r>
        <w:t>, p. 10</w:t>
      </w:r>
      <w:r w:rsidRPr="002743C3">
        <w:t>) suggested that volatile revenues challenge States’ ability to plan for the sustainable provision of services, and noted that slowing growth in the GST pool (discussed in more detail below) compounded this:</w:t>
      </w:r>
    </w:p>
    <w:p w14:paraId="7954A2E6" w14:textId="77777777" w:rsidR="00F05DC7" w:rsidRDefault="00F05DC7" w:rsidP="00A3786D">
      <w:pPr>
        <w:pStyle w:val="Quote"/>
        <w:rPr>
          <w:highlight w:val="yellow"/>
        </w:rPr>
      </w:pPr>
      <w:r>
        <w:t>Steady growth of the GST pool in earlier years provided a buffer against volatility in CGC relativities to States. Conversely, now with reduced growth in the GST pool the fiscal impact of this volatility has become more apparent.</w:t>
      </w:r>
    </w:p>
    <w:p w14:paraId="7954A2E7" w14:textId="77777777" w:rsidR="00F05DC7" w:rsidRDefault="00F05DC7" w:rsidP="00A3786D">
      <w:pPr>
        <w:pStyle w:val="BodyText"/>
      </w:pPr>
      <w:r>
        <w:t>T</w:t>
      </w:r>
      <w:r w:rsidRPr="002743C3">
        <w:rPr>
          <w:color w:val="000000" w:themeColor="text1"/>
        </w:rPr>
        <w:t xml:space="preserve">he Victorian Government (sub. 53, p. 10) </w:t>
      </w:r>
      <w:r>
        <w:rPr>
          <w:color w:val="000000" w:themeColor="text1"/>
        </w:rPr>
        <w:t xml:space="preserve">also </w:t>
      </w:r>
      <w:r w:rsidRPr="002743C3">
        <w:rPr>
          <w:color w:val="000000" w:themeColor="text1"/>
        </w:rPr>
        <w:t xml:space="preserve">argued that stability of </w:t>
      </w:r>
      <w:r w:rsidRPr="002743C3">
        <w:rPr>
          <w:i/>
          <w:color w:val="000000" w:themeColor="text1"/>
        </w:rPr>
        <w:t xml:space="preserve">overall </w:t>
      </w:r>
      <w:r w:rsidRPr="002743C3">
        <w:rPr>
          <w:color w:val="000000" w:themeColor="text1"/>
        </w:rPr>
        <w:t>State revenues was important</w:t>
      </w:r>
      <w:r>
        <w:rPr>
          <w:color w:val="000000" w:themeColor="text1"/>
        </w:rPr>
        <w:t>,</w:t>
      </w:r>
      <w:r w:rsidRPr="002743C3">
        <w:rPr>
          <w:color w:val="000000" w:themeColor="text1"/>
        </w:rPr>
        <w:t xml:space="preserve"> as volatile revenues can force State Treasuries to allocate larger contingencies, and can unde</w:t>
      </w:r>
      <w:r w:rsidRPr="002743C3">
        <w:t>rmine confidence in planned investments, distorting resource allocation</w:t>
      </w:r>
      <w:r>
        <w:t>. However, it contended that</w:t>
      </w:r>
      <w:r w:rsidRPr="002743C3">
        <w:t xml:space="preserve"> </w:t>
      </w:r>
      <w:r>
        <w:t xml:space="preserve">the volatility of </w:t>
      </w:r>
      <w:r w:rsidRPr="005B61C6">
        <w:rPr>
          <w:i/>
        </w:rPr>
        <w:t>individual</w:t>
      </w:r>
      <w:r>
        <w:t xml:space="preserve"> revenue sources was less material, and in particular, that the current degree of volatility in GST payments ‘is not a problem to be removed, as it is offset by the volatility in that State’s own revenue sources’ (sub. DR87, p. 2).</w:t>
      </w:r>
    </w:p>
    <w:p w14:paraId="7954A2E8" w14:textId="77777777" w:rsidR="00F05DC7" w:rsidRDefault="00F05DC7" w:rsidP="00A3786D">
      <w:pPr>
        <w:pStyle w:val="BodyText"/>
        <w:spacing w:before="220" w:line="290" w:lineRule="exact"/>
      </w:pPr>
      <w:r>
        <w:t>Most States — with the exception of Western Australia and the ACT — also cautioned against changes that improve contemporaneity but increase volatility.</w:t>
      </w:r>
    </w:p>
    <w:p w14:paraId="7954A2E9" w14:textId="77777777" w:rsidR="00F05DC7" w:rsidRDefault="00F05DC7" w:rsidP="00A3786D">
      <w:pPr>
        <w:pStyle w:val="Heading3"/>
      </w:pPr>
      <w:r>
        <w:lastRenderedPageBreak/>
        <w:t>What drives volatility in equalisation payments?</w:t>
      </w:r>
    </w:p>
    <w:p w14:paraId="7954A2EA" w14:textId="77777777" w:rsidR="00F05DC7" w:rsidRPr="00C27E9C" w:rsidRDefault="00F05DC7" w:rsidP="00A3786D">
      <w:pPr>
        <w:pStyle w:val="BodyText"/>
      </w:pPr>
      <w:r w:rsidRPr="00C27E9C">
        <w:t xml:space="preserve">Volatility and contemporaneity are closely related — contemporaneous equalisation payments would necessarily be more volatile than those calculated over a range of years. As such, the factors that limit the contemporaneity of equalisation payments in Australia (particularly the length of the assessment period) also reduce their volatility. </w:t>
      </w:r>
    </w:p>
    <w:p w14:paraId="7954A2EB" w14:textId="77777777" w:rsidR="00F05DC7" w:rsidRPr="00C27E9C" w:rsidRDefault="00F05DC7" w:rsidP="00A3786D">
      <w:pPr>
        <w:pStyle w:val="BodyText"/>
      </w:pPr>
      <w:r w:rsidRPr="00C27E9C">
        <w:t xml:space="preserve">Other important influences on </w:t>
      </w:r>
      <w:r>
        <w:t xml:space="preserve">revenue </w:t>
      </w:r>
      <w:r w:rsidRPr="00C27E9C">
        <w:t xml:space="preserve">volatility and predictability include: </w:t>
      </w:r>
    </w:p>
    <w:p w14:paraId="7954A2EC" w14:textId="77777777" w:rsidR="00F05DC7" w:rsidRDefault="00F05DC7" w:rsidP="00A3786D">
      <w:pPr>
        <w:pStyle w:val="ListBullet"/>
        <w:spacing w:line="290" w:lineRule="atLeast"/>
      </w:pPr>
      <w:r w:rsidRPr="008557CA">
        <w:rPr>
          <w:i/>
        </w:rPr>
        <w:t>the size of the total GST pool</w:t>
      </w:r>
      <w:r>
        <w:t xml:space="preserve"> — </w:t>
      </w:r>
      <w:r w:rsidRPr="00971174">
        <w:t xml:space="preserve">Australia’s national GST collections determine the total amount of funding to be distributed </w:t>
      </w:r>
      <w:r>
        <w:t xml:space="preserve">to </w:t>
      </w:r>
      <w:r w:rsidRPr="00971174">
        <w:t xml:space="preserve">States. </w:t>
      </w:r>
      <w:r>
        <w:t>In many years (for most States), changes in the size of the pool have contributed more to changes in each State’s GST payments than changes to populations and relativities combined. Annual nominal growth in the GST pool has ranged from 14 per cent in 2002</w:t>
      </w:r>
      <w:r>
        <w:noBreakHyphen/>
        <w:t xml:space="preserve">03 down to </w:t>
      </w:r>
      <w:r>
        <w:noBreakHyphen/>
        <w:t>3 per cent in 2008</w:t>
      </w:r>
      <w:r>
        <w:noBreakHyphen/>
        <w:t xml:space="preserve">09. As such, while a State can only receive more GST payments at the expense of another State in any one year, growth in the GST pool over time can result in larger GST payments for all States. </w:t>
      </w:r>
    </w:p>
    <w:p w14:paraId="7954A2ED" w14:textId="32BCBABE" w:rsidR="00F05DC7" w:rsidRDefault="00F05DC7" w:rsidP="00A3786D">
      <w:pPr>
        <w:pStyle w:val="ListBullet"/>
        <w:spacing w:line="290" w:lineRule="atLeast"/>
      </w:pPr>
      <w:r w:rsidRPr="00A66FAB">
        <w:rPr>
          <w:i/>
        </w:rPr>
        <w:t>revisions to data and the CGC’s methodology</w:t>
      </w:r>
      <w:r w:rsidRPr="00BC2FE0">
        <w:t xml:space="preserve"> </w:t>
      </w:r>
      <w:r>
        <w:t>— the CGC calculates annual relativities on three separate occasions for each assessment year. For example, the 2013</w:t>
      </w:r>
      <w:r>
        <w:noBreakHyphen/>
        <w:t>14 annual relativity must be calculated for the 2015</w:t>
      </w:r>
      <w:r>
        <w:noBreakHyphen/>
        <w:t>16, 2016</w:t>
      </w:r>
      <w:r>
        <w:noBreakHyphen/>
        <w:t>17 and 2017</w:t>
      </w:r>
      <w:r>
        <w:noBreakHyphen/>
        <w:t>18 relativity updates. Because the data used by the CGC are often revised following initial release, annual relativities for an assessment year can vary materially across updates, particularly given adjustments to States’ population shares. In the 2018</w:t>
      </w:r>
      <w:r>
        <w:noBreakHyphen/>
        <w:t xml:space="preserve">19 update, data revisions changed GST payments substantially for some States, with reductions of $140 per capita for Western Australia and $247 per capita for the Northern Territory </w:t>
      </w:r>
      <w:r w:rsidR="009D6331" w:rsidRPr="009D6331">
        <w:rPr>
          <w:szCs w:val="24"/>
        </w:rPr>
        <w:t>(CGC 2018h, pp. 11, 15)</w:t>
      </w:r>
      <w:r>
        <w:t>. These effects can be compounded by changes in the CGC’s methodology, which is reviewed every five years.</w:t>
      </w:r>
    </w:p>
    <w:p w14:paraId="7954A2EE" w14:textId="44F6A300" w:rsidR="00F05DC7" w:rsidRDefault="00F05DC7" w:rsidP="00A3786D">
      <w:pPr>
        <w:pStyle w:val="ListBullet"/>
        <w:spacing w:line="290" w:lineRule="atLeast"/>
      </w:pPr>
      <w:r w:rsidRPr="00971174">
        <w:rPr>
          <w:i/>
        </w:rPr>
        <w:t>judgements regarding the exclusion of Commonwealth payments</w:t>
      </w:r>
      <w:r>
        <w:t xml:space="preserve"> — </w:t>
      </w:r>
      <w:r w:rsidRPr="00971174">
        <w:t xml:space="preserve">both the Commonwealth Treasurer and the CGC have the </w:t>
      </w:r>
      <w:r>
        <w:t>ability</w:t>
      </w:r>
      <w:r w:rsidRPr="00971174">
        <w:t xml:space="preserve"> to determine whether specific Commonwealth payment</w:t>
      </w:r>
      <w:r>
        <w:t>s</w:t>
      </w:r>
      <w:r w:rsidRPr="00971174">
        <w:t xml:space="preserve"> </w:t>
      </w:r>
      <w:r>
        <w:t>are</w:t>
      </w:r>
      <w:r w:rsidRPr="00971174">
        <w:t xml:space="preserve"> </w:t>
      </w:r>
      <w:r>
        <w:t>excluded from</w:t>
      </w:r>
      <w:r w:rsidRPr="00971174">
        <w:t xml:space="preserve"> the calculation of States’ relativities.</w:t>
      </w:r>
      <w:r>
        <w:t xml:space="preserve"> While the share of Commonwealth payments excluded from the GST calculations is relatively small (appendix B), these determinations can have significant impacts on State budgets, particularly for smaller States </w:t>
      </w:r>
      <w:r w:rsidR="009D6331" w:rsidRPr="009D6331">
        <w:rPr>
          <w:szCs w:val="24"/>
        </w:rPr>
        <w:t>(Brumby, Carter and Greiner 2012a, p. 70)</w:t>
      </w:r>
      <w:r w:rsidRPr="00971174">
        <w:t>.</w:t>
      </w:r>
      <w:r>
        <w:t xml:space="preserve"> When payments are quarantined, relativities become less representative of the amount of funds transferred from the Commonwealth to States, obscuring the extent to which the Commonwealth is equalising States’ fiscal capacities (chapter 2; appendix B). </w:t>
      </w:r>
    </w:p>
    <w:p w14:paraId="7954A2EF" w14:textId="77777777" w:rsidR="00F05DC7" w:rsidRPr="00C27E9C" w:rsidRDefault="00F05DC7" w:rsidP="00A3786D">
      <w:pPr>
        <w:pStyle w:val="BodyText"/>
      </w:pPr>
      <w:r w:rsidRPr="00C27E9C">
        <w:t>The CGC reports the change in GST payments resulting from changes in population, the size of the GST pool, data revisions and States’ circumstances (figure</w:t>
      </w:r>
      <w:r>
        <w:t> </w:t>
      </w:r>
      <w:r w:rsidRPr="00C27E9C">
        <w:t xml:space="preserve">4.5). </w:t>
      </w:r>
    </w:p>
    <w:p w14:paraId="7954A2F0" w14:textId="77777777" w:rsidR="00F05DC7" w:rsidRPr="00C27E9C" w:rsidRDefault="00F05DC7" w:rsidP="00A3786D">
      <w:pPr>
        <w:pStyle w:val="BodyText"/>
      </w:pPr>
      <w:r w:rsidRPr="00C27E9C">
        <w:t xml:space="preserve">Compared to other sources of State </w:t>
      </w:r>
      <w:r>
        <w:t>G</w:t>
      </w:r>
      <w:r w:rsidRPr="00C27E9C">
        <w:t xml:space="preserve">overnment revenue, GST payments are relatively stable. Over the </w:t>
      </w:r>
      <w:r>
        <w:t>past</w:t>
      </w:r>
      <w:r w:rsidRPr="00C27E9C">
        <w:t xml:space="preserve"> 16 years, the relative variation in GST payments to the States from one year to the next has been smaller than for other major sources of revenue (figure 4.6), though the absolute change in dollar amounts has sometimes been larger.</w:t>
      </w:r>
      <w:r w:rsidRPr="00C27E9C" w:rsidDel="00B6601E">
        <w:t xml:space="preserve"> </w:t>
      </w:r>
      <w:r>
        <w:t xml:space="preserve">Moreover, in some cases GST payments appear to partially offset fluctuations in other revenue streams, dampening the volatility of </w:t>
      </w:r>
      <w:r>
        <w:rPr>
          <w:i/>
        </w:rPr>
        <w:t>overall</w:t>
      </w:r>
      <w:r>
        <w:t xml:space="preserve"> State revenues.</w:t>
      </w:r>
    </w:p>
    <w:p w14:paraId="7954A2F1" w14:textId="77777777" w:rsidR="00F05DC7" w:rsidRDefault="00F05DC7" w:rsidP="00A3786D">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2F4" w14:textId="77777777" w:rsidTr="001113B1">
        <w:trPr>
          <w:tblHeader/>
        </w:trPr>
        <w:tc>
          <w:tcPr>
            <w:tcW w:w="5000" w:type="pct"/>
            <w:tcBorders>
              <w:top w:val="single" w:sz="6" w:space="0" w:color="78A22F"/>
              <w:left w:val="nil"/>
              <w:bottom w:val="nil"/>
              <w:right w:val="nil"/>
            </w:tcBorders>
            <w:shd w:val="clear" w:color="auto" w:fill="auto"/>
          </w:tcPr>
          <w:p w14:paraId="7954A2F2" w14:textId="345D3A8F" w:rsidR="00F05DC7" w:rsidRDefault="00F05DC7" w:rsidP="00A3786D">
            <w:pPr>
              <w:pStyle w:val="FigureTitle"/>
            </w:pPr>
            <w:r w:rsidRPr="00784A05">
              <w:rPr>
                <w:b w:val="0"/>
              </w:rPr>
              <w:t xml:space="preserve">Figure </w:t>
            </w:r>
            <w:r>
              <w:rPr>
                <w:b w:val="0"/>
              </w:rPr>
              <w:t>4.5</w:t>
            </w:r>
            <w:r>
              <w:tab/>
              <w:t>Contributors to change in GST payments</w:t>
            </w:r>
            <w:r w:rsidRPr="0079250D">
              <w:rPr>
                <w:rStyle w:val="NoteLabel"/>
              </w:rPr>
              <w:t>a</w:t>
            </w:r>
          </w:p>
          <w:p w14:paraId="7954A2F3" w14:textId="77777777" w:rsidR="00F05DC7" w:rsidRPr="00176D3F" w:rsidRDefault="00F05DC7" w:rsidP="00A3786D">
            <w:pPr>
              <w:pStyle w:val="Subtitle"/>
            </w:pPr>
            <w:r>
              <w:t>2017</w:t>
            </w:r>
            <w:r>
              <w:noBreakHyphen/>
              <w:t>18 to 2018</w:t>
            </w:r>
            <w:r>
              <w:noBreakHyphen/>
              <w:t>19</w:t>
            </w:r>
          </w:p>
        </w:tc>
      </w:tr>
      <w:tr w:rsidR="00F05DC7" w:rsidRPr="00B1465D" w14:paraId="7954A2F6" w14:textId="77777777" w:rsidTr="00A3786D">
        <w:tc>
          <w:tcPr>
            <w:tcW w:w="5000" w:type="pct"/>
            <w:tcBorders>
              <w:top w:val="nil"/>
              <w:left w:val="nil"/>
              <w:bottom w:val="nil"/>
              <w:right w:val="nil"/>
            </w:tcBorders>
            <w:shd w:val="clear" w:color="auto" w:fill="auto"/>
            <w:tcMar>
              <w:top w:w="28" w:type="dxa"/>
              <w:left w:w="28" w:type="dxa"/>
              <w:bottom w:w="28" w:type="dxa"/>
              <w:right w:w="28" w:type="dxa"/>
            </w:tcMar>
          </w:tcPr>
          <w:p w14:paraId="7954A2F5" w14:textId="77777777" w:rsidR="00F05DC7" w:rsidRPr="00B1465D" w:rsidRDefault="00F05DC7" w:rsidP="00A3786D">
            <w:pPr>
              <w:pStyle w:val="Figure"/>
              <w:rPr>
                <w:rFonts w:ascii="Arial" w:hAnsi="Arial" w:cs="Arial"/>
                <w:sz w:val="18"/>
                <w:szCs w:val="18"/>
              </w:rPr>
            </w:pPr>
            <w:r w:rsidRPr="00C6297C">
              <w:rPr>
                <w:rFonts w:ascii="Arial" w:hAnsi="Arial" w:cs="Arial"/>
                <w:noProof/>
                <w:sz w:val="18"/>
                <w:szCs w:val="18"/>
              </w:rPr>
              <w:drawing>
                <wp:inline distT="0" distB="0" distL="0" distR="0" wp14:anchorId="7954D601" wp14:editId="7954D602">
                  <wp:extent cx="5420610" cy="3069771"/>
                  <wp:effectExtent l="0" t="0" r="8890" b="0"/>
                  <wp:docPr id="64" name="Picture 64" descr="This figure shows the contribution of changes in population, GST pool, circumstances and data revisions to shifts in GST payments for the 2018-19 Update. Changes in the GST pool are the large contributor in most cases, with Western Australia, Queensland and the Northern Territory three exceptions. For these States, changes in circumstances were the primary driver of changes in GST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32521" cy="3076516"/>
                          </a:xfrm>
                          <a:prstGeom prst="rect">
                            <a:avLst/>
                          </a:prstGeom>
                          <a:noFill/>
                          <a:ln>
                            <a:noFill/>
                          </a:ln>
                        </pic:spPr>
                      </pic:pic>
                    </a:graphicData>
                  </a:graphic>
                </wp:inline>
              </w:drawing>
            </w:r>
          </w:p>
        </w:tc>
      </w:tr>
      <w:tr w:rsidR="00F05DC7" w:rsidRPr="00176D3F" w14:paraId="7954A2F8" w14:textId="77777777" w:rsidTr="00A3786D">
        <w:tc>
          <w:tcPr>
            <w:tcW w:w="5000" w:type="pct"/>
            <w:tcBorders>
              <w:top w:val="nil"/>
              <w:left w:val="nil"/>
              <w:bottom w:val="nil"/>
              <w:right w:val="nil"/>
            </w:tcBorders>
            <w:shd w:val="clear" w:color="auto" w:fill="auto"/>
          </w:tcPr>
          <w:p w14:paraId="7954A2F7" w14:textId="77777777" w:rsidR="00F05DC7" w:rsidRDefault="00F05DC7" w:rsidP="00A3786D">
            <w:pPr>
              <w:pStyle w:val="Note"/>
            </w:pPr>
            <w:r>
              <w:rPr>
                <w:rStyle w:val="NoteLabel"/>
              </w:rPr>
              <w:t>a</w:t>
            </w:r>
            <w:r>
              <w:t xml:space="preserve"> ‘State circumstances’ includes all of the factors that make up State fiscal capacities (broadly: expense requirements, investment requirements, net borrowings, revenue</w:t>
            </w:r>
            <w:r>
              <w:noBreakHyphen/>
              <w:t>raising capacities, and Commonwealth payments). In the 2018</w:t>
            </w:r>
            <w:r>
              <w:noBreakHyphen/>
              <w:t>19 Relativity Update, some of the main sources of change in State circumstances included mining production (a major driver of change in GST payments for Western Australia), natural disaster relief (a major driver for Queensland), Commonwealth payments, and property sales.</w:t>
            </w:r>
          </w:p>
        </w:tc>
      </w:tr>
      <w:tr w:rsidR="00F05DC7" w:rsidRPr="00176D3F" w14:paraId="7954A2FA" w14:textId="77777777" w:rsidTr="00A3786D">
        <w:tc>
          <w:tcPr>
            <w:tcW w:w="5000" w:type="pct"/>
            <w:tcBorders>
              <w:top w:val="nil"/>
              <w:left w:val="nil"/>
              <w:bottom w:val="nil"/>
              <w:right w:val="nil"/>
            </w:tcBorders>
            <w:shd w:val="clear" w:color="auto" w:fill="auto"/>
          </w:tcPr>
          <w:p w14:paraId="7954A2F9" w14:textId="4AFCC0A2" w:rsidR="00F05DC7" w:rsidRPr="00176D3F" w:rsidRDefault="00F05DC7" w:rsidP="009D6331">
            <w:pPr>
              <w:pStyle w:val="Source"/>
            </w:pPr>
            <w:r>
              <w:rPr>
                <w:i/>
              </w:rPr>
              <w:t>S</w:t>
            </w:r>
            <w:r w:rsidRPr="00784A05">
              <w:rPr>
                <w:i/>
              </w:rPr>
              <w:t>ource</w:t>
            </w:r>
            <w:r w:rsidRPr="00176D3F">
              <w:t xml:space="preserve">: </w:t>
            </w:r>
            <w:r>
              <w:t xml:space="preserve">CGC </w:t>
            </w:r>
            <w:r w:rsidR="009D6331" w:rsidRPr="009D6331">
              <w:rPr>
                <w:rFonts w:cs="Arial"/>
                <w:szCs w:val="24"/>
              </w:rPr>
              <w:t>(2018h, pp. 8–15)</w:t>
            </w:r>
            <w:r>
              <w:t>.</w:t>
            </w:r>
          </w:p>
        </w:tc>
      </w:tr>
      <w:tr w:rsidR="00F05DC7" w14:paraId="7954A2FC" w14:textId="77777777" w:rsidTr="00A3786D">
        <w:tc>
          <w:tcPr>
            <w:tcW w:w="5000" w:type="pct"/>
            <w:tcBorders>
              <w:top w:val="nil"/>
              <w:left w:val="nil"/>
              <w:bottom w:val="single" w:sz="6" w:space="0" w:color="78A22F"/>
              <w:right w:val="nil"/>
            </w:tcBorders>
            <w:shd w:val="clear" w:color="auto" w:fill="auto"/>
          </w:tcPr>
          <w:p w14:paraId="7954A2FB" w14:textId="77777777" w:rsidR="00F05DC7" w:rsidRDefault="00F05DC7" w:rsidP="00A3786D">
            <w:pPr>
              <w:pStyle w:val="Figurespace"/>
            </w:pPr>
          </w:p>
        </w:tc>
      </w:tr>
    </w:tbl>
    <w:p w14:paraId="7954A2FD" w14:textId="77777777" w:rsidR="00F05DC7" w:rsidRDefault="00F05DC7" w:rsidP="00A3786D">
      <w:pPr>
        <w:pStyle w:val="Heading4"/>
      </w:pPr>
      <w:r>
        <w:t>How accurate are forecasts of future GST payments?</w:t>
      </w:r>
    </w:p>
    <w:p w14:paraId="7954A2FE" w14:textId="77777777" w:rsidR="00F05DC7" w:rsidRPr="00C27E9C" w:rsidRDefault="00F05DC7" w:rsidP="00A3786D">
      <w:pPr>
        <w:pStyle w:val="BodyText"/>
      </w:pPr>
      <w:r w:rsidRPr="00C27E9C">
        <w:t>States have reported varying degrees of success with forecasting GST payments. The ACT</w:t>
      </w:r>
      <w:r>
        <w:t> </w:t>
      </w:r>
      <w:r w:rsidRPr="00C27E9C">
        <w:t xml:space="preserve">Government (sub. 49, p. 35), for example, described predicting future relativities for small States as an ‘exercise in futility’. In a similar vein, the NSW Government (sub. 52, p. 25) noted that the complexity of the formula, combined with changes in methodology, makes predicting GST consequences of spending decisions difficult. </w:t>
      </w:r>
    </w:p>
    <w:p w14:paraId="7954A2FF" w14:textId="77777777" w:rsidR="00F05DC7" w:rsidRPr="00C27E9C" w:rsidRDefault="00F05DC7" w:rsidP="00A3786D">
      <w:pPr>
        <w:pStyle w:val="BodyText"/>
      </w:pPr>
      <w:r w:rsidRPr="00C27E9C">
        <w:t xml:space="preserve">On the other hand, the Tasmanian Government (sub. 28, p. 21) reported that its forecasts have proven to be as accurate as those for other revenue sources and in some cases more so. The Queensland Government (trans., p. 602) likewise noted that it had experienced few difficulties in forecasting GST </w:t>
      </w:r>
      <w:r>
        <w:t>payments</w:t>
      </w:r>
      <w:r w:rsidRPr="00C27E9C">
        <w:t xml:space="preserve">, with relatively small variations between forecasts and the actual payments. And the WA Government (sub. 15, p. 92) reported that it had been able to forecast relativities one year in advance reasonably accurately (at least up until the State’s dominance of iron ore royalties began to affect relativities), though forecasting further out is more difficult. </w:t>
      </w:r>
    </w:p>
    <w:p w14:paraId="7954A300" w14:textId="77777777" w:rsidR="00F05DC7" w:rsidRPr="000C5714" w:rsidRDefault="00F05DC7" w:rsidP="00A3786D">
      <w:pPr>
        <w:pStyle w:val="BoxSpaceAbove"/>
        <w:spacing w:before="300"/>
        <w:rPr>
          <w:rStyle w:val="DraftingNote"/>
          <w:b w:val="0"/>
          <w:color w:val="auto"/>
          <w:u w:val="none"/>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03" w14:textId="77777777" w:rsidTr="00A3786D">
        <w:trPr>
          <w:tblHeader/>
        </w:trPr>
        <w:tc>
          <w:tcPr>
            <w:tcW w:w="5000" w:type="pct"/>
            <w:tcBorders>
              <w:top w:val="single" w:sz="6" w:space="0" w:color="78A22F"/>
              <w:left w:val="nil"/>
              <w:bottom w:val="nil"/>
              <w:right w:val="nil"/>
            </w:tcBorders>
            <w:shd w:val="clear" w:color="auto" w:fill="auto"/>
          </w:tcPr>
          <w:p w14:paraId="7954A301" w14:textId="5BEAE80B" w:rsidR="00F05DC7" w:rsidRDefault="00F05DC7" w:rsidP="00A3786D">
            <w:pPr>
              <w:pStyle w:val="FigureTitle"/>
              <w:spacing w:line="260" w:lineRule="exact"/>
              <w:rPr>
                <w:rStyle w:val="NoteLabel"/>
                <w:b/>
              </w:rPr>
            </w:pPr>
            <w:r w:rsidRPr="00784A05">
              <w:rPr>
                <w:b w:val="0"/>
              </w:rPr>
              <w:t>Figure</w:t>
            </w:r>
            <w:r>
              <w:rPr>
                <w:b w:val="0"/>
              </w:rPr>
              <w:t xml:space="preserve"> 4.6</w:t>
            </w:r>
            <w:r>
              <w:tab/>
              <w:t>Year</w:t>
            </w:r>
            <w:r>
              <w:noBreakHyphen/>
              <w:t>on</w:t>
            </w:r>
            <w:r>
              <w:noBreakHyphen/>
              <w:t>year v</w:t>
            </w:r>
            <w:r>
              <w:rPr>
                <w:spacing w:val="-2"/>
              </w:rPr>
              <w:t>olatility of</w:t>
            </w:r>
            <w:r w:rsidRPr="009768A0">
              <w:rPr>
                <w:spacing w:val="-2"/>
              </w:rPr>
              <w:t xml:space="preserve"> State revenue sources</w:t>
            </w:r>
            <w:r w:rsidRPr="009768A0">
              <w:rPr>
                <w:rStyle w:val="NoteLabel"/>
                <w:b/>
                <w:spacing w:val="-2"/>
              </w:rPr>
              <w:t>a,b</w:t>
            </w:r>
          </w:p>
          <w:p w14:paraId="7954A302" w14:textId="77777777" w:rsidR="00F05DC7" w:rsidRPr="00176D3F" w:rsidRDefault="00F05DC7" w:rsidP="00A3786D">
            <w:pPr>
              <w:pStyle w:val="BoxSubtitle"/>
              <w:spacing w:before="80" w:after="40" w:line="220" w:lineRule="exact"/>
            </w:pPr>
            <w:r>
              <w:t>2000</w:t>
            </w:r>
            <w:r>
              <w:noBreakHyphen/>
              <w:t>01 to 2015</w:t>
            </w:r>
            <w:r>
              <w:noBreakHyphen/>
              <w:t>16</w:t>
            </w:r>
          </w:p>
        </w:tc>
      </w:tr>
      <w:tr w:rsidR="00F05DC7" w14:paraId="7954A305" w14:textId="77777777" w:rsidTr="00A3786D">
        <w:tblPrEx>
          <w:tblCellMar>
            <w:left w:w="108" w:type="dxa"/>
            <w:right w:w="108" w:type="dxa"/>
          </w:tblCellMar>
        </w:tblPrEx>
        <w:tc>
          <w:tcPr>
            <w:tcW w:w="5000" w:type="pct"/>
            <w:tcBorders>
              <w:top w:val="nil"/>
              <w:left w:val="nil"/>
              <w:bottom w:val="nil"/>
              <w:right w:val="nil"/>
            </w:tcBorders>
            <w:shd w:val="clear" w:color="auto" w:fill="auto"/>
            <w:tcMar>
              <w:left w:w="28" w:type="dxa"/>
            </w:tcMar>
          </w:tcPr>
          <w:p w14:paraId="7954A304" w14:textId="77777777" w:rsidR="00F05DC7" w:rsidRDefault="00F05DC7" w:rsidP="00A3786D">
            <w:pPr>
              <w:pStyle w:val="BodyText"/>
              <w:spacing w:before="120" w:after="120" w:line="240" w:lineRule="atLeast"/>
              <w:jc w:val="right"/>
            </w:pPr>
            <w:r w:rsidRPr="00C9193A">
              <w:rPr>
                <w:noProof/>
              </w:rPr>
              <w:drawing>
                <wp:inline distT="0" distB="0" distL="0" distR="0" wp14:anchorId="7954D603" wp14:editId="7954D604">
                  <wp:extent cx="5575902" cy="3864429"/>
                  <wp:effectExtent l="0" t="0" r="6350" b="3175"/>
                  <wp:docPr id="63" name="Picture 63" descr="This figure presents the average coefficient of variation, and the average share of total State revenues, weighted by population for various sources of revenue. Revenue sources are presented as most to least variable in the following order: interest income, other revenue, sales of goods and services, non GST grants, taxation revenue and GST payments. Average shares of total State revenues are ranked in roughly the opposite order — State taxation revenue makes up the largest proportion of total State revenues, followed by GST payments and non-GST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81908" cy="3868591"/>
                          </a:xfrm>
                          <a:prstGeom prst="rect">
                            <a:avLst/>
                          </a:prstGeom>
                          <a:noFill/>
                          <a:ln>
                            <a:noFill/>
                          </a:ln>
                        </pic:spPr>
                      </pic:pic>
                    </a:graphicData>
                  </a:graphic>
                </wp:inline>
              </w:drawing>
            </w:r>
          </w:p>
        </w:tc>
      </w:tr>
      <w:tr w:rsidR="00F05DC7" w:rsidRPr="00176D3F" w14:paraId="7954A307" w14:textId="77777777" w:rsidTr="00A3786D">
        <w:tc>
          <w:tcPr>
            <w:tcW w:w="5000" w:type="pct"/>
            <w:tcBorders>
              <w:top w:val="nil"/>
              <w:left w:val="nil"/>
              <w:bottom w:val="nil"/>
              <w:right w:val="nil"/>
            </w:tcBorders>
            <w:shd w:val="clear" w:color="auto" w:fill="auto"/>
          </w:tcPr>
          <w:p w14:paraId="7954A306" w14:textId="77777777" w:rsidR="00F05DC7" w:rsidRPr="00AB1DAF" w:rsidRDefault="00F05DC7" w:rsidP="00A3786D">
            <w:pPr>
              <w:pStyle w:val="Note"/>
            </w:pPr>
            <w:r w:rsidRPr="00AB1DAF">
              <w:rPr>
                <w:rStyle w:val="NoteLabel"/>
                <w:position w:val="5"/>
              </w:rPr>
              <w:t>a</w:t>
            </w:r>
            <w:r w:rsidRPr="00AB1DAF">
              <w:rPr>
                <w:rStyle w:val="NoteLabel"/>
                <w:b w:val="0"/>
                <w:position w:val="0"/>
              </w:rPr>
              <w:t xml:space="preserve"> </w:t>
            </w:r>
            <w:r w:rsidRPr="00C27E9C">
              <w:t>The coefficient of variation is a measure of dispersion, showing the degree to which values are spread above and below the mean, relative to the size of the mean itself. It takes into account both positive and negative changes, and is calculated by dividing the standard deviation by the mean.</w:t>
            </w:r>
            <w:r>
              <w:t xml:space="preserve"> </w:t>
            </w:r>
            <w:r>
              <w:rPr>
                <w:rStyle w:val="NoteLabel"/>
                <w:position w:val="5"/>
              </w:rPr>
              <w:t>b</w:t>
            </w:r>
            <w:r w:rsidRPr="00AB1DAF">
              <w:rPr>
                <w:rStyle w:val="NoteLabel"/>
                <w:b w:val="0"/>
                <w:position w:val="0"/>
              </w:rPr>
              <w:t> </w:t>
            </w:r>
            <w:r w:rsidRPr="00C27E9C">
              <w:t>Royalty income is included in ‘other revenue’. ‘</w:t>
            </w:r>
            <w:r>
              <w:t>State t</w:t>
            </w:r>
            <w:r w:rsidRPr="00C27E9C">
              <w:t>axation revenue’ includes stamp/transfer duty, land tax, insurance tax and vehicle licensing charges. ‘Current grants and subsidies’ presented in the ABS Government Finance Statistics have been disaggregated into ‘Non</w:t>
            </w:r>
            <w:r w:rsidRPr="00C27E9C">
              <w:noBreakHyphen/>
              <w:t>GST grants’ and ‘GST payments’.</w:t>
            </w:r>
          </w:p>
        </w:tc>
      </w:tr>
      <w:tr w:rsidR="00F05DC7" w:rsidRPr="00176D3F" w14:paraId="7954A309" w14:textId="77777777" w:rsidTr="00A3786D">
        <w:tc>
          <w:tcPr>
            <w:tcW w:w="5000" w:type="pct"/>
            <w:tcBorders>
              <w:top w:val="nil"/>
              <w:left w:val="nil"/>
              <w:bottom w:val="nil"/>
              <w:right w:val="nil"/>
            </w:tcBorders>
            <w:shd w:val="clear" w:color="auto" w:fill="auto"/>
          </w:tcPr>
          <w:p w14:paraId="7954A308" w14:textId="77777777" w:rsidR="00F05DC7" w:rsidRPr="00176D3F" w:rsidRDefault="00F05DC7" w:rsidP="00A3786D">
            <w:pPr>
              <w:pStyle w:val="Source"/>
            </w:pPr>
            <w:r>
              <w:rPr>
                <w:i/>
              </w:rPr>
              <w:t>S</w:t>
            </w:r>
            <w:r w:rsidRPr="00784A05">
              <w:rPr>
                <w:i/>
              </w:rPr>
              <w:t>ource</w:t>
            </w:r>
            <w:r w:rsidRPr="00176D3F">
              <w:t xml:space="preserve">: </w:t>
            </w:r>
            <w:r>
              <w:t>Productivity Commission estimates based on ABS (</w:t>
            </w:r>
            <w:r w:rsidRPr="00B827D9">
              <w:rPr>
                <w:i/>
              </w:rPr>
              <w:t>Government Finance Statistics, Australia</w:t>
            </w:r>
            <w:r>
              <w:t>, 2015</w:t>
            </w:r>
            <w:r>
              <w:noBreakHyphen/>
              <w:t xml:space="preserve">16, </w:t>
            </w:r>
            <w:r w:rsidRPr="00EE43FF">
              <w:t>Cat. no. 5512.0</w:t>
            </w:r>
            <w:r>
              <w:t>) and Commonwealth Treasury (pers. comm., 20 July 2017).</w:t>
            </w:r>
          </w:p>
        </w:tc>
      </w:tr>
      <w:tr w:rsidR="00F05DC7" w:rsidRPr="009768A0" w14:paraId="7954A30B" w14:textId="77777777" w:rsidTr="00A3786D">
        <w:tc>
          <w:tcPr>
            <w:tcW w:w="5000" w:type="pct"/>
            <w:tcBorders>
              <w:top w:val="nil"/>
              <w:left w:val="nil"/>
              <w:bottom w:val="single" w:sz="6" w:space="0" w:color="78A22F"/>
              <w:right w:val="nil"/>
            </w:tcBorders>
            <w:shd w:val="clear" w:color="auto" w:fill="auto"/>
          </w:tcPr>
          <w:p w14:paraId="7954A30A" w14:textId="77777777" w:rsidR="00F05DC7" w:rsidRPr="009768A0" w:rsidRDefault="00F05DC7" w:rsidP="00A3786D">
            <w:pPr>
              <w:pStyle w:val="Figurespace"/>
              <w:keepNext w:val="0"/>
              <w:spacing w:line="80" w:lineRule="exact"/>
              <w:rPr>
                <w:sz w:val="8"/>
              </w:rPr>
            </w:pPr>
          </w:p>
        </w:tc>
      </w:tr>
    </w:tbl>
    <w:p w14:paraId="7954A30C" w14:textId="77777777" w:rsidR="00F05DC7" w:rsidRPr="00C27E9C" w:rsidRDefault="00F05DC7" w:rsidP="00A3786D">
      <w:pPr>
        <w:pStyle w:val="BodyText"/>
      </w:pPr>
      <w:r w:rsidRPr="00C27E9C">
        <w:t>Indeed, all States’ predictions in outyears tend to be less accurate; nonetheless, significant shifts in relativities in recent years have been reasonably foreseeable — for example, the WA Government successfully predicted the decline in its relativities, albeit overstating the extent of this decline (box</w:t>
      </w:r>
      <w:r>
        <w:t> </w:t>
      </w:r>
      <w:r w:rsidRPr="00C27E9C">
        <w:t>4.2; figure 4.7).</w:t>
      </w:r>
      <w:r w:rsidRPr="00C27E9C" w:rsidDel="00116E6F">
        <w:t xml:space="preserve"> </w:t>
      </w:r>
    </w:p>
    <w:p w14:paraId="7954A30D" w14:textId="77777777" w:rsidR="00F05DC7" w:rsidRPr="00C27E9C" w:rsidRDefault="00F05DC7" w:rsidP="00A3786D">
      <w:pPr>
        <w:pStyle w:val="BodyText"/>
      </w:pPr>
      <w:r w:rsidRPr="00C27E9C">
        <w:t>The WA Government’s relativity forecasts were much more accurate in the earlier years of its relativity decline, but that accuracy began to decline around 2013, as the assessment period became almost entirely dominated by highly volatile royalty revenues (figure</w:t>
      </w:r>
      <w:r>
        <w:t> </w:t>
      </w:r>
      <w:r w:rsidRPr="00C27E9C">
        <w:t>4.7). The effects of the mining boom on Western Australia’s forecasting were further compounded by population changes, resulting in much less accurate forecasts. For example, in the 2013</w:t>
      </w:r>
      <w:r w:rsidRPr="00C27E9C">
        <w:noBreakHyphen/>
        <w:t>14 Western Australian budget, the State’s one</w:t>
      </w:r>
      <w:r w:rsidRPr="00C27E9C">
        <w:noBreakHyphen/>
        <w:t>year and two</w:t>
      </w:r>
      <w:r>
        <w:noBreakHyphen/>
      </w:r>
      <w:r w:rsidRPr="00C27E9C">
        <w:t xml:space="preserve">year GST revenue forecasts were underestimated by </w:t>
      </w:r>
      <w:r>
        <w:t>about 29</w:t>
      </w:r>
      <w:r w:rsidRPr="00C27E9C">
        <w:t xml:space="preserve"> per cent and 52</w:t>
      </w:r>
      <w:r>
        <w:t xml:space="preserve"> </w:t>
      </w:r>
      <w:r w:rsidRPr="00C27E9C">
        <w:t>per cent respectively.</w:t>
      </w:r>
    </w:p>
    <w:p w14:paraId="7954A30E"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10" w14:textId="77777777" w:rsidTr="00A3786D">
        <w:trPr>
          <w:tblHeader/>
        </w:trPr>
        <w:tc>
          <w:tcPr>
            <w:tcW w:w="5000" w:type="pct"/>
            <w:tcBorders>
              <w:top w:val="single" w:sz="6" w:space="0" w:color="78A22F"/>
              <w:left w:val="nil"/>
              <w:bottom w:val="nil"/>
              <w:right w:val="nil"/>
            </w:tcBorders>
            <w:shd w:val="clear" w:color="auto" w:fill="auto"/>
          </w:tcPr>
          <w:p w14:paraId="7954A30F" w14:textId="29EAFF6A" w:rsidR="00F05DC7" w:rsidRPr="00176D3F" w:rsidRDefault="00F05DC7" w:rsidP="00A3786D">
            <w:pPr>
              <w:pStyle w:val="FigureTitle"/>
              <w:spacing w:before="80" w:line="260" w:lineRule="exact"/>
            </w:pPr>
            <w:r w:rsidRPr="00784A05">
              <w:rPr>
                <w:b w:val="0"/>
              </w:rPr>
              <w:t xml:space="preserve">Figure </w:t>
            </w:r>
            <w:r>
              <w:rPr>
                <w:b w:val="0"/>
              </w:rPr>
              <w:t>4.7</w:t>
            </w:r>
            <w:r>
              <w:tab/>
              <w:t>Western Australia’s performance forecasting relativities</w:t>
            </w:r>
          </w:p>
        </w:tc>
      </w:tr>
      <w:tr w:rsidR="00F05DC7" w14:paraId="7954A312" w14:textId="77777777" w:rsidTr="00A3786D">
        <w:tc>
          <w:tcPr>
            <w:tcW w:w="5000" w:type="pct"/>
            <w:tcBorders>
              <w:top w:val="nil"/>
              <w:left w:val="nil"/>
              <w:bottom w:val="nil"/>
              <w:right w:val="nil"/>
            </w:tcBorders>
            <w:shd w:val="clear" w:color="auto" w:fill="auto"/>
            <w:tcMar>
              <w:top w:w="28" w:type="dxa"/>
              <w:bottom w:w="28" w:type="dxa"/>
            </w:tcMar>
          </w:tcPr>
          <w:p w14:paraId="7954A311" w14:textId="6BCE449B" w:rsidR="00F05DC7" w:rsidRDefault="00F05DC7" w:rsidP="00A3786D">
            <w:pPr>
              <w:pStyle w:val="Figure"/>
              <w:spacing w:before="60" w:after="60" w:line="200" w:lineRule="atLeast"/>
            </w:pPr>
            <w:r w:rsidRPr="00C02F04">
              <w:rPr>
                <w:noProof/>
              </w:rPr>
              <w:drawing>
                <wp:inline distT="0" distB="0" distL="0" distR="0" wp14:anchorId="7954D605" wp14:editId="7954D606">
                  <wp:extent cx="5354164" cy="3520440"/>
                  <wp:effectExtent l="0" t="0" r="0" b="3810"/>
                  <wp:docPr id="69" name="Picture 69" descr="This figure presents Western Australia’s actual and predicted relativities. It shows that from 2010-11 to 2014-15, Western Australia generally underestimated its GST relativities in forward estimates. From 2015 onwards, it has tended to overestimate its rela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956" r="4509" b="5797"/>
                          <a:stretch/>
                        </pic:blipFill>
                        <pic:spPr bwMode="auto">
                          <a:xfrm>
                            <a:off x="0" y="0"/>
                            <a:ext cx="5354804" cy="3520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5DC7" w:rsidRPr="00176D3F" w14:paraId="7954A314" w14:textId="77777777" w:rsidTr="00A3786D">
        <w:tc>
          <w:tcPr>
            <w:tcW w:w="5000" w:type="pct"/>
            <w:tcBorders>
              <w:top w:val="nil"/>
              <w:left w:val="nil"/>
              <w:bottom w:val="nil"/>
              <w:right w:val="nil"/>
            </w:tcBorders>
            <w:shd w:val="clear" w:color="auto" w:fill="auto"/>
            <w:tcMar>
              <w:left w:w="28" w:type="dxa"/>
              <w:right w:w="28" w:type="dxa"/>
            </w:tcMar>
          </w:tcPr>
          <w:p w14:paraId="7954A313" w14:textId="24F12FD1" w:rsidR="00F05DC7" w:rsidRPr="00176D3F" w:rsidRDefault="00F05DC7" w:rsidP="00A3786D">
            <w:pPr>
              <w:pStyle w:val="Source"/>
              <w:spacing w:before="40" w:line="240" w:lineRule="exact"/>
            </w:pPr>
            <w:r>
              <w:rPr>
                <w:i/>
              </w:rPr>
              <w:t>Sources</w:t>
            </w:r>
            <w:r w:rsidRPr="00176D3F">
              <w:t xml:space="preserve">: </w:t>
            </w:r>
            <w:r>
              <w:t xml:space="preserve">CGC </w:t>
            </w:r>
            <w:r w:rsidR="009D6331" w:rsidRPr="009D6331">
              <w:rPr>
                <w:rFonts w:cs="Arial"/>
              </w:rPr>
              <w:t>(2018g)</w:t>
            </w:r>
            <w:r>
              <w:t>; Western Australian Budget Papers (2010; 2011; 2012; 2013; 2014; 2015; 2016; 2017).</w:t>
            </w:r>
          </w:p>
        </w:tc>
      </w:tr>
      <w:tr w:rsidR="00F05DC7" w14:paraId="7954A316" w14:textId="77777777" w:rsidTr="00A3786D">
        <w:tc>
          <w:tcPr>
            <w:tcW w:w="5000" w:type="pct"/>
            <w:tcBorders>
              <w:top w:val="nil"/>
              <w:left w:val="nil"/>
              <w:bottom w:val="single" w:sz="6" w:space="0" w:color="78A22F"/>
              <w:right w:val="nil"/>
            </w:tcBorders>
            <w:shd w:val="clear" w:color="auto" w:fill="auto"/>
          </w:tcPr>
          <w:p w14:paraId="7954A315" w14:textId="77777777" w:rsidR="00F05DC7" w:rsidRDefault="00F05DC7" w:rsidP="00A3786D">
            <w:pPr>
              <w:pStyle w:val="Figurespace"/>
            </w:pPr>
          </w:p>
        </w:tc>
      </w:tr>
      <w:tr w:rsidR="00F05DC7" w:rsidRPr="000863A5" w14:paraId="7954A318" w14:textId="77777777" w:rsidTr="00A3786D">
        <w:tc>
          <w:tcPr>
            <w:tcW w:w="5000" w:type="pct"/>
            <w:tcBorders>
              <w:top w:val="single" w:sz="6" w:space="0" w:color="78A22F"/>
              <w:left w:val="nil"/>
              <w:bottom w:val="nil"/>
              <w:right w:val="nil"/>
            </w:tcBorders>
          </w:tcPr>
          <w:p w14:paraId="7954A317" w14:textId="77777777" w:rsidR="00F05DC7" w:rsidRPr="00626D32" w:rsidRDefault="00F05DC7" w:rsidP="00A3786D">
            <w:pPr>
              <w:pStyle w:val="BoxSpaceBelow"/>
              <w:spacing w:before="40" w:after="40"/>
            </w:pPr>
          </w:p>
        </w:tc>
      </w:tr>
    </w:tbl>
    <w:p w14:paraId="7954A319" w14:textId="77777777" w:rsidR="00F05DC7" w:rsidRDefault="00F05DC7" w:rsidP="00A3786D">
      <w:pPr>
        <w:pStyle w:val="BodyText"/>
      </w:pPr>
      <w:bookmarkStart w:id="86" w:name="_Toc487016165"/>
      <w:r w:rsidRPr="00C27E9C">
        <w:t>Overall, States have generally had more success forecasting GST payments than taxation revenue. Excepting Western Australia, GST forecasts</w:t>
      </w:r>
      <w:r>
        <w:t>,</w:t>
      </w:r>
      <w:r w:rsidRPr="00C27E9C">
        <w:t xml:space="preserve"> on average</w:t>
      </w:r>
      <w:r>
        <w:t>,</w:t>
      </w:r>
      <w:r w:rsidRPr="00C27E9C">
        <w:t xml:space="preserve"> are of </w:t>
      </w:r>
      <w:r>
        <w:t xml:space="preserve">roughly </w:t>
      </w:r>
      <w:r w:rsidRPr="00C27E9C">
        <w:t xml:space="preserve">comparable accuracy to taxation revenue forecasts for the budget year (figure 4.8). </w:t>
      </w:r>
    </w:p>
    <w:p w14:paraId="7954A31A" w14:textId="77777777" w:rsidR="00F05DC7" w:rsidRDefault="00F05DC7" w:rsidP="00A3786D">
      <w:pPr>
        <w:pStyle w:val="Heading3"/>
      </w:pPr>
      <w:r>
        <w:t>Fiscal equalisation and incentives for budget management</w:t>
      </w:r>
    </w:p>
    <w:p w14:paraId="7954A31B" w14:textId="77777777" w:rsidR="00F05DC7" w:rsidRDefault="00F05DC7" w:rsidP="00A3786D">
      <w:pPr>
        <w:pStyle w:val="BodyText"/>
      </w:pPr>
      <w:r w:rsidRPr="002B5D12">
        <w:t>Vertical fiscal imbalance (VFI) necessitates payments from the Commonwealth to the States to ensure that States have sufficient revenue to meet their spending needs (chapter 2). When combined with the HFE system’s joint role of addressing VFI and achieving horizontal equity, the Commonwealth’s influence over State fiscal positions can mean that responsibility for States’ budget positions appears to be shared with the Commonwealth.</w:t>
      </w:r>
      <w:r>
        <w:t xml:space="preserve"> </w:t>
      </w:r>
      <w:r w:rsidRPr="00BE704C">
        <w:t xml:space="preserve">This has been illustrated in recent years in Western Australia, where the WA Government </w:t>
      </w:r>
      <w:r>
        <w:t xml:space="preserve">purported that </w:t>
      </w:r>
      <w:r w:rsidRPr="00BE704C">
        <w:t xml:space="preserve">its worsening budget position </w:t>
      </w:r>
      <w:r>
        <w:t xml:space="preserve">was a result of its </w:t>
      </w:r>
      <w:r w:rsidRPr="00BE704C">
        <w:t>declining GST share</w:t>
      </w:r>
      <w:r>
        <w:t xml:space="preserve">. </w:t>
      </w:r>
    </w:p>
    <w:p w14:paraId="7954A31C" w14:textId="77777777" w:rsidR="00F05DC7" w:rsidRPr="00BE704C" w:rsidRDefault="00F05DC7" w:rsidP="00A3786D">
      <w:pPr>
        <w:pStyle w:val="BodyText"/>
        <w:keepNext/>
      </w:pPr>
      <w:r>
        <w:t>Along these lines, the NSW Government argued:</w:t>
      </w:r>
    </w:p>
    <w:p w14:paraId="7954A31D" w14:textId="77777777" w:rsidR="00F05DC7" w:rsidRDefault="00F05DC7" w:rsidP="00A3786D">
      <w:pPr>
        <w:pStyle w:val="Quote"/>
        <w:spacing w:before="110" w:line="270" w:lineRule="exact"/>
      </w:pPr>
      <w:r w:rsidRPr="00DC3B3F">
        <w:t>The current system also inhibits, to some degree, state government being made accountable for the revenue and expenditure choices they make. This</w:t>
      </w:r>
      <w:r>
        <w:t xml:space="preserve"> makes it difficult for citizens to hold governments to account for their revenue and expenditure choices. (sub. 52, p. 22)</w:t>
      </w:r>
    </w:p>
    <w:p w14:paraId="7954A31E" w14:textId="77777777" w:rsidR="00F05DC7" w:rsidRPr="00C27E9C" w:rsidRDefault="00F05DC7" w:rsidP="00A3786D">
      <w:pPr>
        <w:pStyle w:val="BodyText"/>
      </w:pPr>
      <w:r>
        <w:t xml:space="preserve">The Commonwealth Government’s influence over the treatment of Commonwealth payments in the CGC’s assessments, through the Treasurer’s discretion to quarantine or </w:t>
      </w:r>
      <w:r>
        <w:lastRenderedPageBreak/>
        <w:t>discount payments via the terms of reference for each relativity update, has arguably further compounded the perception of joint responsibility for State budgets — as have the large quarantined infrastructure payments made from the Commonwealth to Western Australia in recent years.</w:t>
      </w:r>
    </w:p>
    <w:p w14:paraId="7954A31F" w14:textId="77777777" w:rsidR="00F05DC7" w:rsidRPr="0046198C"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22" w14:textId="77777777" w:rsidTr="00A3786D">
        <w:trPr>
          <w:tblHeader/>
        </w:trPr>
        <w:tc>
          <w:tcPr>
            <w:tcW w:w="5000" w:type="pct"/>
            <w:tcBorders>
              <w:top w:val="single" w:sz="6" w:space="0" w:color="78A22F"/>
              <w:left w:val="nil"/>
              <w:bottom w:val="nil"/>
              <w:right w:val="nil"/>
            </w:tcBorders>
            <w:shd w:val="clear" w:color="auto" w:fill="auto"/>
          </w:tcPr>
          <w:p w14:paraId="7954A320" w14:textId="1071D08E" w:rsidR="00F05DC7" w:rsidRDefault="00F05DC7" w:rsidP="00A3786D">
            <w:pPr>
              <w:pStyle w:val="FigureTitle"/>
              <w:spacing w:before="80" w:after="40" w:line="260" w:lineRule="exact"/>
            </w:pPr>
            <w:r w:rsidRPr="00784A05">
              <w:rPr>
                <w:b w:val="0"/>
              </w:rPr>
              <w:t xml:space="preserve">Figure </w:t>
            </w:r>
            <w:bookmarkStart w:id="87" w:name="OLE_LINK23"/>
            <w:r>
              <w:rPr>
                <w:b w:val="0"/>
              </w:rPr>
              <w:t>4.</w:t>
            </w:r>
            <w:bookmarkEnd w:id="87"/>
            <w:r>
              <w:rPr>
                <w:b w:val="0"/>
              </w:rPr>
              <w:t>8</w:t>
            </w:r>
            <w:r>
              <w:tab/>
              <w:t>States’ revenue forecasting errors</w:t>
            </w:r>
            <w:r w:rsidRPr="001819D7">
              <w:rPr>
                <w:rStyle w:val="NoteLabel"/>
                <w:b/>
              </w:rPr>
              <w:t>a</w:t>
            </w:r>
            <w:r w:rsidRPr="006C3F67">
              <w:rPr>
                <w:rStyle w:val="NoteLabel"/>
                <w:b/>
              </w:rPr>
              <w:t>,b</w:t>
            </w:r>
            <w:r>
              <w:rPr>
                <w:rStyle w:val="NoteLabel"/>
                <w:b/>
              </w:rPr>
              <w:t>,c</w:t>
            </w:r>
          </w:p>
          <w:p w14:paraId="7954A321" w14:textId="77777777" w:rsidR="00F05DC7" w:rsidRPr="00176D3F" w:rsidRDefault="00F05DC7" w:rsidP="00A3786D">
            <w:pPr>
              <w:pStyle w:val="Subtitle"/>
              <w:spacing w:before="60" w:after="40" w:line="180" w:lineRule="exact"/>
            </w:pPr>
            <w:r>
              <w:t>2012</w:t>
            </w:r>
            <w:r>
              <w:noBreakHyphen/>
              <w:t>13 to 2016</w:t>
            </w:r>
            <w:r>
              <w:noBreakHyphen/>
              <w:t>17 for GST payments, 2011</w:t>
            </w:r>
            <w:r>
              <w:noBreakHyphen/>
              <w:t>12 to 2015</w:t>
            </w:r>
            <w:r>
              <w:noBreakHyphen/>
              <w:t>16 for State taxation</w:t>
            </w:r>
          </w:p>
        </w:tc>
      </w:tr>
      <w:tr w:rsidR="00F05DC7" w14:paraId="7954A326" w14:textId="77777777" w:rsidTr="00A3786D">
        <w:trPr>
          <w:trHeight w:val="4434"/>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F05DC7" w:rsidRPr="00F57029" w14:paraId="7954A324" w14:textId="77777777" w:rsidTr="00A3786D">
              <w:trPr>
                <w:trHeight w:val="4421"/>
                <w:tblHeader/>
                <w:jc w:val="center"/>
              </w:trPr>
              <w:tc>
                <w:tcPr>
                  <w:tcW w:w="8504" w:type="dxa"/>
                  <w:tcBorders>
                    <w:top w:val="nil"/>
                    <w:bottom w:val="nil"/>
                  </w:tcBorders>
                  <w:tcMar>
                    <w:left w:w="57" w:type="dxa"/>
                    <w:right w:w="57" w:type="dxa"/>
                  </w:tcMar>
                </w:tcPr>
                <w:p w14:paraId="7954A323" w14:textId="77777777" w:rsidR="00F05DC7" w:rsidRPr="00F57029" w:rsidRDefault="00F05DC7" w:rsidP="00A3786D">
                  <w:pPr>
                    <w:pStyle w:val="Figure"/>
                    <w:spacing w:before="0" w:after="0" w:line="240" w:lineRule="auto"/>
                    <w:jc w:val="left"/>
                    <w:rPr>
                      <w:rFonts w:ascii="Arial" w:hAnsi="Arial" w:cs="Arial"/>
                      <w:sz w:val="12"/>
                      <w:szCs w:val="18"/>
                    </w:rPr>
                  </w:pPr>
                  <w:r w:rsidRPr="006F7D72">
                    <w:rPr>
                      <w:rFonts w:ascii="Arial" w:hAnsi="Arial" w:cs="Arial"/>
                      <w:noProof/>
                      <w:sz w:val="12"/>
                      <w:szCs w:val="18"/>
                    </w:rPr>
                    <w:drawing>
                      <wp:inline distT="0" distB="0" distL="0" distR="0" wp14:anchorId="7954D609" wp14:editId="7954D60A">
                        <wp:extent cx="5241595" cy="2971800"/>
                        <wp:effectExtent l="0" t="0" r="0" b="0"/>
                        <wp:docPr id="65" name="Picture 65" descr="This figure presents revenue forecasting errors. It shows errors for taxation revenue estimates for the budget year, and GST revenue estimates for the budget year and forward estimates. GST payments are estimated more accurately than taxation for the budget years, while estimates of GST payments for the first forward estimate are of similar accuracy to estimates for taxation in the budge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50585" cy="2976897"/>
                                </a:xfrm>
                                <a:prstGeom prst="rect">
                                  <a:avLst/>
                                </a:prstGeom>
                                <a:noFill/>
                                <a:ln>
                                  <a:noFill/>
                                </a:ln>
                              </pic:spPr>
                            </pic:pic>
                          </a:graphicData>
                        </a:graphic>
                      </wp:inline>
                    </w:drawing>
                  </w:r>
                </w:p>
              </w:tc>
            </w:tr>
          </w:tbl>
          <w:p w14:paraId="7954A325" w14:textId="77777777" w:rsidR="00F05DC7" w:rsidRPr="00F57029" w:rsidRDefault="00F05DC7" w:rsidP="00A3786D">
            <w:pPr>
              <w:pStyle w:val="Figure"/>
              <w:spacing w:before="0" w:after="0" w:line="240" w:lineRule="auto"/>
              <w:rPr>
                <w:sz w:val="12"/>
              </w:rPr>
            </w:pPr>
          </w:p>
        </w:tc>
      </w:tr>
      <w:tr w:rsidR="00F05DC7" w:rsidRPr="00176D3F" w14:paraId="7954A328" w14:textId="77777777" w:rsidTr="00A3786D">
        <w:tc>
          <w:tcPr>
            <w:tcW w:w="5000" w:type="pct"/>
            <w:tcBorders>
              <w:top w:val="nil"/>
              <w:left w:val="nil"/>
              <w:bottom w:val="nil"/>
              <w:right w:val="nil"/>
            </w:tcBorders>
            <w:shd w:val="clear" w:color="auto" w:fill="auto"/>
          </w:tcPr>
          <w:p w14:paraId="7954A327" w14:textId="77777777" w:rsidR="00F05DC7" w:rsidRPr="00176D3F" w:rsidRDefault="00F05DC7" w:rsidP="00A3786D">
            <w:pPr>
              <w:pStyle w:val="Note"/>
              <w:spacing w:before="60" w:line="200" w:lineRule="exact"/>
            </w:pPr>
            <w:r w:rsidRPr="00671409">
              <w:rPr>
                <w:rStyle w:val="NoteLabel"/>
                <w:position w:val="4"/>
              </w:rPr>
              <w:t>a</w:t>
            </w:r>
            <w:r>
              <w:rPr>
                <w:rStyle w:val="NoteLabel"/>
                <w:position w:val="4"/>
              </w:rPr>
              <w:t> </w:t>
            </w:r>
            <w:r w:rsidRPr="00C27E9C">
              <w:t>‘</w:t>
            </w:r>
            <w:r>
              <w:t>State t</w:t>
            </w:r>
            <w:r w:rsidRPr="00C27E9C">
              <w:t>axation’ includes stamp/transfer duty, land tax, insurance tax and vehicle licensing charges</w:t>
            </w:r>
            <w:r>
              <w:t xml:space="preserve">. </w:t>
            </w:r>
            <w:r w:rsidRPr="00671409">
              <w:rPr>
                <w:rStyle w:val="NoteLabel"/>
                <w:position w:val="4"/>
              </w:rPr>
              <w:t>b</w:t>
            </w:r>
            <w:r>
              <w:t xml:space="preserve"> Western Australia’s GST payment forecasts have been removed as outliers for the reasons discussed in the text above. </w:t>
            </w:r>
            <w:r>
              <w:rPr>
                <w:rStyle w:val="NoteLabel"/>
                <w:position w:val="4"/>
              </w:rPr>
              <w:t>c</w:t>
            </w:r>
            <w:r>
              <w:t> Averages are not weighted by population.</w:t>
            </w:r>
          </w:p>
        </w:tc>
      </w:tr>
      <w:tr w:rsidR="00F05DC7" w:rsidRPr="00176D3F" w14:paraId="7954A32A" w14:textId="77777777" w:rsidTr="00A3786D">
        <w:tc>
          <w:tcPr>
            <w:tcW w:w="5000" w:type="pct"/>
            <w:tcBorders>
              <w:top w:val="nil"/>
              <w:left w:val="nil"/>
              <w:bottom w:val="nil"/>
              <w:right w:val="nil"/>
            </w:tcBorders>
            <w:shd w:val="clear" w:color="auto" w:fill="auto"/>
          </w:tcPr>
          <w:p w14:paraId="7954A329" w14:textId="77777777" w:rsidR="00F05DC7" w:rsidRPr="00176D3F" w:rsidRDefault="00F05DC7" w:rsidP="00A3786D">
            <w:pPr>
              <w:pStyle w:val="Source"/>
              <w:spacing w:before="60" w:line="200" w:lineRule="exact"/>
            </w:pPr>
            <w:r>
              <w:rPr>
                <w:i/>
              </w:rPr>
              <w:t>S</w:t>
            </w:r>
            <w:r w:rsidRPr="00784A05">
              <w:rPr>
                <w:i/>
              </w:rPr>
              <w:t>ource</w:t>
            </w:r>
            <w:r w:rsidRPr="00176D3F">
              <w:t xml:space="preserve">: </w:t>
            </w:r>
            <w:r>
              <w:t>Productivity Commission estimates based on data provided by the Tasmanian Government (pers. comm., 18 August 2017).</w:t>
            </w:r>
          </w:p>
        </w:tc>
      </w:tr>
      <w:tr w:rsidR="00F05DC7" w14:paraId="7954A32C" w14:textId="77777777" w:rsidTr="00A3786D">
        <w:tc>
          <w:tcPr>
            <w:tcW w:w="5000" w:type="pct"/>
            <w:tcBorders>
              <w:top w:val="nil"/>
              <w:left w:val="nil"/>
              <w:bottom w:val="single" w:sz="6" w:space="0" w:color="78A22F"/>
              <w:right w:val="nil"/>
            </w:tcBorders>
            <w:shd w:val="clear" w:color="auto" w:fill="auto"/>
          </w:tcPr>
          <w:p w14:paraId="7954A32B" w14:textId="77777777" w:rsidR="00F05DC7" w:rsidRDefault="00F05DC7" w:rsidP="00A3786D">
            <w:pPr>
              <w:pStyle w:val="Figurespace"/>
              <w:keepNext w:val="0"/>
              <w:spacing w:before="40" w:line="80" w:lineRule="exact"/>
            </w:pPr>
          </w:p>
        </w:tc>
      </w:tr>
      <w:tr w:rsidR="00F05DC7" w:rsidRPr="000863A5" w14:paraId="7954A32E" w14:textId="77777777" w:rsidTr="00A3786D">
        <w:tc>
          <w:tcPr>
            <w:tcW w:w="5000" w:type="pct"/>
            <w:tcBorders>
              <w:top w:val="single" w:sz="6" w:space="0" w:color="78A22F"/>
              <w:left w:val="nil"/>
              <w:bottom w:val="nil"/>
              <w:right w:val="nil"/>
            </w:tcBorders>
          </w:tcPr>
          <w:p w14:paraId="7954A32D" w14:textId="77777777" w:rsidR="00F05DC7" w:rsidRPr="00626D32" w:rsidRDefault="00F05DC7" w:rsidP="00A3786D">
            <w:pPr>
              <w:pStyle w:val="BoxSpaceBelow"/>
              <w:spacing w:before="40" w:after="0"/>
            </w:pPr>
          </w:p>
        </w:tc>
      </w:tr>
    </w:tbl>
    <w:bookmarkEnd w:id="86"/>
    <w:p w14:paraId="7954A32F" w14:textId="77777777" w:rsidR="00F05DC7" w:rsidRDefault="00F05DC7" w:rsidP="00A3786D">
      <w:pPr>
        <w:pStyle w:val="BodyText"/>
      </w:pPr>
      <w:r>
        <w:t>Such ambiguity regarding accountability for States’ budget circumstances will persist under other approaches to addressing VFI. However, the relative complexity of Australia’s HFE system likely exacerbates this. Along these lines, the Business Council of Australia argued:</w:t>
      </w:r>
    </w:p>
    <w:p w14:paraId="7954A330" w14:textId="77777777" w:rsidR="00F05DC7" w:rsidRDefault="00F05DC7" w:rsidP="00A3786D">
      <w:pPr>
        <w:pStyle w:val="Quote"/>
      </w:pPr>
      <w:r>
        <w:t>Perhaps the biggest concern with complexity is it acting as a barrier to accountability – very few citizens or the journalists that inform them will be able to understand if a state is receiving a fair share of the GST, or hold the CGC to account for the judgements they must make. (sub. 47, p. 6)</w:t>
      </w:r>
    </w:p>
    <w:p w14:paraId="7954A331" w14:textId="49D75874" w:rsidR="00F05DC7" w:rsidRDefault="00F05DC7" w:rsidP="00A3786D">
      <w:pPr>
        <w:pStyle w:val="BodyText"/>
      </w:pPr>
      <w:r>
        <w:t>Concerns around VFI have become more elevated in the context of the recent slowdown in the growth of the GST pool,</w:t>
      </w:r>
      <w:r w:rsidRPr="007C6BD6">
        <w:t xml:space="preserve"> </w:t>
      </w:r>
      <w:r>
        <w:t>driven by the shift in consumption patterns towards products and services exempt from the GST (Daley et al. 2015, pp. 5–6; PBO 2014, pp. 38–40). Indeed, since the global financial crisis, GST payments have not been the steady, growing source of revenue first envisaged (chapter 2) — especially for Western Australia. The latter phenomenon, however, is largely a product of equalisation itself — driven by Western Australia’s unprecedented increase in revenue</w:t>
      </w:r>
      <w:r>
        <w:noBreakHyphen/>
        <w:t xml:space="preserve">raising capacity due to the mining construction boom — rather than a lack of contemporaneity in how HFE is enacted. </w:t>
      </w:r>
      <w:r w:rsidRPr="00C90AD5">
        <w:t xml:space="preserve">As such, there are likely to be benefits from improved communication and understanding </w:t>
      </w:r>
      <w:r w:rsidRPr="00C90AD5">
        <w:lastRenderedPageBreak/>
        <w:t>of</w:t>
      </w:r>
      <w:r>
        <w:t> </w:t>
      </w:r>
      <w:r w:rsidRPr="00C90AD5">
        <w:t>Australia’s HFE system and its objectives</w:t>
      </w:r>
      <w:r>
        <w:t>,</w:t>
      </w:r>
      <w:r w:rsidRPr="00C90AD5">
        <w:t xml:space="preserve"> and from longer</w:t>
      </w:r>
      <w:r>
        <w:noBreakHyphen/>
      </w:r>
      <w:r w:rsidRPr="00C90AD5">
        <w:t xml:space="preserve">term reform of </w:t>
      </w:r>
      <w:r>
        <w:t>federal</w:t>
      </w:r>
      <w:r w:rsidRPr="00C90AD5">
        <w:t xml:space="preserve"> financial relations to address elevated VFI and a clearer delineation of the roles and responsibilities of all levels of government</w:t>
      </w:r>
      <w:r>
        <w:t xml:space="preserve"> </w:t>
      </w:r>
      <w:r w:rsidRPr="00C90AD5">
        <w:t xml:space="preserve">(chapter 9). </w:t>
      </w:r>
    </w:p>
    <w:p w14:paraId="7954A332" w14:textId="77777777" w:rsidR="00F05DC7" w:rsidRDefault="00F05DC7" w:rsidP="00A3786D">
      <w:pPr>
        <w:pStyle w:val="BodyText"/>
      </w:pPr>
      <w:r>
        <w:t>But even with reform to federal financial relations being a longer</w:t>
      </w:r>
      <w:r>
        <w:noBreakHyphen/>
        <w:t>term prospect, there is little evidence of a need for a significant shift in the way the CGC deals with issues related to contemporaneity. While</w:t>
      </w:r>
      <w:r w:rsidRPr="00C90AD5">
        <w:t xml:space="preserve"> it is possible that the combination of the three</w:t>
      </w:r>
      <w:r>
        <w:noBreakHyphen/>
      </w:r>
      <w:r w:rsidRPr="00C90AD5">
        <w:t>year assessment period and the</w:t>
      </w:r>
      <w:r>
        <w:t xml:space="preserve"> </w:t>
      </w:r>
      <w:r w:rsidRPr="00C90AD5">
        <w:t>two</w:t>
      </w:r>
      <w:r>
        <w:noBreakHyphen/>
      </w:r>
      <w:r w:rsidRPr="00C90AD5">
        <w:t>year lag may exacerbate the fiscal impacts when one or two States experience localised economic shocks</w:t>
      </w:r>
      <w:r>
        <w:t>, any change to contemporaneity must be weighed against the potential for greater volatility. The CGC’s examination of this issue</w:t>
      </w:r>
      <w:r w:rsidRPr="00C90AD5">
        <w:t xml:space="preserve"> </w:t>
      </w:r>
      <w:r>
        <w:t>in</w:t>
      </w:r>
      <w:r w:rsidRPr="00C90AD5">
        <w:t xml:space="preserve"> the 2020 Methodology Review</w:t>
      </w:r>
      <w:r>
        <w:t xml:space="preserve"> indicates that the existing mechanisms for changes to the assessment period are sufficient</w:t>
      </w:r>
      <w:r w:rsidRPr="00C90AD5">
        <w:t>.</w:t>
      </w:r>
      <w:r>
        <w:t xml:space="preserve"> </w:t>
      </w:r>
    </w:p>
    <w:p w14:paraId="7954A333" w14:textId="77777777" w:rsidR="00F05DC7" w:rsidRDefault="00F05DC7" w:rsidP="00A3786D">
      <w:pPr>
        <w:pStyle w:val="BodyText"/>
      </w:pPr>
      <w:r>
        <w:t xml:space="preserve">Regardless of the length of the assessment period, </w:t>
      </w:r>
      <w:r w:rsidRPr="00C90AD5">
        <w:t xml:space="preserve">movements in GST payments are </w:t>
      </w:r>
      <w:r>
        <w:t xml:space="preserve">(for the most part) </w:t>
      </w:r>
      <w:r w:rsidRPr="00C90AD5">
        <w:t>relatively foreseeable</w:t>
      </w:r>
      <w:r>
        <w:t>,</w:t>
      </w:r>
      <w:r w:rsidRPr="00C90AD5">
        <w:t xml:space="preserve"> and States have a range of budget management processes at their disposal with which to accommodate those movements. </w:t>
      </w:r>
      <w:r>
        <w:t>Indeed, the most appropriate response to a lack of contemporaneity lies with the States themselves, and with the necessity for State Treasuries to factor the assessment period and GST lag into their budget management processes.</w:t>
      </w:r>
    </w:p>
    <w:p w14:paraId="7954A334" w14:textId="4E3EF77A" w:rsidR="00F05DC7" w:rsidRDefault="00F05DC7" w:rsidP="00A3786D">
      <w:pPr>
        <w:pStyle w:val="BodyText"/>
      </w:pPr>
      <w:r>
        <w:t>More importantly,</w:t>
      </w:r>
      <w:r w:rsidRPr="00BE704C">
        <w:t xml:space="preserve"> </w:t>
      </w:r>
      <w:r>
        <w:t xml:space="preserve">there is evidence that </w:t>
      </w:r>
      <w:r w:rsidRPr="00BE704C">
        <w:t xml:space="preserve">HFE </w:t>
      </w:r>
      <w:r>
        <w:t xml:space="preserve">can impose a substantial disincentive for some </w:t>
      </w:r>
      <w:r w:rsidRPr="00BE704C">
        <w:t xml:space="preserve">States </w:t>
      </w:r>
      <w:r>
        <w:t>to undertake major tax reform (chapter 3). T</w:t>
      </w:r>
      <w:r w:rsidRPr="00BE704C">
        <w:t>ax</w:t>
      </w:r>
      <w:r>
        <w:t>ation</w:t>
      </w:r>
      <w:r w:rsidRPr="00BE704C">
        <w:t xml:space="preserve"> is one of the key budget levers by which States can i</w:t>
      </w:r>
      <w:r>
        <w:t xml:space="preserve">mprove their fiscal capacities and budget positions, given that some expenditure needs (particularly those that are driven by structural disadvantages) are often outside of States’ control, except in the long term. </w:t>
      </w:r>
      <w:r w:rsidRPr="00BE704C">
        <w:t>As such, there is a possibility that the current HFE system could indeed affect the overall incentives for good budget management. Moreover, some of the options for revenue reform analysed in chapter</w:t>
      </w:r>
      <w:r>
        <w:t> </w:t>
      </w:r>
      <w:r w:rsidRPr="00BE704C">
        <w:t>3 — such as replacing stamp duties with a broad</w:t>
      </w:r>
      <w:r w:rsidRPr="00BE704C">
        <w:noBreakHyphen/>
        <w:t>based land tax — could</w:t>
      </w:r>
      <w:r>
        <w:t xml:space="preserve"> provide States with less volatile revenue sources,</w:t>
      </w:r>
      <w:r w:rsidRPr="00BE704C">
        <w:t xml:space="preserve"> </w:t>
      </w:r>
      <w:r>
        <w:t xml:space="preserve">thereby </w:t>
      </w:r>
      <w:r w:rsidRPr="00BE704C">
        <w:t>offer</w:t>
      </w:r>
      <w:r>
        <w:t>ing</w:t>
      </w:r>
      <w:r w:rsidRPr="00BE704C">
        <w:t xml:space="preserve"> greater stability and predictability </w:t>
      </w:r>
      <w:r>
        <w:t xml:space="preserve">to State budgets </w:t>
      </w:r>
      <w:r w:rsidR="009D6331" w:rsidRPr="009D6331">
        <w:rPr>
          <w:szCs w:val="24"/>
        </w:rPr>
        <w:t>(Henry et al. 2010b, pp. 253–256)</w:t>
      </w:r>
      <w:r w:rsidRPr="00BE704C">
        <w:t>.</w:t>
      </w:r>
    </w:p>
    <w:p w14:paraId="7954A335" w14:textId="77777777" w:rsidR="00F05DC7" w:rsidRPr="004E3B94" w:rsidRDefault="00F05DC7" w:rsidP="00A3786D">
      <w:pPr>
        <w:pStyle w:val="BoxSpaceAboveElement"/>
        <w:keepLines/>
        <w:spacing w:before="36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338"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336" w14:textId="6CB674D8" w:rsidR="00F05DC7" w:rsidRDefault="00F05DC7" w:rsidP="00A3786D">
            <w:pPr>
              <w:pStyle w:val="FindingTitle"/>
              <w:spacing w:before="120"/>
              <w:rPr>
                <w:noProof/>
              </w:rPr>
            </w:pPr>
            <w:r>
              <w:t>Finding 4.2</w:t>
            </w:r>
          </w:p>
          <w:p w14:paraId="7954A337" w14:textId="77777777" w:rsidR="00F05DC7" w:rsidRPr="00CE4C64" w:rsidRDefault="00F05DC7" w:rsidP="00A3786D">
            <w:pPr>
              <w:pStyle w:val="Finding"/>
              <w:keepNext/>
            </w:pPr>
            <w:r>
              <w:t>Volatile State revenues can contribute to uncertainty in budgeting processes. Compared with other sources of State Government revenue, GST payments are relatively stable and in some cases may offset volatility from other revenue sources.</w:t>
            </w:r>
          </w:p>
        </w:tc>
      </w:tr>
      <w:tr w:rsidR="00F05DC7" w14:paraId="7954A33A"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339" w14:textId="77777777" w:rsidR="00F05DC7" w:rsidRDefault="00F05DC7" w:rsidP="00A3786D">
            <w:pPr>
              <w:pStyle w:val="Space"/>
              <w:keepLines/>
            </w:pPr>
          </w:p>
        </w:tc>
      </w:tr>
    </w:tbl>
    <w:p w14:paraId="7954A33B" w14:textId="77777777" w:rsidR="00F05DC7" w:rsidRPr="00C90AD5" w:rsidRDefault="00F05DC7" w:rsidP="00A3786D">
      <w:pPr>
        <w:pStyle w:val="BodyText"/>
      </w:pPr>
    </w:p>
    <w:p w14:paraId="7954A33C" w14:textId="77777777" w:rsidR="00F05DC7" w:rsidRDefault="00F05DC7" w:rsidP="00F05DC7">
      <w:pPr>
        <w:sectPr w:rsidR="00F05DC7" w:rsidSect="00F05DC7">
          <w:headerReference w:type="even" r:id="rId115"/>
          <w:headerReference w:type="default" r:id="rId116"/>
          <w:footerReference w:type="even" r:id="rId117"/>
          <w:footerReference w:type="default" r:id="rId118"/>
          <w:type w:val="oddPage"/>
          <w:pgSz w:w="11907" w:h="16840" w:code="9"/>
          <w:pgMar w:top="1985" w:right="1304" w:bottom="1247" w:left="1814" w:header="1701" w:footer="397" w:gutter="0"/>
          <w:pgNumType w:chapSep="period"/>
          <w:cols w:space="720"/>
          <w:docGrid w:linePitch="326"/>
        </w:sectPr>
      </w:pPr>
    </w:p>
    <w:p w14:paraId="7954A33D" w14:textId="77777777" w:rsidR="00F05DC7" w:rsidRDefault="00F05DC7" w:rsidP="009A7248">
      <w:pPr>
        <w:pStyle w:val="Heading1"/>
      </w:pPr>
      <w:bookmarkStart w:id="88" w:name="_Toc513637716"/>
      <w:r>
        <w:lastRenderedPageBreak/>
        <w:t>5</w:t>
      </w:r>
      <w:r>
        <w:tab/>
        <w:t>Does HFE influence interstate migration?</w:t>
      </w:r>
      <w:bookmarkEnd w:id="88"/>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3F" w14:textId="77777777" w:rsidTr="001113B1">
        <w:trPr>
          <w:tblHeader/>
        </w:trPr>
        <w:tc>
          <w:tcPr>
            <w:tcW w:w="5000" w:type="pct"/>
            <w:tcBorders>
              <w:top w:val="single" w:sz="6" w:space="0" w:color="78A22F"/>
              <w:left w:val="nil"/>
              <w:bottom w:val="nil"/>
              <w:right w:val="nil"/>
            </w:tcBorders>
            <w:shd w:val="clear" w:color="auto" w:fill="F2F2F2"/>
          </w:tcPr>
          <w:p w14:paraId="7954A33E" w14:textId="77777777" w:rsidR="00F05DC7" w:rsidRPr="00460F2D" w:rsidRDefault="00F05DC7" w:rsidP="00A3786D">
            <w:pPr>
              <w:pStyle w:val="BoxTitle"/>
            </w:pPr>
            <w:r w:rsidRPr="00460F2D">
              <w:t>Key points</w:t>
            </w:r>
          </w:p>
        </w:tc>
      </w:tr>
      <w:tr w:rsidR="00F05DC7" w14:paraId="7954A347" w14:textId="77777777" w:rsidTr="00A3786D">
        <w:tc>
          <w:tcPr>
            <w:tcW w:w="5000" w:type="pct"/>
            <w:tcBorders>
              <w:top w:val="nil"/>
              <w:left w:val="nil"/>
              <w:bottom w:val="nil"/>
              <w:right w:val="nil"/>
            </w:tcBorders>
            <w:shd w:val="clear" w:color="auto" w:fill="F2F2F2"/>
          </w:tcPr>
          <w:p w14:paraId="7954A340" w14:textId="77777777" w:rsidR="00F05DC7" w:rsidRDefault="00F05DC7" w:rsidP="00F05DC7">
            <w:pPr>
              <w:pStyle w:val="KeyPointsListBullet"/>
            </w:pPr>
            <w:r>
              <w:t>HFE in Australia has mainly been focused on providing fiscal equity. HFE’s influence on economic efficiency and productivity remains a secondary and subsidiary concern for the Commonwealth Grants Commission.</w:t>
            </w:r>
          </w:p>
          <w:p w14:paraId="7954A341" w14:textId="77777777" w:rsidR="00F05DC7" w:rsidRDefault="00F05DC7" w:rsidP="00F05DC7">
            <w:pPr>
              <w:pStyle w:val="KeyPointsListBullet"/>
            </w:pPr>
            <w:r>
              <w:t>The traditional focus of how HFE bears on efficiency has been its impact on the interstate movement of labour and capital. There are two schools of thought.</w:t>
            </w:r>
          </w:p>
          <w:p w14:paraId="7954A342" w14:textId="77777777" w:rsidR="00F05DC7" w:rsidRPr="00D324B3" w:rsidRDefault="00F05DC7" w:rsidP="00A3786D">
            <w:pPr>
              <w:pStyle w:val="KeyPointsListBullet2"/>
            </w:pPr>
            <w:r w:rsidRPr="00D324B3">
              <w:t>The most common is that fiscal equalisation can counteract distortions caused by movements of labour and capital that are fiscally induced (the ‘efficiency in migration’ theory).</w:t>
            </w:r>
          </w:p>
          <w:p w14:paraId="7954A343" w14:textId="77777777" w:rsidR="00F05DC7" w:rsidRPr="00D324B3" w:rsidRDefault="00F05DC7" w:rsidP="00A3786D">
            <w:pPr>
              <w:pStyle w:val="KeyPointsListBullet2"/>
            </w:pPr>
            <w:r w:rsidRPr="00D324B3">
              <w:t>An alternative is that HFE dulls economic signals for labour and capital to move to where they are most productive. That is, HFE can make it more attractive for labour and capital to remain in fiscally weaker States even though they are less productive and it is more costly to deliver government services.</w:t>
            </w:r>
          </w:p>
          <w:p w14:paraId="7954A344" w14:textId="77777777" w:rsidR="00F05DC7" w:rsidRPr="00452568" w:rsidRDefault="00F05DC7" w:rsidP="00F05DC7">
            <w:pPr>
              <w:pStyle w:val="KeyPointsListBullet"/>
              <w:rPr>
                <w:spacing w:val="-1"/>
              </w:rPr>
            </w:pPr>
            <w:r w:rsidRPr="00452568">
              <w:rPr>
                <w:spacing w:val="-1"/>
              </w:rPr>
              <w:t xml:space="preserve">Modelling results provide no clear evidence on whether HFE’s influence on migration enhances or reduces efficiency. Model outcomes are largely driven by assumptions of whether HFE is good or bad for efficiency, rather than having this determined by the model itself. </w:t>
            </w:r>
          </w:p>
          <w:p w14:paraId="7954A345" w14:textId="77777777" w:rsidR="00F05DC7" w:rsidRDefault="00F05DC7" w:rsidP="00F05DC7">
            <w:pPr>
              <w:pStyle w:val="KeyPointsListBullet"/>
            </w:pPr>
            <w:r>
              <w:t xml:space="preserve">Bearing these caveats in mind, the </w:t>
            </w:r>
            <w:r w:rsidRPr="002318A7">
              <w:t xml:space="preserve">modelling </w:t>
            </w:r>
            <w:r>
              <w:t>results available suggest</w:t>
            </w:r>
            <w:r w:rsidRPr="002318A7">
              <w:t xml:space="preserve"> that the size of HFE’s impact </w:t>
            </w:r>
            <w:r>
              <w:t xml:space="preserve">on interstate migration of labour is </w:t>
            </w:r>
            <w:r w:rsidRPr="002318A7">
              <w:t>small.</w:t>
            </w:r>
            <w:r>
              <w:t xml:space="preserve"> Other factors, such as differences in work opportunities between States, and family reasons, are a bigger driver of interstate migration.</w:t>
            </w:r>
          </w:p>
          <w:p w14:paraId="7954A346" w14:textId="77777777" w:rsidR="00F05DC7" w:rsidRDefault="00F05DC7" w:rsidP="00F05DC7">
            <w:pPr>
              <w:pStyle w:val="KeyPointsListBullet"/>
            </w:pPr>
            <w:r>
              <w:t xml:space="preserve">However, the current HFE redistribution task in Australia is historically high. To the extent there are (migration) efficiency effects at the margin, these would be more pronounced in the current environment. Similarly, fiscally </w:t>
            </w:r>
            <w:r w:rsidRPr="00151DF0">
              <w:t>induced movement</w:t>
            </w:r>
            <w:r>
              <w:t xml:space="preserve"> m</w:t>
            </w:r>
            <w:r w:rsidRPr="001F6755">
              <w:t>ay become apparent if State fiscal capacities were to diverge over a sustained period</w:t>
            </w:r>
            <w:r>
              <w:t>, although the gap in fiscal capacities would need to be substantial for it to have a material influence on migration decisions.</w:t>
            </w:r>
          </w:p>
        </w:tc>
      </w:tr>
      <w:tr w:rsidR="00F05DC7" w14:paraId="7954A349" w14:textId="77777777" w:rsidTr="00A3786D">
        <w:tc>
          <w:tcPr>
            <w:tcW w:w="5000" w:type="pct"/>
            <w:tcBorders>
              <w:top w:val="nil"/>
              <w:left w:val="nil"/>
              <w:bottom w:val="single" w:sz="6" w:space="0" w:color="78A22F"/>
              <w:right w:val="nil"/>
            </w:tcBorders>
            <w:shd w:val="clear" w:color="auto" w:fill="F2F2F2"/>
          </w:tcPr>
          <w:p w14:paraId="7954A348" w14:textId="77777777" w:rsidR="00F05DC7" w:rsidRDefault="00F05DC7" w:rsidP="00A3786D">
            <w:pPr>
              <w:pStyle w:val="Box"/>
              <w:spacing w:before="0" w:line="120" w:lineRule="exact"/>
            </w:pPr>
          </w:p>
        </w:tc>
      </w:tr>
      <w:tr w:rsidR="00F05DC7" w:rsidRPr="000863A5" w14:paraId="7954A34B" w14:textId="77777777" w:rsidTr="00A3786D">
        <w:tc>
          <w:tcPr>
            <w:tcW w:w="5000" w:type="pct"/>
            <w:tcBorders>
              <w:top w:val="single" w:sz="6" w:space="0" w:color="78A22F"/>
              <w:left w:val="nil"/>
              <w:bottom w:val="nil"/>
              <w:right w:val="nil"/>
            </w:tcBorders>
          </w:tcPr>
          <w:p w14:paraId="7954A34A" w14:textId="77777777" w:rsidR="00F05DC7" w:rsidRPr="00626D32" w:rsidRDefault="00F05DC7" w:rsidP="00A3786D">
            <w:pPr>
              <w:pStyle w:val="BoxSpaceBelow"/>
            </w:pPr>
          </w:p>
        </w:tc>
      </w:tr>
    </w:tbl>
    <w:p w14:paraId="7954A34C" w14:textId="77777777" w:rsidR="00F05DC7" w:rsidRDefault="00F05DC7" w:rsidP="00A3786D">
      <w:pPr>
        <w:pStyle w:val="BodyText"/>
      </w:pPr>
      <w:r>
        <w:t xml:space="preserve">This chapter considers the influence of Australia’s HFE system on the efficient movement of labour and capital across State borders. These location decisions have been the traditional focus of the efficiency effects of HFE on the economy. However, HFE can also influence other aspects of efficiency, such as the incentives for States to facilitate economic development and to undertake material tax reform (discussed in chapter 3). It can also affect State budget management (discussed in chapter 4). </w:t>
      </w:r>
    </w:p>
    <w:p w14:paraId="7954A34D" w14:textId="77777777" w:rsidR="00F05DC7" w:rsidRDefault="00F05DC7" w:rsidP="00A3786D">
      <w:pPr>
        <w:pStyle w:val="BodyText"/>
      </w:pPr>
      <w:r>
        <w:t xml:space="preserve">This chapter is set out as follows: section 5.1 discusses the theory for and against HFE, based on the efficient migration of labour and capital; section 5.2 summarises the modelling used </w:t>
      </w:r>
      <w:r>
        <w:lastRenderedPageBreak/>
        <w:t>to evaluate the efficiency effects of HFE; and section 5.3 looks at whether HFE has influenced interstate migration decisions in Australia.</w:t>
      </w:r>
    </w:p>
    <w:p w14:paraId="7954A34E" w14:textId="0531B244" w:rsidR="00F05DC7" w:rsidRDefault="00F05DC7" w:rsidP="00A3786D">
      <w:pPr>
        <w:pStyle w:val="Heading2"/>
      </w:pPr>
      <w:bookmarkStart w:id="89" w:name="_Toc513637717"/>
      <w:r>
        <w:t>5.</w:t>
      </w:r>
      <w:r>
        <w:rPr>
          <w:noProof/>
        </w:rPr>
        <w:t>1</w:t>
      </w:r>
      <w:r>
        <w:tab/>
      </w:r>
      <w:r w:rsidRPr="00E15F53">
        <w:t>HFE</w:t>
      </w:r>
      <w:r>
        <w:t xml:space="preserve"> and efficient migration: what the theory says</w:t>
      </w:r>
      <w:bookmarkEnd w:id="89"/>
    </w:p>
    <w:p w14:paraId="7954A34F" w14:textId="77777777" w:rsidR="00F05DC7" w:rsidRDefault="00F05DC7">
      <w:pPr>
        <w:pStyle w:val="BodyText"/>
      </w:pPr>
      <w:r>
        <w:t>Economists are divided on the effects of HFE on interstate migration and, in particular, whether it promotes or detracts from efficient migration outcomes. Efficient migration refers to the movement of labour and capital to areas where they are most valued and most productive. In a federation that functions well, a person may decide to move interstate to enjoy higher earnings, particularly if these earnings more than offset the costs of moving.</w:t>
      </w:r>
    </w:p>
    <w:p w14:paraId="7954A350" w14:textId="77777777" w:rsidR="00F05DC7" w:rsidRDefault="00F05DC7">
      <w:pPr>
        <w:pStyle w:val="BodyText"/>
      </w:pPr>
      <w:r>
        <w:t>However, a person may also decide to move if there are ‘net fiscal benefits’ from moving — such as getting better public services or paying lower taxes. For example, Queensland was able to attract a large influx of people from interstate when it</w:t>
      </w:r>
      <w:r w:rsidDel="007066B7">
        <w:t xml:space="preserve"> </w:t>
      </w:r>
      <w:r>
        <w:t>abolished death duties in the mid</w:t>
      </w:r>
      <w:r>
        <w:noBreakHyphen/>
        <w:t>1970s. A State with a strong fiscal capacity could offer these sorts of net fiscal benefits to its residents, which may attract labour and capital from fiscally weaker States. This would distort migration decisions as</w:t>
      </w:r>
      <w:r w:rsidRPr="00094BCB">
        <w:t xml:space="preserve"> </w:t>
      </w:r>
      <w:r>
        <w:t>labour and capital</w:t>
      </w:r>
      <w:r w:rsidRPr="00094BCB">
        <w:t xml:space="preserve"> </w:t>
      </w:r>
      <w:r>
        <w:t>may no longer move to areas where they are most productive.</w:t>
      </w:r>
    </w:p>
    <w:p w14:paraId="7954A351" w14:textId="21CA7F43" w:rsidR="00F05DC7" w:rsidRDefault="00F05DC7">
      <w:pPr>
        <w:pStyle w:val="BodyText"/>
      </w:pPr>
      <w:r w:rsidRPr="001663B8">
        <w:rPr>
          <w:i/>
        </w:rPr>
        <w:t>Proponents</w:t>
      </w:r>
      <w:r>
        <w:t xml:space="preserve"> of HFE say that equalisation removes incentives for fiscal migration and so facilitates the efficient movement of labour and capital over the long term. This ‘efficiency in migration’ theory was first credited to Buchanan </w:t>
      </w:r>
      <w:r w:rsidRPr="003E3B04">
        <w:t>(1950, 1952)</w:t>
      </w:r>
      <w:r>
        <w:t xml:space="preserve"> and expanded upon and formalised by others.</w:t>
      </w:r>
      <w:r w:rsidRPr="00282527">
        <w:rPr>
          <w:rStyle w:val="FootnoteReference"/>
        </w:rPr>
        <w:footnoteReference w:id="9"/>
      </w:r>
      <w:r>
        <w:t xml:space="preserve"> Boadway and Flatters </w:t>
      </w:r>
      <w:r w:rsidRPr="000D3BCC">
        <w:t>(1982)</w:t>
      </w:r>
      <w:r>
        <w:t xml:space="preserve"> developed a framework to show that an ‘optimal’ fiscal transfer can correct for these distortions in migration decisions by fully </w:t>
      </w:r>
      <w:r w:rsidRPr="00ED4522">
        <w:t>equalising net fiscal benefits between States. Following equalisation, each State would have the capacity to provide similar levels of services to their residents</w:t>
      </w:r>
      <w:r w:rsidRPr="00C8024D">
        <w:t>. Such equalisation would therefore al</w:t>
      </w:r>
      <w:r w:rsidRPr="002D2DB6">
        <w:t>so satisfy Buchanan’s ‘equal treatment of equals’ objective (</w:t>
      </w:r>
      <w:r w:rsidRPr="004C1A50">
        <w:t>chapter</w:t>
      </w:r>
      <w:r w:rsidRPr="00927617">
        <w:t> </w:t>
      </w:r>
      <w:r w:rsidRPr="00C8024D">
        <w:t>1).</w:t>
      </w:r>
    </w:p>
    <w:p w14:paraId="7954A352" w14:textId="37F19982" w:rsidR="00F05DC7" w:rsidRDefault="00F05DC7" w:rsidP="00A3786D">
      <w:pPr>
        <w:pStyle w:val="BodyText"/>
      </w:pPr>
      <w:r>
        <w:rPr>
          <w:i/>
        </w:rPr>
        <w:t>Opponents</w:t>
      </w:r>
      <w:r>
        <w:t xml:space="preserve"> of HFE, on the other hand, point to it adding to existing distortions and further discouraging people and capital from moving to more productive areas. According to this view, the services that are funded by HFE in fiscally weaker jurisdictions can reduce incentives for labour and capital to move to where they are more productive. For example, Courchene </w:t>
      </w:r>
      <w:r w:rsidRPr="0027499A">
        <w:t>(1984)</w:t>
      </w:r>
      <w:r>
        <w:t xml:space="preserve"> </w:t>
      </w:r>
      <w:r w:rsidRPr="009A7231">
        <w:t>argued that equalis</w:t>
      </w:r>
      <w:r>
        <w:t>ing</w:t>
      </w:r>
      <w:r w:rsidRPr="009A7231">
        <w:t xml:space="preserve"> transfers in Canada reduced the levels of out</w:t>
      </w:r>
      <w:r>
        <w:noBreakHyphen/>
      </w:r>
      <w:r w:rsidRPr="009A7231">
        <w:t>migration from the Atlantic Provinces below wh</w:t>
      </w:r>
      <w:r>
        <w:t>at was optimal for the country. Garnaut and Fitzgerald also concluded that HFE ‘has a tendency to shift more resources to regions where long</w:t>
      </w:r>
      <w:r>
        <w:noBreakHyphen/>
        <w:t xml:space="preserve">term growth potential is lower’ </w:t>
      </w:r>
      <w:r w:rsidR="009D6331" w:rsidRPr="009D6331">
        <w:rPr>
          <w:szCs w:val="24"/>
        </w:rPr>
        <w:t>(2002b, p. 153)</w:t>
      </w:r>
      <w:r>
        <w:t>.</w:t>
      </w:r>
    </w:p>
    <w:p w14:paraId="7954A353" w14:textId="6128CFC0" w:rsidR="00F05DC7" w:rsidRDefault="00F05DC7">
      <w:pPr>
        <w:pStyle w:val="BodyText"/>
      </w:pPr>
      <w:r>
        <w:t>Building on this, it is also argued that HFE could widen disparities between States. As noted by the OECD </w:t>
      </w:r>
      <w:r w:rsidRPr="00B765A1">
        <w:rPr>
          <w:szCs w:val="24"/>
        </w:rPr>
        <w:t>(2013, p. 111)</w:t>
      </w:r>
      <w:r>
        <w:t xml:space="preserve">, </w:t>
      </w:r>
      <w:r w:rsidRPr="00837D9E">
        <w:rPr>
          <w:rStyle w:val="BodyTextChar"/>
        </w:rPr>
        <w:t>‘equalisation may in fact be self</w:t>
      </w:r>
      <w:r w:rsidRPr="00837D9E">
        <w:rPr>
          <w:rStyle w:val="BodyTextChar"/>
        </w:rPr>
        <w:noBreakHyphen/>
        <w:t>defeating in that it slows down regional convergence’</w:t>
      </w:r>
      <w:r>
        <w:t xml:space="preserve">. </w:t>
      </w:r>
      <w:r w:rsidRPr="00C87DBF">
        <w:t xml:space="preserve">In other words, in the absence of fiscal transfers, fiscally weaker jurisdictions would be forced to become more competitive, and would eventually overcome </w:t>
      </w:r>
      <w:r w:rsidRPr="00C87DBF">
        <w:lastRenderedPageBreak/>
        <w:t xml:space="preserve">their fiscal </w:t>
      </w:r>
      <w:r>
        <w:t>disadvantages</w:t>
      </w:r>
      <w:r w:rsidRPr="00C87DBF">
        <w:t>. McKinnon</w:t>
      </w:r>
      <w:r>
        <w:t> </w:t>
      </w:r>
      <w:r w:rsidRPr="003D7683">
        <w:rPr>
          <w:szCs w:val="24"/>
        </w:rPr>
        <w:t>(1997, p. 85)</w:t>
      </w:r>
      <w:r w:rsidRPr="00C87DBF">
        <w:t xml:space="preserve"> argue</w:t>
      </w:r>
      <w:r>
        <w:t>d</w:t>
      </w:r>
      <w:r w:rsidRPr="00C87DBF">
        <w:t xml:space="preserve"> that the economic development of the southern </w:t>
      </w:r>
      <w:r w:rsidRPr="00293732">
        <w:t xml:space="preserve">American </w:t>
      </w:r>
      <w:r>
        <w:t>S</w:t>
      </w:r>
      <w:r w:rsidRPr="00C87DBF">
        <w:t>tates</w:t>
      </w:r>
      <w:r w:rsidRPr="00293732">
        <w:t xml:space="preserve"> in the </w:t>
      </w:r>
      <w:r>
        <w:t>second</w:t>
      </w:r>
      <w:r w:rsidRPr="00293732">
        <w:t xml:space="preserve"> half of the </w:t>
      </w:r>
      <w:r>
        <w:t>twentieth</w:t>
      </w:r>
      <w:r w:rsidRPr="00293732">
        <w:t xml:space="preserve"> century</w:t>
      </w:r>
      <w:r w:rsidRPr="00C87DBF">
        <w:t xml:space="preserve"> resulted from low wages and </w:t>
      </w:r>
      <w:r>
        <w:t>more flexible labour markets</w:t>
      </w:r>
      <w:r w:rsidRPr="00C87DBF">
        <w:t>.</w:t>
      </w:r>
      <w:r>
        <w:t xml:space="preserve"> These conditions</w:t>
      </w:r>
      <w:r w:rsidRPr="00B06EAB">
        <w:t xml:space="preserve"> </w:t>
      </w:r>
      <w:r>
        <w:t>encouraged investment and labour migration</w:t>
      </w:r>
      <w:r w:rsidRPr="00B06EAB">
        <w:t xml:space="preserve"> and</w:t>
      </w:r>
      <w:r>
        <w:t xml:space="preserve"> brought with it new </w:t>
      </w:r>
      <w:r w:rsidRPr="00B06EAB">
        <w:t xml:space="preserve">prosperity. From this perspective, </w:t>
      </w:r>
      <w:r>
        <w:t>HFE</w:t>
      </w:r>
      <w:r w:rsidRPr="00B06EAB">
        <w:t xml:space="preserve"> may hold back the </w:t>
      </w:r>
      <w:r>
        <w:t>economic growth of fiscally weaker jurisdictions</w:t>
      </w:r>
      <w:r w:rsidRPr="0052292B">
        <w:t>.</w:t>
      </w:r>
      <w:r>
        <w:t xml:space="preserve"> A number of other factors can also bear on what is considered ‘efficient’ (box 5.1). </w:t>
      </w:r>
    </w:p>
    <w:p w14:paraId="7954A354"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56" w14:textId="77777777" w:rsidTr="001113B1">
        <w:trPr>
          <w:tblHeader/>
        </w:trPr>
        <w:tc>
          <w:tcPr>
            <w:tcW w:w="5000" w:type="pct"/>
            <w:tcBorders>
              <w:top w:val="single" w:sz="6" w:space="0" w:color="78A22F"/>
              <w:left w:val="nil"/>
              <w:bottom w:val="nil"/>
              <w:right w:val="nil"/>
            </w:tcBorders>
            <w:shd w:val="clear" w:color="auto" w:fill="F2F2F2"/>
          </w:tcPr>
          <w:p w14:paraId="7954A355" w14:textId="4F6C50B3" w:rsidR="00F05DC7" w:rsidRDefault="00F05DC7" w:rsidP="00A3786D">
            <w:pPr>
              <w:pStyle w:val="BoxTitle"/>
            </w:pPr>
            <w:r>
              <w:rPr>
                <w:b w:val="0"/>
              </w:rPr>
              <w:t>Box 5.</w:t>
            </w:r>
            <w:r>
              <w:rPr>
                <w:b w:val="0"/>
                <w:noProof/>
              </w:rPr>
              <w:t>1</w:t>
            </w:r>
            <w:r>
              <w:tab/>
              <w:t>Other efficiency considerations for equalisation</w:t>
            </w:r>
          </w:p>
        </w:tc>
      </w:tr>
      <w:tr w:rsidR="00F05DC7" w14:paraId="7954A361" w14:textId="77777777" w:rsidTr="00A3786D">
        <w:tc>
          <w:tcPr>
            <w:tcW w:w="5000" w:type="pct"/>
            <w:tcBorders>
              <w:top w:val="nil"/>
              <w:left w:val="nil"/>
              <w:bottom w:val="nil"/>
              <w:right w:val="nil"/>
            </w:tcBorders>
            <w:shd w:val="clear" w:color="auto" w:fill="F2F2F2"/>
          </w:tcPr>
          <w:p w14:paraId="7954A357" w14:textId="77777777" w:rsidR="00F05DC7" w:rsidRDefault="00F05DC7" w:rsidP="00A3786D">
            <w:pPr>
              <w:pStyle w:val="BoxHeading1"/>
            </w:pPr>
            <w:r>
              <w:t>Externalities — agglomeration and congestion</w:t>
            </w:r>
          </w:p>
          <w:p w14:paraId="7954A358" w14:textId="2151AE4C" w:rsidR="00F05DC7" w:rsidRDefault="00F05DC7" w:rsidP="00A3786D">
            <w:pPr>
              <w:pStyle w:val="Box"/>
            </w:pPr>
            <w:r>
              <w:t xml:space="preserve">The effects of having more concentrated labour and capital markets can bring with it positive externalities, known as agglomeration (or ‘clustering’) effects. Agglomeration can provide economies of scale benefits through entrepreneurship, product diversity and better job matching </w:t>
            </w:r>
            <w:r w:rsidRPr="00225F6E">
              <w:rPr>
                <w:szCs w:val="24"/>
              </w:rPr>
              <w:t>(Krugman 1993; Romer </w:t>
            </w:r>
            <w:r w:rsidRPr="00937B15">
              <w:rPr>
                <w:szCs w:val="24"/>
              </w:rPr>
              <w:t>1986)</w:t>
            </w:r>
            <w:r>
              <w:t xml:space="preserve">. The flipside to this is the negative diseconomies of scale costs brought about by congestion. Both effects can influence the efficient settlement pattern within a country </w:t>
            </w:r>
            <w:r w:rsidRPr="008B1CDF">
              <w:rPr>
                <w:szCs w:val="24"/>
              </w:rPr>
              <w:t>(Boadway and Shah 2009, p. 53)</w:t>
            </w:r>
            <w:r>
              <w:t>. If these externalities are present and not accounted for in the equalisation process then HFE may in fact distort efficient labour and capital movements.</w:t>
            </w:r>
          </w:p>
          <w:p w14:paraId="7954A359" w14:textId="77777777" w:rsidR="00F05DC7" w:rsidRDefault="00F05DC7" w:rsidP="00A3786D">
            <w:pPr>
              <w:pStyle w:val="BoxHeading1"/>
            </w:pPr>
            <w:r>
              <w:t>Efficiency over time</w:t>
            </w:r>
          </w:p>
          <w:p w14:paraId="7954A35A" w14:textId="77777777" w:rsidR="00F05DC7" w:rsidRPr="00221AB2" w:rsidRDefault="00F05DC7" w:rsidP="00CD0961">
            <w:pPr>
              <w:pStyle w:val="BoxHeading2"/>
              <w:spacing w:before="100"/>
            </w:pPr>
            <w:r>
              <w:t>Economic development</w:t>
            </w:r>
          </w:p>
          <w:p w14:paraId="7954A35B" w14:textId="011FFD97" w:rsidR="00F05DC7" w:rsidRPr="008F5A96" w:rsidRDefault="00F05DC7" w:rsidP="00A3786D">
            <w:pPr>
              <w:pStyle w:val="Box"/>
            </w:pPr>
            <w:r>
              <w:t xml:space="preserve">A common criticism is that HFE can constrain efficiency over time — hampering a State’s longer term growth potential. This could occur if HFE reduces incentives for a State to pursue policies that favour economic development, thereby curbing labour and capital flows to the State </w:t>
            </w:r>
            <w:r w:rsidR="009D6331" w:rsidRPr="009D6331">
              <w:rPr>
                <w:rFonts w:cs="Arial"/>
                <w:szCs w:val="24"/>
              </w:rPr>
              <w:t>(Garnaut and FitzGerald 2002b, p. 134; Weingast 2009, p. 283)</w:t>
            </w:r>
            <w:r>
              <w:t>.</w:t>
            </w:r>
          </w:p>
          <w:p w14:paraId="7954A35C" w14:textId="21FD0409" w:rsidR="00F05DC7" w:rsidRDefault="00F05DC7" w:rsidP="00A3786D">
            <w:pPr>
              <w:pStyle w:val="Box"/>
            </w:pPr>
            <w:r>
              <w:t>HFE’s potential influence on efficiency over time has only recently been considered formally in the literature. Chan and Petchey </w:t>
            </w:r>
            <w:r w:rsidRPr="00341F66">
              <w:t>(2016, 2017)</w:t>
            </w:r>
            <w:r>
              <w:t xml:space="preserve"> suggested that, in theory, redistributions caused by HFE may provide a disincentive for States to develop. They demonstrated that HFE may reduce a State’s incentive to save, which would lower its capital spending and output over time. This would lead to lower economic growth for a country when compared to a scenario without HFE </w:t>
            </w:r>
            <w:r w:rsidRPr="00E52874">
              <w:rPr>
                <w:szCs w:val="24"/>
              </w:rPr>
              <w:t>(Chan and Petchey </w:t>
            </w:r>
            <w:r w:rsidRPr="0092699B">
              <w:rPr>
                <w:szCs w:val="24"/>
              </w:rPr>
              <w:t>2017)</w:t>
            </w:r>
            <w:r>
              <w:t>.</w:t>
            </w:r>
            <w:r w:rsidRPr="00DF0CAD">
              <w:t xml:space="preserve"> </w:t>
            </w:r>
            <w:r>
              <w:t>However, as the authors noted, these efficiency costs would need to be weighed up against the possible efficiency benefits suggested in the efficiency in migration literature, as well as equity and other concerns.</w:t>
            </w:r>
          </w:p>
          <w:p w14:paraId="7954A35D" w14:textId="77777777" w:rsidR="00F05DC7" w:rsidRDefault="00F05DC7" w:rsidP="00A3786D">
            <w:pPr>
              <w:pStyle w:val="Box"/>
            </w:pPr>
            <w:r>
              <w:t>HFE’s influence on State policy choices, including economic development and tax reform, is discussed further in chapter 3.</w:t>
            </w:r>
          </w:p>
          <w:p w14:paraId="7954A35E" w14:textId="77777777" w:rsidR="00F05DC7" w:rsidRPr="001961AC" w:rsidRDefault="00F05DC7" w:rsidP="00A3786D">
            <w:pPr>
              <w:pStyle w:val="BoxHeading2"/>
            </w:pPr>
            <w:r w:rsidRPr="001961AC">
              <w:t>Human capital development</w:t>
            </w:r>
          </w:p>
          <w:p w14:paraId="7954A35F" w14:textId="7E847885" w:rsidR="00F05DC7" w:rsidRDefault="00F05DC7" w:rsidP="00A3786D">
            <w:pPr>
              <w:pStyle w:val="Box"/>
            </w:pPr>
            <w:r w:rsidRPr="00341F66">
              <w:t>A contrasting view is that HFE</w:t>
            </w:r>
            <w:r>
              <w:t xml:space="preserve"> could promote productivity by enhancing human capital. According to the Commonwealth Treasury submission to the </w:t>
            </w:r>
            <w:r w:rsidRPr="00447902">
              <w:rPr>
                <w:i/>
              </w:rPr>
              <w:t xml:space="preserve">GST Distribution </w:t>
            </w:r>
            <w:r>
              <w:rPr>
                <w:i/>
              </w:rPr>
              <w:t>R</w:t>
            </w:r>
            <w:r w:rsidRPr="00447902">
              <w:rPr>
                <w:i/>
              </w:rPr>
              <w:t>eview</w:t>
            </w:r>
            <w:r>
              <w:t xml:space="preserve">, HFE could contribute to efficiency by boosting investment in health and education services in </w:t>
            </w:r>
            <w:r w:rsidRPr="001C47C3">
              <w:t>fiscally weaker</w:t>
            </w:r>
            <w:r>
              <w:t xml:space="preserve"> States </w:t>
            </w:r>
            <w:r w:rsidRPr="00C042C7">
              <w:rPr>
                <w:rFonts w:cs="Arial"/>
                <w:szCs w:val="24"/>
              </w:rPr>
              <w:t>(</w:t>
            </w:r>
            <w:r w:rsidR="004530D7">
              <w:rPr>
                <w:szCs w:val="24"/>
              </w:rPr>
              <w:t>Commonwealth of Australia</w:t>
            </w:r>
            <w:r w:rsidRPr="00C042C7">
              <w:rPr>
                <w:rFonts w:cs="Arial"/>
                <w:szCs w:val="24"/>
              </w:rPr>
              <w:t> 2011, p. 34)</w:t>
            </w:r>
            <w:r>
              <w:t>. It pointed to the well</w:t>
            </w:r>
            <w:r>
              <w:noBreakHyphen/>
              <w:t xml:space="preserve">established positive link that education and health outcomes have with higher productivity and income. </w:t>
            </w:r>
          </w:p>
          <w:p w14:paraId="7954A360" w14:textId="77777777" w:rsidR="00F05DC7" w:rsidRPr="00CD0961" w:rsidRDefault="00F05DC7" w:rsidP="00A3786D">
            <w:pPr>
              <w:pStyle w:val="Box"/>
              <w:rPr>
                <w:spacing w:val="-2"/>
              </w:rPr>
            </w:pPr>
            <w:r w:rsidRPr="00CD0961">
              <w:rPr>
                <w:spacing w:val="-2"/>
              </w:rPr>
              <w:t xml:space="preserve">The potential for HFE to support human capital development in fiscally weaker States could also be seen as an equity outcome. However, as noted in chapter 1, equity in State fiscal capacities does not necessarily translate into equity of individuals’ access to public services (interpersonal equity). </w:t>
            </w:r>
          </w:p>
        </w:tc>
      </w:tr>
      <w:tr w:rsidR="00F05DC7" w14:paraId="7954A363" w14:textId="77777777" w:rsidTr="00A3786D">
        <w:tc>
          <w:tcPr>
            <w:tcW w:w="5000" w:type="pct"/>
            <w:tcBorders>
              <w:top w:val="nil"/>
              <w:left w:val="nil"/>
              <w:bottom w:val="single" w:sz="6" w:space="0" w:color="78A22F"/>
              <w:right w:val="nil"/>
            </w:tcBorders>
            <w:shd w:val="clear" w:color="auto" w:fill="F2F2F2"/>
          </w:tcPr>
          <w:p w14:paraId="7954A362" w14:textId="77777777" w:rsidR="00F05DC7" w:rsidRDefault="00F05DC7" w:rsidP="00A3786D">
            <w:pPr>
              <w:pStyle w:val="Box"/>
              <w:spacing w:before="0" w:line="120" w:lineRule="exact"/>
            </w:pPr>
          </w:p>
        </w:tc>
      </w:tr>
      <w:tr w:rsidR="00F05DC7" w:rsidRPr="000863A5" w14:paraId="7954A365" w14:textId="77777777" w:rsidTr="00A3786D">
        <w:tc>
          <w:tcPr>
            <w:tcW w:w="5000" w:type="pct"/>
            <w:tcBorders>
              <w:top w:val="single" w:sz="6" w:space="0" w:color="78A22F"/>
              <w:left w:val="nil"/>
              <w:bottom w:val="nil"/>
              <w:right w:val="nil"/>
            </w:tcBorders>
          </w:tcPr>
          <w:p w14:paraId="7954A364" w14:textId="77777777" w:rsidR="00F05DC7" w:rsidRPr="00626D32" w:rsidRDefault="00F05DC7" w:rsidP="00A3786D">
            <w:pPr>
              <w:pStyle w:val="BoxSpaceBelow"/>
            </w:pPr>
          </w:p>
        </w:tc>
      </w:tr>
    </w:tbl>
    <w:p w14:paraId="7954A366" w14:textId="77777777" w:rsidR="00F05DC7" w:rsidRPr="00221AB2" w:rsidRDefault="00F05DC7" w:rsidP="00A3786D">
      <w:pPr>
        <w:pStyle w:val="BodyText"/>
      </w:pPr>
      <w:r w:rsidRPr="00221AB2">
        <w:lastRenderedPageBreak/>
        <w:t>In summary, the theoretical literature broadly supports HFE’s role in preventing</w:t>
      </w:r>
      <w:r w:rsidRPr="00971D82">
        <w:t xml:space="preserve"> migration </w:t>
      </w:r>
      <w:r>
        <w:t xml:space="preserve">that occurs </w:t>
      </w:r>
      <w:r w:rsidRPr="00221AB2">
        <w:t xml:space="preserve">based on fiscal considerations alone. However, as </w:t>
      </w:r>
      <w:r w:rsidRPr="00971D82">
        <w:t>noted by Shah, it can have adverse consequences for efficiency if it impedes the productive flow of labour</w:t>
      </w:r>
      <w:r>
        <w:t xml:space="preserve"> and capital</w:t>
      </w:r>
      <w:r w:rsidRPr="00971D82">
        <w:t xml:space="preserve"> across States</w:t>
      </w:r>
      <w:r w:rsidRPr="00554938">
        <w:t xml:space="preserve">. </w:t>
      </w:r>
      <w:r w:rsidRPr="00E006AA">
        <w:t xml:space="preserve">HFE policy must </w:t>
      </w:r>
      <w:r>
        <w:t xml:space="preserve">thus </w:t>
      </w:r>
      <w:r w:rsidRPr="00E006AA">
        <w:t xml:space="preserve">be carefully designed </w:t>
      </w:r>
      <w:r>
        <w:t xml:space="preserve">and balanced </w:t>
      </w:r>
      <w:r w:rsidRPr="00E006AA">
        <w:t xml:space="preserve">to ensure that it does not hold back </w:t>
      </w:r>
      <w:r>
        <w:t xml:space="preserve">other policy objectives like </w:t>
      </w:r>
      <w:r w:rsidRPr="00E006AA">
        <w:t>economic growth</w:t>
      </w:r>
      <w:r w:rsidRPr="00C440AA">
        <w:t xml:space="preserve"> (</w:t>
      </w:r>
      <w:r w:rsidRPr="00221AB2">
        <w:t>sub.</w:t>
      </w:r>
      <w:r>
        <w:t> DR103</w:t>
      </w:r>
      <w:r w:rsidRPr="00221AB2">
        <w:t>, p. 1</w:t>
      </w:r>
      <w:r>
        <w:t>2</w:t>
      </w:r>
      <w:r w:rsidRPr="00221AB2">
        <w:t>)</w:t>
      </w:r>
      <w:r>
        <w:t>.</w:t>
      </w:r>
    </w:p>
    <w:p w14:paraId="7954A367" w14:textId="17AD4C1F" w:rsidR="00F05DC7" w:rsidRPr="001862EC" w:rsidRDefault="00F05DC7" w:rsidP="00A3786D">
      <w:pPr>
        <w:pStyle w:val="Heading2"/>
      </w:pPr>
      <w:bookmarkStart w:id="90" w:name="_Toc513637718"/>
      <w:r>
        <w:t>5.</w:t>
      </w:r>
      <w:r>
        <w:rPr>
          <w:noProof/>
        </w:rPr>
        <w:t>2</w:t>
      </w:r>
      <w:r w:rsidRPr="001862EC">
        <w:tab/>
        <w:t>Modelling HFE</w:t>
      </w:r>
      <w:r>
        <w:t>’s impact on migration</w:t>
      </w:r>
      <w:bookmarkEnd w:id="90"/>
    </w:p>
    <w:p w14:paraId="7954A368" w14:textId="77777777" w:rsidR="00F05DC7" w:rsidRDefault="00F05DC7" w:rsidP="00A3786D">
      <w:pPr>
        <w:pStyle w:val="BodyText"/>
      </w:pPr>
      <w:r>
        <w:t>There have been</w:t>
      </w:r>
      <w:r w:rsidRPr="002C5626">
        <w:t xml:space="preserve"> past attempts to </w:t>
      </w:r>
      <w:r>
        <w:t>quantify</w:t>
      </w:r>
      <w:r w:rsidRPr="002C5626">
        <w:t xml:space="preserve"> the efficiency </w:t>
      </w:r>
      <w:r>
        <w:t>effects</w:t>
      </w:r>
      <w:r w:rsidRPr="002C5626">
        <w:t xml:space="preserve"> of HFE</w:t>
      </w:r>
      <w:r>
        <w:t xml:space="preserve"> using modelling. Most of these studies examine either the Australian or Canadian systems of equalisation</w:t>
      </w:r>
      <w:r w:rsidRPr="002C5626">
        <w:t>.</w:t>
      </w:r>
      <w:r>
        <w:t xml:space="preserve"> </w:t>
      </w:r>
      <w:r w:rsidRPr="00702E30">
        <w:t xml:space="preserve">In Australia, </w:t>
      </w:r>
      <w:r>
        <w:t xml:space="preserve">these studies </w:t>
      </w:r>
      <w:r w:rsidRPr="00702E30">
        <w:t>ha</w:t>
      </w:r>
      <w:r>
        <w:t>ve</w:t>
      </w:r>
      <w:r w:rsidRPr="00702E30">
        <w:t xml:space="preserve"> </w:t>
      </w:r>
      <w:r>
        <w:t xml:space="preserve">primarily </w:t>
      </w:r>
      <w:r w:rsidRPr="00702E30">
        <w:t xml:space="preserve">been conducted </w:t>
      </w:r>
      <w:r>
        <w:t>using</w:t>
      </w:r>
      <w:r w:rsidRPr="00702E30">
        <w:t xml:space="preserve"> computable general equilibrium modelling</w:t>
      </w:r>
      <w:r>
        <w:t>. Such modelling aims to examine the welfare effects of a simulated change to the HFE system for each State and for Australia as a whole.</w:t>
      </w:r>
    </w:p>
    <w:p w14:paraId="7954A369" w14:textId="1BF1EA8A" w:rsidR="00F05DC7" w:rsidRDefault="00F05DC7" w:rsidP="00A3786D">
      <w:pPr>
        <w:pStyle w:val="BodyText"/>
      </w:pPr>
      <w:r>
        <w:t>The most comprehensive modelling of Australia’s HFE system has been undertaken by Dixon, Picton and Rimmer </w:t>
      </w:r>
      <w:r w:rsidRPr="00DC0231">
        <w:t>(2002, 2005)</w:t>
      </w:r>
      <w:r>
        <w:t>, Independent Economics </w:t>
      </w:r>
      <w:r w:rsidRPr="00DC0231">
        <w:t>(2012, 2015)</w:t>
      </w:r>
      <w:r>
        <w:t xml:space="preserve"> and Murphy </w:t>
      </w:r>
      <w:r w:rsidRPr="0070570E">
        <w:t>(2015, 2017)</w:t>
      </w:r>
      <w:r>
        <w:t>. These groups disagreed on whether HFE enhances or reduces national welfare through its impact on migration (when compared to</w:t>
      </w:r>
      <w:r w:rsidRPr="00A132B7">
        <w:t xml:space="preserve"> </w:t>
      </w:r>
      <w:r>
        <w:t>an equal per capita distribution</w:t>
      </w:r>
      <w:r w:rsidRPr="00A132B7">
        <w:t xml:space="preserve"> </w:t>
      </w:r>
      <w:r>
        <w:t>or some variant). However, despite these models applying different assumptions</w:t>
      </w:r>
      <w:r w:rsidDel="00A132B7">
        <w:t xml:space="preserve"> </w:t>
      </w:r>
      <w:r>
        <w:t>and leading to different conclusions, the overall efficiency impacts of all three models are generally found to be small. These models are described in detail in appendix D.</w:t>
      </w:r>
    </w:p>
    <w:p w14:paraId="7954A36A" w14:textId="77777777" w:rsidR="00F05DC7" w:rsidRDefault="00F05DC7" w:rsidP="00A3786D">
      <w:pPr>
        <w:pStyle w:val="BodyText"/>
      </w:pPr>
      <w:r>
        <w:t>There are limitations in such modelling exercises. Many behavioural questions are left largely unanswered by these models. For example, HFE’s influence on economic efficiency depends on how people and governments actually respond to fiscal transfers — States could respond in a number of ways, including by reducing taxes or providing subsidies, paying down debt or providing more or better quality services. These behaviours can drive the results, but they are not well known and are typically determined outside of the models. As a result, model outcomes depend largely on what underlying (often contentious) assumptions are first made about whether HFE actually improves or distorts migration decisions.</w:t>
      </w:r>
    </w:p>
    <w:p w14:paraId="7954A36B" w14:textId="77777777" w:rsidR="00F05DC7" w:rsidRDefault="00F05DC7" w:rsidP="00A3786D">
      <w:pPr>
        <w:pStyle w:val="BodyText"/>
      </w:pPr>
      <w:r>
        <w:t>Moreover, HFE can bear on efficiency through multiple channels that are not typically captured in a single model. As noted by Pincus (sub. DR96), if the model is underpinned by the assumption that HFE removes incentives for labour to respond to differences in States’ fiscal capacities (and responds purely to economic factors, such as wage rates), then it must show that HFE improves economic efficiency. However, the results may change if other possible inefficiencies of HFE are included, such as the disincentives for tax reform or development (described in chapter 3). Such disincentives would be very difficult to model and have not been included in any empirical modelling to date.</w:t>
      </w:r>
    </w:p>
    <w:p w14:paraId="7954A36C" w14:textId="77777777" w:rsidR="00F05DC7" w:rsidRDefault="00F05DC7" w:rsidP="00A3786D">
      <w:pPr>
        <w:pStyle w:val="BodyText"/>
      </w:pPr>
      <w:r>
        <w:t xml:space="preserve">For these reasons, HFE’s influence on efficiency remains contested. As </w:t>
      </w:r>
      <w:r w:rsidRPr="00051BEF">
        <w:t xml:space="preserve">noted in </w:t>
      </w:r>
      <w:r w:rsidRPr="006E7B73">
        <w:t>chapter 1</w:t>
      </w:r>
      <w:r w:rsidRPr="00051BEF">
        <w:t xml:space="preserve">, the Commission has opted not to </w:t>
      </w:r>
      <w:r w:rsidRPr="00B17278">
        <w:t>undertake</w:t>
      </w:r>
      <w:r w:rsidRPr="006C0260">
        <w:t xml:space="preserve"> modelling of the efficiency</w:t>
      </w:r>
      <w:r>
        <w:t xml:space="preserve"> impacts of HFE. Such modelling, while helpful in exploring economic interactions and distributional effects </w:t>
      </w:r>
      <w:r>
        <w:lastRenderedPageBreak/>
        <w:t>of a policy change, has inherent limitations (mentioned above). Further discussion of the modelling limitations can be found in appendix D.</w:t>
      </w:r>
    </w:p>
    <w:p w14:paraId="7954A36D" w14:textId="4A6FA73A" w:rsidR="00F05DC7" w:rsidRDefault="00F05DC7" w:rsidP="00A3786D">
      <w:pPr>
        <w:pStyle w:val="Heading2"/>
      </w:pPr>
      <w:bookmarkStart w:id="91" w:name="_Toc513637719"/>
      <w:r>
        <w:t>5.</w:t>
      </w:r>
      <w:r>
        <w:rPr>
          <w:noProof/>
        </w:rPr>
        <w:t>3</w:t>
      </w:r>
      <w:r>
        <w:tab/>
        <w:t>Has HFE influenced migration decisions?</w:t>
      </w:r>
      <w:bookmarkEnd w:id="91"/>
    </w:p>
    <w:p w14:paraId="7954A36E" w14:textId="77777777" w:rsidR="00F05DC7" w:rsidRDefault="00F05DC7" w:rsidP="00A3786D">
      <w:pPr>
        <w:pStyle w:val="BodyText"/>
      </w:pPr>
      <w:r>
        <w:t>Given the issues involved with using modelling to quantify efficiency effects, the Commission has primarily used a principles</w:t>
      </w:r>
      <w:r>
        <w:noBreakHyphen/>
        <w:t>based approach to assess the influence of HFE on migration decisions. This assessment has drawn on evidence from other relevant studies and academic literature as well as perspectives from submissions to this inquiry (box 5.2). Broadly speaking, inquiry participants’ views on whether HFE helps or hinders the efficient movement of labour and capital largely aligns with how much GST is redistributed to or from their State. Most participants, particularly from fiscally weaker States, tended to point to the role that HFE can play in preventing inefficient migration. Other participants have argued that HFE reduces incentives for people to move to more productive and high growth regions, or to areas where it is cheaper to provide public services.</w:t>
      </w:r>
    </w:p>
    <w:p w14:paraId="7954A36F" w14:textId="77777777" w:rsidR="00F05DC7" w:rsidRDefault="00F05DC7" w:rsidP="00A3786D">
      <w:pPr>
        <w:pStyle w:val="Heading3"/>
      </w:pPr>
      <w:r>
        <w:t xml:space="preserve">Does </w:t>
      </w:r>
      <w:r w:rsidRPr="00983211">
        <w:t>Australia</w:t>
      </w:r>
      <w:r>
        <w:t>’s system of</w:t>
      </w:r>
      <w:r w:rsidRPr="00983211">
        <w:t xml:space="preserve"> equalisation</w:t>
      </w:r>
      <w:r>
        <w:t xml:space="preserve"> encourage efficient migration?</w:t>
      </w:r>
    </w:p>
    <w:p w14:paraId="7954A370" w14:textId="77777777" w:rsidR="00F05DC7" w:rsidRDefault="00F05DC7" w:rsidP="00A3786D">
      <w:pPr>
        <w:pStyle w:val="BodyText"/>
      </w:pPr>
      <w:r>
        <w:t xml:space="preserve">Australia has its own unique geographic, cultural and institutional features that have helped to shape location decisions of labour and capital within the federation. Australia also has a </w:t>
      </w:r>
      <w:r w:rsidRPr="00444DBB">
        <w:t xml:space="preserve">system of equalisation </w:t>
      </w:r>
      <w:r>
        <w:t xml:space="preserve">that </w:t>
      </w:r>
      <w:r w:rsidRPr="00444DBB">
        <w:t>is often regarded as the world’s most comprehensive</w:t>
      </w:r>
      <w:r>
        <w:t xml:space="preserve">, where assessments by the Commonwealth Grants Commission (CGC) aim to fully </w:t>
      </w:r>
      <w:r w:rsidRPr="00444DBB">
        <w:t>equalis</w:t>
      </w:r>
      <w:r>
        <w:t>e</w:t>
      </w:r>
      <w:r w:rsidRPr="00444DBB">
        <w:t xml:space="preserve"> </w:t>
      </w:r>
      <w:r w:rsidRPr="00051BEF">
        <w:t>both revenue and expenditure capacities of State budgets (</w:t>
      </w:r>
      <w:r w:rsidRPr="00836A29">
        <w:t>chapter </w:t>
      </w:r>
      <w:r w:rsidRPr="00051BEF">
        <w:t>2).</w:t>
      </w:r>
      <w:r>
        <w:t xml:space="preserve"> It is therefore valid to ask if the effects of HFE on migration are particularly pronounced here.</w:t>
      </w:r>
    </w:p>
    <w:p w14:paraId="7954A371" w14:textId="77777777" w:rsidR="00F05DC7" w:rsidRPr="007B4421" w:rsidRDefault="00F05DC7" w:rsidP="00A3786D">
      <w:pPr>
        <w:pStyle w:val="Heading4"/>
      </w:pPr>
      <w:r>
        <w:t>Migration due to differences in s</w:t>
      </w:r>
      <w:r w:rsidRPr="007B4421">
        <w:t xml:space="preserve">ervice delivery </w:t>
      </w:r>
    </w:p>
    <w:p w14:paraId="7954A372" w14:textId="77777777" w:rsidR="00F05DC7" w:rsidRDefault="00F05DC7" w:rsidP="00A3786D">
      <w:pPr>
        <w:pStyle w:val="BodyText"/>
      </w:pPr>
      <w:r>
        <w:t>Australia’s comprehensive system of HFE has been raised as an efficiency concern as it is said to counteract economic signals for people to migrate, including due to differences in wages and living costs.</w:t>
      </w:r>
    </w:p>
    <w:p w14:paraId="7954A373" w14:textId="24BB43E0" w:rsidR="00F05DC7" w:rsidRDefault="00F05DC7" w:rsidP="00A3786D">
      <w:pPr>
        <w:pStyle w:val="BodyText"/>
      </w:pPr>
      <w:r>
        <w:t>As discussed in chapter 3, the CGC’s assessment compensates States for the added costs of delivering services to people</w:t>
      </w:r>
      <w:r w:rsidRPr="0092699B">
        <w:t xml:space="preserve"> </w:t>
      </w:r>
      <w:r>
        <w:t>living in high cost areas, such as remote towns or congested cities. This</w:t>
      </w:r>
      <w:r w:rsidRPr="0092699B">
        <w:t xml:space="preserve"> </w:t>
      </w:r>
      <w:r>
        <w:t xml:space="preserve">could also influence location decisions as it means people face reduced incentives to move to areas where service delivery is cheaper </w:t>
      </w:r>
      <w:r w:rsidR="009D6331" w:rsidRPr="009D6331">
        <w:rPr>
          <w:szCs w:val="24"/>
        </w:rPr>
        <w:t>(Boadway 2004, p. 238; Garnaut and FitzGerald 2002b, p. 134)</w:t>
      </w:r>
      <w:r>
        <w:t>. Murphy </w:t>
      </w:r>
      <w:r w:rsidRPr="00EE72AC">
        <w:t>(2015, 2017)</w:t>
      </w:r>
      <w:r>
        <w:t xml:space="preserve"> said that this form of equalisation is inefficient and that people in high cost areas should pay the extra costs of delivering these services so as to signal the true cost of living in these areas. Pincus </w:t>
      </w:r>
      <w:r w:rsidRPr="00E931DB">
        <w:rPr>
          <w:szCs w:val="24"/>
        </w:rPr>
        <w:t>(2011, p. 15)</w:t>
      </w:r>
      <w:r>
        <w:t xml:space="preserve"> also argued that</w:t>
      </w:r>
      <w:r w:rsidRPr="00C577F7">
        <w:t xml:space="preserve"> </w:t>
      </w:r>
      <w:r w:rsidRPr="007B6113">
        <w:t xml:space="preserve">compensating for </w:t>
      </w:r>
      <w:r>
        <w:t xml:space="preserve">these cost </w:t>
      </w:r>
      <w:r w:rsidRPr="007B6113">
        <w:t>differences</w:t>
      </w:r>
      <w:r>
        <w:t xml:space="preserve"> (where they reflect productivity differences)</w:t>
      </w:r>
      <w:r w:rsidRPr="007B6113">
        <w:t xml:space="preserve"> would be inefficient</w:t>
      </w:r>
      <w:r>
        <w:t xml:space="preserve"> and would reduce national output</w:t>
      </w:r>
      <w:r w:rsidRPr="007B6113">
        <w:t>.</w:t>
      </w:r>
    </w:p>
    <w:p w14:paraId="7954A374" w14:textId="77777777" w:rsidR="00F05DC7" w:rsidRDefault="00F05DC7" w:rsidP="00A3786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76" w14:textId="77777777" w:rsidTr="001113B1">
        <w:trPr>
          <w:tblHeader/>
        </w:trPr>
        <w:tc>
          <w:tcPr>
            <w:tcW w:w="5000" w:type="pct"/>
            <w:tcBorders>
              <w:top w:val="single" w:sz="6" w:space="0" w:color="78A22F"/>
              <w:left w:val="nil"/>
              <w:bottom w:val="nil"/>
              <w:right w:val="nil"/>
            </w:tcBorders>
            <w:shd w:val="clear" w:color="auto" w:fill="F2F2F2"/>
          </w:tcPr>
          <w:p w14:paraId="7954A375" w14:textId="408F4277" w:rsidR="00F05DC7" w:rsidRDefault="00F05DC7" w:rsidP="00A3786D">
            <w:pPr>
              <w:pStyle w:val="BoxTitle"/>
              <w:spacing w:before="80"/>
            </w:pPr>
            <w:r>
              <w:rPr>
                <w:b w:val="0"/>
              </w:rPr>
              <w:lastRenderedPageBreak/>
              <w:t>Box 5.</w:t>
            </w:r>
            <w:r>
              <w:rPr>
                <w:b w:val="0"/>
                <w:noProof/>
              </w:rPr>
              <w:t>2</w:t>
            </w:r>
            <w:r>
              <w:tab/>
              <w:t>HFE’s influence on efficient migration: what participants say</w:t>
            </w:r>
          </w:p>
        </w:tc>
      </w:tr>
      <w:tr w:rsidR="00F05DC7" w14:paraId="7954A38D" w14:textId="77777777" w:rsidTr="00A3786D">
        <w:tc>
          <w:tcPr>
            <w:tcW w:w="5000" w:type="pct"/>
            <w:tcBorders>
              <w:top w:val="nil"/>
              <w:left w:val="nil"/>
              <w:bottom w:val="nil"/>
              <w:right w:val="nil"/>
            </w:tcBorders>
            <w:shd w:val="clear" w:color="auto" w:fill="F2F2F2"/>
          </w:tcPr>
          <w:p w14:paraId="7954A377" w14:textId="77777777" w:rsidR="00F05DC7" w:rsidRDefault="00F05DC7" w:rsidP="00A3786D">
            <w:pPr>
              <w:pStyle w:val="BoxHeading1"/>
              <w:spacing w:before="120"/>
            </w:pPr>
            <w:r>
              <w:t>Some participants argued that HFE supports efficient migration</w:t>
            </w:r>
          </w:p>
          <w:p w14:paraId="7954A378" w14:textId="77777777" w:rsidR="00F05DC7" w:rsidRPr="001D49ED" w:rsidRDefault="00F05DC7" w:rsidP="00A3786D">
            <w:pPr>
              <w:pStyle w:val="Box"/>
              <w:spacing w:before="80" w:line="240" w:lineRule="atLeast"/>
            </w:pPr>
            <w:r>
              <w:t>A</w:t>
            </w:r>
            <w:r w:rsidRPr="001D49ED">
              <w:t>CCI (sub.</w:t>
            </w:r>
            <w:r>
              <w:t> 40</w:t>
            </w:r>
            <w:r w:rsidRPr="001D49ED">
              <w:t>, p.</w:t>
            </w:r>
            <w:r>
              <w:t> 40</w:t>
            </w:r>
            <w:r w:rsidRPr="001D49ED">
              <w:t>):</w:t>
            </w:r>
          </w:p>
          <w:p w14:paraId="7954A379" w14:textId="77777777" w:rsidR="00F05DC7" w:rsidRPr="001D49ED" w:rsidRDefault="00F05DC7" w:rsidP="00A3786D">
            <w:pPr>
              <w:pStyle w:val="BoxQuote"/>
              <w:spacing w:line="240" w:lineRule="atLeast"/>
            </w:pPr>
            <w:r w:rsidRPr="001D49ED">
              <w:t xml:space="preserve">… it would appear highly unlikely that labour or capital mobility would in any way be affected by the current system of HFE … It is difficult therefore, without any firm evidence or analyses of a reasonable counterfactual, to suggest that the current system of HFE is not in the best interests of national productivity growth or that it acts as a disincentive for state growth agendas. </w:t>
            </w:r>
          </w:p>
          <w:p w14:paraId="7954A37A" w14:textId="77777777" w:rsidR="00F05DC7" w:rsidRDefault="00F05DC7" w:rsidP="00A3786D">
            <w:pPr>
              <w:pStyle w:val="Box"/>
              <w:spacing w:before="80" w:line="240" w:lineRule="atLeast"/>
            </w:pPr>
            <w:r>
              <w:t>Hancock (sub. 54, p. 7):</w:t>
            </w:r>
          </w:p>
          <w:p w14:paraId="7954A37B" w14:textId="77777777" w:rsidR="00F05DC7" w:rsidRDefault="00F05DC7" w:rsidP="00A3786D">
            <w:pPr>
              <w:pStyle w:val="BoxQuote"/>
              <w:spacing w:line="240" w:lineRule="atLeast"/>
            </w:pPr>
            <w:r w:rsidRPr="005D03CE">
              <w:t>HFE supports efficient location decisions in general, and this is true under circumstances of high labour demand in a few regions</w:t>
            </w:r>
            <w:r>
              <w:t xml:space="preserve"> …</w:t>
            </w:r>
            <w:r w:rsidRPr="005D03CE">
              <w:t xml:space="preserve"> HFE avoids the situation where individuals relocate simply to establish a share in the rents from mineral resources, a dynamic that would distort location decisions.</w:t>
            </w:r>
          </w:p>
          <w:p w14:paraId="7954A37C" w14:textId="77777777" w:rsidR="00F05DC7" w:rsidRPr="001D49ED" w:rsidRDefault="00F05DC7" w:rsidP="00A3786D">
            <w:pPr>
              <w:pStyle w:val="Box"/>
              <w:spacing w:before="80" w:line="240" w:lineRule="atLeast"/>
            </w:pPr>
            <w:r>
              <w:t>NT</w:t>
            </w:r>
            <w:r w:rsidRPr="001D49ED">
              <w:t xml:space="preserve"> Government (sub.</w:t>
            </w:r>
            <w:r>
              <w:t> 51</w:t>
            </w:r>
            <w:r w:rsidRPr="001D49ED">
              <w:t>, p.</w:t>
            </w:r>
            <w:r>
              <w:t> </w:t>
            </w:r>
            <w:r w:rsidRPr="001D49ED">
              <w:t>1</w:t>
            </w:r>
            <w:r>
              <w:t>8</w:t>
            </w:r>
            <w:r w:rsidRPr="001D49ED">
              <w:t>)</w:t>
            </w:r>
            <w:r>
              <w:t>:</w:t>
            </w:r>
          </w:p>
          <w:p w14:paraId="7954A37D" w14:textId="77777777" w:rsidR="00F05DC7" w:rsidRDefault="00F05DC7" w:rsidP="00A3786D">
            <w:pPr>
              <w:pStyle w:val="BoxQuote"/>
              <w:spacing w:line="240" w:lineRule="atLeast"/>
            </w:pPr>
            <w:r>
              <w:t>…</w:t>
            </w:r>
            <w:r w:rsidRPr="001D49ED">
              <w:t xml:space="preserve"> equalisation does not impede efficient labour and capital movement decisions by providing states with the capacity to provide infrastructure and services at comparable levels.</w:t>
            </w:r>
          </w:p>
          <w:p w14:paraId="7954A37E" w14:textId="77777777" w:rsidR="00F05DC7" w:rsidRDefault="00F05DC7" w:rsidP="00A3786D">
            <w:pPr>
              <w:pStyle w:val="Box"/>
              <w:spacing w:before="80" w:line="240" w:lineRule="atLeast"/>
            </w:pPr>
            <w:r>
              <w:t>SA Government (sub. 25, p. 8):</w:t>
            </w:r>
          </w:p>
          <w:p w14:paraId="7954A37F" w14:textId="77777777" w:rsidR="00F05DC7" w:rsidRDefault="00F05DC7" w:rsidP="00A3786D">
            <w:pPr>
              <w:pStyle w:val="BoxQuote"/>
              <w:spacing w:line="240" w:lineRule="atLeast"/>
            </w:pPr>
            <w:r w:rsidRPr="004555ED">
              <w:t xml:space="preserve">HFE supports the efficient movement of labour across state borders as opposed to movement motivated by fiscal effects that can arise from accidental variations in the location of natural resources and variations in human resource characteristics. </w:t>
            </w:r>
          </w:p>
          <w:p w14:paraId="7954A380" w14:textId="77777777" w:rsidR="00F05DC7" w:rsidRDefault="00F05DC7" w:rsidP="00A3786D">
            <w:pPr>
              <w:pStyle w:val="Box"/>
              <w:spacing w:before="80" w:line="240" w:lineRule="atLeast"/>
            </w:pPr>
            <w:r>
              <w:t>Tasmanian Government (sub. 28, p. 9):</w:t>
            </w:r>
          </w:p>
          <w:p w14:paraId="7954A381" w14:textId="77777777" w:rsidR="00F05DC7" w:rsidRDefault="00F05DC7" w:rsidP="00A3786D">
            <w:pPr>
              <w:pStyle w:val="BoxQuote"/>
              <w:spacing w:line="240" w:lineRule="atLeast"/>
            </w:pPr>
            <w:r>
              <w:t>… the greater the uniformity in the net fiscal benefit across States, the more migration decisions will be influenced by employment</w:t>
            </w:r>
            <w:r>
              <w:noBreakHyphen/>
              <w:t>related factors, which leads to higher national productivity.</w:t>
            </w:r>
          </w:p>
          <w:p w14:paraId="7954A382" w14:textId="77777777" w:rsidR="00F05DC7" w:rsidRDefault="00F05DC7" w:rsidP="00A3786D">
            <w:pPr>
              <w:pStyle w:val="Box"/>
              <w:spacing w:before="80" w:line="240" w:lineRule="atLeast"/>
            </w:pPr>
            <w:r>
              <w:t>Victorian Government (sub. 53, p. 3):</w:t>
            </w:r>
          </w:p>
          <w:p w14:paraId="7954A383" w14:textId="77777777" w:rsidR="00F05DC7" w:rsidRPr="00C16661" w:rsidRDefault="00F05DC7" w:rsidP="00A3786D">
            <w:pPr>
              <w:pStyle w:val="BoxQuote"/>
              <w:spacing w:line="240" w:lineRule="atLeast"/>
            </w:pPr>
            <w:r w:rsidRPr="00E8527C">
              <w:t>With HFE in place, fiscally weaker states receive additional GST support, thereby allowing them to offer a comparable level of general government services to other jurisdictions. Labour and capital owners can then make migration and investment decisions based on where they can be most efficient and productive, balanced with other relocation costs. In this regard, HFE appears to be serving Australia well.</w:t>
            </w:r>
          </w:p>
          <w:p w14:paraId="7954A384" w14:textId="77777777" w:rsidR="00F05DC7" w:rsidRDefault="00F05DC7" w:rsidP="00A3786D">
            <w:pPr>
              <w:pStyle w:val="BoxHeading1"/>
              <w:spacing w:before="120"/>
            </w:pPr>
            <w:r>
              <w:t>Others disagreed, and argued that HFE discourages people from moving</w:t>
            </w:r>
          </w:p>
          <w:p w14:paraId="7954A385" w14:textId="77777777" w:rsidR="00F05DC7" w:rsidRDefault="00F05DC7" w:rsidP="00A3786D">
            <w:pPr>
              <w:pStyle w:val="Box"/>
              <w:spacing w:before="80" w:line="240" w:lineRule="atLeast"/>
            </w:pPr>
            <w:r>
              <w:t>WA Government (sub. 15, p. 40):</w:t>
            </w:r>
          </w:p>
          <w:p w14:paraId="7954A386" w14:textId="77777777" w:rsidR="00F05DC7" w:rsidRDefault="00F05DC7" w:rsidP="00A3786D">
            <w:pPr>
              <w:pStyle w:val="BoxQuote"/>
              <w:spacing w:line="240" w:lineRule="atLeast"/>
            </w:pPr>
            <w:r>
              <w:t>… there is significant conceptual evidence to support the view that HFE in Australia, by equalising revenues from States with high performing economies, is likely to result in below optimal migration to areas of high economic opportunity.</w:t>
            </w:r>
          </w:p>
          <w:p w14:paraId="7954A387" w14:textId="77777777" w:rsidR="00F05DC7" w:rsidRDefault="00F05DC7" w:rsidP="00A3786D">
            <w:pPr>
              <w:pStyle w:val="Box"/>
              <w:spacing w:before="100" w:line="240" w:lineRule="atLeast"/>
            </w:pPr>
            <w:r>
              <w:t>Chamber of Minerals and Energy of Western Australia (sub. 29, p. 2):</w:t>
            </w:r>
          </w:p>
          <w:p w14:paraId="7954A388" w14:textId="77777777" w:rsidR="00F05DC7" w:rsidRDefault="00F05DC7" w:rsidP="00A3786D">
            <w:pPr>
              <w:pStyle w:val="BoxQuote"/>
              <w:spacing w:line="240" w:lineRule="atLeast"/>
            </w:pPr>
            <w:r>
              <w:t>…</w:t>
            </w:r>
            <w:r w:rsidRPr="00F83BC1">
              <w:t xml:space="preserve"> the HFE policy provides no incentive for people to</w:t>
            </w:r>
            <w:r>
              <w:t xml:space="preserve"> </w:t>
            </w:r>
            <w:r w:rsidRPr="00F83BC1">
              <w:t>move to areas of economic growth or for governments to enact policies to attract</w:t>
            </w:r>
            <w:r>
              <w:t xml:space="preserve"> </w:t>
            </w:r>
            <w:r w:rsidRPr="00F83BC1">
              <w:t>investment and encourage growth. This is a key concern for Western Australia</w:t>
            </w:r>
            <w:r>
              <w:t>’</w:t>
            </w:r>
            <w:r w:rsidRPr="00F83BC1">
              <w:t>s resource</w:t>
            </w:r>
            <w:r>
              <w:t xml:space="preserve"> </w:t>
            </w:r>
            <w:r w:rsidRPr="00F83BC1">
              <w:t>sector, which is still facing short</w:t>
            </w:r>
            <w:r>
              <w:noBreakHyphen/>
            </w:r>
            <w:r w:rsidRPr="00F83BC1">
              <w:t xml:space="preserve">term </w:t>
            </w:r>
            <w:r>
              <w:t xml:space="preserve">[labour] </w:t>
            </w:r>
            <w:r w:rsidRPr="00F83BC1">
              <w:t xml:space="preserve">shortages </w:t>
            </w:r>
            <w:r>
              <w:t>…</w:t>
            </w:r>
          </w:p>
          <w:p w14:paraId="7954A389" w14:textId="77777777" w:rsidR="00F05DC7" w:rsidRDefault="00F05DC7" w:rsidP="00A3786D">
            <w:pPr>
              <w:pStyle w:val="Box"/>
              <w:spacing w:before="100" w:line="240" w:lineRule="atLeast"/>
            </w:pPr>
            <w:r>
              <w:t>Parliamentary Liberal Party of WA (sub. 22, p. 6):</w:t>
            </w:r>
          </w:p>
          <w:p w14:paraId="7954A38A" w14:textId="77777777" w:rsidR="00F05DC7" w:rsidRDefault="00F05DC7" w:rsidP="00A3786D">
            <w:pPr>
              <w:pStyle w:val="BoxQuote"/>
              <w:spacing w:line="240" w:lineRule="atLeast"/>
            </w:pPr>
            <w:r w:rsidRPr="004A4A01">
              <w:t xml:space="preserve">Over the longer term there are structural issues which should not be ignored. In particular, it is important for future </w:t>
            </w:r>
            <w:r w:rsidRPr="00E75BFF">
              <w:t>economic prosperity that there be mobility of capital and labour to growth industries and growth regions</w:t>
            </w:r>
            <w:r>
              <w:t xml:space="preserve"> … </w:t>
            </w:r>
            <w:r w:rsidRPr="00E75BFF">
              <w:t>To the extent that the current GST distribution props up weaker states and declining industries it also mitigates against the mobility of capital and labour. In the same context it limits the capacity to support growth sectors th</w:t>
            </w:r>
            <w:r>
              <w:t>r</w:t>
            </w:r>
            <w:r w:rsidRPr="00E75BFF">
              <w:t>ough economic and social infrastructure.</w:t>
            </w:r>
          </w:p>
          <w:p w14:paraId="7954A38B" w14:textId="77777777" w:rsidR="00F05DC7" w:rsidRDefault="00F05DC7" w:rsidP="00A3786D">
            <w:pPr>
              <w:pStyle w:val="Box"/>
              <w:spacing w:line="240" w:lineRule="atLeast"/>
            </w:pPr>
            <w:r>
              <w:t>Institute of Public Affairs (sub. DR91, p. 9):</w:t>
            </w:r>
          </w:p>
          <w:p w14:paraId="7954A38C" w14:textId="77777777" w:rsidR="00F05DC7" w:rsidRPr="002D5F86" w:rsidRDefault="00F05DC7" w:rsidP="00A3786D">
            <w:pPr>
              <w:pStyle w:val="BoxQuote"/>
              <w:spacing w:line="240" w:lineRule="atLeast"/>
            </w:pPr>
            <w:r w:rsidRPr="002D5F86">
              <w:t xml:space="preserve">… the reduction of incentives for </w:t>
            </w:r>
            <w:r>
              <w:t>…</w:t>
            </w:r>
            <w:r w:rsidRPr="002D5F86">
              <w:t xml:space="preserve"> labour and capital</w:t>
            </w:r>
            <w:r>
              <w:t xml:space="preserve"> …</w:t>
            </w:r>
            <w:r w:rsidRPr="002D5F86">
              <w:t xml:space="preserve"> to move to higher productivity locations creates efficiency costs for the national economy. This is because opportunities to produce even more output than is currently available are foregone, while factors of production are encouraged to remain in areas where service provision is relatively costly </w:t>
            </w:r>
            <w:r>
              <w:t>…</w:t>
            </w:r>
          </w:p>
        </w:tc>
      </w:tr>
      <w:tr w:rsidR="00F05DC7" w14:paraId="7954A38F" w14:textId="77777777" w:rsidTr="00A3786D">
        <w:tc>
          <w:tcPr>
            <w:tcW w:w="5000" w:type="pct"/>
            <w:tcBorders>
              <w:top w:val="nil"/>
              <w:left w:val="nil"/>
              <w:bottom w:val="single" w:sz="6" w:space="0" w:color="78A22F"/>
              <w:right w:val="nil"/>
            </w:tcBorders>
            <w:shd w:val="clear" w:color="auto" w:fill="F2F2F2"/>
          </w:tcPr>
          <w:p w14:paraId="7954A38E" w14:textId="77777777" w:rsidR="00F05DC7" w:rsidRDefault="00F05DC7" w:rsidP="00A3786D">
            <w:pPr>
              <w:pStyle w:val="Box"/>
              <w:spacing w:before="0" w:line="120" w:lineRule="exact"/>
            </w:pPr>
          </w:p>
        </w:tc>
      </w:tr>
      <w:tr w:rsidR="00F05DC7" w:rsidRPr="000863A5" w14:paraId="7954A391" w14:textId="77777777" w:rsidTr="00A3786D">
        <w:tc>
          <w:tcPr>
            <w:tcW w:w="5000" w:type="pct"/>
            <w:tcBorders>
              <w:top w:val="single" w:sz="6" w:space="0" w:color="78A22F"/>
              <w:left w:val="nil"/>
              <w:bottom w:val="nil"/>
              <w:right w:val="nil"/>
            </w:tcBorders>
          </w:tcPr>
          <w:p w14:paraId="7954A390" w14:textId="77777777" w:rsidR="00F05DC7" w:rsidRPr="00626D32" w:rsidRDefault="00F05DC7" w:rsidP="00A3786D">
            <w:pPr>
              <w:pStyle w:val="BoxSpaceBelow"/>
            </w:pPr>
          </w:p>
        </w:tc>
      </w:tr>
    </w:tbl>
    <w:p w14:paraId="7954A392" w14:textId="76357CDC" w:rsidR="00F05DC7" w:rsidRDefault="00F05DC7" w:rsidP="00A3786D">
      <w:pPr>
        <w:pStyle w:val="BodyText"/>
      </w:pPr>
      <w:r w:rsidRPr="001663B8">
        <w:lastRenderedPageBreak/>
        <w:t xml:space="preserve">More generally, some economists have argued that HFE only supports efficient migration when </w:t>
      </w:r>
      <w:r>
        <w:t>equalising</w:t>
      </w:r>
      <w:r w:rsidRPr="001663B8">
        <w:t xml:space="preserve"> on source</w:t>
      </w:r>
      <w:r w:rsidRPr="001663B8">
        <w:noBreakHyphen/>
        <w:t>based factors (such as mineral endowments</w:t>
      </w:r>
      <w:r>
        <w:t>)</w:t>
      </w:r>
      <w:r w:rsidRPr="001663B8">
        <w:t xml:space="preserve"> and demographic composition but not residence</w:t>
      </w:r>
      <w:r w:rsidRPr="001663B8">
        <w:noBreakHyphen/>
        <w:t>based factors (such as productivity levels or amenity)</w:t>
      </w:r>
      <w:r>
        <w:t xml:space="preserve"> </w:t>
      </w:r>
      <w:r w:rsidRPr="00DA135D">
        <w:t>(Albouy 2012; Murphy 2015, 2017)</w:t>
      </w:r>
      <w:r w:rsidRPr="001663B8">
        <w:t>. This is because it is efficient for people to migrate based on differences in residence</w:t>
      </w:r>
      <w:r w:rsidRPr="001663B8">
        <w:noBreakHyphen/>
        <w:t>based factors across States, but not due to differences in fiscal capacity arising from source</w:t>
      </w:r>
      <w:r w:rsidRPr="001663B8">
        <w:noBreakHyphen/>
        <w:t>based factors.</w:t>
      </w:r>
      <w:r>
        <w:t xml:space="preserve"> Despite these concerns for efficient migration, there were mixed views on whether HFE should compensate for geographic and other cost</w:t>
      </w:r>
      <w:r>
        <w:noBreakHyphen/>
        <w:t>related disadvantages (chapter 3, box 3.9).</w:t>
      </w:r>
    </w:p>
    <w:p w14:paraId="7954A393" w14:textId="77777777" w:rsidR="00F05DC7" w:rsidRDefault="00F05DC7" w:rsidP="00A3786D">
      <w:pPr>
        <w:pStyle w:val="Heading4"/>
      </w:pPr>
      <w:r>
        <w:t>Longer</w:t>
      </w:r>
      <w:r>
        <w:noBreakHyphen/>
        <w:t>term considerations for migration and development</w:t>
      </w:r>
    </w:p>
    <w:p w14:paraId="7954A394" w14:textId="77777777" w:rsidR="00F05DC7" w:rsidRDefault="00F05DC7" w:rsidP="00A3786D">
      <w:pPr>
        <w:pStyle w:val="BodyText"/>
      </w:pPr>
      <w:r>
        <w:t xml:space="preserve">The efficiency of Australia’s system of equalisation could also depend on whether it negatively effects patterns of settlement over time (box 5.1). </w:t>
      </w:r>
    </w:p>
    <w:p w14:paraId="7954A395" w14:textId="77777777" w:rsidR="00F05DC7" w:rsidRDefault="00F05DC7" w:rsidP="00A3786D">
      <w:pPr>
        <w:pStyle w:val="BodyText"/>
      </w:pPr>
      <w:r>
        <w:t>The WA Government argued that HFE has discouraged economic development opportunities, suggesting that this has con</w:t>
      </w:r>
      <w:r w:rsidRPr="00993E76">
        <w:t xml:space="preserve">sequences </w:t>
      </w:r>
      <w:r>
        <w:t xml:space="preserve">for </w:t>
      </w:r>
      <w:r w:rsidRPr="00993E76">
        <w:t xml:space="preserve">Australia’s </w:t>
      </w:r>
      <w:r>
        <w:t xml:space="preserve">long term settlement pattern and </w:t>
      </w:r>
      <w:r w:rsidRPr="00993E76">
        <w:t xml:space="preserve">for </w:t>
      </w:r>
      <w:r>
        <w:t xml:space="preserve">economic growth (sub. DR83, p. 15). </w:t>
      </w:r>
    </w:p>
    <w:p w14:paraId="7954A396" w14:textId="77777777" w:rsidR="00F05DC7" w:rsidRDefault="00F05DC7" w:rsidP="00A3786D">
      <w:pPr>
        <w:pStyle w:val="BodyText"/>
      </w:pPr>
      <w:r>
        <w:t>In contrast, participants from the Northern Territory argued that HFE helps to develop the State’s long</w:t>
      </w:r>
      <w:r>
        <w:noBreakHyphen/>
        <w:t>term economic potential and sustain its population. For example, the NT</w:t>
      </w:r>
      <w:r w:rsidRPr="00D13E68">
        <w:t xml:space="preserve"> Opposition</w:t>
      </w:r>
      <w:r>
        <w:t xml:space="preserve"> said that ‘</w:t>
      </w:r>
      <w:r w:rsidRPr="00D6016A">
        <w:t>[f]or the NT to grow and achieve sustainable population growth it will require levels of service provision comparable to competing Australian jurisdictions</w:t>
      </w:r>
      <w:r>
        <w:t xml:space="preserve">’ (sub. DR78, p. 11). Jack Priestly also said that the Northern Territory’s potential is ‘left untapped due to lack of infrastructure, population and services’ (sub. DR59, p. 1). </w:t>
      </w:r>
    </w:p>
    <w:p w14:paraId="7954A397" w14:textId="77777777" w:rsidR="00F05DC7" w:rsidRDefault="00F05DC7" w:rsidP="00A3786D">
      <w:pPr>
        <w:pStyle w:val="BodyText"/>
      </w:pPr>
      <w:r>
        <w:t>Participants in other fiscally weaker States have also contended that HFE helps to achieve long</w:t>
      </w:r>
      <w:r>
        <w:noBreakHyphen/>
        <w:t>term efficiency — for example, by ensuring that these States can maintain investment in health and education services to foster higher productivity growth over the long term (Queensland Government, sub. 32, p. 5; TasCOSS, sub. DR66, p. 3; Tasmanian Greens, sub. DR79, p. 2).</w:t>
      </w:r>
    </w:p>
    <w:p w14:paraId="7954A398" w14:textId="77777777" w:rsidR="00F05DC7" w:rsidRDefault="00F05DC7" w:rsidP="00A3786D">
      <w:pPr>
        <w:pStyle w:val="BodyText"/>
      </w:pPr>
      <w:r>
        <w:t>These arguments remain a point of contention between the States. It suggests that trade</w:t>
      </w:r>
      <w:r>
        <w:noBreakHyphen/>
        <w:t>offs are present, but that the long</w:t>
      </w:r>
      <w:r>
        <w:noBreakHyphen/>
        <w:t>term economic impacts of HFE on migration are not known, and perhaps can never be known. It does, however, imply that there is no single optimal point at which equalisation can enhance economic efficiency over the longer term.</w:t>
      </w:r>
    </w:p>
    <w:p w14:paraId="7954A399" w14:textId="77777777" w:rsidR="00F05DC7" w:rsidRDefault="00F05DC7" w:rsidP="00A3786D">
      <w:pPr>
        <w:pStyle w:val="Heading4"/>
      </w:pPr>
      <w:r>
        <w:t>Migration could depend on other forms of equalisation</w:t>
      </w:r>
    </w:p>
    <w:p w14:paraId="7954A39A" w14:textId="77777777" w:rsidR="00F05DC7" w:rsidRDefault="00F05DC7" w:rsidP="00A3786D">
      <w:pPr>
        <w:pStyle w:val="BodyText"/>
      </w:pPr>
      <w:r>
        <w:t>Efficient movement of labour and capital could also depend on other forms of fiscal equalisation that occur outside of Australia’s HFE system. This includes</w:t>
      </w:r>
      <w:r w:rsidRPr="000A48F7">
        <w:t xml:space="preserve"> </w:t>
      </w:r>
      <w:r>
        <w:t xml:space="preserve">the </w:t>
      </w:r>
      <w:r w:rsidRPr="000A48F7">
        <w:t>Commonwe</w:t>
      </w:r>
      <w:r>
        <w:t>alth’s own</w:t>
      </w:r>
      <w:r w:rsidRPr="000A48F7">
        <w:t xml:space="preserve"> </w:t>
      </w:r>
      <w:r>
        <w:t>spending and tax policies and the transfers it makes directly to States (chapter 2).</w:t>
      </w:r>
    </w:p>
    <w:p w14:paraId="7954A39B" w14:textId="5487AA22" w:rsidR="00F05DC7" w:rsidRDefault="00F05DC7" w:rsidP="00A3786D">
      <w:pPr>
        <w:pStyle w:val="BodyText"/>
      </w:pPr>
      <w:r>
        <w:t>Commonwealth tax</w:t>
      </w:r>
      <w:r>
        <w:noBreakHyphen/>
        <w:t xml:space="preserve">transfer policies reallocate funds based on a person’s income and spending behaviour and their need for public services. As incomes vary across States, some </w:t>
      </w:r>
      <w:r>
        <w:lastRenderedPageBreak/>
        <w:t xml:space="preserve">States receive more in benefits than they pay in taxes, and some States receive less. For example, as people in Western Australia, the Northern Territory and the ACT earn higher incomes on average than those in other States, they pay much more personal income tax than they receive in social security benefits, while the reverse is true for Tasmania </w:t>
      </w:r>
      <w:r w:rsidR="009D6331" w:rsidRPr="009D6331">
        <w:rPr>
          <w:szCs w:val="24"/>
        </w:rPr>
        <w:t>(ABS 2017a, 2017b)</w:t>
      </w:r>
      <w:r>
        <w:t>.</w:t>
      </w:r>
      <w:r w:rsidDel="00E14B74">
        <w:t xml:space="preserve"> </w:t>
      </w:r>
    </w:p>
    <w:p w14:paraId="7954A39C" w14:textId="77777777" w:rsidR="00F05DC7" w:rsidRDefault="00F05DC7">
      <w:pPr>
        <w:pStyle w:val="BodyText"/>
      </w:pPr>
      <w:r>
        <w:t xml:space="preserve">That said, the extent to which Commonwealth spending and taxes influence movement across State borders depends on whether it </w:t>
      </w:r>
      <w:r w:rsidRPr="00DD18EB">
        <w:t>creates differences in</w:t>
      </w:r>
      <w:r>
        <w:t xml:space="preserve"> net fiscal benefits. Most taxes and social security spending are applied on a nationally consistent basis. It is therefore unlikely to encourage inefficient fiscal migration</w:t>
      </w:r>
      <w:r w:rsidRPr="00E725DF">
        <w:t>.</w:t>
      </w:r>
    </w:p>
    <w:p w14:paraId="7954A39D" w14:textId="365590D3" w:rsidR="00F05DC7" w:rsidRDefault="00F05DC7" w:rsidP="00A3786D">
      <w:pPr>
        <w:pStyle w:val="BodyText"/>
      </w:pPr>
      <w:r w:rsidRPr="00E725DF">
        <w:t>Australian States also receive significant payments from the Commonwealth for specific purposes</w:t>
      </w:r>
      <w:r>
        <w:t xml:space="preserve">. </w:t>
      </w:r>
      <w:r w:rsidRPr="00E725DF">
        <w:t xml:space="preserve">The </w:t>
      </w:r>
      <w:r w:rsidRPr="00293732">
        <w:t xml:space="preserve">majority of payments for specific purposes are also taken into account in determining the GST relativities </w:t>
      </w:r>
      <w:r w:rsidR="009D6331" w:rsidRPr="009D6331">
        <w:rPr>
          <w:szCs w:val="24"/>
        </w:rPr>
        <w:t>(CGC 2015f, p. 46)</w:t>
      </w:r>
      <w:r w:rsidRPr="00293732">
        <w:t>.</w:t>
      </w:r>
      <w:r w:rsidRPr="00E43BFB">
        <w:t xml:space="preserve"> </w:t>
      </w:r>
      <w:r>
        <w:t>Overall, these forms of redistribution are small relative to the size of government revenues for most States (figure 5.1). As such, they are unlikely to create differences in net fiscal benefits large enough to attract labour and capital.</w:t>
      </w:r>
    </w:p>
    <w:p w14:paraId="7954A39E" w14:textId="77777777" w:rsidR="00F05DC7" w:rsidRDefault="00F05DC7" w:rsidP="00A3786D">
      <w:pPr>
        <w:pStyle w:val="BodyText"/>
      </w:pPr>
      <w:r w:rsidRPr="00ED4522">
        <w:t>The ACT Government (sub. DR81, pp. 32</w:t>
      </w:r>
      <w:r>
        <w:t>–3</w:t>
      </w:r>
      <w:r w:rsidRPr="00ED4522">
        <w:t>3)</w:t>
      </w:r>
      <w:r>
        <w:t xml:space="preserve"> </w:t>
      </w:r>
      <w:r w:rsidRPr="00ED4522">
        <w:t xml:space="preserve">noted that </w:t>
      </w:r>
      <w:r>
        <w:t>while</w:t>
      </w:r>
      <w:r w:rsidRPr="00ED4522">
        <w:t xml:space="preserve"> </w:t>
      </w:r>
      <w:r>
        <w:t>the</w:t>
      </w:r>
      <w:r w:rsidRPr="00ED4522">
        <w:t xml:space="preserve"> </w:t>
      </w:r>
      <w:r>
        <w:t xml:space="preserve">average </w:t>
      </w:r>
      <w:r w:rsidRPr="00C20324">
        <w:t xml:space="preserve">amount of </w:t>
      </w:r>
      <w:r w:rsidRPr="00ED4522">
        <w:t xml:space="preserve">GST </w:t>
      </w:r>
      <w:r w:rsidRPr="00C20324">
        <w:t>redistributed (from an equal per capita distribution)</w:t>
      </w:r>
      <w:r w:rsidRPr="00ED4522">
        <w:t xml:space="preserve"> as a proportion of </w:t>
      </w:r>
      <w:r w:rsidRPr="00C20324">
        <w:t>a</w:t>
      </w:r>
      <w:r w:rsidRPr="00ED4522">
        <w:t xml:space="preserve"> State’s </w:t>
      </w:r>
      <w:r w:rsidRPr="00C20324">
        <w:t xml:space="preserve">total </w:t>
      </w:r>
      <w:r w:rsidRPr="00ED4522">
        <w:t>revenue</w:t>
      </w:r>
      <w:r>
        <w:t xml:space="preserve"> is typically very small (</w:t>
      </w:r>
      <w:r w:rsidRPr="00C20324">
        <w:t>2.8 per cent overall</w:t>
      </w:r>
      <w:r>
        <w:t xml:space="preserve"> in 2015</w:t>
      </w:r>
      <w:r>
        <w:noBreakHyphen/>
        <w:t>16)</w:t>
      </w:r>
      <w:r w:rsidRPr="00C20324">
        <w:t xml:space="preserve">, </w:t>
      </w:r>
      <w:r>
        <w:t>it</w:t>
      </w:r>
      <w:r w:rsidRPr="00C20324">
        <w:t xml:space="preserve"> varie</w:t>
      </w:r>
      <w:r>
        <w:t>s</w:t>
      </w:r>
      <w:r w:rsidRPr="00C20324">
        <w:t xml:space="preserve"> si</w:t>
      </w:r>
      <w:r>
        <w:t>gnificantly between the States:</w:t>
      </w:r>
    </w:p>
    <w:p w14:paraId="7954A39F" w14:textId="77777777" w:rsidR="00F05DC7" w:rsidRDefault="00F05DC7" w:rsidP="00A3786D">
      <w:pPr>
        <w:pStyle w:val="ListBullet"/>
      </w:pPr>
      <w:r>
        <w:t>f</w:t>
      </w:r>
      <w:r w:rsidRPr="00C20324">
        <w:t xml:space="preserve">or New South Wales, the </w:t>
      </w:r>
      <w:r>
        <w:t xml:space="preserve">amount of </w:t>
      </w:r>
      <w:r w:rsidRPr="00C20324">
        <w:t>GST redistribut</w:t>
      </w:r>
      <w:r>
        <w:t>ed</w:t>
      </w:r>
      <w:r w:rsidRPr="00C20324">
        <w:t xml:space="preserve"> </w:t>
      </w:r>
      <w:r w:rsidRPr="00C20324">
        <w:rPr>
          <w:i/>
        </w:rPr>
        <w:t>away</w:t>
      </w:r>
      <w:r w:rsidRPr="00C20324">
        <w:t xml:space="preserve"> from the State was</w:t>
      </w:r>
      <w:r>
        <w:t xml:space="preserve"> only</w:t>
      </w:r>
      <w:r w:rsidRPr="00C20324">
        <w:t xml:space="preserve"> 1.2 per cent of its total revenue </w:t>
      </w:r>
    </w:p>
    <w:p w14:paraId="7954A3A0" w14:textId="77777777" w:rsidR="00F05DC7" w:rsidRDefault="00F05DC7" w:rsidP="00A3786D">
      <w:pPr>
        <w:pStyle w:val="ListBullet"/>
      </w:pPr>
      <w:r>
        <w:t>for the</w:t>
      </w:r>
      <w:r w:rsidRPr="00FE45BF">
        <w:t xml:space="preserve"> </w:t>
      </w:r>
      <w:r w:rsidRPr="0059065B">
        <w:t>Northern Territory</w:t>
      </w:r>
      <w:r>
        <w:t xml:space="preserve">, </w:t>
      </w:r>
      <w:r w:rsidRPr="00C20324">
        <w:t xml:space="preserve">the </w:t>
      </w:r>
      <w:r>
        <w:t xml:space="preserve">amount of </w:t>
      </w:r>
      <w:r w:rsidRPr="00C20324">
        <w:t>GST redistribut</w:t>
      </w:r>
      <w:r>
        <w:t>ed</w:t>
      </w:r>
      <w:r w:rsidRPr="00C20324">
        <w:t xml:space="preserve"> </w:t>
      </w:r>
      <w:r>
        <w:rPr>
          <w:i/>
        </w:rPr>
        <w:t xml:space="preserve">to </w:t>
      </w:r>
      <w:r w:rsidRPr="00C20324">
        <w:t xml:space="preserve">the </w:t>
      </w:r>
      <w:r>
        <w:t>State represented</w:t>
      </w:r>
      <w:r w:rsidRPr="00C20324">
        <w:t xml:space="preserve"> 44.2 per cent of its total revenue</w:t>
      </w:r>
      <w:r w:rsidRPr="00927617">
        <w:t>.</w:t>
      </w:r>
    </w:p>
    <w:p w14:paraId="7954A3A1" w14:textId="77777777" w:rsidR="00F05DC7" w:rsidRDefault="00F05DC7" w:rsidP="00A3786D">
      <w:pPr>
        <w:pStyle w:val="BodyText"/>
      </w:pPr>
      <w:r>
        <w:t>Although</w:t>
      </w:r>
      <w:r w:rsidRPr="00ED4522">
        <w:t xml:space="preserve"> the amount of GST redistributed as a result of HFE can be </w:t>
      </w:r>
      <w:r>
        <w:t xml:space="preserve">an </w:t>
      </w:r>
      <w:r w:rsidRPr="00ED4522">
        <w:t xml:space="preserve">important </w:t>
      </w:r>
      <w:r>
        <w:t>source of funding for smaller States</w:t>
      </w:r>
      <w:r w:rsidRPr="00ED4522">
        <w:t xml:space="preserve">, it </w:t>
      </w:r>
      <w:r>
        <w:t>remains</w:t>
      </w:r>
      <w:r w:rsidRPr="00ED4522">
        <w:t xml:space="preserve"> small in the context </w:t>
      </w:r>
      <w:r w:rsidRPr="00C8024D">
        <w:t>of total government revenue</w:t>
      </w:r>
      <w:r>
        <w:t xml:space="preserve"> and overall economic activity. </w:t>
      </w:r>
    </w:p>
    <w:p w14:paraId="7954A3A2" w14:textId="77777777" w:rsidR="00F05DC7" w:rsidRDefault="00F05DC7" w:rsidP="00A3786D">
      <w:pPr>
        <w:pStyle w:val="Heading4"/>
      </w:pPr>
      <w:r>
        <w:t>Labour and capital movements in Australia</w:t>
      </w:r>
    </w:p>
    <w:p w14:paraId="7954A3A3" w14:textId="77777777" w:rsidR="00F05DC7" w:rsidRDefault="00F05DC7" w:rsidP="00A3786D">
      <w:pPr>
        <w:pStyle w:val="BodyText"/>
      </w:pPr>
      <w:r>
        <w:t>There are many factors that drive movements of labour and capital across State borders, but most moves are for work or family reasons.</w:t>
      </w:r>
      <w:r w:rsidRPr="00282527">
        <w:rPr>
          <w:rStyle w:val="FootnoteReference"/>
        </w:rPr>
        <w:footnoteReference w:id="10"/>
      </w:r>
      <w:r>
        <w:t xml:space="preserve"> Australia has negligible barriers to interstate movement of labour and capital. It has a common goods and services market, centralised legal, financial and policy institutions (including federal</w:t>
      </w:r>
      <w:r>
        <w:noBreakHyphen/>
        <w:t xml:space="preserve">based tax and social security systems) and an open labour market. </w:t>
      </w:r>
    </w:p>
    <w:p w14:paraId="7954A3A5" w14:textId="77777777" w:rsidR="00F05DC7" w:rsidRPr="00ED4522" w:rsidRDefault="00F05DC7" w:rsidP="005A6B5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A8" w14:textId="77777777" w:rsidTr="00A3786D">
        <w:trPr>
          <w:tblHeader/>
        </w:trPr>
        <w:tc>
          <w:tcPr>
            <w:tcW w:w="5000" w:type="pct"/>
            <w:tcBorders>
              <w:top w:val="single" w:sz="6" w:space="0" w:color="78A22F"/>
              <w:left w:val="nil"/>
              <w:bottom w:val="nil"/>
              <w:right w:val="nil"/>
            </w:tcBorders>
            <w:shd w:val="clear" w:color="auto" w:fill="auto"/>
          </w:tcPr>
          <w:p w14:paraId="7954A3A6" w14:textId="71DD2AD7" w:rsidR="00F05DC7" w:rsidRDefault="00F05DC7" w:rsidP="00A3786D">
            <w:pPr>
              <w:pStyle w:val="FigureTitle"/>
            </w:pPr>
            <w:r w:rsidRPr="00784A05">
              <w:rPr>
                <w:b w:val="0"/>
              </w:rPr>
              <w:t xml:space="preserve">Figure </w:t>
            </w:r>
            <w:r>
              <w:rPr>
                <w:b w:val="0"/>
              </w:rPr>
              <w:t>5.</w:t>
            </w:r>
            <w:r>
              <w:rPr>
                <w:b w:val="0"/>
                <w:noProof/>
              </w:rPr>
              <w:t>1</w:t>
            </w:r>
            <w:r>
              <w:tab/>
              <w:t>GST redistribution represents 1.2 per cent of all government revenue</w:t>
            </w:r>
            <w:r w:rsidRPr="004543C8">
              <w:rPr>
                <w:rStyle w:val="NoteLabel"/>
                <w:b/>
              </w:rPr>
              <w:t>a,b</w:t>
            </w:r>
            <w:r>
              <w:rPr>
                <w:rStyle w:val="NoteLabel"/>
                <w:b/>
              </w:rPr>
              <w:t>,c</w:t>
            </w:r>
          </w:p>
          <w:p w14:paraId="7954A3A7" w14:textId="77777777" w:rsidR="00F05DC7" w:rsidRPr="00176D3F" w:rsidRDefault="00F05DC7" w:rsidP="00A3786D">
            <w:pPr>
              <w:pStyle w:val="Subtitle"/>
            </w:pPr>
            <w:r>
              <w:t>2015</w:t>
            </w:r>
            <w:r>
              <w:noBreakHyphen/>
              <w:t>16</w:t>
            </w:r>
          </w:p>
        </w:tc>
      </w:tr>
      <w:tr w:rsidR="00F05DC7" w14:paraId="7954A3AC" w14:textId="77777777" w:rsidTr="00A3786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05DC7" w:rsidRPr="00B1465D" w14:paraId="7954A3AA" w14:textId="77777777" w:rsidTr="00A3786D">
              <w:trPr>
                <w:tblHeader/>
                <w:jc w:val="center"/>
              </w:trPr>
              <w:tc>
                <w:tcPr>
                  <w:tcW w:w="8505" w:type="dxa"/>
                  <w:tcBorders>
                    <w:top w:val="nil"/>
                    <w:bottom w:val="nil"/>
                  </w:tcBorders>
                </w:tcPr>
                <w:p w14:paraId="7954A3A9" w14:textId="591C8582" w:rsidR="00F05DC7" w:rsidRPr="00B1465D" w:rsidRDefault="00385AA2" w:rsidP="00A3786D">
                  <w:pPr>
                    <w:pStyle w:val="Figure"/>
                    <w:spacing w:before="60" w:after="60"/>
                    <w:rPr>
                      <w:rFonts w:ascii="Arial" w:hAnsi="Arial" w:cs="Arial"/>
                      <w:sz w:val="18"/>
                      <w:szCs w:val="18"/>
                    </w:rPr>
                  </w:pPr>
                  <w:r w:rsidRPr="00385AA2">
                    <w:rPr>
                      <w:rFonts w:ascii="Arial" w:hAnsi="Arial" w:cs="Arial"/>
                      <w:noProof/>
                      <w:sz w:val="18"/>
                      <w:szCs w:val="18"/>
                    </w:rPr>
                    <w:drawing>
                      <wp:inline distT="0" distB="0" distL="0" distR="0" wp14:anchorId="61F310A1" wp14:editId="053647E2">
                        <wp:extent cx="5335270" cy="2780665"/>
                        <wp:effectExtent l="0" t="0" r="0" b="635"/>
                        <wp:docPr id="250" name="Picture 250" descr="This figure shows the amount of government revenue represented by GST. It shows that GST redistribution represents a very small share (1.2 per cent) of redistribution when compared to other much larger sources, such as Commonwealth own-use revenue and State own-source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35270" cy="2780665"/>
                                </a:xfrm>
                                <a:prstGeom prst="rect">
                                  <a:avLst/>
                                </a:prstGeom>
                                <a:noFill/>
                                <a:ln>
                                  <a:noFill/>
                                </a:ln>
                              </pic:spPr>
                            </pic:pic>
                          </a:graphicData>
                        </a:graphic>
                      </wp:inline>
                    </w:drawing>
                  </w:r>
                </w:p>
              </w:tc>
            </w:tr>
          </w:tbl>
          <w:p w14:paraId="7954A3AB" w14:textId="77777777" w:rsidR="00F05DC7" w:rsidRDefault="00F05DC7" w:rsidP="00A3786D">
            <w:pPr>
              <w:pStyle w:val="Figure"/>
            </w:pPr>
          </w:p>
        </w:tc>
      </w:tr>
      <w:tr w:rsidR="00F05DC7" w:rsidRPr="00176D3F" w14:paraId="7954A3AE" w14:textId="77777777" w:rsidTr="00A3786D">
        <w:tc>
          <w:tcPr>
            <w:tcW w:w="5000" w:type="pct"/>
            <w:tcBorders>
              <w:top w:val="nil"/>
              <w:left w:val="nil"/>
              <w:bottom w:val="nil"/>
              <w:right w:val="nil"/>
            </w:tcBorders>
            <w:shd w:val="clear" w:color="auto" w:fill="auto"/>
          </w:tcPr>
          <w:p w14:paraId="7954A3AD" w14:textId="77777777" w:rsidR="00F05DC7" w:rsidRDefault="00F05DC7" w:rsidP="00A3786D">
            <w:pPr>
              <w:pStyle w:val="Source"/>
              <w:rPr>
                <w:i/>
              </w:rPr>
            </w:pPr>
            <w:r w:rsidRPr="004A5264">
              <w:rPr>
                <w:rStyle w:val="NoteLabel"/>
              </w:rPr>
              <w:t>a</w:t>
            </w:r>
            <w:r>
              <w:rPr>
                <w:rStyle w:val="NoteLabel"/>
              </w:rPr>
              <w:t> </w:t>
            </w:r>
            <w:r>
              <w:t>Commonwealth own</w:t>
            </w:r>
            <w:r>
              <w:noBreakHyphen/>
              <w:t>use revenue refers to total Commonwealth revenue less GST and payments for specific purposes. State and local government own</w:t>
            </w:r>
            <w:r>
              <w:noBreakHyphen/>
              <w:t>source revenues exclude grants and subsidies.</w:t>
            </w:r>
            <w:r>
              <w:rPr>
                <w:rStyle w:val="NoteChar"/>
              </w:rPr>
              <w:t xml:space="preserve"> </w:t>
            </w:r>
            <w:r>
              <w:rPr>
                <w:rStyle w:val="NoteLabel"/>
              </w:rPr>
              <w:t>b</w:t>
            </w:r>
            <w:r>
              <w:t> </w:t>
            </w:r>
            <w:r w:rsidRPr="00E725DF">
              <w:rPr>
                <w:rStyle w:val="NoteChar"/>
              </w:rPr>
              <w:t>GST (redistributed amount) refers to the</w:t>
            </w:r>
            <w:r>
              <w:rPr>
                <w:rStyle w:val="NoteChar"/>
              </w:rPr>
              <w:t xml:space="preserve"> </w:t>
            </w:r>
            <w:r w:rsidRPr="00E725DF">
              <w:rPr>
                <w:rStyle w:val="NoteChar"/>
              </w:rPr>
              <w:t>total amount redistributed away from an equal per capita distribution as a result of the CGC</w:t>
            </w:r>
            <w:r>
              <w:rPr>
                <w:rStyle w:val="NoteChar"/>
              </w:rPr>
              <w:t>’</w:t>
            </w:r>
            <w:r w:rsidRPr="00E725DF">
              <w:rPr>
                <w:rStyle w:val="NoteChar"/>
              </w:rPr>
              <w:t>s assessment.</w:t>
            </w:r>
            <w:r>
              <w:t xml:space="preserve"> </w:t>
            </w:r>
            <w:r w:rsidRPr="00E725DF">
              <w:rPr>
                <w:rStyle w:val="NoteChar"/>
              </w:rPr>
              <w:t>GST (total less redistributed</w:t>
            </w:r>
            <w:r>
              <w:rPr>
                <w:rStyle w:val="NoteChar"/>
              </w:rPr>
              <w:t xml:space="preserve"> amount</w:t>
            </w:r>
            <w:r w:rsidRPr="00E725DF">
              <w:rPr>
                <w:rStyle w:val="NoteChar"/>
              </w:rPr>
              <w:t xml:space="preserve">) </w:t>
            </w:r>
            <w:r>
              <w:rPr>
                <w:rStyle w:val="NoteChar"/>
              </w:rPr>
              <w:t xml:space="preserve">also </w:t>
            </w:r>
            <w:r w:rsidRPr="00E725DF">
              <w:rPr>
                <w:rStyle w:val="NoteChar"/>
              </w:rPr>
              <w:t>includes $786</w:t>
            </w:r>
            <w:r>
              <w:rPr>
                <w:rStyle w:val="NoteChar"/>
              </w:rPr>
              <w:t> </w:t>
            </w:r>
            <w:r w:rsidRPr="00E725DF">
              <w:rPr>
                <w:rStyle w:val="NoteChar"/>
              </w:rPr>
              <w:t>million in funding for other general revenue assistance.</w:t>
            </w:r>
            <w:r w:rsidRPr="004A5264">
              <w:rPr>
                <w:rStyle w:val="NoteLabel"/>
              </w:rPr>
              <w:t xml:space="preserve"> </w:t>
            </w:r>
            <w:r>
              <w:rPr>
                <w:rStyle w:val="NoteLabel"/>
              </w:rPr>
              <w:t>c</w:t>
            </w:r>
            <w:r>
              <w:t> </w:t>
            </w:r>
            <w:r>
              <w:rPr>
                <w:rStyle w:val="NoteChar"/>
              </w:rPr>
              <w:t>Specific purpose payments are an expense for the Commonwealth.</w:t>
            </w:r>
          </w:p>
        </w:tc>
      </w:tr>
      <w:tr w:rsidR="00F05DC7" w:rsidRPr="00176D3F" w14:paraId="7954A3B0" w14:textId="77777777" w:rsidTr="00A3786D">
        <w:tc>
          <w:tcPr>
            <w:tcW w:w="5000" w:type="pct"/>
            <w:tcBorders>
              <w:top w:val="nil"/>
              <w:left w:val="nil"/>
              <w:bottom w:val="nil"/>
              <w:right w:val="nil"/>
            </w:tcBorders>
            <w:shd w:val="clear" w:color="auto" w:fill="auto"/>
          </w:tcPr>
          <w:p w14:paraId="7954A3AF" w14:textId="54CC874F" w:rsidR="00F05DC7" w:rsidRPr="00176D3F" w:rsidRDefault="00F05DC7">
            <w:pPr>
              <w:pStyle w:val="Source"/>
            </w:pPr>
            <w:r>
              <w:rPr>
                <w:i/>
              </w:rPr>
              <w:t>S</w:t>
            </w:r>
            <w:r w:rsidRPr="00784A05">
              <w:rPr>
                <w:i/>
              </w:rPr>
              <w:t>ource</w:t>
            </w:r>
            <w:r w:rsidRPr="00176D3F">
              <w:t xml:space="preserve">: </w:t>
            </w:r>
            <w:r>
              <w:t>Productivity Commission estimates using ABS (</w:t>
            </w:r>
            <w:r w:rsidRPr="00293732">
              <w:rPr>
                <w:i/>
              </w:rPr>
              <w:t>Government Finance Statistics, Australia, 2015</w:t>
            </w:r>
            <w:r>
              <w:rPr>
                <w:i/>
              </w:rPr>
              <w:noBreakHyphen/>
            </w:r>
            <w:r w:rsidRPr="00293732">
              <w:rPr>
                <w:i/>
              </w:rPr>
              <w:t>16</w:t>
            </w:r>
            <w:r>
              <w:t xml:space="preserve">, Cat. no. 5512.0); Commonwealth of Australia </w:t>
            </w:r>
            <w:r w:rsidR="009D6331" w:rsidRPr="009D6331">
              <w:rPr>
                <w:rFonts w:cs="Arial"/>
              </w:rPr>
              <w:t>(2016a)</w:t>
            </w:r>
            <w:r>
              <w:t xml:space="preserve">; CGC </w:t>
            </w:r>
            <w:r w:rsidR="009D6331" w:rsidRPr="009D6331">
              <w:rPr>
                <w:rFonts w:cs="Arial"/>
              </w:rPr>
              <w:t>(2015e)</w:t>
            </w:r>
            <w:r>
              <w:t>.</w:t>
            </w:r>
          </w:p>
        </w:tc>
      </w:tr>
      <w:tr w:rsidR="00F05DC7" w14:paraId="7954A3B2" w14:textId="77777777" w:rsidTr="00A3786D">
        <w:tc>
          <w:tcPr>
            <w:tcW w:w="5000" w:type="pct"/>
            <w:tcBorders>
              <w:top w:val="nil"/>
              <w:left w:val="nil"/>
              <w:bottom w:val="single" w:sz="6" w:space="0" w:color="78A22F"/>
              <w:right w:val="nil"/>
            </w:tcBorders>
            <w:shd w:val="clear" w:color="auto" w:fill="auto"/>
          </w:tcPr>
          <w:p w14:paraId="7954A3B1" w14:textId="77777777" w:rsidR="00F05DC7" w:rsidRDefault="00F05DC7" w:rsidP="00A3786D">
            <w:pPr>
              <w:pStyle w:val="Figurespace"/>
            </w:pPr>
          </w:p>
        </w:tc>
      </w:tr>
      <w:tr w:rsidR="00F05DC7" w:rsidRPr="000863A5" w14:paraId="7954A3B4" w14:textId="77777777" w:rsidTr="00A3786D">
        <w:tc>
          <w:tcPr>
            <w:tcW w:w="5000" w:type="pct"/>
            <w:tcBorders>
              <w:top w:val="single" w:sz="6" w:space="0" w:color="78A22F"/>
              <w:left w:val="nil"/>
              <w:bottom w:val="nil"/>
              <w:right w:val="nil"/>
            </w:tcBorders>
          </w:tcPr>
          <w:p w14:paraId="7954A3B3" w14:textId="77777777" w:rsidR="00F05DC7" w:rsidRPr="00626D32" w:rsidRDefault="00F05DC7" w:rsidP="00A3786D">
            <w:pPr>
              <w:pStyle w:val="BoxSpaceBelow"/>
            </w:pPr>
          </w:p>
        </w:tc>
      </w:tr>
    </w:tbl>
    <w:p w14:paraId="7954A3B5" w14:textId="77777777" w:rsidR="00F05DC7" w:rsidRPr="00ED4522" w:rsidRDefault="00F05DC7" w:rsidP="00A3786D">
      <w:pPr>
        <w:pStyle w:val="BodyText"/>
      </w:pPr>
      <w:r>
        <w:t>But w</w:t>
      </w:r>
      <w:r w:rsidRPr="009865CE">
        <w:t>hile Australia</w:t>
      </w:r>
      <w:r>
        <w:t xml:space="preserve"> does have a high level of</w:t>
      </w:r>
      <w:r w:rsidRPr="009865CE">
        <w:t xml:space="preserve"> </w:t>
      </w:r>
      <w:r>
        <w:t>intrastate</w:t>
      </w:r>
      <w:r w:rsidRPr="009865CE">
        <w:t xml:space="preserve"> m</w:t>
      </w:r>
      <w:r>
        <w:t>igration</w:t>
      </w:r>
      <w:r w:rsidRPr="009865CE">
        <w:t>, it is</w:t>
      </w:r>
      <w:r>
        <w:t xml:space="preserve"> far</w:t>
      </w:r>
      <w:r w:rsidRPr="009865CE">
        <w:t xml:space="preserve"> less common </w:t>
      </w:r>
      <w:r>
        <w:t>for people to</w:t>
      </w:r>
      <w:r w:rsidRPr="009865CE">
        <w:t xml:space="preserve"> move interstate</w:t>
      </w:r>
      <w:r>
        <w:t>.</w:t>
      </w:r>
      <w:r w:rsidRPr="009865CE">
        <w:t xml:space="preserve"> </w:t>
      </w:r>
      <w:r>
        <w:t xml:space="preserve">States also differ in their appeal as a destination for </w:t>
      </w:r>
      <w:r w:rsidRPr="00652DE0">
        <w:t>interstate migration. Queensland</w:t>
      </w:r>
      <w:r>
        <w:t>, and to a much lesser extent Western Australia,</w:t>
      </w:r>
      <w:r w:rsidRPr="00652DE0">
        <w:t xml:space="preserve"> ha</w:t>
      </w:r>
      <w:r>
        <w:t>ve</w:t>
      </w:r>
      <w:r w:rsidRPr="00652DE0">
        <w:t xml:space="preserve"> </w:t>
      </w:r>
      <w:r>
        <w:t>gained</w:t>
      </w:r>
      <w:r w:rsidRPr="00652DE0">
        <w:t xml:space="preserve"> </w:t>
      </w:r>
      <w:r>
        <w:t xml:space="preserve">more </w:t>
      </w:r>
      <w:r w:rsidRPr="00652DE0">
        <w:t>people</w:t>
      </w:r>
      <w:r>
        <w:t xml:space="preserve"> from interstate in recent decades than they have lost to other States,</w:t>
      </w:r>
      <w:r w:rsidRPr="00652DE0">
        <w:t xml:space="preserve"> wh</w:t>
      </w:r>
      <w:r>
        <w:t>ile</w:t>
      </w:r>
      <w:r w:rsidRPr="00652DE0">
        <w:t xml:space="preserve"> </w:t>
      </w:r>
      <w:r>
        <w:t>New South Wales</w:t>
      </w:r>
      <w:r w:rsidRPr="00652DE0">
        <w:t xml:space="preserve">, Victoria </w:t>
      </w:r>
      <w:r w:rsidRPr="00D12729">
        <w:t xml:space="preserve">and </w:t>
      </w:r>
      <w:r>
        <w:t>South Australia have traditionally lost people from this movement</w:t>
      </w:r>
      <w:r w:rsidRPr="00652DE0">
        <w:t>.</w:t>
      </w:r>
      <w:r w:rsidRPr="00282527">
        <w:rPr>
          <w:rStyle w:val="FootnoteReference"/>
        </w:rPr>
        <w:footnoteReference w:id="11"/>
      </w:r>
      <w:r>
        <w:t xml:space="preserve"> In more recent years, more people have moved out of Western Australia and into Victoria. </w:t>
      </w:r>
      <w:r w:rsidRPr="00ED4522" w:rsidDel="00CB3F88">
        <w:t>This change appears to be in response to the contrasting fortunes of these States, with people leaving Western Australia now that the construction phase of the mining boom has ended.</w:t>
      </w:r>
    </w:p>
    <w:p w14:paraId="7954A3B6" w14:textId="77777777" w:rsidR="00F05DC7" w:rsidRDefault="00F05DC7" w:rsidP="00A3786D">
      <w:pPr>
        <w:pStyle w:val="BodyText"/>
      </w:pPr>
      <w:r w:rsidRPr="00CB3F88">
        <w:t>More broadly, some States have grown much faster than others over the</w:t>
      </w:r>
      <w:r>
        <w:t xml:space="preserve"> past few decades. Population growth (which includes net interstate migration as well as natural growth and net overseas migration) has risen in Queensland and Western Australia as a share of the national population, while it has fallen considerably in South Australia and Tasmania (figure 5.2).</w:t>
      </w:r>
    </w:p>
    <w:p w14:paraId="7954A3B7" w14:textId="23CB9D97" w:rsidR="00F05DC7" w:rsidRPr="004046A6" w:rsidRDefault="00F05DC7" w:rsidP="00A3786D">
      <w:pPr>
        <w:pStyle w:val="BodyText"/>
        <w:rPr>
          <w:color w:val="000000"/>
          <w:sz w:val="26"/>
          <w:szCs w:val="26"/>
        </w:rPr>
      </w:pPr>
      <w:r>
        <w:lastRenderedPageBreak/>
        <w:t xml:space="preserve">Labour supply has, to some extent, </w:t>
      </w:r>
      <w:r w:rsidRPr="00F21444">
        <w:t>adjusted to meet changes in labour demand</w:t>
      </w:r>
      <w:r>
        <w:t xml:space="preserve"> between States</w:t>
      </w:r>
      <w:r w:rsidRPr="00F21444">
        <w:t xml:space="preserve">. </w:t>
      </w:r>
      <w:r w:rsidRPr="004046A6">
        <w:rPr>
          <w:rStyle w:val="BodyTextChar"/>
        </w:rPr>
        <w:t>The</w:t>
      </w:r>
      <w:r>
        <w:rPr>
          <w:rStyle w:val="BodyTextChar"/>
        </w:rPr>
        <w:t xml:space="preserve"> Productivity Commission’s </w:t>
      </w:r>
      <w:r w:rsidRPr="004046A6">
        <w:rPr>
          <w:rStyle w:val="BodyTextChar"/>
          <w:i/>
        </w:rPr>
        <w:t>Geographic Labour Mobility</w:t>
      </w:r>
      <w:r w:rsidRPr="004046A6">
        <w:rPr>
          <w:rStyle w:val="BodyTextChar"/>
        </w:rPr>
        <w:t xml:space="preserve"> </w:t>
      </w:r>
      <w:r>
        <w:rPr>
          <w:rStyle w:val="BodyTextChar"/>
        </w:rPr>
        <w:t>study</w:t>
      </w:r>
      <w:r w:rsidRPr="004046A6">
        <w:rPr>
          <w:rStyle w:val="BodyTextChar"/>
        </w:rPr>
        <w:t xml:space="preserve"> </w:t>
      </w:r>
      <w:r>
        <w:rPr>
          <w:rStyle w:val="BodyTextChar"/>
        </w:rPr>
        <w:t>concluded</w:t>
      </w:r>
      <w:r w:rsidRPr="004046A6">
        <w:rPr>
          <w:rStyle w:val="BodyTextChar"/>
        </w:rPr>
        <w:t xml:space="preserve"> that workers appear to be responding to market signals and moving to areas with better employment and income prospects</w:t>
      </w:r>
      <w:r>
        <w:rPr>
          <w:rStyle w:val="BodyTextChar"/>
        </w:rPr>
        <w:t>. The study also noted</w:t>
      </w:r>
      <w:r w:rsidRPr="004046A6">
        <w:rPr>
          <w:rStyle w:val="BodyTextChar"/>
        </w:rPr>
        <w:t xml:space="preserve"> that ‘there do not appear to be </w:t>
      </w:r>
      <w:r w:rsidRPr="004046A6">
        <w:rPr>
          <w:rStyle w:val="BodyTextChar"/>
          <w:i/>
        </w:rPr>
        <w:t>significant</w:t>
      </w:r>
      <w:r w:rsidRPr="004046A6">
        <w:rPr>
          <w:rStyle w:val="BodyTextChar"/>
        </w:rPr>
        <w:t xml:space="preserve"> impediments </w:t>
      </w:r>
      <w:r w:rsidRPr="004046A6">
        <w:t xml:space="preserve">that are distorting decisions’ </w:t>
      </w:r>
      <w:r w:rsidR="009D6331" w:rsidRPr="009D6331">
        <w:rPr>
          <w:szCs w:val="24"/>
        </w:rPr>
        <w:t>(PC 2014a, p. 19)</w:t>
      </w:r>
      <w:r>
        <w:t>.</w:t>
      </w:r>
    </w:p>
    <w:p w14:paraId="7954A3B8"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BB" w14:textId="77777777" w:rsidTr="00A3786D">
        <w:trPr>
          <w:tblHeader/>
        </w:trPr>
        <w:tc>
          <w:tcPr>
            <w:tcW w:w="5000" w:type="pct"/>
            <w:tcBorders>
              <w:top w:val="single" w:sz="6" w:space="0" w:color="78A22F"/>
              <w:left w:val="nil"/>
              <w:bottom w:val="nil"/>
              <w:right w:val="nil"/>
            </w:tcBorders>
            <w:shd w:val="clear" w:color="auto" w:fill="auto"/>
          </w:tcPr>
          <w:p w14:paraId="7954A3B9" w14:textId="722A75F5" w:rsidR="00F05DC7" w:rsidRDefault="00F05DC7" w:rsidP="00A3786D">
            <w:pPr>
              <w:pStyle w:val="FigureTitle"/>
            </w:pPr>
            <w:r w:rsidRPr="00784A05">
              <w:rPr>
                <w:b w:val="0"/>
              </w:rPr>
              <w:t xml:space="preserve">Figure </w:t>
            </w:r>
            <w:r>
              <w:rPr>
                <w:b w:val="0"/>
              </w:rPr>
              <w:t>5.</w:t>
            </w:r>
            <w:r>
              <w:rPr>
                <w:b w:val="0"/>
                <w:noProof/>
              </w:rPr>
              <w:t>2</w:t>
            </w:r>
            <w:r>
              <w:tab/>
              <w:t>States’ shares of the national population are changing</w:t>
            </w:r>
          </w:p>
          <w:p w14:paraId="7954A3BA" w14:textId="77777777" w:rsidR="00F05DC7" w:rsidRPr="00176D3F" w:rsidRDefault="00F05DC7">
            <w:pPr>
              <w:pStyle w:val="Subtitle"/>
            </w:pPr>
            <w:r>
              <w:t>State shares of the national population, compared to 1981</w:t>
            </w:r>
          </w:p>
        </w:tc>
      </w:tr>
      <w:tr w:rsidR="00F05DC7" w14:paraId="7954A3BF"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A3BD" w14:textId="77777777" w:rsidTr="00A3786D">
              <w:trPr>
                <w:tblHeader/>
                <w:jc w:val="center"/>
              </w:trPr>
              <w:tc>
                <w:tcPr>
                  <w:tcW w:w="5000" w:type="pct"/>
                  <w:tcBorders>
                    <w:top w:val="nil"/>
                    <w:bottom w:val="nil"/>
                  </w:tcBorders>
                </w:tcPr>
                <w:p w14:paraId="7954A3BC" w14:textId="77777777" w:rsidR="00F05DC7" w:rsidRPr="00B1465D" w:rsidRDefault="00F05DC7" w:rsidP="00A3786D">
                  <w:pPr>
                    <w:pStyle w:val="Figure"/>
                    <w:spacing w:before="60" w:after="60"/>
                    <w:rPr>
                      <w:rFonts w:ascii="Arial" w:hAnsi="Arial" w:cs="Arial"/>
                      <w:sz w:val="18"/>
                      <w:szCs w:val="18"/>
                    </w:rPr>
                  </w:pPr>
                  <w:r w:rsidRPr="00D657E2">
                    <w:rPr>
                      <w:rFonts w:ascii="Arial" w:hAnsi="Arial" w:cs="Arial"/>
                      <w:noProof/>
                      <w:sz w:val="18"/>
                      <w:szCs w:val="18"/>
                    </w:rPr>
                    <w:drawing>
                      <wp:inline distT="0" distB="0" distL="0" distR="0" wp14:anchorId="7954D60D" wp14:editId="20A27AA9">
                        <wp:extent cx="5429839" cy="2636407"/>
                        <wp:effectExtent l="0" t="0" r="0" b="0"/>
                        <wp:docPr id="71" name="Picture 71" descr="This figure shows State shares of the national population from 1981 to 2017. It shows that population growth (which includes net interstate migration as well as natural growth and net overseas migration) has risen in Queensland and Western Australia as a share of the national population, while it has fallen considerably in South Australia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35110" cy="2638967"/>
                                </a:xfrm>
                                <a:prstGeom prst="rect">
                                  <a:avLst/>
                                </a:prstGeom>
                                <a:noFill/>
                                <a:ln>
                                  <a:noFill/>
                                </a:ln>
                              </pic:spPr>
                            </pic:pic>
                          </a:graphicData>
                        </a:graphic>
                      </wp:inline>
                    </w:drawing>
                  </w:r>
                </w:p>
              </w:tc>
            </w:tr>
          </w:tbl>
          <w:p w14:paraId="7954A3BE" w14:textId="77777777" w:rsidR="00F05DC7" w:rsidRDefault="00F05DC7" w:rsidP="00A3786D">
            <w:pPr>
              <w:pStyle w:val="Figure"/>
            </w:pPr>
          </w:p>
        </w:tc>
      </w:tr>
      <w:tr w:rsidR="00F05DC7" w:rsidRPr="00176D3F" w14:paraId="7954A3C1" w14:textId="77777777" w:rsidTr="00A3786D">
        <w:tc>
          <w:tcPr>
            <w:tcW w:w="5000" w:type="pct"/>
            <w:tcBorders>
              <w:top w:val="nil"/>
              <w:left w:val="nil"/>
              <w:bottom w:val="nil"/>
              <w:right w:val="nil"/>
            </w:tcBorders>
            <w:shd w:val="clear" w:color="auto" w:fill="auto"/>
          </w:tcPr>
          <w:p w14:paraId="7954A3C0" w14:textId="77777777" w:rsidR="00F05DC7" w:rsidRPr="00176D3F" w:rsidRDefault="00F05DC7" w:rsidP="00A3786D">
            <w:pPr>
              <w:pStyle w:val="Source"/>
            </w:pPr>
            <w:r>
              <w:rPr>
                <w:i/>
              </w:rPr>
              <w:t>S</w:t>
            </w:r>
            <w:r w:rsidRPr="00784A05">
              <w:rPr>
                <w:i/>
              </w:rPr>
              <w:t>ource</w:t>
            </w:r>
            <w:r w:rsidRPr="00176D3F">
              <w:t xml:space="preserve">: </w:t>
            </w:r>
            <w:r>
              <w:t>Calculated using ABS (</w:t>
            </w:r>
            <w:r w:rsidRPr="00EA1DB6">
              <w:rPr>
                <w:i/>
              </w:rPr>
              <w:t xml:space="preserve">Australian Demographic Statistics, </w:t>
            </w:r>
            <w:r>
              <w:rPr>
                <w:i/>
              </w:rPr>
              <w:t>September</w:t>
            </w:r>
            <w:r w:rsidRPr="00EA1DB6">
              <w:rPr>
                <w:i/>
              </w:rPr>
              <w:t xml:space="preserve"> 201</w:t>
            </w:r>
            <w:r>
              <w:rPr>
                <w:i/>
              </w:rPr>
              <w:t>7</w:t>
            </w:r>
            <w:r>
              <w:t xml:space="preserve">, Cat. no. </w:t>
            </w:r>
            <w:r w:rsidRPr="00BA2ABD">
              <w:t>3</w:t>
            </w:r>
            <w:r>
              <w:t>101</w:t>
            </w:r>
            <w:r w:rsidRPr="00BA2ABD">
              <w:t>.0</w:t>
            </w:r>
            <w:r>
              <w:t>).</w:t>
            </w:r>
          </w:p>
        </w:tc>
      </w:tr>
      <w:tr w:rsidR="00F05DC7" w14:paraId="7954A3C3" w14:textId="77777777" w:rsidTr="00A3786D">
        <w:tc>
          <w:tcPr>
            <w:tcW w:w="5000" w:type="pct"/>
            <w:tcBorders>
              <w:top w:val="nil"/>
              <w:left w:val="nil"/>
              <w:bottom w:val="single" w:sz="6" w:space="0" w:color="78A22F"/>
              <w:right w:val="nil"/>
            </w:tcBorders>
            <w:shd w:val="clear" w:color="auto" w:fill="auto"/>
          </w:tcPr>
          <w:p w14:paraId="7954A3C2" w14:textId="77777777" w:rsidR="00F05DC7" w:rsidRDefault="00F05DC7" w:rsidP="00A3786D">
            <w:pPr>
              <w:pStyle w:val="Figurespace"/>
            </w:pPr>
          </w:p>
        </w:tc>
      </w:tr>
      <w:tr w:rsidR="00F05DC7" w:rsidRPr="000863A5" w14:paraId="7954A3C5" w14:textId="77777777" w:rsidTr="00A3786D">
        <w:tc>
          <w:tcPr>
            <w:tcW w:w="5000" w:type="pct"/>
            <w:tcBorders>
              <w:top w:val="single" w:sz="6" w:space="0" w:color="78A22F"/>
              <w:left w:val="nil"/>
              <w:bottom w:val="nil"/>
              <w:right w:val="nil"/>
            </w:tcBorders>
          </w:tcPr>
          <w:p w14:paraId="7954A3C4" w14:textId="77777777" w:rsidR="00F05DC7" w:rsidRPr="00626D32" w:rsidRDefault="00F05DC7" w:rsidP="00A3786D">
            <w:pPr>
              <w:pStyle w:val="BoxSpaceBelow"/>
            </w:pPr>
          </w:p>
        </w:tc>
      </w:tr>
    </w:tbl>
    <w:p w14:paraId="7954A3C6" w14:textId="0086BCD4" w:rsidR="00F05DC7" w:rsidRDefault="00F05DC7" w:rsidP="00A3786D">
      <w:pPr>
        <w:pStyle w:val="BodyText"/>
      </w:pPr>
      <w:r w:rsidRPr="000E6BA2">
        <w:t xml:space="preserve">Work is a primary reason for </w:t>
      </w:r>
      <w:r>
        <w:t>people to relocate, particularly for long</w:t>
      </w:r>
      <w:r>
        <w:noBreakHyphen/>
        <w:t>distance moves.</w:t>
      </w:r>
      <w:r w:rsidRPr="000E6BA2">
        <w:t xml:space="preserve"> According to </w:t>
      </w:r>
      <w:r>
        <w:t xml:space="preserve">respondents to the survey on </w:t>
      </w:r>
      <w:r w:rsidRPr="00C042C7">
        <w:rPr>
          <w:i/>
        </w:rPr>
        <w:t>Household, Income and Labour Dynamics in Australia</w:t>
      </w:r>
      <w:r w:rsidRPr="000E6BA2">
        <w:t xml:space="preserve">, </w:t>
      </w:r>
      <w:r>
        <w:t>it</w:t>
      </w:r>
      <w:r w:rsidRPr="000E6BA2">
        <w:t xml:space="preserve"> was the most common reason given by people in the labour force for moves of more than 30 km </w:t>
      </w:r>
      <w:r w:rsidR="009D6331" w:rsidRPr="009D6331">
        <w:rPr>
          <w:szCs w:val="24"/>
        </w:rPr>
        <w:t>(PC 2014a, p. 116)</w:t>
      </w:r>
      <w:r>
        <w:t>. However, while finding secure employment is an important reason for people to move, not everyone responds to the job opportunities that are on offer in different areas. For an individual, the signal of better income or job prospects that are available in another State (assuming they are known to them) would need to be weighed up against a raft of other considerations in deciding whether they should stay or move.</w:t>
      </w:r>
      <w:r w:rsidRPr="00974A4A">
        <w:t xml:space="preserve"> </w:t>
      </w:r>
    </w:p>
    <w:p w14:paraId="7954A3C7" w14:textId="77777777" w:rsidR="00F05DC7" w:rsidRDefault="00F05DC7" w:rsidP="00A3786D">
      <w:pPr>
        <w:pStyle w:val="BodyText"/>
      </w:pPr>
      <w:r>
        <w:t>The WA Government examined the relationship between relative economic performance and population movements across States. While the WA Government observed that these indicators tend to move in the same direction, there was not a strong relationship, suggesting that ‘</w:t>
      </w:r>
      <w:r w:rsidRPr="00291529">
        <w:t>work opportunities have not been a</w:t>
      </w:r>
      <w:r>
        <w:t xml:space="preserve"> </w:t>
      </w:r>
      <w:r w:rsidRPr="00291529">
        <w:t>consistently strong driver of interstate location choices</w:t>
      </w:r>
      <w:r>
        <w:t>’</w:t>
      </w:r>
      <w:r w:rsidRPr="00D902CE">
        <w:t xml:space="preserve"> </w:t>
      </w:r>
      <w:r>
        <w:t>(</w:t>
      </w:r>
      <w:r w:rsidRPr="00D42863">
        <w:t>sub.</w:t>
      </w:r>
      <w:r>
        <w:t> 1</w:t>
      </w:r>
      <w:r w:rsidRPr="00D42863">
        <w:t>5</w:t>
      </w:r>
      <w:r>
        <w:t>, p. 24).</w:t>
      </w:r>
    </w:p>
    <w:p w14:paraId="7954A3C8" w14:textId="6F45BB92" w:rsidR="00F05DC7" w:rsidRDefault="00F05DC7">
      <w:pPr>
        <w:pStyle w:val="BodyText"/>
      </w:pPr>
      <w:r>
        <w:t xml:space="preserve">Western Australia </w:t>
      </w:r>
      <w:r w:rsidRPr="000E6BA2">
        <w:t xml:space="preserve">has </w:t>
      </w:r>
      <w:r>
        <w:t xml:space="preserve">instead </w:t>
      </w:r>
      <w:r w:rsidRPr="000E6BA2">
        <w:t>relied much</w:t>
      </w:r>
      <w:r w:rsidRPr="00F21444">
        <w:t xml:space="preserve"> more on overseas migration to meet </w:t>
      </w:r>
      <w:r>
        <w:t>its</w:t>
      </w:r>
      <w:r w:rsidRPr="00F21444">
        <w:t xml:space="preserve"> labour demands</w:t>
      </w:r>
      <w:r>
        <w:t xml:space="preserve"> during the mining boom (figure 5.3). The WA Government concluded that Western Australia is ‘</w:t>
      </w:r>
      <w:r w:rsidRPr="00252572">
        <w:t xml:space="preserve">attracting far too few interstate migrants, relative to its strong economic </w:t>
      </w:r>
      <w:r w:rsidRPr="00252572">
        <w:lastRenderedPageBreak/>
        <w:t>performance’</w:t>
      </w:r>
      <w:r>
        <w:t xml:space="preserve"> (sub. 15, p. 26).</w:t>
      </w:r>
      <w:r w:rsidRPr="000E6BA2">
        <w:t xml:space="preserve"> This may in part reflect the </w:t>
      </w:r>
      <w:r>
        <w:t>rise of fly</w:t>
      </w:r>
      <w:r>
        <w:noBreakHyphen/>
        <w:t>in, fly</w:t>
      </w:r>
      <w:r>
        <w:noBreakHyphen/>
        <w:t xml:space="preserve">out workers from </w:t>
      </w:r>
      <w:r w:rsidRPr="00CB3F88">
        <w:t xml:space="preserve">other States and the distance and costs that prevent stronger interstate labour flows into Western Australia </w:t>
      </w:r>
      <w:r w:rsidR="009D6331" w:rsidRPr="009D6331">
        <w:rPr>
          <w:szCs w:val="24"/>
        </w:rPr>
        <w:t>(PC 2014a, 2017f)</w:t>
      </w:r>
      <w:r w:rsidRPr="00CB3F88">
        <w:t>.</w:t>
      </w:r>
      <w:r w:rsidRPr="00282527">
        <w:rPr>
          <w:rStyle w:val="FootnoteReference"/>
        </w:rPr>
        <w:footnoteReference w:id="12"/>
      </w:r>
    </w:p>
    <w:p w14:paraId="7954A3C9"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CC" w14:textId="77777777" w:rsidTr="00A3786D">
        <w:trPr>
          <w:tblHeader/>
        </w:trPr>
        <w:tc>
          <w:tcPr>
            <w:tcW w:w="5000" w:type="pct"/>
            <w:tcBorders>
              <w:top w:val="single" w:sz="6" w:space="0" w:color="78A22F"/>
              <w:left w:val="nil"/>
              <w:bottom w:val="nil"/>
              <w:right w:val="nil"/>
            </w:tcBorders>
            <w:shd w:val="clear" w:color="auto" w:fill="auto"/>
          </w:tcPr>
          <w:p w14:paraId="7954A3CA" w14:textId="533A0213" w:rsidR="00F05DC7" w:rsidRDefault="00F05DC7" w:rsidP="00A3786D">
            <w:pPr>
              <w:pStyle w:val="FigureTitle"/>
            </w:pPr>
            <w:r w:rsidRPr="00784A05">
              <w:rPr>
                <w:b w:val="0"/>
              </w:rPr>
              <w:t xml:space="preserve">Figure </w:t>
            </w:r>
            <w:r>
              <w:rPr>
                <w:b w:val="0"/>
              </w:rPr>
              <w:t>5.</w:t>
            </w:r>
            <w:r>
              <w:rPr>
                <w:b w:val="0"/>
                <w:noProof/>
              </w:rPr>
              <w:t>3</w:t>
            </w:r>
            <w:r>
              <w:tab/>
              <w:t>WA’s incremental labour needs have relied largely on overseas migrants</w:t>
            </w:r>
          </w:p>
          <w:p w14:paraId="7954A3CB" w14:textId="77777777" w:rsidR="00F05DC7" w:rsidRPr="00176D3F" w:rsidRDefault="00F05DC7" w:rsidP="00A3786D">
            <w:pPr>
              <w:pStyle w:val="Subtitle"/>
            </w:pPr>
            <w:r>
              <w:t>Net migration to Western Australia, overseas and interstate</w:t>
            </w:r>
          </w:p>
        </w:tc>
      </w:tr>
      <w:tr w:rsidR="00F05DC7" w14:paraId="7954A3D0" w14:textId="77777777" w:rsidTr="00A3786D">
        <w:tc>
          <w:tcPr>
            <w:tcW w:w="5000" w:type="pct"/>
            <w:tcBorders>
              <w:top w:val="nil"/>
              <w:left w:val="nil"/>
              <w:bottom w:val="nil"/>
              <w:right w:val="nil"/>
            </w:tcBorders>
            <w:shd w:val="clear" w:color="auto" w:fill="auto"/>
            <w:tcMar>
              <w:top w:w="28" w:type="dxa"/>
              <w:bottom w:w="28" w:type="dxa"/>
            </w:tcMar>
          </w:tcPr>
          <w:tbl>
            <w:tblPr>
              <w:tblW w:w="878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9"/>
            </w:tblGrid>
            <w:tr w:rsidR="00F05DC7" w:rsidRPr="00B1465D" w14:paraId="7954A3CE" w14:textId="77777777" w:rsidTr="00A3786D">
              <w:trPr>
                <w:tblHeader/>
                <w:jc w:val="center"/>
              </w:trPr>
              <w:tc>
                <w:tcPr>
                  <w:tcW w:w="8789" w:type="dxa"/>
                  <w:tcBorders>
                    <w:top w:val="nil"/>
                    <w:bottom w:val="nil"/>
                  </w:tcBorders>
                </w:tcPr>
                <w:p w14:paraId="7954A3CD" w14:textId="77777777" w:rsidR="00F05DC7" w:rsidRPr="00B1465D" w:rsidRDefault="00F05DC7" w:rsidP="00A3786D">
                  <w:pPr>
                    <w:pStyle w:val="Figure"/>
                    <w:spacing w:before="60" w:after="60"/>
                    <w:rPr>
                      <w:rFonts w:ascii="Arial" w:hAnsi="Arial" w:cs="Arial"/>
                      <w:sz w:val="18"/>
                      <w:szCs w:val="18"/>
                    </w:rPr>
                  </w:pPr>
                  <w:r w:rsidRPr="00480EC3">
                    <w:rPr>
                      <w:rFonts w:ascii="Arial" w:hAnsi="Arial" w:cs="Arial"/>
                      <w:noProof/>
                      <w:sz w:val="18"/>
                      <w:szCs w:val="18"/>
                    </w:rPr>
                    <w:drawing>
                      <wp:inline distT="0" distB="0" distL="0" distR="0" wp14:anchorId="7954D60F" wp14:editId="7954D610">
                        <wp:extent cx="5394960" cy="2926080"/>
                        <wp:effectExtent l="0" t="0" r="0" b="7620"/>
                        <wp:docPr id="72" name="Picture 72" descr="This figure shows the net interstate migration and net overseas migration that has occurred in Western Australia from 2005 to 2016. Net overseas migration to Western Australia has been much larger (about five times the size of net interstate migration). Both forms of migration follow a similar pattern. Both decreased in 2010 following the global financial crisis and increased with WA’s mining boom in the years afterwards. From a peak in 2012, migration has reduced. Net interstate migration to Western Australia has been negative si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tc>
            </w:tr>
          </w:tbl>
          <w:p w14:paraId="7954A3CF" w14:textId="77777777" w:rsidR="00F05DC7" w:rsidRDefault="00F05DC7" w:rsidP="00A3786D">
            <w:pPr>
              <w:pStyle w:val="Figure"/>
            </w:pPr>
          </w:p>
        </w:tc>
      </w:tr>
      <w:tr w:rsidR="00F05DC7" w:rsidRPr="00176D3F" w14:paraId="7954A3D2" w14:textId="77777777" w:rsidTr="00A3786D">
        <w:tc>
          <w:tcPr>
            <w:tcW w:w="5000" w:type="pct"/>
            <w:tcBorders>
              <w:top w:val="nil"/>
              <w:left w:val="nil"/>
              <w:bottom w:val="nil"/>
              <w:right w:val="nil"/>
            </w:tcBorders>
            <w:shd w:val="clear" w:color="auto" w:fill="auto"/>
          </w:tcPr>
          <w:p w14:paraId="7954A3D1" w14:textId="77777777" w:rsidR="00F05DC7" w:rsidRPr="00176D3F" w:rsidRDefault="00F05DC7" w:rsidP="00A3786D">
            <w:pPr>
              <w:pStyle w:val="Source"/>
            </w:pPr>
            <w:r>
              <w:rPr>
                <w:i/>
              </w:rPr>
              <w:t>S</w:t>
            </w:r>
            <w:r w:rsidRPr="00784A05">
              <w:rPr>
                <w:i/>
              </w:rPr>
              <w:t>ource</w:t>
            </w:r>
            <w:r w:rsidRPr="00176D3F">
              <w:t xml:space="preserve">: </w:t>
            </w:r>
            <w:r>
              <w:t>ABS (</w:t>
            </w:r>
            <w:r w:rsidRPr="00447902">
              <w:rPr>
                <w:i/>
              </w:rPr>
              <w:t>Migration, Australia, 2015</w:t>
            </w:r>
            <w:r w:rsidRPr="00447902">
              <w:rPr>
                <w:i/>
              </w:rPr>
              <w:noBreakHyphen/>
              <w:t>16</w:t>
            </w:r>
            <w:r>
              <w:t xml:space="preserve">, Cat. no. </w:t>
            </w:r>
            <w:r w:rsidRPr="00BA2ABD">
              <w:t>3412.0</w:t>
            </w:r>
            <w:r>
              <w:t>).</w:t>
            </w:r>
          </w:p>
        </w:tc>
      </w:tr>
      <w:tr w:rsidR="00F05DC7" w14:paraId="7954A3D4" w14:textId="77777777" w:rsidTr="00A3786D">
        <w:tc>
          <w:tcPr>
            <w:tcW w:w="5000" w:type="pct"/>
            <w:tcBorders>
              <w:top w:val="nil"/>
              <w:left w:val="nil"/>
              <w:bottom w:val="single" w:sz="6" w:space="0" w:color="78A22F"/>
              <w:right w:val="nil"/>
            </w:tcBorders>
            <w:shd w:val="clear" w:color="auto" w:fill="auto"/>
          </w:tcPr>
          <w:p w14:paraId="7954A3D3" w14:textId="77777777" w:rsidR="00F05DC7" w:rsidRDefault="00F05DC7" w:rsidP="00A3786D">
            <w:pPr>
              <w:pStyle w:val="Figurespace"/>
            </w:pPr>
          </w:p>
        </w:tc>
      </w:tr>
      <w:tr w:rsidR="00F05DC7" w:rsidRPr="000863A5" w14:paraId="7954A3D6" w14:textId="77777777" w:rsidTr="00A3786D">
        <w:tc>
          <w:tcPr>
            <w:tcW w:w="5000" w:type="pct"/>
            <w:tcBorders>
              <w:top w:val="single" w:sz="6" w:space="0" w:color="78A22F"/>
              <w:left w:val="nil"/>
              <w:bottom w:val="nil"/>
              <w:right w:val="nil"/>
            </w:tcBorders>
          </w:tcPr>
          <w:p w14:paraId="7954A3D5" w14:textId="77777777" w:rsidR="00F05DC7" w:rsidRPr="00626D32" w:rsidRDefault="00F05DC7" w:rsidP="00A3786D">
            <w:pPr>
              <w:pStyle w:val="BoxSpaceBelow"/>
            </w:pPr>
          </w:p>
        </w:tc>
      </w:tr>
    </w:tbl>
    <w:p w14:paraId="7954A3D7" w14:textId="77777777" w:rsidR="00F05DC7" w:rsidRDefault="00F05DC7" w:rsidP="00A3786D">
      <w:pPr>
        <w:pStyle w:val="Heading4"/>
      </w:pPr>
      <w:r>
        <w:t>Do people move based on net fiscal benefits?</w:t>
      </w:r>
    </w:p>
    <w:p w14:paraId="7954A3D8" w14:textId="77777777" w:rsidR="00F05DC7" w:rsidRDefault="00F05DC7" w:rsidP="00A3786D">
      <w:pPr>
        <w:pStyle w:val="BodyText"/>
      </w:pPr>
      <w:r>
        <w:t xml:space="preserve">When deciding where to live, a person might consider living costs, and the quality and availability of public services in the area. These factors could to some extent represent the net fiscal benefits of the area, and may encourage some people to relocate. Some States, particularly those most affected by GST redistributions, tended to highlight the role that public services can play in influencing where people choose to live (for example </w:t>
      </w:r>
      <w:r w:rsidRPr="002827CF">
        <w:t>Tasmanian Government (sub. 28</w:t>
      </w:r>
      <w:r>
        <w:t>, p. 9) and the NT Opposition (sub. 31, p. 2)). However, for differences in net fiscal benefits to encourage sizable interstate migration, they would need to be large enough for people to recoup the costs of moving. There is no evidence to suggest that this is currently the case in Australia.</w:t>
      </w:r>
    </w:p>
    <w:p w14:paraId="7954A3D9" w14:textId="77777777" w:rsidR="00F05DC7" w:rsidRDefault="00F05DC7" w:rsidP="00A3786D">
      <w:pPr>
        <w:pStyle w:val="BodyText"/>
        <w:keepNext/>
      </w:pPr>
      <w:r>
        <w:lastRenderedPageBreak/>
        <w:t>Some economists were also doubtful that net fiscal benefits are large enough to be important for interstate migration:</w:t>
      </w:r>
    </w:p>
    <w:p w14:paraId="7954A3DA" w14:textId="027F5210" w:rsidR="00F05DC7" w:rsidRPr="001A1678" w:rsidRDefault="00F05DC7" w:rsidP="00A3786D">
      <w:pPr>
        <w:pStyle w:val="Quote"/>
        <w:keepNext/>
      </w:pPr>
      <w:r>
        <w:t xml:space="preserve">… </w:t>
      </w:r>
      <w:r w:rsidRPr="00FE416F">
        <w:t>Wester</w:t>
      </w:r>
      <w:r w:rsidRPr="001A1678">
        <w:rPr>
          <w:rStyle w:val="QuoteChar"/>
        </w:rPr>
        <w:t>n Australia attracted six overseas migrants for every interstate migrant (on ABS data). This experience suggests that, if large differences in wages are not sufficient incentive to move, then small differences in ‘net fiscal dividends’ are unlikely to trigger significant additional internal migration. (Pincus 2012, p. 3)</w:t>
      </w:r>
    </w:p>
    <w:p w14:paraId="7954A3DB" w14:textId="7E7EE8E1" w:rsidR="00F05DC7" w:rsidRDefault="00F05DC7" w:rsidP="00A3786D">
      <w:pPr>
        <w:pStyle w:val="Quote"/>
      </w:pPr>
      <w:r w:rsidRPr="00E30135">
        <w:t>Many influences affect decisions to move, or not to do so. At different stages in their life, people may decide to move in spite of negative consequences in terms of the ‘net public sector benefits’ that they will receive and other costs they will incur: higher incomes, or improved lifestyles or stronger family connections, for example, may be dominant influences. Conversely, the opportunity to receive higher net public sector benefits by moving may be outweighed by, for example, the transactions costs of moving, or potential income reductions or the loss of family or community connections. Empirical studies suggest that policy</w:t>
      </w:r>
      <w:r>
        <w:noBreakHyphen/>
      </w:r>
      <w:r w:rsidRPr="00E30135">
        <w:t xml:space="preserve">induced mobility of households does exist but that it is modest compared to mobility induced by other </w:t>
      </w:r>
      <w:r w:rsidRPr="000A135D">
        <w:t>location</w:t>
      </w:r>
      <w:r>
        <w:noBreakHyphen/>
      </w:r>
      <w:r w:rsidRPr="000A135D">
        <w:t>specific influences.</w:t>
      </w:r>
      <w:r>
        <w:t xml:space="preserve"> </w:t>
      </w:r>
      <w:r w:rsidRPr="006A79D8">
        <w:rPr>
          <w:szCs w:val="24"/>
        </w:rPr>
        <w:t>(Walsh 2006, p. 72)</w:t>
      </w:r>
    </w:p>
    <w:p w14:paraId="7954A3DC" w14:textId="77777777" w:rsidR="00F05DC7" w:rsidRPr="00470A00" w:rsidRDefault="00F05DC7" w:rsidP="00A3786D">
      <w:pPr>
        <w:pStyle w:val="BodyText"/>
      </w:pPr>
      <w:r w:rsidRPr="00927617">
        <w:rPr>
          <w:rFonts w:ascii="Arial" w:hAnsi="Arial"/>
        </w:rPr>
        <w:t>How important is the migration argument for HFE?</w:t>
      </w:r>
    </w:p>
    <w:p w14:paraId="7954A3DD" w14:textId="77777777" w:rsidR="00F05DC7" w:rsidRDefault="00F05DC7" w:rsidP="00A3786D">
      <w:pPr>
        <w:pStyle w:val="BodyText"/>
        <w:keepNext/>
      </w:pPr>
      <w:r>
        <w:t>Summing up, on the basis of the evidence (including available modelling from both Australia and overseas and economic literature) the Productivity Commission’s view is that fiscal migration (including the influence of HFE) is unlikely to be a major factor in interstate migration decisions. Labour is not always responsive to better job opportunities across States borders. And when people do move interstate, this is driven primarily by work and family reasons, not by differences in net fiscal benefits.</w:t>
      </w:r>
    </w:p>
    <w:p w14:paraId="7954A3DE" w14:textId="77777777" w:rsidR="00F05DC7" w:rsidRDefault="00F05DC7">
      <w:pPr>
        <w:pStyle w:val="BodyText"/>
      </w:pPr>
      <w:r>
        <w:t xml:space="preserve">A caveat to this discussion is that in recent years the redistribution task arising from Australia’s system of HFE has been historically high (figure 2.9, chapter 2). To the extent there are (migration related) efficiency effects at the margin, these would become more pronounced in the current environment. Similarly, fiscally </w:t>
      </w:r>
      <w:r w:rsidRPr="00151DF0">
        <w:t xml:space="preserve">induced </w:t>
      </w:r>
      <w:r>
        <w:t xml:space="preserve">migration may </w:t>
      </w:r>
      <w:r w:rsidRPr="00151DF0">
        <w:t xml:space="preserve">become </w:t>
      </w:r>
      <w:r>
        <w:t>apparent</w:t>
      </w:r>
      <w:r w:rsidRPr="00151DF0">
        <w:t xml:space="preserve"> if State fiscal </w:t>
      </w:r>
      <w:r>
        <w:t>capacities</w:t>
      </w:r>
      <w:r w:rsidRPr="00151DF0">
        <w:t xml:space="preserve"> were</w:t>
      </w:r>
      <w:r>
        <w:t xml:space="preserve"> to diverge over time, although as discussed in chapter 6, the gap in fiscal capacities would need to be large and sustained over a long period of time for it to have a material influence on migration decisions.</w:t>
      </w:r>
    </w:p>
    <w:p w14:paraId="7954A3DF" w14:textId="77777777" w:rsidR="00F05DC7" w:rsidRPr="004E3B94" w:rsidRDefault="00F05DC7" w:rsidP="00CD096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3E2"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3E0" w14:textId="7561A871" w:rsidR="00F05DC7" w:rsidRDefault="00F05DC7" w:rsidP="00A3786D">
            <w:pPr>
              <w:pStyle w:val="FindingTitle"/>
              <w:spacing w:before="120"/>
              <w:rPr>
                <w:noProof/>
              </w:rPr>
            </w:pPr>
            <w:r>
              <w:t>Finding 5.</w:t>
            </w:r>
            <w:r>
              <w:rPr>
                <w:noProof/>
              </w:rPr>
              <w:t>1</w:t>
            </w:r>
          </w:p>
          <w:p w14:paraId="7954A3E1" w14:textId="77777777" w:rsidR="00F05DC7" w:rsidRPr="00CE4C64" w:rsidRDefault="00F05DC7" w:rsidP="00A3786D">
            <w:pPr>
              <w:pStyle w:val="Finding"/>
              <w:keepNext/>
            </w:pPr>
            <w:r>
              <w:t>Taken together, the available evidence suggests that fiscal factors (including those related to HFE) are unlikely to play a major part in interstate migration decisions. Other factors, such as differences in work opportunities between States and personal reasons, are bigger drivers of interstate migration.</w:t>
            </w:r>
          </w:p>
        </w:tc>
      </w:tr>
      <w:tr w:rsidR="00F05DC7" w14:paraId="7954A3E4"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3E3" w14:textId="77777777" w:rsidR="00F05DC7" w:rsidRDefault="00F05DC7" w:rsidP="00A3786D">
            <w:pPr>
              <w:pStyle w:val="Space"/>
              <w:keepLines/>
            </w:pPr>
          </w:p>
        </w:tc>
      </w:tr>
      <w:tr w:rsidR="00F05DC7" w:rsidRPr="000863A5" w14:paraId="7954A3E6"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3E5" w14:textId="77777777" w:rsidR="00F05DC7" w:rsidRPr="00626D32" w:rsidRDefault="00F05DC7" w:rsidP="00A3786D">
            <w:pPr>
              <w:pStyle w:val="BoxSpaceBelow"/>
              <w:keepLines/>
            </w:pPr>
          </w:p>
        </w:tc>
      </w:tr>
    </w:tbl>
    <w:p w14:paraId="7954A3E7" w14:textId="77777777" w:rsidR="00F05DC7" w:rsidRPr="00545155" w:rsidRDefault="00F05DC7" w:rsidP="00A3786D">
      <w:pPr>
        <w:pStyle w:val="Bibliography"/>
        <w:rPr>
          <w:szCs w:val="20"/>
        </w:rPr>
      </w:pPr>
    </w:p>
    <w:p w14:paraId="7954A3E8" w14:textId="77777777" w:rsidR="00F05DC7" w:rsidRDefault="00F05DC7" w:rsidP="00F05DC7">
      <w:pPr>
        <w:sectPr w:rsidR="00F05DC7" w:rsidSect="00F05DC7">
          <w:headerReference w:type="even" r:id="rId122"/>
          <w:headerReference w:type="default" r:id="rId123"/>
          <w:footerReference w:type="even" r:id="rId124"/>
          <w:footerReference w:type="default" r:id="rId125"/>
          <w:type w:val="oddPage"/>
          <w:pgSz w:w="11907" w:h="16840" w:code="9"/>
          <w:pgMar w:top="1985" w:right="1304" w:bottom="1247" w:left="1814" w:header="1701" w:footer="397" w:gutter="0"/>
          <w:pgNumType w:chapSep="period"/>
          <w:cols w:space="720"/>
          <w:docGrid w:linePitch="326"/>
        </w:sectPr>
      </w:pPr>
    </w:p>
    <w:p w14:paraId="7954A3E9" w14:textId="77777777" w:rsidR="00F05DC7" w:rsidRPr="00BA663F" w:rsidRDefault="00F05DC7" w:rsidP="00A3786D">
      <w:pPr>
        <w:pStyle w:val="Heading1"/>
        <w:spacing w:after="1200"/>
      </w:pPr>
      <w:bookmarkStart w:id="92" w:name="_Toc513637720"/>
      <w:r>
        <w:lastRenderedPageBreak/>
        <w:t>6</w:t>
      </w:r>
      <w:r>
        <w:tab/>
        <w:t>Summing up the need for change</w:t>
      </w:r>
      <w:bookmarkEnd w:id="92"/>
    </w:p>
    <w:p w14:paraId="7954A3EA"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3EC" w14:textId="77777777" w:rsidTr="00A3786D">
        <w:trPr>
          <w:tblHeader/>
        </w:trPr>
        <w:tc>
          <w:tcPr>
            <w:tcW w:w="5000" w:type="pct"/>
            <w:tcBorders>
              <w:top w:val="single" w:sz="6" w:space="0" w:color="78A22F"/>
              <w:left w:val="nil"/>
              <w:bottom w:val="nil"/>
              <w:right w:val="nil"/>
            </w:tcBorders>
            <w:shd w:val="clear" w:color="auto" w:fill="F2F2F2"/>
          </w:tcPr>
          <w:p w14:paraId="7954A3EB" w14:textId="77777777" w:rsidR="00F05DC7" w:rsidRPr="006D2045" w:rsidRDefault="00F05DC7">
            <w:pPr>
              <w:pStyle w:val="BoxTitle"/>
            </w:pPr>
            <w:r w:rsidRPr="006D2045">
              <w:t>Key points</w:t>
            </w:r>
          </w:p>
        </w:tc>
      </w:tr>
      <w:tr w:rsidR="00F05DC7" w14:paraId="7954A3F8" w14:textId="77777777" w:rsidTr="00A3786D">
        <w:tc>
          <w:tcPr>
            <w:tcW w:w="5000" w:type="pct"/>
            <w:tcBorders>
              <w:top w:val="nil"/>
              <w:left w:val="nil"/>
              <w:bottom w:val="nil"/>
              <w:right w:val="nil"/>
            </w:tcBorders>
            <w:shd w:val="clear" w:color="auto" w:fill="F2F2F2"/>
          </w:tcPr>
          <w:p w14:paraId="7954A3ED" w14:textId="77777777" w:rsidR="00F05DC7" w:rsidRDefault="00F05DC7" w:rsidP="00A3786D">
            <w:pPr>
              <w:pStyle w:val="KeyPointsListBullet"/>
            </w:pPr>
            <w:r>
              <w:t xml:space="preserve">Australia’s system of HFE mostly delivers equitable fiscal outcomes with a degree of transparency and few distortions to economic activity. However, it has some major shortcomings. </w:t>
            </w:r>
          </w:p>
          <w:p w14:paraId="7954A3EE" w14:textId="77777777" w:rsidR="00F05DC7" w:rsidRDefault="00F05DC7" w:rsidP="00A3786D">
            <w:pPr>
              <w:pStyle w:val="KeyPointsListBullet2"/>
            </w:pPr>
            <w:r>
              <w:t>On equity, HFE achieves almost complete fiscal equalisation; as such, it enables all States to provide the average national level of services and mostly adjusts for fiscal disadvantages that are out of States’ control. But it does not systematically provide</w:t>
            </w:r>
            <w:r w:rsidRPr="00787123">
              <w:t xml:space="preserve"> for State </w:t>
            </w:r>
            <w:r>
              <w:t>G</w:t>
            </w:r>
            <w:r w:rsidRPr="00787123">
              <w:t xml:space="preserve">overnments to retain </w:t>
            </w:r>
            <w:r>
              <w:t>a reasonable share</w:t>
            </w:r>
            <w:r w:rsidRPr="00787123">
              <w:t xml:space="preserve"> of the fiscal dividends of </w:t>
            </w:r>
            <w:r>
              <w:t>their</w:t>
            </w:r>
            <w:r w:rsidRPr="00787123">
              <w:t xml:space="preserve"> policy</w:t>
            </w:r>
            <w:r>
              <w:t xml:space="preserve"> efforts or economic development (without them being equalised away), raising concerns about fairness.</w:t>
            </w:r>
          </w:p>
          <w:p w14:paraId="7954A3EF" w14:textId="77777777" w:rsidR="00F05DC7" w:rsidRDefault="00F05DC7" w:rsidP="00A3786D">
            <w:pPr>
              <w:pStyle w:val="KeyPointsListBullet2"/>
            </w:pPr>
            <w:r>
              <w:t>On efficiency, there is no clear evidence that the HFE system distorts patterns of interstate migration. And GST payments are mostly unaffected by changes in State policy settings. But in some cases, there can be material disincentives for a State embarking on significant tax reforms and resource development policies, especially where it is a first mover.</w:t>
            </w:r>
          </w:p>
          <w:p w14:paraId="7954A3F0" w14:textId="77777777" w:rsidR="00F05DC7" w:rsidRDefault="00F05DC7" w:rsidP="00A3786D">
            <w:pPr>
              <w:pStyle w:val="KeyPointsListBullet2"/>
            </w:pPr>
            <w:r>
              <w:t>The independent CGC is highly regarded. It carries out the GST distribution at arm’s length from government and with generally transparent processes for consultation with the States. But concerns have been raised with the CGC’s decision</w:t>
            </w:r>
            <w:r>
              <w:noBreakHyphen/>
              <w:t>making framework and insufficient leadership from the Commonwealth Government.</w:t>
            </w:r>
          </w:p>
          <w:p w14:paraId="7954A3F1" w14:textId="77777777" w:rsidR="00F05DC7" w:rsidRDefault="00F05DC7" w:rsidP="00A3786D">
            <w:pPr>
              <w:pStyle w:val="KeyPointsListBullet"/>
            </w:pPr>
            <w:r>
              <w:t xml:space="preserve">Many of these problems are due to the pursuit, above all else, of comprehensive equalisation of fiscal capacities. In doing so, it is likely that opportunities are being missed to achieve broader equity outcomes (which incorporate fairness by rewarding States for their policy efforts) and to improve efficiency in the Australian economy. </w:t>
            </w:r>
          </w:p>
          <w:p w14:paraId="7954A3F2" w14:textId="0BF17D2B" w:rsidR="00F05DC7" w:rsidRDefault="00F05DC7" w:rsidP="00A3786D">
            <w:pPr>
              <w:pStyle w:val="KeyPointsListBullet"/>
            </w:pPr>
            <w:r>
              <w:t>The objective of HFE should be reframed to allow for trade</w:t>
            </w:r>
            <w:r>
              <w:noBreakHyphen/>
              <w:t xml:space="preserve">offs to be made between equity and efficiency. The system should enable State Governments to provide a ‘reasonable’ </w:t>
            </w:r>
            <w:r w:rsidR="00A30F76">
              <w:t>standard</w:t>
            </w:r>
            <w:r>
              <w:t xml:space="preserve"> of services, rather than the ‘same’ as under the current system. </w:t>
            </w:r>
          </w:p>
          <w:p w14:paraId="7954A3F3" w14:textId="77777777" w:rsidR="00F05DC7" w:rsidRDefault="00F05DC7" w:rsidP="00A3786D">
            <w:pPr>
              <w:pStyle w:val="KeyPointsListBullet"/>
            </w:pPr>
            <w:r>
              <w:t>Governance changes are also needed to enhance transparency and accountability.</w:t>
            </w:r>
          </w:p>
          <w:p w14:paraId="7954A3F4" w14:textId="77777777" w:rsidR="00F05DC7" w:rsidRDefault="00F05DC7" w:rsidP="00A3786D">
            <w:pPr>
              <w:pStyle w:val="KeyPointsListBullet2"/>
            </w:pPr>
            <w:r>
              <w:t xml:space="preserve">Greater leadership from the Commonwealth Government is required. Further, the CGC should play a more prominent public communication role to inform the public discourse on HFE. It should also provide the States with ‘draft rulings’ on the HFE implications of a proposed policy change. </w:t>
            </w:r>
          </w:p>
          <w:p w14:paraId="7954A3F5" w14:textId="77777777" w:rsidR="00F05DC7" w:rsidRDefault="00F05DC7" w:rsidP="00A3786D">
            <w:pPr>
              <w:pStyle w:val="KeyPointsListBullet2"/>
            </w:pPr>
            <w:r>
              <w:t xml:space="preserve">The Commonwealth Treasury should provide input into the CGC’s consultation processes. This will ensure the CGC’s judgements can be informed by perspectives that take into account the costs and benefits for the community as a whole. </w:t>
            </w:r>
          </w:p>
          <w:p w14:paraId="7954A3F6" w14:textId="77777777" w:rsidR="00F05DC7" w:rsidRDefault="00F05DC7" w:rsidP="00A3786D">
            <w:pPr>
              <w:pStyle w:val="KeyPointsListBullet2"/>
            </w:pPr>
            <w:r>
              <w:t>Outlining c</w:t>
            </w:r>
            <w:r w:rsidRPr="000A4587">
              <w:t>lear guidelines detailing the basis on which Commonwealth payments are to be quarantined from HFE by the Commonwealth Treasurer</w:t>
            </w:r>
            <w:r>
              <w:t xml:space="preserve"> would ensure the CGC’s relativities are not undermined or the objective of HFE compromised.</w:t>
            </w:r>
          </w:p>
          <w:p w14:paraId="7954A3F7" w14:textId="77777777" w:rsidR="00F05DC7" w:rsidRDefault="00F05DC7" w:rsidP="00A3786D">
            <w:pPr>
              <w:pStyle w:val="KeyPointsListBullet2"/>
            </w:pPr>
            <w:r>
              <w:t xml:space="preserve">Public release of data provided by the States (as well as the CGC’s calculations) would improve government accountability in the HFE system. </w:t>
            </w:r>
          </w:p>
        </w:tc>
      </w:tr>
      <w:tr w:rsidR="00F05DC7" w14:paraId="7954A3FA" w14:textId="77777777" w:rsidTr="00A3786D">
        <w:tc>
          <w:tcPr>
            <w:tcW w:w="5000" w:type="pct"/>
            <w:tcBorders>
              <w:top w:val="nil"/>
              <w:left w:val="nil"/>
              <w:bottom w:val="single" w:sz="6" w:space="0" w:color="78A22F"/>
              <w:right w:val="nil"/>
            </w:tcBorders>
            <w:shd w:val="clear" w:color="auto" w:fill="F2F2F2"/>
          </w:tcPr>
          <w:p w14:paraId="7954A3F9" w14:textId="77777777" w:rsidR="00F05DC7" w:rsidRDefault="00F05DC7">
            <w:pPr>
              <w:pStyle w:val="Box"/>
              <w:spacing w:before="0" w:line="120" w:lineRule="exact"/>
            </w:pPr>
          </w:p>
        </w:tc>
      </w:tr>
      <w:tr w:rsidR="00F05DC7" w:rsidRPr="000863A5" w14:paraId="7954A3FC" w14:textId="77777777" w:rsidTr="00A3786D">
        <w:tc>
          <w:tcPr>
            <w:tcW w:w="5000" w:type="pct"/>
            <w:tcBorders>
              <w:top w:val="single" w:sz="6" w:space="0" w:color="78A22F"/>
              <w:left w:val="nil"/>
              <w:bottom w:val="nil"/>
              <w:right w:val="nil"/>
            </w:tcBorders>
          </w:tcPr>
          <w:p w14:paraId="7954A3FB" w14:textId="77777777" w:rsidR="00F05DC7" w:rsidRPr="00626D32" w:rsidRDefault="00F05DC7" w:rsidP="00A3786D">
            <w:pPr>
              <w:pStyle w:val="BoxSpaceBelow"/>
            </w:pPr>
          </w:p>
        </w:tc>
      </w:tr>
    </w:tbl>
    <w:p w14:paraId="7954A3FD" w14:textId="77777777" w:rsidR="00F05DC7" w:rsidRPr="00C221DF" w:rsidRDefault="00F05DC7" w:rsidP="00A3786D">
      <w:pPr>
        <w:pStyle w:val="BodyText"/>
        <w:rPr>
          <w:spacing w:val="-2"/>
        </w:rPr>
      </w:pPr>
      <w:r w:rsidRPr="00C221DF">
        <w:rPr>
          <w:spacing w:val="-2"/>
        </w:rPr>
        <w:lastRenderedPageBreak/>
        <w:t>This chapter provides the Productivity Commission’s overall assessment of the performance of Australia’s HFE system, drawing upon the framework outlined in chapter 1 and the analysis and evidence presented in chapters 3 to 5. It outlines how the system performs with regards to: equity (section 6.1); efficiency (section 6.2); and transparency and accountability (section 6.3). It then proposes a revised objective for HFE (section 6.4) that strikes a better balance between these three criteria. This revised objective acknowledges that there is a trade</w:t>
      </w:r>
      <w:r w:rsidRPr="00C221DF">
        <w:rPr>
          <w:spacing w:val="-2"/>
        </w:rPr>
        <w:noBreakHyphen/>
        <w:t xml:space="preserve">off between full and comprehensive equalisation on the one hand and fairness and efficiency on the other hand. Finally, the chapter outlines a number of governance reforms (section 6.5) that would support the HFE system’s pursuit of efficiency and equity and help to enhance transparency and accountability in the way GST payments are distributed to the States. </w:t>
      </w:r>
    </w:p>
    <w:p w14:paraId="7954A3FE" w14:textId="43164650" w:rsidR="00F05DC7" w:rsidRDefault="00F05DC7" w:rsidP="00A3786D">
      <w:pPr>
        <w:pStyle w:val="Heading2"/>
      </w:pPr>
      <w:bookmarkStart w:id="93" w:name="_Toc513637721"/>
      <w:r>
        <w:t>6.</w:t>
      </w:r>
      <w:r>
        <w:rPr>
          <w:noProof/>
        </w:rPr>
        <w:t>1</w:t>
      </w:r>
      <w:r>
        <w:tab/>
        <w:t>The interpretation of equity is incomplete</w:t>
      </w:r>
      <w:bookmarkEnd w:id="93"/>
      <w:r>
        <w:t xml:space="preserve"> </w:t>
      </w:r>
    </w:p>
    <w:p w14:paraId="7954A3FF" w14:textId="77777777" w:rsidR="00F05DC7" w:rsidRDefault="00F05DC7" w:rsidP="00A3786D">
      <w:pPr>
        <w:pStyle w:val="Heading3"/>
        <w:spacing w:before="280"/>
      </w:pPr>
      <w:r>
        <w:t>HFE achieves a high degree of fiscal equalisation …</w:t>
      </w:r>
    </w:p>
    <w:p w14:paraId="7954A400" w14:textId="77777777" w:rsidR="00F05DC7" w:rsidRDefault="00F05DC7" w:rsidP="00A3786D">
      <w:pPr>
        <w:pStyle w:val="BodyText"/>
      </w:pPr>
      <w:r>
        <w:t xml:space="preserve">The current system of HFE performs highly on the </w:t>
      </w:r>
      <w:r w:rsidRPr="00C2216D">
        <w:rPr>
          <w:i/>
        </w:rPr>
        <w:t xml:space="preserve">fiscal </w:t>
      </w:r>
      <w:r w:rsidRPr="00104793">
        <w:rPr>
          <w:i/>
        </w:rPr>
        <w:t>equality</w:t>
      </w:r>
      <w:r>
        <w:t xml:space="preserve"> element of the Productivity Commission’s criteria for assessing Australia’s HFE system. </w:t>
      </w:r>
    </w:p>
    <w:p w14:paraId="7954A401" w14:textId="567CA401" w:rsidR="00F05DC7" w:rsidRDefault="00F05DC7" w:rsidP="00A3786D">
      <w:pPr>
        <w:pStyle w:val="BodyText"/>
      </w:pPr>
      <w:r>
        <w:t>HFE in Australia almost completely eliminates fiscal disparities among sub</w:t>
      </w:r>
      <w:r>
        <w:noBreakHyphen/>
        <w:t>central governments — which is unique among OECD countries (chapter 2, table 2.5). This is achieved despite aspects of the CGC’s methodology, including materiality thresholds, discounting of revenue streams, non</w:t>
      </w:r>
      <w:r>
        <w:noBreakHyphen/>
        <w:t xml:space="preserve">differential assessments for ‘other revenue’ and data limitations. Lifting the service delivery capacities of the weaker States is widely supported among both inquiry participants (chapter 1) and Australians more generally </w:t>
      </w:r>
      <w:r w:rsidRPr="009525CB">
        <w:rPr>
          <w:szCs w:val="24"/>
        </w:rPr>
        <w:t>(Brown and Hollander 2017, p. 10)</w:t>
      </w:r>
      <w:r w:rsidRPr="009F4AD2">
        <w:t>.</w:t>
      </w:r>
    </w:p>
    <w:p w14:paraId="7954A402" w14:textId="77777777" w:rsidR="00F05DC7" w:rsidRDefault="00F05DC7" w:rsidP="00A3786D">
      <w:pPr>
        <w:pStyle w:val="BodyText"/>
      </w:pPr>
      <w:r>
        <w:t xml:space="preserve">The current system also explicitly addresses material structural disadvantages (called disabilities by the CGC) that are out of a State’s control (such as remoteness or demographics) by adjusting expenditure needs to account for higher service delivery costs and levels of service use (chapters 2 and 3). The general consensus from inquiry participants is that the system is relatively effective at compensating for the </w:t>
      </w:r>
      <w:r>
        <w:rPr>
          <w:i/>
        </w:rPr>
        <w:t>actual</w:t>
      </w:r>
      <w:r>
        <w:t xml:space="preserve"> costs of inherent or entrenched disadvantages — although some participants also noted that funding is not provided for States to </w:t>
      </w:r>
      <w:r w:rsidRPr="00922BBC">
        <w:rPr>
          <w:i/>
        </w:rPr>
        <w:t>overcome</w:t>
      </w:r>
      <w:r>
        <w:t xml:space="preserve"> their longstanding disabilities, and others expressed dissatisfaction at particular assessment methods.</w:t>
      </w:r>
    </w:p>
    <w:p w14:paraId="7954A403" w14:textId="77777777" w:rsidR="00F05DC7" w:rsidRPr="00787123" w:rsidRDefault="00F05DC7" w:rsidP="00A3786D">
      <w:pPr>
        <w:pStyle w:val="Heading3"/>
      </w:pPr>
      <w:r>
        <w:t xml:space="preserve">… but too little weight is afforded to fairness </w:t>
      </w:r>
    </w:p>
    <w:p w14:paraId="7954A404" w14:textId="77777777" w:rsidR="00F05DC7" w:rsidRDefault="00F05DC7" w:rsidP="00A3786D">
      <w:pPr>
        <w:pStyle w:val="BodyText"/>
      </w:pPr>
      <w:r>
        <w:t xml:space="preserve">Although the current HFE system scores highly in the achievement of fiscal </w:t>
      </w:r>
      <w:r w:rsidRPr="00104793">
        <w:t>equality</w:t>
      </w:r>
      <w:r>
        <w:t xml:space="preserve">, there is scope for improvement in its pursuit of the broader concepts of </w:t>
      </w:r>
      <w:r w:rsidRPr="00104793">
        <w:t>equity</w:t>
      </w:r>
      <w:r w:rsidRPr="00903447">
        <w:t xml:space="preserve"> </w:t>
      </w:r>
      <w:r>
        <w:t xml:space="preserve">outlined in chapter 1. This chiefly relates to the element of </w:t>
      </w:r>
      <w:r w:rsidRPr="00104793">
        <w:rPr>
          <w:i/>
        </w:rPr>
        <w:t>fairness</w:t>
      </w:r>
      <w:r>
        <w:t xml:space="preserve"> laid out in the Productivity Commission’s assessment framework — perceptions of unfairness in the system have been a longstanding and recurring feature of public debate. Recently, participants in Western </w:t>
      </w:r>
      <w:r>
        <w:lastRenderedPageBreak/>
        <w:t>Australia and New South Wales have expressed the view that their States are effectively being ‘punished’ for their fiscal strength with lower relativities (WA Federal Liberal Members and Senators, sub. 35, p. 3; Minerals Council of Australia, sub. 48, p. 4; Wealth Wisdom Pty Ltd, sub. 10, p. 4). Moreover, there is a perception in those States that other State Governments — who may not commit to the expense, or risk the political fallout, of developing natural resources or undertaking difficult but revenue</w:t>
      </w:r>
      <w:r>
        <w:noBreakHyphen/>
        <w:t>enhancing reforms — are then ‘rewarded’ by the equalisation of the stronger States’ fiscal dividends.</w:t>
      </w:r>
    </w:p>
    <w:p w14:paraId="7954A405" w14:textId="18F2B329" w:rsidR="00F05DC7" w:rsidRDefault="00F05DC7" w:rsidP="00A3786D">
      <w:pPr>
        <w:pStyle w:val="BodyText"/>
      </w:pPr>
      <w:r>
        <w:t xml:space="preserve">That said, many of the factors that serve to reduce a State’s fiscal capacity are structural, and therefore mostly out of the State’s control, except for in the long term. And delivering a higher degree of equality (by adjusting for these structural disadvantages and giving all States the ability to provide a reasonable </w:t>
      </w:r>
      <w:r w:rsidR="002D01E0">
        <w:t>standard</w:t>
      </w:r>
      <w:r>
        <w:t xml:space="preserve"> of public services) necessarily requires redistribution away from the fiscally stronger States. Further, some fiscal success is as much the result of private</w:t>
      </w:r>
      <w:r>
        <w:noBreakHyphen/>
        <w:t xml:space="preserve">sector activity, or sheer good luck (for example, where a State’s borders happen to be drawn in respect of mineral deposits) as of State Government effort. </w:t>
      </w:r>
    </w:p>
    <w:p w14:paraId="7954A406" w14:textId="77777777" w:rsidR="00F05DC7" w:rsidRDefault="00F05DC7" w:rsidP="00A3786D">
      <w:pPr>
        <w:pStyle w:val="BodyText"/>
      </w:pPr>
      <w:r>
        <w:t xml:space="preserve">But on balance, the current HFE system does not provide for any </w:t>
      </w:r>
      <w:r w:rsidRPr="0032353F">
        <w:t xml:space="preserve">systematic consideration of States ‘retaining’ </w:t>
      </w:r>
      <w:r>
        <w:t xml:space="preserve">a reasonable proportion of </w:t>
      </w:r>
      <w:r w:rsidRPr="0032353F">
        <w:t xml:space="preserve">the fiscal dividends of their good policy </w:t>
      </w:r>
      <w:r>
        <w:t xml:space="preserve">reform or economic development </w:t>
      </w:r>
      <w:r w:rsidRPr="0032353F">
        <w:t>with</w:t>
      </w:r>
      <w:r>
        <w:t>out them being ‘equalised away’ through lower GST payments. Not only does this result in outcomes that many Australians would consider to be unfair,</w:t>
      </w:r>
      <w:r w:rsidDel="008039D9">
        <w:t xml:space="preserve"> </w:t>
      </w:r>
      <w:r>
        <w:t xml:space="preserve">it reduces incentives for States to undertake reform, and thus also has efficiency consequences for the economy and community (section 6.2). </w:t>
      </w:r>
    </w:p>
    <w:p w14:paraId="7954A407" w14:textId="77777777" w:rsidR="00F05DC7" w:rsidRPr="001734DE" w:rsidRDefault="00F05DC7" w:rsidP="00A3786D">
      <w:pPr>
        <w:pStyle w:val="BodyText"/>
      </w:pPr>
      <w:r>
        <w:t>Concerns around fairness also relate to the timing of Western Australia’s low relativities, coming as they have in the aftermath — and as a consequence — of a mining investment boom and significantly higher royalty revenues for the State. These concerns are not necessarily misplaced, as the current system’s approach to contemporaneity (chapter 4; section 6.2) poses the potential for HFE to amplify the impact of large economic shocks on State budgets in the short to medium term.</w:t>
      </w:r>
    </w:p>
    <w:p w14:paraId="7954A408" w14:textId="77777777" w:rsidR="00F05DC7" w:rsidRDefault="00F05DC7" w:rsidP="00A3786D">
      <w:pPr>
        <w:pStyle w:val="Heading3"/>
      </w:pPr>
      <w:r>
        <w:t>In giving States autonomy, HFE cannot achieve interpersonal equity</w:t>
      </w:r>
    </w:p>
    <w:p w14:paraId="7954A409" w14:textId="768FD2FD" w:rsidR="00F05DC7" w:rsidRDefault="00F05DC7" w:rsidP="00A3786D">
      <w:pPr>
        <w:pStyle w:val="BodyText"/>
      </w:pPr>
      <w:r>
        <w:t xml:space="preserve">There is an unavoidable tension between ensuring the same </w:t>
      </w:r>
      <w:r w:rsidR="00A30F76">
        <w:t xml:space="preserve">standard </w:t>
      </w:r>
      <w:r>
        <w:t xml:space="preserve">of services across all States on the one hand and State autonomy on the other (chapter 1, box 1.2). Most participants favoured untied GST payments on the basis that this would enable States’ services to reflect the preferences of their communities (Tasmanian Government, sub. 28; Queensland Government, sub. 32; Victorian Government, sub. 53). Others expressed concerns that States sometimes do not spend revenue in a way that improves services or addresses structural disadvantage (chapter 2, box 2.6). </w:t>
      </w:r>
      <w:r w:rsidRPr="00755F54">
        <w:t xml:space="preserve">While actual expenditure by most States is in line with assessed capacity in the majority of </w:t>
      </w:r>
      <w:r>
        <w:t>service areas</w:t>
      </w:r>
      <w:r w:rsidRPr="00755F54">
        <w:t xml:space="preserve">, there are </w:t>
      </w:r>
      <w:r>
        <w:t>some</w:t>
      </w:r>
      <w:r w:rsidRPr="00755F54">
        <w:t xml:space="preserve"> significant </w:t>
      </w:r>
      <w:r>
        <w:t>exceptions.</w:t>
      </w:r>
    </w:p>
    <w:p w14:paraId="7954A40A" w14:textId="77777777" w:rsidR="00F05DC7" w:rsidRDefault="00F05DC7" w:rsidP="00A3786D">
      <w:pPr>
        <w:pStyle w:val="BodyText"/>
      </w:pPr>
      <w:r>
        <w:t xml:space="preserve">Participants raised concerns about States receiving more funds per capita than the average (because of their assessed disabilities) but ultimately spending </w:t>
      </w:r>
      <w:r>
        <w:rPr>
          <w:i/>
        </w:rPr>
        <w:t>less</w:t>
      </w:r>
      <w:r>
        <w:t xml:space="preserve"> than the average on the services in question (Neil Warren, sub. 38; Yothu Yindi Foundation, sub. DR80; </w:t>
      </w:r>
      <w:r>
        <w:lastRenderedPageBreak/>
        <w:t xml:space="preserve">NSW Government, sub. DR109). Fahrer and FitzGerald (sub. DR102, p. 9) stated that this practice is ‘contrary to the broad intent of fiscal equalisation in federations which is that States should be compensated for difficulties they face in providing a minimal level of service that everyone in the nation ought to be able to receive’. </w:t>
      </w:r>
    </w:p>
    <w:p w14:paraId="7954A40B" w14:textId="77777777" w:rsidR="00F05DC7" w:rsidRDefault="00F05DC7" w:rsidP="00A3786D">
      <w:pPr>
        <w:pStyle w:val="BodyText"/>
      </w:pPr>
      <w:r>
        <w:t>The Productivity Commission’s annual Review of Government Services shows substantial differences between State outcomes in health, education, and many other service areas, especially with respect to Indigenous Australians (chapter 9). This is despite more than three decades of full equalisation — indicating that there may be a weak link between State fiscal capacities and horizontal interpersonal equity.</w:t>
      </w:r>
    </w:p>
    <w:p w14:paraId="7954A40C" w14:textId="77777777" w:rsidR="00F05DC7" w:rsidRDefault="00F05DC7" w:rsidP="00A3786D">
      <w:pPr>
        <w:pStyle w:val="BodyText"/>
      </w:pPr>
      <w:r>
        <w:t xml:space="preserve">It is not possible to resolve this issue through HFE alone without broader reform of financial relations between the Commonwealth and States. Ultimately, States </w:t>
      </w:r>
      <w:r w:rsidRPr="003B1BFC">
        <w:t xml:space="preserve">are accountable to their electorates for how they use </w:t>
      </w:r>
      <w:r>
        <w:t>HFE</w:t>
      </w:r>
      <w:r w:rsidRPr="003B1BFC">
        <w:t xml:space="preserve"> funds</w:t>
      </w:r>
      <w:r>
        <w:t xml:space="preserve">, not to the Commonwealth Government or the CGC. But a complex system of HFE, coupled with the vertical fiscal imbalance and overlapping service delivery responsibilities, means that meaningful accountability is at present an illusion. </w:t>
      </w:r>
    </w:p>
    <w:p w14:paraId="7954A40D" w14:textId="77777777" w:rsidR="00F05DC7" w:rsidRDefault="00F05DC7" w:rsidP="00A3786D">
      <w:pPr>
        <w:pStyle w:val="BodyText"/>
      </w:pPr>
      <w:r>
        <w:t>Consequently, making HFE payments conditional upon the achievement of specific performance benchmarks (as suggested by Warren, sub. 38; and Dillon, sub. DR68)</w:t>
      </w:r>
      <w:r w:rsidDel="00DF6CD6">
        <w:t xml:space="preserve"> </w:t>
      </w:r>
      <w:r>
        <w:t>would not be possible without substantial reform of federal financial relations — and even then may not be the best way to improve interpersonal equity. Rather, a clearer delineation and understanding of governments’ spending, taxing and decision</w:t>
      </w:r>
      <w:r>
        <w:noBreakHyphen/>
        <w:t>making roles within the system can go some way to providing greater accountability (and more scrutiny) for all parties involved. Section 6.5 provides more detail of measures to improve transparency and accountability. But ultimately, substantial progress on accountability requires longer</w:t>
      </w:r>
      <w:r>
        <w:noBreakHyphen/>
        <w:t xml:space="preserve">term reforms to federal financial relations (section 9.3). </w:t>
      </w:r>
    </w:p>
    <w:p w14:paraId="7954A40E" w14:textId="3B02219B" w:rsidR="00F05DC7" w:rsidRDefault="00F05DC7" w:rsidP="00A3786D">
      <w:pPr>
        <w:pStyle w:val="Heading2"/>
      </w:pPr>
      <w:bookmarkStart w:id="94" w:name="_Toc513637722"/>
      <w:r>
        <w:t>6.</w:t>
      </w:r>
      <w:r>
        <w:rPr>
          <w:noProof/>
        </w:rPr>
        <w:t>2</w:t>
      </w:r>
      <w:r>
        <w:tab/>
        <w:t>Efficiency is</w:t>
      </w:r>
      <w:r w:rsidDel="00B5481F">
        <w:t xml:space="preserve"> being</w:t>
      </w:r>
      <w:r>
        <w:t xml:space="preserve"> compromised</w:t>
      </w:r>
      <w:bookmarkEnd w:id="94"/>
    </w:p>
    <w:p w14:paraId="7954A40F" w14:textId="77777777" w:rsidR="00F05DC7" w:rsidRDefault="00F05DC7" w:rsidP="00A3786D">
      <w:pPr>
        <w:pStyle w:val="BodyText"/>
      </w:pPr>
      <w:r>
        <w:t xml:space="preserve">Australia’s current system of HFE has brought economic benefits. Because it provides all States with a similar level of fiscal capacity, differences in State tax and expenditure policy have not been a material driver of interstate migration. </w:t>
      </w:r>
    </w:p>
    <w:p w14:paraId="7954A410" w14:textId="77777777" w:rsidR="00F05DC7" w:rsidRDefault="00F05DC7" w:rsidP="00A3786D">
      <w:pPr>
        <w:pStyle w:val="BodyText"/>
      </w:pPr>
      <w:r>
        <w:t>Further, the system is intended to be policy neutral, to prevent States ‘gaming’ their GST shares and to provide them with autonomy in how they set their policies. In practice, however, the way HFE is implemented can create material disincentives for States to undertake efficiency</w:t>
      </w:r>
      <w:r>
        <w:noBreakHyphen/>
        <w:t>enhancing reforms, including changing tax mixes or more efficiently taxing mining activity. Moreover, the lag in GST payments can make State budgets harder to manage and exacerbate the fiscal impact of economic cycles.</w:t>
      </w:r>
    </w:p>
    <w:p w14:paraId="7954A411" w14:textId="77777777" w:rsidR="00F05DC7" w:rsidRDefault="00F05DC7" w:rsidP="00A3786D">
      <w:pPr>
        <w:pStyle w:val="Heading3"/>
      </w:pPr>
      <w:r>
        <w:lastRenderedPageBreak/>
        <w:t>HFE does not hold back migration …</w:t>
      </w:r>
    </w:p>
    <w:p w14:paraId="7954A412" w14:textId="77777777" w:rsidR="00F05DC7" w:rsidRDefault="00F05DC7" w:rsidP="00A3786D">
      <w:pPr>
        <w:pStyle w:val="BodyText"/>
      </w:pPr>
      <w:r>
        <w:t>There is little evidence to suggest that HFE has led to inefficient patterns of interstate migration (chapter 5). Indeed, by having equalised States’ fiscal capacities over a long period, there are strong in</w:t>
      </w:r>
      <w:r>
        <w:noBreakHyphen/>
        <w:t>principle reasons to suggest that HFE has avoided outcomes where labour and capital move between jurisdictions on the basis of States having differing capacities to offer lower taxes or a higher level of government services. People move interstate for a wide variety of reasons — often personal or job</w:t>
      </w:r>
      <w:r>
        <w:noBreakHyphen/>
        <w:t xml:space="preserve">related — and the role of interstate differences in net fiscal benefits has been very small. </w:t>
      </w:r>
    </w:p>
    <w:p w14:paraId="7954A413" w14:textId="77777777" w:rsidR="00F05DC7" w:rsidRPr="00DF64E7" w:rsidRDefault="00F05DC7" w:rsidP="00A3786D">
      <w:pPr>
        <w:pStyle w:val="BodyText"/>
        <w:rPr>
          <w:rFonts w:ascii="Arial" w:hAnsi="Arial"/>
          <w:b/>
          <w:sz w:val="26"/>
        </w:rPr>
      </w:pPr>
      <w:r>
        <w:t>Moreover, the amount of money redistributed due to HFE is small relative to the size of total State Government revenues. On this basis, it is likely that HFE has had little effect on individuals’ decisions to relocate to another State.</w:t>
      </w:r>
    </w:p>
    <w:p w14:paraId="7954A414" w14:textId="77777777" w:rsidR="00F05DC7" w:rsidRDefault="00F05DC7" w:rsidP="00A3786D">
      <w:pPr>
        <w:pStyle w:val="Heading3"/>
      </w:pPr>
      <w:r>
        <w:t>… and it is mostly policy neutral …</w:t>
      </w:r>
    </w:p>
    <w:p w14:paraId="7954A415" w14:textId="77777777" w:rsidR="00F05DC7" w:rsidRDefault="00F05DC7" w:rsidP="00A3786D">
      <w:pPr>
        <w:pStyle w:val="BodyText"/>
      </w:pPr>
      <w:r>
        <w:t>Across the majority of State revenue and expenditure types, changes in State Government policy have only small impacts on GST payments (through interaction with the distribution formula) (chapter 3). This is because the ability of a single State to influence national average tax rates or service delivery levels is limited, and because most tax bases and government services are similar across jurisdictions.</w:t>
      </w:r>
    </w:p>
    <w:p w14:paraId="7954A416" w14:textId="77777777" w:rsidR="00F05DC7" w:rsidRDefault="00F05DC7" w:rsidP="00A3786D">
      <w:pPr>
        <w:pStyle w:val="BodyText"/>
      </w:pPr>
      <w:r>
        <w:t xml:space="preserve">While many criticisms have been levelled at HFE for distorting State expenditure policies, there is no compelling reason — either from evidence or in principle — to suspect that HFE systematically biases States </w:t>
      </w:r>
      <w:r w:rsidRPr="00387CDD">
        <w:t>towards providing services in a particular way, or towards particular policies aimed at addressing structural disadvantages.</w:t>
      </w:r>
      <w:r>
        <w:t xml:space="preserve"> Indeed, the broader community benefits of improving the efficiency of service delivery would likely far exceed the modest impacts on a State’s GST payments.</w:t>
      </w:r>
    </w:p>
    <w:p w14:paraId="7954A417" w14:textId="77777777" w:rsidR="00F05DC7" w:rsidRPr="00EE23A9" w:rsidRDefault="00F05DC7" w:rsidP="00A3786D">
      <w:pPr>
        <w:pStyle w:val="Heading3"/>
      </w:pPr>
      <w:r w:rsidRPr="00EE23A9">
        <w:t xml:space="preserve">… </w:t>
      </w:r>
      <w:r w:rsidRPr="000B4192">
        <w:t>but it can discourage desirable tax reform and resource development policy</w:t>
      </w:r>
    </w:p>
    <w:p w14:paraId="7954A418" w14:textId="77777777" w:rsidR="00F05DC7" w:rsidRDefault="00F05DC7" w:rsidP="00A3786D">
      <w:pPr>
        <w:pStyle w:val="BodyText"/>
      </w:pPr>
      <w:r>
        <w:t>In certain circumstances there can be large GST impacts that may create a strong disincentive to reform — and thereby erode State autonomy. These circumstances can arise for some (but not all) parts of the revenue assessments. The cameos in chapter 3 show that large</w:t>
      </w:r>
      <w:r>
        <w:noBreakHyphen/>
        <w:t>scale tax reforms can have material implications for a State’s GST share, even when done on a revenue</w:t>
      </w:r>
      <w:r>
        <w:noBreakHyphen/>
        <w:t xml:space="preserve">neutral basis — for example, New South Wales, Victoria and Queensland could each lose about $1 billion per year from unilateral stamp duty reform. Such effects can deter States from the politically difficult task of improving the efficiency of their tax mixes (or policies that expand their tax bases). And because these GST effects are driven by changes in tax rates and bases </w:t>
      </w:r>
      <w:r w:rsidRPr="0032421F">
        <w:rPr>
          <w:i/>
        </w:rPr>
        <w:t>relative</w:t>
      </w:r>
      <w:r>
        <w:t xml:space="preserve"> to those in other States, the disincentives tend to be strongest for unilateral reforms — imposing a strong first</w:t>
      </w:r>
      <w:r>
        <w:noBreakHyphen/>
        <w:t xml:space="preserve">mover disadvantage. </w:t>
      </w:r>
    </w:p>
    <w:p w14:paraId="7954A419" w14:textId="77777777" w:rsidR="00F05DC7" w:rsidRPr="00B25343" w:rsidRDefault="00F05DC7" w:rsidP="00A3786D">
      <w:pPr>
        <w:pStyle w:val="BodyText"/>
        <w:rPr>
          <w:spacing w:val="-2"/>
        </w:rPr>
      </w:pPr>
      <w:r w:rsidRPr="00B25343">
        <w:rPr>
          <w:spacing w:val="-2"/>
        </w:rPr>
        <w:lastRenderedPageBreak/>
        <w:t>Further, because material disincentives arise in some revenue assessments but not others, there can be additional distortions to State policy. Governments seeking to raise additional revenue have an incentive to do so in areas less subject to GST effects (such as stamp duties and insurance taxes, which are relatively distortionary transaction</w:t>
      </w:r>
      <w:r w:rsidRPr="00B25343">
        <w:rPr>
          <w:spacing w:val="-2"/>
        </w:rPr>
        <w:noBreakHyphen/>
        <w:t>based taxes), or in areas that are not subject to equalisation at all (such as gambling, which can come with social costs).</w:t>
      </w:r>
    </w:p>
    <w:p w14:paraId="7954A41A" w14:textId="77777777" w:rsidR="00F05DC7" w:rsidRDefault="00F05DC7" w:rsidP="00A3786D">
      <w:pPr>
        <w:pStyle w:val="BodyText"/>
      </w:pPr>
      <w:r>
        <w:t>Perverse incentives can also arise for mineral and energy policy, where differences in State circumstances are particularly stark. For many minerals, there is no such thing as average policy — their concentration in one or two States means that those States effectively set the averages, and thus see most of the revenue from an increase in royalty rates equalised away. Moreover, the way mining revenues are currently assessed by the CGC can potentially discourage States from moving towards more efficient ways of taxing minerals (such as profit</w:t>
      </w:r>
      <w:r>
        <w:noBreakHyphen/>
        <w:t>based taxes).</w:t>
      </w:r>
    </w:p>
    <w:p w14:paraId="7954A41B" w14:textId="77777777" w:rsidR="00F05DC7" w:rsidRDefault="00F05DC7" w:rsidP="00A3786D">
      <w:pPr>
        <w:pStyle w:val="BodyText"/>
      </w:pPr>
      <w:r>
        <w:t>Similarly large disincentives occur when the value of mineral production in a State changes, since this is used by the CGC as the measure of a State’s tax base. Any State that sees its production increase will retain only its population share of the additional revenues, and any State that sees a decrease will only bear its population share of the reduction.</w:t>
      </w:r>
      <w:r w:rsidRPr="00282527">
        <w:rPr>
          <w:rStyle w:val="FootnoteReference"/>
        </w:rPr>
        <w:footnoteReference w:id="13"/>
      </w:r>
      <w:r>
        <w:t xml:space="preserve"> This has been especially contentious in relation to State efforts to boost — or restrict — their level of extractive activity. To the extent that State Governments can influence this activity, their policy decisions may have major consequences for their GST payments.</w:t>
      </w:r>
    </w:p>
    <w:p w14:paraId="7954A41C" w14:textId="77777777" w:rsidR="00F05DC7" w:rsidRDefault="00F05DC7" w:rsidP="00A3786D">
      <w:pPr>
        <w:pStyle w:val="BodyText"/>
      </w:pPr>
      <w:r>
        <w:t>These dynamics have been large for Western Australia, which produces almost all of Australia’s iron ore. The mining boom was the primary driver of that State’s fiscal strength and the cause of its GST relativity falling as low as 0.30 in 2015</w:t>
      </w:r>
      <w:r>
        <w:noBreakHyphen/>
        <w:t>16.</w:t>
      </w:r>
    </w:p>
    <w:p w14:paraId="7954A41D" w14:textId="77777777" w:rsidR="00F05DC7" w:rsidRDefault="00F05DC7" w:rsidP="00A3786D">
      <w:pPr>
        <w:pStyle w:val="Heading3"/>
      </w:pPr>
      <w:r>
        <w:t>Lagged payments can complicate State budgeting</w:t>
      </w:r>
    </w:p>
    <w:p w14:paraId="7954A41E" w14:textId="77777777" w:rsidR="00F05DC7" w:rsidRDefault="00F05DC7" w:rsidP="00A3786D">
      <w:pPr>
        <w:pStyle w:val="BodyText"/>
      </w:pPr>
      <w:r>
        <w:t>The practicalities of implementing HFE — especially the need for accurate and comprehensive data — mean that adjustments in GST payments cannot be perfectly timed to coincide with changes in States’ fiscal circumstances (chapter 4). Current practice is to average calculations over a three</w:t>
      </w:r>
      <w:r>
        <w:noBreakHyphen/>
        <w:t>year period, and this has helped to deliver a degree of stability and predictability to States’ GST payments (at least relative to other main sources of State Government revenue). Despite the complexity of the CGC’s calculations and the large number of relevant variables, most States have a solid track record in accurately predicting year</w:t>
      </w:r>
      <w:r>
        <w:noBreakHyphen/>
        <w:t>to</w:t>
      </w:r>
      <w:r>
        <w:noBreakHyphen/>
        <w:t>year movements in their GST relativities.</w:t>
      </w:r>
    </w:p>
    <w:p w14:paraId="7954A41F" w14:textId="77777777" w:rsidR="00F05DC7" w:rsidRDefault="00F05DC7" w:rsidP="00A3786D">
      <w:pPr>
        <w:pStyle w:val="BodyText"/>
      </w:pPr>
      <w:r>
        <w:t>However, the combination of the three</w:t>
      </w:r>
      <w:r>
        <w:noBreakHyphen/>
        <w:t>year assessment period and two</w:t>
      </w:r>
      <w:r>
        <w:noBreakHyphen/>
        <w:t xml:space="preserve">year data availability lag means that circumstances that prevailed up to five years ago can still affect States’ GST relativities. In ordinary circumstances this should be straightforward for States to manage — especially given the long lead times — but experience has shown that managing this lack of contemporaneity can be challenging when States’ economies are changing rapidly. This has </w:t>
      </w:r>
      <w:r>
        <w:lastRenderedPageBreak/>
        <w:t>been evident as Western Australia went through the mining construction boom and saw large divergences between its current circumstances and its (backwards</w:t>
      </w:r>
      <w:r>
        <w:noBreakHyphen/>
        <w:t>looking) GST payments. When such extremes occur, the lag in GST payment adjustments can amplify the impact of large economic shocks or structural changes on State budgets. That said, even in such circumstances, States should be able to anticipate the lagged effects on their GST payments (as their forecasting track record would suggest) and can take steps to manage them (chapter 4).</w:t>
      </w:r>
    </w:p>
    <w:p w14:paraId="7954A420" w14:textId="77777777" w:rsidR="00F05DC7" w:rsidRDefault="00F05DC7" w:rsidP="00A3786D">
      <w:pPr>
        <w:pStyle w:val="Heading2"/>
      </w:pPr>
      <w:bookmarkStart w:id="95" w:name="_Toc513637723"/>
      <w:r>
        <w:t>6.3</w:t>
      </w:r>
      <w:r>
        <w:tab/>
        <w:t>Transparency and accountability are lacking</w:t>
      </w:r>
      <w:bookmarkEnd w:id="95"/>
    </w:p>
    <w:p w14:paraId="7954A421" w14:textId="77777777" w:rsidR="00F05DC7" w:rsidRDefault="00F05DC7" w:rsidP="00A3786D">
      <w:pPr>
        <w:pStyle w:val="Heading3"/>
        <w:spacing w:before="280"/>
      </w:pPr>
      <w:r>
        <w:t>The overall governance of the HFE system is sound …</w:t>
      </w:r>
    </w:p>
    <w:p w14:paraId="7954A422" w14:textId="77777777" w:rsidR="00F05DC7" w:rsidRDefault="00F05DC7" w:rsidP="00A3786D">
      <w:pPr>
        <w:pStyle w:val="BodyText"/>
      </w:pPr>
      <w:r>
        <w:t>T</w:t>
      </w:r>
      <w:r w:rsidRPr="00492D1C">
        <w:t xml:space="preserve">he CGC is </w:t>
      </w:r>
      <w:r>
        <w:t xml:space="preserve">an independent agency that is generally highly respected. Its independence is considered by many participants to be positive as it removes some (though obviously not all) of the political melee around the distribution process. It allows the CGC to make decisions at arm’s length from governments, but within a framework that enables extensive consultation and facilitates the input of all State Governments. </w:t>
      </w:r>
    </w:p>
    <w:p w14:paraId="7954A423" w14:textId="77777777" w:rsidR="00F05DC7" w:rsidRDefault="00F05DC7" w:rsidP="00A3786D">
      <w:pPr>
        <w:pStyle w:val="BodyText"/>
      </w:pPr>
      <w:r>
        <w:t>Further, CGC processes are well developed and embed a degree of transparency, particularly with regards to the</w:t>
      </w:r>
      <w:r w:rsidRPr="00492D1C">
        <w:t xml:space="preserve"> yearly </w:t>
      </w:r>
      <w:r>
        <w:t xml:space="preserve">relativity </w:t>
      </w:r>
      <w:r w:rsidRPr="00492D1C">
        <w:t>updates and five yearly methodology reviews</w:t>
      </w:r>
      <w:r>
        <w:t>. T</w:t>
      </w:r>
      <w:r w:rsidRPr="00492D1C">
        <w:t xml:space="preserve">his is demonstrated by the CGC’s schedule of work for its five year </w:t>
      </w:r>
      <w:r>
        <w:t>m</w:t>
      </w:r>
      <w:r w:rsidRPr="00492D1C">
        <w:t>ethodolog</w:t>
      </w:r>
      <w:r>
        <w:t>y</w:t>
      </w:r>
      <w:r w:rsidRPr="00492D1C">
        <w:t xml:space="preserve"> </w:t>
      </w:r>
      <w:r>
        <w:t>r</w:t>
      </w:r>
      <w:r w:rsidRPr="00492D1C">
        <w:t>eview</w:t>
      </w:r>
      <w:r w:rsidRPr="00E215FB">
        <w:t>,</w:t>
      </w:r>
      <w:r>
        <w:t xml:space="preserve"> which gives States the opportunity to provide submissions on elements of the review</w:t>
      </w:r>
      <w:r w:rsidRPr="00AB239C">
        <w:t xml:space="preserve"> </w:t>
      </w:r>
      <w:r>
        <w:t>and comment on the draft report, and also involves meetings between the CGC and State Governments. The CGC also makes considerable information available on its website regarding its methodology and assessments (though not all of the underlying data or calculations).</w:t>
      </w:r>
      <w:r w:rsidRPr="00E76BAC">
        <w:t xml:space="preserve"> </w:t>
      </w:r>
      <w:r>
        <w:t xml:space="preserve">The Tasmanian Government (sub. DR74, p. 35) commented: </w:t>
      </w:r>
    </w:p>
    <w:p w14:paraId="7954A424" w14:textId="77777777" w:rsidR="00F05DC7" w:rsidRDefault="00F05DC7" w:rsidP="00A3786D">
      <w:pPr>
        <w:pStyle w:val="Quote"/>
      </w:pPr>
      <w:r>
        <w:t>The CGC is the appropriate, independent body, with responsibility for recommending State GST relativities to the Commonwealth Treasurer. Tasmania believes that the CGC’s processes are analytical and data driven. Such processes rely on historical, empirical data on what States do and the circumstances in which they operate. The CGC is transparent, consults with the States on relevant matters, and discharges its responsibility with the highest integrity and expertise.</w:t>
      </w:r>
    </w:p>
    <w:p w14:paraId="7954A425" w14:textId="77777777" w:rsidR="00F05DC7" w:rsidRDefault="00F05DC7" w:rsidP="00A3786D">
      <w:pPr>
        <w:pStyle w:val="BodyText"/>
      </w:pPr>
      <w:r>
        <w:t xml:space="preserve">Others were similarly positive about the independence of the CGC and its processes (for example, Victorian Government, sub. 53; ACT Government, sub. DR81; SA Government; sub. DR89; Queensland Government, sub. DR106; Anthony Penney (representing Business SA), trans., pp. 223–4). </w:t>
      </w:r>
    </w:p>
    <w:p w14:paraId="7954A426" w14:textId="77777777" w:rsidR="00F05DC7" w:rsidRDefault="00F05DC7" w:rsidP="00A3786D">
      <w:pPr>
        <w:pStyle w:val="BodyText"/>
      </w:pPr>
      <w:r>
        <w:t>That said, the HFE system is not without its critics, and there are several impediments to the transparency and accountability of the system.</w:t>
      </w:r>
    </w:p>
    <w:p w14:paraId="7954A427" w14:textId="77777777" w:rsidR="00F05DC7" w:rsidRDefault="00F05DC7" w:rsidP="00A3786D">
      <w:pPr>
        <w:pStyle w:val="Heading3"/>
      </w:pPr>
      <w:r>
        <w:lastRenderedPageBreak/>
        <w:t>… but the HFE system is not well understood …</w:t>
      </w:r>
    </w:p>
    <w:p w14:paraId="7954A428" w14:textId="77777777" w:rsidR="00F05DC7" w:rsidRDefault="00F05DC7" w:rsidP="00A3786D">
      <w:pPr>
        <w:pStyle w:val="BodyText"/>
      </w:pPr>
      <w:r>
        <w:t xml:space="preserve">It has become apparent throughout the inquiry that the HFE system is understood by few, and even fewer fully comprehend the specific details of the distribution process. </w:t>
      </w:r>
      <w:r w:rsidRPr="00345D33">
        <w:t>Some of the disagreement and confusion around HFE appears to stem from the absence of a well</w:t>
      </w:r>
      <w:r w:rsidRPr="00345D33">
        <w:noBreakHyphen/>
        <w:t xml:space="preserve">articulated policy objective </w:t>
      </w:r>
      <w:r w:rsidRPr="00345D33">
        <w:rPr>
          <w:i/>
        </w:rPr>
        <w:t>by governments</w:t>
      </w:r>
      <w:r>
        <w:t xml:space="preserve"> — and specifically the Commonwealth Government</w:t>
      </w:r>
      <w:r w:rsidRPr="00345D33">
        <w:t xml:space="preserve">. </w:t>
      </w:r>
    </w:p>
    <w:p w14:paraId="7954A429" w14:textId="77777777" w:rsidR="00F05DC7" w:rsidRDefault="00F05DC7" w:rsidP="00A3786D">
      <w:pPr>
        <w:pStyle w:val="BodyText"/>
      </w:pPr>
      <w:r>
        <w:t>As noted in chapter 2, the tax reforms of 2000 led to a reframing of HFE in the context of the distribution of GST revenue to the States and resulted in a distancing of the Commonwealth Government from the workings and policy development of HFE</w:t>
      </w:r>
      <w:r w:rsidRPr="00AB5663">
        <w:t>.</w:t>
      </w:r>
      <w:r w:rsidRPr="00432E5E" w:rsidDel="00281374">
        <w:rPr>
          <w:rStyle w:val="CommentReference"/>
          <w:b w:val="0"/>
          <w:vanish w:val="0"/>
          <w:color w:val="auto"/>
          <w:sz w:val="24"/>
        </w:rPr>
        <w:t xml:space="preserve"> </w:t>
      </w:r>
      <w:r>
        <w:t xml:space="preserve">The NT Government (sub. 51, p. 40) commented: </w:t>
      </w:r>
    </w:p>
    <w:p w14:paraId="7954A42A" w14:textId="77777777" w:rsidR="00F05DC7" w:rsidRDefault="00F05DC7" w:rsidP="00A3786D">
      <w:pPr>
        <w:pStyle w:val="Quote"/>
      </w:pPr>
      <w:r>
        <w:t>… while equalisation is a central element of Australia’s federation, the Commonwealth itself has rarely defended HFE and its intent, and more recently has blurred the conversation by talking about a possible relativity floor sometime in the future …</w:t>
      </w:r>
    </w:p>
    <w:p w14:paraId="7954A42B" w14:textId="77777777" w:rsidR="00F05DC7" w:rsidRDefault="00F05DC7" w:rsidP="00A3786D">
      <w:pPr>
        <w:pStyle w:val="BodyText"/>
      </w:pPr>
      <w:r>
        <w:t xml:space="preserve">And as noted by the SA Government (sub. DR89, p. 15): </w:t>
      </w:r>
    </w:p>
    <w:p w14:paraId="7954A42C" w14:textId="77777777" w:rsidR="00F05DC7" w:rsidRDefault="00F05DC7" w:rsidP="00A3786D">
      <w:pPr>
        <w:pStyle w:val="Quote"/>
      </w:pPr>
      <w:r>
        <w:t xml:space="preserve">There is little information provided on what HFE really is, what it is attempting to achieve and why it is fair for states to get different GST allocations. </w:t>
      </w:r>
    </w:p>
    <w:p w14:paraId="7954A42D" w14:textId="77777777" w:rsidR="00F05DC7" w:rsidRDefault="00F05DC7" w:rsidP="00A3786D">
      <w:pPr>
        <w:pStyle w:val="BodyText"/>
      </w:pPr>
      <w:r>
        <w:t xml:space="preserve">The complexity of the system is another factor contributing to it not being well understood. </w:t>
      </w:r>
      <w:r>
        <w:rPr>
          <w:sz w:val="23"/>
          <w:szCs w:val="23"/>
        </w:rPr>
        <w:t>For example, the 2015 methodology review was made up of more than 800 pages of reports, 57 worksheets containing supporting data, and a range of supporting and discussion papers on which the States provided feedback to the CGC.</w:t>
      </w:r>
      <w:r w:rsidRPr="00E344DE">
        <w:t xml:space="preserve"> </w:t>
      </w:r>
      <w:r>
        <w:t>Anwar Shah (sub. DR103, p. 8) noted that:</w:t>
      </w:r>
    </w:p>
    <w:p w14:paraId="7954A42E" w14:textId="77777777" w:rsidR="00F05DC7" w:rsidRDefault="00F05DC7" w:rsidP="00A3786D">
      <w:pPr>
        <w:pStyle w:val="Quote"/>
      </w:pPr>
      <w:r>
        <w:t>The Australian equalization program, over the years, unbridled in its pursuit of the holy grail of equalization for ‘full justice’ has drifted away from its original objectives and morphed into a black box only a handful of Australian experts could fully comprehend.</w:t>
      </w:r>
    </w:p>
    <w:p w14:paraId="7954A42F" w14:textId="77777777" w:rsidR="00F05DC7" w:rsidRDefault="00F05DC7" w:rsidP="00A3786D">
      <w:pPr>
        <w:pStyle w:val="BodyText"/>
      </w:pPr>
      <w:r>
        <w:t>Complexity may not be a problem in and of itself — as participants have noted, there are many aspects of public policy that are complex — but a</w:t>
      </w:r>
      <w:r w:rsidRPr="00A23797">
        <w:t xml:space="preserve">n overly complex system can adversely affect both the understanding of the system broadly and the way in which decisions are made. </w:t>
      </w:r>
      <w:r>
        <w:t xml:space="preserve">As noted by the NT Government (sub. 51, p. 40): </w:t>
      </w:r>
    </w:p>
    <w:p w14:paraId="7954A430" w14:textId="77777777" w:rsidR="00F05DC7" w:rsidRDefault="00F05DC7" w:rsidP="00A3786D">
      <w:pPr>
        <w:pStyle w:val="Quote"/>
      </w:pPr>
      <w:r>
        <w:t xml:space="preserve">… the recommended GST distribution between states is so poorly understood that it allows a degree of political gaming and misinformation, which can distort the public’s views on HFE. For example, the consistent misinterpretation of relativities and statements such as ‘Western Australia receives 34 cents out of every GST dollar raised in the state’ are misleading, incorrect and indefensible. </w:t>
      </w:r>
    </w:p>
    <w:p w14:paraId="7954A431" w14:textId="77777777" w:rsidR="00F05DC7" w:rsidRDefault="00F05DC7" w:rsidP="00A3786D">
      <w:pPr>
        <w:pStyle w:val="BodyText"/>
      </w:pPr>
      <w:r>
        <w:t xml:space="preserve">This demonstrates a lack of public understanding about who owns the revenue raised through the GST and therefore who should have control over its use. Further, as noted by Anwar Shah (sub. DR103, p. 43): </w:t>
      </w:r>
    </w:p>
    <w:p w14:paraId="7954A432" w14:textId="77777777" w:rsidR="00F05DC7" w:rsidRDefault="00F05DC7" w:rsidP="00A3786D">
      <w:pPr>
        <w:pStyle w:val="Quote"/>
      </w:pPr>
      <w:r>
        <w:t>Complexity and opaqueness of the current HFE approach impedes striking a durable political compact on equalization and does not help strengthen citizens’ trust in governance.</w:t>
      </w:r>
    </w:p>
    <w:p w14:paraId="7954A433" w14:textId="77777777" w:rsidR="00F05DC7" w:rsidRDefault="00F05DC7" w:rsidP="00A3786D">
      <w:pPr>
        <w:pStyle w:val="BodyText"/>
      </w:pPr>
      <w:r>
        <w:lastRenderedPageBreak/>
        <w:t xml:space="preserve">The absence of a strong neutral public voice in the debate means there is no attempt to communicate what the system is seeking to achieve and how the system in place is meeting that objective. Clearer leadership from both the Commonwealth Government and the CGC would help to alleviate some of these concerns. </w:t>
      </w:r>
    </w:p>
    <w:p w14:paraId="7954A434" w14:textId="77777777" w:rsidR="00F05DC7" w:rsidRDefault="00F05DC7" w:rsidP="00A3786D">
      <w:pPr>
        <w:pStyle w:val="Heading3"/>
      </w:pPr>
      <w:r>
        <w:t>… and there is a lack of clarity around some decisions</w:t>
      </w:r>
    </w:p>
    <w:p w14:paraId="7954A435" w14:textId="77777777" w:rsidR="00F05DC7" w:rsidRDefault="00F05DC7" w:rsidP="00A3786D">
      <w:pPr>
        <w:pStyle w:val="BodyText"/>
      </w:pPr>
      <w:r>
        <w:t xml:space="preserve">Some inquiry participants have expressed concern that the CGC, at times, is required to exercise its judgment, particularly in choosing between approaches that reflect the supporting principles of HFE, stepping into the domain of policy decision making (Business Council of Australia, sub. 47; WA Government, sub. DR83; NSW Government, sub. DR109). They contend that the CGC relies on questionable data and judgments, which can result in unpredictable outcomes, and that in some cases CGC decisions overrule the decisions of elected officials (NSW Government, sub. 52). </w:t>
      </w:r>
    </w:p>
    <w:p w14:paraId="7954A436" w14:textId="77777777" w:rsidR="00F05DC7" w:rsidRDefault="00F05DC7" w:rsidP="00A3786D">
      <w:pPr>
        <w:pStyle w:val="BodyText"/>
      </w:pPr>
      <w:r>
        <w:t>Participants have asserted that such judgments should be the domain of elected governments, rather than the CGC, especially given they can involve trade</w:t>
      </w:r>
      <w:r>
        <w:noBreakHyphen/>
        <w:t>offs between equity and efficiency. For example, the WA Government (sub. DR83, p. 37) commented:</w:t>
      </w:r>
    </w:p>
    <w:p w14:paraId="7954A437" w14:textId="77777777" w:rsidR="00F05DC7" w:rsidRDefault="00F05DC7" w:rsidP="00A3786D">
      <w:pPr>
        <w:pStyle w:val="Quote"/>
      </w:pPr>
      <w:r>
        <w:t>Western Australia agrees that judgements on what constitutes the best equalisation outcome must continue to be made. However, policy judgements should be made by governments, while the CGC should make judgements about technical implementation.</w:t>
      </w:r>
    </w:p>
    <w:p w14:paraId="7954A438" w14:textId="77777777" w:rsidR="00F05DC7" w:rsidRDefault="00F05DC7" w:rsidP="00A3786D">
      <w:pPr>
        <w:pStyle w:val="BodyText"/>
      </w:pPr>
      <w:r>
        <w:t>And the NSW Government (sub. DR109, p. 19) contended:</w:t>
      </w:r>
    </w:p>
    <w:p w14:paraId="7954A439" w14:textId="77777777" w:rsidR="00F05DC7" w:rsidRPr="006353B4" w:rsidRDefault="00F05DC7" w:rsidP="00A3786D">
      <w:pPr>
        <w:pStyle w:val="Quote"/>
      </w:pPr>
      <w:r w:rsidRPr="006353B4">
        <w:t xml:space="preserve">Good governance </w:t>
      </w:r>
      <w:r>
        <w:t>…</w:t>
      </w:r>
      <w:r w:rsidRPr="006353B4">
        <w:t xml:space="preserve"> requires policy setting functions to remain strictly within the domain of elected representatives. More broadly, good governance also requires open and transparent decision making processes underpinned by robust accountability frameworks. The CGC does not meet current thresholds for good public sector governance.</w:t>
      </w:r>
    </w:p>
    <w:p w14:paraId="7954A43A" w14:textId="64C9FECC" w:rsidR="00F05DC7" w:rsidRDefault="00F05DC7" w:rsidP="00A3786D">
      <w:pPr>
        <w:pStyle w:val="BodyText"/>
      </w:pPr>
      <w:r>
        <w:t xml:space="preserve">The CGC </w:t>
      </w:r>
      <w:r w:rsidR="009D6331" w:rsidRPr="009D6331">
        <w:rPr>
          <w:szCs w:val="24"/>
        </w:rPr>
        <w:t>(2015e, p. 30)</w:t>
      </w:r>
      <w:r>
        <w:t xml:space="preserve"> acknowledges that from time to time it is required to exercise its judgment:</w:t>
      </w:r>
    </w:p>
    <w:p w14:paraId="7954A43B" w14:textId="77777777" w:rsidR="00F05DC7" w:rsidRDefault="00F05DC7" w:rsidP="00A3786D">
      <w:pPr>
        <w:pStyle w:val="Quote"/>
      </w:pPr>
      <w:r>
        <w:t>In practice, the Commission often has to evaluate alternative methods which embody mixtures of these principles and has to decide trade</w:t>
      </w:r>
      <w:r>
        <w:noBreakHyphen/>
        <w:t xml:space="preserve">offs among them — for example, between methods that capture what States do in detail and methods that are policy neutral. The Commission has not set rules for how it would decide the appropriate approach in any such cases, nor has it established a hierarchy among the principles. As required, judgment is used to devise the best overall equalisation result. </w:t>
      </w:r>
    </w:p>
    <w:p w14:paraId="7954A43C" w14:textId="2171A9D6" w:rsidR="00F05DC7" w:rsidRDefault="00F05DC7" w:rsidP="00A3786D">
      <w:pPr>
        <w:pStyle w:val="BodyText"/>
      </w:pPr>
      <w:r>
        <w:t xml:space="preserve">But the CGC </w:t>
      </w:r>
      <w:r w:rsidR="009D6331" w:rsidRPr="009D6331">
        <w:rPr>
          <w:szCs w:val="24"/>
        </w:rPr>
        <w:t>(2015f, p. 2)</w:t>
      </w:r>
      <w:r>
        <w:t xml:space="preserve"> has also noted that where it does, it provides opportunities for State Governments to provide input into its decisions:</w:t>
      </w:r>
    </w:p>
    <w:p w14:paraId="7954A43D" w14:textId="77777777" w:rsidR="00F05DC7" w:rsidRDefault="00F05DC7" w:rsidP="00A3786D">
      <w:pPr>
        <w:pStyle w:val="Quote"/>
      </w:pPr>
      <w:r w:rsidRPr="00953D08">
        <w:t>In exercising our judgment, we seek to take the fullest account possible of State views, notwithstanding they are often substantially in conflict with one another. The consultation we have undertaken has strengthened our ability to exercise the most informed judgment in finalising our recommendations.</w:t>
      </w:r>
    </w:p>
    <w:p w14:paraId="7954A43E" w14:textId="4FF1F373" w:rsidR="00F05DC7" w:rsidRDefault="00F05DC7" w:rsidP="00A3786D">
      <w:pPr>
        <w:pStyle w:val="BodyText"/>
      </w:pPr>
      <w:r>
        <w:lastRenderedPageBreak/>
        <w:t>In some instances, it appears that the CGC applies its own discretion when considering trade</w:t>
      </w:r>
      <w:r>
        <w:noBreakHyphen/>
        <w:t>offs between equity and efficiency. And its consideration of trade</w:t>
      </w:r>
      <w:r>
        <w:noBreakHyphen/>
        <w:t xml:space="preserve">offs has varied over time, as shown recently with the mining assessment. In the 2015 methodology review, the CGC </w:t>
      </w:r>
      <w:r w:rsidR="009D6331" w:rsidRPr="009D6331">
        <w:rPr>
          <w:szCs w:val="24"/>
        </w:rPr>
        <w:t>(2015e, p. 37)</w:t>
      </w:r>
      <w:r>
        <w:t xml:space="preserve"> reported:</w:t>
      </w:r>
    </w:p>
    <w:p w14:paraId="7954A43F" w14:textId="77777777" w:rsidR="00F05DC7" w:rsidRDefault="00F05DC7" w:rsidP="00A3786D">
      <w:pPr>
        <w:pStyle w:val="Quote"/>
      </w:pPr>
      <w:r>
        <w:t>We acknowledge that this [a mineral</w:t>
      </w:r>
      <w:r>
        <w:noBreakHyphen/>
        <w:t>by</w:t>
      </w:r>
      <w:r>
        <w:noBreakHyphen/>
        <w:t>mineral approach] has the potential to make the assessment less policy neutral because changes in State policies may have a larger impact on their shares of GST. However, we consider that the goal of policy neutrality is subsidiary to the requirement to achieve equalisation.</w:t>
      </w:r>
    </w:p>
    <w:p w14:paraId="7954A440" w14:textId="033804FB" w:rsidR="00F05DC7" w:rsidRPr="00C270F1" w:rsidRDefault="00F05DC7" w:rsidP="00A3786D">
      <w:pPr>
        <w:pStyle w:val="BodyText"/>
      </w:pPr>
      <w:r>
        <w:t xml:space="preserve">Yet in a preliminary paper for the 2020 methodology review, the CGC </w:t>
      </w:r>
      <w:r w:rsidR="009D6331" w:rsidRPr="009D6331">
        <w:rPr>
          <w:szCs w:val="24"/>
        </w:rPr>
        <w:t>(2017i, p. 5)</w:t>
      </w:r>
      <w:r>
        <w:t xml:space="preserve"> stated that the current approach to the mining assessment risks ‘undue conflict with the policy neutrality principle in some circumstances’ and that it will modify the operation of its assessments to secure greater policy neutrality. The CGC has consequently proposed </w:t>
      </w:r>
      <w:r w:rsidRPr="00D519CA">
        <w:t xml:space="preserve">introducing a revenue discount that is targeted to </w:t>
      </w:r>
      <w:r>
        <w:t xml:space="preserve">additional revenues from </w:t>
      </w:r>
      <w:r w:rsidRPr="00D519CA">
        <w:t>future State tax or royalty rate changes</w:t>
      </w:r>
      <w:r>
        <w:t xml:space="preserve"> (chapter 7).</w:t>
      </w:r>
    </w:p>
    <w:p w14:paraId="7954A441" w14:textId="77777777" w:rsidR="00F05DC7" w:rsidRPr="00910C5F" w:rsidRDefault="00F05DC7" w:rsidP="00A3786D">
      <w:pPr>
        <w:pStyle w:val="Heading3"/>
      </w:pPr>
      <w:r>
        <w:t>Accountability is blurred</w:t>
      </w:r>
    </w:p>
    <w:p w14:paraId="7954A442" w14:textId="77777777" w:rsidR="00F05DC7" w:rsidRPr="006D0EB6" w:rsidRDefault="00F05DC7" w:rsidP="00A3786D">
      <w:pPr>
        <w:pStyle w:val="BodyText"/>
      </w:pPr>
      <w:r w:rsidRPr="006D0EB6">
        <w:t>Accountability is difficult to achieve given the lack of understanding of the system and the fact that the CGC exercise</w:t>
      </w:r>
      <w:r>
        <w:t>s</w:t>
      </w:r>
      <w:r w:rsidRPr="006D0EB6">
        <w:t xml:space="preserve"> its judgment, particularly on some matters that encroach upon policy decisions. And the system is so complex that only a handful of people understand</w:t>
      </w:r>
      <w:r>
        <w:t xml:space="preserve"> it</w:t>
      </w:r>
      <w:r w:rsidRPr="006D0EB6">
        <w:t xml:space="preserve">. This complexity acts to undermine accountability and with it, public confidence in the HFE system. Compounding this, in cases where the redistribution task is very large, </w:t>
      </w:r>
      <w:r>
        <w:t xml:space="preserve">there </w:t>
      </w:r>
      <w:r w:rsidRPr="006D0EB6">
        <w:t xml:space="preserve">is a heightened perception that the system is unfair, which serves to further reduce public confidence in the system. </w:t>
      </w:r>
    </w:p>
    <w:p w14:paraId="7954A443" w14:textId="6451A8A8" w:rsidR="00F05DC7" w:rsidRPr="009B0879" w:rsidRDefault="00F05DC7" w:rsidP="00A3786D">
      <w:pPr>
        <w:pStyle w:val="BodyText"/>
      </w:pPr>
      <w:r>
        <w:t xml:space="preserve">More broadly, there is a lack of accountability between levels of governments, as </w:t>
      </w:r>
      <w:r w:rsidRPr="009B0879">
        <w:t xml:space="preserve">Gray </w:t>
      </w:r>
      <w:r w:rsidRPr="00AB1D47">
        <w:rPr>
          <w:szCs w:val="24"/>
        </w:rPr>
        <w:t>(2017, p. 31)</w:t>
      </w:r>
      <w:r w:rsidRPr="009B0879">
        <w:t xml:space="preserve"> concluded: </w:t>
      </w:r>
    </w:p>
    <w:p w14:paraId="7954A444" w14:textId="77777777" w:rsidR="00F05DC7" w:rsidRDefault="00F05DC7" w:rsidP="00A3786D">
      <w:pPr>
        <w:pStyle w:val="Quote"/>
      </w:pPr>
      <w:r w:rsidRPr="009B0879">
        <w:t>… we seem to have arrived at a situation in which no one is accepting accountability for one of the most critical aspects of federal financial relation</w:t>
      </w:r>
      <w:r w:rsidRPr="00BB1CF6">
        <w:t xml:space="preserve">s and where there is confusion about the priority to be given to compensating the States for their loss of the power to levy income tax as against achieving HFE. </w:t>
      </w:r>
    </w:p>
    <w:p w14:paraId="7954A445" w14:textId="568DBB13" w:rsidR="00F05DC7" w:rsidRDefault="00F05DC7" w:rsidP="00A3786D">
      <w:pPr>
        <w:pStyle w:val="BodyText"/>
      </w:pPr>
      <w:r>
        <w:t xml:space="preserve">Another factor contributing to blurred accountability is that, </w:t>
      </w:r>
      <w:r w:rsidRPr="009B0879">
        <w:t>a</w:t>
      </w:r>
      <w:r w:rsidRPr="000379A7">
        <w:t>s noted in chapter 2, the GST distribution is used to achieve both horizontal</w:t>
      </w:r>
      <w:r>
        <w:t xml:space="preserve"> equalisation</w:t>
      </w:r>
      <w:r w:rsidRPr="000379A7">
        <w:t xml:space="preserve"> (redistribution among States</w:t>
      </w:r>
      <w:r w:rsidRPr="003A3D15">
        <w:t>) and vertical</w:t>
      </w:r>
      <w:r>
        <w:t xml:space="preserve"> equalisation</w:t>
      </w:r>
      <w:r w:rsidRPr="003A3D15">
        <w:t xml:space="preserve"> (transfer of resources from the Commonwealth</w:t>
      </w:r>
      <w:r>
        <w:t xml:space="preserve"> Government to the States). The OECD </w:t>
      </w:r>
      <w:r w:rsidRPr="003528A1">
        <w:rPr>
          <w:szCs w:val="24"/>
        </w:rPr>
        <w:t>(Blö</w:t>
      </w:r>
      <w:r w:rsidRPr="00AA1146">
        <w:rPr>
          <w:szCs w:val="24"/>
        </w:rPr>
        <w:t>chliger et al. </w:t>
      </w:r>
      <w:r w:rsidRPr="000E60ED">
        <w:rPr>
          <w:szCs w:val="24"/>
        </w:rPr>
        <w:t>2007)</w:t>
      </w:r>
      <w:r>
        <w:t xml:space="preserve"> has found that systems that mix both horizontal and vertical equalisation are less transparent and accountable because they blur responsibility between financing and funding.</w:t>
      </w:r>
      <w:r w:rsidRPr="00BA765F">
        <w:t xml:space="preserve"> </w:t>
      </w:r>
      <w:r>
        <w:t xml:space="preserve">Neil Warren (sub. 38, p. 3) identified this dual role in his submission. </w:t>
      </w:r>
    </w:p>
    <w:p w14:paraId="7954A446" w14:textId="77777777" w:rsidR="00F05DC7" w:rsidRDefault="00F05DC7" w:rsidP="00A3786D">
      <w:pPr>
        <w:pStyle w:val="Heading4"/>
      </w:pPr>
      <w:r>
        <w:lastRenderedPageBreak/>
        <w:t xml:space="preserve">Lack of transparency and accountability for quarantined Commonwealth payments </w:t>
      </w:r>
    </w:p>
    <w:p w14:paraId="7954A447" w14:textId="77777777" w:rsidR="00F05DC7" w:rsidRDefault="00F05DC7" w:rsidP="00A3786D">
      <w:pPr>
        <w:pStyle w:val="BodyText"/>
      </w:pPr>
      <w:r>
        <w:t>Insufficient transparency and accountability are particularly evident with respect to the</w:t>
      </w:r>
      <w:r w:rsidRPr="00230B79">
        <w:t xml:space="preserve"> </w:t>
      </w:r>
      <w:r w:rsidRPr="001E7512">
        <w:t>broader system of Commonwealth payments</w:t>
      </w:r>
      <w:r>
        <w:t xml:space="preserve"> for specific purposes, including for infrastructure, education</w:t>
      </w:r>
      <w:r w:rsidRPr="00230B79">
        <w:t>,</w:t>
      </w:r>
      <w:r>
        <w:t xml:space="preserve"> and housing.</w:t>
      </w:r>
      <w:r w:rsidRPr="00230B79">
        <w:t xml:space="preserve"> </w:t>
      </w:r>
      <w:r>
        <w:t>This system</w:t>
      </w:r>
      <w:r w:rsidRPr="00230B79">
        <w:t xml:space="preserve"> </w:t>
      </w:r>
      <w:r>
        <w:t xml:space="preserve">complicates lines of responsibility and blurs accountability between governments in the funding and delivery of services (discussed further in chapter 9). </w:t>
      </w:r>
    </w:p>
    <w:p w14:paraId="7954A448" w14:textId="77777777" w:rsidR="00F05DC7" w:rsidRDefault="00F05DC7" w:rsidP="00A3786D">
      <w:pPr>
        <w:pStyle w:val="BodyText"/>
      </w:pPr>
      <w:r>
        <w:t>The ability of the Commonwealth Treasurer to quarantine Commonwealth payments from HFE — which excludes them from the relativity calculation — further reduces transparency and accountability and adds an element of unpredictability to Australia’s HFE system.</w:t>
      </w:r>
      <w:r w:rsidRPr="00A474DC">
        <w:t xml:space="preserve"> </w:t>
      </w:r>
      <w:r>
        <w:t>This is compounded by the fact that some payments may be fully quarantined, while others may only be partially discounted (table B.1 in appendix B provides a list of quarantined and discounted payments).</w:t>
      </w:r>
    </w:p>
    <w:p w14:paraId="7954A449" w14:textId="77777777" w:rsidR="00F05DC7" w:rsidDel="00B466A2" w:rsidRDefault="00F05DC7" w:rsidP="00A3786D">
      <w:pPr>
        <w:pStyle w:val="BodyText"/>
      </w:pPr>
      <w:r w:rsidDel="00B466A2">
        <w:t>Even though only a small proportion of payments are quarantined by the Commonwealth Treasurer in practice — for example</w:t>
      </w:r>
      <w:r>
        <w:t xml:space="preserve">, </w:t>
      </w:r>
      <w:r w:rsidDel="00B466A2">
        <w:t xml:space="preserve">about </w:t>
      </w:r>
      <w:r>
        <w:t>5.2</w:t>
      </w:r>
      <w:r w:rsidDel="00B466A2">
        <w:t> per cent of payments for specific purposes in 201</w:t>
      </w:r>
      <w:r>
        <w:t>6</w:t>
      </w:r>
      <w:r w:rsidDel="00B466A2">
        <w:noBreakHyphen/>
        <w:t>1</w:t>
      </w:r>
      <w:r>
        <w:t>7</w:t>
      </w:r>
      <w:r w:rsidDel="00B466A2">
        <w:t xml:space="preserve"> </w:t>
      </w:r>
      <w:r>
        <w:t>(CGC, pers. comm., 5 April 2018)</w:t>
      </w:r>
      <w:r w:rsidDel="00B466A2">
        <w:t> — these payments have the potential to significantly affect the total funding received by a particular State and thus that State’s effective relativity. Quarantining a large number of payments also carries the risk of compromising the objective of HFE, and widens the gap between the headline and effective GST relativities in a non</w:t>
      </w:r>
      <w:r w:rsidDel="00B466A2">
        <w:noBreakHyphen/>
        <w:t>transparent, ad hoc manner.</w:t>
      </w:r>
    </w:p>
    <w:p w14:paraId="7954A44A" w14:textId="77777777" w:rsidR="00F05DC7" w:rsidRDefault="00F05DC7" w:rsidP="00A3786D">
      <w:pPr>
        <w:pStyle w:val="BodyText"/>
      </w:pPr>
      <w:r>
        <w:t>With respect to Commonwealth payments for transport infrastructure, the Grattan Institute (sub. 24, p. 9) submitted:</w:t>
      </w:r>
    </w:p>
    <w:p w14:paraId="7954A44B" w14:textId="77777777" w:rsidR="00F05DC7" w:rsidRDefault="00F05DC7" w:rsidP="00A3786D">
      <w:pPr>
        <w:pStyle w:val="Quote"/>
      </w:pPr>
      <w:r>
        <w:t>… the current approach is opaque, even to some decision</w:t>
      </w:r>
      <w:r>
        <w:noBreakHyphen/>
        <w:t xml:space="preserve">makers. This allows room for grants to States to be treated more or less favourably on grounds that are not consistently applied, giving rise to perverse incentives for both States and the Commonwealth. </w:t>
      </w:r>
    </w:p>
    <w:p w14:paraId="7954A44C" w14:textId="77777777" w:rsidR="00F05DC7" w:rsidRDefault="00F05DC7" w:rsidP="00A3786D">
      <w:pPr>
        <w:pStyle w:val="BodyText"/>
      </w:pPr>
      <w:r>
        <w:t>And the Victorian Government (sub. 53, p. 6) submitted:</w:t>
      </w:r>
    </w:p>
    <w:p w14:paraId="7954A44D" w14:textId="77777777" w:rsidR="00F05DC7" w:rsidRPr="001C630A" w:rsidRDefault="00F05DC7" w:rsidP="00A3786D">
      <w:pPr>
        <w:pStyle w:val="Quote"/>
      </w:pPr>
      <w:r>
        <w:t>There may be legitimate reasons for such exclusions. For example, where there is no reliable, policy</w:t>
      </w:r>
      <w:r>
        <w:noBreakHyphen/>
        <w:t xml:space="preserve">neutral approach to objectively assess cost differences between States, or where reliable data is unavailable … such exclusions should be independently and consistently administered by the CGC … to prevent political decisions from interfering with the independent process. However, some other exclusions in the past have not been based on any obvious policy rationale. For example, inconsistencies are created through the differential treatment between funding for road and rail infrastructure … </w:t>
      </w:r>
    </w:p>
    <w:p w14:paraId="7954A44E" w14:textId="77777777" w:rsidR="00F05DC7" w:rsidRPr="001C630A" w:rsidRDefault="00F05DC7" w:rsidP="00A3786D">
      <w:pPr>
        <w:pStyle w:val="BodyText"/>
      </w:pPr>
      <w:r>
        <w:t xml:space="preserve">Even if payments are relatively modest in size, the quarantining of payments by the Commonwealth Treasurer without a clearly stated rationale can undermine system integrity, as well as create an impression that the system is unfair. </w:t>
      </w:r>
    </w:p>
    <w:p w14:paraId="7954A44F" w14:textId="77777777" w:rsidR="00F05DC7" w:rsidRPr="00C453B9" w:rsidRDefault="00F05DC7" w:rsidP="00A3786D">
      <w:pPr>
        <w:pStyle w:val="Heading2"/>
      </w:pPr>
      <w:bookmarkStart w:id="96" w:name="_Toc513637724"/>
      <w:r>
        <w:lastRenderedPageBreak/>
        <w:t>6.4</w:t>
      </w:r>
      <w:r w:rsidRPr="008A1085">
        <w:tab/>
      </w:r>
      <w:r>
        <w:t>A revised objective for HFE is needed</w:t>
      </w:r>
      <w:bookmarkEnd w:id="96"/>
    </w:p>
    <w:p w14:paraId="7954A450" w14:textId="77777777" w:rsidR="00F05DC7" w:rsidRDefault="00F05DC7" w:rsidP="00A3786D">
      <w:pPr>
        <w:pStyle w:val="BodyText"/>
      </w:pPr>
      <w:r>
        <w:t xml:space="preserve">The Productivity Commission’s overall assessment is that the system is functioning reasonably well in a number of areas, including </w:t>
      </w:r>
      <w:r w:rsidRPr="00EF5FAB">
        <w:t>address</w:t>
      </w:r>
      <w:r>
        <w:t>ing the</w:t>
      </w:r>
      <w:r w:rsidRPr="00EF5FAB">
        <w:t xml:space="preserve"> inherent advantages and disadvantages in the fiscal capacities of the</w:t>
      </w:r>
      <w:r>
        <w:t xml:space="preserve"> States, the independence of the CGC and the stability that HFE provides for most States’ budget management.</w:t>
      </w:r>
      <w:r w:rsidRPr="006437CE">
        <w:t xml:space="preserve"> </w:t>
      </w:r>
    </w:p>
    <w:p w14:paraId="7954A451" w14:textId="77777777" w:rsidR="00F05DC7" w:rsidRDefault="00F05DC7" w:rsidP="00A3786D">
      <w:pPr>
        <w:pStyle w:val="BodyText"/>
      </w:pPr>
      <w:r>
        <w:t>However, there are also a number of deficiencies with the system. In particular, the system provides disincentives for efficiency</w:t>
      </w:r>
      <w:r>
        <w:noBreakHyphen/>
        <w:t xml:space="preserve">enhancing reform and resource development, which over time could have a material cumulative impact on the economy and community wellbeing. These disincentives </w:t>
      </w:r>
      <w:r w:rsidRPr="009A7058">
        <w:t xml:space="preserve">are not solely an efficiency problem. </w:t>
      </w:r>
      <w:r>
        <w:t>T</w:t>
      </w:r>
      <w:r w:rsidRPr="009A7058">
        <w:t>o the extent that they mean that States do not reap the rewards of their own efforts, they can detract from fairness, as well as from public confidence in the HFE system. And by encroaching on State decision making, they can erode State autonomy and thereby accountability for their tax and spending decisions.</w:t>
      </w:r>
    </w:p>
    <w:p w14:paraId="7954A452" w14:textId="77777777" w:rsidR="00F05DC7" w:rsidRDefault="00F05DC7" w:rsidP="00A3786D">
      <w:pPr>
        <w:pStyle w:val="BodyText"/>
      </w:pPr>
      <w:r>
        <w:t xml:space="preserve">To some degree, these problems arise because the objective of HFE is almost singularly focused on achieving full equalisation of fiscal capacities. While efficiency is partially considered by way of the supporting principle of policy neutrality, it has typically (until very recently, as discussed below) been secondary in the CGC’s consideration and thus takes a ‘back seat’ to equity. And where the CGC’s principles run counter to the equalisation objective, they have effectively ceased to apply. </w:t>
      </w:r>
    </w:p>
    <w:p w14:paraId="7954A453" w14:textId="77777777" w:rsidR="00F05DC7" w:rsidRDefault="00F05DC7" w:rsidP="00A3786D">
      <w:pPr>
        <w:pStyle w:val="BodyText"/>
      </w:pPr>
      <w:r>
        <w:t xml:space="preserve">Further, the objective of HFE has largely been left to the determination of the CGC (albeit in consultation with the States) and there has been little involvement from the Commonwealth Government. Since the late 1970s, when all States were brought into the HFE system (chapter 2), the objective of HFE has largely evolved through CGC processes. </w:t>
      </w:r>
    </w:p>
    <w:p w14:paraId="7954A454" w14:textId="77777777" w:rsidR="00F05DC7" w:rsidRDefault="00F05DC7" w:rsidP="00A3786D">
      <w:pPr>
        <w:pStyle w:val="BodyText"/>
      </w:pPr>
      <w:r>
        <w:t>The Commonwealth Government has provided only implicit approval of the objective through the terms of reference for yearly updates and five</w:t>
      </w:r>
      <w:r>
        <w:noBreakHyphen/>
        <w:t xml:space="preserve">yearly methodology reviews (box 6.1). Indeed, the </w:t>
      </w:r>
      <w:r w:rsidRPr="00A139A2">
        <w:rPr>
          <w:i/>
        </w:rPr>
        <w:t>Commonwealth Grants Commission Act 1973</w:t>
      </w:r>
      <w:r>
        <w:t xml:space="preserve"> (Cwlth) provides little guidance on the objective of HFE, as it has not been updated to keep pace with what the CGC does in practice.</w:t>
      </w:r>
      <w:r w:rsidRPr="00404893">
        <w:t xml:space="preserve"> </w:t>
      </w:r>
      <w:r>
        <w:t>It defines</w:t>
      </w:r>
      <w:r w:rsidRPr="00404893">
        <w:t xml:space="preserve"> special assistance to the </w:t>
      </w:r>
      <w:r>
        <w:t>S</w:t>
      </w:r>
      <w:r w:rsidRPr="00404893">
        <w:t>tates as ‘</w:t>
      </w:r>
      <w:r>
        <w:t xml:space="preserve"> </w:t>
      </w:r>
      <w:r w:rsidRPr="00404893">
        <w:t>… the grant of financial assistance to a State for the purpose of making it possible for the State, by reasonable effort, to function at a standard not appreciably below the standards of other States’</w:t>
      </w:r>
      <w:r w:rsidRPr="007835D3">
        <w:t xml:space="preserve"> </w:t>
      </w:r>
      <w:r>
        <w:t>(s 5(1)).</w:t>
      </w:r>
      <w:r w:rsidRPr="00404893">
        <w:t xml:space="preserve"> </w:t>
      </w:r>
      <w:r>
        <w:t>Yet</w:t>
      </w:r>
      <w:r w:rsidRPr="00404893">
        <w:t xml:space="preserve">, </w:t>
      </w:r>
      <w:r>
        <w:t xml:space="preserve">the current approach of the </w:t>
      </w:r>
      <w:r w:rsidRPr="00404893">
        <w:t xml:space="preserve">CGC </w:t>
      </w:r>
      <w:r>
        <w:t xml:space="preserve">is to equalise to </w:t>
      </w:r>
      <w:r w:rsidRPr="00404893">
        <w:t xml:space="preserve">materially the </w:t>
      </w:r>
      <w:r w:rsidRPr="0032421F">
        <w:rPr>
          <w:i/>
        </w:rPr>
        <w:t>same</w:t>
      </w:r>
      <w:r w:rsidRPr="00404893">
        <w:t xml:space="preserve"> </w:t>
      </w:r>
      <w:r>
        <w:t>standard</w:t>
      </w:r>
      <w:r w:rsidRPr="00404893">
        <w:t>.</w:t>
      </w:r>
      <w:r>
        <w:t xml:space="preserve"> </w:t>
      </w:r>
    </w:p>
    <w:p w14:paraId="7954A455" w14:textId="77777777" w:rsidR="00F05DC7" w:rsidRDefault="00F05DC7" w:rsidP="00A3786D">
      <w:pPr>
        <w:pStyle w:val="BodyText"/>
      </w:pPr>
      <w:r>
        <w:t xml:space="preserve">In striving for the same standard, it is likely that opportunities are being missed to more fairly reward States for their policy efforts and to improve efficiency and enhance the wellbeing of the Australian community over time. </w:t>
      </w:r>
    </w:p>
    <w:p w14:paraId="7954A456"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458" w14:textId="77777777" w:rsidTr="001113B1">
        <w:trPr>
          <w:tblHeader/>
        </w:trPr>
        <w:tc>
          <w:tcPr>
            <w:tcW w:w="5000" w:type="pct"/>
            <w:tcBorders>
              <w:top w:val="single" w:sz="6" w:space="0" w:color="78A22F"/>
              <w:left w:val="nil"/>
              <w:bottom w:val="nil"/>
              <w:right w:val="nil"/>
            </w:tcBorders>
            <w:shd w:val="clear" w:color="auto" w:fill="F2F2F2"/>
          </w:tcPr>
          <w:p w14:paraId="7954A457" w14:textId="05E71F8B" w:rsidR="00F05DC7" w:rsidRDefault="00F05DC7" w:rsidP="00A3786D">
            <w:pPr>
              <w:pStyle w:val="BoxTitle"/>
            </w:pPr>
            <w:r>
              <w:rPr>
                <w:b w:val="0"/>
              </w:rPr>
              <w:t>Box 6.</w:t>
            </w:r>
            <w:r>
              <w:rPr>
                <w:b w:val="0"/>
                <w:noProof/>
              </w:rPr>
              <w:t>1</w:t>
            </w:r>
            <w:r>
              <w:tab/>
              <w:t>The evolution of the objective of HFE</w:t>
            </w:r>
          </w:p>
        </w:tc>
      </w:tr>
      <w:tr w:rsidR="00F05DC7" w14:paraId="7954A463" w14:textId="77777777" w:rsidTr="00A3786D">
        <w:tc>
          <w:tcPr>
            <w:tcW w:w="5000" w:type="pct"/>
            <w:tcBorders>
              <w:top w:val="nil"/>
              <w:left w:val="nil"/>
              <w:bottom w:val="nil"/>
              <w:right w:val="nil"/>
            </w:tcBorders>
            <w:shd w:val="clear" w:color="auto" w:fill="F2F2F2"/>
          </w:tcPr>
          <w:p w14:paraId="7954A459" w14:textId="77777777" w:rsidR="00F05DC7" w:rsidRDefault="00F05DC7" w:rsidP="00A3786D">
            <w:pPr>
              <w:pStyle w:val="Box"/>
              <w:spacing w:line="240" w:lineRule="atLeast"/>
            </w:pPr>
            <w:r w:rsidRPr="00480488">
              <w:t xml:space="preserve">The </w:t>
            </w:r>
            <w:r>
              <w:t xml:space="preserve">Commonwealth Grants </w:t>
            </w:r>
            <w:r w:rsidRPr="00480488">
              <w:t xml:space="preserve">Commission’s </w:t>
            </w:r>
            <w:r>
              <w:t xml:space="preserve">(CGC) </w:t>
            </w:r>
            <w:r w:rsidRPr="00480488">
              <w:t>first task</w:t>
            </w:r>
            <w:r>
              <w:t xml:space="preserve"> on creation in 1933</w:t>
            </w:r>
            <w:r w:rsidRPr="00480488">
              <w:t xml:space="preserve"> was to devise consistent principles for the special grants</w:t>
            </w:r>
            <w:r>
              <w:t xml:space="preserve"> paid to the financially weaker (or claimant) States.</w:t>
            </w:r>
            <w:r w:rsidRPr="00480488">
              <w:t xml:space="preserve"> It</w:t>
            </w:r>
            <w:r>
              <w:t xml:space="preserve"> initially considered that </w:t>
            </w:r>
            <w:r w:rsidRPr="00480488">
              <w:t>special grants should enable the claimant States ‘with reasonable effort, to put their finances in about as good order as that of the other States’ but they were not aimed at equalising incomes or living standards of individuals in the States.</w:t>
            </w:r>
            <w:r>
              <w:t xml:space="preserve"> This was further refined for the CGC’s third report in 1936 such that special grants ‘ … make it </w:t>
            </w:r>
            <w:r w:rsidRPr="00502160">
              <w:t>possible for that State by reasonable effort to function at a standard not appreci</w:t>
            </w:r>
            <w:r>
              <w:t>ably below that of other States’.</w:t>
            </w:r>
          </w:p>
          <w:p w14:paraId="7954A45A" w14:textId="77777777" w:rsidR="00F05DC7" w:rsidRDefault="00F05DC7" w:rsidP="00A3786D">
            <w:pPr>
              <w:pStyle w:val="Box"/>
              <w:spacing w:line="240" w:lineRule="atLeast"/>
            </w:pPr>
            <w:r>
              <w:t xml:space="preserve">In 1973, </w:t>
            </w:r>
            <w:r w:rsidRPr="008C6313">
              <w:t xml:space="preserve">a </w:t>
            </w:r>
            <w:r>
              <w:t>‘</w:t>
            </w:r>
            <w:r w:rsidRPr="008C6313">
              <w:t>grant of special assi</w:t>
            </w:r>
            <w:r>
              <w:t>stance’ was defined</w:t>
            </w:r>
            <w:r w:rsidRPr="008C6313">
              <w:t xml:space="preserve"> in legislation </w:t>
            </w:r>
            <w:r>
              <w:t xml:space="preserve">— </w:t>
            </w:r>
            <w:r w:rsidRPr="00AA6938">
              <w:t>the</w:t>
            </w:r>
            <w:r>
              <w:rPr>
                <w:i/>
              </w:rPr>
              <w:t xml:space="preserve"> Commonwealth</w:t>
            </w:r>
            <w:r w:rsidRPr="008C6313">
              <w:rPr>
                <w:i/>
              </w:rPr>
              <w:t xml:space="preserve"> Grants Commission Act 1973</w:t>
            </w:r>
            <w:r>
              <w:t xml:space="preserve"> (Cwlth) — as one made ‘</w:t>
            </w:r>
            <w:r w:rsidRPr="008C6313">
              <w:t>for the purpose of making it possible for a State, by reasonable effort, to function at a standard not appreciably below the standards of other States</w:t>
            </w:r>
            <w:r>
              <w:t>’. This has remained unchanged in the CGC Act, despite the practices of the CGC evolving.</w:t>
            </w:r>
          </w:p>
          <w:p w14:paraId="7954A45B" w14:textId="77777777" w:rsidR="00F05DC7" w:rsidRDefault="00F05DC7" w:rsidP="00A3786D">
            <w:pPr>
              <w:pStyle w:val="Box"/>
              <w:spacing w:line="240" w:lineRule="atLeast"/>
            </w:pPr>
            <w:r>
              <w:t>In the late 1970s there was a change to Commonwealth</w:t>
            </w:r>
            <w:r>
              <w:noBreakHyphen/>
              <w:t xml:space="preserve">State financial arrangements, and the State Treasurers agreed that States should be able to provide services of the </w:t>
            </w:r>
            <w:r w:rsidRPr="003149D2">
              <w:rPr>
                <w:i/>
              </w:rPr>
              <w:t>same</w:t>
            </w:r>
            <w:r>
              <w:t xml:space="preserve"> standard (chapter 2). The CGC began to assess the financial capacities of all States, and for its review in 1981, State shares were based on equalisation principles defined in the </w:t>
            </w:r>
            <w:r w:rsidRPr="00741F33">
              <w:rPr>
                <w:i/>
              </w:rPr>
              <w:t xml:space="preserve">States (Personal Income Tax Sharing) Amendment Act </w:t>
            </w:r>
            <w:r w:rsidRPr="00AA6938">
              <w:rPr>
                <w:i/>
              </w:rPr>
              <w:t>1978</w:t>
            </w:r>
            <w:r>
              <w:t xml:space="preserve">, </w:t>
            </w:r>
            <w:r w:rsidRPr="00045AAC">
              <w:t>which</w:t>
            </w:r>
            <w:r>
              <w:t xml:space="preserve"> is no longer in force:</w:t>
            </w:r>
          </w:p>
          <w:p w14:paraId="7954A45C" w14:textId="77777777" w:rsidR="00F05DC7" w:rsidRDefault="00F05DC7" w:rsidP="00A3786D">
            <w:pPr>
              <w:pStyle w:val="BoxQuote"/>
              <w:spacing w:line="240" w:lineRule="atLeast"/>
            </w:pPr>
            <w:r>
              <w:t>(i) … payments … should enable each State to provide, without imposing taxes and charges at levels appreciably different from the levels of the taxes and charges imposed by other States, government services at standards not appreciably different from the standards of government services provided by the other States;</w:t>
            </w:r>
          </w:p>
          <w:p w14:paraId="7954A45D" w14:textId="77777777" w:rsidR="00F05DC7" w:rsidRDefault="00F05DC7" w:rsidP="00A3786D">
            <w:pPr>
              <w:pStyle w:val="BoxQuote"/>
              <w:spacing w:line="240" w:lineRule="atLeast"/>
            </w:pPr>
            <w:r>
              <w:t>(ii) taking account of: differences in the capacities of the States to raise revenues; and differences in the amounts required to be expended by the States in providing comparable government services.</w:t>
            </w:r>
          </w:p>
          <w:p w14:paraId="7954A45E" w14:textId="77777777" w:rsidR="00F05DC7" w:rsidRDefault="00F05DC7" w:rsidP="00A3786D">
            <w:pPr>
              <w:pStyle w:val="Box"/>
              <w:spacing w:line="240" w:lineRule="atLeast"/>
            </w:pPr>
            <w:r>
              <w:t xml:space="preserve">Similar definitions were adopted in subsequent CGC reviews in 1982, 1985, 1988 and 1993. However in the course of the 1993 review, there were calls for greater precision in the aim of equalisation. The 1999 terms of reference subsequently outlined equalisation to involve grants: </w:t>
            </w:r>
          </w:p>
          <w:p w14:paraId="7954A45F" w14:textId="77777777" w:rsidR="00F05DC7" w:rsidRDefault="00F05DC7" w:rsidP="00A3786D">
            <w:pPr>
              <w:pStyle w:val="BoxQuote"/>
              <w:spacing w:line="240" w:lineRule="atLeast"/>
            </w:pPr>
            <w:r>
              <w:t xml:space="preserve">… that </w:t>
            </w:r>
            <w:r w:rsidRPr="008C6313">
              <w:t>should enable each State to provide the average standard of State</w:t>
            </w:r>
            <w:r>
              <w:noBreakHyphen/>
            </w:r>
            <w:r w:rsidRPr="008C6313">
              <w:t>type public services assuming it does so at an average level of operational efficiency and makes the average effort to raise revenue from its own sources.</w:t>
            </w:r>
          </w:p>
          <w:p w14:paraId="7954A460" w14:textId="77777777" w:rsidR="00F05DC7" w:rsidRDefault="00F05DC7" w:rsidP="00A3786D">
            <w:pPr>
              <w:pStyle w:val="Box"/>
              <w:spacing w:line="240" w:lineRule="atLeast"/>
            </w:pPr>
            <w:r>
              <w:t>However this was subsequently rephrased in the 1999 review (and applied in the 2004 review):</w:t>
            </w:r>
          </w:p>
          <w:p w14:paraId="7954A461" w14:textId="77777777" w:rsidR="00F05DC7" w:rsidRDefault="00F05DC7" w:rsidP="00A3786D">
            <w:pPr>
              <w:pStyle w:val="BoxQuote"/>
              <w:spacing w:line="240" w:lineRule="atLeast"/>
            </w:pPr>
            <w:r w:rsidRPr="008C6313">
              <w:t>State governments should receive funding from the Commonwealth such that, if each made the same effort to raise revenue from its own sources and operated at the same level of efficiency, each would have the capacity to provide services at the same standard.</w:t>
            </w:r>
          </w:p>
          <w:p w14:paraId="7954A462" w14:textId="77777777" w:rsidR="00F05DC7" w:rsidRPr="00626C5B" w:rsidRDefault="00F05DC7" w:rsidP="00A3786D">
            <w:pPr>
              <w:pStyle w:val="Box"/>
              <w:spacing w:line="240" w:lineRule="atLeast"/>
            </w:pPr>
            <w:r>
              <w:t>The principle was again modified in the 2010 review (and was unchanged in the 2015 review) to the principle still in place today (see above). The CGC is currently consulting on the definition that it will take to the 2020 methodology review.</w:t>
            </w:r>
          </w:p>
        </w:tc>
      </w:tr>
      <w:tr w:rsidR="00F05DC7" w14:paraId="7954A465" w14:textId="77777777" w:rsidTr="00A3786D">
        <w:tc>
          <w:tcPr>
            <w:tcW w:w="5000" w:type="pct"/>
            <w:tcBorders>
              <w:top w:val="nil"/>
              <w:left w:val="nil"/>
              <w:bottom w:val="nil"/>
              <w:right w:val="nil"/>
            </w:tcBorders>
            <w:shd w:val="clear" w:color="auto" w:fill="F2F2F2"/>
          </w:tcPr>
          <w:p w14:paraId="7954A464" w14:textId="0351824D" w:rsidR="00F05DC7" w:rsidRDefault="00F05DC7" w:rsidP="00A3786D">
            <w:pPr>
              <w:pStyle w:val="BoxSource"/>
            </w:pPr>
            <w:r>
              <w:rPr>
                <w:i/>
              </w:rPr>
              <w:t>Sources</w:t>
            </w:r>
            <w:r w:rsidRPr="00167F06">
              <w:t xml:space="preserve">: </w:t>
            </w:r>
            <w:r>
              <w:t xml:space="preserve">CGC </w:t>
            </w:r>
            <w:r w:rsidR="009D6331" w:rsidRPr="009D6331">
              <w:rPr>
                <w:rFonts w:cs="Arial"/>
              </w:rPr>
              <w:t>(2009, 2016b)</w:t>
            </w:r>
            <w:r>
              <w:t xml:space="preserve">; </w:t>
            </w:r>
            <w:r w:rsidRPr="004C6573">
              <w:rPr>
                <w:i/>
              </w:rPr>
              <w:t>Commonwealth Grants Commission Act 1973</w:t>
            </w:r>
            <w:r w:rsidRPr="002D2E98">
              <w:t xml:space="preserve"> (Cwlth)</w:t>
            </w:r>
            <w:r>
              <w:t>, s 5(1).</w:t>
            </w:r>
          </w:p>
        </w:tc>
      </w:tr>
      <w:tr w:rsidR="00F05DC7" w14:paraId="7954A467" w14:textId="77777777" w:rsidTr="00A3786D">
        <w:tc>
          <w:tcPr>
            <w:tcW w:w="5000" w:type="pct"/>
            <w:tcBorders>
              <w:top w:val="nil"/>
              <w:left w:val="nil"/>
              <w:bottom w:val="single" w:sz="6" w:space="0" w:color="78A22F"/>
              <w:right w:val="nil"/>
            </w:tcBorders>
            <w:shd w:val="clear" w:color="auto" w:fill="F2F2F2"/>
          </w:tcPr>
          <w:p w14:paraId="7954A466" w14:textId="77777777" w:rsidR="00F05DC7" w:rsidRDefault="00F05DC7" w:rsidP="00A3786D">
            <w:pPr>
              <w:pStyle w:val="Box"/>
              <w:spacing w:before="0" w:line="120" w:lineRule="exact"/>
            </w:pPr>
          </w:p>
        </w:tc>
      </w:tr>
      <w:tr w:rsidR="00F05DC7" w:rsidRPr="000863A5" w14:paraId="7954A469" w14:textId="77777777" w:rsidTr="00A3786D">
        <w:tc>
          <w:tcPr>
            <w:tcW w:w="5000" w:type="pct"/>
            <w:tcBorders>
              <w:top w:val="single" w:sz="6" w:space="0" w:color="78A22F"/>
              <w:left w:val="nil"/>
              <w:bottom w:val="nil"/>
              <w:right w:val="nil"/>
            </w:tcBorders>
          </w:tcPr>
          <w:p w14:paraId="7954A468" w14:textId="77777777" w:rsidR="00F05DC7" w:rsidRPr="00626D32" w:rsidRDefault="00F05DC7" w:rsidP="00A3786D">
            <w:pPr>
              <w:pStyle w:val="BoxSpaceBelow"/>
            </w:pPr>
          </w:p>
        </w:tc>
      </w:tr>
    </w:tbl>
    <w:p w14:paraId="7954A46A"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46E"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46B" w14:textId="7800817D" w:rsidR="00F05DC7" w:rsidRDefault="00F05DC7" w:rsidP="00A3786D">
            <w:pPr>
              <w:pStyle w:val="FindingTitle"/>
              <w:spacing w:before="120"/>
              <w:rPr>
                <w:noProof/>
              </w:rPr>
            </w:pPr>
            <w:r>
              <w:t>Finding 6.</w:t>
            </w:r>
            <w:r>
              <w:rPr>
                <w:noProof/>
              </w:rPr>
              <w:t>1</w:t>
            </w:r>
          </w:p>
          <w:p w14:paraId="7954A46C" w14:textId="77777777" w:rsidR="00F05DC7" w:rsidRDefault="00F05DC7" w:rsidP="00A3786D">
            <w:pPr>
              <w:pStyle w:val="Rec"/>
              <w:spacing w:line="270" w:lineRule="atLeast"/>
            </w:pPr>
            <w:r>
              <w:t xml:space="preserve">While Australia’s HFE system has a number of strengths, it also has several deficiencies. In particular, it </w:t>
            </w:r>
            <w:r w:rsidRPr="00B97B35">
              <w:t xml:space="preserve">can provide disincentives for </w:t>
            </w:r>
            <w:r>
              <w:t>desirable</w:t>
            </w:r>
            <w:r w:rsidRPr="00B97B35">
              <w:t xml:space="preserve"> tax and </w:t>
            </w:r>
            <w:r>
              <w:t xml:space="preserve">resource development </w:t>
            </w:r>
            <w:r w:rsidRPr="00B97B35">
              <w:t>policies</w:t>
            </w:r>
            <w:r>
              <w:t xml:space="preserve">, and, to the </w:t>
            </w:r>
            <w:r w:rsidRPr="00B97B35">
              <w:t xml:space="preserve">extent that States do not reap </w:t>
            </w:r>
            <w:r>
              <w:t>much of</w:t>
            </w:r>
            <w:r w:rsidRPr="00B97B35">
              <w:t xml:space="preserve"> the rewards of their own </w:t>
            </w:r>
            <w:r>
              <w:t xml:space="preserve">policy </w:t>
            </w:r>
            <w:r w:rsidRPr="00B97B35">
              <w:t>efforts, can detract from fairness</w:t>
            </w:r>
            <w:r>
              <w:t>.</w:t>
            </w:r>
          </w:p>
          <w:p w14:paraId="7954A46D" w14:textId="77777777" w:rsidR="00F05DC7" w:rsidRPr="00CE4C64" w:rsidRDefault="00F05DC7" w:rsidP="00A3786D">
            <w:pPr>
              <w:pStyle w:val="Rec"/>
            </w:pPr>
            <w:r w:rsidRPr="00756FC4">
              <w:t>Many of thes</w:t>
            </w:r>
            <w:r>
              <w:t>e concerns</w:t>
            </w:r>
            <w:r w:rsidRPr="00756FC4">
              <w:t xml:space="preserve"> are due to the pursuit, above all else, of comprehensive equalisation of fiscal capacities. It is likely that opportunities are being missed to</w:t>
            </w:r>
            <w:r>
              <w:t xml:space="preserve"> more fairly reward States for their policy efforts, </w:t>
            </w:r>
            <w:r w:rsidRPr="00756FC4">
              <w:t>and to improve efficiency</w:t>
            </w:r>
            <w:r>
              <w:t xml:space="preserve"> and enhance the wellbeing of the Australian community over time. </w:t>
            </w:r>
          </w:p>
        </w:tc>
      </w:tr>
      <w:tr w:rsidR="00F05DC7" w14:paraId="7954A470"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46F" w14:textId="77777777" w:rsidR="00F05DC7" w:rsidRDefault="00F05DC7" w:rsidP="00A3786D">
            <w:pPr>
              <w:pStyle w:val="Space"/>
              <w:keepLines/>
            </w:pPr>
          </w:p>
        </w:tc>
      </w:tr>
      <w:tr w:rsidR="00F05DC7" w:rsidRPr="000863A5" w14:paraId="7954A472"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471" w14:textId="77777777" w:rsidR="00F05DC7" w:rsidRPr="00626D32" w:rsidRDefault="00F05DC7" w:rsidP="00A3786D">
            <w:pPr>
              <w:pStyle w:val="BoxSpaceBelow"/>
              <w:keepLines/>
            </w:pPr>
          </w:p>
        </w:tc>
      </w:tr>
    </w:tbl>
    <w:p w14:paraId="7954A473" w14:textId="77777777" w:rsidR="00F05DC7" w:rsidRDefault="00F05DC7" w:rsidP="00A3786D">
      <w:pPr>
        <w:pStyle w:val="Heading3"/>
      </w:pPr>
      <w:r>
        <w:t>Providing a ‘reasonable’ standard of services</w:t>
      </w:r>
    </w:p>
    <w:p w14:paraId="7954A474" w14:textId="77777777" w:rsidR="00F05DC7" w:rsidRDefault="00F05DC7" w:rsidP="00A3786D">
      <w:pPr>
        <w:pStyle w:val="BodyText"/>
      </w:pPr>
      <w:r>
        <w:t>T</w:t>
      </w:r>
      <w:r w:rsidRPr="00F11F6C">
        <w:t xml:space="preserve">he objective of HFE should </w:t>
      </w:r>
      <w:r>
        <w:t xml:space="preserve">remain focused on fiscal equity but it should </w:t>
      </w:r>
      <w:r w:rsidRPr="00F11F6C">
        <w:t>be reframed to allow explicit trade</w:t>
      </w:r>
      <w:r>
        <w:noBreakHyphen/>
      </w:r>
      <w:r w:rsidRPr="00F11F6C">
        <w:t>offs to be made between equity, efficiency, and transparency and accountability</w:t>
      </w:r>
      <w:r>
        <w:t xml:space="preserve">. As such, HFE should seek to equalise States’ fiscal capacities such that they can provide services and infrastructure of a </w:t>
      </w:r>
      <w:r w:rsidRPr="00484114">
        <w:rPr>
          <w:i/>
        </w:rPr>
        <w:t xml:space="preserve">reasonable </w:t>
      </w:r>
      <w:r>
        <w:t>standard.</w:t>
      </w:r>
      <w:r w:rsidRPr="00282527">
        <w:rPr>
          <w:rStyle w:val="FootnoteReference"/>
        </w:rPr>
        <w:footnoteReference w:id="14"/>
      </w:r>
      <w:r>
        <w:t xml:space="preserve"> In particular, the system should not unduly impact upon:</w:t>
      </w:r>
    </w:p>
    <w:p w14:paraId="7954A475" w14:textId="77777777" w:rsidR="00F05DC7" w:rsidRDefault="00F05DC7" w:rsidP="00A3786D">
      <w:pPr>
        <w:pStyle w:val="ListBullet"/>
      </w:pPr>
      <w:r>
        <w:t xml:space="preserve">State reform incentives and the choices that States make regarding their tax mix, delivery of services and infrastructure and longer term economic reforms. </w:t>
      </w:r>
    </w:p>
    <w:p w14:paraId="7954A476" w14:textId="77777777" w:rsidR="00F05DC7" w:rsidRDefault="00F05DC7" w:rsidP="00A3786D">
      <w:pPr>
        <w:pStyle w:val="ListBullet"/>
      </w:pPr>
      <w:r>
        <w:t>the efficient movement of people and capital between States.</w:t>
      </w:r>
    </w:p>
    <w:p w14:paraId="7954A477" w14:textId="77777777" w:rsidR="00F05DC7" w:rsidRDefault="00F05DC7" w:rsidP="00A3786D">
      <w:pPr>
        <w:pStyle w:val="BodyText"/>
      </w:pPr>
      <w:r>
        <w:t>The process for determining the distribution of funds should also be transparent and accountable.</w:t>
      </w:r>
    </w:p>
    <w:p w14:paraId="7954A478" w14:textId="77777777" w:rsidR="00F05DC7" w:rsidRDefault="00F05DC7" w:rsidP="00A3786D">
      <w:pPr>
        <w:pStyle w:val="BodyText"/>
      </w:pPr>
      <w:r>
        <w:t xml:space="preserve">This revised objective will inevitably (and desirably) still involve redistribution from fiscally stronger States to increase the fiscal capacity of the fiscally weaker States. Yet it does not require that States have an </w:t>
      </w:r>
      <w:r w:rsidRPr="00C96832">
        <w:rPr>
          <w:i/>
        </w:rPr>
        <w:t xml:space="preserve">identical </w:t>
      </w:r>
      <w:r>
        <w:t>fiscal capacity. Some differences may be acceptable in order to provide reward for policy effort (fairness) and to achieve more policy</w:t>
      </w:r>
      <w:r>
        <w:noBreakHyphen/>
        <w:t xml:space="preserve">neutral (efficient) outcomes. In striking a balance between these outcomes, a </w:t>
      </w:r>
      <w:r w:rsidRPr="001E6D3B">
        <w:rPr>
          <w:i/>
        </w:rPr>
        <w:t>reasonable</w:t>
      </w:r>
      <w:r>
        <w:t xml:space="preserve"> standard of services also balances the benefits and costs to the Australian community from redistributions between States. A similar objective has been adopted in several other countries; for example, in Canada equalisation is intended to achieve </w:t>
      </w:r>
      <w:r w:rsidRPr="004022B6">
        <w:t>reasonably comparable levels of public services at reasonably comparable levels of taxation across provinces</w:t>
      </w:r>
      <w:r>
        <w:t xml:space="preserve"> (appendix E).</w:t>
      </w:r>
    </w:p>
    <w:p w14:paraId="7954A479" w14:textId="77777777" w:rsidR="00F05DC7" w:rsidRDefault="00F05DC7" w:rsidP="00A3786D">
      <w:pPr>
        <w:pStyle w:val="BodyText"/>
      </w:pPr>
      <w:r>
        <w:t xml:space="preserve">On occasion, the CGC makes some decisions that give consideration to objectives other than equity, particularly policy neutrality, which implicitly trade off reductions in fiscal equality with efficiency and fairness gains. And, as noted above, the CGC has recently signalled that </w:t>
      </w:r>
      <w:r>
        <w:lastRenderedPageBreak/>
        <w:t>it is willing to consider changes to its methodology to better incorporate such considerations in the future, and specifically, in the mining assessment.</w:t>
      </w:r>
    </w:p>
    <w:p w14:paraId="7954A47A" w14:textId="77777777" w:rsidR="00F05DC7" w:rsidRDefault="00F05DC7" w:rsidP="00A3786D">
      <w:pPr>
        <w:pStyle w:val="BodyText"/>
      </w:pPr>
      <w:r>
        <w:t xml:space="preserve">A change to the objective as suggested would assist in formalising this process, and provide an opportunity to set clearer bounds around when and how the CGC might deviate from the singular pursuit of the equalisation of fiscal capacities. This would help to improve transparency (and accountability) of the HFE system. </w:t>
      </w:r>
    </w:p>
    <w:p w14:paraId="7954A47B" w14:textId="77777777" w:rsidR="00F05DC7" w:rsidRDefault="00F05DC7" w:rsidP="00A3786D">
      <w:pPr>
        <w:pStyle w:val="Heading4"/>
      </w:pPr>
      <w:r>
        <w:t>Participant concerns with ‘reasonable’</w:t>
      </w:r>
    </w:p>
    <w:p w14:paraId="7954A47C" w14:textId="6671EE1B" w:rsidR="00F05DC7" w:rsidRDefault="00F05DC7" w:rsidP="00A3786D">
      <w:pPr>
        <w:pStyle w:val="BodyText"/>
      </w:pPr>
      <w:r>
        <w:t xml:space="preserve">A number of participants supported a move to a ‘reasonable’ </w:t>
      </w:r>
      <w:r w:rsidR="00115458">
        <w:t>standard</w:t>
      </w:r>
      <w:r>
        <w:t xml:space="preserve"> of services. For example, the NSW Government (sub. DR109) commented that it would reduce perverse incentives while providing services not appreciably different from the current system. The Queensland Government (sub. DR106; Jim Murphy, trans., p. 588) supported a move to ‘reasonable’, but only insofar as it would lead to greater simplicity in the system, without changing the equalisation benchmark itself. However, many participants expressed concerns with the term ‘reasonable’ (box 6.2). They suggested it is nebulous, would entrench an advantaged position for one (or several) jurisdictions, would leave the States open to the vagaries of government and could jeopardise future federal financial relations. </w:t>
      </w:r>
    </w:p>
    <w:p w14:paraId="7954A47D" w14:textId="77777777" w:rsidR="00F05DC7" w:rsidRDefault="00F05DC7" w:rsidP="00A3786D">
      <w:pPr>
        <w:pStyle w:val="BodyText"/>
      </w:pPr>
      <w:r>
        <w:t>In some respects, a ‘reasonable’ standard of services could result in more uncertainty compared to the ‘same’ standard under the current system, as it requires judgments about the trade</w:t>
      </w:r>
      <w:r>
        <w:noBreakHyphen/>
        <w:t>off between the pursuit of full fiscal equalisation and the other principles. Often, these trade</w:t>
      </w:r>
      <w:r>
        <w:noBreakHyphen/>
        <w:t>offs — even between fiscal equity and fairness — are difficult to measure.</w:t>
      </w:r>
    </w:p>
    <w:p w14:paraId="7954A47E" w14:textId="76D2242A" w:rsidR="00F05DC7" w:rsidRDefault="00F05DC7" w:rsidP="00A3786D">
      <w:pPr>
        <w:pStyle w:val="BodyText"/>
      </w:pPr>
      <w:r>
        <w:t xml:space="preserve">That is not to say that these factors are not able to be accommodated. A ‘reasonable’ </w:t>
      </w:r>
      <w:r w:rsidR="00B526FD">
        <w:t>standard</w:t>
      </w:r>
      <w:r>
        <w:t xml:space="preserve"> of services can be defined by the specific approach to HFE that is adopted. Options —explored in chapters 7 and 8 — include changing the way fiscal capacities are measured (such as by adopting more simple and policy neutral indicators) or the use of alternative equalisation benchmarks (such as the average fiscal capacity of the States or the average of the donor States). To varying degrees, each of these options would result in less than full equalisation and must therefore be weighed against their benefits in terms of fairness and efficiency. </w:t>
      </w:r>
    </w:p>
    <w:p w14:paraId="7954A47F" w14:textId="77777777" w:rsidR="00F05DC7" w:rsidRDefault="00F05DC7" w:rsidP="00A3786D">
      <w:pPr>
        <w:pStyle w:val="Heading4"/>
      </w:pPr>
      <w:r>
        <w:t>The implications for equity, efficiency and transparency and accountability will vary</w:t>
      </w:r>
    </w:p>
    <w:p w14:paraId="7954A480" w14:textId="77777777" w:rsidR="00F05DC7" w:rsidRDefault="00F05DC7" w:rsidP="00A3786D">
      <w:pPr>
        <w:pStyle w:val="BodyText"/>
      </w:pPr>
      <w:r>
        <w:t xml:space="preserve">The costs and benefits of a move away from full equalisation will depend upon the specific approach that is adopted and its careful implementation. </w:t>
      </w:r>
    </w:p>
    <w:p w14:paraId="7954A481" w14:textId="77777777" w:rsidR="00F05DC7" w:rsidRDefault="00F05DC7" w:rsidP="00A3786D">
      <w:pPr>
        <w:pStyle w:val="BodyText"/>
      </w:pPr>
      <w:r>
        <w:t>The impact upon migration patterns is perhaps the easiest to predict. As noted in chapter 5, HFE is expected to have little effect on decisions to relocate to another State — differing fiscal capacities appears to be a relatively minor consideration.</w:t>
      </w:r>
      <w:r w:rsidRPr="000A4EF4">
        <w:t xml:space="preserve"> </w:t>
      </w:r>
      <w:r>
        <w:t>T</w:t>
      </w:r>
      <w:r w:rsidRPr="000A4EF4">
        <w:t xml:space="preserve">here would need to be a large and sustained difference in fiscal capacities to materially influence the location decisions of </w:t>
      </w:r>
      <w:r>
        <w:t>people and businesses (box 6.3)</w:t>
      </w:r>
      <w:r w:rsidRPr="000A4EF4">
        <w:t>.</w:t>
      </w:r>
      <w:r>
        <w:t xml:space="preserve"> </w:t>
      </w:r>
    </w:p>
    <w:p w14:paraId="7954A482" w14:textId="77777777" w:rsidR="00F05DC7" w:rsidRDefault="00F05DC7" w:rsidP="007207B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484" w14:textId="77777777" w:rsidTr="00A3786D">
        <w:trPr>
          <w:tblHeader/>
        </w:trPr>
        <w:tc>
          <w:tcPr>
            <w:tcW w:w="5000" w:type="pct"/>
            <w:tcBorders>
              <w:top w:val="single" w:sz="6" w:space="0" w:color="78A22F"/>
              <w:left w:val="nil"/>
              <w:bottom w:val="nil"/>
              <w:right w:val="nil"/>
            </w:tcBorders>
            <w:shd w:val="clear" w:color="auto" w:fill="F2F2F2"/>
          </w:tcPr>
          <w:p w14:paraId="7954A483" w14:textId="087F6075" w:rsidR="00F05DC7" w:rsidRDefault="00F05DC7" w:rsidP="00A3786D">
            <w:pPr>
              <w:pStyle w:val="BoxTitle"/>
            </w:pPr>
            <w:r>
              <w:rPr>
                <w:b w:val="0"/>
              </w:rPr>
              <w:t>Box 6.</w:t>
            </w:r>
            <w:r>
              <w:rPr>
                <w:b w:val="0"/>
                <w:noProof/>
              </w:rPr>
              <w:t>2</w:t>
            </w:r>
            <w:r>
              <w:tab/>
              <w:t>Participants’ views on ‘reasonable’</w:t>
            </w:r>
          </w:p>
        </w:tc>
      </w:tr>
      <w:tr w:rsidR="00F05DC7" w14:paraId="7954A48D" w14:textId="77777777" w:rsidTr="00A3786D">
        <w:tc>
          <w:tcPr>
            <w:tcW w:w="5000" w:type="pct"/>
            <w:tcBorders>
              <w:top w:val="nil"/>
              <w:left w:val="nil"/>
              <w:bottom w:val="nil"/>
              <w:right w:val="nil"/>
            </w:tcBorders>
            <w:shd w:val="clear" w:color="auto" w:fill="F2F2F2"/>
          </w:tcPr>
          <w:p w14:paraId="7954A485" w14:textId="77777777" w:rsidR="00F05DC7" w:rsidRDefault="00F05DC7" w:rsidP="008C54FC">
            <w:pPr>
              <w:pStyle w:val="BoxQuote"/>
              <w:spacing w:before="120"/>
            </w:pPr>
            <w:r w:rsidRPr="00547E6F">
              <w:t>We agree that the Commonwealth Government should clearly articulate the</w:t>
            </w:r>
            <w:r>
              <w:t xml:space="preserve"> </w:t>
            </w:r>
            <w:r w:rsidRPr="00547E6F">
              <w:t>HFE principle, and aim for ‘reasonable rather than full’ equalisation</w:t>
            </w:r>
            <w:r>
              <w:t>. (WA Government, sub. DR83, p. 6)</w:t>
            </w:r>
          </w:p>
          <w:p w14:paraId="7954A486" w14:textId="77777777" w:rsidR="00F05DC7" w:rsidRDefault="00F05DC7" w:rsidP="00A3786D">
            <w:pPr>
              <w:pStyle w:val="BoxQuote"/>
            </w:pPr>
            <w:r>
              <w:t>…</w:t>
            </w:r>
            <w:r w:rsidRPr="00995136">
              <w:t xml:space="preserve"> if equal per capita distribution of GST is not adopted in the short</w:t>
            </w:r>
            <w:r>
              <w:noBreakHyphen/>
            </w:r>
            <w:r w:rsidRPr="00995136">
              <w:t xml:space="preserve">term, a revised objective for HFE which provides the states with the fiscal capacity to allow them to deliver services and associated infrastructure of a </w:t>
            </w:r>
            <w:r>
              <w:t>‘</w:t>
            </w:r>
            <w:r w:rsidRPr="00995136">
              <w:t>reasonable standard</w:t>
            </w:r>
            <w:r>
              <w:t>’</w:t>
            </w:r>
            <w:r w:rsidRPr="00995136">
              <w:t xml:space="preserve"> is a positive step forward if it adopts equalising to the average fiscal capacity of all states.</w:t>
            </w:r>
            <w:r>
              <w:t xml:space="preserve"> (NSW Government, sub. DR109, p. 14)</w:t>
            </w:r>
          </w:p>
          <w:p w14:paraId="7954A487" w14:textId="77777777" w:rsidR="00F05DC7" w:rsidRPr="00481E48" w:rsidRDefault="00F05DC7" w:rsidP="00A3786D">
            <w:pPr>
              <w:pStyle w:val="BoxQuote"/>
            </w:pPr>
            <w:r>
              <w:t>… it might be semantics, but the same means you’ve got to really be very precise with what you’re doing, where similar means you can be roughly approximately similar fiscal capacity. But we don’t agree that you should move to a reasonable level, which I think was what was in part of your draft report. So we would say the equalisation principle should stay as it is, but you could give more flexibility to the Grants Commission to review their practices and reform their methodology. (Jim Murphy, trans., p. 590)</w:t>
            </w:r>
          </w:p>
          <w:p w14:paraId="7954A488" w14:textId="77777777" w:rsidR="00F05DC7" w:rsidRDefault="00F05DC7" w:rsidP="00A3786D">
            <w:pPr>
              <w:pStyle w:val="BoxQuote"/>
            </w:pPr>
            <w:r>
              <w:t>This proposed standard is nebulous, inadequate to ensure equality of opportunity of residents between states, and would be highly liable to political erosion. (TasCOSS, sub. DR66, p. 2)</w:t>
            </w:r>
          </w:p>
          <w:p w14:paraId="7954A489" w14:textId="77777777" w:rsidR="00F05DC7" w:rsidRDefault="00F05DC7" w:rsidP="00A3786D">
            <w:pPr>
              <w:pStyle w:val="BoxQuote"/>
            </w:pPr>
            <w:r>
              <w:t>The proposed alternative to the current form of HFE, equalising to a ‘reasonable’ standard is unacceptably vague and, unlike the current standard that equalises to a simple all</w:t>
            </w:r>
            <w:r>
              <w:noBreakHyphen/>
              <w:t>state average, would add significant complexity and uncertainty. Further, the proposed alternative relies entirely on the Commonwealth to determine the ‘reasonable’ standard most appropriate at any time. (NT Government, sub. DR69, p. 9)</w:t>
            </w:r>
          </w:p>
          <w:p w14:paraId="7954A48A" w14:textId="77777777" w:rsidR="00F05DC7" w:rsidRDefault="00F05DC7" w:rsidP="00A3786D">
            <w:pPr>
              <w:pStyle w:val="BoxQuote"/>
            </w:pPr>
            <w:r>
              <w:t>This approach appears arbitrary, designed to address the point</w:t>
            </w:r>
            <w:r>
              <w:noBreakHyphen/>
              <w:t>in</w:t>
            </w:r>
            <w:r>
              <w:noBreakHyphen/>
              <w:t>time, fiscal concerns of one particular state and undermines the equity objective of HFE. It does little to improve the transparency, simplicity, economic efficiency, or equity of the current system, and may represent a worse alternative on all these counts. (Victorian Government, sub. DR87, p. 3)</w:t>
            </w:r>
          </w:p>
          <w:p w14:paraId="7954A48B" w14:textId="77777777" w:rsidR="00F05DC7" w:rsidRDefault="00F05DC7" w:rsidP="00A3786D">
            <w:pPr>
              <w:pStyle w:val="BoxQuote"/>
            </w:pPr>
            <w:r>
              <w:t>Although the Commission appears to have considered this proposed change as a short term fix to an immediate problem, it represents a fundamental change to the equalisation system which would, in practice, entrench a specially advantaged position for one jurisdiction, allowing it to build up over time the capacity to provide higher and higher levels of service and lower and lower levels of taxation to its residents compared with all other jurisdictions. The consequences of this situation for the integrity and credibility of federal financial relations in the longer term need to be carefully considered by the Commission. (ACT Government, sub. DR81, p. 8)</w:t>
            </w:r>
          </w:p>
          <w:p w14:paraId="7954A48C" w14:textId="77777777" w:rsidR="00F05DC7" w:rsidRPr="001256A2" w:rsidRDefault="00F05DC7" w:rsidP="00A3786D">
            <w:pPr>
              <w:pStyle w:val="BoxQuote"/>
            </w:pPr>
            <w:r w:rsidRPr="004F7A28">
              <w:t>The</w:t>
            </w:r>
            <w:r>
              <w:t xml:space="preserve"> ‘</w:t>
            </w:r>
            <w:r w:rsidRPr="004F7A28">
              <w:t>reasonable standard</w:t>
            </w:r>
            <w:r>
              <w:t>’</w:t>
            </w:r>
            <w:r w:rsidRPr="004F7A28">
              <w:t xml:space="preserve"> aim would require the degree of </w:t>
            </w:r>
            <w:r>
              <w:t>‘</w:t>
            </w:r>
            <w:r w:rsidRPr="004F7A28">
              <w:t>acceptable inequality</w:t>
            </w:r>
            <w:r>
              <w:t>’</w:t>
            </w:r>
            <w:r w:rsidRPr="004F7A28">
              <w:t xml:space="preserve"> to be subject to some form of complex and protracted process that would ultimately be politically determined at the discretion of the prevailing Commonwealth Government. The independent role of the CGC would be severely compromised. </w:t>
            </w:r>
            <w:r>
              <w:t>(</w:t>
            </w:r>
            <w:r w:rsidRPr="004F7A28">
              <w:t>SA Gov</w:t>
            </w:r>
            <w:r>
              <w:t>ernment</w:t>
            </w:r>
            <w:r w:rsidRPr="004F7A28">
              <w:t xml:space="preserve">, </w:t>
            </w:r>
            <w:r>
              <w:t xml:space="preserve">sub. DR89, </w:t>
            </w:r>
            <w:r w:rsidRPr="004F7A28">
              <w:t>p.</w:t>
            </w:r>
            <w:r>
              <w:t> </w:t>
            </w:r>
            <w:r w:rsidRPr="004F7A28">
              <w:t>2</w:t>
            </w:r>
            <w:r>
              <w:t>)</w:t>
            </w:r>
          </w:p>
        </w:tc>
      </w:tr>
      <w:tr w:rsidR="00F05DC7" w14:paraId="7954A48F" w14:textId="77777777" w:rsidTr="00A3786D">
        <w:tc>
          <w:tcPr>
            <w:tcW w:w="5000" w:type="pct"/>
            <w:tcBorders>
              <w:top w:val="nil"/>
              <w:left w:val="nil"/>
              <w:bottom w:val="single" w:sz="6" w:space="0" w:color="78A22F"/>
              <w:right w:val="nil"/>
            </w:tcBorders>
            <w:shd w:val="clear" w:color="auto" w:fill="F2F2F2"/>
          </w:tcPr>
          <w:p w14:paraId="7954A48E" w14:textId="77777777" w:rsidR="00F05DC7" w:rsidRDefault="00F05DC7" w:rsidP="00A3786D">
            <w:pPr>
              <w:pStyle w:val="Box"/>
              <w:spacing w:before="0" w:line="120" w:lineRule="exact"/>
            </w:pPr>
          </w:p>
        </w:tc>
      </w:tr>
      <w:tr w:rsidR="00F05DC7" w:rsidRPr="000863A5" w14:paraId="7954A491" w14:textId="77777777" w:rsidTr="00A3786D">
        <w:tc>
          <w:tcPr>
            <w:tcW w:w="5000" w:type="pct"/>
            <w:tcBorders>
              <w:top w:val="single" w:sz="6" w:space="0" w:color="78A22F"/>
              <w:left w:val="nil"/>
              <w:bottom w:val="nil"/>
              <w:right w:val="nil"/>
            </w:tcBorders>
          </w:tcPr>
          <w:p w14:paraId="7954A490" w14:textId="77777777" w:rsidR="00F05DC7" w:rsidRPr="00626D32" w:rsidRDefault="00F05DC7" w:rsidP="00A3786D">
            <w:pPr>
              <w:pStyle w:val="BoxSpaceBelow"/>
            </w:pPr>
          </w:p>
        </w:tc>
      </w:tr>
    </w:tbl>
    <w:p w14:paraId="7954A492" w14:textId="77777777" w:rsidR="00F05DC7" w:rsidRDefault="00F05DC7" w:rsidP="00A3786D">
      <w:pPr>
        <w:pStyle w:val="BodyText"/>
      </w:pPr>
      <w:r>
        <w:t>Other implications for efficiency, including the incentives for States to undertake tax reform, vary depending on the particular approach adopted, and how well those incentive effects are targeted (discussed in chapters 7 and 8). Similarly, the implications for equity will vary depending upon whether greater emphasis is given to ensuring States have a similar fiscal capacity compared to improvements to the perceived fairness of the system. For example, there are some options within the current system that could directly address mining policy non</w:t>
      </w:r>
      <w:r>
        <w:noBreakHyphen/>
        <w:t xml:space="preserve">neutrality but come at too high of a cost to fiscal equality (chapter 7). There are also broader, more fundamental reforms, including equalising to the average of all states or equalising to the second strongest State, which would go some way towards addressing both efficiency and equity concerns. </w:t>
      </w:r>
    </w:p>
    <w:p w14:paraId="7954A493"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495" w14:textId="77777777" w:rsidTr="00A3786D">
        <w:trPr>
          <w:tblHeader/>
        </w:trPr>
        <w:tc>
          <w:tcPr>
            <w:tcW w:w="5000" w:type="pct"/>
            <w:tcBorders>
              <w:top w:val="single" w:sz="6" w:space="0" w:color="78A22F"/>
              <w:left w:val="nil"/>
              <w:bottom w:val="nil"/>
              <w:right w:val="nil"/>
            </w:tcBorders>
            <w:shd w:val="clear" w:color="auto" w:fill="F2F2F2"/>
          </w:tcPr>
          <w:p w14:paraId="7954A494" w14:textId="35B2344F" w:rsidR="00F05DC7" w:rsidRDefault="00F05DC7" w:rsidP="00A3786D">
            <w:pPr>
              <w:pStyle w:val="BoxTitle"/>
            </w:pPr>
            <w:r>
              <w:rPr>
                <w:b w:val="0"/>
              </w:rPr>
              <w:t>Box 6.</w:t>
            </w:r>
            <w:r>
              <w:rPr>
                <w:b w:val="0"/>
                <w:noProof/>
              </w:rPr>
              <w:t>3</w:t>
            </w:r>
            <w:r>
              <w:tab/>
            </w:r>
            <w:r w:rsidRPr="00C21F88">
              <w:t xml:space="preserve">Would a </w:t>
            </w:r>
            <w:r>
              <w:t>less than full</w:t>
            </w:r>
            <w:r w:rsidRPr="00C21F88">
              <w:t xml:space="preserve"> equalisation</w:t>
            </w:r>
            <w:r>
              <w:t xml:space="preserve"> benchmark</w:t>
            </w:r>
            <w:r w:rsidRPr="00C21F88">
              <w:t xml:space="preserve"> affect settlement patterns?</w:t>
            </w:r>
          </w:p>
        </w:tc>
      </w:tr>
      <w:tr w:rsidR="00F05DC7" w14:paraId="7954A4A0" w14:textId="77777777" w:rsidTr="00A3786D">
        <w:tc>
          <w:tcPr>
            <w:tcW w:w="5000" w:type="pct"/>
            <w:tcBorders>
              <w:top w:val="nil"/>
              <w:left w:val="nil"/>
              <w:bottom w:val="nil"/>
              <w:right w:val="nil"/>
            </w:tcBorders>
            <w:shd w:val="clear" w:color="auto" w:fill="F2F2F2"/>
          </w:tcPr>
          <w:p w14:paraId="7954A496" w14:textId="77777777" w:rsidR="00F05DC7" w:rsidRDefault="00F05DC7" w:rsidP="00A3786D">
            <w:pPr>
              <w:pStyle w:val="Box"/>
            </w:pPr>
            <w:r w:rsidRPr="00E37FA3">
              <w:t>Participants to this inquiry have said that anything less than full equalisation would create differences in fiscal capacities between States</w:t>
            </w:r>
            <w:r>
              <w:t>. They</w:t>
            </w:r>
            <w:r w:rsidRPr="00E37FA3">
              <w:t xml:space="preserve"> </w:t>
            </w:r>
            <w:r>
              <w:t xml:space="preserve">further </w:t>
            </w:r>
            <w:r w:rsidRPr="00E37FA3">
              <w:t>argued that the fiscally strongest States would be able to offer better tax arrangements and/or better services than the fiscally weaker States, which could encourage inefficient migration of labour and capital between States.</w:t>
            </w:r>
          </w:p>
          <w:p w14:paraId="7954A497" w14:textId="77777777" w:rsidR="00F05DC7" w:rsidRPr="0059065B" w:rsidRDefault="00F05DC7" w:rsidP="00A3786D">
            <w:pPr>
              <w:pStyle w:val="Box"/>
              <w:spacing w:before="100"/>
            </w:pPr>
            <w:r w:rsidRPr="0059065B">
              <w:t>N</w:t>
            </w:r>
            <w:r>
              <w:t xml:space="preserve">T </w:t>
            </w:r>
            <w:r w:rsidRPr="0059065B">
              <w:t>Government (sub. DR69, p.</w:t>
            </w:r>
            <w:r>
              <w:t> 12</w:t>
            </w:r>
            <w:r w:rsidRPr="0059065B">
              <w:t>):</w:t>
            </w:r>
          </w:p>
          <w:p w14:paraId="7954A498" w14:textId="77777777" w:rsidR="00F05DC7" w:rsidRPr="0059065B" w:rsidRDefault="00F05DC7" w:rsidP="00A3786D">
            <w:pPr>
              <w:pStyle w:val="BoxQuote"/>
            </w:pPr>
            <w:r w:rsidRPr="0059065B">
              <w:t>… partial equalisation may lead to distortions through creating significant differences in the quality and scope of government services across state borders, as well as significant incentives for fiscally stronger states to reduce own</w:t>
            </w:r>
            <w:r>
              <w:noBreakHyphen/>
            </w:r>
            <w:r w:rsidRPr="0059065B">
              <w:t>source tax rates below the national average to increase competitiveness, distorting efficient investment.</w:t>
            </w:r>
          </w:p>
          <w:p w14:paraId="7954A499" w14:textId="77777777" w:rsidR="00F05DC7" w:rsidRDefault="00F05DC7" w:rsidP="00A3786D">
            <w:pPr>
              <w:pStyle w:val="Box"/>
              <w:spacing w:before="100"/>
            </w:pPr>
            <w:r w:rsidRPr="0059065B">
              <w:t>Tasmanian Government (sub. DR74, p. 26):</w:t>
            </w:r>
          </w:p>
          <w:p w14:paraId="7954A49A" w14:textId="77777777" w:rsidR="00F05DC7" w:rsidRDefault="00F05DC7" w:rsidP="00A3786D">
            <w:pPr>
              <w:pStyle w:val="BoxQuote"/>
            </w:pPr>
            <w:r>
              <w:t>If the proposed alternatives provided by the Commission create a situation where there is unequal treatment of the States and the fiscally strongest State attracts a ‘strong State premium’ thereby allowing it to provide above average services of a higher quality and levy lower than average own</w:t>
            </w:r>
            <w:r>
              <w:noBreakHyphen/>
              <w:t xml:space="preserve">source taxes and charges, the GST distribution may well become a significant driver of interstate labour movement. </w:t>
            </w:r>
          </w:p>
          <w:p w14:paraId="7954A49B" w14:textId="77777777" w:rsidR="00F05DC7" w:rsidRDefault="00F05DC7" w:rsidP="00A3786D">
            <w:pPr>
              <w:pStyle w:val="Box"/>
              <w:spacing w:before="100"/>
            </w:pPr>
            <w:r w:rsidRPr="0059065B">
              <w:t>Victorian Government (sub. DR87, p.</w:t>
            </w:r>
            <w:r>
              <w:t> </w:t>
            </w:r>
            <w:r w:rsidRPr="0059065B">
              <w:t>20):</w:t>
            </w:r>
          </w:p>
          <w:p w14:paraId="7954A49C" w14:textId="77777777" w:rsidR="00F05DC7" w:rsidRDefault="00F05DC7" w:rsidP="00A3786D">
            <w:pPr>
              <w:pStyle w:val="BoxQuote"/>
            </w:pPr>
            <w:r w:rsidRPr="0059065B">
              <w:t>Without full equalisation, this allows these states to reduce taxes on more mobile factors and/or increase the level of services</w:t>
            </w:r>
            <w:r>
              <w:t xml:space="preserve"> …</w:t>
            </w:r>
            <w:r w:rsidRPr="0059065B">
              <w:t xml:space="preserve"> This has the potential to induce an economically inefficient flow of capital and labour across states as migration may not be towards where those factors of production are the most productive.</w:t>
            </w:r>
          </w:p>
          <w:p w14:paraId="7954A49D" w14:textId="77777777" w:rsidR="00F05DC7" w:rsidRPr="0059065B" w:rsidRDefault="00F05DC7" w:rsidP="00A3786D">
            <w:pPr>
              <w:pStyle w:val="Box"/>
              <w:spacing w:before="100"/>
            </w:pPr>
            <w:r w:rsidRPr="0059065B">
              <w:t>SA Government (sub. DR89, p.</w:t>
            </w:r>
            <w:r>
              <w:t> </w:t>
            </w:r>
            <w:r w:rsidRPr="0059065B">
              <w:t>3):</w:t>
            </w:r>
          </w:p>
          <w:p w14:paraId="7954A49E" w14:textId="77777777" w:rsidR="00F05DC7" w:rsidRPr="00C21F88" w:rsidRDefault="00F05DC7" w:rsidP="00A3786D">
            <w:pPr>
              <w:pStyle w:val="BoxQuote"/>
            </w:pPr>
            <w:r w:rsidRPr="00C21F88">
              <w:t>Western Australia may have the capacity to cut business taxes like payroll tax leading to a relocation of head offices or other businesses and migration of people which would lead to inefficient resource allocation and reduce national welfare.</w:t>
            </w:r>
          </w:p>
          <w:p w14:paraId="7954A49F" w14:textId="77777777" w:rsidR="00F05DC7" w:rsidRDefault="00F05DC7" w:rsidP="00A3786D">
            <w:pPr>
              <w:pStyle w:val="Box"/>
            </w:pPr>
            <w:r>
              <w:t xml:space="preserve">However, as discussed in chapter 5, small differences in States’ fiscal capacities are unlikely to be a significant driver of interstate movement. There would need to be a large and sustained difference in fiscal capacities over time to materially influence the location decisions of labour and capital. </w:t>
            </w:r>
            <w:r w:rsidRPr="00AF7A0F">
              <w:t xml:space="preserve">Nonetheless, if fiscal capacities were to diverge substantially over a sustained period </w:t>
            </w:r>
            <w:r>
              <w:t xml:space="preserve">of </w:t>
            </w:r>
            <w:r w:rsidRPr="00AF7A0F">
              <w:t>time, however unlikely, then this situation would have to be managed</w:t>
            </w:r>
            <w:r>
              <w:t xml:space="preserve"> accordingly</w:t>
            </w:r>
            <w:r w:rsidRPr="00AF7A0F">
              <w:t>.</w:t>
            </w:r>
          </w:p>
        </w:tc>
      </w:tr>
      <w:tr w:rsidR="00F05DC7" w14:paraId="7954A4A2" w14:textId="77777777" w:rsidTr="00A3786D">
        <w:tc>
          <w:tcPr>
            <w:tcW w:w="5000" w:type="pct"/>
            <w:tcBorders>
              <w:top w:val="nil"/>
              <w:left w:val="nil"/>
              <w:bottom w:val="single" w:sz="6" w:space="0" w:color="78A22F"/>
              <w:right w:val="nil"/>
            </w:tcBorders>
            <w:shd w:val="clear" w:color="auto" w:fill="F2F2F2"/>
          </w:tcPr>
          <w:p w14:paraId="7954A4A1" w14:textId="77777777" w:rsidR="00F05DC7" w:rsidRDefault="00F05DC7" w:rsidP="00A3786D">
            <w:pPr>
              <w:pStyle w:val="Box"/>
              <w:spacing w:before="0" w:line="120" w:lineRule="exact"/>
            </w:pPr>
          </w:p>
        </w:tc>
      </w:tr>
      <w:tr w:rsidR="00F05DC7" w:rsidRPr="000863A5" w14:paraId="7954A4A4" w14:textId="77777777" w:rsidTr="00A3786D">
        <w:tc>
          <w:tcPr>
            <w:tcW w:w="5000" w:type="pct"/>
            <w:tcBorders>
              <w:top w:val="single" w:sz="6" w:space="0" w:color="78A22F"/>
              <w:left w:val="nil"/>
              <w:bottom w:val="nil"/>
              <w:right w:val="nil"/>
            </w:tcBorders>
          </w:tcPr>
          <w:p w14:paraId="7954A4A3" w14:textId="77777777" w:rsidR="00F05DC7" w:rsidRPr="00626D32" w:rsidRDefault="00F05DC7" w:rsidP="00A3786D">
            <w:pPr>
              <w:pStyle w:val="BoxSpaceBelow"/>
            </w:pPr>
          </w:p>
        </w:tc>
      </w:tr>
    </w:tbl>
    <w:p w14:paraId="7954A4A5" w14:textId="77777777" w:rsidR="00F05DC7" w:rsidRDefault="00F05DC7" w:rsidP="00A3786D">
      <w:pPr>
        <w:pStyle w:val="Heading4"/>
      </w:pPr>
      <w:r>
        <w:t>Finding the right balance between equity and efficiency</w:t>
      </w:r>
    </w:p>
    <w:p w14:paraId="7954A4A6" w14:textId="77777777" w:rsidR="00F05DC7" w:rsidRDefault="00F05DC7" w:rsidP="00A3786D">
      <w:pPr>
        <w:pStyle w:val="BodyText"/>
      </w:pPr>
      <w:r>
        <w:t xml:space="preserve">There are many approaches that could provide a better balance between equity, efficiency and transparency and accountability in the system. That said, it is unlikely that one single reform to the HFE system would comprehensively address each of the problems the Productivity Commission has identified. Chapters 7 and 8 discuss the relative pros and cons of possible ‘in system’ changes to HFE, as well as more fundamental changes to the way HFE is currently undertaken, with a view to determining which approach strikes the right balance and is in the best interests of the Australian community overall. </w:t>
      </w:r>
    </w:p>
    <w:p w14:paraId="7954A4A7" w14:textId="77777777" w:rsidR="00F05DC7" w:rsidRDefault="00F05DC7" w:rsidP="00A3786D">
      <w:pPr>
        <w:pStyle w:val="BodyText"/>
      </w:pPr>
      <w:r>
        <w:t>But what is clear is that the current objective does not currently afford a meaningful trade</w:t>
      </w:r>
      <w:r>
        <w:noBreakHyphen/>
        <w:t xml:space="preserve">off between equity, efficiency, and transparency and accountability, and as noted above should </w:t>
      </w:r>
      <w:r>
        <w:lastRenderedPageBreak/>
        <w:t xml:space="preserve">be revised to achieve a ‘reasonable’ standard of services. There is also a need for greater leadership on the objective. </w:t>
      </w:r>
    </w:p>
    <w:p w14:paraId="7954A4A8" w14:textId="77777777" w:rsidR="00F05DC7" w:rsidRDefault="00F05DC7" w:rsidP="00A3786D">
      <w:pPr>
        <w:pStyle w:val="Heading3"/>
      </w:pPr>
      <w:r>
        <w:t>Greater leadership on the HFE objective</w:t>
      </w:r>
    </w:p>
    <w:p w14:paraId="7954A4A9" w14:textId="77777777" w:rsidR="00F05DC7" w:rsidRPr="00345D33" w:rsidRDefault="00F05DC7" w:rsidP="00A3786D">
      <w:pPr>
        <w:pStyle w:val="BodyText"/>
      </w:pPr>
      <w:r w:rsidRPr="00345D33">
        <w:t>Clear specification of objectives (and sub</w:t>
      </w:r>
      <w:r w:rsidRPr="00345D33">
        <w:noBreakHyphen/>
        <w:t>objectives) by governments is particularly important for policy issues where there are trade</w:t>
      </w:r>
      <w:r w:rsidRPr="00345D33">
        <w:noBreakHyphen/>
        <w:t>offs.</w:t>
      </w:r>
      <w:r>
        <w:t xml:space="preserve"> </w:t>
      </w:r>
      <w:r w:rsidRPr="00345D33">
        <w:t xml:space="preserve">As well as providing guidance to the CGC, it would help condition the expectations and beliefs of the broader </w:t>
      </w:r>
      <w:r>
        <w:t>community</w:t>
      </w:r>
      <w:r w:rsidRPr="00345D33">
        <w:t xml:space="preserve">. Further, a clear objective is essential for assessing the effectiveness of the </w:t>
      </w:r>
      <w:r>
        <w:t xml:space="preserve">current </w:t>
      </w:r>
      <w:r w:rsidRPr="00345D33">
        <w:t xml:space="preserve">system, and for assessing the merits of any future changes. This is a view that was shared by the 2012 GST Distribution Review Panel: </w:t>
      </w:r>
    </w:p>
    <w:p w14:paraId="7954A4AA" w14:textId="36246FBE" w:rsidR="00F05DC7" w:rsidRPr="00345D33" w:rsidRDefault="00F05DC7" w:rsidP="00A3786D">
      <w:pPr>
        <w:pStyle w:val="Quote"/>
      </w:pPr>
      <w:r w:rsidRPr="00345D33">
        <w:t>First, it is generally regarded as good governance to have a degree of separation between policy development and implementation, so that one does not dominate or subsume the other. Secondly, it is difficult for the public to have confidence in a system where the goal has not been explicitly endorsed by government. It is therefore important for the Commonwealth to be clear about what HFE is supposed to achieve.</w:t>
      </w:r>
      <w:r w:rsidRPr="00DD38F7">
        <w:t xml:space="preserve"> </w:t>
      </w:r>
      <w:r w:rsidR="009D6331" w:rsidRPr="009D6331">
        <w:rPr>
          <w:szCs w:val="24"/>
        </w:rPr>
        <w:t>(Brumby, Carter and Greiner 2012a, p. 65)</w:t>
      </w:r>
    </w:p>
    <w:p w14:paraId="7954A4AB" w14:textId="77777777" w:rsidR="00F05DC7" w:rsidRDefault="00F05DC7" w:rsidP="00A3786D">
      <w:pPr>
        <w:pStyle w:val="BodyText"/>
        <w:spacing w:line="290" w:lineRule="atLeast"/>
      </w:pPr>
      <w:r w:rsidRPr="00345D33">
        <w:t>The</w:t>
      </w:r>
      <w:r w:rsidRPr="00345D33" w:rsidDel="008966C4">
        <w:t xml:space="preserve"> </w:t>
      </w:r>
      <w:r w:rsidRPr="00345D33">
        <w:t>Commonwealth Government should take on a greater leadership role in specifying the objective</w:t>
      </w:r>
      <w:r>
        <w:t xml:space="preserve"> of HFE</w:t>
      </w:r>
      <w:r w:rsidRPr="00345D33">
        <w:t xml:space="preserve"> and indeed, </w:t>
      </w:r>
      <w:r>
        <w:t xml:space="preserve">refining </w:t>
      </w:r>
      <w:r w:rsidRPr="00345D33">
        <w:t xml:space="preserve">that objective over time as necessary. </w:t>
      </w:r>
      <w:r>
        <w:t xml:space="preserve">The Treasurer should present the revised objective to the </w:t>
      </w:r>
      <w:r w:rsidRPr="00345D33">
        <w:t>Council on Federal Financial Relations — the C</w:t>
      </w:r>
      <w:r>
        <w:t xml:space="preserve">ouncil of Australian </w:t>
      </w:r>
      <w:r w:rsidRPr="00345D33">
        <w:t>G</w:t>
      </w:r>
      <w:r>
        <w:t>overnments (COAG)</w:t>
      </w:r>
      <w:r w:rsidRPr="00345D33">
        <w:t xml:space="preserve"> council that oversees the financial relationship between the Commonwealth and the States, including the</w:t>
      </w:r>
      <w:r>
        <w:t xml:space="preserve"> </w:t>
      </w:r>
      <w:r w:rsidRPr="00A3010A">
        <w:t>Intergovernmental Agreement on Federal Financial Relations</w:t>
      </w:r>
      <w:r w:rsidRPr="00345D33">
        <w:t xml:space="preserve"> </w:t>
      </w:r>
      <w:r>
        <w:t>(</w:t>
      </w:r>
      <w:r w:rsidRPr="00345D33">
        <w:t>IGAFFR</w:t>
      </w:r>
      <w:r>
        <w:t>).</w:t>
      </w:r>
    </w:p>
    <w:p w14:paraId="7954A4AC" w14:textId="77777777" w:rsidR="00F05DC7" w:rsidRDefault="00F05DC7" w:rsidP="00A3786D">
      <w:pPr>
        <w:pStyle w:val="BodyText"/>
        <w:spacing w:line="290" w:lineRule="atLeast"/>
      </w:pPr>
      <w:r w:rsidRPr="00345D33">
        <w:t xml:space="preserve">Following this, </w:t>
      </w:r>
      <w:r>
        <w:t>the Treasurer should reissue the terms of reference for the 2020 methodology review to reflect the revised objective</w:t>
      </w:r>
      <w:r w:rsidRPr="002A7FC4">
        <w:t>.</w:t>
      </w:r>
      <w:r>
        <w:t xml:space="preserve"> T</w:t>
      </w:r>
      <w:r w:rsidRPr="00345D33">
        <w:t xml:space="preserve">he objective should </w:t>
      </w:r>
      <w:r>
        <w:t xml:space="preserve">subsequently </w:t>
      </w:r>
      <w:r w:rsidRPr="00345D33">
        <w:t xml:space="preserve">be reflected in </w:t>
      </w:r>
      <w:r>
        <w:t xml:space="preserve">all future </w:t>
      </w:r>
      <w:r w:rsidRPr="00345D33">
        <w:t xml:space="preserve">terms of reference </w:t>
      </w:r>
      <w:r>
        <w:t xml:space="preserve">for the CGC’s </w:t>
      </w:r>
      <w:r w:rsidRPr="00345D33">
        <w:t>yearly update and five</w:t>
      </w:r>
      <w:r w:rsidRPr="00345D33">
        <w:noBreakHyphen/>
        <w:t>yearly methodology review.</w:t>
      </w:r>
      <w:r>
        <w:t xml:space="preserve"> </w:t>
      </w:r>
    </w:p>
    <w:p w14:paraId="7954A4AD" w14:textId="77777777" w:rsidR="00F05DC7" w:rsidRDefault="00F05DC7" w:rsidP="00A3786D">
      <w:pPr>
        <w:pStyle w:val="BodyText"/>
        <w:spacing w:line="290" w:lineRule="atLeast"/>
      </w:pPr>
      <w:r>
        <w:t>T</w:t>
      </w:r>
      <w:r w:rsidRPr="00345D33">
        <w:t>he CGC Act</w:t>
      </w:r>
      <w:r>
        <w:t xml:space="preserve"> and the IGAFFR</w:t>
      </w:r>
      <w:r w:rsidRPr="00345D33">
        <w:t xml:space="preserve"> </w:t>
      </w:r>
      <w:r w:rsidRPr="00345D33" w:rsidDel="00552863">
        <w:t>sh</w:t>
      </w:r>
      <w:r w:rsidRPr="00345D33">
        <w:t>ould also be updated,</w:t>
      </w:r>
      <w:r>
        <w:t xml:space="preserve"> to provide certainty and clarity for the States over the longer term.</w:t>
      </w:r>
    </w:p>
    <w:p w14:paraId="7954A4AE" w14:textId="77777777" w:rsidR="00F05DC7" w:rsidRDefault="00F05DC7" w:rsidP="00A3786D">
      <w:pPr>
        <w:pStyle w:val="BodyText"/>
        <w:keepNext/>
        <w:spacing w:line="290" w:lineRule="atLeast"/>
      </w:pPr>
      <w:r>
        <w:t xml:space="preserve">A similar approach was envisaged by the Queensland Government (sub. DR106, p. 10): </w:t>
      </w:r>
    </w:p>
    <w:p w14:paraId="7954A4AF" w14:textId="77777777" w:rsidR="00F05DC7" w:rsidRPr="00345D33" w:rsidRDefault="00F05DC7" w:rsidP="00A3786D">
      <w:pPr>
        <w:pStyle w:val="Quote"/>
      </w:pPr>
      <w:r>
        <w:t>Queensland supports the PC’s recommendation that a clear definition of HFE should be specified by governments for implementation by the CGC, and envisages the Commonwealth would present any reform proposal to the Council of Federal Financial Relations (CFFR) and the Council of Australian Governments (COAG) for approval and inclusion in the Intergovernmental Agreement on Federal Financial Relations (IGAFFR)</w:t>
      </w:r>
    </w:p>
    <w:p w14:paraId="7954A4B0" w14:textId="77777777" w:rsidR="00F05DC7" w:rsidRDefault="00F05DC7" w:rsidP="00A3786D">
      <w:pPr>
        <w:pStyle w:val="BodyText"/>
        <w:spacing w:line="290" w:lineRule="atLeast"/>
      </w:pPr>
      <w:r>
        <w:t xml:space="preserve">However, processes for updating the CGC Act and the IGAFFR should not delay the adoption of the revised objective as part of the CGC’s assessment processes. </w:t>
      </w:r>
    </w:p>
    <w:p w14:paraId="7954A4B1"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A4B9"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A4B2" w14:textId="162BF7E9" w:rsidR="00F05DC7" w:rsidRDefault="00F05DC7" w:rsidP="00A3786D">
            <w:pPr>
              <w:pStyle w:val="RecTitle"/>
              <w:spacing w:before="120"/>
              <w:rPr>
                <w:noProof/>
              </w:rPr>
            </w:pPr>
            <w:r>
              <w:t>Recommendation 6.1</w:t>
            </w:r>
          </w:p>
          <w:p w14:paraId="7954A4B3" w14:textId="77777777" w:rsidR="00F05DC7" w:rsidRPr="005D40AE" w:rsidRDefault="00F05DC7" w:rsidP="00A3786D">
            <w:pPr>
              <w:pStyle w:val="Rec"/>
              <w:spacing w:line="270" w:lineRule="atLeast"/>
              <w:rPr>
                <w:color w:val="000000" w:themeColor="text1"/>
              </w:rPr>
            </w:pPr>
            <w:r w:rsidRPr="005D40AE">
              <w:rPr>
                <w:color w:val="000000" w:themeColor="text1"/>
              </w:rPr>
              <w:t xml:space="preserve">The objective of the HFE system should be refocused to provide the States with the fiscal capacity to </w:t>
            </w:r>
            <w:r>
              <w:rPr>
                <w:color w:val="000000" w:themeColor="text1"/>
              </w:rPr>
              <w:t>provide</w:t>
            </w:r>
            <w:r w:rsidRPr="005D40AE">
              <w:rPr>
                <w:color w:val="000000" w:themeColor="text1"/>
              </w:rPr>
              <w:t xml:space="preserve"> services and associated infrastructure of a reasonable (rather than the same) standard.</w:t>
            </w:r>
          </w:p>
          <w:p w14:paraId="7954A4B4" w14:textId="77777777" w:rsidR="00F05DC7" w:rsidRDefault="00F05DC7" w:rsidP="00A3786D">
            <w:pPr>
              <w:pStyle w:val="Rec"/>
              <w:spacing w:line="270" w:lineRule="atLeast"/>
              <w:rPr>
                <w:color w:val="000000" w:themeColor="text1"/>
              </w:rPr>
            </w:pPr>
            <w:r w:rsidRPr="005D40AE">
              <w:rPr>
                <w:color w:val="000000" w:themeColor="text1"/>
              </w:rPr>
              <w:t xml:space="preserve">The Commonwealth Government should </w:t>
            </w:r>
            <w:r>
              <w:rPr>
                <w:color w:val="000000" w:themeColor="text1"/>
              </w:rPr>
              <w:t>set</w:t>
            </w:r>
            <w:r w:rsidRPr="005D40AE">
              <w:rPr>
                <w:color w:val="000000" w:themeColor="text1"/>
              </w:rPr>
              <w:t xml:space="preserve"> this revised objective of HFE</w:t>
            </w:r>
            <w:r>
              <w:rPr>
                <w:color w:val="000000" w:themeColor="text1"/>
              </w:rPr>
              <w:t xml:space="preserve">. </w:t>
            </w:r>
          </w:p>
          <w:p w14:paraId="7954A4B5" w14:textId="77777777" w:rsidR="00F05DC7" w:rsidRDefault="00F05DC7" w:rsidP="00A3786D">
            <w:pPr>
              <w:pStyle w:val="FindingBullet"/>
              <w:rPr>
                <w:color w:val="000000" w:themeColor="text1"/>
              </w:rPr>
            </w:pPr>
            <w:r>
              <w:rPr>
                <w:color w:val="000000" w:themeColor="text1"/>
              </w:rPr>
              <w:t>The Treasurer</w:t>
            </w:r>
            <w:r w:rsidRPr="005D40AE">
              <w:rPr>
                <w:color w:val="000000" w:themeColor="text1"/>
              </w:rPr>
              <w:t xml:space="preserve"> </w:t>
            </w:r>
            <w:r>
              <w:rPr>
                <w:color w:val="000000" w:themeColor="text1"/>
              </w:rPr>
              <w:t xml:space="preserve">should present the revised objective to the Council on Federal Financial Relations. </w:t>
            </w:r>
          </w:p>
          <w:p w14:paraId="7954A4B6" w14:textId="77777777" w:rsidR="00F05DC7" w:rsidRDefault="00F05DC7" w:rsidP="00A3786D">
            <w:pPr>
              <w:pStyle w:val="FindingBullet"/>
            </w:pPr>
            <w:r>
              <w:t>Following this, the Treasurer should reissue the terms of reference to the CGC for the 2020 methodology review to reflect the new objective.</w:t>
            </w:r>
            <w:r w:rsidRPr="005D40AE">
              <w:t xml:space="preserve"> </w:t>
            </w:r>
          </w:p>
          <w:p w14:paraId="7954A4B7" w14:textId="77777777" w:rsidR="00F05DC7" w:rsidRDefault="00F05DC7" w:rsidP="00A3786D">
            <w:pPr>
              <w:pStyle w:val="Rec"/>
              <w:spacing w:line="270" w:lineRule="atLeast"/>
              <w:rPr>
                <w:color w:val="000000" w:themeColor="text1"/>
              </w:rPr>
            </w:pPr>
            <w:r w:rsidRPr="00233A5E">
              <w:rPr>
                <w:color w:val="000000" w:themeColor="text1"/>
              </w:rPr>
              <w:t>The terms of reference for all future relativity updates and five</w:t>
            </w:r>
            <w:r>
              <w:rPr>
                <w:color w:val="000000" w:themeColor="text1"/>
              </w:rPr>
              <w:noBreakHyphen/>
            </w:r>
            <w:r w:rsidRPr="00233A5E">
              <w:rPr>
                <w:color w:val="000000" w:themeColor="text1"/>
              </w:rPr>
              <w:t xml:space="preserve">yearly </w:t>
            </w:r>
            <w:r>
              <w:rPr>
                <w:color w:val="000000" w:themeColor="text1"/>
              </w:rPr>
              <w:t>m</w:t>
            </w:r>
            <w:r w:rsidRPr="00233A5E">
              <w:rPr>
                <w:color w:val="000000" w:themeColor="text1"/>
              </w:rPr>
              <w:t>ethodolog</w:t>
            </w:r>
            <w:r>
              <w:rPr>
                <w:color w:val="000000" w:themeColor="text1"/>
              </w:rPr>
              <w:t>y</w:t>
            </w:r>
            <w:r w:rsidRPr="00233A5E">
              <w:rPr>
                <w:color w:val="000000" w:themeColor="text1"/>
              </w:rPr>
              <w:t xml:space="preserve"> </w:t>
            </w:r>
            <w:r>
              <w:rPr>
                <w:color w:val="000000" w:themeColor="text1"/>
              </w:rPr>
              <w:t>r</w:t>
            </w:r>
            <w:r w:rsidRPr="00233A5E">
              <w:rPr>
                <w:color w:val="000000" w:themeColor="text1"/>
              </w:rPr>
              <w:t xml:space="preserve">eviews should reflect this revised objective. </w:t>
            </w:r>
          </w:p>
          <w:p w14:paraId="7954A4B8" w14:textId="77777777" w:rsidR="00F05DC7" w:rsidRPr="00CE4C64" w:rsidRDefault="00F05DC7" w:rsidP="00A3786D">
            <w:pPr>
              <w:pStyle w:val="Rec"/>
              <w:spacing w:line="270" w:lineRule="atLeast"/>
            </w:pPr>
            <w:r>
              <w:rPr>
                <w:color w:val="000000" w:themeColor="text1"/>
              </w:rPr>
              <w:t>T</w:t>
            </w:r>
            <w:r w:rsidRPr="005D40AE">
              <w:rPr>
                <w:color w:val="000000" w:themeColor="text1"/>
              </w:rPr>
              <w:t>he Intergovernmental Agreement on Federal Financial Relations</w:t>
            </w:r>
            <w:r>
              <w:rPr>
                <w:color w:val="000000" w:themeColor="text1"/>
              </w:rPr>
              <w:t xml:space="preserve"> and the </w:t>
            </w:r>
            <w:r w:rsidRPr="005D40AE">
              <w:rPr>
                <w:i/>
                <w:color w:val="000000" w:themeColor="text1"/>
              </w:rPr>
              <w:t>Commonwealth Grants Commission Act 1973</w:t>
            </w:r>
            <w:r w:rsidRPr="005D40AE">
              <w:rPr>
                <w:color w:val="000000" w:themeColor="text1"/>
              </w:rPr>
              <w:t xml:space="preserve"> (Cwlth) </w:t>
            </w:r>
            <w:r>
              <w:rPr>
                <w:color w:val="000000" w:themeColor="text1"/>
              </w:rPr>
              <w:t>should also be amended to reflect the revised objective.</w:t>
            </w:r>
          </w:p>
        </w:tc>
      </w:tr>
      <w:tr w:rsidR="00F05DC7" w14:paraId="7954A4BB"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A4BA" w14:textId="77777777" w:rsidR="00F05DC7" w:rsidRDefault="00F05DC7" w:rsidP="00A3786D">
            <w:pPr>
              <w:pStyle w:val="Space"/>
              <w:keepLines/>
            </w:pPr>
          </w:p>
        </w:tc>
      </w:tr>
    </w:tbl>
    <w:p w14:paraId="7954A4BC" w14:textId="77777777" w:rsidR="00F05DC7" w:rsidRDefault="00F05DC7" w:rsidP="00A3786D">
      <w:pPr>
        <w:pStyle w:val="Heading2"/>
      </w:pPr>
      <w:bookmarkStart w:id="97" w:name="_Toc513637725"/>
      <w:r>
        <w:t>6.5</w:t>
      </w:r>
      <w:r>
        <w:tab/>
        <w:t>Improving HFE governance arrangements</w:t>
      </w:r>
      <w:bookmarkEnd w:id="97"/>
    </w:p>
    <w:p w14:paraId="7954A4BD" w14:textId="77777777" w:rsidR="00F05DC7" w:rsidRDefault="00F05DC7" w:rsidP="00A3786D">
      <w:pPr>
        <w:pStyle w:val="BodyText"/>
      </w:pPr>
      <w:r>
        <w:t>Many of the concerns around lack of transparency and accountability with the current system can be addressed through stronger governance arrangements. Indeed, g</w:t>
      </w:r>
      <w:r w:rsidRPr="00DA6E8F">
        <w:t xml:space="preserve">overnance changes </w:t>
      </w:r>
      <w:r>
        <w:t>can help to ensure that there is a sound basis for any judgements that involve equity–efficiency trade</w:t>
      </w:r>
      <w:r>
        <w:noBreakHyphen/>
        <w:t xml:space="preserve">offs, and can </w:t>
      </w:r>
      <w:r w:rsidRPr="00DA6E8F">
        <w:t>enhance transparency and accountability in the system.</w:t>
      </w:r>
    </w:p>
    <w:p w14:paraId="7954A4BE" w14:textId="77777777" w:rsidR="00F05DC7" w:rsidRPr="00D26B02" w:rsidRDefault="00F05DC7" w:rsidP="00A3786D">
      <w:pPr>
        <w:pStyle w:val="BodyText"/>
      </w:pPr>
      <w:r>
        <w:t xml:space="preserve">Inquiry </w:t>
      </w:r>
      <w:r w:rsidRPr="00D26B02">
        <w:t>participants</w:t>
      </w:r>
      <w:r>
        <w:t xml:space="preserve"> proposed some</w:t>
      </w:r>
      <w:r w:rsidRPr="00D26B02">
        <w:t xml:space="preserve"> </w:t>
      </w:r>
      <w:r>
        <w:t xml:space="preserve">broad </w:t>
      </w:r>
      <w:r w:rsidRPr="00D26B02">
        <w:t xml:space="preserve">changes to </w:t>
      </w:r>
      <w:r>
        <w:t>HFE</w:t>
      </w:r>
      <w:r w:rsidRPr="00D26B02">
        <w:t xml:space="preserve"> governance structures. For example:</w:t>
      </w:r>
    </w:p>
    <w:p w14:paraId="7954A4BF" w14:textId="77777777" w:rsidR="00F05DC7" w:rsidRPr="00445D5D" w:rsidRDefault="00F05DC7" w:rsidP="00A3786D">
      <w:pPr>
        <w:pStyle w:val="ListBullet"/>
      </w:pPr>
      <w:r>
        <w:t xml:space="preserve">Neil </w:t>
      </w:r>
      <w:r w:rsidRPr="002C55C4">
        <w:t xml:space="preserve">Warren (sub. 38, pp. 3–4) suggested the CGC should no longer be central to </w:t>
      </w:r>
      <w:r>
        <w:t>HFE</w:t>
      </w:r>
      <w:r w:rsidRPr="002C55C4">
        <w:t xml:space="preserve"> but should oversee collation and preparation of data, with </w:t>
      </w:r>
      <w:r>
        <w:t>COAG</w:t>
      </w:r>
      <w:r w:rsidRPr="00445D5D">
        <w:t xml:space="preserve"> to assume a more central role in the allocation of grants. A new independent agency would communicate and monitor performance and oversee advice on the allocation of grant</w:t>
      </w:r>
      <w:r>
        <w:t>s</w:t>
      </w:r>
      <w:r w:rsidRPr="00445D5D">
        <w:t xml:space="preserve"> </w:t>
      </w:r>
      <w:r>
        <w:t>to States as a reward for meeting specific outcomes defined in intergovernmental agreements (for example, in health, education and Indigenous outcomes)</w:t>
      </w:r>
      <w:r w:rsidRPr="00445D5D">
        <w:t>.</w:t>
      </w:r>
    </w:p>
    <w:p w14:paraId="7954A4C0" w14:textId="77777777" w:rsidR="00F05DC7" w:rsidRPr="00E6127F" w:rsidRDefault="00F05DC7" w:rsidP="00A3786D">
      <w:pPr>
        <w:pStyle w:val="ListBullet"/>
      </w:pPr>
      <w:r w:rsidRPr="00445D5D">
        <w:t>The N</w:t>
      </w:r>
      <w:r>
        <w:t xml:space="preserve">SW </w:t>
      </w:r>
      <w:r w:rsidRPr="00445D5D">
        <w:t>Government</w:t>
      </w:r>
      <w:r w:rsidRPr="00D26B02">
        <w:t xml:space="preserve"> (</w:t>
      </w:r>
      <w:r w:rsidRPr="00E6127F">
        <w:t>sub. 52, pp. 35–36</w:t>
      </w:r>
      <w:r>
        <w:t>; sub. DR109, p. 19</w:t>
      </w:r>
      <w:r w:rsidRPr="00E6127F">
        <w:t xml:space="preserve">) suggested </w:t>
      </w:r>
      <w:r>
        <w:t xml:space="preserve">the Board of Treasurers, </w:t>
      </w:r>
      <w:r w:rsidRPr="00E6127F">
        <w:t xml:space="preserve">a body comprising representatives drawn from the States (the Commonwealth Government </w:t>
      </w:r>
      <w:r>
        <w:t xml:space="preserve">is </w:t>
      </w:r>
      <w:r w:rsidRPr="00E6127F">
        <w:t>not a member)</w:t>
      </w:r>
      <w:r>
        <w:t>,</w:t>
      </w:r>
      <w:r w:rsidRPr="00E6127F">
        <w:t xml:space="preserve"> </w:t>
      </w:r>
      <w:r>
        <w:t>sh</w:t>
      </w:r>
      <w:r w:rsidRPr="00E6127F">
        <w:t>ould take direct responsibility for</w:t>
      </w:r>
      <w:r>
        <w:t xml:space="preserve"> recommending to the Commonwealth Treasurer the definition of HFE, the terms of reference for the CGC and the nomination of CGC Commissioners.</w:t>
      </w:r>
    </w:p>
    <w:p w14:paraId="7954A4C1" w14:textId="77777777" w:rsidR="00F05DC7" w:rsidRDefault="00F05DC7" w:rsidP="00A3786D">
      <w:pPr>
        <w:pStyle w:val="BodyText"/>
      </w:pPr>
      <w:r w:rsidRPr="00E6127F">
        <w:t xml:space="preserve">The Productivity Commission </w:t>
      </w:r>
      <w:r>
        <w:t>does not consider that</w:t>
      </w:r>
      <w:r w:rsidRPr="00612E93">
        <w:t xml:space="preserve"> such changes</w:t>
      </w:r>
      <w:r w:rsidRPr="008558B9">
        <w:t xml:space="preserve"> </w:t>
      </w:r>
      <w:r>
        <w:t>are</w:t>
      </w:r>
      <w:r w:rsidRPr="00E6127F">
        <w:t xml:space="preserve"> required. While there</w:t>
      </w:r>
      <w:r>
        <w:t xml:space="preserve"> is not strong evidence from overseas (governance systems are highly dependent on the particular characteristics of the HFE system — appendix E), an independent agency affords less scope for equalisation payments to be influenced by political considerations. The 2012 GST Distribution Review reported along similar lines:</w:t>
      </w:r>
    </w:p>
    <w:p w14:paraId="7954A4C2" w14:textId="1FDA140F" w:rsidR="00F05DC7" w:rsidRDefault="00F05DC7" w:rsidP="00A3786D">
      <w:pPr>
        <w:pStyle w:val="Quote"/>
      </w:pPr>
      <w:r w:rsidRPr="00E3627D">
        <w:lastRenderedPageBreak/>
        <w:t>Experience shows that a politically indifferent, rules</w:t>
      </w:r>
      <w:r>
        <w:noBreakHyphen/>
      </w:r>
      <w:r w:rsidRPr="00E3627D">
        <w:t>based, system of allocating finances to States has advantages over the ad hoc negotiation of special deals, especially, but not only, when governments of opposite persuasions are involved</w:t>
      </w:r>
      <w:r>
        <w:t>.</w:t>
      </w:r>
      <w:r w:rsidRPr="008D1AB3">
        <w:t xml:space="preserve"> </w:t>
      </w:r>
      <w:r w:rsidR="009D6331" w:rsidRPr="009D6331">
        <w:rPr>
          <w:szCs w:val="24"/>
        </w:rPr>
        <w:t>(Brumby, Carter and Greiner 2012a, p. 45)</w:t>
      </w:r>
      <w:r>
        <w:t xml:space="preserve"> </w:t>
      </w:r>
    </w:p>
    <w:p w14:paraId="7954A4C3" w14:textId="77777777" w:rsidR="00F05DC7" w:rsidRPr="003A3D15" w:rsidRDefault="00F05DC7" w:rsidP="00A3786D">
      <w:pPr>
        <w:pStyle w:val="BodyText"/>
      </w:pPr>
      <w:r w:rsidRPr="00F82C1F">
        <w:t>That said, it has also been suggested that an independent agency can produce other issues, such as mission creep, incentives for complexity, and issues with public oversight (Shah 2005, pp.</w:t>
      </w:r>
      <w:r>
        <w:t> </w:t>
      </w:r>
      <w:r w:rsidRPr="00F82C1F">
        <w:t>12–13).</w:t>
      </w:r>
    </w:p>
    <w:p w14:paraId="7954A4C4" w14:textId="77777777" w:rsidR="00F05DC7" w:rsidRDefault="00F05DC7" w:rsidP="00A3786D">
      <w:pPr>
        <w:pStyle w:val="Heading3"/>
      </w:pPr>
      <w:r>
        <w:t>A more public role for the CGC</w:t>
      </w:r>
    </w:p>
    <w:p w14:paraId="7954A4C5" w14:textId="77777777" w:rsidR="00F05DC7" w:rsidRDefault="00F05DC7" w:rsidP="00A3786D">
      <w:pPr>
        <w:pStyle w:val="BodyText"/>
      </w:pPr>
      <w:r>
        <w:t>T</w:t>
      </w:r>
      <w:r w:rsidRPr="000C57E2">
        <w:t xml:space="preserve">he CGC </w:t>
      </w:r>
      <w:r>
        <w:t>— through its Chairperson and Commission members — sh</w:t>
      </w:r>
      <w:r w:rsidRPr="000C57E2">
        <w:t xml:space="preserve">ould </w:t>
      </w:r>
      <w:r>
        <w:t>provide a stronger neutral voice in order to better inform the public discourse on HFE.</w:t>
      </w:r>
      <w:r w:rsidRPr="00282527">
        <w:rPr>
          <w:rStyle w:val="FootnoteReference"/>
        </w:rPr>
        <w:footnoteReference w:id="15"/>
      </w:r>
      <w:r>
        <w:t xml:space="preserve"> The main aim of this role would be to communicate the processes and decisions undertaken in order to ensure the HFE system meets its objective. The CGC would thus become the strong independent voice that is missing from the HFE commentary.</w:t>
      </w:r>
    </w:p>
    <w:p w14:paraId="7954A4C6" w14:textId="77777777" w:rsidR="00F05DC7" w:rsidRDefault="00F05DC7" w:rsidP="00A3786D">
      <w:pPr>
        <w:pStyle w:val="BodyText"/>
        <w:keepNext/>
      </w:pPr>
      <w:r>
        <w:t xml:space="preserve">A stronger communication role was almost universally supported by participants to the inquiry (including the Tasmanian Government, sub. DR74, p. 35; ACT Government, sub. DR81, p. 49; WA Government, sub. DR83, p. 37; Victorian Government, sub. DR87, p. 23). For example, the SA Government (sub. DR89, pp. 14–15), commented: </w:t>
      </w:r>
    </w:p>
    <w:p w14:paraId="7954A4C7" w14:textId="77777777" w:rsidR="00F05DC7" w:rsidRPr="005D12DE" w:rsidRDefault="00F05DC7" w:rsidP="00A3786D">
      <w:pPr>
        <w:pStyle w:val="Quote"/>
        <w:keepLines/>
      </w:pPr>
      <w:r>
        <w:t>South Australia strongly supports the continued role of an independent and well</w:t>
      </w:r>
      <w:r>
        <w:noBreakHyphen/>
        <w:t xml:space="preserve">resourced CGC. However, it is agreed that the CGC could take a more vocal and proactive role in educating the community on HFE and correcting misunderstandings on how Australia’s </w:t>
      </w:r>
      <w:r w:rsidRPr="00075016">
        <w:t>system of HFE operates. This view was supported by recommendations in the Greiner Review.</w:t>
      </w:r>
    </w:p>
    <w:p w14:paraId="7954A4C8" w14:textId="77777777" w:rsidR="00F05DC7" w:rsidRDefault="00F05DC7" w:rsidP="00A3786D">
      <w:pPr>
        <w:pStyle w:val="BodyText"/>
      </w:pPr>
      <w:r>
        <w:t>The CGC (sub. DR61, p. 10), however, raised some concerns with taking on a greater public role in the current environment of uncertainty:</w:t>
      </w:r>
    </w:p>
    <w:p w14:paraId="7954A4C9" w14:textId="77777777" w:rsidR="00F05DC7" w:rsidRDefault="00F05DC7" w:rsidP="00A3786D">
      <w:pPr>
        <w:pStyle w:val="Quote"/>
      </w:pPr>
      <w:r>
        <w:t xml:space="preserve">Until such time as the HFE architecture has been resolved and agreed to by governments (along with the Commission’s role in this architecture), there are clear limits to the scope for the Commission to adopt an expanded educational role. </w:t>
      </w:r>
    </w:p>
    <w:p w14:paraId="7954A4CA" w14:textId="77777777" w:rsidR="00F05DC7" w:rsidRDefault="00F05DC7" w:rsidP="00A3786D">
      <w:pPr>
        <w:pStyle w:val="BodyText"/>
      </w:pPr>
      <w:r>
        <w:t xml:space="preserve">Any concerns that a stronger public voice could overly politicise the CGC can be allayed by clearly defining the CGC’s role as one to inform, not advocate. It is anticipated that the CGC </w:t>
      </w:r>
      <w:r w:rsidRPr="002C55C4">
        <w:t>would not become involved in the politics of the public debate</w:t>
      </w:r>
      <w:r>
        <w:t>. R</w:t>
      </w:r>
      <w:r w:rsidRPr="002C55C4">
        <w:t xml:space="preserve">ather, </w:t>
      </w:r>
      <w:r>
        <w:t xml:space="preserve">it would </w:t>
      </w:r>
      <w:r w:rsidRPr="002C55C4">
        <w:t>stick to issues of fact</w:t>
      </w:r>
      <w:r>
        <w:t xml:space="preserve"> — much like the Parliamentary Budget Office (PBO) and the Reserve Bank of Australia (RBA) do today. </w:t>
      </w:r>
    </w:p>
    <w:p w14:paraId="7954A4CB" w14:textId="49BC448D" w:rsidR="00F05DC7" w:rsidRDefault="00F05DC7" w:rsidP="00A3786D">
      <w:pPr>
        <w:pStyle w:val="BodyText"/>
      </w:pPr>
      <w:r>
        <w:t>The PBO and the RBA regularly engage with the public. The RBA uses multiple avenues of engagement, involving media releases, reports, public statements, speeches and the</w:t>
      </w:r>
      <w:r w:rsidRPr="0050123B">
        <w:t xml:space="preserve"> twice</w:t>
      </w:r>
      <w:r>
        <w:noBreakHyphen/>
      </w:r>
      <w:r w:rsidRPr="0050123B">
        <w:t>yearly appearance of the Governor and senior officers before the House of Representatives Standing Committee on Economics</w:t>
      </w:r>
      <w:r>
        <w:t xml:space="preserve"> </w:t>
      </w:r>
      <w:r w:rsidR="009D6331" w:rsidRPr="009D6331">
        <w:rPr>
          <w:szCs w:val="24"/>
        </w:rPr>
        <w:t>(RBA 2017a)</w:t>
      </w:r>
      <w:r>
        <w:t xml:space="preserve">. </w:t>
      </w:r>
    </w:p>
    <w:p w14:paraId="7954A4CC" w14:textId="3FEB0F2E" w:rsidR="00F05DC7" w:rsidRDefault="00F05DC7" w:rsidP="00A3786D">
      <w:pPr>
        <w:pStyle w:val="BodyText"/>
      </w:pPr>
      <w:r>
        <w:lastRenderedPageBreak/>
        <w:t xml:space="preserve">Further, the PBO, in addition to its costings function, undertakes research and analysis of budget and fiscal policy settings, and makes its reports publicly available </w:t>
      </w:r>
      <w:r w:rsidRPr="0032344A">
        <w:rPr>
          <w:szCs w:val="24"/>
        </w:rPr>
        <w:t>(PBO 2017)</w:t>
      </w:r>
      <w:r>
        <w:t xml:space="preserve">. As noted in the Productivity Commission’s </w:t>
      </w:r>
      <w:r>
        <w:rPr>
          <w:i/>
        </w:rPr>
        <w:t xml:space="preserve">Shifting the Dial </w:t>
      </w:r>
      <w:r>
        <w:t xml:space="preserve">Report </w:t>
      </w:r>
      <w:r w:rsidR="009D6331" w:rsidRPr="009D6331">
        <w:rPr>
          <w:szCs w:val="24"/>
        </w:rPr>
        <w:t>(PC 2017d)</w:t>
      </w:r>
      <w:r>
        <w:t xml:space="preserve">, the creation of the PBO, along with other changes, have markedly improved fiscal accountability arrangements. A recent review of the PBO by Watt and Anderson </w:t>
      </w:r>
      <w:r w:rsidRPr="00AB5663">
        <w:t>(2017)</w:t>
      </w:r>
      <w:r>
        <w:t xml:space="preserve"> identified a number of additional opportunities to enhance transparency, including consulting more broadly on its research work and explaining budgetary processes in nontechnical language. </w:t>
      </w:r>
    </w:p>
    <w:p w14:paraId="7954A4CD" w14:textId="77777777" w:rsidR="00F05DC7" w:rsidRDefault="00F05DC7" w:rsidP="00A3786D">
      <w:pPr>
        <w:pStyle w:val="BodyText"/>
      </w:pPr>
      <w:r>
        <w:t xml:space="preserve">As part of its more public role (and consistent with other agencies), the CGC Chairperson and Commission members should represent the CGC at Senate Estimates and other Parliamentary Committees throughout the year (rather than the Secretary of the CGC as tends to currently occur) and engage more openly and publicly with the wider community. </w:t>
      </w:r>
    </w:p>
    <w:p w14:paraId="7954A4CE" w14:textId="77777777" w:rsidR="00F05DC7" w:rsidRDefault="00F05DC7" w:rsidP="00B253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A4D0"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A4CF" w14:textId="35C52FDC" w:rsidR="00F05DC7" w:rsidRPr="00CE4C64" w:rsidRDefault="00F05DC7" w:rsidP="00A3786D">
            <w:pPr>
              <w:pStyle w:val="RecTitle"/>
              <w:spacing w:before="120"/>
              <w:rPr>
                <w:noProof/>
              </w:rPr>
            </w:pPr>
            <w:r>
              <w:t>Recommendation 6.2</w:t>
            </w:r>
          </w:p>
        </w:tc>
      </w:tr>
      <w:tr w:rsidR="00F05DC7" w:rsidRPr="00750BE2" w14:paraId="7954A4D2" w14:textId="77777777" w:rsidTr="00A3786D">
        <w:tc>
          <w:tcPr>
            <w:tcW w:w="5000" w:type="pct"/>
            <w:tcBorders>
              <w:top w:val="nil"/>
              <w:left w:val="nil"/>
              <w:bottom w:val="nil"/>
              <w:right w:val="nil"/>
            </w:tcBorders>
            <w:shd w:val="clear" w:color="auto" w:fill="E5F1D0"/>
            <w:tcMar>
              <w:left w:w="170" w:type="dxa"/>
              <w:right w:w="170" w:type="dxa"/>
            </w:tcMar>
          </w:tcPr>
          <w:p w14:paraId="7954A4D1" w14:textId="77777777" w:rsidR="00F05DC7" w:rsidRDefault="00F05DC7" w:rsidP="00A3786D">
            <w:pPr>
              <w:pStyle w:val="Rec"/>
              <w:keepNext/>
            </w:pPr>
            <w:r>
              <w:t xml:space="preserve">The CGC — through its Chairperson and Commission members — should provide a strong neutral voice, to facilitate a better informed public discourse on the HFE system. </w:t>
            </w:r>
          </w:p>
        </w:tc>
      </w:tr>
      <w:tr w:rsidR="00F05DC7" w14:paraId="7954A4D4"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A4D3" w14:textId="77777777" w:rsidR="00F05DC7" w:rsidRDefault="00F05DC7" w:rsidP="00A3786D">
            <w:pPr>
              <w:pStyle w:val="Space"/>
              <w:keepLines/>
            </w:pPr>
          </w:p>
        </w:tc>
      </w:tr>
      <w:tr w:rsidR="00F05DC7" w:rsidRPr="000863A5" w14:paraId="7954A4D6" w14:textId="77777777" w:rsidTr="00A3786D">
        <w:tc>
          <w:tcPr>
            <w:tcW w:w="5000" w:type="pct"/>
            <w:tcBorders>
              <w:top w:val="single" w:sz="6" w:space="0" w:color="78A22F"/>
              <w:left w:val="nil"/>
              <w:bottom w:val="nil"/>
              <w:right w:val="nil"/>
            </w:tcBorders>
            <w:tcMar>
              <w:left w:w="170" w:type="dxa"/>
              <w:right w:w="170" w:type="dxa"/>
            </w:tcMar>
          </w:tcPr>
          <w:p w14:paraId="7954A4D5" w14:textId="77777777" w:rsidR="00F05DC7" w:rsidRPr="00626D32" w:rsidRDefault="00F05DC7" w:rsidP="00A3786D">
            <w:pPr>
              <w:pStyle w:val="BoxSpaceBelow"/>
              <w:keepLines/>
            </w:pPr>
          </w:p>
        </w:tc>
      </w:tr>
    </w:tbl>
    <w:p w14:paraId="7954A4D7" w14:textId="77777777" w:rsidR="00F05DC7" w:rsidRDefault="00F05DC7" w:rsidP="00A3786D">
      <w:pPr>
        <w:pStyle w:val="Heading3"/>
      </w:pPr>
      <w:r>
        <w:t>Strengthening the CGC’s interactions with State Governments</w:t>
      </w:r>
    </w:p>
    <w:p w14:paraId="7954A4D8" w14:textId="77777777" w:rsidR="00F05DC7" w:rsidRDefault="00F05DC7" w:rsidP="00A3786D">
      <w:pPr>
        <w:pStyle w:val="BodyText"/>
      </w:pPr>
      <w:r>
        <w:t xml:space="preserve">The CGC could also provide greater certainty for State Governments, through establishing a process under which the States are able to consult with it on the possible implications of a change in State policy (for example, a change to a State’s revenue base), and for the CGC to provide its advice in the form of a ‘draft ruling’. </w:t>
      </w:r>
    </w:p>
    <w:p w14:paraId="7954A4D9" w14:textId="6331F4B4" w:rsidR="00F05DC7" w:rsidRDefault="00F05DC7" w:rsidP="00A3786D">
      <w:pPr>
        <w:pStyle w:val="BodyText"/>
      </w:pPr>
      <w:r>
        <w:t>Such a process could be similar to the Australian Taxation Office’s (ATO) draft rulings, which set out a preliminary view on the way a particular tax provision applies and is then open for public comment.</w:t>
      </w:r>
      <w:r w:rsidRPr="001651E8">
        <w:t xml:space="preserve"> </w:t>
      </w:r>
      <w:r>
        <w:t xml:space="preserve">In addition to public rulings, the ATO also issues </w:t>
      </w:r>
      <w:r w:rsidRPr="00C5765D">
        <w:rPr>
          <w:i/>
        </w:rPr>
        <w:t xml:space="preserve">private </w:t>
      </w:r>
      <w:r>
        <w:t xml:space="preserve">rulings, which set out binding advice on how a tax law would apply to a specific scheme or circumstance </w:t>
      </w:r>
      <w:r w:rsidR="009D6331" w:rsidRPr="009D6331">
        <w:rPr>
          <w:szCs w:val="24"/>
        </w:rPr>
        <w:t>(ATO 2017)</w:t>
      </w:r>
      <w:r>
        <w:t xml:space="preserve">. </w:t>
      </w:r>
    </w:p>
    <w:p w14:paraId="7954A4DA" w14:textId="77777777" w:rsidR="00F05DC7" w:rsidRDefault="00F05DC7" w:rsidP="00A3786D">
      <w:pPr>
        <w:pStyle w:val="BodyText"/>
      </w:pPr>
      <w:r>
        <w:t>A draft ruling process may help to reduce some of the fiscal uncertainty for the States and provide greater transparency about the CGC’s deliberations on its decisions. Jerome Fahrer (trans., p. 173), observed how confusion can arise for States when considering a tax reform:</w:t>
      </w:r>
    </w:p>
    <w:p w14:paraId="7954A4DB" w14:textId="77777777" w:rsidR="00F05DC7" w:rsidRDefault="00F05DC7" w:rsidP="00A3786D">
      <w:pPr>
        <w:pStyle w:val="Quote"/>
      </w:pPr>
      <w:r>
        <w:t>There are genuine issues of interpretation about is this a new tax. Is this a new tax or an extension of an old tax? This makes a very big difference or can make a very big difference to the amount of GST that each State ultimately gets or loses from a particular reform.</w:t>
      </w:r>
    </w:p>
    <w:p w14:paraId="7954A4DC" w14:textId="77777777" w:rsidR="00F05DC7" w:rsidRDefault="00F05DC7" w:rsidP="00A3786D">
      <w:pPr>
        <w:pStyle w:val="BodyText"/>
      </w:pPr>
      <w:r>
        <w:t xml:space="preserve">A number of participants supported the idea of draft rulings. The NT Government (sub. DR69) and SA Government (sub. DR89) considered that it would provide greater certainty and increase transparency. The ACT Government (sub. DR81, p. 52) also agreed with the proposal but with the proviso that it should be ‘informed advice’ only, via </w:t>
      </w:r>
      <w:r>
        <w:lastRenderedPageBreak/>
        <w:t>interpretations by CGC staff (as distinct from the Commission itself). The WA Treasurer (trans. p. 72) noted:</w:t>
      </w:r>
    </w:p>
    <w:p w14:paraId="7954A4DD" w14:textId="77777777" w:rsidR="00F05DC7" w:rsidRDefault="00F05DC7" w:rsidP="00A3786D">
      <w:pPr>
        <w:pStyle w:val="Quote"/>
      </w:pPr>
      <w:r>
        <w:t>… a draft ruling environment would be very useful, you know, obviously on a confidential basis so you can actually have a dialogue with the Commonwealth Grants Commission. But that would be incredibly useful for states, not just WA, but I dare say all.</w:t>
      </w:r>
    </w:p>
    <w:p w14:paraId="7954A4DE" w14:textId="77777777" w:rsidR="00F05DC7" w:rsidRDefault="00F05DC7" w:rsidP="00A3786D">
      <w:pPr>
        <w:pStyle w:val="BodyText"/>
      </w:pPr>
      <w:r>
        <w:t>Others were less supportive of draft rulings. The CGC (sub. DR61, pp. 10–11) commented that there are significant differences between the draft rulings of the ATO and the advice that the CGC might provide, as the CGC’s methods are fluid and generally dependent on the actions of governments. This was a concern echoed by the NSW Government</w:t>
      </w:r>
      <w:r w:rsidRPr="00B57746">
        <w:t xml:space="preserve"> </w:t>
      </w:r>
      <w:r>
        <w:t>(sub. DR109, p. 26), which noted that the ATO rulings are based on a static law and are legally binding, making them more credible. Further, the Tasmanian Government (sub. DR74, p. 35) commented that it would serve to place too high an emphasis on GST equalisation implications.</w:t>
      </w:r>
    </w:p>
    <w:p w14:paraId="7954A4DF" w14:textId="77777777" w:rsidR="00F05DC7" w:rsidRDefault="00F05DC7" w:rsidP="00A3786D">
      <w:pPr>
        <w:pStyle w:val="BodyText"/>
      </w:pPr>
      <w:r>
        <w:t>The Victorian Government (sub. DR87, p. 24) was less definitive and noted that the proposal has both pros and cons:</w:t>
      </w:r>
    </w:p>
    <w:p w14:paraId="7954A4E0" w14:textId="77777777" w:rsidR="00F05DC7" w:rsidRDefault="00F05DC7" w:rsidP="00A3786D">
      <w:pPr>
        <w:pStyle w:val="Quote"/>
      </w:pPr>
      <w:r>
        <w:t xml:space="preserve">On the one hand it helps state governments remove uncertainty around how a particular policy decision will be treated by the CGC once the best policy decision has been selected, and on the other hand it encourages states to actively include GST effects in evaluating a policy decision, which is generally undesirable. </w:t>
      </w:r>
    </w:p>
    <w:p w14:paraId="7954A4E1" w14:textId="77777777" w:rsidR="00F05DC7" w:rsidRDefault="00F05DC7" w:rsidP="00A3786D">
      <w:pPr>
        <w:pStyle w:val="BodyText"/>
      </w:pPr>
      <w:r>
        <w:t xml:space="preserve">It is unclear why State Governments would not consider GST effects when evaluating a policy proposal. Indeed, the potential effect of policy changes on total State Government revenues (including significant changes in GST payments) are relevant for decision making, particularly when tax reform proposals are being considered (chapter 3). </w:t>
      </w:r>
    </w:p>
    <w:p w14:paraId="7954A4E2" w14:textId="77777777" w:rsidR="00F05DC7" w:rsidRDefault="00F05DC7" w:rsidP="00A3786D">
      <w:pPr>
        <w:pStyle w:val="BodyText"/>
      </w:pPr>
      <w:r w:rsidRPr="00A35887">
        <w:t xml:space="preserve">The CGC operates in a dynamic environment, with </w:t>
      </w:r>
      <w:r>
        <w:t xml:space="preserve">the potential for </w:t>
      </w:r>
      <w:r w:rsidRPr="00A35887">
        <w:t>chang</w:t>
      </w:r>
      <w:r>
        <w:t>ing circumstances</w:t>
      </w:r>
      <w:r w:rsidRPr="00A35887">
        <w:t xml:space="preserve"> in </w:t>
      </w:r>
      <w:r>
        <w:t>one State to</w:t>
      </w:r>
      <w:r w:rsidRPr="002F6563">
        <w:t xml:space="preserve"> </w:t>
      </w:r>
      <w:r w:rsidRPr="00A35887">
        <w:t>hav</w:t>
      </w:r>
      <w:r>
        <w:t>e a</w:t>
      </w:r>
      <w:r w:rsidRPr="00A35887">
        <w:t xml:space="preserve"> </w:t>
      </w:r>
      <w:r>
        <w:t>flow-on effect through the system</w:t>
      </w:r>
      <w:r w:rsidRPr="00A35887">
        <w:t xml:space="preserve">. </w:t>
      </w:r>
      <w:r>
        <w:t xml:space="preserve">As such, the CGC’s ‘draft ruling’ advice to the States should not be locked in indefinitely, but instead reflect the circumstances that existed at the time of the request. Where materially different circumstances exist at a later date it may need to revisit its draft rulings. </w:t>
      </w:r>
    </w:p>
    <w:p w14:paraId="7954A4E3" w14:textId="77777777" w:rsidR="00F05DC7" w:rsidRDefault="00F05DC7" w:rsidP="00A3786D">
      <w:pPr>
        <w:pStyle w:val="BodyText"/>
      </w:pPr>
      <w:r>
        <w:t>Public draft rulings would benefit other States that may also be uncertain about how the CGC will assess a particular tax or policy change. Where there are concerns with the confidentiality of requests for rulings or the ruling itself, then the CGC could provide its advice to the States on a private basis, as the ATO does with private rulings.</w:t>
      </w:r>
    </w:p>
    <w:p w14:paraId="7954A4E4" w14:textId="77777777" w:rsidR="00F05DC7" w:rsidRDefault="00F05DC7" w:rsidP="00A3786D">
      <w:pPr>
        <w:pStyle w:val="BodyText"/>
      </w:pPr>
      <w:r>
        <w:t xml:space="preserve">Establishing a process for this advice to be provided to the States will deliver additional certainty in States’ deliberations on future tax reform. </w:t>
      </w:r>
    </w:p>
    <w:p w14:paraId="7954A4E5" w14:textId="77777777" w:rsidR="00F05DC7" w:rsidRPr="004E3B94" w:rsidRDefault="00F05DC7" w:rsidP="00B253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A4E8"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A4E6" w14:textId="05C76863" w:rsidR="00F05DC7" w:rsidRDefault="00F05DC7" w:rsidP="00A3786D">
            <w:pPr>
              <w:pStyle w:val="RecTitle"/>
              <w:spacing w:before="120"/>
              <w:rPr>
                <w:noProof/>
              </w:rPr>
            </w:pPr>
            <w:r>
              <w:t>Recommendation 6.3</w:t>
            </w:r>
          </w:p>
          <w:p w14:paraId="7954A4E7" w14:textId="77777777" w:rsidR="00F05DC7" w:rsidRPr="00CE4C64" w:rsidRDefault="00F05DC7" w:rsidP="00A3786D">
            <w:pPr>
              <w:pStyle w:val="Rec"/>
              <w:keepNext/>
            </w:pPr>
            <w:r>
              <w:t xml:space="preserve">The CGC should strengthen its formal interactions with the State and Commonwealth Governments. In particular, when requested by a State Government, it should provide </w:t>
            </w:r>
            <w:r w:rsidRPr="00F82C1F">
              <w:t xml:space="preserve">provisional </w:t>
            </w:r>
            <w:r>
              <w:t>‘draft rulings’ on the HFE implications of a policy change.</w:t>
            </w:r>
          </w:p>
        </w:tc>
      </w:tr>
      <w:tr w:rsidR="00F05DC7" w14:paraId="7954A4EA"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A4E9" w14:textId="77777777" w:rsidR="00F05DC7" w:rsidRDefault="00F05DC7" w:rsidP="00A3786D">
            <w:pPr>
              <w:pStyle w:val="Space"/>
              <w:keepLines/>
            </w:pPr>
          </w:p>
        </w:tc>
      </w:tr>
      <w:tr w:rsidR="00F05DC7" w:rsidRPr="000863A5" w14:paraId="7954A4EC" w14:textId="77777777" w:rsidTr="00A3786D">
        <w:tc>
          <w:tcPr>
            <w:tcW w:w="5000" w:type="pct"/>
            <w:tcBorders>
              <w:top w:val="single" w:sz="6" w:space="0" w:color="78A22F"/>
              <w:left w:val="nil"/>
              <w:bottom w:val="nil"/>
              <w:right w:val="nil"/>
            </w:tcBorders>
            <w:tcMar>
              <w:left w:w="170" w:type="dxa"/>
              <w:right w:w="170" w:type="dxa"/>
            </w:tcMar>
          </w:tcPr>
          <w:p w14:paraId="7954A4EB" w14:textId="77777777" w:rsidR="00F05DC7" w:rsidRPr="00626D32" w:rsidRDefault="00F05DC7" w:rsidP="00A3786D">
            <w:pPr>
              <w:pStyle w:val="BoxSpaceBelow"/>
              <w:keepLines/>
            </w:pPr>
          </w:p>
        </w:tc>
      </w:tr>
    </w:tbl>
    <w:p w14:paraId="7954A4ED" w14:textId="77777777" w:rsidR="00F05DC7" w:rsidRDefault="00F05DC7" w:rsidP="00A3786D">
      <w:pPr>
        <w:pStyle w:val="Heading3"/>
      </w:pPr>
      <w:r>
        <w:t>Improving accountability in the HFE system</w:t>
      </w:r>
    </w:p>
    <w:p w14:paraId="7954A4EE" w14:textId="77777777" w:rsidR="00F05DC7" w:rsidRDefault="00F05DC7" w:rsidP="00A3786D">
      <w:pPr>
        <w:pStyle w:val="BodyText"/>
      </w:pPr>
      <w:r>
        <w:t xml:space="preserve">Some of the concerns about insufficient accountability for HFE, in particular the mismatch between the way funds are distributed to, and spent by, the States relate to broader federal financial relations issues, principally blurred responsibilities between governments. These issues are addressed in chapter 9. </w:t>
      </w:r>
    </w:p>
    <w:p w14:paraId="7954A4EF" w14:textId="77777777" w:rsidR="00F05DC7" w:rsidRDefault="00F05DC7" w:rsidP="00A3786D">
      <w:pPr>
        <w:pStyle w:val="BodyText"/>
      </w:pPr>
      <w:r>
        <w:t xml:space="preserve">Many of the other </w:t>
      </w:r>
      <w:r w:rsidRPr="004A2B9D">
        <w:t xml:space="preserve">concerns </w:t>
      </w:r>
      <w:r>
        <w:t xml:space="preserve">with system governance, including the </w:t>
      </w:r>
      <w:r w:rsidRPr="004A2B9D">
        <w:t>CGC making policy decisions and</w:t>
      </w:r>
      <w:r>
        <w:t xml:space="preserve"> a</w:t>
      </w:r>
      <w:r w:rsidRPr="004A2B9D">
        <w:t xml:space="preserve"> lack of transparency in data and calculations</w:t>
      </w:r>
      <w:r>
        <w:t xml:space="preserve">, are directly related to the governance arrangements in place for the HFE system. Thus, they can be addressed through changes to aspects of the system. </w:t>
      </w:r>
    </w:p>
    <w:p w14:paraId="7954A4F0" w14:textId="77777777" w:rsidR="00F05DC7" w:rsidRDefault="00F05DC7" w:rsidP="00A3786D">
      <w:pPr>
        <w:pStyle w:val="Heading4"/>
      </w:pPr>
      <w:r>
        <w:t xml:space="preserve">A clearer treatment of </w:t>
      </w:r>
      <w:r w:rsidRPr="00FF27C2">
        <w:t xml:space="preserve">quarantined Commonwealth payments </w:t>
      </w:r>
    </w:p>
    <w:p w14:paraId="7954A4F1" w14:textId="77777777" w:rsidR="00F05DC7" w:rsidRDefault="00F05DC7" w:rsidP="00A3786D">
      <w:pPr>
        <w:pStyle w:val="BodyText"/>
      </w:pPr>
      <w:r>
        <w:t>Existing principles for the treatment of Commonwealth payments in the HFE process largely provide a clear framework on whether a payment will be discounted, included or excluded from the HFE process by the CGC (appendix B). However, the ability of the Commonwealth Treasurer to quarantine payments from HFE calculations would also benefit from stricter, principled guidelines, to ensure that quarantining does not compromise the objective of HFE.</w:t>
      </w:r>
    </w:p>
    <w:p w14:paraId="7954A4F2" w14:textId="04A06819" w:rsidR="00F05DC7" w:rsidRDefault="00F05DC7" w:rsidP="00A3786D">
      <w:pPr>
        <w:pStyle w:val="BodyText"/>
      </w:pPr>
      <w:r>
        <w:t xml:space="preserve">As noted by the GST Distribution Review </w:t>
      </w:r>
      <w:r w:rsidR="009D6331" w:rsidRPr="009D6331">
        <w:rPr>
          <w:szCs w:val="24"/>
        </w:rPr>
        <w:t>(Brumby, Carter and Greiner 2012a, p. 70)</w:t>
      </w:r>
      <w:r>
        <w:t xml:space="preserve">, the establishment and publication of such guidelines would aid transparency and may also improve predictability for the States, by making it clear when a payment would or would not be quarantined. This recommendation, like others made in that review, has not been subject to a government response (though some recommendations were incorporated into the CGC’s 2015 methodology review terms of reference — chapter 1). </w:t>
      </w:r>
    </w:p>
    <w:p w14:paraId="7954A4F3" w14:textId="57F7A2C5" w:rsidR="00F05DC7" w:rsidRDefault="00F05DC7" w:rsidP="00A3786D">
      <w:pPr>
        <w:pStyle w:val="BodyText"/>
      </w:pPr>
      <w:r>
        <w:t xml:space="preserve">Similar to Brumby, Carter and Greiner </w:t>
      </w:r>
      <w:r w:rsidR="009D6331" w:rsidRPr="009D6331">
        <w:t>(2012a)</w:t>
      </w:r>
      <w:r>
        <w:t xml:space="preserve">, the Productivity Commission considers that the guidelines should establish that Commonwealth payments are to be quarantined only in exceptional circumstances that are in the national interest, as quarantining undermines the objective of HFE. To avoid duplication and additional complexity, Commonwealth payments should only be quarantined for reasons that would not already be considered by the CGC. </w:t>
      </w:r>
    </w:p>
    <w:p w14:paraId="7954A4F4" w14:textId="77777777" w:rsidR="00F05DC7" w:rsidRDefault="00F05DC7" w:rsidP="00A3786D">
      <w:pPr>
        <w:pStyle w:val="BodyText"/>
      </w:pPr>
      <w:r>
        <w:t xml:space="preserve">Many State Governments expressed support for clear guidelines. The Victorian Government (sub. DR87, p. 23), SA Government (sub. DR89, p. 17), and NT Government (sub. DR69, p. 28), for example, agreed with the Productivity Commission’s draft recommendation. </w:t>
      </w:r>
    </w:p>
    <w:p w14:paraId="7954A4F5" w14:textId="77777777" w:rsidR="00F05DC7" w:rsidRDefault="00F05DC7" w:rsidP="00A3786D">
      <w:pPr>
        <w:pStyle w:val="BodyText"/>
      </w:pPr>
      <w:r>
        <w:lastRenderedPageBreak/>
        <w:t>The Tasmanian Government (sub. DR74, p. 30) expressed concern that guidelines for the Commonwealth Treasurer’s decisions may not be effective:</w:t>
      </w:r>
    </w:p>
    <w:p w14:paraId="7954A4F6" w14:textId="77777777" w:rsidR="00F05DC7" w:rsidRDefault="00F05DC7" w:rsidP="00A3786D">
      <w:pPr>
        <w:pStyle w:val="Quote"/>
      </w:pPr>
      <w:r>
        <w:t xml:space="preserve">While guidelines in relation to quarantining would aid transparency and accountability, Tasmania is not convinced that guidelines to govern the Commonwealth Treasurer’s decisions in an area, which can be politically motivated, are likely to be effective … However, if guidelines are adopted they should be developed in consultation with the States. </w:t>
      </w:r>
    </w:p>
    <w:p w14:paraId="7954A4F7" w14:textId="77777777" w:rsidR="00F05DC7" w:rsidRDefault="00F05DC7" w:rsidP="00A3786D">
      <w:pPr>
        <w:pStyle w:val="BodyText"/>
      </w:pPr>
      <w:r>
        <w:t xml:space="preserve">The WA Government (sub. DR83, p. 34) echoed these sentiments, and also argued that it was unlikely that a prescriptive set of guidelines could accommodate all circumstances in which Commonwealth grants were provided. </w:t>
      </w:r>
    </w:p>
    <w:p w14:paraId="7954A4F8" w14:textId="77777777" w:rsidR="00F05DC7" w:rsidRDefault="00F05DC7" w:rsidP="00A3786D">
      <w:pPr>
        <w:pStyle w:val="BodyText"/>
      </w:pPr>
      <w:r>
        <w:t>While it may not be possible for guidelines to cover all possible circumstances in which grants are provided to the States, they would help to set firmer boundaries and increase transparency and accountability of the Commonwealth Government’s</w:t>
      </w:r>
      <w:r w:rsidDel="00FC3FC8">
        <w:t xml:space="preserve"> </w:t>
      </w:r>
      <w:r>
        <w:t>decisions to quarantine certain payments.</w:t>
      </w:r>
    </w:p>
    <w:p w14:paraId="7954A4F9" w14:textId="77777777" w:rsidR="00F05DC7" w:rsidRDefault="00F05DC7" w:rsidP="00A3786D">
      <w:pPr>
        <w:pStyle w:val="BodyText"/>
      </w:pPr>
      <w:r>
        <w:t xml:space="preserve">The precise circumstances in which payments are to be quarantined ought to be determined in consultation with the States (especially given that some of the general principles for the treatment of Commonwealth payments are set out in the IGAFFR). The guidelines should seek a balance between enhancing accountability and transparency, while not unduly affecting the ability of the Commonwealth Treasurer to quarantine payments in exceptional circumstances, where quarantining is in the national interest. </w:t>
      </w:r>
    </w:p>
    <w:p w14:paraId="7954A4FA" w14:textId="77777777" w:rsidR="00F05DC7" w:rsidRPr="004E3B94" w:rsidRDefault="00F05DC7" w:rsidP="008C54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A4FE"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A4FB" w14:textId="484D6042" w:rsidR="00F05DC7" w:rsidRDefault="00F05DC7" w:rsidP="00A3786D">
            <w:pPr>
              <w:pStyle w:val="RecTitle"/>
              <w:spacing w:before="120"/>
              <w:rPr>
                <w:noProof/>
              </w:rPr>
            </w:pPr>
            <w:r>
              <w:t>Recommendation 6.4</w:t>
            </w:r>
          </w:p>
          <w:p w14:paraId="7954A4FC" w14:textId="77777777" w:rsidR="00F05DC7" w:rsidRDefault="00F05DC7" w:rsidP="00A3786D">
            <w:pPr>
              <w:pStyle w:val="Rec"/>
              <w:keepNext/>
            </w:pPr>
            <w:r>
              <w:t xml:space="preserve">The Commonwealth Government, in consultation with the States, should develop clear guidelines detailing the basis on which Commonwealth payments are to be quarantined from HFE by the Commonwealth Treasurer (so that they do not unnecessarily erode the efficacy of the CGC’s relativities and compromise the objective of HFE). </w:t>
            </w:r>
          </w:p>
          <w:p w14:paraId="7954A4FD" w14:textId="77777777" w:rsidR="00F05DC7" w:rsidRPr="00CE4C64" w:rsidRDefault="00F05DC7" w:rsidP="00A3786D">
            <w:pPr>
              <w:pStyle w:val="Rec"/>
              <w:keepNext/>
            </w:pPr>
            <w:r>
              <w:t xml:space="preserve">The guidelines should strike a balance between enhancing accountability and transparency, while not unduly affecting the Treasurer’s ability to quarantine payments in exceptional circumstances that are in the national interest. </w:t>
            </w:r>
          </w:p>
        </w:tc>
      </w:tr>
      <w:tr w:rsidR="00F05DC7" w14:paraId="7954A500"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A4FF" w14:textId="77777777" w:rsidR="00F05DC7" w:rsidRDefault="00F05DC7" w:rsidP="00A3786D">
            <w:pPr>
              <w:pStyle w:val="Space"/>
              <w:keepLines/>
            </w:pPr>
          </w:p>
        </w:tc>
      </w:tr>
      <w:tr w:rsidR="00F05DC7" w:rsidRPr="000863A5" w14:paraId="7954A502" w14:textId="77777777" w:rsidTr="00A3786D">
        <w:tc>
          <w:tcPr>
            <w:tcW w:w="5000" w:type="pct"/>
            <w:tcBorders>
              <w:top w:val="single" w:sz="6" w:space="0" w:color="78A22F"/>
              <w:left w:val="nil"/>
              <w:bottom w:val="nil"/>
              <w:right w:val="nil"/>
            </w:tcBorders>
            <w:tcMar>
              <w:left w:w="170" w:type="dxa"/>
              <w:right w:w="170" w:type="dxa"/>
            </w:tcMar>
          </w:tcPr>
          <w:p w14:paraId="7954A501" w14:textId="77777777" w:rsidR="00F05DC7" w:rsidRPr="00626D32" w:rsidRDefault="00F05DC7" w:rsidP="00A3786D">
            <w:pPr>
              <w:pStyle w:val="BoxSpaceBelow"/>
              <w:keepLines/>
            </w:pPr>
          </w:p>
        </w:tc>
      </w:tr>
    </w:tbl>
    <w:p w14:paraId="7954A503" w14:textId="77777777" w:rsidR="00F05DC7" w:rsidRDefault="00F05DC7" w:rsidP="00A3786D">
      <w:pPr>
        <w:pStyle w:val="Heading4"/>
      </w:pPr>
      <w:r>
        <w:t>Strengthening the CGC’s decision</w:t>
      </w:r>
      <w:r>
        <w:noBreakHyphen/>
        <w:t>making framework</w:t>
      </w:r>
    </w:p>
    <w:p w14:paraId="7954A504" w14:textId="77777777" w:rsidR="00F05DC7" w:rsidRDefault="00F05DC7" w:rsidP="00A3786D">
      <w:pPr>
        <w:pStyle w:val="BodyText"/>
      </w:pPr>
      <w:r>
        <w:t xml:space="preserve">Many of the criticisms of the governance of the current HFE system relate to the perception that the CGC makes decisions that involve policy judgments, and specifically, decisions that trade off efficiency and equity. With the revision of the objective to allow scope for a better balance between efficiency and equity, the CGC is likely to be confronted with these choices to a greater degree. </w:t>
      </w:r>
    </w:p>
    <w:p w14:paraId="7954A505" w14:textId="77777777" w:rsidR="00F05DC7" w:rsidRDefault="00F05DC7" w:rsidP="00A3786D">
      <w:pPr>
        <w:pStyle w:val="BodyText"/>
      </w:pPr>
      <w:r>
        <w:t>A strengthened decision</w:t>
      </w:r>
      <w:r>
        <w:noBreakHyphen/>
        <w:t>making and accountability framework will therefore be necessary for the CGC to make better</w:t>
      </w:r>
      <w:r>
        <w:noBreakHyphen/>
        <w:t xml:space="preserve">informed decisions and for the States and the public to </w:t>
      </w:r>
      <w:r>
        <w:lastRenderedPageBreak/>
        <w:t>understand the CGC’s decisions where they relate to significant matters of judgment, especially in relation to equity and efficiency trade-offs and policy neutrality.</w:t>
      </w:r>
    </w:p>
    <w:p w14:paraId="7954A506" w14:textId="77777777" w:rsidR="00F05DC7" w:rsidRDefault="00F05DC7" w:rsidP="00A3786D">
      <w:pPr>
        <w:pStyle w:val="BodyText"/>
      </w:pPr>
      <w:r>
        <w:t>In the first instance, the Commonwealth Treasury should provide input throughout the CGC’s consultation process, including making public submissions and commenting on papers, as the States currently do. As noted by the ACT Government (sub. DR81, p. 50):</w:t>
      </w:r>
    </w:p>
    <w:p w14:paraId="7954A507" w14:textId="77777777" w:rsidR="00F05DC7" w:rsidRDefault="00F05DC7" w:rsidP="00A3786D">
      <w:pPr>
        <w:pStyle w:val="Quote"/>
        <w:ind w:left="567"/>
      </w:pPr>
      <w:r>
        <w:t xml:space="preserve">The Commission’s final recommendations should be broadened not only to identify the educative role of the CGC but also better incorporate the role of the Commonwealth itself, which should provide strategic guidance to the CGC and the States on HFE matters. </w:t>
      </w:r>
    </w:p>
    <w:p w14:paraId="7954A508" w14:textId="77777777" w:rsidR="00F05DC7" w:rsidRDefault="00F05DC7" w:rsidP="00A3786D">
      <w:pPr>
        <w:pStyle w:val="Quote"/>
        <w:ind w:left="567"/>
      </w:pPr>
      <w:r>
        <w:t>The Commonwealth taking up such a role does not compromise the independence of the CGC. For its part, the CGC has a valid role in defending or indeed explaining the system. Stronger involvement of both parties would add greater clarity in the national debate, and diminish the difficulty of individual States, particularly those classified as a ‘receiver’, to enter the debate.</w:t>
      </w:r>
    </w:p>
    <w:p w14:paraId="7954A509" w14:textId="77777777" w:rsidR="00F05DC7" w:rsidRDefault="00F05DC7" w:rsidP="00A3786D">
      <w:pPr>
        <w:pStyle w:val="Quote"/>
        <w:ind w:left="567"/>
      </w:pPr>
      <w:r>
        <w:t xml:space="preserve">Indeed, the Commonwealth has ceased to become an active participant in many of the CGC/State deliberations and no longer submits submissions or papers to the CGC Reviews, Updates, or other independent inquiries. </w:t>
      </w:r>
    </w:p>
    <w:p w14:paraId="7954A50A" w14:textId="77777777" w:rsidR="00F05DC7" w:rsidRDefault="00F05DC7" w:rsidP="00A3786D">
      <w:pPr>
        <w:pStyle w:val="BodyText"/>
      </w:pPr>
      <w:r>
        <w:t>The Commonwealth Treasury has a different outlook to the States, as it considers policy decisions from the perspective of the wellbeing of the Australian community</w:t>
      </w:r>
      <w:r w:rsidRPr="00BC1EE6">
        <w:t xml:space="preserve"> </w:t>
      </w:r>
      <w:r>
        <w:t>overall. It is well-placed to provide input on policy decisions that involve trade</w:t>
      </w:r>
      <w:r>
        <w:noBreakHyphen/>
        <w:t>offs, as it does with any other policy proposal. Indeed it has a history of providing submissions to other review processes. Treasury participation would bring an alternative perspective to the work of the CGC, and should be a key element within the CGC’s decision</w:t>
      </w:r>
      <w:r>
        <w:noBreakHyphen/>
        <w:t>making framework in the future.</w:t>
      </w:r>
    </w:p>
    <w:p w14:paraId="7954A50B" w14:textId="77777777" w:rsidR="00F05DC7" w:rsidRPr="00DA5990" w:rsidRDefault="00F05DC7" w:rsidP="00A3786D">
      <w:pPr>
        <w:pStyle w:val="BodyText"/>
      </w:pPr>
      <w:r w:rsidRPr="00DA5990">
        <w:t>In addition, while there is some consultation already (box 6.4)</w:t>
      </w:r>
      <w:r>
        <w:t>,</w:t>
      </w:r>
      <w:r w:rsidRPr="00DA5990">
        <w:t xml:space="preserve"> greater utilisation of the current processes around the CGC’s terms of reference and recommendations to the Treasurer would improve transparency and accountability in the decision</w:t>
      </w:r>
      <w:r w:rsidRPr="00DA5990">
        <w:noBreakHyphen/>
        <w:t xml:space="preserve">making framework. </w:t>
      </w:r>
    </w:p>
    <w:p w14:paraId="7954A50C" w14:textId="77777777" w:rsidR="00F05DC7" w:rsidRDefault="00F05DC7" w:rsidP="00A3786D">
      <w:pPr>
        <w:pStyle w:val="BodyText"/>
      </w:pPr>
      <w:r>
        <w:t>The Treasurer should nominate specific areas of focus for the CGC in the terms of reference for the five yearly methodology reviews. For example (and as discussed in chapter 7) the Treasurer should direct the CGC through the 2020 review terms of reference to examine revenue and expenditure assessments that use more policy</w:t>
      </w:r>
      <w:r>
        <w:noBreakHyphen/>
        <w:t xml:space="preserve">neutral indicators. There is also merit in the Treasurer nominating particular issues that have been raised by the States, for example where States may have identified assessments that have a material impact on the GST distribution and where the CGC is required to make a trade-off between efficiency and equity. The CGC’s processes could be further informed by drawing upon (as it already does where needed), external </w:t>
      </w:r>
      <w:r w:rsidRPr="00281775">
        <w:t>independent experts.</w:t>
      </w:r>
      <w:r>
        <w:t xml:space="preserve"> </w:t>
      </w:r>
    </w:p>
    <w:p w14:paraId="7954A50D" w14:textId="77777777" w:rsidR="00F05DC7" w:rsidRDefault="00F05DC7" w:rsidP="00A3786D">
      <w:pPr>
        <w:pStyle w:val="BodyText"/>
      </w:pPr>
      <w:r>
        <w:t xml:space="preserve">Further, when making recommendations to the Commonwealth Treasurer, the CGC should provide a clear explanation of how it has addressed the specific issues identified in the terms of reference and particularly, when and how it has made judgments that involve trade-offs between equity and efficiency. </w:t>
      </w:r>
    </w:p>
    <w:p w14:paraId="7954A50E"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510" w14:textId="77777777" w:rsidTr="00A3786D">
        <w:trPr>
          <w:tblHeader/>
        </w:trPr>
        <w:tc>
          <w:tcPr>
            <w:tcW w:w="5000" w:type="pct"/>
            <w:tcBorders>
              <w:top w:val="single" w:sz="6" w:space="0" w:color="78A22F"/>
              <w:left w:val="nil"/>
              <w:bottom w:val="nil"/>
              <w:right w:val="nil"/>
            </w:tcBorders>
            <w:shd w:val="clear" w:color="auto" w:fill="F2F2F2"/>
          </w:tcPr>
          <w:p w14:paraId="7954A50F" w14:textId="25C2E703" w:rsidR="00F05DC7" w:rsidRDefault="00F05DC7" w:rsidP="00A3786D">
            <w:pPr>
              <w:pStyle w:val="BoxTitle"/>
            </w:pPr>
            <w:r>
              <w:rPr>
                <w:b w:val="0"/>
              </w:rPr>
              <w:t>Box 6.4</w:t>
            </w:r>
            <w:r>
              <w:tab/>
              <w:t>Development of the CGC’s terms of reference</w:t>
            </w:r>
          </w:p>
        </w:tc>
      </w:tr>
      <w:tr w:rsidR="00F05DC7" w14:paraId="7954A514" w14:textId="77777777" w:rsidTr="00A3786D">
        <w:tc>
          <w:tcPr>
            <w:tcW w:w="5000" w:type="pct"/>
            <w:tcBorders>
              <w:top w:val="nil"/>
              <w:left w:val="nil"/>
              <w:bottom w:val="nil"/>
              <w:right w:val="nil"/>
            </w:tcBorders>
            <w:shd w:val="clear" w:color="auto" w:fill="F2F2F2"/>
          </w:tcPr>
          <w:p w14:paraId="7954A511" w14:textId="77777777" w:rsidR="00F05DC7" w:rsidRDefault="00F05DC7" w:rsidP="00A3786D">
            <w:pPr>
              <w:pStyle w:val="Box"/>
            </w:pPr>
            <w:r>
              <w:t>The terms of reference for the five</w:t>
            </w:r>
            <w:r>
              <w:noBreakHyphen/>
              <w:t>yearly methodology reviews go through a consultation process prior to being issued by the Treasurer. It is first consulted on at an officer level (across Commonwealth and State Treasuries), including via the Heads of Treasuries. Following this, the Commonwealth Treasurer writes to State Treasurers with the draft terms of reference, inviting feedback.</w:t>
            </w:r>
          </w:p>
          <w:p w14:paraId="7954A512" w14:textId="77777777" w:rsidR="00F05DC7" w:rsidRDefault="00F05DC7" w:rsidP="00A3786D">
            <w:pPr>
              <w:pStyle w:val="Box"/>
            </w:pPr>
            <w:r>
              <w:t xml:space="preserve">The terms of reference for the five yearly reviews can change from one review to the next. For example, the 2020 review terms of reference gave the CGC a broad remit to undertake a comprehensive review of all the methods that underlie its assessments, with the specific areas of focus to be identified in consultation with the States as part of the CGC’s work program. In contrast, the terms of reference for the 2015 review directed the CGC to focus on the recommendations arising out of the 2012 GST Distribution Review, identifying specific issues such as the appropriateness of the materiality thresholds, the development of a new mining assessment and the rounding of relativities. </w:t>
            </w:r>
          </w:p>
          <w:p w14:paraId="7954A513" w14:textId="77777777" w:rsidR="00F05DC7" w:rsidRDefault="00F05DC7" w:rsidP="00A3786D">
            <w:pPr>
              <w:pStyle w:val="Box"/>
            </w:pPr>
            <w:r>
              <w:t>Following receipt of the terms of reference, the Secretary of the CGC writes to the States seeking input from the State Treasuries on the review work program. This provides an opportunity for the States to identify specific aspects for consideration in the review.</w:t>
            </w:r>
          </w:p>
        </w:tc>
      </w:tr>
      <w:tr w:rsidR="00F05DC7" w14:paraId="7954A516" w14:textId="77777777" w:rsidTr="00A3786D">
        <w:tc>
          <w:tcPr>
            <w:tcW w:w="5000" w:type="pct"/>
            <w:tcBorders>
              <w:top w:val="nil"/>
              <w:left w:val="nil"/>
              <w:bottom w:val="nil"/>
              <w:right w:val="nil"/>
            </w:tcBorders>
            <w:shd w:val="clear" w:color="auto" w:fill="F2F2F2"/>
          </w:tcPr>
          <w:p w14:paraId="7954A515" w14:textId="57EBCC42" w:rsidR="00F05DC7" w:rsidRDefault="00F05DC7" w:rsidP="00A3786D">
            <w:pPr>
              <w:pStyle w:val="Box"/>
            </w:pPr>
            <w:r w:rsidRPr="006515EC">
              <w:rPr>
                <w:i/>
              </w:rPr>
              <w:t>Source</w:t>
            </w:r>
            <w:r>
              <w:rPr>
                <w:i/>
              </w:rPr>
              <w:t>s</w:t>
            </w:r>
            <w:r>
              <w:t xml:space="preserve">: Commonwealth Treasury, pers. comm., 11 April 2018; Swan </w:t>
            </w:r>
            <w:r w:rsidRPr="00245A33">
              <w:rPr>
                <w:rFonts w:cs="Arial"/>
              </w:rPr>
              <w:t>(2013)</w:t>
            </w:r>
            <w:r>
              <w:t>.</w:t>
            </w:r>
          </w:p>
        </w:tc>
      </w:tr>
      <w:tr w:rsidR="00F05DC7" w14:paraId="7954A518" w14:textId="77777777" w:rsidTr="00A3786D">
        <w:tc>
          <w:tcPr>
            <w:tcW w:w="5000" w:type="pct"/>
            <w:tcBorders>
              <w:top w:val="nil"/>
              <w:left w:val="nil"/>
              <w:bottom w:val="single" w:sz="6" w:space="0" w:color="78A22F"/>
              <w:right w:val="nil"/>
            </w:tcBorders>
            <w:shd w:val="clear" w:color="auto" w:fill="F2F2F2"/>
          </w:tcPr>
          <w:p w14:paraId="7954A517" w14:textId="77777777" w:rsidR="00F05DC7" w:rsidRDefault="00F05DC7" w:rsidP="00A3786D">
            <w:pPr>
              <w:pStyle w:val="Box"/>
              <w:spacing w:before="0" w:line="120" w:lineRule="exact"/>
            </w:pPr>
          </w:p>
        </w:tc>
      </w:tr>
    </w:tbl>
    <w:p w14:paraId="2BBEA96F" w14:textId="77777777" w:rsidR="001113B1" w:rsidRDefault="001113B1" w:rsidP="001113B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51C"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A51B" w14:textId="032675EF" w:rsidR="00F05DC7" w:rsidRPr="00CE4C64" w:rsidRDefault="00F05DC7" w:rsidP="00A3786D">
            <w:pPr>
              <w:pStyle w:val="RecTitle"/>
              <w:spacing w:before="120"/>
              <w:rPr>
                <w:noProof/>
              </w:rPr>
            </w:pPr>
            <w:r>
              <w:t>Recommendation 6.5</w:t>
            </w:r>
          </w:p>
        </w:tc>
      </w:tr>
      <w:tr w:rsidR="00F05DC7" w:rsidRPr="00750BE2" w14:paraId="7954A520" w14:textId="77777777" w:rsidTr="00A3786D">
        <w:tc>
          <w:tcPr>
            <w:tcW w:w="5000" w:type="pct"/>
            <w:tcBorders>
              <w:top w:val="nil"/>
              <w:left w:val="nil"/>
              <w:bottom w:val="nil"/>
              <w:right w:val="nil"/>
            </w:tcBorders>
            <w:shd w:val="clear" w:color="auto" w:fill="E5F1D0"/>
            <w:tcMar>
              <w:left w:w="170" w:type="dxa"/>
              <w:right w:w="170" w:type="dxa"/>
            </w:tcMar>
          </w:tcPr>
          <w:p w14:paraId="7954A51D" w14:textId="77777777" w:rsidR="00F05DC7" w:rsidRPr="001A0D77" w:rsidRDefault="00F05DC7" w:rsidP="00A3786D">
            <w:pPr>
              <w:pStyle w:val="Rec"/>
              <w:rPr>
                <w:rStyle w:val="DraftingNote"/>
                <w:b w:val="0"/>
                <w:color w:val="auto"/>
                <w:sz w:val="22"/>
                <w:u w:val="none"/>
              </w:rPr>
            </w:pPr>
            <w:r w:rsidRPr="001A0D77">
              <w:rPr>
                <w:rStyle w:val="DraftingNote"/>
                <w:b w:val="0"/>
                <w:color w:val="auto"/>
                <w:sz w:val="22"/>
                <w:u w:val="none"/>
              </w:rPr>
              <w:t>The Commonwealth Government should strengthen the CGC’s decision</w:t>
            </w:r>
            <w:r w:rsidRPr="001A0D77">
              <w:rPr>
                <w:rStyle w:val="DraftingNote"/>
                <w:b w:val="0"/>
                <w:color w:val="auto"/>
                <w:sz w:val="22"/>
                <w:u w:val="none"/>
              </w:rPr>
              <w:noBreakHyphen/>
              <w:t>making framework. In particular:</w:t>
            </w:r>
          </w:p>
          <w:p w14:paraId="7954A51E" w14:textId="77777777" w:rsidR="00F05DC7" w:rsidRPr="006C700E" w:rsidRDefault="00F05DC7" w:rsidP="00A3786D">
            <w:pPr>
              <w:pStyle w:val="RecBullet"/>
              <w:rPr>
                <w:rStyle w:val="DraftingNote"/>
                <w:b w:val="0"/>
                <w:color w:val="auto"/>
                <w:sz w:val="22"/>
                <w:u w:val="none"/>
              </w:rPr>
            </w:pPr>
            <w:r w:rsidRPr="006C700E">
              <w:rPr>
                <w:rStyle w:val="DraftingNote"/>
                <w:b w:val="0"/>
                <w:color w:val="auto"/>
                <w:sz w:val="22"/>
                <w:u w:val="none"/>
              </w:rPr>
              <w:t>the Commonwealth Treasury should provide input, including public submissions, to the CGC’s five</w:t>
            </w:r>
            <w:r w:rsidRPr="006C700E">
              <w:rPr>
                <w:rStyle w:val="DraftingNote"/>
                <w:b w:val="0"/>
                <w:color w:val="auto"/>
                <w:sz w:val="22"/>
                <w:u w:val="none"/>
              </w:rPr>
              <w:noBreakHyphen/>
              <w:t>yearly methodology review process, drawing upon its community</w:t>
            </w:r>
            <w:r w:rsidRPr="006C700E">
              <w:rPr>
                <w:rStyle w:val="DraftingNote"/>
                <w:b w:val="0"/>
                <w:color w:val="auto"/>
                <w:sz w:val="22"/>
                <w:u w:val="none"/>
              </w:rPr>
              <w:noBreakHyphen/>
              <w:t>wide perspective</w:t>
            </w:r>
          </w:p>
          <w:p w14:paraId="7954A51F" w14:textId="77777777" w:rsidR="00F05DC7" w:rsidRPr="006A4AE3" w:rsidRDefault="00F05DC7" w:rsidP="00A3786D">
            <w:pPr>
              <w:pStyle w:val="RecBullet"/>
            </w:pPr>
            <w:r w:rsidRPr="006C700E">
              <w:rPr>
                <w:rStyle w:val="DraftingNote"/>
                <w:b w:val="0"/>
                <w:color w:val="auto"/>
                <w:sz w:val="22"/>
                <w:u w:val="none"/>
              </w:rPr>
              <w:t>the Commonwealth Treasurer should nominate specific areas of focus for the CGC in the terms of reference for the five</w:t>
            </w:r>
            <w:r w:rsidRPr="006C700E">
              <w:rPr>
                <w:rStyle w:val="DraftingNote"/>
                <w:b w:val="0"/>
                <w:color w:val="auto"/>
                <w:sz w:val="22"/>
                <w:u w:val="none"/>
              </w:rPr>
              <w:noBreakHyphen/>
              <w:t>yearly methodology reviews, following (as is currently the case) consultation with the States.</w:t>
            </w:r>
          </w:p>
        </w:tc>
      </w:tr>
      <w:tr w:rsidR="00F05DC7" w14:paraId="7954A522"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A521" w14:textId="77777777" w:rsidR="00F05DC7" w:rsidRDefault="00F05DC7" w:rsidP="00A3786D">
            <w:pPr>
              <w:pStyle w:val="Space"/>
              <w:keepLines/>
            </w:pPr>
          </w:p>
        </w:tc>
      </w:tr>
      <w:tr w:rsidR="00F05DC7" w:rsidRPr="000863A5" w14:paraId="7954A524" w14:textId="77777777" w:rsidTr="00A3786D">
        <w:tc>
          <w:tcPr>
            <w:tcW w:w="5000" w:type="pct"/>
            <w:tcBorders>
              <w:top w:val="single" w:sz="6" w:space="0" w:color="78A22F"/>
              <w:left w:val="nil"/>
              <w:bottom w:val="nil"/>
              <w:right w:val="nil"/>
            </w:tcBorders>
            <w:tcMar>
              <w:left w:w="170" w:type="dxa"/>
              <w:right w:w="170" w:type="dxa"/>
            </w:tcMar>
          </w:tcPr>
          <w:p w14:paraId="7954A523" w14:textId="77777777" w:rsidR="00F05DC7" w:rsidRPr="00626D32" w:rsidRDefault="00F05DC7" w:rsidP="00A3786D">
            <w:pPr>
              <w:pStyle w:val="BoxSpaceBelow"/>
              <w:keepLines/>
            </w:pPr>
          </w:p>
        </w:tc>
      </w:tr>
    </w:tbl>
    <w:p w14:paraId="7954A525" w14:textId="77777777" w:rsidR="00F05DC7" w:rsidRDefault="00F05DC7" w:rsidP="001113B1">
      <w:pPr>
        <w:pStyle w:val="Heading4"/>
      </w:pPr>
      <w:r>
        <w:t>Improving access to data</w:t>
      </w:r>
    </w:p>
    <w:p w14:paraId="7954A526" w14:textId="77777777" w:rsidR="00F05DC7" w:rsidRDefault="00F05DC7" w:rsidP="00A3786D">
      <w:pPr>
        <w:pStyle w:val="BodyText"/>
      </w:pPr>
      <w:r>
        <w:t>Accountability could be further boosted by enabling greater scrutiny of the CGC’s calculations and data. As noted by Neil Warren (sub. 38, p. 1):</w:t>
      </w:r>
    </w:p>
    <w:p w14:paraId="7954A527" w14:textId="77777777" w:rsidR="00F05DC7" w:rsidRDefault="00F05DC7" w:rsidP="00A3786D">
      <w:pPr>
        <w:pStyle w:val="Quote"/>
      </w:pPr>
      <w:r w:rsidRPr="00755586">
        <w:t>Transparency of process, open</w:t>
      </w:r>
      <w:r>
        <w:noBreakHyphen/>
      </w:r>
      <w:r w:rsidRPr="00755586">
        <w:t>data access and transparent equalisation mechanisms are essential if there is to be a transparent and accountable equalisation process.</w:t>
      </w:r>
      <w:r>
        <w:t xml:space="preserve"> </w:t>
      </w:r>
    </w:p>
    <w:p w14:paraId="7954A528" w14:textId="77777777" w:rsidR="00F05DC7" w:rsidRDefault="00F05DC7" w:rsidP="00A3786D">
      <w:pPr>
        <w:pStyle w:val="BodyText"/>
      </w:pPr>
      <w:r>
        <w:t>Phillip Bubb (sub. DR60, p. 4) suggested that the CGC’s models should be made available to State Governments, allowing them to better examine those assessments with which they have a grievance, provide them with a better understanding of the calculations made by the CGC and allow for greater scrutiny of the way those decisions have been made.</w:t>
      </w:r>
    </w:p>
    <w:p w14:paraId="7954A529" w14:textId="77777777" w:rsidR="00F05DC7" w:rsidRDefault="00F05DC7" w:rsidP="00A3786D">
      <w:pPr>
        <w:pStyle w:val="BodyText"/>
        <w:keepNext/>
      </w:pPr>
      <w:r>
        <w:lastRenderedPageBreak/>
        <w:t>The CGC (sub. DR61, p. 11) has noted that it already makes this possible:</w:t>
      </w:r>
    </w:p>
    <w:p w14:paraId="7954A52A" w14:textId="77777777" w:rsidR="00F05DC7" w:rsidRDefault="00F05DC7" w:rsidP="00A3786D">
      <w:pPr>
        <w:pStyle w:val="Quote"/>
      </w:pPr>
      <w:r>
        <w:t xml:space="preserve">The detailed data and calculations made by the Commission are routinely made available to all Treasuries, through access to the Commission’s assessment system online (ASOL). All data are available to Treasuries, with the exception of a small number of datasets identified by individual States as being confidential. </w:t>
      </w:r>
    </w:p>
    <w:p w14:paraId="7954A52B" w14:textId="77777777" w:rsidR="00F05DC7" w:rsidRDefault="00F05DC7" w:rsidP="00A3786D">
      <w:pPr>
        <w:pStyle w:val="BodyText"/>
      </w:pPr>
      <w:r>
        <w:t>However, there remain considerable gaps in data availability for the broader public, particularly in the underlying data that inform the CGC’s development of State budgets. Saul Eslake noted to the inquiry that the calculations are difficult to replicate (trans., p. 472), and Fahrer and FitzGerald (sub. DR102, p. 17) commented that:</w:t>
      </w:r>
    </w:p>
    <w:p w14:paraId="7954A52C" w14:textId="77777777" w:rsidR="00F05DC7" w:rsidRDefault="00F05DC7" w:rsidP="00A3786D">
      <w:pPr>
        <w:pStyle w:val="Quote"/>
      </w:pPr>
      <w:r>
        <w:t>The documentation on the CGC’s website gives a high level overview of how the CGC makes these calculations but lacks detail, particularly for the assessment of disabilities faced by individual States in the delivery of particular services.</w:t>
      </w:r>
    </w:p>
    <w:p w14:paraId="7954A52D" w14:textId="77777777" w:rsidR="00F05DC7" w:rsidRDefault="00F05DC7" w:rsidP="00A3786D">
      <w:pPr>
        <w:pStyle w:val="BodyText"/>
      </w:pPr>
      <w:r w:rsidRPr="00C25B9B">
        <w:t xml:space="preserve">There </w:t>
      </w:r>
      <w:r>
        <w:t>was</w:t>
      </w:r>
      <w:r w:rsidRPr="00C25B9B">
        <w:t xml:space="preserve"> almost universal support for making data more available, including from</w:t>
      </w:r>
      <w:r>
        <w:t xml:space="preserve"> the Governments of</w:t>
      </w:r>
      <w:r w:rsidRPr="00C25B9B">
        <w:t xml:space="preserve"> </w:t>
      </w:r>
      <w:r>
        <w:t>New South Wales (sub. DR109), Victoria (sub. DR87), the ACT (sub. DR81) and the Northern Territory (trans., p. 383). For example, the WA Government (sub. DR83, p. 39) noted:</w:t>
      </w:r>
    </w:p>
    <w:p w14:paraId="7954A52E" w14:textId="77777777" w:rsidR="00F05DC7" w:rsidRDefault="00F05DC7" w:rsidP="00A3786D">
      <w:pPr>
        <w:pStyle w:val="Quote"/>
      </w:pPr>
      <w:r>
        <w:t>We agree that the CGC needs to make available State</w:t>
      </w:r>
      <w:r>
        <w:noBreakHyphen/>
        <w:t>provided data, and calculations on these data … This should apply to all data, including from Commonwealth sources. Where it is not practicable to supply data, and the CGC cannot avoid the problem by using alternative methods, the CGC needs to undertake greater quality assurance.</w:t>
      </w:r>
    </w:p>
    <w:p w14:paraId="7954A52F" w14:textId="77777777" w:rsidR="00F05DC7" w:rsidRDefault="00F05DC7" w:rsidP="00A3786D">
      <w:pPr>
        <w:pStyle w:val="BodyText"/>
        <w:spacing w:before="200"/>
      </w:pPr>
      <w:r>
        <w:t>Only one State raised concerns about confidentiality and the risk that publicly releasing data may increase misunderstanding around the HFE system. The Tasmanian Government (sub. DR74, p. 36) commented that:</w:t>
      </w:r>
    </w:p>
    <w:p w14:paraId="7954A530" w14:textId="77777777" w:rsidR="00F05DC7" w:rsidRDefault="00F05DC7" w:rsidP="00A3786D">
      <w:pPr>
        <w:pStyle w:val="Quote"/>
      </w:pPr>
      <w:r>
        <w:t xml:space="preserve">While in principle Tasmania supports greater public access and transparency to the CGC’s data and calculation methods, because of its complexity it also presents a risk of increasing the misunderstanding of how HFE works. Any increase in the availability of data should be considered carefully and accompanied with detailed explanation and guidance notes to users to mitigate the incorrect use and interpretation of the information. </w:t>
      </w:r>
    </w:p>
    <w:p w14:paraId="7954A531" w14:textId="096D5E98" w:rsidR="00F05DC7" w:rsidRDefault="00F05DC7" w:rsidP="00A3786D">
      <w:pPr>
        <w:pStyle w:val="BodyText"/>
      </w:pPr>
      <w:r>
        <w:t xml:space="preserve">The data collected by the CGC have the potential to be extremely powerful. The CGC brings together data in a wide range of areas, including expenditure areas such as health, education, housing and infrastructure, information on taxation and demographic characteristics. Further, the data are collected across all States and updated on a yearly basis. As noted in the Productivity Commission’s </w:t>
      </w:r>
      <w:r w:rsidRPr="0009666D">
        <w:rPr>
          <w:i/>
        </w:rPr>
        <w:t>Data Availability and Use</w:t>
      </w:r>
      <w:r>
        <w:t xml:space="preserve"> </w:t>
      </w:r>
      <w:r w:rsidR="009D6331" w:rsidRPr="009D6331">
        <w:rPr>
          <w:szCs w:val="24"/>
        </w:rPr>
        <w:t>(PC 2017b, p. 24)</w:t>
      </w:r>
      <w:r>
        <w:t xml:space="preserve"> inquiry:</w:t>
      </w:r>
    </w:p>
    <w:p w14:paraId="7954A532" w14:textId="77777777" w:rsidR="00F05DC7" w:rsidRDefault="00F05DC7" w:rsidP="00A3786D">
      <w:pPr>
        <w:pStyle w:val="Quote"/>
      </w:pPr>
      <w:r>
        <w:t>…</w:t>
      </w:r>
      <w:r w:rsidRPr="00E84953">
        <w:t xml:space="preserve"> significant improvements could come from aggregating data across the States and Territories in health, education, social welfare, child support, aged care, and better linking them with elements of datasets from other fields — the population census, taxation, employment, business ownership, telecommunications, private health insurance or housing.</w:t>
      </w:r>
      <w:r>
        <w:t xml:space="preserve"> </w:t>
      </w:r>
    </w:p>
    <w:p w14:paraId="7954A533" w14:textId="77777777" w:rsidR="00F05DC7" w:rsidRDefault="00F05DC7" w:rsidP="00A3786D">
      <w:pPr>
        <w:pStyle w:val="BodyText"/>
      </w:pPr>
      <w:r w:rsidRPr="00437A5F">
        <w:t xml:space="preserve">As such, </w:t>
      </w:r>
      <w:r>
        <w:t>there is a strong national interest case — beyond that pertaining solely to the HFE system — for releasing the States’ HFE data. Drawing on these data</w:t>
      </w:r>
      <w:r w:rsidRPr="0010078F">
        <w:t xml:space="preserve"> has the capacity to improv</w:t>
      </w:r>
      <w:r>
        <w:t>e</w:t>
      </w:r>
      <w:r w:rsidRPr="0010078F">
        <w:t xml:space="preserve"> government decision making</w:t>
      </w:r>
      <w:r>
        <w:t xml:space="preserve"> across a wide range of sectors</w:t>
      </w:r>
      <w:r w:rsidRPr="0010078F">
        <w:t xml:space="preserve"> and improv</w:t>
      </w:r>
      <w:r>
        <w:t>e</w:t>
      </w:r>
      <w:r w:rsidRPr="0010078F">
        <w:t xml:space="preserve"> the </w:t>
      </w:r>
      <w:r w:rsidRPr="005D02DA">
        <w:lastRenderedPageBreak/>
        <w:t xml:space="preserve">efficiency and productivity </w:t>
      </w:r>
      <w:r>
        <w:t xml:space="preserve">of </w:t>
      </w:r>
      <w:r w:rsidRPr="00E8394F">
        <w:t>t</w:t>
      </w:r>
      <w:r w:rsidRPr="005D02DA">
        <w:t>he provision of services.</w:t>
      </w:r>
      <w:r w:rsidRPr="00437A5F">
        <w:t xml:space="preserve"> </w:t>
      </w:r>
      <w:r>
        <w:t>In addition, the CGC should make public its calculations on these data, such as adjustments to State tax bases.</w:t>
      </w:r>
    </w:p>
    <w:p w14:paraId="7954A534" w14:textId="77777777" w:rsidR="00F05DC7" w:rsidRDefault="00F05DC7" w:rsidP="00A3786D">
      <w:pPr>
        <w:pStyle w:val="BodyText"/>
      </w:pPr>
      <w:r>
        <w:t>Any potential concerns associated with the public release of the data should be considered in the context of the likely broader community</w:t>
      </w:r>
      <w:r>
        <w:noBreakHyphen/>
        <w:t xml:space="preserve">wide benefits. That said, the CGC should </w:t>
      </w:r>
      <w:r w:rsidRPr="0010078F">
        <w:t xml:space="preserve">assess </w:t>
      </w:r>
      <w:r>
        <w:t xml:space="preserve">where there may be </w:t>
      </w:r>
      <w:r w:rsidRPr="0010078F">
        <w:t>risks associated with making th</w:t>
      </w:r>
      <w:r>
        <w:t>e</w:t>
      </w:r>
      <w:r w:rsidRPr="0010078F">
        <w:t xml:space="preserve"> data publicly available</w:t>
      </w:r>
      <w:r>
        <w:t xml:space="preserve"> — for example, if there were concerns with privacy or commercial confidentiality. Risks should not be downplayed where they occur, but in most cases risks are able to be managed with the right policies and processes. Thus, the CGC should,</w:t>
      </w:r>
      <w:r w:rsidRPr="0010078F">
        <w:t xml:space="preserve"> as far as possible, take steps to mitigate</w:t>
      </w:r>
      <w:r>
        <w:t xml:space="preserve"> any</w:t>
      </w:r>
      <w:r w:rsidRPr="0010078F">
        <w:t xml:space="preserve"> risks where they </w:t>
      </w:r>
      <w:r>
        <w:t>exist</w:t>
      </w:r>
      <w:r w:rsidRPr="0010078F">
        <w:t xml:space="preserve">. </w:t>
      </w:r>
    </w:p>
    <w:p w14:paraId="7954A535" w14:textId="77777777" w:rsidR="00F05DC7" w:rsidRDefault="00F05DC7" w:rsidP="00A3786D">
      <w:pPr>
        <w:pStyle w:val="BodyText"/>
      </w:pPr>
      <w:r>
        <w:t>W</w:t>
      </w:r>
      <w:r w:rsidRPr="009A7058">
        <w:t>here there is</w:t>
      </w:r>
      <w:r>
        <w:t xml:space="preserve"> potential for there to be</w:t>
      </w:r>
      <w:r w:rsidRPr="009A7058">
        <w:t xml:space="preserve"> misinterpretation</w:t>
      </w:r>
      <w:r>
        <w:t xml:space="preserve"> of the data</w:t>
      </w:r>
      <w:r w:rsidRPr="009A7058">
        <w:t xml:space="preserve">, there would be nothing to stop </w:t>
      </w:r>
      <w:r>
        <w:t xml:space="preserve">the </w:t>
      </w:r>
      <w:r w:rsidRPr="009A7058">
        <w:t>States</w:t>
      </w:r>
      <w:r>
        <w:t xml:space="preserve"> (and the CGC)</w:t>
      </w:r>
      <w:r w:rsidRPr="009A7058">
        <w:t xml:space="preserve"> from publicly providing clarification</w:t>
      </w:r>
      <w:r>
        <w:t xml:space="preserve">. Indeed, this could help to increase accountability for expenditure decisions, particularly where there is a significant mismatch between actual spending and assessed spending needs. </w:t>
      </w:r>
    </w:p>
    <w:p w14:paraId="7954A536" w14:textId="77777777" w:rsidR="00F05DC7" w:rsidRPr="004E3B94" w:rsidRDefault="00F05DC7" w:rsidP="008C54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A538"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A537" w14:textId="47B3651B" w:rsidR="00F05DC7" w:rsidRPr="00CE4C64" w:rsidRDefault="00F05DC7" w:rsidP="00A3786D">
            <w:pPr>
              <w:pStyle w:val="RecTitle"/>
              <w:spacing w:before="120"/>
              <w:rPr>
                <w:noProof/>
              </w:rPr>
            </w:pPr>
            <w:r>
              <w:t>Recommendation 6.6</w:t>
            </w:r>
            <w:r w:rsidRPr="00CE4C64">
              <w:rPr>
                <w:noProof/>
              </w:rPr>
              <w:t xml:space="preserve"> </w:t>
            </w:r>
          </w:p>
        </w:tc>
      </w:tr>
      <w:tr w:rsidR="00F05DC7" w:rsidRPr="00750BE2" w14:paraId="7954A53A" w14:textId="77777777" w:rsidTr="00A3786D">
        <w:tc>
          <w:tcPr>
            <w:tcW w:w="5000" w:type="pct"/>
            <w:tcBorders>
              <w:top w:val="nil"/>
              <w:left w:val="nil"/>
              <w:bottom w:val="nil"/>
              <w:right w:val="nil"/>
            </w:tcBorders>
            <w:shd w:val="clear" w:color="auto" w:fill="E5F1D0"/>
            <w:tcMar>
              <w:left w:w="170" w:type="dxa"/>
              <w:right w:w="170" w:type="dxa"/>
            </w:tcMar>
          </w:tcPr>
          <w:p w14:paraId="7954A539" w14:textId="77777777" w:rsidR="00F05DC7" w:rsidRDefault="00F05DC7" w:rsidP="00A3786D">
            <w:pPr>
              <w:pStyle w:val="Rec"/>
              <w:keepNext/>
            </w:pPr>
            <w:r>
              <w:t>The CGC should immediately and systematically make the data provided by the States publicly available on its website, along with the CGC’s calculations on these data.</w:t>
            </w:r>
          </w:p>
        </w:tc>
      </w:tr>
      <w:tr w:rsidR="00F05DC7" w14:paraId="7954A53C"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A53B" w14:textId="77777777" w:rsidR="00F05DC7" w:rsidRDefault="00F05DC7" w:rsidP="00A3786D">
            <w:pPr>
              <w:pStyle w:val="Space"/>
              <w:keepLines/>
            </w:pPr>
          </w:p>
        </w:tc>
      </w:tr>
      <w:tr w:rsidR="00F05DC7" w:rsidRPr="000863A5" w14:paraId="7954A53E" w14:textId="77777777" w:rsidTr="00A3786D">
        <w:tc>
          <w:tcPr>
            <w:tcW w:w="5000" w:type="pct"/>
            <w:tcBorders>
              <w:top w:val="single" w:sz="6" w:space="0" w:color="78A22F"/>
              <w:left w:val="nil"/>
              <w:bottom w:val="nil"/>
              <w:right w:val="nil"/>
            </w:tcBorders>
            <w:tcMar>
              <w:left w:w="170" w:type="dxa"/>
              <w:right w:w="170" w:type="dxa"/>
            </w:tcMar>
          </w:tcPr>
          <w:p w14:paraId="7954A53D" w14:textId="77777777" w:rsidR="00F05DC7" w:rsidRPr="00626D32" w:rsidRDefault="00F05DC7" w:rsidP="00A3786D">
            <w:pPr>
              <w:pStyle w:val="BoxSpaceBelow"/>
              <w:keepLines/>
              <w:spacing w:before="0" w:after="0"/>
            </w:pPr>
          </w:p>
        </w:tc>
      </w:tr>
    </w:tbl>
    <w:p w14:paraId="7954A53F" w14:textId="77777777" w:rsidR="00F05DC7" w:rsidRPr="0058131D" w:rsidRDefault="00F05DC7" w:rsidP="00A3786D">
      <w:pPr>
        <w:pStyle w:val="BodyText"/>
        <w:spacing w:before="0" w:line="0" w:lineRule="atLeast"/>
        <w:rPr>
          <w:sz w:val="16"/>
          <w:szCs w:val="16"/>
        </w:rPr>
      </w:pPr>
    </w:p>
    <w:p w14:paraId="7954A540" w14:textId="77777777" w:rsidR="00F05DC7" w:rsidRDefault="00F05DC7" w:rsidP="00F05DC7">
      <w:pPr>
        <w:sectPr w:rsidR="00F05DC7" w:rsidSect="00F05DC7">
          <w:headerReference w:type="even" r:id="rId126"/>
          <w:headerReference w:type="default" r:id="rId127"/>
          <w:footerReference w:type="even" r:id="rId128"/>
          <w:footerReference w:type="default" r:id="rId129"/>
          <w:type w:val="oddPage"/>
          <w:pgSz w:w="11907" w:h="16840" w:code="9"/>
          <w:pgMar w:top="1985" w:right="1304" w:bottom="1247" w:left="1814" w:header="1701" w:footer="397" w:gutter="0"/>
          <w:pgNumType w:chapSep="period"/>
          <w:cols w:space="720"/>
          <w:docGrid w:linePitch="326"/>
        </w:sectPr>
      </w:pPr>
    </w:p>
    <w:p w14:paraId="7954A541" w14:textId="77777777" w:rsidR="00F05DC7" w:rsidRDefault="00F05DC7" w:rsidP="009A7248">
      <w:pPr>
        <w:pStyle w:val="Heading1"/>
        <w:spacing w:after="960"/>
      </w:pPr>
      <w:bookmarkStart w:id="98" w:name="_Toc513637726"/>
      <w:r>
        <w:lastRenderedPageBreak/>
        <w:t>7</w:t>
      </w:r>
      <w:r>
        <w:tab/>
        <w:t>Are there better ways to assess fiscal capacity?</w:t>
      </w:r>
      <w:bookmarkEnd w:id="98"/>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05DC7" w14:paraId="7954A544" w14:textId="77777777" w:rsidTr="001113B1">
        <w:trPr>
          <w:tblHeader/>
        </w:trPr>
        <w:tc>
          <w:tcPr>
            <w:tcW w:w="5000" w:type="pct"/>
            <w:tcBorders>
              <w:top w:val="single" w:sz="6" w:space="0" w:color="78A22F"/>
              <w:left w:val="nil"/>
              <w:bottom w:val="nil"/>
              <w:right w:val="nil"/>
            </w:tcBorders>
            <w:shd w:val="clear" w:color="auto" w:fill="F2F2F2"/>
          </w:tcPr>
          <w:p w14:paraId="7954A543" w14:textId="77777777" w:rsidR="00F05DC7" w:rsidRDefault="00F05DC7" w:rsidP="00A3786D">
            <w:pPr>
              <w:pStyle w:val="BoxTitle"/>
            </w:pPr>
            <w:r>
              <w:t>Key points</w:t>
            </w:r>
          </w:p>
        </w:tc>
      </w:tr>
      <w:tr w:rsidR="00F05DC7" w14:paraId="7954A551" w14:textId="77777777" w:rsidTr="00A3786D">
        <w:trPr>
          <w:trHeight w:val="7900"/>
        </w:trPr>
        <w:tc>
          <w:tcPr>
            <w:tcW w:w="5000" w:type="pct"/>
            <w:tcBorders>
              <w:top w:val="nil"/>
              <w:left w:val="nil"/>
              <w:bottom w:val="nil"/>
              <w:right w:val="nil"/>
            </w:tcBorders>
            <w:shd w:val="clear" w:color="auto" w:fill="F2F2F2"/>
          </w:tcPr>
          <w:p w14:paraId="7954A545" w14:textId="77777777" w:rsidR="00F05DC7" w:rsidRPr="00CB79DD" w:rsidRDefault="00F05DC7" w:rsidP="00A3786D">
            <w:pPr>
              <w:pStyle w:val="KeyPointsListBullet"/>
              <w:spacing w:before="60" w:line="250" w:lineRule="atLeast"/>
            </w:pPr>
            <w:r w:rsidRPr="00CB79DD">
              <w:t xml:space="preserve">The HFE methodology could be improved to help address some of the problems with Australia’s HFE system, in conjunction with </w:t>
            </w:r>
            <w:r>
              <w:t xml:space="preserve">the </w:t>
            </w:r>
            <w:r w:rsidRPr="00CB79DD">
              <w:t>changes to the HFE objective and governance proposed in chapter 6.</w:t>
            </w:r>
          </w:p>
          <w:p w14:paraId="7954A546" w14:textId="77777777" w:rsidR="00F05DC7" w:rsidRPr="00CB79DD" w:rsidRDefault="00F05DC7" w:rsidP="00A3786D">
            <w:pPr>
              <w:pStyle w:val="KeyPointsListBullet"/>
              <w:spacing w:line="250" w:lineRule="atLeast"/>
            </w:pPr>
            <w:r w:rsidRPr="00CB79DD">
              <w:t>Introducing more policy</w:t>
            </w:r>
            <w:r>
              <w:t>-</w:t>
            </w:r>
            <w:r w:rsidRPr="00CB79DD">
              <w:t xml:space="preserve">neutral indicators (of fiscal capacity) and higher materiality thresholds for what is incorporated into the equalisation process would partially mitigate some of the HFE system’s problems, and complement any reform to the equalisation benchmark. </w:t>
            </w:r>
          </w:p>
          <w:p w14:paraId="7954A547" w14:textId="77777777" w:rsidR="00F05DC7" w:rsidRPr="00CB79DD" w:rsidRDefault="00F05DC7" w:rsidP="00A3786D">
            <w:pPr>
              <w:pStyle w:val="KeyPointsListBullet2"/>
              <w:spacing w:line="250" w:lineRule="atLeast"/>
            </w:pPr>
            <w:r w:rsidRPr="00CB79DD">
              <w:t>The CGC should be</w:t>
            </w:r>
            <w:r w:rsidRPr="00CB79DD" w:rsidDel="00F76A06">
              <w:t xml:space="preserve"> </w:t>
            </w:r>
            <w:r w:rsidRPr="00CB79DD">
              <w:t>directed to develop simpler and more policy</w:t>
            </w:r>
            <w:r w:rsidRPr="00CB79DD">
              <w:noBreakHyphen/>
              <w:t>neutral indicators for its 2020 methodology review (such as by aggregating taxes with similar bases) as a way to better balance equity and efficiency</w:t>
            </w:r>
            <w:r w:rsidRPr="00CB79DD" w:rsidDel="00BA3B02">
              <w:t>.</w:t>
            </w:r>
            <w:r w:rsidRPr="00CB79DD">
              <w:t xml:space="preserve"> This would be supported by a significant (and overdue) increase in materiality thresholds.</w:t>
            </w:r>
          </w:p>
          <w:p w14:paraId="7954A548" w14:textId="77777777" w:rsidR="00F05DC7" w:rsidRPr="00CB79DD" w:rsidRDefault="00F05DC7" w:rsidP="00A3786D">
            <w:pPr>
              <w:pStyle w:val="KeyPointsListBullet"/>
              <w:spacing w:before="80" w:line="250" w:lineRule="atLeast"/>
            </w:pPr>
            <w:r w:rsidRPr="00CB79DD">
              <w:t>Some other in</w:t>
            </w:r>
            <w:r>
              <w:noBreakHyphen/>
            </w:r>
            <w:r w:rsidRPr="00CB79DD">
              <w:t>system changes offer prospective benefits, but on balance are not practicable.</w:t>
            </w:r>
          </w:p>
          <w:p w14:paraId="7954A549" w14:textId="77777777" w:rsidR="00F05DC7" w:rsidRPr="00CB79DD" w:rsidRDefault="00F05DC7" w:rsidP="00A3786D">
            <w:pPr>
              <w:pStyle w:val="KeyPointsListBullet2"/>
              <w:spacing w:line="250" w:lineRule="atLeast"/>
            </w:pPr>
            <w:r w:rsidRPr="00CB79DD">
              <w:t xml:space="preserve">Benchmark costs — set to reflect efficient costs of service delivery (what </w:t>
            </w:r>
            <w:r>
              <w:t>S</w:t>
            </w:r>
            <w:r w:rsidRPr="00CB79DD">
              <w:t>tates ‘should do’) — would encourage greater efficiency, but face daunting practical difficulties and much scope for dispute.</w:t>
            </w:r>
          </w:p>
          <w:p w14:paraId="7954A54A" w14:textId="77777777" w:rsidR="00F05DC7" w:rsidRPr="00CB79DD" w:rsidRDefault="00F05DC7" w:rsidP="00A3786D">
            <w:pPr>
              <w:pStyle w:val="KeyPointsListBullet2"/>
              <w:spacing w:line="250" w:lineRule="atLeast"/>
            </w:pPr>
            <w:r w:rsidRPr="00CB79DD">
              <w:t>Using a single broad indicator (such as gross state product) to assess fiscal capacity offers the prospect of a radically simpler and genuinely policy neutral approach. But most indicators do not adequately reflect States’ revenue</w:t>
            </w:r>
            <w:r w:rsidRPr="00CB79DD">
              <w:noBreakHyphen/>
              <w:t xml:space="preserve">raising capacities or expenditure needs and therefore pose a significant risk to </w:t>
            </w:r>
            <w:r>
              <w:t xml:space="preserve">fiscal </w:t>
            </w:r>
            <w:r w:rsidRPr="00CB79DD">
              <w:t>equity.</w:t>
            </w:r>
          </w:p>
          <w:p w14:paraId="7954A54B" w14:textId="77777777" w:rsidR="00F05DC7" w:rsidRPr="00CB79DD" w:rsidRDefault="00F05DC7" w:rsidP="00A3786D">
            <w:pPr>
              <w:pStyle w:val="KeyPointsListBullet2"/>
              <w:spacing w:line="250" w:lineRule="atLeast"/>
            </w:pPr>
            <w:r w:rsidRPr="00CB79DD">
              <w:t>Elasticity adjustments may help to mitigate the impact of policy</w:t>
            </w:r>
            <w:r w:rsidRPr="00CB79DD">
              <w:noBreakHyphen/>
              <w:t>induced changes to tax bases on the GST distribution (albeit only those arising from tax rate changes), but would be difficult to implement, subject to dispute, and only possible to apply on an ad hoc basis.</w:t>
            </w:r>
          </w:p>
          <w:p w14:paraId="7954A54C" w14:textId="77777777" w:rsidR="00F05DC7" w:rsidRPr="00CB79DD" w:rsidRDefault="00F05DC7" w:rsidP="00A3786D">
            <w:pPr>
              <w:pStyle w:val="KeyPointsListBullet"/>
              <w:spacing w:before="80" w:line="250" w:lineRule="atLeast"/>
            </w:pPr>
            <w:r w:rsidRPr="00CB79DD">
              <w:t xml:space="preserve">Blunter approaches to assess fiscal capacity, such as discounting entire revenue categories (for instance, mining), would come at too high a cost to </w:t>
            </w:r>
            <w:r>
              <w:t xml:space="preserve">fiscal </w:t>
            </w:r>
            <w:r w:rsidRPr="00CB79DD">
              <w:t>equity.</w:t>
            </w:r>
          </w:p>
          <w:p w14:paraId="7954A54D" w14:textId="77777777" w:rsidR="00F05DC7" w:rsidRPr="00CB79DD" w:rsidRDefault="00F05DC7" w:rsidP="00A3786D">
            <w:pPr>
              <w:pStyle w:val="KeyPointsListBullet"/>
              <w:spacing w:before="80" w:line="250" w:lineRule="atLeast"/>
            </w:pPr>
            <w:r w:rsidRPr="00CB79DD">
              <w:t>Another way to help address policy non</w:t>
            </w:r>
            <w:r>
              <w:noBreakHyphen/>
            </w:r>
            <w:r w:rsidRPr="00CB79DD">
              <w:t>neutrality problems, especially in regard to the mining assessment, would be to apply discounts relating to future tax rate changes. This has recently been proposed by the CGC.</w:t>
            </w:r>
          </w:p>
          <w:p w14:paraId="7954A54E" w14:textId="77777777" w:rsidR="00F05DC7" w:rsidRDefault="00F05DC7" w:rsidP="00A3786D">
            <w:pPr>
              <w:pStyle w:val="KeyPointsListBullet2"/>
              <w:spacing w:line="250" w:lineRule="atLeast"/>
            </w:pPr>
            <w:r w:rsidRPr="00CB79DD">
              <w:t>However, this departure from full equalisation represents a limited and poorly targeted way to reduce disincentives to reform. It would only address policy influence on average mineral tax rates, and only for Western Australia for the foreseeable future. Moreover, it is not well suited to addressing policy influence over tax bases or other non</w:t>
            </w:r>
            <w:r>
              <w:noBreakHyphen/>
            </w:r>
            <w:r w:rsidRPr="00CB79DD">
              <w:t>mining tax rates.</w:t>
            </w:r>
          </w:p>
          <w:p w14:paraId="7954A54F" w14:textId="77777777" w:rsidR="00F05DC7" w:rsidRPr="00CB79DD" w:rsidRDefault="00F05DC7" w:rsidP="00A3786D">
            <w:pPr>
              <w:pStyle w:val="KeyPointsListBullet2"/>
              <w:spacing w:line="250" w:lineRule="atLeast"/>
            </w:pPr>
            <w:r w:rsidRPr="003777FC">
              <w:t>There are no obvious approaches (including use of policy</w:t>
            </w:r>
            <w:r>
              <w:t>-</w:t>
            </w:r>
            <w:r w:rsidRPr="003777FC">
              <w:t>neutral indicators) that would mitigate the policy non</w:t>
            </w:r>
            <w:r>
              <w:noBreakHyphen/>
            </w:r>
            <w:r w:rsidRPr="003777FC">
              <w:t xml:space="preserve">neutrality problems that beset the mining assessment </w:t>
            </w:r>
            <w:r>
              <w:t>—</w:t>
            </w:r>
            <w:r w:rsidRPr="003777FC">
              <w:t xml:space="preserve"> the biggest driver of redistribution within HFE for the foreseeable future.</w:t>
            </w:r>
          </w:p>
          <w:p w14:paraId="7954A550" w14:textId="77777777" w:rsidR="00F05DC7" w:rsidRPr="00CB79DD" w:rsidRDefault="00F05DC7" w:rsidP="00A3786D">
            <w:pPr>
              <w:pStyle w:val="KeyPointsListBullet"/>
              <w:spacing w:before="80" w:line="250" w:lineRule="atLeast"/>
              <w:rPr>
                <w:rFonts w:ascii="Times New Roman" w:hAnsi="Times New Roman"/>
                <w:sz w:val="24"/>
                <w:szCs w:val="24"/>
                <w:lang w:eastAsia="en-AU"/>
              </w:rPr>
            </w:pPr>
            <w:r w:rsidRPr="00CB79DD">
              <w:t xml:space="preserve">Some of the disincentive effects within HFE — namely, those arising from the equalisation of tax bases — are inherent to equalisation itself and cannot be removed completely by way of methodological adjustments. The only way to address such disincentives would be to </w:t>
            </w:r>
            <w:r>
              <w:t xml:space="preserve">reduce the extent of </w:t>
            </w:r>
            <w:r w:rsidRPr="00CB79DD">
              <w:t xml:space="preserve">equalisation (such that changes in </w:t>
            </w:r>
            <w:r>
              <w:t xml:space="preserve">States’ </w:t>
            </w:r>
            <w:r w:rsidRPr="00CB79DD">
              <w:t>tax bases do not impact their GST payments).</w:t>
            </w:r>
          </w:p>
        </w:tc>
      </w:tr>
      <w:tr w:rsidR="00F05DC7" w14:paraId="7954A553" w14:textId="77777777" w:rsidTr="00A3786D">
        <w:tc>
          <w:tcPr>
            <w:tcW w:w="5000" w:type="pct"/>
            <w:tcBorders>
              <w:top w:val="nil"/>
              <w:left w:val="nil"/>
              <w:bottom w:val="single" w:sz="6" w:space="0" w:color="78A22F"/>
              <w:right w:val="nil"/>
            </w:tcBorders>
            <w:shd w:val="clear" w:color="auto" w:fill="F2F2F2"/>
          </w:tcPr>
          <w:p w14:paraId="7954A552" w14:textId="77777777" w:rsidR="00F05DC7" w:rsidRDefault="00F05DC7" w:rsidP="009A7248">
            <w:pPr>
              <w:pStyle w:val="Box"/>
              <w:keepNext w:val="0"/>
              <w:spacing w:before="0" w:line="120" w:lineRule="exact"/>
            </w:pPr>
          </w:p>
        </w:tc>
      </w:tr>
    </w:tbl>
    <w:p w14:paraId="7954A556" w14:textId="77777777" w:rsidR="00F05DC7" w:rsidRDefault="00F05DC7" w:rsidP="00A3786D">
      <w:pPr>
        <w:pStyle w:val="BodyText"/>
      </w:pPr>
      <w:r>
        <w:lastRenderedPageBreak/>
        <w:t>The Commission’s terms of reference ask that it consider the present HFE formula used by the CGC. While this inquiry does not intend to replicate the work currently being conducted by the CGC as part of its 2020 methodology review, many inquiry participants raised issues with the present HFE formula. In particular, there are some aspects of the formula that carry significant implications for policy neutrality and States’ reform incentives, especially in regard to the mining assessment.</w:t>
      </w:r>
    </w:p>
    <w:p w14:paraId="7954A557" w14:textId="77777777" w:rsidR="00F05DC7" w:rsidRDefault="00F05DC7" w:rsidP="00A3786D">
      <w:pPr>
        <w:pStyle w:val="BodyText"/>
      </w:pPr>
      <w:r>
        <w:t>This chapter considers several ways that the methodology used to assess State revenues and expenditures could be improved to alleviate the problems discussed in earlier chapters (relating to equity, efficiency, transparency and accountability). Five main types of changes are examined:</w:t>
      </w:r>
    </w:p>
    <w:p w14:paraId="7954A558" w14:textId="77777777" w:rsidR="00F05DC7" w:rsidRDefault="00F05DC7" w:rsidP="00A3786D">
      <w:pPr>
        <w:pStyle w:val="ListBullet"/>
      </w:pPr>
      <w:r>
        <w:t>the use of benchmark costs in the expenditure assessments (section 7.1)</w:t>
      </w:r>
    </w:p>
    <w:p w14:paraId="7954A559" w14:textId="77777777" w:rsidR="00F05DC7" w:rsidRDefault="00F05DC7" w:rsidP="00A3786D">
      <w:pPr>
        <w:pStyle w:val="ListBullet"/>
      </w:pPr>
      <w:r>
        <w:t>the use of a single broad indicator to estimate State fiscal capacities (section 7.2)</w:t>
      </w:r>
    </w:p>
    <w:p w14:paraId="7954A55A" w14:textId="77777777" w:rsidR="00F05DC7" w:rsidRDefault="00F05DC7" w:rsidP="00A3786D">
      <w:pPr>
        <w:pStyle w:val="ListBullet"/>
      </w:pPr>
      <w:r>
        <w:t>streamlining the assessment of individual revenue and expenditure categories, including through the use of simpler and more policy</w:t>
      </w:r>
      <w:r>
        <w:noBreakHyphen/>
        <w:t>neutral indicators and by raising materiality thresholds (section 7.3)</w:t>
      </w:r>
    </w:p>
    <w:p w14:paraId="7954A55B" w14:textId="77777777" w:rsidR="00F05DC7" w:rsidRDefault="00F05DC7" w:rsidP="00A3786D">
      <w:pPr>
        <w:pStyle w:val="ListBullet"/>
      </w:pPr>
      <w:r>
        <w:t>discounting entire revenue categories (section 7.4)</w:t>
      </w:r>
    </w:p>
    <w:p w14:paraId="7954A55C" w14:textId="77777777" w:rsidR="00F05DC7" w:rsidRDefault="00F05DC7" w:rsidP="00A3786D">
      <w:pPr>
        <w:pStyle w:val="ListBullet"/>
      </w:pPr>
      <w:r>
        <w:t>targeted interventions to address specific cases of policy non</w:t>
      </w:r>
      <w:r>
        <w:noBreakHyphen/>
        <w:t>neutrality arising from future policy changes (section 7.5).</w:t>
      </w:r>
    </w:p>
    <w:p w14:paraId="7954A55D" w14:textId="77777777" w:rsidR="00F05DC7" w:rsidRDefault="00F05DC7" w:rsidP="00A3786D">
      <w:pPr>
        <w:pStyle w:val="BodyText"/>
      </w:pPr>
      <w:r>
        <w:t>In the main, these are substantive changes to the methodology used for revenue and expenditure assessment which would result in a departure from full equalisation. They would need to sit alongside the changes to the HFE objective and governance proposed in chapter 6.</w:t>
      </w:r>
    </w:p>
    <w:p w14:paraId="7954A55E" w14:textId="77777777" w:rsidR="00F05DC7" w:rsidRDefault="00F05DC7" w:rsidP="00A3786D">
      <w:pPr>
        <w:pStyle w:val="BodyText"/>
      </w:pPr>
      <w:r>
        <w:t>This chapter does not evaluate the use of specific data sources and adjustments within the current HFE formula, although some have been raised as part of this inquiry — for example, in relation to measuring Indigeneity (chapter 9). As noted in chapter 1, it is expected that the CGC can take account of these types of data issues in the course of its methodology reviews.</w:t>
      </w:r>
      <w:r w:rsidRPr="006D21F2">
        <w:t xml:space="preserve"> </w:t>
      </w:r>
    </w:p>
    <w:p w14:paraId="7954A55F" w14:textId="14FDCD49" w:rsidR="00F05DC7" w:rsidRDefault="00F05DC7" w:rsidP="00A3786D">
      <w:pPr>
        <w:pStyle w:val="Heading2"/>
      </w:pPr>
      <w:bookmarkStart w:id="99" w:name="_Toc513637727"/>
      <w:r>
        <w:t>7.</w:t>
      </w:r>
      <w:r>
        <w:rPr>
          <w:noProof/>
        </w:rPr>
        <w:t>1</w:t>
      </w:r>
      <w:r>
        <w:tab/>
        <w:t>Applying benchmark costs</w:t>
      </w:r>
      <w:bookmarkEnd w:id="99"/>
    </w:p>
    <w:p w14:paraId="7954A560" w14:textId="77777777" w:rsidR="00F05DC7" w:rsidRDefault="00F05DC7" w:rsidP="00A3786D">
      <w:pPr>
        <w:pStyle w:val="BodyText"/>
      </w:pPr>
      <w:r>
        <w:t xml:space="preserve">In the current HFE system, expenditure equalisation is based on national averages of the cost and use of providing State services (chapter 3). In this sense, each expenditure assessment is being equalised to an internally determined standard. A key issue with this approach is that, at least in principle, it could provide States with an incentive to influence their GST shares (by changing their patterns of service delivery and/or addressing structural disadvantage). This would reduce the efficiency of the HFE system. </w:t>
      </w:r>
    </w:p>
    <w:p w14:paraId="7954A561" w14:textId="77777777" w:rsidR="00F05DC7" w:rsidRDefault="00F05DC7" w:rsidP="00A3786D">
      <w:pPr>
        <w:pStyle w:val="BodyText"/>
      </w:pPr>
      <w:r>
        <w:t xml:space="preserve">An alternative approach is to use benchmark costs, which are externally determined estimates of the cost of providing a particular service. Benchmark costs are already used in other areas of policy, notably hospital funding, where hospitals are paid for undertaking medical procedures based on an estimate of the efficient cost (known as casemix funding). </w:t>
      </w:r>
      <w:r>
        <w:lastRenderedPageBreak/>
        <w:t>Indeed, benchmark costs are already reflected in some of the CGC’s assessments (for example, as part of the assessment of hospital costs (WA Government, sub. DR108, p. 8)), but this is the exception rather than the rule.</w:t>
      </w:r>
    </w:p>
    <w:p w14:paraId="7954A562" w14:textId="77777777" w:rsidR="00F05DC7" w:rsidRDefault="00F05DC7" w:rsidP="00A3786D">
      <w:pPr>
        <w:pStyle w:val="BodyText"/>
      </w:pPr>
      <w:r>
        <w:t>In principle, there may be scope to use benchmark costs across the board for expenditure assessments. This could be done alongside the current methodology for the revenue side (or by using a different approach to assess revenue, such as a single broad indicator, as discussed in section 7.2).</w:t>
      </w:r>
    </w:p>
    <w:p w14:paraId="7954A563" w14:textId="77777777" w:rsidR="00F05DC7" w:rsidRDefault="00F05DC7" w:rsidP="00A3786D">
      <w:pPr>
        <w:pStyle w:val="BodyText"/>
      </w:pPr>
      <w:r>
        <w:t>Although a benchmark costs approach would involve a significant departure from the current focus on ‘what States do’ — it would effectively be a move toward ‘what States should do’ — it could offer advantages in terms of efficiency and policy neutrality. Where the benchmark costs reflect the efficient cost of providing a service, and are not based on averages of service costs and use across States, this would remove any scope for States to directly influence their GST shares by changing their expenditure patterns. For example, the ACT Government (sub. DR81, pp. 37–38) argued that, in principle, externally defined cost benchmarks could encourage greater efficiency but also argued that applying benchmarks would require measures of service usage rates across jurisdictions.</w:t>
      </w:r>
    </w:p>
    <w:p w14:paraId="7954A564" w14:textId="77777777" w:rsidR="00F05DC7" w:rsidRDefault="00F05DC7" w:rsidP="00A3786D">
      <w:pPr>
        <w:pStyle w:val="BodyText"/>
      </w:pPr>
      <w:r>
        <w:t>In practice, using benchmark costs for all expenditure assessments would be very complex and involve a high degree of subjectivity. For instance, the introduction of a benchmark costs approach would require important decisions, such as:</w:t>
      </w:r>
    </w:p>
    <w:p w14:paraId="7954A565" w14:textId="77777777" w:rsidR="00F05DC7" w:rsidRDefault="00F05DC7" w:rsidP="00A3786D">
      <w:pPr>
        <w:pStyle w:val="ListBullet"/>
      </w:pPr>
      <w:r>
        <w:t>Who would be the decision maker on setting and updating the benchmarks?</w:t>
      </w:r>
    </w:p>
    <w:p w14:paraId="7954A566" w14:textId="77777777" w:rsidR="00F05DC7" w:rsidRDefault="00F05DC7" w:rsidP="00A3786D">
      <w:pPr>
        <w:pStyle w:val="ListBullet"/>
      </w:pPr>
      <w:r>
        <w:t>What processes and assumptions would be used to determine the efficient costs?</w:t>
      </w:r>
    </w:p>
    <w:p w14:paraId="7954A567" w14:textId="77777777" w:rsidR="00F05DC7" w:rsidRDefault="00F05DC7" w:rsidP="00A3786D">
      <w:pPr>
        <w:pStyle w:val="ListBullet"/>
      </w:pPr>
      <w:r>
        <w:t xml:space="preserve">How detailed or granular would the benchmarks be in terms of specific subcategories of State services and different population subgroups? </w:t>
      </w:r>
    </w:p>
    <w:p w14:paraId="7954A568" w14:textId="77777777" w:rsidR="00F05DC7" w:rsidRDefault="00F05DC7" w:rsidP="00A3786D">
      <w:pPr>
        <w:pStyle w:val="BodyText"/>
      </w:pPr>
      <w:r>
        <w:t>What seems clear from these questions is that a benchmark costs approach could easily become highly complex and subjective. These problems were emphasised by some inquiry participants, with several pointing to the subjectivity or inaccuracy inherent in making judgments about efficient benchmarks. For example, the Victorian Government (sub. 53, p. 17) stated that:</w:t>
      </w:r>
    </w:p>
    <w:p w14:paraId="7954A569" w14:textId="77777777" w:rsidR="00F05DC7" w:rsidRDefault="00F05DC7" w:rsidP="00A3786D">
      <w:pPr>
        <w:pStyle w:val="Quote"/>
      </w:pPr>
      <w:r>
        <w:t>Victoria is cautious of any proposal to introduce an externally</w:t>
      </w:r>
      <w:r>
        <w:noBreakHyphen/>
        <w:t>determined baseline, such as an ‘efficient price’ for government services. It is unclear how such an objective baseline could be reliably determined … There is also a risk that, where a flawed ‘efficient price’ is used, it could potentially undermine state governments’ obligations to their constituents to provide the desired level and quality of services.</w:t>
      </w:r>
    </w:p>
    <w:p w14:paraId="7954A56A" w14:textId="77777777" w:rsidR="00F05DC7" w:rsidRDefault="00F05DC7" w:rsidP="00A3786D">
      <w:pPr>
        <w:pStyle w:val="BodyText"/>
      </w:pPr>
      <w:r>
        <w:t>Along similar lines, the SA Government (sub. 25, p. 21) submitted that:</w:t>
      </w:r>
    </w:p>
    <w:p w14:paraId="7954A56B" w14:textId="77777777" w:rsidR="00F05DC7" w:rsidRDefault="00F05DC7" w:rsidP="00A3786D">
      <w:pPr>
        <w:pStyle w:val="Quote"/>
      </w:pPr>
      <w:r>
        <w:t>Adoption of an approach that uses the most efficient service provider as a benchmark would require the CGC to impose value judgements on jurisdictions, undermine states’ sovereignty and would be difficult to implement.</w:t>
      </w:r>
    </w:p>
    <w:p w14:paraId="3A7FE649" w14:textId="77777777" w:rsidR="00B25343" w:rsidRDefault="00B25343">
      <w:pPr>
        <w:rPr>
          <w:szCs w:val="20"/>
        </w:rPr>
      </w:pPr>
      <w:r>
        <w:br w:type="page"/>
      </w:r>
    </w:p>
    <w:p w14:paraId="7954A56D" w14:textId="7F53520E" w:rsidR="00F05DC7" w:rsidRDefault="00F05DC7" w:rsidP="00A3786D">
      <w:pPr>
        <w:pStyle w:val="BodyText"/>
      </w:pPr>
      <w:r>
        <w:lastRenderedPageBreak/>
        <w:t>And the WA Government (sub. DR83, p. 26) argued that:</w:t>
      </w:r>
    </w:p>
    <w:p w14:paraId="7954A56E" w14:textId="77777777" w:rsidR="00F05DC7" w:rsidRDefault="00F05DC7" w:rsidP="00A3786D">
      <w:pPr>
        <w:pStyle w:val="Quote"/>
      </w:pPr>
      <w:r>
        <w:t>… [a] cost benchmark for efficient service delivery would not address the expenditure/revenue assessment imbalance, and would worsen it unless major changes were made to the revenue assessments to make them more conservative. Moreover, cost benchmarks that were not also applied to socio</w:t>
      </w:r>
      <w:r>
        <w:noBreakHyphen/>
        <w:t>economic disadvantage would distort the expenditure assessments in favour of less policy neutral elements.</w:t>
      </w:r>
    </w:p>
    <w:p w14:paraId="7954A56F" w14:textId="2253EFBD" w:rsidR="00F05DC7" w:rsidRDefault="00F05DC7" w:rsidP="00A3786D">
      <w:pPr>
        <w:pStyle w:val="BodyText"/>
      </w:pPr>
      <w:r>
        <w:t xml:space="preserve">The introduction of casemix funding in Victoria’s hospital system provides some sense of the complexities involved with using benchmark costs. Although this reform has been widely regarded as a success, the classification, measurement and costing methodologies involved have been highly detailed and required a sustained and protracted effort to develop. The exercise was also beset by debates about definitions and how to make adjustments for different patient or hospital characteristics </w:t>
      </w:r>
      <w:r w:rsidRPr="006F34CF">
        <w:rPr>
          <w:szCs w:val="24"/>
        </w:rPr>
        <w:t>(Duckett 1995)</w:t>
      </w:r>
      <w:r>
        <w:t>. And this reform was confined — at least initially — to health, whereas a widespread introduction of benchmark costs in HFE would involve many service delivery areas (across 13 expenditure assessments).</w:t>
      </w:r>
    </w:p>
    <w:p w14:paraId="7954A570" w14:textId="77777777" w:rsidR="00F05DC7" w:rsidRDefault="00F05DC7" w:rsidP="00A3786D">
      <w:pPr>
        <w:pStyle w:val="BodyText"/>
      </w:pPr>
      <w:r>
        <w:t>More generally, there is an absence of (much needed) advocacy and appetite for the use of externally defined benchmark costs and this approach, while with merit, is not a solution to the problems identified with the current approach to HFE. Although it would remove incentives for States to directly influence their GST shares, this would likely have limited benefits given the lack of major efficiency problems on the expenditure side that are directly attributable to HFE (chapter 3).</w:t>
      </w:r>
    </w:p>
    <w:p w14:paraId="7954A571" w14:textId="77777777" w:rsidR="00F05DC7" w:rsidRDefault="00F05DC7" w:rsidP="00A3786D">
      <w:pPr>
        <w:pStyle w:val="BodyText"/>
      </w:pPr>
      <w:r>
        <w:t>A move towards benchmark costs in HFE would also create a new risk — namely, it would introduce incentives for States to influence (or dispute) the benchmarks or call for ever</w:t>
      </w:r>
      <w:r>
        <w:noBreakHyphen/>
        <w:t>increasing complexity in the system. It would also not be a solution to broader problems with State service delivery — especially in the area of Indigenous policy — that are subject to confused accountabilities between levels of government. Addressing these problems requires broader reform to Federal financial relations, and cannot be achieved solely through adjustments to the HFE formula (chapter 9).</w:t>
      </w:r>
    </w:p>
    <w:p w14:paraId="7954A572" w14:textId="77777777" w:rsidR="00F05DC7" w:rsidRPr="004E3B94" w:rsidRDefault="00F05DC7" w:rsidP="008C54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575"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573" w14:textId="77777777" w:rsidR="00F05DC7" w:rsidRDefault="00F05DC7" w:rsidP="00A3786D">
            <w:pPr>
              <w:pStyle w:val="FindingTitle"/>
              <w:spacing w:before="120"/>
              <w:rPr>
                <w:noProof/>
              </w:rPr>
            </w:pPr>
            <w:r>
              <w:t>Finding 7.1</w:t>
            </w:r>
          </w:p>
          <w:p w14:paraId="7954A574" w14:textId="77777777" w:rsidR="00F05DC7" w:rsidRPr="00CE4C64" w:rsidRDefault="00F05DC7" w:rsidP="00A3786D">
            <w:pPr>
              <w:pStyle w:val="Finding"/>
              <w:keepNext/>
            </w:pPr>
            <w:r w:rsidRPr="002A7FC4">
              <w:t>The use of externally defined benchmark costs in the HFE system to assess State expenditure on service delivery would encourage greater efficiency, but faces daunting practical difficulties and a high degree of scope for dispute.</w:t>
            </w:r>
          </w:p>
        </w:tc>
      </w:tr>
      <w:tr w:rsidR="00F05DC7" w14:paraId="7954A577"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576" w14:textId="77777777" w:rsidR="00F05DC7" w:rsidRDefault="00F05DC7" w:rsidP="00A3786D">
            <w:pPr>
              <w:pStyle w:val="Space"/>
              <w:keepLines/>
            </w:pPr>
          </w:p>
        </w:tc>
      </w:tr>
      <w:tr w:rsidR="00F05DC7" w:rsidRPr="000863A5" w14:paraId="7954A579"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578" w14:textId="77777777" w:rsidR="00F05DC7" w:rsidRPr="00626D32" w:rsidRDefault="00F05DC7" w:rsidP="00A3786D">
            <w:pPr>
              <w:pStyle w:val="BoxSpaceBelow"/>
              <w:keepLines/>
            </w:pPr>
          </w:p>
        </w:tc>
      </w:tr>
    </w:tbl>
    <w:p w14:paraId="7954A57A" w14:textId="733028DC" w:rsidR="00F05DC7" w:rsidRDefault="00F05DC7" w:rsidP="00A3786D">
      <w:pPr>
        <w:pStyle w:val="Heading2"/>
      </w:pPr>
      <w:bookmarkStart w:id="100" w:name="_Toc513637728"/>
      <w:r>
        <w:t>7.</w:t>
      </w:r>
      <w:r>
        <w:rPr>
          <w:noProof/>
        </w:rPr>
        <w:t>2</w:t>
      </w:r>
      <w:r>
        <w:tab/>
        <w:t>Using a single broad indicator</w:t>
      </w:r>
      <w:bookmarkEnd w:id="100"/>
    </w:p>
    <w:p w14:paraId="7954A57B" w14:textId="77777777" w:rsidR="00F05DC7" w:rsidRDefault="00F05DC7" w:rsidP="00A3786D">
      <w:pPr>
        <w:pStyle w:val="BodyText"/>
      </w:pPr>
      <w:r>
        <w:t xml:space="preserve">The CGC currently assesses States’ fiscal capacities using 8 revenue and 13 expenditure categories (plus an additional assessment for net borrowing), with considerably detailed and complex calculations within many of these categories, including the overlay of a large number of ‘disability’ factors (chapter 2). This has resulted in a significant degree of </w:t>
      </w:r>
      <w:r>
        <w:lastRenderedPageBreak/>
        <w:t>complexity — and arguably created a false sense of precision — that reduces transparency and accountability of the HFE system (chapter 6).</w:t>
      </w:r>
    </w:p>
    <w:p w14:paraId="7954A57C" w14:textId="77777777" w:rsidR="00F05DC7" w:rsidRDefault="00F05DC7" w:rsidP="00A3786D">
      <w:pPr>
        <w:pStyle w:val="BodyText"/>
      </w:pPr>
      <w:r>
        <w:t>More fundamentally, the way that some of the revenue assessments are undertaken can compromise policy neutrality where States can directly influence the tax base measures or tax rates used in the assessments (chapter 3).</w:t>
      </w:r>
    </w:p>
    <w:p w14:paraId="7954A57D" w14:textId="77777777" w:rsidR="00F05DC7" w:rsidRDefault="00F05DC7" w:rsidP="00A3786D">
      <w:pPr>
        <w:pStyle w:val="BodyText"/>
      </w:pPr>
      <w:r>
        <w:t>One way around these problems is to replace the current set of assessments with a single broad indicator (sometimes called a ‘global’ indicator). This metric could be external (independent) to State tax and expenditure policy decisions, such as per</w:t>
      </w:r>
      <w:r>
        <w:noBreakHyphen/>
        <w:t>capita household income or gross state product (GSP), or it could be internal, such as actual State revenues and expenditures.</w:t>
      </w:r>
    </w:p>
    <w:p w14:paraId="7954A57E" w14:textId="5E2FD35B" w:rsidR="00F05DC7" w:rsidRDefault="00F05DC7" w:rsidP="00A3786D">
      <w:pPr>
        <w:pStyle w:val="BodyText"/>
      </w:pPr>
      <w:r>
        <w:t>Inquiry participants put forward several options for using external broad indicators to guide HFE (box 7.1). Much of the discussion of broad indicators is focused on assessing revenue</w:t>
      </w:r>
      <w:r>
        <w:noBreakHyphen/>
        <w:t>raising capacity, though in principle such an approach could also be applied on the expenditure side.</w:t>
      </w:r>
    </w:p>
    <w:p w14:paraId="7954A57F" w14:textId="77777777" w:rsidR="00F05DC7" w:rsidRDefault="00F05DC7" w:rsidP="00A3786D">
      <w:pPr>
        <w:pStyle w:val="BodyText"/>
      </w:pPr>
      <w:r>
        <w:t>External broad indicators offer some considerable advantages. Foremost, they can provide for a genuinely policy</w:t>
      </w:r>
      <w:r>
        <w:noBreakHyphen/>
        <w:t>neutral measure of revenue</w:t>
      </w:r>
      <w:r>
        <w:noBreakHyphen/>
        <w:t>raising capacity. In this way, using a broad indicator would effectively remove the disincentives that the current HFE system creates for some major State tax reforms. In terms of the tax reform cameos set out in chapter 3, the impacts on GST payments would effectively be reduced to zero. This is because changes in individual State tax rates would have very little influence on the level of the broad indicator and thus do not influence the amount of GST revenue the State receives.</w:t>
      </w:r>
    </w:p>
    <w:p w14:paraId="7954A580" w14:textId="41FE2FDE" w:rsidR="00F05DC7" w:rsidRDefault="00F05DC7" w:rsidP="00A3786D">
      <w:pPr>
        <w:pStyle w:val="BodyText"/>
      </w:pPr>
      <w:r>
        <w:t xml:space="preserve">Moreover, to the extent the indicator aligns closely with taxpayers’ underlying ability to pay tax or States’ underlying expenditure needs — which many economists argue is reflected by aggregate household real disposable income </w:t>
      </w:r>
      <w:r w:rsidRPr="00DE1587">
        <w:rPr>
          <w:szCs w:val="24"/>
        </w:rPr>
        <w:t>(Peter Abelson, sub. 9, p.</w:t>
      </w:r>
      <w:r>
        <w:rPr>
          <w:szCs w:val="24"/>
        </w:rPr>
        <w:t> </w:t>
      </w:r>
      <w:r w:rsidRPr="00DE1587">
        <w:rPr>
          <w:szCs w:val="24"/>
        </w:rPr>
        <w:t>9; PC 2008, p. 53)</w:t>
      </w:r>
      <w:r>
        <w:t xml:space="preserve"> — all States would have the </w:t>
      </w:r>
      <w:r w:rsidRPr="00B31032">
        <w:rPr>
          <w:i/>
        </w:rPr>
        <w:t>potential</w:t>
      </w:r>
      <w:r>
        <w:t xml:space="preserve"> to levy an average level of taxes or provide an average level of services. At the same time, such an indicator would also give States flexibility in the type of taxes they choose to impose and the corresponding rates and exemptions they apply, without materially affecting GST shares.</w:t>
      </w:r>
    </w:p>
    <w:p w14:paraId="7954A581" w14:textId="21D80733" w:rsidR="00F05DC7" w:rsidRDefault="00F05DC7" w:rsidP="00A3786D">
      <w:pPr>
        <w:pStyle w:val="BodyText"/>
      </w:pPr>
      <w:r>
        <w:t>While it would also be possible to use a single internal indicator (such as an ‘actual per capita’ approach), this would perform poorly on efficiency grounds, since it would mean that State policy decisions have a direct impact on GST payments — and thus States would not have a strong incentive to contain costs or pursue efficiencies (box 7.2). Such internal measures have attracted little support.</w:t>
      </w:r>
    </w:p>
    <w:p w14:paraId="7954A584"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586" w14:textId="77777777" w:rsidTr="00A3786D">
        <w:trPr>
          <w:tblHeader/>
        </w:trPr>
        <w:tc>
          <w:tcPr>
            <w:tcW w:w="5000" w:type="pct"/>
            <w:tcBorders>
              <w:top w:val="single" w:sz="6" w:space="0" w:color="78A22F"/>
              <w:left w:val="nil"/>
              <w:bottom w:val="nil"/>
              <w:right w:val="nil"/>
            </w:tcBorders>
            <w:shd w:val="clear" w:color="auto" w:fill="F2F2F2"/>
          </w:tcPr>
          <w:p w14:paraId="7954A585" w14:textId="06BB3BA8" w:rsidR="00F05DC7" w:rsidRDefault="00F05DC7" w:rsidP="00A3786D">
            <w:pPr>
              <w:pStyle w:val="BoxTitle"/>
            </w:pPr>
            <w:r>
              <w:rPr>
                <w:b w:val="0"/>
              </w:rPr>
              <w:t>Box 7.</w:t>
            </w:r>
            <w:r>
              <w:rPr>
                <w:b w:val="0"/>
                <w:noProof/>
              </w:rPr>
              <w:t>1</w:t>
            </w:r>
            <w:r>
              <w:tab/>
              <w:t>Participant views on broad indicators</w:t>
            </w:r>
          </w:p>
        </w:tc>
      </w:tr>
      <w:tr w:rsidR="00F05DC7" w14:paraId="7954A58D" w14:textId="77777777" w:rsidTr="00A3786D">
        <w:tc>
          <w:tcPr>
            <w:tcW w:w="5000" w:type="pct"/>
            <w:tcBorders>
              <w:top w:val="nil"/>
              <w:left w:val="nil"/>
              <w:bottom w:val="nil"/>
              <w:right w:val="nil"/>
            </w:tcBorders>
            <w:shd w:val="clear" w:color="auto" w:fill="F2F2F2"/>
          </w:tcPr>
          <w:p w14:paraId="7954A587" w14:textId="77777777" w:rsidR="00F05DC7" w:rsidRDefault="00F05DC7" w:rsidP="00A3786D">
            <w:pPr>
              <w:pStyle w:val="Box"/>
            </w:pPr>
            <w:r>
              <w:t>Several participants put forward options for using broad indicators to determine GST shares.</w:t>
            </w:r>
          </w:p>
          <w:p w14:paraId="7954A588" w14:textId="77777777" w:rsidR="00F05DC7" w:rsidRDefault="00F05DC7" w:rsidP="00A3786D">
            <w:pPr>
              <w:pStyle w:val="Box"/>
            </w:pPr>
            <w:r>
              <w:t>Peter Abelson (sub. 9, p. 6) submitted academic research that examined the impact of using broad revenue indicators, such as real disposable household income plus taxation of out</w:t>
            </w:r>
            <w:r>
              <w:noBreakHyphen/>
              <w:t>of</w:t>
            </w:r>
            <w:r>
              <w:noBreakHyphen/>
              <w:t>state residents, per capita personal income, or a broad macroeconomic indicator such as gross state product (GSP). Per</w:t>
            </w:r>
            <w:r>
              <w:noBreakHyphen/>
              <w:t>capita personal income has been used for the transfer of some revenues in the United States, but is otherwise not commonly found in equalisation schemes overseas.</w:t>
            </w:r>
          </w:p>
          <w:p w14:paraId="7954A589" w14:textId="77777777" w:rsidR="00F05DC7" w:rsidRDefault="00F05DC7" w:rsidP="00A3786D">
            <w:pPr>
              <w:pStyle w:val="Box"/>
            </w:pPr>
            <w:r>
              <w:t>The Queensland Government (sub. 32, p. 12) submitted that the use of global revenue and expense assessments would involve basing GST shares on estimates of total actual revenue generated by a jurisdiction, and total actual expenses incurred, rather than a more detailed categorisation. A further, less extreme option suggested was a move to more highly aggregated assessments, but drawing in the first instance on the current approach used by the CGC.</w:t>
            </w:r>
          </w:p>
          <w:p w14:paraId="7954A58A" w14:textId="77777777" w:rsidR="00F05DC7" w:rsidRDefault="00F05DC7" w:rsidP="00A3786D">
            <w:pPr>
              <w:pStyle w:val="Box"/>
            </w:pPr>
            <w:r>
              <w:t xml:space="preserve">The WA Government (sub. DR83, pp. 21–27) called for simpler and more aggregated revenue assessments, and simplified spending assessments. It argued in particular that use of a GSP measure that excluded half of general government final consumption expenditure and an estimate of total offshore mining gross operating surplus (or gross mixed income) would lead to similar outcomes to the CGC’s current method for assessing revenue capacity. </w:t>
            </w:r>
          </w:p>
          <w:p w14:paraId="7954A58B" w14:textId="77777777" w:rsidR="00F05DC7" w:rsidRDefault="00F05DC7" w:rsidP="00A3786D">
            <w:pPr>
              <w:pStyle w:val="Box"/>
            </w:pPr>
            <w:r>
              <w:t>The Victorian Government, in its submission to the 2012 GST Distribution Review, also favoured a move to a simpler approach based on a streamlined set of broad indicators on either the revenue or expenditure sides (or both):</w:t>
            </w:r>
          </w:p>
          <w:p w14:paraId="7954A58C" w14:textId="4246FE54" w:rsidR="00F05DC7" w:rsidRDefault="00F05DC7" w:rsidP="00A3786D">
            <w:pPr>
              <w:pStyle w:val="BoxQuote"/>
            </w:pPr>
            <w:r>
              <w:t>Each major revenue and expense category could be replaced by broad</w:t>
            </w:r>
            <w:r>
              <w:noBreakHyphen/>
              <w:t xml:space="preserve">based indicators drawn from a readily available and more reliable public data series (for example, Australian National Accounts data). Additional adjustments may be required to capture disabilities related to Indigeneity, remoteness and diseconomies of scale, but the overall HFE methodology would be much simpler, more transparent and more predictable. </w:t>
            </w:r>
            <w:r w:rsidRPr="00DE1587">
              <w:rPr>
                <w:rFonts w:cs="Arial"/>
                <w:szCs w:val="24"/>
              </w:rPr>
              <w:t>(Victorian Government 2011, p. 4)</w:t>
            </w:r>
          </w:p>
        </w:tc>
      </w:tr>
      <w:tr w:rsidR="00F05DC7" w14:paraId="7954A58F" w14:textId="77777777" w:rsidTr="00A3786D">
        <w:tc>
          <w:tcPr>
            <w:tcW w:w="5000" w:type="pct"/>
            <w:tcBorders>
              <w:top w:val="nil"/>
              <w:left w:val="nil"/>
              <w:bottom w:val="single" w:sz="6" w:space="0" w:color="78A22F"/>
              <w:right w:val="nil"/>
            </w:tcBorders>
            <w:shd w:val="clear" w:color="auto" w:fill="F2F2F2"/>
          </w:tcPr>
          <w:p w14:paraId="7954A58E" w14:textId="77777777" w:rsidR="00F05DC7" w:rsidRDefault="00F05DC7">
            <w:pPr>
              <w:pStyle w:val="Box"/>
              <w:spacing w:before="0" w:line="120" w:lineRule="exact"/>
            </w:pPr>
          </w:p>
        </w:tc>
      </w:tr>
      <w:tr w:rsidR="00F05DC7" w:rsidRPr="000863A5" w14:paraId="7954A591" w14:textId="77777777" w:rsidTr="00A3786D">
        <w:tc>
          <w:tcPr>
            <w:tcW w:w="5000" w:type="pct"/>
            <w:tcBorders>
              <w:top w:val="single" w:sz="6" w:space="0" w:color="78A22F"/>
              <w:left w:val="nil"/>
              <w:bottom w:val="nil"/>
              <w:right w:val="nil"/>
            </w:tcBorders>
          </w:tcPr>
          <w:p w14:paraId="7954A590" w14:textId="77777777" w:rsidR="00F05DC7" w:rsidRPr="00626D32" w:rsidRDefault="00F05DC7" w:rsidP="00A3786D">
            <w:pPr>
              <w:pStyle w:val="BoxSpaceBelow"/>
            </w:pPr>
          </w:p>
        </w:tc>
      </w:tr>
    </w:tbl>
    <w:p w14:paraId="7954A592" w14:textId="77777777" w:rsidR="00F05DC7" w:rsidRDefault="00F05DC7" w:rsidP="00A3786D">
      <w:pPr>
        <w:pStyle w:val="BodyText"/>
      </w:pPr>
      <w:r>
        <w:t>More generally, a broad indicator approach would provide for a far less complicated, and more readily understandable, way to distribute GST revenue (once the specific indicator has been decided and agreed on). This would improve transparency and accountability of the HFE system. As the Queensland Government (sub. 32, p. 12) submitted:</w:t>
      </w:r>
    </w:p>
    <w:p w14:paraId="7954A593" w14:textId="77777777" w:rsidR="00F05DC7" w:rsidRDefault="00F05DC7" w:rsidP="00A3786D">
      <w:pPr>
        <w:pStyle w:val="Quote"/>
      </w:pPr>
      <w:r>
        <w:t>A well designed, simpler system could theoretically achieve equalisation but with considerable improvement in transparency. The GST shares received by States may not be the same as under the current system, but could still be equalisation if it allows States to provide similar standards of service to their residents, taking into account their particular circumstances.</w:t>
      </w:r>
    </w:p>
    <w:p w14:paraId="7954A594" w14:textId="77777777" w:rsidR="00F05DC7" w:rsidRPr="00E0655C" w:rsidRDefault="00F05DC7" w:rsidP="00A3786D">
      <w:pPr>
        <w:pStyle w:val="BodyText"/>
        <w:rPr>
          <w:rStyle w:val="DraftingNote"/>
          <w:b w:val="0"/>
          <w:color w:val="auto"/>
          <w:u w:val="none"/>
        </w:rPr>
      </w:pPr>
      <w:r>
        <w:t xml:space="preserve">Such a model would also ensure that there would be far less reliance on subjective calls made by the CGC, helping to improve accountability of decision making. </w:t>
      </w:r>
    </w:p>
    <w:p w14:paraId="7954A595"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597" w14:textId="77777777" w:rsidTr="00A3786D">
        <w:trPr>
          <w:tblHeader/>
        </w:trPr>
        <w:tc>
          <w:tcPr>
            <w:tcW w:w="5000" w:type="pct"/>
            <w:tcBorders>
              <w:top w:val="single" w:sz="6" w:space="0" w:color="78A22F"/>
              <w:left w:val="nil"/>
              <w:bottom w:val="nil"/>
              <w:right w:val="nil"/>
            </w:tcBorders>
            <w:shd w:val="clear" w:color="auto" w:fill="F2F2F2"/>
          </w:tcPr>
          <w:p w14:paraId="7954A596" w14:textId="133D8F62" w:rsidR="00F05DC7" w:rsidRDefault="00F05DC7" w:rsidP="00A3786D">
            <w:pPr>
              <w:pStyle w:val="BoxTitle"/>
            </w:pPr>
            <w:r>
              <w:rPr>
                <w:b w:val="0"/>
              </w:rPr>
              <w:t>Box 7.</w:t>
            </w:r>
            <w:r>
              <w:rPr>
                <w:b w:val="0"/>
                <w:noProof/>
              </w:rPr>
              <w:t>2</w:t>
            </w:r>
            <w:r>
              <w:tab/>
              <w:t>‘Actual per capita’ indicators</w:t>
            </w:r>
          </w:p>
        </w:tc>
      </w:tr>
      <w:tr w:rsidR="00F05DC7" w14:paraId="7954A59F" w14:textId="77777777" w:rsidTr="00A3786D">
        <w:tc>
          <w:tcPr>
            <w:tcW w:w="5000" w:type="pct"/>
            <w:tcBorders>
              <w:top w:val="nil"/>
              <w:left w:val="nil"/>
              <w:bottom w:val="nil"/>
              <w:right w:val="nil"/>
            </w:tcBorders>
            <w:shd w:val="clear" w:color="auto" w:fill="F2F2F2"/>
          </w:tcPr>
          <w:p w14:paraId="7954A598" w14:textId="77777777" w:rsidR="00F05DC7" w:rsidRDefault="00F05DC7" w:rsidP="00A3786D">
            <w:pPr>
              <w:pStyle w:val="Box"/>
            </w:pPr>
            <w:r>
              <w:t>Broad indicators do not necessarily have to be external to factors that are influenced by State policy decisions. A different approach is to base GST payments on the gap between States’ actual revenues raised and their actual expenditure on services and infrastructure (with any remaining GST distributed on an equal per capita basis). This approach is known as an ‘actual per capita’ (APC) model, and would effectively involve using States’ actual (pre</w:t>
            </w:r>
            <w:r>
              <w:noBreakHyphen/>
              <w:t>GST) budget deficits as a broad indicator. It is an internal measure since each State’s policy decisions would directly influence its GST share.</w:t>
            </w:r>
          </w:p>
          <w:p w14:paraId="7954A599" w14:textId="54E69E52" w:rsidR="00F05DC7" w:rsidRDefault="00F05DC7" w:rsidP="00A3786D">
            <w:pPr>
              <w:pStyle w:val="Box"/>
            </w:pPr>
            <w:r>
              <w:t xml:space="preserve">An APC approach has been used by the CGC to illustrate the impact of alternative ways of distributing the GST </w:t>
            </w:r>
            <w:r w:rsidRPr="006F34CF">
              <w:rPr>
                <w:rFonts w:cs="Arial"/>
                <w:szCs w:val="24"/>
              </w:rPr>
              <w:t>(CGC 2017a, p. 3)</w:t>
            </w:r>
            <w:r>
              <w:t xml:space="preserve">. It is conceptually the same as the current HFE system, except that it uses </w:t>
            </w:r>
            <w:r w:rsidRPr="002E3330">
              <w:rPr>
                <w:i/>
              </w:rPr>
              <w:t>actual</w:t>
            </w:r>
            <w:r>
              <w:t xml:space="preserve"> revenue and expenses rather than </w:t>
            </w:r>
            <w:r w:rsidRPr="002E3330">
              <w:rPr>
                <w:i/>
              </w:rPr>
              <w:t>assessed</w:t>
            </w:r>
            <w:r>
              <w:t xml:space="preserve"> revenue and expenses as the basis for distributing GST payments. Indeed, an APC approach is currently used to assess natural disaster relief and recovery expenses within the current system </w:t>
            </w:r>
            <w:r w:rsidR="009D6331" w:rsidRPr="009D6331">
              <w:rPr>
                <w:rFonts w:cs="Arial"/>
                <w:szCs w:val="24"/>
              </w:rPr>
              <w:t>(CGC 2015f, p. 396)</w:t>
            </w:r>
            <w:r>
              <w:t>.</w:t>
            </w:r>
          </w:p>
          <w:p w14:paraId="7954A59A" w14:textId="77777777" w:rsidR="00F05DC7" w:rsidRDefault="00F05DC7" w:rsidP="00A3786D">
            <w:pPr>
              <w:pStyle w:val="Box"/>
            </w:pPr>
            <w:r>
              <w:t xml:space="preserve">One benefit of an APC approach is that it is very simple, and thus transparent — estimating GST shares would only require data on each States’ total revenues and expenses. It also performs well in terms of equity, since it would provide all States with the fiscal capacity to deliver a similar standard of services, in much the same way as current arrangements (a quantitative comparison is provided in appendix C). </w:t>
            </w:r>
          </w:p>
          <w:p w14:paraId="7954A59B" w14:textId="77777777" w:rsidR="00F05DC7" w:rsidRDefault="00F05DC7" w:rsidP="00A3786D">
            <w:pPr>
              <w:pStyle w:val="Box"/>
            </w:pPr>
            <w:r>
              <w:t xml:space="preserve">However, APC (and other internal broad indicators) rate poorly from an efficiency perspective. It could reduce </w:t>
            </w:r>
            <w:r w:rsidRPr="0088646A">
              <w:t>States</w:t>
            </w:r>
            <w:r>
              <w:t>’</w:t>
            </w:r>
            <w:r w:rsidRPr="0088646A">
              <w:t xml:space="preserve"> incentive</w:t>
            </w:r>
            <w:r>
              <w:t>s</w:t>
            </w:r>
            <w:r w:rsidRPr="0088646A">
              <w:t xml:space="preserve"> to grow </w:t>
            </w:r>
            <w:r>
              <w:t>their economies,</w:t>
            </w:r>
            <w:r w:rsidRPr="0088646A">
              <w:t xml:space="preserve"> tax bas</w:t>
            </w:r>
            <w:r>
              <w:t>es</w:t>
            </w:r>
            <w:r w:rsidRPr="0088646A">
              <w:t xml:space="preserve"> and revenues </w:t>
            </w:r>
            <w:r>
              <w:t>because</w:t>
            </w:r>
            <w:r w:rsidRPr="0088646A">
              <w:t xml:space="preserve"> any increase in own</w:t>
            </w:r>
            <w:r>
              <w:noBreakHyphen/>
            </w:r>
            <w:r w:rsidRPr="0088646A">
              <w:t xml:space="preserve">source revenue would result in </w:t>
            </w:r>
            <w:r>
              <w:t>a commensurate</w:t>
            </w:r>
            <w:r w:rsidRPr="0088646A">
              <w:t xml:space="preserve"> reduction in GST </w:t>
            </w:r>
            <w:r>
              <w:t>payments.</w:t>
            </w:r>
          </w:p>
          <w:p w14:paraId="7954A59C" w14:textId="77777777" w:rsidR="00F05DC7" w:rsidRDefault="00F05DC7" w:rsidP="00A3786D">
            <w:pPr>
              <w:pStyle w:val="Box"/>
            </w:pPr>
            <w:r w:rsidRPr="0088646A">
              <w:t xml:space="preserve">Using actual expenditure on services </w:t>
            </w:r>
            <w:r>
              <w:t>also means</w:t>
            </w:r>
            <w:r w:rsidRPr="0088646A">
              <w:t xml:space="preserve"> that States would </w:t>
            </w:r>
            <w:r>
              <w:t>fac</w:t>
            </w:r>
            <w:r w:rsidRPr="0088646A">
              <w:t xml:space="preserve">e a reduced incentive to contain costs or pursue more efficient service provision (as higher costs would be effectively paid for by higher GST </w:t>
            </w:r>
            <w:r>
              <w:t>payments</w:t>
            </w:r>
            <w:r w:rsidRPr="0088646A">
              <w:t>).</w:t>
            </w:r>
            <w:r>
              <w:t xml:space="preserve"> As Jim Hancock (sub. 54, p. 4) observed:</w:t>
            </w:r>
          </w:p>
          <w:p w14:paraId="7954A59D" w14:textId="77777777" w:rsidR="00F05DC7" w:rsidRPr="0088646A" w:rsidRDefault="00F05DC7" w:rsidP="00A3786D">
            <w:pPr>
              <w:pStyle w:val="BoxQuote"/>
            </w:pPr>
            <w:r w:rsidRPr="009D47A2">
              <w:t xml:space="preserve">Suppose, for example, that the equalisation scheme responded to a State’s hospital outlays simply by topping up its budget by whatever it spent, at the expense of grants to the other States. Under this arrangement, the effective price to the State of enhancements to the hospital would be reduced to zero. With such a system implemented across States, we could expect then to see excessive expenditures on hospitals as a result. </w:t>
            </w:r>
          </w:p>
          <w:p w14:paraId="7954A59E" w14:textId="77777777" w:rsidR="00F05DC7" w:rsidRDefault="00F05DC7" w:rsidP="00A3786D">
            <w:pPr>
              <w:pStyle w:val="Box"/>
            </w:pPr>
            <w:r>
              <w:t>These efficiency costs mean that APC is not a suitable alternative to current arrangements. As noted in appendix E, fiscal equalisation based on actual expenditures has been largely phased out in other countries given the adverse effect it has on sub</w:t>
            </w:r>
            <w:r>
              <w:noBreakHyphen/>
              <w:t>national governments’ incentives.</w:t>
            </w:r>
          </w:p>
        </w:tc>
      </w:tr>
      <w:tr w:rsidR="00F05DC7" w14:paraId="7954A5A1" w14:textId="77777777" w:rsidTr="00A3786D">
        <w:tc>
          <w:tcPr>
            <w:tcW w:w="5000" w:type="pct"/>
            <w:tcBorders>
              <w:top w:val="nil"/>
              <w:left w:val="nil"/>
              <w:bottom w:val="single" w:sz="6" w:space="0" w:color="78A22F"/>
              <w:right w:val="nil"/>
            </w:tcBorders>
            <w:shd w:val="clear" w:color="auto" w:fill="F2F2F2"/>
          </w:tcPr>
          <w:p w14:paraId="7954A5A0" w14:textId="77777777" w:rsidR="00F05DC7" w:rsidRDefault="00F05DC7" w:rsidP="00A3786D">
            <w:pPr>
              <w:pStyle w:val="Box"/>
              <w:spacing w:before="0" w:line="120" w:lineRule="exact"/>
            </w:pPr>
          </w:p>
        </w:tc>
      </w:tr>
      <w:tr w:rsidR="00F05DC7" w:rsidRPr="000863A5" w14:paraId="7954A5A3" w14:textId="77777777" w:rsidTr="00A3786D">
        <w:tc>
          <w:tcPr>
            <w:tcW w:w="5000" w:type="pct"/>
            <w:tcBorders>
              <w:top w:val="single" w:sz="6" w:space="0" w:color="78A22F"/>
              <w:left w:val="nil"/>
              <w:bottom w:val="nil"/>
              <w:right w:val="nil"/>
            </w:tcBorders>
          </w:tcPr>
          <w:p w14:paraId="7954A5A2" w14:textId="77777777" w:rsidR="00F05DC7" w:rsidRPr="00626D32" w:rsidRDefault="00F05DC7" w:rsidP="00A3786D">
            <w:pPr>
              <w:pStyle w:val="BoxSpaceBelow"/>
            </w:pPr>
          </w:p>
        </w:tc>
      </w:tr>
    </w:tbl>
    <w:p w14:paraId="7954A5A4" w14:textId="77777777" w:rsidR="00F05DC7" w:rsidRDefault="00F05DC7" w:rsidP="00A3786D">
      <w:pPr>
        <w:pStyle w:val="BodyText"/>
      </w:pPr>
      <w:r>
        <w:t>In practice, however, it is difficult to find a single broad indicator that would provide a reasonable reflection of States’ fiscal capacities.</w:t>
      </w:r>
      <w:r w:rsidRPr="00A81DFB">
        <w:t xml:space="preserve"> </w:t>
      </w:r>
      <w:r>
        <w:t>The basis for choosing between different indicators is likely to be contested, and prone to ongoing disputation by States. International experience suggests that broad indicators, where they have been considered, provide a poor reflection of a jurisdiction’s fiscal capacity. Most State</w:t>
      </w:r>
      <w:r>
        <w:noBreakHyphen/>
        <w:t>level indicators (such as GSP) are also subject to measurement problems, as evidenced by the frequency of major statistical revisions.</w:t>
      </w:r>
    </w:p>
    <w:p w14:paraId="7954A5A5" w14:textId="12F9418B" w:rsidR="00F05DC7" w:rsidRDefault="00F05DC7" w:rsidP="00A3786D">
      <w:pPr>
        <w:pStyle w:val="BodyText"/>
      </w:pPr>
      <w:r>
        <w:t xml:space="preserve">Even where a genuinely external measure of fiscal capacity can be identified, using this indicator alone to determine GST shares would essentially impose a system based on what States could do, rather than on what they actually do. The difference could potentially be quite large, with the implication that some States would need to significantly alter their </w:t>
      </w:r>
      <w:r>
        <w:lastRenderedPageBreak/>
        <w:t xml:space="preserve">revenue and expenditure policies to receive a similar amount of GST payments. To the extent this is neither possible nor desirable, such an approach would come at a high cost to equity if the resulting GST shares do not reflect the actual circumstances and fiscal capacities of States, and thus do not enable them to provide a reasonable </w:t>
      </w:r>
      <w:r w:rsidR="00CD35E0">
        <w:t>standard</w:t>
      </w:r>
      <w:r>
        <w:t xml:space="preserve"> of services to their communities.</w:t>
      </w:r>
    </w:p>
    <w:p w14:paraId="7954A5A6" w14:textId="692A29EB" w:rsidR="00F05DC7" w:rsidRDefault="00F05DC7" w:rsidP="00A3786D">
      <w:pPr>
        <w:pStyle w:val="BodyText"/>
      </w:pPr>
      <w:r>
        <w:t>The impacts on GST payments of using GSP or gross disposable income (GDI) (two commonly cited metrics) would be substantial for some States with significant jurisdiction</w:t>
      </w:r>
      <w:r>
        <w:noBreakHyphen/>
        <w:t>specific structural differences that affect revenue and expenditure, as illustrated in table 7.1. These impacts would also vary considerably depending on the specific metric that is used. There would be very large declines in GST payments for the ACT and the Northern Territory, with relativities for both jurisdictions falling to negative values in the case of GDI (table 7.1). This occurs because these jurisdictions have relatively high per</w:t>
      </w:r>
      <w:r>
        <w:noBreakHyphen/>
        <w:t>capita incomes, but the indicators do not capture other major factors that drive those jurisdictions’ respective fiscal capacities.</w:t>
      </w:r>
    </w:p>
    <w:p w14:paraId="7954A5A7"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5AA" w14:textId="77777777" w:rsidTr="001113B1">
        <w:trPr>
          <w:tblHeader/>
        </w:trPr>
        <w:tc>
          <w:tcPr>
            <w:tcW w:w="5000" w:type="pct"/>
            <w:tcBorders>
              <w:top w:val="single" w:sz="6" w:space="0" w:color="78A22F"/>
              <w:left w:val="nil"/>
              <w:bottom w:val="nil"/>
              <w:right w:val="nil"/>
            </w:tcBorders>
            <w:shd w:val="clear" w:color="auto" w:fill="auto"/>
          </w:tcPr>
          <w:p w14:paraId="7954A5A8" w14:textId="5430D317" w:rsidR="00F05DC7" w:rsidRDefault="00F05DC7" w:rsidP="00A3786D">
            <w:pPr>
              <w:pStyle w:val="TableTitle"/>
            </w:pPr>
            <w:r>
              <w:rPr>
                <w:b w:val="0"/>
              </w:rPr>
              <w:t>Table 7.</w:t>
            </w:r>
            <w:r>
              <w:rPr>
                <w:b w:val="0"/>
                <w:noProof/>
              </w:rPr>
              <w:t>1</w:t>
            </w:r>
            <w:r>
              <w:tab/>
              <w:t>GST effects of a broad indicator approach</w:t>
            </w:r>
          </w:p>
          <w:p w14:paraId="7954A5A9" w14:textId="77777777" w:rsidR="00F05DC7" w:rsidRPr="00784A05" w:rsidRDefault="00F05DC7" w:rsidP="00A3786D">
            <w:pPr>
              <w:pStyle w:val="Subtitle"/>
            </w:pPr>
            <w:r>
              <w:t>2018</w:t>
            </w:r>
            <w:r>
              <w:noBreakHyphen/>
              <w:t>19 GST payments and relativities</w:t>
            </w:r>
          </w:p>
        </w:tc>
      </w:tr>
      <w:tr w:rsidR="00F05DC7" w14:paraId="7954A60D"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1839"/>
              <w:gridCol w:w="957"/>
              <w:gridCol w:w="958"/>
              <w:gridCol w:w="759"/>
              <w:gridCol w:w="958"/>
              <w:gridCol w:w="759"/>
              <w:gridCol w:w="759"/>
              <w:gridCol w:w="759"/>
              <w:gridCol w:w="757"/>
            </w:tblGrid>
            <w:tr w:rsidR="00F05DC7" w14:paraId="7954A5B4" w14:textId="77777777" w:rsidTr="001113B1">
              <w:trPr>
                <w:trHeight w:val="300"/>
                <w:tblHeader/>
              </w:trPr>
              <w:tc>
                <w:tcPr>
                  <w:tcW w:w="10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5AB" w14:textId="77777777" w:rsidR="00F05DC7" w:rsidRDefault="00F05DC7" w:rsidP="00A3786D">
                  <w:pPr>
                    <w:pStyle w:val="TableColumnHeading"/>
                  </w:pPr>
                </w:p>
              </w:tc>
              <w:tc>
                <w:tcPr>
                  <w:tcW w:w="56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5AC" w14:textId="77777777" w:rsidR="00F05DC7" w:rsidRDefault="00F05DC7" w:rsidP="00A3786D">
                  <w:pPr>
                    <w:pStyle w:val="TableColumnHeading"/>
                    <w:ind w:right="57"/>
                  </w:pPr>
                  <w:r>
                    <w:t>NSW</w:t>
                  </w:r>
                </w:p>
              </w:tc>
              <w:tc>
                <w:tcPr>
                  <w:tcW w:w="56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5AD" w14:textId="77777777" w:rsidR="00F05DC7" w:rsidRDefault="00F05DC7" w:rsidP="00A3786D">
                  <w:pPr>
                    <w:pStyle w:val="TableColumnHeading"/>
                    <w:ind w:right="57"/>
                  </w:pPr>
                  <w:r>
                    <w:t>Vic</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5AE" w14:textId="77777777" w:rsidR="00F05DC7" w:rsidRDefault="00F05DC7" w:rsidP="00A3786D">
                  <w:pPr>
                    <w:pStyle w:val="TableColumnHeading"/>
                    <w:ind w:right="57"/>
                  </w:pPr>
                  <w:r>
                    <w:t>Qld</w:t>
                  </w:r>
                </w:p>
              </w:tc>
              <w:tc>
                <w:tcPr>
                  <w:tcW w:w="56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5AF" w14:textId="77777777" w:rsidR="00F05DC7" w:rsidRDefault="00F05DC7" w:rsidP="00A3786D">
                  <w:pPr>
                    <w:pStyle w:val="TableColumnHeading"/>
                    <w:ind w:right="57"/>
                  </w:pPr>
                  <w:r>
                    <w:t>WA</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5B0" w14:textId="77777777" w:rsidR="00F05DC7" w:rsidRDefault="00F05DC7" w:rsidP="00A3786D">
                  <w:pPr>
                    <w:pStyle w:val="TableColumnHeading"/>
                    <w:ind w:right="57"/>
                  </w:pPr>
                  <w:r>
                    <w:t>SA</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5B1" w14:textId="77777777" w:rsidR="00F05DC7" w:rsidRDefault="00F05DC7" w:rsidP="00A3786D">
                  <w:pPr>
                    <w:pStyle w:val="TableColumnHeading"/>
                    <w:ind w:right="57"/>
                  </w:pPr>
                  <w:r>
                    <w:t>Tas</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5B2" w14:textId="77777777" w:rsidR="00F05DC7" w:rsidRDefault="00F05DC7" w:rsidP="00A3786D">
                  <w:pPr>
                    <w:pStyle w:val="TableColumnHeading"/>
                    <w:ind w:right="57"/>
                  </w:pPr>
                  <w:r>
                    <w:t>ACT</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5B3" w14:textId="77777777" w:rsidR="00F05DC7" w:rsidRDefault="00F05DC7" w:rsidP="00A3786D">
                  <w:pPr>
                    <w:pStyle w:val="TableColumnHeading"/>
                    <w:ind w:right="57"/>
                  </w:pPr>
                  <w:r>
                    <w:t>NT</w:t>
                  </w:r>
                </w:p>
              </w:tc>
            </w:tr>
            <w:tr w:rsidR="00F05DC7" w14:paraId="7954A5B6" w14:textId="77777777" w:rsidTr="00A3786D">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7954A5B5"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Relativities </w:t>
                  </w:r>
                </w:p>
              </w:tc>
            </w:tr>
            <w:tr w:rsidR="00F05DC7" w14:paraId="7954A5C0" w14:textId="77777777" w:rsidTr="00A3786D">
              <w:trPr>
                <w:trHeight w:val="288"/>
              </w:trPr>
              <w:tc>
                <w:tcPr>
                  <w:tcW w:w="1082" w:type="pct"/>
                  <w:tcBorders>
                    <w:top w:val="nil"/>
                    <w:left w:val="nil"/>
                    <w:bottom w:val="nil"/>
                    <w:right w:val="nil"/>
                  </w:tcBorders>
                  <w:shd w:val="clear" w:color="auto" w:fill="auto"/>
                  <w:tcMar>
                    <w:left w:w="0" w:type="dxa"/>
                    <w:right w:w="0" w:type="dxa"/>
                  </w:tcMar>
                  <w:vAlign w:val="center"/>
                  <w:hideMark/>
                </w:tcPr>
                <w:p w14:paraId="7954A5B7"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563" w:type="pct"/>
                  <w:tcBorders>
                    <w:top w:val="nil"/>
                    <w:left w:val="nil"/>
                    <w:bottom w:val="nil"/>
                    <w:right w:val="nil"/>
                  </w:tcBorders>
                  <w:shd w:val="clear" w:color="auto" w:fill="auto"/>
                  <w:tcMar>
                    <w:left w:w="0" w:type="dxa"/>
                    <w:right w:w="0" w:type="dxa"/>
                  </w:tcMar>
                  <w:vAlign w:val="center"/>
                  <w:hideMark/>
                </w:tcPr>
                <w:p w14:paraId="7954A5B8"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w:t>
                  </w:r>
                  <w:r>
                    <w:rPr>
                      <w:rFonts w:asciiTheme="minorHAnsi" w:hAnsiTheme="minorHAnsi" w:cstheme="minorHAnsi"/>
                      <w:color w:val="000000"/>
                      <w:sz w:val="18"/>
                      <w:szCs w:val="18"/>
                    </w:rPr>
                    <w:t>6</w:t>
                  </w:r>
                </w:p>
              </w:tc>
              <w:tc>
                <w:tcPr>
                  <w:tcW w:w="563" w:type="pct"/>
                  <w:tcBorders>
                    <w:top w:val="nil"/>
                    <w:left w:val="nil"/>
                    <w:bottom w:val="nil"/>
                    <w:right w:val="nil"/>
                  </w:tcBorders>
                  <w:shd w:val="clear" w:color="auto" w:fill="auto"/>
                  <w:tcMar>
                    <w:left w:w="0" w:type="dxa"/>
                    <w:right w:w="0" w:type="dxa"/>
                  </w:tcMar>
                  <w:vAlign w:val="center"/>
                  <w:hideMark/>
                </w:tcPr>
                <w:p w14:paraId="7954A5B9"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w:t>
                  </w:r>
                  <w:r>
                    <w:rPr>
                      <w:rFonts w:asciiTheme="minorHAnsi" w:hAnsiTheme="minorHAnsi" w:cstheme="minorHAnsi"/>
                      <w:color w:val="000000"/>
                      <w:sz w:val="18"/>
                      <w:szCs w:val="18"/>
                    </w:rPr>
                    <w:t>9</w:t>
                  </w:r>
                </w:p>
              </w:tc>
              <w:tc>
                <w:tcPr>
                  <w:tcW w:w="446" w:type="pct"/>
                  <w:tcBorders>
                    <w:top w:val="nil"/>
                    <w:left w:val="nil"/>
                    <w:bottom w:val="nil"/>
                    <w:right w:val="nil"/>
                  </w:tcBorders>
                  <w:shd w:val="clear" w:color="auto" w:fill="auto"/>
                  <w:tcMar>
                    <w:left w:w="0" w:type="dxa"/>
                    <w:right w:w="0" w:type="dxa"/>
                  </w:tcMar>
                  <w:vAlign w:val="center"/>
                  <w:hideMark/>
                </w:tcPr>
                <w:p w14:paraId="7954A5BA"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0</w:t>
                  </w:r>
                </w:p>
              </w:tc>
              <w:tc>
                <w:tcPr>
                  <w:tcW w:w="563" w:type="pct"/>
                  <w:tcBorders>
                    <w:top w:val="nil"/>
                    <w:left w:val="nil"/>
                    <w:bottom w:val="nil"/>
                    <w:right w:val="nil"/>
                  </w:tcBorders>
                  <w:shd w:val="clear" w:color="auto" w:fill="auto"/>
                  <w:tcMar>
                    <w:left w:w="0" w:type="dxa"/>
                    <w:right w:w="0" w:type="dxa"/>
                  </w:tcMar>
                  <w:vAlign w:val="center"/>
                  <w:hideMark/>
                </w:tcPr>
                <w:p w14:paraId="7954A5BB"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47</w:t>
                  </w:r>
                </w:p>
              </w:tc>
              <w:tc>
                <w:tcPr>
                  <w:tcW w:w="446" w:type="pct"/>
                  <w:tcBorders>
                    <w:top w:val="nil"/>
                    <w:left w:val="nil"/>
                    <w:bottom w:val="nil"/>
                    <w:right w:val="nil"/>
                  </w:tcBorders>
                  <w:shd w:val="clear" w:color="auto" w:fill="auto"/>
                  <w:tcMar>
                    <w:left w:w="0" w:type="dxa"/>
                    <w:right w:w="0" w:type="dxa"/>
                  </w:tcMar>
                  <w:vAlign w:val="center"/>
                  <w:hideMark/>
                </w:tcPr>
                <w:p w14:paraId="7954A5BC"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w:t>
                  </w:r>
                  <w:r>
                    <w:rPr>
                      <w:rFonts w:asciiTheme="minorHAnsi" w:hAnsiTheme="minorHAnsi" w:cstheme="minorHAnsi"/>
                      <w:color w:val="000000"/>
                      <w:sz w:val="18"/>
                      <w:szCs w:val="18"/>
                    </w:rPr>
                    <w:t>8</w:t>
                  </w:r>
                </w:p>
              </w:tc>
              <w:tc>
                <w:tcPr>
                  <w:tcW w:w="446" w:type="pct"/>
                  <w:tcBorders>
                    <w:top w:val="nil"/>
                    <w:left w:val="nil"/>
                    <w:bottom w:val="nil"/>
                    <w:right w:val="nil"/>
                  </w:tcBorders>
                  <w:shd w:val="clear" w:color="auto" w:fill="auto"/>
                  <w:tcMar>
                    <w:left w:w="0" w:type="dxa"/>
                    <w:right w:w="0" w:type="dxa"/>
                  </w:tcMar>
                  <w:vAlign w:val="center"/>
                  <w:hideMark/>
                </w:tcPr>
                <w:p w14:paraId="7954A5BD"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77</w:t>
                  </w:r>
                </w:p>
              </w:tc>
              <w:tc>
                <w:tcPr>
                  <w:tcW w:w="446" w:type="pct"/>
                  <w:tcBorders>
                    <w:top w:val="nil"/>
                    <w:left w:val="nil"/>
                    <w:bottom w:val="nil"/>
                    <w:right w:val="nil"/>
                  </w:tcBorders>
                  <w:shd w:val="clear" w:color="auto" w:fill="auto"/>
                  <w:tcMar>
                    <w:left w:w="0" w:type="dxa"/>
                    <w:right w:w="0" w:type="dxa"/>
                  </w:tcMar>
                  <w:vAlign w:val="center"/>
                  <w:hideMark/>
                </w:tcPr>
                <w:p w14:paraId="7954A5BE"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8</w:t>
                  </w:r>
                </w:p>
              </w:tc>
              <w:tc>
                <w:tcPr>
                  <w:tcW w:w="446" w:type="pct"/>
                  <w:tcBorders>
                    <w:top w:val="nil"/>
                    <w:left w:val="nil"/>
                    <w:bottom w:val="nil"/>
                    <w:right w:val="nil"/>
                  </w:tcBorders>
                  <w:shd w:val="clear" w:color="auto" w:fill="auto"/>
                  <w:tcMar>
                    <w:left w:w="0" w:type="dxa"/>
                    <w:right w:w="0" w:type="dxa"/>
                  </w:tcMar>
                  <w:vAlign w:val="center"/>
                  <w:hideMark/>
                </w:tcPr>
                <w:p w14:paraId="7954A5BF"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26</w:t>
                  </w:r>
                </w:p>
              </w:tc>
            </w:tr>
            <w:tr w:rsidR="00F05DC7" w14:paraId="7954A5CA" w14:textId="77777777" w:rsidTr="00A3786D">
              <w:trPr>
                <w:trHeight w:val="288"/>
              </w:trPr>
              <w:tc>
                <w:tcPr>
                  <w:tcW w:w="1082" w:type="pct"/>
                  <w:tcBorders>
                    <w:top w:val="nil"/>
                    <w:left w:val="nil"/>
                    <w:bottom w:val="nil"/>
                    <w:right w:val="nil"/>
                  </w:tcBorders>
                  <w:shd w:val="clear" w:color="auto" w:fill="auto"/>
                  <w:tcMar>
                    <w:left w:w="0" w:type="dxa"/>
                    <w:right w:w="0" w:type="dxa"/>
                  </w:tcMar>
                  <w:vAlign w:val="center"/>
                  <w:hideMark/>
                </w:tcPr>
                <w:p w14:paraId="7954A5C1"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563" w:type="pct"/>
                  <w:tcBorders>
                    <w:top w:val="nil"/>
                    <w:left w:val="nil"/>
                    <w:bottom w:val="nil"/>
                    <w:right w:val="nil"/>
                  </w:tcBorders>
                  <w:shd w:val="clear" w:color="auto" w:fill="auto"/>
                  <w:tcMar>
                    <w:left w:w="0" w:type="dxa"/>
                    <w:right w:w="0" w:type="dxa"/>
                  </w:tcMar>
                  <w:vAlign w:val="center"/>
                  <w:hideMark/>
                </w:tcPr>
                <w:p w14:paraId="7954A5C2"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0.99</w:t>
                  </w:r>
                </w:p>
              </w:tc>
              <w:tc>
                <w:tcPr>
                  <w:tcW w:w="563" w:type="pct"/>
                  <w:tcBorders>
                    <w:top w:val="nil"/>
                    <w:left w:val="nil"/>
                    <w:bottom w:val="nil"/>
                    <w:right w:val="nil"/>
                  </w:tcBorders>
                  <w:shd w:val="clear" w:color="auto" w:fill="auto"/>
                  <w:tcMar>
                    <w:left w:w="0" w:type="dxa"/>
                    <w:right w:w="0" w:type="dxa"/>
                  </w:tcMar>
                  <w:vAlign w:val="center"/>
                  <w:hideMark/>
                </w:tcPr>
                <w:p w14:paraId="7954A5C3"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30</w:t>
                  </w:r>
                </w:p>
              </w:tc>
              <w:tc>
                <w:tcPr>
                  <w:tcW w:w="446" w:type="pct"/>
                  <w:tcBorders>
                    <w:top w:val="nil"/>
                    <w:left w:val="nil"/>
                    <w:bottom w:val="nil"/>
                    <w:right w:val="nil"/>
                  </w:tcBorders>
                  <w:shd w:val="clear" w:color="auto" w:fill="auto"/>
                  <w:tcMar>
                    <w:left w:w="0" w:type="dxa"/>
                    <w:right w:w="0" w:type="dxa"/>
                  </w:tcMar>
                  <w:vAlign w:val="center"/>
                  <w:hideMark/>
                </w:tcPr>
                <w:p w14:paraId="7954A5C4"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11</w:t>
                  </w:r>
                </w:p>
              </w:tc>
              <w:tc>
                <w:tcPr>
                  <w:tcW w:w="563" w:type="pct"/>
                  <w:tcBorders>
                    <w:top w:val="nil"/>
                    <w:left w:val="nil"/>
                    <w:bottom w:val="nil"/>
                    <w:right w:val="nil"/>
                  </w:tcBorders>
                  <w:shd w:val="clear" w:color="auto" w:fill="auto"/>
                  <w:tcMar>
                    <w:left w:w="0" w:type="dxa"/>
                    <w:right w:w="0" w:type="dxa"/>
                  </w:tcMar>
                  <w:vAlign w:val="center"/>
                  <w:hideMark/>
                </w:tcPr>
                <w:p w14:paraId="7954A5C5"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0.1</w:t>
                  </w:r>
                  <w:r>
                    <w:rPr>
                      <w:rFonts w:asciiTheme="minorHAnsi" w:hAnsiTheme="minorHAnsi" w:cstheme="minorHAnsi"/>
                      <w:color w:val="000000"/>
                      <w:sz w:val="18"/>
                      <w:szCs w:val="18"/>
                    </w:rPr>
                    <w:t>3</w:t>
                  </w:r>
                </w:p>
              </w:tc>
              <w:tc>
                <w:tcPr>
                  <w:tcW w:w="446" w:type="pct"/>
                  <w:tcBorders>
                    <w:top w:val="nil"/>
                    <w:left w:val="nil"/>
                    <w:bottom w:val="nil"/>
                    <w:right w:val="nil"/>
                  </w:tcBorders>
                  <w:shd w:val="clear" w:color="auto" w:fill="auto"/>
                  <w:tcMar>
                    <w:left w:w="0" w:type="dxa"/>
                    <w:right w:w="0" w:type="dxa"/>
                  </w:tcMar>
                  <w:vAlign w:val="center"/>
                  <w:hideMark/>
                </w:tcPr>
                <w:p w14:paraId="7954A5C6"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w:t>
                  </w:r>
                  <w:r>
                    <w:rPr>
                      <w:rFonts w:asciiTheme="minorHAnsi" w:hAnsiTheme="minorHAnsi" w:cstheme="minorHAnsi"/>
                      <w:color w:val="000000"/>
                      <w:sz w:val="18"/>
                      <w:szCs w:val="18"/>
                    </w:rPr>
                    <w:t>8</w:t>
                  </w:r>
                </w:p>
              </w:tc>
              <w:tc>
                <w:tcPr>
                  <w:tcW w:w="446" w:type="pct"/>
                  <w:tcBorders>
                    <w:top w:val="nil"/>
                    <w:left w:val="nil"/>
                    <w:bottom w:val="nil"/>
                    <w:right w:val="nil"/>
                  </w:tcBorders>
                  <w:shd w:val="clear" w:color="auto" w:fill="auto"/>
                  <w:tcMar>
                    <w:left w:w="0" w:type="dxa"/>
                    <w:right w:w="0" w:type="dxa"/>
                  </w:tcMar>
                  <w:vAlign w:val="center"/>
                  <w:hideMark/>
                </w:tcPr>
                <w:p w14:paraId="7954A5C7"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32</w:t>
                  </w:r>
                </w:p>
              </w:tc>
              <w:tc>
                <w:tcPr>
                  <w:tcW w:w="446" w:type="pct"/>
                  <w:tcBorders>
                    <w:top w:val="nil"/>
                    <w:left w:val="nil"/>
                    <w:bottom w:val="nil"/>
                    <w:right w:val="nil"/>
                  </w:tcBorders>
                  <w:shd w:val="clear" w:color="auto" w:fill="auto"/>
                  <w:tcMar>
                    <w:left w:w="0" w:type="dxa"/>
                    <w:right w:w="0" w:type="dxa"/>
                  </w:tcMar>
                  <w:vAlign w:val="center"/>
                  <w:hideMark/>
                </w:tcPr>
                <w:p w14:paraId="7954A5C8"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41</w:t>
                  </w:r>
                </w:p>
              </w:tc>
              <w:tc>
                <w:tcPr>
                  <w:tcW w:w="446" w:type="pct"/>
                  <w:tcBorders>
                    <w:top w:val="nil"/>
                    <w:left w:val="nil"/>
                    <w:bottom w:val="nil"/>
                    <w:right w:val="nil"/>
                  </w:tcBorders>
                  <w:shd w:val="clear" w:color="auto" w:fill="auto"/>
                  <w:tcMar>
                    <w:left w:w="0" w:type="dxa"/>
                    <w:right w:w="0" w:type="dxa"/>
                  </w:tcMar>
                  <w:vAlign w:val="center"/>
                  <w:hideMark/>
                </w:tcPr>
                <w:p w14:paraId="7954A5C9"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95</w:t>
                  </w:r>
                </w:p>
              </w:tc>
            </w:tr>
            <w:tr w:rsidR="00F05DC7" w14:paraId="7954A5D4" w14:textId="77777777" w:rsidTr="00A3786D">
              <w:trPr>
                <w:trHeight w:val="288"/>
              </w:trPr>
              <w:tc>
                <w:tcPr>
                  <w:tcW w:w="1082" w:type="pct"/>
                  <w:tcBorders>
                    <w:top w:val="nil"/>
                    <w:left w:val="nil"/>
                    <w:bottom w:val="nil"/>
                    <w:right w:val="nil"/>
                  </w:tcBorders>
                  <w:shd w:val="clear" w:color="auto" w:fill="auto"/>
                  <w:tcMar>
                    <w:left w:w="0" w:type="dxa"/>
                    <w:right w:w="0" w:type="dxa"/>
                  </w:tcMar>
                  <w:vAlign w:val="center"/>
                  <w:hideMark/>
                </w:tcPr>
                <w:p w14:paraId="7954A5CB" w14:textId="77777777" w:rsidR="00F05DC7" w:rsidRPr="00791D71" w:rsidRDefault="00F05DC7" w:rsidP="00A3786D">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563" w:type="pct"/>
                  <w:tcBorders>
                    <w:top w:val="nil"/>
                    <w:left w:val="nil"/>
                    <w:bottom w:val="nil"/>
                    <w:right w:val="nil"/>
                  </w:tcBorders>
                  <w:shd w:val="clear" w:color="auto" w:fill="auto"/>
                  <w:tcMar>
                    <w:left w:w="0" w:type="dxa"/>
                    <w:right w:w="0" w:type="dxa"/>
                  </w:tcMar>
                  <w:vAlign w:val="center"/>
                  <w:hideMark/>
                </w:tcPr>
                <w:p w14:paraId="7954A5CC"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w:t>
                  </w:r>
                  <w:r>
                    <w:rPr>
                      <w:rFonts w:asciiTheme="minorHAnsi" w:hAnsiTheme="minorHAnsi" w:cstheme="minorHAnsi"/>
                      <w:color w:val="000000"/>
                      <w:sz w:val="18"/>
                      <w:szCs w:val="18"/>
                    </w:rPr>
                    <w:t>9</w:t>
                  </w:r>
                </w:p>
              </w:tc>
              <w:tc>
                <w:tcPr>
                  <w:tcW w:w="563" w:type="pct"/>
                  <w:tcBorders>
                    <w:top w:val="nil"/>
                    <w:left w:val="nil"/>
                    <w:bottom w:val="nil"/>
                    <w:right w:val="nil"/>
                  </w:tcBorders>
                  <w:shd w:val="clear" w:color="auto" w:fill="auto"/>
                  <w:tcMar>
                    <w:left w:w="0" w:type="dxa"/>
                    <w:right w:w="0" w:type="dxa"/>
                  </w:tcMar>
                  <w:vAlign w:val="center"/>
                  <w:hideMark/>
                </w:tcPr>
                <w:p w14:paraId="7954A5CD"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31</w:t>
                  </w:r>
                </w:p>
              </w:tc>
              <w:tc>
                <w:tcPr>
                  <w:tcW w:w="446" w:type="pct"/>
                  <w:tcBorders>
                    <w:top w:val="nil"/>
                    <w:left w:val="nil"/>
                    <w:bottom w:val="nil"/>
                    <w:right w:val="nil"/>
                  </w:tcBorders>
                  <w:shd w:val="clear" w:color="auto" w:fill="auto"/>
                  <w:tcMar>
                    <w:left w:w="0" w:type="dxa"/>
                    <w:right w:w="0" w:type="dxa"/>
                  </w:tcMar>
                  <w:vAlign w:val="center"/>
                  <w:hideMark/>
                </w:tcPr>
                <w:p w14:paraId="7954A5CE"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0</w:t>
                  </w:r>
                </w:p>
              </w:tc>
              <w:tc>
                <w:tcPr>
                  <w:tcW w:w="563" w:type="pct"/>
                  <w:tcBorders>
                    <w:top w:val="nil"/>
                    <w:left w:val="nil"/>
                    <w:bottom w:val="nil"/>
                    <w:right w:val="nil"/>
                  </w:tcBorders>
                  <w:shd w:val="clear" w:color="auto" w:fill="auto"/>
                  <w:tcMar>
                    <w:left w:w="0" w:type="dxa"/>
                    <w:right w:w="0" w:type="dxa"/>
                  </w:tcMar>
                  <w:vAlign w:val="center"/>
                  <w:hideMark/>
                </w:tcPr>
                <w:p w14:paraId="7954A5CF"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70</w:t>
                  </w:r>
                </w:p>
              </w:tc>
              <w:tc>
                <w:tcPr>
                  <w:tcW w:w="446" w:type="pct"/>
                  <w:tcBorders>
                    <w:top w:val="nil"/>
                    <w:left w:val="nil"/>
                    <w:bottom w:val="nil"/>
                    <w:right w:val="nil"/>
                  </w:tcBorders>
                  <w:shd w:val="clear" w:color="auto" w:fill="auto"/>
                  <w:tcMar>
                    <w:left w:w="0" w:type="dxa"/>
                    <w:right w:w="0" w:type="dxa"/>
                  </w:tcMar>
                  <w:vAlign w:val="center"/>
                  <w:hideMark/>
                </w:tcPr>
                <w:p w14:paraId="7954A5D0"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4</w:t>
                  </w:r>
                </w:p>
              </w:tc>
              <w:tc>
                <w:tcPr>
                  <w:tcW w:w="446" w:type="pct"/>
                  <w:tcBorders>
                    <w:top w:val="nil"/>
                    <w:left w:val="nil"/>
                    <w:bottom w:val="nil"/>
                    <w:right w:val="nil"/>
                  </w:tcBorders>
                  <w:shd w:val="clear" w:color="auto" w:fill="auto"/>
                  <w:tcMar>
                    <w:left w:w="0" w:type="dxa"/>
                    <w:right w:w="0" w:type="dxa"/>
                  </w:tcMar>
                  <w:vAlign w:val="center"/>
                  <w:hideMark/>
                </w:tcPr>
                <w:p w14:paraId="7954A5D1"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17</w:t>
                  </w:r>
                </w:p>
              </w:tc>
              <w:tc>
                <w:tcPr>
                  <w:tcW w:w="446" w:type="pct"/>
                  <w:tcBorders>
                    <w:top w:val="nil"/>
                    <w:left w:val="nil"/>
                    <w:bottom w:val="nil"/>
                    <w:right w:val="nil"/>
                  </w:tcBorders>
                  <w:shd w:val="clear" w:color="auto" w:fill="auto"/>
                  <w:tcMar>
                    <w:left w:w="0" w:type="dxa"/>
                    <w:right w:w="0" w:type="dxa"/>
                  </w:tcMar>
                  <w:vAlign w:val="center"/>
                  <w:hideMark/>
                </w:tcPr>
                <w:p w14:paraId="7954A5D2"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82</w:t>
                  </w:r>
                </w:p>
              </w:tc>
              <w:tc>
                <w:tcPr>
                  <w:tcW w:w="446" w:type="pct"/>
                  <w:tcBorders>
                    <w:top w:val="nil"/>
                    <w:left w:val="nil"/>
                    <w:bottom w:val="nil"/>
                    <w:right w:val="nil"/>
                  </w:tcBorders>
                  <w:shd w:val="clear" w:color="auto" w:fill="auto"/>
                  <w:tcMar>
                    <w:left w:w="0" w:type="dxa"/>
                    <w:right w:w="0" w:type="dxa"/>
                  </w:tcMar>
                  <w:vAlign w:val="center"/>
                  <w:hideMark/>
                </w:tcPr>
                <w:p w14:paraId="7954A5D3"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62</w:t>
                  </w:r>
                </w:p>
              </w:tc>
            </w:tr>
            <w:tr w:rsidR="00F05DC7" w14:paraId="7954A5D6" w14:textId="77777777" w:rsidTr="00A3786D">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7954A5D5"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($m</w:t>
                  </w:r>
                  <w:r>
                    <w:rPr>
                      <w:rFonts w:asciiTheme="minorHAnsi" w:hAnsiTheme="minorHAnsi" w:cstheme="minorHAnsi"/>
                      <w:b/>
                      <w:bCs/>
                      <w:color w:val="000000"/>
                      <w:sz w:val="18"/>
                      <w:szCs w:val="18"/>
                    </w:rPr>
                    <w:t>illion</w:t>
                  </w:r>
                  <w:r w:rsidRPr="00791D71">
                    <w:rPr>
                      <w:rFonts w:asciiTheme="minorHAnsi" w:hAnsiTheme="minorHAnsi" w:cstheme="minorHAnsi"/>
                      <w:b/>
                      <w:bCs/>
                      <w:color w:val="000000"/>
                      <w:sz w:val="18"/>
                      <w:szCs w:val="18"/>
                    </w:rPr>
                    <w:t>)</w:t>
                  </w:r>
                </w:p>
              </w:tc>
            </w:tr>
            <w:tr w:rsidR="00F05DC7" w14:paraId="7954A5E0" w14:textId="77777777" w:rsidTr="00A3786D">
              <w:trPr>
                <w:trHeight w:val="288"/>
              </w:trPr>
              <w:tc>
                <w:tcPr>
                  <w:tcW w:w="1082" w:type="pct"/>
                  <w:tcBorders>
                    <w:top w:val="nil"/>
                    <w:left w:val="nil"/>
                    <w:bottom w:val="nil"/>
                    <w:right w:val="nil"/>
                  </w:tcBorders>
                  <w:shd w:val="clear" w:color="auto" w:fill="auto"/>
                  <w:tcMar>
                    <w:left w:w="0" w:type="dxa"/>
                    <w:right w:w="0" w:type="dxa"/>
                  </w:tcMar>
                  <w:vAlign w:val="center"/>
                  <w:hideMark/>
                </w:tcPr>
                <w:p w14:paraId="7954A5D7"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563" w:type="pct"/>
                  <w:tcBorders>
                    <w:top w:val="nil"/>
                    <w:left w:val="nil"/>
                    <w:bottom w:val="nil"/>
                    <w:right w:val="nil"/>
                  </w:tcBorders>
                  <w:shd w:val="clear" w:color="auto" w:fill="auto"/>
                  <w:tcMar>
                    <w:left w:w="0" w:type="dxa"/>
                    <w:right w:w="0" w:type="dxa"/>
                  </w:tcMar>
                  <w:vAlign w:val="center"/>
                  <w:hideMark/>
                </w:tcPr>
                <w:p w14:paraId="7954A5D8"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2 812</w:t>
                  </w:r>
                </w:p>
              </w:tc>
              <w:tc>
                <w:tcPr>
                  <w:tcW w:w="563" w:type="pct"/>
                  <w:tcBorders>
                    <w:top w:val="nil"/>
                    <w:left w:val="nil"/>
                    <w:bottom w:val="nil"/>
                    <w:right w:val="nil"/>
                  </w:tcBorders>
                  <w:shd w:val="clear" w:color="auto" w:fill="auto"/>
                  <w:tcMar>
                    <w:left w:w="0" w:type="dxa"/>
                    <w:right w:w="0" w:type="dxa"/>
                  </w:tcMar>
                  <w:vAlign w:val="center"/>
                  <w:hideMark/>
                </w:tcPr>
                <w:p w14:paraId="7954A5D9"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w:t>
                  </w:r>
                  <w:r>
                    <w:rPr>
                      <w:rFonts w:asciiTheme="minorHAnsi" w:hAnsiTheme="minorHAnsi" w:cstheme="minorHAnsi"/>
                      <w:color w:val="000000"/>
                      <w:sz w:val="18"/>
                      <w:szCs w:val="18"/>
                    </w:rPr>
                    <w:t> 225</w:t>
                  </w:r>
                </w:p>
              </w:tc>
              <w:tc>
                <w:tcPr>
                  <w:tcW w:w="446" w:type="pct"/>
                  <w:tcBorders>
                    <w:top w:val="nil"/>
                    <w:left w:val="nil"/>
                    <w:bottom w:val="nil"/>
                    <w:right w:val="nil"/>
                  </w:tcBorders>
                  <w:shd w:val="clear" w:color="auto" w:fill="auto"/>
                  <w:tcMar>
                    <w:left w:w="0" w:type="dxa"/>
                    <w:right w:w="0" w:type="dxa"/>
                  </w:tcMar>
                  <w:vAlign w:val="center"/>
                  <w:hideMark/>
                </w:tcPr>
                <w:p w14:paraId="7954A5DA"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93</w:t>
                  </w:r>
                </w:p>
              </w:tc>
              <w:tc>
                <w:tcPr>
                  <w:tcW w:w="563" w:type="pct"/>
                  <w:tcBorders>
                    <w:top w:val="nil"/>
                    <w:left w:val="nil"/>
                    <w:bottom w:val="nil"/>
                    <w:right w:val="nil"/>
                  </w:tcBorders>
                  <w:shd w:val="clear" w:color="auto" w:fill="auto"/>
                  <w:tcMar>
                    <w:left w:w="0" w:type="dxa"/>
                    <w:right w:w="0" w:type="dxa"/>
                  </w:tcMar>
                  <w:vAlign w:val="center"/>
                  <w:hideMark/>
                </w:tcPr>
                <w:p w14:paraId="7954A5DB"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-2 347</w:t>
                  </w:r>
                </w:p>
              </w:tc>
              <w:tc>
                <w:tcPr>
                  <w:tcW w:w="446" w:type="pct"/>
                  <w:tcBorders>
                    <w:top w:val="nil"/>
                    <w:left w:val="nil"/>
                    <w:bottom w:val="nil"/>
                    <w:right w:val="nil"/>
                  </w:tcBorders>
                  <w:shd w:val="clear" w:color="auto" w:fill="auto"/>
                  <w:tcMar>
                    <w:left w:w="0" w:type="dxa"/>
                    <w:right w:w="0" w:type="dxa"/>
                  </w:tcMar>
                  <w:vAlign w:val="center"/>
                  <w:hideMark/>
                </w:tcPr>
                <w:p w14:paraId="7954A5DC"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-926</w:t>
                  </w:r>
                </w:p>
              </w:tc>
              <w:tc>
                <w:tcPr>
                  <w:tcW w:w="446" w:type="pct"/>
                  <w:tcBorders>
                    <w:top w:val="nil"/>
                    <w:left w:val="nil"/>
                    <w:bottom w:val="nil"/>
                    <w:right w:val="nil"/>
                  </w:tcBorders>
                  <w:shd w:val="clear" w:color="auto" w:fill="auto"/>
                  <w:tcMar>
                    <w:left w:w="0" w:type="dxa"/>
                    <w:right w:w="0" w:type="dxa"/>
                  </w:tcMar>
                  <w:vAlign w:val="center"/>
                  <w:hideMark/>
                </w:tcPr>
                <w:p w14:paraId="7954A5DD"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-620</w:t>
                  </w:r>
                </w:p>
              </w:tc>
              <w:tc>
                <w:tcPr>
                  <w:tcW w:w="446" w:type="pct"/>
                  <w:tcBorders>
                    <w:top w:val="nil"/>
                    <w:left w:val="nil"/>
                    <w:bottom w:val="nil"/>
                    <w:right w:val="nil"/>
                  </w:tcBorders>
                  <w:shd w:val="clear" w:color="auto" w:fill="auto"/>
                  <w:tcMar>
                    <w:left w:w="0" w:type="dxa"/>
                    <w:right w:w="0" w:type="dxa"/>
                  </w:tcMar>
                  <w:vAlign w:val="center"/>
                  <w:hideMark/>
                </w:tcPr>
                <w:p w14:paraId="7954A5DE"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-845</w:t>
                  </w:r>
                </w:p>
              </w:tc>
              <w:tc>
                <w:tcPr>
                  <w:tcW w:w="446" w:type="pct"/>
                  <w:tcBorders>
                    <w:top w:val="nil"/>
                    <w:left w:val="nil"/>
                    <w:bottom w:val="nil"/>
                    <w:right w:val="nil"/>
                  </w:tcBorders>
                  <w:shd w:val="clear" w:color="auto" w:fill="auto"/>
                  <w:tcMar>
                    <w:left w:w="0" w:type="dxa"/>
                    <w:right w:w="0" w:type="dxa"/>
                  </w:tcMar>
                  <w:vAlign w:val="center"/>
                  <w:hideMark/>
                </w:tcPr>
                <w:p w14:paraId="7954A5DF"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r>
                    <w:rPr>
                      <w:rFonts w:asciiTheme="minorHAnsi" w:hAnsiTheme="minorHAnsi" w:cstheme="minorHAnsi"/>
                      <w:color w:val="000000"/>
                      <w:sz w:val="18"/>
                      <w:szCs w:val="18"/>
                    </w:rPr>
                    <w:t> 367</w:t>
                  </w:r>
                </w:p>
              </w:tc>
            </w:tr>
            <w:tr w:rsidR="00F05DC7" w14:paraId="7954A5EA" w14:textId="77777777" w:rsidTr="00A3786D">
              <w:trPr>
                <w:trHeight w:val="288"/>
              </w:trPr>
              <w:tc>
                <w:tcPr>
                  <w:tcW w:w="1082" w:type="pct"/>
                  <w:tcBorders>
                    <w:top w:val="nil"/>
                    <w:left w:val="nil"/>
                    <w:bottom w:val="nil"/>
                    <w:right w:val="nil"/>
                  </w:tcBorders>
                  <w:shd w:val="clear" w:color="auto" w:fill="auto"/>
                  <w:tcMar>
                    <w:left w:w="0" w:type="dxa"/>
                    <w:right w:w="0" w:type="dxa"/>
                  </w:tcMar>
                  <w:vAlign w:val="center"/>
                  <w:hideMark/>
                </w:tcPr>
                <w:p w14:paraId="7954A5E1" w14:textId="77777777" w:rsidR="00F05DC7" w:rsidRPr="00791D71" w:rsidRDefault="00F05DC7" w:rsidP="00A3786D">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563" w:type="pct"/>
                  <w:tcBorders>
                    <w:top w:val="nil"/>
                    <w:left w:val="nil"/>
                    <w:bottom w:val="nil"/>
                    <w:right w:val="nil"/>
                  </w:tcBorders>
                  <w:shd w:val="clear" w:color="auto" w:fill="auto"/>
                  <w:tcMar>
                    <w:left w:w="0" w:type="dxa"/>
                    <w:right w:w="0" w:type="dxa"/>
                  </w:tcMar>
                  <w:vAlign w:val="center"/>
                  <w:hideMark/>
                </w:tcPr>
                <w:p w14:paraId="7954A5E2"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653</w:t>
                  </w:r>
                </w:p>
              </w:tc>
              <w:tc>
                <w:tcPr>
                  <w:tcW w:w="563" w:type="pct"/>
                  <w:tcBorders>
                    <w:top w:val="nil"/>
                    <w:left w:val="nil"/>
                    <w:bottom w:val="nil"/>
                    <w:right w:val="nil"/>
                  </w:tcBorders>
                  <w:shd w:val="clear" w:color="auto" w:fill="auto"/>
                  <w:tcMar>
                    <w:left w:w="0" w:type="dxa"/>
                    <w:right w:w="0" w:type="dxa"/>
                  </w:tcMar>
                  <w:vAlign w:val="center"/>
                  <w:hideMark/>
                </w:tcPr>
                <w:p w14:paraId="7954A5E3"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5 492</w:t>
                  </w:r>
                </w:p>
              </w:tc>
              <w:tc>
                <w:tcPr>
                  <w:tcW w:w="446" w:type="pct"/>
                  <w:tcBorders>
                    <w:top w:val="nil"/>
                    <w:left w:val="nil"/>
                    <w:bottom w:val="nil"/>
                    <w:right w:val="nil"/>
                  </w:tcBorders>
                  <w:shd w:val="clear" w:color="auto" w:fill="auto"/>
                  <w:tcMar>
                    <w:left w:w="0" w:type="dxa"/>
                    <w:right w:w="0" w:type="dxa"/>
                  </w:tcMar>
                  <w:vAlign w:val="center"/>
                  <w:hideMark/>
                </w:tcPr>
                <w:p w14:paraId="7954A5E4"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43</w:t>
                  </w:r>
                </w:p>
              </w:tc>
              <w:tc>
                <w:tcPr>
                  <w:tcW w:w="563" w:type="pct"/>
                  <w:tcBorders>
                    <w:top w:val="nil"/>
                    <w:left w:val="nil"/>
                    <w:bottom w:val="nil"/>
                    <w:right w:val="nil"/>
                  </w:tcBorders>
                  <w:shd w:val="clear" w:color="auto" w:fill="auto"/>
                  <w:tcMar>
                    <w:left w:w="0" w:type="dxa"/>
                    <w:right w:w="0" w:type="dxa"/>
                  </w:tcMar>
                  <w:vAlign w:val="center"/>
                  <w:hideMark/>
                </w:tcPr>
                <w:p w14:paraId="7954A5E5"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1 545</w:t>
                  </w:r>
                </w:p>
              </w:tc>
              <w:tc>
                <w:tcPr>
                  <w:tcW w:w="446" w:type="pct"/>
                  <w:tcBorders>
                    <w:top w:val="nil"/>
                    <w:left w:val="nil"/>
                    <w:bottom w:val="nil"/>
                    <w:right w:val="nil"/>
                  </w:tcBorders>
                  <w:shd w:val="clear" w:color="auto" w:fill="auto"/>
                  <w:tcMar>
                    <w:left w:w="0" w:type="dxa"/>
                    <w:right w:w="0" w:type="dxa"/>
                  </w:tcMar>
                  <w:vAlign w:val="center"/>
                  <w:hideMark/>
                </w:tcPr>
                <w:p w14:paraId="7954A5E6"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556</w:t>
                  </w:r>
                </w:p>
              </w:tc>
              <w:tc>
                <w:tcPr>
                  <w:tcW w:w="446" w:type="pct"/>
                  <w:tcBorders>
                    <w:top w:val="nil"/>
                    <w:left w:val="nil"/>
                    <w:bottom w:val="nil"/>
                    <w:right w:val="nil"/>
                  </w:tcBorders>
                  <w:shd w:val="clear" w:color="auto" w:fill="auto"/>
                  <w:tcMar>
                    <w:left w:w="0" w:type="dxa"/>
                    <w:right w:w="0" w:type="dxa"/>
                  </w:tcMar>
                  <w:vAlign w:val="center"/>
                  <w:hideMark/>
                </w:tcPr>
                <w:p w14:paraId="7954A5E7"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-829</w:t>
                  </w:r>
                </w:p>
              </w:tc>
              <w:tc>
                <w:tcPr>
                  <w:tcW w:w="446" w:type="pct"/>
                  <w:tcBorders>
                    <w:top w:val="nil"/>
                    <w:left w:val="nil"/>
                    <w:bottom w:val="nil"/>
                    <w:right w:val="nil"/>
                  </w:tcBorders>
                  <w:shd w:val="clear" w:color="auto" w:fill="auto"/>
                  <w:tcMar>
                    <w:left w:w="0" w:type="dxa"/>
                    <w:right w:w="0" w:type="dxa"/>
                  </w:tcMar>
                  <w:vAlign w:val="center"/>
                  <w:hideMark/>
                </w:tcPr>
                <w:p w14:paraId="7954A5E8"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-2 194</w:t>
                  </w:r>
                </w:p>
              </w:tc>
              <w:tc>
                <w:tcPr>
                  <w:tcW w:w="446" w:type="pct"/>
                  <w:tcBorders>
                    <w:top w:val="nil"/>
                    <w:left w:val="nil"/>
                    <w:bottom w:val="nil"/>
                    <w:right w:val="nil"/>
                  </w:tcBorders>
                  <w:shd w:val="clear" w:color="auto" w:fill="auto"/>
                  <w:tcMar>
                    <w:left w:w="0" w:type="dxa"/>
                    <w:right w:w="0" w:type="dxa"/>
                  </w:tcMar>
                  <w:vAlign w:val="center"/>
                  <w:hideMark/>
                </w:tcPr>
                <w:p w14:paraId="7954A5E9"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-3 154</w:t>
                  </w:r>
                </w:p>
              </w:tc>
            </w:tr>
            <w:tr w:rsidR="00F05DC7" w14:paraId="7954A5EC" w14:textId="77777777" w:rsidTr="00A3786D">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7954A5EB"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($per capita)</w:t>
                  </w:r>
                </w:p>
              </w:tc>
            </w:tr>
            <w:tr w:rsidR="00F05DC7" w14:paraId="7954A5F6" w14:textId="77777777" w:rsidTr="00A3786D">
              <w:trPr>
                <w:trHeight w:val="288"/>
              </w:trPr>
              <w:tc>
                <w:tcPr>
                  <w:tcW w:w="1082" w:type="pct"/>
                  <w:tcBorders>
                    <w:top w:val="nil"/>
                    <w:left w:val="nil"/>
                    <w:bottom w:val="nil"/>
                    <w:right w:val="nil"/>
                  </w:tcBorders>
                  <w:shd w:val="clear" w:color="auto" w:fill="auto"/>
                  <w:tcMar>
                    <w:left w:w="0" w:type="dxa"/>
                    <w:right w:w="0" w:type="dxa"/>
                  </w:tcMar>
                  <w:vAlign w:val="center"/>
                  <w:hideMark/>
                </w:tcPr>
                <w:p w14:paraId="7954A5ED"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563" w:type="pct"/>
                  <w:tcBorders>
                    <w:top w:val="nil"/>
                    <w:left w:val="nil"/>
                    <w:bottom w:val="nil"/>
                    <w:right w:val="nil"/>
                  </w:tcBorders>
                  <w:shd w:val="clear" w:color="auto" w:fill="auto"/>
                  <w:tcMar>
                    <w:left w:w="0" w:type="dxa"/>
                    <w:right w:w="0" w:type="dxa"/>
                  </w:tcMar>
                  <w:vAlign w:val="center"/>
                  <w:hideMark/>
                </w:tcPr>
                <w:p w14:paraId="7954A5EE"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350</w:t>
                  </w:r>
                </w:p>
              </w:tc>
              <w:tc>
                <w:tcPr>
                  <w:tcW w:w="563" w:type="pct"/>
                  <w:tcBorders>
                    <w:top w:val="nil"/>
                    <w:left w:val="nil"/>
                    <w:bottom w:val="nil"/>
                    <w:right w:val="nil"/>
                  </w:tcBorders>
                  <w:shd w:val="clear" w:color="auto" w:fill="auto"/>
                  <w:tcMar>
                    <w:left w:w="0" w:type="dxa"/>
                    <w:right w:w="0" w:type="dxa"/>
                  </w:tcMar>
                  <w:vAlign w:val="center"/>
                  <w:hideMark/>
                </w:tcPr>
                <w:p w14:paraId="7954A5EF"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804</w:t>
                  </w:r>
                </w:p>
              </w:tc>
              <w:tc>
                <w:tcPr>
                  <w:tcW w:w="446" w:type="pct"/>
                  <w:tcBorders>
                    <w:top w:val="nil"/>
                    <w:left w:val="nil"/>
                    <w:bottom w:val="nil"/>
                    <w:right w:val="nil"/>
                  </w:tcBorders>
                  <w:shd w:val="clear" w:color="auto" w:fill="auto"/>
                  <w:tcMar>
                    <w:left w:w="0" w:type="dxa"/>
                    <w:right w:w="0" w:type="dxa"/>
                  </w:tcMar>
                  <w:vAlign w:val="center"/>
                  <w:hideMark/>
                </w:tcPr>
                <w:p w14:paraId="7954A5F0"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19</w:t>
                  </w:r>
                </w:p>
              </w:tc>
              <w:tc>
                <w:tcPr>
                  <w:tcW w:w="563" w:type="pct"/>
                  <w:tcBorders>
                    <w:top w:val="nil"/>
                    <w:left w:val="nil"/>
                    <w:bottom w:val="nil"/>
                    <w:right w:val="nil"/>
                  </w:tcBorders>
                  <w:shd w:val="clear" w:color="auto" w:fill="auto"/>
                  <w:tcMar>
                    <w:left w:w="0" w:type="dxa"/>
                    <w:right w:w="0" w:type="dxa"/>
                  </w:tcMar>
                  <w:vAlign w:val="center"/>
                  <w:hideMark/>
                </w:tcPr>
                <w:p w14:paraId="7954A5F1"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-906</w:t>
                  </w:r>
                </w:p>
              </w:tc>
              <w:tc>
                <w:tcPr>
                  <w:tcW w:w="446" w:type="pct"/>
                  <w:tcBorders>
                    <w:top w:val="nil"/>
                    <w:left w:val="nil"/>
                    <w:bottom w:val="nil"/>
                    <w:right w:val="nil"/>
                  </w:tcBorders>
                  <w:shd w:val="clear" w:color="auto" w:fill="auto"/>
                  <w:tcMar>
                    <w:left w:w="0" w:type="dxa"/>
                    <w:right w:w="0" w:type="dxa"/>
                  </w:tcMar>
                  <w:vAlign w:val="center"/>
                  <w:hideMark/>
                </w:tcPr>
                <w:p w14:paraId="7954A5F2"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-532</w:t>
                  </w:r>
                </w:p>
              </w:tc>
              <w:tc>
                <w:tcPr>
                  <w:tcW w:w="446" w:type="pct"/>
                  <w:tcBorders>
                    <w:top w:val="nil"/>
                    <w:left w:val="nil"/>
                    <w:bottom w:val="nil"/>
                    <w:right w:val="nil"/>
                  </w:tcBorders>
                  <w:shd w:val="clear" w:color="auto" w:fill="auto"/>
                  <w:tcMar>
                    <w:left w:w="0" w:type="dxa"/>
                    <w:right w:w="0" w:type="dxa"/>
                  </w:tcMar>
                  <w:vAlign w:val="center"/>
                  <w:hideMark/>
                </w:tcPr>
                <w:p w14:paraId="7954A5F3"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w:t>
                  </w:r>
                  <w:r>
                    <w:rPr>
                      <w:rFonts w:asciiTheme="minorHAnsi" w:hAnsiTheme="minorHAnsi" w:cstheme="minorHAnsi"/>
                      <w:color w:val="000000"/>
                      <w:sz w:val="18"/>
                      <w:szCs w:val="18"/>
                    </w:rPr>
                    <w:t>1 182</w:t>
                  </w:r>
                </w:p>
              </w:tc>
              <w:tc>
                <w:tcPr>
                  <w:tcW w:w="446" w:type="pct"/>
                  <w:tcBorders>
                    <w:top w:val="nil"/>
                    <w:left w:val="nil"/>
                    <w:bottom w:val="nil"/>
                    <w:right w:val="nil"/>
                  </w:tcBorders>
                  <w:shd w:val="clear" w:color="auto" w:fill="auto"/>
                  <w:tcMar>
                    <w:left w:w="0" w:type="dxa"/>
                    <w:right w:w="0" w:type="dxa"/>
                  </w:tcMar>
                  <w:vAlign w:val="center"/>
                  <w:hideMark/>
                </w:tcPr>
                <w:p w14:paraId="7954A5F4"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018</w:t>
                  </w:r>
                </w:p>
              </w:tc>
              <w:tc>
                <w:tcPr>
                  <w:tcW w:w="446" w:type="pct"/>
                  <w:tcBorders>
                    <w:top w:val="nil"/>
                    <w:left w:val="nil"/>
                    <w:bottom w:val="nil"/>
                    <w:right w:val="nil"/>
                  </w:tcBorders>
                  <w:shd w:val="clear" w:color="auto" w:fill="auto"/>
                  <w:tcMar>
                    <w:left w:w="0" w:type="dxa"/>
                    <w:right w:w="0" w:type="dxa"/>
                  </w:tcMar>
                  <w:vAlign w:val="center"/>
                  <w:hideMark/>
                </w:tcPr>
                <w:p w14:paraId="7954A5F5"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w:t>
                  </w:r>
                  <w:r>
                    <w:rPr>
                      <w:rFonts w:asciiTheme="minorHAnsi" w:hAnsiTheme="minorHAnsi" w:cstheme="minorHAnsi"/>
                      <w:color w:val="000000"/>
                      <w:sz w:val="18"/>
                      <w:szCs w:val="18"/>
                    </w:rPr>
                    <w:t> 665</w:t>
                  </w:r>
                </w:p>
              </w:tc>
            </w:tr>
            <w:tr w:rsidR="00F05DC7" w14:paraId="7954A600" w14:textId="77777777" w:rsidTr="00A3786D">
              <w:trPr>
                <w:trHeight w:val="300"/>
              </w:trPr>
              <w:tc>
                <w:tcPr>
                  <w:tcW w:w="1082" w:type="pct"/>
                  <w:tcBorders>
                    <w:top w:val="nil"/>
                    <w:left w:val="nil"/>
                    <w:bottom w:val="nil"/>
                    <w:right w:val="nil"/>
                  </w:tcBorders>
                  <w:shd w:val="clear" w:color="auto" w:fill="auto"/>
                  <w:tcMar>
                    <w:left w:w="0" w:type="dxa"/>
                    <w:right w:w="0" w:type="dxa"/>
                  </w:tcMar>
                  <w:vAlign w:val="center"/>
                  <w:hideMark/>
                </w:tcPr>
                <w:p w14:paraId="7954A5F7" w14:textId="77777777" w:rsidR="00F05DC7" w:rsidRPr="00791D71" w:rsidRDefault="00F05DC7" w:rsidP="00A3786D">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563" w:type="pct"/>
                  <w:tcBorders>
                    <w:top w:val="nil"/>
                    <w:left w:val="nil"/>
                    <w:bottom w:val="nil"/>
                    <w:right w:val="nil"/>
                  </w:tcBorders>
                  <w:shd w:val="clear" w:color="auto" w:fill="auto"/>
                  <w:tcMar>
                    <w:left w:w="0" w:type="dxa"/>
                    <w:right w:w="0" w:type="dxa"/>
                  </w:tcMar>
                  <w:vAlign w:val="center"/>
                  <w:hideMark/>
                </w:tcPr>
                <w:p w14:paraId="7954A5F8"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81</w:t>
                  </w:r>
                </w:p>
              </w:tc>
              <w:tc>
                <w:tcPr>
                  <w:tcW w:w="563" w:type="pct"/>
                  <w:tcBorders>
                    <w:top w:val="nil"/>
                    <w:left w:val="nil"/>
                    <w:bottom w:val="nil"/>
                    <w:right w:val="nil"/>
                  </w:tcBorders>
                  <w:shd w:val="clear" w:color="auto" w:fill="auto"/>
                  <w:tcMar>
                    <w:left w:w="0" w:type="dxa"/>
                    <w:right w:w="0" w:type="dxa"/>
                  </w:tcMar>
                  <w:vAlign w:val="center"/>
                  <w:hideMark/>
                </w:tcPr>
                <w:p w14:paraId="7954A5F9"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845</w:t>
                  </w:r>
                </w:p>
              </w:tc>
              <w:tc>
                <w:tcPr>
                  <w:tcW w:w="446" w:type="pct"/>
                  <w:tcBorders>
                    <w:top w:val="nil"/>
                    <w:left w:val="nil"/>
                    <w:bottom w:val="nil"/>
                    <w:right w:val="nil"/>
                  </w:tcBorders>
                  <w:shd w:val="clear" w:color="auto" w:fill="auto"/>
                  <w:tcMar>
                    <w:left w:w="0" w:type="dxa"/>
                    <w:right w:w="0" w:type="dxa"/>
                  </w:tcMar>
                  <w:vAlign w:val="center"/>
                  <w:hideMark/>
                </w:tcPr>
                <w:p w14:paraId="7954A5FA"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9</w:t>
                  </w:r>
                </w:p>
              </w:tc>
              <w:tc>
                <w:tcPr>
                  <w:tcW w:w="563" w:type="pct"/>
                  <w:tcBorders>
                    <w:top w:val="nil"/>
                    <w:left w:val="nil"/>
                    <w:bottom w:val="nil"/>
                    <w:right w:val="nil"/>
                  </w:tcBorders>
                  <w:shd w:val="clear" w:color="auto" w:fill="auto"/>
                  <w:tcMar>
                    <w:left w:w="0" w:type="dxa"/>
                    <w:right w:w="0" w:type="dxa"/>
                  </w:tcMar>
                  <w:vAlign w:val="center"/>
                  <w:hideMark/>
                </w:tcPr>
                <w:p w14:paraId="7954A5FB"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590</w:t>
                  </w:r>
                </w:p>
              </w:tc>
              <w:tc>
                <w:tcPr>
                  <w:tcW w:w="446" w:type="pct"/>
                  <w:tcBorders>
                    <w:top w:val="nil"/>
                    <w:left w:val="nil"/>
                    <w:bottom w:val="nil"/>
                    <w:right w:val="nil"/>
                  </w:tcBorders>
                  <w:shd w:val="clear" w:color="auto" w:fill="auto"/>
                  <w:tcMar>
                    <w:left w:w="0" w:type="dxa"/>
                    <w:right w:w="0" w:type="dxa"/>
                  </w:tcMar>
                  <w:vAlign w:val="center"/>
                  <w:hideMark/>
                </w:tcPr>
                <w:p w14:paraId="7954A5FC"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-894</w:t>
                  </w:r>
                </w:p>
              </w:tc>
              <w:tc>
                <w:tcPr>
                  <w:tcW w:w="446" w:type="pct"/>
                  <w:tcBorders>
                    <w:top w:val="nil"/>
                    <w:left w:val="nil"/>
                    <w:bottom w:val="nil"/>
                    <w:right w:val="nil"/>
                  </w:tcBorders>
                  <w:shd w:val="clear" w:color="auto" w:fill="auto"/>
                  <w:tcMar>
                    <w:left w:w="0" w:type="dxa"/>
                    <w:right w:w="0" w:type="dxa"/>
                  </w:tcMar>
                  <w:vAlign w:val="center"/>
                  <w:hideMark/>
                </w:tcPr>
                <w:p w14:paraId="7954A5FD"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5</w:t>
                  </w:r>
                  <w:r w:rsidRPr="00791D71">
                    <w:rPr>
                      <w:rFonts w:asciiTheme="minorHAnsi" w:hAnsiTheme="minorHAnsi" w:cstheme="minorHAnsi"/>
                      <w:color w:val="000000"/>
                      <w:sz w:val="18"/>
                      <w:szCs w:val="18"/>
                    </w:rPr>
                    <w:t>8</w:t>
                  </w:r>
                  <w:r>
                    <w:rPr>
                      <w:rFonts w:asciiTheme="minorHAnsi" w:hAnsiTheme="minorHAnsi" w:cstheme="minorHAnsi"/>
                      <w:color w:val="000000"/>
                      <w:sz w:val="18"/>
                      <w:szCs w:val="18"/>
                    </w:rPr>
                    <w:t>1</w:t>
                  </w:r>
                </w:p>
              </w:tc>
              <w:tc>
                <w:tcPr>
                  <w:tcW w:w="446" w:type="pct"/>
                  <w:tcBorders>
                    <w:top w:val="nil"/>
                    <w:left w:val="nil"/>
                    <w:bottom w:val="nil"/>
                    <w:right w:val="nil"/>
                  </w:tcBorders>
                  <w:shd w:val="clear" w:color="auto" w:fill="auto"/>
                  <w:tcMar>
                    <w:left w:w="0" w:type="dxa"/>
                    <w:right w:w="0" w:type="dxa"/>
                  </w:tcMar>
                  <w:vAlign w:val="center"/>
                  <w:hideMark/>
                </w:tcPr>
                <w:p w14:paraId="7954A5FE"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-5 241</w:t>
                  </w:r>
                </w:p>
              </w:tc>
              <w:tc>
                <w:tcPr>
                  <w:tcW w:w="446" w:type="pct"/>
                  <w:tcBorders>
                    <w:top w:val="nil"/>
                    <w:left w:val="nil"/>
                    <w:bottom w:val="nil"/>
                    <w:right w:val="nil"/>
                  </w:tcBorders>
                  <w:shd w:val="clear" w:color="auto" w:fill="auto"/>
                  <w:tcMar>
                    <w:left w:w="0" w:type="dxa"/>
                    <w:right w:w="0" w:type="dxa"/>
                  </w:tcMar>
                  <w:vAlign w:val="center"/>
                  <w:hideMark/>
                </w:tcPr>
                <w:p w14:paraId="7954A5FF"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w:t>
                  </w:r>
                  <w:r>
                    <w:rPr>
                      <w:rFonts w:asciiTheme="minorHAnsi" w:hAnsiTheme="minorHAnsi" w:cstheme="minorHAnsi"/>
                      <w:color w:val="000000"/>
                      <w:sz w:val="18"/>
                      <w:szCs w:val="18"/>
                    </w:rPr>
                    <w:t> 801</w:t>
                  </w:r>
                </w:p>
              </w:tc>
            </w:tr>
            <w:tr w:rsidR="00F05DC7" w14:paraId="7954A602" w14:textId="77777777" w:rsidTr="00A3786D">
              <w:trPr>
                <w:trHeight w:val="300"/>
              </w:trPr>
              <w:tc>
                <w:tcPr>
                  <w:tcW w:w="5000" w:type="pct"/>
                  <w:gridSpan w:val="9"/>
                  <w:tcBorders>
                    <w:top w:val="nil"/>
                    <w:left w:val="nil"/>
                    <w:bottom w:val="nil"/>
                    <w:right w:val="nil"/>
                  </w:tcBorders>
                  <w:shd w:val="clear" w:color="auto" w:fill="auto"/>
                  <w:tcMar>
                    <w:left w:w="0" w:type="dxa"/>
                    <w:right w:w="0" w:type="dxa"/>
                  </w:tcMar>
                  <w:vAlign w:val="center"/>
                </w:tcPr>
                <w:p w14:paraId="7954A601" w14:textId="77777777" w:rsidR="00F05DC7" w:rsidRPr="00791D71" w:rsidRDefault="00F05DC7" w:rsidP="00A3786D">
                  <w:pPr>
                    <w:spacing w:before="80"/>
                    <w:ind w:right="57"/>
                    <w:rPr>
                      <w:rFonts w:asciiTheme="minorHAnsi" w:hAnsiTheme="minorHAnsi" w:cstheme="minorHAnsi"/>
                      <w:color w:val="000000"/>
                      <w:sz w:val="18"/>
                      <w:szCs w:val="18"/>
                    </w:rPr>
                  </w:pPr>
                  <w:r w:rsidRPr="00546A94">
                    <w:rPr>
                      <w:rFonts w:asciiTheme="minorHAnsi" w:hAnsiTheme="minorHAnsi" w:cstheme="minorHAnsi"/>
                      <w:b/>
                      <w:color w:val="000000"/>
                      <w:sz w:val="18"/>
                      <w:szCs w:val="18"/>
                    </w:rPr>
                    <w:t>Total redistribution from EPC</w:t>
                  </w:r>
                </w:p>
              </w:tc>
            </w:tr>
            <w:tr w:rsidR="00F05DC7" w14:paraId="7954A605" w14:textId="77777777" w:rsidTr="00A3786D">
              <w:trPr>
                <w:trHeight w:val="300"/>
              </w:trPr>
              <w:tc>
                <w:tcPr>
                  <w:tcW w:w="1082" w:type="pct"/>
                  <w:tcBorders>
                    <w:top w:val="nil"/>
                    <w:left w:val="nil"/>
                    <w:bottom w:val="nil"/>
                    <w:right w:val="nil"/>
                  </w:tcBorders>
                  <w:shd w:val="clear" w:color="auto" w:fill="auto"/>
                  <w:tcMar>
                    <w:left w:w="0" w:type="dxa"/>
                    <w:right w:w="0" w:type="dxa"/>
                  </w:tcMar>
                  <w:vAlign w:val="center"/>
                </w:tcPr>
                <w:p w14:paraId="7954A603" w14:textId="77777777" w:rsidR="00F05DC7"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3918" w:type="pct"/>
                  <w:gridSpan w:val="8"/>
                  <w:tcBorders>
                    <w:top w:val="nil"/>
                    <w:left w:val="nil"/>
                    <w:bottom w:val="nil"/>
                    <w:right w:val="nil"/>
                  </w:tcBorders>
                  <w:shd w:val="clear" w:color="auto" w:fill="auto"/>
                  <w:tcMar>
                    <w:left w:w="0" w:type="dxa"/>
                    <w:right w:w="0" w:type="dxa"/>
                  </w:tcMar>
                  <w:vAlign w:val="center"/>
                </w:tcPr>
                <w:p w14:paraId="7954A604" w14:textId="77777777" w:rsidR="00F05DC7" w:rsidRDefault="00F05DC7" w:rsidP="00A3786D">
                  <w:pPr>
                    <w:ind w:right="57"/>
                    <w:jc w:val="right"/>
                    <w:rPr>
                      <w:rFonts w:asciiTheme="minorHAnsi" w:hAnsiTheme="minorHAnsi" w:cstheme="minorHAnsi"/>
                      <w:color w:val="000000"/>
                      <w:sz w:val="18"/>
                      <w:szCs w:val="18"/>
                    </w:rPr>
                  </w:pPr>
                  <w:r w:rsidRPr="000337D9">
                    <w:rPr>
                      <w:rFonts w:asciiTheme="minorHAnsi" w:hAnsiTheme="minorHAnsi" w:cstheme="minorHAnsi"/>
                      <w:color w:val="000000"/>
                      <w:sz w:val="18"/>
                      <w:szCs w:val="18"/>
                    </w:rPr>
                    <w:t xml:space="preserve">$6 840 </w:t>
                  </w:r>
                  <w:r>
                    <w:rPr>
                      <w:rFonts w:ascii="Arial" w:hAnsi="Arial" w:cs="Arial"/>
                      <w:color w:val="000000"/>
                      <w:sz w:val="18"/>
                      <w:szCs w:val="18"/>
                    </w:rPr>
                    <w:t>million</w:t>
                  </w:r>
                </w:p>
              </w:tc>
            </w:tr>
            <w:tr w:rsidR="00F05DC7" w14:paraId="7954A608" w14:textId="77777777" w:rsidTr="00A3786D">
              <w:trPr>
                <w:trHeight w:val="300"/>
              </w:trPr>
              <w:tc>
                <w:tcPr>
                  <w:tcW w:w="1082" w:type="pct"/>
                  <w:tcBorders>
                    <w:top w:val="nil"/>
                    <w:left w:val="nil"/>
                    <w:bottom w:val="nil"/>
                    <w:right w:val="nil"/>
                  </w:tcBorders>
                  <w:shd w:val="clear" w:color="auto" w:fill="auto"/>
                  <w:tcMar>
                    <w:left w:w="0" w:type="dxa"/>
                    <w:right w:w="0" w:type="dxa"/>
                  </w:tcMar>
                  <w:vAlign w:val="center"/>
                </w:tcPr>
                <w:p w14:paraId="7954A606" w14:textId="77777777" w:rsidR="00F05DC7"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3918" w:type="pct"/>
                  <w:gridSpan w:val="8"/>
                  <w:tcBorders>
                    <w:top w:val="nil"/>
                    <w:left w:val="nil"/>
                    <w:bottom w:val="nil"/>
                    <w:right w:val="nil"/>
                  </w:tcBorders>
                  <w:shd w:val="clear" w:color="auto" w:fill="auto"/>
                  <w:tcMar>
                    <w:left w:w="0" w:type="dxa"/>
                    <w:right w:w="0" w:type="dxa"/>
                  </w:tcMar>
                  <w:vAlign w:val="center"/>
                </w:tcPr>
                <w:p w14:paraId="7954A607" w14:textId="77777777" w:rsidR="00F05DC7"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$8 103</w:t>
                  </w:r>
                  <w:r w:rsidRPr="00065E17">
                    <w:rPr>
                      <w:rFonts w:asciiTheme="minorHAnsi" w:hAnsiTheme="minorHAnsi" w:cstheme="minorHAnsi"/>
                      <w:color w:val="000000"/>
                      <w:sz w:val="18"/>
                      <w:szCs w:val="18"/>
                    </w:rPr>
                    <w:t> million</w:t>
                  </w:r>
                </w:p>
              </w:tc>
            </w:tr>
            <w:tr w:rsidR="00F05DC7" w14:paraId="7954A60B" w14:textId="77777777" w:rsidTr="00A3786D">
              <w:trPr>
                <w:trHeight w:val="300"/>
              </w:trPr>
              <w:tc>
                <w:tcPr>
                  <w:tcW w:w="1082" w:type="pct"/>
                  <w:tcBorders>
                    <w:top w:val="nil"/>
                    <w:left w:val="nil"/>
                    <w:bottom w:val="single" w:sz="8" w:space="0" w:color="BFBFBF"/>
                    <w:right w:val="nil"/>
                  </w:tcBorders>
                  <w:shd w:val="clear" w:color="auto" w:fill="auto"/>
                  <w:tcMar>
                    <w:left w:w="0" w:type="dxa"/>
                    <w:right w:w="0" w:type="dxa"/>
                  </w:tcMar>
                  <w:vAlign w:val="center"/>
                </w:tcPr>
                <w:p w14:paraId="7954A609" w14:textId="77777777" w:rsidR="00F05DC7" w:rsidRDefault="00F05DC7" w:rsidP="00A3786D">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3918" w:type="pct"/>
                  <w:gridSpan w:val="8"/>
                  <w:tcBorders>
                    <w:top w:val="nil"/>
                    <w:left w:val="nil"/>
                    <w:bottom w:val="single" w:sz="8" w:space="0" w:color="BFBFBF"/>
                    <w:right w:val="nil"/>
                  </w:tcBorders>
                  <w:shd w:val="clear" w:color="auto" w:fill="auto"/>
                  <w:tcMar>
                    <w:left w:w="0" w:type="dxa"/>
                    <w:right w:w="0" w:type="dxa"/>
                  </w:tcMar>
                  <w:vAlign w:val="center"/>
                </w:tcPr>
                <w:p w14:paraId="7954A60A" w14:textId="77777777" w:rsidR="00F05DC7" w:rsidRDefault="00F05DC7" w:rsidP="00A3786D">
                  <w:pPr>
                    <w:ind w:right="57"/>
                    <w:jc w:val="right"/>
                    <w:rPr>
                      <w:rFonts w:asciiTheme="minorHAnsi" w:hAnsiTheme="minorHAnsi" w:cstheme="minorHAnsi"/>
                      <w:color w:val="000000"/>
                      <w:sz w:val="18"/>
                      <w:szCs w:val="18"/>
                    </w:rPr>
                  </w:pPr>
                  <w:r w:rsidRPr="00F45F7D">
                    <w:rPr>
                      <w:rFonts w:asciiTheme="minorHAnsi" w:hAnsiTheme="minorHAnsi" w:cstheme="minorHAnsi"/>
                      <w:color w:val="000000"/>
                      <w:sz w:val="18"/>
                      <w:szCs w:val="18"/>
                    </w:rPr>
                    <w:t>$</w:t>
                  </w:r>
                  <w:r>
                    <w:rPr>
                      <w:rFonts w:asciiTheme="minorHAnsi" w:hAnsiTheme="minorHAnsi" w:cstheme="minorHAnsi"/>
                      <w:color w:val="000000"/>
                      <w:sz w:val="18"/>
                      <w:szCs w:val="18"/>
                    </w:rPr>
                    <w:t>7 479</w:t>
                  </w:r>
                  <w:r w:rsidRPr="00F45F7D">
                    <w:rPr>
                      <w:rFonts w:asciiTheme="minorHAnsi" w:hAnsiTheme="minorHAnsi" w:cstheme="minorHAnsi"/>
                      <w:color w:val="000000"/>
                      <w:sz w:val="18"/>
                      <w:szCs w:val="18"/>
                    </w:rPr>
                    <w:t> million</w:t>
                  </w:r>
                </w:p>
              </w:tc>
            </w:tr>
          </w:tbl>
          <w:p w14:paraId="7954A60C" w14:textId="77777777" w:rsidR="00F05DC7" w:rsidRDefault="00F05DC7" w:rsidP="00A3786D">
            <w:pPr>
              <w:pStyle w:val="Box"/>
            </w:pPr>
          </w:p>
        </w:tc>
      </w:tr>
      <w:tr w:rsidR="00F05DC7" w14:paraId="7954A60F" w14:textId="77777777" w:rsidTr="00A3786D">
        <w:tc>
          <w:tcPr>
            <w:tcW w:w="5000" w:type="pct"/>
            <w:tcBorders>
              <w:top w:val="nil"/>
              <w:left w:val="nil"/>
              <w:bottom w:val="nil"/>
              <w:right w:val="nil"/>
            </w:tcBorders>
            <w:shd w:val="clear" w:color="auto" w:fill="auto"/>
          </w:tcPr>
          <w:p w14:paraId="7954A60E" w14:textId="77777777" w:rsidR="00F05DC7" w:rsidRDefault="00F05DC7" w:rsidP="00A3786D">
            <w:pPr>
              <w:pStyle w:val="Source"/>
            </w:pPr>
            <w:r>
              <w:rPr>
                <w:i/>
              </w:rPr>
              <w:t>Sources</w:t>
            </w:r>
            <w:r w:rsidRPr="00167F06">
              <w:t xml:space="preserve">: </w:t>
            </w:r>
            <w:r>
              <w:t xml:space="preserve">Productivity </w:t>
            </w:r>
            <w:r w:rsidRPr="000D1878">
              <w:t>Commission estimates</w:t>
            </w:r>
            <w:r>
              <w:t xml:space="preserve"> based on data provided by the CGC; Appendix C.</w:t>
            </w:r>
          </w:p>
        </w:tc>
      </w:tr>
      <w:tr w:rsidR="00F05DC7" w14:paraId="7954A611" w14:textId="77777777" w:rsidTr="00A3786D">
        <w:tc>
          <w:tcPr>
            <w:tcW w:w="5000" w:type="pct"/>
            <w:tcBorders>
              <w:top w:val="nil"/>
              <w:left w:val="nil"/>
              <w:bottom w:val="single" w:sz="6" w:space="0" w:color="78A22F"/>
              <w:right w:val="nil"/>
            </w:tcBorders>
            <w:shd w:val="clear" w:color="auto" w:fill="auto"/>
          </w:tcPr>
          <w:p w14:paraId="7954A610" w14:textId="77777777" w:rsidR="00F05DC7" w:rsidRDefault="00F05DC7" w:rsidP="00A3786D">
            <w:pPr>
              <w:pStyle w:val="Box"/>
              <w:spacing w:before="0" w:line="120" w:lineRule="exact"/>
            </w:pPr>
          </w:p>
        </w:tc>
      </w:tr>
    </w:tbl>
    <w:p w14:paraId="7954A612" w14:textId="77777777" w:rsidR="00F05DC7" w:rsidRDefault="00F05DC7" w:rsidP="00A3786D">
      <w:pPr>
        <w:pStyle w:val="BodyText"/>
      </w:pPr>
      <w:r>
        <w:t>For the ACT, the impacts are largest on the revenue side. This is largely due to the payroll tax exemption for Commonwealth employees, which means that even though incomes are high in the ACT, the jurisdiction’s revenue</w:t>
      </w:r>
      <w:r>
        <w:noBreakHyphen/>
        <w:t>raising capacity is much lower because it cannot tax some of this income (through payroll taxes). In principle, it may be possible to make adjustments for exceptional cases such as this (for example, by adjusting the broad indicator according to a State’s public sector employment share).</w:t>
      </w:r>
    </w:p>
    <w:p w14:paraId="7954A613" w14:textId="77777777" w:rsidR="00F05DC7" w:rsidRDefault="00F05DC7" w:rsidP="00A3786D">
      <w:pPr>
        <w:pStyle w:val="BodyText"/>
      </w:pPr>
      <w:r>
        <w:lastRenderedPageBreak/>
        <w:t>For the Northern Territory, the impacts are almost entirely on the expenditure side. This is because the Northern Territory is a prominent outlier in some expenditure categories — especially where there are big structural differences from other States in terms of Indigeneity and remoteness (chapter 2).</w:t>
      </w:r>
    </w:p>
    <w:p w14:paraId="7954A614" w14:textId="77777777" w:rsidR="00F05DC7" w:rsidRDefault="00F05DC7" w:rsidP="00A3786D">
      <w:pPr>
        <w:pStyle w:val="BodyText"/>
      </w:pPr>
      <w:r>
        <w:t>Inquiry participants drew attention to the practical limitations of using a single broad indicator, particularly on the revenue side. Some argued that using GSP or GDI would result in counter</w:t>
      </w:r>
      <w:r>
        <w:noBreakHyphen/>
        <w:t xml:space="preserve">intuitive outcomes for particular jurisdictions (ACT Government, sub. DR81, p. 37), or that these measures are conceptually flawed because States do not actually tax total production or household income (SA Government, sub. DR89, p. 17). </w:t>
      </w:r>
    </w:p>
    <w:p w14:paraId="7954A615" w14:textId="28EA61F8" w:rsidR="00F05DC7" w:rsidRDefault="00F05DC7" w:rsidP="00A3786D">
      <w:pPr>
        <w:pStyle w:val="BodyText"/>
      </w:pPr>
      <w:r>
        <w:t xml:space="preserve">In examining this approach, the 2012 GST Distribution Review found that the search for a single indicator that was adequately ‘broad’, but did not result in significantly inequitable redistribution outcomes compared with the current system, was elusive </w:t>
      </w:r>
      <w:r w:rsidR="009D6331" w:rsidRPr="009D6331">
        <w:rPr>
          <w:szCs w:val="24"/>
        </w:rPr>
        <w:t>(Brumby, Carter and Greiner 2012a, p. 57)</w:t>
      </w:r>
      <w:r>
        <w:t xml:space="preserve">. </w:t>
      </w:r>
    </w:p>
    <w:p w14:paraId="7954A616" w14:textId="77777777" w:rsidR="00F05DC7" w:rsidRDefault="00F05DC7" w:rsidP="00A3786D">
      <w:pPr>
        <w:pStyle w:val="BodyText"/>
      </w:pPr>
      <w:r>
        <w:t>On balance, the Commission is of the view that even though use of a single broad indicator could improve policy neutrality and simplify the HFE system, the risks and costs outweigh the benefits. A single indicator that accurately reflects the underlying revenue</w:t>
      </w:r>
      <w:r>
        <w:noBreakHyphen/>
        <w:t xml:space="preserve">raising capacities and expenditure needs of each State is unlikely to exist. Such an approach would also lead to significant changes in GST shares for some States, with the risk of not achieving a ‘reasonable’ level of equalisation. The broader the indicator that is used, the more such a risk may arise. </w:t>
      </w:r>
    </w:p>
    <w:p w14:paraId="7954A617" w14:textId="77777777" w:rsidR="00F05DC7" w:rsidRDefault="00F05DC7" w:rsidP="00A3786D">
      <w:pPr>
        <w:pStyle w:val="BodyText"/>
      </w:pPr>
      <w:r>
        <w:t>A better approach is likely to involve using multiple indicators to measure States’ fiscal capacities, though with much greater simplification and focus on policy neutrality than the current system.</w:t>
      </w:r>
    </w:p>
    <w:p w14:paraId="7954A618" w14:textId="77777777" w:rsidR="00F05DC7" w:rsidRPr="004E3B94" w:rsidRDefault="00F05DC7" w:rsidP="00B253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61B"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619" w14:textId="77777777" w:rsidR="00F05DC7" w:rsidRDefault="00F05DC7" w:rsidP="00A3786D">
            <w:pPr>
              <w:pStyle w:val="FindingTitle"/>
              <w:spacing w:before="120"/>
              <w:rPr>
                <w:noProof/>
              </w:rPr>
            </w:pPr>
            <w:r>
              <w:t>Finding 7.2</w:t>
            </w:r>
          </w:p>
          <w:p w14:paraId="7954A61A" w14:textId="77777777" w:rsidR="00F05DC7" w:rsidRPr="00CE4C64" w:rsidRDefault="00F05DC7" w:rsidP="00A3786D">
            <w:pPr>
              <w:pStyle w:val="Finding"/>
              <w:keepNext/>
            </w:pPr>
            <w:r w:rsidRPr="002A7FC4">
              <w:t xml:space="preserve">Using a single broad indicator to assess States’ fiscal capacities offers considerable potential to improve policy neutrality and simplify the HFE system. However, </w:t>
            </w:r>
            <w:r>
              <w:t>a</w:t>
            </w:r>
            <w:r w:rsidRPr="00961F59">
              <w:t xml:space="preserve"> single indicator that accurately reflects the underlying revenue</w:t>
            </w:r>
            <w:r>
              <w:noBreakHyphen/>
            </w:r>
            <w:r w:rsidRPr="00961F59">
              <w:t xml:space="preserve">raising capacities and expenditure needs of each State </w:t>
            </w:r>
            <w:r>
              <w:t xml:space="preserve">remains elusive and arguably does not </w:t>
            </w:r>
            <w:r w:rsidRPr="00961F59">
              <w:t>exist.</w:t>
            </w:r>
          </w:p>
        </w:tc>
      </w:tr>
      <w:tr w:rsidR="00F05DC7" w14:paraId="7954A61D"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61C" w14:textId="77777777" w:rsidR="00F05DC7" w:rsidRDefault="00F05DC7" w:rsidP="00A3786D">
            <w:pPr>
              <w:pStyle w:val="Space"/>
              <w:keepLines/>
            </w:pPr>
          </w:p>
        </w:tc>
      </w:tr>
      <w:tr w:rsidR="00F05DC7" w:rsidRPr="000863A5" w14:paraId="7954A61F"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61E" w14:textId="77777777" w:rsidR="00F05DC7" w:rsidRPr="00626D32" w:rsidRDefault="00F05DC7" w:rsidP="00A3786D">
            <w:pPr>
              <w:pStyle w:val="BoxSpaceBelow"/>
              <w:keepLines/>
            </w:pPr>
          </w:p>
        </w:tc>
      </w:tr>
    </w:tbl>
    <w:p w14:paraId="7954A620" w14:textId="68342A76" w:rsidR="00F05DC7" w:rsidRPr="00DD25DE" w:rsidRDefault="00F05DC7" w:rsidP="00A3786D">
      <w:pPr>
        <w:pStyle w:val="Heading2"/>
        <w:rPr>
          <w:rFonts w:ascii="Arial Bold" w:hAnsi="Arial Bold"/>
          <w:spacing w:val="-2"/>
        </w:rPr>
      </w:pPr>
      <w:bookmarkStart w:id="101" w:name="_Toc513637729"/>
      <w:r>
        <w:t>7.</w:t>
      </w:r>
      <w:r>
        <w:rPr>
          <w:noProof/>
        </w:rPr>
        <w:t>3</w:t>
      </w:r>
      <w:r>
        <w:tab/>
      </w:r>
      <w:r w:rsidRPr="00DD25DE">
        <w:rPr>
          <w:rFonts w:ascii="Arial Bold" w:hAnsi="Arial Bold"/>
          <w:spacing w:val="-2"/>
        </w:rPr>
        <w:t>Streamlining revenue and expenditure assessments</w:t>
      </w:r>
      <w:bookmarkEnd w:id="101"/>
    </w:p>
    <w:p w14:paraId="7954A621" w14:textId="77777777" w:rsidR="00F05DC7" w:rsidRDefault="00F05DC7" w:rsidP="00A3786D">
      <w:pPr>
        <w:pStyle w:val="BodyText"/>
      </w:pPr>
      <w:r>
        <w:t xml:space="preserve">Some of the problems with the current HFE methodology could be better addressed by more streamlining of the individual revenue and expenditure assessments. Simplifying the assessments — though without going as far as using a single broad indicator for States’ fiscal capacities — could bring substantial benefits in terms of improved policy neutrality, simplicity, transparency and accountability. This could be achieved by adopting more </w:t>
      </w:r>
      <w:r>
        <w:lastRenderedPageBreak/>
        <w:t>policy</w:t>
      </w:r>
      <w:r>
        <w:noBreakHyphen/>
        <w:t>neutral (and simpler) indicators, as well as by substantially increasing materiality thresholds to exclude assessments that do not materially affect distribution outcomes.</w:t>
      </w:r>
    </w:p>
    <w:p w14:paraId="7954A622" w14:textId="77777777" w:rsidR="00F05DC7" w:rsidRDefault="00F05DC7" w:rsidP="00A3786D">
      <w:pPr>
        <w:pStyle w:val="Heading3"/>
      </w:pPr>
      <w:r>
        <w:t>More policy</w:t>
      </w:r>
      <w:r>
        <w:noBreakHyphen/>
        <w:t>neutral indicators at the category level</w:t>
      </w:r>
    </w:p>
    <w:p w14:paraId="7954A623" w14:textId="77777777" w:rsidR="00F05DC7" w:rsidRDefault="00F05DC7" w:rsidP="00A3786D">
      <w:pPr>
        <w:pStyle w:val="BodyText"/>
      </w:pPr>
      <w:r>
        <w:t>The indicators and metrics that the CGC uses in its revenue and expenditure assessments are complex and have very high data requirements (chapter 3). This can compromise policy neutrality where State policy can directly influence the indicators used within a revenue or expenditure category (for example, changing average tax rates or thresholds). Developing more policy-neutral indicators, where feasible, can help to remove the influence of State policy decisions.</w:t>
      </w:r>
    </w:p>
    <w:p w14:paraId="7954A624" w14:textId="77777777" w:rsidR="00F05DC7" w:rsidRDefault="00F05DC7" w:rsidP="00A3786D">
      <w:pPr>
        <w:pStyle w:val="BodyText"/>
      </w:pPr>
      <w:r>
        <w:t>In the Commission’s view, there is considerable scope to adopt a simpler set of more policy</w:t>
      </w:r>
      <w:r>
        <w:noBreakHyphen/>
        <w:t>neutral indicators. This could be done in several ways:</w:t>
      </w:r>
    </w:p>
    <w:p w14:paraId="7954A625" w14:textId="77777777" w:rsidR="00F05DC7" w:rsidRDefault="00F05DC7" w:rsidP="00A3786D">
      <w:pPr>
        <w:pStyle w:val="ListBullet"/>
      </w:pPr>
      <w:r>
        <w:t>changing the measure of the tax base used in some revenue assessments — for example, assessing stamp duty revenue using a simple measure of property values, rather than the existing approach of using the value of property transferred with complex adjustments for tax exemption and progressive rate structures (discussed below)</w:t>
      </w:r>
    </w:p>
    <w:p w14:paraId="7954A626" w14:textId="77777777" w:rsidR="00F05DC7" w:rsidRDefault="00F05DC7" w:rsidP="00A3786D">
      <w:pPr>
        <w:pStyle w:val="ListBullet"/>
      </w:pPr>
      <w:r>
        <w:t>using a single measure for a category rather than separate measures for individual sub</w:t>
      </w:r>
      <w:r>
        <w:noBreakHyphen/>
        <w:t>categories — for example, assessing all mining production jointly rather than using separate indicators for each mineral (also discussed below)</w:t>
      </w:r>
    </w:p>
    <w:p w14:paraId="7954A627" w14:textId="77777777" w:rsidR="00F05DC7" w:rsidRDefault="00F05DC7" w:rsidP="00A3786D">
      <w:pPr>
        <w:pStyle w:val="ListBullet"/>
      </w:pPr>
      <w:r>
        <w:t>aggregating revenue or expenditure categories — for example, using property values as the tax</w:t>
      </w:r>
      <w:r>
        <w:noBreakHyphen/>
        <w:t>base measure for all property taxes (which would mean aggregating stamp duty, land tax and some insurance tax revenues).</w:t>
      </w:r>
    </w:p>
    <w:p w14:paraId="7954A628" w14:textId="77777777" w:rsidR="00F05DC7" w:rsidRDefault="00F05DC7" w:rsidP="00A3786D">
      <w:pPr>
        <w:pStyle w:val="Heading4"/>
      </w:pPr>
      <w:r>
        <w:t>What might policy</w:t>
      </w:r>
      <w:r>
        <w:noBreakHyphen/>
        <w:t>neutral indicators look like?</w:t>
      </w:r>
    </w:p>
    <w:p w14:paraId="7954A629" w14:textId="5E979A42" w:rsidR="00F05DC7" w:rsidRDefault="00F05DC7" w:rsidP="00A3786D">
      <w:pPr>
        <w:pStyle w:val="BodyText"/>
      </w:pPr>
      <w:r>
        <w:t>The CGC already uses policy</w:t>
      </w:r>
      <w:r>
        <w:noBreakHyphen/>
        <w:t xml:space="preserve">neutral indicators in a small number of cases where alternative metrics based on ‘what States do’ would be especially prone to influence by State policy choices. Examples include the use of distances between towns for the assessment of rural road expenditures, and the use of population growth for assessing infrastructure needs </w:t>
      </w:r>
      <w:r w:rsidR="009D6331" w:rsidRPr="009D6331">
        <w:rPr>
          <w:szCs w:val="24"/>
        </w:rPr>
        <w:t>(CGC 2017i, p. 23)</w:t>
      </w:r>
      <w:r>
        <w:t xml:space="preserve">. </w:t>
      </w:r>
    </w:p>
    <w:p w14:paraId="7954A62A" w14:textId="0E16D563" w:rsidR="00F05DC7" w:rsidRDefault="00F05DC7" w:rsidP="00A3786D">
      <w:pPr>
        <w:pStyle w:val="BodyText"/>
      </w:pPr>
      <w:r>
        <w:t>Some inquiry participants argued that much more can be done to apply policy</w:t>
      </w:r>
      <w:r>
        <w:noBreakHyphen/>
        <w:t xml:space="preserve">neutral indicators to other revenue and expenditure categories (table 7.2 provides some examples). </w:t>
      </w:r>
    </w:p>
    <w:p w14:paraId="7954A62B"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62D" w14:textId="77777777" w:rsidTr="00A3786D">
        <w:trPr>
          <w:tblHeader/>
        </w:trPr>
        <w:tc>
          <w:tcPr>
            <w:tcW w:w="5000" w:type="pct"/>
            <w:tcBorders>
              <w:top w:val="single" w:sz="6" w:space="0" w:color="78A22F"/>
              <w:left w:val="nil"/>
              <w:bottom w:val="nil"/>
              <w:right w:val="nil"/>
            </w:tcBorders>
            <w:shd w:val="clear" w:color="auto" w:fill="auto"/>
          </w:tcPr>
          <w:p w14:paraId="7954A62C" w14:textId="0AE031FA" w:rsidR="00F05DC7" w:rsidRPr="00784A05" w:rsidRDefault="00F05DC7" w:rsidP="00A3786D">
            <w:pPr>
              <w:pStyle w:val="TableTitle"/>
            </w:pPr>
            <w:r>
              <w:rPr>
                <w:b w:val="0"/>
              </w:rPr>
              <w:t>Table 7.</w:t>
            </w:r>
            <w:r>
              <w:rPr>
                <w:b w:val="0"/>
                <w:noProof/>
              </w:rPr>
              <w:t>2</w:t>
            </w:r>
            <w:r>
              <w:tab/>
              <w:t>Some alternative indicators identified by participants</w:t>
            </w:r>
          </w:p>
        </w:tc>
      </w:tr>
      <w:tr w:rsidR="00F05DC7" w14:paraId="7954A67C"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3"/>
              <w:gridCol w:w="3460"/>
              <w:gridCol w:w="3462"/>
            </w:tblGrid>
            <w:tr w:rsidR="00F05DC7" w14:paraId="7954A631" w14:textId="77777777" w:rsidTr="00A3786D">
              <w:trPr>
                <w:tblHeader/>
              </w:trPr>
              <w:tc>
                <w:tcPr>
                  <w:tcW w:w="931" w:type="pct"/>
                  <w:tcBorders>
                    <w:top w:val="single" w:sz="6" w:space="0" w:color="BFBFBF"/>
                    <w:bottom w:val="single" w:sz="6" w:space="0" w:color="BFBFBF"/>
                  </w:tcBorders>
                  <w:shd w:val="clear" w:color="auto" w:fill="auto"/>
                  <w:tcMar>
                    <w:top w:w="28" w:type="dxa"/>
                  </w:tcMar>
                </w:tcPr>
                <w:p w14:paraId="7954A62E" w14:textId="77777777" w:rsidR="00F05DC7" w:rsidRDefault="00F05DC7" w:rsidP="00A3786D">
                  <w:pPr>
                    <w:pStyle w:val="TableColumnHeading"/>
                    <w:jc w:val="left"/>
                  </w:pPr>
                  <w:r>
                    <w:t>Category</w:t>
                  </w:r>
                </w:p>
              </w:tc>
              <w:tc>
                <w:tcPr>
                  <w:tcW w:w="2034" w:type="pct"/>
                  <w:tcBorders>
                    <w:top w:val="single" w:sz="6" w:space="0" w:color="BFBFBF"/>
                    <w:bottom w:val="single" w:sz="6" w:space="0" w:color="BFBFBF"/>
                  </w:tcBorders>
                </w:tcPr>
                <w:p w14:paraId="7954A62F" w14:textId="77777777" w:rsidR="00F05DC7" w:rsidRDefault="00F05DC7" w:rsidP="00A3786D">
                  <w:pPr>
                    <w:pStyle w:val="TableColumnHeading"/>
                    <w:ind w:right="28"/>
                    <w:jc w:val="left"/>
                  </w:pPr>
                  <w:r>
                    <w:t>Current indicator(s)</w:t>
                  </w:r>
                </w:p>
              </w:tc>
              <w:tc>
                <w:tcPr>
                  <w:tcW w:w="2035" w:type="pct"/>
                  <w:tcBorders>
                    <w:top w:val="single" w:sz="6" w:space="0" w:color="BFBFBF"/>
                    <w:bottom w:val="single" w:sz="6" w:space="0" w:color="BFBFBF"/>
                  </w:tcBorders>
                  <w:shd w:val="clear" w:color="auto" w:fill="auto"/>
                  <w:tcMar>
                    <w:top w:w="28" w:type="dxa"/>
                  </w:tcMar>
                </w:tcPr>
                <w:p w14:paraId="7954A630" w14:textId="77777777" w:rsidR="00F05DC7" w:rsidRDefault="00F05DC7" w:rsidP="00A3786D">
                  <w:pPr>
                    <w:pStyle w:val="TableColumnHeading"/>
                    <w:ind w:right="28"/>
                    <w:jc w:val="left"/>
                  </w:pPr>
                  <w:r>
                    <w:t>Potential alternative indicators</w:t>
                  </w:r>
                </w:p>
              </w:tc>
            </w:tr>
            <w:tr w:rsidR="00F05DC7" w14:paraId="7954A635" w14:textId="77777777" w:rsidTr="00A3786D">
              <w:tc>
                <w:tcPr>
                  <w:tcW w:w="931" w:type="pct"/>
                  <w:tcBorders>
                    <w:top w:val="single" w:sz="6" w:space="0" w:color="BFBFBF"/>
                  </w:tcBorders>
                </w:tcPr>
                <w:p w14:paraId="7954A632" w14:textId="77777777" w:rsidR="00F05DC7" w:rsidRPr="00567AB9" w:rsidRDefault="00F05DC7" w:rsidP="00A3786D">
                  <w:pPr>
                    <w:pStyle w:val="TableBodyText"/>
                    <w:spacing w:before="40"/>
                    <w:jc w:val="left"/>
                    <w:rPr>
                      <w:b/>
                    </w:rPr>
                  </w:pPr>
                  <w:r w:rsidRPr="00567AB9">
                    <w:rPr>
                      <w:b/>
                    </w:rPr>
                    <w:t>Revenue side</w:t>
                  </w:r>
                </w:p>
              </w:tc>
              <w:tc>
                <w:tcPr>
                  <w:tcW w:w="2034" w:type="pct"/>
                  <w:tcBorders>
                    <w:top w:val="single" w:sz="6" w:space="0" w:color="BFBFBF"/>
                  </w:tcBorders>
                </w:tcPr>
                <w:p w14:paraId="7954A633" w14:textId="77777777" w:rsidR="00F05DC7" w:rsidRDefault="00F05DC7" w:rsidP="00A3786D">
                  <w:pPr>
                    <w:pStyle w:val="TableBodyText"/>
                    <w:spacing w:before="40"/>
                    <w:ind w:right="28"/>
                  </w:pPr>
                </w:p>
              </w:tc>
              <w:tc>
                <w:tcPr>
                  <w:tcW w:w="2035" w:type="pct"/>
                  <w:tcBorders>
                    <w:top w:val="single" w:sz="6" w:space="0" w:color="BFBFBF"/>
                  </w:tcBorders>
                </w:tcPr>
                <w:p w14:paraId="7954A634" w14:textId="77777777" w:rsidR="00F05DC7" w:rsidRDefault="00F05DC7" w:rsidP="00A3786D">
                  <w:pPr>
                    <w:pStyle w:val="TableBodyText"/>
                    <w:spacing w:before="40"/>
                    <w:ind w:right="28"/>
                  </w:pPr>
                </w:p>
              </w:tc>
            </w:tr>
            <w:tr w:rsidR="00F05DC7" w14:paraId="7954A639" w14:textId="77777777" w:rsidTr="00A3786D">
              <w:tc>
                <w:tcPr>
                  <w:tcW w:w="931" w:type="pct"/>
                  <w:shd w:val="pct5" w:color="auto" w:fill="auto"/>
                </w:tcPr>
                <w:p w14:paraId="7954A636" w14:textId="77777777" w:rsidR="00F05DC7" w:rsidRDefault="00F05DC7" w:rsidP="00A3786D">
                  <w:pPr>
                    <w:pStyle w:val="TableBodyText"/>
                    <w:jc w:val="left"/>
                  </w:pPr>
                  <w:r>
                    <w:t>Payroll tax</w:t>
                  </w:r>
                </w:p>
              </w:tc>
              <w:tc>
                <w:tcPr>
                  <w:tcW w:w="2034" w:type="pct"/>
                  <w:shd w:val="pct5" w:color="auto" w:fill="auto"/>
                </w:tcPr>
                <w:p w14:paraId="7954A637" w14:textId="77777777" w:rsidR="00F05DC7" w:rsidRDefault="00F05DC7" w:rsidP="00A3786D">
                  <w:pPr>
                    <w:pStyle w:val="TableBodyText"/>
                    <w:ind w:right="28"/>
                    <w:jc w:val="left"/>
                  </w:pPr>
                  <w:r>
                    <w:t>Value of payrolls with adjustments for tax</w:t>
                  </w:r>
                  <w:r>
                    <w:noBreakHyphen/>
                    <w:t>free thresholds and exempt employers</w:t>
                  </w:r>
                </w:p>
              </w:tc>
              <w:tc>
                <w:tcPr>
                  <w:tcW w:w="2035" w:type="pct"/>
                  <w:shd w:val="pct5" w:color="auto" w:fill="auto"/>
                </w:tcPr>
                <w:p w14:paraId="7954A638" w14:textId="77777777" w:rsidR="00F05DC7" w:rsidRDefault="00F05DC7" w:rsidP="00A3786D">
                  <w:pPr>
                    <w:pStyle w:val="TableBodyText"/>
                    <w:ind w:right="28"/>
                    <w:jc w:val="left"/>
                  </w:pPr>
                  <w:r>
                    <w:t>Total wages of all employees, or taxable payrolls of all employees</w:t>
                  </w:r>
                </w:p>
              </w:tc>
            </w:tr>
            <w:tr w:rsidR="00F05DC7" w14:paraId="7954A63D" w14:textId="77777777" w:rsidTr="00A3786D">
              <w:tc>
                <w:tcPr>
                  <w:tcW w:w="931" w:type="pct"/>
                </w:tcPr>
                <w:p w14:paraId="7954A63A" w14:textId="77777777" w:rsidR="00F05DC7" w:rsidRDefault="00F05DC7" w:rsidP="00A3786D">
                  <w:pPr>
                    <w:pStyle w:val="TableBodyText"/>
                    <w:jc w:val="left"/>
                  </w:pPr>
                  <w:r>
                    <w:t>Land tax</w:t>
                  </w:r>
                </w:p>
              </w:tc>
              <w:tc>
                <w:tcPr>
                  <w:tcW w:w="2034" w:type="pct"/>
                </w:tcPr>
                <w:p w14:paraId="7954A63B" w14:textId="77777777" w:rsidR="00F05DC7" w:rsidRDefault="00F05DC7" w:rsidP="00A3786D">
                  <w:pPr>
                    <w:pStyle w:val="TableBodyText"/>
                    <w:ind w:right="28"/>
                    <w:jc w:val="left"/>
                  </w:pPr>
                  <w:r>
                    <w:t>Value of taxable land adjusted for tax</w:t>
                  </w:r>
                  <w:r>
                    <w:noBreakHyphen/>
                    <w:t>free thresholds and progressive tax rates</w:t>
                  </w:r>
                </w:p>
              </w:tc>
              <w:tc>
                <w:tcPr>
                  <w:tcW w:w="2035" w:type="pct"/>
                </w:tcPr>
                <w:p w14:paraId="7954A63C" w14:textId="77777777" w:rsidR="00F05DC7" w:rsidRDefault="00F05DC7" w:rsidP="00A3786D">
                  <w:pPr>
                    <w:pStyle w:val="TableBodyText"/>
                    <w:ind w:right="28"/>
                    <w:jc w:val="left"/>
                  </w:pPr>
                  <w:r>
                    <w:t>Value of unimproved land, or aggregate value of taxable land and properties</w:t>
                  </w:r>
                </w:p>
              </w:tc>
            </w:tr>
            <w:tr w:rsidR="00F05DC7" w14:paraId="7954A641" w14:textId="77777777" w:rsidTr="00A3786D">
              <w:tc>
                <w:tcPr>
                  <w:tcW w:w="931" w:type="pct"/>
                  <w:shd w:val="pct5" w:color="auto" w:fill="auto"/>
                </w:tcPr>
                <w:p w14:paraId="7954A63E" w14:textId="77777777" w:rsidR="00F05DC7" w:rsidRDefault="00F05DC7" w:rsidP="00A3786D">
                  <w:pPr>
                    <w:pStyle w:val="TableBodyText"/>
                    <w:jc w:val="left"/>
                  </w:pPr>
                  <w:r>
                    <w:t>Stamp duty</w:t>
                  </w:r>
                </w:p>
              </w:tc>
              <w:tc>
                <w:tcPr>
                  <w:tcW w:w="2034" w:type="pct"/>
                  <w:shd w:val="pct5" w:color="auto" w:fill="auto"/>
                </w:tcPr>
                <w:p w14:paraId="7954A63F" w14:textId="77777777" w:rsidR="00F05DC7" w:rsidRDefault="00F05DC7" w:rsidP="00A3786D">
                  <w:pPr>
                    <w:pStyle w:val="TableBodyText"/>
                    <w:ind w:right="28"/>
                    <w:jc w:val="left"/>
                  </w:pPr>
                  <w:r>
                    <w:t>Value of property transferred, adjusted for tax exemptions and progressive tax rates</w:t>
                  </w:r>
                </w:p>
              </w:tc>
              <w:tc>
                <w:tcPr>
                  <w:tcW w:w="2035" w:type="pct"/>
                  <w:shd w:val="pct5" w:color="auto" w:fill="auto"/>
                </w:tcPr>
                <w:p w14:paraId="7954A640" w14:textId="77777777" w:rsidR="00F05DC7" w:rsidRDefault="00F05DC7" w:rsidP="00A3786D">
                  <w:pPr>
                    <w:pStyle w:val="TableBodyText"/>
                    <w:ind w:right="28"/>
                    <w:jc w:val="left"/>
                  </w:pPr>
                  <w:r>
                    <w:t>Total value of property transferred, or total value of dwelling stock</w:t>
                  </w:r>
                </w:p>
              </w:tc>
            </w:tr>
            <w:tr w:rsidR="00F05DC7" w14:paraId="7954A645" w14:textId="77777777" w:rsidTr="00A3786D">
              <w:tc>
                <w:tcPr>
                  <w:tcW w:w="931" w:type="pct"/>
                </w:tcPr>
                <w:p w14:paraId="7954A642" w14:textId="77777777" w:rsidR="00F05DC7" w:rsidRDefault="00F05DC7" w:rsidP="00A3786D">
                  <w:pPr>
                    <w:pStyle w:val="TableBodyText"/>
                    <w:jc w:val="left"/>
                  </w:pPr>
                  <w:r>
                    <w:t>Insurance taxes</w:t>
                  </w:r>
                </w:p>
              </w:tc>
              <w:tc>
                <w:tcPr>
                  <w:tcW w:w="2034" w:type="pct"/>
                </w:tcPr>
                <w:p w14:paraId="7954A643" w14:textId="77777777" w:rsidR="00F05DC7" w:rsidRDefault="00F05DC7" w:rsidP="00A3786D">
                  <w:pPr>
                    <w:pStyle w:val="TableBodyText"/>
                    <w:ind w:right="28"/>
                    <w:jc w:val="left"/>
                  </w:pPr>
                  <w:r>
                    <w:t>Total premiums paid</w:t>
                  </w:r>
                </w:p>
              </w:tc>
              <w:tc>
                <w:tcPr>
                  <w:tcW w:w="2035" w:type="pct"/>
                </w:tcPr>
                <w:p w14:paraId="7954A644" w14:textId="77777777" w:rsidR="00F05DC7" w:rsidRDefault="00F05DC7" w:rsidP="00A3786D">
                  <w:pPr>
                    <w:pStyle w:val="TableBodyText"/>
                    <w:ind w:right="28"/>
                    <w:jc w:val="left"/>
                  </w:pPr>
                  <w:r>
                    <w:t>Total value of insured property</w:t>
                  </w:r>
                </w:p>
              </w:tc>
            </w:tr>
            <w:tr w:rsidR="00F05DC7" w14:paraId="7954A649" w14:textId="77777777" w:rsidTr="00A3786D">
              <w:tc>
                <w:tcPr>
                  <w:tcW w:w="931" w:type="pct"/>
                  <w:shd w:val="pct5" w:color="auto" w:fill="auto"/>
                </w:tcPr>
                <w:p w14:paraId="7954A646" w14:textId="77777777" w:rsidR="00F05DC7" w:rsidRDefault="00F05DC7" w:rsidP="00A3786D">
                  <w:pPr>
                    <w:pStyle w:val="TableBodyText"/>
                    <w:jc w:val="left"/>
                  </w:pPr>
                  <w:r>
                    <w:t>Motor vehicle taxes</w:t>
                  </w:r>
                </w:p>
              </w:tc>
              <w:tc>
                <w:tcPr>
                  <w:tcW w:w="2034" w:type="pct"/>
                  <w:shd w:val="pct5" w:color="auto" w:fill="auto"/>
                </w:tcPr>
                <w:p w14:paraId="7954A647" w14:textId="77777777" w:rsidR="00F05DC7" w:rsidRDefault="00F05DC7" w:rsidP="00A3786D">
                  <w:pPr>
                    <w:pStyle w:val="TableBodyText"/>
                    <w:ind w:right="28"/>
                    <w:jc w:val="left"/>
                  </w:pPr>
                  <w:r>
                    <w:t>Number of vehicles registered, across multiple categories</w:t>
                  </w:r>
                </w:p>
              </w:tc>
              <w:tc>
                <w:tcPr>
                  <w:tcW w:w="2035" w:type="pct"/>
                  <w:shd w:val="pct5" w:color="auto" w:fill="auto"/>
                </w:tcPr>
                <w:p w14:paraId="7954A648" w14:textId="77777777" w:rsidR="00F05DC7" w:rsidRDefault="00F05DC7" w:rsidP="00A3786D">
                  <w:pPr>
                    <w:pStyle w:val="TableBodyText"/>
                    <w:ind w:right="28"/>
                    <w:jc w:val="left"/>
                  </w:pPr>
                  <w:r>
                    <w:t>Number of vehicles registered</w:t>
                  </w:r>
                </w:p>
              </w:tc>
            </w:tr>
            <w:tr w:rsidR="00F05DC7" w14:paraId="7954A64D" w14:textId="77777777" w:rsidTr="00A3786D">
              <w:tc>
                <w:tcPr>
                  <w:tcW w:w="931" w:type="pct"/>
                </w:tcPr>
                <w:p w14:paraId="7954A64A" w14:textId="77777777" w:rsidR="00F05DC7" w:rsidRDefault="00F05DC7" w:rsidP="00A3786D">
                  <w:pPr>
                    <w:pStyle w:val="TableBodyText"/>
                    <w:jc w:val="left"/>
                  </w:pPr>
                  <w:r>
                    <w:t>Mining</w:t>
                  </w:r>
                </w:p>
              </w:tc>
              <w:tc>
                <w:tcPr>
                  <w:tcW w:w="2034" w:type="pct"/>
                </w:tcPr>
                <w:p w14:paraId="7954A64B" w14:textId="77777777" w:rsidR="00F05DC7" w:rsidRDefault="00F05DC7" w:rsidP="00A3786D">
                  <w:pPr>
                    <w:pStyle w:val="TableBodyText"/>
                    <w:ind w:right="28"/>
                    <w:jc w:val="left"/>
                  </w:pPr>
                  <w:r>
                    <w:t>Value of mineral production, across multiple categories</w:t>
                  </w:r>
                </w:p>
              </w:tc>
              <w:tc>
                <w:tcPr>
                  <w:tcW w:w="2035" w:type="pct"/>
                </w:tcPr>
                <w:p w14:paraId="7954A64C" w14:textId="77777777" w:rsidR="00F05DC7" w:rsidRDefault="00F05DC7" w:rsidP="00A3786D">
                  <w:pPr>
                    <w:pStyle w:val="TableBodyText"/>
                    <w:ind w:right="28"/>
                    <w:jc w:val="left"/>
                  </w:pPr>
                  <w:r>
                    <w:t xml:space="preserve">Actual revenues received, or </w:t>
                  </w:r>
                  <w:r w:rsidRPr="00154129">
                    <w:t>mining company profits</w:t>
                  </w:r>
                </w:p>
              </w:tc>
            </w:tr>
            <w:tr w:rsidR="00F05DC7" w14:paraId="7954A651" w14:textId="77777777" w:rsidTr="00A3786D">
              <w:tc>
                <w:tcPr>
                  <w:tcW w:w="931" w:type="pct"/>
                  <w:shd w:val="pct5" w:color="auto" w:fill="auto"/>
                </w:tcPr>
                <w:p w14:paraId="7954A64E" w14:textId="77777777" w:rsidR="00F05DC7" w:rsidRDefault="00F05DC7" w:rsidP="00A3786D">
                  <w:pPr>
                    <w:pStyle w:val="TableBodyText"/>
                    <w:jc w:val="left"/>
                  </w:pPr>
                  <w:r>
                    <w:t>Other revenue</w:t>
                  </w:r>
                </w:p>
              </w:tc>
              <w:tc>
                <w:tcPr>
                  <w:tcW w:w="2034" w:type="pct"/>
                  <w:shd w:val="pct5" w:color="auto" w:fill="auto"/>
                </w:tcPr>
                <w:p w14:paraId="7954A64F" w14:textId="77777777" w:rsidR="00F05DC7" w:rsidRDefault="00F05DC7" w:rsidP="00A3786D">
                  <w:pPr>
                    <w:pStyle w:val="TableBodyText"/>
                    <w:ind w:right="28"/>
                    <w:jc w:val="left"/>
                  </w:pPr>
                  <w:r>
                    <w:t>Population</w:t>
                  </w:r>
                </w:p>
              </w:tc>
              <w:tc>
                <w:tcPr>
                  <w:tcW w:w="2035" w:type="pct"/>
                  <w:shd w:val="pct5" w:color="auto" w:fill="auto"/>
                </w:tcPr>
                <w:p w14:paraId="7954A650" w14:textId="77777777" w:rsidR="00F05DC7" w:rsidRDefault="00F05DC7" w:rsidP="00A3786D">
                  <w:pPr>
                    <w:pStyle w:val="TableBodyText"/>
                    <w:ind w:right="28"/>
                    <w:jc w:val="left"/>
                  </w:pPr>
                  <w:r>
                    <w:t>Gross state product</w:t>
                  </w:r>
                </w:p>
              </w:tc>
            </w:tr>
            <w:tr w:rsidR="00F05DC7" w14:paraId="7954A655" w14:textId="77777777" w:rsidTr="00A3786D">
              <w:tc>
                <w:tcPr>
                  <w:tcW w:w="931" w:type="pct"/>
                </w:tcPr>
                <w:p w14:paraId="7954A652" w14:textId="77777777" w:rsidR="00F05DC7" w:rsidRPr="00567AB9" w:rsidRDefault="00F05DC7" w:rsidP="00A3786D">
                  <w:pPr>
                    <w:pStyle w:val="TableBodyText"/>
                    <w:spacing w:before="80"/>
                    <w:jc w:val="left"/>
                    <w:rPr>
                      <w:b/>
                    </w:rPr>
                  </w:pPr>
                  <w:r w:rsidRPr="00567AB9">
                    <w:rPr>
                      <w:b/>
                    </w:rPr>
                    <w:t>Expenditure side</w:t>
                  </w:r>
                </w:p>
              </w:tc>
              <w:tc>
                <w:tcPr>
                  <w:tcW w:w="2034" w:type="pct"/>
                </w:tcPr>
                <w:p w14:paraId="7954A653" w14:textId="77777777" w:rsidR="00F05DC7" w:rsidRDefault="00F05DC7" w:rsidP="00A3786D">
                  <w:pPr>
                    <w:pStyle w:val="TableBodyText"/>
                    <w:spacing w:before="80"/>
                    <w:ind w:right="28"/>
                    <w:jc w:val="left"/>
                  </w:pPr>
                </w:p>
              </w:tc>
              <w:tc>
                <w:tcPr>
                  <w:tcW w:w="2035" w:type="pct"/>
                </w:tcPr>
                <w:p w14:paraId="7954A654" w14:textId="77777777" w:rsidR="00F05DC7" w:rsidRDefault="00F05DC7" w:rsidP="00A3786D">
                  <w:pPr>
                    <w:pStyle w:val="TableBodyText"/>
                    <w:spacing w:before="80"/>
                    <w:ind w:right="28"/>
                    <w:jc w:val="left"/>
                  </w:pPr>
                </w:p>
              </w:tc>
            </w:tr>
            <w:tr w:rsidR="00F05DC7" w14:paraId="7954A659" w14:textId="77777777" w:rsidTr="00A3786D">
              <w:tc>
                <w:tcPr>
                  <w:tcW w:w="931" w:type="pct"/>
                  <w:shd w:val="pct5" w:color="auto" w:fill="auto"/>
                </w:tcPr>
                <w:p w14:paraId="7954A656" w14:textId="77777777" w:rsidR="00F05DC7" w:rsidRDefault="00F05DC7" w:rsidP="00A3786D">
                  <w:pPr>
                    <w:pStyle w:val="TableBodyText"/>
                    <w:jc w:val="left"/>
                  </w:pPr>
                  <w:r>
                    <w:t>School education</w:t>
                  </w:r>
                </w:p>
              </w:tc>
              <w:tc>
                <w:tcPr>
                  <w:tcW w:w="2034" w:type="pct"/>
                  <w:shd w:val="pct5" w:color="auto" w:fill="auto"/>
                </w:tcPr>
                <w:p w14:paraId="7954A657" w14:textId="77777777" w:rsidR="00F05DC7" w:rsidRDefault="00F05DC7" w:rsidP="00A3786D">
                  <w:pPr>
                    <w:pStyle w:val="TableBodyText"/>
                    <w:ind w:right="28"/>
                    <w:jc w:val="left"/>
                  </w:pPr>
                  <w:r>
                    <w:t>Number of students, plus disability adjustments</w:t>
                  </w:r>
                  <w:r>
                    <w:rPr>
                      <w:rStyle w:val="NoteLabel"/>
                    </w:rPr>
                    <w:t>a</w:t>
                  </w:r>
                  <w:r>
                    <w:t>, across multiple sub</w:t>
                  </w:r>
                  <w:r>
                    <w:noBreakHyphen/>
                    <w:t>categories</w:t>
                  </w:r>
                </w:p>
              </w:tc>
              <w:tc>
                <w:tcPr>
                  <w:tcW w:w="2035" w:type="pct"/>
                  <w:shd w:val="pct5" w:color="auto" w:fill="auto"/>
                </w:tcPr>
                <w:p w14:paraId="7954A658" w14:textId="77777777" w:rsidR="00F05DC7" w:rsidRDefault="00F05DC7" w:rsidP="00A3786D">
                  <w:pPr>
                    <w:pStyle w:val="TableBodyText"/>
                    <w:ind w:right="28"/>
                    <w:jc w:val="left"/>
                  </w:pPr>
                  <w:r>
                    <w:t>School age population (ages 5-17)</w:t>
                  </w:r>
                </w:p>
              </w:tc>
            </w:tr>
            <w:tr w:rsidR="00F05DC7" w14:paraId="7954A65D" w14:textId="77777777" w:rsidTr="00A3786D">
              <w:tc>
                <w:tcPr>
                  <w:tcW w:w="931" w:type="pct"/>
                </w:tcPr>
                <w:p w14:paraId="7954A65A" w14:textId="77777777" w:rsidR="00F05DC7" w:rsidRDefault="00F05DC7" w:rsidP="00A3786D">
                  <w:pPr>
                    <w:pStyle w:val="TableBodyText"/>
                    <w:jc w:val="left"/>
                  </w:pPr>
                  <w:r>
                    <w:t>Post-secondary education</w:t>
                  </w:r>
                </w:p>
              </w:tc>
              <w:tc>
                <w:tcPr>
                  <w:tcW w:w="2034" w:type="pct"/>
                </w:tcPr>
                <w:p w14:paraId="7954A65B" w14:textId="77777777" w:rsidR="00F05DC7" w:rsidRDefault="00F05DC7" w:rsidP="00A3786D">
                  <w:pPr>
                    <w:pStyle w:val="TableBodyText"/>
                    <w:ind w:right="28"/>
                    <w:jc w:val="left"/>
                  </w:pPr>
                  <w:r>
                    <w:t>Population, plus disability adjustments</w:t>
                  </w:r>
                </w:p>
              </w:tc>
              <w:tc>
                <w:tcPr>
                  <w:tcW w:w="2035" w:type="pct"/>
                </w:tcPr>
                <w:p w14:paraId="7954A65C" w14:textId="77777777" w:rsidR="00F05DC7" w:rsidRDefault="00F05DC7" w:rsidP="00A3786D">
                  <w:pPr>
                    <w:pStyle w:val="TableBodyText"/>
                    <w:ind w:right="28"/>
                    <w:jc w:val="left"/>
                  </w:pPr>
                  <w:r>
                    <w:t>University age population (ages 18-24)</w:t>
                  </w:r>
                </w:p>
              </w:tc>
            </w:tr>
            <w:tr w:rsidR="00F05DC7" w14:paraId="7954A661" w14:textId="77777777" w:rsidTr="00A3786D">
              <w:tc>
                <w:tcPr>
                  <w:tcW w:w="931" w:type="pct"/>
                  <w:shd w:val="pct5" w:color="auto" w:fill="auto"/>
                </w:tcPr>
                <w:p w14:paraId="7954A65E" w14:textId="77777777" w:rsidR="00F05DC7" w:rsidRDefault="00F05DC7" w:rsidP="00A3786D">
                  <w:pPr>
                    <w:pStyle w:val="TableBodyText"/>
                    <w:jc w:val="left"/>
                  </w:pPr>
                  <w:r>
                    <w:t>Health</w:t>
                  </w:r>
                </w:p>
              </w:tc>
              <w:tc>
                <w:tcPr>
                  <w:tcW w:w="2034" w:type="pct"/>
                  <w:shd w:val="pct5" w:color="auto" w:fill="auto"/>
                </w:tcPr>
                <w:p w14:paraId="7954A65F" w14:textId="77777777" w:rsidR="00F05DC7" w:rsidRDefault="00F05DC7" w:rsidP="00A3786D">
                  <w:pPr>
                    <w:pStyle w:val="TableBodyText"/>
                    <w:jc w:val="left"/>
                  </w:pPr>
                  <w:r>
                    <w:t>Population, plus disability adjustments, across multiple sub</w:t>
                  </w:r>
                  <w:r>
                    <w:noBreakHyphen/>
                    <w:t>categories</w:t>
                  </w:r>
                </w:p>
              </w:tc>
              <w:tc>
                <w:tcPr>
                  <w:tcW w:w="2035" w:type="pct"/>
                  <w:shd w:val="pct5" w:color="auto" w:fill="auto"/>
                </w:tcPr>
                <w:p w14:paraId="7954A660" w14:textId="77777777" w:rsidR="00F05DC7" w:rsidRDefault="00F05DC7" w:rsidP="00A3786D">
                  <w:pPr>
                    <w:pStyle w:val="TableBodyText"/>
                    <w:jc w:val="left"/>
                  </w:pPr>
                  <w:r>
                    <w:t>Age</w:t>
                  </w:r>
                  <w:r>
                    <w:noBreakHyphen/>
                    <w:t>weighted population, with higher weights for ages 0-5 (2.0 weight) and ages 70+ (1.5 weight)</w:t>
                  </w:r>
                </w:p>
              </w:tc>
            </w:tr>
            <w:tr w:rsidR="00F05DC7" w14:paraId="7954A665" w14:textId="77777777" w:rsidTr="00A3786D">
              <w:tc>
                <w:tcPr>
                  <w:tcW w:w="931" w:type="pct"/>
                </w:tcPr>
                <w:p w14:paraId="7954A662" w14:textId="77777777" w:rsidR="00F05DC7" w:rsidRDefault="00F05DC7" w:rsidP="00A3786D">
                  <w:pPr>
                    <w:pStyle w:val="TableBodyText"/>
                    <w:jc w:val="left"/>
                  </w:pPr>
                  <w:r>
                    <w:t>Welfare</w:t>
                  </w:r>
                </w:p>
              </w:tc>
              <w:tc>
                <w:tcPr>
                  <w:tcW w:w="2034" w:type="pct"/>
                </w:tcPr>
                <w:p w14:paraId="7954A663" w14:textId="77777777" w:rsidR="00F05DC7" w:rsidRPr="008C02BC" w:rsidRDefault="00F05DC7" w:rsidP="00A3786D">
                  <w:pPr>
                    <w:pStyle w:val="TableBodyText"/>
                    <w:ind w:right="28"/>
                    <w:jc w:val="left"/>
                  </w:pPr>
                  <w:r>
                    <w:t>Population, plus disability adjustments, across multiple sub</w:t>
                  </w:r>
                  <w:r>
                    <w:noBreakHyphen/>
                    <w:t>categories</w:t>
                  </w:r>
                </w:p>
              </w:tc>
              <w:tc>
                <w:tcPr>
                  <w:tcW w:w="2035" w:type="pct"/>
                </w:tcPr>
                <w:p w14:paraId="7954A664" w14:textId="77777777" w:rsidR="00F05DC7" w:rsidRDefault="00F05DC7" w:rsidP="00A3786D">
                  <w:pPr>
                    <w:pStyle w:val="TableBodyText"/>
                    <w:ind w:right="28"/>
                    <w:jc w:val="left"/>
                  </w:pPr>
                  <w:r>
                    <w:t>Numbers of s</w:t>
                  </w:r>
                  <w:r w:rsidRPr="008C02BC">
                    <w:t xml:space="preserve">ingle </w:t>
                  </w:r>
                  <w:r>
                    <w:t>parents</w:t>
                  </w:r>
                  <w:r w:rsidRPr="008C02BC">
                    <w:t xml:space="preserve"> </w:t>
                  </w:r>
                  <w:r>
                    <w:t xml:space="preserve">and </w:t>
                  </w:r>
                  <w:r w:rsidRPr="008C02BC">
                    <w:t xml:space="preserve">unemployed </w:t>
                  </w:r>
                  <w:r>
                    <w:t>individuals below the poverty line</w:t>
                  </w:r>
                </w:p>
              </w:tc>
            </w:tr>
            <w:tr w:rsidR="00F05DC7" w14:paraId="7954A669" w14:textId="77777777" w:rsidTr="00A3786D">
              <w:tc>
                <w:tcPr>
                  <w:tcW w:w="931" w:type="pct"/>
                  <w:shd w:val="pct5" w:color="auto" w:fill="auto"/>
                </w:tcPr>
                <w:p w14:paraId="7954A666" w14:textId="77777777" w:rsidR="00F05DC7" w:rsidRDefault="00F05DC7" w:rsidP="00A3786D">
                  <w:pPr>
                    <w:pStyle w:val="TableBodyText"/>
                    <w:jc w:val="left"/>
                  </w:pPr>
                  <w:r>
                    <w:t>Housing</w:t>
                  </w:r>
                </w:p>
              </w:tc>
              <w:tc>
                <w:tcPr>
                  <w:tcW w:w="2034" w:type="pct"/>
                  <w:shd w:val="pct5" w:color="auto" w:fill="auto"/>
                </w:tcPr>
                <w:p w14:paraId="7954A667" w14:textId="77777777" w:rsidR="00F05DC7" w:rsidRPr="008C02BC" w:rsidRDefault="00F05DC7" w:rsidP="00A3786D">
                  <w:pPr>
                    <w:pStyle w:val="TableBodyText"/>
                    <w:ind w:right="28"/>
                    <w:jc w:val="left"/>
                  </w:pPr>
                  <w:r>
                    <w:t>Number of households, plus disability adjustments, across multiple sub</w:t>
                  </w:r>
                  <w:r>
                    <w:noBreakHyphen/>
                    <w:t>categories</w:t>
                  </w:r>
                </w:p>
              </w:tc>
              <w:tc>
                <w:tcPr>
                  <w:tcW w:w="2035" w:type="pct"/>
                  <w:shd w:val="pct5" w:color="auto" w:fill="auto"/>
                </w:tcPr>
                <w:p w14:paraId="7954A668" w14:textId="77777777" w:rsidR="00F05DC7" w:rsidRDefault="00F05DC7" w:rsidP="00A3786D">
                  <w:pPr>
                    <w:pStyle w:val="TableBodyText"/>
                    <w:ind w:right="28"/>
                    <w:jc w:val="left"/>
                  </w:pPr>
                  <w:r w:rsidRPr="008C02BC">
                    <w:t xml:space="preserve">Population below </w:t>
                  </w:r>
                  <w:r>
                    <w:t xml:space="preserve">the </w:t>
                  </w:r>
                  <w:r w:rsidRPr="008C02BC">
                    <w:t>poverty line</w:t>
                  </w:r>
                </w:p>
              </w:tc>
            </w:tr>
            <w:tr w:rsidR="00F05DC7" w14:paraId="7954A66D" w14:textId="77777777" w:rsidTr="00A3786D">
              <w:tc>
                <w:tcPr>
                  <w:tcW w:w="931" w:type="pct"/>
                </w:tcPr>
                <w:p w14:paraId="7954A66A" w14:textId="77777777" w:rsidR="00F05DC7" w:rsidRDefault="00F05DC7" w:rsidP="00A3786D">
                  <w:pPr>
                    <w:pStyle w:val="TableBodyText"/>
                    <w:jc w:val="left"/>
                  </w:pPr>
                  <w:r>
                    <w:t>Justice</w:t>
                  </w:r>
                </w:p>
              </w:tc>
              <w:tc>
                <w:tcPr>
                  <w:tcW w:w="2034" w:type="pct"/>
                </w:tcPr>
                <w:p w14:paraId="7954A66B" w14:textId="77777777" w:rsidR="00F05DC7" w:rsidRDefault="00F05DC7" w:rsidP="00A3786D">
                  <w:pPr>
                    <w:pStyle w:val="TableBodyText"/>
                    <w:ind w:right="28"/>
                    <w:jc w:val="left"/>
                  </w:pPr>
                  <w:r>
                    <w:t>Population, plus disability adjustments, across multiple sub</w:t>
                  </w:r>
                  <w:r>
                    <w:noBreakHyphen/>
                    <w:t>categories</w:t>
                  </w:r>
                </w:p>
              </w:tc>
              <w:tc>
                <w:tcPr>
                  <w:tcW w:w="2035" w:type="pct"/>
                </w:tcPr>
                <w:p w14:paraId="7954A66C" w14:textId="77777777" w:rsidR="00F05DC7" w:rsidRDefault="00F05DC7" w:rsidP="00A3786D">
                  <w:pPr>
                    <w:pStyle w:val="TableBodyText"/>
                    <w:ind w:right="28"/>
                    <w:jc w:val="left"/>
                  </w:pPr>
                  <w:r>
                    <w:t>Population, or a mix of property values and population</w:t>
                  </w:r>
                </w:p>
              </w:tc>
            </w:tr>
            <w:tr w:rsidR="00F05DC7" w14:paraId="7954A672" w14:textId="77777777" w:rsidTr="00A3786D">
              <w:tc>
                <w:tcPr>
                  <w:tcW w:w="931" w:type="pct"/>
                  <w:shd w:val="pct5" w:color="auto" w:fill="auto"/>
                </w:tcPr>
                <w:p w14:paraId="7954A66E" w14:textId="77777777" w:rsidR="00F05DC7" w:rsidRDefault="00F05DC7" w:rsidP="00A3786D">
                  <w:pPr>
                    <w:pStyle w:val="TableBodyText"/>
                    <w:jc w:val="left"/>
                  </w:pPr>
                  <w:r>
                    <w:t>Roads</w:t>
                  </w:r>
                </w:p>
              </w:tc>
              <w:tc>
                <w:tcPr>
                  <w:tcW w:w="2034" w:type="pct"/>
                  <w:shd w:val="pct5" w:color="auto" w:fill="auto"/>
                </w:tcPr>
                <w:p w14:paraId="7954A66F" w14:textId="77777777" w:rsidR="00F05DC7" w:rsidRPr="008C02BC" w:rsidRDefault="00F05DC7" w:rsidP="00A3786D">
                  <w:pPr>
                    <w:pStyle w:val="TableBodyText"/>
                    <w:ind w:right="28"/>
                    <w:jc w:val="left"/>
                  </w:pPr>
                  <w:r>
                    <w:t>Length and use of roads, plus disability adjustments (including distance between towns), across multiple sub</w:t>
                  </w:r>
                  <w:r>
                    <w:noBreakHyphen/>
                    <w:t>categories</w:t>
                  </w:r>
                </w:p>
              </w:tc>
              <w:tc>
                <w:tcPr>
                  <w:tcW w:w="2035" w:type="pct"/>
                  <w:shd w:val="pct5" w:color="auto" w:fill="auto"/>
                </w:tcPr>
                <w:p w14:paraId="7954A670" w14:textId="77777777" w:rsidR="00F05DC7" w:rsidRDefault="00F05DC7" w:rsidP="00A3786D">
                  <w:pPr>
                    <w:pStyle w:val="TableBodyText"/>
                    <w:ind w:right="28"/>
                    <w:jc w:val="left"/>
                  </w:pPr>
                  <w:r w:rsidRPr="008C02BC">
                    <w:t>L</w:t>
                  </w:r>
                  <w:r>
                    <w:t>ength of roads weighted by road type and aggregate State expenditures on roads of each type</w:t>
                  </w:r>
                </w:p>
                <w:p w14:paraId="7954A671" w14:textId="77777777" w:rsidR="00F05DC7" w:rsidRDefault="00F05DC7" w:rsidP="00A3786D">
                  <w:pPr>
                    <w:pStyle w:val="TableBodyText"/>
                    <w:ind w:right="28"/>
                    <w:jc w:val="left"/>
                  </w:pPr>
                </w:p>
              </w:tc>
            </w:tr>
            <w:tr w:rsidR="00F05DC7" w14:paraId="7954A676" w14:textId="77777777" w:rsidTr="00A3786D">
              <w:tc>
                <w:tcPr>
                  <w:tcW w:w="931" w:type="pct"/>
                </w:tcPr>
                <w:p w14:paraId="7954A673" w14:textId="77777777" w:rsidR="00F05DC7" w:rsidRDefault="00F05DC7" w:rsidP="00A3786D">
                  <w:pPr>
                    <w:pStyle w:val="TableBodyText"/>
                    <w:jc w:val="left"/>
                  </w:pPr>
                  <w:r>
                    <w:t>Public transport</w:t>
                  </w:r>
                </w:p>
              </w:tc>
              <w:tc>
                <w:tcPr>
                  <w:tcW w:w="2034" w:type="pct"/>
                </w:tcPr>
                <w:p w14:paraId="7954A674" w14:textId="77777777" w:rsidR="00F05DC7" w:rsidRPr="00990D78" w:rsidRDefault="00F05DC7" w:rsidP="00A3786D">
                  <w:pPr>
                    <w:pStyle w:val="TableBodyText"/>
                    <w:ind w:right="28"/>
                    <w:jc w:val="left"/>
                  </w:pPr>
                  <w:r>
                    <w:t>Population, plus disability adjustments</w:t>
                  </w:r>
                </w:p>
              </w:tc>
              <w:tc>
                <w:tcPr>
                  <w:tcW w:w="2035" w:type="pct"/>
                </w:tcPr>
                <w:p w14:paraId="7954A675" w14:textId="77777777" w:rsidR="00F05DC7" w:rsidRDefault="00F05DC7" w:rsidP="00A3786D">
                  <w:pPr>
                    <w:pStyle w:val="TableBodyText"/>
                    <w:ind w:right="28"/>
                    <w:jc w:val="left"/>
                  </w:pPr>
                  <w:r w:rsidRPr="00990D78">
                    <w:t>Urban population (</w:t>
                  </w:r>
                  <w:r>
                    <w:t>f</w:t>
                  </w:r>
                  <w:r w:rsidRPr="00990D78">
                    <w:t>or large urban areas only)</w:t>
                  </w:r>
                </w:p>
              </w:tc>
            </w:tr>
            <w:tr w:rsidR="00F05DC7" w14:paraId="7954A67A" w14:textId="77777777" w:rsidTr="00A3786D">
              <w:tc>
                <w:tcPr>
                  <w:tcW w:w="931" w:type="pct"/>
                  <w:tcBorders>
                    <w:bottom w:val="single" w:sz="6" w:space="0" w:color="BFBFBF"/>
                  </w:tcBorders>
                  <w:shd w:val="pct5" w:color="auto" w:fill="auto"/>
                </w:tcPr>
                <w:p w14:paraId="7954A677" w14:textId="77777777" w:rsidR="00F05DC7" w:rsidRDefault="00F05DC7" w:rsidP="00A3786D">
                  <w:pPr>
                    <w:pStyle w:val="TableBodyText"/>
                    <w:jc w:val="left"/>
                  </w:pPr>
                  <w:r>
                    <w:t>Other services</w:t>
                  </w:r>
                </w:p>
              </w:tc>
              <w:tc>
                <w:tcPr>
                  <w:tcW w:w="2034" w:type="pct"/>
                  <w:tcBorders>
                    <w:bottom w:val="single" w:sz="6" w:space="0" w:color="BFBFBF"/>
                  </w:tcBorders>
                  <w:shd w:val="pct5" w:color="auto" w:fill="auto"/>
                </w:tcPr>
                <w:p w14:paraId="7954A678" w14:textId="77777777" w:rsidR="00F05DC7" w:rsidRPr="00990D78" w:rsidRDefault="00F05DC7" w:rsidP="00A3786D">
                  <w:pPr>
                    <w:pStyle w:val="TableBodyText"/>
                    <w:ind w:right="28"/>
                    <w:jc w:val="left"/>
                  </w:pPr>
                  <w:r>
                    <w:t>Population, plus disability adjustments</w:t>
                  </w:r>
                </w:p>
              </w:tc>
              <w:tc>
                <w:tcPr>
                  <w:tcW w:w="2035" w:type="pct"/>
                  <w:tcBorders>
                    <w:bottom w:val="single" w:sz="6" w:space="0" w:color="BFBFBF"/>
                  </w:tcBorders>
                  <w:shd w:val="pct5" w:color="auto" w:fill="auto"/>
                </w:tcPr>
                <w:p w14:paraId="7954A679" w14:textId="77777777" w:rsidR="00F05DC7" w:rsidRDefault="00F05DC7" w:rsidP="00A3786D">
                  <w:pPr>
                    <w:pStyle w:val="TableBodyText"/>
                    <w:ind w:right="28"/>
                    <w:jc w:val="left"/>
                  </w:pPr>
                  <w:r>
                    <w:t>A mix of land a</w:t>
                  </w:r>
                  <w:r w:rsidRPr="00990D78">
                    <w:t xml:space="preserve">rea </w:t>
                  </w:r>
                  <w:r>
                    <w:t>and population, potentially weighted by the</w:t>
                  </w:r>
                  <w:r w:rsidRPr="00990D78">
                    <w:t xml:space="preserve"> relative importance of rural versus urban services</w:t>
                  </w:r>
                </w:p>
              </w:tc>
            </w:tr>
          </w:tbl>
          <w:p w14:paraId="7954A67B" w14:textId="77777777" w:rsidR="00F05DC7" w:rsidRDefault="00F05DC7" w:rsidP="00A3786D">
            <w:pPr>
              <w:pStyle w:val="Box"/>
            </w:pPr>
          </w:p>
        </w:tc>
      </w:tr>
      <w:tr w:rsidR="00F05DC7" w14:paraId="7954A67E" w14:textId="77777777" w:rsidTr="00A3786D">
        <w:tc>
          <w:tcPr>
            <w:tcW w:w="5000" w:type="pct"/>
            <w:tcBorders>
              <w:top w:val="nil"/>
              <w:left w:val="nil"/>
              <w:bottom w:val="nil"/>
              <w:right w:val="nil"/>
            </w:tcBorders>
            <w:shd w:val="clear" w:color="auto" w:fill="auto"/>
          </w:tcPr>
          <w:p w14:paraId="7954A67D" w14:textId="77777777" w:rsidR="00F05DC7" w:rsidRDefault="00F05DC7" w:rsidP="00A3786D">
            <w:pPr>
              <w:pStyle w:val="Note"/>
              <w:rPr>
                <w:i/>
              </w:rPr>
            </w:pPr>
            <w:r w:rsidRPr="008E77FE">
              <w:rPr>
                <w:rStyle w:val="NoteLabel"/>
              </w:rPr>
              <w:t>a</w:t>
            </w:r>
            <w:r>
              <w:t xml:space="preserve"> Multiple disabilities are used for each expenditure assessment, and these vary across assessments. Examples include Indigenous status, socioeconomic status, remoteness, age, wage costs and service delivery scale.</w:t>
            </w:r>
          </w:p>
        </w:tc>
      </w:tr>
      <w:tr w:rsidR="00F05DC7" w14:paraId="7954A680" w14:textId="77777777" w:rsidTr="00A3786D">
        <w:tc>
          <w:tcPr>
            <w:tcW w:w="5000" w:type="pct"/>
            <w:tcBorders>
              <w:top w:val="nil"/>
              <w:left w:val="nil"/>
              <w:bottom w:val="nil"/>
              <w:right w:val="nil"/>
            </w:tcBorders>
            <w:shd w:val="clear" w:color="auto" w:fill="auto"/>
          </w:tcPr>
          <w:p w14:paraId="7954A67F" w14:textId="28C8B238" w:rsidR="00F05DC7" w:rsidRDefault="00F05DC7" w:rsidP="00AA7C86">
            <w:pPr>
              <w:pStyle w:val="Source"/>
            </w:pPr>
            <w:r>
              <w:rPr>
                <w:i/>
              </w:rPr>
              <w:t>Sources</w:t>
            </w:r>
            <w:r w:rsidRPr="00167F06">
              <w:t xml:space="preserve">: </w:t>
            </w:r>
            <w:r>
              <w:t xml:space="preserve">CGC </w:t>
            </w:r>
            <w:r w:rsidR="009D6331" w:rsidRPr="009D6331">
              <w:rPr>
                <w:rFonts w:cs="Arial"/>
              </w:rPr>
              <w:t>(2015f, pp. 31–32)</w:t>
            </w:r>
            <w:r>
              <w:t>; Shah (sub. </w:t>
            </w:r>
            <w:r w:rsidRPr="005D7341">
              <w:t xml:space="preserve">DR103); </w:t>
            </w:r>
            <w:r>
              <w:t>Eslak</w:t>
            </w:r>
            <w:r w:rsidRPr="005D7341">
              <w:t>e (trans., p. 477)</w:t>
            </w:r>
            <w:r>
              <w:t xml:space="preserve">. </w:t>
            </w:r>
          </w:p>
        </w:tc>
      </w:tr>
      <w:tr w:rsidR="00F05DC7" w14:paraId="7954A682" w14:textId="77777777" w:rsidTr="00A3786D">
        <w:tc>
          <w:tcPr>
            <w:tcW w:w="5000" w:type="pct"/>
            <w:tcBorders>
              <w:top w:val="nil"/>
              <w:left w:val="nil"/>
              <w:bottom w:val="single" w:sz="6" w:space="0" w:color="78A22F"/>
              <w:right w:val="nil"/>
            </w:tcBorders>
            <w:shd w:val="clear" w:color="auto" w:fill="auto"/>
          </w:tcPr>
          <w:p w14:paraId="7954A681" w14:textId="77777777" w:rsidR="00F05DC7" w:rsidRDefault="00F05DC7" w:rsidP="00A3786D">
            <w:pPr>
              <w:pStyle w:val="Box"/>
              <w:spacing w:before="0" w:line="120" w:lineRule="exact"/>
            </w:pPr>
          </w:p>
        </w:tc>
      </w:tr>
      <w:tr w:rsidR="00F05DC7" w:rsidRPr="000863A5" w14:paraId="7954A684" w14:textId="77777777" w:rsidTr="00A3786D">
        <w:tc>
          <w:tcPr>
            <w:tcW w:w="5000" w:type="pct"/>
            <w:tcBorders>
              <w:top w:val="single" w:sz="6" w:space="0" w:color="78A22F"/>
              <w:left w:val="nil"/>
              <w:bottom w:val="nil"/>
              <w:right w:val="nil"/>
            </w:tcBorders>
          </w:tcPr>
          <w:p w14:paraId="7954A683" w14:textId="77777777" w:rsidR="00F05DC7" w:rsidRPr="00626D32" w:rsidRDefault="00F05DC7" w:rsidP="00A3786D">
            <w:pPr>
              <w:pStyle w:val="BoxSpaceBelow"/>
            </w:pPr>
          </w:p>
        </w:tc>
      </w:tr>
    </w:tbl>
    <w:p w14:paraId="7954A685" w14:textId="77777777" w:rsidR="00F05DC7" w:rsidRDefault="00F05DC7" w:rsidP="00A3786D">
      <w:pPr>
        <w:pStyle w:val="BodyText"/>
      </w:pPr>
      <w:r>
        <w:t>This approach would also be considerably simpler than the current HFE system (and would complement the broader changes to the objective of HFE discussed in chapter 6). This would improve certainty for States and have flow</w:t>
      </w:r>
      <w:r>
        <w:noBreakHyphen/>
        <w:t>on benefits for transparency and accountability.</w:t>
      </w:r>
    </w:p>
    <w:p w14:paraId="7954A686" w14:textId="77777777" w:rsidR="00F05DC7" w:rsidRDefault="00F05DC7" w:rsidP="00A3786D">
      <w:pPr>
        <w:pStyle w:val="BodyText"/>
      </w:pPr>
      <w:r>
        <w:lastRenderedPageBreak/>
        <w:t>On the revenue side, this could involve using more general definitions of tax bases and removing adjustments and carve</w:t>
      </w:r>
      <w:r>
        <w:noBreakHyphen/>
        <w:t>outs for tax</w:t>
      </w:r>
      <w:r>
        <w:noBreakHyphen/>
        <w:t>free thresholds, exemptions and progressive tax rate structures. On the expenditure side, it could mean making fewer disability adjustments and using a single measure for most expenditure categories, rather than multiple sub</w:t>
      </w:r>
      <w:r>
        <w:noBreakHyphen/>
        <w:t>categories.</w:t>
      </w:r>
    </w:p>
    <w:p w14:paraId="7954A687" w14:textId="77777777" w:rsidR="00F05DC7" w:rsidRDefault="00F05DC7" w:rsidP="00A3786D">
      <w:pPr>
        <w:pStyle w:val="BodyText"/>
        <w:keepNext/>
      </w:pPr>
      <w:r>
        <w:t>One example of what a simplified system might look like was put forward in public hearings:</w:t>
      </w:r>
    </w:p>
    <w:p w14:paraId="7954A688" w14:textId="77777777" w:rsidR="00F05DC7" w:rsidRDefault="00F05DC7" w:rsidP="00A3786D">
      <w:pPr>
        <w:pStyle w:val="Quote"/>
      </w:pPr>
      <w:r>
        <w:t>…it may be, for example, that you could simplify the assessment of revenue disabilities or capacities by focusing on three or four heads of revenue and doing everything else as a proportion of gross state product.  So you might explicitly look at payroll tax, stamp duties, land tax and mineral royalties, and all other revenue you just looked at in terms of gross state product as an indicator of revenue raising capacity… On the expenditure side, you could perhaps look at education, health, public transport and maybe law and order as sort of key areas of state responsibility and do something similar to what the Grants Commission does at the moment and then simplify the treatment of everything else. (Eslake, trans., p. 477)</w:t>
      </w:r>
    </w:p>
    <w:p w14:paraId="7954A689" w14:textId="77777777" w:rsidR="00F05DC7" w:rsidRDefault="00F05DC7" w:rsidP="00A3786D">
      <w:pPr>
        <w:pStyle w:val="BodyText"/>
      </w:pPr>
      <w:r>
        <w:t>Other options were put forward by Anwar Shah (sub. DR103, p. 6), such as using simpler indicators for each assessment category and/or only equalising for major areas of expenditure that have a bearing on population mobility between States (school education, post</w:t>
      </w:r>
      <w:r>
        <w:noBreakHyphen/>
        <w:t>secondary education and welfare).</w:t>
      </w:r>
    </w:p>
    <w:p w14:paraId="7954A68A" w14:textId="77777777" w:rsidR="00F05DC7" w:rsidRPr="008B2D46" w:rsidRDefault="00F05DC7" w:rsidP="00A3786D">
      <w:pPr>
        <w:pStyle w:val="BodyText"/>
      </w:pPr>
      <w:r w:rsidRPr="008B2D46">
        <w:t xml:space="preserve">In </w:t>
      </w:r>
      <w:r>
        <w:t xml:space="preserve">a </w:t>
      </w:r>
      <w:r w:rsidRPr="008B2D46">
        <w:t>2018</w:t>
      </w:r>
      <w:r>
        <w:t xml:space="preserve"> research paper</w:t>
      </w:r>
      <w:r w:rsidRPr="008B2D46">
        <w:t>, the CGC also explored broader indicators</w:t>
      </w:r>
      <w:r>
        <w:t xml:space="preserve"> (including macro approaches, involving a higher level approach at the category level, and a global, aggregate indicator approach). It</w:t>
      </w:r>
      <w:r w:rsidRPr="008B2D46">
        <w:t xml:space="preserve"> concluded that, given its present remit:</w:t>
      </w:r>
    </w:p>
    <w:p w14:paraId="7954A68B" w14:textId="1A09963E" w:rsidR="00F05DC7" w:rsidRDefault="00F05DC7" w:rsidP="00A3786D">
      <w:pPr>
        <w:pStyle w:val="Quote"/>
      </w:pPr>
      <w:r>
        <w:t xml:space="preserve">… broader revenue approaches… are not consistent with that objective, as understood, and agreed to, by governments to date… </w:t>
      </w:r>
      <w:r w:rsidRPr="008B2D46">
        <w:t>Were governments to change the equalisation principle or to ask the Commission to achieve additional objectives, then the Commission would be prompted to give more consideration to broader revenue approaches.</w:t>
      </w:r>
      <w:r>
        <w:t xml:space="preserve"> </w:t>
      </w:r>
      <w:r w:rsidR="009D6331" w:rsidRPr="009D6331">
        <w:rPr>
          <w:szCs w:val="24"/>
        </w:rPr>
        <w:t>(CGC 2018d, p. 12)</w:t>
      </w:r>
      <w:r>
        <w:t xml:space="preserve"> </w:t>
      </w:r>
    </w:p>
    <w:p w14:paraId="7954A68C" w14:textId="77777777" w:rsidR="00F05DC7" w:rsidRDefault="00F05DC7" w:rsidP="00A3786D">
      <w:pPr>
        <w:pStyle w:val="Heading4"/>
      </w:pPr>
      <w:r>
        <w:t>Benefits of using more policy</w:t>
      </w:r>
      <w:r>
        <w:noBreakHyphen/>
        <w:t>neutral indicators</w:t>
      </w:r>
    </w:p>
    <w:p w14:paraId="7954A68D" w14:textId="77777777" w:rsidR="00F05DC7" w:rsidRDefault="00F05DC7">
      <w:pPr>
        <w:pStyle w:val="BodyText"/>
      </w:pPr>
      <w:r>
        <w:t>As with a single broad indicator (section 7.2), greater use of simpler and more policy</w:t>
      </w:r>
      <w:r>
        <w:noBreakHyphen/>
        <w:t>neutral indicators offers scope to directly link GST shares to measures of each State’s underlying or fundamental capacity to raise taxes or provide services, and is less prone to being influenced by differences across States in their specific policy choices and designs (depending on the specific metrics chosen). But it also differs from using a single broad indicator because it allows for multiple indicators, and thus offers scope to better reflect States’ underlying fiscal capacities and inherent structural differences.</w:t>
      </w:r>
    </w:p>
    <w:p w14:paraId="7954A68E"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690" w14:textId="77777777" w:rsidTr="00A3786D">
        <w:trPr>
          <w:tblHeader/>
        </w:trPr>
        <w:tc>
          <w:tcPr>
            <w:tcW w:w="5000" w:type="pct"/>
            <w:tcBorders>
              <w:top w:val="single" w:sz="6" w:space="0" w:color="78A22F"/>
              <w:left w:val="nil"/>
              <w:bottom w:val="nil"/>
              <w:right w:val="nil"/>
            </w:tcBorders>
            <w:shd w:val="clear" w:color="auto" w:fill="F2F2F2"/>
          </w:tcPr>
          <w:p w14:paraId="7954A68F" w14:textId="27157ABB" w:rsidR="00F05DC7" w:rsidRDefault="00F05DC7">
            <w:pPr>
              <w:pStyle w:val="BoxTitle"/>
            </w:pPr>
            <w:r>
              <w:rPr>
                <w:b w:val="0"/>
              </w:rPr>
              <w:t>Box 7.</w:t>
            </w:r>
            <w:r>
              <w:rPr>
                <w:b w:val="0"/>
                <w:noProof/>
              </w:rPr>
              <w:t>3</w:t>
            </w:r>
            <w:r>
              <w:tab/>
              <w:t>Improving the policy-neutrality of the stamp duty assessment</w:t>
            </w:r>
          </w:p>
        </w:tc>
      </w:tr>
      <w:tr w:rsidR="00F05DC7" w14:paraId="7954A6DD" w14:textId="77777777" w:rsidTr="00A3786D">
        <w:tc>
          <w:tcPr>
            <w:tcW w:w="5000" w:type="pct"/>
            <w:tcBorders>
              <w:top w:val="nil"/>
              <w:left w:val="nil"/>
              <w:bottom w:val="nil"/>
              <w:right w:val="nil"/>
            </w:tcBorders>
            <w:shd w:val="clear" w:color="auto" w:fill="F2F2F2"/>
          </w:tcPr>
          <w:p w14:paraId="7954A691" w14:textId="77777777" w:rsidR="00F05DC7" w:rsidRDefault="00F05DC7" w:rsidP="00A3786D">
            <w:pPr>
              <w:pStyle w:val="Box"/>
            </w:pPr>
            <w:r>
              <w:t>The CGC currently uses the total value of property transferred (adjusted for tax exemptions and progressive tax rates) to assess a State’s ability to raise revenue from stamp duties on properties — a tax base that, while reflecting ‘what States do’, is sensitive to changes in government policy. This can create strong disincentives to undertake stamp duty reform. For example, the net impact of New South Wales, Victoria or Queensland unilaterally halving its average rate of stamp duty on property and replacing the lost revenue with a new broad</w:t>
            </w:r>
            <w:r>
              <w:noBreakHyphen/>
              <w:t>based tax on residential land could be a reduction in annual GST payments of about $1 billion (chapter 3).</w:t>
            </w:r>
          </w:p>
          <w:p w14:paraId="7954A692" w14:textId="77777777" w:rsidR="00F05DC7" w:rsidRDefault="00F05DC7" w:rsidP="00A3786D">
            <w:pPr>
              <w:pStyle w:val="Box"/>
            </w:pPr>
            <w:r>
              <w:t>These undesirable GST impacts would be reduced if a more policy</w:t>
            </w:r>
            <w:r>
              <w:noBreakHyphen/>
              <w:t>neutral measure of the tax base was in place — one that is less sensitive to changes in State tax rates or other policy settings. Two possible measures are the total value of the dwelling stock (which is a general measure of the underlying base for most property taxes, including stamp duties) and the unimproved value of land (which is currently used to assess land taxes).</w:t>
            </w:r>
          </w:p>
          <w:p w14:paraId="7954A693" w14:textId="77777777" w:rsidR="00F05DC7" w:rsidRDefault="00F05DC7" w:rsidP="00A3786D">
            <w:pPr>
              <w:pStyle w:val="Box"/>
            </w:pPr>
            <w:r>
              <w:t>Based on the calculations for cameo 1 in chapter 3:</w:t>
            </w:r>
          </w:p>
          <w:p w14:paraId="7954A694" w14:textId="77777777" w:rsidR="00F05DC7" w:rsidRDefault="00F05DC7" w:rsidP="00A3786D">
            <w:pPr>
              <w:pStyle w:val="BoxListBullet"/>
            </w:pPr>
            <w:r>
              <w:t>Using the total value of the dwelling stock may reduce the impact that unilateral tax reform has on a State’s GST payments by up to 63 per cent, though this depends on the assumptions used.</w:t>
            </w:r>
          </w:p>
          <w:p w14:paraId="7954A695" w14:textId="77777777" w:rsidR="00F05DC7" w:rsidRDefault="00F05DC7" w:rsidP="00A3786D">
            <w:pPr>
              <w:pStyle w:val="BoxListBullet"/>
            </w:pPr>
            <w:r>
              <w:t>Using the unimproved value of land would eliminate the GST impact in this cameo (since the same indicator is used to estimate the GST distribution due to the new land tax, and because the size of the tax base is not expected to change as a result of the tax reform).</w:t>
            </w:r>
          </w:p>
          <w:p w14:paraId="7954A696" w14:textId="77777777" w:rsidR="00F05DC7" w:rsidRDefault="00F05DC7">
            <w:pPr>
              <w:pStyle w:val="Box"/>
            </w:pPr>
            <w:r>
              <w:t xml:space="preserve">These effects are illustrated in the table below (effects under multilateral reform are presented in appendix C). While the unimproved value of land clearly performs better in terms of reducing disincentives to reform, the total value of dwelling stock measure may better reflect States’ abilities to raise property tax (as it reflects the value of structures and improvements). There is thus a trade-off between accurately reflecting States’ abilities to raise revenue (fiscal equity) and the need to achieve policy neutrality (efficiency). </w:t>
            </w:r>
          </w:p>
          <w:p w14:paraId="7954A697" w14:textId="77777777" w:rsidR="00F05DC7" w:rsidRDefault="00F05DC7" w:rsidP="00DD25DE">
            <w:pPr>
              <w:pStyle w:val="Box"/>
              <w:spacing w:after="80"/>
            </w:pPr>
            <w:r w:rsidRPr="00105E3E">
              <w:rPr>
                <w:b/>
              </w:rPr>
              <w:t xml:space="preserve">Cameo 1: </w:t>
            </w:r>
            <w:r>
              <w:rPr>
                <w:b/>
              </w:rPr>
              <w:t>Stamp</w:t>
            </w:r>
            <w:r w:rsidRPr="00105E3E">
              <w:rPr>
                <w:b/>
              </w:rPr>
              <w:t xml:space="preserve"> duty</w:t>
            </w:r>
            <w:r>
              <w:rPr>
                <w:b/>
              </w:rPr>
              <w:t xml:space="preserve"> halved with revenue replaced</w:t>
            </w:r>
            <w:r w:rsidRPr="00105E3E">
              <w:rPr>
                <w:b/>
              </w:rPr>
              <w:t xml:space="preserve"> </w:t>
            </w:r>
            <w:r>
              <w:rPr>
                <w:b/>
              </w:rPr>
              <w:t xml:space="preserve">by </w:t>
            </w:r>
            <w:r w:rsidRPr="00105E3E">
              <w:rPr>
                <w:b/>
              </w:rPr>
              <w:t>new land ta</w:t>
            </w:r>
            <w:r>
              <w:rPr>
                <w:b/>
              </w:rPr>
              <w:t>x, unilateral reform</w:t>
            </w:r>
          </w:p>
          <w:tbl>
            <w:tblPr>
              <w:tblW w:w="8505" w:type="dxa"/>
              <w:tblLook w:val="04A0" w:firstRow="1" w:lastRow="0" w:firstColumn="1" w:lastColumn="0" w:noHBand="0" w:noVBand="1"/>
            </w:tblPr>
            <w:tblGrid>
              <w:gridCol w:w="2760"/>
              <w:gridCol w:w="838"/>
              <w:gridCol w:w="701"/>
              <w:gridCol w:w="701"/>
              <w:gridCol w:w="701"/>
              <w:gridCol w:w="701"/>
              <w:gridCol w:w="701"/>
              <w:gridCol w:w="701"/>
              <w:gridCol w:w="701"/>
            </w:tblGrid>
            <w:tr w:rsidR="00F05DC7" w14:paraId="7954A6A1" w14:textId="77777777" w:rsidTr="00A3786D">
              <w:trPr>
                <w:trHeight w:val="288"/>
              </w:trPr>
              <w:tc>
                <w:tcPr>
                  <w:tcW w:w="162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698" w14:textId="77777777" w:rsidR="00F05DC7" w:rsidRDefault="00F05DC7" w:rsidP="00A3786D">
                  <w:pPr>
                    <w:rPr>
                      <w:color w:val="000000"/>
                      <w:sz w:val="20"/>
                      <w:szCs w:val="20"/>
                    </w:rPr>
                  </w:pPr>
                  <w:r>
                    <w:rPr>
                      <w:color w:val="000000"/>
                      <w:sz w:val="20"/>
                      <w:szCs w:val="20"/>
                    </w:rPr>
                    <w:t> </w:t>
                  </w:r>
                </w:p>
              </w:tc>
              <w:tc>
                <w:tcPr>
                  <w:tcW w:w="49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699" w14:textId="77777777" w:rsidR="00F05DC7" w:rsidRDefault="00F05DC7" w:rsidP="00A3786D">
                  <w:pPr>
                    <w:pStyle w:val="TableColumnHeading"/>
                    <w:ind w:right="57"/>
                  </w:pPr>
                  <w:r>
                    <w:t>NSW</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69A" w14:textId="77777777" w:rsidR="00F05DC7" w:rsidRDefault="00F05DC7" w:rsidP="00A3786D">
                  <w:pPr>
                    <w:pStyle w:val="TableColumnHeading"/>
                    <w:ind w:right="57"/>
                  </w:pPr>
                  <w:r>
                    <w:t>Vic</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69B" w14:textId="77777777" w:rsidR="00F05DC7" w:rsidRDefault="00F05DC7" w:rsidP="00A3786D">
                  <w:pPr>
                    <w:pStyle w:val="TableColumnHeading"/>
                    <w:ind w:right="57"/>
                  </w:pPr>
                  <w:r>
                    <w:t>Qld</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69C" w14:textId="77777777" w:rsidR="00F05DC7" w:rsidRDefault="00F05DC7" w:rsidP="00A3786D">
                  <w:pPr>
                    <w:pStyle w:val="TableColumnHeading"/>
                    <w:ind w:right="57"/>
                  </w:pPr>
                  <w:r>
                    <w:t>WA</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69D" w14:textId="77777777" w:rsidR="00F05DC7" w:rsidRDefault="00F05DC7" w:rsidP="00A3786D">
                  <w:pPr>
                    <w:pStyle w:val="TableColumnHeading"/>
                    <w:ind w:right="57"/>
                  </w:pPr>
                  <w:r>
                    <w:t>SA</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69E" w14:textId="77777777" w:rsidR="00F05DC7" w:rsidRDefault="00F05DC7" w:rsidP="00A3786D">
                  <w:pPr>
                    <w:pStyle w:val="TableColumnHeading"/>
                    <w:ind w:right="57"/>
                  </w:pPr>
                  <w:r>
                    <w:t>Tas</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69F" w14:textId="77777777" w:rsidR="00F05DC7" w:rsidRDefault="00F05DC7" w:rsidP="00A3786D">
                  <w:pPr>
                    <w:pStyle w:val="TableColumnHeading"/>
                    <w:ind w:right="57"/>
                  </w:pPr>
                  <w:r>
                    <w:t>ACT</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6A0" w14:textId="77777777" w:rsidR="00F05DC7" w:rsidRDefault="00F05DC7" w:rsidP="00A3786D">
                  <w:pPr>
                    <w:pStyle w:val="TableColumnHeading"/>
                    <w:ind w:right="57"/>
                  </w:pPr>
                  <w:r>
                    <w:t>NT</w:t>
                  </w:r>
                </w:p>
              </w:tc>
            </w:tr>
            <w:tr w:rsidR="00F05DC7" w14:paraId="7954A6A3"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7954A6A2" w14:textId="77777777" w:rsidR="00F05DC7" w:rsidRPr="00142FD1" w:rsidRDefault="00F05DC7" w:rsidP="00A3786D">
                  <w:pPr>
                    <w:spacing w:before="80"/>
                    <w:rPr>
                      <w:rFonts w:asciiTheme="minorHAnsi" w:hAnsiTheme="minorHAnsi" w:cstheme="minorHAnsi"/>
                      <w:sz w:val="18"/>
                      <w:szCs w:val="18"/>
                    </w:rPr>
                  </w:pPr>
                  <w:r w:rsidRPr="00142FD1">
                    <w:rPr>
                      <w:rFonts w:asciiTheme="minorHAnsi" w:hAnsiTheme="minorHAnsi" w:cstheme="minorHAnsi"/>
                      <w:b/>
                      <w:bCs/>
                      <w:color w:val="000000"/>
                      <w:sz w:val="18"/>
                      <w:szCs w:val="18"/>
                    </w:rPr>
                    <w:t>Change in GST payments ($m)</w:t>
                  </w:r>
                </w:p>
              </w:tc>
            </w:tr>
            <w:tr w:rsidR="00F05DC7" w14:paraId="7954A6A5"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7954A6A4" w14:textId="77777777" w:rsidR="00F05DC7" w:rsidRPr="00F602FD" w:rsidRDefault="00F05DC7" w:rsidP="00A3786D">
                  <w:pPr>
                    <w:spacing w:before="80"/>
                    <w:rPr>
                      <w:rFonts w:ascii="Arial" w:hAnsi="Arial" w:cs="Arial"/>
                      <w:bCs/>
                      <w:i/>
                      <w:color w:val="000000"/>
                      <w:sz w:val="18"/>
                      <w:szCs w:val="18"/>
                    </w:rPr>
                  </w:pPr>
                  <w:r w:rsidRPr="00F602FD">
                    <w:rPr>
                      <w:rFonts w:ascii="Arial" w:hAnsi="Arial" w:cs="Arial"/>
                      <w:bCs/>
                      <w:i/>
                      <w:color w:val="000000"/>
                      <w:sz w:val="18"/>
                      <w:szCs w:val="18"/>
                    </w:rPr>
                    <w:t>Current approach</w:t>
                  </w:r>
                </w:p>
              </w:tc>
            </w:tr>
            <w:tr w:rsidR="00F05DC7" w14:paraId="7954A6AF"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A6A6" w14:textId="77777777" w:rsidR="00F05DC7" w:rsidRPr="00F602FD" w:rsidRDefault="00F05DC7" w:rsidP="00A3786D">
                  <w:pPr>
                    <w:ind w:left="113"/>
                    <w:rPr>
                      <w:rFonts w:ascii="Arial" w:hAnsi="Arial" w:cs="Arial"/>
                      <w:color w:val="000000"/>
                      <w:sz w:val="18"/>
                      <w:szCs w:val="18"/>
                    </w:rPr>
                  </w:pPr>
                  <w:r w:rsidRPr="00F602FD">
                    <w:rPr>
                      <w:rFonts w:ascii="Arial" w:hAnsi="Arial" w:cs="Arial"/>
                      <w:color w:val="000000"/>
                      <w:sz w:val="18"/>
                      <w:szCs w:val="18"/>
                    </w:rPr>
                    <w:t>GST, lower bound ($m)</w:t>
                  </w:r>
                </w:p>
              </w:tc>
              <w:tc>
                <w:tcPr>
                  <w:tcW w:w="493" w:type="pct"/>
                  <w:shd w:val="clear" w:color="auto" w:fill="auto"/>
                  <w:tcMar>
                    <w:left w:w="0" w:type="dxa"/>
                    <w:right w:w="28" w:type="dxa"/>
                  </w:tcMar>
                  <w:vAlign w:val="center"/>
                </w:tcPr>
                <w:p w14:paraId="7954A6A7"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-337</w:t>
                  </w:r>
                </w:p>
              </w:tc>
              <w:tc>
                <w:tcPr>
                  <w:tcW w:w="412" w:type="pct"/>
                  <w:shd w:val="clear" w:color="auto" w:fill="auto"/>
                  <w:tcMar>
                    <w:left w:w="0" w:type="dxa"/>
                    <w:right w:w="28" w:type="dxa"/>
                  </w:tcMar>
                  <w:vAlign w:val="center"/>
                </w:tcPr>
                <w:p w14:paraId="7954A6A8"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-351</w:t>
                  </w:r>
                </w:p>
              </w:tc>
              <w:tc>
                <w:tcPr>
                  <w:tcW w:w="412" w:type="pct"/>
                  <w:shd w:val="clear" w:color="auto" w:fill="auto"/>
                  <w:tcMar>
                    <w:left w:w="0" w:type="dxa"/>
                    <w:right w:w="28" w:type="dxa"/>
                  </w:tcMar>
                  <w:vAlign w:val="center"/>
                </w:tcPr>
                <w:p w14:paraId="7954A6A9"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-308</w:t>
                  </w:r>
                </w:p>
              </w:tc>
              <w:tc>
                <w:tcPr>
                  <w:tcW w:w="412" w:type="pct"/>
                  <w:shd w:val="clear" w:color="auto" w:fill="auto"/>
                  <w:tcMar>
                    <w:left w:w="0" w:type="dxa"/>
                    <w:right w:w="28" w:type="dxa"/>
                  </w:tcMar>
                  <w:vAlign w:val="center"/>
                </w:tcPr>
                <w:p w14:paraId="7954A6AA"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-131</w:t>
                  </w:r>
                </w:p>
              </w:tc>
              <w:tc>
                <w:tcPr>
                  <w:tcW w:w="412" w:type="pct"/>
                  <w:shd w:val="clear" w:color="auto" w:fill="auto"/>
                  <w:tcMar>
                    <w:left w:w="0" w:type="dxa"/>
                    <w:right w:w="28" w:type="dxa"/>
                  </w:tcMar>
                  <w:vAlign w:val="center"/>
                </w:tcPr>
                <w:p w14:paraId="7954A6AB"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-83</w:t>
                  </w:r>
                </w:p>
              </w:tc>
              <w:tc>
                <w:tcPr>
                  <w:tcW w:w="412" w:type="pct"/>
                  <w:shd w:val="clear" w:color="auto" w:fill="auto"/>
                  <w:tcMar>
                    <w:left w:w="0" w:type="dxa"/>
                    <w:right w:w="28" w:type="dxa"/>
                  </w:tcMar>
                  <w:vAlign w:val="center"/>
                </w:tcPr>
                <w:p w14:paraId="7954A6AC"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-24</w:t>
                  </w:r>
                </w:p>
              </w:tc>
              <w:tc>
                <w:tcPr>
                  <w:tcW w:w="412" w:type="pct"/>
                  <w:shd w:val="clear" w:color="auto" w:fill="auto"/>
                  <w:tcMar>
                    <w:left w:w="0" w:type="dxa"/>
                    <w:right w:w="28" w:type="dxa"/>
                  </w:tcMar>
                  <w:vAlign w:val="center"/>
                </w:tcPr>
                <w:p w14:paraId="7954A6AD"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-33</w:t>
                  </w:r>
                </w:p>
              </w:tc>
              <w:tc>
                <w:tcPr>
                  <w:tcW w:w="412" w:type="pct"/>
                  <w:shd w:val="clear" w:color="auto" w:fill="auto"/>
                  <w:tcMar>
                    <w:left w:w="0" w:type="dxa"/>
                    <w:right w:w="28" w:type="dxa"/>
                  </w:tcMar>
                  <w:vAlign w:val="center"/>
                </w:tcPr>
                <w:p w14:paraId="7954A6AE"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-10</w:t>
                  </w:r>
                </w:p>
              </w:tc>
            </w:tr>
            <w:tr w:rsidR="00F05DC7" w14:paraId="7954A6B9"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A6B0" w14:textId="77777777" w:rsidR="00F05DC7" w:rsidRPr="00F602FD" w:rsidRDefault="00F05DC7" w:rsidP="00A3786D">
                  <w:pPr>
                    <w:ind w:left="113"/>
                    <w:rPr>
                      <w:rFonts w:ascii="Arial" w:hAnsi="Arial" w:cs="Arial"/>
                      <w:color w:val="000000"/>
                      <w:sz w:val="18"/>
                      <w:szCs w:val="18"/>
                    </w:rPr>
                  </w:pPr>
                  <w:r w:rsidRPr="00F602FD">
                    <w:rPr>
                      <w:rFonts w:ascii="Arial" w:hAnsi="Arial" w:cs="Arial"/>
                      <w:color w:val="000000"/>
                      <w:sz w:val="18"/>
                      <w:szCs w:val="18"/>
                    </w:rPr>
                    <w:t>GST, upper bound ($m)</w:t>
                  </w:r>
                </w:p>
              </w:tc>
              <w:tc>
                <w:tcPr>
                  <w:tcW w:w="493" w:type="pct"/>
                  <w:shd w:val="clear" w:color="auto" w:fill="auto"/>
                  <w:tcMar>
                    <w:left w:w="0" w:type="dxa"/>
                    <w:right w:w="28" w:type="dxa"/>
                  </w:tcMar>
                  <w:vAlign w:val="center"/>
                </w:tcPr>
                <w:p w14:paraId="7954A6B1"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-1 281</w:t>
                  </w:r>
                </w:p>
              </w:tc>
              <w:tc>
                <w:tcPr>
                  <w:tcW w:w="412" w:type="pct"/>
                  <w:shd w:val="clear" w:color="auto" w:fill="auto"/>
                  <w:tcMar>
                    <w:left w:w="0" w:type="dxa"/>
                    <w:right w:w="28" w:type="dxa"/>
                  </w:tcMar>
                  <w:vAlign w:val="center"/>
                </w:tcPr>
                <w:p w14:paraId="7954A6B2"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-1 178</w:t>
                  </w:r>
                </w:p>
              </w:tc>
              <w:tc>
                <w:tcPr>
                  <w:tcW w:w="412" w:type="pct"/>
                  <w:shd w:val="clear" w:color="auto" w:fill="auto"/>
                  <w:tcMar>
                    <w:left w:w="0" w:type="dxa"/>
                    <w:right w:w="28" w:type="dxa"/>
                  </w:tcMar>
                  <w:vAlign w:val="center"/>
                </w:tcPr>
                <w:p w14:paraId="7954A6B3"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-982</w:t>
                  </w:r>
                </w:p>
              </w:tc>
              <w:tc>
                <w:tcPr>
                  <w:tcW w:w="412" w:type="pct"/>
                  <w:shd w:val="clear" w:color="auto" w:fill="auto"/>
                  <w:tcMar>
                    <w:left w:w="0" w:type="dxa"/>
                    <w:right w:w="28" w:type="dxa"/>
                  </w:tcMar>
                  <w:vAlign w:val="center"/>
                </w:tcPr>
                <w:p w14:paraId="7954A6B4"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-366</w:t>
                  </w:r>
                </w:p>
              </w:tc>
              <w:tc>
                <w:tcPr>
                  <w:tcW w:w="412" w:type="pct"/>
                  <w:shd w:val="clear" w:color="auto" w:fill="auto"/>
                  <w:tcMar>
                    <w:left w:w="0" w:type="dxa"/>
                    <w:right w:w="28" w:type="dxa"/>
                  </w:tcMar>
                  <w:vAlign w:val="center"/>
                </w:tcPr>
                <w:p w14:paraId="7954A6B5"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-250</w:t>
                  </w:r>
                </w:p>
              </w:tc>
              <w:tc>
                <w:tcPr>
                  <w:tcW w:w="412" w:type="pct"/>
                  <w:shd w:val="clear" w:color="auto" w:fill="auto"/>
                  <w:tcMar>
                    <w:left w:w="0" w:type="dxa"/>
                    <w:right w:w="28" w:type="dxa"/>
                  </w:tcMar>
                  <w:vAlign w:val="center"/>
                </w:tcPr>
                <w:p w14:paraId="7954A6B6"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-79</w:t>
                  </w:r>
                </w:p>
              </w:tc>
              <w:tc>
                <w:tcPr>
                  <w:tcW w:w="412" w:type="pct"/>
                  <w:shd w:val="clear" w:color="auto" w:fill="auto"/>
                  <w:tcMar>
                    <w:left w:w="0" w:type="dxa"/>
                    <w:right w:w="28" w:type="dxa"/>
                  </w:tcMar>
                  <w:vAlign w:val="center"/>
                </w:tcPr>
                <w:p w14:paraId="7954A6B7"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-115</w:t>
                  </w:r>
                </w:p>
              </w:tc>
              <w:tc>
                <w:tcPr>
                  <w:tcW w:w="412" w:type="pct"/>
                  <w:shd w:val="clear" w:color="auto" w:fill="auto"/>
                  <w:tcMar>
                    <w:left w:w="0" w:type="dxa"/>
                    <w:right w:w="28" w:type="dxa"/>
                  </w:tcMar>
                  <w:vAlign w:val="center"/>
                </w:tcPr>
                <w:p w14:paraId="7954A6B8" w14:textId="77777777" w:rsidR="00F05DC7" w:rsidRPr="00F602FD" w:rsidRDefault="00F05DC7" w:rsidP="00A3786D">
                  <w:pPr>
                    <w:jc w:val="right"/>
                    <w:rPr>
                      <w:rFonts w:ascii="Arial" w:hAnsi="Arial" w:cs="Arial"/>
                      <w:color w:val="000000"/>
                      <w:sz w:val="18"/>
                      <w:szCs w:val="18"/>
                    </w:rPr>
                  </w:pPr>
                  <w:r w:rsidRPr="00F602FD">
                    <w:rPr>
                      <w:rFonts w:ascii="Arial" w:hAnsi="Arial" w:cs="Arial"/>
                      <w:sz w:val="18"/>
                      <w:szCs w:val="18"/>
                    </w:rPr>
                    <w:t>-32</w:t>
                  </w:r>
                </w:p>
              </w:tc>
            </w:tr>
            <w:tr w:rsidR="00F05DC7" w:rsidRPr="00240BB1" w14:paraId="7954A6BB"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7954A6BA" w14:textId="77777777" w:rsidR="00F05DC7" w:rsidRPr="00F602FD" w:rsidRDefault="00F05DC7" w:rsidP="00A3786D">
                  <w:pPr>
                    <w:spacing w:before="80"/>
                    <w:rPr>
                      <w:rStyle w:val="NoteLabel"/>
                      <w:rFonts w:cs="Arial"/>
                      <w:szCs w:val="18"/>
                    </w:rPr>
                  </w:pPr>
                  <w:r w:rsidRPr="00F602FD">
                    <w:rPr>
                      <w:rFonts w:ascii="Arial" w:hAnsi="Arial" w:cs="Arial"/>
                      <w:i/>
                      <w:sz w:val="18"/>
                      <w:szCs w:val="18"/>
                    </w:rPr>
                    <w:t xml:space="preserve">Value of dwelling stock </w:t>
                  </w:r>
                  <w:r w:rsidRPr="00F602FD">
                    <w:rPr>
                      <w:rStyle w:val="NoteLabel"/>
                      <w:rFonts w:cs="Arial"/>
                      <w:szCs w:val="18"/>
                    </w:rPr>
                    <w:t>a</w:t>
                  </w:r>
                </w:p>
              </w:tc>
            </w:tr>
            <w:tr w:rsidR="00F05DC7" w14:paraId="7954A6C5"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A6BC" w14:textId="77777777" w:rsidR="00F05DC7" w:rsidRPr="00F602FD" w:rsidRDefault="00F05DC7" w:rsidP="00A3786D">
                  <w:pPr>
                    <w:ind w:left="113"/>
                    <w:rPr>
                      <w:rFonts w:ascii="Arial" w:hAnsi="Arial" w:cs="Arial"/>
                      <w:sz w:val="18"/>
                      <w:szCs w:val="18"/>
                    </w:rPr>
                  </w:pPr>
                  <w:r w:rsidRPr="00F602FD">
                    <w:rPr>
                      <w:rFonts w:ascii="Arial" w:hAnsi="Arial" w:cs="Arial"/>
                      <w:color w:val="000000"/>
                      <w:sz w:val="18"/>
                      <w:szCs w:val="18"/>
                    </w:rPr>
                    <w:t>GST, lower bound ($m)</w:t>
                  </w:r>
                </w:p>
              </w:tc>
              <w:tc>
                <w:tcPr>
                  <w:tcW w:w="493" w:type="pct"/>
                  <w:tcBorders>
                    <w:top w:val="nil"/>
                    <w:left w:val="nil"/>
                    <w:bottom w:val="nil"/>
                    <w:right w:val="nil"/>
                  </w:tcBorders>
                  <w:shd w:val="clear" w:color="auto" w:fill="auto"/>
                  <w:tcMar>
                    <w:left w:w="0" w:type="dxa"/>
                    <w:right w:w="28" w:type="dxa"/>
                  </w:tcMar>
                  <w:vAlign w:val="bottom"/>
                </w:tcPr>
                <w:p w14:paraId="7954A6BD"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-404</w:t>
                  </w:r>
                </w:p>
              </w:tc>
              <w:tc>
                <w:tcPr>
                  <w:tcW w:w="412" w:type="pct"/>
                  <w:tcBorders>
                    <w:top w:val="nil"/>
                    <w:left w:val="nil"/>
                    <w:bottom w:val="nil"/>
                    <w:right w:val="nil"/>
                  </w:tcBorders>
                  <w:shd w:val="clear" w:color="auto" w:fill="auto"/>
                  <w:tcMar>
                    <w:left w:w="0" w:type="dxa"/>
                    <w:right w:w="28" w:type="dxa"/>
                  </w:tcMar>
                  <w:vAlign w:val="bottom"/>
                </w:tcPr>
                <w:p w14:paraId="7954A6BE"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-340</w:t>
                  </w:r>
                </w:p>
              </w:tc>
              <w:tc>
                <w:tcPr>
                  <w:tcW w:w="412" w:type="pct"/>
                  <w:tcBorders>
                    <w:top w:val="nil"/>
                    <w:left w:val="nil"/>
                    <w:bottom w:val="nil"/>
                    <w:right w:val="nil"/>
                  </w:tcBorders>
                  <w:shd w:val="clear" w:color="auto" w:fill="auto"/>
                  <w:tcMar>
                    <w:left w:w="0" w:type="dxa"/>
                    <w:right w:w="28" w:type="dxa"/>
                  </w:tcMar>
                  <w:vAlign w:val="bottom"/>
                </w:tcPr>
                <w:p w14:paraId="7954A6BF"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-329</w:t>
                  </w:r>
                </w:p>
              </w:tc>
              <w:tc>
                <w:tcPr>
                  <w:tcW w:w="412" w:type="pct"/>
                  <w:tcBorders>
                    <w:top w:val="nil"/>
                    <w:left w:val="nil"/>
                    <w:bottom w:val="nil"/>
                    <w:right w:val="nil"/>
                  </w:tcBorders>
                  <w:shd w:val="clear" w:color="auto" w:fill="auto"/>
                  <w:tcMar>
                    <w:left w:w="0" w:type="dxa"/>
                    <w:right w:w="28" w:type="dxa"/>
                  </w:tcMar>
                  <w:vAlign w:val="bottom"/>
                </w:tcPr>
                <w:p w14:paraId="7954A6C0"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-169</w:t>
                  </w:r>
                </w:p>
              </w:tc>
              <w:tc>
                <w:tcPr>
                  <w:tcW w:w="412" w:type="pct"/>
                  <w:tcBorders>
                    <w:top w:val="nil"/>
                    <w:left w:val="nil"/>
                    <w:bottom w:val="nil"/>
                    <w:right w:val="nil"/>
                  </w:tcBorders>
                  <w:shd w:val="clear" w:color="auto" w:fill="auto"/>
                  <w:tcMar>
                    <w:left w:w="0" w:type="dxa"/>
                    <w:right w:w="28" w:type="dxa"/>
                  </w:tcMar>
                  <w:vAlign w:val="bottom"/>
                </w:tcPr>
                <w:p w14:paraId="7954A6C1"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-105</w:t>
                  </w:r>
                </w:p>
              </w:tc>
              <w:tc>
                <w:tcPr>
                  <w:tcW w:w="412" w:type="pct"/>
                  <w:tcBorders>
                    <w:top w:val="nil"/>
                    <w:left w:val="nil"/>
                    <w:bottom w:val="nil"/>
                    <w:right w:val="nil"/>
                  </w:tcBorders>
                  <w:shd w:val="clear" w:color="auto" w:fill="auto"/>
                  <w:tcMar>
                    <w:left w:w="0" w:type="dxa"/>
                    <w:right w:w="28" w:type="dxa"/>
                  </w:tcMar>
                  <w:vAlign w:val="bottom"/>
                </w:tcPr>
                <w:p w14:paraId="7954A6C2"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-27</w:t>
                  </w:r>
                </w:p>
              </w:tc>
              <w:tc>
                <w:tcPr>
                  <w:tcW w:w="412" w:type="pct"/>
                  <w:tcBorders>
                    <w:top w:val="nil"/>
                    <w:left w:val="nil"/>
                    <w:bottom w:val="nil"/>
                    <w:right w:val="nil"/>
                  </w:tcBorders>
                  <w:shd w:val="clear" w:color="auto" w:fill="auto"/>
                  <w:tcMar>
                    <w:left w:w="0" w:type="dxa"/>
                    <w:right w:w="28" w:type="dxa"/>
                  </w:tcMar>
                  <w:vAlign w:val="bottom"/>
                </w:tcPr>
                <w:p w14:paraId="7954A6C3"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-33</w:t>
                  </w:r>
                </w:p>
              </w:tc>
              <w:tc>
                <w:tcPr>
                  <w:tcW w:w="412" w:type="pct"/>
                  <w:tcBorders>
                    <w:top w:val="nil"/>
                    <w:left w:val="nil"/>
                    <w:bottom w:val="nil"/>
                    <w:right w:val="nil"/>
                  </w:tcBorders>
                  <w:shd w:val="clear" w:color="auto" w:fill="auto"/>
                  <w:tcMar>
                    <w:left w:w="0" w:type="dxa"/>
                    <w:right w:w="28" w:type="dxa"/>
                  </w:tcMar>
                  <w:vAlign w:val="bottom"/>
                </w:tcPr>
                <w:p w14:paraId="7954A6C4"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-10</w:t>
                  </w:r>
                </w:p>
              </w:tc>
            </w:tr>
            <w:tr w:rsidR="00F05DC7" w14:paraId="7954A6CF"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A6C6" w14:textId="77777777" w:rsidR="00F05DC7" w:rsidRPr="00F602FD" w:rsidRDefault="00F05DC7" w:rsidP="00A3786D">
                  <w:pPr>
                    <w:ind w:left="113"/>
                    <w:rPr>
                      <w:rFonts w:ascii="Arial" w:hAnsi="Arial" w:cs="Arial"/>
                      <w:sz w:val="18"/>
                      <w:szCs w:val="18"/>
                    </w:rPr>
                  </w:pPr>
                  <w:r w:rsidRPr="00F602FD">
                    <w:rPr>
                      <w:rFonts w:ascii="Arial" w:hAnsi="Arial" w:cs="Arial"/>
                      <w:color w:val="000000"/>
                      <w:sz w:val="18"/>
                      <w:szCs w:val="18"/>
                    </w:rPr>
                    <w:t>GST, upper bound ($m)</w:t>
                  </w:r>
                </w:p>
              </w:tc>
              <w:tc>
                <w:tcPr>
                  <w:tcW w:w="493" w:type="pct"/>
                  <w:tcBorders>
                    <w:top w:val="nil"/>
                    <w:left w:val="nil"/>
                    <w:bottom w:val="nil"/>
                    <w:right w:val="nil"/>
                  </w:tcBorders>
                  <w:shd w:val="clear" w:color="auto" w:fill="auto"/>
                  <w:tcMar>
                    <w:left w:w="0" w:type="dxa"/>
                    <w:right w:w="28" w:type="dxa"/>
                  </w:tcMar>
                  <w:vAlign w:val="bottom"/>
                </w:tcPr>
                <w:p w14:paraId="7954A6C7"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-523</w:t>
                  </w:r>
                </w:p>
              </w:tc>
              <w:tc>
                <w:tcPr>
                  <w:tcW w:w="412" w:type="pct"/>
                  <w:tcBorders>
                    <w:top w:val="nil"/>
                    <w:left w:val="nil"/>
                    <w:bottom w:val="nil"/>
                    <w:right w:val="nil"/>
                  </w:tcBorders>
                  <w:shd w:val="clear" w:color="auto" w:fill="auto"/>
                  <w:tcMar>
                    <w:left w:w="0" w:type="dxa"/>
                    <w:right w:w="28" w:type="dxa"/>
                  </w:tcMar>
                  <w:vAlign w:val="bottom"/>
                </w:tcPr>
                <w:p w14:paraId="7954A6C8"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-449</w:t>
                  </w:r>
                </w:p>
              </w:tc>
              <w:tc>
                <w:tcPr>
                  <w:tcW w:w="412" w:type="pct"/>
                  <w:tcBorders>
                    <w:top w:val="nil"/>
                    <w:left w:val="nil"/>
                    <w:bottom w:val="nil"/>
                    <w:right w:val="nil"/>
                  </w:tcBorders>
                  <w:shd w:val="clear" w:color="auto" w:fill="auto"/>
                  <w:tcMar>
                    <w:left w:w="0" w:type="dxa"/>
                    <w:right w:w="28" w:type="dxa"/>
                  </w:tcMar>
                  <w:vAlign w:val="bottom"/>
                </w:tcPr>
                <w:p w14:paraId="7954A6C9"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-398</w:t>
                  </w:r>
                </w:p>
              </w:tc>
              <w:tc>
                <w:tcPr>
                  <w:tcW w:w="412" w:type="pct"/>
                  <w:tcBorders>
                    <w:top w:val="nil"/>
                    <w:left w:val="nil"/>
                    <w:bottom w:val="nil"/>
                    <w:right w:val="nil"/>
                  </w:tcBorders>
                  <w:shd w:val="clear" w:color="auto" w:fill="auto"/>
                  <w:tcMar>
                    <w:left w:w="0" w:type="dxa"/>
                    <w:right w:w="28" w:type="dxa"/>
                  </w:tcMar>
                  <w:vAlign w:val="bottom"/>
                </w:tcPr>
                <w:p w14:paraId="7954A6CA"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-215</w:t>
                  </w:r>
                </w:p>
              </w:tc>
              <w:tc>
                <w:tcPr>
                  <w:tcW w:w="412" w:type="pct"/>
                  <w:tcBorders>
                    <w:top w:val="nil"/>
                    <w:left w:val="nil"/>
                    <w:bottom w:val="nil"/>
                    <w:right w:val="nil"/>
                  </w:tcBorders>
                  <w:shd w:val="clear" w:color="auto" w:fill="auto"/>
                  <w:tcMar>
                    <w:left w:w="0" w:type="dxa"/>
                    <w:right w:w="28" w:type="dxa"/>
                  </w:tcMar>
                  <w:vAlign w:val="bottom"/>
                </w:tcPr>
                <w:p w14:paraId="7954A6CB"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-133</w:t>
                  </w:r>
                </w:p>
              </w:tc>
              <w:tc>
                <w:tcPr>
                  <w:tcW w:w="412" w:type="pct"/>
                  <w:tcBorders>
                    <w:top w:val="nil"/>
                    <w:left w:val="nil"/>
                    <w:bottom w:val="nil"/>
                    <w:right w:val="nil"/>
                  </w:tcBorders>
                  <w:shd w:val="clear" w:color="auto" w:fill="auto"/>
                  <w:tcMar>
                    <w:left w:w="0" w:type="dxa"/>
                    <w:right w:w="28" w:type="dxa"/>
                  </w:tcMar>
                  <w:vAlign w:val="bottom"/>
                </w:tcPr>
                <w:p w14:paraId="7954A6CC"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-35</w:t>
                  </w:r>
                </w:p>
              </w:tc>
              <w:tc>
                <w:tcPr>
                  <w:tcW w:w="412" w:type="pct"/>
                  <w:tcBorders>
                    <w:top w:val="nil"/>
                    <w:left w:val="nil"/>
                    <w:bottom w:val="nil"/>
                    <w:right w:val="nil"/>
                  </w:tcBorders>
                  <w:shd w:val="clear" w:color="auto" w:fill="auto"/>
                  <w:tcMar>
                    <w:left w:w="0" w:type="dxa"/>
                    <w:right w:w="28" w:type="dxa"/>
                  </w:tcMar>
                  <w:vAlign w:val="bottom"/>
                </w:tcPr>
                <w:p w14:paraId="7954A6CD"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-43</w:t>
                  </w:r>
                </w:p>
              </w:tc>
              <w:tc>
                <w:tcPr>
                  <w:tcW w:w="412" w:type="pct"/>
                  <w:tcBorders>
                    <w:top w:val="nil"/>
                    <w:left w:val="nil"/>
                    <w:bottom w:val="nil"/>
                    <w:right w:val="nil"/>
                  </w:tcBorders>
                  <w:shd w:val="clear" w:color="auto" w:fill="auto"/>
                  <w:tcMar>
                    <w:left w:w="0" w:type="dxa"/>
                    <w:right w:w="28" w:type="dxa"/>
                  </w:tcMar>
                  <w:vAlign w:val="bottom"/>
                </w:tcPr>
                <w:p w14:paraId="7954A6CE" w14:textId="77777777" w:rsidR="00F05DC7" w:rsidRPr="00F602FD" w:rsidRDefault="00F05DC7" w:rsidP="00A3786D">
                  <w:pPr>
                    <w:jc w:val="right"/>
                    <w:rPr>
                      <w:rFonts w:ascii="Arial" w:hAnsi="Arial" w:cs="Arial"/>
                      <w:color w:val="000000"/>
                      <w:sz w:val="18"/>
                      <w:szCs w:val="18"/>
                    </w:rPr>
                  </w:pPr>
                  <w:r w:rsidRPr="00F602FD">
                    <w:rPr>
                      <w:rFonts w:ascii="Arial" w:hAnsi="Arial" w:cs="Arial"/>
                      <w:bCs/>
                      <w:color w:val="000000" w:themeColor="text1"/>
                      <w:sz w:val="18"/>
                      <w:szCs w:val="18"/>
                    </w:rPr>
                    <w:t>-13</w:t>
                  </w:r>
                </w:p>
              </w:tc>
            </w:tr>
            <w:tr w:rsidR="00F05DC7" w:rsidRPr="00240BB1" w14:paraId="7954A6D1" w14:textId="77777777" w:rsidTr="005C553A">
              <w:trPr>
                <w:trHeight w:val="289"/>
              </w:trPr>
              <w:tc>
                <w:tcPr>
                  <w:tcW w:w="5000" w:type="pct"/>
                  <w:gridSpan w:val="9"/>
                  <w:tcBorders>
                    <w:top w:val="nil"/>
                    <w:left w:val="nil"/>
                    <w:right w:val="nil"/>
                  </w:tcBorders>
                  <w:shd w:val="clear" w:color="auto" w:fill="auto"/>
                  <w:tcMar>
                    <w:left w:w="0" w:type="dxa"/>
                    <w:right w:w="0" w:type="dxa"/>
                  </w:tcMar>
                  <w:vAlign w:val="center"/>
                </w:tcPr>
                <w:p w14:paraId="7954A6D0" w14:textId="77777777" w:rsidR="00F05DC7" w:rsidRPr="00240BB1" w:rsidRDefault="00F05DC7" w:rsidP="00A3786D">
                  <w:pPr>
                    <w:spacing w:before="80"/>
                    <w:rPr>
                      <w:rFonts w:asciiTheme="minorHAnsi" w:hAnsiTheme="minorHAnsi" w:cstheme="minorHAnsi"/>
                      <w:bCs/>
                      <w:i/>
                      <w:color w:val="000000"/>
                      <w:sz w:val="18"/>
                      <w:szCs w:val="18"/>
                    </w:rPr>
                  </w:pPr>
                  <w:r>
                    <w:rPr>
                      <w:rFonts w:asciiTheme="minorHAnsi" w:hAnsiTheme="minorHAnsi" w:cstheme="minorHAnsi"/>
                      <w:i/>
                      <w:sz w:val="18"/>
                      <w:szCs w:val="18"/>
                    </w:rPr>
                    <w:t>Unimproved value</w:t>
                  </w:r>
                  <w:r w:rsidRPr="00240BB1">
                    <w:rPr>
                      <w:rFonts w:asciiTheme="minorHAnsi" w:hAnsiTheme="minorHAnsi" w:cstheme="minorHAnsi"/>
                      <w:i/>
                      <w:sz w:val="18"/>
                      <w:szCs w:val="18"/>
                    </w:rPr>
                    <w:t xml:space="preserve"> of </w:t>
                  </w:r>
                  <w:r>
                    <w:rPr>
                      <w:rFonts w:asciiTheme="minorHAnsi" w:hAnsiTheme="minorHAnsi" w:cstheme="minorHAnsi"/>
                      <w:i/>
                      <w:sz w:val="18"/>
                      <w:szCs w:val="18"/>
                    </w:rPr>
                    <w:t>land</w:t>
                  </w:r>
                </w:p>
              </w:tc>
            </w:tr>
            <w:tr w:rsidR="00F05DC7" w14:paraId="7954A6DB" w14:textId="77777777" w:rsidTr="005C553A">
              <w:trPr>
                <w:trHeight w:val="289"/>
              </w:trPr>
              <w:tc>
                <w:tcPr>
                  <w:tcW w:w="1623" w:type="pct"/>
                  <w:tcBorders>
                    <w:top w:val="nil"/>
                    <w:left w:val="nil"/>
                    <w:bottom w:val="single" w:sz="4" w:space="0" w:color="BFBFBF"/>
                    <w:right w:val="nil"/>
                  </w:tcBorders>
                  <w:shd w:val="clear" w:color="auto" w:fill="auto"/>
                  <w:tcMar>
                    <w:left w:w="0" w:type="dxa"/>
                    <w:right w:w="0" w:type="dxa"/>
                  </w:tcMar>
                  <w:vAlign w:val="center"/>
                </w:tcPr>
                <w:p w14:paraId="7954A6D2" w14:textId="77777777" w:rsidR="00F05DC7" w:rsidRDefault="00F05DC7" w:rsidP="00A3786D">
                  <w:pPr>
                    <w:ind w:left="113"/>
                    <w:rPr>
                      <w:rFonts w:asciiTheme="minorHAnsi" w:hAnsiTheme="minorHAnsi" w:cstheme="minorHAnsi"/>
                      <w:color w:val="000000"/>
                      <w:sz w:val="18"/>
                      <w:szCs w:val="18"/>
                    </w:rPr>
                  </w:pPr>
                  <w:r>
                    <w:rPr>
                      <w:rFonts w:asciiTheme="minorHAnsi" w:hAnsiTheme="minorHAnsi" w:cstheme="minorHAnsi"/>
                      <w:color w:val="000000"/>
                      <w:sz w:val="18"/>
                      <w:szCs w:val="18"/>
                    </w:rPr>
                    <w:t>GST</w:t>
                  </w:r>
                  <w:r w:rsidRPr="002E6AE6">
                    <w:rPr>
                      <w:rFonts w:asciiTheme="minorHAnsi" w:hAnsiTheme="minorHAnsi" w:cstheme="minorHAnsi"/>
                      <w:color w:val="000000"/>
                      <w:sz w:val="18"/>
                      <w:szCs w:val="18"/>
                    </w:rPr>
                    <w:t xml:space="preserve"> ($m)</w:t>
                  </w:r>
                </w:p>
              </w:tc>
              <w:tc>
                <w:tcPr>
                  <w:tcW w:w="493" w:type="pct"/>
                  <w:tcBorders>
                    <w:top w:val="nil"/>
                    <w:left w:val="nil"/>
                    <w:bottom w:val="single" w:sz="4" w:space="0" w:color="BFBFBF"/>
                    <w:right w:val="nil"/>
                  </w:tcBorders>
                  <w:shd w:val="clear" w:color="auto" w:fill="auto"/>
                  <w:tcMar>
                    <w:left w:w="0" w:type="dxa"/>
                    <w:right w:w="28" w:type="dxa"/>
                  </w:tcMar>
                  <w:vAlign w:val="bottom"/>
                </w:tcPr>
                <w:p w14:paraId="7954A6D3" w14:textId="77777777" w:rsidR="00F05DC7" w:rsidRPr="00142FD1"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4" w:space="0" w:color="BFBFBF"/>
                    <w:right w:val="nil"/>
                  </w:tcBorders>
                  <w:shd w:val="clear" w:color="auto" w:fill="auto"/>
                  <w:tcMar>
                    <w:left w:w="0" w:type="dxa"/>
                    <w:right w:w="28" w:type="dxa"/>
                  </w:tcMar>
                  <w:vAlign w:val="bottom"/>
                </w:tcPr>
                <w:p w14:paraId="7954A6D4" w14:textId="77777777" w:rsidR="00F05DC7" w:rsidRPr="00142FD1"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4" w:space="0" w:color="BFBFBF"/>
                    <w:right w:val="nil"/>
                  </w:tcBorders>
                  <w:shd w:val="clear" w:color="auto" w:fill="auto"/>
                  <w:tcMar>
                    <w:left w:w="0" w:type="dxa"/>
                    <w:right w:w="28" w:type="dxa"/>
                  </w:tcMar>
                  <w:vAlign w:val="bottom"/>
                </w:tcPr>
                <w:p w14:paraId="7954A6D5" w14:textId="77777777" w:rsidR="00F05DC7" w:rsidRPr="00142FD1"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4" w:space="0" w:color="BFBFBF"/>
                    <w:right w:val="nil"/>
                  </w:tcBorders>
                  <w:shd w:val="clear" w:color="auto" w:fill="auto"/>
                  <w:tcMar>
                    <w:left w:w="0" w:type="dxa"/>
                    <w:right w:w="28" w:type="dxa"/>
                  </w:tcMar>
                  <w:vAlign w:val="bottom"/>
                </w:tcPr>
                <w:p w14:paraId="7954A6D6" w14:textId="77777777" w:rsidR="00F05DC7" w:rsidRPr="00142FD1"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4" w:space="0" w:color="BFBFBF"/>
                    <w:right w:val="nil"/>
                  </w:tcBorders>
                  <w:shd w:val="clear" w:color="auto" w:fill="auto"/>
                  <w:tcMar>
                    <w:left w:w="0" w:type="dxa"/>
                    <w:right w:w="28" w:type="dxa"/>
                  </w:tcMar>
                  <w:vAlign w:val="bottom"/>
                </w:tcPr>
                <w:p w14:paraId="7954A6D7" w14:textId="77777777" w:rsidR="00F05DC7" w:rsidRPr="00142FD1"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4" w:space="0" w:color="BFBFBF"/>
                    <w:right w:val="nil"/>
                  </w:tcBorders>
                  <w:shd w:val="clear" w:color="auto" w:fill="auto"/>
                  <w:tcMar>
                    <w:left w:w="0" w:type="dxa"/>
                    <w:right w:w="28" w:type="dxa"/>
                  </w:tcMar>
                  <w:vAlign w:val="bottom"/>
                </w:tcPr>
                <w:p w14:paraId="7954A6D8" w14:textId="77777777" w:rsidR="00F05DC7" w:rsidRPr="00142FD1"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4" w:space="0" w:color="BFBFBF"/>
                    <w:right w:val="nil"/>
                  </w:tcBorders>
                  <w:shd w:val="clear" w:color="auto" w:fill="auto"/>
                  <w:tcMar>
                    <w:left w:w="0" w:type="dxa"/>
                    <w:right w:w="28" w:type="dxa"/>
                  </w:tcMar>
                  <w:vAlign w:val="bottom"/>
                </w:tcPr>
                <w:p w14:paraId="7954A6D9" w14:textId="77777777" w:rsidR="00F05DC7" w:rsidRPr="00142FD1"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412" w:type="pct"/>
                  <w:tcBorders>
                    <w:top w:val="nil"/>
                    <w:left w:val="nil"/>
                    <w:bottom w:val="single" w:sz="4" w:space="0" w:color="BFBFBF"/>
                    <w:right w:val="nil"/>
                  </w:tcBorders>
                  <w:shd w:val="clear" w:color="auto" w:fill="auto"/>
                  <w:tcMar>
                    <w:left w:w="0" w:type="dxa"/>
                    <w:right w:w="28" w:type="dxa"/>
                  </w:tcMar>
                  <w:vAlign w:val="bottom"/>
                </w:tcPr>
                <w:p w14:paraId="7954A6DA" w14:textId="77777777" w:rsidR="00F05DC7" w:rsidRPr="00142FD1"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r>
          </w:tbl>
          <w:p w14:paraId="7954A6DC" w14:textId="77777777" w:rsidR="00F05DC7" w:rsidRDefault="00F05DC7" w:rsidP="00A3786D">
            <w:pPr>
              <w:pStyle w:val="Box"/>
            </w:pPr>
          </w:p>
        </w:tc>
      </w:tr>
      <w:tr w:rsidR="00F05DC7" w14:paraId="7954A6DF" w14:textId="77777777" w:rsidTr="00A3786D">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nil"/>
              <w:right w:val="nil"/>
            </w:tcBorders>
            <w:shd w:val="pct5" w:color="auto" w:fill="auto"/>
          </w:tcPr>
          <w:p w14:paraId="7954A6DE" w14:textId="08E8F82D" w:rsidR="00F05DC7" w:rsidRDefault="00F05DC7" w:rsidP="00A3786D">
            <w:pPr>
              <w:pStyle w:val="Note"/>
              <w:rPr>
                <w:i/>
              </w:rPr>
            </w:pPr>
            <w:r w:rsidRPr="008E77FE">
              <w:rPr>
                <w:rStyle w:val="NoteLabel"/>
              </w:rPr>
              <w:t>a</w:t>
            </w:r>
            <w:r>
              <w:t xml:space="preserve"> The lower and upper bound calculations are based on estimates of the elasticity of the value of average house prices to changes in stamp duty rates (-0.196 and -0.255 respectively), as reported by Davidoff and Leigh </w:t>
            </w:r>
            <w:r w:rsidRPr="000F737F">
              <w:rPr>
                <w:rFonts w:cs="Arial"/>
              </w:rPr>
              <w:t>(2013)</w:t>
            </w:r>
            <w:r>
              <w:t>.</w:t>
            </w:r>
          </w:p>
        </w:tc>
      </w:tr>
      <w:tr w:rsidR="00F05DC7" w14:paraId="7954A6E1" w14:textId="77777777" w:rsidTr="00A3786D">
        <w:tc>
          <w:tcPr>
            <w:tcW w:w="5000" w:type="pct"/>
            <w:tcBorders>
              <w:top w:val="nil"/>
              <w:left w:val="nil"/>
              <w:bottom w:val="nil"/>
              <w:right w:val="nil"/>
            </w:tcBorders>
            <w:shd w:val="clear" w:color="auto" w:fill="F2F2F2"/>
          </w:tcPr>
          <w:p w14:paraId="7954A6E0" w14:textId="77777777" w:rsidR="00F05DC7" w:rsidRDefault="00F05DC7" w:rsidP="00A3786D">
            <w:pPr>
              <w:pStyle w:val="BoxSource"/>
            </w:pPr>
            <w:r>
              <w:rPr>
                <w:i/>
              </w:rPr>
              <w:t>Source</w:t>
            </w:r>
            <w:r w:rsidRPr="00167F06">
              <w:t xml:space="preserve">: </w:t>
            </w:r>
            <w:r>
              <w:t xml:space="preserve">Productivity Commission estimates. </w:t>
            </w:r>
          </w:p>
        </w:tc>
      </w:tr>
      <w:tr w:rsidR="00F05DC7" w14:paraId="7954A6E3" w14:textId="77777777" w:rsidTr="00A3786D">
        <w:tc>
          <w:tcPr>
            <w:tcW w:w="5000" w:type="pct"/>
            <w:tcBorders>
              <w:top w:val="nil"/>
              <w:left w:val="nil"/>
              <w:bottom w:val="single" w:sz="6" w:space="0" w:color="78A22F"/>
              <w:right w:val="nil"/>
            </w:tcBorders>
            <w:shd w:val="clear" w:color="auto" w:fill="F2F2F2"/>
          </w:tcPr>
          <w:p w14:paraId="7954A6E2" w14:textId="77777777" w:rsidR="00F05DC7" w:rsidRDefault="00F05DC7">
            <w:pPr>
              <w:pStyle w:val="Box"/>
              <w:spacing w:before="0" w:line="120" w:lineRule="exact"/>
            </w:pPr>
          </w:p>
        </w:tc>
      </w:tr>
      <w:tr w:rsidR="00F05DC7" w:rsidRPr="000863A5" w14:paraId="7954A6E5" w14:textId="77777777" w:rsidTr="00A3786D">
        <w:tc>
          <w:tcPr>
            <w:tcW w:w="5000" w:type="pct"/>
            <w:tcBorders>
              <w:top w:val="single" w:sz="6" w:space="0" w:color="78A22F"/>
              <w:left w:val="nil"/>
              <w:bottom w:val="nil"/>
              <w:right w:val="nil"/>
            </w:tcBorders>
          </w:tcPr>
          <w:p w14:paraId="7954A6E4" w14:textId="77777777" w:rsidR="00F05DC7" w:rsidRPr="00626D32" w:rsidRDefault="00F05DC7" w:rsidP="00A3786D">
            <w:pPr>
              <w:pStyle w:val="BoxSpaceBelow"/>
            </w:pPr>
          </w:p>
        </w:tc>
      </w:tr>
    </w:tbl>
    <w:p w14:paraId="7954A6E6" w14:textId="77777777" w:rsidR="00F05DC7" w:rsidRDefault="00F05DC7" w:rsidP="00A3786D">
      <w:pPr>
        <w:pStyle w:val="BodyText"/>
      </w:pPr>
      <w:r>
        <w:t>Specifically, such indicators offer potential to reduce the disincentives for policy reform identified in chapter 3. For example, using a more policy</w:t>
      </w:r>
      <w:r>
        <w:noBreakHyphen/>
        <w:t xml:space="preserve">neutral measure of the stamp duty </w:t>
      </w:r>
      <w:r>
        <w:lastRenderedPageBreak/>
        <w:t>tax base, such as the total value of property (rather than turnover with various adjustments) would mean that GST payments are less prone to change as a result of tax reforms to replace stamp duty with land tax. Though such an approach would not necessarily remove all the GST consequences of tax reforms that impact on tax bases (for example, through elasticity effects), these impacts would generally be much more muted. An example of where policy neutral indicators could be applied to reduce disincentives for policy reform is the stamp duty assessment (box 7.3).</w:t>
      </w:r>
    </w:p>
    <w:p w14:paraId="7954A6E7" w14:textId="405DA419" w:rsidR="00F05DC7" w:rsidRDefault="00F05DC7" w:rsidP="00A3786D">
      <w:pPr>
        <w:pStyle w:val="BodyText"/>
      </w:pPr>
      <w:r>
        <w:t xml:space="preserve">However, the key challenge is striking the right balance between equity and efficiency: ideally, the indicators should be beyond the direct influence of State policy and thus achieve a greater degree of policy neutrality, while also ensuring States remain able to deliver a reasonable </w:t>
      </w:r>
      <w:r w:rsidR="00CD35E0">
        <w:t>standard</w:t>
      </w:r>
      <w:r>
        <w:t xml:space="preserve"> of services to their communities. In some cases there may be a trade</w:t>
      </w:r>
      <w:r>
        <w:noBreakHyphen/>
        <w:t>off between achieving greater policy neutrality and achieving a reasonably equitable GST distribution among States. Choosing the right measure for each category inevitably involves making trade</w:t>
      </w:r>
      <w:r>
        <w:noBreakHyphen/>
        <w:t xml:space="preserve">offs between these factors. </w:t>
      </w:r>
    </w:p>
    <w:p w14:paraId="7954A6E8" w14:textId="77777777" w:rsidR="00F05DC7" w:rsidRDefault="00F05DC7" w:rsidP="00A3786D">
      <w:pPr>
        <w:pStyle w:val="BodyText"/>
      </w:pPr>
      <w:r>
        <w:t>There is also a case for making adjustments to reflect major structural differences (disabilities) between the States, as under the current system, to ensure that the indicators adequately reflect States’ abilities to raise revenue or deliver services. For example, adjustments could be made for differences in the size of public service employment within States (which influences payroll tax collection) or the number of Indigenous people using health services. These adjustments would be most transparent when restricted only to the largest of divergences between the States (as reflected by raised materiality thresholds, discussed below).</w:t>
      </w:r>
    </w:p>
    <w:p w14:paraId="7954A6E9" w14:textId="77777777" w:rsidR="00F05DC7" w:rsidRPr="007C67BB" w:rsidRDefault="00F05DC7" w:rsidP="00A3786D">
      <w:pPr>
        <w:pStyle w:val="Heading4"/>
      </w:pPr>
      <w:r w:rsidRPr="00FA2A7C">
        <w:t xml:space="preserve">A specific case: </w:t>
      </w:r>
      <w:r w:rsidRPr="007C67BB">
        <w:t>the mining assessment</w:t>
      </w:r>
    </w:p>
    <w:p w14:paraId="7954A6EA" w14:textId="77777777" w:rsidR="00F05DC7" w:rsidRDefault="00F05DC7" w:rsidP="00A3786D">
      <w:pPr>
        <w:pStyle w:val="BodyText"/>
      </w:pPr>
      <w:r>
        <w:t>Mining is currently the biggest driver of GST redistribution between the States and a source of considerable policy non</w:t>
      </w:r>
      <w:r>
        <w:noBreakHyphen/>
        <w:t>neutrality, especially for iron ore and coal (chapter 3). Addressing this non</w:t>
      </w:r>
      <w:r>
        <w:noBreakHyphen/>
        <w:t>neutrality will be of ongoing importance given high levels of mining production and royalty revenue (especially in Western Australia) for the foreseeable future (chapter 1).</w:t>
      </w:r>
    </w:p>
    <w:p w14:paraId="7954A6EB" w14:textId="77777777" w:rsidR="00F05DC7" w:rsidRDefault="00F05DC7" w:rsidP="00A3786D">
      <w:pPr>
        <w:pStyle w:val="BodyText"/>
      </w:pPr>
      <w:r>
        <w:t>As such, the Commission has examined whether there would be benefits in adopting alternative measures of the mining revenue base. Two alternative potential measures would involve use of the aggregated value of all mining production, and aggregate mining profits. Both have been used by the CGC in the past (chapter 3). Either of these approaches would be much simpler than the current approach, which consists of eight sub</w:t>
      </w:r>
      <w:r>
        <w:noBreakHyphen/>
        <w:t>assessments (each using the value of production of a specific mineral or group of natural resources).</w:t>
      </w:r>
    </w:p>
    <w:p w14:paraId="34E03EB8" w14:textId="77777777" w:rsidR="00DD25DE" w:rsidRDefault="00DD25DE" w:rsidP="00A3786D">
      <w:pPr>
        <w:pStyle w:val="BodyText"/>
      </w:pPr>
      <w:r>
        <w:br w:type="page"/>
      </w:r>
    </w:p>
    <w:p w14:paraId="7954A6EC" w14:textId="0FFB4059" w:rsidR="00F05DC7" w:rsidRDefault="00F05DC7" w:rsidP="00A3786D">
      <w:pPr>
        <w:pStyle w:val="BodyText"/>
      </w:pPr>
      <w:r>
        <w:lastRenderedPageBreak/>
        <w:t xml:space="preserve">An </w:t>
      </w:r>
      <w:r w:rsidRPr="0006085B">
        <w:t>aggregated mining assessment</w:t>
      </w:r>
      <w:r>
        <w:t xml:space="preserve"> would effectively involve treating all minerals together in a single assessment — using a single measure of the total value of production in each State (across all mineral types). The New South Wales Government (sub. DR109, pp. 29–30) supported the move to an aggregated assessment, stating:</w:t>
      </w:r>
    </w:p>
    <w:p w14:paraId="7954A6ED" w14:textId="77777777" w:rsidR="00F05DC7" w:rsidRDefault="00F05DC7" w:rsidP="00A3786D">
      <w:pPr>
        <w:pStyle w:val="Quote"/>
      </w:pPr>
      <w:r>
        <w:t>To minimise the impact of state policy on the assessment of revenue raising capacity, the share of the revenue base attributed to individual states needs to be kept as low as possible. Achieving this outcome favours aggregated assessments of revenue raising capacity where the concentration of one particular mineral in one state will have a lesser impact. An example of such an approach would be to assess the revenue raising capacity from mining royalties for each state as one assessment.</w:t>
      </w:r>
    </w:p>
    <w:p w14:paraId="7954A6EE" w14:textId="77777777" w:rsidR="00F05DC7" w:rsidRDefault="00F05DC7" w:rsidP="00A3786D">
      <w:pPr>
        <w:pStyle w:val="BodyText"/>
      </w:pPr>
      <w:r>
        <w:t>The Queensland Government (sub. 32, p. 9) also supported this change, and argued that an aggregated approach ‘could greatly enhance the policy neutrality of the assessment while still assessing each State’s relative capacity to raise revenue through mining royalties’.</w:t>
      </w:r>
    </w:p>
    <w:p w14:paraId="7954A6EF" w14:textId="77777777" w:rsidR="00F05DC7" w:rsidRDefault="00F05DC7" w:rsidP="00A3786D">
      <w:pPr>
        <w:pStyle w:val="BodyText"/>
      </w:pPr>
      <w:r>
        <w:t>An aggregated assessment approach would mean that any individual State has less scope to influence its GST payments by changing the royalty rate on a single mineral, compared to the current mineral</w:t>
      </w:r>
      <w:r>
        <w:noBreakHyphen/>
        <w:t>by</w:t>
      </w:r>
      <w:r>
        <w:noBreakHyphen/>
        <w:t>mineral approach. However, policy neutrality problems could still remain,</w:t>
      </w:r>
      <w:r w:rsidDel="001F13A3">
        <w:t xml:space="preserve"> </w:t>
      </w:r>
      <w:r>
        <w:t>given the dominance of single mineral categories in some jurisdictions — for example, Western Australia’s iron ore comprised about 40 per cent of the value of all mineral production (across all States) in 2015</w:t>
      </w:r>
      <w:r>
        <w:noBreakHyphen/>
        <w:t>16, meaning that changes in its royalty rate could still have a material influence on GST shares, and thus policy non</w:t>
      </w:r>
      <w:r>
        <w:noBreakHyphen/>
        <w:t>neutrality would remain.</w:t>
      </w:r>
    </w:p>
    <w:p w14:paraId="7954A6F0" w14:textId="22E4E758" w:rsidR="00F05DC7" w:rsidRDefault="00F05DC7" w:rsidP="00A3786D">
      <w:pPr>
        <w:pStyle w:val="BodyText"/>
      </w:pPr>
      <w:r>
        <w:t xml:space="preserve">Another possible approach is to return to a </w:t>
      </w:r>
      <w:r w:rsidRPr="0006085B">
        <w:t>profit</w:t>
      </w:r>
      <w:r>
        <w:noBreakHyphen/>
      </w:r>
      <w:r w:rsidRPr="0006085B">
        <w:t>based assessment</w:t>
      </w:r>
      <w:r>
        <w:t xml:space="preserve">, which the CGC used between 1977 and 2003 </w:t>
      </w:r>
      <w:r w:rsidR="009D6331" w:rsidRPr="009D6331">
        <w:rPr>
          <w:szCs w:val="24"/>
        </w:rPr>
        <w:t>(CGC 2015d, p. 13)</w:t>
      </w:r>
      <w:r w:rsidRPr="00C16376">
        <w:t>.</w:t>
      </w:r>
      <w:r>
        <w:t xml:space="preserve"> This has several notable advantages, mainly that it is a much closer measure of the underlying tax base (mineral rents) that royalties seek to target. Profit</w:t>
      </w:r>
      <w:r>
        <w:noBreakHyphen/>
        <w:t>based measures are also more sensitive to differences across States in the quality of mineral deposits and the cost of extracting them, and can reflect price and cost changes over time. This means that profits can be an accurate way of capturing the various market and technological conditions impacting on extraction activities across States.</w:t>
      </w:r>
    </w:p>
    <w:p w14:paraId="7954A6F1" w14:textId="68F82DCB" w:rsidR="00F05DC7" w:rsidRDefault="00F05DC7" w:rsidP="00A3786D">
      <w:pPr>
        <w:pStyle w:val="BodyText"/>
      </w:pPr>
      <w:r>
        <w:t>However, a profit</w:t>
      </w:r>
      <w:r>
        <w:noBreakHyphen/>
        <w:t xml:space="preserve">based approach would face practical difficulties. Profit-based measures have tended to be highly sensitive to price and cost changes, and therefore volatile. It can also be difficult to develop reliable profitability measures for all mining activities. Indeed, the CGC previously abandoned such an approach due to practical difficulties and growing problems with obtaining reliable data </w:t>
      </w:r>
      <w:r w:rsidR="009D6331" w:rsidRPr="009D6331">
        <w:rPr>
          <w:szCs w:val="24"/>
        </w:rPr>
        <w:t>(CGC 2015d, p. 14)</w:t>
      </w:r>
      <w:r>
        <w:t>.</w:t>
      </w:r>
    </w:p>
    <w:p w14:paraId="7954A6F2" w14:textId="77777777" w:rsidR="00F05DC7" w:rsidRDefault="00F05DC7" w:rsidP="00A3786D">
      <w:pPr>
        <w:pStyle w:val="BodyText"/>
      </w:pPr>
      <w:r>
        <w:t>Moreover, as with the aggregated value</w:t>
      </w:r>
      <w:r>
        <w:noBreakHyphen/>
        <w:t>of</w:t>
      </w:r>
      <w:r>
        <w:noBreakHyphen/>
        <w:t>production approach, a profit</w:t>
      </w:r>
      <w:r>
        <w:noBreakHyphen/>
        <w:t>based approach would have limited benefits in terms of improved policy neutrality. Western Australia’s policy decisions would still have a large influence on its GST payments given the sheer size of its iron ore sector. More targeted approaches could better address the specific areas of policy non</w:t>
      </w:r>
      <w:r>
        <w:noBreakHyphen/>
        <w:t>neutrality that arise from equalisation of mining royalties (section 7.5).</w:t>
      </w:r>
    </w:p>
    <w:p w14:paraId="7954A6F3" w14:textId="77777777" w:rsidR="00F05DC7" w:rsidRDefault="00F05DC7" w:rsidP="00A3786D">
      <w:pPr>
        <w:pStyle w:val="BodyText"/>
      </w:pPr>
      <w:r>
        <w:t xml:space="preserve">A further but possibly even less practical alternative would involve assessments based on </w:t>
      </w:r>
      <w:r w:rsidRPr="00F83CA7">
        <w:rPr>
          <w:i/>
        </w:rPr>
        <w:t>potential</w:t>
      </w:r>
      <w:r>
        <w:t xml:space="preserve"> mining production, such as measures of each State’s underlying reserves. A number of participants discussed this approach, but argued that it would be unworkable, </w:t>
      </w:r>
      <w:r>
        <w:lastRenderedPageBreak/>
        <w:t>given incomplete data and the control States have over exploration activity (CCIWA, sub. 11, p. 6; Climate Change Our Future, sub. DR104, p. 1). Indeed, the Commission is not aware of any other country that uses such an approach as part of HFE.</w:t>
      </w:r>
    </w:p>
    <w:p w14:paraId="7954A6F4" w14:textId="2B449DC0" w:rsidR="00F05DC7" w:rsidRDefault="00F05DC7" w:rsidP="00A3786D">
      <w:pPr>
        <w:pStyle w:val="BodyText"/>
      </w:pPr>
      <w:r>
        <w:t>The CGC has examined the impact of using measures of known reserves to assess coal</w:t>
      </w:r>
      <w:r>
        <w:noBreakHyphen/>
        <w:t xml:space="preserve">seam gas and uranium royalties, but found that the impact on the GST relativities would not be material in either case </w:t>
      </w:r>
      <w:r w:rsidR="009D6331" w:rsidRPr="009D6331">
        <w:rPr>
          <w:szCs w:val="24"/>
        </w:rPr>
        <w:t>(CGC 2017d, pp. 27–28)</w:t>
      </w:r>
      <w:r>
        <w:t>. It has also stated that:</w:t>
      </w:r>
    </w:p>
    <w:p w14:paraId="7954A6F5" w14:textId="7771D9B5" w:rsidR="00F05DC7" w:rsidRDefault="00F05DC7" w:rsidP="00A3786D">
      <w:pPr>
        <w:pStyle w:val="Quote"/>
      </w:pPr>
      <w:r w:rsidRPr="00883CF6">
        <w:t xml:space="preserve">In situations such as the </w:t>
      </w:r>
      <w:r>
        <w:t>[coal</w:t>
      </w:r>
      <w:r>
        <w:noBreakHyphen/>
        <w:t>seam gas]</w:t>
      </w:r>
      <w:r w:rsidRPr="00883CF6">
        <w:t xml:space="preserve"> case, the </w:t>
      </w:r>
      <w:r>
        <w:t>[CGC]</w:t>
      </w:r>
      <w:r w:rsidRPr="00883CF6">
        <w:t xml:space="preserve"> is not attracted to imputing a base for the banning States, based say on known gas reserves. This is because where exploration has been banned or discouraged known reserves may be incomplete, and not all known reserves have the same economic value.</w:t>
      </w:r>
      <w:r>
        <w:t xml:space="preserve"> </w:t>
      </w:r>
      <w:r w:rsidR="009D6331" w:rsidRPr="009D6331">
        <w:rPr>
          <w:szCs w:val="24"/>
        </w:rPr>
        <w:t>(CGC 2017i, p. 23)</w:t>
      </w:r>
    </w:p>
    <w:p w14:paraId="7954A6F6" w14:textId="77777777" w:rsidR="00F05DC7" w:rsidRDefault="00F05DC7" w:rsidP="00A3786D">
      <w:pPr>
        <w:pStyle w:val="BodyText"/>
      </w:pPr>
      <w:r>
        <w:t xml:space="preserve">Based on these points, it is unlikely that an approach based on potential production would deliver a viable alternative way of conducting the assessment. </w:t>
      </w:r>
    </w:p>
    <w:p w14:paraId="7954A6F7" w14:textId="2E863E64" w:rsidR="00F05DC7" w:rsidRDefault="00F05DC7" w:rsidP="00A3786D">
      <w:pPr>
        <w:pStyle w:val="BodyText"/>
      </w:pPr>
      <w:r>
        <w:t xml:space="preserve">Most recently, the CGC has discussed assessing revenues from banned minerals using equal per capita, and applying this treatment to coal seam gas and uranium royalties from 2020. It has signalled in this context that it could defer any decision on this approach until coal seam gas and/or uranium royalties become much larger </w:t>
      </w:r>
      <w:r w:rsidR="009D6331" w:rsidRPr="009D6331">
        <w:rPr>
          <w:szCs w:val="24"/>
        </w:rPr>
        <w:t>(CGC 2018e, p. 13)</w:t>
      </w:r>
      <w:r>
        <w:t>.</w:t>
      </w:r>
    </w:p>
    <w:p w14:paraId="7954A6F8" w14:textId="77777777" w:rsidR="00F05DC7" w:rsidRDefault="00F05DC7" w:rsidP="00A3786D">
      <w:pPr>
        <w:pStyle w:val="Heading4"/>
      </w:pPr>
      <w:r>
        <w:t>Implementing more policy</w:t>
      </w:r>
      <w:r>
        <w:noBreakHyphen/>
        <w:t>neutral indicators</w:t>
      </w:r>
    </w:p>
    <w:p w14:paraId="7954A6F9" w14:textId="63C3FE7C" w:rsidR="00F05DC7" w:rsidRDefault="00F05DC7" w:rsidP="00A3786D">
      <w:pPr>
        <w:pStyle w:val="BodyText"/>
      </w:pPr>
      <w:r>
        <w:t>The potential benefits of using simpler, more policy</w:t>
      </w:r>
      <w:r>
        <w:noBreakHyphen/>
        <w:t>neutral indictors is limited in some assessment areas, such as mining. And in some other assessment areas, such as payroll tax (discussed in chapter 3), the current indicators may already be largely policy neutral. Nevertheless, there is scope to investigate simpler assessments (table 7.2).</w:t>
      </w:r>
    </w:p>
    <w:p w14:paraId="7954A6FA" w14:textId="77777777" w:rsidR="00F05DC7" w:rsidRDefault="00F05DC7" w:rsidP="00A3786D">
      <w:pPr>
        <w:pStyle w:val="BodyText"/>
      </w:pPr>
      <w:r>
        <w:t>Greater use of more policy</w:t>
      </w:r>
      <w:r>
        <w:noBreakHyphen/>
        <w:t>neutral indicators will have winners and losers, with some States gaining GST revenue at the expense of others within each revenue or expenditure category. In this context, the Queensland Government (sub. DR106, p. 9) stated:</w:t>
      </w:r>
    </w:p>
    <w:p w14:paraId="7954A6FB" w14:textId="77777777" w:rsidR="00F05DC7" w:rsidRDefault="00F05DC7" w:rsidP="00A3786D">
      <w:pPr>
        <w:pStyle w:val="Quote"/>
      </w:pPr>
      <w:r>
        <w:t xml:space="preserve">Simplification of the assessment process requires pragmatism; acceptance that any change to the current processes will result in some States being better off and some worse off. This needs to be accepted as a natural consequence of reform of the GST distribution process and moving from attempted precision to equalisation to a </w:t>
      </w:r>
      <w:r w:rsidRPr="00E55020">
        <w:rPr>
          <w:i/>
        </w:rPr>
        <w:t>similar level of services</w:t>
      </w:r>
      <w:r>
        <w:t xml:space="preserve"> standard. </w:t>
      </w:r>
    </w:p>
    <w:p w14:paraId="7954A6FC" w14:textId="77777777" w:rsidR="00F05DC7" w:rsidRDefault="00F05DC7" w:rsidP="00A3786D">
      <w:pPr>
        <w:pStyle w:val="BodyText"/>
      </w:pPr>
      <w:r>
        <w:t>Further, a State that loses GST payments in some categories will gain in others, and across the system as a whole may not necessarily be worse off. In other words, many of the impacts could cancel out.</w:t>
      </w:r>
    </w:p>
    <w:p w14:paraId="7954A6FD" w14:textId="2D7B1A98" w:rsidR="00F05DC7" w:rsidRDefault="00F05DC7" w:rsidP="00A3786D">
      <w:pPr>
        <w:pStyle w:val="BodyText"/>
      </w:pPr>
      <w:r>
        <w:t>The CGC itself is best placed to identify the specific indicators to be used under this approach. However, the CGC is unlikely to pursue and implement such an approach absent of direction to do so and while the HFE objective remains focused on achieving full and complete equalisation. The CGC needs to be explicitly directed, via the terms of reference it receives, to consider the use of simpler and more policy</w:t>
      </w:r>
      <w:r>
        <w:noBreakHyphen/>
        <w:t xml:space="preserve">neutral indicators in its assessments, consistent with achieving a reasonable </w:t>
      </w:r>
      <w:r w:rsidR="00CD35E0">
        <w:t>standard</w:t>
      </w:r>
      <w:r>
        <w:t xml:space="preserve"> of services in accord with a revised HFE </w:t>
      </w:r>
      <w:r>
        <w:lastRenderedPageBreak/>
        <w:t xml:space="preserve">objective. There is an opportunity for this to occur as part of the CGC’s 2020 methodology review. To facilitate this, the Commonwealth Treasurer should update the terms of reference for the 2020 review. In doing so, there is merit in nominating specific areas of focus, for example where States have identified assessments that have a material impact on the GST distribution or are adversely affecting policy neutrality. </w:t>
      </w:r>
    </w:p>
    <w:p w14:paraId="7954A6FE" w14:textId="0552363F" w:rsidR="00F05DC7" w:rsidRDefault="00F05DC7" w:rsidP="00A3786D">
      <w:pPr>
        <w:pStyle w:val="BodyText"/>
      </w:pPr>
      <w:r>
        <w:t>A move towards more policy</w:t>
      </w:r>
      <w:r>
        <w:noBreakHyphen/>
        <w:t>neutral indicators would also best be implemented alongside other reforms to strengthen the transparency and accountability of the HFE system (chapter 6). In particular, the CGC should be given stronger guidance by the Treasurer to help it make the equity–efficiency trade</w:t>
      </w:r>
      <w:r w:rsidR="00180A85">
        <w:t xml:space="preserve">-offs that a move towards this </w:t>
      </w:r>
      <w:r>
        <w:t xml:space="preserve">approach would entail. A clearly articulated revised objective from the Commonwealth Treasurer would assist in this regard, as would greater input from the Commonwealth Treasury in the CGC’s consultation processes (chapter 6). </w:t>
      </w:r>
    </w:p>
    <w:p w14:paraId="7954A6FF" w14:textId="77777777" w:rsidR="00F05DC7" w:rsidRDefault="00F05DC7" w:rsidP="00A3786D">
      <w:pPr>
        <w:pStyle w:val="Heading3"/>
      </w:pPr>
      <w:r>
        <w:t>Raising the materiality thresholds</w:t>
      </w:r>
    </w:p>
    <w:p w14:paraId="7954A700" w14:textId="68B074B3" w:rsidR="00F05DC7" w:rsidRPr="00DD25DE" w:rsidRDefault="00F05DC7" w:rsidP="00A3786D">
      <w:pPr>
        <w:pStyle w:val="BodyText"/>
        <w:rPr>
          <w:spacing w:val="-2"/>
        </w:rPr>
      </w:pPr>
      <w:r w:rsidRPr="00DD25DE">
        <w:rPr>
          <w:spacing w:val="-2"/>
        </w:rPr>
        <w:t xml:space="preserve">Materiality thresholds play an important function in the HFE system. The CGC uses these to remove factors, on </w:t>
      </w:r>
      <w:r w:rsidRPr="00DD25DE">
        <w:rPr>
          <w:i/>
          <w:spacing w:val="-2"/>
        </w:rPr>
        <w:t>both</w:t>
      </w:r>
      <w:r w:rsidRPr="00DD25DE">
        <w:rPr>
          <w:spacing w:val="-2"/>
        </w:rPr>
        <w:t xml:space="preserve"> the revenue and expenditure sides, from the equalisation process that do not exert a material impact on redistribution. The level at which these thresholds have been set has modestly changed in the recent past (table 7.3), but falls well short of recommendations of independent review. In its 2010 methodology review, the CGC introduced a redistribution materiality threshold whereby separate assessment would occur if:</w:t>
      </w:r>
    </w:p>
    <w:p w14:paraId="7954A701" w14:textId="1F5AD4A6" w:rsidR="00F05DC7" w:rsidRDefault="00F05DC7">
      <w:pPr>
        <w:pStyle w:val="Quote"/>
      </w:pPr>
      <w:r>
        <w:t xml:space="preserve">… </w:t>
      </w:r>
      <w:r w:rsidRPr="00665883">
        <w:t>the category is expected to be material; meaning, making a separate assessment rather than aggregating the service or revenue with broadly similar ones would redistribute more than $30</w:t>
      </w:r>
      <w:r>
        <w:t> </w:t>
      </w:r>
      <w:r w:rsidRPr="00665883">
        <w:t>per capita for any one State in the reference period.</w:t>
      </w:r>
      <w:r>
        <w:t xml:space="preserve"> </w:t>
      </w:r>
      <w:r w:rsidRPr="00DE1587">
        <w:rPr>
          <w:szCs w:val="24"/>
        </w:rPr>
        <w:t>(CGC 2010, p. 39)</w:t>
      </w:r>
    </w:p>
    <w:p w14:paraId="7954A702" w14:textId="0E21F45D" w:rsidR="00F05DC7" w:rsidRDefault="00F05DC7" w:rsidP="00A3786D">
      <w:pPr>
        <w:pStyle w:val="BodyText"/>
      </w:pPr>
      <w:r>
        <w:t xml:space="preserve">Subsequent to this, the 2012 GST Distribution Review recommended a quadrupling of the redistribution materiality threshold to $120 per capita (since discontinued), and of the disability materiality threshold to $40, to ‘prevent the system becoming, or being viewed as, falsely precise’ </w:t>
      </w:r>
      <w:r w:rsidR="009D6331" w:rsidRPr="009D6331">
        <w:rPr>
          <w:szCs w:val="24"/>
        </w:rPr>
        <w:t>(Brumby, Carter and Greiner 2012a, p. 60)</w:t>
      </w:r>
      <w:r>
        <w:t>. The effect of these increases would have been to remove one revenue category (insurance tax) and six disability factors.</w:t>
      </w:r>
    </w:p>
    <w:p w14:paraId="7954A703" w14:textId="77777777" w:rsidR="00F05DC7" w:rsidRDefault="00F05DC7" w:rsidP="00A3786D">
      <w:pPr>
        <w:pStyle w:val="BodyText"/>
      </w:pPr>
      <w:r>
        <w:t>In its 2015 Review, the CGC increased its threshold from $10 to $30 for disability factors — these thresholds apply to disability factors on both the revenue and expenditure sides. But the CGC did not go further and adjust this to the extent recommended by the 2012 Review or more substantially (table 7.3). A $30 per capita threshold is low from the perspective of the HFE system overall. Even for a large State, such as New South Wales, $30 per capita equates to about $237 million, which is small relative to that State’s own budget (0.3 per cent of total revenues) and relative to the total GST pool (0.4 per cent).</w:t>
      </w:r>
    </w:p>
    <w:p w14:paraId="7954A70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707" w14:textId="77777777" w:rsidTr="00A3786D">
        <w:trPr>
          <w:tblHeader/>
        </w:trPr>
        <w:tc>
          <w:tcPr>
            <w:tcW w:w="5000" w:type="pct"/>
            <w:tcBorders>
              <w:top w:val="single" w:sz="6" w:space="0" w:color="78A22F"/>
              <w:left w:val="nil"/>
              <w:bottom w:val="nil"/>
              <w:right w:val="nil"/>
            </w:tcBorders>
            <w:shd w:val="clear" w:color="auto" w:fill="auto"/>
          </w:tcPr>
          <w:p w14:paraId="7954A705" w14:textId="2A1357C8" w:rsidR="00F05DC7" w:rsidRDefault="00F05DC7" w:rsidP="00A3786D">
            <w:pPr>
              <w:pStyle w:val="TableTitle"/>
            </w:pPr>
            <w:r>
              <w:rPr>
                <w:b w:val="0"/>
              </w:rPr>
              <w:t>Table 7.</w:t>
            </w:r>
            <w:r>
              <w:rPr>
                <w:b w:val="0"/>
                <w:noProof/>
              </w:rPr>
              <w:t>3</w:t>
            </w:r>
            <w:r>
              <w:tab/>
              <w:t>Materiality thresholds over time</w:t>
            </w:r>
          </w:p>
          <w:p w14:paraId="7954A706" w14:textId="77777777" w:rsidR="00F05DC7" w:rsidRPr="00FD58F5" w:rsidRDefault="00F05DC7" w:rsidP="00A3786D">
            <w:pPr>
              <w:pStyle w:val="TableBodyText"/>
              <w:spacing w:after="80" w:line="200" w:lineRule="exact"/>
              <w:ind w:left="1474" w:right="0"/>
              <w:jc w:val="left"/>
            </w:pPr>
            <w:r>
              <w:t>Per capita</w:t>
            </w:r>
          </w:p>
        </w:tc>
      </w:tr>
      <w:tr w:rsidR="00F05DC7" w14:paraId="7954A727"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F05DC7" w14:paraId="7954A70D" w14:textId="77777777" w:rsidTr="00A3786D">
              <w:trPr>
                <w:tblHeader/>
              </w:trPr>
              <w:tc>
                <w:tcPr>
                  <w:tcW w:w="1001" w:type="pct"/>
                  <w:tcBorders>
                    <w:top w:val="single" w:sz="6" w:space="0" w:color="BFBFBF"/>
                    <w:bottom w:val="single" w:sz="6" w:space="0" w:color="BFBFBF"/>
                  </w:tcBorders>
                  <w:shd w:val="clear" w:color="auto" w:fill="auto"/>
                  <w:tcMar>
                    <w:top w:w="28" w:type="dxa"/>
                  </w:tcMar>
                </w:tcPr>
                <w:p w14:paraId="7954A708" w14:textId="77777777" w:rsidR="00F05DC7" w:rsidRDefault="00F05DC7" w:rsidP="00A3786D">
                  <w:pPr>
                    <w:pStyle w:val="TableColumnHeading"/>
                    <w:jc w:val="left"/>
                  </w:pPr>
                  <w:r>
                    <w:t>Level at which threshold applies</w:t>
                  </w:r>
                </w:p>
              </w:tc>
              <w:tc>
                <w:tcPr>
                  <w:tcW w:w="1000" w:type="pct"/>
                  <w:tcBorders>
                    <w:top w:val="single" w:sz="6" w:space="0" w:color="BFBFBF"/>
                    <w:bottom w:val="single" w:sz="6" w:space="0" w:color="BFBFBF"/>
                  </w:tcBorders>
                </w:tcPr>
                <w:p w14:paraId="7954A709" w14:textId="77777777" w:rsidR="00F05DC7" w:rsidRDefault="00F05DC7" w:rsidP="00A3786D">
                  <w:pPr>
                    <w:pStyle w:val="TableColumnHeading"/>
                  </w:pPr>
                  <w:r>
                    <w:t xml:space="preserve">2010 CGC Review </w:t>
                  </w:r>
                </w:p>
              </w:tc>
              <w:tc>
                <w:tcPr>
                  <w:tcW w:w="1000" w:type="pct"/>
                  <w:tcBorders>
                    <w:top w:val="single" w:sz="6" w:space="0" w:color="BFBFBF"/>
                    <w:bottom w:val="single" w:sz="6" w:space="0" w:color="BFBFBF"/>
                  </w:tcBorders>
                  <w:shd w:val="clear" w:color="auto" w:fill="D9D9D9" w:themeFill="background1" w:themeFillShade="D9"/>
                </w:tcPr>
                <w:p w14:paraId="7954A70A" w14:textId="77777777" w:rsidR="00F05DC7" w:rsidRDefault="00F05DC7" w:rsidP="00A3786D">
                  <w:pPr>
                    <w:pStyle w:val="TableColumnHeading"/>
                  </w:pPr>
                  <w:r>
                    <w:t>2012 GST Distribution Review (Proposed)</w:t>
                  </w:r>
                </w:p>
              </w:tc>
              <w:tc>
                <w:tcPr>
                  <w:tcW w:w="1000" w:type="pct"/>
                  <w:tcBorders>
                    <w:top w:val="single" w:sz="6" w:space="0" w:color="BFBFBF"/>
                    <w:bottom w:val="single" w:sz="6" w:space="0" w:color="BFBFBF"/>
                  </w:tcBorders>
                  <w:shd w:val="clear" w:color="auto" w:fill="auto"/>
                  <w:tcMar>
                    <w:top w:w="28" w:type="dxa"/>
                  </w:tcMar>
                </w:tcPr>
                <w:p w14:paraId="7954A70B" w14:textId="77777777" w:rsidR="00F05DC7" w:rsidRDefault="00F05DC7" w:rsidP="00A3786D">
                  <w:pPr>
                    <w:pStyle w:val="TableColumnHeading"/>
                  </w:pPr>
                  <w:r>
                    <w:t>2015 CGC Review</w:t>
                  </w:r>
                </w:p>
              </w:tc>
              <w:tc>
                <w:tcPr>
                  <w:tcW w:w="999" w:type="pct"/>
                  <w:tcBorders>
                    <w:top w:val="single" w:sz="6" w:space="0" w:color="BFBFBF"/>
                    <w:bottom w:val="single" w:sz="6" w:space="0" w:color="BFBFBF"/>
                  </w:tcBorders>
                  <w:shd w:val="clear" w:color="auto" w:fill="auto"/>
                  <w:tcMar>
                    <w:top w:w="28" w:type="dxa"/>
                  </w:tcMar>
                </w:tcPr>
                <w:p w14:paraId="7954A70C" w14:textId="77777777" w:rsidR="00F05DC7" w:rsidRDefault="00F05DC7" w:rsidP="00A3786D">
                  <w:pPr>
                    <w:pStyle w:val="TableColumnHeading"/>
                    <w:ind w:right="28"/>
                  </w:pPr>
                  <w:r>
                    <w:t>2020 CGC Review</w:t>
                  </w:r>
                </w:p>
              </w:tc>
            </w:tr>
            <w:tr w:rsidR="00F05DC7" w14:paraId="7954A713" w14:textId="77777777" w:rsidTr="00A3786D">
              <w:tc>
                <w:tcPr>
                  <w:tcW w:w="1001" w:type="pct"/>
                  <w:tcBorders>
                    <w:top w:val="single" w:sz="6" w:space="0" w:color="BFBFBF"/>
                  </w:tcBorders>
                </w:tcPr>
                <w:p w14:paraId="7954A70E" w14:textId="77777777" w:rsidR="00F05DC7" w:rsidRPr="00B10C96" w:rsidRDefault="00F05DC7" w:rsidP="00A3786D">
                  <w:pPr>
                    <w:pStyle w:val="TableUnitsRow"/>
                    <w:jc w:val="left"/>
                    <w:rPr>
                      <w:rStyle w:val="NoteLabel"/>
                    </w:rPr>
                  </w:pPr>
                  <w:r>
                    <w:t>Category - total</w:t>
                  </w:r>
                  <w:r>
                    <w:rPr>
                      <w:rStyle w:val="NoteLabel"/>
                    </w:rPr>
                    <w:t>a</w:t>
                  </w:r>
                </w:p>
              </w:tc>
              <w:tc>
                <w:tcPr>
                  <w:tcW w:w="1000" w:type="pct"/>
                  <w:tcBorders>
                    <w:top w:val="single" w:sz="6" w:space="0" w:color="BFBFBF"/>
                  </w:tcBorders>
                </w:tcPr>
                <w:p w14:paraId="7954A70F" w14:textId="77777777" w:rsidR="00F05DC7" w:rsidRDefault="00F05DC7" w:rsidP="00A3786D">
                  <w:pPr>
                    <w:pStyle w:val="TableUnitsRow"/>
                  </w:pPr>
                  <w:r>
                    <w:t>$50</w:t>
                  </w:r>
                </w:p>
              </w:tc>
              <w:tc>
                <w:tcPr>
                  <w:tcW w:w="1000" w:type="pct"/>
                  <w:tcBorders>
                    <w:top w:val="single" w:sz="6" w:space="0" w:color="BFBFBF"/>
                  </w:tcBorders>
                  <w:shd w:val="clear" w:color="auto" w:fill="D9D9D9" w:themeFill="background1" w:themeFillShade="D9"/>
                </w:tcPr>
                <w:p w14:paraId="7954A710" w14:textId="77777777" w:rsidR="00F05DC7" w:rsidRDefault="00F05DC7" w:rsidP="00A3786D">
                  <w:pPr>
                    <w:pStyle w:val="TableUnitsRow"/>
                  </w:pPr>
                  <w:r>
                    <w:t>$200</w:t>
                  </w:r>
                </w:p>
              </w:tc>
              <w:tc>
                <w:tcPr>
                  <w:tcW w:w="1000" w:type="pct"/>
                  <w:tcBorders>
                    <w:top w:val="single" w:sz="6" w:space="0" w:color="BFBFBF"/>
                  </w:tcBorders>
                </w:tcPr>
                <w:p w14:paraId="7954A711" w14:textId="52A756E7" w:rsidR="00F05DC7" w:rsidRDefault="002D577E" w:rsidP="00A3786D">
                  <w:pPr>
                    <w:pStyle w:val="TableUnitsRow"/>
                  </w:pPr>
                  <w:r>
                    <w:t>..</w:t>
                  </w:r>
                </w:p>
              </w:tc>
              <w:tc>
                <w:tcPr>
                  <w:tcW w:w="999" w:type="pct"/>
                  <w:tcBorders>
                    <w:top w:val="single" w:sz="6" w:space="0" w:color="BFBFBF"/>
                  </w:tcBorders>
                </w:tcPr>
                <w:p w14:paraId="7954A712" w14:textId="35096689" w:rsidR="00F05DC7" w:rsidRDefault="002D577E" w:rsidP="00A3786D">
                  <w:pPr>
                    <w:pStyle w:val="TableUnitsRow"/>
                    <w:ind w:right="28"/>
                  </w:pPr>
                  <w:r>
                    <w:t>.</w:t>
                  </w:r>
                  <w:r w:rsidR="00F05DC7">
                    <w:t>.</w:t>
                  </w:r>
                </w:p>
              </w:tc>
            </w:tr>
            <w:tr w:rsidR="00F05DC7" w14:paraId="7954A719" w14:textId="77777777" w:rsidTr="00A3786D">
              <w:tc>
                <w:tcPr>
                  <w:tcW w:w="1001" w:type="pct"/>
                </w:tcPr>
                <w:p w14:paraId="7954A714" w14:textId="77777777" w:rsidR="00F05DC7" w:rsidRPr="00B10C96" w:rsidRDefault="00F05DC7" w:rsidP="00A3786D">
                  <w:pPr>
                    <w:pStyle w:val="TableBodyText"/>
                    <w:jc w:val="left"/>
                    <w:rPr>
                      <w:rStyle w:val="NoteLabel"/>
                    </w:rPr>
                  </w:pPr>
                  <w:r>
                    <w:t>Category - redistribution</w:t>
                  </w:r>
                  <w:r>
                    <w:rPr>
                      <w:rStyle w:val="NoteLabel"/>
                    </w:rPr>
                    <w:t>b</w:t>
                  </w:r>
                </w:p>
              </w:tc>
              <w:tc>
                <w:tcPr>
                  <w:tcW w:w="1000" w:type="pct"/>
                </w:tcPr>
                <w:p w14:paraId="7954A715" w14:textId="77777777" w:rsidR="00F05DC7" w:rsidRDefault="00F05DC7" w:rsidP="00A3786D">
                  <w:pPr>
                    <w:pStyle w:val="TableBodyText"/>
                  </w:pPr>
                  <w:r>
                    <w:t xml:space="preserve">$30 </w:t>
                  </w:r>
                </w:p>
              </w:tc>
              <w:tc>
                <w:tcPr>
                  <w:tcW w:w="1000" w:type="pct"/>
                  <w:shd w:val="clear" w:color="auto" w:fill="D9D9D9" w:themeFill="background1" w:themeFillShade="D9"/>
                </w:tcPr>
                <w:p w14:paraId="7954A716" w14:textId="77777777" w:rsidR="00F05DC7" w:rsidRDefault="00F05DC7" w:rsidP="00A3786D">
                  <w:pPr>
                    <w:pStyle w:val="TableBodyText"/>
                  </w:pPr>
                  <w:r>
                    <w:t>$120</w:t>
                  </w:r>
                </w:p>
              </w:tc>
              <w:tc>
                <w:tcPr>
                  <w:tcW w:w="1000" w:type="pct"/>
                </w:tcPr>
                <w:p w14:paraId="7954A717" w14:textId="5F35F8AB" w:rsidR="00F05DC7" w:rsidRDefault="002D577E" w:rsidP="00A3786D">
                  <w:pPr>
                    <w:pStyle w:val="TableBodyText"/>
                  </w:pPr>
                  <w:r>
                    <w:t>..</w:t>
                  </w:r>
                </w:p>
              </w:tc>
              <w:tc>
                <w:tcPr>
                  <w:tcW w:w="999" w:type="pct"/>
                </w:tcPr>
                <w:p w14:paraId="7954A718" w14:textId="6240E6CA" w:rsidR="00F05DC7" w:rsidRDefault="002D577E" w:rsidP="00A3786D">
                  <w:pPr>
                    <w:pStyle w:val="TableBodyText"/>
                    <w:ind w:right="28"/>
                  </w:pPr>
                  <w:r>
                    <w:t>.</w:t>
                  </w:r>
                  <w:r w:rsidR="00F05DC7">
                    <w:t>.</w:t>
                  </w:r>
                </w:p>
              </w:tc>
            </w:tr>
            <w:tr w:rsidR="00F05DC7" w14:paraId="7954A71F" w14:textId="77777777" w:rsidTr="00A3786D">
              <w:tc>
                <w:tcPr>
                  <w:tcW w:w="1001" w:type="pct"/>
                </w:tcPr>
                <w:p w14:paraId="7954A71A" w14:textId="77777777" w:rsidR="00F05DC7" w:rsidRPr="003E3E0F" w:rsidRDefault="00F05DC7" w:rsidP="00A3786D">
                  <w:pPr>
                    <w:pStyle w:val="TableBodyText"/>
                    <w:jc w:val="left"/>
                    <w:rPr>
                      <w:rStyle w:val="NoteLabel"/>
                    </w:rPr>
                  </w:pPr>
                  <w:r>
                    <w:t>Disability</w:t>
                  </w:r>
                  <w:r>
                    <w:rPr>
                      <w:rStyle w:val="NoteLabel"/>
                    </w:rPr>
                    <w:t>c</w:t>
                  </w:r>
                </w:p>
              </w:tc>
              <w:tc>
                <w:tcPr>
                  <w:tcW w:w="1000" w:type="pct"/>
                </w:tcPr>
                <w:p w14:paraId="7954A71B" w14:textId="77777777" w:rsidR="00F05DC7" w:rsidRDefault="00F05DC7" w:rsidP="00A3786D">
                  <w:pPr>
                    <w:pStyle w:val="TableBodyText"/>
                  </w:pPr>
                  <w:r>
                    <w:t>$10</w:t>
                  </w:r>
                </w:p>
              </w:tc>
              <w:tc>
                <w:tcPr>
                  <w:tcW w:w="1000" w:type="pct"/>
                  <w:shd w:val="clear" w:color="auto" w:fill="D9D9D9" w:themeFill="background1" w:themeFillShade="D9"/>
                </w:tcPr>
                <w:p w14:paraId="7954A71C" w14:textId="77777777" w:rsidR="00F05DC7" w:rsidRDefault="00F05DC7" w:rsidP="00A3786D">
                  <w:pPr>
                    <w:pStyle w:val="TableBodyText"/>
                  </w:pPr>
                  <w:r>
                    <w:t>$40</w:t>
                  </w:r>
                </w:p>
              </w:tc>
              <w:tc>
                <w:tcPr>
                  <w:tcW w:w="1000" w:type="pct"/>
                </w:tcPr>
                <w:p w14:paraId="7954A71D" w14:textId="77777777" w:rsidR="00F05DC7" w:rsidRDefault="00F05DC7" w:rsidP="00A3786D">
                  <w:pPr>
                    <w:pStyle w:val="TableBodyText"/>
                  </w:pPr>
                  <w:r>
                    <w:t>$30</w:t>
                  </w:r>
                </w:p>
              </w:tc>
              <w:tc>
                <w:tcPr>
                  <w:tcW w:w="999" w:type="pct"/>
                </w:tcPr>
                <w:p w14:paraId="7954A71E" w14:textId="77777777" w:rsidR="00F05DC7" w:rsidRDefault="00F05DC7" w:rsidP="00A3786D">
                  <w:pPr>
                    <w:pStyle w:val="TableBodyText"/>
                    <w:ind w:right="28"/>
                  </w:pPr>
                  <w:r>
                    <w:t>$35</w:t>
                  </w:r>
                </w:p>
              </w:tc>
            </w:tr>
            <w:tr w:rsidR="00F05DC7" w14:paraId="7954A725" w14:textId="77777777" w:rsidTr="00A3786D">
              <w:tc>
                <w:tcPr>
                  <w:tcW w:w="1001" w:type="pct"/>
                  <w:tcBorders>
                    <w:bottom w:val="single" w:sz="6" w:space="0" w:color="BFBFBF"/>
                  </w:tcBorders>
                  <w:shd w:val="clear" w:color="auto" w:fill="auto"/>
                </w:tcPr>
                <w:p w14:paraId="7954A720" w14:textId="77777777" w:rsidR="00F05DC7" w:rsidRPr="003E3E0F" w:rsidRDefault="00F05DC7" w:rsidP="00A3786D">
                  <w:pPr>
                    <w:pStyle w:val="TableBodyText"/>
                    <w:jc w:val="left"/>
                    <w:rPr>
                      <w:rStyle w:val="NoteLabel"/>
                    </w:rPr>
                  </w:pPr>
                  <w:r>
                    <w:t>Data adjustment</w:t>
                  </w:r>
                  <w:r>
                    <w:rPr>
                      <w:rStyle w:val="NoteLabel"/>
                    </w:rPr>
                    <w:t>d</w:t>
                  </w:r>
                </w:p>
              </w:tc>
              <w:tc>
                <w:tcPr>
                  <w:tcW w:w="1000" w:type="pct"/>
                  <w:tcBorders>
                    <w:bottom w:val="single" w:sz="6" w:space="0" w:color="BFBFBF"/>
                  </w:tcBorders>
                </w:tcPr>
                <w:p w14:paraId="7954A721" w14:textId="77777777" w:rsidR="00F05DC7" w:rsidRDefault="00F05DC7" w:rsidP="00A3786D">
                  <w:pPr>
                    <w:pStyle w:val="TableBodyText"/>
                  </w:pPr>
                  <w:r>
                    <w:t>$3</w:t>
                  </w:r>
                </w:p>
              </w:tc>
              <w:tc>
                <w:tcPr>
                  <w:tcW w:w="1000" w:type="pct"/>
                  <w:tcBorders>
                    <w:bottom w:val="single" w:sz="6" w:space="0" w:color="BFBFBF"/>
                  </w:tcBorders>
                  <w:shd w:val="clear" w:color="auto" w:fill="D9D9D9" w:themeFill="background1" w:themeFillShade="D9"/>
                </w:tcPr>
                <w:p w14:paraId="7954A722" w14:textId="77777777" w:rsidR="00F05DC7" w:rsidRDefault="00F05DC7" w:rsidP="00A3786D">
                  <w:pPr>
                    <w:pStyle w:val="TableBodyText"/>
                  </w:pPr>
                  <w:r>
                    <w:t>$12</w:t>
                  </w:r>
                </w:p>
              </w:tc>
              <w:tc>
                <w:tcPr>
                  <w:tcW w:w="1000" w:type="pct"/>
                  <w:tcBorders>
                    <w:bottom w:val="single" w:sz="6" w:space="0" w:color="BFBFBF"/>
                  </w:tcBorders>
                  <w:shd w:val="clear" w:color="auto" w:fill="auto"/>
                </w:tcPr>
                <w:p w14:paraId="7954A723" w14:textId="77777777" w:rsidR="00F05DC7" w:rsidRDefault="00F05DC7" w:rsidP="00A3786D">
                  <w:pPr>
                    <w:pStyle w:val="TableBodyText"/>
                  </w:pPr>
                  <w:r>
                    <w:t>$10</w:t>
                  </w:r>
                </w:p>
              </w:tc>
              <w:tc>
                <w:tcPr>
                  <w:tcW w:w="999" w:type="pct"/>
                  <w:tcBorders>
                    <w:bottom w:val="single" w:sz="6" w:space="0" w:color="BFBFBF"/>
                  </w:tcBorders>
                  <w:shd w:val="clear" w:color="auto" w:fill="auto"/>
                </w:tcPr>
                <w:p w14:paraId="7954A724" w14:textId="77777777" w:rsidR="00F05DC7" w:rsidRDefault="00F05DC7" w:rsidP="00A3786D">
                  <w:pPr>
                    <w:pStyle w:val="TableBodyText"/>
                    <w:ind w:right="28"/>
                  </w:pPr>
                  <w:r>
                    <w:t>$10</w:t>
                  </w:r>
                </w:p>
              </w:tc>
            </w:tr>
          </w:tbl>
          <w:p w14:paraId="7954A726" w14:textId="77777777" w:rsidR="00F05DC7" w:rsidRDefault="00F05DC7" w:rsidP="00A3786D">
            <w:pPr>
              <w:pStyle w:val="Box"/>
            </w:pPr>
          </w:p>
        </w:tc>
      </w:tr>
      <w:tr w:rsidR="00F05DC7" w14:paraId="7954A729" w14:textId="77777777" w:rsidTr="00A3786D">
        <w:tc>
          <w:tcPr>
            <w:tcW w:w="5000" w:type="pct"/>
            <w:tcBorders>
              <w:top w:val="nil"/>
              <w:left w:val="nil"/>
              <w:bottom w:val="nil"/>
              <w:right w:val="nil"/>
            </w:tcBorders>
            <w:shd w:val="clear" w:color="auto" w:fill="auto"/>
          </w:tcPr>
          <w:p w14:paraId="7954A728" w14:textId="3DF7BBD8" w:rsidR="00F05DC7" w:rsidRDefault="00F05DC7" w:rsidP="00180A85">
            <w:pPr>
              <w:pStyle w:val="Note"/>
              <w:rPr>
                <w:i/>
              </w:rPr>
            </w:pPr>
            <w:r w:rsidRPr="008E77FE">
              <w:rPr>
                <w:rStyle w:val="NoteLabel"/>
              </w:rPr>
              <w:t>a</w:t>
            </w:r>
            <w:r>
              <w:t xml:space="preserve"> Minimum average revenue or expenses required for a separate category. CGC no longer use this threshold. </w:t>
            </w:r>
            <w:r>
              <w:rPr>
                <w:rStyle w:val="NoteLabel"/>
              </w:rPr>
              <w:t>b</w:t>
            </w:r>
            <w:r>
              <w:t xml:space="preserve"> The minimum effect on the GST distribution of disaggregating a category. CGC no longer use this threshold. </w:t>
            </w:r>
            <w:r>
              <w:rPr>
                <w:rStyle w:val="NoteLabel"/>
              </w:rPr>
              <w:t xml:space="preserve">c </w:t>
            </w:r>
            <w:r w:rsidRPr="003E3E0F">
              <w:t>The minimum</w:t>
            </w:r>
            <w:r>
              <w:t xml:space="preserve"> effect on the GST distribution of including a disability (for either revenues or expenditures) or recognising extra population characteristics as part of a disability. </w:t>
            </w:r>
            <w:r w:rsidRPr="003E3E0F">
              <w:rPr>
                <w:rStyle w:val="NoteLabel"/>
              </w:rPr>
              <w:t>d</w:t>
            </w:r>
            <w:r>
              <w:t xml:space="preserve"> Adjustments aimed at improving the comparability of data. </w:t>
            </w:r>
            <w:r w:rsidR="002D577E" w:rsidRPr="00530909">
              <w:rPr>
                <w:rStyle w:val="NoteLabel"/>
                <w:rFonts w:ascii="Arial Bold" w:hAnsi="Arial Bold"/>
                <w:position w:val="0"/>
              </w:rPr>
              <w:t>..</w:t>
            </w:r>
            <w:r w:rsidR="002D577E">
              <w:t xml:space="preserve"> not applicable. </w:t>
            </w:r>
          </w:p>
        </w:tc>
      </w:tr>
      <w:tr w:rsidR="00F05DC7" w14:paraId="7954A72B" w14:textId="77777777" w:rsidTr="00A3786D">
        <w:tc>
          <w:tcPr>
            <w:tcW w:w="5000" w:type="pct"/>
            <w:tcBorders>
              <w:top w:val="nil"/>
              <w:left w:val="nil"/>
              <w:bottom w:val="nil"/>
              <w:right w:val="nil"/>
            </w:tcBorders>
            <w:shd w:val="clear" w:color="auto" w:fill="auto"/>
          </w:tcPr>
          <w:p w14:paraId="7954A72A" w14:textId="05CFFBFF" w:rsidR="00F05DC7" w:rsidRDefault="00F05DC7" w:rsidP="009D6331">
            <w:pPr>
              <w:pStyle w:val="TableBodyText"/>
              <w:keepNext w:val="0"/>
              <w:spacing w:before="80" w:after="0" w:line="220" w:lineRule="exact"/>
              <w:ind w:left="0" w:right="0"/>
              <w:jc w:val="both"/>
            </w:pPr>
            <w:r>
              <w:rPr>
                <w:i/>
              </w:rPr>
              <w:t>Sources</w:t>
            </w:r>
            <w:r w:rsidRPr="00167F06">
              <w:t xml:space="preserve">: </w:t>
            </w:r>
            <w:r>
              <w:t xml:space="preserve">Brumby, Carter and Greiner </w:t>
            </w:r>
            <w:r w:rsidR="009D6331" w:rsidRPr="009D6331">
              <w:rPr>
                <w:rFonts w:cs="Arial"/>
                <w:szCs w:val="24"/>
              </w:rPr>
              <w:t>(2012a, p. 60)</w:t>
            </w:r>
            <w:r>
              <w:t xml:space="preserve">, CGC </w:t>
            </w:r>
            <w:r w:rsidRPr="00DE1587">
              <w:rPr>
                <w:rFonts w:cs="Arial"/>
                <w:szCs w:val="24"/>
              </w:rPr>
              <w:t>(2010, p. 87</w:t>
            </w:r>
            <w:r>
              <w:rPr>
                <w:rFonts w:cs="Arial"/>
                <w:szCs w:val="24"/>
              </w:rPr>
              <w:t xml:space="preserve">; </w:t>
            </w:r>
            <w:r w:rsidRPr="008B756A">
              <w:rPr>
                <w:rFonts w:cs="Arial"/>
                <w:szCs w:val="24"/>
              </w:rPr>
              <w:t>2015b, p. 20</w:t>
            </w:r>
            <w:r>
              <w:rPr>
                <w:rFonts w:cs="Arial"/>
                <w:szCs w:val="24"/>
              </w:rPr>
              <w:t>;</w:t>
            </w:r>
            <w:r>
              <w:t xml:space="preserve"> </w:t>
            </w:r>
            <w:r w:rsidR="009D6331" w:rsidRPr="009D6331">
              <w:rPr>
                <w:rFonts w:cs="Arial"/>
              </w:rPr>
              <w:t>2017i)</w:t>
            </w:r>
            <w:r>
              <w:t xml:space="preserve">. </w:t>
            </w:r>
          </w:p>
        </w:tc>
      </w:tr>
      <w:tr w:rsidR="00F05DC7" w14:paraId="7954A72D" w14:textId="77777777" w:rsidTr="00A3786D">
        <w:tc>
          <w:tcPr>
            <w:tcW w:w="5000" w:type="pct"/>
            <w:tcBorders>
              <w:top w:val="nil"/>
              <w:left w:val="nil"/>
              <w:bottom w:val="single" w:sz="6" w:space="0" w:color="78A22F"/>
              <w:right w:val="nil"/>
            </w:tcBorders>
            <w:shd w:val="clear" w:color="auto" w:fill="auto"/>
          </w:tcPr>
          <w:p w14:paraId="7954A72C" w14:textId="77777777" w:rsidR="00F05DC7" w:rsidRDefault="00F05DC7" w:rsidP="00A3786D">
            <w:pPr>
              <w:pStyle w:val="Box"/>
              <w:spacing w:before="0" w:line="120" w:lineRule="exact"/>
            </w:pPr>
          </w:p>
        </w:tc>
      </w:tr>
      <w:tr w:rsidR="00F05DC7" w:rsidRPr="000863A5" w14:paraId="7954A72F" w14:textId="77777777" w:rsidTr="00A3786D">
        <w:tc>
          <w:tcPr>
            <w:tcW w:w="5000" w:type="pct"/>
            <w:tcBorders>
              <w:top w:val="single" w:sz="6" w:space="0" w:color="78A22F"/>
              <w:left w:val="nil"/>
              <w:bottom w:val="nil"/>
              <w:right w:val="nil"/>
            </w:tcBorders>
          </w:tcPr>
          <w:p w14:paraId="7954A72E" w14:textId="77777777" w:rsidR="00F05DC7" w:rsidRPr="00626D32" w:rsidRDefault="00F05DC7" w:rsidP="00A3786D">
            <w:pPr>
              <w:pStyle w:val="BoxSpaceBelow"/>
            </w:pPr>
          </w:p>
        </w:tc>
      </w:tr>
    </w:tbl>
    <w:p w14:paraId="7954A730" w14:textId="77777777" w:rsidR="00F05DC7" w:rsidRDefault="00F05DC7" w:rsidP="00A3786D">
      <w:pPr>
        <w:pStyle w:val="BodyText"/>
      </w:pPr>
      <w:r>
        <w:t>More recently, the CGC has stated that it intends to increase the materiality threshold for disabilities marginally — to $35 per capita — as part of its 2020 methodology review (with the threshold for data adjustments remaining at $10). It noted that:</w:t>
      </w:r>
    </w:p>
    <w:p w14:paraId="7954A731" w14:textId="4372EB51" w:rsidR="00F05DC7" w:rsidRDefault="00F05DC7" w:rsidP="00A3786D">
      <w:pPr>
        <w:pStyle w:val="Quote"/>
      </w:pPr>
      <w:r w:rsidRPr="00436E48">
        <w:t>The large increase in the disability threshold applied in the 2015 Review achieved its goal of reducing the number of disabilities assessed by the Commission to those that have a substantive effect on the GST distribution.</w:t>
      </w:r>
      <w:r>
        <w:t xml:space="preserve"> </w:t>
      </w:r>
      <w:r w:rsidR="009D6331" w:rsidRPr="009D6331">
        <w:rPr>
          <w:szCs w:val="24"/>
        </w:rPr>
        <w:t>(CGC 2017i, p. 37)</w:t>
      </w:r>
    </w:p>
    <w:p w14:paraId="7954A732" w14:textId="4B80892E" w:rsidR="00F05DC7" w:rsidRPr="00E13321" w:rsidRDefault="00F05DC7" w:rsidP="00A3786D">
      <w:pPr>
        <w:pStyle w:val="BodyText"/>
      </w:pPr>
      <w:r>
        <w:t xml:space="preserve">In its submission to the 2020 review, the Queensland Government supported further consideration of raising the current disability threshold to $50 per capita </w:t>
      </w:r>
      <w:r w:rsidRPr="00DE1587">
        <w:rPr>
          <w:szCs w:val="24"/>
        </w:rPr>
        <w:t>(Queensland Government 2017, p. 12)</w:t>
      </w:r>
      <w:r>
        <w:t>.</w:t>
      </w:r>
    </w:p>
    <w:p w14:paraId="7954A733" w14:textId="24CDBB60" w:rsidR="00F05DC7" w:rsidRPr="00E13321" w:rsidRDefault="00F05DC7" w:rsidP="00A3786D">
      <w:pPr>
        <w:pStyle w:val="BodyText"/>
      </w:pPr>
      <w:r>
        <w:t xml:space="preserve">In April 2018, the CGC also published a Staff Research Paper on a broader assessment approach </w:t>
      </w:r>
      <w:r w:rsidR="009D6331" w:rsidRPr="009D6331">
        <w:rPr>
          <w:szCs w:val="24"/>
        </w:rPr>
        <w:t>(CGC 2018d)</w:t>
      </w:r>
      <w:r>
        <w:t xml:space="preserve">. This paper considered the effects of increasing the disability materiality thresholds to $100 and $200 per capita respectively. It found that an increase in materiality thresholds to $100 per capita would remove seven expense disabilities and three revenue disabilities, and that this would have the largest effect on redistribution in Western Australia ($121 per capita), the ACT (-$126 per capita) and the Northern Territory (-$190 per capita) </w:t>
      </w:r>
      <w:r w:rsidR="009D6331" w:rsidRPr="009D6331">
        <w:rPr>
          <w:szCs w:val="24"/>
        </w:rPr>
        <w:t>(CGC 2018d, p. 22)</w:t>
      </w:r>
      <w:r>
        <w:t xml:space="preserve">. </w:t>
      </w:r>
    </w:p>
    <w:p w14:paraId="7954A734" w14:textId="77777777" w:rsidR="00F05DC7" w:rsidRDefault="00F05DC7" w:rsidP="00A3786D">
      <w:pPr>
        <w:pStyle w:val="BodyText"/>
      </w:pPr>
      <w:r>
        <w:t xml:space="preserve">The adoption of materiality thresholds by the CGC is a welcome step towards greater simplicity, as is its ongoing consideration of further opportunities for simplification in assessment methods. However, there is value in much higher materiality thresholds (in part because inflation has eroded — by about 15 per cent — the real value of earlier proposed changes in the materiality threshold). This would help to tighten the focus on factors that have the most important influence on revenue raising and expenditure across jurisdictions — thereby bolstering public confidence and understanding of the HFE system, and thus transparency and accountability. </w:t>
      </w:r>
    </w:p>
    <w:p w14:paraId="7954A735" w14:textId="77777777" w:rsidR="00F05DC7" w:rsidRDefault="00F05DC7" w:rsidP="00A3786D">
      <w:pPr>
        <w:pStyle w:val="BodyText"/>
      </w:pPr>
      <w:r>
        <w:lastRenderedPageBreak/>
        <w:t>Higher materiality thresholds would also assist with a move towards using simpler and more policy</w:t>
      </w:r>
      <w:r>
        <w:noBreakHyphen/>
        <w:t>neutral indicators, as discussed above. To be effective, these changes should be implemented together.</w:t>
      </w:r>
    </w:p>
    <w:p w14:paraId="7954A736"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73A"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737" w14:textId="77777777" w:rsidR="00F05DC7" w:rsidRDefault="00F05DC7" w:rsidP="00A3786D">
            <w:pPr>
              <w:pStyle w:val="FindingTitle"/>
              <w:spacing w:before="120"/>
              <w:rPr>
                <w:noProof/>
              </w:rPr>
            </w:pPr>
            <w:r>
              <w:t>Finding 7.3</w:t>
            </w:r>
          </w:p>
          <w:p w14:paraId="7954A738" w14:textId="77777777" w:rsidR="00F05DC7" w:rsidRDefault="00F05DC7" w:rsidP="00A3786D">
            <w:pPr>
              <w:pStyle w:val="Finding"/>
              <w:keepNext/>
            </w:pPr>
            <w:r w:rsidRPr="002A7FC4">
              <w:t>The use of more policy</w:t>
            </w:r>
            <w:r w:rsidRPr="002A7FC4">
              <w:noBreakHyphen/>
              <w:t xml:space="preserve">neutral revenue and expenditure indicators, along with significantly higher materiality thresholds, offers considerable scope to secure greater </w:t>
            </w:r>
            <w:r>
              <w:t xml:space="preserve">efficiency and simplify </w:t>
            </w:r>
            <w:r w:rsidRPr="002A7FC4">
              <w:t>the HFE system</w:t>
            </w:r>
            <w:r>
              <w:t xml:space="preserve"> </w:t>
            </w:r>
            <w:r w:rsidRPr="002A7FC4">
              <w:t xml:space="preserve">(and therefore improve transparency and accountability), while also achieving a high degree of </w:t>
            </w:r>
            <w:r>
              <w:t xml:space="preserve">fiscal </w:t>
            </w:r>
            <w:r w:rsidRPr="002A7FC4">
              <w:t>equ</w:t>
            </w:r>
            <w:r>
              <w:t>ality</w:t>
            </w:r>
            <w:r w:rsidRPr="002A7FC4">
              <w:t xml:space="preserve"> in overall State fiscal capacities. </w:t>
            </w:r>
          </w:p>
          <w:p w14:paraId="7954A739" w14:textId="77777777" w:rsidR="00F05DC7" w:rsidRPr="00CE4C64" w:rsidRDefault="00F05DC7" w:rsidP="00A3786D">
            <w:pPr>
              <w:pStyle w:val="Finding"/>
              <w:keepNext/>
            </w:pPr>
            <w:r>
              <w:t xml:space="preserve">The Commission has identified one prospective candidate — in the stamp duty tax base. </w:t>
            </w:r>
            <w:r w:rsidRPr="002A7FC4">
              <w:t>But there is only limited scope to secure</w:t>
            </w:r>
            <w:r>
              <w:t xml:space="preserve"> greater</w:t>
            </w:r>
            <w:r w:rsidRPr="002A7FC4">
              <w:t xml:space="preserve"> policy neutrality through this approach where it matters most — in the mining assessment.</w:t>
            </w:r>
          </w:p>
        </w:tc>
      </w:tr>
      <w:tr w:rsidR="00F05DC7" w14:paraId="7954A73C"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73B" w14:textId="77777777" w:rsidR="00F05DC7" w:rsidRDefault="00F05DC7" w:rsidP="00A3786D">
            <w:pPr>
              <w:pStyle w:val="Space"/>
              <w:keepLines/>
            </w:pPr>
          </w:p>
        </w:tc>
      </w:tr>
      <w:tr w:rsidR="00F05DC7" w:rsidRPr="000863A5" w14:paraId="7954A73E"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73D" w14:textId="77777777" w:rsidR="00F05DC7" w:rsidRPr="00626D32" w:rsidRDefault="00F05DC7" w:rsidP="00A3786D">
            <w:pPr>
              <w:pStyle w:val="BoxSpaceBelow"/>
              <w:keepLines/>
            </w:pPr>
          </w:p>
        </w:tc>
      </w:tr>
    </w:tbl>
    <w:p w14:paraId="7954A73F"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A741"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A740" w14:textId="37D622B4" w:rsidR="00F05DC7" w:rsidRPr="00CE4C64" w:rsidRDefault="00F05DC7" w:rsidP="00A3786D">
            <w:pPr>
              <w:pStyle w:val="RecTitle"/>
              <w:spacing w:before="120"/>
              <w:rPr>
                <w:noProof/>
              </w:rPr>
            </w:pPr>
            <w:r>
              <w:t>Recommendation 7.</w:t>
            </w:r>
            <w:r>
              <w:rPr>
                <w:noProof/>
              </w:rPr>
              <w:t>1</w:t>
            </w:r>
          </w:p>
        </w:tc>
      </w:tr>
      <w:tr w:rsidR="00F05DC7" w:rsidRPr="00750BE2" w14:paraId="7954A746" w14:textId="77777777" w:rsidTr="00A3786D">
        <w:tc>
          <w:tcPr>
            <w:tcW w:w="5000" w:type="pct"/>
            <w:tcBorders>
              <w:top w:val="nil"/>
              <w:left w:val="nil"/>
              <w:bottom w:val="nil"/>
              <w:right w:val="nil"/>
            </w:tcBorders>
            <w:shd w:val="clear" w:color="auto" w:fill="E5F1D0"/>
            <w:tcMar>
              <w:left w:w="170" w:type="dxa"/>
              <w:right w:w="170" w:type="dxa"/>
            </w:tcMar>
          </w:tcPr>
          <w:p w14:paraId="7954A742" w14:textId="77777777" w:rsidR="00F05DC7" w:rsidRDefault="00F05DC7" w:rsidP="00A3786D">
            <w:pPr>
              <w:pStyle w:val="Rec"/>
              <w:keepNext/>
            </w:pPr>
            <w:r>
              <w:t>The Commonwealth Treasurer should direct the CGC (in accordance with the refocused HFE objective) to:</w:t>
            </w:r>
          </w:p>
          <w:p w14:paraId="7954A743" w14:textId="151A4897" w:rsidR="00F05DC7" w:rsidRDefault="00F05DC7" w:rsidP="00A3786D">
            <w:pPr>
              <w:pStyle w:val="RecBullet"/>
            </w:pPr>
            <w:r>
              <w:t>examine simpler and more aggregated revenue and expenditure assessments that use more policy</w:t>
            </w:r>
            <w:r>
              <w:noBreakHyphen/>
              <w:t xml:space="preserve">neutral indicators, consistent with achieving a reasonable </w:t>
            </w:r>
            <w:r w:rsidR="00CD35E0">
              <w:t>standard</w:t>
            </w:r>
            <w:r>
              <w:t xml:space="preserve"> of services </w:t>
            </w:r>
          </w:p>
          <w:p w14:paraId="7954A744" w14:textId="77777777" w:rsidR="00F05DC7" w:rsidRDefault="00F05DC7" w:rsidP="00A3786D">
            <w:pPr>
              <w:pStyle w:val="RecBullet"/>
            </w:pPr>
            <w:r w:rsidRPr="003709AA">
              <w:t xml:space="preserve">adopt </w:t>
            </w:r>
            <w:r>
              <w:t>significant increases in materiality thresholds, which would assist in determining and applying more policy</w:t>
            </w:r>
            <w:r>
              <w:noBreakHyphen/>
              <w:t>neutral category level indicators.</w:t>
            </w:r>
          </w:p>
          <w:p w14:paraId="7954A745" w14:textId="77777777" w:rsidR="00F05DC7" w:rsidRDefault="00F05DC7" w:rsidP="00A3786D">
            <w:pPr>
              <w:pStyle w:val="Rec"/>
              <w:keepNext/>
            </w:pPr>
            <w:r>
              <w:t>This initial direction should be embedded in revised terms of reference for the CGC’s 2020 methodology review.</w:t>
            </w:r>
          </w:p>
        </w:tc>
      </w:tr>
      <w:tr w:rsidR="00F05DC7" w14:paraId="7954A748"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A747" w14:textId="77777777" w:rsidR="00F05DC7" w:rsidRDefault="00F05DC7" w:rsidP="00A3786D">
            <w:pPr>
              <w:pStyle w:val="Space"/>
              <w:keepLines/>
            </w:pPr>
          </w:p>
        </w:tc>
      </w:tr>
      <w:tr w:rsidR="00F05DC7" w:rsidRPr="000863A5" w14:paraId="7954A74A" w14:textId="77777777" w:rsidTr="00A3786D">
        <w:tc>
          <w:tcPr>
            <w:tcW w:w="5000" w:type="pct"/>
            <w:tcBorders>
              <w:top w:val="single" w:sz="6" w:space="0" w:color="78A22F"/>
              <w:left w:val="nil"/>
              <w:bottom w:val="nil"/>
              <w:right w:val="nil"/>
            </w:tcBorders>
            <w:tcMar>
              <w:left w:w="170" w:type="dxa"/>
              <w:right w:w="170" w:type="dxa"/>
            </w:tcMar>
          </w:tcPr>
          <w:p w14:paraId="7954A749" w14:textId="77777777" w:rsidR="00F05DC7" w:rsidRPr="00626D32" w:rsidRDefault="00F05DC7" w:rsidP="00A3786D">
            <w:pPr>
              <w:pStyle w:val="BoxSpaceBelow"/>
              <w:keepLines/>
            </w:pPr>
          </w:p>
        </w:tc>
      </w:tr>
    </w:tbl>
    <w:p w14:paraId="7954A74B" w14:textId="64E4BD62" w:rsidR="00F05DC7" w:rsidRDefault="00F05DC7" w:rsidP="00A3786D">
      <w:pPr>
        <w:pStyle w:val="Heading2"/>
      </w:pPr>
      <w:bookmarkStart w:id="102" w:name="_Toc513637730"/>
      <w:r>
        <w:t>7.</w:t>
      </w:r>
      <w:r>
        <w:rPr>
          <w:noProof/>
        </w:rPr>
        <w:t>4</w:t>
      </w:r>
      <w:r>
        <w:tab/>
        <w:t>Discounting entire revenue categories</w:t>
      </w:r>
      <w:bookmarkEnd w:id="102"/>
    </w:p>
    <w:p w14:paraId="7954A74C" w14:textId="77777777" w:rsidR="00F05DC7" w:rsidRDefault="00F05DC7" w:rsidP="00A3786D">
      <w:pPr>
        <w:pStyle w:val="BodyText"/>
      </w:pPr>
      <w:r>
        <w:t>Discounting entire revenue categories — for example, all mining revenues, or all stamp duty revenues — is another methodological adjustment that could be used to address policy neutrality problems. The discounted revenue would be quarantined from equalisation and retained in its entirety by the relevant State.</w:t>
      </w:r>
    </w:p>
    <w:p w14:paraId="7954A74D" w14:textId="77777777" w:rsidR="00F05DC7" w:rsidRDefault="00F05DC7" w:rsidP="00A3786D">
      <w:pPr>
        <w:pStyle w:val="BodyText"/>
      </w:pPr>
      <w:r>
        <w:t>The CGC already applies discounts to selected assessments in cases where there are data quality problems or uncertainty. In the CGC’s words, the discounts are:</w:t>
      </w:r>
    </w:p>
    <w:p w14:paraId="7954A74E" w14:textId="77777777" w:rsidR="00F05DC7" w:rsidRDefault="00F05DC7" w:rsidP="00A3786D">
      <w:pPr>
        <w:pStyle w:val="QuoteBullet"/>
      </w:pPr>
      <w:r>
        <w:t>12.5 per cent, if we were not fully confident about the size of an effect because of a low level of uncertainty around the information;</w:t>
      </w:r>
    </w:p>
    <w:p w14:paraId="7954A74F" w14:textId="77777777" w:rsidR="00F05DC7" w:rsidRDefault="00F05DC7" w:rsidP="00A3786D">
      <w:pPr>
        <w:pStyle w:val="QuoteBullet"/>
      </w:pPr>
      <w:r>
        <w:t>25 per cent, if there was a medium level of confidence about the size of an effect or a medium level of uncertainty about the information;</w:t>
      </w:r>
    </w:p>
    <w:p w14:paraId="7954A750" w14:textId="77777777" w:rsidR="00F05DC7" w:rsidRDefault="00F05DC7" w:rsidP="00A3786D">
      <w:pPr>
        <w:pStyle w:val="QuoteBullet"/>
      </w:pPr>
      <w:r>
        <w:lastRenderedPageBreak/>
        <w:t>50 per cent, if we were confident of the direction of the effect on States and that it was large but we had limited confidence in the measurement of its size due to a high level of uncertainty in the information; and</w:t>
      </w:r>
    </w:p>
    <w:p w14:paraId="7954A751" w14:textId="756A70B3" w:rsidR="00F05DC7" w:rsidRDefault="00F05DC7" w:rsidP="00A3786D">
      <w:pPr>
        <w:pStyle w:val="QuoteBullet"/>
      </w:pPr>
      <w:r>
        <w:t xml:space="preserve">no assessment was made, if we were not confident of the direction of an effect or its size. </w:t>
      </w:r>
      <w:r w:rsidRPr="00DE1587">
        <w:rPr>
          <w:szCs w:val="24"/>
        </w:rPr>
        <w:t>(2010, p. 83)</w:t>
      </w:r>
    </w:p>
    <w:p w14:paraId="7954A752" w14:textId="232141DF" w:rsidR="00F05DC7" w:rsidRDefault="00F05DC7" w:rsidP="00A3786D">
      <w:pPr>
        <w:pStyle w:val="BodyText"/>
      </w:pPr>
      <w:r>
        <w:t xml:space="preserve">Detail on the use of discounts by the CGC is published as part of their five yearly methodology reviews. In the 2015 review, discounts of 12.5 per cent were included in the areas of police custody, location wage costs, regional cost factors in policing, service delivery scale for policing and net borrowing </w:t>
      </w:r>
      <w:r w:rsidR="009D6331" w:rsidRPr="009D6331">
        <w:rPr>
          <w:szCs w:val="24"/>
        </w:rPr>
        <w:t>(CGC 2015f, p. 18)</w:t>
      </w:r>
      <w:r>
        <w:t>. Discounts of 25 per cent were used in the areas of land tax, health, location and service delivery scale and no discounts of 50 per cent were applied. The combined impact of making discounts in assessments, relative to undiscounted assessments, was $503 million.</w:t>
      </w:r>
    </w:p>
    <w:p w14:paraId="7954A753" w14:textId="7ED97CE3" w:rsidR="00F05DC7" w:rsidRDefault="00F05DC7" w:rsidP="00A3786D">
      <w:pPr>
        <w:pStyle w:val="BodyText"/>
      </w:pPr>
      <w:r>
        <w:t>A more generalised discount could be used to address specific instances of policy non</w:t>
      </w:r>
      <w:r>
        <w:noBreakHyphen/>
        <w:t>neutrality in particular revenue categories. This would guarantee that a State retains at least the discounted proportion of the change in revenue — the proportion of revenue that is discounted would essentially be quarantined from equalisation. Efficiency benefits could result from such an approach if, for example, policy non-neutrality in the particular revenue category was preventing States from adopting optimal taxation policy. This justification has been argued with respect to mining, leading to calls to discount mineral royalty revenue (box 7.4). The approach used in Canada is sometimes put forward (box 7.5). The possible effects on the distribution of GST from a mining discount of 25 per cent are shown in table 7.4.</w:t>
      </w:r>
    </w:p>
    <w:p w14:paraId="7954A75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757" w14:textId="77777777" w:rsidTr="001113B1">
        <w:trPr>
          <w:tblHeader/>
        </w:trPr>
        <w:tc>
          <w:tcPr>
            <w:tcW w:w="5000" w:type="pct"/>
            <w:tcBorders>
              <w:top w:val="single" w:sz="6" w:space="0" w:color="78A22F"/>
              <w:left w:val="nil"/>
              <w:bottom w:val="nil"/>
              <w:right w:val="nil"/>
            </w:tcBorders>
            <w:shd w:val="clear" w:color="auto" w:fill="auto"/>
          </w:tcPr>
          <w:p w14:paraId="7954A755" w14:textId="5F8C0B37" w:rsidR="00F05DC7" w:rsidRDefault="00F05DC7" w:rsidP="00A3786D">
            <w:pPr>
              <w:pStyle w:val="TableTitle"/>
            </w:pPr>
            <w:r>
              <w:rPr>
                <w:b w:val="0"/>
              </w:rPr>
              <w:t>Table 7.</w:t>
            </w:r>
            <w:r>
              <w:rPr>
                <w:b w:val="0"/>
                <w:noProof/>
              </w:rPr>
              <w:t>4</w:t>
            </w:r>
            <w:r>
              <w:tab/>
              <w:t>Effects of a 25% discount to the mineral royalty assessment</w:t>
            </w:r>
          </w:p>
          <w:p w14:paraId="7954A756" w14:textId="77777777" w:rsidR="00F05DC7" w:rsidRPr="00784A05" w:rsidRDefault="00F05DC7" w:rsidP="00A3786D">
            <w:pPr>
              <w:pStyle w:val="Subtitle"/>
            </w:pPr>
            <w:r>
              <w:t>2018</w:t>
            </w:r>
            <w:r>
              <w:noBreakHyphen/>
              <w:t>19 GST payments and relativities</w:t>
            </w:r>
          </w:p>
        </w:tc>
      </w:tr>
      <w:tr w:rsidR="00F05DC7" w14:paraId="7954A7A9" w14:textId="77777777" w:rsidTr="00A3786D">
        <w:tc>
          <w:tcPr>
            <w:tcW w:w="5000" w:type="pct"/>
            <w:tcBorders>
              <w:top w:val="nil"/>
              <w:left w:val="nil"/>
              <w:bottom w:val="nil"/>
              <w:right w:val="nil"/>
            </w:tcBorders>
            <w:shd w:val="clear" w:color="auto" w:fill="auto"/>
          </w:tcPr>
          <w:tbl>
            <w:tblPr>
              <w:tblW w:w="8736" w:type="dxa"/>
              <w:tblLayout w:type="fixed"/>
              <w:tblLook w:val="04A0" w:firstRow="1" w:lastRow="0" w:firstColumn="1" w:lastColumn="0" w:noHBand="0" w:noVBand="1"/>
            </w:tblPr>
            <w:tblGrid>
              <w:gridCol w:w="2835"/>
              <w:gridCol w:w="861"/>
              <w:gridCol w:w="720"/>
              <w:gridCol w:w="720"/>
              <w:gridCol w:w="720"/>
              <w:gridCol w:w="720"/>
              <w:gridCol w:w="720"/>
              <w:gridCol w:w="720"/>
              <w:gridCol w:w="720"/>
            </w:tblGrid>
            <w:tr w:rsidR="00F05DC7" w14:paraId="7954A761" w14:textId="77777777" w:rsidTr="001113B1">
              <w:trPr>
                <w:trHeight w:val="288"/>
                <w:tblHeader/>
              </w:trPr>
              <w:tc>
                <w:tcPr>
                  <w:tcW w:w="2835" w:type="dxa"/>
                  <w:tcBorders>
                    <w:top w:val="single" w:sz="8" w:space="0" w:color="BFBFBF"/>
                    <w:left w:val="nil"/>
                    <w:bottom w:val="single" w:sz="8" w:space="0" w:color="BFBFBF"/>
                    <w:right w:val="nil"/>
                  </w:tcBorders>
                  <w:shd w:val="clear" w:color="auto" w:fill="auto"/>
                  <w:vAlign w:val="center"/>
                  <w:hideMark/>
                </w:tcPr>
                <w:p w14:paraId="7954A758" w14:textId="77777777" w:rsidR="00F05DC7" w:rsidRDefault="00F05DC7" w:rsidP="00A3786D">
                  <w:pPr>
                    <w:rPr>
                      <w:color w:val="000000"/>
                      <w:sz w:val="20"/>
                      <w:szCs w:val="20"/>
                    </w:rPr>
                  </w:pPr>
                  <w:r>
                    <w:rPr>
                      <w:color w:val="000000"/>
                      <w:sz w:val="20"/>
                      <w:szCs w:val="20"/>
                    </w:rPr>
                    <w:t> </w:t>
                  </w:r>
                </w:p>
              </w:tc>
              <w:tc>
                <w:tcPr>
                  <w:tcW w:w="861" w:type="dxa"/>
                  <w:tcBorders>
                    <w:top w:val="single" w:sz="8" w:space="0" w:color="BFBFBF"/>
                    <w:left w:val="nil"/>
                    <w:bottom w:val="single" w:sz="8" w:space="0" w:color="BFBFBF"/>
                    <w:right w:val="nil"/>
                  </w:tcBorders>
                  <w:shd w:val="clear" w:color="auto" w:fill="auto"/>
                  <w:vAlign w:val="center"/>
                  <w:hideMark/>
                </w:tcPr>
                <w:p w14:paraId="7954A759" w14:textId="77777777" w:rsidR="00F05DC7" w:rsidRDefault="00F05DC7" w:rsidP="00A3786D">
                  <w:pPr>
                    <w:pStyle w:val="TableColumnHeading"/>
                  </w:pPr>
                  <w:r>
                    <w:t>NSW</w:t>
                  </w:r>
                </w:p>
              </w:tc>
              <w:tc>
                <w:tcPr>
                  <w:tcW w:w="720" w:type="dxa"/>
                  <w:tcBorders>
                    <w:top w:val="single" w:sz="8" w:space="0" w:color="BFBFBF"/>
                    <w:left w:val="nil"/>
                    <w:bottom w:val="single" w:sz="8" w:space="0" w:color="BFBFBF"/>
                    <w:right w:val="nil"/>
                  </w:tcBorders>
                  <w:shd w:val="clear" w:color="auto" w:fill="auto"/>
                  <w:vAlign w:val="center"/>
                  <w:hideMark/>
                </w:tcPr>
                <w:p w14:paraId="7954A75A" w14:textId="77777777" w:rsidR="00F05DC7" w:rsidRDefault="00F05DC7" w:rsidP="00A3786D">
                  <w:pPr>
                    <w:pStyle w:val="TableColumnHeading"/>
                  </w:pPr>
                  <w:r>
                    <w:t>Vic</w:t>
                  </w:r>
                </w:p>
              </w:tc>
              <w:tc>
                <w:tcPr>
                  <w:tcW w:w="720" w:type="dxa"/>
                  <w:tcBorders>
                    <w:top w:val="single" w:sz="8" w:space="0" w:color="BFBFBF"/>
                    <w:left w:val="nil"/>
                    <w:bottom w:val="single" w:sz="8" w:space="0" w:color="BFBFBF"/>
                    <w:right w:val="nil"/>
                  </w:tcBorders>
                  <w:shd w:val="clear" w:color="auto" w:fill="auto"/>
                  <w:vAlign w:val="center"/>
                  <w:hideMark/>
                </w:tcPr>
                <w:p w14:paraId="7954A75B" w14:textId="77777777" w:rsidR="00F05DC7" w:rsidRDefault="00F05DC7" w:rsidP="00A3786D">
                  <w:pPr>
                    <w:pStyle w:val="TableColumnHeading"/>
                  </w:pPr>
                  <w:r>
                    <w:t>Qld</w:t>
                  </w:r>
                </w:p>
              </w:tc>
              <w:tc>
                <w:tcPr>
                  <w:tcW w:w="720" w:type="dxa"/>
                  <w:tcBorders>
                    <w:top w:val="single" w:sz="8" w:space="0" w:color="BFBFBF"/>
                    <w:left w:val="nil"/>
                    <w:bottom w:val="single" w:sz="8" w:space="0" w:color="BFBFBF"/>
                    <w:right w:val="nil"/>
                  </w:tcBorders>
                  <w:shd w:val="clear" w:color="auto" w:fill="auto"/>
                  <w:vAlign w:val="center"/>
                  <w:hideMark/>
                </w:tcPr>
                <w:p w14:paraId="7954A75C" w14:textId="77777777" w:rsidR="00F05DC7" w:rsidRDefault="00F05DC7" w:rsidP="00A3786D">
                  <w:pPr>
                    <w:pStyle w:val="TableColumnHeading"/>
                  </w:pPr>
                  <w:r>
                    <w:t>WA</w:t>
                  </w:r>
                </w:p>
              </w:tc>
              <w:tc>
                <w:tcPr>
                  <w:tcW w:w="720" w:type="dxa"/>
                  <w:tcBorders>
                    <w:top w:val="single" w:sz="8" w:space="0" w:color="BFBFBF"/>
                    <w:left w:val="nil"/>
                    <w:bottom w:val="single" w:sz="8" w:space="0" w:color="BFBFBF"/>
                    <w:right w:val="nil"/>
                  </w:tcBorders>
                  <w:shd w:val="clear" w:color="auto" w:fill="auto"/>
                  <w:vAlign w:val="center"/>
                  <w:hideMark/>
                </w:tcPr>
                <w:p w14:paraId="7954A75D" w14:textId="77777777" w:rsidR="00F05DC7" w:rsidRDefault="00F05DC7" w:rsidP="00A3786D">
                  <w:pPr>
                    <w:pStyle w:val="TableColumnHeading"/>
                  </w:pPr>
                  <w:r>
                    <w:t>SA</w:t>
                  </w:r>
                </w:p>
              </w:tc>
              <w:tc>
                <w:tcPr>
                  <w:tcW w:w="720" w:type="dxa"/>
                  <w:tcBorders>
                    <w:top w:val="single" w:sz="8" w:space="0" w:color="BFBFBF"/>
                    <w:left w:val="nil"/>
                    <w:bottom w:val="single" w:sz="8" w:space="0" w:color="BFBFBF"/>
                    <w:right w:val="nil"/>
                  </w:tcBorders>
                  <w:shd w:val="clear" w:color="auto" w:fill="auto"/>
                  <w:vAlign w:val="center"/>
                  <w:hideMark/>
                </w:tcPr>
                <w:p w14:paraId="7954A75E" w14:textId="77777777" w:rsidR="00F05DC7" w:rsidRDefault="00F05DC7" w:rsidP="00A3786D">
                  <w:pPr>
                    <w:pStyle w:val="TableColumnHeading"/>
                  </w:pPr>
                  <w:r>
                    <w:t>Tas</w:t>
                  </w:r>
                </w:p>
              </w:tc>
              <w:tc>
                <w:tcPr>
                  <w:tcW w:w="720" w:type="dxa"/>
                  <w:tcBorders>
                    <w:top w:val="single" w:sz="8" w:space="0" w:color="BFBFBF"/>
                    <w:left w:val="nil"/>
                    <w:bottom w:val="single" w:sz="8" w:space="0" w:color="BFBFBF"/>
                    <w:right w:val="nil"/>
                  </w:tcBorders>
                  <w:shd w:val="clear" w:color="auto" w:fill="auto"/>
                  <w:vAlign w:val="center"/>
                  <w:hideMark/>
                </w:tcPr>
                <w:p w14:paraId="7954A75F" w14:textId="77777777" w:rsidR="00F05DC7" w:rsidRDefault="00F05DC7" w:rsidP="00A3786D">
                  <w:pPr>
                    <w:pStyle w:val="TableColumnHeading"/>
                  </w:pPr>
                  <w:r>
                    <w:t>ACT</w:t>
                  </w:r>
                </w:p>
              </w:tc>
              <w:tc>
                <w:tcPr>
                  <w:tcW w:w="720" w:type="dxa"/>
                  <w:tcBorders>
                    <w:top w:val="single" w:sz="8" w:space="0" w:color="BFBFBF"/>
                    <w:left w:val="nil"/>
                    <w:bottom w:val="single" w:sz="8" w:space="0" w:color="BFBFBF"/>
                    <w:right w:val="nil"/>
                  </w:tcBorders>
                  <w:shd w:val="clear" w:color="auto" w:fill="auto"/>
                  <w:vAlign w:val="center"/>
                  <w:hideMark/>
                </w:tcPr>
                <w:p w14:paraId="7954A760" w14:textId="77777777" w:rsidR="00F05DC7" w:rsidRDefault="00F05DC7" w:rsidP="00A3786D">
                  <w:pPr>
                    <w:pStyle w:val="TableColumnHeading"/>
                  </w:pPr>
                  <w:r>
                    <w:t>NT</w:t>
                  </w:r>
                </w:p>
              </w:tc>
            </w:tr>
            <w:tr w:rsidR="00F05DC7" w14:paraId="7954A76B" w14:textId="77777777" w:rsidTr="00A3786D">
              <w:trPr>
                <w:trHeight w:val="276"/>
              </w:trPr>
              <w:tc>
                <w:tcPr>
                  <w:tcW w:w="2835" w:type="dxa"/>
                  <w:tcBorders>
                    <w:top w:val="nil"/>
                    <w:left w:val="nil"/>
                    <w:bottom w:val="nil"/>
                    <w:right w:val="nil"/>
                  </w:tcBorders>
                  <w:shd w:val="clear" w:color="auto" w:fill="auto"/>
                  <w:vAlign w:val="center"/>
                  <w:hideMark/>
                </w:tcPr>
                <w:p w14:paraId="7954A762" w14:textId="77777777" w:rsidR="00F05DC7" w:rsidRPr="00791D71" w:rsidRDefault="00F05DC7" w:rsidP="00A3786D">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861" w:type="dxa"/>
                  <w:tcBorders>
                    <w:top w:val="nil"/>
                    <w:left w:val="nil"/>
                    <w:bottom w:val="nil"/>
                    <w:right w:val="nil"/>
                  </w:tcBorders>
                  <w:shd w:val="clear" w:color="auto" w:fill="auto"/>
                  <w:vAlign w:val="center"/>
                  <w:hideMark/>
                </w:tcPr>
                <w:p w14:paraId="7954A763" w14:textId="77777777" w:rsidR="00F05DC7" w:rsidRPr="00791D71" w:rsidRDefault="00F05DC7" w:rsidP="00A3786D">
                  <w:pPr>
                    <w:rPr>
                      <w:rFonts w:asciiTheme="minorHAnsi" w:hAnsiTheme="minorHAnsi" w:cstheme="minorHAnsi"/>
                      <w:b/>
                      <w:bCs/>
                      <w:color w:val="000000"/>
                      <w:sz w:val="18"/>
                      <w:szCs w:val="18"/>
                    </w:rPr>
                  </w:pPr>
                </w:p>
              </w:tc>
              <w:tc>
                <w:tcPr>
                  <w:tcW w:w="720" w:type="dxa"/>
                  <w:tcBorders>
                    <w:top w:val="nil"/>
                    <w:left w:val="nil"/>
                    <w:bottom w:val="nil"/>
                    <w:right w:val="nil"/>
                  </w:tcBorders>
                  <w:shd w:val="clear" w:color="auto" w:fill="auto"/>
                  <w:vAlign w:val="center"/>
                  <w:hideMark/>
                </w:tcPr>
                <w:p w14:paraId="7954A764"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65"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66"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67"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68"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69"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6A" w14:textId="77777777" w:rsidR="00F05DC7" w:rsidRPr="00791D71" w:rsidRDefault="00F05DC7" w:rsidP="00A3786D">
                  <w:pPr>
                    <w:rPr>
                      <w:rFonts w:asciiTheme="minorHAnsi" w:hAnsiTheme="minorHAnsi" w:cstheme="minorHAnsi"/>
                      <w:sz w:val="18"/>
                      <w:szCs w:val="18"/>
                    </w:rPr>
                  </w:pPr>
                </w:p>
              </w:tc>
            </w:tr>
            <w:tr w:rsidR="00F05DC7" w14:paraId="7954A775" w14:textId="77777777" w:rsidTr="00A3786D">
              <w:trPr>
                <w:trHeight w:val="276"/>
              </w:trPr>
              <w:tc>
                <w:tcPr>
                  <w:tcW w:w="2835" w:type="dxa"/>
                  <w:tcBorders>
                    <w:top w:val="nil"/>
                    <w:left w:val="nil"/>
                    <w:bottom w:val="nil"/>
                    <w:right w:val="nil"/>
                  </w:tcBorders>
                  <w:shd w:val="clear" w:color="auto" w:fill="auto"/>
                  <w:vAlign w:val="center"/>
                  <w:hideMark/>
                </w:tcPr>
                <w:p w14:paraId="7954A76C" w14:textId="77777777" w:rsidR="00F05DC7" w:rsidRPr="00791D71" w:rsidRDefault="00F05DC7" w:rsidP="00A3786D">
                  <w:pPr>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861" w:type="dxa"/>
                  <w:tcBorders>
                    <w:top w:val="nil"/>
                    <w:left w:val="nil"/>
                    <w:bottom w:val="nil"/>
                    <w:right w:val="nil"/>
                  </w:tcBorders>
                  <w:shd w:val="clear" w:color="auto" w:fill="auto"/>
                  <w:vAlign w:val="center"/>
                  <w:hideMark/>
                </w:tcPr>
                <w:p w14:paraId="7954A76D" w14:textId="77777777" w:rsidR="00F05DC7" w:rsidRPr="00791D71" w:rsidRDefault="00F05DC7" w:rsidP="00A3786D">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w:t>
                  </w:r>
                  <w:r>
                    <w:rPr>
                      <w:rFonts w:asciiTheme="minorHAnsi" w:hAnsiTheme="minorHAnsi" w:cstheme="minorHAnsi"/>
                      <w:color w:val="000000"/>
                      <w:sz w:val="18"/>
                      <w:szCs w:val="18"/>
                    </w:rPr>
                    <w:t>6</w:t>
                  </w:r>
                </w:p>
              </w:tc>
              <w:tc>
                <w:tcPr>
                  <w:tcW w:w="720" w:type="dxa"/>
                  <w:tcBorders>
                    <w:top w:val="nil"/>
                    <w:left w:val="nil"/>
                    <w:bottom w:val="nil"/>
                    <w:right w:val="nil"/>
                  </w:tcBorders>
                  <w:shd w:val="clear" w:color="auto" w:fill="auto"/>
                  <w:vAlign w:val="center"/>
                  <w:hideMark/>
                </w:tcPr>
                <w:p w14:paraId="7954A76E" w14:textId="77777777" w:rsidR="00F05DC7" w:rsidRPr="00791D71" w:rsidRDefault="00F05DC7" w:rsidP="00A3786D">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w:t>
                  </w:r>
                  <w:r>
                    <w:rPr>
                      <w:rFonts w:asciiTheme="minorHAnsi" w:hAnsiTheme="minorHAnsi" w:cstheme="minorHAnsi"/>
                      <w:color w:val="000000"/>
                      <w:sz w:val="18"/>
                      <w:szCs w:val="18"/>
                    </w:rPr>
                    <w:t>9</w:t>
                  </w:r>
                </w:p>
              </w:tc>
              <w:tc>
                <w:tcPr>
                  <w:tcW w:w="720" w:type="dxa"/>
                  <w:tcBorders>
                    <w:top w:val="nil"/>
                    <w:left w:val="nil"/>
                    <w:bottom w:val="nil"/>
                    <w:right w:val="nil"/>
                  </w:tcBorders>
                  <w:shd w:val="clear" w:color="auto" w:fill="auto"/>
                  <w:vAlign w:val="center"/>
                  <w:hideMark/>
                </w:tcPr>
                <w:p w14:paraId="7954A76F" w14:textId="77777777" w:rsidR="00F05DC7" w:rsidRPr="00791D71" w:rsidRDefault="00F05DC7" w:rsidP="00A3786D">
                  <w:pPr>
                    <w:jc w:val="right"/>
                    <w:rPr>
                      <w:rFonts w:asciiTheme="minorHAnsi" w:hAnsiTheme="minorHAnsi" w:cstheme="minorHAnsi"/>
                      <w:color w:val="000000"/>
                      <w:sz w:val="18"/>
                      <w:szCs w:val="18"/>
                      <w:highlight w:val="yellow"/>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0</w:t>
                  </w:r>
                </w:p>
              </w:tc>
              <w:tc>
                <w:tcPr>
                  <w:tcW w:w="720" w:type="dxa"/>
                  <w:tcBorders>
                    <w:top w:val="nil"/>
                    <w:left w:val="nil"/>
                    <w:bottom w:val="nil"/>
                    <w:right w:val="nil"/>
                  </w:tcBorders>
                  <w:shd w:val="clear" w:color="auto" w:fill="auto"/>
                  <w:vAlign w:val="center"/>
                  <w:hideMark/>
                </w:tcPr>
                <w:p w14:paraId="7954A770" w14:textId="77777777" w:rsidR="00F05DC7" w:rsidRPr="00791D71" w:rsidRDefault="00F05DC7" w:rsidP="00A3786D">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47</w:t>
                  </w:r>
                </w:p>
              </w:tc>
              <w:tc>
                <w:tcPr>
                  <w:tcW w:w="720" w:type="dxa"/>
                  <w:tcBorders>
                    <w:top w:val="nil"/>
                    <w:left w:val="nil"/>
                    <w:bottom w:val="nil"/>
                    <w:right w:val="nil"/>
                  </w:tcBorders>
                  <w:shd w:val="clear" w:color="auto" w:fill="auto"/>
                  <w:vAlign w:val="center"/>
                  <w:hideMark/>
                </w:tcPr>
                <w:p w14:paraId="7954A771" w14:textId="77777777" w:rsidR="00F05DC7" w:rsidRPr="00791D71" w:rsidRDefault="00F05DC7" w:rsidP="00A3786D">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w:t>
                  </w:r>
                  <w:r>
                    <w:rPr>
                      <w:rFonts w:asciiTheme="minorHAnsi" w:hAnsiTheme="minorHAnsi" w:cstheme="minorHAnsi"/>
                      <w:color w:val="000000"/>
                      <w:sz w:val="18"/>
                      <w:szCs w:val="18"/>
                    </w:rPr>
                    <w:t>8</w:t>
                  </w:r>
                </w:p>
              </w:tc>
              <w:tc>
                <w:tcPr>
                  <w:tcW w:w="720" w:type="dxa"/>
                  <w:tcBorders>
                    <w:top w:val="nil"/>
                    <w:left w:val="nil"/>
                    <w:bottom w:val="nil"/>
                    <w:right w:val="nil"/>
                  </w:tcBorders>
                  <w:shd w:val="clear" w:color="auto" w:fill="auto"/>
                  <w:vAlign w:val="center"/>
                  <w:hideMark/>
                </w:tcPr>
                <w:p w14:paraId="7954A772" w14:textId="77777777" w:rsidR="00F05DC7" w:rsidRPr="00791D71" w:rsidRDefault="00F05DC7" w:rsidP="00A3786D">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77</w:t>
                  </w:r>
                </w:p>
              </w:tc>
              <w:tc>
                <w:tcPr>
                  <w:tcW w:w="720" w:type="dxa"/>
                  <w:tcBorders>
                    <w:top w:val="nil"/>
                    <w:left w:val="nil"/>
                    <w:bottom w:val="nil"/>
                    <w:right w:val="nil"/>
                  </w:tcBorders>
                  <w:shd w:val="clear" w:color="auto" w:fill="auto"/>
                  <w:vAlign w:val="center"/>
                  <w:hideMark/>
                </w:tcPr>
                <w:p w14:paraId="7954A773" w14:textId="77777777" w:rsidR="00F05DC7" w:rsidRPr="00791D71" w:rsidRDefault="00F05DC7" w:rsidP="00A3786D">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8</w:t>
                  </w:r>
                </w:p>
              </w:tc>
              <w:tc>
                <w:tcPr>
                  <w:tcW w:w="720" w:type="dxa"/>
                  <w:tcBorders>
                    <w:top w:val="nil"/>
                    <w:left w:val="nil"/>
                    <w:bottom w:val="nil"/>
                    <w:right w:val="nil"/>
                  </w:tcBorders>
                  <w:shd w:val="clear" w:color="auto" w:fill="auto"/>
                  <w:vAlign w:val="center"/>
                  <w:hideMark/>
                </w:tcPr>
                <w:p w14:paraId="7954A774" w14:textId="77777777" w:rsidR="00F05DC7" w:rsidRPr="00791D71" w:rsidRDefault="00F05DC7" w:rsidP="00A3786D">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26</w:t>
                  </w:r>
                </w:p>
              </w:tc>
            </w:tr>
            <w:tr w:rsidR="00F05DC7" w14:paraId="7954A77F" w14:textId="77777777" w:rsidTr="00A3786D">
              <w:trPr>
                <w:trHeight w:val="276"/>
              </w:trPr>
              <w:tc>
                <w:tcPr>
                  <w:tcW w:w="2835" w:type="dxa"/>
                  <w:tcBorders>
                    <w:top w:val="nil"/>
                    <w:left w:val="nil"/>
                    <w:bottom w:val="nil"/>
                    <w:right w:val="nil"/>
                  </w:tcBorders>
                  <w:shd w:val="clear" w:color="auto" w:fill="auto"/>
                  <w:vAlign w:val="center"/>
                  <w:hideMark/>
                </w:tcPr>
                <w:p w14:paraId="7954A776" w14:textId="77777777" w:rsidR="00F05DC7" w:rsidRPr="00791D71" w:rsidRDefault="00F05DC7" w:rsidP="00A3786D">
                  <w:pPr>
                    <w:rPr>
                      <w:rFonts w:asciiTheme="minorHAnsi" w:hAnsiTheme="minorHAnsi" w:cstheme="minorHAnsi"/>
                      <w:color w:val="000000"/>
                      <w:sz w:val="18"/>
                      <w:szCs w:val="18"/>
                    </w:rPr>
                  </w:pPr>
                  <w:r w:rsidRPr="00791D71">
                    <w:rPr>
                      <w:rFonts w:asciiTheme="minorHAnsi" w:hAnsiTheme="minorHAnsi" w:cstheme="minorHAnsi"/>
                      <w:color w:val="000000"/>
                      <w:sz w:val="18"/>
                      <w:szCs w:val="18"/>
                    </w:rPr>
                    <w:t>Discounted approach</w:t>
                  </w:r>
                </w:p>
              </w:tc>
              <w:tc>
                <w:tcPr>
                  <w:tcW w:w="861" w:type="dxa"/>
                  <w:tcBorders>
                    <w:top w:val="nil"/>
                    <w:left w:val="nil"/>
                    <w:bottom w:val="nil"/>
                    <w:right w:val="nil"/>
                  </w:tcBorders>
                  <w:shd w:val="clear" w:color="auto" w:fill="auto"/>
                  <w:vAlign w:val="bottom"/>
                  <w:hideMark/>
                </w:tcPr>
                <w:p w14:paraId="7954A777"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0.83</w:t>
                  </w:r>
                </w:p>
              </w:tc>
              <w:tc>
                <w:tcPr>
                  <w:tcW w:w="720" w:type="dxa"/>
                  <w:tcBorders>
                    <w:top w:val="nil"/>
                    <w:left w:val="nil"/>
                    <w:bottom w:val="nil"/>
                    <w:right w:val="nil"/>
                  </w:tcBorders>
                  <w:shd w:val="clear" w:color="auto" w:fill="auto"/>
                  <w:vAlign w:val="bottom"/>
                  <w:hideMark/>
                </w:tcPr>
                <w:p w14:paraId="7954A778"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0.95</w:t>
                  </w:r>
                </w:p>
              </w:tc>
              <w:tc>
                <w:tcPr>
                  <w:tcW w:w="720" w:type="dxa"/>
                  <w:tcBorders>
                    <w:top w:val="nil"/>
                    <w:left w:val="nil"/>
                    <w:bottom w:val="nil"/>
                    <w:right w:val="nil"/>
                  </w:tcBorders>
                  <w:shd w:val="clear" w:color="auto" w:fill="auto"/>
                  <w:vAlign w:val="bottom"/>
                  <w:hideMark/>
                </w:tcPr>
                <w:p w14:paraId="7954A779" w14:textId="77777777" w:rsidR="00F05DC7" w:rsidRPr="00791D71" w:rsidRDefault="00F05DC7" w:rsidP="00A3786D">
                  <w:pPr>
                    <w:jc w:val="right"/>
                    <w:rPr>
                      <w:rFonts w:asciiTheme="minorHAnsi" w:hAnsiTheme="minorHAnsi" w:cstheme="minorHAnsi"/>
                      <w:color w:val="000000"/>
                      <w:sz w:val="18"/>
                      <w:szCs w:val="18"/>
                      <w:highlight w:val="yellow"/>
                    </w:rPr>
                  </w:pPr>
                  <w:r w:rsidRPr="0014184F">
                    <w:rPr>
                      <w:rFonts w:asciiTheme="minorHAnsi" w:hAnsiTheme="minorHAnsi" w:cstheme="minorHAnsi"/>
                      <w:sz w:val="18"/>
                      <w:szCs w:val="18"/>
                    </w:rPr>
                    <w:t>1.11</w:t>
                  </w:r>
                </w:p>
              </w:tc>
              <w:tc>
                <w:tcPr>
                  <w:tcW w:w="720" w:type="dxa"/>
                  <w:tcBorders>
                    <w:top w:val="nil"/>
                    <w:left w:val="nil"/>
                    <w:bottom w:val="nil"/>
                    <w:right w:val="nil"/>
                  </w:tcBorders>
                  <w:shd w:val="clear" w:color="auto" w:fill="auto"/>
                  <w:vAlign w:val="bottom"/>
                  <w:hideMark/>
                </w:tcPr>
                <w:p w14:paraId="7954A77A"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0.62</w:t>
                  </w:r>
                </w:p>
              </w:tc>
              <w:tc>
                <w:tcPr>
                  <w:tcW w:w="720" w:type="dxa"/>
                  <w:tcBorders>
                    <w:top w:val="nil"/>
                    <w:left w:val="nil"/>
                    <w:bottom w:val="nil"/>
                    <w:right w:val="nil"/>
                  </w:tcBorders>
                  <w:shd w:val="clear" w:color="auto" w:fill="auto"/>
                  <w:vAlign w:val="bottom"/>
                  <w:hideMark/>
                </w:tcPr>
                <w:p w14:paraId="7954A77B"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1.45</w:t>
                  </w:r>
                </w:p>
              </w:tc>
              <w:tc>
                <w:tcPr>
                  <w:tcW w:w="720" w:type="dxa"/>
                  <w:tcBorders>
                    <w:top w:val="nil"/>
                    <w:left w:val="nil"/>
                    <w:bottom w:val="nil"/>
                    <w:right w:val="nil"/>
                  </w:tcBorders>
                  <w:shd w:val="clear" w:color="auto" w:fill="auto"/>
                  <w:vAlign w:val="bottom"/>
                  <w:hideMark/>
                </w:tcPr>
                <w:p w14:paraId="7954A77C"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1.74</w:t>
                  </w:r>
                </w:p>
              </w:tc>
              <w:tc>
                <w:tcPr>
                  <w:tcW w:w="720" w:type="dxa"/>
                  <w:tcBorders>
                    <w:top w:val="nil"/>
                    <w:left w:val="nil"/>
                    <w:bottom w:val="nil"/>
                    <w:right w:val="nil"/>
                  </w:tcBorders>
                  <w:shd w:val="clear" w:color="auto" w:fill="auto"/>
                  <w:vAlign w:val="bottom"/>
                  <w:hideMark/>
                </w:tcPr>
                <w:p w14:paraId="7954A77D"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1.14</w:t>
                  </w:r>
                </w:p>
              </w:tc>
              <w:tc>
                <w:tcPr>
                  <w:tcW w:w="720" w:type="dxa"/>
                  <w:tcBorders>
                    <w:top w:val="nil"/>
                    <w:left w:val="nil"/>
                    <w:bottom w:val="nil"/>
                    <w:right w:val="nil"/>
                  </w:tcBorders>
                  <w:shd w:val="clear" w:color="auto" w:fill="auto"/>
                  <w:vAlign w:val="bottom"/>
                  <w:hideMark/>
                </w:tcPr>
                <w:p w14:paraId="7954A77E"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4.28</w:t>
                  </w:r>
                </w:p>
              </w:tc>
            </w:tr>
            <w:tr w:rsidR="00F05DC7" w14:paraId="7954A789" w14:textId="77777777" w:rsidTr="00A3786D">
              <w:trPr>
                <w:trHeight w:val="276"/>
              </w:trPr>
              <w:tc>
                <w:tcPr>
                  <w:tcW w:w="2835" w:type="dxa"/>
                  <w:tcBorders>
                    <w:top w:val="nil"/>
                    <w:left w:val="nil"/>
                    <w:bottom w:val="nil"/>
                    <w:right w:val="nil"/>
                  </w:tcBorders>
                  <w:shd w:val="clear" w:color="auto" w:fill="auto"/>
                  <w:vAlign w:val="center"/>
                  <w:hideMark/>
                </w:tcPr>
                <w:p w14:paraId="7954A780" w14:textId="77777777" w:rsidR="00F05DC7" w:rsidRPr="00791D71" w:rsidRDefault="00F05DC7" w:rsidP="00A3786D">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Change in GST Payments</w:t>
                  </w:r>
                </w:p>
              </w:tc>
              <w:tc>
                <w:tcPr>
                  <w:tcW w:w="861" w:type="dxa"/>
                  <w:tcBorders>
                    <w:top w:val="nil"/>
                    <w:left w:val="nil"/>
                    <w:bottom w:val="nil"/>
                    <w:right w:val="nil"/>
                  </w:tcBorders>
                  <w:shd w:val="clear" w:color="auto" w:fill="auto"/>
                  <w:vAlign w:val="center"/>
                  <w:hideMark/>
                </w:tcPr>
                <w:p w14:paraId="7954A781" w14:textId="77777777" w:rsidR="00F05DC7" w:rsidRPr="00791D71" w:rsidRDefault="00F05DC7" w:rsidP="00A3786D">
                  <w:pPr>
                    <w:rPr>
                      <w:rFonts w:asciiTheme="minorHAnsi" w:hAnsiTheme="minorHAnsi" w:cstheme="minorHAnsi"/>
                      <w:b/>
                      <w:bCs/>
                      <w:color w:val="000000"/>
                      <w:sz w:val="18"/>
                      <w:szCs w:val="18"/>
                    </w:rPr>
                  </w:pPr>
                </w:p>
              </w:tc>
              <w:tc>
                <w:tcPr>
                  <w:tcW w:w="720" w:type="dxa"/>
                  <w:tcBorders>
                    <w:top w:val="nil"/>
                    <w:left w:val="nil"/>
                    <w:bottom w:val="nil"/>
                    <w:right w:val="nil"/>
                  </w:tcBorders>
                  <w:shd w:val="clear" w:color="auto" w:fill="auto"/>
                  <w:vAlign w:val="center"/>
                  <w:hideMark/>
                </w:tcPr>
                <w:p w14:paraId="7954A782"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83"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84"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85"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86"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87" w14:textId="77777777" w:rsidR="00F05DC7" w:rsidRPr="00791D71" w:rsidRDefault="00F05DC7" w:rsidP="00A3786D">
                  <w:pPr>
                    <w:rPr>
                      <w:rFonts w:asciiTheme="minorHAnsi" w:hAnsiTheme="minorHAnsi" w:cstheme="minorHAnsi"/>
                      <w:sz w:val="18"/>
                      <w:szCs w:val="18"/>
                    </w:rPr>
                  </w:pPr>
                </w:p>
              </w:tc>
              <w:tc>
                <w:tcPr>
                  <w:tcW w:w="720" w:type="dxa"/>
                  <w:tcBorders>
                    <w:top w:val="nil"/>
                    <w:left w:val="nil"/>
                    <w:bottom w:val="nil"/>
                    <w:right w:val="nil"/>
                  </w:tcBorders>
                  <w:shd w:val="clear" w:color="auto" w:fill="auto"/>
                  <w:vAlign w:val="center"/>
                  <w:hideMark/>
                </w:tcPr>
                <w:p w14:paraId="7954A788" w14:textId="77777777" w:rsidR="00F05DC7" w:rsidRPr="00791D71" w:rsidRDefault="00F05DC7" w:rsidP="00A3786D">
                  <w:pPr>
                    <w:rPr>
                      <w:rFonts w:asciiTheme="minorHAnsi" w:hAnsiTheme="minorHAnsi" w:cstheme="minorHAnsi"/>
                      <w:sz w:val="18"/>
                      <w:szCs w:val="18"/>
                    </w:rPr>
                  </w:pPr>
                </w:p>
              </w:tc>
            </w:tr>
            <w:tr w:rsidR="00F05DC7" w14:paraId="7954A793" w14:textId="77777777" w:rsidTr="00A3786D">
              <w:trPr>
                <w:trHeight w:val="276"/>
              </w:trPr>
              <w:tc>
                <w:tcPr>
                  <w:tcW w:w="2835" w:type="dxa"/>
                  <w:tcBorders>
                    <w:top w:val="nil"/>
                    <w:left w:val="nil"/>
                    <w:bottom w:val="nil"/>
                    <w:right w:val="nil"/>
                  </w:tcBorders>
                  <w:shd w:val="clear" w:color="auto" w:fill="auto"/>
                  <w:vAlign w:val="center"/>
                  <w:hideMark/>
                </w:tcPr>
                <w:p w14:paraId="7954A78A" w14:textId="77777777" w:rsidR="00F05DC7" w:rsidRPr="00791D71" w:rsidRDefault="00F05DC7" w:rsidP="00A3786D">
                  <w:pPr>
                    <w:rPr>
                      <w:rFonts w:asciiTheme="minorHAnsi" w:hAnsiTheme="minorHAnsi" w:cstheme="minorHAnsi"/>
                      <w:color w:val="000000"/>
                      <w:sz w:val="18"/>
                      <w:szCs w:val="18"/>
                    </w:rPr>
                  </w:pPr>
                  <w:r w:rsidRPr="00791D71">
                    <w:rPr>
                      <w:rFonts w:asciiTheme="minorHAnsi" w:hAnsiTheme="minorHAnsi" w:cstheme="minorHAnsi"/>
                      <w:color w:val="000000"/>
                      <w:sz w:val="18"/>
                      <w:szCs w:val="18"/>
                    </w:rPr>
                    <w:t>GST payments ($m)</w:t>
                  </w:r>
                </w:p>
              </w:tc>
              <w:tc>
                <w:tcPr>
                  <w:tcW w:w="861" w:type="dxa"/>
                  <w:tcBorders>
                    <w:top w:val="nil"/>
                    <w:left w:val="nil"/>
                    <w:bottom w:val="nil"/>
                    <w:right w:val="nil"/>
                  </w:tcBorders>
                  <w:shd w:val="clear" w:color="auto" w:fill="auto"/>
                  <w:vAlign w:val="bottom"/>
                  <w:hideMark/>
                </w:tcPr>
                <w:p w14:paraId="7954A78B"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-428</w:t>
                  </w:r>
                </w:p>
              </w:tc>
              <w:tc>
                <w:tcPr>
                  <w:tcW w:w="720" w:type="dxa"/>
                  <w:tcBorders>
                    <w:top w:val="nil"/>
                    <w:left w:val="nil"/>
                    <w:bottom w:val="nil"/>
                    <w:right w:val="nil"/>
                  </w:tcBorders>
                  <w:shd w:val="clear" w:color="auto" w:fill="auto"/>
                  <w:vAlign w:val="bottom"/>
                  <w:hideMark/>
                </w:tcPr>
                <w:p w14:paraId="7954A78C"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-648</w:t>
                  </w:r>
                </w:p>
              </w:tc>
              <w:tc>
                <w:tcPr>
                  <w:tcW w:w="720" w:type="dxa"/>
                  <w:tcBorders>
                    <w:top w:val="nil"/>
                    <w:left w:val="nil"/>
                    <w:bottom w:val="nil"/>
                    <w:right w:val="nil"/>
                  </w:tcBorders>
                  <w:shd w:val="clear" w:color="auto" w:fill="auto"/>
                  <w:vAlign w:val="bottom"/>
                  <w:hideMark/>
                </w:tcPr>
                <w:p w14:paraId="7954A78D"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208</w:t>
                  </w:r>
                </w:p>
              </w:tc>
              <w:tc>
                <w:tcPr>
                  <w:tcW w:w="720" w:type="dxa"/>
                  <w:tcBorders>
                    <w:top w:val="nil"/>
                    <w:left w:val="nil"/>
                    <w:bottom w:val="nil"/>
                    <w:right w:val="nil"/>
                  </w:tcBorders>
                  <w:shd w:val="clear" w:color="auto" w:fill="auto"/>
                  <w:vAlign w:val="bottom"/>
                  <w:hideMark/>
                </w:tcPr>
                <w:p w14:paraId="7954A78E"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1042</w:t>
                  </w:r>
                </w:p>
              </w:tc>
              <w:tc>
                <w:tcPr>
                  <w:tcW w:w="720" w:type="dxa"/>
                  <w:tcBorders>
                    <w:top w:val="nil"/>
                    <w:left w:val="nil"/>
                    <w:bottom w:val="nil"/>
                    <w:right w:val="nil"/>
                  </w:tcBorders>
                  <w:shd w:val="clear" w:color="auto" w:fill="auto"/>
                  <w:vAlign w:val="bottom"/>
                  <w:hideMark/>
                </w:tcPr>
                <w:p w14:paraId="7954A78F"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-106</w:t>
                  </w:r>
                </w:p>
              </w:tc>
              <w:tc>
                <w:tcPr>
                  <w:tcW w:w="720" w:type="dxa"/>
                  <w:tcBorders>
                    <w:top w:val="nil"/>
                    <w:left w:val="nil"/>
                    <w:bottom w:val="nil"/>
                    <w:right w:val="nil"/>
                  </w:tcBorders>
                  <w:shd w:val="clear" w:color="auto" w:fill="auto"/>
                  <w:vAlign w:val="bottom"/>
                  <w:hideMark/>
                </w:tcPr>
                <w:p w14:paraId="7954A790"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-40</w:t>
                  </w:r>
                </w:p>
              </w:tc>
              <w:tc>
                <w:tcPr>
                  <w:tcW w:w="720" w:type="dxa"/>
                  <w:tcBorders>
                    <w:top w:val="nil"/>
                    <w:left w:val="nil"/>
                    <w:bottom w:val="nil"/>
                    <w:right w:val="nil"/>
                  </w:tcBorders>
                  <w:shd w:val="clear" w:color="auto" w:fill="auto"/>
                  <w:vAlign w:val="bottom"/>
                  <w:hideMark/>
                </w:tcPr>
                <w:p w14:paraId="7954A791"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-43</w:t>
                  </w:r>
                </w:p>
              </w:tc>
              <w:tc>
                <w:tcPr>
                  <w:tcW w:w="720" w:type="dxa"/>
                  <w:tcBorders>
                    <w:top w:val="nil"/>
                    <w:left w:val="nil"/>
                    <w:bottom w:val="nil"/>
                    <w:right w:val="nil"/>
                  </w:tcBorders>
                  <w:shd w:val="clear" w:color="auto" w:fill="auto"/>
                  <w:vAlign w:val="bottom"/>
                  <w:hideMark/>
                </w:tcPr>
                <w:p w14:paraId="7954A792"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15</w:t>
                  </w:r>
                </w:p>
              </w:tc>
            </w:tr>
            <w:tr w:rsidR="00F05DC7" w14:paraId="7954A79D" w14:textId="77777777" w:rsidTr="00753E2F">
              <w:trPr>
                <w:trHeight w:val="288"/>
              </w:trPr>
              <w:tc>
                <w:tcPr>
                  <w:tcW w:w="2835" w:type="dxa"/>
                  <w:tcBorders>
                    <w:top w:val="nil"/>
                    <w:left w:val="nil"/>
                    <w:right w:val="nil"/>
                  </w:tcBorders>
                  <w:shd w:val="clear" w:color="auto" w:fill="auto"/>
                  <w:vAlign w:val="center"/>
                  <w:hideMark/>
                </w:tcPr>
                <w:p w14:paraId="7954A794" w14:textId="77777777" w:rsidR="00F05DC7" w:rsidRPr="00791D71" w:rsidRDefault="00F05DC7" w:rsidP="00A3786D">
                  <w:pPr>
                    <w:rPr>
                      <w:rFonts w:asciiTheme="minorHAnsi" w:hAnsiTheme="minorHAnsi" w:cstheme="minorHAnsi"/>
                      <w:color w:val="000000"/>
                      <w:sz w:val="18"/>
                      <w:szCs w:val="18"/>
                    </w:rPr>
                  </w:pPr>
                  <w:r w:rsidRPr="00791D71">
                    <w:rPr>
                      <w:rFonts w:asciiTheme="minorHAnsi" w:hAnsiTheme="minorHAnsi" w:cstheme="minorHAnsi"/>
                      <w:color w:val="000000"/>
                      <w:sz w:val="18"/>
                      <w:szCs w:val="18"/>
                    </w:rPr>
                    <w:t>GST payments ($per capita)</w:t>
                  </w:r>
                </w:p>
              </w:tc>
              <w:tc>
                <w:tcPr>
                  <w:tcW w:w="861" w:type="dxa"/>
                  <w:tcBorders>
                    <w:top w:val="nil"/>
                    <w:left w:val="nil"/>
                    <w:right w:val="nil"/>
                  </w:tcBorders>
                  <w:shd w:val="clear" w:color="auto" w:fill="auto"/>
                  <w:vAlign w:val="bottom"/>
                  <w:hideMark/>
                </w:tcPr>
                <w:p w14:paraId="7954A795"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-53</w:t>
                  </w:r>
                </w:p>
              </w:tc>
              <w:tc>
                <w:tcPr>
                  <w:tcW w:w="720" w:type="dxa"/>
                  <w:tcBorders>
                    <w:top w:val="nil"/>
                    <w:left w:val="nil"/>
                    <w:right w:val="nil"/>
                  </w:tcBorders>
                  <w:shd w:val="clear" w:color="auto" w:fill="auto"/>
                  <w:vAlign w:val="bottom"/>
                  <w:hideMark/>
                </w:tcPr>
                <w:p w14:paraId="7954A796"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-100</w:t>
                  </w:r>
                </w:p>
              </w:tc>
              <w:tc>
                <w:tcPr>
                  <w:tcW w:w="720" w:type="dxa"/>
                  <w:tcBorders>
                    <w:top w:val="nil"/>
                    <w:left w:val="nil"/>
                    <w:right w:val="nil"/>
                  </w:tcBorders>
                  <w:shd w:val="clear" w:color="auto" w:fill="auto"/>
                  <w:vAlign w:val="bottom"/>
                  <w:hideMark/>
                </w:tcPr>
                <w:p w14:paraId="7954A797"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41</w:t>
                  </w:r>
                </w:p>
              </w:tc>
              <w:tc>
                <w:tcPr>
                  <w:tcW w:w="720" w:type="dxa"/>
                  <w:tcBorders>
                    <w:top w:val="nil"/>
                    <w:left w:val="nil"/>
                    <w:right w:val="nil"/>
                  </w:tcBorders>
                  <w:shd w:val="clear" w:color="auto" w:fill="auto"/>
                  <w:vAlign w:val="bottom"/>
                  <w:hideMark/>
                </w:tcPr>
                <w:p w14:paraId="7954A798"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398</w:t>
                  </w:r>
                </w:p>
              </w:tc>
              <w:tc>
                <w:tcPr>
                  <w:tcW w:w="720" w:type="dxa"/>
                  <w:tcBorders>
                    <w:top w:val="nil"/>
                    <w:left w:val="nil"/>
                    <w:right w:val="nil"/>
                  </w:tcBorders>
                  <w:shd w:val="clear" w:color="auto" w:fill="auto"/>
                  <w:vAlign w:val="bottom"/>
                  <w:hideMark/>
                </w:tcPr>
                <w:p w14:paraId="7954A799"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-61</w:t>
                  </w:r>
                </w:p>
              </w:tc>
              <w:tc>
                <w:tcPr>
                  <w:tcW w:w="720" w:type="dxa"/>
                  <w:tcBorders>
                    <w:top w:val="nil"/>
                    <w:left w:val="nil"/>
                    <w:right w:val="nil"/>
                  </w:tcBorders>
                  <w:shd w:val="clear" w:color="auto" w:fill="auto"/>
                  <w:vAlign w:val="bottom"/>
                  <w:hideMark/>
                </w:tcPr>
                <w:p w14:paraId="7954A79A"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-76</w:t>
                  </w:r>
                </w:p>
              </w:tc>
              <w:tc>
                <w:tcPr>
                  <w:tcW w:w="720" w:type="dxa"/>
                  <w:tcBorders>
                    <w:top w:val="nil"/>
                    <w:left w:val="nil"/>
                    <w:right w:val="nil"/>
                  </w:tcBorders>
                  <w:shd w:val="clear" w:color="auto" w:fill="auto"/>
                  <w:vAlign w:val="bottom"/>
                  <w:hideMark/>
                </w:tcPr>
                <w:p w14:paraId="7954A79B"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-104</w:t>
                  </w:r>
                </w:p>
              </w:tc>
              <w:tc>
                <w:tcPr>
                  <w:tcW w:w="720" w:type="dxa"/>
                  <w:tcBorders>
                    <w:top w:val="nil"/>
                    <w:left w:val="nil"/>
                    <w:right w:val="nil"/>
                  </w:tcBorders>
                  <w:shd w:val="clear" w:color="auto" w:fill="auto"/>
                  <w:vAlign w:val="bottom"/>
                  <w:hideMark/>
                </w:tcPr>
                <w:p w14:paraId="7954A79C"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sz w:val="18"/>
                      <w:szCs w:val="18"/>
                    </w:rPr>
                    <w:t>63</w:t>
                  </w:r>
                </w:p>
              </w:tc>
            </w:tr>
            <w:tr w:rsidR="00F05DC7" w14:paraId="7954A7A7" w14:textId="77777777" w:rsidTr="00753E2F">
              <w:trPr>
                <w:trHeight w:val="288"/>
              </w:trPr>
              <w:tc>
                <w:tcPr>
                  <w:tcW w:w="2835" w:type="dxa"/>
                  <w:tcBorders>
                    <w:top w:val="nil"/>
                    <w:left w:val="nil"/>
                    <w:bottom w:val="single" w:sz="4" w:space="0" w:color="BFBFBF"/>
                    <w:right w:val="nil"/>
                  </w:tcBorders>
                  <w:shd w:val="clear" w:color="auto" w:fill="auto"/>
                  <w:vAlign w:val="center"/>
                </w:tcPr>
                <w:p w14:paraId="7954A79E" w14:textId="77777777" w:rsidR="00F05DC7" w:rsidRPr="00791D71" w:rsidRDefault="00F05DC7" w:rsidP="00A3786D">
                  <w:pPr>
                    <w:rPr>
                      <w:rFonts w:asciiTheme="minorHAnsi" w:hAnsiTheme="minorHAnsi" w:cstheme="minorHAnsi"/>
                      <w:color w:val="000000"/>
                      <w:sz w:val="18"/>
                      <w:szCs w:val="18"/>
                    </w:rPr>
                  </w:pPr>
                  <w:r w:rsidRPr="002A0E3F">
                    <w:rPr>
                      <w:rFonts w:asciiTheme="minorHAnsi" w:hAnsiTheme="minorHAnsi" w:cstheme="minorHAnsi"/>
                      <w:color w:val="000000"/>
                      <w:sz w:val="18"/>
                      <w:szCs w:val="18"/>
                    </w:rPr>
                    <w:t>% change in State revenue</w:t>
                  </w:r>
                </w:p>
              </w:tc>
              <w:tc>
                <w:tcPr>
                  <w:tcW w:w="861" w:type="dxa"/>
                  <w:tcBorders>
                    <w:top w:val="nil"/>
                    <w:left w:val="nil"/>
                    <w:bottom w:val="single" w:sz="4" w:space="0" w:color="BFBFBF"/>
                    <w:right w:val="nil"/>
                  </w:tcBorders>
                  <w:shd w:val="clear" w:color="auto" w:fill="auto"/>
                  <w:vAlign w:val="bottom"/>
                </w:tcPr>
                <w:p w14:paraId="7954A79F" w14:textId="77777777" w:rsidR="00F05DC7" w:rsidRPr="00791D71" w:rsidRDefault="00F05DC7" w:rsidP="00A3786D">
                  <w:pPr>
                    <w:jc w:val="right"/>
                    <w:rPr>
                      <w:rFonts w:asciiTheme="minorHAnsi" w:hAnsiTheme="minorHAnsi" w:cstheme="minorHAnsi"/>
                      <w:color w:val="000000"/>
                      <w:sz w:val="18"/>
                      <w:szCs w:val="18"/>
                    </w:rPr>
                  </w:pPr>
                  <w:r w:rsidRPr="00736D89">
                    <w:rPr>
                      <w:rFonts w:asciiTheme="minorHAnsi" w:hAnsiTheme="minorHAnsi" w:cstheme="minorHAnsi"/>
                      <w:color w:val="000000"/>
                      <w:sz w:val="18"/>
                      <w:szCs w:val="18"/>
                    </w:rPr>
                    <w:t>-0.</w:t>
                  </w:r>
                  <w:r w:rsidRPr="0014184F">
                    <w:rPr>
                      <w:rFonts w:asciiTheme="minorHAnsi" w:hAnsiTheme="minorHAnsi" w:cstheme="minorHAnsi"/>
                      <w:color w:val="000000"/>
                      <w:sz w:val="18"/>
                      <w:szCs w:val="18"/>
                    </w:rPr>
                    <w:t>5</w:t>
                  </w:r>
                </w:p>
              </w:tc>
              <w:tc>
                <w:tcPr>
                  <w:tcW w:w="720" w:type="dxa"/>
                  <w:tcBorders>
                    <w:top w:val="nil"/>
                    <w:left w:val="nil"/>
                    <w:bottom w:val="single" w:sz="4" w:space="0" w:color="BFBFBF"/>
                    <w:right w:val="nil"/>
                  </w:tcBorders>
                  <w:shd w:val="clear" w:color="auto" w:fill="auto"/>
                  <w:vAlign w:val="bottom"/>
                </w:tcPr>
                <w:p w14:paraId="7954A7A0" w14:textId="77777777" w:rsidR="00F05DC7" w:rsidRPr="00791D71" w:rsidRDefault="00F05DC7" w:rsidP="00A3786D">
                  <w:pPr>
                    <w:jc w:val="right"/>
                    <w:rPr>
                      <w:rFonts w:asciiTheme="minorHAnsi" w:hAnsiTheme="minorHAnsi" w:cstheme="minorHAnsi"/>
                      <w:color w:val="000000"/>
                      <w:sz w:val="18"/>
                      <w:szCs w:val="18"/>
                    </w:rPr>
                  </w:pPr>
                  <w:r w:rsidRPr="00736D89">
                    <w:rPr>
                      <w:rFonts w:asciiTheme="minorHAnsi" w:hAnsiTheme="minorHAnsi" w:cstheme="minorHAnsi"/>
                      <w:color w:val="000000"/>
                      <w:sz w:val="18"/>
                      <w:szCs w:val="18"/>
                    </w:rPr>
                    <w:t>-1.</w:t>
                  </w:r>
                  <w:r w:rsidRPr="0014184F">
                    <w:rPr>
                      <w:rFonts w:asciiTheme="minorHAnsi" w:hAnsiTheme="minorHAnsi" w:cstheme="minorHAnsi"/>
                      <w:color w:val="000000"/>
                      <w:sz w:val="18"/>
                      <w:szCs w:val="18"/>
                    </w:rPr>
                    <w:t>1</w:t>
                  </w:r>
                </w:p>
              </w:tc>
              <w:tc>
                <w:tcPr>
                  <w:tcW w:w="720" w:type="dxa"/>
                  <w:tcBorders>
                    <w:top w:val="nil"/>
                    <w:left w:val="nil"/>
                    <w:bottom w:val="single" w:sz="4" w:space="0" w:color="BFBFBF"/>
                    <w:right w:val="nil"/>
                  </w:tcBorders>
                  <w:shd w:val="clear" w:color="auto" w:fill="auto"/>
                  <w:vAlign w:val="bottom"/>
                </w:tcPr>
                <w:p w14:paraId="7954A7A1" w14:textId="77777777" w:rsidR="00F05DC7" w:rsidRPr="00791D71" w:rsidRDefault="00F05DC7" w:rsidP="00A3786D">
                  <w:pPr>
                    <w:jc w:val="right"/>
                    <w:rPr>
                      <w:rFonts w:asciiTheme="minorHAnsi" w:hAnsiTheme="minorHAnsi" w:cstheme="minorHAnsi"/>
                      <w:color w:val="000000"/>
                      <w:sz w:val="18"/>
                      <w:szCs w:val="18"/>
                    </w:rPr>
                  </w:pPr>
                  <w:r w:rsidRPr="00736D89">
                    <w:rPr>
                      <w:rFonts w:asciiTheme="minorHAnsi" w:hAnsiTheme="minorHAnsi" w:cstheme="minorHAnsi"/>
                      <w:color w:val="000000"/>
                      <w:sz w:val="18"/>
                      <w:szCs w:val="18"/>
                    </w:rPr>
                    <w:t>0.</w:t>
                  </w:r>
                  <w:r w:rsidRPr="0014184F">
                    <w:rPr>
                      <w:rFonts w:asciiTheme="minorHAnsi" w:hAnsiTheme="minorHAnsi" w:cstheme="minorHAnsi"/>
                      <w:color w:val="000000"/>
                      <w:sz w:val="18"/>
                      <w:szCs w:val="18"/>
                    </w:rPr>
                    <w:t>4</w:t>
                  </w:r>
                </w:p>
              </w:tc>
              <w:tc>
                <w:tcPr>
                  <w:tcW w:w="720" w:type="dxa"/>
                  <w:tcBorders>
                    <w:top w:val="nil"/>
                    <w:left w:val="nil"/>
                    <w:bottom w:val="single" w:sz="4" w:space="0" w:color="BFBFBF"/>
                    <w:right w:val="nil"/>
                  </w:tcBorders>
                  <w:shd w:val="clear" w:color="auto" w:fill="auto"/>
                  <w:vAlign w:val="bottom"/>
                </w:tcPr>
                <w:p w14:paraId="7954A7A2" w14:textId="77777777" w:rsidR="00F05DC7" w:rsidRPr="00791D71" w:rsidRDefault="00F05DC7" w:rsidP="00A3786D">
                  <w:pPr>
                    <w:jc w:val="right"/>
                    <w:rPr>
                      <w:rFonts w:asciiTheme="minorHAnsi" w:hAnsiTheme="minorHAnsi" w:cstheme="minorHAnsi"/>
                      <w:color w:val="000000"/>
                      <w:sz w:val="18"/>
                      <w:szCs w:val="18"/>
                    </w:rPr>
                  </w:pPr>
                  <w:r w:rsidRPr="0014184F">
                    <w:rPr>
                      <w:rFonts w:asciiTheme="minorHAnsi" w:hAnsiTheme="minorHAnsi" w:cstheme="minorHAnsi"/>
                      <w:color w:val="000000"/>
                      <w:sz w:val="18"/>
                      <w:szCs w:val="18"/>
                    </w:rPr>
                    <w:t>3.9</w:t>
                  </w:r>
                </w:p>
              </w:tc>
              <w:tc>
                <w:tcPr>
                  <w:tcW w:w="720" w:type="dxa"/>
                  <w:tcBorders>
                    <w:top w:val="nil"/>
                    <w:left w:val="nil"/>
                    <w:bottom w:val="single" w:sz="4" w:space="0" w:color="BFBFBF"/>
                    <w:right w:val="nil"/>
                  </w:tcBorders>
                  <w:shd w:val="clear" w:color="auto" w:fill="auto"/>
                  <w:vAlign w:val="bottom"/>
                </w:tcPr>
                <w:p w14:paraId="7954A7A3" w14:textId="77777777" w:rsidR="00F05DC7" w:rsidRPr="00791D71" w:rsidRDefault="00F05DC7" w:rsidP="00A3786D">
                  <w:pPr>
                    <w:jc w:val="right"/>
                    <w:rPr>
                      <w:rFonts w:asciiTheme="minorHAnsi" w:hAnsiTheme="minorHAnsi" w:cstheme="minorHAnsi"/>
                      <w:color w:val="000000"/>
                      <w:sz w:val="18"/>
                      <w:szCs w:val="18"/>
                    </w:rPr>
                  </w:pPr>
                  <w:r w:rsidRPr="00736D89">
                    <w:rPr>
                      <w:rFonts w:asciiTheme="minorHAnsi" w:hAnsiTheme="minorHAnsi" w:cstheme="minorHAnsi"/>
                      <w:color w:val="000000"/>
                      <w:sz w:val="18"/>
                      <w:szCs w:val="18"/>
                    </w:rPr>
                    <w:t>-0.</w:t>
                  </w:r>
                  <w:r w:rsidRPr="0014184F">
                    <w:rPr>
                      <w:rFonts w:asciiTheme="minorHAnsi" w:hAnsiTheme="minorHAnsi" w:cstheme="minorHAnsi"/>
                      <w:color w:val="000000"/>
                      <w:sz w:val="18"/>
                      <w:szCs w:val="18"/>
                    </w:rPr>
                    <w:t>6</w:t>
                  </w:r>
                </w:p>
              </w:tc>
              <w:tc>
                <w:tcPr>
                  <w:tcW w:w="720" w:type="dxa"/>
                  <w:tcBorders>
                    <w:top w:val="nil"/>
                    <w:left w:val="nil"/>
                    <w:bottom w:val="single" w:sz="4" w:space="0" w:color="BFBFBF"/>
                    <w:right w:val="nil"/>
                  </w:tcBorders>
                  <w:shd w:val="clear" w:color="auto" w:fill="auto"/>
                  <w:vAlign w:val="bottom"/>
                </w:tcPr>
                <w:p w14:paraId="7954A7A4" w14:textId="77777777" w:rsidR="00F05DC7" w:rsidRPr="00791D71" w:rsidRDefault="00F05DC7" w:rsidP="00A3786D">
                  <w:pPr>
                    <w:jc w:val="right"/>
                    <w:rPr>
                      <w:rFonts w:asciiTheme="minorHAnsi" w:hAnsiTheme="minorHAnsi" w:cstheme="minorHAnsi"/>
                      <w:color w:val="000000"/>
                      <w:sz w:val="18"/>
                      <w:szCs w:val="18"/>
                    </w:rPr>
                  </w:pPr>
                  <w:r w:rsidRPr="00736D89">
                    <w:rPr>
                      <w:rFonts w:asciiTheme="minorHAnsi" w:hAnsiTheme="minorHAnsi" w:cstheme="minorHAnsi"/>
                      <w:color w:val="000000"/>
                      <w:sz w:val="18"/>
                      <w:szCs w:val="18"/>
                    </w:rPr>
                    <w:t>-0.7</w:t>
                  </w:r>
                </w:p>
              </w:tc>
              <w:tc>
                <w:tcPr>
                  <w:tcW w:w="720" w:type="dxa"/>
                  <w:tcBorders>
                    <w:top w:val="nil"/>
                    <w:left w:val="nil"/>
                    <w:bottom w:val="single" w:sz="4" w:space="0" w:color="BFBFBF"/>
                    <w:right w:val="nil"/>
                  </w:tcBorders>
                  <w:shd w:val="clear" w:color="auto" w:fill="auto"/>
                  <w:vAlign w:val="bottom"/>
                </w:tcPr>
                <w:p w14:paraId="7954A7A5" w14:textId="77777777" w:rsidR="00F05DC7" w:rsidRPr="00791D71" w:rsidRDefault="00F05DC7" w:rsidP="00A3786D">
                  <w:pPr>
                    <w:jc w:val="right"/>
                    <w:rPr>
                      <w:rFonts w:asciiTheme="minorHAnsi" w:hAnsiTheme="minorHAnsi" w:cstheme="minorHAnsi"/>
                      <w:color w:val="000000"/>
                      <w:sz w:val="18"/>
                      <w:szCs w:val="18"/>
                    </w:rPr>
                  </w:pPr>
                  <w:r w:rsidRPr="00736D89">
                    <w:rPr>
                      <w:rFonts w:asciiTheme="minorHAnsi" w:hAnsiTheme="minorHAnsi" w:cstheme="minorHAnsi"/>
                      <w:color w:val="000000"/>
                      <w:sz w:val="18"/>
                      <w:szCs w:val="18"/>
                    </w:rPr>
                    <w:t>-0.8</w:t>
                  </w:r>
                </w:p>
              </w:tc>
              <w:tc>
                <w:tcPr>
                  <w:tcW w:w="720" w:type="dxa"/>
                  <w:tcBorders>
                    <w:top w:val="nil"/>
                    <w:left w:val="nil"/>
                    <w:bottom w:val="single" w:sz="4" w:space="0" w:color="BFBFBF"/>
                    <w:right w:val="nil"/>
                  </w:tcBorders>
                  <w:shd w:val="clear" w:color="auto" w:fill="auto"/>
                  <w:vAlign w:val="bottom"/>
                </w:tcPr>
                <w:p w14:paraId="7954A7A6" w14:textId="77777777" w:rsidR="00F05DC7" w:rsidRPr="00791D71" w:rsidRDefault="00F05DC7" w:rsidP="00A3786D">
                  <w:pPr>
                    <w:jc w:val="right"/>
                    <w:rPr>
                      <w:rFonts w:asciiTheme="minorHAnsi" w:hAnsiTheme="minorHAnsi" w:cstheme="minorHAnsi"/>
                      <w:color w:val="000000"/>
                      <w:sz w:val="18"/>
                      <w:szCs w:val="18"/>
                    </w:rPr>
                  </w:pPr>
                  <w:r w:rsidRPr="00736D89">
                    <w:rPr>
                      <w:rFonts w:asciiTheme="minorHAnsi" w:hAnsiTheme="minorHAnsi" w:cstheme="minorHAnsi"/>
                      <w:color w:val="000000"/>
                      <w:sz w:val="18"/>
                      <w:szCs w:val="18"/>
                    </w:rPr>
                    <w:t>0.</w:t>
                  </w:r>
                  <w:r w:rsidRPr="0014184F">
                    <w:rPr>
                      <w:rFonts w:asciiTheme="minorHAnsi" w:hAnsiTheme="minorHAnsi" w:cstheme="minorHAnsi"/>
                      <w:color w:val="000000"/>
                      <w:sz w:val="18"/>
                      <w:szCs w:val="18"/>
                    </w:rPr>
                    <w:t>3</w:t>
                  </w:r>
                </w:p>
              </w:tc>
            </w:tr>
          </w:tbl>
          <w:p w14:paraId="7954A7A8" w14:textId="77777777" w:rsidR="00F05DC7" w:rsidRDefault="00F05DC7" w:rsidP="00A3786D">
            <w:pPr>
              <w:pStyle w:val="Box"/>
            </w:pPr>
          </w:p>
        </w:tc>
      </w:tr>
      <w:tr w:rsidR="00F05DC7" w14:paraId="7954A7AB" w14:textId="77777777" w:rsidTr="00A3786D">
        <w:tc>
          <w:tcPr>
            <w:tcW w:w="5000" w:type="pct"/>
            <w:tcBorders>
              <w:top w:val="nil"/>
              <w:left w:val="nil"/>
              <w:bottom w:val="nil"/>
              <w:right w:val="nil"/>
            </w:tcBorders>
            <w:shd w:val="clear" w:color="auto" w:fill="auto"/>
          </w:tcPr>
          <w:p w14:paraId="7954A7AA" w14:textId="2CB88578" w:rsidR="00F05DC7" w:rsidRDefault="00F05DC7" w:rsidP="00A3786D">
            <w:pPr>
              <w:pStyle w:val="Source"/>
            </w:pPr>
            <w:r>
              <w:rPr>
                <w:i/>
              </w:rPr>
              <w:t>Sources</w:t>
            </w:r>
            <w:r w:rsidRPr="00167F06">
              <w:t xml:space="preserve">: </w:t>
            </w:r>
            <w:r>
              <w:t xml:space="preserve">Productivity </w:t>
            </w:r>
            <w:r w:rsidRPr="003A06D3">
              <w:t>Commission estimates</w:t>
            </w:r>
            <w:r>
              <w:t xml:space="preserve"> based on data provided by the CGC, Appendix C.</w:t>
            </w:r>
          </w:p>
        </w:tc>
      </w:tr>
      <w:tr w:rsidR="00F05DC7" w14:paraId="7954A7AD" w14:textId="77777777" w:rsidTr="00A3786D">
        <w:tc>
          <w:tcPr>
            <w:tcW w:w="5000" w:type="pct"/>
            <w:tcBorders>
              <w:top w:val="nil"/>
              <w:left w:val="nil"/>
              <w:bottom w:val="single" w:sz="6" w:space="0" w:color="78A22F"/>
              <w:right w:val="nil"/>
            </w:tcBorders>
            <w:shd w:val="clear" w:color="auto" w:fill="auto"/>
          </w:tcPr>
          <w:p w14:paraId="7954A7AC" w14:textId="77777777" w:rsidR="00F05DC7" w:rsidRDefault="00F05DC7" w:rsidP="00A3786D">
            <w:pPr>
              <w:pStyle w:val="Box"/>
              <w:spacing w:before="0" w:line="120" w:lineRule="exact"/>
            </w:pPr>
          </w:p>
        </w:tc>
      </w:tr>
      <w:tr w:rsidR="00F05DC7" w:rsidRPr="000863A5" w14:paraId="7954A7AF" w14:textId="77777777" w:rsidTr="00A3786D">
        <w:tc>
          <w:tcPr>
            <w:tcW w:w="5000" w:type="pct"/>
            <w:tcBorders>
              <w:top w:val="single" w:sz="6" w:space="0" w:color="78A22F"/>
              <w:left w:val="nil"/>
              <w:bottom w:val="nil"/>
              <w:right w:val="nil"/>
            </w:tcBorders>
          </w:tcPr>
          <w:p w14:paraId="7954A7AE" w14:textId="77777777" w:rsidR="00F05DC7" w:rsidRPr="00626D32" w:rsidRDefault="00F05DC7" w:rsidP="00A3786D">
            <w:pPr>
              <w:pStyle w:val="BoxSpaceBelow"/>
            </w:pPr>
          </w:p>
        </w:tc>
      </w:tr>
    </w:tbl>
    <w:p w14:paraId="7954A7B0" w14:textId="77777777" w:rsidR="00F05DC7" w:rsidRDefault="00F05DC7" w:rsidP="00A3786D">
      <w:pPr>
        <w:pStyle w:val="BodyText"/>
      </w:pPr>
      <w:r>
        <w:t>On balance, the introduction of a discount for particular revenue assessments is not justified on equity or efficiency grounds. A discount is inconsistent with the broad objective of HFE. Mining revenue, in particular, is a prime example of a source-based advantage that should prima facie be included in the equalisation process.</w:t>
      </w:r>
      <w:r w:rsidRPr="00D05BAA">
        <w:t xml:space="preserve"> </w:t>
      </w:r>
    </w:p>
    <w:p w14:paraId="7954A7B2"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7B4" w14:textId="77777777" w:rsidTr="001113B1">
        <w:trPr>
          <w:tblHeader/>
        </w:trPr>
        <w:tc>
          <w:tcPr>
            <w:tcW w:w="5000" w:type="pct"/>
            <w:tcBorders>
              <w:top w:val="single" w:sz="6" w:space="0" w:color="78A22F"/>
              <w:left w:val="nil"/>
              <w:bottom w:val="nil"/>
              <w:right w:val="nil"/>
            </w:tcBorders>
            <w:shd w:val="clear" w:color="auto" w:fill="F2F2F2"/>
          </w:tcPr>
          <w:p w14:paraId="7954A7B3" w14:textId="58DCC20F" w:rsidR="00F05DC7" w:rsidRDefault="00F05DC7" w:rsidP="00A3786D">
            <w:pPr>
              <w:pStyle w:val="BoxTitle"/>
            </w:pPr>
            <w:r>
              <w:rPr>
                <w:b w:val="0"/>
              </w:rPr>
              <w:t>Box 7.</w:t>
            </w:r>
            <w:r>
              <w:rPr>
                <w:b w:val="0"/>
                <w:noProof/>
              </w:rPr>
              <w:t>4</w:t>
            </w:r>
            <w:r>
              <w:tab/>
              <w:t>Mining discounts: what participants say</w:t>
            </w:r>
          </w:p>
        </w:tc>
      </w:tr>
      <w:tr w:rsidR="00F05DC7" w14:paraId="7954A7BF" w14:textId="77777777" w:rsidTr="00A3786D">
        <w:tc>
          <w:tcPr>
            <w:tcW w:w="5000" w:type="pct"/>
            <w:tcBorders>
              <w:top w:val="nil"/>
              <w:left w:val="nil"/>
              <w:bottom w:val="nil"/>
              <w:right w:val="nil"/>
            </w:tcBorders>
            <w:shd w:val="clear" w:color="auto" w:fill="F2F2F2"/>
          </w:tcPr>
          <w:p w14:paraId="7954A7B5" w14:textId="77777777" w:rsidR="00F05DC7" w:rsidRDefault="00F05DC7" w:rsidP="00A3786D">
            <w:pPr>
              <w:pStyle w:val="Box"/>
            </w:pPr>
            <w:r>
              <w:t>Some inquiry participants advocated discounting all mining revenues in the HFE system:</w:t>
            </w:r>
          </w:p>
          <w:p w14:paraId="7954A7B6" w14:textId="77777777" w:rsidR="00F05DC7" w:rsidRPr="00D56CF9" w:rsidRDefault="00F05DC7" w:rsidP="00A3786D">
            <w:pPr>
              <w:pStyle w:val="BoxQuote"/>
            </w:pPr>
            <w:r w:rsidRPr="00D56CF9">
              <w:t xml:space="preserve">A number of options are possible, including: </w:t>
            </w:r>
          </w:p>
          <w:p w14:paraId="7954A7B7" w14:textId="77777777" w:rsidR="00F05DC7" w:rsidRDefault="00F05DC7" w:rsidP="00A3786D">
            <w:pPr>
              <w:pStyle w:val="BoxQuoteBullet"/>
            </w:pPr>
            <w:r>
              <w:t>mineral-specific royalty discounts whose magnitude reflects the degree of concentration of the mineral in any one State (highest discount where all the mineral is in one State, reflecting that this raises the greatest policy neutrality concerns);</w:t>
            </w:r>
          </w:p>
          <w:p w14:paraId="7954A7B8" w14:textId="77777777" w:rsidR="00F05DC7" w:rsidRDefault="00F05DC7" w:rsidP="00A3786D">
            <w:pPr>
              <w:pStyle w:val="BoxQuoteBullet"/>
            </w:pPr>
            <w:r>
              <w:t>uniform discounting of all mining royalties; or</w:t>
            </w:r>
          </w:p>
          <w:p w14:paraId="7954A7B9" w14:textId="77777777" w:rsidR="00F05DC7" w:rsidRDefault="00F05DC7" w:rsidP="00A3786D">
            <w:pPr>
              <w:pStyle w:val="BoxQuoteBullet"/>
            </w:pPr>
            <w:r>
              <w:t>uniform discounting of all revenues. (WA Government, sub. 15, p. 112)</w:t>
            </w:r>
          </w:p>
          <w:p w14:paraId="7954A7BA" w14:textId="77777777" w:rsidR="00F05DC7" w:rsidRDefault="00F05DC7" w:rsidP="00A3786D">
            <w:pPr>
              <w:pStyle w:val="BoxQuote"/>
            </w:pPr>
            <w:r w:rsidRPr="00595537">
              <w:t>A discount to mining revenue is one way to achieve equalisation to a reasonable level of fiscal capacity that also provides a solution to the issue of mining policy differences among states. The MCA therefore recommends that the Productivity Commission reconsider its draft finding on mining revenue discounts.</w:t>
            </w:r>
            <w:r>
              <w:t xml:space="preserve"> (MCA, sub. DR82, p. 1)</w:t>
            </w:r>
          </w:p>
          <w:p w14:paraId="7954A7BB" w14:textId="77777777" w:rsidR="00F05DC7" w:rsidRDefault="00F05DC7" w:rsidP="00A3786D">
            <w:pPr>
              <w:pStyle w:val="BoxQuote"/>
            </w:pPr>
            <w:r>
              <w:t xml:space="preserve">Discounting assessed mining revenues is consistent with the CGC’s current approach to aspects of its calculations, and would mitigate some of the adverse incentives that currently exist. Such a reform could be supported by ‘safety net’ provisions to limit short-term financial impacts </w:t>
            </w:r>
            <w:r w:rsidRPr="00A90C1C">
              <w:t>on individual jurisdictions through an appropriate transition period.</w:t>
            </w:r>
            <w:r>
              <w:t xml:space="preserve"> (Rio Tinto, sub. 37, p. 3)</w:t>
            </w:r>
          </w:p>
          <w:p w14:paraId="7954A7BC" w14:textId="77777777" w:rsidR="00F05DC7" w:rsidRDefault="00F05DC7" w:rsidP="00A3786D">
            <w:pPr>
              <w:pStyle w:val="Box"/>
            </w:pPr>
            <w:r>
              <w:t>Other participants opposed mining discounts on equity and efficiency grounds:</w:t>
            </w:r>
          </w:p>
          <w:p w14:paraId="7954A7BD" w14:textId="77777777" w:rsidR="00F05DC7" w:rsidRDefault="00F05DC7" w:rsidP="00A3786D">
            <w:pPr>
              <w:pStyle w:val="BoxQuote"/>
            </w:pPr>
            <w:r w:rsidRPr="004966E7">
              <w:t>Victoria does not accept that mining revenue deserves preferential treatment compared to other revenue sources, as outlined above. Further, not only should all revenue sources be considered as part of a states’ fiscal capacity without discount, the conceptual economic argument for fully equalising on immobile revenue bases (such as natural endowments in minerals and land) is particularly strong.</w:t>
            </w:r>
            <w:r>
              <w:t xml:space="preserve"> (Victorian Government, sub. 53, p. 8)</w:t>
            </w:r>
          </w:p>
          <w:p w14:paraId="7954A7BE" w14:textId="77777777" w:rsidR="00F05DC7" w:rsidRPr="004046A6" w:rsidRDefault="00F05DC7" w:rsidP="00A3786D">
            <w:pPr>
              <w:pStyle w:val="BoxQuote"/>
            </w:pPr>
            <w:r w:rsidRPr="004966E7">
              <w:t>Partial fiscal equalisation, on the other hand, would not achieve the fundamental equity objective of HFE and may adversely affect efficiency, depending on the details of its design. Partial fiscal equalisation which omits or discounts major components of fiscal capacity, such as mining revenues, would be both inequitable and inefficient.</w:t>
            </w:r>
            <w:r>
              <w:t xml:space="preserve"> (ACT Government, sub. 49, p. 8)</w:t>
            </w:r>
          </w:p>
        </w:tc>
      </w:tr>
      <w:tr w:rsidR="00F05DC7" w14:paraId="7954A7C1" w14:textId="77777777" w:rsidTr="00A3786D">
        <w:tc>
          <w:tcPr>
            <w:tcW w:w="5000" w:type="pct"/>
            <w:tcBorders>
              <w:top w:val="nil"/>
              <w:left w:val="nil"/>
              <w:bottom w:val="single" w:sz="6" w:space="0" w:color="78A22F"/>
              <w:right w:val="nil"/>
            </w:tcBorders>
            <w:shd w:val="clear" w:color="auto" w:fill="F2F2F2"/>
          </w:tcPr>
          <w:p w14:paraId="7954A7C0" w14:textId="77777777" w:rsidR="00F05DC7" w:rsidRDefault="00F05DC7" w:rsidP="00A3786D">
            <w:pPr>
              <w:pStyle w:val="Box"/>
              <w:spacing w:before="0" w:line="120" w:lineRule="exact"/>
            </w:pPr>
          </w:p>
        </w:tc>
      </w:tr>
      <w:tr w:rsidR="00F05DC7" w:rsidRPr="000863A5" w14:paraId="7954A7C3" w14:textId="77777777" w:rsidTr="00A3786D">
        <w:tc>
          <w:tcPr>
            <w:tcW w:w="5000" w:type="pct"/>
            <w:tcBorders>
              <w:top w:val="single" w:sz="6" w:space="0" w:color="78A22F"/>
              <w:left w:val="nil"/>
              <w:bottom w:val="nil"/>
              <w:right w:val="nil"/>
            </w:tcBorders>
          </w:tcPr>
          <w:p w14:paraId="7954A7C2" w14:textId="77777777" w:rsidR="00F05DC7" w:rsidRPr="00626D32" w:rsidRDefault="00F05DC7" w:rsidP="00A3786D">
            <w:pPr>
              <w:pStyle w:val="BoxSpaceBelow"/>
            </w:pPr>
          </w:p>
        </w:tc>
      </w:tr>
    </w:tbl>
    <w:p w14:paraId="3FFA14EB" w14:textId="085FD344" w:rsidR="00C740F0" w:rsidRDefault="00F05DC7" w:rsidP="00A3786D">
      <w:pPr>
        <w:pStyle w:val="BodyText"/>
      </w:pPr>
      <w:r>
        <w:t xml:space="preserve">Permanent discounts should also not be introduced to provide a supposed solution in cases where jurisdictions have managed the fiscal returns of buoyant conditions in a less than ideal way over time. The temporary use of a discount factor is also far from ideal, and runs the risk that it would become permanent over time. </w:t>
      </w:r>
    </w:p>
    <w:p w14:paraId="7954A7C5" w14:textId="77777777" w:rsidR="00F05DC7" w:rsidRPr="00C740F0" w:rsidRDefault="00F05DC7" w:rsidP="00200D2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7C8"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7C6" w14:textId="77777777" w:rsidR="00F05DC7" w:rsidRDefault="00F05DC7" w:rsidP="00A3786D">
            <w:pPr>
              <w:pStyle w:val="FindingTitle"/>
              <w:spacing w:before="120"/>
              <w:rPr>
                <w:noProof/>
              </w:rPr>
            </w:pPr>
            <w:r>
              <w:t>Finding 7.4</w:t>
            </w:r>
          </w:p>
          <w:p w14:paraId="7954A7C7" w14:textId="77777777" w:rsidR="00F05DC7" w:rsidRPr="00CE4C64" w:rsidRDefault="00F05DC7" w:rsidP="00A3786D">
            <w:pPr>
              <w:pStyle w:val="Finding"/>
              <w:keepNext/>
            </w:pPr>
            <w:r>
              <w:t>D</w:t>
            </w:r>
            <w:r w:rsidRPr="002A7FC4">
              <w:t>iscounting mining</w:t>
            </w:r>
            <w:r>
              <w:t xml:space="preserve"> (or other revenue categories)</w:t>
            </w:r>
            <w:r w:rsidRPr="002A7FC4">
              <w:t xml:space="preserve"> in the HFE process — or removing it entirely — </w:t>
            </w:r>
            <w:r>
              <w:t xml:space="preserve">is not justified and </w:t>
            </w:r>
            <w:r w:rsidRPr="002A7FC4">
              <w:t xml:space="preserve">would come at a high cost to </w:t>
            </w:r>
            <w:r>
              <w:t xml:space="preserve">fiscal </w:t>
            </w:r>
            <w:r w:rsidRPr="002A7FC4">
              <w:t>equ</w:t>
            </w:r>
            <w:r>
              <w:t>al</w:t>
            </w:r>
            <w:r w:rsidRPr="002A7FC4">
              <w:t>ity</w:t>
            </w:r>
            <w:r>
              <w:t>.</w:t>
            </w:r>
          </w:p>
        </w:tc>
      </w:tr>
      <w:tr w:rsidR="00F05DC7" w14:paraId="7954A7CA"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7C9" w14:textId="77777777" w:rsidR="00F05DC7" w:rsidRDefault="00F05DC7" w:rsidP="00A3786D">
            <w:pPr>
              <w:pStyle w:val="Space"/>
              <w:keepLines/>
            </w:pPr>
          </w:p>
        </w:tc>
      </w:tr>
      <w:tr w:rsidR="00F05DC7" w:rsidRPr="000863A5" w14:paraId="7954A7CC"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7CB" w14:textId="77777777" w:rsidR="00F05DC7" w:rsidRPr="00626D32" w:rsidRDefault="00F05DC7" w:rsidP="00A3786D">
            <w:pPr>
              <w:pStyle w:val="BoxSpaceBelow"/>
              <w:keepLines/>
            </w:pPr>
          </w:p>
        </w:tc>
      </w:tr>
    </w:tbl>
    <w:p w14:paraId="7954A7CD"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7CF" w14:textId="77777777" w:rsidTr="001113B1">
        <w:trPr>
          <w:tblHeader/>
        </w:trPr>
        <w:tc>
          <w:tcPr>
            <w:tcW w:w="5000" w:type="pct"/>
            <w:tcBorders>
              <w:top w:val="single" w:sz="6" w:space="0" w:color="78A22F"/>
              <w:left w:val="nil"/>
              <w:bottom w:val="nil"/>
              <w:right w:val="nil"/>
            </w:tcBorders>
            <w:shd w:val="clear" w:color="auto" w:fill="F2F2F2"/>
          </w:tcPr>
          <w:p w14:paraId="7954A7CE" w14:textId="7129E66B" w:rsidR="00F05DC7" w:rsidRDefault="00F05DC7" w:rsidP="00A3786D">
            <w:pPr>
              <w:pStyle w:val="BoxTitle"/>
            </w:pPr>
            <w:r>
              <w:rPr>
                <w:b w:val="0"/>
              </w:rPr>
              <w:t>Box 7.</w:t>
            </w:r>
            <w:r>
              <w:rPr>
                <w:b w:val="0"/>
                <w:noProof/>
              </w:rPr>
              <w:t>5</w:t>
            </w:r>
            <w:r>
              <w:tab/>
              <w:t>Canada’s mining discount</w:t>
            </w:r>
          </w:p>
        </w:tc>
      </w:tr>
      <w:tr w:rsidR="00F05DC7" w14:paraId="7954A7D4" w14:textId="77777777" w:rsidTr="00A3786D">
        <w:tc>
          <w:tcPr>
            <w:tcW w:w="5000" w:type="pct"/>
            <w:tcBorders>
              <w:top w:val="nil"/>
              <w:left w:val="nil"/>
              <w:bottom w:val="nil"/>
              <w:right w:val="nil"/>
            </w:tcBorders>
            <w:shd w:val="clear" w:color="auto" w:fill="F2F2F2"/>
          </w:tcPr>
          <w:p w14:paraId="7954A7D0" w14:textId="77777777" w:rsidR="00F05DC7" w:rsidRDefault="00F05DC7" w:rsidP="00A3786D">
            <w:pPr>
              <w:pStyle w:val="Box"/>
            </w:pPr>
            <w:r>
              <w:t>In 2006</w:t>
            </w:r>
            <w:r>
              <w:noBreakHyphen/>
              <w:t>07, Canada undertook extensive reform of its fiscal equalisation system, following the recommendations of the Expert Panel on Equalization. In undertaking its review, the Expert Panel commented that:</w:t>
            </w:r>
          </w:p>
          <w:p w14:paraId="7954A7D1" w14:textId="0427C2B9" w:rsidR="00F05DC7" w:rsidRDefault="00F05DC7" w:rsidP="00A3786D">
            <w:pPr>
              <w:pStyle w:val="BoxQuote"/>
            </w:pPr>
            <w:r>
              <w:t xml:space="preserve">By far, the most contentious issue involves how resource revenues should be treated in the formula. The Panel heard strongly held and diametrically opposing views ranging from excluding resource revenues entirely to including them completely. Given the importance of resources to the economies of some provinces and the impact of high prices for oil and gas in particular, this issue has direct bearing not only on the Equalization program but on the potential for resource revenues to increase disparities among provinces. </w:t>
            </w:r>
            <w:r w:rsidRPr="00DE1587">
              <w:rPr>
                <w:rFonts w:cs="Arial"/>
                <w:szCs w:val="24"/>
              </w:rPr>
              <w:t>(Department of Finance (Canada) 2006, p. 4)</w:t>
            </w:r>
          </w:p>
          <w:p w14:paraId="7954A7D2" w14:textId="77777777" w:rsidR="00F05DC7" w:rsidRDefault="00F05DC7" w:rsidP="00A3786D">
            <w:pPr>
              <w:pStyle w:val="Box"/>
            </w:pPr>
            <w:r>
              <w:t xml:space="preserve">A key part of the reforms was that natural resource revenues, such as royalties and fees, would contribute 50 per cent to defined provincial fiscal capacity (i.e. a 50 per cent discount of mining royalties). Prior to 2004, 100 per cent of natural resource revenues were included in equalisation payments. The use of actual resource revenues, instead of resource tax bases, was also introduced to calculate fiscal capacities of the provinces. </w:t>
            </w:r>
          </w:p>
          <w:p w14:paraId="7954A7D3" w14:textId="632E706D" w:rsidR="00F05DC7" w:rsidRDefault="00F05DC7" w:rsidP="00A3786D">
            <w:pPr>
              <w:pStyle w:val="Box"/>
            </w:pPr>
            <w:r>
              <w:t xml:space="preserve">The equalisation formula was changed in 2007 to involve two options. Provinces would be entitled to a payment based on a calculation that either includes 50 per cent of natural resource revenues </w:t>
            </w:r>
            <w:r w:rsidRPr="00133648">
              <w:t>or</w:t>
            </w:r>
            <w:r>
              <w:t xml:space="preserve"> excludes natural resource revenues entirely. Provinces automatically receive payments according to formula that yields the higher payment. There is also a fiscal capacity cap on equalisation payments to address the partial inclusion of natural resource revenues </w:t>
            </w:r>
            <w:r w:rsidRPr="006F34CF">
              <w:rPr>
                <w:rFonts w:cs="Arial"/>
                <w:szCs w:val="24"/>
              </w:rPr>
              <w:t>(Edison 2013)</w:t>
            </w:r>
            <w:r>
              <w:t>.</w:t>
            </w:r>
          </w:p>
        </w:tc>
      </w:tr>
      <w:tr w:rsidR="00F05DC7" w14:paraId="7954A7D6" w14:textId="77777777" w:rsidTr="00A3786D">
        <w:tc>
          <w:tcPr>
            <w:tcW w:w="5000" w:type="pct"/>
            <w:tcBorders>
              <w:top w:val="nil"/>
              <w:left w:val="nil"/>
              <w:bottom w:val="nil"/>
              <w:right w:val="nil"/>
            </w:tcBorders>
            <w:shd w:val="clear" w:color="auto" w:fill="F2F2F2"/>
          </w:tcPr>
          <w:p w14:paraId="7954A7D5" w14:textId="77777777" w:rsidR="00F05DC7" w:rsidRDefault="00F05DC7" w:rsidP="00A3786D">
            <w:pPr>
              <w:pStyle w:val="BoxSource"/>
            </w:pPr>
            <w:r>
              <w:rPr>
                <w:i/>
              </w:rPr>
              <w:t>Source</w:t>
            </w:r>
            <w:r w:rsidRPr="00167F06">
              <w:t xml:space="preserve">: </w:t>
            </w:r>
            <w:r>
              <w:t>Appendix E</w:t>
            </w:r>
            <w:r>
              <w:rPr>
                <w:sz w:val="20"/>
              </w:rPr>
              <w:t>.</w:t>
            </w:r>
          </w:p>
        </w:tc>
      </w:tr>
      <w:tr w:rsidR="00F05DC7" w14:paraId="7954A7D8" w14:textId="77777777" w:rsidTr="00A3786D">
        <w:tc>
          <w:tcPr>
            <w:tcW w:w="5000" w:type="pct"/>
            <w:tcBorders>
              <w:top w:val="nil"/>
              <w:left w:val="nil"/>
              <w:bottom w:val="single" w:sz="6" w:space="0" w:color="78A22F"/>
              <w:right w:val="nil"/>
            </w:tcBorders>
            <w:shd w:val="clear" w:color="auto" w:fill="F2F2F2"/>
          </w:tcPr>
          <w:p w14:paraId="7954A7D7" w14:textId="77777777" w:rsidR="00F05DC7" w:rsidRDefault="00F05DC7" w:rsidP="00A3786D">
            <w:pPr>
              <w:pStyle w:val="Box"/>
              <w:spacing w:before="0" w:line="120" w:lineRule="exact"/>
            </w:pPr>
          </w:p>
        </w:tc>
      </w:tr>
      <w:tr w:rsidR="00F05DC7" w:rsidRPr="000863A5" w14:paraId="7954A7DA" w14:textId="77777777" w:rsidTr="00A3786D">
        <w:tc>
          <w:tcPr>
            <w:tcW w:w="5000" w:type="pct"/>
            <w:tcBorders>
              <w:top w:val="single" w:sz="6" w:space="0" w:color="78A22F"/>
              <w:left w:val="nil"/>
              <w:bottom w:val="nil"/>
              <w:right w:val="nil"/>
            </w:tcBorders>
          </w:tcPr>
          <w:p w14:paraId="7954A7D9" w14:textId="77777777" w:rsidR="00F05DC7" w:rsidRPr="00626D32" w:rsidRDefault="00F05DC7" w:rsidP="00A3786D">
            <w:pPr>
              <w:pStyle w:val="BoxSpaceBelow"/>
            </w:pPr>
          </w:p>
        </w:tc>
      </w:tr>
    </w:tbl>
    <w:p w14:paraId="7954A7DB" w14:textId="647A7568" w:rsidR="00F05DC7" w:rsidRDefault="00F05DC7" w:rsidP="00A3786D">
      <w:pPr>
        <w:pStyle w:val="Heading2"/>
      </w:pPr>
      <w:bookmarkStart w:id="103" w:name="_Toc513637731"/>
      <w:r>
        <w:t>7.</w:t>
      </w:r>
      <w:r>
        <w:rPr>
          <w:noProof/>
        </w:rPr>
        <w:t>5</w:t>
      </w:r>
      <w:r>
        <w:tab/>
        <w:t>Targeted interventions for future policy changes</w:t>
      </w:r>
      <w:bookmarkEnd w:id="103"/>
    </w:p>
    <w:p w14:paraId="7954A7DC" w14:textId="77777777" w:rsidR="00F05DC7" w:rsidRDefault="00F05DC7" w:rsidP="00A3786D">
      <w:pPr>
        <w:pStyle w:val="BodyText"/>
      </w:pPr>
      <w:r>
        <w:t>A final form of potential adjustments to revenue and expenditure assessments involves making targeted interventions to deal with specific cases of policy non</w:t>
      </w:r>
      <w:r>
        <w:noBreakHyphen/>
        <w:t xml:space="preserve">neutrality when problems are expected to arise from policy changes. This approach effectively involves giving up some equalisation in State fiscal capacities to remove disincentives to reform (efficiency) and/or achieve ‘fairer’ outcomes by allowing States to retain a share of the benefits of their policy effort (equity). </w:t>
      </w:r>
    </w:p>
    <w:p w14:paraId="7954A7DD" w14:textId="77777777" w:rsidR="00F05DC7" w:rsidRDefault="00F05DC7" w:rsidP="00A3786D">
      <w:pPr>
        <w:pStyle w:val="BodyText"/>
      </w:pPr>
      <w:r>
        <w:t>This offers a more targeted approach than blunter techniques such as discounting entire revenue categories. It would link the amount of additional revenue a State retains after HFE directly to a specific policy decision. It would also provide for policy neutrality at less cost to equality of State fiscal capacities.</w:t>
      </w:r>
    </w:p>
    <w:p w14:paraId="7954A7DE" w14:textId="77777777" w:rsidR="00F05DC7" w:rsidRDefault="00F05DC7" w:rsidP="00A3786D">
      <w:pPr>
        <w:pStyle w:val="BodyText"/>
      </w:pPr>
      <w:r>
        <w:t>Such targeted interventions would apply to prospective policy changes only — that is, when a State introduced a specific policy change that would have a material impact on its GST payments. In general, an intervention would involve three main steps:</w:t>
      </w:r>
    </w:p>
    <w:p w14:paraId="7954A7DF" w14:textId="77777777" w:rsidR="00F05DC7" w:rsidRDefault="00F05DC7" w:rsidP="00A3786D">
      <w:pPr>
        <w:pStyle w:val="ListBullet"/>
      </w:pPr>
      <w:r>
        <w:t>identify the specific policy change made by a State</w:t>
      </w:r>
    </w:p>
    <w:p w14:paraId="7954A7E0" w14:textId="77777777" w:rsidR="00F05DC7" w:rsidRDefault="00F05DC7" w:rsidP="00A3786D">
      <w:pPr>
        <w:pStyle w:val="ListBullet"/>
      </w:pPr>
      <w:r>
        <w:t>estimate the likely impacts on GST payments (for all States)</w:t>
      </w:r>
    </w:p>
    <w:p w14:paraId="7954A7E1" w14:textId="77777777" w:rsidR="00F05DC7" w:rsidRDefault="00F05DC7" w:rsidP="00A3786D">
      <w:pPr>
        <w:pStyle w:val="ListBullet"/>
      </w:pPr>
      <w:r>
        <w:lastRenderedPageBreak/>
        <w:t>make an adjustment to the methodology to reduce these impacts (and determine the time period over which the adjustment should be kept in place).</w:t>
      </w:r>
    </w:p>
    <w:p w14:paraId="7954A7E2" w14:textId="77777777" w:rsidR="00F05DC7" w:rsidRDefault="00F05DC7" w:rsidP="00A3786D">
      <w:pPr>
        <w:pStyle w:val="BodyText"/>
      </w:pPr>
      <w:r>
        <w:t xml:space="preserve">The lags in the HFE system (chapter 5) mean that any targeted intervention would necessarily be backwards looking — it would be applied at least two years after a State had made the policy change. To provide certainty to States, such interventions would be most effective and practical when based on clearly defined rules and triggers. Certainty would also be bolstered by the CGC providing States with ‘draft rulings’ of how policy changes may affect future GST payments (chapter 6). </w:t>
      </w:r>
    </w:p>
    <w:p w14:paraId="7954A7E3" w14:textId="77777777" w:rsidR="00F05DC7" w:rsidRDefault="00F05DC7" w:rsidP="00A3786D">
      <w:pPr>
        <w:pStyle w:val="Heading3"/>
      </w:pPr>
      <w:r>
        <w:t>Discounting future tax rate changes</w:t>
      </w:r>
    </w:p>
    <w:p w14:paraId="7954A7E4" w14:textId="1695ABE9" w:rsidR="00F05DC7" w:rsidRDefault="00F05DC7" w:rsidP="00A3786D">
      <w:pPr>
        <w:pStyle w:val="BodyText"/>
      </w:pPr>
      <w:r>
        <w:t xml:space="preserve">The CGC, as part of its 2020 review, has indicated that it is considering introducing a revenue discount that is targeted to future State tax or royalty rate changes (box 7.6). Under this approach, no discount would apply to revenue that is a result of </w:t>
      </w:r>
      <w:r w:rsidRPr="00ED23E8">
        <w:t>existing</w:t>
      </w:r>
      <w:r>
        <w:t xml:space="preserve"> tax rates, but the additional revenue raised from an increase in tax rates would be subject to a discount (and, conversely, the reduction in revenue from a decrease in tax rates). This would act to make the GST distribution less sensitive to each State’s policy choices, and thus more policy neutral.</w:t>
      </w:r>
    </w:p>
    <w:p w14:paraId="7954A7E5"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7E7" w14:textId="77777777" w:rsidTr="00A3786D">
        <w:trPr>
          <w:tblHeader/>
        </w:trPr>
        <w:tc>
          <w:tcPr>
            <w:tcW w:w="5000" w:type="pct"/>
            <w:tcBorders>
              <w:top w:val="single" w:sz="6" w:space="0" w:color="78A22F"/>
              <w:left w:val="nil"/>
              <w:bottom w:val="nil"/>
              <w:right w:val="nil"/>
            </w:tcBorders>
            <w:shd w:val="clear" w:color="auto" w:fill="F2F2F2"/>
          </w:tcPr>
          <w:p w14:paraId="7954A7E6" w14:textId="5F5D3ED4" w:rsidR="00F05DC7" w:rsidRDefault="00F05DC7" w:rsidP="00A3786D">
            <w:pPr>
              <w:pStyle w:val="BoxTitle"/>
            </w:pPr>
            <w:r>
              <w:rPr>
                <w:b w:val="0"/>
              </w:rPr>
              <w:t>Box 7.</w:t>
            </w:r>
            <w:r>
              <w:rPr>
                <w:b w:val="0"/>
                <w:noProof/>
              </w:rPr>
              <w:t>6</w:t>
            </w:r>
            <w:r>
              <w:tab/>
              <w:t>The CGC’s proposals for discounting future tax changes</w:t>
            </w:r>
          </w:p>
        </w:tc>
      </w:tr>
      <w:tr w:rsidR="00F05DC7" w14:paraId="7954A7EB" w14:textId="77777777" w:rsidTr="00A3786D">
        <w:tc>
          <w:tcPr>
            <w:tcW w:w="5000" w:type="pct"/>
            <w:tcBorders>
              <w:top w:val="nil"/>
              <w:left w:val="nil"/>
              <w:bottom w:val="nil"/>
              <w:right w:val="nil"/>
            </w:tcBorders>
            <w:shd w:val="clear" w:color="auto" w:fill="F2F2F2"/>
          </w:tcPr>
          <w:p w14:paraId="7954A7E8" w14:textId="77777777" w:rsidR="00F05DC7" w:rsidRDefault="00F05DC7" w:rsidP="00A3786D">
            <w:pPr>
              <w:pStyle w:val="Box"/>
            </w:pPr>
            <w:r>
              <w:t>In its position paper for the 2020 methodology review, the CGC stated that:</w:t>
            </w:r>
          </w:p>
          <w:p w14:paraId="7954A7E9" w14:textId="77777777" w:rsidR="00F05DC7" w:rsidRDefault="00F05DC7" w:rsidP="00A3786D">
            <w:pPr>
              <w:pStyle w:val="BoxQuote"/>
            </w:pPr>
            <w:r w:rsidRPr="00397541">
              <w:t xml:space="preserve">For the 2020 Review, the </w:t>
            </w:r>
            <w:r>
              <w:t>[CGC]</w:t>
            </w:r>
            <w:r w:rsidRPr="00397541">
              <w:t xml:space="preserve"> considers that its methods should ensure each State retains, after equalisation, at least half of the own-source revenue effects of the discretionary policy changes that it makes</w:t>
            </w:r>
            <w:r>
              <w:t>. …</w:t>
            </w:r>
          </w:p>
          <w:p w14:paraId="7954A7EA" w14:textId="3B1AC5C7" w:rsidR="00F05DC7" w:rsidRDefault="00F05DC7" w:rsidP="009D6331">
            <w:pPr>
              <w:pStyle w:val="BoxQuote"/>
            </w:pPr>
            <w:r w:rsidRPr="003A4F7D">
              <w:t>This could be done by directly reducing the effect of a discretionary change in effective mining tax rates by the dominant State on the rate of tax used for the calculation of revenue capacity. This would apply only to the extent necessary to meet the at least 50% objective.</w:t>
            </w:r>
            <w:r>
              <w:t xml:space="preserve"> </w:t>
            </w:r>
            <w:r w:rsidRPr="003A4F7D">
              <w:t>The specific methods to be adopted by the Commission to give effect to this approach will be considered in consultation with the States over the course of the review.</w:t>
            </w:r>
            <w:r>
              <w:t xml:space="preserve"> CGC </w:t>
            </w:r>
            <w:r w:rsidR="009D6331" w:rsidRPr="009D6331">
              <w:rPr>
                <w:rFonts w:cs="Arial"/>
                <w:szCs w:val="24"/>
              </w:rPr>
              <w:t>(2017j, p. 29)</w:t>
            </w:r>
          </w:p>
        </w:tc>
      </w:tr>
      <w:tr w:rsidR="00F05DC7" w14:paraId="7954A7ED" w14:textId="77777777" w:rsidTr="00A3786D">
        <w:tc>
          <w:tcPr>
            <w:tcW w:w="5000" w:type="pct"/>
            <w:tcBorders>
              <w:top w:val="nil"/>
              <w:left w:val="nil"/>
              <w:bottom w:val="single" w:sz="6" w:space="0" w:color="78A22F"/>
              <w:right w:val="nil"/>
            </w:tcBorders>
            <w:shd w:val="clear" w:color="auto" w:fill="F2F2F2"/>
          </w:tcPr>
          <w:p w14:paraId="7954A7EC" w14:textId="77777777" w:rsidR="00F05DC7" w:rsidRDefault="00F05DC7" w:rsidP="00A3786D">
            <w:pPr>
              <w:pStyle w:val="Box"/>
              <w:spacing w:before="0" w:line="120" w:lineRule="exact"/>
            </w:pPr>
          </w:p>
        </w:tc>
      </w:tr>
      <w:tr w:rsidR="00F05DC7" w:rsidRPr="000863A5" w14:paraId="7954A7EF" w14:textId="77777777" w:rsidTr="00A3786D">
        <w:tc>
          <w:tcPr>
            <w:tcW w:w="5000" w:type="pct"/>
            <w:tcBorders>
              <w:top w:val="single" w:sz="6" w:space="0" w:color="78A22F"/>
              <w:left w:val="nil"/>
              <w:bottom w:val="nil"/>
              <w:right w:val="nil"/>
            </w:tcBorders>
          </w:tcPr>
          <w:p w14:paraId="7954A7EE" w14:textId="77777777" w:rsidR="00F05DC7" w:rsidRPr="00626D32" w:rsidRDefault="00F05DC7" w:rsidP="00A3786D">
            <w:pPr>
              <w:pStyle w:val="BoxSpaceBelow"/>
            </w:pPr>
          </w:p>
        </w:tc>
      </w:tr>
    </w:tbl>
    <w:p w14:paraId="7954A7F0" w14:textId="77777777" w:rsidR="00F05DC7" w:rsidRDefault="00F05DC7" w:rsidP="00A3786D">
      <w:pPr>
        <w:pStyle w:val="BodyText"/>
      </w:pPr>
      <w:r>
        <w:t>The discount would be applied such that the State undertaking the policy change would retain at least 50 per cent of any additional revenue (or, conversely, bear at least 50 per cent of any revenue decrease). For example, if a State with a tax base of $100 million increased its tax rate from 10 per cent to 12 per cent, then $10 million of revenue would be subject to full equalisation, and $2 million would receive a discount such that the State retains at least $1 million net of GST impacts.</w:t>
      </w:r>
    </w:p>
    <w:p w14:paraId="7954A7F1" w14:textId="6654F501" w:rsidR="00F05DC7" w:rsidRDefault="00F05DC7" w:rsidP="00A3786D">
      <w:pPr>
        <w:pStyle w:val="BodyText"/>
      </w:pPr>
      <w:r>
        <w:t xml:space="preserve">The 50 per cent level is arbitrary, and effectively limits the circumstances in which such a discount would apply. In practice, and as shown in figure 7.1, were a floating form of discount to be applied, such that a State would retain </w:t>
      </w:r>
      <w:r w:rsidRPr="007A6C6C">
        <w:rPr>
          <w:i/>
        </w:rPr>
        <w:t>exactly</w:t>
      </w:r>
      <w:r>
        <w:t xml:space="preserve"> 50 per cent of revenue, it is likely to apply only to Western Australia, and only with regard to iron ore, nickel and gold. </w:t>
      </w:r>
    </w:p>
    <w:p w14:paraId="7954A7F2"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7F4" w14:textId="77777777" w:rsidTr="00A3786D">
        <w:trPr>
          <w:tblHeader/>
        </w:trPr>
        <w:tc>
          <w:tcPr>
            <w:tcW w:w="5000" w:type="pct"/>
            <w:tcBorders>
              <w:top w:val="single" w:sz="6" w:space="0" w:color="78A22F"/>
              <w:left w:val="nil"/>
              <w:bottom w:val="nil"/>
              <w:right w:val="nil"/>
            </w:tcBorders>
            <w:shd w:val="clear" w:color="auto" w:fill="auto"/>
          </w:tcPr>
          <w:p w14:paraId="7954A7F3" w14:textId="3ECFD5DA" w:rsidR="00F05DC7" w:rsidRPr="000B5CE1" w:rsidRDefault="00F05DC7" w:rsidP="00A3786D">
            <w:pPr>
              <w:pStyle w:val="FigureTitle"/>
            </w:pPr>
            <w:r w:rsidRPr="00784A05">
              <w:rPr>
                <w:b w:val="0"/>
              </w:rPr>
              <w:t xml:space="preserve">Figure </w:t>
            </w:r>
            <w:r>
              <w:rPr>
                <w:b w:val="0"/>
              </w:rPr>
              <w:t>7.</w:t>
            </w:r>
            <w:r>
              <w:rPr>
                <w:b w:val="0"/>
                <w:noProof/>
              </w:rPr>
              <w:t>1</w:t>
            </w:r>
            <w:r>
              <w:tab/>
              <w:t>Dollar change in GST payments from increasing mineral revenue by $100 via rate change</w:t>
            </w:r>
          </w:p>
        </w:tc>
      </w:tr>
      <w:tr w:rsidR="00F05DC7" w14:paraId="7954A7F8" w14:textId="77777777" w:rsidTr="00A3786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05DC7" w:rsidRPr="00B1465D" w14:paraId="7954A7F6" w14:textId="77777777" w:rsidTr="00A3786D">
              <w:trPr>
                <w:tblHeader/>
                <w:jc w:val="center"/>
              </w:trPr>
              <w:tc>
                <w:tcPr>
                  <w:tcW w:w="8505" w:type="dxa"/>
                  <w:tcBorders>
                    <w:top w:val="nil"/>
                    <w:bottom w:val="nil"/>
                  </w:tcBorders>
                </w:tcPr>
                <w:p w14:paraId="7954A7F5" w14:textId="77777777" w:rsidR="00F05DC7" w:rsidRPr="00B1465D" w:rsidRDefault="00F05DC7" w:rsidP="00A3786D">
                  <w:pPr>
                    <w:pStyle w:val="Figure"/>
                    <w:spacing w:before="60" w:after="60"/>
                    <w:rPr>
                      <w:rFonts w:ascii="Arial" w:hAnsi="Arial" w:cs="Arial"/>
                      <w:sz w:val="18"/>
                      <w:szCs w:val="18"/>
                    </w:rPr>
                  </w:pPr>
                  <w:r w:rsidRPr="00041611">
                    <w:rPr>
                      <w:rFonts w:ascii="Arial" w:hAnsi="Arial" w:cs="Arial"/>
                      <w:noProof/>
                      <w:sz w:val="18"/>
                      <w:szCs w:val="18"/>
                    </w:rPr>
                    <w:drawing>
                      <wp:inline distT="0" distB="0" distL="0" distR="0" wp14:anchorId="7954D611" wp14:editId="06F6E203">
                        <wp:extent cx="5400666" cy="2658359"/>
                        <wp:effectExtent l="0" t="0" r="0" b="8890"/>
                        <wp:docPr id="73" name="Picture 73" descr="This figure shows the dollar change in GST payments from increasing mineral revenue by a $100 rate change. It shows that, were the CGC’s proposed 50 per cent discount to be in place, it would only effect Western Australia, and only with regard to three mineral categories: iron ore, gold and nick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3921" cy="2659961"/>
                                </a:xfrm>
                                <a:prstGeom prst="rect">
                                  <a:avLst/>
                                </a:prstGeom>
                                <a:noFill/>
                                <a:ln>
                                  <a:noFill/>
                                </a:ln>
                              </pic:spPr>
                            </pic:pic>
                          </a:graphicData>
                        </a:graphic>
                      </wp:inline>
                    </w:drawing>
                  </w:r>
                </w:p>
              </w:tc>
            </w:tr>
          </w:tbl>
          <w:p w14:paraId="7954A7F7" w14:textId="77777777" w:rsidR="00F05DC7" w:rsidRDefault="00F05DC7" w:rsidP="00A3786D">
            <w:pPr>
              <w:pStyle w:val="Figure"/>
            </w:pPr>
          </w:p>
        </w:tc>
      </w:tr>
      <w:tr w:rsidR="00F05DC7" w:rsidRPr="00176D3F" w14:paraId="7954A7FA" w14:textId="77777777" w:rsidTr="00A3786D">
        <w:tc>
          <w:tcPr>
            <w:tcW w:w="5000" w:type="pct"/>
            <w:tcBorders>
              <w:top w:val="nil"/>
              <w:left w:val="nil"/>
              <w:bottom w:val="nil"/>
              <w:right w:val="nil"/>
            </w:tcBorders>
            <w:shd w:val="clear" w:color="auto" w:fill="auto"/>
          </w:tcPr>
          <w:p w14:paraId="7954A7F9" w14:textId="77777777" w:rsidR="00F05DC7" w:rsidRPr="00176D3F" w:rsidRDefault="00F05DC7" w:rsidP="00A3786D">
            <w:pPr>
              <w:pStyle w:val="Source"/>
            </w:pPr>
            <w:r>
              <w:rPr>
                <w:i/>
              </w:rPr>
              <w:t>S</w:t>
            </w:r>
            <w:r w:rsidRPr="00784A05">
              <w:rPr>
                <w:i/>
              </w:rPr>
              <w:t>ource</w:t>
            </w:r>
            <w:r w:rsidRPr="00176D3F">
              <w:t xml:space="preserve">: </w:t>
            </w:r>
            <w:r>
              <w:t xml:space="preserve">Productivity </w:t>
            </w:r>
            <w:r w:rsidRPr="000D1878">
              <w:t>Commission estimates</w:t>
            </w:r>
            <w:r>
              <w:t xml:space="preserve"> based on data provided by the CGC.</w:t>
            </w:r>
          </w:p>
        </w:tc>
      </w:tr>
      <w:tr w:rsidR="00F05DC7" w14:paraId="7954A7FC" w14:textId="77777777" w:rsidTr="00A3786D">
        <w:tc>
          <w:tcPr>
            <w:tcW w:w="5000" w:type="pct"/>
            <w:tcBorders>
              <w:top w:val="nil"/>
              <w:left w:val="nil"/>
              <w:bottom w:val="single" w:sz="6" w:space="0" w:color="78A22F"/>
              <w:right w:val="nil"/>
            </w:tcBorders>
            <w:shd w:val="clear" w:color="auto" w:fill="auto"/>
          </w:tcPr>
          <w:p w14:paraId="7954A7FB" w14:textId="77777777" w:rsidR="00F05DC7" w:rsidRDefault="00F05DC7" w:rsidP="00A3786D">
            <w:pPr>
              <w:pStyle w:val="Figurespace"/>
            </w:pPr>
          </w:p>
        </w:tc>
      </w:tr>
      <w:tr w:rsidR="00F05DC7" w:rsidRPr="000863A5" w14:paraId="7954A7FE" w14:textId="77777777" w:rsidTr="00A3786D">
        <w:tc>
          <w:tcPr>
            <w:tcW w:w="5000" w:type="pct"/>
            <w:tcBorders>
              <w:top w:val="single" w:sz="6" w:space="0" w:color="78A22F"/>
              <w:left w:val="nil"/>
              <w:bottom w:val="nil"/>
              <w:right w:val="nil"/>
            </w:tcBorders>
          </w:tcPr>
          <w:p w14:paraId="7954A7FD" w14:textId="77777777" w:rsidR="00F05DC7" w:rsidRPr="00626D32" w:rsidRDefault="00F05DC7" w:rsidP="00A3786D">
            <w:pPr>
              <w:pStyle w:val="BoxSpaceBelow"/>
            </w:pPr>
          </w:p>
        </w:tc>
      </w:tr>
    </w:tbl>
    <w:p w14:paraId="7954A7FF" w14:textId="77777777" w:rsidR="00F05DC7" w:rsidRDefault="00F05DC7" w:rsidP="00A3786D">
      <w:pPr>
        <w:pStyle w:val="BodyText"/>
      </w:pPr>
      <w:r>
        <w:t xml:space="preserve">These are the only instances where more than 50 per cent of the additional revenue from an increase in royalty rates would be offset by reduced GST payments. </w:t>
      </w:r>
    </w:p>
    <w:p w14:paraId="7954A800" w14:textId="77777777" w:rsidR="00F05DC7" w:rsidRDefault="00F05DC7" w:rsidP="00A3786D">
      <w:pPr>
        <w:pStyle w:val="BodyText"/>
      </w:pPr>
      <w:r>
        <w:t>This kind of intervention would target policy non-neutrality problems that arise through impacts on average tax rates, where one State has a particularly large influence on the national average (the average</w:t>
      </w:r>
      <w:r>
        <w:noBreakHyphen/>
        <w:t>rate effect discussed in chapter 3). However, it would not offer a systematic way of addressing policy non</w:t>
      </w:r>
      <w:r>
        <w:noBreakHyphen/>
        <w:t>neutrality arising from scope for States to influence the size of their tax bases, either directly (for example, through development decisions) or indirectly (through elasticity effects) (chapter 3). It is not clear to what extent it would apply in the case of a State introducing a new type of tax (where the revenue collected is material at a national level, and thus would be subject to equalisation).</w:t>
      </w:r>
    </w:p>
    <w:p w14:paraId="7954A801" w14:textId="77777777" w:rsidR="00F05DC7" w:rsidRDefault="00F05DC7" w:rsidP="00A3786D">
      <w:pPr>
        <w:pStyle w:val="BodyText"/>
      </w:pPr>
      <w:r>
        <w:t>Discounting future tax rate changes would also involve less of an equity trade-off than discounting entire revenue categories. By closely targeting discounts to specific instances of policy non</w:t>
      </w:r>
      <w:r>
        <w:noBreakHyphen/>
        <w:t xml:space="preserve">neutrality, the impact on equality of State fiscal capacities would be minimised. And by only applying to </w:t>
      </w:r>
      <w:r>
        <w:rPr>
          <w:i/>
        </w:rPr>
        <w:t>future</w:t>
      </w:r>
      <w:r>
        <w:t xml:space="preserve"> policy changes, it would support fairness by allowing States to retain more of the benefits of their policy effort while not unduly benefiting States simply because they have stronger tax bases.</w:t>
      </w:r>
    </w:p>
    <w:p w14:paraId="7954A802" w14:textId="19DEDF82" w:rsidR="00F05DC7" w:rsidRDefault="00F05DC7" w:rsidP="00A3786D">
      <w:pPr>
        <w:pStyle w:val="BodyText"/>
      </w:pPr>
      <w:r>
        <w:t xml:space="preserve">To illustrate how this approach might impact GST payments, the Commission has estimated how it would have impacted GST payments had it, and a mineral-by-mineral assessment methodology, been in place since 2010 (box 7.7, appendix C). The analysis shows that annual GST payments would have increased for Western Australia (by between $224 million and $554 million over the seven year period), and decreased for all other States. </w:t>
      </w:r>
    </w:p>
    <w:p w14:paraId="7954A803"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805" w14:textId="77777777" w:rsidTr="00A3786D">
        <w:trPr>
          <w:tblHeader/>
        </w:trPr>
        <w:tc>
          <w:tcPr>
            <w:tcW w:w="5000" w:type="pct"/>
            <w:tcBorders>
              <w:top w:val="single" w:sz="6" w:space="0" w:color="78A22F"/>
              <w:left w:val="nil"/>
              <w:bottom w:val="nil"/>
              <w:right w:val="nil"/>
            </w:tcBorders>
            <w:shd w:val="clear" w:color="auto" w:fill="F2F2F2"/>
          </w:tcPr>
          <w:p w14:paraId="7954A804" w14:textId="3BA6E2E3" w:rsidR="00F05DC7" w:rsidRDefault="00F05DC7" w:rsidP="00A3786D">
            <w:pPr>
              <w:pStyle w:val="BoxTitle"/>
            </w:pPr>
            <w:r>
              <w:rPr>
                <w:b w:val="0"/>
              </w:rPr>
              <w:t>Box 7.</w:t>
            </w:r>
            <w:r>
              <w:rPr>
                <w:b w:val="0"/>
                <w:noProof/>
              </w:rPr>
              <w:t>7</w:t>
            </w:r>
            <w:r>
              <w:tab/>
              <w:t>How would discounted royalty rate changes have affected Western Australia?</w:t>
            </w:r>
          </w:p>
        </w:tc>
      </w:tr>
      <w:tr w:rsidR="00F05DC7" w14:paraId="7954A86B" w14:textId="77777777" w:rsidTr="00A3786D">
        <w:tc>
          <w:tcPr>
            <w:tcW w:w="5000" w:type="pct"/>
            <w:tcBorders>
              <w:top w:val="nil"/>
              <w:left w:val="nil"/>
              <w:bottom w:val="nil"/>
              <w:right w:val="nil"/>
            </w:tcBorders>
            <w:shd w:val="clear" w:color="auto" w:fill="F2F2F2"/>
          </w:tcPr>
          <w:p w14:paraId="7954A806" w14:textId="19C31805" w:rsidR="00F05DC7" w:rsidRDefault="00F05DC7" w:rsidP="008C54FC">
            <w:pPr>
              <w:pStyle w:val="Box"/>
            </w:pPr>
            <w:r>
              <w:t>The Commission has estimated how the CGC’s proposal for discounting future tax rate changes might have impacted States h</w:t>
            </w:r>
            <w:r w:rsidR="00180A85">
              <w:t>ad it been applied in the past.</w:t>
            </w:r>
            <w:r>
              <w:t xml:space="preserve"> This analysis assumes that the approach had been in place since 2010, when Western Australia started to phase in an increase in its iron ore royalty rate.</w:t>
            </w:r>
          </w:p>
          <w:p w14:paraId="7954A807" w14:textId="77777777" w:rsidR="00F05DC7" w:rsidRDefault="00F05DC7" w:rsidP="00A3786D">
            <w:pPr>
              <w:pStyle w:val="Box"/>
            </w:pPr>
            <w:r>
              <w:t>The figure below shows the own</w:t>
            </w:r>
            <w:r>
              <w:noBreakHyphen/>
              <w:t>source revenue impacts on Western Australia (calculated using annual relativities). For simplicity, this analysis shows the impacts relative to a counterfactual scenario where the current mineral</w:t>
            </w:r>
            <w:r>
              <w:noBreakHyphen/>
              <w:t>by</w:t>
            </w:r>
            <w:r>
              <w:noBreakHyphen/>
              <w:t>mineral mining assessment is used for the entire period (in practice it has only been in place since 2015). It shows that in this hypothetical scenario Western Australia would have retained 50 per cent of the additional revenue, compared to about 12 per cent with no discount. With this mining discount (and a mineral-by-mineral assessment) WA’s relativities would have ranged from 0.30 to 0.60 over the period, compared to a range of 0.22 to 0.58 without.</w:t>
            </w:r>
          </w:p>
          <w:p w14:paraId="7954A808" w14:textId="6AF928C5" w:rsidR="00F05DC7" w:rsidRDefault="00B9210B" w:rsidP="00A3786D">
            <w:pPr>
              <w:pStyle w:val="Box"/>
            </w:pPr>
            <w:r w:rsidRPr="00B9210B">
              <w:rPr>
                <w:noProof/>
              </w:rPr>
              <w:drawing>
                <wp:inline distT="0" distB="0" distL="0" distR="0" wp14:anchorId="6A21BC90" wp14:editId="0AB0CFC3">
                  <wp:extent cx="5363845" cy="2319020"/>
                  <wp:effectExtent l="0" t="0" r="8255" b="5080"/>
                  <wp:docPr id="15" name="Picture 15" descr="This figure shows that, with a discount, Western Australia would have retained 50 per cent of the additional revenue from the increase in iron ore royalty rates over the period 2010 to 2017, compared to about 12 per cent with no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63845" cy="2319020"/>
                          </a:xfrm>
                          <a:prstGeom prst="rect">
                            <a:avLst/>
                          </a:prstGeom>
                          <a:noFill/>
                          <a:ln>
                            <a:noFill/>
                          </a:ln>
                        </pic:spPr>
                      </pic:pic>
                    </a:graphicData>
                  </a:graphic>
                </wp:inline>
              </w:drawing>
            </w:r>
            <w:r w:rsidR="00F05DC7" w:rsidRPr="000229AE" w:rsidDel="003A6F33">
              <w:t xml:space="preserve"> </w:t>
            </w:r>
          </w:p>
          <w:p w14:paraId="7954A809" w14:textId="77777777" w:rsidR="00F05DC7" w:rsidRDefault="00F05DC7" w:rsidP="008C54FC">
            <w:pPr>
              <w:pStyle w:val="Box"/>
              <w:spacing w:after="120"/>
            </w:pPr>
            <w:r>
              <w:t>The table below shows what the implications for all States GST payments would have been in 2018</w:t>
            </w:r>
            <w:r>
              <w:noBreakHyphen/>
              <w:t>19 (calculated as the average of annual relativities over the three financial years up to 2016</w:t>
            </w:r>
            <w:r>
              <w:noBreakHyphen/>
              <w:t>17). WA’s GST payments would have been $519 million higher, whereas GST payments for other States would each be reduced by between $4 million (Northern Territory) and $190 million (NSW).</w:t>
            </w:r>
          </w:p>
          <w:tbl>
            <w:tblPr>
              <w:tblW w:w="5000" w:type="pct"/>
              <w:tblLook w:val="04A0" w:firstRow="1" w:lastRow="0" w:firstColumn="1" w:lastColumn="0" w:noHBand="0" w:noVBand="1"/>
            </w:tblPr>
            <w:tblGrid>
              <w:gridCol w:w="2437"/>
              <w:gridCol w:w="758"/>
              <w:gridCol w:w="758"/>
              <w:gridCol w:w="759"/>
              <w:gridCol w:w="759"/>
              <w:gridCol w:w="759"/>
              <w:gridCol w:w="759"/>
              <w:gridCol w:w="759"/>
              <w:gridCol w:w="757"/>
            </w:tblGrid>
            <w:tr w:rsidR="00F05DC7" w14:paraId="7954A813" w14:textId="77777777" w:rsidTr="00A3786D">
              <w:trPr>
                <w:trHeight w:val="283"/>
              </w:trPr>
              <w:tc>
                <w:tcPr>
                  <w:tcW w:w="143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80A" w14:textId="77777777" w:rsidR="00F05DC7" w:rsidRPr="00C13B66" w:rsidRDefault="00F05DC7" w:rsidP="00A3786D">
                  <w:pPr>
                    <w:pStyle w:val="TableColumnHeading"/>
                    <w:rPr>
                      <w:rFonts w:cs="Arial"/>
                      <w:szCs w:val="18"/>
                    </w:rPr>
                  </w:pPr>
                  <w:r w:rsidRPr="00C13B66">
                    <w:rPr>
                      <w:rFonts w:cs="Arial"/>
                      <w:szCs w:val="18"/>
                    </w:rPr>
                    <w:t xml:space="preserve"> </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80B" w14:textId="77777777" w:rsidR="00F05DC7" w:rsidRPr="00C13B66" w:rsidRDefault="00F05DC7" w:rsidP="00A3786D">
                  <w:pPr>
                    <w:pStyle w:val="TableColumnHeading"/>
                    <w:ind w:right="57"/>
                    <w:rPr>
                      <w:rFonts w:cs="Arial"/>
                      <w:szCs w:val="18"/>
                    </w:rPr>
                  </w:pPr>
                  <w:r w:rsidRPr="00C13B66">
                    <w:rPr>
                      <w:rFonts w:cs="Arial"/>
                      <w:szCs w:val="18"/>
                    </w:rPr>
                    <w:t>NSW</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80C" w14:textId="77777777" w:rsidR="00F05DC7" w:rsidRPr="00C13B66" w:rsidRDefault="00F05DC7" w:rsidP="00A3786D">
                  <w:pPr>
                    <w:pStyle w:val="TableColumnHeading"/>
                    <w:ind w:right="57"/>
                    <w:rPr>
                      <w:rFonts w:cs="Arial"/>
                      <w:szCs w:val="18"/>
                    </w:rPr>
                  </w:pPr>
                  <w:r w:rsidRPr="00C13B66">
                    <w:rPr>
                      <w:rFonts w:cs="Arial"/>
                      <w:szCs w:val="18"/>
                    </w:rPr>
                    <w:t>Vic</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80D" w14:textId="77777777" w:rsidR="00F05DC7" w:rsidRPr="00C13B66" w:rsidRDefault="00F05DC7" w:rsidP="00A3786D">
                  <w:pPr>
                    <w:pStyle w:val="TableColumnHeading"/>
                    <w:ind w:right="57"/>
                    <w:rPr>
                      <w:rFonts w:cs="Arial"/>
                      <w:szCs w:val="18"/>
                    </w:rPr>
                  </w:pPr>
                  <w:r w:rsidRPr="00C13B66">
                    <w:rPr>
                      <w:rFonts w:cs="Arial"/>
                      <w:szCs w:val="18"/>
                    </w:rPr>
                    <w:t>Qld</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80E" w14:textId="77777777" w:rsidR="00F05DC7" w:rsidRPr="00C13B66" w:rsidRDefault="00F05DC7" w:rsidP="00A3786D">
                  <w:pPr>
                    <w:pStyle w:val="TableColumnHeading"/>
                    <w:ind w:right="57"/>
                    <w:rPr>
                      <w:rFonts w:cs="Arial"/>
                      <w:szCs w:val="18"/>
                    </w:rPr>
                  </w:pPr>
                  <w:r w:rsidRPr="00C13B66">
                    <w:rPr>
                      <w:rFonts w:cs="Arial"/>
                      <w:szCs w:val="18"/>
                    </w:rPr>
                    <w:t>WA</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80F" w14:textId="77777777" w:rsidR="00F05DC7" w:rsidRPr="00C13B66" w:rsidRDefault="00F05DC7" w:rsidP="00A3786D">
                  <w:pPr>
                    <w:pStyle w:val="TableColumnHeading"/>
                    <w:ind w:right="57"/>
                    <w:rPr>
                      <w:rFonts w:cs="Arial"/>
                      <w:szCs w:val="18"/>
                    </w:rPr>
                  </w:pPr>
                  <w:r w:rsidRPr="00C13B66">
                    <w:rPr>
                      <w:rFonts w:cs="Arial"/>
                      <w:szCs w:val="18"/>
                    </w:rPr>
                    <w:t>SA</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810" w14:textId="77777777" w:rsidR="00F05DC7" w:rsidRPr="00C13B66" w:rsidRDefault="00F05DC7" w:rsidP="00A3786D">
                  <w:pPr>
                    <w:pStyle w:val="TableColumnHeading"/>
                    <w:ind w:right="57"/>
                    <w:rPr>
                      <w:rFonts w:cs="Arial"/>
                      <w:szCs w:val="18"/>
                    </w:rPr>
                  </w:pPr>
                  <w:r w:rsidRPr="00C13B66">
                    <w:rPr>
                      <w:rFonts w:cs="Arial"/>
                      <w:szCs w:val="18"/>
                    </w:rPr>
                    <w:t>Tas</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811" w14:textId="77777777" w:rsidR="00F05DC7" w:rsidRPr="00C13B66" w:rsidRDefault="00F05DC7" w:rsidP="00A3786D">
                  <w:pPr>
                    <w:pStyle w:val="TableColumnHeading"/>
                    <w:ind w:right="57"/>
                    <w:rPr>
                      <w:rFonts w:cs="Arial"/>
                      <w:szCs w:val="18"/>
                    </w:rPr>
                  </w:pPr>
                  <w:r w:rsidRPr="00C13B66">
                    <w:rPr>
                      <w:rFonts w:cs="Arial"/>
                      <w:szCs w:val="18"/>
                    </w:rPr>
                    <w:t>ACT</w:t>
                  </w:r>
                </w:p>
              </w:tc>
              <w:tc>
                <w:tcPr>
                  <w:tcW w:w="445"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812" w14:textId="77777777" w:rsidR="00F05DC7" w:rsidRPr="00C13B66" w:rsidRDefault="00F05DC7" w:rsidP="00A3786D">
                  <w:pPr>
                    <w:pStyle w:val="TableColumnHeading"/>
                    <w:ind w:right="57"/>
                    <w:rPr>
                      <w:rFonts w:cs="Arial"/>
                      <w:szCs w:val="18"/>
                    </w:rPr>
                  </w:pPr>
                  <w:r w:rsidRPr="00C13B66">
                    <w:rPr>
                      <w:rFonts w:cs="Arial"/>
                      <w:szCs w:val="18"/>
                    </w:rPr>
                    <w:t>NT</w:t>
                  </w:r>
                </w:p>
              </w:tc>
            </w:tr>
            <w:tr w:rsidR="00F05DC7" w14:paraId="7954A81D" w14:textId="77777777" w:rsidTr="00A3786D">
              <w:trPr>
                <w:trHeight w:val="283"/>
              </w:trPr>
              <w:tc>
                <w:tcPr>
                  <w:tcW w:w="1433" w:type="pct"/>
                  <w:tcBorders>
                    <w:top w:val="nil"/>
                    <w:left w:val="nil"/>
                    <w:bottom w:val="nil"/>
                    <w:right w:val="nil"/>
                  </w:tcBorders>
                  <w:shd w:val="clear" w:color="auto" w:fill="auto"/>
                  <w:tcMar>
                    <w:left w:w="0" w:type="dxa"/>
                    <w:right w:w="0" w:type="dxa"/>
                  </w:tcMar>
                  <w:vAlign w:val="center"/>
                  <w:hideMark/>
                </w:tcPr>
                <w:p w14:paraId="7954A814" w14:textId="77777777" w:rsidR="00F05DC7" w:rsidRPr="00C13B66" w:rsidRDefault="00F05DC7" w:rsidP="00A3786D">
                  <w:pPr>
                    <w:keepNext/>
                    <w:keepLines/>
                    <w:spacing w:before="80"/>
                    <w:rPr>
                      <w:rFonts w:ascii="Arial" w:hAnsi="Arial" w:cs="Arial"/>
                      <w:b/>
                      <w:bCs/>
                      <w:color w:val="000000"/>
                      <w:sz w:val="18"/>
                      <w:szCs w:val="18"/>
                    </w:rPr>
                  </w:pPr>
                  <w:r w:rsidRPr="00C13B66">
                    <w:rPr>
                      <w:rFonts w:ascii="Arial" w:hAnsi="Arial" w:cs="Arial"/>
                      <w:b/>
                      <w:bCs/>
                      <w:color w:val="000000"/>
                      <w:sz w:val="18"/>
                      <w:szCs w:val="18"/>
                    </w:rPr>
                    <w:t xml:space="preserve">Relativities </w:t>
                  </w:r>
                </w:p>
              </w:tc>
              <w:tc>
                <w:tcPr>
                  <w:tcW w:w="446" w:type="pct"/>
                  <w:tcBorders>
                    <w:top w:val="nil"/>
                    <w:left w:val="nil"/>
                    <w:bottom w:val="nil"/>
                    <w:right w:val="nil"/>
                  </w:tcBorders>
                  <w:shd w:val="clear" w:color="auto" w:fill="auto"/>
                  <w:tcMar>
                    <w:left w:w="0" w:type="dxa"/>
                    <w:right w:w="0" w:type="dxa"/>
                  </w:tcMar>
                  <w:vAlign w:val="bottom"/>
                </w:tcPr>
                <w:p w14:paraId="7954A815" w14:textId="77777777" w:rsidR="00F05DC7" w:rsidRPr="00C13B66" w:rsidRDefault="00F05DC7" w:rsidP="00A3786D">
                  <w:pPr>
                    <w:keepNext/>
                    <w:keepLines/>
                    <w:spacing w:before="80"/>
                    <w:ind w:right="57"/>
                    <w:jc w:val="right"/>
                    <w:rPr>
                      <w:rFonts w:ascii="Arial" w:hAnsi="Arial" w:cs="Arial"/>
                      <w:b/>
                      <w:bCs/>
                      <w:color w:val="000000"/>
                      <w:sz w:val="18"/>
                      <w:szCs w:val="18"/>
                    </w:rPr>
                  </w:pPr>
                </w:p>
              </w:tc>
              <w:tc>
                <w:tcPr>
                  <w:tcW w:w="446" w:type="pct"/>
                  <w:tcBorders>
                    <w:top w:val="nil"/>
                    <w:left w:val="nil"/>
                    <w:bottom w:val="nil"/>
                    <w:right w:val="nil"/>
                  </w:tcBorders>
                  <w:shd w:val="clear" w:color="auto" w:fill="auto"/>
                  <w:tcMar>
                    <w:left w:w="0" w:type="dxa"/>
                    <w:right w:w="0" w:type="dxa"/>
                  </w:tcMar>
                  <w:vAlign w:val="bottom"/>
                </w:tcPr>
                <w:p w14:paraId="7954A816"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bottom"/>
                </w:tcPr>
                <w:p w14:paraId="7954A817"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bottom"/>
                </w:tcPr>
                <w:p w14:paraId="7954A818"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bottom"/>
                </w:tcPr>
                <w:p w14:paraId="7954A819"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bottom"/>
                </w:tcPr>
                <w:p w14:paraId="7954A81A"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bottom"/>
                </w:tcPr>
                <w:p w14:paraId="7954A81B" w14:textId="77777777" w:rsidR="00F05DC7" w:rsidRPr="00C13B66" w:rsidRDefault="00F05DC7" w:rsidP="00A3786D">
                  <w:pPr>
                    <w:keepNext/>
                    <w:keepLines/>
                    <w:spacing w:before="80"/>
                    <w:ind w:right="57"/>
                    <w:jc w:val="right"/>
                    <w:rPr>
                      <w:rFonts w:ascii="Arial" w:hAnsi="Arial" w:cs="Arial"/>
                      <w:sz w:val="18"/>
                      <w:szCs w:val="18"/>
                    </w:rPr>
                  </w:pPr>
                </w:p>
              </w:tc>
              <w:tc>
                <w:tcPr>
                  <w:tcW w:w="445" w:type="pct"/>
                  <w:tcBorders>
                    <w:top w:val="nil"/>
                    <w:left w:val="nil"/>
                    <w:bottom w:val="nil"/>
                    <w:right w:val="nil"/>
                  </w:tcBorders>
                  <w:shd w:val="clear" w:color="auto" w:fill="auto"/>
                  <w:tcMar>
                    <w:left w:w="0" w:type="dxa"/>
                    <w:right w:w="0" w:type="dxa"/>
                  </w:tcMar>
                  <w:vAlign w:val="bottom"/>
                </w:tcPr>
                <w:p w14:paraId="7954A81C" w14:textId="77777777" w:rsidR="00F05DC7" w:rsidRPr="00C13B66" w:rsidRDefault="00F05DC7" w:rsidP="00A3786D">
                  <w:pPr>
                    <w:keepNext/>
                    <w:keepLines/>
                    <w:spacing w:before="80"/>
                    <w:ind w:right="57"/>
                    <w:jc w:val="right"/>
                    <w:rPr>
                      <w:rFonts w:ascii="Arial" w:hAnsi="Arial" w:cs="Arial"/>
                      <w:sz w:val="18"/>
                      <w:szCs w:val="18"/>
                    </w:rPr>
                  </w:pPr>
                </w:p>
              </w:tc>
            </w:tr>
            <w:tr w:rsidR="00F05DC7" w14:paraId="7954A827" w14:textId="77777777" w:rsidTr="00A3786D">
              <w:trPr>
                <w:trHeight w:val="283"/>
              </w:trPr>
              <w:tc>
                <w:tcPr>
                  <w:tcW w:w="1433" w:type="pct"/>
                  <w:tcBorders>
                    <w:top w:val="nil"/>
                    <w:left w:val="nil"/>
                    <w:bottom w:val="nil"/>
                    <w:right w:val="nil"/>
                  </w:tcBorders>
                  <w:shd w:val="clear" w:color="auto" w:fill="auto"/>
                  <w:tcMar>
                    <w:left w:w="0" w:type="dxa"/>
                    <w:right w:w="0" w:type="dxa"/>
                  </w:tcMar>
                  <w:vAlign w:val="center"/>
                  <w:hideMark/>
                </w:tcPr>
                <w:p w14:paraId="7954A81E" w14:textId="77777777" w:rsidR="00F05DC7" w:rsidRPr="00C13B66" w:rsidRDefault="00F05DC7" w:rsidP="00A3786D">
                  <w:pPr>
                    <w:ind w:left="113"/>
                    <w:rPr>
                      <w:rFonts w:ascii="Arial" w:hAnsi="Arial" w:cs="Arial"/>
                      <w:color w:val="000000"/>
                      <w:sz w:val="18"/>
                      <w:szCs w:val="18"/>
                    </w:rPr>
                  </w:pPr>
                  <w:r w:rsidRPr="00C13B66">
                    <w:rPr>
                      <w:rFonts w:ascii="Arial" w:hAnsi="Arial" w:cs="Arial"/>
                      <w:color w:val="000000"/>
                      <w:sz w:val="18"/>
                      <w:szCs w:val="18"/>
                    </w:rPr>
                    <w:t>Current approach</w:t>
                  </w:r>
                </w:p>
              </w:tc>
              <w:tc>
                <w:tcPr>
                  <w:tcW w:w="446" w:type="pct"/>
                  <w:tcBorders>
                    <w:top w:val="nil"/>
                    <w:left w:val="nil"/>
                    <w:bottom w:val="nil"/>
                    <w:right w:val="nil"/>
                  </w:tcBorders>
                  <w:shd w:val="clear" w:color="auto" w:fill="auto"/>
                  <w:tcMar>
                    <w:left w:w="0" w:type="dxa"/>
                    <w:right w:w="0" w:type="dxa"/>
                  </w:tcMar>
                  <w:vAlign w:val="bottom"/>
                </w:tcPr>
                <w:p w14:paraId="7954A81F"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0.86</w:t>
                  </w:r>
                </w:p>
              </w:tc>
              <w:tc>
                <w:tcPr>
                  <w:tcW w:w="446" w:type="pct"/>
                  <w:tcBorders>
                    <w:top w:val="nil"/>
                    <w:left w:val="nil"/>
                    <w:bottom w:val="nil"/>
                    <w:right w:val="nil"/>
                  </w:tcBorders>
                  <w:shd w:val="clear" w:color="auto" w:fill="auto"/>
                  <w:tcMar>
                    <w:left w:w="0" w:type="dxa"/>
                    <w:right w:w="0" w:type="dxa"/>
                  </w:tcMar>
                  <w:vAlign w:val="bottom"/>
                </w:tcPr>
                <w:p w14:paraId="7954A820"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0.99</w:t>
                  </w:r>
                </w:p>
              </w:tc>
              <w:tc>
                <w:tcPr>
                  <w:tcW w:w="446" w:type="pct"/>
                  <w:tcBorders>
                    <w:top w:val="nil"/>
                    <w:left w:val="nil"/>
                    <w:bottom w:val="nil"/>
                    <w:right w:val="nil"/>
                  </w:tcBorders>
                  <w:shd w:val="clear" w:color="auto" w:fill="auto"/>
                  <w:tcMar>
                    <w:left w:w="0" w:type="dxa"/>
                    <w:right w:w="0" w:type="dxa"/>
                  </w:tcMar>
                  <w:vAlign w:val="bottom"/>
                </w:tcPr>
                <w:p w14:paraId="7954A821"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1.10</w:t>
                  </w:r>
                </w:p>
              </w:tc>
              <w:tc>
                <w:tcPr>
                  <w:tcW w:w="446" w:type="pct"/>
                  <w:tcBorders>
                    <w:top w:val="nil"/>
                    <w:left w:val="nil"/>
                    <w:bottom w:val="nil"/>
                    <w:right w:val="nil"/>
                  </w:tcBorders>
                  <w:shd w:val="clear" w:color="auto" w:fill="auto"/>
                  <w:tcMar>
                    <w:left w:w="0" w:type="dxa"/>
                    <w:right w:w="0" w:type="dxa"/>
                  </w:tcMar>
                  <w:vAlign w:val="bottom"/>
                </w:tcPr>
                <w:p w14:paraId="7954A822"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0.47</w:t>
                  </w:r>
                </w:p>
              </w:tc>
              <w:tc>
                <w:tcPr>
                  <w:tcW w:w="446" w:type="pct"/>
                  <w:tcBorders>
                    <w:top w:val="nil"/>
                    <w:left w:val="nil"/>
                    <w:bottom w:val="nil"/>
                    <w:right w:val="nil"/>
                  </w:tcBorders>
                  <w:shd w:val="clear" w:color="auto" w:fill="auto"/>
                  <w:tcMar>
                    <w:left w:w="0" w:type="dxa"/>
                    <w:right w:w="0" w:type="dxa"/>
                  </w:tcMar>
                  <w:vAlign w:val="bottom"/>
                </w:tcPr>
                <w:p w14:paraId="7954A823"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1.48</w:t>
                  </w:r>
                </w:p>
              </w:tc>
              <w:tc>
                <w:tcPr>
                  <w:tcW w:w="446" w:type="pct"/>
                  <w:tcBorders>
                    <w:top w:val="nil"/>
                    <w:left w:val="nil"/>
                    <w:bottom w:val="nil"/>
                    <w:right w:val="nil"/>
                  </w:tcBorders>
                  <w:shd w:val="clear" w:color="auto" w:fill="auto"/>
                  <w:tcMar>
                    <w:left w:w="0" w:type="dxa"/>
                    <w:right w:w="0" w:type="dxa"/>
                  </w:tcMar>
                  <w:vAlign w:val="bottom"/>
                </w:tcPr>
                <w:p w14:paraId="7954A824"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1.77</w:t>
                  </w:r>
                </w:p>
              </w:tc>
              <w:tc>
                <w:tcPr>
                  <w:tcW w:w="446" w:type="pct"/>
                  <w:tcBorders>
                    <w:top w:val="nil"/>
                    <w:left w:val="nil"/>
                    <w:bottom w:val="nil"/>
                    <w:right w:val="nil"/>
                  </w:tcBorders>
                  <w:shd w:val="clear" w:color="auto" w:fill="auto"/>
                  <w:tcMar>
                    <w:left w:w="0" w:type="dxa"/>
                    <w:right w:w="0" w:type="dxa"/>
                  </w:tcMar>
                  <w:vAlign w:val="bottom"/>
                </w:tcPr>
                <w:p w14:paraId="7954A825"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1.18</w:t>
                  </w:r>
                </w:p>
              </w:tc>
              <w:tc>
                <w:tcPr>
                  <w:tcW w:w="445" w:type="pct"/>
                  <w:tcBorders>
                    <w:top w:val="nil"/>
                    <w:left w:val="nil"/>
                    <w:bottom w:val="nil"/>
                    <w:right w:val="nil"/>
                  </w:tcBorders>
                  <w:shd w:val="clear" w:color="auto" w:fill="auto"/>
                  <w:tcMar>
                    <w:left w:w="0" w:type="dxa"/>
                    <w:right w:w="0" w:type="dxa"/>
                  </w:tcMar>
                  <w:vAlign w:val="bottom"/>
                </w:tcPr>
                <w:p w14:paraId="7954A826"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4.26</w:t>
                  </w:r>
                </w:p>
              </w:tc>
            </w:tr>
            <w:tr w:rsidR="00F05DC7" w14:paraId="7954A831" w14:textId="77777777" w:rsidTr="00A3786D">
              <w:trPr>
                <w:trHeight w:val="283"/>
              </w:trPr>
              <w:tc>
                <w:tcPr>
                  <w:tcW w:w="1433" w:type="pct"/>
                  <w:tcBorders>
                    <w:top w:val="nil"/>
                    <w:left w:val="nil"/>
                    <w:bottom w:val="nil"/>
                    <w:right w:val="nil"/>
                  </w:tcBorders>
                  <w:shd w:val="clear" w:color="auto" w:fill="auto"/>
                  <w:tcMar>
                    <w:left w:w="0" w:type="dxa"/>
                    <w:right w:w="0" w:type="dxa"/>
                  </w:tcMar>
                  <w:vAlign w:val="center"/>
                  <w:hideMark/>
                </w:tcPr>
                <w:p w14:paraId="7954A828" w14:textId="77777777" w:rsidR="00F05DC7" w:rsidRPr="00C13B66" w:rsidRDefault="00F05DC7" w:rsidP="00A3786D">
                  <w:pPr>
                    <w:ind w:left="113"/>
                    <w:rPr>
                      <w:rFonts w:ascii="Arial" w:hAnsi="Arial" w:cs="Arial"/>
                      <w:color w:val="000000"/>
                      <w:sz w:val="18"/>
                      <w:szCs w:val="18"/>
                    </w:rPr>
                  </w:pPr>
                  <w:r w:rsidRPr="00C13B66">
                    <w:rPr>
                      <w:rFonts w:ascii="Arial" w:hAnsi="Arial" w:cs="Arial"/>
                      <w:color w:val="000000"/>
                      <w:sz w:val="18"/>
                      <w:szCs w:val="18"/>
                    </w:rPr>
                    <w:t>50 per cent discount</w:t>
                  </w:r>
                </w:p>
              </w:tc>
              <w:tc>
                <w:tcPr>
                  <w:tcW w:w="446" w:type="pct"/>
                  <w:tcBorders>
                    <w:top w:val="nil"/>
                    <w:left w:val="nil"/>
                    <w:bottom w:val="nil"/>
                    <w:right w:val="nil"/>
                  </w:tcBorders>
                  <w:shd w:val="clear" w:color="auto" w:fill="auto"/>
                  <w:tcMar>
                    <w:left w:w="0" w:type="dxa"/>
                    <w:right w:w="0" w:type="dxa"/>
                  </w:tcMar>
                  <w:vAlign w:val="bottom"/>
                </w:tcPr>
                <w:p w14:paraId="7954A829"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0.85</w:t>
                  </w:r>
                </w:p>
              </w:tc>
              <w:tc>
                <w:tcPr>
                  <w:tcW w:w="446" w:type="pct"/>
                  <w:tcBorders>
                    <w:top w:val="nil"/>
                    <w:left w:val="nil"/>
                    <w:bottom w:val="nil"/>
                    <w:right w:val="nil"/>
                  </w:tcBorders>
                  <w:shd w:val="clear" w:color="auto" w:fill="auto"/>
                  <w:tcMar>
                    <w:left w:w="0" w:type="dxa"/>
                    <w:right w:w="0" w:type="dxa"/>
                  </w:tcMar>
                  <w:vAlign w:val="bottom"/>
                </w:tcPr>
                <w:p w14:paraId="7954A82A"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0.98</w:t>
                  </w:r>
                </w:p>
              </w:tc>
              <w:tc>
                <w:tcPr>
                  <w:tcW w:w="446" w:type="pct"/>
                  <w:tcBorders>
                    <w:top w:val="nil"/>
                    <w:left w:val="nil"/>
                    <w:bottom w:val="nil"/>
                    <w:right w:val="nil"/>
                  </w:tcBorders>
                  <w:shd w:val="clear" w:color="auto" w:fill="auto"/>
                  <w:tcMar>
                    <w:left w:w="0" w:type="dxa"/>
                    <w:right w:w="0" w:type="dxa"/>
                  </w:tcMar>
                  <w:vAlign w:val="bottom"/>
                </w:tcPr>
                <w:p w14:paraId="7954A82B"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1.09</w:t>
                  </w:r>
                </w:p>
              </w:tc>
              <w:tc>
                <w:tcPr>
                  <w:tcW w:w="446" w:type="pct"/>
                  <w:tcBorders>
                    <w:top w:val="nil"/>
                    <w:left w:val="nil"/>
                    <w:bottom w:val="nil"/>
                    <w:right w:val="nil"/>
                  </w:tcBorders>
                  <w:shd w:val="clear" w:color="auto" w:fill="auto"/>
                  <w:tcMar>
                    <w:left w:w="0" w:type="dxa"/>
                    <w:right w:w="0" w:type="dxa"/>
                  </w:tcMar>
                  <w:vAlign w:val="bottom"/>
                </w:tcPr>
                <w:p w14:paraId="7954A82C"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0.55</w:t>
                  </w:r>
                </w:p>
              </w:tc>
              <w:tc>
                <w:tcPr>
                  <w:tcW w:w="446" w:type="pct"/>
                  <w:tcBorders>
                    <w:top w:val="nil"/>
                    <w:left w:val="nil"/>
                    <w:bottom w:val="nil"/>
                    <w:right w:val="nil"/>
                  </w:tcBorders>
                  <w:shd w:val="clear" w:color="auto" w:fill="auto"/>
                  <w:tcMar>
                    <w:left w:w="0" w:type="dxa"/>
                    <w:right w:w="0" w:type="dxa"/>
                  </w:tcMar>
                  <w:vAlign w:val="bottom"/>
                </w:tcPr>
                <w:p w14:paraId="7954A82D"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1.47</w:t>
                  </w:r>
                </w:p>
              </w:tc>
              <w:tc>
                <w:tcPr>
                  <w:tcW w:w="446" w:type="pct"/>
                  <w:tcBorders>
                    <w:top w:val="nil"/>
                    <w:left w:val="nil"/>
                    <w:bottom w:val="nil"/>
                    <w:right w:val="nil"/>
                  </w:tcBorders>
                  <w:shd w:val="clear" w:color="auto" w:fill="auto"/>
                  <w:tcMar>
                    <w:left w:w="0" w:type="dxa"/>
                    <w:right w:w="0" w:type="dxa"/>
                  </w:tcMar>
                  <w:vAlign w:val="bottom"/>
                </w:tcPr>
                <w:p w14:paraId="7954A82E"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1.76</w:t>
                  </w:r>
                </w:p>
              </w:tc>
              <w:tc>
                <w:tcPr>
                  <w:tcW w:w="446" w:type="pct"/>
                  <w:tcBorders>
                    <w:top w:val="nil"/>
                    <w:left w:val="nil"/>
                    <w:bottom w:val="nil"/>
                    <w:right w:val="nil"/>
                  </w:tcBorders>
                  <w:shd w:val="clear" w:color="auto" w:fill="auto"/>
                  <w:tcMar>
                    <w:left w:w="0" w:type="dxa"/>
                    <w:right w:w="0" w:type="dxa"/>
                  </w:tcMar>
                  <w:vAlign w:val="bottom"/>
                </w:tcPr>
                <w:p w14:paraId="7954A82F"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1.17</w:t>
                  </w:r>
                </w:p>
              </w:tc>
              <w:tc>
                <w:tcPr>
                  <w:tcW w:w="445" w:type="pct"/>
                  <w:tcBorders>
                    <w:top w:val="nil"/>
                    <w:left w:val="nil"/>
                    <w:bottom w:val="nil"/>
                    <w:right w:val="nil"/>
                  </w:tcBorders>
                  <w:shd w:val="clear" w:color="auto" w:fill="auto"/>
                  <w:tcMar>
                    <w:left w:w="0" w:type="dxa"/>
                    <w:right w:w="0" w:type="dxa"/>
                  </w:tcMar>
                  <w:vAlign w:val="bottom"/>
                </w:tcPr>
                <w:p w14:paraId="7954A830"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4.25</w:t>
                  </w:r>
                </w:p>
              </w:tc>
            </w:tr>
            <w:tr w:rsidR="00F05DC7" w14:paraId="7954A83B" w14:textId="77777777" w:rsidTr="00A3786D">
              <w:trPr>
                <w:trHeight w:val="283"/>
              </w:trPr>
              <w:tc>
                <w:tcPr>
                  <w:tcW w:w="1433" w:type="pct"/>
                  <w:tcBorders>
                    <w:top w:val="nil"/>
                    <w:left w:val="nil"/>
                    <w:bottom w:val="nil"/>
                    <w:right w:val="nil"/>
                  </w:tcBorders>
                  <w:shd w:val="clear" w:color="auto" w:fill="auto"/>
                  <w:tcMar>
                    <w:left w:w="0" w:type="dxa"/>
                    <w:right w:w="0" w:type="dxa"/>
                  </w:tcMar>
                  <w:vAlign w:val="center"/>
                  <w:hideMark/>
                </w:tcPr>
                <w:p w14:paraId="7954A832" w14:textId="77777777" w:rsidR="00F05DC7" w:rsidRPr="00C13B66" w:rsidRDefault="00F05DC7" w:rsidP="00A3786D">
                  <w:pPr>
                    <w:keepNext/>
                    <w:keepLines/>
                    <w:spacing w:before="80"/>
                    <w:rPr>
                      <w:rFonts w:ascii="Arial" w:hAnsi="Arial" w:cs="Arial"/>
                      <w:b/>
                      <w:bCs/>
                      <w:color w:val="000000"/>
                      <w:sz w:val="18"/>
                      <w:szCs w:val="18"/>
                    </w:rPr>
                  </w:pPr>
                  <w:r w:rsidRPr="00C13B66">
                    <w:rPr>
                      <w:rFonts w:ascii="Arial" w:hAnsi="Arial" w:cs="Arial"/>
                      <w:b/>
                      <w:bCs/>
                      <w:color w:val="000000"/>
                      <w:sz w:val="18"/>
                      <w:szCs w:val="18"/>
                    </w:rPr>
                    <w:t>Change in GST payments</w:t>
                  </w:r>
                </w:p>
              </w:tc>
              <w:tc>
                <w:tcPr>
                  <w:tcW w:w="446" w:type="pct"/>
                  <w:tcBorders>
                    <w:top w:val="nil"/>
                    <w:left w:val="nil"/>
                    <w:bottom w:val="nil"/>
                    <w:right w:val="nil"/>
                  </w:tcBorders>
                  <w:shd w:val="clear" w:color="auto" w:fill="auto"/>
                  <w:tcMar>
                    <w:left w:w="0" w:type="dxa"/>
                    <w:right w:w="0" w:type="dxa"/>
                  </w:tcMar>
                  <w:vAlign w:val="center"/>
                  <w:hideMark/>
                </w:tcPr>
                <w:p w14:paraId="7954A833" w14:textId="77777777" w:rsidR="00F05DC7" w:rsidRPr="00C13B66" w:rsidRDefault="00F05DC7" w:rsidP="00A3786D">
                  <w:pPr>
                    <w:keepNext/>
                    <w:keepLines/>
                    <w:spacing w:before="80"/>
                    <w:ind w:right="57"/>
                    <w:jc w:val="right"/>
                    <w:rPr>
                      <w:rFonts w:ascii="Arial" w:hAnsi="Arial" w:cs="Arial"/>
                      <w:b/>
                      <w:bCs/>
                      <w:color w:val="000000"/>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A834"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A835"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A836"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A837"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A838"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A839" w14:textId="77777777" w:rsidR="00F05DC7" w:rsidRPr="00C13B66" w:rsidRDefault="00F05DC7" w:rsidP="00A3786D">
                  <w:pPr>
                    <w:keepNext/>
                    <w:keepLines/>
                    <w:spacing w:before="80"/>
                    <w:ind w:right="57"/>
                    <w:jc w:val="right"/>
                    <w:rPr>
                      <w:rFonts w:ascii="Arial" w:hAnsi="Arial" w:cs="Arial"/>
                      <w:sz w:val="18"/>
                      <w:szCs w:val="18"/>
                    </w:rPr>
                  </w:pPr>
                </w:p>
              </w:tc>
              <w:tc>
                <w:tcPr>
                  <w:tcW w:w="445" w:type="pct"/>
                  <w:tcBorders>
                    <w:top w:val="nil"/>
                    <w:left w:val="nil"/>
                    <w:bottom w:val="nil"/>
                    <w:right w:val="nil"/>
                  </w:tcBorders>
                  <w:shd w:val="clear" w:color="auto" w:fill="auto"/>
                  <w:tcMar>
                    <w:left w:w="0" w:type="dxa"/>
                    <w:right w:w="0" w:type="dxa"/>
                  </w:tcMar>
                  <w:vAlign w:val="center"/>
                  <w:hideMark/>
                </w:tcPr>
                <w:p w14:paraId="7954A83A" w14:textId="77777777" w:rsidR="00F05DC7" w:rsidRPr="00C13B66" w:rsidRDefault="00F05DC7" w:rsidP="00A3786D">
                  <w:pPr>
                    <w:keepNext/>
                    <w:keepLines/>
                    <w:spacing w:before="80"/>
                    <w:ind w:right="57"/>
                    <w:jc w:val="right"/>
                    <w:rPr>
                      <w:rFonts w:ascii="Arial" w:hAnsi="Arial" w:cs="Arial"/>
                      <w:sz w:val="18"/>
                      <w:szCs w:val="18"/>
                    </w:rPr>
                  </w:pPr>
                </w:p>
              </w:tc>
            </w:tr>
            <w:tr w:rsidR="00F05DC7" w14:paraId="7954A845" w14:textId="77777777" w:rsidTr="00A3786D">
              <w:trPr>
                <w:trHeight w:val="283"/>
              </w:trPr>
              <w:tc>
                <w:tcPr>
                  <w:tcW w:w="1433" w:type="pct"/>
                  <w:tcBorders>
                    <w:top w:val="nil"/>
                    <w:left w:val="nil"/>
                    <w:bottom w:val="nil"/>
                    <w:right w:val="nil"/>
                  </w:tcBorders>
                  <w:shd w:val="clear" w:color="auto" w:fill="auto"/>
                  <w:tcMar>
                    <w:left w:w="0" w:type="dxa"/>
                    <w:right w:w="0" w:type="dxa"/>
                  </w:tcMar>
                  <w:vAlign w:val="center"/>
                  <w:hideMark/>
                </w:tcPr>
                <w:p w14:paraId="7954A83C" w14:textId="77777777" w:rsidR="00F05DC7" w:rsidRPr="00C13B66" w:rsidRDefault="00F05DC7" w:rsidP="00A3786D">
                  <w:pPr>
                    <w:ind w:left="113"/>
                    <w:rPr>
                      <w:rFonts w:ascii="Arial" w:hAnsi="Arial" w:cs="Arial"/>
                      <w:color w:val="000000"/>
                      <w:sz w:val="18"/>
                      <w:szCs w:val="18"/>
                    </w:rPr>
                  </w:pPr>
                  <w:r w:rsidRPr="00C13B66">
                    <w:rPr>
                      <w:rFonts w:ascii="Arial" w:hAnsi="Arial" w:cs="Arial"/>
                      <w:color w:val="000000"/>
                      <w:sz w:val="18"/>
                      <w:szCs w:val="18"/>
                    </w:rPr>
                    <w:t>$m</w:t>
                  </w:r>
                </w:p>
              </w:tc>
              <w:tc>
                <w:tcPr>
                  <w:tcW w:w="446" w:type="pct"/>
                  <w:tcBorders>
                    <w:top w:val="nil"/>
                    <w:left w:val="nil"/>
                    <w:bottom w:val="nil"/>
                    <w:right w:val="nil"/>
                  </w:tcBorders>
                  <w:shd w:val="clear" w:color="auto" w:fill="auto"/>
                  <w:tcMar>
                    <w:left w:w="0" w:type="dxa"/>
                    <w:right w:w="0" w:type="dxa"/>
                  </w:tcMar>
                  <w:vAlign w:val="bottom"/>
                </w:tcPr>
                <w:p w14:paraId="7954A83D"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-190</w:t>
                  </w:r>
                </w:p>
              </w:tc>
              <w:tc>
                <w:tcPr>
                  <w:tcW w:w="446" w:type="pct"/>
                  <w:tcBorders>
                    <w:top w:val="nil"/>
                    <w:left w:val="nil"/>
                    <w:bottom w:val="nil"/>
                    <w:right w:val="nil"/>
                  </w:tcBorders>
                  <w:shd w:val="clear" w:color="auto" w:fill="auto"/>
                  <w:tcMar>
                    <w:left w:w="0" w:type="dxa"/>
                    <w:right w:w="0" w:type="dxa"/>
                  </w:tcMar>
                  <w:vAlign w:val="bottom"/>
                </w:tcPr>
                <w:p w14:paraId="7954A83E"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-153</w:t>
                  </w:r>
                </w:p>
              </w:tc>
              <w:tc>
                <w:tcPr>
                  <w:tcW w:w="446" w:type="pct"/>
                  <w:tcBorders>
                    <w:top w:val="nil"/>
                    <w:left w:val="nil"/>
                    <w:bottom w:val="nil"/>
                    <w:right w:val="nil"/>
                  </w:tcBorders>
                  <w:shd w:val="clear" w:color="auto" w:fill="auto"/>
                  <w:tcMar>
                    <w:left w:w="0" w:type="dxa"/>
                    <w:right w:w="0" w:type="dxa"/>
                  </w:tcMar>
                  <w:vAlign w:val="bottom"/>
                </w:tcPr>
                <w:p w14:paraId="7954A83F"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-118</w:t>
                  </w:r>
                </w:p>
              </w:tc>
              <w:tc>
                <w:tcPr>
                  <w:tcW w:w="446" w:type="pct"/>
                  <w:tcBorders>
                    <w:top w:val="nil"/>
                    <w:left w:val="nil"/>
                    <w:bottom w:val="nil"/>
                    <w:right w:val="nil"/>
                  </w:tcBorders>
                  <w:shd w:val="clear" w:color="auto" w:fill="auto"/>
                  <w:tcMar>
                    <w:left w:w="0" w:type="dxa"/>
                    <w:right w:w="0" w:type="dxa"/>
                  </w:tcMar>
                  <w:vAlign w:val="bottom"/>
                </w:tcPr>
                <w:p w14:paraId="7954A840"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519</w:t>
                  </w:r>
                </w:p>
              </w:tc>
              <w:tc>
                <w:tcPr>
                  <w:tcW w:w="446" w:type="pct"/>
                  <w:tcBorders>
                    <w:top w:val="nil"/>
                    <w:left w:val="nil"/>
                    <w:bottom w:val="nil"/>
                    <w:right w:val="nil"/>
                  </w:tcBorders>
                  <w:shd w:val="clear" w:color="auto" w:fill="auto"/>
                  <w:tcMar>
                    <w:left w:w="0" w:type="dxa"/>
                    <w:right w:w="0" w:type="dxa"/>
                  </w:tcMar>
                  <w:vAlign w:val="bottom"/>
                </w:tcPr>
                <w:p w14:paraId="7954A841"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-34</w:t>
                  </w:r>
                </w:p>
              </w:tc>
              <w:tc>
                <w:tcPr>
                  <w:tcW w:w="446" w:type="pct"/>
                  <w:tcBorders>
                    <w:top w:val="nil"/>
                    <w:left w:val="nil"/>
                    <w:bottom w:val="nil"/>
                    <w:right w:val="nil"/>
                  </w:tcBorders>
                  <w:shd w:val="clear" w:color="auto" w:fill="auto"/>
                  <w:tcMar>
                    <w:left w:w="0" w:type="dxa"/>
                    <w:right w:w="0" w:type="dxa"/>
                  </w:tcMar>
                  <w:vAlign w:val="bottom"/>
                </w:tcPr>
                <w:p w14:paraId="7954A842"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-9</w:t>
                  </w:r>
                </w:p>
              </w:tc>
              <w:tc>
                <w:tcPr>
                  <w:tcW w:w="446" w:type="pct"/>
                  <w:tcBorders>
                    <w:top w:val="nil"/>
                    <w:left w:val="nil"/>
                    <w:bottom w:val="nil"/>
                    <w:right w:val="nil"/>
                  </w:tcBorders>
                  <w:shd w:val="clear" w:color="auto" w:fill="auto"/>
                  <w:tcMar>
                    <w:left w:w="0" w:type="dxa"/>
                    <w:right w:w="0" w:type="dxa"/>
                  </w:tcMar>
                  <w:vAlign w:val="bottom"/>
                </w:tcPr>
                <w:p w14:paraId="7954A843"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-10</w:t>
                  </w:r>
                </w:p>
              </w:tc>
              <w:tc>
                <w:tcPr>
                  <w:tcW w:w="445" w:type="pct"/>
                  <w:tcBorders>
                    <w:top w:val="nil"/>
                    <w:left w:val="nil"/>
                    <w:bottom w:val="nil"/>
                    <w:right w:val="nil"/>
                  </w:tcBorders>
                  <w:shd w:val="clear" w:color="auto" w:fill="auto"/>
                  <w:tcMar>
                    <w:left w:w="0" w:type="dxa"/>
                    <w:right w:w="0" w:type="dxa"/>
                  </w:tcMar>
                  <w:vAlign w:val="bottom"/>
                </w:tcPr>
                <w:p w14:paraId="7954A844"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-4</w:t>
                  </w:r>
                </w:p>
              </w:tc>
            </w:tr>
            <w:tr w:rsidR="00F05DC7" w14:paraId="7954A84F" w14:textId="77777777" w:rsidTr="00A3786D">
              <w:trPr>
                <w:trHeight w:val="283"/>
              </w:trPr>
              <w:tc>
                <w:tcPr>
                  <w:tcW w:w="1433" w:type="pct"/>
                  <w:tcBorders>
                    <w:top w:val="nil"/>
                    <w:left w:val="nil"/>
                    <w:bottom w:val="nil"/>
                    <w:right w:val="nil"/>
                  </w:tcBorders>
                  <w:shd w:val="clear" w:color="auto" w:fill="auto"/>
                  <w:tcMar>
                    <w:left w:w="0" w:type="dxa"/>
                    <w:right w:w="0" w:type="dxa"/>
                  </w:tcMar>
                  <w:vAlign w:val="center"/>
                </w:tcPr>
                <w:p w14:paraId="7954A846" w14:textId="77777777" w:rsidR="00F05DC7" w:rsidRPr="00C13B66" w:rsidRDefault="00F05DC7" w:rsidP="00A3786D">
                  <w:pPr>
                    <w:ind w:left="113"/>
                    <w:rPr>
                      <w:rFonts w:ascii="Arial" w:hAnsi="Arial" w:cs="Arial"/>
                      <w:color w:val="000000"/>
                      <w:sz w:val="18"/>
                      <w:szCs w:val="18"/>
                    </w:rPr>
                  </w:pPr>
                  <w:r w:rsidRPr="00C13B66">
                    <w:rPr>
                      <w:rFonts w:ascii="Arial" w:hAnsi="Arial" w:cs="Arial"/>
                      <w:color w:val="000000"/>
                      <w:sz w:val="18"/>
                      <w:szCs w:val="18"/>
                    </w:rPr>
                    <w:t>$pc</w:t>
                  </w:r>
                </w:p>
              </w:tc>
              <w:tc>
                <w:tcPr>
                  <w:tcW w:w="446" w:type="pct"/>
                  <w:tcBorders>
                    <w:top w:val="nil"/>
                    <w:left w:val="nil"/>
                    <w:bottom w:val="nil"/>
                    <w:right w:val="nil"/>
                  </w:tcBorders>
                  <w:shd w:val="clear" w:color="auto" w:fill="auto"/>
                  <w:tcMar>
                    <w:left w:w="0" w:type="dxa"/>
                    <w:right w:w="0" w:type="dxa"/>
                  </w:tcMar>
                  <w:vAlign w:val="bottom"/>
                </w:tcPr>
                <w:p w14:paraId="7954A847"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-24</w:t>
                  </w:r>
                </w:p>
              </w:tc>
              <w:tc>
                <w:tcPr>
                  <w:tcW w:w="446" w:type="pct"/>
                  <w:tcBorders>
                    <w:top w:val="nil"/>
                    <w:left w:val="nil"/>
                    <w:bottom w:val="nil"/>
                    <w:right w:val="nil"/>
                  </w:tcBorders>
                  <w:shd w:val="clear" w:color="auto" w:fill="auto"/>
                  <w:tcMar>
                    <w:left w:w="0" w:type="dxa"/>
                    <w:right w:w="0" w:type="dxa"/>
                  </w:tcMar>
                  <w:vAlign w:val="bottom"/>
                </w:tcPr>
                <w:p w14:paraId="7954A848"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-24</w:t>
                  </w:r>
                </w:p>
              </w:tc>
              <w:tc>
                <w:tcPr>
                  <w:tcW w:w="446" w:type="pct"/>
                  <w:tcBorders>
                    <w:top w:val="nil"/>
                    <w:left w:val="nil"/>
                    <w:bottom w:val="nil"/>
                    <w:right w:val="nil"/>
                  </w:tcBorders>
                  <w:shd w:val="clear" w:color="auto" w:fill="auto"/>
                  <w:tcMar>
                    <w:left w:w="0" w:type="dxa"/>
                    <w:right w:w="0" w:type="dxa"/>
                  </w:tcMar>
                  <w:vAlign w:val="bottom"/>
                </w:tcPr>
                <w:p w14:paraId="7954A849"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-24</w:t>
                  </w:r>
                </w:p>
              </w:tc>
              <w:tc>
                <w:tcPr>
                  <w:tcW w:w="446" w:type="pct"/>
                  <w:tcBorders>
                    <w:top w:val="nil"/>
                    <w:left w:val="nil"/>
                    <w:bottom w:val="nil"/>
                    <w:right w:val="nil"/>
                  </w:tcBorders>
                  <w:shd w:val="clear" w:color="auto" w:fill="auto"/>
                  <w:tcMar>
                    <w:left w:w="0" w:type="dxa"/>
                    <w:right w:w="0" w:type="dxa"/>
                  </w:tcMar>
                  <w:vAlign w:val="bottom"/>
                </w:tcPr>
                <w:p w14:paraId="7954A84A"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198</w:t>
                  </w:r>
                </w:p>
              </w:tc>
              <w:tc>
                <w:tcPr>
                  <w:tcW w:w="446" w:type="pct"/>
                  <w:tcBorders>
                    <w:top w:val="nil"/>
                    <w:left w:val="nil"/>
                    <w:bottom w:val="nil"/>
                    <w:right w:val="nil"/>
                  </w:tcBorders>
                  <w:shd w:val="clear" w:color="auto" w:fill="auto"/>
                  <w:tcMar>
                    <w:left w:w="0" w:type="dxa"/>
                    <w:right w:w="0" w:type="dxa"/>
                  </w:tcMar>
                  <w:vAlign w:val="bottom"/>
                </w:tcPr>
                <w:p w14:paraId="7954A84B"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-19</w:t>
                  </w:r>
                </w:p>
              </w:tc>
              <w:tc>
                <w:tcPr>
                  <w:tcW w:w="446" w:type="pct"/>
                  <w:tcBorders>
                    <w:top w:val="nil"/>
                    <w:left w:val="nil"/>
                    <w:bottom w:val="nil"/>
                    <w:right w:val="nil"/>
                  </w:tcBorders>
                  <w:shd w:val="clear" w:color="auto" w:fill="auto"/>
                  <w:tcMar>
                    <w:left w:w="0" w:type="dxa"/>
                    <w:right w:w="0" w:type="dxa"/>
                  </w:tcMar>
                  <w:vAlign w:val="bottom"/>
                </w:tcPr>
                <w:p w14:paraId="7954A84C"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-18</w:t>
                  </w:r>
                </w:p>
              </w:tc>
              <w:tc>
                <w:tcPr>
                  <w:tcW w:w="446" w:type="pct"/>
                  <w:tcBorders>
                    <w:top w:val="nil"/>
                    <w:left w:val="nil"/>
                    <w:bottom w:val="nil"/>
                    <w:right w:val="nil"/>
                  </w:tcBorders>
                  <w:shd w:val="clear" w:color="auto" w:fill="auto"/>
                  <w:tcMar>
                    <w:left w:w="0" w:type="dxa"/>
                    <w:right w:w="0" w:type="dxa"/>
                  </w:tcMar>
                  <w:vAlign w:val="bottom"/>
                </w:tcPr>
                <w:p w14:paraId="7954A84D"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-24</w:t>
                  </w:r>
                </w:p>
              </w:tc>
              <w:tc>
                <w:tcPr>
                  <w:tcW w:w="445" w:type="pct"/>
                  <w:tcBorders>
                    <w:top w:val="nil"/>
                    <w:left w:val="nil"/>
                    <w:bottom w:val="nil"/>
                    <w:right w:val="nil"/>
                  </w:tcBorders>
                  <w:shd w:val="clear" w:color="auto" w:fill="auto"/>
                  <w:tcMar>
                    <w:left w:w="0" w:type="dxa"/>
                    <w:right w:w="0" w:type="dxa"/>
                  </w:tcMar>
                  <w:vAlign w:val="bottom"/>
                </w:tcPr>
                <w:p w14:paraId="7954A84E"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-17</w:t>
                  </w:r>
                </w:p>
              </w:tc>
            </w:tr>
            <w:tr w:rsidR="00F05DC7" w14:paraId="7954A859" w14:textId="77777777" w:rsidTr="00A3786D">
              <w:trPr>
                <w:trHeight w:val="283"/>
              </w:trPr>
              <w:tc>
                <w:tcPr>
                  <w:tcW w:w="1433" w:type="pct"/>
                  <w:tcBorders>
                    <w:top w:val="nil"/>
                    <w:left w:val="nil"/>
                    <w:bottom w:val="nil"/>
                    <w:right w:val="nil"/>
                  </w:tcBorders>
                  <w:shd w:val="clear" w:color="auto" w:fill="auto"/>
                  <w:tcMar>
                    <w:left w:w="0" w:type="dxa"/>
                    <w:right w:w="0" w:type="dxa"/>
                  </w:tcMar>
                  <w:vAlign w:val="center"/>
                </w:tcPr>
                <w:p w14:paraId="7954A850" w14:textId="77777777" w:rsidR="00F05DC7" w:rsidRPr="00C13B66" w:rsidRDefault="00F05DC7" w:rsidP="00A3786D">
                  <w:pPr>
                    <w:ind w:left="113"/>
                    <w:rPr>
                      <w:rFonts w:ascii="Arial" w:hAnsi="Arial" w:cs="Arial"/>
                      <w:color w:val="000000"/>
                      <w:sz w:val="18"/>
                      <w:szCs w:val="18"/>
                    </w:rPr>
                  </w:pPr>
                  <w:r w:rsidRPr="00C13B66">
                    <w:rPr>
                      <w:rFonts w:ascii="Arial" w:hAnsi="Arial" w:cs="Arial"/>
                      <w:color w:val="000000"/>
                      <w:sz w:val="18"/>
                      <w:szCs w:val="18"/>
                    </w:rPr>
                    <w:t>% change in State revenue</w:t>
                  </w:r>
                  <w:r w:rsidRPr="00C13B66" w:rsidDel="00CE2770">
                    <w:rPr>
                      <w:rFonts w:ascii="Arial" w:hAnsi="Arial" w:cs="Arial"/>
                      <w:color w:val="000000"/>
                      <w:sz w:val="18"/>
                      <w:szCs w:val="18"/>
                    </w:rPr>
                    <w:t xml:space="preserve"> </w:t>
                  </w:r>
                </w:p>
              </w:tc>
              <w:tc>
                <w:tcPr>
                  <w:tcW w:w="446" w:type="pct"/>
                  <w:tcBorders>
                    <w:top w:val="nil"/>
                    <w:left w:val="nil"/>
                    <w:bottom w:val="nil"/>
                    <w:right w:val="nil"/>
                  </w:tcBorders>
                  <w:shd w:val="clear" w:color="auto" w:fill="auto"/>
                  <w:tcMar>
                    <w:left w:w="0" w:type="dxa"/>
                    <w:right w:w="0" w:type="dxa"/>
                  </w:tcMar>
                  <w:vAlign w:val="bottom"/>
                </w:tcPr>
                <w:p w14:paraId="7954A851"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-0.2</w:t>
                  </w:r>
                </w:p>
              </w:tc>
              <w:tc>
                <w:tcPr>
                  <w:tcW w:w="446" w:type="pct"/>
                  <w:tcBorders>
                    <w:top w:val="nil"/>
                    <w:left w:val="nil"/>
                    <w:bottom w:val="nil"/>
                    <w:right w:val="nil"/>
                  </w:tcBorders>
                  <w:shd w:val="clear" w:color="auto" w:fill="auto"/>
                  <w:tcMar>
                    <w:left w:w="0" w:type="dxa"/>
                    <w:right w:w="0" w:type="dxa"/>
                  </w:tcMar>
                  <w:vAlign w:val="bottom"/>
                </w:tcPr>
                <w:p w14:paraId="7954A852"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-0.3</w:t>
                  </w:r>
                </w:p>
              </w:tc>
              <w:tc>
                <w:tcPr>
                  <w:tcW w:w="446" w:type="pct"/>
                  <w:tcBorders>
                    <w:top w:val="nil"/>
                    <w:left w:val="nil"/>
                    <w:bottom w:val="nil"/>
                    <w:right w:val="nil"/>
                  </w:tcBorders>
                  <w:shd w:val="clear" w:color="auto" w:fill="auto"/>
                  <w:tcMar>
                    <w:left w:w="0" w:type="dxa"/>
                    <w:right w:w="0" w:type="dxa"/>
                  </w:tcMar>
                  <w:vAlign w:val="bottom"/>
                </w:tcPr>
                <w:p w14:paraId="7954A853"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-0.2</w:t>
                  </w:r>
                </w:p>
              </w:tc>
              <w:tc>
                <w:tcPr>
                  <w:tcW w:w="446" w:type="pct"/>
                  <w:tcBorders>
                    <w:top w:val="nil"/>
                    <w:left w:val="nil"/>
                    <w:bottom w:val="nil"/>
                    <w:right w:val="nil"/>
                  </w:tcBorders>
                  <w:shd w:val="clear" w:color="auto" w:fill="auto"/>
                  <w:tcMar>
                    <w:left w:w="0" w:type="dxa"/>
                    <w:right w:w="0" w:type="dxa"/>
                  </w:tcMar>
                  <w:vAlign w:val="bottom"/>
                </w:tcPr>
                <w:p w14:paraId="7954A854"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1.9</w:t>
                  </w:r>
                </w:p>
              </w:tc>
              <w:tc>
                <w:tcPr>
                  <w:tcW w:w="446" w:type="pct"/>
                  <w:tcBorders>
                    <w:top w:val="nil"/>
                    <w:left w:val="nil"/>
                    <w:bottom w:val="nil"/>
                    <w:right w:val="nil"/>
                  </w:tcBorders>
                  <w:shd w:val="clear" w:color="auto" w:fill="auto"/>
                  <w:tcMar>
                    <w:left w:w="0" w:type="dxa"/>
                    <w:right w:w="0" w:type="dxa"/>
                  </w:tcMar>
                  <w:vAlign w:val="bottom"/>
                </w:tcPr>
                <w:p w14:paraId="7954A855"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-0.2</w:t>
                  </w:r>
                </w:p>
              </w:tc>
              <w:tc>
                <w:tcPr>
                  <w:tcW w:w="446" w:type="pct"/>
                  <w:tcBorders>
                    <w:top w:val="nil"/>
                    <w:left w:val="nil"/>
                    <w:bottom w:val="nil"/>
                    <w:right w:val="nil"/>
                  </w:tcBorders>
                  <w:shd w:val="clear" w:color="auto" w:fill="auto"/>
                  <w:tcMar>
                    <w:left w:w="0" w:type="dxa"/>
                    <w:right w:w="0" w:type="dxa"/>
                  </w:tcMar>
                  <w:vAlign w:val="bottom"/>
                </w:tcPr>
                <w:p w14:paraId="7954A856"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-0.2</w:t>
                  </w:r>
                </w:p>
              </w:tc>
              <w:tc>
                <w:tcPr>
                  <w:tcW w:w="446" w:type="pct"/>
                  <w:tcBorders>
                    <w:top w:val="nil"/>
                    <w:left w:val="nil"/>
                    <w:bottom w:val="nil"/>
                    <w:right w:val="nil"/>
                  </w:tcBorders>
                  <w:shd w:val="clear" w:color="auto" w:fill="auto"/>
                  <w:tcMar>
                    <w:left w:w="0" w:type="dxa"/>
                    <w:right w:w="0" w:type="dxa"/>
                  </w:tcMar>
                  <w:vAlign w:val="bottom"/>
                </w:tcPr>
                <w:p w14:paraId="7954A857"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-0.2</w:t>
                  </w:r>
                </w:p>
              </w:tc>
              <w:tc>
                <w:tcPr>
                  <w:tcW w:w="445" w:type="pct"/>
                  <w:tcBorders>
                    <w:top w:val="nil"/>
                    <w:left w:val="nil"/>
                    <w:bottom w:val="nil"/>
                    <w:right w:val="nil"/>
                  </w:tcBorders>
                  <w:shd w:val="clear" w:color="auto" w:fill="auto"/>
                  <w:tcMar>
                    <w:left w:w="0" w:type="dxa"/>
                    <w:right w:w="0" w:type="dxa"/>
                  </w:tcMar>
                  <w:vAlign w:val="bottom"/>
                </w:tcPr>
                <w:p w14:paraId="7954A858"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-0.1</w:t>
                  </w:r>
                </w:p>
              </w:tc>
            </w:tr>
            <w:tr w:rsidR="00F05DC7" w14:paraId="7954A863" w14:textId="77777777" w:rsidTr="00A3786D">
              <w:trPr>
                <w:trHeight w:val="283"/>
              </w:trPr>
              <w:tc>
                <w:tcPr>
                  <w:tcW w:w="1433" w:type="pct"/>
                  <w:tcBorders>
                    <w:top w:val="nil"/>
                    <w:left w:val="nil"/>
                    <w:bottom w:val="nil"/>
                    <w:right w:val="nil"/>
                  </w:tcBorders>
                  <w:shd w:val="clear" w:color="auto" w:fill="auto"/>
                  <w:tcMar>
                    <w:left w:w="0" w:type="dxa"/>
                    <w:right w:w="0" w:type="dxa"/>
                  </w:tcMar>
                  <w:vAlign w:val="center"/>
                </w:tcPr>
                <w:p w14:paraId="7954A85A" w14:textId="77777777" w:rsidR="00F05DC7" w:rsidRPr="00C13B66" w:rsidRDefault="00F05DC7" w:rsidP="00A3786D">
                  <w:pPr>
                    <w:keepNext/>
                    <w:keepLines/>
                    <w:spacing w:before="80"/>
                    <w:rPr>
                      <w:rFonts w:ascii="Arial" w:hAnsi="Arial" w:cs="Arial"/>
                      <w:color w:val="000000"/>
                      <w:sz w:val="18"/>
                      <w:szCs w:val="18"/>
                    </w:rPr>
                  </w:pPr>
                  <w:r w:rsidRPr="00C13B66">
                    <w:rPr>
                      <w:rFonts w:ascii="Arial" w:hAnsi="Arial" w:cs="Arial"/>
                      <w:b/>
                      <w:bCs/>
                      <w:color w:val="000000"/>
                      <w:sz w:val="18"/>
                      <w:szCs w:val="18"/>
                    </w:rPr>
                    <w:t>Total redistribution from EPC</w:t>
                  </w:r>
                </w:p>
              </w:tc>
              <w:tc>
                <w:tcPr>
                  <w:tcW w:w="446" w:type="pct"/>
                  <w:tcBorders>
                    <w:top w:val="nil"/>
                    <w:left w:val="nil"/>
                    <w:bottom w:val="nil"/>
                    <w:right w:val="nil"/>
                  </w:tcBorders>
                  <w:shd w:val="clear" w:color="auto" w:fill="auto"/>
                  <w:tcMar>
                    <w:left w:w="0" w:type="dxa"/>
                    <w:right w:w="0" w:type="dxa"/>
                  </w:tcMar>
                  <w:vAlign w:val="bottom"/>
                </w:tcPr>
                <w:p w14:paraId="7954A85B"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A85C"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A85D"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A85E"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A85F"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A860"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A861"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5" w:type="pct"/>
                  <w:tcBorders>
                    <w:top w:val="nil"/>
                    <w:left w:val="nil"/>
                    <w:bottom w:val="nil"/>
                    <w:right w:val="nil"/>
                  </w:tcBorders>
                  <w:shd w:val="clear" w:color="auto" w:fill="auto"/>
                  <w:tcMar>
                    <w:left w:w="0" w:type="dxa"/>
                    <w:right w:w="0" w:type="dxa"/>
                  </w:tcMar>
                  <w:vAlign w:val="center"/>
                </w:tcPr>
                <w:p w14:paraId="7954A862" w14:textId="77777777" w:rsidR="00F05DC7" w:rsidRPr="00C13B66" w:rsidRDefault="00F05DC7" w:rsidP="00A3786D">
                  <w:pPr>
                    <w:keepNext/>
                    <w:keepLines/>
                    <w:spacing w:before="80"/>
                    <w:ind w:right="11"/>
                    <w:jc w:val="right"/>
                    <w:rPr>
                      <w:rFonts w:ascii="Arial" w:hAnsi="Arial" w:cs="Arial"/>
                      <w:color w:val="000000"/>
                      <w:sz w:val="18"/>
                      <w:szCs w:val="18"/>
                    </w:rPr>
                  </w:pPr>
                </w:p>
              </w:tc>
            </w:tr>
            <w:tr w:rsidR="00F05DC7" w14:paraId="7954A866" w14:textId="77777777" w:rsidTr="00A3786D">
              <w:trPr>
                <w:trHeight w:val="283"/>
              </w:trPr>
              <w:tc>
                <w:tcPr>
                  <w:tcW w:w="1433" w:type="pct"/>
                  <w:tcBorders>
                    <w:top w:val="nil"/>
                    <w:left w:val="nil"/>
                    <w:bottom w:val="nil"/>
                    <w:right w:val="nil"/>
                  </w:tcBorders>
                  <w:shd w:val="clear" w:color="auto" w:fill="auto"/>
                  <w:tcMar>
                    <w:left w:w="0" w:type="dxa"/>
                    <w:right w:w="0" w:type="dxa"/>
                  </w:tcMar>
                  <w:vAlign w:val="center"/>
                </w:tcPr>
                <w:p w14:paraId="7954A864" w14:textId="77777777" w:rsidR="00F05DC7" w:rsidRPr="00C13B66" w:rsidRDefault="00F05DC7" w:rsidP="00A3786D">
                  <w:pPr>
                    <w:ind w:left="113"/>
                    <w:rPr>
                      <w:rFonts w:ascii="Arial" w:hAnsi="Arial" w:cs="Arial"/>
                      <w:color w:val="000000"/>
                      <w:sz w:val="18"/>
                      <w:szCs w:val="18"/>
                    </w:rPr>
                  </w:pPr>
                  <w:r w:rsidRPr="00C13B66">
                    <w:rPr>
                      <w:rFonts w:ascii="Arial" w:hAnsi="Arial" w:cs="Arial"/>
                      <w:color w:val="000000"/>
                      <w:sz w:val="18"/>
                      <w:szCs w:val="18"/>
                    </w:rPr>
                    <w:t>Current approach</w:t>
                  </w:r>
                </w:p>
              </w:tc>
              <w:tc>
                <w:tcPr>
                  <w:tcW w:w="3567" w:type="pct"/>
                  <w:gridSpan w:val="8"/>
                  <w:tcBorders>
                    <w:top w:val="nil"/>
                    <w:left w:val="nil"/>
                    <w:bottom w:val="nil"/>
                    <w:right w:val="nil"/>
                  </w:tcBorders>
                  <w:shd w:val="clear" w:color="auto" w:fill="auto"/>
                  <w:tcMar>
                    <w:left w:w="0" w:type="dxa"/>
                    <w:right w:w="0" w:type="dxa"/>
                  </w:tcMar>
                  <w:vAlign w:val="center"/>
                </w:tcPr>
                <w:p w14:paraId="7954A865"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$6 840 million</w:t>
                  </w:r>
                </w:p>
              </w:tc>
            </w:tr>
            <w:tr w:rsidR="00F05DC7" w14:paraId="7954A869" w14:textId="77777777" w:rsidTr="00A3786D">
              <w:trPr>
                <w:trHeight w:val="283"/>
              </w:trPr>
              <w:tc>
                <w:tcPr>
                  <w:tcW w:w="1433" w:type="pct"/>
                  <w:tcBorders>
                    <w:top w:val="nil"/>
                    <w:left w:val="nil"/>
                    <w:bottom w:val="single" w:sz="8" w:space="0" w:color="BFBFBF"/>
                    <w:right w:val="nil"/>
                  </w:tcBorders>
                  <w:shd w:val="clear" w:color="auto" w:fill="auto"/>
                  <w:tcMar>
                    <w:left w:w="0" w:type="dxa"/>
                    <w:right w:w="0" w:type="dxa"/>
                  </w:tcMar>
                  <w:vAlign w:val="center"/>
                </w:tcPr>
                <w:p w14:paraId="7954A867" w14:textId="77777777" w:rsidR="00F05DC7" w:rsidRPr="00C13B66" w:rsidRDefault="00F05DC7" w:rsidP="00A3786D">
                  <w:pPr>
                    <w:ind w:left="113"/>
                    <w:rPr>
                      <w:rFonts w:ascii="Arial" w:hAnsi="Arial" w:cs="Arial"/>
                      <w:color w:val="000000"/>
                      <w:sz w:val="18"/>
                      <w:szCs w:val="18"/>
                    </w:rPr>
                  </w:pPr>
                  <w:r w:rsidRPr="00C13B66">
                    <w:rPr>
                      <w:rFonts w:ascii="Arial" w:hAnsi="Arial" w:cs="Arial"/>
                      <w:color w:val="000000"/>
                      <w:sz w:val="18"/>
                      <w:szCs w:val="18"/>
                    </w:rPr>
                    <w:t>50 per cent discount</w:t>
                  </w:r>
                </w:p>
              </w:tc>
              <w:tc>
                <w:tcPr>
                  <w:tcW w:w="3567" w:type="pct"/>
                  <w:gridSpan w:val="8"/>
                  <w:tcBorders>
                    <w:top w:val="nil"/>
                    <w:left w:val="nil"/>
                    <w:bottom w:val="single" w:sz="8" w:space="0" w:color="BFBFBF"/>
                    <w:right w:val="nil"/>
                  </w:tcBorders>
                  <w:shd w:val="clear" w:color="auto" w:fill="auto"/>
                  <w:tcMar>
                    <w:left w:w="0" w:type="dxa"/>
                    <w:right w:w="0" w:type="dxa"/>
                  </w:tcMar>
                  <w:vAlign w:val="center"/>
                </w:tcPr>
                <w:p w14:paraId="7954A868" w14:textId="77777777" w:rsidR="00F05DC7" w:rsidRPr="00C13B66" w:rsidRDefault="00F05DC7" w:rsidP="00A3786D">
                  <w:pPr>
                    <w:keepNext/>
                    <w:keepLines/>
                    <w:ind w:right="57"/>
                    <w:jc w:val="right"/>
                    <w:rPr>
                      <w:rFonts w:ascii="Arial" w:hAnsi="Arial" w:cs="Arial"/>
                      <w:color w:val="000000"/>
                      <w:sz w:val="18"/>
                      <w:szCs w:val="18"/>
                    </w:rPr>
                  </w:pPr>
                  <w:r w:rsidRPr="00C13B66">
                    <w:rPr>
                      <w:rFonts w:ascii="Arial" w:hAnsi="Arial" w:cs="Arial"/>
                      <w:color w:val="000000"/>
                      <w:sz w:val="18"/>
                      <w:szCs w:val="18"/>
                    </w:rPr>
                    <w:t>$6 664 million</w:t>
                  </w:r>
                </w:p>
              </w:tc>
            </w:tr>
          </w:tbl>
          <w:p w14:paraId="7954A86A" w14:textId="77777777" w:rsidR="00F05DC7" w:rsidRDefault="00F05DC7" w:rsidP="00A3786D">
            <w:pPr>
              <w:pStyle w:val="Box"/>
            </w:pPr>
          </w:p>
        </w:tc>
      </w:tr>
      <w:tr w:rsidR="00F05DC7" w14:paraId="7954A86D" w14:textId="77777777" w:rsidTr="00A3786D">
        <w:tc>
          <w:tcPr>
            <w:tcW w:w="5000" w:type="pct"/>
            <w:tcBorders>
              <w:top w:val="nil"/>
              <w:left w:val="nil"/>
              <w:bottom w:val="nil"/>
              <w:right w:val="nil"/>
            </w:tcBorders>
            <w:shd w:val="clear" w:color="auto" w:fill="F2F2F2"/>
          </w:tcPr>
          <w:p w14:paraId="7954A86C" w14:textId="77777777" w:rsidR="00F05DC7" w:rsidRDefault="00F05DC7" w:rsidP="00A3786D">
            <w:pPr>
              <w:pStyle w:val="BoxSource"/>
            </w:pPr>
            <w:r>
              <w:rPr>
                <w:i/>
              </w:rPr>
              <w:t>Sources</w:t>
            </w:r>
            <w:r w:rsidRPr="00167F06">
              <w:t xml:space="preserve">: </w:t>
            </w:r>
            <w:r>
              <w:t xml:space="preserve">Productivity </w:t>
            </w:r>
            <w:r w:rsidRPr="000D1878">
              <w:t>Commission estimates</w:t>
            </w:r>
            <w:r>
              <w:t xml:space="preserve"> based on data provided by the CGC; appendix C.</w:t>
            </w:r>
          </w:p>
        </w:tc>
      </w:tr>
      <w:tr w:rsidR="00F05DC7" w14:paraId="7954A86F" w14:textId="77777777" w:rsidTr="00A3786D">
        <w:tc>
          <w:tcPr>
            <w:tcW w:w="5000" w:type="pct"/>
            <w:tcBorders>
              <w:top w:val="nil"/>
              <w:left w:val="nil"/>
              <w:bottom w:val="single" w:sz="6" w:space="0" w:color="78A22F"/>
              <w:right w:val="nil"/>
            </w:tcBorders>
            <w:shd w:val="clear" w:color="auto" w:fill="F2F2F2"/>
          </w:tcPr>
          <w:p w14:paraId="7954A86E" w14:textId="77777777" w:rsidR="00F05DC7" w:rsidRDefault="00F05DC7" w:rsidP="008C54FC">
            <w:pPr>
              <w:pStyle w:val="Box"/>
              <w:keepNext w:val="0"/>
              <w:spacing w:before="0" w:line="120" w:lineRule="exact"/>
            </w:pPr>
          </w:p>
        </w:tc>
      </w:tr>
    </w:tbl>
    <w:p w14:paraId="7954A872" w14:textId="77777777" w:rsidR="00F05DC7" w:rsidRDefault="00F05DC7" w:rsidP="00A3786D">
      <w:pPr>
        <w:pStyle w:val="BodyText"/>
      </w:pPr>
      <w:r>
        <w:lastRenderedPageBreak/>
        <w:t xml:space="preserve">The largest decrease in annual payments would have been to New South Wales in 2013-14 ($207 million) although on a per capita basis the decrease is spread evenly across the States. </w:t>
      </w:r>
    </w:p>
    <w:p w14:paraId="7954A873" w14:textId="77777777" w:rsidR="00F05DC7" w:rsidRDefault="00F05DC7" w:rsidP="00A3786D">
      <w:pPr>
        <w:pStyle w:val="BodyText"/>
      </w:pPr>
      <w:r>
        <w:t>Some inquiry participants favoured the CGC’s proposal.</w:t>
      </w:r>
      <w:r w:rsidRPr="004A210C">
        <w:t xml:space="preserve"> </w:t>
      </w:r>
      <w:r>
        <w:t>The ACT Government (sub. DR81, p. 27) supported it on the basis that the current mining assessment can give some States an incentive to lower or avoid raising their royalty rates. The ACT Government also noted that in practice only a few mineral categories would be affected.</w:t>
      </w:r>
    </w:p>
    <w:p w14:paraId="7954A874" w14:textId="2CFAC89B" w:rsidR="00F05DC7" w:rsidRDefault="00F05DC7" w:rsidP="00A3786D">
      <w:pPr>
        <w:pStyle w:val="BodyText"/>
      </w:pPr>
      <w:r>
        <w:t>The WA Government — while strongly favouring greater policy neutrality in the mining assessment — disagreed with the level at which a discount would be applied, and with the general approach it involves. It argued that redistribution due to tax rate changes should be capped at a significantly lower level than 50 per cent (WA Government, sub. DR83, p. 32). It also argued that the CGC’s suggested approach was ad hoc, in that it discriminates between past and future royalty rate increases. (Figure 7.1 indicates that a 10 per cent threshold would then also cover coal and bauxite royalties in Queensland, copper royalties in South Australia and bauxite royalties in Western Australia and the Northern Territory).</w:t>
      </w:r>
    </w:p>
    <w:p w14:paraId="7954A875" w14:textId="77777777" w:rsidR="00F05DC7" w:rsidRDefault="00F05DC7" w:rsidP="00A3786D">
      <w:pPr>
        <w:pStyle w:val="BodyText"/>
      </w:pPr>
      <w:r>
        <w:t>Indeed, the 50 per cent threshold would effectively exclude all non</w:t>
      </w:r>
      <w:r>
        <w:noBreakHyphen/>
        <w:t>mining revenue categories — and thus it would have no impact on State incentives to undertake other types of tax reform. Combined with the fact that this approach is poorly equipped to deal with changes in GST shares due to changes in tax bases, it would have no impact on State incentives for broader tax reform initiatives (such as replacing stamp duty with land tax) discussed in chapter 3.</w:t>
      </w:r>
    </w:p>
    <w:p w14:paraId="7954A876" w14:textId="77777777" w:rsidR="00F05DC7" w:rsidRDefault="00F05DC7" w:rsidP="00A3786D">
      <w:pPr>
        <w:pStyle w:val="BodyText"/>
      </w:pPr>
      <w:r>
        <w:t xml:space="preserve">A further consideration is determining the time period over which the adjustment would apply — a matter which the CGC has thus far not addressed in its 2020 methodology review papers. Leaving the adjustment in place indefinitely may not be desirable, and may have unintended consequences, for fiscal equality. Any revenue sources (such as minerals) that provide States with a material fiscal advantage should, in principle, be included within HFE. </w:t>
      </w:r>
    </w:p>
    <w:p w14:paraId="7954A877" w14:textId="77777777" w:rsidR="00F05DC7" w:rsidRDefault="00F05DC7" w:rsidP="00A3786D">
      <w:pPr>
        <w:pStyle w:val="BodyText"/>
      </w:pPr>
      <w:r>
        <w:t>Further, over time, multiple adjustments and discounts would increase the complexity of the HFE system and reduce its transparency. If pursued, a time</w:t>
      </w:r>
      <w:r>
        <w:noBreakHyphen/>
        <w:t>limited approach would, at a minimum, be worthy of consideration.</w:t>
      </w:r>
    </w:p>
    <w:p w14:paraId="7954A878" w14:textId="77777777" w:rsidR="00F05DC7" w:rsidRDefault="00F05DC7" w:rsidP="00A3786D">
      <w:pPr>
        <w:pStyle w:val="BodyText"/>
      </w:pPr>
      <w:r>
        <w:t>Finally, a discount for future tax changes would not change the GST distribution in the foreseeable future. Any impact would ultimately depend on whether — and to what extent — a State changes its tax rates, and the change meets the 50 per cent threshold at which the discount would apply. Indeed, under an alternative (less than full) equalisation standard — such as equalising to the average (chapter 8) — it is unlikely that the discount would ever be triggered in practice.</w:t>
      </w:r>
    </w:p>
    <w:p w14:paraId="7954A879"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87B"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87A" w14:textId="16A001FE" w:rsidR="00F05DC7" w:rsidRPr="00CE4C64" w:rsidRDefault="00F05DC7" w:rsidP="00A3786D">
            <w:pPr>
              <w:pStyle w:val="FindingTitle"/>
              <w:spacing w:before="120"/>
              <w:rPr>
                <w:noProof/>
              </w:rPr>
            </w:pPr>
            <w:r>
              <w:t>Finding 7.5</w:t>
            </w:r>
          </w:p>
        </w:tc>
      </w:tr>
      <w:tr w:rsidR="00F05DC7" w:rsidRPr="00750BE2" w14:paraId="7954A87D" w14:textId="77777777" w:rsidTr="00A3786D">
        <w:trPr>
          <w:cantSplit/>
        </w:trPr>
        <w:tc>
          <w:tcPr>
            <w:tcW w:w="5000" w:type="pct"/>
            <w:tcBorders>
              <w:top w:val="nil"/>
              <w:left w:val="nil"/>
              <w:bottom w:val="nil"/>
              <w:right w:val="nil"/>
            </w:tcBorders>
            <w:shd w:val="clear" w:color="auto" w:fill="F2F2F2"/>
            <w:tcMar>
              <w:left w:w="170" w:type="dxa"/>
              <w:right w:w="170" w:type="dxa"/>
            </w:tcMar>
          </w:tcPr>
          <w:p w14:paraId="7954A87C" w14:textId="77777777" w:rsidR="00F05DC7" w:rsidRDefault="00F05DC7" w:rsidP="00A3786D">
            <w:pPr>
              <w:pStyle w:val="Finding"/>
              <w:keepNext/>
            </w:pPr>
            <w:r>
              <w:t>The CGC’s proposal to discount revenues such that a State retains at least 50 per cent of the own</w:t>
            </w:r>
            <w:r>
              <w:noBreakHyphen/>
              <w:t xml:space="preserve">source revenue impacts of a tax or royalty rate change (net of GST payments) is an incomplete approach to mitigate policy non-neutrality in HFE. </w:t>
            </w:r>
            <w:r w:rsidRPr="00D53CF9">
              <w:t xml:space="preserve">It would only address policy influence on average tax rates, </w:t>
            </w:r>
            <w:r>
              <w:t xml:space="preserve">not on tax bases, </w:t>
            </w:r>
            <w:r w:rsidRPr="00D53CF9">
              <w:t>and only for Western Australia for the foreseeable future.</w:t>
            </w:r>
          </w:p>
        </w:tc>
      </w:tr>
      <w:tr w:rsidR="00F05DC7" w14:paraId="7954A87F" w14:textId="77777777" w:rsidTr="00A3786D">
        <w:trPr>
          <w:cantSplit/>
        </w:trPr>
        <w:tc>
          <w:tcPr>
            <w:tcW w:w="5000" w:type="pct"/>
            <w:tcBorders>
              <w:top w:val="nil"/>
              <w:left w:val="nil"/>
              <w:bottom w:val="single" w:sz="6" w:space="0" w:color="78A22F"/>
              <w:right w:val="nil"/>
            </w:tcBorders>
            <w:shd w:val="clear" w:color="auto" w:fill="F2F2F2"/>
            <w:tcMar>
              <w:left w:w="170" w:type="dxa"/>
              <w:right w:w="170" w:type="dxa"/>
            </w:tcMar>
          </w:tcPr>
          <w:p w14:paraId="7954A87E" w14:textId="77777777" w:rsidR="00F05DC7" w:rsidRDefault="00F05DC7" w:rsidP="00A3786D">
            <w:pPr>
              <w:pStyle w:val="Space"/>
              <w:keepLines/>
            </w:pPr>
          </w:p>
        </w:tc>
      </w:tr>
      <w:tr w:rsidR="00F05DC7" w:rsidRPr="000863A5" w14:paraId="7954A881" w14:textId="77777777" w:rsidTr="00A3786D">
        <w:trPr>
          <w:cantSplit/>
        </w:trPr>
        <w:tc>
          <w:tcPr>
            <w:tcW w:w="5000" w:type="pct"/>
            <w:tcBorders>
              <w:top w:val="single" w:sz="6" w:space="0" w:color="78A22F"/>
              <w:left w:val="nil"/>
              <w:bottom w:val="nil"/>
              <w:right w:val="nil"/>
            </w:tcBorders>
            <w:tcMar>
              <w:left w:w="170" w:type="dxa"/>
              <w:right w:w="170" w:type="dxa"/>
            </w:tcMar>
          </w:tcPr>
          <w:p w14:paraId="7954A880" w14:textId="77777777" w:rsidR="00F05DC7" w:rsidRPr="00626D32" w:rsidRDefault="00F05DC7" w:rsidP="00A3786D">
            <w:pPr>
              <w:pStyle w:val="BoxSpaceBelow"/>
              <w:keepLines/>
            </w:pPr>
          </w:p>
        </w:tc>
      </w:tr>
    </w:tbl>
    <w:p w14:paraId="7954A882" w14:textId="77777777" w:rsidR="00F05DC7" w:rsidRDefault="00F05DC7" w:rsidP="00A3786D">
      <w:pPr>
        <w:pStyle w:val="Heading3"/>
      </w:pPr>
      <w:r>
        <w:t>Elasticity adjustments</w:t>
      </w:r>
    </w:p>
    <w:p w14:paraId="7954A883" w14:textId="77777777" w:rsidR="00F05DC7" w:rsidRDefault="00F05DC7" w:rsidP="00A3786D">
      <w:pPr>
        <w:pStyle w:val="BodyText"/>
      </w:pPr>
      <w:r>
        <w:t>Targeted interventions to improve policy neutrality for future policy changes could also take the form of elasticity adjustments. This would effectively mean introducing adjustments to minimise the consequences of State tax policy changes where a higher (or lower) rate leads to a reduction (or expansion) in the tax base used to assess GST shares (chapter 3).</w:t>
      </w:r>
    </w:p>
    <w:p w14:paraId="7954A884" w14:textId="611FC67D" w:rsidR="00F05DC7" w:rsidRDefault="00F05DC7" w:rsidP="00A3786D">
      <w:pPr>
        <w:pStyle w:val="BodyText"/>
      </w:pPr>
      <w:r>
        <w:t>The CGC has recently stated that, as part of its 2020 methodology review, it will ‘</w:t>
      </w:r>
      <w:r w:rsidRPr="001D3362">
        <w:t>aim to minimise, to the extent practicable, tax reform disincentives arising from the effects on tax bases (elasticity effects) of tax policy choices</w:t>
      </w:r>
      <w:r>
        <w:t xml:space="preserve">’ </w:t>
      </w:r>
      <w:r w:rsidR="009D6331" w:rsidRPr="009D6331">
        <w:rPr>
          <w:szCs w:val="24"/>
        </w:rPr>
        <w:t>(CGC 2017j, p. 5)</w:t>
      </w:r>
      <w:r>
        <w:t>. As part of this review, it has commissioned academic research on the elasticity of State tax bases, and noted that it will consider whether elasticity effects are material and can be reliably estimated.</w:t>
      </w:r>
      <w:r w:rsidRPr="006E5394">
        <w:t xml:space="preserve"> </w:t>
      </w:r>
    </w:p>
    <w:p w14:paraId="7954A885" w14:textId="52AAC667" w:rsidR="00F05DC7" w:rsidRDefault="00F05DC7" w:rsidP="00A3786D">
      <w:pPr>
        <w:pStyle w:val="BodyText"/>
      </w:pPr>
      <w:r>
        <w:t xml:space="preserve">Prior to 1999, the CGC used elasticity adjustments in its assessments of State taxes on petroleum, tobacco and mining </w:t>
      </w:r>
      <w:r w:rsidR="009D6331" w:rsidRPr="009D6331">
        <w:rPr>
          <w:szCs w:val="24"/>
        </w:rPr>
        <w:t>(CGC 2013b, p. 12)</w:t>
      </w:r>
      <w:r>
        <w:t xml:space="preserve">. This approach was discontinued due to concerns about the reliability of measurement </w:t>
      </w:r>
      <w:r w:rsidR="009D6331" w:rsidRPr="009D6331">
        <w:rPr>
          <w:szCs w:val="24"/>
        </w:rPr>
        <w:t>(CGC 2015f, p. 14)</w:t>
      </w:r>
      <w:r>
        <w:t>. It re</w:t>
      </w:r>
      <w:r>
        <w:noBreakHyphen/>
        <w:t xml:space="preserve">examined such adjustments in the course of its 2015 review, and found that in most cases tax bases would need to be very elastic to result in a material change to the GST distribution </w:t>
      </w:r>
      <w:r w:rsidR="009D6331" w:rsidRPr="009D6331">
        <w:rPr>
          <w:szCs w:val="24"/>
        </w:rPr>
        <w:t>(CGC 2013b, pp. 12–15)</w:t>
      </w:r>
      <w:r>
        <w:t>. Nevertheless, some jurisdictions — notably the ACT Government (sub. 49, pp. 8,14) — support the introduction of elasticity adjustments.</w:t>
      </w:r>
    </w:p>
    <w:p w14:paraId="7954A886" w14:textId="77777777" w:rsidR="00F05DC7" w:rsidRDefault="00F05DC7" w:rsidP="00A3786D">
      <w:pPr>
        <w:pStyle w:val="BodyText"/>
      </w:pPr>
      <w:r>
        <w:t>At this stage, it is not clear how any such adjustments would be made in practice, or what the implications would be for States’ GST payments. Obtaining reliable and consistent data for all State taxes is likely to be challenging, if not impossible. The quality of estimates or data sources used could be open to dispute. And even where robust estimates exist, they would still need to be applied to clearly identified changes in State tax rates, and separated from the wide range of non</w:t>
      </w:r>
      <w:r>
        <w:noBreakHyphen/>
        <w:t>tax rate factors that influence the size of observed tax bases. A timeframe would also need to be specified over which any GST adjustments are made.</w:t>
      </w:r>
    </w:p>
    <w:p w14:paraId="7954A887" w14:textId="77777777" w:rsidR="00F05DC7" w:rsidRDefault="00F05DC7" w:rsidP="00A3786D">
      <w:pPr>
        <w:pStyle w:val="BodyText"/>
      </w:pPr>
      <w:r>
        <w:t xml:space="preserve">Moreover, while elasticity adjustments offer a way to deal with policy disincentives that arise from the way that tax bases change due to changes in tax </w:t>
      </w:r>
      <w:r>
        <w:rPr>
          <w:i/>
        </w:rPr>
        <w:t>rates</w:t>
      </w:r>
      <w:r>
        <w:t>, they do not address cases where State policy can directly influence the size of tax bases through other channels (such as approving mining or other development activities). They would be at best an ad hoc fix rather than a holistic solution.</w:t>
      </w:r>
    </w:p>
    <w:p w14:paraId="7954A888" w14:textId="77777777" w:rsidR="00F05DC7" w:rsidRDefault="00F05DC7" w:rsidP="00A3786D">
      <w:pPr>
        <w:pStyle w:val="BodyText"/>
      </w:pPr>
      <w:r>
        <w:lastRenderedPageBreak/>
        <w:t>There would also be uncertainty about the quality of estimates used to adjust GST payments and whether these estimates would change over time. Such adjustments would compound complexity within the HFE system even further. A better approach to deal with elasticity effects would be to adopt more policy</w:t>
      </w:r>
      <w:r>
        <w:noBreakHyphen/>
        <w:t>neutral indicators of States revenue</w:t>
      </w:r>
      <w:r>
        <w:noBreakHyphen/>
        <w:t>raising capacities, as outlined in section 7.3.</w:t>
      </w:r>
    </w:p>
    <w:p w14:paraId="7954A889" w14:textId="3A74288B" w:rsidR="00F05DC7" w:rsidRDefault="00F05DC7" w:rsidP="00A3786D">
      <w:pPr>
        <w:pStyle w:val="Heading2"/>
      </w:pPr>
      <w:bookmarkStart w:id="104" w:name="_Toc513637732"/>
      <w:r>
        <w:t>7.</w:t>
      </w:r>
      <w:r>
        <w:rPr>
          <w:noProof/>
        </w:rPr>
        <w:t>6</w:t>
      </w:r>
      <w:r>
        <w:tab/>
        <w:t>Summing up</w:t>
      </w:r>
      <w:bookmarkEnd w:id="104"/>
    </w:p>
    <w:p w14:paraId="7954A88A" w14:textId="77777777" w:rsidR="00F05DC7" w:rsidRDefault="00F05DC7" w:rsidP="00A3786D">
      <w:pPr>
        <w:pStyle w:val="BodyText"/>
      </w:pPr>
      <w:r>
        <w:t>This chapter has focused on some substantive proposals for change to the HFE process to address the concerns raised in earlier chapters — namely, that a system of full and comprehensive equalisation is overly complex and lacking in transparency and accountability; does not address concerns about fairness (reward for policy effort and risk taking); and imposes efficiency costs by discouraging major State tax reform (chapter 6).</w:t>
      </w:r>
    </w:p>
    <w:p w14:paraId="7954A88B" w14:textId="77777777" w:rsidR="00F05DC7" w:rsidRDefault="00F05DC7" w:rsidP="00A3786D">
      <w:pPr>
        <w:pStyle w:val="BodyText"/>
      </w:pPr>
      <w:r>
        <w:t>While ongoing consideration of method change is a desirable permanent feature of the current arrangements, there is no clear-cut adjustment to the HFE methodology that collectively strengthens equity, efficiency and transparency and accountability.</w:t>
      </w:r>
    </w:p>
    <w:p w14:paraId="7954A88C" w14:textId="74326781" w:rsidR="00F05DC7" w:rsidRDefault="00F05DC7" w:rsidP="00A3786D">
      <w:pPr>
        <w:pStyle w:val="BodyText"/>
      </w:pPr>
      <w:r>
        <w:t xml:space="preserve">Indeed, many of the options discussed in this chapter only </w:t>
      </w:r>
      <w:r w:rsidRPr="009B6F06">
        <w:rPr>
          <w:i/>
        </w:rPr>
        <w:t>partially</w:t>
      </w:r>
      <w:r>
        <w:t xml:space="preserve"> address the problems with the HFE system. Some of these are likely to do so in a way that introduces other problems, or are simply unworkable. Using a single broad indicator, or discounting entire revenue categories, would be too blunt and risk falling short of a reasonable </w:t>
      </w:r>
      <w:r w:rsidR="002D01E0">
        <w:t>standard</w:t>
      </w:r>
      <w:r>
        <w:t xml:space="preserve"> of equalisation. Benchmark costs and elasticity adjustments, while appealing in principle, face daunting practical difficulties and involve a high degree of scope for dispute.</w:t>
      </w:r>
    </w:p>
    <w:p w14:paraId="7954A88D" w14:textId="77777777" w:rsidR="00F05DC7" w:rsidRDefault="00F05DC7" w:rsidP="00A3786D">
      <w:pPr>
        <w:pStyle w:val="BodyText"/>
      </w:pPr>
      <w:r>
        <w:t>That said, some changes to the HFE methodology would improve Australia’s HFE system. This chapter has identified two prospective options for change. Specifically, the CGC should examine simpler and more policy</w:t>
      </w:r>
      <w:r>
        <w:noBreakHyphen/>
        <w:t xml:space="preserve">neutral revenue and expenditure assessments. This should be supported by significant (and long overdue) increases in materiality thresholds. </w:t>
      </w:r>
    </w:p>
    <w:p w14:paraId="7954A88E" w14:textId="11E2E010" w:rsidR="00F05DC7" w:rsidRDefault="00F05DC7" w:rsidP="00A3786D">
      <w:pPr>
        <w:pStyle w:val="BodyText"/>
      </w:pPr>
      <w:r>
        <w:t xml:space="preserve">Taken together, these methodological changes would result in considerable simplification to the HFE system (and thus strengthen transparency), while also strengthening policy neutrality in some areas. Although it will likely result in some small reductions in fiscal equity, this package of changes still offers a way of achieving a reasonable </w:t>
      </w:r>
      <w:r w:rsidR="002D01E0">
        <w:t>standard</w:t>
      </w:r>
      <w:r>
        <w:t xml:space="preserve"> of equalisation — without the seemingly false precision that besets the current system.</w:t>
      </w:r>
    </w:p>
    <w:p w14:paraId="7954A88F" w14:textId="77777777" w:rsidR="00F05DC7" w:rsidRDefault="00F05DC7" w:rsidP="00A3786D">
      <w:pPr>
        <w:pStyle w:val="BodyText"/>
      </w:pPr>
      <w:r>
        <w:t xml:space="preserve">Making the changes work will, however, require changing the HFE objective and adopting the broader governance reforms outlined in chapter 6. These reforms would help to guide the CGC in implementing the methodology changes. </w:t>
      </w:r>
    </w:p>
    <w:p w14:paraId="7954A890" w14:textId="6FF50A83" w:rsidR="00F05DC7" w:rsidRDefault="00F05DC7" w:rsidP="00A3786D">
      <w:pPr>
        <w:pStyle w:val="BodyText"/>
      </w:pPr>
      <w:r>
        <w:t>The suite of methodology and governance reforms would go</w:t>
      </w:r>
      <w:r w:rsidRPr="00017EC8">
        <w:rPr>
          <w:i/>
        </w:rPr>
        <w:t xml:space="preserve"> some</w:t>
      </w:r>
      <w:r>
        <w:t xml:space="preserve"> way towards addressing some of the existing problems with the HFE system. While these reforms would have the effect of departing from full equalisation — in terms of the fiscal outcomes for States — this would arise only to the extent necessary to achieve offsetting benefits, such as improved policy neutrality, fairness or transparency. As such, these reforms can help to strike a better </w:t>
      </w:r>
      <w:r>
        <w:lastRenderedPageBreak/>
        <w:t xml:space="preserve">balance between equity and efficiency (chapter 1) while providing a reasonable </w:t>
      </w:r>
      <w:r w:rsidR="002D01E0">
        <w:t>standard</w:t>
      </w:r>
      <w:r>
        <w:t xml:space="preserve"> of equalisation in line with the Commission’s revised objective for HFE (chapter 6).</w:t>
      </w:r>
      <w:r w:rsidRPr="00B85594">
        <w:t xml:space="preserve"> </w:t>
      </w:r>
    </w:p>
    <w:p w14:paraId="7954A891" w14:textId="77777777" w:rsidR="00F05DC7" w:rsidRDefault="00F05DC7" w:rsidP="00A3786D">
      <w:pPr>
        <w:pStyle w:val="BodyText"/>
      </w:pPr>
      <w:r>
        <w:t xml:space="preserve">While these changes are necessary, they are </w:t>
      </w:r>
      <w:r w:rsidRPr="00264478">
        <w:t>not sufficient in and of themselves</w:t>
      </w:r>
      <w:r>
        <w:t>, to resolve the other material problems of the current system. In particular, there does not appear to be any obvious policy</w:t>
      </w:r>
      <w:r>
        <w:noBreakHyphen/>
        <w:t xml:space="preserve">neutral indicators, or other workable methodology changes, that could be applied to </w:t>
      </w:r>
      <w:r w:rsidRPr="005E0807">
        <w:t>the mining revenue assessment</w:t>
      </w:r>
      <w:r>
        <w:t>.</w:t>
      </w:r>
      <w:r w:rsidRPr="005E0807">
        <w:t xml:space="preserve"> </w:t>
      </w:r>
      <w:r>
        <w:t>Thus, without more fundamental changes,</w:t>
      </w:r>
      <w:r w:rsidRPr="005E0807">
        <w:t xml:space="preserve"> the largest and most contentious source of policy non</w:t>
      </w:r>
      <w:r w:rsidRPr="005E0807">
        <w:noBreakHyphen/>
        <w:t xml:space="preserve">neutrality </w:t>
      </w:r>
      <w:r>
        <w:t xml:space="preserve">would remain </w:t>
      </w:r>
      <w:r w:rsidRPr="005E0807">
        <w:t>untouched.</w:t>
      </w:r>
      <w:r>
        <w:t xml:space="preserve"> Addressing this area of policy non-neutrality will be of ongoing importance given the high levels of mining production and royalty revenue in the foreseeable future.  </w:t>
      </w:r>
    </w:p>
    <w:p w14:paraId="7954A892" w14:textId="77777777" w:rsidR="00F05DC7" w:rsidRDefault="00F05DC7" w:rsidP="00A3786D">
      <w:pPr>
        <w:pStyle w:val="BodyText"/>
      </w:pPr>
      <w:r>
        <w:t xml:space="preserve">Further, some of the disincentive effects within HFE — namely, those arising from the equalisation of tax bases — are inherent to equalisation itself and cannot be removed completely by way of methodological adjustments. </w:t>
      </w:r>
    </w:p>
    <w:p w14:paraId="7954A893" w14:textId="77777777" w:rsidR="00F05DC7" w:rsidRDefault="00F05DC7" w:rsidP="00A3786D">
      <w:pPr>
        <w:pStyle w:val="BodyText"/>
      </w:pPr>
      <w:r w:rsidRPr="00CB79DD">
        <w:t xml:space="preserve">The only way to address such disincentives would be to </w:t>
      </w:r>
      <w:r>
        <w:t xml:space="preserve">reduce the extent of </w:t>
      </w:r>
      <w:r w:rsidRPr="00CB79DD">
        <w:t>equalisation</w:t>
      </w:r>
      <w:r>
        <w:t xml:space="preserve"> itself</w:t>
      </w:r>
      <w:r w:rsidRPr="00CB79DD">
        <w:t xml:space="preserve"> (such that changes in </w:t>
      </w:r>
      <w:r>
        <w:t xml:space="preserve">State’s </w:t>
      </w:r>
      <w:r w:rsidRPr="00CB79DD">
        <w:t>tax bases do not impact their GST payments).</w:t>
      </w:r>
      <w:r>
        <w:t xml:space="preserve"> Changing the equalisation benchmark offers a simple way of achieving this and is discussed in the following chapter.</w:t>
      </w:r>
    </w:p>
    <w:p w14:paraId="7954A894" w14:textId="77777777" w:rsidR="00F05DC7" w:rsidRDefault="00F05DC7" w:rsidP="00A3786D">
      <w:pPr>
        <w:pStyle w:val="BodyText"/>
        <w:rPr>
          <w:sz w:val="22"/>
          <w:szCs w:val="22"/>
        </w:rPr>
      </w:pPr>
    </w:p>
    <w:p w14:paraId="7954A895" w14:textId="77777777" w:rsidR="00F05DC7" w:rsidRDefault="00F05DC7" w:rsidP="00F05DC7">
      <w:pPr>
        <w:sectPr w:rsidR="00F05DC7" w:rsidSect="00F05DC7">
          <w:headerReference w:type="even" r:id="rId132"/>
          <w:headerReference w:type="default" r:id="rId133"/>
          <w:footerReference w:type="even" r:id="rId134"/>
          <w:footerReference w:type="default" r:id="rId135"/>
          <w:type w:val="oddPage"/>
          <w:pgSz w:w="11907" w:h="16840" w:code="9"/>
          <w:pgMar w:top="1985" w:right="1304" w:bottom="1247" w:left="1814" w:header="1701" w:footer="397" w:gutter="0"/>
          <w:pgNumType w:chapSep="period"/>
          <w:cols w:space="720"/>
          <w:docGrid w:linePitch="326"/>
        </w:sectPr>
      </w:pPr>
    </w:p>
    <w:p w14:paraId="7954A896" w14:textId="77777777" w:rsidR="00F05DC7" w:rsidRDefault="00F05DC7" w:rsidP="00A3786D">
      <w:pPr>
        <w:pStyle w:val="Heading1"/>
        <w:spacing w:after="680"/>
      </w:pPr>
      <w:bookmarkStart w:id="105" w:name="_Toc513637733"/>
      <w:r>
        <w:lastRenderedPageBreak/>
        <w:t>8</w:t>
      </w:r>
      <w:r>
        <w:tab/>
        <w:t>Is there a preferred alternative benchmark for fiscal equalisation?</w:t>
      </w:r>
      <w:bookmarkEnd w:id="105"/>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w:tblPr>
      <w:tblGrid>
        <w:gridCol w:w="8789"/>
      </w:tblGrid>
      <w:tr w:rsidR="00F05DC7" w14:paraId="7954A898" w14:textId="77777777" w:rsidTr="001113B1">
        <w:trPr>
          <w:tblHeader/>
        </w:trPr>
        <w:tc>
          <w:tcPr>
            <w:tcW w:w="5000" w:type="pct"/>
            <w:tcBorders>
              <w:top w:val="single" w:sz="6" w:space="0" w:color="78A22F"/>
              <w:left w:val="nil"/>
              <w:bottom w:val="nil"/>
              <w:right w:val="nil"/>
            </w:tcBorders>
            <w:shd w:val="clear" w:color="auto" w:fill="F2F2F2"/>
            <w:hideMark/>
          </w:tcPr>
          <w:p w14:paraId="7954A897" w14:textId="77777777" w:rsidR="00F05DC7" w:rsidRPr="00A3763C" w:rsidRDefault="00F05DC7" w:rsidP="00A3786D">
            <w:pPr>
              <w:pStyle w:val="BoxTitle"/>
              <w:spacing w:before="80"/>
            </w:pPr>
            <w:r w:rsidRPr="00A3763C">
              <w:t>Key points</w:t>
            </w:r>
          </w:p>
        </w:tc>
      </w:tr>
      <w:tr w:rsidR="00F05DC7" w14:paraId="7954A8A4" w14:textId="77777777" w:rsidTr="00A3786D">
        <w:tc>
          <w:tcPr>
            <w:tcW w:w="5000" w:type="pct"/>
            <w:tcBorders>
              <w:top w:val="nil"/>
              <w:left w:val="nil"/>
              <w:bottom w:val="nil"/>
              <w:right w:val="nil"/>
            </w:tcBorders>
            <w:shd w:val="clear" w:color="auto" w:fill="F2F2F2"/>
            <w:hideMark/>
          </w:tcPr>
          <w:p w14:paraId="7954A899" w14:textId="77777777" w:rsidR="00F05DC7" w:rsidRDefault="00F05DC7" w:rsidP="00A3786D">
            <w:pPr>
              <w:pStyle w:val="BoxListBullet"/>
              <w:spacing w:line="255" w:lineRule="atLeast"/>
            </w:pPr>
            <w:r>
              <w:t>Alternative approaches to distributing the GST involve trade</w:t>
            </w:r>
            <w:r>
              <w:noBreakHyphen/>
              <w:t>offs between equity, efficiency, and transparency and accountability. The current approach to managing these trade</w:t>
            </w:r>
            <w:r>
              <w:noBreakHyphen/>
              <w:t>offs is manifest in the equalisation benchmark, which to date has been set by the CGC as equalising to the same standard and thus to the strongest State plus an equal per capita (EPC) amount.</w:t>
            </w:r>
          </w:p>
          <w:p w14:paraId="7954A89A" w14:textId="095F45BB" w:rsidR="00F05DC7" w:rsidRDefault="00F05DC7" w:rsidP="00A3786D">
            <w:pPr>
              <w:pStyle w:val="BoxListBullet"/>
              <w:spacing w:line="255" w:lineRule="atLeast"/>
            </w:pPr>
            <w:r>
              <w:t xml:space="preserve">Several alternative equalisation benchmarks (proposed by inquiry participants) would not deliver a reasonable </w:t>
            </w:r>
            <w:r w:rsidR="002D01E0">
              <w:t>standard</w:t>
            </w:r>
            <w:r>
              <w:t xml:space="preserve"> of equalisation and do not provide a clear improvement over the current system.</w:t>
            </w:r>
          </w:p>
          <w:p w14:paraId="7954A89B" w14:textId="77777777" w:rsidR="00F05DC7" w:rsidRDefault="00F05DC7" w:rsidP="00A3786D">
            <w:pPr>
              <w:pStyle w:val="BoxListBullet2"/>
              <w:spacing w:line="255" w:lineRule="atLeast"/>
            </w:pPr>
            <w:r>
              <w:t>An EPC benchmark appealed to some participants, and it performs well in terms of efficiency, fairness (reward for policy effort) and transparency, but does not equalise the fiscal capacities of States (to any benchmark) and, thus, is inimical to HFE.</w:t>
            </w:r>
          </w:p>
          <w:p w14:paraId="7954A89C" w14:textId="77777777" w:rsidR="00F05DC7" w:rsidRDefault="00F05DC7" w:rsidP="00A3786D">
            <w:pPr>
              <w:pStyle w:val="BoxListBullet2"/>
              <w:spacing w:line="255" w:lineRule="atLeast"/>
            </w:pPr>
            <w:r>
              <w:t>An EPC benchmark with top</w:t>
            </w:r>
            <w:r>
              <w:noBreakHyphen/>
              <w:t xml:space="preserve">up funding could limit these downsides and offer benefits for transparency. However, </w:t>
            </w:r>
            <w:r w:rsidRPr="00203587">
              <w:t xml:space="preserve">funding </w:t>
            </w:r>
            <w:r>
              <w:t>the top up c</w:t>
            </w:r>
            <w:r w:rsidRPr="00203587">
              <w:t xml:space="preserve">ould </w:t>
            </w:r>
            <w:r>
              <w:t>cre</w:t>
            </w:r>
            <w:r w:rsidRPr="00203587">
              <w:t xml:space="preserve">ate </w:t>
            </w:r>
            <w:r>
              <w:t xml:space="preserve">other </w:t>
            </w:r>
            <w:r w:rsidRPr="00203587">
              <w:t>losers</w:t>
            </w:r>
            <w:r>
              <w:t xml:space="preserve">, and should only be contemplated as part of broader reform to federal financial relations. Moreover, such funding is not certain and </w:t>
            </w:r>
            <w:r w:rsidRPr="009F50A5">
              <w:t xml:space="preserve">subject to </w:t>
            </w:r>
            <w:r>
              <w:t>the vagaries of the Commonwealth</w:t>
            </w:r>
            <w:r w:rsidRPr="009F50A5">
              <w:t xml:space="preserve"> </w:t>
            </w:r>
            <w:r>
              <w:t>b</w:t>
            </w:r>
            <w:r w:rsidRPr="009F50A5">
              <w:t>udget</w:t>
            </w:r>
            <w:r>
              <w:t>.</w:t>
            </w:r>
          </w:p>
          <w:p w14:paraId="7954A89D" w14:textId="77777777" w:rsidR="00F05DC7" w:rsidRDefault="00F05DC7" w:rsidP="00A3786D">
            <w:pPr>
              <w:pStyle w:val="BoxListBullet2"/>
              <w:spacing w:line="255" w:lineRule="atLeast"/>
            </w:pPr>
            <w:r>
              <w:t xml:space="preserve">A relativity floor is not well targeted at the efficiency and fairness problems of the HFE system, such as disincentives to undertake major tax reform (efficiency) and receiving reward for policy effort (fairness). </w:t>
            </w:r>
          </w:p>
          <w:p w14:paraId="7954A89E" w14:textId="07BCFEFE" w:rsidR="00F05DC7" w:rsidRDefault="00F05DC7" w:rsidP="00A3786D">
            <w:pPr>
              <w:pStyle w:val="BoxListBullet"/>
              <w:spacing w:line="255" w:lineRule="atLeast"/>
            </w:pPr>
            <w:r>
              <w:t xml:space="preserve">Other options for equalising fiscal capacities to less than that of the strongest State (which the Productivity Commission considers a desirable change) hold more promise. These options can deliver (to varying degrees) a reasonable </w:t>
            </w:r>
            <w:r w:rsidR="002D01E0">
              <w:t xml:space="preserve">standard </w:t>
            </w:r>
            <w:r>
              <w:t xml:space="preserve">of equalisation and at the same time enhance the efficiency and fairness of the HFE system. </w:t>
            </w:r>
          </w:p>
          <w:p w14:paraId="7954A89F" w14:textId="77777777" w:rsidR="00F05DC7" w:rsidRDefault="00F05DC7" w:rsidP="00A3786D">
            <w:pPr>
              <w:pStyle w:val="BoxListBullet"/>
              <w:spacing w:line="255" w:lineRule="atLeast"/>
            </w:pPr>
            <w:r>
              <w:t>Options include equalising to the fiscal capacity of the second strongest State, to the average of the fiscally strong States, or to the average of all States. Other options involve full equalisation for the smallest States only and 90 per cent full equalisation (with 10 per cent EPC).</w:t>
            </w:r>
          </w:p>
          <w:p w14:paraId="7954A8A0" w14:textId="77777777" w:rsidR="00F05DC7" w:rsidRDefault="00F05DC7" w:rsidP="00A3786D">
            <w:pPr>
              <w:pStyle w:val="BoxListBullet"/>
              <w:spacing w:line="255" w:lineRule="atLeast"/>
            </w:pPr>
            <w:r>
              <w:t>No option is unambiguously superior. On balance, equalising to the average (ETA) fiscal capacity of all States is judged to be the preferred alternative. ETA is expected to provide the greatest scope for efficiency gains and to improve fairness compared with the alternatives. It would enable fiscally stronger States to keep a greater portion of the fiscal dividends of their policy effort, and the fiscal impacts are likely to be modest and manageable using a careful transition approach.</w:t>
            </w:r>
          </w:p>
          <w:p w14:paraId="7954A8A1" w14:textId="77777777" w:rsidR="00F05DC7" w:rsidRDefault="00F05DC7" w:rsidP="00A3786D">
            <w:pPr>
              <w:pStyle w:val="KeyPointsListBullet2"/>
              <w:spacing w:line="255" w:lineRule="atLeast"/>
            </w:pPr>
            <w:r>
              <w:t>For those States that would receive less GST (compared to the current system), the largest revenue reduction (without transition) is 2.5 per cent or less of State revenue.</w:t>
            </w:r>
          </w:p>
          <w:p w14:paraId="7954A8A2" w14:textId="77777777" w:rsidR="00F05DC7" w:rsidRDefault="00F05DC7" w:rsidP="00A3786D">
            <w:pPr>
              <w:pStyle w:val="KeyPointsListBullet2"/>
              <w:spacing w:line="255" w:lineRule="atLeast"/>
            </w:pPr>
            <w:r>
              <w:t>All States would be able to meet a high level (at least 97 per cent) of their assessed expenditure needs.</w:t>
            </w:r>
          </w:p>
          <w:p w14:paraId="7954A8A3" w14:textId="77777777" w:rsidR="00F05DC7" w:rsidRDefault="00F05DC7" w:rsidP="00A3786D">
            <w:pPr>
              <w:pStyle w:val="KeyPointsListBullet2"/>
              <w:spacing w:line="255" w:lineRule="atLeast"/>
            </w:pPr>
            <w:r>
              <w:t xml:space="preserve">States can choose (as they do already) to prioritise the way they spend their GST payments to ensure that key services continue to be funded to meet community expectations. </w:t>
            </w:r>
          </w:p>
        </w:tc>
      </w:tr>
      <w:tr w:rsidR="00F05DC7" w14:paraId="7954A8A6" w14:textId="77777777" w:rsidTr="00A3786D">
        <w:tc>
          <w:tcPr>
            <w:tcW w:w="5000" w:type="pct"/>
            <w:tcBorders>
              <w:top w:val="nil"/>
              <w:left w:val="nil"/>
              <w:bottom w:val="single" w:sz="6" w:space="0" w:color="78A22F"/>
              <w:right w:val="nil"/>
            </w:tcBorders>
            <w:shd w:val="clear" w:color="auto" w:fill="F2F2F2"/>
          </w:tcPr>
          <w:p w14:paraId="7954A8A5" w14:textId="77777777" w:rsidR="00F05DC7" w:rsidRDefault="00F05DC7">
            <w:pPr>
              <w:pStyle w:val="Box"/>
              <w:spacing w:before="0" w:line="120" w:lineRule="exact"/>
            </w:pPr>
          </w:p>
        </w:tc>
      </w:tr>
      <w:tr w:rsidR="00F05DC7" w14:paraId="7954A8A8" w14:textId="77777777" w:rsidTr="00A3786D">
        <w:tc>
          <w:tcPr>
            <w:tcW w:w="5000" w:type="pct"/>
            <w:tcBorders>
              <w:top w:val="single" w:sz="6" w:space="0" w:color="78A22F"/>
              <w:left w:val="nil"/>
              <w:bottom w:val="nil"/>
              <w:right w:val="nil"/>
            </w:tcBorders>
            <w:hideMark/>
          </w:tcPr>
          <w:p w14:paraId="7954A8A7" w14:textId="77777777" w:rsidR="00F05DC7" w:rsidRDefault="00F05DC7" w:rsidP="00A3786D">
            <w:pPr>
              <w:pStyle w:val="BoxSpaceBelow"/>
              <w:spacing w:after="20"/>
            </w:pPr>
          </w:p>
        </w:tc>
      </w:tr>
    </w:tbl>
    <w:p w14:paraId="7954A8A9" w14:textId="77777777" w:rsidR="00F05DC7" w:rsidRDefault="00F05DC7" w:rsidP="00A3786D">
      <w:pPr>
        <w:pStyle w:val="BodyText"/>
      </w:pPr>
      <w:r>
        <w:lastRenderedPageBreak/>
        <w:t xml:space="preserve">The inquiry’s terms of reference ask the Productivity Commission to assess concerns with the effects of horizontal fiscal equalisation (HFE) on productivity, economic growth and budget management for the States and for Australia as a whole; and to identify any better alternative arrangements. Earlier chapters examined the veracity of those concerns. Those that have substance are summarised in chapter 6, which also proposes a change to the HFE objective — that is, to deliver a ‘reasonable’ level of fiscal equalisation. This change to the HFE objective is a necessary precursor to other changes (including ‘in-system’ changes) that achieve a better balance between equity and efficiency in the HFE system. </w:t>
      </w:r>
    </w:p>
    <w:p w14:paraId="7954A8AA" w14:textId="77777777" w:rsidR="00F05DC7" w:rsidRDefault="00F05DC7" w:rsidP="00A3786D">
      <w:pPr>
        <w:pStyle w:val="BodyText"/>
      </w:pPr>
      <w:r>
        <w:t>Chapter 7 considered whether the problems identified can be addressed by ‘in system’ changes — adjusting substantial methodological elements of the current HFE system. But those concerns, the Commission’s consideration of ‘in system’ changes, and the terms of reference, also raise the question of whether the equalisation benchmark itself needs to be changed to better address some of the problems with the current system.</w:t>
      </w:r>
    </w:p>
    <w:p w14:paraId="7954A8AB" w14:textId="77777777" w:rsidR="00F05DC7" w:rsidRDefault="00F05DC7" w:rsidP="00A3786D">
      <w:pPr>
        <w:pStyle w:val="BodyText"/>
      </w:pPr>
      <w:r>
        <w:t xml:space="preserve">The Commission has been presented with a number of suggestions for fundamental changes to the way GST payments are distributed among the States. They essentially seek to achieve a better balance between equity and efficiency by shifting the equalisation benchmark — away from that of the strongest State plus an equal per capita (EPC) amount (full equalisation) — to less than full equalisation. </w:t>
      </w:r>
    </w:p>
    <w:p w14:paraId="7954A8AC" w14:textId="77777777" w:rsidR="00F05DC7" w:rsidRDefault="00F05DC7" w:rsidP="00A3786D">
      <w:pPr>
        <w:pStyle w:val="BodyText"/>
      </w:pPr>
      <w:r>
        <w:t>Importantly, the adjustments proposed in chapter 7 also result in less than full equalisation, particularly where they are aimed at addressing issues of policy non</w:t>
      </w:r>
      <w:r>
        <w:noBreakHyphen/>
        <w:t>neutrality. As such, changing the HFE objective is needed lest the Commonwealth Grants Commission (CGC) remains hamstrung and unable to contemplate a trade</w:t>
      </w:r>
      <w:r>
        <w:noBreakHyphen/>
        <w:t>off that results in a modest departure from full and comprehensive equalisation. Changing the equalisation benchmark is not required to achieve the objective of these adjustments, which are largely focused on addressing issues of policy non</w:t>
      </w:r>
      <w:r>
        <w:noBreakHyphen/>
        <w:t xml:space="preserve">neutrality. </w:t>
      </w:r>
    </w:p>
    <w:p w14:paraId="7954A8AD" w14:textId="77777777" w:rsidR="00F05DC7" w:rsidRDefault="00F05DC7" w:rsidP="00A3786D">
      <w:pPr>
        <w:pStyle w:val="BodyText"/>
      </w:pPr>
      <w:r>
        <w:t>The alternative equalisation benchmarks considered in this chapter are:</w:t>
      </w:r>
    </w:p>
    <w:p w14:paraId="7954A8AE" w14:textId="77777777" w:rsidR="00F05DC7" w:rsidRDefault="00F05DC7" w:rsidP="00A3786D">
      <w:pPr>
        <w:pStyle w:val="ListBullet"/>
      </w:pPr>
      <w:r>
        <w:t>EPC (and a variant with ‘top</w:t>
      </w:r>
      <w:r>
        <w:noBreakHyphen/>
        <w:t>up’ funding for fiscally weaker States)</w:t>
      </w:r>
    </w:p>
    <w:p w14:paraId="7954A8AF" w14:textId="77777777" w:rsidR="00F05DC7" w:rsidRDefault="00F05DC7" w:rsidP="00A3786D">
      <w:pPr>
        <w:pStyle w:val="ListBullet"/>
      </w:pPr>
      <w:r>
        <w:t>a relativity floor</w:t>
      </w:r>
    </w:p>
    <w:p w14:paraId="7954A8B0" w14:textId="77777777" w:rsidR="00F05DC7" w:rsidRDefault="00F05DC7" w:rsidP="00A3786D">
      <w:pPr>
        <w:pStyle w:val="ListBullet"/>
      </w:pPr>
      <w:r>
        <w:t>explicitly equalising to some level less than that of the strongest State: to the second strongest State, the average fiscal capacity</w:t>
      </w:r>
      <w:r w:rsidRPr="00282527">
        <w:rPr>
          <w:rStyle w:val="FootnoteReference"/>
        </w:rPr>
        <w:footnoteReference w:id="16"/>
      </w:r>
      <w:r>
        <w:t xml:space="preserve"> of the fiscally strong States (currently New South Wales, Western Australia, and Victoria), or to the average fiscal capacity of all States</w:t>
      </w:r>
    </w:p>
    <w:p w14:paraId="7954A8B1" w14:textId="77777777" w:rsidR="00F05DC7" w:rsidRDefault="00F05DC7" w:rsidP="00A3786D">
      <w:pPr>
        <w:pStyle w:val="ListBullet"/>
      </w:pPr>
      <w:r>
        <w:t>full equalisation for only the four smallest States (South Australia, Tasmania, the ACT, and the Northern Territory) and 90 per cent full equalisation — these two options were outlined by the CGC in its post</w:t>
      </w:r>
      <w:r>
        <w:noBreakHyphen/>
        <w:t xml:space="preserve">draft submission to this inquiry (sub. DR61, pp. 7–9). </w:t>
      </w:r>
    </w:p>
    <w:p w14:paraId="7954A8B2" w14:textId="77777777" w:rsidR="00F05DC7" w:rsidRDefault="00F05DC7" w:rsidP="00A3786D">
      <w:pPr>
        <w:pStyle w:val="BodyText"/>
      </w:pPr>
      <w:r>
        <w:lastRenderedPageBreak/>
        <w:t xml:space="preserve">This chapter discusses the rationale of these alternative benchmarks and </w:t>
      </w:r>
      <w:r w:rsidRPr="00811453">
        <w:t xml:space="preserve">assesses their merit </w:t>
      </w:r>
      <w:r>
        <w:t>relative to</w:t>
      </w:r>
      <w:r w:rsidRPr="00811453">
        <w:t xml:space="preserve"> </w:t>
      </w:r>
      <w:r>
        <w:t xml:space="preserve">the </w:t>
      </w:r>
      <w:r w:rsidRPr="00811453">
        <w:t>current arrangements</w:t>
      </w:r>
      <w:r>
        <w:t xml:space="preserve"> and with respect to the Commission’s</w:t>
      </w:r>
      <w:r w:rsidRPr="00811453">
        <w:t xml:space="preserve"> proposed </w:t>
      </w:r>
      <w:r>
        <w:t xml:space="preserve">revised </w:t>
      </w:r>
      <w:r w:rsidRPr="00811453">
        <w:t>objective for HFE</w:t>
      </w:r>
      <w:r>
        <w:t xml:space="preserve">. </w:t>
      </w:r>
    </w:p>
    <w:p w14:paraId="7954A8B3" w14:textId="77777777" w:rsidR="00F05DC7" w:rsidRDefault="00F05DC7" w:rsidP="00A3786D">
      <w:pPr>
        <w:pStyle w:val="BodyText"/>
      </w:pPr>
      <w:r>
        <w:t xml:space="preserve">Each option is assessed </w:t>
      </w:r>
      <w:r w:rsidRPr="00811453">
        <w:t>against</w:t>
      </w:r>
      <w:r>
        <w:t xml:space="preserve"> the criteria of</w:t>
      </w:r>
      <w:r w:rsidRPr="00811453">
        <w:t xml:space="preserve"> equity</w:t>
      </w:r>
      <w:r>
        <w:t xml:space="preserve"> (which includes notions of fiscal equality and reward for policy effort, or fairness)</w:t>
      </w:r>
      <w:r w:rsidRPr="00811453">
        <w:t xml:space="preserve">, efficiency and </w:t>
      </w:r>
      <w:r>
        <w:t>(where applicable) transparency and accountability. These criteria are explained in chapter 1.</w:t>
      </w:r>
    </w:p>
    <w:p w14:paraId="7954A8B4" w14:textId="77777777" w:rsidR="00F05DC7" w:rsidRDefault="00F05DC7" w:rsidP="00A3786D">
      <w:pPr>
        <w:pStyle w:val="Heading2"/>
      </w:pPr>
      <w:bookmarkStart w:id="106" w:name="_Toc513637734"/>
      <w:r>
        <w:t>8</w:t>
      </w:r>
      <w:r w:rsidRPr="00C77B4F">
        <w:t>.</w:t>
      </w:r>
      <w:r>
        <w:t>1</w:t>
      </w:r>
      <w:r w:rsidRPr="00C77B4F">
        <w:tab/>
      </w:r>
      <w:r>
        <w:t>Equal per capita and variants</w:t>
      </w:r>
      <w:bookmarkEnd w:id="106"/>
    </w:p>
    <w:p w14:paraId="7954A8B5" w14:textId="77777777" w:rsidR="00F05DC7" w:rsidRDefault="00F05DC7" w:rsidP="00A3786D">
      <w:pPr>
        <w:pStyle w:val="Heading3"/>
        <w:spacing w:before="280"/>
      </w:pPr>
      <w:r>
        <w:t xml:space="preserve">Equal per capita </w:t>
      </w:r>
    </w:p>
    <w:p w14:paraId="7954A8B6" w14:textId="77777777" w:rsidR="00F05DC7" w:rsidRPr="005D276D" w:rsidRDefault="00F05DC7" w:rsidP="00A3786D">
      <w:pPr>
        <w:pStyle w:val="BodyText"/>
      </w:pPr>
      <w:r>
        <w:t>A number of participants to this inquiry suggested that rather than aiming for full equalisation, the HFE system should instead see GST revenue allocated on an EPC basis (for example, Wealth Wisdom, sub. 10, pp. 4, 12; NSW Business Chamber, sub. DR85, p. 2; Institute of Public Affairs, sub. DR91, p. 13; NSW Government, sub. DR109, pp. 5–6). Under EPC, each jurisdiction would receive a share of the total pool of GST revenue equal to their share of the national population (figure 8.1).</w:t>
      </w:r>
    </w:p>
    <w:p w14:paraId="7954A8B7"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8B9" w14:textId="77777777" w:rsidTr="00A3786D">
        <w:trPr>
          <w:tblHeader/>
        </w:trPr>
        <w:tc>
          <w:tcPr>
            <w:tcW w:w="5000" w:type="pct"/>
            <w:tcBorders>
              <w:top w:val="single" w:sz="6" w:space="0" w:color="78A22F"/>
              <w:left w:val="nil"/>
              <w:bottom w:val="nil"/>
              <w:right w:val="nil"/>
            </w:tcBorders>
            <w:shd w:val="clear" w:color="auto" w:fill="auto"/>
          </w:tcPr>
          <w:p w14:paraId="7954A8B8" w14:textId="7371DBD9" w:rsidR="00F05DC7" w:rsidRPr="00176D3F" w:rsidRDefault="00F05DC7" w:rsidP="00A3786D">
            <w:pPr>
              <w:pStyle w:val="FigureTitle"/>
              <w:spacing w:before="80"/>
            </w:pPr>
            <w:r w:rsidRPr="00784A05">
              <w:rPr>
                <w:b w:val="0"/>
              </w:rPr>
              <w:t>Figure</w:t>
            </w:r>
            <w:r>
              <w:rPr>
                <w:b w:val="0"/>
              </w:rPr>
              <w:t> 8.1</w:t>
            </w:r>
            <w:r>
              <w:tab/>
              <w:t xml:space="preserve">Conceptual representation of EPC </w:t>
            </w:r>
          </w:p>
        </w:tc>
      </w:tr>
      <w:tr w:rsidR="00F05DC7" w14:paraId="7954A8BD" w14:textId="77777777" w:rsidTr="00A3786D">
        <w:trPr>
          <w:trHeight w:val="4602"/>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05DC7" w:rsidRPr="00B1465D" w14:paraId="7954A8BB" w14:textId="77777777" w:rsidTr="00A3786D">
              <w:trPr>
                <w:trHeight w:val="4479"/>
                <w:tblHeader/>
                <w:jc w:val="center"/>
              </w:trPr>
              <w:tc>
                <w:tcPr>
                  <w:tcW w:w="8504" w:type="dxa"/>
                  <w:tcBorders>
                    <w:top w:val="nil"/>
                    <w:bottom w:val="nil"/>
                  </w:tcBorders>
                </w:tcPr>
                <w:p w14:paraId="7954A8BA" w14:textId="77777777" w:rsidR="00F05DC7" w:rsidRPr="00B1465D" w:rsidRDefault="00F05DC7" w:rsidP="00A3786D">
                  <w:pPr>
                    <w:pStyle w:val="Figure"/>
                    <w:spacing w:before="60" w:after="60"/>
                    <w:rPr>
                      <w:rFonts w:ascii="Arial" w:hAnsi="Arial" w:cs="Arial"/>
                      <w:sz w:val="18"/>
                      <w:szCs w:val="18"/>
                    </w:rPr>
                  </w:pPr>
                  <w:r w:rsidRPr="00872EF6">
                    <w:rPr>
                      <w:rFonts w:ascii="Arial" w:hAnsi="Arial" w:cs="Arial"/>
                      <w:noProof/>
                      <w:sz w:val="18"/>
                      <w:szCs w:val="18"/>
                    </w:rPr>
                    <w:drawing>
                      <wp:inline distT="0" distB="0" distL="0" distR="0" wp14:anchorId="7954D615" wp14:editId="7954D616">
                        <wp:extent cx="5401945" cy="2878455"/>
                        <wp:effectExtent l="0" t="0" r="8255" b="0"/>
                        <wp:docPr id="75" name="Picture 75" descr="This figure shows how an equal per capita approach to GST distribution would add an equal amount of GST per capita to a States initial per capita fiscal capacity — and would result in ongoing fiscal disparities betwee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14:paraId="7954A8BC" w14:textId="77777777" w:rsidR="00F05DC7" w:rsidRDefault="00F05DC7" w:rsidP="00A3786D">
            <w:pPr>
              <w:pStyle w:val="Figure"/>
            </w:pPr>
          </w:p>
        </w:tc>
      </w:tr>
      <w:tr w:rsidR="00F05DC7" w14:paraId="7954A8BF" w14:textId="77777777" w:rsidTr="00A3786D">
        <w:tc>
          <w:tcPr>
            <w:tcW w:w="5000" w:type="pct"/>
            <w:tcBorders>
              <w:top w:val="nil"/>
              <w:left w:val="nil"/>
              <w:bottom w:val="single" w:sz="6" w:space="0" w:color="78A22F"/>
              <w:right w:val="nil"/>
            </w:tcBorders>
            <w:shd w:val="clear" w:color="auto" w:fill="auto"/>
          </w:tcPr>
          <w:p w14:paraId="7954A8BE" w14:textId="77777777" w:rsidR="00F05DC7" w:rsidRDefault="00F05DC7" w:rsidP="00A3786D">
            <w:pPr>
              <w:pStyle w:val="Figurespace"/>
            </w:pPr>
          </w:p>
        </w:tc>
      </w:tr>
      <w:tr w:rsidR="00F05DC7" w:rsidRPr="000863A5" w14:paraId="7954A8C1" w14:textId="77777777" w:rsidTr="00A3786D">
        <w:tc>
          <w:tcPr>
            <w:tcW w:w="5000" w:type="pct"/>
            <w:tcBorders>
              <w:top w:val="single" w:sz="6" w:space="0" w:color="78A22F"/>
              <w:left w:val="nil"/>
              <w:bottom w:val="nil"/>
              <w:right w:val="nil"/>
            </w:tcBorders>
          </w:tcPr>
          <w:p w14:paraId="7954A8C0" w14:textId="77777777" w:rsidR="00F05DC7" w:rsidRPr="00626D32" w:rsidRDefault="00F05DC7" w:rsidP="00A3786D">
            <w:pPr>
              <w:pStyle w:val="BoxSpaceBelow"/>
            </w:pPr>
          </w:p>
        </w:tc>
      </w:tr>
    </w:tbl>
    <w:p w14:paraId="7954A8C2" w14:textId="7DC7DA66" w:rsidR="00F05DC7" w:rsidRDefault="00F05DC7" w:rsidP="00A3786D">
      <w:pPr>
        <w:pStyle w:val="BodyText"/>
      </w:pPr>
      <w:r>
        <w:t>The Commission has modelled the impacts of an EPC distribution and compared the States’ resulting fiscal capacities against that resulting from the CGC’s 2018</w:t>
      </w:r>
      <w:r>
        <w:noBreakHyphen/>
        <w:t>19 relativities (table 8.1)</w:t>
      </w:r>
      <w:r w:rsidDel="008252E9">
        <w:t>.</w:t>
      </w:r>
      <w:r>
        <w:t xml:space="preserve"> In the current environment, an EPC distribution would see more GST payments flow to New South Wales, Victoria and Western Australia (approximately $6.8 billion in aggregate) and commensurately less to the remaining States, with the Northern Territory </w:t>
      </w:r>
      <w:r>
        <w:lastRenderedPageBreak/>
        <w:t>experiencing the largest reduction in per capita terms. The impacts as a proportion of State revenue vary widely, ranging from an increase of 12 per cent (for Western Australia) to a decrease of 39 per cent (for the Northern Territory).</w:t>
      </w:r>
      <w:r w:rsidRPr="00282527">
        <w:rPr>
          <w:rStyle w:val="FootnoteReference"/>
        </w:rPr>
        <w:footnoteReference w:id="17"/>
      </w:r>
      <w:r>
        <w:t xml:space="preserve"> </w:t>
      </w:r>
    </w:p>
    <w:p w14:paraId="7954A8C3" w14:textId="77777777" w:rsidR="00F05DC7" w:rsidRPr="00F64A05"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8C6" w14:textId="77777777" w:rsidTr="001113B1">
        <w:trPr>
          <w:tblHeader/>
        </w:trPr>
        <w:tc>
          <w:tcPr>
            <w:tcW w:w="5000" w:type="pct"/>
            <w:tcBorders>
              <w:top w:val="single" w:sz="6" w:space="0" w:color="78A22F"/>
              <w:left w:val="nil"/>
              <w:bottom w:val="nil"/>
              <w:right w:val="nil"/>
            </w:tcBorders>
            <w:shd w:val="clear" w:color="auto" w:fill="auto"/>
          </w:tcPr>
          <w:p w14:paraId="7954A8C4" w14:textId="57D4847B" w:rsidR="00F05DC7" w:rsidRDefault="00F05DC7" w:rsidP="00A3786D">
            <w:pPr>
              <w:pStyle w:val="TableTitle"/>
            </w:pPr>
            <w:r>
              <w:rPr>
                <w:b w:val="0"/>
              </w:rPr>
              <w:t>Table 8.</w:t>
            </w:r>
            <w:r>
              <w:rPr>
                <w:b w:val="0"/>
                <w:noProof/>
              </w:rPr>
              <w:t>1</w:t>
            </w:r>
            <w:r>
              <w:tab/>
              <w:t>Effects of equal per capita distribution</w:t>
            </w:r>
          </w:p>
          <w:p w14:paraId="7954A8C5" w14:textId="77777777" w:rsidR="00F05DC7" w:rsidRPr="00784A05" w:rsidRDefault="00F05DC7" w:rsidP="00A3786D">
            <w:pPr>
              <w:pStyle w:val="Subtitle"/>
            </w:pPr>
            <w:r>
              <w:t>2018</w:t>
            </w:r>
            <w:r>
              <w:noBreakHyphen/>
              <w:t>19 GST payments and relativities</w:t>
            </w:r>
          </w:p>
        </w:tc>
      </w:tr>
      <w:tr w:rsidR="00F05DC7" w14:paraId="7954A918" w14:textId="77777777" w:rsidTr="00A3786D">
        <w:trPr>
          <w:trHeight w:val="2508"/>
        </w:trPr>
        <w:tc>
          <w:tcPr>
            <w:tcW w:w="5000" w:type="pct"/>
            <w:tcBorders>
              <w:top w:val="nil"/>
              <w:left w:val="nil"/>
              <w:bottom w:val="nil"/>
              <w:right w:val="nil"/>
            </w:tcBorders>
            <w:shd w:val="clear" w:color="auto" w:fill="auto"/>
          </w:tcPr>
          <w:tbl>
            <w:tblPr>
              <w:tblW w:w="8505" w:type="dxa"/>
              <w:tblLayout w:type="fixed"/>
              <w:tblCellMar>
                <w:left w:w="0" w:type="dxa"/>
                <w:right w:w="0" w:type="dxa"/>
              </w:tblCellMar>
              <w:tblLook w:val="04A0" w:firstRow="1" w:lastRow="0" w:firstColumn="1" w:lastColumn="0" w:noHBand="0" w:noVBand="1"/>
            </w:tblPr>
            <w:tblGrid>
              <w:gridCol w:w="2835"/>
              <w:gridCol w:w="708"/>
              <w:gridCol w:w="709"/>
              <w:gridCol w:w="709"/>
              <w:gridCol w:w="709"/>
              <w:gridCol w:w="708"/>
              <w:gridCol w:w="709"/>
              <w:gridCol w:w="709"/>
              <w:gridCol w:w="709"/>
            </w:tblGrid>
            <w:tr w:rsidR="00F05DC7" w14:paraId="7954A8D0" w14:textId="77777777" w:rsidTr="001113B1">
              <w:trPr>
                <w:trHeight w:val="283"/>
                <w:tblHeader/>
              </w:trPr>
              <w:tc>
                <w:tcPr>
                  <w:tcW w:w="2835" w:type="dxa"/>
                  <w:tcBorders>
                    <w:top w:val="single" w:sz="8" w:space="0" w:color="BFBFBF"/>
                    <w:left w:val="nil"/>
                    <w:bottom w:val="single" w:sz="8" w:space="0" w:color="BFBFBF"/>
                    <w:right w:val="nil"/>
                  </w:tcBorders>
                  <w:shd w:val="clear" w:color="auto" w:fill="auto"/>
                  <w:vAlign w:val="center"/>
                  <w:hideMark/>
                </w:tcPr>
                <w:p w14:paraId="7954A8C7" w14:textId="77777777" w:rsidR="00F05DC7" w:rsidRDefault="00F05DC7" w:rsidP="00A3786D">
                  <w:pPr>
                    <w:rPr>
                      <w:rFonts w:ascii="Arial" w:hAnsi="Arial" w:cs="Arial"/>
                      <w:i/>
                      <w:iCs/>
                      <w:color w:val="000000"/>
                      <w:sz w:val="18"/>
                      <w:szCs w:val="18"/>
                    </w:rPr>
                  </w:pPr>
                </w:p>
              </w:tc>
              <w:tc>
                <w:tcPr>
                  <w:tcW w:w="708" w:type="dxa"/>
                  <w:tcBorders>
                    <w:top w:val="single" w:sz="8" w:space="0" w:color="BFBFBF"/>
                    <w:left w:val="nil"/>
                    <w:bottom w:val="single" w:sz="8" w:space="0" w:color="BFBFBF"/>
                    <w:right w:val="nil"/>
                  </w:tcBorders>
                  <w:shd w:val="clear" w:color="auto" w:fill="auto"/>
                  <w:vAlign w:val="center"/>
                  <w:hideMark/>
                </w:tcPr>
                <w:p w14:paraId="7954A8C8" w14:textId="77777777" w:rsidR="00F05DC7" w:rsidRPr="00EE70CB" w:rsidRDefault="00F05DC7" w:rsidP="00A3786D">
                  <w:pPr>
                    <w:pStyle w:val="TableColumnHeading"/>
                    <w:ind w:right="11"/>
                  </w:pPr>
                  <w:r w:rsidRPr="00EE70CB">
                    <w:t>NSW</w:t>
                  </w:r>
                </w:p>
              </w:tc>
              <w:tc>
                <w:tcPr>
                  <w:tcW w:w="709" w:type="dxa"/>
                  <w:tcBorders>
                    <w:top w:val="single" w:sz="8" w:space="0" w:color="BFBFBF"/>
                    <w:left w:val="nil"/>
                    <w:bottom w:val="single" w:sz="8" w:space="0" w:color="BFBFBF"/>
                    <w:right w:val="nil"/>
                  </w:tcBorders>
                  <w:shd w:val="clear" w:color="auto" w:fill="auto"/>
                  <w:vAlign w:val="center"/>
                  <w:hideMark/>
                </w:tcPr>
                <w:p w14:paraId="7954A8C9" w14:textId="77777777" w:rsidR="00F05DC7" w:rsidRPr="00EE70CB" w:rsidRDefault="00F05DC7" w:rsidP="00A3786D">
                  <w:pPr>
                    <w:pStyle w:val="TableColumnHeading"/>
                    <w:ind w:right="11"/>
                  </w:pPr>
                  <w:r w:rsidRPr="00EE70CB">
                    <w:t>Vic</w:t>
                  </w:r>
                </w:p>
              </w:tc>
              <w:tc>
                <w:tcPr>
                  <w:tcW w:w="709" w:type="dxa"/>
                  <w:tcBorders>
                    <w:top w:val="single" w:sz="8" w:space="0" w:color="BFBFBF"/>
                    <w:left w:val="nil"/>
                    <w:bottom w:val="single" w:sz="8" w:space="0" w:color="BFBFBF"/>
                    <w:right w:val="nil"/>
                  </w:tcBorders>
                  <w:shd w:val="clear" w:color="auto" w:fill="auto"/>
                  <w:vAlign w:val="center"/>
                  <w:hideMark/>
                </w:tcPr>
                <w:p w14:paraId="7954A8CA" w14:textId="77777777" w:rsidR="00F05DC7" w:rsidRPr="00EE70CB" w:rsidRDefault="00F05DC7" w:rsidP="00A3786D">
                  <w:pPr>
                    <w:pStyle w:val="TableColumnHeading"/>
                    <w:ind w:right="11"/>
                  </w:pPr>
                  <w:r w:rsidRPr="00EE70CB">
                    <w:t>Qld</w:t>
                  </w:r>
                </w:p>
              </w:tc>
              <w:tc>
                <w:tcPr>
                  <w:tcW w:w="709" w:type="dxa"/>
                  <w:tcBorders>
                    <w:top w:val="single" w:sz="8" w:space="0" w:color="BFBFBF"/>
                    <w:left w:val="nil"/>
                    <w:bottom w:val="single" w:sz="8" w:space="0" w:color="BFBFBF"/>
                    <w:right w:val="nil"/>
                  </w:tcBorders>
                  <w:shd w:val="clear" w:color="auto" w:fill="auto"/>
                  <w:vAlign w:val="center"/>
                  <w:hideMark/>
                </w:tcPr>
                <w:p w14:paraId="7954A8CB" w14:textId="77777777" w:rsidR="00F05DC7" w:rsidRPr="00EE70CB" w:rsidRDefault="00F05DC7" w:rsidP="00A3786D">
                  <w:pPr>
                    <w:pStyle w:val="TableColumnHeading"/>
                    <w:ind w:right="11"/>
                  </w:pPr>
                  <w:r w:rsidRPr="00EE70CB">
                    <w:t>WA</w:t>
                  </w:r>
                </w:p>
              </w:tc>
              <w:tc>
                <w:tcPr>
                  <w:tcW w:w="708" w:type="dxa"/>
                  <w:tcBorders>
                    <w:top w:val="single" w:sz="8" w:space="0" w:color="BFBFBF"/>
                    <w:left w:val="nil"/>
                    <w:bottom w:val="single" w:sz="8" w:space="0" w:color="BFBFBF"/>
                    <w:right w:val="nil"/>
                  </w:tcBorders>
                  <w:shd w:val="clear" w:color="auto" w:fill="auto"/>
                  <w:vAlign w:val="center"/>
                  <w:hideMark/>
                </w:tcPr>
                <w:p w14:paraId="7954A8CC" w14:textId="77777777" w:rsidR="00F05DC7" w:rsidRPr="00EE70CB" w:rsidRDefault="00F05DC7" w:rsidP="00A3786D">
                  <w:pPr>
                    <w:pStyle w:val="TableColumnHeading"/>
                    <w:ind w:right="11"/>
                  </w:pPr>
                  <w:r w:rsidRPr="00EE70CB">
                    <w:t>SA</w:t>
                  </w:r>
                </w:p>
              </w:tc>
              <w:tc>
                <w:tcPr>
                  <w:tcW w:w="709" w:type="dxa"/>
                  <w:tcBorders>
                    <w:top w:val="single" w:sz="8" w:space="0" w:color="BFBFBF"/>
                    <w:left w:val="nil"/>
                    <w:bottom w:val="single" w:sz="8" w:space="0" w:color="BFBFBF"/>
                    <w:right w:val="nil"/>
                  </w:tcBorders>
                  <w:shd w:val="clear" w:color="auto" w:fill="auto"/>
                  <w:vAlign w:val="center"/>
                  <w:hideMark/>
                </w:tcPr>
                <w:p w14:paraId="7954A8CD" w14:textId="77777777" w:rsidR="00F05DC7" w:rsidRPr="00EE70CB" w:rsidRDefault="00F05DC7" w:rsidP="00A3786D">
                  <w:pPr>
                    <w:pStyle w:val="TableColumnHeading"/>
                    <w:ind w:right="11"/>
                  </w:pPr>
                  <w:r w:rsidRPr="00EE70CB">
                    <w:t>Tas</w:t>
                  </w:r>
                </w:p>
              </w:tc>
              <w:tc>
                <w:tcPr>
                  <w:tcW w:w="709" w:type="dxa"/>
                  <w:tcBorders>
                    <w:top w:val="single" w:sz="8" w:space="0" w:color="BFBFBF"/>
                    <w:left w:val="nil"/>
                    <w:bottom w:val="single" w:sz="8" w:space="0" w:color="BFBFBF"/>
                    <w:right w:val="nil"/>
                  </w:tcBorders>
                  <w:shd w:val="clear" w:color="auto" w:fill="auto"/>
                  <w:vAlign w:val="center"/>
                  <w:hideMark/>
                </w:tcPr>
                <w:p w14:paraId="7954A8CE" w14:textId="77777777" w:rsidR="00F05DC7" w:rsidRPr="00EE70CB" w:rsidRDefault="00F05DC7" w:rsidP="00A3786D">
                  <w:pPr>
                    <w:pStyle w:val="TableColumnHeading"/>
                    <w:ind w:right="11"/>
                  </w:pPr>
                  <w:r w:rsidRPr="00EE70CB">
                    <w:t>ACT</w:t>
                  </w:r>
                </w:p>
              </w:tc>
              <w:tc>
                <w:tcPr>
                  <w:tcW w:w="709" w:type="dxa"/>
                  <w:tcBorders>
                    <w:top w:val="single" w:sz="8" w:space="0" w:color="BFBFBF"/>
                    <w:left w:val="nil"/>
                    <w:bottom w:val="single" w:sz="8" w:space="0" w:color="BFBFBF"/>
                    <w:right w:val="nil"/>
                  </w:tcBorders>
                  <w:shd w:val="clear" w:color="auto" w:fill="auto"/>
                  <w:vAlign w:val="center"/>
                  <w:hideMark/>
                </w:tcPr>
                <w:p w14:paraId="7954A8CF" w14:textId="77777777" w:rsidR="00F05DC7" w:rsidRPr="00EE70CB" w:rsidRDefault="00F05DC7" w:rsidP="00A3786D">
                  <w:pPr>
                    <w:pStyle w:val="TableColumnHeading"/>
                    <w:ind w:right="11"/>
                  </w:pPr>
                  <w:r w:rsidRPr="00EE70CB">
                    <w:t>NT</w:t>
                  </w:r>
                </w:p>
              </w:tc>
            </w:tr>
            <w:tr w:rsidR="00F05DC7" w14:paraId="7954A8DA" w14:textId="77777777" w:rsidTr="00A3786D">
              <w:trPr>
                <w:trHeight w:val="283"/>
              </w:trPr>
              <w:tc>
                <w:tcPr>
                  <w:tcW w:w="2835" w:type="dxa"/>
                  <w:tcBorders>
                    <w:top w:val="nil"/>
                    <w:left w:val="nil"/>
                    <w:bottom w:val="nil"/>
                    <w:right w:val="nil"/>
                  </w:tcBorders>
                  <w:shd w:val="clear" w:color="auto" w:fill="auto"/>
                  <w:vAlign w:val="center"/>
                  <w:hideMark/>
                </w:tcPr>
                <w:p w14:paraId="7954A8D1" w14:textId="77777777" w:rsidR="00F05DC7" w:rsidRPr="00791D71" w:rsidRDefault="00F05DC7" w:rsidP="00A3786D">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708" w:type="dxa"/>
                  <w:tcBorders>
                    <w:top w:val="nil"/>
                    <w:left w:val="nil"/>
                    <w:bottom w:val="nil"/>
                    <w:right w:val="nil"/>
                  </w:tcBorders>
                  <w:shd w:val="clear" w:color="auto" w:fill="auto"/>
                  <w:hideMark/>
                </w:tcPr>
                <w:p w14:paraId="7954A8D2"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A8D3"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A8D4"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A8D5" w14:textId="77777777" w:rsidR="00F05DC7" w:rsidRPr="00791D71" w:rsidRDefault="00F05DC7" w:rsidP="00A3786D">
                  <w:pPr>
                    <w:pStyle w:val="TableBodyText"/>
                  </w:pPr>
                </w:p>
              </w:tc>
              <w:tc>
                <w:tcPr>
                  <w:tcW w:w="708" w:type="dxa"/>
                  <w:tcBorders>
                    <w:top w:val="nil"/>
                    <w:left w:val="nil"/>
                    <w:bottom w:val="nil"/>
                    <w:right w:val="nil"/>
                  </w:tcBorders>
                  <w:shd w:val="clear" w:color="auto" w:fill="auto"/>
                  <w:hideMark/>
                </w:tcPr>
                <w:p w14:paraId="7954A8D6"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A8D7"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A8D8"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A8D9" w14:textId="77777777" w:rsidR="00F05DC7" w:rsidRPr="00791D71" w:rsidRDefault="00F05DC7" w:rsidP="00A3786D">
                  <w:pPr>
                    <w:pStyle w:val="TableBodyText"/>
                  </w:pPr>
                </w:p>
              </w:tc>
            </w:tr>
            <w:tr w:rsidR="00F05DC7" w14:paraId="7954A8E4" w14:textId="77777777" w:rsidTr="00A3786D">
              <w:trPr>
                <w:trHeight w:val="283"/>
              </w:trPr>
              <w:tc>
                <w:tcPr>
                  <w:tcW w:w="2835" w:type="dxa"/>
                  <w:tcBorders>
                    <w:top w:val="nil"/>
                    <w:left w:val="nil"/>
                    <w:bottom w:val="nil"/>
                    <w:right w:val="nil"/>
                  </w:tcBorders>
                  <w:shd w:val="clear" w:color="auto" w:fill="auto"/>
                  <w:vAlign w:val="center"/>
                  <w:hideMark/>
                </w:tcPr>
                <w:p w14:paraId="7954A8DB" w14:textId="77777777" w:rsidR="00F05DC7" w:rsidRPr="00791D71" w:rsidRDefault="00F05DC7" w:rsidP="00A3786D">
                  <w:pPr>
                    <w:pStyle w:val="TableBodyText"/>
                    <w:ind w:left="113"/>
                    <w:jc w:val="left"/>
                  </w:pPr>
                  <w:r w:rsidRPr="00791D71">
                    <w:t>Current approach</w:t>
                  </w:r>
                </w:p>
              </w:tc>
              <w:tc>
                <w:tcPr>
                  <w:tcW w:w="708" w:type="dxa"/>
                  <w:tcBorders>
                    <w:top w:val="nil"/>
                    <w:left w:val="nil"/>
                    <w:bottom w:val="nil"/>
                    <w:right w:val="nil"/>
                  </w:tcBorders>
                  <w:shd w:val="clear" w:color="auto" w:fill="auto"/>
                  <w:vAlign w:val="center"/>
                  <w:hideMark/>
                </w:tcPr>
                <w:p w14:paraId="7954A8DC" w14:textId="77777777" w:rsidR="00F05DC7" w:rsidRPr="00791D71" w:rsidRDefault="00F05DC7" w:rsidP="00A3786D">
                  <w:pPr>
                    <w:pStyle w:val="TableBodyText"/>
                    <w:ind w:right="28"/>
                  </w:pPr>
                  <w:r>
                    <w:rPr>
                      <w:rFonts w:cs="Arial"/>
                      <w:color w:val="000000"/>
                      <w:szCs w:val="18"/>
                    </w:rPr>
                    <w:t>0.86</w:t>
                  </w:r>
                </w:p>
              </w:tc>
              <w:tc>
                <w:tcPr>
                  <w:tcW w:w="709" w:type="dxa"/>
                  <w:tcBorders>
                    <w:top w:val="nil"/>
                    <w:left w:val="nil"/>
                    <w:bottom w:val="nil"/>
                    <w:right w:val="nil"/>
                  </w:tcBorders>
                  <w:shd w:val="clear" w:color="auto" w:fill="auto"/>
                  <w:vAlign w:val="center"/>
                  <w:hideMark/>
                </w:tcPr>
                <w:p w14:paraId="7954A8DD" w14:textId="77777777" w:rsidR="00F05DC7" w:rsidRPr="00791D71" w:rsidRDefault="00F05DC7" w:rsidP="00A3786D">
                  <w:pPr>
                    <w:pStyle w:val="TableBodyText"/>
                    <w:ind w:right="28"/>
                  </w:pPr>
                  <w:r>
                    <w:rPr>
                      <w:rFonts w:cs="Arial"/>
                      <w:color w:val="000000"/>
                      <w:szCs w:val="18"/>
                    </w:rPr>
                    <w:t>0.99</w:t>
                  </w:r>
                </w:p>
              </w:tc>
              <w:tc>
                <w:tcPr>
                  <w:tcW w:w="709" w:type="dxa"/>
                  <w:tcBorders>
                    <w:top w:val="nil"/>
                    <w:left w:val="nil"/>
                    <w:bottom w:val="nil"/>
                    <w:right w:val="nil"/>
                  </w:tcBorders>
                  <w:shd w:val="clear" w:color="auto" w:fill="auto"/>
                  <w:vAlign w:val="center"/>
                  <w:hideMark/>
                </w:tcPr>
                <w:p w14:paraId="7954A8DE" w14:textId="77777777" w:rsidR="00F05DC7" w:rsidRPr="00791D71" w:rsidRDefault="00F05DC7" w:rsidP="00A3786D">
                  <w:pPr>
                    <w:pStyle w:val="TableBodyText"/>
                    <w:ind w:right="28"/>
                  </w:pPr>
                  <w:r>
                    <w:rPr>
                      <w:rFonts w:cs="Arial"/>
                      <w:color w:val="000000"/>
                      <w:szCs w:val="18"/>
                    </w:rPr>
                    <w:t>1.10</w:t>
                  </w:r>
                </w:p>
              </w:tc>
              <w:tc>
                <w:tcPr>
                  <w:tcW w:w="709" w:type="dxa"/>
                  <w:tcBorders>
                    <w:top w:val="nil"/>
                    <w:left w:val="nil"/>
                    <w:bottom w:val="nil"/>
                    <w:right w:val="nil"/>
                  </w:tcBorders>
                  <w:shd w:val="clear" w:color="auto" w:fill="auto"/>
                  <w:vAlign w:val="center"/>
                  <w:hideMark/>
                </w:tcPr>
                <w:p w14:paraId="7954A8DF" w14:textId="77777777" w:rsidR="00F05DC7" w:rsidRPr="00791D71" w:rsidRDefault="00F05DC7" w:rsidP="00A3786D">
                  <w:pPr>
                    <w:pStyle w:val="TableBodyText"/>
                    <w:ind w:right="28"/>
                  </w:pPr>
                  <w:r>
                    <w:rPr>
                      <w:rFonts w:cs="Arial"/>
                      <w:color w:val="000000"/>
                      <w:szCs w:val="18"/>
                    </w:rPr>
                    <w:t>0.47</w:t>
                  </w:r>
                </w:p>
              </w:tc>
              <w:tc>
                <w:tcPr>
                  <w:tcW w:w="708" w:type="dxa"/>
                  <w:tcBorders>
                    <w:top w:val="nil"/>
                    <w:left w:val="nil"/>
                    <w:bottom w:val="nil"/>
                    <w:right w:val="nil"/>
                  </w:tcBorders>
                  <w:shd w:val="clear" w:color="auto" w:fill="auto"/>
                  <w:vAlign w:val="center"/>
                  <w:hideMark/>
                </w:tcPr>
                <w:p w14:paraId="7954A8E0" w14:textId="77777777" w:rsidR="00F05DC7" w:rsidRPr="00791D71" w:rsidRDefault="00F05DC7" w:rsidP="00A3786D">
                  <w:pPr>
                    <w:pStyle w:val="TableBodyText"/>
                    <w:ind w:right="28"/>
                  </w:pPr>
                  <w:r>
                    <w:rPr>
                      <w:rFonts w:cs="Arial"/>
                      <w:color w:val="000000"/>
                      <w:szCs w:val="18"/>
                    </w:rPr>
                    <w:t>1.48</w:t>
                  </w:r>
                </w:p>
              </w:tc>
              <w:tc>
                <w:tcPr>
                  <w:tcW w:w="709" w:type="dxa"/>
                  <w:tcBorders>
                    <w:top w:val="nil"/>
                    <w:left w:val="nil"/>
                    <w:bottom w:val="nil"/>
                    <w:right w:val="nil"/>
                  </w:tcBorders>
                  <w:shd w:val="clear" w:color="auto" w:fill="auto"/>
                  <w:vAlign w:val="center"/>
                  <w:hideMark/>
                </w:tcPr>
                <w:p w14:paraId="7954A8E1" w14:textId="77777777" w:rsidR="00F05DC7" w:rsidRPr="00791D71" w:rsidRDefault="00F05DC7" w:rsidP="00A3786D">
                  <w:pPr>
                    <w:pStyle w:val="TableBodyText"/>
                    <w:ind w:right="28"/>
                  </w:pPr>
                  <w:r>
                    <w:rPr>
                      <w:rFonts w:cs="Arial"/>
                      <w:color w:val="000000"/>
                      <w:szCs w:val="18"/>
                    </w:rPr>
                    <w:t>1.77</w:t>
                  </w:r>
                </w:p>
              </w:tc>
              <w:tc>
                <w:tcPr>
                  <w:tcW w:w="709" w:type="dxa"/>
                  <w:tcBorders>
                    <w:top w:val="nil"/>
                    <w:left w:val="nil"/>
                    <w:bottom w:val="nil"/>
                    <w:right w:val="nil"/>
                  </w:tcBorders>
                  <w:shd w:val="clear" w:color="auto" w:fill="auto"/>
                  <w:vAlign w:val="center"/>
                  <w:hideMark/>
                </w:tcPr>
                <w:p w14:paraId="7954A8E2" w14:textId="77777777" w:rsidR="00F05DC7" w:rsidRPr="00791D71" w:rsidRDefault="00F05DC7" w:rsidP="00A3786D">
                  <w:pPr>
                    <w:pStyle w:val="TableBodyText"/>
                    <w:ind w:right="28"/>
                  </w:pPr>
                  <w:r>
                    <w:rPr>
                      <w:rFonts w:cs="Arial"/>
                      <w:color w:val="000000"/>
                      <w:szCs w:val="18"/>
                    </w:rPr>
                    <w:t>1.18</w:t>
                  </w:r>
                </w:p>
              </w:tc>
              <w:tc>
                <w:tcPr>
                  <w:tcW w:w="709" w:type="dxa"/>
                  <w:tcBorders>
                    <w:top w:val="nil"/>
                    <w:left w:val="nil"/>
                    <w:bottom w:val="nil"/>
                    <w:right w:val="nil"/>
                  </w:tcBorders>
                  <w:shd w:val="clear" w:color="auto" w:fill="auto"/>
                  <w:vAlign w:val="center"/>
                  <w:hideMark/>
                </w:tcPr>
                <w:p w14:paraId="7954A8E3" w14:textId="77777777" w:rsidR="00F05DC7" w:rsidRPr="00791D71" w:rsidRDefault="00F05DC7" w:rsidP="00A3786D">
                  <w:pPr>
                    <w:pStyle w:val="TableBodyText"/>
                    <w:ind w:right="28"/>
                  </w:pPr>
                  <w:r>
                    <w:rPr>
                      <w:rFonts w:cs="Arial"/>
                      <w:color w:val="000000"/>
                      <w:szCs w:val="18"/>
                    </w:rPr>
                    <w:t>4.26</w:t>
                  </w:r>
                </w:p>
              </w:tc>
            </w:tr>
            <w:tr w:rsidR="00F05DC7" w14:paraId="7954A8EE" w14:textId="77777777" w:rsidTr="00A3786D">
              <w:trPr>
                <w:trHeight w:val="283"/>
              </w:trPr>
              <w:tc>
                <w:tcPr>
                  <w:tcW w:w="2835" w:type="dxa"/>
                  <w:tcBorders>
                    <w:top w:val="nil"/>
                    <w:left w:val="nil"/>
                    <w:bottom w:val="nil"/>
                    <w:right w:val="nil"/>
                  </w:tcBorders>
                  <w:shd w:val="clear" w:color="auto" w:fill="auto"/>
                  <w:vAlign w:val="center"/>
                  <w:hideMark/>
                </w:tcPr>
                <w:p w14:paraId="7954A8E5" w14:textId="77777777" w:rsidR="00F05DC7" w:rsidRPr="00791D71" w:rsidRDefault="00F05DC7" w:rsidP="00A3786D">
                  <w:pPr>
                    <w:pStyle w:val="TableBodyText"/>
                    <w:ind w:left="113"/>
                    <w:jc w:val="left"/>
                  </w:pPr>
                  <w:r w:rsidRPr="00791D71">
                    <w:t>Equal per capita</w:t>
                  </w:r>
                </w:p>
              </w:tc>
              <w:tc>
                <w:tcPr>
                  <w:tcW w:w="708" w:type="dxa"/>
                  <w:tcBorders>
                    <w:top w:val="nil"/>
                    <w:left w:val="nil"/>
                    <w:bottom w:val="nil"/>
                    <w:right w:val="nil"/>
                  </w:tcBorders>
                  <w:shd w:val="clear" w:color="auto" w:fill="auto"/>
                  <w:vAlign w:val="center"/>
                  <w:hideMark/>
                </w:tcPr>
                <w:p w14:paraId="7954A8E6"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A8E7"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A8E8"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A8E9" w14:textId="77777777" w:rsidR="00F05DC7" w:rsidRPr="00791D71" w:rsidRDefault="00F05DC7" w:rsidP="00A3786D">
                  <w:pPr>
                    <w:pStyle w:val="TableBodyText"/>
                    <w:ind w:right="28"/>
                  </w:pPr>
                  <w:r w:rsidRPr="00791D71">
                    <w:t>1.00</w:t>
                  </w:r>
                </w:p>
              </w:tc>
              <w:tc>
                <w:tcPr>
                  <w:tcW w:w="708" w:type="dxa"/>
                  <w:tcBorders>
                    <w:top w:val="nil"/>
                    <w:left w:val="nil"/>
                    <w:bottom w:val="nil"/>
                    <w:right w:val="nil"/>
                  </w:tcBorders>
                  <w:shd w:val="clear" w:color="auto" w:fill="auto"/>
                  <w:vAlign w:val="center"/>
                  <w:hideMark/>
                </w:tcPr>
                <w:p w14:paraId="7954A8EA"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A8EB"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A8EC"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A8ED" w14:textId="77777777" w:rsidR="00F05DC7" w:rsidRPr="00791D71" w:rsidRDefault="00F05DC7" w:rsidP="00A3786D">
                  <w:pPr>
                    <w:pStyle w:val="TableBodyText"/>
                    <w:ind w:right="28"/>
                  </w:pPr>
                  <w:r w:rsidRPr="00791D71">
                    <w:t>1.00</w:t>
                  </w:r>
                </w:p>
              </w:tc>
            </w:tr>
            <w:tr w:rsidR="00F05DC7" w14:paraId="7954A8F8" w14:textId="77777777" w:rsidTr="00A3786D">
              <w:trPr>
                <w:trHeight w:val="283"/>
              </w:trPr>
              <w:tc>
                <w:tcPr>
                  <w:tcW w:w="2835" w:type="dxa"/>
                  <w:tcBorders>
                    <w:top w:val="nil"/>
                    <w:left w:val="nil"/>
                    <w:bottom w:val="nil"/>
                    <w:right w:val="nil"/>
                  </w:tcBorders>
                  <w:shd w:val="clear" w:color="auto" w:fill="auto"/>
                  <w:vAlign w:val="center"/>
                  <w:hideMark/>
                </w:tcPr>
                <w:p w14:paraId="7954A8EF" w14:textId="77777777" w:rsidR="00F05DC7" w:rsidRPr="00791D71" w:rsidRDefault="00F05DC7" w:rsidP="00A3786D">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708" w:type="dxa"/>
                  <w:tcBorders>
                    <w:top w:val="nil"/>
                    <w:left w:val="nil"/>
                    <w:bottom w:val="nil"/>
                    <w:right w:val="nil"/>
                  </w:tcBorders>
                  <w:shd w:val="clear" w:color="auto" w:fill="auto"/>
                  <w:vAlign w:val="center"/>
                  <w:hideMark/>
                </w:tcPr>
                <w:p w14:paraId="7954A8F0" w14:textId="77777777" w:rsidR="00F05DC7" w:rsidRPr="00961FB0"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A8F1"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A8F2"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A8F3" w14:textId="77777777" w:rsidR="00F05DC7" w:rsidRPr="00791D71" w:rsidRDefault="00F05DC7" w:rsidP="00A3786D">
                  <w:pPr>
                    <w:pStyle w:val="TableBodyText"/>
                    <w:ind w:right="28"/>
                  </w:pPr>
                </w:p>
              </w:tc>
              <w:tc>
                <w:tcPr>
                  <w:tcW w:w="708" w:type="dxa"/>
                  <w:tcBorders>
                    <w:top w:val="nil"/>
                    <w:left w:val="nil"/>
                    <w:bottom w:val="nil"/>
                    <w:right w:val="nil"/>
                  </w:tcBorders>
                  <w:shd w:val="clear" w:color="auto" w:fill="auto"/>
                  <w:vAlign w:val="center"/>
                  <w:hideMark/>
                </w:tcPr>
                <w:p w14:paraId="7954A8F4"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A8F5"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A8F6"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A8F7" w14:textId="77777777" w:rsidR="00F05DC7" w:rsidRPr="00791D71" w:rsidRDefault="00F05DC7" w:rsidP="00A3786D">
                  <w:pPr>
                    <w:pStyle w:val="TableBodyText"/>
                    <w:ind w:right="28"/>
                  </w:pPr>
                </w:p>
              </w:tc>
            </w:tr>
            <w:tr w:rsidR="00F05DC7" w14:paraId="7954A902" w14:textId="77777777" w:rsidTr="00A3786D">
              <w:trPr>
                <w:trHeight w:val="283"/>
              </w:trPr>
              <w:tc>
                <w:tcPr>
                  <w:tcW w:w="2835" w:type="dxa"/>
                  <w:tcBorders>
                    <w:top w:val="nil"/>
                    <w:left w:val="nil"/>
                    <w:bottom w:val="nil"/>
                    <w:right w:val="nil"/>
                  </w:tcBorders>
                  <w:shd w:val="clear" w:color="auto" w:fill="auto"/>
                  <w:vAlign w:val="center"/>
                  <w:hideMark/>
                </w:tcPr>
                <w:p w14:paraId="7954A8F9" w14:textId="77777777" w:rsidR="00F05DC7" w:rsidRPr="00791D71" w:rsidRDefault="00F05DC7" w:rsidP="00A3786D">
                  <w:pPr>
                    <w:pStyle w:val="TableBodyText"/>
                    <w:ind w:left="113"/>
                    <w:jc w:val="left"/>
                  </w:pPr>
                  <w:r>
                    <w:t>$m</w:t>
                  </w:r>
                </w:p>
              </w:tc>
              <w:tc>
                <w:tcPr>
                  <w:tcW w:w="708" w:type="dxa"/>
                  <w:tcBorders>
                    <w:top w:val="nil"/>
                    <w:left w:val="nil"/>
                    <w:bottom w:val="nil"/>
                    <w:right w:val="nil"/>
                  </w:tcBorders>
                  <w:shd w:val="clear" w:color="auto" w:fill="auto"/>
                  <w:vAlign w:val="center"/>
                  <w:hideMark/>
                </w:tcPr>
                <w:p w14:paraId="7954A8FA" w14:textId="77777777" w:rsidR="00F05DC7" w:rsidRPr="00791D71" w:rsidRDefault="00F05DC7" w:rsidP="00A3786D">
                  <w:pPr>
                    <w:pStyle w:val="TableBodyText"/>
                    <w:ind w:right="28"/>
                  </w:pPr>
                  <w:r>
                    <w:t>3 021</w:t>
                  </w:r>
                </w:p>
              </w:tc>
              <w:tc>
                <w:tcPr>
                  <w:tcW w:w="709" w:type="dxa"/>
                  <w:tcBorders>
                    <w:top w:val="nil"/>
                    <w:left w:val="nil"/>
                    <w:bottom w:val="nil"/>
                    <w:right w:val="nil"/>
                  </w:tcBorders>
                  <w:shd w:val="clear" w:color="auto" w:fill="auto"/>
                  <w:vAlign w:val="center"/>
                  <w:hideMark/>
                </w:tcPr>
                <w:p w14:paraId="7954A8FB" w14:textId="77777777" w:rsidR="00F05DC7" w:rsidRPr="00791D71" w:rsidRDefault="00F05DC7" w:rsidP="00A3786D">
                  <w:pPr>
                    <w:pStyle w:val="TableBodyText"/>
                    <w:ind w:right="28"/>
                  </w:pPr>
                  <w:r>
                    <w:t>201</w:t>
                  </w:r>
                </w:p>
              </w:tc>
              <w:tc>
                <w:tcPr>
                  <w:tcW w:w="709" w:type="dxa"/>
                  <w:tcBorders>
                    <w:top w:val="nil"/>
                    <w:left w:val="nil"/>
                    <w:bottom w:val="nil"/>
                    <w:right w:val="nil"/>
                  </w:tcBorders>
                  <w:shd w:val="clear" w:color="auto" w:fill="auto"/>
                  <w:vAlign w:val="center"/>
                  <w:hideMark/>
                </w:tcPr>
                <w:p w14:paraId="7954A8FC" w14:textId="77777777" w:rsidR="00F05DC7" w:rsidRPr="00791D71" w:rsidRDefault="00F05DC7" w:rsidP="00A3786D">
                  <w:pPr>
                    <w:pStyle w:val="TableBodyText"/>
                    <w:ind w:right="28"/>
                  </w:pPr>
                  <w:r>
                    <w:noBreakHyphen/>
                    <w:t>1 284</w:t>
                  </w:r>
                </w:p>
              </w:tc>
              <w:tc>
                <w:tcPr>
                  <w:tcW w:w="709" w:type="dxa"/>
                  <w:tcBorders>
                    <w:top w:val="nil"/>
                    <w:left w:val="nil"/>
                    <w:bottom w:val="nil"/>
                    <w:right w:val="nil"/>
                  </w:tcBorders>
                  <w:shd w:val="clear" w:color="auto" w:fill="auto"/>
                  <w:vAlign w:val="center"/>
                  <w:hideMark/>
                </w:tcPr>
                <w:p w14:paraId="7954A8FD" w14:textId="77777777" w:rsidR="00F05DC7" w:rsidRPr="00791D71" w:rsidRDefault="00F05DC7" w:rsidP="00A3786D">
                  <w:pPr>
                    <w:pStyle w:val="TableBodyText"/>
                    <w:ind w:right="28"/>
                  </w:pPr>
                  <w:r>
                    <w:t>3 618</w:t>
                  </w:r>
                </w:p>
              </w:tc>
              <w:tc>
                <w:tcPr>
                  <w:tcW w:w="708" w:type="dxa"/>
                  <w:tcBorders>
                    <w:top w:val="nil"/>
                    <w:left w:val="nil"/>
                    <w:bottom w:val="nil"/>
                    <w:right w:val="nil"/>
                  </w:tcBorders>
                  <w:shd w:val="clear" w:color="auto" w:fill="auto"/>
                  <w:vAlign w:val="center"/>
                  <w:hideMark/>
                </w:tcPr>
                <w:p w14:paraId="7954A8FE" w14:textId="77777777" w:rsidR="00F05DC7" w:rsidRPr="00791D71" w:rsidRDefault="00F05DC7" w:rsidP="00A3786D">
                  <w:pPr>
                    <w:pStyle w:val="TableBodyText"/>
                    <w:ind w:right="28"/>
                  </w:pPr>
                  <w:r>
                    <w:noBreakHyphen/>
                    <w:t>2 188</w:t>
                  </w:r>
                </w:p>
              </w:tc>
              <w:tc>
                <w:tcPr>
                  <w:tcW w:w="709" w:type="dxa"/>
                  <w:tcBorders>
                    <w:top w:val="nil"/>
                    <w:left w:val="nil"/>
                    <w:bottom w:val="nil"/>
                    <w:right w:val="nil"/>
                  </w:tcBorders>
                  <w:shd w:val="clear" w:color="auto" w:fill="auto"/>
                  <w:vAlign w:val="center"/>
                  <w:hideMark/>
                </w:tcPr>
                <w:p w14:paraId="7954A8FF" w14:textId="77777777" w:rsidR="00F05DC7" w:rsidRPr="00791D71" w:rsidRDefault="00F05DC7" w:rsidP="00A3786D">
                  <w:pPr>
                    <w:pStyle w:val="TableBodyText"/>
                    <w:ind w:right="28"/>
                  </w:pPr>
                  <w:r>
                    <w:noBreakHyphen/>
                  </w:r>
                  <w:r w:rsidRPr="00791D71">
                    <w:t>1</w:t>
                  </w:r>
                  <w:r>
                    <w:t> </w:t>
                  </w:r>
                  <w:r w:rsidRPr="00791D71">
                    <w:t>0</w:t>
                  </w:r>
                  <w:r>
                    <w:t>59</w:t>
                  </w:r>
                </w:p>
              </w:tc>
              <w:tc>
                <w:tcPr>
                  <w:tcW w:w="709" w:type="dxa"/>
                  <w:tcBorders>
                    <w:top w:val="nil"/>
                    <w:left w:val="nil"/>
                    <w:bottom w:val="nil"/>
                    <w:right w:val="nil"/>
                  </w:tcBorders>
                  <w:shd w:val="clear" w:color="auto" w:fill="auto"/>
                  <w:vAlign w:val="center"/>
                  <w:hideMark/>
                </w:tcPr>
                <w:p w14:paraId="7954A900" w14:textId="77777777" w:rsidR="00F05DC7" w:rsidRPr="00791D71" w:rsidRDefault="00F05DC7" w:rsidP="00A3786D">
                  <w:pPr>
                    <w:pStyle w:val="TableBodyText"/>
                    <w:ind w:right="28"/>
                  </w:pPr>
                  <w:r>
                    <w:noBreakHyphen/>
                  </w:r>
                  <w:r w:rsidRPr="00791D71">
                    <w:t>20</w:t>
                  </w:r>
                  <w:r>
                    <w:t>0</w:t>
                  </w:r>
                </w:p>
              </w:tc>
              <w:tc>
                <w:tcPr>
                  <w:tcW w:w="709" w:type="dxa"/>
                  <w:tcBorders>
                    <w:top w:val="nil"/>
                    <w:left w:val="nil"/>
                    <w:bottom w:val="nil"/>
                    <w:right w:val="nil"/>
                  </w:tcBorders>
                  <w:shd w:val="clear" w:color="auto" w:fill="auto"/>
                  <w:vAlign w:val="center"/>
                  <w:hideMark/>
                </w:tcPr>
                <w:p w14:paraId="7954A901" w14:textId="77777777" w:rsidR="00F05DC7" w:rsidRPr="00791D71" w:rsidRDefault="00F05DC7" w:rsidP="00A3786D">
                  <w:pPr>
                    <w:pStyle w:val="TableBodyText"/>
                    <w:ind w:right="28"/>
                  </w:pPr>
                  <w:r>
                    <w:noBreakHyphen/>
                  </w:r>
                  <w:r w:rsidRPr="00791D71">
                    <w:t>2</w:t>
                  </w:r>
                  <w:r>
                    <w:t> 109</w:t>
                  </w:r>
                </w:p>
              </w:tc>
            </w:tr>
            <w:tr w:rsidR="00F05DC7" w14:paraId="7954A90C" w14:textId="77777777" w:rsidTr="00A3786D">
              <w:trPr>
                <w:trHeight w:val="283"/>
              </w:trPr>
              <w:tc>
                <w:tcPr>
                  <w:tcW w:w="2835" w:type="dxa"/>
                  <w:tcBorders>
                    <w:top w:val="nil"/>
                    <w:left w:val="nil"/>
                    <w:bottom w:val="nil"/>
                    <w:right w:val="nil"/>
                  </w:tcBorders>
                  <w:shd w:val="clear" w:color="auto" w:fill="auto"/>
                  <w:vAlign w:val="center"/>
                </w:tcPr>
                <w:p w14:paraId="7954A903" w14:textId="77777777" w:rsidR="00F05DC7" w:rsidRDefault="00F05DC7" w:rsidP="00A3786D">
                  <w:pPr>
                    <w:pStyle w:val="TableBodyText"/>
                    <w:ind w:left="113"/>
                    <w:jc w:val="left"/>
                  </w:pPr>
                  <w:r>
                    <w:t>$pc</w:t>
                  </w:r>
                </w:p>
              </w:tc>
              <w:tc>
                <w:tcPr>
                  <w:tcW w:w="708" w:type="dxa"/>
                  <w:tcBorders>
                    <w:top w:val="nil"/>
                    <w:left w:val="nil"/>
                    <w:bottom w:val="nil"/>
                    <w:right w:val="nil"/>
                  </w:tcBorders>
                  <w:shd w:val="clear" w:color="auto" w:fill="auto"/>
                  <w:vAlign w:val="center"/>
                </w:tcPr>
                <w:p w14:paraId="7954A904" w14:textId="77777777" w:rsidR="00F05DC7" w:rsidRPr="00791D71" w:rsidRDefault="00F05DC7" w:rsidP="00A3786D">
                  <w:pPr>
                    <w:pStyle w:val="TableBodyText"/>
                    <w:ind w:right="28"/>
                  </w:pPr>
                  <w:r>
                    <w:t>376</w:t>
                  </w:r>
                </w:p>
              </w:tc>
              <w:tc>
                <w:tcPr>
                  <w:tcW w:w="709" w:type="dxa"/>
                  <w:tcBorders>
                    <w:top w:val="nil"/>
                    <w:left w:val="nil"/>
                    <w:bottom w:val="nil"/>
                    <w:right w:val="nil"/>
                  </w:tcBorders>
                  <w:shd w:val="clear" w:color="auto" w:fill="auto"/>
                  <w:vAlign w:val="center"/>
                </w:tcPr>
                <w:p w14:paraId="7954A905" w14:textId="77777777" w:rsidR="00F05DC7" w:rsidRPr="00791D71" w:rsidRDefault="00F05DC7" w:rsidP="00A3786D">
                  <w:pPr>
                    <w:pStyle w:val="TableBodyText"/>
                    <w:ind w:right="28"/>
                  </w:pPr>
                  <w:r>
                    <w:t>31</w:t>
                  </w:r>
                </w:p>
              </w:tc>
              <w:tc>
                <w:tcPr>
                  <w:tcW w:w="709" w:type="dxa"/>
                  <w:tcBorders>
                    <w:top w:val="nil"/>
                    <w:left w:val="nil"/>
                    <w:bottom w:val="nil"/>
                    <w:right w:val="nil"/>
                  </w:tcBorders>
                  <w:shd w:val="clear" w:color="auto" w:fill="auto"/>
                  <w:vAlign w:val="center"/>
                </w:tcPr>
                <w:p w14:paraId="7954A906" w14:textId="77777777" w:rsidR="00F05DC7" w:rsidRPr="00791D71" w:rsidRDefault="00F05DC7" w:rsidP="00A3786D">
                  <w:pPr>
                    <w:pStyle w:val="TableBodyText"/>
                    <w:ind w:right="28"/>
                  </w:pPr>
                  <w:r>
                    <w:noBreakHyphen/>
                    <w:t>256</w:t>
                  </w:r>
                </w:p>
              </w:tc>
              <w:tc>
                <w:tcPr>
                  <w:tcW w:w="709" w:type="dxa"/>
                  <w:tcBorders>
                    <w:top w:val="nil"/>
                    <w:left w:val="nil"/>
                    <w:bottom w:val="nil"/>
                    <w:right w:val="nil"/>
                  </w:tcBorders>
                  <w:shd w:val="clear" w:color="auto" w:fill="auto"/>
                  <w:vAlign w:val="center"/>
                </w:tcPr>
                <w:p w14:paraId="7954A907" w14:textId="77777777" w:rsidR="00F05DC7" w:rsidRPr="00791D71" w:rsidRDefault="00F05DC7" w:rsidP="00A3786D">
                  <w:pPr>
                    <w:pStyle w:val="TableBodyText"/>
                    <w:ind w:right="28"/>
                  </w:pPr>
                  <w:r w:rsidRPr="00791D71">
                    <w:t>1</w:t>
                  </w:r>
                  <w:r>
                    <w:t> 380</w:t>
                  </w:r>
                </w:p>
              </w:tc>
              <w:tc>
                <w:tcPr>
                  <w:tcW w:w="708" w:type="dxa"/>
                  <w:tcBorders>
                    <w:top w:val="nil"/>
                    <w:left w:val="nil"/>
                    <w:bottom w:val="nil"/>
                    <w:right w:val="nil"/>
                  </w:tcBorders>
                  <w:shd w:val="clear" w:color="auto" w:fill="auto"/>
                  <w:vAlign w:val="center"/>
                </w:tcPr>
                <w:p w14:paraId="7954A908" w14:textId="77777777" w:rsidR="00F05DC7" w:rsidRPr="00791D71" w:rsidRDefault="00F05DC7" w:rsidP="00A3786D">
                  <w:pPr>
                    <w:pStyle w:val="TableBodyText"/>
                    <w:ind w:right="28"/>
                  </w:pPr>
                  <w:r>
                    <w:noBreakHyphen/>
                  </w:r>
                  <w:r w:rsidRPr="00791D71">
                    <w:t>1</w:t>
                  </w:r>
                  <w:r>
                    <w:t> 257</w:t>
                  </w:r>
                </w:p>
              </w:tc>
              <w:tc>
                <w:tcPr>
                  <w:tcW w:w="709" w:type="dxa"/>
                  <w:tcBorders>
                    <w:top w:val="nil"/>
                    <w:left w:val="nil"/>
                    <w:bottom w:val="nil"/>
                    <w:right w:val="nil"/>
                  </w:tcBorders>
                  <w:shd w:val="clear" w:color="auto" w:fill="auto"/>
                  <w:vAlign w:val="center"/>
                </w:tcPr>
                <w:p w14:paraId="7954A909" w14:textId="77777777" w:rsidR="00F05DC7" w:rsidRPr="00791D71" w:rsidRDefault="00F05DC7" w:rsidP="00A3786D">
                  <w:pPr>
                    <w:pStyle w:val="TableBodyText"/>
                    <w:ind w:right="28"/>
                  </w:pPr>
                  <w:r>
                    <w:noBreakHyphen/>
                  </w:r>
                  <w:r w:rsidRPr="00791D71">
                    <w:t>2</w:t>
                  </w:r>
                  <w:r>
                    <w:t> </w:t>
                  </w:r>
                  <w:r w:rsidRPr="00791D71">
                    <w:t>0</w:t>
                  </w:r>
                  <w:r>
                    <w:t>18</w:t>
                  </w:r>
                </w:p>
              </w:tc>
              <w:tc>
                <w:tcPr>
                  <w:tcW w:w="709" w:type="dxa"/>
                  <w:tcBorders>
                    <w:top w:val="nil"/>
                    <w:left w:val="nil"/>
                    <w:bottom w:val="nil"/>
                    <w:right w:val="nil"/>
                  </w:tcBorders>
                  <w:shd w:val="clear" w:color="auto" w:fill="auto"/>
                  <w:vAlign w:val="center"/>
                </w:tcPr>
                <w:p w14:paraId="7954A90A" w14:textId="77777777" w:rsidR="00F05DC7" w:rsidRPr="00791D71" w:rsidRDefault="00F05DC7" w:rsidP="00A3786D">
                  <w:pPr>
                    <w:pStyle w:val="TableBodyText"/>
                    <w:ind w:right="28"/>
                  </w:pPr>
                  <w:r>
                    <w:noBreakHyphen/>
                    <w:t>479</w:t>
                  </w:r>
                </w:p>
              </w:tc>
              <w:tc>
                <w:tcPr>
                  <w:tcW w:w="709" w:type="dxa"/>
                  <w:tcBorders>
                    <w:top w:val="nil"/>
                    <w:left w:val="nil"/>
                    <w:bottom w:val="nil"/>
                    <w:right w:val="nil"/>
                  </w:tcBorders>
                  <w:shd w:val="clear" w:color="auto" w:fill="auto"/>
                  <w:vAlign w:val="center"/>
                </w:tcPr>
                <w:p w14:paraId="7954A90B" w14:textId="77777777" w:rsidR="00F05DC7" w:rsidRPr="00791D71" w:rsidRDefault="00F05DC7" w:rsidP="00A3786D">
                  <w:pPr>
                    <w:pStyle w:val="TableBodyText"/>
                    <w:ind w:right="28"/>
                  </w:pPr>
                  <w:r>
                    <w:noBreakHyphen/>
                    <w:t>8 559</w:t>
                  </w:r>
                </w:p>
              </w:tc>
            </w:tr>
            <w:tr w:rsidR="00F05DC7" w14:paraId="7954A916" w14:textId="77777777" w:rsidTr="00A3786D">
              <w:trPr>
                <w:trHeight w:val="283"/>
              </w:trPr>
              <w:tc>
                <w:tcPr>
                  <w:tcW w:w="2835" w:type="dxa"/>
                  <w:tcBorders>
                    <w:top w:val="nil"/>
                    <w:left w:val="nil"/>
                    <w:bottom w:val="single" w:sz="6" w:space="0" w:color="D9D9D9" w:themeColor="background1" w:themeShade="D9"/>
                    <w:right w:val="nil"/>
                  </w:tcBorders>
                  <w:shd w:val="clear" w:color="auto" w:fill="auto"/>
                  <w:vAlign w:val="center"/>
                </w:tcPr>
                <w:p w14:paraId="7954A90D" w14:textId="77777777" w:rsidR="00F05DC7" w:rsidRPr="00791D71" w:rsidRDefault="00F05DC7" w:rsidP="00A3786D">
                  <w:pPr>
                    <w:pStyle w:val="TableBodyText"/>
                    <w:ind w:left="113"/>
                    <w:jc w:val="left"/>
                  </w:pPr>
                  <w:r>
                    <w:rPr>
                      <w:rFonts w:asciiTheme="minorHAnsi" w:hAnsiTheme="minorHAnsi" w:cstheme="minorHAnsi"/>
                      <w:color w:val="000000"/>
                      <w:szCs w:val="18"/>
                    </w:rPr>
                    <w:t>% change in State revenue</w:t>
                  </w:r>
                </w:p>
              </w:tc>
              <w:tc>
                <w:tcPr>
                  <w:tcW w:w="708" w:type="dxa"/>
                  <w:tcBorders>
                    <w:top w:val="nil"/>
                    <w:left w:val="nil"/>
                    <w:bottom w:val="single" w:sz="6" w:space="0" w:color="D9D9D9" w:themeColor="background1" w:themeShade="D9"/>
                    <w:right w:val="nil"/>
                  </w:tcBorders>
                  <w:shd w:val="clear" w:color="auto" w:fill="auto"/>
                  <w:vAlign w:val="bottom"/>
                </w:tcPr>
                <w:p w14:paraId="7954A90E" w14:textId="77777777" w:rsidR="00F05DC7" w:rsidRPr="00991E74" w:rsidRDefault="00F05DC7" w:rsidP="00A3786D">
                  <w:pPr>
                    <w:pStyle w:val="TableBodyText"/>
                    <w:ind w:right="28"/>
                    <w:rPr>
                      <w:rFonts w:cs="Arial"/>
                      <w:szCs w:val="18"/>
                    </w:rPr>
                  </w:pPr>
                  <w:r w:rsidRPr="00DD7E1A">
                    <w:rPr>
                      <w:rFonts w:cs="Arial"/>
                      <w:color w:val="000000"/>
                      <w:szCs w:val="18"/>
                    </w:rPr>
                    <w:t>3.</w:t>
                  </w:r>
                  <w:r>
                    <w:rPr>
                      <w:rFonts w:cs="Arial"/>
                      <w:color w:val="000000"/>
                      <w:szCs w:val="18"/>
                    </w:rPr>
                    <w:t>7</w:t>
                  </w:r>
                </w:p>
              </w:tc>
              <w:tc>
                <w:tcPr>
                  <w:tcW w:w="709" w:type="dxa"/>
                  <w:tcBorders>
                    <w:top w:val="nil"/>
                    <w:left w:val="nil"/>
                    <w:bottom w:val="single" w:sz="6" w:space="0" w:color="D9D9D9" w:themeColor="background1" w:themeShade="D9"/>
                    <w:right w:val="nil"/>
                  </w:tcBorders>
                  <w:shd w:val="clear" w:color="auto" w:fill="auto"/>
                  <w:vAlign w:val="bottom"/>
                </w:tcPr>
                <w:p w14:paraId="7954A90F" w14:textId="77777777" w:rsidR="00F05DC7" w:rsidRPr="00991E74" w:rsidRDefault="00F05DC7" w:rsidP="00A3786D">
                  <w:pPr>
                    <w:pStyle w:val="TableBodyText"/>
                    <w:ind w:right="28"/>
                    <w:rPr>
                      <w:rFonts w:cs="Arial"/>
                      <w:szCs w:val="18"/>
                    </w:rPr>
                  </w:pPr>
                  <w:r>
                    <w:rPr>
                      <w:rFonts w:cs="Arial"/>
                      <w:color w:val="000000"/>
                      <w:szCs w:val="18"/>
                    </w:rPr>
                    <w:t>0</w:t>
                  </w:r>
                  <w:r w:rsidRPr="00DD7E1A">
                    <w:rPr>
                      <w:rFonts w:cs="Arial"/>
                      <w:color w:val="000000"/>
                      <w:szCs w:val="18"/>
                    </w:rPr>
                    <w:t>.</w:t>
                  </w:r>
                  <w:r>
                    <w:rPr>
                      <w:rFonts w:cs="Arial"/>
                      <w:color w:val="000000"/>
                      <w:szCs w:val="18"/>
                    </w:rPr>
                    <w:t>3</w:t>
                  </w:r>
                </w:p>
              </w:tc>
              <w:tc>
                <w:tcPr>
                  <w:tcW w:w="709" w:type="dxa"/>
                  <w:tcBorders>
                    <w:top w:val="nil"/>
                    <w:left w:val="nil"/>
                    <w:bottom w:val="single" w:sz="6" w:space="0" w:color="D9D9D9" w:themeColor="background1" w:themeShade="D9"/>
                    <w:right w:val="nil"/>
                  </w:tcBorders>
                  <w:shd w:val="clear" w:color="auto" w:fill="auto"/>
                  <w:vAlign w:val="bottom"/>
                </w:tcPr>
                <w:p w14:paraId="7954A910" w14:textId="77777777" w:rsidR="00F05DC7" w:rsidRPr="00991E74" w:rsidRDefault="00F05DC7" w:rsidP="00A3786D">
                  <w:pPr>
                    <w:pStyle w:val="TableBodyText"/>
                    <w:ind w:right="28"/>
                    <w:rPr>
                      <w:rFonts w:cs="Arial"/>
                      <w:szCs w:val="18"/>
                    </w:rPr>
                  </w:pPr>
                  <w:r>
                    <w:rPr>
                      <w:rFonts w:cs="Arial"/>
                      <w:color w:val="000000"/>
                      <w:szCs w:val="18"/>
                    </w:rPr>
                    <w:noBreakHyphen/>
                    <w:t>2</w:t>
                  </w:r>
                  <w:r w:rsidRPr="00DD7E1A">
                    <w:rPr>
                      <w:rFonts w:cs="Arial"/>
                      <w:color w:val="000000"/>
                      <w:szCs w:val="18"/>
                    </w:rPr>
                    <w:t>.3</w:t>
                  </w:r>
                </w:p>
              </w:tc>
              <w:tc>
                <w:tcPr>
                  <w:tcW w:w="709" w:type="dxa"/>
                  <w:tcBorders>
                    <w:top w:val="nil"/>
                    <w:left w:val="nil"/>
                    <w:bottom w:val="single" w:sz="6" w:space="0" w:color="D9D9D9" w:themeColor="background1" w:themeShade="D9"/>
                    <w:right w:val="nil"/>
                  </w:tcBorders>
                  <w:shd w:val="clear" w:color="auto" w:fill="auto"/>
                  <w:vAlign w:val="bottom"/>
                </w:tcPr>
                <w:p w14:paraId="7954A911" w14:textId="77777777" w:rsidR="00F05DC7" w:rsidRPr="00991E74" w:rsidRDefault="00F05DC7" w:rsidP="00A3786D">
                  <w:pPr>
                    <w:pStyle w:val="TableBodyText"/>
                    <w:ind w:right="28"/>
                    <w:rPr>
                      <w:rFonts w:cs="Arial"/>
                      <w:szCs w:val="18"/>
                    </w:rPr>
                  </w:pPr>
                  <w:r w:rsidRPr="00DD7E1A">
                    <w:rPr>
                      <w:rFonts w:cs="Arial"/>
                      <w:color w:val="000000"/>
                      <w:szCs w:val="18"/>
                    </w:rPr>
                    <w:t>1</w:t>
                  </w:r>
                  <w:r>
                    <w:rPr>
                      <w:rFonts w:cs="Arial"/>
                      <w:color w:val="000000"/>
                      <w:szCs w:val="18"/>
                    </w:rPr>
                    <w:t>2</w:t>
                  </w:r>
                  <w:r w:rsidRPr="00DD7E1A">
                    <w:rPr>
                      <w:rFonts w:cs="Arial"/>
                      <w:color w:val="000000"/>
                      <w:szCs w:val="18"/>
                    </w:rPr>
                    <w:t>.</w:t>
                  </w:r>
                  <w:r>
                    <w:rPr>
                      <w:rFonts w:cs="Arial"/>
                      <w:color w:val="000000"/>
                      <w:szCs w:val="18"/>
                    </w:rPr>
                    <w:t>2</w:t>
                  </w:r>
                </w:p>
              </w:tc>
              <w:tc>
                <w:tcPr>
                  <w:tcW w:w="708" w:type="dxa"/>
                  <w:tcBorders>
                    <w:top w:val="nil"/>
                    <w:left w:val="nil"/>
                    <w:bottom w:val="single" w:sz="6" w:space="0" w:color="D9D9D9" w:themeColor="background1" w:themeShade="D9"/>
                    <w:right w:val="nil"/>
                  </w:tcBorders>
                  <w:shd w:val="clear" w:color="auto" w:fill="auto"/>
                  <w:vAlign w:val="bottom"/>
                </w:tcPr>
                <w:p w14:paraId="7954A912" w14:textId="77777777" w:rsidR="00F05DC7" w:rsidRPr="00991E74" w:rsidRDefault="00F05DC7" w:rsidP="00A3786D">
                  <w:pPr>
                    <w:pStyle w:val="TableBodyText"/>
                    <w:ind w:right="28"/>
                    <w:rPr>
                      <w:rFonts w:cs="Arial"/>
                      <w:szCs w:val="18"/>
                    </w:rPr>
                  </w:pPr>
                  <w:r>
                    <w:rPr>
                      <w:rFonts w:cs="Arial"/>
                      <w:color w:val="000000"/>
                      <w:szCs w:val="18"/>
                    </w:rPr>
                    <w:noBreakHyphen/>
                  </w:r>
                  <w:r w:rsidRPr="00DD7E1A">
                    <w:rPr>
                      <w:rFonts w:cs="Arial"/>
                      <w:color w:val="000000"/>
                      <w:szCs w:val="18"/>
                    </w:rPr>
                    <w:t>1</w:t>
                  </w:r>
                  <w:r>
                    <w:rPr>
                      <w:rFonts w:cs="Arial"/>
                      <w:color w:val="000000"/>
                      <w:szCs w:val="18"/>
                    </w:rPr>
                    <w:t>1</w:t>
                  </w:r>
                  <w:r w:rsidRPr="00DD7E1A">
                    <w:rPr>
                      <w:rFonts w:cs="Arial"/>
                      <w:color w:val="000000"/>
                      <w:szCs w:val="18"/>
                    </w:rPr>
                    <w:t>.</w:t>
                  </w:r>
                  <w:r>
                    <w:rPr>
                      <w:rFonts w:cs="Arial"/>
                      <w:color w:val="000000"/>
                      <w:szCs w:val="18"/>
                    </w:rPr>
                    <w:t>4</w:t>
                  </w:r>
                </w:p>
              </w:tc>
              <w:tc>
                <w:tcPr>
                  <w:tcW w:w="709" w:type="dxa"/>
                  <w:tcBorders>
                    <w:top w:val="nil"/>
                    <w:left w:val="nil"/>
                    <w:bottom w:val="single" w:sz="6" w:space="0" w:color="D9D9D9" w:themeColor="background1" w:themeShade="D9"/>
                    <w:right w:val="nil"/>
                  </w:tcBorders>
                  <w:shd w:val="clear" w:color="auto" w:fill="auto"/>
                  <w:vAlign w:val="bottom"/>
                </w:tcPr>
                <w:p w14:paraId="7954A913" w14:textId="77777777" w:rsidR="00F05DC7" w:rsidRPr="00991E74" w:rsidRDefault="00F05DC7" w:rsidP="00A3786D">
                  <w:pPr>
                    <w:pStyle w:val="TableBodyText"/>
                    <w:ind w:right="28"/>
                    <w:rPr>
                      <w:rFonts w:cs="Arial"/>
                      <w:szCs w:val="18"/>
                    </w:rPr>
                  </w:pPr>
                  <w:r>
                    <w:rPr>
                      <w:rFonts w:cs="Arial"/>
                      <w:color w:val="000000"/>
                      <w:szCs w:val="18"/>
                    </w:rPr>
                    <w:noBreakHyphen/>
                  </w:r>
                  <w:r w:rsidRPr="00DD7E1A">
                    <w:rPr>
                      <w:rFonts w:cs="Arial"/>
                      <w:color w:val="000000"/>
                      <w:szCs w:val="18"/>
                    </w:rPr>
                    <w:t>1</w:t>
                  </w:r>
                  <w:r>
                    <w:rPr>
                      <w:rFonts w:cs="Arial"/>
                      <w:color w:val="000000"/>
                      <w:szCs w:val="18"/>
                    </w:rPr>
                    <w:t>7</w:t>
                  </w:r>
                  <w:r w:rsidRPr="00DD7E1A">
                    <w:rPr>
                      <w:rFonts w:cs="Arial"/>
                      <w:color w:val="000000"/>
                      <w:szCs w:val="18"/>
                    </w:rPr>
                    <w:t>.</w:t>
                  </w:r>
                  <w:r>
                    <w:rPr>
                      <w:rFonts w:cs="Arial"/>
                      <w:color w:val="000000"/>
                      <w:szCs w:val="18"/>
                    </w:rPr>
                    <w:t>7</w:t>
                  </w:r>
                </w:p>
              </w:tc>
              <w:tc>
                <w:tcPr>
                  <w:tcW w:w="709" w:type="dxa"/>
                  <w:tcBorders>
                    <w:top w:val="nil"/>
                    <w:left w:val="nil"/>
                    <w:bottom w:val="single" w:sz="6" w:space="0" w:color="D9D9D9" w:themeColor="background1" w:themeShade="D9"/>
                    <w:right w:val="nil"/>
                  </w:tcBorders>
                  <w:shd w:val="clear" w:color="auto" w:fill="auto"/>
                  <w:vAlign w:val="bottom"/>
                </w:tcPr>
                <w:p w14:paraId="7954A914" w14:textId="77777777" w:rsidR="00F05DC7" w:rsidRPr="00991E74" w:rsidRDefault="00F05DC7" w:rsidP="00A3786D">
                  <w:pPr>
                    <w:pStyle w:val="TableBodyText"/>
                    <w:ind w:right="28"/>
                    <w:rPr>
                      <w:rFonts w:cs="Arial"/>
                      <w:szCs w:val="18"/>
                    </w:rPr>
                  </w:pPr>
                  <w:r>
                    <w:rPr>
                      <w:rFonts w:cs="Arial"/>
                      <w:color w:val="000000"/>
                      <w:szCs w:val="18"/>
                    </w:rPr>
                    <w:noBreakHyphen/>
                  </w:r>
                  <w:r w:rsidRPr="00DD7E1A">
                    <w:rPr>
                      <w:rFonts w:cs="Arial"/>
                      <w:color w:val="000000"/>
                      <w:szCs w:val="18"/>
                    </w:rPr>
                    <w:t>3.</w:t>
                  </w:r>
                  <w:r>
                    <w:rPr>
                      <w:rFonts w:cs="Arial"/>
                      <w:color w:val="000000"/>
                      <w:szCs w:val="18"/>
                    </w:rPr>
                    <w:t>6</w:t>
                  </w:r>
                </w:p>
              </w:tc>
              <w:tc>
                <w:tcPr>
                  <w:tcW w:w="709" w:type="dxa"/>
                  <w:tcBorders>
                    <w:top w:val="nil"/>
                    <w:left w:val="nil"/>
                    <w:bottom w:val="single" w:sz="6" w:space="0" w:color="D9D9D9" w:themeColor="background1" w:themeShade="D9"/>
                    <w:right w:val="nil"/>
                  </w:tcBorders>
                  <w:shd w:val="clear" w:color="auto" w:fill="auto"/>
                  <w:vAlign w:val="bottom"/>
                </w:tcPr>
                <w:p w14:paraId="7954A915" w14:textId="77777777" w:rsidR="00F05DC7" w:rsidRPr="00991E74" w:rsidRDefault="00F05DC7" w:rsidP="00A3786D">
                  <w:pPr>
                    <w:pStyle w:val="TableBodyText"/>
                    <w:ind w:right="28"/>
                    <w:rPr>
                      <w:rFonts w:cs="Arial"/>
                      <w:szCs w:val="18"/>
                    </w:rPr>
                  </w:pPr>
                  <w:r>
                    <w:rPr>
                      <w:rFonts w:cs="Arial"/>
                      <w:color w:val="000000"/>
                      <w:szCs w:val="18"/>
                    </w:rPr>
                    <w:noBreakHyphen/>
                  </w:r>
                  <w:r w:rsidRPr="00DD7E1A">
                    <w:rPr>
                      <w:rFonts w:cs="Arial"/>
                      <w:color w:val="000000"/>
                      <w:szCs w:val="18"/>
                    </w:rPr>
                    <w:t>3</w:t>
                  </w:r>
                  <w:r>
                    <w:rPr>
                      <w:rFonts w:cs="Arial"/>
                      <w:color w:val="000000"/>
                      <w:szCs w:val="18"/>
                    </w:rPr>
                    <w:t>9</w:t>
                  </w:r>
                  <w:r w:rsidRPr="00DD7E1A">
                    <w:rPr>
                      <w:rFonts w:cs="Arial"/>
                      <w:color w:val="000000"/>
                      <w:szCs w:val="18"/>
                    </w:rPr>
                    <w:t>.</w:t>
                  </w:r>
                  <w:r>
                    <w:rPr>
                      <w:rFonts w:cs="Arial"/>
                      <w:color w:val="000000"/>
                      <w:szCs w:val="18"/>
                    </w:rPr>
                    <w:t>2</w:t>
                  </w:r>
                </w:p>
              </w:tc>
            </w:tr>
          </w:tbl>
          <w:p w14:paraId="7954A917" w14:textId="77777777" w:rsidR="00F05DC7" w:rsidRDefault="00F05DC7" w:rsidP="00A3786D">
            <w:pPr>
              <w:pStyle w:val="Box"/>
            </w:pPr>
          </w:p>
        </w:tc>
      </w:tr>
      <w:tr w:rsidR="00F05DC7" w14:paraId="7954A91A" w14:textId="77777777" w:rsidTr="00A3786D">
        <w:tc>
          <w:tcPr>
            <w:tcW w:w="5000" w:type="pct"/>
            <w:tcBorders>
              <w:top w:val="nil"/>
              <w:left w:val="nil"/>
              <w:bottom w:val="nil"/>
              <w:right w:val="nil"/>
            </w:tcBorders>
            <w:shd w:val="clear" w:color="auto" w:fill="auto"/>
          </w:tcPr>
          <w:p w14:paraId="7954A919"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A91C" w14:textId="77777777" w:rsidTr="00A3786D">
        <w:tc>
          <w:tcPr>
            <w:tcW w:w="5000" w:type="pct"/>
            <w:tcBorders>
              <w:top w:val="nil"/>
              <w:left w:val="nil"/>
              <w:bottom w:val="single" w:sz="6" w:space="0" w:color="78A22F"/>
              <w:right w:val="nil"/>
            </w:tcBorders>
            <w:shd w:val="clear" w:color="auto" w:fill="auto"/>
          </w:tcPr>
          <w:p w14:paraId="7954A91B" w14:textId="77777777" w:rsidR="00F05DC7" w:rsidRDefault="00F05DC7" w:rsidP="00A3786D">
            <w:pPr>
              <w:pStyle w:val="Box"/>
              <w:spacing w:before="0" w:line="120" w:lineRule="exact"/>
            </w:pPr>
          </w:p>
        </w:tc>
      </w:tr>
      <w:tr w:rsidR="00F05DC7" w:rsidRPr="000863A5" w14:paraId="7954A91E" w14:textId="77777777" w:rsidTr="00A3786D">
        <w:tc>
          <w:tcPr>
            <w:tcW w:w="5000" w:type="pct"/>
            <w:tcBorders>
              <w:top w:val="single" w:sz="6" w:space="0" w:color="78A22F"/>
              <w:left w:val="nil"/>
              <w:bottom w:val="nil"/>
              <w:right w:val="nil"/>
            </w:tcBorders>
          </w:tcPr>
          <w:p w14:paraId="7954A91D" w14:textId="77777777" w:rsidR="00F05DC7" w:rsidRPr="00626D32" w:rsidRDefault="00F05DC7" w:rsidP="00A3786D">
            <w:pPr>
              <w:pStyle w:val="BoxSpaceBelow"/>
            </w:pPr>
          </w:p>
        </w:tc>
      </w:tr>
    </w:tbl>
    <w:p w14:paraId="7954A91F" w14:textId="77777777" w:rsidR="00F05DC7" w:rsidRDefault="00F05DC7" w:rsidP="00A3786D">
      <w:pPr>
        <w:pStyle w:val="Heading4"/>
      </w:pPr>
      <w:r>
        <w:t>Assessment of an EPC approach</w:t>
      </w:r>
    </w:p>
    <w:p w14:paraId="7954A920" w14:textId="77777777" w:rsidR="00F05DC7" w:rsidRDefault="00F05DC7" w:rsidP="00A3786D">
      <w:pPr>
        <w:pStyle w:val="BodyText"/>
      </w:pPr>
      <w:r>
        <w:t xml:space="preserve">Submissions that proposed EPC argued that it would be a ‘fairer’ system of distributing GST revenue (The Julie Matheson for Western Australia Party, sub. 4, p. 2; Put Western Australia First, sub. 12, p. 6; </w:t>
      </w:r>
      <w:r w:rsidRPr="007740C6">
        <w:t>NSW Government</w:t>
      </w:r>
      <w:r>
        <w:t>,</w:t>
      </w:r>
      <w:r w:rsidRPr="007740C6">
        <w:t xml:space="preserve"> sub.</w:t>
      </w:r>
      <w:r>
        <w:t> </w:t>
      </w:r>
      <w:r w:rsidRPr="007740C6">
        <w:t>52</w:t>
      </w:r>
      <w:r>
        <w:t>, p. 3, sub. DR109, p. 2). (The Commission’s notion of fairness comprises reward for policy effort, discussed below.)</w:t>
      </w:r>
    </w:p>
    <w:p w14:paraId="7954A921" w14:textId="0228E7DB" w:rsidR="00F05DC7" w:rsidRDefault="00F05DC7" w:rsidP="00A3786D">
      <w:pPr>
        <w:pStyle w:val="BodyText"/>
      </w:pPr>
      <w:r>
        <w:t xml:space="preserve">However, this justification for a change to EPC ignores the fundamental purpose of fiscal equalisation. That purpose is </w:t>
      </w:r>
      <w:r w:rsidRPr="00DA4885">
        <w:rPr>
          <w:i/>
        </w:rPr>
        <w:t>not</w:t>
      </w:r>
      <w:r>
        <w:t xml:space="preserve"> to distribute an equal amount of GST revenue to each Australian. Rather, the purpose of redistribution should be to ensure each State has the fiscal capacity </w:t>
      </w:r>
      <w:r w:rsidRPr="00B54FA4">
        <w:t xml:space="preserve">to provide </w:t>
      </w:r>
      <w:r>
        <w:t>its</w:t>
      </w:r>
      <w:r w:rsidRPr="00B54FA4">
        <w:t xml:space="preserve"> residents with a reasonable </w:t>
      </w:r>
      <w:r w:rsidR="00BD5FD6">
        <w:t>standard</w:t>
      </w:r>
      <w:r w:rsidRPr="00B54FA4">
        <w:t xml:space="preserve"> of services</w:t>
      </w:r>
      <w:r>
        <w:t xml:space="preserve"> and associated infrastructure </w:t>
      </w:r>
      <w:r w:rsidRPr="00EA5FDF">
        <w:t>(chapter</w:t>
      </w:r>
      <w:r>
        <w:t> 2</w:t>
      </w:r>
      <w:r w:rsidRPr="00EA5FDF">
        <w:t>)</w:t>
      </w:r>
      <w:r>
        <w:t>. The current system pursues this by equalising the fiscal capacity of all States up to the capacity of the fiscally strongest State (presently Western Australia), plus an additional EPC amount, via a redistribution of GST revenue.</w:t>
      </w:r>
    </w:p>
    <w:p w14:paraId="7954A922" w14:textId="77777777" w:rsidR="00F05DC7" w:rsidRDefault="00F05DC7" w:rsidP="00A3786D">
      <w:pPr>
        <w:pStyle w:val="BodyText"/>
      </w:pPr>
      <w:r>
        <w:t>Simply put, EPC and HFE are mutually exclusive. This proposal is thus at odds with the general endorsement of the concept of HFE.</w:t>
      </w:r>
    </w:p>
    <w:p w14:paraId="7954A923" w14:textId="77777777" w:rsidR="00F05DC7" w:rsidRDefault="00F05DC7" w:rsidP="00A3786D">
      <w:pPr>
        <w:pStyle w:val="BodyText"/>
        <w:keepNext/>
      </w:pPr>
      <w:r>
        <w:lastRenderedPageBreak/>
        <w:t>An EPC distribution does not take account of the fact that States have different revenue raising capacities and some face higher costs in providing services to their communities. These</w:t>
      </w:r>
      <w:r w:rsidDel="001F3658">
        <w:t xml:space="preserve"> </w:t>
      </w:r>
      <w:r>
        <w:t>factors are outside States’ control (such as endowments of mineral resources, the share of their population that are Indigenous, or the degree of remoteness). As the Queensland Government noted:</w:t>
      </w:r>
    </w:p>
    <w:p w14:paraId="7954A924" w14:textId="77777777" w:rsidR="00F05DC7" w:rsidRDefault="00F05DC7" w:rsidP="00A3786D">
      <w:pPr>
        <w:pStyle w:val="Quote"/>
      </w:pPr>
      <w:r w:rsidRPr="009B2A9E">
        <w:t>An equal per capita distribution … ignores the structural differences that exist between States (such as differences in geography, population distribution, and entrenched disadvantage) and would likely create the inequitable situation where vastly different levels of service would be provided across States. (sub.</w:t>
      </w:r>
      <w:r>
        <w:t> </w:t>
      </w:r>
      <w:r w:rsidRPr="009B2A9E">
        <w:t>32, p.</w:t>
      </w:r>
      <w:r>
        <w:t> </w:t>
      </w:r>
      <w:r w:rsidRPr="009B2A9E">
        <w:t>3)</w:t>
      </w:r>
    </w:p>
    <w:p w14:paraId="7954A925" w14:textId="76849B76" w:rsidR="00F05DC7" w:rsidRDefault="00F05DC7" w:rsidP="00A3786D">
      <w:pPr>
        <w:pStyle w:val="BodyText"/>
      </w:pPr>
      <w:r>
        <w:t xml:space="preserve">EPC would not </w:t>
      </w:r>
      <w:r w:rsidRPr="00445A94">
        <w:t>redistribute</w:t>
      </w:r>
      <w:r>
        <w:t xml:space="preserve"> GST among States to the extent required to address these differences. And it would make a very minimal contribution to equalising the </w:t>
      </w:r>
      <w:r w:rsidR="00BD5FD6">
        <w:t>standard</w:t>
      </w:r>
      <w:r>
        <w:t xml:space="preserve"> of services and infrastructure that States are able to provide to their residents. Hence it fails to meet the core underpinning fiscal equality rationale of HFE, and would likely fail to enable some States to provide a reasonable </w:t>
      </w:r>
      <w:r w:rsidR="00BD5FD6">
        <w:t>standard</w:t>
      </w:r>
      <w:r>
        <w:t xml:space="preserve"> of services to their citizens (chapter 1).</w:t>
      </w:r>
    </w:p>
    <w:p w14:paraId="7954A926" w14:textId="77777777" w:rsidR="00F05DC7" w:rsidRDefault="00F05DC7" w:rsidP="00A3786D">
      <w:pPr>
        <w:pStyle w:val="BodyText"/>
      </w:pPr>
      <w:r>
        <w:t>On the other hand, EPC rates well in principle on efficiency grounds. D</w:t>
      </w:r>
      <w:r w:rsidRPr="001336DB">
        <w:t>istribut</w:t>
      </w:r>
      <w:r>
        <w:t>ing</w:t>
      </w:r>
      <w:r w:rsidRPr="001336DB">
        <w:t xml:space="preserve"> GST </w:t>
      </w:r>
      <w:r>
        <w:t xml:space="preserve">under EPC is totally </w:t>
      </w:r>
      <w:r w:rsidRPr="001336DB">
        <w:t xml:space="preserve">independent of States’ revenue raising </w:t>
      </w:r>
      <w:r>
        <w:t xml:space="preserve">capacity </w:t>
      </w:r>
      <w:r w:rsidRPr="001336DB">
        <w:t xml:space="preserve">and </w:t>
      </w:r>
      <w:r>
        <w:t xml:space="preserve">their </w:t>
      </w:r>
      <w:r w:rsidRPr="001336DB">
        <w:t xml:space="preserve">expenditure </w:t>
      </w:r>
      <w:r>
        <w:t xml:space="preserve">on </w:t>
      </w:r>
      <w:r w:rsidRPr="001336DB">
        <w:t>service</w:t>
      </w:r>
      <w:r>
        <w:t>s — a State’s share of the national population would be the sole determinant of its GST payments. Thus, as Hancock noted, under this approach each State’s grant is invariant to its own choices (sub. 54, p. 4). Accordingly, EPC would enhance efficiency by removing any disincentives faced by States to increase their revenue or pursue improved efficiency in providing services (policy neutrality). For this reason, EPC would also enable greater reward for effort than the current system.</w:t>
      </w:r>
    </w:p>
    <w:p w14:paraId="7954A927" w14:textId="77777777" w:rsidR="00F05DC7" w:rsidRDefault="00F05DC7" w:rsidP="00A3786D">
      <w:pPr>
        <w:pStyle w:val="BodyText"/>
      </w:pPr>
      <w:r>
        <w:t xml:space="preserve">EPC would be extremely simple </w:t>
      </w:r>
      <w:r w:rsidRPr="001336DB">
        <w:t>to administer</w:t>
      </w:r>
      <w:r>
        <w:t>, as i</w:t>
      </w:r>
      <w:r w:rsidRPr="001336DB">
        <w:t xml:space="preserve">t would not require </w:t>
      </w:r>
      <w:r>
        <w:t>any</w:t>
      </w:r>
      <w:r w:rsidRPr="001336DB">
        <w:t xml:space="preserve"> assessments of States’ capacities to raise revenue or of their costs of providing services and infrastructure.</w:t>
      </w:r>
      <w:r>
        <w:t xml:space="preserve"> Instead, the assessment would be based only on population data and the size of the GST pool. On this, the NSW Government observed:</w:t>
      </w:r>
    </w:p>
    <w:p w14:paraId="7954A928" w14:textId="77777777" w:rsidR="00F05DC7" w:rsidRDefault="00F05DC7" w:rsidP="00A3786D">
      <w:pPr>
        <w:pStyle w:val="Quote"/>
      </w:pPr>
      <w:r>
        <w:t>An EPC model would … not have the data requirements of the current system. The amount of resources dedicated to the system would be greatly reduced. (sub. 52, p. 33)</w:t>
      </w:r>
    </w:p>
    <w:p w14:paraId="7954A929" w14:textId="77777777" w:rsidR="00F05DC7" w:rsidRDefault="00F05DC7" w:rsidP="00A3786D">
      <w:pPr>
        <w:pStyle w:val="BodyText"/>
      </w:pPr>
      <w:r>
        <w:t xml:space="preserve">Thus, EPC would help to increase transparency and accountability in the HFE system. But overall, the benefits of EPC do not outweigh its substantial costs to fiscal equality. </w:t>
      </w:r>
    </w:p>
    <w:p w14:paraId="7954A92A" w14:textId="77777777" w:rsidR="00F05DC7" w:rsidRPr="004E3B94" w:rsidRDefault="00F05DC7" w:rsidP="008C54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92D"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92B" w14:textId="02B9C1EC" w:rsidR="00F05DC7" w:rsidRDefault="00F05DC7" w:rsidP="00A3786D">
            <w:pPr>
              <w:pStyle w:val="FindingTitle"/>
              <w:spacing w:before="120"/>
              <w:rPr>
                <w:noProof/>
              </w:rPr>
            </w:pPr>
            <w:r>
              <w:t>Finding 8.1</w:t>
            </w:r>
          </w:p>
          <w:p w14:paraId="7954A92C" w14:textId="5E105818" w:rsidR="00F05DC7" w:rsidRPr="00CE4C64" w:rsidRDefault="00F05DC7" w:rsidP="00BD5FD6">
            <w:pPr>
              <w:pStyle w:val="Finding"/>
              <w:keepNext/>
            </w:pPr>
            <w:r w:rsidRPr="002A7FC4">
              <w:t xml:space="preserve">An equal per capita approach </w:t>
            </w:r>
            <w:r>
              <w:t>to the distribution of</w:t>
            </w:r>
            <w:r w:rsidRPr="002A7FC4">
              <w:t xml:space="preserve"> GST revenue is incapable of providing States with the fiscal capacities to deliver a reasonable </w:t>
            </w:r>
            <w:r w:rsidR="00BD5FD6">
              <w:t>standard</w:t>
            </w:r>
            <w:r w:rsidRPr="002A7FC4">
              <w:t xml:space="preserve"> of services. </w:t>
            </w:r>
            <w:r>
              <w:t>It</w:t>
            </w:r>
            <w:r w:rsidRPr="002A7FC4">
              <w:t xml:space="preserve"> is thus inimical to the fiscal equality rationale underpinning </w:t>
            </w:r>
            <w:r>
              <w:t>HFE</w:t>
            </w:r>
            <w:r w:rsidRPr="002A7FC4">
              <w:t>.</w:t>
            </w:r>
          </w:p>
        </w:tc>
      </w:tr>
      <w:tr w:rsidR="00F05DC7" w14:paraId="7954A92F"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92E" w14:textId="77777777" w:rsidR="00F05DC7" w:rsidRDefault="00F05DC7" w:rsidP="00A3786D">
            <w:pPr>
              <w:pStyle w:val="Space"/>
              <w:keepLines/>
            </w:pPr>
          </w:p>
        </w:tc>
      </w:tr>
      <w:tr w:rsidR="00F05DC7" w:rsidRPr="000863A5" w14:paraId="7954A931"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930" w14:textId="77777777" w:rsidR="00F05DC7" w:rsidRPr="00626D32" w:rsidRDefault="00F05DC7" w:rsidP="00A3786D">
            <w:pPr>
              <w:pStyle w:val="BoxSpaceBelow"/>
              <w:keepLines/>
            </w:pPr>
          </w:p>
        </w:tc>
      </w:tr>
    </w:tbl>
    <w:p w14:paraId="7954A932" w14:textId="77777777" w:rsidR="00F05DC7" w:rsidRDefault="00F05DC7" w:rsidP="00A3786D">
      <w:pPr>
        <w:pStyle w:val="Heading3"/>
      </w:pPr>
      <w:r>
        <w:lastRenderedPageBreak/>
        <w:t>Supplementing an EPC distribution with ‘top</w:t>
      </w:r>
      <w:r>
        <w:noBreakHyphen/>
        <w:t xml:space="preserve">up’ funding </w:t>
      </w:r>
    </w:p>
    <w:p w14:paraId="7954A933" w14:textId="77777777" w:rsidR="00F05DC7" w:rsidRDefault="00F05DC7" w:rsidP="00A3786D">
      <w:pPr>
        <w:pStyle w:val="BodyText"/>
      </w:pPr>
      <w:r w:rsidRPr="00B91CB1">
        <w:t xml:space="preserve">A variant on EPC is for </w:t>
      </w:r>
      <w:r>
        <w:t xml:space="preserve">GST revenue to be distributed to States on an EPC basis, and for </w:t>
      </w:r>
      <w:r w:rsidRPr="00B91CB1">
        <w:t xml:space="preserve">the </w:t>
      </w:r>
      <w:r>
        <w:t xml:space="preserve">Commonwealth </w:t>
      </w:r>
      <w:r w:rsidRPr="00B91CB1">
        <w:t xml:space="preserve">Government to </w:t>
      </w:r>
      <w:r>
        <w:t>provide additional (‘top</w:t>
      </w:r>
      <w:r>
        <w:noBreakHyphen/>
        <w:t xml:space="preserve">up’) funding to the fiscally weaker States (that is, States with a relativity below one). This top up funding could fill </w:t>
      </w:r>
      <w:r w:rsidRPr="00B91CB1">
        <w:t xml:space="preserve">any </w:t>
      </w:r>
      <w:r>
        <w:t xml:space="preserve">remaining </w:t>
      </w:r>
      <w:r w:rsidRPr="00B91CB1">
        <w:t xml:space="preserve">gap between </w:t>
      </w:r>
      <w:r>
        <w:t xml:space="preserve">a State’s fiscal capacity </w:t>
      </w:r>
      <w:r w:rsidRPr="00B91CB1">
        <w:t xml:space="preserve">and </w:t>
      </w:r>
      <w:r>
        <w:t xml:space="preserve">that of the fiscally strongest State (or the gap from any other equalisation benchmark), to ensure that no State is worse off than under current arrangements. </w:t>
      </w:r>
    </w:p>
    <w:p w14:paraId="7954A934" w14:textId="77777777" w:rsidR="00F05DC7" w:rsidRDefault="00F05DC7" w:rsidP="00A3786D">
      <w:pPr>
        <w:pStyle w:val="BodyText"/>
      </w:pPr>
      <w:r>
        <w:t>This is akin to pre</w:t>
      </w:r>
      <w:r>
        <w:noBreakHyphen/>
        <w:t>1981</w:t>
      </w:r>
      <w:r w:rsidRPr="003D305E">
        <w:t xml:space="preserve"> </w:t>
      </w:r>
      <w:r>
        <w:t>equalisation arrangements, when vertical and horizontal fiscal transfers were provided separately. Figure 8.2 shows a conceptual representation of this method.</w:t>
      </w:r>
      <w:r w:rsidRPr="00555A5B">
        <w:t xml:space="preserve"> </w:t>
      </w:r>
    </w:p>
    <w:p w14:paraId="7954A935" w14:textId="33E7D57F" w:rsidR="00F05DC7" w:rsidRDefault="00F05DC7" w:rsidP="00A3786D">
      <w:pPr>
        <w:pStyle w:val="BodyText"/>
      </w:pPr>
      <w:r>
        <w:t xml:space="preserve">Among participants, McAuley (sub. 7, p. 1), Wealth Wisdom (sub. 10, p. 15) and the WA Government (sub. 15, p. 109) were attracted to this option. This method was considered — but not recommended — by the GST Distribution Review in 2012 </w:t>
      </w:r>
      <w:r w:rsidR="009D6331" w:rsidRPr="009D6331">
        <w:rPr>
          <w:szCs w:val="24"/>
        </w:rPr>
        <w:t>(Brumby, Carter and Greiner 2012a, p. 173; chapter 1)</w:t>
      </w:r>
      <w:r>
        <w:t>. This approach was at that time the preferred long</w:t>
      </w:r>
      <w:r>
        <w:noBreakHyphen/>
        <w:t xml:space="preserve">term policy position of the fiscally strongest States. </w:t>
      </w:r>
    </w:p>
    <w:p w14:paraId="7954A936" w14:textId="77777777" w:rsidR="00F05DC7" w:rsidRDefault="00F05DC7" w:rsidP="00A3786D">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F05DC7" w14:paraId="7954A938" w14:textId="77777777" w:rsidTr="00A3786D">
        <w:trPr>
          <w:tblHeader/>
        </w:trPr>
        <w:tc>
          <w:tcPr>
            <w:tcW w:w="8935" w:type="dxa"/>
            <w:tcBorders>
              <w:top w:val="single" w:sz="6" w:space="0" w:color="78A22F"/>
              <w:left w:val="nil"/>
              <w:bottom w:val="nil"/>
              <w:right w:val="nil"/>
            </w:tcBorders>
            <w:shd w:val="clear" w:color="auto" w:fill="auto"/>
          </w:tcPr>
          <w:p w14:paraId="7954A937" w14:textId="54FD4682" w:rsidR="00F05DC7" w:rsidRPr="00176D3F" w:rsidRDefault="00F05DC7">
            <w:pPr>
              <w:pStyle w:val="FigureTitle"/>
              <w:spacing w:before="80"/>
            </w:pPr>
            <w:r w:rsidRPr="00784A05">
              <w:rPr>
                <w:b w:val="0"/>
              </w:rPr>
              <w:t>Figure</w:t>
            </w:r>
            <w:r>
              <w:rPr>
                <w:b w:val="0"/>
              </w:rPr>
              <w:t> 8.2</w:t>
            </w:r>
            <w:r>
              <w:tab/>
              <w:t>Conceptual representation of an EPC with top</w:t>
            </w:r>
            <w:r>
              <w:noBreakHyphen/>
              <w:t>up approach</w:t>
            </w:r>
          </w:p>
        </w:tc>
      </w:tr>
      <w:tr w:rsidR="00F05DC7" w14:paraId="7954A93A" w14:textId="77777777" w:rsidTr="00A3786D">
        <w:tblPrEx>
          <w:tblCellMar>
            <w:left w:w="108" w:type="dxa"/>
            <w:right w:w="108" w:type="dxa"/>
          </w:tblCellMar>
        </w:tblPrEx>
        <w:trPr>
          <w:trHeight w:val="4602"/>
        </w:trPr>
        <w:tc>
          <w:tcPr>
            <w:tcW w:w="8935" w:type="dxa"/>
            <w:tcBorders>
              <w:top w:val="nil"/>
              <w:left w:val="nil"/>
              <w:bottom w:val="nil"/>
              <w:right w:val="nil"/>
            </w:tcBorders>
            <w:shd w:val="clear" w:color="auto" w:fill="auto"/>
          </w:tcPr>
          <w:p w14:paraId="7954A939" w14:textId="77777777" w:rsidR="00F05DC7" w:rsidRDefault="00F05DC7" w:rsidP="00A3786D">
            <w:pPr>
              <w:pStyle w:val="Figure"/>
            </w:pPr>
            <w:r w:rsidRPr="00DA1573">
              <w:rPr>
                <w:noProof/>
              </w:rPr>
              <w:drawing>
                <wp:inline distT="0" distB="0" distL="0" distR="0" wp14:anchorId="7954D617" wp14:editId="7954D618">
                  <wp:extent cx="5401945" cy="2878455"/>
                  <wp:effectExtent l="0" t="0" r="8255" b="0"/>
                  <wp:docPr id="76" name="Picture 76" descr="This figure shows the stages in an equal per capita with top up funding approach. GST would first be distributed on an equal per capita basis and then top up payments would bring the fiscally weaker States up to some agreed level of capacity. After top up funding, some stronger States would still have a greater fiscal capacity than the fiscally weake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r w:rsidR="00F05DC7" w14:paraId="7954A93C" w14:textId="77777777" w:rsidTr="00A3786D">
        <w:tc>
          <w:tcPr>
            <w:tcW w:w="8935" w:type="dxa"/>
            <w:tcBorders>
              <w:top w:val="nil"/>
              <w:left w:val="nil"/>
              <w:bottom w:val="single" w:sz="6" w:space="0" w:color="78A22F"/>
              <w:right w:val="nil"/>
            </w:tcBorders>
            <w:shd w:val="clear" w:color="auto" w:fill="auto"/>
          </w:tcPr>
          <w:p w14:paraId="7954A93B" w14:textId="77777777" w:rsidR="00F05DC7" w:rsidRDefault="00F05DC7" w:rsidP="00A3786D">
            <w:pPr>
              <w:pStyle w:val="Figurespace"/>
            </w:pPr>
          </w:p>
        </w:tc>
      </w:tr>
      <w:tr w:rsidR="00F05DC7" w:rsidRPr="000863A5" w14:paraId="7954A93E" w14:textId="77777777" w:rsidTr="00A3786D">
        <w:tc>
          <w:tcPr>
            <w:tcW w:w="8935" w:type="dxa"/>
            <w:tcBorders>
              <w:top w:val="single" w:sz="6" w:space="0" w:color="78A22F"/>
              <w:left w:val="nil"/>
              <w:bottom w:val="nil"/>
              <w:right w:val="nil"/>
            </w:tcBorders>
          </w:tcPr>
          <w:p w14:paraId="7954A93D" w14:textId="77777777" w:rsidR="00F05DC7" w:rsidRPr="00626D32" w:rsidRDefault="00F05DC7" w:rsidP="00A3786D">
            <w:pPr>
              <w:pStyle w:val="BoxSpaceBelow"/>
            </w:pPr>
          </w:p>
        </w:tc>
      </w:tr>
    </w:tbl>
    <w:p w14:paraId="7954A93F" w14:textId="71D616FB" w:rsidR="00F05DC7" w:rsidRDefault="00F05DC7" w:rsidP="00A3786D">
      <w:pPr>
        <w:pStyle w:val="BodyText"/>
      </w:pPr>
      <w:r>
        <w:t>The National Commission of Audit in 2014 considered and recommended an EPC distribution of GST revenue, with Commonwealth top</w:t>
      </w:r>
      <w:r>
        <w:noBreakHyphen/>
        <w:t xml:space="preserve">up funding to the fiscally weaker States </w:t>
      </w:r>
      <w:r w:rsidRPr="00C3009A">
        <w:rPr>
          <w:szCs w:val="24"/>
        </w:rPr>
        <w:t>(NCOA 2014, p. 74)</w:t>
      </w:r>
      <w:r>
        <w:t xml:space="preserve">. (The distribution of that additional funding from the Commonwealth was to be determined by the CGC.) </w:t>
      </w:r>
      <w:r w:rsidDel="00A13530">
        <w:t>Importantly</w:t>
      </w:r>
      <w:r>
        <w:t xml:space="preserve"> though, that </w:t>
      </w:r>
      <w:r w:rsidRPr="00445A38">
        <w:t>recommendation was</w:t>
      </w:r>
      <w:r>
        <w:t xml:space="preserve"> intended to be implemented as </w:t>
      </w:r>
      <w:r w:rsidRPr="00445A38">
        <w:t xml:space="preserve">part of </w:t>
      </w:r>
      <w:r>
        <w:t xml:space="preserve">a </w:t>
      </w:r>
      <w:r w:rsidDel="00D040DD">
        <w:t>broader</w:t>
      </w:r>
      <w:r w:rsidRPr="00445A38">
        <w:t xml:space="preserve"> </w:t>
      </w:r>
      <w:r>
        <w:t xml:space="preserve">set of proposed </w:t>
      </w:r>
      <w:r w:rsidRPr="00445A38">
        <w:lastRenderedPageBreak/>
        <w:t xml:space="preserve">reforms to </w:t>
      </w:r>
      <w:r>
        <w:t>federal financial relations, including those to</w:t>
      </w:r>
      <w:r w:rsidRPr="00445A38">
        <w:t xml:space="preserve"> address the underlying causes of </w:t>
      </w:r>
      <w:r>
        <w:t xml:space="preserve">the </w:t>
      </w:r>
      <w:r w:rsidRPr="00445A38">
        <w:t xml:space="preserve">vertical fiscal imbalance between </w:t>
      </w:r>
      <w:r>
        <w:t>the</w:t>
      </w:r>
      <w:r w:rsidRPr="00445A38">
        <w:t xml:space="preserve"> </w:t>
      </w:r>
      <w:r>
        <w:t>Commonwealth and State G</w:t>
      </w:r>
      <w:r w:rsidRPr="00445A38">
        <w:t>overnments.</w:t>
      </w:r>
    </w:p>
    <w:p w14:paraId="7954A940" w14:textId="77777777" w:rsidR="00F05DC7" w:rsidRDefault="00F05DC7" w:rsidP="00A3786D">
      <w:pPr>
        <w:pStyle w:val="BodyText"/>
      </w:pPr>
      <w:r>
        <w:t>Were EPC plus top</w:t>
      </w:r>
      <w:r>
        <w:noBreakHyphen/>
        <w:t>up to be applied in 2018</w:t>
      </w:r>
      <w:r>
        <w:noBreakHyphen/>
        <w:t xml:space="preserve">19, Queensland, South Australia, Tasmania, the ACT and the Northern Territory (the current fiscally weakest States) would require </w:t>
      </w:r>
      <w:r w:rsidRPr="00B91CB1">
        <w:t>top</w:t>
      </w:r>
      <w:r>
        <w:noBreakHyphen/>
      </w:r>
      <w:r w:rsidRPr="00B91CB1">
        <w:t>up</w:t>
      </w:r>
      <w:r>
        <w:t xml:space="preserve"> funding of about $6.8 billion in total (table 8.1). However, in general top</w:t>
      </w:r>
      <w:r>
        <w:noBreakHyphen/>
        <w:t>up funding would primarily apply to South Australia, Tasmania, the ACT and the Northern Territory</w:t>
      </w:r>
      <w:r w:rsidRPr="00EA7263">
        <w:t xml:space="preserve"> </w:t>
      </w:r>
      <w:r>
        <w:t>— States whose relativities are usually above 1.0. Queensland has historically fluctuated above and below a relativity of 1.0 (largely due to the incidence of natural disasters — chapter 4) and would not always require top</w:t>
      </w:r>
      <w:r>
        <w:noBreakHyphen/>
        <w:t xml:space="preserve">up funding. </w:t>
      </w:r>
    </w:p>
    <w:p w14:paraId="7954A941" w14:textId="77777777" w:rsidR="00F05DC7" w:rsidRDefault="00F05DC7" w:rsidP="00A3786D">
      <w:pPr>
        <w:pStyle w:val="BodyText"/>
      </w:pPr>
      <w:r>
        <w:t xml:space="preserve">EPC with </w:t>
      </w:r>
      <w:r w:rsidRPr="00B91CB1">
        <w:t>top</w:t>
      </w:r>
      <w:r>
        <w:noBreakHyphen/>
      </w:r>
      <w:r w:rsidRPr="00B91CB1">
        <w:t>up</w:t>
      </w:r>
      <w:r>
        <w:t xml:space="preserve"> would tend to increase the GST payments received by States that currently have a relativity of less than 1.0, but (by means of the top</w:t>
      </w:r>
      <w:r>
        <w:noBreakHyphen/>
        <w:t xml:space="preserve">up funding) would see States with relativities greater than 1.0 get no less revenue than they presently receive. </w:t>
      </w:r>
    </w:p>
    <w:p w14:paraId="7954A942" w14:textId="77777777" w:rsidR="00F05DC7" w:rsidRDefault="00F05DC7" w:rsidP="00A3786D">
      <w:pPr>
        <w:pStyle w:val="BodyText"/>
      </w:pPr>
      <w:r>
        <w:t>Top</w:t>
      </w:r>
      <w:r>
        <w:noBreakHyphen/>
        <w:t xml:space="preserve">up funding would have to come from a pool of Commonwealth Government revenue. This, in turn, would need to be sourced from higher Commonwealth taxes, increased debt, a significant rearrangement of existing payments to States or savings against other expenditure responsibilities. Thus, any </w:t>
      </w:r>
      <w:r w:rsidRPr="00B91CB1">
        <w:t>top</w:t>
      </w:r>
      <w:r>
        <w:noBreakHyphen/>
      </w:r>
      <w:r w:rsidRPr="00B91CB1">
        <w:t>up</w:t>
      </w:r>
      <w:r>
        <w:t xml:space="preserve"> funding would also run into the winners and losers problem of the smaller, finite GST revenue pool. The only difference would be that the losers in this case (from higher taxes or redirected funding) would not be as transparent as is the case with any redistribution of the GST pool</w:t>
      </w:r>
      <w:r w:rsidDel="007D02A7">
        <w:t xml:space="preserve"> and, thus, any accountability for their loss </w:t>
      </w:r>
      <w:r w:rsidDel="002331AA">
        <w:t>w</w:t>
      </w:r>
      <w:r w:rsidDel="007D02A7">
        <w:t>ould be muted</w:t>
      </w:r>
      <w:r>
        <w:t>.</w:t>
      </w:r>
    </w:p>
    <w:p w14:paraId="7954A943" w14:textId="77777777" w:rsidR="00F05DC7" w:rsidRDefault="00F05DC7" w:rsidP="00A3786D">
      <w:pPr>
        <w:pStyle w:val="BodyText"/>
      </w:pPr>
      <w:r>
        <w:t>If top</w:t>
      </w:r>
      <w:r>
        <w:noBreakHyphen/>
        <w:t>up funding is forthcoming, it would always be subject to the vagaries of Commonwealth budget pressures, with commensurate uncertainty for State budgets and planning:</w:t>
      </w:r>
    </w:p>
    <w:p w14:paraId="7954A944" w14:textId="77777777" w:rsidR="00F05DC7" w:rsidRDefault="00F05DC7" w:rsidP="00A3786D">
      <w:pPr>
        <w:pStyle w:val="Quote"/>
      </w:pPr>
      <w:r>
        <w:t>Supplementary Australian Government funding would leave those States exposed to the funding priorities of the Government of the day. (Tasmanian Government, sub. 28, p. 43)</w:t>
      </w:r>
    </w:p>
    <w:p w14:paraId="7954A945" w14:textId="77777777" w:rsidR="00F05DC7" w:rsidRPr="00C20C96" w:rsidRDefault="00F05DC7" w:rsidP="00A3786D">
      <w:pPr>
        <w:pStyle w:val="Quote"/>
      </w:pPr>
      <w:r>
        <w:t>… [I]t may create some uncertainty for States — even if the Commonwealth agreed to provide additional funding, there could be uncertainty as to how long additional equalisation grants would last — the Commonwealth may decide to withdraw its contribution to equalisation if faced with tight fiscal constraints. (Queensland Government, sub. 32, p. 15)</w:t>
      </w:r>
    </w:p>
    <w:p w14:paraId="7954A946" w14:textId="77777777" w:rsidR="00F05DC7" w:rsidRDefault="00F05DC7" w:rsidP="00A3786D">
      <w:pPr>
        <w:pStyle w:val="Heading4"/>
      </w:pPr>
      <w:r>
        <w:t>Assessment of EPC plus top</w:t>
      </w:r>
      <w:r>
        <w:noBreakHyphen/>
        <w:t>up</w:t>
      </w:r>
    </w:p>
    <w:p w14:paraId="7954A947" w14:textId="31EAF707" w:rsidR="00F05DC7" w:rsidRDefault="00F05DC7" w:rsidP="00A3786D">
      <w:pPr>
        <w:pStyle w:val="BodyText"/>
      </w:pPr>
      <w:r>
        <w:t>By definition, EPC plus top</w:t>
      </w:r>
      <w:r>
        <w:noBreakHyphen/>
        <w:t xml:space="preserve">up would provide all States with the fiscal capacity to deliver a reasonable </w:t>
      </w:r>
      <w:r w:rsidR="00BD5FD6">
        <w:t>standard</w:t>
      </w:r>
      <w:r>
        <w:t xml:space="preserve"> of services and, in principle, would meet the fiscal equality element of the Commission’s framework for HFE. However, as the amount of any top</w:t>
      </w:r>
      <w:r>
        <w:noBreakHyphen/>
        <w:t>up funding would always be hostage to fiscal constraints faced by the Commonwealth Government (whereas the size of the GST pool is not), in practice this level of fiscal capacity may not be consistently achieved. This risk would apply to any system that utilised top</w:t>
      </w:r>
      <w:r>
        <w:noBreakHyphen/>
        <w:t xml:space="preserve">up funding. </w:t>
      </w:r>
    </w:p>
    <w:p w14:paraId="7954A948" w14:textId="77777777" w:rsidR="00F05DC7" w:rsidRDefault="00F05DC7" w:rsidP="00A3786D">
      <w:pPr>
        <w:pStyle w:val="BodyText"/>
      </w:pPr>
      <w:r w:rsidRPr="000568A6">
        <w:t xml:space="preserve">From an efficiency perspective, </w:t>
      </w:r>
      <w:r>
        <w:t>relative to current arrangements, EPC plus top</w:t>
      </w:r>
      <w:r>
        <w:noBreakHyphen/>
        <w:t>up has similar impacts as EPC (discussed above) for those States that do not receive any top</w:t>
      </w:r>
      <w:r>
        <w:noBreakHyphen/>
        <w:t xml:space="preserve">up </w:t>
      </w:r>
      <w:r>
        <w:lastRenderedPageBreak/>
        <w:t>funding — for these States, disincentives for reform would be removed.</w:t>
      </w:r>
      <w:r w:rsidRPr="000568A6">
        <w:t xml:space="preserve"> </w:t>
      </w:r>
      <w:r>
        <w:t>However, for those States that receive top</w:t>
      </w:r>
      <w:r>
        <w:noBreakHyphen/>
        <w:t xml:space="preserve">up funding, the efficiency consequences would be largely similar to the current approach. </w:t>
      </w:r>
    </w:p>
    <w:p w14:paraId="7954A949" w14:textId="77777777" w:rsidR="00F05DC7" w:rsidRDefault="00F05DC7" w:rsidP="00A3786D">
      <w:pPr>
        <w:pStyle w:val="BodyText"/>
      </w:pPr>
      <w:r>
        <w:t>If implemented using the current CGC methodology by itself, EPC plus top</w:t>
      </w:r>
      <w:r>
        <w:noBreakHyphen/>
        <w:t xml:space="preserve">up offers no gain in simplicity compared with the current approach. The same assessment of revenue and expenditure capacity undertaken currently would still need to be done for all the States, to identify the </w:t>
      </w:r>
      <w:r w:rsidRPr="0059692A">
        <w:t>size of the to</w:t>
      </w:r>
      <w:r>
        <w:t>p</w:t>
      </w:r>
      <w:r>
        <w:noBreakHyphen/>
        <w:t>up funds needed to equalise fiscal capacity. As the NT Government observed:</w:t>
      </w:r>
    </w:p>
    <w:p w14:paraId="7954A94A" w14:textId="77777777" w:rsidR="00F05DC7" w:rsidRPr="008C54FC" w:rsidRDefault="00F05DC7" w:rsidP="00A3786D">
      <w:pPr>
        <w:pStyle w:val="Quote"/>
        <w:rPr>
          <w:spacing w:val="-2"/>
        </w:rPr>
      </w:pPr>
      <w:r w:rsidRPr="008C54FC">
        <w:rPr>
          <w:spacing w:val="-2"/>
        </w:rPr>
        <w:t>If additional Commonwealth funds were available to meet this gap, a process similar to the current CGC methodology would be required in order to distribute the funds based on expenditure needs, and hence, there would be no simplicity or administrative gains. (sub. 51, p. 35)</w:t>
      </w:r>
    </w:p>
    <w:p w14:paraId="7954A94B" w14:textId="77777777" w:rsidR="00F05DC7" w:rsidRPr="00F26A03" w:rsidRDefault="00F05DC7" w:rsidP="00A3786D">
      <w:pPr>
        <w:pStyle w:val="BodyText"/>
      </w:pPr>
      <w:r>
        <w:t>EPC with top</w:t>
      </w:r>
      <w:r>
        <w:noBreakHyphen/>
        <w:t>up would, however, highlight the scale of the transfers required to address horizontal fiscal inequality (the top</w:t>
      </w:r>
      <w:r>
        <w:noBreakHyphen/>
        <w:t>up component). This may improve transparency and accountability in the Federation. The OECD has found that systems that mix both horizontal and vertical equalisation are less transparent and accountable because they blur responsibility between financing and funding (appendix E). Moreover, chapter 4 highlights how the HFE system suffers from poor accountability, manifest in blame</w:t>
      </w:r>
      <w:r>
        <w:noBreakHyphen/>
        <w:t>shifting for States’ fiscal circumstances and deficiencies in the delivery of some services.</w:t>
      </w:r>
    </w:p>
    <w:p w14:paraId="7954A94C" w14:textId="77777777" w:rsidR="00F05DC7" w:rsidRDefault="00F05DC7" w:rsidP="00A3786D">
      <w:pPr>
        <w:pStyle w:val="BodyText"/>
      </w:pPr>
      <w:r>
        <w:t>While EPC with top</w:t>
      </w:r>
      <w:r>
        <w:noBreakHyphen/>
        <w:t xml:space="preserve">up has some attraction, its implementation depends on the fiscal position and willingness of the Commonwealth Government to provide additional funding for HFE, and continue to do so at the level necessary to deliver the degree of desired equalisation </w:t>
      </w:r>
      <w:r w:rsidDel="00484726">
        <w:t>(which need</w:t>
      </w:r>
      <w:r>
        <w:t xml:space="preserve"> not necessarily be the same level as the fiscally weaker States receive under the current system). Given the fiscal cost to the Commonwealth of this approach in isolation, it should only be countenanced in the context of broader reform to federal financial relations that may be able to generate some compensating benefits. This is explored further in chapter 9</w:t>
      </w:r>
      <w:r w:rsidRPr="00B20AB0">
        <w:t>.</w:t>
      </w:r>
    </w:p>
    <w:p w14:paraId="7954A94D" w14:textId="77777777" w:rsidR="00F05DC7" w:rsidRDefault="00F05DC7" w:rsidP="00A3786D">
      <w:pPr>
        <w:pStyle w:val="BodyText"/>
      </w:pPr>
      <w:r>
        <w:t>The assessment of EPC plus top</w:t>
      </w:r>
      <w:r>
        <w:noBreakHyphen/>
        <w:t>up is necessarily partial in that it is made on the basis of this option being implemented on a stand</w:t>
      </w:r>
      <w:r>
        <w:noBreakHyphen/>
        <w:t xml:space="preserve">alone basis. In circumstances where it was implemented in combination with other changes to federal financial relations (for example, changes to vertical fiscal imbalance and expenditure roles and responsibilities), the nature of benefits and risks would be different. </w:t>
      </w:r>
    </w:p>
    <w:p w14:paraId="7954A94E" w14:textId="77777777" w:rsidR="00F05DC7" w:rsidRPr="004E3B94" w:rsidRDefault="00F05DC7" w:rsidP="008C54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951"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94F" w14:textId="6C81E576" w:rsidR="00F05DC7" w:rsidRDefault="00F05DC7" w:rsidP="00A3786D">
            <w:pPr>
              <w:pStyle w:val="FindingTitle"/>
              <w:spacing w:before="120"/>
              <w:rPr>
                <w:noProof/>
              </w:rPr>
            </w:pPr>
            <w:r>
              <w:t>Finding 8.2</w:t>
            </w:r>
          </w:p>
          <w:p w14:paraId="7954A950" w14:textId="5BE6F0B4" w:rsidR="00F05DC7" w:rsidRPr="00CE4C64" w:rsidRDefault="00F05DC7" w:rsidP="00BD5FD6">
            <w:pPr>
              <w:pStyle w:val="Finding"/>
              <w:keepNext/>
            </w:pPr>
            <w:r w:rsidRPr="002A7FC4">
              <w:t>An equal per capita with top</w:t>
            </w:r>
            <w:r w:rsidRPr="002A7FC4">
              <w:noBreakHyphen/>
              <w:t xml:space="preserve">up funding </w:t>
            </w:r>
            <w:r>
              <w:t>approach for distributing GST revenue c</w:t>
            </w:r>
            <w:r w:rsidRPr="002A7FC4">
              <w:t xml:space="preserve">ould provide all States with the fiscal capacity to deliver a reasonable </w:t>
            </w:r>
            <w:r w:rsidR="00BD5FD6">
              <w:t>standard</w:t>
            </w:r>
            <w:r w:rsidRPr="002A7FC4">
              <w:t xml:space="preserve"> of services</w:t>
            </w:r>
            <w:r>
              <w:t>, depending on the level of top</w:t>
            </w:r>
            <w:r w:rsidRPr="002A7FC4">
              <w:noBreakHyphen/>
            </w:r>
            <w:r>
              <w:t>up funding</w:t>
            </w:r>
            <w:r w:rsidRPr="002A7FC4">
              <w:t xml:space="preserve">. While this would meet the </w:t>
            </w:r>
            <w:r>
              <w:t xml:space="preserve">fiscal </w:t>
            </w:r>
            <w:r w:rsidRPr="002A7FC4">
              <w:t>e</w:t>
            </w:r>
            <w:r>
              <w:t xml:space="preserve">quality </w:t>
            </w:r>
            <w:r w:rsidRPr="002A7FC4">
              <w:t xml:space="preserve">rationale underpinning </w:t>
            </w:r>
            <w:r>
              <w:t>HFE</w:t>
            </w:r>
            <w:r w:rsidRPr="002A7FC4">
              <w:t>, the top</w:t>
            </w:r>
            <w:r w:rsidRPr="002A7FC4">
              <w:noBreakHyphen/>
              <w:t xml:space="preserve">up funding would always be </w:t>
            </w:r>
            <w:r>
              <w:t>subject to the vagaries of the</w:t>
            </w:r>
            <w:r w:rsidRPr="002A7FC4">
              <w:t xml:space="preserve"> Commonwealth</w:t>
            </w:r>
            <w:r>
              <w:t xml:space="preserve"> budget. It should only be considered in the context of broader reform to federal financial relations that generate compensating benefits.</w:t>
            </w:r>
          </w:p>
        </w:tc>
      </w:tr>
      <w:tr w:rsidR="00F05DC7" w14:paraId="7954A953"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952" w14:textId="77777777" w:rsidR="00F05DC7" w:rsidRDefault="00F05DC7" w:rsidP="00A3786D">
            <w:pPr>
              <w:pStyle w:val="Space"/>
              <w:keepLines/>
            </w:pPr>
          </w:p>
        </w:tc>
      </w:tr>
      <w:tr w:rsidR="00F05DC7" w:rsidRPr="000863A5" w14:paraId="7954A955"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954" w14:textId="77777777" w:rsidR="00F05DC7" w:rsidRPr="00626D32" w:rsidRDefault="00F05DC7" w:rsidP="00A3786D">
            <w:pPr>
              <w:pStyle w:val="BoxSpaceBelow"/>
              <w:keepLines/>
            </w:pPr>
          </w:p>
        </w:tc>
      </w:tr>
    </w:tbl>
    <w:p w14:paraId="7954A956" w14:textId="51C61CE9" w:rsidR="00F05DC7" w:rsidRDefault="00F05DC7" w:rsidP="00A3786D">
      <w:pPr>
        <w:pStyle w:val="Heading2"/>
      </w:pPr>
      <w:bookmarkStart w:id="107" w:name="_Toc513637735"/>
      <w:r>
        <w:lastRenderedPageBreak/>
        <w:t>8.2</w:t>
      </w:r>
      <w:r>
        <w:tab/>
        <w:t>A relativity floor</w:t>
      </w:r>
      <w:bookmarkEnd w:id="107"/>
    </w:p>
    <w:p w14:paraId="7954A957" w14:textId="77777777" w:rsidR="00F05DC7" w:rsidRDefault="00F05DC7" w:rsidP="00A3786D">
      <w:pPr>
        <w:pStyle w:val="BodyText"/>
      </w:pPr>
      <w:r>
        <w:t>Another commonly proposed change to the HFE benchmark that departs from full equalisation is to introduce a relativity floor. A relativity floor involves setting a lower limit to equalisation relativities, with jurisdictions that fall below this threshold receiving non</w:t>
      </w:r>
      <w:r>
        <w:noBreakHyphen/>
        <w:t>equalised compensating payments. These could be from a number of sources and done in several ways. For example:</w:t>
      </w:r>
    </w:p>
    <w:p w14:paraId="7954A958" w14:textId="77777777" w:rsidR="00F05DC7" w:rsidRDefault="00F05DC7" w:rsidP="00A3786D">
      <w:pPr>
        <w:pStyle w:val="Quote"/>
      </w:pPr>
      <w:r>
        <w:t>With a floor in place, any state that has a relativity calculated below the floor would be distributed GST first to raise that state’s relativity up to the floor. Distribution of the remaining GST would then continue as per usual, raising the weaker states to the leading state’s capacity, followed by equal per capita distribution. The Federal Government would not be responsible for funding the gap between a state’s relativity and the floor. (CCIWA, sub. 11, p. 8)</w:t>
      </w:r>
    </w:p>
    <w:p w14:paraId="7954A959" w14:textId="77777777" w:rsidR="00F05DC7" w:rsidRDefault="00F05DC7" w:rsidP="00A3786D">
      <w:pPr>
        <w:pStyle w:val="BodyText"/>
      </w:pPr>
      <w:r>
        <w:t>A relativity floor is often proposed on the basis that it would limit the influence of ‘outliers’ on the distribution of GST revenue and thereby deliver a level of equalisation more acceptable to outlier States. Given Western Australia’s current position as the fiscally strongest State, the introduction of a relativity floor is also touted as another method of addressing the issue of policy non</w:t>
      </w:r>
      <w:r>
        <w:noBreakHyphen/>
        <w:t>neutrality in mining. However, the adoption of a relativity floor would be an indirect approach to addressing this problem — its influence on mining policy non</w:t>
      </w:r>
      <w:r>
        <w:noBreakHyphen/>
        <w:t xml:space="preserve">neutrality would most likely be incidental and only apply to one state, depending on the level at which the floor is set. </w:t>
      </w:r>
    </w:p>
    <w:p w14:paraId="7954A95A" w14:textId="77777777" w:rsidR="00F05DC7" w:rsidRDefault="00F05DC7" w:rsidP="00A3786D">
      <w:pPr>
        <w:pStyle w:val="BodyText"/>
      </w:pPr>
      <w:r>
        <w:t>Several submissions argued for a relativity floor. For example, the Business Council of Australia stated:</w:t>
      </w:r>
    </w:p>
    <w:p w14:paraId="7954A95B" w14:textId="77777777" w:rsidR="00F05DC7" w:rsidRDefault="00F05DC7" w:rsidP="00A3786D">
      <w:pPr>
        <w:pStyle w:val="Quote"/>
      </w:pPr>
      <w:r>
        <w:t>The floor should be set initially below the lowest current relativity (WA currently at 0.344) and progressively raised to an agreed relativity. A key issue for the inquiry will be to determine how states that fall below the floor are funded — by top</w:t>
      </w:r>
      <w:r>
        <w:noBreakHyphen/>
        <w:t>up payments from the Commonwealth or from within the GST pool. (sub. 47, p. 9)</w:t>
      </w:r>
    </w:p>
    <w:p w14:paraId="7954A95C" w14:textId="77777777" w:rsidR="00F05DC7" w:rsidRDefault="00F05DC7" w:rsidP="00A3786D">
      <w:pPr>
        <w:pStyle w:val="BodyText"/>
      </w:pPr>
      <w:r>
        <w:t>The WA Government also supported a staged or ratcheted approach, involving the introduction of a floor that progressively increases over time. In its view, this would provide a greater incentive for States to pursue economic development than is observed in the current system.</w:t>
      </w:r>
    </w:p>
    <w:p w14:paraId="7954A95D" w14:textId="77777777" w:rsidR="00F05DC7" w:rsidRDefault="00F05DC7" w:rsidP="00A3786D">
      <w:pPr>
        <w:pStyle w:val="Quote"/>
      </w:pPr>
      <w:r>
        <w:t>… a GST floor of 37.6 per cent could be formally introduced in 2018</w:t>
      </w:r>
      <w:r>
        <w:noBreakHyphen/>
        <w:t>19 and increase to 47.1 per cent in 2019</w:t>
      </w:r>
      <w:r>
        <w:noBreakHyphen/>
        <w:t>20 and then to 55.1 per cent in 2020</w:t>
      </w:r>
      <w:r>
        <w:noBreakHyphen/>
        <w:t>21, and so on. This is expected to have no financial impact for any State over the forward estimates period. (WA Government, sub. 15, p. 110)</w:t>
      </w:r>
    </w:p>
    <w:p w14:paraId="7954A95E" w14:textId="77777777" w:rsidR="00F05DC7" w:rsidRDefault="00F05DC7" w:rsidP="00A3786D">
      <w:pPr>
        <w:pStyle w:val="BodyText"/>
      </w:pPr>
      <w:r>
        <w:t>Other State Governments opposed the introduction of a relativity floor. The Tasmanian Government, for example, stated that the introduction of a floor:</w:t>
      </w:r>
    </w:p>
    <w:p w14:paraId="7954A95F" w14:textId="77777777" w:rsidR="00F05DC7" w:rsidRDefault="00F05DC7" w:rsidP="00A3786D">
      <w:pPr>
        <w:pStyle w:val="Quote"/>
      </w:pPr>
      <w:r>
        <w:t>… would undermine Australia’s system of comprehensive fiscal equalisation. It would allow one State to maintain a fiscal capacity in excess of the other States and because of the comparative advantage and consequent greater ability to provide higher quality services, better infrastructure and a more competitive tax regime, it would risk permanently entrenching that fiscal advantage. (sub. 28, p. 42)</w:t>
      </w:r>
    </w:p>
    <w:p w14:paraId="7954A960" w14:textId="77777777" w:rsidR="00F05DC7" w:rsidRDefault="00F05DC7" w:rsidP="00A3786D">
      <w:pPr>
        <w:pStyle w:val="BodyText"/>
      </w:pPr>
      <w:r>
        <w:lastRenderedPageBreak/>
        <w:t xml:space="preserve">The South Australian Government (sub DR89, p. 3) described a relativity floor as an arbitrary distribution method, while the ACT Government (sub. DR81, p. 36) argued that introduction of a floor would have adverse equity impacts. </w:t>
      </w:r>
    </w:p>
    <w:p w14:paraId="7954A961" w14:textId="77777777" w:rsidR="00F05DC7" w:rsidRPr="005417E9" w:rsidRDefault="00F05DC7" w:rsidP="00A3786D">
      <w:pPr>
        <w:pStyle w:val="BodyText"/>
      </w:pPr>
      <w:r>
        <w:t xml:space="preserve">Several participants also commented on recent Commonwealth Government funding provided to Western Australia as providing a </w:t>
      </w:r>
      <w:r w:rsidRPr="005417E9">
        <w:rPr>
          <w:i/>
        </w:rPr>
        <w:t>de facto</w:t>
      </w:r>
      <w:r>
        <w:t xml:space="preserve"> relativity floor (WA Government, sub. 15, p. 99; </w:t>
      </w:r>
      <w:r w:rsidRPr="005417E9">
        <w:t>Parliamentary Liberal Party</w:t>
      </w:r>
      <w:r>
        <w:t xml:space="preserve"> of WA, </w:t>
      </w:r>
      <w:r w:rsidRPr="005417E9">
        <w:t>sub.</w:t>
      </w:r>
      <w:r>
        <w:t> 22, p. </w:t>
      </w:r>
      <w:r w:rsidRPr="005417E9">
        <w:t>9)</w:t>
      </w:r>
      <w:r>
        <w:t xml:space="preserve">. In this context, chapter 2 discusses Western Australia’s ‘effective’ relativity. </w:t>
      </w:r>
    </w:p>
    <w:p w14:paraId="7954A962" w14:textId="77777777" w:rsidR="00F05DC7" w:rsidRPr="00E22DC0" w:rsidRDefault="00F05DC7" w:rsidP="00A3786D">
      <w:pPr>
        <w:pStyle w:val="Heading3"/>
      </w:pPr>
      <w:r>
        <w:t>Assessment of a relativity floor</w:t>
      </w:r>
    </w:p>
    <w:p w14:paraId="7954A963" w14:textId="77777777" w:rsidR="00F05DC7" w:rsidRDefault="00F05DC7" w:rsidP="00A3786D">
      <w:pPr>
        <w:pStyle w:val="BodyText"/>
      </w:pPr>
      <w:r>
        <w:t xml:space="preserve">Like the other alternatives considered in this chapter, the introduction of a relativity floor would represent less than full equalisation when compared with the present system, in those instances where the boundary becomes operational (that is, when the floor binds). Absent of any jurisdiction passing such a point, and instead remaining within the lower relativity boundary, full equalisation would, it is assumed, remain in operation. </w:t>
      </w:r>
    </w:p>
    <w:p w14:paraId="7954A964" w14:textId="77777777" w:rsidR="00F05DC7" w:rsidRDefault="00F05DC7" w:rsidP="00A3786D">
      <w:pPr>
        <w:pStyle w:val="BodyText"/>
      </w:pPr>
      <w:r>
        <w:t xml:space="preserve">Proposals of this kind have some initial attraction. They acknowledge that the current system works in a satisfactory way </w:t>
      </w:r>
      <w:r w:rsidRPr="00F07372">
        <w:rPr>
          <w:i/>
        </w:rPr>
        <w:t>on average</w:t>
      </w:r>
      <w:r>
        <w:t xml:space="preserve"> and when jurisdictions are similar, but has difficulty in instances of large disparities in the economic fortunes of jurisdictions. At the margin, relativity floors may also reduce disincentives (in principle) for the recipient ‘outlier’ States to pursue further development. The presence of these disincentives is a key criticism made by some with respect to the current system </w:t>
      </w:r>
      <w:r w:rsidRPr="0035747D">
        <w:t>(C</w:t>
      </w:r>
      <w:r>
        <w:t>CIWA</w:t>
      </w:r>
      <w:r w:rsidRPr="0035747D">
        <w:t>, sub.</w:t>
      </w:r>
      <w:r>
        <w:t> </w:t>
      </w:r>
      <w:r w:rsidRPr="0035747D">
        <w:t>11, p.</w:t>
      </w:r>
      <w:r>
        <w:t> 8</w:t>
      </w:r>
      <w:r w:rsidRPr="0035747D">
        <w:t>)</w:t>
      </w:r>
      <w:r>
        <w:t xml:space="preserve">. </w:t>
      </w:r>
    </w:p>
    <w:p w14:paraId="7954A965" w14:textId="77777777" w:rsidR="00F05DC7" w:rsidRDefault="00F05DC7" w:rsidP="00A3786D">
      <w:pPr>
        <w:pStyle w:val="BodyText"/>
      </w:pPr>
      <w:r>
        <w:t>The magnitude of the redistribution impact would depend on the relativity floor chosen. The Commission’s estimates using a 0.70 relativity floor point to a large overall impact based on current relativities (table 8.2). Western Australia would see its GST payments increase, mainly at the expense of the three largest States (in absolute, as opposed to per capita, terms). However, as pointed out by the WA Government (sub. 15, p. 110), if a 0.70 relativity floor was to be introduced in the future, when Western Australia’s relativity is expected to increase, the impact on the GST distribution would be smaller.</w:t>
      </w:r>
    </w:p>
    <w:p w14:paraId="7954A966" w14:textId="77777777" w:rsidR="00F05DC7" w:rsidRDefault="00F05DC7" w:rsidP="00A3786D">
      <w:pPr>
        <w:pStyle w:val="BodyText"/>
      </w:pPr>
      <w:r>
        <w:t>A further downside of such a proposal, however, is the increased complexity and unpredictability it could introduce. As the Queensland Government stated:</w:t>
      </w:r>
    </w:p>
    <w:p w14:paraId="7954A967" w14:textId="77777777" w:rsidR="00F05DC7" w:rsidRDefault="00F05DC7" w:rsidP="00A3786D">
      <w:pPr>
        <w:pStyle w:val="Quote"/>
      </w:pPr>
      <w:r>
        <w:t>A floor would result in a system that did not achieve equalisation, and may be more complex than the current system. (sub. 32, p. 8)</w:t>
      </w:r>
    </w:p>
    <w:p w14:paraId="7954A968" w14:textId="77777777" w:rsidR="00F05DC7" w:rsidRDefault="00F05DC7" w:rsidP="00A3786D">
      <w:pPr>
        <w:pStyle w:val="BodyText"/>
      </w:pPr>
      <w:r>
        <w:t>The increased complexity may particularly be the case for hybrid proposals that mix the operation of a relativity floor with other features, such as funding the floor through growth in the GST pool (as proposed by the Minerals Council of Australia (sub. 34, p. 4)). This increased complexity would likely have negative implications for transparency and accountability.</w:t>
      </w:r>
    </w:p>
    <w:p w14:paraId="7954A969"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96C" w14:textId="77777777" w:rsidTr="00A3786D">
        <w:trPr>
          <w:tblHeader/>
        </w:trPr>
        <w:tc>
          <w:tcPr>
            <w:tcW w:w="5000" w:type="pct"/>
            <w:tcBorders>
              <w:top w:val="single" w:sz="6" w:space="0" w:color="78A22F"/>
              <w:left w:val="nil"/>
              <w:bottom w:val="nil"/>
              <w:right w:val="nil"/>
            </w:tcBorders>
            <w:shd w:val="clear" w:color="auto" w:fill="auto"/>
          </w:tcPr>
          <w:p w14:paraId="7954A96A" w14:textId="4DD10830" w:rsidR="00F05DC7" w:rsidRDefault="00F05DC7" w:rsidP="00A3786D">
            <w:pPr>
              <w:pStyle w:val="TableTitle"/>
            </w:pPr>
            <w:r>
              <w:rPr>
                <w:b w:val="0"/>
              </w:rPr>
              <w:t>Table 8.</w:t>
            </w:r>
            <w:r>
              <w:rPr>
                <w:b w:val="0"/>
                <w:noProof/>
              </w:rPr>
              <w:t>2</w:t>
            </w:r>
            <w:r>
              <w:tab/>
              <w:t>GST impacts of a relativity floor compared to the current equalisation approach</w:t>
            </w:r>
          </w:p>
          <w:p w14:paraId="7954A96B" w14:textId="77777777" w:rsidR="00F05DC7" w:rsidRPr="00784A05" w:rsidRDefault="00F05DC7" w:rsidP="00A3786D">
            <w:pPr>
              <w:pStyle w:val="Subtitle"/>
            </w:pPr>
            <w:r>
              <w:t>2018-19 recommended relativities</w:t>
            </w:r>
          </w:p>
        </w:tc>
      </w:tr>
      <w:tr w:rsidR="00F05DC7" w14:paraId="7954A9E2" w14:textId="77777777" w:rsidTr="00A3786D">
        <w:tc>
          <w:tcPr>
            <w:tcW w:w="5000" w:type="pct"/>
            <w:tcBorders>
              <w:top w:val="nil"/>
              <w:left w:val="nil"/>
              <w:bottom w:val="single" w:sz="6" w:space="0" w:color="D9D9D9" w:themeColor="background1" w:themeShade="D9"/>
              <w:right w:val="nil"/>
            </w:tcBorders>
            <w:shd w:val="clear" w:color="auto" w:fill="auto"/>
          </w:tcPr>
          <w:tbl>
            <w:tblPr>
              <w:tblpPr w:leftFromText="180" w:rightFromText="180" w:vertAnchor="text" w:horzAnchor="margin" w:tblpY="-149"/>
              <w:tblOverlap w:val="never"/>
              <w:tblW w:w="5000" w:type="pct"/>
              <w:tblLook w:val="04A0" w:firstRow="1" w:lastRow="0" w:firstColumn="1" w:lastColumn="0" w:noHBand="0" w:noVBand="1"/>
            </w:tblPr>
            <w:tblGrid>
              <w:gridCol w:w="2700"/>
              <w:gridCol w:w="846"/>
              <w:gridCol w:w="709"/>
              <w:gridCol w:w="709"/>
              <w:gridCol w:w="711"/>
              <w:gridCol w:w="709"/>
              <w:gridCol w:w="709"/>
              <w:gridCol w:w="709"/>
              <w:gridCol w:w="703"/>
            </w:tblGrid>
            <w:tr w:rsidR="00F05DC7" w14:paraId="7954A976" w14:textId="77777777" w:rsidTr="00A3786D">
              <w:trPr>
                <w:trHeight w:val="288"/>
              </w:trPr>
              <w:tc>
                <w:tcPr>
                  <w:tcW w:w="158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96D" w14:textId="77777777" w:rsidR="00F05DC7" w:rsidRDefault="00F05DC7" w:rsidP="00A3786D">
                  <w:pPr>
                    <w:pStyle w:val="TableColumnHeading"/>
                  </w:pPr>
                  <w:r>
                    <w:t> </w:t>
                  </w:r>
                </w:p>
              </w:tc>
              <w:tc>
                <w:tcPr>
                  <w:tcW w:w="49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96E" w14:textId="77777777" w:rsidR="00F05DC7" w:rsidRPr="0024735E" w:rsidRDefault="00F05DC7" w:rsidP="00A3786D">
                  <w:pPr>
                    <w:pStyle w:val="TableColumnHeading"/>
                    <w:ind w:right="57"/>
                  </w:pPr>
                  <w:r w:rsidRPr="0024735E">
                    <w:t>NSW</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96F" w14:textId="77777777" w:rsidR="00F05DC7" w:rsidRPr="009E0BA4" w:rsidRDefault="00F05DC7" w:rsidP="00A3786D">
                  <w:pPr>
                    <w:pStyle w:val="TableColumnHeading"/>
                    <w:ind w:right="57"/>
                  </w:pPr>
                  <w:r w:rsidRPr="009E0BA4">
                    <w:t>Vic</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970" w14:textId="77777777" w:rsidR="00F05DC7" w:rsidRPr="000F3B6C" w:rsidRDefault="00F05DC7" w:rsidP="00A3786D">
                  <w:pPr>
                    <w:pStyle w:val="TableColumnHeading"/>
                    <w:ind w:right="57"/>
                  </w:pPr>
                  <w:r w:rsidRPr="000F3B6C">
                    <w:t>Qld</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971" w14:textId="77777777" w:rsidR="00F05DC7" w:rsidRPr="000F3B6C" w:rsidRDefault="00F05DC7" w:rsidP="00A3786D">
                  <w:pPr>
                    <w:pStyle w:val="TableColumnHeading"/>
                    <w:ind w:right="57"/>
                  </w:pPr>
                  <w:r w:rsidRPr="000F3B6C">
                    <w:t>WA</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972" w14:textId="77777777" w:rsidR="00F05DC7" w:rsidRPr="000F3B6C" w:rsidRDefault="00F05DC7" w:rsidP="00A3786D">
                  <w:pPr>
                    <w:pStyle w:val="TableColumnHeading"/>
                    <w:ind w:right="57"/>
                  </w:pPr>
                  <w:r w:rsidRPr="000F3B6C">
                    <w:t>SA</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973" w14:textId="77777777" w:rsidR="00F05DC7" w:rsidRPr="000F3B6C" w:rsidRDefault="00F05DC7" w:rsidP="00A3786D">
                  <w:pPr>
                    <w:pStyle w:val="TableColumnHeading"/>
                    <w:ind w:right="57"/>
                  </w:pPr>
                  <w:r w:rsidRPr="000F3B6C">
                    <w:t>Tas</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974" w14:textId="77777777" w:rsidR="00F05DC7" w:rsidRPr="000F3B6C" w:rsidRDefault="00F05DC7" w:rsidP="00A3786D">
                  <w:pPr>
                    <w:pStyle w:val="TableColumnHeading"/>
                    <w:ind w:right="57"/>
                  </w:pPr>
                  <w:r w:rsidRPr="000F3B6C">
                    <w:t>ACT</w:t>
                  </w:r>
                </w:p>
              </w:tc>
              <w:tc>
                <w:tcPr>
                  <w:tcW w:w="41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A975" w14:textId="77777777" w:rsidR="00F05DC7" w:rsidRPr="000F3B6C" w:rsidRDefault="00F05DC7" w:rsidP="00A3786D">
                  <w:pPr>
                    <w:pStyle w:val="TableColumnHeading"/>
                    <w:ind w:right="57"/>
                  </w:pPr>
                  <w:r w:rsidRPr="000F3B6C">
                    <w:t>NT</w:t>
                  </w:r>
                </w:p>
              </w:tc>
            </w:tr>
            <w:tr w:rsidR="00F05DC7" w14:paraId="7954A980"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A977" w14:textId="77777777" w:rsidR="00F05DC7" w:rsidRPr="00791D71" w:rsidRDefault="00F05DC7" w:rsidP="00A3786D">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497" w:type="pct"/>
                  <w:tcBorders>
                    <w:top w:val="nil"/>
                    <w:left w:val="nil"/>
                    <w:bottom w:val="nil"/>
                    <w:right w:val="nil"/>
                  </w:tcBorders>
                  <w:shd w:val="clear" w:color="auto" w:fill="auto"/>
                  <w:tcMar>
                    <w:left w:w="0" w:type="dxa"/>
                    <w:right w:w="0" w:type="dxa"/>
                  </w:tcMar>
                  <w:vAlign w:val="center"/>
                  <w:hideMark/>
                </w:tcPr>
                <w:p w14:paraId="7954A978" w14:textId="77777777" w:rsidR="00F05DC7" w:rsidRPr="00791D71" w:rsidRDefault="00F05DC7" w:rsidP="00A3786D">
                  <w:pPr>
                    <w:spacing w:before="80"/>
                    <w:ind w:right="57"/>
                    <w:rPr>
                      <w:rFonts w:asciiTheme="minorHAnsi" w:hAnsiTheme="minorHAnsi" w:cstheme="minorHAnsi"/>
                      <w:b/>
                      <w:bCs/>
                      <w:color w:val="000000"/>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A979" w14:textId="77777777" w:rsidR="00F05DC7" w:rsidRPr="00791D71" w:rsidRDefault="00F05DC7" w:rsidP="00A3786D">
                  <w:pPr>
                    <w:spacing w:before="80"/>
                    <w:ind w:right="57"/>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A97A" w14:textId="77777777" w:rsidR="00F05DC7" w:rsidRPr="00791D71" w:rsidRDefault="00F05DC7" w:rsidP="00A3786D">
                  <w:pPr>
                    <w:spacing w:before="80"/>
                    <w:ind w:right="57"/>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A97B" w14:textId="77777777" w:rsidR="00F05DC7" w:rsidRPr="00791D71" w:rsidRDefault="00F05DC7" w:rsidP="00A3786D">
                  <w:pPr>
                    <w:spacing w:before="80"/>
                    <w:ind w:right="57"/>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A97C" w14:textId="77777777" w:rsidR="00F05DC7" w:rsidRPr="00791D71" w:rsidRDefault="00F05DC7" w:rsidP="00A3786D">
                  <w:pPr>
                    <w:spacing w:before="80"/>
                    <w:ind w:right="57"/>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A97D" w14:textId="77777777" w:rsidR="00F05DC7" w:rsidRPr="00791D71" w:rsidRDefault="00F05DC7" w:rsidP="00A3786D">
                  <w:pPr>
                    <w:spacing w:before="80"/>
                    <w:ind w:right="57"/>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A97E" w14:textId="77777777" w:rsidR="00F05DC7" w:rsidRPr="00791D71" w:rsidRDefault="00F05DC7" w:rsidP="00A3786D">
                  <w:pPr>
                    <w:spacing w:before="80"/>
                    <w:ind w:right="57"/>
                    <w:rPr>
                      <w:rFonts w:asciiTheme="minorHAnsi" w:hAnsiTheme="minorHAnsi" w:cstheme="minorHAnsi"/>
                      <w:sz w:val="18"/>
                      <w:szCs w:val="18"/>
                    </w:rPr>
                  </w:pPr>
                </w:p>
              </w:tc>
              <w:tc>
                <w:tcPr>
                  <w:tcW w:w="413" w:type="pct"/>
                  <w:tcBorders>
                    <w:top w:val="nil"/>
                    <w:left w:val="nil"/>
                    <w:bottom w:val="nil"/>
                    <w:right w:val="nil"/>
                  </w:tcBorders>
                  <w:shd w:val="clear" w:color="auto" w:fill="auto"/>
                  <w:tcMar>
                    <w:left w:w="0" w:type="dxa"/>
                    <w:right w:w="0" w:type="dxa"/>
                  </w:tcMar>
                  <w:vAlign w:val="center"/>
                  <w:hideMark/>
                </w:tcPr>
                <w:p w14:paraId="7954A97F" w14:textId="77777777" w:rsidR="00F05DC7" w:rsidRPr="00791D71" w:rsidRDefault="00F05DC7" w:rsidP="00A3786D">
                  <w:pPr>
                    <w:spacing w:before="80"/>
                    <w:ind w:right="57"/>
                    <w:rPr>
                      <w:rFonts w:asciiTheme="minorHAnsi" w:hAnsiTheme="minorHAnsi" w:cstheme="minorHAnsi"/>
                      <w:sz w:val="18"/>
                      <w:szCs w:val="18"/>
                    </w:rPr>
                  </w:pPr>
                </w:p>
              </w:tc>
            </w:tr>
            <w:tr w:rsidR="00F05DC7" w14:paraId="7954A98A"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A981"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497" w:type="pct"/>
                  <w:tcBorders>
                    <w:top w:val="nil"/>
                    <w:left w:val="nil"/>
                    <w:bottom w:val="nil"/>
                    <w:right w:val="nil"/>
                  </w:tcBorders>
                  <w:shd w:val="clear" w:color="auto" w:fill="auto"/>
                  <w:tcMar>
                    <w:left w:w="0" w:type="dxa"/>
                    <w:right w:w="0" w:type="dxa"/>
                  </w:tcMar>
                  <w:vAlign w:val="center"/>
                  <w:hideMark/>
                </w:tcPr>
                <w:p w14:paraId="7954A982"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w:t>
                  </w:r>
                  <w:r>
                    <w:rPr>
                      <w:rFonts w:asciiTheme="minorHAnsi" w:hAnsiTheme="minorHAnsi" w:cstheme="minorHAnsi"/>
                      <w:color w:val="000000"/>
                      <w:sz w:val="18"/>
                      <w:szCs w:val="18"/>
                    </w:rPr>
                    <w:t>6</w:t>
                  </w:r>
                </w:p>
              </w:tc>
              <w:tc>
                <w:tcPr>
                  <w:tcW w:w="417" w:type="pct"/>
                  <w:tcBorders>
                    <w:top w:val="nil"/>
                    <w:left w:val="nil"/>
                    <w:bottom w:val="nil"/>
                    <w:right w:val="nil"/>
                  </w:tcBorders>
                  <w:shd w:val="clear" w:color="auto" w:fill="auto"/>
                  <w:tcMar>
                    <w:left w:w="0" w:type="dxa"/>
                    <w:right w:w="0" w:type="dxa"/>
                  </w:tcMar>
                  <w:vAlign w:val="center"/>
                  <w:hideMark/>
                </w:tcPr>
                <w:p w14:paraId="7954A983"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w:t>
                  </w:r>
                  <w:r>
                    <w:rPr>
                      <w:rFonts w:asciiTheme="minorHAnsi" w:hAnsiTheme="minorHAnsi" w:cstheme="minorHAnsi"/>
                      <w:color w:val="000000"/>
                      <w:sz w:val="18"/>
                      <w:szCs w:val="18"/>
                    </w:rPr>
                    <w:t>9</w:t>
                  </w:r>
                </w:p>
              </w:tc>
              <w:tc>
                <w:tcPr>
                  <w:tcW w:w="417" w:type="pct"/>
                  <w:tcBorders>
                    <w:top w:val="nil"/>
                    <w:left w:val="nil"/>
                    <w:bottom w:val="nil"/>
                    <w:right w:val="nil"/>
                  </w:tcBorders>
                  <w:shd w:val="clear" w:color="auto" w:fill="auto"/>
                  <w:tcMar>
                    <w:left w:w="0" w:type="dxa"/>
                    <w:right w:w="0" w:type="dxa"/>
                  </w:tcMar>
                  <w:vAlign w:val="center"/>
                  <w:hideMark/>
                </w:tcPr>
                <w:p w14:paraId="7954A984"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0</w:t>
                  </w:r>
                </w:p>
              </w:tc>
              <w:tc>
                <w:tcPr>
                  <w:tcW w:w="418" w:type="pct"/>
                  <w:tcBorders>
                    <w:top w:val="nil"/>
                    <w:left w:val="nil"/>
                    <w:bottom w:val="nil"/>
                    <w:right w:val="nil"/>
                  </w:tcBorders>
                  <w:shd w:val="clear" w:color="auto" w:fill="auto"/>
                  <w:tcMar>
                    <w:left w:w="0" w:type="dxa"/>
                    <w:right w:w="0" w:type="dxa"/>
                  </w:tcMar>
                  <w:vAlign w:val="center"/>
                  <w:hideMark/>
                </w:tcPr>
                <w:p w14:paraId="7954A985"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47</w:t>
                  </w:r>
                </w:p>
              </w:tc>
              <w:tc>
                <w:tcPr>
                  <w:tcW w:w="417" w:type="pct"/>
                  <w:tcBorders>
                    <w:top w:val="nil"/>
                    <w:left w:val="nil"/>
                    <w:bottom w:val="nil"/>
                    <w:right w:val="nil"/>
                  </w:tcBorders>
                  <w:shd w:val="clear" w:color="auto" w:fill="auto"/>
                  <w:tcMar>
                    <w:left w:w="0" w:type="dxa"/>
                    <w:right w:w="0" w:type="dxa"/>
                  </w:tcMar>
                  <w:vAlign w:val="center"/>
                  <w:hideMark/>
                </w:tcPr>
                <w:p w14:paraId="7954A986"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w:t>
                  </w:r>
                  <w:r>
                    <w:rPr>
                      <w:rFonts w:asciiTheme="minorHAnsi" w:hAnsiTheme="minorHAnsi" w:cstheme="minorHAnsi"/>
                      <w:color w:val="000000"/>
                      <w:sz w:val="18"/>
                      <w:szCs w:val="18"/>
                    </w:rPr>
                    <w:t>8</w:t>
                  </w:r>
                </w:p>
              </w:tc>
              <w:tc>
                <w:tcPr>
                  <w:tcW w:w="417" w:type="pct"/>
                  <w:tcBorders>
                    <w:top w:val="nil"/>
                    <w:left w:val="nil"/>
                    <w:bottom w:val="nil"/>
                    <w:right w:val="nil"/>
                  </w:tcBorders>
                  <w:shd w:val="clear" w:color="auto" w:fill="auto"/>
                  <w:tcMar>
                    <w:left w:w="0" w:type="dxa"/>
                    <w:right w:w="0" w:type="dxa"/>
                  </w:tcMar>
                  <w:vAlign w:val="center"/>
                  <w:hideMark/>
                </w:tcPr>
                <w:p w14:paraId="7954A987"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77</w:t>
                  </w:r>
                </w:p>
              </w:tc>
              <w:tc>
                <w:tcPr>
                  <w:tcW w:w="417" w:type="pct"/>
                  <w:tcBorders>
                    <w:top w:val="nil"/>
                    <w:left w:val="nil"/>
                    <w:bottom w:val="nil"/>
                    <w:right w:val="nil"/>
                  </w:tcBorders>
                  <w:shd w:val="clear" w:color="auto" w:fill="auto"/>
                  <w:tcMar>
                    <w:left w:w="0" w:type="dxa"/>
                    <w:right w:w="0" w:type="dxa"/>
                  </w:tcMar>
                  <w:vAlign w:val="center"/>
                  <w:hideMark/>
                </w:tcPr>
                <w:p w14:paraId="7954A988"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8</w:t>
                  </w:r>
                </w:p>
              </w:tc>
              <w:tc>
                <w:tcPr>
                  <w:tcW w:w="413" w:type="pct"/>
                  <w:tcBorders>
                    <w:top w:val="nil"/>
                    <w:left w:val="nil"/>
                    <w:bottom w:val="nil"/>
                    <w:right w:val="nil"/>
                  </w:tcBorders>
                  <w:shd w:val="clear" w:color="auto" w:fill="auto"/>
                  <w:tcMar>
                    <w:left w:w="0" w:type="dxa"/>
                    <w:right w:w="0" w:type="dxa"/>
                  </w:tcMar>
                  <w:vAlign w:val="center"/>
                  <w:hideMark/>
                </w:tcPr>
                <w:p w14:paraId="7954A989"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26</w:t>
                  </w:r>
                </w:p>
              </w:tc>
            </w:tr>
            <w:tr w:rsidR="00F05DC7" w14:paraId="7954A994"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A98B"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A98C"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w:t>
                  </w:r>
                  <w:r>
                    <w:rPr>
                      <w:rFonts w:asciiTheme="minorHAnsi" w:hAnsiTheme="minorHAnsi" w:cstheme="minorHAnsi"/>
                      <w:color w:val="000000"/>
                      <w:sz w:val="18"/>
                      <w:szCs w:val="18"/>
                    </w:rPr>
                    <w:t>5</w:t>
                  </w:r>
                </w:p>
              </w:tc>
              <w:tc>
                <w:tcPr>
                  <w:tcW w:w="417" w:type="pct"/>
                  <w:tcBorders>
                    <w:top w:val="nil"/>
                    <w:left w:val="nil"/>
                    <w:bottom w:val="nil"/>
                    <w:right w:val="nil"/>
                  </w:tcBorders>
                  <w:shd w:val="clear" w:color="auto" w:fill="auto"/>
                  <w:tcMar>
                    <w:left w:w="0" w:type="dxa"/>
                    <w:right w:w="0" w:type="dxa"/>
                  </w:tcMar>
                  <w:vAlign w:val="center"/>
                  <w:hideMark/>
                </w:tcPr>
                <w:p w14:paraId="7954A98D"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w:t>
                  </w:r>
                  <w:r>
                    <w:rPr>
                      <w:rFonts w:asciiTheme="minorHAnsi" w:hAnsiTheme="minorHAnsi" w:cstheme="minorHAnsi"/>
                      <w:color w:val="000000"/>
                      <w:sz w:val="18"/>
                      <w:szCs w:val="18"/>
                    </w:rPr>
                    <w:t>9</w:t>
                  </w:r>
                </w:p>
              </w:tc>
              <w:tc>
                <w:tcPr>
                  <w:tcW w:w="417" w:type="pct"/>
                  <w:tcBorders>
                    <w:top w:val="nil"/>
                    <w:left w:val="nil"/>
                    <w:bottom w:val="nil"/>
                    <w:right w:val="nil"/>
                  </w:tcBorders>
                  <w:shd w:val="clear" w:color="auto" w:fill="auto"/>
                  <w:tcMar>
                    <w:left w:w="0" w:type="dxa"/>
                    <w:right w:w="0" w:type="dxa"/>
                  </w:tcMar>
                  <w:vAlign w:val="center"/>
                  <w:hideMark/>
                </w:tcPr>
                <w:p w14:paraId="7954A98E"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09</w:t>
                  </w:r>
                </w:p>
              </w:tc>
              <w:tc>
                <w:tcPr>
                  <w:tcW w:w="418" w:type="pct"/>
                  <w:tcBorders>
                    <w:top w:val="nil"/>
                    <w:left w:val="nil"/>
                    <w:bottom w:val="nil"/>
                    <w:right w:val="nil"/>
                  </w:tcBorders>
                  <w:shd w:val="clear" w:color="auto" w:fill="auto"/>
                  <w:tcMar>
                    <w:left w:w="0" w:type="dxa"/>
                    <w:right w:w="0" w:type="dxa"/>
                  </w:tcMar>
                  <w:vAlign w:val="center"/>
                  <w:hideMark/>
                </w:tcPr>
                <w:p w14:paraId="7954A98F"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0.50</w:t>
                  </w:r>
                </w:p>
              </w:tc>
              <w:tc>
                <w:tcPr>
                  <w:tcW w:w="417" w:type="pct"/>
                  <w:tcBorders>
                    <w:top w:val="nil"/>
                    <w:left w:val="nil"/>
                    <w:bottom w:val="nil"/>
                    <w:right w:val="nil"/>
                  </w:tcBorders>
                  <w:shd w:val="clear" w:color="auto" w:fill="auto"/>
                  <w:tcMar>
                    <w:left w:w="0" w:type="dxa"/>
                    <w:right w:w="0" w:type="dxa"/>
                  </w:tcMar>
                  <w:vAlign w:val="center"/>
                  <w:hideMark/>
                </w:tcPr>
                <w:p w14:paraId="7954A990"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w:t>
                  </w:r>
                  <w:r>
                    <w:rPr>
                      <w:rFonts w:asciiTheme="minorHAnsi" w:hAnsiTheme="minorHAnsi" w:cstheme="minorHAnsi"/>
                      <w:color w:val="000000"/>
                      <w:sz w:val="18"/>
                      <w:szCs w:val="18"/>
                    </w:rPr>
                    <w:t>8</w:t>
                  </w:r>
                </w:p>
              </w:tc>
              <w:tc>
                <w:tcPr>
                  <w:tcW w:w="417" w:type="pct"/>
                  <w:tcBorders>
                    <w:top w:val="nil"/>
                    <w:left w:val="nil"/>
                    <w:bottom w:val="nil"/>
                    <w:right w:val="nil"/>
                  </w:tcBorders>
                  <w:shd w:val="clear" w:color="auto" w:fill="auto"/>
                  <w:tcMar>
                    <w:left w:w="0" w:type="dxa"/>
                    <w:right w:w="0" w:type="dxa"/>
                  </w:tcMar>
                  <w:vAlign w:val="center"/>
                  <w:hideMark/>
                </w:tcPr>
                <w:p w14:paraId="7954A991"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w:t>
                  </w:r>
                  <w:r>
                    <w:rPr>
                      <w:rFonts w:asciiTheme="minorHAnsi" w:hAnsiTheme="minorHAnsi" w:cstheme="minorHAnsi"/>
                      <w:color w:val="000000"/>
                      <w:sz w:val="18"/>
                      <w:szCs w:val="18"/>
                    </w:rPr>
                    <w:t>7</w:t>
                  </w:r>
                </w:p>
              </w:tc>
              <w:tc>
                <w:tcPr>
                  <w:tcW w:w="417" w:type="pct"/>
                  <w:tcBorders>
                    <w:top w:val="nil"/>
                    <w:left w:val="nil"/>
                    <w:bottom w:val="nil"/>
                    <w:right w:val="nil"/>
                  </w:tcBorders>
                  <w:shd w:val="clear" w:color="auto" w:fill="auto"/>
                  <w:tcMar>
                    <w:left w:w="0" w:type="dxa"/>
                    <w:right w:w="0" w:type="dxa"/>
                  </w:tcMar>
                  <w:vAlign w:val="center"/>
                  <w:hideMark/>
                </w:tcPr>
                <w:p w14:paraId="7954A992"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1.18</w:t>
                  </w:r>
                </w:p>
              </w:tc>
              <w:tc>
                <w:tcPr>
                  <w:tcW w:w="413" w:type="pct"/>
                  <w:tcBorders>
                    <w:top w:val="nil"/>
                    <w:left w:val="nil"/>
                    <w:bottom w:val="nil"/>
                    <w:right w:val="nil"/>
                  </w:tcBorders>
                  <w:shd w:val="clear" w:color="auto" w:fill="auto"/>
                  <w:tcMar>
                    <w:left w:w="0" w:type="dxa"/>
                    <w:right w:w="0" w:type="dxa"/>
                  </w:tcMar>
                  <w:vAlign w:val="center"/>
                  <w:hideMark/>
                </w:tcPr>
                <w:p w14:paraId="7954A993"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2</w:t>
                  </w:r>
                  <w:r w:rsidRPr="00791D71">
                    <w:rPr>
                      <w:rFonts w:asciiTheme="minorHAnsi" w:hAnsiTheme="minorHAnsi" w:cstheme="minorHAnsi"/>
                      <w:color w:val="000000"/>
                      <w:sz w:val="18"/>
                      <w:szCs w:val="18"/>
                    </w:rPr>
                    <w:t>6</w:t>
                  </w:r>
                </w:p>
              </w:tc>
            </w:tr>
            <w:tr w:rsidR="00F05DC7" w14:paraId="7954A99E"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A995"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A996"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w:t>
                  </w:r>
                  <w:r>
                    <w:rPr>
                      <w:rFonts w:asciiTheme="minorHAnsi" w:hAnsiTheme="minorHAnsi" w:cstheme="minorHAnsi"/>
                      <w:color w:val="000000"/>
                      <w:sz w:val="18"/>
                      <w:szCs w:val="18"/>
                    </w:rPr>
                    <w:t>3</w:t>
                  </w:r>
                </w:p>
              </w:tc>
              <w:tc>
                <w:tcPr>
                  <w:tcW w:w="417" w:type="pct"/>
                  <w:tcBorders>
                    <w:top w:val="nil"/>
                    <w:left w:val="nil"/>
                    <w:bottom w:val="nil"/>
                    <w:right w:val="nil"/>
                  </w:tcBorders>
                  <w:shd w:val="clear" w:color="auto" w:fill="auto"/>
                  <w:tcMar>
                    <w:left w:w="0" w:type="dxa"/>
                    <w:right w:w="0" w:type="dxa"/>
                  </w:tcMar>
                  <w:vAlign w:val="center"/>
                  <w:hideMark/>
                </w:tcPr>
                <w:p w14:paraId="7954A997"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96</w:t>
                  </w:r>
                </w:p>
              </w:tc>
              <w:tc>
                <w:tcPr>
                  <w:tcW w:w="417" w:type="pct"/>
                  <w:tcBorders>
                    <w:top w:val="nil"/>
                    <w:left w:val="nil"/>
                    <w:bottom w:val="nil"/>
                    <w:right w:val="nil"/>
                  </w:tcBorders>
                  <w:shd w:val="clear" w:color="auto" w:fill="auto"/>
                  <w:tcMar>
                    <w:left w:w="0" w:type="dxa"/>
                    <w:right w:w="0" w:type="dxa"/>
                  </w:tcMar>
                  <w:vAlign w:val="center"/>
                  <w:hideMark/>
                </w:tcPr>
                <w:p w14:paraId="7954A998"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07</w:t>
                  </w:r>
                </w:p>
              </w:tc>
              <w:tc>
                <w:tcPr>
                  <w:tcW w:w="418" w:type="pct"/>
                  <w:tcBorders>
                    <w:top w:val="nil"/>
                    <w:left w:val="nil"/>
                    <w:bottom w:val="nil"/>
                    <w:right w:val="nil"/>
                  </w:tcBorders>
                  <w:shd w:val="clear" w:color="auto" w:fill="auto"/>
                  <w:tcMar>
                    <w:left w:w="0" w:type="dxa"/>
                    <w:right w:w="0" w:type="dxa"/>
                  </w:tcMar>
                  <w:vAlign w:val="center"/>
                  <w:hideMark/>
                </w:tcPr>
                <w:p w14:paraId="7954A999"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0.70</w:t>
                  </w:r>
                </w:p>
              </w:tc>
              <w:tc>
                <w:tcPr>
                  <w:tcW w:w="417" w:type="pct"/>
                  <w:tcBorders>
                    <w:top w:val="nil"/>
                    <w:left w:val="nil"/>
                    <w:bottom w:val="nil"/>
                    <w:right w:val="nil"/>
                  </w:tcBorders>
                  <w:shd w:val="clear" w:color="auto" w:fill="auto"/>
                  <w:tcMar>
                    <w:left w:w="0" w:type="dxa"/>
                    <w:right w:w="0" w:type="dxa"/>
                  </w:tcMar>
                  <w:vAlign w:val="center"/>
                  <w:hideMark/>
                </w:tcPr>
                <w:p w14:paraId="7954A99A"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w:t>
                  </w:r>
                  <w:r>
                    <w:rPr>
                      <w:rFonts w:asciiTheme="minorHAnsi" w:hAnsiTheme="minorHAnsi" w:cstheme="minorHAnsi"/>
                      <w:color w:val="000000"/>
                      <w:sz w:val="18"/>
                      <w:szCs w:val="18"/>
                    </w:rPr>
                    <w:t>5</w:t>
                  </w:r>
                </w:p>
              </w:tc>
              <w:tc>
                <w:tcPr>
                  <w:tcW w:w="417" w:type="pct"/>
                  <w:tcBorders>
                    <w:top w:val="nil"/>
                    <w:left w:val="nil"/>
                    <w:bottom w:val="nil"/>
                    <w:right w:val="nil"/>
                  </w:tcBorders>
                  <w:shd w:val="clear" w:color="auto" w:fill="auto"/>
                  <w:tcMar>
                    <w:left w:w="0" w:type="dxa"/>
                    <w:right w:w="0" w:type="dxa"/>
                  </w:tcMar>
                  <w:vAlign w:val="center"/>
                  <w:hideMark/>
                </w:tcPr>
                <w:p w14:paraId="7954A99B"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w:t>
                  </w:r>
                  <w:r>
                    <w:rPr>
                      <w:rFonts w:asciiTheme="minorHAnsi" w:hAnsiTheme="minorHAnsi" w:cstheme="minorHAnsi"/>
                      <w:color w:val="000000"/>
                      <w:sz w:val="18"/>
                      <w:szCs w:val="18"/>
                    </w:rPr>
                    <w:t>4</w:t>
                  </w:r>
                </w:p>
              </w:tc>
              <w:tc>
                <w:tcPr>
                  <w:tcW w:w="417" w:type="pct"/>
                  <w:tcBorders>
                    <w:top w:val="nil"/>
                    <w:left w:val="nil"/>
                    <w:bottom w:val="nil"/>
                    <w:right w:val="nil"/>
                  </w:tcBorders>
                  <w:shd w:val="clear" w:color="auto" w:fill="auto"/>
                  <w:tcMar>
                    <w:left w:w="0" w:type="dxa"/>
                    <w:right w:w="0" w:type="dxa"/>
                  </w:tcMar>
                  <w:vAlign w:val="center"/>
                  <w:hideMark/>
                </w:tcPr>
                <w:p w14:paraId="7954A99C"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6</w:t>
                  </w:r>
                </w:p>
              </w:tc>
              <w:tc>
                <w:tcPr>
                  <w:tcW w:w="413" w:type="pct"/>
                  <w:tcBorders>
                    <w:top w:val="nil"/>
                    <w:left w:val="nil"/>
                    <w:bottom w:val="nil"/>
                    <w:right w:val="nil"/>
                  </w:tcBorders>
                  <w:shd w:val="clear" w:color="auto" w:fill="auto"/>
                  <w:tcMar>
                    <w:left w:w="0" w:type="dxa"/>
                    <w:right w:w="0" w:type="dxa"/>
                  </w:tcMar>
                  <w:vAlign w:val="center"/>
                  <w:hideMark/>
                </w:tcPr>
                <w:p w14:paraId="7954A99D" w14:textId="77777777" w:rsidR="00F05DC7" w:rsidRPr="00791D71" w:rsidRDefault="00F05DC7" w:rsidP="00A3786D">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24</w:t>
                  </w:r>
                </w:p>
              </w:tc>
            </w:tr>
            <w:tr w:rsidR="00F05DC7" w14:paraId="7954A9A0"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7954A99F"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$m</w:t>
                  </w:r>
                  <w:r w:rsidRPr="00791D71">
                    <w:rPr>
                      <w:rFonts w:asciiTheme="minorHAnsi" w:hAnsiTheme="minorHAnsi" w:cstheme="minorHAnsi"/>
                      <w:b/>
                      <w:bCs/>
                      <w:color w:val="000000"/>
                      <w:sz w:val="18"/>
                      <w:szCs w:val="18"/>
                    </w:rPr>
                    <w:t>)</w:t>
                  </w:r>
                </w:p>
              </w:tc>
            </w:tr>
            <w:tr w:rsidR="00F05DC7" w14:paraId="7954A9AA"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A9A1"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A9A2"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65</w:t>
                  </w:r>
                </w:p>
              </w:tc>
              <w:tc>
                <w:tcPr>
                  <w:tcW w:w="417" w:type="pct"/>
                  <w:tcBorders>
                    <w:top w:val="nil"/>
                    <w:left w:val="nil"/>
                    <w:bottom w:val="nil"/>
                    <w:right w:val="nil"/>
                  </w:tcBorders>
                  <w:shd w:val="clear" w:color="auto" w:fill="auto"/>
                  <w:tcMar>
                    <w:left w:w="0" w:type="dxa"/>
                    <w:right w:w="0" w:type="dxa"/>
                  </w:tcMar>
                  <w:vAlign w:val="center"/>
                  <w:hideMark/>
                </w:tcPr>
                <w:p w14:paraId="7954A9A3"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52</w:t>
                  </w:r>
                </w:p>
              </w:tc>
              <w:tc>
                <w:tcPr>
                  <w:tcW w:w="417" w:type="pct"/>
                  <w:tcBorders>
                    <w:top w:val="nil"/>
                    <w:left w:val="nil"/>
                    <w:bottom w:val="nil"/>
                    <w:right w:val="nil"/>
                  </w:tcBorders>
                  <w:shd w:val="clear" w:color="auto" w:fill="auto"/>
                  <w:tcMar>
                    <w:left w:w="0" w:type="dxa"/>
                    <w:right w:w="0" w:type="dxa"/>
                  </w:tcMar>
                  <w:vAlign w:val="center"/>
                  <w:hideMark/>
                </w:tcPr>
                <w:p w14:paraId="7954A9A4"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41</w:t>
                  </w:r>
                </w:p>
              </w:tc>
              <w:tc>
                <w:tcPr>
                  <w:tcW w:w="418" w:type="pct"/>
                  <w:tcBorders>
                    <w:top w:val="nil"/>
                    <w:left w:val="nil"/>
                    <w:bottom w:val="nil"/>
                    <w:right w:val="nil"/>
                  </w:tcBorders>
                  <w:shd w:val="clear" w:color="auto" w:fill="auto"/>
                  <w:tcMar>
                    <w:left w:w="0" w:type="dxa"/>
                    <w:right w:w="0" w:type="dxa"/>
                  </w:tcMar>
                  <w:vAlign w:val="center"/>
                  <w:hideMark/>
                </w:tcPr>
                <w:p w14:paraId="7954A9A5"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181</w:t>
                  </w:r>
                </w:p>
              </w:tc>
              <w:tc>
                <w:tcPr>
                  <w:tcW w:w="417" w:type="pct"/>
                  <w:tcBorders>
                    <w:top w:val="nil"/>
                    <w:left w:val="nil"/>
                    <w:bottom w:val="nil"/>
                    <w:right w:val="nil"/>
                  </w:tcBorders>
                  <w:shd w:val="clear" w:color="auto" w:fill="auto"/>
                  <w:tcMar>
                    <w:left w:w="0" w:type="dxa"/>
                    <w:right w:w="0" w:type="dxa"/>
                  </w:tcMar>
                  <w:vAlign w:val="center"/>
                  <w:hideMark/>
                </w:tcPr>
                <w:p w14:paraId="7954A9A6"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14</w:t>
                  </w:r>
                </w:p>
              </w:tc>
              <w:tc>
                <w:tcPr>
                  <w:tcW w:w="417" w:type="pct"/>
                  <w:tcBorders>
                    <w:top w:val="nil"/>
                    <w:left w:val="nil"/>
                    <w:bottom w:val="nil"/>
                    <w:right w:val="nil"/>
                  </w:tcBorders>
                  <w:shd w:val="clear" w:color="auto" w:fill="auto"/>
                  <w:tcMar>
                    <w:left w:w="0" w:type="dxa"/>
                    <w:right w:w="0" w:type="dxa"/>
                  </w:tcMar>
                  <w:vAlign w:val="center"/>
                  <w:hideMark/>
                </w:tcPr>
                <w:p w14:paraId="7954A9A7" w14:textId="77777777" w:rsidR="00F05DC7" w:rsidRPr="0035058B"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4</w:t>
                  </w:r>
                </w:p>
              </w:tc>
              <w:tc>
                <w:tcPr>
                  <w:tcW w:w="417" w:type="pct"/>
                  <w:tcBorders>
                    <w:top w:val="nil"/>
                    <w:left w:val="nil"/>
                    <w:bottom w:val="nil"/>
                    <w:right w:val="nil"/>
                  </w:tcBorders>
                  <w:shd w:val="clear" w:color="auto" w:fill="auto"/>
                  <w:tcMar>
                    <w:left w:w="0" w:type="dxa"/>
                    <w:right w:w="0" w:type="dxa"/>
                  </w:tcMar>
                  <w:vAlign w:val="center"/>
                  <w:hideMark/>
                </w:tcPr>
                <w:p w14:paraId="7954A9A8"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3</w:t>
                  </w:r>
                </w:p>
              </w:tc>
              <w:tc>
                <w:tcPr>
                  <w:tcW w:w="413" w:type="pct"/>
                  <w:tcBorders>
                    <w:top w:val="nil"/>
                    <w:left w:val="nil"/>
                    <w:bottom w:val="nil"/>
                    <w:right w:val="nil"/>
                  </w:tcBorders>
                  <w:shd w:val="clear" w:color="auto" w:fill="auto"/>
                  <w:tcMar>
                    <w:left w:w="0" w:type="dxa"/>
                    <w:right w:w="0" w:type="dxa"/>
                  </w:tcMar>
                  <w:vAlign w:val="center"/>
                  <w:hideMark/>
                </w:tcPr>
                <w:p w14:paraId="7954A9A9"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2</w:t>
                  </w:r>
                </w:p>
              </w:tc>
            </w:tr>
            <w:tr w:rsidR="00F05DC7" w14:paraId="7954A9B4"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A9AB"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A9AC"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556</w:t>
                  </w:r>
                </w:p>
              </w:tc>
              <w:tc>
                <w:tcPr>
                  <w:tcW w:w="417" w:type="pct"/>
                  <w:tcBorders>
                    <w:top w:val="nil"/>
                    <w:left w:val="nil"/>
                    <w:bottom w:val="nil"/>
                    <w:right w:val="nil"/>
                  </w:tcBorders>
                  <w:shd w:val="clear" w:color="auto" w:fill="auto"/>
                  <w:tcMar>
                    <w:left w:w="0" w:type="dxa"/>
                    <w:right w:w="0" w:type="dxa"/>
                  </w:tcMar>
                  <w:vAlign w:val="center"/>
                  <w:hideMark/>
                </w:tcPr>
                <w:p w14:paraId="7954A9AD"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450</w:t>
                  </w:r>
                </w:p>
              </w:tc>
              <w:tc>
                <w:tcPr>
                  <w:tcW w:w="417" w:type="pct"/>
                  <w:tcBorders>
                    <w:top w:val="nil"/>
                    <w:left w:val="nil"/>
                    <w:bottom w:val="nil"/>
                    <w:right w:val="nil"/>
                  </w:tcBorders>
                  <w:shd w:val="clear" w:color="auto" w:fill="auto"/>
                  <w:tcMar>
                    <w:left w:w="0" w:type="dxa"/>
                    <w:right w:w="0" w:type="dxa"/>
                  </w:tcMar>
                  <w:vAlign w:val="center"/>
                  <w:hideMark/>
                </w:tcPr>
                <w:p w14:paraId="7954A9AE"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348</w:t>
                  </w:r>
                </w:p>
              </w:tc>
              <w:tc>
                <w:tcPr>
                  <w:tcW w:w="418" w:type="pct"/>
                  <w:tcBorders>
                    <w:top w:val="nil"/>
                    <w:left w:val="nil"/>
                    <w:bottom w:val="nil"/>
                    <w:right w:val="nil"/>
                  </w:tcBorders>
                  <w:shd w:val="clear" w:color="auto" w:fill="auto"/>
                  <w:tcMar>
                    <w:left w:w="0" w:type="dxa"/>
                    <w:right w:w="0" w:type="dxa"/>
                  </w:tcMar>
                  <w:vAlign w:val="center"/>
                  <w:hideMark/>
                </w:tcPr>
                <w:p w14:paraId="7954A9AF"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1 556</w:t>
                  </w:r>
                </w:p>
              </w:tc>
              <w:tc>
                <w:tcPr>
                  <w:tcW w:w="417" w:type="pct"/>
                  <w:tcBorders>
                    <w:top w:val="nil"/>
                    <w:left w:val="nil"/>
                    <w:bottom w:val="nil"/>
                    <w:right w:val="nil"/>
                  </w:tcBorders>
                  <w:shd w:val="clear" w:color="auto" w:fill="auto"/>
                  <w:tcMar>
                    <w:left w:w="0" w:type="dxa"/>
                    <w:right w:w="0" w:type="dxa"/>
                  </w:tcMar>
                  <w:vAlign w:val="center"/>
                  <w:hideMark/>
                </w:tcPr>
                <w:p w14:paraId="7954A9B0"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20</w:t>
                  </w:r>
                </w:p>
              </w:tc>
              <w:tc>
                <w:tcPr>
                  <w:tcW w:w="417" w:type="pct"/>
                  <w:tcBorders>
                    <w:top w:val="nil"/>
                    <w:left w:val="nil"/>
                    <w:bottom w:val="nil"/>
                    <w:right w:val="nil"/>
                  </w:tcBorders>
                  <w:shd w:val="clear" w:color="auto" w:fill="auto"/>
                  <w:tcMar>
                    <w:left w:w="0" w:type="dxa"/>
                    <w:right w:w="0" w:type="dxa"/>
                  </w:tcMar>
                  <w:vAlign w:val="center"/>
                  <w:hideMark/>
                </w:tcPr>
                <w:p w14:paraId="7954A9B1"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36</w:t>
                  </w:r>
                </w:p>
              </w:tc>
              <w:tc>
                <w:tcPr>
                  <w:tcW w:w="417" w:type="pct"/>
                  <w:tcBorders>
                    <w:top w:val="nil"/>
                    <w:left w:val="nil"/>
                    <w:bottom w:val="nil"/>
                    <w:right w:val="nil"/>
                  </w:tcBorders>
                  <w:shd w:val="clear" w:color="auto" w:fill="auto"/>
                  <w:tcMar>
                    <w:left w:w="0" w:type="dxa"/>
                    <w:right w:w="0" w:type="dxa"/>
                  </w:tcMar>
                  <w:vAlign w:val="center"/>
                  <w:hideMark/>
                </w:tcPr>
                <w:p w14:paraId="7954A9B2"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29</w:t>
                  </w:r>
                </w:p>
              </w:tc>
              <w:tc>
                <w:tcPr>
                  <w:tcW w:w="413" w:type="pct"/>
                  <w:tcBorders>
                    <w:top w:val="nil"/>
                    <w:left w:val="nil"/>
                    <w:bottom w:val="nil"/>
                    <w:right w:val="nil"/>
                  </w:tcBorders>
                  <w:shd w:val="clear" w:color="auto" w:fill="auto"/>
                  <w:tcMar>
                    <w:left w:w="0" w:type="dxa"/>
                    <w:right w:w="0" w:type="dxa"/>
                  </w:tcMar>
                  <w:vAlign w:val="center"/>
                  <w:hideMark/>
                </w:tcPr>
                <w:p w14:paraId="7954A9B3"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1</w:t>
                  </w:r>
                  <w:r w:rsidRPr="00791D71">
                    <w:rPr>
                      <w:rFonts w:asciiTheme="minorHAnsi" w:hAnsiTheme="minorHAnsi" w:cstheme="minorHAnsi"/>
                      <w:color w:val="000000"/>
                      <w:sz w:val="18"/>
                      <w:szCs w:val="18"/>
                    </w:rPr>
                    <w:t>7</w:t>
                  </w:r>
                </w:p>
              </w:tc>
            </w:tr>
            <w:tr w:rsidR="00F05DC7" w14:paraId="7954A9B6"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7954A9B5"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 xml:space="preserve">ayments </w:t>
                  </w:r>
                  <w:r>
                    <w:rPr>
                      <w:rFonts w:asciiTheme="minorHAnsi" w:hAnsiTheme="minorHAnsi" w:cstheme="minorHAnsi"/>
                      <w:b/>
                      <w:bCs/>
                      <w:color w:val="000000"/>
                      <w:sz w:val="18"/>
                      <w:szCs w:val="18"/>
                    </w:rPr>
                    <w:t>($pc)</w:t>
                  </w:r>
                </w:p>
              </w:tc>
            </w:tr>
            <w:tr w:rsidR="00F05DC7" w14:paraId="7954A9C0"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A9B7"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A9B8"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8</w:t>
                  </w:r>
                </w:p>
              </w:tc>
              <w:tc>
                <w:tcPr>
                  <w:tcW w:w="417" w:type="pct"/>
                  <w:tcBorders>
                    <w:top w:val="nil"/>
                    <w:left w:val="nil"/>
                    <w:bottom w:val="nil"/>
                    <w:right w:val="nil"/>
                  </w:tcBorders>
                  <w:shd w:val="clear" w:color="auto" w:fill="auto"/>
                  <w:tcMar>
                    <w:left w:w="0" w:type="dxa"/>
                    <w:right w:w="0" w:type="dxa"/>
                  </w:tcMar>
                  <w:vAlign w:val="center"/>
                  <w:hideMark/>
                </w:tcPr>
                <w:p w14:paraId="7954A9B9"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8</w:t>
                  </w:r>
                </w:p>
              </w:tc>
              <w:tc>
                <w:tcPr>
                  <w:tcW w:w="417" w:type="pct"/>
                  <w:tcBorders>
                    <w:top w:val="nil"/>
                    <w:left w:val="nil"/>
                    <w:bottom w:val="nil"/>
                    <w:right w:val="nil"/>
                  </w:tcBorders>
                  <w:shd w:val="clear" w:color="auto" w:fill="auto"/>
                  <w:tcMar>
                    <w:left w:w="0" w:type="dxa"/>
                    <w:right w:w="0" w:type="dxa"/>
                  </w:tcMar>
                  <w:vAlign w:val="center"/>
                  <w:hideMark/>
                </w:tcPr>
                <w:p w14:paraId="7954A9BA"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8</w:t>
                  </w:r>
                </w:p>
              </w:tc>
              <w:tc>
                <w:tcPr>
                  <w:tcW w:w="418" w:type="pct"/>
                  <w:tcBorders>
                    <w:top w:val="nil"/>
                    <w:left w:val="nil"/>
                    <w:bottom w:val="nil"/>
                    <w:right w:val="nil"/>
                  </w:tcBorders>
                  <w:shd w:val="clear" w:color="auto" w:fill="auto"/>
                  <w:tcMar>
                    <w:left w:w="0" w:type="dxa"/>
                    <w:right w:w="0" w:type="dxa"/>
                  </w:tcMar>
                  <w:vAlign w:val="center"/>
                  <w:hideMark/>
                </w:tcPr>
                <w:p w14:paraId="7954A9BB"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6</w:t>
                  </w:r>
                  <w:r w:rsidRPr="00791D71">
                    <w:rPr>
                      <w:rFonts w:asciiTheme="minorHAnsi" w:hAnsiTheme="minorHAnsi" w:cstheme="minorHAnsi"/>
                      <w:color w:val="000000"/>
                      <w:sz w:val="18"/>
                      <w:szCs w:val="18"/>
                    </w:rPr>
                    <w:t>9</w:t>
                  </w:r>
                </w:p>
              </w:tc>
              <w:tc>
                <w:tcPr>
                  <w:tcW w:w="417" w:type="pct"/>
                  <w:tcBorders>
                    <w:top w:val="nil"/>
                    <w:left w:val="nil"/>
                    <w:bottom w:val="nil"/>
                    <w:right w:val="nil"/>
                  </w:tcBorders>
                  <w:shd w:val="clear" w:color="auto" w:fill="auto"/>
                  <w:tcMar>
                    <w:left w:w="0" w:type="dxa"/>
                    <w:right w:w="0" w:type="dxa"/>
                  </w:tcMar>
                  <w:vAlign w:val="center"/>
                  <w:hideMark/>
                </w:tcPr>
                <w:p w14:paraId="7954A9BC"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8</w:t>
                  </w:r>
                </w:p>
              </w:tc>
              <w:tc>
                <w:tcPr>
                  <w:tcW w:w="417" w:type="pct"/>
                  <w:tcBorders>
                    <w:top w:val="nil"/>
                    <w:left w:val="nil"/>
                    <w:bottom w:val="nil"/>
                    <w:right w:val="nil"/>
                  </w:tcBorders>
                  <w:shd w:val="clear" w:color="auto" w:fill="auto"/>
                  <w:tcMar>
                    <w:left w:w="0" w:type="dxa"/>
                    <w:right w:w="0" w:type="dxa"/>
                  </w:tcMar>
                  <w:vAlign w:val="center"/>
                  <w:hideMark/>
                </w:tcPr>
                <w:p w14:paraId="7954A9BD"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8</w:t>
                  </w:r>
                </w:p>
              </w:tc>
              <w:tc>
                <w:tcPr>
                  <w:tcW w:w="417" w:type="pct"/>
                  <w:tcBorders>
                    <w:top w:val="nil"/>
                    <w:left w:val="nil"/>
                    <w:bottom w:val="nil"/>
                    <w:right w:val="nil"/>
                  </w:tcBorders>
                  <w:shd w:val="clear" w:color="auto" w:fill="auto"/>
                  <w:tcMar>
                    <w:left w:w="0" w:type="dxa"/>
                    <w:right w:w="0" w:type="dxa"/>
                  </w:tcMar>
                  <w:vAlign w:val="center"/>
                  <w:hideMark/>
                </w:tcPr>
                <w:p w14:paraId="7954A9BE"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8</w:t>
                  </w:r>
                </w:p>
              </w:tc>
              <w:tc>
                <w:tcPr>
                  <w:tcW w:w="413" w:type="pct"/>
                  <w:tcBorders>
                    <w:top w:val="nil"/>
                    <w:left w:val="nil"/>
                    <w:bottom w:val="nil"/>
                    <w:right w:val="nil"/>
                  </w:tcBorders>
                  <w:shd w:val="clear" w:color="auto" w:fill="auto"/>
                  <w:tcMar>
                    <w:left w:w="0" w:type="dxa"/>
                    <w:right w:w="0" w:type="dxa"/>
                  </w:tcMar>
                  <w:vAlign w:val="center"/>
                  <w:hideMark/>
                </w:tcPr>
                <w:p w14:paraId="7954A9BF"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8</w:t>
                  </w:r>
                </w:p>
              </w:tc>
            </w:tr>
            <w:tr w:rsidR="00F05DC7" w14:paraId="7954A9CA"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A9C1" w14:textId="77777777" w:rsidR="00F05DC7" w:rsidRPr="00791D71"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A9C2"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69</w:t>
                  </w:r>
                </w:p>
              </w:tc>
              <w:tc>
                <w:tcPr>
                  <w:tcW w:w="417" w:type="pct"/>
                  <w:tcBorders>
                    <w:top w:val="nil"/>
                    <w:left w:val="nil"/>
                    <w:bottom w:val="nil"/>
                    <w:right w:val="nil"/>
                  </w:tcBorders>
                  <w:shd w:val="clear" w:color="auto" w:fill="auto"/>
                  <w:tcMar>
                    <w:left w:w="0" w:type="dxa"/>
                    <w:right w:w="0" w:type="dxa"/>
                  </w:tcMar>
                  <w:vAlign w:val="center"/>
                  <w:hideMark/>
                </w:tcPr>
                <w:p w14:paraId="7954A9C3"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69</w:t>
                  </w:r>
                </w:p>
              </w:tc>
              <w:tc>
                <w:tcPr>
                  <w:tcW w:w="417" w:type="pct"/>
                  <w:tcBorders>
                    <w:top w:val="nil"/>
                    <w:left w:val="nil"/>
                    <w:bottom w:val="nil"/>
                    <w:right w:val="nil"/>
                  </w:tcBorders>
                  <w:shd w:val="clear" w:color="auto" w:fill="auto"/>
                  <w:tcMar>
                    <w:left w:w="0" w:type="dxa"/>
                    <w:right w:w="0" w:type="dxa"/>
                  </w:tcMar>
                  <w:vAlign w:val="center"/>
                  <w:hideMark/>
                </w:tcPr>
                <w:p w14:paraId="7954A9C4"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69</w:t>
                  </w:r>
                </w:p>
              </w:tc>
              <w:tc>
                <w:tcPr>
                  <w:tcW w:w="418" w:type="pct"/>
                  <w:tcBorders>
                    <w:top w:val="nil"/>
                    <w:left w:val="nil"/>
                    <w:bottom w:val="nil"/>
                    <w:right w:val="nil"/>
                  </w:tcBorders>
                  <w:shd w:val="clear" w:color="auto" w:fill="auto"/>
                  <w:tcMar>
                    <w:left w:w="0" w:type="dxa"/>
                    <w:right w:w="0" w:type="dxa"/>
                  </w:tcMar>
                  <w:vAlign w:val="center"/>
                  <w:hideMark/>
                </w:tcPr>
                <w:p w14:paraId="7954A9C5"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594</w:t>
                  </w:r>
                </w:p>
              </w:tc>
              <w:tc>
                <w:tcPr>
                  <w:tcW w:w="417" w:type="pct"/>
                  <w:tcBorders>
                    <w:top w:val="nil"/>
                    <w:left w:val="nil"/>
                    <w:bottom w:val="nil"/>
                    <w:right w:val="nil"/>
                  </w:tcBorders>
                  <w:shd w:val="clear" w:color="auto" w:fill="auto"/>
                  <w:tcMar>
                    <w:left w:w="0" w:type="dxa"/>
                    <w:right w:w="0" w:type="dxa"/>
                  </w:tcMar>
                  <w:vAlign w:val="center"/>
                  <w:hideMark/>
                </w:tcPr>
                <w:p w14:paraId="7954A9C6"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69</w:t>
                  </w:r>
                </w:p>
              </w:tc>
              <w:tc>
                <w:tcPr>
                  <w:tcW w:w="417" w:type="pct"/>
                  <w:tcBorders>
                    <w:top w:val="nil"/>
                    <w:left w:val="nil"/>
                    <w:bottom w:val="nil"/>
                    <w:right w:val="nil"/>
                  </w:tcBorders>
                  <w:shd w:val="clear" w:color="auto" w:fill="auto"/>
                  <w:tcMar>
                    <w:left w:w="0" w:type="dxa"/>
                    <w:right w:w="0" w:type="dxa"/>
                  </w:tcMar>
                  <w:vAlign w:val="center"/>
                  <w:hideMark/>
                </w:tcPr>
                <w:p w14:paraId="7954A9C7"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69</w:t>
                  </w:r>
                </w:p>
              </w:tc>
              <w:tc>
                <w:tcPr>
                  <w:tcW w:w="417" w:type="pct"/>
                  <w:tcBorders>
                    <w:top w:val="nil"/>
                    <w:left w:val="nil"/>
                    <w:bottom w:val="nil"/>
                    <w:right w:val="nil"/>
                  </w:tcBorders>
                  <w:shd w:val="clear" w:color="auto" w:fill="auto"/>
                  <w:tcMar>
                    <w:left w:w="0" w:type="dxa"/>
                    <w:right w:w="0" w:type="dxa"/>
                  </w:tcMar>
                  <w:vAlign w:val="center"/>
                  <w:hideMark/>
                </w:tcPr>
                <w:p w14:paraId="7954A9C8"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69</w:t>
                  </w:r>
                </w:p>
              </w:tc>
              <w:tc>
                <w:tcPr>
                  <w:tcW w:w="413" w:type="pct"/>
                  <w:tcBorders>
                    <w:top w:val="nil"/>
                    <w:left w:val="nil"/>
                    <w:bottom w:val="nil"/>
                    <w:right w:val="nil"/>
                  </w:tcBorders>
                  <w:shd w:val="clear" w:color="auto" w:fill="auto"/>
                  <w:tcMar>
                    <w:left w:w="0" w:type="dxa"/>
                    <w:right w:w="0" w:type="dxa"/>
                  </w:tcMar>
                  <w:vAlign w:val="center"/>
                  <w:hideMark/>
                </w:tcPr>
                <w:p w14:paraId="7954A9C9" w14:textId="77777777" w:rsidR="00F05DC7" w:rsidRPr="00791D71"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69</w:t>
                  </w:r>
                </w:p>
              </w:tc>
            </w:tr>
            <w:tr w:rsidR="00F05DC7" w:rsidRPr="00791D71" w14:paraId="7954A9CC"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7954A9CB" w14:textId="77777777" w:rsidR="00F05DC7" w:rsidRPr="00791D71" w:rsidRDefault="00F05DC7" w:rsidP="00A3786D">
                  <w:pPr>
                    <w:spacing w:before="80"/>
                    <w:ind w:right="57"/>
                    <w:rPr>
                      <w:rFonts w:asciiTheme="minorHAnsi" w:hAnsiTheme="minorHAnsi" w:cstheme="minorHAnsi"/>
                      <w:sz w:val="18"/>
                      <w:szCs w:val="18"/>
                    </w:rPr>
                  </w:pPr>
                  <w:r>
                    <w:rPr>
                      <w:rFonts w:asciiTheme="minorHAnsi" w:hAnsiTheme="minorHAnsi" w:cstheme="minorHAnsi"/>
                      <w:b/>
                      <w:bCs/>
                      <w:color w:val="000000"/>
                      <w:sz w:val="18"/>
                      <w:szCs w:val="18"/>
                    </w:rPr>
                    <w:t>Change</w:t>
                  </w:r>
                  <w:r w:rsidRPr="00791D71">
                    <w:rPr>
                      <w:rFonts w:asciiTheme="minorHAnsi" w:hAnsiTheme="minorHAnsi" w:cstheme="minorHAnsi"/>
                      <w:b/>
                      <w:bCs/>
                      <w:color w:val="000000"/>
                      <w:sz w:val="18"/>
                      <w:szCs w:val="18"/>
                    </w:rPr>
                    <w:t xml:space="preserve"> in GST </w:t>
                  </w:r>
                  <w:r>
                    <w:rPr>
                      <w:rFonts w:asciiTheme="minorHAnsi" w:hAnsiTheme="minorHAnsi" w:cstheme="minorHAnsi"/>
                      <w:b/>
                      <w:bCs/>
                      <w:color w:val="000000"/>
                      <w:sz w:val="18"/>
                      <w:szCs w:val="18"/>
                    </w:rPr>
                    <w:t>payments (% of State revenue)</w:t>
                  </w:r>
                </w:p>
              </w:tc>
            </w:tr>
            <w:tr w:rsidR="00F05DC7" w:rsidRPr="00791D71" w14:paraId="7954A9D6"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A9CD" w14:textId="77777777" w:rsidR="00F05DC7" w:rsidRPr="00791D71" w:rsidRDefault="00F05DC7" w:rsidP="00A3786D">
                  <w:pPr>
                    <w:ind w:left="113"/>
                    <w:rPr>
                      <w:rFonts w:asciiTheme="minorHAnsi" w:hAnsiTheme="minorHAnsi" w:cstheme="minorHAnsi"/>
                      <w:color w:val="000000"/>
                      <w:sz w:val="18"/>
                      <w:szCs w:val="18"/>
                    </w:rPr>
                  </w:pPr>
                  <w:r>
                    <w:rPr>
                      <w:rFonts w:asciiTheme="minorHAnsi" w:hAnsiTheme="minorHAnsi" w:cstheme="minorHAnsi"/>
                      <w:color w:val="000000"/>
                      <w:sz w:val="18"/>
                      <w:szCs w:val="18"/>
                    </w:rPr>
                    <w:t>0.5</w:t>
                  </w:r>
                  <w:r w:rsidRPr="00791D71">
                    <w:rPr>
                      <w:rFonts w:asciiTheme="minorHAnsi" w:hAnsiTheme="minorHAnsi" w:cstheme="minorHAnsi"/>
                      <w:color w:val="000000"/>
                      <w:sz w:val="18"/>
                      <w:szCs w:val="18"/>
                    </w:rPr>
                    <w:t>0 relativity floor</w:t>
                  </w:r>
                </w:p>
              </w:tc>
              <w:tc>
                <w:tcPr>
                  <w:tcW w:w="497" w:type="pct"/>
                  <w:tcBorders>
                    <w:top w:val="nil"/>
                    <w:left w:val="nil"/>
                    <w:bottom w:val="nil"/>
                    <w:right w:val="nil"/>
                  </w:tcBorders>
                  <w:shd w:val="clear" w:color="auto" w:fill="auto"/>
                  <w:tcMar>
                    <w:left w:w="0" w:type="dxa"/>
                    <w:right w:w="0" w:type="dxa"/>
                  </w:tcMar>
                  <w:vAlign w:val="bottom"/>
                </w:tcPr>
                <w:p w14:paraId="7954A9CE"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36D89">
                    <w:rPr>
                      <w:rFonts w:asciiTheme="minorHAnsi" w:hAnsiTheme="minorHAnsi" w:cstheme="minorHAnsi"/>
                      <w:color w:val="000000"/>
                      <w:sz w:val="18"/>
                      <w:szCs w:val="18"/>
                    </w:rPr>
                    <w:t>0.</w:t>
                  </w:r>
                  <w:r>
                    <w:rPr>
                      <w:rFonts w:asciiTheme="minorHAnsi" w:hAnsiTheme="minorHAnsi" w:cstheme="minorHAnsi"/>
                      <w:color w:val="000000"/>
                      <w:sz w:val="18"/>
                      <w:szCs w:val="18"/>
                    </w:rPr>
                    <w:t>1</w:t>
                  </w:r>
                </w:p>
              </w:tc>
              <w:tc>
                <w:tcPr>
                  <w:tcW w:w="417" w:type="pct"/>
                  <w:tcBorders>
                    <w:top w:val="nil"/>
                    <w:left w:val="nil"/>
                    <w:bottom w:val="nil"/>
                    <w:right w:val="nil"/>
                  </w:tcBorders>
                  <w:shd w:val="clear" w:color="auto" w:fill="auto"/>
                  <w:tcMar>
                    <w:left w:w="0" w:type="dxa"/>
                    <w:right w:w="0" w:type="dxa"/>
                  </w:tcMar>
                  <w:vAlign w:val="bottom"/>
                </w:tcPr>
                <w:p w14:paraId="7954A9CF"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36D89">
                    <w:rPr>
                      <w:rFonts w:asciiTheme="minorHAnsi" w:hAnsiTheme="minorHAnsi" w:cstheme="minorHAnsi"/>
                      <w:color w:val="000000"/>
                      <w:sz w:val="18"/>
                      <w:szCs w:val="18"/>
                    </w:rPr>
                    <w:t>0.</w:t>
                  </w:r>
                  <w:r>
                    <w:rPr>
                      <w:rFonts w:asciiTheme="minorHAnsi" w:hAnsiTheme="minorHAnsi" w:cstheme="minorHAnsi"/>
                      <w:color w:val="000000"/>
                      <w:sz w:val="18"/>
                      <w:szCs w:val="18"/>
                    </w:rPr>
                    <w:t>1</w:t>
                  </w:r>
                </w:p>
              </w:tc>
              <w:tc>
                <w:tcPr>
                  <w:tcW w:w="417" w:type="pct"/>
                  <w:tcBorders>
                    <w:top w:val="nil"/>
                    <w:left w:val="nil"/>
                    <w:bottom w:val="nil"/>
                    <w:right w:val="nil"/>
                  </w:tcBorders>
                  <w:shd w:val="clear" w:color="auto" w:fill="auto"/>
                  <w:tcMar>
                    <w:left w:w="0" w:type="dxa"/>
                    <w:right w:w="0" w:type="dxa"/>
                  </w:tcMar>
                  <w:vAlign w:val="bottom"/>
                </w:tcPr>
                <w:p w14:paraId="7954A9D0"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36D89">
                    <w:rPr>
                      <w:rFonts w:asciiTheme="minorHAnsi" w:hAnsiTheme="minorHAnsi" w:cstheme="minorHAnsi"/>
                      <w:color w:val="000000"/>
                      <w:sz w:val="18"/>
                      <w:szCs w:val="18"/>
                    </w:rPr>
                    <w:t>0.</w:t>
                  </w:r>
                  <w:r>
                    <w:rPr>
                      <w:rFonts w:asciiTheme="minorHAnsi" w:hAnsiTheme="minorHAnsi" w:cstheme="minorHAnsi"/>
                      <w:color w:val="000000"/>
                      <w:sz w:val="18"/>
                      <w:szCs w:val="18"/>
                    </w:rPr>
                    <w:t>1</w:t>
                  </w:r>
                </w:p>
              </w:tc>
              <w:tc>
                <w:tcPr>
                  <w:tcW w:w="418" w:type="pct"/>
                  <w:tcBorders>
                    <w:top w:val="nil"/>
                    <w:left w:val="nil"/>
                    <w:bottom w:val="nil"/>
                    <w:right w:val="nil"/>
                  </w:tcBorders>
                  <w:shd w:val="clear" w:color="auto" w:fill="auto"/>
                  <w:tcMar>
                    <w:left w:w="0" w:type="dxa"/>
                    <w:right w:w="0" w:type="dxa"/>
                  </w:tcMar>
                  <w:vAlign w:val="bottom"/>
                </w:tcPr>
                <w:p w14:paraId="7954A9D1"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0</w:t>
                  </w:r>
                  <w:r w:rsidRPr="00736D89">
                    <w:rPr>
                      <w:rFonts w:asciiTheme="minorHAnsi" w:hAnsiTheme="minorHAnsi" w:cstheme="minorHAnsi"/>
                      <w:color w:val="000000"/>
                      <w:sz w:val="18"/>
                      <w:szCs w:val="18"/>
                    </w:rPr>
                    <w:t>.</w:t>
                  </w:r>
                  <w:r>
                    <w:rPr>
                      <w:rFonts w:asciiTheme="minorHAnsi" w:hAnsiTheme="minorHAnsi" w:cstheme="minorHAnsi"/>
                      <w:color w:val="000000"/>
                      <w:sz w:val="18"/>
                      <w:szCs w:val="18"/>
                    </w:rPr>
                    <w:t>6</w:t>
                  </w:r>
                </w:p>
              </w:tc>
              <w:tc>
                <w:tcPr>
                  <w:tcW w:w="417" w:type="pct"/>
                  <w:tcBorders>
                    <w:top w:val="nil"/>
                    <w:left w:val="nil"/>
                    <w:bottom w:val="nil"/>
                    <w:right w:val="nil"/>
                  </w:tcBorders>
                  <w:shd w:val="clear" w:color="auto" w:fill="auto"/>
                  <w:tcMar>
                    <w:left w:w="0" w:type="dxa"/>
                    <w:right w:w="0" w:type="dxa"/>
                  </w:tcMar>
                  <w:vAlign w:val="bottom"/>
                </w:tcPr>
                <w:p w14:paraId="7954A9D2"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36D89">
                    <w:rPr>
                      <w:rFonts w:asciiTheme="minorHAnsi" w:hAnsiTheme="minorHAnsi" w:cstheme="minorHAnsi"/>
                      <w:color w:val="000000"/>
                      <w:sz w:val="18"/>
                      <w:szCs w:val="18"/>
                    </w:rPr>
                    <w:t>0.</w:t>
                  </w:r>
                  <w:r>
                    <w:rPr>
                      <w:rFonts w:asciiTheme="minorHAnsi" w:hAnsiTheme="minorHAnsi" w:cstheme="minorHAnsi"/>
                      <w:color w:val="000000"/>
                      <w:sz w:val="18"/>
                      <w:szCs w:val="18"/>
                    </w:rPr>
                    <w:t>1</w:t>
                  </w:r>
                </w:p>
              </w:tc>
              <w:tc>
                <w:tcPr>
                  <w:tcW w:w="417" w:type="pct"/>
                  <w:tcBorders>
                    <w:top w:val="nil"/>
                    <w:left w:val="nil"/>
                    <w:bottom w:val="nil"/>
                    <w:right w:val="nil"/>
                  </w:tcBorders>
                  <w:shd w:val="clear" w:color="auto" w:fill="auto"/>
                  <w:tcMar>
                    <w:left w:w="0" w:type="dxa"/>
                    <w:right w:w="0" w:type="dxa"/>
                  </w:tcMar>
                  <w:vAlign w:val="bottom"/>
                </w:tcPr>
                <w:p w14:paraId="7954A9D3"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36D89">
                    <w:rPr>
                      <w:rFonts w:asciiTheme="minorHAnsi" w:hAnsiTheme="minorHAnsi" w:cstheme="minorHAnsi"/>
                      <w:color w:val="000000"/>
                      <w:sz w:val="18"/>
                      <w:szCs w:val="18"/>
                    </w:rPr>
                    <w:t>0.</w:t>
                  </w:r>
                  <w:r>
                    <w:rPr>
                      <w:rFonts w:asciiTheme="minorHAnsi" w:hAnsiTheme="minorHAnsi" w:cstheme="minorHAnsi"/>
                      <w:color w:val="000000"/>
                      <w:sz w:val="18"/>
                      <w:szCs w:val="18"/>
                    </w:rPr>
                    <w:t>1</w:t>
                  </w:r>
                </w:p>
              </w:tc>
              <w:tc>
                <w:tcPr>
                  <w:tcW w:w="417" w:type="pct"/>
                  <w:tcBorders>
                    <w:top w:val="nil"/>
                    <w:left w:val="nil"/>
                    <w:bottom w:val="nil"/>
                    <w:right w:val="nil"/>
                  </w:tcBorders>
                  <w:shd w:val="clear" w:color="auto" w:fill="auto"/>
                  <w:tcMar>
                    <w:left w:w="0" w:type="dxa"/>
                    <w:right w:w="0" w:type="dxa"/>
                  </w:tcMar>
                  <w:vAlign w:val="bottom"/>
                </w:tcPr>
                <w:p w14:paraId="7954A9D4"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36D89">
                    <w:rPr>
                      <w:rFonts w:asciiTheme="minorHAnsi" w:hAnsiTheme="minorHAnsi" w:cstheme="minorHAnsi"/>
                      <w:color w:val="000000"/>
                      <w:sz w:val="18"/>
                      <w:szCs w:val="18"/>
                    </w:rPr>
                    <w:t>0.</w:t>
                  </w:r>
                  <w:r>
                    <w:rPr>
                      <w:rFonts w:asciiTheme="minorHAnsi" w:hAnsiTheme="minorHAnsi" w:cstheme="minorHAnsi"/>
                      <w:color w:val="000000"/>
                      <w:sz w:val="18"/>
                      <w:szCs w:val="18"/>
                    </w:rPr>
                    <w:t>1</w:t>
                  </w:r>
                </w:p>
              </w:tc>
              <w:tc>
                <w:tcPr>
                  <w:tcW w:w="413" w:type="pct"/>
                  <w:tcBorders>
                    <w:top w:val="nil"/>
                    <w:left w:val="nil"/>
                    <w:bottom w:val="nil"/>
                    <w:right w:val="nil"/>
                  </w:tcBorders>
                  <w:shd w:val="clear" w:color="auto" w:fill="auto"/>
                  <w:tcMar>
                    <w:left w:w="0" w:type="dxa"/>
                    <w:right w:w="0" w:type="dxa"/>
                  </w:tcMar>
                  <w:vAlign w:val="bottom"/>
                </w:tcPr>
                <w:p w14:paraId="7954A9D5" w14:textId="77777777" w:rsidR="00F05DC7" w:rsidRPr="00736D89" w:rsidRDefault="00F05DC7" w:rsidP="00A3786D">
                  <w:pPr>
                    <w:ind w:right="57"/>
                    <w:jc w:val="right"/>
                    <w:rPr>
                      <w:rFonts w:asciiTheme="minorHAnsi" w:hAnsiTheme="minorHAnsi" w:cstheme="minorHAnsi"/>
                      <w:color w:val="000000"/>
                      <w:sz w:val="18"/>
                      <w:szCs w:val="18"/>
                    </w:rPr>
                  </w:pPr>
                  <w:r w:rsidRPr="00736D89">
                    <w:rPr>
                      <w:rFonts w:asciiTheme="minorHAnsi" w:hAnsiTheme="minorHAnsi" w:cstheme="minorHAnsi"/>
                      <w:color w:val="000000"/>
                      <w:sz w:val="18"/>
                      <w:szCs w:val="18"/>
                    </w:rPr>
                    <w:t>0.</w:t>
                  </w:r>
                  <w:r>
                    <w:rPr>
                      <w:rFonts w:asciiTheme="minorHAnsi" w:hAnsiTheme="minorHAnsi" w:cstheme="minorHAnsi"/>
                      <w:color w:val="000000"/>
                      <w:sz w:val="18"/>
                      <w:szCs w:val="18"/>
                    </w:rPr>
                    <w:t>0</w:t>
                  </w:r>
                </w:p>
              </w:tc>
            </w:tr>
            <w:tr w:rsidR="00F05DC7" w:rsidRPr="00791D71" w14:paraId="7954A9E0"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tcPr>
                <w:p w14:paraId="7954A9D7" w14:textId="77777777" w:rsidR="00F05DC7" w:rsidRDefault="00F05DC7" w:rsidP="00A3786D">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497" w:type="pct"/>
                  <w:tcBorders>
                    <w:top w:val="nil"/>
                    <w:left w:val="nil"/>
                    <w:bottom w:val="nil"/>
                    <w:right w:val="nil"/>
                  </w:tcBorders>
                  <w:shd w:val="clear" w:color="auto" w:fill="auto"/>
                  <w:tcMar>
                    <w:left w:w="0" w:type="dxa"/>
                    <w:right w:w="0" w:type="dxa"/>
                  </w:tcMar>
                  <w:vAlign w:val="bottom"/>
                </w:tcPr>
                <w:p w14:paraId="7954A9D8"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0</w:t>
                  </w:r>
                  <w:r w:rsidRPr="00736D89">
                    <w:rPr>
                      <w:rFonts w:asciiTheme="minorHAnsi" w:hAnsiTheme="minorHAnsi" w:cstheme="minorHAnsi"/>
                      <w:color w:val="000000"/>
                      <w:sz w:val="18"/>
                      <w:szCs w:val="18"/>
                    </w:rPr>
                    <w:t>.</w:t>
                  </w:r>
                  <w:r>
                    <w:rPr>
                      <w:rFonts w:asciiTheme="minorHAnsi" w:hAnsiTheme="minorHAnsi" w:cstheme="minorHAnsi"/>
                      <w:color w:val="000000"/>
                      <w:sz w:val="18"/>
                      <w:szCs w:val="18"/>
                    </w:rPr>
                    <w:t>7</w:t>
                  </w:r>
                </w:p>
              </w:tc>
              <w:tc>
                <w:tcPr>
                  <w:tcW w:w="417" w:type="pct"/>
                  <w:tcBorders>
                    <w:top w:val="nil"/>
                    <w:left w:val="nil"/>
                    <w:bottom w:val="nil"/>
                    <w:right w:val="nil"/>
                  </w:tcBorders>
                  <w:shd w:val="clear" w:color="auto" w:fill="auto"/>
                  <w:tcMar>
                    <w:left w:w="0" w:type="dxa"/>
                    <w:right w:w="0" w:type="dxa"/>
                  </w:tcMar>
                  <w:vAlign w:val="bottom"/>
                </w:tcPr>
                <w:p w14:paraId="7954A9D9"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0</w:t>
                  </w:r>
                  <w:r w:rsidRPr="00736D89">
                    <w:rPr>
                      <w:rFonts w:asciiTheme="minorHAnsi" w:hAnsiTheme="minorHAnsi" w:cstheme="minorHAnsi"/>
                      <w:color w:val="000000"/>
                      <w:sz w:val="18"/>
                      <w:szCs w:val="18"/>
                    </w:rPr>
                    <w:t>.</w:t>
                  </w:r>
                  <w:r>
                    <w:rPr>
                      <w:rFonts w:asciiTheme="minorHAnsi" w:hAnsiTheme="minorHAnsi" w:cstheme="minorHAnsi"/>
                      <w:color w:val="000000"/>
                      <w:sz w:val="18"/>
                      <w:szCs w:val="18"/>
                    </w:rPr>
                    <w:t>7</w:t>
                  </w:r>
                </w:p>
              </w:tc>
              <w:tc>
                <w:tcPr>
                  <w:tcW w:w="417" w:type="pct"/>
                  <w:tcBorders>
                    <w:top w:val="nil"/>
                    <w:left w:val="nil"/>
                    <w:bottom w:val="nil"/>
                    <w:right w:val="nil"/>
                  </w:tcBorders>
                  <w:shd w:val="clear" w:color="auto" w:fill="auto"/>
                  <w:tcMar>
                    <w:left w:w="0" w:type="dxa"/>
                    <w:right w:w="0" w:type="dxa"/>
                  </w:tcMar>
                  <w:vAlign w:val="bottom"/>
                </w:tcPr>
                <w:p w14:paraId="7954A9DA"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0</w:t>
                  </w:r>
                  <w:r w:rsidRPr="00736D89">
                    <w:rPr>
                      <w:rFonts w:asciiTheme="minorHAnsi" w:hAnsiTheme="minorHAnsi" w:cstheme="minorHAnsi"/>
                      <w:color w:val="000000"/>
                      <w:sz w:val="18"/>
                      <w:szCs w:val="18"/>
                    </w:rPr>
                    <w:t>.</w:t>
                  </w:r>
                  <w:r>
                    <w:rPr>
                      <w:rFonts w:asciiTheme="minorHAnsi" w:hAnsiTheme="minorHAnsi" w:cstheme="minorHAnsi"/>
                      <w:color w:val="000000"/>
                      <w:sz w:val="18"/>
                      <w:szCs w:val="18"/>
                    </w:rPr>
                    <w:t>6</w:t>
                  </w:r>
                </w:p>
              </w:tc>
              <w:tc>
                <w:tcPr>
                  <w:tcW w:w="418" w:type="pct"/>
                  <w:tcBorders>
                    <w:top w:val="nil"/>
                    <w:left w:val="nil"/>
                    <w:bottom w:val="nil"/>
                    <w:right w:val="nil"/>
                  </w:tcBorders>
                  <w:shd w:val="clear" w:color="auto" w:fill="auto"/>
                  <w:tcMar>
                    <w:left w:w="0" w:type="dxa"/>
                    <w:right w:w="0" w:type="dxa"/>
                  </w:tcMar>
                  <w:vAlign w:val="bottom"/>
                </w:tcPr>
                <w:p w14:paraId="7954A9DB"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5</w:t>
                  </w:r>
                  <w:r w:rsidRPr="00736D89">
                    <w:rPr>
                      <w:rFonts w:asciiTheme="minorHAnsi" w:hAnsiTheme="minorHAnsi" w:cstheme="minorHAnsi"/>
                      <w:color w:val="000000"/>
                      <w:sz w:val="18"/>
                      <w:szCs w:val="18"/>
                    </w:rPr>
                    <w:t>.</w:t>
                  </w:r>
                  <w:r>
                    <w:rPr>
                      <w:rFonts w:asciiTheme="minorHAnsi" w:hAnsiTheme="minorHAnsi" w:cstheme="minorHAnsi"/>
                      <w:color w:val="000000"/>
                      <w:sz w:val="18"/>
                      <w:szCs w:val="18"/>
                    </w:rPr>
                    <w:t>3</w:t>
                  </w:r>
                </w:p>
              </w:tc>
              <w:tc>
                <w:tcPr>
                  <w:tcW w:w="417" w:type="pct"/>
                  <w:tcBorders>
                    <w:top w:val="nil"/>
                    <w:left w:val="nil"/>
                    <w:bottom w:val="nil"/>
                    <w:right w:val="nil"/>
                  </w:tcBorders>
                  <w:shd w:val="clear" w:color="auto" w:fill="auto"/>
                  <w:tcMar>
                    <w:left w:w="0" w:type="dxa"/>
                    <w:right w:w="0" w:type="dxa"/>
                  </w:tcMar>
                  <w:vAlign w:val="bottom"/>
                </w:tcPr>
                <w:p w14:paraId="7954A9DC"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0</w:t>
                  </w:r>
                  <w:r w:rsidRPr="00736D89">
                    <w:rPr>
                      <w:rFonts w:asciiTheme="minorHAnsi" w:hAnsiTheme="minorHAnsi" w:cstheme="minorHAnsi"/>
                      <w:color w:val="000000"/>
                      <w:sz w:val="18"/>
                      <w:szCs w:val="18"/>
                    </w:rPr>
                    <w:t>.</w:t>
                  </w:r>
                  <w:r>
                    <w:rPr>
                      <w:rFonts w:asciiTheme="minorHAnsi" w:hAnsiTheme="minorHAnsi" w:cstheme="minorHAnsi"/>
                      <w:color w:val="000000"/>
                      <w:sz w:val="18"/>
                      <w:szCs w:val="18"/>
                    </w:rPr>
                    <w:t>6</w:t>
                  </w:r>
                </w:p>
              </w:tc>
              <w:tc>
                <w:tcPr>
                  <w:tcW w:w="417" w:type="pct"/>
                  <w:tcBorders>
                    <w:top w:val="nil"/>
                    <w:left w:val="nil"/>
                    <w:bottom w:val="nil"/>
                    <w:right w:val="nil"/>
                  </w:tcBorders>
                  <w:shd w:val="clear" w:color="auto" w:fill="auto"/>
                  <w:tcMar>
                    <w:left w:w="0" w:type="dxa"/>
                    <w:right w:w="0" w:type="dxa"/>
                  </w:tcMar>
                  <w:vAlign w:val="bottom"/>
                </w:tcPr>
                <w:p w14:paraId="7954A9DD"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t>0</w:t>
                  </w:r>
                  <w:r w:rsidRPr="00736D89">
                    <w:rPr>
                      <w:rFonts w:asciiTheme="minorHAnsi" w:hAnsiTheme="minorHAnsi" w:cstheme="minorHAnsi"/>
                      <w:color w:val="000000"/>
                      <w:sz w:val="18"/>
                      <w:szCs w:val="18"/>
                    </w:rPr>
                    <w:t>.</w:t>
                  </w:r>
                  <w:r>
                    <w:rPr>
                      <w:rFonts w:asciiTheme="minorHAnsi" w:hAnsiTheme="minorHAnsi" w:cstheme="minorHAnsi"/>
                      <w:color w:val="000000"/>
                      <w:sz w:val="18"/>
                      <w:szCs w:val="18"/>
                    </w:rPr>
                    <w:t>6</w:t>
                  </w:r>
                </w:p>
              </w:tc>
              <w:tc>
                <w:tcPr>
                  <w:tcW w:w="417" w:type="pct"/>
                  <w:tcBorders>
                    <w:top w:val="nil"/>
                    <w:left w:val="nil"/>
                    <w:bottom w:val="nil"/>
                    <w:right w:val="nil"/>
                  </w:tcBorders>
                  <w:shd w:val="clear" w:color="auto" w:fill="auto"/>
                  <w:tcMar>
                    <w:left w:w="0" w:type="dxa"/>
                    <w:right w:w="0" w:type="dxa"/>
                  </w:tcMar>
                  <w:vAlign w:val="bottom"/>
                </w:tcPr>
                <w:p w14:paraId="7954A9DE"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36D89">
                    <w:rPr>
                      <w:rFonts w:asciiTheme="minorHAnsi" w:hAnsiTheme="minorHAnsi" w:cstheme="minorHAnsi"/>
                      <w:color w:val="000000"/>
                      <w:sz w:val="18"/>
                      <w:szCs w:val="18"/>
                    </w:rPr>
                    <w:t>0.</w:t>
                  </w:r>
                  <w:r>
                    <w:rPr>
                      <w:rFonts w:asciiTheme="minorHAnsi" w:hAnsiTheme="minorHAnsi" w:cstheme="minorHAnsi"/>
                      <w:color w:val="000000"/>
                      <w:sz w:val="18"/>
                      <w:szCs w:val="18"/>
                    </w:rPr>
                    <w:t>5</w:t>
                  </w:r>
                </w:p>
              </w:tc>
              <w:tc>
                <w:tcPr>
                  <w:tcW w:w="413" w:type="pct"/>
                  <w:tcBorders>
                    <w:top w:val="nil"/>
                    <w:left w:val="nil"/>
                    <w:bottom w:val="nil"/>
                    <w:right w:val="nil"/>
                  </w:tcBorders>
                  <w:shd w:val="clear" w:color="auto" w:fill="auto"/>
                  <w:tcMar>
                    <w:left w:w="0" w:type="dxa"/>
                    <w:right w:w="0" w:type="dxa"/>
                  </w:tcMar>
                  <w:vAlign w:val="bottom"/>
                </w:tcPr>
                <w:p w14:paraId="7954A9DF" w14:textId="77777777" w:rsidR="00F05DC7" w:rsidRPr="00736D89" w:rsidRDefault="00F05DC7" w:rsidP="00A3786D">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36D89">
                    <w:rPr>
                      <w:rFonts w:asciiTheme="minorHAnsi" w:hAnsiTheme="minorHAnsi" w:cstheme="minorHAnsi"/>
                      <w:color w:val="000000"/>
                      <w:sz w:val="18"/>
                      <w:szCs w:val="18"/>
                    </w:rPr>
                    <w:t>0.</w:t>
                  </w:r>
                  <w:r>
                    <w:rPr>
                      <w:rFonts w:asciiTheme="minorHAnsi" w:hAnsiTheme="minorHAnsi" w:cstheme="minorHAnsi"/>
                      <w:color w:val="000000"/>
                      <w:sz w:val="18"/>
                      <w:szCs w:val="18"/>
                    </w:rPr>
                    <w:t>3</w:t>
                  </w:r>
                </w:p>
              </w:tc>
            </w:tr>
          </w:tbl>
          <w:p w14:paraId="7954A9E1" w14:textId="77777777" w:rsidR="00F05DC7" w:rsidRDefault="00F05DC7" w:rsidP="00A3786D">
            <w:pPr>
              <w:pStyle w:val="Box"/>
            </w:pPr>
          </w:p>
        </w:tc>
      </w:tr>
      <w:tr w:rsidR="00F05DC7" w14:paraId="7954A9E4" w14:textId="77777777" w:rsidTr="00A3786D">
        <w:tc>
          <w:tcPr>
            <w:tcW w:w="5000" w:type="pct"/>
            <w:tcBorders>
              <w:top w:val="single" w:sz="6" w:space="0" w:color="D9D9D9" w:themeColor="background1" w:themeShade="D9"/>
              <w:left w:val="nil"/>
              <w:bottom w:val="nil"/>
              <w:right w:val="nil"/>
            </w:tcBorders>
            <w:shd w:val="clear" w:color="auto" w:fill="auto"/>
          </w:tcPr>
          <w:p w14:paraId="7954A9E3" w14:textId="0FFCC7FF" w:rsidR="00F05DC7" w:rsidRDefault="00F05DC7" w:rsidP="00A3786D">
            <w:pPr>
              <w:pStyle w:val="Source"/>
            </w:pPr>
            <w:r>
              <w:rPr>
                <w:i/>
              </w:rPr>
              <w:t>Sources</w:t>
            </w:r>
            <w:r w:rsidRPr="00167F06">
              <w:t xml:space="preserve">: </w:t>
            </w:r>
            <w:r>
              <w:t xml:space="preserve">Productivity </w:t>
            </w:r>
            <w:r w:rsidRPr="003A06D3">
              <w:t>Commission estimates</w:t>
            </w:r>
            <w:r>
              <w:t xml:space="preserve"> based on data provided by the CGC; appendix C.</w:t>
            </w:r>
          </w:p>
        </w:tc>
      </w:tr>
      <w:tr w:rsidR="00F05DC7" w14:paraId="7954A9E6" w14:textId="77777777" w:rsidTr="00A3786D">
        <w:tc>
          <w:tcPr>
            <w:tcW w:w="5000" w:type="pct"/>
            <w:tcBorders>
              <w:top w:val="nil"/>
              <w:left w:val="nil"/>
              <w:bottom w:val="single" w:sz="6" w:space="0" w:color="78A22F"/>
              <w:right w:val="nil"/>
            </w:tcBorders>
            <w:shd w:val="clear" w:color="auto" w:fill="auto"/>
          </w:tcPr>
          <w:p w14:paraId="7954A9E5" w14:textId="77777777" w:rsidR="00F05DC7" w:rsidRDefault="00F05DC7" w:rsidP="00A3786D">
            <w:pPr>
              <w:pStyle w:val="Box"/>
              <w:spacing w:before="0" w:line="120" w:lineRule="exact"/>
            </w:pPr>
          </w:p>
        </w:tc>
      </w:tr>
      <w:tr w:rsidR="00F05DC7" w:rsidRPr="000863A5" w14:paraId="7954A9E8" w14:textId="77777777" w:rsidTr="00A3786D">
        <w:tc>
          <w:tcPr>
            <w:tcW w:w="5000" w:type="pct"/>
            <w:tcBorders>
              <w:top w:val="single" w:sz="6" w:space="0" w:color="78A22F"/>
              <w:left w:val="nil"/>
              <w:bottom w:val="nil"/>
              <w:right w:val="nil"/>
            </w:tcBorders>
          </w:tcPr>
          <w:p w14:paraId="7954A9E7" w14:textId="77777777" w:rsidR="00F05DC7" w:rsidRPr="00626D32" w:rsidRDefault="00F05DC7" w:rsidP="00A3786D">
            <w:pPr>
              <w:pStyle w:val="BoxSpaceBelow"/>
            </w:pPr>
          </w:p>
        </w:tc>
      </w:tr>
    </w:tbl>
    <w:p w14:paraId="7954A9E9" w14:textId="77777777" w:rsidR="00F05DC7" w:rsidRPr="008C54FC" w:rsidRDefault="00F05DC7" w:rsidP="008C54FC">
      <w:pPr>
        <w:pStyle w:val="BodyText"/>
        <w:spacing w:before="120"/>
        <w:rPr>
          <w:spacing w:val="-2"/>
        </w:rPr>
      </w:pPr>
      <w:r w:rsidRPr="008C54FC">
        <w:rPr>
          <w:spacing w:val="-2"/>
        </w:rPr>
        <w:t xml:space="preserve">Overall, the concept of a floor has some simplistic (‘first blush’) attraction as a way to reduce disincentives for the fiscally strongest State(s) (that would otherwise fall below the floor) to pursue major reform. It would thus provide these States with greater reward for their policy efforts. </w:t>
      </w:r>
    </w:p>
    <w:p w14:paraId="7954A9EA" w14:textId="77777777" w:rsidR="00F05DC7" w:rsidRDefault="00F05DC7" w:rsidP="00A3786D">
      <w:pPr>
        <w:pStyle w:val="BodyText"/>
      </w:pPr>
      <w:r>
        <w:t xml:space="preserve">However, the introduction of a relativity floor is unlikely to fix the policy disincentives and complexity concerns identified in earlier chapters. While it would provide a degree of policy neutrality to those States for which the floor binds, it would not address the lack of policy neutrality in the HFE formula for the other States. The extent to which a floor improves efficiency and fairness is therefore dependent on the level at which the floor is set. </w:t>
      </w:r>
    </w:p>
    <w:p w14:paraId="7954A9EB" w14:textId="77777777" w:rsidR="00F05DC7" w:rsidRDefault="00F05DC7" w:rsidP="00A3786D">
      <w:pPr>
        <w:pStyle w:val="BodyText"/>
      </w:pPr>
      <w:r>
        <w:t>In sum, a floor would be blunt and arbitrary and would only benefit one State for the foreseeable future. As demonstrated above, a relativity floor of 0.70 would currently only affect Western Australia — a much higher floor would be needed to capture any other State. And adding a floor today creates a variant to the system that can be further varied — with inevitable pressure for funding beyond the GST pool. A floor is targeting a symptom, and ultimately, prevention is better than cure.</w:t>
      </w:r>
    </w:p>
    <w:p w14:paraId="7954A9EC" w14:textId="77777777" w:rsidR="00F05DC7" w:rsidRPr="004E3B94" w:rsidRDefault="00F05DC7" w:rsidP="008C54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9EF"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9ED" w14:textId="77777777" w:rsidR="00F05DC7" w:rsidRDefault="00F05DC7" w:rsidP="00A3786D">
            <w:pPr>
              <w:pStyle w:val="FindingTitle"/>
              <w:spacing w:before="120"/>
              <w:rPr>
                <w:noProof/>
              </w:rPr>
            </w:pPr>
            <w:r>
              <w:t>Finding 8.3</w:t>
            </w:r>
          </w:p>
          <w:p w14:paraId="7954A9EE" w14:textId="77777777" w:rsidR="00F05DC7" w:rsidRPr="00CE4C64" w:rsidRDefault="00F05DC7" w:rsidP="00A3786D">
            <w:pPr>
              <w:pStyle w:val="Finding"/>
              <w:keepNext/>
            </w:pPr>
            <w:r w:rsidRPr="002A7FC4">
              <w:t>The introduction of a relativity floor would blunt the equalisation task and introduce greater incentives for policy effort for the beneficiary State</w:t>
            </w:r>
            <w:r>
              <w:t>(</w:t>
            </w:r>
            <w:r w:rsidRPr="002A7FC4">
              <w:t>s</w:t>
            </w:r>
            <w:r>
              <w:t>)</w:t>
            </w:r>
            <w:r w:rsidRPr="002A7FC4">
              <w:t xml:space="preserve"> — Western Australia for the foreseeable future. But a floor represents a band</w:t>
            </w:r>
            <w:r w:rsidRPr="002A7FC4">
              <w:noBreakHyphen/>
              <w:t>aid solution</w:t>
            </w:r>
            <w:r>
              <w:t>,</w:t>
            </w:r>
            <w:r w:rsidRPr="002A7FC4">
              <w:t xml:space="preserve"> as it </w:t>
            </w:r>
            <w:r>
              <w:t>is not well targeted to</w:t>
            </w:r>
            <w:r w:rsidRPr="002A7FC4">
              <w:t xml:space="preserve"> broader efficiency and fairness problems.</w:t>
            </w:r>
          </w:p>
        </w:tc>
      </w:tr>
      <w:tr w:rsidR="00F05DC7" w14:paraId="7954A9F1" w14:textId="77777777" w:rsidTr="00A3786D">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954A9F0" w14:textId="77777777" w:rsidR="00F05DC7" w:rsidRDefault="00F05DC7" w:rsidP="00A3786D">
            <w:pPr>
              <w:pStyle w:val="Space"/>
              <w:keepLines/>
            </w:pPr>
          </w:p>
        </w:tc>
      </w:tr>
      <w:tr w:rsidR="00F05DC7" w:rsidRPr="000863A5" w14:paraId="7954A9F3" w14:textId="77777777" w:rsidTr="00A3786D">
        <w:trPr>
          <w:cantSplit/>
          <w:tblHeader/>
        </w:trPr>
        <w:tc>
          <w:tcPr>
            <w:tcW w:w="5000" w:type="pct"/>
            <w:tcBorders>
              <w:top w:val="single" w:sz="6" w:space="0" w:color="78A22F"/>
              <w:left w:val="nil"/>
              <w:bottom w:val="nil"/>
              <w:right w:val="nil"/>
            </w:tcBorders>
            <w:tcMar>
              <w:left w:w="170" w:type="dxa"/>
              <w:right w:w="170" w:type="dxa"/>
            </w:tcMar>
          </w:tcPr>
          <w:p w14:paraId="7954A9F2" w14:textId="77777777" w:rsidR="00F05DC7" w:rsidRPr="00626D32" w:rsidRDefault="00F05DC7" w:rsidP="00A3786D">
            <w:pPr>
              <w:pStyle w:val="BoxSpaceBelow"/>
              <w:keepLines/>
            </w:pPr>
          </w:p>
        </w:tc>
      </w:tr>
    </w:tbl>
    <w:p w14:paraId="7954A9F4" w14:textId="6839A42B" w:rsidR="00F05DC7" w:rsidRDefault="00F05DC7" w:rsidP="00A3786D">
      <w:pPr>
        <w:pStyle w:val="Heading2"/>
        <w:spacing w:before="400"/>
      </w:pPr>
      <w:bookmarkStart w:id="108" w:name="_Toc513637736"/>
      <w:r>
        <w:lastRenderedPageBreak/>
        <w:t>8.3</w:t>
      </w:r>
      <w:r>
        <w:tab/>
        <w:t>Alternative equalisation benchmarks</w:t>
      </w:r>
      <w:bookmarkEnd w:id="108"/>
      <w:r>
        <w:t xml:space="preserve"> </w:t>
      </w:r>
    </w:p>
    <w:p w14:paraId="7954A9F5" w14:textId="77777777" w:rsidR="00F05DC7" w:rsidRDefault="00F05DC7" w:rsidP="00A3786D">
      <w:pPr>
        <w:pStyle w:val="BodyText"/>
      </w:pPr>
      <w:r>
        <w:t xml:space="preserve">The options assessed above entail either significant costs to efficiency or equity, or pose other risks, such that they do not offer greater net benefits than the current approach to HFE. However, there are other ways to adapt the current approach to deliver a level of fiscal capacity equalisation that is reasonable (less than that of the strongest State plus its EPC amount), so as to better balance efficiency and equity considerations. </w:t>
      </w:r>
    </w:p>
    <w:p w14:paraId="7954A9F6" w14:textId="77777777" w:rsidR="00F05DC7" w:rsidRDefault="00F05DC7" w:rsidP="00A3786D">
      <w:pPr>
        <w:pStyle w:val="BodyText"/>
        <w:spacing w:after="120"/>
      </w:pPr>
      <w:r>
        <w:t>Two models identified by the Commission in its draft report as having some merit were equalisation to the second strongest State (ESSS) and equalisation to the average (pre</w:t>
      </w:r>
      <w:r>
        <w:noBreakHyphen/>
        <w:t xml:space="preserve">GST) fiscal capacity of all States (ETA). They are discussed here primarily in terms of their impacts on equity and efficiency. Also discussed in this section are two options for less than full equalisation raised by the CGC in its submission following the Commission’s draft report (sub. DR61). (There are a number of other variants for equalising to less than the strongest State (less than full equalisation), several of which were raised by participants to this inquiry (box 8.1)). In addition to reducing disincentives for policy reform, some of these alternatives could also result in less resources deployed by large States to argue the case for changes in relativities, given that under a number of the alternatives, these States would receive EPC amounts of GST only. </w:t>
      </w:r>
    </w:p>
    <w:p w14:paraId="7954A9F7"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9F9" w14:textId="77777777" w:rsidTr="00A3786D">
        <w:trPr>
          <w:tblHeader/>
        </w:trPr>
        <w:tc>
          <w:tcPr>
            <w:tcW w:w="5000" w:type="pct"/>
            <w:tcBorders>
              <w:top w:val="single" w:sz="6" w:space="0" w:color="78A22F"/>
              <w:left w:val="nil"/>
              <w:bottom w:val="nil"/>
              <w:right w:val="nil"/>
            </w:tcBorders>
            <w:shd w:val="clear" w:color="auto" w:fill="F2F2F2"/>
          </w:tcPr>
          <w:p w14:paraId="7954A9F8" w14:textId="1CFA806A" w:rsidR="00F05DC7" w:rsidRDefault="00F05DC7" w:rsidP="00A3786D">
            <w:pPr>
              <w:pStyle w:val="BoxTitle"/>
            </w:pPr>
            <w:r>
              <w:rPr>
                <w:b w:val="0"/>
              </w:rPr>
              <w:t>Box 8.</w:t>
            </w:r>
            <w:r>
              <w:rPr>
                <w:b w:val="0"/>
                <w:noProof/>
              </w:rPr>
              <w:t>1</w:t>
            </w:r>
            <w:r>
              <w:tab/>
              <w:t>Variations on equalising to less than the strongest State</w:t>
            </w:r>
          </w:p>
        </w:tc>
      </w:tr>
      <w:tr w:rsidR="00F05DC7" w14:paraId="7954A9FF" w14:textId="77777777" w:rsidTr="00A3786D">
        <w:tc>
          <w:tcPr>
            <w:tcW w:w="5000" w:type="pct"/>
            <w:tcBorders>
              <w:top w:val="nil"/>
              <w:left w:val="nil"/>
              <w:bottom w:val="nil"/>
              <w:right w:val="nil"/>
            </w:tcBorders>
            <w:shd w:val="clear" w:color="auto" w:fill="F2F2F2"/>
          </w:tcPr>
          <w:p w14:paraId="7954A9FA" w14:textId="77777777" w:rsidR="00F05DC7" w:rsidRDefault="00F05DC7" w:rsidP="00A3786D">
            <w:pPr>
              <w:pStyle w:val="Box"/>
            </w:pPr>
            <w:r>
              <w:t>The Western Australian Parliamentary Liberal Party proposed that the HFE system be changed so that:</w:t>
            </w:r>
          </w:p>
          <w:p w14:paraId="7954A9FB" w14:textId="77777777" w:rsidR="00F05DC7" w:rsidRDefault="00F05DC7" w:rsidP="00A3786D">
            <w:pPr>
              <w:pStyle w:val="BoxQuote"/>
            </w:pPr>
            <w:r>
              <w:t xml:space="preserve">… in the spirit of trying to come up [with] a practical second order — second best solutions, our recommendation … is to move to equalising to the average. But I would like to suggest a couple of alterations to it. One is that the territories, ACT and the Northern Territory, be taken out of the equalisation process and dealt with directly by the Commonwealth in whatever means the Commonwealth wishes to deal with it. (trans., p. 120). </w:t>
            </w:r>
          </w:p>
          <w:p w14:paraId="7954A9FC" w14:textId="77777777" w:rsidR="00F05DC7" w:rsidRDefault="00F05DC7" w:rsidP="00A3786D">
            <w:pPr>
              <w:pStyle w:val="Box"/>
            </w:pPr>
            <w:r>
              <w:t>This approach is similar to the Canadian system (appendix E).</w:t>
            </w:r>
          </w:p>
          <w:p w14:paraId="7954A9FD" w14:textId="77777777" w:rsidR="00F05DC7" w:rsidRDefault="00F05DC7" w:rsidP="00A3786D">
            <w:pPr>
              <w:pStyle w:val="Box"/>
            </w:pPr>
            <w:r>
              <w:t xml:space="preserve">The Business Council of Australia recommended setting aside a portion of the pool for distribution on an equal per capita basis: </w:t>
            </w:r>
          </w:p>
          <w:p w14:paraId="7954A9FE" w14:textId="77777777" w:rsidR="00F05DC7" w:rsidRDefault="00F05DC7" w:rsidP="00A3786D">
            <w:pPr>
              <w:pStyle w:val="BoxQuote"/>
            </w:pPr>
            <w:r>
              <w:t>Quarantining a certain percentage of the GST pool for equal per capita distribution (say 25 per cent initially) with the remainder being equalised through a simplified process. Consideration could be given to progressively raising the amount of the pool distributed on an equal per capita basis. (sub. 47, p. 10)</w:t>
            </w:r>
          </w:p>
        </w:tc>
      </w:tr>
      <w:tr w:rsidR="00F05DC7" w14:paraId="7954AA01" w14:textId="77777777" w:rsidTr="00A3786D">
        <w:tc>
          <w:tcPr>
            <w:tcW w:w="5000" w:type="pct"/>
            <w:tcBorders>
              <w:top w:val="nil"/>
              <w:left w:val="nil"/>
              <w:bottom w:val="single" w:sz="6" w:space="0" w:color="78A22F"/>
              <w:right w:val="nil"/>
            </w:tcBorders>
            <w:shd w:val="clear" w:color="auto" w:fill="F2F2F2"/>
          </w:tcPr>
          <w:p w14:paraId="7954AA00" w14:textId="77777777" w:rsidR="00F05DC7" w:rsidRDefault="00F05DC7" w:rsidP="00A3786D">
            <w:pPr>
              <w:pStyle w:val="Box"/>
              <w:spacing w:before="0" w:line="120" w:lineRule="exact"/>
            </w:pPr>
          </w:p>
        </w:tc>
      </w:tr>
      <w:tr w:rsidR="00F05DC7" w:rsidRPr="000863A5" w14:paraId="7954AA03" w14:textId="77777777" w:rsidTr="00A3786D">
        <w:tc>
          <w:tcPr>
            <w:tcW w:w="5000" w:type="pct"/>
            <w:tcBorders>
              <w:top w:val="single" w:sz="6" w:space="0" w:color="78A22F"/>
              <w:left w:val="nil"/>
              <w:bottom w:val="nil"/>
              <w:right w:val="nil"/>
            </w:tcBorders>
          </w:tcPr>
          <w:p w14:paraId="7954AA02" w14:textId="77777777" w:rsidR="00F05DC7" w:rsidRPr="00626D32" w:rsidRDefault="00F05DC7" w:rsidP="00A3786D">
            <w:pPr>
              <w:pStyle w:val="BoxSpaceBelow"/>
            </w:pPr>
          </w:p>
        </w:tc>
      </w:tr>
    </w:tbl>
    <w:p w14:paraId="7954AA04" w14:textId="77777777" w:rsidR="00F05DC7" w:rsidRDefault="00F05DC7" w:rsidP="00A3786D">
      <w:pPr>
        <w:pStyle w:val="BodyText"/>
        <w:rPr>
          <w:rFonts w:ascii="Arial" w:hAnsi="Arial"/>
          <w:sz w:val="26"/>
        </w:rPr>
      </w:pPr>
      <w:r>
        <w:br w:type="page"/>
      </w:r>
    </w:p>
    <w:p w14:paraId="7954AA05" w14:textId="77777777" w:rsidR="00F05DC7" w:rsidRDefault="00F05DC7" w:rsidP="00A3786D">
      <w:pPr>
        <w:pStyle w:val="Heading3"/>
      </w:pPr>
      <w:r>
        <w:lastRenderedPageBreak/>
        <w:t>Conceptual representation of the options</w:t>
      </w:r>
    </w:p>
    <w:p w14:paraId="7954AA06" w14:textId="77777777" w:rsidR="00F05DC7" w:rsidRDefault="00F05DC7" w:rsidP="00A3786D">
      <w:pPr>
        <w:pStyle w:val="BodyText"/>
      </w:pPr>
      <w:r>
        <w:t>The options presented in this section are described conceptually in figure 8.3. There are five options.</w:t>
      </w:r>
    </w:p>
    <w:p w14:paraId="7954AA07" w14:textId="77777777" w:rsidR="00F05DC7" w:rsidRDefault="00F05DC7" w:rsidP="00A3786D">
      <w:pPr>
        <w:pStyle w:val="ListBullet"/>
      </w:pPr>
      <w:r w:rsidRPr="00A06987">
        <w:rPr>
          <w:i/>
        </w:rPr>
        <w:t>90</w:t>
      </w:r>
      <w:r>
        <w:rPr>
          <w:i/>
        </w:rPr>
        <w:t> </w:t>
      </w:r>
      <w:r w:rsidRPr="00A06987">
        <w:rPr>
          <w:i/>
        </w:rPr>
        <w:t>per</w:t>
      </w:r>
      <w:r>
        <w:rPr>
          <w:i/>
        </w:rPr>
        <w:t> </w:t>
      </w:r>
      <w:r w:rsidRPr="00A06987">
        <w:rPr>
          <w:i/>
        </w:rPr>
        <w:t>cent full equalisation</w:t>
      </w:r>
      <w:r w:rsidRPr="00C25674">
        <w:t>:</w:t>
      </w:r>
      <w:r>
        <w:t xml:space="preserve"> This benchmark, outlined in the CGC’s submission following the draft report (sub. DR61), defines reasonable equalisation as a proportion (90 per cent) of the current system of full equalisation. Under this benchmark, 90 per cent of the GST pool would be distributed on a full equalisation basis, with the remainder of the GST distributed on an EPC basis. This benchmark can therefore be thought of as ‘diluting’ equalisation outcomes under the current approach by 10 per cent of the GST pool. </w:t>
      </w:r>
    </w:p>
    <w:p w14:paraId="7954AA08" w14:textId="77777777" w:rsidR="00F05DC7" w:rsidRDefault="00F05DC7" w:rsidP="00A3786D">
      <w:pPr>
        <w:pStyle w:val="ListBullet"/>
      </w:pPr>
      <w:r w:rsidRPr="004D6252">
        <w:rPr>
          <w:i/>
        </w:rPr>
        <w:t xml:space="preserve">Equalisation to the average of the </w:t>
      </w:r>
      <w:r>
        <w:rPr>
          <w:i/>
        </w:rPr>
        <w:t>fiscally strong</w:t>
      </w:r>
      <w:r w:rsidRPr="004D6252">
        <w:rPr>
          <w:i/>
        </w:rPr>
        <w:t xml:space="preserve"> States</w:t>
      </w:r>
      <w:r w:rsidRPr="00C25674">
        <w:t>:</w:t>
      </w:r>
      <w:r>
        <w:t xml:space="preserve"> This benchmark equalises to the average of the fiscally strong States (or ‘donor States’ — that is, those with a relativity below one under the current system), for States that have a pre</w:t>
      </w:r>
      <w:r>
        <w:noBreakHyphen/>
        <w:t xml:space="preserve">GST fiscal capacity below this level. The remainder of the GST is then distributed on an EPC basis to all States. </w:t>
      </w:r>
    </w:p>
    <w:p w14:paraId="7954AA09" w14:textId="77777777" w:rsidR="00F05DC7" w:rsidRDefault="00F05DC7" w:rsidP="00A3786D">
      <w:pPr>
        <w:pStyle w:val="ListBullet"/>
      </w:pPr>
      <w:r w:rsidRPr="00A06987">
        <w:rPr>
          <w:i/>
        </w:rPr>
        <w:t>Equalising to the second strongest State</w:t>
      </w:r>
      <w:r>
        <w:rPr>
          <w:i/>
        </w:rPr>
        <w:t xml:space="preserve"> (ESSS)</w:t>
      </w:r>
      <w:r w:rsidRPr="00C25674">
        <w:t>:</w:t>
      </w:r>
      <w:r>
        <w:rPr>
          <w:i/>
        </w:rPr>
        <w:t xml:space="preserve"> </w:t>
      </w:r>
      <w:r w:rsidRPr="00A06987">
        <w:t>T</w:t>
      </w:r>
      <w:r w:rsidRPr="004D6252">
        <w:t>his</w:t>
      </w:r>
      <w:r>
        <w:t xml:space="preserve"> benchmark</w:t>
      </w:r>
      <w:r w:rsidRPr="00A06987">
        <w:rPr>
          <w:i/>
        </w:rPr>
        <w:t xml:space="preserve"> </w:t>
      </w:r>
      <w:r>
        <w:t>would lift the fiscal capacities of all States to that of the second strongest State, and then distribute remaining GST revenue on an EPC basis.</w:t>
      </w:r>
    </w:p>
    <w:p w14:paraId="7954AA0A" w14:textId="77777777" w:rsidR="00F05DC7" w:rsidRDefault="00F05DC7" w:rsidP="00A3786D">
      <w:pPr>
        <w:pStyle w:val="ListBullet"/>
      </w:pPr>
      <w:r>
        <w:rPr>
          <w:i/>
        </w:rPr>
        <w:t>Full e</w:t>
      </w:r>
      <w:r w:rsidRPr="004D6252">
        <w:rPr>
          <w:i/>
        </w:rPr>
        <w:t xml:space="preserve">qualisation only for the </w:t>
      </w:r>
      <w:r>
        <w:rPr>
          <w:i/>
        </w:rPr>
        <w:t>smallest</w:t>
      </w:r>
      <w:r w:rsidRPr="004D6252">
        <w:rPr>
          <w:i/>
        </w:rPr>
        <w:t xml:space="preserve"> States</w:t>
      </w:r>
      <w:r w:rsidRPr="00C25674">
        <w:t>:</w:t>
      </w:r>
      <w:r>
        <w:t xml:space="preserve"> This benchmark (raised by the CGC, sub. DR61, p. 8) entails applying full equalisation to the four smallest (least populous) States only. These States would continue to be provided with the same fiscal capacity as the strongest State, plus the EPC amount that would be received by the strongest State had full equalisation applied. All remaining GST revenue would then be distributed to the remaining States on an EPC basis. The CGC (sub. DR61, p. 9) submitted that a policy rationale for this benchmark is that the most populous States are sufficiently economically diversified and fiscally strong that they could withstand fluctuations in fiscal capacity without the need for equalisation. This equalisation option is similar, although distinct, from full equalisation to the fiscally weaker States, in which any State with a relativity above one would be fully equalised, with fiscally strong States receiving only an EPC amount.</w:t>
      </w:r>
    </w:p>
    <w:p w14:paraId="7954AA0B" w14:textId="77777777" w:rsidR="00F05DC7" w:rsidRDefault="00F05DC7" w:rsidP="00A3786D">
      <w:pPr>
        <w:pStyle w:val="ListBullet"/>
      </w:pPr>
      <w:r w:rsidRPr="00D83A0D">
        <w:rPr>
          <w:i/>
        </w:rPr>
        <w:t xml:space="preserve">Equalisation to the </w:t>
      </w:r>
      <w:r>
        <w:rPr>
          <w:i/>
        </w:rPr>
        <w:t xml:space="preserve">average fiscal capacity of all </w:t>
      </w:r>
      <w:r w:rsidRPr="00D83A0D">
        <w:rPr>
          <w:i/>
        </w:rPr>
        <w:t>States (ETA)</w:t>
      </w:r>
      <w:r w:rsidRPr="00C25674">
        <w:t xml:space="preserve">: </w:t>
      </w:r>
      <w:r>
        <w:t>This benchmark works by allocating GST such that those States with a below</w:t>
      </w:r>
      <w:r>
        <w:noBreakHyphen/>
        <w:t>average fiscal capacity prior to the distribution of GST are brought up to the average (pre</w:t>
      </w:r>
      <w:r>
        <w:noBreakHyphen/>
        <w:t xml:space="preserve">GST) fiscal capacity of all the States, with all remaining GST revenue allocated on an EPC basis to all States. Each State would receive a minimum per capita GST amount, albeit lower than under ESSS. </w:t>
      </w:r>
    </w:p>
    <w:p w14:paraId="7954AA0D"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A0F" w14:textId="77777777" w:rsidTr="00A3786D">
        <w:trPr>
          <w:tblHeader/>
        </w:trPr>
        <w:tc>
          <w:tcPr>
            <w:tcW w:w="5000" w:type="pct"/>
            <w:tcBorders>
              <w:top w:val="single" w:sz="6" w:space="0" w:color="78A22F"/>
              <w:left w:val="nil"/>
              <w:bottom w:val="nil"/>
              <w:right w:val="nil"/>
            </w:tcBorders>
            <w:shd w:val="clear" w:color="auto" w:fill="auto"/>
          </w:tcPr>
          <w:p w14:paraId="7954AA0E" w14:textId="77777777" w:rsidR="00F05DC7" w:rsidRPr="00176D3F" w:rsidRDefault="00F05DC7" w:rsidP="00A3786D">
            <w:pPr>
              <w:pStyle w:val="FigureTitle"/>
            </w:pPr>
            <w:r w:rsidRPr="00784A05">
              <w:rPr>
                <w:b w:val="0"/>
              </w:rPr>
              <w:t xml:space="preserve">Figure </w:t>
            </w:r>
            <w:r>
              <w:rPr>
                <w:b w:val="0"/>
              </w:rPr>
              <w:t>8.3</w:t>
            </w:r>
            <w:r>
              <w:tab/>
              <w:t>Conceptual representation of equalisation benchmarks</w:t>
            </w:r>
            <w:r w:rsidRPr="006A1608">
              <w:rPr>
                <w:rStyle w:val="NoteLabel"/>
                <w:b/>
              </w:rPr>
              <w:t>a</w:t>
            </w:r>
            <w:r>
              <w:rPr>
                <w:rStyle w:val="NoteLabel"/>
                <w:b/>
              </w:rPr>
              <w:t>,b</w:t>
            </w:r>
          </w:p>
        </w:tc>
      </w:tr>
      <w:tr w:rsidR="00F05DC7" w14:paraId="7954AA13" w14:textId="77777777" w:rsidTr="00A3786D">
        <w:trPr>
          <w:trHeight w:val="11945"/>
        </w:trPr>
        <w:tc>
          <w:tcPr>
            <w:tcW w:w="5000" w:type="pct"/>
            <w:tcBorders>
              <w:top w:val="nil"/>
              <w:left w:val="nil"/>
              <w:bottom w:val="nil"/>
              <w:right w:val="nil"/>
            </w:tcBorders>
            <w:shd w:val="clear" w:color="auto" w:fill="auto"/>
            <w:tcMar>
              <w:top w:w="28" w:type="dxa"/>
              <w:bottom w:w="28" w:type="dxa"/>
            </w:tcMar>
          </w:tcPr>
          <w:tbl>
            <w:tblPr>
              <w:tblW w:w="8432"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05DC7" w:rsidRPr="00B1465D" w14:paraId="7954AA11" w14:textId="77777777" w:rsidTr="00A3786D">
              <w:trPr>
                <w:trHeight w:val="11882"/>
                <w:tblHeader/>
                <w:jc w:val="center"/>
              </w:trPr>
              <w:tc>
                <w:tcPr>
                  <w:tcW w:w="8432" w:type="dxa"/>
                  <w:tcBorders>
                    <w:top w:val="nil"/>
                    <w:bottom w:val="nil"/>
                  </w:tcBorders>
                </w:tcPr>
                <w:p w14:paraId="7954AA10" w14:textId="77777777" w:rsidR="00F05DC7" w:rsidRPr="00B1465D" w:rsidRDefault="00F05DC7" w:rsidP="00A3786D">
                  <w:pPr>
                    <w:pStyle w:val="Figure"/>
                    <w:spacing w:before="60" w:after="60"/>
                    <w:rPr>
                      <w:rFonts w:ascii="Arial" w:hAnsi="Arial" w:cs="Arial"/>
                      <w:sz w:val="18"/>
                      <w:szCs w:val="18"/>
                    </w:rPr>
                  </w:pPr>
                  <w:r w:rsidRPr="00DB33C4">
                    <w:rPr>
                      <w:rFonts w:ascii="Arial" w:hAnsi="Arial" w:cs="Arial"/>
                      <w:noProof/>
                      <w:sz w:val="18"/>
                      <w:szCs w:val="18"/>
                    </w:rPr>
                    <w:drawing>
                      <wp:inline distT="0" distB="0" distL="0" distR="0" wp14:anchorId="7954D619" wp14:editId="7954D61A">
                        <wp:extent cx="5410200" cy="2514600"/>
                        <wp:effectExtent l="0" t="0" r="0" b="0"/>
                        <wp:docPr id="77" name="Picture 77" descr="This figure shows how fiscal capacities of States would change under different equalisation benchmarks. &#10;Under 90 per cent full equalisation, States would be brought up to 90 per cent of the full equalisation standard, with the remainder of GST distributed on an equal per capita basis. Those States above the benchmark would retain a stronger fiscal capacity than States below the benchmark, even after all GST revenue was distribu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10200" cy="2514600"/>
                                </a:xfrm>
                                <a:prstGeom prst="rect">
                                  <a:avLst/>
                                </a:prstGeom>
                                <a:noFill/>
                                <a:ln>
                                  <a:noFill/>
                                </a:ln>
                              </pic:spPr>
                            </pic:pic>
                          </a:graphicData>
                        </a:graphic>
                      </wp:inline>
                    </w:drawing>
                  </w:r>
                  <w:r>
                    <w:rPr>
                      <w:rFonts w:ascii="Arial" w:hAnsi="Arial" w:cs="Arial"/>
                      <w:noProof/>
                      <w:sz w:val="18"/>
                      <w:szCs w:val="18"/>
                    </w:rPr>
                    <w:t xml:space="preserve"> </w:t>
                  </w:r>
                  <w:r w:rsidRPr="00B74EBB">
                    <w:rPr>
                      <w:rFonts w:ascii="Arial" w:hAnsi="Arial" w:cs="Arial"/>
                      <w:noProof/>
                      <w:sz w:val="18"/>
                      <w:szCs w:val="18"/>
                    </w:rPr>
                    <w:drawing>
                      <wp:inline distT="0" distB="0" distL="0" distR="0" wp14:anchorId="7954D61B" wp14:editId="7954D61C">
                        <wp:extent cx="5401945" cy="2522855"/>
                        <wp:effectExtent l="0" t="0" r="8255" b="0"/>
                        <wp:docPr id="78" name="Picture 78" descr="Equalisation to the average of the fiscally strong States would bring States up to the average fiscal capacity of those States with a relativity below 1.0. All remaining GST revenue would be allocated on an equal per capita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1945" cy="2522855"/>
                                </a:xfrm>
                                <a:prstGeom prst="rect">
                                  <a:avLst/>
                                </a:prstGeom>
                                <a:noFill/>
                                <a:ln>
                                  <a:noFill/>
                                </a:ln>
                              </pic:spPr>
                            </pic:pic>
                          </a:graphicData>
                        </a:graphic>
                      </wp:inline>
                    </w:drawing>
                  </w:r>
                  <w:r w:rsidRPr="00A277D1">
                    <w:rPr>
                      <w:rFonts w:ascii="Arial" w:hAnsi="Arial" w:cs="Arial"/>
                      <w:noProof/>
                      <w:sz w:val="18"/>
                      <w:szCs w:val="18"/>
                    </w:rPr>
                    <w:drawing>
                      <wp:inline distT="0" distB="0" distL="0" distR="0" wp14:anchorId="7954D61D" wp14:editId="7954D61E">
                        <wp:extent cx="5401945" cy="2522855"/>
                        <wp:effectExtent l="0" t="0" r="8255" b="0"/>
                        <wp:docPr id="79" name="Picture 79" descr="Equalisation to the second strongest State would see States brought up to the fiscal capacity of the second strongest State, with the remainder of the GST pool distributed on an equal per capita b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1945" cy="2522855"/>
                                </a:xfrm>
                                <a:prstGeom prst="rect">
                                  <a:avLst/>
                                </a:prstGeom>
                                <a:noFill/>
                                <a:ln>
                                  <a:noFill/>
                                </a:ln>
                              </pic:spPr>
                            </pic:pic>
                          </a:graphicData>
                        </a:graphic>
                      </wp:inline>
                    </w:drawing>
                  </w:r>
                </w:p>
              </w:tc>
            </w:tr>
          </w:tbl>
          <w:p w14:paraId="7954AA12" w14:textId="77777777" w:rsidR="00F05DC7" w:rsidRDefault="00F05DC7" w:rsidP="00A3786D">
            <w:pPr>
              <w:pStyle w:val="Figure"/>
            </w:pPr>
          </w:p>
        </w:tc>
      </w:tr>
      <w:tr w:rsidR="00F05DC7" w:rsidRPr="00176D3F" w14:paraId="7954AA15" w14:textId="77777777" w:rsidTr="00A3786D">
        <w:tc>
          <w:tcPr>
            <w:tcW w:w="5000" w:type="pct"/>
            <w:tcBorders>
              <w:top w:val="nil"/>
              <w:left w:val="nil"/>
              <w:bottom w:val="nil"/>
              <w:right w:val="nil"/>
            </w:tcBorders>
            <w:shd w:val="clear" w:color="auto" w:fill="auto"/>
          </w:tcPr>
          <w:p w14:paraId="7954AA14" w14:textId="77777777" w:rsidR="00F05DC7" w:rsidRPr="006F2F25" w:rsidRDefault="00F05DC7" w:rsidP="00A3786D">
            <w:pPr>
              <w:pStyle w:val="Source"/>
              <w:jc w:val="right"/>
              <w:rPr>
                <w:szCs w:val="18"/>
              </w:rPr>
            </w:pPr>
            <w:r w:rsidRPr="006F2F25">
              <w:rPr>
                <w:szCs w:val="18"/>
              </w:rPr>
              <w:t>(continued next page)</w:t>
            </w:r>
          </w:p>
        </w:tc>
      </w:tr>
      <w:tr w:rsidR="00F05DC7" w14:paraId="7954AA17" w14:textId="77777777" w:rsidTr="00A3786D">
        <w:tc>
          <w:tcPr>
            <w:tcW w:w="5000" w:type="pct"/>
            <w:tcBorders>
              <w:top w:val="nil"/>
              <w:left w:val="nil"/>
              <w:bottom w:val="single" w:sz="6" w:space="0" w:color="78A22F"/>
              <w:right w:val="nil"/>
            </w:tcBorders>
            <w:shd w:val="clear" w:color="auto" w:fill="auto"/>
          </w:tcPr>
          <w:p w14:paraId="7954AA16" w14:textId="77777777" w:rsidR="00F05DC7" w:rsidRDefault="00F05DC7" w:rsidP="008C54FC">
            <w:pPr>
              <w:pStyle w:val="Figurespace"/>
              <w:keepNext w:val="0"/>
            </w:pPr>
          </w:p>
        </w:tc>
      </w:tr>
    </w:tbl>
    <w:p w14:paraId="7954AA1A"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A1C" w14:textId="77777777" w:rsidTr="00A3786D">
        <w:trPr>
          <w:tblHeader/>
        </w:trPr>
        <w:tc>
          <w:tcPr>
            <w:tcW w:w="5000" w:type="pct"/>
            <w:tcBorders>
              <w:top w:val="single" w:sz="6" w:space="0" w:color="78A22F"/>
              <w:left w:val="nil"/>
              <w:bottom w:val="nil"/>
              <w:right w:val="nil"/>
            </w:tcBorders>
            <w:shd w:val="clear" w:color="auto" w:fill="auto"/>
          </w:tcPr>
          <w:p w14:paraId="7954AA1B" w14:textId="2BCDCE8B" w:rsidR="00F05DC7" w:rsidRPr="00176D3F" w:rsidRDefault="00F05DC7" w:rsidP="00A3786D">
            <w:pPr>
              <w:pStyle w:val="FigureTitle"/>
            </w:pPr>
            <w:r w:rsidRPr="00784A05">
              <w:rPr>
                <w:b w:val="0"/>
              </w:rPr>
              <w:t xml:space="preserve">Figure </w:t>
            </w:r>
            <w:r>
              <w:rPr>
                <w:b w:val="0"/>
              </w:rPr>
              <w:t>8.3</w:t>
            </w:r>
            <w:r>
              <w:tab/>
            </w:r>
            <w:r w:rsidRPr="00CC33A6">
              <w:rPr>
                <w:b w:val="0"/>
                <w:sz w:val="18"/>
                <w:szCs w:val="18"/>
              </w:rPr>
              <w:t>(continued)</w:t>
            </w:r>
          </w:p>
        </w:tc>
      </w:tr>
      <w:tr w:rsidR="00F05DC7" w14:paraId="7954AA20"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AA1E" w14:textId="77777777" w:rsidTr="00A3786D">
              <w:trPr>
                <w:tblHeader/>
                <w:jc w:val="center"/>
              </w:trPr>
              <w:tc>
                <w:tcPr>
                  <w:tcW w:w="5000" w:type="pct"/>
                  <w:tcBorders>
                    <w:top w:val="nil"/>
                    <w:bottom w:val="nil"/>
                  </w:tcBorders>
                </w:tcPr>
                <w:p w14:paraId="7954AA1D" w14:textId="77777777" w:rsidR="00F05DC7" w:rsidRPr="00B1465D" w:rsidRDefault="00F05DC7" w:rsidP="00A3786D">
                  <w:pPr>
                    <w:pStyle w:val="Figure"/>
                    <w:spacing w:before="60" w:after="60"/>
                    <w:rPr>
                      <w:rFonts w:ascii="Arial" w:hAnsi="Arial" w:cs="Arial"/>
                      <w:sz w:val="18"/>
                      <w:szCs w:val="18"/>
                    </w:rPr>
                  </w:pPr>
                  <w:r w:rsidRPr="00B74EBB">
                    <w:rPr>
                      <w:rFonts w:ascii="Arial" w:hAnsi="Arial" w:cs="Arial"/>
                      <w:noProof/>
                      <w:sz w:val="18"/>
                      <w:szCs w:val="18"/>
                    </w:rPr>
                    <w:drawing>
                      <wp:inline distT="0" distB="0" distL="0" distR="0" wp14:anchorId="7954D61F" wp14:editId="7954D620">
                        <wp:extent cx="5401945" cy="2522855"/>
                        <wp:effectExtent l="0" t="0" r="8255" b="0"/>
                        <wp:docPr id="80" name="Picture 80" descr="Full equalisation for the smallest States would bring South Australia, Tasmania, the ACT, and the Northern Territory up the fiscal capacity they receive under current arrangements. Remaining GST revenue would be allocated to the other four States on an equal per capita b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01945" cy="2522855"/>
                                </a:xfrm>
                                <a:prstGeom prst="rect">
                                  <a:avLst/>
                                </a:prstGeom>
                                <a:noFill/>
                                <a:ln>
                                  <a:noFill/>
                                </a:ln>
                              </pic:spPr>
                            </pic:pic>
                          </a:graphicData>
                        </a:graphic>
                      </wp:inline>
                    </w:drawing>
                  </w:r>
                  <w:r w:rsidRPr="00DD0229">
                    <w:rPr>
                      <w:rFonts w:ascii="Arial" w:hAnsi="Arial" w:cs="Arial"/>
                      <w:noProof/>
                      <w:sz w:val="18"/>
                      <w:szCs w:val="18"/>
                    </w:rPr>
                    <w:drawing>
                      <wp:inline distT="0" distB="0" distL="0" distR="0" wp14:anchorId="7954D621" wp14:editId="7954D622">
                        <wp:extent cx="5401945" cy="2878455"/>
                        <wp:effectExtent l="0" t="0" r="8255" b="0"/>
                        <wp:docPr id="81" name="Picture 81" descr="Equalisation to the average would bring States below the average fiscal capacity of all States up to the average, with the remainder of the GST pool allocated on an equal per capita basis. Those States with an initial fiscal capacity above the average would only receive an equal per capita amount of G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14:paraId="7954AA1F" w14:textId="77777777" w:rsidR="00F05DC7" w:rsidRDefault="00F05DC7" w:rsidP="00A3786D">
            <w:pPr>
              <w:pStyle w:val="Figure"/>
            </w:pPr>
          </w:p>
        </w:tc>
      </w:tr>
      <w:tr w:rsidR="00F05DC7" w:rsidRPr="00176D3F" w14:paraId="7954AA22" w14:textId="77777777" w:rsidTr="00A3786D">
        <w:tc>
          <w:tcPr>
            <w:tcW w:w="5000" w:type="pct"/>
            <w:tcBorders>
              <w:top w:val="nil"/>
              <w:left w:val="nil"/>
              <w:bottom w:val="nil"/>
              <w:right w:val="nil"/>
            </w:tcBorders>
            <w:shd w:val="clear" w:color="auto" w:fill="auto"/>
          </w:tcPr>
          <w:p w14:paraId="7954AA21" w14:textId="77777777" w:rsidR="00F05DC7" w:rsidRPr="00C50480" w:rsidRDefault="00F05DC7" w:rsidP="00A3786D">
            <w:pPr>
              <w:pStyle w:val="Note"/>
              <w:rPr>
                <w:rStyle w:val="NoteLabel"/>
              </w:rPr>
            </w:pPr>
            <w:r>
              <w:rPr>
                <w:rStyle w:val="NoteLabel"/>
              </w:rPr>
              <w:t>a</w:t>
            </w:r>
            <w:r w:rsidRPr="00C50480">
              <w:rPr>
                <w:rStyle w:val="NoteLabel"/>
              </w:rPr>
              <w:t xml:space="preserve"> </w:t>
            </w:r>
            <w:r w:rsidRPr="008302BA">
              <w:t>Fiscal capacity</w:t>
            </w:r>
            <w:r>
              <w:t xml:space="preserve"> is a measure of a State’s ability to </w:t>
            </w:r>
            <w:r w:rsidRPr="00A412AB">
              <w:t xml:space="preserve">provide services, including infrastructure, to its population </w:t>
            </w:r>
            <w:r>
              <w:t xml:space="preserve">given </w:t>
            </w:r>
            <w:r w:rsidRPr="00A412AB">
              <w:t>its own</w:t>
            </w:r>
            <w:r>
              <w:noBreakHyphen/>
              <w:t>source</w:t>
            </w:r>
            <w:r w:rsidRPr="00A412AB">
              <w:t xml:space="preserve"> revenue </w:t>
            </w:r>
            <w:r>
              <w:t xml:space="preserve">and </w:t>
            </w:r>
            <w:r w:rsidRPr="00A412AB">
              <w:t>Comm</w:t>
            </w:r>
            <w:r>
              <w:t>onwealth payments, excluding</w:t>
            </w:r>
            <w:r w:rsidRPr="00A412AB">
              <w:t xml:space="preserve"> GST</w:t>
            </w:r>
            <w:r>
              <w:t>.</w:t>
            </w:r>
            <w:r>
              <w:rPr>
                <w:rStyle w:val="NoteLabel"/>
              </w:rPr>
              <w:t xml:space="preserve"> </w:t>
            </w:r>
            <w:r w:rsidRPr="00C50480">
              <w:t xml:space="preserve">Fiscal </w:t>
            </w:r>
            <w:r>
              <w:t xml:space="preserve">capacities are presented here in per capita terms for ease of comparison and illustrative purposes. </w:t>
            </w:r>
            <w:r w:rsidRPr="00682C64">
              <w:rPr>
                <w:rStyle w:val="NoteLabel"/>
              </w:rPr>
              <w:t>b</w:t>
            </w:r>
            <w:r>
              <w:t xml:space="preserve"> Fiscally weaker States are those with a relativity above 1.0, while fiscally stronger States are those with a relativity below 1.0 (under the current system).</w:t>
            </w:r>
          </w:p>
        </w:tc>
      </w:tr>
      <w:tr w:rsidR="00F05DC7" w14:paraId="7954AA24" w14:textId="77777777" w:rsidTr="00A3786D">
        <w:tc>
          <w:tcPr>
            <w:tcW w:w="5000" w:type="pct"/>
            <w:tcBorders>
              <w:top w:val="nil"/>
              <w:left w:val="nil"/>
              <w:bottom w:val="single" w:sz="6" w:space="0" w:color="78A22F"/>
              <w:right w:val="nil"/>
            </w:tcBorders>
            <w:shd w:val="clear" w:color="auto" w:fill="auto"/>
          </w:tcPr>
          <w:p w14:paraId="7954AA23" w14:textId="77777777" w:rsidR="00F05DC7" w:rsidRDefault="00F05DC7" w:rsidP="00A3786D">
            <w:pPr>
              <w:pStyle w:val="Figurespace"/>
            </w:pPr>
          </w:p>
        </w:tc>
      </w:tr>
      <w:tr w:rsidR="00F05DC7" w:rsidRPr="000863A5" w14:paraId="7954AA26" w14:textId="77777777" w:rsidTr="00A3786D">
        <w:tc>
          <w:tcPr>
            <w:tcW w:w="5000" w:type="pct"/>
            <w:tcBorders>
              <w:top w:val="single" w:sz="6" w:space="0" w:color="78A22F"/>
              <w:left w:val="nil"/>
              <w:bottom w:val="nil"/>
              <w:right w:val="nil"/>
            </w:tcBorders>
          </w:tcPr>
          <w:p w14:paraId="7954AA25" w14:textId="77777777" w:rsidR="00F05DC7" w:rsidRPr="00626D32" w:rsidRDefault="00F05DC7" w:rsidP="00A3786D">
            <w:pPr>
              <w:pStyle w:val="BoxSpaceBelow"/>
            </w:pPr>
          </w:p>
        </w:tc>
      </w:tr>
    </w:tbl>
    <w:p w14:paraId="7954AA27" w14:textId="77777777" w:rsidR="00F05DC7" w:rsidRDefault="00F05DC7" w:rsidP="00A3786D">
      <w:pPr>
        <w:pStyle w:val="Heading3"/>
        <w:spacing w:before="400"/>
      </w:pPr>
      <w:r>
        <w:t>A snapshot of the distributional impacts of the alternative benchmarks</w:t>
      </w:r>
    </w:p>
    <w:p w14:paraId="7954AA28" w14:textId="77777777" w:rsidR="00F05DC7" w:rsidRDefault="00F05DC7" w:rsidP="00A3786D">
      <w:pPr>
        <w:pStyle w:val="BodyText"/>
      </w:pPr>
      <w:r>
        <w:t>As each of these alternatives deliver less than full equalisation, they reduce the equalisation task (by varying amounts) compared with current arrangements — figure 8.4 and table 8.3 show what the equalisation task and relativities would have been under each option had they applied over the period 2000 to 2017</w:t>
      </w:r>
      <w:r>
        <w:noBreakHyphen/>
        <w:t>18, and what they could be if applied between 2018</w:t>
      </w:r>
      <w:r>
        <w:noBreakHyphen/>
        <w:t>19 and 2020</w:t>
      </w:r>
      <w:r>
        <w:noBreakHyphen/>
        <w:t xml:space="preserve">21. Despite the differences in the size of the equalisation task under each of the </w:t>
      </w:r>
      <w:r>
        <w:lastRenderedPageBreak/>
        <w:t xml:space="preserve">alternatives, they all tend to allocate roughly similar proportions of GST to the States, while reducing the extent of equalisation. </w:t>
      </w:r>
    </w:p>
    <w:p w14:paraId="7954AA29" w14:textId="77777777" w:rsidR="00F05DC7" w:rsidRDefault="00F05DC7" w:rsidP="00A3786D">
      <w:pPr>
        <w:pStyle w:val="BodyText"/>
      </w:pPr>
      <w:r>
        <w:t>Changes to the equalisation benchmark in the current fiscal environment will result in a smaller amount of GST redistributed away from EPC, and commensurately a material redistribution of GST payments to Western Australia and in some cases New South Wales at the expense of the other States.</w:t>
      </w:r>
    </w:p>
    <w:p w14:paraId="7954AA2A" w14:textId="77777777" w:rsidR="00F05DC7" w:rsidRDefault="00F05DC7" w:rsidP="00A3786D">
      <w:pPr>
        <w:pStyle w:val="BodyText"/>
      </w:pPr>
      <w:r>
        <w:t xml:space="preserve">Analysis of the alternatives indicates that 90 per cent full equalisation would most closely replicate the relativities produced by the current HFE system. This benchmark would result in a similar amount of the GST pool being redistributed away from EPC as does equalisation to the average of the fiscally strong States and ESSS. By contrast, ETA would see the equalisation task reduce by the most (with the obvious exception of EPC, for which the equalisation task is always zero). </w:t>
      </w:r>
    </w:p>
    <w:p w14:paraId="7954AA2B"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A2D" w14:textId="77777777" w:rsidTr="00A3786D">
        <w:trPr>
          <w:tblHeader/>
        </w:trPr>
        <w:tc>
          <w:tcPr>
            <w:tcW w:w="5000" w:type="pct"/>
            <w:tcBorders>
              <w:top w:val="single" w:sz="6" w:space="0" w:color="78A22F"/>
              <w:left w:val="nil"/>
              <w:bottom w:val="nil"/>
              <w:right w:val="nil"/>
            </w:tcBorders>
            <w:shd w:val="clear" w:color="auto" w:fill="auto"/>
          </w:tcPr>
          <w:p w14:paraId="7954AA2C" w14:textId="5246281A" w:rsidR="00F05DC7" w:rsidRPr="00784A05" w:rsidRDefault="00F05DC7" w:rsidP="00A3786D">
            <w:pPr>
              <w:pStyle w:val="TableTitle"/>
            </w:pPr>
            <w:r>
              <w:rPr>
                <w:b w:val="0"/>
              </w:rPr>
              <w:t>Table 8.3</w:t>
            </w:r>
            <w:r>
              <w:tab/>
              <w:t>Equalisation task and relativity ranges of alternative benchmarks</w:t>
            </w:r>
          </w:p>
        </w:tc>
      </w:tr>
      <w:tr w:rsidR="00F05DC7" w14:paraId="7954AA72"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59"/>
              <w:gridCol w:w="851"/>
              <w:gridCol w:w="993"/>
              <w:gridCol w:w="851"/>
              <w:gridCol w:w="1136"/>
              <w:gridCol w:w="1133"/>
              <w:gridCol w:w="992"/>
              <w:gridCol w:w="990"/>
            </w:tblGrid>
            <w:tr w:rsidR="00F05DC7" w14:paraId="7954AA31" w14:textId="77777777" w:rsidTr="00A3786D">
              <w:trPr>
                <w:tblHeader/>
              </w:trPr>
              <w:tc>
                <w:tcPr>
                  <w:tcW w:w="917" w:type="pct"/>
                  <w:tcBorders>
                    <w:top w:val="single" w:sz="6" w:space="0" w:color="BFBFBF"/>
                    <w:bottom w:val="single" w:sz="6" w:space="0" w:color="BFBFBF"/>
                  </w:tcBorders>
                  <w:shd w:val="clear" w:color="auto" w:fill="auto"/>
                  <w:tcMar>
                    <w:top w:w="28" w:type="dxa"/>
                  </w:tcMar>
                </w:tcPr>
                <w:p w14:paraId="7954AA2E" w14:textId="77777777" w:rsidR="00F05DC7" w:rsidRDefault="00F05DC7" w:rsidP="00A3786D">
                  <w:pPr>
                    <w:pStyle w:val="TableColumnHeading"/>
                    <w:jc w:val="left"/>
                  </w:pPr>
                  <w:r>
                    <w:t>Equalisation benchmark</w:t>
                  </w:r>
                </w:p>
              </w:tc>
              <w:tc>
                <w:tcPr>
                  <w:tcW w:w="2252" w:type="pct"/>
                  <w:gridSpan w:val="4"/>
                  <w:tcBorders>
                    <w:top w:val="single" w:sz="6" w:space="0" w:color="BFBFBF"/>
                    <w:bottom w:val="single" w:sz="6" w:space="0" w:color="BFBFBF"/>
                  </w:tcBorders>
                </w:tcPr>
                <w:p w14:paraId="7954AA2F" w14:textId="77777777" w:rsidR="00F05DC7" w:rsidRDefault="00F05DC7" w:rsidP="00A3786D">
                  <w:pPr>
                    <w:pStyle w:val="TableColumnHeading"/>
                    <w:jc w:val="center"/>
                  </w:pPr>
                  <w:r>
                    <w:t>Equalisation task</w:t>
                  </w:r>
                  <w:r>
                    <w:br/>
                    <w:t>(per cent of GST pool</w:t>
                  </w:r>
                  <w:r w:rsidRPr="005F04D9">
                    <w:rPr>
                      <w:rStyle w:val="NoteLabel"/>
                    </w:rPr>
                    <w:t>a</w:t>
                  </w:r>
                  <w:r>
                    <w:t>)</w:t>
                  </w:r>
                </w:p>
              </w:tc>
              <w:tc>
                <w:tcPr>
                  <w:tcW w:w="1831" w:type="pct"/>
                  <w:gridSpan w:val="3"/>
                  <w:tcBorders>
                    <w:top w:val="single" w:sz="6" w:space="0" w:color="BFBFBF"/>
                    <w:bottom w:val="single" w:sz="6" w:space="0" w:color="BFBFBF"/>
                  </w:tcBorders>
                  <w:shd w:val="clear" w:color="auto" w:fill="auto"/>
                  <w:tcMar>
                    <w:top w:w="28" w:type="dxa"/>
                  </w:tcMar>
                </w:tcPr>
                <w:p w14:paraId="7954AA30" w14:textId="77777777" w:rsidR="00F05DC7" w:rsidRDefault="00F05DC7" w:rsidP="00A3786D">
                  <w:pPr>
                    <w:pStyle w:val="TableColumnHeading"/>
                    <w:ind w:right="28"/>
                    <w:jc w:val="center"/>
                  </w:pPr>
                  <w:r>
                    <w:t>Relativity ranges</w:t>
                  </w:r>
                </w:p>
              </w:tc>
            </w:tr>
            <w:tr w:rsidR="00F05DC7" w14:paraId="7954AA3A" w14:textId="77777777" w:rsidTr="00A3786D">
              <w:tc>
                <w:tcPr>
                  <w:tcW w:w="917" w:type="pct"/>
                  <w:tcBorders>
                    <w:top w:val="single" w:sz="6" w:space="0" w:color="BFBFBF"/>
                  </w:tcBorders>
                </w:tcPr>
                <w:p w14:paraId="7954AA32" w14:textId="77777777" w:rsidR="00F05DC7" w:rsidRPr="00FD3829" w:rsidRDefault="00F05DC7" w:rsidP="00A3786D">
                  <w:pPr>
                    <w:pStyle w:val="TableUnitsRow"/>
                    <w:jc w:val="left"/>
                    <w:rPr>
                      <w:i/>
                    </w:rPr>
                  </w:pPr>
                  <w:r>
                    <w:rPr>
                      <w:i/>
                    </w:rPr>
                    <w:t>Year end</w:t>
                  </w:r>
                  <w:r w:rsidRPr="00FD3829">
                    <w:rPr>
                      <w:i/>
                    </w:rPr>
                    <w:t xml:space="preserve"> June</w:t>
                  </w:r>
                </w:p>
              </w:tc>
              <w:tc>
                <w:tcPr>
                  <w:tcW w:w="500" w:type="pct"/>
                  <w:tcBorders>
                    <w:top w:val="single" w:sz="6" w:space="0" w:color="BFBFBF"/>
                  </w:tcBorders>
                  <w:vAlign w:val="center"/>
                </w:tcPr>
                <w:p w14:paraId="7954AA33" w14:textId="77777777" w:rsidR="00F05DC7" w:rsidRPr="005F04D9" w:rsidRDefault="00F05DC7" w:rsidP="00A3786D">
                  <w:pPr>
                    <w:pStyle w:val="TableUnitsRow"/>
                    <w:jc w:val="center"/>
                    <w:rPr>
                      <w:i/>
                    </w:rPr>
                  </w:pPr>
                  <w:r w:rsidRPr="005F04D9">
                    <w:rPr>
                      <w:i/>
                    </w:rPr>
                    <w:t>2000–07 average</w:t>
                  </w:r>
                </w:p>
              </w:tc>
              <w:tc>
                <w:tcPr>
                  <w:tcW w:w="584" w:type="pct"/>
                  <w:tcBorders>
                    <w:top w:val="single" w:sz="6" w:space="0" w:color="BFBFBF"/>
                  </w:tcBorders>
                  <w:vAlign w:val="center"/>
                </w:tcPr>
                <w:p w14:paraId="7954AA34" w14:textId="77777777" w:rsidR="00F05DC7" w:rsidRPr="005F04D9" w:rsidRDefault="00F05DC7" w:rsidP="00A3786D">
                  <w:pPr>
                    <w:pStyle w:val="TableUnitsRow"/>
                    <w:jc w:val="center"/>
                    <w:rPr>
                      <w:i/>
                    </w:rPr>
                  </w:pPr>
                  <w:r w:rsidRPr="005F04D9">
                    <w:rPr>
                      <w:i/>
                    </w:rPr>
                    <w:t>2008–17 average</w:t>
                  </w:r>
                </w:p>
              </w:tc>
              <w:tc>
                <w:tcPr>
                  <w:tcW w:w="500" w:type="pct"/>
                  <w:tcBorders>
                    <w:top w:val="single" w:sz="6" w:space="0" w:color="BFBFBF"/>
                  </w:tcBorders>
                  <w:vAlign w:val="center"/>
                </w:tcPr>
                <w:p w14:paraId="7954AA35" w14:textId="77777777" w:rsidR="00F05DC7" w:rsidRPr="005F04D9" w:rsidRDefault="00F05DC7" w:rsidP="00A3786D">
                  <w:pPr>
                    <w:pStyle w:val="TableUnitsRow"/>
                    <w:jc w:val="center"/>
                    <w:rPr>
                      <w:i/>
                    </w:rPr>
                  </w:pPr>
                  <w:r w:rsidRPr="005F04D9">
                    <w:rPr>
                      <w:i/>
                    </w:rPr>
                    <w:t>2017</w:t>
                  </w:r>
                  <w:r>
                    <w:rPr>
                      <w:i/>
                    </w:rPr>
                    <w:noBreakHyphen/>
                    <w:t>18</w:t>
                  </w:r>
                </w:p>
              </w:tc>
              <w:tc>
                <w:tcPr>
                  <w:tcW w:w="668" w:type="pct"/>
                  <w:tcBorders>
                    <w:top w:val="single" w:sz="6" w:space="0" w:color="BFBFBF"/>
                  </w:tcBorders>
                </w:tcPr>
                <w:p w14:paraId="7954AA36" w14:textId="77777777" w:rsidR="00F05DC7" w:rsidRPr="005F04D9" w:rsidRDefault="00F05DC7" w:rsidP="00A3786D">
                  <w:pPr>
                    <w:pStyle w:val="TableUnitsRow"/>
                    <w:jc w:val="center"/>
                    <w:rPr>
                      <w:i/>
                    </w:rPr>
                  </w:pPr>
                  <w:r>
                    <w:rPr>
                      <w:i/>
                    </w:rPr>
                    <w:t>2018–20 average</w:t>
                  </w:r>
                </w:p>
              </w:tc>
              <w:tc>
                <w:tcPr>
                  <w:tcW w:w="666" w:type="pct"/>
                  <w:tcBorders>
                    <w:top w:val="single" w:sz="6" w:space="0" w:color="BFBFBF"/>
                  </w:tcBorders>
                  <w:vAlign w:val="center"/>
                </w:tcPr>
                <w:p w14:paraId="7954AA37" w14:textId="77777777" w:rsidR="00F05DC7" w:rsidRPr="005F04D9" w:rsidRDefault="00F05DC7" w:rsidP="00A3786D">
                  <w:pPr>
                    <w:pStyle w:val="TableUnitsRow"/>
                    <w:jc w:val="center"/>
                    <w:rPr>
                      <w:i/>
                    </w:rPr>
                  </w:pPr>
                  <w:r w:rsidRPr="005F04D9">
                    <w:rPr>
                      <w:i/>
                    </w:rPr>
                    <w:t>2000–07</w:t>
                  </w:r>
                </w:p>
              </w:tc>
              <w:tc>
                <w:tcPr>
                  <w:tcW w:w="583" w:type="pct"/>
                  <w:tcBorders>
                    <w:top w:val="single" w:sz="6" w:space="0" w:color="BFBFBF"/>
                  </w:tcBorders>
                  <w:vAlign w:val="center"/>
                </w:tcPr>
                <w:p w14:paraId="7954AA38" w14:textId="77777777" w:rsidR="00F05DC7" w:rsidRPr="005F04D9" w:rsidRDefault="00F05DC7" w:rsidP="00A3786D">
                  <w:pPr>
                    <w:pStyle w:val="TableUnitsRow"/>
                    <w:ind w:right="28"/>
                    <w:jc w:val="center"/>
                    <w:rPr>
                      <w:i/>
                    </w:rPr>
                  </w:pPr>
                  <w:r w:rsidRPr="005F04D9">
                    <w:rPr>
                      <w:i/>
                    </w:rPr>
                    <w:t>2008–17</w:t>
                  </w:r>
                </w:p>
              </w:tc>
              <w:tc>
                <w:tcPr>
                  <w:tcW w:w="582" w:type="pct"/>
                  <w:tcBorders>
                    <w:top w:val="single" w:sz="6" w:space="0" w:color="BFBFBF"/>
                  </w:tcBorders>
                  <w:vAlign w:val="center"/>
                </w:tcPr>
                <w:p w14:paraId="7954AA39" w14:textId="77777777" w:rsidR="00F05DC7" w:rsidRPr="005F04D9" w:rsidRDefault="00F05DC7" w:rsidP="00A3786D">
                  <w:pPr>
                    <w:pStyle w:val="TableUnitsRow"/>
                    <w:ind w:right="28"/>
                    <w:jc w:val="center"/>
                    <w:rPr>
                      <w:i/>
                    </w:rPr>
                  </w:pPr>
                  <w:r>
                    <w:rPr>
                      <w:i/>
                    </w:rPr>
                    <w:t>2018–20</w:t>
                  </w:r>
                </w:p>
              </w:tc>
            </w:tr>
            <w:tr w:rsidR="00F05DC7" w14:paraId="7954AA43" w14:textId="77777777" w:rsidTr="00A3786D">
              <w:tc>
                <w:tcPr>
                  <w:tcW w:w="917" w:type="pct"/>
                  <w:tcBorders>
                    <w:top w:val="single" w:sz="6" w:space="0" w:color="BFBFBF"/>
                  </w:tcBorders>
                </w:tcPr>
                <w:p w14:paraId="7954AA3B" w14:textId="77777777" w:rsidR="00F05DC7" w:rsidRDefault="00F05DC7" w:rsidP="00A3786D">
                  <w:pPr>
                    <w:pStyle w:val="TableUnitsRow"/>
                    <w:jc w:val="left"/>
                  </w:pPr>
                  <w:r>
                    <w:t>Current approach</w:t>
                  </w:r>
                </w:p>
              </w:tc>
              <w:tc>
                <w:tcPr>
                  <w:tcW w:w="500" w:type="pct"/>
                  <w:tcBorders>
                    <w:top w:val="single" w:sz="6" w:space="0" w:color="BFBFBF"/>
                  </w:tcBorders>
                  <w:vAlign w:val="center"/>
                </w:tcPr>
                <w:p w14:paraId="7954AA3C" w14:textId="77777777" w:rsidR="00F05DC7" w:rsidRDefault="00F05DC7" w:rsidP="00A3786D">
                  <w:pPr>
                    <w:pStyle w:val="TableUnitsRow"/>
                    <w:jc w:val="center"/>
                  </w:pPr>
                  <w:r>
                    <w:t>6.84</w:t>
                  </w:r>
                </w:p>
              </w:tc>
              <w:tc>
                <w:tcPr>
                  <w:tcW w:w="584" w:type="pct"/>
                  <w:tcBorders>
                    <w:top w:val="single" w:sz="6" w:space="0" w:color="BFBFBF"/>
                  </w:tcBorders>
                  <w:vAlign w:val="center"/>
                </w:tcPr>
                <w:p w14:paraId="7954AA3D" w14:textId="77777777" w:rsidR="00F05DC7" w:rsidRDefault="00F05DC7" w:rsidP="00A3786D">
                  <w:pPr>
                    <w:pStyle w:val="TableUnitsRow"/>
                    <w:jc w:val="center"/>
                  </w:pPr>
                  <w:r>
                    <w:t>9.62</w:t>
                  </w:r>
                </w:p>
              </w:tc>
              <w:tc>
                <w:tcPr>
                  <w:tcW w:w="500" w:type="pct"/>
                  <w:tcBorders>
                    <w:top w:val="single" w:sz="6" w:space="0" w:color="BFBFBF"/>
                  </w:tcBorders>
                  <w:vAlign w:val="center"/>
                </w:tcPr>
                <w:p w14:paraId="7954AA3E" w14:textId="77777777" w:rsidR="00F05DC7" w:rsidRDefault="00F05DC7" w:rsidP="00A3786D">
                  <w:pPr>
                    <w:pStyle w:val="TableUnitsRow"/>
                    <w:jc w:val="center"/>
                  </w:pPr>
                  <w:r>
                    <w:t>12.52</w:t>
                  </w:r>
                </w:p>
              </w:tc>
              <w:tc>
                <w:tcPr>
                  <w:tcW w:w="668" w:type="pct"/>
                  <w:tcBorders>
                    <w:top w:val="single" w:sz="6" w:space="0" w:color="BFBFBF"/>
                  </w:tcBorders>
                  <w:vAlign w:val="center"/>
                </w:tcPr>
                <w:p w14:paraId="7954AA3F" w14:textId="77777777" w:rsidR="00F05DC7" w:rsidRDefault="00F05DC7" w:rsidP="00A3786D">
                  <w:pPr>
                    <w:pStyle w:val="TableUnitsRow"/>
                    <w:jc w:val="center"/>
                  </w:pPr>
                  <w:r>
                    <w:t>10.75</w:t>
                  </w:r>
                </w:p>
              </w:tc>
              <w:tc>
                <w:tcPr>
                  <w:tcW w:w="666" w:type="pct"/>
                  <w:tcBorders>
                    <w:top w:val="single" w:sz="6" w:space="0" w:color="BFBFBF"/>
                  </w:tcBorders>
                  <w:vAlign w:val="center"/>
                </w:tcPr>
                <w:p w14:paraId="7954AA40" w14:textId="77777777" w:rsidR="00F05DC7" w:rsidRDefault="00F05DC7" w:rsidP="00A3786D">
                  <w:pPr>
                    <w:pStyle w:val="TableUnitsRow"/>
                    <w:jc w:val="center"/>
                  </w:pPr>
                  <w:r>
                    <w:t>0.87–4.39</w:t>
                  </w:r>
                </w:p>
              </w:tc>
              <w:tc>
                <w:tcPr>
                  <w:tcW w:w="583" w:type="pct"/>
                  <w:tcBorders>
                    <w:top w:val="single" w:sz="6" w:space="0" w:color="BFBFBF"/>
                  </w:tcBorders>
                  <w:vAlign w:val="center"/>
                </w:tcPr>
                <w:p w14:paraId="7954AA41" w14:textId="77777777" w:rsidR="00F05DC7" w:rsidRDefault="00F05DC7" w:rsidP="00A3786D">
                  <w:pPr>
                    <w:pStyle w:val="TableUnitsRow"/>
                    <w:ind w:right="28"/>
                    <w:jc w:val="center"/>
                  </w:pPr>
                  <w:r>
                    <w:t>0.30–5.66</w:t>
                  </w:r>
                </w:p>
              </w:tc>
              <w:tc>
                <w:tcPr>
                  <w:tcW w:w="582" w:type="pct"/>
                  <w:tcBorders>
                    <w:top w:val="single" w:sz="6" w:space="0" w:color="BFBFBF"/>
                  </w:tcBorders>
                  <w:vAlign w:val="center"/>
                </w:tcPr>
                <w:p w14:paraId="7954AA42" w14:textId="77777777" w:rsidR="00F05DC7" w:rsidRDefault="00F05DC7" w:rsidP="00A3786D">
                  <w:pPr>
                    <w:pStyle w:val="TableUnitsRow"/>
                    <w:ind w:right="28"/>
                    <w:jc w:val="center"/>
                  </w:pPr>
                  <w:r>
                    <w:t>0.47–4.75</w:t>
                  </w:r>
                </w:p>
              </w:tc>
            </w:tr>
            <w:tr w:rsidR="00F05DC7" w14:paraId="7954AA4C" w14:textId="77777777" w:rsidTr="00A3786D">
              <w:tc>
                <w:tcPr>
                  <w:tcW w:w="917" w:type="pct"/>
                </w:tcPr>
                <w:p w14:paraId="7954AA44" w14:textId="77777777" w:rsidR="00F05DC7" w:rsidRDefault="00F05DC7" w:rsidP="00A3786D">
                  <w:pPr>
                    <w:pStyle w:val="TableBodyText"/>
                    <w:jc w:val="left"/>
                  </w:pPr>
                  <w:r>
                    <w:t>90 per cent full equalisation</w:t>
                  </w:r>
                </w:p>
              </w:tc>
              <w:tc>
                <w:tcPr>
                  <w:tcW w:w="500" w:type="pct"/>
                  <w:vAlign w:val="center"/>
                </w:tcPr>
                <w:p w14:paraId="7954AA45" w14:textId="77777777" w:rsidR="00F05DC7" w:rsidRDefault="00F05DC7" w:rsidP="00A3786D">
                  <w:pPr>
                    <w:pStyle w:val="TableBodyText"/>
                    <w:jc w:val="center"/>
                  </w:pPr>
                  <w:r>
                    <w:t>6.16</w:t>
                  </w:r>
                </w:p>
              </w:tc>
              <w:tc>
                <w:tcPr>
                  <w:tcW w:w="584" w:type="pct"/>
                  <w:vAlign w:val="center"/>
                </w:tcPr>
                <w:p w14:paraId="7954AA46" w14:textId="77777777" w:rsidR="00F05DC7" w:rsidRDefault="00F05DC7" w:rsidP="00A3786D">
                  <w:pPr>
                    <w:pStyle w:val="TableBodyText"/>
                    <w:jc w:val="center"/>
                  </w:pPr>
                  <w:r>
                    <w:t>8.66</w:t>
                  </w:r>
                </w:p>
              </w:tc>
              <w:tc>
                <w:tcPr>
                  <w:tcW w:w="500" w:type="pct"/>
                  <w:vAlign w:val="center"/>
                </w:tcPr>
                <w:p w14:paraId="7954AA47" w14:textId="77777777" w:rsidR="00F05DC7" w:rsidRDefault="00F05DC7" w:rsidP="00A3786D">
                  <w:pPr>
                    <w:pStyle w:val="TableBodyText"/>
                    <w:jc w:val="center"/>
                  </w:pPr>
                  <w:r>
                    <w:t>11.27</w:t>
                  </w:r>
                </w:p>
              </w:tc>
              <w:tc>
                <w:tcPr>
                  <w:tcW w:w="668" w:type="pct"/>
                  <w:vAlign w:val="center"/>
                </w:tcPr>
                <w:p w14:paraId="7954AA48" w14:textId="77777777" w:rsidR="00F05DC7" w:rsidRDefault="00F05DC7" w:rsidP="00A3786D">
                  <w:pPr>
                    <w:pStyle w:val="TableBodyText"/>
                    <w:jc w:val="center"/>
                  </w:pPr>
                  <w:r>
                    <w:t>9.68</w:t>
                  </w:r>
                </w:p>
              </w:tc>
              <w:tc>
                <w:tcPr>
                  <w:tcW w:w="666" w:type="pct"/>
                  <w:vAlign w:val="center"/>
                </w:tcPr>
                <w:p w14:paraId="7954AA49" w14:textId="77777777" w:rsidR="00F05DC7" w:rsidRDefault="00F05DC7" w:rsidP="00A3786D">
                  <w:pPr>
                    <w:pStyle w:val="TableBodyText"/>
                    <w:jc w:val="center"/>
                  </w:pPr>
                  <w:r>
                    <w:t>0.88–4.05</w:t>
                  </w:r>
                </w:p>
              </w:tc>
              <w:tc>
                <w:tcPr>
                  <w:tcW w:w="583" w:type="pct"/>
                  <w:vAlign w:val="center"/>
                </w:tcPr>
                <w:p w14:paraId="7954AA4A" w14:textId="77777777" w:rsidR="00F05DC7" w:rsidRDefault="00F05DC7" w:rsidP="00A3786D">
                  <w:pPr>
                    <w:pStyle w:val="TableBodyText"/>
                    <w:ind w:right="28"/>
                    <w:jc w:val="center"/>
                  </w:pPr>
                  <w:r>
                    <w:t>0.37–5.21</w:t>
                  </w:r>
                </w:p>
              </w:tc>
              <w:tc>
                <w:tcPr>
                  <w:tcW w:w="582" w:type="pct"/>
                  <w:vAlign w:val="center"/>
                </w:tcPr>
                <w:p w14:paraId="7954AA4B" w14:textId="77777777" w:rsidR="00F05DC7" w:rsidRDefault="00F05DC7" w:rsidP="00A3786D">
                  <w:pPr>
                    <w:pStyle w:val="TableBodyText"/>
                    <w:ind w:right="28"/>
                    <w:jc w:val="center"/>
                  </w:pPr>
                  <w:r>
                    <w:t>0.53–4.39</w:t>
                  </w:r>
                </w:p>
              </w:tc>
            </w:tr>
            <w:tr w:rsidR="00F05DC7" w14:paraId="7954AA55" w14:textId="77777777" w:rsidTr="00A3786D">
              <w:tc>
                <w:tcPr>
                  <w:tcW w:w="917" w:type="pct"/>
                </w:tcPr>
                <w:p w14:paraId="7954AA4D" w14:textId="77777777" w:rsidR="00F05DC7" w:rsidRDefault="00F05DC7" w:rsidP="00A3786D">
                  <w:pPr>
                    <w:pStyle w:val="TableBodyText"/>
                    <w:jc w:val="left"/>
                  </w:pPr>
                  <w:r>
                    <w:t>Average of the fiscally strong States</w:t>
                  </w:r>
                </w:p>
              </w:tc>
              <w:tc>
                <w:tcPr>
                  <w:tcW w:w="500" w:type="pct"/>
                  <w:vAlign w:val="center"/>
                </w:tcPr>
                <w:p w14:paraId="7954AA4E" w14:textId="77777777" w:rsidR="00F05DC7" w:rsidRDefault="00F05DC7" w:rsidP="00A3786D">
                  <w:pPr>
                    <w:pStyle w:val="TableBodyText"/>
                    <w:jc w:val="center"/>
                  </w:pPr>
                  <w:r>
                    <w:t>6.68</w:t>
                  </w:r>
                </w:p>
              </w:tc>
              <w:tc>
                <w:tcPr>
                  <w:tcW w:w="584" w:type="pct"/>
                  <w:vAlign w:val="center"/>
                </w:tcPr>
                <w:p w14:paraId="7954AA4F" w14:textId="77777777" w:rsidR="00F05DC7" w:rsidRDefault="00F05DC7" w:rsidP="00A3786D">
                  <w:pPr>
                    <w:pStyle w:val="TableBodyText"/>
                    <w:jc w:val="center"/>
                  </w:pPr>
                  <w:r>
                    <w:t>8.66</w:t>
                  </w:r>
                </w:p>
              </w:tc>
              <w:tc>
                <w:tcPr>
                  <w:tcW w:w="500" w:type="pct"/>
                  <w:vAlign w:val="center"/>
                </w:tcPr>
                <w:p w14:paraId="7954AA50" w14:textId="77777777" w:rsidR="00F05DC7" w:rsidRDefault="00F05DC7" w:rsidP="00A3786D">
                  <w:pPr>
                    <w:pStyle w:val="TableBodyText"/>
                    <w:jc w:val="center"/>
                  </w:pPr>
                  <w:r>
                    <w:t>10.95</w:t>
                  </w:r>
                </w:p>
              </w:tc>
              <w:tc>
                <w:tcPr>
                  <w:tcW w:w="668" w:type="pct"/>
                  <w:vAlign w:val="center"/>
                </w:tcPr>
                <w:p w14:paraId="7954AA51" w14:textId="77777777" w:rsidR="00F05DC7" w:rsidRDefault="00F05DC7" w:rsidP="00A3786D">
                  <w:pPr>
                    <w:pStyle w:val="TableBodyText"/>
                    <w:jc w:val="center"/>
                  </w:pPr>
                  <w:r>
                    <w:t>9.71</w:t>
                  </w:r>
                </w:p>
              </w:tc>
              <w:tc>
                <w:tcPr>
                  <w:tcW w:w="666" w:type="pct"/>
                  <w:vAlign w:val="center"/>
                </w:tcPr>
                <w:p w14:paraId="7954AA52" w14:textId="77777777" w:rsidR="00F05DC7" w:rsidRDefault="00F05DC7" w:rsidP="00A3786D">
                  <w:pPr>
                    <w:pStyle w:val="TableBodyText"/>
                    <w:jc w:val="center"/>
                  </w:pPr>
                  <w:r>
                    <w:t>0.87–4.38</w:t>
                  </w:r>
                </w:p>
              </w:tc>
              <w:tc>
                <w:tcPr>
                  <w:tcW w:w="583" w:type="pct"/>
                  <w:vAlign w:val="center"/>
                </w:tcPr>
                <w:p w14:paraId="7954AA53" w14:textId="77777777" w:rsidR="00F05DC7" w:rsidRDefault="00F05DC7" w:rsidP="00A3786D">
                  <w:pPr>
                    <w:pStyle w:val="TableBodyText"/>
                    <w:ind w:right="28"/>
                    <w:jc w:val="center"/>
                  </w:pPr>
                  <w:r>
                    <w:t>0.76–5.63</w:t>
                  </w:r>
                </w:p>
              </w:tc>
              <w:tc>
                <w:tcPr>
                  <w:tcW w:w="582" w:type="pct"/>
                  <w:vAlign w:val="center"/>
                </w:tcPr>
                <w:p w14:paraId="7954AA54" w14:textId="77777777" w:rsidR="00F05DC7" w:rsidRDefault="00F05DC7" w:rsidP="00A3786D">
                  <w:pPr>
                    <w:pStyle w:val="TableBodyText"/>
                    <w:ind w:right="28"/>
                    <w:jc w:val="center"/>
                  </w:pPr>
                  <w:r>
                    <w:t>0.81–4.73</w:t>
                  </w:r>
                </w:p>
              </w:tc>
            </w:tr>
            <w:tr w:rsidR="00F05DC7" w14:paraId="7954AA5E" w14:textId="77777777" w:rsidTr="00A3786D">
              <w:tc>
                <w:tcPr>
                  <w:tcW w:w="917" w:type="pct"/>
                </w:tcPr>
                <w:p w14:paraId="7954AA56" w14:textId="77777777" w:rsidR="00F05DC7" w:rsidRDefault="00F05DC7" w:rsidP="00A3786D">
                  <w:pPr>
                    <w:pStyle w:val="TableBodyText"/>
                    <w:jc w:val="left"/>
                  </w:pPr>
                  <w:r>
                    <w:t>Second strongest State</w:t>
                  </w:r>
                </w:p>
              </w:tc>
              <w:tc>
                <w:tcPr>
                  <w:tcW w:w="500" w:type="pct"/>
                  <w:vAlign w:val="center"/>
                </w:tcPr>
                <w:p w14:paraId="7954AA57" w14:textId="77777777" w:rsidR="00F05DC7" w:rsidRDefault="00F05DC7" w:rsidP="00A3786D">
                  <w:pPr>
                    <w:pStyle w:val="TableBodyText"/>
                    <w:jc w:val="center"/>
                  </w:pPr>
                  <w:r>
                    <w:t>6.66</w:t>
                  </w:r>
                </w:p>
              </w:tc>
              <w:tc>
                <w:tcPr>
                  <w:tcW w:w="584" w:type="pct"/>
                  <w:vAlign w:val="center"/>
                </w:tcPr>
                <w:p w14:paraId="7954AA58" w14:textId="77777777" w:rsidR="00F05DC7" w:rsidRDefault="00F05DC7" w:rsidP="00A3786D">
                  <w:pPr>
                    <w:pStyle w:val="TableBodyText"/>
                    <w:jc w:val="center"/>
                  </w:pPr>
                  <w:r>
                    <w:t>8.55</w:t>
                  </w:r>
                </w:p>
              </w:tc>
              <w:tc>
                <w:tcPr>
                  <w:tcW w:w="500" w:type="pct"/>
                  <w:vAlign w:val="center"/>
                </w:tcPr>
                <w:p w14:paraId="7954AA59" w14:textId="77777777" w:rsidR="00F05DC7" w:rsidRDefault="00F05DC7" w:rsidP="00A3786D">
                  <w:pPr>
                    <w:pStyle w:val="TableBodyText"/>
                    <w:jc w:val="center"/>
                  </w:pPr>
                  <w:r>
                    <w:t>10.75</w:t>
                  </w:r>
                </w:p>
              </w:tc>
              <w:tc>
                <w:tcPr>
                  <w:tcW w:w="668" w:type="pct"/>
                  <w:vAlign w:val="center"/>
                </w:tcPr>
                <w:p w14:paraId="7954AA5A" w14:textId="77777777" w:rsidR="00F05DC7" w:rsidRDefault="00F05DC7" w:rsidP="00A3786D">
                  <w:pPr>
                    <w:pStyle w:val="TableBodyText"/>
                    <w:jc w:val="center"/>
                  </w:pPr>
                  <w:r>
                    <w:t>9.86</w:t>
                  </w:r>
                </w:p>
              </w:tc>
              <w:tc>
                <w:tcPr>
                  <w:tcW w:w="666" w:type="pct"/>
                  <w:vAlign w:val="center"/>
                </w:tcPr>
                <w:p w14:paraId="7954AA5B" w14:textId="77777777" w:rsidR="00F05DC7" w:rsidRDefault="00F05DC7" w:rsidP="00A3786D">
                  <w:pPr>
                    <w:pStyle w:val="TableBodyText"/>
                    <w:jc w:val="center"/>
                  </w:pPr>
                  <w:r>
                    <w:t>0.87–4.39</w:t>
                  </w:r>
                </w:p>
              </w:tc>
              <w:tc>
                <w:tcPr>
                  <w:tcW w:w="583" w:type="pct"/>
                  <w:vAlign w:val="center"/>
                </w:tcPr>
                <w:p w14:paraId="7954AA5C" w14:textId="77777777" w:rsidR="00F05DC7" w:rsidRDefault="00F05DC7" w:rsidP="00A3786D">
                  <w:pPr>
                    <w:pStyle w:val="TableBodyText"/>
                    <w:ind w:right="28"/>
                    <w:jc w:val="center"/>
                  </w:pPr>
                  <w:r>
                    <w:t>0.82–5.62</w:t>
                  </w:r>
                </w:p>
              </w:tc>
              <w:tc>
                <w:tcPr>
                  <w:tcW w:w="582" w:type="pct"/>
                  <w:vAlign w:val="center"/>
                </w:tcPr>
                <w:p w14:paraId="7954AA5D" w14:textId="77777777" w:rsidR="00F05DC7" w:rsidRDefault="00F05DC7" w:rsidP="00A3786D">
                  <w:pPr>
                    <w:pStyle w:val="TableBodyText"/>
                    <w:ind w:right="28"/>
                    <w:jc w:val="center"/>
                  </w:pPr>
                  <w:r>
                    <w:t>0.80–4.74</w:t>
                  </w:r>
                </w:p>
              </w:tc>
            </w:tr>
            <w:tr w:rsidR="00F05DC7" w14:paraId="7954AA67" w14:textId="77777777" w:rsidTr="00A3786D">
              <w:tc>
                <w:tcPr>
                  <w:tcW w:w="917" w:type="pct"/>
                </w:tcPr>
                <w:p w14:paraId="7954AA5F" w14:textId="77777777" w:rsidR="00F05DC7" w:rsidRDefault="00F05DC7" w:rsidP="00A3786D">
                  <w:pPr>
                    <w:pStyle w:val="TableBodyText"/>
                    <w:jc w:val="left"/>
                  </w:pPr>
                  <w:r>
                    <w:t>Full equalisation for smallest States</w:t>
                  </w:r>
                  <w:r w:rsidRPr="00F50FF8">
                    <w:rPr>
                      <w:rStyle w:val="NoteLabel"/>
                    </w:rPr>
                    <w:t>b</w:t>
                  </w:r>
                </w:p>
              </w:tc>
              <w:tc>
                <w:tcPr>
                  <w:tcW w:w="500" w:type="pct"/>
                  <w:vAlign w:val="center"/>
                </w:tcPr>
                <w:p w14:paraId="7954AA60" w14:textId="77777777" w:rsidR="00F05DC7" w:rsidRDefault="00F05DC7" w:rsidP="00A3786D">
                  <w:pPr>
                    <w:pStyle w:val="TableBodyText"/>
                    <w:jc w:val="center"/>
                  </w:pPr>
                  <w:r>
                    <w:t>6.33</w:t>
                  </w:r>
                </w:p>
              </w:tc>
              <w:tc>
                <w:tcPr>
                  <w:tcW w:w="584" w:type="pct"/>
                  <w:vAlign w:val="center"/>
                </w:tcPr>
                <w:p w14:paraId="7954AA61" w14:textId="77777777" w:rsidR="00F05DC7" w:rsidRDefault="00F05DC7" w:rsidP="00A3786D">
                  <w:pPr>
                    <w:pStyle w:val="TableBodyText"/>
                    <w:jc w:val="center"/>
                  </w:pPr>
                  <w:r>
                    <w:t>8.34</w:t>
                  </w:r>
                </w:p>
              </w:tc>
              <w:tc>
                <w:tcPr>
                  <w:tcW w:w="500" w:type="pct"/>
                  <w:vAlign w:val="center"/>
                </w:tcPr>
                <w:p w14:paraId="7954AA62" w14:textId="77777777" w:rsidR="00F05DC7" w:rsidRDefault="00F05DC7" w:rsidP="00A3786D">
                  <w:pPr>
                    <w:pStyle w:val="TableBodyText"/>
                    <w:jc w:val="center"/>
                  </w:pPr>
                  <w:r>
                    <w:t>8.75</w:t>
                  </w:r>
                </w:p>
              </w:tc>
              <w:tc>
                <w:tcPr>
                  <w:tcW w:w="668" w:type="pct"/>
                  <w:vAlign w:val="center"/>
                </w:tcPr>
                <w:p w14:paraId="7954AA63" w14:textId="77777777" w:rsidR="00F05DC7" w:rsidRDefault="00F05DC7" w:rsidP="00A3786D">
                  <w:pPr>
                    <w:pStyle w:val="TableBodyText"/>
                    <w:jc w:val="center"/>
                  </w:pPr>
                  <w:r>
                    <w:t>8.46</w:t>
                  </w:r>
                </w:p>
              </w:tc>
              <w:tc>
                <w:tcPr>
                  <w:tcW w:w="666" w:type="pct"/>
                  <w:vAlign w:val="center"/>
                </w:tcPr>
                <w:p w14:paraId="7954AA64" w14:textId="77777777" w:rsidR="00F05DC7" w:rsidRDefault="00F05DC7" w:rsidP="00A3786D">
                  <w:pPr>
                    <w:pStyle w:val="TableBodyText"/>
                    <w:jc w:val="center"/>
                  </w:pPr>
                  <w:r>
                    <w:t>0.92–4.39</w:t>
                  </w:r>
                </w:p>
              </w:tc>
              <w:tc>
                <w:tcPr>
                  <w:tcW w:w="583" w:type="pct"/>
                  <w:vAlign w:val="center"/>
                </w:tcPr>
                <w:p w14:paraId="7954AA65" w14:textId="77777777" w:rsidR="00F05DC7" w:rsidRDefault="00F05DC7" w:rsidP="00A3786D">
                  <w:pPr>
                    <w:pStyle w:val="TableBodyText"/>
                    <w:ind w:right="28"/>
                    <w:jc w:val="center"/>
                  </w:pPr>
                  <w:r>
                    <w:t>0.89–5.68</w:t>
                  </w:r>
                </w:p>
              </w:tc>
              <w:tc>
                <w:tcPr>
                  <w:tcW w:w="582" w:type="pct"/>
                  <w:vAlign w:val="center"/>
                </w:tcPr>
                <w:p w14:paraId="7954AA66" w14:textId="77777777" w:rsidR="00F05DC7" w:rsidRDefault="00F05DC7" w:rsidP="00A3786D">
                  <w:pPr>
                    <w:pStyle w:val="TableBodyText"/>
                    <w:ind w:right="28"/>
                    <w:jc w:val="center"/>
                  </w:pPr>
                  <w:r>
                    <w:t>0.90–4.76</w:t>
                  </w:r>
                </w:p>
              </w:tc>
            </w:tr>
            <w:tr w:rsidR="00F05DC7" w14:paraId="7954AA70" w14:textId="77777777" w:rsidTr="00A3786D">
              <w:tc>
                <w:tcPr>
                  <w:tcW w:w="917" w:type="pct"/>
                  <w:tcBorders>
                    <w:bottom w:val="single" w:sz="6" w:space="0" w:color="D9D9D9" w:themeColor="background1" w:themeShade="D9"/>
                  </w:tcBorders>
                </w:tcPr>
                <w:p w14:paraId="7954AA68" w14:textId="77777777" w:rsidR="00F05DC7" w:rsidRDefault="00F05DC7" w:rsidP="00A3786D">
                  <w:pPr>
                    <w:pStyle w:val="TableBodyText"/>
                    <w:jc w:val="left"/>
                  </w:pPr>
                  <w:r>
                    <w:t>Average of all States</w:t>
                  </w:r>
                </w:p>
              </w:tc>
              <w:tc>
                <w:tcPr>
                  <w:tcW w:w="500" w:type="pct"/>
                  <w:tcBorders>
                    <w:bottom w:val="single" w:sz="6" w:space="0" w:color="D9D9D9" w:themeColor="background1" w:themeShade="D9"/>
                  </w:tcBorders>
                  <w:vAlign w:val="center"/>
                </w:tcPr>
                <w:p w14:paraId="7954AA69" w14:textId="77777777" w:rsidR="00F05DC7" w:rsidRDefault="00F05DC7" w:rsidP="00A3786D">
                  <w:pPr>
                    <w:pStyle w:val="TableBodyText"/>
                    <w:jc w:val="center"/>
                  </w:pPr>
                  <w:r>
                    <w:t>5.46</w:t>
                  </w:r>
                </w:p>
              </w:tc>
              <w:tc>
                <w:tcPr>
                  <w:tcW w:w="584" w:type="pct"/>
                  <w:tcBorders>
                    <w:bottom w:val="single" w:sz="6" w:space="0" w:color="D9D9D9" w:themeColor="background1" w:themeShade="D9"/>
                  </w:tcBorders>
                  <w:vAlign w:val="center"/>
                </w:tcPr>
                <w:p w14:paraId="7954AA6A" w14:textId="77777777" w:rsidR="00F05DC7" w:rsidRDefault="00F05DC7" w:rsidP="00A3786D">
                  <w:pPr>
                    <w:pStyle w:val="TableBodyText"/>
                    <w:jc w:val="center"/>
                  </w:pPr>
                  <w:r>
                    <w:t>7.43</w:t>
                  </w:r>
                </w:p>
              </w:tc>
              <w:tc>
                <w:tcPr>
                  <w:tcW w:w="500" w:type="pct"/>
                  <w:tcBorders>
                    <w:bottom w:val="single" w:sz="6" w:space="0" w:color="D9D9D9" w:themeColor="background1" w:themeShade="D9"/>
                  </w:tcBorders>
                  <w:vAlign w:val="center"/>
                </w:tcPr>
                <w:p w14:paraId="7954AA6B" w14:textId="77777777" w:rsidR="00F05DC7" w:rsidRDefault="00F05DC7" w:rsidP="00A3786D">
                  <w:pPr>
                    <w:pStyle w:val="TableBodyText"/>
                    <w:jc w:val="center"/>
                  </w:pPr>
                  <w:r>
                    <w:t>8.54</w:t>
                  </w:r>
                </w:p>
              </w:tc>
              <w:tc>
                <w:tcPr>
                  <w:tcW w:w="668" w:type="pct"/>
                  <w:tcBorders>
                    <w:bottom w:val="single" w:sz="6" w:space="0" w:color="D9D9D9" w:themeColor="background1" w:themeShade="D9"/>
                  </w:tcBorders>
                  <w:vAlign w:val="center"/>
                </w:tcPr>
                <w:p w14:paraId="7954AA6C" w14:textId="77777777" w:rsidR="00F05DC7" w:rsidRDefault="00F05DC7" w:rsidP="00A3786D">
                  <w:pPr>
                    <w:pStyle w:val="TableBodyText"/>
                    <w:jc w:val="center"/>
                  </w:pPr>
                  <w:r>
                    <w:t>7.40</w:t>
                  </w:r>
                </w:p>
              </w:tc>
              <w:tc>
                <w:tcPr>
                  <w:tcW w:w="666" w:type="pct"/>
                  <w:tcBorders>
                    <w:bottom w:val="single" w:sz="6" w:space="0" w:color="D9D9D9" w:themeColor="background1" w:themeShade="D9"/>
                  </w:tcBorders>
                  <w:vAlign w:val="center"/>
                </w:tcPr>
                <w:p w14:paraId="7954AA6D" w14:textId="77777777" w:rsidR="00F05DC7" w:rsidRDefault="00F05DC7" w:rsidP="00A3786D">
                  <w:pPr>
                    <w:pStyle w:val="TableBodyText"/>
                    <w:jc w:val="center"/>
                  </w:pPr>
                  <w:r>
                    <w:t>0.92–4.32</w:t>
                  </w:r>
                </w:p>
              </w:tc>
              <w:tc>
                <w:tcPr>
                  <w:tcW w:w="583" w:type="pct"/>
                  <w:tcBorders>
                    <w:bottom w:val="single" w:sz="6" w:space="0" w:color="D9D9D9" w:themeColor="background1" w:themeShade="D9"/>
                  </w:tcBorders>
                  <w:vAlign w:val="center"/>
                </w:tcPr>
                <w:p w14:paraId="7954AA6E" w14:textId="77777777" w:rsidR="00F05DC7" w:rsidRDefault="00F05DC7" w:rsidP="00A3786D">
                  <w:pPr>
                    <w:pStyle w:val="TableBodyText"/>
                    <w:ind w:right="28"/>
                    <w:jc w:val="center"/>
                  </w:pPr>
                  <w:r>
                    <w:t>0.87–5.57</w:t>
                  </w:r>
                </w:p>
              </w:tc>
              <w:tc>
                <w:tcPr>
                  <w:tcW w:w="582" w:type="pct"/>
                  <w:tcBorders>
                    <w:bottom w:val="single" w:sz="6" w:space="0" w:color="D9D9D9" w:themeColor="background1" w:themeShade="D9"/>
                  </w:tcBorders>
                  <w:vAlign w:val="center"/>
                </w:tcPr>
                <w:p w14:paraId="7954AA6F" w14:textId="77777777" w:rsidR="00F05DC7" w:rsidRDefault="00F05DC7" w:rsidP="00A3786D">
                  <w:pPr>
                    <w:pStyle w:val="TableBodyText"/>
                    <w:ind w:right="28"/>
                    <w:jc w:val="center"/>
                  </w:pPr>
                  <w:r>
                    <w:t>0.89–4.65</w:t>
                  </w:r>
                </w:p>
              </w:tc>
            </w:tr>
          </w:tbl>
          <w:p w14:paraId="7954AA71" w14:textId="77777777" w:rsidR="00F05DC7" w:rsidRDefault="00F05DC7" w:rsidP="00A3786D">
            <w:pPr>
              <w:pStyle w:val="Box"/>
            </w:pPr>
          </w:p>
        </w:tc>
      </w:tr>
      <w:tr w:rsidR="00F05DC7" w14:paraId="7954AA74" w14:textId="77777777" w:rsidTr="00A3786D">
        <w:tc>
          <w:tcPr>
            <w:tcW w:w="5000" w:type="pct"/>
            <w:tcBorders>
              <w:top w:val="nil"/>
              <w:left w:val="nil"/>
              <w:bottom w:val="nil"/>
              <w:right w:val="nil"/>
            </w:tcBorders>
            <w:shd w:val="clear" w:color="auto" w:fill="auto"/>
          </w:tcPr>
          <w:p w14:paraId="7954AA73" w14:textId="77777777" w:rsidR="00F05DC7" w:rsidRDefault="00F05DC7" w:rsidP="00A3786D">
            <w:pPr>
              <w:pStyle w:val="Note"/>
              <w:rPr>
                <w:i/>
              </w:rPr>
            </w:pPr>
            <w:r w:rsidRPr="008E77FE">
              <w:rPr>
                <w:rStyle w:val="NoteLabel"/>
              </w:rPr>
              <w:t>a</w:t>
            </w:r>
            <w:r>
              <w:t xml:space="preserve"> The GST pool includes Health Care Grants prior to 2009. </w:t>
            </w:r>
            <w:r w:rsidRPr="00C61F75">
              <w:rPr>
                <w:rStyle w:val="NoteLabel"/>
              </w:rPr>
              <w:t>b</w:t>
            </w:r>
            <w:r>
              <w:t xml:space="preserve"> Refers to South Australia, Tasmania, the ACT and the Northern Territory. </w:t>
            </w:r>
          </w:p>
        </w:tc>
      </w:tr>
      <w:tr w:rsidR="00F05DC7" w14:paraId="7954AA76" w14:textId="77777777" w:rsidTr="00A3786D">
        <w:tc>
          <w:tcPr>
            <w:tcW w:w="5000" w:type="pct"/>
            <w:tcBorders>
              <w:top w:val="nil"/>
              <w:left w:val="nil"/>
              <w:bottom w:val="nil"/>
              <w:right w:val="nil"/>
            </w:tcBorders>
            <w:shd w:val="clear" w:color="auto" w:fill="auto"/>
          </w:tcPr>
          <w:p w14:paraId="7954AA75" w14:textId="77777777" w:rsidR="00F05DC7" w:rsidRPr="00FA6AD5" w:rsidRDefault="00F05DC7" w:rsidP="00A3786D">
            <w:pPr>
              <w:pStyle w:val="Subtitle"/>
              <w:keepNext w:val="0"/>
              <w:spacing w:before="80" w:after="0" w:line="220" w:lineRule="exact"/>
              <w:ind w:left="0"/>
              <w:jc w:val="both"/>
              <w:rPr>
                <w:szCs w:val="18"/>
              </w:rPr>
            </w:pPr>
            <w:r w:rsidRPr="00F10D28">
              <w:rPr>
                <w:i/>
                <w:sz w:val="18"/>
                <w:szCs w:val="18"/>
              </w:rPr>
              <w:t>Source</w:t>
            </w:r>
            <w:r w:rsidRPr="005F04D9">
              <w:rPr>
                <w:sz w:val="18"/>
                <w:szCs w:val="18"/>
              </w:rPr>
              <w:t>: Productivity Commission estimates based on CGC data</w:t>
            </w:r>
            <w:r>
              <w:rPr>
                <w:sz w:val="18"/>
                <w:szCs w:val="18"/>
              </w:rPr>
              <w:t xml:space="preserve"> </w:t>
            </w:r>
            <w:r>
              <w:rPr>
                <w:szCs w:val="18"/>
              </w:rPr>
              <w:t>(pers. comm., 10 July 2017)</w:t>
            </w:r>
            <w:r>
              <w:rPr>
                <w:sz w:val="18"/>
                <w:szCs w:val="18"/>
              </w:rPr>
              <w:t xml:space="preserve">, and assumptions and methodology outlined in appendix F. </w:t>
            </w:r>
          </w:p>
        </w:tc>
      </w:tr>
      <w:tr w:rsidR="00F05DC7" w14:paraId="7954AA78" w14:textId="77777777" w:rsidTr="00A3786D">
        <w:tc>
          <w:tcPr>
            <w:tcW w:w="5000" w:type="pct"/>
            <w:tcBorders>
              <w:top w:val="nil"/>
              <w:left w:val="nil"/>
              <w:bottom w:val="single" w:sz="6" w:space="0" w:color="78A22F"/>
              <w:right w:val="nil"/>
            </w:tcBorders>
            <w:shd w:val="clear" w:color="auto" w:fill="auto"/>
          </w:tcPr>
          <w:p w14:paraId="7954AA77" w14:textId="77777777" w:rsidR="00F05DC7" w:rsidRDefault="00F05DC7" w:rsidP="00A3786D">
            <w:pPr>
              <w:pStyle w:val="Box"/>
              <w:spacing w:before="0" w:line="120" w:lineRule="exact"/>
            </w:pPr>
          </w:p>
        </w:tc>
      </w:tr>
      <w:tr w:rsidR="00F05DC7" w:rsidRPr="000863A5" w14:paraId="7954AA7A" w14:textId="77777777" w:rsidTr="00A3786D">
        <w:tc>
          <w:tcPr>
            <w:tcW w:w="5000" w:type="pct"/>
            <w:tcBorders>
              <w:top w:val="single" w:sz="6" w:space="0" w:color="78A22F"/>
              <w:left w:val="nil"/>
              <w:bottom w:val="nil"/>
              <w:right w:val="nil"/>
            </w:tcBorders>
          </w:tcPr>
          <w:p w14:paraId="7954AA79" w14:textId="77777777" w:rsidR="00F05DC7" w:rsidRPr="00626D32" w:rsidRDefault="00F05DC7" w:rsidP="00A3786D">
            <w:pPr>
              <w:pStyle w:val="BoxSpaceBelow"/>
            </w:pPr>
          </w:p>
        </w:tc>
      </w:tr>
    </w:tbl>
    <w:p w14:paraId="7954AA7B" w14:textId="77777777" w:rsidR="00F05DC7" w:rsidRDefault="00F05DC7" w:rsidP="00A3786D">
      <w:pPr>
        <w:pStyle w:val="BodyText"/>
      </w:pPr>
      <w:r>
        <w:t xml:space="preserve">Each of these alternatives </w:t>
      </w:r>
      <w:r w:rsidDel="00084EED">
        <w:t>are forms of</w:t>
      </w:r>
      <w:r>
        <w:t xml:space="preserve"> equalisation that could potentially be used to meet the Commission’s proposed revised objective of a reasonable (rather than the same) standard of equalisation. The preferred approach is that which best balances </w:t>
      </w:r>
      <w:r w:rsidDel="00C344BF">
        <w:t xml:space="preserve">the </w:t>
      </w:r>
      <w:r>
        <w:t xml:space="preserve">potential benefits (in terms of greater fairness and increased policy neutrality (efficiency)) with the potential costs (in terms of less fiscal capacity equalisation). </w:t>
      </w:r>
    </w:p>
    <w:p w14:paraId="7954AA7C" w14:textId="77777777" w:rsidR="00F05DC7" w:rsidRDefault="00F05DC7">
      <w:pPr>
        <w:pStyle w:val="BodyText"/>
      </w:pPr>
      <w:r>
        <w:br w:type="page"/>
      </w:r>
    </w:p>
    <w:p w14:paraId="7954AA7D" w14:textId="77777777" w:rsidR="00F05DC7" w:rsidRDefault="00F05DC7">
      <w:pPr>
        <w:pStyle w:val="BodyText"/>
        <w:sectPr w:rsidR="00F05DC7" w:rsidSect="00F05DC7">
          <w:headerReference w:type="even" r:id="rId143"/>
          <w:headerReference w:type="default" r:id="rId144"/>
          <w:footerReference w:type="even" r:id="rId145"/>
          <w:footerReference w:type="default" r:id="rId146"/>
          <w:type w:val="oddPage"/>
          <w:pgSz w:w="11907" w:h="16840" w:code="9"/>
          <w:pgMar w:top="1985" w:right="1304" w:bottom="1247" w:left="1814" w:header="1701" w:footer="397" w:gutter="0"/>
          <w:pgNumType w:chapSep="period"/>
          <w:cols w:space="720"/>
          <w:docGrid w:linePitch="326"/>
        </w:sectPr>
      </w:pPr>
    </w:p>
    <w:p w14:paraId="7954AA7E"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F05DC7" w14:paraId="7954AA80" w14:textId="77777777" w:rsidTr="00A3786D">
        <w:trPr>
          <w:tblHeader/>
        </w:trPr>
        <w:tc>
          <w:tcPr>
            <w:tcW w:w="5000" w:type="pct"/>
            <w:tcBorders>
              <w:top w:val="single" w:sz="6" w:space="0" w:color="78A22F"/>
              <w:left w:val="nil"/>
              <w:bottom w:val="nil"/>
              <w:right w:val="nil"/>
            </w:tcBorders>
            <w:shd w:val="clear" w:color="auto" w:fill="auto"/>
          </w:tcPr>
          <w:p w14:paraId="7954AA7F" w14:textId="3F207377" w:rsidR="00F05DC7" w:rsidRPr="00176D3F" w:rsidRDefault="00F05DC7" w:rsidP="00A3786D">
            <w:pPr>
              <w:pStyle w:val="FigureTitle"/>
            </w:pPr>
            <w:r w:rsidRPr="00784A05">
              <w:rPr>
                <w:b w:val="0"/>
              </w:rPr>
              <w:t xml:space="preserve">Figure </w:t>
            </w:r>
            <w:r>
              <w:rPr>
                <w:b w:val="0"/>
              </w:rPr>
              <w:t>8.4</w:t>
            </w:r>
            <w:r>
              <w:tab/>
              <w:t>The equalisation task under alternative benchmarks</w:t>
            </w:r>
            <w:r w:rsidRPr="005F04D9">
              <w:rPr>
                <w:rStyle w:val="NoteLabel"/>
                <w:b/>
              </w:rPr>
              <w:t>a</w:t>
            </w:r>
          </w:p>
        </w:tc>
      </w:tr>
      <w:tr w:rsidR="00F05DC7" w14:paraId="7954AA84"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2750"/>
            </w:tblGrid>
            <w:tr w:rsidR="00F05DC7" w:rsidRPr="00B1465D" w14:paraId="7954AA82" w14:textId="77777777" w:rsidTr="00A3786D">
              <w:trPr>
                <w:tblHeader/>
                <w:jc w:val="center"/>
              </w:trPr>
              <w:tc>
                <w:tcPr>
                  <w:tcW w:w="5000" w:type="pct"/>
                  <w:tcBorders>
                    <w:top w:val="nil"/>
                    <w:bottom w:val="nil"/>
                  </w:tcBorders>
                </w:tcPr>
                <w:p w14:paraId="7954AA81" w14:textId="77777777" w:rsidR="00F05DC7" w:rsidRPr="00B1465D" w:rsidRDefault="00F05DC7" w:rsidP="00A3786D">
                  <w:pPr>
                    <w:pStyle w:val="Figure"/>
                    <w:spacing w:before="60" w:after="60"/>
                    <w:rPr>
                      <w:rFonts w:ascii="Arial" w:hAnsi="Arial" w:cs="Arial"/>
                      <w:sz w:val="18"/>
                      <w:szCs w:val="18"/>
                    </w:rPr>
                  </w:pPr>
                  <w:r w:rsidRPr="00E67A67">
                    <w:rPr>
                      <w:rFonts w:ascii="Arial" w:hAnsi="Arial" w:cs="Arial"/>
                      <w:noProof/>
                      <w:sz w:val="18"/>
                      <w:szCs w:val="18"/>
                    </w:rPr>
                    <w:drawing>
                      <wp:inline distT="0" distB="0" distL="0" distR="0" wp14:anchorId="7954D623" wp14:editId="7954D624">
                        <wp:extent cx="8094345" cy="3598545"/>
                        <wp:effectExtent l="0" t="0" r="1905" b="1905"/>
                        <wp:docPr id="82" name="Picture 82" descr="Compared to alternative benchmarks, the size of the equalisation task is greatest under current arrangements, and would remain so for the duration of the forward estimates. &#10;90 per cent full equalisation, equalisation to the second strongest State, and equalisation to the average of the fiscally strong States tend to result in a similar size of equalisation task. The size of the equalisation task is smallest under equalising to the average, and is close to that for full equalisation for the smallest States on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094345" cy="3598545"/>
                                </a:xfrm>
                                <a:prstGeom prst="rect">
                                  <a:avLst/>
                                </a:prstGeom>
                                <a:noFill/>
                                <a:ln>
                                  <a:noFill/>
                                </a:ln>
                              </pic:spPr>
                            </pic:pic>
                          </a:graphicData>
                        </a:graphic>
                      </wp:inline>
                    </w:drawing>
                  </w:r>
                </w:p>
              </w:tc>
            </w:tr>
          </w:tbl>
          <w:p w14:paraId="7954AA83" w14:textId="77777777" w:rsidR="00F05DC7" w:rsidRDefault="00F05DC7" w:rsidP="00A3786D">
            <w:pPr>
              <w:pStyle w:val="Figure"/>
            </w:pPr>
          </w:p>
        </w:tc>
      </w:tr>
      <w:tr w:rsidR="00F05DC7" w:rsidRPr="00176D3F" w14:paraId="7954AA86" w14:textId="77777777" w:rsidTr="00A3786D">
        <w:tc>
          <w:tcPr>
            <w:tcW w:w="5000" w:type="pct"/>
            <w:tcBorders>
              <w:top w:val="nil"/>
              <w:left w:val="nil"/>
              <w:bottom w:val="nil"/>
              <w:right w:val="nil"/>
            </w:tcBorders>
            <w:shd w:val="clear" w:color="auto" w:fill="auto"/>
          </w:tcPr>
          <w:p w14:paraId="7954AA85" w14:textId="77777777" w:rsidR="00F05DC7" w:rsidRPr="00176D3F" w:rsidRDefault="00F05DC7" w:rsidP="00A3786D">
            <w:pPr>
              <w:pStyle w:val="Note"/>
            </w:pPr>
            <w:r>
              <w:rPr>
                <w:rStyle w:val="NoteLabel"/>
              </w:rPr>
              <w:t>a</w:t>
            </w:r>
            <w:r>
              <w:t xml:space="preserve"> The pool includes Health Care Grants prior to 2009. Dashed sections denote projections using the GST relativity estimates and assumptions for growth in the GST pool outlined in chapter 9 and appendix F.</w:t>
            </w:r>
          </w:p>
        </w:tc>
      </w:tr>
      <w:tr w:rsidR="00F05DC7" w:rsidRPr="00176D3F" w14:paraId="7954AA88" w14:textId="77777777" w:rsidTr="00A3786D">
        <w:tc>
          <w:tcPr>
            <w:tcW w:w="5000" w:type="pct"/>
            <w:tcBorders>
              <w:top w:val="nil"/>
              <w:left w:val="nil"/>
              <w:bottom w:val="nil"/>
              <w:right w:val="nil"/>
            </w:tcBorders>
            <w:shd w:val="clear" w:color="auto" w:fill="auto"/>
          </w:tcPr>
          <w:p w14:paraId="7954AA87" w14:textId="641EEFA2" w:rsidR="00F05DC7" w:rsidRPr="00176D3F" w:rsidRDefault="00F05DC7" w:rsidP="00A3786D">
            <w:pPr>
              <w:pStyle w:val="Source"/>
            </w:pPr>
            <w:r w:rsidRPr="005F04D9">
              <w:rPr>
                <w:i/>
                <w:szCs w:val="18"/>
              </w:rPr>
              <w:t>Source</w:t>
            </w:r>
            <w:r>
              <w:rPr>
                <w:i/>
                <w:szCs w:val="18"/>
              </w:rPr>
              <w:t>s</w:t>
            </w:r>
            <w:r w:rsidRPr="005F04D9">
              <w:rPr>
                <w:szCs w:val="18"/>
              </w:rPr>
              <w:t xml:space="preserve">: </w:t>
            </w:r>
            <w:r>
              <w:rPr>
                <w:szCs w:val="18"/>
              </w:rPr>
              <w:t>Productivity Commission estimates to 2018</w:t>
            </w:r>
            <w:r>
              <w:rPr>
                <w:szCs w:val="18"/>
              </w:rPr>
              <w:noBreakHyphen/>
              <w:t xml:space="preserve">19 based on CGC data (pers. comm., 10 July 2017), and CGC </w:t>
            </w:r>
            <w:r w:rsidR="009D6331" w:rsidRPr="009D6331">
              <w:rPr>
                <w:rFonts w:cs="Arial"/>
              </w:rPr>
              <w:t>(2018h)</w:t>
            </w:r>
            <w:r>
              <w:rPr>
                <w:szCs w:val="18"/>
              </w:rPr>
              <w:t>. Estimates between 2018</w:t>
            </w:r>
            <w:r>
              <w:rPr>
                <w:szCs w:val="18"/>
              </w:rPr>
              <w:noBreakHyphen/>
              <w:t>19 and 2021</w:t>
            </w:r>
            <w:r>
              <w:rPr>
                <w:szCs w:val="18"/>
              </w:rPr>
              <w:noBreakHyphen/>
              <w:t>22 based on assumptions outlined in appendix F.</w:t>
            </w:r>
          </w:p>
        </w:tc>
      </w:tr>
      <w:tr w:rsidR="00F05DC7" w14:paraId="7954AA8A" w14:textId="77777777" w:rsidTr="00A3786D">
        <w:tc>
          <w:tcPr>
            <w:tcW w:w="5000" w:type="pct"/>
            <w:tcBorders>
              <w:top w:val="nil"/>
              <w:left w:val="nil"/>
              <w:bottom w:val="single" w:sz="6" w:space="0" w:color="78A22F"/>
              <w:right w:val="nil"/>
            </w:tcBorders>
            <w:shd w:val="clear" w:color="auto" w:fill="auto"/>
          </w:tcPr>
          <w:p w14:paraId="7954AA89" w14:textId="77777777" w:rsidR="00F05DC7" w:rsidRDefault="00F05DC7" w:rsidP="00A3786D">
            <w:pPr>
              <w:pStyle w:val="Figurespace"/>
            </w:pPr>
          </w:p>
        </w:tc>
      </w:tr>
      <w:tr w:rsidR="00F05DC7" w:rsidRPr="000863A5" w14:paraId="7954AA8C" w14:textId="77777777" w:rsidTr="00A3786D">
        <w:tc>
          <w:tcPr>
            <w:tcW w:w="5000" w:type="pct"/>
            <w:tcBorders>
              <w:top w:val="single" w:sz="6" w:space="0" w:color="78A22F"/>
              <w:left w:val="nil"/>
              <w:bottom w:val="nil"/>
              <w:right w:val="nil"/>
            </w:tcBorders>
          </w:tcPr>
          <w:p w14:paraId="7954AA8B" w14:textId="77777777" w:rsidR="00F05DC7" w:rsidRPr="00626D32" w:rsidRDefault="00F05DC7" w:rsidP="00A3786D">
            <w:pPr>
              <w:pStyle w:val="BoxSpaceBelow"/>
            </w:pPr>
          </w:p>
        </w:tc>
      </w:tr>
    </w:tbl>
    <w:p w14:paraId="7954AA8D" w14:textId="77777777" w:rsidR="00F05DC7" w:rsidRDefault="00F05DC7">
      <w:pPr>
        <w:pStyle w:val="BodyText"/>
      </w:pPr>
    </w:p>
    <w:p w14:paraId="7954AA8E" w14:textId="77777777" w:rsidR="00F05DC7" w:rsidRDefault="00F05DC7">
      <w:pPr>
        <w:pStyle w:val="BodyText"/>
        <w:sectPr w:rsidR="00F05DC7" w:rsidSect="00F05DC7">
          <w:headerReference w:type="even" r:id="rId148"/>
          <w:headerReference w:type="default" r:id="rId149"/>
          <w:footerReference w:type="even" r:id="rId150"/>
          <w:footerReference w:type="default" r:id="rId151"/>
          <w:pgSz w:w="16840" w:h="11907" w:orient="landscape" w:code="9"/>
          <w:pgMar w:top="1814" w:right="1985" w:bottom="1304" w:left="1418" w:header="1701" w:footer="567" w:gutter="0"/>
          <w:pgNumType w:chapSep="period"/>
          <w:cols w:space="720"/>
          <w:docGrid w:linePitch="326"/>
        </w:sectPr>
      </w:pPr>
    </w:p>
    <w:p w14:paraId="7954AA8F" w14:textId="68CA5A63" w:rsidR="00F05DC7" w:rsidRDefault="00F05DC7" w:rsidP="00A3786D">
      <w:pPr>
        <w:pStyle w:val="Heading2"/>
        <w:spacing w:before="0"/>
      </w:pPr>
      <w:bookmarkStart w:id="109" w:name="_Toc513637737"/>
      <w:r>
        <w:lastRenderedPageBreak/>
        <w:t>8.4</w:t>
      </w:r>
      <w:r>
        <w:tab/>
        <w:t>How do the alternative benchmarks stack up?</w:t>
      </w:r>
      <w:bookmarkEnd w:id="109"/>
    </w:p>
    <w:p w14:paraId="7954AA90" w14:textId="77777777" w:rsidR="00F05DC7" w:rsidRDefault="00F05DC7" w:rsidP="00A3786D">
      <w:pPr>
        <w:pStyle w:val="BodyText"/>
      </w:pPr>
      <w:r>
        <w:t xml:space="preserve">The Commission has assessed the relative merits of each of the alternative equalisation options against the criteria of equity, efficiency, and where relevant, transparency and accountability (as outlined in the framework in chapter 1). </w:t>
      </w:r>
    </w:p>
    <w:p w14:paraId="7954AA91" w14:textId="47064E78" w:rsidR="00F05DC7" w:rsidRDefault="00F05DC7" w:rsidP="00A3786D">
      <w:pPr>
        <w:pStyle w:val="BodyText"/>
      </w:pPr>
      <w:r>
        <w:t xml:space="preserve">Under this framework, the notion of equity incorporates an element of fiscal equality (to address States’ inherent advantages and disadvantages, and enable them to provide a reasonable </w:t>
      </w:r>
      <w:r w:rsidR="00BD5FD6">
        <w:t>standard</w:t>
      </w:r>
      <w:r>
        <w:t xml:space="preserve"> of services). It also incorporates the concept of fairness (in that there is a degree of reward for policy effort). Balancing fiscal equality and fairness, therefore, does not necessarily mean that fiscal capacities have to be equal.</w:t>
      </w:r>
    </w:p>
    <w:p w14:paraId="7954AA92" w14:textId="77777777" w:rsidR="00F05DC7" w:rsidRPr="00C31199" w:rsidRDefault="00F05DC7" w:rsidP="00A3786D">
      <w:pPr>
        <w:pStyle w:val="BodyText"/>
      </w:pPr>
      <w:r>
        <w:t>And while HFE should enable equity, it is important that the system does not discourage policy reforms that enhance efficiency, productivity or growth. This is the efficiency dimension of the Commission’s assessment framework. The final component of the assessment relates to transparency and accountability.</w:t>
      </w:r>
    </w:p>
    <w:p w14:paraId="7954AA93" w14:textId="77777777" w:rsidR="00F05DC7" w:rsidRDefault="00F05DC7" w:rsidP="00A3786D">
      <w:pPr>
        <w:pStyle w:val="Heading3"/>
      </w:pPr>
      <w:r>
        <w:t>Comparing the equity implications of the alternative benchmarks</w:t>
      </w:r>
    </w:p>
    <w:p w14:paraId="7954AA94" w14:textId="25C20288" w:rsidR="00F05DC7" w:rsidRDefault="00F05DC7" w:rsidP="00A3786D">
      <w:pPr>
        <w:pStyle w:val="BodyText"/>
      </w:pPr>
      <w:r>
        <w:t xml:space="preserve">A number of submissions to the draft report highlighted what they considered would be the equity implications of less than full equalisation, in which the fiscal capacities of States are no longer equal (as in the current system). The main concern was that the fiscally weaker States would no longer be able to fund key services and that the fiscally strongest States would be able to provide a higher </w:t>
      </w:r>
      <w:r w:rsidR="00BD5FD6">
        <w:t>standard</w:t>
      </w:r>
      <w:r>
        <w:t xml:space="preserve"> of services and/or lower taxes compared with other states (box 8.2). The Commission’s overall assessment of the expected fiscal equality and fairness effects of the alternative benchmarks is provided in table 8.4.</w:t>
      </w:r>
    </w:p>
    <w:p w14:paraId="7954AA95"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F05DC7" w14:paraId="7954AA97" w14:textId="77777777" w:rsidTr="00A3786D">
        <w:trPr>
          <w:tblHeader/>
        </w:trPr>
        <w:tc>
          <w:tcPr>
            <w:tcW w:w="5000" w:type="pct"/>
            <w:tcBorders>
              <w:top w:val="single" w:sz="6" w:space="0" w:color="78A22F"/>
              <w:left w:val="nil"/>
              <w:bottom w:val="nil"/>
              <w:right w:val="nil"/>
            </w:tcBorders>
            <w:shd w:val="clear" w:color="auto" w:fill="F2F2F2"/>
            <w:hideMark/>
          </w:tcPr>
          <w:p w14:paraId="7954AA96" w14:textId="0A0C3333" w:rsidR="00F05DC7" w:rsidRDefault="00F05DC7" w:rsidP="00A3786D">
            <w:pPr>
              <w:pStyle w:val="BoxTitle"/>
            </w:pPr>
            <w:r>
              <w:rPr>
                <w:b w:val="0"/>
              </w:rPr>
              <w:t>Box 8.2</w:t>
            </w:r>
            <w:r>
              <w:tab/>
              <w:t>Participant concerns about equity and the equalisation standard</w:t>
            </w:r>
          </w:p>
        </w:tc>
      </w:tr>
      <w:tr w:rsidR="00F05DC7" w14:paraId="7954AAA2" w14:textId="77777777" w:rsidTr="00A3786D">
        <w:tc>
          <w:tcPr>
            <w:tcW w:w="5000" w:type="pct"/>
            <w:tcBorders>
              <w:top w:val="nil"/>
              <w:left w:val="nil"/>
              <w:bottom w:val="nil"/>
              <w:right w:val="nil"/>
            </w:tcBorders>
            <w:shd w:val="clear" w:color="auto" w:fill="F2F2F2"/>
            <w:hideMark/>
          </w:tcPr>
          <w:p w14:paraId="7954AA98" w14:textId="77777777" w:rsidR="00F05DC7" w:rsidRDefault="00F05DC7" w:rsidP="00A3786D">
            <w:pPr>
              <w:pStyle w:val="Box"/>
            </w:pPr>
            <w:r>
              <w:t>A number of participants to this inquiry raised concerns about the equity implications of moving away from the current system of full equalisation. For example, the Treasurer of the Northern Territory stated that:</w:t>
            </w:r>
          </w:p>
          <w:p w14:paraId="7954AA99" w14:textId="77777777" w:rsidR="00F05DC7" w:rsidRDefault="00F05DC7" w:rsidP="00A3786D">
            <w:pPr>
              <w:pStyle w:val="BoxQuote"/>
            </w:pPr>
            <w:r>
              <w:t>If adopted, these changes could permanently reduce the standard of services and infrastructure in the Territory and Territorians would be worse off. This means worse roads, fewer teachers, fewer nurses, poorer quality infrastructure to support Territorians, fewer health services, fewer police on the beat. If adopted, these changes will simply make the rich states richer and the poorer jurisdictions like the Territory poorer. (trans., pp. 371–2)</w:t>
            </w:r>
          </w:p>
          <w:p w14:paraId="7954AA9A" w14:textId="77777777" w:rsidR="00F05DC7" w:rsidRDefault="00F05DC7" w:rsidP="00A3786D">
            <w:pPr>
              <w:pStyle w:val="Box"/>
            </w:pPr>
            <w:r>
              <w:t>The Government of South Australia also stated that:</w:t>
            </w:r>
          </w:p>
          <w:p w14:paraId="7954AA9B" w14:textId="77777777" w:rsidR="00F05DC7" w:rsidRDefault="00F05DC7" w:rsidP="00A3786D">
            <w:pPr>
              <w:pStyle w:val="BoxQuote"/>
            </w:pPr>
            <w:r>
              <w:t>A move away from a full equalisation objective would automatically mean that there is acceptance by the Commonwealth Government and broader community that certain States would be in a position to provide a higher level of services or reduce State taxation to a greater extent than other States. (sub. DR89, p. 5)</w:t>
            </w:r>
          </w:p>
          <w:p w14:paraId="7954AA9C" w14:textId="77777777" w:rsidR="00F05DC7" w:rsidRDefault="00F05DC7" w:rsidP="00A3786D">
            <w:pPr>
              <w:pStyle w:val="Box"/>
            </w:pPr>
            <w:r>
              <w:t xml:space="preserve">Similarly, the CGC argued (with respect to equalisation to the second strongest State specifically) that if the fiscally strongest State: </w:t>
            </w:r>
          </w:p>
          <w:p w14:paraId="7954AA9D" w14:textId="77777777" w:rsidR="00F05DC7" w:rsidRDefault="00F05DC7" w:rsidP="00A3786D">
            <w:pPr>
              <w:pStyle w:val="BoxQuote"/>
            </w:pPr>
            <w:r>
              <w:t>… remained the fiscally strongest State over the intermediate term, it would be able to:</w:t>
            </w:r>
          </w:p>
          <w:p w14:paraId="7954AA9E" w14:textId="77777777" w:rsidR="00F05DC7" w:rsidRDefault="00F05DC7" w:rsidP="00A3786D">
            <w:pPr>
              <w:pStyle w:val="BoxQuoteBullet"/>
            </w:pPr>
            <w:r>
              <w:t>provide services in excess of the average and/or</w:t>
            </w:r>
          </w:p>
          <w:p w14:paraId="7954AA9F" w14:textId="77777777" w:rsidR="00F05DC7" w:rsidRDefault="00F05DC7" w:rsidP="00A3786D">
            <w:pPr>
              <w:pStyle w:val="BoxQuoteBullet"/>
            </w:pPr>
            <w:r>
              <w:t>provide services of a higher quality than the average and/or</w:t>
            </w:r>
          </w:p>
          <w:p w14:paraId="7954AAA0" w14:textId="77777777" w:rsidR="00F05DC7" w:rsidRDefault="00F05DC7" w:rsidP="00A3786D">
            <w:pPr>
              <w:pStyle w:val="BoxQuoteBullet"/>
            </w:pPr>
            <w:r>
              <w:t>levy lower than average own</w:t>
            </w:r>
            <w:r>
              <w:noBreakHyphen/>
              <w:t>source taxes and charges and/or</w:t>
            </w:r>
          </w:p>
          <w:p w14:paraId="7954AAA1" w14:textId="77777777" w:rsidR="00F05DC7" w:rsidRDefault="00F05DC7" w:rsidP="00A3786D">
            <w:pPr>
              <w:pStyle w:val="BoxQuoteBullet"/>
            </w:pPr>
            <w:r>
              <w:t>retire debt at a faster rate than other States. (sub. DR61, p. 6)</w:t>
            </w:r>
          </w:p>
        </w:tc>
      </w:tr>
      <w:tr w:rsidR="00F05DC7" w14:paraId="7954AAA4" w14:textId="77777777" w:rsidTr="00A3786D">
        <w:tc>
          <w:tcPr>
            <w:tcW w:w="5000" w:type="pct"/>
            <w:tcBorders>
              <w:top w:val="nil"/>
              <w:left w:val="nil"/>
              <w:bottom w:val="single" w:sz="6" w:space="0" w:color="78A22F"/>
              <w:right w:val="nil"/>
            </w:tcBorders>
            <w:shd w:val="clear" w:color="auto" w:fill="F2F2F2"/>
          </w:tcPr>
          <w:p w14:paraId="7954AAA3" w14:textId="77777777" w:rsidR="00F05DC7" w:rsidRDefault="00F05DC7" w:rsidP="00A3786D">
            <w:pPr>
              <w:pStyle w:val="Box"/>
              <w:spacing w:before="0" w:line="120" w:lineRule="exact"/>
            </w:pPr>
          </w:p>
        </w:tc>
      </w:tr>
      <w:tr w:rsidR="00F05DC7" w14:paraId="7954AAA6" w14:textId="77777777" w:rsidTr="00A3786D">
        <w:tc>
          <w:tcPr>
            <w:tcW w:w="5000" w:type="pct"/>
            <w:tcBorders>
              <w:top w:val="single" w:sz="6" w:space="0" w:color="78A22F"/>
              <w:left w:val="nil"/>
              <w:bottom w:val="nil"/>
              <w:right w:val="nil"/>
            </w:tcBorders>
            <w:hideMark/>
          </w:tcPr>
          <w:p w14:paraId="7954AAA5" w14:textId="77777777" w:rsidR="00F05DC7" w:rsidRDefault="00F05DC7" w:rsidP="00A3786D">
            <w:pPr>
              <w:pStyle w:val="BoxSpaceBelow"/>
            </w:pPr>
          </w:p>
        </w:tc>
      </w:tr>
    </w:tbl>
    <w:p w14:paraId="7954AAA7" w14:textId="77777777" w:rsidR="00F05DC7" w:rsidRDefault="00F05DC7" w:rsidP="00A3786D">
      <w:pPr>
        <w:pStyle w:val="Heading4"/>
      </w:pPr>
      <w:r>
        <w:t xml:space="preserve">Equity in the distribution of GST does not require equal fiscal capacities </w:t>
      </w:r>
    </w:p>
    <w:p w14:paraId="7954AAA8" w14:textId="743A4269" w:rsidR="00F05DC7" w:rsidRDefault="00F05DC7" w:rsidP="00A3786D">
      <w:pPr>
        <w:pStyle w:val="BodyText"/>
      </w:pPr>
      <w:r>
        <w:t xml:space="preserve">Although most of the alternatives discussed above would provide some States with a lower fiscal capacity compared with other States, this does not necessarily mean that fiscal equality would be compromised. The relevant assessment criteria is whether the equalisation benchmark would provide States with the fiscal capacity to provide a reasonable </w:t>
      </w:r>
      <w:r w:rsidR="00BD5FD6">
        <w:t>standard</w:t>
      </w:r>
      <w:r>
        <w:t xml:space="preserve"> of services. Thus, when considering the relative fiscal equity impacts of alternative benchmarks, it is not necessarily the case that the option with the least fiscal impact is the best option overall — as these impacts need to be weighed against the potential fairness and efficiency benefits of the alternative options. </w:t>
      </w:r>
    </w:p>
    <w:p w14:paraId="7954AAA9"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AAB" w14:textId="77777777" w:rsidTr="00A3786D">
        <w:trPr>
          <w:tblHeader/>
        </w:trPr>
        <w:tc>
          <w:tcPr>
            <w:tcW w:w="5000" w:type="pct"/>
            <w:tcBorders>
              <w:top w:val="single" w:sz="6" w:space="0" w:color="78A22F"/>
              <w:left w:val="nil"/>
              <w:bottom w:val="nil"/>
              <w:right w:val="nil"/>
            </w:tcBorders>
            <w:shd w:val="clear" w:color="auto" w:fill="auto"/>
          </w:tcPr>
          <w:p w14:paraId="7954AAAA" w14:textId="5C2D9EA7" w:rsidR="00F05DC7" w:rsidRPr="00784A05" w:rsidRDefault="00F05DC7" w:rsidP="00A3786D">
            <w:pPr>
              <w:pStyle w:val="TableTitle"/>
            </w:pPr>
            <w:r>
              <w:rPr>
                <w:b w:val="0"/>
              </w:rPr>
              <w:t>Table 8.4</w:t>
            </w:r>
            <w:r>
              <w:tab/>
              <w:t>Possible equity effects of the alternative equalisation benchmarks</w:t>
            </w:r>
          </w:p>
        </w:tc>
      </w:tr>
      <w:tr w:rsidR="00F05DC7" w14:paraId="7954AACD" w14:textId="77777777" w:rsidTr="00A3786D">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576"/>
              <w:gridCol w:w="2977"/>
              <w:gridCol w:w="2977"/>
            </w:tblGrid>
            <w:tr w:rsidR="00F05DC7" w14:paraId="7954AAAF" w14:textId="77777777" w:rsidTr="00A3786D">
              <w:trPr>
                <w:tblHeader/>
              </w:trPr>
              <w:tc>
                <w:tcPr>
                  <w:tcW w:w="1510" w:type="pct"/>
                  <w:tcBorders>
                    <w:top w:val="single" w:sz="6" w:space="0" w:color="BFBFBF"/>
                    <w:bottom w:val="single" w:sz="6" w:space="0" w:color="BFBFBF"/>
                  </w:tcBorders>
                  <w:shd w:val="clear" w:color="auto" w:fill="auto"/>
                  <w:tcMar>
                    <w:top w:w="28" w:type="dxa"/>
                  </w:tcMar>
                  <w:vAlign w:val="bottom"/>
                </w:tcPr>
                <w:p w14:paraId="7954AAAC" w14:textId="77777777" w:rsidR="00F05DC7" w:rsidRDefault="00F05DC7" w:rsidP="00A3786D">
                  <w:pPr>
                    <w:pStyle w:val="TableColumnHeading"/>
                    <w:jc w:val="left"/>
                  </w:pPr>
                  <w:r>
                    <w:t>Benchmark</w:t>
                  </w:r>
                </w:p>
              </w:tc>
              <w:tc>
                <w:tcPr>
                  <w:tcW w:w="1745" w:type="pct"/>
                  <w:tcBorders>
                    <w:top w:val="single" w:sz="6" w:space="0" w:color="BFBFBF"/>
                    <w:bottom w:val="single" w:sz="6" w:space="0" w:color="BFBFBF"/>
                  </w:tcBorders>
                  <w:vAlign w:val="bottom"/>
                </w:tcPr>
                <w:p w14:paraId="7954AAAD" w14:textId="77777777" w:rsidR="00F05DC7" w:rsidRDefault="00F05DC7" w:rsidP="00A3786D">
                  <w:pPr>
                    <w:pStyle w:val="TableColumnHeading"/>
                    <w:jc w:val="left"/>
                  </w:pPr>
                  <w:r>
                    <w:t>Fairness</w:t>
                  </w:r>
                </w:p>
              </w:tc>
              <w:tc>
                <w:tcPr>
                  <w:tcW w:w="1745" w:type="pct"/>
                  <w:tcBorders>
                    <w:top w:val="single" w:sz="6" w:space="0" w:color="BFBFBF"/>
                    <w:bottom w:val="single" w:sz="6" w:space="0" w:color="BFBFBF"/>
                  </w:tcBorders>
                  <w:shd w:val="clear" w:color="auto" w:fill="auto"/>
                  <w:tcMar>
                    <w:top w:w="28" w:type="dxa"/>
                  </w:tcMar>
                  <w:vAlign w:val="bottom"/>
                </w:tcPr>
                <w:p w14:paraId="7954AAAE" w14:textId="77777777" w:rsidR="00F05DC7" w:rsidRDefault="00F05DC7" w:rsidP="00A3786D">
                  <w:pPr>
                    <w:pStyle w:val="TableColumnHeading"/>
                    <w:ind w:right="28"/>
                    <w:jc w:val="left"/>
                  </w:pPr>
                  <w:r>
                    <w:t>Fiscal equality (no transition) relative to current approach</w:t>
                  </w:r>
                  <w:r w:rsidRPr="00555D0A">
                    <w:rPr>
                      <w:rStyle w:val="NoteLabel"/>
                    </w:rPr>
                    <w:t>a</w:t>
                  </w:r>
                </w:p>
              </w:tc>
            </w:tr>
            <w:tr w:rsidR="00F05DC7" w14:paraId="7954AAB5" w14:textId="77777777" w:rsidTr="00A3786D">
              <w:tc>
                <w:tcPr>
                  <w:tcW w:w="1510" w:type="pct"/>
                  <w:tcBorders>
                    <w:top w:val="single" w:sz="6" w:space="0" w:color="BFBFBF"/>
                  </w:tcBorders>
                </w:tcPr>
                <w:p w14:paraId="7954AAB0" w14:textId="77777777" w:rsidR="00F05DC7" w:rsidRDefault="00F05DC7" w:rsidP="00A3786D">
                  <w:pPr>
                    <w:pStyle w:val="TableUnitsRow"/>
                    <w:jc w:val="left"/>
                  </w:pPr>
                  <w:r>
                    <w:t xml:space="preserve">90 per cent full equalisation </w:t>
                  </w:r>
                </w:p>
              </w:tc>
              <w:tc>
                <w:tcPr>
                  <w:tcW w:w="1745" w:type="pct"/>
                  <w:tcBorders>
                    <w:top w:val="single" w:sz="6" w:space="0" w:color="BFBFBF"/>
                  </w:tcBorders>
                </w:tcPr>
                <w:p w14:paraId="7954AAB1" w14:textId="77777777" w:rsidR="00F05DC7" w:rsidRDefault="00F05DC7" w:rsidP="00A3786D">
                  <w:pPr>
                    <w:pStyle w:val="TableBullet"/>
                  </w:pPr>
                  <w:r>
                    <w:t xml:space="preserve">Small reduction in disincentives for all States, slightly increasing the potential for greater reward for policy effort </w:t>
                  </w:r>
                </w:p>
              </w:tc>
              <w:tc>
                <w:tcPr>
                  <w:tcW w:w="1745" w:type="pct"/>
                  <w:tcBorders>
                    <w:top w:val="single" w:sz="6" w:space="0" w:color="BFBFBF"/>
                  </w:tcBorders>
                </w:tcPr>
                <w:p w14:paraId="7954AAB2" w14:textId="77777777" w:rsidR="00F05DC7" w:rsidRDefault="00F05DC7" w:rsidP="00A3786D">
                  <w:pPr>
                    <w:pStyle w:val="TableBullet"/>
                  </w:pPr>
                  <w:r>
                    <w:t>Small gains in total State revenue for NSW and WA</w:t>
                  </w:r>
                </w:p>
                <w:p w14:paraId="7954AAB3" w14:textId="77777777" w:rsidR="00F05DC7" w:rsidRDefault="00F05DC7" w:rsidP="00A3786D">
                  <w:pPr>
                    <w:pStyle w:val="TableBullet"/>
                  </w:pPr>
                  <w:r>
                    <w:t>No change in total State revenue for Vic</w:t>
                  </w:r>
                </w:p>
                <w:p w14:paraId="7954AAB4" w14:textId="77777777" w:rsidR="00F05DC7" w:rsidRDefault="00F05DC7" w:rsidP="00A3786D">
                  <w:pPr>
                    <w:pStyle w:val="TableBullet"/>
                  </w:pPr>
                  <w:r>
                    <w:t xml:space="preserve">Average change in GST payments as a share of State revenue (excluding WA, NSW and Vic): </w:t>
                  </w:r>
                  <w:r>
                    <w:noBreakHyphen/>
                    <w:t>1.5 per cent</w:t>
                  </w:r>
                </w:p>
              </w:tc>
            </w:tr>
            <w:tr w:rsidR="00F05DC7" w14:paraId="7954AABA" w14:textId="77777777" w:rsidTr="00A3786D">
              <w:tc>
                <w:tcPr>
                  <w:tcW w:w="1510" w:type="pct"/>
                </w:tcPr>
                <w:p w14:paraId="7954AAB6" w14:textId="77777777" w:rsidR="00F05DC7" w:rsidRDefault="00F05DC7" w:rsidP="00A3786D">
                  <w:pPr>
                    <w:pStyle w:val="TableBodyText"/>
                    <w:jc w:val="left"/>
                  </w:pPr>
                  <w:r>
                    <w:t>Equalisation to the average of the fiscally strong States</w:t>
                  </w:r>
                </w:p>
              </w:tc>
              <w:tc>
                <w:tcPr>
                  <w:tcW w:w="1745" w:type="pct"/>
                </w:tcPr>
                <w:p w14:paraId="7954AAB7" w14:textId="77777777" w:rsidR="00F05DC7" w:rsidRDefault="00F05DC7" w:rsidP="00A3786D">
                  <w:pPr>
                    <w:pStyle w:val="TableBullet"/>
                  </w:pPr>
                  <w:r>
                    <w:t>Greater reward for effort for those States above the equalisation benchmark — likely one to two States (currently WA)</w:t>
                  </w:r>
                </w:p>
              </w:tc>
              <w:tc>
                <w:tcPr>
                  <w:tcW w:w="1745" w:type="pct"/>
                </w:tcPr>
                <w:p w14:paraId="7954AAB8" w14:textId="77777777" w:rsidR="00F05DC7" w:rsidRDefault="00F05DC7" w:rsidP="00A3786D">
                  <w:pPr>
                    <w:pStyle w:val="TableBullet"/>
                  </w:pPr>
                  <w:r>
                    <w:t>Total revenue gain of 7.8 per cent for WA</w:t>
                  </w:r>
                </w:p>
                <w:p w14:paraId="7954AAB9" w14:textId="77777777" w:rsidR="00F05DC7" w:rsidRDefault="00F05DC7" w:rsidP="00A3786D">
                  <w:pPr>
                    <w:pStyle w:val="TableBullet"/>
                  </w:pPr>
                  <w:r>
                    <w:t xml:space="preserve">Average change in GST payments as a share of State revenue (excluding WA): </w:t>
                  </w:r>
                  <w:r>
                    <w:noBreakHyphen/>
                    <w:t>0.9 per cent</w:t>
                  </w:r>
                </w:p>
              </w:tc>
            </w:tr>
            <w:tr w:rsidR="00F05DC7" w14:paraId="7954AAC0" w14:textId="77777777" w:rsidTr="00A3786D">
              <w:tc>
                <w:tcPr>
                  <w:tcW w:w="1510" w:type="pct"/>
                </w:tcPr>
                <w:p w14:paraId="7954AABB" w14:textId="77777777" w:rsidR="00F05DC7" w:rsidRDefault="00F05DC7" w:rsidP="00A3786D">
                  <w:pPr>
                    <w:pStyle w:val="TableBodyText"/>
                    <w:jc w:val="left"/>
                  </w:pPr>
                  <w:r>
                    <w:t>Equalisation to the second strongest State</w:t>
                  </w:r>
                </w:p>
              </w:tc>
              <w:tc>
                <w:tcPr>
                  <w:tcW w:w="1745" w:type="pct"/>
                </w:tcPr>
                <w:p w14:paraId="7954AABC" w14:textId="77777777" w:rsidR="00F05DC7" w:rsidRDefault="00F05DC7" w:rsidP="00A3786D">
                  <w:pPr>
                    <w:pStyle w:val="TableBullet"/>
                  </w:pPr>
                  <w:r>
                    <w:t xml:space="preserve">Greater reward for effort for the strongest State (currently WA) </w:t>
                  </w:r>
                </w:p>
                <w:p w14:paraId="7954AABD" w14:textId="77777777" w:rsidR="00F05DC7" w:rsidRDefault="00F05DC7" w:rsidP="00A3786D">
                  <w:pPr>
                    <w:pStyle w:val="TableBullet"/>
                  </w:pPr>
                  <w:r>
                    <w:t>Possibly some increase in reward for effort for second strongest State (currently NSW)</w:t>
                  </w:r>
                </w:p>
              </w:tc>
              <w:tc>
                <w:tcPr>
                  <w:tcW w:w="1745" w:type="pct"/>
                </w:tcPr>
                <w:p w14:paraId="7954AABE" w14:textId="77777777" w:rsidR="00F05DC7" w:rsidRDefault="00F05DC7" w:rsidP="00A3786D">
                  <w:pPr>
                    <w:pStyle w:val="TableBullet"/>
                  </w:pPr>
                  <w:r>
                    <w:t>Fiscal gain for WA (8.0 per cent of total revenue)</w:t>
                  </w:r>
                </w:p>
                <w:p w14:paraId="7954AABF" w14:textId="77777777" w:rsidR="00F05DC7" w:rsidRDefault="00F05DC7" w:rsidP="00A3786D">
                  <w:pPr>
                    <w:pStyle w:val="TableBullet"/>
                  </w:pPr>
                  <w:r>
                    <w:t xml:space="preserve">Average change in GST payments as a share of State revenue (excluding WA): </w:t>
                  </w:r>
                  <w:r>
                    <w:noBreakHyphen/>
                    <w:t>0.9 per cent</w:t>
                  </w:r>
                </w:p>
              </w:tc>
            </w:tr>
            <w:tr w:rsidR="00F05DC7" w14:paraId="7954AAC6" w14:textId="77777777" w:rsidTr="00A3786D">
              <w:tc>
                <w:tcPr>
                  <w:tcW w:w="1510" w:type="pct"/>
                </w:tcPr>
                <w:p w14:paraId="7954AAC1" w14:textId="77777777" w:rsidR="00F05DC7" w:rsidRDefault="00F05DC7" w:rsidP="00A3786D">
                  <w:pPr>
                    <w:pStyle w:val="TableBodyText"/>
                    <w:jc w:val="left"/>
                  </w:pPr>
                  <w:r>
                    <w:t>Full equalisation for the smallest States</w:t>
                  </w:r>
                </w:p>
              </w:tc>
              <w:tc>
                <w:tcPr>
                  <w:tcW w:w="1745" w:type="pct"/>
                </w:tcPr>
                <w:p w14:paraId="7954AAC2" w14:textId="77777777" w:rsidR="00F05DC7" w:rsidRDefault="00F05DC7" w:rsidP="00A3786D">
                  <w:pPr>
                    <w:pStyle w:val="TableBullet"/>
                  </w:pPr>
                  <w:r>
                    <w:t>Greater reward for effort for the largest States (those receiving an EPC amount of GST)</w:t>
                  </w:r>
                </w:p>
                <w:p w14:paraId="7954AAC3" w14:textId="77777777" w:rsidR="00F05DC7" w:rsidRDefault="00F05DC7" w:rsidP="00A3786D">
                  <w:pPr>
                    <w:pStyle w:val="TableBullet"/>
                  </w:pPr>
                  <w:r>
                    <w:t>No change for smaller States</w:t>
                  </w:r>
                </w:p>
              </w:tc>
              <w:tc>
                <w:tcPr>
                  <w:tcW w:w="1745" w:type="pct"/>
                </w:tcPr>
                <w:p w14:paraId="7954AAC4" w14:textId="77777777" w:rsidR="00F05DC7" w:rsidRDefault="00F05DC7" w:rsidP="00A3786D">
                  <w:pPr>
                    <w:pStyle w:val="TableBullet"/>
                  </w:pPr>
                  <w:r>
                    <w:t>No fiscal impact on smallest States</w:t>
                  </w:r>
                </w:p>
                <w:p w14:paraId="7954AAC5" w14:textId="77777777" w:rsidR="00F05DC7" w:rsidRDefault="00F05DC7" w:rsidP="00A3786D">
                  <w:pPr>
                    <w:pStyle w:val="TableBullet"/>
                  </w:pPr>
                  <w:r>
                    <w:t>Fiscal gain for NSW (1.2 per cent of total revenue) and WA (10.0 per cent of total revenue); fiscal loss for Qld and Vic (4.5 per cent and 2.1 per cent of total revenue respectively)</w:t>
                  </w:r>
                </w:p>
              </w:tc>
            </w:tr>
            <w:tr w:rsidR="00F05DC7" w14:paraId="7954AACB" w14:textId="77777777" w:rsidTr="00A3786D">
              <w:tc>
                <w:tcPr>
                  <w:tcW w:w="1510" w:type="pct"/>
                  <w:tcBorders>
                    <w:bottom w:val="single" w:sz="6" w:space="0" w:color="BFBFBF"/>
                  </w:tcBorders>
                  <w:shd w:val="clear" w:color="auto" w:fill="auto"/>
                </w:tcPr>
                <w:p w14:paraId="7954AAC7" w14:textId="77777777" w:rsidR="00F05DC7" w:rsidRDefault="00F05DC7" w:rsidP="00A3786D">
                  <w:pPr>
                    <w:pStyle w:val="TableBodyText"/>
                    <w:jc w:val="left"/>
                  </w:pPr>
                  <w:r>
                    <w:t>Equalisation to the average</w:t>
                  </w:r>
                </w:p>
              </w:tc>
              <w:tc>
                <w:tcPr>
                  <w:tcW w:w="1745" w:type="pct"/>
                  <w:tcBorders>
                    <w:bottom w:val="single" w:sz="6" w:space="0" w:color="BFBFBF"/>
                  </w:tcBorders>
                </w:tcPr>
                <w:p w14:paraId="7954AAC8" w14:textId="77777777" w:rsidR="00F05DC7" w:rsidRDefault="00F05DC7" w:rsidP="00A3786D">
                  <w:pPr>
                    <w:pStyle w:val="TableBullet"/>
                  </w:pPr>
                  <w:r>
                    <w:t>Prospect for larger number of States (currently NSW, Vic, WA) to receive reward for effort compared with other alternatives</w:t>
                  </w:r>
                </w:p>
              </w:tc>
              <w:tc>
                <w:tcPr>
                  <w:tcW w:w="1745" w:type="pct"/>
                  <w:tcBorders>
                    <w:bottom w:val="single" w:sz="6" w:space="0" w:color="BFBFBF"/>
                  </w:tcBorders>
                  <w:shd w:val="clear" w:color="auto" w:fill="auto"/>
                </w:tcPr>
                <w:p w14:paraId="7954AAC9" w14:textId="77777777" w:rsidR="00F05DC7" w:rsidRDefault="00F05DC7" w:rsidP="00A3786D">
                  <w:pPr>
                    <w:pStyle w:val="TableBullet"/>
                  </w:pPr>
                  <w:r>
                    <w:t>Gain in WA total revenue of 9.8 per cent, 1.0 per cent gain for NSW</w:t>
                  </w:r>
                </w:p>
                <w:p w14:paraId="7954AACA" w14:textId="77777777" w:rsidR="00F05DC7" w:rsidRDefault="00F05DC7" w:rsidP="00A3786D">
                  <w:pPr>
                    <w:pStyle w:val="TableBullet"/>
                  </w:pPr>
                  <w:r>
                    <w:t xml:space="preserve">Average change in GST payments as a share of State revenue (excluding WA and NSW): </w:t>
                  </w:r>
                  <w:r>
                    <w:noBreakHyphen/>
                    <w:t>2.1 per cent</w:t>
                  </w:r>
                </w:p>
              </w:tc>
            </w:tr>
          </w:tbl>
          <w:p w14:paraId="7954AACC" w14:textId="77777777" w:rsidR="00F05DC7" w:rsidRDefault="00F05DC7" w:rsidP="00A3786D">
            <w:pPr>
              <w:pStyle w:val="Box"/>
            </w:pPr>
          </w:p>
        </w:tc>
      </w:tr>
      <w:tr w:rsidR="00F05DC7" w14:paraId="7954AACF" w14:textId="77777777" w:rsidTr="00A3786D">
        <w:tc>
          <w:tcPr>
            <w:tcW w:w="5000" w:type="pct"/>
            <w:tcBorders>
              <w:top w:val="nil"/>
              <w:left w:val="nil"/>
              <w:bottom w:val="nil"/>
              <w:right w:val="nil"/>
            </w:tcBorders>
            <w:shd w:val="clear" w:color="auto" w:fill="auto"/>
          </w:tcPr>
          <w:p w14:paraId="7954AACE" w14:textId="77777777" w:rsidR="00F05DC7" w:rsidRDefault="00F05DC7" w:rsidP="00A3786D">
            <w:pPr>
              <w:pStyle w:val="Note"/>
              <w:rPr>
                <w:i/>
              </w:rPr>
            </w:pPr>
            <w:r w:rsidRPr="008E77FE">
              <w:rPr>
                <w:rStyle w:val="NoteLabel"/>
              </w:rPr>
              <w:t>a</w:t>
            </w:r>
            <w:r>
              <w:t xml:space="preserve"> Assuming immediate implementation (2018</w:t>
            </w:r>
            <w:r>
              <w:noBreakHyphen/>
              <w:t>19) from current to alternative equalisation benchmark.</w:t>
            </w:r>
          </w:p>
        </w:tc>
      </w:tr>
      <w:tr w:rsidR="00F05DC7" w14:paraId="7954AAD1" w14:textId="77777777" w:rsidTr="00A3786D">
        <w:tc>
          <w:tcPr>
            <w:tcW w:w="5000" w:type="pct"/>
            <w:tcBorders>
              <w:top w:val="nil"/>
              <w:left w:val="nil"/>
              <w:bottom w:val="single" w:sz="6" w:space="0" w:color="78A22F"/>
              <w:right w:val="nil"/>
            </w:tcBorders>
            <w:shd w:val="clear" w:color="auto" w:fill="auto"/>
          </w:tcPr>
          <w:p w14:paraId="7954AAD0" w14:textId="77777777" w:rsidR="00F05DC7" w:rsidRDefault="00F05DC7" w:rsidP="00A3786D">
            <w:pPr>
              <w:pStyle w:val="Box"/>
              <w:spacing w:before="0" w:line="120" w:lineRule="exact"/>
            </w:pPr>
          </w:p>
        </w:tc>
      </w:tr>
      <w:tr w:rsidR="00F05DC7" w:rsidRPr="000863A5" w14:paraId="7954AAD3" w14:textId="77777777" w:rsidTr="00A3786D">
        <w:tc>
          <w:tcPr>
            <w:tcW w:w="5000" w:type="pct"/>
            <w:tcBorders>
              <w:top w:val="single" w:sz="6" w:space="0" w:color="78A22F"/>
              <w:left w:val="nil"/>
              <w:bottom w:val="nil"/>
              <w:right w:val="nil"/>
            </w:tcBorders>
          </w:tcPr>
          <w:p w14:paraId="7954AAD2" w14:textId="77777777" w:rsidR="00F05DC7" w:rsidRPr="00626D32" w:rsidRDefault="00F05DC7" w:rsidP="00A3786D">
            <w:pPr>
              <w:pStyle w:val="BoxSpaceBelow"/>
            </w:pPr>
          </w:p>
        </w:tc>
      </w:tr>
    </w:tbl>
    <w:p w14:paraId="7954AAD4" w14:textId="77777777" w:rsidR="00F05DC7" w:rsidRDefault="00F05DC7" w:rsidP="00A3786D">
      <w:pPr>
        <w:pStyle w:val="BodyText"/>
      </w:pPr>
      <w:r>
        <w:t>The fiscal impacts of the alternatives are shown in figure 8.5 and table 8.5, which indicate the difference in GST payments relative to the current system. The GST impacts of immediate implementation in 2018</w:t>
      </w:r>
      <w:r>
        <w:noBreakHyphen/>
        <w:t>19 are shown in table 8.5 and the average change in GST payments between 2018</w:t>
      </w:r>
      <w:r>
        <w:noBreakHyphen/>
        <w:t>19 and 2020</w:t>
      </w:r>
      <w:r>
        <w:noBreakHyphen/>
        <w:t>21 is shown in figure 8.5. This analysis shows that relative to the current approach, in the year of implementation:</w:t>
      </w:r>
    </w:p>
    <w:p w14:paraId="7954AAD5" w14:textId="77777777" w:rsidR="00F05DC7" w:rsidRDefault="00F05DC7" w:rsidP="00A3786D">
      <w:pPr>
        <w:pStyle w:val="ListBullet"/>
      </w:pPr>
      <w:r>
        <w:t>under 90 per cent full equalisation, Western Australia, New South Wales, and Victoria would see an increase in their GST payments, and all other States would see a decrease</w:t>
      </w:r>
    </w:p>
    <w:p w14:paraId="7954AAD6" w14:textId="77777777" w:rsidR="00F05DC7" w:rsidRDefault="00F05DC7" w:rsidP="00A3786D">
      <w:pPr>
        <w:pStyle w:val="ListBullet"/>
      </w:pPr>
      <w:r>
        <w:lastRenderedPageBreak/>
        <w:t>the GST impacts are expected to be similar for ESSS and equalisation to the average of the fiscally strong States. These two benchmarks would see a reduction in GST payments for all States except Western Australia</w:t>
      </w:r>
    </w:p>
    <w:p w14:paraId="7954AAD7" w14:textId="77777777" w:rsidR="00F05DC7" w:rsidRDefault="00F05DC7" w:rsidP="00A3786D">
      <w:pPr>
        <w:pStyle w:val="ListBullet"/>
      </w:pPr>
      <w:r>
        <w:t>full equalisation for only the smallest States provides the largest gains to Western Australia, compared with the other alternatives, with the small States seeing no change in their GST payments (as they continue to be fully equalised as per the current system)</w:t>
      </w:r>
      <w:r w:rsidRPr="00621463">
        <w:t xml:space="preserve"> </w:t>
      </w:r>
    </w:p>
    <w:p w14:paraId="7954AAD8" w14:textId="77777777" w:rsidR="00F05DC7" w:rsidRDefault="00F05DC7" w:rsidP="00A3786D">
      <w:pPr>
        <w:pStyle w:val="ListBullet"/>
      </w:pPr>
      <w:r>
        <w:t xml:space="preserve">ETA would result in New South Wales and Western Australia receiving more GST, while all other States would experience reductions in GST payments. </w:t>
      </w:r>
    </w:p>
    <w:p w14:paraId="7954AAD9"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ADC" w14:textId="77777777" w:rsidTr="00A3786D">
        <w:trPr>
          <w:tblHeader/>
        </w:trPr>
        <w:tc>
          <w:tcPr>
            <w:tcW w:w="5000" w:type="pct"/>
            <w:tcBorders>
              <w:top w:val="single" w:sz="6" w:space="0" w:color="78A22F"/>
              <w:left w:val="nil"/>
              <w:bottom w:val="nil"/>
              <w:right w:val="nil"/>
            </w:tcBorders>
            <w:shd w:val="clear" w:color="auto" w:fill="auto"/>
          </w:tcPr>
          <w:p w14:paraId="7954AADA" w14:textId="7C323580" w:rsidR="00F05DC7" w:rsidRDefault="00F05DC7" w:rsidP="00A3786D">
            <w:pPr>
              <w:pStyle w:val="FigureTitle"/>
            </w:pPr>
            <w:r w:rsidRPr="00784A05">
              <w:rPr>
                <w:b w:val="0"/>
              </w:rPr>
              <w:t xml:space="preserve">Figure </w:t>
            </w:r>
            <w:r>
              <w:rPr>
                <w:b w:val="0"/>
              </w:rPr>
              <w:t>8.5</w:t>
            </w:r>
            <w:r>
              <w:tab/>
              <w:t>Average change in GST payments under alternative equalisation benchmarks (from 2018</w:t>
            </w:r>
            <w:r>
              <w:noBreakHyphen/>
              <w:t>19 to 2020</w:t>
            </w:r>
            <w:r>
              <w:noBreakHyphen/>
              <w:t>21)</w:t>
            </w:r>
          </w:p>
          <w:p w14:paraId="7954AADB" w14:textId="77777777" w:rsidR="00F05DC7" w:rsidRPr="008C54FC" w:rsidRDefault="00F05DC7" w:rsidP="00A3786D">
            <w:pPr>
              <w:pStyle w:val="Subtitle"/>
              <w:rPr>
                <w:spacing w:val="-2"/>
              </w:rPr>
            </w:pPr>
            <w:r w:rsidRPr="008C54FC">
              <w:rPr>
                <w:spacing w:val="-2"/>
              </w:rPr>
              <w:t>Relative to the current benchmark and assuming immediate implementation (no transition) — percentage change in State revenue shown alongside each bar.</w:t>
            </w:r>
          </w:p>
        </w:tc>
      </w:tr>
      <w:tr w:rsidR="00F05DC7" w14:paraId="7954AAE0"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AADE" w14:textId="77777777" w:rsidTr="00A3786D">
              <w:trPr>
                <w:tblHeader/>
                <w:jc w:val="center"/>
              </w:trPr>
              <w:tc>
                <w:tcPr>
                  <w:tcW w:w="5000" w:type="pct"/>
                  <w:tcBorders>
                    <w:top w:val="nil"/>
                    <w:bottom w:val="nil"/>
                  </w:tcBorders>
                </w:tcPr>
                <w:p w14:paraId="7954AADD" w14:textId="77777777" w:rsidR="00F05DC7" w:rsidRPr="00B1465D" w:rsidRDefault="00F05DC7" w:rsidP="00A3786D">
                  <w:pPr>
                    <w:pStyle w:val="Figure"/>
                    <w:spacing w:before="60" w:after="60"/>
                    <w:rPr>
                      <w:rFonts w:ascii="Arial" w:hAnsi="Arial" w:cs="Arial"/>
                      <w:sz w:val="18"/>
                      <w:szCs w:val="18"/>
                    </w:rPr>
                  </w:pPr>
                  <w:r w:rsidRPr="00B71ED8">
                    <w:rPr>
                      <w:rFonts w:ascii="Arial" w:hAnsi="Arial" w:cs="Arial"/>
                      <w:noProof/>
                      <w:sz w:val="18"/>
                      <w:szCs w:val="18"/>
                    </w:rPr>
                    <w:drawing>
                      <wp:inline distT="0" distB="0" distL="0" distR="0" wp14:anchorId="7954D625" wp14:editId="7954D626">
                        <wp:extent cx="5410200" cy="2209800"/>
                        <wp:effectExtent l="0" t="0" r="0" b="0"/>
                        <wp:docPr id="83" name="Picture 83" descr="Moving to alternative benchmarks for HFE would result in revenue gains for Western Australia, compared to the current system. Taking an average from 2018-19 to 2020-21, and assuming immediate implementation of alternatives, these gains range from roughly 1 per cent of total State revenue for Western Australia (under 90 per cent full equalisation) to approximately 8 per cent under full equalisation for the smallest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10200" cy="2209800"/>
                                </a:xfrm>
                                <a:prstGeom prst="rect">
                                  <a:avLst/>
                                </a:prstGeom>
                                <a:noFill/>
                                <a:ln>
                                  <a:noFill/>
                                </a:ln>
                              </pic:spPr>
                            </pic:pic>
                          </a:graphicData>
                        </a:graphic>
                      </wp:inline>
                    </w:drawing>
                  </w:r>
                  <w:r w:rsidRPr="00B71ED8">
                    <w:rPr>
                      <w:rFonts w:ascii="Arial" w:hAnsi="Arial" w:cs="Arial"/>
                      <w:noProof/>
                      <w:sz w:val="18"/>
                      <w:szCs w:val="18"/>
                    </w:rPr>
                    <w:drawing>
                      <wp:inline distT="0" distB="0" distL="0" distR="0" wp14:anchorId="7954D627" wp14:editId="7954D628">
                        <wp:extent cx="5401945" cy="2235200"/>
                        <wp:effectExtent l="0" t="0" r="8255" b="0"/>
                        <wp:docPr id="84" name="Picture 84" descr="Equalisation to the average of the fiscally strong States and equalisation to the second strongest State result in small declines in revenue for States besides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01945" cy="2235200"/>
                                </a:xfrm>
                                <a:prstGeom prst="rect">
                                  <a:avLst/>
                                </a:prstGeom>
                                <a:noFill/>
                                <a:ln>
                                  <a:noFill/>
                                </a:ln>
                              </pic:spPr>
                            </pic:pic>
                          </a:graphicData>
                        </a:graphic>
                      </wp:inline>
                    </w:drawing>
                  </w:r>
                  <w:r>
                    <w:rPr>
                      <w:rFonts w:ascii="Arial" w:hAnsi="Arial" w:cs="Arial"/>
                      <w:sz w:val="18"/>
                      <w:szCs w:val="18"/>
                    </w:rPr>
                    <w:t xml:space="preserve"> </w:t>
                  </w:r>
                </w:p>
              </w:tc>
            </w:tr>
          </w:tbl>
          <w:p w14:paraId="7954AADF" w14:textId="77777777" w:rsidR="00F05DC7" w:rsidRDefault="00F05DC7" w:rsidP="00A3786D">
            <w:pPr>
              <w:pStyle w:val="Figure"/>
            </w:pPr>
          </w:p>
        </w:tc>
      </w:tr>
      <w:tr w:rsidR="00F05DC7" w:rsidRPr="00176D3F" w14:paraId="7954AAE2" w14:textId="77777777" w:rsidTr="00A3786D">
        <w:tc>
          <w:tcPr>
            <w:tcW w:w="5000" w:type="pct"/>
            <w:tcBorders>
              <w:top w:val="nil"/>
              <w:left w:val="nil"/>
              <w:bottom w:val="nil"/>
              <w:right w:val="nil"/>
            </w:tcBorders>
            <w:shd w:val="clear" w:color="auto" w:fill="auto"/>
          </w:tcPr>
          <w:p w14:paraId="7954AAE1" w14:textId="77777777" w:rsidR="00F05DC7" w:rsidRPr="00176D3F" w:rsidRDefault="00F05DC7" w:rsidP="00A3786D">
            <w:pPr>
              <w:pStyle w:val="Source"/>
              <w:jc w:val="right"/>
            </w:pPr>
            <w:r w:rsidRPr="006F2F25">
              <w:rPr>
                <w:szCs w:val="18"/>
              </w:rPr>
              <w:t>(continued next page)</w:t>
            </w:r>
          </w:p>
        </w:tc>
      </w:tr>
      <w:tr w:rsidR="00F05DC7" w14:paraId="7954AAE4" w14:textId="77777777" w:rsidTr="00A3786D">
        <w:tc>
          <w:tcPr>
            <w:tcW w:w="5000" w:type="pct"/>
            <w:tcBorders>
              <w:top w:val="nil"/>
              <w:left w:val="nil"/>
              <w:bottom w:val="single" w:sz="6" w:space="0" w:color="78A22F"/>
              <w:right w:val="nil"/>
            </w:tcBorders>
            <w:shd w:val="clear" w:color="auto" w:fill="auto"/>
          </w:tcPr>
          <w:p w14:paraId="7954AAE3" w14:textId="77777777" w:rsidR="00F05DC7" w:rsidRDefault="00F05DC7" w:rsidP="00A3786D">
            <w:pPr>
              <w:pStyle w:val="Figurespace"/>
            </w:pPr>
          </w:p>
        </w:tc>
      </w:tr>
      <w:tr w:rsidR="00F05DC7" w:rsidRPr="000863A5" w14:paraId="7954AAE6" w14:textId="77777777" w:rsidTr="00A3786D">
        <w:tc>
          <w:tcPr>
            <w:tcW w:w="5000" w:type="pct"/>
            <w:tcBorders>
              <w:top w:val="single" w:sz="6" w:space="0" w:color="78A22F"/>
              <w:left w:val="nil"/>
              <w:bottom w:val="nil"/>
              <w:right w:val="nil"/>
            </w:tcBorders>
          </w:tcPr>
          <w:p w14:paraId="7954AAE5" w14:textId="77777777" w:rsidR="00F05DC7" w:rsidRPr="00626D32" w:rsidRDefault="00F05DC7" w:rsidP="00A3786D">
            <w:pPr>
              <w:pStyle w:val="BoxSpaceBelow"/>
            </w:pPr>
          </w:p>
        </w:tc>
      </w:tr>
    </w:tbl>
    <w:p w14:paraId="7954AAE7"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AE9" w14:textId="77777777" w:rsidTr="00A3786D">
        <w:trPr>
          <w:tblHeader/>
        </w:trPr>
        <w:tc>
          <w:tcPr>
            <w:tcW w:w="5000" w:type="pct"/>
            <w:tcBorders>
              <w:top w:val="single" w:sz="6" w:space="0" w:color="78A22F"/>
              <w:left w:val="nil"/>
              <w:bottom w:val="nil"/>
              <w:right w:val="nil"/>
            </w:tcBorders>
            <w:shd w:val="clear" w:color="auto" w:fill="auto"/>
          </w:tcPr>
          <w:p w14:paraId="7954AAE8" w14:textId="23CB90D7" w:rsidR="00F05DC7" w:rsidRPr="00176D3F" w:rsidRDefault="00F05DC7" w:rsidP="00A3786D">
            <w:pPr>
              <w:pStyle w:val="FigureTitle"/>
            </w:pPr>
            <w:r w:rsidRPr="00784A05">
              <w:rPr>
                <w:b w:val="0"/>
              </w:rPr>
              <w:t xml:space="preserve">Figure </w:t>
            </w:r>
            <w:r>
              <w:rPr>
                <w:b w:val="0"/>
              </w:rPr>
              <w:t>8.5</w:t>
            </w:r>
            <w:r>
              <w:tab/>
            </w:r>
            <w:r w:rsidRPr="008B2CBB">
              <w:rPr>
                <w:b w:val="0"/>
                <w:sz w:val="18"/>
                <w:szCs w:val="20"/>
              </w:rPr>
              <w:t>(continued)</w:t>
            </w:r>
          </w:p>
        </w:tc>
      </w:tr>
      <w:tr w:rsidR="00F05DC7" w14:paraId="7954AAED"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AAEB" w14:textId="77777777" w:rsidTr="00A3786D">
              <w:trPr>
                <w:tblHeader/>
                <w:jc w:val="center"/>
              </w:trPr>
              <w:tc>
                <w:tcPr>
                  <w:tcW w:w="5000" w:type="pct"/>
                  <w:tcBorders>
                    <w:top w:val="nil"/>
                    <w:bottom w:val="nil"/>
                  </w:tcBorders>
                </w:tcPr>
                <w:p w14:paraId="7954AAEA" w14:textId="77777777" w:rsidR="00F05DC7" w:rsidRPr="00B1465D" w:rsidRDefault="00F05DC7" w:rsidP="00A3786D">
                  <w:pPr>
                    <w:pStyle w:val="Figure"/>
                    <w:spacing w:before="60" w:after="60"/>
                    <w:rPr>
                      <w:rFonts w:ascii="Arial" w:hAnsi="Arial" w:cs="Arial"/>
                      <w:sz w:val="18"/>
                      <w:szCs w:val="18"/>
                    </w:rPr>
                  </w:pPr>
                  <w:r w:rsidRPr="00695A41">
                    <w:rPr>
                      <w:rFonts w:ascii="Arial" w:hAnsi="Arial" w:cs="Arial"/>
                      <w:noProof/>
                      <w:sz w:val="18"/>
                      <w:szCs w:val="18"/>
                    </w:rPr>
                    <w:drawing>
                      <wp:inline distT="0" distB="0" distL="0" distR="0" wp14:anchorId="7954D629" wp14:editId="7954D62A">
                        <wp:extent cx="5410200" cy="2209800"/>
                        <wp:effectExtent l="0" t="0" r="0" b="0"/>
                        <wp:docPr id="85" name="Picture 85" descr="Equalisation to the average of the fiscally strong States and equalisation to the second strongest State result in small declines in revenue for States besides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10200" cy="2209800"/>
                                </a:xfrm>
                                <a:prstGeom prst="rect">
                                  <a:avLst/>
                                </a:prstGeom>
                                <a:noFill/>
                                <a:ln>
                                  <a:noFill/>
                                </a:ln>
                              </pic:spPr>
                            </pic:pic>
                          </a:graphicData>
                        </a:graphic>
                      </wp:inline>
                    </w:drawing>
                  </w:r>
                  <w:r w:rsidRPr="006B797C">
                    <w:rPr>
                      <w:rFonts w:ascii="Arial" w:hAnsi="Arial" w:cs="Arial"/>
                      <w:noProof/>
                      <w:sz w:val="18"/>
                      <w:szCs w:val="18"/>
                    </w:rPr>
                    <w:drawing>
                      <wp:inline distT="0" distB="0" distL="0" distR="0" wp14:anchorId="7954D62B" wp14:editId="7954D62C">
                        <wp:extent cx="5401945" cy="2226945"/>
                        <wp:effectExtent l="0" t="0" r="8255" b="1905"/>
                        <wp:docPr id="86" name="Picture 86" descr="Full equalisation for the smallest States results in an average revenue gain of nearly 8 per cent for Western Australia, a gain for New South Wales, and losses for Queensland and Victoria. GST payments to South Australia ,Tasmania, the ACT, and the Northern Territory remain uncha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01945" cy="2226945"/>
                                </a:xfrm>
                                <a:prstGeom prst="rect">
                                  <a:avLst/>
                                </a:prstGeom>
                                <a:noFill/>
                                <a:ln>
                                  <a:noFill/>
                                </a:ln>
                              </pic:spPr>
                            </pic:pic>
                          </a:graphicData>
                        </a:graphic>
                      </wp:inline>
                    </w:drawing>
                  </w:r>
                  <w:r>
                    <w:rPr>
                      <w:rFonts w:ascii="Arial" w:hAnsi="Arial" w:cs="Arial"/>
                      <w:noProof/>
                      <w:sz w:val="18"/>
                      <w:szCs w:val="18"/>
                    </w:rPr>
                    <w:t xml:space="preserve"> </w:t>
                  </w:r>
                  <w:r w:rsidRPr="00695A41">
                    <w:rPr>
                      <w:rFonts w:ascii="Arial" w:hAnsi="Arial" w:cs="Arial"/>
                      <w:noProof/>
                      <w:sz w:val="18"/>
                      <w:szCs w:val="18"/>
                    </w:rPr>
                    <w:drawing>
                      <wp:inline distT="0" distB="0" distL="0" distR="0" wp14:anchorId="7954D62D" wp14:editId="7954D62E">
                        <wp:extent cx="5410200" cy="2209800"/>
                        <wp:effectExtent l="0" t="0" r="0" b="0"/>
                        <wp:docPr id="87" name="Picture 87" descr="Under equalisation to the average, New South Wales would also experience a gain in total revenue, with modest declines for other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10200" cy="2209800"/>
                                </a:xfrm>
                                <a:prstGeom prst="rect">
                                  <a:avLst/>
                                </a:prstGeom>
                                <a:noFill/>
                                <a:ln>
                                  <a:noFill/>
                                </a:ln>
                              </pic:spPr>
                            </pic:pic>
                          </a:graphicData>
                        </a:graphic>
                      </wp:inline>
                    </w:drawing>
                  </w:r>
                </w:p>
              </w:tc>
            </w:tr>
          </w:tbl>
          <w:p w14:paraId="7954AAEC" w14:textId="77777777" w:rsidR="00F05DC7" w:rsidRDefault="00F05DC7" w:rsidP="00A3786D">
            <w:pPr>
              <w:pStyle w:val="Figure"/>
            </w:pPr>
          </w:p>
        </w:tc>
      </w:tr>
      <w:tr w:rsidR="00F05DC7" w:rsidRPr="00176D3F" w14:paraId="7954AAEF" w14:textId="77777777" w:rsidTr="00A3786D">
        <w:tc>
          <w:tcPr>
            <w:tcW w:w="5000" w:type="pct"/>
            <w:tcBorders>
              <w:top w:val="nil"/>
              <w:left w:val="nil"/>
              <w:bottom w:val="nil"/>
              <w:right w:val="nil"/>
            </w:tcBorders>
            <w:shd w:val="clear" w:color="auto" w:fill="auto"/>
          </w:tcPr>
          <w:p w14:paraId="7954AAEE" w14:textId="77777777" w:rsidR="00F05DC7" w:rsidRDefault="00F05DC7" w:rsidP="00A3786D">
            <w:pPr>
              <w:pStyle w:val="Note"/>
            </w:pPr>
            <w:r w:rsidRPr="004A6E57">
              <w:rPr>
                <w:rStyle w:val="NoteLabel"/>
              </w:rPr>
              <w:t>a</w:t>
            </w:r>
            <w:r>
              <w:t xml:space="preserve"> There are no changes in GST payments for South Australia, Tasmania, the ACT, or the Northern Territory under full equalisation for the smallest States.</w:t>
            </w:r>
          </w:p>
        </w:tc>
      </w:tr>
      <w:tr w:rsidR="00F05DC7" w:rsidRPr="00176D3F" w14:paraId="7954AAF1" w14:textId="77777777" w:rsidTr="00A3786D">
        <w:tc>
          <w:tcPr>
            <w:tcW w:w="5000" w:type="pct"/>
            <w:tcBorders>
              <w:top w:val="nil"/>
              <w:left w:val="nil"/>
              <w:bottom w:val="nil"/>
              <w:right w:val="nil"/>
            </w:tcBorders>
            <w:shd w:val="clear" w:color="auto" w:fill="auto"/>
          </w:tcPr>
          <w:p w14:paraId="7954AAF0" w14:textId="77777777" w:rsidR="00F05DC7" w:rsidRPr="00176D3F" w:rsidRDefault="00F05DC7" w:rsidP="00A3786D">
            <w:pPr>
              <w:pStyle w:val="Source"/>
            </w:pPr>
            <w:r>
              <w:rPr>
                <w:i/>
              </w:rPr>
              <w:t>S</w:t>
            </w:r>
            <w:r w:rsidRPr="00784A05">
              <w:rPr>
                <w:i/>
              </w:rPr>
              <w:t>ource</w:t>
            </w:r>
            <w:r w:rsidRPr="00176D3F">
              <w:t xml:space="preserve">: </w:t>
            </w:r>
            <w:r>
              <w:t>Productivity Commission estimates.</w:t>
            </w:r>
          </w:p>
        </w:tc>
      </w:tr>
      <w:tr w:rsidR="00F05DC7" w14:paraId="7954AAF3" w14:textId="77777777" w:rsidTr="00A3786D">
        <w:tc>
          <w:tcPr>
            <w:tcW w:w="5000" w:type="pct"/>
            <w:tcBorders>
              <w:top w:val="nil"/>
              <w:left w:val="nil"/>
              <w:bottom w:val="single" w:sz="6" w:space="0" w:color="78A22F"/>
              <w:right w:val="nil"/>
            </w:tcBorders>
            <w:shd w:val="clear" w:color="auto" w:fill="auto"/>
          </w:tcPr>
          <w:p w14:paraId="7954AAF2" w14:textId="77777777" w:rsidR="00F05DC7" w:rsidRDefault="00F05DC7" w:rsidP="00A3786D">
            <w:pPr>
              <w:pStyle w:val="Figurespace"/>
            </w:pPr>
          </w:p>
        </w:tc>
      </w:tr>
      <w:tr w:rsidR="00F05DC7" w:rsidRPr="000863A5" w14:paraId="7954AAF5" w14:textId="77777777" w:rsidTr="00A3786D">
        <w:tc>
          <w:tcPr>
            <w:tcW w:w="5000" w:type="pct"/>
            <w:tcBorders>
              <w:top w:val="single" w:sz="6" w:space="0" w:color="78A22F"/>
              <w:left w:val="nil"/>
              <w:bottom w:val="nil"/>
              <w:right w:val="nil"/>
            </w:tcBorders>
          </w:tcPr>
          <w:p w14:paraId="7954AAF4" w14:textId="77777777" w:rsidR="00F05DC7" w:rsidRPr="00626D32" w:rsidRDefault="00F05DC7" w:rsidP="00A3786D">
            <w:pPr>
              <w:pStyle w:val="BoxSpaceBelow"/>
            </w:pPr>
          </w:p>
        </w:tc>
      </w:tr>
    </w:tbl>
    <w:p w14:paraId="7954AAF6" w14:textId="56AD236C" w:rsidR="00F05DC7" w:rsidRDefault="00F05DC7" w:rsidP="00A3786D">
      <w:pPr>
        <w:pStyle w:val="BodyText"/>
      </w:pPr>
      <w:r>
        <w:t xml:space="preserve">For those States that would experience reduced GST payments under the alternatives, declines would be relatively modest as a share of total State revenues (table 8.6). </w:t>
      </w:r>
      <w:r>
        <w:lastRenderedPageBreak/>
        <w:t xml:space="preserve">Consequently, the reductions in GST payments are not expected to prevent States from providing a reasonable </w:t>
      </w:r>
      <w:r w:rsidR="00BD5FD6">
        <w:t>standard</w:t>
      </w:r>
      <w:r>
        <w:t xml:space="preserve"> of services to their communities, once transition arrangements are taken into account.</w:t>
      </w:r>
    </w:p>
    <w:p w14:paraId="7954AAF7"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AFA" w14:textId="77777777" w:rsidTr="00A3786D">
        <w:trPr>
          <w:tblHeader/>
        </w:trPr>
        <w:tc>
          <w:tcPr>
            <w:tcW w:w="5000" w:type="pct"/>
            <w:tcBorders>
              <w:top w:val="single" w:sz="6" w:space="0" w:color="78A22F"/>
              <w:left w:val="nil"/>
              <w:bottom w:val="nil"/>
              <w:right w:val="nil"/>
            </w:tcBorders>
            <w:shd w:val="clear" w:color="auto" w:fill="auto"/>
          </w:tcPr>
          <w:p w14:paraId="7954AAF8" w14:textId="04C607A3" w:rsidR="00F05DC7" w:rsidRDefault="00F05DC7" w:rsidP="00A3786D">
            <w:pPr>
              <w:pStyle w:val="TableTitle"/>
            </w:pPr>
            <w:r>
              <w:rPr>
                <w:b w:val="0"/>
              </w:rPr>
              <w:t>Table 8.5</w:t>
            </w:r>
            <w:r>
              <w:tab/>
              <w:t>Fiscal impacts of equalisation alternatives (no transition)</w:t>
            </w:r>
          </w:p>
          <w:p w14:paraId="7954AAF9" w14:textId="77777777" w:rsidR="00F05DC7" w:rsidRPr="00784A05" w:rsidRDefault="00F05DC7" w:rsidP="00A3786D">
            <w:pPr>
              <w:pStyle w:val="Subtitle"/>
            </w:pPr>
            <w:r>
              <w:t>2018</w:t>
            </w:r>
            <w:r>
              <w:noBreakHyphen/>
              <w:t>19</w:t>
            </w:r>
          </w:p>
        </w:tc>
      </w:tr>
      <w:tr w:rsidR="00F05DC7" w14:paraId="7954ABF6" w14:textId="77777777" w:rsidTr="00A3786D">
        <w:tc>
          <w:tcPr>
            <w:tcW w:w="5000" w:type="pct"/>
            <w:tcBorders>
              <w:top w:val="nil"/>
              <w:left w:val="nil"/>
              <w:bottom w:val="nil"/>
              <w:right w:val="nil"/>
            </w:tcBorders>
            <w:shd w:val="clear" w:color="auto" w:fill="auto"/>
          </w:tcPr>
          <w:tbl>
            <w:tblPr>
              <w:tblW w:w="8509" w:type="dxa"/>
              <w:tblCellMar>
                <w:top w:w="28" w:type="dxa"/>
                <w:left w:w="0" w:type="dxa"/>
                <w:right w:w="0" w:type="dxa"/>
              </w:tblCellMar>
              <w:tblLook w:val="0000" w:firstRow="0" w:lastRow="0" w:firstColumn="0" w:lastColumn="0" w:noHBand="0" w:noVBand="0"/>
            </w:tblPr>
            <w:tblGrid>
              <w:gridCol w:w="2666"/>
              <w:gridCol w:w="732"/>
              <w:gridCol w:w="732"/>
              <w:gridCol w:w="732"/>
              <w:gridCol w:w="730"/>
              <w:gridCol w:w="730"/>
              <w:gridCol w:w="730"/>
              <w:gridCol w:w="730"/>
              <w:gridCol w:w="727"/>
            </w:tblGrid>
            <w:tr w:rsidR="00F05DC7" w14:paraId="7954AB04" w14:textId="77777777" w:rsidTr="00A3786D">
              <w:trPr>
                <w:tblHeader/>
              </w:trPr>
              <w:tc>
                <w:tcPr>
                  <w:tcW w:w="1567" w:type="pct"/>
                  <w:tcBorders>
                    <w:top w:val="single" w:sz="6" w:space="0" w:color="BFBFBF"/>
                    <w:bottom w:val="single" w:sz="6" w:space="0" w:color="BFBFBF"/>
                  </w:tcBorders>
                  <w:shd w:val="clear" w:color="auto" w:fill="auto"/>
                  <w:tcMar>
                    <w:top w:w="28" w:type="dxa"/>
                  </w:tcMar>
                </w:tcPr>
                <w:p w14:paraId="7954AAFB" w14:textId="77777777" w:rsidR="00F05DC7" w:rsidRDefault="00F05DC7" w:rsidP="00A3786D">
                  <w:pPr>
                    <w:pStyle w:val="TableColumnHeading"/>
                    <w:jc w:val="left"/>
                  </w:pPr>
                </w:p>
              </w:tc>
              <w:tc>
                <w:tcPr>
                  <w:tcW w:w="430" w:type="pct"/>
                  <w:tcBorders>
                    <w:top w:val="single" w:sz="6" w:space="0" w:color="BFBFBF"/>
                    <w:bottom w:val="single" w:sz="6" w:space="0" w:color="BFBFBF"/>
                  </w:tcBorders>
                </w:tcPr>
                <w:p w14:paraId="7954AAFC" w14:textId="77777777" w:rsidR="00F05DC7" w:rsidRDefault="00F05DC7" w:rsidP="00A3786D">
                  <w:pPr>
                    <w:pStyle w:val="TableColumnHeading"/>
                  </w:pPr>
                  <w:r>
                    <w:t>NSW</w:t>
                  </w:r>
                </w:p>
              </w:tc>
              <w:tc>
                <w:tcPr>
                  <w:tcW w:w="430" w:type="pct"/>
                  <w:tcBorders>
                    <w:top w:val="single" w:sz="6" w:space="0" w:color="BFBFBF"/>
                    <w:bottom w:val="single" w:sz="6" w:space="0" w:color="BFBFBF"/>
                  </w:tcBorders>
                </w:tcPr>
                <w:p w14:paraId="7954AAFD" w14:textId="77777777" w:rsidR="00F05DC7" w:rsidRDefault="00F05DC7" w:rsidP="00A3786D">
                  <w:pPr>
                    <w:pStyle w:val="TableColumnHeading"/>
                  </w:pPr>
                  <w:r>
                    <w:t>Vic</w:t>
                  </w:r>
                </w:p>
              </w:tc>
              <w:tc>
                <w:tcPr>
                  <w:tcW w:w="430" w:type="pct"/>
                  <w:tcBorders>
                    <w:top w:val="single" w:sz="6" w:space="0" w:color="BFBFBF"/>
                    <w:bottom w:val="single" w:sz="6" w:space="0" w:color="BFBFBF"/>
                  </w:tcBorders>
                </w:tcPr>
                <w:p w14:paraId="7954AAFE" w14:textId="77777777" w:rsidR="00F05DC7" w:rsidRDefault="00F05DC7" w:rsidP="00A3786D">
                  <w:pPr>
                    <w:pStyle w:val="TableColumnHeading"/>
                  </w:pPr>
                  <w:r>
                    <w:t>Qld</w:t>
                  </w:r>
                </w:p>
              </w:tc>
              <w:tc>
                <w:tcPr>
                  <w:tcW w:w="429" w:type="pct"/>
                  <w:tcBorders>
                    <w:top w:val="single" w:sz="6" w:space="0" w:color="BFBFBF"/>
                    <w:bottom w:val="single" w:sz="6" w:space="0" w:color="BFBFBF"/>
                  </w:tcBorders>
                </w:tcPr>
                <w:p w14:paraId="7954AAFF" w14:textId="77777777" w:rsidR="00F05DC7" w:rsidRDefault="00F05DC7" w:rsidP="00A3786D">
                  <w:pPr>
                    <w:pStyle w:val="TableColumnHeading"/>
                  </w:pPr>
                  <w:r>
                    <w:t>WA</w:t>
                  </w:r>
                </w:p>
              </w:tc>
              <w:tc>
                <w:tcPr>
                  <w:tcW w:w="429" w:type="pct"/>
                  <w:tcBorders>
                    <w:top w:val="single" w:sz="6" w:space="0" w:color="BFBFBF"/>
                    <w:bottom w:val="single" w:sz="6" w:space="0" w:color="BFBFBF"/>
                  </w:tcBorders>
                </w:tcPr>
                <w:p w14:paraId="7954AB00" w14:textId="77777777" w:rsidR="00F05DC7" w:rsidRDefault="00F05DC7" w:rsidP="00A3786D">
                  <w:pPr>
                    <w:pStyle w:val="TableColumnHeading"/>
                  </w:pPr>
                  <w:r>
                    <w:t>SA</w:t>
                  </w:r>
                </w:p>
              </w:tc>
              <w:tc>
                <w:tcPr>
                  <w:tcW w:w="429" w:type="pct"/>
                  <w:tcBorders>
                    <w:top w:val="single" w:sz="6" w:space="0" w:color="BFBFBF"/>
                    <w:bottom w:val="single" w:sz="6" w:space="0" w:color="BFBFBF"/>
                  </w:tcBorders>
                </w:tcPr>
                <w:p w14:paraId="7954AB01" w14:textId="77777777" w:rsidR="00F05DC7" w:rsidRDefault="00F05DC7" w:rsidP="00A3786D">
                  <w:pPr>
                    <w:pStyle w:val="TableColumnHeading"/>
                  </w:pPr>
                  <w:r>
                    <w:t>Tas</w:t>
                  </w:r>
                </w:p>
              </w:tc>
              <w:tc>
                <w:tcPr>
                  <w:tcW w:w="429" w:type="pct"/>
                  <w:tcBorders>
                    <w:top w:val="single" w:sz="6" w:space="0" w:color="BFBFBF"/>
                    <w:bottom w:val="single" w:sz="6" w:space="0" w:color="BFBFBF"/>
                  </w:tcBorders>
                </w:tcPr>
                <w:p w14:paraId="7954AB02" w14:textId="77777777" w:rsidR="00F05DC7" w:rsidRDefault="00F05DC7" w:rsidP="00A3786D">
                  <w:pPr>
                    <w:pStyle w:val="TableColumnHeading"/>
                  </w:pPr>
                  <w:r>
                    <w:t>ACT</w:t>
                  </w:r>
                </w:p>
              </w:tc>
              <w:tc>
                <w:tcPr>
                  <w:tcW w:w="429" w:type="pct"/>
                  <w:tcBorders>
                    <w:top w:val="single" w:sz="6" w:space="0" w:color="BFBFBF"/>
                    <w:bottom w:val="single" w:sz="6" w:space="0" w:color="BFBFBF"/>
                  </w:tcBorders>
                </w:tcPr>
                <w:p w14:paraId="7954AB03" w14:textId="77777777" w:rsidR="00F05DC7" w:rsidRDefault="00F05DC7" w:rsidP="00A3786D">
                  <w:pPr>
                    <w:pStyle w:val="TableColumnHeading"/>
                  </w:pPr>
                  <w:r>
                    <w:t>NT</w:t>
                  </w:r>
                </w:p>
              </w:tc>
            </w:tr>
            <w:tr w:rsidR="00F05DC7" w14:paraId="7954AB0E" w14:textId="77777777" w:rsidTr="00A3786D">
              <w:tc>
                <w:tcPr>
                  <w:tcW w:w="1567" w:type="pct"/>
                  <w:tcBorders>
                    <w:top w:val="single" w:sz="6" w:space="0" w:color="BFBFBF"/>
                  </w:tcBorders>
                </w:tcPr>
                <w:p w14:paraId="7954AB05" w14:textId="77777777" w:rsidR="00F05DC7" w:rsidRPr="002E79C4" w:rsidRDefault="00F05DC7" w:rsidP="00A3786D">
                  <w:pPr>
                    <w:pStyle w:val="TableUnitsRow"/>
                    <w:jc w:val="left"/>
                    <w:rPr>
                      <w:b/>
                    </w:rPr>
                  </w:pPr>
                  <w:r w:rsidRPr="00E23F9B">
                    <w:rPr>
                      <w:b/>
                    </w:rPr>
                    <w:t>90 per cent full equalisation</w:t>
                  </w:r>
                </w:p>
              </w:tc>
              <w:tc>
                <w:tcPr>
                  <w:tcW w:w="430" w:type="pct"/>
                  <w:tcBorders>
                    <w:top w:val="single" w:sz="6" w:space="0" w:color="BFBFBF"/>
                  </w:tcBorders>
                </w:tcPr>
                <w:p w14:paraId="7954AB06" w14:textId="77777777" w:rsidR="00F05DC7" w:rsidRDefault="00F05DC7" w:rsidP="00A3786D">
                  <w:pPr>
                    <w:pStyle w:val="TableUnitsRow"/>
                  </w:pPr>
                </w:p>
              </w:tc>
              <w:tc>
                <w:tcPr>
                  <w:tcW w:w="430" w:type="pct"/>
                  <w:tcBorders>
                    <w:top w:val="single" w:sz="6" w:space="0" w:color="BFBFBF"/>
                  </w:tcBorders>
                </w:tcPr>
                <w:p w14:paraId="7954AB07" w14:textId="77777777" w:rsidR="00F05DC7" w:rsidRDefault="00F05DC7" w:rsidP="00A3786D">
                  <w:pPr>
                    <w:pStyle w:val="TableUnitsRow"/>
                  </w:pPr>
                </w:p>
              </w:tc>
              <w:tc>
                <w:tcPr>
                  <w:tcW w:w="430" w:type="pct"/>
                  <w:tcBorders>
                    <w:top w:val="single" w:sz="6" w:space="0" w:color="BFBFBF"/>
                  </w:tcBorders>
                </w:tcPr>
                <w:p w14:paraId="7954AB08" w14:textId="77777777" w:rsidR="00F05DC7" w:rsidRDefault="00F05DC7" w:rsidP="00A3786D">
                  <w:pPr>
                    <w:pStyle w:val="TableUnitsRow"/>
                  </w:pPr>
                </w:p>
              </w:tc>
              <w:tc>
                <w:tcPr>
                  <w:tcW w:w="429" w:type="pct"/>
                  <w:tcBorders>
                    <w:top w:val="single" w:sz="6" w:space="0" w:color="BFBFBF"/>
                  </w:tcBorders>
                </w:tcPr>
                <w:p w14:paraId="7954AB09" w14:textId="77777777" w:rsidR="00F05DC7" w:rsidRDefault="00F05DC7" w:rsidP="00A3786D">
                  <w:pPr>
                    <w:pStyle w:val="TableUnitsRow"/>
                  </w:pPr>
                </w:p>
              </w:tc>
              <w:tc>
                <w:tcPr>
                  <w:tcW w:w="429" w:type="pct"/>
                  <w:tcBorders>
                    <w:top w:val="single" w:sz="6" w:space="0" w:color="BFBFBF"/>
                  </w:tcBorders>
                </w:tcPr>
                <w:p w14:paraId="7954AB0A" w14:textId="77777777" w:rsidR="00F05DC7" w:rsidRDefault="00F05DC7" w:rsidP="00A3786D">
                  <w:pPr>
                    <w:pStyle w:val="TableUnitsRow"/>
                  </w:pPr>
                </w:p>
              </w:tc>
              <w:tc>
                <w:tcPr>
                  <w:tcW w:w="429" w:type="pct"/>
                  <w:tcBorders>
                    <w:top w:val="single" w:sz="6" w:space="0" w:color="BFBFBF"/>
                  </w:tcBorders>
                </w:tcPr>
                <w:p w14:paraId="7954AB0B" w14:textId="77777777" w:rsidR="00F05DC7" w:rsidRDefault="00F05DC7" w:rsidP="00A3786D">
                  <w:pPr>
                    <w:pStyle w:val="TableUnitsRow"/>
                  </w:pPr>
                </w:p>
              </w:tc>
              <w:tc>
                <w:tcPr>
                  <w:tcW w:w="429" w:type="pct"/>
                  <w:tcBorders>
                    <w:top w:val="single" w:sz="6" w:space="0" w:color="BFBFBF"/>
                  </w:tcBorders>
                </w:tcPr>
                <w:p w14:paraId="7954AB0C" w14:textId="77777777" w:rsidR="00F05DC7" w:rsidRDefault="00F05DC7" w:rsidP="00A3786D">
                  <w:pPr>
                    <w:pStyle w:val="TableUnitsRow"/>
                  </w:pPr>
                </w:p>
              </w:tc>
              <w:tc>
                <w:tcPr>
                  <w:tcW w:w="429" w:type="pct"/>
                  <w:tcBorders>
                    <w:top w:val="single" w:sz="6" w:space="0" w:color="BFBFBF"/>
                  </w:tcBorders>
                </w:tcPr>
                <w:p w14:paraId="7954AB0D" w14:textId="77777777" w:rsidR="00F05DC7" w:rsidRDefault="00F05DC7" w:rsidP="00A3786D">
                  <w:pPr>
                    <w:pStyle w:val="TableUnitsRow"/>
                  </w:pPr>
                </w:p>
              </w:tc>
            </w:tr>
            <w:tr w:rsidR="00F05DC7" w14:paraId="7954AB18" w14:textId="77777777" w:rsidTr="00A3786D">
              <w:tc>
                <w:tcPr>
                  <w:tcW w:w="1567" w:type="pct"/>
                </w:tcPr>
                <w:p w14:paraId="7954AB0F" w14:textId="77777777" w:rsidR="00F05DC7" w:rsidRDefault="00F05DC7" w:rsidP="00A3786D">
                  <w:pPr>
                    <w:pStyle w:val="TableBodyText"/>
                    <w:jc w:val="left"/>
                  </w:pPr>
                  <w:r w:rsidRPr="00E23F9B">
                    <w:t>$ million</w:t>
                  </w:r>
                </w:p>
              </w:tc>
              <w:tc>
                <w:tcPr>
                  <w:tcW w:w="430" w:type="pct"/>
                </w:tcPr>
                <w:p w14:paraId="7954AB10" w14:textId="77777777" w:rsidR="00F05DC7" w:rsidRDefault="00F05DC7" w:rsidP="00A3786D">
                  <w:pPr>
                    <w:pStyle w:val="TableBodyText"/>
                  </w:pPr>
                  <w:r>
                    <w:t>302</w:t>
                  </w:r>
                </w:p>
              </w:tc>
              <w:tc>
                <w:tcPr>
                  <w:tcW w:w="430" w:type="pct"/>
                </w:tcPr>
                <w:p w14:paraId="7954AB11" w14:textId="77777777" w:rsidR="00F05DC7" w:rsidRDefault="00F05DC7" w:rsidP="00A3786D">
                  <w:pPr>
                    <w:pStyle w:val="TableBodyText"/>
                  </w:pPr>
                  <w:r>
                    <w:t>20</w:t>
                  </w:r>
                </w:p>
              </w:tc>
              <w:tc>
                <w:tcPr>
                  <w:tcW w:w="430" w:type="pct"/>
                </w:tcPr>
                <w:p w14:paraId="7954AB12" w14:textId="77777777" w:rsidR="00F05DC7" w:rsidRDefault="00F05DC7" w:rsidP="00A3786D">
                  <w:pPr>
                    <w:pStyle w:val="TableBodyText"/>
                  </w:pPr>
                  <w:r>
                    <w:noBreakHyphen/>
                    <w:t>128</w:t>
                  </w:r>
                </w:p>
              </w:tc>
              <w:tc>
                <w:tcPr>
                  <w:tcW w:w="429" w:type="pct"/>
                </w:tcPr>
                <w:p w14:paraId="7954AB13" w14:textId="77777777" w:rsidR="00F05DC7" w:rsidRDefault="00F05DC7" w:rsidP="00A3786D">
                  <w:pPr>
                    <w:pStyle w:val="TableBodyText"/>
                  </w:pPr>
                  <w:r>
                    <w:t>362</w:t>
                  </w:r>
                </w:p>
              </w:tc>
              <w:tc>
                <w:tcPr>
                  <w:tcW w:w="429" w:type="pct"/>
                </w:tcPr>
                <w:p w14:paraId="7954AB14" w14:textId="77777777" w:rsidR="00F05DC7" w:rsidRDefault="00F05DC7" w:rsidP="00A3786D">
                  <w:pPr>
                    <w:pStyle w:val="TableBodyText"/>
                  </w:pPr>
                  <w:r>
                    <w:noBreakHyphen/>
                    <w:t>219</w:t>
                  </w:r>
                </w:p>
              </w:tc>
              <w:tc>
                <w:tcPr>
                  <w:tcW w:w="429" w:type="pct"/>
                </w:tcPr>
                <w:p w14:paraId="7954AB15" w14:textId="77777777" w:rsidR="00F05DC7" w:rsidRDefault="00F05DC7" w:rsidP="00A3786D">
                  <w:pPr>
                    <w:pStyle w:val="TableBodyText"/>
                  </w:pPr>
                  <w:r>
                    <w:noBreakHyphen/>
                    <w:t>106</w:t>
                  </w:r>
                </w:p>
              </w:tc>
              <w:tc>
                <w:tcPr>
                  <w:tcW w:w="429" w:type="pct"/>
                </w:tcPr>
                <w:p w14:paraId="7954AB16" w14:textId="77777777" w:rsidR="00F05DC7" w:rsidRDefault="00F05DC7" w:rsidP="00A3786D">
                  <w:pPr>
                    <w:pStyle w:val="TableBodyText"/>
                  </w:pPr>
                  <w:r>
                    <w:noBreakHyphen/>
                    <w:t>20</w:t>
                  </w:r>
                </w:p>
              </w:tc>
              <w:tc>
                <w:tcPr>
                  <w:tcW w:w="429" w:type="pct"/>
                </w:tcPr>
                <w:p w14:paraId="7954AB17" w14:textId="77777777" w:rsidR="00F05DC7" w:rsidRDefault="00F05DC7" w:rsidP="00A3786D">
                  <w:pPr>
                    <w:pStyle w:val="TableBodyText"/>
                  </w:pPr>
                  <w:r>
                    <w:t>-211</w:t>
                  </w:r>
                </w:p>
              </w:tc>
            </w:tr>
            <w:tr w:rsidR="00F05DC7" w14:paraId="7954AB22" w14:textId="77777777" w:rsidTr="00A3786D">
              <w:tc>
                <w:tcPr>
                  <w:tcW w:w="1567" w:type="pct"/>
                </w:tcPr>
                <w:p w14:paraId="7954AB19" w14:textId="77777777" w:rsidR="00F05DC7" w:rsidRDefault="00F05DC7" w:rsidP="00A3786D">
                  <w:pPr>
                    <w:pStyle w:val="TableBodyText"/>
                    <w:jc w:val="left"/>
                  </w:pPr>
                  <w:r w:rsidRPr="002E79C4">
                    <w:t>$ per capita</w:t>
                  </w:r>
                </w:p>
              </w:tc>
              <w:tc>
                <w:tcPr>
                  <w:tcW w:w="430" w:type="pct"/>
                </w:tcPr>
                <w:p w14:paraId="7954AB1A" w14:textId="77777777" w:rsidR="00F05DC7" w:rsidRDefault="00F05DC7" w:rsidP="00A3786D">
                  <w:pPr>
                    <w:pStyle w:val="TableBodyText"/>
                  </w:pPr>
                  <w:r>
                    <w:t>38</w:t>
                  </w:r>
                </w:p>
              </w:tc>
              <w:tc>
                <w:tcPr>
                  <w:tcW w:w="430" w:type="pct"/>
                </w:tcPr>
                <w:p w14:paraId="7954AB1B" w14:textId="77777777" w:rsidR="00F05DC7" w:rsidRDefault="00F05DC7" w:rsidP="00A3786D">
                  <w:pPr>
                    <w:pStyle w:val="TableBodyText"/>
                  </w:pPr>
                  <w:r>
                    <w:t>3</w:t>
                  </w:r>
                </w:p>
              </w:tc>
              <w:tc>
                <w:tcPr>
                  <w:tcW w:w="430" w:type="pct"/>
                </w:tcPr>
                <w:p w14:paraId="7954AB1C" w14:textId="77777777" w:rsidR="00F05DC7" w:rsidRDefault="00F05DC7" w:rsidP="00A3786D">
                  <w:pPr>
                    <w:pStyle w:val="TableBodyText"/>
                  </w:pPr>
                  <w:r>
                    <w:noBreakHyphen/>
                    <w:t>26</w:t>
                  </w:r>
                </w:p>
              </w:tc>
              <w:tc>
                <w:tcPr>
                  <w:tcW w:w="429" w:type="pct"/>
                </w:tcPr>
                <w:p w14:paraId="7954AB1D" w14:textId="77777777" w:rsidR="00F05DC7" w:rsidRDefault="00F05DC7" w:rsidP="00A3786D">
                  <w:pPr>
                    <w:pStyle w:val="TableBodyText"/>
                  </w:pPr>
                  <w:r>
                    <w:t>138</w:t>
                  </w:r>
                </w:p>
              </w:tc>
              <w:tc>
                <w:tcPr>
                  <w:tcW w:w="429" w:type="pct"/>
                </w:tcPr>
                <w:p w14:paraId="7954AB1E" w14:textId="77777777" w:rsidR="00F05DC7" w:rsidRDefault="00F05DC7" w:rsidP="00A3786D">
                  <w:pPr>
                    <w:pStyle w:val="TableBodyText"/>
                  </w:pPr>
                  <w:r>
                    <w:noBreakHyphen/>
                    <w:t>126</w:t>
                  </w:r>
                </w:p>
              </w:tc>
              <w:tc>
                <w:tcPr>
                  <w:tcW w:w="429" w:type="pct"/>
                </w:tcPr>
                <w:p w14:paraId="7954AB1F" w14:textId="77777777" w:rsidR="00F05DC7" w:rsidRDefault="00F05DC7" w:rsidP="00A3786D">
                  <w:pPr>
                    <w:pStyle w:val="TableBodyText"/>
                  </w:pPr>
                  <w:r>
                    <w:noBreakHyphen/>
                    <w:t>202</w:t>
                  </w:r>
                </w:p>
              </w:tc>
              <w:tc>
                <w:tcPr>
                  <w:tcW w:w="429" w:type="pct"/>
                </w:tcPr>
                <w:p w14:paraId="7954AB20" w14:textId="77777777" w:rsidR="00F05DC7" w:rsidRDefault="00F05DC7" w:rsidP="00A3786D">
                  <w:pPr>
                    <w:pStyle w:val="TableBodyText"/>
                  </w:pPr>
                  <w:r>
                    <w:noBreakHyphen/>
                    <w:t>48</w:t>
                  </w:r>
                </w:p>
              </w:tc>
              <w:tc>
                <w:tcPr>
                  <w:tcW w:w="429" w:type="pct"/>
                </w:tcPr>
                <w:p w14:paraId="7954AB21" w14:textId="77777777" w:rsidR="00F05DC7" w:rsidRDefault="00F05DC7" w:rsidP="00A3786D">
                  <w:pPr>
                    <w:pStyle w:val="TableBodyText"/>
                  </w:pPr>
                  <w:r>
                    <w:t>-856</w:t>
                  </w:r>
                </w:p>
              </w:tc>
            </w:tr>
            <w:tr w:rsidR="00F05DC7" w14:paraId="7954AB2C" w14:textId="77777777" w:rsidTr="00A3786D">
              <w:tc>
                <w:tcPr>
                  <w:tcW w:w="1567" w:type="pct"/>
                </w:tcPr>
                <w:p w14:paraId="7954AB23" w14:textId="77777777" w:rsidR="00F05DC7" w:rsidRPr="002E79C4" w:rsidRDefault="00F05DC7" w:rsidP="00A3786D">
                  <w:pPr>
                    <w:pStyle w:val="TableBodyText"/>
                    <w:jc w:val="left"/>
                  </w:pPr>
                  <w:r>
                    <w:t>Relativity</w:t>
                  </w:r>
                </w:p>
              </w:tc>
              <w:tc>
                <w:tcPr>
                  <w:tcW w:w="430" w:type="pct"/>
                  <w:vAlign w:val="center"/>
                </w:tcPr>
                <w:p w14:paraId="7954AB24" w14:textId="77777777" w:rsidR="00F05DC7" w:rsidRDefault="00F05DC7" w:rsidP="00A3786D">
                  <w:pPr>
                    <w:pStyle w:val="TableBodyText"/>
                  </w:pPr>
                  <w:r>
                    <w:rPr>
                      <w:rFonts w:cs="Arial"/>
                      <w:color w:val="000000"/>
                      <w:szCs w:val="18"/>
                    </w:rPr>
                    <w:t>0.87</w:t>
                  </w:r>
                </w:p>
              </w:tc>
              <w:tc>
                <w:tcPr>
                  <w:tcW w:w="430" w:type="pct"/>
                  <w:vAlign w:val="center"/>
                </w:tcPr>
                <w:p w14:paraId="7954AB25" w14:textId="77777777" w:rsidR="00F05DC7" w:rsidRDefault="00F05DC7" w:rsidP="00A3786D">
                  <w:pPr>
                    <w:pStyle w:val="TableBodyText"/>
                  </w:pPr>
                  <w:r>
                    <w:rPr>
                      <w:rFonts w:cs="Arial"/>
                      <w:color w:val="000000"/>
                      <w:szCs w:val="18"/>
                    </w:rPr>
                    <w:t>0.99</w:t>
                  </w:r>
                </w:p>
              </w:tc>
              <w:tc>
                <w:tcPr>
                  <w:tcW w:w="430" w:type="pct"/>
                  <w:vAlign w:val="center"/>
                </w:tcPr>
                <w:p w14:paraId="7954AB26" w14:textId="77777777" w:rsidR="00F05DC7" w:rsidRDefault="00F05DC7" w:rsidP="00A3786D">
                  <w:pPr>
                    <w:pStyle w:val="TableBodyText"/>
                  </w:pPr>
                  <w:r>
                    <w:rPr>
                      <w:rFonts w:cs="Arial"/>
                      <w:color w:val="000000"/>
                      <w:szCs w:val="18"/>
                    </w:rPr>
                    <w:t>1.09</w:t>
                  </w:r>
                </w:p>
              </w:tc>
              <w:tc>
                <w:tcPr>
                  <w:tcW w:w="429" w:type="pct"/>
                  <w:vAlign w:val="center"/>
                </w:tcPr>
                <w:p w14:paraId="7954AB27" w14:textId="77777777" w:rsidR="00F05DC7" w:rsidRDefault="00F05DC7" w:rsidP="00A3786D">
                  <w:pPr>
                    <w:pStyle w:val="TableBodyText"/>
                  </w:pPr>
                  <w:r>
                    <w:rPr>
                      <w:rFonts w:cs="Arial"/>
                      <w:color w:val="000000"/>
                      <w:szCs w:val="18"/>
                    </w:rPr>
                    <w:t>0.53</w:t>
                  </w:r>
                </w:p>
              </w:tc>
              <w:tc>
                <w:tcPr>
                  <w:tcW w:w="429" w:type="pct"/>
                  <w:vAlign w:val="center"/>
                </w:tcPr>
                <w:p w14:paraId="7954AB28" w14:textId="77777777" w:rsidR="00F05DC7" w:rsidRDefault="00F05DC7" w:rsidP="00A3786D">
                  <w:pPr>
                    <w:pStyle w:val="TableBodyText"/>
                    <w:rPr>
                      <w:rFonts w:cs="Arial"/>
                      <w:color w:val="000000"/>
                      <w:szCs w:val="18"/>
                    </w:rPr>
                  </w:pPr>
                  <w:r>
                    <w:rPr>
                      <w:rFonts w:cs="Arial"/>
                      <w:color w:val="000000"/>
                      <w:szCs w:val="18"/>
                    </w:rPr>
                    <w:t>1.43</w:t>
                  </w:r>
                </w:p>
              </w:tc>
              <w:tc>
                <w:tcPr>
                  <w:tcW w:w="429" w:type="pct"/>
                  <w:vAlign w:val="center"/>
                </w:tcPr>
                <w:p w14:paraId="7954AB29" w14:textId="77777777" w:rsidR="00F05DC7" w:rsidRDefault="00F05DC7" w:rsidP="00A3786D">
                  <w:pPr>
                    <w:pStyle w:val="TableBodyText"/>
                    <w:rPr>
                      <w:rFonts w:cs="Arial"/>
                      <w:color w:val="000000"/>
                      <w:szCs w:val="18"/>
                    </w:rPr>
                  </w:pPr>
                  <w:r>
                    <w:rPr>
                      <w:rFonts w:cs="Arial"/>
                      <w:color w:val="000000"/>
                      <w:szCs w:val="18"/>
                    </w:rPr>
                    <w:t>1.69</w:t>
                  </w:r>
                </w:p>
              </w:tc>
              <w:tc>
                <w:tcPr>
                  <w:tcW w:w="429" w:type="pct"/>
                  <w:vAlign w:val="center"/>
                </w:tcPr>
                <w:p w14:paraId="7954AB2A" w14:textId="77777777" w:rsidR="00F05DC7" w:rsidRDefault="00F05DC7" w:rsidP="00A3786D">
                  <w:pPr>
                    <w:pStyle w:val="TableBodyText"/>
                    <w:rPr>
                      <w:rFonts w:cs="Arial"/>
                      <w:color w:val="000000"/>
                      <w:szCs w:val="18"/>
                    </w:rPr>
                  </w:pPr>
                  <w:r>
                    <w:rPr>
                      <w:rFonts w:cs="Arial"/>
                      <w:color w:val="000000"/>
                      <w:szCs w:val="18"/>
                    </w:rPr>
                    <w:t>1.16</w:t>
                  </w:r>
                </w:p>
              </w:tc>
              <w:tc>
                <w:tcPr>
                  <w:tcW w:w="429" w:type="pct"/>
                </w:tcPr>
                <w:p w14:paraId="7954AB2B" w14:textId="77777777" w:rsidR="00F05DC7" w:rsidRDefault="00F05DC7" w:rsidP="00A3786D">
                  <w:pPr>
                    <w:pStyle w:val="TableBodyText"/>
                    <w:rPr>
                      <w:rFonts w:cs="Arial"/>
                      <w:color w:val="000000"/>
                      <w:szCs w:val="18"/>
                    </w:rPr>
                  </w:pPr>
                  <w:r>
                    <w:rPr>
                      <w:rFonts w:cs="Arial"/>
                      <w:color w:val="000000"/>
                      <w:szCs w:val="18"/>
                    </w:rPr>
                    <w:t>3.94</w:t>
                  </w:r>
                </w:p>
              </w:tc>
            </w:tr>
            <w:tr w:rsidR="00F05DC7" w14:paraId="7954AB36" w14:textId="77777777" w:rsidTr="00A3786D">
              <w:tc>
                <w:tcPr>
                  <w:tcW w:w="1567" w:type="pct"/>
                </w:tcPr>
                <w:p w14:paraId="7954AB2D" w14:textId="77777777" w:rsidR="00F05DC7" w:rsidRPr="00E23F9B" w:rsidRDefault="00F05DC7" w:rsidP="00A3786D">
                  <w:pPr>
                    <w:pStyle w:val="TableBodyText"/>
                    <w:jc w:val="left"/>
                    <w:rPr>
                      <w:b/>
                    </w:rPr>
                  </w:pPr>
                  <w:r w:rsidRPr="00E23F9B">
                    <w:rPr>
                      <w:b/>
                    </w:rPr>
                    <w:t>Equalisation to the average of the fiscally strong States</w:t>
                  </w:r>
                </w:p>
              </w:tc>
              <w:tc>
                <w:tcPr>
                  <w:tcW w:w="430" w:type="pct"/>
                </w:tcPr>
                <w:p w14:paraId="7954AB2E" w14:textId="77777777" w:rsidR="00F05DC7" w:rsidRDefault="00F05DC7" w:rsidP="00A3786D">
                  <w:pPr>
                    <w:pStyle w:val="TableBodyText"/>
                  </w:pPr>
                </w:p>
              </w:tc>
              <w:tc>
                <w:tcPr>
                  <w:tcW w:w="430" w:type="pct"/>
                </w:tcPr>
                <w:p w14:paraId="7954AB2F" w14:textId="77777777" w:rsidR="00F05DC7" w:rsidRDefault="00F05DC7" w:rsidP="00A3786D">
                  <w:pPr>
                    <w:pStyle w:val="TableBodyText"/>
                  </w:pPr>
                </w:p>
              </w:tc>
              <w:tc>
                <w:tcPr>
                  <w:tcW w:w="430" w:type="pct"/>
                </w:tcPr>
                <w:p w14:paraId="7954AB30" w14:textId="77777777" w:rsidR="00F05DC7" w:rsidRDefault="00F05DC7" w:rsidP="00A3786D">
                  <w:pPr>
                    <w:pStyle w:val="TableBodyText"/>
                  </w:pPr>
                </w:p>
              </w:tc>
              <w:tc>
                <w:tcPr>
                  <w:tcW w:w="429" w:type="pct"/>
                </w:tcPr>
                <w:p w14:paraId="7954AB31" w14:textId="77777777" w:rsidR="00F05DC7" w:rsidRDefault="00F05DC7" w:rsidP="00A3786D">
                  <w:pPr>
                    <w:pStyle w:val="TableBodyText"/>
                  </w:pPr>
                </w:p>
              </w:tc>
              <w:tc>
                <w:tcPr>
                  <w:tcW w:w="429" w:type="pct"/>
                </w:tcPr>
                <w:p w14:paraId="7954AB32" w14:textId="77777777" w:rsidR="00F05DC7" w:rsidRDefault="00F05DC7" w:rsidP="00A3786D">
                  <w:pPr>
                    <w:pStyle w:val="TableBodyText"/>
                  </w:pPr>
                </w:p>
              </w:tc>
              <w:tc>
                <w:tcPr>
                  <w:tcW w:w="429" w:type="pct"/>
                </w:tcPr>
                <w:p w14:paraId="7954AB33" w14:textId="77777777" w:rsidR="00F05DC7" w:rsidRDefault="00F05DC7" w:rsidP="00A3786D">
                  <w:pPr>
                    <w:pStyle w:val="TableBodyText"/>
                  </w:pPr>
                </w:p>
              </w:tc>
              <w:tc>
                <w:tcPr>
                  <w:tcW w:w="429" w:type="pct"/>
                </w:tcPr>
                <w:p w14:paraId="7954AB34" w14:textId="77777777" w:rsidR="00F05DC7" w:rsidRDefault="00F05DC7" w:rsidP="00A3786D">
                  <w:pPr>
                    <w:pStyle w:val="TableBodyText"/>
                  </w:pPr>
                </w:p>
              </w:tc>
              <w:tc>
                <w:tcPr>
                  <w:tcW w:w="429" w:type="pct"/>
                </w:tcPr>
                <w:p w14:paraId="7954AB35" w14:textId="77777777" w:rsidR="00F05DC7" w:rsidRDefault="00F05DC7" w:rsidP="00A3786D">
                  <w:pPr>
                    <w:pStyle w:val="TableBodyText"/>
                  </w:pPr>
                </w:p>
              </w:tc>
            </w:tr>
            <w:tr w:rsidR="00F05DC7" w14:paraId="7954AB40" w14:textId="77777777" w:rsidTr="00A3786D">
              <w:tc>
                <w:tcPr>
                  <w:tcW w:w="1567" w:type="pct"/>
                </w:tcPr>
                <w:p w14:paraId="7954AB37" w14:textId="77777777" w:rsidR="00F05DC7" w:rsidRPr="00E23F9B" w:rsidRDefault="00F05DC7" w:rsidP="00A3786D">
                  <w:pPr>
                    <w:pStyle w:val="TableBodyText"/>
                    <w:jc w:val="left"/>
                  </w:pPr>
                  <w:r>
                    <w:t>$ million</w:t>
                  </w:r>
                </w:p>
              </w:tc>
              <w:tc>
                <w:tcPr>
                  <w:tcW w:w="430" w:type="pct"/>
                </w:tcPr>
                <w:p w14:paraId="7954AB38" w14:textId="77777777" w:rsidR="00F05DC7" w:rsidRDefault="00F05DC7" w:rsidP="00A3786D">
                  <w:pPr>
                    <w:pStyle w:val="TableBodyText"/>
                  </w:pPr>
                  <w:r>
                    <w:noBreakHyphen/>
                    <w:t>823</w:t>
                  </w:r>
                </w:p>
              </w:tc>
              <w:tc>
                <w:tcPr>
                  <w:tcW w:w="430" w:type="pct"/>
                </w:tcPr>
                <w:p w14:paraId="7954AB39" w14:textId="77777777" w:rsidR="00F05DC7" w:rsidRDefault="00F05DC7" w:rsidP="00A3786D">
                  <w:pPr>
                    <w:pStyle w:val="TableBodyText"/>
                  </w:pPr>
                  <w:r>
                    <w:noBreakHyphen/>
                    <w:t>666</w:t>
                  </w:r>
                </w:p>
              </w:tc>
              <w:tc>
                <w:tcPr>
                  <w:tcW w:w="430" w:type="pct"/>
                </w:tcPr>
                <w:p w14:paraId="7954AB3A" w14:textId="77777777" w:rsidR="00F05DC7" w:rsidRDefault="00F05DC7" w:rsidP="00A3786D">
                  <w:pPr>
                    <w:pStyle w:val="TableBodyText"/>
                  </w:pPr>
                  <w:r>
                    <w:noBreakHyphen/>
                    <w:t>515</w:t>
                  </w:r>
                </w:p>
              </w:tc>
              <w:tc>
                <w:tcPr>
                  <w:tcW w:w="429" w:type="pct"/>
                </w:tcPr>
                <w:p w14:paraId="7954AB3B" w14:textId="77777777" w:rsidR="00F05DC7" w:rsidRDefault="00F05DC7" w:rsidP="00A3786D">
                  <w:pPr>
                    <w:pStyle w:val="TableBodyText"/>
                  </w:pPr>
                  <w:r>
                    <w:t>2 303</w:t>
                  </w:r>
                </w:p>
              </w:tc>
              <w:tc>
                <w:tcPr>
                  <w:tcW w:w="429" w:type="pct"/>
                </w:tcPr>
                <w:p w14:paraId="7954AB3C" w14:textId="77777777" w:rsidR="00F05DC7" w:rsidRDefault="00F05DC7" w:rsidP="00A3786D">
                  <w:pPr>
                    <w:pStyle w:val="TableBodyText"/>
                  </w:pPr>
                  <w:r>
                    <w:noBreakHyphen/>
                    <w:t>178</w:t>
                  </w:r>
                </w:p>
              </w:tc>
              <w:tc>
                <w:tcPr>
                  <w:tcW w:w="429" w:type="pct"/>
                </w:tcPr>
                <w:p w14:paraId="7954AB3D" w14:textId="77777777" w:rsidR="00F05DC7" w:rsidRDefault="00F05DC7" w:rsidP="00A3786D">
                  <w:pPr>
                    <w:pStyle w:val="TableBodyText"/>
                  </w:pPr>
                  <w:r>
                    <w:noBreakHyphen/>
                    <w:t>54</w:t>
                  </w:r>
                </w:p>
              </w:tc>
              <w:tc>
                <w:tcPr>
                  <w:tcW w:w="429" w:type="pct"/>
                </w:tcPr>
                <w:p w14:paraId="7954AB3E" w14:textId="77777777" w:rsidR="00F05DC7" w:rsidRDefault="00F05DC7" w:rsidP="00A3786D">
                  <w:pPr>
                    <w:pStyle w:val="TableBodyText"/>
                  </w:pPr>
                  <w:r>
                    <w:noBreakHyphen/>
                    <w:t>43</w:t>
                  </w:r>
                </w:p>
              </w:tc>
              <w:tc>
                <w:tcPr>
                  <w:tcW w:w="429" w:type="pct"/>
                </w:tcPr>
                <w:p w14:paraId="7954AB3F" w14:textId="77777777" w:rsidR="00F05DC7" w:rsidRDefault="00F05DC7" w:rsidP="00A3786D">
                  <w:pPr>
                    <w:pStyle w:val="TableBodyText"/>
                  </w:pPr>
                  <w:r>
                    <w:t>-25</w:t>
                  </w:r>
                </w:p>
              </w:tc>
            </w:tr>
            <w:tr w:rsidR="00F05DC7" w14:paraId="7954AB4A" w14:textId="77777777" w:rsidTr="00A3786D">
              <w:tc>
                <w:tcPr>
                  <w:tcW w:w="1567" w:type="pct"/>
                </w:tcPr>
                <w:p w14:paraId="7954AB41" w14:textId="77777777" w:rsidR="00F05DC7" w:rsidRPr="002E79C4" w:rsidRDefault="00F05DC7" w:rsidP="00A3786D">
                  <w:pPr>
                    <w:pStyle w:val="TableBodyText"/>
                    <w:jc w:val="left"/>
                  </w:pPr>
                  <w:r>
                    <w:t>$ per capita</w:t>
                  </w:r>
                </w:p>
              </w:tc>
              <w:tc>
                <w:tcPr>
                  <w:tcW w:w="430" w:type="pct"/>
                </w:tcPr>
                <w:p w14:paraId="7954AB42" w14:textId="77777777" w:rsidR="00F05DC7" w:rsidRDefault="00F05DC7" w:rsidP="00A3786D">
                  <w:pPr>
                    <w:pStyle w:val="TableBodyText"/>
                  </w:pPr>
                  <w:r>
                    <w:noBreakHyphen/>
                    <w:t>102</w:t>
                  </w:r>
                </w:p>
              </w:tc>
              <w:tc>
                <w:tcPr>
                  <w:tcW w:w="430" w:type="pct"/>
                </w:tcPr>
                <w:p w14:paraId="7954AB43" w14:textId="77777777" w:rsidR="00F05DC7" w:rsidRDefault="00F05DC7" w:rsidP="00A3786D">
                  <w:pPr>
                    <w:pStyle w:val="TableBodyText"/>
                  </w:pPr>
                  <w:r>
                    <w:noBreakHyphen/>
                    <w:t>102</w:t>
                  </w:r>
                </w:p>
              </w:tc>
              <w:tc>
                <w:tcPr>
                  <w:tcW w:w="430" w:type="pct"/>
                </w:tcPr>
                <w:p w14:paraId="7954AB44" w14:textId="77777777" w:rsidR="00F05DC7" w:rsidRDefault="00F05DC7" w:rsidP="00A3786D">
                  <w:pPr>
                    <w:pStyle w:val="TableBodyText"/>
                  </w:pPr>
                  <w:r>
                    <w:noBreakHyphen/>
                    <w:t>102</w:t>
                  </w:r>
                </w:p>
              </w:tc>
              <w:tc>
                <w:tcPr>
                  <w:tcW w:w="429" w:type="pct"/>
                </w:tcPr>
                <w:p w14:paraId="7954AB45" w14:textId="77777777" w:rsidR="00F05DC7" w:rsidRDefault="00F05DC7" w:rsidP="00A3786D">
                  <w:pPr>
                    <w:pStyle w:val="TableBodyText"/>
                  </w:pPr>
                  <w:r>
                    <w:t>879</w:t>
                  </w:r>
                </w:p>
              </w:tc>
              <w:tc>
                <w:tcPr>
                  <w:tcW w:w="429" w:type="pct"/>
                </w:tcPr>
                <w:p w14:paraId="7954AB46" w14:textId="77777777" w:rsidR="00F05DC7" w:rsidRDefault="00F05DC7" w:rsidP="00A3786D">
                  <w:pPr>
                    <w:pStyle w:val="TableBodyText"/>
                  </w:pPr>
                  <w:r>
                    <w:noBreakHyphen/>
                    <w:t>102</w:t>
                  </w:r>
                </w:p>
              </w:tc>
              <w:tc>
                <w:tcPr>
                  <w:tcW w:w="429" w:type="pct"/>
                </w:tcPr>
                <w:p w14:paraId="7954AB47" w14:textId="77777777" w:rsidR="00F05DC7" w:rsidRDefault="00F05DC7" w:rsidP="00A3786D">
                  <w:pPr>
                    <w:pStyle w:val="TableBodyText"/>
                  </w:pPr>
                  <w:r>
                    <w:noBreakHyphen/>
                    <w:t>102</w:t>
                  </w:r>
                </w:p>
              </w:tc>
              <w:tc>
                <w:tcPr>
                  <w:tcW w:w="429" w:type="pct"/>
                </w:tcPr>
                <w:p w14:paraId="7954AB48" w14:textId="77777777" w:rsidR="00F05DC7" w:rsidRDefault="00F05DC7" w:rsidP="00A3786D">
                  <w:pPr>
                    <w:pStyle w:val="TableBodyText"/>
                  </w:pPr>
                  <w:r>
                    <w:noBreakHyphen/>
                    <w:t>102</w:t>
                  </w:r>
                </w:p>
              </w:tc>
              <w:tc>
                <w:tcPr>
                  <w:tcW w:w="429" w:type="pct"/>
                </w:tcPr>
                <w:p w14:paraId="7954AB49" w14:textId="77777777" w:rsidR="00F05DC7" w:rsidRDefault="00F05DC7" w:rsidP="00A3786D">
                  <w:pPr>
                    <w:pStyle w:val="TableBodyText"/>
                  </w:pPr>
                  <w:r>
                    <w:t>-102</w:t>
                  </w:r>
                </w:p>
              </w:tc>
            </w:tr>
            <w:tr w:rsidR="00F05DC7" w14:paraId="7954AB54" w14:textId="77777777" w:rsidTr="00A3786D">
              <w:tc>
                <w:tcPr>
                  <w:tcW w:w="1567" w:type="pct"/>
                </w:tcPr>
                <w:p w14:paraId="7954AB4B" w14:textId="77777777" w:rsidR="00F05DC7" w:rsidRDefault="00F05DC7" w:rsidP="00A3786D">
                  <w:pPr>
                    <w:pStyle w:val="TableBodyText"/>
                    <w:jc w:val="left"/>
                  </w:pPr>
                  <w:r>
                    <w:t xml:space="preserve">Relativity </w:t>
                  </w:r>
                </w:p>
              </w:tc>
              <w:tc>
                <w:tcPr>
                  <w:tcW w:w="430" w:type="pct"/>
                  <w:vAlign w:val="center"/>
                </w:tcPr>
                <w:p w14:paraId="7954AB4C" w14:textId="77777777" w:rsidR="00F05DC7" w:rsidRDefault="00F05DC7" w:rsidP="00A3786D">
                  <w:pPr>
                    <w:pStyle w:val="TableBodyText"/>
                  </w:pPr>
                  <w:r w:rsidRPr="00B331DE">
                    <w:rPr>
                      <w:rFonts w:cs="Arial"/>
                      <w:szCs w:val="18"/>
                    </w:rPr>
                    <w:t>0.8</w:t>
                  </w:r>
                  <w:r>
                    <w:rPr>
                      <w:rFonts w:cs="Arial"/>
                      <w:szCs w:val="18"/>
                    </w:rPr>
                    <w:t>2</w:t>
                  </w:r>
                </w:p>
              </w:tc>
              <w:tc>
                <w:tcPr>
                  <w:tcW w:w="430" w:type="pct"/>
                  <w:vAlign w:val="center"/>
                </w:tcPr>
                <w:p w14:paraId="7954AB4D" w14:textId="77777777" w:rsidR="00F05DC7" w:rsidRDefault="00F05DC7" w:rsidP="00A3786D">
                  <w:pPr>
                    <w:pStyle w:val="TableBodyText"/>
                  </w:pPr>
                  <w:r w:rsidRPr="00B331DE">
                    <w:rPr>
                      <w:rFonts w:cs="Arial"/>
                      <w:szCs w:val="18"/>
                    </w:rPr>
                    <w:t>0.</w:t>
                  </w:r>
                  <w:r>
                    <w:rPr>
                      <w:rFonts w:cs="Arial"/>
                      <w:szCs w:val="18"/>
                    </w:rPr>
                    <w:t>95</w:t>
                  </w:r>
                </w:p>
              </w:tc>
              <w:tc>
                <w:tcPr>
                  <w:tcW w:w="430" w:type="pct"/>
                  <w:vAlign w:val="center"/>
                </w:tcPr>
                <w:p w14:paraId="7954AB4E" w14:textId="77777777" w:rsidR="00F05DC7" w:rsidRDefault="00F05DC7" w:rsidP="00A3786D">
                  <w:pPr>
                    <w:pStyle w:val="TableBodyText"/>
                  </w:pPr>
                  <w:r w:rsidRPr="00B331DE">
                    <w:rPr>
                      <w:rFonts w:cs="Arial"/>
                      <w:szCs w:val="18"/>
                    </w:rPr>
                    <w:t>1.</w:t>
                  </w:r>
                  <w:r>
                    <w:rPr>
                      <w:rFonts w:cs="Arial"/>
                      <w:szCs w:val="18"/>
                    </w:rPr>
                    <w:t>06</w:t>
                  </w:r>
                </w:p>
              </w:tc>
              <w:tc>
                <w:tcPr>
                  <w:tcW w:w="429" w:type="pct"/>
                  <w:vAlign w:val="center"/>
                </w:tcPr>
                <w:p w14:paraId="7954AB4F" w14:textId="77777777" w:rsidR="00F05DC7" w:rsidRDefault="00F05DC7" w:rsidP="00A3786D">
                  <w:pPr>
                    <w:pStyle w:val="TableBodyText"/>
                  </w:pPr>
                  <w:r w:rsidRPr="00B331DE">
                    <w:rPr>
                      <w:rFonts w:cs="Arial"/>
                      <w:szCs w:val="18"/>
                    </w:rPr>
                    <w:t>0.</w:t>
                  </w:r>
                  <w:r>
                    <w:rPr>
                      <w:rFonts w:cs="Arial"/>
                      <w:szCs w:val="18"/>
                    </w:rPr>
                    <w:t>81</w:t>
                  </w:r>
                </w:p>
              </w:tc>
              <w:tc>
                <w:tcPr>
                  <w:tcW w:w="429" w:type="pct"/>
                  <w:vAlign w:val="center"/>
                </w:tcPr>
                <w:p w14:paraId="7954AB50" w14:textId="77777777" w:rsidR="00F05DC7" w:rsidRPr="00B331DE" w:rsidRDefault="00F05DC7" w:rsidP="00A3786D">
                  <w:pPr>
                    <w:pStyle w:val="TableBodyText"/>
                    <w:rPr>
                      <w:rFonts w:cs="Arial"/>
                      <w:szCs w:val="18"/>
                    </w:rPr>
                  </w:pPr>
                  <w:r w:rsidRPr="00B331DE">
                    <w:rPr>
                      <w:rFonts w:cs="Arial"/>
                      <w:szCs w:val="18"/>
                    </w:rPr>
                    <w:t>1.</w:t>
                  </w:r>
                  <w:r>
                    <w:rPr>
                      <w:rFonts w:cs="Arial"/>
                      <w:szCs w:val="18"/>
                    </w:rPr>
                    <w:t>44</w:t>
                  </w:r>
                </w:p>
              </w:tc>
              <w:tc>
                <w:tcPr>
                  <w:tcW w:w="429" w:type="pct"/>
                  <w:vAlign w:val="center"/>
                </w:tcPr>
                <w:p w14:paraId="7954AB51" w14:textId="77777777" w:rsidR="00F05DC7" w:rsidRPr="00B331DE" w:rsidRDefault="00F05DC7" w:rsidP="00A3786D">
                  <w:pPr>
                    <w:pStyle w:val="TableBodyText"/>
                    <w:rPr>
                      <w:rFonts w:cs="Arial"/>
                      <w:szCs w:val="18"/>
                    </w:rPr>
                  </w:pPr>
                  <w:r w:rsidRPr="00B331DE">
                    <w:rPr>
                      <w:rFonts w:cs="Arial"/>
                      <w:szCs w:val="18"/>
                    </w:rPr>
                    <w:t>1.7</w:t>
                  </w:r>
                  <w:r>
                    <w:rPr>
                      <w:rFonts w:cs="Arial"/>
                      <w:szCs w:val="18"/>
                    </w:rPr>
                    <w:t>3</w:t>
                  </w:r>
                </w:p>
              </w:tc>
              <w:tc>
                <w:tcPr>
                  <w:tcW w:w="429" w:type="pct"/>
                  <w:vAlign w:val="center"/>
                </w:tcPr>
                <w:p w14:paraId="7954AB52" w14:textId="77777777" w:rsidR="00F05DC7" w:rsidRPr="00B331DE" w:rsidRDefault="00F05DC7" w:rsidP="00A3786D">
                  <w:pPr>
                    <w:pStyle w:val="TableBodyText"/>
                    <w:rPr>
                      <w:rFonts w:cs="Arial"/>
                      <w:szCs w:val="18"/>
                    </w:rPr>
                  </w:pPr>
                  <w:r w:rsidRPr="00B331DE">
                    <w:rPr>
                      <w:rFonts w:cs="Arial"/>
                      <w:szCs w:val="18"/>
                    </w:rPr>
                    <w:t>1.1</w:t>
                  </w:r>
                  <w:r>
                    <w:rPr>
                      <w:rFonts w:cs="Arial"/>
                      <w:szCs w:val="18"/>
                    </w:rPr>
                    <w:t>4</w:t>
                  </w:r>
                </w:p>
              </w:tc>
              <w:tc>
                <w:tcPr>
                  <w:tcW w:w="429" w:type="pct"/>
                </w:tcPr>
                <w:p w14:paraId="7954AB53" w14:textId="77777777" w:rsidR="00F05DC7" w:rsidRPr="00B331DE" w:rsidRDefault="00F05DC7" w:rsidP="00A3786D">
                  <w:pPr>
                    <w:pStyle w:val="TableBodyText"/>
                    <w:rPr>
                      <w:rFonts w:cs="Arial"/>
                      <w:szCs w:val="18"/>
                    </w:rPr>
                  </w:pPr>
                  <w:r>
                    <w:rPr>
                      <w:rFonts w:cs="Arial"/>
                      <w:szCs w:val="18"/>
                    </w:rPr>
                    <w:t>4.23</w:t>
                  </w:r>
                </w:p>
              </w:tc>
            </w:tr>
            <w:tr w:rsidR="00F05DC7" w14:paraId="7954AB5E" w14:textId="77777777" w:rsidTr="00A3786D">
              <w:tc>
                <w:tcPr>
                  <w:tcW w:w="1567" w:type="pct"/>
                </w:tcPr>
                <w:p w14:paraId="7954AB55" w14:textId="77777777" w:rsidR="00F05DC7" w:rsidRPr="002E79C4" w:rsidRDefault="00F05DC7" w:rsidP="00A3786D">
                  <w:pPr>
                    <w:pStyle w:val="TableBodyText"/>
                    <w:jc w:val="left"/>
                    <w:rPr>
                      <w:b/>
                    </w:rPr>
                  </w:pPr>
                  <w:r w:rsidRPr="002E79C4">
                    <w:rPr>
                      <w:b/>
                    </w:rPr>
                    <w:t>Equalisation to the second strongest State</w:t>
                  </w:r>
                </w:p>
              </w:tc>
              <w:tc>
                <w:tcPr>
                  <w:tcW w:w="430" w:type="pct"/>
                </w:tcPr>
                <w:p w14:paraId="7954AB56" w14:textId="77777777" w:rsidR="00F05DC7" w:rsidRDefault="00F05DC7" w:rsidP="00A3786D">
                  <w:pPr>
                    <w:pStyle w:val="TableBodyText"/>
                  </w:pPr>
                </w:p>
              </w:tc>
              <w:tc>
                <w:tcPr>
                  <w:tcW w:w="430" w:type="pct"/>
                </w:tcPr>
                <w:p w14:paraId="7954AB57" w14:textId="77777777" w:rsidR="00F05DC7" w:rsidRDefault="00F05DC7" w:rsidP="00A3786D">
                  <w:pPr>
                    <w:pStyle w:val="TableBodyText"/>
                  </w:pPr>
                </w:p>
              </w:tc>
              <w:tc>
                <w:tcPr>
                  <w:tcW w:w="430" w:type="pct"/>
                </w:tcPr>
                <w:p w14:paraId="7954AB58" w14:textId="77777777" w:rsidR="00F05DC7" w:rsidRDefault="00F05DC7" w:rsidP="00A3786D">
                  <w:pPr>
                    <w:pStyle w:val="TableBodyText"/>
                  </w:pPr>
                </w:p>
              </w:tc>
              <w:tc>
                <w:tcPr>
                  <w:tcW w:w="429" w:type="pct"/>
                </w:tcPr>
                <w:p w14:paraId="7954AB59" w14:textId="77777777" w:rsidR="00F05DC7" w:rsidRDefault="00F05DC7" w:rsidP="00A3786D">
                  <w:pPr>
                    <w:pStyle w:val="TableBodyText"/>
                  </w:pPr>
                </w:p>
              </w:tc>
              <w:tc>
                <w:tcPr>
                  <w:tcW w:w="429" w:type="pct"/>
                </w:tcPr>
                <w:p w14:paraId="7954AB5A" w14:textId="77777777" w:rsidR="00F05DC7" w:rsidRDefault="00F05DC7" w:rsidP="00A3786D">
                  <w:pPr>
                    <w:pStyle w:val="TableBodyText"/>
                  </w:pPr>
                </w:p>
              </w:tc>
              <w:tc>
                <w:tcPr>
                  <w:tcW w:w="429" w:type="pct"/>
                </w:tcPr>
                <w:p w14:paraId="7954AB5B" w14:textId="77777777" w:rsidR="00F05DC7" w:rsidRDefault="00F05DC7" w:rsidP="00A3786D">
                  <w:pPr>
                    <w:pStyle w:val="TableBodyText"/>
                  </w:pPr>
                </w:p>
              </w:tc>
              <w:tc>
                <w:tcPr>
                  <w:tcW w:w="429" w:type="pct"/>
                </w:tcPr>
                <w:p w14:paraId="7954AB5C" w14:textId="77777777" w:rsidR="00F05DC7" w:rsidRDefault="00F05DC7" w:rsidP="00A3786D">
                  <w:pPr>
                    <w:pStyle w:val="TableBodyText"/>
                  </w:pPr>
                </w:p>
              </w:tc>
              <w:tc>
                <w:tcPr>
                  <w:tcW w:w="429" w:type="pct"/>
                </w:tcPr>
                <w:p w14:paraId="7954AB5D" w14:textId="77777777" w:rsidR="00F05DC7" w:rsidRDefault="00F05DC7" w:rsidP="00A3786D">
                  <w:pPr>
                    <w:pStyle w:val="TableBodyText"/>
                  </w:pPr>
                </w:p>
              </w:tc>
            </w:tr>
            <w:tr w:rsidR="00F05DC7" w14:paraId="7954AB68" w14:textId="77777777" w:rsidTr="00A3786D">
              <w:tc>
                <w:tcPr>
                  <w:tcW w:w="1567" w:type="pct"/>
                </w:tcPr>
                <w:p w14:paraId="7954AB5F" w14:textId="77777777" w:rsidR="00F05DC7" w:rsidRPr="00E23F9B" w:rsidRDefault="00F05DC7" w:rsidP="00A3786D">
                  <w:pPr>
                    <w:pStyle w:val="TableBodyText"/>
                    <w:jc w:val="left"/>
                  </w:pPr>
                  <w:r>
                    <w:t>$ million</w:t>
                  </w:r>
                </w:p>
              </w:tc>
              <w:tc>
                <w:tcPr>
                  <w:tcW w:w="430" w:type="pct"/>
                </w:tcPr>
                <w:p w14:paraId="7954AB60" w14:textId="77777777" w:rsidR="00F05DC7" w:rsidRDefault="00F05DC7" w:rsidP="00A3786D">
                  <w:pPr>
                    <w:pStyle w:val="TableBodyText"/>
                  </w:pPr>
                  <w:r>
                    <w:noBreakHyphen/>
                    <w:t>842</w:t>
                  </w:r>
                </w:p>
              </w:tc>
              <w:tc>
                <w:tcPr>
                  <w:tcW w:w="430" w:type="pct"/>
                </w:tcPr>
                <w:p w14:paraId="7954AB61" w14:textId="77777777" w:rsidR="00F05DC7" w:rsidRDefault="00F05DC7" w:rsidP="00A3786D">
                  <w:pPr>
                    <w:pStyle w:val="TableBodyText"/>
                  </w:pPr>
                  <w:r>
                    <w:noBreakHyphen/>
                    <w:t>681</w:t>
                  </w:r>
                </w:p>
              </w:tc>
              <w:tc>
                <w:tcPr>
                  <w:tcW w:w="430" w:type="pct"/>
                </w:tcPr>
                <w:p w14:paraId="7954AB62" w14:textId="77777777" w:rsidR="00F05DC7" w:rsidRDefault="00F05DC7" w:rsidP="00A3786D">
                  <w:pPr>
                    <w:pStyle w:val="TableBodyText"/>
                  </w:pPr>
                  <w:r>
                    <w:noBreakHyphen/>
                    <w:t>526</w:t>
                  </w:r>
                </w:p>
              </w:tc>
              <w:tc>
                <w:tcPr>
                  <w:tcW w:w="429" w:type="pct"/>
                </w:tcPr>
                <w:p w14:paraId="7954AB63" w14:textId="77777777" w:rsidR="00F05DC7" w:rsidRDefault="00F05DC7" w:rsidP="00A3786D">
                  <w:pPr>
                    <w:pStyle w:val="TableBodyText"/>
                  </w:pPr>
                  <w:r>
                    <w:t>2 357</w:t>
                  </w:r>
                </w:p>
              </w:tc>
              <w:tc>
                <w:tcPr>
                  <w:tcW w:w="429" w:type="pct"/>
                </w:tcPr>
                <w:p w14:paraId="7954AB64" w14:textId="77777777" w:rsidR="00F05DC7" w:rsidRDefault="00F05DC7" w:rsidP="00A3786D">
                  <w:pPr>
                    <w:pStyle w:val="TableBodyText"/>
                  </w:pPr>
                  <w:r>
                    <w:noBreakHyphen/>
                    <w:t>182</w:t>
                  </w:r>
                </w:p>
              </w:tc>
              <w:tc>
                <w:tcPr>
                  <w:tcW w:w="429" w:type="pct"/>
                </w:tcPr>
                <w:p w14:paraId="7954AB65" w14:textId="77777777" w:rsidR="00F05DC7" w:rsidRDefault="00F05DC7" w:rsidP="00A3786D">
                  <w:pPr>
                    <w:pStyle w:val="TableBodyText"/>
                  </w:pPr>
                  <w:r>
                    <w:noBreakHyphen/>
                    <w:t>55</w:t>
                  </w:r>
                </w:p>
              </w:tc>
              <w:tc>
                <w:tcPr>
                  <w:tcW w:w="429" w:type="pct"/>
                </w:tcPr>
                <w:p w14:paraId="7954AB66" w14:textId="77777777" w:rsidR="00F05DC7" w:rsidRDefault="00F05DC7" w:rsidP="00A3786D">
                  <w:pPr>
                    <w:pStyle w:val="TableBodyText"/>
                  </w:pPr>
                  <w:r>
                    <w:noBreakHyphen/>
                    <w:t>44</w:t>
                  </w:r>
                </w:p>
              </w:tc>
              <w:tc>
                <w:tcPr>
                  <w:tcW w:w="429" w:type="pct"/>
                </w:tcPr>
                <w:p w14:paraId="7954AB67" w14:textId="77777777" w:rsidR="00F05DC7" w:rsidRDefault="00F05DC7" w:rsidP="00A3786D">
                  <w:pPr>
                    <w:pStyle w:val="TableBodyText"/>
                  </w:pPr>
                  <w:r>
                    <w:t>-26</w:t>
                  </w:r>
                </w:p>
              </w:tc>
            </w:tr>
            <w:tr w:rsidR="00F05DC7" w14:paraId="7954AB72" w14:textId="77777777" w:rsidTr="00A3786D">
              <w:tc>
                <w:tcPr>
                  <w:tcW w:w="1567" w:type="pct"/>
                </w:tcPr>
                <w:p w14:paraId="7954AB69" w14:textId="77777777" w:rsidR="00F05DC7" w:rsidRDefault="00F05DC7" w:rsidP="00A3786D">
                  <w:pPr>
                    <w:pStyle w:val="TableBodyText"/>
                    <w:jc w:val="left"/>
                    <w:rPr>
                      <w:b/>
                    </w:rPr>
                  </w:pPr>
                  <w:r>
                    <w:t>$ per capita</w:t>
                  </w:r>
                </w:p>
              </w:tc>
              <w:tc>
                <w:tcPr>
                  <w:tcW w:w="430" w:type="pct"/>
                </w:tcPr>
                <w:p w14:paraId="7954AB6A" w14:textId="77777777" w:rsidR="00F05DC7" w:rsidRDefault="00F05DC7" w:rsidP="00A3786D">
                  <w:pPr>
                    <w:pStyle w:val="TableBodyText"/>
                  </w:pPr>
                  <w:r>
                    <w:noBreakHyphen/>
                    <w:t>105</w:t>
                  </w:r>
                </w:p>
              </w:tc>
              <w:tc>
                <w:tcPr>
                  <w:tcW w:w="430" w:type="pct"/>
                </w:tcPr>
                <w:p w14:paraId="7954AB6B" w14:textId="77777777" w:rsidR="00F05DC7" w:rsidRDefault="00F05DC7" w:rsidP="00A3786D">
                  <w:pPr>
                    <w:pStyle w:val="TableBodyText"/>
                  </w:pPr>
                  <w:r>
                    <w:noBreakHyphen/>
                    <w:t>105</w:t>
                  </w:r>
                </w:p>
              </w:tc>
              <w:tc>
                <w:tcPr>
                  <w:tcW w:w="430" w:type="pct"/>
                </w:tcPr>
                <w:p w14:paraId="7954AB6C" w14:textId="77777777" w:rsidR="00F05DC7" w:rsidRDefault="00F05DC7" w:rsidP="00A3786D">
                  <w:pPr>
                    <w:pStyle w:val="TableBodyText"/>
                  </w:pPr>
                  <w:r>
                    <w:noBreakHyphen/>
                    <w:t>105</w:t>
                  </w:r>
                </w:p>
              </w:tc>
              <w:tc>
                <w:tcPr>
                  <w:tcW w:w="429" w:type="pct"/>
                </w:tcPr>
                <w:p w14:paraId="7954AB6D" w14:textId="77777777" w:rsidR="00F05DC7" w:rsidRDefault="00F05DC7" w:rsidP="00A3786D">
                  <w:pPr>
                    <w:pStyle w:val="TableBodyText"/>
                  </w:pPr>
                  <w:r>
                    <w:t>899</w:t>
                  </w:r>
                </w:p>
              </w:tc>
              <w:tc>
                <w:tcPr>
                  <w:tcW w:w="429" w:type="pct"/>
                </w:tcPr>
                <w:p w14:paraId="7954AB6E" w14:textId="77777777" w:rsidR="00F05DC7" w:rsidRDefault="00F05DC7" w:rsidP="00A3786D">
                  <w:pPr>
                    <w:pStyle w:val="TableBodyText"/>
                  </w:pPr>
                  <w:r>
                    <w:noBreakHyphen/>
                    <w:t>105</w:t>
                  </w:r>
                </w:p>
              </w:tc>
              <w:tc>
                <w:tcPr>
                  <w:tcW w:w="429" w:type="pct"/>
                </w:tcPr>
                <w:p w14:paraId="7954AB6F" w14:textId="77777777" w:rsidR="00F05DC7" w:rsidRDefault="00F05DC7" w:rsidP="00A3786D">
                  <w:pPr>
                    <w:pStyle w:val="TableBodyText"/>
                  </w:pPr>
                  <w:r>
                    <w:noBreakHyphen/>
                    <w:t>105</w:t>
                  </w:r>
                </w:p>
              </w:tc>
              <w:tc>
                <w:tcPr>
                  <w:tcW w:w="429" w:type="pct"/>
                </w:tcPr>
                <w:p w14:paraId="7954AB70" w14:textId="77777777" w:rsidR="00F05DC7" w:rsidRDefault="00F05DC7" w:rsidP="00A3786D">
                  <w:pPr>
                    <w:pStyle w:val="TableBodyText"/>
                  </w:pPr>
                  <w:r>
                    <w:noBreakHyphen/>
                    <w:t>105</w:t>
                  </w:r>
                </w:p>
              </w:tc>
              <w:tc>
                <w:tcPr>
                  <w:tcW w:w="429" w:type="pct"/>
                </w:tcPr>
                <w:p w14:paraId="7954AB71" w14:textId="77777777" w:rsidR="00F05DC7" w:rsidRDefault="00F05DC7" w:rsidP="00A3786D">
                  <w:pPr>
                    <w:pStyle w:val="TableBodyText"/>
                  </w:pPr>
                  <w:r>
                    <w:t>-105</w:t>
                  </w:r>
                </w:p>
              </w:tc>
            </w:tr>
            <w:tr w:rsidR="00F05DC7" w14:paraId="7954AB7C" w14:textId="77777777" w:rsidTr="00A3786D">
              <w:tc>
                <w:tcPr>
                  <w:tcW w:w="1567" w:type="pct"/>
                </w:tcPr>
                <w:p w14:paraId="7954AB73" w14:textId="77777777" w:rsidR="00F05DC7" w:rsidRDefault="00F05DC7" w:rsidP="00A3786D">
                  <w:pPr>
                    <w:pStyle w:val="TableBodyText"/>
                    <w:jc w:val="left"/>
                  </w:pPr>
                  <w:r>
                    <w:t>Relativity</w:t>
                  </w:r>
                </w:p>
              </w:tc>
              <w:tc>
                <w:tcPr>
                  <w:tcW w:w="430" w:type="pct"/>
                  <w:vAlign w:val="center"/>
                </w:tcPr>
                <w:p w14:paraId="7954AB74" w14:textId="77777777" w:rsidR="00F05DC7" w:rsidRDefault="00F05DC7" w:rsidP="00A3786D">
                  <w:pPr>
                    <w:pStyle w:val="TableBodyText"/>
                  </w:pPr>
                  <w:r w:rsidRPr="00791D71">
                    <w:rPr>
                      <w:rFonts w:asciiTheme="minorHAnsi" w:hAnsiTheme="minorHAnsi" w:cstheme="minorHAnsi"/>
                      <w:color w:val="000000"/>
                      <w:szCs w:val="18"/>
                    </w:rPr>
                    <w:t>0.82</w:t>
                  </w:r>
                </w:p>
              </w:tc>
              <w:tc>
                <w:tcPr>
                  <w:tcW w:w="430" w:type="pct"/>
                  <w:vAlign w:val="center"/>
                </w:tcPr>
                <w:p w14:paraId="7954AB75" w14:textId="77777777" w:rsidR="00F05DC7" w:rsidRDefault="00F05DC7" w:rsidP="00A3786D">
                  <w:pPr>
                    <w:pStyle w:val="TableBodyText"/>
                  </w:pPr>
                  <w:r w:rsidRPr="00791D71">
                    <w:rPr>
                      <w:rFonts w:asciiTheme="minorHAnsi" w:hAnsiTheme="minorHAnsi" w:cstheme="minorHAnsi"/>
                      <w:color w:val="000000"/>
                      <w:szCs w:val="18"/>
                    </w:rPr>
                    <w:t>0.</w:t>
                  </w:r>
                  <w:r>
                    <w:rPr>
                      <w:rFonts w:asciiTheme="minorHAnsi" w:hAnsiTheme="minorHAnsi" w:cstheme="minorHAnsi"/>
                      <w:color w:val="000000"/>
                      <w:szCs w:val="18"/>
                    </w:rPr>
                    <w:t>95</w:t>
                  </w:r>
                </w:p>
              </w:tc>
              <w:tc>
                <w:tcPr>
                  <w:tcW w:w="430" w:type="pct"/>
                  <w:vAlign w:val="center"/>
                </w:tcPr>
                <w:p w14:paraId="7954AB76" w14:textId="77777777" w:rsidR="00F05DC7" w:rsidRDefault="00F05DC7" w:rsidP="00A3786D">
                  <w:pPr>
                    <w:pStyle w:val="TableBodyText"/>
                  </w:pPr>
                  <w:r w:rsidRPr="00791D71">
                    <w:rPr>
                      <w:rFonts w:asciiTheme="minorHAnsi" w:hAnsiTheme="minorHAnsi" w:cstheme="minorHAnsi"/>
                      <w:color w:val="000000"/>
                      <w:szCs w:val="18"/>
                    </w:rPr>
                    <w:t>1</w:t>
                  </w:r>
                  <w:r>
                    <w:rPr>
                      <w:rFonts w:asciiTheme="minorHAnsi" w:hAnsiTheme="minorHAnsi" w:cstheme="minorHAnsi"/>
                      <w:color w:val="000000"/>
                      <w:szCs w:val="18"/>
                    </w:rPr>
                    <w:t>.06</w:t>
                  </w:r>
                </w:p>
              </w:tc>
              <w:tc>
                <w:tcPr>
                  <w:tcW w:w="429" w:type="pct"/>
                  <w:vAlign w:val="center"/>
                </w:tcPr>
                <w:p w14:paraId="7954AB77" w14:textId="77777777" w:rsidR="00F05DC7" w:rsidRDefault="00F05DC7" w:rsidP="00A3786D">
                  <w:pPr>
                    <w:pStyle w:val="TableBodyText"/>
                  </w:pPr>
                  <w:r w:rsidRPr="00791D71">
                    <w:rPr>
                      <w:rFonts w:asciiTheme="minorHAnsi" w:hAnsiTheme="minorHAnsi" w:cstheme="minorHAnsi"/>
                      <w:color w:val="000000"/>
                      <w:szCs w:val="18"/>
                    </w:rPr>
                    <w:t>0.82</w:t>
                  </w:r>
                </w:p>
              </w:tc>
              <w:tc>
                <w:tcPr>
                  <w:tcW w:w="429" w:type="pct"/>
                  <w:vAlign w:val="center"/>
                </w:tcPr>
                <w:p w14:paraId="7954AB78" w14:textId="77777777" w:rsidR="00F05DC7" w:rsidRDefault="00F05DC7" w:rsidP="00A3786D">
                  <w:pPr>
                    <w:pStyle w:val="TableBodyText"/>
                    <w:rPr>
                      <w:rFonts w:asciiTheme="minorHAnsi" w:hAnsiTheme="minorHAnsi" w:cstheme="minorHAnsi"/>
                      <w:color w:val="000000"/>
                      <w:szCs w:val="18"/>
                    </w:rPr>
                  </w:pPr>
                  <w:r>
                    <w:rPr>
                      <w:rFonts w:asciiTheme="minorHAnsi" w:hAnsiTheme="minorHAnsi" w:cstheme="minorHAnsi"/>
                      <w:color w:val="000000"/>
                      <w:szCs w:val="18"/>
                    </w:rPr>
                    <w:t>1.44</w:t>
                  </w:r>
                </w:p>
              </w:tc>
              <w:tc>
                <w:tcPr>
                  <w:tcW w:w="429" w:type="pct"/>
                  <w:vAlign w:val="center"/>
                </w:tcPr>
                <w:p w14:paraId="7954AB79" w14:textId="77777777" w:rsidR="00F05DC7" w:rsidRDefault="00F05DC7" w:rsidP="00A3786D">
                  <w:pPr>
                    <w:pStyle w:val="TableBodyText"/>
                    <w:rPr>
                      <w:rFonts w:asciiTheme="minorHAnsi" w:hAnsiTheme="minorHAnsi" w:cstheme="minorHAnsi"/>
                      <w:color w:val="000000"/>
                      <w:szCs w:val="18"/>
                    </w:rPr>
                  </w:pPr>
                  <w:r>
                    <w:rPr>
                      <w:rFonts w:asciiTheme="minorHAnsi" w:hAnsiTheme="minorHAnsi" w:cstheme="minorHAnsi"/>
                      <w:color w:val="000000"/>
                      <w:szCs w:val="18"/>
                    </w:rPr>
                    <w:t>1.73</w:t>
                  </w:r>
                </w:p>
              </w:tc>
              <w:tc>
                <w:tcPr>
                  <w:tcW w:w="429" w:type="pct"/>
                  <w:vAlign w:val="center"/>
                </w:tcPr>
                <w:p w14:paraId="7954AB7A" w14:textId="77777777" w:rsidR="00F05DC7" w:rsidRDefault="00F05DC7" w:rsidP="00A3786D">
                  <w:pPr>
                    <w:pStyle w:val="TableBodyText"/>
                    <w:rPr>
                      <w:rFonts w:asciiTheme="minorHAnsi" w:hAnsiTheme="minorHAnsi" w:cstheme="minorHAnsi"/>
                      <w:color w:val="000000"/>
                      <w:szCs w:val="18"/>
                    </w:rPr>
                  </w:pPr>
                  <w:r w:rsidRPr="00791D71">
                    <w:rPr>
                      <w:rFonts w:asciiTheme="minorHAnsi" w:hAnsiTheme="minorHAnsi" w:cstheme="minorHAnsi"/>
                      <w:color w:val="000000"/>
                      <w:szCs w:val="18"/>
                    </w:rPr>
                    <w:t>1.14</w:t>
                  </w:r>
                </w:p>
              </w:tc>
              <w:tc>
                <w:tcPr>
                  <w:tcW w:w="429" w:type="pct"/>
                </w:tcPr>
                <w:p w14:paraId="7954AB7B" w14:textId="77777777" w:rsidR="00F05DC7" w:rsidRDefault="00F05DC7" w:rsidP="00A3786D">
                  <w:pPr>
                    <w:pStyle w:val="TableBodyText"/>
                    <w:rPr>
                      <w:rFonts w:asciiTheme="minorHAnsi" w:hAnsiTheme="minorHAnsi" w:cstheme="minorHAnsi"/>
                      <w:color w:val="000000"/>
                      <w:szCs w:val="18"/>
                    </w:rPr>
                  </w:pPr>
                  <w:r>
                    <w:rPr>
                      <w:rFonts w:asciiTheme="minorHAnsi" w:hAnsiTheme="minorHAnsi" w:cstheme="minorHAnsi"/>
                      <w:color w:val="000000"/>
                      <w:szCs w:val="18"/>
                    </w:rPr>
                    <w:t>4.22</w:t>
                  </w:r>
                </w:p>
              </w:tc>
            </w:tr>
            <w:tr w:rsidR="00F05DC7" w14:paraId="7954AB86" w14:textId="77777777" w:rsidTr="00A3786D">
              <w:tc>
                <w:tcPr>
                  <w:tcW w:w="1567" w:type="pct"/>
                </w:tcPr>
                <w:p w14:paraId="7954AB7D" w14:textId="77777777" w:rsidR="00F05DC7" w:rsidRPr="002E79C4" w:rsidRDefault="00F05DC7" w:rsidP="00A3786D">
                  <w:pPr>
                    <w:pStyle w:val="TableBodyText"/>
                    <w:jc w:val="left"/>
                    <w:rPr>
                      <w:b/>
                    </w:rPr>
                  </w:pPr>
                  <w:r w:rsidRPr="002E79C4">
                    <w:rPr>
                      <w:b/>
                    </w:rPr>
                    <w:t>Full equalisation for the smallest States</w:t>
                  </w:r>
                </w:p>
              </w:tc>
              <w:tc>
                <w:tcPr>
                  <w:tcW w:w="430" w:type="pct"/>
                </w:tcPr>
                <w:p w14:paraId="7954AB7E" w14:textId="77777777" w:rsidR="00F05DC7" w:rsidRDefault="00F05DC7" w:rsidP="00A3786D">
                  <w:pPr>
                    <w:pStyle w:val="TableBodyText"/>
                  </w:pPr>
                </w:p>
              </w:tc>
              <w:tc>
                <w:tcPr>
                  <w:tcW w:w="430" w:type="pct"/>
                </w:tcPr>
                <w:p w14:paraId="7954AB7F" w14:textId="77777777" w:rsidR="00F05DC7" w:rsidRDefault="00F05DC7" w:rsidP="00A3786D">
                  <w:pPr>
                    <w:pStyle w:val="TableBodyText"/>
                  </w:pPr>
                </w:p>
              </w:tc>
              <w:tc>
                <w:tcPr>
                  <w:tcW w:w="430" w:type="pct"/>
                </w:tcPr>
                <w:p w14:paraId="7954AB80" w14:textId="77777777" w:rsidR="00F05DC7" w:rsidRDefault="00F05DC7" w:rsidP="00A3786D">
                  <w:pPr>
                    <w:pStyle w:val="TableBodyText"/>
                  </w:pPr>
                </w:p>
              </w:tc>
              <w:tc>
                <w:tcPr>
                  <w:tcW w:w="429" w:type="pct"/>
                </w:tcPr>
                <w:p w14:paraId="7954AB81" w14:textId="77777777" w:rsidR="00F05DC7" w:rsidRDefault="00F05DC7" w:rsidP="00A3786D">
                  <w:pPr>
                    <w:pStyle w:val="TableBodyText"/>
                  </w:pPr>
                </w:p>
              </w:tc>
              <w:tc>
                <w:tcPr>
                  <w:tcW w:w="429" w:type="pct"/>
                </w:tcPr>
                <w:p w14:paraId="7954AB82" w14:textId="77777777" w:rsidR="00F05DC7" w:rsidRDefault="00F05DC7" w:rsidP="00A3786D">
                  <w:pPr>
                    <w:pStyle w:val="TableBodyText"/>
                  </w:pPr>
                </w:p>
              </w:tc>
              <w:tc>
                <w:tcPr>
                  <w:tcW w:w="429" w:type="pct"/>
                </w:tcPr>
                <w:p w14:paraId="7954AB83" w14:textId="77777777" w:rsidR="00F05DC7" w:rsidRDefault="00F05DC7" w:rsidP="00A3786D">
                  <w:pPr>
                    <w:pStyle w:val="TableBodyText"/>
                  </w:pPr>
                </w:p>
              </w:tc>
              <w:tc>
                <w:tcPr>
                  <w:tcW w:w="429" w:type="pct"/>
                </w:tcPr>
                <w:p w14:paraId="7954AB84" w14:textId="77777777" w:rsidR="00F05DC7" w:rsidRDefault="00F05DC7" w:rsidP="00A3786D">
                  <w:pPr>
                    <w:pStyle w:val="TableBodyText"/>
                  </w:pPr>
                </w:p>
              </w:tc>
              <w:tc>
                <w:tcPr>
                  <w:tcW w:w="429" w:type="pct"/>
                </w:tcPr>
                <w:p w14:paraId="7954AB85" w14:textId="77777777" w:rsidR="00F05DC7" w:rsidRDefault="00F05DC7" w:rsidP="00A3786D">
                  <w:pPr>
                    <w:pStyle w:val="TableBodyText"/>
                  </w:pPr>
                </w:p>
              </w:tc>
            </w:tr>
            <w:tr w:rsidR="00F05DC7" w14:paraId="7954AB90" w14:textId="77777777" w:rsidTr="00A3786D">
              <w:tc>
                <w:tcPr>
                  <w:tcW w:w="1567" w:type="pct"/>
                </w:tcPr>
                <w:p w14:paraId="7954AB87" w14:textId="77777777" w:rsidR="00F05DC7" w:rsidRDefault="00F05DC7" w:rsidP="00A3786D">
                  <w:pPr>
                    <w:pStyle w:val="TableBodyText"/>
                    <w:jc w:val="left"/>
                  </w:pPr>
                  <w:r w:rsidRPr="00E23F9B">
                    <w:t>$ million</w:t>
                  </w:r>
                </w:p>
              </w:tc>
              <w:tc>
                <w:tcPr>
                  <w:tcW w:w="430" w:type="pct"/>
                </w:tcPr>
                <w:p w14:paraId="7954AB88" w14:textId="77777777" w:rsidR="00F05DC7" w:rsidRDefault="00F05DC7" w:rsidP="00A3786D">
                  <w:pPr>
                    <w:pStyle w:val="TableBodyText"/>
                  </w:pPr>
                  <w:r>
                    <w:t>1 009</w:t>
                  </w:r>
                </w:p>
              </w:tc>
              <w:tc>
                <w:tcPr>
                  <w:tcW w:w="430" w:type="pct"/>
                </w:tcPr>
                <w:p w14:paraId="7954AB89" w14:textId="77777777" w:rsidR="00F05DC7" w:rsidRDefault="00F05DC7" w:rsidP="00A3786D">
                  <w:pPr>
                    <w:pStyle w:val="TableBodyText"/>
                  </w:pPr>
                  <w:r>
                    <w:noBreakHyphen/>
                    <w:t>1 427</w:t>
                  </w:r>
                </w:p>
              </w:tc>
              <w:tc>
                <w:tcPr>
                  <w:tcW w:w="430" w:type="pct"/>
                </w:tcPr>
                <w:p w14:paraId="7954AB8A" w14:textId="77777777" w:rsidR="00F05DC7" w:rsidRDefault="00F05DC7" w:rsidP="00A3786D">
                  <w:pPr>
                    <w:pStyle w:val="TableBodyText"/>
                  </w:pPr>
                  <w:r>
                    <w:noBreakHyphen/>
                    <w:t>2 542</w:t>
                  </w:r>
                </w:p>
              </w:tc>
              <w:tc>
                <w:tcPr>
                  <w:tcW w:w="429" w:type="pct"/>
                </w:tcPr>
                <w:p w14:paraId="7954AB8B" w14:textId="77777777" w:rsidR="00F05DC7" w:rsidRDefault="00F05DC7" w:rsidP="00A3786D">
                  <w:pPr>
                    <w:pStyle w:val="TableBodyText"/>
                  </w:pPr>
                  <w:r>
                    <w:t>2 961</w:t>
                  </w:r>
                </w:p>
              </w:tc>
              <w:tc>
                <w:tcPr>
                  <w:tcW w:w="429" w:type="pct"/>
                </w:tcPr>
                <w:p w14:paraId="7954AB8C" w14:textId="77777777" w:rsidR="00F05DC7" w:rsidRDefault="00F05DC7" w:rsidP="00A3786D">
                  <w:pPr>
                    <w:pStyle w:val="TableBodyText"/>
                  </w:pPr>
                  <w:r>
                    <w:t>0</w:t>
                  </w:r>
                </w:p>
              </w:tc>
              <w:tc>
                <w:tcPr>
                  <w:tcW w:w="429" w:type="pct"/>
                </w:tcPr>
                <w:p w14:paraId="7954AB8D" w14:textId="77777777" w:rsidR="00F05DC7" w:rsidRDefault="00F05DC7" w:rsidP="00A3786D">
                  <w:pPr>
                    <w:pStyle w:val="TableBodyText"/>
                  </w:pPr>
                  <w:r>
                    <w:t>0</w:t>
                  </w:r>
                </w:p>
              </w:tc>
              <w:tc>
                <w:tcPr>
                  <w:tcW w:w="429" w:type="pct"/>
                </w:tcPr>
                <w:p w14:paraId="7954AB8E" w14:textId="77777777" w:rsidR="00F05DC7" w:rsidRDefault="00F05DC7" w:rsidP="00A3786D">
                  <w:pPr>
                    <w:pStyle w:val="TableBodyText"/>
                  </w:pPr>
                  <w:r>
                    <w:t>0</w:t>
                  </w:r>
                </w:p>
              </w:tc>
              <w:tc>
                <w:tcPr>
                  <w:tcW w:w="429" w:type="pct"/>
                </w:tcPr>
                <w:p w14:paraId="7954AB8F" w14:textId="77777777" w:rsidR="00F05DC7" w:rsidRDefault="00F05DC7" w:rsidP="00A3786D">
                  <w:pPr>
                    <w:pStyle w:val="TableBodyText"/>
                  </w:pPr>
                  <w:r>
                    <w:t>0</w:t>
                  </w:r>
                </w:p>
              </w:tc>
            </w:tr>
            <w:tr w:rsidR="00F05DC7" w14:paraId="7954AB9A" w14:textId="77777777" w:rsidTr="00A3786D">
              <w:tc>
                <w:tcPr>
                  <w:tcW w:w="1567" w:type="pct"/>
                </w:tcPr>
                <w:p w14:paraId="7954AB91" w14:textId="77777777" w:rsidR="00F05DC7" w:rsidRDefault="00F05DC7" w:rsidP="00A3786D">
                  <w:pPr>
                    <w:pStyle w:val="TableBodyText"/>
                    <w:jc w:val="left"/>
                  </w:pPr>
                  <w:r>
                    <w:t>$ per capita</w:t>
                  </w:r>
                </w:p>
              </w:tc>
              <w:tc>
                <w:tcPr>
                  <w:tcW w:w="430" w:type="pct"/>
                </w:tcPr>
                <w:p w14:paraId="7954AB92" w14:textId="77777777" w:rsidR="00F05DC7" w:rsidRDefault="00F05DC7" w:rsidP="00A3786D">
                  <w:pPr>
                    <w:pStyle w:val="TableBodyText"/>
                  </w:pPr>
                  <w:r>
                    <w:t>126</w:t>
                  </w:r>
                </w:p>
              </w:tc>
              <w:tc>
                <w:tcPr>
                  <w:tcW w:w="430" w:type="pct"/>
                </w:tcPr>
                <w:p w14:paraId="7954AB93" w14:textId="77777777" w:rsidR="00F05DC7" w:rsidRDefault="00F05DC7" w:rsidP="00A3786D">
                  <w:pPr>
                    <w:pStyle w:val="TableBodyText"/>
                  </w:pPr>
                  <w:r>
                    <w:noBreakHyphen/>
                    <w:t>220</w:t>
                  </w:r>
                </w:p>
              </w:tc>
              <w:tc>
                <w:tcPr>
                  <w:tcW w:w="430" w:type="pct"/>
                </w:tcPr>
                <w:p w14:paraId="7954AB94" w14:textId="77777777" w:rsidR="00F05DC7" w:rsidRDefault="00F05DC7" w:rsidP="00A3786D">
                  <w:pPr>
                    <w:pStyle w:val="TableBodyText"/>
                  </w:pPr>
                  <w:r>
                    <w:noBreakHyphen/>
                    <w:t>506</w:t>
                  </w:r>
                </w:p>
              </w:tc>
              <w:tc>
                <w:tcPr>
                  <w:tcW w:w="429" w:type="pct"/>
                </w:tcPr>
                <w:p w14:paraId="7954AB95" w14:textId="77777777" w:rsidR="00F05DC7" w:rsidRDefault="00F05DC7" w:rsidP="00A3786D">
                  <w:pPr>
                    <w:pStyle w:val="TableBodyText"/>
                  </w:pPr>
                  <w:r>
                    <w:t>1 129</w:t>
                  </w:r>
                </w:p>
              </w:tc>
              <w:tc>
                <w:tcPr>
                  <w:tcW w:w="429" w:type="pct"/>
                </w:tcPr>
                <w:p w14:paraId="7954AB96" w14:textId="77777777" w:rsidR="00F05DC7" w:rsidRDefault="00F05DC7" w:rsidP="00A3786D">
                  <w:pPr>
                    <w:pStyle w:val="TableBodyText"/>
                  </w:pPr>
                  <w:r>
                    <w:t>0</w:t>
                  </w:r>
                </w:p>
              </w:tc>
              <w:tc>
                <w:tcPr>
                  <w:tcW w:w="429" w:type="pct"/>
                </w:tcPr>
                <w:p w14:paraId="7954AB97" w14:textId="77777777" w:rsidR="00F05DC7" w:rsidRDefault="00F05DC7" w:rsidP="00A3786D">
                  <w:pPr>
                    <w:pStyle w:val="TableBodyText"/>
                  </w:pPr>
                  <w:r>
                    <w:t>0</w:t>
                  </w:r>
                </w:p>
              </w:tc>
              <w:tc>
                <w:tcPr>
                  <w:tcW w:w="429" w:type="pct"/>
                </w:tcPr>
                <w:p w14:paraId="7954AB98" w14:textId="77777777" w:rsidR="00F05DC7" w:rsidRDefault="00F05DC7" w:rsidP="00A3786D">
                  <w:pPr>
                    <w:pStyle w:val="TableBodyText"/>
                  </w:pPr>
                  <w:r>
                    <w:t>0</w:t>
                  </w:r>
                </w:p>
              </w:tc>
              <w:tc>
                <w:tcPr>
                  <w:tcW w:w="429" w:type="pct"/>
                </w:tcPr>
                <w:p w14:paraId="7954AB99" w14:textId="77777777" w:rsidR="00F05DC7" w:rsidRDefault="00F05DC7" w:rsidP="00A3786D">
                  <w:pPr>
                    <w:pStyle w:val="TableBodyText"/>
                  </w:pPr>
                  <w:r>
                    <w:t>0</w:t>
                  </w:r>
                </w:p>
              </w:tc>
            </w:tr>
            <w:tr w:rsidR="00F05DC7" w14:paraId="7954ABA4" w14:textId="77777777" w:rsidTr="00A3786D">
              <w:tc>
                <w:tcPr>
                  <w:tcW w:w="1567" w:type="pct"/>
                </w:tcPr>
                <w:p w14:paraId="7954AB9B" w14:textId="77777777" w:rsidR="00F05DC7" w:rsidRDefault="00F05DC7" w:rsidP="00A3786D">
                  <w:pPr>
                    <w:pStyle w:val="TableBodyText"/>
                    <w:jc w:val="left"/>
                  </w:pPr>
                  <w:r>
                    <w:t>Relativity</w:t>
                  </w:r>
                </w:p>
              </w:tc>
              <w:tc>
                <w:tcPr>
                  <w:tcW w:w="430" w:type="pct"/>
                  <w:vAlign w:val="center"/>
                </w:tcPr>
                <w:p w14:paraId="7954AB9C" w14:textId="77777777" w:rsidR="00F05DC7" w:rsidRDefault="00F05DC7" w:rsidP="00A3786D">
                  <w:pPr>
                    <w:pStyle w:val="TableBodyText"/>
                  </w:pPr>
                  <w:r>
                    <w:rPr>
                      <w:rFonts w:cs="Arial"/>
                      <w:color w:val="000000"/>
                      <w:szCs w:val="18"/>
                    </w:rPr>
                    <w:t>0.90</w:t>
                  </w:r>
                </w:p>
              </w:tc>
              <w:tc>
                <w:tcPr>
                  <w:tcW w:w="430" w:type="pct"/>
                  <w:vAlign w:val="center"/>
                </w:tcPr>
                <w:p w14:paraId="7954AB9D" w14:textId="77777777" w:rsidR="00F05DC7" w:rsidRDefault="00F05DC7" w:rsidP="00A3786D">
                  <w:pPr>
                    <w:pStyle w:val="TableBodyText"/>
                  </w:pPr>
                  <w:r>
                    <w:rPr>
                      <w:rFonts w:cs="Arial"/>
                      <w:color w:val="000000"/>
                      <w:szCs w:val="18"/>
                    </w:rPr>
                    <w:t>0.90</w:t>
                  </w:r>
                </w:p>
              </w:tc>
              <w:tc>
                <w:tcPr>
                  <w:tcW w:w="430" w:type="pct"/>
                  <w:vAlign w:val="center"/>
                </w:tcPr>
                <w:p w14:paraId="7954AB9E" w14:textId="77777777" w:rsidR="00F05DC7" w:rsidRDefault="00F05DC7" w:rsidP="00A3786D">
                  <w:pPr>
                    <w:pStyle w:val="TableBodyText"/>
                  </w:pPr>
                  <w:r>
                    <w:rPr>
                      <w:rFonts w:cs="Arial"/>
                      <w:color w:val="000000"/>
                      <w:szCs w:val="18"/>
                    </w:rPr>
                    <w:t>0.90</w:t>
                  </w:r>
                </w:p>
              </w:tc>
              <w:tc>
                <w:tcPr>
                  <w:tcW w:w="429" w:type="pct"/>
                  <w:vAlign w:val="center"/>
                </w:tcPr>
                <w:p w14:paraId="7954AB9F" w14:textId="77777777" w:rsidR="00F05DC7" w:rsidRDefault="00F05DC7" w:rsidP="00A3786D">
                  <w:pPr>
                    <w:pStyle w:val="TableBodyText"/>
                  </w:pPr>
                  <w:r>
                    <w:rPr>
                      <w:rFonts w:cs="Arial"/>
                      <w:color w:val="000000"/>
                      <w:szCs w:val="18"/>
                    </w:rPr>
                    <w:t>0.90</w:t>
                  </w:r>
                </w:p>
              </w:tc>
              <w:tc>
                <w:tcPr>
                  <w:tcW w:w="429" w:type="pct"/>
                  <w:vAlign w:val="center"/>
                </w:tcPr>
                <w:p w14:paraId="7954ABA0" w14:textId="77777777" w:rsidR="00F05DC7" w:rsidRDefault="00F05DC7" w:rsidP="00A3786D">
                  <w:pPr>
                    <w:pStyle w:val="TableBodyText"/>
                    <w:rPr>
                      <w:rFonts w:cs="Arial"/>
                      <w:color w:val="000000"/>
                      <w:szCs w:val="18"/>
                    </w:rPr>
                  </w:pPr>
                  <w:r>
                    <w:rPr>
                      <w:rFonts w:cs="Arial"/>
                      <w:color w:val="000000"/>
                      <w:szCs w:val="18"/>
                    </w:rPr>
                    <w:t>1.48</w:t>
                  </w:r>
                </w:p>
              </w:tc>
              <w:tc>
                <w:tcPr>
                  <w:tcW w:w="429" w:type="pct"/>
                  <w:vAlign w:val="center"/>
                </w:tcPr>
                <w:p w14:paraId="7954ABA1" w14:textId="77777777" w:rsidR="00F05DC7" w:rsidRDefault="00F05DC7" w:rsidP="00A3786D">
                  <w:pPr>
                    <w:pStyle w:val="TableBodyText"/>
                    <w:rPr>
                      <w:rFonts w:cs="Arial"/>
                      <w:color w:val="000000"/>
                      <w:szCs w:val="18"/>
                    </w:rPr>
                  </w:pPr>
                  <w:r>
                    <w:rPr>
                      <w:rFonts w:cs="Arial"/>
                      <w:color w:val="000000"/>
                      <w:szCs w:val="18"/>
                    </w:rPr>
                    <w:t>1.77</w:t>
                  </w:r>
                </w:p>
              </w:tc>
              <w:tc>
                <w:tcPr>
                  <w:tcW w:w="429" w:type="pct"/>
                  <w:vAlign w:val="center"/>
                </w:tcPr>
                <w:p w14:paraId="7954ABA2" w14:textId="77777777" w:rsidR="00F05DC7" w:rsidRDefault="00F05DC7" w:rsidP="00A3786D">
                  <w:pPr>
                    <w:pStyle w:val="TableBodyText"/>
                    <w:rPr>
                      <w:rFonts w:cs="Arial"/>
                      <w:color w:val="000000"/>
                      <w:szCs w:val="18"/>
                    </w:rPr>
                  </w:pPr>
                  <w:r>
                    <w:rPr>
                      <w:rFonts w:cs="Arial"/>
                      <w:color w:val="000000"/>
                      <w:szCs w:val="18"/>
                    </w:rPr>
                    <w:t>1.18</w:t>
                  </w:r>
                </w:p>
              </w:tc>
              <w:tc>
                <w:tcPr>
                  <w:tcW w:w="429" w:type="pct"/>
                </w:tcPr>
                <w:p w14:paraId="7954ABA3" w14:textId="77777777" w:rsidR="00F05DC7" w:rsidRDefault="00F05DC7" w:rsidP="00A3786D">
                  <w:pPr>
                    <w:pStyle w:val="TableBodyText"/>
                    <w:rPr>
                      <w:rFonts w:cs="Arial"/>
                      <w:color w:val="000000"/>
                      <w:szCs w:val="18"/>
                    </w:rPr>
                  </w:pPr>
                  <w:r>
                    <w:rPr>
                      <w:rFonts w:cs="Arial"/>
                      <w:color w:val="000000"/>
                      <w:szCs w:val="18"/>
                    </w:rPr>
                    <w:t>4.26</w:t>
                  </w:r>
                </w:p>
              </w:tc>
            </w:tr>
            <w:tr w:rsidR="00F05DC7" w14:paraId="7954ABAE" w14:textId="77777777" w:rsidTr="00A3786D">
              <w:tc>
                <w:tcPr>
                  <w:tcW w:w="1567" w:type="pct"/>
                  <w:shd w:val="clear" w:color="auto" w:fill="auto"/>
                </w:tcPr>
                <w:p w14:paraId="7954ABA5" w14:textId="77777777" w:rsidR="00F05DC7" w:rsidRPr="00E23F9B" w:rsidRDefault="00F05DC7" w:rsidP="00A3786D">
                  <w:pPr>
                    <w:pStyle w:val="TableBodyText"/>
                    <w:jc w:val="left"/>
                    <w:rPr>
                      <w:b/>
                    </w:rPr>
                  </w:pPr>
                  <w:r w:rsidRPr="002E79C4">
                    <w:rPr>
                      <w:b/>
                    </w:rPr>
                    <w:t>Equalisation to the average</w:t>
                  </w:r>
                </w:p>
              </w:tc>
              <w:tc>
                <w:tcPr>
                  <w:tcW w:w="430" w:type="pct"/>
                </w:tcPr>
                <w:p w14:paraId="7954ABA6" w14:textId="77777777" w:rsidR="00F05DC7" w:rsidRDefault="00F05DC7" w:rsidP="00A3786D">
                  <w:pPr>
                    <w:pStyle w:val="TableBodyText"/>
                  </w:pPr>
                </w:p>
              </w:tc>
              <w:tc>
                <w:tcPr>
                  <w:tcW w:w="430" w:type="pct"/>
                </w:tcPr>
                <w:p w14:paraId="7954ABA7" w14:textId="77777777" w:rsidR="00F05DC7" w:rsidRDefault="00F05DC7" w:rsidP="00A3786D">
                  <w:pPr>
                    <w:pStyle w:val="TableBodyText"/>
                  </w:pPr>
                </w:p>
              </w:tc>
              <w:tc>
                <w:tcPr>
                  <w:tcW w:w="430" w:type="pct"/>
                </w:tcPr>
                <w:p w14:paraId="7954ABA8" w14:textId="77777777" w:rsidR="00F05DC7" w:rsidRDefault="00F05DC7" w:rsidP="00A3786D">
                  <w:pPr>
                    <w:pStyle w:val="TableBodyText"/>
                  </w:pPr>
                </w:p>
              </w:tc>
              <w:tc>
                <w:tcPr>
                  <w:tcW w:w="429" w:type="pct"/>
                </w:tcPr>
                <w:p w14:paraId="7954ABA9" w14:textId="77777777" w:rsidR="00F05DC7" w:rsidRDefault="00F05DC7" w:rsidP="00A3786D">
                  <w:pPr>
                    <w:pStyle w:val="TableBodyText"/>
                  </w:pPr>
                </w:p>
              </w:tc>
              <w:tc>
                <w:tcPr>
                  <w:tcW w:w="429" w:type="pct"/>
                </w:tcPr>
                <w:p w14:paraId="7954ABAA" w14:textId="77777777" w:rsidR="00F05DC7" w:rsidRDefault="00F05DC7" w:rsidP="00A3786D">
                  <w:pPr>
                    <w:pStyle w:val="TableBodyText"/>
                  </w:pPr>
                </w:p>
              </w:tc>
              <w:tc>
                <w:tcPr>
                  <w:tcW w:w="429" w:type="pct"/>
                </w:tcPr>
                <w:p w14:paraId="7954ABAB" w14:textId="77777777" w:rsidR="00F05DC7" w:rsidRDefault="00F05DC7" w:rsidP="00A3786D">
                  <w:pPr>
                    <w:pStyle w:val="TableBodyText"/>
                  </w:pPr>
                </w:p>
              </w:tc>
              <w:tc>
                <w:tcPr>
                  <w:tcW w:w="429" w:type="pct"/>
                </w:tcPr>
                <w:p w14:paraId="7954ABAC" w14:textId="77777777" w:rsidR="00F05DC7" w:rsidRDefault="00F05DC7" w:rsidP="00A3786D">
                  <w:pPr>
                    <w:pStyle w:val="TableBodyText"/>
                  </w:pPr>
                </w:p>
              </w:tc>
              <w:tc>
                <w:tcPr>
                  <w:tcW w:w="429" w:type="pct"/>
                </w:tcPr>
                <w:p w14:paraId="7954ABAD" w14:textId="77777777" w:rsidR="00F05DC7" w:rsidRDefault="00F05DC7" w:rsidP="00A3786D">
                  <w:pPr>
                    <w:pStyle w:val="TableBodyText"/>
                  </w:pPr>
                </w:p>
              </w:tc>
            </w:tr>
            <w:tr w:rsidR="00F05DC7" w14:paraId="7954ABB8" w14:textId="77777777" w:rsidTr="00A3786D">
              <w:tc>
                <w:tcPr>
                  <w:tcW w:w="1567" w:type="pct"/>
                  <w:shd w:val="clear" w:color="auto" w:fill="auto"/>
                </w:tcPr>
                <w:p w14:paraId="7954ABAF" w14:textId="77777777" w:rsidR="00F05DC7" w:rsidRDefault="00F05DC7" w:rsidP="00A3786D">
                  <w:pPr>
                    <w:pStyle w:val="TableBodyText"/>
                    <w:jc w:val="left"/>
                  </w:pPr>
                  <w:r>
                    <w:t>$ million</w:t>
                  </w:r>
                </w:p>
              </w:tc>
              <w:tc>
                <w:tcPr>
                  <w:tcW w:w="430" w:type="pct"/>
                </w:tcPr>
                <w:p w14:paraId="7954ABB0" w14:textId="77777777" w:rsidR="00F05DC7" w:rsidRDefault="00F05DC7" w:rsidP="00A3786D">
                  <w:pPr>
                    <w:pStyle w:val="TableBodyText"/>
                  </w:pPr>
                  <w:r>
                    <w:t>833</w:t>
                  </w:r>
                </w:p>
              </w:tc>
              <w:tc>
                <w:tcPr>
                  <w:tcW w:w="430" w:type="pct"/>
                </w:tcPr>
                <w:p w14:paraId="7954ABB1" w14:textId="77777777" w:rsidR="00F05DC7" w:rsidRDefault="00F05DC7" w:rsidP="00A3786D">
                  <w:pPr>
                    <w:pStyle w:val="TableBodyText"/>
                  </w:pPr>
                  <w:r>
                    <w:noBreakHyphen/>
                    <w:t>1 570</w:t>
                  </w:r>
                </w:p>
              </w:tc>
              <w:tc>
                <w:tcPr>
                  <w:tcW w:w="430" w:type="pct"/>
                </w:tcPr>
                <w:p w14:paraId="7954ABB2" w14:textId="77777777" w:rsidR="00F05DC7" w:rsidRDefault="00F05DC7" w:rsidP="00A3786D">
                  <w:pPr>
                    <w:pStyle w:val="TableBodyText"/>
                  </w:pPr>
                  <w:r>
                    <w:noBreakHyphen/>
                    <w:t>1 368</w:t>
                  </w:r>
                </w:p>
              </w:tc>
              <w:tc>
                <w:tcPr>
                  <w:tcW w:w="429" w:type="pct"/>
                </w:tcPr>
                <w:p w14:paraId="7954ABB3" w14:textId="77777777" w:rsidR="00F05DC7" w:rsidRDefault="00F05DC7" w:rsidP="00A3786D">
                  <w:pPr>
                    <w:pStyle w:val="TableBodyText"/>
                  </w:pPr>
                  <w:r>
                    <w:t>2 903</w:t>
                  </w:r>
                </w:p>
              </w:tc>
              <w:tc>
                <w:tcPr>
                  <w:tcW w:w="429" w:type="pct"/>
                </w:tcPr>
                <w:p w14:paraId="7954ABB4" w14:textId="77777777" w:rsidR="00F05DC7" w:rsidRDefault="00F05DC7" w:rsidP="00A3786D">
                  <w:pPr>
                    <w:pStyle w:val="TableBodyText"/>
                  </w:pPr>
                  <w:r>
                    <w:noBreakHyphen/>
                    <w:t>474</w:t>
                  </w:r>
                </w:p>
              </w:tc>
              <w:tc>
                <w:tcPr>
                  <w:tcW w:w="429" w:type="pct"/>
                </w:tcPr>
                <w:p w14:paraId="7954ABB5" w14:textId="77777777" w:rsidR="00F05DC7" w:rsidRDefault="00F05DC7" w:rsidP="00A3786D">
                  <w:pPr>
                    <w:pStyle w:val="TableBodyText"/>
                  </w:pPr>
                  <w:r>
                    <w:noBreakHyphen/>
                    <w:t>143</w:t>
                  </w:r>
                </w:p>
              </w:tc>
              <w:tc>
                <w:tcPr>
                  <w:tcW w:w="429" w:type="pct"/>
                </w:tcPr>
                <w:p w14:paraId="7954ABB6" w14:textId="77777777" w:rsidR="00F05DC7" w:rsidRDefault="00F05DC7" w:rsidP="00A3786D">
                  <w:pPr>
                    <w:pStyle w:val="TableBodyText"/>
                  </w:pPr>
                  <w:r>
                    <w:noBreakHyphen/>
                    <w:t>114</w:t>
                  </w:r>
                </w:p>
              </w:tc>
              <w:tc>
                <w:tcPr>
                  <w:tcW w:w="429" w:type="pct"/>
                </w:tcPr>
                <w:p w14:paraId="7954ABB7" w14:textId="77777777" w:rsidR="00F05DC7" w:rsidRDefault="00F05DC7" w:rsidP="00A3786D">
                  <w:pPr>
                    <w:pStyle w:val="TableBodyText"/>
                  </w:pPr>
                  <w:r>
                    <w:t>-67</w:t>
                  </w:r>
                </w:p>
              </w:tc>
            </w:tr>
            <w:tr w:rsidR="00F05DC7" w14:paraId="7954ABC2" w14:textId="77777777" w:rsidTr="00A3786D">
              <w:tc>
                <w:tcPr>
                  <w:tcW w:w="1567" w:type="pct"/>
                  <w:shd w:val="clear" w:color="auto" w:fill="auto"/>
                </w:tcPr>
                <w:p w14:paraId="7954ABB9" w14:textId="77777777" w:rsidR="00F05DC7" w:rsidRDefault="00F05DC7" w:rsidP="00A3786D">
                  <w:pPr>
                    <w:pStyle w:val="TableBodyText"/>
                    <w:jc w:val="left"/>
                  </w:pPr>
                  <w:r>
                    <w:t>$ per capita</w:t>
                  </w:r>
                </w:p>
              </w:tc>
              <w:tc>
                <w:tcPr>
                  <w:tcW w:w="430" w:type="pct"/>
                </w:tcPr>
                <w:p w14:paraId="7954ABBA" w14:textId="77777777" w:rsidR="00F05DC7" w:rsidRDefault="00F05DC7" w:rsidP="00A3786D">
                  <w:pPr>
                    <w:pStyle w:val="TableBodyText"/>
                  </w:pPr>
                  <w:r>
                    <w:t>104</w:t>
                  </w:r>
                </w:p>
              </w:tc>
              <w:tc>
                <w:tcPr>
                  <w:tcW w:w="430" w:type="pct"/>
                </w:tcPr>
                <w:p w14:paraId="7954ABBB" w14:textId="77777777" w:rsidR="00F05DC7" w:rsidRDefault="00F05DC7" w:rsidP="00A3786D">
                  <w:pPr>
                    <w:pStyle w:val="TableBodyText"/>
                  </w:pPr>
                  <w:r>
                    <w:noBreakHyphen/>
                    <w:t>242</w:t>
                  </w:r>
                </w:p>
              </w:tc>
              <w:tc>
                <w:tcPr>
                  <w:tcW w:w="430" w:type="pct"/>
                </w:tcPr>
                <w:p w14:paraId="7954ABBC" w14:textId="77777777" w:rsidR="00F05DC7" w:rsidRDefault="00F05DC7" w:rsidP="00A3786D">
                  <w:pPr>
                    <w:pStyle w:val="TableBodyText"/>
                  </w:pPr>
                  <w:r>
                    <w:noBreakHyphen/>
                    <w:t>273</w:t>
                  </w:r>
                </w:p>
              </w:tc>
              <w:tc>
                <w:tcPr>
                  <w:tcW w:w="429" w:type="pct"/>
                </w:tcPr>
                <w:p w14:paraId="7954ABBD" w14:textId="77777777" w:rsidR="00F05DC7" w:rsidRDefault="00F05DC7" w:rsidP="00A3786D">
                  <w:pPr>
                    <w:pStyle w:val="TableBodyText"/>
                  </w:pPr>
                  <w:r>
                    <w:t>1 108</w:t>
                  </w:r>
                </w:p>
              </w:tc>
              <w:tc>
                <w:tcPr>
                  <w:tcW w:w="429" w:type="pct"/>
                </w:tcPr>
                <w:p w14:paraId="7954ABBE" w14:textId="77777777" w:rsidR="00F05DC7" w:rsidRDefault="00F05DC7" w:rsidP="00A3786D">
                  <w:pPr>
                    <w:pStyle w:val="TableBodyText"/>
                  </w:pPr>
                  <w:r>
                    <w:noBreakHyphen/>
                    <w:t>273</w:t>
                  </w:r>
                </w:p>
              </w:tc>
              <w:tc>
                <w:tcPr>
                  <w:tcW w:w="429" w:type="pct"/>
                </w:tcPr>
                <w:p w14:paraId="7954ABBF" w14:textId="77777777" w:rsidR="00F05DC7" w:rsidRDefault="00F05DC7" w:rsidP="00A3786D">
                  <w:pPr>
                    <w:pStyle w:val="TableBodyText"/>
                  </w:pPr>
                  <w:r>
                    <w:noBreakHyphen/>
                    <w:t>273</w:t>
                  </w:r>
                </w:p>
              </w:tc>
              <w:tc>
                <w:tcPr>
                  <w:tcW w:w="429" w:type="pct"/>
                </w:tcPr>
                <w:p w14:paraId="7954ABC0" w14:textId="77777777" w:rsidR="00F05DC7" w:rsidRDefault="00F05DC7" w:rsidP="00A3786D">
                  <w:pPr>
                    <w:pStyle w:val="TableBodyText"/>
                  </w:pPr>
                  <w:r>
                    <w:noBreakHyphen/>
                    <w:t>273</w:t>
                  </w:r>
                </w:p>
              </w:tc>
              <w:tc>
                <w:tcPr>
                  <w:tcW w:w="429" w:type="pct"/>
                </w:tcPr>
                <w:p w14:paraId="7954ABC1" w14:textId="77777777" w:rsidR="00F05DC7" w:rsidRDefault="00F05DC7" w:rsidP="00A3786D">
                  <w:pPr>
                    <w:pStyle w:val="TableBodyText"/>
                  </w:pPr>
                  <w:r>
                    <w:t>-273</w:t>
                  </w:r>
                </w:p>
              </w:tc>
            </w:tr>
            <w:tr w:rsidR="00F05DC7" w14:paraId="7954ABCC" w14:textId="77777777" w:rsidTr="00A3786D">
              <w:tc>
                <w:tcPr>
                  <w:tcW w:w="1567" w:type="pct"/>
                  <w:shd w:val="clear" w:color="auto" w:fill="auto"/>
                </w:tcPr>
                <w:p w14:paraId="7954ABC3" w14:textId="77777777" w:rsidR="00F05DC7" w:rsidRDefault="00F05DC7" w:rsidP="00A3786D">
                  <w:pPr>
                    <w:pStyle w:val="TableBodyText"/>
                    <w:jc w:val="left"/>
                  </w:pPr>
                  <w:r>
                    <w:t>Relativity</w:t>
                  </w:r>
                </w:p>
              </w:tc>
              <w:tc>
                <w:tcPr>
                  <w:tcW w:w="430" w:type="pct"/>
                  <w:vAlign w:val="center"/>
                </w:tcPr>
                <w:p w14:paraId="7954ABC4" w14:textId="77777777" w:rsidR="00F05DC7" w:rsidRDefault="00F05DC7" w:rsidP="00A3786D">
                  <w:pPr>
                    <w:pStyle w:val="TableBodyText"/>
                  </w:pPr>
                  <w:r>
                    <w:rPr>
                      <w:rFonts w:cs="Arial"/>
                      <w:color w:val="000000"/>
                      <w:szCs w:val="18"/>
                    </w:rPr>
                    <w:t>0.90</w:t>
                  </w:r>
                </w:p>
              </w:tc>
              <w:tc>
                <w:tcPr>
                  <w:tcW w:w="430" w:type="pct"/>
                  <w:vAlign w:val="center"/>
                </w:tcPr>
                <w:p w14:paraId="7954ABC5" w14:textId="77777777" w:rsidR="00F05DC7" w:rsidRDefault="00F05DC7" w:rsidP="00A3786D">
                  <w:pPr>
                    <w:pStyle w:val="TableBodyText"/>
                  </w:pPr>
                  <w:r>
                    <w:rPr>
                      <w:rFonts w:cs="Arial"/>
                      <w:color w:val="000000"/>
                      <w:szCs w:val="18"/>
                    </w:rPr>
                    <w:t>0.90</w:t>
                  </w:r>
                </w:p>
              </w:tc>
              <w:tc>
                <w:tcPr>
                  <w:tcW w:w="430" w:type="pct"/>
                  <w:vAlign w:val="center"/>
                </w:tcPr>
                <w:p w14:paraId="7954ABC6" w14:textId="77777777" w:rsidR="00F05DC7" w:rsidRDefault="00F05DC7" w:rsidP="00A3786D">
                  <w:pPr>
                    <w:pStyle w:val="TableBodyText"/>
                  </w:pPr>
                  <w:r>
                    <w:rPr>
                      <w:rFonts w:cs="Arial"/>
                      <w:color w:val="000000"/>
                      <w:szCs w:val="18"/>
                    </w:rPr>
                    <w:t>0.99</w:t>
                  </w:r>
                </w:p>
              </w:tc>
              <w:tc>
                <w:tcPr>
                  <w:tcW w:w="429" w:type="pct"/>
                  <w:vAlign w:val="center"/>
                </w:tcPr>
                <w:p w14:paraId="7954ABC7" w14:textId="77777777" w:rsidR="00F05DC7" w:rsidRDefault="00F05DC7" w:rsidP="00A3786D">
                  <w:pPr>
                    <w:pStyle w:val="TableBodyText"/>
                  </w:pPr>
                  <w:r>
                    <w:rPr>
                      <w:rFonts w:cs="Arial"/>
                      <w:color w:val="000000"/>
                      <w:szCs w:val="18"/>
                    </w:rPr>
                    <w:t>0.90</w:t>
                  </w:r>
                </w:p>
              </w:tc>
              <w:tc>
                <w:tcPr>
                  <w:tcW w:w="429" w:type="pct"/>
                  <w:vAlign w:val="center"/>
                </w:tcPr>
                <w:p w14:paraId="7954ABC8" w14:textId="77777777" w:rsidR="00F05DC7" w:rsidRDefault="00F05DC7" w:rsidP="00A3786D">
                  <w:pPr>
                    <w:pStyle w:val="TableBodyText"/>
                    <w:rPr>
                      <w:rFonts w:cs="Arial"/>
                      <w:color w:val="000000"/>
                      <w:szCs w:val="18"/>
                    </w:rPr>
                  </w:pPr>
                  <w:r>
                    <w:rPr>
                      <w:rFonts w:cs="Arial"/>
                      <w:color w:val="000000"/>
                      <w:szCs w:val="18"/>
                    </w:rPr>
                    <w:t>1.38</w:t>
                  </w:r>
                </w:p>
              </w:tc>
              <w:tc>
                <w:tcPr>
                  <w:tcW w:w="429" w:type="pct"/>
                  <w:vAlign w:val="center"/>
                </w:tcPr>
                <w:p w14:paraId="7954ABC9" w14:textId="77777777" w:rsidR="00F05DC7" w:rsidRDefault="00F05DC7" w:rsidP="00A3786D">
                  <w:pPr>
                    <w:pStyle w:val="TableBodyText"/>
                    <w:rPr>
                      <w:rFonts w:cs="Arial"/>
                      <w:color w:val="000000"/>
                      <w:szCs w:val="18"/>
                    </w:rPr>
                  </w:pPr>
                  <w:r>
                    <w:rPr>
                      <w:rFonts w:cs="Arial"/>
                      <w:color w:val="000000"/>
                      <w:szCs w:val="18"/>
                    </w:rPr>
                    <w:t>1.67</w:t>
                  </w:r>
                </w:p>
              </w:tc>
              <w:tc>
                <w:tcPr>
                  <w:tcW w:w="429" w:type="pct"/>
                  <w:vAlign w:val="center"/>
                </w:tcPr>
                <w:p w14:paraId="7954ABCA" w14:textId="77777777" w:rsidR="00F05DC7" w:rsidRDefault="00F05DC7" w:rsidP="00A3786D">
                  <w:pPr>
                    <w:pStyle w:val="TableBodyText"/>
                    <w:rPr>
                      <w:rFonts w:cs="Arial"/>
                      <w:color w:val="000000"/>
                      <w:szCs w:val="18"/>
                    </w:rPr>
                  </w:pPr>
                  <w:r>
                    <w:rPr>
                      <w:rFonts w:cs="Arial"/>
                      <w:color w:val="000000"/>
                      <w:szCs w:val="18"/>
                    </w:rPr>
                    <w:t>1.08</w:t>
                  </w:r>
                </w:p>
              </w:tc>
              <w:tc>
                <w:tcPr>
                  <w:tcW w:w="429" w:type="pct"/>
                </w:tcPr>
                <w:p w14:paraId="7954ABCB" w14:textId="77777777" w:rsidR="00F05DC7" w:rsidRDefault="00F05DC7" w:rsidP="00A3786D">
                  <w:pPr>
                    <w:pStyle w:val="TableBodyText"/>
                    <w:rPr>
                      <w:rFonts w:cs="Arial"/>
                      <w:color w:val="000000"/>
                      <w:szCs w:val="18"/>
                    </w:rPr>
                  </w:pPr>
                  <w:r>
                    <w:rPr>
                      <w:rFonts w:cs="Arial"/>
                      <w:color w:val="000000"/>
                      <w:szCs w:val="18"/>
                    </w:rPr>
                    <w:t>4.16</w:t>
                  </w:r>
                </w:p>
              </w:tc>
            </w:tr>
            <w:tr w:rsidR="00F05DC7" w14:paraId="7954ABD6" w14:textId="77777777" w:rsidTr="00A3786D">
              <w:tc>
                <w:tcPr>
                  <w:tcW w:w="1567" w:type="pct"/>
                  <w:shd w:val="clear" w:color="auto" w:fill="auto"/>
                </w:tcPr>
                <w:p w14:paraId="7954ABCD" w14:textId="77777777" w:rsidR="00F05DC7" w:rsidRDefault="00F05DC7" w:rsidP="00A3786D">
                  <w:pPr>
                    <w:pStyle w:val="TableBodyText"/>
                    <w:jc w:val="left"/>
                  </w:pPr>
                  <w:r>
                    <w:rPr>
                      <w:b/>
                    </w:rPr>
                    <w:t>Total GST payments under current system</w:t>
                  </w:r>
                </w:p>
              </w:tc>
              <w:tc>
                <w:tcPr>
                  <w:tcW w:w="430" w:type="pct"/>
                </w:tcPr>
                <w:p w14:paraId="7954ABCE" w14:textId="77777777" w:rsidR="00F05DC7" w:rsidDel="00C4423B" w:rsidRDefault="00F05DC7" w:rsidP="00A3786D">
                  <w:pPr>
                    <w:pStyle w:val="TableColumnHeading"/>
                  </w:pPr>
                  <w:r>
                    <w:t>NSW</w:t>
                  </w:r>
                </w:p>
              </w:tc>
              <w:tc>
                <w:tcPr>
                  <w:tcW w:w="430" w:type="pct"/>
                </w:tcPr>
                <w:p w14:paraId="7954ABCF" w14:textId="77777777" w:rsidR="00F05DC7" w:rsidRDefault="00F05DC7" w:rsidP="00A3786D">
                  <w:pPr>
                    <w:pStyle w:val="TableColumnHeading"/>
                  </w:pPr>
                  <w:r>
                    <w:t>Vic</w:t>
                  </w:r>
                </w:p>
              </w:tc>
              <w:tc>
                <w:tcPr>
                  <w:tcW w:w="430" w:type="pct"/>
                </w:tcPr>
                <w:p w14:paraId="7954ABD0" w14:textId="77777777" w:rsidR="00F05DC7" w:rsidRDefault="00F05DC7" w:rsidP="00A3786D">
                  <w:pPr>
                    <w:pStyle w:val="TableColumnHeading"/>
                  </w:pPr>
                  <w:r>
                    <w:t>Qld</w:t>
                  </w:r>
                </w:p>
              </w:tc>
              <w:tc>
                <w:tcPr>
                  <w:tcW w:w="429" w:type="pct"/>
                </w:tcPr>
                <w:p w14:paraId="7954ABD1" w14:textId="77777777" w:rsidR="00F05DC7" w:rsidRDefault="00F05DC7" w:rsidP="00A3786D">
                  <w:pPr>
                    <w:pStyle w:val="TableColumnHeading"/>
                  </w:pPr>
                  <w:r>
                    <w:t>WA</w:t>
                  </w:r>
                </w:p>
              </w:tc>
              <w:tc>
                <w:tcPr>
                  <w:tcW w:w="429" w:type="pct"/>
                </w:tcPr>
                <w:p w14:paraId="7954ABD2" w14:textId="77777777" w:rsidR="00F05DC7" w:rsidRDefault="00F05DC7" w:rsidP="00A3786D">
                  <w:pPr>
                    <w:pStyle w:val="TableColumnHeading"/>
                  </w:pPr>
                  <w:r>
                    <w:t>SA</w:t>
                  </w:r>
                </w:p>
              </w:tc>
              <w:tc>
                <w:tcPr>
                  <w:tcW w:w="429" w:type="pct"/>
                </w:tcPr>
                <w:p w14:paraId="7954ABD3" w14:textId="77777777" w:rsidR="00F05DC7" w:rsidRDefault="00F05DC7" w:rsidP="00A3786D">
                  <w:pPr>
                    <w:pStyle w:val="TableColumnHeading"/>
                  </w:pPr>
                  <w:r>
                    <w:t>Tas</w:t>
                  </w:r>
                </w:p>
              </w:tc>
              <w:tc>
                <w:tcPr>
                  <w:tcW w:w="429" w:type="pct"/>
                </w:tcPr>
                <w:p w14:paraId="7954ABD4" w14:textId="77777777" w:rsidR="00F05DC7" w:rsidRDefault="00F05DC7" w:rsidP="00A3786D">
                  <w:pPr>
                    <w:pStyle w:val="TableColumnHeading"/>
                  </w:pPr>
                  <w:r>
                    <w:t>ACT</w:t>
                  </w:r>
                </w:p>
              </w:tc>
              <w:tc>
                <w:tcPr>
                  <w:tcW w:w="429" w:type="pct"/>
                </w:tcPr>
                <w:p w14:paraId="7954ABD5" w14:textId="77777777" w:rsidR="00F05DC7" w:rsidRDefault="00F05DC7" w:rsidP="00A3786D">
                  <w:pPr>
                    <w:pStyle w:val="TableColumnHeading"/>
                  </w:pPr>
                </w:p>
              </w:tc>
            </w:tr>
            <w:tr w:rsidR="00F05DC7" w14:paraId="7954ABE0" w14:textId="77777777" w:rsidTr="00A3786D">
              <w:tc>
                <w:tcPr>
                  <w:tcW w:w="1567" w:type="pct"/>
                  <w:shd w:val="clear" w:color="auto" w:fill="auto"/>
                </w:tcPr>
                <w:p w14:paraId="7954ABD7" w14:textId="77777777" w:rsidR="00F05DC7" w:rsidRDefault="00F05DC7" w:rsidP="00A3786D">
                  <w:pPr>
                    <w:pStyle w:val="TableBodyText"/>
                    <w:jc w:val="left"/>
                  </w:pPr>
                  <w:r w:rsidRPr="00BA38FE">
                    <w:t>$ million</w:t>
                  </w:r>
                </w:p>
              </w:tc>
              <w:tc>
                <w:tcPr>
                  <w:tcW w:w="430" w:type="pct"/>
                </w:tcPr>
                <w:p w14:paraId="7954ABD8" w14:textId="77777777" w:rsidR="00F05DC7" w:rsidDel="00C4423B" w:rsidRDefault="00F05DC7" w:rsidP="00A3786D">
                  <w:pPr>
                    <w:pStyle w:val="TableBodyText"/>
                  </w:pPr>
                  <w:r>
                    <w:t>18 030</w:t>
                  </w:r>
                </w:p>
              </w:tc>
              <w:tc>
                <w:tcPr>
                  <w:tcW w:w="430" w:type="pct"/>
                </w:tcPr>
                <w:p w14:paraId="7954ABD9" w14:textId="77777777" w:rsidR="00F05DC7" w:rsidRDefault="00F05DC7" w:rsidP="00A3786D">
                  <w:pPr>
                    <w:pStyle w:val="TableBodyText"/>
                  </w:pPr>
                  <w:r>
                    <w:t>16 830</w:t>
                  </w:r>
                </w:p>
              </w:tc>
              <w:tc>
                <w:tcPr>
                  <w:tcW w:w="430" w:type="pct"/>
                </w:tcPr>
                <w:p w14:paraId="7954ABDA" w14:textId="77777777" w:rsidR="00F05DC7" w:rsidRDefault="00F05DC7" w:rsidP="00A3786D">
                  <w:pPr>
                    <w:pStyle w:val="TableBodyText"/>
                  </w:pPr>
                  <w:r>
                    <w:t>14 447</w:t>
                  </w:r>
                </w:p>
              </w:tc>
              <w:tc>
                <w:tcPr>
                  <w:tcW w:w="429" w:type="pct"/>
                </w:tcPr>
                <w:p w14:paraId="7954ABDB" w14:textId="77777777" w:rsidR="00F05DC7" w:rsidRDefault="00F05DC7" w:rsidP="00A3786D">
                  <w:pPr>
                    <w:pStyle w:val="TableBodyText"/>
                  </w:pPr>
                  <w:r>
                    <w:t>3 255</w:t>
                  </w:r>
                </w:p>
              </w:tc>
              <w:tc>
                <w:tcPr>
                  <w:tcW w:w="429" w:type="pct"/>
                </w:tcPr>
                <w:p w14:paraId="7954ABDC" w14:textId="77777777" w:rsidR="00F05DC7" w:rsidRDefault="00F05DC7" w:rsidP="00A3786D">
                  <w:pPr>
                    <w:pStyle w:val="TableBodyText"/>
                  </w:pPr>
                  <w:r>
                    <w:t>6 751</w:t>
                  </w:r>
                </w:p>
              </w:tc>
              <w:tc>
                <w:tcPr>
                  <w:tcW w:w="429" w:type="pct"/>
                </w:tcPr>
                <w:p w14:paraId="7954ABDD" w14:textId="77777777" w:rsidR="00F05DC7" w:rsidRDefault="00F05DC7" w:rsidP="00A3786D">
                  <w:pPr>
                    <w:pStyle w:val="TableBodyText"/>
                  </w:pPr>
                  <w:r>
                    <w:t>2 434</w:t>
                  </w:r>
                </w:p>
              </w:tc>
              <w:tc>
                <w:tcPr>
                  <w:tcW w:w="429" w:type="pct"/>
                </w:tcPr>
                <w:p w14:paraId="7954ABDE" w14:textId="77777777" w:rsidR="00F05DC7" w:rsidRDefault="00F05DC7" w:rsidP="00A3786D">
                  <w:pPr>
                    <w:pStyle w:val="TableBodyText"/>
                  </w:pPr>
                  <w:r>
                    <w:t>1 298</w:t>
                  </w:r>
                </w:p>
              </w:tc>
              <w:tc>
                <w:tcPr>
                  <w:tcW w:w="429" w:type="pct"/>
                </w:tcPr>
                <w:p w14:paraId="7954ABDF" w14:textId="77777777" w:rsidR="00F05DC7" w:rsidRDefault="00F05DC7" w:rsidP="00A3786D">
                  <w:pPr>
                    <w:pStyle w:val="TableBodyText"/>
                  </w:pPr>
                  <w:r>
                    <w:t>2 755</w:t>
                  </w:r>
                </w:p>
              </w:tc>
            </w:tr>
            <w:tr w:rsidR="00F05DC7" w14:paraId="7954ABEA" w14:textId="77777777" w:rsidTr="00A3786D">
              <w:tc>
                <w:tcPr>
                  <w:tcW w:w="1567" w:type="pct"/>
                  <w:shd w:val="clear" w:color="auto" w:fill="auto"/>
                </w:tcPr>
                <w:p w14:paraId="7954ABE1" w14:textId="77777777" w:rsidR="00F05DC7" w:rsidRDefault="00F05DC7" w:rsidP="00A3786D">
                  <w:pPr>
                    <w:pStyle w:val="TableBodyText"/>
                    <w:jc w:val="left"/>
                  </w:pPr>
                  <w:r w:rsidRPr="00BA38FE">
                    <w:t>$ per capita</w:t>
                  </w:r>
                </w:p>
              </w:tc>
              <w:tc>
                <w:tcPr>
                  <w:tcW w:w="430" w:type="pct"/>
                </w:tcPr>
                <w:p w14:paraId="7954ABE2" w14:textId="77777777" w:rsidR="00F05DC7" w:rsidDel="00C4423B" w:rsidRDefault="00F05DC7" w:rsidP="00A3786D">
                  <w:pPr>
                    <w:pStyle w:val="TableBodyText"/>
                  </w:pPr>
                  <w:r>
                    <w:t>2 246</w:t>
                  </w:r>
                </w:p>
              </w:tc>
              <w:tc>
                <w:tcPr>
                  <w:tcW w:w="430" w:type="pct"/>
                </w:tcPr>
                <w:p w14:paraId="7954ABE3" w14:textId="77777777" w:rsidR="00F05DC7" w:rsidRDefault="00F05DC7" w:rsidP="00A3786D">
                  <w:pPr>
                    <w:pStyle w:val="TableBodyText"/>
                  </w:pPr>
                  <w:r>
                    <w:t>2 591</w:t>
                  </w:r>
                </w:p>
              </w:tc>
              <w:tc>
                <w:tcPr>
                  <w:tcW w:w="430" w:type="pct"/>
                </w:tcPr>
                <w:p w14:paraId="7954ABE4" w14:textId="77777777" w:rsidR="00F05DC7" w:rsidRDefault="00F05DC7" w:rsidP="00A3786D">
                  <w:pPr>
                    <w:pStyle w:val="TableBodyText"/>
                  </w:pPr>
                  <w:r>
                    <w:t>2 878</w:t>
                  </w:r>
                </w:p>
              </w:tc>
              <w:tc>
                <w:tcPr>
                  <w:tcW w:w="429" w:type="pct"/>
                </w:tcPr>
                <w:p w14:paraId="7954ABE5" w14:textId="77777777" w:rsidR="00F05DC7" w:rsidRDefault="00F05DC7" w:rsidP="00A3786D">
                  <w:pPr>
                    <w:pStyle w:val="TableBodyText"/>
                  </w:pPr>
                  <w:r>
                    <w:t>1 242</w:t>
                  </w:r>
                </w:p>
              </w:tc>
              <w:tc>
                <w:tcPr>
                  <w:tcW w:w="429" w:type="pct"/>
                </w:tcPr>
                <w:p w14:paraId="7954ABE6" w14:textId="77777777" w:rsidR="00F05DC7" w:rsidRDefault="00F05DC7" w:rsidP="00A3786D">
                  <w:pPr>
                    <w:pStyle w:val="TableBodyText"/>
                  </w:pPr>
                  <w:r>
                    <w:t>3 879</w:t>
                  </w:r>
                </w:p>
              </w:tc>
              <w:tc>
                <w:tcPr>
                  <w:tcW w:w="429" w:type="pct"/>
                </w:tcPr>
                <w:p w14:paraId="7954ABE7" w14:textId="77777777" w:rsidR="00F05DC7" w:rsidRDefault="00F05DC7" w:rsidP="00A3786D">
                  <w:pPr>
                    <w:pStyle w:val="TableBodyText"/>
                  </w:pPr>
                  <w:r>
                    <w:t>4 640</w:t>
                  </w:r>
                </w:p>
              </w:tc>
              <w:tc>
                <w:tcPr>
                  <w:tcW w:w="429" w:type="pct"/>
                </w:tcPr>
                <w:p w14:paraId="7954ABE8" w14:textId="77777777" w:rsidR="00F05DC7" w:rsidRDefault="00F05DC7" w:rsidP="00A3786D">
                  <w:pPr>
                    <w:pStyle w:val="TableBodyText"/>
                  </w:pPr>
                  <w:r>
                    <w:t>3 100</w:t>
                  </w:r>
                </w:p>
              </w:tc>
              <w:tc>
                <w:tcPr>
                  <w:tcW w:w="429" w:type="pct"/>
                </w:tcPr>
                <w:p w14:paraId="7954ABE9" w14:textId="77777777" w:rsidR="00F05DC7" w:rsidRDefault="00F05DC7" w:rsidP="00A3786D">
                  <w:pPr>
                    <w:pStyle w:val="TableBodyText"/>
                  </w:pPr>
                  <w:r>
                    <w:t>11 181</w:t>
                  </w:r>
                </w:p>
              </w:tc>
            </w:tr>
            <w:tr w:rsidR="00F05DC7" w14:paraId="7954ABF4" w14:textId="77777777" w:rsidTr="00A3786D">
              <w:tc>
                <w:tcPr>
                  <w:tcW w:w="1567" w:type="pct"/>
                  <w:tcBorders>
                    <w:bottom w:val="single" w:sz="6" w:space="0" w:color="BFBFBF"/>
                  </w:tcBorders>
                  <w:shd w:val="clear" w:color="auto" w:fill="auto"/>
                </w:tcPr>
                <w:p w14:paraId="7954ABEB" w14:textId="77777777" w:rsidR="00F05DC7" w:rsidRPr="00BA38FE" w:rsidRDefault="00F05DC7" w:rsidP="00A3786D">
                  <w:pPr>
                    <w:pStyle w:val="TableBodyText"/>
                    <w:jc w:val="left"/>
                  </w:pPr>
                  <w:r>
                    <w:t>Relativity</w:t>
                  </w:r>
                </w:p>
              </w:tc>
              <w:tc>
                <w:tcPr>
                  <w:tcW w:w="430" w:type="pct"/>
                  <w:tcBorders>
                    <w:bottom w:val="single" w:sz="6" w:space="0" w:color="BFBFBF"/>
                  </w:tcBorders>
                  <w:vAlign w:val="center"/>
                </w:tcPr>
                <w:p w14:paraId="7954ABEC" w14:textId="77777777" w:rsidR="00F05DC7" w:rsidRDefault="00F05DC7" w:rsidP="00A3786D">
                  <w:pPr>
                    <w:pStyle w:val="TableBodyText"/>
                  </w:pPr>
                  <w:r>
                    <w:rPr>
                      <w:rFonts w:cs="Arial"/>
                      <w:color w:val="000000"/>
                      <w:szCs w:val="18"/>
                    </w:rPr>
                    <w:t>0.86</w:t>
                  </w:r>
                </w:p>
              </w:tc>
              <w:tc>
                <w:tcPr>
                  <w:tcW w:w="430" w:type="pct"/>
                  <w:tcBorders>
                    <w:bottom w:val="single" w:sz="6" w:space="0" w:color="BFBFBF"/>
                  </w:tcBorders>
                  <w:vAlign w:val="center"/>
                </w:tcPr>
                <w:p w14:paraId="7954ABED" w14:textId="77777777" w:rsidR="00F05DC7" w:rsidRDefault="00F05DC7" w:rsidP="00A3786D">
                  <w:pPr>
                    <w:pStyle w:val="TableBodyText"/>
                  </w:pPr>
                  <w:r>
                    <w:rPr>
                      <w:rFonts w:cs="Arial"/>
                      <w:color w:val="000000"/>
                      <w:szCs w:val="18"/>
                    </w:rPr>
                    <w:t>0.99</w:t>
                  </w:r>
                </w:p>
              </w:tc>
              <w:tc>
                <w:tcPr>
                  <w:tcW w:w="430" w:type="pct"/>
                  <w:tcBorders>
                    <w:bottom w:val="single" w:sz="6" w:space="0" w:color="BFBFBF"/>
                  </w:tcBorders>
                  <w:vAlign w:val="center"/>
                </w:tcPr>
                <w:p w14:paraId="7954ABEE" w14:textId="77777777" w:rsidR="00F05DC7" w:rsidRDefault="00F05DC7" w:rsidP="00A3786D">
                  <w:pPr>
                    <w:pStyle w:val="TableBodyText"/>
                  </w:pPr>
                  <w:r>
                    <w:rPr>
                      <w:rFonts w:cs="Arial"/>
                      <w:color w:val="000000"/>
                      <w:szCs w:val="18"/>
                    </w:rPr>
                    <w:t>1.10</w:t>
                  </w:r>
                </w:p>
              </w:tc>
              <w:tc>
                <w:tcPr>
                  <w:tcW w:w="429" w:type="pct"/>
                  <w:tcBorders>
                    <w:bottom w:val="single" w:sz="6" w:space="0" w:color="BFBFBF"/>
                  </w:tcBorders>
                  <w:vAlign w:val="center"/>
                </w:tcPr>
                <w:p w14:paraId="7954ABEF" w14:textId="77777777" w:rsidR="00F05DC7" w:rsidRDefault="00F05DC7" w:rsidP="00A3786D">
                  <w:pPr>
                    <w:pStyle w:val="TableBodyText"/>
                  </w:pPr>
                  <w:r>
                    <w:rPr>
                      <w:rFonts w:cs="Arial"/>
                      <w:color w:val="000000"/>
                      <w:szCs w:val="18"/>
                    </w:rPr>
                    <w:t>0.47</w:t>
                  </w:r>
                </w:p>
              </w:tc>
              <w:tc>
                <w:tcPr>
                  <w:tcW w:w="429" w:type="pct"/>
                  <w:tcBorders>
                    <w:bottom w:val="single" w:sz="6" w:space="0" w:color="BFBFBF"/>
                  </w:tcBorders>
                  <w:vAlign w:val="center"/>
                </w:tcPr>
                <w:p w14:paraId="7954ABF0" w14:textId="77777777" w:rsidR="00F05DC7" w:rsidRDefault="00F05DC7" w:rsidP="00A3786D">
                  <w:pPr>
                    <w:pStyle w:val="TableBodyText"/>
                    <w:rPr>
                      <w:rFonts w:cs="Arial"/>
                      <w:color w:val="000000"/>
                      <w:szCs w:val="18"/>
                    </w:rPr>
                  </w:pPr>
                  <w:r>
                    <w:rPr>
                      <w:rFonts w:cs="Arial"/>
                      <w:color w:val="000000"/>
                      <w:szCs w:val="18"/>
                    </w:rPr>
                    <w:t>1.48</w:t>
                  </w:r>
                </w:p>
              </w:tc>
              <w:tc>
                <w:tcPr>
                  <w:tcW w:w="429" w:type="pct"/>
                  <w:tcBorders>
                    <w:bottom w:val="single" w:sz="6" w:space="0" w:color="BFBFBF"/>
                  </w:tcBorders>
                  <w:vAlign w:val="center"/>
                </w:tcPr>
                <w:p w14:paraId="7954ABF1" w14:textId="77777777" w:rsidR="00F05DC7" w:rsidRDefault="00F05DC7" w:rsidP="00A3786D">
                  <w:pPr>
                    <w:pStyle w:val="TableBodyText"/>
                    <w:rPr>
                      <w:rFonts w:cs="Arial"/>
                      <w:color w:val="000000"/>
                      <w:szCs w:val="18"/>
                    </w:rPr>
                  </w:pPr>
                  <w:r>
                    <w:rPr>
                      <w:rFonts w:cs="Arial"/>
                      <w:color w:val="000000"/>
                      <w:szCs w:val="18"/>
                    </w:rPr>
                    <w:t>1.77</w:t>
                  </w:r>
                </w:p>
              </w:tc>
              <w:tc>
                <w:tcPr>
                  <w:tcW w:w="429" w:type="pct"/>
                  <w:tcBorders>
                    <w:bottom w:val="single" w:sz="6" w:space="0" w:color="BFBFBF"/>
                  </w:tcBorders>
                  <w:vAlign w:val="center"/>
                </w:tcPr>
                <w:p w14:paraId="7954ABF2" w14:textId="77777777" w:rsidR="00F05DC7" w:rsidRDefault="00F05DC7" w:rsidP="00A3786D">
                  <w:pPr>
                    <w:pStyle w:val="TableBodyText"/>
                    <w:rPr>
                      <w:rFonts w:cs="Arial"/>
                      <w:color w:val="000000"/>
                      <w:szCs w:val="18"/>
                    </w:rPr>
                  </w:pPr>
                  <w:r>
                    <w:rPr>
                      <w:rFonts w:cs="Arial"/>
                      <w:color w:val="000000"/>
                      <w:szCs w:val="18"/>
                    </w:rPr>
                    <w:t>1.18</w:t>
                  </w:r>
                </w:p>
              </w:tc>
              <w:tc>
                <w:tcPr>
                  <w:tcW w:w="429" w:type="pct"/>
                  <w:tcBorders>
                    <w:bottom w:val="single" w:sz="6" w:space="0" w:color="BFBFBF"/>
                  </w:tcBorders>
                </w:tcPr>
                <w:p w14:paraId="7954ABF3" w14:textId="77777777" w:rsidR="00F05DC7" w:rsidRDefault="00F05DC7" w:rsidP="00A3786D">
                  <w:pPr>
                    <w:pStyle w:val="TableBodyText"/>
                    <w:rPr>
                      <w:rFonts w:cs="Arial"/>
                      <w:color w:val="000000"/>
                      <w:szCs w:val="18"/>
                    </w:rPr>
                  </w:pPr>
                  <w:r>
                    <w:rPr>
                      <w:rFonts w:cs="Arial"/>
                      <w:color w:val="000000"/>
                      <w:szCs w:val="18"/>
                    </w:rPr>
                    <w:t>4.26</w:t>
                  </w:r>
                </w:p>
              </w:tc>
            </w:tr>
          </w:tbl>
          <w:p w14:paraId="7954ABF5" w14:textId="77777777" w:rsidR="00F05DC7" w:rsidRDefault="00F05DC7" w:rsidP="00A3786D">
            <w:pPr>
              <w:pStyle w:val="Box"/>
            </w:pPr>
          </w:p>
        </w:tc>
      </w:tr>
      <w:tr w:rsidR="00F05DC7" w14:paraId="7954ABF8" w14:textId="77777777" w:rsidTr="00A3786D">
        <w:tc>
          <w:tcPr>
            <w:tcW w:w="5000" w:type="pct"/>
            <w:tcBorders>
              <w:top w:val="nil"/>
              <w:left w:val="nil"/>
              <w:bottom w:val="nil"/>
              <w:right w:val="nil"/>
            </w:tcBorders>
            <w:shd w:val="clear" w:color="auto" w:fill="auto"/>
          </w:tcPr>
          <w:p w14:paraId="7954ABF7" w14:textId="77777777" w:rsidR="00F05DC7" w:rsidRDefault="00F05DC7" w:rsidP="00A3786D">
            <w:pPr>
              <w:pStyle w:val="Source"/>
            </w:pPr>
            <w:r>
              <w:rPr>
                <w:i/>
              </w:rPr>
              <w:t>Source</w:t>
            </w:r>
            <w:r w:rsidRPr="00167F06">
              <w:t xml:space="preserve">: </w:t>
            </w:r>
            <w:r>
              <w:t xml:space="preserve">Productivity Commission estimates. </w:t>
            </w:r>
          </w:p>
        </w:tc>
      </w:tr>
      <w:tr w:rsidR="00F05DC7" w14:paraId="7954ABFA" w14:textId="77777777" w:rsidTr="00A3786D">
        <w:tc>
          <w:tcPr>
            <w:tcW w:w="5000" w:type="pct"/>
            <w:tcBorders>
              <w:top w:val="nil"/>
              <w:left w:val="nil"/>
              <w:bottom w:val="single" w:sz="6" w:space="0" w:color="78A22F"/>
              <w:right w:val="nil"/>
            </w:tcBorders>
            <w:shd w:val="clear" w:color="auto" w:fill="auto"/>
          </w:tcPr>
          <w:p w14:paraId="7954ABF9" w14:textId="77777777" w:rsidR="00F05DC7" w:rsidRDefault="00F05DC7" w:rsidP="00A3786D">
            <w:pPr>
              <w:pStyle w:val="Box"/>
              <w:spacing w:before="0" w:line="120" w:lineRule="exact"/>
            </w:pPr>
          </w:p>
        </w:tc>
      </w:tr>
      <w:tr w:rsidR="00F05DC7" w:rsidRPr="000863A5" w14:paraId="7954ABFC" w14:textId="77777777" w:rsidTr="00A3786D">
        <w:tc>
          <w:tcPr>
            <w:tcW w:w="5000" w:type="pct"/>
            <w:tcBorders>
              <w:top w:val="single" w:sz="6" w:space="0" w:color="78A22F"/>
              <w:left w:val="nil"/>
              <w:bottom w:val="nil"/>
              <w:right w:val="nil"/>
            </w:tcBorders>
          </w:tcPr>
          <w:p w14:paraId="7954ABFB" w14:textId="77777777" w:rsidR="00F05DC7" w:rsidRPr="00626D32" w:rsidRDefault="00F05DC7" w:rsidP="00A3786D">
            <w:pPr>
              <w:pStyle w:val="BoxSpaceBelow"/>
            </w:pPr>
          </w:p>
        </w:tc>
      </w:tr>
    </w:tbl>
    <w:p w14:paraId="7954ABFD" w14:textId="77777777" w:rsidR="00F05DC7" w:rsidRDefault="00F05DC7" w:rsidP="00A3786D">
      <w:pPr>
        <w:pStyle w:val="Heading4"/>
      </w:pPr>
      <w:r>
        <w:t>Changes in GST payments are generally small as a share of States’ total revenue</w:t>
      </w:r>
    </w:p>
    <w:p w14:paraId="7954ABFE" w14:textId="77777777" w:rsidR="00F05DC7" w:rsidRDefault="00F05DC7" w:rsidP="00A3786D">
      <w:pPr>
        <w:pStyle w:val="BodyText"/>
      </w:pPr>
      <w:r>
        <w:t>The services provided by States to their communities are funded from a range of revenue sources, both own</w:t>
      </w:r>
      <w:r>
        <w:noBreakHyphen/>
        <w:t>source revenue and Commonwealth payments, which include GST payments. GST as a share of total revenue for most States ranges from between approximately 8 per cent (for Western Australia) and 49 per cent (for the Northern Territory) — and typically constitutes about a quarter of total revenue in New South Wales, Victoria, and Queensland (chapter 4).</w:t>
      </w:r>
    </w:p>
    <w:p w14:paraId="7954ABFF" w14:textId="77777777" w:rsidR="00F05DC7" w:rsidRDefault="00F05DC7" w:rsidP="00A3786D">
      <w:pPr>
        <w:pStyle w:val="BodyText"/>
      </w:pPr>
      <w:r>
        <w:lastRenderedPageBreak/>
        <w:t>Consequently, reductions in GST payments under each of the alternative benchmarks would typically represent a relatively small change in total State revenue for the relevant States. In most cases, reductions would not exceed 2 per cent for any State, and in almost all cases less than 2.5 per cent (if implemented immediately)</w:t>
      </w:r>
      <w:r w:rsidRPr="001312E9">
        <w:t xml:space="preserve"> </w:t>
      </w:r>
      <w:r>
        <w:t>(table 8.6). The exceptions to this are Queensland (in the case of full equalisation for the smallest States), and the Northern Territory (in the case of 90 per cent full equalisation). The largest average loss arises from a move to full equalisation for the smallest States only (</w:t>
      </w:r>
      <w:r>
        <w:noBreakHyphen/>
        <w:t>3.3 per cent on average, as a proportion of the combined total revenue for those States that lose revenue — Victoria and Queensland) and the smallest impact arises from a move to equalisation to the average of the fiscally strong States (</w:t>
      </w:r>
      <w:r>
        <w:noBreakHyphen/>
        <w:t xml:space="preserve">0.9 per cent on average). These impacts would be moderated through a carefully designed and implemented transition arrangement (transition options are discussed in chapter 9). </w:t>
      </w:r>
    </w:p>
    <w:p w14:paraId="7954AC00" w14:textId="77777777" w:rsidR="00F05DC7" w:rsidRDefault="00F05DC7" w:rsidP="00A3786D">
      <w:pPr>
        <w:pStyle w:val="BodyText"/>
      </w:pPr>
      <w:r>
        <w:t>Conversely, Western Australia would receive an increase in GST payments of about 10 per cent if ETA were introduced immediately (and would receive similar increases under most of the alternative benchmarks).</w:t>
      </w:r>
    </w:p>
    <w:p w14:paraId="7954AC01"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C04" w14:textId="77777777" w:rsidTr="00A3786D">
        <w:trPr>
          <w:tblHeader/>
        </w:trPr>
        <w:tc>
          <w:tcPr>
            <w:tcW w:w="5000" w:type="pct"/>
            <w:tcBorders>
              <w:top w:val="single" w:sz="6" w:space="0" w:color="78A22F"/>
              <w:left w:val="nil"/>
              <w:bottom w:val="nil"/>
              <w:right w:val="nil"/>
            </w:tcBorders>
            <w:shd w:val="clear" w:color="auto" w:fill="auto"/>
          </w:tcPr>
          <w:p w14:paraId="7954AC02" w14:textId="311E7273" w:rsidR="00F05DC7" w:rsidRDefault="00F05DC7" w:rsidP="00A3786D">
            <w:pPr>
              <w:pStyle w:val="TableTitle"/>
            </w:pPr>
            <w:r>
              <w:rPr>
                <w:b w:val="0"/>
              </w:rPr>
              <w:t>Table 8.6</w:t>
            </w:r>
            <w:r>
              <w:tab/>
              <w:t>Impact on State revenue of alternative benchmarks</w:t>
            </w:r>
          </w:p>
          <w:p w14:paraId="7954AC03" w14:textId="77777777" w:rsidR="00F05DC7" w:rsidRPr="00784A05" w:rsidRDefault="00F05DC7" w:rsidP="00A3786D">
            <w:pPr>
              <w:pStyle w:val="Subtitle"/>
            </w:pPr>
            <w:r>
              <w:t>Change in GST payments as a share of total State revenue, in 2018</w:t>
            </w:r>
            <w:r>
              <w:noBreakHyphen/>
              <w:t>19 under immediate implementation</w:t>
            </w:r>
          </w:p>
        </w:tc>
      </w:tr>
      <w:tr w:rsidR="00F05DC7" w14:paraId="7954AC42"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74"/>
              <w:gridCol w:w="766"/>
              <w:gridCol w:w="768"/>
              <w:gridCol w:w="766"/>
              <w:gridCol w:w="767"/>
              <w:gridCol w:w="765"/>
              <w:gridCol w:w="767"/>
              <w:gridCol w:w="765"/>
              <w:gridCol w:w="767"/>
            </w:tblGrid>
            <w:tr w:rsidR="00F05DC7" w14:paraId="7954AC0E" w14:textId="77777777" w:rsidTr="00A3786D">
              <w:trPr>
                <w:tblHeader/>
              </w:trPr>
              <w:tc>
                <w:tcPr>
                  <w:tcW w:w="1395" w:type="pct"/>
                  <w:tcBorders>
                    <w:top w:val="single" w:sz="6" w:space="0" w:color="BFBFBF"/>
                    <w:bottom w:val="single" w:sz="6" w:space="0" w:color="BFBFBF"/>
                  </w:tcBorders>
                  <w:shd w:val="clear" w:color="auto" w:fill="auto"/>
                  <w:tcMar>
                    <w:top w:w="28" w:type="dxa"/>
                  </w:tcMar>
                </w:tcPr>
                <w:p w14:paraId="7954AC05" w14:textId="77777777" w:rsidR="00F05DC7" w:rsidRDefault="00F05DC7" w:rsidP="00A3786D">
                  <w:pPr>
                    <w:pStyle w:val="TableColumnHeading"/>
                    <w:jc w:val="left"/>
                  </w:pPr>
                </w:p>
              </w:tc>
              <w:tc>
                <w:tcPr>
                  <w:tcW w:w="450" w:type="pct"/>
                  <w:tcBorders>
                    <w:top w:val="single" w:sz="6" w:space="0" w:color="BFBFBF"/>
                    <w:bottom w:val="single" w:sz="6" w:space="0" w:color="BFBFBF"/>
                  </w:tcBorders>
                </w:tcPr>
                <w:p w14:paraId="7954AC06" w14:textId="77777777" w:rsidR="00F05DC7" w:rsidRDefault="00F05DC7" w:rsidP="00A3786D">
                  <w:pPr>
                    <w:pStyle w:val="TableColumnHeading"/>
                  </w:pPr>
                  <w:r>
                    <w:t>NSW</w:t>
                  </w:r>
                </w:p>
              </w:tc>
              <w:tc>
                <w:tcPr>
                  <w:tcW w:w="451" w:type="pct"/>
                  <w:tcBorders>
                    <w:top w:val="single" w:sz="6" w:space="0" w:color="BFBFBF"/>
                    <w:bottom w:val="single" w:sz="6" w:space="0" w:color="BFBFBF"/>
                  </w:tcBorders>
                </w:tcPr>
                <w:p w14:paraId="7954AC07" w14:textId="77777777" w:rsidR="00F05DC7" w:rsidRDefault="00F05DC7" w:rsidP="00A3786D">
                  <w:pPr>
                    <w:pStyle w:val="TableColumnHeading"/>
                  </w:pPr>
                  <w:r>
                    <w:t>Vic</w:t>
                  </w:r>
                </w:p>
              </w:tc>
              <w:tc>
                <w:tcPr>
                  <w:tcW w:w="450" w:type="pct"/>
                  <w:tcBorders>
                    <w:top w:val="single" w:sz="6" w:space="0" w:color="BFBFBF"/>
                    <w:bottom w:val="single" w:sz="6" w:space="0" w:color="BFBFBF"/>
                  </w:tcBorders>
                </w:tcPr>
                <w:p w14:paraId="7954AC08" w14:textId="77777777" w:rsidR="00F05DC7" w:rsidRDefault="00F05DC7" w:rsidP="00A3786D">
                  <w:pPr>
                    <w:pStyle w:val="TableColumnHeading"/>
                  </w:pPr>
                  <w:r>
                    <w:t>Qld</w:t>
                  </w:r>
                </w:p>
              </w:tc>
              <w:tc>
                <w:tcPr>
                  <w:tcW w:w="451" w:type="pct"/>
                  <w:tcBorders>
                    <w:top w:val="single" w:sz="6" w:space="0" w:color="BFBFBF"/>
                    <w:bottom w:val="single" w:sz="6" w:space="0" w:color="BFBFBF"/>
                  </w:tcBorders>
                </w:tcPr>
                <w:p w14:paraId="7954AC09" w14:textId="77777777" w:rsidR="00F05DC7" w:rsidRDefault="00F05DC7" w:rsidP="00A3786D">
                  <w:pPr>
                    <w:pStyle w:val="TableColumnHeading"/>
                  </w:pPr>
                  <w:r>
                    <w:t>WA</w:t>
                  </w:r>
                </w:p>
              </w:tc>
              <w:tc>
                <w:tcPr>
                  <w:tcW w:w="450" w:type="pct"/>
                  <w:tcBorders>
                    <w:top w:val="single" w:sz="6" w:space="0" w:color="BFBFBF"/>
                    <w:bottom w:val="single" w:sz="6" w:space="0" w:color="BFBFBF"/>
                  </w:tcBorders>
                </w:tcPr>
                <w:p w14:paraId="7954AC0A" w14:textId="77777777" w:rsidR="00F05DC7" w:rsidRDefault="00F05DC7" w:rsidP="00A3786D">
                  <w:pPr>
                    <w:pStyle w:val="TableColumnHeading"/>
                  </w:pPr>
                  <w:r>
                    <w:t>SA</w:t>
                  </w:r>
                </w:p>
              </w:tc>
              <w:tc>
                <w:tcPr>
                  <w:tcW w:w="451" w:type="pct"/>
                  <w:tcBorders>
                    <w:top w:val="single" w:sz="6" w:space="0" w:color="BFBFBF"/>
                    <w:bottom w:val="single" w:sz="6" w:space="0" w:color="BFBFBF"/>
                  </w:tcBorders>
                  <w:shd w:val="clear" w:color="auto" w:fill="auto"/>
                  <w:tcMar>
                    <w:top w:w="28" w:type="dxa"/>
                  </w:tcMar>
                </w:tcPr>
                <w:p w14:paraId="7954AC0B" w14:textId="77777777" w:rsidR="00F05DC7" w:rsidRDefault="00F05DC7" w:rsidP="00A3786D">
                  <w:pPr>
                    <w:pStyle w:val="TableColumnHeading"/>
                  </w:pPr>
                  <w:r>
                    <w:t>Tas</w:t>
                  </w:r>
                </w:p>
              </w:tc>
              <w:tc>
                <w:tcPr>
                  <w:tcW w:w="450" w:type="pct"/>
                  <w:tcBorders>
                    <w:top w:val="single" w:sz="6" w:space="0" w:color="BFBFBF"/>
                    <w:bottom w:val="single" w:sz="6" w:space="0" w:color="BFBFBF"/>
                  </w:tcBorders>
                </w:tcPr>
                <w:p w14:paraId="7954AC0C" w14:textId="77777777" w:rsidR="00F05DC7" w:rsidRDefault="00F05DC7" w:rsidP="00A3786D">
                  <w:pPr>
                    <w:pStyle w:val="TableColumnHeading"/>
                    <w:ind w:right="28"/>
                  </w:pPr>
                  <w:r>
                    <w:t>ACT</w:t>
                  </w:r>
                </w:p>
              </w:tc>
              <w:tc>
                <w:tcPr>
                  <w:tcW w:w="451" w:type="pct"/>
                  <w:tcBorders>
                    <w:top w:val="single" w:sz="6" w:space="0" w:color="BFBFBF"/>
                    <w:bottom w:val="single" w:sz="6" w:space="0" w:color="BFBFBF"/>
                  </w:tcBorders>
                  <w:shd w:val="clear" w:color="auto" w:fill="auto"/>
                  <w:tcMar>
                    <w:top w:w="28" w:type="dxa"/>
                  </w:tcMar>
                </w:tcPr>
                <w:p w14:paraId="7954AC0D" w14:textId="77777777" w:rsidR="00F05DC7" w:rsidRDefault="00F05DC7" w:rsidP="00A3786D">
                  <w:pPr>
                    <w:pStyle w:val="TableColumnHeading"/>
                    <w:ind w:right="28"/>
                  </w:pPr>
                  <w:r>
                    <w:t>NT</w:t>
                  </w:r>
                </w:p>
              </w:tc>
            </w:tr>
            <w:tr w:rsidR="00F05DC7" w14:paraId="7954AC18" w14:textId="77777777" w:rsidTr="00A3786D">
              <w:tc>
                <w:tcPr>
                  <w:tcW w:w="1395" w:type="pct"/>
                  <w:tcBorders>
                    <w:top w:val="single" w:sz="6" w:space="0" w:color="BFBFBF"/>
                  </w:tcBorders>
                </w:tcPr>
                <w:p w14:paraId="7954AC0F" w14:textId="77777777" w:rsidR="00F05DC7" w:rsidRDefault="00F05DC7" w:rsidP="00A3786D">
                  <w:pPr>
                    <w:pStyle w:val="TableUnitsRow"/>
                    <w:jc w:val="left"/>
                  </w:pPr>
                  <w:r>
                    <w:t>90 per cent full equalisation</w:t>
                  </w:r>
                </w:p>
              </w:tc>
              <w:tc>
                <w:tcPr>
                  <w:tcW w:w="450" w:type="pct"/>
                  <w:tcBorders>
                    <w:top w:val="single" w:sz="6" w:space="0" w:color="BFBFBF"/>
                  </w:tcBorders>
                </w:tcPr>
                <w:p w14:paraId="7954AC10" w14:textId="77777777" w:rsidR="00F05DC7" w:rsidRDefault="00F05DC7" w:rsidP="00A3786D">
                  <w:pPr>
                    <w:pStyle w:val="TableUnitsRow"/>
                  </w:pPr>
                  <w:r>
                    <w:t>0.4</w:t>
                  </w:r>
                </w:p>
              </w:tc>
              <w:tc>
                <w:tcPr>
                  <w:tcW w:w="451" w:type="pct"/>
                  <w:tcBorders>
                    <w:top w:val="single" w:sz="6" w:space="0" w:color="BFBFBF"/>
                  </w:tcBorders>
                </w:tcPr>
                <w:p w14:paraId="7954AC11" w14:textId="77777777" w:rsidR="00F05DC7" w:rsidRDefault="00F05DC7" w:rsidP="00A3786D">
                  <w:pPr>
                    <w:pStyle w:val="TableUnitsRow"/>
                  </w:pPr>
                  <w:r>
                    <w:t>0.0</w:t>
                  </w:r>
                </w:p>
              </w:tc>
              <w:tc>
                <w:tcPr>
                  <w:tcW w:w="450" w:type="pct"/>
                  <w:tcBorders>
                    <w:top w:val="single" w:sz="6" w:space="0" w:color="BFBFBF"/>
                  </w:tcBorders>
                </w:tcPr>
                <w:p w14:paraId="7954AC12" w14:textId="77777777" w:rsidR="00F05DC7" w:rsidRDefault="00F05DC7" w:rsidP="00A3786D">
                  <w:pPr>
                    <w:pStyle w:val="TableUnitsRow"/>
                  </w:pPr>
                  <w:r>
                    <w:noBreakHyphen/>
                    <w:t>0.2</w:t>
                  </w:r>
                </w:p>
              </w:tc>
              <w:tc>
                <w:tcPr>
                  <w:tcW w:w="451" w:type="pct"/>
                  <w:tcBorders>
                    <w:top w:val="single" w:sz="6" w:space="0" w:color="BFBFBF"/>
                  </w:tcBorders>
                </w:tcPr>
                <w:p w14:paraId="7954AC13" w14:textId="77777777" w:rsidR="00F05DC7" w:rsidRDefault="00F05DC7" w:rsidP="00A3786D">
                  <w:pPr>
                    <w:pStyle w:val="TableUnitsRow"/>
                  </w:pPr>
                  <w:r>
                    <w:t>1.2</w:t>
                  </w:r>
                </w:p>
              </w:tc>
              <w:tc>
                <w:tcPr>
                  <w:tcW w:w="450" w:type="pct"/>
                  <w:tcBorders>
                    <w:top w:val="single" w:sz="6" w:space="0" w:color="BFBFBF"/>
                  </w:tcBorders>
                </w:tcPr>
                <w:p w14:paraId="7954AC14" w14:textId="77777777" w:rsidR="00F05DC7" w:rsidRDefault="00F05DC7" w:rsidP="00A3786D">
                  <w:pPr>
                    <w:pStyle w:val="TableUnitsRow"/>
                  </w:pPr>
                  <w:r>
                    <w:noBreakHyphen/>
                    <w:t>1.1</w:t>
                  </w:r>
                </w:p>
              </w:tc>
              <w:tc>
                <w:tcPr>
                  <w:tcW w:w="451" w:type="pct"/>
                  <w:tcBorders>
                    <w:top w:val="single" w:sz="6" w:space="0" w:color="BFBFBF"/>
                  </w:tcBorders>
                </w:tcPr>
                <w:p w14:paraId="7954AC15" w14:textId="77777777" w:rsidR="00F05DC7" w:rsidRDefault="00F05DC7" w:rsidP="00A3786D">
                  <w:pPr>
                    <w:pStyle w:val="TableUnitsRow"/>
                  </w:pPr>
                  <w:r>
                    <w:noBreakHyphen/>
                    <w:t>1.8</w:t>
                  </w:r>
                </w:p>
              </w:tc>
              <w:tc>
                <w:tcPr>
                  <w:tcW w:w="450" w:type="pct"/>
                  <w:tcBorders>
                    <w:top w:val="single" w:sz="6" w:space="0" w:color="BFBFBF"/>
                  </w:tcBorders>
                </w:tcPr>
                <w:p w14:paraId="7954AC16" w14:textId="77777777" w:rsidR="00F05DC7" w:rsidRDefault="00F05DC7" w:rsidP="00A3786D">
                  <w:pPr>
                    <w:pStyle w:val="TableUnitsRow"/>
                    <w:ind w:right="28"/>
                  </w:pPr>
                  <w:r>
                    <w:noBreakHyphen/>
                    <w:t>0.4</w:t>
                  </w:r>
                </w:p>
              </w:tc>
              <w:tc>
                <w:tcPr>
                  <w:tcW w:w="451" w:type="pct"/>
                  <w:tcBorders>
                    <w:top w:val="single" w:sz="6" w:space="0" w:color="BFBFBF"/>
                  </w:tcBorders>
                </w:tcPr>
                <w:p w14:paraId="7954AC17" w14:textId="77777777" w:rsidR="00F05DC7" w:rsidRDefault="00F05DC7" w:rsidP="00A3786D">
                  <w:pPr>
                    <w:pStyle w:val="TableUnitsRow"/>
                    <w:ind w:right="28"/>
                  </w:pPr>
                  <w:r>
                    <w:noBreakHyphen/>
                    <w:t>3.9</w:t>
                  </w:r>
                </w:p>
              </w:tc>
            </w:tr>
            <w:tr w:rsidR="00F05DC7" w14:paraId="7954AC22" w14:textId="77777777" w:rsidTr="00A3786D">
              <w:tc>
                <w:tcPr>
                  <w:tcW w:w="1395" w:type="pct"/>
                </w:tcPr>
                <w:p w14:paraId="7954AC19" w14:textId="77777777" w:rsidR="00F05DC7" w:rsidRDefault="00F05DC7" w:rsidP="00A3786D">
                  <w:pPr>
                    <w:pStyle w:val="TableBodyText"/>
                    <w:jc w:val="left"/>
                  </w:pPr>
                  <w:r>
                    <w:t>Equalisation to the average of the fiscally strong States</w:t>
                  </w:r>
                </w:p>
              </w:tc>
              <w:tc>
                <w:tcPr>
                  <w:tcW w:w="450" w:type="pct"/>
                </w:tcPr>
                <w:p w14:paraId="7954AC1A" w14:textId="77777777" w:rsidR="00F05DC7" w:rsidRDefault="00F05DC7" w:rsidP="00A3786D">
                  <w:pPr>
                    <w:pStyle w:val="TableBodyText"/>
                  </w:pPr>
                  <w:r>
                    <w:noBreakHyphen/>
                    <w:t>1.0</w:t>
                  </w:r>
                </w:p>
              </w:tc>
              <w:tc>
                <w:tcPr>
                  <w:tcW w:w="451" w:type="pct"/>
                </w:tcPr>
                <w:p w14:paraId="7954AC1B" w14:textId="77777777" w:rsidR="00F05DC7" w:rsidRDefault="00F05DC7" w:rsidP="00A3786D">
                  <w:pPr>
                    <w:pStyle w:val="TableBodyText"/>
                  </w:pPr>
                  <w:r>
                    <w:noBreakHyphen/>
                    <w:t>1.0</w:t>
                  </w:r>
                </w:p>
              </w:tc>
              <w:tc>
                <w:tcPr>
                  <w:tcW w:w="450" w:type="pct"/>
                </w:tcPr>
                <w:p w14:paraId="7954AC1C" w14:textId="77777777" w:rsidR="00F05DC7" w:rsidRDefault="00F05DC7" w:rsidP="00A3786D">
                  <w:pPr>
                    <w:pStyle w:val="TableBodyText"/>
                  </w:pPr>
                  <w:r>
                    <w:noBreakHyphen/>
                    <w:t>0.9</w:t>
                  </w:r>
                </w:p>
              </w:tc>
              <w:tc>
                <w:tcPr>
                  <w:tcW w:w="451" w:type="pct"/>
                </w:tcPr>
                <w:p w14:paraId="7954AC1D" w14:textId="77777777" w:rsidR="00F05DC7" w:rsidRDefault="00F05DC7" w:rsidP="00A3786D">
                  <w:pPr>
                    <w:pStyle w:val="TableBodyText"/>
                  </w:pPr>
                  <w:r>
                    <w:t>7.8</w:t>
                  </w:r>
                </w:p>
              </w:tc>
              <w:tc>
                <w:tcPr>
                  <w:tcW w:w="450" w:type="pct"/>
                </w:tcPr>
                <w:p w14:paraId="7954AC1E" w14:textId="77777777" w:rsidR="00F05DC7" w:rsidRDefault="00F05DC7" w:rsidP="00A3786D">
                  <w:pPr>
                    <w:pStyle w:val="TableBodyText"/>
                  </w:pPr>
                  <w:r>
                    <w:noBreakHyphen/>
                    <w:t>0.9</w:t>
                  </w:r>
                </w:p>
              </w:tc>
              <w:tc>
                <w:tcPr>
                  <w:tcW w:w="451" w:type="pct"/>
                </w:tcPr>
                <w:p w14:paraId="7954AC1F" w14:textId="77777777" w:rsidR="00F05DC7" w:rsidRDefault="00F05DC7" w:rsidP="00A3786D">
                  <w:pPr>
                    <w:pStyle w:val="TableBodyText"/>
                  </w:pPr>
                  <w:r>
                    <w:noBreakHyphen/>
                    <w:t>0.9</w:t>
                  </w:r>
                </w:p>
              </w:tc>
              <w:tc>
                <w:tcPr>
                  <w:tcW w:w="450" w:type="pct"/>
                </w:tcPr>
                <w:p w14:paraId="7954AC20" w14:textId="77777777" w:rsidR="00F05DC7" w:rsidRDefault="00F05DC7" w:rsidP="00A3786D">
                  <w:pPr>
                    <w:pStyle w:val="TableBodyText"/>
                    <w:ind w:right="28"/>
                  </w:pPr>
                  <w:r>
                    <w:noBreakHyphen/>
                    <w:t>0.8</w:t>
                  </w:r>
                </w:p>
              </w:tc>
              <w:tc>
                <w:tcPr>
                  <w:tcW w:w="451" w:type="pct"/>
                </w:tcPr>
                <w:p w14:paraId="7954AC21" w14:textId="77777777" w:rsidR="00F05DC7" w:rsidRDefault="00F05DC7" w:rsidP="00A3786D">
                  <w:pPr>
                    <w:pStyle w:val="TableBodyText"/>
                    <w:ind w:right="28"/>
                  </w:pPr>
                  <w:r>
                    <w:noBreakHyphen/>
                    <w:t>0.5</w:t>
                  </w:r>
                </w:p>
              </w:tc>
            </w:tr>
            <w:tr w:rsidR="00F05DC7" w14:paraId="7954AC2C" w14:textId="77777777" w:rsidTr="00A3786D">
              <w:tc>
                <w:tcPr>
                  <w:tcW w:w="1395" w:type="pct"/>
                </w:tcPr>
                <w:p w14:paraId="7954AC23" w14:textId="77777777" w:rsidR="00F05DC7" w:rsidRDefault="00F05DC7" w:rsidP="00A3786D">
                  <w:pPr>
                    <w:pStyle w:val="TableBodyText"/>
                    <w:jc w:val="left"/>
                  </w:pPr>
                  <w:r>
                    <w:t>Equalisation to the second strongest State</w:t>
                  </w:r>
                </w:p>
              </w:tc>
              <w:tc>
                <w:tcPr>
                  <w:tcW w:w="450" w:type="pct"/>
                </w:tcPr>
                <w:p w14:paraId="7954AC24" w14:textId="77777777" w:rsidR="00F05DC7" w:rsidRDefault="00F05DC7" w:rsidP="00A3786D">
                  <w:pPr>
                    <w:pStyle w:val="TableBodyText"/>
                  </w:pPr>
                  <w:r>
                    <w:noBreakHyphen/>
                    <w:t>1.0</w:t>
                  </w:r>
                </w:p>
              </w:tc>
              <w:tc>
                <w:tcPr>
                  <w:tcW w:w="451" w:type="pct"/>
                </w:tcPr>
                <w:p w14:paraId="7954AC25" w14:textId="77777777" w:rsidR="00F05DC7" w:rsidRDefault="00F05DC7" w:rsidP="00A3786D">
                  <w:pPr>
                    <w:pStyle w:val="TableBodyText"/>
                  </w:pPr>
                  <w:r>
                    <w:noBreakHyphen/>
                    <w:t>1.0</w:t>
                  </w:r>
                </w:p>
              </w:tc>
              <w:tc>
                <w:tcPr>
                  <w:tcW w:w="450" w:type="pct"/>
                </w:tcPr>
                <w:p w14:paraId="7954AC26" w14:textId="77777777" w:rsidR="00F05DC7" w:rsidRDefault="00F05DC7" w:rsidP="00A3786D">
                  <w:pPr>
                    <w:pStyle w:val="TableBodyText"/>
                  </w:pPr>
                  <w:r>
                    <w:noBreakHyphen/>
                    <w:t>0.9</w:t>
                  </w:r>
                </w:p>
              </w:tc>
              <w:tc>
                <w:tcPr>
                  <w:tcW w:w="451" w:type="pct"/>
                </w:tcPr>
                <w:p w14:paraId="7954AC27" w14:textId="77777777" w:rsidR="00F05DC7" w:rsidRDefault="00F05DC7" w:rsidP="00A3786D">
                  <w:pPr>
                    <w:pStyle w:val="TableBodyText"/>
                  </w:pPr>
                  <w:r>
                    <w:t>8.0</w:t>
                  </w:r>
                </w:p>
              </w:tc>
              <w:tc>
                <w:tcPr>
                  <w:tcW w:w="450" w:type="pct"/>
                </w:tcPr>
                <w:p w14:paraId="7954AC28" w14:textId="77777777" w:rsidR="00F05DC7" w:rsidRDefault="00F05DC7" w:rsidP="00A3786D">
                  <w:pPr>
                    <w:pStyle w:val="TableBodyText"/>
                  </w:pPr>
                  <w:r>
                    <w:noBreakHyphen/>
                    <w:t>0.9</w:t>
                  </w:r>
                </w:p>
              </w:tc>
              <w:tc>
                <w:tcPr>
                  <w:tcW w:w="451" w:type="pct"/>
                </w:tcPr>
                <w:p w14:paraId="7954AC29" w14:textId="77777777" w:rsidR="00F05DC7" w:rsidRDefault="00F05DC7" w:rsidP="00A3786D">
                  <w:pPr>
                    <w:pStyle w:val="TableBodyText"/>
                  </w:pPr>
                  <w:r>
                    <w:noBreakHyphen/>
                    <w:t>0.9</w:t>
                  </w:r>
                </w:p>
              </w:tc>
              <w:tc>
                <w:tcPr>
                  <w:tcW w:w="450" w:type="pct"/>
                </w:tcPr>
                <w:p w14:paraId="7954AC2A" w14:textId="77777777" w:rsidR="00F05DC7" w:rsidRDefault="00F05DC7" w:rsidP="00A3786D">
                  <w:pPr>
                    <w:pStyle w:val="TableBodyText"/>
                    <w:ind w:right="28"/>
                  </w:pPr>
                  <w:r>
                    <w:noBreakHyphen/>
                    <w:t>0.8</w:t>
                  </w:r>
                </w:p>
              </w:tc>
              <w:tc>
                <w:tcPr>
                  <w:tcW w:w="451" w:type="pct"/>
                </w:tcPr>
                <w:p w14:paraId="7954AC2B" w14:textId="77777777" w:rsidR="00F05DC7" w:rsidRDefault="00F05DC7" w:rsidP="00A3786D">
                  <w:pPr>
                    <w:pStyle w:val="TableBodyText"/>
                    <w:ind w:right="28"/>
                  </w:pPr>
                  <w:r>
                    <w:noBreakHyphen/>
                    <w:t>0.5</w:t>
                  </w:r>
                </w:p>
              </w:tc>
            </w:tr>
            <w:tr w:rsidR="00F05DC7" w14:paraId="7954AC36" w14:textId="77777777" w:rsidTr="00A3786D">
              <w:tc>
                <w:tcPr>
                  <w:tcW w:w="1395" w:type="pct"/>
                </w:tcPr>
                <w:p w14:paraId="7954AC2D" w14:textId="77777777" w:rsidR="00F05DC7" w:rsidRDefault="00F05DC7" w:rsidP="00A3786D">
                  <w:pPr>
                    <w:pStyle w:val="TableBodyText"/>
                    <w:jc w:val="left"/>
                  </w:pPr>
                  <w:r>
                    <w:t>Full equalisation for the smallest States</w:t>
                  </w:r>
                </w:p>
              </w:tc>
              <w:tc>
                <w:tcPr>
                  <w:tcW w:w="450" w:type="pct"/>
                </w:tcPr>
                <w:p w14:paraId="7954AC2E" w14:textId="77777777" w:rsidR="00F05DC7" w:rsidRDefault="00F05DC7" w:rsidP="00A3786D">
                  <w:pPr>
                    <w:pStyle w:val="TableBodyText"/>
                  </w:pPr>
                  <w:r>
                    <w:t>1.2</w:t>
                  </w:r>
                </w:p>
              </w:tc>
              <w:tc>
                <w:tcPr>
                  <w:tcW w:w="451" w:type="pct"/>
                </w:tcPr>
                <w:p w14:paraId="7954AC2F" w14:textId="77777777" w:rsidR="00F05DC7" w:rsidRDefault="00F05DC7" w:rsidP="00A3786D">
                  <w:pPr>
                    <w:pStyle w:val="TableBodyText"/>
                  </w:pPr>
                  <w:r>
                    <w:noBreakHyphen/>
                    <w:t>2.1</w:t>
                  </w:r>
                </w:p>
              </w:tc>
              <w:tc>
                <w:tcPr>
                  <w:tcW w:w="450" w:type="pct"/>
                </w:tcPr>
                <w:p w14:paraId="7954AC30" w14:textId="77777777" w:rsidR="00F05DC7" w:rsidRDefault="00F05DC7" w:rsidP="00A3786D">
                  <w:pPr>
                    <w:pStyle w:val="TableBodyText"/>
                  </w:pPr>
                  <w:r>
                    <w:noBreakHyphen/>
                    <w:t>4.5</w:t>
                  </w:r>
                </w:p>
              </w:tc>
              <w:tc>
                <w:tcPr>
                  <w:tcW w:w="451" w:type="pct"/>
                </w:tcPr>
                <w:p w14:paraId="7954AC31" w14:textId="77777777" w:rsidR="00F05DC7" w:rsidRDefault="00F05DC7" w:rsidP="00A3786D">
                  <w:pPr>
                    <w:pStyle w:val="TableBodyText"/>
                  </w:pPr>
                  <w:r>
                    <w:t>10.0</w:t>
                  </w:r>
                </w:p>
              </w:tc>
              <w:tc>
                <w:tcPr>
                  <w:tcW w:w="450" w:type="pct"/>
                </w:tcPr>
                <w:p w14:paraId="7954AC32" w14:textId="77777777" w:rsidR="00F05DC7" w:rsidRDefault="00F05DC7" w:rsidP="00A3786D">
                  <w:pPr>
                    <w:pStyle w:val="TableBodyText"/>
                  </w:pPr>
                  <w:r>
                    <w:t>0.0</w:t>
                  </w:r>
                </w:p>
              </w:tc>
              <w:tc>
                <w:tcPr>
                  <w:tcW w:w="451" w:type="pct"/>
                </w:tcPr>
                <w:p w14:paraId="7954AC33" w14:textId="77777777" w:rsidR="00F05DC7" w:rsidRDefault="00F05DC7" w:rsidP="00A3786D">
                  <w:pPr>
                    <w:pStyle w:val="TableBodyText"/>
                  </w:pPr>
                  <w:r>
                    <w:t>0.0</w:t>
                  </w:r>
                </w:p>
              </w:tc>
              <w:tc>
                <w:tcPr>
                  <w:tcW w:w="450" w:type="pct"/>
                </w:tcPr>
                <w:p w14:paraId="7954AC34" w14:textId="77777777" w:rsidR="00F05DC7" w:rsidRDefault="00F05DC7" w:rsidP="00A3786D">
                  <w:pPr>
                    <w:pStyle w:val="TableBodyText"/>
                    <w:ind w:right="28"/>
                  </w:pPr>
                  <w:r>
                    <w:t>0.0</w:t>
                  </w:r>
                </w:p>
              </w:tc>
              <w:tc>
                <w:tcPr>
                  <w:tcW w:w="451" w:type="pct"/>
                </w:tcPr>
                <w:p w14:paraId="7954AC35" w14:textId="77777777" w:rsidR="00F05DC7" w:rsidRDefault="00F05DC7" w:rsidP="00A3786D">
                  <w:pPr>
                    <w:pStyle w:val="TableBodyText"/>
                    <w:ind w:right="28"/>
                  </w:pPr>
                  <w:r>
                    <w:t>0.0</w:t>
                  </w:r>
                </w:p>
              </w:tc>
            </w:tr>
            <w:tr w:rsidR="00F05DC7" w14:paraId="7954AC40" w14:textId="77777777" w:rsidTr="00A3786D">
              <w:tc>
                <w:tcPr>
                  <w:tcW w:w="1395" w:type="pct"/>
                  <w:tcBorders>
                    <w:bottom w:val="single" w:sz="6" w:space="0" w:color="BFBFBF"/>
                  </w:tcBorders>
                  <w:shd w:val="clear" w:color="auto" w:fill="auto"/>
                </w:tcPr>
                <w:p w14:paraId="7954AC37" w14:textId="77777777" w:rsidR="00F05DC7" w:rsidRDefault="00F05DC7" w:rsidP="00A3786D">
                  <w:pPr>
                    <w:pStyle w:val="TableBodyText"/>
                    <w:jc w:val="left"/>
                  </w:pPr>
                  <w:r>
                    <w:t>Equalisation to the average</w:t>
                  </w:r>
                </w:p>
              </w:tc>
              <w:tc>
                <w:tcPr>
                  <w:tcW w:w="450" w:type="pct"/>
                  <w:tcBorders>
                    <w:bottom w:val="single" w:sz="6" w:space="0" w:color="BFBFBF"/>
                  </w:tcBorders>
                </w:tcPr>
                <w:p w14:paraId="7954AC38" w14:textId="77777777" w:rsidR="00F05DC7" w:rsidRDefault="00F05DC7" w:rsidP="00A3786D">
                  <w:pPr>
                    <w:pStyle w:val="TableBodyText"/>
                  </w:pPr>
                  <w:r>
                    <w:t>1.0</w:t>
                  </w:r>
                </w:p>
              </w:tc>
              <w:tc>
                <w:tcPr>
                  <w:tcW w:w="451" w:type="pct"/>
                  <w:tcBorders>
                    <w:bottom w:val="single" w:sz="6" w:space="0" w:color="BFBFBF"/>
                  </w:tcBorders>
                </w:tcPr>
                <w:p w14:paraId="7954AC39" w14:textId="77777777" w:rsidR="00F05DC7" w:rsidRDefault="00F05DC7" w:rsidP="00A3786D">
                  <w:pPr>
                    <w:pStyle w:val="TableBodyText"/>
                  </w:pPr>
                  <w:r>
                    <w:noBreakHyphen/>
                    <w:t>2.3</w:t>
                  </w:r>
                </w:p>
              </w:tc>
              <w:tc>
                <w:tcPr>
                  <w:tcW w:w="450" w:type="pct"/>
                  <w:tcBorders>
                    <w:bottom w:val="single" w:sz="6" w:space="0" w:color="BFBFBF"/>
                  </w:tcBorders>
                </w:tcPr>
                <w:p w14:paraId="7954AC3A" w14:textId="77777777" w:rsidR="00F05DC7" w:rsidRDefault="00F05DC7" w:rsidP="00A3786D">
                  <w:pPr>
                    <w:pStyle w:val="TableBodyText"/>
                  </w:pPr>
                  <w:r>
                    <w:noBreakHyphen/>
                    <w:t>2.4</w:t>
                  </w:r>
                </w:p>
              </w:tc>
              <w:tc>
                <w:tcPr>
                  <w:tcW w:w="451" w:type="pct"/>
                  <w:tcBorders>
                    <w:bottom w:val="single" w:sz="6" w:space="0" w:color="BFBFBF"/>
                  </w:tcBorders>
                </w:tcPr>
                <w:p w14:paraId="7954AC3B" w14:textId="77777777" w:rsidR="00F05DC7" w:rsidRDefault="00F05DC7" w:rsidP="00A3786D">
                  <w:pPr>
                    <w:pStyle w:val="TableBodyText"/>
                  </w:pPr>
                  <w:r>
                    <w:t>9.8</w:t>
                  </w:r>
                </w:p>
              </w:tc>
              <w:tc>
                <w:tcPr>
                  <w:tcW w:w="450" w:type="pct"/>
                  <w:tcBorders>
                    <w:bottom w:val="single" w:sz="6" w:space="0" w:color="BFBFBF"/>
                  </w:tcBorders>
                </w:tcPr>
                <w:p w14:paraId="7954AC3C" w14:textId="77777777" w:rsidR="00F05DC7" w:rsidRDefault="00F05DC7" w:rsidP="00A3786D">
                  <w:pPr>
                    <w:pStyle w:val="TableBodyText"/>
                  </w:pPr>
                  <w:r>
                    <w:noBreakHyphen/>
                    <w:t>2.5</w:t>
                  </w:r>
                </w:p>
              </w:tc>
              <w:tc>
                <w:tcPr>
                  <w:tcW w:w="451" w:type="pct"/>
                  <w:tcBorders>
                    <w:bottom w:val="single" w:sz="6" w:space="0" w:color="BFBFBF"/>
                  </w:tcBorders>
                  <w:shd w:val="clear" w:color="auto" w:fill="auto"/>
                </w:tcPr>
                <w:p w14:paraId="7954AC3D" w14:textId="77777777" w:rsidR="00F05DC7" w:rsidRDefault="00F05DC7" w:rsidP="00A3786D">
                  <w:pPr>
                    <w:pStyle w:val="TableBodyText"/>
                  </w:pPr>
                  <w:r>
                    <w:noBreakHyphen/>
                    <w:t>2.4</w:t>
                  </w:r>
                </w:p>
              </w:tc>
              <w:tc>
                <w:tcPr>
                  <w:tcW w:w="450" w:type="pct"/>
                  <w:tcBorders>
                    <w:bottom w:val="single" w:sz="6" w:space="0" w:color="BFBFBF"/>
                  </w:tcBorders>
                </w:tcPr>
                <w:p w14:paraId="7954AC3E" w14:textId="77777777" w:rsidR="00F05DC7" w:rsidRDefault="00F05DC7" w:rsidP="00A3786D">
                  <w:pPr>
                    <w:pStyle w:val="TableBodyText"/>
                    <w:ind w:right="28"/>
                  </w:pPr>
                  <w:r>
                    <w:noBreakHyphen/>
                    <w:t>2.0</w:t>
                  </w:r>
                </w:p>
              </w:tc>
              <w:tc>
                <w:tcPr>
                  <w:tcW w:w="451" w:type="pct"/>
                  <w:tcBorders>
                    <w:bottom w:val="single" w:sz="6" w:space="0" w:color="BFBFBF"/>
                  </w:tcBorders>
                  <w:shd w:val="clear" w:color="auto" w:fill="auto"/>
                </w:tcPr>
                <w:p w14:paraId="7954AC3F" w14:textId="77777777" w:rsidR="00F05DC7" w:rsidRDefault="00F05DC7" w:rsidP="00A3786D">
                  <w:pPr>
                    <w:pStyle w:val="TableBodyText"/>
                    <w:ind w:right="28"/>
                  </w:pPr>
                  <w:r>
                    <w:noBreakHyphen/>
                    <w:t>1.2</w:t>
                  </w:r>
                </w:p>
              </w:tc>
            </w:tr>
          </w:tbl>
          <w:p w14:paraId="7954AC41" w14:textId="77777777" w:rsidR="00F05DC7" w:rsidRDefault="00F05DC7" w:rsidP="00A3786D">
            <w:pPr>
              <w:pStyle w:val="Box"/>
            </w:pPr>
          </w:p>
        </w:tc>
      </w:tr>
      <w:tr w:rsidR="00F05DC7" w14:paraId="7954AC44" w14:textId="77777777" w:rsidTr="00A3786D">
        <w:tc>
          <w:tcPr>
            <w:tcW w:w="5000" w:type="pct"/>
            <w:tcBorders>
              <w:top w:val="nil"/>
              <w:left w:val="nil"/>
              <w:bottom w:val="nil"/>
              <w:right w:val="nil"/>
            </w:tcBorders>
            <w:shd w:val="clear" w:color="auto" w:fill="auto"/>
          </w:tcPr>
          <w:p w14:paraId="7954AC43" w14:textId="77777777" w:rsidR="00F05DC7" w:rsidRDefault="00F05DC7" w:rsidP="00A3786D">
            <w:pPr>
              <w:pStyle w:val="Source"/>
            </w:pPr>
            <w:r>
              <w:rPr>
                <w:i/>
              </w:rPr>
              <w:t>Source</w:t>
            </w:r>
            <w:r w:rsidRPr="00167F06">
              <w:t xml:space="preserve">: </w:t>
            </w:r>
            <w:r w:rsidRPr="00DF2584">
              <w:rPr>
                <w:szCs w:val="18"/>
              </w:rPr>
              <w:t>Productivity Commission estimates.</w:t>
            </w:r>
          </w:p>
        </w:tc>
      </w:tr>
      <w:tr w:rsidR="00F05DC7" w14:paraId="7954AC46" w14:textId="77777777" w:rsidTr="00A3786D">
        <w:tc>
          <w:tcPr>
            <w:tcW w:w="5000" w:type="pct"/>
            <w:tcBorders>
              <w:top w:val="nil"/>
              <w:left w:val="nil"/>
              <w:bottom w:val="single" w:sz="6" w:space="0" w:color="78A22F"/>
              <w:right w:val="nil"/>
            </w:tcBorders>
            <w:shd w:val="clear" w:color="auto" w:fill="auto"/>
          </w:tcPr>
          <w:p w14:paraId="7954AC45" w14:textId="77777777" w:rsidR="00F05DC7" w:rsidRDefault="00F05DC7" w:rsidP="00A3786D">
            <w:pPr>
              <w:pStyle w:val="Box"/>
              <w:spacing w:before="0" w:line="120" w:lineRule="exact"/>
            </w:pPr>
          </w:p>
        </w:tc>
      </w:tr>
      <w:tr w:rsidR="00F05DC7" w:rsidRPr="000863A5" w14:paraId="7954AC48" w14:textId="77777777" w:rsidTr="00A3786D">
        <w:tc>
          <w:tcPr>
            <w:tcW w:w="5000" w:type="pct"/>
            <w:tcBorders>
              <w:top w:val="single" w:sz="6" w:space="0" w:color="78A22F"/>
              <w:left w:val="nil"/>
              <w:bottom w:val="nil"/>
              <w:right w:val="nil"/>
            </w:tcBorders>
          </w:tcPr>
          <w:p w14:paraId="7954AC47" w14:textId="77777777" w:rsidR="00F05DC7" w:rsidRPr="00626D32" w:rsidRDefault="00F05DC7" w:rsidP="00A3786D">
            <w:pPr>
              <w:pStyle w:val="BoxSpaceBelow"/>
            </w:pPr>
          </w:p>
        </w:tc>
      </w:tr>
    </w:tbl>
    <w:p w14:paraId="7954AC49" w14:textId="0353FC52" w:rsidR="00F05DC7" w:rsidRPr="002D01E0" w:rsidRDefault="00F05DC7" w:rsidP="00A3786D">
      <w:pPr>
        <w:pStyle w:val="Heading4"/>
        <w:rPr>
          <w:spacing w:val="-2"/>
        </w:rPr>
      </w:pPr>
      <w:r w:rsidRPr="002D01E0">
        <w:rPr>
          <w:spacing w:val="-2"/>
        </w:rPr>
        <w:t xml:space="preserve">States are judged to continue to be able to provide reasonable </w:t>
      </w:r>
      <w:r w:rsidR="002D01E0" w:rsidRPr="002D01E0">
        <w:rPr>
          <w:spacing w:val="-2"/>
        </w:rPr>
        <w:t>standards of services</w:t>
      </w:r>
    </w:p>
    <w:p w14:paraId="7954AC4A" w14:textId="77777777" w:rsidR="00F05DC7" w:rsidRPr="002F7797" w:rsidRDefault="00F05DC7" w:rsidP="00A3786D">
      <w:pPr>
        <w:pStyle w:val="BodyText"/>
      </w:pPr>
      <w:r>
        <w:t>Under all of the alternative equalisation options, States would be able to meet a high level of their assessed expenses, assuming they made the average revenue raising effort.</w:t>
      </w:r>
      <w:r w:rsidRPr="00282527">
        <w:rPr>
          <w:rStyle w:val="FootnoteReference"/>
        </w:rPr>
        <w:footnoteReference w:id="18"/>
      </w:r>
      <w:r>
        <w:t xml:space="preserve"> For example, under an immediate transition to ESSS in 2018</w:t>
      </w:r>
      <w:r>
        <w:noBreakHyphen/>
        <w:t xml:space="preserve">19, </w:t>
      </w:r>
      <w:r w:rsidRPr="0061541C">
        <w:rPr>
          <w:i/>
        </w:rPr>
        <w:t>all</w:t>
      </w:r>
      <w:r>
        <w:t xml:space="preserve"> States would have been able to fund at least 99 per cent of their assessed expenditure needs (Western Australia would be able to meet more than its assessed expenditure needs). Under ETA, the fiscally weaker States would have been able to fund approximately 97 per cent of their assessed expenditure </w:t>
      </w:r>
      <w:r>
        <w:lastRenderedPageBreak/>
        <w:t xml:space="preserve">needs (figure 8.6). The outcomes under the other alternatives discussed in this section would likely be similar, and somewhere between these two bounds. </w:t>
      </w:r>
    </w:p>
    <w:p w14:paraId="7954AC4B"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F05DC7" w14:paraId="7954AC4E" w14:textId="77777777" w:rsidTr="00A3786D">
        <w:trPr>
          <w:tblHeader/>
        </w:trPr>
        <w:tc>
          <w:tcPr>
            <w:tcW w:w="5000" w:type="pct"/>
            <w:tcBorders>
              <w:top w:val="single" w:sz="6" w:space="0" w:color="78A22F"/>
              <w:left w:val="nil"/>
              <w:bottom w:val="nil"/>
              <w:right w:val="nil"/>
            </w:tcBorders>
            <w:hideMark/>
          </w:tcPr>
          <w:p w14:paraId="7954AC4C" w14:textId="070CEA36" w:rsidR="00F05DC7" w:rsidRDefault="00F05DC7" w:rsidP="00A3786D">
            <w:pPr>
              <w:pStyle w:val="FigureTitle"/>
            </w:pPr>
            <w:r>
              <w:rPr>
                <w:b w:val="0"/>
              </w:rPr>
              <w:t>Figure 8.6</w:t>
            </w:r>
            <w:r>
              <w:tab/>
              <w:t>State expenses and revenues under ESSS and ETA</w:t>
            </w:r>
          </w:p>
          <w:p w14:paraId="7954AC4D" w14:textId="77777777" w:rsidR="00F05DC7" w:rsidRDefault="00F05DC7" w:rsidP="00A3786D">
            <w:pPr>
              <w:pStyle w:val="Subtitle"/>
            </w:pPr>
            <w:r>
              <w:t>2018</w:t>
            </w:r>
            <w:r>
              <w:noBreakHyphen/>
              <w:t>19</w:t>
            </w:r>
          </w:p>
        </w:tc>
      </w:tr>
      <w:tr w:rsidR="00F05DC7" w14:paraId="7954AC52" w14:textId="77777777" w:rsidTr="00A3786D">
        <w:trPr>
          <w:trHeight w:val="4706"/>
        </w:trPr>
        <w:tc>
          <w:tcPr>
            <w:tcW w:w="5000" w:type="pct"/>
            <w:tcBorders>
              <w:top w:val="nil"/>
              <w:left w:val="nil"/>
              <w:bottom w:val="nil"/>
              <w:right w:val="nil"/>
            </w:tcBorders>
            <w:tcMar>
              <w:top w:w="28" w:type="dxa"/>
              <w:left w:w="142" w:type="dxa"/>
              <w:bottom w:w="28" w:type="dxa"/>
              <w:right w:w="142" w:type="dxa"/>
            </w:tcMar>
            <w:hideMark/>
          </w:tcPr>
          <w:tbl>
            <w:tblPr>
              <w:tblW w:w="8529"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29"/>
            </w:tblGrid>
            <w:tr w:rsidR="00F05DC7" w14:paraId="7954AC50" w14:textId="77777777" w:rsidTr="00A3786D">
              <w:trPr>
                <w:trHeight w:val="4619"/>
                <w:tblHeader/>
                <w:jc w:val="center"/>
              </w:trPr>
              <w:tc>
                <w:tcPr>
                  <w:tcW w:w="5000" w:type="pct"/>
                  <w:tcBorders>
                    <w:top w:val="nil"/>
                    <w:left w:val="nil"/>
                    <w:bottom w:val="nil"/>
                    <w:right w:val="nil"/>
                  </w:tcBorders>
                  <w:hideMark/>
                </w:tcPr>
                <w:p w14:paraId="7954AC4F" w14:textId="77777777" w:rsidR="00F05DC7" w:rsidRDefault="00F05DC7" w:rsidP="00A3786D">
                  <w:pPr>
                    <w:pStyle w:val="Figure"/>
                    <w:spacing w:before="60" w:after="60"/>
                    <w:rPr>
                      <w:rFonts w:ascii="Arial" w:hAnsi="Arial" w:cs="Arial"/>
                      <w:sz w:val="18"/>
                      <w:szCs w:val="18"/>
                    </w:rPr>
                  </w:pPr>
                  <w:r w:rsidRPr="002051F5">
                    <w:rPr>
                      <w:rFonts w:ascii="Arial" w:hAnsi="Arial" w:cs="Arial"/>
                      <w:noProof/>
                      <w:sz w:val="18"/>
                      <w:szCs w:val="18"/>
                    </w:rPr>
                    <w:drawing>
                      <wp:inline distT="0" distB="0" distL="0" distR="0" wp14:anchorId="7954D62F" wp14:editId="7954D630">
                        <wp:extent cx="5410200" cy="2895600"/>
                        <wp:effectExtent l="0" t="0" r="0" b="0"/>
                        <wp:docPr id="88" name="Picture 88" descr="Under both equalisation to the average and equalisation to the second strongest State, all States would be able to meet a high proportion of their assessed expenses (and Western Australia would have sufficient revenue to exceed its assessed expe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tc>
            </w:tr>
          </w:tbl>
          <w:p w14:paraId="7954AC51" w14:textId="77777777" w:rsidR="00F05DC7" w:rsidRDefault="00F05DC7" w:rsidP="00A3786D">
            <w:pPr>
              <w:pStyle w:val="Figure"/>
            </w:pPr>
          </w:p>
        </w:tc>
      </w:tr>
      <w:tr w:rsidR="00F05DC7" w14:paraId="7954AC54" w14:textId="77777777" w:rsidTr="00A3786D">
        <w:tc>
          <w:tcPr>
            <w:tcW w:w="5000" w:type="pct"/>
            <w:tcBorders>
              <w:top w:val="nil"/>
              <w:left w:val="nil"/>
              <w:bottom w:val="nil"/>
              <w:right w:val="nil"/>
            </w:tcBorders>
            <w:hideMark/>
          </w:tcPr>
          <w:p w14:paraId="7954AC53" w14:textId="77777777" w:rsidR="00F05DC7" w:rsidRDefault="00F05DC7" w:rsidP="00A3786D">
            <w:pPr>
              <w:pStyle w:val="Source"/>
            </w:pPr>
            <w:r>
              <w:rPr>
                <w:i/>
              </w:rPr>
              <w:t>Source</w:t>
            </w:r>
            <w:r>
              <w:t xml:space="preserve">: Productivity Commission estimates based on CGC (pers. comm., 9 April 2018). </w:t>
            </w:r>
          </w:p>
        </w:tc>
      </w:tr>
      <w:tr w:rsidR="00F05DC7" w14:paraId="7954AC56" w14:textId="77777777" w:rsidTr="00A3786D">
        <w:tc>
          <w:tcPr>
            <w:tcW w:w="5000" w:type="pct"/>
            <w:tcBorders>
              <w:top w:val="nil"/>
              <w:left w:val="nil"/>
              <w:bottom w:val="single" w:sz="6" w:space="0" w:color="78A22F"/>
              <w:right w:val="nil"/>
            </w:tcBorders>
          </w:tcPr>
          <w:p w14:paraId="7954AC55" w14:textId="77777777" w:rsidR="00F05DC7" w:rsidRDefault="00F05DC7" w:rsidP="00A3786D">
            <w:pPr>
              <w:pStyle w:val="Figurespace"/>
            </w:pPr>
          </w:p>
        </w:tc>
      </w:tr>
      <w:tr w:rsidR="00F05DC7" w14:paraId="7954AC58" w14:textId="77777777" w:rsidTr="00A3786D">
        <w:tc>
          <w:tcPr>
            <w:tcW w:w="5000" w:type="pct"/>
            <w:tcBorders>
              <w:top w:val="single" w:sz="6" w:space="0" w:color="78A22F"/>
              <w:left w:val="nil"/>
              <w:bottom w:val="nil"/>
              <w:right w:val="nil"/>
            </w:tcBorders>
            <w:hideMark/>
          </w:tcPr>
          <w:p w14:paraId="7954AC57" w14:textId="77777777" w:rsidR="00F05DC7" w:rsidRDefault="00F05DC7" w:rsidP="00A3786D">
            <w:pPr>
              <w:pStyle w:val="BoxSpaceBelow"/>
            </w:pPr>
          </w:p>
        </w:tc>
      </w:tr>
    </w:tbl>
    <w:p w14:paraId="7954AC59" w14:textId="77777777" w:rsidR="00F05DC7" w:rsidRDefault="00F05DC7" w:rsidP="00A3786D">
      <w:pPr>
        <w:pStyle w:val="Heading4"/>
      </w:pPr>
      <w:r>
        <w:t xml:space="preserve">States may choose to reorient spending of GST payments </w:t>
      </w:r>
    </w:p>
    <w:p w14:paraId="7954AC5A" w14:textId="77777777" w:rsidR="00F05DC7" w:rsidRDefault="00F05DC7" w:rsidP="00A3786D">
      <w:pPr>
        <w:pStyle w:val="BodyText"/>
      </w:pPr>
      <w:r>
        <w:t>States can prioritise, as they currently do, the way they spend their GST payments to ensure key service areas continue to be funded. As the Victorian Treasurer remarked:</w:t>
      </w:r>
    </w:p>
    <w:p w14:paraId="7954AC5B" w14:textId="77777777" w:rsidR="00F05DC7" w:rsidRDefault="00F05DC7" w:rsidP="00A3786D">
      <w:pPr>
        <w:pStyle w:val="Quote"/>
      </w:pPr>
      <w:r>
        <w:t>… HFE does not impose particular policy choices on States and each of them is free to make choices about how it raises revenue and its expenditure priorities. (trans., p. 139)</w:t>
      </w:r>
    </w:p>
    <w:p w14:paraId="7954AC5C" w14:textId="77777777" w:rsidR="00F05DC7" w:rsidRDefault="00F05DC7" w:rsidP="00A3786D">
      <w:pPr>
        <w:pStyle w:val="BodyText"/>
      </w:pPr>
      <w:r>
        <w:t>Similarly, the Tasmanian Treasurer stated:</w:t>
      </w:r>
    </w:p>
    <w:p w14:paraId="7954AC5D" w14:textId="77777777" w:rsidR="00F05DC7" w:rsidRPr="00723AE4" w:rsidRDefault="00F05DC7" w:rsidP="00A3786D">
      <w:pPr>
        <w:pStyle w:val="Quote"/>
      </w:pPr>
      <w:r>
        <w:t>HFE provides the states with a level of revenue and at the end of the day, then priorities and choices are made. (trans., p. 455)</w:t>
      </w:r>
    </w:p>
    <w:p w14:paraId="7954AC5E" w14:textId="77777777" w:rsidR="00F05DC7" w:rsidRDefault="00F05DC7" w:rsidP="00A3786D">
      <w:pPr>
        <w:pStyle w:val="BodyText"/>
      </w:pPr>
      <w:r>
        <w:t xml:space="preserve">GST payments are untied, and there are many areas where States’ ratios of actual to assessed expenses are either above or below 100 per cent as assessed by the CGC (chapter 2), often by more than the change in GST payments outlined above. While in some categories of spending, divergences from 100 per cent may be due to relative efficiency or inefficiency in service delivery, there are likely to be others where States have made a conscious choice to spend more or less in certain areas, and thus provide a higher or lower standard of services than other States. There are therefore many ways that funds could be prioritised to manage the budget implications of a move to a new equalisation benchmark. For example, services to industry (such as tourism and trade promotion) could be reduced to enable other services, </w:t>
      </w:r>
      <w:r>
        <w:lastRenderedPageBreak/>
        <w:t xml:space="preserve">such as health and education, to be provided either at the level assessed as required by the CGC, or at the current level (which may already be higher or lower than that assessed by the CGC), if this is what a State Government decides is in the best interests of its community. </w:t>
      </w:r>
    </w:p>
    <w:p w14:paraId="7954AC5F" w14:textId="77777777" w:rsidR="00F05DC7" w:rsidRDefault="00F05DC7" w:rsidP="00A3786D">
      <w:pPr>
        <w:pStyle w:val="Heading4"/>
      </w:pPr>
      <w:r>
        <w:t>Equalising to the average improves fairness to the greatest extent</w:t>
      </w:r>
    </w:p>
    <w:p w14:paraId="7954AC60" w14:textId="77777777" w:rsidR="00F05DC7" w:rsidRDefault="00F05DC7" w:rsidP="00A3786D">
      <w:pPr>
        <w:pStyle w:val="BodyText"/>
      </w:pPr>
      <w:r>
        <w:t xml:space="preserve">The flipside of the fiscal equality impacts discussed above is that equity, when considered through the lens of </w:t>
      </w:r>
      <w:r>
        <w:rPr>
          <w:i/>
        </w:rPr>
        <w:t xml:space="preserve">fairness, </w:t>
      </w:r>
      <w:r>
        <w:t xml:space="preserve">is likely to be improved by the most under ETA. This is because a greater number of States would have an increased incentive to undertake reform due to the muted policy disincentives (discussed below), and would therefore retain a greater proportion of the fiscal dividends of their policy efforts. </w:t>
      </w:r>
    </w:p>
    <w:p w14:paraId="7954AC61" w14:textId="77777777" w:rsidR="00F05DC7" w:rsidRDefault="00F05DC7" w:rsidP="00A3786D">
      <w:pPr>
        <w:pStyle w:val="BodyText"/>
      </w:pPr>
      <w:r>
        <w:t>There are also some broader considerations that make some of the alternative benchmarks undesirable. In particular, full equalisation for only the small States (or the fiscally weaker States, depending on how such an approach was designed) could lead to significant differences in the treatment of States with similar initial fiscal capacities. For example, a State such as Queensland could have a relativity just below one, and therefore receive an EPC amount of GST. But a State such as South Australia that might have a similar fiscal capacity (but with a relativity just above one) would receive full equalisation, providing it with higher fiscal capacity than Queensland after the distribution of GST. This alternative therefore has the potential to treat States with similar fiscal capacities differently for what is essentially an arbitrary reason.</w:t>
      </w:r>
    </w:p>
    <w:p w14:paraId="7954AC62" w14:textId="77777777" w:rsidR="00F05DC7" w:rsidRDefault="00F05DC7" w:rsidP="00A3786D">
      <w:pPr>
        <w:pStyle w:val="BodyText"/>
      </w:pPr>
      <w:r>
        <w:t xml:space="preserve">That said, equalisation benchmarks that result in different (asymmetric) fiscal capacities between States are not necessarily problematic, even though they may be considered by some to be inequitable. The CGC (sub. DR61) noted that a number of alternative equalisation benchmarks would be asymmetric, in that a change to the system would not affect all States equally. As an example, it noted that ESSS would be asymmetric because it would treat the fiscally strongest State differently to all other States (sub. DR61, p. 6). </w:t>
      </w:r>
    </w:p>
    <w:p w14:paraId="7954AC63" w14:textId="7A34D213" w:rsidR="00F05DC7" w:rsidRDefault="00F05DC7" w:rsidP="00A3786D">
      <w:pPr>
        <w:pStyle w:val="BodyText"/>
      </w:pPr>
      <w:r>
        <w:t xml:space="preserve">As noted above, however, the Commission’s notion of equity comprises elements of fiscal equality and of fairness. Hence, HFE benchmarks that enable States to provide a reasonable </w:t>
      </w:r>
      <w:r w:rsidR="00BD5FD6">
        <w:t>standard</w:t>
      </w:r>
      <w:r>
        <w:t xml:space="preserve"> of services, address States’ inherent disadvantages, and provide some degree of reward for policy effort and risk</w:t>
      </w:r>
      <w:r>
        <w:noBreakHyphen/>
        <w:t xml:space="preserve">taking, are judged to be equitable. It may not necessarily be the case that symmetric equalisation benchmarks deliver the right balance when viewed from the perspectives of both fiscal equality </w:t>
      </w:r>
      <w:r>
        <w:rPr>
          <w:i/>
        </w:rPr>
        <w:t>and</w:t>
      </w:r>
      <w:r>
        <w:t xml:space="preserve"> fairness.</w:t>
      </w:r>
    </w:p>
    <w:p w14:paraId="7954AC64" w14:textId="77777777" w:rsidR="00F05DC7" w:rsidRPr="00F50FF8" w:rsidRDefault="00F05DC7" w:rsidP="00A3786D">
      <w:pPr>
        <w:pStyle w:val="Heading3"/>
      </w:pPr>
      <w:r w:rsidRPr="00ED7A5D">
        <w:t xml:space="preserve">Comparing the efficiency implications of the alternative </w:t>
      </w:r>
      <w:r>
        <w:t>benchmarks</w:t>
      </w:r>
    </w:p>
    <w:p w14:paraId="7954AC65" w14:textId="77777777" w:rsidR="00F05DC7" w:rsidRDefault="00F05DC7" w:rsidP="00A3786D">
      <w:pPr>
        <w:pStyle w:val="BodyText"/>
      </w:pPr>
      <w:r>
        <w:t>When a State varies its tax rate or tax base there can be a significant change in the State’s share of GST, with the direction and size of the effect depending on the State’s position relative to the equalisation benchmark. The potential to lose GST payments can discourage States from undertaking major efficiency</w:t>
      </w:r>
      <w:r>
        <w:noBreakHyphen/>
        <w:t xml:space="preserve">enhancing policy reforms (chapter 3). To varying degrees, each of the alternative benchmarks canvassed in this section have the potential to </w:t>
      </w:r>
      <w:r>
        <w:lastRenderedPageBreak/>
        <w:t xml:space="preserve">reduce these policy disincentives. However, none of the options mute the disincentives for all States equally. </w:t>
      </w:r>
    </w:p>
    <w:p w14:paraId="7954AC66" w14:textId="77777777" w:rsidR="00F05DC7" w:rsidRDefault="00F05DC7" w:rsidP="00A3786D">
      <w:pPr>
        <w:pStyle w:val="BodyText"/>
      </w:pPr>
      <w:r>
        <w:t>Generally, States that are above an equalisation benchmark (such as the strongest State in the case of ESSS) have less of a disincentive to undertake reform than States that are below the benchmark. This is because States above the equalisation behcmark only receive their EPC share of the residual GST pool. (This can be seen in figure 8.3 earlier — all States that are above the relevant equalisation benchmark receive only an EPC share, as represented by the black bars). Hence any tax changes (and subsequent assessment by the CGC of those States’ revenue raising capacities) do not materially affect how much GST they receive.</w:t>
      </w:r>
      <w:r w:rsidRPr="0043652E">
        <w:rPr>
          <w:rStyle w:val="FootnoteReference"/>
        </w:rPr>
        <w:t xml:space="preserve"> </w:t>
      </w:r>
      <w:r w:rsidRPr="00282527">
        <w:rPr>
          <w:rStyle w:val="FootnoteReference"/>
        </w:rPr>
        <w:footnoteReference w:id="19"/>
      </w:r>
      <w:r>
        <w:t xml:space="preserve"> A general illustration of how alternative benchmarks mute disincentives is provided in box 8.3. The Commission’s overall assessment of the potential efficiency effects of the alternative equalisation benchmarks is provided in table 8.7 and discussed in more detail below with respect to each option. </w:t>
      </w:r>
    </w:p>
    <w:p w14:paraId="7954AC67" w14:textId="77777777" w:rsidR="00F05DC7" w:rsidRDefault="00F05DC7" w:rsidP="00A3786D">
      <w:pPr>
        <w:pStyle w:val="BodyText"/>
      </w:pPr>
      <w:r>
        <w:t>(The 90 per cent full equalisation option (as presented by the CGC) is not discussed in detail as it has limited efficiency effects — its allocation of a small share of the GST pool on a purely EPC basis does not materially change reform disincentives compared to the current benchmark).</w:t>
      </w:r>
    </w:p>
    <w:p w14:paraId="7954AC68" w14:textId="77777777" w:rsidR="00F05DC7" w:rsidRDefault="00F05DC7" w:rsidP="00A3786D">
      <w:pPr>
        <w:pStyle w:val="Heading4"/>
      </w:pPr>
      <w:r>
        <w:t xml:space="preserve">Equalising to the second strongest State </w:t>
      </w:r>
    </w:p>
    <w:p w14:paraId="7954AC69" w14:textId="77777777" w:rsidR="00F05DC7" w:rsidRDefault="00F05DC7" w:rsidP="00A3786D">
      <w:pPr>
        <w:pStyle w:val="BodyText"/>
      </w:pPr>
      <w:r>
        <w:t>ESSS provides limited potential efficiency benefits, as it only substantially reduces disincentives for the fiscally strongest State (the State above the equalisation benchmark, currently Western Australia). Box 8.4 shows how disincentives could be affected under ESSS (compared to ETA) with respect to the stamp duty and land tax cameo in chapter 3.</w:t>
      </w:r>
    </w:p>
    <w:p w14:paraId="7954AC6B" w14:textId="555E8C53" w:rsidR="003B5DBB" w:rsidRDefault="00F05DC7" w:rsidP="00A3786D">
      <w:pPr>
        <w:pStyle w:val="BodyText"/>
        <w:rPr>
          <w:spacing w:val="-2"/>
        </w:rPr>
      </w:pPr>
      <w:r w:rsidRPr="008C54FC">
        <w:rPr>
          <w:spacing w:val="-2"/>
        </w:rPr>
        <w:t xml:space="preserve">Besides having limited impacts on disincentives, another shortcoming of ESSS is the potential for equalisation to continue to be driven by fiscal outliers should the strongest and second strongest States attain a significantly stronger fiscal capacity than all remaining States. </w:t>
      </w:r>
    </w:p>
    <w:p w14:paraId="273A337B" w14:textId="77777777" w:rsidR="003B5DBB" w:rsidRDefault="003B5DBB">
      <w:pPr>
        <w:rPr>
          <w:spacing w:val="-2"/>
          <w:szCs w:val="20"/>
        </w:rPr>
      </w:pPr>
      <w:r>
        <w:rPr>
          <w:spacing w:val="-2"/>
        </w:rPr>
        <w:br w:type="page"/>
      </w:r>
    </w:p>
    <w:p w14:paraId="7954AC6C" w14:textId="77777777" w:rsidR="00F05DC7" w:rsidRDefault="00F05DC7" w:rsidP="00A3786D">
      <w:pPr>
        <w:pStyle w:val="BodyText"/>
      </w:pPr>
      <w:r>
        <w:lastRenderedPageBreak/>
        <w:t>For example, the NSW Government argued that:</w:t>
      </w:r>
    </w:p>
    <w:p w14:paraId="7954AC6D" w14:textId="77777777" w:rsidR="00F05DC7" w:rsidRDefault="00F05DC7" w:rsidP="00A3786D">
      <w:pPr>
        <w:pStyle w:val="Quote"/>
      </w:pPr>
      <w:r>
        <w:t>The model introduces considerable volatility into the level of equalisation provided to fiscally weaker states based on the relative fiscal circumstances of the strongest and second strongest states. (sub. DR109, p. 16)</w:t>
      </w:r>
    </w:p>
    <w:p w14:paraId="7954AC6E" w14:textId="77777777" w:rsidR="00F05DC7" w:rsidRDefault="00F05DC7" w:rsidP="00A3786D">
      <w:pPr>
        <w:pStyle w:val="BodyText"/>
      </w:pPr>
      <w:r>
        <w:t>Similarly, the Chamber of Commerce and Industry Western Australia stated that:</w:t>
      </w:r>
    </w:p>
    <w:p w14:paraId="7954AC6F" w14:textId="77777777" w:rsidR="00F05DC7" w:rsidRDefault="00F05DC7" w:rsidP="00A3786D">
      <w:pPr>
        <w:pStyle w:val="Quote"/>
      </w:pPr>
      <w:r>
        <w:t xml:space="preserve">… it is foreseeable that if both the leading state and second leading state were to simultaneously strengthen ahead of the pack the same problem as the current system would occur — the equalisation task would continue to be too great. For example, a future mining boom could see revenues in the two resource rich states of Western Australia and Queensland pull ahead of the other states. (sub. DR86, p. 3) </w:t>
      </w:r>
    </w:p>
    <w:p w14:paraId="7954AC70"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AC72" w14:textId="77777777" w:rsidTr="00A3786D">
        <w:trPr>
          <w:tblHeader/>
        </w:trPr>
        <w:tc>
          <w:tcPr>
            <w:tcW w:w="5000" w:type="pct"/>
            <w:tcBorders>
              <w:top w:val="single" w:sz="6" w:space="0" w:color="78A22F"/>
              <w:left w:val="nil"/>
              <w:bottom w:val="nil"/>
              <w:right w:val="nil"/>
            </w:tcBorders>
            <w:shd w:val="clear" w:color="auto" w:fill="auto"/>
          </w:tcPr>
          <w:p w14:paraId="7954AC71" w14:textId="06888345" w:rsidR="00F05DC7" w:rsidRPr="00784A05" w:rsidRDefault="00F05DC7" w:rsidP="00A3786D">
            <w:pPr>
              <w:pStyle w:val="TableTitle"/>
            </w:pPr>
            <w:r>
              <w:rPr>
                <w:b w:val="0"/>
              </w:rPr>
              <w:t>Table 8.7</w:t>
            </w:r>
            <w:r>
              <w:tab/>
              <w:t>Possible efficiency effects of the alternative equalisation benchmarks</w:t>
            </w:r>
          </w:p>
        </w:tc>
      </w:tr>
      <w:tr w:rsidR="00F05DC7" w14:paraId="7954AC8F" w14:textId="77777777" w:rsidTr="00A3786D">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576"/>
              <w:gridCol w:w="5954"/>
            </w:tblGrid>
            <w:tr w:rsidR="00F05DC7" w14:paraId="7954AC75" w14:textId="77777777" w:rsidTr="00A3786D">
              <w:trPr>
                <w:tblHeader/>
              </w:trPr>
              <w:tc>
                <w:tcPr>
                  <w:tcW w:w="1510" w:type="pct"/>
                  <w:tcBorders>
                    <w:top w:val="single" w:sz="6" w:space="0" w:color="BFBFBF"/>
                    <w:bottom w:val="single" w:sz="6" w:space="0" w:color="BFBFBF"/>
                  </w:tcBorders>
                  <w:shd w:val="clear" w:color="auto" w:fill="auto"/>
                  <w:tcMar>
                    <w:top w:w="28" w:type="dxa"/>
                  </w:tcMar>
                </w:tcPr>
                <w:p w14:paraId="7954AC73" w14:textId="77777777" w:rsidR="00F05DC7" w:rsidRDefault="00F05DC7" w:rsidP="00A3786D">
                  <w:pPr>
                    <w:pStyle w:val="TableColumnHeading"/>
                    <w:jc w:val="left"/>
                  </w:pPr>
                  <w:r>
                    <w:t>Benchmark</w:t>
                  </w:r>
                </w:p>
              </w:tc>
              <w:tc>
                <w:tcPr>
                  <w:tcW w:w="3490" w:type="pct"/>
                  <w:tcBorders>
                    <w:top w:val="single" w:sz="6" w:space="0" w:color="BFBFBF"/>
                    <w:bottom w:val="single" w:sz="6" w:space="0" w:color="BFBFBF"/>
                  </w:tcBorders>
                  <w:shd w:val="clear" w:color="auto" w:fill="auto"/>
                  <w:tcMar>
                    <w:top w:w="28" w:type="dxa"/>
                  </w:tcMar>
                </w:tcPr>
                <w:p w14:paraId="7954AC74" w14:textId="77777777" w:rsidR="00F05DC7" w:rsidRDefault="00F05DC7" w:rsidP="00A3786D">
                  <w:pPr>
                    <w:pStyle w:val="TableColumnHeading"/>
                    <w:ind w:right="28"/>
                    <w:jc w:val="left"/>
                  </w:pPr>
                  <w:r>
                    <w:t>Efficiency effects</w:t>
                  </w:r>
                </w:p>
              </w:tc>
            </w:tr>
            <w:tr w:rsidR="00F05DC7" w14:paraId="7954AC78" w14:textId="77777777" w:rsidTr="00A3786D">
              <w:tc>
                <w:tcPr>
                  <w:tcW w:w="1510" w:type="pct"/>
                  <w:tcBorders>
                    <w:top w:val="single" w:sz="6" w:space="0" w:color="BFBFBF"/>
                  </w:tcBorders>
                </w:tcPr>
                <w:p w14:paraId="7954AC76" w14:textId="77777777" w:rsidR="00F05DC7" w:rsidRDefault="00F05DC7" w:rsidP="00A3786D">
                  <w:pPr>
                    <w:pStyle w:val="TableUnitsRow"/>
                    <w:jc w:val="left"/>
                  </w:pPr>
                  <w:r>
                    <w:t>90 per cent full equalisation</w:t>
                  </w:r>
                </w:p>
              </w:tc>
              <w:tc>
                <w:tcPr>
                  <w:tcW w:w="3490" w:type="pct"/>
                  <w:tcBorders>
                    <w:top w:val="single" w:sz="6" w:space="0" w:color="BFBFBF"/>
                  </w:tcBorders>
                </w:tcPr>
                <w:p w14:paraId="7954AC77" w14:textId="77777777" w:rsidR="00F05DC7" w:rsidRDefault="00F05DC7" w:rsidP="00A3786D">
                  <w:pPr>
                    <w:pStyle w:val="TableBullet"/>
                  </w:pPr>
                  <w:r>
                    <w:t>Expected to marginally lower disincentives for all States</w:t>
                  </w:r>
                </w:p>
              </w:tc>
            </w:tr>
            <w:tr w:rsidR="00F05DC7" w14:paraId="7954AC7E" w14:textId="77777777" w:rsidTr="00A3786D">
              <w:tc>
                <w:tcPr>
                  <w:tcW w:w="1510" w:type="pct"/>
                </w:tcPr>
                <w:p w14:paraId="7954AC79" w14:textId="77777777" w:rsidR="00F05DC7" w:rsidRDefault="00F05DC7" w:rsidP="00A3786D">
                  <w:pPr>
                    <w:pStyle w:val="TableBodyText"/>
                    <w:jc w:val="left"/>
                  </w:pPr>
                  <w:r>
                    <w:t>Equalisation to the average of the fiscally strong States</w:t>
                  </w:r>
                </w:p>
              </w:tc>
              <w:tc>
                <w:tcPr>
                  <w:tcW w:w="3490" w:type="pct"/>
                </w:tcPr>
                <w:p w14:paraId="7954AC7A" w14:textId="77777777" w:rsidR="00F05DC7" w:rsidRDefault="00F05DC7" w:rsidP="00A3786D">
                  <w:pPr>
                    <w:pStyle w:val="TableBullet"/>
                  </w:pPr>
                  <w:r>
                    <w:t xml:space="preserve">Expected to lower disincentives for only one or two States </w:t>
                  </w:r>
                </w:p>
                <w:p w14:paraId="7954AC7B" w14:textId="77777777" w:rsidR="00F05DC7" w:rsidRDefault="00F05DC7" w:rsidP="00A3786D">
                  <w:pPr>
                    <w:pStyle w:val="TableBullet"/>
                  </w:pPr>
                  <w:r>
                    <w:t>If applied from 2000, there would have been ten years in which two States (a combination of NSW, Vic, or WA) would have been above the benchmark, giving them reduced disincentives, and one year in which three States were above the benchmark</w:t>
                  </w:r>
                </w:p>
                <w:p w14:paraId="7954AC7C" w14:textId="77777777" w:rsidR="00F05DC7" w:rsidRDefault="00F05DC7" w:rsidP="00A3786D">
                  <w:pPr>
                    <w:pStyle w:val="TableBullet"/>
                  </w:pPr>
                  <w:r>
                    <w:t>For all other years, only one State (shifting between NSW, Vic and WA) was above the benchmark</w:t>
                  </w:r>
                </w:p>
                <w:p w14:paraId="7954AC7D" w14:textId="77777777" w:rsidR="00F05DC7" w:rsidRDefault="00F05DC7" w:rsidP="00A3786D">
                  <w:pPr>
                    <w:pStyle w:val="TableBullet"/>
                  </w:pPr>
                  <w:r>
                    <w:t>Generally expect similar efficiency effects to ESSS</w:t>
                  </w:r>
                </w:p>
              </w:tc>
            </w:tr>
            <w:tr w:rsidR="00F05DC7" w14:paraId="7954AC83" w14:textId="77777777" w:rsidTr="00A3786D">
              <w:tc>
                <w:tcPr>
                  <w:tcW w:w="1510" w:type="pct"/>
                </w:tcPr>
                <w:p w14:paraId="7954AC7F" w14:textId="77777777" w:rsidR="00F05DC7" w:rsidRDefault="00F05DC7" w:rsidP="00A3786D">
                  <w:pPr>
                    <w:pStyle w:val="TableBodyText"/>
                    <w:jc w:val="left"/>
                  </w:pPr>
                  <w:r>
                    <w:t>Equalisation to the second strongest State</w:t>
                  </w:r>
                </w:p>
              </w:tc>
              <w:tc>
                <w:tcPr>
                  <w:tcW w:w="3490" w:type="pct"/>
                </w:tcPr>
                <w:p w14:paraId="7954AC80" w14:textId="77777777" w:rsidR="00F05DC7" w:rsidRDefault="00F05DC7" w:rsidP="00A3786D">
                  <w:pPr>
                    <w:pStyle w:val="TableBullet"/>
                  </w:pPr>
                  <w:r>
                    <w:t xml:space="preserve">Strongest State has an almost full reduction in disincentives </w:t>
                  </w:r>
                </w:p>
                <w:p w14:paraId="7954AC81" w14:textId="77777777" w:rsidR="00F05DC7" w:rsidRDefault="00F05DC7" w:rsidP="00A3786D">
                  <w:pPr>
                    <w:pStyle w:val="TableBullet"/>
                  </w:pPr>
                  <w:r>
                    <w:t>Modest reduction in disincentives for second strongest State (currently NSW)</w:t>
                  </w:r>
                </w:p>
                <w:p w14:paraId="7954AC82" w14:textId="77777777" w:rsidR="00F05DC7" w:rsidRDefault="00F05DC7" w:rsidP="00A3786D">
                  <w:pPr>
                    <w:pStyle w:val="TableBullet"/>
                  </w:pPr>
                  <w:r>
                    <w:t>No change in disincentives for other States</w:t>
                  </w:r>
                </w:p>
              </w:tc>
            </w:tr>
            <w:tr w:rsidR="00F05DC7" w14:paraId="7954AC88" w14:textId="77777777" w:rsidTr="00A3786D">
              <w:tc>
                <w:tcPr>
                  <w:tcW w:w="1510" w:type="pct"/>
                </w:tcPr>
                <w:p w14:paraId="7954AC84" w14:textId="77777777" w:rsidR="00F05DC7" w:rsidRDefault="00F05DC7" w:rsidP="00A3786D">
                  <w:pPr>
                    <w:pStyle w:val="TableBodyText"/>
                    <w:jc w:val="left"/>
                  </w:pPr>
                  <w:r>
                    <w:t>Full equalisation for the smallest States</w:t>
                  </w:r>
                </w:p>
              </w:tc>
              <w:tc>
                <w:tcPr>
                  <w:tcW w:w="3490" w:type="pct"/>
                </w:tcPr>
                <w:p w14:paraId="7954AC85" w14:textId="77777777" w:rsidR="00F05DC7" w:rsidRDefault="00F05DC7" w:rsidP="00A3786D">
                  <w:pPr>
                    <w:pStyle w:val="TableBullet"/>
                  </w:pPr>
                  <w:r>
                    <w:t xml:space="preserve">No change in disincentives faced by smallest States </w:t>
                  </w:r>
                </w:p>
                <w:p w14:paraId="7954AC86" w14:textId="77777777" w:rsidR="00F05DC7" w:rsidRDefault="00F05DC7" w:rsidP="00A3786D">
                  <w:pPr>
                    <w:pStyle w:val="TableBullet"/>
                  </w:pPr>
                  <w:r>
                    <w:t>Almost full reduction in disincentives for largest States</w:t>
                  </w:r>
                </w:p>
                <w:p w14:paraId="7954AC87" w14:textId="77777777" w:rsidR="00F05DC7" w:rsidRDefault="00F05DC7" w:rsidP="00A3786D">
                  <w:pPr>
                    <w:pStyle w:val="TableBullet"/>
                  </w:pPr>
                  <w:r>
                    <w:t>Question of whether/how States could move between groups and sources of additional funding for those States</w:t>
                  </w:r>
                </w:p>
              </w:tc>
            </w:tr>
            <w:tr w:rsidR="00F05DC7" w14:paraId="7954AC8D" w14:textId="77777777" w:rsidTr="00A3786D">
              <w:tc>
                <w:tcPr>
                  <w:tcW w:w="1510" w:type="pct"/>
                  <w:tcBorders>
                    <w:bottom w:val="single" w:sz="6" w:space="0" w:color="BFBFBF"/>
                  </w:tcBorders>
                  <w:shd w:val="clear" w:color="auto" w:fill="auto"/>
                </w:tcPr>
                <w:p w14:paraId="7954AC89" w14:textId="77777777" w:rsidR="00F05DC7" w:rsidRDefault="00F05DC7" w:rsidP="00A3786D">
                  <w:pPr>
                    <w:pStyle w:val="TableBodyText"/>
                    <w:jc w:val="left"/>
                  </w:pPr>
                  <w:r>
                    <w:t>Equalisation to the average</w:t>
                  </w:r>
                </w:p>
              </w:tc>
              <w:tc>
                <w:tcPr>
                  <w:tcW w:w="3490" w:type="pct"/>
                  <w:tcBorders>
                    <w:bottom w:val="single" w:sz="6" w:space="0" w:color="BFBFBF"/>
                  </w:tcBorders>
                  <w:shd w:val="clear" w:color="auto" w:fill="auto"/>
                </w:tcPr>
                <w:p w14:paraId="7954AC8A" w14:textId="77777777" w:rsidR="00F05DC7" w:rsidRDefault="00F05DC7" w:rsidP="00A3786D">
                  <w:pPr>
                    <w:pStyle w:val="TableBullet"/>
                  </w:pPr>
                  <w:r>
                    <w:t>Almost full reduction in disincentives for strongest three States</w:t>
                  </w:r>
                </w:p>
                <w:p w14:paraId="7954AC8B" w14:textId="77777777" w:rsidR="00F05DC7" w:rsidRDefault="00F05DC7" w:rsidP="00A3786D">
                  <w:pPr>
                    <w:pStyle w:val="TableBullet"/>
                  </w:pPr>
                  <w:r>
                    <w:t>Modest reduction in disincentives for fourth strongest State (currently Queensland)</w:t>
                  </w:r>
                </w:p>
                <w:p w14:paraId="7954AC8C" w14:textId="77777777" w:rsidR="00F05DC7" w:rsidRDefault="00F05DC7" w:rsidP="00A3786D">
                  <w:pPr>
                    <w:pStyle w:val="TableBullet"/>
                  </w:pPr>
                  <w:r>
                    <w:t>Small reduction in disincentives for remaining States</w:t>
                  </w:r>
                  <w:r>
                    <w:rPr>
                      <w:rStyle w:val="NoteLabel"/>
                    </w:rPr>
                    <w:t>a</w:t>
                  </w:r>
                </w:p>
              </w:tc>
            </w:tr>
          </w:tbl>
          <w:p w14:paraId="7954AC8E" w14:textId="77777777" w:rsidR="00F05DC7" w:rsidRDefault="00F05DC7" w:rsidP="00A3786D">
            <w:pPr>
              <w:pStyle w:val="Box"/>
            </w:pPr>
          </w:p>
        </w:tc>
      </w:tr>
      <w:tr w:rsidR="00F05DC7" w14:paraId="7954AC91" w14:textId="77777777" w:rsidTr="00A3786D">
        <w:tc>
          <w:tcPr>
            <w:tcW w:w="5000" w:type="pct"/>
            <w:tcBorders>
              <w:top w:val="nil"/>
              <w:left w:val="nil"/>
              <w:bottom w:val="nil"/>
              <w:right w:val="nil"/>
            </w:tcBorders>
            <w:shd w:val="clear" w:color="auto" w:fill="auto"/>
          </w:tcPr>
          <w:p w14:paraId="7954AC90" w14:textId="77777777" w:rsidR="00F05DC7" w:rsidRDefault="00F05DC7" w:rsidP="00A3786D">
            <w:pPr>
              <w:pStyle w:val="Note"/>
              <w:rPr>
                <w:i/>
              </w:rPr>
            </w:pPr>
            <w:r w:rsidRPr="008E77FE">
              <w:rPr>
                <w:rStyle w:val="NoteLabel"/>
              </w:rPr>
              <w:t>a</w:t>
            </w:r>
            <w:r>
              <w:t xml:space="preserve"> The (small) change in disincentives for the fiscally weak States occurs because under the current system, a fiscally weak State that undertakes reform that improves its fiscal capacity will receive less GST. Under ETA, an increase in the fiscal capacity of a fiscally weak State will increase the average fiscal capacity (albeit by a very small amount), and this may lead to a minor reduction in disincentive effects.</w:t>
            </w:r>
          </w:p>
        </w:tc>
      </w:tr>
      <w:tr w:rsidR="00F05DC7" w14:paraId="7954AC93" w14:textId="77777777" w:rsidTr="00A3786D">
        <w:tc>
          <w:tcPr>
            <w:tcW w:w="5000" w:type="pct"/>
            <w:tcBorders>
              <w:top w:val="nil"/>
              <w:left w:val="nil"/>
              <w:bottom w:val="single" w:sz="6" w:space="0" w:color="78A22F"/>
              <w:right w:val="nil"/>
            </w:tcBorders>
            <w:shd w:val="clear" w:color="auto" w:fill="auto"/>
          </w:tcPr>
          <w:p w14:paraId="7954AC92" w14:textId="77777777" w:rsidR="00F05DC7" w:rsidRDefault="00F05DC7" w:rsidP="00A3786D">
            <w:pPr>
              <w:pStyle w:val="Box"/>
              <w:spacing w:before="0" w:line="120" w:lineRule="exact"/>
            </w:pPr>
          </w:p>
        </w:tc>
      </w:tr>
      <w:tr w:rsidR="00F05DC7" w:rsidRPr="000863A5" w14:paraId="7954AC95" w14:textId="77777777" w:rsidTr="00A3786D">
        <w:tc>
          <w:tcPr>
            <w:tcW w:w="5000" w:type="pct"/>
            <w:tcBorders>
              <w:top w:val="single" w:sz="6" w:space="0" w:color="78A22F"/>
              <w:left w:val="nil"/>
              <w:bottom w:val="nil"/>
              <w:right w:val="nil"/>
            </w:tcBorders>
          </w:tcPr>
          <w:p w14:paraId="7954AC94" w14:textId="77777777" w:rsidR="00F05DC7" w:rsidRPr="00626D32" w:rsidRDefault="00F05DC7" w:rsidP="00A3786D">
            <w:pPr>
              <w:pStyle w:val="BoxSpaceBelow"/>
            </w:pPr>
          </w:p>
        </w:tc>
      </w:tr>
    </w:tbl>
    <w:p w14:paraId="7954AC96"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F05DC7" w14:paraId="7954AC98" w14:textId="77777777" w:rsidTr="00A3786D">
        <w:trPr>
          <w:tblHeader/>
        </w:trPr>
        <w:tc>
          <w:tcPr>
            <w:tcW w:w="5000" w:type="pct"/>
            <w:tcBorders>
              <w:top w:val="single" w:sz="6" w:space="0" w:color="78A22F"/>
              <w:left w:val="nil"/>
              <w:bottom w:val="nil"/>
              <w:right w:val="nil"/>
            </w:tcBorders>
            <w:shd w:val="clear" w:color="auto" w:fill="F2F2F2"/>
            <w:hideMark/>
          </w:tcPr>
          <w:p w14:paraId="7954AC97" w14:textId="55AFF1FE" w:rsidR="00F05DC7" w:rsidRDefault="00F05DC7" w:rsidP="00A3786D">
            <w:pPr>
              <w:pStyle w:val="BoxTitle"/>
            </w:pPr>
            <w:r>
              <w:rPr>
                <w:b w:val="0"/>
              </w:rPr>
              <w:t>Box 8.3</w:t>
            </w:r>
            <w:r>
              <w:tab/>
              <w:t>How do alternative equalisation benchmarks impact State reform incentives?</w:t>
            </w:r>
          </w:p>
        </w:tc>
      </w:tr>
      <w:tr w:rsidR="00F05DC7" w14:paraId="7954AC9F" w14:textId="77777777" w:rsidTr="00A3786D">
        <w:tc>
          <w:tcPr>
            <w:tcW w:w="5000" w:type="pct"/>
            <w:tcBorders>
              <w:top w:val="nil"/>
              <w:left w:val="nil"/>
              <w:bottom w:val="nil"/>
              <w:right w:val="nil"/>
            </w:tcBorders>
            <w:shd w:val="clear" w:color="auto" w:fill="F2F2F2"/>
            <w:hideMark/>
          </w:tcPr>
          <w:p w14:paraId="7954AC99" w14:textId="77777777" w:rsidR="00F05DC7" w:rsidRDefault="00F05DC7" w:rsidP="00A3786D">
            <w:pPr>
              <w:pStyle w:val="Box"/>
            </w:pPr>
            <w:r>
              <w:t xml:space="preserve">A general ‘in principle’ illustration of how alternative equalisation benchmarks could affect policy reform disincentives is to examine what happens when one State loses $100 per capita of GST revenue — for example, due to a policy that encouraged the expansion of one of its tax bases — while all other States gain an equal per capita amount such that the total amount of GST distributed remains constant. Examining whether a State loses more or less than the original $100 under each of the equalisation benchmarks provides an indication of how the alternative systems affect </w:t>
            </w:r>
            <w:r w:rsidRPr="003B789C">
              <w:t>disincentives</w:t>
            </w:r>
            <w:r>
              <w:t>. (The analysis is framed in terms of disincentives because the current system provides States with a disincentive to undertake reform due to the potential to lose GST payments). Compared with the current system (where disincentives are fully present for all States), the alternative equalisation benchmarks mute disincentives to varying degrees (see figure below, constructed using 2015</w:t>
            </w:r>
            <w:r>
              <w:noBreakHyphen/>
              <w:t>16 data).</w:t>
            </w:r>
          </w:p>
          <w:p w14:paraId="7954AC9A" w14:textId="77777777" w:rsidR="00F05DC7" w:rsidRDefault="00F05DC7" w:rsidP="00A3786D">
            <w:pPr>
              <w:pStyle w:val="BoxListBullet"/>
            </w:pPr>
            <w:r>
              <w:t>Full equalisation for only the small States significantly reduces disincentives for the four largest States (Western Australia, New South Wales, Victoria, Queensland) by between 94 per cent and 98 per cent, but does not change the disincentives for the small States (as they continue to be fully equalised).</w:t>
            </w:r>
          </w:p>
          <w:p w14:paraId="7954AC9B" w14:textId="77777777" w:rsidR="00F05DC7" w:rsidRDefault="00F05DC7" w:rsidP="00A3786D">
            <w:pPr>
              <w:pStyle w:val="BoxListBullet"/>
            </w:pPr>
            <w:r>
              <w:t xml:space="preserve">Equalising to the average reduces disincentives by between approximately 85 and 96 per cent for all the fiscally strong States that are above the average (Western Australia, New South Wales, Victoria) and by between 1 per cent and 17 per cent for the remaining States. </w:t>
            </w:r>
          </w:p>
          <w:p w14:paraId="7954AC9C" w14:textId="77777777" w:rsidR="00F05DC7" w:rsidRDefault="00F05DC7" w:rsidP="00A3786D">
            <w:pPr>
              <w:pStyle w:val="BoxListBullet"/>
            </w:pPr>
            <w:r>
              <w:t>Equalising to the average of the fiscally strong States significantly reduces reform disincentives (by about 85 per cent) for the strongest State (Western Australia), and reduces them by a much smaller amount for the remaining fiscally strong States (New South Wales and Victoria).</w:t>
            </w:r>
          </w:p>
          <w:p w14:paraId="7954AC9D" w14:textId="77777777" w:rsidR="00F05DC7" w:rsidRDefault="00F05DC7" w:rsidP="00A3786D">
            <w:pPr>
              <w:pStyle w:val="BoxListBullet"/>
            </w:pPr>
            <w:r>
              <w:t xml:space="preserve">When equalising to the second strongest State (currently New South Wales), disincentives are almost entirely eliminated for the strongest State (currently Western Australia). Disincentives for the remaining States remain unchanged, with the exception of New South Wales, which experiences a small reduction in its disincentives because reform in New South Wales that strengthens its fiscal capacity raises the equalisation benchmark, thus reducing the amount of GST left over for its equal per capita allocation. </w:t>
            </w:r>
          </w:p>
          <w:p w14:paraId="7954AC9E" w14:textId="77777777" w:rsidR="00F05DC7" w:rsidRDefault="00F05DC7" w:rsidP="00A3786D">
            <w:pPr>
              <w:pStyle w:val="Box"/>
            </w:pPr>
            <w:r w:rsidRPr="00503D6A">
              <w:rPr>
                <w:noProof/>
              </w:rPr>
              <w:drawing>
                <wp:inline distT="0" distB="0" distL="0" distR="0" wp14:anchorId="7954D631" wp14:editId="7954D632">
                  <wp:extent cx="5578888" cy="2785321"/>
                  <wp:effectExtent l="0" t="0" r="0" b="0"/>
                  <wp:docPr id="89" name="Picture 89" descr="Full equalisation tor the small States only would provide large reductions in disincentives for reform by the largest States. Similarly, equalising to the average would provide large reductions for New South Wales, Victoria, and Western Australia, with a modest reduction for Queensland, and smaller reductions for the remaining States. Other benchmarks provide more limited reductions in disincentives for reform by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587656" cy="2789698"/>
                          </a:xfrm>
                          <a:prstGeom prst="rect">
                            <a:avLst/>
                          </a:prstGeom>
                          <a:noFill/>
                          <a:ln>
                            <a:noFill/>
                          </a:ln>
                        </pic:spPr>
                      </pic:pic>
                    </a:graphicData>
                  </a:graphic>
                </wp:inline>
              </w:drawing>
            </w:r>
          </w:p>
        </w:tc>
      </w:tr>
      <w:tr w:rsidR="00F05DC7" w14:paraId="7954ACA1" w14:textId="77777777" w:rsidTr="00A3786D">
        <w:tc>
          <w:tcPr>
            <w:tcW w:w="5000" w:type="pct"/>
            <w:tcBorders>
              <w:top w:val="nil"/>
              <w:left w:val="nil"/>
              <w:bottom w:val="single" w:sz="6" w:space="0" w:color="78A22F"/>
              <w:right w:val="nil"/>
            </w:tcBorders>
            <w:shd w:val="clear" w:color="auto" w:fill="F2F2F2"/>
          </w:tcPr>
          <w:p w14:paraId="7954ACA0" w14:textId="77777777" w:rsidR="00F05DC7" w:rsidRDefault="00F05DC7" w:rsidP="00A3786D">
            <w:pPr>
              <w:pStyle w:val="Box"/>
              <w:spacing w:before="0" w:line="120" w:lineRule="exact"/>
            </w:pPr>
          </w:p>
        </w:tc>
      </w:tr>
      <w:tr w:rsidR="00F05DC7" w14:paraId="7954ACA3" w14:textId="77777777" w:rsidTr="00A3786D">
        <w:tc>
          <w:tcPr>
            <w:tcW w:w="5000" w:type="pct"/>
            <w:tcBorders>
              <w:top w:val="single" w:sz="6" w:space="0" w:color="78A22F"/>
              <w:left w:val="nil"/>
              <w:bottom w:val="nil"/>
              <w:right w:val="nil"/>
            </w:tcBorders>
            <w:hideMark/>
          </w:tcPr>
          <w:p w14:paraId="7954ACA2" w14:textId="77777777" w:rsidR="00F05DC7" w:rsidRDefault="00F05DC7" w:rsidP="00A3786D">
            <w:pPr>
              <w:pStyle w:val="BoxSpaceBelow"/>
            </w:pPr>
          </w:p>
        </w:tc>
      </w:tr>
    </w:tbl>
    <w:p w14:paraId="7954ACA4"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CA6" w14:textId="77777777" w:rsidTr="00A3786D">
        <w:trPr>
          <w:tblHeader/>
        </w:trPr>
        <w:tc>
          <w:tcPr>
            <w:tcW w:w="5000" w:type="pct"/>
            <w:tcBorders>
              <w:top w:val="single" w:sz="6" w:space="0" w:color="78A22F"/>
              <w:left w:val="nil"/>
              <w:bottom w:val="nil"/>
              <w:right w:val="nil"/>
            </w:tcBorders>
            <w:shd w:val="clear" w:color="auto" w:fill="F2F2F2"/>
          </w:tcPr>
          <w:p w14:paraId="7954ACA5" w14:textId="791263B1" w:rsidR="00F05DC7" w:rsidRDefault="00F05DC7" w:rsidP="00A3786D">
            <w:pPr>
              <w:pStyle w:val="BoxTitle"/>
            </w:pPr>
            <w:r>
              <w:rPr>
                <w:b w:val="0"/>
              </w:rPr>
              <w:t>Box 8.4</w:t>
            </w:r>
            <w:r>
              <w:tab/>
              <w:t>Case study: implications of alternative equalisation benchmarks on incentives to reform stamp duty and land tax</w:t>
            </w:r>
          </w:p>
        </w:tc>
      </w:tr>
      <w:tr w:rsidR="00F05DC7" w14:paraId="7954ACAF" w14:textId="77777777" w:rsidTr="00A3786D">
        <w:tc>
          <w:tcPr>
            <w:tcW w:w="5000" w:type="pct"/>
            <w:tcBorders>
              <w:top w:val="nil"/>
              <w:left w:val="nil"/>
              <w:bottom w:val="nil"/>
              <w:right w:val="nil"/>
            </w:tcBorders>
            <w:shd w:val="clear" w:color="auto" w:fill="F2F2F2"/>
          </w:tcPr>
          <w:p w14:paraId="7954ACA7" w14:textId="77777777" w:rsidR="00F05DC7" w:rsidRDefault="00F05DC7" w:rsidP="00A3786D">
            <w:pPr>
              <w:pStyle w:val="Box"/>
            </w:pPr>
            <w:r>
              <w:t>The Productivity Commission considered how moving to equalisation to the second strongest State (ESSS) and equalisation to the average (ETA) would affect States’ disincentives to reform stamp duty and land tax, in line with the cameo in chapter 3, which assessed what would happen if one State halved its average rate of stamp duty on property and replaced the lost revenue with a broad</w:t>
            </w:r>
            <w:r>
              <w:noBreakHyphen/>
              <w:t>based tax on residential land.</w:t>
            </w:r>
          </w:p>
          <w:p w14:paraId="7954ACA8" w14:textId="77777777" w:rsidR="00F05DC7" w:rsidRDefault="00F05DC7" w:rsidP="00A3786D">
            <w:pPr>
              <w:pStyle w:val="Box"/>
            </w:pPr>
            <w:r>
              <w:t xml:space="preserve">The analysis shows that ESSS would remove disincentives to undertake this policy reform (when considered solely through the lens of the amount of GST received) only for the strongest State (Western Australia) and reduces them for the second strongest State (New South Wales) (see figure). For Western Australia, this result can be attributed to the fact that the State would not be made worse off in terms of its GST payments if it unilaterally pursued such a tax reform. Ordinarily, such a tax reform would result in the State being assessed as having a stronger capacity to raise revenue, resulting in lower GST payments. </w:t>
            </w:r>
          </w:p>
          <w:p w14:paraId="7954ACA9" w14:textId="77777777" w:rsidR="00F05DC7" w:rsidRDefault="00F05DC7" w:rsidP="00A3786D">
            <w:pPr>
              <w:pStyle w:val="Box"/>
            </w:pPr>
            <w:r>
              <w:t>Disincentives for some of the other States slightly increase because when a State changes the amount of stamp duty and land tax it collects, it also affects the assessed fiscal capacity of the non</w:t>
            </w:r>
            <w:r>
              <w:noBreakHyphen/>
              <w:t>reforming States (through a change in the average tax rate of these two taxes). The size of this change will depend on the non</w:t>
            </w:r>
            <w:r>
              <w:noBreakHyphen/>
              <w:t xml:space="preserve">reforming State’s share of each tax base. </w:t>
            </w:r>
          </w:p>
          <w:p w14:paraId="7954ACAA" w14:textId="77777777" w:rsidR="00F05DC7" w:rsidRDefault="00F05DC7" w:rsidP="00A3786D">
            <w:pPr>
              <w:pStyle w:val="Box"/>
            </w:pPr>
            <w:r>
              <w:t xml:space="preserve">Under ETA, disincentives are substantially reduced for Western Australia, New South Wales, and Victoria, and reduced by a small amount for Queensland, and are largely unchanged for South Australia, Tasmania, the ACT and the NT. </w:t>
            </w:r>
          </w:p>
          <w:p w14:paraId="7954ACAB" w14:textId="77777777" w:rsidR="00F05DC7" w:rsidRDefault="00F05DC7" w:rsidP="00A3786D">
            <w:pPr>
              <w:pStyle w:val="BoxHeading1"/>
            </w:pPr>
            <w:r>
              <w:t>Change in GST payments from unilateral stamp duty</w:t>
            </w:r>
          </w:p>
          <w:p w14:paraId="7954ACAC" w14:textId="77777777" w:rsidR="00F05DC7" w:rsidRDefault="00F05DC7" w:rsidP="00A3786D">
            <w:pPr>
              <w:pStyle w:val="Box"/>
              <w:spacing w:before="0"/>
              <w:rPr>
                <w:rStyle w:val="NoteLabel"/>
              </w:rPr>
            </w:pPr>
            <w:r>
              <w:t>2015-16 annual GST payments</w:t>
            </w:r>
            <w:r w:rsidRPr="00E90A6B">
              <w:rPr>
                <w:rStyle w:val="NoteLabel"/>
              </w:rPr>
              <w:t xml:space="preserve">a </w:t>
            </w:r>
          </w:p>
          <w:p w14:paraId="7954ACAD" w14:textId="77777777" w:rsidR="00F05DC7" w:rsidRDefault="00F05DC7" w:rsidP="00A3786D">
            <w:pPr>
              <w:pStyle w:val="Box"/>
              <w:spacing w:before="0"/>
              <w:rPr>
                <w:rStyle w:val="NoteLabel"/>
              </w:rPr>
            </w:pPr>
            <w:r w:rsidRPr="009D4075">
              <w:rPr>
                <w:noProof/>
              </w:rPr>
              <w:drawing>
                <wp:inline distT="0" distB="0" distL="0" distR="0" wp14:anchorId="7954D633" wp14:editId="7954D634">
                  <wp:extent cx="5401945" cy="2878455"/>
                  <wp:effectExtent l="0" t="0" r="0" b="0"/>
                  <wp:docPr id="90" name="Picture 90" descr="Under equalisation to the second strongest, Western Australia’s disincentives to undertake reform to stamp duty and land tax would be removed, while there would generally be little change for other States, compared to the current system.&#10;Under equalisation to the average, disincentives would be substantially reduced for New South Wales, Victoria, and Western Australia, and modestly reduced for Queensland. Disincentives would remain largely unchanged for the other Sta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p w14:paraId="7954ACAE" w14:textId="77777777" w:rsidR="00F05DC7" w:rsidRDefault="00F05DC7" w:rsidP="00A3786D">
            <w:pPr>
              <w:pStyle w:val="Source"/>
            </w:pPr>
            <w:r w:rsidRPr="009D4075">
              <w:rPr>
                <w:rStyle w:val="NoteLabel"/>
              </w:rPr>
              <w:t>a</w:t>
            </w:r>
            <w:r>
              <w:t xml:space="preserve"> Estimates are based on the upper bound elasticity for stamp duty (appendix C). </w:t>
            </w:r>
          </w:p>
        </w:tc>
      </w:tr>
      <w:tr w:rsidR="00F05DC7" w14:paraId="7954ACB1" w14:textId="77777777" w:rsidTr="00A3786D">
        <w:tc>
          <w:tcPr>
            <w:tcW w:w="5000" w:type="pct"/>
            <w:tcBorders>
              <w:top w:val="nil"/>
              <w:left w:val="nil"/>
              <w:bottom w:val="nil"/>
              <w:right w:val="nil"/>
            </w:tcBorders>
            <w:shd w:val="clear" w:color="auto" w:fill="F2F2F2"/>
          </w:tcPr>
          <w:p w14:paraId="7954ACB0" w14:textId="77777777" w:rsidR="00F05DC7" w:rsidRDefault="00F05DC7" w:rsidP="00A3786D">
            <w:pPr>
              <w:pStyle w:val="BoxSource"/>
            </w:pPr>
            <w:r>
              <w:rPr>
                <w:i/>
              </w:rPr>
              <w:t>Source</w:t>
            </w:r>
            <w:r w:rsidRPr="00167F06">
              <w:t xml:space="preserve">: </w:t>
            </w:r>
            <w:r>
              <w:t>Productivity Commission estimates.</w:t>
            </w:r>
          </w:p>
        </w:tc>
      </w:tr>
      <w:tr w:rsidR="00F05DC7" w14:paraId="7954ACB3" w14:textId="77777777" w:rsidTr="00A3786D">
        <w:tc>
          <w:tcPr>
            <w:tcW w:w="5000" w:type="pct"/>
            <w:tcBorders>
              <w:top w:val="nil"/>
              <w:left w:val="nil"/>
              <w:bottom w:val="single" w:sz="6" w:space="0" w:color="78A22F"/>
              <w:right w:val="nil"/>
            </w:tcBorders>
            <w:shd w:val="clear" w:color="auto" w:fill="F2F2F2"/>
          </w:tcPr>
          <w:p w14:paraId="7954ACB2" w14:textId="77777777" w:rsidR="00F05DC7" w:rsidRDefault="00F05DC7" w:rsidP="00A3786D">
            <w:pPr>
              <w:pStyle w:val="Box"/>
              <w:spacing w:before="0" w:line="120" w:lineRule="exact"/>
            </w:pPr>
          </w:p>
        </w:tc>
      </w:tr>
      <w:tr w:rsidR="00F05DC7" w:rsidRPr="000863A5" w14:paraId="7954ACB5" w14:textId="77777777" w:rsidTr="00A3786D">
        <w:tc>
          <w:tcPr>
            <w:tcW w:w="5000" w:type="pct"/>
            <w:tcBorders>
              <w:top w:val="single" w:sz="6" w:space="0" w:color="78A22F"/>
              <w:left w:val="nil"/>
              <w:bottom w:val="nil"/>
              <w:right w:val="nil"/>
            </w:tcBorders>
          </w:tcPr>
          <w:p w14:paraId="7954ACB4" w14:textId="77777777" w:rsidR="00F05DC7" w:rsidRPr="00626D32" w:rsidRDefault="00F05DC7" w:rsidP="00A3786D">
            <w:pPr>
              <w:pStyle w:val="BoxSpaceBelow"/>
            </w:pPr>
          </w:p>
        </w:tc>
      </w:tr>
    </w:tbl>
    <w:p w14:paraId="7954ACB6" w14:textId="77777777" w:rsidR="00F05DC7" w:rsidRDefault="00F05DC7" w:rsidP="00A3786D">
      <w:pPr>
        <w:pStyle w:val="Heading4"/>
      </w:pPr>
      <w:r>
        <w:lastRenderedPageBreak/>
        <w:t>Equalising to the average of the fiscally strong States</w:t>
      </w:r>
    </w:p>
    <w:p w14:paraId="7954ACB7" w14:textId="77777777" w:rsidR="00F05DC7" w:rsidRDefault="00F05DC7" w:rsidP="00A3786D">
      <w:pPr>
        <w:pStyle w:val="BodyText"/>
      </w:pPr>
      <w:r>
        <w:t>Equalisation to the average of the fiscally strong States (currently Western Australia, New South Wales, and Victoria) is also likely to have limited efficiency benefits. Under this benchmark, all States are brought up to the average of the fiscally strong States, then given an EPC amount. Because these States continue to be equalised they would not experience any change in their disincentives to undertake reform.</w:t>
      </w:r>
    </w:p>
    <w:p w14:paraId="7954ACB8" w14:textId="77777777" w:rsidR="00F05DC7" w:rsidRDefault="00F05DC7" w:rsidP="00A3786D">
      <w:pPr>
        <w:pStyle w:val="BodyText"/>
      </w:pPr>
      <w:r>
        <w:t>The only States that would have their disincentives reduced would be those fiscally strong States that had an initial fiscal capacity above that of the average of the fiscally strong States, currently Western Australia and New South Wales, although this could change over time depending on the divergence in the initial fiscal capacities of the fiscally strongest State and the other fiscally strong States. If there were to be a large divergence, then it is conceivable that only the strongest State would receive an EPC amount under application of this benchmark, and therefore, would be the only State to have its disincentives for reform significantly reduced (somewhat similar to ESSS). For example, had this benchmark been implemented from 2000</w:t>
      </w:r>
      <w:r>
        <w:noBreakHyphen/>
        <w:t>01, there would have been seven years in which only one State was above the equalisation benchmark (box 8.5).</w:t>
      </w:r>
    </w:p>
    <w:p w14:paraId="7954ACB9" w14:textId="77777777" w:rsidR="00F05DC7" w:rsidRDefault="00F05DC7" w:rsidP="00A3786D">
      <w:pPr>
        <w:pStyle w:val="Heading4"/>
      </w:pPr>
      <w:r>
        <w:t xml:space="preserve">Full equalisation for only the small States </w:t>
      </w:r>
    </w:p>
    <w:p w14:paraId="7954ACBA" w14:textId="77777777" w:rsidR="00F05DC7" w:rsidRDefault="00F05DC7" w:rsidP="00A3786D">
      <w:pPr>
        <w:pStyle w:val="BodyText"/>
      </w:pPr>
      <w:r>
        <w:t xml:space="preserve">Full equalisation for only the small States provides the greatest potential benefits in terms of muting disincentives for the largest number of States. Under this benchmark, all fiscally strong States would face substantially diminished disincentives for reform as they are not subject to equalisation (they receive an EPC share of the GST pool). </w:t>
      </w:r>
    </w:p>
    <w:p w14:paraId="7954ACBB" w14:textId="77777777" w:rsidR="00F05DC7" w:rsidRDefault="00F05DC7" w:rsidP="00A3786D">
      <w:pPr>
        <w:pStyle w:val="BodyText"/>
      </w:pPr>
      <w:r>
        <w:t>Although this option therefore has some attraction from an efficiency perspective, it also raises the question of whether States could move between groups (that are equalised and that are not equalised) and if not, how the effects of fiscal shocks, such as natural disasters, would be dealt with. As the CGC acknowledged:</w:t>
      </w:r>
    </w:p>
    <w:p w14:paraId="7954ACBC" w14:textId="77777777" w:rsidR="00F05DC7" w:rsidRDefault="00F05DC7" w:rsidP="00A3786D">
      <w:pPr>
        <w:pStyle w:val="Quote"/>
      </w:pPr>
      <w:r>
        <w:t>If this approach allowed States to move between groups (for example, Queensland receiving its full equalisation outcome) then the results … would be very different. … If this approach did not allow States to move between groups, then it might require some capacity to account for the effects of natural disasters occurring in the four most populous States. (sub. DR61, p. 9)</w:t>
      </w:r>
    </w:p>
    <w:p w14:paraId="7954ACBD" w14:textId="77777777" w:rsidR="00F05DC7" w:rsidRDefault="00F05DC7" w:rsidP="00A3786D">
      <w:pPr>
        <w:pStyle w:val="BodyText"/>
      </w:pPr>
      <w:r w:rsidRPr="005F0E5B">
        <w:rPr>
          <w:rStyle w:val="BodyTextChar"/>
        </w:rPr>
        <w:t>If this benchmark did allow States to move between groups, such that it would provide full equalisation to any State regarded as fiscally weak (with a relativity above one), this would also reduce the number of States that would experience a reduction in disincentives for reform. Alternatively, additional fiscal equalisation required to account for the effect</w:t>
      </w:r>
      <w:r>
        <w:rPr>
          <w:rStyle w:val="BodyTextChar"/>
        </w:rPr>
        <w:t>s</w:t>
      </w:r>
      <w:r w:rsidRPr="005F0E5B">
        <w:rPr>
          <w:rStyle w:val="BodyTextChar"/>
        </w:rPr>
        <w:t xml:space="preserve"> of</w:t>
      </w:r>
      <w:r>
        <w:t xml:space="preserve"> natural disasters could be met with top</w:t>
      </w:r>
      <w:r>
        <w:noBreakHyphen/>
        <w:t>up funding, the risks of which were noted earlier in relation to an EPC plus top</w:t>
      </w:r>
      <w:r>
        <w:noBreakHyphen/>
        <w:t>up approach.</w:t>
      </w:r>
    </w:p>
    <w:p w14:paraId="7954ACBE" w14:textId="105169D4"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CC0" w14:textId="77777777" w:rsidTr="00A3786D">
        <w:trPr>
          <w:tblHeader/>
        </w:trPr>
        <w:tc>
          <w:tcPr>
            <w:tcW w:w="5000" w:type="pct"/>
            <w:tcBorders>
              <w:top w:val="single" w:sz="6" w:space="0" w:color="78A22F"/>
              <w:left w:val="nil"/>
              <w:bottom w:val="nil"/>
              <w:right w:val="nil"/>
            </w:tcBorders>
            <w:shd w:val="clear" w:color="auto" w:fill="F2F2F2"/>
          </w:tcPr>
          <w:p w14:paraId="7954ACBF" w14:textId="2E7B4812" w:rsidR="00F05DC7" w:rsidRDefault="00F05DC7" w:rsidP="00A3786D">
            <w:pPr>
              <w:pStyle w:val="BoxTitle"/>
            </w:pPr>
            <w:r>
              <w:rPr>
                <w:b w:val="0"/>
              </w:rPr>
              <w:t>Box 8.5</w:t>
            </w:r>
            <w:r>
              <w:tab/>
              <w:t>Applying equalisation to the average of fiscally strong States</w:t>
            </w:r>
          </w:p>
        </w:tc>
      </w:tr>
      <w:tr w:rsidR="00F05DC7" w14:paraId="7954ACC5" w14:textId="77777777" w:rsidTr="00A3786D">
        <w:tc>
          <w:tcPr>
            <w:tcW w:w="5000" w:type="pct"/>
            <w:tcBorders>
              <w:top w:val="nil"/>
              <w:left w:val="nil"/>
              <w:bottom w:val="nil"/>
              <w:right w:val="nil"/>
            </w:tcBorders>
            <w:shd w:val="clear" w:color="auto" w:fill="F2F2F2"/>
          </w:tcPr>
          <w:p w14:paraId="7954ACC1" w14:textId="77777777" w:rsidR="00F05DC7" w:rsidRDefault="00F05DC7" w:rsidP="00A3786D">
            <w:pPr>
              <w:pStyle w:val="Box"/>
            </w:pPr>
            <w:r>
              <w:t>Had equalisation to the average of the fiscally strong States been in force from 2000</w:t>
            </w:r>
            <w:r>
              <w:noBreakHyphen/>
              <w:t>01 (until 2017</w:t>
            </w:r>
            <w:r>
              <w:noBreakHyphen/>
              <w:t xml:space="preserve">18), there would have been seven years in which only one State was clearly above the equalisation benchmark. In the figure below, those States with a relativity </w:t>
            </w:r>
            <w:r w:rsidRPr="005F0E5B">
              <w:rPr>
                <w:i/>
              </w:rPr>
              <w:t>below</w:t>
            </w:r>
            <w:r>
              <w:t xml:space="preserve"> the line are </w:t>
            </w:r>
            <w:r w:rsidRPr="005F0E5B">
              <w:rPr>
                <w:i/>
              </w:rPr>
              <w:t>above</w:t>
            </w:r>
            <w:r>
              <w:t xml:space="preserve"> the equalisation benchmark (arrows indicate the years in which the listed States were above the benchmark).</w:t>
            </w:r>
          </w:p>
          <w:p w14:paraId="7954ACC2" w14:textId="77777777" w:rsidR="00F05DC7" w:rsidRDefault="00F05DC7" w:rsidP="00A3786D">
            <w:pPr>
              <w:pStyle w:val="Box"/>
              <w:spacing w:before="180"/>
            </w:pPr>
            <w:r w:rsidRPr="00BE3AB2">
              <w:rPr>
                <w:noProof/>
              </w:rPr>
              <w:drawing>
                <wp:inline distT="0" distB="0" distL="0" distR="0" wp14:anchorId="7954D635" wp14:editId="7954D636">
                  <wp:extent cx="5401945" cy="3242945"/>
                  <wp:effectExtent l="0" t="0" r="0" b="0"/>
                  <wp:docPr id="91" name="Picture 91" descr="From 2000-01 to 2003-04, New South Wales and Victoria would have been above the equalisation standard under equalisation to the average of the fiscally strong States. This occurred again in 2007-08, and in 2008-09, these two States, as well as Western Australia were above the standard. Queensland and Western Australia would have been above the standard in 2009-10 and 2010-11, while in 2011-12 and 2012-13, both Victoria and Western Australia would have been above the standard, as well as in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401945" cy="3242945"/>
                          </a:xfrm>
                          <a:prstGeom prst="rect">
                            <a:avLst/>
                          </a:prstGeom>
                          <a:noFill/>
                          <a:ln>
                            <a:noFill/>
                          </a:ln>
                        </pic:spPr>
                      </pic:pic>
                    </a:graphicData>
                  </a:graphic>
                </wp:inline>
              </w:drawing>
            </w:r>
          </w:p>
          <w:p w14:paraId="7954ACC3" w14:textId="77777777" w:rsidR="00F05DC7" w:rsidRDefault="00F05DC7" w:rsidP="00A3786D">
            <w:pPr>
              <w:pStyle w:val="Box"/>
              <w:spacing w:before="180"/>
            </w:pPr>
            <w:r>
              <w:t>Commission estimates also suggest that if equalisation to the average of the fiscally strong States were implemented in the future, from 2018</w:t>
            </w:r>
            <w:r>
              <w:noBreakHyphen/>
              <w:t>19 to 2020</w:t>
            </w:r>
            <w:r>
              <w:noBreakHyphen/>
              <w:t xml:space="preserve">21, New South Wales and Western Australia would be the only States above the equalisation benchmark. </w:t>
            </w:r>
          </w:p>
          <w:p w14:paraId="7954ACC4" w14:textId="77777777" w:rsidR="00F05DC7" w:rsidRDefault="00F05DC7" w:rsidP="00A3786D">
            <w:pPr>
              <w:pStyle w:val="Box"/>
            </w:pPr>
            <w:r>
              <w:t>The fact that generally only one or two States would have been above the equalisation benchmark over the period 2000</w:t>
            </w:r>
            <w:r>
              <w:noBreakHyphen/>
              <w:t>01 to 2020</w:t>
            </w:r>
            <w:r>
              <w:noBreakHyphen/>
              <w:t>21 indicates that this alternative would likely have limited efficiency benefits.</w:t>
            </w:r>
          </w:p>
        </w:tc>
      </w:tr>
      <w:tr w:rsidR="00F05DC7" w14:paraId="7954ACC7" w14:textId="77777777" w:rsidTr="00A3786D">
        <w:tc>
          <w:tcPr>
            <w:tcW w:w="5000" w:type="pct"/>
            <w:tcBorders>
              <w:top w:val="nil"/>
              <w:left w:val="nil"/>
              <w:bottom w:val="nil"/>
              <w:right w:val="nil"/>
            </w:tcBorders>
            <w:shd w:val="clear" w:color="auto" w:fill="F2F2F2"/>
          </w:tcPr>
          <w:p w14:paraId="7954ACC6" w14:textId="77777777" w:rsidR="00F05DC7" w:rsidRDefault="00F05DC7" w:rsidP="00A3786D">
            <w:pPr>
              <w:pStyle w:val="BoxSource"/>
            </w:pPr>
            <w:r>
              <w:rPr>
                <w:i/>
              </w:rPr>
              <w:t>Source</w:t>
            </w:r>
            <w:r w:rsidRPr="00167F06">
              <w:t xml:space="preserve">: </w:t>
            </w:r>
            <w:r>
              <w:t xml:space="preserve">Productivity Commission estimates. </w:t>
            </w:r>
          </w:p>
        </w:tc>
      </w:tr>
      <w:tr w:rsidR="00F05DC7" w14:paraId="7954ACC9" w14:textId="77777777" w:rsidTr="00A3786D">
        <w:tc>
          <w:tcPr>
            <w:tcW w:w="5000" w:type="pct"/>
            <w:tcBorders>
              <w:top w:val="nil"/>
              <w:left w:val="nil"/>
              <w:bottom w:val="single" w:sz="6" w:space="0" w:color="78A22F"/>
              <w:right w:val="nil"/>
            </w:tcBorders>
            <w:shd w:val="clear" w:color="auto" w:fill="F2F2F2"/>
          </w:tcPr>
          <w:p w14:paraId="7954ACC8" w14:textId="77777777" w:rsidR="00F05DC7" w:rsidRDefault="00F05DC7">
            <w:pPr>
              <w:pStyle w:val="Box"/>
              <w:spacing w:before="0" w:line="120" w:lineRule="exact"/>
            </w:pPr>
          </w:p>
        </w:tc>
      </w:tr>
      <w:tr w:rsidR="00F05DC7" w:rsidRPr="000863A5" w14:paraId="7954ACCB" w14:textId="77777777" w:rsidTr="00A3786D">
        <w:tc>
          <w:tcPr>
            <w:tcW w:w="5000" w:type="pct"/>
            <w:tcBorders>
              <w:top w:val="single" w:sz="6" w:space="0" w:color="78A22F"/>
              <w:left w:val="nil"/>
              <w:bottom w:val="nil"/>
              <w:right w:val="nil"/>
            </w:tcBorders>
          </w:tcPr>
          <w:p w14:paraId="7954ACCA" w14:textId="77777777" w:rsidR="00F05DC7" w:rsidRPr="00626D32" w:rsidRDefault="00F05DC7" w:rsidP="00A3786D">
            <w:pPr>
              <w:pStyle w:val="BoxSpaceBelow"/>
            </w:pPr>
          </w:p>
        </w:tc>
      </w:tr>
    </w:tbl>
    <w:p w14:paraId="7954ACCC" w14:textId="77777777" w:rsidR="00F05DC7" w:rsidRDefault="00F05DC7" w:rsidP="00A3786D">
      <w:pPr>
        <w:pStyle w:val="Heading4"/>
      </w:pPr>
      <w:r>
        <w:t>Equalising to the average of all States</w:t>
      </w:r>
    </w:p>
    <w:p w14:paraId="7954ACCD" w14:textId="77777777" w:rsidR="00F05DC7" w:rsidRDefault="00F05DC7" w:rsidP="00A3786D">
      <w:pPr>
        <w:pStyle w:val="BodyText"/>
      </w:pPr>
      <w:r>
        <w:t xml:space="preserve">ETA has the potential to materially reduce disincentives for several States, although as with the above option, this applies primarily to the largest (and fiscally strongest) States — currently, Western Australia, New South Wales, and Victoria would be above the equalisation benchmark. The Commission’s analysis suggests that disincentives are reduced for these States by between 85 and 96 per cent, and by between 1 and 17 per cent for the other States (box 8.3). That said, the large States also comprise the majority of the Australian population, and thus any reforms resulting from the reduced disincentives faced by these States would provide benefits to a large proportion of the community. </w:t>
      </w:r>
    </w:p>
    <w:p w14:paraId="7954ACCE" w14:textId="77777777" w:rsidR="00F05DC7" w:rsidRDefault="00F05DC7" w:rsidP="00A3786D">
      <w:pPr>
        <w:pStyle w:val="BodyText"/>
      </w:pPr>
      <w:r>
        <w:lastRenderedPageBreak/>
        <w:t>The NSW Government argued along similar lines:</w:t>
      </w:r>
    </w:p>
    <w:p w14:paraId="7954ACCF" w14:textId="77777777" w:rsidR="00F05DC7" w:rsidRDefault="00F05DC7" w:rsidP="00A3786D">
      <w:pPr>
        <w:pStyle w:val="Quote"/>
      </w:pPr>
      <w:r>
        <w:t>The average model is the best model that reduces the fiscal penalty faced by fiscally stronger states from pursuing economic and fiscal reforms. The average state model most reduces the size of any possible economic efficiency impacts of equalisation … The average state model also increases incentives for fiscally strong states to improve their fiscal capacity. This will result in greater economic development and activity nationally, with some economic benefits being captured, in part, by the Commonwealth’s broad tax bases. (sub. DR109, p. 15)</w:t>
      </w:r>
    </w:p>
    <w:p w14:paraId="7954ACD0" w14:textId="77777777" w:rsidR="00F05DC7" w:rsidRDefault="00F05DC7" w:rsidP="00A3786D">
      <w:pPr>
        <w:pStyle w:val="BodyText"/>
        <w:keepNext/>
      </w:pPr>
      <w:r>
        <w:t>As noted by the Chamber of Commerce and Industry of Western Australia:</w:t>
      </w:r>
    </w:p>
    <w:p w14:paraId="7954ACD1" w14:textId="77777777" w:rsidR="00F05DC7" w:rsidRDefault="00F05DC7" w:rsidP="00A3786D">
      <w:pPr>
        <w:pStyle w:val="Quote"/>
      </w:pPr>
      <w:r>
        <w:t xml:space="preserve">ETA creates positive marginal incentives for each state to increase its own capacity, since improvement in any state’s capacity raises the equalisation point … Efficiency is increased as all states contribute to progression of the average, rather than the equalisation point being a fixed point or the responsibility of a subset of states which the remaining states cannot influence and therefore have nothing to gain by raising capacity. This is an important difference in incentives created by equalising to the average compared to full HFE, equalising to the second leading state or equalising to the donor states. (sub. DR86, p. 2) </w:t>
      </w:r>
    </w:p>
    <w:p w14:paraId="7954ACD2" w14:textId="77777777" w:rsidR="00F05DC7" w:rsidRDefault="00F05DC7" w:rsidP="00A3786D">
      <w:pPr>
        <w:pStyle w:val="BodyText"/>
      </w:pPr>
      <w:r>
        <w:t xml:space="preserve">ETA would also be less susceptible to fiscal outliers, as the equalisation benchmark would be determined by the fiscal capacities of all States, rather than a subset — alternatives such as equalising to the average of the fiscally strong States or ESSS use a smaller number of States to derive their equalisation benchmarks. Consequently, these benchmarks are more likely to result in greater fluctuations in relativities when the State(s) used to derive the benchmark undergo large changes in their fiscal capacity. ETA may therefore provide the most stable basis for deriving GST relativities, compared with the alternatives (with the possible exception of full equalisation for the smallest States). </w:t>
      </w:r>
    </w:p>
    <w:p w14:paraId="7954ACD3" w14:textId="77777777" w:rsidR="00F05DC7" w:rsidRDefault="00F05DC7" w:rsidP="00A3786D">
      <w:pPr>
        <w:pStyle w:val="Heading3"/>
      </w:pPr>
      <w:r>
        <w:t>Migration decisions are not expected to materially change under the alternatives</w:t>
      </w:r>
    </w:p>
    <w:p w14:paraId="7954ACD4" w14:textId="77777777" w:rsidR="00F05DC7" w:rsidRDefault="00F05DC7" w:rsidP="00A3786D">
      <w:pPr>
        <w:pStyle w:val="BodyText"/>
      </w:pPr>
      <w:r>
        <w:t xml:space="preserve">None of the above options are expected to have significant effects on people’s decisions to move interstate. In chapters 5 and 6, the Commission concluded that there would have to be a large and sustained difference in fiscal capacities over time to enable State Governments to provide considerably higher standards of services or lower tax rates. And even if such an outcome were to occur, it is not clear whether this would be sufficient to influence movements in labour and capital — movements based on differences in States’ capacities to deliver services are less important than work opportunities and other factors (chapter 5). </w:t>
      </w:r>
    </w:p>
    <w:p w14:paraId="7954ACD5" w14:textId="77777777" w:rsidR="00F05DC7" w:rsidRDefault="00F05DC7" w:rsidP="00A3786D">
      <w:pPr>
        <w:pStyle w:val="BodyText"/>
      </w:pPr>
      <w:r>
        <w:t xml:space="preserve">Thus, concerns about ‘race to the bottom effects’ on State tax rates, to attract business investment and increase population (as suggested by the Tasmanian Government (sub. DR74, p. 26) and the Northern Territory Government (sub. DR69, p. 13)) are unlikely to materialise. </w:t>
      </w:r>
    </w:p>
    <w:p w14:paraId="7954ACD6" w14:textId="77777777" w:rsidR="00F05DC7" w:rsidRDefault="00F05DC7" w:rsidP="00A3786D">
      <w:pPr>
        <w:pStyle w:val="Heading3"/>
      </w:pPr>
      <w:r>
        <w:lastRenderedPageBreak/>
        <w:t>Summing up the alternative equalisation benchmarks</w:t>
      </w:r>
    </w:p>
    <w:p w14:paraId="7954ACD7" w14:textId="77777777" w:rsidR="00F05DC7" w:rsidRDefault="00F05DC7" w:rsidP="00A3786D">
      <w:pPr>
        <w:pStyle w:val="BodyText"/>
      </w:pPr>
      <w:r>
        <w:t xml:space="preserve">The preceding discussion illustrates the difficulty in measuring the efficiency and equity impacts of the alternative equalisation benchmarks. Each benchmark variously trades off equity and efficiency. No benchmark is unambiguously superior and there is no ‘right’ balance. Determining which benchmark provides the greatest net benefits to the community is necessarily reliant on judgment. The judgment applied is whether the benefits — in terms of the efficiency gains (reduced disincentives for major reform) and improvements in fairness (States retaining greater reward (higher GST payments) for their policy effort) — outweigh the costs of a reduced degree of fiscal equalisation (lower GST payments to some States). </w:t>
      </w:r>
    </w:p>
    <w:p w14:paraId="7954ACD8" w14:textId="77777777" w:rsidR="00F05DC7" w:rsidRDefault="00F05DC7" w:rsidP="00A3786D">
      <w:pPr>
        <w:pStyle w:val="BodyText"/>
      </w:pPr>
      <w:r>
        <w:t>Equalising to the average of the fiscally strong States and equalising to the second strongest State have the least impacts on fiscal equity but they only narrowly reduce disincentives for reform (other than for the fiscally strongest, and perhaps second strongest, States) and they also raise other concerns. In particular, the equalisation standard in these benchmarks would be more exposed to a fiscal outlier State(s). That is, the equalisation benchmark could be affected by large changes in the fiscal capacity of one State, or of two States.</w:t>
      </w:r>
    </w:p>
    <w:p w14:paraId="7954ACD9" w14:textId="77777777" w:rsidR="00F05DC7" w:rsidRDefault="00F05DC7" w:rsidP="00A3786D">
      <w:pPr>
        <w:pStyle w:val="BodyText"/>
      </w:pPr>
      <w:r>
        <w:t xml:space="preserve">By contrast, while ETA could have the largest fiscal impact on the States, these impacts are expected to be modest (even in the absence of transition, they do not exceed a 3 per cent loss of total revenue for any State and still enable States to meet at least 97 per cent of their assessed expenditure needs). Further, any adverse impacts are expected to be manageable using a carefully designed and implemented transition approach (chapter 9). ETA also offers significant scope for efficiency gains, as it provides a larger number of States with greater incentives to undertake major tax reform and other policy efforts. It may also be considered fairer, in the sense that it would provide greater reward for effort than the current system. </w:t>
      </w:r>
    </w:p>
    <w:p w14:paraId="7954ACDA" w14:textId="77777777" w:rsidR="00F05DC7" w:rsidRDefault="00F05DC7" w:rsidP="00A3786D">
      <w:pPr>
        <w:pStyle w:val="BodyText"/>
      </w:pPr>
      <w:r>
        <w:t xml:space="preserve">Although full equalisation for only the smallest States has the potential to deliver similar efficiency benefits for the four large States, this benchmark runs into problems of determining whether States should be able to move between groups, and if so, how any additional funding required to equalise the fiscal capacity of these States should be distributed. In the Commission’s assessment, these problems materially reduce the net benefits of this approach. </w:t>
      </w:r>
    </w:p>
    <w:p w14:paraId="7954ACDB" w14:textId="77777777" w:rsidR="00F05DC7" w:rsidRDefault="00F05DC7" w:rsidP="00A3786D">
      <w:pPr>
        <w:pStyle w:val="BodyText"/>
      </w:pPr>
      <w:r>
        <w:t>On balance, ETA is considered to be more efficient and equitable than the current equalisation benchmark and the other alternatives proposed and considered.</w:t>
      </w:r>
    </w:p>
    <w:p w14:paraId="7954ACDC"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CDE"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CDD" w14:textId="3A57C722" w:rsidR="00F05DC7" w:rsidRPr="00CE4C64" w:rsidRDefault="00F05DC7" w:rsidP="00A3786D">
            <w:pPr>
              <w:pStyle w:val="FindingTitle"/>
              <w:spacing w:before="120"/>
              <w:rPr>
                <w:noProof/>
              </w:rPr>
            </w:pPr>
            <w:r>
              <w:t>Finding 8.4</w:t>
            </w:r>
          </w:p>
        </w:tc>
      </w:tr>
      <w:tr w:rsidR="00F05DC7" w:rsidRPr="00750BE2" w14:paraId="7954ACE4" w14:textId="77777777" w:rsidTr="00A3786D">
        <w:trPr>
          <w:cantSplit/>
        </w:trPr>
        <w:tc>
          <w:tcPr>
            <w:tcW w:w="5000" w:type="pct"/>
            <w:tcBorders>
              <w:top w:val="nil"/>
              <w:left w:val="nil"/>
              <w:bottom w:val="nil"/>
              <w:right w:val="nil"/>
            </w:tcBorders>
            <w:shd w:val="clear" w:color="auto" w:fill="F2F2F2"/>
            <w:tcMar>
              <w:left w:w="170" w:type="dxa"/>
              <w:right w:w="170" w:type="dxa"/>
            </w:tcMar>
          </w:tcPr>
          <w:p w14:paraId="7954ACDF" w14:textId="77777777" w:rsidR="00F05DC7" w:rsidRDefault="00F05DC7" w:rsidP="00A3786D">
            <w:pPr>
              <w:pStyle w:val="Finding"/>
              <w:keepNext/>
            </w:pPr>
            <w:r>
              <w:t xml:space="preserve">No alternative benchmark for equalisation is unambiguously superior to any other. All have costs and benefits that are difficult to comprehensively identify, let alone quantify. Determining which alternative benchmark is most likely to provide the greatest net benefit — the right balance — involves judgment about whether the benefits of greater policy neutrality (efficiency) and reward for policy effort and risk taking (fairness) outweigh the fiscal equality impacts. </w:t>
            </w:r>
          </w:p>
          <w:p w14:paraId="7954ACE0" w14:textId="77777777" w:rsidR="00F05DC7" w:rsidRDefault="00F05DC7" w:rsidP="00A3786D">
            <w:pPr>
              <w:pStyle w:val="Finding"/>
              <w:keepNext/>
            </w:pPr>
            <w:r>
              <w:t>Overall, equalising to the average (pre</w:t>
            </w:r>
            <w:r>
              <w:noBreakHyphen/>
              <w:t xml:space="preserve">GST) fiscal capacity of all States is judged to provide a better balance than the current benchmark and is thus a preferred alternative. </w:t>
            </w:r>
          </w:p>
          <w:p w14:paraId="7954ACE1" w14:textId="77777777" w:rsidR="00F05DC7" w:rsidRDefault="00F05DC7" w:rsidP="00A3786D">
            <w:pPr>
              <w:pStyle w:val="FindingBullet"/>
            </w:pPr>
            <w:r>
              <w:t>It offers the greatest incentives for some States (but not all) to undertake efficiency</w:t>
            </w:r>
            <w:r>
              <w:noBreakHyphen/>
              <w:t>enhancing tax reform and broadly reduces policy non</w:t>
            </w:r>
            <w:r>
              <w:noBreakHyphen/>
              <w:t xml:space="preserve">neutrality with respect to the mining revenue assessment. </w:t>
            </w:r>
          </w:p>
          <w:p w14:paraId="7954ACE2" w14:textId="77777777" w:rsidR="00F05DC7" w:rsidRDefault="00F05DC7" w:rsidP="00A3786D">
            <w:pPr>
              <w:pStyle w:val="FindingBullet"/>
            </w:pPr>
            <w:r>
              <w:t>It is less susceptible to fiscal outliers and therefore provides a more stable basis for deriving GST relativities.</w:t>
            </w:r>
          </w:p>
          <w:p w14:paraId="7954ACE3" w14:textId="77777777" w:rsidR="00F05DC7" w:rsidRDefault="00F05DC7" w:rsidP="00A3786D">
            <w:pPr>
              <w:pStyle w:val="FindingBullet"/>
            </w:pPr>
            <w:r>
              <w:t>The impacts on fiscal equality are expected to be modest and manageable, especially when implemented through a carefully designed transition.</w:t>
            </w:r>
          </w:p>
        </w:tc>
      </w:tr>
      <w:tr w:rsidR="00F05DC7" w14:paraId="7954ACE6" w14:textId="77777777" w:rsidTr="00A3786D">
        <w:trPr>
          <w:cantSplit/>
        </w:trPr>
        <w:tc>
          <w:tcPr>
            <w:tcW w:w="5000" w:type="pct"/>
            <w:tcBorders>
              <w:top w:val="nil"/>
              <w:left w:val="nil"/>
              <w:bottom w:val="single" w:sz="6" w:space="0" w:color="78A22F"/>
              <w:right w:val="nil"/>
            </w:tcBorders>
            <w:shd w:val="clear" w:color="auto" w:fill="F2F2F2"/>
            <w:tcMar>
              <w:left w:w="170" w:type="dxa"/>
              <w:right w:w="170" w:type="dxa"/>
            </w:tcMar>
          </w:tcPr>
          <w:p w14:paraId="7954ACE5" w14:textId="77777777" w:rsidR="00F05DC7" w:rsidRDefault="00F05DC7" w:rsidP="00A3786D">
            <w:pPr>
              <w:pStyle w:val="Space"/>
              <w:keepLines/>
            </w:pPr>
          </w:p>
        </w:tc>
      </w:tr>
      <w:tr w:rsidR="00F05DC7" w:rsidRPr="000863A5" w14:paraId="7954ACE8" w14:textId="77777777" w:rsidTr="00A3786D">
        <w:trPr>
          <w:cantSplit/>
        </w:trPr>
        <w:tc>
          <w:tcPr>
            <w:tcW w:w="5000" w:type="pct"/>
            <w:tcBorders>
              <w:top w:val="single" w:sz="6" w:space="0" w:color="78A22F"/>
              <w:left w:val="nil"/>
              <w:bottom w:val="nil"/>
              <w:right w:val="nil"/>
            </w:tcBorders>
            <w:tcMar>
              <w:left w:w="170" w:type="dxa"/>
              <w:right w:w="170" w:type="dxa"/>
            </w:tcMar>
          </w:tcPr>
          <w:p w14:paraId="7954ACE7" w14:textId="77777777" w:rsidR="00F05DC7" w:rsidRPr="00626D32" w:rsidRDefault="00F05DC7" w:rsidP="00A3786D">
            <w:pPr>
              <w:pStyle w:val="BoxSpaceBelow"/>
              <w:keepLines/>
            </w:pPr>
          </w:p>
        </w:tc>
      </w:tr>
    </w:tbl>
    <w:p w14:paraId="7954ACE9" w14:textId="77777777" w:rsidR="00F05DC7" w:rsidRPr="004E3B94" w:rsidRDefault="00F05DC7" w:rsidP="00A378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14:paraId="7954ACEB"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ACEA" w14:textId="6C9ACEB7" w:rsidR="00F05DC7" w:rsidRPr="00CE4C64" w:rsidRDefault="00F05DC7" w:rsidP="00A3786D">
            <w:pPr>
              <w:pStyle w:val="RecTitle"/>
              <w:spacing w:before="120"/>
              <w:rPr>
                <w:noProof/>
              </w:rPr>
            </w:pPr>
            <w:r>
              <w:t>Recommendation 8.</w:t>
            </w:r>
            <w:r>
              <w:rPr>
                <w:noProof/>
              </w:rPr>
              <w:t>1</w:t>
            </w:r>
          </w:p>
        </w:tc>
      </w:tr>
      <w:tr w:rsidR="00F05DC7" w:rsidRPr="00750BE2" w14:paraId="7954ACED" w14:textId="77777777" w:rsidTr="00A3786D">
        <w:tc>
          <w:tcPr>
            <w:tcW w:w="5000" w:type="pct"/>
            <w:tcBorders>
              <w:top w:val="nil"/>
              <w:left w:val="nil"/>
              <w:bottom w:val="nil"/>
              <w:right w:val="nil"/>
            </w:tcBorders>
            <w:shd w:val="clear" w:color="auto" w:fill="E5F1D0"/>
            <w:tcMar>
              <w:left w:w="170" w:type="dxa"/>
              <w:right w:w="170" w:type="dxa"/>
            </w:tcMar>
          </w:tcPr>
          <w:p w14:paraId="7954ACEC" w14:textId="77777777" w:rsidR="00F05DC7" w:rsidRDefault="00F05DC7" w:rsidP="00A3786D">
            <w:pPr>
              <w:pStyle w:val="Rec"/>
              <w:keepNext/>
            </w:pPr>
            <w:r w:rsidRPr="002A7FC4">
              <w:t>The Commonwealth Government should transition Australia’s system of HFE towards equalisation to the average (pre</w:t>
            </w:r>
            <w:r w:rsidRPr="002A7FC4">
              <w:noBreakHyphen/>
              <w:t>GST) fiscal capacity of all States</w:t>
            </w:r>
            <w:r>
              <w:t>, with the remaining GST revenue distributed on a per capita basis</w:t>
            </w:r>
            <w:r w:rsidRPr="002A7FC4">
              <w:t>.</w:t>
            </w:r>
          </w:p>
        </w:tc>
      </w:tr>
      <w:tr w:rsidR="00F05DC7" w14:paraId="7954ACEF"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ACEE" w14:textId="77777777" w:rsidR="00F05DC7" w:rsidRDefault="00F05DC7" w:rsidP="00A3786D">
            <w:pPr>
              <w:pStyle w:val="Space"/>
              <w:keepLines/>
            </w:pPr>
          </w:p>
        </w:tc>
      </w:tr>
      <w:tr w:rsidR="00F05DC7" w:rsidRPr="000863A5" w14:paraId="7954ACF1" w14:textId="77777777" w:rsidTr="00A3786D">
        <w:tc>
          <w:tcPr>
            <w:tcW w:w="5000" w:type="pct"/>
            <w:tcBorders>
              <w:top w:val="single" w:sz="6" w:space="0" w:color="78A22F"/>
              <w:left w:val="nil"/>
              <w:bottom w:val="nil"/>
              <w:right w:val="nil"/>
            </w:tcBorders>
            <w:tcMar>
              <w:left w:w="170" w:type="dxa"/>
              <w:right w:w="170" w:type="dxa"/>
            </w:tcMar>
          </w:tcPr>
          <w:p w14:paraId="7954ACF0" w14:textId="77777777" w:rsidR="00F05DC7" w:rsidRPr="00626D32" w:rsidRDefault="00F05DC7" w:rsidP="00A3786D">
            <w:pPr>
              <w:pStyle w:val="BoxSpaceBelow"/>
              <w:keepLines/>
            </w:pPr>
          </w:p>
        </w:tc>
      </w:tr>
    </w:tbl>
    <w:p w14:paraId="7954ACF2" w14:textId="77777777" w:rsidR="00F05DC7" w:rsidRDefault="00F05DC7" w:rsidP="00A3786D">
      <w:pPr>
        <w:pStyle w:val="BodyText"/>
        <w:keepNext/>
        <w:spacing w:before="320" w:line="80" w:lineRule="exact"/>
        <w:jc w:val="left"/>
      </w:pPr>
    </w:p>
    <w:p w14:paraId="7954ACF3" w14:textId="77777777" w:rsidR="00F05DC7" w:rsidRDefault="00F05DC7" w:rsidP="00F05DC7">
      <w:pPr>
        <w:sectPr w:rsidR="00F05DC7" w:rsidSect="004F4295">
          <w:headerReference w:type="even" r:id="rId161"/>
          <w:headerReference w:type="default" r:id="rId162"/>
          <w:footerReference w:type="even" r:id="rId163"/>
          <w:footerReference w:type="default" r:id="rId164"/>
          <w:type w:val="evenPage"/>
          <w:pgSz w:w="11907" w:h="16840" w:code="9"/>
          <w:pgMar w:top="1985" w:right="1304" w:bottom="1247" w:left="1814" w:header="1701" w:footer="397" w:gutter="0"/>
          <w:pgNumType w:chapSep="period"/>
          <w:cols w:space="720"/>
          <w:docGrid w:linePitch="326"/>
        </w:sectPr>
      </w:pPr>
    </w:p>
    <w:p w14:paraId="7954ACF4" w14:textId="77777777" w:rsidR="00F05DC7" w:rsidRDefault="00F05DC7" w:rsidP="00A3786D">
      <w:pPr>
        <w:pStyle w:val="Heading1"/>
        <w:spacing w:before="0"/>
      </w:pPr>
      <w:bookmarkStart w:id="110" w:name="_Toc513637738"/>
      <w:r>
        <w:lastRenderedPageBreak/>
        <w:t>9</w:t>
      </w:r>
      <w:r>
        <w:tab/>
        <w:t>The way ahead</w:t>
      </w:r>
      <w:bookmarkEnd w:id="110"/>
    </w:p>
    <w:p w14:paraId="7954ACF5" w14:textId="77777777" w:rsidR="00F05DC7" w:rsidRPr="005E2BD3" w:rsidRDefault="00F05DC7" w:rsidP="00A3786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CF7" w14:textId="77777777" w:rsidTr="00A3786D">
        <w:trPr>
          <w:tblHeader/>
        </w:trPr>
        <w:tc>
          <w:tcPr>
            <w:tcW w:w="5000" w:type="pct"/>
            <w:tcBorders>
              <w:top w:val="single" w:sz="6" w:space="0" w:color="78A22F"/>
              <w:left w:val="nil"/>
              <w:bottom w:val="nil"/>
              <w:right w:val="nil"/>
            </w:tcBorders>
            <w:shd w:val="clear" w:color="auto" w:fill="F2F2F2"/>
          </w:tcPr>
          <w:p w14:paraId="7954ACF6" w14:textId="77777777" w:rsidR="00F05DC7" w:rsidRPr="005E2BD3" w:rsidRDefault="00F05DC7" w:rsidP="00A3786D">
            <w:pPr>
              <w:keepNext/>
              <w:keepLines/>
              <w:spacing w:before="120" w:line="280" w:lineRule="exact"/>
              <w:ind w:left="1474" w:hanging="1474"/>
              <w:rPr>
                <w:rFonts w:ascii="Arial" w:hAnsi="Arial"/>
                <w:b/>
              </w:rPr>
            </w:pPr>
            <w:r w:rsidRPr="005E2BD3">
              <w:rPr>
                <w:rFonts w:ascii="Arial" w:hAnsi="Arial"/>
                <w:b/>
              </w:rPr>
              <w:t>Key points</w:t>
            </w:r>
          </w:p>
        </w:tc>
      </w:tr>
      <w:tr w:rsidR="00F05DC7" w:rsidRPr="005E2BD3" w14:paraId="7954AD06" w14:textId="77777777" w:rsidTr="00A3786D">
        <w:tc>
          <w:tcPr>
            <w:tcW w:w="5000" w:type="pct"/>
            <w:tcBorders>
              <w:top w:val="nil"/>
              <w:left w:val="nil"/>
              <w:bottom w:val="nil"/>
              <w:right w:val="nil"/>
            </w:tcBorders>
            <w:shd w:val="clear" w:color="auto" w:fill="F2F2F2"/>
          </w:tcPr>
          <w:p w14:paraId="7954ACF8" w14:textId="77777777" w:rsidR="00F05DC7" w:rsidRPr="005E2BD3" w:rsidRDefault="00F05DC7" w:rsidP="00A3786D">
            <w:pPr>
              <w:keepNext/>
              <w:numPr>
                <w:ilvl w:val="0"/>
                <w:numId w:val="1"/>
              </w:numPr>
              <w:spacing w:before="100" w:line="240" w:lineRule="atLeast"/>
              <w:jc w:val="both"/>
              <w:rPr>
                <w:rFonts w:ascii="Arial" w:hAnsi="Arial"/>
                <w:sz w:val="20"/>
                <w:szCs w:val="20"/>
              </w:rPr>
            </w:pPr>
            <w:r w:rsidRPr="005E2BD3">
              <w:rPr>
                <w:rFonts w:ascii="Arial" w:hAnsi="Arial"/>
                <w:sz w:val="20"/>
                <w:szCs w:val="20"/>
              </w:rPr>
              <w:t>Th</w:t>
            </w:r>
            <w:r>
              <w:rPr>
                <w:rFonts w:ascii="Arial" w:hAnsi="Arial"/>
                <w:sz w:val="20"/>
                <w:szCs w:val="20"/>
              </w:rPr>
              <w:t xml:space="preserve">e Commission </w:t>
            </w:r>
            <w:r w:rsidRPr="005E2BD3">
              <w:rPr>
                <w:rFonts w:ascii="Arial" w:hAnsi="Arial"/>
                <w:sz w:val="20"/>
                <w:szCs w:val="20"/>
              </w:rPr>
              <w:t xml:space="preserve">has identified a </w:t>
            </w:r>
            <w:r>
              <w:rPr>
                <w:rFonts w:ascii="Arial" w:hAnsi="Arial"/>
                <w:sz w:val="20"/>
                <w:szCs w:val="20"/>
              </w:rPr>
              <w:t>package</w:t>
            </w:r>
            <w:r w:rsidRPr="005E2BD3">
              <w:rPr>
                <w:rFonts w:ascii="Arial" w:hAnsi="Arial"/>
                <w:sz w:val="20"/>
                <w:szCs w:val="20"/>
              </w:rPr>
              <w:t xml:space="preserve"> of reforms that will improve the equity, efficiency and transparency and accountability of the HFE system. Most of these </w:t>
            </w:r>
            <w:r>
              <w:rPr>
                <w:rFonts w:ascii="Arial" w:hAnsi="Arial"/>
                <w:sz w:val="20"/>
                <w:szCs w:val="20"/>
              </w:rPr>
              <w:t xml:space="preserve">improvements </w:t>
            </w:r>
            <w:r w:rsidRPr="005E2BD3">
              <w:rPr>
                <w:rFonts w:ascii="Arial" w:hAnsi="Arial"/>
                <w:sz w:val="20"/>
                <w:szCs w:val="20"/>
              </w:rPr>
              <w:t>can be pursued without delay, including:</w:t>
            </w:r>
          </w:p>
          <w:p w14:paraId="7954ACF9" w14:textId="77777777" w:rsidR="00F05DC7" w:rsidRPr="005E2BD3" w:rsidRDefault="00F05DC7">
            <w:pPr>
              <w:keepNext/>
              <w:numPr>
                <w:ilvl w:val="0"/>
                <w:numId w:val="13"/>
              </w:numPr>
              <w:spacing w:before="100" w:line="240" w:lineRule="atLeast"/>
              <w:ind w:left="568" w:hanging="284"/>
              <w:jc w:val="both"/>
              <w:rPr>
                <w:rFonts w:ascii="Arial" w:hAnsi="Arial"/>
                <w:sz w:val="20"/>
                <w:szCs w:val="20"/>
              </w:rPr>
            </w:pPr>
            <w:r w:rsidRPr="005E2BD3">
              <w:rPr>
                <w:rFonts w:ascii="Arial" w:hAnsi="Arial"/>
                <w:sz w:val="20"/>
                <w:szCs w:val="20"/>
              </w:rPr>
              <w:t>revising the HFE objective to give States the capacity to deliver reasonable service levels</w:t>
            </w:r>
          </w:p>
          <w:p w14:paraId="7954ACFA" w14:textId="77777777" w:rsidR="00F05DC7" w:rsidRPr="005E2BD3" w:rsidRDefault="00F05DC7">
            <w:pPr>
              <w:keepNext/>
              <w:numPr>
                <w:ilvl w:val="0"/>
                <w:numId w:val="13"/>
              </w:numPr>
              <w:spacing w:before="100" w:line="240" w:lineRule="atLeast"/>
              <w:ind w:left="568" w:hanging="284"/>
              <w:jc w:val="both"/>
              <w:rPr>
                <w:rFonts w:ascii="Arial" w:hAnsi="Arial"/>
                <w:sz w:val="20"/>
                <w:szCs w:val="20"/>
              </w:rPr>
            </w:pPr>
            <w:r w:rsidRPr="005E2BD3">
              <w:rPr>
                <w:rFonts w:ascii="Arial" w:hAnsi="Arial"/>
                <w:sz w:val="20"/>
                <w:szCs w:val="20"/>
              </w:rPr>
              <w:t>governance changes to improve the transparency and accountability of the HFE system</w:t>
            </w:r>
          </w:p>
          <w:p w14:paraId="7954ACFB" w14:textId="77777777" w:rsidR="00F05DC7" w:rsidRPr="005E2BD3" w:rsidRDefault="00F05DC7">
            <w:pPr>
              <w:keepNext/>
              <w:numPr>
                <w:ilvl w:val="0"/>
                <w:numId w:val="13"/>
              </w:numPr>
              <w:spacing w:before="100" w:line="240" w:lineRule="atLeast"/>
              <w:ind w:left="568" w:hanging="284"/>
              <w:jc w:val="both"/>
              <w:rPr>
                <w:rFonts w:ascii="Arial" w:hAnsi="Arial"/>
                <w:sz w:val="20"/>
                <w:szCs w:val="20"/>
              </w:rPr>
            </w:pPr>
            <w:r>
              <w:rPr>
                <w:rFonts w:ascii="Arial" w:hAnsi="Arial"/>
                <w:sz w:val="20"/>
                <w:szCs w:val="20"/>
              </w:rPr>
              <w:t>in</w:t>
            </w:r>
            <w:r>
              <w:rPr>
                <w:rFonts w:ascii="Arial" w:hAnsi="Arial"/>
                <w:sz w:val="20"/>
                <w:szCs w:val="20"/>
              </w:rPr>
              <w:noBreakHyphen/>
              <w:t>system</w:t>
            </w:r>
            <w:r w:rsidRPr="005E2BD3">
              <w:rPr>
                <w:rFonts w:ascii="Arial" w:hAnsi="Arial"/>
                <w:sz w:val="20"/>
                <w:szCs w:val="20"/>
              </w:rPr>
              <w:t xml:space="preserve"> changes to achieve simpler and more policy neutral assessments.</w:t>
            </w:r>
            <w:r>
              <w:rPr>
                <w:rFonts w:ascii="Arial" w:hAnsi="Arial"/>
                <w:sz w:val="20"/>
                <w:szCs w:val="20"/>
              </w:rPr>
              <w:t xml:space="preserve"> </w:t>
            </w:r>
          </w:p>
          <w:p w14:paraId="7954ACFC" w14:textId="77777777" w:rsidR="00F05DC7" w:rsidRPr="005E2BD3" w:rsidRDefault="00F05DC7">
            <w:pPr>
              <w:keepNext/>
              <w:numPr>
                <w:ilvl w:val="0"/>
                <w:numId w:val="1"/>
              </w:numPr>
              <w:spacing w:before="100" w:line="240" w:lineRule="atLeast"/>
              <w:jc w:val="both"/>
              <w:rPr>
                <w:rFonts w:ascii="Arial" w:hAnsi="Arial"/>
                <w:sz w:val="20"/>
                <w:szCs w:val="20"/>
              </w:rPr>
            </w:pPr>
            <w:r>
              <w:rPr>
                <w:rFonts w:ascii="Arial" w:hAnsi="Arial"/>
                <w:sz w:val="20"/>
                <w:szCs w:val="20"/>
              </w:rPr>
              <w:t xml:space="preserve">These reforms can only go so far. Equalising to </w:t>
            </w:r>
            <w:r w:rsidRPr="005E2BD3">
              <w:rPr>
                <w:rFonts w:ascii="Arial" w:hAnsi="Arial"/>
                <w:sz w:val="20"/>
                <w:szCs w:val="20"/>
              </w:rPr>
              <w:t>the average fiscal capacity of the States (ETA)</w:t>
            </w:r>
            <w:r>
              <w:rPr>
                <w:rFonts w:ascii="Arial" w:hAnsi="Arial"/>
                <w:sz w:val="20"/>
                <w:szCs w:val="20"/>
              </w:rPr>
              <w:t xml:space="preserve"> would meet the revised objective and provide additional fairness and efficiency gains</w:t>
            </w:r>
            <w:r w:rsidRPr="005E2BD3">
              <w:rPr>
                <w:rFonts w:ascii="Arial" w:hAnsi="Arial"/>
                <w:sz w:val="20"/>
                <w:szCs w:val="20"/>
              </w:rPr>
              <w:t>. This change will require a transition period to ensure that States are able to adjust and manage their budgets,</w:t>
            </w:r>
            <w:r>
              <w:rPr>
                <w:rFonts w:ascii="Arial" w:hAnsi="Arial"/>
                <w:sz w:val="20"/>
                <w:szCs w:val="20"/>
              </w:rPr>
              <w:t xml:space="preserve"> </w:t>
            </w:r>
            <w:r w:rsidRPr="005E2BD3">
              <w:rPr>
                <w:rFonts w:ascii="Arial" w:hAnsi="Arial"/>
                <w:sz w:val="20"/>
                <w:szCs w:val="20"/>
              </w:rPr>
              <w:t xml:space="preserve">while also generating the </w:t>
            </w:r>
            <w:r>
              <w:rPr>
                <w:rFonts w:ascii="Arial" w:hAnsi="Arial"/>
                <w:sz w:val="20"/>
                <w:szCs w:val="20"/>
              </w:rPr>
              <w:t>reform</w:t>
            </w:r>
            <w:r w:rsidRPr="005E2BD3">
              <w:rPr>
                <w:rFonts w:ascii="Arial" w:hAnsi="Arial"/>
                <w:sz w:val="20"/>
                <w:szCs w:val="20"/>
              </w:rPr>
              <w:t xml:space="preserve"> benefits within an acceptable timeframe.</w:t>
            </w:r>
          </w:p>
          <w:p w14:paraId="7954ACFD" w14:textId="77777777" w:rsidR="00F05DC7" w:rsidRDefault="00F05DC7">
            <w:pPr>
              <w:pStyle w:val="BoxListBullet"/>
              <w:spacing w:line="240" w:lineRule="atLeast"/>
            </w:pPr>
            <w:r>
              <w:t xml:space="preserve">The most effective transition approach is one that: enables States to manage their budgets during the current forward estimates period, is fiscally sustainable for all governments and delivers the benefits of reform in a timely manner. </w:t>
            </w:r>
          </w:p>
          <w:p w14:paraId="7954ACFE" w14:textId="77777777" w:rsidR="00F05DC7" w:rsidRDefault="00F05DC7">
            <w:pPr>
              <w:pStyle w:val="BoxListBullet"/>
              <w:spacing w:line="240" w:lineRule="atLeast"/>
            </w:pPr>
            <w:r>
              <w:t xml:space="preserve">Either a four year or eight year transition path is judged to be manageable for the States. A four year transition would deliver the benefits of reform more quickly, but an eight year transition gives States more time to adjust and provides greater latitude to deal with changes in the future fiscal circumstances of the States. Both approaches would be ‘funded’ from within the GST pool. By delaying the full implementation of ETA, both transition paths are effectively funded by the States that stand to benefit the most from the new benchmark. </w:t>
            </w:r>
          </w:p>
          <w:p w14:paraId="7954ACFF" w14:textId="77777777" w:rsidR="00F05DC7" w:rsidRPr="00FF67EF" w:rsidRDefault="00F05DC7">
            <w:pPr>
              <w:pStyle w:val="BoxListBullet"/>
              <w:spacing w:line="240" w:lineRule="atLeast"/>
            </w:pPr>
            <w:r>
              <w:t>Both</w:t>
            </w:r>
            <w:r w:rsidRPr="00FF67EF">
              <w:t xml:space="preserve"> transition path</w:t>
            </w:r>
            <w:r>
              <w:t>s</w:t>
            </w:r>
            <w:r w:rsidRPr="00FF67EF">
              <w:t xml:space="preserve"> would soften any </w:t>
            </w:r>
            <w:r>
              <w:t xml:space="preserve">(negative) </w:t>
            </w:r>
            <w:r w:rsidRPr="00FF67EF">
              <w:t>year</w:t>
            </w:r>
            <w:r>
              <w:t>-</w:t>
            </w:r>
            <w:r w:rsidRPr="00FF67EF">
              <w:t>on</w:t>
            </w:r>
            <w:r>
              <w:t>-</w:t>
            </w:r>
            <w:r w:rsidRPr="00FF67EF">
              <w:t>year impact to less than 1 per cent of State revenue.</w:t>
            </w:r>
          </w:p>
          <w:p w14:paraId="7954AD00" w14:textId="77777777" w:rsidR="00F05DC7" w:rsidRDefault="00F05DC7">
            <w:pPr>
              <w:keepNext/>
              <w:numPr>
                <w:ilvl w:val="0"/>
                <w:numId w:val="1"/>
              </w:numPr>
              <w:spacing w:before="100" w:line="240" w:lineRule="atLeast"/>
              <w:jc w:val="both"/>
              <w:rPr>
                <w:rFonts w:ascii="Arial" w:hAnsi="Arial"/>
                <w:sz w:val="20"/>
                <w:szCs w:val="20"/>
              </w:rPr>
            </w:pPr>
            <w:r w:rsidRPr="005E2BD3">
              <w:rPr>
                <w:rFonts w:ascii="Arial" w:hAnsi="Arial"/>
                <w:sz w:val="20"/>
                <w:szCs w:val="20"/>
              </w:rPr>
              <w:t>There is only so much an improved HFE system can deliver in isolation. The greatest benefits will come from broader reform to federal financial relations</w:t>
            </w:r>
            <w:r>
              <w:rPr>
                <w:rFonts w:ascii="Arial" w:hAnsi="Arial"/>
                <w:sz w:val="20"/>
                <w:szCs w:val="20"/>
              </w:rPr>
              <w:t xml:space="preserve">, addressing </w:t>
            </w:r>
            <w:r w:rsidRPr="001B108F">
              <w:rPr>
                <w:rFonts w:ascii="Arial" w:hAnsi="Arial"/>
                <w:sz w:val="20"/>
                <w:szCs w:val="20"/>
              </w:rPr>
              <w:t xml:space="preserve">the twin accountability issues of vertical fiscal imbalance </w:t>
            </w:r>
            <w:r>
              <w:rPr>
                <w:rFonts w:ascii="Arial" w:hAnsi="Arial"/>
                <w:sz w:val="20"/>
                <w:szCs w:val="20"/>
              </w:rPr>
              <w:t xml:space="preserve">(VFI) </w:t>
            </w:r>
            <w:r w:rsidRPr="001B108F">
              <w:rPr>
                <w:rFonts w:ascii="Arial" w:hAnsi="Arial"/>
                <w:sz w:val="20"/>
                <w:szCs w:val="20"/>
              </w:rPr>
              <w:t>and spending responsibilities</w:t>
            </w:r>
            <w:r w:rsidRPr="004F7AC3">
              <w:rPr>
                <w:rFonts w:ascii="Arial" w:hAnsi="Arial"/>
                <w:sz w:val="20"/>
                <w:szCs w:val="20"/>
              </w:rPr>
              <w:t>.</w:t>
            </w:r>
            <w:r w:rsidRPr="005E2BD3">
              <w:rPr>
                <w:rFonts w:ascii="Arial" w:hAnsi="Arial"/>
                <w:sz w:val="20"/>
                <w:szCs w:val="20"/>
              </w:rPr>
              <w:t xml:space="preserve"> </w:t>
            </w:r>
            <w:r>
              <w:rPr>
                <w:rFonts w:ascii="Arial" w:hAnsi="Arial"/>
                <w:sz w:val="20"/>
                <w:szCs w:val="20"/>
              </w:rPr>
              <w:t xml:space="preserve">This proved the single uniting view shared by States during the course of this inquiry. </w:t>
            </w:r>
          </w:p>
          <w:p w14:paraId="7954AD01" w14:textId="77777777" w:rsidR="00F05DC7" w:rsidRPr="005E2BD3" w:rsidRDefault="00F05DC7">
            <w:pPr>
              <w:keepNext/>
              <w:numPr>
                <w:ilvl w:val="0"/>
                <w:numId w:val="1"/>
              </w:numPr>
              <w:spacing w:before="100" w:line="240" w:lineRule="atLeast"/>
              <w:jc w:val="both"/>
              <w:rPr>
                <w:rFonts w:ascii="Arial" w:hAnsi="Arial"/>
                <w:sz w:val="20"/>
                <w:szCs w:val="20"/>
              </w:rPr>
            </w:pPr>
            <w:r w:rsidRPr="005E2BD3">
              <w:rPr>
                <w:rFonts w:ascii="Arial" w:hAnsi="Arial"/>
                <w:sz w:val="20"/>
                <w:szCs w:val="20"/>
              </w:rPr>
              <w:t xml:space="preserve">Governments should </w:t>
            </w:r>
            <w:r>
              <w:rPr>
                <w:rFonts w:ascii="Arial" w:hAnsi="Arial"/>
                <w:sz w:val="20"/>
                <w:szCs w:val="20"/>
              </w:rPr>
              <w:t>renew their concerted endeavours</w:t>
            </w:r>
            <w:r w:rsidRPr="005E2BD3">
              <w:rPr>
                <w:rFonts w:ascii="Arial" w:hAnsi="Arial"/>
                <w:sz w:val="20"/>
                <w:szCs w:val="20"/>
              </w:rPr>
              <w:t xml:space="preserve"> towards</w:t>
            </w:r>
            <w:r w:rsidRPr="005E2BD3" w:rsidDel="00F86379">
              <w:rPr>
                <w:rFonts w:ascii="Arial" w:hAnsi="Arial"/>
                <w:sz w:val="20"/>
                <w:szCs w:val="20"/>
              </w:rPr>
              <w:t xml:space="preserve"> </w:t>
            </w:r>
            <w:r w:rsidRPr="005E2BD3">
              <w:rPr>
                <w:rFonts w:ascii="Arial" w:hAnsi="Arial"/>
                <w:sz w:val="20"/>
                <w:szCs w:val="20"/>
              </w:rPr>
              <w:t>broader reform to federal financial relations, led by the Council on Federal Financial Relations</w:t>
            </w:r>
            <w:r>
              <w:rPr>
                <w:rFonts w:ascii="Arial" w:hAnsi="Arial"/>
                <w:sz w:val="20"/>
                <w:szCs w:val="20"/>
              </w:rPr>
              <w:t xml:space="preserve"> and with the newly formed Board of Treasurers providing input and assuming a proactive role</w:t>
            </w:r>
            <w:r w:rsidRPr="005E2BD3">
              <w:rPr>
                <w:rFonts w:ascii="Arial" w:hAnsi="Arial"/>
                <w:sz w:val="20"/>
                <w:szCs w:val="20"/>
              </w:rPr>
              <w:t xml:space="preserve">. </w:t>
            </w:r>
          </w:p>
          <w:p w14:paraId="7954AD02" w14:textId="77777777" w:rsidR="00F05DC7" w:rsidRPr="005E2BD3" w:rsidRDefault="00F05DC7">
            <w:pPr>
              <w:keepNext/>
              <w:numPr>
                <w:ilvl w:val="0"/>
                <w:numId w:val="13"/>
              </w:numPr>
              <w:spacing w:before="100" w:line="240" w:lineRule="atLeast"/>
              <w:ind w:left="568" w:hanging="284"/>
              <w:jc w:val="both"/>
              <w:rPr>
                <w:rFonts w:ascii="Arial" w:hAnsi="Arial"/>
                <w:sz w:val="20"/>
                <w:szCs w:val="20"/>
              </w:rPr>
            </w:pPr>
            <w:r w:rsidRPr="005E2BD3">
              <w:rPr>
                <w:rFonts w:ascii="Arial" w:hAnsi="Arial"/>
                <w:sz w:val="20"/>
                <w:szCs w:val="20"/>
              </w:rPr>
              <w:t>As a first step, the reform process should assess how Commonwealth payments to the States — both general revenue assistance and payments for specific purposes — interact.</w:t>
            </w:r>
          </w:p>
          <w:p w14:paraId="7954AD03" w14:textId="77777777" w:rsidR="00F05DC7" w:rsidRDefault="00F05DC7">
            <w:pPr>
              <w:keepNext/>
              <w:numPr>
                <w:ilvl w:val="0"/>
                <w:numId w:val="13"/>
              </w:numPr>
              <w:spacing w:before="100" w:line="240" w:lineRule="atLeast"/>
              <w:ind w:left="568" w:hanging="284"/>
              <w:jc w:val="both"/>
              <w:rPr>
                <w:rFonts w:ascii="Arial" w:hAnsi="Arial"/>
                <w:sz w:val="20"/>
                <w:szCs w:val="20"/>
              </w:rPr>
            </w:pPr>
            <w:r w:rsidRPr="005E2BD3">
              <w:rPr>
                <w:rFonts w:ascii="Arial" w:hAnsi="Arial"/>
                <w:sz w:val="20"/>
                <w:szCs w:val="20"/>
              </w:rPr>
              <w:t>The process should also include consideration of a practical division of responsibilities between the States and the Commonwealth, and accompanying accountability and performance arrangements. Clearly defining responsibilities and establishing accountabilities for Indigenous policy should be given priority.</w:t>
            </w:r>
          </w:p>
          <w:p w14:paraId="7954AD04" w14:textId="77777777" w:rsidR="00F05DC7" w:rsidRPr="004F7AC3" w:rsidRDefault="00F05DC7">
            <w:pPr>
              <w:keepNext/>
              <w:numPr>
                <w:ilvl w:val="0"/>
                <w:numId w:val="13"/>
              </w:numPr>
              <w:spacing w:before="100" w:line="240" w:lineRule="atLeast"/>
              <w:ind w:left="568" w:hanging="284"/>
              <w:jc w:val="both"/>
              <w:rPr>
                <w:rFonts w:ascii="Arial" w:hAnsi="Arial"/>
                <w:sz w:val="20"/>
                <w:szCs w:val="20"/>
              </w:rPr>
            </w:pPr>
            <w:r>
              <w:rPr>
                <w:rFonts w:ascii="Arial" w:hAnsi="Arial"/>
                <w:sz w:val="20"/>
                <w:szCs w:val="20"/>
              </w:rPr>
              <w:t>Following this, options for addressing VFI, and particularly the extent to which these options are able to improve accountability, should be considered and advanced.</w:t>
            </w:r>
          </w:p>
          <w:p w14:paraId="7954AD05" w14:textId="77777777" w:rsidR="00F05DC7" w:rsidRPr="005E2BD3" w:rsidRDefault="00F05DC7">
            <w:pPr>
              <w:keepNext/>
              <w:numPr>
                <w:ilvl w:val="0"/>
                <w:numId w:val="1"/>
              </w:numPr>
              <w:spacing w:before="100" w:line="240" w:lineRule="atLeast"/>
              <w:jc w:val="both"/>
              <w:rPr>
                <w:rFonts w:ascii="Arial" w:hAnsi="Arial"/>
                <w:sz w:val="20"/>
                <w:szCs w:val="20"/>
              </w:rPr>
            </w:pPr>
            <w:r w:rsidRPr="005E2BD3">
              <w:rPr>
                <w:rFonts w:ascii="Arial" w:hAnsi="Arial"/>
                <w:sz w:val="20"/>
                <w:szCs w:val="20"/>
              </w:rPr>
              <w:t xml:space="preserve">If there is sufficient progress towards broader reform </w:t>
            </w:r>
            <w:r>
              <w:rPr>
                <w:rFonts w:ascii="Arial" w:hAnsi="Arial"/>
                <w:sz w:val="20"/>
                <w:szCs w:val="20"/>
              </w:rPr>
              <w:t>(including in relation to VFI)</w:t>
            </w:r>
            <w:r w:rsidRPr="005E2BD3">
              <w:rPr>
                <w:rFonts w:ascii="Arial" w:hAnsi="Arial"/>
                <w:sz w:val="20"/>
                <w:szCs w:val="20"/>
              </w:rPr>
              <w:t xml:space="preserve">, the </w:t>
            </w:r>
            <w:r>
              <w:rPr>
                <w:rFonts w:ascii="Arial" w:hAnsi="Arial"/>
                <w:sz w:val="20"/>
                <w:szCs w:val="20"/>
              </w:rPr>
              <w:t xml:space="preserve">transitional impact on some States could be further reduced. </w:t>
            </w:r>
          </w:p>
        </w:tc>
      </w:tr>
      <w:tr w:rsidR="00F05DC7" w:rsidRPr="005E2BD3" w14:paraId="7954AD08" w14:textId="77777777" w:rsidTr="00A3786D">
        <w:tc>
          <w:tcPr>
            <w:tcW w:w="5000" w:type="pct"/>
            <w:tcBorders>
              <w:top w:val="nil"/>
              <w:left w:val="nil"/>
              <w:bottom w:val="single" w:sz="6" w:space="0" w:color="78A22F"/>
              <w:right w:val="nil"/>
            </w:tcBorders>
            <w:shd w:val="clear" w:color="auto" w:fill="F2F2F2"/>
          </w:tcPr>
          <w:p w14:paraId="7954AD07"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D0A" w14:textId="77777777" w:rsidTr="00A3786D">
        <w:tc>
          <w:tcPr>
            <w:tcW w:w="5000" w:type="pct"/>
            <w:tcBorders>
              <w:top w:val="single" w:sz="6" w:space="0" w:color="78A22F"/>
              <w:left w:val="nil"/>
              <w:bottom w:val="nil"/>
              <w:right w:val="nil"/>
            </w:tcBorders>
          </w:tcPr>
          <w:p w14:paraId="7954AD09" w14:textId="77777777" w:rsidR="00F05DC7" w:rsidRPr="005E2BD3" w:rsidRDefault="00F05DC7" w:rsidP="00A3786D">
            <w:pPr>
              <w:spacing w:before="60" w:after="60" w:line="80" w:lineRule="exact"/>
              <w:jc w:val="both"/>
              <w:rPr>
                <w:rFonts w:ascii="Arial" w:hAnsi="Arial"/>
                <w:sz w:val="14"/>
                <w:szCs w:val="20"/>
              </w:rPr>
            </w:pPr>
          </w:p>
        </w:tc>
      </w:tr>
    </w:tbl>
    <w:p w14:paraId="7954AD0B" w14:textId="77777777" w:rsidR="00F05DC7" w:rsidRPr="005E2BD3" w:rsidRDefault="00F05DC7" w:rsidP="00A3786D">
      <w:pPr>
        <w:spacing w:before="240" w:line="300" w:lineRule="atLeast"/>
        <w:jc w:val="both"/>
        <w:rPr>
          <w:szCs w:val="20"/>
        </w:rPr>
      </w:pPr>
      <w:r w:rsidRPr="005E2BD3">
        <w:rPr>
          <w:szCs w:val="20"/>
        </w:rPr>
        <w:lastRenderedPageBreak/>
        <w:t xml:space="preserve">The </w:t>
      </w:r>
      <w:r>
        <w:t xml:space="preserve">Productivity </w:t>
      </w:r>
      <w:r w:rsidRPr="005E2BD3">
        <w:rPr>
          <w:szCs w:val="20"/>
        </w:rPr>
        <w:t xml:space="preserve">Commission has </w:t>
      </w:r>
      <w:r w:rsidRPr="00C07474">
        <w:t>identified</w:t>
      </w:r>
      <w:r w:rsidRPr="005E2BD3">
        <w:rPr>
          <w:szCs w:val="20"/>
        </w:rPr>
        <w:t xml:space="preserve"> a package of </w:t>
      </w:r>
      <w:r>
        <w:t>changes</w:t>
      </w:r>
      <w:r w:rsidRPr="005E2BD3">
        <w:rPr>
          <w:szCs w:val="20"/>
        </w:rPr>
        <w:t xml:space="preserve"> that are expected to </w:t>
      </w:r>
      <w:r w:rsidRPr="00C07474">
        <w:t>improve</w:t>
      </w:r>
      <w:r w:rsidRPr="005E2BD3">
        <w:rPr>
          <w:szCs w:val="20"/>
        </w:rPr>
        <w:t xml:space="preserve"> the equity, efficiency and transparency and accountability of the HFE system. In particular, it has proposed: </w:t>
      </w:r>
    </w:p>
    <w:p w14:paraId="7954AD0C" w14:textId="77777777" w:rsidR="00F05DC7" w:rsidRPr="005E2BD3" w:rsidRDefault="00F05DC7" w:rsidP="00A3786D">
      <w:pPr>
        <w:numPr>
          <w:ilvl w:val="0"/>
          <w:numId w:val="3"/>
        </w:numPr>
        <w:spacing w:before="120" w:line="300" w:lineRule="atLeast"/>
        <w:jc w:val="both"/>
        <w:rPr>
          <w:szCs w:val="20"/>
        </w:rPr>
      </w:pPr>
      <w:r w:rsidRPr="005E2BD3">
        <w:rPr>
          <w:szCs w:val="20"/>
        </w:rPr>
        <w:t>a change to the objective of HFE — to achieve a better balance between equity and efficiency in the system</w:t>
      </w:r>
      <w:r>
        <w:rPr>
          <w:szCs w:val="20"/>
        </w:rPr>
        <w:t xml:space="preserve"> </w:t>
      </w:r>
      <w:r w:rsidRPr="005E2BD3">
        <w:rPr>
          <w:szCs w:val="20"/>
        </w:rPr>
        <w:t>— as a prerequisite for other reforms (chapter</w:t>
      </w:r>
      <w:r>
        <w:rPr>
          <w:szCs w:val="20"/>
        </w:rPr>
        <w:t> </w:t>
      </w:r>
      <w:r w:rsidRPr="005E2BD3">
        <w:rPr>
          <w:szCs w:val="20"/>
        </w:rPr>
        <w:t>6)</w:t>
      </w:r>
    </w:p>
    <w:p w14:paraId="7954AD0D" w14:textId="77777777" w:rsidR="00F05DC7" w:rsidRPr="005E2BD3" w:rsidRDefault="00F05DC7" w:rsidP="00A3786D">
      <w:pPr>
        <w:numPr>
          <w:ilvl w:val="0"/>
          <w:numId w:val="3"/>
        </w:numPr>
        <w:spacing w:before="120" w:line="300" w:lineRule="atLeast"/>
        <w:jc w:val="both"/>
        <w:rPr>
          <w:szCs w:val="20"/>
        </w:rPr>
      </w:pPr>
      <w:r w:rsidRPr="005E2BD3">
        <w:rPr>
          <w:szCs w:val="20"/>
        </w:rPr>
        <w:t>changes to the way fiscal capacities are assessed, focusing on more simple, aggregated and policy neutral indicators for revenue and expenditure assessments and a significant increase in materiality thresholds (chapter</w:t>
      </w:r>
      <w:r>
        <w:rPr>
          <w:szCs w:val="20"/>
        </w:rPr>
        <w:t> </w:t>
      </w:r>
      <w:r w:rsidRPr="005E2BD3">
        <w:rPr>
          <w:szCs w:val="20"/>
        </w:rPr>
        <w:t>7)</w:t>
      </w:r>
    </w:p>
    <w:p w14:paraId="7954AD0E" w14:textId="77777777" w:rsidR="00F05DC7" w:rsidRPr="005E2BD3" w:rsidRDefault="00F05DC7" w:rsidP="00A3786D">
      <w:pPr>
        <w:numPr>
          <w:ilvl w:val="0"/>
          <w:numId w:val="3"/>
        </w:numPr>
        <w:spacing w:before="120" w:line="300" w:lineRule="atLeast"/>
        <w:jc w:val="both"/>
        <w:rPr>
          <w:szCs w:val="20"/>
        </w:rPr>
      </w:pPr>
      <w:r w:rsidRPr="005E2BD3">
        <w:rPr>
          <w:szCs w:val="20"/>
        </w:rPr>
        <w:t>that the Commonwealth Government — consistent with the revised objective for HFE — adjust the equalisation benchmark t</w:t>
      </w:r>
      <w:r>
        <w:rPr>
          <w:szCs w:val="20"/>
        </w:rPr>
        <w:t>o equalising to the average pre</w:t>
      </w:r>
      <w:r>
        <w:rPr>
          <w:szCs w:val="20"/>
        </w:rPr>
        <w:noBreakHyphen/>
      </w:r>
      <w:r w:rsidRPr="005E2BD3">
        <w:rPr>
          <w:szCs w:val="20"/>
        </w:rPr>
        <w:t>GST fiscal capacity of the States (with any remaining GST distributed on an equal per capita</w:t>
      </w:r>
      <w:r>
        <w:rPr>
          <w:szCs w:val="20"/>
        </w:rPr>
        <w:t xml:space="preserve"> (EPC)</w:t>
      </w:r>
      <w:r w:rsidRPr="005E2BD3">
        <w:rPr>
          <w:szCs w:val="20"/>
        </w:rPr>
        <w:t xml:space="preserve"> basis) (chapter</w:t>
      </w:r>
      <w:r>
        <w:rPr>
          <w:szCs w:val="20"/>
        </w:rPr>
        <w:t> </w:t>
      </w:r>
      <w:r w:rsidRPr="005E2BD3">
        <w:rPr>
          <w:szCs w:val="20"/>
        </w:rPr>
        <w:t xml:space="preserve">8) </w:t>
      </w:r>
    </w:p>
    <w:p w14:paraId="7954AD0F" w14:textId="77777777" w:rsidR="00F05DC7" w:rsidRPr="005E2BD3" w:rsidRDefault="00F05DC7" w:rsidP="00A3786D">
      <w:pPr>
        <w:numPr>
          <w:ilvl w:val="0"/>
          <w:numId w:val="3"/>
        </w:numPr>
        <w:spacing w:before="120" w:line="300" w:lineRule="atLeast"/>
        <w:jc w:val="both"/>
        <w:rPr>
          <w:szCs w:val="20"/>
        </w:rPr>
      </w:pPr>
      <w:r w:rsidRPr="005E2BD3">
        <w:rPr>
          <w:szCs w:val="20"/>
        </w:rPr>
        <w:t xml:space="preserve">complementary reforms to </w:t>
      </w:r>
      <w:r>
        <w:t xml:space="preserve">HFE </w:t>
      </w:r>
      <w:r w:rsidRPr="005E2BD3">
        <w:rPr>
          <w:szCs w:val="20"/>
        </w:rPr>
        <w:t xml:space="preserve">governance to </w:t>
      </w:r>
      <w:r>
        <w:t xml:space="preserve">establish the balance between equity and efficiency in practice, as well as to </w:t>
      </w:r>
      <w:r w:rsidRPr="005E2BD3">
        <w:rPr>
          <w:szCs w:val="20"/>
        </w:rPr>
        <w:t>increase accountability in the system (chapter</w:t>
      </w:r>
      <w:r>
        <w:rPr>
          <w:szCs w:val="20"/>
        </w:rPr>
        <w:t> </w:t>
      </w:r>
      <w:r w:rsidRPr="005E2BD3">
        <w:rPr>
          <w:szCs w:val="20"/>
        </w:rPr>
        <w:t xml:space="preserve">6). </w:t>
      </w:r>
    </w:p>
    <w:p w14:paraId="7954AD10" w14:textId="77777777" w:rsidR="00F05DC7" w:rsidRPr="005E2BD3" w:rsidRDefault="00F05DC7" w:rsidP="00A3786D">
      <w:pPr>
        <w:spacing w:before="240" w:line="300" w:lineRule="atLeast"/>
        <w:jc w:val="both"/>
        <w:rPr>
          <w:szCs w:val="20"/>
        </w:rPr>
      </w:pPr>
      <w:r w:rsidRPr="005E2BD3">
        <w:rPr>
          <w:szCs w:val="20"/>
        </w:rPr>
        <w:t>Most of the</w:t>
      </w:r>
      <w:r>
        <w:rPr>
          <w:szCs w:val="20"/>
        </w:rPr>
        <w:t xml:space="preserve">se improvements are highly desirable (and should be the source of few, if any, serious objections) and </w:t>
      </w:r>
      <w:r w:rsidRPr="005E2BD3">
        <w:rPr>
          <w:szCs w:val="20"/>
        </w:rPr>
        <w:t>can be implemented, or at least progressed, immediately</w:t>
      </w:r>
      <w:r>
        <w:rPr>
          <w:szCs w:val="20"/>
        </w:rPr>
        <w:t>. B</w:t>
      </w:r>
      <w:r w:rsidRPr="005E2BD3">
        <w:rPr>
          <w:szCs w:val="20"/>
        </w:rPr>
        <w:t xml:space="preserve">ut the move to a new equalisation benchmark will need to be phased in over time, to give States </w:t>
      </w:r>
      <w:r>
        <w:rPr>
          <w:szCs w:val="20"/>
        </w:rPr>
        <w:t>sufficient</w:t>
      </w:r>
      <w:r w:rsidRPr="005E2BD3">
        <w:rPr>
          <w:szCs w:val="20"/>
        </w:rPr>
        <w:t xml:space="preserve"> time to adjust to the changes and plan ahead. A set of principles to guide the transition to the new benchmark, along with a proposed transition pathway, are outlined in sections</w:t>
      </w:r>
      <w:r>
        <w:rPr>
          <w:szCs w:val="20"/>
        </w:rPr>
        <w:t> </w:t>
      </w:r>
      <w:r w:rsidRPr="005E2BD3">
        <w:rPr>
          <w:szCs w:val="20"/>
        </w:rPr>
        <w:t>9.1 and 9.2.</w:t>
      </w:r>
    </w:p>
    <w:p w14:paraId="7954AD11" w14:textId="77777777" w:rsidR="00F05DC7" w:rsidRPr="005E2BD3" w:rsidRDefault="00F05DC7" w:rsidP="00A3786D">
      <w:pPr>
        <w:spacing w:before="240" w:line="300" w:lineRule="atLeast"/>
        <w:jc w:val="both"/>
        <w:rPr>
          <w:szCs w:val="20"/>
        </w:rPr>
      </w:pPr>
      <w:r w:rsidRPr="005E2BD3">
        <w:rPr>
          <w:szCs w:val="20"/>
        </w:rPr>
        <w:t>But even with these reforms to the HFE system itself, the greatest benefits are likely to come fro</w:t>
      </w:r>
      <w:r>
        <w:rPr>
          <w:szCs w:val="20"/>
        </w:rPr>
        <w:t xml:space="preserve">m broader reform to federal </w:t>
      </w:r>
      <w:r w:rsidRPr="005E2BD3">
        <w:rPr>
          <w:szCs w:val="20"/>
        </w:rPr>
        <w:t>financial relations, which are needed to holistically address the issues arising from vertical fiscal imbalance</w:t>
      </w:r>
      <w:r>
        <w:rPr>
          <w:szCs w:val="20"/>
        </w:rPr>
        <w:t xml:space="preserve"> (VFI)</w:t>
      </w:r>
      <w:r w:rsidRPr="005E2BD3">
        <w:rPr>
          <w:szCs w:val="20"/>
        </w:rPr>
        <w:t xml:space="preserve"> in Australia. Section</w:t>
      </w:r>
      <w:r>
        <w:rPr>
          <w:szCs w:val="20"/>
        </w:rPr>
        <w:t> </w:t>
      </w:r>
      <w:r w:rsidRPr="005E2BD3">
        <w:rPr>
          <w:szCs w:val="20"/>
        </w:rPr>
        <w:t xml:space="preserve">9.3 outlines a process to commence these broader reforms and identifies areas that could be given priority in the initial stages of the process. </w:t>
      </w:r>
    </w:p>
    <w:p w14:paraId="7954AD12" w14:textId="4E82241C" w:rsidR="00F05DC7" w:rsidRPr="005E2BD3" w:rsidRDefault="00F05DC7" w:rsidP="00247C8B">
      <w:pPr>
        <w:pStyle w:val="Heading2"/>
      </w:pPr>
      <w:r>
        <w:t>9.</w:t>
      </w:r>
      <w:r>
        <w:rPr>
          <w:noProof/>
        </w:rPr>
        <w:t>1</w:t>
      </w:r>
      <w:r w:rsidRPr="005E2BD3">
        <w:tab/>
        <w:t>Transitioning to a new equalisation benchmark</w:t>
      </w:r>
    </w:p>
    <w:p w14:paraId="7954AD13" w14:textId="76429FB0" w:rsidR="00F05DC7" w:rsidRPr="005E2BD3" w:rsidRDefault="00F05DC7" w:rsidP="00A3786D">
      <w:pPr>
        <w:spacing w:before="240" w:line="300" w:lineRule="atLeast"/>
        <w:jc w:val="both"/>
      </w:pPr>
      <w:r w:rsidRPr="005E2BD3">
        <w:rPr>
          <w:szCs w:val="20"/>
        </w:rPr>
        <w:t>Shifting the equalisation benchmark to the average fiscal capacity of all States is expected to deliver equity and efficiency benefits over the longer</w:t>
      </w:r>
      <w:r>
        <w:rPr>
          <w:szCs w:val="20"/>
        </w:rPr>
        <w:t xml:space="preserve"> </w:t>
      </w:r>
      <w:r w:rsidRPr="005E2BD3">
        <w:rPr>
          <w:szCs w:val="20"/>
        </w:rPr>
        <w:t xml:space="preserve">term. It will allow States to retain more of the rewards for their policy efforts and at the same time enable them to provide a reasonable </w:t>
      </w:r>
      <w:r w:rsidR="00BD5FD6">
        <w:rPr>
          <w:szCs w:val="20"/>
        </w:rPr>
        <w:t>standard</w:t>
      </w:r>
      <w:r w:rsidRPr="005E2BD3">
        <w:rPr>
          <w:szCs w:val="20"/>
        </w:rPr>
        <w:t xml:space="preserve"> of services. </w:t>
      </w:r>
      <w:r w:rsidRPr="005E2BD3">
        <w:t>But in the shorter term, some States will need to adjust</w:t>
      </w:r>
      <w:r>
        <w:t xml:space="preserve"> their budgets</w:t>
      </w:r>
      <w:r w:rsidRPr="005E2BD3">
        <w:t xml:space="preserve"> to the change in their GST payments and thus immediate implementation is not feasible. </w:t>
      </w:r>
    </w:p>
    <w:p w14:paraId="7954AD14" w14:textId="7050A635" w:rsidR="00F05DC7" w:rsidRPr="005E2BD3" w:rsidRDefault="00F05DC7" w:rsidP="00A3786D">
      <w:pPr>
        <w:spacing w:before="240" w:line="300" w:lineRule="atLeast"/>
        <w:jc w:val="both"/>
        <w:rPr>
          <w:szCs w:val="20"/>
        </w:rPr>
      </w:pPr>
      <w:r w:rsidRPr="005E2BD3">
        <w:rPr>
          <w:szCs w:val="20"/>
        </w:rPr>
        <w:t xml:space="preserve">A phased approach to implementation would give States time to adjust and is in keeping with previous changes associated with the GST, including when it was first introduced in July 2000. At that time, the Commonwealth Government agreed to provide financial </w:t>
      </w:r>
      <w:r w:rsidRPr="005E2BD3">
        <w:rPr>
          <w:szCs w:val="20"/>
        </w:rPr>
        <w:lastRenderedPageBreak/>
        <w:t>assistance</w:t>
      </w:r>
      <w:r w:rsidRPr="00282527">
        <w:rPr>
          <w:rStyle w:val="FootnoteReference"/>
        </w:rPr>
        <w:footnoteReference w:id="20"/>
      </w:r>
      <w:r w:rsidRPr="005E2BD3">
        <w:rPr>
          <w:szCs w:val="20"/>
        </w:rPr>
        <w:t xml:space="preserve"> to ensure the States would be no worse off during the transition, given they had agreed to abolish certain taxes </w:t>
      </w:r>
      <w:r w:rsidRPr="008328EF">
        <w:t>(ANAO 2005; Australian Government</w:t>
      </w:r>
      <w:r w:rsidRPr="00285005">
        <w:t> 2007)</w:t>
      </w:r>
      <w:r w:rsidRPr="005E2BD3">
        <w:rPr>
          <w:szCs w:val="20"/>
        </w:rPr>
        <w:t>.</w:t>
      </w:r>
    </w:p>
    <w:p w14:paraId="7954AD15" w14:textId="77777777" w:rsidR="00F05DC7" w:rsidRPr="005E2BD3" w:rsidRDefault="00F05DC7" w:rsidP="00A3786D">
      <w:pPr>
        <w:spacing w:before="240" w:line="300" w:lineRule="atLeast"/>
        <w:jc w:val="both"/>
        <w:rPr>
          <w:szCs w:val="20"/>
        </w:rPr>
      </w:pPr>
      <w:r w:rsidRPr="005E2BD3">
        <w:rPr>
          <w:szCs w:val="20"/>
        </w:rPr>
        <w:t xml:space="preserve">A carefully </w:t>
      </w:r>
      <w:r w:rsidRPr="00E5240F">
        <w:rPr>
          <w:szCs w:val="20"/>
        </w:rPr>
        <w:t>timed and implemented</w:t>
      </w:r>
      <w:r w:rsidRPr="005E2BD3">
        <w:rPr>
          <w:szCs w:val="20"/>
        </w:rPr>
        <w:t xml:space="preserve"> transition can help to alleviate any adverse budgetary impacts for States</w:t>
      </w:r>
      <w:r>
        <w:rPr>
          <w:szCs w:val="20"/>
        </w:rPr>
        <w:t xml:space="preserve"> such that any State (especially the fiscally weaker States) is not materially disadvantaged</w:t>
      </w:r>
      <w:r w:rsidRPr="005E2BD3">
        <w:rPr>
          <w:szCs w:val="20"/>
        </w:rPr>
        <w:t>. It can also help to build community acceptance and minimise potential disruption, although some participants, such as the Tasmanian Treasurer (trans. p.</w:t>
      </w:r>
      <w:r>
        <w:rPr>
          <w:szCs w:val="20"/>
        </w:rPr>
        <w:t> </w:t>
      </w:r>
      <w:r w:rsidRPr="005E2BD3">
        <w:rPr>
          <w:szCs w:val="20"/>
        </w:rPr>
        <w:t xml:space="preserve">457), argued that a transition simply delays the full implementation of a policy change they do not support: </w:t>
      </w:r>
    </w:p>
    <w:p w14:paraId="7954AD16" w14:textId="77777777" w:rsidR="00F05DC7" w:rsidRPr="005E2BD3" w:rsidRDefault="00F05DC7" w:rsidP="00A3786D">
      <w:pPr>
        <w:spacing w:before="120" w:line="280" w:lineRule="exact"/>
        <w:ind w:left="340"/>
        <w:jc w:val="both"/>
        <w:rPr>
          <w:sz w:val="22"/>
          <w:szCs w:val="20"/>
        </w:rPr>
      </w:pPr>
      <w:r w:rsidRPr="005E2BD3">
        <w:rPr>
          <w:sz w:val="22"/>
          <w:szCs w:val="20"/>
        </w:rPr>
        <w:t>With the transition part what you’re talking about is the boiling frog. That’s what you’re talking about. That’s exactly what you’re proposing is that with the transition path we won’t lose all of the money upfront, but we will get to a point at some stage where we will – and we will have that embedded moving forward.</w:t>
      </w:r>
    </w:p>
    <w:p w14:paraId="7954AD17" w14:textId="77777777" w:rsidR="00F05DC7" w:rsidRPr="005E2BD3" w:rsidRDefault="00F05DC7" w:rsidP="00A3786D">
      <w:pPr>
        <w:spacing w:before="240" w:line="300" w:lineRule="atLeast"/>
        <w:jc w:val="both"/>
        <w:rPr>
          <w:szCs w:val="20"/>
        </w:rPr>
      </w:pPr>
      <w:r w:rsidRPr="005E2BD3">
        <w:rPr>
          <w:szCs w:val="20"/>
        </w:rPr>
        <w:t>But, as several other participants emphasised, a clearly articulated and transparent transition is needed to provide certainty for the States and allow sufficient time for them to adjust to the fiscal impacts of reform (box 9.1).</w:t>
      </w:r>
    </w:p>
    <w:p w14:paraId="7954AD18" w14:textId="77777777" w:rsidR="00F05DC7" w:rsidRPr="005E2BD3" w:rsidRDefault="00F05DC7" w:rsidP="00A3786D">
      <w:pPr>
        <w:keepNext/>
        <w:spacing w:before="560" w:line="320" w:lineRule="exact"/>
        <w:outlineLvl w:val="2"/>
        <w:rPr>
          <w:rFonts w:ascii="Arial" w:hAnsi="Arial"/>
          <w:b/>
          <w:sz w:val="26"/>
          <w:szCs w:val="20"/>
        </w:rPr>
      </w:pPr>
      <w:r w:rsidRPr="005E2BD3">
        <w:rPr>
          <w:rFonts w:ascii="Arial" w:hAnsi="Arial"/>
          <w:b/>
          <w:sz w:val="26"/>
          <w:szCs w:val="20"/>
        </w:rPr>
        <w:t xml:space="preserve">Principles to guide transition to a new benchmark </w:t>
      </w:r>
    </w:p>
    <w:p w14:paraId="7954AD19" w14:textId="77777777" w:rsidR="00F05DC7" w:rsidRPr="005E2BD3" w:rsidRDefault="00F05DC7" w:rsidP="00A3786D">
      <w:pPr>
        <w:spacing w:before="240" w:line="300" w:lineRule="atLeast"/>
        <w:jc w:val="both"/>
        <w:rPr>
          <w:szCs w:val="20"/>
        </w:rPr>
      </w:pPr>
      <w:r w:rsidRPr="005E2BD3">
        <w:rPr>
          <w:szCs w:val="20"/>
        </w:rPr>
        <w:t>The Commission has identified three principles to guide the transition to the new benchmark. (These principles could apply to the transition to any benchmark). The transition to a new equalisation benchmark should:</w:t>
      </w:r>
    </w:p>
    <w:p w14:paraId="7954AD1A" w14:textId="77777777" w:rsidR="00F05DC7" w:rsidRPr="005E2BD3" w:rsidRDefault="00F05DC7" w:rsidP="00A3786D">
      <w:pPr>
        <w:numPr>
          <w:ilvl w:val="0"/>
          <w:numId w:val="3"/>
        </w:numPr>
        <w:spacing w:before="120" w:line="300" w:lineRule="atLeast"/>
        <w:jc w:val="both"/>
        <w:rPr>
          <w:szCs w:val="20"/>
        </w:rPr>
      </w:pPr>
      <w:r w:rsidRPr="005E2BD3">
        <w:rPr>
          <w:szCs w:val="20"/>
        </w:rPr>
        <w:t xml:space="preserve">be manageable for </w:t>
      </w:r>
      <w:r>
        <w:rPr>
          <w:szCs w:val="20"/>
        </w:rPr>
        <w:t>State budgets</w:t>
      </w:r>
    </w:p>
    <w:p w14:paraId="7954AD1B" w14:textId="77777777" w:rsidR="00F05DC7" w:rsidRPr="005E2BD3" w:rsidRDefault="00F05DC7" w:rsidP="00A3786D">
      <w:pPr>
        <w:numPr>
          <w:ilvl w:val="0"/>
          <w:numId w:val="3"/>
        </w:numPr>
        <w:spacing w:before="120" w:line="300" w:lineRule="atLeast"/>
        <w:jc w:val="both"/>
        <w:rPr>
          <w:szCs w:val="20"/>
        </w:rPr>
      </w:pPr>
      <w:r w:rsidRPr="005E2BD3">
        <w:rPr>
          <w:szCs w:val="20"/>
        </w:rPr>
        <w:t>b</w:t>
      </w:r>
      <w:r>
        <w:rPr>
          <w:szCs w:val="20"/>
        </w:rPr>
        <w:t>e fiscally sustainable for all g</w:t>
      </w:r>
      <w:r w:rsidRPr="005E2BD3">
        <w:rPr>
          <w:szCs w:val="20"/>
        </w:rPr>
        <w:t>overnments</w:t>
      </w:r>
    </w:p>
    <w:p w14:paraId="7954AD1C" w14:textId="77777777" w:rsidR="00F05DC7" w:rsidRPr="005E2BD3" w:rsidRDefault="00F05DC7" w:rsidP="00A3786D">
      <w:pPr>
        <w:numPr>
          <w:ilvl w:val="0"/>
          <w:numId w:val="3"/>
        </w:numPr>
        <w:spacing w:before="120" w:line="300" w:lineRule="atLeast"/>
        <w:jc w:val="both"/>
        <w:rPr>
          <w:szCs w:val="20"/>
        </w:rPr>
      </w:pPr>
      <w:r w:rsidRPr="005E2BD3">
        <w:rPr>
          <w:szCs w:val="20"/>
        </w:rPr>
        <w:t xml:space="preserve">deliver the benefits of reform in a timely manner. </w:t>
      </w:r>
    </w:p>
    <w:p w14:paraId="7954AD1D" w14:textId="77777777" w:rsidR="00F05DC7" w:rsidRPr="005E2BD3" w:rsidRDefault="00F05DC7" w:rsidP="00A3786D">
      <w:pPr>
        <w:keepNext/>
        <w:spacing w:before="480" w:line="320" w:lineRule="exact"/>
        <w:outlineLvl w:val="3"/>
        <w:rPr>
          <w:rFonts w:ascii="Arial" w:hAnsi="Arial"/>
          <w:szCs w:val="20"/>
        </w:rPr>
      </w:pPr>
      <w:r w:rsidRPr="005E2BD3">
        <w:rPr>
          <w:rFonts w:ascii="Arial" w:hAnsi="Arial"/>
          <w:szCs w:val="20"/>
        </w:rPr>
        <w:t xml:space="preserve">The transition should be manageable for the States </w:t>
      </w:r>
    </w:p>
    <w:p w14:paraId="7954AD1E" w14:textId="77777777" w:rsidR="00F05DC7" w:rsidRPr="005E2BD3" w:rsidRDefault="00F05DC7" w:rsidP="00A3786D">
      <w:pPr>
        <w:spacing w:before="240" w:line="300" w:lineRule="atLeast"/>
        <w:jc w:val="both"/>
        <w:rPr>
          <w:szCs w:val="20"/>
        </w:rPr>
      </w:pPr>
      <w:r w:rsidRPr="005E2BD3">
        <w:rPr>
          <w:szCs w:val="20"/>
        </w:rPr>
        <w:t>States ordinarily make expenditure commitments based on their expected revenues and expenditure needs over the forward estimates (the three years following the budget year). And while States are accustomed to managing temporary variations in their budgets (chapter</w:t>
      </w:r>
      <w:r>
        <w:rPr>
          <w:szCs w:val="20"/>
        </w:rPr>
        <w:t> </w:t>
      </w:r>
      <w:r w:rsidRPr="005E2BD3">
        <w:rPr>
          <w:szCs w:val="20"/>
        </w:rPr>
        <w:t>4), a new HFE equalisation benchmark would permanently change the amount of GST revenue States will receive. For States that face a reduction in their GST payments, this could affect their ability to meet budget commitments and provide continuity in the delivery of services in the short term. Further, the tools available to States to manage changes in revenues are different to the tools used to manage temporary fluctuations. Managing a</w:t>
      </w:r>
      <w:r>
        <w:rPr>
          <w:szCs w:val="20"/>
        </w:rPr>
        <w:t xml:space="preserve">n ongoing </w:t>
      </w:r>
      <w:r w:rsidRPr="005E2BD3">
        <w:rPr>
          <w:szCs w:val="20"/>
        </w:rPr>
        <w:t>decrease in revenue requires more lasting solutions.</w:t>
      </w:r>
    </w:p>
    <w:p w14:paraId="7954AD1F" w14:textId="77777777" w:rsidR="00F05DC7" w:rsidRPr="005E2BD3" w:rsidRDefault="00F05DC7" w:rsidP="00A3786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D21" w14:textId="77777777" w:rsidTr="00A3786D">
        <w:trPr>
          <w:tblHeader/>
        </w:trPr>
        <w:tc>
          <w:tcPr>
            <w:tcW w:w="5000" w:type="pct"/>
            <w:tcBorders>
              <w:top w:val="single" w:sz="6" w:space="0" w:color="78A22F"/>
              <w:left w:val="nil"/>
              <w:bottom w:val="nil"/>
              <w:right w:val="nil"/>
            </w:tcBorders>
            <w:shd w:val="clear" w:color="auto" w:fill="F2F2F2"/>
          </w:tcPr>
          <w:p w14:paraId="7954AD20" w14:textId="1C861824" w:rsidR="00F05DC7" w:rsidRPr="005E2BD3" w:rsidRDefault="00F05DC7" w:rsidP="00A3786D">
            <w:pPr>
              <w:keepNext/>
              <w:keepLines/>
              <w:spacing w:before="120" w:line="280" w:lineRule="exact"/>
              <w:ind w:left="1474" w:hanging="1474"/>
              <w:rPr>
                <w:rFonts w:ascii="Arial" w:hAnsi="Arial"/>
                <w:b/>
              </w:rPr>
            </w:pPr>
            <w:r w:rsidRPr="005E2BD3">
              <w:rPr>
                <w:rFonts w:ascii="Arial" w:hAnsi="Arial"/>
              </w:rPr>
              <w:t>Box</w:t>
            </w:r>
            <w:r>
              <w:rPr>
                <w:rFonts w:ascii="Arial" w:hAnsi="Arial"/>
              </w:rPr>
              <w:t> 9.</w:t>
            </w:r>
            <w:r>
              <w:rPr>
                <w:rFonts w:ascii="Arial" w:hAnsi="Arial"/>
                <w:noProof/>
              </w:rPr>
              <w:t>1</w:t>
            </w:r>
            <w:r w:rsidRPr="005E2BD3">
              <w:rPr>
                <w:rFonts w:ascii="Arial" w:hAnsi="Arial"/>
                <w:b/>
              </w:rPr>
              <w:tab/>
              <w:t>Participants’ comments on principles for transition</w:t>
            </w:r>
          </w:p>
        </w:tc>
      </w:tr>
      <w:tr w:rsidR="00F05DC7" w:rsidRPr="005E2BD3" w14:paraId="7954AD2D" w14:textId="77777777" w:rsidTr="00A3786D">
        <w:tc>
          <w:tcPr>
            <w:tcW w:w="5000" w:type="pct"/>
            <w:tcBorders>
              <w:top w:val="nil"/>
              <w:left w:val="nil"/>
              <w:bottom w:val="nil"/>
              <w:right w:val="nil"/>
            </w:tcBorders>
            <w:shd w:val="clear" w:color="auto" w:fill="F2F2F2"/>
          </w:tcPr>
          <w:p w14:paraId="7954AD22"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Several participants commented on the principles that should guide any transition to a new equalisation benchmark.</w:t>
            </w:r>
          </w:p>
          <w:p w14:paraId="7954AD23"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Danae Bosler (trans., p. </w:t>
            </w:r>
            <w:r>
              <w:rPr>
                <w:rFonts w:ascii="Arial" w:hAnsi="Arial"/>
                <w:sz w:val="20"/>
                <w:szCs w:val="20"/>
              </w:rPr>
              <w:t>203</w:t>
            </w:r>
            <w:r w:rsidRPr="005E2BD3">
              <w:rPr>
                <w:rFonts w:ascii="Arial" w:hAnsi="Arial"/>
                <w:sz w:val="20"/>
                <w:szCs w:val="20"/>
              </w:rPr>
              <w:t>) from the Victorian Trades Hall Council emphasised the need to protect services:</w:t>
            </w:r>
          </w:p>
          <w:p w14:paraId="7954AD24"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The normal principles that we would say in any sort of downsizing or cut of public funding, because that’s what it’s going to be, a cut of public funding to Victoria, you have to protect frontline services and you have to protect frontline jobs.</w:t>
            </w:r>
          </w:p>
          <w:p w14:paraId="7954AD25"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The CCIWA (sub. DR86, p. 1) put forward three principles for transition arrangements:</w:t>
            </w:r>
          </w:p>
          <w:p w14:paraId="7954AD26" w14:textId="77777777" w:rsidR="00F05DC7" w:rsidRPr="005E2BD3" w:rsidRDefault="00F05DC7" w:rsidP="00A3786D">
            <w:pPr>
              <w:keepNext/>
              <w:numPr>
                <w:ilvl w:val="0"/>
                <w:numId w:val="12"/>
              </w:numPr>
              <w:spacing w:before="60" w:line="240" w:lineRule="exact"/>
              <w:ind w:left="568" w:hanging="284"/>
              <w:jc w:val="both"/>
              <w:rPr>
                <w:rFonts w:ascii="Arial" w:hAnsi="Arial"/>
                <w:sz w:val="18"/>
                <w:szCs w:val="20"/>
              </w:rPr>
            </w:pPr>
            <w:r w:rsidRPr="005E2BD3">
              <w:rPr>
                <w:rFonts w:ascii="Arial" w:hAnsi="Arial"/>
                <w:sz w:val="18"/>
                <w:szCs w:val="20"/>
              </w:rPr>
              <w:t>Fair — every Australian should continue to expect a high standard of services from their State government</w:t>
            </w:r>
          </w:p>
          <w:p w14:paraId="7954AD27" w14:textId="77777777" w:rsidR="00F05DC7" w:rsidRPr="005E2BD3" w:rsidRDefault="00F05DC7" w:rsidP="00A3786D">
            <w:pPr>
              <w:keepNext/>
              <w:numPr>
                <w:ilvl w:val="0"/>
                <w:numId w:val="12"/>
              </w:numPr>
              <w:spacing w:before="60" w:line="240" w:lineRule="exact"/>
              <w:ind w:left="568" w:hanging="284"/>
              <w:jc w:val="both"/>
              <w:rPr>
                <w:rFonts w:ascii="Arial" w:hAnsi="Arial"/>
                <w:sz w:val="18"/>
                <w:szCs w:val="20"/>
              </w:rPr>
            </w:pPr>
            <w:r w:rsidRPr="005E2BD3">
              <w:rPr>
                <w:rFonts w:ascii="Arial" w:hAnsi="Arial"/>
                <w:sz w:val="18"/>
                <w:szCs w:val="20"/>
              </w:rPr>
              <w:t>Pro</w:t>
            </w:r>
            <w:r>
              <w:rPr>
                <w:rFonts w:ascii="Arial" w:hAnsi="Arial"/>
                <w:sz w:val="18"/>
                <w:szCs w:val="20"/>
              </w:rPr>
              <w:noBreakHyphen/>
            </w:r>
            <w:r w:rsidRPr="005E2BD3">
              <w:rPr>
                <w:rFonts w:ascii="Arial" w:hAnsi="Arial"/>
                <w:sz w:val="18"/>
                <w:szCs w:val="20"/>
              </w:rPr>
              <w:t>growth — States should be rewarded, not punished for growing their own economy</w:t>
            </w:r>
          </w:p>
          <w:p w14:paraId="7954AD28" w14:textId="77777777" w:rsidR="00F05DC7" w:rsidRPr="005E2BD3" w:rsidRDefault="00F05DC7" w:rsidP="00A3786D">
            <w:pPr>
              <w:keepNext/>
              <w:numPr>
                <w:ilvl w:val="0"/>
                <w:numId w:val="12"/>
              </w:numPr>
              <w:spacing w:before="60" w:line="240" w:lineRule="exact"/>
              <w:ind w:left="568" w:hanging="284"/>
              <w:jc w:val="both"/>
              <w:rPr>
                <w:rFonts w:ascii="Arial" w:hAnsi="Arial"/>
                <w:sz w:val="18"/>
                <w:szCs w:val="20"/>
              </w:rPr>
            </w:pPr>
            <w:r w:rsidRPr="005E2BD3">
              <w:rPr>
                <w:rFonts w:ascii="Arial" w:hAnsi="Arial"/>
                <w:sz w:val="18"/>
                <w:szCs w:val="20"/>
              </w:rPr>
              <w:t>Durable — the new distribution method must last and each State should be able to rely on their forward estimates of GST revenue</w:t>
            </w:r>
            <w:r>
              <w:rPr>
                <w:rFonts w:ascii="Arial" w:hAnsi="Arial"/>
                <w:sz w:val="18"/>
                <w:szCs w:val="20"/>
              </w:rPr>
              <w:t>.</w:t>
            </w:r>
          </w:p>
          <w:p w14:paraId="7954AD29"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 xml:space="preserve">The Association of Mining and Exploration Companies (sub. 23, p. 3) argued that the transition should give States time to plan ahead: </w:t>
            </w:r>
          </w:p>
          <w:p w14:paraId="7954AD2A"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Subsequent recommendations should be tied to a realistic and manageable transition period to allow States and Territories to strategically plan and prepare their future Budgets and Forward Estimates with increased certainty and predictability.</w:t>
            </w:r>
          </w:p>
          <w:p w14:paraId="7954AD2B"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WA</w:t>
            </w:r>
            <w:r>
              <w:rPr>
                <w:rFonts w:ascii="Arial" w:hAnsi="Arial"/>
                <w:sz w:val="20"/>
                <w:szCs w:val="20"/>
              </w:rPr>
              <w:t xml:space="preserve"> </w:t>
            </w:r>
            <w:r w:rsidRPr="005E2BD3">
              <w:rPr>
                <w:rFonts w:ascii="Arial" w:hAnsi="Arial"/>
                <w:sz w:val="20"/>
                <w:szCs w:val="20"/>
              </w:rPr>
              <w:t>C</w:t>
            </w:r>
            <w:r>
              <w:rPr>
                <w:rFonts w:ascii="Arial" w:hAnsi="Arial"/>
                <w:sz w:val="20"/>
                <w:szCs w:val="20"/>
              </w:rPr>
              <w:t xml:space="preserve">ouncil of </w:t>
            </w:r>
            <w:r w:rsidRPr="005E2BD3">
              <w:rPr>
                <w:rFonts w:ascii="Arial" w:hAnsi="Arial"/>
                <w:sz w:val="20"/>
                <w:szCs w:val="20"/>
              </w:rPr>
              <w:t>S</w:t>
            </w:r>
            <w:r>
              <w:rPr>
                <w:rFonts w:ascii="Arial" w:hAnsi="Arial"/>
                <w:sz w:val="20"/>
                <w:szCs w:val="20"/>
              </w:rPr>
              <w:t xml:space="preserve">ocial </w:t>
            </w:r>
            <w:r w:rsidRPr="005E2BD3">
              <w:rPr>
                <w:rFonts w:ascii="Arial" w:hAnsi="Arial"/>
                <w:sz w:val="20"/>
                <w:szCs w:val="20"/>
              </w:rPr>
              <w:t>S</w:t>
            </w:r>
            <w:r>
              <w:rPr>
                <w:rFonts w:ascii="Arial" w:hAnsi="Arial"/>
                <w:sz w:val="20"/>
                <w:szCs w:val="20"/>
              </w:rPr>
              <w:t>ervice</w:t>
            </w:r>
            <w:r w:rsidRPr="005E2BD3">
              <w:rPr>
                <w:rFonts w:ascii="Arial" w:hAnsi="Arial"/>
                <w:sz w:val="20"/>
                <w:szCs w:val="20"/>
              </w:rPr>
              <w:t xml:space="preserve"> (sub. DR84, p. 2) supported a gradual change:</w:t>
            </w:r>
          </w:p>
          <w:p w14:paraId="7954AD2C"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 xml:space="preserve">With the different Australian </w:t>
            </w:r>
            <w:r>
              <w:rPr>
                <w:rFonts w:ascii="Arial" w:hAnsi="Arial"/>
                <w:sz w:val="18"/>
                <w:szCs w:val="20"/>
              </w:rPr>
              <w:t>S</w:t>
            </w:r>
            <w:r w:rsidRPr="005E2BD3">
              <w:rPr>
                <w:rFonts w:ascii="Arial" w:hAnsi="Arial"/>
                <w:sz w:val="18"/>
                <w:szCs w:val="20"/>
              </w:rPr>
              <w:t>tates parties to hundreds of service contracts with community sector organisations alone, a sudden shift in the way in which the distribution of the GST is determined could have profound consequences. Any reform to the HFE should be introduced gradually, with top</w:t>
            </w:r>
            <w:r>
              <w:rPr>
                <w:rFonts w:ascii="Arial" w:hAnsi="Arial"/>
                <w:sz w:val="18"/>
                <w:szCs w:val="20"/>
              </w:rPr>
              <w:noBreakHyphen/>
            </w:r>
            <w:r w:rsidRPr="005E2BD3">
              <w:rPr>
                <w:rFonts w:ascii="Arial" w:hAnsi="Arial"/>
                <w:sz w:val="18"/>
                <w:szCs w:val="20"/>
              </w:rPr>
              <w:t>up payments provided for particular states where it is considered necessary and appropriate.</w:t>
            </w:r>
          </w:p>
        </w:tc>
      </w:tr>
      <w:tr w:rsidR="00F05DC7" w:rsidRPr="005E2BD3" w14:paraId="7954AD2F" w14:textId="77777777" w:rsidTr="00A3786D">
        <w:tc>
          <w:tcPr>
            <w:tcW w:w="5000" w:type="pct"/>
            <w:tcBorders>
              <w:top w:val="nil"/>
              <w:left w:val="nil"/>
              <w:bottom w:val="single" w:sz="6" w:space="0" w:color="78A22F"/>
              <w:right w:val="nil"/>
            </w:tcBorders>
            <w:shd w:val="clear" w:color="auto" w:fill="F2F2F2"/>
          </w:tcPr>
          <w:p w14:paraId="7954AD2E"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D31" w14:textId="77777777" w:rsidTr="00A3786D">
        <w:tc>
          <w:tcPr>
            <w:tcW w:w="5000" w:type="pct"/>
            <w:tcBorders>
              <w:top w:val="single" w:sz="6" w:space="0" w:color="78A22F"/>
              <w:left w:val="nil"/>
              <w:bottom w:val="nil"/>
              <w:right w:val="nil"/>
            </w:tcBorders>
          </w:tcPr>
          <w:p w14:paraId="7954AD30" w14:textId="77777777" w:rsidR="00F05DC7" w:rsidRPr="005E2BD3" w:rsidRDefault="00F05DC7" w:rsidP="00A3786D">
            <w:pPr>
              <w:spacing w:before="60" w:after="60" w:line="80" w:lineRule="exact"/>
              <w:jc w:val="both"/>
              <w:rPr>
                <w:rFonts w:ascii="Arial" w:hAnsi="Arial"/>
                <w:sz w:val="14"/>
                <w:szCs w:val="20"/>
              </w:rPr>
            </w:pPr>
          </w:p>
        </w:tc>
      </w:tr>
    </w:tbl>
    <w:p w14:paraId="7954AD32" w14:textId="77777777" w:rsidR="00F05DC7" w:rsidRPr="005E2BD3" w:rsidRDefault="00F05DC7" w:rsidP="00A3786D">
      <w:pPr>
        <w:spacing w:before="240" w:line="300" w:lineRule="atLeast"/>
        <w:jc w:val="both"/>
        <w:rPr>
          <w:szCs w:val="20"/>
        </w:rPr>
      </w:pPr>
      <w:r w:rsidRPr="005E2BD3">
        <w:rPr>
          <w:szCs w:val="20"/>
        </w:rPr>
        <w:t>A transition path should enable States to manage their budgets such that they can provide continuity in the delivery of services during the current forward estimates period and plan for changes over the longer term. In particular, the transition to ETA should be such that any single</w:t>
      </w:r>
      <w:r>
        <w:rPr>
          <w:szCs w:val="20"/>
        </w:rPr>
        <w:noBreakHyphen/>
      </w:r>
      <w:r w:rsidRPr="005E2BD3">
        <w:rPr>
          <w:szCs w:val="20"/>
        </w:rPr>
        <w:t xml:space="preserve">year reduction in GST payments is manageable. </w:t>
      </w:r>
    </w:p>
    <w:p w14:paraId="7954AD33" w14:textId="77777777" w:rsidR="00F05DC7" w:rsidRPr="005E2BD3" w:rsidRDefault="00F05DC7" w:rsidP="00A3786D">
      <w:pPr>
        <w:spacing w:before="240" w:line="300" w:lineRule="atLeast"/>
        <w:jc w:val="both"/>
        <w:rPr>
          <w:szCs w:val="20"/>
        </w:rPr>
      </w:pPr>
      <w:r w:rsidRPr="005E2BD3">
        <w:rPr>
          <w:szCs w:val="20"/>
        </w:rPr>
        <w:t>There is no hard and fast rule that dictates what change in revenue States can reasonably manage, and what is manageable is likely to vary by State depending on circumstances.</w:t>
      </w:r>
      <w:r w:rsidRPr="00391577">
        <w:t xml:space="preserve"> </w:t>
      </w:r>
      <w:r>
        <w:t>As a rule of thumb, the Commission considers States could be expected to manage a reduction in their GST payments (relative to what they expected to receive) of about 2 per cent of their total revenue from one year to the next</w:t>
      </w:r>
      <w:r w:rsidRPr="005E2BD3">
        <w:rPr>
          <w:szCs w:val="20"/>
        </w:rPr>
        <w:t xml:space="preserve"> (box</w:t>
      </w:r>
      <w:r>
        <w:rPr>
          <w:szCs w:val="20"/>
        </w:rPr>
        <w:t> </w:t>
      </w:r>
      <w:r w:rsidRPr="005E2BD3">
        <w:rPr>
          <w:szCs w:val="20"/>
        </w:rPr>
        <w:t xml:space="preserve">9.2). </w:t>
      </w:r>
      <w:r>
        <w:rPr>
          <w:szCs w:val="20"/>
        </w:rPr>
        <w:t>Underpinning this rule</w:t>
      </w:r>
      <w:r>
        <w:rPr>
          <w:szCs w:val="20"/>
        </w:rPr>
        <w:noBreakHyphen/>
        <w:t>of</w:t>
      </w:r>
      <w:r>
        <w:rPr>
          <w:szCs w:val="20"/>
        </w:rPr>
        <w:noBreakHyphen/>
        <w:t>thumb is an expectation that savings or revenue measures incurred in any given year are ‘locked</w:t>
      </w:r>
      <w:r>
        <w:rPr>
          <w:szCs w:val="20"/>
        </w:rPr>
        <w:noBreakHyphen/>
        <w:t>in’ for subsequent years. So if, for example, total revenue was 3 per cent lower than expected after four years, then this reduction could be manageable if the budget adjustments are made over these preceding years</w:t>
      </w:r>
      <w:r w:rsidRPr="005E2BD3">
        <w:rPr>
          <w:szCs w:val="20"/>
        </w:rPr>
        <w:t xml:space="preserve">. </w:t>
      </w:r>
    </w:p>
    <w:p w14:paraId="7954AD34" w14:textId="77777777" w:rsidR="00F05DC7" w:rsidRPr="005E2BD3" w:rsidRDefault="00F05DC7" w:rsidP="00A3786D">
      <w:pPr>
        <w:spacing w:before="240" w:line="300" w:lineRule="atLeast"/>
        <w:jc w:val="both"/>
        <w:rPr>
          <w:szCs w:val="20"/>
        </w:rPr>
      </w:pPr>
      <w:r>
        <w:rPr>
          <w:szCs w:val="20"/>
        </w:rPr>
        <w:t>But non</w:t>
      </w:r>
      <w:r>
        <w:rPr>
          <w:szCs w:val="20"/>
        </w:rPr>
        <w:noBreakHyphen/>
        <w:t>GST revenues can also vary, and t</w:t>
      </w:r>
      <w:r w:rsidRPr="005E2BD3">
        <w:rPr>
          <w:szCs w:val="20"/>
        </w:rPr>
        <w:t>he context of any decrease in GST payments will also be important.</w:t>
      </w:r>
      <w:r>
        <w:rPr>
          <w:szCs w:val="20"/>
        </w:rPr>
        <w:t xml:space="preserve"> F</w:t>
      </w:r>
      <w:r w:rsidRPr="005E2BD3">
        <w:rPr>
          <w:szCs w:val="20"/>
        </w:rPr>
        <w:t>or example,</w:t>
      </w:r>
      <w:r>
        <w:rPr>
          <w:szCs w:val="20"/>
        </w:rPr>
        <w:t xml:space="preserve"> if</w:t>
      </w:r>
      <w:r w:rsidRPr="005E2BD3">
        <w:rPr>
          <w:szCs w:val="20"/>
        </w:rPr>
        <w:t xml:space="preserve"> </w:t>
      </w:r>
      <w:r>
        <w:rPr>
          <w:szCs w:val="20"/>
        </w:rPr>
        <w:t xml:space="preserve">a State’s </w:t>
      </w:r>
      <w:r w:rsidRPr="005E2BD3">
        <w:rPr>
          <w:szCs w:val="20"/>
        </w:rPr>
        <w:t>royalty revenue</w:t>
      </w:r>
      <w:r>
        <w:rPr>
          <w:szCs w:val="20"/>
        </w:rPr>
        <w:t xml:space="preserve"> is higher</w:t>
      </w:r>
      <w:r w:rsidRPr="005E2BD3">
        <w:rPr>
          <w:szCs w:val="20"/>
        </w:rPr>
        <w:t xml:space="preserve"> than expecte</w:t>
      </w:r>
      <w:r>
        <w:rPr>
          <w:szCs w:val="20"/>
        </w:rPr>
        <w:t xml:space="preserve">d, </w:t>
      </w:r>
      <w:r w:rsidRPr="005E2BD3">
        <w:rPr>
          <w:szCs w:val="20"/>
        </w:rPr>
        <w:t>then a change of greater than 2 per cent may be manageable. Alternatively, if other (non</w:t>
      </w:r>
      <w:r>
        <w:rPr>
          <w:szCs w:val="20"/>
        </w:rPr>
        <w:noBreakHyphen/>
      </w:r>
      <w:r w:rsidRPr="005E2BD3">
        <w:rPr>
          <w:szCs w:val="20"/>
        </w:rPr>
        <w:t xml:space="preserve">GST) </w:t>
      </w:r>
      <w:r w:rsidRPr="005E2BD3">
        <w:rPr>
          <w:szCs w:val="20"/>
        </w:rPr>
        <w:lastRenderedPageBreak/>
        <w:t>revenues are also falling then adjusting to a permanent 2</w:t>
      </w:r>
      <w:r>
        <w:rPr>
          <w:szCs w:val="20"/>
        </w:rPr>
        <w:t> </w:t>
      </w:r>
      <w:r w:rsidRPr="005E2BD3">
        <w:rPr>
          <w:szCs w:val="20"/>
        </w:rPr>
        <w:t>per cent reduction in GST payments could be more difficult.</w:t>
      </w:r>
      <w:r>
        <w:rPr>
          <w:szCs w:val="20"/>
        </w:rPr>
        <w:t xml:space="preserve"> </w:t>
      </w:r>
    </w:p>
    <w:p w14:paraId="7954AD35" w14:textId="77777777" w:rsidR="00F05DC7" w:rsidRPr="005E2BD3" w:rsidRDefault="00F05DC7" w:rsidP="00A3786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D37" w14:textId="77777777" w:rsidTr="00A3786D">
        <w:trPr>
          <w:tblHeader/>
        </w:trPr>
        <w:tc>
          <w:tcPr>
            <w:tcW w:w="5000" w:type="pct"/>
            <w:tcBorders>
              <w:top w:val="single" w:sz="6" w:space="0" w:color="78A22F"/>
              <w:left w:val="nil"/>
              <w:bottom w:val="nil"/>
              <w:right w:val="nil"/>
            </w:tcBorders>
            <w:shd w:val="clear" w:color="auto" w:fill="F2F2F2"/>
          </w:tcPr>
          <w:p w14:paraId="7954AD36" w14:textId="177AF2C0" w:rsidR="00F05DC7" w:rsidRPr="005E2BD3" w:rsidRDefault="00F05DC7" w:rsidP="00A3786D">
            <w:pPr>
              <w:keepNext/>
              <w:keepLines/>
              <w:spacing w:before="120" w:line="280" w:lineRule="exact"/>
              <w:ind w:left="1474" w:hanging="1474"/>
              <w:rPr>
                <w:rFonts w:ascii="Arial" w:hAnsi="Arial"/>
                <w:b/>
              </w:rPr>
            </w:pPr>
            <w:r w:rsidRPr="005E2BD3">
              <w:rPr>
                <w:rFonts w:ascii="Arial" w:hAnsi="Arial"/>
              </w:rPr>
              <w:t>Box</w:t>
            </w:r>
            <w:r>
              <w:rPr>
                <w:rFonts w:ascii="Arial" w:hAnsi="Arial"/>
              </w:rPr>
              <w:t> 9.</w:t>
            </w:r>
            <w:r>
              <w:rPr>
                <w:rFonts w:ascii="Arial" w:hAnsi="Arial"/>
                <w:noProof/>
              </w:rPr>
              <w:t>2</w:t>
            </w:r>
            <w:r w:rsidRPr="005E2BD3">
              <w:rPr>
                <w:rFonts w:ascii="Arial" w:hAnsi="Arial"/>
                <w:b/>
              </w:rPr>
              <w:tab/>
              <w:t>What can States reasonably manage?</w:t>
            </w:r>
          </w:p>
        </w:tc>
      </w:tr>
      <w:tr w:rsidR="00F05DC7" w:rsidRPr="005E2BD3" w14:paraId="7954AD40" w14:textId="77777777" w:rsidTr="00A3786D">
        <w:tc>
          <w:tcPr>
            <w:tcW w:w="5000" w:type="pct"/>
            <w:tcBorders>
              <w:top w:val="nil"/>
              <w:left w:val="nil"/>
              <w:bottom w:val="nil"/>
              <w:right w:val="nil"/>
            </w:tcBorders>
            <w:shd w:val="clear" w:color="auto" w:fill="F2F2F2"/>
          </w:tcPr>
          <w:p w14:paraId="7954AD38" w14:textId="3F618E98" w:rsidR="00F05DC7" w:rsidRDefault="00F05DC7" w:rsidP="00A3786D">
            <w:pPr>
              <w:keepNext/>
              <w:spacing w:before="120" w:line="260" w:lineRule="atLeast"/>
              <w:jc w:val="both"/>
              <w:rPr>
                <w:rFonts w:ascii="Arial" w:hAnsi="Arial"/>
                <w:sz w:val="20"/>
                <w:szCs w:val="20"/>
              </w:rPr>
            </w:pPr>
            <w:r w:rsidRPr="005E2BD3">
              <w:rPr>
                <w:rFonts w:ascii="Arial" w:hAnsi="Arial"/>
                <w:sz w:val="20"/>
                <w:szCs w:val="20"/>
              </w:rPr>
              <w:t xml:space="preserve">State Treasuries are accustomed to managing revenue changes and have mechanisms in place to deal with revenue volatility from year to year, along with any forecasting errors </w:t>
            </w:r>
            <w:r>
              <w:rPr>
                <w:rFonts w:ascii="Arial" w:hAnsi="Arial"/>
                <w:sz w:val="20"/>
                <w:szCs w:val="20"/>
              </w:rPr>
              <w:t>that</w:t>
            </w:r>
            <w:r w:rsidRPr="005E2BD3">
              <w:rPr>
                <w:rFonts w:ascii="Arial" w:hAnsi="Arial"/>
                <w:sz w:val="20"/>
                <w:szCs w:val="20"/>
              </w:rPr>
              <w:t xml:space="preserve"> result in actual revenue differing to what was expected (chapter</w:t>
            </w:r>
            <w:r>
              <w:rPr>
                <w:rFonts w:ascii="Arial" w:hAnsi="Arial"/>
                <w:sz w:val="20"/>
                <w:szCs w:val="20"/>
              </w:rPr>
              <w:t> </w:t>
            </w:r>
            <w:r w:rsidRPr="005E2BD3">
              <w:rPr>
                <w:rFonts w:ascii="Arial" w:hAnsi="Arial"/>
                <w:sz w:val="20"/>
                <w:szCs w:val="20"/>
              </w:rPr>
              <w:t xml:space="preserve">4). While much of this volatility </w:t>
            </w:r>
            <w:r>
              <w:rPr>
                <w:rFonts w:ascii="Arial" w:hAnsi="Arial"/>
                <w:sz w:val="20"/>
                <w:szCs w:val="20"/>
              </w:rPr>
              <w:t xml:space="preserve">would likely be in opposing directions over time and thus potentially </w:t>
            </w:r>
            <w:r w:rsidRPr="005E2BD3">
              <w:rPr>
                <w:rFonts w:ascii="Arial" w:hAnsi="Arial"/>
                <w:sz w:val="20"/>
                <w:szCs w:val="20"/>
              </w:rPr>
              <w:t xml:space="preserve">cancel out </w:t>
            </w:r>
            <w:r>
              <w:rPr>
                <w:rFonts w:ascii="Arial" w:hAnsi="Arial"/>
                <w:sz w:val="20"/>
                <w:szCs w:val="20"/>
              </w:rPr>
              <w:t xml:space="preserve">to some extent </w:t>
            </w:r>
            <w:r w:rsidRPr="005E2BD3">
              <w:rPr>
                <w:rFonts w:ascii="Arial" w:hAnsi="Arial"/>
                <w:sz w:val="20"/>
                <w:szCs w:val="20"/>
              </w:rPr>
              <w:t xml:space="preserve">over the economic cycle, from time to time, State Governments </w:t>
            </w:r>
            <w:r>
              <w:rPr>
                <w:rFonts w:ascii="Arial" w:hAnsi="Arial"/>
                <w:sz w:val="20"/>
                <w:szCs w:val="20"/>
              </w:rPr>
              <w:t>‘</w:t>
            </w:r>
            <w:r w:rsidRPr="005E2BD3">
              <w:rPr>
                <w:rFonts w:ascii="Arial" w:hAnsi="Arial"/>
                <w:sz w:val="20"/>
                <w:szCs w:val="20"/>
              </w:rPr>
              <w:t>permanently tighten</w:t>
            </w:r>
            <w:r>
              <w:rPr>
                <w:rFonts w:ascii="Arial" w:hAnsi="Arial"/>
                <w:sz w:val="20"/>
                <w:szCs w:val="20"/>
              </w:rPr>
              <w:t>’</w:t>
            </w:r>
            <w:r w:rsidRPr="005E2BD3">
              <w:rPr>
                <w:rFonts w:ascii="Arial" w:hAnsi="Arial"/>
                <w:sz w:val="20"/>
                <w:szCs w:val="20"/>
              </w:rPr>
              <w:t xml:space="preserve"> their belts</w:t>
            </w:r>
            <w:r>
              <w:rPr>
                <w:rFonts w:ascii="Arial" w:hAnsi="Arial"/>
                <w:sz w:val="20"/>
                <w:szCs w:val="20"/>
              </w:rPr>
              <w:t xml:space="preserve">. In such cases, governments have a range of options </w:t>
            </w:r>
            <w:r w:rsidRPr="00FC768A">
              <w:rPr>
                <w:rFonts w:ascii="Arial" w:hAnsi="Arial" w:cs="Arial"/>
                <w:sz w:val="20"/>
              </w:rPr>
              <w:t>(OECD 2012)</w:t>
            </w:r>
            <w:r>
              <w:rPr>
                <w:rFonts w:ascii="Arial" w:hAnsi="Arial"/>
                <w:sz w:val="20"/>
                <w:szCs w:val="20"/>
              </w:rPr>
              <w:t>, including:</w:t>
            </w:r>
          </w:p>
          <w:p w14:paraId="7954AD39" w14:textId="77777777" w:rsidR="00F05DC7" w:rsidRDefault="00F05DC7" w:rsidP="00A3786D">
            <w:pPr>
              <w:pStyle w:val="BoxListBullet"/>
            </w:pPr>
            <w:r w:rsidRPr="00F13844">
              <w:rPr>
                <w:i/>
              </w:rPr>
              <w:t>top</w:t>
            </w:r>
            <w:r>
              <w:rPr>
                <w:i/>
              </w:rPr>
              <w:noBreakHyphen/>
            </w:r>
            <w:r w:rsidRPr="00F13844">
              <w:rPr>
                <w:i/>
              </w:rPr>
              <w:t>down spending cuts</w:t>
            </w:r>
            <w:r>
              <w:t>, in which the government allocates a reduced budget allocation to its agencies</w:t>
            </w:r>
          </w:p>
          <w:p w14:paraId="7954AD3A" w14:textId="77777777" w:rsidR="00F05DC7" w:rsidRDefault="00F05DC7" w:rsidP="00A3786D">
            <w:pPr>
              <w:pStyle w:val="BoxListBullet"/>
            </w:pPr>
            <w:r w:rsidRPr="00F13844">
              <w:rPr>
                <w:i/>
              </w:rPr>
              <w:t>spending reviews</w:t>
            </w:r>
            <w:r>
              <w:t xml:space="preserve"> to assess the strategic orientation of programs and/or the efficiency of spending</w:t>
            </w:r>
          </w:p>
          <w:p w14:paraId="7954AD3B" w14:textId="77777777" w:rsidR="00F05DC7" w:rsidRDefault="00F05DC7" w:rsidP="00A3786D">
            <w:pPr>
              <w:pStyle w:val="BoxListBullet"/>
            </w:pPr>
            <w:r w:rsidRPr="00F13844">
              <w:rPr>
                <w:i/>
              </w:rPr>
              <w:t>performance budgeting</w:t>
            </w:r>
            <w:r>
              <w:t>, which focuses on how output and outcome information can be used in budgeting for resource allocation</w:t>
            </w:r>
          </w:p>
          <w:p w14:paraId="7954AD3C" w14:textId="77777777" w:rsidR="00F05DC7" w:rsidRPr="00871C99" w:rsidRDefault="00F05DC7" w:rsidP="00A3786D">
            <w:pPr>
              <w:pStyle w:val="BoxListBullet"/>
            </w:pPr>
            <w:r w:rsidRPr="00F13844">
              <w:rPr>
                <w:i/>
              </w:rPr>
              <w:t>automatic productivity cuts or efficiency dividends</w:t>
            </w:r>
            <w:r>
              <w:t xml:space="preserve"> through which </w:t>
            </w:r>
            <w:r w:rsidRPr="00871C99">
              <w:t xml:space="preserve">agencies </w:t>
            </w:r>
            <w:r>
              <w:t xml:space="preserve">are required </w:t>
            </w:r>
            <w:r w:rsidRPr="00871C99">
              <w:t xml:space="preserve">to reduce their operating costs without hampering the services they deliver. </w:t>
            </w:r>
          </w:p>
          <w:p w14:paraId="7954AD3D" w14:textId="4C962CE2" w:rsidR="00F05DC7" w:rsidRPr="005E2BD3" w:rsidRDefault="00F05DC7" w:rsidP="00A3786D">
            <w:pPr>
              <w:keepNext/>
              <w:spacing w:before="120" w:line="260" w:lineRule="atLeast"/>
              <w:jc w:val="both"/>
              <w:rPr>
                <w:rFonts w:ascii="Arial" w:hAnsi="Arial"/>
                <w:sz w:val="20"/>
                <w:szCs w:val="20"/>
              </w:rPr>
            </w:pPr>
            <w:r>
              <w:rPr>
                <w:rFonts w:ascii="Arial" w:hAnsi="Arial"/>
                <w:sz w:val="20"/>
                <w:szCs w:val="20"/>
              </w:rPr>
              <w:t xml:space="preserve">Often, several of these tools may be adopted together. For example, since the late 1980s, both State and </w:t>
            </w:r>
            <w:r w:rsidRPr="005D74F3">
              <w:rPr>
                <w:rFonts w:ascii="Arial" w:hAnsi="Arial" w:cs="Arial"/>
                <w:sz w:val="20"/>
                <w:szCs w:val="20"/>
              </w:rPr>
              <w:t>Commonwealth Governments have used efficiency dividends to control costs in the public sector</w:t>
            </w:r>
            <w:r>
              <w:rPr>
                <w:rFonts w:ascii="Arial" w:hAnsi="Arial" w:cs="Arial"/>
                <w:sz w:val="20"/>
                <w:szCs w:val="20"/>
              </w:rPr>
              <w:t xml:space="preserve"> </w:t>
            </w:r>
            <w:r w:rsidRPr="005D74F3">
              <w:rPr>
                <w:rFonts w:ascii="Arial" w:hAnsi="Arial" w:cs="Arial"/>
                <w:sz w:val="20"/>
                <w:szCs w:val="20"/>
              </w:rPr>
              <w:t>(Horne 2012; Philipatos 2015).The efficiency dividend at the Commonwealth level was 2.5 per cent of operational (running) costs in 2017</w:t>
            </w:r>
            <w:r w:rsidRPr="005D74F3">
              <w:rPr>
                <w:rFonts w:ascii="Arial" w:hAnsi="Arial" w:cs="Arial"/>
                <w:sz w:val="20"/>
                <w:szCs w:val="20"/>
              </w:rPr>
              <w:noBreakHyphen/>
              <w:t>18</w:t>
            </w:r>
            <w:r>
              <w:rPr>
                <w:rFonts w:ascii="Arial" w:hAnsi="Arial" w:cs="Arial"/>
                <w:sz w:val="20"/>
                <w:szCs w:val="20"/>
              </w:rPr>
              <w:t xml:space="preserve"> </w:t>
            </w:r>
            <w:r w:rsidRPr="00AF05FE">
              <w:rPr>
                <w:rFonts w:ascii="Arial" w:hAnsi="Arial" w:cs="Arial"/>
                <w:sz w:val="20"/>
              </w:rPr>
              <w:t>(Hamilton 2017)</w:t>
            </w:r>
            <w:r w:rsidRPr="005D74F3">
              <w:rPr>
                <w:rFonts w:ascii="Arial" w:hAnsi="Arial" w:cs="Arial"/>
                <w:sz w:val="20"/>
                <w:szCs w:val="20"/>
              </w:rPr>
              <w:t>, but has previously been both higher (4</w:t>
            </w:r>
            <w:r>
              <w:rPr>
                <w:rFonts w:ascii="Arial" w:hAnsi="Arial" w:cs="Arial"/>
                <w:sz w:val="20"/>
                <w:szCs w:val="20"/>
              </w:rPr>
              <w:t> </w:t>
            </w:r>
            <w:r w:rsidRPr="005D74F3">
              <w:rPr>
                <w:rFonts w:ascii="Arial" w:hAnsi="Arial" w:cs="Arial"/>
                <w:sz w:val="20"/>
                <w:szCs w:val="20"/>
              </w:rPr>
              <w:t>per cent in 2012</w:t>
            </w:r>
            <w:r>
              <w:rPr>
                <w:rFonts w:ascii="Arial" w:hAnsi="Arial" w:cs="Arial"/>
                <w:sz w:val="20"/>
                <w:szCs w:val="20"/>
              </w:rPr>
              <w:noBreakHyphen/>
            </w:r>
            <w:r w:rsidRPr="005D74F3">
              <w:rPr>
                <w:rFonts w:ascii="Arial" w:hAnsi="Arial" w:cs="Arial"/>
                <w:sz w:val="20"/>
                <w:szCs w:val="20"/>
              </w:rPr>
              <w:t>13) and lower (1</w:t>
            </w:r>
            <w:r>
              <w:rPr>
                <w:rFonts w:ascii="Arial" w:hAnsi="Arial" w:cs="Arial"/>
                <w:sz w:val="20"/>
                <w:szCs w:val="20"/>
              </w:rPr>
              <w:t> </w:t>
            </w:r>
            <w:r w:rsidRPr="005D74F3">
              <w:rPr>
                <w:rFonts w:ascii="Arial" w:hAnsi="Arial" w:cs="Arial"/>
                <w:sz w:val="20"/>
                <w:szCs w:val="20"/>
              </w:rPr>
              <w:t>per cent between 1994 and 2005) (Horne 2012). New South Wales’ efficiency dividend was 1.5 per cent in 2016</w:t>
            </w:r>
            <w:r>
              <w:rPr>
                <w:rFonts w:ascii="Arial" w:hAnsi="Arial" w:cs="Arial"/>
                <w:sz w:val="20"/>
                <w:szCs w:val="20"/>
              </w:rPr>
              <w:noBreakHyphen/>
            </w:r>
            <w:r w:rsidRPr="005D74F3">
              <w:rPr>
                <w:rFonts w:ascii="Arial" w:hAnsi="Arial" w:cs="Arial"/>
                <w:sz w:val="20"/>
                <w:szCs w:val="20"/>
              </w:rPr>
              <w:t>17, rising to 2 per cent for three years from 2018</w:t>
            </w:r>
            <w:r w:rsidRPr="005D74F3">
              <w:rPr>
                <w:rFonts w:ascii="Arial" w:hAnsi="Arial" w:cs="Arial"/>
                <w:sz w:val="20"/>
                <w:szCs w:val="20"/>
              </w:rPr>
              <w:noBreakHyphen/>
              <w:t xml:space="preserve">19, </w:t>
            </w:r>
            <w:r>
              <w:rPr>
                <w:rFonts w:ascii="Arial" w:hAnsi="Arial" w:cs="Arial"/>
                <w:sz w:val="20"/>
                <w:szCs w:val="20"/>
              </w:rPr>
              <w:t>while the Northern Territory had</w:t>
            </w:r>
            <w:r w:rsidRPr="005D74F3">
              <w:rPr>
                <w:rFonts w:ascii="Arial" w:hAnsi="Arial" w:cs="Arial"/>
                <w:sz w:val="20"/>
                <w:szCs w:val="20"/>
              </w:rPr>
              <w:t xml:space="preserve"> a 3</w:t>
            </w:r>
            <w:r>
              <w:rPr>
                <w:rFonts w:ascii="Arial" w:hAnsi="Arial" w:cs="Arial"/>
                <w:sz w:val="20"/>
                <w:szCs w:val="20"/>
              </w:rPr>
              <w:t> </w:t>
            </w:r>
            <w:r w:rsidRPr="005D74F3">
              <w:rPr>
                <w:rFonts w:ascii="Arial" w:hAnsi="Arial" w:cs="Arial"/>
                <w:sz w:val="20"/>
                <w:szCs w:val="20"/>
              </w:rPr>
              <w:t>per cent efficiency dividend in 2017</w:t>
            </w:r>
            <w:r w:rsidRPr="005D74F3">
              <w:rPr>
                <w:rFonts w:ascii="Arial" w:hAnsi="Arial" w:cs="Arial"/>
                <w:sz w:val="20"/>
                <w:szCs w:val="20"/>
              </w:rPr>
              <w:noBreakHyphen/>
              <w:t>18, reducing to 1</w:t>
            </w:r>
            <w:r>
              <w:rPr>
                <w:rFonts w:ascii="Arial" w:hAnsi="Arial" w:cs="Arial"/>
                <w:sz w:val="20"/>
                <w:szCs w:val="20"/>
              </w:rPr>
              <w:t> </w:t>
            </w:r>
            <w:r w:rsidRPr="005D74F3">
              <w:rPr>
                <w:rFonts w:ascii="Arial" w:hAnsi="Arial" w:cs="Arial"/>
                <w:sz w:val="20"/>
                <w:szCs w:val="20"/>
              </w:rPr>
              <w:t>per cent from 2020</w:t>
            </w:r>
            <w:r>
              <w:rPr>
                <w:rFonts w:ascii="Arial" w:hAnsi="Arial" w:cs="Arial"/>
                <w:sz w:val="20"/>
                <w:szCs w:val="20"/>
              </w:rPr>
              <w:noBreakHyphen/>
            </w:r>
            <w:r w:rsidRPr="005D74F3">
              <w:rPr>
                <w:rFonts w:ascii="Arial" w:hAnsi="Arial" w:cs="Arial"/>
                <w:sz w:val="20"/>
                <w:szCs w:val="20"/>
              </w:rPr>
              <w:t xml:space="preserve">21 </w:t>
            </w:r>
            <w:r w:rsidRPr="004661FD">
              <w:rPr>
                <w:rFonts w:ascii="Arial" w:hAnsi="Arial" w:cs="Arial"/>
                <w:sz w:val="20"/>
              </w:rPr>
              <w:t>(NSW Government 2017; NT Government 2017)</w:t>
            </w:r>
            <w:r w:rsidRPr="005D74F3">
              <w:rPr>
                <w:rFonts w:ascii="Arial" w:hAnsi="Arial" w:cs="Arial"/>
                <w:sz w:val="20"/>
                <w:szCs w:val="20"/>
              </w:rPr>
              <w:t>.</w:t>
            </w:r>
            <w:r w:rsidRPr="005E2BD3">
              <w:rPr>
                <w:rFonts w:ascii="Arial" w:hAnsi="Arial"/>
                <w:sz w:val="20"/>
                <w:szCs w:val="20"/>
              </w:rPr>
              <w:t xml:space="preserve"> </w:t>
            </w:r>
          </w:p>
          <w:p w14:paraId="7954AD3E" w14:textId="24E0A106" w:rsidR="00F05DC7" w:rsidRDefault="00F05DC7" w:rsidP="00A3786D">
            <w:pPr>
              <w:keepNext/>
              <w:spacing w:before="120" w:line="260" w:lineRule="atLeast"/>
              <w:jc w:val="both"/>
              <w:rPr>
                <w:rFonts w:ascii="Arial" w:hAnsi="Arial"/>
                <w:sz w:val="20"/>
                <w:szCs w:val="20"/>
              </w:rPr>
            </w:pPr>
            <w:r>
              <w:rPr>
                <w:rFonts w:ascii="Arial" w:hAnsi="Arial"/>
                <w:sz w:val="20"/>
                <w:szCs w:val="20"/>
              </w:rPr>
              <w:t>Governments also take a more targeted approach to reducing spending. For example, in its 2017</w:t>
            </w:r>
            <w:r>
              <w:rPr>
                <w:rFonts w:ascii="Arial" w:hAnsi="Arial"/>
                <w:sz w:val="20"/>
                <w:szCs w:val="20"/>
              </w:rPr>
              <w:noBreakHyphen/>
              <w:t>18 Budget, the NSW Government announced savings from the New Home and First Home Owner Grants programs, changed its approach to procurement to create efficiencies and identified agency</w:t>
            </w:r>
            <w:r>
              <w:rPr>
                <w:rFonts w:ascii="Arial" w:hAnsi="Arial"/>
                <w:sz w:val="20"/>
                <w:szCs w:val="20"/>
              </w:rPr>
              <w:noBreakHyphen/>
              <w:t>specific areas where further savings could be sought. These savings, in combination with the efficiency dividend and other announcements made since 2011</w:t>
            </w:r>
            <w:r>
              <w:rPr>
                <w:rFonts w:ascii="Arial" w:hAnsi="Arial"/>
                <w:sz w:val="20"/>
                <w:szCs w:val="20"/>
              </w:rPr>
              <w:noBreakHyphen/>
              <w:t>12, will result in whole</w:t>
            </w:r>
            <w:r>
              <w:rPr>
                <w:rFonts w:ascii="Arial" w:hAnsi="Arial"/>
                <w:sz w:val="20"/>
                <w:szCs w:val="20"/>
              </w:rPr>
              <w:noBreakHyphen/>
              <w:t>of</w:t>
            </w:r>
            <w:r>
              <w:rPr>
                <w:rFonts w:ascii="Arial" w:hAnsi="Arial"/>
                <w:sz w:val="20"/>
                <w:szCs w:val="20"/>
              </w:rPr>
              <w:noBreakHyphen/>
              <w:t>government efficiencies and savings of $28.1 billion between 2016</w:t>
            </w:r>
            <w:r>
              <w:rPr>
                <w:rFonts w:ascii="Arial" w:hAnsi="Arial"/>
                <w:sz w:val="20"/>
                <w:szCs w:val="20"/>
              </w:rPr>
              <w:noBreakHyphen/>
              <w:t>17 and 2020</w:t>
            </w:r>
            <w:r>
              <w:rPr>
                <w:rFonts w:ascii="Arial" w:hAnsi="Arial"/>
                <w:sz w:val="20"/>
                <w:szCs w:val="20"/>
              </w:rPr>
              <w:noBreakHyphen/>
              <w:t xml:space="preserve">21 (or about 2.5 per cent of general government revenue over the same period) </w:t>
            </w:r>
            <w:r w:rsidRPr="00492FF5">
              <w:rPr>
                <w:rFonts w:ascii="Arial" w:hAnsi="Arial" w:cs="Arial"/>
                <w:sz w:val="20"/>
              </w:rPr>
              <w:t>(NSW Government 2017)</w:t>
            </w:r>
            <w:r>
              <w:rPr>
                <w:rFonts w:ascii="Arial" w:hAnsi="Arial"/>
                <w:sz w:val="20"/>
                <w:szCs w:val="20"/>
              </w:rPr>
              <w:t xml:space="preserve">. </w:t>
            </w:r>
          </w:p>
          <w:p w14:paraId="7954AD3F"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 xml:space="preserve">Because </w:t>
            </w:r>
            <w:r>
              <w:rPr>
                <w:rFonts w:ascii="Arial" w:hAnsi="Arial"/>
                <w:sz w:val="20"/>
                <w:szCs w:val="20"/>
              </w:rPr>
              <w:t xml:space="preserve">these approaches </w:t>
            </w:r>
            <w:r w:rsidRPr="005E2BD3">
              <w:rPr>
                <w:rFonts w:ascii="Arial" w:hAnsi="Arial"/>
                <w:sz w:val="20"/>
                <w:szCs w:val="20"/>
              </w:rPr>
              <w:t xml:space="preserve">result in a permanent reduction in resources, they are somewhat akin to what a State may experience under the new equalisation benchmark. </w:t>
            </w:r>
          </w:p>
        </w:tc>
      </w:tr>
      <w:tr w:rsidR="00F05DC7" w:rsidRPr="005E2BD3" w14:paraId="7954AD42" w14:textId="77777777" w:rsidTr="00A3786D">
        <w:tc>
          <w:tcPr>
            <w:tcW w:w="5000" w:type="pct"/>
            <w:tcBorders>
              <w:top w:val="nil"/>
              <w:left w:val="nil"/>
              <w:bottom w:val="single" w:sz="6" w:space="0" w:color="78A22F"/>
              <w:right w:val="nil"/>
            </w:tcBorders>
            <w:shd w:val="clear" w:color="auto" w:fill="F2F2F2"/>
          </w:tcPr>
          <w:p w14:paraId="7954AD41"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D44" w14:textId="77777777" w:rsidTr="00A3786D">
        <w:tc>
          <w:tcPr>
            <w:tcW w:w="5000" w:type="pct"/>
            <w:tcBorders>
              <w:top w:val="single" w:sz="6" w:space="0" w:color="78A22F"/>
              <w:left w:val="nil"/>
              <w:bottom w:val="nil"/>
              <w:right w:val="nil"/>
            </w:tcBorders>
          </w:tcPr>
          <w:p w14:paraId="7954AD43" w14:textId="77777777" w:rsidR="00F05DC7" w:rsidRPr="005E2BD3" w:rsidRDefault="00F05DC7" w:rsidP="00A3786D">
            <w:pPr>
              <w:spacing w:before="60" w:after="60" w:line="80" w:lineRule="exact"/>
              <w:jc w:val="both"/>
              <w:rPr>
                <w:rFonts w:ascii="Arial" w:hAnsi="Arial"/>
                <w:sz w:val="14"/>
                <w:szCs w:val="20"/>
              </w:rPr>
            </w:pPr>
          </w:p>
        </w:tc>
      </w:tr>
    </w:tbl>
    <w:p w14:paraId="7954AD45" w14:textId="77777777" w:rsidR="00F05DC7" w:rsidRPr="005E2BD3" w:rsidRDefault="00F05DC7" w:rsidP="00A3786D">
      <w:pPr>
        <w:keepNext/>
        <w:spacing w:before="480" w:line="320" w:lineRule="exact"/>
        <w:outlineLvl w:val="3"/>
        <w:rPr>
          <w:rFonts w:ascii="Arial" w:hAnsi="Arial"/>
          <w:szCs w:val="20"/>
        </w:rPr>
      </w:pPr>
      <w:r w:rsidRPr="005E2BD3">
        <w:rPr>
          <w:rFonts w:ascii="Arial" w:hAnsi="Arial"/>
          <w:szCs w:val="20"/>
        </w:rPr>
        <w:t>The transition should b</w:t>
      </w:r>
      <w:r>
        <w:rPr>
          <w:rFonts w:ascii="Arial" w:hAnsi="Arial"/>
          <w:szCs w:val="20"/>
        </w:rPr>
        <w:t>e fiscally sustainable for all g</w:t>
      </w:r>
      <w:r w:rsidRPr="005E2BD3">
        <w:rPr>
          <w:rFonts w:ascii="Arial" w:hAnsi="Arial"/>
          <w:szCs w:val="20"/>
        </w:rPr>
        <w:t xml:space="preserve">overnments </w:t>
      </w:r>
    </w:p>
    <w:p w14:paraId="7954AD46" w14:textId="77777777" w:rsidR="00F05DC7" w:rsidRPr="005E2BD3" w:rsidRDefault="00F05DC7" w:rsidP="00A3786D">
      <w:pPr>
        <w:spacing w:before="240" w:line="300" w:lineRule="atLeast"/>
        <w:jc w:val="both"/>
        <w:rPr>
          <w:rFonts w:ascii="Arial" w:hAnsi="Arial"/>
          <w:b/>
          <w:sz w:val="26"/>
        </w:rPr>
      </w:pPr>
      <w:r w:rsidRPr="005E2BD3">
        <w:rPr>
          <w:szCs w:val="20"/>
        </w:rPr>
        <w:t xml:space="preserve">The transition path should be fiscally sustainable for both the States and the Commonwealth Government. The most sustainable approach </w:t>
      </w:r>
      <w:r>
        <w:rPr>
          <w:szCs w:val="20"/>
        </w:rPr>
        <w:t xml:space="preserve">(given the current fiscal position of the Commonwealth Government) </w:t>
      </w:r>
      <w:r w:rsidRPr="005E2BD3">
        <w:rPr>
          <w:szCs w:val="20"/>
        </w:rPr>
        <w:t xml:space="preserve">is for the transition to be funded through the GST pool, rather than from sources outside the pool, such as other Commonwealth payments. Should funding </w:t>
      </w:r>
      <w:r w:rsidRPr="005E2BD3">
        <w:rPr>
          <w:szCs w:val="20"/>
        </w:rPr>
        <w:lastRenderedPageBreak/>
        <w:t xml:space="preserve">from outside the pool be provided to alleviate any adverse budgetary impacts </w:t>
      </w:r>
      <w:r>
        <w:rPr>
          <w:szCs w:val="20"/>
        </w:rPr>
        <w:t xml:space="preserve">(akin to the ‘Guaranteed Minimum Amount’ in 2000) </w:t>
      </w:r>
      <w:r w:rsidRPr="005E2BD3">
        <w:rPr>
          <w:szCs w:val="20"/>
        </w:rPr>
        <w:t>it should</w:t>
      </w:r>
      <w:r>
        <w:rPr>
          <w:szCs w:val="20"/>
        </w:rPr>
        <w:t xml:space="preserve"> be only contemplated in the context of securing broader federal financial reform. And even then it would also need to</w:t>
      </w:r>
      <w:r w:rsidRPr="005E2BD3">
        <w:rPr>
          <w:szCs w:val="20"/>
        </w:rPr>
        <w:t>:</w:t>
      </w:r>
    </w:p>
    <w:p w14:paraId="7954AD47" w14:textId="77777777" w:rsidR="00F05DC7" w:rsidRPr="005E2BD3" w:rsidRDefault="00F05DC7" w:rsidP="00A3786D">
      <w:pPr>
        <w:numPr>
          <w:ilvl w:val="0"/>
          <w:numId w:val="3"/>
        </w:numPr>
        <w:spacing w:before="120" w:line="300" w:lineRule="atLeast"/>
        <w:jc w:val="both"/>
        <w:rPr>
          <w:szCs w:val="20"/>
        </w:rPr>
      </w:pPr>
      <w:r w:rsidRPr="005E2BD3">
        <w:rPr>
          <w:szCs w:val="20"/>
        </w:rPr>
        <w:t>be for a limited time only, clearly specified at the commencement of the transition</w:t>
      </w:r>
    </w:p>
    <w:p w14:paraId="7954AD48" w14:textId="77777777" w:rsidR="00F05DC7" w:rsidRPr="005E2BD3" w:rsidRDefault="00F05DC7" w:rsidP="00A3786D">
      <w:pPr>
        <w:numPr>
          <w:ilvl w:val="0"/>
          <w:numId w:val="3"/>
        </w:numPr>
        <w:spacing w:before="120" w:line="300" w:lineRule="atLeast"/>
        <w:jc w:val="both"/>
        <w:rPr>
          <w:szCs w:val="20"/>
        </w:rPr>
      </w:pPr>
      <w:r w:rsidRPr="005E2BD3">
        <w:rPr>
          <w:szCs w:val="20"/>
        </w:rPr>
        <w:t xml:space="preserve">have </w:t>
      </w:r>
      <w:r>
        <w:rPr>
          <w:szCs w:val="20"/>
        </w:rPr>
        <w:t>clear</w:t>
      </w:r>
      <w:r w:rsidRPr="005E2BD3">
        <w:rPr>
          <w:szCs w:val="20"/>
        </w:rPr>
        <w:t xml:space="preserve"> limits set around the magnitude of any funding, including specifying that assistance will only be provided if the change in total revenue exceeds a</w:t>
      </w:r>
      <w:r>
        <w:rPr>
          <w:szCs w:val="20"/>
        </w:rPr>
        <w:t>n agreed</w:t>
      </w:r>
      <w:r w:rsidRPr="005E2BD3">
        <w:rPr>
          <w:szCs w:val="20"/>
        </w:rPr>
        <w:t xml:space="preserve"> revenue variation threshold that States typically experience and manage (such as 2 per cent)</w:t>
      </w:r>
    </w:p>
    <w:p w14:paraId="7954AD49" w14:textId="77777777" w:rsidR="00F05DC7" w:rsidRPr="002328B4" w:rsidRDefault="00F05DC7" w:rsidP="00A3786D">
      <w:pPr>
        <w:numPr>
          <w:ilvl w:val="0"/>
          <w:numId w:val="3"/>
        </w:numPr>
        <w:spacing w:before="120" w:line="300" w:lineRule="atLeast"/>
        <w:jc w:val="both"/>
        <w:rPr>
          <w:b/>
          <w:szCs w:val="20"/>
        </w:rPr>
      </w:pPr>
      <w:r w:rsidRPr="005E2BD3">
        <w:rPr>
          <w:szCs w:val="20"/>
        </w:rPr>
        <w:t>be carefully considered in the context of broader expenditure priorities or intergovernmental funding arrangements.</w:t>
      </w:r>
    </w:p>
    <w:p w14:paraId="7954AD4A" w14:textId="77777777" w:rsidR="00F05DC7" w:rsidRPr="005E2BD3" w:rsidRDefault="00F05DC7" w:rsidP="00A3786D">
      <w:pPr>
        <w:pStyle w:val="Heading4"/>
      </w:pPr>
      <w:r w:rsidRPr="005E2BD3">
        <w:t>The benefits of reform should be delivered in a timely manner</w:t>
      </w:r>
    </w:p>
    <w:p w14:paraId="7954AD4B" w14:textId="77777777" w:rsidR="00F05DC7" w:rsidRPr="005E2BD3" w:rsidRDefault="00F05DC7" w:rsidP="00A3786D">
      <w:pPr>
        <w:pStyle w:val="BodyText"/>
      </w:pPr>
      <w:r w:rsidRPr="005E2BD3">
        <w:t>Moving to an equalisation benchmark of the average fiscal capacity of all States is expected to result in long</w:t>
      </w:r>
      <w:r w:rsidRPr="005E2BD3">
        <w:noBreakHyphen/>
        <w:t xml:space="preserve">term efficiency and equity benefits. As such, while a </w:t>
      </w:r>
      <w:r>
        <w:t>lengthy</w:t>
      </w:r>
      <w:r w:rsidRPr="005E2BD3">
        <w:t xml:space="preserve"> transition path would </w:t>
      </w:r>
      <w:r>
        <w:t>benefit</w:t>
      </w:r>
      <w:r w:rsidRPr="005E2BD3">
        <w:t xml:space="preserve"> </w:t>
      </w:r>
      <w:r>
        <w:t xml:space="preserve">some </w:t>
      </w:r>
      <w:r w:rsidRPr="005E2BD3">
        <w:t xml:space="preserve">States, there are potential costs involved from deferring full implementation of the new benchmark. The transition </w:t>
      </w:r>
      <w:r>
        <w:t>needs to</w:t>
      </w:r>
      <w:r w:rsidRPr="005E2BD3">
        <w:t xml:space="preserve"> strike a balance between assisting States </w:t>
      </w:r>
      <w:r>
        <w:t xml:space="preserve">to manage a change in their GST payments </w:t>
      </w:r>
      <w:r w:rsidRPr="005E2BD3">
        <w:t>and capturing the benefits from reform.</w:t>
      </w:r>
    </w:p>
    <w:p w14:paraId="7954AD4C" w14:textId="70509209" w:rsidR="00F05DC7" w:rsidRPr="005E2BD3" w:rsidRDefault="00F05DC7" w:rsidP="00247C8B">
      <w:pPr>
        <w:pStyle w:val="Heading2"/>
      </w:pPr>
      <w:r>
        <w:t>9.</w:t>
      </w:r>
      <w:r>
        <w:rPr>
          <w:noProof/>
        </w:rPr>
        <w:t>2</w:t>
      </w:r>
      <w:r w:rsidRPr="005E2BD3">
        <w:tab/>
        <w:t>Choosing an appropriate transition period</w:t>
      </w:r>
    </w:p>
    <w:p w14:paraId="7954AD4D" w14:textId="77777777" w:rsidR="00F05DC7" w:rsidRDefault="00F05DC7" w:rsidP="00A3786D">
      <w:pPr>
        <w:spacing w:before="240" w:line="300" w:lineRule="atLeast"/>
        <w:jc w:val="both"/>
        <w:rPr>
          <w:szCs w:val="20"/>
        </w:rPr>
      </w:pPr>
      <w:r w:rsidRPr="005E2BD3">
        <w:rPr>
          <w:szCs w:val="20"/>
        </w:rPr>
        <w:t>The Commission has assessed two possible transition periods, both beginning in 2019</w:t>
      </w:r>
      <w:r>
        <w:rPr>
          <w:szCs w:val="20"/>
        </w:rPr>
        <w:noBreakHyphen/>
      </w:r>
      <w:r w:rsidRPr="005E2BD3">
        <w:rPr>
          <w:szCs w:val="20"/>
        </w:rPr>
        <w:t>20 — a four year transition and an eight year transition (figure</w:t>
      </w:r>
      <w:r>
        <w:rPr>
          <w:szCs w:val="20"/>
        </w:rPr>
        <w:t> </w:t>
      </w:r>
      <w:r w:rsidRPr="005E2BD3">
        <w:rPr>
          <w:szCs w:val="20"/>
        </w:rPr>
        <w:t>9.1). Under both options, GST relativities are calculated using a weighted average of the relativities that would apply under the current approach and ETA, with the weight on ETA increased by 25</w:t>
      </w:r>
      <w:r>
        <w:rPr>
          <w:szCs w:val="20"/>
        </w:rPr>
        <w:t> </w:t>
      </w:r>
      <w:r w:rsidRPr="005E2BD3">
        <w:rPr>
          <w:szCs w:val="20"/>
        </w:rPr>
        <w:t>percentage points per year until 2022</w:t>
      </w:r>
      <w:r>
        <w:rPr>
          <w:szCs w:val="20"/>
        </w:rPr>
        <w:noBreakHyphen/>
      </w:r>
      <w:r w:rsidRPr="005E2BD3">
        <w:rPr>
          <w:szCs w:val="20"/>
        </w:rPr>
        <w:t>23 (for the four year transition), and by 12.5</w:t>
      </w:r>
      <w:r>
        <w:rPr>
          <w:szCs w:val="20"/>
        </w:rPr>
        <w:t> </w:t>
      </w:r>
      <w:r w:rsidRPr="005E2BD3">
        <w:rPr>
          <w:szCs w:val="20"/>
        </w:rPr>
        <w:t>percentage points per year until 2027</w:t>
      </w:r>
      <w:r>
        <w:rPr>
          <w:szCs w:val="20"/>
        </w:rPr>
        <w:t>–</w:t>
      </w:r>
      <w:r w:rsidRPr="005E2BD3">
        <w:rPr>
          <w:szCs w:val="20"/>
        </w:rPr>
        <w:t xml:space="preserve">28 (for the eight year transition). The </w:t>
      </w:r>
      <w:r>
        <w:rPr>
          <w:szCs w:val="20"/>
        </w:rPr>
        <w:t>detailed</w:t>
      </w:r>
      <w:r w:rsidRPr="005E2BD3">
        <w:rPr>
          <w:szCs w:val="20"/>
        </w:rPr>
        <w:t xml:space="preserve"> transition analysis is contained in appendix F.</w:t>
      </w:r>
    </w:p>
    <w:p w14:paraId="7954AD4E" w14:textId="77777777" w:rsidR="00F05DC7" w:rsidRPr="005E2BD3" w:rsidDel="00CF0160" w:rsidRDefault="00F05DC7" w:rsidP="00A3786D">
      <w:pPr>
        <w:spacing w:before="240" w:line="300" w:lineRule="atLeast"/>
        <w:jc w:val="both"/>
        <w:rPr>
          <w:szCs w:val="20"/>
        </w:rPr>
      </w:pPr>
      <w:r>
        <w:t>Regardless of the transition approach taken there is inevitable uncertainty in the potential future impacts.</w:t>
      </w:r>
      <w:r w:rsidRPr="005E2BD3">
        <w:rPr>
          <w:szCs w:val="20"/>
        </w:rPr>
        <w:t xml:space="preserve"> In particular, </w:t>
      </w:r>
      <w:r>
        <w:rPr>
          <w:szCs w:val="20"/>
        </w:rPr>
        <w:t>a</w:t>
      </w:r>
      <w:r w:rsidRPr="005E2BD3">
        <w:rPr>
          <w:szCs w:val="20"/>
        </w:rPr>
        <w:t>ssessing a transition path is difficult due to the challenges associated with estimating States’ future GST payments</w:t>
      </w:r>
      <w:r>
        <w:rPr>
          <w:szCs w:val="20"/>
        </w:rPr>
        <w:t xml:space="preserve">, including </w:t>
      </w:r>
      <w:r w:rsidRPr="005E2BD3">
        <w:rPr>
          <w:szCs w:val="20"/>
        </w:rPr>
        <w:t>States’ future relative fiscal capacities, population growth, and the size of the GST pool.</w:t>
      </w:r>
      <w:r>
        <w:rPr>
          <w:szCs w:val="20"/>
        </w:rPr>
        <w:t xml:space="preserve"> </w:t>
      </w:r>
    </w:p>
    <w:p w14:paraId="7954AD4F" w14:textId="77777777" w:rsidR="00F05DC7" w:rsidRPr="005E2BD3" w:rsidRDefault="00F05DC7" w:rsidP="00A3786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D51" w14:textId="77777777" w:rsidTr="00A3786D">
        <w:trPr>
          <w:tblHeader/>
        </w:trPr>
        <w:tc>
          <w:tcPr>
            <w:tcW w:w="5000" w:type="pct"/>
            <w:tcBorders>
              <w:top w:val="single" w:sz="6" w:space="0" w:color="78A22F"/>
              <w:left w:val="nil"/>
              <w:bottom w:val="nil"/>
              <w:right w:val="nil"/>
            </w:tcBorders>
            <w:shd w:val="clear" w:color="auto" w:fill="auto"/>
          </w:tcPr>
          <w:p w14:paraId="7954AD50" w14:textId="4EA46191" w:rsidR="00F05DC7" w:rsidRPr="005E2BD3" w:rsidRDefault="00F05DC7" w:rsidP="00A3786D">
            <w:pPr>
              <w:keepNext/>
              <w:keepLines/>
              <w:spacing w:before="120" w:after="80" w:line="280" w:lineRule="exact"/>
              <w:ind w:left="1474" w:hanging="1474"/>
              <w:rPr>
                <w:rFonts w:ascii="Arial" w:hAnsi="Arial"/>
                <w:b/>
              </w:rPr>
            </w:pPr>
            <w:r w:rsidRPr="005E2BD3">
              <w:rPr>
                <w:rFonts w:ascii="Arial" w:hAnsi="Arial"/>
              </w:rPr>
              <w:t>Figure</w:t>
            </w:r>
            <w:r>
              <w:rPr>
                <w:rFonts w:ascii="Arial" w:hAnsi="Arial"/>
              </w:rPr>
              <w:t> 9.</w:t>
            </w:r>
            <w:r>
              <w:rPr>
                <w:rFonts w:ascii="Arial" w:hAnsi="Arial"/>
                <w:noProof/>
              </w:rPr>
              <w:t>1</w:t>
            </w:r>
            <w:r w:rsidRPr="005E2BD3">
              <w:rPr>
                <w:rFonts w:ascii="Arial" w:hAnsi="Arial"/>
                <w:b/>
              </w:rPr>
              <w:tab/>
              <w:t>Two possible transition periods</w:t>
            </w:r>
          </w:p>
        </w:tc>
      </w:tr>
      <w:tr w:rsidR="00F05DC7" w:rsidRPr="005E2BD3" w14:paraId="7954AD55"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05DC7" w:rsidRPr="005E2BD3" w14:paraId="7954AD53" w14:textId="77777777" w:rsidTr="00A3786D">
              <w:trPr>
                <w:tblHeader/>
                <w:jc w:val="center"/>
              </w:trPr>
              <w:tc>
                <w:tcPr>
                  <w:tcW w:w="5000" w:type="pct"/>
                  <w:tcBorders>
                    <w:top w:val="nil"/>
                    <w:bottom w:val="nil"/>
                  </w:tcBorders>
                </w:tcPr>
                <w:p w14:paraId="7954AD52" w14:textId="77777777" w:rsidR="00F05DC7" w:rsidRPr="005E2BD3" w:rsidRDefault="00F05DC7" w:rsidP="00A3786D">
                  <w:pPr>
                    <w:keepNext/>
                    <w:spacing w:before="60" w:after="60" w:line="240" w:lineRule="atLeast"/>
                    <w:jc w:val="center"/>
                    <w:rPr>
                      <w:rFonts w:ascii="Arial" w:hAnsi="Arial" w:cs="Arial"/>
                      <w:sz w:val="18"/>
                      <w:szCs w:val="18"/>
                    </w:rPr>
                  </w:pPr>
                  <w:r w:rsidRPr="008C5D92">
                    <w:rPr>
                      <w:rFonts w:ascii="Arial" w:hAnsi="Arial" w:cs="Arial"/>
                      <w:noProof/>
                      <w:sz w:val="18"/>
                      <w:szCs w:val="18"/>
                    </w:rPr>
                    <w:drawing>
                      <wp:inline distT="0" distB="0" distL="0" distR="0" wp14:anchorId="7954D637" wp14:editId="7954D638">
                        <wp:extent cx="5156200" cy="1847850"/>
                        <wp:effectExtent l="0" t="0" r="6350" b="0"/>
                        <wp:docPr id="92" name="Picture 92" descr="The Commission has assessed two transition periods, both starting in 2019-20. Under both options, GST relativities are calculated using a weighted average of the relativities that would apply under the current approach and ETA, with the weight on ETA increased by 25 percentage points per year until 2022 -23 (for the four year transition), and by 12.5 percentage points per year until 2026–2027 (for the eight yea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156200" cy="1847850"/>
                                </a:xfrm>
                                <a:prstGeom prst="rect">
                                  <a:avLst/>
                                </a:prstGeom>
                                <a:noFill/>
                                <a:ln>
                                  <a:noFill/>
                                </a:ln>
                              </pic:spPr>
                            </pic:pic>
                          </a:graphicData>
                        </a:graphic>
                      </wp:inline>
                    </w:drawing>
                  </w:r>
                </w:p>
              </w:tc>
            </w:tr>
          </w:tbl>
          <w:p w14:paraId="7954AD54" w14:textId="77777777" w:rsidR="00F05DC7" w:rsidRPr="005E2BD3" w:rsidRDefault="00F05DC7" w:rsidP="00A3786D">
            <w:pPr>
              <w:keepNext/>
              <w:spacing w:before="120" w:after="120" w:line="240" w:lineRule="atLeast"/>
              <w:jc w:val="center"/>
              <w:rPr>
                <w:szCs w:val="20"/>
              </w:rPr>
            </w:pPr>
          </w:p>
        </w:tc>
      </w:tr>
      <w:tr w:rsidR="00F05DC7" w:rsidRPr="005E2BD3" w14:paraId="7954AD57" w14:textId="77777777" w:rsidTr="00A3786D">
        <w:tc>
          <w:tcPr>
            <w:tcW w:w="5000" w:type="pct"/>
            <w:tcBorders>
              <w:top w:val="nil"/>
              <w:left w:val="nil"/>
              <w:bottom w:val="single" w:sz="6" w:space="0" w:color="78A22F"/>
              <w:right w:val="nil"/>
            </w:tcBorders>
            <w:shd w:val="clear" w:color="auto" w:fill="auto"/>
          </w:tcPr>
          <w:p w14:paraId="7954AD56"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D59" w14:textId="77777777" w:rsidTr="00A3786D">
        <w:tc>
          <w:tcPr>
            <w:tcW w:w="5000" w:type="pct"/>
            <w:tcBorders>
              <w:top w:val="single" w:sz="6" w:space="0" w:color="78A22F"/>
              <w:left w:val="nil"/>
              <w:bottom w:val="nil"/>
              <w:right w:val="nil"/>
            </w:tcBorders>
          </w:tcPr>
          <w:p w14:paraId="7954AD58" w14:textId="77777777" w:rsidR="00F05DC7" w:rsidRPr="005E2BD3" w:rsidRDefault="00F05DC7" w:rsidP="00A3786D">
            <w:pPr>
              <w:spacing w:before="60" w:after="60" w:line="80" w:lineRule="exact"/>
              <w:jc w:val="both"/>
              <w:rPr>
                <w:rFonts w:ascii="Arial" w:hAnsi="Arial"/>
                <w:sz w:val="14"/>
                <w:szCs w:val="20"/>
              </w:rPr>
            </w:pPr>
          </w:p>
        </w:tc>
      </w:tr>
    </w:tbl>
    <w:p w14:paraId="7954AD5A" w14:textId="77777777" w:rsidR="00F05DC7" w:rsidRDefault="00F05DC7" w:rsidP="00A3786D">
      <w:pPr>
        <w:spacing w:before="240" w:line="300" w:lineRule="atLeast"/>
        <w:jc w:val="both"/>
        <w:rPr>
          <w:szCs w:val="20"/>
        </w:rPr>
      </w:pPr>
      <w:r>
        <w:t>The Commission has adopted a simple, illustrative analysis to assess the four and eight year transition paths to ETA.</w:t>
      </w:r>
      <w:r w:rsidRPr="005E2BD3">
        <w:rPr>
          <w:szCs w:val="20"/>
        </w:rPr>
        <w:t xml:space="preserve"> </w:t>
      </w:r>
      <w:r>
        <w:rPr>
          <w:szCs w:val="20"/>
        </w:rPr>
        <w:t>A</w:t>
      </w:r>
      <w:r w:rsidRPr="005E2BD3">
        <w:rPr>
          <w:szCs w:val="20"/>
        </w:rPr>
        <w:t xml:space="preserve"> ‘best estimate’ scenario of future GST payments to the States </w:t>
      </w:r>
      <w:r>
        <w:rPr>
          <w:szCs w:val="20"/>
        </w:rPr>
        <w:t>was developed,</w:t>
      </w:r>
      <w:r w:rsidRPr="005E2BD3">
        <w:rPr>
          <w:szCs w:val="20"/>
        </w:rPr>
        <w:t xml:space="preserve"> under which </w:t>
      </w:r>
      <w:r>
        <w:rPr>
          <w:szCs w:val="20"/>
        </w:rPr>
        <w:t>relative fiscal capacities</w:t>
      </w:r>
      <w:r w:rsidRPr="005E2BD3">
        <w:rPr>
          <w:szCs w:val="20"/>
        </w:rPr>
        <w:t>, State populations and the GST pool evolve broadly as the Commonwealth Treasury and State Tre</w:t>
      </w:r>
      <w:r>
        <w:rPr>
          <w:szCs w:val="20"/>
        </w:rPr>
        <w:t>asuries currently expect. This best estimate</w:t>
      </w:r>
      <w:r w:rsidRPr="005E2BD3">
        <w:rPr>
          <w:szCs w:val="20"/>
        </w:rPr>
        <w:t xml:space="preserve"> has been informed by </w:t>
      </w:r>
      <w:r>
        <w:rPr>
          <w:szCs w:val="20"/>
        </w:rPr>
        <w:t xml:space="preserve">consultation with and </w:t>
      </w:r>
      <w:r w:rsidRPr="005E2BD3">
        <w:rPr>
          <w:szCs w:val="20"/>
        </w:rPr>
        <w:t>data provided by the Commonwealth and State Governments (box</w:t>
      </w:r>
      <w:r>
        <w:rPr>
          <w:szCs w:val="20"/>
        </w:rPr>
        <w:t> </w:t>
      </w:r>
      <w:r w:rsidRPr="005E2BD3">
        <w:rPr>
          <w:szCs w:val="20"/>
        </w:rPr>
        <w:t xml:space="preserve">9.3). </w:t>
      </w:r>
    </w:p>
    <w:p w14:paraId="7954AD5B" w14:textId="77777777" w:rsidR="00F05DC7" w:rsidRDefault="00F05DC7" w:rsidP="00A3786D">
      <w:pPr>
        <w:numPr>
          <w:ilvl w:val="0"/>
          <w:numId w:val="3"/>
        </w:numPr>
        <w:spacing w:before="120" w:line="300" w:lineRule="atLeast"/>
        <w:jc w:val="both"/>
        <w:rPr>
          <w:szCs w:val="20"/>
        </w:rPr>
      </w:pPr>
      <w:r w:rsidRPr="00F43A3C">
        <w:rPr>
          <w:szCs w:val="20"/>
        </w:rPr>
        <w:t>For State relative fiscal</w:t>
      </w:r>
      <w:r>
        <w:rPr>
          <w:szCs w:val="20"/>
        </w:rPr>
        <w:t xml:space="preserve"> capacities, the </w:t>
      </w:r>
      <w:r w:rsidRPr="00F43A3C">
        <w:rPr>
          <w:szCs w:val="20"/>
        </w:rPr>
        <w:t xml:space="preserve">best estimate was based on an average of the GST relativity </w:t>
      </w:r>
      <w:r>
        <w:rPr>
          <w:szCs w:val="20"/>
        </w:rPr>
        <w:t>forecasts</w:t>
      </w:r>
      <w:r w:rsidRPr="00F43A3C">
        <w:rPr>
          <w:szCs w:val="20"/>
        </w:rPr>
        <w:t xml:space="preserve"> (based on the current equalisation benchmark) provided by contributing State Treasuries (figure</w:t>
      </w:r>
      <w:r>
        <w:rPr>
          <w:szCs w:val="20"/>
        </w:rPr>
        <w:t> </w:t>
      </w:r>
      <w:r w:rsidRPr="00F43A3C">
        <w:rPr>
          <w:szCs w:val="20"/>
        </w:rPr>
        <w:t xml:space="preserve">9.2). </w:t>
      </w:r>
    </w:p>
    <w:p w14:paraId="7954AD5C" w14:textId="77777777" w:rsidR="00F05DC7" w:rsidRDefault="00F05DC7" w:rsidP="00A3786D">
      <w:pPr>
        <w:numPr>
          <w:ilvl w:val="0"/>
          <w:numId w:val="3"/>
        </w:numPr>
        <w:spacing w:before="120" w:line="300" w:lineRule="atLeast"/>
        <w:jc w:val="both"/>
        <w:rPr>
          <w:szCs w:val="20"/>
        </w:rPr>
      </w:pPr>
      <w:r w:rsidRPr="005E2BD3">
        <w:rPr>
          <w:szCs w:val="20"/>
        </w:rPr>
        <w:t>G</w:t>
      </w:r>
      <w:r w:rsidRPr="00F43A3C">
        <w:rPr>
          <w:szCs w:val="20"/>
        </w:rPr>
        <w:t xml:space="preserve">rowth in the GST pool was based on Commonwealth Treasury </w:t>
      </w:r>
      <w:r>
        <w:rPr>
          <w:szCs w:val="20"/>
        </w:rPr>
        <w:t>Mid</w:t>
      </w:r>
      <w:r>
        <w:rPr>
          <w:szCs w:val="20"/>
        </w:rPr>
        <w:noBreakHyphen/>
        <w:t>Year Economic and Fiscal Outlook (</w:t>
      </w:r>
      <w:r w:rsidRPr="00F43A3C">
        <w:rPr>
          <w:szCs w:val="20"/>
        </w:rPr>
        <w:t>MYEFO</w:t>
      </w:r>
      <w:r>
        <w:rPr>
          <w:szCs w:val="20"/>
        </w:rPr>
        <w:t>)</w:t>
      </w:r>
      <w:r w:rsidRPr="00F43A3C">
        <w:rPr>
          <w:szCs w:val="20"/>
        </w:rPr>
        <w:t xml:space="preserve"> estimates over the forward estimates, and an assumption that the pool grows at 5.25 per cent per </w:t>
      </w:r>
      <w:r>
        <w:rPr>
          <w:szCs w:val="20"/>
        </w:rPr>
        <w:t xml:space="preserve">year in </w:t>
      </w:r>
      <w:r w:rsidRPr="00F43A3C">
        <w:rPr>
          <w:szCs w:val="20"/>
        </w:rPr>
        <w:t xml:space="preserve">nominal </w:t>
      </w:r>
      <w:r>
        <w:rPr>
          <w:szCs w:val="20"/>
        </w:rPr>
        <w:t xml:space="preserve">terms </w:t>
      </w:r>
      <w:r w:rsidRPr="00F43A3C">
        <w:rPr>
          <w:szCs w:val="20"/>
        </w:rPr>
        <w:t>beyond this, to 2027</w:t>
      </w:r>
      <w:r>
        <w:rPr>
          <w:szCs w:val="20"/>
        </w:rPr>
        <w:noBreakHyphen/>
      </w:r>
      <w:r w:rsidRPr="00F43A3C">
        <w:rPr>
          <w:szCs w:val="20"/>
        </w:rPr>
        <w:t xml:space="preserve">28. </w:t>
      </w:r>
    </w:p>
    <w:p w14:paraId="7954AD5D" w14:textId="77777777" w:rsidR="00F05DC7" w:rsidRDefault="00F05DC7" w:rsidP="00A3786D">
      <w:pPr>
        <w:numPr>
          <w:ilvl w:val="0"/>
          <w:numId w:val="3"/>
        </w:numPr>
        <w:spacing w:before="120" w:line="300" w:lineRule="atLeast"/>
        <w:jc w:val="both"/>
        <w:rPr>
          <w:szCs w:val="20"/>
        </w:rPr>
      </w:pPr>
      <w:r w:rsidRPr="00F43A3C">
        <w:rPr>
          <w:szCs w:val="20"/>
        </w:rPr>
        <w:t>State population growth estimates were based on Commonwealth Treasury MYEFO estimates over the forward estimates, and an assumption that State populations grow at the final year MYEFO growth rate beyond</w:t>
      </w:r>
      <w:r>
        <w:rPr>
          <w:szCs w:val="20"/>
        </w:rPr>
        <w:t xml:space="preserve"> this</w:t>
      </w:r>
      <w:r w:rsidRPr="00F43A3C">
        <w:rPr>
          <w:szCs w:val="20"/>
        </w:rPr>
        <w:t xml:space="preserve">. </w:t>
      </w:r>
    </w:p>
    <w:p w14:paraId="7954AD5E" w14:textId="77777777" w:rsidR="00F05DC7" w:rsidRDefault="00F05DC7" w:rsidP="00A3786D">
      <w:pPr>
        <w:pStyle w:val="BodyText"/>
        <w:rPr>
          <w:rFonts w:ascii="Arial" w:hAnsi="Arial"/>
          <w:b/>
          <w:sz w:val="26"/>
        </w:rPr>
      </w:pPr>
      <w:r w:rsidRPr="00F43A3C">
        <w:t>Alternative estimates for GST relativities, State populations and pool growth were also considered (discussed below).</w:t>
      </w:r>
    </w:p>
    <w:p w14:paraId="7954AD5F" w14:textId="77777777" w:rsidR="00F05DC7" w:rsidRPr="005E2BD3" w:rsidRDefault="00F05DC7" w:rsidP="00A3786D">
      <w:pPr>
        <w:keepNext/>
        <w:spacing w:before="560" w:line="320" w:lineRule="exact"/>
        <w:outlineLvl w:val="2"/>
        <w:rPr>
          <w:rFonts w:ascii="Arial" w:hAnsi="Arial"/>
          <w:b/>
          <w:sz w:val="26"/>
          <w:szCs w:val="20"/>
        </w:rPr>
      </w:pPr>
      <w:r w:rsidRPr="005E2BD3">
        <w:rPr>
          <w:rFonts w:ascii="Arial" w:hAnsi="Arial"/>
          <w:b/>
          <w:sz w:val="26"/>
          <w:szCs w:val="20"/>
        </w:rPr>
        <w:t xml:space="preserve">Both transition paths </w:t>
      </w:r>
      <w:r>
        <w:rPr>
          <w:rFonts w:ascii="Arial" w:hAnsi="Arial"/>
          <w:b/>
          <w:sz w:val="26"/>
          <w:szCs w:val="20"/>
        </w:rPr>
        <w:t>could be</w:t>
      </w:r>
      <w:r w:rsidRPr="005E2BD3">
        <w:rPr>
          <w:rFonts w:ascii="Arial" w:hAnsi="Arial"/>
          <w:b/>
          <w:sz w:val="26"/>
          <w:szCs w:val="20"/>
        </w:rPr>
        <w:t xml:space="preserve"> manage</w:t>
      </w:r>
      <w:r>
        <w:rPr>
          <w:rFonts w:ascii="Arial" w:hAnsi="Arial"/>
          <w:b/>
          <w:sz w:val="26"/>
          <w:szCs w:val="20"/>
        </w:rPr>
        <w:t>d in the ‘best estimate’ scenario</w:t>
      </w:r>
    </w:p>
    <w:p w14:paraId="7954AD60" w14:textId="77777777" w:rsidR="00F05DC7" w:rsidRDefault="00F05DC7" w:rsidP="00A3786D">
      <w:pPr>
        <w:spacing w:before="240" w:line="300" w:lineRule="atLeast"/>
        <w:jc w:val="both"/>
        <w:rPr>
          <w:szCs w:val="20"/>
        </w:rPr>
      </w:pPr>
      <w:r>
        <w:t>A gradual transition to ETA means that each State’s relativity converges from its current level to what it would be under ETA (by 2022</w:t>
      </w:r>
      <w:r>
        <w:noBreakHyphen/>
        <w:t>23 for the four year transition and by 2026</w:t>
      </w:r>
      <w:r>
        <w:noBreakHyphen/>
        <w:t xml:space="preserve">27 for the eight year transition) (figure 9.3 — relativities are detailed in table F.4 of appendix F). </w:t>
      </w:r>
      <w:r>
        <w:rPr>
          <w:szCs w:val="20"/>
        </w:rPr>
        <w:t xml:space="preserve">The effect of </w:t>
      </w:r>
      <w:r>
        <w:t xml:space="preserve">this </w:t>
      </w:r>
      <w:r>
        <w:rPr>
          <w:szCs w:val="20"/>
        </w:rPr>
        <w:t xml:space="preserve">is to spread the </w:t>
      </w:r>
      <w:r>
        <w:t>GST impacts</w:t>
      </w:r>
      <w:r>
        <w:rPr>
          <w:szCs w:val="20"/>
        </w:rPr>
        <w:t xml:space="preserve"> of </w:t>
      </w:r>
      <w:r>
        <w:t>the change</w:t>
      </w:r>
      <w:r>
        <w:rPr>
          <w:szCs w:val="20"/>
        </w:rPr>
        <w:t xml:space="preserve"> to ETA over four or eight years</w:t>
      </w:r>
      <w:r>
        <w:t>, giving States time to adjust their budgets</w:t>
      </w:r>
      <w:r>
        <w:rPr>
          <w:szCs w:val="20"/>
        </w:rPr>
        <w:t xml:space="preserve"> (figure 9.4). Based on the Commission’s analysis, this means that between any two consecutive years the amount that States will need to adjust their budgets does not </w:t>
      </w:r>
      <w:r w:rsidRPr="005E2BD3">
        <w:rPr>
          <w:szCs w:val="20"/>
        </w:rPr>
        <w:t>exceed the 2 per cent budget management threshold</w:t>
      </w:r>
      <w:r>
        <w:rPr>
          <w:szCs w:val="20"/>
        </w:rPr>
        <w:t xml:space="preserve"> for any State (figure 9.5)</w:t>
      </w:r>
      <w:r w:rsidRPr="005E2BD3">
        <w:rPr>
          <w:szCs w:val="20"/>
        </w:rPr>
        <w:t>.</w:t>
      </w:r>
    </w:p>
    <w:p w14:paraId="7954AD61" w14:textId="77777777" w:rsidR="00F05DC7" w:rsidRPr="005E2BD3" w:rsidRDefault="00F05DC7" w:rsidP="00A3786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D64" w14:textId="77777777" w:rsidTr="00A3786D">
        <w:trPr>
          <w:tblHeader/>
        </w:trPr>
        <w:tc>
          <w:tcPr>
            <w:tcW w:w="5000" w:type="pct"/>
            <w:tcBorders>
              <w:top w:val="single" w:sz="6" w:space="0" w:color="78A22F"/>
              <w:left w:val="nil"/>
              <w:bottom w:val="nil"/>
              <w:right w:val="nil"/>
            </w:tcBorders>
            <w:shd w:val="clear" w:color="auto" w:fill="auto"/>
          </w:tcPr>
          <w:p w14:paraId="7954AD62" w14:textId="7DFD0206" w:rsidR="00F05DC7" w:rsidRPr="005E2BD3" w:rsidRDefault="00F05DC7" w:rsidP="00A3786D">
            <w:pPr>
              <w:keepNext/>
              <w:keepLines/>
              <w:spacing w:before="120" w:after="80" w:line="280" w:lineRule="exact"/>
              <w:ind w:left="1474" w:hanging="1474"/>
              <w:rPr>
                <w:rFonts w:ascii="Arial" w:hAnsi="Arial"/>
                <w:b/>
                <w:vertAlign w:val="superscript"/>
              </w:rPr>
            </w:pPr>
            <w:r w:rsidRPr="005E2BD3">
              <w:rPr>
                <w:rFonts w:ascii="Arial" w:hAnsi="Arial"/>
              </w:rPr>
              <w:t>Figure</w:t>
            </w:r>
            <w:r>
              <w:rPr>
                <w:rFonts w:ascii="Arial" w:hAnsi="Arial"/>
              </w:rPr>
              <w:t> 9.</w:t>
            </w:r>
            <w:r w:rsidRPr="005E2BD3">
              <w:rPr>
                <w:rFonts w:ascii="Arial" w:hAnsi="Arial"/>
              </w:rPr>
              <w:t>2</w:t>
            </w:r>
            <w:r w:rsidRPr="005E2BD3">
              <w:rPr>
                <w:rFonts w:ascii="Arial" w:hAnsi="Arial"/>
                <w:b/>
              </w:rPr>
              <w:tab/>
            </w:r>
            <w:r w:rsidRPr="006555BD">
              <w:rPr>
                <w:rFonts w:ascii="Arial" w:hAnsi="Arial"/>
                <w:b/>
              </w:rPr>
              <w:t>Current benchmark: historical and projected relativities</w:t>
            </w:r>
            <w:r>
              <w:rPr>
                <w:rFonts w:ascii="Arial" w:hAnsi="Arial"/>
                <w:b/>
                <w:vertAlign w:val="superscript"/>
              </w:rPr>
              <w:t xml:space="preserve"> </w:t>
            </w:r>
          </w:p>
          <w:p w14:paraId="7954AD63" w14:textId="77777777" w:rsidR="00F05DC7" w:rsidRPr="005E2BD3" w:rsidRDefault="00F05DC7" w:rsidP="00A3786D">
            <w:pPr>
              <w:keepNext/>
              <w:keepLines/>
              <w:spacing w:after="80" w:line="200" w:lineRule="exact"/>
              <w:ind w:left="1474"/>
              <w:rPr>
                <w:rFonts w:ascii="Arial" w:hAnsi="Arial"/>
                <w:sz w:val="20"/>
              </w:rPr>
            </w:pPr>
            <w:r>
              <w:rPr>
                <w:rFonts w:ascii="Arial" w:hAnsi="Arial"/>
                <w:sz w:val="20"/>
              </w:rPr>
              <w:t>Best estimate scenario</w:t>
            </w:r>
            <w:r w:rsidRPr="005E2BD3">
              <w:rPr>
                <w:rFonts w:ascii="Arial" w:hAnsi="Arial"/>
                <w:sz w:val="20"/>
              </w:rPr>
              <w:t>, 20</w:t>
            </w:r>
            <w:r>
              <w:rPr>
                <w:rFonts w:ascii="Arial" w:hAnsi="Arial"/>
                <w:sz w:val="20"/>
              </w:rPr>
              <w:t>00</w:t>
            </w:r>
            <w:r>
              <w:rPr>
                <w:rFonts w:ascii="Arial" w:hAnsi="Arial"/>
                <w:sz w:val="20"/>
              </w:rPr>
              <w:noBreakHyphen/>
              <w:t>01</w:t>
            </w:r>
            <w:r w:rsidRPr="005E2BD3">
              <w:rPr>
                <w:rFonts w:ascii="Arial" w:hAnsi="Arial"/>
                <w:sz w:val="20"/>
              </w:rPr>
              <w:t xml:space="preserve"> </w:t>
            </w:r>
            <w:r>
              <w:rPr>
                <w:rFonts w:ascii="Arial" w:hAnsi="Arial"/>
                <w:sz w:val="20"/>
              </w:rPr>
              <w:t>to</w:t>
            </w:r>
            <w:r w:rsidRPr="005E2BD3">
              <w:rPr>
                <w:rFonts w:ascii="Arial" w:hAnsi="Arial"/>
                <w:sz w:val="20"/>
              </w:rPr>
              <w:t xml:space="preserve"> 202</w:t>
            </w:r>
            <w:r>
              <w:rPr>
                <w:rFonts w:ascii="Arial" w:hAnsi="Arial"/>
                <w:sz w:val="20"/>
              </w:rPr>
              <w:t>6</w:t>
            </w:r>
            <w:r>
              <w:rPr>
                <w:rFonts w:ascii="Arial" w:hAnsi="Arial"/>
                <w:sz w:val="20"/>
              </w:rPr>
              <w:noBreakHyphen/>
            </w:r>
            <w:r w:rsidRPr="005E2BD3">
              <w:rPr>
                <w:rFonts w:ascii="Arial" w:hAnsi="Arial"/>
                <w:sz w:val="20"/>
              </w:rPr>
              <w:t>2</w:t>
            </w:r>
            <w:r>
              <w:rPr>
                <w:rFonts w:ascii="Arial" w:hAnsi="Arial"/>
                <w:sz w:val="20"/>
              </w:rPr>
              <w:t>7</w:t>
            </w:r>
          </w:p>
        </w:tc>
      </w:tr>
      <w:tr w:rsidR="00F05DC7" w:rsidRPr="005E2BD3" w14:paraId="7954AD68"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05DC7" w:rsidRPr="005E2BD3" w14:paraId="7954AD66" w14:textId="77777777" w:rsidTr="00A3786D">
              <w:trPr>
                <w:trHeight w:val="222"/>
                <w:tblHeader/>
                <w:jc w:val="center"/>
              </w:trPr>
              <w:tc>
                <w:tcPr>
                  <w:tcW w:w="8504" w:type="dxa"/>
                  <w:tcBorders>
                    <w:top w:val="nil"/>
                    <w:bottom w:val="nil"/>
                  </w:tcBorders>
                </w:tcPr>
                <w:p w14:paraId="7954AD65" w14:textId="77777777" w:rsidR="00F05DC7" w:rsidRPr="005E2BD3" w:rsidRDefault="00F05DC7" w:rsidP="00A3786D">
                  <w:pPr>
                    <w:keepNext/>
                    <w:spacing w:before="60" w:after="60" w:line="240" w:lineRule="atLeast"/>
                    <w:jc w:val="center"/>
                    <w:rPr>
                      <w:rFonts w:ascii="Arial" w:hAnsi="Arial" w:cs="Arial"/>
                      <w:sz w:val="18"/>
                      <w:szCs w:val="18"/>
                    </w:rPr>
                  </w:pPr>
                  <w:r w:rsidRPr="000A2150">
                    <w:rPr>
                      <w:rFonts w:ascii="Arial" w:hAnsi="Arial" w:cs="Arial"/>
                      <w:noProof/>
                      <w:sz w:val="18"/>
                      <w:szCs w:val="18"/>
                    </w:rPr>
                    <w:drawing>
                      <wp:inline distT="0" distB="0" distL="0" distR="0" wp14:anchorId="7954D639" wp14:editId="7954D63A">
                        <wp:extent cx="5401559" cy="7041515"/>
                        <wp:effectExtent l="0" t="0" r="8890" b="6985"/>
                        <wp:docPr id="93" name="Picture 93" descr="This figure shows historical (2000 to 2018) relativities and projected (2019 to 2027) GST relativities under the current methodology. Historical trends are: New South Wales’ and Victoria’s relativities staying broadly constant at about 0.9; Queensland’s relativity varying from about 1 in 2000, down to a low of about 0.9 in 2008/, and up to a high of about 1.2 in 2017; Western Australia’s relativity varying considerably from a high of about 1 between 2000 and 2004, before decreasing to a low of about 0.3 in 2016/17; South Australia’s relativity steadily increasing from about 1.18 in 2000 to about 1.5 in 2018; Tasmania’s relativity steadily increasing from about 1.5 in 2000 to about 1.8 in 2018; the ACT’s relativity show high volatility but around a central mean of about 1.5; and the NT’s relativity varying considerably between about 4 in 2000 to a high of about 5.6 in 2015 and back down to 4.25 in 2018. &#10;For projections, New South Wales’ relativity is projected to trend downwards to about 0.81 in 2021 before stabilising, Victoria’s is projected to peak at about 0.98 in 2019 before trending down to 0.90 in 2026, Queensland’s is projected to trend upwards to about 1.15 by 2022 before trending back down to about 1.1 by 2026, Western Australia’s is projected to climb steadily over the period from its current level of about 0.47 to about 0.45 by 2026, South Australia’s is projected to gradually decline to about 1.4 by 2026, Tasmania’s is projected to stay at about 1.75 over the period, the ACT’s is projected to decline to about 1.15 in 2022 before climbing back up to about 1.2, and the NT’s is projected to climb steadily from its current level up to a high of about 4.9 in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03839" cy="7044487"/>
                                </a:xfrm>
                                <a:prstGeom prst="rect">
                                  <a:avLst/>
                                </a:prstGeom>
                                <a:noFill/>
                                <a:ln>
                                  <a:noFill/>
                                </a:ln>
                              </pic:spPr>
                            </pic:pic>
                          </a:graphicData>
                        </a:graphic>
                      </wp:inline>
                    </w:drawing>
                  </w:r>
                </w:p>
              </w:tc>
            </w:tr>
          </w:tbl>
          <w:p w14:paraId="7954AD67" w14:textId="77777777" w:rsidR="00F05DC7" w:rsidRPr="005E2BD3" w:rsidRDefault="00F05DC7" w:rsidP="00A3786D">
            <w:pPr>
              <w:keepNext/>
              <w:spacing w:before="120" w:after="120" w:line="240" w:lineRule="atLeast"/>
              <w:jc w:val="center"/>
              <w:rPr>
                <w:szCs w:val="20"/>
              </w:rPr>
            </w:pPr>
          </w:p>
        </w:tc>
      </w:tr>
      <w:tr w:rsidR="00F05DC7" w:rsidRPr="005E2BD3" w14:paraId="7954AD6A" w14:textId="77777777" w:rsidTr="00A3786D">
        <w:tc>
          <w:tcPr>
            <w:tcW w:w="5000" w:type="pct"/>
            <w:tcBorders>
              <w:top w:val="nil"/>
              <w:left w:val="nil"/>
              <w:bottom w:val="nil"/>
              <w:right w:val="nil"/>
            </w:tcBorders>
            <w:shd w:val="clear" w:color="auto" w:fill="auto"/>
          </w:tcPr>
          <w:p w14:paraId="7954AD69" w14:textId="27A3F6C6" w:rsidR="00F05DC7" w:rsidRPr="005E2BD3" w:rsidRDefault="00F05DC7" w:rsidP="00A3786D">
            <w:pPr>
              <w:pStyle w:val="Source"/>
            </w:pPr>
            <w:r w:rsidRPr="00CA2093">
              <w:rPr>
                <w:i/>
              </w:rPr>
              <w:t>Sources</w:t>
            </w:r>
            <w:r>
              <w:t xml:space="preserve">: </w:t>
            </w:r>
            <w:r w:rsidRPr="00BB408F">
              <w:t xml:space="preserve">CGC </w:t>
            </w:r>
            <w:r w:rsidR="009D6331" w:rsidRPr="009D6331">
              <w:rPr>
                <w:rFonts w:cs="Arial"/>
              </w:rPr>
              <w:t>(2018g)</w:t>
            </w:r>
            <w:r w:rsidRPr="00BB408F">
              <w:t xml:space="preserve">, Productivity Commission estimates </w:t>
            </w:r>
            <w:r>
              <w:t xml:space="preserve">based on data provided by State Treasuries </w:t>
            </w:r>
            <w:r w:rsidRPr="00BB408F">
              <w:t xml:space="preserve">(confidential). </w:t>
            </w:r>
          </w:p>
        </w:tc>
      </w:tr>
      <w:tr w:rsidR="00F05DC7" w:rsidRPr="005E2BD3" w14:paraId="7954AD6C" w14:textId="77777777" w:rsidTr="00A3786D">
        <w:tc>
          <w:tcPr>
            <w:tcW w:w="5000" w:type="pct"/>
            <w:tcBorders>
              <w:top w:val="nil"/>
              <w:left w:val="nil"/>
              <w:bottom w:val="single" w:sz="6" w:space="0" w:color="78A22F"/>
              <w:right w:val="nil"/>
            </w:tcBorders>
            <w:shd w:val="clear" w:color="auto" w:fill="auto"/>
          </w:tcPr>
          <w:p w14:paraId="7954AD6B" w14:textId="77777777" w:rsidR="00F05DC7" w:rsidRPr="005E2BD3" w:rsidRDefault="00F05DC7" w:rsidP="00A3786D">
            <w:pPr>
              <w:keepNext/>
              <w:spacing w:line="120" w:lineRule="exact"/>
              <w:jc w:val="both"/>
              <w:rPr>
                <w:rFonts w:ascii="Arial" w:hAnsi="Arial"/>
                <w:sz w:val="20"/>
                <w:szCs w:val="20"/>
              </w:rPr>
            </w:pPr>
            <w:r>
              <w:rPr>
                <w:rFonts w:ascii="Arial" w:hAnsi="Arial"/>
                <w:sz w:val="20"/>
                <w:szCs w:val="20"/>
              </w:rPr>
              <w:t xml:space="preserve"> </w:t>
            </w:r>
          </w:p>
        </w:tc>
      </w:tr>
      <w:tr w:rsidR="00F05DC7" w:rsidRPr="005E2BD3" w14:paraId="7954AD6E" w14:textId="77777777" w:rsidTr="00A3786D">
        <w:tc>
          <w:tcPr>
            <w:tcW w:w="5000" w:type="pct"/>
            <w:tcBorders>
              <w:top w:val="single" w:sz="6" w:space="0" w:color="78A22F"/>
              <w:left w:val="nil"/>
              <w:bottom w:val="nil"/>
              <w:right w:val="nil"/>
            </w:tcBorders>
          </w:tcPr>
          <w:p w14:paraId="7954AD6D" w14:textId="77777777" w:rsidR="00F05DC7" w:rsidRPr="005E2BD3" w:rsidRDefault="00F05DC7" w:rsidP="00A3786D">
            <w:pPr>
              <w:spacing w:before="60" w:after="60" w:line="80" w:lineRule="exact"/>
              <w:jc w:val="both"/>
              <w:rPr>
                <w:rFonts w:ascii="Arial" w:hAnsi="Arial"/>
                <w:sz w:val="14"/>
                <w:szCs w:val="20"/>
              </w:rPr>
            </w:pPr>
          </w:p>
        </w:tc>
      </w:tr>
    </w:tbl>
    <w:p w14:paraId="7954AD6F" w14:textId="77777777" w:rsidR="00F05DC7" w:rsidRDefault="00F05DC7" w:rsidP="00A3786D">
      <w:pPr>
        <w:pStyle w:val="BoxSpaceAbove"/>
      </w:pPr>
      <w:r w:rsidRPr="00313CFE">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D72" w14:textId="77777777" w:rsidTr="00A3786D">
        <w:trPr>
          <w:tblHeader/>
        </w:trPr>
        <w:tc>
          <w:tcPr>
            <w:tcW w:w="5000" w:type="pct"/>
            <w:tcBorders>
              <w:top w:val="single" w:sz="6" w:space="0" w:color="78A22F"/>
              <w:left w:val="nil"/>
              <w:bottom w:val="nil"/>
              <w:right w:val="nil"/>
            </w:tcBorders>
            <w:shd w:val="clear" w:color="auto" w:fill="auto"/>
          </w:tcPr>
          <w:p w14:paraId="7954AD70" w14:textId="1CCC30A3" w:rsidR="00F05DC7" w:rsidRDefault="00F05DC7" w:rsidP="00A3786D">
            <w:pPr>
              <w:pStyle w:val="FigureTitle"/>
            </w:pPr>
            <w:r w:rsidRPr="00784A05">
              <w:rPr>
                <w:b w:val="0"/>
              </w:rPr>
              <w:t xml:space="preserve">Figure </w:t>
            </w:r>
            <w:r>
              <w:rPr>
                <w:b w:val="0"/>
              </w:rPr>
              <w:t>9.3</w:t>
            </w:r>
            <w:r>
              <w:tab/>
            </w:r>
            <w:r w:rsidRPr="006A588F">
              <w:t xml:space="preserve">Four </w:t>
            </w:r>
            <w:r>
              <w:t>year</w:t>
            </w:r>
            <w:r w:rsidRPr="006A588F">
              <w:t xml:space="preserve"> and eight year transition</w:t>
            </w:r>
            <w:r>
              <w:t xml:space="preserve"> </w:t>
            </w:r>
            <w:r w:rsidRPr="006A588F">
              <w:t>to ETA: historical and projected State relativities</w:t>
            </w:r>
          </w:p>
          <w:p w14:paraId="7954AD71" w14:textId="77777777" w:rsidR="00F05DC7" w:rsidRPr="00176D3F" w:rsidRDefault="00F05DC7" w:rsidP="00A3786D">
            <w:pPr>
              <w:pStyle w:val="Subtitle"/>
            </w:pPr>
            <w:r w:rsidRPr="006A588F">
              <w:t>Best estimate scenario, 2000</w:t>
            </w:r>
            <w:r>
              <w:noBreakHyphen/>
            </w:r>
            <w:r w:rsidRPr="006A588F">
              <w:t xml:space="preserve">01 </w:t>
            </w:r>
            <w:r>
              <w:t>to</w:t>
            </w:r>
            <w:r w:rsidRPr="006A588F">
              <w:t xml:space="preserve"> 2026</w:t>
            </w:r>
            <w:r>
              <w:noBreakHyphen/>
            </w:r>
            <w:r w:rsidRPr="006A588F">
              <w:t>27</w:t>
            </w:r>
          </w:p>
        </w:tc>
      </w:tr>
      <w:tr w:rsidR="00F05DC7" w14:paraId="7954AD7A"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AD75" w14:textId="77777777" w:rsidTr="00A3786D">
              <w:trPr>
                <w:trHeight w:val="223"/>
                <w:tblHeader/>
                <w:jc w:val="center"/>
              </w:trPr>
              <w:tc>
                <w:tcPr>
                  <w:tcW w:w="5000" w:type="pct"/>
                  <w:tcBorders>
                    <w:top w:val="nil"/>
                    <w:bottom w:val="nil"/>
                  </w:tcBorders>
                </w:tcPr>
                <w:p w14:paraId="7954AD73" w14:textId="77777777" w:rsidR="00F05DC7" w:rsidRDefault="00F05DC7" w:rsidP="00A3786D">
                  <w:pPr>
                    <w:pStyle w:val="Figure"/>
                    <w:spacing w:before="60" w:after="60"/>
                    <w:rPr>
                      <w:rFonts w:ascii="Arial" w:hAnsi="Arial" w:cs="Arial"/>
                      <w:sz w:val="18"/>
                      <w:szCs w:val="18"/>
                    </w:rPr>
                  </w:pPr>
                  <w:r>
                    <w:rPr>
                      <w:rFonts w:ascii="Arial" w:hAnsi="Arial" w:cs="Arial"/>
                      <w:sz w:val="18"/>
                      <w:szCs w:val="18"/>
                    </w:rPr>
                    <w:t>Four year transition</w:t>
                  </w:r>
                </w:p>
                <w:p w14:paraId="7954AD74" w14:textId="77777777" w:rsidR="00F05DC7" w:rsidRPr="00B1465D" w:rsidRDefault="00F05DC7" w:rsidP="00A3786D">
                  <w:pPr>
                    <w:pStyle w:val="Figure"/>
                    <w:spacing w:before="60" w:after="60"/>
                    <w:rPr>
                      <w:rFonts w:ascii="Arial" w:hAnsi="Arial" w:cs="Arial"/>
                      <w:sz w:val="18"/>
                      <w:szCs w:val="18"/>
                    </w:rPr>
                  </w:pPr>
                  <w:r w:rsidRPr="004428A6">
                    <w:rPr>
                      <w:rFonts w:ascii="Arial" w:hAnsi="Arial" w:cs="Arial"/>
                      <w:noProof/>
                      <w:sz w:val="18"/>
                      <w:szCs w:val="18"/>
                    </w:rPr>
                    <w:drawing>
                      <wp:inline distT="0" distB="0" distL="0" distR="0" wp14:anchorId="7954D63B" wp14:editId="7954D63C">
                        <wp:extent cx="5439266" cy="3366956"/>
                        <wp:effectExtent l="0" t="0" r="9525" b="5080"/>
                        <wp:docPr id="94" name="Picture 94" descr="Under a four-year transition to equalisation to the average, each State’s relativity would move from its current level to what it would be under the new benchmark by 2022-23. Once the relativities reach equalisation to the average levels, they remain at roughly the same levels until 2026-27, the end of the projection period. This process entails increases in the relativities of New South Wales and Western Australia, as well as the Northern Territory, and declines for all other Sta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440878" cy="3367954"/>
                                </a:xfrm>
                                <a:prstGeom prst="rect">
                                  <a:avLst/>
                                </a:prstGeom>
                                <a:noFill/>
                                <a:ln>
                                  <a:noFill/>
                                </a:ln>
                              </pic:spPr>
                            </pic:pic>
                          </a:graphicData>
                        </a:graphic>
                      </wp:inline>
                    </w:drawing>
                  </w:r>
                </w:p>
              </w:tc>
            </w:tr>
            <w:tr w:rsidR="00F05DC7" w:rsidRPr="00B1465D" w14:paraId="7954AD78" w14:textId="77777777" w:rsidTr="00A3786D">
              <w:trPr>
                <w:trHeight w:val="222"/>
                <w:tblHeader/>
                <w:jc w:val="center"/>
              </w:trPr>
              <w:tc>
                <w:tcPr>
                  <w:tcW w:w="5000" w:type="pct"/>
                  <w:tcBorders>
                    <w:top w:val="nil"/>
                    <w:bottom w:val="nil"/>
                  </w:tcBorders>
                </w:tcPr>
                <w:p w14:paraId="7954AD76" w14:textId="77777777" w:rsidR="00F05DC7" w:rsidRDefault="00F05DC7" w:rsidP="00A3786D">
                  <w:pPr>
                    <w:pStyle w:val="Figure"/>
                    <w:spacing w:before="60" w:after="60"/>
                    <w:rPr>
                      <w:rFonts w:ascii="Arial" w:hAnsi="Arial" w:cs="Arial"/>
                      <w:sz w:val="18"/>
                      <w:szCs w:val="18"/>
                    </w:rPr>
                  </w:pPr>
                  <w:r>
                    <w:rPr>
                      <w:rFonts w:ascii="Arial" w:hAnsi="Arial" w:cs="Arial"/>
                      <w:sz w:val="18"/>
                      <w:szCs w:val="18"/>
                    </w:rPr>
                    <w:t>Eight year transition</w:t>
                  </w:r>
                </w:p>
                <w:p w14:paraId="7954AD77" w14:textId="77777777" w:rsidR="00F05DC7" w:rsidRPr="00B1465D" w:rsidRDefault="00F05DC7" w:rsidP="00A3786D">
                  <w:pPr>
                    <w:pStyle w:val="Figure"/>
                    <w:spacing w:before="60" w:after="60"/>
                    <w:rPr>
                      <w:rFonts w:ascii="Arial" w:hAnsi="Arial" w:cs="Arial"/>
                      <w:sz w:val="18"/>
                      <w:szCs w:val="18"/>
                    </w:rPr>
                  </w:pPr>
                  <w:r w:rsidRPr="009C68EA">
                    <w:rPr>
                      <w:rFonts w:ascii="Arial" w:hAnsi="Arial" w:cs="Arial"/>
                      <w:noProof/>
                      <w:sz w:val="18"/>
                      <w:szCs w:val="18"/>
                    </w:rPr>
                    <w:drawing>
                      <wp:inline distT="0" distB="0" distL="0" distR="0" wp14:anchorId="7954D63D" wp14:editId="7954D63E">
                        <wp:extent cx="5390571" cy="3116580"/>
                        <wp:effectExtent l="0" t="0" r="635" b="7620"/>
                        <wp:docPr id="95" name="Picture 95" descr="Under an eight year transition, relativities reach their equalisation to the average levels by 2026-27. The relativities of New South Wales and Western Australia — as well as the Northern Territory — increase, while those for the other States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398025" cy="3120890"/>
                                </a:xfrm>
                                <a:prstGeom prst="rect">
                                  <a:avLst/>
                                </a:prstGeom>
                                <a:noFill/>
                                <a:ln>
                                  <a:noFill/>
                                </a:ln>
                              </pic:spPr>
                            </pic:pic>
                          </a:graphicData>
                        </a:graphic>
                      </wp:inline>
                    </w:drawing>
                  </w:r>
                </w:p>
              </w:tc>
            </w:tr>
          </w:tbl>
          <w:p w14:paraId="7954AD79" w14:textId="77777777" w:rsidR="00F05DC7" w:rsidRDefault="00F05DC7" w:rsidP="00A3786D">
            <w:pPr>
              <w:pStyle w:val="Figure"/>
            </w:pPr>
          </w:p>
        </w:tc>
      </w:tr>
      <w:tr w:rsidR="00F05DC7" w:rsidRPr="00176D3F" w14:paraId="7954AD7C" w14:textId="77777777" w:rsidTr="00A3786D">
        <w:tc>
          <w:tcPr>
            <w:tcW w:w="5000" w:type="pct"/>
            <w:tcBorders>
              <w:top w:val="nil"/>
              <w:left w:val="nil"/>
              <w:bottom w:val="nil"/>
              <w:right w:val="nil"/>
            </w:tcBorders>
            <w:shd w:val="clear" w:color="auto" w:fill="auto"/>
          </w:tcPr>
          <w:p w14:paraId="7954AD7B" w14:textId="35B663B6" w:rsidR="00F05DC7" w:rsidRPr="00176D3F" w:rsidRDefault="00F05DC7" w:rsidP="00A3786D">
            <w:pPr>
              <w:pStyle w:val="Note"/>
            </w:pPr>
            <w:r w:rsidRPr="00054834">
              <w:rPr>
                <w:i/>
              </w:rPr>
              <w:t>Sources</w:t>
            </w:r>
            <w:r>
              <w:t xml:space="preserve">: </w:t>
            </w:r>
            <w:r w:rsidRPr="00BB408F">
              <w:t xml:space="preserve">CGC </w:t>
            </w:r>
            <w:r w:rsidR="009D6331" w:rsidRPr="009D6331">
              <w:rPr>
                <w:rFonts w:cs="Arial"/>
              </w:rPr>
              <w:t>(2018g)</w:t>
            </w:r>
            <w:r w:rsidRPr="00054834">
              <w:t>, Productivity Commission estimates based on da</w:t>
            </w:r>
            <w:r>
              <w:t>ta provided by State Treasuries (confidential).</w:t>
            </w:r>
            <w:r w:rsidRPr="00054834">
              <w:t xml:space="preserve"> </w:t>
            </w:r>
          </w:p>
        </w:tc>
      </w:tr>
      <w:tr w:rsidR="00F05DC7" w14:paraId="7954AD7E" w14:textId="77777777" w:rsidTr="00A3786D">
        <w:tc>
          <w:tcPr>
            <w:tcW w:w="5000" w:type="pct"/>
            <w:tcBorders>
              <w:top w:val="nil"/>
              <w:left w:val="nil"/>
              <w:bottom w:val="single" w:sz="6" w:space="0" w:color="78A22F"/>
              <w:right w:val="nil"/>
            </w:tcBorders>
            <w:shd w:val="clear" w:color="auto" w:fill="auto"/>
          </w:tcPr>
          <w:p w14:paraId="7954AD7D" w14:textId="77777777" w:rsidR="00F05DC7" w:rsidRDefault="00F05DC7" w:rsidP="00A3786D">
            <w:pPr>
              <w:pStyle w:val="Figurespace"/>
            </w:pPr>
          </w:p>
        </w:tc>
      </w:tr>
      <w:tr w:rsidR="00F05DC7" w:rsidRPr="000863A5" w14:paraId="7954AD80" w14:textId="77777777" w:rsidTr="00A3786D">
        <w:tc>
          <w:tcPr>
            <w:tcW w:w="5000" w:type="pct"/>
            <w:tcBorders>
              <w:top w:val="single" w:sz="6" w:space="0" w:color="78A22F"/>
              <w:left w:val="nil"/>
              <w:bottom w:val="nil"/>
              <w:right w:val="nil"/>
            </w:tcBorders>
          </w:tcPr>
          <w:p w14:paraId="7954AD7F" w14:textId="77777777" w:rsidR="00F05DC7" w:rsidRPr="00626D32" w:rsidRDefault="00F05DC7" w:rsidP="00A3786D">
            <w:pPr>
              <w:pStyle w:val="BoxSpaceBelow"/>
            </w:pPr>
          </w:p>
        </w:tc>
      </w:tr>
    </w:tbl>
    <w:p w14:paraId="7954AD81" w14:textId="77777777" w:rsidR="00F05DC7" w:rsidRDefault="00F05DC7" w:rsidP="00A3786D">
      <w:pPr>
        <w:spacing w:before="240" w:line="300" w:lineRule="atLeast"/>
        <w:jc w:val="both"/>
        <w:rPr>
          <w:szCs w:val="20"/>
        </w:rPr>
      </w:pPr>
      <w:r w:rsidRPr="005E2BD3">
        <w:rPr>
          <w:szCs w:val="20"/>
        </w:rPr>
        <w:lastRenderedPageBreak/>
        <w:t>As a proportion of total State revenue, the reduction in GST payments</w:t>
      </w:r>
      <w:r>
        <w:rPr>
          <w:szCs w:val="20"/>
        </w:rPr>
        <w:t xml:space="preserve"> in</w:t>
      </w:r>
      <w:r w:rsidRPr="005E2BD3">
        <w:rPr>
          <w:szCs w:val="20"/>
        </w:rPr>
        <w:t xml:space="preserve"> the four year transition is expected to be highest in Queensland, South Australia, Tasmania</w:t>
      </w:r>
      <w:r>
        <w:rPr>
          <w:szCs w:val="20"/>
        </w:rPr>
        <w:t xml:space="preserve"> and the ACT. The reduction in GST payments for these States in the first year of transition </w:t>
      </w:r>
      <w:r w:rsidRPr="005E2BD3">
        <w:rPr>
          <w:szCs w:val="20"/>
        </w:rPr>
        <w:t>ranges between</w:t>
      </w:r>
      <w:r>
        <w:rPr>
          <w:szCs w:val="20"/>
        </w:rPr>
        <w:t xml:space="preserve"> about</w:t>
      </w:r>
      <w:r w:rsidRPr="005E2BD3">
        <w:rPr>
          <w:szCs w:val="20"/>
        </w:rPr>
        <w:t xml:space="preserve"> </w:t>
      </w:r>
      <w:r>
        <w:rPr>
          <w:szCs w:val="20"/>
        </w:rPr>
        <w:t>0.5 </w:t>
      </w:r>
      <w:r w:rsidRPr="005E2BD3">
        <w:rPr>
          <w:szCs w:val="20"/>
        </w:rPr>
        <w:t xml:space="preserve">and </w:t>
      </w:r>
      <w:r>
        <w:rPr>
          <w:szCs w:val="20"/>
        </w:rPr>
        <w:t>0.6 </w:t>
      </w:r>
      <w:r w:rsidRPr="005E2BD3">
        <w:rPr>
          <w:szCs w:val="20"/>
        </w:rPr>
        <w:t xml:space="preserve">per cent </w:t>
      </w:r>
      <w:r>
        <w:rPr>
          <w:szCs w:val="20"/>
        </w:rPr>
        <w:t xml:space="preserve">of total State revenue, increasing to between about 2.3 and 2.8 per cent of total State revenue once ETA is fully implemented </w:t>
      </w:r>
      <w:r w:rsidRPr="005E2BD3">
        <w:rPr>
          <w:szCs w:val="20"/>
        </w:rPr>
        <w:t>(figure</w:t>
      </w:r>
      <w:r>
        <w:rPr>
          <w:szCs w:val="20"/>
        </w:rPr>
        <w:t> </w:t>
      </w:r>
      <w:r w:rsidRPr="005E2BD3">
        <w:rPr>
          <w:szCs w:val="20"/>
        </w:rPr>
        <w:t>9.</w:t>
      </w:r>
      <w:r>
        <w:rPr>
          <w:szCs w:val="20"/>
        </w:rPr>
        <w:t>4</w:t>
      </w:r>
      <w:r w:rsidRPr="005E2BD3">
        <w:rPr>
          <w:szCs w:val="20"/>
        </w:rPr>
        <w:t xml:space="preserve">). </w:t>
      </w:r>
    </w:p>
    <w:p w14:paraId="7954AD82" w14:textId="77777777" w:rsidR="00F05DC7" w:rsidRPr="005E2BD3" w:rsidRDefault="00F05DC7" w:rsidP="00A3786D">
      <w:pPr>
        <w:spacing w:before="240" w:line="300" w:lineRule="atLeast"/>
        <w:jc w:val="both"/>
        <w:rPr>
          <w:szCs w:val="20"/>
        </w:rPr>
      </w:pPr>
      <w:r>
        <w:rPr>
          <w:szCs w:val="20"/>
        </w:rPr>
        <w:t xml:space="preserve">But in no single year does any </w:t>
      </w:r>
      <w:r w:rsidRPr="005E2BD3">
        <w:rPr>
          <w:szCs w:val="20"/>
        </w:rPr>
        <w:t xml:space="preserve">State experience a reduction in its GST payments </w:t>
      </w:r>
      <w:r>
        <w:rPr>
          <w:szCs w:val="20"/>
        </w:rPr>
        <w:t>from one year to the next</w:t>
      </w:r>
      <w:r w:rsidRPr="005E2BD3">
        <w:rPr>
          <w:szCs w:val="20"/>
        </w:rPr>
        <w:t xml:space="preserve"> of more than about 0.8</w:t>
      </w:r>
      <w:r>
        <w:rPr>
          <w:szCs w:val="20"/>
        </w:rPr>
        <w:t> </w:t>
      </w:r>
      <w:r w:rsidRPr="005E2BD3">
        <w:rPr>
          <w:szCs w:val="20"/>
        </w:rPr>
        <w:t>per cent</w:t>
      </w:r>
      <w:r>
        <w:rPr>
          <w:szCs w:val="20"/>
        </w:rPr>
        <w:t xml:space="preserve"> of total State revenue (figure 9.5). </w:t>
      </w:r>
      <w:r w:rsidRPr="005E2BD3">
        <w:rPr>
          <w:szCs w:val="20"/>
        </w:rPr>
        <w:t xml:space="preserve">GST payments would be higher </w:t>
      </w:r>
      <w:r>
        <w:rPr>
          <w:szCs w:val="20"/>
        </w:rPr>
        <w:t>under ETA</w:t>
      </w:r>
      <w:r w:rsidRPr="005E2BD3">
        <w:rPr>
          <w:szCs w:val="20"/>
        </w:rPr>
        <w:t xml:space="preserve"> in New South Wales and Western Australia</w:t>
      </w:r>
      <w:r>
        <w:rPr>
          <w:szCs w:val="20"/>
        </w:rPr>
        <w:t xml:space="preserve">. </w:t>
      </w:r>
      <w:r w:rsidRPr="005E2BD3">
        <w:rPr>
          <w:szCs w:val="20"/>
        </w:rPr>
        <w:t>With an eight year transition these figures are halved.</w:t>
      </w:r>
    </w:p>
    <w:p w14:paraId="7954AD83" w14:textId="77777777" w:rsidR="00F05DC7" w:rsidRPr="005E2BD3" w:rsidRDefault="00F05DC7" w:rsidP="008C54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D85" w14:textId="77777777" w:rsidTr="00A3786D">
        <w:trPr>
          <w:tblHeader/>
        </w:trPr>
        <w:tc>
          <w:tcPr>
            <w:tcW w:w="5000" w:type="pct"/>
            <w:tcBorders>
              <w:top w:val="single" w:sz="6" w:space="0" w:color="78A22F"/>
              <w:left w:val="nil"/>
              <w:bottom w:val="nil"/>
              <w:right w:val="nil"/>
            </w:tcBorders>
            <w:shd w:val="clear" w:color="auto" w:fill="F2F2F2"/>
          </w:tcPr>
          <w:p w14:paraId="7954AD84" w14:textId="7AB2FC3C" w:rsidR="00F05DC7" w:rsidRPr="005E2BD3" w:rsidRDefault="00F05DC7" w:rsidP="00A3786D">
            <w:pPr>
              <w:keepNext/>
              <w:keepLines/>
              <w:spacing w:before="120" w:line="280" w:lineRule="exact"/>
              <w:ind w:left="1474" w:hanging="1474"/>
              <w:rPr>
                <w:rFonts w:ascii="Arial" w:hAnsi="Arial"/>
                <w:b/>
              </w:rPr>
            </w:pPr>
            <w:r w:rsidRPr="005E2BD3">
              <w:rPr>
                <w:rFonts w:ascii="Arial" w:hAnsi="Arial"/>
              </w:rPr>
              <w:t>Box</w:t>
            </w:r>
            <w:r>
              <w:rPr>
                <w:rFonts w:ascii="Arial" w:hAnsi="Arial"/>
              </w:rPr>
              <w:t> 9.</w:t>
            </w:r>
            <w:r>
              <w:rPr>
                <w:rFonts w:ascii="Arial" w:hAnsi="Arial"/>
                <w:noProof/>
              </w:rPr>
              <w:t>3</w:t>
            </w:r>
            <w:r w:rsidRPr="005E2BD3">
              <w:rPr>
                <w:rFonts w:ascii="Arial" w:hAnsi="Arial"/>
                <w:b/>
              </w:rPr>
              <w:tab/>
              <w:t xml:space="preserve">State and Commonwealth Treasury consultation </w:t>
            </w:r>
          </w:p>
        </w:tc>
      </w:tr>
      <w:tr w:rsidR="00F05DC7" w:rsidRPr="005E2BD3" w14:paraId="7954AD88" w14:textId="77777777" w:rsidTr="00A3786D">
        <w:tc>
          <w:tcPr>
            <w:tcW w:w="5000" w:type="pct"/>
            <w:tcBorders>
              <w:top w:val="nil"/>
              <w:left w:val="nil"/>
              <w:bottom w:val="nil"/>
              <w:right w:val="nil"/>
            </w:tcBorders>
            <w:shd w:val="clear" w:color="auto" w:fill="F2F2F2"/>
          </w:tcPr>
          <w:p w14:paraId="7954AD86" w14:textId="77777777" w:rsidR="00F05DC7" w:rsidRDefault="00F05DC7" w:rsidP="00A3786D">
            <w:pPr>
              <w:keepNext/>
              <w:spacing w:before="120" w:line="260" w:lineRule="atLeast"/>
              <w:jc w:val="both"/>
              <w:rPr>
                <w:rFonts w:ascii="Arial" w:hAnsi="Arial"/>
                <w:color w:val="000000" w:themeColor="text1"/>
                <w:sz w:val="20"/>
                <w:szCs w:val="20"/>
              </w:rPr>
            </w:pPr>
            <w:r w:rsidRPr="005E2BD3">
              <w:rPr>
                <w:rFonts w:ascii="Arial" w:hAnsi="Arial"/>
                <w:color w:val="000000" w:themeColor="text1"/>
                <w:sz w:val="20"/>
                <w:szCs w:val="20"/>
              </w:rPr>
              <w:t xml:space="preserve">The </w:t>
            </w:r>
            <w:r w:rsidRPr="008A0AED">
              <w:rPr>
                <w:rFonts w:ascii="Arial" w:hAnsi="Arial"/>
                <w:color w:val="000000" w:themeColor="text1"/>
                <w:sz w:val="20"/>
                <w:szCs w:val="20"/>
              </w:rPr>
              <w:t xml:space="preserve">key assumptions underpinning the transition analysis were informed by consultation with the </w:t>
            </w:r>
            <w:r>
              <w:rPr>
                <w:rFonts w:ascii="Arial" w:hAnsi="Arial"/>
                <w:color w:val="000000" w:themeColor="text1"/>
                <w:sz w:val="20"/>
                <w:szCs w:val="20"/>
              </w:rPr>
              <w:t xml:space="preserve">Commonwealth </w:t>
            </w:r>
            <w:r w:rsidRPr="008A0AED">
              <w:rPr>
                <w:rFonts w:ascii="Arial" w:hAnsi="Arial"/>
                <w:color w:val="000000" w:themeColor="text1"/>
                <w:sz w:val="20"/>
                <w:szCs w:val="20"/>
              </w:rPr>
              <w:t>and State Treasuries</w:t>
            </w:r>
            <w:r>
              <w:rPr>
                <w:rFonts w:ascii="Arial" w:hAnsi="Arial"/>
                <w:color w:val="000000" w:themeColor="text1"/>
                <w:sz w:val="20"/>
                <w:szCs w:val="20"/>
              </w:rPr>
              <w:t xml:space="preserve">, </w:t>
            </w:r>
            <w:r w:rsidRPr="005E2BD3">
              <w:rPr>
                <w:rFonts w:ascii="Arial" w:hAnsi="Arial"/>
                <w:color w:val="000000" w:themeColor="text1"/>
                <w:sz w:val="20"/>
                <w:szCs w:val="20"/>
              </w:rPr>
              <w:t>includ</w:t>
            </w:r>
            <w:r>
              <w:rPr>
                <w:rFonts w:ascii="Arial" w:hAnsi="Arial"/>
                <w:color w:val="000000" w:themeColor="text1"/>
                <w:sz w:val="20"/>
                <w:szCs w:val="20"/>
              </w:rPr>
              <w:t>ing</w:t>
            </w:r>
            <w:r w:rsidRPr="005E2BD3">
              <w:rPr>
                <w:rFonts w:ascii="Arial" w:hAnsi="Arial"/>
                <w:color w:val="000000" w:themeColor="text1"/>
                <w:sz w:val="20"/>
                <w:szCs w:val="20"/>
              </w:rPr>
              <w:t xml:space="preserve"> seeking feedback on </w:t>
            </w:r>
            <w:r>
              <w:rPr>
                <w:rFonts w:ascii="Arial" w:hAnsi="Arial"/>
                <w:color w:val="000000" w:themeColor="text1"/>
                <w:sz w:val="20"/>
                <w:szCs w:val="20"/>
              </w:rPr>
              <w:t xml:space="preserve">the </w:t>
            </w:r>
            <w:r w:rsidRPr="005E2BD3">
              <w:rPr>
                <w:rFonts w:ascii="Arial" w:hAnsi="Arial"/>
                <w:color w:val="000000" w:themeColor="text1"/>
                <w:sz w:val="20"/>
                <w:szCs w:val="20"/>
              </w:rPr>
              <w:t>projection methodology and data inputs. Each Treasury</w:t>
            </w:r>
            <w:r>
              <w:rPr>
                <w:rFonts w:ascii="Arial" w:hAnsi="Arial"/>
                <w:color w:val="000000" w:themeColor="text1"/>
                <w:sz w:val="20"/>
                <w:szCs w:val="20"/>
              </w:rPr>
              <w:t xml:space="preserve"> Department </w:t>
            </w:r>
            <w:r w:rsidRPr="005E2BD3">
              <w:rPr>
                <w:rFonts w:ascii="Arial" w:hAnsi="Arial"/>
                <w:color w:val="000000" w:themeColor="text1"/>
                <w:sz w:val="20"/>
                <w:szCs w:val="20"/>
              </w:rPr>
              <w:t xml:space="preserve">was </w:t>
            </w:r>
            <w:r>
              <w:rPr>
                <w:rFonts w:ascii="Arial" w:hAnsi="Arial"/>
                <w:color w:val="000000" w:themeColor="text1"/>
                <w:sz w:val="20"/>
                <w:szCs w:val="20"/>
              </w:rPr>
              <w:t xml:space="preserve">asked </w:t>
            </w:r>
            <w:r w:rsidRPr="005E2BD3">
              <w:rPr>
                <w:rFonts w:ascii="Arial" w:hAnsi="Arial"/>
                <w:color w:val="000000" w:themeColor="text1"/>
                <w:sz w:val="20"/>
                <w:szCs w:val="20"/>
              </w:rPr>
              <w:t xml:space="preserve">to share </w:t>
            </w:r>
            <w:r>
              <w:rPr>
                <w:rFonts w:ascii="Arial" w:hAnsi="Arial"/>
                <w:color w:val="000000" w:themeColor="text1"/>
                <w:sz w:val="20"/>
                <w:szCs w:val="20"/>
              </w:rPr>
              <w:t>their</w:t>
            </w:r>
            <w:r w:rsidRPr="005E2BD3">
              <w:rPr>
                <w:rFonts w:ascii="Arial" w:hAnsi="Arial"/>
                <w:color w:val="000000" w:themeColor="text1"/>
                <w:sz w:val="20"/>
                <w:szCs w:val="20"/>
              </w:rPr>
              <w:t xml:space="preserve"> estimates of States’ future GST relativities</w:t>
            </w:r>
            <w:r>
              <w:rPr>
                <w:rFonts w:ascii="Arial" w:hAnsi="Arial"/>
                <w:color w:val="000000" w:themeColor="text1"/>
                <w:sz w:val="20"/>
                <w:szCs w:val="20"/>
              </w:rPr>
              <w:t xml:space="preserve"> (based on the current equalisation benchmark) and the appropriateness of taking a simple average of these to form a ‘best estimate’ of relative State fiscal capacities. Views were also sought on alternative relativity estimation approaches, and the most appropriate method for projecting growth in State populations, revenues, and the GST pool beyond the forward estimates.</w:t>
            </w:r>
          </w:p>
          <w:p w14:paraId="7954AD87" w14:textId="77777777" w:rsidR="00F05DC7" w:rsidRPr="005E2BD3" w:rsidRDefault="00F05DC7" w:rsidP="00A3786D">
            <w:pPr>
              <w:keepNext/>
              <w:spacing w:before="120" w:line="260" w:lineRule="atLeast"/>
              <w:jc w:val="both"/>
              <w:rPr>
                <w:rFonts w:ascii="Arial" w:hAnsi="Arial"/>
                <w:color w:val="000000" w:themeColor="text1"/>
                <w:sz w:val="20"/>
                <w:szCs w:val="20"/>
              </w:rPr>
            </w:pPr>
            <w:r>
              <w:rPr>
                <w:rFonts w:ascii="Arial" w:hAnsi="Arial"/>
                <w:color w:val="000000" w:themeColor="text1"/>
                <w:sz w:val="20"/>
                <w:szCs w:val="20"/>
              </w:rPr>
              <w:t xml:space="preserve">Most States supplied their relativity forecasts </w:t>
            </w:r>
            <w:r w:rsidRPr="005E2BD3">
              <w:rPr>
                <w:rFonts w:ascii="Arial" w:hAnsi="Arial"/>
                <w:color w:val="000000" w:themeColor="text1"/>
                <w:sz w:val="20"/>
                <w:szCs w:val="20"/>
              </w:rPr>
              <w:t>for either part or all of the eight</w:t>
            </w:r>
            <w:r w:rsidRPr="005E2BD3">
              <w:rPr>
                <w:rFonts w:ascii="Arial" w:hAnsi="Arial"/>
                <w:color w:val="000000" w:themeColor="text1"/>
                <w:sz w:val="20"/>
                <w:szCs w:val="20"/>
              </w:rPr>
              <w:noBreakHyphen/>
              <w:t>year projection period</w:t>
            </w:r>
            <w:r>
              <w:rPr>
                <w:rFonts w:ascii="Arial" w:hAnsi="Arial"/>
                <w:color w:val="000000" w:themeColor="text1"/>
                <w:sz w:val="20"/>
                <w:szCs w:val="20"/>
              </w:rPr>
              <w:t xml:space="preserve"> (the Commonwealth Treasury does not forecast GST relativities), with the caveat that forecasts beyond the forward estimates are highly uncertain. State Treasury Departments had differing views on the averaging approach for GST relativities. Some supported the approach on the basis that it can help reduce bias in underlying assumptions. Those that were critical noted (among other things (appendix F, box F.3)) that some jurisdictions simply assume GST relativities remain at their current levels over the projection period and including these estimates as part of an average could increase the forecast error rate. The Commission therefore excluded these forecasts from its best estimate. Most State Treasury Departments also provided views on GST pool growth over the projection period, which informed the Commission’s best estimate of pool growth, and its alternative estimates.</w:t>
            </w:r>
          </w:p>
        </w:tc>
      </w:tr>
      <w:tr w:rsidR="00F05DC7" w:rsidRPr="005E2BD3" w14:paraId="7954AD8A" w14:textId="77777777" w:rsidTr="00A3786D">
        <w:tc>
          <w:tcPr>
            <w:tcW w:w="5000" w:type="pct"/>
            <w:tcBorders>
              <w:top w:val="nil"/>
              <w:left w:val="nil"/>
              <w:bottom w:val="single" w:sz="6" w:space="0" w:color="78A22F"/>
              <w:right w:val="nil"/>
            </w:tcBorders>
            <w:shd w:val="clear" w:color="auto" w:fill="F2F2F2"/>
          </w:tcPr>
          <w:p w14:paraId="7954AD89"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D8C" w14:textId="77777777" w:rsidTr="00A3786D">
        <w:tc>
          <w:tcPr>
            <w:tcW w:w="5000" w:type="pct"/>
            <w:tcBorders>
              <w:top w:val="single" w:sz="6" w:space="0" w:color="78A22F"/>
              <w:left w:val="nil"/>
              <w:bottom w:val="nil"/>
              <w:right w:val="nil"/>
            </w:tcBorders>
          </w:tcPr>
          <w:p w14:paraId="7954AD8B" w14:textId="77777777" w:rsidR="00F05DC7" w:rsidRPr="005E2BD3" w:rsidRDefault="00F05DC7" w:rsidP="00A3786D">
            <w:pPr>
              <w:spacing w:before="60" w:after="60" w:line="80" w:lineRule="exact"/>
              <w:jc w:val="both"/>
              <w:rPr>
                <w:rFonts w:ascii="Arial" w:hAnsi="Arial"/>
                <w:sz w:val="14"/>
                <w:szCs w:val="20"/>
              </w:rPr>
            </w:pPr>
          </w:p>
        </w:tc>
      </w:tr>
    </w:tbl>
    <w:p w14:paraId="7954AD8D" w14:textId="77777777" w:rsidR="00F05DC7" w:rsidRDefault="00F05DC7" w:rsidP="00A3786D">
      <w:pPr>
        <w:pStyle w:val="BodyText"/>
      </w:pPr>
      <w:r w:rsidRPr="005E2BD3">
        <w:t>In per capita terms</w:t>
      </w:r>
      <w:r>
        <w:t xml:space="preserve"> (figure 9.6)</w:t>
      </w:r>
      <w:r w:rsidRPr="005E2BD3">
        <w:t xml:space="preserve"> </w:t>
      </w:r>
      <w:r>
        <w:t>the reduction in GST payments</w:t>
      </w:r>
      <w:r w:rsidRPr="005E2BD3">
        <w:t xml:space="preserve"> range from a</w:t>
      </w:r>
      <w:r>
        <w:t>n annual</w:t>
      </w:r>
      <w:r w:rsidRPr="005E2BD3">
        <w:t xml:space="preserve"> increase of</w:t>
      </w:r>
      <w:r>
        <w:t xml:space="preserve"> about</w:t>
      </w:r>
      <w:r w:rsidRPr="005E2BD3">
        <w:t xml:space="preserve"> $</w:t>
      </w:r>
      <w:r>
        <w:t>676 </w:t>
      </w:r>
      <w:r w:rsidRPr="005E2BD3">
        <w:t>per capita in Western Australia (</w:t>
      </w:r>
      <w:r>
        <w:t>in 2022</w:t>
      </w:r>
      <w:r>
        <w:noBreakHyphen/>
        <w:t>23</w:t>
      </w:r>
      <w:r w:rsidRPr="005E2BD3">
        <w:t>) to a</w:t>
      </w:r>
      <w:r>
        <w:t>n annual</w:t>
      </w:r>
      <w:r w:rsidRPr="005E2BD3">
        <w:t xml:space="preserve"> decrease of about $</w:t>
      </w:r>
      <w:r>
        <w:t>333 </w:t>
      </w:r>
      <w:r w:rsidRPr="005E2BD3">
        <w:t>per</w:t>
      </w:r>
      <w:r>
        <w:t> </w:t>
      </w:r>
      <w:r w:rsidRPr="005E2BD3">
        <w:t xml:space="preserve">capita in Queensland, South Australia, Tasmania, the ACT and the </w:t>
      </w:r>
      <w:r>
        <w:t>Northern Territory</w:t>
      </w:r>
      <w:r w:rsidRPr="005E2BD3">
        <w:t xml:space="preserve"> </w:t>
      </w:r>
      <w:r>
        <w:t>by 2022</w:t>
      </w:r>
      <w:r>
        <w:noBreakHyphen/>
        <w:t>23</w:t>
      </w:r>
      <w:r w:rsidRPr="005E2BD3">
        <w:t>. With an eight year transition these figures are halved.</w:t>
      </w:r>
      <w:r>
        <w:t xml:space="preserve"> </w:t>
      </w:r>
    </w:p>
    <w:p w14:paraId="7954AD8F" w14:textId="77777777" w:rsidR="00F05DC7" w:rsidRDefault="00F05DC7" w:rsidP="00A3786D">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D92" w14:textId="77777777" w:rsidTr="00A3786D">
        <w:trPr>
          <w:tblHeader/>
        </w:trPr>
        <w:tc>
          <w:tcPr>
            <w:tcW w:w="5000" w:type="pct"/>
            <w:tcBorders>
              <w:top w:val="single" w:sz="6" w:space="0" w:color="78A22F"/>
              <w:left w:val="nil"/>
              <w:bottom w:val="nil"/>
              <w:right w:val="nil"/>
            </w:tcBorders>
            <w:shd w:val="clear" w:color="auto" w:fill="auto"/>
          </w:tcPr>
          <w:p w14:paraId="7954AD90" w14:textId="4AC261EA" w:rsidR="00F05DC7" w:rsidRPr="00176D3F" w:rsidRDefault="00F05DC7" w:rsidP="00A3786D">
            <w:pPr>
              <w:pStyle w:val="FigureTitle"/>
            </w:pPr>
            <w:r w:rsidRPr="00784A05">
              <w:rPr>
                <w:b w:val="0"/>
              </w:rPr>
              <w:t xml:space="preserve">Figure </w:t>
            </w:r>
            <w:r>
              <w:rPr>
                <w:b w:val="0"/>
              </w:rPr>
              <w:t>9.4</w:t>
            </w:r>
            <w:r>
              <w:tab/>
              <w:t>Two transition paths to ETA: phasing GST impacts over time</w:t>
            </w:r>
          </w:p>
          <w:p w14:paraId="7954AD91" w14:textId="77777777" w:rsidR="00F05DC7" w:rsidRPr="00176D3F" w:rsidRDefault="00F05DC7" w:rsidP="00A3786D">
            <w:pPr>
              <w:pStyle w:val="Subtitle"/>
            </w:pPr>
            <w:r>
              <w:t>Transitioning to ETA: Change in GST payments (relative to current benchmark) as a share of State revenue, best estimate scenario, 2019</w:t>
            </w:r>
            <w:r>
              <w:noBreakHyphen/>
              <w:t>20 to 2026</w:t>
            </w:r>
            <w:r>
              <w:noBreakHyphen/>
              <w:t>27</w:t>
            </w:r>
            <w:r w:rsidRPr="008C54FC">
              <w:rPr>
                <w:rStyle w:val="NoteLabel"/>
              </w:rPr>
              <w:t>a</w:t>
            </w:r>
          </w:p>
        </w:tc>
      </w:tr>
      <w:tr w:rsidR="00F05DC7" w14:paraId="7954AD9C" w14:textId="77777777" w:rsidTr="00A3786D">
        <w:tc>
          <w:tcPr>
            <w:tcW w:w="5000" w:type="pct"/>
            <w:tcBorders>
              <w:top w:val="nil"/>
              <w:left w:val="nil"/>
              <w:bottom w:val="nil"/>
              <w:right w:val="nil"/>
            </w:tcBorders>
            <w:shd w:val="clear" w:color="auto" w:fill="auto"/>
            <w:tcMar>
              <w:top w:w="28" w:type="dxa"/>
              <w:bottom w:w="28" w:type="dxa"/>
            </w:tcMar>
          </w:tcPr>
          <w:p w14:paraId="7954AD9B" w14:textId="1FB576B1" w:rsidR="00F05DC7" w:rsidRPr="00855ABD" w:rsidRDefault="008C3DEF" w:rsidP="00855ABD">
            <w:pPr>
              <w:pStyle w:val="Figure"/>
              <w:spacing w:before="60" w:after="60"/>
              <w:rPr>
                <w:rFonts w:ascii="Arial" w:hAnsi="Arial" w:cs="Arial"/>
                <w:sz w:val="18"/>
                <w:szCs w:val="18"/>
              </w:rPr>
            </w:pPr>
            <w:r w:rsidRPr="008C3DEF">
              <w:rPr>
                <w:rFonts w:ascii="Arial" w:hAnsi="Arial" w:cs="Arial"/>
                <w:noProof/>
                <w:sz w:val="18"/>
                <w:szCs w:val="18"/>
              </w:rPr>
              <w:drawing>
                <wp:inline distT="0" distB="0" distL="0" distR="0" wp14:anchorId="4424E86F" wp14:editId="65723FA3">
                  <wp:extent cx="5040000" cy="7192824"/>
                  <wp:effectExtent l="0" t="0" r="0" b="8255"/>
                  <wp:docPr id="27" name="Picture 27" descr="Under a four year transition to equalising to the average, New South Wales experiences a gain in GST payments of just over 2 per cent of State revenue by 2022-23. Under an eight year transition, the revenue gains are spread over a longer time period, reaching a maximum of nearly 2 per cent by 2026-27.&#10;For Victoria, the largest reduction in its GST payments (relative to what it would have received under the current benchmark) with a four transition occurs in 2022-23, when GST payments as a proportion of State revenue fall by about 1.25 per cent. GST payments steadily trend back upwards. With an eight year transition, the largest decline is 0.64 per cent of State revenue.&#10;Queensland’s revenue declines under a four year transition by a maximum of about 2.7 per cent of total State revenue in 2022-23. The maximum decline under an eight year transition is about the same (in 2026-27).&#10;Under a four year transition, Western Australia experiences an maximum increase in their GST payments of about 5.2 per cent of total State revenue in 2022-23, before decreasing to a gain of about 3.1 per cent in 2026-27. For an eight year transition, the maximum gain is 3.1 per cent in 2026-27.&#10;South Australia, Tasmania and the ACT all experience a similar reduction in their GST payments. Under a four year transition they decrease by about 2.8 per cent of total State revenue by 2022-23, and stay at about that proportion lower until 2026-27. With an eight year transition GST payments trend steadily downwards until 2026-27, where they are projected to be about 2.8 per cent lower as a proportion of State revenue. &#10;Under a four year transition, GST payments to the Northern Territory decrease by about 1.3 per cent of total State revenue by 2022-23, and stay at about that proportion lower until 2026-27. With an eight year transition GST payments trend steadily downwards until 2026-27, where they are projected to be about 1.2 per cent lower as a proportion of State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40000" cy="7192824"/>
                          </a:xfrm>
                          <a:prstGeom prst="rect">
                            <a:avLst/>
                          </a:prstGeom>
                          <a:noFill/>
                          <a:ln>
                            <a:noFill/>
                          </a:ln>
                        </pic:spPr>
                      </pic:pic>
                    </a:graphicData>
                  </a:graphic>
                </wp:inline>
              </w:drawing>
            </w:r>
          </w:p>
        </w:tc>
      </w:tr>
      <w:tr w:rsidR="00F05DC7" w:rsidRPr="00176D3F" w14:paraId="7954AD9E" w14:textId="77777777" w:rsidTr="00A3786D">
        <w:tc>
          <w:tcPr>
            <w:tcW w:w="5000" w:type="pct"/>
            <w:tcBorders>
              <w:top w:val="nil"/>
              <w:left w:val="nil"/>
              <w:bottom w:val="nil"/>
              <w:right w:val="nil"/>
            </w:tcBorders>
            <w:shd w:val="clear" w:color="auto" w:fill="auto"/>
          </w:tcPr>
          <w:p w14:paraId="7954AD9D" w14:textId="77777777" w:rsidR="00F05DC7" w:rsidRPr="00176D3F" w:rsidRDefault="00F05DC7" w:rsidP="00A3786D">
            <w:pPr>
              <w:pStyle w:val="Note"/>
            </w:pPr>
            <w:r>
              <w:rPr>
                <w:rStyle w:val="NoteLabel"/>
              </w:rPr>
              <w:t>a</w:t>
            </w:r>
            <w:r>
              <w:t xml:space="preserve"> The total change in each State’s GST payments in millions of dollars is presented in appendix F.</w:t>
            </w:r>
          </w:p>
        </w:tc>
      </w:tr>
      <w:tr w:rsidR="00F05DC7" w:rsidRPr="00176D3F" w14:paraId="7954ADA0" w14:textId="77777777" w:rsidTr="00A3786D">
        <w:tc>
          <w:tcPr>
            <w:tcW w:w="5000" w:type="pct"/>
            <w:tcBorders>
              <w:top w:val="nil"/>
              <w:left w:val="nil"/>
              <w:bottom w:val="nil"/>
              <w:right w:val="nil"/>
            </w:tcBorders>
            <w:shd w:val="clear" w:color="auto" w:fill="auto"/>
          </w:tcPr>
          <w:p w14:paraId="7954AD9F" w14:textId="04E0E597" w:rsidR="00F05DC7" w:rsidRPr="00176D3F" w:rsidRDefault="00F05DC7" w:rsidP="00A3786D">
            <w:pPr>
              <w:pStyle w:val="Source"/>
            </w:pPr>
            <w:r>
              <w:rPr>
                <w:i/>
              </w:rPr>
              <w:t>S</w:t>
            </w:r>
            <w:r w:rsidRPr="00784A05">
              <w:rPr>
                <w:i/>
              </w:rPr>
              <w:t>ource</w:t>
            </w:r>
            <w:r w:rsidRPr="00176D3F">
              <w:t xml:space="preserve">: </w:t>
            </w:r>
            <w:r>
              <w:t>Pr</w:t>
            </w:r>
            <w:r w:rsidR="002E1D11">
              <w:t>oductivity Commission estimates;</w:t>
            </w:r>
            <w:r>
              <w:t xml:space="preserve"> appendix F.</w:t>
            </w:r>
          </w:p>
        </w:tc>
      </w:tr>
      <w:tr w:rsidR="00F05DC7" w14:paraId="7954ADA2" w14:textId="77777777" w:rsidTr="00A3786D">
        <w:tc>
          <w:tcPr>
            <w:tcW w:w="5000" w:type="pct"/>
            <w:tcBorders>
              <w:top w:val="nil"/>
              <w:left w:val="nil"/>
              <w:bottom w:val="single" w:sz="6" w:space="0" w:color="78A22F"/>
              <w:right w:val="nil"/>
            </w:tcBorders>
            <w:shd w:val="clear" w:color="auto" w:fill="auto"/>
          </w:tcPr>
          <w:p w14:paraId="7954ADA1" w14:textId="77777777" w:rsidR="00F05DC7" w:rsidRDefault="00F05DC7" w:rsidP="00A3786D">
            <w:pPr>
              <w:pStyle w:val="Figurespace"/>
            </w:pPr>
          </w:p>
        </w:tc>
      </w:tr>
      <w:tr w:rsidR="00F05DC7" w:rsidRPr="000863A5" w14:paraId="7954ADA4" w14:textId="77777777" w:rsidTr="00A3786D">
        <w:tc>
          <w:tcPr>
            <w:tcW w:w="5000" w:type="pct"/>
            <w:tcBorders>
              <w:top w:val="single" w:sz="6" w:space="0" w:color="78A22F"/>
              <w:left w:val="nil"/>
              <w:bottom w:val="nil"/>
              <w:right w:val="nil"/>
            </w:tcBorders>
          </w:tcPr>
          <w:p w14:paraId="7954ADA3" w14:textId="77777777" w:rsidR="00F05DC7" w:rsidRPr="00626D32" w:rsidRDefault="00F05DC7" w:rsidP="00A3786D">
            <w:pPr>
              <w:pStyle w:val="BoxSpaceBelow"/>
            </w:pPr>
          </w:p>
        </w:tc>
      </w:tr>
    </w:tbl>
    <w:p w14:paraId="7954ADA5"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DA8" w14:textId="77777777" w:rsidTr="00A3786D">
        <w:trPr>
          <w:tblHeader/>
        </w:trPr>
        <w:tc>
          <w:tcPr>
            <w:tcW w:w="5000" w:type="pct"/>
            <w:tcBorders>
              <w:top w:val="single" w:sz="6" w:space="0" w:color="78A22F"/>
              <w:left w:val="nil"/>
              <w:bottom w:val="nil"/>
              <w:right w:val="nil"/>
            </w:tcBorders>
            <w:shd w:val="clear" w:color="auto" w:fill="auto"/>
          </w:tcPr>
          <w:p w14:paraId="7954ADA6" w14:textId="2552AC23" w:rsidR="00F05DC7" w:rsidRDefault="00F05DC7" w:rsidP="00A3786D">
            <w:pPr>
              <w:pStyle w:val="FigureTitle"/>
            </w:pPr>
            <w:r w:rsidRPr="00784A05">
              <w:rPr>
                <w:b w:val="0"/>
              </w:rPr>
              <w:t xml:space="preserve">Figure </w:t>
            </w:r>
            <w:r>
              <w:rPr>
                <w:b w:val="0"/>
              </w:rPr>
              <w:t>9.5</w:t>
            </w:r>
            <w:r>
              <w:tab/>
              <w:t>Transitioning to ETA: the year-on-year impacts on State budgets are likely to prove manageable</w:t>
            </w:r>
          </w:p>
          <w:p w14:paraId="7954ADA7" w14:textId="77777777" w:rsidR="00F05DC7" w:rsidRPr="00176D3F" w:rsidRDefault="00F05DC7" w:rsidP="00A3786D">
            <w:pPr>
              <w:pStyle w:val="Subtitle"/>
            </w:pPr>
            <w:r>
              <w:t>Year-on-year change (incremental change from previous year) in GST payments (relative to the current benchmark) as a share of State revenue, best estimate scenario, 2019</w:t>
            </w:r>
            <w:r>
              <w:noBreakHyphen/>
              <w:t>20 to 2026</w:t>
            </w:r>
            <w:r>
              <w:noBreakHyphen/>
              <w:t>27</w:t>
            </w:r>
            <w:r w:rsidRPr="008C54FC">
              <w:rPr>
                <w:rStyle w:val="NoteLabel"/>
              </w:rPr>
              <w:t>a</w:t>
            </w:r>
          </w:p>
        </w:tc>
      </w:tr>
      <w:tr w:rsidR="00F05DC7" w14:paraId="7954ADB2" w14:textId="77777777" w:rsidTr="00A3786D">
        <w:tc>
          <w:tcPr>
            <w:tcW w:w="5000" w:type="pct"/>
            <w:tcBorders>
              <w:top w:val="nil"/>
              <w:left w:val="nil"/>
              <w:bottom w:val="nil"/>
              <w:right w:val="nil"/>
            </w:tcBorders>
            <w:shd w:val="clear" w:color="auto" w:fill="auto"/>
            <w:tcMar>
              <w:top w:w="28" w:type="dxa"/>
              <w:bottom w:w="28" w:type="dxa"/>
            </w:tcMar>
          </w:tcPr>
          <w:p w14:paraId="7954ADB1" w14:textId="1686480C" w:rsidR="00F05DC7" w:rsidRPr="002767BB" w:rsidRDefault="008C3DEF" w:rsidP="002767BB">
            <w:pPr>
              <w:pStyle w:val="Figure"/>
              <w:spacing w:before="60" w:after="60"/>
              <w:rPr>
                <w:rFonts w:ascii="Arial" w:hAnsi="Arial" w:cs="Arial"/>
                <w:sz w:val="18"/>
                <w:szCs w:val="18"/>
              </w:rPr>
            </w:pPr>
            <w:r w:rsidRPr="008C3DEF">
              <w:rPr>
                <w:rFonts w:ascii="Arial" w:hAnsi="Arial" w:cs="Arial"/>
                <w:noProof/>
                <w:sz w:val="18"/>
                <w:szCs w:val="18"/>
              </w:rPr>
              <w:drawing>
                <wp:inline distT="0" distB="0" distL="0" distR="0" wp14:anchorId="03E5BAAC" wp14:editId="10AD50E5">
                  <wp:extent cx="4952094" cy="6876000"/>
                  <wp:effectExtent l="0" t="0" r="0" b="1270"/>
                  <wp:docPr id="29" name="Picture 29" descr="Under a four year transition to equalising to the average, New South Wales experiences year on year changes in GST payments of about 0.5 per cent of total State revenue over the period 2022-23. Under an eight year transition, the year on year change in GST payments remain flat at about 0.25 per cent over the projection period.&#10;For Victoria, the largest year on year change in GST payments under a four transition occurs in 2019-20 (a reduction of 0.42 per cent of total State revenue). The reduction in subsequent years is slightly less. With an eight year transition, the largest decline occurs in 2019-2020 (0.2 per cent) before increasing gradually and returning to a positive value of around 2024-25.&#10;For Queensland, the largest year on year change in GST payments under a four transition occurs in 2022-23 (a reduction of 0.81 per cent of total State revenue). With an eight year transition, the year on year change in GST payments remains constant at about negative 0.35 per cent.&#10;For Western Australia the largest year on year change in GST payments under a four year transition occurs in 2019-2020 (an increase of 1.76 per cent of total State revenue). With an eight year transition path the largest increase occurs in 2019-20 (about 0.8 per cent) before gradually declining to an increase of about 0.31 per cent by 2026-27.&#10;South Australia, Tasmania and the ACT all experience a similar year-on-year reduction in their GST payments. Under a four year transition , the year on year decrease in GST payments is about 0.7 per cent of total State revenue in 2019-20, increasing to a reduction of about 0.8 per cent of total State revenue in 2022-23. With an eight year transition, the year on year decrease in GST payments remains broadly constant at about 0.3 per cent.&#10;For the Northern Territory the largest year on year change in GST payments under a four year transition occurs in 2022-23 (a reduction of 0.37 per cent of total State revenue). With an eight year transition, the year on year reduction in GST payments remains broadly constant at about 0.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952094" cy="6876000"/>
                          </a:xfrm>
                          <a:prstGeom prst="rect">
                            <a:avLst/>
                          </a:prstGeom>
                          <a:noFill/>
                          <a:ln>
                            <a:noFill/>
                          </a:ln>
                        </pic:spPr>
                      </pic:pic>
                    </a:graphicData>
                  </a:graphic>
                </wp:inline>
              </w:drawing>
            </w:r>
          </w:p>
        </w:tc>
      </w:tr>
      <w:tr w:rsidR="00F05DC7" w:rsidRPr="00176D3F" w14:paraId="7954ADB4" w14:textId="77777777" w:rsidTr="00A3786D">
        <w:tc>
          <w:tcPr>
            <w:tcW w:w="5000" w:type="pct"/>
            <w:tcBorders>
              <w:top w:val="nil"/>
              <w:left w:val="nil"/>
              <w:bottom w:val="nil"/>
              <w:right w:val="nil"/>
            </w:tcBorders>
            <w:shd w:val="clear" w:color="auto" w:fill="auto"/>
          </w:tcPr>
          <w:p w14:paraId="7954ADB3" w14:textId="77777777" w:rsidR="00F05DC7" w:rsidRPr="00176D3F" w:rsidRDefault="00F05DC7" w:rsidP="00A3786D">
            <w:pPr>
              <w:pStyle w:val="Note"/>
            </w:pPr>
            <w:r>
              <w:rPr>
                <w:rStyle w:val="NoteLabel"/>
              </w:rPr>
              <w:t>a</w:t>
            </w:r>
            <w:r>
              <w:t xml:space="preserve"> The year-on-year change in each State’s GST payments in millions of dollars is presented in appendix F.</w:t>
            </w:r>
          </w:p>
        </w:tc>
      </w:tr>
      <w:tr w:rsidR="00F05DC7" w:rsidRPr="00176D3F" w14:paraId="7954ADB6" w14:textId="77777777" w:rsidTr="00A3786D">
        <w:tc>
          <w:tcPr>
            <w:tcW w:w="5000" w:type="pct"/>
            <w:tcBorders>
              <w:top w:val="nil"/>
              <w:left w:val="nil"/>
              <w:bottom w:val="nil"/>
              <w:right w:val="nil"/>
            </w:tcBorders>
            <w:shd w:val="clear" w:color="auto" w:fill="auto"/>
          </w:tcPr>
          <w:p w14:paraId="7954ADB5" w14:textId="372D4C43" w:rsidR="00F05DC7" w:rsidRPr="00176D3F" w:rsidRDefault="00F05DC7" w:rsidP="002E1D11">
            <w:pPr>
              <w:pStyle w:val="Source"/>
            </w:pPr>
            <w:r>
              <w:rPr>
                <w:i/>
              </w:rPr>
              <w:t>S</w:t>
            </w:r>
            <w:r w:rsidRPr="00784A05">
              <w:rPr>
                <w:i/>
              </w:rPr>
              <w:t>ource</w:t>
            </w:r>
            <w:r w:rsidRPr="00176D3F">
              <w:t xml:space="preserve">: </w:t>
            </w:r>
            <w:r>
              <w:t>Productivity Commission estimates</w:t>
            </w:r>
            <w:r w:rsidR="002E1D11">
              <w:t>;</w:t>
            </w:r>
            <w:r>
              <w:t xml:space="preserve"> appendix F.</w:t>
            </w:r>
          </w:p>
        </w:tc>
      </w:tr>
      <w:tr w:rsidR="00F05DC7" w14:paraId="7954ADB8" w14:textId="77777777" w:rsidTr="00A3786D">
        <w:tc>
          <w:tcPr>
            <w:tcW w:w="5000" w:type="pct"/>
            <w:tcBorders>
              <w:top w:val="nil"/>
              <w:left w:val="nil"/>
              <w:bottom w:val="single" w:sz="6" w:space="0" w:color="78A22F"/>
              <w:right w:val="nil"/>
            </w:tcBorders>
            <w:shd w:val="clear" w:color="auto" w:fill="auto"/>
          </w:tcPr>
          <w:p w14:paraId="7954ADB7" w14:textId="77777777" w:rsidR="00F05DC7" w:rsidRDefault="00F05DC7" w:rsidP="00A3786D">
            <w:pPr>
              <w:pStyle w:val="Figurespace"/>
            </w:pPr>
          </w:p>
        </w:tc>
      </w:tr>
      <w:tr w:rsidR="00F05DC7" w:rsidRPr="000863A5" w14:paraId="7954ADBA" w14:textId="77777777" w:rsidTr="00A3786D">
        <w:tc>
          <w:tcPr>
            <w:tcW w:w="5000" w:type="pct"/>
            <w:tcBorders>
              <w:top w:val="single" w:sz="6" w:space="0" w:color="78A22F"/>
              <w:left w:val="nil"/>
              <w:bottom w:val="nil"/>
              <w:right w:val="nil"/>
            </w:tcBorders>
          </w:tcPr>
          <w:p w14:paraId="7954ADB9" w14:textId="77777777" w:rsidR="00F05DC7" w:rsidRPr="00626D32" w:rsidRDefault="00F05DC7" w:rsidP="00A3786D">
            <w:pPr>
              <w:pStyle w:val="BoxSpaceBelow"/>
            </w:pPr>
          </w:p>
        </w:tc>
      </w:tr>
    </w:tbl>
    <w:p w14:paraId="7954ADBB"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DBE" w14:textId="77777777" w:rsidTr="00A3786D">
        <w:trPr>
          <w:tblHeader/>
        </w:trPr>
        <w:tc>
          <w:tcPr>
            <w:tcW w:w="5000" w:type="pct"/>
            <w:tcBorders>
              <w:top w:val="single" w:sz="6" w:space="0" w:color="78A22F"/>
              <w:left w:val="nil"/>
              <w:bottom w:val="nil"/>
              <w:right w:val="nil"/>
            </w:tcBorders>
            <w:shd w:val="clear" w:color="auto" w:fill="auto"/>
          </w:tcPr>
          <w:p w14:paraId="7954ADBC" w14:textId="571FBF2A" w:rsidR="00F05DC7" w:rsidRDefault="00F05DC7" w:rsidP="00A3786D">
            <w:pPr>
              <w:pStyle w:val="FigureTitle"/>
            </w:pPr>
            <w:r w:rsidRPr="00784A05">
              <w:rPr>
                <w:b w:val="0"/>
              </w:rPr>
              <w:t xml:space="preserve">Figure </w:t>
            </w:r>
            <w:r>
              <w:rPr>
                <w:b w:val="0"/>
              </w:rPr>
              <w:t>9.6</w:t>
            </w:r>
            <w:r>
              <w:tab/>
              <w:t xml:space="preserve">Transitioning to ETA: change in GST payments per capita </w:t>
            </w:r>
          </w:p>
          <w:p w14:paraId="7954ADBD" w14:textId="77777777" w:rsidR="00F05DC7" w:rsidRPr="00176D3F" w:rsidRDefault="00F05DC7" w:rsidP="00A3786D">
            <w:pPr>
              <w:pStyle w:val="Subtitle"/>
            </w:pPr>
            <w:r>
              <w:t>Relative to current benchmark, b</w:t>
            </w:r>
            <w:r w:rsidRPr="005E2BD3">
              <w:t xml:space="preserve">est estimate </w:t>
            </w:r>
            <w:r>
              <w:t>scenario, 2019</w:t>
            </w:r>
            <w:r>
              <w:noBreakHyphen/>
              <w:t>20 to 2026</w:t>
            </w:r>
            <w:r>
              <w:noBreakHyphen/>
              <w:t>27</w:t>
            </w:r>
          </w:p>
        </w:tc>
      </w:tr>
      <w:tr w:rsidR="00F05DC7" w14:paraId="7954ADC2"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05DC7" w:rsidRPr="00B1465D" w14:paraId="7954ADC0" w14:textId="77777777" w:rsidTr="00A3786D">
              <w:trPr>
                <w:tblHeader/>
                <w:jc w:val="center"/>
              </w:trPr>
              <w:tc>
                <w:tcPr>
                  <w:tcW w:w="5000" w:type="pct"/>
                  <w:tcBorders>
                    <w:top w:val="nil"/>
                    <w:bottom w:val="nil"/>
                  </w:tcBorders>
                </w:tcPr>
                <w:p w14:paraId="7954ADBF" w14:textId="77777777" w:rsidR="00F05DC7" w:rsidRPr="00B1465D" w:rsidRDefault="00F05DC7" w:rsidP="00A3786D">
                  <w:pPr>
                    <w:pStyle w:val="Figure"/>
                    <w:spacing w:before="60" w:after="60"/>
                    <w:rPr>
                      <w:rFonts w:ascii="Arial" w:hAnsi="Arial" w:cs="Arial"/>
                      <w:sz w:val="18"/>
                      <w:szCs w:val="18"/>
                    </w:rPr>
                  </w:pPr>
                  <w:r w:rsidRPr="000A2150">
                    <w:rPr>
                      <w:rFonts w:ascii="Arial" w:hAnsi="Arial" w:cs="Arial"/>
                      <w:noProof/>
                      <w:sz w:val="18"/>
                      <w:szCs w:val="18"/>
                    </w:rPr>
                    <w:drawing>
                      <wp:inline distT="0" distB="0" distL="0" distR="0" wp14:anchorId="7954D65B" wp14:editId="7954D65C">
                        <wp:extent cx="5392420" cy="2073910"/>
                        <wp:effectExtent l="0" t="0" r="0" b="2540"/>
                        <wp:docPr id="110" name="Picture 110" descr="New South Wales and Western Australia experience an increase in GST payments per capita under a transition to equalising to the average. &#10;Under the four year transition, GST payments to Western Australia increase by about $200 per capita in 2019-12, increasing to about $675 per capita by 2022-23. With an eight year transition these figures are halved over this period. Beyond 2022-23, GST payments decrease by about $450 per capita in 2026-27 &#10;Under the four year transition, GST payments to New South wales increase by about $40 per capita in 2019-12, increasing to about $220 per capita by 2022-23. With an eight year transition these figures are halved. The increase in GST payments is about $230 in 2026-27.&#10;Victoria undergoes a reduction in GST payments per capita. This reduction fluctuates between about $40 and $140 per capita over the projection period (with an eight year transition these figures are halved). &#10;The remaining States (Queensland, South Australia Tasmania, the ACT and the NT) all have a reduction in their GST payments of about $70 per capita in 2019-20, increasing to a reduction of about $330 by 2022-23. For an eight year transition these figures are halved. The reduction in GST payments to these States is about $350 by 2026-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92420" cy="2073910"/>
                                </a:xfrm>
                                <a:prstGeom prst="rect">
                                  <a:avLst/>
                                </a:prstGeom>
                                <a:noFill/>
                                <a:ln>
                                  <a:noFill/>
                                </a:ln>
                              </pic:spPr>
                            </pic:pic>
                          </a:graphicData>
                        </a:graphic>
                      </wp:inline>
                    </w:drawing>
                  </w:r>
                </w:p>
              </w:tc>
            </w:tr>
          </w:tbl>
          <w:p w14:paraId="7954ADC1" w14:textId="77777777" w:rsidR="00F05DC7" w:rsidRDefault="00F05DC7" w:rsidP="00A3786D">
            <w:pPr>
              <w:pStyle w:val="Figure"/>
            </w:pPr>
          </w:p>
        </w:tc>
      </w:tr>
      <w:tr w:rsidR="00F05DC7" w:rsidRPr="00176D3F" w14:paraId="7954ADC4" w14:textId="77777777" w:rsidTr="00A3786D">
        <w:tc>
          <w:tcPr>
            <w:tcW w:w="5000" w:type="pct"/>
            <w:tcBorders>
              <w:top w:val="nil"/>
              <w:left w:val="nil"/>
              <w:bottom w:val="nil"/>
              <w:right w:val="nil"/>
            </w:tcBorders>
            <w:shd w:val="clear" w:color="auto" w:fill="auto"/>
          </w:tcPr>
          <w:p w14:paraId="7954ADC3" w14:textId="77777777" w:rsidR="00F05DC7" w:rsidRPr="00176D3F" w:rsidRDefault="00F05DC7" w:rsidP="00A3786D">
            <w:pPr>
              <w:pStyle w:val="Source"/>
            </w:pPr>
            <w:r>
              <w:rPr>
                <w:i/>
              </w:rPr>
              <w:t>S</w:t>
            </w:r>
            <w:r w:rsidRPr="00784A05">
              <w:rPr>
                <w:i/>
              </w:rPr>
              <w:t>ource</w:t>
            </w:r>
            <w:r w:rsidRPr="00176D3F">
              <w:t xml:space="preserve">: </w:t>
            </w:r>
            <w:r>
              <w:t>Productivity Commission estimates: appendix F.</w:t>
            </w:r>
          </w:p>
        </w:tc>
      </w:tr>
      <w:tr w:rsidR="00F05DC7" w14:paraId="7954ADC6" w14:textId="77777777" w:rsidTr="00A3786D">
        <w:tc>
          <w:tcPr>
            <w:tcW w:w="5000" w:type="pct"/>
            <w:tcBorders>
              <w:top w:val="nil"/>
              <w:left w:val="nil"/>
              <w:bottom w:val="single" w:sz="6" w:space="0" w:color="78A22F"/>
              <w:right w:val="nil"/>
            </w:tcBorders>
            <w:shd w:val="clear" w:color="auto" w:fill="auto"/>
          </w:tcPr>
          <w:p w14:paraId="7954ADC5" w14:textId="77777777" w:rsidR="00F05DC7" w:rsidRDefault="00F05DC7" w:rsidP="00A3786D">
            <w:pPr>
              <w:pStyle w:val="Figurespace"/>
            </w:pPr>
          </w:p>
        </w:tc>
      </w:tr>
      <w:tr w:rsidR="00F05DC7" w:rsidRPr="000863A5" w14:paraId="7954ADC8" w14:textId="77777777" w:rsidTr="00A3786D">
        <w:tc>
          <w:tcPr>
            <w:tcW w:w="5000" w:type="pct"/>
            <w:tcBorders>
              <w:top w:val="single" w:sz="6" w:space="0" w:color="78A22F"/>
              <w:left w:val="nil"/>
              <w:bottom w:val="nil"/>
              <w:right w:val="nil"/>
            </w:tcBorders>
          </w:tcPr>
          <w:p w14:paraId="7954ADC7" w14:textId="77777777" w:rsidR="00F05DC7" w:rsidRPr="00626D32" w:rsidRDefault="00F05DC7" w:rsidP="00A3786D">
            <w:pPr>
              <w:pStyle w:val="BoxSpaceBelow"/>
            </w:pPr>
          </w:p>
        </w:tc>
      </w:tr>
    </w:tbl>
    <w:p w14:paraId="7954ADC9" w14:textId="77777777" w:rsidR="00F05DC7" w:rsidRPr="005E2BD3" w:rsidRDefault="00F05DC7" w:rsidP="00A3786D">
      <w:pPr>
        <w:keepNext/>
        <w:spacing w:before="560" w:line="320" w:lineRule="exact"/>
        <w:outlineLvl w:val="2"/>
        <w:rPr>
          <w:rFonts w:ascii="Arial" w:hAnsi="Arial"/>
          <w:b/>
          <w:sz w:val="26"/>
          <w:szCs w:val="20"/>
        </w:rPr>
      </w:pPr>
      <w:r>
        <w:rPr>
          <w:rFonts w:ascii="Arial" w:hAnsi="Arial"/>
          <w:b/>
          <w:sz w:val="26"/>
          <w:szCs w:val="20"/>
        </w:rPr>
        <w:t xml:space="preserve">Alternative scenarios for future GST payments </w:t>
      </w:r>
    </w:p>
    <w:p w14:paraId="7954ADCA" w14:textId="77777777" w:rsidR="00F05DC7" w:rsidRDefault="00F05DC7" w:rsidP="00A3786D">
      <w:pPr>
        <w:spacing w:before="240" w:line="300" w:lineRule="atLeast"/>
        <w:jc w:val="both"/>
        <w:rPr>
          <w:szCs w:val="20"/>
        </w:rPr>
      </w:pPr>
      <w:r>
        <w:rPr>
          <w:szCs w:val="20"/>
        </w:rPr>
        <w:t>E</w:t>
      </w:r>
      <w:r w:rsidRPr="005E2BD3">
        <w:rPr>
          <w:szCs w:val="20"/>
        </w:rPr>
        <w:t xml:space="preserve">conomic variables do not always evolve as State and Commonwealth Treasuries expect and it is difficult to accurately </w:t>
      </w:r>
      <w:r>
        <w:rPr>
          <w:szCs w:val="20"/>
        </w:rPr>
        <w:t>project</w:t>
      </w:r>
      <w:r w:rsidRPr="005E2BD3">
        <w:rPr>
          <w:szCs w:val="20"/>
        </w:rPr>
        <w:t xml:space="preserve"> how fiscal capacities will develop over the long term.</w:t>
      </w:r>
      <w:r>
        <w:rPr>
          <w:szCs w:val="20"/>
        </w:rPr>
        <w:t xml:space="preserve"> Scenario analysis </w:t>
      </w:r>
      <w:r w:rsidRPr="005E2BD3">
        <w:rPr>
          <w:szCs w:val="20"/>
        </w:rPr>
        <w:t>has been used to</w:t>
      </w:r>
      <w:r>
        <w:rPr>
          <w:szCs w:val="20"/>
        </w:rPr>
        <w:t xml:space="preserve"> consider two </w:t>
      </w:r>
      <w:r w:rsidRPr="005E2BD3">
        <w:rPr>
          <w:szCs w:val="20"/>
        </w:rPr>
        <w:t xml:space="preserve">alternative </w:t>
      </w:r>
      <w:r>
        <w:rPr>
          <w:szCs w:val="20"/>
        </w:rPr>
        <w:t>outcomes for State fiscal capacities over the projection period (box 9.4).</w:t>
      </w:r>
    </w:p>
    <w:p w14:paraId="7954ADCB" w14:textId="77777777" w:rsidR="00F05DC7" w:rsidRPr="005E2BD3" w:rsidRDefault="00F05DC7" w:rsidP="00A3786D">
      <w:pPr>
        <w:keepNext/>
        <w:spacing w:before="480" w:line="320" w:lineRule="exact"/>
        <w:outlineLvl w:val="3"/>
        <w:rPr>
          <w:rFonts w:ascii="Arial" w:hAnsi="Arial"/>
          <w:szCs w:val="20"/>
        </w:rPr>
      </w:pPr>
      <w:r>
        <w:rPr>
          <w:rFonts w:ascii="Arial" w:hAnsi="Arial"/>
          <w:szCs w:val="20"/>
        </w:rPr>
        <w:t>Under alternative scenarios</w:t>
      </w:r>
      <w:r w:rsidRPr="005E2BD3">
        <w:rPr>
          <w:rFonts w:ascii="Arial" w:hAnsi="Arial"/>
          <w:szCs w:val="20"/>
        </w:rPr>
        <w:t xml:space="preserve"> </w:t>
      </w:r>
      <w:r>
        <w:rPr>
          <w:rFonts w:ascii="Arial" w:hAnsi="Arial"/>
          <w:szCs w:val="20"/>
        </w:rPr>
        <w:t xml:space="preserve">States remain within </w:t>
      </w:r>
      <w:r w:rsidRPr="005E2BD3">
        <w:rPr>
          <w:rFonts w:ascii="Arial" w:hAnsi="Arial"/>
          <w:szCs w:val="20"/>
        </w:rPr>
        <w:t>the budget management threshold</w:t>
      </w:r>
      <w:r>
        <w:rPr>
          <w:rFonts w:ascii="Arial" w:hAnsi="Arial"/>
          <w:szCs w:val="20"/>
        </w:rPr>
        <w:t xml:space="preserve"> </w:t>
      </w:r>
    </w:p>
    <w:p w14:paraId="7954ADCC" w14:textId="77777777" w:rsidR="00F05DC7" w:rsidRDefault="00F05DC7" w:rsidP="00A3786D">
      <w:pPr>
        <w:spacing w:before="240" w:line="300" w:lineRule="atLeast"/>
        <w:jc w:val="both"/>
        <w:rPr>
          <w:szCs w:val="20"/>
        </w:rPr>
      </w:pPr>
      <w:r>
        <w:rPr>
          <w:szCs w:val="20"/>
        </w:rPr>
        <w:t>Under the two alternative scenarios for</w:t>
      </w:r>
      <w:r w:rsidRPr="00AD5D6F">
        <w:rPr>
          <w:szCs w:val="20"/>
        </w:rPr>
        <w:t xml:space="preserve"> State fisca</w:t>
      </w:r>
      <w:r>
        <w:rPr>
          <w:szCs w:val="20"/>
        </w:rPr>
        <w:t xml:space="preserve">l capacities, </w:t>
      </w:r>
      <w:r w:rsidRPr="005E2BD3">
        <w:rPr>
          <w:szCs w:val="20"/>
        </w:rPr>
        <w:t>the reduction in GST payments</w:t>
      </w:r>
      <w:r>
        <w:rPr>
          <w:szCs w:val="20"/>
        </w:rPr>
        <w:t xml:space="preserve"> (due to the change in the equalisation benchmark) in</w:t>
      </w:r>
      <w:r w:rsidRPr="005E2BD3">
        <w:rPr>
          <w:szCs w:val="20"/>
        </w:rPr>
        <w:t xml:space="preserve"> the four year transition </w:t>
      </w:r>
      <w:r>
        <w:rPr>
          <w:szCs w:val="20"/>
        </w:rPr>
        <w:t>is still</w:t>
      </w:r>
      <w:r w:rsidRPr="005E2BD3">
        <w:rPr>
          <w:szCs w:val="20"/>
        </w:rPr>
        <w:t xml:space="preserve"> highest in Queensland, South Australia, Tasmania</w:t>
      </w:r>
      <w:r>
        <w:rPr>
          <w:szCs w:val="20"/>
        </w:rPr>
        <w:t xml:space="preserve"> and the ACT. The reduction in GST payments for these States in the first year of transition ranges</w:t>
      </w:r>
      <w:r w:rsidRPr="005E2BD3">
        <w:rPr>
          <w:szCs w:val="20"/>
        </w:rPr>
        <w:t xml:space="preserve"> between</w:t>
      </w:r>
      <w:r>
        <w:rPr>
          <w:szCs w:val="20"/>
        </w:rPr>
        <w:t xml:space="preserve"> about</w:t>
      </w:r>
      <w:r w:rsidRPr="005E2BD3">
        <w:rPr>
          <w:szCs w:val="20"/>
        </w:rPr>
        <w:t xml:space="preserve"> </w:t>
      </w:r>
      <w:r>
        <w:rPr>
          <w:szCs w:val="20"/>
        </w:rPr>
        <w:t>0.5 </w:t>
      </w:r>
      <w:r w:rsidRPr="005E2BD3">
        <w:rPr>
          <w:szCs w:val="20"/>
        </w:rPr>
        <w:t xml:space="preserve">and </w:t>
      </w:r>
      <w:r>
        <w:rPr>
          <w:szCs w:val="20"/>
        </w:rPr>
        <w:t>0.6 per </w:t>
      </w:r>
      <w:r w:rsidRPr="005E2BD3">
        <w:rPr>
          <w:szCs w:val="20"/>
        </w:rPr>
        <w:t>cent</w:t>
      </w:r>
      <w:r>
        <w:rPr>
          <w:szCs w:val="20"/>
        </w:rPr>
        <w:t xml:space="preserve"> of total State revenue — similar to the best estimate scenario. By the end of forward estimates, the reduction in GST increases to between about 1.7 and 2.5 per cent of total State revenue </w:t>
      </w:r>
      <w:r w:rsidRPr="005E2BD3">
        <w:rPr>
          <w:szCs w:val="20"/>
        </w:rPr>
        <w:t>(</w:t>
      </w:r>
      <w:r>
        <w:rPr>
          <w:szCs w:val="20"/>
        </w:rPr>
        <w:t>appendix F</w:t>
      </w:r>
      <w:r w:rsidRPr="005E2BD3">
        <w:rPr>
          <w:szCs w:val="20"/>
        </w:rPr>
        <w:t>)</w:t>
      </w:r>
      <w:r>
        <w:rPr>
          <w:szCs w:val="20"/>
        </w:rPr>
        <w:t xml:space="preserve">. In the eight year transition these figures are halved (appendix F). </w:t>
      </w:r>
    </w:p>
    <w:p w14:paraId="7954ADCD" w14:textId="77777777" w:rsidR="00F05DC7" w:rsidRPr="005E2BD3" w:rsidRDefault="00F05DC7" w:rsidP="00A3786D">
      <w:pPr>
        <w:spacing w:before="240" w:line="300" w:lineRule="atLeast"/>
        <w:jc w:val="both"/>
        <w:rPr>
          <w:szCs w:val="20"/>
        </w:rPr>
      </w:pPr>
      <w:r>
        <w:rPr>
          <w:szCs w:val="20"/>
        </w:rPr>
        <w:t>However, at no time does any State experience</w:t>
      </w:r>
      <w:r w:rsidRPr="005E2BD3">
        <w:rPr>
          <w:szCs w:val="20"/>
        </w:rPr>
        <w:t xml:space="preserve"> a reduction in its GST payments</w:t>
      </w:r>
      <w:r>
        <w:rPr>
          <w:szCs w:val="20"/>
        </w:rPr>
        <w:t xml:space="preserve"> from one year to the next</w:t>
      </w:r>
      <w:r w:rsidRPr="005E2BD3">
        <w:rPr>
          <w:szCs w:val="20"/>
        </w:rPr>
        <w:t xml:space="preserve"> of more than about 0.</w:t>
      </w:r>
      <w:r>
        <w:rPr>
          <w:szCs w:val="20"/>
        </w:rPr>
        <w:t>8 </w:t>
      </w:r>
      <w:r w:rsidRPr="005E2BD3">
        <w:rPr>
          <w:szCs w:val="20"/>
        </w:rPr>
        <w:t>per cent</w:t>
      </w:r>
      <w:r>
        <w:rPr>
          <w:szCs w:val="20"/>
        </w:rPr>
        <w:t xml:space="preserve">. </w:t>
      </w:r>
      <w:r w:rsidRPr="00FA1E9E">
        <w:rPr>
          <w:szCs w:val="20"/>
        </w:rPr>
        <w:t>Should relativities return to their long run trend, GST payments for Victoria and New South Wales would be broadly similar to what they would receive under the current benchmark.</w:t>
      </w:r>
      <w:r>
        <w:rPr>
          <w:szCs w:val="20"/>
        </w:rPr>
        <w:t xml:space="preserve"> </w:t>
      </w:r>
    </w:p>
    <w:p w14:paraId="7954ADCE" w14:textId="77777777" w:rsidR="00F05DC7" w:rsidRPr="005E2BD3" w:rsidRDefault="00F05DC7" w:rsidP="00A3786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DD0" w14:textId="77777777" w:rsidTr="00A3786D">
        <w:trPr>
          <w:tblHeader/>
        </w:trPr>
        <w:tc>
          <w:tcPr>
            <w:tcW w:w="5000" w:type="pct"/>
            <w:tcBorders>
              <w:top w:val="single" w:sz="6" w:space="0" w:color="78A22F"/>
              <w:left w:val="nil"/>
              <w:bottom w:val="nil"/>
              <w:right w:val="nil"/>
            </w:tcBorders>
            <w:shd w:val="clear" w:color="auto" w:fill="F2F2F2"/>
          </w:tcPr>
          <w:p w14:paraId="7954ADCF" w14:textId="32DB47E8" w:rsidR="00F05DC7" w:rsidRPr="005E2BD3" w:rsidRDefault="00F05DC7" w:rsidP="00A3786D">
            <w:pPr>
              <w:keepNext/>
              <w:keepLines/>
              <w:spacing w:before="120" w:line="280" w:lineRule="exact"/>
              <w:ind w:left="1474" w:hanging="1474"/>
              <w:rPr>
                <w:rFonts w:ascii="Arial" w:hAnsi="Arial"/>
                <w:b/>
              </w:rPr>
            </w:pPr>
            <w:r w:rsidRPr="005E2BD3">
              <w:rPr>
                <w:rFonts w:ascii="Arial" w:hAnsi="Arial"/>
              </w:rPr>
              <w:t>Box</w:t>
            </w:r>
            <w:r>
              <w:rPr>
                <w:rFonts w:ascii="Arial" w:hAnsi="Arial"/>
              </w:rPr>
              <w:t> 9.</w:t>
            </w:r>
            <w:r>
              <w:rPr>
                <w:rFonts w:ascii="Arial" w:hAnsi="Arial"/>
                <w:noProof/>
              </w:rPr>
              <w:t>4</w:t>
            </w:r>
            <w:r w:rsidRPr="005E2BD3">
              <w:rPr>
                <w:rFonts w:ascii="Arial" w:hAnsi="Arial"/>
                <w:b/>
              </w:rPr>
              <w:tab/>
            </w:r>
            <w:r>
              <w:rPr>
                <w:rFonts w:ascii="Arial" w:hAnsi="Arial"/>
                <w:b/>
              </w:rPr>
              <w:t>Beyond ‘best estimate’ projections: a</w:t>
            </w:r>
            <w:r w:rsidRPr="005E2BD3">
              <w:rPr>
                <w:rFonts w:ascii="Arial" w:hAnsi="Arial"/>
                <w:b/>
              </w:rPr>
              <w:t xml:space="preserve">lternative scenarios for future GST payments </w:t>
            </w:r>
          </w:p>
        </w:tc>
      </w:tr>
      <w:tr w:rsidR="00F05DC7" w:rsidRPr="005E2BD3" w14:paraId="7954ADD7" w14:textId="77777777" w:rsidTr="00A3786D">
        <w:tc>
          <w:tcPr>
            <w:tcW w:w="5000" w:type="pct"/>
            <w:tcBorders>
              <w:top w:val="nil"/>
              <w:left w:val="nil"/>
              <w:bottom w:val="nil"/>
              <w:right w:val="nil"/>
            </w:tcBorders>
            <w:shd w:val="clear" w:color="auto" w:fill="F2F2F2"/>
          </w:tcPr>
          <w:p w14:paraId="7954ADD1" w14:textId="77777777" w:rsidR="00F05DC7" w:rsidRDefault="00F05DC7" w:rsidP="00A3786D">
            <w:pPr>
              <w:pStyle w:val="Box"/>
            </w:pPr>
            <w:r>
              <w:t>T</w:t>
            </w:r>
            <w:r w:rsidRPr="007B39A3">
              <w:t>he Commission</w:t>
            </w:r>
            <w:r>
              <w:t xml:space="preserve"> </w:t>
            </w:r>
            <w:r w:rsidRPr="007B39A3">
              <w:t>considered</w:t>
            </w:r>
            <w:r>
              <w:t xml:space="preserve"> two alternative methods for projecting relative fiscal capacities, population growth rates, and the size of the GST pool.</w:t>
            </w:r>
          </w:p>
          <w:p w14:paraId="7954ADD2" w14:textId="77777777" w:rsidR="00F05DC7" w:rsidRDefault="00F05DC7" w:rsidP="00A3786D">
            <w:pPr>
              <w:pStyle w:val="BoxListBullet"/>
            </w:pPr>
            <w:r>
              <w:t>Future relative fiscal capacities were projected using a ‘long</w:t>
            </w:r>
            <w:r>
              <w:noBreakHyphen/>
            </w:r>
            <w:r w:rsidRPr="005E2BD3">
              <w:t>run</w:t>
            </w:r>
            <w:r>
              <w:t xml:space="preserve"> trend</w:t>
            </w:r>
            <w:r w:rsidRPr="005E2BD3">
              <w:t xml:space="preserve">’ </w:t>
            </w:r>
            <w:r>
              <w:t>method</w:t>
            </w:r>
            <w:r w:rsidRPr="005E2BD3">
              <w:t xml:space="preserve"> where </w:t>
            </w:r>
            <w:r>
              <w:t xml:space="preserve">relative </w:t>
            </w:r>
            <w:r w:rsidRPr="005E2BD3">
              <w:t>fiscal capacities</w:t>
            </w:r>
            <w:r>
              <w:t xml:space="preserve"> (measured by GST relativities)</w:t>
            </w:r>
            <w:r w:rsidRPr="005E2BD3">
              <w:t xml:space="preserve"> return to their long</w:t>
            </w:r>
            <w:r>
              <w:noBreakHyphen/>
            </w:r>
            <w:r w:rsidRPr="005E2BD3">
              <w:t>run trend</w:t>
            </w:r>
            <w:r>
              <w:t xml:space="preserve"> (using a 19 year average)</w:t>
            </w:r>
            <w:r w:rsidRPr="005E2BD3">
              <w:t xml:space="preserve"> at the end of </w:t>
            </w:r>
            <w:r>
              <w:t xml:space="preserve">the </w:t>
            </w:r>
            <w:r w:rsidRPr="005E2BD3">
              <w:t xml:space="preserve">forward estimates, and a </w:t>
            </w:r>
            <w:r>
              <w:t>‘business</w:t>
            </w:r>
            <w:r>
              <w:noBreakHyphen/>
              <w:t>as</w:t>
            </w:r>
            <w:r>
              <w:noBreakHyphen/>
              <w:t>usual’</w:t>
            </w:r>
            <w:r w:rsidRPr="005E2BD3">
              <w:t xml:space="preserve"> </w:t>
            </w:r>
            <w:r>
              <w:t>method</w:t>
            </w:r>
            <w:r w:rsidRPr="005E2BD3">
              <w:t xml:space="preserve"> where fiscal capacities remain at their 2018</w:t>
            </w:r>
            <w:r>
              <w:noBreakHyphen/>
            </w:r>
            <w:r w:rsidRPr="005E2BD3">
              <w:t xml:space="preserve">19 level for the </w:t>
            </w:r>
            <w:r>
              <w:t>projection period</w:t>
            </w:r>
            <w:r w:rsidRPr="005E2BD3">
              <w:t>.</w:t>
            </w:r>
            <w:r>
              <w:t xml:space="preserve"> </w:t>
            </w:r>
          </w:p>
          <w:p w14:paraId="7954ADD3" w14:textId="77777777" w:rsidR="00F05DC7" w:rsidRDefault="00F05DC7" w:rsidP="00A3786D">
            <w:pPr>
              <w:pStyle w:val="BoxListBullet"/>
            </w:pPr>
            <w:r>
              <w:t xml:space="preserve">Population growth was projected by assuming </w:t>
            </w:r>
            <w:r w:rsidRPr="00437224">
              <w:t>that State population growth</w:t>
            </w:r>
            <w:r>
              <w:t xml:space="preserve"> rates</w:t>
            </w:r>
            <w:r w:rsidRPr="00437224">
              <w:t xml:space="preserve"> </w:t>
            </w:r>
            <w:r>
              <w:t>move from</w:t>
            </w:r>
            <w:r w:rsidRPr="00437224">
              <w:t xml:space="preserve"> </w:t>
            </w:r>
            <w:r>
              <w:t xml:space="preserve">their </w:t>
            </w:r>
            <w:r w:rsidRPr="00437224">
              <w:t>current rates to either the 10</w:t>
            </w:r>
            <w:r w:rsidRPr="00437224">
              <w:noBreakHyphen/>
              <w:t>year average growth rate (2007</w:t>
            </w:r>
            <w:r>
              <w:noBreakHyphen/>
            </w:r>
            <w:r w:rsidRPr="00437224">
              <w:t>08 to 2017</w:t>
            </w:r>
            <w:r>
              <w:noBreakHyphen/>
            </w:r>
            <w:r w:rsidRPr="00437224">
              <w:t>18) or 10</w:t>
            </w:r>
            <w:r w:rsidRPr="00437224">
              <w:noBreakHyphen/>
              <w:t>year linear trend at the end of the forward estimates</w:t>
            </w:r>
            <w:r>
              <w:t>, and grow at that rate thereafter.</w:t>
            </w:r>
          </w:p>
          <w:p w14:paraId="7954ADD4" w14:textId="77777777" w:rsidR="00F05DC7" w:rsidRDefault="00F05DC7" w:rsidP="00A3786D">
            <w:pPr>
              <w:pStyle w:val="BoxListBullet"/>
            </w:pPr>
            <w:r>
              <w:t>GST pool growth beyond the forward estimates was projected using a high</w:t>
            </w:r>
            <w:r>
              <w:noBreakHyphen/>
              <w:t>growth estimate, where the GST pool grows at 0.5 percentage points above the best estimate (which is 5.25 per cent), and a low</w:t>
            </w:r>
            <w:r>
              <w:noBreakHyphen/>
              <w:t xml:space="preserve">growth estimate, where the GST pool grows at 1.0 percentage points below the best estimate. </w:t>
            </w:r>
            <w:r w:rsidRPr="005E2BD3">
              <w:t xml:space="preserve">The larger range on the downside reflects the </w:t>
            </w:r>
            <w:r>
              <w:t>possibility that the current trend in consumption towards GST exempt goods will continue beyond the forward estimates.</w:t>
            </w:r>
          </w:p>
          <w:p w14:paraId="7954ADD5" w14:textId="77777777" w:rsidR="00F05DC7" w:rsidRDefault="00F05DC7" w:rsidP="00A3786D">
            <w:pPr>
              <w:pStyle w:val="Box"/>
            </w:pPr>
            <w:r>
              <w:t>The two alternative scenarios for</w:t>
            </w:r>
            <w:r w:rsidRPr="00C732A0">
              <w:t xml:space="preserve"> State population</w:t>
            </w:r>
            <w:r>
              <w:t>s and GST pool</w:t>
            </w:r>
            <w:r w:rsidRPr="00C732A0">
              <w:t xml:space="preserve"> growth rates </w:t>
            </w:r>
            <w:r>
              <w:t xml:space="preserve">did have an effect on the projected </w:t>
            </w:r>
            <w:r w:rsidRPr="00AC5961">
              <w:rPr>
                <w:i/>
              </w:rPr>
              <w:t>level</w:t>
            </w:r>
            <w:r>
              <w:t xml:space="preserve"> of GST payments that a State receives, for example, by affecting State population shares and the size of the GST pool. However, they had only a minor influence on the </w:t>
            </w:r>
            <w:r w:rsidRPr="00C55806">
              <w:rPr>
                <w:i/>
              </w:rPr>
              <w:t>change</w:t>
            </w:r>
            <w:r>
              <w:t xml:space="preserve"> in GST payments due to a change in the</w:t>
            </w:r>
            <w:r w:rsidRPr="00D06123">
              <w:t xml:space="preserve"> equalisation benchmark.</w:t>
            </w:r>
            <w:r>
              <w:t xml:space="preserve"> </w:t>
            </w:r>
          </w:p>
          <w:p w14:paraId="7954ADD6" w14:textId="77777777" w:rsidR="00F05DC7" w:rsidRPr="005E2BD3" w:rsidRDefault="00F05DC7" w:rsidP="00A3786D">
            <w:pPr>
              <w:pStyle w:val="Box"/>
            </w:pPr>
            <w:r>
              <w:t xml:space="preserve">By contrast, the two alternative scenarios for State fiscal capacities did have a modest influence on GST payments, although budget management outcomes were still broadly in line with the best estimate results. As the Commission sought an illustrative measure of the effects of its policy proposal (and not an exact point estimate), only alternative scenarios for State fiscal capacities were included in the analysis. </w:t>
            </w:r>
          </w:p>
        </w:tc>
      </w:tr>
      <w:tr w:rsidR="00F05DC7" w:rsidRPr="005E2BD3" w14:paraId="7954ADD9" w14:textId="77777777" w:rsidTr="00A3786D">
        <w:tc>
          <w:tcPr>
            <w:tcW w:w="5000" w:type="pct"/>
            <w:tcBorders>
              <w:top w:val="nil"/>
              <w:left w:val="nil"/>
              <w:bottom w:val="nil"/>
              <w:right w:val="nil"/>
            </w:tcBorders>
            <w:shd w:val="clear" w:color="auto" w:fill="F2F2F2"/>
          </w:tcPr>
          <w:p w14:paraId="7954ADD8" w14:textId="77777777" w:rsidR="00F05DC7" w:rsidRPr="005E2BD3" w:rsidRDefault="00F05DC7" w:rsidP="00A3786D">
            <w:pPr>
              <w:keepLines/>
              <w:spacing w:before="120" w:line="220" w:lineRule="exact"/>
              <w:jc w:val="both"/>
              <w:rPr>
                <w:rFonts w:ascii="Arial" w:hAnsi="Arial"/>
                <w:sz w:val="18"/>
                <w:szCs w:val="20"/>
              </w:rPr>
            </w:pPr>
            <w:r w:rsidRPr="005E2BD3">
              <w:rPr>
                <w:rFonts w:ascii="Arial" w:hAnsi="Arial"/>
                <w:i/>
                <w:sz w:val="18"/>
                <w:szCs w:val="20"/>
              </w:rPr>
              <w:t>Source</w:t>
            </w:r>
            <w:r w:rsidRPr="005E2BD3">
              <w:rPr>
                <w:rFonts w:ascii="Arial" w:hAnsi="Arial"/>
                <w:sz w:val="18"/>
                <w:szCs w:val="20"/>
              </w:rPr>
              <w:t>: Appendix</w:t>
            </w:r>
            <w:r>
              <w:rPr>
                <w:rFonts w:ascii="Arial" w:hAnsi="Arial"/>
                <w:sz w:val="18"/>
                <w:szCs w:val="20"/>
              </w:rPr>
              <w:t> </w:t>
            </w:r>
            <w:r w:rsidRPr="005E2BD3">
              <w:rPr>
                <w:rFonts w:ascii="Arial" w:hAnsi="Arial"/>
                <w:sz w:val="18"/>
                <w:szCs w:val="20"/>
              </w:rPr>
              <w:t>F.</w:t>
            </w:r>
          </w:p>
        </w:tc>
      </w:tr>
      <w:tr w:rsidR="00F05DC7" w:rsidRPr="005E2BD3" w14:paraId="7954ADDB" w14:textId="77777777" w:rsidTr="00A3786D">
        <w:tc>
          <w:tcPr>
            <w:tcW w:w="5000" w:type="pct"/>
            <w:tcBorders>
              <w:top w:val="nil"/>
              <w:left w:val="nil"/>
              <w:bottom w:val="single" w:sz="6" w:space="0" w:color="78A22F"/>
              <w:right w:val="nil"/>
            </w:tcBorders>
            <w:shd w:val="clear" w:color="auto" w:fill="F2F2F2"/>
          </w:tcPr>
          <w:p w14:paraId="7954ADDA"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DDD" w14:textId="77777777" w:rsidTr="00A3786D">
        <w:tc>
          <w:tcPr>
            <w:tcW w:w="5000" w:type="pct"/>
            <w:tcBorders>
              <w:top w:val="single" w:sz="6" w:space="0" w:color="78A22F"/>
              <w:left w:val="nil"/>
              <w:bottom w:val="nil"/>
              <w:right w:val="nil"/>
            </w:tcBorders>
          </w:tcPr>
          <w:p w14:paraId="7954ADDC" w14:textId="77777777" w:rsidR="00F05DC7" w:rsidRPr="005E2BD3" w:rsidRDefault="00F05DC7" w:rsidP="00A3786D">
            <w:pPr>
              <w:spacing w:before="60" w:after="60" w:line="80" w:lineRule="exact"/>
              <w:jc w:val="both"/>
              <w:rPr>
                <w:rFonts w:ascii="Arial" w:hAnsi="Arial"/>
                <w:sz w:val="14"/>
                <w:szCs w:val="20"/>
              </w:rPr>
            </w:pPr>
          </w:p>
        </w:tc>
      </w:tr>
    </w:tbl>
    <w:p w14:paraId="7954ADDE" w14:textId="77777777" w:rsidR="00F05DC7" w:rsidRDefault="00F05DC7" w:rsidP="00A3786D">
      <w:pPr>
        <w:pStyle w:val="Heading3"/>
      </w:pPr>
      <w:r w:rsidRPr="0042685B">
        <w:t xml:space="preserve">Either a four year or eight year transition is </w:t>
      </w:r>
      <w:r>
        <w:t>judged</w:t>
      </w:r>
      <w:r w:rsidRPr="0042685B">
        <w:t xml:space="preserve"> to be manageable </w:t>
      </w:r>
    </w:p>
    <w:p w14:paraId="7954ADDF" w14:textId="77777777" w:rsidR="00F05DC7" w:rsidRDefault="00F05DC7" w:rsidP="00A3786D">
      <w:pPr>
        <w:pStyle w:val="BodyText"/>
      </w:pPr>
      <w:r>
        <w:t>Based on the above transition analysis, it is judged that a transition to ETA would be manageable over either a four or eight year timeframe. The best estimate</w:t>
      </w:r>
      <w:r w:rsidRPr="008A5FB7">
        <w:t xml:space="preserve"> (and alternative scenarios that take into account different GST relativities) show that </w:t>
      </w:r>
      <w:r>
        <w:t xml:space="preserve">between any two consecutive years </w:t>
      </w:r>
      <w:r w:rsidRPr="008A5FB7">
        <w:t>the amount that any State will need to adjust</w:t>
      </w:r>
      <w:r w:rsidRPr="00C51EE7">
        <w:t xml:space="preserve"> </w:t>
      </w:r>
      <w:r>
        <w:t>its budget</w:t>
      </w:r>
      <w:r w:rsidRPr="008A5FB7">
        <w:t xml:space="preserve"> (due to the change in the equalisation benchmark</w:t>
      </w:r>
      <w:r>
        <w:t>)</w:t>
      </w:r>
      <w:r w:rsidRPr="008A5FB7">
        <w:t xml:space="preserve"> is less than one per cent of its total State revenue.</w:t>
      </w:r>
    </w:p>
    <w:p w14:paraId="7954ADE0" w14:textId="77777777" w:rsidR="00F05DC7" w:rsidRDefault="00F05DC7" w:rsidP="00A3786D">
      <w:pPr>
        <w:spacing w:before="240" w:line="300" w:lineRule="atLeast"/>
        <w:jc w:val="both"/>
        <w:rPr>
          <w:szCs w:val="20"/>
        </w:rPr>
      </w:pPr>
      <w:r>
        <w:rPr>
          <w:szCs w:val="20"/>
        </w:rPr>
        <w:t>However</w:t>
      </w:r>
      <w:r w:rsidRPr="005E2BD3">
        <w:rPr>
          <w:szCs w:val="20"/>
        </w:rPr>
        <w:t xml:space="preserve">, there </w:t>
      </w:r>
      <w:r>
        <w:rPr>
          <w:szCs w:val="20"/>
        </w:rPr>
        <w:t>are</w:t>
      </w:r>
      <w:r w:rsidRPr="005E2BD3">
        <w:rPr>
          <w:szCs w:val="20"/>
        </w:rPr>
        <w:t xml:space="preserve"> a large number of factors that</w:t>
      </w:r>
      <w:r>
        <w:rPr>
          <w:szCs w:val="20"/>
        </w:rPr>
        <w:t xml:space="preserve"> could</w:t>
      </w:r>
      <w:r w:rsidRPr="005E2BD3">
        <w:rPr>
          <w:szCs w:val="20"/>
        </w:rPr>
        <w:t xml:space="preserve"> affect GST payments</w:t>
      </w:r>
      <w:r>
        <w:rPr>
          <w:szCs w:val="20"/>
        </w:rPr>
        <w:t xml:space="preserve"> and State revenues — </w:t>
      </w:r>
      <w:r>
        <w:t xml:space="preserve">such as GST pool growth, the level of Commonwealth Grants or changing (interstate) population demographics. </w:t>
      </w:r>
      <w:r>
        <w:rPr>
          <w:szCs w:val="20"/>
        </w:rPr>
        <w:t>T</w:t>
      </w:r>
      <w:r w:rsidRPr="005E2BD3">
        <w:rPr>
          <w:szCs w:val="20"/>
        </w:rPr>
        <w:t xml:space="preserve">he Commission’s </w:t>
      </w:r>
      <w:r>
        <w:rPr>
          <w:szCs w:val="20"/>
        </w:rPr>
        <w:t xml:space="preserve">transition </w:t>
      </w:r>
      <w:r w:rsidRPr="005E2BD3">
        <w:rPr>
          <w:szCs w:val="20"/>
        </w:rPr>
        <w:t xml:space="preserve">analysis </w:t>
      </w:r>
      <w:r>
        <w:rPr>
          <w:szCs w:val="20"/>
        </w:rPr>
        <w:t>does not capture these</w:t>
      </w:r>
      <w:r w:rsidRPr="005E2BD3">
        <w:rPr>
          <w:szCs w:val="20"/>
        </w:rPr>
        <w:t>.</w:t>
      </w:r>
      <w:r>
        <w:rPr>
          <w:szCs w:val="20"/>
        </w:rPr>
        <w:t xml:space="preserve"> Moreover,</w:t>
      </w:r>
      <w:r w:rsidDel="00A16C89">
        <w:rPr>
          <w:szCs w:val="20"/>
        </w:rPr>
        <w:t xml:space="preserve"> </w:t>
      </w:r>
      <w:r>
        <w:rPr>
          <w:szCs w:val="20"/>
        </w:rPr>
        <w:t xml:space="preserve">future economic variables do not always evolve as expected and it is difficult to project how fiscal capacities will develop over time. </w:t>
      </w:r>
      <w:r w:rsidRPr="005E2BD3">
        <w:rPr>
          <w:szCs w:val="20"/>
        </w:rPr>
        <w:t>States may encounter unforeseen o</w:t>
      </w:r>
      <w:r>
        <w:rPr>
          <w:szCs w:val="20"/>
        </w:rPr>
        <w:t>r exceptional events — f</w:t>
      </w:r>
      <w:r w:rsidRPr="005E2BD3">
        <w:rPr>
          <w:szCs w:val="20"/>
        </w:rPr>
        <w:t xml:space="preserve">or example, </w:t>
      </w:r>
      <w:r>
        <w:rPr>
          <w:szCs w:val="20"/>
        </w:rPr>
        <w:t>a large shock to a single State, such as a natural disaster, could result</w:t>
      </w:r>
      <w:r w:rsidRPr="005E2BD3">
        <w:rPr>
          <w:szCs w:val="20"/>
        </w:rPr>
        <w:t xml:space="preserve"> in its relative fiscal capacity being </w:t>
      </w:r>
      <w:r>
        <w:rPr>
          <w:szCs w:val="20"/>
        </w:rPr>
        <w:t xml:space="preserve">much </w:t>
      </w:r>
      <w:r w:rsidRPr="005E2BD3">
        <w:rPr>
          <w:szCs w:val="20"/>
        </w:rPr>
        <w:t xml:space="preserve">lower than </w:t>
      </w:r>
      <w:r>
        <w:rPr>
          <w:szCs w:val="20"/>
        </w:rPr>
        <w:t xml:space="preserve">currently expected (and beyond the range of scenarios assessed by the Commission). Such events </w:t>
      </w:r>
      <w:r>
        <w:rPr>
          <w:szCs w:val="20"/>
        </w:rPr>
        <w:lastRenderedPageBreak/>
        <w:t>could make the transition to ETA less (or, indeed more in the case of a positive shock) manageable than projected.</w:t>
      </w:r>
    </w:p>
    <w:p w14:paraId="7954ADE1" w14:textId="77777777" w:rsidR="00F05DC7" w:rsidRPr="005E2BD3" w:rsidRDefault="00F05DC7" w:rsidP="00A3786D">
      <w:pPr>
        <w:spacing w:before="240" w:line="300" w:lineRule="atLeast"/>
        <w:jc w:val="both"/>
        <w:rPr>
          <w:szCs w:val="20"/>
        </w:rPr>
      </w:pPr>
      <w:r>
        <w:rPr>
          <w:szCs w:val="20"/>
        </w:rPr>
        <w:t>A</w:t>
      </w:r>
      <w:r w:rsidRPr="005E2BD3">
        <w:rPr>
          <w:szCs w:val="20"/>
        </w:rPr>
        <w:t xml:space="preserve">n eight year transition </w:t>
      </w:r>
      <w:r>
        <w:rPr>
          <w:szCs w:val="20"/>
        </w:rPr>
        <w:t>path</w:t>
      </w:r>
      <w:r w:rsidRPr="005E2BD3">
        <w:rPr>
          <w:szCs w:val="20"/>
        </w:rPr>
        <w:t xml:space="preserve"> </w:t>
      </w:r>
      <w:r>
        <w:rPr>
          <w:szCs w:val="20"/>
        </w:rPr>
        <w:t xml:space="preserve">gives States considerable time to adjust their budgets and </w:t>
      </w:r>
      <w:r w:rsidRPr="005E2BD3">
        <w:rPr>
          <w:szCs w:val="20"/>
        </w:rPr>
        <w:t>provide</w:t>
      </w:r>
      <w:r>
        <w:rPr>
          <w:szCs w:val="20"/>
        </w:rPr>
        <w:t>s</w:t>
      </w:r>
      <w:r w:rsidRPr="005E2BD3">
        <w:rPr>
          <w:szCs w:val="20"/>
        </w:rPr>
        <w:t xml:space="preserve"> latitude to deal with </w:t>
      </w:r>
      <w:r>
        <w:rPr>
          <w:szCs w:val="20"/>
        </w:rPr>
        <w:t xml:space="preserve">unexpected changes in State fiscal capacities, although it would delay the potential benefits of the change compared with a four year transition. That said, the costs of delay would be largely borne by the State(s) that stand to benefit the most: Western Australia and to a lesser extent New South Wales. These States (especially Western Australia as </w:t>
      </w:r>
      <w:r w:rsidDel="00811FED">
        <w:rPr>
          <w:szCs w:val="20"/>
        </w:rPr>
        <w:t xml:space="preserve">the </w:t>
      </w:r>
      <w:r>
        <w:rPr>
          <w:szCs w:val="20"/>
        </w:rPr>
        <w:t>initial primary beneficiary) would essentially ‘fund’ the transition to ETA by a transition path that ‘hastens slowly’.</w:t>
      </w:r>
      <w:r w:rsidRPr="005E2BD3">
        <w:rPr>
          <w:szCs w:val="20"/>
        </w:rPr>
        <w:t xml:space="preserve"> </w:t>
      </w:r>
      <w:r>
        <w:rPr>
          <w:szCs w:val="20"/>
        </w:rPr>
        <w:t xml:space="preserve">An eight year transition would also </w:t>
      </w:r>
      <w:r w:rsidRPr="005E2BD3">
        <w:rPr>
          <w:szCs w:val="20"/>
        </w:rPr>
        <w:t>significantly reduce the potential need for funding to be provided to St</w:t>
      </w:r>
      <w:r>
        <w:rPr>
          <w:szCs w:val="20"/>
        </w:rPr>
        <w:t xml:space="preserve">ates from outside the GST pool, should the fiscal circumstances of the States evolve in ways significantly different to what is currently expected. </w:t>
      </w:r>
    </w:p>
    <w:p w14:paraId="7954ADE2" w14:textId="77777777" w:rsidR="00F05DC7" w:rsidRPr="008E3C9E" w:rsidRDefault="00F05DC7" w:rsidP="00A3786D">
      <w:pPr>
        <w:spacing w:before="240" w:line="300" w:lineRule="atLeast"/>
        <w:jc w:val="both"/>
        <w:rPr>
          <w:szCs w:val="20"/>
        </w:rPr>
      </w:pPr>
      <w:r>
        <w:rPr>
          <w:szCs w:val="20"/>
        </w:rPr>
        <w:t xml:space="preserve">A longer transition path also </w:t>
      </w:r>
      <w:r w:rsidRPr="005E2BD3">
        <w:rPr>
          <w:szCs w:val="20"/>
        </w:rPr>
        <w:t xml:space="preserve">provides </w:t>
      </w:r>
      <w:r>
        <w:rPr>
          <w:szCs w:val="20"/>
        </w:rPr>
        <w:t>a greater window</w:t>
      </w:r>
      <w:r w:rsidRPr="005E2BD3">
        <w:rPr>
          <w:szCs w:val="20"/>
        </w:rPr>
        <w:t xml:space="preserve"> for the States and the Commonwealth to </w:t>
      </w:r>
      <w:r>
        <w:rPr>
          <w:szCs w:val="20"/>
        </w:rPr>
        <w:t>substantively revisit</w:t>
      </w:r>
      <w:r w:rsidRPr="005E2BD3">
        <w:rPr>
          <w:szCs w:val="20"/>
        </w:rPr>
        <w:t xml:space="preserve"> broader reforms to federal</w:t>
      </w:r>
      <w:r>
        <w:rPr>
          <w:szCs w:val="20"/>
        </w:rPr>
        <w:t xml:space="preserve"> </w:t>
      </w:r>
      <w:r w:rsidRPr="005E2BD3">
        <w:rPr>
          <w:szCs w:val="20"/>
        </w:rPr>
        <w:t>financial relations</w:t>
      </w:r>
      <w:r>
        <w:rPr>
          <w:szCs w:val="20"/>
        </w:rPr>
        <w:t>, which</w:t>
      </w:r>
      <w:r w:rsidRPr="005E2BD3">
        <w:rPr>
          <w:szCs w:val="20"/>
        </w:rPr>
        <w:t xml:space="preserve"> </w:t>
      </w:r>
      <w:r>
        <w:rPr>
          <w:szCs w:val="20"/>
        </w:rPr>
        <w:t xml:space="preserve">could potentially alleviate any residual ongoing fiscal impacts on the States from the new benchmark. Indeed, during this inquiry, all States were united on one single policy endeavour — the need for substantive reform to federal financial relations. A </w:t>
      </w:r>
      <w:r w:rsidRPr="005E2BD3">
        <w:rPr>
          <w:szCs w:val="20"/>
        </w:rPr>
        <w:t xml:space="preserve">process, and some priorities, for broader reforms </w:t>
      </w:r>
      <w:r>
        <w:rPr>
          <w:szCs w:val="20"/>
        </w:rPr>
        <w:t xml:space="preserve">to federal financial relations </w:t>
      </w:r>
      <w:r w:rsidRPr="005E2BD3">
        <w:rPr>
          <w:szCs w:val="20"/>
        </w:rPr>
        <w:t>is discussed in the following section</w:t>
      </w:r>
      <w:r>
        <w:rPr>
          <w:szCs w:val="20"/>
        </w:rPr>
        <w:t xml:space="preserve">. </w:t>
      </w:r>
    </w:p>
    <w:p w14:paraId="7954ADE3" w14:textId="77777777" w:rsidR="00F05DC7" w:rsidRPr="004E3B94" w:rsidRDefault="00F05DC7" w:rsidP="004850C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05DC7" w14:paraId="7954ADE5" w14:textId="77777777" w:rsidTr="00A3786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54ADE4" w14:textId="319F8184" w:rsidR="00F05DC7" w:rsidRPr="00CE4C64" w:rsidRDefault="00F05DC7" w:rsidP="00A3786D">
            <w:pPr>
              <w:pStyle w:val="FindingTitle"/>
              <w:spacing w:before="120"/>
              <w:rPr>
                <w:noProof/>
              </w:rPr>
            </w:pPr>
            <w:r>
              <w:t>Finding 9.</w:t>
            </w:r>
            <w:r>
              <w:rPr>
                <w:noProof/>
              </w:rPr>
              <w:t>1</w:t>
            </w:r>
          </w:p>
        </w:tc>
      </w:tr>
      <w:tr w:rsidR="00F05DC7" w:rsidRPr="00750BE2" w14:paraId="7954ADEC" w14:textId="77777777" w:rsidTr="00A3786D">
        <w:trPr>
          <w:cantSplit/>
        </w:trPr>
        <w:tc>
          <w:tcPr>
            <w:tcW w:w="5000" w:type="pct"/>
            <w:tcBorders>
              <w:top w:val="nil"/>
              <w:left w:val="nil"/>
              <w:bottom w:val="nil"/>
              <w:right w:val="nil"/>
            </w:tcBorders>
            <w:shd w:val="clear" w:color="auto" w:fill="F2F2F2"/>
            <w:tcMar>
              <w:left w:w="170" w:type="dxa"/>
              <w:right w:w="170" w:type="dxa"/>
            </w:tcMar>
          </w:tcPr>
          <w:p w14:paraId="7954ADE6" w14:textId="77777777" w:rsidR="00F05DC7" w:rsidRDefault="00F05DC7" w:rsidP="00A3786D">
            <w:pPr>
              <w:pStyle w:val="Finding"/>
              <w:keepNext/>
            </w:pPr>
            <w:r>
              <w:t xml:space="preserve">There are many ways a new equalisation benchmark could be phased in. The most effective transition approach is one that: </w:t>
            </w:r>
          </w:p>
          <w:p w14:paraId="7954ADE7" w14:textId="77777777" w:rsidR="00F05DC7" w:rsidRDefault="00F05DC7" w:rsidP="00A3786D">
            <w:pPr>
              <w:pStyle w:val="FindingBullet"/>
            </w:pPr>
            <w:r>
              <w:t>enables States to manage their budgets during the current forward estimates period and plan for changes over the longer term</w:t>
            </w:r>
          </w:p>
          <w:p w14:paraId="7954ADE8" w14:textId="77777777" w:rsidR="00F05DC7" w:rsidRDefault="00F05DC7" w:rsidP="00A3786D">
            <w:pPr>
              <w:pStyle w:val="FindingBullet"/>
            </w:pPr>
            <w:r>
              <w:t>is fiscally sustainable for all governments, in that it is funded through the GST pool (in effect, by the States that benefit from the change) and not from outside the pool</w:t>
            </w:r>
          </w:p>
          <w:p w14:paraId="7954ADE9" w14:textId="77777777" w:rsidR="00F05DC7" w:rsidRDefault="00F05DC7" w:rsidP="00A3786D">
            <w:pPr>
              <w:pStyle w:val="FindingBullet"/>
            </w:pPr>
            <w:r>
              <w:t xml:space="preserve">delivers the benefits of the new benchmark in a timely manner. </w:t>
            </w:r>
          </w:p>
          <w:p w14:paraId="7954ADEA" w14:textId="77777777" w:rsidR="00F05DC7" w:rsidRDefault="00F05DC7" w:rsidP="00A3786D">
            <w:pPr>
              <w:pStyle w:val="Finding"/>
              <w:keepNext/>
            </w:pPr>
            <w:r>
              <w:t xml:space="preserve">Either a four year or eight year transition path to ETA is judged to be manageable for the States. A four year transition would deliver the benefits of reform more quickly, but an eight year transition provides greater latitude to deal with unexpected changes in the future fiscal circumstances of the States. By delaying the full implementation of ETA, both approaches are effectively funded from within the GST pool by the States that stand to benefit the most. </w:t>
            </w:r>
          </w:p>
          <w:p w14:paraId="7954ADEB" w14:textId="77777777" w:rsidR="00F05DC7" w:rsidRDefault="00F05DC7" w:rsidP="00A3786D">
            <w:pPr>
              <w:pStyle w:val="Finding"/>
              <w:keepNext/>
            </w:pPr>
            <w:r>
              <w:t>An eight year transition would also provide more time for State and Commonwealth Governments to negotiate broader reforms to federal financial relations, which could potentially alleviate any residual ongoing adverse fiscal impacts on States from the new benchmark.</w:t>
            </w:r>
          </w:p>
        </w:tc>
      </w:tr>
      <w:tr w:rsidR="00F05DC7" w14:paraId="7954ADEE" w14:textId="77777777" w:rsidTr="00A3786D">
        <w:trPr>
          <w:cantSplit/>
        </w:trPr>
        <w:tc>
          <w:tcPr>
            <w:tcW w:w="5000" w:type="pct"/>
            <w:tcBorders>
              <w:top w:val="nil"/>
              <w:left w:val="nil"/>
              <w:bottom w:val="single" w:sz="6" w:space="0" w:color="78A22F"/>
              <w:right w:val="nil"/>
            </w:tcBorders>
            <w:shd w:val="clear" w:color="auto" w:fill="F2F2F2"/>
            <w:tcMar>
              <w:left w:w="170" w:type="dxa"/>
              <w:right w:w="170" w:type="dxa"/>
            </w:tcMar>
          </w:tcPr>
          <w:p w14:paraId="7954ADED" w14:textId="77777777" w:rsidR="00F05DC7" w:rsidRDefault="00F05DC7" w:rsidP="00A3786D">
            <w:pPr>
              <w:pStyle w:val="Space"/>
              <w:keepLines/>
            </w:pPr>
          </w:p>
        </w:tc>
      </w:tr>
      <w:tr w:rsidR="00F05DC7" w:rsidRPr="000863A5" w14:paraId="7954ADF0" w14:textId="77777777" w:rsidTr="00A3786D">
        <w:trPr>
          <w:cantSplit/>
        </w:trPr>
        <w:tc>
          <w:tcPr>
            <w:tcW w:w="5000" w:type="pct"/>
            <w:tcBorders>
              <w:top w:val="single" w:sz="6" w:space="0" w:color="78A22F"/>
              <w:left w:val="nil"/>
              <w:bottom w:val="nil"/>
              <w:right w:val="nil"/>
            </w:tcBorders>
            <w:tcMar>
              <w:left w:w="170" w:type="dxa"/>
              <w:right w:w="170" w:type="dxa"/>
            </w:tcMar>
          </w:tcPr>
          <w:p w14:paraId="7954ADEF" w14:textId="77777777" w:rsidR="00F05DC7" w:rsidRPr="00626D32" w:rsidRDefault="00F05DC7" w:rsidP="00A3786D">
            <w:pPr>
              <w:pStyle w:val="BoxSpaceBelow"/>
              <w:keepLines/>
            </w:pPr>
          </w:p>
        </w:tc>
      </w:tr>
    </w:tbl>
    <w:p w14:paraId="7954ADF1" w14:textId="0A63626E" w:rsidR="00F05DC7" w:rsidRPr="005E2BD3" w:rsidRDefault="00F05DC7" w:rsidP="00247C8B">
      <w:pPr>
        <w:pStyle w:val="Heading2"/>
      </w:pPr>
      <w:r>
        <w:lastRenderedPageBreak/>
        <w:t>9.</w:t>
      </w:r>
      <w:r>
        <w:rPr>
          <w:noProof/>
        </w:rPr>
        <w:t>3</w:t>
      </w:r>
      <w:r w:rsidRPr="005E2BD3">
        <w:tab/>
        <w:t>Broader reforms to federal financial relations</w:t>
      </w:r>
    </w:p>
    <w:p w14:paraId="7954ADF2" w14:textId="77777777" w:rsidR="00F05DC7" w:rsidRPr="005E2BD3" w:rsidRDefault="00F05DC7" w:rsidP="00A3786D">
      <w:pPr>
        <w:spacing w:before="240" w:line="300" w:lineRule="atLeast"/>
        <w:jc w:val="both"/>
        <w:rPr>
          <w:szCs w:val="20"/>
        </w:rPr>
      </w:pPr>
      <w:r w:rsidRPr="005E2BD3">
        <w:rPr>
          <w:szCs w:val="20"/>
        </w:rPr>
        <w:t>There is only so much a better system of HFE can do in isolation to improve Commonwealth</w:t>
      </w:r>
      <w:r>
        <w:rPr>
          <w:szCs w:val="20"/>
        </w:rPr>
        <w:noBreakHyphen/>
      </w:r>
      <w:r w:rsidRPr="005E2BD3">
        <w:rPr>
          <w:szCs w:val="20"/>
        </w:rPr>
        <w:t>State financial arrangements</w:t>
      </w:r>
      <w:r w:rsidRPr="005E2BD3" w:rsidDel="00F22F77">
        <w:rPr>
          <w:szCs w:val="20"/>
        </w:rPr>
        <w:t>.</w:t>
      </w:r>
      <w:r w:rsidRPr="005E2BD3">
        <w:rPr>
          <w:szCs w:val="20"/>
        </w:rPr>
        <w:t xml:space="preserve"> As noted by the Queensland Government (sub. DR106, p. 10): </w:t>
      </w:r>
    </w:p>
    <w:p w14:paraId="7954ADF3" w14:textId="77777777" w:rsidR="00F05DC7" w:rsidRPr="005E2BD3" w:rsidRDefault="00F05DC7" w:rsidP="00A3786D">
      <w:pPr>
        <w:spacing w:before="120" w:line="280" w:lineRule="exact"/>
        <w:ind w:left="340"/>
        <w:jc w:val="both"/>
        <w:rPr>
          <w:sz w:val="22"/>
          <w:szCs w:val="20"/>
        </w:rPr>
      </w:pPr>
      <w:r w:rsidRPr="005E2BD3">
        <w:rPr>
          <w:sz w:val="22"/>
          <w:szCs w:val="20"/>
        </w:rPr>
        <w:t xml:space="preserve">… the distribution of GST forms only one part of a wider framework of federal financial relations, the various elements of which all have a role to play in achieving equity across States and ensuring they can meet their service delivery expectations. Review of HFE alone will not deliver meaningful fiscal reform. </w:t>
      </w:r>
    </w:p>
    <w:p w14:paraId="7954ADF4" w14:textId="77777777" w:rsidR="00F05DC7" w:rsidRPr="005E2BD3" w:rsidRDefault="00F05DC7" w:rsidP="00A3786D">
      <w:pPr>
        <w:spacing w:before="240" w:line="300" w:lineRule="atLeast"/>
        <w:jc w:val="both"/>
        <w:rPr>
          <w:szCs w:val="20"/>
        </w:rPr>
      </w:pPr>
      <w:r w:rsidRPr="005E2BD3">
        <w:rPr>
          <w:szCs w:val="20"/>
        </w:rPr>
        <w:t xml:space="preserve">Greater gains would be more likely to come from broader reform to Australia’s federal financial relations. And, to the extent that progress towards this reform is made in the short term, it could also allow for a truncated transition path to the new equalisation benchmark. </w:t>
      </w:r>
    </w:p>
    <w:p w14:paraId="7954ADF5" w14:textId="77777777" w:rsidR="00F05DC7" w:rsidRPr="005E2BD3" w:rsidRDefault="00F05DC7" w:rsidP="00A3786D">
      <w:pPr>
        <w:keepNext/>
        <w:spacing w:before="280" w:line="320" w:lineRule="exact"/>
        <w:outlineLvl w:val="2"/>
        <w:rPr>
          <w:rFonts w:ascii="Arial" w:hAnsi="Arial"/>
          <w:b/>
          <w:sz w:val="26"/>
          <w:szCs w:val="20"/>
        </w:rPr>
      </w:pPr>
      <w:r w:rsidRPr="005E2BD3">
        <w:rPr>
          <w:rFonts w:ascii="Arial" w:hAnsi="Arial"/>
          <w:b/>
          <w:sz w:val="26"/>
          <w:szCs w:val="20"/>
        </w:rPr>
        <w:t>A complex policy environment</w:t>
      </w:r>
    </w:p>
    <w:p w14:paraId="7954ADF6" w14:textId="640D1039" w:rsidR="00F05DC7" w:rsidRPr="005E2BD3" w:rsidRDefault="00F05DC7" w:rsidP="00A3786D">
      <w:pPr>
        <w:spacing w:before="240" w:line="300" w:lineRule="atLeast"/>
        <w:jc w:val="both"/>
        <w:rPr>
          <w:szCs w:val="20"/>
        </w:rPr>
      </w:pPr>
      <w:r w:rsidRPr="005E2BD3">
        <w:rPr>
          <w:szCs w:val="20"/>
        </w:rPr>
        <w:t>HFE is part of a broader Commonwealth–State financial relations landscape. Some reforms to this broader landscape over the past 20</w:t>
      </w:r>
      <w:r>
        <w:rPr>
          <w:szCs w:val="20"/>
        </w:rPr>
        <w:t> </w:t>
      </w:r>
      <w:r w:rsidRPr="005E2BD3">
        <w:rPr>
          <w:szCs w:val="20"/>
        </w:rPr>
        <w:t>years have been beneficial. In particular, the introduction of the GST and the abolition of a number of State taxes has improved the efficiency of the revenue base, and the streamlining of the number of Commonwealth payments for specific purposes to the States, has reduced complexity to some degree. But VFI persists (figure</w:t>
      </w:r>
      <w:r>
        <w:rPr>
          <w:szCs w:val="20"/>
        </w:rPr>
        <w:t> </w:t>
      </w:r>
      <w:r w:rsidRPr="005E2BD3">
        <w:rPr>
          <w:szCs w:val="20"/>
        </w:rPr>
        <w:t>2.5), and the many other Commonwealth payments to the States</w:t>
      </w:r>
      <w:r>
        <w:rPr>
          <w:szCs w:val="20"/>
        </w:rPr>
        <w:t xml:space="preserve"> which often come attached with conditions</w:t>
      </w:r>
      <w:r w:rsidRPr="005E2BD3">
        <w:rPr>
          <w:szCs w:val="20"/>
        </w:rPr>
        <w:t xml:space="preserve"> have </w:t>
      </w:r>
      <w:r>
        <w:rPr>
          <w:szCs w:val="20"/>
        </w:rPr>
        <w:t>resulted in highly complex</w:t>
      </w:r>
      <w:r w:rsidRPr="005E2BD3">
        <w:rPr>
          <w:szCs w:val="20"/>
        </w:rPr>
        <w:t xml:space="preserve"> federal financial arrangements</w:t>
      </w:r>
      <w:r>
        <w:rPr>
          <w:szCs w:val="20"/>
        </w:rPr>
        <w:t xml:space="preserve"> </w:t>
      </w:r>
      <w:r w:rsidRPr="00197768">
        <w:t>(DPMC 2015; Garnaut and FitzGerald 2002a)</w:t>
      </w:r>
      <w:r w:rsidRPr="005E2BD3">
        <w:rPr>
          <w:szCs w:val="20"/>
        </w:rPr>
        <w:t>.</w:t>
      </w:r>
    </w:p>
    <w:p w14:paraId="7954ADF7" w14:textId="77777777" w:rsidR="00F05DC7" w:rsidRPr="005E2BD3" w:rsidRDefault="00F05DC7" w:rsidP="00A3786D">
      <w:pPr>
        <w:keepNext/>
        <w:spacing w:before="480" w:line="320" w:lineRule="exact"/>
        <w:outlineLvl w:val="3"/>
        <w:rPr>
          <w:rFonts w:ascii="Arial" w:hAnsi="Arial"/>
          <w:szCs w:val="20"/>
        </w:rPr>
      </w:pPr>
      <w:r>
        <w:rPr>
          <w:rFonts w:ascii="Arial" w:hAnsi="Arial"/>
          <w:szCs w:val="20"/>
        </w:rPr>
        <w:t>V</w:t>
      </w:r>
      <w:r w:rsidRPr="005E2BD3">
        <w:rPr>
          <w:rFonts w:ascii="Arial" w:hAnsi="Arial"/>
          <w:szCs w:val="20"/>
        </w:rPr>
        <w:t>ertical fiscal imbalance has persisted</w:t>
      </w:r>
    </w:p>
    <w:p w14:paraId="7954ADF8" w14:textId="77642B38" w:rsidR="00F05DC7" w:rsidRPr="005E2BD3" w:rsidRDefault="00F05DC7" w:rsidP="00A3786D">
      <w:pPr>
        <w:spacing w:before="240" w:line="300" w:lineRule="atLeast"/>
        <w:jc w:val="both"/>
        <w:rPr>
          <w:szCs w:val="20"/>
        </w:rPr>
      </w:pPr>
      <w:r w:rsidRPr="005E2BD3">
        <w:rPr>
          <w:szCs w:val="20"/>
        </w:rPr>
        <w:t xml:space="preserve">In some respects, VFI reflects the comparative advantage in revenue raising and expenditure between levels of government in a federal system. By collecting relatively more revenue, a national government can improve the administrative efficiency of the taxation system through economies of scale and, for those businesses that operate across jurisdictions, lower compliance costs as a result of having to deal with only one set of rules and one collection agency. However, it also creates challenges. As Moran </w:t>
      </w:r>
      <w:r w:rsidRPr="00021D43">
        <w:t>(2014, p. 162)</w:t>
      </w:r>
      <w:r w:rsidRPr="005E2BD3">
        <w:rPr>
          <w:szCs w:val="20"/>
        </w:rPr>
        <w:t xml:space="preserve"> commented:</w:t>
      </w:r>
    </w:p>
    <w:p w14:paraId="7954ADF9" w14:textId="77777777" w:rsidR="00F05DC7" w:rsidRPr="00DD25DE" w:rsidRDefault="00F05DC7" w:rsidP="00A3786D">
      <w:pPr>
        <w:spacing w:before="120" w:line="280" w:lineRule="exact"/>
        <w:ind w:left="340"/>
        <w:jc w:val="both"/>
        <w:rPr>
          <w:spacing w:val="2"/>
          <w:sz w:val="22"/>
          <w:szCs w:val="20"/>
        </w:rPr>
      </w:pPr>
      <w:r w:rsidRPr="00DD25DE">
        <w:rPr>
          <w:spacing w:val="2"/>
          <w:sz w:val="22"/>
          <w:szCs w:val="20"/>
        </w:rPr>
        <w:t xml:space="preserve">… the fundamental obstacle to change in our Federation has been one of the world’s most severe cases of vertical fiscal imbalance, which since World War II has been our Federation’s Achilles’ heel. </w:t>
      </w:r>
    </w:p>
    <w:p w14:paraId="7954ADFA" w14:textId="77777777" w:rsidR="00F05DC7" w:rsidRPr="005E2BD3" w:rsidRDefault="00F05DC7" w:rsidP="00A3786D">
      <w:pPr>
        <w:spacing w:before="240" w:line="300" w:lineRule="atLeast"/>
        <w:jc w:val="both"/>
        <w:rPr>
          <w:szCs w:val="20"/>
        </w:rPr>
      </w:pPr>
      <w:r w:rsidRPr="005E2BD3">
        <w:rPr>
          <w:szCs w:val="20"/>
        </w:rPr>
        <w:t>The Australian Chamber of Commerce and Industry (sub. 40, p. 7) noted to this inquiry the centrality of VFI to Australia’s federal financial relations:</w:t>
      </w:r>
    </w:p>
    <w:p w14:paraId="7954ADFB" w14:textId="77777777" w:rsidR="00F05DC7" w:rsidRPr="005E2BD3" w:rsidRDefault="00F05DC7" w:rsidP="00A3786D">
      <w:pPr>
        <w:spacing w:before="120" w:line="280" w:lineRule="exact"/>
        <w:ind w:left="340"/>
        <w:jc w:val="both"/>
        <w:rPr>
          <w:sz w:val="22"/>
          <w:szCs w:val="20"/>
        </w:rPr>
      </w:pPr>
      <w:r w:rsidRPr="005E2BD3">
        <w:rPr>
          <w:sz w:val="22"/>
          <w:szCs w:val="20"/>
        </w:rPr>
        <w:t>… any discussion on horizontal fiscal equalisation must, by necessity, start at the heart of Commonwealth</w:t>
      </w:r>
      <w:r w:rsidRPr="005E2BD3">
        <w:rPr>
          <w:sz w:val="22"/>
          <w:szCs w:val="20"/>
        </w:rPr>
        <w:noBreakHyphen/>
        <w:t>State Financial relations — which (is) the vertical fiscal imbalance (VFI).</w:t>
      </w:r>
    </w:p>
    <w:p w14:paraId="7954ADFC" w14:textId="77777777" w:rsidR="00F05DC7" w:rsidRPr="005E2BD3" w:rsidRDefault="00F05DC7" w:rsidP="00A3786D">
      <w:pPr>
        <w:keepNext/>
        <w:spacing w:before="240" w:line="300" w:lineRule="atLeast"/>
        <w:jc w:val="both"/>
        <w:rPr>
          <w:szCs w:val="20"/>
        </w:rPr>
      </w:pPr>
      <w:r w:rsidRPr="005E2BD3">
        <w:rPr>
          <w:szCs w:val="20"/>
        </w:rPr>
        <w:lastRenderedPageBreak/>
        <w:t>The imbalance can lead to:</w:t>
      </w:r>
    </w:p>
    <w:p w14:paraId="7954ADFD" w14:textId="77777777" w:rsidR="00F05DC7" w:rsidRPr="005E2BD3" w:rsidRDefault="00F05DC7" w:rsidP="00A3786D">
      <w:pPr>
        <w:numPr>
          <w:ilvl w:val="0"/>
          <w:numId w:val="3"/>
        </w:numPr>
        <w:spacing w:before="120" w:line="300" w:lineRule="atLeast"/>
        <w:jc w:val="both"/>
        <w:rPr>
          <w:szCs w:val="20"/>
        </w:rPr>
      </w:pPr>
      <w:r w:rsidRPr="005E2BD3">
        <w:rPr>
          <w:szCs w:val="20"/>
        </w:rPr>
        <w:t>accountability problems due to a mismatch of revenue raising and expenditure responsibilities</w:t>
      </w:r>
    </w:p>
    <w:p w14:paraId="7954ADFE" w14:textId="77777777" w:rsidR="00F05DC7" w:rsidRPr="005E2BD3" w:rsidRDefault="00F05DC7" w:rsidP="00A3786D">
      <w:pPr>
        <w:numPr>
          <w:ilvl w:val="0"/>
          <w:numId w:val="3"/>
        </w:numPr>
        <w:spacing w:before="120" w:line="300" w:lineRule="atLeast"/>
        <w:jc w:val="both"/>
        <w:rPr>
          <w:szCs w:val="20"/>
        </w:rPr>
      </w:pPr>
      <w:r w:rsidRPr="005E2BD3">
        <w:rPr>
          <w:szCs w:val="20"/>
        </w:rPr>
        <w:t>blame shifting, in which blurred lines in service delivery responsibilities mean that the community does not have clear lines of responsibility to hold governments to account</w:t>
      </w:r>
    </w:p>
    <w:p w14:paraId="7954ADFF" w14:textId="77777777" w:rsidR="00F05DC7" w:rsidRPr="005E2BD3" w:rsidRDefault="00F05DC7" w:rsidP="00A3786D">
      <w:pPr>
        <w:numPr>
          <w:ilvl w:val="0"/>
          <w:numId w:val="3"/>
        </w:numPr>
        <w:spacing w:before="120" w:line="300" w:lineRule="atLeast"/>
        <w:jc w:val="both"/>
        <w:rPr>
          <w:szCs w:val="20"/>
        </w:rPr>
      </w:pPr>
      <w:r w:rsidRPr="005E2BD3">
        <w:rPr>
          <w:szCs w:val="20"/>
        </w:rPr>
        <w:t>the Commonwealth attaching conditions to funding, potentially constraining the flexibility and manner in which a State spends revenue (in some instances this may also be a positive)</w:t>
      </w:r>
    </w:p>
    <w:p w14:paraId="7954AE00" w14:textId="77777777" w:rsidR="00F05DC7" w:rsidRPr="005E2BD3" w:rsidRDefault="00F05DC7" w:rsidP="00A3786D">
      <w:pPr>
        <w:numPr>
          <w:ilvl w:val="0"/>
          <w:numId w:val="3"/>
        </w:numPr>
        <w:spacing w:before="120" w:line="300" w:lineRule="atLeast"/>
        <w:jc w:val="both"/>
        <w:rPr>
          <w:szCs w:val="20"/>
        </w:rPr>
      </w:pPr>
      <w:r w:rsidRPr="005E2BD3">
        <w:rPr>
          <w:szCs w:val="20"/>
        </w:rPr>
        <w:t xml:space="preserve">distortions in the types </w:t>
      </w:r>
      <w:r>
        <w:rPr>
          <w:szCs w:val="20"/>
        </w:rPr>
        <w:t xml:space="preserve">and level </w:t>
      </w:r>
      <w:r w:rsidRPr="005E2BD3">
        <w:rPr>
          <w:szCs w:val="20"/>
        </w:rPr>
        <w:t>of services provided</w:t>
      </w:r>
      <w:r>
        <w:rPr>
          <w:szCs w:val="20"/>
        </w:rPr>
        <w:t>, with potential for over</w:t>
      </w:r>
      <w:r>
        <w:rPr>
          <w:szCs w:val="20"/>
        </w:rPr>
        <w:noBreakHyphen/>
        <w:t xml:space="preserve"> or under</w:t>
      </w:r>
      <w:r>
        <w:rPr>
          <w:szCs w:val="20"/>
        </w:rPr>
        <w:noBreakHyphen/>
        <w:t xml:space="preserve">spending relative to the community’s preferences due to the division of funding responsibilities between levels of government </w:t>
      </w:r>
    </w:p>
    <w:p w14:paraId="7954AE01" w14:textId="77777777" w:rsidR="00F05DC7" w:rsidRPr="005E2BD3" w:rsidRDefault="00F05DC7" w:rsidP="00A3786D">
      <w:pPr>
        <w:numPr>
          <w:ilvl w:val="0"/>
          <w:numId w:val="3"/>
        </w:numPr>
        <w:spacing w:before="120" w:line="300" w:lineRule="atLeast"/>
        <w:jc w:val="both"/>
        <w:rPr>
          <w:szCs w:val="20"/>
        </w:rPr>
      </w:pPr>
      <w:r w:rsidRPr="005E2BD3">
        <w:rPr>
          <w:szCs w:val="20"/>
        </w:rPr>
        <w:t>the maintenance (or even introduction) of inefficient State taxes.</w:t>
      </w:r>
    </w:p>
    <w:p w14:paraId="7954AE02" w14:textId="0D73F0DB" w:rsidR="00F05DC7" w:rsidRPr="005E2BD3" w:rsidRDefault="00F05DC7" w:rsidP="00A3786D">
      <w:pPr>
        <w:keepNext/>
        <w:spacing w:before="240" w:line="300" w:lineRule="atLeast"/>
        <w:jc w:val="both"/>
        <w:rPr>
          <w:szCs w:val="20"/>
        </w:rPr>
      </w:pPr>
      <w:r w:rsidRPr="005E2BD3">
        <w:rPr>
          <w:szCs w:val="20"/>
        </w:rPr>
        <w:t xml:space="preserve">While Australia has a relatively high VFI compared </w:t>
      </w:r>
      <w:r>
        <w:rPr>
          <w:szCs w:val="20"/>
        </w:rPr>
        <w:t>with</w:t>
      </w:r>
      <w:r w:rsidRPr="005E2BD3">
        <w:rPr>
          <w:szCs w:val="20"/>
        </w:rPr>
        <w:t xml:space="preserve"> other federations (chapter</w:t>
      </w:r>
      <w:r>
        <w:rPr>
          <w:szCs w:val="20"/>
        </w:rPr>
        <w:t> </w:t>
      </w:r>
      <w:r w:rsidRPr="005E2BD3">
        <w:rPr>
          <w:szCs w:val="20"/>
        </w:rPr>
        <w:t>2), it is not solely a function of the decisions of the Commonwealth Government. There is equally a role for the States. Notably</w:t>
      </w:r>
      <w:r>
        <w:rPr>
          <w:szCs w:val="20"/>
        </w:rPr>
        <w:t>,</w:t>
      </w:r>
      <w:r w:rsidRPr="005E2BD3">
        <w:rPr>
          <w:szCs w:val="20"/>
        </w:rPr>
        <w:t xml:space="preserve"> the States have levers within their control to address their revenue shortfalls and </w:t>
      </w:r>
      <w:r>
        <w:rPr>
          <w:szCs w:val="20"/>
        </w:rPr>
        <w:t xml:space="preserve">go some way to </w:t>
      </w:r>
      <w:r w:rsidRPr="005E2BD3">
        <w:rPr>
          <w:szCs w:val="20"/>
        </w:rPr>
        <w:t>address</w:t>
      </w:r>
      <w:r>
        <w:rPr>
          <w:szCs w:val="20"/>
        </w:rPr>
        <w:t>ing</w:t>
      </w:r>
      <w:r w:rsidRPr="005E2BD3">
        <w:rPr>
          <w:szCs w:val="20"/>
        </w:rPr>
        <w:t xml:space="preserve"> VFI themselves, independent of the Commonwealth. For example, there are a number of potentially efficient revenue options, such as </w:t>
      </w:r>
      <w:r>
        <w:rPr>
          <w:szCs w:val="20"/>
        </w:rPr>
        <w:t>more broadly applied</w:t>
      </w:r>
      <w:r w:rsidRPr="005E2BD3">
        <w:rPr>
          <w:szCs w:val="20"/>
        </w:rPr>
        <w:t xml:space="preserve"> land taxes </w:t>
      </w:r>
      <w:r>
        <w:rPr>
          <w:szCs w:val="20"/>
        </w:rPr>
        <w:t>and mineral rents</w:t>
      </w:r>
      <w:r w:rsidRPr="00874950">
        <w:rPr>
          <w:szCs w:val="20"/>
        </w:rPr>
        <w:t>,</w:t>
      </w:r>
      <w:r w:rsidRPr="005E2BD3">
        <w:rPr>
          <w:szCs w:val="20"/>
        </w:rPr>
        <w:t xml:space="preserve"> which could be applied by the States if they so wished, although as noted earlier and in chapter</w:t>
      </w:r>
      <w:r>
        <w:rPr>
          <w:szCs w:val="20"/>
        </w:rPr>
        <w:t> </w:t>
      </w:r>
      <w:r w:rsidRPr="005E2BD3">
        <w:rPr>
          <w:szCs w:val="20"/>
        </w:rPr>
        <w:t>3, HFE can</w:t>
      </w:r>
      <w:r>
        <w:rPr>
          <w:szCs w:val="20"/>
        </w:rPr>
        <w:t xml:space="preserve"> in some cases,</w:t>
      </w:r>
      <w:r w:rsidRPr="005E2BD3">
        <w:rPr>
          <w:szCs w:val="20"/>
        </w:rPr>
        <w:t xml:space="preserve"> discourage such reforms. As noted by Walsh </w:t>
      </w:r>
      <w:r w:rsidRPr="005E2BD3">
        <w:t>(2008, p. 56)</w:t>
      </w:r>
      <w:r w:rsidRPr="005E2BD3">
        <w:rPr>
          <w:szCs w:val="20"/>
        </w:rPr>
        <w:t>:</w:t>
      </w:r>
    </w:p>
    <w:p w14:paraId="7954AE03" w14:textId="77777777" w:rsidR="00F05DC7" w:rsidRPr="005E2BD3" w:rsidRDefault="00F05DC7" w:rsidP="00A3786D">
      <w:pPr>
        <w:spacing w:before="120" w:line="280" w:lineRule="exact"/>
        <w:ind w:left="340"/>
        <w:jc w:val="both"/>
        <w:rPr>
          <w:sz w:val="22"/>
          <w:szCs w:val="20"/>
        </w:rPr>
      </w:pPr>
      <w:r w:rsidRPr="005E2BD3">
        <w:rPr>
          <w:sz w:val="22"/>
          <w:szCs w:val="20"/>
        </w:rPr>
        <w:t>… I have also frequently pointed out that the ostensible degree of fiscal dependence of the states on the commonwealth is, at least to some degree, a choice the states have made. The most immediately obvious sense in which that is so is their natural preference for the commonwealth to raise the revenue and for them to do the spending …</w:t>
      </w:r>
    </w:p>
    <w:p w14:paraId="7954AE04" w14:textId="77777777" w:rsidR="00F05DC7" w:rsidRPr="005E2BD3" w:rsidRDefault="00F05DC7" w:rsidP="00A3786D">
      <w:pPr>
        <w:spacing w:before="240" w:line="300" w:lineRule="atLeast"/>
        <w:jc w:val="both"/>
        <w:rPr>
          <w:szCs w:val="20"/>
        </w:rPr>
      </w:pPr>
      <w:r w:rsidRPr="005E2BD3">
        <w:rPr>
          <w:szCs w:val="20"/>
        </w:rPr>
        <w:t>This does not, however, negate the need for broader federal state financial reform.</w:t>
      </w:r>
    </w:p>
    <w:p w14:paraId="7954AE05" w14:textId="77777777" w:rsidR="00F05DC7" w:rsidRPr="005E2BD3" w:rsidRDefault="00F05DC7" w:rsidP="00A3786D">
      <w:pPr>
        <w:keepNext/>
        <w:spacing w:before="480" w:line="320" w:lineRule="exact"/>
        <w:outlineLvl w:val="3"/>
        <w:rPr>
          <w:rFonts w:ascii="Arial" w:hAnsi="Arial"/>
          <w:szCs w:val="20"/>
        </w:rPr>
      </w:pPr>
      <w:r w:rsidRPr="005E2BD3">
        <w:rPr>
          <w:rFonts w:ascii="Arial" w:hAnsi="Arial"/>
          <w:szCs w:val="20"/>
        </w:rPr>
        <w:t>A web of Commonwealth transfers to the States</w:t>
      </w:r>
    </w:p>
    <w:p w14:paraId="7954AE06" w14:textId="77777777" w:rsidR="00F05DC7" w:rsidRPr="005E2BD3" w:rsidRDefault="00F05DC7" w:rsidP="00A3786D">
      <w:pPr>
        <w:spacing w:before="240" w:line="300" w:lineRule="atLeast"/>
        <w:jc w:val="both"/>
        <w:rPr>
          <w:szCs w:val="20"/>
        </w:rPr>
      </w:pPr>
      <w:r w:rsidRPr="005E2BD3">
        <w:rPr>
          <w:szCs w:val="20"/>
        </w:rPr>
        <w:t xml:space="preserve">The States’ high reliance on Commonwealth transfers makes it imperative that the system of both general revenue assistance (largely GST) and payments for specific purposes (chapter 2) work effectively together. Yet, the system is complex, susceptible to being gamed and accountability is </w:t>
      </w:r>
      <w:r>
        <w:rPr>
          <w:szCs w:val="20"/>
        </w:rPr>
        <w:t>more than</w:t>
      </w:r>
      <w:r w:rsidRPr="005E2BD3">
        <w:rPr>
          <w:szCs w:val="20"/>
        </w:rPr>
        <w:t xml:space="preserve"> blurred. </w:t>
      </w:r>
    </w:p>
    <w:p w14:paraId="7954AE07" w14:textId="77777777" w:rsidR="00F05DC7" w:rsidRPr="005E2BD3" w:rsidRDefault="00F05DC7" w:rsidP="00A3786D">
      <w:pPr>
        <w:keepNext/>
        <w:spacing w:before="480" w:line="320" w:lineRule="exact"/>
        <w:outlineLvl w:val="4"/>
        <w:rPr>
          <w:rFonts w:ascii="Arial" w:hAnsi="Arial"/>
          <w:i/>
          <w:sz w:val="22"/>
          <w:szCs w:val="20"/>
        </w:rPr>
      </w:pPr>
      <w:r w:rsidRPr="005E2BD3">
        <w:rPr>
          <w:rFonts w:ascii="Arial" w:hAnsi="Arial"/>
          <w:i/>
          <w:sz w:val="22"/>
          <w:szCs w:val="20"/>
        </w:rPr>
        <w:t>Payments to the States are calculated using a range of mechanisms</w:t>
      </w:r>
    </w:p>
    <w:p w14:paraId="7954AE08" w14:textId="168E2D9B" w:rsidR="00F05DC7" w:rsidRPr="005E2BD3" w:rsidRDefault="00F05DC7" w:rsidP="00A3786D">
      <w:pPr>
        <w:spacing w:before="240" w:line="300" w:lineRule="atLeast"/>
        <w:jc w:val="both"/>
        <w:rPr>
          <w:szCs w:val="20"/>
        </w:rPr>
      </w:pPr>
      <w:r w:rsidRPr="005E2BD3">
        <w:rPr>
          <w:szCs w:val="20"/>
        </w:rPr>
        <w:t>Commonwealth payments to the States are calculated in a range of ways. For example, the National Health Reform Agreement and National Education Reform Agreeme</w:t>
      </w:r>
      <w:r>
        <w:rPr>
          <w:szCs w:val="20"/>
        </w:rPr>
        <w:t xml:space="preserve">nt (now named Quality Schools) — </w:t>
      </w:r>
      <w:r w:rsidRPr="005E2BD3">
        <w:rPr>
          <w:szCs w:val="20"/>
        </w:rPr>
        <w:t>representing close to $38 billion and 32 per cent of all pa</w:t>
      </w:r>
      <w:r>
        <w:rPr>
          <w:szCs w:val="20"/>
        </w:rPr>
        <w:t>yments to the States in 2017</w:t>
      </w:r>
      <w:r>
        <w:rPr>
          <w:szCs w:val="20"/>
        </w:rPr>
        <w:noBreakHyphen/>
        <w:t>18 —</w:t>
      </w:r>
      <w:r w:rsidRPr="005E2BD3">
        <w:rPr>
          <w:szCs w:val="20"/>
        </w:rPr>
        <w:t xml:space="preserve"> moved the basis of funding to States from EPC to an activity or needs basis </w:t>
      </w:r>
      <w:r w:rsidR="009D6331" w:rsidRPr="009D6331">
        <w:t>(Commonwealth of Australia 2017b)</w:t>
      </w:r>
      <w:r w:rsidRPr="005E2BD3">
        <w:rPr>
          <w:szCs w:val="20"/>
        </w:rPr>
        <w:t xml:space="preserve">. Other payments for specific purposes, </w:t>
      </w:r>
      <w:r w:rsidRPr="005E2BD3">
        <w:rPr>
          <w:szCs w:val="20"/>
        </w:rPr>
        <w:lastRenderedPageBreak/>
        <w:t xml:space="preserve">such as skills and workforce development and housing, are based on an EPC approach (appendix B). </w:t>
      </w:r>
    </w:p>
    <w:p w14:paraId="7954AE09" w14:textId="738545FC" w:rsidR="00F05DC7" w:rsidRPr="005E2BD3" w:rsidRDefault="00F05DC7" w:rsidP="00A3786D">
      <w:pPr>
        <w:spacing w:before="240" w:line="300" w:lineRule="atLeast"/>
        <w:jc w:val="both"/>
        <w:rPr>
          <w:szCs w:val="20"/>
        </w:rPr>
      </w:pPr>
      <w:r>
        <w:rPr>
          <w:szCs w:val="20"/>
        </w:rPr>
        <w:t>Several participants to this</w:t>
      </w:r>
      <w:r w:rsidRPr="005E2BD3">
        <w:rPr>
          <w:szCs w:val="20"/>
        </w:rPr>
        <w:t xml:space="preserve"> inquiry commented on the conflicting approaches to determining payments for specific purposes and HFE. They have suggested that HFE, as the fiscal capacity ‘spirit level’, can undermine other forms of States’ payments (Queensland Government, sub. 32; ACT Government, sub. 49</w:t>
      </w:r>
      <w:r>
        <w:rPr>
          <w:szCs w:val="20"/>
        </w:rPr>
        <w:t>; NSW Government, sub. DR52; Fahrer and FitzGerald, sub. DR102</w:t>
      </w:r>
      <w:r w:rsidRPr="005E2BD3">
        <w:rPr>
          <w:szCs w:val="20"/>
        </w:rPr>
        <w:t xml:space="preserve">). Indeed, in 2002, Garnaut and FitzGerald </w:t>
      </w:r>
      <w:r w:rsidRPr="00021D43">
        <w:t>(2002a, pp. 57–58)</w:t>
      </w:r>
      <w:r w:rsidRPr="005E2BD3">
        <w:rPr>
          <w:szCs w:val="20"/>
        </w:rPr>
        <w:t xml:space="preserve"> noted the controversy around whether the CGC should override the allocation of payments for specific purposes, commenting that ‘</w:t>
      </w:r>
      <w:r>
        <w:rPr>
          <w:szCs w:val="20"/>
        </w:rPr>
        <w:t>t</w:t>
      </w:r>
      <w:r w:rsidRPr="005E2BD3">
        <w:rPr>
          <w:szCs w:val="20"/>
        </w:rPr>
        <w:t xml:space="preserve">he equalisation of SPPs </w:t>
      </w:r>
      <w:r>
        <w:rPr>
          <w:szCs w:val="20"/>
        </w:rPr>
        <w:t xml:space="preserve">[specific purpose payments] </w:t>
      </w:r>
      <w:r w:rsidRPr="005E2BD3">
        <w:rPr>
          <w:szCs w:val="20"/>
        </w:rPr>
        <w:t xml:space="preserve">adds an additional layer of complexity to an SPP system which is already complex’. </w:t>
      </w:r>
    </w:p>
    <w:p w14:paraId="7954AE0A" w14:textId="77777777" w:rsidR="00F05DC7" w:rsidRPr="005E2BD3" w:rsidRDefault="00F05DC7" w:rsidP="00A3786D">
      <w:pPr>
        <w:spacing w:before="240" w:line="300" w:lineRule="atLeast"/>
        <w:jc w:val="both"/>
        <w:rPr>
          <w:szCs w:val="20"/>
        </w:rPr>
      </w:pPr>
      <w:r w:rsidRPr="005E2BD3">
        <w:rPr>
          <w:szCs w:val="20"/>
        </w:rPr>
        <w:t>The scope for the CGC to ‘counteract’ the funding provided through SPPs depends upon the extent to which the assessment of needs differs under each approach. The WA Government (sub. 15, p. 88) submitted that under the schools education assessment, the CGC assessed Western Australia as needing to spend 6.6 per cent above the national average in 2015</w:t>
      </w:r>
      <w:r w:rsidRPr="005E2BD3">
        <w:rPr>
          <w:szCs w:val="20"/>
        </w:rPr>
        <w:noBreakHyphen/>
        <w:t>16, while the Commonwealth’s Students First funding model assessed the State as needing to spend 14.1 per cent above the national average in the same year.</w:t>
      </w:r>
    </w:p>
    <w:p w14:paraId="7954AE0B" w14:textId="77777777" w:rsidR="00F05DC7" w:rsidRPr="005E2BD3" w:rsidRDefault="00F05DC7" w:rsidP="00A3786D">
      <w:pPr>
        <w:spacing w:before="240" w:line="300" w:lineRule="atLeast"/>
        <w:jc w:val="both"/>
        <w:rPr>
          <w:szCs w:val="20"/>
        </w:rPr>
      </w:pPr>
      <w:r w:rsidRPr="005E2BD3">
        <w:rPr>
          <w:szCs w:val="20"/>
        </w:rPr>
        <w:t>While the CGC’s approach to Commonwealth payments is consistent with its overall approach to HFE, it may not always be consistent with governments’ other, more specific objectives for its payments in particular areas.</w:t>
      </w:r>
      <w:r>
        <w:rPr>
          <w:szCs w:val="20"/>
        </w:rPr>
        <w:t xml:space="preserve"> </w:t>
      </w:r>
      <w:r w:rsidRPr="005E2BD3">
        <w:rPr>
          <w:szCs w:val="20"/>
        </w:rPr>
        <w:t xml:space="preserve">That said, the HFE system does not actually reduce the specific funding allocated under SPPs — the nature of the tied SPP funding means that the States are required to spend the agreed amount in a specific area. </w:t>
      </w:r>
    </w:p>
    <w:p w14:paraId="7954AE0C" w14:textId="77777777" w:rsidR="00F05DC7" w:rsidRPr="005E2BD3" w:rsidRDefault="00F05DC7" w:rsidP="00A3786D">
      <w:pPr>
        <w:keepNext/>
        <w:spacing w:before="480" w:line="320" w:lineRule="exact"/>
        <w:outlineLvl w:val="4"/>
        <w:rPr>
          <w:rFonts w:ascii="Arial" w:hAnsi="Arial"/>
          <w:i/>
          <w:sz w:val="22"/>
          <w:szCs w:val="20"/>
        </w:rPr>
      </w:pPr>
      <w:r w:rsidRPr="005E2BD3">
        <w:rPr>
          <w:rFonts w:ascii="Arial" w:hAnsi="Arial"/>
          <w:i/>
          <w:sz w:val="22"/>
          <w:szCs w:val="20"/>
        </w:rPr>
        <w:t>The balance between tied and untied funding</w:t>
      </w:r>
    </w:p>
    <w:p w14:paraId="7954AE0D" w14:textId="77777777" w:rsidR="00F05DC7" w:rsidRPr="005E2BD3" w:rsidRDefault="00F05DC7" w:rsidP="00A3786D">
      <w:pPr>
        <w:spacing w:before="240" w:line="300" w:lineRule="atLeast"/>
        <w:jc w:val="both"/>
        <w:rPr>
          <w:szCs w:val="20"/>
        </w:rPr>
      </w:pPr>
      <w:r w:rsidRPr="005E2BD3">
        <w:rPr>
          <w:szCs w:val="20"/>
        </w:rPr>
        <w:t xml:space="preserve">GST payments are provided as untied funding, while most other payments are tied. States that receive a small proportion of HFE funding relative to Commonwealth payments (the fiscally stronger States), have a greater percentage of their Commonwealth funding tied, and less flexibility in how they spend these payments. </w:t>
      </w:r>
    </w:p>
    <w:p w14:paraId="7954AE0E" w14:textId="77777777" w:rsidR="00F05DC7" w:rsidRPr="005E2BD3" w:rsidRDefault="00F05DC7" w:rsidP="00A3786D">
      <w:pPr>
        <w:spacing w:before="240" w:line="300" w:lineRule="atLeast"/>
        <w:jc w:val="both"/>
        <w:rPr>
          <w:szCs w:val="20"/>
        </w:rPr>
      </w:pPr>
      <w:r w:rsidRPr="005E2BD3">
        <w:rPr>
          <w:szCs w:val="20"/>
        </w:rPr>
        <w:t>That said, the fiscally stronger States also have a greater ability to supplement Commonwealth funding with their own revenue sources. Indeed, when considering both Commonwealth and State revenue sources, the proportion of overall State revenue that is tied exhibits little variation across States (chapter</w:t>
      </w:r>
      <w:r>
        <w:rPr>
          <w:szCs w:val="20"/>
        </w:rPr>
        <w:t> </w:t>
      </w:r>
      <w:r w:rsidRPr="005E2BD3">
        <w:rPr>
          <w:szCs w:val="20"/>
        </w:rPr>
        <w:t xml:space="preserve">4). </w:t>
      </w:r>
    </w:p>
    <w:p w14:paraId="7954AE0F" w14:textId="77777777" w:rsidR="00F05DC7" w:rsidRPr="005E2BD3" w:rsidRDefault="00F05DC7" w:rsidP="00A3786D">
      <w:pPr>
        <w:spacing w:before="240" w:line="300" w:lineRule="atLeast"/>
        <w:jc w:val="both"/>
        <w:rPr>
          <w:szCs w:val="20"/>
        </w:rPr>
      </w:pPr>
      <w:r w:rsidRPr="005E2BD3">
        <w:rPr>
          <w:szCs w:val="20"/>
        </w:rPr>
        <w:t>A related concern is that the States may engage in strategic behaviour to increase their share of untied revenue</w:t>
      </w:r>
      <w:r w:rsidRPr="008758C0">
        <w:rPr>
          <w:szCs w:val="20"/>
        </w:rPr>
        <w:t xml:space="preserve"> </w:t>
      </w:r>
      <w:r>
        <w:rPr>
          <w:szCs w:val="20"/>
        </w:rPr>
        <w:t>(</w:t>
      </w:r>
      <w:r w:rsidRPr="005E2BD3">
        <w:rPr>
          <w:szCs w:val="20"/>
        </w:rPr>
        <w:t>NSW Government</w:t>
      </w:r>
      <w:r>
        <w:rPr>
          <w:szCs w:val="20"/>
        </w:rPr>
        <w:t>,</w:t>
      </w:r>
      <w:r w:rsidRPr="005E2BD3">
        <w:rPr>
          <w:szCs w:val="20"/>
        </w:rPr>
        <w:t xml:space="preserve"> sub. 52, pp. 1</w:t>
      </w:r>
      <w:r>
        <w:rPr>
          <w:szCs w:val="20"/>
        </w:rPr>
        <w:t>1</w:t>
      </w:r>
      <w:r w:rsidRPr="005E2BD3">
        <w:rPr>
          <w:szCs w:val="20"/>
        </w:rPr>
        <w:t xml:space="preserve">–13). This could potentially occur through States’ selective participation in </w:t>
      </w:r>
      <w:r>
        <w:rPr>
          <w:szCs w:val="20"/>
        </w:rPr>
        <w:t>(and even lobbying in regards to) National Partnership Agreements</w:t>
      </w:r>
      <w:r w:rsidRPr="005E2BD3">
        <w:rPr>
          <w:szCs w:val="20"/>
        </w:rPr>
        <w:t xml:space="preserve">. </w:t>
      </w:r>
      <w:r>
        <w:rPr>
          <w:szCs w:val="20"/>
        </w:rPr>
        <w:t xml:space="preserve">For example, a State may abstain from signing up to an Agreement even if it means forgoing tied funding to receive a greater amount of untied funding </w:t>
      </w:r>
      <w:r w:rsidRPr="00934CF4">
        <w:rPr>
          <w:szCs w:val="20"/>
        </w:rPr>
        <w:t xml:space="preserve">(NSW Government, </w:t>
      </w:r>
      <w:r>
        <w:rPr>
          <w:szCs w:val="20"/>
        </w:rPr>
        <w:t>sub. </w:t>
      </w:r>
      <w:r w:rsidRPr="00934CF4">
        <w:rPr>
          <w:szCs w:val="20"/>
        </w:rPr>
        <w:t>52</w:t>
      </w:r>
      <w:r>
        <w:rPr>
          <w:szCs w:val="20"/>
        </w:rPr>
        <w:t xml:space="preserve">). </w:t>
      </w:r>
      <w:r w:rsidRPr="005E2BD3">
        <w:rPr>
          <w:szCs w:val="20"/>
        </w:rPr>
        <w:t>Fahrer and FitzGerald (sub. DR102, p. 25) commented, ‘</w:t>
      </w:r>
      <w:r>
        <w:rPr>
          <w:szCs w:val="20"/>
        </w:rPr>
        <w:t xml:space="preserve"> </w:t>
      </w:r>
      <w:r w:rsidRPr="005E2BD3">
        <w:rPr>
          <w:szCs w:val="20"/>
        </w:rPr>
        <w:t>… the practice of the Commonwealth giving with one hand and taking with the other creates incentives for States to behave strategically’.</w:t>
      </w:r>
    </w:p>
    <w:p w14:paraId="7954AE10" w14:textId="77777777" w:rsidR="00F05DC7" w:rsidRPr="005E2BD3" w:rsidRDefault="00F05DC7" w:rsidP="00A3786D">
      <w:pPr>
        <w:spacing w:before="240" w:line="300" w:lineRule="atLeast"/>
        <w:jc w:val="both"/>
        <w:rPr>
          <w:szCs w:val="20"/>
        </w:rPr>
      </w:pPr>
      <w:r w:rsidRPr="005E2BD3">
        <w:rPr>
          <w:szCs w:val="20"/>
        </w:rPr>
        <w:lastRenderedPageBreak/>
        <w:t>However, more crucially, there appears to have been little consideration of whether the current system results in an optimal balance between tied and untied funding.</w:t>
      </w:r>
    </w:p>
    <w:p w14:paraId="7954AE11" w14:textId="77777777" w:rsidR="00F05DC7" w:rsidRPr="005E2BD3" w:rsidRDefault="00F05DC7" w:rsidP="00A3786D">
      <w:pPr>
        <w:keepNext/>
        <w:spacing w:before="480" w:line="320" w:lineRule="exact"/>
        <w:outlineLvl w:val="4"/>
        <w:rPr>
          <w:rFonts w:ascii="Arial" w:hAnsi="Arial"/>
          <w:i/>
          <w:sz w:val="22"/>
          <w:szCs w:val="20"/>
        </w:rPr>
      </w:pPr>
      <w:r w:rsidRPr="005E2BD3">
        <w:rPr>
          <w:rFonts w:ascii="Arial" w:hAnsi="Arial"/>
          <w:i/>
          <w:sz w:val="22"/>
          <w:szCs w:val="20"/>
        </w:rPr>
        <w:t xml:space="preserve">A </w:t>
      </w:r>
      <w:r>
        <w:rPr>
          <w:rFonts w:ascii="Arial" w:hAnsi="Arial"/>
          <w:i/>
          <w:sz w:val="22"/>
          <w:szCs w:val="20"/>
        </w:rPr>
        <w:t>tapestry</w:t>
      </w:r>
      <w:r w:rsidRPr="005E2BD3">
        <w:rPr>
          <w:rFonts w:ascii="Arial" w:hAnsi="Arial"/>
          <w:i/>
          <w:sz w:val="22"/>
          <w:szCs w:val="20"/>
        </w:rPr>
        <w:t xml:space="preserve"> of responsibilities for funding and delivery of services </w:t>
      </w:r>
    </w:p>
    <w:p w14:paraId="7954AE12" w14:textId="082E69B7" w:rsidR="00F05DC7" w:rsidRPr="005E2BD3" w:rsidRDefault="00F05DC7" w:rsidP="00A3786D">
      <w:pPr>
        <w:spacing w:before="240" w:line="300" w:lineRule="atLeast"/>
        <w:jc w:val="both"/>
        <w:rPr>
          <w:szCs w:val="20"/>
        </w:rPr>
      </w:pPr>
      <w:r>
        <w:rPr>
          <w:szCs w:val="20"/>
        </w:rPr>
        <w:t>T</w:t>
      </w:r>
      <w:r w:rsidRPr="005E2BD3">
        <w:rPr>
          <w:szCs w:val="20"/>
        </w:rPr>
        <w:t xml:space="preserve">he patchwork of Commonwealth–State funding and delivery arrangements blurs accountability. The scope of activities jointly covered by the Commonwealth and States is extensive, including for health, education and road transport. As noted by Gray </w:t>
      </w:r>
      <w:r w:rsidRPr="00021D43">
        <w:t>(2017, p. 3)</w:t>
      </w:r>
      <w:r w:rsidRPr="005E2BD3">
        <w:rPr>
          <w:szCs w:val="20"/>
        </w:rPr>
        <w:t>:</w:t>
      </w:r>
    </w:p>
    <w:p w14:paraId="7954AE13" w14:textId="77777777" w:rsidR="00F05DC7" w:rsidRPr="005E2BD3" w:rsidRDefault="00F05DC7" w:rsidP="00A3786D">
      <w:pPr>
        <w:spacing w:before="120" w:line="280" w:lineRule="exact"/>
        <w:ind w:left="340"/>
        <w:jc w:val="both"/>
        <w:rPr>
          <w:sz w:val="22"/>
          <w:szCs w:val="20"/>
        </w:rPr>
      </w:pPr>
      <w:r w:rsidRPr="005E2BD3">
        <w:rPr>
          <w:sz w:val="22"/>
          <w:szCs w:val="20"/>
        </w:rPr>
        <w:t>… powers assigned to the Commonwealth, but not exclusively so, create areas where both [the States and Commonwealth] may operate, at least in principle. … this has created fertile ground for the growth of confusion about which government should be accountable for which function.</w:t>
      </w:r>
    </w:p>
    <w:p w14:paraId="7954AE14" w14:textId="234A6B8F" w:rsidR="00F05DC7" w:rsidRPr="005E2BD3" w:rsidRDefault="00F05DC7" w:rsidP="00A3786D">
      <w:pPr>
        <w:spacing w:before="240" w:line="300" w:lineRule="atLeast"/>
        <w:jc w:val="both"/>
        <w:rPr>
          <w:szCs w:val="20"/>
        </w:rPr>
      </w:pPr>
      <w:r w:rsidRPr="005E2BD3">
        <w:rPr>
          <w:szCs w:val="20"/>
        </w:rPr>
        <w:t xml:space="preserve">The difficulties that this creates for accountability have also been noted by the OECD. It advises that countries should only seek to fully equalise if the State Government is </w:t>
      </w:r>
      <w:r>
        <w:rPr>
          <w:szCs w:val="20"/>
        </w:rPr>
        <w:t xml:space="preserve">solely </w:t>
      </w:r>
      <w:r w:rsidRPr="005E2BD3">
        <w:rPr>
          <w:szCs w:val="20"/>
        </w:rPr>
        <w:t xml:space="preserve">responsible for delivering services in its assigned policy area </w:t>
      </w:r>
      <w:r w:rsidRPr="00021D43">
        <w:t>(Blöchliger et al. 2007, p. 10)</w:t>
      </w:r>
      <w:r w:rsidRPr="005E2BD3">
        <w:rPr>
          <w:szCs w:val="20"/>
        </w:rPr>
        <w:t xml:space="preserve">. </w:t>
      </w:r>
    </w:p>
    <w:p w14:paraId="7954AE15" w14:textId="77777777" w:rsidR="00F05DC7" w:rsidRPr="005E2BD3" w:rsidRDefault="00F05DC7" w:rsidP="00A3786D">
      <w:pPr>
        <w:spacing w:before="240" w:line="300" w:lineRule="atLeast"/>
        <w:jc w:val="both"/>
        <w:rPr>
          <w:szCs w:val="20"/>
        </w:rPr>
      </w:pPr>
      <w:r w:rsidRPr="005E2BD3">
        <w:rPr>
          <w:szCs w:val="20"/>
        </w:rPr>
        <w:t>Broader reform to federal financial relations, as discussed below, would provide an opportunity to revisit these accountability concerns.</w:t>
      </w:r>
    </w:p>
    <w:p w14:paraId="7954AE16" w14:textId="77777777" w:rsidR="00F05DC7" w:rsidRPr="005E2BD3" w:rsidRDefault="00F05DC7" w:rsidP="00A3786D">
      <w:pPr>
        <w:keepNext/>
        <w:spacing w:before="560" w:line="320" w:lineRule="exact"/>
        <w:outlineLvl w:val="2"/>
        <w:rPr>
          <w:rFonts w:ascii="Arial" w:hAnsi="Arial"/>
          <w:b/>
          <w:sz w:val="26"/>
          <w:szCs w:val="20"/>
        </w:rPr>
      </w:pPr>
      <w:r w:rsidRPr="005E2BD3">
        <w:rPr>
          <w:rFonts w:ascii="Arial" w:hAnsi="Arial"/>
          <w:b/>
          <w:sz w:val="26"/>
          <w:szCs w:val="20"/>
        </w:rPr>
        <w:t xml:space="preserve">Confused accountability for addressing Indigenous disadvantage </w:t>
      </w:r>
    </w:p>
    <w:p w14:paraId="7954AE17" w14:textId="77777777" w:rsidR="00F05DC7" w:rsidRDefault="00F05DC7" w:rsidP="00A3786D">
      <w:pPr>
        <w:spacing w:before="240" w:line="300" w:lineRule="atLeast"/>
        <w:jc w:val="both"/>
        <w:rPr>
          <w:szCs w:val="20"/>
        </w:rPr>
      </w:pPr>
      <w:r w:rsidRPr="005E2BD3">
        <w:rPr>
          <w:szCs w:val="20"/>
        </w:rPr>
        <w:t>One area where blurred lines of responsibility and accountability are particularly evident is with regard to Indigenous policies and programs. Reflecting this, the way Indigenous factors are accounted for within the HFE process (box </w:t>
      </w:r>
      <w:r w:rsidRPr="005E2BD3" w:rsidDel="00C70A90">
        <w:rPr>
          <w:szCs w:val="20"/>
        </w:rPr>
        <w:t>9.</w:t>
      </w:r>
      <w:r w:rsidRPr="005E2BD3">
        <w:rPr>
          <w:szCs w:val="20"/>
        </w:rPr>
        <w:t>5) has been a significant point of con</w:t>
      </w:r>
      <w:r>
        <w:rPr>
          <w:szCs w:val="20"/>
        </w:rPr>
        <w:t xml:space="preserve">tention and </w:t>
      </w:r>
      <w:r w:rsidRPr="005E2BD3">
        <w:rPr>
          <w:szCs w:val="20"/>
        </w:rPr>
        <w:t xml:space="preserve">concern for some inquiry participants. </w:t>
      </w:r>
      <w:r>
        <w:rPr>
          <w:szCs w:val="20"/>
        </w:rPr>
        <w:t>For example,</w:t>
      </w:r>
      <w:r w:rsidRPr="005E2BD3">
        <w:rPr>
          <w:szCs w:val="20"/>
        </w:rPr>
        <w:t xml:space="preserve"> the </w:t>
      </w:r>
      <w:r w:rsidRPr="005E2BD3" w:rsidDel="001640F8">
        <w:rPr>
          <w:szCs w:val="20"/>
        </w:rPr>
        <w:t xml:space="preserve">Australian Medical Association (NT) (sub. DR101, p. 9) provided detailed analysis of the significant cost differences involved in treating remotely located Indigenous individuals compared </w:t>
      </w:r>
      <w:r>
        <w:rPr>
          <w:szCs w:val="20"/>
        </w:rPr>
        <w:t>with</w:t>
      </w:r>
      <w:r w:rsidRPr="005E2BD3" w:rsidDel="001640F8">
        <w:rPr>
          <w:szCs w:val="20"/>
        </w:rPr>
        <w:t xml:space="preserve"> Indigenous people in urban areas.</w:t>
      </w:r>
    </w:p>
    <w:p w14:paraId="7954AE18" w14:textId="430C56AD" w:rsidR="00F05DC7" w:rsidRDefault="00F05DC7" w:rsidP="00A3786D">
      <w:pPr>
        <w:spacing w:before="240" w:line="300" w:lineRule="atLeast"/>
        <w:jc w:val="both"/>
        <w:rPr>
          <w:szCs w:val="20"/>
        </w:rPr>
      </w:pPr>
      <w:r w:rsidRPr="005E2BD3">
        <w:rPr>
          <w:szCs w:val="20"/>
        </w:rPr>
        <w:t xml:space="preserve">There have been calls for major reform of the approach, mostly involving taking consideration of Indigenous expenditures out of HFE. </w:t>
      </w:r>
      <w:r>
        <w:rPr>
          <w:szCs w:val="20"/>
        </w:rPr>
        <w:t>The</w:t>
      </w:r>
      <w:r w:rsidRPr="005E2BD3">
        <w:rPr>
          <w:szCs w:val="20"/>
        </w:rPr>
        <w:t xml:space="preserve"> 2002 Review of Commonwealth</w:t>
      </w:r>
      <w:r>
        <w:rPr>
          <w:szCs w:val="20"/>
        </w:rPr>
        <w:noBreakHyphen/>
      </w:r>
      <w:r w:rsidRPr="005E2BD3">
        <w:rPr>
          <w:szCs w:val="20"/>
        </w:rPr>
        <w:t xml:space="preserve">State Funding </w:t>
      </w:r>
      <w:r w:rsidRPr="00021D43">
        <w:t>(Garnaut and FitzGerald 2002b)</w:t>
      </w:r>
      <w:r>
        <w:rPr>
          <w:szCs w:val="20"/>
        </w:rPr>
        <w:t xml:space="preserve">, for example, </w:t>
      </w:r>
      <w:r w:rsidRPr="005E2BD3">
        <w:rPr>
          <w:szCs w:val="20"/>
        </w:rPr>
        <w:t xml:space="preserve">raised the possibility of removing considerations of Indigeneity from the HFE process and establishing an Indigenous Community Development Program to fund policies and programs aimed at addressing Indigenous disadvantage. </w:t>
      </w:r>
      <w:r>
        <w:rPr>
          <w:szCs w:val="20"/>
        </w:rPr>
        <w:t xml:space="preserve">Some past modelling has also considered the welfare effects of removing Indigeneity from the HFE process </w:t>
      </w:r>
      <w:r w:rsidRPr="00B72339">
        <w:t>(Murphy 2017</w:t>
      </w:r>
      <w:r>
        <w:rPr>
          <w:szCs w:val="20"/>
        </w:rPr>
        <w:t>, appendix D).</w:t>
      </w:r>
    </w:p>
    <w:p w14:paraId="7954AE19" w14:textId="77777777" w:rsidR="00F05DC7" w:rsidRDefault="00F05DC7" w:rsidP="00A3786D">
      <w:pPr>
        <w:spacing w:before="240" w:line="300" w:lineRule="atLeast"/>
        <w:jc w:val="both"/>
        <w:rPr>
          <w:szCs w:val="20"/>
        </w:rPr>
      </w:pPr>
      <w:r w:rsidRPr="005E2BD3">
        <w:rPr>
          <w:szCs w:val="20"/>
        </w:rPr>
        <w:t>Changes of this kind were also considered by t</w:t>
      </w:r>
      <w:r>
        <w:rPr>
          <w:szCs w:val="20"/>
        </w:rPr>
        <w:t xml:space="preserve">he 2012 GST Distribution Review. </w:t>
      </w:r>
      <w:r w:rsidRPr="005E2BD3">
        <w:rPr>
          <w:szCs w:val="20"/>
        </w:rPr>
        <w:t xml:space="preserve">While the Review panel did not ultimately agree with calls to remove Indigeneity from HFE, it did note that the HFE system is not the right vehicle to address entrenched disadvantage. </w:t>
      </w:r>
      <w:r>
        <w:rPr>
          <w:szCs w:val="20"/>
        </w:rPr>
        <w:t>The inability of the system to deal with entrenched disadvantage was also raised in this inquiry (Yothu Yindi Foundation, sub. DR80, p. 2).</w:t>
      </w:r>
    </w:p>
    <w:p w14:paraId="7954AE1A" w14:textId="77777777" w:rsidR="00F05DC7" w:rsidRPr="005E2BD3" w:rsidRDefault="00F05DC7" w:rsidP="00A3786D">
      <w:pPr>
        <w:spacing w:before="240" w:line="300" w:lineRule="atLeast"/>
        <w:jc w:val="both"/>
      </w:pPr>
      <w:r w:rsidRPr="005E2BD3">
        <w:rPr>
          <w:szCs w:val="20"/>
        </w:rPr>
        <w:lastRenderedPageBreak/>
        <w:t>Several submissions to the present inquiry have also called for a different approach, including for Indigenous disadvantage to be funded directly by the Commonwealth Government through a specific purpose payment (Business Council of Australia, sub. 47, p. 10; NSW Government, sub. DR109, p. 32; Fahrer and Fitz</w:t>
      </w:r>
      <w:r>
        <w:rPr>
          <w:szCs w:val="20"/>
        </w:rPr>
        <w:t>G</w:t>
      </w:r>
      <w:r w:rsidRPr="005E2BD3">
        <w:rPr>
          <w:szCs w:val="20"/>
        </w:rPr>
        <w:t>erald, sub. DR102, p. 19).</w:t>
      </w:r>
      <w:r>
        <w:rPr>
          <w:szCs w:val="20"/>
        </w:rPr>
        <w:t xml:space="preserve"> </w:t>
      </w:r>
    </w:p>
    <w:p w14:paraId="7954AE1B" w14:textId="77777777" w:rsidR="00F05DC7" w:rsidRPr="005E2BD3" w:rsidRDefault="00F05DC7" w:rsidP="00DD25D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E1D" w14:textId="77777777" w:rsidTr="00A3786D">
        <w:trPr>
          <w:tblHeader/>
        </w:trPr>
        <w:tc>
          <w:tcPr>
            <w:tcW w:w="5000" w:type="pct"/>
            <w:tcBorders>
              <w:top w:val="single" w:sz="6" w:space="0" w:color="78A22F"/>
              <w:left w:val="nil"/>
              <w:bottom w:val="nil"/>
              <w:right w:val="nil"/>
            </w:tcBorders>
            <w:shd w:val="clear" w:color="auto" w:fill="F2F2F2"/>
          </w:tcPr>
          <w:p w14:paraId="7954AE1C" w14:textId="5B740764" w:rsidR="00F05DC7" w:rsidRPr="005E2BD3" w:rsidRDefault="00F05DC7" w:rsidP="00A3786D">
            <w:pPr>
              <w:keepNext/>
              <w:keepLines/>
              <w:spacing w:before="120" w:line="280" w:lineRule="exact"/>
              <w:ind w:left="1474" w:hanging="1474"/>
              <w:rPr>
                <w:rFonts w:ascii="Arial" w:hAnsi="Arial"/>
                <w:b/>
              </w:rPr>
            </w:pPr>
            <w:r w:rsidRPr="005E2BD3">
              <w:rPr>
                <w:rFonts w:ascii="Arial" w:hAnsi="Arial"/>
              </w:rPr>
              <w:t>Box</w:t>
            </w:r>
            <w:r>
              <w:rPr>
                <w:rFonts w:ascii="Arial" w:hAnsi="Arial"/>
              </w:rPr>
              <w:t> 9.</w:t>
            </w:r>
            <w:r>
              <w:rPr>
                <w:rFonts w:ascii="Arial" w:hAnsi="Arial"/>
                <w:noProof/>
              </w:rPr>
              <w:t>5</w:t>
            </w:r>
            <w:r w:rsidRPr="005E2BD3">
              <w:rPr>
                <w:rFonts w:ascii="Arial" w:hAnsi="Arial"/>
                <w:b/>
              </w:rPr>
              <w:tab/>
              <w:t>How is Indigeneity currently treated in HFE?</w:t>
            </w:r>
          </w:p>
        </w:tc>
      </w:tr>
      <w:tr w:rsidR="00F05DC7" w:rsidRPr="005E2BD3" w14:paraId="7954AE27" w14:textId="77777777" w:rsidTr="00A3786D">
        <w:tc>
          <w:tcPr>
            <w:tcW w:w="5000" w:type="pct"/>
            <w:tcBorders>
              <w:top w:val="nil"/>
              <w:left w:val="nil"/>
              <w:bottom w:val="nil"/>
              <w:right w:val="nil"/>
            </w:tcBorders>
            <w:shd w:val="clear" w:color="auto" w:fill="F2F2F2"/>
          </w:tcPr>
          <w:p w14:paraId="7954AE1E" w14:textId="1E0C029C"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Indigeneity redistributes GST revenue because, on average, States spend more providing services per Indigenous person than per non</w:t>
            </w:r>
            <w:r>
              <w:rPr>
                <w:rFonts w:ascii="Arial" w:hAnsi="Arial"/>
                <w:sz w:val="20"/>
                <w:szCs w:val="20"/>
              </w:rPr>
              <w:noBreakHyphen/>
            </w:r>
            <w:r w:rsidRPr="005E2BD3">
              <w:rPr>
                <w:rFonts w:ascii="Arial" w:hAnsi="Arial"/>
                <w:sz w:val="20"/>
                <w:szCs w:val="20"/>
              </w:rPr>
              <w:t>Indigenous person, particularly in areas such as health and housing. Hence, States with a higher proportion of Indigenous people than the average will be assessed as having higher service costs overall and will be given a higher proportion of GST revenue</w:t>
            </w:r>
            <w:r>
              <w:rPr>
                <w:rFonts w:ascii="Arial" w:hAnsi="Arial"/>
                <w:sz w:val="20"/>
                <w:szCs w:val="20"/>
              </w:rPr>
              <w:t xml:space="preserve"> than would otherwise be the case</w:t>
            </w:r>
            <w:r w:rsidRPr="005E2BD3">
              <w:rPr>
                <w:rFonts w:ascii="Arial" w:hAnsi="Arial"/>
                <w:sz w:val="20"/>
                <w:szCs w:val="20"/>
              </w:rPr>
              <w:t xml:space="preserve">. The Northern Territory is the main recipient of GST due to Indigeneity because its proportion of Indigenous population (about 30 per cent), is much higher than the national average (roughly </w:t>
            </w:r>
            <w:r>
              <w:rPr>
                <w:rFonts w:ascii="Arial" w:hAnsi="Arial"/>
                <w:sz w:val="20"/>
                <w:szCs w:val="20"/>
              </w:rPr>
              <w:t>3</w:t>
            </w:r>
            <w:r w:rsidRPr="005E2BD3">
              <w:rPr>
                <w:rFonts w:ascii="Arial" w:hAnsi="Arial"/>
                <w:sz w:val="20"/>
                <w:szCs w:val="20"/>
              </w:rPr>
              <w:t> per cent)</w:t>
            </w:r>
            <w:r>
              <w:rPr>
                <w:rFonts w:ascii="Arial" w:hAnsi="Arial"/>
                <w:sz w:val="20"/>
                <w:szCs w:val="20"/>
              </w:rPr>
              <w:t xml:space="preserve"> </w:t>
            </w:r>
            <w:r w:rsidR="009D6331" w:rsidRPr="009D6331">
              <w:rPr>
                <w:rFonts w:ascii="Arial" w:hAnsi="Arial" w:cs="Arial"/>
                <w:sz w:val="20"/>
              </w:rPr>
              <w:t>(CGC 2018a)</w:t>
            </w:r>
            <w:r w:rsidRPr="005E2BD3">
              <w:rPr>
                <w:rFonts w:ascii="Arial" w:hAnsi="Arial"/>
                <w:sz w:val="20"/>
                <w:szCs w:val="20"/>
              </w:rPr>
              <w:t xml:space="preserve">. </w:t>
            </w:r>
          </w:p>
          <w:p w14:paraId="7954AE1F"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In broad terms, the method used by the CGC to adjust for Indigeneity (as summarised by the 2012 GST Distribution Review) is as follows:</w:t>
            </w:r>
          </w:p>
          <w:p w14:paraId="7954AE20" w14:textId="78765AA3" w:rsidR="00F05DC7" w:rsidRPr="00BE0C4C" w:rsidRDefault="00F05DC7" w:rsidP="00A3786D">
            <w:pPr>
              <w:pStyle w:val="BoxQuote"/>
            </w:pPr>
            <w:r w:rsidRPr="00BE0C4C">
              <w:t>… the CGC does not directly estimate the redistribution due to Indigeneity. Instead, the estimate is derived by assigning to Indigen</w:t>
            </w:r>
            <w:r>
              <w:t>ous people the cost weights and/</w:t>
            </w:r>
            <w:r w:rsidRPr="00BE0C4C">
              <w:t>or spending levels relating to non</w:t>
            </w:r>
            <w:r>
              <w:noBreakHyphen/>
            </w:r>
            <w:r w:rsidRPr="00BE0C4C">
              <w:t>Indigenous people in each expenditure category, with all else unchanged, then comparing the resulting GST redistribution with the GST redistribution from the actual assessments. Estimates for other disability factors are obtained in a similar fashion, by applying average spending for (or removing) that disability, holding everything else constant, and comparing the resultant redistributions with the actual assessment redistributions.</w:t>
            </w:r>
            <w:r>
              <w:t xml:space="preserve"> </w:t>
            </w:r>
            <w:r w:rsidR="009D6331" w:rsidRPr="009D6331">
              <w:rPr>
                <w:rFonts w:cs="Arial"/>
                <w:szCs w:val="24"/>
              </w:rPr>
              <w:t>(Brumby, Carter and Greiner 2012a, p. 148)</w:t>
            </w:r>
          </w:p>
          <w:p w14:paraId="7954AE21"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Significantly, since its 2015 review, the CGC has changed the way it assesses the costs of providing services to Indigenous people. This was in response to concerns, raised by Western Australia and the Northern Territory, that in the 2011 Census, some people who had not previously identified as Indigenous were now doing so. It was not clear that both groups placed the</w:t>
            </w:r>
            <w:r>
              <w:rPr>
                <w:rFonts w:ascii="Arial" w:hAnsi="Arial"/>
                <w:sz w:val="20"/>
                <w:szCs w:val="20"/>
              </w:rPr>
              <w:t xml:space="preserve"> same fiscal pressure on State G</w:t>
            </w:r>
            <w:r w:rsidRPr="005E2BD3">
              <w:rPr>
                <w:rFonts w:ascii="Arial" w:hAnsi="Arial"/>
                <w:sz w:val="20"/>
                <w:szCs w:val="20"/>
              </w:rPr>
              <w:t>overnments.</w:t>
            </w:r>
          </w:p>
          <w:p w14:paraId="7954AE22" w14:textId="77777777" w:rsidR="00F05DC7"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In this review, we have decided to use a geographic socio</w:t>
            </w:r>
            <w:r>
              <w:rPr>
                <w:rFonts w:ascii="Arial" w:hAnsi="Arial"/>
                <w:sz w:val="18"/>
                <w:szCs w:val="20"/>
              </w:rPr>
              <w:noBreakHyphen/>
            </w:r>
            <w:r w:rsidRPr="005E2BD3">
              <w:rPr>
                <w:rFonts w:ascii="Arial" w:hAnsi="Arial"/>
                <w:sz w:val="18"/>
                <w:szCs w:val="20"/>
              </w:rPr>
              <w:t>economic index designed specifically for Indigenous people, and another specifically designed for non</w:t>
            </w:r>
            <w:r>
              <w:rPr>
                <w:rFonts w:ascii="Arial" w:hAnsi="Arial"/>
                <w:sz w:val="18"/>
                <w:szCs w:val="20"/>
              </w:rPr>
              <w:noBreakHyphen/>
            </w:r>
            <w:r w:rsidRPr="005E2BD3">
              <w:rPr>
                <w:rFonts w:ascii="Arial" w:hAnsi="Arial"/>
                <w:sz w:val="18"/>
                <w:szCs w:val="20"/>
              </w:rPr>
              <w:t xml:space="preserve">Indigenous people. </w:t>
            </w:r>
          </w:p>
          <w:p w14:paraId="7954AE23"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As a result, we determine a region’s Indigenous socio</w:t>
            </w:r>
            <w:r>
              <w:rPr>
                <w:rFonts w:ascii="Arial" w:hAnsi="Arial"/>
                <w:sz w:val="18"/>
                <w:szCs w:val="20"/>
              </w:rPr>
              <w:noBreakHyphen/>
            </w:r>
            <w:r w:rsidRPr="005E2BD3">
              <w:rPr>
                <w:rFonts w:ascii="Arial" w:hAnsi="Arial"/>
                <w:sz w:val="18"/>
                <w:szCs w:val="20"/>
              </w:rPr>
              <w:t>economic status using an Indigenous specific indicator based on the socio</w:t>
            </w:r>
            <w:r>
              <w:rPr>
                <w:rFonts w:ascii="Arial" w:hAnsi="Arial"/>
                <w:sz w:val="18"/>
                <w:szCs w:val="20"/>
              </w:rPr>
              <w:noBreakHyphen/>
            </w:r>
            <w:r w:rsidRPr="005E2BD3">
              <w:rPr>
                <w:rFonts w:ascii="Arial" w:hAnsi="Arial"/>
                <w:sz w:val="18"/>
                <w:szCs w:val="20"/>
              </w:rPr>
              <w:t>economic status of its Indigenous residents. Separately, we determine the same region’s non</w:t>
            </w:r>
            <w:r>
              <w:rPr>
                <w:rFonts w:ascii="Arial" w:hAnsi="Arial"/>
                <w:sz w:val="18"/>
                <w:szCs w:val="20"/>
              </w:rPr>
              <w:noBreakHyphen/>
            </w:r>
            <w:r w:rsidRPr="005E2BD3">
              <w:rPr>
                <w:rFonts w:ascii="Arial" w:hAnsi="Arial"/>
                <w:sz w:val="18"/>
                <w:szCs w:val="20"/>
              </w:rPr>
              <w:t>Indigenous status using a non</w:t>
            </w:r>
            <w:r>
              <w:rPr>
                <w:rFonts w:ascii="Arial" w:hAnsi="Arial"/>
                <w:sz w:val="18"/>
                <w:szCs w:val="20"/>
              </w:rPr>
              <w:noBreakHyphen/>
            </w:r>
            <w:r w:rsidRPr="005E2BD3">
              <w:rPr>
                <w:rFonts w:ascii="Arial" w:hAnsi="Arial"/>
                <w:sz w:val="18"/>
                <w:szCs w:val="20"/>
              </w:rPr>
              <w:t>Indigenous specific indicator, based on the socio</w:t>
            </w:r>
            <w:r>
              <w:rPr>
                <w:rFonts w:ascii="Arial" w:hAnsi="Arial"/>
                <w:sz w:val="18"/>
                <w:szCs w:val="20"/>
              </w:rPr>
              <w:noBreakHyphen/>
            </w:r>
            <w:r w:rsidRPr="005E2BD3">
              <w:rPr>
                <w:rFonts w:ascii="Arial" w:hAnsi="Arial"/>
                <w:sz w:val="18"/>
                <w:szCs w:val="20"/>
              </w:rPr>
              <w:t>economic status of its non</w:t>
            </w:r>
            <w:r>
              <w:rPr>
                <w:rFonts w:ascii="Arial" w:hAnsi="Arial"/>
                <w:sz w:val="18"/>
                <w:szCs w:val="20"/>
              </w:rPr>
              <w:noBreakHyphen/>
            </w:r>
            <w:r w:rsidRPr="005E2BD3">
              <w:rPr>
                <w:rFonts w:ascii="Arial" w:hAnsi="Arial"/>
                <w:sz w:val="18"/>
                <w:szCs w:val="20"/>
              </w:rPr>
              <w:t xml:space="preserve">Indigenous residents. </w:t>
            </w:r>
          </w:p>
          <w:p w14:paraId="7954AE24"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In this way we can better identify average State spending on Indigenous residents of different socio</w:t>
            </w:r>
            <w:r>
              <w:rPr>
                <w:rFonts w:ascii="Arial" w:hAnsi="Arial"/>
                <w:sz w:val="18"/>
                <w:szCs w:val="20"/>
              </w:rPr>
              <w:noBreakHyphen/>
            </w:r>
            <w:r w:rsidRPr="005E2BD3">
              <w:rPr>
                <w:rFonts w:ascii="Arial" w:hAnsi="Arial"/>
                <w:sz w:val="18"/>
                <w:szCs w:val="20"/>
              </w:rPr>
              <w:t>economic status and average State spending on non</w:t>
            </w:r>
            <w:r>
              <w:rPr>
                <w:rFonts w:ascii="Arial" w:hAnsi="Arial"/>
                <w:sz w:val="18"/>
                <w:szCs w:val="20"/>
              </w:rPr>
              <w:noBreakHyphen/>
            </w:r>
            <w:r w:rsidRPr="005E2BD3">
              <w:rPr>
                <w:rFonts w:ascii="Arial" w:hAnsi="Arial"/>
                <w:sz w:val="18"/>
                <w:szCs w:val="20"/>
              </w:rPr>
              <w:t>Indigenous residents of different socio</w:t>
            </w:r>
            <w:r>
              <w:rPr>
                <w:rFonts w:ascii="Arial" w:hAnsi="Arial"/>
                <w:sz w:val="18"/>
                <w:szCs w:val="20"/>
              </w:rPr>
              <w:noBreakHyphen/>
            </w:r>
            <w:r w:rsidRPr="005E2BD3">
              <w:rPr>
                <w:rFonts w:ascii="Arial" w:hAnsi="Arial"/>
                <w:sz w:val="18"/>
                <w:szCs w:val="20"/>
              </w:rPr>
              <w:t xml:space="preserve">economic status. </w:t>
            </w:r>
          </w:p>
          <w:p w14:paraId="7954AE25" w14:textId="4F218E23" w:rsidR="00F05DC7" w:rsidRPr="005E2BD3" w:rsidRDefault="00F05DC7" w:rsidP="00A3786D">
            <w:pPr>
              <w:keepNext/>
              <w:spacing w:before="60" w:line="240" w:lineRule="exact"/>
              <w:ind w:left="284"/>
              <w:jc w:val="both"/>
              <w:rPr>
                <w:rFonts w:ascii="Arial" w:hAnsi="Arial"/>
                <w:sz w:val="18"/>
                <w:szCs w:val="20"/>
              </w:rPr>
            </w:pPr>
            <w:r>
              <w:rPr>
                <w:rFonts w:ascii="Arial" w:hAnsi="Arial"/>
                <w:sz w:val="18"/>
                <w:szCs w:val="20"/>
              </w:rPr>
              <w:t xml:space="preserve">… </w:t>
            </w:r>
            <w:r w:rsidRPr="005E2BD3">
              <w:rPr>
                <w:rFonts w:ascii="Arial" w:hAnsi="Arial"/>
                <w:sz w:val="18"/>
                <w:szCs w:val="20"/>
              </w:rPr>
              <w:t>Because our Indigenous measure better captures where Indigenous people of different socio</w:t>
            </w:r>
            <w:r>
              <w:rPr>
                <w:rFonts w:ascii="Arial" w:hAnsi="Arial"/>
                <w:sz w:val="18"/>
                <w:szCs w:val="20"/>
              </w:rPr>
              <w:noBreakHyphen/>
            </w:r>
            <w:r w:rsidRPr="005E2BD3">
              <w:rPr>
                <w:rFonts w:ascii="Arial" w:hAnsi="Arial"/>
                <w:sz w:val="18"/>
                <w:szCs w:val="20"/>
              </w:rPr>
              <w:t xml:space="preserve">economic status reside, we consider it will better capture how this changes over time, and within the constraints of available data, appropriately capture the changing characteristics of the Indigenous population. </w:t>
            </w:r>
            <w:r w:rsidR="009D6331" w:rsidRPr="009D6331">
              <w:rPr>
                <w:rFonts w:ascii="Arial" w:hAnsi="Arial" w:cs="Arial"/>
                <w:sz w:val="18"/>
              </w:rPr>
              <w:t>(CGC 2015e, pp. 62–63)</w:t>
            </w:r>
          </w:p>
          <w:p w14:paraId="7954AE26"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The CGC also separately looks at the effects of location on the use and cost of services, involving consideration of the effects of concentrations of people living in small, remote and very remote communities.</w:t>
            </w:r>
          </w:p>
        </w:tc>
      </w:tr>
      <w:tr w:rsidR="00F05DC7" w:rsidRPr="005E2BD3" w14:paraId="7954AE29" w14:textId="77777777" w:rsidTr="00A3786D">
        <w:tc>
          <w:tcPr>
            <w:tcW w:w="5000" w:type="pct"/>
            <w:tcBorders>
              <w:top w:val="nil"/>
              <w:left w:val="nil"/>
              <w:bottom w:val="single" w:sz="6" w:space="0" w:color="78A22F"/>
              <w:right w:val="nil"/>
            </w:tcBorders>
            <w:shd w:val="clear" w:color="auto" w:fill="F2F2F2"/>
          </w:tcPr>
          <w:p w14:paraId="7954AE28"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E2B" w14:textId="77777777" w:rsidTr="00A3786D">
        <w:tc>
          <w:tcPr>
            <w:tcW w:w="5000" w:type="pct"/>
            <w:tcBorders>
              <w:top w:val="single" w:sz="6" w:space="0" w:color="78A22F"/>
              <w:left w:val="nil"/>
              <w:bottom w:val="nil"/>
              <w:right w:val="nil"/>
            </w:tcBorders>
          </w:tcPr>
          <w:p w14:paraId="7954AE2A" w14:textId="77777777" w:rsidR="00F05DC7" w:rsidRPr="005E2BD3" w:rsidRDefault="00F05DC7" w:rsidP="00A3786D">
            <w:pPr>
              <w:spacing w:before="60" w:after="60" w:line="80" w:lineRule="exact"/>
              <w:jc w:val="both"/>
              <w:rPr>
                <w:rFonts w:ascii="Arial" w:hAnsi="Arial"/>
                <w:sz w:val="14"/>
                <w:szCs w:val="20"/>
              </w:rPr>
            </w:pPr>
          </w:p>
        </w:tc>
      </w:tr>
    </w:tbl>
    <w:p w14:paraId="7954AE2C" w14:textId="77777777" w:rsidR="00F05DC7" w:rsidRPr="005E2BD3" w:rsidRDefault="00F05DC7" w:rsidP="00A3786D">
      <w:pPr>
        <w:keepNext/>
        <w:spacing w:before="240" w:line="300" w:lineRule="atLeast"/>
        <w:jc w:val="both"/>
        <w:rPr>
          <w:szCs w:val="20"/>
        </w:rPr>
      </w:pPr>
      <w:r w:rsidRPr="005E2BD3">
        <w:rPr>
          <w:szCs w:val="20"/>
        </w:rPr>
        <w:t xml:space="preserve">Proposals of this kind are driven partly by concerns </w:t>
      </w:r>
      <w:r>
        <w:rPr>
          <w:szCs w:val="20"/>
        </w:rPr>
        <w:t xml:space="preserve">that inclusion of Indigeneity in HFE skews the HFE distribution but does not necessarily result in GST funds being spent in areas </w:t>
      </w:r>
      <w:r>
        <w:rPr>
          <w:szCs w:val="20"/>
        </w:rPr>
        <w:lastRenderedPageBreak/>
        <w:t>of identified need (as discussed in chapter 2).</w:t>
      </w:r>
      <w:r w:rsidRPr="009074AC">
        <w:rPr>
          <w:szCs w:val="20"/>
        </w:rPr>
        <w:t xml:space="preserve"> </w:t>
      </w:r>
      <w:r>
        <w:rPr>
          <w:szCs w:val="20"/>
        </w:rPr>
        <w:t xml:space="preserve">For some participants, there was </w:t>
      </w:r>
      <w:r w:rsidRPr="005E2BD3">
        <w:rPr>
          <w:szCs w:val="20"/>
        </w:rPr>
        <w:t xml:space="preserve">a desire to increase the connectedness between, </w:t>
      </w:r>
      <w:r w:rsidRPr="005E2BD3">
        <w:rPr>
          <w:i/>
          <w:szCs w:val="20"/>
        </w:rPr>
        <w:t>ex ante</w:t>
      </w:r>
      <w:r w:rsidRPr="005E2BD3">
        <w:rPr>
          <w:szCs w:val="20"/>
        </w:rPr>
        <w:t xml:space="preserve">, funds provided via HFE, intended for giving the capacity for service delivery to defined cohorts, and </w:t>
      </w:r>
      <w:r w:rsidRPr="005E2BD3">
        <w:rPr>
          <w:i/>
          <w:szCs w:val="20"/>
        </w:rPr>
        <w:t>ex post</w:t>
      </w:r>
      <w:r w:rsidRPr="005E2BD3">
        <w:rPr>
          <w:szCs w:val="20"/>
        </w:rPr>
        <w:t xml:space="preserve">, the actual services delivered to these cohorts. In this context, the </w:t>
      </w:r>
      <w:r w:rsidRPr="005E2BD3" w:rsidDel="00C84ED2">
        <w:rPr>
          <w:szCs w:val="20"/>
        </w:rPr>
        <w:t>Yothu Yindi Foundation (sub. DR80,</w:t>
      </w:r>
      <w:r w:rsidRPr="005E2BD3">
        <w:rPr>
          <w:szCs w:val="20"/>
        </w:rPr>
        <w:t> p. 9) stated that:</w:t>
      </w:r>
    </w:p>
    <w:p w14:paraId="7954AE2D" w14:textId="77777777" w:rsidR="00F05DC7" w:rsidRPr="005E2BD3" w:rsidRDefault="00F05DC7" w:rsidP="00A3786D">
      <w:pPr>
        <w:spacing w:before="120" w:line="280" w:lineRule="exact"/>
        <w:ind w:left="340"/>
        <w:jc w:val="both"/>
        <w:rPr>
          <w:sz w:val="22"/>
          <w:szCs w:val="20"/>
        </w:rPr>
      </w:pPr>
      <w:r w:rsidRPr="005E2BD3">
        <w:rPr>
          <w:sz w:val="22"/>
          <w:szCs w:val="20"/>
        </w:rPr>
        <w:t>… fiscal policy in the Northern Territory has embedded a system marked by systemic failures to appropriately or effectively spend funds or deliver key programs intended to deal with the issue of rampant Indigenous disadvantage and improved Indigenous futures. The problem is structural and the misapplication, or ineffective application, of funds will not change until there is a change to the way money is controlled, managed, spent and reviewed in a transparent manner.</w:t>
      </w:r>
    </w:p>
    <w:p w14:paraId="7954AE2E" w14:textId="77777777" w:rsidR="00F05DC7" w:rsidRPr="00A32B74" w:rsidRDefault="00F05DC7" w:rsidP="00A3786D">
      <w:pPr>
        <w:spacing w:before="240" w:line="300" w:lineRule="atLeast"/>
        <w:jc w:val="both"/>
        <w:rPr>
          <w:szCs w:val="20"/>
        </w:rPr>
      </w:pPr>
      <w:r>
        <w:rPr>
          <w:szCs w:val="20"/>
        </w:rPr>
        <w:t>As such, if governments are to</w:t>
      </w:r>
      <w:r w:rsidRPr="005E2BD3">
        <w:rPr>
          <w:szCs w:val="20"/>
        </w:rPr>
        <w:t xml:space="preserve"> effectively address Indigenous disadvantage (and importantly, improve accountability for outcomes in this area), more </w:t>
      </w:r>
      <w:r>
        <w:rPr>
          <w:szCs w:val="20"/>
        </w:rPr>
        <w:t xml:space="preserve">accountable </w:t>
      </w:r>
      <w:r w:rsidRPr="005E2BD3">
        <w:rPr>
          <w:szCs w:val="20"/>
        </w:rPr>
        <w:t>policy</w:t>
      </w:r>
      <w:r>
        <w:rPr>
          <w:szCs w:val="20"/>
        </w:rPr>
        <w:t xml:space="preserve"> development</w:t>
      </w:r>
      <w:r w:rsidRPr="005E2BD3">
        <w:rPr>
          <w:szCs w:val="20"/>
        </w:rPr>
        <w:t xml:space="preserve"> and funding is </w:t>
      </w:r>
      <w:r>
        <w:rPr>
          <w:szCs w:val="20"/>
        </w:rPr>
        <w:t>also required.</w:t>
      </w:r>
    </w:p>
    <w:p w14:paraId="7954AE2F" w14:textId="77777777" w:rsidR="00F05DC7" w:rsidRPr="005E2BD3" w:rsidRDefault="00F05DC7" w:rsidP="00A3786D">
      <w:pPr>
        <w:keepNext/>
        <w:spacing w:before="480" w:line="320" w:lineRule="exact"/>
        <w:outlineLvl w:val="3"/>
        <w:rPr>
          <w:rFonts w:ascii="Arial" w:hAnsi="Arial"/>
          <w:szCs w:val="20"/>
        </w:rPr>
      </w:pPr>
      <w:r w:rsidRPr="005E2BD3">
        <w:rPr>
          <w:rFonts w:ascii="Arial" w:hAnsi="Arial"/>
          <w:szCs w:val="20"/>
        </w:rPr>
        <w:t>More clearly defined roles and responsibilities are needed for accountability</w:t>
      </w:r>
    </w:p>
    <w:p w14:paraId="7954AE30" w14:textId="72953BF2" w:rsidR="00F05DC7" w:rsidRPr="005E2BD3" w:rsidRDefault="00F05DC7" w:rsidP="00A3786D">
      <w:pPr>
        <w:spacing w:before="240" w:line="300" w:lineRule="atLeast"/>
        <w:jc w:val="both"/>
        <w:rPr>
          <w:szCs w:val="20"/>
        </w:rPr>
      </w:pPr>
      <w:r>
        <w:rPr>
          <w:szCs w:val="20"/>
        </w:rPr>
        <w:t>I</w:t>
      </w:r>
      <w:r w:rsidRPr="005E2BD3">
        <w:rPr>
          <w:szCs w:val="20"/>
        </w:rPr>
        <w:t xml:space="preserve">t is indisputable </w:t>
      </w:r>
      <w:r w:rsidRPr="005E2BD3" w:rsidDel="00C32742">
        <w:rPr>
          <w:szCs w:val="20"/>
        </w:rPr>
        <w:t xml:space="preserve">that </w:t>
      </w:r>
      <w:r w:rsidRPr="005E2BD3">
        <w:rPr>
          <w:szCs w:val="20"/>
        </w:rPr>
        <w:t>poor outcomes in addressing Indigenous disadvantage continue to be observed</w:t>
      </w:r>
      <w:r>
        <w:rPr>
          <w:szCs w:val="20"/>
        </w:rPr>
        <w:t>,</w:t>
      </w:r>
      <w:r w:rsidRPr="00731BBF">
        <w:rPr>
          <w:szCs w:val="20"/>
        </w:rPr>
        <w:t xml:space="preserve"> </w:t>
      </w:r>
      <w:r>
        <w:rPr>
          <w:szCs w:val="20"/>
        </w:rPr>
        <w:t>as ha</w:t>
      </w:r>
      <w:r w:rsidRPr="005E2BD3">
        <w:rPr>
          <w:szCs w:val="20"/>
        </w:rPr>
        <w:t xml:space="preserve">s </w:t>
      </w:r>
      <w:r>
        <w:rPr>
          <w:szCs w:val="20"/>
        </w:rPr>
        <w:t xml:space="preserve">been </w:t>
      </w:r>
      <w:r w:rsidRPr="005E2BD3">
        <w:rPr>
          <w:szCs w:val="20"/>
        </w:rPr>
        <w:t xml:space="preserve">shown in the annual </w:t>
      </w:r>
      <w:r w:rsidRPr="005E2BD3">
        <w:rPr>
          <w:i/>
          <w:szCs w:val="20"/>
        </w:rPr>
        <w:t>Overcoming Indigenous Disadvantage</w:t>
      </w:r>
      <w:r w:rsidRPr="005E2BD3">
        <w:rPr>
          <w:szCs w:val="20"/>
        </w:rPr>
        <w:t xml:space="preserve"> report </w:t>
      </w:r>
      <w:r w:rsidRPr="008328EF">
        <w:t>(SCRGSP 2016)</w:t>
      </w:r>
      <w:r w:rsidRPr="005E2BD3">
        <w:rPr>
          <w:szCs w:val="20"/>
        </w:rPr>
        <w:t xml:space="preserve">. However, in considering proposals for change in this area, there is a need to disentangle what exactly the inclusion of Indigeneity within HFE does, and does not, attempt to do. It is legitimate that such considerations are included in equalisation — as a way of measuring States’ relative fiscal capacities — if they are a significant driver of jurisdictional spending (and they are). But this is only intended to recognise the existing differences States face in providing an average </w:t>
      </w:r>
      <w:r w:rsidR="00BD5FD6">
        <w:rPr>
          <w:szCs w:val="20"/>
        </w:rPr>
        <w:t xml:space="preserve">standard </w:t>
      </w:r>
      <w:r w:rsidRPr="005E2BD3">
        <w:rPr>
          <w:szCs w:val="20"/>
        </w:rPr>
        <w:t xml:space="preserve">of services. It is not designed to allocate GST revenue in a way that would allow States to make additional investments to reduce levels of </w:t>
      </w:r>
      <w:r>
        <w:rPr>
          <w:szCs w:val="20"/>
        </w:rPr>
        <w:t>pre</w:t>
      </w:r>
      <w:r>
        <w:rPr>
          <w:szCs w:val="20"/>
        </w:rPr>
        <w:noBreakHyphen/>
        <w:t xml:space="preserve">existing </w:t>
      </w:r>
      <w:r w:rsidRPr="005E2BD3">
        <w:rPr>
          <w:szCs w:val="20"/>
        </w:rPr>
        <w:t xml:space="preserve">structural disadvantage they face. </w:t>
      </w:r>
    </w:p>
    <w:p w14:paraId="7954AE31" w14:textId="77777777" w:rsidR="00F05DC7" w:rsidRPr="005E2BD3" w:rsidRDefault="00F05DC7" w:rsidP="00A3786D">
      <w:pPr>
        <w:spacing w:before="240" w:line="300" w:lineRule="atLeast"/>
        <w:jc w:val="both"/>
        <w:rPr>
          <w:szCs w:val="20"/>
        </w:rPr>
      </w:pPr>
      <w:r w:rsidRPr="005E2BD3">
        <w:rPr>
          <w:szCs w:val="20"/>
        </w:rPr>
        <w:t xml:space="preserve">And, </w:t>
      </w:r>
      <w:r w:rsidRPr="005E2BD3">
        <w:rPr>
          <w:i/>
          <w:szCs w:val="20"/>
        </w:rPr>
        <w:t>absent of more fundamental reform to roles and responsibilities</w:t>
      </w:r>
      <w:r w:rsidRPr="005E2BD3">
        <w:rPr>
          <w:szCs w:val="20"/>
        </w:rPr>
        <w:t xml:space="preserve">, it remains an open question what taking Indigeneity out of HFE </w:t>
      </w:r>
      <w:r>
        <w:rPr>
          <w:szCs w:val="20"/>
        </w:rPr>
        <w:t xml:space="preserve">(and replacing it with SPP funding) </w:t>
      </w:r>
      <w:r w:rsidRPr="005E2BD3">
        <w:rPr>
          <w:szCs w:val="20"/>
        </w:rPr>
        <w:t xml:space="preserve">would achieve. The Commission’s view is that such a reform is unlikely to achieve the benefits it aims for without being situated in a much wider and more substantive approach to the funding and provision of services to Indigenous people and tackling Indigenous disadvantage. </w:t>
      </w:r>
    </w:p>
    <w:p w14:paraId="7954AE32" w14:textId="77777777" w:rsidR="00F05DC7" w:rsidRPr="005E2BD3" w:rsidRDefault="00F05DC7" w:rsidP="00A3786D">
      <w:pPr>
        <w:spacing w:before="240" w:line="300" w:lineRule="atLeast"/>
        <w:jc w:val="both"/>
        <w:rPr>
          <w:szCs w:val="20"/>
        </w:rPr>
      </w:pPr>
      <w:r w:rsidRPr="005E2BD3">
        <w:rPr>
          <w:szCs w:val="20"/>
        </w:rPr>
        <w:t xml:space="preserve">A major part of the problem clearly relates to how funding is allocated, and to roles, responsibilities and accountability. These problems beset both funding received via HFE and the interaction with </w:t>
      </w:r>
      <w:r>
        <w:rPr>
          <w:szCs w:val="20"/>
        </w:rPr>
        <w:t>SPPs</w:t>
      </w:r>
      <w:r w:rsidRPr="005E2BD3">
        <w:rPr>
          <w:szCs w:val="20"/>
        </w:rPr>
        <w:t xml:space="preserve"> aimed at assisting Indigenous communities. Currently, there is no general rule for how Indigenous</w:t>
      </w:r>
      <w:r>
        <w:rPr>
          <w:szCs w:val="20"/>
        </w:rPr>
        <w:noBreakHyphen/>
      </w:r>
      <w:r w:rsidRPr="005E2BD3">
        <w:rPr>
          <w:szCs w:val="20"/>
        </w:rPr>
        <w:t>related Commonwealth payments are treated within HFE. Some payments have an impact on relativities, whereas others do not. For instance, ‘</w:t>
      </w:r>
      <w:r w:rsidRPr="005E2BD3">
        <w:rPr>
          <w:i/>
          <w:szCs w:val="20"/>
        </w:rPr>
        <w:t>Stronger futures in the Northern Territory – Housing</w:t>
      </w:r>
      <w:r w:rsidRPr="005E2BD3">
        <w:rPr>
          <w:szCs w:val="20"/>
        </w:rPr>
        <w:t xml:space="preserve">’, a National Partnership Payment, does not have an impact on relativities (as required by CGC terms of reference), whereas early childhood education National Partnership Payments focused on Indigenous children do have an impact on relativities. As things stand, there is a mixture of impact, no impact, and some discounted impacts. </w:t>
      </w:r>
    </w:p>
    <w:p w14:paraId="7954AE33" w14:textId="77777777" w:rsidR="00F05DC7" w:rsidRPr="005E2BD3" w:rsidRDefault="00F05DC7" w:rsidP="00A3786D">
      <w:pPr>
        <w:spacing w:before="240" w:line="300" w:lineRule="atLeast"/>
        <w:jc w:val="both"/>
        <w:rPr>
          <w:szCs w:val="20"/>
        </w:rPr>
      </w:pPr>
      <w:r w:rsidRPr="005E2BD3">
        <w:rPr>
          <w:szCs w:val="20"/>
        </w:rPr>
        <w:lastRenderedPageBreak/>
        <w:t>Providing clearer lines of responsibility for service delivery, funding and policy frameworks, as discussed further below, would help to improve outcomes over time. Greater coordination of responsibilities at each level of government may also avoid duplication and overlap, and clarify where the buck stops in terms of funding, service delivery and policy effectiveness.</w:t>
      </w:r>
    </w:p>
    <w:p w14:paraId="7954AE34" w14:textId="77777777" w:rsidR="00F05DC7" w:rsidRPr="005E2BD3" w:rsidRDefault="00F05DC7" w:rsidP="00A3786D">
      <w:pPr>
        <w:keepNext/>
        <w:spacing w:before="560" w:line="320" w:lineRule="exact"/>
        <w:outlineLvl w:val="2"/>
        <w:rPr>
          <w:rFonts w:ascii="Arial" w:hAnsi="Arial"/>
          <w:b/>
          <w:sz w:val="26"/>
          <w:szCs w:val="20"/>
        </w:rPr>
      </w:pPr>
      <w:r w:rsidRPr="005E2BD3">
        <w:rPr>
          <w:rFonts w:ascii="Arial" w:hAnsi="Arial"/>
          <w:b/>
          <w:sz w:val="26"/>
          <w:szCs w:val="20"/>
        </w:rPr>
        <w:t>A process for broader reform to federal financial relations</w:t>
      </w:r>
    </w:p>
    <w:p w14:paraId="7954AE35" w14:textId="77777777" w:rsidR="00F05DC7" w:rsidRPr="005E2BD3" w:rsidRDefault="00F05DC7" w:rsidP="00A3786D">
      <w:pPr>
        <w:spacing w:before="240" w:line="300" w:lineRule="atLeast"/>
        <w:jc w:val="both"/>
        <w:rPr>
          <w:szCs w:val="20"/>
        </w:rPr>
      </w:pPr>
      <w:r w:rsidRPr="005E2BD3">
        <w:rPr>
          <w:szCs w:val="20"/>
        </w:rPr>
        <w:t xml:space="preserve">The transition to a new equalisation benchmark provides an opportunity to </w:t>
      </w:r>
      <w:r>
        <w:rPr>
          <w:szCs w:val="20"/>
        </w:rPr>
        <w:t>renew</w:t>
      </w:r>
      <w:r w:rsidRPr="005E2BD3">
        <w:rPr>
          <w:szCs w:val="20"/>
        </w:rPr>
        <w:t xml:space="preserve"> a broader process of reform to federal financial relations. Recently, there has been an impasse in achieving change to Australia’s federal financial relations, as indicated by the early termination of the Reform of the Federation White Paper process. Yet throughout this inquiry, all State Governments have emphasised the need for </w:t>
      </w:r>
      <w:r>
        <w:rPr>
          <w:szCs w:val="20"/>
        </w:rPr>
        <w:t xml:space="preserve">such </w:t>
      </w:r>
      <w:r w:rsidRPr="005E2BD3">
        <w:rPr>
          <w:szCs w:val="20"/>
        </w:rPr>
        <w:t>reform (box 9.6). The Queensland Government (sub. DR106, p. 10), for example, noted that reform of federal financial relations was an opportunity to:</w:t>
      </w:r>
    </w:p>
    <w:p w14:paraId="7954AE36" w14:textId="77777777" w:rsidR="00F05DC7" w:rsidRPr="005E2BD3" w:rsidRDefault="00F05DC7" w:rsidP="00A3786D">
      <w:pPr>
        <w:spacing w:before="120" w:line="280" w:lineRule="exact"/>
        <w:ind w:left="340"/>
        <w:jc w:val="both"/>
        <w:rPr>
          <w:sz w:val="22"/>
          <w:szCs w:val="20"/>
        </w:rPr>
      </w:pPr>
      <w:r w:rsidRPr="005E2BD3">
        <w:rPr>
          <w:sz w:val="22"/>
          <w:szCs w:val="20"/>
        </w:rPr>
        <w:t>… properly consider the way that the Commonwealth and States can work together to ensure better fiscal outcomes nationally to allow each level of government to more autonomously deliver the services that the community expects and requires.</w:t>
      </w:r>
    </w:p>
    <w:p w14:paraId="7954AE37" w14:textId="585BB200" w:rsidR="00F05DC7" w:rsidRPr="005E2BD3" w:rsidRDefault="00F05DC7" w:rsidP="00A3786D">
      <w:pPr>
        <w:spacing w:before="240" w:line="300" w:lineRule="atLeast"/>
        <w:jc w:val="both"/>
        <w:rPr>
          <w:szCs w:val="20"/>
        </w:rPr>
      </w:pPr>
      <w:r w:rsidRPr="005E2BD3">
        <w:rPr>
          <w:szCs w:val="20"/>
        </w:rPr>
        <w:t xml:space="preserve">The support of the States indicates that there is a will for reform, even if the way forward is more difficult to agree on. The recently formed Board of Treasurers, with representation by all State and Territory Treasurers, may provide an opportunity for States to identify areas where they can undertake reform — including where they can compete and where they can cooperate — independent of the Commonwealth Government </w:t>
      </w:r>
      <w:r w:rsidRPr="00021D43">
        <w:t>(Pallas 2017; Perrottet 2017)</w:t>
      </w:r>
      <w:r w:rsidRPr="005E2BD3">
        <w:rPr>
          <w:szCs w:val="20"/>
        </w:rPr>
        <w:t>.</w:t>
      </w:r>
    </w:p>
    <w:p w14:paraId="7954AE38" w14:textId="012ECD31" w:rsidR="00F05DC7" w:rsidRDefault="00F05DC7" w:rsidP="00A3786D">
      <w:pPr>
        <w:spacing w:before="240" w:line="300" w:lineRule="atLeast"/>
        <w:jc w:val="both"/>
        <w:rPr>
          <w:szCs w:val="20"/>
        </w:rPr>
      </w:pPr>
      <w:r w:rsidRPr="005E2BD3">
        <w:rPr>
          <w:szCs w:val="20"/>
        </w:rPr>
        <w:t xml:space="preserve">There have been suggestions for reform to the broader federal financial relations landscape in recent years, including through the National Commission of Audit </w:t>
      </w:r>
      <w:r w:rsidRPr="008328EF">
        <w:t>(2014)</w:t>
      </w:r>
      <w:r w:rsidRPr="005E2BD3">
        <w:rPr>
          <w:szCs w:val="20"/>
        </w:rPr>
        <w:t xml:space="preserve">, the Henry Tax Review </w:t>
      </w:r>
      <w:r w:rsidR="009D6331" w:rsidRPr="009D6331">
        <w:t>(2010a)</w:t>
      </w:r>
      <w:r w:rsidRPr="005E2BD3">
        <w:rPr>
          <w:szCs w:val="20"/>
        </w:rPr>
        <w:t xml:space="preserve">, and from academics, including Stewart (2017). There has also been significant work, including for this inquiry </w:t>
      </w:r>
      <w:r w:rsidRPr="00021D43">
        <w:t>(Gray 2017)</w:t>
      </w:r>
      <w:r w:rsidRPr="005E2BD3">
        <w:rPr>
          <w:szCs w:val="20"/>
        </w:rPr>
        <w:t>, on how to facilitate the reform process (box 9.7).</w:t>
      </w:r>
    </w:p>
    <w:p w14:paraId="7954AE39" w14:textId="31A40156" w:rsidR="00F05DC7" w:rsidRPr="005E2BD3" w:rsidRDefault="00F05DC7" w:rsidP="00A3786D">
      <w:pPr>
        <w:spacing w:before="240" w:line="300" w:lineRule="atLeast"/>
        <w:jc w:val="both"/>
        <w:rPr>
          <w:szCs w:val="20"/>
        </w:rPr>
      </w:pPr>
      <w:r w:rsidRPr="005E2BD3">
        <w:rPr>
          <w:szCs w:val="20"/>
        </w:rPr>
        <w:t xml:space="preserve">One challenge frequently raised is how to reduce Australia’s VFI. The Commission noted in its recent </w:t>
      </w:r>
      <w:r w:rsidRPr="005E2BD3">
        <w:rPr>
          <w:i/>
          <w:szCs w:val="20"/>
        </w:rPr>
        <w:t>Shifting the Dial</w:t>
      </w:r>
      <w:r w:rsidRPr="005E2BD3">
        <w:rPr>
          <w:szCs w:val="20"/>
        </w:rPr>
        <w:t xml:space="preserve"> report that eliminating VFI may not be feasible. However, it considered that improving the efficiency of the tax base, at both the Commonwealth and State levels, would potentially increase revenue available to the States</w:t>
      </w:r>
      <w:r>
        <w:rPr>
          <w:szCs w:val="20"/>
        </w:rPr>
        <w:t xml:space="preserve"> </w:t>
      </w:r>
      <w:r w:rsidR="009D6331" w:rsidRPr="009D6331">
        <w:t>(PC 2017a, p. 16)</w:t>
      </w:r>
      <w:r w:rsidRPr="005E2BD3">
        <w:rPr>
          <w:szCs w:val="20"/>
        </w:rPr>
        <w:t>. While it would not directly reduce VFI, a small number of participants to this inquiry (for example, CCIQ, sub. DR120 and trans., p. 513; CCIWA, trans., p. 15; Tasmanian Chamber of Commerce and Industry, trans., p. 49</w:t>
      </w:r>
      <w:r>
        <w:rPr>
          <w:szCs w:val="20"/>
        </w:rPr>
        <w:t>4</w:t>
      </w:r>
      <w:r w:rsidRPr="005E2BD3">
        <w:rPr>
          <w:szCs w:val="20"/>
        </w:rPr>
        <w:t>) suggested broadening the base and/or increasing the rate of the GST. For example, the Western Australian Local Government Association (sub. 46, p. 10) noted that:</w:t>
      </w:r>
    </w:p>
    <w:p w14:paraId="7954AE3A" w14:textId="77777777" w:rsidR="00F05DC7" w:rsidRDefault="00F05DC7" w:rsidP="00A3786D">
      <w:pPr>
        <w:spacing w:before="120" w:line="280" w:lineRule="exact"/>
        <w:ind w:left="340"/>
        <w:jc w:val="both"/>
        <w:rPr>
          <w:sz w:val="22"/>
          <w:szCs w:val="20"/>
        </w:rPr>
      </w:pPr>
      <w:r w:rsidRPr="005E2BD3">
        <w:rPr>
          <w:sz w:val="22"/>
          <w:szCs w:val="20"/>
        </w:rPr>
        <w:t>One option … is to broaden the base and/or increase the rate of the GST. This is because consumption is a stable and efficient tax base, and the revenue is provided directly to the States.</w:t>
      </w:r>
    </w:p>
    <w:p w14:paraId="7954AE3B" w14:textId="7175837B" w:rsidR="00F05DC7" w:rsidRDefault="00F05DC7" w:rsidP="00A3786D">
      <w:pPr>
        <w:spacing w:before="240" w:line="300" w:lineRule="atLeast"/>
        <w:jc w:val="both"/>
        <w:rPr>
          <w:szCs w:val="20"/>
        </w:rPr>
      </w:pPr>
      <w:r w:rsidRPr="005E2BD3">
        <w:rPr>
          <w:szCs w:val="20"/>
        </w:rPr>
        <w:t xml:space="preserve">The </w:t>
      </w:r>
      <w:r w:rsidRPr="00A76F1A">
        <w:rPr>
          <w:i/>
          <w:szCs w:val="20"/>
        </w:rPr>
        <w:t>Shifting the Dial</w:t>
      </w:r>
      <w:r w:rsidRPr="005E2BD3">
        <w:rPr>
          <w:szCs w:val="20"/>
        </w:rPr>
        <w:t xml:space="preserve"> report further noted that, fundamentally, there is a need for relief from the revenue</w:t>
      </w:r>
      <w:r>
        <w:rPr>
          <w:szCs w:val="20"/>
        </w:rPr>
        <w:noBreakHyphen/>
      </w:r>
      <w:r w:rsidRPr="005E2BD3">
        <w:rPr>
          <w:szCs w:val="20"/>
        </w:rPr>
        <w:t xml:space="preserve">sharing pressures created by the States’ very high level of financial dependence </w:t>
      </w:r>
      <w:r w:rsidRPr="005E2BD3">
        <w:rPr>
          <w:szCs w:val="20"/>
        </w:rPr>
        <w:lastRenderedPageBreak/>
        <w:t xml:space="preserve">on the Commonwealth </w:t>
      </w:r>
      <w:r w:rsidR="009D6331" w:rsidRPr="009D6331">
        <w:t>(PC 2017a, p. 16)</w:t>
      </w:r>
      <w:r w:rsidRPr="005E2BD3">
        <w:rPr>
          <w:szCs w:val="20"/>
        </w:rPr>
        <w:t>. One approach would be for the States to expand their own source revenue. Another idea that has been flagged by participants to this inquiry, as well as in past reviews, such as the National Commission of Audit, is for the States to have access to the Commonwealth</w:t>
      </w:r>
      <w:r>
        <w:rPr>
          <w:szCs w:val="20"/>
        </w:rPr>
        <w:noBreakHyphen/>
      </w:r>
      <w:r w:rsidRPr="005E2BD3">
        <w:rPr>
          <w:szCs w:val="20"/>
        </w:rPr>
        <w:t xml:space="preserve">raised personal income tax base </w:t>
      </w:r>
      <w:r>
        <w:rPr>
          <w:szCs w:val="20"/>
        </w:rPr>
        <w:t xml:space="preserve">through levying a surcharge under their control </w:t>
      </w:r>
      <w:r w:rsidRPr="005E2BD3">
        <w:rPr>
          <w:szCs w:val="20"/>
        </w:rPr>
        <w:t>(box </w:t>
      </w:r>
      <w:r w:rsidRPr="005E2BD3" w:rsidDel="00C70A90">
        <w:rPr>
          <w:szCs w:val="20"/>
        </w:rPr>
        <w:t>9.</w:t>
      </w:r>
      <w:r w:rsidRPr="005E2BD3">
        <w:rPr>
          <w:szCs w:val="20"/>
        </w:rPr>
        <w:t>8).</w:t>
      </w:r>
    </w:p>
    <w:p w14:paraId="7954AE3C" w14:textId="77777777" w:rsidR="00F05DC7" w:rsidRPr="005E2BD3" w:rsidRDefault="00F05DC7" w:rsidP="00A3786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E3E" w14:textId="77777777" w:rsidTr="00A3786D">
        <w:trPr>
          <w:tblHeader/>
        </w:trPr>
        <w:tc>
          <w:tcPr>
            <w:tcW w:w="5000" w:type="pct"/>
            <w:tcBorders>
              <w:top w:val="single" w:sz="6" w:space="0" w:color="78A22F"/>
              <w:left w:val="nil"/>
              <w:bottom w:val="nil"/>
              <w:right w:val="nil"/>
            </w:tcBorders>
            <w:shd w:val="clear" w:color="auto" w:fill="F2F2F2"/>
          </w:tcPr>
          <w:p w14:paraId="7954AE3D" w14:textId="47FD6707" w:rsidR="00F05DC7" w:rsidRPr="005E2BD3" w:rsidRDefault="00F05DC7" w:rsidP="00A3786D">
            <w:pPr>
              <w:keepNext/>
              <w:keepLines/>
              <w:spacing w:before="120" w:line="280" w:lineRule="exact"/>
              <w:ind w:left="1474" w:hanging="1474"/>
              <w:rPr>
                <w:rFonts w:ascii="Arial" w:hAnsi="Arial"/>
                <w:b/>
              </w:rPr>
            </w:pPr>
            <w:r w:rsidRPr="005E2BD3">
              <w:rPr>
                <w:rFonts w:ascii="Arial" w:hAnsi="Arial"/>
              </w:rPr>
              <w:t>Box</w:t>
            </w:r>
            <w:r>
              <w:rPr>
                <w:rFonts w:ascii="Arial" w:hAnsi="Arial"/>
              </w:rPr>
              <w:t> 9.</w:t>
            </w:r>
            <w:r>
              <w:rPr>
                <w:rFonts w:ascii="Arial" w:hAnsi="Arial"/>
                <w:noProof/>
              </w:rPr>
              <w:t>6</w:t>
            </w:r>
            <w:r w:rsidRPr="005E2BD3">
              <w:rPr>
                <w:rFonts w:ascii="Arial" w:hAnsi="Arial"/>
                <w:b/>
              </w:rPr>
              <w:tab/>
              <w:t>Support for broader reforms to federal financial relations</w:t>
            </w:r>
          </w:p>
        </w:tc>
      </w:tr>
      <w:tr w:rsidR="00F05DC7" w:rsidRPr="005E2BD3" w14:paraId="7954AE4F" w14:textId="77777777" w:rsidTr="00A3786D">
        <w:tc>
          <w:tcPr>
            <w:tcW w:w="5000" w:type="pct"/>
            <w:tcBorders>
              <w:top w:val="nil"/>
              <w:left w:val="nil"/>
              <w:bottom w:val="nil"/>
              <w:right w:val="nil"/>
            </w:tcBorders>
            <w:shd w:val="clear" w:color="auto" w:fill="F2F2F2"/>
          </w:tcPr>
          <w:p w14:paraId="7954AE3F"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 xml:space="preserve">The NSW Government (sub. DR109, p. 45) noted: </w:t>
            </w:r>
          </w:p>
          <w:p w14:paraId="7954AE40"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A new approach to fiscal federalism is needed that better reflects the equal, sovereign role of states and the services they provide to improve the wellbeing of all Australians.</w:t>
            </w:r>
          </w:p>
          <w:p w14:paraId="7954AE41"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The Victorian Government (sub. DR87, p. 24):</w:t>
            </w:r>
          </w:p>
          <w:p w14:paraId="7954AE42"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 joins the Commission in calling on the Commonwealth to drive reform in federal financial relations so that the federation can operate as intended.</w:t>
            </w:r>
          </w:p>
          <w:p w14:paraId="7954AE43"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The ACT Government (sub. DR81, p. 56) commented that:</w:t>
            </w:r>
          </w:p>
          <w:p w14:paraId="7954AE44"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 there remains an urgent need for reinvigorating discussion on roles and responsibilities in parallel with significant broadening of the tax reform agenda in the country. The ACT would also expect, and will continue to argue for, any tax reform to place a greater focus on the totality of State and Commonwealth taxation, including income tax, and specifically to design a more efficient suite of taxes thereby reducing reliance on existing less efficient taxes.</w:t>
            </w:r>
          </w:p>
          <w:p w14:paraId="7954AE45"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WA Government (sub. DR83, p. 19):</w:t>
            </w:r>
          </w:p>
          <w:p w14:paraId="7954AE46"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We support such broader reforms, and fully support … reform of the interaction between general and specific purpose payments, and better delineation of responsibilities.</w:t>
            </w:r>
          </w:p>
          <w:p w14:paraId="7954AE47"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SA Government (sub. DR89, p. 18):</w:t>
            </w:r>
          </w:p>
          <w:p w14:paraId="7954AE48"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South Australia agrees and continues to support the reform of federal financial relations. However, the key issues in federal financial relations stem from the Commonwealth’s failure to support reform and uphold the agreements it has made.</w:t>
            </w:r>
          </w:p>
          <w:p w14:paraId="7954AE49"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The Tasmanian Government (sub. DR74, p. 37):</w:t>
            </w:r>
          </w:p>
          <w:p w14:paraId="7954AE4A"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Tasmania supported the direction and intent of the Reform of the Federation White Paper and continues to believe that reform of Federal</w:t>
            </w:r>
            <w:r>
              <w:rPr>
                <w:rFonts w:ascii="Arial" w:hAnsi="Arial"/>
                <w:sz w:val="18"/>
                <w:szCs w:val="20"/>
              </w:rPr>
              <w:noBreakHyphen/>
            </w:r>
            <w:r w:rsidRPr="005E2BD3">
              <w:rPr>
                <w:rFonts w:ascii="Arial" w:hAnsi="Arial"/>
                <w:sz w:val="18"/>
                <w:szCs w:val="20"/>
              </w:rPr>
              <w:t>State financial relations is a worthwhile goal.</w:t>
            </w:r>
          </w:p>
          <w:p w14:paraId="7954AE4B"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The Queensland Government (sub. DR106, p. 2):</w:t>
            </w:r>
          </w:p>
          <w:p w14:paraId="7954AE4C"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Reform of federal financial relations provides an opportunity to improve Commonwealth</w:t>
            </w:r>
            <w:r>
              <w:rPr>
                <w:rFonts w:ascii="Arial" w:hAnsi="Arial"/>
                <w:sz w:val="18"/>
                <w:szCs w:val="20"/>
              </w:rPr>
              <w:noBreakHyphen/>
            </w:r>
            <w:r w:rsidRPr="005E2BD3">
              <w:rPr>
                <w:rFonts w:ascii="Arial" w:hAnsi="Arial"/>
                <w:sz w:val="18"/>
                <w:szCs w:val="20"/>
              </w:rPr>
              <w:t>State relations to work towards improved economic outcomes nationally to allow each level of government to more autonomously deliver required services. This work should be led by CFFR and include clarification of the respective roles of each level of government, with an improved focus on accountability and certainty for better outcomes and service delivery, and consideration of ways to better match funding to service delivery and expenditure responsibilities, including greater State access to untied funding, for example through personal income tax sharing.</w:t>
            </w:r>
          </w:p>
          <w:p w14:paraId="7954AE4D" w14:textId="77777777" w:rsidR="00F05DC7" w:rsidRDefault="00F05DC7" w:rsidP="00A3786D">
            <w:pPr>
              <w:keepNext/>
              <w:spacing w:before="120" w:line="260" w:lineRule="atLeast"/>
              <w:jc w:val="both"/>
              <w:rPr>
                <w:rFonts w:ascii="Arial" w:hAnsi="Arial"/>
                <w:sz w:val="20"/>
                <w:szCs w:val="20"/>
              </w:rPr>
            </w:pPr>
            <w:r w:rsidRPr="005E2BD3">
              <w:rPr>
                <w:rFonts w:ascii="Arial" w:hAnsi="Arial"/>
                <w:sz w:val="20"/>
                <w:szCs w:val="20"/>
              </w:rPr>
              <w:t>The NT Government (sub.</w:t>
            </w:r>
            <w:r>
              <w:rPr>
                <w:rFonts w:ascii="Arial" w:hAnsi="Arial"/>
                <w:sz w:val="20"/>
                <w:szCs w:val="20"/>
              </w:rPr>
              <w:t> </w:t>
            </w:r>
            <w:r w:rsidRPr="005E2BD3">
              <w:rPr>
                <w:rFonts w:ascii="Arial" w:hAnsi="Arial"/>
                <w:sz w:val="20"/>
                <w:szCs w:val="20"/>
              </w:rPr>
              <w:t>DR69, p. 29) also agreed with the longer term goal of reform to federal financial relations.</w:t>
            </w:r>
            <w:r>
              <w:rPr>
                <w:rFonts w:ascii="Arial" w:hAnsi="Arial"/>
                <w:sz w:val="20"/>
                <w:szCs w:val="20"/>
              </w:rPr>
              <w:t xml:space="preserve"> At the inquiry hearing (trans., p. 407), the NT Under Treasurer commented: </w:t>
            </w:r>
          </w:p>
          <w:p w14:paraId="7954AE4E" w14:textId="77777777" w:rsidR="00F05DC7" w:rsidRPr="005E2BD3" w:rsidRDefault="00F05DC7" w:rsidP="00A3786D">
            <w:pPr>
              <w:pStyle w:val="BoxQuote"/>
            </w:pPr>
            <w:r>
              <w:t xml:space="preserve"> … </w:t>
            </w:r>
            <w:r w:rsidRPr="00A21F1C">
              <w:t>there is only so much HFE can do and so</w:t>
            </w:r>
            <w:r>
              <w:t xml:space="preserve"> </w:t>
            </w:r>
            <w:r w:rsidRPr="00A21F1C">
              <w:t>some of those future development issues</w:t>
            </w:r>
            <w:r>
              <w:t xml:space="preserve"> [such as dealing with vertical fiscal imbalance]</w:t>
            </w:r>
            <w:r w:rsidRPr="00A21F1C">
              <w:t xml:space="preserve"> need to be dealt with through</w:t>
            </w:r>
            <w:r>
              <w:t xml:space="preserve"> </w:t>
            </w:r>
            <w:r w:rsidRPr="00A21F1C">
              <w:t>other forums.</w:t>
            </w:r>
          </w:p>
        </w:tc>
      </w:tr>
      <w:tr w:rsidR="00F05DC7" w:rsidRPr="005E2BD3" w14:paraId="7954AE51" w14:textId="77777777" w:rsidTr="00A3786D">
        <w:tc>
          <w:tcPr>
            <w:tcW w:w="5000" w:type="pct"/>
            <w:tcBorders>
              <w:top w:val="nil"/>
              <w:left w:val="nil"/>
              <w:bottom w:val="single" w:sz="6" w:space="0" w:color="78A22F"/>
              <w:right w:val="nil"/>
            </w:tcBorders>
            <w:shd w:val="clear" w:color="auto" w:fill="F2F2F2"/>
          </w:tcPr>
          <w:p w14:paraId="7954AE50"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E53" w14:textId="77777777" w:rsidTr="00A3786D">
        <w:tc>
          <w:tcPr>
            <w:tcW w:w="5000" w:type="pct"/>
            <w:tcBorders>
              <w:top w:val="single" w:sz="6" w:space="0" w:color="78A22F"/>
              <w:left w:val="nil"/>
              <w:bottom w:val="nil"/>
              <w:right w:val="nil"/>
            </w:tcBorders>
          </w:tcPr>
          <w:p w14:paraId="7954AE52" w14:textId="77777777" w:rsidR="00F05DC7" w:rsidRPr="005E2BD3" w:rsidRDefault="00F05DC7" w:rsidP="00A3786D">
            <w:pPr>
              <w:spacing w:before="60" w:after="60" w:line="80" w:lineRule="exact"/>
              <w:jc w:val="both"/>
              <w:rPr>
                <w:rFonts w:ascii="Arial" w:hAnsi="Arial"/>
                <w:sz w:val="14"/>
                <w:szCs w:val="20"/>
              </w:rPr>
            </w:pPr>
          </w:p>
        </w:tc>
      </w:tr>
    </w:tbl>
    <w:p w14:paraId="7954AE54" w14:textId="77777777" w:rsidR="00F05DC7" w:rsidRPr="005E2BD3" w:rsidRDefault="00F05DC7" w:rsidP="00A3786D">
      <w:pPr>
        <w:spacing w:before="240" w:line="300" w:lineRule="atLeast"/>
        <w:jc w:val="both"/>
        <w:rPr>
          <w:szCs w:val="20"/>
        </w:rPr>
      </w:pPr>
      <w:r w:rsidRPr="005E2BD3">
        <w:rPr>
          <w:szCs w:val="20"/>
        </w:rPr>
        <w:t xml:space="preserve">Some State Governments also raised the idea of personal income tax ‘revenue sharing’ between the Commonwealth and the States. For example, the Queensland Government </w:t>
      </w:r>
      <w:r w:rsidRPr="005E2BD3">
        <w:rPr>
          <w:szCs w:val="20"/>
        </w:rPr>
        <w:lastRenderedPageBreak/>
        <w:t>(sub. DR106, p. 10) commented that as part of longer</w:t>
      </w:r>
      <w:r>
        <w:rPr>
          <w:szCs w:val="20"/>
        </w:rPr>
        <w:noBreakHyphen/>
      </w:r>
      <w:r w:rsidRPr="005E2BD3">
        <w:rPr>
          <w:szCs w:val="20"/>
        </w:rPr>
        <w:t>term reforms to federal financial relations, there should be:</w:t>
      </w:r>
    </w:p>
    <w:p w14:paraId="7954AE55" w14:textId="77777777" w:rsidR="00F05DC7" w:rsidRDefault="00F05DC7" w:rsidP="00A3786D">
      <w:pPr>
        <w:pStyle w:val="Quote"/>
      </w:pPr>
      <w:r w:rsidRPr="005E2BD3">
        <w:t>… consideration of options such as the Commonwealth providing the States with access to a share of personal income tax revenues as untied funding to replace specific tied funding.</w:t>
      </w:r>
    </w:p>
    <w:p w14:paraId="7954AE56" w14:textId="1B96DEE9" w:rsidR="00F05DC7" w:rsidRDefault="00F05DC7" w:rsidP="00A3786D">
      <w:pPr>
        <w:spacing w:before="240" w:line="300" w:lineRule="atLeast"/>
        <w:jc w:val="both"/>
        <w:rPr>
          <w:szCs w:val="20"/>
        </w:rPr>
      </w:pPr>
      <w:r>
        <w:rPr>
          <w:szCs w:val="20"/>
        </w:rPr>
        <w:t>T</w:t>
      </w:r>
      <w:r w:rsidRPr="005E2BD3">
        <w:rPr>
          <w:szCs w:val="20"/>
        </w:rPr>
        <w:t>he SA Government (sub.</w:t>
      </w:r>
      <w:r>
        <w:rPr>
          <w:szCs w:val="20"/>
        </w:rPr>
        <w:t> </w:t>
      </w:r>
      <w:r w:rsidRPr="005E2BD3">
        <w:rPr>
          <w:szCs w:val="20"/>
        </w:rPr>
        <w:t>DR89, p.</w:t>
      </w:r>
      <w:r>
        <w:rPr>
          <w:szCs w:val="20"/>
        </w:rPr>
        <w:t> </w:t>
      </w:r>
      <w:r w:rsidRPr="005E2BD3">
        <w:rPr>
          <w:szCs w:val="20"/>
        </w:rPr>
        <w:t xml:space="preserve">17) also voiced support for personal income tax revenue sharing, with the Commonwealth to cease certain tied funding arrangements. </w:t>
      </w:r>
      <w:r>
        <w:rPr>
          <w:szCs w:val="20"/>
        </w:rPr>
        <w:t xml:space="preserve">Notably, this proposal is distinct from the National Commission of Audit proposal under which States would levy their own surcharge. The difference is that </w:t>
      </w:r>
      <w:r w:rsidRPr="005E2BD3">
        <w:rPr>
          <w:szCs w:val="20"/>
        </w:rPr>
        <w:t xml:space="preserve">revenue sharing would not reduce the level of VFI </w:t>
      </w:r>
      <w:r w:rsidRPr="005E2BD3">
        <w:rPr>
          <w:i/>
          <w:szCs w:val="20"/>
        </w:rPr>
        <w:t>per se</w:t>
      </w:r>
      <w:r w:rsidRPr="005E2BD3">
        <w:rPr>
          <w:szCs w:val="20"/>
        </w:rPr>
        <w:t xml:space="preserve"> — the States would remain reliant on the Commonwealth for a significant proportion of funding</w:t>
      </w:r>
      <w:r>
        <w:rPr>
          <w:szCs w:val="20"/>
        </w:rPr>
        <w:t xml:space="preserve">. The WA Government </w:t>
      </w:r>
      <w:r w:rsidRPr="00021D43">
        <w:t>(1998, p. 21)</w:t>
      </w:r>
      <w:r>
        <w:rPr>
          <w:szCs w:val="20"/>
        </w:rPr>
        <w:t xml:space="preserve"> commented on such an idea as far back as 1998: </w:t>
      </w:r>
    </w:p>
    <w:p w14:paraId="7954AE57" w14:textId="77777777" w:rsidR="00F05DC7" w:rsidRDefault="00F05DC7" w:rsidP="00A3786D">
      <w:pPr>
        <w:pStyle w:val="Quote"/>
      </w:pPr>
      <w:r>
        <w:t xml:space="preserve">… </w:t>
      </w:r>
      <w:r w:rsidRPr="00A21F1C">
        <w:t>revenue sharing under Commonwealth legislation would not reduce VFI, and may even worsen it if (as has been speculated) some State taxes are replaced by revenue sharing arrangements</w:t>
      </w:r>
      <w:r>
        <w:t>.</w:t>
      </w:r>
    </w:p>
    <w:p w14:paraId="7954AE58" w14:textId="77777777" w:rsidR="00F05DC7" w:rsidRPr="005E2BD3" w:rsidRDefault="00F05DC7" w:rsidP="00A3786D">
      <w:pPr>
        <w:pStyle w:val="BodyText"/>
      </w:pPr>
      <w:r>
        <w:t xml:space="preserve">Any changes of this kind </w:t>
      </w:r>
      <w:r w:rsidRPr="005E2BD3">
        <w:t>would need to be accompanied by wider changes to the roles and responsibilities of the Commonwealth and the States.</w:t>
      </w:r>
    </w:p>
    <w:p w14:paraId="7954AE59"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AE5B" w14:textId="77777777" w:rsidTr="00A3786D">
        <w:trPr>
          <w:tblHeader/>
        </w:trPr>
        <w:tc>
          <w:tcPr>
            <w:tcW w:w="5000" w:type="pct"/>
            <w:tcBorders>
              <w:top w:val="single" w:sz="6" w:space="0" w:color="78A22F"/>
              <w:left w:val="nil"/>
              <w:bottom w:val="nil"/>
              <w:right w:val="nil"/>
            </w:tcBorders>
            <w:shd w:val="clear" w:color="auto" w:fill="F2F2F2"/>
          </w:tcPr>
          <w:p w14:paraId="7954AE5A" w14:textId="68AACA92" w:rsidR="00F05DC7" w:rsidRDefault="00F05DC7">
            <w:pPr>
              <w:pStyle w:val="BoxTitle"/>
            </w:pPr>
            <w:r>
              <w:rPr>
                <w:b w:val="0"/>
              </w:rPr>
              <w:t>Box 9.</w:t>
            </w:r>
            <w:r>
              <w:rPr>
                <w:b w:val="0"/>
                <w:noProof/>
              </w:rPr>
              <w:t>7</w:t>
            </w:r>
            <w:r>
              <w:tab/>
            </w:r>
            <w:r w:rsidRPr="00FC31B3">
              <w:t>Principles for the formulation of arrangements between governments</w:t>
            </w:r>
          </w:p>
        </w:tc>
      </w:tr>
      <w:tr w:rsidR="00F05DC7" w14:paraId="7954AE63" w14:textId="77777777" w:rsidTr="00A3786D">
        <w:tc>
          <w:tcPr>
            <w:tcW w:w="5000" w:type="pct"/>
            <w:tcBorders>
              <w:top w:val="nil"/>
              <w:left w:val="nil"/>
              <w:bottom w:val="nil"/>
              <w:right w:val="nil"/>
            </w:tcBorders>
            <w:shd w:val="clear" w:color="auto" w:fill="F2F2F2"/>
          </w:tcPr>
          <w:p w14:paraId="7954AE5C"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In a paper commissioned for the Productivity Commission, Gray suggested a set of principles for enhancing accountability when forming arrangements between States. These principles include:</w:t>
            </w:r>
          </w:p>
          <w:p w14:paraId="7954AE5D" w14:textId="77777777" w:rsidR="00F05DC7" w:rsidRPr="005E2BD3" w:rsidRDefault="00F05DC7" w:rsidP="00A3786D">
            <w:pPr>
              <w:keepNext/>
              <w:numPr>
                <w:ilvl w:val="0"/>
                <w:numId w:val="1"/>
              </w:numPr>
              <w:spacing w:before="100" w:line="260" w:lineRule="atLeast"/>
              <w:jc w:val="both"/>
              <w:rPr>
                <w:rFonts w:ascii="Arial" w:hAnsi="Arial"/>
                <w:sz w:val="20"/>
                <w:szCs w:val="20"/>
              </w:rPr>
            </w:pPr>
            <w:r w:rsidRPr="005E2BD3">
              <w:rPr>
                <w:rFonts w:ascii="Arial" w:hAnsi="Arial"/>
                <w:sz w:val="20"/>
                <w:szCs w:val="20"/>
              </w:rPr>
              <w:t xml:space="preserve">accept that </w:t>
            </w:r>
            <w:r>
              <w:rPr>
                <w:rFonts w:ascii="Arial" w:hAnsi="Arial"/>
                <w:sz w:val="20"/>
                <w:szCs w:val="20"/>
              </w:rPr>
              <w:t xml:space="preserve">the </w:t>
            </w:r>
            <w:r w:rsidRPr="005E2BD3">
              <w:rPr>
                <w:rFonts w:ascii="Arial" w:hAnsi="Arial"/>
                <w:sz w:val="20"/>
                <w:szCs w:val="20"/>
              </w:rPr>
              <w:t>C</w:t>
            </w:r>
            <w:r>
              <w:rPr>
                <w:rFonts w:ascii="Arial" w:hAnsi="Arial"/>
                <w:sz w:val="20"/>
                <w:szCs w:val="20"/>
              </w:rPr>
              <w:t>ouncil of Australian Governments</w:t>
            </w:r>
            <w:r w:rsidRPr="005E2BD3">
              <w:rPr>
                <w:rFonts w:ascii="Arial" w:hAnsi="Arial"/>
                <w:sz w:val="20"/>
                <w:szCs w:val="20"/>
              </w:rPr>
              <w:t xml:space="preserve"> </w:t>
            </w:r>
            <w:r>
              <w:rPr>
                <w:rFonts w:ascii="Arial" w:hAnsi="Arial"/>
                <w:sz w:val="20"/>
                <w:szCs w:val="20"/>
              </w:rPr>
              <w:t xml:space="preserve">(COAG) </w:t>
            </w:r>
            <w:r w:rsidRPr="005E2BD3">
              <w:rPr>
                <w:rFonts w:ascii="Arial" w:hAnsi="Arial"/>
                <w:sz w:val="20"/>
                <w:szCs w:val="20"/>
              </w:rPr>
              <w:t>is the appropriate body through which to develop, implement and oversee intergovernmental arrangements, and that all activities within these spheres should take place under its authority</w:t>
            </w:r>
          </w:p>
          <w:p w14:paraId="7954AE5E" w14:textId="77777777" w:rsidR="00F05DC7" w:rsidRPr="005E2BD3" w:rsidRDefault="00F05DC7" w:rsidP="00A3786D">
            <w:pPr>
              <w:keepNext/>
              <w:numPr>
                <w:ilvl w:val="0"/>
                <w:numId w:val="1"/>
              </w:numPr>
              <w:spacing w:before="100" w:line="260" w:lineRule="atLeast"/>
              <w:jc w:val="both"/>
              <w:rPr>
                <w:rFonts w:ascii="Arial" w:hAnsi="Arial"/>
                <w:sz w:val="20"/>
                <w:szCs w:val="20"/>
              </w:rPr>
            </w:pPr>
            <w:r w:rsidRPr="005E2BD3">
              <w:rPr>
                <w:rFonts w:ascii="Arial" w:hAnsi="Arial"/>
                <w:sz w:val="20"/>
                <w:szCs w:val="20"/>
              </w:rPr>
              <w:t>acknowledge that the overarching objective is the improvement of the welfare of the Australian community</w:t>
            </w:r>
          </w:p>
          <w:p w14:paraId="7954AE5F" w14:textId="77777777" w:rsidR="00F05DC7" w:rsidRPr="005E2BD3" w:rsidRDefault="00F05DC7" w:rsidP="00A3786D">
            <w:pPr>
              <w:keepNext/>
              <w:numPr>
                <w:ilvl w:val="0"/>
                <w:numId w:val="1"/>
              </w:numPr>
              <w:spacing w:before="100" w:line="260" w:lineRule="atLeast"/>
              <w:jc w:val="both"/>
              <w:rPr>
                <w:rFonts w:ascii="Arial" w:hAnsi="Arial"/>
                <w:sz w:val="20"/>
                <w:szCs w:val="20"/>
              </w:rPr>
            </w:pPr>
            <w:r w:rsidRPr="005E2BD3">
              <w:rPr>
                <w:rFonts w:ascii="Arial" w:hAnsi="Arial"/>
                <w:sz w:val="20"/>
                <w:szCs w:val="20"/>
              </w:rPr>
              <w:t>include measures in the arrangement to ensure that benefits are distributed fairly across jurisdictions</w:t>
            </w:r>
          </w:p>
          <w:p w14:paraId="7954AE60" w14:textId="77777777" w:rsidR="00F05DC7" w:rsidRPr="005E2BD3" w:rsidRDefault="00F05DC7" w:rsidP="00A3786D">
            <w:pPr>
              <w:keepNext/>
              <w:numPr>
                <w:ilvl w:val="0"/>
                <w:numId w:val="1"/>
              </w:numPr>
              <w:spacing w:before="100" w:line="260" w:lineRule="atLeast"/>
              <w:jc w:val="both"/>
              <w:rPr>
                <w:rFonts w:ascii="Arial" w:hAnsi="Arial"/>
                <w:sz w:val="20"/>
                <w:szCs w:val="20"/>
              </w:rPr>
            </w:pPr>
            <w:r w:rsidRPr="005E2BD3">
              <w:rPr>
                <w:rFonts w:ascii="Arial" w:hAnsi="Arial"/>
                <w:sz w:val="20"/>
                <w:szCs w:val="20"/>
              </w:rPr>
              <w:t>be wary of unduly constraining participant governments in the ways they may choose to discharge accountabilities that they have accepted</w:t>
            </w:r>
          </w:p>
          <w:p w14:paraId="7954AE61" w14:textId="77777777" w:rsidR="00F05DC7" w:rsidRDefault="00F05DC7" w:rsidP="00A3786D">
            <w:pPr>
              <w:keepNext/>
              <w:numPr>
                <w:ilvl w:val="0"/>
                <w:numId w:val="1"/>
              </w:numPr>
              <w:spacing w:before="100" w:line="260" w:lineRule="atLeast"/>
              <w:jc w:val="both"/>
              <w:rPr>
                <w:rFonts w:ascii="Arial" w:hAnsi="Arial"/>
                <w:sz w:val="20"/>
                <w:szCs w:val="20"/>
              </w:rPr>
            </w:pPr>
            <w:r w:rsidRPr="005E2BD3">
              <w:rPr>
                <w:rFonts w:ascii="Arial" w:hAnsi="Arial"/>
                <w:sz w:val="20"/>
                <w:szCs w:val="20"/>
              </w:rPr>
              <w:t>ensure that SPPs are used in ways that improve community welfare rather than to give the Commonwealth a disproportionate role in matters that are properly the province of the States</w:t>
            </w:r>
          </w:p>
          <w:p w14:paraId="7954AE62" w14:textId="77777777" w:rsidR="00F05DC7" w:rsidRDefault="00F05DC7" w:rsidP="00A3786D">
            <w:pPr>
              <w:pStyle w:val="BoxListBullet"/>
            </w:pPr>
            <w:r w:rsidRPr="005E2BD3">
              <w:t>establish and maintain an independent body, funded by and reporting to COAG, to monitor and report on the discharge of accountabilities accepted under arrangements established by COAG.</w:t>
            </w:r>
          </w:p>
        </w:tc>
      </w:tr>
      <w:tr w:rsidR="00F05DC7" w14:paraId="7954AE65" w14:textId="77777777" w:rsidTr="00A3786D">
        <w:tc>
          <w:tcPr>
            <w:tcW w:w="5000" w:type="pct"/>
            <w:tcBorders>
              <w:top w:val="nil"/>
              <w:left w:val="nil"/>
              <w:bottom w:val="nil"/>
              <w:right w:val="nil"/>
            </w:tcBorders>
            <w:shd w:val="clear" w:color="auto" w:fill="F2F2F2"/>
          </w:tcPr>
          <w:p w14:paraId="7954AE64" w14:textId="3092181D" w:rsidR="00F05DC7" w:rsidRDefault="00F05DC7" w:rsidP="00A3786D">
            <w:pPr>
              <w:pStyle w:val="BoxSource"/>
            </w:pPr>
            <w:r w:rsidRPr="005E2BD3">
              <w:rPr>
                <w:i/>
              </w:rPr>
              <w:t>Source</w:t>
            </w:r>
            <w:r w:rsidRPr="005E2BD3">
              <w:t xml:space="preserve">: Gray </w:t>
            </w:r>
            <w:r w:rsidRPr="008328EF">
              <w:rPr>
                <w:rFonts w:cs="Arial"/>
              </w:rPr>
              <w:t>(2017)</w:t>
            </w:r>
            <w:r w:rsidRPr="005E2BD3">
              <w:t>.</w:t>
            </w:r>
          </w:p>
        </w:tc>
      </w:tr>
      <w:tr w:rsidR="00F05DC7" w14:paraId="7954AE67" w14:textId="77777777" w:rsidTr="00A3786D">
        <w:tc>
          <w:tcPr>
            <w:tcW w:w="5000" w:type="pct"/>
            <w:tcBorders>
              <w:top w:val="nil"/>
              <w:left w:val="nil"/>
              <w:bottom w:val="single" w:sz="6" w:space="0" w:color="78A22F"/>
              <w:right w:val="nil"/>
            </w:tcBorders>
            <w:shd w:val="clear" w:color="auto" w:fill="F2F2F2"/>
          </w:tcPr>
          <w:p w14:paraId="7954AE66" w14:textId="77777777" w:rsidR="00F05DC7" w:rsidRDefault="00F05DC7" w:rsidP="00A3786D">
            <w:pPr>
              <w:pStyle w:val="Box"/>
              <w:spacing w:before="0" w:line="120" w:lineRule="exact"/>
            </w:pPr>
          </w:p>
        </w:tc>
      </w:tr>
      <w:tr w:rsidR="00F05DC7" w:rsidRPr="000863A5" w14:paraId="7954AE69" w14:textId="77777777" w:rsidTr="00A3786D">
        <w:tc>
          <w:tcPr>
            <w:tcW w:w="5000" w:type="pct"/>
            <w:tcBorders>
              <w:top w:val="single" w:sz="6" w:space="0" w:color="78A22F"/>
              <w:left w:val="nil"/>
              <w:bottom w:val="nil"/>
              <w:right w:val="nil"/>
            </w:tcBorders>
          </w:tcPr>
          <w:p w14:paraId="7954AE68" w14:textId="77777777" w:rsidR="00F05DC7" w:rsidRPr="00626D32" w:rsidRDefault="00F05DC7" w:rsidP="00A3786D">
            <w:pPr>
              <w:pStyle w:val="BoxSpaceBelow"/>
            </w:pPr>
          </w:p>
        </w:tc>
      </w:tr>
    </w:tbl>
    <w:p w14:paraId="7954AE6A" w14:textId="77777777" w:rsidR="00F05DC7" w:rsidRPr="005E2BD3" w:rsidRDefault="00F05DC7" w:rsidP="00A3786D">
      <w:pPr>
        <w:spacing w:before="240" w:line="300" w:lineRule="atLeast"/>
        <w:jc w:val="both"/>
        <w:rPr>
          <w:szCs w:val="20"/>
        </w:rPr>
      </w:pPr>
      <w:r w:rsidRPr="005E2BD3">
        <w:rPr>
          <w:szCs w:val="20"/>
        </w:rPr>
        <w:t xml:space="preserve">These options would be a substantial shift from the current arrangements, and their implications — for example, the degree of complexity, accountability, and tax competition (such as the potential </w:t>
      </w:r>
      <w:r>
        <w:rPr>
          <w:szCs w:val="20"/>
        </w:rPr>
        <w:t>risk of</w:t>
      </w:r>
      <w:r w:rsidRPr="005E2BD3">
        <w:rPr>
          <w:szCs w:val="20"/>
        </w:rPr>
        <w:t xml:space="preserve"> a race to the bottom) — would need to be carefully considered. </w:t>
      </w:r>
      <w:r w:rsidRPr="005E2BD3">
        <w:rPr>
          <w:szCs w:val="20"/>
        </w:rPr>
        <w:lastRenderedPageBreak/>
        <w:t>A concern raised by the Tasmanian Government (sub.</w:t>
      </w:r>
      <w:r>
        <w:rPr>
          <w:szCs w:val="20"/>
        </w:rPr>
        <w:t> </w:t>
      </w:r>
      <w:r w:rsidRPr="005E2BD3">
        <w:rPr>
          <w:szCs w:val="20"/>
        </w:rPr>
        <w:t>DR111 p.</w:t>
      </w:r>
      <w:r>
        <w:rPr>
          <w:szCs w:val="20"/>
        </w:rPr>
        <w:t> </w:t>
      </w:r>
      <w:r w:rsidRPr="005E2BD3">
        <w:rPr>
          <w:szCs w:val="20"/>
        </w:rPr>
        <w:t xml:space="preserve">8), is that providing States with greater taxing powers </w:t>
      </w:r>
      <w:r>
        <w:rPr>
          <w:szCs w:val="20"/>
        </w:rPr>
        <w:t>would not preclude the need for HFE</w:t>
      </w:r>
      <w:r w:rsidRPr="005E2BD3">
        <w:rPr>
          <w:szCs w:val="20"/>
        </w:rPr>
        <w:t xml:space="preserve">: </w:t>
      </w:r>
    </w:p>
    <w:p w14:paraId="7954AE6B" w14:textId="77777777" w:rsidR="00F05DC7" w:rsidRPr="005E2BD3" w:rsidRDefault="00F05DC7" w:rsidP="00A3786D">
      <w:pPr>
        <w:spacing w:before="120" w:line="280" w:lineRule="exact"/>
        <w:ind w:left="340"/>
        <w:jc w:val="both"/>
        <w:rPr>
          <w:sz w:val="22"/>
          <w:szCs w:val="20"/>
        </w:rPr>
      </w:pPr>
      <w:r>
        <w:rPr>
          <w:sz w:val="22"/>
          <w:szCs w:val="20"/>
        </w:rPr>
        <w:t>… i</w:t>
      </w:r>
      <w:r w:rsidRPr="005E2BD3">
        <w:rPr>
          <w:sz w:val="22"/>
          <w:szCs w:val="20"/>
        </w:rPr>
        <w:t>f VFI was significantly reduced through the transfer or provision of greater taxing powers for the States</w:t>
      </w:r>
      <w:r w:rsidRPr="005E2BD3">
        <w:rPr>
          <w:sz w:val="22"/>
          <w:szCs w:val="22"/>
        </w:rPr>
        <w:t xml:space="preserve"> and/or transfer of State funding responsibilities to the Commonwealth, there would still be some States that would have less capacity to raise revenue, or face higher costs, compared to others states. HFE would still be required.</w:t>
      </w:r>
    </w:p>
    <w:p w14:paraId="7954AE6C" w14:textId="77777777" w:rsidR="00F05DC7" w:rsidRPr="005E2BD3" w:rsidRDefault="00F05DC7" w:rsidP="00A3786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E6E" w14:textId="77777777" w:rsidTr="00A3786D">
        <w:trPr>
          <w:tblHeader/>
        </w:trPr>
        <w:tc>
          <w:tcPr>
            <w:tcW w:w="5000" w:type="pct"/>
            <w:tcBorders>
              <w:top w:val="single" w:sz="6" w:space="0" w:color="78A22F"/>
              <w:left w:val="nil"/>
              <w:bottom w:val="nil"/>
              <w:right w:val="nil"/>
            </w:tcBorders>
            <w:shd w:val="clear" w:color="auto" w:fill="F2F2F2"/>
          </w:tcPr>
          <w:p w14:paraId="7954AE6D" w14:textId="1CA5205D" w:rsidR="00F05DC7" w:rsidRPr="005E2BD3" w:rsidRDefault="00F05DC7" w:rsidP="00A3786D">
            <w:pPr>
              <w:keepNext/>
              <w:keepLines/>
              <w:spacing w:before="120" w:line="280" w:lineRule="exact"/>
              <w:ind w:left="1474" w:hanging="1474"/>
              <w:rPr>
                <w:rFonts w:ascii="Arial" w:hAnsi="Arial"/>
                <w:b/>
              </w:rPr>
            </w:pPr>
            <w:r w:rsidRPr="005E2BD3">
              <w:rPr>
                <w:rFonts w:ascii="Arial" w:hAnsi="Arial"/>
              </w:rPr>
              <w:t>Box</w:t>
            </w:r>
            <w:r>
              <w:rPr>
                <w:rFonts w:ascii="Arial" w:hAnsi="Arial"/>
              </w:rPr>
              <w:t> 9.</w:t>
            </w:r>
            <w:r>
              <w:rPr>
                <w:rFonts w:ascii="Arial" w:hAnsi="Arial"/>
                <w:noProof/>
              </w:rPr>
              <w:t>8</w:t>
            </w:r>
            <w:r w:rsidRPr="005E2BD3">
              <w:rPr>
                <w:rFonts w:ascii="Arial" w:hAnsi="Arial"/>
                <w:b/>
              </w:rPr>
              <w:tab/>
              <w:t>Policy options to address VFI</w:t>
            </w:r>
          </w:p>
        </w:tc>
      </w:tr>
      <w:tr w:rsidR="00F05DC7" w:rsidRPr="005E2BD3" w14:paraId="7954AE76" w14:textId="77777777" w:rsidTr="00A3786D">
        <w:tc>
          <w:tcPr>
            <w:tcW w:w="5000" w:type="pct"/>
            <w:tcBorders>
              <w:top w:val="nil"/>
              <w:left w:val="nil"/>
              <w:bottom w:val="nil"/>
              <w:right w:val="nil"/>
            </w:tcBorders>
            <w:shd w:val="clear" w:color="auto" w:fill="F2F2F2"/>
          </w:tcPr>
          <w:p w14:paraId="7954AE6F" w14:textId="0D10A62C"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 xml:space="preserve">A range of options to address VFI have been recently put forward. The National Commission of Audit suggested that the Commonwealth Government reduce its personal income tax rate by an equivalent percentage to a new State surcharge. For example, the Commonwealth could permit States to access the personal tax base directly by reducing the current personal income rate by 10 percentage points, in exchange for a 10 percentage point surcharge (or other level determined by the States) at the State level </w:t>
            </w:r>
            <w:r w:rsidRPr="008328EF">
              <w:rPr>
                <w:rFonts w:ascii="Arial" w:hAnsi="Arial" w:cs="Arial"/>
                <w:sz w:val="20"/>
              </w:rPr>
              <w:t>(NCOA 2014, p. 71)</w:t>
            </w:r>
            <w:r w:rsidRPr="005E2BD3">
              <w:rPr>
                <w:rFonts w:ascii="Arial" w:hAnsi="Arial"/>
                <w:sz w:val="20"/>
                <w:szCs w:val="20"/>
              </w:rPr>
              <w:t>. A similar approach has been adopted in Canada (appendix</w:t>
            </w:r>
            <w:r>
              <w:rPr>
                <w:rFonts w:ascii="Arial" w:hAnsi="Arial"/>
                <w:sz w:val="20"/>
                <w:szCs w:val="20"/>
              </w:rPr>
              <w:t> </w:t>
            </w:r>
            <w:r w:rsidRPr="005E2BD3">
              <w:rPr>
                <w:rFonts w:ascii="Arial" w:hAnsi="Arial"/>
                <w:sz w:val="20"/>
                <w:szCs w:val="20"/>
              </w:rPr>
              <w:t>E).</w:t>
            </w:r>
          </w:p>
          <w:p w14:paraId="7954AE70" w14:textId="31650305"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An alternative approach — raised in the Reform of the Federation Green Paper — is for the Commonwealth to transfer a fixed percentage of personal income tax collected to the States and Territories (‘revenue sharing’)</w:t>
            </w:r>
            <w:r>
              <w:rPr>
                <w:rFonts w:ascii="Arial" w:hAnsi="Arial"/>
                <w:sz w:val="20"/>
                <w:szCs w:val="20"/>
              </w:rPr>
              <w:t xml:space="preserve"> </w:t>
            </w:r>
            <w:r w:rsidRPr="006F5B9D">
              <w:rPr>
                <w:rFonts w:ascii="Arial" w:hAnsi="Arial" w:cs="Arial"/>
                <w:sz w:val="20"/>
              </w:rPr>
              <w:t>(DPMC 2015, p. 95)</w:t>
            </w:r>
            <w:r w:rsidRPr="005E2BD3">
              <w:rPr>
                <w:rFonts w:ascii="Arial" w:hAnsi="Arial"/>
                <w:sz w:val="20"/>
                <w:szCs w:val="20"/>
              </w:rPr>
              <w:t>. This is the approach taken by Germany (appendix E).</w:t>
            </w:r>
          </w:p>
          <w:p w14:paraId="7954AE71" w14:textId="4ADA1C6E"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 xml:space="preserve">Both approaches would increase the financial independence of the States (by facilitating a reduction in the form of tied grants). However, because the latter approach would utilise the current centralised approach to income tax collection and not provide States with additional responsibility to raise revenues, it would not, in and of itself, reduce the level of VFI </w:t>
            </w:r>
            <w:r w:rsidRPr="006F5B9D">
              <w:rPr>
                <w:rFonts w:ascii="Arial" w:hAnsi="Arial" w:cs="Arial"/>
                <w:sz w:val="20"/>
              </w:rPr>
              <w:t>(Stewart 2017, p. 170; WA Treasury 1998, p. 21)</w:t>
            </w:r>
            <w:r w:rsidRPr="005E2BD3">
              <w:rPr>
                <w:rFonts w:ascii="Arial" w:hAnsi="Arial"/>
                <w:sz w:val="20"/>
                <w:szCs w:val="20"/>
              </w:rPr>
              <w:t xml:space="preserve">. </w:t>
            </w:r>
          </w:p>
          <w:p w14:paraId="7954AE72" w14:textId="5BC6B906"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Further, both approaches would be contingent on wider changes to the roles and responsibilities of the States. For example, the National Commission of Audit</w:t>
            </w:r>
            <w:r>
              <w:rPr>
                <w:rFonts w:ascii="Arial" w:hAnsi="Arial"/>
                <w:sz w:val="20"/>
                <w:szCs w:val="20"/>
              </w:rPr>
              <w:t xml:space="preserve"> </w:t>
            </w:r>
            <w:r w:rsidR="009D6331" w:rsidRPr="009D6331">
              <w:rPr>
                <w:rFonts w:ascii="Arial" w:hAnsi="Arial" w:cs="Arial"/>
                <w:sz w:val="20"/>
              </w:rPr>
              <w:t>(2014, p. 26)</w:t>
            </w:r>
            <w:r w:rsidRPr="005E2BD3">
              <w:rPr>
                <w:rFonts w:ascii="Arial" w:hAnsi="Arial"/>
                <w:sz w:val="20"/>
                <w:szCs w:val="20"/>
              </w:rPr>
              <w:t xml:space="preserve"> commented:</w:t>
            </w:r>
          </w:p>
          <w:p w14:paraId="7954AE73"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As part of any agreement to move to new financial arrangements within the Federation, it would be necessary to negotiate a transfer of responsibilities for areas of spending where the Commonwealth currently makes tied grants. … It would also allow the Commonwealth to significantly reduce its involvement in several key areas such as education and aspects of the health system thereby improving efficiency and facilitating greater accountability.</w:t>
            </w:r>
          </w:p>
          <w:p w14:paraId="7954AE74"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Other policy options that would address VFI include a deepening or broadening of States’ own</w:t>
            </w:r>
            <w:r>
              <w:rPr>
                <w:rFonts w:ascii="Arial" w:hAnsi="Arial"/>
                <w:sz w:val="20"/>
                <w:szCs w:val="20"/>
              </w:rPr>
              <w:noBreakHyphen/>
            </w:r>
            <w:r w:rsidRPr="005E2BD3">
              <w:rPr>
                <w:rFonts w:ascii="Arial" w:hAnsi="Arial"/>
                <w:sz w:val="20"/>
                <w:szCs w:val="20"/>
              </w:rPr>
              <w:t>source revenue raising capabilities, for example through reform of existing payroll and land taxes, or a reallocation of expenditure responsibilities to the Commonwealth (DPMC 2015).</w:t>
            </w:r>
          </w:p>
          <w:p w14:paraId="7954AE75" w14:textId="2CD9879C"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Finally, while it would</w:t>
            </w:r>
            <w:r>
              <w:rPr>
                <w:rFonts w:ascii="Arial" w:hAnsi="Arial"/>
                <w:sz w:val="20"/>
                <w:szCs w:val="20"/>
              </w:rPr>
              <w:t xml:space="preserve"> not</w:t>
            </w:r>
            <w:r w:rsidRPr="005E2BD3">
              <w:rPr>
                <w:rFonts w:ascii="Arial" w:hAnsi="Arial"/>
                <w:sz w:val="20"/>
                <w:szCs w:val="20"/>
              </w:rPr>
              <w:t xml:space="preserve"> directly address VFI, the Commonwealth Government could provide a greater proportion of untied grants to the States, an option raised by the National Commission of Audit. One way to achieve this would be through an expansion of GST revenues — by increasing the GST rate and/or expanding the base </w:t>
            </w:r>
            <w:r w:rsidRPr="008328EF">
              <w:rPr>
                <w:rFonts w:ascii="Arial" w:hAnsi="Arial" w:cs="Arial"/>
                <w:sz w:val="20"/>
              </w:rPr>
              <w:t>(DPMC 2015, pp. 95–98)</w:t>
            </w:r>
            <w:r w:rsidRPr="005E2BD3">
              <w:rPr>
                <w:rFonts w:ascii="Arial" w:hAnsi="Arial"/>
                <w:sz w:val="20"/>
                <w:szCs w:val="20"/>
              </w:rPr>
              <w:t>.</w:t>
            </w:r>
          </w:p>
        </w:tc>
      </w:tr>
      <w:tr w:rsidR="00F05DC7" w:rsidRPr="005E2BD3" w14:paraId="7954AE78" w14:textId="77777777" w:rsidTr="00A3786D">
        <w:tc>
          <w:tcPr>
            <w:tcW w:w="5000" w:type="pct"/>
            <w:tcBorders>
              <w:top w:val="nil"/>
              <w:left w:val="nil"/>
              <w:bottom w:val="single" w:sz="6" w:space="0" w:color="78A22F"/>
              <w:right w:val="nil"/>
            </w:tcBorders>
            <w:shd w:val="clear" w:color="auto" w:fill="F2F2F2"/>
          </w:tcPr>
          <w:p w14:paraId="7954AE77"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E7A" w14:textId="77777777" w:rsidTr="00A3786D">
        <w:tc>
          <w:tcPr>
            <w:tcW w:w="5000" w:type="pct"/>
            <w:tcBorders>
              <w:top w:val="single" w:sz="6" w:space="0" w:color="78A22F"/>
              <w:left w:val="nil"/>
              <w:bottom w:val="nil"/>
              <w:right w:val="nil"/>
            </w:tcBorders>
          </w:tcPr>
          <w:p w14:paraId="7954AE79" w14:textId="77777777" w:rsidR="00F05DC7" w:rsidRPr="005E2BD3" w:rsidRDefault="00F05DC7" w:rsidP="00A3786D">
            <w:pPr>
              <w:spacing w:before="60" w:after="60" w:line="80" w:lineRule="exact"/>
              <w:jc w:val="both"/>
              <w:rPr>
                <w:rFonts w:ascii="Arial" w:hAnsi="Arial"/>
                <w:sz w:val="14"/>
                <w:szCs w:val="20"/>
              </w:rPr>
            </w:pPr>
          </w:p>
        </w:tc>
      </w:tr>
    </w:tbl>
    <w:p w14:paraId="7954AE7B" w14:textId="39350502" w:rsidR="00F05DC7" w:rsidRPr="005E2BD3" w:rsidRDefault="00F05DC7" w:rsidP="00A3786D">
      <w:pPr>
        <w:spacing w:before="240" w:line="300" w:lineRule="atLeast"/>
        <w:jc w:val="both"/>
        <w:rPr>
          <w:szCs w:val="20"/>
        </w:rPr>
      </w:pPr>
      <w:r>
        <w:rPr>
          <w:szCs w:val="20"/>
        </w:rPr>
        <w:t xml:space="preserve">As recent history reveals, all governments are uniformly pivotal </w:t>
      </w:r>
      <w:r w:rsidRPr="005E2BD3">
        <w:rPr>
          <w:szCs w:val="20"/>
        </w:rPr>
        <w:t xml:space="preserve">in driving </w:t>
      </w:r>
      <w:r>
        <w:rPr>
          <w:szCs w:val="20"/>
        </w:rPr>
        <w:t xml:space="preserve">federal financial </w:t>
      </w:r>
      <w:r w:rsidRPr="005E2BD3">
        <w:rPr>
          <w:szCs w:val="20"/>
        </w:rPr>
        <w:t>reform, both to HFE and more broadly to federal financial relations. Australia’s federated system retains a high degree of concern for state autonomy, as evident in many HFE processes, and a respect for broader buy</w:t>
      </w:r>
      <w:r w:rsidRPr="005E2BD3">
        <w:rPr>
          <w:szCs w:val="20"/>
        </w:rPr>
        <w:noBreakHyphen/>
        <w:t xml:space="preserve">in within cross jurisdictional reform processes. It also has a long and credible history of concerted and coordinated national reform </w:t>
      </w:r>
      <w:r>
        <w:rPr>
          <w:szCs w:val="20"/>
        </w:rPr>
        <w:t>that</w:t>
      </w:r>
      <w:r w:rsidRPr="005E2BD3">
        <w:rPr>
          <w:szCs w:val="20"/>
        </w:rPr>
        <w:t xml:space="preserve"> has </w:t>
      </w:r>
      <w:r w:rsidRPr="005E2BD3">
        <w:rPr>
          <w:szCs w:val="20"/>
        </w:rPr>
        <w:lastRenderedPageBreak/>
        <w:t xml:space="preserve">delivered significant benefits across and within the States. The National Competition Policy reforms, which were based on extensive engagement, consultation, and agreements between the States, are considered to have been an example of such success </w:t>
      </w:r>
      <w:r w:rsidRPr="00021D43">
        <w:t>(Gray 2017, pp. 31–32)</w:t>
      </w:r>
      <w:r>
        <w:rPr>
          <w:szCs w:val="20"/>
        </w:rPr>
        <w:t>.</w:t>
      </w:r>
    </w:p>
    <w:p w14:paraId="7954AE7C" w14:textId="77777777" w:rsidR="00F05DC7" w:rsidRPr="005E2BD3" w:rsidRDefault="00F05DC7" w:rsidP="00A3786D">
      <w:pPr>
        <w:spacing w:before="240" w:line="300" w:lineRule="atLeast"/>
        <w:jc w:val="both"/>
        <w:rPr>
          <w:szCs w:val="20"/>
        </w:rPr>
      </w:pPr>
      <w:r w:rsidRPr="005E2BD3">
        <w:rPr>
          <w:szCs w:val="20"/>
        </w:rPr>
        <w:t>The State and Commonwealth Governments should work together to develop and closely assess options for reforming federal financial relations in the broad. The Council on Federal Financial Relations is the appropriate body to take carriage of the reform process</w:t>
      </w:r>
      <w:r>
        <w:rPr>
          <w:szCs w:val="20"/>
        </w:rPr>
        <w:t>; and there is considerable potential for the States to proactively drive the agenda through the recently established Board of Treasurers</w:t>
      </w:r>
      <w:r w:rsidRPr="005E2BD3">
        <w:rPr>
          <w:szCs w:val="20"/>
        </w:rPr>
        <w:t xml:space="preserve">. </w:t>
      </w:r>
    </w:p>
    <w:p w14:paraId="7954AE7D" w14:textId="77777777" w:rsidR="00F05DC7" w:rsidRPr="005E2BD3" w:rsidRDefault="00F05DC7" w:rsidP="00A3786D">
      <w:pPr>
        <w:spacing w:before="240" w:line="300" w:lineRule="atLeast"/>
        <w:jc w:val="both"/>
        <w:rPr>
          <w:szCs w:val="20"/>
        </w:rPr>
      </w:pPr>
      <w:r w:rsidRPr="005E2BD3">
        <w:rPr>
          <w:szCs w:val="20"/>
        </w:rPr>
        <w:t xml:space="preserve">As a first step, and with the longer term goal </w:t>
      </w:r>
      <w:r>
        <w:rPr>
          <w:szCs w:val="20"/>
        </w:rPr>
        <w:t xml:space="preserve">of addressing VFI </w:t>
      </w:r>
      <w:r w:rsidRPr="005E2BD3">
        <w:rPr>
          <w:szCs w:val="20"/>
        </w:rPr>
        <w:t>in mind, Governments should assess how Commonwealth payments to the States — both general revenue assistance and payments for specific purposes — interact with each other.</w:t>
      </w:r>
    </w:p>
    <w:p w14:paraId="7954AE7E" w14:textId="77777777" w:rsidR="00F05DC7" w:rsidRDefault="00F05DC7" w:rsidP="00A3786D">
      <w:pPr>
        <w:spacing w:before="240" w:line="300" w:lineRule="atLeast"/>
        <w:jc w:val="both"/>
        <w:rPr>
          <w:szCs w:val="20"/>
        </w:rPr>
      </w:pPr>
      <w:r w:rsidRPr="005E2BD3">
        <w:rPr>
          <w:szCs w:val="20"/>
        </w:rPr>
        <w:t xml:space="preserve">The process should then consider a </w:t>
      </w:r>
      <w:r>
        <w:rPr>
          <w:szCs w:val="20"/>
        </w:rPr>
        <w:t>better</w:t>
      </w:r>
      <w:r w:rsidRPr="005E2BD3">
        <w:rPr>
          <w:szCs w:val="20"/>
        </w:rPr>
        <w:noBreakHyphen/>
        <w:t xml:space="preserve">delineated division of responsibilities between the States and the Commonwealth, and accompanying accountability and performance arrangements. This echoes the recommendation of the Productivity Commission’s recent </w:t>
      </w:r>
      <w:r w:rsidRPr="005E2BD3">
        <w:rPr>
          <w:i/>
          <w:szCs w:val="20"/>
        </w:rPr>
        <w:t>Shifting the Dial</w:t>
      </w:r>
      <w:r w:rsidRPr="005E2BD3">
        <w:rPr>
          <w:szCs w:val="20"/>
        </w:rPr>
        <w:t xml:space="preserve"> report (box </w:t>
      </w:r>
      <w:r w:rsidRPr="005E2BD3" w:rsidDel="00C70A90">
        <w:rPr>
          <w:szCs w:val="20"/>
        </w:rPr>
        <w:t>9.</w:t>
      </w:r>
      <w:r w:rsidRPr="005E2BD3">
        <w:rPr>
          <w:szCs w:val="20"/>
        </w:rPr>
        <w:t xml:space="preserve">9). In particular, responsibilities and accountabilities for Indigenous policy — a policy area where there continues to be little improvement despite significant expenditure — should be given priority. </w:t>
      </w:r>
    </w:p>
    <w:p w14:paraId="7954AE7F" w14:textId="77777777" w:rsidR="00F05DC7" w:rsidRPr="005E2BD3" w:rsidRDefault="00F05DC7" w:rsidP="008C54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rsidRPr="005E2BD3" w14:paraId="7954AE81" w14:textId="77777777" w:rsidTr="00A3786D">
        <w:trPr>
          <w:tblHeader/>
        </w:trPr>
        <w:tc>
          <w:tcPr>
            <w:tcW w:w="5000" w:type="pct"/>
            <w:tcBorders>
              <w:top w:val="single" w:sz="6" w:space="0" w:color="78A22F"/>
              <w:left w:val="nil"/>
              <w:bottom w:val="nil"/>
              <w:right w:val="nil"/>
            </w:tcBorders>
            <w:shd w:val="clear" w:color="auto" w:fill="F2F2F2"/>
          </w:tcPr>
          <w:p w14:paraId="7954AE80" w14:textId="1C4BABBD" w:rsidR="00F05DC7" w:rsidRPr="005E2BD3" w:rsidRDefault="00F05DC7" w:rsidP="00A3786D">
            <w:pPr>
              <w:keepNext/>
              <w:keepLines/>
              <w:spacing w:before="120" w:line="280" w:lineRule="exact"/>
              <w:ind w:left="1474" w:hanging="1474"/>
              <w:rPr>
                <w:rFonts w:ascii="Arial" w:hAnsi="Arial"/>
                <w:b/>
              </w:rPr>
            </w:pPr>
            <w:r w:rsidRPr="005E2BD3">
              <w:rPr>
                <w:rFonts w:ascii="Arial" w:hAnsi="Arial"/>
              </w:rPr>
              <w:t>Box</w:t>
            </w:r>
            <w:r>
              <w:rPr>
                <w:rFonts w:ascii="Arial" w:hAnsi="Arial"/>
              </w:rPr>
              <w:t> 9.</w:t>
            </w:r>
            <w:r>
              <w:rPr>
                <w:rFonts w:ascii="Arial" w:hAnsi="Arial"/>
                <w:noProof/>
              </w:rPr>
              <w:t>9</w:t>
            </w:r>
            <w:r w:rsidRPr="005E2BD3">
              <w:rPr>
                <w:rFonts w:ascii="Arial" w:hAnsi="Arial"/>
                <w:b/>
              </w:rPr>
              <w:tab/>
              <w:t xml:space="preserve">Intergovernmental relations in </w:t>
            </w:r>
            <w:r w:rsidRPr="005E2BD3">
              <w:rPr>
                <w:rFonts w:ascii="Arial" w:hAnsi="Arial"/>
                <w:b/>
                <w:i/>
              </w:rPr>
              <w:t>Shifting the Dial</w:t>
            </w:r>
          </w:p>
        </w:tc>
      </w:tr>
      <w:tr w:rsidR="00F05DC7" w:rsidRPr="005E2BD3" w14:paraId="7954AE87" w14:textId="77777777" w:rsidTr="00A3786D">
        <w:tc>
          <w:tcPr>
            <w:tcW w:w="5000" w:type="pct"/>
            <w:tcBorders>
              <w:top w:val="nil"/>
              <w:left w:val="nil"/>
              <w:bottom w:val="nil"/>
              <w:right w:val="nil"/>
            </w:tcBorders>
            <w:shd w:val="clear" w:color="auto" w:fill="F2F2F2"/>
          </w:tcPr>
          <w:p w14:paraId="7954AE82"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 xml:space="preserve">The Productivity Commission’s recent </w:t>
            </w:r>
            <w:r w:rsidRPr="005E2BD3">
              <w:rPr>
                <w:rFonts w:ascii="Arial" w:hAnsi="Arial"/>
                <w:i/>
                <w:sz w:val="20"/>
                <w:szCs w:val="20"/>
              </w:rPr>
              <w:t>Shifting the Dial</w:t>
            </w:r>
            <w:r w:rsidRPr="005E2BD3">
              <w:rPr>
                <w:rFonts w:ascii="Arial" w:hAnsi="Arial"/>
                <w:sz w:val="20"/>
                <w:szCs w:val="20"/>
              </w:rPr>
              <w:t xml:space="preserve"> report recommended intergovernmental relations be renewed (recommendation 6.4). It suggested that each level of government should have distinct roles in areas of shared responsibility. It went on to note that in areas of State and Local responsibility where the Commonwealth provides funding, State and Local Governments should be able to rely upon predictability in funding and flexibility in its use, subject to necessary measures to ensure accountability for decisions. Further, the conditions on Commonwealth funding to other jurisdictions should seek to ensure sound decision</w:t>
            </w:r>
            <w:r>
              <w:rPr>
                <w:rFonts w:ascii="Arial" w:hAnsi="Arial"/>
                <w:sz w:val="20"/>
                <w:szCs w:val="20"/>
              </w:rPr>
              <w:noBreakHyphen/>
            </w:r>
            <w:r w:rsidRPr="005E2BD3">
              <w:rPr>
                <w:rFonts w:ascii="Arial" w:hAnsi="Arial"/>
                <w:sz w:val="20"/>
                <w:szCs w:val="20"/>
              </w:rPr>
              <w:t xml:space="preserve">making by those jurisdictions, rather than dictate outcomes. </w:t>
            </w:r>
          </w:p>
          <w:p w14:paraId="7954AE83" w14:textId="77777777" w:rsidR="00F05DC7" w:rsidRPr="005E2BD3" w:rsidRDefault="00F05DC7" w:rsidP="00A3786D">
            <w:pPr>
              <w:keepNext/>
              <w:spacing w:before="120" w:line="260" w:lineRule="atLeast"/>
              <w:jc w:val="both"/>
              <w:rPr>
                <w:rFonts w:ascii="Arial" w:hAnsi="Arial"/>
                <w:sz w:val="20"/>
                <w:szCs w:val="20"/>
              </w:rPr>
            </w:pPr>
            <w:r w:rsidRPr="005E2BD3">
              <w:rPr>
                <w:rFonts w:ascii="Arial" w:hAnsi="Arial"/>
                <w:sz w:val="20"/>
                <w:szCs w:val="20"/>
              </w:rPr>
              <w:t>In terms of steps to advance change, it suggested:</w:t>
            </w:r>
          </w:p>
          <w:p w14:paraId="7954AE84"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First, while not broken, the system of cooperative exchange at the apex of Australia’s federation — COAG — is in need of renewal. This is not an expensive undertaking — it has a cost only if it is insincere.</w:t>
            </w:r>
            <w:r>
              <w:rPr>
                <w:rFonts w:ascii="Arial" w:hAnsi="Arial"/>
                <w:sz w:val="18"/>
                <w:szCs w:val="20"/>
              </w:rPr>
              <w:t xml:space="preserve"> </w:t>
            </w:r>
          </w:p>
          <w:p w14:paraId="7954AE85" w14:textId="77777777" w:rsidR="00F05DC7" w:rsidRPr="004F6C34" w:rsidRDefault="00F05DC7" w:rsidP="00A3786D">
            <w:pPr>
              <w:keepNext/>
              <w:spacing w:before="60" w:line="240" w:lineRule="exact"/>
              <w:ind w:left="284"/>
              <w:jc w:val="both"/>
              <w:rPr>
                <w:rFonts w:ascii="Arial" w:hAnsi="Arial"/>
                <w:spacing w:val="2"/>
                <w:sz w:val="18"/>
                <w:szCs w:val="20"/>
              </w:rPr>
            </w:pPr>
            <w:r w:rsidRPr="004F6C34">
              <w:rPr>
                <w:rFonts w:ascii="Arial" w:hAnsi="Arial"/>
                <w:spacing w:val="2"/>
                <w:sz w:val="18"/>
                <w:szCs w:val="20"/>
              </w:rPr>
              <w:t>In order to arrive at agreement on fundamental reform at the apex, a practical division of responsibilities that is focused on the nature of the policy problem at hand and the parties most willing to design effective change should be taken. This means not treating the existing intergovernmental committee structures as sacrosanct.</w:t>
            </w:r>
          </w:p>
          <w:p w14:paraId="7954AE86" w14:textId="77777777" w:rsidR="00F05DC7" w:rsidRPr="005E2BD3" w:rsidRDefault="00F05DC7" w:rsidP="00A3786D">
            <w:pPr>
              <w:keepNext/>
              <w:spacing w:before="60" w:line="240" w:lineRule="exact"/>
              <w:ind w:left="284"/>
              <w:jc w:val="both"/>
              <w:rPr>
                <w:rFonts w:ascii="Arial" w:hAnsi="Arial"/>
                <w:sz w:val="18"/>
                <w:szCs w:val="20"/>
              </w:rPr>
            </w:pPr>
            <w:r w:rsidRPr="005E2BD3">
              <w:rPr>
                <w:rFonts w:ascii="Arial" w:hAnsi="Arial"/>
                <w:sz w:val="18"/>
                <w:szCs w:val="20"/>
              </w:rPr>
              <w:t>Seeking reform primarily through control of payments should be least preferred.</w:t>
            </w:r>
          </w:p>
        </w:tc>
      </w:tr>
      <w:tr w:rsidR="00F05DC7" w:rsidRPr="005E2BD3" w14:paraId="7954AE89" w14:textId="77777777" w:rsidTr="00A3786D">
        <w:tc>
          <w:tcPr>
            <w:tcW w:w="5000" w:type="pct"/>
            <w:tcBorders>
              <w:top w:val="nil"/>
              <w:left w:val="nil"/>
              <w:bottom w:val="nil"/>
              <w:right w:val="nil"/>
            </w:tcBorders>
            <w:shd w:val="clear" w:color="auto" w:fill="F2F2F2"/>
          </w:tcPr>
          <w:p w14:paraId="7954AE88" w14:textId="50B228CD" w:rsidR="00F05DC7" w:rsidRPr="005E2BD3" w:rsidRDefault="00F05DC7" w:rsidP="009D6331">
            <w:pPr>
              <w:keepLines/>
              <w:spacing w:before="120" w:line="220" w:lineRule="exact"/>
              <w:jc w:val="both"/>
              <w:rPr>
                <w:rFonts w:ascii="Arial" w:hAnsi="Arial"/>
                <w:sz w:val="18"/>
                <w:szCs w:val="20"/>
              </w:rPr>
            </w:pPr>
            <w:r w:rsidRPr="005E2BD3">
              <w:rPr>
                <w:rFonts w:ascii="Arial" w:hAnsi="Arial"/>
                <w:i/>
                <w:sz w:val="18"/>
                <w:szCs w:val="20"/>
              </w:rPr>
              <w:t xml:space="preserve">Source: </w:t>
            </w:r>
            <w:r w:rsidRPr="005E2BD3">
              <w:rPr>
                <w:rFonts w:ascii="Arial" w:hAnsi="Arial"/>
                <w:sz w:val="18"/>
                <w:szCs w:val="20"/>
              </w:rPr>
              <w:t xml:space="preserve">PC </w:t>
            </w:r>
            <w:r w:rsidR="009D6331" w:rsidRPr="009D6331">
              <w:rPr>
                <w:rFonts w:ascii="Arial" w:hAnsi="Arial" w:cs="Arial"/>
                <w:sz w:val="18"/>
              </w:rPr>
              <w:t>(2017d, pp. 197–198)</w:t>
            </w:r>
            <w:r>
              <w:rPr>
                <w:rFonts w:ascii="Arial" w:hAnsi="Arial"/>
                <w:sz w:val="18"/>
                <w:szCs w:val="20"/>
              </w:rPr>
              <w:t>.</w:t>
            </w:r>
          </w:p>
        </w:tc>
      </w:tr>
      <w:tr w:rsidR="00F05DC7" w:rsidRPr="005E2BD3" w14:paraId="7954AE8B" w14:textId="77777777" w:rsidTr="00A3786D">
        <w:tc>
          <w:tcPr>
            <w:tcW w:w="5000" w:type="pct"/>
            <w:tcBorders>
              <w:top w:val="nil"/>
              <w:left w:val="nil"/>
              <w:bottom w:val="single" w:sz="6" w:space="0" w:color="78A22F"/>
              <w:right w:val="nil"/>
            </w:tcBorders>
            <w:shd w:val="clear" w:color="auto" w:fill="F2F2F2"/>
          </w:tcPr>
          <w:p w14:paraId="7954AE8A" w14:textId="77777777" w:rsidR="00F05DC7" w:rsidRPr="005E2BD3" w:rsidRDefault="00F05DC7" w:rsidP="00A3786D">
            <w:pPr>
              <w:keepNext/>
              <w:spacing w:line="120" w:lineRule="exact"/>
              <w:jc w:val="both"/>
              <w:rPr>
                <w:rFonts w:ascii="Arial" w:hAnsi="Arial"/>
                <w:sz w:val="20"/>
                <w:szCs w:val="20"/>
              </w:rPr>
            </w:pPr>
          </w:p>
        </w:tc>
      </w:tr>
      <w:tr w:rsidR="00F05DC7" w:rsidRPr="005E2BD3" w14:paraId="7954AE8D" w14:textId="77777777" w:rsidTr="00A3786D">
        <w:tc>
          <w:tcPr>
            <w:tcW w:w="5000" w:type="pct"/>
            <w:tcBorders>
              <w:top w:val="single" w:sz="6" w:space="0" w:color="78A22F"/>
              <w:left w:val="nil"/>
              <w:bottom w:val="nil"/>
              <w:right w:val="nil"/>
            </w:tcBorders>
          </w:tcPr>
          <w:p w14:paraId="7954AE8C" w14:textId="77777777" w:rsidR="00F05DC7" w:rsidRPr="005E2BD3" w:rsidRDefault="00F05DC7" w:rsidP="00A3786D">
            <w:pPr>
              <w:spacing w:before="60" w:after="60" w:line="80" w:lineRule="exact"/>
              <w:jc w:val="both"/>
              <w:rPr>
                <w:rFonts w:ascii="Arial" w:hAnsi="Arial"/>
                <w:sz w:val="14"/>
                <w:szCs w:val="20"/>
              </w:rPr>
            </w:pPr>
          </w:p>
        </w:tc>
      </w:tr>
    </w:tbl>
    <w:p w14:paraId="7954AE8E" w14:textId="1BF2183F" w:rsidR="00F05DC7" w:rsidRDefault="00F05DC7" w:rsidP="00A3786D">
      <w:pPr>
        <w:spacing w:before="240" w:line="300" w:lineRule="atLeast"/>
        <w:jc w:val="both"/>
        <w:rPr>
          <w:szCs w:val="20"/>
        </w:rPr>
      </w:pPr>
      <w:r>
        <w:t xml:space="preserve">The principles of subsidiarity (where </w:t>
      </w:r>
      <w:r w:rsidRPr="00D00D8E">
        <w:t>policy and service delivery is as far as is practicable delivered by the level of government closest to the people receiving those services</w:t>
      </w:r>
      <w:r>
        <w:t xml:space="preserve">), fiscal equivalence and sovereignty of governments are key considerations in determining where responsibilities lie </w:t>
      </w:r>
      <w:r w:rsidR="009D6331" w:rsidRPr="009D6331">
        <w:t>(NCOA 2014; PC 2017a)</w:t>
      </w:r>
      <w:r>
        <w:t>. But i</w:t>
      </w:r>
      <w:r>
        <w:rPr>
          <w:szCs w:val="20"/>
        </w:rPr>
        <w:t xml:space="preserve">n some cases — particularly where </w:t>
      </w:r>
      <w:r>
        <w:rPr>
          <w:szCs w:val="20"/>
        </w:rPr>
        <w:lastRenderedPageBreak/>
        <w:t>national and State or local priorities intersect or are interrelated, such as transport and education — it may not be possible to clearly separate responsibilities.</w:t>
      </w:r>
      <w:r w:rsidDel="00684349">
        <w:rPr>
          <w:szCs w:val="20"/>
        </w:rPr>
        <w:t xml:space="preserve"> </w:t>
      </w:r>
      <w:r>
        <w:rPr>
          <w:szCs w:val="20"/>
        </w:rPr>
        <w:t xml:space="preserve">Indeed, there may be some areas of policy where there could be welfare benefits from shared roles and responsibilities. As noted by Wiltshire </w:t>
      </w:r>
      <w:r w:rsidRPr="00021D43">
        <w:t>(2014, p. 113)</w:t>
      </w:r>
      <w:r>
        <w:rPr>
          <w:szCs w:val="20"/>
        </w:rPr>
        <w:t>:</w:t>
      </w:r>
    </w:p>
    <w:p w14:paraId="7954AE8F" w14:textId="77777777" w:rsidR="00F05DC7" w:rsidRDefault="00F05DC7" w:rsidP="00A3786D">
      <w:pPr>
        <w:pStyle w:val="Quote"/>
      </w:pPr>
      <w:r w:rsidRPr="00602CEA">
        <w:t xml:space="preserve">A pure layer cake is no longer possible </w:t>
      </w:r>
      <w:r>
        <w:t xml:space="preserve">… </w:t>
      </w:r>
      <w:r w:rsidRPr="00602CEA">
        <w:t>Marble cakes are the menu of the day, so it becomes a matter of assigning roles</w:t>
      </w:r>
      <w:r>
        <w:t xml:space="preserve"> </w:t>
      </w:r>
      <w:r w:rsidRPr="00602CEA">
        <w:t>and responsibilities within shared functions of government. This applies to both</w:t>
      </w:r>
      <w:r>
        <w:t xml:space="preserve"> </w:t>
      </w:r>
      <w:r w:rsidRPr="00602CEA">
        <w:t>revenue and expenditure.</w:t>
      </w:r>
    </w:p>
    <w:p w14:paraId="7954AE90" w14:textId="28897D27" w:rsidR="00F05DC7" w:rsidRDefault="00F05DC7" w:rsidP="00A3786D">
      <w:pPr>
        <w:spacing w:before="240" w:line="300" w:lineRule="atLeast"/>
        <w:jc w:val="both"/>
      </w:pPr>
      <w:r>
        <w:t xml:space="preserve">Ultimately, the effectiveness and efficiency of the arrangements should be considered. For example, is there potential for specialisation, innovation and alignment with need (effectiveness) </w:t>
      </w:r>
      <w:r w:rsidDel="00FF05D6">
        <w:t xml:space="preserve">and </w:t>
      </w:r>
      <w:r>
        <w:t xml:space="preserve">is unnecessary overlap and duplication avoided (efficiency). Even where responsibilities are shared, there should be strong ‘belts and braces’ in place to ensure that decision makers are held accountable for outcomes </w:t>
      </w:r>
      <w:r w:rsidRPr="00021D43">
        <w:t>(Smith 2014)</w:t>
      </w:r>
      <w:r>
        <w:t>. This should include</w:t>
      </w:r>
      <w:r w:rsidDel="00954A37">
        <w:t xml:space="preserve"> </w:t>
      </w:r>
      <w:r>
        <w:t>explicit and mutually understood assignment of responsibilities for policy functions such as financing, regulation, and implementation, to ensure direct accountability to citizens. It should also include processes for cross</w:t>
      </w:r>
      <w:r>
        <w:noBreakHyphen/>
        <w:t>jurisdictional cooperation and coordination, such as use of intergovernmental bodies with transparent decision making processes, and strong monitoring (and data collection systems)</w:t>
      </w:r>
      <w:r w:rsidDel="00FF05D6">
        <w:t xml:space="preserve"> </w:t>
      </w:r>
      <w:r w:rsidRPr="00B502F4">
        <w:t>(Allain-Dupré 2017; Wiltshire 2014)</w:t>
      </w:r>
      <w:r>
        <w:t>.</w:t>
      </w:r>
    </w:p>
    <w:p w14:paraId="7954AE91" w14:textId="3D886D5F" w:rsidR="00F05DC7" w:rsidRDefault="00F05DC7" w:rsidP="00A3786D">
      <w:pPr>
        <w:spacing w:before="240" w:line="300" w:lineRule="atLeast"/>
        <w:jc w:val="both"/>
        <w:rPr>
          <w:szCs w:val="20"/>
        </w:rPr>
      </w:pPr>
      <w:r>
        <w:t xml:space="preserve">Following this, and ultimately informed by the allocation of funding responsibilities and accountabilities, options to meaningfully address VFI in Australia should be considered and advanced. </w:t>
      </w:r>
      <w:r>
        <w:rPr>
          <w:szCs w:val="20"/>
        </w:rPr>
        <w:t xml:space="preserve">As noted in the Reform of the Federation discussion paper </w:t>
      </w:r>
      <w:r w:rsidRPr="008328EF">
        <w:t>(DPMC 2015, p.</w:t>
      </w:r>
      <w:r w:rsidRPr="00797A09">
        <w:t> 10)</w:t>
      </w:r>
      <w:r>
        <w:rPr>
          <w:szCs w:val="20"/>
        </w:rPr>
        <w:t>:</w:t>
      </w:r>
    </w:p>
    <w:p w14:paraId="7954AE92" w14:textId="77777777" w:rsidR="00F05DC7" w:rsidRDefault="00F05DC7" w:rsidP="00A3786D">
      <w:pPr>
        <w:pStyle w:val="Quote"/>
      </w:pPr>
      <w:r w:rsidRPr="008328EF">
        <w:t>Addressing the mismatch between revenue and expenditure in Australia would go a long way toward ensuring governments can no longer shift the blame of policy failures and the costs of policy responses between them.</w:t>
      </w:r>
    </w:p>
    <w:p w14:paraId="7954AE93" w14:textId="77777777" w:rsidR="00F05DC7" w:rsidRDefault="00F05DC7" w:rsidP="00A3786D">
      <w:pPr>
        <w:spacing w:before="240" w:line="300" w:lineRule="atLeast"/>
        <w:jc w:val="both"/>
        <w:rPr>
          <w:szCs w:val="20"/>
        </w:rPr>
      </w:pPr>
      <w:r>
        <w:rPr>
          <w:szCs w:val="20"/>
        </w:rPr>
        <w:t>There is a clear appetite for such reform, and a range of options have been put forward — each has trade</w:t>
      </w:r>
      <w:r>
        <w:rPr>
          <w:szCs w:val="20"/>
        </w:rPr>
        <w:noBreakHyphen/>
        <w:t xml:space="preserve">offs that need to be worked through, including the extent to which they are able to fundamentally address the VFI problem and enhance accountability in the federal financial system. </w:t>
      </w:r>
    </w:p>
    <w:p w14:paraId="7954AE94" w14:textId="77777777" w:rsidR="00F05DC7" w:rsidRPr="005E2BD3" w:rsidRDefault="00F05DC7" w:rsidP="00A3786D">
      <w:pPr>
        <w:spacing w:before="240" w:line="300" w:lineRule="atLeast"/>
        <w:jc w:val="both"/>
        <w:rPr>
          <w:szCs w:val="20"/>
        </w:rPr>
      </w:pPr>
      <w:r w:rsidRPr="005E2BD3">
        <w:rPr>
          <w:szCs w:val="20"/>
        </w:rPr>
        <w:t xml:space="preserve">Reforming HFE in isolation will only go a small way to improving federal financial relations. Without addressing this broader environment, the system is likely to come under further strain. </w:t>
      </w:r>
      <w:r>
        <w:rPr>
          <w:szCs w:val="20"/>
        </w:rPr>
        <w:t>T</w:t>
      </w:r>
      <w:r w:rsidRPr="005E2BD3">
        <w:rPr>
          <w:szCs w:val="20"/>
        </w:rPr>
        <w:t>he sustainability of the GST pool as a source of funding for States will likely come under increa</w:t>
      </w:r>
      <w:r>
        <w:rPr>
          <w:szCs w:val="20"/>
        </w:rPr>
        <w:t>sing pressure, due to Australia</w:t>
      </w:r>
      <w:r w:rsidRPr="005E2BD3">
        <w:rPr>
          <w:szCs w:val="20"/>
        </w:rPr>
        <w:t>’</w:t>
      </w:r>
      <w:r>
        <w:rPr>
          <w:szCs w:val="20"/>
        </w:rPr>
        <w:t>s</w:t>
      </w:r>
      <w:r w:rsidRPr="005E2BD3">
        <w:rPr>
          <w:szCs w:val="20"/>
        </w:rPr>
        <w:t xml:space="preserve"> changing consumption patterns. Like many inquiry participants, the Commission considers there is a need to revisit the broader operating environment in which HFE takes place, and to renew efforts to reform federal financial relations </w:t>
      </w:r>
      <w:r w:rsidRPr="005E2BD3">
        <w:rPr>
          <w:i/>
          <w:szCs w:val="20"/>
        </w:rPr>
        <w:t>in the broad</w:t>
      </w:r>
      <w:r w:rsidRPr="005E2BD3">
        <w:rPr>
          <w:szCs w:val="20"/>
        </w:rPr>
        <w:t>.</w:t>
      </w:r>
    </w:p>
    <w:p w14:paraId="7954AE95" w14:textId="77777777" w:rsidR="00F05DC7" w:rsidRPr="005E2BD3" w:rsidRDefault="00F05DC7" w:rsidP="00A3786D">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05DC7" w:rsidRPr="005E2BD3" w14:paraId="7954AE9D" w14:textId="77777777" w:rsidTr="00A3786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54AE96" w14:textId="3E048349" w:rsidR="00F05DC7" w:rsidRPr="005E2BD3" w:rsidRDefault="00F05DC7" w:rsidP="00A3786D">
            <w:pPr>
              <w:keepNext/>
              <w:keepLines/>
              <w:spacing w:before="120" w:line="280" w:lineRule="atLeast"/>
              <w:jc w:val="both"/>
              <w:rPr>
                <w:rFonts w:ascii="Arial" w:hAnsi="Arial"/>
                <w:caps/>
                <w:noProof/>
                <w:sz w:val="18"/>
                <w:szCs w:val="20"/>
              </w:rPr>
            </w:pPr>
            <w:r w:rsidRPr="005E2BD3">
              <w:rPr>
                <w:rFonts w:ascii="Arial" w:hAnsi="Arial"/>
                <w:caps/>
                <w:sz w:val="18"/>
                <w:szCs w:val="20"/>
              </w:rPr>
              <w:t xml:space="preserve">Recommendation </w:t>
            </w:r>
            <w:r>
              <w:rPr>
                <w:rFonts w:ascii="Arial" w:hAnsi="Arial"/>
                <w:caps/>
                <w:sz w:val="18"/>
                <w:szCs w:val="20"/>
              </w:rPr>
              <w:t>9.1</w:t>
            </w:r>
          </w:p>
          <w:p w14:paraId="7954AE97" w14:textId="77777777" w:rsidR="00F05DC7" w:rsidRDefault="00F05DC7" w:rsidP="00A3786D">
            <w:pPr>
              <w:pStyle w:val="Rec"/>
              <w:keepNext/>
            </w:pPr>
            <w:r>
              <w:t xml:space="preserve">Improvements to the HFE system can only go so far.  </w:t>
            </w:r>
          </w:p>
          <w:p w14:paraId="7954AE98" w14:textId="77777777" w:rsidR="00F05DC7" w:rsidRDefault="00F05DC7" w:rsidP="00A3786D">
            <w:pPr>
              <w:pStyle w:val="Rec"/>
              <w:keepNext/>
            </w:pPr>
            <w:r>
              <w:t xml:space="preserve">The Commonwealth and State Governments, through the Council on Federal Financial Relations and recently formed Board of Treasurers, should work towards meaningful reform to federal financial relations. </w:t>
            </w:r>
          </w:p>
          <w:p w14:paraId="7954AE99" w14:textId="77777777" w:rsidR="00F05DC7" w:rsidRDefault="00F05DC7" w:rsidP="00A3786D">
            <w:pPr>
              <w:pStyle w:val="Rec"/>
              <w:keepNext/>
            </w:pPr>
            <w:r>
              <w:t>In the first instance, the process should:</w:t>
            </w:r>
          </w:p>
          <w:p w14:paraId="7954AE9A" w14:textId="77777777" w:rsidR="00F05DC7" w:rsidRDefault="00F05DC7" w:rsidP="00A3786D">
            <w:pPr>
              <w:pStyle w:val="RecBullet"/>
            </w:pPr>
            <w:r>
              <w:t>assess how Commonwealth payments to the States — both general revenue assistance and payments for specific purposes — interact with each other, given the significant reforms to payments for specific purposes that have occurred in recent years</w:t>
            </w:r>
          </w:p>
          <w:p w14:paraId="7954AE9B" w14:textId="77777777" w:rsidR="00F05DC7" w:rsidRDefault="00F05DC7" w:rsidP="00A3786D">
            <w:pPr>
              <w:pStyle w:val="RecBullet"/>
            </w:pPr>
            <w:r>
              <w:t>develop a better</w:t>
            </w:r>
            <w:r>
              <w:noBreakHyphen/>
              <w:t>delineated division of responsibilities between the States and the Commonwealth and establish clear lines and forms of accountability. Policies to address Indigenous disadvantage should be a priority.</w:t>
            </w:r>
          </w:p>
          <w:p w14:paraId="7954AE9C" w14:textId="77777777" w:rsidR="00F05DC7" w:rsidRPr="005E2BD3" w:rsidRDefault="00F05DC7" w:rsidP="00A3786D">
            <w:pPr>
              <w:pStyle w:val="Rec"/>
            </w:pPr>
            <w:r w:rsidRPr="00E50934">
              <w:t>Following this, options to address the vertical fiscal imbalance</w:t>
            </w:r>
            <w:r>
              <w:t xml:space="preserve"> should be considered and advanced</w:t>
            </w:r>
            <w:r w:rsidRPr="00E50934">
              <w:t>.</w:t>
            </w:r>
          </w:p>
        </w:tc>
      </w:tr>
      <w:tr w:rsidR="00F05DC7" w:rsidRPr="005E2BD3" w14:paraId="7954AE9F" w14:textId="77777777" w:rsidTr="00A3786D">
        <w:tc>
          <w:tcPr>
            <w:tcW w:w="5000" w:type="pct"/>
            <w:tcBorders>
              <w:top w:val="nil"/>
              <w:left w:val="nil"/>
              <w:bottom w:val="single" w:sz="6" w:space="0" w:color="78A22F"/>
              <w:right w:val="nil"/>
            </w:tcBorders>
            <w:shd w:val="clear" w:color="auto" w:fill="E5F1D0"/>
            <w:tcMar>
              <w:left w:w="170" w:type="dxa"/>
              <w:right w:w="170" w:type="dxa"/>
            </w:tcMar>
          </w:tcPr>
          <w:p w14:paraId="7954AE9E" w14:textId="77777777" w:rsidR="00F05DC7" w:rsidRPr="005E2BD3" w:rsidRDefault="00F05DC7" w:rsidP="00A3786D">
            <w:pPr>
              <w:keepNext/>
              <w:keepLines/>
              <w:spacing w:line="120" w:lineRule="exact"/>
              <w:jc w:val="both"/>
              <w:rPr>
                <w:rFonts w:ascii="Arial" w:hAnsi="Arial"/>
                <w:sz w:val="20"/>
                <w:szCs w:val="20"/>
              </w:rPr>
            </w:pPr>
          </w:p>
        </w:tc>
      </w:tr>
      <w:tr w:rsidR="00F05DC7" w:rsidRPr="005E2BD3" w14:paraId="7954AEA1" w14:textId="77777777" w:rsidTr="00A3786D">
        <w:tc>
          <w:tcPr>
            <w:tcW w:w="5000" w:type="pct"/>
            <w:tcBorders>
              <w:top w:val="single" w:sz="6" w:space="0" w:color="78A22F"/>
              <w:left w:val="nil"/>
              <w:bottom w:val="nil"/>
              <w:right w:val="nil"/>
            </w:tcBorders>
            <w:tcMar>
              <w:left w:w="170" w:type="dxa"/>
              <w:right w:w="170" w:type="dxa"/>
            </w:tcMar>
          </w:tcPr>
          <w:p w14:paraId="7954AEA0" w14:textId="77777777" w:rsidR="00F05DC7" w:rsidRPr="005E2BD3" w:rsidRDefault="00F05DC7" w:rsidP="00A3786D">
            <w:pPr>
              <w:keepLines/>
              <w:spacing w:before="60" w:after="60" w:line="80" w:lineRule="exact"/>
              <w:jc w:val="both"/>
              <w:rPr>
                <w:rFonts w:ascii="Arial" w:hAnsi="Arial"/>
                <w:sz w:val="14"/>
                <w:szCs w:val="20"/>
              </w:rPr>
            </w:pPr>
          </w:p>
        </w:tc>
      </w:tr>
    </w:tbl>
    <w:p w14:paraId="7954AEA3" w14:textId="77777777" w:rsidR="00F05DC7" w:rsidRPr="001933D2" w:rsidRDefault="00F05DC7" w:rsidP="00A3786D">
      <w:pPr>
        <w:rPr>
          <w:szCs w:val="20"/>
        </w:rPr>
      </w:pPr>
    </w:p>
    <w:p w14:paraId="7954AEA4" w14:textId="77777777" w:rsidR="00F05DC7" w:rsidRDefault="00F05DC7" w:rsidP="00F05DC7">
      <w:pPr>
        <w:sectPr w:rsidR="00F05DC7" w:rsidSect="00F05DC7">
          <w:headerReference w:type="even" r:id="rId172"/>
          <w:headerReference w:type="default" r:id="rId173"/>
          <w:footerReference w:type="even" r:id="rId174"/>
          <w:footerReference w:type="default" r:id="rId175"/>
          <w:type w:val="oddPage"/>
          <w:pgSz w:w="11907" w:h="16840" w:code="9"/>
          <w:pgMar w:top="1985" w:right="1304" w:bottom="1247" w:left="1814" w:header="1701" w:footer="397" w:gutter="0"/>
          <w:pgNumType w:chapSep="period"/>
          <w:cols w:space="720"/>
          <w:docGrid w:linePitch="326"/>
        </w:sectPr>
      </w:pPr>
    </w:p>
    <w:p w14:paraId="7954AEA5" w14:textId="477B3617" w:rsidR="00F05DC7" w:rsidRDefault="00F05DC7" w:rsidP="00A3786D">
      <w:pPr>
        <w:pStyle w:val="Heading1"/>
      </w:pPr>
      <w:bookmarkStart w:id="111" w:name="_AppendixNotByChapter"/>
      <w:bookmarkStart w:id="112" w:name="_Toc513637739"/>
      <w:bookmarkEnd w:id="111"/>
      <w:r>
        <w:lastRenderedPageBreak/>
        <w:t>A</w:t>
      </w:r>
      <w:r>
        <w:tab/>
      </w:r>
      <w:r w:rsidR="00460F2D">
        <w:t>Public c</w:t>
      </w:r>
      <w:r>
        <w:t>onsultation</w:t>
      </w:r>
      <w:bookmarkEnd w:id="112"/>
    </w:p>
    <w:p w14:paraId="7954AEA6" w14:textId="77777777" w:rsidR="00F05DC7" w:rsidRDefault="00F05DC7" w:rsidP="00A3786D">
      <w:pPr>
        <w:pStyle w:val="BodyText"/>
      </w:pPr>
      <w:r w:rsidRPr="00EE78C8">
        <w:t xml:space="preserve">In keeping with its standard practice, the </w:t>
      </w:r>
      <w:r>
        <w:t xml:space="preserve">Productivity </w:t>
      </w:r>
      <w:r w:rsidRPr="00EE78C8">
        <w:t xml:space="preserve">Commission has actively encouraged public participation in this </w:t>
      </w:r>
      <w:r>
        <w:t>inquiry</w:t>
      </w:r>
      <w:r w:rsidRPr="00EE78C8">
        <w:t>.</w:t>
      </w:r>
      <w:r>
        <w:t xml:space="preserve"> </w:t>
      </w:r>
    </w:p>
    <w:p w14:paraId="7954AEA7" w14:textId="77777777" w:rsidR="00F05DC7" w:rsidRDefault="00F05DC7" w:rsidP="00A3786D">
      <w:pPr>
        <w:pStyle w:val="BodyText"/>
      </w:pPr>
      <w:r>
        <w:t>The Commission released a guidance note on 19 May 2017 and invited public submissions by 30 June 2017. Subsequently, 56 submissions</w:t>
      </w:r>
      <w:r w:rsidRPr="00A85980">
        <w:rPr>
          <w:color w:val="FF0000"/>
        </w:rPr>
        <w:t xml:space="preserve"> </w:t>
      </w:r>
      <w:r>
        <w:t xml:space="preserve">and 9 brief submissions were received (table A.1). </w:t>
      </w:r>
    </w:p>
    <w:p w14:paraId="7954AEA8" w14:textId="3F29BE50" w:rsidR="00F05DC7" w:rsidRDefault="00F05DC7" w:rsidP="00A3786D">
      <w:pPr>
        <w:pStyle w:val="BodyText"/>
      </w:pPr>
      <w:r>
        <w:t xml:space="preserve">A draft report was released on 9 October 2017. Following the </w:t>
      </w:r>
      <w:r w:rsidR="009A7248">
        <w:t>release of the draft report, 67 </w:t>
      </w:r>
      <w:r>
        <w:t xml:space="preserve">submissions were received. A total of 132 submissions were received throughout the inquiry (table A.1). All submissions are available online at: </w:t>
      </w:r>
      <w:r w:rsidRPr="00282527">
        <w:t>www.pc.gov.au/inquiries/</w:t>
      </w:r>
      <w:r w:rsidR="009A7248">
        <w:br/>
        <w:t>completed</w:t>
      </w:r>
      <w:r w:rsidRPr="00282527">
        <w:t>/horizontal-fiscal-equalisation/submissions</w:t>
      </w:r>
      <w:r>
        <w:t>.</w:t>
      </w:r>
    </w:p>
    <w:p w14:paraId="7954AEA9" w14:textId="77777777" w:rsidR="00F05DC7" w:rsidRDefault="00F05DC7" w:rsidP="00A3786D">
      <w:pPr>
        <w:pStyle w:val="BodyText"/>
      </w:pPr>
      <w:r>
        <w:t>As detailed in table A.2, consultations were held with representatives from the Australian, State and Territory Government departments, agencies, several State grants commissions, a number of business groups, several past State Under Treasurers and a range of academics and others specialising in federalism and tax policy. The Commission also consulted with individuals who have worked on previous reviews of the HFE process.</w:t>
      </w:r>
    </w:p>
    <w:p w14:paraId="7954AEAA" w14:textId="77777777" w:rsidR="00F05DC7" w:rsidRDefault="00F05DC7" w:rsidP="00A3786D">
      <w:pPr>
        <w:pStyle w:val="BodyText"/>
      </w:pPr>
      <w:r>
        <w:t>The Commission held public hearings in Adelaide, Brisbane, Darwin, Hobart, Melbourne and Perth (table A.3).</w:t>
      </w:r>
    </w:p>
    <w:p w14:paraId="7954AEAB" w14:textId="77777777" w:rsidR="00F05DC7" w:rsidRDefault="00F05DC7" w:rsidP="00A3786D">
      <w:pPr>
        <w:pStyle w:val="BodyText"/>
      </w:pPr>
      <w:r>
        <w:t>The final inquiry report was delivered to the Australian Government on 15 May 2018.</w:t>
      </w:r>
    </w:p>
    <w:p w14:paraId="7954AEAD" w14:textId="0CF76A83" w:rsidR="00F05DC7" w:rsidRDefault="00F05DC7" w:rsidP="00A3786D">
      <w:pPr>
        <w:pStyle w:val="BodyText"/>
      </w:pPr>
      <w:r>
        <w:t>The Commission thanks all parties who ha</w:t>
      </w:r>
      <w:r w:rsidR="009A7248">
        <w:t>ve contributed to this inquiry.</w:t>
      </w:r>
    </w:p>
    <w:p w14:paraId="7954AEAE" w14:textId="77777777" w:rsidR="00F05DC7" w:rsidRDefault="00F05DC7" w:rsidP="009A7248">
      <w:pPr>
        <w:pStyle w:val="BodyText"/>
      </w:pPr>
      <w:r>
        <w:br w:type="page"/>
      </w:r>
    </w:p>
    <w:p w14:paraId="7954AEAF"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05DC7" w14:paraId="7954AEB1" w14:textId="77777777" w:rsidTr="001113B1">
        <w:trPr>
          <w:tblHeader/>
        </w:trPr>
        <w:tc>
          <w:tcPr>
            <w:tcW w:w="5000" w:type="pct"/>
            <w:tcBorders>
              <w:top w:val="single" w:sz="6" w:space="0" w:color="78A22F"/>
              <w:left w:val="nil"/>
              <w:bottom w:val="nil"/>
              <w:right w:val="nil"/>
            </w:tcBorders>
            <w:shd w:val="clear" w:color="auto" w:fill="auto"/>
          </w:tcPr>
          <w:p w14:paraId="7954AEB0" w14:textId="5F5FFE9F" w:rsidR="00F05DC7" w:rsidRPr="00784A05" w:rsidRDefault="00F05DC7" w:rsidP="00A3786D">
            <w:pPr>
              <w:pStyle w:val="TableTitle"/>
              <w:spacing w:after="0"/>
            </w:pPr>
            <w:r>
              <w:rPr>
                <w:b w:val="0"/>
              </w:rPr>
              <w:t>Table A.</w:t>
            </w:r>
            <w:r>
              <w:rPr>
                <w:b w:val="0"/>
                <w:noProof/>
              </w:rPr>
              <w:t>1</w:t>
            </w:r>
            <w:r>
              <w:tab/>
              <w:t>Public submissions</w:t>
            </w:r>
            <w:r w:rsidRPr="004F6C34">
              <w:rPr>
                <w:rStyle w:val="NoteLabel"/>
                <w:b/>
                <w:position w:val="10"/>
              </w:rPr>
              <w:t>a</w:t>
            </w:r>
          </w:p>
        </w:tc>
      </w:tr>
      <w:tr w:rsidR="00F05DC7" w:rsidRPr="004F5745" w14:paraId="7954AF37" w14:textId="77777777" w:rsidTr="00A3786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97"/>
              <w:gridCol w:w="2108"/>
            </w:tblGrid>
            <w:tr w:rsidR="00F05DC7" w:rsidRPr="004F5745" w14:paraId="7954AEB4" w14:textId="77777777" w:rsidTr="001113B1">
              <w:trPr>
                <w:tblHeader/>
              </w:trPr>
              <w:tc>
                <w:tcPr>
                  <w:tcW w:w="3761"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7954AEB2" w14:textId="77777777" w:rsidR="00F05DC7" w:rsidRPr="004F5745" w:rsidRDefault="00F05DC7" w:rsidP="00A3786D">
                  <w:pPr>
                    <w:pStyle w:val="TableColumnHeading"/>
                    <w:jc w:val="left"/>
                  </w:pPr>
                  <w:r>
                    <w:rPr>
                      <w:rFonts w:ascii="Times New Roman" w:hAnsi="Times New Roman"/>
                      <w:i w:val="0"/>
                      <w:sz w:val="24"/>
                      <w:szCs w:val="24"/>
                    </w:rPr>
                    <w:br w:type="page"/>
                  </w:r>
                  <w:r>
                    <w:rPr>
                      <w:rFonts w:ascii="Times New Roman" w:hAnsi="Times New Roman"/>
                      <w:i w:val="0"/>
                      <w:sz w:val="24"/>
                      <w:szCs w:val="24"/>
                    </w:rPr>
                    <w:br w:type="page"/>
                  </w:r>
                  <w:r>
                    <w:t>Participant</w:t>
                  </w:r>
                </w:p>
              </w:tc>
              <w:tc>
                <w:tcPr>
                  <w:tcW w:w="1239"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7954AEB3" w14:textId="77777777" w:rsidR="00F05DC7" w:rsidRPr="004F5745" w:rsidRDefault="00F05DC7" w:rsidP="00A3786D">
                  <w:pPr>
                    <w:pStyle w:val="TableColumnHeading"/>
                    <w:ind w:right="28"/>
                  </w:pPr>
                  <w:r w:rsidRPr="004F5745">
                    <w:t>Submission number</w:t>
                  </w:r>
                </w:p>
              </w:tc>
            </w:tr>
            <w:tr w:rsidR="00F05DC7" w:rsidRPr="00A43A41" w14:paraId="7954AEB7" w14:textId="77777777" w:rsidTr="00A3786D">
              <w:tc>
                <w:tcPr>
                  <w:tcW w:w="3761" w:type="pct"/>
                  <w:shd w:val="clear" w:color="auto" w:fill="auto"/>
                  <w:vAlign w:val="center"/>
                </w:tcPr>
                <w:p w14:paraId="7954AEB5" w14:textId="77777777" w:rsidR="00F05DC7" w:rsidRPr="003C6C70" w:rsidRDefault="00F05DC7" w:rsidP="004F6C34">
                  <w:pPr>
                    <w:spacing w:before="80"/>
                    <w:rPr>
                      <w:rFonts w:asciiTheme="minorHAnsi" w:hAnsiTheme="minorHAnsi" w:cstheme="minorHAnsi"/>
                      <w:sz w:val="18"/>
                      <w:szCs w:val="18"/>
                    </w:rPr>
                  </w:pPr>
                  <w:r w:rsidRPr="003C6C70">
                    <w:rPr>
                      <w:rFonts w:asciiTheme="minorHAnsi" w:hAnsiTheme="minorHAnsi" w:cstheme="minorHAnsi"/>
                      <w:sz w:val="18"/>
                      <w:szCs w:val="18"/>
                    </w:rPr>
                    <w:t>ACT Government</w:t>
                  </w:r>
                </w:p>
              </w:tc>
              <w:tc>
                <w:tcPr>
                  <w:tcW w:w="1239" w:type="pct"/>
                  <w:shd w:val="clear" w:color="auto" w:fill="auto"/>
                  <w:vAlign w:val="center"/>
                </w:tcPr>
                <w:p w14:paraId="7954AEB6" w14:textId="77777777" w:rsidR="00F05DC7" w:rsidRPr="003C6C70" w:rsidRDefault="00F05DC7" w:rsidP="004F6C34">
                  <w:pPr>
                    <w:spacing w:before="80"/>
                    <w:jc w:val="right"/>
                    <w:rPr>
                      <w:rFonts w:asciiTheme="minorHAnsi" w:hAnsiTheme="minorHAnsi" w:cstheme="minorHAnsi"/>
                      <w:sz w:val="18"/>
                      <w:szCs w:val="18"/>
                    </w:rPr>
                  </w:pPr>
                  <w:r w:rsidRPr="003C6C70">
                    <w:rPr>
                      <w:rFonts w:asciiTheme="minorHAnsi" w:hAnsiTheme="minorHAnsi" w:cstheme="minorHAnsi"/>
                      <w:sz w:val="18"/>
                      <w:szCs w:val="18"/>
                    </w:rPr>
                    <w:t>49, DR81</w:t>
                  </w:r>
                </w:p>
              </w:tc>
            </w:tr>
            <w:tr w:rsidR="00F05DC7" w:rsidRPr="00A43A41" w14:paraId="7954AEBA" w14:textId="77777777" w:rsidTr="00A3786D">
              <w:tc>
                <w:tcPr>
                  <w:tcW w:w="3761" w:type="pct"/>
                  <w:shd w:val="clear" w:color="auto" w:fill="auto"/>
                  <w:vAlign w:val="center"/>
                </w:tcPr>
                <w:p w14:paraId="7954AEB8"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 xml:space="preserve">Anwar Shah </w:t>
                  </w:r>
                </w:p>
              </w:tc>
              <w:tc>
                <w:tcPr>
                  <w:tcW w:w="1239" w:type="pct"/>
                  <w:shd w:val="clear" w:color="auto" w:fill="auto"/>
                  <w:vAlign w:val="center"/>
                </w:tcPr>
                <w:p w14:paraId="7954AEB9"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DR103</w:t>
                  </w:r>
                </w:p>
              </w:tc>
            </w:tr>
            <w:tr w:rsidR="00F05DC7" w:rsidRPr="00A43A41" w14:paraId="7954AEBD" w14:textId="77777777" w:rsidTr="00A3786D">
              <w:tc>
                <w:tcPr>
                  <w:tcW w:w="3761" w:type="pct"/>
                  <w:shd w:val="clear" w:color="auto" w:fill="auto"/>
                  <w:vAlign w:val="center"/>
                </w:tcPr>
                <w:p w14:paraId="7954AEBB"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Arthur Downing</w:t>
                  </w:r>
                </w:p>
              </w:tc>
              <w:tc>
                <w:tcPr>
                  <w:tcW w:w="1239" w:type="pct"/>
                  <w:shd w:val="clear" w:color="auto" w:fill="auto"/>
                  <w:vAlign w:val="center"/>
                </w:tcPr>
                <w:p w14:paraId="7954AEBC"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56</w:t>
                  </w:r>
                </w:p>
              </w:tc>
            </w:tr>
            <w:tr w:rsidR="00F05DC7" w:rsidRPr="00A43A41" w14:paraId="7954AEC0" w14:textId="77777777" w:rsidTr="00A3786D">
              <w:tc>
                <w:tcPr>
                  <w:tcW w:w="3761" w:type="pct"/>
                  <w:shd w:val="clear" w:color="auto" w:fill="auto"/>
                  <w:vAlign w:val="center"/>
                </w:tcPr>
                <w:p w14:paraId="7954AEBE"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Association of Mining and Exploration Companies</w:t>
                  </w:r>
                </w:p>
              </w:tc>
              <w:tc>
                <w:tcPr>
                  <w:tcW w:w="1239" w:type="pct"/>
                  <w:shd w:val="clear" w:color="auto" w:fill="auto"/>
                  <w:vAlign w:val="center"/>
                </w:tcPr>
                <w:p w14:paraId="7954AEBF"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23</w:t>
                  </w:r>
                </w:p>
              </w:tc>
            </w:tr>
            <w:tr w:rsidR="00F05DC7" w:rsidRPr="00A43A41" w14:paraId="7954AEC3" w14:textId="77777777" w:rsidTr="00A3786D">
              <w:tc>
                <w:tcPr>
                  <w:tcW w:w="3761" w:type="pct"/>
                  <w:shd w:val="clear" w:color="auto" w:fill="auto"/>
                  <w:vAlign w:val="center"/>
                </w:tcPr>
                <w:p w14:paraId="7954AEC1"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Australian Bankers’ Association</w:t>
                  </w:r>
                </w:p>
              </w:tc>
              <w:tc>
                <w:tcPr>
                  <w:tcW w:w="1239" w:type="pct"/>
                  <w:shd w:val="clear" w:color="auto" w:fill="auto"/>
                  <w:vAlign w:val="center"/>
                </w:tcPr>
                <w:p w14:paraId="7954AEC2"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55</w:t>
                  </w:r>
                </w:p>
              </w:tc>
            </w:tr>
            <w:tr w:rsidR="00F05DC7" w:rsidRPr="00A43A41" w14:paraId="7954AEC6" w14:textId="77777777" w:rsidTr="00A3786D">
              <w:tc>
                <w:tcPr>
                  <w:tcW w:w="3761" w:type="pct"/>
                  <w:shd w:val="clear" w:color="auto" w:fill="auto"/>
                  <w:vAlign w:val="center"/>
                </w:tcPr>
                <w:p w14:paraId="7954AEC4"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Australian Chamber of Commerce and Industry</w:t>
                  </w:r>
                </w:p>
              </w:tc>
              <w:tc>
                <w:tcPr>
                  <w:tcW w:w="1239" w:type="pct"/>
                  <w:shd w:val="clear" w:color="auto" w:fill="auto"/>
                  <w:vAlign w:val="center"/>
                </w:tcPr>
                <w:p w14:paraId="7954AEC5"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40</w:t>
                  </w:r>
                </w:p>
              </w:tc>
            </w:tr>
            <w:tr w:rsidR="00F05DC7" w:rsidRPr="00A43A41" w14:paraId="7954AEC9" w14:textId="77777777" w:rsidTr="00A3786D">
              <w:tc>
                <w:tcPr>
                  <w:tcW w:w="3761" w:type="pct"/>
                  <w:shd w:val="clear" w:color="auto" w:fill="auto"/>
                  <w:vAlign w:val="center"/>
                </w:tcPr>
                <w:p w14:paraId="7954AEC7"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Australian Conservation Foundation</w:t>
                  </w:r>
                </w:p>
              </w:tc>
              <w:tc>
                <w:tcPr>
                  <w:tcW w:w="1239" w:type="pct"/>
                  <w:shd w:val="clear" w:color="auto" w:fill="auto"/>
                  <w:vAlign w:val="center"/>
                </w:tcPr>
                <w:p w14:paraId="7954AEC8"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DR65</w:t>
                  </w:r>
                </w:p>
              </w:tc>
            </w:tr>
            <w:tr w:rsidR="00F05DC7" w:rsidRPr="00A43A41" w14:paraId="7954AECC" w14:textId="77777777" w:rsidTr="00A3786D">
              <w:tc>
                <w:tcPr>
                  <w:tcW w:w="3761" w:type="pct"/>
                  <w:shd w:val="clear" w:color="auto" w:fill="auto"/>
                  <w:vAlign w:val="center"/>
                </w:tcPr>
                <w:p w14:paraId="7954AECA"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Australian Medical Association (NT)</w:t>
                  </w:r>
                </w:p>
              </w:tc>
              <w:tc>
                <w:tcPr>
                  <w:tcW w:w="1239" w:type="pct"/>
                  <w:shd w:val="clear" w:color="auto" w:fill="auto"/>
                  <w:vAlign w:val="center"/>
                </w:tcPr>
                <w:p w14:paraId="7954AECB"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DR101</w:t>
                  </w:r>
                </w:p>
              </w:tc>
            </w:tr>
            <w:tr w:rsidR="00F05DC7" w:rsidRPr="00A43A41" w14:paraId="7954AECF" w14:textId="77777777" w:rsidTr="00A3786D">
              <w:tc>
                <w:tcPr>
                  <w:tcW w:w="3761" w:type="pct"/>
                  <w:shd w:val="clear" w:color="auto" w:fill="auto"/>
                  <w:vAlign w:val="center"/>
                </w:tcPr>
                <w:p w14:paraId="7954AECD"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Australian Petroleum Production and Exploration Association</w:t>
                  </w:r>
                </w:p>
              </w:tc>
              <w:tc>
                <w:tcPr>
                  <w:tcW w:w="1239" w:type="pct"/>
                  <w:shd w:val="clear" w:color="auto" w:fill="auto"/>
                  <w:vAlign w:val="center"/>
                </w:tcPr>
                <w:p w14:paraId="7954AECE"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18, DR73</w:t>
                  </w:r>
                </w:p>
              </w:tc>
            </w:tr>
            <w:tr w:rsidR="00F05DC7" w:rsidRPr="00A43A41" w14:paraId="7954AED2" w14:textId="77777777" w:rsidTr="00A3786D">
              <w:tc>
                <w:tcPr>
                  <w:tcW w:w="3761" w:type="pct"/>
                  <w:shd w:val="clear" w:color="auto" w:fill="auto"/>
                  <w:vAlign w:val="center"/>
                </w:tcPr>
                <w:p w14:paraId="7954AED0" w14:textId="77777777" w:rsidR="00F05DC7" w:rsidRPr="003C6C70" w:rsidRDefault="00F05DC7" w:rsidP="00A3786D">
                  <w:pPr>
                    <w:rPr>
                      <w:rFonts w:asciiTheme="minorHAnsi" w:hAnsiTheme="minorHAnsi" w:cstheme="minorHAnsi"/>
                      <w:color w:val="000000" w:themeColor="text1"/>
                      <w:sz w:val="18"/>
                      <w:szCs w:val="18"/>
                    </w:rPr>
                  </w:pPr>
                  <w:r w:rsidRPr="003C6C70">
                    <w:rPr>
                      <w:rFonts w:asciiTheme="minorHAnsi" w:hAnsiTheme="minorHAnsi" w:cstheme="minorHAnsi"/>
                      <w:sz w:val="18"/>
                      <w:szCs w:val="18"/>
                    </w:rPr>
                    <w:t>BHP Billiton</w:t>
                  </w:r>
                </w:p>
              </w:tc>
              <w:tc>
                <w:tcPr>
                  <w:tcW w:w="1239" w:type="pct"/>
                  <w:shd w:val="clear" w:color="auto" w:fill="auto"/>
                  <w:vAlign w:val="center"/>
                </w:tcPr>
                <w:p w14:paraId="7954AED1" w14:textId="77777777" w:rsidR="00F05DC7" w:rsidRPr="003C6C70" w:rsidRDefault="00F05DC7" w:rsidP="00A3786D">
                  <w:pPr>
                    <w:jc w:val="right"/>
                    <w:rPr>
                      <w:rFonts w:asciiTheme="minorHAnsi" w:hAnsiTheme="minorHAnsi" w:cstheme="minorHAnsi"/>
                      <w:color w:val="000000" w:themeColor="text1"/>
                      <w:sz w:val="18"/>
                      <w:szCs w:val="18"/>
                    </w:rPr>
                  </w:pPr>
                  <w:r w:rsidRPr="003C6C70">
                    <w:rPr>
                      <w:rFonts w:asciiTheme="minorHAnsi" w:hAnsiTheme="minorHAnsi" w:cstheme="minorHAnsi"/>
                      <w:sz w:val="18"/>
                      <w:szCs w:val="18"/>
                    </w:rPr>
                    <w:t>42</w:t>
                  </w:r>
                </w:p>
              </w:tc>
            </w:tr>
            <w:tr w:rsidR="00F05DC7" w:rsidRPr="00A43A41" w14:paraId="7954AED5" w14:textId="77777777" w:rsidTr="00A3786D">
              <w:tc>
                <w:tcPr>
                  <w:tcW w:w="3761" w:type="pct"/>
                  <w:shd w:val="clear" w:color="auto" w:fill="auto"/>
                  <w:vAlign w:val="center"/>
                </w:tcPr>
                <w:p w14:paraId="7954AED3"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Business Council of Australia</w:t>
                  </w:r>
                </w:p>
              </w:tc>
              <w:tc>
                <w:tcPr>
                  <w:tcW w:w="1239" w:type="pct"/>
                  <w:shd w:val="clear" w:color="auto" w:fill="auto"/>
                  <w:vAlign w:val="center"/>
                </w:tcPr>
                <w:p w14:paraId="7954AED4"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47, DR100</w:t>
                  </w:r>
                </w:p>
              </w:tc>
            </w:tr>
            <w:tr w:rsidR="00F05DC7" w:rsidRPr="00A43A41" w14:paraId="7954AED8" w14:textId="77777777" w:rsidTr="00A3786D">
              <w:tc>
                <w:tcPr>
                  <w:tcW w:w="3761" w:type="pct"/>
                  <w:shd w:val="clear" w:color="auto" w:fill="auto"/>
                  <w:vAlign w:val="center"/>
                </w:tcPr>
                <w:p w14:paraId="7954AED6"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Business SA</w:t>
                  </w:r>
                </w:p>
              </w:tc>
              <w:tc>
                <w:tcPr>
                  <w:tcW w:w="1239" w:type="pct"/>
                  <w:shd w:val="clear" w:color="auto" w:fill="auto"/>
                  <w:vAlign w:val="center"/>
                </w:tcPr>
                <w:p w14:paraId="7954AED7"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26, DR94</w:t>
                  </w:r>
                </w:p>
              </w:tc>
            </w:tr>
            <w:tr w:rsidR="00F05DC7" w:rsidRPr="00A43A41" w14:paraId="7954AEDB" w14:textId="77777777" w:rsidTr="00A3786D">
              <w:tc>
                <w:tcPr>
                  <w:tcW w:w="3761" w:type="pct"/>
                  <w:shd w:val="clear" w:color="auto" w:fill="auto"/>
                  <w:vAlign w:val="center"/>
                </w:tcPr>
                <w:p w14:paraId="7954AED9"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Central Land Council</w:t>
                  </w:r>
                </w:p>
              </w:tc>
              <w:tc>
                <w:tcPr>
                  <w:tcW w:w="1239" w:type="pct"/>
                  <w:shd w:val="clear" w:color="auto" w:fill="auto"/>
                  <w:vAlign w:val="center"/>
                </w:tcPr>
                <w:p w14:paraId="7954AEDA" w14:textId="77777777" w:rsidR="00F05DC7" w:rsidRPr="003C6C70" w:rsidRDefault="00F05DC7" w:rsidP="00A3786D">
                  <w:pPr>
                    <w:jc w:val="right"/>
                    <w:rPr>
                      <w:rFonts w:asciiTheme="minorHAnsi" w:hAnsiTheme="minorHAnsi" w:cstheme="minorHAnsi"/>
                      <w:color w:val="000000" w:themeColor="text1"/>
                      <w:sz w:val="18"/>
                      <w:szCs w:val="18"/>
                    </w:rPr>
                  </w:pPr>
                  <w:r w:rsidRPr="003C6C70">
                    <w:rPr>
                      <w:rFonts w:asciiTheme="minorHAnsi" w:hAnsiTheme="minorHAnsi" w:cstheme="minorHAnsi"/>
                      <w:color w:val="000000"/>
                      <w:sz w:val="18"/>
                      <w:szCs w:val="18"/>
                    </w:rPr>
                    <w:t>DR95</w:t>
                  </w:r>
                </w:p>
              </w:tc>
            </w:tr>
            <w:tr w:rsidR="00F05DC7" w:rsidRPr="00A43A41" w14:paraId="7954AEDE" w14:textId="77777777" w:rsidTr="00A3786D">
              <w:tc>
                <w:tcPr>
                  <w:tcW w:w="3761" w:type="pct"/>
                  <w:shd w:val="clear" w:color="auto" w:fill="auto"/>
                  <w:vAlign w:val="center"/>
                </w:tcPr>
                <w:p w14:paraId="7954AEDC"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Chamber of Commerce and Industry of Western Australia (CCIWA)</w:t>
                  </w:r>
                </w:p>
              </w:tc>
              <w:tc>
                <w:tcPr>
                  <w:tcW w:w="1239" w:type="pct"/>
                  <w:shd w:val="clear" w:color="auto" w:fill="auto"/>
                  <w:vAlign w:val="center"/>
                </w:tcPr>
                <w:p w14:paraId="7954AEDD"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11, DR86</w:t>
                  </w:r>
                </w:p>
              </w:tc>
            </w:tr>
            <w:tr w:rsidR="00F05DC7" w:rsidRPr="00A43A41" w14:paraId="7954AEE1" w14:textId="77777777" w:rsidTr="00A3786D">
              <w:tc>
                <w:tcPr>
                  <w:tcW w:w="3761" w:type="pct"/>
                  <w:shd w:val="clear" w:color="auto" w:fill="auto"/>
                  <w:vAlign w:val="center"/>
                </w:tcPr>
                <w:p w14:paraId="7954AEDF"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Chamber of Commerce and Industry Queensland</w:t>
                  </w:r>
                  <w:r>
                    <w:rPr>
                      <w:rFonts w:asciiTheme="minorHAnsi" w:hAnsiTheme="minorHAnsi" w:cstheme="minorHAnsi"/>
                      <w:sz w:val="18"/>
                      <w:szCs w:val="18"/>
                    </w:rPr>
                    <w:t xml:space="preserve"> (CCIQ)</w:t>
                  </w:r>
                </w:p>
              </w:tc>
              <w:tc>
                <w:tcPr>
                  <w:tcW w:w="1239" w:type="pct"/>
                  <w:shd w:val="clear" w:color="auto" w:fill="auto"/>
                  <w:vAlign w:val="center"/>
                </w:tcPr>
                <w:p w14:paraId="7954AEE0"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21, DR120</w:t>
                  </w:r>
                </w:p>
              </w:tc>
            </w:tr>
            <w:tr w:rsidR="00F05DC7" w:rsidRPr="00A43A41" w14:paraId="7954AEE4" w14:textId="77777777" w:rsidTr="00A3786D">
              <w:tc>
                <w:tcPr>
                  <w:tcW w:w="3761" w:type="pct"/>
                  <w:shd w:val="clear" w:color="auto" w:fill="auto"/>
                  <w:vAlign w:val="center"/>
                </w:tcPr>
                <w:p w14:paraId="7954AEE2"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Chamber of Minerals and Energy of Western Australia</w:t>
                  </w:r>
                </w:p>
              </w:tc>
              <w:tc>
                <w:tcPr>
                  <w:tcW w:w="1239" w:type="pct"/>
                  <w:shd w:val="clear" w:color="auto" w:fill="auto"/>
                  <w:vAlign w:val="center"/>
                </w:tcPr>
                <w:p w14:paraId="7954AEE3"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29</w:t>
                  </w:r>
                </w:p>
              </w:tc>
            </w:tr>
            <w:tr w:rsidR="00F05DC7" w:rsidRPr="00A43A41" w14:paraId="7954AEE7" w14:textId="77777777" w:rsidTr="00A3786D">
              <w:tc>
                <w:tcPr>
                  <w:tcW w:w="3761" w:type="pct"/>
                  <w:shd w:val="clear" w:color="auto" w:fill="auto"/>
                  <w:vAlign w:val="center"/>
                </w:tcPr>
                <w:p w14:paraId="7954AEE5"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Chris Egan</w:t>
                  </w:r>
                </w:p>
              </w:tc>
              <w:tc>
                <w:tcPr>
                  <w:tcW w:w="1239" w:type="pct"/>
                  <w:shd w:val="clear" w:color="auto" w:fill="auto"/>
                  <w:vAlign w:val="center"/>
                </w:tcPr>
                <w:p w14:paraId="7954AEE6"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17</w:t>
                  </w:r>
                </w:p>
              </w:tc>
            </w:tr>
            <w:tr w:rsidR="00F05DC7" w:rsidRPr="00A43A41" w14:paraId="7954AEEA" w14:textId="77777777" w:rsidTr="00A3786D">
              <w:tc>
                <w:tcPr>
                  <w:tcW w:w="3761" w:type="pct"/>
                  <w:shd w:val="clear" w:color="auto" w:fill="auto"/>
                  <w:vAlign w:val="center"/>
                </w:tcPr>
                <w:p w14:paraId="7954AEE8"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Climate Change Our Future</w:t>
                  </w:r>
                </w:p>
              </w:tc>
              <w:tc>
                <w:tcPr>
                  <w:tcW w:w="1239" w:type="pct"/>
                  <w:shd w:val="clear" w:color="auto" w:fill="auto"/>
                  <w:vAlign w:val="center"/>
                </w:tcPr>
                <w:p w14:paraId="7954AEE9"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DR104</w:t>
                  </w:r>
                </w:p>
              </w:tc>
            </w:tr>
            <w:tr w:rsidR="00F05DC7" w:rsidRPr="00A43A41" w14:paraId="7954AEED" w14:textId="77777777" w:rsidTr="00A3786D">
              <w:tc>
                <w:tcPr>
                  <w:tcW w:w="3761" w:type="pct"/>
                  <w:shd w:val="clear" w:color="auto" w:fill="auto"/>
                  <w:vAlign w:val="center"/>
                </w:tcPr>
                <w:p w14:paraId="7954AEEB"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Commonwealth Grants Commission</w:t>
                  </w:r>
                </w:p>
              </w:tc>
              <w:tc>
                <w:tcPr>
                  <w:tcW w:w="1239" w:type="pct"/>
                  <w:shd w:val="clear" w:color="auto" w:fill="auto"/>
                  <w:vAlign w:val="center"/>
                </w:tcPr>
                <w:p w14:paraId="7954AEEC"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1, DR61</w:t>
                  </w:r>
                </w:p>
              </w:tc>
            </w:tr>
            <w:tr w:rsidR="00F05DC7" w:rsidRPr="00A43A41" w14:paraId="7954AEF0" w14:textId="77777777" w:rsidTr="00A3786D">
              <w:tc>
                <w:tcPr>
                  <w:tcW w:w="3761" w:type="pct"/>
                  <w:shd w:val="clear" w:color="auto" w:fill="auto"/>
                  <w:vAlign w:val="center"/>
                </w:tcPr>
                <w:p w14:paraId="7954AEEE"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Community and Public Sector Union (CPSU)</w:t>
                  </w:r>
                </w:p>
              </w:tc>
              <w:tc>
                <w:tcPr>
                  <w:tcW w:w="1239" w:type="pct"/>
                  <w:shd w:val="clear" w:color="auto" w:fill="auto"/>
                  <w:vAlign w:val="center"/>
                </w:tcPr>
                <w:p w14:paraId="7954AEEF"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DR98</w:t>
                  </w:r>
                </w:p>
              </w:tc>
            </w:tr>
            <w:tr w:rsidR="00F05DC7" w:rsidRPr="00A43A41" w14:paraId="7954AEF3" w14:textId="77777777" w:rsidTr="00A3786D">
              <w:tc>
                <w:tcPr>
                  <w:tcW w:w="3761" w:type="pct"/>
                  <w:shd w:val="clear" w:color="auto" w:fill="auto"/>
                  <w:vAlign w:val="center"/>
                </w:tcPr>
                <w:p w14:paraId="7954AEF1"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Damien Kelly</w:t>
                  </w:r>
                </w:p>
              </w:tc>
              <w:tc>
                <w:tcPr>
                  <w:tcW w:w="1239" w:type="pct"/>
                  <w:shd w:val="clear" w:color="auto" w:fill="auto"/>
                  <w:vAlign w:val="center"/>
                </w:tcPr>
                <w:p w14:paraId="7954AEF2"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DR77</w:t>
                  </w:r>
                </w:p>
              </w:tc>
            </w:tr>
            <w:tr w:rsidR="00F05DC7" w:rsidRPr="00A43A41" w14:paraId="7954AEF6" w14:textId="77777777" w:rsidTr="00A3786D">
              <w:tc>
                <w:tcPr>
                  <w:tcW w:w="3761" w:type="pct"/>
                  <w:shd w:val="clear" w:color="auto" w:fill="auto"/>
                  <w:vAlign w:val="center"/>
                </w:tcPr>
                <w:p w14:paraId="7954AEF4"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David Burt</w:t>
                  </w:r>
                </w:p>
              </w:tc>
              <w:tc>
                <w:tcPr>
                  <w:tcW w:w="1239" w:type="pct"/>
                  <w:shd w:val="clear" w:color="auto" w:fill="auto"/>
                  <w:vAlign w:val="center"/>
                </w:tcPr>
                <w:p w14:paraId="7954AEF5"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DR64</w:t>
                  </w:r>
                </w:p>
              </w:tc>
            </w:tr>
            <w:tr w:rsidR="00F05DC7" w:rsidRPr="00A43A41" w14:paraId="7954AEF9" w14:textId="77777777" w:rsidTr="00A3786D">
              <w:tc>
                <w:tcPr>
                  <w:tcW w:w="3761" w:type="pct"/>
                  <w:shd w:val="clear" w:color="auto" w:fill="auto"/>
                  <w:vAlign w:val="center"/>
                </w:tcPr>
                <w:p w14:paraId="7954AEF7"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 xml:space="preserve">Doug Buckley </w:t>
                  </w:r>
                </w:p>
              </w:tc>
              <w:tc>
                <w:tcPr>
                  <w:tcW w:w="1239" w:type="pct"/>
                  <w:shd w:val="clear" w:color="auto" w:fill="auto"/>
                  <w:vAlign w:val="center"/>
                </w:tcPr>
                <w:p w14:paraId="7954AEF8"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3, DR57</w:t>
                  </w:r>
                </w:p>
              </w:tc>
            </w:tr>
            <w:tr w:rsidR="00F05DC7" w:rsidRPr="00A43A41" w14:paraId="7954AEFC" w14:textId="77777777" w:rsidTr="00A3786D">
              <w:tc>
                <w:tcPr>
                  <w:tcW w:w="3761" w:type="pct"/>
                  <w:shd w:val="clear" w:color="auto" w:fill="auto"/>
                  <w:vAlign w:val="center"/>
                </w:tcPr>
                <w:p w14:paraId="7954AEFA"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Financial Services Council (FSC)</w:t>
                  </w:r>
                </w:p>
              </w:tc>
              <w:tc>
                <w:tcPr>
                  <w:tcW w:w="1239" w:type="pct"/>
                  <w:shd w:val="clear" w:color="auto" w:fill="auto"/>
                  <w:vAlign w:val="center"/>
                </w:tcPr>
                <w:p w14:paraId="7954AEFB"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DR90</w:t>
                  </w:r>
                </w:p>
              </w:tc>
            </w:tr>
            <w:tr w:rsidR="00F05DC7" w:rsidRPr="00A43A41" w14:paraId="7954AEFF" w14:textId="77777777" w:rsidTr="00A3786D">
              <w:tc>
                <w:tcPr>
                  <w:tcW w:w="3761" w:type="pct"/>
                  <w:shd w:val="clear" w:color="auto" w:fill="auto"/>
                  <w:vAlign w:val="center"/>
                </w:tcPr>
                <w:p w14:paraId="7954AEFD"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George Williams</w:t>
                  </w:r>
                </w:p>
              </w:tc>
              <w:tc>
                <w:tcPr>
                  <w:tcW w:w="1239" w:type="pct"/>
                  <w:shd w:val="clear" w:color="auto" w:fill="auto"/>
                  <w:vAlign w:val="center"/>
                </w:tcPr>
                <w:p w14:paraId="7954AEFE"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2</w:t>
                  </w:r>
                </w:p>
              </w:tc>
            </w:tr>
            <w:tr w:rsidR="00F05DC7" w:rsidRPr="00A43A41" w14:paraId="7954AF02" w14:textId="77777777" w:rsidTr="00A3786D">
              <w:tc>
                <w:tcPr>
                  <w:tcW w:w="3761" w:type="pct"/>
                  <w:shd w:val="clear" w:color="auto" w:fill="auto"/>
                  <w:vAlign w:val="center"/>
                </w:tcPr>
                <w:p w14:paraId="7954AF00"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Grattan Institute</w:t>
                  </w:r>
                </w:p>
              </w:tc>
              <w:tc>
                <w:tcPr>
                  <w:tcW w:w="1239" w:type="pct"/>
                  <w:shd w:val="clear" w:color="auto" w:fill="auto"/>
                  <w:vAlign w:val="center"/>
                </w:tcPr>
                <w:p w14:paraId="7954AF01"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24</w:t>
                  </w:r>
                </w:p>
              </w:tc>
            </w:tr>
            <w:tr w:rsidR="00F05DC7" w:rsidRPr="00A43A41" w14:paraId="7954AF05" w14:textId="77777777" w:rsidTr="00A3786D">
              <w:tc>
                <w:tcPr>
                  <w:tcW w:w="3761" w:type="pct"/>
                  <w:shd w:val="clear" w:color="auto" w:fill="auto"/>
                  <w:vAlign w:val="center"/>
                </w:tcPr>
                <w:p w14:paraId="7954AF03"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Great Northern Telecommunications</w:t>
                  </w:r>
                </w:p>
              </w:tc>
              <w:tc>
                <w:tcPr>
                  <w:tcW w:w="1239" w:type="pct"/>
                  <w:shd w:val="clear" w:color="auto" w:fill="auto"/>
                  <w:vAlign w:val="center"/>
                </w:tcPr>
                <w:p w14:paraId="7954AF04"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13</w:t>
                  </w:r>
                </w:p>
              </w:tc>
            </w:tr>
            <w:tr w:rsidR="00F05DC7" w:rsidRPr="00A43A41" w14:paraId="7954AF08" w14:textId="77777777" w:rsidTr="00A3786D">
              <w:tc>
                <w:tcPr>
                  <w:tcW w:w="3761" w:type="pct"/>
                  <w:shd w:val="clear" w:color="auto" w:fill="auto"/>
                  <w:vAlign w:val="center"/>
                </w:tcPr>
                <w:p w14:paraId="7954AF06"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Griffith University</w:t>
                  </w:r>
                </w:p>
              </w:tc>
              <w:tc>
                <w:tcPr>
                  <w:tcW w:w="1239" w:type="pct"/>
                  <w:shd w:val="clear" w:color="auto" w:fill="auto"/>
                  <w:vAlign w:val="center"/>
                </w:tcPr>
                <w:p w14:paraId="7954AF07"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DR116</w:t>
                  </w:r>
                </w:p>
              </w:tc>
            </w:tr>
            <w:tr w:rsidR="00F05DC7" w:rsidRPr="00A43A41" w14:paraId="7954AF0B" w14:textId="77777777" w:rsidTr="00A3786D">
              <w:tc>
                <w:tcPr>
                  <w:tcW w:w="3761" w:type="pct"/>
                  <w:shd w:val="clear" w:color="auto" w:fill="auto"/>
                  <w:vAlign w:val="center"/>
                </w:tcPr>
                <w:p w14:paraId="7954AF09"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Institute of Public Affairs</w:t>
                  </w:r>
                </w:p>
              </w:tc>
              <w:tc>
                <w:tcPr>
                  <w:tcW w:w="1239" w:type="pct"/>
                  <w:shd w:val="clear" w:color="auto" w:fill="auto"/>
                  <w:vAlign w:val="center"/>
                </w:tcPr>
                <w:p w14:paraId="7954AF0A"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DR91</w:t>
                  </w:r>
                </w:p>
              </w:tc>
            </w:tr>
            <w:tr w:rsidR="00F05DC7" w:rsidRPr="00A43A41" w14:paraId="7954AF0E" w14:textId="77777777" w:rsidTr="00A3786D">
              <w:tc>
                <w:tcPr>
                  <w:tcW w:w="3761" w:type="pct"/>
                  <w:shd w:val="clear" w:color="auto" w:fill="auto"/>
                  <w:vAlign w:val="center"/>
                </w:tcPr>
                <w:p w14:paraId="7954AF0C"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 xml:space="preserve">Insurance Council of Australia </w:t>
                  </w:r>
                </w:p>
              </w:tc>
              <w:tc>
                <w:tcPr>
                  <w:tcW w:w="1239" w:type="pct"/>
                  <w:shd w:val="clear" w:color="auto" w:fill="auto"/>
                  <w:vAlign w:val="center"/>
                </w:tcPr>
                <w:p w14:paraId="7954AF0D"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DR70</w:t>
                  </w:r>
                </w:p>
              </w:tc>
            </w:tr>
            <w:tr w:rsidR="00F05DC7" w:rsidRPr="00A43A41" w14:paraId="7954AF11" w14:textId="77777777" w:rsidTr="00A3786D">
              <w:tc>
                <w:tcPr>
                  <w:tcW w:w="3761" w:type="pct"/>
                  <w:shd w:val="clear" w:color="auto" w:fill="auto"/>
                  <w:vAlign w:val="center"/>
                </w:tcPr>
                <w:p w14:paraId="7954AF0F"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Jack Priestley</w:t>
                  </w:r>
                </w:p>
              </w:tc>
              <w:tc>
                <w:tcPr>
                  <w:tcW w:w="1239" w:type="pct"/>
                  <w:shd w:val="clear" w:color="auto" w:fill="auto"/>
                  <w:vAlign w:val="center"/>
                </w:tcPr>
                <w:p w14:paraId="7954AF10"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DR59</w:t>
                  </w:r>
                </w:p>
              </w:tc>
            </w:tr>
            <w:tr w:rsidR="00F05DC7" w:rsidRPr="00A43A41" w14:paraId="7954AF14" w14:textId="77777777" w:rsidTr="00A3786D">
              <w:tc>
                <w:tcPr>
                  <w:tcW w:w="3761" w:type="pct"/>
                  <w:shd w:val="clear" w:color="auto" w:fill="auto"/>
                  <w:vAlign w:val="center"/>
                </w:tcPr>
                <w:p w14:paraId="7954AF12"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James McDonald</w:t>
                  </w:r>
                </w:p>
              </w:tc>
              <w:tc>
                <w:tcPr>
                  <w:tcW w:w="1239" w:type="pct"/>
                  <w:shd w:val="clear" w:color="auto" w:fill="auto"/>
                  <w:vAlign w:val="center"/>
                </w:tcPr>
                <w:p w14:paraId="7954AF13"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16</w:t>
                  </w:r>
                </w:p>
              </w:tc>
            </w:tr>
            <w:tr w:rsidR="00F05DC7" w:rsidRPr="00A43A41" w14:paraId="7954AF17" w14:textId="77777777" w:rsidTr="00A3786D">
              <w:tc>
                <w:tcPr>
                  <w:tcW w:w="3761" w:type="pct"/>
                  <w:shd w:val="clear" w:color="auto" w:fill="auto"/>
                  <w:vAlign w:val="center"/>
                </w:tcPr>
                <w:p w14:paraId="7954AF15"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Janine Harding</w:t>
                  </w:r>
                </w:p>
              </w:tc>
              <w:tc>
                <w:tcPr>
                  <w:tcW w:w="1239" w:type="pct"/>
                  <w:shd w:val="clear" w:color="auto" w:fill="auto"/>
                  <w:vAlign w:val="center"/>
                </w:tcPr>
                <w:p w14:paraId="7954AF16"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19</w:t>
                  </w:r>
                </w:p>
              </w:tc>
            </w:tr>
            <w:tr w:rsidR="00F05DC7" w:rsidRPr="00A43A41" w14:paraId="7954AF1A" w14:textId="77777777" w:rsidTr="00A3786D">
              <w:tc>
                <w:tcPr>
                  <w:tcW w:w="3761" w:type="pct"/>
                  <w:shd w:val="clear" w:color="auto" w:fill="auto"/>
                  <w:vAlign w:val="center"/>
                </w:tcPr>
                <w:p w14:paraId="7954AF18"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Jerome Fahrer</w:t>
                  </w:r>
                  <w:r>
                    <w:rPr>
                      <w:rFonts w:asciiTheme="minorHAnsi" w:hAnsiTheme="minorHAnsi" w:cstheme="minorHAnsi"/>
                      <w:color w:val="000000"/>
                      <w:sz w:val="18"/>
                      <w:szCs w:val="18"/>
                    </w:rPr>
                    <w:t xml:space="preserve"> </w:t>
                  </w:r>
                  <w:r w:rsidRPr="003C6C70">
                    <w:rPr>
                      <w:rFonts w:asciiTheme="minorHAnsi" w:hAnsiTheme="minorHAnsi" w:cstheme="minorHAnsi"/>
                      <w:color w:val="000000"/>
                      <w:sz w:val="18"/>
                      <w:szCs w:val="18"/>
                    </w:rPr>
                    <w:t>and Vince FitzGerald</w:t>
                  </w:r>
                </w:p>
              </w:tc>
              <w:tc>
                <w:tcPr>
                  <w:tcW w:w="1239" w:type="pct"/>
                  <w:shd w:val="clear" w:color="auto" w:fill="auto"/>
                  <w:vAlign w:val="center"/>
                </w:tcPr>
                <w:p w14:paraId="7954AF19"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DR102</w:t>
                  </w:r>
                </w:p>
              </w:tc>
            </w:tr>
            <w:tr w:rsidR="00F05DC7" w:rsidRPr="00A43A41" w14:paraId="7954AF1D" w14:textId="77777777" w:rsidTr="00A3786D">
              <w:tc>
                <w:tcPr>
                  <w:tcW w:w="3761" w:type="pct"/>
                  <w:shd w:val="clear" w:color="auto" w:fill="auto"/>
                  <w:vAlign w:val="center"/>
                </w:tcPr>
                <w:p w14:paraId="7954AF1B"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Jim Hancock</w:t>
                  </w:r>
                </w:p>
              </w:tc>
              <w:tc>
                <w:tcPr>
                  <w:tcW w:w="1239" w:type="pct"/>
                  <w:shd w:val="clear" w:color="auto" w:fill="auto"/>
                  <w:vAlign w:val="center"/>
                </w:tcPr>
                <w:p w14:paraId="7954AF1C"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54</w:t>
                  </w:r>
                </w:p>
              </w:tc>
            </w:tr>
            <w:tr w:rsidR="00F05DC7" w:rsidRPr="00A43A41" w14:paraId="7954AF20" w14:textId="77777777" w:rsidTr="00A3786D">
              <w:tc>
                <w:tcPr>
                  <w:tcW w:w="3761" w:type="pct"/>
                  <w:shd w:val="clear" w:color="auto" w:fill="auto"/>
                  <w:vAlign w:val="center"/>
                </w:tcPr>
                <w:p w14:paraId="7954AF1E"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John McAuley</w:t>
                  </w:r>
                </w:p>
              </w:tc>
              <w:tc>
                <w:tcPr>
                  <w:tcW w:w="1239" w:type="pct"/>
                  <w:shd w:val="clear" w:color="auto" w:fill="auto"/>
                  <w:vAlign w:val="center"/>
                </w:tcPr>
                <w:p w14:paraId="7954AF1F"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7, 50, DR58, DR112</w:t>
                  </w:r>
                </w:p>
              </w:tc>
            </w:tr>
            <w:tr w:rsidR="00F05DC7" w:rsidRPr="00A43A41" w14:paraId="7954AF23" w14:textId="77777777" w:rsidTr="00A3786D">
              <w:tc>
                <w:tcPr>
                  <w:tcW w:w="3761" w:type="pct"/>
                  <w:shd w:val="clear" w:color="auto" w:fill="auto"/>
                  <w:vAlign w:val="center"/>
                </w:tcPr>
                <w:p w14:paraId="7954AF21"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John Pitman</w:t>
                  </w:r>
                </w:p>
              </w:tc>
              <w:tc>
                <w:tcPr>
                  <w:tcW w:w="1239" w:type="pct"/>
                  <w:shd w:val="clear" w:color="auto" w:fill="auto"/>
                  <w:vAlign w:val="center"/>
                </w:tcPr>
                <w:p w14:paraId="7954AF22"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5</w:t>
                  </w:r>
                  <w:r>
                    <w:rPr>
                      <w:rFonts w:asciiTheme="minorHAnsi" w:hAnsiTheme="minorHAnsi" w:cstheme="minorHAnsi"/>
                      <w:sz w:val="18"/>
                      <w:szCs w:val="18"/>
                    </w:rPr>
                    <w:t xml:space="preserve">, </w:t>
                  </w:r>
                  <w:r w:rsidRPr="003C6C70">
                    <w:rPr>
                      <w:rFonts w:asciiTheme="minorHAnsi" w:hAnsiTheme="minorHAnsi" w:cstheme="minorHAnsi"/>
                      <w:color w:val="000000"/>
                      <w:sz w:val="18"/>
                      <w:szCs w:val="18"/>
                    </w:rPr>
                    <w:t>DR62</w:t>
                  </w:r>
                </w:p>
              </w:tc>
            </w:tr>
            <w:tr w:rsidR="00F05DC7" w:rsidRPr="00A43A41" w14:paraId="7954AF26" w14:textId="77777777" w:rsidTr="00A3786D">
              <w:tc>
                <w:tcPr>
                  <w:tcW w:w="3761" w:type="pct"/>
                  <w:shd w:val="clear" w:color="auto" w:fill="auto"/>
                  <w:vAlign w:val="center"/>
                </w:tcPr>
                <w:p w14:paraId="7954AF24"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color w:val="000000"/>
                      <w:sz w:val="18"/>
                      <w:szCs w:val="18"/>
                    </w:rPr>
                    <w:t xml:space="preserve">Jonathan Pincus </w:t>
                  </w:r>
                </w:p>
              </w:tc>
              <w:tc>
                <w:tcPr>
                  <w:tcW w:w="1239" w:type="pct"/>
                  <w:shd w:val="clear" w:color="auto" w:fill="auto"/>
                  <w:vAlign w:val="center"/>
                </w:tcPr>
                <w:p w14:paraId="7954AF25"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color w:val="000000"/>
                      <w:sz w:val="18"/>
                      <w:szCs w:val="18"/>
                    </w:rPr>
                    <w:t>DR96</w:t>
                  </w:r>
                </w:p>
              </w:tc>
            </w:tr>
            <w:tr w:rsidR="00F05DC7" w:rsidRPr="00A43A41" w14:paraId="7954AF29" w14:textId="77777777" w:rsidTr="00A3786D">
              <w:tc>
                <w:tcPr>
                  <w:tcW w:w="3761" w:type="pct"/>
                  <w:shd w:val="clear" w:color="auto" w:fill="auto"/>
                  <w:vAlign w:val="center"/>
                </w:tcPr>
                <w:p w14:paraId="7954AF27" w14:textId="77777777" w:rsidR="00F05DC7" w:rsidRPr="003C6C70"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Julie Matheson for Western Australia Party</w:t>
                  </w:r>
                </w:p>
              </w:tc>
              <w:tc>
                <w:tcPr>
                  <w:tcW w:w="1239" w:type="pct"/>
                  <w:shd w:val="clear" w:color="auto" w:fill="auto"/>
                  <w:vAlign w:val="center"/>
                </w:tcPr>
                <w:p w14:paraId="7954AF28" w14:textId="77777777" w:rsidR="00F05DC7" w:rsidRPr="003C6C70"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4</w:t>
                  </w:r>
                </w:p>
              </w:tc>
            </w:tr>
            <w:tr w:rsidR="00F05DC7" w:rsidRPr="00A43A41" w14:paraId="7954AF2C" w14:textId="77777777" w:rsidTr="00A3786D">
              <w:tc>
                <w:tcPr>
                  <w:tcW w:w="3761" w:type="pct"/>
                  <w:shd w:val="clear" w:color="auto" w:fill="auto"/>
                </w:tcPr>
                <w:p w14:paraId="7954AF2A" w14:textId="77777777" w:rsidR="00F05DC7" w:rsidRPr="00710C49"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Ken Clarke</w:t>
                  </w:r>
                </w:p>
              </w:tc>
              <w:tc>
                <w:tcPr>
                  <w:tcW w:w="1239" w:type="pct"/>
                  <w:shd w:val="clear" w:color="auto" w:fill="auto"/>
                </w:tcPr>
                <w:p w14:paraId="7954AF2B" w14:textId="77777777" w:rsidR="00F05DC7"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DR67</w:t>
                  </w:r>
                </w:p>
              </w:tc>
            </w:tr>
            <w:tr w:rsidR="00F05DC7" w:rsidRPr="00A43A41" w14:paraId="7954AF2F" w14:textId="77777777" w:rsidTr="00A3786D">
              <w:tc>
                <w:tcPr>
                  <w:tcW w:w="3761" w:type="pct"/>
                  <w:shd w:val="clear" w:color="auto" w:fill="auto"/>
                </w:tcPr>
                <w:p w14:paraId="7954AF2D" w14:textId="77777777" w:rsidR="00F05DC7" w:rsidRPr="00710C49"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Launceston Chamber of Commerce</w:t>
                  </w:r>
                </w:p>
              </w:tc>
              <w:tc>
                <w:tcPr>
                  <w:tcW w:w="1239" w:type="pct"/>
                  <w:shd w:val="clear" w:color="auto" w:fill="auto"/>
                </w:tcPr>
                <w:p w14:paraId="7954AF2E" w14:textId="77777777" w:rsidR="00F05DC7"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DR97</w:t>
                  </w:r>
                </w:p>
              </w:tc>
            </w:tr>
            <w:tr w:rsidR="00F05DC7" w:rsidRPr="00A43A41" w14:paraId="7954AF32" w14:textId="77777777" w:rsidTr="00753E2F">
              <w:tc>
                <w:tcPr>
                  <w:tcW w:w="3761" w:type="pct"/>
                  <w:shd w:val="clear" w:color="auto" w:fill="auto"/>
                </w:tcPr>
                <w:p w14:paraId="7954AF30" w14:textId="77777777" w:rsidR="00F05DC7" w:rsidRPr="00710C49" w:rsidRDefault="00F05DC7" w:rsidP="00A3786D">
                  <w:pPr>
                    <w:rPr>
                      <w:rFonts w:asciiTheme="minorHAnsi" w:hAnsiTheme="minorHAnsi" w:cstheme="minorHAnsi"/>
                      <w:sz w:val="18"/>
                      <w:szCs w:val="18"/>
                    </w:rPr>
                  </w:pPr>
                  <w:r w:rsidRPr="003C6C70">
                    <w:rPr>
                      <w:rFonts w:asciiTheme="minorHAnsi" w:hAnsiTheme="minorHAnsi" w:cstheme="minorHAnsi"/>
                      <w:sz w:val="18"/>
                      <w:szCs w:val="18"/>
                    </w:rPr>
                    <w:t>Local Government Association of Queensland</w:t>
                  </w:r>
                </w:p>
              </w:tc>
              <w:tc>
                <w:tcPr>
                  <w:tcW w:w="1239" w:type="pct"/>
                  <w:shd w:val="clear" w:color="auto" w:fill="auto"/>
                </w:tcPr>
                <w:p w14:paraId="7954AF31" w14:textId="77777777" w:rsidR="00F05DC7" w:rsidRDefault="00F05DC7" w:rsidP="00A3786D">
                  <w:pPr>
                    <w:jc w:val="right"/>
                    <w:rPr>
                      <w:rFonts w:asciiTheme="minorHAnsi" w:hAnsiTheme="minorHAnsi" w:cstheme="minorHAnsi"/>
                      <w:sz w:val="18"/>
                      <w:szCs w:val="18"/>
                    </w:rPr>
                  </w:pPr>
                  <w:r w:rsidRPr="003C6C70">
                    <w:rPr>
                      <w:rFonts w:asciiTheme="minorHAnsi" w:hAnsiTheme="minorHAnsi" w:cstheme="minorHAnsi"/>
                      <w:sz w:val="18"/>
                      <w:szCs w:val="18"/>
                    </w:rPr>
                    <w:t>DR121</w:t>
                  </w:r>
                </w:p>
              </w:tc>
            </w:tr>
            <w:tr w:rsidR="00F05DC7" w:rsidRPr="00A43A41" w14:paraId="7954AF35" w14:textId="77777777" w:rsidTr="00753E2F">
              <w:tc>
                <w:tcPr>
                  <w:tcW w:w="3761" w:type="pct"/>
                  <w:tcBorders>
                    <w:bottom w:val="single" w:sz="4" w:space="0" w:color="BFBFBF"/>
                  </w:tcBorders>
                  <w:shd w:val="clear" w:color="auto" w:fill="auto"/>
                </w:tcPr>
                <w:p w14:paraId="7954AF33" w14:textId="77777777" w:rsidR="00F05DC7" w:rsidRPr="00710C49" w:rsidRDefault="00F05DC7" w:rsidP="00A3786D">
                  <w:pPr>
                    <w:pStyle w:val="Continued"/>
                    <w:spacing w:after="40"/>
                  </w:pPr>
                </w:p>
              </w:tc>
              <w:tc>
                <w:tcPr>
                  <w:tcW w:w="1239" w:type="pct"/>
                  <w:tcBorders>
                    <w:bottom w:val="single" w:sz="4" w:space="0" w:color="BFBFBF"/>
                  </w:tcBorders>
                  <w:shd w:val="clear" w:color="auto" w:fill="auto"/>
                </w:tcPr>
                <w:p w14:paraId="7954AF34" w14:textId="77777777" w:rsidR="00F05DC7" w:rsidRDefault="00F05DC7" w:rsidP="00A3786D">
                  <w:pPr>
                    <w:pStyle w:val="Continued"/>
                    <w:spacing w:after="40"/>
                  </w:pPr>
                  <w:r>
                    <w:t>(continued next page)</w:t>
                  </w:r>
                </w:p>
              </w:tc>
            </w:tr>
          </w:tbl>
          <w:p w14:paraId="7954AF36" w14:textId="77777777" w:rsidR="00F05DC7" w:rsidRPr="004F5745" w:rsidRDefault="00F05DC7" w:rsidP="00A3786D">
            <w:pPr>
              <w:pStyle w:val="Box"/>
            </w:pPr>
          </w:p>
        </w:tc>
      </w:tr>
      <w:tr w:rsidR="00F05DC7" w:rsidRPr="004F5745" w14:paraId="7954AF39" w14:textId="77777777" w:rsidTr="00A3786D">
        <w:trPr>
          <w:cantSplit/>
        </w:trPr>
        <w:tc>
          <w:tcPr>
            <w:tcW w:w="5000" w:type="pct"/>
            <w:tcBorders>
              <w:top w:val="nil"/>
              <w:left w:val="nil"/>
              <w:bottom w:val="single" w:sz="6" w:space="0" w:color="78A22F"/>
              <w:right w:val="nil"/>
            </w:tcBorders>
            <w:shd w:val="clear" w:color="auto" w:fill="auto"/>
          </w:tcPr>
          <w:p w14:paraId="7954AF38" w14:textId="77777777" w:rsidR="00F05DC7" w:rsidRPr="004F5745" w:rsidRDefault="00F05DC7" w:rsidP="00A3786D">
            <w:pPr>
              <w:pStyle w:val="Box"/>
              <w:spacing w:before="0" w:line="120" w:lineRule="exact"/>
            </w:pPr>
          </w:p>
        </w:tc>
      </w:tr>
      <w:tr w:rsidR="00F05DC7" w:rsidRPr="004F5745" w14:paraId="7954AF3B" w14:textId="77777777" w:rsidTr="00A3786D">
        <w:tc>
          <w:tcPr>
            <w:tcW w:w="5000" w:type="pct"/>
            <w:tcBorders>
              <w:top w:val="single" w:sz="6" w:space="0" w:color="78A22F"/>
              <w:left w:val="nil"/>
              <w:bottom w:val="nil"/>
              <w:right w:val="nil"/>
            </w:tcBorders>
          </w:tcPr>
          <w:p w14:paraId="7954AF3A" w14:textId="77777777" w:rsidR="00F05DC7" w:rsidRPr="004F5745" w:rsidRDefault="00F05DC7" w:rsidP="00A3786D">
            <w:pPr>
              <w:pStyle w:val="BoxSpaceBelow"/>
            </w:pPr>
          </w:p>
        </w:tc>
      </w:tr>
    </w:tbl>
    <w:p w14:paraId="7954AF3C" w14:textId="77777777" w:rsidR="00F05DC7" w:rsidRDefault="00F05DC7" w:rsidP="00A3786D">
      <w:pPr>
        <w:pStyle w:val="BoxSpaceAbove"/>
        <w:jc w:val="righ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05DC7" w14:paraId="7954AF3E" w14:textId="77777777" w:rsidTr="001113B1">
        <w:trPr>
          <w:tblHeader/>
        </w:trPr>
        <w:tc>
          <w:tcPr>
            <w:tcW w:w="5000" w:type="pct"/>
            <w:tcBorders>
              <w:top w:val="single" w:sz="6" w:space="0" w:color="78A22F"/>
              <w:left w:val="nil"/>
              <w:bottom w:val="nil"/>
              <w:right w:val="nil"/>
            </w:tcBorders>
            <w:shd w:val="clear" w:color="auto" w:fill="auto"/>
          </w:tcPr>
          <w:p w14:paraId="7954AF3D" w14:textId="50F163FE" w:rsidR="00F05DC7" w:rsidRPr="00784A05" w:rsidRDefault="00F05DC7" w:rsidP="00A3786D">
            <w:pPr>
              <w:pStyle w:val="TableTitle"/>
              <w:spacing w:after="0"/>
            </w:pPr>
            <w:r>
              <w:rPr>
                <w:b w:val="0"/>
              </w:rPr>
              <w:t>Table A.</w:t>
            </w:r>
            <w:r>
              <w:rPr>
                <w:b w:val="0"/>
                <w:noProof/>
              </w:rPr>
              <w:t>1</w:t>
            </w:r>
            <w:r>
              <w:tab/>
            </w:r>
            <w:r w:rsidRPr="00854477">
              <w:rPr>
                <w:b w:val="0"/>
                <w:sz w:val="18"/>
              </w:rPr>
              <w:t>(continued)</w:t>
            </w:r>
          </w:p>
        </w:tc>
      </w:tr>
      <w:tr w:rsidR="00F05DC7" w:rsidRPr="004F5745" w14:paraId="7954AFC7" w14:textId="77777777" w:rsidTr="00A3786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97"/>
              <w:gridCol w:w="2108"/>
            </w:tblGrid>
            <w:tr w:rsidR="00F05DC7" w:rsidRPr="004F5745" w14:paraId="7954AF41" w14:textId="77777777" w:rsidTr="001113B1">
              <w:trPr>
                <w:tblHeader/>
              </w:trPr>
              <w:tc>
                <w:tcPr>
                  <w:tcW w:w="3761"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7954AF3F" w14:textId="77777777" w:rsidR="00F05DC7" w:rsidRPr="004F5745" w:rsidRDefault="00F05DC7" w:rsidP="00A3786D">
                  <w:pPr>
                    <w:pStyle w:val="TableColumnHeading"/>
                    <w:jc w:val="left"/>
                  </w:pPr>
                  <w:r>
                    <w:rPr>
                      <w:rFonts w:ascii="Times New Roman" w:hAnsi="Times New Roman"/>
                      <w:i w:val="0"/>
                      <w:sz w:val="24"/>
                      <w:szCs w:val="24"/>
                    </w:rPr>
                    <w:br w:type="page"/>
                  </w:r>
                  <w:r>
                    <w:rPr>
                      <w:rFonts w:ascii="Times New Roman" w:hAnsi="Times New Roman"/>
                      <w:i w:val="0"/>
                      <w:sz w:val="24"/>
                      <w:szCs w:val="24"/>
                    </w:rPr>
                    <w:br w:type="page"/>
                  </w:r>
                  <w:r>
                    <w:t>Participant</w:t>
                  </w:r>
                </w:p>
              </w:tc>
              <w:tc>
                <w:tcPr>
                  <w:tcW w:w="1239"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7954AF40" w14:textId="77777777" w:rsidR="00F05DC7" w:rsidRPr="004F5745" w:rsidRDefault="00F05DC7" w:rsidP="00A3786D">
                  <w:pPr>
                    <w:pStyle w:val="TableColumnHeading"/>
                    <w:ind w:right="28"/>
                  </w:pPr>
                  <w:r w:rsidRPr="004F5745">
                    <w:t>Submission number</w:t>
                  </w:r>
                </w:p>
              </w:tc>
            </w:tr>
            <w:tr w:rsidR="00F05DC7" w:rsidRPr="00A43A41" w14:paraId="7954AF44" w14:textId="77777777" w:rsidTr="00A3786D">
              <w:tc>
                <w:tcPr>
                  <w:tcW w:w="3761" w:type="pct"/>
                  <w:shd w:val="clear" w:color="auto" w:fill="auto"/>
                </w:tcPr>
                <w:p w14:paraId="7954AF42" w14:textId="77777777" w:rsidR="00F05DC7" w:rsidRPr="003C6C70" w:rsidRDefault="00F05DC7" w:rsidP="004F6C34">
                  <w:pPr>
                    <w:spacing w:before="80"/>
                    <w:rPr>
                      <w:rFonts w:asciiTheme="minorHAnsi" w:hAnsiTheme="minorHAnsi" w:cstheme="minorHAnsi"/>
                      <w:sz w:val="18"/>
                      <w:szCs w:val="18"/>
                    </w:rPr>
                  </w:pPr>
                  <w:r w:rsidRPr="00CA132D">
                    <w:rPr>
                      <w:rFonts w:asciiTheme="minorHAnsi" w:hAnsiTheme="minorHAnsi" w:cstheme="minorHAnsi"/>
                      <w:sz w:val="18"/>
                      <w:szCs w:val="18"/>
                    </w:rPr>
                    <w:t>Lock the Gate Alliance</w:t>
                  </w:r>
                </w:p>
              </w:tc>
              <w:tc>
                <w:tcPr>
                  <w:tcW w:w="1239" w:type="pct"/>
                  <w:shd w:val="clear" w:color="auto" w:fill="auto"/>
                </w:tcPr>
                <w:p w14:paraId="7954AF43" w14:textId="77777777" w:rsidR="00F05DC7" w:rsidRPr="003C6C70" w:rsidRDefault="00F05DC7" w:rsidP="004F6C34">
                  <w:pPr>
                    <w:spacing w:before="80"/>
                    <w:jc w:val="right"/>
                    <w:rPr>
                      <w:rFonts w:asciiTheme="minorHAnsi" w:hAnsiTheme="minorHAnsi" w:cstheme="minorHAnsi"/>
                      <w:sz w:val="18"/>
                      <w:szCs w:val="18"/>
                    </w:rPr>
                  </w:pPr>
                  <w:r w:rsidRPr="00CA132D">
                    <w:rPr>
                      <w:rFonts w:asciiTheme="minorHAnsi" w:hAnsiTheme="minorHAnsi" w:cstheme="minorHAnsi"/>
                      <w:sz w:val="18"/>
                      <w:szCs w:val="18"/>
                    </w:rPr>
                    <w:t>20</w:t>
                  </w:r>
                </w:p>
              </w:tc>
            </w:tr>
            <w:tr w:rsidR="00F05DC7" w:rsidRPr="00A43A41" w14:paraId="7954AF47" w14:textId="77777777" w:rsidTr="00A3786D">
              <w:tc>
                <w:tcPr>
                  <w:tcW w:w="3761" w:type="pct"/>
                  <w:shd w:val="clear" w:color="auto" w:fill="auto"/>
                </w:tcPr>
                <w:p w14:paraId="7954AF45" w14:textId="77777777" w:rsidR="00F05DC7" w:rsidRPr="003C6C70" w:rsidRDefault="00F05DC7" w:rsidP="00A3786D">
                  <w:pPr>
                    <w:rPr>
                      <w:rFonts w:asciiTheme="minorHAnsi" w:hAnsiTheme="minorHAnsi" w:cstheme="minorHAnsi"/>
                      <w:sz w:val="18"/>
                      <w:szCs w:val="18"/>
                    </w:rPr>
                  </w:pPr>
                  <w:r w:rsidRPr="00CA132D">
                    <w:rPr>
                      <w:rFonts w:asciiTheme="minorHAnsi" w:hAnsiTheme="minorHAnsi" w:cstheme="minorHAnsi"/>
                      <w:sz w:val="18"/>
                      <w:szCs w:val="18"/>
                    </w:rPr>
                    <w:t>Master Builders NT</w:t>
                  </w:r>
                </w:p>
              </w:tc>
              <w:tc>
                <w:tcPr>
                  <w:tcW w:w="1239" w:type="pct"/>
                  <w:shd w:val="clear" w:color="auto" w:fill="auto"/>
                </w:tcPr>
                <w:p w14:paraId="7954AF46" w14:textId="77777777" w:rsidR="00F05DC7" w:rsidRPr="003C6C70" w:rsidRDefault="00F05DC7" w:rsidP="00A3786D">
                  <w:pPr>
                    <w:jc w:val="right"/>
                    <w:rPr>
                      <w:rFonts w:asciiTheme="minorHAnsi" w:hAnsiTheme="minorHAnsi" w:cstheme="minorHAnsi"/>
                      <w:sz w:val="18"/>
                      <w:szCs w:val="18"/>
                    </w:rPr>
                  </w:pPr>
                  <w:r w:rsidRPr="00CA132D">
                    <w:rPr>
                      <w:rFonts w:asciiTheme="minorHAnsi" w:hAnsiTheme="minorHAnsi" w:cstheme="minorHAnsi"/>
                      <w:sz w:val="18"/>
                      <w:szCs w:val="18"/>
                    </w:rPr>
                    <w:t>DR99</w:t>
                  </w:r>
                </w:p>
              </w:tc>
            </w:tr>
            <w:tr w:rsidR="00F05DC7" w:rsidRPr="00A43A41" w14:paraId="7954AF4A" w14:textId="77777777" w:rsidTr="00A3786D">
              <w:tc>
                <w:tcPr>
                  <w:tcW w:w="3761" w:type="pct"/>
                  <w:shd w:val="clear" w:color="auto" w:fill="auto"/>
                </w:tcPr>
                <w:p w14:paraId="7954AF48" w14:textId="77777777" w:rsidR="00F05DC7" w:rsidRPr="003C6C70" w:rsidRDefault="00F05DC7" w:rsidP="00A3786D">
                  <w:pPr>
                    <w:rPr>
                      <w:rFonts w:asciiTheme="minorHAnsi" w:hAnsiTheme="minorHAnsi" w:cstheme="minorHAnsi"/>
                      <w:sz w:val="18"/>
                      <w:szCs w:val="18"/>
                    </w:rPr>
                  </w:pPr>
                  <w:r w:rsidRPr="00CA132D">
                    <w:rPr>
                      <w:rFonts w:asciiTheme="minorHAnsi" w:hAnsiTheme="minorHAnsi" w:cstheme="minorHAnsi"/>
                      <w:sz w:val="18"/>
                      <w:szCs w:val="18"/>
                    </w:rPr>
                    <w:t>Michael Chaney, Andrew Forrest, John Poynton and Nigel Satterley</w:t>
                  </w:r>
                </w:p>
              </w:tc>
              <w:tc>
                <w:tcPr>
                  <w:tcW w:w="1239" w:type="pct"/>
                  <w:shd w:val="clear" w:color="auto" w:fill="auto"/>
                </w:tcPr>
                <w:p w14:paraId="7954AF49" w14:textId="77777777" w:rsidR="00F05DC7" w:rsidRPr="003C6C70" w:rsidRDefault="00F05DC7" w:rsidP="00A3786D">
                  <w:pPr>
                    <w:jc w:val="right"/>
                    <w:rPr>
                      <w:rFonts w:asciiTheme="minorHAnsi" w:hAnsiTheme="minorHAnsi" w:cstheme="minorHAnsi"/>
                      <w:sz w:val="18"/>
                      <w:szCs w:val="18"/>
                    </w:rPr>
                  </w:pPr>
                  <w:r w:rsidRPr="00CA132D">
                    <w:rPr>
                      <w:rFonts w:asciiTheme="minorHAnsi" w:hAnsiTheme="minorHAnsi" w:cstheme="minorHAnsi"/>
                      <w:sz w:val="18"/>
                      <w:szCs w:val="18"/>
                    </w:rPr>
                    <w:t>41</w:t>
                  </w:r>
                </w:p>
              </w:tc>
            </w:tr>
            <w:tr w:rsidR="00F05DC7" w:rsidRPr="00A43A41" w14:paraId="7954AF4D" w14:textId="77777777" w:rsidTr="00A3786D">
              <w:tc>
                <w:tcPr>
                  <w:tcW w:w="3761" w:type="pct"/>
                  <w:shd w:val="clear" w:color="auto" w:fill="auto"/>
                </w:tcPr>
                <w:p w14:paraId="7954AF4B" w14:textId="77777777" w:rsidR="00F05DC7" w:rsidRPr="003C6C70" w:rsidRDefault="00F05DC7" w:rsidP="00A3786D">
                  <w:pPr>
                    <w:rPr>
                      <w:rFonts w:asciiTheme="minorHAnsi" w:hAnsiTheme="minorHAnsi" w:cstheme="minorHAnsi"/>
                      <w:sz w:val="18"/>
                      <w:szCs w:val="18"/>
                    </w:rPr>
                  </w:pPr>
                  <w:r w:rsidRPr="00CA132D">
                    <w:rPr>
                      <w:rFonts w:asciiTheme="minorHAnsi" w:hAnsiTheme="minorHAnsi" w:cstheme="minorHAnsi"/>
                      <w:sz w:val="18"/>
                      <w:szCs w:val="18"/>
                    </w:rPr>
                    <w:t xml:space="preserve">Michael Dillon </w:t>
                  </w:r>
                </w:p>
              </w:tc>
              <w:tc>
                <w:tcPr>
                  <w:tcW w:w="1239" w:type="pct"/>
                  <w:shd w:val="clear" w:color="auto" w:fill="auto"/>
                </w:tcPr>
                <w:p w14:paraId="7954AF4C" w14:textId="77777777" w:rsidR="00F05DC7" w:rsidRPr="003C6C70" w:rsidRDefault="00F05DC7" w:rsidP="00A3786D">
                  <w:pPr>
                    <w:jc w:val="right"/>
                    <w:rPr>
                      <w:rFonts w:asciiTheme="minorHAnsi" w:hAnsiTheme="minorHAnsi" w:cstheme="minorHAnsi"/>
                      <w:sz w:val="18"/>
                      <w:szCs w:val="18"/>
                    </w:rPr>
                  </w:pPr>
                  <w:r w:rsidRPr="00CA132D">
                    <w:rPr>
                      <w:rFonts w:asciiTheme="minorHAnsi" w:hAnsiTheme="minorHAnsi" w:cstheme="minorHAnsi"/>
                      <w:sz w:val="18"/>
                      <w:szCs w:val="18"/>
                    </w:rPr>
                    <w:t>DR68</w:t>
                  </w:r>
                </w:p>
              </w:tc>
            </w:tr>
            <w:tr w:rsidR="00F05DC7" w:rsidRPr="00A43A41" w14:paraId="7954AF50" w14:textId="77777777" w:rsidTr="00A3786D">
              <w:tc>
                <w:tcPr>
                  <w:tcW w:w="3761" w:type="pct"/>
                  <w:shd w:val="clear" w:color="auto" w:fill="auto"/>
                </w:tcPr>
                <w:p w14:paraId="7954AF4E" w14:textId="77777777" w:rsidR="00F05DC7" w:rsidRPr="003C6C70" w:rsidRDefault="00F05DC7" w:rsidP="00A3786D">
                  <w:pPr>
                    <w:rPr>
                      <w:rFonts w:asciiTheme="minorHAnsi" w:hAnsiTheme="minorHAnsi" w:cstheme="minorHAnsi"/>
                      <w:sz w:val="18"/>
                      <w:szCs w:val="18"/>
                    </w:rPr>
                  </w:pPr>
                  <w:r w:rsidRPr="00CA132D">
                    <w:rPr>
                      <w:rFonts w:asciiTheme="minorHAnsi" w:hAnsiTheme="minorHAnsi" w:cstheme="minorHAnsi"/>
                      <w:sz w:val="18"/>
                      <w:szCs w:val="18"/>
                    </w:rPr>
                    <w:t>Minerals Council of Australia (MCA)</w:t>
                  </w:r>
                </w:p>
              </w:tc>
              <w:tc>
                <w:tcPr>
                  <w:tcW w:w="1239" w:type="pct"/>
                  <w:shd w:val="clear" w:color="auto" w:fill="auto"/>
                </w:tcPr>
                <w:p w14:paraId="7954AF4F" w14:textId="77777777" w:rsidR="00F05DC7" w:rsidRPr="003C6C70" w:rsidRDefault="00F05DC7" w:rsidP="00A3786D">
                  <w:pPr>
                    <w:jc w:val="right"/>
                    <w:rPr>
                      <w:rFonts w:asciiTheme="minorHAnsi" w:hAnsiTheme="minorHAnsi" w:cstheme="minorHAnsi"/>
                      <w:sz w:val="18"/>
                      <w:szCs w:val="18"/>
                    </w:rPr>
                  </w:pPr>
                  <w:r w:rsidRPr="00CA132D">
                    <w:rPr>
                      <w:rFonts w:asciiTheme="minorHAnsi" w:hAnsiTheme="minorHAnsi" w:cstheme="minorHAnsi"/>
                      <w:sz w:val="18"/>
                      <w:szCs w:val="18"/>
                    </w:rPr>
                    <w:t>34, 48, DR82</w:t>
                  </w:r>
                </w:p>
              </w:tc>
            </w:tr>
            <w:tr w:rsidR="00F05DC7" w:rsidRPr="00A43A41" w14:paraId="7954AF53" w14:textId="77777777" w:rsidTr="00A3786D">
              <w:tc>
                <w:tcPr>
                  <w:tcW w:w="3761" w:type="pct"/>
                  <w:shd w:val="clear" w:color="auto" w:fill="auto"/>
                </w:tcPr>
                <w:p w14:paraId="7954AF51" w14:textId="77777777" w:rsidR="00F05DC7" w:rsidRPr="003C6C70" w:rsidRDefault="00F05DC7" w:rsidP="00A3786D">
                  <w:pPr>
                    <w:rPr>
                      <w:rFonts w:asciiTheme="minorHAnsi" w:hAnsiTheme="minorHAnsi" w:cstheme="minorHAnsi"/>
                      <w:sz w:val="18"/>
                      <w:szCs w:val="18"/>
                    </w:rPr>
                  </w:pPr>
                  <w:r w:rsidRPr="00CA132D">
                    <w:rPr>
                      <w:rFonts w:asciiTheme="minorHAnsi" w:hAnsiTheme="minorHAnsi" w:cstheme="minorHAnsi"/>
                      <w:sz w:val="18"/>
                      <w:szCs w:val="18"/>
                    </w:rPr>
                    <w:t>Neil Warren</w:t>
                  </w:r>
                </w:p>
              </w:tc>
              <w:tc>
                <w:tcPr>
                  <w:tcW w:w="1239" w:type="pct"/>
                  <w:shd w:val="clear" w:color="auto" w:fill="auto"/>
                </w:tcPr>
                <w:p w14:paraId="7954AF52" w14:textId="77777777" w:rsidR="00F05DC7" w:rsidRPr="003C6C70" w:rsidRDefault="00F05DC7" w:rsidP="00A3786D">
                  <w:pPr>
                    <w:jc w:val="right"/>
                    <w:rPr>
                      <w:rFonts w:asciiTheme="minorHAnsi" w:hAnsiTheme="minorHAnsi" w:cstheme="minorHAnsi"/>
                      <w:sz w:val="18"/>
                      <w:szCs w:val="18"/>
                    </w:rPr>
                  </w:pPr>
                  <w:r w:rsidRPr="00CA132D">
                    <w:rPr>
                      <w:rFonts w:asciiTheme="minorHAnsi" w:hAnsiTheme="minorHAnsi" w:cstheme="minorHAnsi"/>
                      <w:sz w:val="18"/>
                      <w:szCs w:val="18"/>
                    </w:rPr>
                    <w:t>38</w:t>
                  </w:r>
                </w:p>
              </w:tc>
            </w:tr>
            <w:tr w:rsidR="00F05DC7" w:rsidRPr="00A43A41" w14:paraId="7954AF56" w14:textId="77777777" w:rsidTr="00A3786D">
              <w:tc>
                <w:tcPr>
                  <w:tcW w:w="3761" w:type="pct"/>
                  <w:shd w:val="clear" w:color="auto" w:fill="auto"/>
                  <w:vAlign w:val="center"/>
                </w:tcPr>
                <w:p w14:paraId="7954AF54" w14:textId="77777777" w:rsidR="00F05DC7" w:rsidRPr="007E5C38" w:rsidRDefault="00F05DC7" w:rsidP="00A3786D">
                  <w:pPr>
                    <w:rPr>
                      <w:rFonts w:asciiTheme="minorHAnsi" w:hAnsiTheme="minorHAnsi" w:cstheme="minorHAnsi"/>
                      <w:sz w:val="18"/>
                      <w:szCs w:val="18"/>
                    </w:rPr>
                  </w:pPr>
                  <w:r w:rsidRPr="007E5C38">
                    <w:rPr>
                      <w:rFonts w:asciiTheme="minorHAnsi" w:hAnsiTheme="minorHAnsi" w:cstheme="minorHAnsi"/>
                      <w:color w:val="000000"/>
                      <w:sz w:val="18"/>
                      <w:szCs w:val="18"/>
                    </w:rPr>
                    <w:t>Northern Territory Government</w:t>
                  </w:r>
                </w:p>
              </w:tc>
              <w:tc>
                <w:tcPr>
                  <w:tcW w:w="1239" w:type="pct"/>
                  <w:shd w:val="clear" w:color="auto" w:fill="auto"/>
                  <w:vAlign w:val="center"/>
                </w:tcPr>
                <w:p w14:paraId="7954AF55" w14:textId="77777777" w:rsidR="00F05DC7" w:rsidRPr="007E5C38" w:rsidRDefault="00F05DC7" w:rsidP="00A3786D">
                  <w:pPr>
                    <w:jc w:val="right"/>
                    <w:rPr>
                      <w:rFonts w:asciiTheme="minorHAnsi" w:hAnsiTheme="minorHAnsi" w:cstheme="minorHAnsi"/>
                      <w:sz w:val="18"/>
                      <w:szCs w:val="18"/>
                    </w:rPr>
                  </w:pPr>
                  <w:r w:rsidRPr="007E5C38">
                    <w:rPr>
                      <w:rFonts w:asciiTheme="minorHAnsi" w:hAnsiTheme="minorHAnsi" w:cstheme="minorHAnsi"/>
                      <w:color w:val="000000"/>
                      <w:sz w:val="18"/>
                      <w:szCs w:val="18"/>
                    </w:rPr>
                    <w:t>51, DR69</w:t>
                  </w:r>
                </w:p>
              </w:tc>
            </w:tr>
            <w:tr w:rsidR="00F05DC7" w:rsidRPr="00A43A41" w14:paraId="7954AF59" w14:textId="77777777" w:rsidTr="00A3786D">
              <w:tc>
                <w:tcPr>
                  <w:tcW w:w="3761" w:type="pct"/>
                  <w:shd w:val="clear" w:color="auto" w:fill="auto"/>
                  <w:vAlign w:val="center"/>
                </w:tcPr>
                <w:p w14:paraId="7954AF57" w14:textId="77777777" w:rsidR="00F05DC7" w:rsidRPr="007E5C38" w:rsidRDefault="00F05DC7" w:rsidP="00A3786D">
                  <w:pPr>
                    <w:rPr>
                      <w:rFonts w:asciiTheme="minorHAnsi" w:hAnsiTheme="minorHAnsi" w:cstheme="minorHAnsi"/>
                      <w:sz w:val="18"/>
                      <w:szCs w:val="18"/>
                    </w:rPr>
                  </w:pPr>
                  <w:r w:rsidRPr="007E5C38">
                    <w:rPr>
                      <w:rFonts w:asciiTheme="minorHAnsi" w:hAnsiTheme="minorHAnsi" w:cstheme="minorHAnsi"/>
                      <w:sz w:val="18"/>
                      <w:szCs w:val="18"/>
                    </w:rPr>
                    <w:t>Northern Territory Opposition</w:t>
                  </w:r>
                </w:p>
              </w:tc>
              <w:tc>
                <w:tcPr>
                  <w:tcW w:w="1239" w:type="pct"/>
                  <w:shd w:val="clear" w:color="auto" w:fill="auto"/>
                  <w:vAlign w:val="center"/>
                </w:tcPr>
                <w:p w14:paraId="7954AF58" w14:textId="77777777" w:rsidR="00F05DC7" w:rsidRPr="007E5C38" w:rsidRDefault="00F05DC7" w:rsidP="00A3786D">
                  <w:pPr>
                    <w:jc w:val="right"/>
                    <w:rPr>
                      <w:rFonts w:asciiTheme="minorHAnsi" w:hAnsiTheme="minorHAnsi" w:cstheme="minorHAnsi"/>
                      <w:sz w:val="18"/>
                      <w:szCs w:val="18"/>
                    </w:rPr>
                  </w:pPr>
                  <w:r w:rsidRPr="007E5C38">
                    <w:rPr>
                      <w:rFonts w:asciiTheme="minorHAnsi" w:hAnsiTheme="minorHAnsi" w:cstheme="minorHAnsi"/>
                      <w:sz w:val="18"/>
                      <w:szCs w:val="18"/>
                    </w:rPr>
                    <w:t>31, DR78</w:t>
                  </w:r>
                </w:p>
              </w:tc>
            </w:tr>
            <w:tr w:rsidR="00F05DC7" w:rsidRPr="00A43A41" w14:paraId="7954AF5C" w14:textId="77777777" w:rsidTr="00A3786D">
              <w:tc>
                <w:tcPr>
                  <w:tcW w:w="3761" w:type="pct"/>
                  <w:shd w:val="clear" w:color="auto" w:fill="auto"/>
                  <w:vAlign w:val="center"/>
                </w:tcPr>
                <w:p w14:paraId="7954AF5A" w14:textId="77777777" w:rsidR="00F05DC7" w:rsidRPr="007E5C38" w:rsidRDefault="00F05DC7" w:rsidP="00A3786D">
                  <w:pPr>
                    <w:rPr>
                      <w:rFonts w:asciiTheme="minorHAnsi" w:hAnsiTheme="minorHAnsi" w:cstheme="minorHAnsi"/>
                      <w:sz w:val="18"/>
                      <w:szCs w:val="18"/>
                    </w:rPr>
                  </w:pPr>
                  <w:r w:rsidRPr="007E5C38">
                    <w:rPr>
                      <w:rFonts w:asciiTheme="minorHAnsi" w:hAnsiTheme="minorHAnsi" w:cstheme="minorHAnsi"/>
                      <w:color w:val="000000"/>
                      <w:sz w:val="18"/>
                      <w:szCs w:val="18"/>
                    </w:rPr>
                    <w:t>NSW Business Chamber (NSWBC)</w:t>
                  </w:r>
                </w:p>
              </w:tc>
              <w:tc>
                <w:tcPr>
                  <w:tcW w:w="1239" w:type="pct"/>
                  <w:shd w:val="clear" w:color="auto" w:fill="auto"/>
                  <w:vAlign w:val="center"/>
                </w:tcPr>
                <w:p w14:paraId="7954AF5B" w14:textId="77777777" w:rsidR="00F05DC7" w:rsidRPr="007E5C38" w:rsidRDefault="00F05DC7" w:rsidP="00A3786D">
                  <w:pPr>
                    <w:jc w:val="right"/>
                    <w:rPr>
                      <w:rFonts w:asciiTheme="minorHAnsi" w:hAnsiTheme="minorHAnsi" w:cstheme="minorHAnsi"/>
                      <w:sz w:val="18"/>
                      <w:szCs w:val="18"/>
                    </w:rPr>
                  </w:pPr>
                  <w:r w:rsidRPr="007E5C38">
                    <w:rPr>
                      <w:rFonts w:asciiTheme="minorHAnsi" w:hAnsiTheme="minorHAnsi" w:cstheme="minorHAnsi"/>
                      <w:color w:val="000000"/>
                      <w:sz w:val="18"/>
                      <w:szCs w:val="18"/>
                    </w:rPr>
                    <w:t>27, DR85</w:t>
                  </w:r>
                </w:p>
              </w:tc>
            </w:tr>
            <w:tr w:rsidR="00F05DC7" w:rsidRPr="00A43A41" w14:paraId="7954AF5F" w14:textId="77777777" w:rsidTr="00A3786D">
              <w:tc>
                <w:tcPr>
                  <w:tcW w:w="3761" w:type="pct"/>
                  <w:shd w:val="clear" w:color="auto" w:fill="auto"/>
                  <w:vAlign w:val="center"/>
                </w:tcPr>
                <w:p w14:paraId="7954AF5D" w14:textId="77777777" w:rsidR="00F05DC7" w:rsidRPr="007E5C38" w:rsidRDefault="00F05DC7" w:rsidP="00A3786D">
                  <w:pPr>
                    <w:rPr>
                      <w:rFonts w:asciiTheme="minorHAnsi" w:hAnsiTheme="minorHAnsi" w:cstheme="minorHAnsi"/>
                      <w:color w:val="000000" w:themeColor="text1"/>
                      <w:sz w:val="18"/>
                      <w:szCs w:val="18"/>
                    </w:rPr>
                  </w:pPr>
                  <w:r w:rsidRPr="007E5C38">
                    <w:rPr>
                      <w:rFonts w:asciiTheme="minorHAnsi" w:hAnsiTheme="minorHAnsi" w:cstheme="minorHAnsi"/>
                      <w:sz w:val="18"/>
                      <w:szCs w:val="18"/>
                    </w:rPr>
                    <w:t>NSW Government</w:t>
                  </w:r>
                </w:p>
              </w:tc>
              <w:tc>
                <w:tcPr>
                  <w:tcW w:w="1239" w:type="pct"/>
                  <w:shd w:val="clear" w:color="auto" w:fill="auto"/>
                  <w:vAlign w:val="center"/>
                </w:tcPr>
                <w:p w14:paraId="7954AF5E" w14:textId="77777777" w:rsidR="00F05DC7" w:rsidRPr="007E5C38" w:rsidRDefault="00F05DC7" w:rsidP="00A3786D">
                  <w:pPr>
                    <w:jc w:val="right"/>
                    <w:rPr>
                      <w:rFonts w:asciiTheme="minorHAnsi" w:hAnsiTheme="minorHAnsi" w:cstheme="minorHAnsi"/>
                      <w:color w:val="000000" w:themeColor="text1"/>
                      <w:sz w:val="18"/>
                      <w:szCs w:val="18"/>
                    </w:rPr>
                  </w:pPr>
                  <w:r w:rsidRPr="007E5C38">
                    <w:rPr>
                      <w:rFonts w:asciiTheme="minorHAnsi" w:hAnsiTheme="minorHAnsi" w:cstheme="minorHAnsi"/>
                      <w:sz w:val="18"/>
                      <w:szCs w:val="18"/>
                    </w:rPr>
                    <w:t>52, DR109</w:t>
                  </w:r>
                </w:p>
              </w:tc>
            </w:tr>
            <w:tr w:rsidR="00F05DC7" w:rsidRPr="00A43A41" w14:paraId="7954AF62" w14:textId="77777777" w:rsidTr="00A3786D">
              <w:tc>
                <w:tcPr>
                  <w:tcW w:w="3761" w:type="pct"/>
                  <w:shd w:val="clear" w:color="auto" w:fill="auto"/>
                  <w:vAlign w:val="center"/>
                </w:tcPr>
                <w:p w14:paraId="7954AF60" w14:textId="77777777" w:rsidR="00F05DC7" w:rsidRPr="007E5C38" w:rsidRDefault="00F05DC7" w:rsidP="00A3786D">
                  <w:pPr>
                    <w:rPr>
                      <w:rFonts w:asciiTheme="minorHAnsi" w:hAnsiTheme="minorHAnsi" w:cstheme="minorHAnsi"/>
                      <w:sz w:val="18"/>
                      <w:szCs w:val="18"/>
                    </w:rPr>
                  </w:pPr>
                  <w:r w:rsidRPr="007E5C38">
                    <w:rPr>
                      <w:rFonts w:asciiTheme="minorHAnsi" w:hAnsiTheme="minorHAnsi" w:cstheme="minorHAnsi"/>
                      <w:color w:val="000000"/>
                      <w:sz w:val="18"/>
                      <w:szCs w:val="18"/>
                    </w:rPr>
                    <w:t xml:space="preserve">Office of Senator Peter Georgiou </w:t>
                  </w:r>
                </w:p>
              </w:tc>
              <w:tc>
                <w:tcPr>
                  <w:tcW w:w="1239" w:type="pct"/>
                  <w:shd w:val="clear" w:color="auto" w:fill="auto"/>
                  <w:vAlign w:val="center"/>
                </w:tcPr>
                <w:p w14:paraId="7954AF61" w14:textId="77777777" w:rsidR="00F05DC7" w:rsidRPr="007E5C38" w:rsidRDefault="00F05DC7" w:rsidP="00A3786D">
                  <w:pPr>
                    <w:jc w:val="right"/>
                    <w:rPr>
                      <w:rFonts w:asciiTheme="minorHAnsi" w:hAnsiTheme="minorHAnsi" w:cstheme="minorHAnsi"/>
                      <w:sz w:val="18"/>
                      <w:szCs w:val="18"/>
                    </w:rPr>
                  </w:pPr>
                  <w:r w:rsidRPr="007E5C38">
                    <w:rPr>
                      <w:rFonts w:asciiTheme="minorHAnsi" w:hAnsiTheme="minorHAnsi" w:cstheme="minorHAnsi"/>
                      <w:color w:val="000000"/>
                      <w:sz w:val="18"/>
                      <w:szCs w:val="18"/>
                    </w:rPr>
                    <w:t>DR122</w:t>
                  </w:r>
                </w:p>
              </w:tc>
            </w:tr>
            <w:tr w:rsidR="00F05DC7" w:rsidRPr="00A43A41" w14:paraId="7954AF65" w14:textId="77777777" w:rsidTr="00A3786D">
              <w:tc>
                <w:tcPr>
                  <w:tcW w:w="3761" w:type="pct"/>
                  <w:shd w:val="clear" w:color="auto" w:fill="auto"/>
                  <w:vAlign w:val="center"/>
                </w:tcPr>
                <w:p w14:paraId="7954AF63" w14:textId="77777777" w:rsidR="00F05DC7" w:rsidRPr="007E5C38" w:rsidRDefault="00F05DC7" w:rsidP="00A3786D">
                  <w:pPr>
                    <w:rPr>
                      <w:rFonts w:asciiTheme="minorHAnsi" w:hAnsiTheme="minorHAnsi" w:cstheme="minorHAnsi"/>
                      <w:sz w:val="18"/>
                      <w:szCs w:val="18"/>
                    </w:rPr>
                  </w:pPr>
                  <w:r w:rsidRPr="007E5C38">
                    <w:rPr>
                      <w:rFonts w:asciiTheme="minorHAnsi" w:hAnsiTheme="minorHAnsi" w:cstheme="minorHAnsi"/>
                      <w:color w:val="000000"/>
                      <w:sz w:val="18"/>
                      <w:szCs w:val="18"/>
                    </w:rPr>
                    <w:t>Parliamentary Liberal Party of WA</w:t>
                  </w:r>
                </w:p>
              </w:tc>
              <w:tc>
                <w:tcPr>
                  <w:tcW w:w="1239" w:type="pct"/>
                  <w:shd w:val="clear" w:color="auto" w:fill="auto"/>
                  <w:vAlign w:val="center"/>
                </w:tcPr>
                <w:p w14:paraId="7954AF64" w14:textId="77777777" w:rsidR="00F05DC7" w:rsidRPr="007E5C38" w:rsidRDefault="00F05DC7" w:rsidP="00A3786D">
                  <w:pPr>
                    <w:jc w:val="right"/>
                    <w:rPr>
                      <w:rFonts w:asciiTheme="minorHAnsi" w:hAnsiTheme="minorHAnsi" w:cstheme="minorHAnsi"/>
                      <w:sz w:val="18"/>
                      <w:szCs w:val="18"/>
                    </w:rPr>
                  </w:pPr>
                  <w:r w:rsidRPr="007E5C38">
                    <w:rPr>
                      <w:rFonts w:asciiTheme="minorHAnsi" w:hAnsiTheme="minorHAnsi" w:cstheme="minorHAnsi"/>
                      <w:color w:val="000000"/>
                      <w:sz w:val="18"/>
                      <w:szCs w:val="18"/>
                    </w:rPr>
                    <w:t>22, DR107</w:t>
                  </w:r>
                </w:p>
              </w:tc>
            </w:tr>
            <w:tr w:rsidR="00F05DC7" w:rsidRPr="00A43A41" w14:paraId="7954AF68" w14:textId="77777777" w:rsidTr="00A3786D">
              <w:tc>
                <w:tcPr>
                  <w:tcW w:w="3761" w:type="pct"/>
                  <w:shd w:val="clear" w:color="auto" w:fill="auto"/>
                  <w:vAlign w:val="center"/>
                </w:tcPr>
                <w:p w14:paraId="7954AF66"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Parliamentary National Party (PNP) WA</w:t>
                  </w:r>
                </w:p>
              </w:tc>
              <w:tc>
                <w:tcPr>
                  <w:tcW w:w="1239" w:type="pct"/>
                  <w:shd w:val="clear" w:color="auto" w:fill="auto"/>
                  <w:vAlign w:val="center"/>
                </w:tcPr>
                <w:p w14:paraId="7954AF67" w14:textId="77777777" w:rsidR="00F05DC7" w:rsidRPr="009D6F57" w:rsidRDefault="00F05DC7" w:rsidP="00A3786D">
                  <w:pPr>
                    <w:jc w:val="right"/>
                    <w:rPr>
                      <w:rFonts w:asciiTheme="minorHAnsi" w:hAnsiTheme="minorHAnsi" w:cstheme="minorHAnsi"/>
                      <w:color w:val="000000" w:themeColor="text1"/>
                      <w:sz w:val="18"/>
                      <w:szCs w:val="18"/>
                    </w:rPr>
                  </w:pPr>
                  <w:r w:rsidRPr="009D6F57">
                    <w:rPr>
                      <w:rFonts w:asciiTheme="minorHAnsi" w:hAnsiTheme="minorHAnsi" w:cstheme="minorHAnsi"/>
                      <w:color w:val="000000"/>
                      <w:sz w:val="18"/>
                      <w:szCs w:val="18"/>
                    </w:rPr>
                    <w:t>43, DR76</w:t>
                  </w:r>
                </w:p>
              </w:tc>
            </w:tr>
            <w:tr w:rsidR="00F05DC7" w:rsidRPr="00A43A41" w14:paraId="7954AF6B" w14:textId="77777777" w:rsidTr="00A3786D">
              <w:tc>
                <w:tcPr>
                  <w:tcW w:w="3761" w:type="pct"/>
                  <w:shd w:val="clear" w:color="auto" w:fill="auto"/>
                  <w:vAlign w:val="center"/>
                </w:tcPr>
                <w:p w14:paraId="7954AF69"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Pauline Hanson’s One Nation WA</w:t>
                  </w:r>
                </w:p>
              </w:tc>
              <w:tc>
                <w:tcPr>
                  <w:tcW w:w="1239" w:type="pct"/>
                  <w:shd w:val="clear" w:color="auto" w:fill="auto"/>
                  <w:vAlign w:val="center"/>
                </w:tcPr>
                <w:p w14:paraId="7954AF6A"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45</w:t>
                  </w:r>
                </w:p>
              </w:tc>
            </w:tr>
            <w:tr w:rsidR="00F05DC7" w:rsidRPr="00A43A41" w14:paraId="7954AF6E" w14:textId="77777777" w:rsidTr="00A3786D">
              <w:tc>
                <w:tcPr>
                  <w:tcW w:w="3761" w:type="pct"/>
                  <w:shd w:val="clear" w:color="auto" w:fill="auto"/>
                  <w:vAlign w:val="center"/>
                </w:tcPr>
                <w:p w14:paraId="7954AF6C"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Peter Abelson</w:t>
                  </w:r>
                </w:p>
              </w:tc>
              <w:tc>
                <w:tcPr>
                  <w:tcW w:w="1239" w:type="pct"/>
                  <w:shd w:val="clear" w:color="auto" w:fill="auto"/>
                  <w:vAlign w:val="center"/>
                </w:tcPr>
                <w:p w14:paraId="7954AF6D"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9</w:t>
                  </w:r>
                </w:p>
              </w:tc>
            </w:tr>
            <w:tr w:rsidR="00F05DC7" w:rsidRPr="00A43A41" w14:paraId="7954AF71" w14:textId="77777777" w:rsidTr="00A3786D">
              <w:tc>
                <w:tcPr>
                  <w:tcW w:w="3761" w:type="pct"/>
                  <w:shd w:val="clear" w:color="auto" w:fill="auto"/>
                  <w:vAlign w:val="center"/>
                </w:tcPr>
                <w:p w14:paraId="7954AF6F"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 xml:space="preserve">Peter Brohier </w:t>
                  </w:r>
                </w:p>
              </w:tc>
              <w:tc>
                <w:tcPr>
                  <w:tcW w:w="1239" w:type="pct"/>
                  <w:shd w:val="clear" w:color="auto" w:fill="auto"/>
                  <w:vAlign w:val="center"/>
                </w:tcPr>
                <w:p w14:paraId="7954AF70"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8, DR88</w:t>
                  </w:r>
                </w:p>
              </w:tc>
            </w:tr>
            <w:tr w:rsidR="00F05DC7" w:rsidRPr="00A43A41" w14:paraId="7954AF74" w14:textId="77777777" w:rsidTr="00A3786D">
              <w:tc>
                <w:tcPr>
                  <w:tcW w:w="3761" w:type="pct"/>
                  <w:shd w:val="clear" w:color="auto" w:fill="auto"/>
                  <w:vAlign w:val="center"/>
                </w:tcPr>
                <w:p w14:paraId="7954AF72"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Peter Urban</w:t>
                  </w:r>
                  <w:r>
                    <w:rPr>
                      <w:rFonts w:asciiTheme="minorHAnsi" w:hAnsiTheme="minorHAnsi" w:cstheme="minorHAnsi"/>
                      <w:color w:val="000000"/>
                      <w:sz w:val="18"/>
                      <w:szCs w:val="18"/>
                    </w:rPr>
                    <w:t xml:space="preserve"> </w:t>
                  </w:r>
                </w:p>
              </w:tc>
              <w:tc>
                <w:tcPr>
                  <w:tcW w:w="1239" w:type="pct"/>
                  <w:shd w:val="clear" w:color="auto" w:fill="auto"/>
                  <w:vAlign w:val="center"/>
                </w:tcPr>
                <w:p w14:paraId="7954AF73"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DR123</w:t>
                  </w:r>
                </w:p>
              </w:tc>
            </w:tr>
            <w:tr w:rsidR="00F05DC7" w:rsidRPr="00A43A41" w14:paraId="7954AF77" w14:textId="77777777" w:rsidTr="00A3786D">
              <w:tc>
                <w:tcPr>
                  <w:tcW w:w="3761" w:type="pct"/>
                  <w:shd w:val="clear" w:color="auto" w:fill="auto"/>
                  <w:vAlign w:val="center"/>
                </w:tcPr>
                <w:p w14:paraId="7954AF75"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Phillip Bubb</w:t>
                  </w:r>
                  <w:r>
                    <w:rPr>
                      <w:rFonts w:asciiTheme="minorHAnsi" w:hAnsiTheme="minorHAnsi" w:cstheme="minorHAnsi"/>
                      <w:color w:val="000000"/>
                      <w:sz w:val="18"/>
                      <w:szCs w:val="18"/>
                    </w:rPr>
                    <w:t xml:space="preserve"> </w:t>
                  </w:r>
                </w:p>
              </w:tc>
              <w:tc>
                <w:tcPr>
                  <w:tcW w:w="1239" w:type="pct"/>
                  <w:shd w:val="clear" w:color="auto" w:fill="auto"/>
                  <w:vAlign w:val="center"/>
                </w:tcPr>
                <w:p w14:paraId="7954AF76"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DR60</w:t>
                  </w:r>
                </w:p>
              </w:tc>
            </w:tr>
            <w:tr w:rsidR="00F05DC7" w:rsidRPr="00A43A41" w14:paraId="7954AF7A" w14:textId="77777777" w:rsidTr="00A3786D">
              <w:tc>
                <w:tcPr>
                  <w:tcW w:w="3761" w:type="pct"/>
                  <w:shd w:val="clear" w:color="auto" w:fill="auto"/>
                  <w:vAlign w:val="center"/>
                </w:tcPr>
                <w:p w14:paraId="7954AF78"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Put Western Australia First Party (PWAFP)</w:t>
                  </w:r>
                </w:p>
              </w:tc>
              <w:tc>
                <w:tcPr>
                  <w:tcW w:w="1239" w:type="pct"/>
                  <w:shd w:val="clear" w:color="auto" w:fill="auto"/>
                  <w:vAlign w:val="center"/>
                </w:tcPr>
                <w:p w14:paraId="7954AF79"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12, DR72</w:t>
                  </w:r>
                </w:p>
              </w:tc>
            </w:tr>
            <w:tr w:rsidR="00F05DC7" w:rsidRPr="00A43A41" w14:paraId="7954AF7D" w14:textId="77777777" w:rsidTr="00A3786D">
              <w:tc>
                <w:tcPr>
                  <w:tcW w:w="3761" w:type="pct"/>
                  <w:shd w:val="clear" w:color="auto" w:fill="auto"/>
                  <w:vAlign w:val="center"/>
                </w:tcPr>
                <w:p w14:paraId="7954AF7B"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Queensland Council of Social Service</w:t>
                  </w:r>
                </w:p>
              </w:tc>
              <w:tc>
                <w:tcPr>
                  <w:tcW w:w="1239" w:type="pct"/>
                  <w:shd w:val="clear" w:color="auto" w:fill="auto"/>
                  <w:vAlign w:val="center"/>
                </w:tcPr>
                <w:p w14:paraId="7954AF7C"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DR118</w:t>
                  </w:r>
                </w:p>
              </w:tc>
            </w:tr>
            <w:tr w:rsidR="00F05DC7" w:rsidRPr="00A43A41" w14:paraId="7954AF80" w14:textId="77777777" w:rsidTr="00A3786D">
              <w:tc>
                <w:tcPr>
                  <w:tcW w:w="3761" w:type="pct"/>
                  <w:shd w:val="clear" w:color="auto" w:fill="auto"/>
                  <w:vAlign w:val="center"/>
                </w:tcPr>
                <w:p w14:paraId="7954AF7E"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 xml:space="preserve">Queensland Council of Unions </w:t>
                  </w:r>
                </w:p>
              </w:tc>
              <w:tc>
                <w:tcPr>
                  <w:tcW w:w="1239" w:type="pct"/>
                  <w:shd w:val="clear" w:color="auto" w:fill="auto"/>
                  <w:vAlign w:val="center"/>
                </w:tcPr>
                <w:p w14:paraId="7954AF7F"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DR117</w:t>
                  </w:r>
                </w:p>
              </w:tc>
            </w:tr>
            <w:tr w:rsidR="00F05DC7" w:rsidRPr="00A43A41" w14:paraId="7954AF83" w14:textId="77777777" w:rsidTr="00A3786D">
              <w:tc>
                <w:tcPr>
                  <w:tcW w:w="3761" w:type="pct"/>
                  <w:shd w:val="clear" w:color="auto" w:fill="auto"/>
                  <w:vAlign w:val="center"/>
                </w:tcPr>
                <w:p w14:paraId="7954AF81"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Queensland Government</w:t>
                  </w:r>
                </w:p>
              </w:tc>
              <w:tc>
                <w:tcPr>
                  <w:tcW w:w="1239" w:type="pct"/>
                  <w:shd w:val="clear" w:color="auto" w:fill="auto"/>
                  <w:vAlign w:val="center"/>
                </w:tcPr>
                <w:p w14:paraId="7954AF82"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32, DR106</w:t>
                  </w:r>
                </w:p>
              </w:tc>
            </w:tr>
            <w:tr w:rsidR="00F05DC7" w:rsidRPr="00A43A41" w14:paraId="7954AF86" w14:textId="77777777" w:rsidTr="00A3786D">
              <w:tc>
                <w:tcPr>
                  <w:tcW w:w="3761" w:type="pct"/>
                  <w:shd w:val="clear" w:color="auto" w:fill="auto"/>
                  <w:vAlign w:val="center"/>
                </w:tcPr>
                <w:p w14:paraId="7954AF84"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 xml:space="preserve">Queensland Nurses and Midwives' Union </w:t>
                  </w:r>
                </w:p>
              </w:tc>
              <w:tc>
                <w:tcPr>
                  <w:tcW w:w="1239" w:type="pct"/>
                  <w:shd w:val="clear" w:color="auto" w:fill="auto"/>
                  <w:vAlign w:val="center"/>
                </w:tcPr>
                <w:p w14:paraId="7954AF85"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DR110</w:t>
                  </w:r>
                </w:p>
              </w:tc>
            </w:tr>
            <w:tr w:rsidR="00F05DC7" w:rsidRPr="00A43A41" w14:paraId="7954AF89" w14:textId="77777777" w:rsidTr="00A3786D">
              <w:tc>
                <w:tcPr>
                  <w:tcW w:w="3761" w:type="pct"/>
                  <w:shd w:val="clear" w:color="auto" w:fill="auto"/>
                  <w:vAlign w:val="center"/>
                </w:tcPr>
                <w:p w14:paraId="7954AF87"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Queensland Teachers' Union of Employees</w:t>
                  </w:r>
                </w:p>
              </w:tc>
              <w:tc>
                <w:tcPr>
                  <w:tcW w:w="1239" w:type="pct"/>
                  <w:shd w:val="clear" w:color="auto" w:fill="auto"/>
                  <w:vAlign w:val="center"/>
                </w:tcPr>
                <w:p w14:paraId="7954AF88"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DR119</w:t>
                  </w:r>
                </w:p>
              </w:tc>
            </w:tr>
            <w:tr w:rsidR="00F05DC7" w:rsidRPr="00A43A41" w14:paraId="7954AF8C" w14:textId="77777777" w:rsidTr="00A3786D">
              <w:tc>
                <w:tcPr>
                  <w:tcW w:w="3761" w:type="pct"/>
                  <w:shd w:val="clear" w:color="auto" w:fill="auto"/>
                  <w:vAlign w:val="center"/>
                </w:tcPr>
                <w:p w14:paraId="7954AF8A"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Rebecca White (Member of Parliament)</w:t>
                  </w:r>
                </w:p>
              </w:tc>
              <w:tc>
                <w:tcPr>
                  <w:tcW w:w="1239" w:type="pct"/>
                  <w:shd w:val="clear" w:color="auto" w:fill="auto"/>
                  <w:vAlign w:val="center"/>
                </w:tcPr>
                <w:p w14:paraId="7954AF8B"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39, DR63</w:t>
                  </w:r>
                </w:p>
              </w:tc>
            </w:tr>
            <w:tr w:rsidR="00F05DC7" w:rsidRPr="00A43A41" w14:paraId="7954AF8F" w14:textId="77777777" w:rsidTr="00A3786D">
              <w:tc>
                <w:tcPr>
                  <w:tcW w:w="3761" w:type="pct"/>
                  <w:shd w:val="clear" w:color="auto" w:fill="auto"/>
                  <w:vAlign w:val="center"/>
                </w:tcPr>
                <w:p w14:paraId="7954AF8D"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Rio Tinto</w:t>
                  </w:r>
                </w:p>
              </w:tc>
              <w:tc>
                <w:tcPr>
                  <w:tcW w:w="1239" w:type="pct"/>
                  <w:shd w:val="clear" w:color="auto" w:fill="auto"/>
                  <w:vAlign w:val="center"/>
                </w:tcPr>
                <w:p w14:paraId="7954AF8E"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37</w:t>
                  </w:r>
                </w:p>
              </w:tc>
            </w:tr>
            <w:tr w:rsidR="00F05DC7" w:rsidRPr="00A43A41" w14:paraId="7954AF92" w14:textId="77777777" w:rsidTr="00A3786D">
              <w:tc>
                <w:tcPr>
                  <w:tcW w:w="3761" w:type="pct"/>
                  <w:shd w:val="clear" w:color="auto" w:fill="auto"/>
                  <w:vAlign w:val="center"/>
                </w:tcPr>
                <w:p w14:paraId="7954AF90"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 xml:space="preserve">Saul Eslake </w:t>
                  </w:r>
                </w:p>
              </w:tc>
              <w:tc>
                <w:tcPr>
                  <w:tcW w:w="1239" w:type="pct"/>
                  <w:shd w:val="clear" w:color="auto" w:fill="auto"/>
                  <w:vAlign w:val="center"/>
                </w:tcPr>
                <w:p w14:paraId="7954AF91"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DR71</w:t>
                  </w:r>
                </w:p>
              </w:tc>
            </w:tr>
            <w:tr w:rsidR="00F05DC7" w:rsidRPr="00A43A41" w14:paraId="7954AF95" w14:textId="77777777" w:rsidTr="00A3786D">
              <w:tc>
                <w:tcPr>
                  <w:tcW w:w="3761" w:type="pct"/>
                  <w:shd w:val="clear" w:color="auto" w:fill="auto"/>
                  <w:vAlign w:val="center"/>
                </w:tcPr>
                <w:p w14:paraId="7954AF93"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Senator Peter Georgiou</w:t>
                  </w:r>
                </w:p>
              </w:tc>
              <w:tc>
                <w:tcPr>
                  <w:tcW w:w="1239" w:type="pct"/>
                  <w:shd w:val="clear" w:color="auto" w:fill="auto"/>
                  <w:vAlign w:val="center"/>
                </w:tcPr>
                <w:p w14:paraId="7954AF94"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44</w:t>
                  </w:r>
                </w:p>
              </w:tc>
            </w:tr>
            <w:tr w:rsidR="00F05DC7" w:rsidRPr="00A43A41" w14:paraId="7954AF98" w14:textId="77777777" w:rsidTr="00A3786D">
              <w:tc>
                <w:tcPr>
                  <w:tcW w:w="3761" w:type="pct"/>
                  <w:shd w:val="clear" w:color="auto" w:fill="auto"/>
                  <w:vAlign w:val="center"/>
                </w:tcPr>
                <w:p w14:paraId="7954AF96"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South Australian Council of Social Service (SACOSS)</w:t>
                  </w:r>
                </w:p>
              </w:tc>
              <w:tc>
                <w:tcPr>
                  <w:tcW w:w="1239" w:type="pct"/>
                  <w:shd w:val="clear" w:color="auto" w:fill="auto"/>
                  <w:vAlign w:val="center"/>
                </w:tcPr>
                <w:p w14:paraId="7954AF97"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DR75</w:t>
                  </w:r>
                </w:p>
              </w:tc>
            </w:tr>
            <w:tr w:rsidR="00F05DC7" w:rsidRPr="00A43A41" w14:paraId="7954AF9B" w14:textId="77777777" w:rsidTr="00A3786D">
              <w:tc>
                <w:tcPr>
                  <w:tcW w:w="3761" w:type="pct"/>
                  <w:shd w:val="clear" w:color="auto" w:fill="auto"/>
                  <w:vAlign w:val="center"/>
                </w:tcPr>
                <w:p w14:paraId="7954AF99"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 xml:space="preserve">South Australian Government </w:t>
                  </w:r>
                </w:p>
              </w:tc>
              <w:tc>
                <w:tcPr>
                  <w:tcW w:w="1239" w:type="pct"/>
                  <w:shd w:val="clear" w:color="auto" w:fill="auto"/>
                  <w:vAlign w:val="center"/>
                </w:tcPr>
                <w:p w14:paraId="7954AF9A"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25, DR89</w:t>
                  </w:r>
                </w:p>
              </w:tc>
            </w:tr>
            <w:tr w:rsidR="00F05DC7" w:rsidRPr="00A43A41" w14:paraId="7954AF9E" w14:textId="77777777" w:rsidTr="00A3786D">
              <w:tc>
                <w:tcPr>
                  <w:tcW w:w="3761" w:type="pct"/>
                  <w:shd w:val="clear" w:color="auto" w:fill="auto"/>
                  <w:vAlign w:val="center"/>
                </w:tcPr>
                <w:p w14:paraId="7954AF9C"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Tasmanian Council of Social Services (TasCOSS)</w:t>
                  </w:r>
                </w:p>
              </w:tc>
              <w:tc>
                <w:tcPr>
                  <w:tcW w:w="1239" w:type="pct"/>
                  <w:shd w:val="clear" w:color="auto" w:fill="auto"/>
                  <w:vAlign w:val="center"/>
                </w:tcPr>
                <w:p w14:paraId="7954AF9D"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DR66</w:t>
                  </w:r>
                </w:p>
              </w:tc>
            </w:tr>
            <w:tr w:rsidR="00F05DC7" w:rsidRPr="00A43A41" w14:paraId="7954AFA1" w14:textId="77777777" w:rsidTr="00A3786D">
              <w:tc>
                <w:tcPr>
                  <w:tcW w:w="3761" w:type="pct"/>
                  <w:shd w:val="clear" w:color="auto" w:fill="auto"/>
                  <w:vAlign w:val="center"/>
                </w:tcPr>
                <w:p w14:paraId="7954AF9F"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Tasmanian State Government</w:t>
                  </w:r>
                </w:p>
              </w:tc>
              <w:tc>
                <w:tcPr>
                  <w:tcW w:w="1239" w:type="pct"/>
                  <w:shd w:val="clear" w:color="auto" w:fill="auto"/>
                  <w:vAlign w:val="center"/>
                </w:tcPr>
                <w:p w14:paraId="7954AFA0"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28, DR74, DR111</w:t>
                  </w:r>
                </w:p>
              </w:tc>
            </w:tr>
            <w:tr w:rsidR="00F05DC7" w:rsidRPr="00A43A41" w14:paraId="7954AFA4" w14:textId="77777777" w:rsidTr="00A3786D">
              <w:tc>
                <w:tcPr>
                  <w:tcW w:w="3761" w:type="pct"/>
                  <w:shd w:val="clear" w:color="auto" w:fill="auto"/>
                  <w:vAlign w:val="center"/>
                </w:tcPr>
                <w:p w14:paraId="7954AFA2"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Tasmanian Greens</w:t>
                  </w:r>
                </w:p>
              </w:tc>
              <w:tc>
                <w:tcPr>
                  <w:tcW w:w="1239" w:type="pct"/>
                  <w:shd w:val="clear" w:color="auto" w:fill="auto"/>
                  <w:vAlign w:val="center"/>
                </w:tcPr>
                <w:p w14:paraId="7954AFA3"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30, DR79</w:t>
                  </w:r>
                </w:p>
              </w:tc>
            </w:tr>
            <w:tr w:rsidR="00F05DC7" w:rsidRPr="00A43A41" w14:paraId="7954AFA7" w14:textId="77777777" w:rsidTr="00A3786D">
              <w:tc>
                <w:tcPr>
                  <w:tcW w:w="3761" w:type="pct"/>
                  <w:shd w:val="clear" w:color="auto" w:fill="auto"/>
                  <w:vAlign w:val="center"/>
                </w:tcPr>
                <w:p w14:paraId="7954AFA5"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The Australia Institute</w:t>
                  </w:r>
                </w:p>
              </w:tc>
              <w:tc>
                <w:tcPr>
                  <w:tcW w:w="1239" w:type="pct"/>
                  <w:shd w:val="clear" w:color="auto" w:fill="auto"/>
                  <w:vAlign w:val="center"/>
                </w:tcPr>
                <w:p w14:paraId="7954AFA6"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33</w:t>
                  </w:r>
                </w:p>
              </w:tc>
            </w:tr>
            <w:tr w:rsidR="00F05DC7" w:rsidRPr="00A43A41" w14:paraId="7954AFAA" w14:textId="77777777" w:rsidTr="00A3786D">
              <w:tc>
                <w:tcPr>
                  <w:tcW w:w="3761" w:type="pct"/>
                  <w:shd w:val="clear" w:color="auto" w:fill="auto"/>
                  <w:vAlign w:val="center"/>
                </w:tcPr>
                <w:p w14:paraId="7954AFA8"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Town of Port Hedland Council</w:t>
                  </w:r>
                </w:p>
              </w:tc>
              <w:tc>
                <w:tcPr>
                  <w:tcW w:w="1239" w:type="pct"/>
                  <w:shd w:val="clear" w:color="auto" w:fill="auto"/>
                  <w:vAlign w:val="center"/>
                </w:tcPr>
                <w:p w14:paraId="7954AFA9"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DR105</w:t>
                  </w:r>
                </w:p>
              </w:tc>
            </w:tr>
            <w:tr w:rsidR="00F05DC7" w:rsidRPr="00A43A41" w14:paraId="7954AFAD" w14:textId="77777777" w:rsidTr="00A3786D">
              <w:tc>
                <w:tcPr>
                  <w:tcW w:w="3761" w:type="pct"/>
                  <w:shd w:val="clear" w:color="auto" w:fill="auto"/>
                  <w:vAlign w:val="center"/>
                </w:tcPr>
                <w:p w14:paraId="7954AFAB"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 xml:space="preserve">Townsville City Council </w:t>
                  </w:r>
                </w:p>
              </w:tc>
              <w:tc>
                <w:tcPr>
                  <w:tcW w:w="1239" w:type="pct"/>
                  <w:shd w:val="clear" w:color="auto" w:fill="auto"/>
                  <w:vAlign w:val="center"/>
                </w:tcPr>
                <w:p w14:paraId="7954AFAC"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DR113</w:t>
                  </w:r>
                </w:p>
              </w:tc>
            </w:tr>
            <w:tr w:rsidR="00F05DC7" w:rsidRPr="00A43A41" w14:paraId="7954AFB0" w14:textId="77777777" w:rsidTr="00A3786D">
              <w:tc>
                <w:tcPr>
                  <w:tcW w:w="3761" w:type="pct"/>
                  <w:shd w:val="clear" w:color="auto" w:fill="auto"/>
                  <w:vAlign w:val="center"/>
                </w:tcPr>
                <w:p w14:paraId="7954AFAE"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 xml:space="preserve">Townsville Enterprise Limited </w:t>
                  </w:r>
                </w:p>
              </w:tc>
              <w:tc>
                <w:tcPr>
                  <w:tcW w:w="1239" w:type="pct"/>
                  <w:shd w:val="clear" w:color="auto" w:fill="auto"/>
                  <w:vAlign w:val="center"/>
                </w:tcPr>
                <w:p w14:paraId="7954AFAF"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DR115</w:t>
                  </w:r>
                </w:p>
              </w:tc>
            </w:tr>
            <w:tr w:rsidR="00F05DC7" w:rsidRPr="00A43A41" w14:paraId="7954AFB3" w14:textId="77777777" w:rsidTr="00A3786D">
              <w:tc>
                <w:tcPr>
                  <w:tcW w:w="3761" w:type="pct"/>
                  <w:shd w:val="clear" w:color="auto" w:fill="auto"/>
                  <w:vAlign w:val="center"/>
                </w:tcPr>
                <w:p w14:paraId="7954AFB1"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United Voice Queensland</w:t>
                  </w:r>
                </w:p>
              </w:tc>
              <w:tc>
                <w:tcPr>
                  <w:tcW w:w="1239" w:type="pct"/>
                  <w:shd w:val="clear" w:color="auto" w:fill="auto"/>
                  <w:vAlign w:val="center"/>
                </w:tcPr>
                <w:p w14:paraId="7954AFB2"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DR114</w:t>
                  </w:r>
                </w:p>
              </w:tc>
            </w:tr>
            <w:tr w:rsidR="00F05DC7" w:rsidRPr="00A43A41" w14:paraId="7954AFB6" w14:textId="77777777" w:rsidTr="00A3786D">
              <w:tc>
                <w:tcPr>
                  <w:tcW w:w="3761" w:type="pct"/>
                  <w:shd w:val="clear" w:color="auto" w:fill="auto"/>
                  <w:vAlign w:val="center"/>
                </w:tcPr>
                <w:p w14:paraId="7954AFB4"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Victorian Chamber of Commerce and Industry</w:t>
                  </w:r>
                </w:p>
              </w:tc>
              <w:tc>
                <w:tcPr>
                  <w:tcW w:w="1239" w:type="pct"/>
                  <w:shd w:val="clear" w:color="auto" w:fill="auto"/>
                  <w:vAlign w:val="center"/>
                </w:tcPr>
                <w:p w14:paraId="7954AFB5"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DR92</w:t>
                  </w:r>
                </w:p>
              </w:tc>
            </w:tr>
            <w:tr w:rsidR="00F05DC7" w:rsidRPr="00A43A41" w14:paraId="7954AFB9" w14:textId="77777777" w:rsidTr="00A3786D">
              <w:tc>
                <w:tcPr>
                  <w:tcW w:w="3761" w:type="pct"/>
                  <w:shd w:val="clear" w:color="auto" w:fill="auto"/>
                  <w:vAlign w:val="center"/>
                </w:tcPr>
                <w:p w14:paraId="7954AFB7"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Victorian Government</w:t>
                  </w:r>
                </w:p>
              </w:tc>
              <w:tc>
                <w:tcPr>
                  <w:tcW w:w="1239" w:type="pct"/>
                  <w:shd w:val="clear" w:color="auto" w:fill="auto"/>
                  <w:vAlign w:val="center"/>
                </w:tcPr>
                <w:p w14:paraId="7954AFB8"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53, DR87</w:t>
                  </w:r>
                </w:p>
              </w:tc>
            </w:tr>
            <w:tr w:rsidR="00F05DC7" w:rsidRPr="00A43A41" w14:paraId="7954AFBC" w14:textId="77777777" w:rsidTr="00A3786D">
              <w:tc>
                <w:tcPr>
                  <w:tcW w:w="3761" w:type="pct"/>
                  <w:shd w:val="clear" w:color="auto" w:fill="auto"/>
                  <w:vAlign w:val="center"/>
                </w:tcPr>
                <w:p w14:paraId="7954AFBA"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color w:val="000000"/>
                      <w:sz w:val="18"/>
                      <w:szCs w:val="18"/>
                    </w:rPr>
                    <w:t xml:space="preserve">Victorian Trades Hall Council </w:t>
                  </w:r>
                </w:p>
              </w:tc>
              <w:tc>
                <w:tcPr>
                  <w:tcW w:w="1239" w:type="pct"/>
                  <w:shd w:val="clear" w:color="auto" w:fill="auto"/>
                  <w:vAlign w:val="center"/>
                </w:tcPr>
                <w:p w14:paraId="7954AFBB"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color w:val="000000"/>
                      <w:sz w:val="18"/>
                      <w:szCs w:val="18"/>
                    </w:rPr>
                    <w:t>DR93</w:t>
                  </w:r>
                </w:p>
              </w:tc>
            </w:tr>
            <w:tr w:rsidR="00F05DC7" w:rsidRPr="00A43A41" w14:paraId="7954AFBF" w14:textId="77777777" w:rsidTr="00A3786D">
              <w:tc>
                <w:tcPr>
                  <w:tcW w:w="3761" w:type="pct"/>
                  <w:shd w:val="clear" w:color="auto" w:fill="auto"/>
                  <w:vAlign w:val="center"/>
                </w:tcPr>
                <w:p w14:paraId="7954AFBD"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WA Federal Liberal Members and Senators</w:t>
                  </w:r>
                </w:p>
              </w:tc>
              <w:tc>
                <w:tcPr>
                  <w:tcW w:w="1239" w:type="pct"/>
                  <w:shd w:val="clear" w:color="auto" w:fill="auto"/>
                  <w:vAlign w:val="center"/>
                </w:tcPr>
                <w:p w14:paraId="7954AFBE"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35</w:t>
                  </w:r>
                </w:p>
              </w:tc>
            </w:tr>
            <w:tr w:rsidR="00F05DC7" w:rsidRPr="00A43A41" w14:paraId="7954AFC2" w14:textId="77777777" w:rsidTr="004F6C34">
              <w:tc>
                <w:tcPr>
                  <w:tcW w:w="3761" w:type="pct"/>
                  <w:shd w:val="clear" w:color="auto" w:fill="auto"/>
                  <w:vAlign w:val="center"/>
                </w:tcPr>
                <w:p w14:paraId="7954AFC0" w14:textId="77777777" w:rsidR="00F05DC7" w:rsidRPr="009D6F57" w:rsidRDefault="00F05DC7" w:rsidP="00A3786D">
                  <w:pPr>
                    <w:rPr>
                      <w:rFonts w:asciiTheme="minorHAnsi" w:hAnsiTheme="minorHAnsi" w:cstheme="minorHAnsi"/>
                      <w:sz w:val="18"/>
                      <w:szCs w:val="18"/>
                    </w:rPr>
                  </w:pPr>
                  <w:r w:rsidRPr="009D6F57">
                    <w:rPr>
                      <w:rFonts w:asciiTheme="minorHAnsi" w:hAnsiTheme="minorHAnsi" w:cstheme="minorHAnsi"/>
                      <w:sz w:val="18"/>
                      <w:szCs w:val="18"/>
                    </w:rPr>
                    <w:t>WA Federal Parliamentary Labor Party</w:t>
                  </w:r>
                </w:p>
              </w:tc>
              <w:tc>
                <w:tcPr>
                  <w:tcW w:w="1239" w:type="pct"/>
                  <w:shd w:val="clear" w:color="auto" w:fill="auto"/>
                  <w:vAlign w:val="center"/>
                </w:tcPr>
                <w:p w14:paraId="7954AFC1" w14:textId="77777777" w:rsidR="00F05DC7" w:rsidRPr="009D6F57" w:rsidRDefault="00F05DC7" w:rsidP="00A3786D">
                  <w:pPr>
                    <w:jc w:val="right"/>
                    <w:rPr>
                      <w:rFonts w:asciiTheme="minorHAnsi" w:hAnsiTheme="minorHAnsi" w:cstheme="minorHAnsi"/>
                      <w:sz w:val="18"/>
                      <w:szCs w:val="18"/>
                    </w:rPr>
                  </w:pPr>
                  <w:r w:rsidRPr="009D6F57">
                    <w:rPr>
                      <w:rFonts w:asciiTheme="minorHAnsi" w:hAnsiTheme="minorHAnsi" w:cstheme="minorHAnsi"/>
                      <w:sz w:val="18"/>
                      <w:szCs w:val="18"/>
                    </w:rPr>
                    <w:t>36</w:t>
                  </w:r>
                </w:p>
              </w:tc>
            </w:tr>
            <w:tr w:rsidR="00F05DC7" w:rsidRPr="00A43A41" w14:paraId="7954AFC5" w14:textId="77777777" w:rsidTr="004F6C34">
              <w:tc>
                <w:tcPr>
                  <w:tcW w:w="3761" w:type="pct"/>
                  <w:tcBorders>
                    <w:bottom w:val="single" w:sz="4" w:space="0" w:color="BFBFBF"/>
                  </w:tcBorders>
                  <w:shd w:val="clear" w:color="auto" w:fill="auto"/>
                </w:tcPr>
                <w:p w14:paraId="7954AFC3" w14:textId="77777777" w:rsidR="00F05DC7" w:rsidRPr="00710C49" w:rsidRDefault="00F05DC7" w:rsidP="00A3786D">
                  <w:pPr>
                    <w:pStyle w:val="Continued"/>
                    <w:spacing w:after="40"/>
                  </w:pPr>
                </w:p>
              </w:tc>
              <w:tc>
                <w:tcPr>
                  <w:tcW w:w="1239" w:type="pct"/>
                  <w:tcBorders>
                    <w:bottom w:val="single" w:sz="4" w:space="0" w:color="BFBFBF"/>
                  </w:tcBorders>
                  <w:shd w:val="clear" w:color="auto" w:fill="auto"/>
                </w:tcPr>
                <w:p w14:paraId="7954AFC4" w14:textId="77777777" w:rsidR="00F05DC7" w:rsidRDefault="00F05DC7" w:rsidP="00A3786D">
                  <w:pPr>
                    <w:pStyle w:val="Continued"/>
                    <w:spacing w:after="40"/>
                  </w:pPr>
                  <w:r>
                    <w:t>(continued next page)</w:t>
                  </w:r>
                </w:p>
              </w:tc>
            </w:tr>
          </w:tbl>
          <w:p w14:paraId="7954AFC6" w14:textId="77777777" w:rsidR="00F05DC7" w:rsidRPr="004F5745" w:rsidRDefault="00F05DC7" w:rsidP="00A3786D">
            <w:pPr>
              <w:pStyle w:val="Box"/>
            </w:pPr>
          </w:p>
        </w:tc>
      </w:tr>
      <w:tr w:rsidR="00F05DC7" w:rsidRPr="004F5745" w14:paraId="7954AFC9" w14:textId="77777777" w:rsidTr="00A3786D">
        <w:trPr>
          <w:cantSplit/>
        </w:trPr>
        <w:tc>
          <w:tcPr>
            <w:tcW w:w="5000" w:type="pct"/>
            <w:tcBorders>
              <w:top w:val="nil"/>
              <w:left w:val="nil"/>
              <w:bottom w:val="single" w:sz="6" w:space="0" w:color="78A22F"/>
              <w:right w:val="nil"/>
            </w:tcBorders>
            <w:shd w:val="clear" w:color="auto" w:fill="auto"/>
          </w:tcPr>
          <w:p w14:paraId="7954AFC8" w14:textId="77777777" w:rsidR="00F05DC7" w:rsidRPr="004F5745" w:rsidRDefault="00F05DC7" w:rsidP="00A3786D">
            <w:pPr>
              <w:pStyle w:val="Box"/>
              <w:spacing w:before="0" w:line="120" w:lineRule="exact"/>
            </w:pPr>
          </w:p>
        </w:tc>
      </w:tr>
      <w:tr w:rsidR="00F05DC7" w:rsidRPr="004F5745" w14:paraId="7954AFCB" w14:textId="77777777" w:rsidTr="00A3786D">
        <w:tc>
          <w:tcPr>
            <w:tcW w:w="5000" w:type="pct"/>
            <w:tcBorders>
              <w:top w:val="single" w:sz="6" w:space="0" w:color="78A22F"/>
              <w:left w:val="nil"/>
              <w:bottom w:val="nil"/>
              <w:right w:val="nil"/>
            </w:tcBorders>
          </w:tcPr>
          <w:p w14:paraId="7954AFCA" w14:textId="77777777" w:rsidR="00F05DC7" w:rsidRPr="004F5745" w:rsidRDefault="00F05DC7" w:rsidP="00A3786D">
            <w:pPr>
              <w:pStyle w:val="BoxSpaceBelow"/>
            </w:pPr>
          </w:p>
        </w:tc>
      </w:tr>
    </w:tbl>
    <w:p w14:paraId="7954AFCC" w14:textId="77777777" w:rsidR="00F05DC7" w:rsidRDefault="00F05DC7" w:rsidP="00A3786D">
      <w:pPr>
        <w:pStyle w:val="BoxSpaceAbove"/>
        <w:tabs>
          <w:tab w:val="left" w:pos="276"/>
          <w:tab w:val="right" w:pos="8902"/>
        </w:tabs>
      </w:pPr>
      <w:r>
        <w:lastRenderedPageBreak/>
        <w:tab/>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05DC7" w14:paraId="7954AFCE" w14:textId="77777777" w:rsidTr="001113B1">
        <w:trPr>
          <w:tblHeader/>
        </w:trPr>
        <w:tc>
          <w:tcPr>
            <w:tcW w:w="5000" w:type="pct"/>
            <w:tcBorders>
              <w:top w:val="single" w:sz="6" w:space="0" w:color="78A22F"/>
              <w:left w:val="nil"/>
              <w:bottom w:val="nil"/>
              <w:right w:val="nil"/>
            </w:tcBorders>
            <w:shd w:val="clear" w:color="auto" w:fill="auto"/>
          </w:tcPr>
          <w:p w14:paraId="7954AFCD" w14:textId="7A0D9A2A" w:rsidR="00F05DC7" w:rsidRPr="00784A05" w:rsidRDefault="00F05DC7" w:rsidP="00A3786D">
            <w:pPr>
              <w:pStyle w:val="TableTitle"/>
              <w:spacing w:after="0"/>
            </w:pPr>
            <w:r>
              <w:rPr>
                <w:b w:val="0"/>
              </w:rPr>
              <w:t>Table A.</w:t>
            </w:r>
            <w:r>
              <w:rPr>
                <w:b w:val="0"/>
                <w:noProof/>
              </w:rPr>
              <w:t>1</w:t>
            </w:r>
            <w:r>
              <w:tab/>
            </w:r>
            <w:r w:rsidRPr="00854477">
              <w:rPr>
                <w:b w:val="0"/>
                <w:sz w:val="18"/>
              </w:rPr>
              <w:t>(continued)</w:t>
            </w:r>
          </w:p>
        </w:tc>
      </w:tr>
      <w:tr w:rsidR="00F05DC7" w:rsidRPr="004F5745" w14:paraId="7954AFE8" w14:textId="77777777" w:rsidTr="00A3786D">
        <w:trPr>
          <w:cantSplit/>
          <w:trHeight w:val="212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15"/>
              <w:gridCol w:w="2490"/>
            </w:tblGrid>
            <w:tr w:rsidR="00F05DC7" w:rsidRPr="004F5745" w14:paraId="7954AFD1" w14:textId="77777777" w:rsidTr="001113B1">
              <w:trPr>
                <w:tblHeader/>
              </w:trPr>
              <w:tc>
                <w:tcPr>
                  <w:tcW w:w="3536"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7954AFCF" w14:textId="77777777" w:rsidR="00F05DC7" w:rsidRPr="004F5745" w:rsidRDefault="00F05DC7" w:rsidP="00A3786D">
                  <w:pPr>
                    <w:pStyle w:val="TableColumnHeading"/>
                    <w:jc w:val="left"/>
                  </w:pPr>
                  <w:r>
                    <w:rPr>
                      <w:rFonts w:ascii="Times New Roman" w:hAnsi="Times New Roman"/>
                      <w:i w:val="0"/>
                      <w:sz w:val="24"/>
                      <w:szCs w:val="24"/>
                    </w:rPr>
                    <w:br w:type="page"/>
                  </w:r>
                  <w:r>
                    <w:rPr>
                      <w:rFonts w:ascii="Times New Roman" w:hAnsi="Times New Roman"/>
                      <w:i w:val="0"/>
                      <w:sz w:val="24"/>
                      <w:szCs w:val="24"/>
                    </w:rPr>
                    <w:br w:type="page"/>
                  </w:r>
                  <w:r>
                    <w:t>Participant</w:t>
                  </w:r>
                </w:p>
              </w:tc>
              <w:tc>
                <w:tcPr>
                  <w:tcW w:w="1464"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7954AFD0" w14:textId="77777777" w:rsidR="00F05DC7" w:rsidRPr="004F5745" w:rsidRDefault="00F05DC7" w:rsidP="00A3786D">
                  <w:pPr>
                    <w:pStyle w:val="TableColumnHeading"/>
                    <w:ind w:right="28"/>
                  </w:pPr>
                  <w:r w:rsidRPr="004F5745">
                    <w:t>Submission number</w:t>
                  </w:r>
                </w:p>
              </w:tc>
            </w:tr>
            <w:tr w:rsidR="00F05DC7" w:rsidRPr="00A43A41" w14:paraId="7954AFD4" w14:textId="77777777" w:rsidTr="00A3786D">
              <w:tc>
                <w:tcPr>
                  <w:tcW w:w="3536" w:type="pct"/>
                  <w:shd w:val="clear" w:color="auto" w:fill="auto"/>
                  <w:vAlign w:val="center"/>
                </w:tcPr>
                <w:p w14:paraId="7954AFD2" w14:textId="77777777" w:rsidR="00F05DC7" w:rsidRPr="00AF5D17" w:rsidRDefault="00F05DC7" w:rsidP="004F6C34">
                  <w:pPr>
                    <w:spacing w:before="80"/>
                    <w:rPr>
                      <w:rFonts w:asciiTheme="minorHAnsi" w:hAnsiTheme="minorHAnsi" w:cstheme="minorHAnsi"/>
                      <w:sz w:val="18"/>
                      <w:szCs w:val="18"/>
                    </w:rPr>
                  </w:pPr>
                  <w:r w:rsidRPr="00AF5D17">
                    <w:rPr>
                      <w:rFonts w:asciiTheme="minorHAnsi" w:hAnsiTheme="minorHAnsi" w:cstheme="minorHAnsi"/>
                      <w:sz w:val="18"/>
                      <w:szCs w:val="18"/>
                    </w:rPr>
                    <w:t>WA Government</w:t>
                  </w:r>
                </w:p>
              </w:tc>
              <w:tc>
                <w:tcPr>
                  <w:tcW w:w="1464" w:type="pct"/>
                  <w:shd w:val="clear" w:color="auto" w:fill="auto"/>
                  <w:vAlign w:val="center"/>
                </w:tcPr>
                <w:p w14:paraId="7954AFD3" w14:textId="77777777" w:rsidR="00F05DC7" w:rsidRPr="00AF5D17" w:rsidRDefault="00F05DC7" w:rsidP="004F6C34">
                  <w:pPr>
                    <w:spacing w:before="80"/>
                    <w:jc w:val="right"/>
                    <w:rPr>
                      <w:rFonts w:asciiTheme="minorHAnsi" w:hAnsiTheme="minorHAnsi" w:cstheme="minorHAnsi"/>
                      <w:sz w:val="18"/>
                      <w:szCs w:val="18"/>
                    </w:rPr>
                  </w:pPr>
                  <w:r w:rsidRPr="00AF5D17">
                    <w:rPr>
                      <w:rFonts w:asciiTheme="minorHAnsi" w:hAnsiTheme="minorHAnsi" w:cstheme="minorHAnsi"/>
                      <w:sz w:val="18"/>
                      <w:szCs w:val="18"/>
                    </w:rPr>
                    <w:t>15, DR83, DR108</w:t>
                  </w:r>
                </w:p>
              </w:tc>
            </w:tr>
            <w:tr w:rsidR="00F05DC7" w:rsidRPr="00A43A41" w14:paraId="7954AFD7" w14:textId="77777777" w:rsidTr="00A3786D">
              <w:tc>
                <w:tcPr>
                  <w:tcW w:w="3536" w:type="pct"/>
                  <w:shd w:val="clear" w:color="auto" w:fill="auto"/>
                  <w:vAlign w:val="center"/>
                </w:tcPr>
                <w:p w14:paraId="7954AFD5" w14:textId="77777777" w:rsidR="00F05DC7" w:rsidRPr="00AF5D17" w:rsidRDefault="00F05DC7" w:rsidP="00A3786D">
                  <w:pPr>
                    <w:rPr>
                      <w:rFonts w:asciiTheme="minorHAnsi" w:hAnsiTheme="minorHAnsi" w:cstheme="minorHAnsi"/>
                      <w:sz w:val="18"/>
                      <w:szCs w:val="18"/>
                    </w:rPr>
                  </w:pPr>
                  <w:r w:rsidRPr="00AF5D17">
                    <w:rPr>
                      <w:rFonts w:asciiTheme="minorHAnsi" w:hAnsiTheme="minorHAnsi" w:cstheme="minorHAnsi"/>
                      <w:sz w:val="18"/>
                      <w:szCs w:val="18"/>
                    </w:rPr>
                    <w:t>Wayne Muller</w:t>
                  </w:r>
                </w:p>
              </w:tc>
              <w:tc>
                <w:tcPr>
                  <w:tcW w:w="1464" w:type="pct"/>
                  <w:shd w:val="clear" w:color="auto" w:fill="auto"/>
                  <w:vAlign w:val="center"/>
                </w:tcPr>
                <w:p w14:paraId="7954AFD6" w14:textId="77777777" w:rsidR="00F05DC7" w:rsidRPr="00AF5D17" w:rsidRDefault="00F05DC7" w:rsidP="00A3786D">
                  <w:pPr>
                    <w:jc w:val="right"/>
                    <w:rPr>
                      <w:rFonts w:asciiTheme="minorHAnsi" w:hAnsiTheme="minorHAnsi" w:cstheme="minorHAnsi"/>
                      <w:sz w:val="18"/>
                      <w:szCs w:val="18"/>
                    </w:rPr>
                  </w:pPr>
                  <w:r w:rsidRPr="00AF5D17">
                    <w:rPr>
                      <w:rFonts w:asciiTheme="minorHAnsi" w:hAnsiTheme="minorHAnsi" w:cstheme="minorHAnsi"/>
                      <w:sz w:val="18"/>
                      <w:szCs w:val="18"/>
                    </w:rPr>
                    <w:t>14</w:t>
                  </w:r>
                </w:p>
              </w:tc>
            </w:tr>
            <w:tr w:rsidR="00F05DC7" w:rsidRPr="00A43A41" w14:paraId="7954AFDA" w14:textId="77777777" w:rsidTr="00A3786D">
              <w:tc>
                <w:tcPr>
                  <w:tcW w:w="3536" w:type="pct"/>
                  <w:shd w:val="clear" w:color="auto" w:fill="auto"/>
                  <w:vAlign w:val="center"/>
                </w:tcPr>
                <w:p w14:paraId="7954AFD8" w14:textId="77777777" w:rsidR="00F05DC7" w:rsidRPr="00AF5D17" w:rsidRDefault="00F05DC7" w:rsidP="00A3786D">
                  <w:pPr>
                    <w:rPr>
                      <w:rFonts w:asciiTheme="minorHAnsi" w:hAnsiTheme="minorHAnsi" w:cstheme="minorHAnsi"/>
                      <w:sz w:val="18"/>
                      <w:szCs w:val="18"/>
                    </w:rPr>
                  </w:pPr>
                  <w:r w:rsidRPr="00AF5D17">
                    <w:rPr>
                      <w:rFonts w:asciiTheme="minorHAnsi" w:hAnsiTheme="minorHAnsi" w:cstheme="minorHAnsi"/>
                      <w:sz w:val="18"/>
                      <w:szCs w:val="18"/>
                    </w:rPr>
                    <w:t>Wealth Wisdom Pty Ltd</w:t>
                  </w:r>
                </w:p>
              </w:tc>
              <w:tc>
                <w:tcPr>
                  <w:tcW w:w="1464" w:type="pct"/>
                  <w:shd w:val="clear" w:color="auto" w:fill="auto"/>
                  <w:vAlign w:val="center"/>
                </w:tcPr>
                <w:p w14:paraId="7954AFD9" w14:textId="77777777" w:rsidR="00F05DC7" w:rsidRPr="00AF5D17" w:rsidRDefault="00F05DC7" w:rsidP="00A3786D">
                  <w:pPr>
                    <w:jc w:val="right"/>
                    <w:rPr>
                      <w:rFonts w:asciiTheme="minorHAnsi" w:hAnsiTheme="minorHAnsi" w:cstheme="minorHAnsi"/>
                      <w:sz w:val="18"/>
                      <w:szCs w:val="18"/>
                    </w:rPr>
                  </w:pPr>
                  <w:r w:rsidRPr="00AF5D17">
                    <w:rPr>
                      <w:rFonts w:asciiTheme="minorHAnsi" w:hAnsiTheme="minorHAnsi" w:cstheme="minorHAnsi"/>
                      <w:sz w:val="18"/>
                      <w:szCs w:val="18"/>
                    </w:rPr>
                    <w:t>10, BR8</w:t>
                  </w:r>
                </w:p>
              </w:tc>
            </w:tr>
            <w:tr w:rsidR="00F05DC7" w:rsidRPr="00A43A41" w14:paraId="7954AFDD" w14:textId="77777777" w:rsidTr="00A3786D">
              <w:tc>
                <w:tcPr>
                  <w:tcW w:w="3536" w:type="pct"/>
                  <w:shd w:val="clear" w:color="auto" w:fill="auto"/>
                  <w:vAlign w:val="center"/>
                </w:tcPr>
                <w:p w14:paraId="7954AFDB" w14:textId="77777777" w:rsidR="00F05DC7" w:rsidRPr="00AF5D17" w:rsidRDefault="00F05DC7" w:rsidP="00A3786D">
                  <w:pPr>
                    <w:rPr>
                      <w:rFonts w:asciiTheme="minorHAnsi" w:hAnsiTheme="minorHAnsi" w:cstheme="minorHAnsi"/>
                      <w:sz w:val="18"/>
                      <w:szCs w:val="18"/>
                    </w:rPr>
                  </w:pPr>
                  <w:r w:rsidRPr="00AF5D17">
                    <w:rPr>
                      <w:rFonts w:asciiTheme="minorHAnsi" w:hAnsiTheme="minorHAnsi" w:cstheme="minorHAnsi"/>
                      <w:color w:val="000000"/>
                      <w:sz w:val="18"/>
                      <w:szCs w:val="18"/>
                    </w:rPr>
                    <w:t>Western Australia Council of Social Service (WACOSS)</w:t>
                  </w:r>
                </w:p>
              </w:tc>
              <w:tc>
                <w:tcPr>
                  <w:tcW w:w="1464" w:type="pct"/>
                  <w:shd w:val="clear" w:color="auto" w:fill="auto"/>
                  <w:vAlign w:val="center"/>
                </w:tcPr>
                <w:p w14:paraId="7954AFDC" w14:textId="77777777" w:rsidR="00F05DC7" w:rsidRPr="00AF5D17" w:rsidRDefault="00F05DC7" w:rsidP="00A3786D">
                  <w:pPr>
                    <w:jc w:val="right"/>
                    <w:rPr>
                      <w:rFonts w:asciiTheme="minorHAnsi" w:hAnsiTheme="minorHAnsi" w:cstheme="minorHAnsi"/>
                      <w:sz w:val="18"/>
                      <w:szCs w:val="18"/>
                    </w:rPr>
                  </w:pPr>
                  <w:r w:rsidRPr="00AF5D17">
                    <w:rPr>
                      <w:rFonts w:asciiTheme="minorHAnsi" w:hAnsiTheme="minorHAnsi" w:cstheme="minorHAnsi"/>
                      <w:color w:val="000000"/>
                      <w:sz w:val="18"/>
                      <w:szCs w:val="18"/>
                    </w:rPr>
                    <w:t>DR84</w:t>
                  </w:r>
                </w:p>
              </w:tc>
            </w:tr>
            <w:tr w:rsidR="00F05DC7" w:rsidRPr="00A43A41" w14:paraId="7954AFE0" w14:textId="77777777" w:rsidTr="00A3786D">
              <w:tc>
                <w:tcPr>
                  <w:tcW w:w="3536" w:type="pct"/>
                  <w:shd w:val="clear" w:color="auto" w:fill="auto"/>
                  <w:vAlign w:val="center"/>
                </w:tcPr>
                <w:p w14:paraId="7954AFDE" w14:textId="77777777" w:rsidR="00F05DC7" w:rsidRPr="00AF5D17" w:rsidRDefault="00F05DC7" w:rsidP="00A3786D">
                  <w:pPr>
                    <w:rPr>
                      <w:rFonts w:asciiTheme="minorHAnsi" w:hAnsiTheme="minorHAnsi" w:cstheme="minorHAnsi"/>
                      <w:sz w:val="18"/>
                      <w:szCs w:val="18"/>
                    </w:rPr>
                  </w:pPr>
                  <w:r w:rsidRPr="00AF5D17">
                    <w:rPr>
                      <w:rFonts w:asciiTheme="minorHAnsi" w:hAnsiTheme="minorHAnsi" w:cstheme="minorHAnsi"/>
                      <w:sz w:val="18"/>
                      <w:szCs w:val="18"/>
                    </w:rPr>
                    <w:t>Western Australian Local Government Association</w:t>
                  </w:r>
                </w:p>
              </w:tc>
              <w:tc>
                <w:tcPr>
                  <w:tcW w:w="1464" w:type="pct"/>
                  <w:shd w:val="clear" w:color="auto" w:fill="auto"/>
                  <w:vAlign w:val="center"/>
                </w:tcPr>
                <w:p w14:paraId="7954AFDF" w14:textId="77777777" w:rsidR="00F05DC7" w:rsidRPr="00AF5D17" w:rsidRDefault="00F05DC7" w:rsidP="00A3786D">
                  <w:pPr>
                    <w:jc w:val="right"/>
                    <w:rPr>
                      <w:rFonts w:asciiTheme="minorHAnsi" w:hAnsiTheme="minorHAnsi" w:cstheme="minorHAnsi"/>
                      <w:sz w:val="18"/>
                      <w:szCs w:val="18"/>
                    </w:rPr>
                  </w:pPr>
                  <w:r w:rsidRPr="00AF5D17">
                    <w:rPr>
                      <w:rFonts w:asciiTheme="minorHAnsi" w:hAnsiTheme="minorHAnsi" w:cstheme="minorHAnsi"/>
                      <w:sz w:val="18"/>
                      <w:szCs w:val="18"/>
                    </w:rPr>
                    <w:t>46</w:t>
                  </w:r>
                </w:p>
              </w:tc>
            </w:tr>
            <w:tr w:rsidR="00F05DC7" w:rsidRPr="00A43A41" w14:paraId="7954AFE3" w14:textId="77777777" w:rsidTr="004F6C34">
              <w:tc>
                <w:tcPr>
                  <w:tcW w:w="3536" w:type="pct"/>
                  <w:shd w:val="clear" w:color="auto" w:fill="auto"/>
                  <w:vAlign w:val="center"/>
                </w:tcPr>
                <w:p w14:paraId="7954AFE1" w14:textId="77777777" w:rsidR="00F05DC7" w:rsidRPr="00AF5D17" w:rsidRDefault="00F05DC7" w:rsidP="00A3786D">
                  <w:pPr>
                    <w:rPr>
                      <w:rFonts w:asciiTheme="minorHAnsi" w:hAnsiTheme="minorHAnsi" w:cstheme="minorHAnsi"/>
                      <w:sz w:val="18"/>
                      <w:szCs w:val="18"/>
                    </w:rPr>
                  </w:pPr>
                  <w:r w:rsidRPr="00AF5D17">
                    <w:rPr>
                      <w:rFonts w:asciiTheme="minorHAnsi" w:hAnsiTheme="minorHAnsi" w:cstheme="minorHAnsi"/>
                      <w:sz w:val="18"/>
                      <w:szCs w:val="18"/>
                    </w:rPr>
                    <w:t>Wilson Tuckey</w:t>
                  </w:r>
                </w:p>
              </w:tc>
              <w:tc>
                <w:tcPr>
                  <w:tcW w:w="1464" w:type="pct"/>
                  <w:shd w:val="clear" w:color="auto" w:fill="auto"/>
                  <w:vAlign w:val="center"/>
                </w:tcPr>
                <w:p w14:paraId="7954AFE2" w14:textId="77777777" w:rsidR="00F05DC7" w:rsidRPr="00AF5D17" w:rsidRDefault="00F05DC7" w:rsidP="00A3786D">
                  <w:pPr>
                    <w:jc w:val="right"/>
                    <w:rPr>
                      <w:rFonts w:asciiTheme="minorHAnsi" w:hAnsiTheme="minorHAnsi" w:cstheme="minorHAnsi"/>
                      <w:sz w:val="18"/>
                      <w:szCs w:val="18"/>
                    </w:rPr>
                  </w:pPr>
                  <w:r w:rsidRPr="00AF5D17">
                    <w:rPr>
                      <w:rFonts w:asciiTheme="minorHAnsi" w:hAnsiTheme="minorHAnsi" w:cstheme="minorHAnsi"/>
                      <w:sz w:val="18"/>
                      <w:szCs w:val="18"/>
                    </w:rPr>
                    <w:t>6</w:t>
                  </w:r>
                </w:p>
              </w:tc>
            </w:tr>
            <w:tr w:rsidR="00F05DC7" w:rsidRPr="00A43A41" w14:paraId="7954AFE6" w14:textId="77777777" w:rsidTr="004F6C34">
              <w:tc>
                <w:tcPr>
                  <w:tcW w:w="3536" w:type="pct"/>
                  <w:tcBorders>
                    <w:bottom w:val="single" w:sz="4" w:space="0" w:color="BFBFBF"/>
                  </w:tcBorders>
                  <w:shd w:val="clear" w:color="auto" w:fill="auto"/>
                  <w:vAlign w:val="center"/>
                </w:tcPr>
                <w:p w14:paraId="7954AFE4" w14:textId="77777777" w:rsidR="00F05DC7" w:rsidRPr="00AF5D17" w:rsidRDefault="00F05DC7" w:rsidP="00A3786D">
                  <w:pPr>
                    <w:rPr>
                      <w:rFonts w:asciiTheme="minorHAnsi" w:hAnsiTheme="minorHAnsi" w:cstheme="minorHAnsi"/>
                      <w:sz w:val="18"/>
                      <w:szCs w:val="18"/>
                    </w:rPr>
                  </w:pPr>
                  <w:r>
                    <w:rPr>
                      <w:rFonts w:asciiTheme="minorHAnsi" w:hAnsiTheme="minorHAnsi" w:cstheme="minorHAnsi"/>
                      <w:sz w:val="18"/>
                      <w:szCs w:val="18"/>
                    </w:rPr>
                    <w:t>Yothu Yindi Foundation (YYF)</w:t>
                  </w:r>
                </w:p>
              </w:tc>
              <w:tc>
                <w:tcPr>
                  <w:tcW w:w="1464" w:type="pct"/>
                  <w:tcBorders>
                    <w:bottom w:val="single" w:sz="4" w:space="0" w:color="BFBFBF"/>
                  </w:tcBorders>
                  <w:shd w:val="clear" w:color="auto" w:fill="auto"/>
                  <w:vAlign w:val="center"/>
                </w:tcPr>
                <w:p w14:paraId="7954AFE5" w14:textId="77777777" w:rsidR="00F05DC7" w:rsidRPr="00AF5D17" w:rsidRDefault="00F05DC7" w:rsidP="00A3786D">
                  <w:pPr>
                    <w:jc w:val="right"/>
                    <w:rPr>
                      <w:rFonts w:asciiTheme="minorHAnsi" w:hAnsiTheme="minorHAnsi" w:cstheme="minorHAnsi"/>
                      <w:sz w:val="18"/>
                      <w:szCs w:val="18"/>
                    </w:rPr>
                  </w:pPr>
                  <w:r>
                    <w:rPr>
                      <w:rFonts w:asciiTheme="minorHAnsi" w:hAnsiTheme="minorHAnsi" w:cstheme="minorHAnsi"/>
                      <w:sz w:val="18"/>
                      <w:szCs w:val="18"/>
                    </w:rPr>
                    <w:t>DR80</w:t>
                  </w:r>
                </w:p>
              </w:tc>
            </w:tr>
          </w:tbl>
          <w:p w14:paraId="7954AFE7" w14:textId="77777777" w:rsidR="00F05DC7" w:rsidRPr="004F5745" w:rsidRDefault="00F05DC7" w:rsidP="00A3786D">
            <w:pPr>
              <w:pStyle w:val="Box"/>
            </w:pPr>
          </w:p>
        </w:tc>
      </w:tr>
      <w:tr w:rsidR="00F05DC7" w:rsidRPr="004F5745" w14:paraId="7954AFEA" w14:textId="77777777" w:rsidTr="00A3786D">
        <w:trPr>
          <w:cantSplit/>
        </w:trPr>
        <w:tc>
          <w:tcPr>
            <w:tcW w:w="5000" w:type="pct"/>
            <w:tcBorders>
              <w:top w:val="nil"/>
              <w:left w:val="nil"/>
              <w:bottom w:val="single" w:sz="6" w:space="0" w:color="78A22F"/>
              <w:right w:val="nil"/>
            </w:tcBorders>
            <w:shd w:val="clear" w:color="auto" w:fill="auto"/>
          </w:tcPr>
          <w:p w14:paraId="7954AFE9" w14:textId="77777777" w:rsidR="00F05DC7" w:rsidRPr="004F5745" w:rsidRDefault="00F05DC7" w:rsidP="00A3786D">
            <w:pPr>
              <w:pStyle w:val="TableBodyText"/>
              <w:spacing w:before="40"/>
              <w:jc w:val="left"/>
            </w:pPr>
            <w:r w:rsidRPr="00D33C67">
              <w:rPr>
                <w:b/>
                <w:color w:val="000000" w:themeColor="text1"/>
                <w:position w:val="6"/>
              </w:rPr>
              <w:t>a</w:t>
            </w:r>
            <w:r w:rsidRPr="00D33C67">
              <w:rPr>
                <w:color w:val="000000" w:themeColor="text1"/>
              </w:rPr>
              <w:t xml:space="preserve"> </w:t>
            </w:r>
            <w:r w:rsidRPr="003208E5">
              <w:rPr>
                <w:rFonts w:asciiTheme="minorHAnsi" w:hAnsiTheme="minorHAnsi" w:cstheme="minorHAnsi"/>
                <w:szCs w:val="18"/>
              </w:rPr>
              <w:t>DR before a number denotes that the submission was lodged subsequent to the release of the draft report in the inquiry report stage.</w:t>
            </w:r>
          </w:p>
        </w:tc>
      </w:tr>
      <w:tr w:rsidR="00F05DC7" w:rsidRPr="004F5745" w14:paraId="7954AFEC" w14:textId="77777777" w:rsidTr="00A3786D">
        <w:tc>
          <w:tcPr>
            <w:tcW w:w="5000" w:type="pct"/>
            <w:tcBorders>
              <w:top w:val="single" w:sz="6" w:space="0" w:color="78A22F"/>
              <w:left w:val="nil"/>
              <w:bottom w:val="nil"/>
              <w:right w:val="nil"/>
            </w:tcBorders>
          </w:tcPr>
          <w:p w14:paraId="7954AFEB" w14:textId="77777777" w:rsidR="00F05DC7" w:rsidRPr="004F5745" w:rsidRDefault="00F05DC7" w:rsidP="00A3786D">
            <w:pPr>
              <w:pStyle w:val="BoxSpaceBelow"/>
            </w:pPr>
          </w:p>
        </w:tc>
      </w:tr>
    </w:tbl>
    <w:p w14:paraId="7954AFED" w14:textId="77777777" w:rsidR="00F05DC7" w:rsidRDefault="00F05DC7" w:rsidP="00A3786D">
      <w:pPr>
        <w:rPr>
          <w:szCs w:val="20"/>
        </w:rPr>
      </w:pPr>
    </w:p>
    <w:p w14:paraId="7954AFEE" w14:textId="77777777" w:rsidR="00F05DC7" w:rsidRDefault="00F05DC7" w:rsidP="00A3786D">
      <w:pPr>
        <w:rPr>
          <w:szCs w:val="20"/>
        </w:rPr>
      </w:pPr>
      <w:r>
        <w:rPr>
          <w:szCs w:val="20"/>
        </w:rP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05DC7" w:rsidRPr="00784A05" w14:paraId="7954AFF0" w14:textId="77777777" w:rsidTr="001113B1">
        <w:trPr>
          <w:tblHeader/>
        </w:trPr>
        <w:tc>
          <w:tcPr>
            <w:tcW w:w="5000" w:type="pct"/>
            <w:tcBorders>
              <w:top w:val="single" w:sz="6" w:space="0" w:color="78A22F"/>
              <w:left w:val="nil"/>
              <w:bottom w:val="nil"/>
              <w:right w:val="nil"/>
            </w:tcBorders>
            <w:shd w:val="clear" w:color="auto" w:fill="auto"/>
          </w:tcPr>
          <w:p w14:paraId="7954AFEF" w14:textId="22B33ED9" w:rsidR="00F05DC7" w:rsidRPr="00784A05" w:rsidRDefault="00F05DC7" w:rsidP="00A3786D">
            <w:pPr>
              <w:pStyle w:val="TableTitle"/>
            </w:pPr>
            <w:r>
              <w:rPr>
                <w:b w:val="0"/>
              </w:rPr>
              <w:lastRenderedPageBreak/>
              <w:t>Table A.</w:t>
            </w:r>
            <w:r>
              <w:rPr>
                <w:b w:val="0"/>
                <w:noProof/>
              </w:rPr>
              <w:t>2</w:t>
            </w:r>
            <w:r>
              <w:tab/>
              <w:t>Consultations</w:t>
            </w:r>
          </w:p>
        </w:tc>
      </w:tr>
      <w:tr w:rsidR="00F05DC7" w:rsidRPr="009B5805" w14:paraId="7954B04A" w14:textId="77777777" w:rsidTr="004F6C34">
        <w:trPr>
          <w:cantSplit/>
          <w:trHeight w:val="12257"/>
        </w:trPr>
        <w:tc>
          <w:tcPr>
            <w:tcW w:w="5000" w:type="pct"/>
            <w:tcBorders>
              <w:top w:val="nil"/>
              <w:left w:val="nil"/>
              <w:bottom w:val="single" w:sz="4" w:space="0" w:color="BFBFBF"/>
              <w:right w:val="nil"/>
            </w:tcBorders>
            <w:shd w:val="clear" w:color="auto" w:fill="auto"/>
          </w:tcPr>
          <w:tbl>
            <w:tblPr>
              <w:tblW w:w="4998" w:type="pct"/>
              <w:jc w:val="right"/>
              <w:tblCellMar>
                <w:top w:w="28" w:type="dxa"/>
                <w:left w:w="0" w:type="dxa"/>
                <w:right w:w="0" w:type="dxa"/>
              </w:tblCellMar>
              <w:tblLook w:val="0000" w:firstRow="0" w:lastRow="0" w:firstColumn="0" w:lastColumn="0" w:noHBand="0" w:noVBand="0"/>
            </w:tblPr>
            <w:tblGrid>
              <w:gridCol w:w="8502"/>
            </w:tblGrid>
            <w:tr w:rsidR="00F05DC7" w:rsidRPr="009B5805" w14:paraId="7954AFF2" w14:textId="77777777" w:rsidTr="001113B1">
              <w:trPr>
                <w:tblHeader/>
                <w:jc w:val="right"/>
              </w:trPr>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7954AFF1" w14:textId="77777777" w:rsidR="00F05DC7" w:rsidRPr="009B5805" w:rsidRDefault="00F05DC7" w:rsidP="00A3786D">
                  <w:pPr>
                    <w:pStyle w:val="TableColumnHeading"/>
                    <w:jc w:val="left"/>
                    <w:rPr>
                      <w:rFonts w:asciiTheme="minorHAnsi" w:hAnsiTheme="minorHAnsi" w:cstheme="minorHAnsi"/>
                      <w:szCs w:val="18"/>
                    </w:rPr>
                  </w:pPr>
                  <w:r w:rsidRPr="009B5805">
                    <w:rPr>
                      <w:rFonts w:asciiTheme="minorHAnsi" w:hAnsiTheme="minorHAnsi" w:cstheme="minorHAnsi"/>
                      <w:szCs w:val="18"/>
                    </w:rPr>
                    <w:t>Participant</w:t>
                  </w:r>
                </w:p>
              </w:tc>
            </w:tr>
            <w:tr w:rsidR="00F05DC7" w:rsidRPr="009B5805" w14:paraId="7954AFF4" w14:textId="77777777" w:rsidTr="00A3786D">
              <w:trPr>
                <w:jc w:val="right"/>
              </w:trPr>
              <w:tc>
                <w:tcPr>
                  <w:tcW w:w="5000" w:type="pct"/>
                  <w:vAlign w:val="center"/>
                </w:tcPr>
                <w:p w14:paraId="7954AFF3" w14:textId="77777777" w:rsidR="00F05DC7" w:rsidRPr="009B5805" w:rsidRDefault="00F05DC7" w:rsidP="004F6C34">
                  <w:pPr>
                    <w:pStyle w:val="TableBodyText"/>
                    <w:spacing w:before="80"/>
                    <w:jc w:val="left"/>
                    <w:rPr>
                      <w:rFonts w:asciiTheme="minorHAnsi" w:hAnsiTheme="minorHAnsi" w:cstheme="minorHAnsi"/>
                      <w:szCs w:val="18"/>
                    </w:rPr>
                  </w:pPr>
                  <w:r>
                    <w:rPr>
                      <w:rFonts w:cs="Arial"/>
                      <w:szCs w:val="18"/>
                    </w:rPr>
                    <w:t>ACIL Allen Consulting</w:t>
                  </w:r>
                </w:p>
              </w:tc>
            </w:tr>
            <w:tr w:rsidR="00F05DC7" w:rsidRPr="009B5805" w14:paraId="7954AFF6" w14:textId="77777777" w:rsidTr="00A3786D">
              <w:trPr>
                <w:jc w:val="right"/>
              </w:trPr>
              <w:tc>
                <w:tcPr>
                  <w:tcW w:w="5000" w:type="pct"/>
                  <w:vAlign w:val="center"/>
                </w:tcPr>
                <w:p w14:paraId="7954AFF5" w14:textId="77777777" w:rsidR="00F05DC7" w:rsidRPr="009B5805" w:rsidRDefault="00F05DC7" w:rsidP="00A3786D">
                  <w:pPr>
                    <w:pStyle w:val="TableBodyText"/>
                    <w:jc w:val="left"/>
                    <w:rPr>
                      <w:rFonts w:asciiTheme="minorHAnsi" w:hAnsiTheme="minorHAnsi" w:cstheme="minorHAnsi"/>
                      <w:szCs w:val="18"/>
                    </w:rPr>
                  </w:pPr>
                  <w:r>
                    <w:rPr>
                      <w:rFonts w:cs="Arial"/>
                      <w:szCs w:val="18"/>
                    </w:rPr>
                    <w:t>ACT Government</w:t>
                  </w:r>
                </w:p>
              </w:tc>
            </w:tr>
            <w:tr w:rsidR="00F05DC7" w:rsidRPr="009B5805" w14:paraId="7954AFF8" w14:textId="77777777" w:rsidTr="00A3786D">
              <w:trPr>
                <w:jc w:val="right"/>
              </w:trPr>
              <w:tc>
                <w:tcPr>
                  <w:tcW w:w="5000" w:type="pct"/>
                  <w:vAlign w:val="center"/>
                </w:tcPr>
                <w:p w14:paraId="7954AFF7" w14:textId="77777777" w:rsidR="00F05DC7" w:rsidRDefault="00F05DC7" w:rsidP="00A3786D">
                  <w:pPr>
                    <w:pStyle w:val="TableBodyText"/>
                    <w:jc w:val="left"/>
                    <w:rPr>
                      <w:rFonts w:asciiTheme="minorHAnsi" w:hAnsiTheme="minorHAnsi" w:cstheme="minorHAnsi"/>
                      <w:szCs w:val="18"/>
                    </w:rPr>
                  </w:pPr>
                  <w:r>
                    <w:rPr>
                      <w:rFonts w:cs="Arial"/>
                      <w:szCs w:val="18"/>
                    </w:rPr>
                    <w:t>Australian Bankers’ Association</w:t>
                  </w:r>
                </w:p>
              </w:tc>
            </w:tr>
            <w:tr w:rsidR="00F05DC7" w:rsidRPr="009B5805" w14:paraId="7954AFFA" w14:textId="77777777" w:rsidTr="00A3786D">
              <w:trPr>
                <w:jc w:val="right"/>
              </w:trPr>
              <w:tc>
                <w:tcPr>
                  <w:tcW w:w="5000" w:type="pct"/>
                  <w:vAlign w:val="bottom"/>
                </w:tcPr>
                <w:p w14:paraId="7954AFF9" w14:textId="77777777" w:rsidR="00F05DC7" w:rsidRDefault="00F05DC7" w:rsidP="00A3786D">
                  <w:pPr>
                    <w:pStyle w:val="TableBodyText"/>
                    <w:jc w:val="left"/>
                    <w:rPr>
                      <w:rFonts w:asciiTheme="minorHAnsi" w:hAnsiTheme="minorHAnsi" w:cstheme="minorHAnsi"/>
                      <w:szCs w:val="18"/>
                    </w:rPr>
                  </w:pPr>
                  <w:r>
                    <w:rPr>
                      <w:rFonts w:cs="Arial"/>
                      <w:szCs w:val="18"/>
                    </w:rPr>
                    <w:t>Australian Chamber of Commerce &amp; Industry</w:t>
                  </w:r>
                </w:p>
              </w:tc>
            </w:tr>
            <w:tr w:rsidR="00F05DC7" w:rsidRPr="009B5805" w14:paraId="7954AFFC" w14:textId="77777777" w:rsidTr="00A3786D">
              <w:trPr>
                <w:jc w:val="right"/>
              </w:trPr>
              <w:tc>
                <w:tcPr>
                  <w:tcW w:w="5000" w:type="pct"/>
                  <w:vAlign w:val="bottom"/>
                </w:tcPr>
                <w:p w14:paraId="7954AFFB" w14:textId="77777777" w:rsidR="00F05DC7" w:rsidRDefault="00F05DC7" w:rsidP="00A3786D">
                  <w:pPr>
                    <w:pStyle w:val="TableBodyText"/>
                    <w:jc w:val="left"/>
                    <w:rPr>
                      <w:rFonts w:asciiTheme="minorHAnsi" w:hAnsiTheme="minorHAnsi" w:cstheme="minorHAnsi"/>
                      <w:szCs w:val="18"/>
                    </w:rPr>
                  </w:pPr>
                  <w:r>
                    <w:rPr>
                      <w:rFonts w:cs="Arial"/>
                      <w:szCs w:val="18"/>
                    </w:rPr>
                    <w:t>Bruce Carter</w:t>
                  </w:r>
                </w:p>
              </w:tc>
            </w:tr>
            <w:tr w:rsidR="00F05DC7" w:rsidRPr="009B5805" w14:paraId="7954AFFE" w14:textId="77777777" w:rsidTr="00A3786D">
              <w:trPr>
                <w:jc w:val="right"/>
              </w:trPr>
              <w:tc>
                <w:tcPr>
                  <w:tcW w:w="5000" w:type="pct"/>
                  <w:vAlign w:val="center"/>
                </w:tcPr>
                <w:p w14:paraId="7954AFFD" w14:textId="77777777" w:rsidR="00F05DC7" w:rsidRDefault="00F05DC7" w:rsidP="00A3786D">
                  <w:pPr>
                    <w:pStyle w:val="TableBodyText"/>
                    <w:jc w:val="left"/>
                    <w:rPr>
                      <w:rFonts w:asciiTheme="minorHAnsi" w:hAnsiTheme="minorHAnsi" w:cstheme="minorHAnsi"/>
                      <w:szCs w:val="18"/>
                    </w:rPr>
                  </w:pPr>
                  <w:r>
                    <w:rPr>
                      <w:rFonts w:cs="Arial"/>
                      <w:szCs w:val="18"/>
                    </w:rPr>
                    <w:t>Business Council of Australia</w:t>
                  </w:r>
                </w:p>
              </w:tc>
            </w:tr>
            <w:tr w:rsidR="00F05DC7" w:rsidRPr="009B5805" w14:paraId="7954B000" w14:textId="77777777" w:rsidTr="00A3786D">
              <w:trPr>
                <w:jc w:val="right"/>
              </w:trPr>
              <w:tc>
                <w:tcPr>
                  <w:tcW w:w="5000" w:type="pct"/>
                  <w:vAlign w:val="bottom"/>
                </w:tcPr>
                <w:p w14:paraId="7954AFFF" w14:textId="77777777" w:rsidR="00F05DC7" w:rsidRPr="009B5805" w:rsidRDefault="00F05DC7" w:rsidP="00A3786D">
                  <w:pPr>
                    <w:pStyle w:val="TableBodyText"/>
                    <w:jc w:val="left"/>
                    <w:rPr>
                      <w:rFonts w:asciiTheme="minorHAnsi" w:hAnsiTheme="minorHAnsi" w:cstheme="minorHAnsi"/>
                      <w:szCs w:val="18"/>
                    </w:rPr>
                  </w:pPr>
                  <w:r>
                    <w:rPr>
                      <w:rFonts w:cs="Arial"/>
                      <w:szCs w:val="18"/>
                    </w:rPr>
                    <w:t>Centre of Policy Studies, Victoria University</w:t>
                  </w:r>
                </w:p>
              </w:tc>
            </w:tr>
            <w:tr w:rsidR="00F05DC7" w:rsidRPr="009B5805" w14:paraId="7954B002" w14:textId="77777777" w:rsidTr="00A3786D">
              <w:trPr>
                <w:jc w:val="right"/>
              </w:trPr>
              <w:tc>
                <w:tcPr>
                  <w:tcW w:w="5000" w:type="pct"/>
                  <w:vAlign w:val="center"/>
                </w:tcPr>
                <w:p w14:paraId="7954B001" w14:textId="77777777" w:rsidR="00F05DC7" w:rsidRPr="009B5805" w:rsidRDefault="00F05DC7" w:rsidP="00A3786D">
                  <w:pPr>
                    <w:pStyle w:val="TableBodyText"/>
                    <w:jc w:val="left"/>
                    <w:rPr>
                      <w:rFonts w:asciiTheme="minorHAnsi" w:hAnsiTheme="minorHAnsi" w:cstheme="minorHAnsi"/>
                      <w:szCs w:val="18"/>
                    </w:rPr>
                  </w:pPr>
                  <w:r>
                    <w:rPr>
                      <w:rFonts w:cs="Arial"/>
                      <w:szCs w:val="18"/>
                    </w:rPr>
                    <w:t>Chamber of Commerce &amp; Industry Queensland</w:t>
                  </w:r>
                </w:p>
              </w:tc>
            </w:tr>
            <w:tr w:rsidR="00F05DC7" w:rsidRPr="009B5805" w14:paraId="7954B004" w14:textId="77777777" w:rsidTr="00A3786D">
              <w:trPr>
                <w:jc w:val="right"/>
              </w:trPr>
              <w:tc>
                <w:tcPr>
                  <w:tcW w:w="5000" w:type="pct"/>
                  <w:vAlign w:val="bottom"/>
                </w:tcPr>
                <w:p w14:paraId="7954B003" w14:textId="77777777" w:rsidR="00F05DC7" w:rsidRPr="009B5805" w:rsidRDefault="00F05DC7" w:rsidP="00A3786D">
                  <w:pPr>
                    <w:pStyle w:val="TableBodyText"/>
                    <w:jc w:val="left"/>
                    <w:rPr>
                      <w:rFonts w:asciiTheme="minorHAnsi" w:hAnsiTheme="minorHAnsi" w:cstheme="minorHAnsi"/>
                      <w:szCs w:val="18"/>
                    </w:rPr>
                  </w:pPr>
                  <w:r>
                    <w:rPr>
                      <w:rFonts w:cs="Arial"/>
                      <w:color w:val="000000"/>
                      <w:szCs w:val="18"/>
                    </w:rPr>
                    <w:t>Chamber of Commerce and Industry of Western Australia</w:t>
                  </w:r>
                </w:p>
              </w:tc>
            </w:tr>
            <w:tr w:rsidR="00F05DC7" w:rsidRPr="009B5805" w14:paraId="7954B006" w14:textId="77777777" w:rsidTr="00A3786D">
              <w:trPr>
                <w:jc w:val="right"/>
              </w:trPr>
              <w:tc>
                <w:tcPr>
                  <w:tcW w:w="5000" w:type="pct"/>
                  <w:vAlign w:val="center"/>
                </w:tcPr>
                <w:p w14:paraId="7954B005" w14:textId="77777777" w:rsidR="00F05DC7" w:rsidRPr="009B5805" w:rsidRDefault="00F05DC7" w:rsidP="00A3786D">
                  <w:pPr>
                    <w:pStyle w:val="TableBodyText"/>
                    <w:jc w:val="left"/>
                    <w:rPr>
                      <w:rFonts w:asciiTheme="minorHAnsi" w:hAnsiTheme="minorHAnsi" w:cstheme="minorHAnsi"/>
                      <w:szCs w:val="18"/>
                    </w:rPr>
                  </w:pPr>
                  <w:r>
                    <w:rPr>
                      <w:rFonts w:cs="Arial"/>
                      <w:szCs w:val="18"/>
                    </w:rPr>
                    <w:t>Chris Murphy</w:t>
                  </w:r>
                </w:p>
              </w:tc>
            </w:tr>
            <w:tr w:rsidR="00F05DC7" w:rsidRPr="009B5805" w14:paraId="7954B008" w14:textId="77777777" w:rsidTr="00A3786D">
              <w:trPr>
                <w:jc w:val="right"/>
              </w:trPr>
              <w:tc>
                <w:tcPr>
                  <w:tcW w:w="5000" w:type="pct"/>
                  <w:vAlign w:val="center"/>
                </w:tcPr>
                <w:p w14:paraId="7954B007" w14:textId="77777777" w:rsidR="00F05DC7" w:rsidRPr="009B5805" w:rsidRDefault="00F05DC7" w:rsidP="00A3786D">
                  <w:pPr>
                    <w:pStyle w:val="TableBodyText"/>
                    <w:jc w:val="left"/>
                    <w:rPr>
                      <w:rFonts w:asciiTheme="minorHAnsi" w:hAnsiTheme="minorHAnsi" w:cstheme="minorHAnsi"/>
                      <w:szCs w:val="18"/>
                    </w:rPr>
                  </w:pPr>
                  <w:r>
                    <w:rPr>
                      <w:rFonts w:cs="Arial"/>
                      <w:szCs w:val="18"/>
                    </w:rPr>
                    <w:t>Commonwealth Grants Commission</w:t>
                  </w:r>
                </w:p>
              </w:tc>
            </w:tr>
            <w:tr w:rsidR="00F05DC7" w:rsidRPr="009B5805" w14:paraId="7954B00A" w14:textId="77777777" w:rsidTr="00A3786D">
              <w:trPr>
                <w:jc w:val="right"/>
              </w:trPr>
              <w:tc>
                <w:tcPr>
                  <w:tcW w:w="5000" w:type="pct"/>
                  <w:vAlign w:val="center"/>
                </w:tcPr>
                <w:p w14:paraId="7954B009" w14:textId="77777777" w:rsidR="00F05DC7" w:rsidRPr="007B1353" w:rsidRDefault="00F05DC7" w:rsidP="00A3786D">
                  <w:pPr>
                    <w:pStyle w:val="TableBodyText"/>
                    <w:jc w:val="left"/>
                    <w:rPr>
                      <w:rFonts w:cs="Arial"/>
                      <w:szCs w:val="18"/>
                    </w:rPr>
                  </w:pPr>
                  <w:r>
                    <w:rPr>
                      <w:rFonts w:cs="Arial"/>
                      <w:szCs w:val="18"/>
                    </w:rPr>
                    <w:t>Commonwealth Treasury</w:t>
                  </w:r>
                </w:p>
              </w:tc>
            </w:tr>
            <w:tr w:rsidR="00F05DC7" w:rsidRPr="009B5805" w14:paraId="7954B00C" w14:textId="77777777" w:rsidTr="00A3786D">
              <w:trPr>
                <w:jc w:val="right"/>
              </w:trPr>
              <w:tc>
                <w:tcPr>
                  <w:tcW w:w="5000" w:type="pct"/>
                  <w:vAlign w:val="center"/>
                </w:tcPr>
                <w:p w14:paraId="7954B00B" w14:textId="77777777" w:rsidR="00F05DC7" w:rsidRDefault="00F05DC7" w:rsidP="00A3786D">
                  <w:pPr>
                    <w:pStyle w:val="TableBodyText"/>
                    <w:jc w:val="left"/>
                    <w:rPr>
                      <w:rFonts w:cs="Arial"/>
                      <w:szCs w:val="18"/>
                    </w:rPr>
                  </w:pPr>
                  <w:r>
                    <w:rPr>
                      <w:rFonts w:cs="Arial"/>
                      <w:szCs w:val="18"/>
                    </w:rPr>
                    <w:t>Council on Federal Financial Relations</w:t>
                  </w:r>
                </w:p>
              </w:tc>
            </w:tr>
            <w:tr w:rsidR="00F05DC7" w:rsidRPr="009B5805" w14:paraId="7954B00E" w14:textId="77777777" w:rsidTr="00A3786D">
              <w:trPr>
                <w:jc w:val="right"/>
              </w:trPr>
              <w:tc>
                <w:tcPr>
                  <w:tcW w:w="5000" w:type="pct"/>
                  <w:vAlign w:val="bottom"/>
                </w:tcPr>
                <w:p w14:paraId="7954B00D" w14:textId="77777777" w:rsidR="00F05DC7" w:rsidRPr="009B5805" w:rsidRDefault="00F05DC7" w:rsidP="00A3786D">
                  <w:pPr>
                    <w:pStyle w:val="TableBodyText"/>
                    <w:jc w:val="left"/>
                    <w:rPr>
                      <w:rFonts w:asciiTheme="minorHAnsi" w:hAnsiTheme="minorHAnsi" w:cstheme="minorHAnsi"/>
                      <w:szCs w:val="18"/>
                    </w:rPr>
                  </w:pPr>
                  <w:r>
                    <w:rPr>
                      <w:rFonts w:cs="Arial"/>
                      <w:szCs w:val="18"/>
                    </w:rPr>
                    <w:t>Crawford School of Public Policy</w:t>
                  </w:r>
                </w:p>
              </w:tc>
            </w:tr>
            <w:tr w:rsidR="00F05DC7" w:rsidRPr="009B5805" w14:paraId="7954B010" w14:textId="77777777" w:rsidTr="00A3786D">
              <w:trPr>
                <w:jc w:val="right"/>
              </w:trPr>
              <w:tc>
                <w:tcPr>
                  <w:tcW w:w="5000" w:type="pct"/>
                  <w:vAlign w:val="center"/>
                </w:tcPr>
                <w:p w14:paraId="7954B00F" w14:textId="77777777" w:rsidR="00F05DC7" w:rsidRPr="009B5805" w:rsidRDefault="00F05DC7" w:rsidP="00A3786D">
                  <w:pPr>
                    <w:pStyle w:val="TableBodyText"/>
                    <w:jc w:val="left"/>
                    <w:rPr>
                      <w:rFonts w:asciiTheme="minorHAnsi" w:hAnsiTheme="minorHAnsi" w:cstheme="minorHAnsi"/>
                      <w:szCs w:val="18"/>
                    </w:rPr>
                  </w:pPr>
                  <w:r>
                    <w:rPr>
                      <w:rFonts w:cs="Arial"/>
                      <w:szCs w:val="18"/>
                    </w:rPr>
                    <w:t>Deloitte Economics</w:t>
                  </w:r>
                </w:p>
              </w:tc>
            </w:tr>
            <w:tr w:rsidR="00F05DC7" w:rsidRPr="009B5805" w14:paraId="7954B012" w14:textId="77777777" w:rsidTr="00A3786D">
              <w:trPr>
                <w:jc w:val="right"/>
              </w:trPr>
              <w:tc>
                <w:tcPr>
                  <w:tcW w:w="5000" w:type="pct"/>
                  <w:vAlign w:val="center"/>
                </w:tcPr>
                <w:p w14:paraId="7954B011" w14:textId="77777777" w:rsidR="00F05DC7" w:rsidRDefault="00F05DC7" w:rsidP="00A3786D">
                  <w:pPr>
                    <w:pStyle w:val="TableBodyText"/>
                    <w:jc w:val="left"/>
                    <w:rPr>
                      <w:rFonts w:asciiTheme="minorHAnsi" w:hAnsiTheme="minorHAnsi" w:cstheme="minorHAnsi"/>
                      <w:szCs w:val="18"/>
                    </w:rPr>
                  </w:pPr>
                  <w:r>
                    <w:rPr>
                      <w:rFonts w:cs="Arial"/>
                      <w:szCs w:val="18"/>
                    </w:rPr>
                    <w:t>Don Challen</w:t>
                  </w:r>
                </w:p>
              </w:tc>
            </w:tr>
            <w:tr w:rsidR="00F05DC7" w:rsidRPr="009B5805" w14:paraId="7954B014" w14:textId="77777777" w:rsidTr="00A3786D">
              <w:trPr>
                <w:jc w:val="right"/>
              </w:trPr>
              <w:tc>
                <w:tcPr>
                  <w:tcW w:w="5000" w:type="pct"/>
                  <w:vAlign w:val="center"/>
                </w:tcPr>
                <w:p w14:paraId="7954B013" w14:textId="77777777" w:rsidR="00F05DC7" w:rsidRDefault="00F05DC7" w:rsidP="00A3786D">
                  <w:pPr>
                    <w:pStyle w:val="TableBodyText"/>
                    <w:jc w:val="left"/>
                    <w:rPr>
                      <w:rFonts w:asciiTheme="minorHAnsi" w:hAnsiTheme="minorHAnsi" w:cstheme="minorHAnsi"/>
                      <w:szCs w:val="18"/>
                    </w:rPr>
                  </w:pPr>
                  <w:r>
                    <w:rPr>
                      <w:rFonts w:cs="Arial"/>
                      <w:szCs w:val="18"/>
                    </w:rPr>
                    <w:t>Dr Lynne Williams</w:t>
                  </w:r>
                </w:p>
              </w:tc>
            </w:tr>
            <w:tr w:rsidR="00F05DC7" w:rsidRPr="009B5805" w14:paraId="7954B016" w14:textId="77777777" w:rsidTr="00A3786D">
              <w:trPr>
                <w:jc w:val="right"/>
              </w:trPr>
              <w:tc>
                <w:tcPr>
                  <w:tcW w:w="5000" w:type="pct"/>
                  <w:vAlign w:val="bottom"/>
                </w:tcPr>
                <w:p w14:paraId="7954B015" w14:textId="77777777" w:rsidR="00F05DC7" w:rsidRDefault="00F05DC7" w:rsidP="00A3786D">
                  <w:pPr>
                    <w:pStyle w:val="TableBodyText"/>
                    <w:jc w:val="left"/>
                    <w:rPr>
                      <w:rFonts w:asciiTheme="minorHAnsi" w:hAnsiTheme="minorHAnsi" w:cstheme="minorHAnsi"/>
                      <w:szCs w:val="18"/>
                    </w:rPr>
                  </w:pPr>
                  <w:r>
                    <w:rPr>
                      <w:rFonts w:cs="Arial"/>
                      <w:szCs w:val="18"/>
                    </w:rPr>
                    <w:t>Dr Michael Vertigan</w:t>
                  </w:r>
                </w:p>
              </w:tc>
            </w:tr>
            <w:tr w:rsidR="00F05DC7" w:rsidRPr="009B5805" w14:paraId="7954B018" w14:textId="77777777" w:rsidTr="00A3786D">
              <w:trPr>
                <w:jc w:val="right"/>
              </w:trPr>
              <w:tc>
                <w:tcPr>
                  <w:tcW w:w="5000" w:type="pct"/>
                  <w:vAlign w:val="bottom"/>
                </w:tcPr>
                <w:p w14:paraId="7954B017" w14:textId="77777777" w:rsidR="00F05DC7" w:rsidRDefault="00F05DC7" w:rsidP="00A3786D">
                  <w:pPr>
                    <w:pStyle w:val="TableBodyText"/>
                    <w:jc w:val="left"/>
                    <w:rPr>
                      <w:rFonts w:asciiTheme="minorHAnsi" w:hAnsiTheme="minorHAnsi" w:cstheme="minorHAnsi"/>
                      <w:szCs w:val="18"/>
                    </w:rPr>
                  </w:pPr>
                  <w:r>
                    <w:rPr>
                      <w:rFonts w:cs="Arial"/>
                      <w:szCs w:val="18"/>
                    </w:rPr>
                    <w:t>George Williams</w:t>
                  </w:r>
                </w:p>
              </w:tc>
            </w:tr>
            <w:tr w:rsidR="00F05DC7" w:rsidRPr="009B5805" w14:paraId="7954B01A" w14:textId="77777777" w:rsidTr="00A3786D">
              <w:trPr>
                <w:trHeight w:val="119"/>
                <w:jc w:val="right"/>
              </w:trPr>
              <w:tc>
                <w:tcPr>
                  <w:tcW w:w="5000" w:type="pct"/>
                  <w:vAlign w:val="center"/>
                </w:tcPr>
                <w:p w14:paraId="7954B019" w14:textId="77777777" w:rsidR="00F05DC7" w:rsidRPr="009B5805" w:rsidRDefault="00F05DC7" w:rsidP="00A3786D">
                  <w:pPr>
                    <w:pStyle w:val="TableBodyText"/>
                    <w:jc w:val="left"/>
                    <w:rPr>
                      <w:rFonts w:asciiTheme="minorHAnsi" w:hAnsiTheme="minorHAnsi" w:cstheme="minorHAnsi"/>
                      <w:szCs w:val="18"/>
                    </w:rPr>
                  </w:pPr>
                  <w:r>
                    <w:rPr>
                      <w:rFonts w:cs="Arial"/>
                      <w:szCs w:val="18"/>
                    </w:rPr>
                    <w:t>Iain McLean</w:t>
                  </w:r>
                </w:p>
              </w:tc>
            </w:tr>
            <w:tr w:rsidR="00F05DC7" w:rsidRPr="009B5805" w14:paraId="7954B01C" w14:textId="77777777" w:rsidTr="00A3786D">
              <w:trPr>
                <w:jc w:val="right"/>
              </w:trPr>
              <w:tc>
                <w:tcPr>
                  <w:tcW w:w="5000" w:type="pct"/>
                  <w:vAlign w:val="bottom"/>
                </w:tcPr>
                <w:p w14:paraId="7954B01B" w14:textId="77777777" w:rsidR="00F05DC7" w:rsidRPr="009B5805" w:rsidRDefault="00F05DC7" w:rsidP="00A3786D">
                  <w:pPr>
                    <w:pStyle w:val="TableBodyText"/>
                    <w:jc w:val="left"/>
                    <w:rPr>
                      <w:rFonts w:asciiTheme="minorHAnsi" w:hAnsiTheme="minorHAnsi" w:cstheme="minorHAnsi"/>
                      <w:szCs w:val="18"/>
                    </w:rPr>
                  </w:pPr>
                  <w:r>
                    <w:rPr>
                      <w:rFonts w:cs="Arial"/>
                      <w:color w:val="000000"/>
                      <w:szCs w:val="18"/>
                    </w:rPr>
                    <w:t>John Curtin Institute of Public Policy</w:t>
                  </w:r>
                </w:p>
              </w:tc>
            </w:tr>
            <w:tr w:rsidR="00F05DC7" w:rsidRPr="009B5805" w14:paraId="7954B01E" w14:textId="77777777" w:rsidTr="00A3786D">
              <w:trPr>
                <w:jc w:val="right"/>
              </w:trPr>
              <w:tc>
                <w:tcPr>
                  <w:tcW w:w="5000" w:type="pct"/>
                  <w:vAlign w:val="bottom"/>
                </w:tcPr>
                <w:p w14:paraId="7954B01D" w14:textId="77777777" w:rsidR="00F05DC7" w:rsidRPr="009B5805" w:rsidRDefault="00F05DC7" w:rsidP="00A3786D">
                  <w:pPr>
                    <w:pStyle w:val="TableBodyText"/>
                    <w:jc w:val="left"/>
                    <w:rPr>
                      <w:rFonts w:asciiTheme="minorHAnsi" w:hAnsiTheme="minorHAnsi" w:cstheme="minorHAnsi"/>
                      <w:szCs w:val="18"/>
                    </w:rPr>
                  </w:pPr>
                  <w:r>
                    <w:rPr>
                      <w:rFonts w:cs="Arial"/>
                      <w:szCs w:val="18"/>
                    </w:rPr>
                    <w:t>Jonathan Pincus</w:t>
                  </w:r>
                </w:p>
              </w:tc>
            </w:tr>
            <w:tr w:rsidR="00F05DC7" w:rsidRPr="009B5805" w14:paraId="7954B020" w14:textId="77777777" w:rsidTr="00A3786D">
              <w:trPr>
                <w:trHeight w:val="52"/>
                <w:jc w:val="right"/>
              </w:trPr>
              <w:tc>
                <w:tcPr>
                  <w:tcW w:w="5000" w:type="pct"/>
                  <w:vAlign w:val="bottom"/>
                </w:tcPr>
                <w:p w14:paraId="7954B01F" w14:textId="77777777" w:rsidR="00F05DC7" w:rsidRDefault="00F05DC7" w:rsidP="00A3786D">
                  <w:pPr>
                    <w:pStyle w:val="TableBodyText"/>
                    <w:jc w:val="left"/>
                    <w:rPr>
                      <w:rFonts w:cs="Arial"/>
                      <w:color w:val="000000"/>
                      <w:szCs w:val="18"/>
                    </w:rPr>
                  </w:pPr>
                  <w:r>
                    <w:rPr>
                      <w:rFonts w:cs="Arial"/>
                      <w:color w:val="000000"/>
                      <w:szCs w:val="18"/>
                    </w:rPr>
                    <w:t>Ken Henry</w:t>
                  </w:r>
                </w:p>
              </w:tc>
            </w:tr>
            <w:tr w:rsidR="00F05DC7" w:rsidRPr="009B5805" w14:paraId="7954B022" w14:textId="77777777" w:rsidTr="00A3786D">
              <w:trPr>
                <w:trHeight w:val="52"/>
                <w:jc w:val="right"/>
              </w:trPr>
              <w:tc>
                <w:tcPr>
                  <w:tcW w:w="5000" w:type="pct"/>
                  <w:vAlign w:val="bottom"/>
                </w:tcPr>
                <w:p w14:paraId="7954B021" w14:textId="77777777" w:rsidR="00F05DC7" w:rsidRPr="009B5805" w:rsidRDefault="00F05DC7" w:rsidP="00A3786D">
                  <w:pPr>
                    <w:pStyle w:val="TableBodyText"/>
                    <w:jc w:val="left"/>
                    <w:rPr>
                      <w:rFonts w:asciiTheme="minorHAnsi" w:hAnsiTheme="minorHAnsi" w:cstheme="minorHAnsi"/>
                      <w:szCs w:val="18"/>
                    </w:rPr>
                  </w:pPr>
                  <w:r>
                    <w:rPr>
                      <w:rFonts w:cs="Arial"/>
                      <w:color w:val="000000"/>
                      <w:szCs w:val="18"/>
                    </w:rPr>
                    <w:t xml:space="preserve">Local Government Consulting </w:t>
                  </w:r>
                </w:p>
              </w:tc>
            </w:tr>
            <w:tr w:rsidR="00F05DC7" w:rsidRPr="009B5805" w14:paraId="7954B024" w14:textId="77777777" w:rsidTr="00A3786D">
              <w:trPr>
                <w:trHeight w:val="52"/>
                <w:jc w:val="right"/>
              </w:trPr>
              <w:tc>
                <w:tcPr>
                  <w:tcW w:w="5000" w:type="pct"/>
                  <w:vAlign w:val="bottom"/>
                </w:tcPr>
                <w:p w14:paraId="7954B023" w14:textId="77777777" w:rsidR="00F05DC7" w:rsidRPr="009B5805" w:rsidRDefault="00F05DC7" w:rsidP="00A3786D">
                  <w:pPr>
                    <w:pStyle w:val="TableBodyText"/>
                    <w:jc w:val="left"/>
                    <w:rPr>
                      <w:rFonts w:asciiTheme="minorHAnsi" w:hAnsiTheme="minorHAnsi" w:cstheme="minorHAnsi"/>
                      <w:szCs w:val="18"/>
                    </w:rPr>
                  </w:pPr>
                  <w:r>
                    <w:rPr>
                      <w:rFonts w:cs="Arial"/>
                      <w:szCs w:val="18"/>
                    </w:rPr>
                    <w:t>Minerals Council of Australia</w:t>
                  </w:r>
                </w:p>
              </w:tc>
            </w:tr>
            <w:tr w:rsidR="00F05DC7" w:rsidRPr="009B5805" w14:paraId="7954B026" w14:textId="77777777" w:rsidTr="00A3786D">
              <w:trPr>
                <w:trHeight w:val="52"/>
                <w:jc w:val="right"/>
              </w:trPr>
              <w:tc>
                <w:tcPr>
                  <w:tcW w:w="5000" w:type="pct"/>
                  <w:vAlign w:val="center"/>
                </w:tcPr>
                <w:p w14:paraId="7954B025" w14:textId="77777777" w:rsidR="00F05DC7" w:rsidRPr="0012095E" w:rsidRDefault="00F05DC7" w:rsidP="00A3786D">
                  <w:pPr>
                    <w:pStyle w:val="TableBodyText"/>
                    <w:jc w:val="left"/>
                    <w:rPr>
                      <w:rFonts w:asciiTheme="minorHAnsi" w:hAnsiTheme="minorHAnsi" w:cstheme="minorHAnsi"/>
                      <w:szCs w:val="18"/>
                    </w:rPr>
                  </w:pPr>
                  <w:r>
                    <w:rPr>
                      <w:rFonts w:cs="Arial"/>
                      <w:szCs w:val="18"/>
                    </w:rPr>
                    <w:t>Neil Warren</w:t>
                  </w:r>
                </w:p>
              </w:tc>
            </w:tr>
            <w:tr w:rsidR="00F05DC7" w:rsidRPr="009B5805" w14:paraId="7954B028" w14:textId="77777777" w:rsidTr="00A3786D">
              <w:trPr>
                <w:trHeight w:val="52"/>
                <w:jc w:val="right"/>
              </w:trPr>
              <w:tc>
                <w:tcPr>
                  <w:tcW w:w="5000" w:type="pct"/>
                  <w:vAlign w:val="center"/>
                </w:tcPr>
                <w:p w14:paraId="7954B027" w14:textId="77777777" w:rsidR="00F05DC7" w:rsidRDefault="00F05DC7" w:rsidP="00A3786D">
                  <w:pPr>
                    <w:pStyle w:val="TableBodyText"/>
                    <w:jc w:val="left"/>
                    <w:rPr>
                      <w:rFonts w:asciiTheme="minorHAnsi" w:hAnsiTheme="minorHAnsi" w:cstheme="minorHAnsi"/>
                      <w:szCs w:val="18"/>
                    </w:rPr>
                  </w:pPr>
                  <w:r>
                    <w:rPr>
                      <w:rFonts w:cs="Arial"/>
                      <w:szCs w:val="18"/>
                    </w:rPr>
                    <w:t>New South Wales Government</w:t>
                  </w:r>
                </w:p>
              </w:tc>
            </w:tr>
            <w:tr w:rsidR="00F05DC7" w:rsidRPr="009B5805" w14:paraId="7954B02A" w14:textId="77777777" w:rsidTr="00A3786D">
              <w:trPr>
                <w:trHeight w:val="52"/>
                <w:jc w:val="right"/>
              </w:trPr>
              <w:tc>
                <w:tcPr>
                  <w:tcW w:w="5000" w:type="pct"/>
                  <w:vAlign w:val="bottom"/>
                </w:tcPr>
                <w:p w14:paraId="7954B029" w14:textId="77777777" w:rsidR="00F05DC7" w:rsidRDefault="00F05DC7" w:rsidP="00A3786D">
                  <w:pPr>
                    <w:pStyle w:val="TableBodyText"/>
                    <w:jc w:val="left"/>
                    <w:rPr>
                      <w:rFonts w:asciiTheme="minorHAnsi" w:hAnsiTheme="minorHAnsi" w:cstheme="minorHAnsi"/>
                      <w:szCs w:val="18"/>
                    </w:rPr>
                  </w:pPr>
                  <w:r>
                    <w:rPr>
                      <w:rFonts w:cs="Arial"/>
                      <w:color w:val="000000"/>
                      <w:szCs w:val="18"/>
                    </w:rPr>
                    <w:t>Northern Territory Government</w:t>
                  </w:r>
                </w:p>
              </w:tc>
            </w:tr>
            <w:tr w:rsidR="00F05DC7" w:rsidRPr="009B5805" w14:paraId="7954B02C" w14:textId="77777777" w:rsidTr="00A3786D">
              <w:trPr>
                <w:trHeight w:val="52"/>
                <w:jc w:val="right"/>
              </w:trPr>
              <w:tc>
                <w:tcPr>
                  <w:tcW w:w="5000" w:type="pct"/>
                  <w:vAlign w:val="center"/>
                </w:tcPr>
                <w:p w14:paraId="7954B02B" w14:textId="77777777" w:rsidR="00F05DC7" w:rsidRDefault="00F05DC7" w:rsidP="00A3786D">
                  <w:pPr>
                    <w:pStyle w:val="TableBodyText"/>
                    <w:jc w:val="left"/>
                    <w:rPr>
                      <w:rFonts w:asciiTheme="minorHAnsi" w:hAnsiTheme="minorHAnsi" w:cstheme="minorHAnsi"/>
                      <w:szCs w:val="18"/>
                    </w:rPr>
                  </w:pPr>
                  <w:r>
                    <w:rPr>
                      <w:rFonts w:cs="Arial"/>
                      <w:szCs w:val="18"/>
                    </w:rPr>
                    <w:t>Office of the Economic Development Board of South Australia</w:t>
                  </w:r>
                </w:p>
              </w:tc>
            </w:tr>
            <w:tr w:rsidR="00F05DC7" w:rsidRPr="009B5805" w14:paraId="7954B02E" w14:textId="77777777" w:rsidTr="00A3786D">
              <w:trPr>
                <w:trHeight w:val="52"/>
                <w:jc w:val="right"/>
              </w:trPr>
              <w:tc>
                <w:tcPr>
                  <w:tcW w:w="5000" w:type="pct"/>
                  <w:vAlign w:val="center"/>
                </w:tcPr>
                <w:p w14:paraId="7954B02D" w14:textId="77777777" w:rsidR="00F05DC7" w:rsidRDefault="00F05DC7" w:rsidP="00A3786D">
                  <w:pPr>
                    <w:pStyle w:val="TableBodyText"/>
                    <w:jc w:val="left"/>
                    <w:rPr>
                      <w:rFonts w:asciiTheme="minorHAnsi" w:hAnsiTheme="minorHAnsi" w:cstheme="minorHAnsi"/>
                      <w:szCs w:val="18"/>
                    </w:rPr>
                  </w:pPr>
                  <w:r>
                    <w:rPr>
                      <w:rFonts w:cs="Arial"/>
                      <w:szCs w:val="18"/>
                    </w:rPr>
                    <w:t>Peter Brohier</w:t>
                  </w:r>
                </w:p>
              </w:tc>
            </w:tr>
            <w:tr w:rsidR="00F05DC7" w:rsidRPr="009B5805" w14:paraId="7954B030" w14:textId="77777777" w:rsidTr="00A3786D">
              <w:trPr>
                <w:jc w:val="right"/>
              </w:trPr>
              <w:tc>
                <w:tcPr>
                  <w:tcW w:w="5000" w:type="pct"/>
                  <w:vAlign w:val="bottom"/>
                </w:tcPr>
                <w:p w14:paraId="7954B02F" w14:textId="77777777" w:rsidR="00F05DC7" w:rsidRPr="009B5805" w:rsidRDefault="00F05DC7" w:rsidP="00A3786D">
                  <w:pPr>
                    <w:pStyle w:val="TableBodyText"/>
                    <w:jc w:val="left"/>
                    <w:rPr>
                      <w:rFonts w:asciiTheme="minorHAnsi" w:hAnsiTheme="minorHAnsi" w:cstheme="minorHAnsi"/>
                      <w:szCs w:val="18"/>
                    </w:rPr>
                  </w:pPr>
                  <w:r>
                    <w:rPr>
                      <w:rFonts w:cs="Arial"/>
                      <w:szCs w:val="18"/>
                    </w:rPr>
                    <w:t>Professor Anthony Mason</w:t>
                  </w:r>
                </w:p>
              </w:tc>
            </w:tr>
            <w:tr w:rsidR="00F05DC7" w:rsidRPr="009B5805" w14:paraId="7954B032" w14:textId="77777777" w:rsidTr="00A3786D">
              <w:trPr>
                <w:jc w:val="right"/>
              </w:trPr>
              <w:tc>
                <w:tcPr>
                  <w:tcW w:w="5000" w:type="pct"/>
                  <w:vAlign w:val="center"/>
                </w:tcPr>
                <w:p w14:paraId="7954B031" w14:textId="77777777" w:rsidR="00F05DC7" w:rsidRPr="009B5805" w:rsidRDefault="00F05DC7" w:rsidP="00A3786D">
                  <w:pPr>
                    <w:pStyle w:val="TableBodyText"/>
                    <w:jc w:val="left"/>
                    <w:rPr>
                      <w:rFonts w:asciiTheme="minorHAnsi" w:hAnsiTheme="minorHAnsi" w:cstheme="minorHAnsi"/>
                      <w:szCs w:val="18"/>
                    </w:rPr>
                  </w:pPr>
                  <w:r>
                    <w:rPr>
                      <w:rFonts w:cs="Arial"/>
                      <w:szCs w:val="18"/>
                    </w:rPr>
                    <w:t>Professor Jeff Petchey</w:t>
                  </w:r>
                </w:p>
              </w:tc>
            </w:tr>
            <w:tr w:rsidR="00F05DC7" w:rsidRPr="009B5805" w14:paraId="7954B034" w14:textId="77777777" w:rsidTr="00A3786D">
              <w:trPr>
                <w:jc w:val="right"/>
              </w:trPr>
              <w:tc>
                <w:tcPr>
                  <w:tcW w:w="5000" w:type="pct"/>
                  <w:vAlign w:val="bottom"/>
                </w:tcPr>
                <w:p w14:paraId="7954B033" w14:textId="77777777" w:rsidR="00F05DC7" w:rsidRPr="009B5805" w:rsidRDefault="00F05DC7" w:rsidP="00A3786D">
                  <w:pPr>
                    <w:pStyle w:val="TableBodyText"/>
                    <w:jc w:val="left"/>
                    <w:rPr>
                      <w:rFonts w:asciiTheme="minorHAnsi" w:hAnsiTheme="minorHAnsi" w:cstheme="minorHAnsi"/>
                      <w:szCs w:val="18"/>
                    </w:rPr>
                  </w:pPr>
                  <w:r>
                    <w:rPr>
                      <w:rFonts w:cs="Arial"/>
                      <w:color w:val="000000"/>
                      <w:szCs w:val="18"/>
                    </w:rPr>
                    <w:t>Professor John Freebairn</w:t>
                  </w:r>
                </w:p>
              </w:tc>
            </w:tr>
            <w:tr w:rsidR="00F05DC7" w:rsidRPr="009B5805" w14:paraId="7954B036" w14:textId="77777777" w:rsidTr="00A3786D">
              <w:trPr>
                <w:jc w:val="right"/>
              </w:trPr>
              <w:tc>
                <w:tcPr>
                  <w:tcW w:w="5000" w:type="pct"/>
                  <w:vAlign w:val="center"/>
                </w:tcPr>
                <w:p w14:paraId="7954B035" w14:textId="77777777" w:rsidR="00F05DC7" w:rsidRDefault="00F05DC7" w:rsidP="00A3786D">
                  <w:pPr>
                    <w:pStyle w:val="TableBodyText"/>
                    <w:jc w:val="left"/>
                    <w:rPr>
                      <w:rFonts w:cs="Arial"/>
                      <w:szCs w:val="18"/>
                    </w:rPr>
                  </w:pPr>
                  <w:r>
                    <w:rPr>
                      <w:rFonts w:cs="Arial"/>
                      <w:szCs w:val="18"/>
                    </w:rPr>
                    <w:t>Professor Ross Garnaut</w:t>
                  </w:r>
                </w:p>
              </w:tc>
            </w:tr>
            <w:tr w:rsidR="00F05DC7" w:rsidRPr="009B5805" w14:paraId="7954B038" w14:textId="77777777" w:rsidTr="00A3786D">
              <w:trPr>
                <w:jc w:val="right"/>
              </w:trPr>
              <w:tc>
                <w:tcPr>
                  <w:tcW w:w="5000" w:type="pct"/>
                  <w:vAlign w:val="center"/>
                </w:tcPr>
                <w:p w14:paraId="7954B037" w14:textId="77777777" w:rsidR="00F05DC7" w:rsidRDefault="00F05DC7" w:rsidP="00A3786D">
                  <w:pPr>
                    <w:pStyle w:val="TableBodyText"/>
                    <w:jc w:val="left"/>
                    <w:rPr>
                      <w:rFonts w:asciiTheme="minorHAnsi" w:hAnsiTheme="minorHAnsi" w:cstheme="minorHAnsi"/>
                      <w:szCs w:val="18"/>
                    </w:rPr>
                  </w:pPr>
                  <w:r>
                    <w:rPr>
                      <w:rFonts w:cs="Arial"/>
                      <w:szCs w:val="18"/>
                    </w:rPr>
                    <w:t>Professor Ross Williams</w:t>
                  </w:r>
                </w:p>
              </w:tc>
            </w:tr>
            <w:tr w:rsidR="00F05DC7" w:rsidRPr="009B5805" w14:paraId="7954B03A" w14:textId="77777777" w:rsidTr="00A3786D">
              <w:trPr>
                <w:jc w:val="right"/>
              </w:trPr>
              <w:tc>
                <w:tcPr>
                  <w:tcW w:w="5000" w:type="pct"/>
                  <w:vAlign w:val="center"/>
                </w:tcPr>
                <w:p w14:paraId="7954B039" w14:textId="77777777" w:rsidR="00F05DC7" w:rsidRDefault="00F05DC7" w:rsidP="00A3786D">
                  <w:pPr>
                    <w:pStyle w:val="TableBodyText"/>
                    <w:jc w:val="left"/>
                    <w:rPr>
                      <w:rFonts w:cs="Arial"/>
                      <w:szCs w:val="18"/>
                    </w:rPr>
                  </w:pPr>
                  <w:r>
                    <w:rPr>
                      <w:rFonts w:cs="Arial"/>
                      <w:szCs w:val="18"/>
                    </w:rPr>
                    <w:t>Queensland Government</w:t>
                  </w:r>
                </w:p>
              </w:tc>
            </w:tr>
            <w:tr w:rsidR="00F05DC7" w:rsidRPr="009B5805" w14:paraId="7954B03C" w14:textId="77777777" w:rsidTr="00A3786D">
              <w:trPr>
                <w:jc w:val="right"/>
              </w:trPr>
              <w:tc>
                <w:tcPr>
                  <w:tcW w:w="5000" w:type="pct"/>
                  <w:vAlign w:val="bottom"/>
                </w:tcPr>
                <w:p w14:paraId="7954B03B" w14:textId="77777777" w:rsidR="00F05DC7" w:rsidRDefault="00F05DC7" w:rsidP="00A3786D">
                  <w:pPr>
                    <w:pStyle w:val="TableBodyText"/>
                    <w:jc w:val="left"/>
                    <w:rPr>
                      <w:rFonts w:cs="Arial"/>
                      <w:szCs w:val="18"/>
                    </w:rPr>
                  </w:pPr>
                  <w:r>
                    <w:rPr>
                      <w:rFonts w:cs="Arial"/>
                      <w:color w:val="000000"/>
                      <w:szCs w:val="18"/>
                    </w:rPr>
                    <w:t>Queensland Local Government Grants Commission</w:t>
                  </w:r>
                </w:p>
              </w:tc>
            </w:tr>
            <w:tr w:rsidR="00F05DC7" w:rsidRPr="009B5805" w14:paraId="7954B03E" w14:textId="77777777" w:rsidTr="00A3786D">
              <w:trPr>
                <w:jc w:val="right"/>
              </w:trPr>
              <w:tc>
                <w:tcPr>
                  <w:tcW w:w="5000" w:type="pct"/>
                  <w:vAlign w:val="bottom"/>
                </w:tcPr>
                <w:p w14:paraId="7954B03D" w14:textId="77777777" w:rsidR="00F05DC7" w:rsidRDefault="00F05DC7" w:rsidP="00A3786D">
                  <w:pPr>
                    <w:pStyle w:val="TableBodyText"/>
                    <w:jc w:val="left"/>
                    <w:rPr>
                      <w:rFonts w:cs="Arial"/>
                      <w:szCs w:val="18"/>
                    </w:rPr>
                  </w:pPr>
                  <w:r>
                    <w:rPr>
                      <w:rFonts w:cs="Arial"/>
                      <w:color w:val="000000"/>
                      <w:szCs w:val="18"/>
                    </w:rPr>
                    <w:t>Robert Schwarz</w:t>
                  </w:r>
                </w:p>
              </w:tc>
            </w:tr>
            <w:tr w:rsidR="00F05DC7" w:rsidRPr="009B5805" w14:paraId="7954B040" w14:textId="77777777" w:rsidTr="00A3786D">
              <w:trPr>
                <w:jc w:val="right"/>
              </w:trPr>
              <w:tc>
                <w:tcPr>
                  <w:tcW w:w="5000" w:type="pct"/>
                  <w:vAlign w:val="bottom"/>
                </w:tcPr>
                <w:p w14:paraId="7954B03F" w14:textId="77777777" w:rsidR="00F05DC7" w:rsidRDefault="00F05DC7" w:rsidP="00A3786D">
                  <w:pPr>
                    <w:pStyle w:val="TableBodyText"/>
                    <w:jc w:val="left"/>
                    <w:rPr>
                      <w:rFonts w:cs="Arial"/>
                      <w:szCs w:val="18"/>
                    </w:rPr>
                  </w:pPr>
                  <w:r>
                    <w:rPr>
                      <w:rFonts w:cs="Arial"/>
                      <w:color w:val="000000"/>
                      <w:szCs w:val="18"/>
                    </w:rPr>
                    <w:t>South Australian Government</w:t>
                  </w:r>
                </w:p>
              </w:tc>
            </w:tr>
            <w:tr w:rsidR="00F05DC7" w:rsidRPr="009B5805" w14:paraId="7954B042" w14:textId="77777777" w:rsidTr="00A3786D">
              <w:trPr>
                <w:jc w:val="right"/>
              </w:trPr>
              <w:tc>
                <w:tcPr>
                  <w:tcW w:w="5000" w:type="pct"/>
                  <w:vAlign w:val="bottom"/>
                </w:tcPr>
                <w:p w14:paraId="7954B041" w14:textId="77777777" w:rsidR="00F05DC7" w:rsidRDefault="00F05DC7" w:rsidP="00A3786D">
                  <w:pPr>
                    <w:pStyle w:val="TableBodyText"/>
                    <w:jc w:val="left"/>
                    <w:rPr>
                      <w:rFonts w:cs="Arial"/>
                      <w:szCs w:val="18"/>
                    </w:rPr>
                  </w:pPr>
                  <w:r>
                    <w:rPr>
                      <w:rFonts w:cs="Arial"/>
                      <w:szCs w:val="18"/>
                    </w:rPr>
                    <w:t>Saul Eslake</w:t>
                  </w:r>
                </w:p>
              </w:tc>
            </w:tr>
            <w:tr w:rsidR="00F05DC7" w:rsidRPr="009B5805" w14:paraId="7954B044" w14:textId="77777777" w:rsidTr="00A3786D">
              <w:trPr>
                <w:jc w:val="right"/>
              </w:trPr>
              <w:tc>
                <w:tcPr>
                  <w:tcW w:w="5000" w:type="pct"/>
                  <w:vAlign w:val="bottom"/>
                </w:tcPr>
                <w:p w14:paraId="7954B043" w14:textId="77777777" w:rsidR="00F05DC7" w:rsidRDefault="00F05DC7" w:rsidP="00A3786D">
                  <w:pPr>
                    <w:pStyle w:val="TableBodyText"/>
                    <w:jc w:val="left"/>
                    <w:rPr>
                      <w:rFonts w:cs="Arial"/>
                      <w:szCs w:val="18"/>
                    </w:rPr>
                  </w:pPr>
                  <w:r>
                    <w:rPr>
                      <w:rFonts w:cs="Arial"/>
                      <w:szCs w:val="18"/>
                    </w:rPr>
                    <w:t>South Australian Centre for Economic Studies, University of South Australia</w:t>
                  </w:r>
                </w:p>
              </w:tc>
            </w:tr>
            <w:tr w:rsidR="00F05DC7" w:rsidRPr="009B5805" w14:paraId="7954B046" w14:textId="77777777" w:rsidTr="00A3786D">
              <w:trPr>
                <w:jc w:val="right"/>
              </w:trPr>
              <w:tc>
                <w:tcPr>
                  <w:tcW w:w="5000" w:type="pct"/>
                  <w:vAlign w:val="bottom"/>
                </w:tcPr>
                <w:p w14:paraId="7954B045" w14:textId="77777777" w:rsidR="00F05DC7" w:rsidRDefault="00F05DC7" w:rsidP="00A3786D">
                  <w:pPr>
                    <w:pStyle w:val="TableBodyText"/>
                    <w:jc w:val="left"/>
                    <w:rPr>
                      <w:rFonts w:asciiTheme="minorHAnsi" w:hAnsiTheme="minorHAnsi" w:cstheme="minorHAnsi"/>
                      <w:szCs w:val="18"/>
                    </w:rPr>
                  </w:pPr>
                  <w:r>
                    <w:rPr>
                      <w:rFonts w:cs="Arial"/>
                      <w:color w:val="000000"/>
                      <w:szCs w:val="18"/>
                    </w:rPr>
                    <w:t>Tasmanian Government</w:t>
                  </w:r>
                </w:p>
              </w:tc>
            </w:tr>
            <w:tr w:rsidR="00F05DC7" w:rsidRPr="009B5805" w14:paraId="7954B048" w14:textId="77777777" w:rsidTr="00A3786D">
              <w:trPr>
                <w:jc w:val="right"/>
              </w:trPr>
              <w:tc>
                <w:tcPr>
                  <w:tcW w:w="5000" w:type="pct"/>
                  <w:vAlign w:val="bottom"/>
                </w:tcPr>
                <w:p w14:paraId="7954B047" w14:textId="77777777" w:rsidR="00F05DC7" w:rsidRPr="002B3FA4" w:rsidRDefault="00F05DC7" w:rsidP="00A3786D">
                  <w:pPr>
                    <w:pStyle w:val="TableBodyText"/>
                    <w:jc w:val="left"/>
                    <w:rPr>
                      <w:rFonts w:asciiTheme="minorHAnsi" w:hAnsiTheme="minorHAnsi" w:cstheme="minorHAnsi"/>
                      <w:szCs w:val="18"/>
                      <w:lang w:val="de-DE"/>
                    </w:rPr>
                  </w:pPr>
                  <w:r w:rsidRPr="00AF423B">
                    <w:rPr>
                      <w:rFonts w:asciiTheme="minorHAnsi" w:hAnsiTheme="minorHAnsi" w:cstheme="minorHAnsi"/>
                      <w:color w:val="000000"/>
                      <w:szCs w:val="18"/>
                    </w:rPr>
                    <w:t>The Hon John Brumby</w:t>
                  </w:r>
                </w:p>
              </w:tc>
            </w:tr>
          </w:tbl>
          <w:p w14:paraId="7954B049" w14:textId="77777777" w:rsidR="00F05DC7" w:rsidRPr="000F5995" w:rsidRDefault="00F05DC7" w:rsidP="00A3786D">
            <w:pPr>
              <w:pStyle w:val="Box"/>
              <w:jc w:val="right"/>
              <w:rPr>
                <w:rFonts w:asciiTheme="minorHAnsi" w:hAnsiTheme="minorHAnsi" w:cstheme="minorHAnsi"/>
                <w:sz w:val="18"/>
                <w:szCs w:val="18"/>
              </w:rPr>
            </w:pPr>
            <w:r w:rsidRPr="000F5995">
              <w:rPr>
                <w:sz w:val="18"/>
                <w:szCs w:val="18"/>
              </w:rPr>
              <w:t>(continued next page)</w:t>
            </w:r>
          </w:p>
        </w:tc>
      </w:tr>
      <w:tr w:rsidR="00F05DC7" w14:paraId="7954B04C" w14:textId="77777777" w:rsidTr="004F6C34">
        <w:trPr>
          <w:cantSplit/>
        </w:trPr>
        <w:tc>
          <w:tcPr>
            <w:tcW w:w="5000" w:type="pct"/>
            <w:tcBorders>
              <w:top w:val="single" w:sz="4" w:space="0" w:color="BFBFBF"/>
              <w:left w:val="nil"/>
              <w:bottom w:val="single" w:sz="6" w:space="0" w:color="78A22F"/>
              <w:right w:val="nil"/>
            </w:tcBorders>
            <w:shd w:val="clear" w:color="auto" w:fill="auto"/>
          </w:tcPr>
          <w:p w14:paraId="7954B04B" w14:textId="77777777" w:rsidR="00F05DC7" w:rsidRDefault="00F05DC7" w:rsidP="00A3786D">
            <w:pPr>
              <w:pStyle w:val="Box"/>
              <w:spacing w:before="0" w:line="120" w:lineRule="exact"/>
            </w:pPr>
          </w:p>
        </w:tc>
      </w:tr>
    </w:tbl>
    <w:p w14:paraId="7954B04F" w14:textId="77777777" w:rsidR="00F05DC7" w:rsidRDefault="00F05DC7" w:rsidP="00A3786D">
      <w:pPr>
        <w:pStyle w:val="BoxSpaceAbove"/>
        <w:ind w:left="426"/>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051" w14:textId="77777777" w:rsidTr="00A3786D">
        <w:trPr>
          <w:tblHeader/>
        </w:trPr>
        <w:tc>
          <w:tcPr>
            <w:tcW w:w="5000" w:type="pct"/>
            <w:tcBorders>
              <w:top w:val="single" w:sz="6" w:space="0" w:color="78A22F"/>
              <w:left w:val="nil"/>
              <w:bottom w:val="nil"/>
              <w:right w:val="nil"/>
            </w:tcBorders>
            <w:shd w:val="clear" w:color="auto" w:fill="auto"/>
          </w:tcPr>
          <w:p w14:paraId="7954B050" w14:textId="6EEDFAD0" w:rsidR="00F05DC7" w:rsidRPr="00784A05" w:rsidRDefault="00F05DC7" w:rsidP="00A3786D">
            <w:pPr>
              <w:pStyle w:val="TableTitle"/>
            </w:pPr>
            <w:r>
              <w:rPr>
                <w:b w:val="0"/>
              </w:rPr>
              <w:t>Table A.</w:t>
            </w:r>
            <w:r>
              <w:rPr>
                <w:b w:val="0"/>
                <w:noProof/>
              </w:rPr>
              <w:t>2</w:t>
            </w:r>
            <w:r>
              <w:tab/>
            </w:r>
            <w:r w:rsidRPr="00854477">
              <w:rPr>
                <w:b w:val="0"/>
                <w:sz w:val="18"/>
              </w:rPr>
              <w:t>(continued)</w:t>
            </w:r>
          </w:p>
        </w:tc>
      </w:tr>
      <w:tr w:rsidR="00F05DC7" w14:paraId="7954B061" w14:textId="77777777" w:rsidTr="00A3786D">
        <w:tc>
          <w:tcPr>
            <w:tcW w:w="5000" w:type="pct"/>
            <w:tcBorders>
              <w:top w:val="nil"/>
              <w:left w:val="nil"/>
              <w:bottom w:val="nil"/>
              <w:right w:val="nil"/>
            </w:tcBorders>
            <w:shd w:val="clear" w:color="auto" w:fill="auto"/>
          </w:tcPr>
          <w:tbl>
            <w:tblPr>
              <w:tblW w:w="8671" w:type="dxa"/>
              <w:tblCellMar>
                <w:top w:w="28" w:type="dxa"/>
                <w:left w:w="0" w:type="dxa"/>
                <w:right w:w="0" w:type="dxa"/>
              </w:tblCellMar>
              <w:tblLook w:val="0000" w:firstRow="0" w:lastRow="0" w:firstColumn="0" w:lastColumn="0" w:noHBand="0" w:noVBand="0"/>
            </w:tblPr>
            <w:tblGrid>
              <w:gridCol w:w="8671"/>
            </w:tblGrid>
            <w:tr w:rsidR="00F05DC7" w14:paraId="7954B053" w14:textId="77777777" w:rsidTr="00A3786D">
              <w:trPr>
                <w:tblHeader/>
              </w:trPr>
              <w:tc>
                <w:tcPr>
                  <w:tcW w:w="5000" w:type="pct"/>
                  <w:tcBorders>
                    <w:top w:val="single" w:sz="6" w:space="0" w:color="BFBFBF"/>
                    <w:bottom w:val="single" w:sz="6" w:space="0" w:color="BFBFBF"/>
                  </w:tcBorders>
                </w:tcPr>
                <w:p w14:paraId="7954B052" w14:textId="77777777" w:rsidR="00F05DC7" w:rsidRPr="00CA132D" w:rsidRDefault="00F05DC7" w:rsidP="00A3786D">
                  <w:pPr>
                    <w:pStyle w:val="TableColumnHeading"/>
                    <w:jc w:val="left"/>
                    <w:rPr>
                      <w:rFonts w:asciiTheme="minorHAnsi" w:hAnsiTheme="minorHAnsi" w:cstheme="minorHAnsi"/>
                      <w:szCs w:val="18"/>
                    </w:rPr>
                  </w:pPr>
                  <w:r>
                    <w:rPr>
                      <w:rFonts w:asciiTheme="minorHAnsi" w:hAnsiTheme="minorHAnsi" w:cstheme="minorHAnsi"/>
                      <w:szCs w:val="18"/>
                    </w:rPr>
                    <w:t>Participant</w:t>
                  </w:r>
                </w:p>
              </w:tc>
            </w:tr>
            <w:tr w:rsidR="00F05DC7" w14:paraId="7954B055" w14:textId="77777777" w:rsidTr="00A3786D">
              <w:tc>
                <w:tcPr>
                  <w:tcW w:w="5000" w:type="pct"/>
                  <w:vAlign w:val="bottom"/>
                </w:tcPr>
                <w:p w14:paraId="7954B054" w14:textId="77777777" w:rsidR="00F05DC7" w:rsidRPr="00AF423B" w:rsidRDefault="00F05DC7" w:rsidP="004F6C34">
                  <w:pPr>
                    <w:pStyle w:val="TableBodyText"/>
                    <w:spacing w:before="80"/>
                    <w:jc w:val="left"/>
                    <w:rPr>
                      <w:rFonts w:asciiTheme="minorHAnsi" w:hAnsiTheme="minorHAnsi" w:cstheme="minorHAnsi"/>
                      <w:szCs w:val="18"/>
                    </w:rPr>
                  </w:pPr>
                  <w:r w:rsidRPr="00AF423B">
                    <w:rPr>
                      <w:rFonts w:asciiTheme="minorHAnsi" w:hAnsiTheme="minorHAnsi" w:cstheme="minorHAnsi"/>
                      <w:szCs w:val="18"/>
                    </w:rPr>
                    <w:t>The Hon Nick Greiner</w:t>
                  </w:r>
                </w:p>
              </w:tc>
            </w:tr>
            <w:tr w:rsidR="00F05DC7" w14:paraId="7954B057" w14:textId="77777777" w:rsidTr="00A3786D">
              <w:tc>
                <w:tcPr>
                  <w:tcW w:w="5000" w:type="pct"/>
                  <w:vAlign w:val="bottom"/>
                </w:tcPr>
                <w:p w14:paraId="7954B056" w14:textId="77777777" w:rsidR="00F05DC7" w:rsidRPr="00AF423B" w:rsidRDefault="00F05DC7" w:rsidP="00A3786D">
                  <w:pPr>
                    <w:pStyle w:val="TableBodyText"/>
                    <w:jc w:val="left"/>
                    <w:rPr>
                      <w:rFonts w:asciiTheme="minorHAnsi" w:hAnsiTheme="minorHAnsi" w:cstheme="minorHAnsi"/>
                      <w:szCs w:val="18"/>
                    </w:rPr>
                  </w:pPr>
                  <w:r w:rsidRPr="00AF423B">
                    <w:rPr>
                      <w:rFonts w:asciiTheme="minorHAnsi" w:hAnsiTheme="minorHAnsi" w:cstheme="minorHAnsi"/>
                      <w:szCs w:val="18"/>
                    </w:rPr>
                    <w:t>University of Adelaide</w:t>
                  </w:r>
                </w:p>
              </w:tc>
            </w:tr>
            <w:tr w:rsidR="00F05DC7" w14:paraId="7954B059" w14:textId="77777777" w:rsidTr="00A3786D">
              <w:tc>
                <w:tcPr>
                  <w:tcW w:w="5000" w:type="pct"/>
                  <w:vAlign w:val="bottom"/>
                </w:tcPr>
                <w:p w14:paraId="7954B058" w14:textId="77777777" w:rsidR="00F05DC7" w:rsidRPr="00AF423B" w:rsidRDefault="00F05DC7" w:rsidP="00A3786D">
                  <w:pPr>
                    <w:pStyle w:val="TableBodyText"/>
                    <w:jc w:val="left"/>
                    <w:rPr>
                      <w:rFonts w:asciiTheme="minorHAnsi" w:hAnsiTheme="minorHAnsi" w:cstheme="minorHAnsi"/>
                      <w:szCs w:val="18"/>
                    </w:rPr>
                  </w:pPr>
                  <w:r w:rsidRPr="00AF423B">
                    <w:rPr>
                      <w:rFonts w:asciiTheme="minorHAnsi" w:hAnsiTheme="minorHAnsi" w:cstheme="minorHAnsi"/>
                      <w:szCs w:val="18"/>
                    </w:rPr>
                    <w:t>University of Melbourne</w:t>
                  </w:r>
                </w:p>
              </w:tc>
            </w:tr>
            <w:tr w:rsidR="00F05DC7" w14:paraId="7954B05B" w14:textId="77777777" w:rsidTr="00A3786D">
              <w:tc>
                <w:tcPr>
                  <w:tcW w:w="5000" w:type="pct"/>
                  <w:vAlign w:val="bottom"/>
                </w:tcPr>
                <w:p w14:paraId="7954B05A" w14:textId="77777777" w:rsidR="00F05DC7" w:rsidRPr="00AF423B" w:rsidRDefault="00F05DC7" w:rsidP="00A3786D">
                  <w:pPr>
                    <w:pStyle w:val="TableBodyText"/>
                    <w:jc w:val="left"/>
                    <w:rPr>
                      <w:rFonts w:asciiTheme="minorHAnsi" w:hAnsiTheme="minorHAnsi" w:cstheme="minorHAnsi"/>
                      <w:szCs w:val="18"/>
                    </w:rPr>
                  </w:pPr>
                  <w:r w:rsidRPr="00AF423B">
                    <w:rPr>
                      <w:rFonts w:asciiTheme="minorHAnsi" w:hAnsiTheme="minorHAnsi" w:cstheme="minorHAnsi"/>
                      <w:color w:val="000000"/>
                      <w:szCs w:val="18"/>
                    </w:rPr>
                    <w:t>Victorian Government</w:t>
                  </w:r>
                </w:p>
              </w:tc>
            </w:tr>
            <w:tr w:rsidR="00F05DC7" w14:paraId="7954B05D" w14:textId="77777777" w:rsidTr="004F6C34">
              <w:tc>
                <w:tcPr>
                  <w:tcW w:w="5000" w:type="pct"/>
                  <w:vAlign w:val="center"/>
                </w:tcPr>
                <w:p w14:paraId="7954B05C" w14:textId="77777777" w:rsidR="00F05DC7" w:rsidRPr="00AF423B" w:rsidRDefault="00F05DC7" w:rsidP="00A3786D">
                  <w:pPr>
                    <w:pStyle w:val="TableBodyText"/>
                    <w:jc w:val="left"/>
                    <w:rPr>
                      <w:rFonts w:asciiTheme="minorHAnsi" w:hAnsiTheme="minorHAnsi" w:cstheme="minorHAnsi"/>
                      <w:szCs w:val="18"/>
                    </w:rPr>
                  </w:pPr>
                  <w:r w:rsidRPr="00AF423B">
                    <w:rPr>
                      <w:rFonts w:asciiTheme="minorHAnsi" w:hAnsiTheme="minorHAnsi" w:cstheme="minorHAnsi"/>
                      <w:szCs w:val="18"/>
                    </w:rPr>
                    <w:t>Victorian Grants Commission</w:t>
                  </w:r>
                </w:p>
              </w:tc>
            </w:tr>
            <w:tr w:rsidR="00F05DC7" w14:paraId="7954B05F" w14:textId="77777777" w:rsidTr="004F6C34">
              <w:tc>
                <w:tcPr>
                  <w:tcW w:w="5000" w:type="pct"/>
                  <w:tcBorders>
                    <w:bottom w:val="single" w:sz="4" w:space="0" w:color="BFBFBF"/>
                  </w:tcBorders>
                  <w:vAlign w:val="bottom"/>
                </w:tcPr>
                <w:p w14:paraId="7954B05E" w14:textId="77777777" w:rsidR="00F05DC7" w:rsidRPr="00AF423B" w:rsidRDefault="00F05DC7" w:rsidP="00A3786D">
                  <w:pPr>
                    <w:pStyle w:val="TableBodyText"/>
                    <w:jc w:val="left"/>
                    <w:rPr>
                      <w:rFonts w:asciiTheme="minorHAnsi" w:hAnsiTheme="minorHAnsi" w:cstheme="minorHAnsi"/>
                      <w:szCs w:val="18"/>
                    </w:rPr>
                  </w:pPr>
                  <w:r w:rsidRPr="00AF423B">
                    <w:rPr>
                      <w:rFonts w:asciiTheme="minorHAnsi" w:hAnsiTheme="minorHAnsi" w:cstheme="minorHAnsi"/>
                      <w:color w:val="000000"/>
                      <w:szCs w:val="18"/>
                    </w:rPr>
                    <w:t>Western Australian Government</w:t>
                  </w:r>
                </w:p>
              </w:tc>
            </w:tr>
          </w:tbl>
          <w:p w14:paraId="7954B060" w14:textId="77777777" w:rsidR="00F05DC7" w:rsidRDefault="00F05DC7" w:rsidP="00A3786D">
            <w:pPr>
              <w:pStyle w:val="Box"/>
            </w:pPr>
          </w:p>
        </w:tc>
      </w:tr>
      <w:tr w:rsidR="00F05DC7" w14:paraId="7954B063" w14:textId="77777777" w:rsidTr="00A3786D">
        <w:tc>
          <w:tcPr>
            <w:tcW w:w="5000" w:type="pct"/>
            <w:tcBorders>
              <w:top w:val="nil"/>
              <w:left w:val="nil"/>
              <w:bottom w:val="single" w:sz="6" w:space="0" w:color="78A22F"/>
              <w:right w:val="nil"/>
            </w:tcBorders>
            <w:shd w:val="clear" w:color="auto" w:fill="auto"/>
          </w:tcPr>
          <w:p w14:paraId="7954B062" w14:textId="77777777" w:rsidR="00F05DC7" w:rsidRDefault="00F05DC7" w:rsidP="00A3786D">
            <w:pPr>
              <w:pStyle w:val="Box"/>
              <w:spacing w:before="0" w:line="120" w:lineRule="exact"/>
            </w:pPr>
          </w:p>
        </w:tc>
      </w:tr>
      <w:tr w:rsidR="00F05DC7" w:rsidRPr="000863A5" w14:paraId="7954B065" w14:textId="77777777" w:rsidTr="00A3786D">
        <w:tc>
          <w:tcPr>
            <w:tcW w:w="5000" w:type="pct"/>
            <w:tcBorders>
              <w:top w:val="single" w:sz="6" w:space="0" w:color="78A22F"/>
              <w:left w:val="nil"/>
              <w:bottom w:val="nil"/>
              <w:right w:val="nil"/>
            </w:tcBorders>
          </w:tcPr>
          <w:p w14:paraId="7954B064" w14:textId="77777777" w:rsidR="00F05DC7" w:rsidRPr="00626D32" w:rsidRDefault="00F05DC7" w:rsidP="00A3786D">
            <w:pPr>
              <w:pStyle w:val="BoxSpaceBelow"/>
            </w:pPr>
          </w:p>
        </w:tc>
      </w:tr>
    </w:tbl>
    <w:p w14:paraId="7954B067" w14:textId="77777777" w:rsidR="00F05DC7" w:rsidRDefault="00F05DC7">
      <w:pPr>
        <w:rPr>
          <w:szCs w:val="20"/>
        </w:rPr>
      </w:pPr>
      <w:r>
        <w:br w:type="page"/>
      </w:r>
    </w:p>
    <w:p w14:paraId="7954B068"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06A" w14:textId="77777777" w:rsidTr="00A3786D">
        <w:trPr>
          <w:tblHeader/>
        </w:trPr>
        <w:tc>
          <w:tcPr>
            <w:tcW w:w="5000" w:type="pct"/>
            <w:tcBorders>
              <w:top w:val="single" w:sz="6" w:space="0" w:color="78A22F"/>
              <w:left w:val="nil"/>
              <w:bottom w:val="nil"/>
              <w:right w:val="nil"/>
            </w:tcBorders>
            <w:shd w:val="clear" w:color="auto" w:fill="auto"/>
          </w:tcPr>
          <w:p w14:paraId="7954B069" w14:textId="46C1E851" w:rsidR="00F05DC7" w:rsidRPr="00784A05" w:rsidRDefault="00F05DC7" w:rsidP="00A3786D">
            <w:pPr>
              <w:pStyle w:val="TableTitle"/>
            </w:pPr>
            <w:r>
              <w:rPr>
                <w:b w:val="0"/>
              </w:rPr>
              <w:t>Table A.3</w:t>
            </w:r>
            <w:r>
              <w:tab/>
              <w:t>Public Hearings</w:t>
            </w:r>
          </w:p>
        </w:tc>
      </w:tr>
      <w:tr w:rsidR="00F05DC7" w14:paraId="7954B0EA" w14:textId="77777777" w:rsidTr="00A3786D">
        <w:tc>
          <w:tcPr>
            <w:tcW w:w="5000" w:type="pct"/>
            <w:tcBorders>
              <w:top w:val="nil"/>
              <w:left w:val="nil"/>
              <w:bottom w:val="nil"/>
              <w:right w:val="nil"/>
            </w:tcBorders>
            <w:shd w:val="clear" w:color="auto" w:fill="auto"/>
          </w:tcPr>
          <w:tbl>
            <w:tblPr>
              <w:tblW w:w="8643" w:type="dxa"/>
              <w:tblLayout w:type="fixed"/>
              <w:tblCellMar>
                <w:top w:w="28" w:type="dxa"/>
                <w:left w:w="0" w:type="dxa"/>
                <w:right w:w="0" w:type="dxa"/>
              </w:tblCellMar>
              <w:tblLook w:val="0000" w:firstRow="0" w:lastRow="0" w:firstColumn="0" w:lastColumn="0" w:noHBand="0" w:noVBand="0"/>
            </w:tblPr>
            <w:tblGrid>
              <w:gridCol w:w="6379"/>
              <w:gridCol w:w="2264"/>
            </w:tblGrid>
            <w:tr w:rsidR="00F05DC7" w14:paraId="7954B06D" w14:textId="77777777" w:rsidTr="00A3786D">
              <w:trPr>
                <w:trHeight w:val="297"/>
                <w:tblHeader/>
              </w:trPr>
              <w:tc>
                <w:tcPr>
                  <w:tcW w:w="6379" w:type="dxa"/>
                  <w:tcBorders>
                    <w:top w:val="single" w:sz="6" w:space="0" w:color="BFBFBF"/>
                    <w:bottom w:val="single" w:sz="6" w:space="0" w:color="BFBFBF"/>
                  </w:tcBorders>
                  <w:shd w:val="clear" w:color="auto" w:fill="auto"/>
                  <w:tcMar>
                    <w:top w:w="28" w:type="dxa"/>
                  </w:tcMar>
                </w:tcPr>
                <w:p w14:paraId="7954B06B" w14:textId="77777777" w:rsidR="00F05DC7" w:rsidRDefault="00F05DC7" w:rsidP="00A3786D">
                  <w:pPr>
                    <w:pStyle w:val="TableColumnHeading"/>
                    <w:ind w:right="28"/>
                    <w:jc w:val="left"/>
                  </w:pPr>
                  <w:r>
                    <w:t xml:space="preserve">Individual or Organisation </w:t>
                  </w:r>
                </w:p>
              </w:tc>
              <w:tc>
                <w:tcPr>
                  <w:tcW w:w="2264" w:type="dxa"/>
                  <w:tcBorders>
                    <w:top w:val="single" w:sz="6" w:space="0" w:color="BFBFBF"/>
                    <w:bottom w:val="single" w:sz="6" w:space="0" w:color="BFBFBF"/>
                  </w:tcBorders>
                </w:tcPr>
                <w:p w14:paraId="7954B06C" w14:textId="77777777" w:rsidR="00F05DC7" w:rsidRDefault="00F05DC7" w:rsidP="00A3786D">
                  <w:pPr>
                    <w:pStyle w:val="TableColumnHeading"/>
                    <w:ind w:right="28"/>
                  </w:pPr>
                  <w:r>
                    <w:t>Transcript Page Numbers</w:t>
                  </w:r>
                </w:p>
              </w:tc>
            </w:tr>
            <w:tr w:rsidR="00F05DC7" w14:paraId="7954B070" w14:textId="77777777" w:rsidTr="00A3786D">
              <w:tc>
                <w:tcPr>
                  <w:tcW w:w="6379" w:type="dxa"/>
                </w:tcPr>
                <w:p w14:paraId="7954B06E" w14:textId="77777777" w:rsidR="00F05DC7" w:rsidRPr="002358A3" w:rsidRDefault="00F05DC7" w:rsidP="004F6C34">
                  <w:pPr>
                    <w:pStyle w:val="TableBodyText"/>
                    <w:spacing w:before="80"/>
                    <w:ind w:right="28"/>
                    <w:jc w:val="left"/>
                    <w:rPr>
                      <w:b/>
                      <w:i/>
                    </w:rPr>
                  </w:pPr>
                  <w:r w:rsidRPr="002358A3">
                    <w:rPr>
                      <w:b/>
                      <w:i/>
                    </w:rPr>
                    <w:t xml:space="preserve">Perth </w:t>
                  </w:r>
                  <w:r>
                    <w:rPr>
                      <w:b/>
                      <w:i/>
                    </w:rPr>
                    <w:t>—</w:t>
                  </w:r>
                  <w:r w:rsidRPr="002358A3">
                    <w:rPr>
                      <w:b/>
                      <w:i/>
                    </w:rPr>
                    <w:t xml:space="preserve"> 13 November 2017</w:t>
                  </w:r>
                </w:p>
              </w:tc>
              <w:tc>
                <w:tcPr>
                  <w:tcW w:w="2264" w:type="dxa"/>
                </w:tcPr>
                <w:p w14:paraId="7954B06F" w14:textId="77777777" w:rsidR="00F05DC7" w:rsidRDefault="00F05DC7" w:rsidP="00A3786D">
                  <w:pPr>
                    <w:pStyle w:val="TableBodyText"/>
                    <w:ind w:right="28"/>
                    <w:rPr>
                      <w:b/>
                      <w:i/>
                    </w:rPr>
                  </w:pPr>
                </w:p>
              </w:tc>
            </w:tr>
            <w:tr w:rsidR="00F05DC7" w14:paraId="7954B073" w14:textId="77777777" w:rsidTr="00A3786D">
              <w:tc>
                <w:tcPr>
                  <w:tcW w:w="6379" w:type="dxa"/>
                </w:tcPr>
                <w:p w14:paraId="7954B071" w14:textId="77777777" w:rsidR="00F05DC7" w:rsidRDefault="00F05DC7" w:rsidP="00A3786D">
                  <w:pPr>
                    <w:pStyle w:val="TableBodyText"/>
                    <w:ind w:right="28"/>
                    <w:jc w:val="left"/>
                  </w:pPr>
                  <w:r>
                    <w:t>Chamber of Commerce &amp; Industry Western Australia</w:t>
                  </w:r>
                </w:p>
              </w:tc>
              <w:tc>
                <w:tcPr>
                  <w:tcW w:w="2264" w:type="dxa"/>
                </w:tcPr>
                <w:p w14:paraId="7954B072" w14:textId="77777777" w:rsidR="00F05DC7" w:rsidRDefault="00F05DC7" w:rsidP="00A3786D">
                  <w:pPr>
                    <w:pStyle w:val="TableBodyText"/>
                    <w:ind w:right="28"/>
                  </w:pPr>
                  <w:r>
                    <w:t>2-17</w:t>
                  </w:r>
                </w:p>
              </w:tc>
            </w:tr>
            <w:tr w:rsidR="00F05DC7" w14:paraId="7954B076" w14:textId="77777777" w:rsidTr="00A3786D">
              <w:tc>
                <w:tcPr>
                  <w:tcW w:w="6379" w:type="dxa"/>
                </w:tcPr>
                <w:p w14:paraId="7954B074" w14:textId="77777777" w:rsidR="00F05DC7" w:rsidRDefault="00F05DC7" w:rsidP="00A3786D">
                  <w:pPr>
                    <w:pStyle w:val="TableBodyText"/>
                    <w:ind w:right="28"/>
                    <w:jc w:val="left"/>
                  </w:pPr>
                  <w:r>
                    <w:t>Western Australia Party</w:t>
                  </w:r>
                </w:p>
              </w:tc>
              <w:tc>
                <w:tcPr>
                  <w:tcW w:w="2264" w:type="dxa"/>
                </w:tcPr>
                <w:p w14:paraId="7954B075" w14:textId="77777777" w:rsidR="00F05DC7" w:rsidRDefault="00F05DC7" w:rsidP="00A3786D">
                  <w:pPr>
                    <w:pStyle w:val="TableBodyText"/>
                    <w:ind w:right="28"/>
                  </w:pPr>
                  <w:r>
                    <w:t>17-24</w:t>
                  </w:r>
                </w:p>
              </w:tc>
            </w:tr>
            <w:tr w:rsidR="00F05DC7" w14:paraId="7954B079" w14:textId="77777777" w:rsidTr="00A3786D">
              <w:tc>
                <w:tcPr>
                  <w:tcW w:w="6379" w:type="dxa"/>
                </w:tcPr>
                <w:p w14:paraId="7954B077" w14:textId="77777777" w:rsidR="00F05DC7" w:rsidRDefault="00F05DC7" w:rsidP="00A3786D">
                  <w:pPr>
                    <w:pStyle w:val="TableBodyText"/>
                    <w:ind w:right="28"/>
                    <w:jc w:val="left"/>
                  </w:pPr>
                  <w:r>
                    <w:t>John Pitman</w:t>
                  </w:r>
                </w:p>
              </w:tc>
              <w:tc>
                <w:tcPr>
                  <w:tcW w:w="2264" w:type="dxa"/>
                </w:tcPr>
                <w:p w14:paraId="7954B078" w14:textId="77777777" w:rsidR="00F05DC7" w:rsidRDefault="00F05DC7" w:rsidP="00A3786D">
                  <w:pPr>
                    <w:pStyle w:val="TableBodyText"/>
                    <w:ind w:right="28"/>
                  </w:pPr>
                  <w:r>
                    <w:t>24-33</w:t>
                  </w:r>
                </w:p>
              </w:tc>
            </w:tr>
            <w:tr w:rsidR="00F05DC7" w14:paraId="7954B07C" w14:textId="77777777" w:rsidTr="00A3786D">
              <w:tc>
                <w:tcPr>
                  <w:tcW w:w="6379" w:type="dxa"/>
                </w:tcPr>
                <w:p w14:paraId="7954B07A" w14:textId="77777777" w:rsidR="00F05DC7" w:rsidRDefault="00F05DC7" w:rsidP="00A3786D">
                  <w:pPr>
                    <w:pStyle w:val="TableBodyText"/>
                    <w:ind w:right="28"/>
                    <w:jc w:val="left"/>
                  </w:pPr>
                  <w:r>
                    <w:t>Put Western Australia First Party</w:t>
                  </w:r>
                </w:p>
              </w:tc>
              <w:tc>
                <w:tcPr>
                  <w:tcW w:w="2264" w:type="dxa"/>
                </w:tcPr>
                <w:p w14:paraId="7954B07B" w14:textId="77777777" w:rsidR="00F05DC7" w:rsidRDefault="00F05DC7" w:rsidP="00A3786D">
                  <w:pPr>
                    <w:pStyle w:val="TableBodyText"/>
                    <w:ind w:right="28"/>
                  </w:pPr>
                  <w:r>
                    <w:t>33-46</w:t>
                  </w:r>
                </w:p>
              </w:tc>
            </w:tr>
            <w:tr w:rsidR="00F05DC7" w14:paraId="7954B07F" w14:textId="77777777" w:rsidTr="00A3786D">
              <w:tc>
                <w:tcPr>
                  <w:tcW w:w="6379" w:type="dxa"/>
                </w:tcPr>
                <w:p w14:paraId="7954B07D" w14:textId="77777777" w:rsidR="00F05DC7" w:rsidRDefault="00F05DC7" w:rsidP="00A3786D">
                  <w:pPr>
                    <w:pStyle w:val="TableBodyText"/>
                    <w:ind w:right="28"/>
                    <w:jc w:val="left"/>
                  </w:pPr>
                  <w:r>
                    <w:t>Western Australia Party</w:t>
                  </w:r>
                </w:p>
              </w:tc>
              <w:tc>
                <w:tcPr>
                  <w:tcW w:w="2264" w:type="dxa"/>
                </w:tcPr>
                <w:p w14:paraId="7954B07E" w14:textId="77777777" w:rsidR="00F05DC7" w:rsidRDefault="00F05DC7" w:rsidP="00A3786D">
                  <w:pPr>
                    <w:pStyle w:val="TableBodyText"/>
                    <w:ind w:right="28"/>
                  </w:pPr>
                  <w:r>
                    <w:t>46-57</w:t>
                  </w:r>
                </w:p>
              </w:tc>
            </w:tr>
            <w:tr w:rsidR="00F05DC7" w14:paraId="7954B082" w14:textId="77777777" w:rsidTr="00A3786D">
              <w:tc>
                <w:tcPr>
                  <w:tcW w:w="6379" w:type="dxa"/>
                </w:tcPr>
                <w:p w14:paraId="7954B080" w14:textId="77777777" w:rsidR="00F05DC7" w:rsidRDefault="00F05DC7" w:rsidP="00A3786D">
                  <w:pPr>
                    <w:pStyle w:val="TableBodyText"/>
                    <w:ind w:right="28"/>
                    <w:jc w:val="left"/>
                  </w:pPr>
                </w:p>
              </w:tc>
              <w:tc>
                <w:tcPr>
                  <w:tcW w:w="2264" w:type="dxa"/>
                </w:tcPr>
                <w:p w14:paraId="7954B081" w14:textId="77777777" w:rsidR="00F05DC7" w:rsidRDefault="00F05DC7" w:rsidP="00A3786D">
                  <w:pPr>
                    <w:pStyle w:val="TableBodyText"/>
                    <w:ind w:right="28"/>
                  </w:pPr>
                </w:p>
              </w:tc>
            </w:tr>
            <w:tr w:rsidR="00F05DC7" w14:paraId="7954B085" w14:textId="77777777" w:rsidTr="00A3786D">
              <w:tc>
                <w:tcPr>
                  <w:tcW w:w="6379" w:type="dxa"/>
                </w:tcPr>
                <w:p w14:paraId="7954B083" w14:textId="77777777" w:rsidR="00F05DC7" w:rsidRPr="002358A3" w:rsidRDefault="00F05DC7" w:rsidP="00A3786D">
                  <w:pPr>
                    <w:pStyle w:val="TableBodyText"/>
                    <w:ind w:right="28"/>
                    <w:jc w:val="left"/>
                    <w:rPr>
                      <w:b/>
                      <w:i/>
                    </w:rPr>
                  </w:pPr>
                  <w:r w:rsidRPr="002358A3">
                    <w:rPr>
                      <w:b/>
                      <w:i/>
                    </w:rPr>
                    <w:t xml:space="preserve">Perth </w:t>
                  </w:r>
                  <w:r>
                    <w:rPr>
                      <w:b/>
                      <w:i/>
                    </w:rPr>
                    <w:t xml:space="preserve">— </w:t>
                  </w:r>
                  <w:r w:rsidRPr="002358A3">
                    <w:rPr>
                      <w:b/>
                      <w:i/>
                    </w:rPr>
                    <w:t>14 November 2017</w:t>
                  </w:r>
                </w:p>
              </w:tc>
              <w:tc>
                <w:tcPr>
                  <w:tcW w:w="2264" w:type="dxa"/>
                </w:tcPr>
                <w:p w14:paraId="7954B084" w14:textId="77777777" w:rsidR="00F05DC7" w:rsidRDefault="00F05DC7" w:rsidP="00A3786D">
                  <w:pPr>
                    <w:pStyle w:val="TableBodyText"/>
                    <w:ind w:right="28"/>
                    <w:rPr>
                      <w:b/>
                      <w:i/>
                    </w:rPr>
                  </w:pPr>
                </w:p>
              </w:tc>
            </w:tr>
            <w:tr w:rsidR="00F05DC7" w14:paraId="7954B088" w14:textId="77777777" w:rsidTr="00A3786D">
              <w:tc>
                <w:tcPr>
                  <w:tcW w:w="6379" w:type="dxa"/>
                </w:tcPr>
                <w:p w14:paraId="7954B086" w14:textId="77777777" w:rsidR="00F05DC7" w:rsidRDefault="00F05DC7" w:rsidP="00A3786D">
                  <w:pPr>
                    <w:pStyle w:val="TableBodyText"/>
                    <w:ind w:right="28"/>
                    <w:jc w:val="left"/>
                  </w:pPr>
                  <w:r>
                    <w:t>Department of Treasury Western Australia</w:t>
                  </w:r>
                </w:p>
              </w:tc>
              <w:tc>
                <w:tcPr>
                  <w:tcW w:w="2264" w:type="dxa"/>
                </w:tcPr>
                <w:p w14:paraId="7954B087" w14:textId="77777777" w:rsidR="00F05DC7" w:rsidRDefault="00F05DC7" w:rsidP="00A3786D">
                  <w:pPr>
                    <w:pStyle w:val="TableBodyText"/>
                    <w:ind w:right="28"/>
                  </w:pPr>
                  <w:r>
                    <w:t>59-92</w:t>
                  </w:r>
                </w:p>
              </w:tc>
            </w:tr>
            <w:tr w:rsidR="00F05DC7" w14:paraId="7954B08B" w14:textId="77777777" w:rsidTr="00A3786D">
              <w:tc>
                <w:tcPr>
                  <w:tcW w:w="6379" w:type="dxa"/>
                </w:tcPr>
                <w:p w14:paraId="7954B089" w14:textId="77777777" w:rsidR="00F05DC7" w:rsidRDefault="00F05DC7" w:rsidP="00A3786D">
                  <w:pPr>
                    <w:pStyle w:val="TableBodyText"/>
                    <w:ind w:right="28"/>
                    <w:jc w:val="left"/>
                  </w:pPr>
                  <w:r>
                    <w:t>Parliamentary National Party of Western Australia</w:t>
                  </w:r>
                </w:p>
              </w:tc>
              <w:tc>
                <w:tcPr>
                  <w:tcW w:w="2264" w:type="dxa"/>
                </w:tcPr>
                <w:p w14:paraId="7954B08A" w14:textId="77777777" w:rsidR="00F05DC7" w:rsidRDefault="00F05DC7" w:rsidP="00A3786D">
                  <w:pPr>
                    <w:pStyle w:val="TableBodyText"/>
                    <w:ind w:right="28"/>
                  </w:pPr>
                  <w:r>
                    <w:t>92-106</w:t>
                  </w:r>
                </w:p>
              </w:tc>
            </w:tr>
            <w:tr w:rsidR="00F05DC7" w14:paraId="7954B08E" w14:textId="77777777" w:rsidTr="00A3786D">
              <w:tc>
                <w:tcPr>
                  <w:tcW w:w="6379" w:type="dxa"/>
                </w:tcPr>
                <w:p w14:paraId="7954B08C" w14:textId="77777777" w:rsidR="00F05DC7" w:rsidRDefault="00F05DC7" w:rsidP="00A3786D">
                  <w:pPr>
                    <w:pStyle w:val="TableBodyText"/>
                    <w:ind w:right="28"/>
                    <w:jc w:val="left"/>
                  </w:pPr>
                  <w:r>
                    <w:t>Damien Kelly</w:t>
                  </w:r>
                </w:p>
              </w:tc>
              <w:tc>
                <w:tcPr>
                  <w:tcW w:w="2264" w:type="dxa"/>
                </w:tcPr>
                <w:p w14:paraId="7954B08D" w14:textId="77777777" w:rsidR="00F05DC7" w:rsidRDefault="00F05DC7" w:rsidP="00A3786D">
                  <w:pPr>
                    <w:pStyle w:val="TableBodyText"/>
                    <w:ind w:right="28"/>
                  </w:pPr>
                  <w:r>
                    <w:t>106-115</w:t>
                  </w:r>
                </w:p>
              </w:tc>
            </w:tr>
            <w:tr w:rsidR="00F05DC7" w14:paraId="7954B091" w14:textId="77777777" w:rsidTr="00A3786D">
              <w:tc>
                <w:tcPr>
                  <w:tcW w:w="6379" w:type="dxa"/>
                </w:tcPr>
                <w:p w14:paraId="7954B08F" w14:textId="77777777" w:rsidR="00F05DC7" w:rsidRDefault="00F05DC7" w:rsidP="00A3786D">
                  <w:pPr>
                    <w:pStyle w:val="TableBodyText"/>
                    <w:ind w:right="28"/>
                    <w:jc w:val="left"/>
                  </w:pPr>
                  <w:r>
                    <w:t xml:space="preserve">Dr Mike Nahan </w:t>
                  </w:r>
                </w:p>
              </w:tc>
              <w:tc>
                <w:tcPr>
                  <w:tcW w:w="2264" w:type="dxa"/>
                </w:tcPr>
                <w:p w14:paraId="7954B090" w14:textId="77777777" w:rsidR="00F05DC7" w:rsidRDefault="00F05DC7" w:rsidP="00A3786D">
                  <w:pPr>
                    <w:pStyle w:val="TableBodyText"/>
                    <w:ind w:right="28"/>
                  </w:pPr>
                  <w:r>
                    <w:t>115-131</w:t>
                  </w:r>
                </w:p>
              </w:tc>
            </w:tr>
            <w:tr w:rsidR="00F05DC7" w14:paraId="7954B094" w14:textId="77777777" w:rsidTr="00A3786D">
              <w:tc>
                <w:tcPr>
                  <w:tcW w:w="6379" w:type="dxa"/>
                </w:tcPr>
                <w:p w14:paraId="7954B092" w14:textId="77777777" w:rsidR="00F05DC7" w:rsidRDefault="00F05DC7" w:rsidP="00A3786D">
                  <w:pPr>
                    <w:pStyle w:val="TableBodyText"/>
                    <w:ind w:right="28"/>
                    <w:jc w:val="left"/>
                  </w:pPr>
                  <w:r>
                    <w:t xml:space="preserve">Eric Davies </w:t>
                  </w:r>
                </w:p>
              </w:tc>
              <w:tc>
                <w:tcPr>
                  <w:tcW w:w="2264" w:type="dxa"/>
                </w:tcPr>
                <w:p w14:paraId="7954B093" w14:textId="77777777" w:rsidR="00F05DC7" w:rsidRDefault="00F05DC7" w:rsidP="00A3786D">
                  <w:pPr>
                    <w:pStyle w:val="TableBodyText"/>
                    <w:ind w:right="28"/>
                  </w:pPr>
                  <w:r>
                    <w:t>131-135</w:t>
                  </w:r>
                </w:p>
              </w:tc>
            </w:tr>
            <w:tr w:rsidR="00F05DC7" w14:paraId="7954B097" w14:textId="77777777" w:rsidTr="00A3786D">
              <w:tc>
                <w:tcPr>
                  <w:tcW w:w="6379" w:type="dxa"/>
                </w:tcPr>
                <w:p w14:paraId="7954B095" w14:textId="77777777" w:rsidR="00F05DC7" w:rsidRDefault="00F05DC7" w:rsidP="00A3786D">
                  <w:pPr>
                    <w:pStyle w:val="TableBodyText"/>
                    <w:ind w:right="28"/>
                    <w:jc w:val="left"/>
                  </w:pPr>
                </w:p>
              </w:tc>
              <w:tc>
                <w:tcPr>
                  <w:tcW w:w="2264" w:type="dxa"/>
                </w:tcPr>
                <w:p w14:paraId="7954B096" w14:textId="77777777" w:rsidR="00F05DC7" w:rsidRDefault="00F05DC7" w:rsidP="00A3786D">
                  <w:pPr>
                    <w:pStyle w:val="TableBodyText"/>
                    <w:ind w:right="28"/>
                  </w:pPr>
                </w:p>
              </w:tc>
            </w:tr>
            <w:tr w:rsidR="00F05DC7" w14:paraId="7954B09A" w14:textId="77777777" w:rsidTr="00A3786D">
              <w:tc>
                <w:tcPr>
                  <w:tcW w:w="6379" w:type="dxa"/>
                </w:tcPr>
                <w:p w14:paraId="7954B098" w14:textId="77777777" w:rsidR="00F05DC7" w:rsidRPr="002358A3" w:rsidRDefault="00F05DC7" w:rsidP="00A3786D">
                  <w:pPr>
                    <w:pStyle w:val="TableBodyText"/>
                    <w:ind w:right="28"/>
                    <w:jc w:val="left"/>
                    <w:rPr>
                      <w:b/>
                      <w:i/>
                    </w:rPr>
                  </w:pPr>
                  <w:r w:rsidRPr="002358A3">
                    <w:rPr>
                      <w:b/>
                      <w:i/>
                    </w:rPr>
                    <w:t>Melbourne</w:t>
                  </w:r>
                  <w:r>
                    <w:rPr>
                      <w:b/>
                      <w:i/>
                    </w:rPr>
                    <w:t xml:space="preserve"> — </w:t>
                  </w:r>
                  <w:r w:rsidRPr="002358A3">
                    <w:rPr>
                      <w:b/>
                      <w:i/>
                    </w:rPr>
                    <w:t>17 November 2017</w:t>
                  </w:r>
                </w:p>
              </w:tc>
              <w:tc>
                <w:tcPr>
                  <w:tcW w:w="2264" w:type="dxa"/>
                </w:tcPr>
                <w:p w14:paraId="7954B099" w14:textId="77777777" w:rsidR="00F05DC7" w:rsidRDefault="00F05DC7" w:rsidP="00A3786D">
                  <w:pPr>
                    <w:pStyle w:val="TableBodyText"/>
                    <w:ind w:right="28"/>
                    <w:rPr>
                      <w:b/>
                      <w:i/>
                    </w:rPr>
                  </w:pPr>
                </w:p>
              </w:tc>
            </w:tr>
            <w:tr w:rsidR="00F05DC7" w14:paraId="7954B09D" w14:textId="77777777" w:rsidTr="00A3786D">
              <w:tc>
                <w:tcPr>
                  <w:tcW w:w="6379" w:type="dxa"/>
                </w:tcPr>
                <w:p w14:paraId="7954B09B" w14:textId="77777777" w:rsidR="00F05DC7" w:rsidRDefault="00F05DC7" w:rsidP="00A3786D">
                  <w:pPr>
                    <w:pStyle w:val="TableBodyText"/>
                    <w:ind w:right="28"/>
                    <w:jc w:val="left"/>
                  </w:pPr>
                  <w:r>
                    <w:t>Victorian Government</w:t>
                  </w:r>
                </w:p>
              </w:tc>
              <w:tc>
                <w:tcPr>
                  <w:tcW w:w="2264" w:type="dxa"/>
                </w:tcPr>
                <w:p w14:paraId="7954B09C" w14:textId="77777777" w:rsidR="00F05DC7" w:rsidRDefault="00F05DC7" w:rsidP="00A3786D">
                  <w:pPr>
                    <w:pStyle w:val="TableBodyText"/>
                    <w:ind w:right="28"/>
                  </w:pPr>
                  <w:r>
                    <w:t>138-166</w:t>
                  </w:r>
                </w:p>
              </w:tc>
            </w:tr>
            <w:tr w:rsidR="00F05DC7" w14:paraId="7954B0A0" w14:textId="77777777" w:rsidTr="00A3786D">
              <w:tc>
                <w:tcPr>
                  <w:tcW w:w="6379" w:type="dxa"/>
                </w:tcPr>
                <w:p w14:paraId="7954B09E" w14:textId="77777777" w:rsidR="00F05DC7" w:rsidRDefault="00F05DC7" w:rsidP="00A3786D">
                  <w:pPr>
                    <w:pStyle w:val="TableBodyText"/>
                    <w:ind w:right="28"/>
                    <w:jc w:val="left"/>
                  </w:pPr>
                  <w:r>
                    <w:t xml:space="preserve">Peter Brohier </w:t>
                  </w:r>
                </w:p>
              </w:tc>
              <w:tc>
                <w:tcPr>
                  <w:tcW w:w="2264" w:type="dxa"/>
                </w:tcPr>
                <w:p w14:paraId="7954B09F" w14:textId="77777777" w:rsidR="00F05DC7" w:rsidRDefault="00F05DC7" w:rsidP="00A3786D">
                  <w:pPr>
                    <w:pStyle w:val="TableBodyText"/>
                    <w:ind w:right="28"/>
                  </w:pPr>
                  <w:r>
                    <w:t>166-169</w:t>
                  </w:r>
                </w:p>
              </w:tc>
            </w:tr>
            <w:tr w:rsidR="00F05DC7" w14:paraId="7954B0A3" w14:textId="77777777" w:rsidTr="00A3786D">
              <w:tc>
                <w:tcPr>
                  <w:tcW w:w="6379" w:type="dxa"/>
                </w:tcPr>
                <w:p w14:paraId="7954B0A1" w14:textId="77777777" w:rsidR="00F05DC7" w:rsidRDefault="00F05DC7" w:rsidP="00A3786D">
                  <w:pPr>
                    <w:pStyle w:val="TableBodyText"/>
                    <w:ind w:right="28"/>
                    <w:jc w:val="left"/>
                  </w:pPr>
                  <w:r>
                    <w:t>ACIL Allen Consulting</w:t>
                  </w:r>
                </w:p>
              </w:tc>
              <w:tc>
                <w:tcPr>
                  <w:tcW w:w="2264" w:type="dxa"/>
                </w:tcPr>
                <w:p w14:paraId="7954B0A2" w14:textId="77777777" w:rsidR="00F05DC7" w:rsidRDefault="00F05DC7" w:rsidP="00A3786D">
                  <w:pPr>
                    <w:pStyle w:val="TableBodyText"/>
                    <w:ind w:right="28"/>
                  </w:pPr>
                  <w:r>
                    <w:t>170-184</w:t>
                  </w:r>
                </w:p>
              </w:tc>
            </w:tr>
            <w:tr w:rsidR="00F05DC7" w14:paraId="7954B0A6" w14:textId="77777777" w:rsidTr="00A3786D">
              <w:tc>
                <w:tcPr>
                  <w:tcW w:w="6379" w:type="dxa"/>
                </w:tcPr>
                <w:p w14:paraId="7954B0A4" w14:textId="77777777" w:rsidR="00F05DC7" w:rsidRDefault="00F05DC7" w:rsidP="00A3786D">
                  <w:pPr>
                    <w:pStyle w:val="TableBodyText"/>
                    <w:ind w:right="28"/>
                    <w:jc w:val="left"/>
                  </w:pPr>
                  <w:r>
                    <w:t>John McAuley</w:t>
                  </w:r>
                </w:p>
              </w:tc>
              <w:tc>
                <w:tcPr>
                  <w:tcW w:w="2264" w:type="dxa"/>
                </w:tcPr>
                <w:p w14:paraId="7954B0A5" w14:textId="77777777" w:rsidR="00F05DC7" w:rsidRDefault="00F05DC7" w:rsidP="00A3786D">
                  <w:pPr>
                    <w:pStyle w:val="TableBodyText"/>
                    <w:ind w:right="28"/>
                  </w:pPr>
                  <w:r>
                    <w:t>185-188</w:t>
                  </w:r>
                </w:p>
              </w:tc>
            </w:tr>
            <w:tr w:rsidR="00F05DC7" w14:paraId="7954B0A9" w14:textId="77777777" w:rsidTr="00A3786D">
              <w:tc>
                <w:tcPr>
                  <w:tcW w:w="6379" w:type="dxa"/>
                </w:tcPr>
                <w:p w14:paraId="7954B0A7" w14:textId="77777777" w:rsidR="00F05DC7" w:rsidRDefault="00F05DC7" w:rsidP="00A3786D">
                  <w:pPr>
                    <w:pStyle w:val="TableBodyText"/>
                    <w:ind w:right="28"/>
                    <w:jc w:val="left"/>
                  </w:pPr>
                  <w:r>
                    <w:t>Victorian Chamber of Commerce &amp; Industry</w:t>
                  </w:r>
                </w:p>
              </w:tc>
              <w:tc>
                <w:tcPr>
                  <w:tcW w:w="2264" w:type="dxa"/>
                </w:tcPr>
                <w:p w14:paraId="7954B0A8" w14:textId="77777777" w:rsidR="00F05DC7" w:rsidRDefault="00F05DC7" w:rsidP="00A3786D">
                  <w:pPr>
                    <w:pStyle w:val="TableBodyText"/>
                    <w:ind w:right="28"/>
                  </w:pPr>
                  <w:r>
                    <w:t>188-197</w:t>
                  </w:r>
                </w:p>
              </w:tc>
            </w:tr>
            <w:tr w:rsidR="00F05DC7" w14:paraId="7954B0AC" w14:textId="77777777" w:rsidTr="00A3786D">
              <w:tc>
                <w:tcPr>
                  <w:tcW w:w="6379" w:type="dxa"/>
                </w:tcPr>
                <w:p w14:paraId="7954B0AA" w14:textId="77777777" w:rsidR="00F05DC7" w:rsidRDefault="00F05DC7" w:rsidP="00A3786D">
                  <w:pPr>
                    <w:pStyle w:val="TableBodyText"/>
                    <w:ind w:right="28"/>
                    <w:jc w:val="left"/>
                  </w:pPr>
                  <w:r>
                    <w:t>Victorian Trades Hall Council</w:t>
                  </w:r>
                </w:p>
              </w:tc>
              <w:tc>
                <w:tcPr>
                  <w:tcW w:w="2264" w:type="dxa"/>
                </w:tcPr>
                <w:p w14:paraId="7954B0AB" w14:textId="77777777" w:rsidR="00F05DC7" w:rsidRDefault="00F05DC7" w:rsidP="00A3786D">
                  <w:pPr>
                    <w:pStyle w:val="TableBodyText"/>
                    <w:ind w:right="28"/>
                  </w:pPr>
                  <w:r>
                    <w:t>197-206</w:t>
                  </w:r>
                </w:p>
              </w:tc>
            </w:tr>
            <w:tr w:rsidR="00F05DC7" w14:paraId="7954B0AF" w14:textId="77777777" w:rsidTr="00A3786D">
              <w:tc>
                <w:tcPr>
                  <w:tcW w:w="6379" w:type="dxa"/>
                </w:tcPr>
                <w:p w14:paraId="7954B0AD" w14:textId="77777777" w:rsidR="00F05DC7" w:rsidRDefault="00F05DC7" w:rsidP="00A3786D">
                  <w:pPr>
                    <w:pStyle w:val="TableBodyText"/>
                    <w:ind w:right="28"/>
                    <w:jc w:val="left"/>
                  </w:pPr>
                </w:p>
              </w:tc>
              <w:tc>
                <w:tcPr>
                  <w:tcW w:w="2264" w:type="dxa"/>
                </w:tcPr>
                <w:p w14:paraId="7954B0AE" w14:textId="77777777" w:rsidR="00F05DC7" w:rsidRDefault="00F05DC7" w:rsidP="00A3786D">
                  <w:pPr>
                    <w:pStyle w:val="TableBodyText"/>
                    <w:ind w:right="28"/>
                  </w:pPr>
                </w:p>
              </w:tc>
            </w:tr>
            <w:tr w:rsidR="00F05DC7" w14:paraId="7954B0B2" w14:textId="77777777" w:rsidTr="00A3786D">
              <w:tc>
                <w:tcPr>
                  <w:tcW w:w="6379" w:type="dxa"/>
                </w:tcPr>
                <w:p w14:paraId="7954B0B0" w14:textId="77777777" w:rsidR="00F05DC7" w:rsidRPr="002358A3" w:rsidRDefault="00F05DC7" w:rsidP="00A3786D">
                  <w:pPr>
                    <w:pStyle w:val="TableBodyText"/>
                    <w:ind w:right="28"/>
                    <w:jc w:val="left"/>
                    <w:rPr>
                      <w:b/>
                      <w:i/>
                    </w:rPr>
                  </w:pPr>
                  <w:r>
                    <w:rPr>
                      <w:b/>
                      <w:i/>
                    </w:rPr>
                    <w:t>Adelaide —</w:t>
                  </w:r>
                  <w:r w:rsidRPr="002358A3">
                    <w:rPr>
                      <w:b/>
                      <w:i/>
                    </w:rPr>
                    <w:t xml:space="preserve"> 21 November 2017</w:t>
                  </w:r>
                </w:p>
              </w:tc>
              <w:tc>
                <w:tcPr>
                  <w:tcW w:w="2264" w:type="dxa"/>
                </w:tcPr>
                <w:p w14:paraId="7954B0B1" w14:textId="77777777" w:rsidR="00F05DC7" w:rsidRDefault="00F05DC7" w:rsidP="00A3786D">
                  <w:pPr>
                    <w:pStyle w:val="TableBodyText"/>
                    <w:ind w:right="28"/>
                    <w:rPr>
                      <w:b/>
                      <w:i/>
                    </w:rPr>
                  </w:pPr>
                </w:p>
              </w:tc>
            </w:tr>
            <w:tr w:rsidR="00F05DC7" w14:paraId="7954B0B5" w14:textId="77777777" w:rsidTr="00A3786D">
              <w:tc>
                <w:tcPr>
                  <w:tcW w:w="6379" w:type="dxa"/>
                </w:tcPr>
                <w:p w14:paraId="7954B0B3" w14:textId="77777777" w:rsidR="00F05DC7" w:rsidRDefault="00F05DC7" w:rsidP="00A3786D">
                  <w:pPr>
                    <w:pStyle w:val="TableBodyText"/>
                    <w:ind w:right="28"/>
                    <w:jc w:val="left"/>
                  </w:pPr>
                  <w:r>
                    <w:t>South Australian Council of Social Services (ACOSS)</w:t>
                  </w:r>
                </w:p>
              </w:tc>
              <w:tc>
                <w:tcPr>
                  <w:tcW w:w="2264" w:type="dxa"/>
                </w:tcPr>
                <w:p w14:paraId="7954B0B4" w14:textId="77777777" w:rsidR="00F05DC7" w:rsidRDefault="00F05DC7" w:rsidP="00A3786D">
                  <w:pPr>
                    <w:pStyle w:val="TableBodyText"/>
                    <w:ind w:right="28"/>
                  </w:pPr>
                  <w:r>
                    <w:t>212-222</w:t>
                  </w:r>
                </w:p>
              </w:tc>
            </w:tr>
            <w:tr w:rsidR="00F05DC7" w14:paraId="7954B0B8" w14:textId="77777777" w:rsidTr="00A3786D">
              <w:tc>
                <w:tcPr>
                  <w:tcW w:w="6379" w:type="dxa"/>
                </w:tcPr>
                <w:p w14:paraId="7954B0B6" w14:textId="77777777" w:rsidR="00F05DC7" w:rsidRDefault="00F05DC7" w:rsidP="00A3786D">
                  <w:pPr>
                    <w:pStyle w:val="TableBodyText"/>
                    <w:ind w:right="28"/>
                    <w:jc w:val="left"/>
                  </w:pPr>
                  <w:r>
                    <w:t>Business South Australia</w:t>
                  </w:r>
                </w:p>
              </w:tc>
              <w:tc>
                <w:tcPr>
                  <w:tcW w:w="2264" w:type="dxa"/>
                </w:tcPr>
                <w:p w14:paraId="7954B0B7" w14:textId="77777777" w:rsidR="00F05DC7" w:rsidRDefault="00F05DC7" w:rsidP="00A3786D">
                  <w:pPr>
                    <w:pStyle w:val="TableBodyText"/>
                    <w:ind w:right="28"/>
                  </w:pPr>
                  <w:r>
                    <w:t>223-232</w:t>
                  </w:r>
                </w:p>
              </w:tc>
            </w:tr>
            <w:tr w:rsidR="00F05DC7" w14:paraId="7954B0BB" w14:textId="77777777" w:rsidTr="00A3786D">
              <w:tc>
                <w:tcPr>
                  <w:tcW w:w="6379" w:type="dxa"/>
                </w:tcPr>
                <w:p w14:paraId="7954B0B9" w14:textId="77777777" w:rsidR="00F05DC7" w:rsidRDefault="00F05DC7" w:rsidP="00A3786D">
                  <w:pPr>
                    <w:pStyle w:val="TableBodyText"/>
                    <w:ind w:right="28"/>
                    <w:jc w:val="left"/>
                  </w:pPr>
                  <w:r>
                    <w:t>South Australian Centre for Economic Studies</w:t>
                  </w:r>
                </w:p>
              </w:tc>
              <w:tc>
                <w:tcPr>
                  <w:tcW w:w="2264" w:type="dxa"/>
                </w:tcPr>
                <w:p w14:paraId="7954B0BA" w14:textId="77777777" w:rsidR="00F05DC7" w:rsidRDefault="00F05DC7" w:rsidP="00A3786D">
                  <w:pPr>
                    <w:pStyle w:val="TableBodyText"/>
                    <w:ind w:right="28"/>
                  </w:pPr>
                  <w:r>
                    <w:t>232-242</w:t>
                  </w:r>
                </w:p>
              </w:tc>
            </w:tr>
            <w:tr w:rsidR="00F05DC7" w14:paraId="7954B0BE" w14:textId="77777777" w:rsidTr="00A3786D">
              <w:tc>
                <w:tcPr>
                  <w:tcW w:w="6379" w:type="dxa"/>
                </w:tcPr>
                <w:p w14:paraId="7954B0BC" w14:textId="77777777" w:rsidR="00F05DC7" w:rsidRDefault="00F05DC7" w:rsidP="00A3786D">
                  <w:pPr>
                    <w:pStyle w:val="TableBodyText"/>
                    <w:ind w:right="28"/>
                    <w:jc w:val="left"/>
                  </w:pPr>
                  <w:r>
                    <w:t>Urban Development Institute of Australia</w:t>
                  </w:r>
                </w:p>
              </w:tc>
              <w:tc>
                <w:tcPr>
                  <w:tcW w:w="2264" w:type="dxa"/>
                </w:tcPr>
                <w:p w14:paraId="7954B0BD" w14:textId="77777777" w:rsidR="00F05DC7" w:rsidRDefault="00F05DC7" w:rsidP="00A3786D">
                  <w:pPr>
                    <w:pStyle w:val="TableBodyText"/>
                    <w:ind w:right="28"/>
                  </w:pPr>
                  <w:r>
                    <w:t>243-249</w:t>
                  </w:r>
                </w:p>
              </w:tc>
            </w:tr>
            <w:tr w:rsidR="00F05DC7" w14:paraId="7954B0C1" w14:textId="77777777" w:rsidTr="00A3786D">
              <w:tc>
                <w:tcPr>
                  <w:tcW w:w="6379" w:type="dxa"/>
                </w:tcPr>
                <w:p w14:paraId="7954B0BF" w14:textId="77777777" w:rsidR="00F05DC7" w:rsidRDefault="00F05DC7" w:rsidP="00A3786D">
                  <w:pPr>
                    <w:pStyle w:val="TableBodyText"/>
                    <w:ind w:right="28"/>
                    <w:jc w:val="left"/>
                  </w:pPr>
                  <w:r>
                    <w:t>Peter and Linda Emery</w:t>
                  </w:r>
                </w:p>
              </w:tc>
              <w:tc>
                <w:tcPr>
                  <w:tcW w:w="2264" w:type="dxa"/>
                </w:tcPr>
                <w:p w14:paraId="7954B0C0" w14:textId="77777777" w:rsidR="00F05DC7" w:rsidRDefault="00F05DC7" w:rsidP="00A3786D">
                  <w:pPr>
                    <w:pStyle w:val="TableBodyText"/>
                    <w:ind w:right="28"/>
                  </w:pPr>
                  <w:r>
                    <w:t>249-258</w:t>
                  </w:r>
                </w:p>
              </w:tc>
            </w:tr>
            <w:tr w:rsidR="00F05DC7" w14:paraId="7954B0C4" w14:textId="77777777" w:rsidTr="00A3786D">
              <w:tc>
                <w:tcPr>
                  <w:tcW w:w="6379" w:type="dxa"/>
                </w:tcPr>
                <w:p w14:paraId="7954B0C2" w14:textId="77777777" w:rsidR="00F05DC7" w:rsidRDefault="00F05DC7" w:rsidP="00A3786D">
                  <w:pPr>
                    <w:pStyle w:val="TableBodyText"/>
                    <w:ind w:right="28"/>
                    <w:jc w:val="left"/>
                  </w:pPr>
                  <w:r>
                    <w:t>South Australian Tourism Industry Council</w:t>
                  </w:r>
                </w:p>
              </w:tc>
              <w:tc>
                <w:tcPr>
                  <w:tcW w:w="2264" w:type="dxa"/>
                </w:tcPr>
                <w:p w14:paraId="7954B0C3" w14:textId="77777777" w:rsidR="00F05DC7" w:rsidRDefault="00F05DC7" w:rsidP="00A3786D">
                  <w:pPr>
                    <w:pStyle w:val="TableBodyText"/>
                    <w:ind w:right="28"/>
                  </w:pPr>
                  <w:r>
                    <w:t>259-266</w:t>
                  </w:r>
                </w:p>
              </w:tc>
            </w:tr>
            <w:tr w:rsidR="00F05DC7" w14:paraId="7954B0C7" w14:textId="77777777" w:rsidTr="00A3786D">
              <w:tc>
                <w:tcPr>
                  <w:tcW w:w="6379" w:type="dxa"/>
                </w:tcPr>
                <w:p w14:paraId="7954B0C5" w14:textId="77777777" w:rsidR="00F05DC7" w:rsidRDefault="00F05DC7" w:rsidP="00A3786D">
                  <w:pPr>
                    <w:pStyle w:val="TableBodyText"/>
                    <w:ind w:right="28"/>
                    <w:jc w:val="left"/>
                  </w:pPr>
                  <w:r>
                    <w:t xml:space="preserve">Jonathan Pincus </w:t>
                  </w:r>
                </w:p>
              </w:tc>
              <w:tc>
                <w:tcPr>
                  <w:tcW w:w="2264" w:type="dxa"/>
                </w:tcPr>
                <w:p w14:paraId="7954B0C6" w14:textId="77777777" w:rsidR="00F05DC7" w:rsidRDefault="00F05DC7" w:rsidP="00A3786D">
                  <w:pPr>
                    <w:pStyle w:val="TableBodyText"/>
                    <w:ind w:right="28"/>
                  </w:pPr>
                  <w:r>
                    <w:t>267-270</w:t>
                  </w:r>
                </w:p>
              </w:tc>
            </w:tr>
            <w:tr w:rsidR="00F05DC7" w14:paraId="7954B0CA" w14:textId="77777777" w:rsidTr="00A3786D">
              <w:tc>
                <w:tcPr>
                  <w:tcW w:w="6379" w:type="dxa"/>
                </w:tcPr>
                <w:p w14:paraId="7954B0C8" w14:textId="77777777" w:rsidR="00F05DC7" w:rsidRDefault="00F05DC7" w:rsidP="00A3786D">
                  <w:pPr>
                    <w:pStyle w:val="TableBodyText"/>
                    <w:ind w:right="28"/>
                    <w:jc w:val="left"/>
                  </w:pPr>
                </w:p>
              </w:tc>
              <w:tc>
                <w:tcPr>
                  <w:tcW w:w="2264" w:type="dxa"/>
                </w:tcPr>
                <w:p w14:paraId="7954B0C9" w14:textId="77777777" w:rsidR="00F05DC7" w:rsidRDefault="00F05DC7" w:rsidP="00A3786D">
                  <w:pPr>
                    <w:pStyle w:val="TableBodyText"/>
                    <w:ind w:right="28"/>
                  </w:pPr>
                </w:p>
              </w:tc>
            </w:tr>
            <w:tr w:rsidR="00F05DC7" w14:paraId="7954B0CD" w14:textId="77777777" w:rsidTr="00A3786D">
              <w:tc>
                <w:tcPr>
                  <w:tcW w:w="6379" w:type="dxa"/>
                </w:tcPr>
                <w:p w14:paraId="7954B0CB" w14:textId="77777777" w:rsidR="00F05DC7" w:rsidRPr="00A91EA5" w:rsidRDefault="00F05DC7" w:rsidP="00A3786D">
                  <w:pPr>
                    <w:pStyle w:val="TableBodyText"/>
                    <w:ind w:right="28"/>
                    <w:jc w:val="left"/>
                    <w:rPr>
                      <w:b/>
                      <w:i/>
                    </w:rPr>
                  </w:pPr>
                  <w:r>
                    <w:rPr>
                      <w:b/>
                      <w:i/>
                    </w:rPr>
                    <w:t>Darwin —</w:t>
                  </w:r>
                  <w:r w:rsidRPr="00A91EA5">
                    <w:rPr>
                      <w:b/>
                      <w:i/>
                    </w:rPr>
                    <w:t xml:space="preserve"> 28 November 2017</w:t>
                  </w:r>
                </w:p>
              </w:tc>
              <w:tc>
                <w:tcPr>
                  <w:tcW w:w="2264" w:type="dxa"/>
                </w:tcPr>
                <w:p w14:paraId="7954B0CC" w14:textId="77777777" w:rsidR="00F05DC7" w:rsidRDefault="00F05DC7" w:rsidP="00A3786D">
                  <w:pPr>
                    <w:pStyle w:val="TableBodyText"/>
                    <w:ind w:right="28"/>
                    <w:rPr>
                      <w:b/>
                      <w:i/>
                    </w:rPr>
                  </w:pPr>
                </w:p>
              </w:tc>
            </w:tr>
            <w:tr w:rsidR="00F05DC7" w14:paraId="7954B0D0" w14:textId="77777777" w:rsidTr="00A3786D">
              <w:tc>
                <w:tcPr>
                  <w:tcW w:w="6379" w:type="dxa"/>
                </w:tcPr>
                <w:p w14:paraId="7954B0CE" w14:textId="77777777" w:rsidR="00F05DC7" w:rsidRDefault="00F05DC7" w:rsidP="00A3786D">
                  <w:pPr>
                    <w:pStyle w:val="TableBodyText"/>
                    <w:ind w:right="28"/>
                    <w:jc w:val="left"/>
                  </w:pPr>
                  <w:r>
                    <w:t xml:space="preserve">Yothu Yindi Foundation </w:t>
                  </w:r>
                </w:p>
              </w:tc>
              <w:tc>
                <w:tcPr>
                  <w:tcW w:w="2264" w:type="dxa"/>
                </w:tcPr>
                <w:p w14:paraId="7954B0CF" w14:textId="77777777" w:rsidR="00F05DC7" w:rsidRDefault="00F05DC7" w:rsidP="00A3786D">
                  <w:pPr>
                    <w:pStyle w:val="TableBodyText"/>
                    <w:ind w:right="28"/>
                  </w:pPr>
                  <w:r>
                    <w:t>271-288</w:t>
                  </w:r>
                </w:p>
              </w:tc>
            </w:tr>
            <w:tr w:rsidR="00F05DC7" w14:paraId="7954B0D3" w14:textId="77777777" w:rsidTr="00A3786D">
              <w:tc>
                <w:tcPr>
                  <w:tcW w:w="6379" w:type="dxa"/>
                </w:tcPr>
                <w:p w14:paraId="7954B0D1" w14:textId="77777777" w:rsidR="00F05DC7" w:rsidRDefault="00F05DC7" w:rsidP="00A3786D">
                  <w:pPr>
                    <w:pStyle w:val="TableBodyText"/>
                    <w:ind w:right="28"/>
                    <w:jc w:val="left"/>
                  </w:pPr>
                  <w:r>
                    <w:t>Australian Education Union NT</w:t>
                  </w:r>
                </w:p>
              </w:tc>
              <w:tc>
                <w:tcPr>
                  <w:tcW w:w="2264" w:type="dxa"/>
                </w:tcPr>
                <w:p w14:paraId="7954B0D2" w14:textId="77777777" w:rsidR="00F05DC7" w:rsidRDefault="00F05DC7" w:rsidP="00A3786D">
                  <w:pPr>
                    <w:pStyle w:val="TableBodyText"/>
                    <w:ind w:right="28"/>
                  </w:pPr>
                  <w:r>
                    <w:t>288-299</w:t>
                  </w:r>
                </w:p>
              </w:tc>
            </w:tr>
            <w:tr w:rsidR="00F05DC7" w14:paraId="7954B0D6" w14:textId="77777777" w:rsidTr="00A3786D">
              <w:tc>
                <w:tcPr>
                  <w:tcW w:w="6379" w:type="dxa"/>
                </w:tcPr>
                <w:p w14:paraId="7954B0D4" w14:textId="77777777" w:rsidR="00F05DC7" w:rsidRDefault="00F05DC7" w:rsidP="00A3786D">
                  <w:pPr>
                    <w:pStyle w:val="TableBodyText"/>
                    <w:ind w:right="28"/>
                    <w:jc w:val="left"/>
                  </w:pPr>
                  <w:r>
                    <w:t>Minerals Council of Australia NT</w:t>
                  </w:r>
                </w:p>
              </w:tc>
              <w:tc>
                <w:tcPr>
                  <w:tcW w:w="2264" w:type="dxa"/>
                </w:tcPr>
                <w:p w14:paraId="7954B0D5" w14:textId="77777777" w:rsidR="00F05DC7" w:rsidRDefault="00F05DC7" w:rsidP="00A3786D">
                  <w:pPr>
                    <w:pStyle w:val="TableBodyText"/>
                    <w:ind w:right="28"/>
                  </w:pPr>
                  <w:r>
                    <w:t>300-312</w:t>
                  </w:r>
                </w:p>
              </w:tc>
            </w:tr>
            <w:tr w:rsidR="00F05DC7" w14:paraId="7954B0D9" w14:textId="77777777" w:rsidTr="00A3786D">
              <w:tc>
                <w:tcPr>
                  <w:tcW w:w="6379" w:type="dxa"/>
                </w:tcPr>
                <w:p w14:paraId="7954B0D7" w14:textId="77777777" w:rsidR="00F05DC7" w:rsidRDefault="00F05DC7" w:rsidP="00A3786D">
                  <w:pPr>
                    <w:pStyle w:val="TableBodyText"/>
                    <w:ind w:right="28"/>
                    <w:jc w:val="left"/>
                  </w:pPr>
                  <w:r>
                    <w:t>Bespoke Territory</w:t>
                  </w:r>
                </w:p>
              </w:tc>
              <w:tc>
                <w:tcPr>
                  <w:tcW w:w="2264" w:type="dxa"/>
                </w:tcPr>
                <w:p w14:paraId="7954B0D8" w14:textId="77777777" w:rsidR="00F05DC7" w:rsidRDefault="00F05DC7" w:rsidP="00A3786D">
                  <w:pPr>
                    <w:pStyle w:val="TableBodyText"/>
                    <w:ind w:right="28"/>
                  </w:pPr>
                  <w:r>
                    <w:t>312-325</w:t>
                  </w:r>
                </w:p>
              </w:tc>
            </w:tr>
            <w:tr w:rsidR="00F05DC7" w14:paraId="7954B0DC" w14:textId="77777777" w:rsidTr="00A3786D">
              <w:tc>
                <w:tcPr>
                  <w:tcW w:w="6379" w:type="dxa"/>
                </w:tcPr>
                <w:p w14:paraId="7954B0DA" w14:textId="77777777" w:rsidR="00F05DC7" w:rsidRDefault="00F05DC7" w:rsidP="00A3786D">
                  <w:pPr>
                    <w:pStyle w:val="TableBodyText"/>
                    <w:ind w:right="28"/>
                    <w:jc w:val="left"/>
                  </w:pPr>
                  <w:r>
                    <w:t xml:space="preserve">Community &amp; Public Sector Union NT and Electrical Trades Union NT </w:t>
                  </w:r>
                </w:p>
              </w:tc>
              <w:tc>
                <w:tcPr>
                  <w:tcW w:w="2264" w:type="dxa"/>
                </w:tcPr>
                <w:p w14:paraId="7954B0DB" w14:textId="77777777" w:rsidR="00F05DC7" w:rsidRDefault="00F05DC7" w:rsidP="00A3786D">
                  <w:pPr>
                    <w:pStyle w:val="TableBodyText"/>
                    <w:ind w:right="28"/>
                  </w:pPr>
                  <w:r>
                    <w:t>326-335</w:t>
                  </w:r>
                </w:p>
              </w:tc>
            </w:tr>
            <w:tr w:rsidR="00F05DC7" w14:paraId="7954B0DF" w14:textId="77777777" w:rsidTr="00A3786D">
              <w:tc>
                <w:tcPr>
                  <w:tcW w:w="6379" w:type="dxa"/>
                </w:tcPr>
                <w:p w14:paraId="7954B0DD" w14:textId="77777777" w:rsidR="00F05DC7" w:rsidRDefault="00F05DC7" w:rsidP="00A3786D">
                  <w:pPr>
                    <w:pStyle w:val="TableBodyText"/>
                    <w:ind w:right="28"/>
                    <w:jc w:val="left"/>
                  </w:pPr>
                  <w:r>
                    <w:t xml:space="preserve">Australian Medical Association NT </w:t>
                  </w:r>
                </w:p>
              </w:tc>
              <w:tc>
                <w:tcPr>
                  <w:tcW w:w="2264" w:type="dxa"/>
                </w:tcPr>
                <w:p w14:paraId="7954B0DE" w14:textId="77777777" w:rsidR="00F05DC7" w:rsidRDefault="00F05DC7" w:rsidP="00A3786D">
                  <w:pPr>
                    <w:pStyle w:val="TableBodyText"/>
                    <w:ind w:right="28"/>
                  </w:pPr>
                  <w:r>
                    <w:t>336-341</w:t>
                  </w:r>
                </w:p>
              </w:tc>
            </w:tr>
            <w:tr w:rsidR="00F05DC7" w14:paraId="7954B0E2" w14:textId="77777777" w:rsidTr="004F6C34">
              <w:tc>
                <w:tcPr>
                  <w:tcW w:w="6379" w:type="dxa"/>
                </w:tcPr>
                <w:p w14:paraId="7954B0E0" w14:textId="77777777" w:rsidR="00F05DC7" w:rsidRDefault="00F05DC7" w:rsidP="00A3786D">
                  <w:pPr>
                    <w:pStyle w:val="TableBodyText"/>
                    <w:ind w:right="28"/>
                    <w:jc w:val="left"/>
                  </w:pPr>
                  <w:r>
                    <w:t>Northern Land Council</w:t>
                  </w:r>
                </w:p>
              </w:tc>
              <w:tc>
                <w:tcPr>
                  <w:tcW w:w="2264" w:type="dxa"/>
                </w:tcPr>
                <w:p w14:paraId="7954B0E1" w14:textId="77777777" w:rsidR="00F05DC7" w:rsidRDefault="00F05DC7" w:rsidP="00A3786D">
                  <w:pPr>
                    <w:pStyle w:val="TableBodyText"/>
                    <w:ind w:right="28"/>
                  </w:pPr>
                  <w:r>
                    <w:t>342-348</w:t>
                  </w:r>
                </w:p>
              </w:tc>
            </w:tr>
            <w:tr w:rsidR="00F05DC7" w14:paraId="7954B0E8" w14:textId="77777777" w:rsidTr="004F6C34">
              <w:trPr>
                <w:trHeight w:val="247"/>
              </w:trPr>
              <w:tc>
                <w:tcPr>
                  <w:tcW w:w="6379" w:type="dxa"/>
                  <w:tcBorders>
                    <w:bottom w:val="single" w:sz="4" w:space="0" w:color="BFBFBF"/>
                  </w:tcBorders>
                </w:tcPr>
                <w:p w14:paraId="7954B0E6" w14:textId="5DADEB40" w:rsidR="00F05DC7" w:rsidRPr="00CC4BE7" w:rsidRDefault="00F05DC7" w:rsidP="00753E2F">
                  <w:pPr>
                    <w:pStyle w:val="TableBodyText"/>
                    <w:tabs>
                      <w:tab w:val="left" w:pos="301"/>
                      <w:tab w:val="right" w:pos="8619"/>
                    </w:tabs>
                    <w:ind w:right="28"/>
                    <w:jc w:val="left"/>
                    <w:rPr>
                      <w:i/>
                    </w:rPr>
                  </w:pPr>
                  <w:r>
                    <w:tab/>
                  </w:r>
                  <w:r>
                    <w:tab/>
                  </w:r>
                </w:p>
              </w:tc>
              <w:tc>
                <w:tcPr>
                  <w:tcW w:w="2264" w:type="dxa"/>
                  <w:tcBorders>
                    <w:bottom w:val="single" w:sz="4" w:space="0" w:color="BFBFBF"/>
                  </w:tcBorders>
                </w:tcPr>
                <w:p w14:paraId="7954B0E7" w14:textId="7426E883" w:rsidR="00F05DC7" w:rsidRDefault="00753E2F" w:rsidP="004F6C34">
                  <w:pPr>
                    <w:pStyle w:val="Continued"/>
                  </w:pPr>
                  <w:r w:rsidRPr="00CC4BE7">
                    <w:t>(continued next page)</w:t>
                  </w:r>
                </w:p>
              </w:tc>
            </w:tr>
          </w:tbl>
          <w:p w14:paraId="7954B0E9" w14:textId="77777777" w:rsidR="00F05DC7" w:rsidRDefault="00F05DC7" w:rsidP="00A3786D">
            <w:pPr>
              <w:pStyle w:val="Box"/>
            </w:pPr>
          </w:p>
        </w:tc>
      </w:tr>
      <w:tr w:rsidR="00F05DC7" w14:paraId="7954B0EC" w14:textId="77777777" w:rsidTr="00A3786D">
        <w:tc>
          <w:tcPr>
            <w:tcW w:w="5000" w:type="pct"/>
            <w:tcBorders>
              <w:top w:val="nil"/>
              <w:left w:val="nil"/>
              <w:bottom w:val="single" w:sz="6" w:space="0" w:color="78A22F"/>
              <w:right w:val="nil"/>
            </w:tcBorders>
            <w:shd w:val="clear" w:color="auto" w:fill="auto"/>
          </w:tcPr>
          <w:p w14:paraId="7954B0EB" w14:textId="77777777" w:rsidR="00F05DC7" w:rsidRDefault="00F05DC7" w:rsidP="00A3786D">
            <w:pPr>
              <w:pStyle w:val="Box"/>
              <w:spacing w:before="0" w:line="120" w:lineRule="exact"/>
            </w:pPr>
          </w:p>
        </w:tc>
      </w:tr>
      <w:tr w:rsidR="00F05DC7" w:rsidRPr="000863A5" w14:paraId="7954B0EE" w14:textId="77777777" w:rsidTr="00A3786D">
        <w:tc>
          <w:tcPr>
            <w:tcW w:w="5000" w:type="pct"/>
            <w:tcBorders>
              <w:top w:val="single" w:sz="6" w:space="0" w:color="78A22F"/>
              <w:left w:val="nil"/>
              <w:bottom w:val="nil"/>
              <w:right w:val="nil"/>
            </w:tcBorders>
          </w:tcPr>
          <w:p w14:paraId="7954B0ED" w14:textId="77777777" w:rsidR="00F05DC7" w:rsidRPr="00626D32" w:rsidRDefault="00F05DC7" w:rsidP="00A3786D">
            <w:pPr>
              <w:pStyle w:val="BoxSpaceBelow"/>
            </w:pPr>
          </w:p>
        </w:tc>
      </w:tr>
    </w:tbl>
    <w:p w14:paraId="7954B0EF"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0F1" w14:textId="77777777" w:rsidTr="00A3786D">
        <w:trPr>
          <w:tblHeader/>
        </w:trPr>
        <w:tc>
          <w:tcPr>
            <w:tcW w:w="5000" w:type="pct"/>
            <w:tcBorders>
              <w:top w:val="single" w:sz="6" w:space="0" w:color="78A22F"/>
              <w:left w:val="nil"/>
              <w:bottom w:val="nil"/>
              <w:right w:val="nil"/>
            </w:tcBorders>
            <w:shd w:val="clear" w:color="auto" w:fill="auto"/>
          </w:tcPr>
          <w:p w14:paraId="7954B0F0" w14:textId="654AF591" w:rsidR="00F05DC7" w:rsidRPr="00784A05" w:rsidRDefault="00F05DC7" w:rsidP="00A3786D">
            <w:pPr>
              <w:pStyle w:val="TableTitle"/>
            </w:pPr>
            <w:r>
              <w:rPr>
                <w:b w:val="0"/>
              </w:rPr>
              <w:t>Table A.3</w:t>
            </w:r>
            <w:r w:rsidRPr="00A5751E">
              <w:rPr>
                <w:b w:val="0"/>
              </w:rPr>
              <w:tab/>
            </w:r>
            <w:r w:rsidRPr="00A5751E">
              <w:rPr>
                <w:b w:val="0"/>
                <w:sz w:val="18"/>
              </w:rPr>
              <w:t>(continued)</w:t>
            </w:r>
          </w:p>
        </w:tc>
      </w:tr>
      <w:tr w:rsidR="00F05DC7" w14:paraId="7954B153"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19"/>
              <w:gridCol w:w="2186"/>
            </w:tblGrid>
            <w:tr w:rsidR="00F05DC7" w14:paraId="7954B0F4" w14:textId="77777777" w:rsidTr="00A3786D">
              <w:trPr>
                <w:tblHeader/>
              </w:trPr>
              <w:tc>
                <w:tcPr>
                  <w:tcW w:w="3715" w:type="pct"/>
                  <w:tcBorders>
                    <w:top w:val="single" w:sz="6" w:space="0" w:color="BFBFBF"/>
                    <w:bottom w:val="single" w:sz="6" w:space="0" w:color="BFBFBF"/>
                  </w:tcBorders>
                  <w:shd w:val="clear" w:color="auto" w:fill="auto"/>
                  <w:tcMar>
                    <w:top w:w="28" w:type="dxa"/>
                  </w:tcMar>
                </w:tcPr>
                <w:p w14:paraId="7954B0F2" w14:textId="77777777" w:rsidR="00F05DC7" w:rsidRDefault="00F05DC7" w:rsidP="00A3786D">
                  <w:pPr>
                    <w:pStyle w:val="TableColumnHeading"/>
                    <w:jc w:val="left"/>
                  </w:pPr>
                  <w:r>
                    <w:t>Individual or Organisation</w:t>
                  </w:r>
                </w:p>
              </w:tc>
              <w:tc>
                <w:tcPr>
                  <w:tcW w:w="1285" w:type="pct"/>
                  <w:tcBorders>
                    <w:top w:val="single" w:sz="6" w:space="0" w:color="BFBFBF"/>
                    <w:bottom w:val="single" w:sz="6" w:space="0" w:color="BFBFBF"/>
                  </w:tcBorders>
                </w:tcPr>
                <w:p w14:paraId="7954B0F3" w14:textId="77777777" w:rsidR="00F05DC7" w:rsidRDefault="00F05DC7" w:rsidP="00A3786D">
                  <w:pPr>
                    <w:pStyle w:val="TableColumnHeading"/>
                    <w:ind w:right="0"/>
                  </w:pPr>
                  <w:r>
                    <w:t>Transcript Page Numbers</w:t>
                  </w:r>
                </w:p>
              </w:tc>
            </w:tr>
            <w:tr w:rsidR="00F05DC7" w14:paraId="7954B0F7" w14:textId="77777777" w:rsidTr="00A3786D">
              <w:tc>
                <w:tcPr>
                  <w:tcW w:w="3715" w:type="pct"/>
                  <w:tcBorders>
                    <w:top w:val="single" w:sz="6" w:space="0" w:color="BFBFBF"/>
                  </w:tcBorders>
                </w:tcPr>
                <w:p w14:paraId="7954B0F5" w14:textId="77777777" w:rsidR="00F05DC7" w:rsidRDefault="00F05DC7" w:rsidP="004F6C34">
                  <w:pPr>
                    <w:pStyle w:val="TableUnitsRow"/>
                    <w:spacing w:before="80"/>
                    <w:ind w:right="28"/>
                    <w:jc w:val="left"/>
                  </w:pPr>
                  <w:r>
                    <w:t>Aboriginal Medical Services Alliance NT</w:t>
                  </w:r>
                </w:p>
              </w:tc>
              <w:tc>
                <w:tcPr>
                  <w:tcW w:w="1285" w:type="pct"/>
                  <w:tcBorders>
                    <w:top w:val="single" w:sz="6" w:space="0" w:color="BFBFBF"/>
                  </w:tcBorders>
                </w:tcPr>
                <w:p w14:paraId="7954B0F6" w14:textId="77777777" w:rsidR="00F05DC7" w:rsidRDefault="00F05DC7" w:rsidP="00A3786D">
                  <w:pPr>
                    <w:pStyle w:val="TableUnitsRow"/>
                    <w:ind w:right="25"/>
                  </w:pPr>
                  <w:r>
                    <w:t>349-360</w:t>
                  </w:r>
                </w:p>
              </w:tc>
            </w:tr>
            <w:tr w:rsidR="00F05DC7" w14:paraId="7954B0FA" w14:textId="77777777" w:rsidTr="00A3786D">
              <w:tc>
                <w:tcPr>
                  <w:tcW w:w="3715" w:type="pct"/>
                </w:tcPr>
                <w:p w14:paraId="7954B0F8" w14:textId="77777777" w:rsidR="00F05DC7" w:rsidRDefault="00F05DC7" w:rsidP="00A3786D">
                  <w:pPr>
                    <w:pStyle w:val="TableBodyText"/>
                    <w:ind w:right="25"/>
                    <w:jc w:val="left"/>
                  </w:pPr>
                  <w:r>
                    <w:t>Gerry Wood</w:t>
                  </w:r>
                </w:p>
              </w:tc>
              <w:tc>
                <w:tcPr>
                  <w:tcW w:w="1285" w:type="pct"/>
                </w:tcPr>
                <w:p w14:paraId="7954B0F9" w14:textId="77777777" w:rsidR="00F05DC7" w:rsidRDefault="00F05DC7" w:rsidP="00A3786D">
                  <w:pPr>
                    <w:pStyle w:val="TableBodyText"/>
                    <w:ind w:right="25"/>
                  </w:pPr>
                  <w:r>
                    <w:t>361-369</w:t>
                  </w:r>
                </w:p>
              </w:tc>
            </w:tr>
            <w:tr w:rsidR="00F05DC7" w14:paraId="7954B0FD" w14:textId="77777777" w:rsidTr="00A3786D">
              <w:tc>
                <w:tcPr>
                  <w:tcW w:w="3715" w:type="pct"/>
                </w:tcPr>
                <w:p w14:paraId="7954B0FB" w14:textId="77777777" w:rsidR="00F05DC7" w:rsidRDefault="00F05DC7" w:rsidP="00A3786D">
                  <w:pPr>
                    <w:pStyle w:val="TableBodyText"/>
                    <w:ind w:right="25"/>
                    <w:jc w:val="left"/>
                  </w:pPr>
                </w:p>
              </w:tc>
              <w:tc>
                <w:tcPr>
                  <w:tcW w:w="1285" w:type="pct"/>
                </w:tcPr>
                <w:p w14:paraId="7954B0FC" w14:textId="77777777" w:rsidR="00F05DC7" w:rsidRDefault="00F05DC7" w:rsidP="00A3786D">
                  <w:pPr>
                    <w:pStyle w:val="TableBodyText"/>
                    <w:ind w:right="25"/>
                  </w:pPr>
                </w:p>
              </w:tc>
            </w:tr>
            <w:tr w:rsidR="00F05DC7" w14:paraId="7954B100" w14:textId="77777777" w:rsidTr="00A3786D">
              <w:tc>
                <w:tcPr>
                  <w:tcW w:w="3715" w:type="pct"/>
                </w:tcPr>
                <w:p w14:paraId="7954B0FE" w14:textId="77777777" w:rsidR="00F05DC7" w:rsidRPr="00525EE5" w:rsidRDefault="00F05DC7" w:rsidP="00A3786D">
                  <w:pPr>
                    <w:pStyle w:val="TableBodyText"/>
                    <w:ind w:right="25"/>
                    <w:jc w:val="left"/>
                    <w:rPr>
                      <w:b/>
                      <w:i/>
                    </w:rPr>
                  </w:pPr>
                  <w:r>
                    <w:rPr>
                      <w:b/>
                      <w:i/>
                    </w:rPr>
                    <w:t>Darwin —</w:t>
                  </w:r>
                  <w:r w:rsidRPr="00525EE5">
                    <w:rPr>
                      <w:b/>
                      <w:i/>
                    </w:rPr>
                    <w:t xml:space="preserve"> 29 November 2017</w:t>
                  </w:r>
                </w:p>
              </w:tc>
              <w:tc>
                <w:tcPr>
                  <w:tcW w:w="1285" w:type="pct"/>
                </w:tcPr>
                <w:p w14:paraId="7954B0FF" w14:textId="77777777" w:rsidR="00F05DC7" w:rsidRDefault="00F05DC7" w:rsidP="00A3786D">
                  <w:pPr>
                    <w:pStyle w:val="TableBodyText"/>
                    <w:ind w:right="25"/>
                    <w:rPr>
                      <w:b/>
                      <w:i/>
                    </w:rPr>
                  </w:pPr>
                </w:p>
              </w:tc>
            </w:tr>
            <w:tr w:rsidR="00F05DC7" w14:paraId="7954B103" w14:textId="77777777" w:rsidTr="00A3786D">
              <w:tc>
                <w:tcPr>
                  <w:tcW w:w="3715" w:type="pct"/>
                </w:tcPr>
                <w:p w14:paraId="7954B101" w14:textId="77777777" w:rsidR="00F05DC7" w:rsidRDefault="00F05DC7" w:rsidP="00A3786D">
                  <w:pPr>
                    <w:pStyle w:val="TableBodyText"/>
                    <w:ind w:right="25"/>
                    <w:jc w:val="left"/>
                  </w:pPr>
                  <w:r>
                    <w:t>Northern Territory Government</w:t>
                  </w:r>
                </w:p>
              </w:tc>
              <w:tc>
                <w:tcPr>
                  <w:tcW w:w="1285" w:type="pct"/>
                </w:tcPr>
                <w:p w14:paraId="7954B102" w14:textId="77777777" w:rsidR="00F05DC7" w:rsidRDefault="00F05DC7" w:rsidP="00A3786D">
                  <w:pPr>
                    <w:pStyle w:val="TableBodyText"/>
                    <w:ind w:right="25"/>
                  </w:pPr>
                  <w:r>
                    <w:t>371-387</w:t>
                  </w:r>
                </w:p>
              </w:tc>
            </w:tr>
            <w:tr w:rsidR="00F05DC7" w14:paraId="7954B106" w14:textId="77777777" w:rsidTr="00A3786D">
              <w:tc>
                <w:tcPr>
                  <w:tcW w:w="3715" w:type="pct"/>
                </w:tcPr>
                <w:p w14:paraId="7954B104" w14:textId="77777777" w:rsidR="00F05DC7" w:rsidRDefault="00F05DC7" w:rsidP="00A3786D">
                  <w:pPr>
                    <w:pStyle w:val="TableBodyText"/>
                    <w:ind w:right="25"/>
                    <w:jc w:val="left"/>
                  </w:pPr>
                  <w:r>
                    <w:t>Northern Territory Opposition</w:t>
                  </w:r>
                </w:p>
              </w:tc>
              <w:tc>
                <w:tcPr>
                  <w:tcW w:w="1285" w:type="pct"/>
                </w:tcPr>
                <w:p w14:paraId="7954B105" w14:textId="77777777" w:rsidR="00F05DC7" w:rsidRDefault="00F05DC7" w:rsidP="00A3786D">
                  <w:pPr>
                    <w:pStyle w:val="TableBodyText"/>
                    <w:ind w:right="25"/>
                  </w:pPr>
                  <w:r>
                    <w:t>388-399</w:t>
                  </w:r>
                </w:p>
              </w:tc>
            </w:tr>
            <w:tr w:rsidR="00F05DC7" w14:paraId="7954B109" w14:textId="77777777" w:rsidTr="00A3786D">
              <w:tc>
                <w:tcPr>
                  <w:tcW w:w="3715" w:type="pct"/>
                </w:tcPr>
                <w:p w14:paraId="7954B107" w14:textId="77777777" w:rsidR="00F05DC7" w:rsidRDefault="00F05DC7" w:rsidP="00A3786D">
                  <w:pPr>
                    <w:pStyle w:val="TableBodyText"/>
                    <w:ind w:right="25"/>
                    <w:jc w:val="left"/>
                  </w:pPr>
                  <w:r>
                    <w:t>Northern Territory Government</w:t>
                  </w:r>
                </w:p>
              </w:tc>
              <w:tc>
                <w:tcPr>
                  <w:tcW w:w="1285" w:type="pct"/>
                </w:tcPr>
                <w:p w14:paraId="7954B108" w14:textId="77777777" w:rsidR="00F05DC7" w:rsidRDefault="00F05DC7" w:rsidP="00A3786D">
                  <w:pPr>
                    <w:pStyle w:val="TableBodyText"/>
                    <w:ind w:right="25"/>
                  </w:pPr>
                  <w:r>
                    <w:t>399-411</w:t>
                  </w:r>
                </w:p>
              </w:tc>
            </w:tr>
            <w:tr w:rsidR="00F05DC7" w14:paraId="7954B10C" w14:textId="77777777" w:rsidTr="00A3786D">
              <w:trPr>
                <w:trHeight w:val="203"/>
              </w:trPr>
              <w:tc>
                <w:tcPr>
                  <w:tcW w:w="3715" w:type="pct"/>
                </w:tcPr>
                <w:p w14:paraId="7954B10A" w14:textId="77777777" w:rsidR="00F05DC7" w:rsidRDefault="00F05DC7" w:rsidP="00A3786D">
                  <w:pPr>
                    <w:pStyle w:val="TableBodyText"/>
                    <w:ind w:right="25"/>
                    <w:jc w:val="left"/>
                  </w:pPr>
                  <w:r>
                    <w:t xml:space="preserve">Northern Territory Airports </w:t>
                  </w:r>
                </w:p>
              </w:tc>
              <w:tc>
                <w:tcPr>
                  <w:tcW w:w="1285" w:type="pct"/>
                </w:tcPr>
                <w:p w14:paraId="7954B10B" w14:textId="77777777" w:rsidR="00F05DC7" w:rsidRDefault="00F05DC7" w:rsidP="00A3786D">
                  <w:pPr>
                    <w:pStyle w:val="TableBodyText"/>
                    <w:ind w:right="25"/>
                  </w:pPr>
                  <w:r>
                    <w:t>411-417</w:t>
                  </w:r>
                </w:p>
              </w:tc>
            </w:tr>
            <w:tr w:rsidR="00F05DC7" w14:paraId="7954B10F" w14:textId="77777777" w:rsidTr="00A3786D">
              <w:tc>
                <w:tcPr>
                  <w:tcW w:w="3715" w:type="pct"/>
                </w:tcPr>
                <w:p w14:paraId="7954B10D" w14:textId="77777777" w:rsidR="00F05DC7" w:rsidRDefault="00F05DC7" w:rsidP="00A3786D">
                  <w:pPr>
                    <w:pStyle w:val="TableBodyText"/>
                    <w:ind w:right="25"/>
                    <w:jc w:val="left"/>
                  </w:pPr>
                  <w:r>
                    <w:t xml:space="preserve">Australian Hotels Association NT </w:t>
                  </w:r>
                </w:p>
              </w:tc>
              <w:tc>
                <w:tcPr>
                  <w:tcW w:w="1285" w:type="pct"/>
                </w:tcPr>
                <w:p w14:paraId="7954B10E" w14:textId="77777777" w:rsidR="00F05DC7" w:rsidRDefault="00F05DC7" w:rsidP="00A3786D">
                  <w:pPr>
                    <w:pStyle w:val="TableBodyText"/>
                    <w:ind w:right="25"/>
                  </w:pPr>
                  <w:r>
                    <w:t>417-424</w:t>
                  </w:r>
                </w:p>
              </w:tc>
            </w:tr>
            <w:tr w:rsidR="00F05DC7" w14:paraId="7954B112" w14:textId="77777777" w:rsidTr="00A3786D">
              <w:tc>
                <w:tcPr>
                  <w:tcW w:w="3715" w:type="pct"/>
                </w:tcPr>
                <w:p w14:paraId="7954B110" w14:textId="77777777" w:rsidR="00F05DC7" w:rsidRDefault="00F05DC7" w:rsidP="00A3786D">
                  <w:pPr>
                    <w:pStyle w:val="TableBodyText"/>
                    <w:ind w:right="25"/>
                    <w:jc w:val="left"/>
                  </w:pPr>
                  <w:r>
                    <w:t>Master Builders NT</w:t>
                  </w:r>
                </w:p>
              </w:tc>
              <w:tc>
                <w:tcPr>
                  <w:tcW w:w="1285" w:type="pct"/>
                </w:tcPr>
                <w:p w14:paraId="7954B111" w14:textId="77777777" w:rsidR="00F05DC7" w:rsidRDefault="00F05DC7" w:rsidP="00A3786D">
                  <w:pPr>
                    <w:pStyle w:val="TableBodyText"/>
                    <w:ind w:right="25"/>
                  </w:pPr>
                  <w:r>
                    <w:t>425-426</w:t>
                  </w:r>
                </w:p>
              </w:tc>
            </w:tr>
            <w:tr w:rsidR="00F05DC7" w14:paraId="7954B115" w14:textId="77777777" w:rsidTr="00A3786D">
              <w:tc>
                <w:tcPr>
                  <w:tcW w:w="3715" w:type="pct"/>
                </w:tcPr>
                <w:p w14:paraId="7954B113" w14:textId="77777777" w:rsidR="00F05DC7" w:rsidRDefault="00F05DC7" w:rsidP="00A3786D">
                  <w:pPr>
                    <w:pStyle w:val="TableBodyText"/>
                    <w:ind w:right="25"/>
                    <w:jc w:val="left"/>
                  </w:pPr>
                  <w:r>
                    <w:t>Luke Gosling</w:t>
                  </w:r>
                </w:p>
              </w:tc>
              <w:tc>
                <w:tcPr>
                  <w:tcW w:w="1285" w:type="pct"/>
                </w:tcPr>
                <w:p w14:paraId="7954B114" w14:textId="77777777" w:rsidR="00F05DC7" w:rsidRDefault="00F05DC7" w:rsidP="00A3786D">
                  <w:pPr>
                    <w:pStyle w:val="TableBodyText"/>
                    <w:ind w:right="25"/>
                  </w:pPr>
                  <w:r>
                    <w:t>427-428</w:t>
                  </w:r>
                </w:p>
              </w:tc>
            </w:tr>
            <w:tr w:rsidR="00F05DC7" w14:paraId="7954B118" w14:textId="77777777" w:rsidTr="00A3786D">
              <w:tc>
                <w:tcPr>
                  <w:tcW w:w="3715" w:type="pct"/>
                </w:tcPr>
                <w:p w14:paraId="7954B116" w14:textId="77777777" w:rsidR="00F05DC7" w:rsidRDefault="00F05DC7" w:rsidP="00A3786D">
                  <w:pPr>
                    <w:pStyle w:val="TableBodyText"/>
                    <w:ind w:right="25"/>
                    <w:jc w:val="left"/>
                  </w:pPr>
                </w:p>
              </w:tc>
              <w:tc>
                <w:tcPr>
                  <w:tcW w:w="1285" w:type="pct"/>
                </w:tcPr>
                <w:p w14:paraId="7954B117" w14:textId="77777777" w:rsidR="00F05DC7" w:rsidRDefault="00F05DC7" w:rsidP="00A3786D">
                  <w:pPr>
                    <w:pStyle w:val="TableBodyText"/>
                    <w:ind w:right="25"/>
                  </w:pPr>
                </w:p>
              </w:tc>
            </w:tr>
            <w:tr w:rsidR="00F05DC7" w14:paraId="7954B11B" w14:textId="77777777" w:rsidTr="00A3786D">
              <w:tc>
                <w:tcPr>
                  <w:tcW w:w="3715" w:type="pct"/>
                </w:tcPr>
                <w:p w14:paraId="7954B119" w14:textId="77777777" w:rsidR="00F05DC7" w:rsidRPr="00387923" w:rsidRDefault="00F05DC7" w:rsidP="00A3786D">
                  <w:pPr>
                    <w:pStyle w:val="TableBodyText"/>
                    <w:ind w:right="25"/>
                    <w:jc w:val="left"/>
                    <w:rPr>
                      <w:b/>
                      <w:i/>
                    </w:rPr>
                  </w:pPr>
                  <w:r>
                    <w:rPr>
                      <w:b/>
                      <w:i/>
                    </w:rPr>
                    <w:t>Hobart —</w:t>
                  </w:r>
                  <w:r w:rsidRPr="00387923">
                    <w:rPr>
                      <w:b/>
                      <w:i/>
                    </w:rPr>
                    <w:t xml:space="preserve"> 1 December 2017</w:t>
                  </w:r>
                </w:p>
              </w:tc>
              <w:tc>
                <w:tcPr>
                  <w:tcW w:w="1285" w:type="pct"/>
                </w:tcPr>
                <w:p w14:paraId="7954B11A" w14:textId="77777777" w:rsidR="00F05DC7" w:rsidRDefault="00F05DC7" w:rsidP="00A3786D">
                  <w:pPr>
                    <w:pStyle w:val="TableBodyText"/>
                    <w:ind w:right="25"/>
                    <w:rPr>
                      <w:b/>
                      <w:i/>
                    </w:rPr>
                  </w:pPr>
                </w:p>
              </w:tc>
            </w:tr>
            <w:tr w:rsidR="00F05DC7" w14:paraId="7954B11E" w14:textId="77777777" w:rsidTr="00A3786D">
              <w:tc>
                <w:tcPr>
                  <w:tcW w:w="3715" w:type="pct"/>
                </w:tcPr>
                <w:p w14:paraId="7954B11C" w14:textId="77777777" w:rsidR="00F05DC7" w:rsidRDefault="00F05DC7" w:rsidP="00A3786D">
                  <w:pPr>
                    <w:pStyle w:val="TableBodyText"/>
                    <w:ind w:right="25"/>
                    <w:jc w:val="left"/>
                  </w:pPr>
                  <w:r>
                    <w:t>Tasmanian Council of Social Services</w:t>
                  </w:r>
                </w:p>
              </w:tc>
              <w:tc>
                <w:tcPr>
                  <w:tcW w:w="1285" w:type="pct"/>
                </w:tcPr>
                <w:p w14:paraId="7954B11D" w14:textId="77777777" w:rsidR="00F05DC7" w:rsidRDefault="00F05DC7" w:rsidP="00A3786D">
                  <w:pPr>
                    <w:pStyle w:val="TableBodyText"/>
                    <w:ind w:right="25"/>
                  </w:pPr>
                  <w:r>
                    <w:t>430-440</w:t>
                  </w:r>
                </w:p>
              </w:tc>
            </w:tr>
            <w:tr w:rsidR="00F05DC7" w14:paraId="7954B121" w14:textId="77777777" w:rsidTr="00A3786D">
              <w:tc>
                <w:tcPr>
                  <w:tcW w:w="3715" w:type="pct"/>
                </w:tcPr>
                <w:p w14:paraId="7954B11F" w14:textId="77777777" w:rsidR="00F05DC7" w:rsidRDefault="00F05DC7" w:rsidP="00A3786D">
                  <w:pPr>
                    <w:pStyle w:val="TableBodyText"/>
                    <w:ind w:right="25"/>
                    <w:jc w:val="left"/>
                  </w:pPr>
                  <w:r>
                    <w:t xml:space="preserve">Tasmanian Government </w:t>
                  </w:r>
                </w:p>
              </w:tc>
              <w:tc>
                <w:tcPr>
                  <w:tcW w:w="1285" w:type="pct"/>
                </w:tcPr>
                <w:p w14:paraId="7954B120" w14:textId="77777777" w:rsidR="00F05DC7" w:rsidRDefault="00F05DC7" w:rsidP="00A3786D">
                  <w:pPr>
                    <w:pStyle w:val="TableBodyText"/>
                    <w:ind w:right="25"/>
                  </w:pPr>
                  <w:r>
                    <w:t>440-460</w:t>
                  </w:r>
                </w:p>
              </w:tc>
            </w:tr>
            <w:tr w:rsidR="00F05DC7" w14:paraId="7954B124" w14:textId="77777777" w:rsidTr="00A3786D">
              <w:tc>
                <w:tcPr>
                  <w:tcW w:w="3715" w:type="pct"/>
                </w:tcPr>
                <w:p w14:paraId="7954B122" w14:textId="77777777" w:rsidR="00F05DC7" w:rsidRDefault="00F05DC7" w:rsidP="00A3786D">
                  <w:pPr>
                    <w:pStyle w:val="TableBodyText"/>
                    <w:ind w:right="0"/>
                    <w:jc w:val="left"/>
                  </w:pPr>
                  <w:r>
                    <w:t>Tasmanian Opposition</w:t>
                  </w:r>
                </w:p>
              </w:tc>
              <w:tc>
                <w:tcPr>
                  <w:tcW w:w="1285" w:type="pct"/>
                </w:tcPr>
                <w:p w14:paraId="7954B123" w14:textId="77777777" w:rsidR="00F05DC7" w:rsidRDefault="00F05DC7" w:rsidP="00A3786D">
                  <w:pPr>
                    <w:pStyle w:val="TableBodyText"/>
                    <w:ind w:right="0"/>
                  </w:pPr>
                  <w:r>
                    <w:t>461-469</w:t>
                  </w:r>
                </w:p>
              </w:tc>
            </w:tr>
            <w:tr w:rsidR="00F05DC7" w14:paraId="7954B127" w14:textId="77777777" w:rsidTr="00A3786D">
              <w:tc>
                <w:tcPr>
                  <w:tcW w:w="3715" w:type="pct"/>
                </w:tcPr>
                <w:p w14:paraId="7954B125" w14:textId="77777777" w:rsidR="00F05DC7" w:rsidRDefault="00F05DC7" w:rsidP="00A3786D">
                  <w:pPr>
                    <w:pStyle w:val="TableBodyText"/>
                    <w:ind w:right="0"/>
                    <w:jc w:val="left"/>
                  </w:pPr>
                  <w:r>
                    <w:t xml:space="preserve">Saul Eslake </w:t>
                  </w:r>
                </w:p>
              </w:tc>
              <w:tc>
                <w:tcPr>
                  <w:tcW w:w="1285" w:type="pct"/>
                </w:tcPr>
                <w:p w14:paraId="7954B126" w14:textId="77777777" w:rsidR="00F05DC7" w:rsidRDefault="00F05DC7" w:rsidP="00A3786D">
                  <w:pPr>
                    <w:pStyle w:val="TableBodyText"/>
                    <w:ind w:right="0"/>
                  </w:pPr>
                  <w:r>
                    <w:t>470-484</w:t>
                  </w:r>
                </w:p>
              </w:tc>
            </w:tr>
            <w:tr w:rsidR="00F05DC7" w14:paraId="7954B12A" w14:textId="77777777" w:rsidTr="00A3786D">
              <w:tc>
                <w:tcPr>
                  <w:tcW w:w="3715" w:type="pct"/>
                </w:tcPr>
                <w:p w14:paraId="7954B128" w14:textId="77777777" w:rsidR="00F05DC7" w:rsidRDefault="00F05DC7" w:rsidP="00A3786D">
                  <w:pPr>
                    <w:pStyle w:val="TableBodyText"/>
                    <w:ind w:right="0"/>
                    <w:jc w:val="left"/>
                  </w:pPr>
                  <w:r>
                    <w:t xml:space="preserve">Launceston Chamber of Commerce </w:t>
                  </w:r>
                </w:p>
              </w:tc>
              <w:tc>
                <w:tcPr>
                  <w:tcW w:w="1285" w:type="pct"/>
                </w:tcPr>
                <w:p w14:paraId="7954B129" w14:textId="77777777" w:rsidR="00F05DC7" w:rsidRDefault="00F05DC7" w:rsidP="00A3786D">
                  <w:pPr>
                    <w:pStyle w:val="TableBodyText"/>
                    <w:ind w:right="0"/>
                  </w:pPr>
                  <w:r>
                    <w:t>485-493</w:t>
                  </w:r>
                </w:p>
              </w:tc>
            </w:tr>
            <w:tr w:rsidR="00F05DC7" w14:paraId="7954B12D" w14:textId="77777777" w:rsidTr="00A3786D">
              <w:tc>
                <w:tcPr>
                  <w:tcW w:w="3715" w:type="pct"/>
                </w:tcPr>
                <w:p w14:paraId="7954B12B" w14:textId="77777777" w:rsidR="00F05DC7" w:rsidRDefault="00F05DC7" w:rsidP="00A3786D">
                  <w:pPr>
                    <w:pStyle w:val="TableBodyText"/>
                    <w:ind w:right="0"/>
                    <w:jc w:val="left"/>
                  </w:pPr>
                  <w:r>
                    <w:t>Tasmanian Chamber of Commerce &amp; Industry</w:t>
                  </w:r>
                </w:p>
              </w:tc>
              <w:tc>
                <w:tcPr>
                  <w:tcW w:w="1285" w:type="pct"/>
                </w:tcPr>
                <w:p w14:paraId="7954B12C" w14:textId="77777777" w:rsidR="00F05DC7" w:rsidRDefault="00F05DC7" w:rsidP="00A3786D">
                  <w:pPr>
                    <w:pStyle w:val="TableBodyText"/>
                    <w:ind w:right="0"/>
                  </w:pPr>
                  <w:r>
                    <w:t>493-495</w:t>
                  </w:r>
                </w:p>
              </w:tc>
            </w:tr>
            <w:tr w:rsidR="00F05DC7" w14:paraId="7954B130" w14:textId="77777777" w:rsidTr="00A3786D">
              <w:tc>
                <w:tcPr>
                  <w:tcW w:w="3715" w:type="pct"/>
                </w:tcPr>
                <w:p w14:paraId="7954B12E" w14:textId="77777777" w:rsidR="00F05DC7" w:rsidRDefault="00F05DC7" w:rsidP="00A3786D">
                  <w:pPr>
                    <w:pStyle w:val="TableBodyText"/>
                    <w:ind w:right="0"/>
                    <w:jc w:val="left"/>
                  </w:pPr>
                </w:p>
              </w:tc>
              <w:tc>
                <w:tcPr>
                  <w:tcW w:w="1285" w:type="pct"/>
                </w:tcPr>
                <w:p w14:paraId="7954B12F" w14:textId="77777777" w:rsidR="00F05DC7" w:rsidRDefault="00F05DC7" w:rsidP="00A3786D">
                  <w:pPr>
                    <w:pStyle w:val="TableBodyText"/>
                    <w:ind w:right="0"/>
                  </w:pPr>
                </w:p>
              </w:tc>
            </w:tr>
            <w:tr w:rsidR="00F05DC7" w14:paraId="7954B133" w14:textId="77777777" w:rsidTr="00A3786D">
              <w:tc>
                <w:tcPr>
                  <w:tcW w:w="3715" w:type="pct"/>
                </w:tcPr>
                <w:p w14:paraId="7954B131" w14:textId="77777777" w:rsidR="00F05DC7" w:rsidRPr="00387923" w:rsidRDefault="00F05DC7" w:rsidP="00A3786D">
                  <w:pPr>
                    <w:pStyle w:val="TableBodyText"/>
                    <w:ind w:right="0"/>
                    <w:jc w:val="left"/>
                    <w:rPr>
                      <w:b/>
                      <w:i/>
                    </w:rPr>
                  </w:pPr>
                  <w:r w:rsidRPr="00387923">
                    <w:rPr>
                      <w:b/>
                      <w:i/>
                    </w:rPr>
                    <w:t xml:space="preserve">Brisbane </w:t>
                  </w:r>
                  <w:r>
                    <w:rPr>
                      <w:b/>
                      <w:i/>
                    </w:rPr>
                    <w:t>—</w:t>
                  </w:r>
                  <w:r w:rsidRPr="00387923">
                    <w:rPr>
                      <w:b/>
                      <w:i/>
                    </w:rPr>
                    <w:t xml:space="preserve"> 5 February 2018</w:t>
                  </w:r>
                </w:p>
              </w:tc>
              <w:tc>
                <w:tcPr>
                  <w:tcW w:w="1285" w:type="pct"/>
                </w:tcPr>
                <w:p w14:paraId="7954B132" w14:textId="77777777" w:rsidR="00F05DC7" w:rsidRPr="00387923" w:rsidRDefault="00F05DC7" w:rsidP="00A3786D">
                  <w:pPr>
                    <w:pStyle w:val="TableBodyText"/>
                    <w:ind w:right="0"/>
                    <w:rPr>
                      <w:b/>
                      <w:i/>
                    </w:rPr>
                  </w:pPr>
                </w:p>
              </w:tc>
            </w:tr>
            <w:tr w:rsidR="00F05DC7" w14:paraId="7954B136" w14:textId="77777777" w:rsidTr="00A3786D">
              <w:tc>
                <w:tcPr>
                  <w:tcW w:w="3715" w:type="pct"/>
                </w:tcPr>
                <w:p w14:paraId="7954B134" w14:textId="77777777" w:rsidR="00F05DC7" w:rsidRDefault="00F05DC7" w:rsidP="00A3786D">
                  <w:pPr>
                    <w:pStyle w:val="TableBodyText"/>
                    <w:ind w:right="0"/>
                    <w:jc w:val="left"/>
                  </w:pPr>
                  <w:r>
                    <w:t>Griffith University</w:t>
                  </w:r>
                </w:p>
              </w:tc>
              <w:tc>
                <w:tcPr>
                  <w:tcW w:w="1285" w:type="pct"/>
                </w:tcPr>
                <w:p w14:paraId="7954B135" w14:textId="77777777" w:rsidR="00F05DC7" w:rsidRDefault="00F05DC7" w:rsidP="00A3786D">
                  <w:pPr>
                    <w:pStyle w:val="TableBodyText"/>
                    <w:ind w:right="0"/>
                  </w:pPr>
                  <w:r>
                    <w:t>499-511</w:t>
                  </w:r>
                </w:p>
              </w:tc>
            </w:tr>
            <w:tr w:rsidR="00F05DC7" w14:paraId="7954B139" w14:textId="77777777" w:rsidTr="00A3786D">
              <w:tc>
                <w:tcPr>
                  <w:tcW w:w="3715" w:type="pct"/>
                </w:tcPr>
                <w:p w14:paraId="7954B137" w14:textId="77777777" w:rsidR="00F05DC7" w:rsidRDefault="00F05DC7" w:rsidP="00A3786D">
                  <w:pPr>
                    <w:pStyle w:val="TableBodyText"/>
                    <w:ind w:right="0"/>
                    <w:jc w:val="left"/>
                  </w:pPr>
                  <w:r>
                    <w:t>Chamber of Commerce &amp; Industry Queensland</w:t>
                  </w:r>
                </w:p>
              </w:tc>
              <w:tc>
                <w:tcPr>
                  <w:tcW w:w="1285" w:type="pct"/>
                </w:tcPr>
                <w:p w14:paraId="7954B138" w14:textId="77777777" w:rsidR="00F05DC7" w:rsidRDefault="00F05DC7" w:rsidP="00A3786D">
                  <w:pPr>
                    <w:pStyle w:val="TableBodyText"/>
                    <w:ind w:right="0"/>
                  </w:pPr>
                  <w:r>
                    <w:t>511-522</w:t>
                  </w:r>
                </w:p>
              </w:tc>
            </w:tr>
            <w:tr w:rsidR="00F05DC7" w14:paraId="7954B13C" w14:textId="77777777" w:rsidTr="00A3786D">
              <w:tc>
                <w:tcPr>
                  <w:tcW w:w="3715" w:type="pct"/>
                </w:tcPr>
                <w:p w14:paraId="7954B13A" w14:textId="77777777" w:rsidR="00F05DC7" w:rsidRDefault="00F05DC7" w:rsidP="00A3786D">
                  <w:pPr>
                    <w:pStyle w:val="TableBodyText"/>
                    <w:ind w:right="0"/>
                    <w:jc w:val="left"/>
                  </w:pPr>
                  <w:r>
                    <w:t>Queensland Council of Social Service</w:t>
                  </w:r>
                </w:p>
              </w:tc>
              <w:tc>
                <w:tcPr>
                  <w:tcW w:w="1285" w:type="pct"/>
                </w:tcPr>
                <w:p w14:paraId="7954B13B" w14:textId="77777777" w:rsidR="00F05DC7" w:rsidRDefault="00F05DC7" w:rsidP="00A3786D">
                  <w:pPr>
                    <w:pStyle w:val="TableBodyText"/>
                    <w:ind w:right="0"/>
                  </w:pPr>
                  <w:r>
                    <w:t>522-534</w:t>
                  </w:r>
                </w:p>
              </w:tc>
            </w:tr>
            <w:tr w:rsidR="00F05DC7" w14:paraId="7954B13F" w14:textId="77777777" w:rsidTr="00A3786D">
              <w:tc>
                <w:tcPr>
                  <w:tcW w:w="3715" w:type="pct"/>
                </w:tcPr>
                <w:p w14:paraId="7954B13D" w14:textId="77777777" w:rsidR="00F05DC7" w:rsidRDefault="00F05DC7" w:rsidP="00A3786D">
                  <w:pPr>
                    <w:pStyle w:val="TableBodyText"/>
                    <w:ind w:right="0"/>
                    <w:jc w:val="left"/>
                  </w:pPr>
                  <w:r>
                    <w:t>Queensland Council of Unions</w:t>
                  </w:r>
                </w:p>
              </w:tc>
              <w:tc>
                <w:tcPr>
                  <w:tcW w:w="1285" w:type="pct"/>
                </w:tcPr>
                <w:p w14:paraId="7954B13E" w14:textId="77777777" w:rsidR="00F05DC7" w:rsidRDefault="00F05DC7" w:rsidP="00A3786D">
                  <w:pPr>
                    <w:pStyle w:val="TableBodyText"/>
                    <w:ind w:right="0"/>
                  </w:pPr>
                  <w:r>
                    <w:t>534-546</w:t>
                  </w:r>
                </w:p>
              </w:tc>
            </w:tr>
            <w:tr w:rsidR="00F05DC7" w14:paraId="7954B142" w14:textId="77777777" w:rsidTr="00A3786D">
              <w:tc>
                <w:tcPr>
                  <w:tcW w:w="3715" w:type="pct"/>
                </w:tcPr>
                <w:p w14:paraId="7954B140" w14:textId="77777777" w:rsidR="00F05DC7" w:rsidRDefault="00F05DC7" w:rsidP="00A3786D">
                  <w:pPr>
                    <w:pStyle w:val="TableBodyText"/>
                    <w:ind w:right="0"/>
                    <w:jc w:val="left"/>
                  </w:pPr>
                  <w:r>
                    <w:t>Queensland Teachers’ Union</w:t>
                  </w:r>
                </w:p>
              </w:tc>
              <w:tc>
                <w:tcPr>
                  <w:tcW w:w="1285" w:type="pct"/>
                </w:tcPr>
                <w:p w14:paraId="7954B141" w14:textId="77777777" w:rsidR="00F05DC7" w:rsidRDefault="00F05DC7" w:rsidP="00A3786D">
                  <w:pPr>
                    <w:pStyle w:val="TableBodyText"/>
                    <w:ind w:right="0"/>
                  </w:pPr>
                  <w:r>
                    <w:t>546-556</w:t>
                  </w:r>
                </w:p>
              </w:tc>
            </w:tr>
            <w:tr w:rsidR="00F05DC7" w14:paraId="7954B145" w14:textId="77777777" w:rsidTr="00A3786D">
              <w:tc>
                <w:tcPr>
                  <w:tcW w:w="3715" w:type="pct"/>
                </w:tcPr>
                <w:p w14:paraId="7954B143" w14:textId="77777777" w:rsidR="00F05DC7" w:rsidRDefault="00F05DC7" w:rsidP="00A3786D">
                  <w:pPr>
                    <w:pStyle w:val="TableBodyText"/>
                    <w:ind w:right="0"/>
                    <w:jc w:val="left"/>
                  </w:pPr>
                  <w:r>
                    <w:t>Office of Senator Peter Georgiou</w:t>
                  </w:r>
                </w:p>
              </w:tc>
              <w:tc>
                <w:tcPr>
                  <w:tcW w:w="1285" w:type="pct"/>
                </w:tcPr>
                <w:p w14:paraId="7954B144" w14:textId="77777777" w:rsidR="00F05DC7" w:rsidRDefault="00F05DC7" w:rsidP="00A3786D">
                  <w:pPr>
                    <w:pStyle w:val="TableBodyText"/>
                    <w:ind w:right="0"/>
                  </w:pPr>
                  <w:r>
                    <w:t>557-569</w:t>
                  </w:r>
                </w:p>
              </w:tc>
            </w:tr>
            <w:tr w:rsidR="00F05DC7" w14:paraId="7954B148" w14:textId="77777777" w:rsidTr="00A3786D">
              <w:tc>
                <w:tcPr>
                  <w:tcW w:w="3715" w:type="pct"/>
                </w:tcPr>
                <w:p w14:paraId="7954B146" w14:textId="77777777" w:rsidR="00F05DC7" w:rsidRDefault="00F05DC7" w:rsidP="00A3786D">
                  <w:pPr>
                    <w:pStyle w:val="TableBodyText"/>
                    <w:ind w:right="0"/>
                    <w:jc w:val="left"/>
                  </w:pPr>
                  <w:r>
                    <w:t>Townsville City Council</w:t>
                  </w:r>
                </w:p>
              </w:tc>
              <w:tc>
                <w:tcPr>
                  <w:tcW w:w="1285" w:type="pct"/>
                </w:tcPr>
                <w:p w14:paraId="7954B147" w14:textId="77777777" w:rsidR="00F05DC7" w:rsidRDefault="00F05DC7" w:rsidP="00A3786D">
                  <w:pPr>
                    <w:pStyle w:val="TableBodyText"/>
                    <w:ind w:right="0"/>
                  </w:pPr>
                  <w:r>
                    <w:t>569-577</w:t>
                  </w:r>
                </w:p>
              </w:tc>
            </w:tr>
            <w:tr w:rsidR="00F05DC7" w14:paraId="7954B14B" w14:textId="77777777" w:rsidTr="00A3786D">
              <w:tc>
                <w:tcPr>
                  <w:tcW w:w="3715" w:type="pct"/>
                </w:tcPr>
                <w:p w14:paraId="7954B149" w14:textId="77777777" w:rsidR="00F05DC7" w:rsidRDefault="00F05DC7" w:rsidP="00A3786D">
                  <w:pPr>
                    <w:pStyle w:val="TableBodyText"/>
                    <w:ind w:right="0"/>
                    <w:jc w:val="left"/>
                  </w:pPr>
                  <w:r>
                    <w:t>Local Government Association of Queensland</w:t>
                  </w:r>
                </w:p>
              </w:tc>
              <w:tc>
                <w:tcPr>
                  <w:tcW w:w="1285" w:type="pct"/>
                </w:tcPr>
                <w:p w14:paraId="7954B14A" w14:textId="77777777" w:rsidR="00F05DC7" w:rsidRDefault="00F05DC7" w:rsidP="00A3786D">
                  <w:pPr>
                    <w:pStyle w:val="TableBodyText"/>
                    <w:ind w:right="0"/>
                  </w:pPr>
                  <w:r>
                    <w:t>577-583</w:t>
                  </w:r>
                </w:p>
              </w:tc>
            </w:tr>
            <w:tr w:rsidR="00F05DC7" w14:paraId="7954B14E" w14:textId="77777777" w:rsidTr="004F6C34">
              <w:tc>
                <w:tcPr>
                  <w:tcW w:w="3715" w:type="pct"/>
                </w:tcPr>
                <w:p w14:paraId="7954B14C" w14:textId="77777777" w:rsidR="00F05DC7" w:rsidRDefault="00F05DC7" w:rsidP="00A3786D">
                  <w:pPr>
                    <w:pStyle w:val="TableBodyText"/>
                    <w:ind w:right="0"/>
                    <w:jc w:val="left"/>
                  </w:pPr>
                  <w:r>
                    <w:t>Gene Tunny</w:t>
                  </w:r>
                </w:p>
              </w:tc>
              <w:tc>
                <w:tcPr>
                  <w:tcW w:w="1285" w:type="pct"/>
                </w:tcPr>
                <w:p w14:paraId="7954B14D" w14:textId="77777777" w:rsidR="00F05DC7" w:rsidRDefault="00F05DC7" w:rsidP="00A3786D">
                  <w:pPr>
                    <w:pStyle w:val="TableBodyText"/>
                    <w:ind w:right="0"/>
                  </w:pPr>
                  <w:r>
                    <w:t>583-585</w:t>
                  </w:r>
                </w:p>
              </w:tc>
            </w:tr>
            <w:tr w:rsidR="00F05DC7" w14:paraId="7954B151" w14:textId="77777777" w:rsidTr="004F6C34">
              <w:tc>
                <w:tcPr>
                  <w:tcW w:w="3715" w:type="pct"/>
                  <w:tcBorders>
                    <w:bottom w:val="single" w:sz="4" w:space="0" w:color="BFBFBF"/>
                  </w:tcBorders>
                </w:tcPr>
                <w:p w14:paraId="7954B14F" w14:textId="77777777" w:rsidR="00F05DC7" w:rsidRDefault="00F05DC7" w:rsidP="00A3786D">
                  <w:pPr>
                    <w:pStyle w:val="TableBodyText"/>
                    <w:ind w:right="0"/>
                    <w:jc w:val="left"/>
                  </w:pPr>
                  <w:r>
                    <w:t xml:space="preserve">Queensland Government </w:t>
                  </w:r>
                </w:p>
              </w:tc>
              <w:tc>
                <w:tcPr>
                  <w:tcW w:w="1285" w:type="pct"/>
                  <w:tcBorders>
                    <w:bottom w:val="single" w:sz="4" w:space="0" w:color="BFBFBF"/>
                  </w:tcBorders>
                </w:tcPr>
                <w:p w14:paraId="7954B150" w14:textId="77777777" w:rsidR="00F05DC7" w:rsidRDefault="00F05DC7" w:rsidP="00A3786D">
                  <w:pPr>
                    <w:pStyle w:val="TableBodyText"/>
                    <w:ind w:right="0"/>
                  </w:pPr>
                  <w:r>
                    <w:t>586-606</w:t>
                  </w:r>
                </w:p>
              </w:tc>
            </w:tr>
          </w:tbl>
          <w:p w14:paraId="7954B152" w14:textId="77777777" w:rsidR="00F05DC7" w:rsidRDefault="00F05DC7" w:rsidP="00A3786D">
            <w:pPr>
              <w:pStyle w:val="Box"/>
            </w:pPr>
          </w:p>
        </w:tc>
      </w:tr>
      <w:tr w:rsidR="00F05DC7" w14:paraId="7954B155" w14:textId="77777777" w:rsidTr="00A3786D">
        <w:tc>
          <w:tcPr>
            <w:tcW w:w="5000" w:type="pct"/>
            <w:tcBorders>
              <w:top w:val="nil"/>
              <w:left w:val="nil"/>
              <w:bottom w:val="single" w:sz="6" w:space="0" w:color="78A22F"/>
              <w:right w:val="nil"/>
            </w:tcBorders>
            <w:shd w:val="clear" w:color="auto" w:fill="auto"/>
          </w:tcPr>
          <w:p w14:paraId="7954B154" w14:textId="77777777" w:rsidR="00F05DC7" w:rsidRDefault="00F05DC7" w:rsidP="00A3786D">
            <w:pPr>
              <w:pStyle w:val="Box"/>
              <w:spacing w:before="0" w:line="120" w:lineRule="exact"/>
            </w:pPr>
          </w:p>
        </w:tc>
      </w:tr>
      <w:tr w:rsidR="00F05DC7" w:rsidRPr="000863A5" w14:paraId="7954B157" w14:textId="77777777" w:rsidTr="00A3786D">
        <w:tc>
          <w:tcPr>
            <w:tcW w:w="5000" w:type="pct"/>
            <w:tcBorders>
              <w:top w:val="single" w:sz="6" w:space="0" w:color="78A22F"/>
              <w:left w:val="nil"/>
              <w:bottom w:val="nil"/>
              <w:right w:val="nil"/>
            </w:tcBorders>
          </w:tcPr>
          <w:p w14:paraId="7954B156" w14:textId="77777777" w:rsidR="00F05DC7" w:rsidRPr="00626D32" w:rsidRDefault="00F05DC7" w:rsidP="00A3786D">
            <w:pPr>
              <w:pStyle w:val="BoxSpaceBelow"/>
            </w:pPr>
          </w:p>
        </w:tc>
      </w:tr>
    </w:tbl>
    <w:p w14:paraId="7954B158" w14:textId="77777777" w:rsidR="00F05DC7" w:rsidRDefault="00F05DC7" w:rsidP="00A3786D">
      <w:pPr>
        <w:pStyle w:val="BodyText"/>
      </w:pPr>
    </w:p>
    <w:p w14:paraId="7954B159" w14:textId="77777777" w:rsidR="00F05DC7" w:rsidRDefault="00F05DC7" w:rsidP="00F05DC7">
      <w:pPr>
        <w:sectPr w:rsidR="00F05DC7" w:rsidSect="00F05DC7">
          <w:headerReference w:type="even" r:id="rId176"/>
          <w:headerReference w:type="default" r:id="rId177"/>
          <w:footerReference w:type="even" r:id="rId178"/>
          <w:footerReference w:type="default" r:id="rId179"/>
          <w:type w:val="oddPage"/>
          <w:pgSz w:w="11907" w:h="16840" w:code="9"/>
          <w:pgMar w:top="1985" w:right="1304" w:bottom="1247" w:left="1814" w:header="1701" w:footer="397" w:gutter="0"/>
          <w:pgNumType w:chapSep="period"/>
          <w:cols w:space="720"/>
          <w:docGrid w:linePitch="326"/>
        </w:sectPr>
      </w:pPr>
    </w:p>
    <w:p w14:paraId="7954B15A" w14:textId="77777777" w:rsidR="00F05DC7" w:rsidRDefault="00F05DC7" w:rsidP="00A3786D">
      <w:pPr>
        <w:pStyle w:val="Heading1"/>
      </w:pPr>
      <w:bookmarkStart w:id="113" w:name="_Toc513637740"/>
      <w:r>
        <w:lastRenderedPageBreak/>
        <w:t>B</w:t>
      </w:r>
      <w:r>
        <w:tab/>
        <w:t>Other Commonwealth payments</w:t>
      </w:r>
      <w:bookmarkEnd w:id="113"/>
      <w:r>
        <w:t xml:space="preserve"> </w:t>
      </w:r>
    </w:p>
    <w:p w14:paraId="7954B15B" w14:textId="77777777" w:rsidR="00F05DC7" w:rsidRDefault="00F05DC7" w:rsidP="00A3786D">
      <w:pPr>
        <w:pStyle w:val="BodyText"/>
      </w:pPr>
      <w:r>
        <w:t>This appendix considers the role that Commonwealth payments — excluding GST payments — play in horizontal (and vertical) fiscal equalisation. These payments, referred to as payments for specific purposes, can have differing effects on the calculation of relativities by the Commonwealth Grants Commission (CGC).</w:t>
      </w:r>
    </w:p>
    <w:p w14:paraId="7954B15C" w14:textId="040142EA" w:rsidR="00F05DC7" w:rsidRDefault="00F05DC7" w:rsidP="00A3786D">
      <w:pPr>
        <w:pStyle w:val="Heading2"/>
      </w:pPr>
      <w:bookmarkStart w:id="114" w:name="_Toc513637741"/>
      <w:r>
        <w:t>B.</w:t>
      </w:r>
      <w:r>
        <w:rPr>
          <w:noProof/>
        </w:rPr>
        <w:t>1</w:t>
      </w:r>
      <w:r>
        <w:tab/>
        <w:t>Types of payments for specific purposes</w:t>
      </w:r>
      <w:bookmarkEnd w:id="114"/>
    </w:p>
    <w:p w14:paraId="7954B15D" w14:textId="77777777" w:rsidR="00F05DC7" w:rsidRDefault="00F05DC7" w:rsidP="00A3786D">
      <w:pPr>
        <w:pStyle w:val="BodyText"/>
      </w:pPr>
      <w:r>
        <w:t xml:space="preserve">Payments for specific purposes comprise: </w:t>
      </w:r>
    </w:p>
    <w:p w14:paraId="7954B15E" w14:textId="77777777" w:rsidR="00F05DC7" w:rsidRDefault="00F05DC7" w:rsidP="00A3786D">
      <w:pPr>
        <w:pStyle w:val="ListBullet"/>
      </w:pPr>
      <w:r>
        <w:t>National Specific Purpose Payments (National SPPs)</w:t>
      </w:r>
    </w:p>
    <w:p w14:paraId="7954B15F" w14:textId="77777777" w:rsidR="00F05DC7" w:rsidRDefault="00F05DC7" w:rsidP="00A3786D">
      <w:pPr>
        <w:pStyle w:val="ListBullet"/>
      </w:pPr>
      <w:r>
        <w:t>National Health Reform funding</w:t>
      </w:r>
    </w:p>
    <w:p w14:paraId="7954B160" w14:textId="77777777" w:rsidR="00F05DC7" w:rsidRDefault="00F05DC7" w:rsidP="00A3786D">
      <w:pPr>
        <w:pStyle w:val="ListBullet"/>
      </w:pPr>
      <w:r>
        <w:t>Quality Schools funding</w:t>
      </w:r>
    </w:p>
    <w:p w14:paraId="7954B161" w14:textId="77777777" w:rsidR="00F05DC7" w:rsidRDefault="00F05DC7" w:rsidP="00A3786D">
      <w:pPr>
        <w:pStyle w:val="ListBullet"/>
      </w:pPr>
      <w:r>
        <w:t>National Partnership payments.</w:t>
      </w:r>
    </w:p>
    <w:p w14:paraId="7954B162" w14:textId="77777777" w:rsidR="00F05DC7" w:rsidRDefault="00F05DC7" w:rsidP="00A3786D">
      <w:pPr>
        <w:pStyle w:val="BodyText"/>
      </w:pPr>
      <w:r>
        <w:t>The relative sizes of these payments are illustrated in figure B.1.</w:t>
      </w:r>
    </w:p>
    <w:p w14:paraId="7954B163" w14:textId="77777777" w:rsidR="00F05DC7" w:rsidRPr="001A163E" w:rsidRDefault="00F05DC7" w:rsidP="00A3786D">
      <w:pPr>
        <w:pStyle w:val="Heading3"/>
      </w:pPr>
      <w:r>
        <w:t>National Specific Purpose Payments</w:t>
      </w:r>
    </w:p>
    <w:p w14:paraId="7954B164" w14:textId="26BA300F" w:rsidR="00F05DC7" w:rsidRDefault="00F05DC7" w:rsidP="00A3786D">
      <w:pPr>
        <w:pStyle w:val="BodyText"/>
      </w:pPr>
      <w:r>
        <w:t>There are currently three service delivery sectors supported by National SPPs: Skills and Workforce Development, Disability Services, and Affordable Housing. From 2018</w:t>
      </w:r>
      <w:r>
        <w:noBreakHyphen/>
        <w:t xml:space="preserve">19, the National Affordable Housing SPP is scheduled to be combined with homelessness funding, provided under the National Housing and Homelessness Agreement </w:t>
      </w:r>
      <w:r w:rsidR="009D6331" w:rsidRPr="009D6331">
        <w:rPr>
          <w:szCs w:val="24"/>
        </w:rPr>
        <w:t>(Commonwealth of Australia 2017b)</w:t>
      </w:r>
      <w:r>
        <w:t>.</w:t>
      </w:r>
    </w:p>
    <w:p w14:paraId="7954B165" w14:textId="6BF875A9" w:rsidR="00F05DC7" w:rsidRDefault="00F05DC7" w:rsidP="00A3786D">
      <w:pPr>
        <w:pStyle w:val="BodyText"/>
      </w:pPr>
      <w:r>
        <w:t>National SPPs are allocated to the States based on population shares, and States must spend National SPPs in the sector for which they are granted. The share of federal fiscal transfers via National SPPs was much larger in the recent past ($24.4 billion in 2009</w:t>
      </w:r>
      <w:r>
        <w:noBreakHyphen/>
        <w:t xml:space="preserve">10) </w:t>
      </w:r>
      <w:r w:rsidR="009D6331" w:rsidRPr="009D6331">
        <w:rPr>
          <w:szCs w:val="24"/>
        </w:rPr>
        <w:t>(Commonwealth of Australia 2010)</w:t>
      </w:r>
      <w:r>
        <w:t>, but two previous key national SPPs (health and education) take a different form now.</w:t>
      </w:r>
    </w:p>
    <w:p w14:paraId="7954B166" w14:textId="77777777" w:rsidR="00F05DC7" w:rsidRDefault="00F05DC7" w:rsidP="00A3786D">
      <w:pPr>
        <w:pStyle w:val="Heading3"/>
      </w:pPr>
      <w:r>
        <w:t>National Health Reform funding</w:t>
      </w:r>
    </w:p>
    <w:p w14:paraId="7954B167" w14:textId="6EB44067" w:rsidR="00F05DC7" w:rsidRDefault="00F05DC7" w:rsidP="00A3786D">
      <w:pPr>
        <w:pStyle w:val="BodyText"/>
      </w:pPr>
      <w:r>
        <w:t xml:space="preserve">The National Health Reform Agreement, endorsed by the Council of Australian Governments (COAG) in 2011, made provision for the Commonwealth and States to share in the costs of funding public hospitals, with the States to continue as the managers of public </w:t>
      </w:r>
      <w:r>
        <w:lastRenderedPageBreak/>
        <w:t>hospital systems. National Health Reform funding from 2016</w:t>
      </w:r>
      <w:r>
        <w:noBreakHyphen/>
        <w:t>17 to 2019</w:t>
      </w:r>
      <w:r>
        <w:noBreakHyphen/>
        <w:t xml:space="preserve">20 is linked to the level of services provided by public hospitals. Each State’s entitlement is directly linked to growth in public hospital activity in that State and the national efficient price for each procedure (adjusted for differences in patient characteristics), determined by the Independent Hospital Pricing Authority </w:t>
      </w:r>
      <w:r w:rsidR="009D6331" w:rsidRPr="009D6331">
        <w:rPr>
          <w:szCs w:val="24"/>
        </w:rPr>
        <w:t>(Commonwealth of Australia 2017b)</w:t>
      </w:r>
      <w:r>
        <w:t>. (This arrangement is effectively a form of usage</w:t>
      </w:r>
      <w:r>
        <w:noBreakHyphen/>
        <w:t>only equalisation, since it compensates hospitals for differences in usage, but not for most differences in costs between identical procedures. It therefore goes some way towards equalising States’ health expenditure needs — section B.2 elaborates on this concept.)</w:t>
      </w:r>
      <w:r w:rsidRPr="008C6B43">
        <w:rPr>
          <w:noProof/>
        </w:rPr>
        <w:t xml:space="preserve"> </w:t>
      </w:r>
    </w:p>
    <w:p w14:paraId="7954B168" w14:textId="77777777" w:rsidR="00F05DC7" w:rsidRDefault="00F05DC7" w:rsidP="00A3786D">
      <w:pPr>
        <w:pStyle w:val="BodyText"/>
      </w:pPr>
      <w:r>
        <w:t>The Commonwealth’s contribution to hospital services between 1 July 2017 and 30 June 2020 will comprise funding for:</w:t>
      </w:r>
    </w:p>
    <w:p w14:paraId="7954B169" w14:textId="77777777" w:rsidR="00F05DC7" w:rsidRDefault="00F05DC7" w:rsidP="00A3786D">
      <w:pPr>
        <w:pStyle w:val="ListBullet"/>
      </w:pPr>
      <w:r>
        <w:t>public hospital services provided to public patients in a range of settings, as well as eligible private patients in public hospitals in a range of settings, on an activity basis</w:t>
      </w:r>
    </w:p>
    <w:p w14:paraId="7954B16A" w14:textId="77777777" w:rsidR="00F05DC7" w:rsidRDefault="00F05DC7" w:rsidP="00A3786D">
      <w:pPr>
        <w:pStyle w:val="ListBullet"/>
      </w:pPr>
      <w:r>
        <w:t xml:space="preserve">block grants, including relevant services in regional and rural communities </w:t>
      </w:r>
    </w:p>
    <w:p w14:paraId="7954B16B" w14:textId="4BE20A08" w:rsidR="00F05DC7" w:rsidRDefault="00F05DC7" w:rsidP="00A3786D">
      <w:pPr>
        <w:pStyle w:val="ListBullet"/>
      </w:pPr>
      <w:r>
        <w:t xml:space="preserve">public health activities </w:t>
      </w:r>
      <w:r w:rsidR="009D6331" w:rsidRPr="009D6331">
        <w:rPr>
          <w:szCs w:val="24"/>
        </w:rPr>
        <w:t>(COAG 2017)</w:t>
      </w:r>
      <w:r>
        <w:t>.</w:t>
      </w:r>
    </w:p>
    <w:p w14:paraId="7954B16C"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B16F" w14:textId="77777777" w:rsidTr="00A3786D">
        <w:trPr>
          <w:tblHeader/>
        </w:trPr>
        <w:tc>
          <w:tcPr>
            <w:tcW w:w="5000" w:type="pct"/>
            <w:tcBorders>
              <w:top w:val="single" w:sz="6" w:space="0" w:color="78A22F"/>
              <w:left w:val="nil"/>
              <w:bottom w:val="nil"/>
              <w:right w:val="nil"/>
            </w:tcBorders>
            <w:shd w:val="clear" w:color="auto" w:fill="auto"/>
          </w:tcPr>
          <w:p w14:paraId="7954B16D" w14:textId="21DF5FF9" w:rsidR="00F05DC7" w:rsidRDefault="00F05DC7" w:rsidP="00A3786D">
            <w:pPr>
              <w:pStyle w:val="FigureTitle"/>
            </w:pPr>
            <w:r w:rsidRPr="00784A05">
              <w:rPr>
                <w:b w:val="0"/>
              </w:rPr>
              <w:t xml:space="preserve">Figure </w:t>
            </w:r>
            <w:r>
              <w:rPr>
                <w:b w:val="0"/>
              </w:rPr>
              <w:t>B.</w:t>
            </w:r>
            <w:r>
              <w:rPr>
                <w:b w:val="0"/>
                <w:noProof/>
              </w:rPr>
              <w:t>1</w:t>
            </w:r>
            <w:r>
              <w:tab/>
              <w:t>Total Commonwealth payments to the States</w:t>
            </w:r>
            <w:r w:rsidRPr="00EA6133">
              <w:rPr>
                <w:rStyle w:val="NoteLabel"/>
                <w:b/>
              </w:rPr>
              <w:t>a</w:t>
            </w:r>
          </w:p>
          <w:p w14:paraId="7954B16E" w14:textId="77777777" w:rsidR="00F05DC7" w:rsidRPr="00176D3F" w:rsidRDefault="00F05DC7" w:rsidP="00A3786D">
            <w:pPr>
              <w:pStyle w:val="Subtitle"/>
            </w:pPr>
            <w:r>
              <w:t>2017</w:t>
            </w:r>
            <w:r>
              <w:noBreakHyphen/>
              <w:t>18</w:t>
            </w:r>
          </w:p>
        </w:tc>
      </w:tr>
      <w:tr w:rsidR="00F05DC7" w14:paraId="7954B173" w14:textId="77777777" w:rsidTr="00A3786D">
        <w:tc>
          <w:tcPr>
            <w:tcW w:w="5000" w:type="pct"/>
            <w:tcBorders>
              <w:top w:val="nil"/>
              <w:left w:val="nil"/>
              <w:bottom w:val="nil"/>
              <w:right w:val="nil"/>
            </w:tcBorders>
            <w:shd w:val="clear" w:color="auto" w:fill="auto"/>
            <w:tcMar>
              <w:top w:w="0" w:type="dxa"/>
              <w:left w:w="57" w:type="dxa"/>
              <w:bottom w:w="0" w:type="dxa"/>
              <w:right w:w="57"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F05DC7" w:rsidRPr="00B1465D" w14:paraId="7954B171" w14:textId="77777777" w:rsidTr="00A3786D">
              <w:trPr>
                <w:tblHeader/>
                <w:jc w:val="center"/>
              </w:trPr>
              <w:tc>
                <w:tcPr>
                  <w:tcW w:w="5000" w:type="pct"/>
                  <w:tcBorders>
                    <w:top w:val="nil"/>
                    <w:bottom w:val="nil"/>
                  </w:tcBorders>
                </w:tcPr>
                <w:p w14:paraId="7954B170" w14:textId="77777777" w:rsidR="00F05DC7" w:rsidRPr="00B1465D" w:rsidRDefault="00F05DC7" w:rsidP="00A3786D">
                  <w:pPr>
                    <w:pStyle w:val="Figure"/>
                    <w:spacing w:before="60" w:after="60"/>
                    <w:rPr>
                      <w:rFonts w:ascii="Arial" w:hAnsi="Arial" w:cs="Arial"/>
                      <w:sz w:val="18"/>
                      <w:szCs w:val="18"/>
                    </w:rPr>
                  </w:pPr>
                  <w:r w:rsidRPr="00E31704">
                    <w:rPr>
                      <w:noProof/>
                    </w:rPr>
                    <w:drawing>
                      <wp:inline distT="0" distB="0" distL="0" distR="0" wp14:anchorId="7954D65D" wp14:editId="7954D65E">
                        <wp:extent cx="5402580" cy="3238500"/>
                        <wp:effectExtent l="0" t="0" r="7620" b="0"/>
                        <wp:docPr id="111" name="Picture 111" descr="In 2017 18, Commonwealth payments in the form of National Partnerships are projected to amount to $13.7 billion, while Quality Schools expenditure is projected to be $18.2 billion. National Health Reform payments by the Commonwealth are projected to comprise $19.6 billion, and National SPPs $4.4 billion. GST and other general revenue assistance will be approximately $63.1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02580" cy="3238500"/>
                                </a:xfrm>
                                <a:prstGeom prst="rect">
                                  <a:avLst/>
                                </a:prstGeom>
                                <a:noFill/>
                                <a:ln>
                                  <a:noFill/>
                                </a:ln>
                              </pic:spPr>
                            </pic:pic>
                          </a:graphicData>
                        </a:graphic>
                      </wp:inline>
                    </w:drawing>
                  </w:r>
                </w:p>
              </w:tc>
            </w:tr>
          </w:tbl>
          <w:p w14:paraId="7954B172" w14:textId="77777777" w:rsidR="00F05DC7" w:rsidRDefault="00F05DC7" w:rsidP="00A3786D">
            <w:pPr>
              <w:pStyle w:val="Figure"/>
            </w:pPr>
          </w:p>
        </w:tc>
      </w:tr>
      <w:tr w:rsidR="00F05DC7" w:rsidRPr="00176D3F" w14:paraId="7954B175" w14:textId="77777777" w:rsidTr="00A3786D">
        <w:tc>
          <w:tcPr>
            <w:tcW w:w="5000" w:type="pct"/>
            <w:tcBorders>
              <w:top w:val="nil"/>
              <w:left w:val="nil"/>
              <w:bottom w:val="nil"/>
              <w:right w:val="nil"/>
            </w:tcBorders>
            <w:shd w:val="clear" w:color="auto" w:fill="auto"/>
          </w:tcPr>
          <w:p w14:paraId="7954B174" w14:textId="77777777" w:rsidR="00F05DC7" w:rsidRPr="00176D3F" w:rsidRDefault="00F05DC7" w:rsidP="00A3786D">
            <w:pPr>
              <w:pStyle w:val="Note"/>
            </w:pPr>
            <w:r>
              <w:rPr>
                <w:rStyle w:val="NoteLabel"/>
              </w:rPr>
              <w:t>a</w:t>
            </w:r>
            <w:r>
              <w:t xml:space="preserve"> As projected in the 2017</w:t>
            </w:r>
            <w:r>
              <w:noBreakHyphen/>
              <w:t>18 Mid</w:t>
            </w:r>
            <w:r>
              <w:noBreakHyphen/>
              <w:t>Year Economic and Fiscal Outlook. The GST is projected to comprise $62.4 billion (approximately 99 per cent) of general revenue assistance in 2017</w:t>
            </w:r>
            <w:r>
              <w:noBreakHyphen/>
              <w:t>18. Other general revenue assistance includes payments for municipal services in the ACT, Snowy Hydro Limited tax compensation, and royalties.</w:t>
            </w:r>
          </w:p>
        </w:tc>
      </w:tr>
      <w:tr w:rsidR="00F05DC7" w:rsidRPr="00176D3F" w14:paraId="7954B177" w14:textId="77777777" w:rsidTr="00A3786D">
        <w:tc>
          <w:tcPr>
            <w:tcW w:w="5000" w:type="pct"/>
            <w:tcBorders>
              <w:top w:val="nil"/>
              <w:left w:val="nil"/>
              <w:bottom w:val="nil"/>
              <w:right w:val="nil"/>
            </w:tcBorders>
            <w:shd w:val="clear" w:color="auto" w:fill="auto"/>
          </w:tcPr>
          <w:p w14:paraId="7954B176" w14:textId="5EDB28F8" w:rsidR="00F05DC7" w:rsidRPr="00176D3F" w:rsidRDefault="00F05DC7" w:rsidP="00A3786D">
            <w:pPr>
              <w:pStyle w:val="Source"/>
            </w:pPr>
            <w:r>
              <w:rPr>
                <w:i/>
              </w:rPr>
              <w:t>S</w:t>
            </w:r>
            <w:r w:rsidRPr="00784A05">
              <w:rPr>
                <w:i/>
              </w:rPr>
              <w:t>ource</w:t>
            </w:r>
            <w:r w:rsidRPr="00176D3F">
              <w:t xml:space="preserve">: </w:t>
            </w:r>
            <w:r>
              <w:t xml:space="preserve">Commonwealth of Australia </w:t>
            </w:r>
            <w:r w:rsidR="009D6331" w:rsidRPr="009D6331">
              <w:rPr>
                <w:rFonts w:cs="Arial"/>
              </w:rPr>
              <w:t>(2017e)</w:t>
            </w:r>
            <w:r>
              <w:t>.</w:t>
            </w:r>
          </w:p>
        </w:tc>
      </w:tr>
      <w:tr w:rsidR="00F05DC7" w14:paraId="7954B179" w14:textId="77777777" w:rsidTr="00A3786D">
        <w:tc>
          <w:tcPr>
            <w:tcW w:w="5000" w:type="pct"/>
            <w:tcBorders>
              <w:top w:val="nil"/>
              <w:left w:val="nil"/>
              <w:bottom w:val="single" w:sz="6" w:space="0" w:color="78A22F"/>
              <w:right w:val="nil"/>
            </w:tcBorders>
            <w:shd w:val="clear" w:color="auto" w:fill="auto"/>
          </w:tcPr>
          <w:p w14:paraId="7954B178" w14:textId="77777777" w:rsidR="00F05DC7" w:rsidRDefault="00F05DC7" w:rsidP="00A3786D">
            <w:pPr>
              <w:pStyle w:val="Figurespace"/>
            </w:pPr>
          </w:p>
        </w:tc>
      </w:tr>
      <w:tr w:rsidR="00F05DC7" w:rsidRPr="000863A5" w14:paraId="7954B17B" w14:textId="77777777" w:rsidTr="00A3786D">
        <w:tc>
          <w:tcPr>
            <w:tcW w:w="5000" w:type="pct"/>
            <w:tcBorders>
              <w:top w:val="single" w:sz="6" w:space="0" w:color="78A22F"/>
              <w:left w:val="nil"/>
              <w:bottom w:val="nil"/>
              <w:right w:val="nil"/>
            </w:tcBorders>
          </w:tcPr>
          <w:p w14:paraId="7954B17A" w14:textId="77777777" w:rsidR="00F05DC7" w:rsidRPr="00626D32" w:rsidRDefault="00F05DC7" w:rsidP="00A3786D">
            <w:pPr>
              <w:pStyle w:val="BoxSpaceBelow"/>
            </w:pPr>
          </w:p>
        </w:tc>
      </w:tr>
    </w:tbl>
    <w:p w14:paraId="7954B17C" w14:textId="77777777" w:rsidR="00F05DC7" w:rsidRDefault="00F05DC7" w:rsidP="00A3786D">
      <w:pPr>
        <w:pStyle w:val="Heading3"/>
      </w:pPr>
      <w:r>
        <w:lastRenderedPageBreak/>
        <w:t>Quality Schools</w:t>
      </w:r>
    </w:p>
    <w:p w14:paraId="7954B17D" w14:textId="0D827BC1" w:rsidR="00F05DC7" w:rsidRDefault="00F05DC7" w:rsidP="00A3786D">
      <w:pPr>
        <w:pStyle w:val="BodyText"/>
      </w:pPr>
      <w:r>
        <w:t>From 1 January 2018, new funding arrangements associated with the Quality Schools package took effect. Under this arrangement, the Commonwealth will be the primary funding source for non</w:t>
      </w:r>
      <w:r>
        <w:noBreakHyphen/>
        <w:t xml:space="preserve">government schools, with a target to fund 80 per cent of the School Resource Standard for those schools. By contrast, the Commonwealth will be the secondary funding source for government schools, with a target of funding 20 per cent of the School Resource Standard for these schools </w:t>
      </w:r>
      <w:r w:rsidR="009D6331" w:rsidRPr="009D6331">
        <w:rPr>
          <w:szCs w:val="24"/>
        </w:rPr>
        <w:t>(DET 2017b)</w:t>
      </w:r>
      <w:r>
        <w:t>.</w:t>
      </w:r>
    </w:p>
    <w:p w14:paraId="7954B17E" w14:textId="77777777" w:rsidR="00F05DC7" w:rsidRDefault="00F05DC7" w:rsidP="00A3786D">
      <w:pPr>
        <w:pStyle w:val="BodyText"/>
      </w:pPr>
      <w:r>
        <w:t>Nationally, on average, per student funding is to grow by:</w:t>
      </w:r>
    </w:p>
    <w:p w14:paraId="7954B17F" w14:textId="77777777" w:rsidR="00F05DC7" w:rsidRDefault="00F05DC7" w:rsidP="00A3786D">
      <w:pPr>
        <w:pStyle w:val="ListBullet"/>
      </w:pPr>
      <w:r>
        <w:t>4.1 per cent each year to 2027 for the Independent school sector</w:t>
      </w:r>
    </w:p>
    <w:p w14:paraId="7954B180" w14:textId="77777777" w:rsidR="00F05DC7" w:rsidRDefault="00F05DC7" w:rsidP="00A3786D">
      <w:pPr>
        <w:pStyle w:val="ListBullet"/>
      </w:pPr>
      <w:r>
        <w:t>3.5 per cent each year to 2027 for the Catholic sector</w:t>
      </w:r>
    </w:p>
    <w:p w14:paraId="7954B181" w14:textId="0F55E329" w:rsidR="00F05DC7" w:rsidRDefault="00F05DC7" w:rsidP="00A3786D">
      <w:pPr>
        <w:pStyle w:val="ListBullet"/>
      </w:pPr>
      <w:r>
        <w:t xml:space="preserve">5.1 per cent each year to 2027 for the Government sector </w:t>
      </w:r>
      <w:r w:rsidR="009D6331" w:rsidRPr="009D6331">
        <w:rPr>
          <w:szCs w:val="24"/>
        </w:rPr>
        <w:t>(Commonwealth of Australia 2017d)</w:t>
      </w:r>
      <w:r>
        <w:t>.</w:t>
      </w:r>
    </w:p>
    <w:p w14:paraId="7954B182" w14:textId="69980404" w:rsidR="00F05DC7" w:rsidRDefault="00F05DC7" w:rsidP="00A3786D">
      <w:pPr>
        <w:pStyle w:val="BodyText"/>
      </w:pPr>
      <w:r>
        <w:t xml:space="preserve">Students with the same need within the same school sector will receive the same support from the Commonwealth, regardless of the State in which they live. However, students with greater needs — assessed at the Commonwealth level and based on a range of factors, predominantly socioeconomic — will attract higher levels of Commonwealth funding </w:t>
      </w:r>
      <w:r w:rsidR="009D6331" w:rsidRPr="009D6331">
        <w:rPr>
          <w:szCs w:val="24"/>
        </w:rPr>
        <w:t>(DET 2017a)</w:t>
      </w:r>
      <w:r>
        <w:t>.</w:t>
      </w:r>
    </w:p>
    <w:p w14:paraId="7954B183" w14:textId="279867E4" w:rsidR="00F05DC7" w:rsidRDefault="00F05DC7" w:rsidP="00A3786D">
      <w:pPr>
        <w:pStyle w:val="BodyText"/>
      </w:pPr>
      <w:r>
        <w:t xml:space="preserve">The schools that need the most additional resources will receive the fastest increase in funding </w:t>
      </w:r>
      <w:r w:rsidR="009D6331" w:rsidRPr="009D6331">
        <w:rPr>
          <w:szCs w:val="24"/>
        </w:rPr>
        <w:t>(DET 2017b)</w:t>
      </w:r>
      <w:r>
        <w:t>. This feature, along with the differing funding structures for government and non</w:t>
      </w:r>
      <w:r>
        <w:noBreakHyphen/>
        <w:t xml:space="preserve">government schools by the Commonwealth, will have implications for the amount of Commonwealth funding received by each State. </w:t>
      </w:r>
    </w:p>
    <w:p w14:paraId="7954B184" w14:textId="77777777" w:rsidR="00F05DC7" w:rsidRDefault="00F05DC7" w:rsidP="00A3786D">
      <w:pPr>
        <w:pStyle w:val="Heading3"/>
      </w:pPr>
      <w:r>
        <w:t>National Partnership payments</w:t>
      </w:r>
    </w:p>
    <w:p w14:paraId="7954B185" w14:textId="647E2C3F" w:rsidR="00F05DC7" w:rsidRDefault="00F05DC7" w:rsidP="00A3786D">
      <w:pPr>
        <w:pStyle w:val="BodyText"/>
      </w:pPr>
      <w:r>
        <w:t xml:space="preserve">The Intergovernmental Agreement on Federal Financial Relations (IGAFFR) makes provision for National Partnership (NP) payments to the States to support the delivery of specific projects or outputs, facilitate reforms, and provide a mechanism to reward jurisdictions that deliver nationally significant reforms </w:t>
      </w:r>
      <w:r w:rsidR="009D6331" w:rsidRPr="009D6331">
        <w:rPr>
          <w:szCs w:val="24"/>
        </w:rPr>
        <w:t>(COAG 2011)</w:t>
      </w:r>
      <w:r>
        <w:t xml:space="preserve">. NPs are usually entered into for a fixed period of time, contingent upon the nature of the project or reform involved </w:t>
      </w:r>
      <w:r w:rsidR="009D6331" w:rsidRPr="009D6331">
        <w:rPr>
          <w:szCs w:val="24"/>
        </w:rPr>
        <w:t>(Commonwealth of Australia 2017b, p. 11)</w:t>
      </w:r>
      <w:r>
        <w:t>. There are three types of NP payments:</w:t>
      </w:r>
    </w:p>
    <w:p w14:paraId="7954B186" w14:textId="77777777" w:rsidR="00F05DC7" w:rsidRDefault="00F05DC7" w:rsidP="00A3786D">
      <w:pPr>
        <w:pStyle w:val="ListBullet"/>
      </w:pPr>
      <w:r w:rsidRPr="002D6DFE">
        <w:rPr>
          <w:b/>
        </w:rPr>
        <w:t>Project payments</w:t>
      </w:r>
      <w:r>
        <w:t xml:space="preserve"> are financial contributions to States to assist with the delivery of specific projects — such as improvements in the quality or quantity of service delivery, or projects that support national objectives (for example, specific infrastructure projects with national benefits). A project payment is typically (but not always) made in arrears, </w:t>
      </w:r>
      <w:r w:rsidRPr="002D6DFE">
        <w:rPr>
          <w:i/>
        </w:rPr>
        <w:t>after</w:t>
      </w:r>
      <w:r>
        <w:t xml:space="preserve"> a State has achieved particular milestones specified in the project agreement. Examples of NP project payments include funding distributed under the Natural Disaster Resilience and Bushfire Mitigation Partnership Project Agreements.</w:t>
      </w:r>
    </w:p>
    <w:p w14:paraId="7954B187" w14:textId="77777777" w:rsidR="00F05DC7" w:rsidRDefault="00F05DC7" w:rsidP="00A3786D">
      <w:pPr>
        <w:pStyle w:val="ListBullet"/>
      </w:pPr>
      <w:r w:rsidRPr="00DC1287">
        <w:rPr>
          <w:b/>
        </w:rPr>
        <w:t>Facilitation payments</w:t>
      </w:r>
      <w:r w:rsidRPr="00DC1287">
        <w:t xml:space="preserve"> are made to assist States with progressing or achieving nationally significant reform, typically in recognition of </w:t>
      </w:r>
      <w:r>
        <w:t>the</w:t>
      </w:r>
      <w:r w:rsidRPr="00DC1287">
        <w:t xml:space="preserve"> costs of initiating reform or pursuing </w:t>
      </w:r>
      <w:r w:rsidRPr="00DC1287">
        <w:lastRenderedPageBreak/>
        <w:t>continuous improvement in service delivery</w:t>
      </w:r>
      <w:r>
        <w:t xml:space="preserve"> (therefore, facilitation payments are less targeted towards discrete tasks than are project payments, but there </w:t>
      </w:r>
      <w:r>
        <w:rPr>
          <w:i/>
        </w:rPr>
        <w:t>must</w:t>
      </w:r>
      <w:r>
        <w:t xml:space="preserve"> be a national benefit to the reform). Facilitation payments are primarily made in advance. Funding distributed under the (now concluded) National Partnership Agreement on Remote Indigenous Housing is an example of a facilitation payment.</w:t>
      </w:r>
    </w:p>
    <w:p w14:paraId="7954B188" w14:textId="3F772C81" w:rsidR="00F05DC7" w:rsidRPr="00DE3430" w:rsidRDefault="00F05DC7" w:rsidP="00A3786D">
      <w:pPr>
        <w:pStyle w:val="ListBullet"/>
      </w:pPr>
      <w:r w:rsidRPr="00DC1287">
        <w:rPr>
          <w:b/>
        </w:rPr>
        <w:t>Reward payments</w:t>
      </w:r>
      <w:r>
        <w:t xml:space="preserve"> are provided to States that deliver or progress nationally significant reform. They are contingent on the achievement of performance benchmarks and as such are paid in arrears. </w:t>
      </w:r>
      <w:r w:rsidRPr="00C66EF1">
        <w:rPr>
          <w:rStyle w:val="BodyTextChar"/>
        </w:rPr>
        <w:t>For example,</w:t>
      </w:r>
      <w:r w:rsidRPr="004A396E">
        <w:rPr>
          <w:rStyle w:val="BodyTextChar"/>
        </w:rPr>
        <w:t xml:space="preserve"> </w:t>
      </w:r>
      <w:r>
        <w:rPr>
          <w:rStyle w:val="BodyTextChar"/>
        </w:rPr>
        <w:t xml:space="preserve">the National Partnership Agreement to Deliver a Seamless National Economy makes provision for reward payments to the States based on the achievement of milestones in the areas of deregulation, competition reform, and regulatory reform </w:t>
      </w:r>
      <w:r w:rsidR="009D6331" w:rsidRPr="009D6331">
        <w:rPr>
          <w:szCs w:val="24"/>
        </w:rPr>
        <w:t>(COAG 2009, 2011)</w:t>
      </w:r>
      <w:r>
        <w:rPr>
          <w:rStyle w:val="BodyTextChar"/>
        </w:rPr>
        <w:t>.</w:t>
      </w:r>
    </w:p>
    <w:p w14:paraId="7954B189" w14:textId="3151429A" w:rsidR="00F05DC7" w:rsidRDefault="00F05DC7" w:rsidP="00A3786D">
      <w:pPr>
        <w:pStyle w:val="Heading2"/>
      </w:pPr>
      <w:bookmarkStart w:id="115" w:name="_Toc513637742"/>
      <w:r>
        <w:t>B.</w:t>
      </w:r>
      <w:r>
        <w:rPr>
          <w:noProof/>
        </w:rPr>
        <w:t>2</w:t>
      </w:r>
      <w:r>
        <w:tab/>
        <w:t>Treatment of payments for specific purposes in the GST distribution</w:t>
      </w:r>
      <w:bookmarkEnd w:id="115"/>
    </w:p>
    <w:p w14:paraId="7954B18A" w14:textId="77777777" w:rsidR="00F05DC7" w:rsidRDefault="00F05DC7" w:rsidP="00A3786D">
      <w:pPr>
        <w:pStyle w:val="BodyText"/>
      </w:pPr>
      <w:r>
        <w:t>Given that many payments for specific purposes are targeted towards areas where States have direct responsibility for service delivery, many such payments are taken into account by the CGC in State fiscal capacity assessments — either as part of State revenue, or as an offsetting reduction in State expenditure needs. Commonwealth payments are one of the eight categories of revenue taken into consideration by the CGC in its assessments of State fiscal capacities (chapter 2).</w:t>
      </w:r>
    </w:p>
    <w:p w14:paraId="7954B18B" w14:textId="77777777" w:rsidR="00F05DC7" w:rsidRDefault="00F05DC7" w:rsidP="00A3786D">
      <w:pPr>
        <w:pStyle w:val="BodyText"/>
      </w:pPr>
      <w:r>
        <w:t xml:space="preserve">Some payments, however, are excluded from fiscal capacity assessments (‘quarantined’), or are heavily discounted (often by 50 per cent) — often, but not always, on the grounds that they support projects or reforms that reflect the </w:t>
      </w:r>
      <w:r w:rsidRPr="007E268F">
        <w:t>broader needs of the nation, rather than the circumstances of individual States</w:t>
      </w:r>
      <w:r>
        <w:t>. Decisions to quarantine or discount Commonwealth payments are made by both the Commonwealth Treasurer and the CGC.</w:t>
      </w:r>
    </w:p>
    <w:p w14:paraId="7954B18C" w14:textId="77777777" w:rsidR="00F05DC7" w:rsidRDefault="00F05DC7" w:rsidP="00A3786D">
      <w:pPr>
        <w:pStyle w:val="Heading3"/>
      </w:pPr>
      <w:r>
        <w:t>How is a payment’s inclusion or exclusion decided?</w:t>
      </w:r>
    </w:p>
    <w:p w14:paraId="7954B18D" w14:textId="77777777" w:rsidR="00F05DC7" w:rsidRDefault="00F05DC7" w:rsidP="00A3786D">
      <w:pPr>
        <w:pStyle w:val="BodyText"/>
      </w:pPr>
      <w:r>
        <w:t>There are three steps in any Relativity Update or Methodology Review process where a payment may be specifically included or excluded from fiscal capacity assessments.</w:t>
      </w:r>
    </w:p>
    <w:p w14:paraId="7954B18E" w14:textId="77777777" w:rsidR="00F05DC7" w:rsidRDefault="00F05DC7" w:rsidP="00A3786D">
      <w:pPr>
        <w:pStyle w:val="Heading4"/>
      </w:pPr>
      <w:r>
        <w:t>Step 1: The Intergovernmental Agreement on Federal Financial Relations</w:t>
      </w:r>
    </w:p>
    <w:p w14:paraId="7954B18F" w14:textId="77777777" w:rsidR="00F05DC7" w:rsidRDefault="00F05DC7" w:rsidP="00A3786D">
      <w:pPr>
        <w:pStyle w:val="BodyText"/>
      </w:pPr>
      <w:r>
        <w:t xml:space="preserve">The IGAFFR sets out three general principles for the treatment of Commonwealth payments (schedule D, s 66(a)): </w:t>
      </w:r>
    </w:p>
    <w:p w14:paraId="7954B190" w14:textId="5BE7A16F" w:rsidR="00F05DC7" w:rsidRPr="00A479D2" w:rsidRDefault="00F05DC7" w:rsidP="00A3786D">
      <w:pPr>
        <w:pStyle w:val="ListBullet"/>
      </w:pPr>
      <w:r w:rsidRPr="00D57C27">
        <w:t>General</w:t>
      </w:r>
      <w:r>
        <w:t xml:space="preserve"> revenue assistance (</w:t>
      </w:r>
      <w:r w:rsidRPr="00964EFD">
        <w:t>excluding GST</w:t>
      </w:r>
      <w:r>
        <w:t>)</w:t>
      </w:r>
      <w:r w:rsidRPr="00964EFD">
        <w:t xml:space="preserve"> </w:t>
      </w:r>
      <w:r>
        <w:t>should</w:t>
      </w:r>
      <w:r w:rsidRPr="00964EFD">
        <w:t xml:space="preserve"> be treated by inclusion, recognising that these payments provide </w:t>
      </w:r>
      <w:r>
        <w:t xml:space="preserve">States with </w:t>
      </w:r>
      <w:r w:rsidRPr="00964EFD">
        <w:t xml:space="preserve">untied general budget support </w:t>
      </w:r>
      <w:r w:rsidR="009D6331" w:rsidRPr="009D6331">
        <w:rPr>
          <w:szCs w:val="24"/>
        </w:rPr>
        <w:t>(COAG 2011)</w:t>
      </w:r>
      <w:r>
        <w:t>.</w:t>
      </w:r>
    </w:p>
    <w:p w14:paraId="7954B191" w14:textId="77777777" w:rsidR="00F05DC7" w:rsidRPr="00A479D2" w:rsidRDefault="00F05DC7" w:rsidP="00A3786D">
      <w:pPr>
        <w:pStyle w:val="ListBullet"/>
      </w:pPr>
      <w:r w:rsidRPr="00A479D2">
        <w:lastRenderedPageBreak/>
        <w:t xml:space="preserve">National SPPs, National Health Reform funding, and National Partnership </w:t>
      </w:r>
      <w:r w:rsidRPr="00213140">
        <w:rPr>
          <w:i/>
        </w:rPr>
        <w:t>project</w:t>
      </w:r>
      <w:r w:rsidRPr="00A479D2">
        <w:t xml:space="preserve"> payments should be treated by inclusion, in recognition of the fact that these payments provide States with budget support for providing standard State public services</w:t>
      </w:r>
      <w:r>
        <w:t>.</w:t>
      </w:r>
    </w:p>
    <w:p w14:paraId="7954B192" w14:textId="77777777" w:rsidR="00F05DC7" w:rsidRPr="00964EFD" w:rsidRDefault="00F05DC7" w:rsidP="00A3786D">
      <w:pPr>
        <w:pStyle w:val="ListBullet"/>
      </w:pPr>
      <w:r w:rsidRPr="00964EFD">
        <w:t xml:space="preserve">National Partnership </w:t>
      </w:r>
      <w:r w:rsidRPr="00AE14E8">
        <w:rPr>
          <w:i/>
        </w:rPr>
        <w:t>facilitation</w:t>
      </w:r>
      <w:r w:rsidRPr="00964EFD">
        <w:t xml:space="preserve"> and </w:t>
      </w:r>
      <w:r w:rsidRPr="00AE14E8">
        <w:rPr>
          <w:i/>
        </w:rPr>
        <w:t>reward</w:t>
      </w:r>
      <w:r w:rsidRPr="00964EFD">
        <w:t xml:space="preserve"> payments </w:t>
      </w:r>
      <w:r>
        <w:t>should</w:t>
      </w:r>
      <w:r w:rsidRPr="00964EFD">
        <w:t xml:space="preserve"> be treated by exclusion</w:t>
      </w:r>
      <w:r>
        <w:t>,</w:t>
      </w:r>
      <w:r w:rsidRPr="00964EFD">
        <w:t xml:space="preserve"> so that any benefit</w:t>
      </w:r>
      <w:r>
        <w:t>s</w:t>
      </w:r>
      <w:r w:rsidRPr="00964EFD">
        <w:t xml:space="preserve"> to a State from achieving outputs</w:t>
      </w:r>
      <w:r>
        <w:t xml:space="preserve"> or reforms</w:t>
      </w:r>
      <w:r w:rsidRPr="00964EFD">
        <w:t xml:space="preserve"> </w:t>
      </w:r>
      <w:r>
        <w:t xml:space="preserve">specifically </w:t>
      </w:r>
      <w:r w:rsidRPr="00964EFD">
        <w:t>sought by the Commonwealth</w:t>
      </w:r>
      <w:r>
        <w:t xml:space="preserve"> are</w:t>
      </w:r>
      <w:r w:rsidRPr="00964EFD">
        <w:t xml:space="preserve"> not redistributed to other States through the </w:t>
      </w:r>
      <w:r>
        <w:t>HFE</w:t>
      </w:r>
      <w:r w:rsidRPr="00964EFD">
        <w:t xml:space="preserve"> process</w:t>
      </w:r>
      <w:r>
        <w:t>.</w:t>
      </w:r>
    </w:p>
    <w:p w14:paraId="7954B193" w14:textId="77777777" w:rsidR="00F05DC7" w:rsidRDefault="00F05DC7" w:rsidP="00A3786D">
      <w:pPr>
        <w:pStyle w:val="BodyText"/>
      </w:pPr>
      <w:r>
        <w:t xml:space="preserve">This principle is typically reproduced in the terms of reference provided by the Commonwealth Treasurer for each Relativity Update and CGC Methodology Review. </w:t>
      </w:r>
    </w:p>
    <w:p w14:paraId="7954B194" w14:textId="77777777" w:rsidR="00F05DC7" w:rsidRDefault="00F05DC7" w:rsidP="00A3786D">
      <w:pPr>
        <w:pStyle w:val="BodyText"/>
      </w:pPr>
      <w:r>
        <w:t>Schedule D to the IGAFFR also provides for the CGC to exercise discretion over the inclusion or exclusion of some payments on a case</w:t>
      </w:r>
      <w:r>
        <w:noBreakHyphen/>
        <w:t>by</w:t>
      </w:r>
      <w:r>
        <w:noBreakHyphen/>
        <w:t>case basis:</w:t>
      </w:r>
    </w:p>
    <w:p w14:paraId="7954B195" w14:textId="77777777" w:rsidR="00F05DC7" w:rsidRDefault="00F05DC7" w:rsidP="00A3786D">
      <w:pPr>
        <w:pStyle w:val="ListBullet"/>
      </w:pPr>
      <w:r>
        <w:t>S 66(c): a particular component of general revenue assistance may be treated as ‘out of scope’ (that is, quarantined from HFE) if the CGC considers this to be appropriate.</w:t>
      </w:r>
    </w:p>
    <w:p w14:paraId="7954B196" w14:textId="77777777" w:rsidR="00F05DC7" w:rsidRDefault="00F05DC7" w:rsidP="00A3786D">
      <w:pPr>
        <w:pStyle w:val="ListBullet"/>
      </w:pPr>
      <w:r>
        <w:t>S 67: after consultation with the Commonwealth and States, the CGC may treat any National Partnership payment differently to the general principles, if it considers this to be appropriate.</w:t>
      </w:r>
    </w:p>
    <w:p w14:paraId="7954B197" w14:textId="77777777" w:rsidR="00F05DC7" w:rsidRDefault="00F05DC7" w:rsidP="00A3786D">
      <w:pPr>
        <w:pStyle w:val="Heading4"/>
      </w:pPr>
      <w:r>
        <w:t>Step 2: The terms of reference for Relativity Updates or Methodology Reviews</w:t>
      </w:r>
    </w:p>
    <w:p w14:paraId="7954B198" w14:textId="77777777" w:rsidR="00F05DC7" w:rsidRDefault="00F05DC7" w:rsidP="00A3786D">
      <w:pPr>
        <w:pStyle w:val="BodyText"/>
      </w:pPr>
      <w:r>
        <w:t>Where the IGAFFR is silent on the treatment of a particular payment, the Commonwealth Treasurer is mostly responsible for decisions regarding the payment’s inclusion, discount or exclusion in HFE calculations, and facilitates this by specifying the treatment of particular payments in the Relativity Update and Methodology Review terms of reference.</w:t>
      </w:r>
    </w:p>
    <w:p w14:paraId="7954B199" w14:textId="77777777" w:rsidR="00F05DC7" w:rsidRDefault="00F05DC7" w:rsidP="00A3786D">
      <w:pPr>
        <w:pStyle w:val="BodyText"/>
      </w:pPr>
      <w:r>
        <w:t>It is not uncommon for the Treasurer to quarantine a Commonwealth payment from future GST distributions where the funding agreement supports a project with national or cross</w:t>
      </w:r>
      <w:r>
        <w:noBreakHyphen/>
        <w:t>state benefits, or targets particular needs or shortfalls of individual States that may not be recognised in the CGC’s analyses. For example, table B.1 shows a sample of the Commonwealth payments that have been explicitly excluded from, or discounted for, the CGC’s assessment of fiscal capacities (by the Treasurer’s terms of reference) over the last five years. Many of these payments offer national or cross</w:t>
      </w:r>
      <w:r>
        <w:noBreakHyphen/>
        <w:t>state benefits.</w:t>
      </w:r>
    </w:p>
    <w:p w14:paraId="7954B19A" w14:textId="77777777" w:rsidR="00F05DC7" w:rsidRDefault="00F05DC7" w:rsidP="00A3786D">
      <w:pPr>
        <w:pStyle w:val="BodyText"/>
      </w:pPr>
      <w:r>
        <w:t>However, in terms of value, only a small proportion of Commonwealth funding overall is quarantined — for example, in 2016</w:t>
      </w:r>
      <w:r>
        <w:noBreakHyphen/>
        <w:t>17, approximately 5 per cent of Commonwealth payments for specific purposes were excluded by terms of reference requirements (CGC pers. comm., 5 April 2018).</w:t>
      </w:r>
      <w:r w:rsidDel="000736A3">
        <w:t xml:space="preserve"> </w:t>
      </w:r>
    </w:p>
    <w:p w14:paraId="7954B19B" w14:textId="77777777" w:rsidR="00F05DC7" w:rsidRDefault="00F05DC7" w:rsidP="00A3786D">
      <w:pPr>
        <w:pStyle w:val="BodyText"/>
      </w:pPr>
      <w:r>
        <w:t>Schedule D to the IGAFFR also gives the Commonwealth Treasurer an explicit discretion to vary, via the terms of reference, the treatment of National Partnership payments from that laid out in the general principles (s 67(b)).</w:t>
      </w:r>
    </w:p>
    <w:p w14:paraId="7954B19C" w14:textId="77777777" w:rsidR="00F05DC7" w:rsidRDefault="00F05DC7" w:rsidP="00A3786D">
      <w:pPr>
        <w:pStyle w:val="BodyText"/>
      </w:pPr>
      <w:r>
        <w:lastRenderedPageBreak/>
        <w:t xml:space="preserve">For some payments, the terms of reference do not stipulate a specific treatment, but do proscribe a particular </w:t>
      </w:r>
      <w:r>
        <w:rPr>
          <w:i/>
        </w:rPr>
        <w:t>unwanted</w:t>
      </w:r>
      <w:r>
        <w:t xml:space="preserve"> outcome with regard to a payment. For example, the terms of reference for the 2015 Methodology Review state:</w:t>
      </w:r>
    </w:p>
    <w:p w14:paraId="7954B19D" w14:textId="576F066C" w:rsidR="00F05DC7" w:rsidRPr="004620FA" w:rsidRDefault="00F05DC7" w:rsidP="00A3786D">
      <w:pPr>
        <w:pStyle w:val="Quote"/>
      </w:pPr>
      <w:r>
        <w:t>6. The [CGC] will ensure that the GST distribution process will not have the effect of unwinding the recognition of educational disadvantage embedded in the National Education Reform Agreement (NERA) funding arrangements. The Commission will also ensure that no State or Territory receives a windfall gain through the GST distribution from non</w:t>
      </w:r>
      <w:r>
        <w:noBreakHyphen/>
        <w:t xml:space="preserve">participation in NERA funding arrangements. </w:t>
      </w:r>
      <w:r w:rsidR="009D6331" w:rsidRPr="009D6331">
        <w:rPr>
          <w:szCs w:val="24"/>
        </w:rPr>
        <w:t>(CGC 2015e, p. vii)</w:t>
      </w:r>
    </w:p>
    <w:p w14:paraId="7954B19E"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1A0" w14:textId="77777777" w:rsidTr="001113B1">
        <w:trPr>
          <w:tblHeader/>
        </w:trPr>
        <w:tc>
          <w:tcPr>
            <w:tcW w:w="5000" w:type="pct"/>
            <w:tcBorders>
              <w:top w:val="single" w:sz="6" w:space="0" w:color="78A22F"/>
              <w:left w:val="nil"/>
              <w:bottom w:val="nil"/>
              <w:right w:val="nil"/>
            </w:tcBorders>
            <w:shd w:val="clear" w:color="auto" w:fill="auto"/>
          </w:tcPr>
          <w:p w14:paraId="7954B19F" w14:textId="108D23C5" w:rsidR="00F05DC7" w:rsidRPr="00784A05" w:rsidRDefault="00F05DC7" w:rsidP="00DD25DE">
            <w:pPr>
              <w:pStyle w:val="TableTitle"/>
            </w:pPr>
            <w:r>
              <w:rPr>
                <w:b w:val="0"/>
              </w:rPr>
              <w:t>Table B.</w:t>
            </w:r>
            <w:r>
              <w:rPr>
                <w:b w:val="0"/>
                <w:noProof/>
              </w:rPr>
              <w:t>1</w:t>
            </w:r>
            <w:r>
              <w:tab/>
              <w:t>Selected Commonwealth payments quarantined or discounted by Treasurer, 2012</w:t>
            </w:r>
            <w:r>
              <w:noBreakHyphen/>
              <w:t>13 Update to 2017</w:t>
            </w:r>
            <w:r>
              <w:noBreakHyphen/>
              <w:t>18 Update</w:t>
            </w:r>
            <w:r w:rsidRPr="00DD25DE">
              <w:rPr>
                <w:rStyle w:val="NoteLabel"/>
                <w:rFonts w:ascii="Arial Bold" w:hAnsi="Arial Bold"/>
                <w:b/>
                <w:position w:val="10"/>
              </w:rPr>
              <w:t>a</w:t>
            </w:r>
          </w:p>
        </w:tc>
      </w:tr>
      <w:tr w:rsidR="00F05DC7" w14:paraId="7954B1EA"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112"/>
              <w:gridCol w:w="972"/>
              <w:gridCol w:w="1142"/>
              <w:gridCol w:w="1344"/>
              <w:gridCol w:w="935"/>
            </w:tblGrid>
            <w:tr w:rsidR="00F05DC7" w14:paraId="7954B1A6" w14:textId="77777777" w:rsidTr="00A3786D">
              <w:trPr>
                <w:tblHeader/>
              </w:trPr>
              <w:tc>
                <w:tcPr>
                  <w:tcW w:w="2429" w:type="pct"/>
                  <w:tcBorders>
                    <w:top w:val="single" w:sz="6" w:space="0" w:color="BFBFBF"/>
                    <w:bottom w:val="single" w:sz="6" w:space="0" w:color="BFBFBF"/>
                  </w:tcBorders>
                  <w:shd w:val="clear" w:color="auto" w:fill="auto"/>
                  <w:tcMar>
                    <w:top w:w="28" w:type="dxa"/>
                  </w:tcMar>
                </w:tcPr>
                <w:p w14:paraId="7954B1A1" w14:textId="77777777" w:rsidR="00F05DC7" w:rsidRDefault="00F05DC7" w:rsidP="00A3786D">
                  <w:pPr>
                    <w:pStyle w:val="TableColumnHeading"/>
                    <w:jc w:val="left"/>
                  </w:pPr>
                  <w:r>
                    <w:t>Payment/partnership agreement</w:t>
                  </w:r>
                </w:p>
              </w:tc>
              <w:tc>
                <w:tcPr>
                  <w:tcW w:w="583" w:type="pct"/>
                  <w:tcBorders>
                    <w:top w:val="single" w:sz="6" w:space="0" w:color="BFBFBF"/>
                    <w:bottom w:val="single" w:sz="6" w:space="0" w:color="BFBFBF"/>
                  </w:tcBorders>
                </w:tcPr>
                <w:p w14:paraId="7954B1A2" w14:textId="77777777" w:rsidR="00F05DC7" w:rsidRDefault="00F05DC7" w:rsidP="00A3786D">
                  <w:pPr>
                    <w:pStyle w:val="TableColumnHeading"/>
                  </w:pPr>
                  <w:r>
                    <w:t>Recipient state</w:t>
                  </w:r>
                </w:p>
              </w:tc>
              <w:tc>
                <w:tcPr>
                  <w:tcW w:w="683" w:type="pct"/>
                  <w:tcBorders>
                    <w:top w:val="single" w:sz="6" w:space="0" w:color="BFBFBF"/>
                    <w:bottom w:val="single" w:sz="6" w:space="0" w:color="BFBFBF"/>
                  </w:tcBorders>
                  <w:shd w:val="clear" w:color="auto" w:fill="auto"/>
                  <w:tcMar>
                    <w:top w:w="28" w:type="dxa"/>
                  </w:tcMar>
                </w:tcPr>
                <w:p w14:paraId="7954B1A3" w14:textId="77777777" w:rsidR="00F05DC7" w:rsidRDefault="00F05DC7" w:rsidP="00A3786D">
                  <w:pPr>
                    <w:pStyle w:val="TableColumnHeading"/>
                  </w:pPr>
                  <w:r>
                    <w:t>Year first quarantined/ discounted</w:t>
                  </w:r>
                </w:p>
              </w:tc>
              <w:tc>
                <w:tcPr>
                  <w:tcW w:w="801" w:type="pct"/>
                  <w:tcBorders>
                    <w:top w:val="single" w:sz="6" w:space="0" w:color="BFBFBF"/>
                    <w:bottom w:val="single" w:sz="6" w:space="0" w:color="BFBFBF"/>
                  </w:tcBorders>
                  <w:shd w:val="clear" w:color="auto" w:fill="auto"/>
                  <w:tcMar>
                    <w:top w:w="28" w:type="dxa"/>
                  </w:tcMar>
                </w:tcPr>
                <w:p w14:paraId="7954B1A4" w14:textId="77777777" w:rsidR="00F05DC7" w:rsidRDefault="00F05DC7" w:rsidP="00A3786D">
                  <w:pPr>
                    <w:pStyle w:val="TableColumnHeading"/>
                  </w:pPr>
                  <w:r>
                    <w:t>Estimated value, 2011</w:t>
                  </w:r>
                  <w:r>
                    <w:noBreakHyphen/>
                    <w:t>12 onwards ($m)</w:t>
                  </w:r>
                </w:p>
              </w:tc>
              <w:tc>
                <w:tcPr>
                  <w:tcW w:w="503" w:type="pct"/>
                  <w:tcBorders>
                    <w:top w:val="single" w:sz="6" w:space="0" w:color="BFBFBF"/>
                    <w:bottom w:val="single" w:sz="6" w:space="0" w:color="BFBFBF"/>
                  </w:tcBorders>
                </w:tcPr>
                <w:p w14:paraId="7954B1A5" w14:textId="77777777" w:rsidR="00F05DC7" w:rsidRDefault="00F05DC7" w:rsidP="00A3786D">
                  <w:pPr>
                    <w:pStyle w:val="TableColumnHeading"/>
                    <w:ind w:right="28"/>
                  </w:pPr>
                  <w:r>
                    <w:t>Treatment</w:t>
                  </w:r>
                </w:p>
              </w:tc>
            </w:tr>
            <w:tr w:rsidR="00F05DC7" w14:paraId="7954B1AC" w14:textId="77777777" w:rsidTr="00A3786D">
              <w:tc>
                <w:tcPr>
                  <w:tcW w:w="2429" w:type="pct"/>
                </w:tcPr>
                <w:p w14:paraId="7954B1A7" w14:textId="77777777" w:rsidR="00F05DC7" w:rsidRDefault="00F05DC7" w:rsidP="00A3786D">
                  <w:pPr>
                    <w:pStyle w:val="TableBodyText"/>
                    <w:spacing w:before="40"/>
                    <w:jc w:val="left"/>
                  </w:pPr>
                  <w:r>
                    <w:t>Centenary of Canberra – A Gift to the National Capital</w:t>
                  </w:r>
                </w:p>
              </w:tc>
              <w:tc>
                <w:tcPr>
                  <w:tcW w:w="583" w:type="pct"/>
                </w:tcPr>
                <w:p w14:paraId="7954B1A8" w14:textId="77777777" w:rsidR="00F05DC7" w:rsidRDefault="00F05DC7" w:rsidP="00A3786D">
                  <w:pPr>
                    <w:pStyle w:val="TableBodyText"/>
                    <w:spacing w:before="40"/>
                  </w:pPr>
                  <w:r>
                    <w:t>ACT</w:t>
                  </w:r>
                </w:p>
              </w:tc>
              <w:tc>
                <w:tcPr>
                  <w:tcW w:w="683" w:type="pct"/>
                </w:tcPr>
                <w:p w14:paraId="7954B1A9" w14:textId="77777777" w:rsidR="00F05DC7" w:rsidRDefault="00F05DC7" w:rsidP="00A3786D">
                  <w:pPr>
                    <w:pStyle w:val="TableBodyText"/>
                    <w:spacing w:before="40"/>
                  </w:pPr>
                  <w:r>
                    <w:t>2012</w:t>
                  </w:r>
                </w:p>
              </w:tc>
              <w:tc>
                <w:tcPr>
                  <w:tcW w:w="801" w:type="pct"/>
                </w:tcPr>
                <w:p w14:paraId="7954B1AA" w14:textId="77777777" w:rsidR="00F05DC7" w:rsidRDefault="00F05DC7" w:rsidP="00A3786D">
                  <w:pPr>
                    <w:pStyle w:val="TableBodyText"/>
                    <w:spacing w:before="40"/>
                  </w:pPr>
                  <w:r>
                    <w:t>62</w:t>
                  </w:r>
                </w:p>
              </w:tc>
              <w:tc>
                <w:tcPr>
                  <w:tcW w:w="503" w:type="pct"/>
                </w:tcPr>
                <w:p w14:paraId="7954B1AB" w14:textId="77777777" w:rsidR="00F05DC7" w:rsidRDefault="00F05DC7" w:rsidP="00A3786D">
                  <w:pPr>
                    <w:pStyle w:val="TableBodyText"/>
                    <w:spacing w:before="40"/>
                    <w:ind w:right="28"/>
                  </w:pPr>
                  <w:r>
                    <w:t>Excluded</w:t>
                  </w:r>
                </w:p>
              </w:tc>
            </w:tr>
            <w:tr w:rsidR="00F05DC7" w14:paraId="7954B1B2" w14:textId="77777777" w:rsidTr="00A3786D">
              <w:tc>
                <w:tcPr>
                  <w:tcW w:w="2429" w:type="pct"/>
                  <w:shd w:val="pct5" w:color="auto" w:fill="auto"/>
                </w:tcPr>
                <w:p w14:paraId="7954B1AD" w14:textId="77777777" w:rsidR="00F05DC7" w:rsidRDefault="00F05DC7" w:rsidP="00A3786D">
                  <w:pPr>
                    <w:pStyle w:val="TableBodyText"/>
                    <w:jc w:val="left"/>
                  </w:pPr>
                  <w:r w:rsidRPr="0047791E">
                    <w:t>Macquarie Point Railyards Precinct Remediation Project</w:t>
                  </w:r>
                </w:p>
              </w:tc>
              <w:tc>
                <w:tcPr>
                  <w:tcW w:w="583" w:type="pct"/>
                  <w:shd w:val="pct5" w:color="auto" w:fill="auto"/>
                </w:tcPr>
                <w:p w14:paraId="7954B1AE" w14:textId="77777777" w:rsidR="00F05DC7" w:rsidRDefault="00F05DC7" w:rsidP="00A3786D">
                  <w:pPr>
                    <w:pStyle w:val="TableBodyText"/>
                  </w:pPr>
                  <w:r>
                    <w:t>Tas</w:t>
                  </w:r>
                </w:p>
              </w:tc>
              <w:tc>
                <w:tcPr>
                  <w:tcW w:w="683" w:type="pct"/>
                  <w:shd w:val="pct5" w:color="auto" w:fill="auto"/>
                </w:tcPr>
                <w:p w14:paraId="7954B1AF" w14:textId="77777777" w:rsidR="00F05DC7" w:rsidRDefault="00F05DC7" w:rsidP="00A3786D">
                  <w:pPr>
                    <w:pStyle w:val="TableBodyText"/>
                  </w:pPr>
                  <w:r>
                    <w:t>2013</w:t>
                  </w:r>
                </w:p>
              </w:tc>
              <w:tc>
                <w:tcPr>
                  <w:tcW w:w="801" w:type="pct"/>
                  <w:shd w:val="pct5" w:color="auto" w:fill="auto"/>
                </w:tcPr>
                <w:p w14:paraId="7954B1B0" w14:textId="77777777" w:rsidR="00F05DC7" w:rsidRDefault="00F05DC7" w:rsidP="00A3786D">
                  <w:pPr>
                    <w:pStyle w:val="TableBodyText"/>
                  </w:pPr>
                  <w:r>
                    <w:t>50</w:t>
                  </w:r>
                </w:p>
              </w:tc>
              <w:tc>
                <w:tcPr>
                  <w:tcW w:w="503" w:type="pct"/>
                  <w:shd w:val="pct5" w:color="auto" w:fill="auto"/>
                </w:tcPr>
                <w:p w14:paraId="7954B1B1" w14:textId="77777777" w:rsidR="00F05DC7" w:rsidRDefault="00F05DC7" w:rsidP="00A3786D">
                  <w:pPr>
                    <w:pStyle w:val="TableBodyText"/>
                    <w:ind w:right="28"/>
                  </w:pPr>
                  <w:r>
                    <w:t>Excluded</w:t>
                  </w:r>
                </w:p>
              </w:tc>
            </w:tr>
            <w:tr w:rsidR="00F05DC7" w14:paraId="7954B1B8" w14:textId="77777777" w:rsidTr="00A3786D">
              <w:tc>
                <w:tcPr>
                  <w:tcW w:w="2429" w:type="pct"/>
                  <w:shd w:val="clear" w:color="auto" w:fill="auto"/>
                </w:tcPr>
                <w:p w14:paraId="7954B1B3" w14:textId="77777777" w:rsidR="00F05DC7" w:rsidRDefault="00F05DC7" w:rsidP="00A3786D">
                  <w:pPr>
                    <w:pStyle w:val="TableBodyText"/>
                    <w:jc w:val="left"/>
                  </w:pPr>
                  <w:r>
                    <w:t>Tasmanian Forests Intergovernmental Agreement</w:t>
                  </w:r>
                </w:p>
              </w:tc>
              <w:tc>
                <w:tcPr>
                  <w:tcW w:w="583" w:type="pct"/>
                </w:tcPr>
                <w:p w14:paraId="7954B1B4" w14:textId="77777777" w:rsidR="00F05DC7" w:rsidRDefault="00F05DC7" w:rsidP="00A3786D">
                  <w:pPr>
                    <w:pStyle w:val="TableBodyText"/>
                  </w:pPr>
                  <w:r>
                    <w:t>Tas</w:t>
                  </w:r>
                </w:p>
              </w:tc>
              <w:tc>
                <w:tcPr>
                  <w:tcW w:w="683" w:type="pct"/>
                  <w:shd w:val="clear" w:color="auto" w:fill="auto"/>
                </w:tcPr>
                <w:p w14:paraId="7954B1B5" w14:textId="77777777" w:rsidR="00F05DC7" w:rsidRDefault="00F05DC7" w:rsidP="00A3786D">
                  <w:pPr>
                    <w:pStyle w:val="TableBodyText"/>
                  </w:pPr>
                  <w:r>
                    <w:t>2013</w:t>
                  </w:r>
                </w:p>
              </w:tc>
              <w:tc>
                <w:tcPr>
                  <w:tcW w:w="801" w:type="pct"/>
                  <w:shd w:val="clear" w:color="auto" w:fill="auto"/>
                </w:tcPr>
                <w:p w14:paraId="7954B1B6" w14:textId="77777777" w:rsidR="00F05DC7" w:rsidRDefault="00F05DC7" w:rsidP="00A3786D">
                  <w:pPr>
                    <w:pStyle w:val="TableBodyText"/>
                  </w:pPr>
                  <w:r>
                    <w:t>53</w:t>
                  </w:r>
                </w:p>
              </w:tc>
              <w:tc>
                <w:tcPr>
                  <w:tcW w:w="503" w:type="pct"/>
                </w:tcPr>
                <w:p w14:paraId="7954B1B7" w14:textId="77777777" w:rsidR="00F05DC7" w:rsidRDefault="00F05DC7" w:rsidP="00A3786D">
                  <w:pPr>
                    <w:pStyle w:val="TableBodyText"/>
                    <w:ind w:right="28"/>
                  </w:pPr>
                  <w:r>
                    <w:t>Excluded</w:t>
                  </w:r>
                </w:p>
              </w:tc>
            </w:tr>
            <w:tr w:rsidR="00F05DC7" w14:paraId="7954B1BE" w14:textId="77777777" w:rsidTr="00A3786D">
              <w:tc>
                <w:tcPr>
                  <w:tcW w:w="2429" w:type="pct"/>
                  <w:shd w:val="pct5" w:color="auto" w:fill="auto"/>
                </w:tcPr>
                <w:p w14:paraId="7954B1B9" w14:textId="77777777" w:rsidR="00F05DC7" w:rsidRPr="0047791E" w:rsidRDefault="00F05DC7" w:rsidP="00A3786D">
                  <w:pPr>
                    <w:pStyle w:val="TableBodyText"/>
                    <w:jc w:val="left"/>
                  </w:pPr>
                  <w:r w:rsidRPr="00C75B84">
                    <w:t>Stronger Futures in the Northern Territory (2</w:t>
                  </w:r>
                  <w:r w:rsidRPr="00C75B84">
                    <w:rPr>
                      <w:vertAlign w:val="superscript"/>
                    </w:rPr>
                    <w:t>nd</w:t>
                  </w:r>
                  <w:r>
                    <w:t> </w:t>
                  </w:r>
                  <w:r w:rsidRPr="00C75B84">
                    <w:t>Implementation)</w:t>
                  </w:r>
                </w:p>
              </w:tc>
              <w:tc>
                <w:tcPr>
                  <w:tcW w:w="583" w:type="pct"/>
                  <w:shd w:val="pct5" w:color="auto" w:fill="auto"/>
                </w:tcPr>
                <w:p w14:paraId="7954B1BA" w14:textId="77777777" w:rsidR="00F05DC7" w:rsidRDefault="00F05DC7" w:rsidP="00A3786D">
                  <w:pPr>
                    <w:pStyle w:val="TableBodyText"/>
                  </w:pPr>
                  <w:r w:rsidRPr="00C75B84">
                    <w:t>NT</w:t>
                  </w:r>
                </w:p>
              </w:tc>
              <w:tc>
                <w:tcPr>
                  <w:tcW w:w="683" w:type="pct"/>
                  <w:shd w:val="pct5" w:color="auto" w:fill="auto"/>
                </w:tcPr>
                <w:p w14:paraId="7954B1BB" w14:textId="77777777" w:rsidR="00F05DC7" w:rsidRDefault="00F05DC7" w:rsidP="00A3786D">
                  <w:pPr>
                    <w:pStyle w:val="TableBodyText"/>
                  </w:pPr>
                  <w:r w:rsidRPr="00C75B84">
                    <w:t>2014</w:t>
                  </w:r>
                </w:p>
              </w:tc>
              <w:tc>
                <w:tcPr>
                  <w:tcW w:w="801" w:type="pct"/>
                  <w:shd w:val="pct5" w:color="auto" w:fill="auto"/>
                </w:tcPr>
                <w:p w14:paraId="7954B1BC" w14:textId="77777777" w:rsidR="00F05DC7" w:rsidRDefault="00F05DC7" w:rsidP="00A3786D">
                  <w:pPr>
                    <w:pStyle w:val="TableBodyText"/>
                  </w:pPr>
                  <w:r>
                    <w:t>514</w:t>
                  </w:r>
                </w:p>
              </w:tc>
              <w:tc>
                <w:tcPr>
                  <w:tcW w:w="503" w:type="pct"/>
                  <w:shd w:val="pct5" w:color="auto" w:fill="auto"/>
                </w:tcPr>
                <w:p w14:paraId="7954B1BD" w14:textId="77777777" w:rsidR="00F05DC7" w:rsidRDefault="00F05DC7" w:rsidP="00A3786D">
                  <w:pPr>
                    <w:pStyle w:val="TableBodyText"/>
                    <w:ind w:right="28"/>
                  </w:pPr>
                  <w:r w:rsidRPr="00C75B84">
                    <w:t>Excluded</w:t>
                  </w:r>
                </w:p>
              </w:tc>
            </w:tr>
            <w:tr w:rsidR="00F05DC7" w14:paraId="7954B1C4" w14:textId="77777777" w:rsidTr="00A3786D">
              <w:tc>
                <w:tcPr>
                  <w:tcW w:w="2429" w:type="pct"/>
                  <w:shd w:val="clear" w:color="auto" w:fill="auto"/>
                </w:tcPr>
                <w:p w14:paraId="7954B1BF" w14:textId="77777777" w:rsidR="00F05DC7" w:rsidRPr="00C75B84" w:rsidRDefault="00F05DC7" w:rsidP="00A3786D">
                  <w:pPr>
                    <w:pStyle w:val="TableBodyText"/>
                    <w:jc w:val="left"/>
                  </w:pPr>
                  <w:r>
                    <w:t>South Australian River Murray Sustainability Program</w:t>
                  </w:r>
                </w:p>
              </w:tc>
              <w:tc>
                <w:tcPr>
                  <w:tcW w:w="583" w:type="pct"/>
                </w:tcPr>
                <w:p w14:paraId="7954B1C0" w14:textId="77777777" w:rsidR="00F05DC7" w:rsidRPr="00C75B84" w:rsidRDefault="00F05DC7" w:rsidP="00A3786D">
                  <w:pPr>
                    <w:pStyle w:val="TableBodyText"/>
                  </w:pPr>
                  <w:r>
                    <w:t>SA</w:t>
                  </w:r>
                </w:p>
              </w:tc>
              <w:tc>
                <w:tcPr>
                  <w:tcW w:w="683" w:type="pct"/>
                  <w:shd w:val="clear" w:color="auto" w:fill="auto"/>
                </w:tcPr>
                <w:p w14:paraId="7954B1C1" w14:textId="77777777" w:rsidR="00F05DC7" w:rsidRPr="00C75B84" w:rsidRDefault="00F05DC7" w:rsidP="00A3786D">
                  <w:pPr>
                    <w:pStyle w:val="TableBodyText"/>
                  </w:pPr>
                  <w:r>
                    <w:t>2014</w:t>
                  </w:r>
                </w:p>
              </w:tc>
              <w:tc>
                <w:tcPr>
                  <w:tcW w:w="801" w:type="pct"/>
                  <w:shd w:val="clear" w:color="auto" w:fill="auto"/>
                </w:tcPr>
                <w:p w14:paraId="7954B1C2" w14:textId="77777777" w:rsidR="00F05DC7" w:rsidRPr="00C75B84" w:rsidRDefault="00F05DC7" w:rsidP="00A3786D">
                  <w:pPr>
                    <w:pStyle w:val="TableBodyText"/>
                  </w:pPr>
                  <w:r>
                    <w:t>285</w:t>
                  </w:r>
                </w:p>
              </w:tc>
              <w:tc>
                <w:tcPr>
                  <w:tcW w:w="503" w:type="pct"/>
                </w:tcPr>
                <w:p w14:paraId="7954B1C3" w14:textId="77777777" w:rsidR="00F05DC7" w:rsidRPr="00C75B84" w:rsidRDefault="00F05DC7" w:rsidP="00A3786D">
                  <w:pPr>
                    <w:pStyle w:val="TableBodyText"/>
                    <w:ind w:right="28"/>
                  </w:pPr>
                  <w:r>
                    <w:t>Excluded</w:t>
                  </w:r>
                </w:p>
              </w:tc>
            </w:tr>
            <w:tr w:rsidR="00F05DC7" w14:paraId="7954B1CA" w14:textId="77777777" w:rsidTr="00A3786D">
              <w:tc>
                <w:tcPr>
                  <w:tcW w:w="2429" w:type="pct"/>
                  <w:shd w:val="pct5" w:color="auto" w:fill="auto"/>
                </w:tcPr>
                <w:p w14:paraId="7954B1C5" w14:textId="77777777" w:rsidR="00F05DC7" w:rsidRPr="0047791E" w:rsidRDefault="00F05DC7" w:rsidP="00A3786D">
                  <w:pPr>
                    <w:pStyle w:val="TableBodyText"/>
                    <w:jc w:val="left"/>
                  </w:pPr>
                  <w:r>
                    <w:t>Commonwealth Government forgiveness of South Australian Government public housing debts</w:t>
                  </w:r>
                </w:p>
              </w:tc>
              <w:tc>
                <w:tcPr>
                  <w:tcW w:w="583" w:type="pct"/>
                  <w:shd w:val="pct5" w:color="auto" w:fill="auto"/>
                </w:tcPr>
                <w:p w14:paraId="7954B1C6" w14:textId="77777777" w:rsidR="00F05DC7" w:rsidRDefault="00F05DC7" w:rsidP="00A3786D">
                  <w:pPr>
                    <w:pStyle w:val="TableBodyText"/>
                  </w:pPr>
                  <w:r>
                    <w:t>SA</w:t>
                  </w:r>
                </w:p>
              </w:tc>
              <w:tc>
                <w:tcPr>
                  <w:tcW w:w="683" w:type="pct"/>
                  <w:shd w:val="pct5" w:color="auto" w:fill="auto"/>
                </w:tcPr>
                <w:p w14:paraId="7954B1C7" w14:textId="77777777" w:rsidR="00F05DC7" w:rsidRDefault="00F05DC7" w:rsidP="00A3786D">
                  <w:pPr>
                    <w:pStyle w:val="TableBodyText"/>
                  </w:pPr>
                  <w:r>
                    <w:t>2014</w:t>
                  </w:r>
                </w:p>
              </w:tc>
              <w:tc>
                <w:tcPr>
                  <w:tcW w:w="801" w:type="pct"/>
                  <w:shd w:val="pct5" w:color="auto" w:fill="auto"/>
                </w:tcPr>
                <w:p w14:paraId="7954B1C8" w14:textId="77777777" w:rsidR="00F05DC7" w:rsidRDefault="00F05DC7" w:rsidP="00A3786D">
                  <w:pPr>
                    <w:pStyle w:val="TableBodyText"/>
                  </w:pPr>
                  <w:r>
                    <w:t>320</w:t>
                  </w:r>
                </w:p>
              </w:tc>
              <w:tc>
                <w:tcPr>
                  <w:tcW w:w="503" w:type="pct"/>
                  <w:shd w:val="pct5" w:color="auto" w:fill="auto"/>
                </w:tcPr>
                <w:p w14:paraId="7954B1C9" w14:textId="77777777" w:rsidR="00F05DC7" w:rsidRDefault="00F05DC7" w:rsidP="00A3786D">
                  <w:pPr>
                    <w:pStyle w:val="TableBodyText"/>
                    <w:ind w:right="28"/>
                  </w:pPr>
                  <w:r>
                    <w:t>Excluded</w:t>
                  </w:r>
                </w:p>
              </w:tc>
            </w:tr>
            <w:tr w:rsidR="00F05DC7" w14:paraId="7954B1D0" w14:textId="77777777" w:rsidTr="00A3786D">
              <w:tc>
                <w:tcPr>
                  <w:tcW w:w="2429" w:type="pct"/>
                  <w:shd w:val="clear" w:color="auto" w:fill="auto"/>
                </w:tcPr>
                <w:p w14:paraId="7954B1CB" w14:textId="77777777" w:rsidR="00F05DC7" w:rsidRDefault="00F05DC7" w:rsidP="00A3786D">
                  <w:pPr>
                    <w:pStyle w:val="TableBodyText"/>
                    <w:jc w:val="left"/>
                  </w:pPr>
                  <w:r>
                    <w:t>Commonwealth payments for major roads</w:t>
                  </w:r>
                  <w:r>
                    <w:rPr>
                      <w:rStyle w:val="NoteLabel"/>
                    </w:rPr>
                    <w:t>b</w:t>
                  </w:r>
                  <w:r>
                    <w:t xml:space="preserve"> (including WestConnex, East–West Link, Western Sydney Infrastructure Plan, Perth Freight Link)</w:t>
                  </w:r>
                  <w:r>
                    <w:rPr>
                      <w:rStyle w:val="NoteLabel"/>
                    </w:rPr>
                    <w:t xml:space="preserve"> </w:t>
                  </w:r>
                </w:p>
              </w:tc>
              <w:tc>
                <w:tcPr>
                  <w:tcW w:w="583" w:type="pct"/>
                </w:tcPr>
                <w:p w14:paraId="7954B1CC" w14:textId="77777777" w:rsidR="00F05DC7" w:rsidRDefault="00F05DC7" w:rsidP="00A3786D">
                  <w:pPr>
                    <w:pStyle w:val="TableBodyText"/>
                  </w:pPr>
                  <w:r>
                    <w:t>All except Tas and ACT</w:t>
                  </w:r>
                </w:p>
              </w:tc>
              <w:tc>
                <w:tcPr>
                  <w:tcW w:w="683" w:type="pct"/>
                  <w:shd w:val="clear" w:color="auto" w:fill="auto"/>
                </w:tcPr>
                <w:p w14:paraId="7954B1CD" w14:textId="77777777" w:rsidR="00F05DC7" w:rsidRDefault="00F05DC7" w:rsidP="00A3786D">
                  <w:pPr>
                    <w:pStyle w:val="TableBodyText"/>
                  </w:pPr>
                  <w:r>
                    <w:t>2015</w:t>
                  </w:r>
                </w:p>
              </w:tc>
              <w:tc>
                <w:tcPr>
                  <w:tcW w:w="801" w:type="pct"/>
                  <w:shd w:val="clear" w:color="auto" w:fill="auto"/>
                </w:tcPr>
                <w:p w14:paraId="7954B1CE" w14:textId="77777777" w:rsidR="00F05DC7" w:rsidRDefault="00F05DC7" w:rsidP="00A3786D">
                  <w:pPr>
                    <w:pStyle w:val="TableBodyText"/>
                  </w:pPr>
                  <w:r>
                    <w:t>9 400</w:t>
                  </w:r>
                </w:p>
              </w:tc>
              <w:tc>
                <w:tcPr>
                  <w:tcW w:w="503" w:type="pct"/>
                </w:tcPr>
                <w:p w14:paraId="7954B1CF" w14:textId="77777777" w:rsidR="00F05DC7" w:rsidRDefault="00F05DC7" w:rsidP="00A3786D">
                  <w:pPr>
                    <w:pStyle w:val="TableBodyText"/>
                    <w:ind w:right="28"/>
                  </w:pPr>
                  <w:r>
                    <w:t>50 per cent discount</w:t>
                  </w:r>
                </w:p>
              </w:tc>
            </w:tr>
            <w:tr w:rsidR="00F05DC7" w14:paraId="7954B1D6" w14:textId="77777777" w:rsidTr="00A3786D">
              <w:tc>
                <w:tcPr>
                  <w:tcW w:w="2429" w:type="pct"/>
                  <w:shd w:val="pct5" w:color="auto" w:fill="auto"/>
                </w:tcPr>
                <w:p w14:paraId="7954B1D1" w14:textId="77777777" w:rsidR="00F05DC7" w:rsidRPr="0004589A" w:rsidRDefault="00F05DC7" w:rsidP="00A3786D">
                  <w:pPr>
                    <w:pStyle w:val="TableBodyText"/>
                    <w:spacing w:line="180" w:lineRule="atLeast"/>
                    <w:jc w:val="left"/>
                    <w:rPr>
                      <w:rStyle w:val="NoteLabel"/>
                    </w:rPr>
                  </w:pPr>
                  <w:r>
                    <w:t>Infrastructure Growth Package: Asset Recycling Fund (all States eligible, but not all have yet recycled assets)</w:t>
                  </w:r>
                </w:p>
              </w:tc>
              <w:tc>
                <w:tcPr>
                  <w:tcW w:w="583" w:type="pct"/>
                  <w:shd w:val="pct5" w:color="auto" w:fill="auto"/>
                </w:tcPr>
                <w:p w14:paraId="7954B1D2" w14:textId="77777777" w:rsidR="00F05DC7" w:rsidRDefault="00F05DC7" w:rsidP="00A3786D">
                  <w:pPr>
                    <w:pStyle w:val="TableBodyText"/>
                  </w:pPr>
                  <w:r>
                    <w:t>ACT, NSW, NT, SA</w:t>
                  </w:r>
                </w:p>
              </w:tc>
              <w:tc>
                <w:tcPr>
                  <w:tcW w:w="683" w:type="pct"/>
                  <w:shd w:val="pct5" w:color="auto" w:fill="auto"/>
                </w:tcPr>
                <w:p w14:paraId="7954B1D3" w14:textId="77777777" w:rsidR="00F05DC7" w:rsidRDefault="00F05DC7" w:rsidP="00A3786D">
                  <w:pPr>
                    <w:pStyle w:val="TableBodyText"/>
                  </w:pPr>
                  <w:r w:rsidRPr="00CB2726">
                    <w:t>2015</w:t>
                  </w:r>
                </w:p>
              </w:tc>
              <w:tc>
                <w:tcPr>
                  <w:tcW w:w="801" w:type="pct"/>
                  <w:shd w:val="pct5" w:color="auto" w:fill="auto"/>
                </w:tcPr>
                <w:p w14:paraId="7954B1D4" w14:textId="77777777" w:rsidR="00F05DC7" w:rsidRDefault="00F05DC7" w:rsidP="00A3786D">
                  <w:pPr>
                    <w:pStyle w:val="TableBodyText"/>
                  </w:pPr>
                  <w:r>
                    <w:t>4 132</w:t>
                  </w:r>
                </w:p>
              </w:tc>
              <w:tc>
                <w:tcPr>
                  <w:tcW w:w="503" w:type="pct"/>
                  <w:shd w:val="pct5" w:color="auto" w:fill="auto"/>
                </w:tcPr>
                <w:p w14:paraId="7954B1D5" w14:textId="77777777" w:rsidR="00F05DC7" w:rsidRDefault="00F05DC7" w:rsidP="00A3786D">
                  <w:pPr>
                    <w:pStyle w:val="TableBodyText"/>
                    <w:ind w:right="28"/>
                  </w:pPr>
                  <w:r w:rsidRPr="00CB2726">
                    <w:t>Excluded</w:t>
                  </w:r>
                </w:p>
              </w:tc>
            </w:tr>
            <w:tr w:rsidR="00F05DC7" w14:paraId="7954B1DC" w14:textId="77777777" w:rsidTr="00A3786D">
              <w:tc>
                <w:tcPr>
                  <w:tcW w:w="2429" w:type="pct"/>
                  <w:shd w:val="clear" w:color="auto" w:fill="auto"/>
                </w:tcPr>
                <w:p w14:paraId="7954B1D7" w14:textId="77777777" w:rsidR="00F05DC7" w:rsidRDefault="00F05DC7" w:rsidP="00A3786D">
                  <w:pPr>
                    <w:pStyle w:val="TableBodyText"/>
                    <w:jc w:val="left"/>
                  </w:pPr>
                  <w:r>
                    <w:t>Northern Territory Remote Aboriginal Investment</w:t>
                  </w:r>
                </w:p>
              </w:tc>
              <w:tc>
                <w:tcPr>
                  <w:tcW w:w="583" w:type="pct"/>
                </w:tcPr>
                <w:p w14:paraId="7954B1D8" w14:textId="77777777" w:rsidR="00F05DC7" w:rsidRDefault="00F05DC7" w:rsidP="00A3786D">
                  <w:pPr>
                    <w:pStyle w:val="TableBodyText"/>
                  </w:pPr>
                  <w:r w:rsidRPr="0075075A">
                    <w:t>NT</w:t>
                  </w:r>
                </w:p>
              </w:tc>
              <w:tc>
                <w:tcPr>
                  <w:tcW w:w="683" w:type="pct"/>
                  <w:shd w:val="clear" w:color="auto" w:fill="auto"/>
                </w:tcPr>
                <w:p w14:paraId="7954B1D9" w14:textId="77777777" w:rsidR="00F05DC7" w:rsidRDefault="00F05DC7" w:rsidP="00A3786D">
                  <w:pPr>
                    <w:pStyle w:val="TableBodyText"/>
                  </w:pPr>
                  <w:r w:rsidRPr="0075075A">
                    <w:t>201</w:t>
                  </w:r>
                  <w:r>
                    <w:t>5</w:t>
                  </w:r>
                </w:p>
              </w:tc>
              <w:tc>
                <w:tcPr>
                  <w:tcW w:w="801" w:type="pct"/>
                  <w:shd w:val="clear" w:color="auto" w:fill="auto"/>
                </w:tcPr>
                <w:p w14:paraId="7954B1DA" w14:textId="77777777" w:rsidR="00F05DC7" w:rsidRDefault="00F05DC7" w:rsidP="00A3786D">
                  <w:pPr>
                    <w:pStyle w:val="TableBodyText"/>
                  </w:pPr>
                  <w:r>
                    <w:t>949</w:t>
                  </w:r>
                </w:p>
              </w:tc>
              <w:tc>
                <w:tcPr>
                  <w:tcW w:w="503" w:type="pct"/>
                </w:tcPr>
                <w:p w14:paraId="7954B1DB" w14:textId="77777777" w:rsidR="00F05DC7" w:rsidRDefault="00F05DC7" w:rsidP="00A3786D">
                  <w:pPr>
                    <w:pStyle w:val="TableBodyText"/>
                    <w:ind w:right="28"/>
                  </w:pPr>
                  <w:r w:rsidRPr="0075075A">
                    <w:t>Excluded</w:t>
                  </w:r>
                </w:p>
              </w:tc>
            </w:tr>
            <w:tr w:rsidR="00F05DC7" w14:paraId="7954B1E2" w14:textId="77777777" w:rsidTr="004F6C34">
              <w:tc>
                <w:tcPr>
                  <w:tcW w:w="2429" w:type="pct"/>
                  <w:shd w:val="pct5" w:color="auto" w:fill="auto"/>
                </w:tcPr>
                <w:p w14:paraId="7954B1DD" w14:textId="77777777" w:rsidR="00F05DC7" w:rsidRDefault="00F05DC7" w:rsidP="00A3786D">
                  <w:pPr>
                    <w:pStyle w:val="TableBodyText"/>
                    <w:jc w:val="left"/>
                  </w:pPr>
                  <w:r>
                    <w:t>Royal Victorian Eye and Ear Hospital Redevelopment</w:t>
                  </w:r>
                </w:p>
              </w:tc>
              <w:tc>
                <w:tcPr>
                  <w:tcW w:w="583" w:type="pct"/>
                  <w:shd w:val="pct5" w:color="auto" w:fill="auto"/>
                </w:tcPr>
                <w:p w14:paraId="7954B1DE" w14:textId="77777777" w:rsidR="00F05DC7" w:rsidRDefault="00F05DC7" w:rsidP="00A3786D">
                  <w:pPr>
                    <w:pStyle w:val="TableBodyText"/>
                  </w:pPr>
                  <w:r>
                    <w:t>Vic</w:t>
                  </w:r>
                </w:p>
              </w:tc>
              <w:tc>
                <w:tcPr>
                  <w:tcW w:w="683" w:type="pct"/>
                  <w:shd w:val="pct5" w:color="auto" w:fill="auto"/>
                </w:tcPr>
                <w:p w14:paraId="7954B1DF" w14:textId="77777777" w:rsidR="00F05DC7" w:rsidRDefault="00F05DC7" w:rsidP="00A3786D">
                  <w:pPr>
                    <w:pStyle w:val="TableBodyText"/>
                  </w:pPr>
                  <w:r>
                    <w:t>2016</w:t>
                  </w:r>
                </w:p>
              </w:tc>
              <w:tc>
                <w:tcPr>
                  <w:tcW w:w="801" w:type="pct"/>
                  <w:shd w:val="pct5" w:color="auto" w:fill="auto"/>
                </w:tcPr>
                <w:p w14:paraId="7954B1E0" w14:textId="77777777" w:rsidR="00F05DC7" w:rsidRDefault="00F05DC7" w:rsidP="00A3786D">
                  <w:pPr>
                    <w:pStyle w:val="TableBodyText"/>
                  </w:pPr>
                  <w:r>
                    <w:t>100</w:t>
                  </w:r>
                </w:p>
              </w:tc>
              <w:tc>
                <w:tcPr>
                  <w:tcW w:w="503" w:type="pct"/>
                  <w:shd w:val="pct5" w:color="auto" w:fill="auto"/>
                </w:tcPr>
                <w:p w14:paraId="7954B1E1" w14:textId="77777777" w:rsidR="00F05DC7" w:rsidRDefault="00F05DC7" w:rsidP="00A3786D">
                  <w:pPr>
                    <w:pStyle w:val="TableBodyText"/>
                    <w:ind w:right="28"/>
                  </w:pPr>
                  <w:r>
                    <w:t>Excluded</w:t>
                  </w:r>
                </w:p>
              </w:tc>
            </w:tr>
            <w:tr w:rsidR="00F05DC7" w14:paraId="7954B1E8" w14:textId="77777777" w:rsidTr="004F6C34">
              <w:tc>
                <w:tcPr>
                  <w:tcW w:w="2429" w:type="pct"/>
                  <w:tcBorders>
                    <w:bottom w:val="single" w:sz="4" w:space="0" w:color="BFBFBF"/>
                  </w:tcBorders>
                  <w:shd w:val="clear" w:color="auto" w:fill="auto"/>
                </w:tcPr>
                <w:p w14:paraId="7954B1E3" w14:textId="77777777" w:rsidR="00F05DC7" w:rsidRDefault="00F05DC7" w:rsidP="00A3786D">
                  <w:pPr>
                    <w:pStyle w:val="TableBodyText"/>
                    <w:spacing w:after="80"/>
                    <w:jc w:val="left"/>
                  </w:pPr>
                  <w:r>
                    <w:t>Infrastructure Projects in Western Australia</w:t>
                  </w:r>
                </w:p>
              </w:tc>
              <w:tc>
                <w:tcPr>
                  <w:tcW w:w="583" w:type="pct"/>
                  <w:tcBorders>
                    <w:bottom w:val="single" w:sz="4" w:space="0" w:color="BFBFBF"/>
                  </w:tcBorders>
                </w:tcPr>
                <w:p w14:paraId="7954B1E4" w14:textId="77777777" w:rsidR="00F05DC7" w:rsidRDefault="00F05DC7" w:rsidP="00A3786D">
                  <w:pPr>
                    <w:pStyle w:val="TableBodyText"/>
                    <w:spacing w:after="80"/>
                  </w:pPr>
                  <w:r>
                    <w:t>WA</w:t>
                  </w:r>
                </w:p>
              </w:tc>
              <w:tc>
                <w:tcPr>
                  <w:tcW w:w="683" w:type="pct"/>
                  <w:tcBorders>
                    <w:bottom w:val="single" w:sz="4" w:space="0" w:color="BFBFBF"/>
                  </w:tcBorders>
                  <w:shd w:val="clear" w:color="auto" w:fill="auto"/>
                </w:tcPr>
                <w:p w14:paraId="7954B1E5" w14:textId="77777777" w:rsidR="00F05DC7" w:rsidRDefault="00F05DC7" w:rsidP="00A3786D">
                  <w:pPr>
                    <w:pStyle w:val="TableBodyText"/>
                    <w:spacing w:after="80"/>
                  </w:pPr>
                  <w:r>
                    <w:t>2016</w:t>
                  </w:r>
                </w:p>
              </w:tc>
              <w:tc>
                <w:tcPr>
                  <w:tcW w:w="801" w:type="pct"/>
                  <w:tcBorders>
                    <w:bottom w:val="single" w:sz="4" w:space="0" w:color="BFBFBF"/>
                  </w:tcBorders>
                  <w:shd w:val="clear" w:color="auto" w:fill="auto"/>
                </w:tcPr>
                <w:p w14:paraId="7954B1E6" w14:textId="77777777" w:rsidR="00F05DC7" w:rsidRDefault="00F05DC7" w:rsidP="00A3786D">
                  <w:pPr>
                    <w:pStyle w:val="TableBodyText"/>
                    <w:spacing w:after="80"/>
                  </w:pPr>
                  <w:r>
                    <w:t>1 215</w:t>
                  </w:r>
                </w:p>
              </w:tc>
              <w:tc>
                <w:tcPr>
                  <w:tcW w:w="503" w:type="pct"/>
                  <w:tcBorders>
                    <w:bottom w:val="single" w:sz="4" w:space="0" w:color="BFBFBF"/>
                  </w:tcBorders>
                </w:tcPr>
                <w:p w14:paraId="7954B1E7" w14:textId="77777777" w:rsidR="00F05DC7" w:rsidRDefault="00F05DC7" w:rsidP="00A3786D">
                  <w:pPr>
                    <w:pStyle w:val="TableBodyText"/>
                    <w:spacing w:after="80"/>
                    <w:ind w:right="28"/>
                  </w:pPr>
                  <w:r>
                    <w:t>Excluded</w:t>
                  </w:r>
                </w:p>
              </w:tc>
            </w:tr>
          </w:tbl>
          <w:p w14:paraId="7954B1E9" w14:textId="77777777" w:rsidR="00F05DC7" w:rsidRDefault="00F05DC7" w:rsidP="00A3786D">
            <w:pPr>
              <w:pStyle w:val="Box"/>
            </w:pPr>
          </w:p>
        </w:tc>
      </w:tr>
      <w:tr w:rsidR="00F05DC7" w14:paraId="7954B1ED" w14:textId="77777777" w:rsidTr="00A3786D">
        <w:tc>
          <w:tcPr>
            <w:tcW w:w="5000" w:type="pct"/>
            <w:tcBorders>
              <w:top w:val="nil"/>
              <w:left w:val="nil"/>
              <w:bottom w:val="nil"/>
              <w:right w:val="nil"/>
            </w:tcBorders>
            <w:shd w:val="clear" w:color="auto" w:fill="auto"/>
          </w:tcPr>
          <w:p w14:paraId="7954B1EB" w14:textId="77777777" w:rsidR="00F05DC7" w:rsidRDefault="00F05DC7" w:rsidP="00A3786D">
            <w:pPr>
              <w:pStyle w:val="Note"/>
              <w:spacing w:line="200" w:lineRule="exact"/>
            </w:pPr>
            <w:r w:rsidRPr="008E77FE">
              <w:rPr>
                <w:rStyle w:val="NoteLabel"/>
              </w:rPr>
              <w:t>a</w:t>
            </w:r>
            <w:r>
              <w:t xml:space="preserve"> The value listed is the total amount of funding (as stipulated in the funding agreement or Commonwealth Budgets) to be distributed over the life of the agreement; for some payments this extends to the 2020</w:t>
            </w:r>
            <w:r>
              <w:noBreakHyphen/>
              <w:t xml:space="preserve">21 financial year. This is the case because the terms of reference usually stipulate that, once a payment has been quarantined, the CGC should continue to treat it in the same manner until the agreement expires. </w:t>
            </w:r>
          </w:p>
          <w:p w14:paraId="7954B1EC" w14:textId="77777777" w:rsidR="00F05DC7" w:rsidRDefault="00F05DC7" w:rsidP="00A3786D">
            <w:pPr>
              <w:pStyle w:val="Note"/>
              <w:spacing w:line="200" w:lineRule="exact"/>
              <w:rPr>
                <w:i/>
              </w:rPr>
            </w:pPr>
            <w:r>
              <w:rPr>
                <w:rStyle w:val="NoteLabel"/>
              </w:rPr>
              <w:t>b</w:t>
            </w:r>
            <w:r>
              <w:t xml:space="preserve"> Some funding has been redirected to other State projects (following the cancellation of infrastructure projects such as the East–West Link and the Perth Freight Link) but has, thus far, remained discounted.</w:t>
            </w:r>
          </w:p>
        </w:tc>
      </w:tr>
      <w:tr w:rsidR="00F05DC7" w14:paraId="7954B1EF" w14:textId="77777777" w:rsidTr="00A3786D">
        <w:tc>
          <w:tcPr>
            <w:tcW w:w="5000" w:type="pct"/>
            <w:tcBorders>
              <w:top w:val="nil"/>
              <w:left w:val="nil"/>
              <w:bottom w:val="nil"/>
              <w:right w:val="nil"/>
            </w:tcBorders>
            <w:shd w:val="clear" w:color="auto" w:fill="auto"/>
          </w:tcPr>
          <w:p w14:paraId="7954B1EE" w14:textId="6F5698CF" w:rsidR="00F05DC7" w:rsidRDefault="00F05DC7" w:rsidP="009D6331">
            <w:pPr>
              <w:pStyle w:val="BoxSource"/>
              <w:spacing w:before="80"/>
            </w:pPr>
            <w:r>
              <w:rPr>
                <w:i/>
              </w:rPr>
              <w:t>Sources</w:t>
            </w:r>
            <w:r w:rsidRPr="00167F06">
              <w:t>:</w:t>
            </w:r>
            <w:r>
              <w:t xml:space="preserve"> CGC </w:t>
            </w:r>
            <w:r w:rsidR="009D6331" w:rsidRPr="009D6331">
              <w:rPr>
                <w:rFonts w:cs="Arial"/>
                <w:szCs w:val="24"/>
              </w:rPr>
              <w:t>(2017k, p. 2)</w:t>
            </w:r>
            <w:r>
              <w:t xml:space="preserve">; COAG </w:t>
            </w:r>
            <w:r w:rsidRPr="007060A6">
              <w:rPr>
                <w:rFonts w:cs="Arial"/>
              </w:rPr>
              <w:t>(2012b, 2014)</w:t>
            </w:r>
            <w:r>
              <w:t xml:space="preserve">; Commonwealth of Australia </w:t>
            </w:r>
            <w:r w:rsidR="009D6331" w:rsidRPr="009D6331">
              <w:rPr>
                <w:rFonts w:cs="Arial"/>
              </w:rPr>
              <w:t>(2012, 2013, 2014a, 2014b, 2015a, 2015b, 2016a, 2016b, 2017b, 2017f)</w:t>
            </w:r>
            <w:r>
              <w:t>.</w:t>
            </w:r>
            <w:r w:rsidRPr="00167F06">
              <w:t xml:space="preserve"> </w:t>
            </w:r>
          </w:p>
        </w:tc>
      </w:tr>
      <w:tr w:rsidR="00F05DC7" w14:paraId="7954B1F1" w14:textId="77777777" w:rsidTr="00A3786D">
        <w:tc>
          <w:tcPr>
            <w:tcW w:w="5000" w:type="pct"/>
            <w:tcBorders>
              <w:top w:val="nil"/>
              <w:left w:val="nil"/>
              <w:bottom w:val="single" w:sz="6" w:space="0" w:color="78A22F"/>
              <w:right w:val="nil"/>
            </w:tcBorders>
            <w:shd w:val="clear" w:color="auto" w:fill="auto"/>
          </w:tcPr>
          <w:p w14:paraId="7954B1F0" w14:textId="77777777" w:rsidR="00F05DC7" w:rsidRDefault="00F05DC7" w:rsidP="00A3786D">
            <w:pPr>
              <w:pStyle w:val="Box"/>
              <w:spacing w:before="0" w:line="120" w:lineRule="exact"/>
            </w:pPr>
          </w:p>
        </w:tc>
      </w:tr>
      <w:tr w:rsidR="00F05DC7" w:rsidRPr="000863A5" w14:paraId="7954B1F3" w14:textId="77777777" w:rsidTr="00A3786D">
        <w:tc>
          <w:tcPr>
            <w:tcW w:w="5000" w:type="pct"/>
            <w:tcBorders>
              <w:top w:val="single" w:sz="6" w:space="0" w:color="78A22F"/>
              <w:left w:val="nil"/>
              <w:bottom w:val="nil"/>
              <w:right w:val="nil"/>
            </w:tcBorders>
          </w:tcPr>
          <w:p w14:paraId="7954B1F2" w14:textId="77777777" w:rsidR="00F05DC7" w:rsidRPr="00626D32" w:rsidRDefault="00F05DC7" w:rsidP="00A3786D">
            <w:pPr>
              <w:pStyle w:val="BoxSpaceBelow"/>
            </w:pPr>
          </w:p>
        </w:tc>
      </w:tr>
    </w:tbl>
    <w:p w14:paraId="7954B1F4" w14:textId="77777777" w:rsidR="00F05DC7" w:rsidRDefault="00F05DC7" w:rsidP="00A3786D">
      <w:pPr>
        <w:pStyle w:val="Heading4"/>
      </w:pPr>
      <w:r>
        <w:lastRenderedPageBreak/>
        <w:t>Step 3: The CGC’s discretion</w:t>
      </w:r>
    </w:p>
    <w:p w14:paraId="7954B1F5" w14:textId="77777777" w:rsidR="00F05DC7" w:rsidRPr="00A479D2" w:rsidRDefault="00F05DC7" w:rsidP="00A3786D">
      <w:pPr>
        <w:pStyle w:val="BodyText"/>
      </w:pPr>
      <w:r w:rsidRPr="00A479D2">
        <w:t>Where the Commonwealth has not specified the treatment of a particular payment in the terms of reference, or has given the CGC a discretion as to its treatment, the CGC may include, exclude or discount that payment according to the principles of HFE.</w:t>
      </w:r>
    </w:p>
    <w:p w14:paraId="7954B1F6" w14:textId="6C8E42FC" w:rsidR="00F05DC7" w:rsidRDefault="00F05DC7" w:rsidP="00A3786D">
      <w:pPr>
        <w:pStyle w:val="BodyText"/>
      </w:pPr>
      <w:r w:rsidRPr="00917B52">
        <w:t xml:space="preserve">In the 2015 </w:t>
      </w:r>
      <w:r>
        <w:t xml:space="preserve">Methodology </w:t>
      </w:r>
      <w:r w:rsidRPr="00917B52">
        <w:t xml:space="preserve">Review, the CGC adopted a new single guideline </w:t>
      </w:r>
      <w:r>
        <w:t xml:space="preserve">for </w:t>
      </w:r>
      <w:r w:rsidRPr="00AE14E8">
        <w:rPr>
          <w:i/>
        </w:rPr>
        <w:t xml:space="preserve">including </w:t>
      </w:r>
      <w:r w:rsidRPr="00917B52">
        <w:t xml:space="preserve">payments </w:t>
      </w:r>
      <w:r>
        <w:t>where a</w:t>
      </w:r>
      <w:r w:rsidRPr="00917B52">
        <w:t xml:space="preserve"> case</w:t>
      </w:r>
      <w:r>
        <w:noBreakHyphen/>
      </w:r>
      <w:r w:rsidRPr="00917B52">
        <w:t>by</w:t>
      </w:r>
      <w:r>
        <w:noBreakHyphen/>
      </w:r>
      <w:r w:rsidRPr="00917B52">
        <w:t xml:space="preserve">case </w:t>
      </w:r>
      <w:r>
        <w:t>discretion exist</w:t>
      </w:r>
      <w:r w:rsidRPr="00917B52">
        <w:t>s: ‘payments which support State services, and for which expenditure needs are assessed, will impact the relativities</w:t>
      </w:r>
      <w:r>
        <w:t xml:space="preserve">’ </w:t>
      </w:r>
      <w:r w:rsidR="009D6331" w:rsidRPr="009D6331">
        <w:rPr>
          <w:szCs w:val="24"/>
        </w:rPr>
        <w:t>(CGC 2015f, p. 37)</w:t>
      </w:r>
      <w:r>
        <w:t>. This guideline continues to apply.</w:t>
      </w:r>
    </w:p>
    <w:p w14:paraId="7954B1F7" w14:textId="5646C35E" w:rsidR="00F05DC7" w:rsidRDefault="00F05DC7" w:rsidP="00A3786D">
      <w:pPr>
        <w:pStyle w:val="BodyText"/>
      </w:pPr>
      <w:r>
        <w:t>Where expenditure needs are assessed, but the CGC is not confident that the assessment is entirely policy</w:t>
      </w:r>
      <w:r>
        <w:noBreakHyphen/>
        <w:t>neutral (or of its accuracy), the value of a Commonwealth payment will often be discounted so that its impact on relativities is mitigated. For example, in the 2017 Relativity Update, the CGC applied a 50 per cent discount on payments directed at improving the national road network, stating that the assessment may not have captured all non</w:t>
      </w:r>
      <w:r>
        <w:noBreakHyphen/>
        <w:t xml:space="preserve">policy influences (that is, structural disadvantages or ‘disabilities’) on State expenditure needs </w:t>
      </w:r>
      <w:r w:rsidR="009D6331" w:rsidRPr="009D6331">
        <w:rPr>
          <w:szCs w:val="24"/>
        </w:rPr>
        <w:t>(CGC 2017k, p. 32)</w:t>
      </w:r>
      <w:r>
        <w:t>.</w:t>
      </w:r>
    </w:p>
    <w:p w14:paraId="7954B1F8" w14:textId="77777777" w:rsidR="00F05DC7" w:rsidRDefault="00F05DC7" w:rsidP="00A3786D">
      <w:pPr>
        <w:pStyle w:val="BodyText"/>
      </w:pPr>
      <w:r>
        <w:t>Figure B.2 shows the number of Commonwealth payment agreements (by sector) that were included, excluded or discounted for HFE purposes in the 2017 Relativity Update. As the scale of funding varies enormously between agreements, this is not necessarily representative of the total amount of revenue included, excluded or discounted.</w:t>
      </w:r>
    </w:p>
    <w:p w14:paraId="7954B1F9" w14:textId="77777777" w:rsidR="00F05DC7" w:rsidRDefault="00F05DC7" w:rsidP="00A3786D">
      <w:pPr>
        <w:pStyle w:val="Heading5"/>
      </w:pPr>
      <w:r>
        <w:t>The effect of HFE on Commonwealth payment outcomes</w:t>
      </w:r>
    </w:p>
    <w:p w14:paraId="7954B1FA" w14:textId="77777777" w:rsidR="00F05DC7" w:rsidRDefault="00F05DC7" w:rsidP="00A3786D">
      <w:pPr>
        <w:pStyle w:val="BodyText"/>
      </w:pPr>
      <w:r>
        <w:t>Needs</w:t>
      </w:r>
      <w:r>
        <w:noBreakHyphen/>
        <w:t xml:space="preserve">based Commonwealth payments have something of a symbiotic relationship with HFE — at least where the assessment of need for a particular payment is similar to the CGC’s assessment — given that both arrangements target funding </w:t>
      </w:r>
      <w:r w:rsidRPr="00B14FF0">
        <w:t>away</w:t>
      </w:r>
      <w:r>
        <w:t xml:space="preserve"> from equal per capita (EPC) distributions. The CGC highlighted this feature in the 2015 Methodology Review:</w:t>
      </w:r>
    </w:p>
    <w:p w14:paraId="7954B1FB" w14:textId="1B1FBEB3" w:rsidR="00F05DC7" w:rsidRPr="001B2BCE" w:rsidRDefault="00F05DC7" w:rsidP="00A3786D">
      <w:pPr>
        <w:pStyle w:val="Quote"/>
      </w:pPr>
      <w:r w:rsidRPr="00C24E2F">
        <w:t>The closer Commonwealth payments in total are to an EPC distribution, the more work the GST has to do in meeting State needs. A larger proportion of the GST will be required for equalisation purposes. If the payments are distributed in a manner consistent with the Commission’s assessment of needs, this will reduce the extent to which GST is redistributed. State needs have already been met by the Commonwealth payments.</w:t>
      </w:r>
      <w:r>
        <w:t xml:space="preserve"> </w:t>
      </w:r>
      <w:r w:rsidR="009D6331" w:rsidRPr="009D6331">
        <w:rPr>
          <w:szCs w:val="24"/>
        </w:rPr>
        <w:t>(CGC 2015f, p. 47)</w:t>
      </w:r>
    </w:p>
    <w:p w14:paraId="7954B1FC" w14:textId="77777777" w:rsidR="00F05DC7" w:rsidRDefault="00F05DC7" w:rsidP="00A3786D">
      <w:pPr>
        <w:pStyle w:val="BodyText"/>
      </w:pPr>
      <w:r>
        <w:t>For example, both education and health funding have moved from primarily EPC arrangements to more needs</w:t>
      </w:r>
      <w:r>
        <w:noBreakHyphen/>
        <w:t>based (or activity</w:t>
      </w:r>
      <w:r>
        <w:noBreakHyphen/>
        <w:t>based) arrangements, as detailed in section B.1. This would partly reduce the difference between a State’s expenditure needs and available revenue, thus reducing the amount of GST required for equalisation purposes, all else equal (though, given that different bodies assess those needs, it is not likely to compensate for the entire gap). As such, many — but not all — components of both funding streams are treated by inclusion:</w:t>
      </w:r>
    </w:p>
    <w:p w14:paraId="7954B1FD" w14:textId="19CAF728" w:rsidR="00F05DC7" w:rsidRDefault="00F05DC7" w:rsidP="00A3786D">
      <w:pPr>
        <w:pStyle w:val="Quote"/>
      </w:pPr>
      <w:r w:rsidRPr="00B8131A">
        <w:t xml:space="preserve">The </w:t>
      </w:r>
      <w:r>
        <w:t>[</w:t>
      </w:r>
      <w:r w:rsidRPr="00B8131A">
        <w:t>N</w:t>
      </w:r>
      <w:r>
        <w:t>ational Health Reform]</w:t>
      </w:r>
      <w:r w:rsidRPr="00B8131A">
        <w:t xml:space="preserve"> funding directly impacts on State fiscal capacities as it assists to fund health services. The expenses funded by these payments are included in the category </w:t>
      </w:r>
      <w:r w:rsidRPr="00B8131A">
        <w:lastRenderedPageBreak/>
        <w:t xml:space="preserve">expenses. </w:t>
      </w:r>
      <w:r>
        <w:t xml:space="preserve">… </w:t>
      </w:r>
      <w:r w:rsidRPr="00B8131A">
        <w:t xml:space="preserve">The NPPs that assist States </w:t>
      </w:r>
      <w:r>
        <w:t xml:space="preserve">[to] </w:t>
      </w:r>
      <w:r w:rsidRPr="00B8131A">
        <w:t xml:space="preserve">fulfil </w:t>
      </w:r>
      <w:r w:rsidRPr="00A15E38">
        <w:rPr>
          <w:i/>
        </w:rPr>
        <w:t>their</w:t>
      </w:r>
      <w:r w:rsidRPr="00B8131A">
        <w:t xml:space="preserve"> responsibility in delivering health services are treated in the same manner as the </w:t>
      </w:r>
      <w:r>
        <w:t>[</w:t>
      </w:r>
      <w:r w:rsidRPr="00B8131A">
        <w:t>N</w:t>
      </w:r>
      <w:r>
        <w:t>ational Health Reform]</w:t>
      </w:r>
      <w:r w:rsidRPr="00B8131A">
        <w:t xml:space="preserve"> funding. Payments for purposes </w:t>
      </w:r>
      <w:r w:rsidRPr="00A15E38">
        <w:rPr>
          <w:i/>
        </w:rPr>
        <w:t>outside</w:t>
      </w:r>
      <w:r w:rsidRPr="00B8131A">
        <w:t xml:space="preserve"> State responsibilities, such as to the Royal Darwin Hospital for the operation of a national critical care and trauma response centre, have no impact on State fiscal capacities and the payments are removed from category expenses. </w:t>
      </w:r>
      <w:r>
        <w:t xml:space="preserve">[emphasis added] </w:t>
      </w:r>
      <w:r w:rsidR="009D6331" w:rsidRPr="009D6331">
        <w:rPr>
          <w:szCs w:val="24"/>
        </w:rPr>
        <w:t>(CGC 2015f, p. 175)</w:t>
      </w:r>
    </w:p>
    <w:p w14:paraId="7954B1FE"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B201" w14:textId="77777777" w:rsidTr="00A3786D">
        <w:trPr>
          <w:tblHeader/>
        </w:trPr>
        <w:tc>
          <w:tcPr>
            <w:tcW w:w="5000" w:type="pct"/>
            <w:tcBorders>
              <w:top w:val="single" w:sz="6" w:space="0" w:color="78A22F"/>
              <w:left w:val="nil"/>
              <w:bottom w:val="nil"/>
              <w:right w:val="nil"/>
            </w:tcBorders>
            <w:shd w:val="clear" w:color="auto" w:fill="auto"/>
          </w:tcPr>
          <w:p w14:paraId="7954B1FF" w14:textId="3C34E15D" w:rsidR="00F05DC7" w:rsidRPr="00EA6551" w:rsidRDefault="00F05DC7" w:rsidP="00A3786D">
            <w:pPr>
              <w:pStyle w:val="FigureTitle"/>
              <w:rPr>
                <w:rStyle w:val="NoteLabel"/>
              </w:rPr>
            </w:pPr>
            <w:r w:rsidRPr="00784A05">
              <w:rPr>
                <w:b w:val="0"/>
              </w:rPr>
              <w:t xml:space="preserve">Figure </w:t>
            </w:r>
            <w:r>
              <w:rPr>
                <w:b w:val="0"/>
              </w:rPr>
              <w:t>B.</w:t>
            </w:r>
            <w:r>
              <w:rPr>
                <w:b w:val="0"/>
                <w:noProof/>
              </w:rPr>
              <w:t>2</w:t>
            </w:r>
            <w:r>
              <w:tab/>
              <w:t>Treatment of Commonwealth payments, 2017</w:t>
            </w:r>
            <w:r>
              <w:noBreakHyphen/>
              <w:t>18</w:t>
            </w:r>
            <w:r w:rsidRPr="00DD25DE">
              <w:rPr>
                <w:rStyle w:val="NoteLabel"/>
                <w:rFonts w:ascii="Arial Bold" w:hAnsi="Arial Bold"/>
                <w:b/>
                <w:position w:val="10"/>
                <w14:props3d w14:extrusionH="0" w14:contourW="0" w14:prstMaterial="matte"/>
              </w:rPr>
              <w:t>a</w:t>
            </w:r>
          </w:p>
          <w:p w14:paraId="7954B200" w14:textId="77777777" w:rsidR="00F05DC7" w:rsidRPr="008C6B43" w:rsidRDefault="00F05DC7" w:rsidP="00A3786D">
            <w:pPr>
              <w:pStyle w:val="Subtitle"/>
            </w:pPr>
            <w:r w:rsidRPr="008C6B43">
              <w:rPr>
                <w:spacing w:val="-2"/>
              </w:rPr>
              <w:t xml:space="preserve">Per cent of </w:t>
            </w:r>
            <w:r w:rsidRPr="004B5C8C">
              <w:rPr>
                <w:spacing w:val="-2"/>
              </w:rPr>
              <w:t>payment arrangements</w:t>
            </w:r>
            <w:r w:rsidRPr="008C6B43">
              <w:rPr>
                <w:spacing w:val="-2"/>
              </w:rPr>
              <w:t xml:space="preserve"> included, excluded and discounted by sector</w:t>
            </w:r>
          </w:p>
        </w:tc>
      </w:tr>
      <w:tr w:rsidR="00F05DC7" w14:paraId="7954B205"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05DC7" w:rsidRPr="00B1465D" w14:paraId="7954B203" w14:textId="77777777" w:rsidTr="00A3786D">
              <w:trPr>
                <w:tblHeader/>
                <w:jc w:val="center"/>
              </w:trPr>
              <w:tc>
                <w:tcPr>
                  <w:tcW w:w="8504" w:type="dxa"/>
                  <w:tcBorders>
                    <w:top w:val="nil"/>
                    <w:bottom w:val="nil"/>
                  </w:tcBorders>
                  <w:tcMar>
                    <w:left w:w="28" w:type="dxa"/>
                    <w:right w:w="57" w:type="dxa"/>
                  </w:tcMar>
                </w:tcPr>
                <w:p w14:paraId="7954B202" w14:textId="77777777" w:rsidR="00F05DC7" w:rsidRPr="00B1465D" w:rsidRDefault="00F05DC7" w:rsidP="00A3786D">
                  <w:pPr>
                    <w:pStyle w:val="Figure"/>
                    <w:spacing w:before="60" w:after="60"/>
                    <w:jc w:val="left"/>
                    <w:rPr>
                      <w:rFonts w:ascii="Arial" w:hAnsi="Arial" w:cs="Arial"/>
                      <w:sz w:val="18"/>
                      <w:szCs w:val="18"/>
                    </w:rPr>
                  </w:pPr>
                  <w:r w:rsidRPr="00F05739">
                    <w:rPr>
                      <w:rFonts w:ascii="Arial" w:hAnsi="Arial" w:cs="Arial"/>
                      <w:noProof/>
                      <w:sz w:val="18"/>
                      <w:szCs w:val="18"/>
                    </w:rPr>
                    <w:drawing>
                      <wp:inline distT="0" distB="0" distL="0" distR="0" wp14:anchorId="7954D65F" wp14:editId="64C7F949">
                        <wp:extent cx="5386084" cy="4037734"/>
                        <wp:effectExtent l="0" t="0" r="5080" b="1270"/>
                        <wp:docPr id="112" name="Picture 112" descr="20 per cent of general revenue assistance is excluded for HFE purposes, and about one third of workforce development payments are excluded — a similar proportion to health payments. Over half of all education payments are excluded, and nearly 60 per cent of infrastructure payments are either excluded or discounted. About 35 per cent of affordable housing payments are included for HFE purposes, falling to 30 per cent for payments for other State services. Roughly one quarter of Commonwealth payments for community services and environment are included for HFE purposes, while all contingent payments are ex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t="2081" r="2235" b="3517"/>
                                <a:stretch/>
                              </pic:blipFill>
                              <pic:spPr bwMode="auto">
                                <a:xfrm>
                                  <a:off x="0" y="0"/>
                                  <a:ext cx="5388947" cy="4039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4B204" w14:textId="77777777" w:rsidR="00F05DC7" w:rsidRDefault="00F05DC7" w:rsidP="00A3786D">
            <w:pPr>
              <w:pStyle w:val="Figure"/>
            </w:pPr>
          </w:p>
        </w:tc>
      </w:tr>
      <w:tr w:rsidR="00F05DC7" w:rsidRPr="00176D3F" w14:paraId="7954B208" w14:textId="77777777" w:rsidTr="00A3786D">
        <w:tc>
          <w:tcPr>
            <w:tcW w:w="5000" w:type="pct"/>
            <w:tcBorders>
              <w:top w:val="nil"/>
              <w:left w:val="nil"/>
              <w:bottom w:val="nil"/>
              <w:right w:val="nil"/>
            </w:tcBorders>
            <w:shd w:val="clear" w:color="auto" w:fill="auto"/>
          </w:tcPr>
          <w:p w14:paraId="7954B206" w14:textId="77777777" w:rsidR="00F05DC7" w:rsidRDefault="00F05DC7" w:rsidP="00A3786D">
            <w:pPr>
              <w:pStyle w:val="Note"/>
              <w:spacing w:before="60" w:line="180" w:lineRule="exact"/>
            </w:pPr>
            <w:r>
              <w:rPr>
                <w:rStyle w:val="NoteLabel"/>
              </w:rPr>
              <w:t>a</w:t>
            </w:r>
            <w:r>
              <w:t xml:space="preserve"> Proportions shown are the numbers of payments treated each way, not the values of those payments. The total number of payment arrangements for each sector is shown in parentheses. Some arrangements are nationwide programs (meaning they involve payments to all States); some are for individual States.</w:t>
            </w:r>
          </w:p>
          <w:p w14:paraId="7954B207" w14:textId="77777777" w:rsidR="00F05DC7" w:rsidRPr="001E633A" w:rsidRDefault="00F05DC7" w:rsidP="00A3786D">
            <w:pPr>
              <w:pStyle w:val="Note"/>
              <w:spacing w:before="60" w:line="180" w:lineRule="exact"/>
              <w:rPr>
                <w:rStyle w:val="NoteLabel"/>
                <w:b w:val="0"/>
                <w:position w:val="0"/>
              </w:rPr>
            </w:pPr>
            <w:r>
              <w:rPr>
                <w:rStyle w:val="NoteLabel"/>
              </w:rPr>
              <w:t>*</w:t>
            </w:r>
            <w:r>
              <w:t xml:space="preserve"> </w:t>
            </w:r>
            <w:r w:rsidRPr="001E633A">
              <w:t>Including disability programs.</w:t>
            </w:r>
            <w:r>
              <w:t xml:space="preserve"> </w:t>
            </w:r>
            <w:r w:rsidRPr="001E633A">
              <w:rPr>
                <w:rStyle w:val="NoteLabel"/>
              </w:rPr>
              <w:t>**</w:t>
            </w:r>
            <w:r>
              <w:rPr>
                <w:rStyle w:val="NoteLabel"/>
              </w:rPr>
              <w:t xml:space="preserve"> </w:t>
            </w:r>
            <w:r>
              <w:t>Hepatitis C settlement fund; natural disaster relief and recovery funding.</w:t>
            </w:r>
          </w:p>
        </w:tc>
      </w:tr>
      <w:tr w:rsidR="00F05DC7" w:rsidRPr="00176D3F" w14:paraId="7954B20A" w14:textId="77777777" w:rsidTr="00A3786D">
        <w:tc>
          <w:tcPr>
            <w:tcW w:w="5000" w:type="pct"/>
            <w:tcBorders>
              <w:top w:val="nil"/>
              <w:left w:val="nil"/>
              <w:bottom w:val="nil"/>
              <w:right w:val="nil"/>
            </w:tcBorders>
            <w:shd w:val="clear" w:color="auto" w:fill="auto"/>
          </w:tcPr>
          <w:p w14:paraId="7954B209" w14:textId="794C96E0" w:rsidR="00F05DC7" w:rsidRPr="00176D3F" w:rsidRDefault="00F05DC7" w:rsidP="00A3786D">
            <w:pPr>
              <w:pStyle w:val="Source"/>
            </w:pPr>
            <w:r>
              <w:rPr>
                <w:i/>
              </w:rPr>
              <w:t>Source</w:t>
            </w:r>
            <w:r>
              <w:t xml:space="preserve">: CGC </w:t>
            </w:r>
            <w:r w:rsidR="009D6331" w:rsidRPr="009D6331">
              <w:rPr>
                <w:rFonts w:cs="Arial"/>
              </w:rPr>
              <w:t>(2017k)</w:t>
            </w:r>
            <w:r>
              <w:t>.</w:t>
            </w:r>
            <w:r w:rsidRPr="00176D3F">
              <w:t xml:space="preserve"> </w:t>
            </w:r>
          </w:p>
        </w:tc>
      </w:tr>
      <w:tr w:rsidR="00F05DC7" w14:paraId="7954B20C" w14:textId="77777777" w:rsidTr="00A3786D">
        <w:tc>
          <w:tcPr>
            <w:tcW w:w="5000" w:type="pct"/>
            <w:tcBorders>
              <w:top w:val="nil"/>
              <w:left w:val="nil"/>
              <w:bottom w:val="single" w:sz="6" w:space="0" w:color="78A22F"/>
              <w:right w:val="nil"/>
            </w:tcBorders>
            <w:shd w:val="clear" w:color="auto" w:fill="auto"/>
          </w:tcPr>
          <w:p w14:paraId="7954B20B" w14:textId="77777777" w:rsidR="00F05DC7" w:rsidRDefault="00F05DC7" w:rsidP="00A3786D">
            <w:pPr>
              <w:pStyle w:val="Figurespace"/>
            </w:pPr>
          </w:p>
        </w:tc>
      </w:tr>
      <w:tr w:rsidR="00F05DC7" w:rsidRPr="000863A5" w14:paraId="7954B20E" w14:textId="77777777" w:rsidTr="00A3786D">
        <w:tc>
          <w:tcPr>
            <w:tcW w:w="5000" w:type="pct"/>
            <w:tcBorders>
              <w:top w:val="single" w:sz="6" w:space="0" w:color="78A22F"/>
              <w:left w:val="nil"/>
              <w:bottom w:val="nil"/>
              <w:right w:val="nil"/>
            </w:tcBorders>
          </w:tcPr>
          <w:p w14:paraId="7954B20D" w14:textId="77777777" w:rsidR="00F05DC7" w:rsidRPr="00626D32" w:rsidRDefault="00F05DC7" w:rsidP="00A3786D">
            <w:pPr>
              <w:pStyle w:val="BoxSpaceBelow"/>
            </w:pPr>
          </w:p>
        </w:tc>
      </w:tr>
    </w:tbl>
    <w:p w14:paraId="7954B20F" w14:textId="77777777" w:rsidR="00F05DC7" w:rsidRDefault="00F05DC7" w:rsidP="00A3786D">
      <w:pPr>
        <w:pStyle w:val="BodyText"/>
      </w:pPr>
      <w:r>
        <w:t>However, where a payment is targeted in a different fashion (or at a different policy objective) to overall equalisation, the application of the CGC’s guideline may work against that policy objective unless the payment is specifically quarantined by the terms of reference:</w:t>
      </w:r>
    </w:p>
    <w:p w14:paraId="7954B210" w14:textId="77777777" w:rsidR="00F05DC7" w:rsidRDefault="00F05DC7" w:rsidP="00A3786D">
      <w:pPr>
        <w:pStyle w:val="Quote"/>
      </w:pPr>
      <w:r>
        <w:t>We consider that in exercising our discretion we can be guided only by the objective of the GST distribution which is the principle of HFE. The appropriate treatment of a particular payment where we have discretion is that which improves the HFE outcome.</w:t>
      </w:r>
    </w:p>
    <w:p w14:paraId="7954B211" w14:textId="260F8B1A" w:rsidR="00F05DC7" w:rsidRDefault="00F05DC7" w:rsidP="00A3786D">
      <w:pPr>
        <w:pStyle w:val="Quote"/>
      </w:pPr>
      <w:r>
        <w:t xml:space="preserve">We are aware there are other policy objectives behind the distribution of Commonwealth payments. However, we do not consider we have been asked to choose among objectives in </w:t>
      </w:r>
      <w:r>
        <w:lastRenderedPageBreak/>
        <w:t xml:space="preserve">advising on the GST distribution. We have no discretion other than that which improves the HFE outcome. </w:t>
      </w:r>
      <w:r w:rsidR="009D6331" w:rsidRPr="009D6331">
        <w:rPr>
          <w:szCs w:val="24"/>
        </w:rPr>
        <w:t>(CGC 2015f, p. 36)</w:t>
      </w:r>
    </w:p>
    <w:p w14:paraId="7954B212" w14:textId="1607CC46" w:rsidR="00F05DC7" w:rsidRDefault="00F05DC7" w:rsidP="00A3786D">
      <w:pPr>
        <w:pStyle w:val="BodyText"/>
      </w:pPr>
      <w:r>
        <w:t>The net effect of Commonwealth payments on the distribution of GST varies by State. In general, payments made by the Commonwealth to the States affect GST payments, because Commonwealth payments are used to fund assessed expenses. For example, the Northern Territory receives an above</w:t>
      </w:r>
      <w:r>
        <w:noBreakHyphen/>
        <w:t xml:space="preserve">average amount of Commonwealth payments, reducing its need for GST payments </w:t>
      </w:r>
      <w:r w:rsidR="009D6331" w:rsidRPr="009D6331">
        <w:rPr>
          <w:szCs w:val="24"/>
        </w:rPr>
        <w:t>(CGC 2015f, p. 47)</w:t>
      </w:r>
      <w:r>
        <w:t>. States with an above</w:t>
      </w:r>
      <w:r>
        <w:noBreakHyphen/>
        <w:t>average capacity to raise own</w:t>
      </w:r>
      <w:r>
        <w:noBreakHyphen/>
        <w:t xml:space="preserve">source revenue will have a lower requirement for Commonwealth funding to meet their assessed expenses. </w:t>
      </w:r>
    </w:p>
    <w:p w14:paraId="7954B213" w14:textId="5ACF02CE" w:rsidR="00F05DC7" w:rsidRDefault="00F05DC7" w:rsidP="00A3786D">
      <w:pPr>
        <w:pStyle w:val="BodyText"/>
      </w:pPr>
      <w:r>
        <w:t xml:space="preserve">Commonwealth payments directly affect the fiscal capacity of States by providing a source of revenue. However, Commonwealth payments also increase State expenditure, and for those States that need to spend more than the national average, the spending of Commonwealth revenue will increase GST requirements </w:t>
      </w:r>
      <w:r w:rsidR="009D6331" w:rsidRPr="009D6331">
        <w:rPr>
          <w:szCs w:val="24"/>
        </w:rPr>
        <w:t>(CGC 2015f, p. 48)</w:t>
      </w:r>
      <w:r>
        <w:t>. As a result, the net effect of the impacts of Commonwealth payments determines what the implications for a State’s GST payments will be. In 2017</w:t>
      </w:r>
      <w:r>
        <w:noBreakHyphen/>
        <w:t>18, the total impact of Commonwealth payments on New South Wales, Victoria, Queensland, the ACT and the Northern Territory was negative, but was positive for the other States (table B.2).</w:t>
      </w:r>
    </w:p>
    <w:p w14:paraId="7954B21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217" w14:textId="77777777" w:rsidTr="00A3786D">
        <w:trPr>
          <w:tblHeader/>
        </w:trPr>
        <w:tc>
          <w:tcPr>
            <w:tcW w:w="5000" w:type="pct"/>
            <w:tcBorders>
              <w:top w:val="single" w:sz="6" w:space="0" w:color="78A22F"/>
              <w:left w:val="nil"/>
              <w:bottom w:val="nil"/>
              <w:right w:val="nil"/>
            </w:tcBorders>
            <w:shd w:val="clear" w:color="auto" w:fill="auto"/>
          </w:tcPr>
          <w:p w14:paraId="7954B215" w14:textId="3C44C5B0" w:rsidR="00F05DC7" w:rsidRDefault="00F05DC7" w:rsidP="00A3786D">
            <w:pPr>
              <w:pStyle w:val="TableTitle"/>
            </w:pPr>
            <w:r>
              <w:rPr>
                <w:b w:val="0"/>
              </w:rPr>
              <w:t>Table B.</w:t>
            </w:r>
            <w:r>
              <w:rPr>
                <w:b w:val="0"/>
                <w:noProof/>
              </w:rPr>
              <w:t>2</w:t>
            </w:r>
            <w:r>
              <w:tab/>
              <w:t>Net effect on GST distribution of Commonwealth payments</w:t>
            </w:r>
          </w:p>
          <w:p w14:paraId="7954B216" w14:textId="77777777" w:rsidR="00F05DC7" w:rsidRPr="00784A05" w:rsidRDefault="00F05DC7" w:rsidP="00A3786D">
            <w:pPr>
              <w:pStyle w:val="Subtitle"/>
            </w:pPr>
            <w:r>
              <w:t>2017</w:t>
            </w:r>
            <w:r>
              <w:noBreakHyphen/>
              <w:t xml:space="preserve">18, difference from an EPC distribution </w:t>
            </w:r>
          </w:p>
        </w:tc>
      </w:tr>
      <w:tr w:rsidR="00F05DC7" w14:paraId="7954B25F" w14:textId="77777777" w:rsidTr="00A3786D">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1965"/>
              <w:gridCol w:w="820"/>
              <w:gridCol w:w="820"/>
              <w:gridCol w:w="820"/>
              <w:gridCol w:w="820"/>
              <w:gridCol w:w="820"/>
              <w:gridCol w:w="820"/>
              <w:gridCol w:w="820"/>
              <w:gridCol w:w="820"/>
            </w:tblGrid>
            <w:tr w:rsidR="00F05DC7" w14:paraId="7954B221" w14:textId="77777777" w:rsidTr="00A3786D">
              <w:trPr>
                <w:tblHeader/>
              </w:trPr>
              <w:tc>
                <w:tcPr>
                  <w:tcW w:w="1152" w:type="pct"/>
                  <w:tcBorders>
                    <w:top w:val="single" w:sz="6" w:space="0" w:color="BFBFBF"/>
                    <w:bottom w:val="single" w:sz="6" w:space="0" w:color="BFBFBF"/>
                  </w:tcBorders>
                  <w:shd w:val="clear" w:color="auto" w:fill="auto"/>
                  <w:tcMar>
                    <w:top w:w="28" w:type="dxa"/>
                  </w:tcMar>
                </w:tcPr>
                <w:p w14:paraId="7954B218" w14:textId="77777777" w:rsidR="00F05DC7" w:rsidRDefault="00F05DC7" w:rsidP="00A3786D">
                  <w:pPr>
                    <w:pStyle w:val="TableColumnHeading"/>
                    <w:jc w:val="left"/>
                  </w:pPr>
                </w:p>
              </w:tc>
              <w:tc>
                <w:tcPr>
                  <w:tcW w:w="481" w:type="pct"/>
                  <w:tcBorders>
                    <w:top w:val="single" w:sz="6" w:space="0" w:color="BFBFBF"/>
                    <w:bottom w:val="single" w:sz="6" w:space="0" w:color="BFBFBF"/>
                  </w:tcBorders>
                </w:tcPr>
                <w:p w14:paraId="7954B219" w14:textId="77777777" w:rsidR="00F05DC7" w:rsidRDefault="00F05DC7" w:rsidP="00A3786D">
                  <w:pPr>
                    <w:pStyle w:val="TableColumnHeading"/>
                  </w:pPr>
                  <w:r>
                    <w:t>NSW</w:t>
                  </w:r>
                </w:p>
              </w:tc>
              <w:tc>
                <w:tcPr>
                  <w:tcW w:w="481" w:type="pct"/>
                  <w:tcBorders>
                    <w:top w:val="single" w:sz="6" w:space="0" w:color="BFBFBF"/>
                    <w:bottom w:val="single" w:sz="6" w:space="0" w:color="BFBFBF"/>
                  </w:tcBorders>
                  <w:shd w:val="clear" w:color="auto" w:fill="auto"/>
                  <w:tcMar>
                    <w:top w:w="28" w:type="dxa"/>
                  </w:tcMar>
                </w:tcPr>
                <w:p w14:paraId="7954B21A" w14:textId="77777777" w:rsidR="00F05DC7" w:rsidRDefault="00F05DC7" w:rsidP="00A3786D">
                  <w:pPr>
                    <w:pStyle w:val="TableColumnHeading"/>
                  </w:pPr>
                  <w:r>
                    <w:t>Vic</w:t>
                  </w:r>
                </w:p>
              </w:tc>
              <w:tc>
                <w:tcPr>
                  <w:tcW w:w="481" w:type="pct"/>
                  <w:tcBorders>
                    <w:top w:val="single" w:sz="6" w:space="0" w:color="BFBFBF"/>
                    <w:bottom w:val="single" w:sz="6" w:space="0" w:color="BFBFBF"/>
                  </w:tcBorders>
                </w:tcPr>
                <w:p w14:paraId="7954B21B" w14:textId="77777777" w:rsidR="00F05DC7" w:rsidRDefault="00F05DC7" w:rsidP="00A3786D">
                  <w:pPr>
                    <w:pStyle w:val="TableColumnHeading"/>
                    <w:ind w:right="28"/>
                  </w:pPr>
                  <w:r>
                    <w:t>Qld</w:t>
                  </w:r>
                </w:p>
              </w:tc>
              <w:tc>
                <w:tcPr>
                  <w:tcW w:w="481" w:type="pct"/>
                  <w:tcBorders>
                    <w:top w:val="single" w:sz="6" w:space="0" w:color="BFBFBF"/>
                    <w:bottom w:val="single" w:sz="6" w:space="0" w:color="BFBFBF"/>
                  </w:tcBorders>
                </w:tcPr>
                <w:p w14:paraId="7954B21C" w14:textId="77777777" w:rsidR="00F05DC7" w:rsidRDefault="00F05DC7" w:rsidP="00A3786D">
                  <w:pPr>
                    <w:pStyle w:val="TableColumnHeading"/>
                    <w:ind w:right="28"/>
                  </w:pPr>
                  <w:r>
                    <w:t>WA</w:t>
                  </w:r>
                </w:p>
              </w:tc>
              <w:tc>
                <w:tcPr>
                  <w:tcW w:w="481" w:type="pct"/>
                  <w:tcBorders>
                    <w:top w:val="single" w:sz="6" w:space="0" w:color="BFBFBF"/>
                    <w:bottom w:val="single" w:sz="6" w:space="0" w:color="BFBFBF"/>
                  </w:tcBorders>
                </w:tcPr>
                <w:p w14:paraId="7954B21D" w14:textId="77777777" w:rsidR="00F05DC7" w:rsidRDefault="00F05DC7" w:rsidP="00A3786D">
                  <w:pPr>
                    <w:pStyle w:val="TableColumnHeading"/>
                    <w:ind w:right="28"/>
                  </w:pPr>
                  <w:r>
                    <w:t>SA</w:t>
                  </w:r>
                </w:p>
              </w:tc>
              <w:tc>
                <w:tcPr>
                  <w:tcW w:w="481" w:type="pct"/>
                  <w:tcBorders>
                    <w:top w:val="single" w:sz="6" w:space="0" w:color="BFBFBF"/>
                    <w:bottom w:val="single" w:sz="6" w:space="0" w:color="BFBFBF"/>
                  </w:tcBorders>
                </w:tcPr>
                <w:p w14:paraId="7954B21E" w14:textId="77777777" w:rsidR="00F05DC7" w:rsidRDefault="00F05DC7" w:rsidP="00A3786D">
                  <w:pPr>
                    <w:pStyle w:val="TableColumnHeading"/>
                    <w:ind w:right="28"/>
                  </w:pPr>
                  <w:r>
                    <w:t>Tas</w:t>
                  </w:r>
                </w:p>
              </w:tc>
              <w:tc>
                <w:tcPr>
                  <w:tcW w:w="481" w:type="pct"/>
                  <w:tcBorders>
                    <w:top w:val="single" w:sz="6" w:space="0" w:color="BFBFBF"/>
                    <w:bottom w:val="single" w:sz="6" w:space="0" w:color="BFBFBF"/>
                  </w:tcBorders>
                </w:tcPr>
                <w:p w14:paraId="7954B21F" w14:textId="77777777" w:rsidR="00F05DC7" w:rsidRDefault="00F05DC7" w:rsidP="00A3786D">
                  <w:pPr>
                    <w:pStyle w:val="TableColumnHeading"/>
                    <w:ind w:right="28"/>
                  </w:pPr>
                  <w:r>
                    <w:t>ACT</w:t>
                  </w:r>
                </w:p>
              </w:tc>
              <w:tc>
                <w:tcPr>
                  <w:tcW w:w="481" w:type="pct"/>
                  <w:tcBorders>
                    <w:top w:val="single" w:sz="6" w:space="0" w:color="BFBFBF"/>
                    <w:bottom w:val="single" w:sz="6" w:space="0" w:color="BFBFBF"/>
                  </w:tcBorders>
                  <w:shd w:val="clear" w:color="auto" w:fill="auto"/>
                  <w:tcMar>
                    <w:top w:w="28" w:type="dxa"/>
                  </w:tcMar>
                </w:tcPr>
                <w:p w14:paraId="7954B220" w14:textId="77777777" w:rsidR="00F05DC7" w:rsidRDefault="00F05DC7" w:rsidP="00A3786D">
                  <w:pPr>
                    <w:pStyle w:val="TableColumnHeading"/>
                    <w:ind w:right="28"/>
                  </w:pPr>
                  <w:r>
                    <w:t>NT</w:t>
                  </w:r>
                </w:p>
              </w:tc>
            </w:tr>
            <w:tr w:rsidR="00F05DC7" w14:paraId="7954B22B" w14:textId="77777777" w:rsidTr="00A3786D">
              <w:tc>
                <w:tcPr>
                  <w:tcW w:w="1152" w:type="pct"/>
                  <w:tcBorders>
                    <w:top w:val="single" w:sz="6" w:space="0" w:color="BFBFBF"/>
                  </w:tcBorders>
                </w:tcPr>
                <w:p w14:paraId="7954B222" w14:textId="77777777" w:rsidR="00F05DC7" w:rsidRPr="005A5C53" w:rsidRDefault="00F05DC7" w:rsidP="00A3786D">
                  <w:pPr>
                    <w:pStyle w:val="TableUnitsRow"/>
                    <w:jc w:val="left"/>
                    <w:rPr>
                      <w:b/>
                    </w:rPr>
                  </w:pPr>
                  <w:r w:rsidRPr="005A5C53">
                    <w:rPr>
                      <w:b/>
                    </w:rPr>
                    <w:t>Total impact ($m)</w:t>
                  </w:r>
                </w:p>
              </w:tc>
              <w:tc>
                <w:tcPr>
                  <w:tcW w:w="481" w:type="pct"/>
                  <w:tcBorders>
                    <w:top w:val="single" w:sz="6" w:space="0" w:color="BFBFBF"/>
                  </w:tcBorders>
                </w:tcPr>
                <w:p w14:paraId="7954B223" w14:textId="77777777" w:rsidR="00F05DC7" w:rsidRPr="005A5C53" w:rsidRDefault="00F05DC7" w:rsidP="00A3786D">
                  <w:pPr>
                    <w:pStyle w:val="TableUnitsRow"/>
                    <w:rPr>
                      <w:b/>
                    </w:rPr>
                  </w:pPr>
                  <w:r>
                    <w:rPr>
                      <w:b/>
                    </w:rPr>
                    <w:noBreakHyphen/>
                  </w:r>
                  <w:r w:rsidRPr="005A5C53">
                    <w:rPr>
                      <w:b/>
                    </w:rPr>
                    <w:t>75</w:t>
                  </w:r>
                </w:p>
              </w:tc>
              <w:tc>
                <w:tcPr>
                  <w:tcW w:w="481" w:type="pct"/>
                  <w:tcBorders>
                    <w:top w:val="single" w:sz="6" w:space="0" w:color="BFBFBF"/>
                  </w:tcBorders>
                </w:tcPr>
                <w:p w14:paraId="7954B224" w14:textId="77777777" w:rsidR="00F05DC7" w:rsidRPr="005A5C53" w:rsidRDefault="00F05DC7" w:rsidP="00A3786D">
                  <w:pPr>
                    <w:pStyle w:val="TableUnitsRow"/>
                    <w:rPr>
                      <w:b/>
                    </w:rPr>
                  </w:pPr>
                  <w:r>
                    <w:rPr>
                      <w:b/>
                    </w:rPr>
                    <w:noBreakHyphen/>
                  </w:r>
                  <w:r w:rsidRPr="005A5C53">
                    <w:rPr>
                      <w:b/>
                    </w:rPr>
                    <w:t>121</w:t>
                  </w:r>
                </w:p>
              </w:tc>
              <w:tc>
                <w:tcPr>
                  <w:tcW w:w="481" w:type="pct"/>
                  <w:tcBorders>
                    <w:top w:val="single" w:sz="6" w:space="0" w:color="BFBFBF"/>
                  </w:tcBorders>
                </w:tcPr>
                <w:p w14:paraId="7954B225" w14:textId="77777777" w:rsidR="00F05DC7" w:rsidRPr="005A5C53" w:rsidRDefault="00F05DC7" w:rsidP="00A3786D">
                  <w:pPr>
                    <w:pStyle w:val="TableUnitsRow"/>
                    <w:ind w:right="28"/>
                    <w:rPr>
                      <w:b/>
                    </w:rPr>
                  </w:pPr>
                  <w:r>
                    <w:rPr>
                      <w:b/>
                    </w:rPr>
                    <w:noBreakHyphen/>
                  </w:r>
                  <w:r w:rsidRPr="005A5C53">
                    <w:rPr>
                      <w:b/>
                    </w:rPr>
                    <w:t>129</w:t>
                  </w:r>
                </w:p>
              </w:tc>
              <w:tc>
                <w:tcPr>
                  <w:tcW w:w="481" w:type="pct"/>
                  <w:tcBorders>
                    <w:top w:val="single" w:sz="6" w:space="0" w:color="BFBFBF"/>
                  </w:tcBorders>
                </w:tcPr>
                <w:p w14:paraId="7954B226" w14:textId="77777777" w:rsidR="00F05DC7" w:rsidRPr="005A5C53" w:rsidRDefault="00F05DC7" w:rsidP="00A3786D">
                  <w:pPr>
                    <w:pStyle w:val="TableUnitsRow"/>
                    <w:ind w:right="28"/>
                    <w:rPr>
                      <w:b/>
                    </w:rPr>
                  </w:pPr>
                  <w:r w:rsidRPr="005A5C53">
                    <w:rPr>
                      <w:b/>
                    </w:rPr>
                    <w:t>278</w:t>
                  </w:r>
                </w:p>
              </w:tc>
              <w:tc>
                <w:tcPr>
                  <w:tcW w:w="481" w:type="pct"/>
                  <w:tcBorders>
                    <w:top w:val="single" w:sz="6" w:space="0" w:color="BFBFBF"/>
                  </w:tcBorders>
                </w:tcPr>
                <w:p w14:paraId="7954B227" w14:textId="77777777" w:rsidR="00F05DC7" w:rsidRPr="005A5C53" w:rsidRDefault="00F05DC7" w:rsidP="00A3786D">
                  <w:pPr>
                    <w:pStyle w:val="TableUnitsRow"/>
                    <w:ind w:right="28"/>
                    <w:rPr>
                      <w:b/>
                    </w:rPr>
                  </w:pPr>
                  <w:r w:rsidRPr="005A5C53">
                    <w:rPr>
                      <w:b/>
                    </w:rPr>
                    <w:t>126</w:t>
                  </w:r>
                </w:p>
              </w:tc>
              <w:tc>
                <w:tcPr>
                  <w:tcW w:w="481" w:type="pct"/>
                  <w:tcBorders>
                    <w:top w:val="single" w:sz="6" w:space="0" w:color="BFBFBF"/>
                  </w:tcBorders>
                </w:tcPr>
                <w:p w14:paraId="7954B228" w14:textId="77777777" w:rsidR="00F05DC7" w:rsidRPr="005A5C53" w:rsidRDefault="00F05DC7" w:rsidP="00A3786D">
                  <w:pPr>
                    <w:pStyle w:val="TableUnitsRow"/>
                    <w:ind w:right="28"/>
                    <w:rPr>
                      <w:b/>
                    </w:rPr>
                  </w:pPr>
                  <w:r w:rsidRPr="005A5C53">
                    <w:rPr>
                      <w:b/>
                    </w:rPr>
                    <w:t>24</w:t>
                  </w:r>
                </w:p>
              </w:tc>
              <w:tc>
                <w:tcPr>
                  <w:tcW w:w="481" w:type="pct"/>
                  <w:tcBorders>
                    <w:top w:val="single" w:sz="6" w:space="0" w:color="BFBFBF"/>
                  </w:tcBorders>
                </w:tcPr>
                <w:p w14:paraId="7954B229" w14:textId="77777777" w:rsidR="00F05DC7" w:rsidRPr="005A5C53" w:rsidRDefault="00F05DC7" w:rsidP="00A3786D">
                  <w:pPr>
                    <w:pStyle w:val="TableUnitsRow"/>
                    <w:ind w:right="28"/>
                    <w:rPr>
                      <w:b/>
                    </w:rPr>
                  </w:pPr>
                  <w:r>
                    <w:rPr>
                      <w:b/>
                    </w:rPr>
                    <w:noBreakHyphen/>
                  </w:r>
                  <w:r w:rsidRPr="005A5C53">
                    <w:rPr>
                      <w:b/>
                    </w:rPr>
                    <w:t>17</w:t>
                  </w:r>
                </w:p>
              </w:tc>
              <w:tc>
                <w:tcPr>
                  <w:tcW w:w="481" w:type="pct"/>
                  <w:tcBorders>
                    <w:top w:val="single" w:sz="6" w:space="0" w:color="BFBFBF"/>
                  </w:tcBorders>
                </w:tcPr>
                <w:p w14:paraId="7954B22A" w14:textId="77777777" w:rsidR="00F05DC7" w:rsidRPr="005A5C53" w:rsidRDefault="00F05DC7" w:rsidP="00A3786D">
                  <w:pPr>
                    <w:pStyle w:val="TableUnitsRow"/>
                    <w:ind w:right="28"/>
                    <w:rPr>
                      <w:b/>
                    </w:rPr>
                  </w:pPr>
                  <w:r>
                    <w:rPr>
                      <w:b/>
                    </w:rPr>
                    <w:noBreakHyphen/>
                  </w:r>
                  <w:r w:rsidRPr="005A5C53">
                    <w:rPr>
                      <w:b/>
                    </w:rPr>
                    <w:t>85</w:t>
                  </w:r>
                </w:p>
              </w:tc>
            </w:tr>
            <w:tr w:rsidR="00F05DC7" w14:paraId="7954B235" w14:textId="77777777" w:rsidTr="00A3786D">
              <w:tc>
                <w:tcPr>
                  <w:tcW w:w="1152" w:type="pct"/>
                </w:tcPr>
                <w:p w14:paraId="7954B22C" w14:textId="77777777" w:rsidR="00F05DC7" w:rsidRDefault="00F05DC7" w:rsidP="00A3786D">
                  <w:pPr>
                    <w:pStyle w:val="TableBodyText"/>
                    <w:jc w:val="left"/>
                  </w:pPr>
                  <w:r>
                    <w:t>Revenue impact ($m)</w:t>
                  </w:r>
                </w:p>
              </w:tc>
              <w:tc>
                <w:tcPr>
                  <w:tcW w:w="481" w:type="pct"/>
                </w:tcPr>
                <w:p w14:paraId="7954B22D" w14:textId="77777777" w:rsidR="00F05DC7" w:rsidRDefault="00F05DC7" w:rsidP="00A3786D">
                  <w:pPr>
                    <w:pStyle w:val="TableBodyText"/>
                  </w:pPr>
                  <w:r>
                    <w:t>103</w:t>
                  </w:r>
                </w:p>
              </w:tc>
              <w:tc>
                <w:tcPr>
                  <w:tcW w:w="481" w:type="pct"/>
                </w:tcPr>
                <w:p w14:paraId="7954B22E" w14:textId="77777777" w:rsidR="00F05DC7" w:rsidRDefault="00F05DC7" w:rsidP="00A3786D">
                  <w:pPr>
                    <w:pStyle w:val="TableBodyText"/>
                  </w:pPr>
                  <w:r>
                    <w:t>272</w:t>
                  </w:r>
                </w:p>
              </w:tc>
              <w:tc>
                <w:tcPr>
                  <w:tcW w:w="481" w:type="pct"/>
                </w:tcPr>
                <w:p w14:paraId="7954B22F" w14:textId="77777777" w:rsidR="00F05DC7" w:rsidRDefault="00F05DC7" w:rsidP="00A3786D">
                  <w:pPr>
                    <w:pStyle w:val="TableBodyText"/>
                    <w:ind w:right="28"/>
                  </w:pPr>
                  <w:r>
                    <w:noBreakHyphen/>
                    <w:t>242</w:t>
                  </w:r>
                </w:p>
              </w:tc>
              <w:tc>
                <w:tcPr>
                  <w:tcW w:w="481" w:type="pct"/>
                </w:tcPr>
                <w:p w14:paraId="7954B230" w14:textId="77777777" w:rsidR="00F05DC7" w:rsidRDefault="00F05DC7" w:rsidP="00A3786D">
                  <w:pPr>
                    <w:pStyle w:val="TableBodyText"/>
                    <w:ind w:right="28"/>
                  </w:pPr>
                  <w:r>
                    <w:t>17</w:t>
                  </w:r>
                </w:p>
              </w:tc>
              <w:tc>
                <w:tcPr>
                  <w:tcW w:w="481" w:type="pct"/>
                </w:tcPr>
                <w:p w14:paraId="7954B231" w14:textId="77777777" w:rsidR="00F05DC7" w:rsidRDefault="00F05DC7" w:rsidP="00A3786D">
                  <w:pPr>
                    <w:pStyle w:val="TableBodyText"/>
                    <w:ind w:right="28"/>
                  </w:pPr>
                  <w:r>
                    <w:t>146</w:t>
                  </w:r>
                </w:p>
              </w:tc>
              <w:tc>
                <w:tcPr>
                  <w:tcW w:w="481" w:type="pct"/>
                </w:tcPr>
                <w:p w14:paraId="7954B232" w14:textId="77777777" w:rsidR="00F05DC7" w:rsidRDefault="00F05DC7" w:rsidP="00A3786D">
                  <w:pPr>
                    <w:pStyle w:val="TableBodyText"/>
                    <w:ind w:right="28"/>
                  </w:pPr>
                  <w:r>
                    <w:noBreakHyphen/>
                    <w:t>24</w:t>
                  </w:r>
                </w:p>
              </w:tc>
              <w:tc>
                <w:tcPr>
                  <w:tcW w:w="481" w:type="pct"/>
                </w:tcPr>
                <w:p w14:paraId="7954B233" w14:textId="77777777" w:rsidR="00F05DC7" w:rsidRDefault="00F05DC7" w:rsidP="00A3786D">
                  <w:pPr>
                    <w:pStyle w:val="TableBodyText"/>
                    <w:ind w:right="28"/>
                  </w:pPr>
                  <w:r>
                    <w:t>62</w:t>
                  </w:r>
                </w:p>
              </w:tc>
              <w:tc>
                <w:tcPr>
                  <w:tcW w:w="481" w:type="pct"/>
                </w:tcPr>
                <w:p w14:paraId="7954B234" w14:textId="77777777" w:rsidR="00F05DC7" w:rsidRDefault="00F05DC7" w:rsidP="00A3786D">
                  <w:pPr>
                    <w:pStyle w:val="TableBodyText"/>
                    <w:ind w:right="28"/>
                  </w:pPr>
                  <w:r>
                    <w:noBreakHyphen/>
                    <w:t>335</w:t>
                  </w:r>
                </w:p>
              </w:tc>
            </w:tr>
            <w:tr w:rsidR="00F05DC7" w14:paraId="7954B23F" w14:textId="77777777" w:rsidTr="00A3786D">
              <w:tc>
                <w:tcPr>
                  <w:tcW w:w="1152" w:type="pct"/>
                </w:tcPr>
                <w:p w14:paraId="7954B236" w14:textId="77777777" w:rsidR="00F05DC7" w:rsidRDefault="00F05DC7" w:rsidP="00A3786D">
                  <w:pPr>
                    <w:pStyle w:val="TableBodyText"/>
                    <w:jc w:val="left"/>
                  </w:pPr>
                  <w:r>
                    <w:t>Expenses impact ($m)</w:t>
                  </w:r>
                </w:p>
              </w:tc>
              <w:tc>
                <w:tcPr>
                  <w:tcW w:w="481" w:type="pct"/>
                </w:tcPr>
                <w:p w14:paraId="7954B237" w14:textId="77777777" w:rsidR="00F05DC7" w:rsidRDefault="00F05DC7" w:rsidP="00A3786D">
                  <w:pPr>
                    <w:pStyle w:val="TableBodyText"/>
                  </w:pPr>
                  <w:r>
                    <w:noBreakHyphen/>
                    <w:t>178</w:t>
                  </w:r>
                </w:p>
              </w:tc>
              <w:tc>
                <w:tcPr>
                  <w:tcW w:w="481" w:type="pct"/>
                </w:tcPr>
                <w:p w14:paraId="7954B238" w14:textId="77777777" w:rsidR="00F05DC7" w:rsidRDefault="00F05DC7" w:rsidP="00A3786D">
                  <w:pPr>
                    <w:pStyle w:val="TableBodyText"/>
                  </w:pPr>
                  <w:r>
                    <w:noBreakHyphen/>
                    <w:t>393</w:t>
                  </w:r>
                </w:p>
              </w:tc>
              <w:tc>
                <w:tcPr>
                  <w:tcW w:w="481" w:type="pct"/>
                </w:tcPr>
                <w:p w14:paraId="7954B239" w14:textId="77777777" w:rsidR="00F05DC7" w:rsidRDefault="00F05DC7" w:rsidP="00A3786D">
                  <w:pPr>
                    <w:pStyle w:val="TableBodyText"/>
                    <w:ind w:right="28"/>
                  </w:pPr>
                  <w:r>
                    <w:t>113</w:t>
                  </w:r>
                </w:p>
              </w:tc>
              <w:tc>
                <w:tcPr>
                  <w:tcW w:w="481" w:type="pct"/>
                </w:tcPr>
                <w:p w14:paraId="7954B23A" w14:textId="77777777" w:rsidR="00F05DC7" w:rsidRDefault="00F05DC7" w:rsidP="00A3786D">
                  <w:pPr>
                    <w:pStyle w:val="TableBodyText"/>
                    <w:ind w:right="28"/>
                  </w:pPr>
                  <w:r>
                    <w:t>261</w:t>
                  </w:r>
                </w:p>
              </w:tc>
              <w:tc>
                <w:tcPr>
                  <w:tcW w:w="481" w:type="pct"/>
                </w:tcPr>
                <w:p w14:paraId="7954B23B" w14:textId="77777777" w:rsidR="00F05DC7" w:rsidRDefault="00F05DC7" w:rsidP="00A3786D">
                  <w:pPr>
                    <w:pStyle w:val="TableBodyText"/>
                    <w:ind w:right="28"/>
                  </w:pPr>
                  <w:r>
                    <w:noBreakHyphen/>
                    <w:t>20</w:t>
                  </w:r>
                </w:p>
              </w:tc>
              <w:tc>
                <w:tcPr>
                  <w:tcW w:w="481" w:type="pct"/>
                </w:tcPr>
                <w:p w14:paraId="7954B23C" w14:textId="77777777" w:rsidR="00F05DC7" w:rsidRDefault="00F05DC7" w:rsidP="00A3786D">
                  <w:pPr>
                    <w:pStyle w:val="TableBodyText"/>
                    <w:ind w:right="28"/>
                  </w:pPr>
                  <w:r>
                    <w:t>48</w:t>
                  </w:r>
                </w:p>
              </w:tc>
              <w:tc>
                <w:tcPr>
                  <w:tcW w:w="481" w:type="pct"/>
                </w:tcPr>
                <w:p w14:paraId="7954B23D" w14:textId="77777777" w:rsidR="00F05DC7" w:rsidRDefault="00F05DC7" w:rsidP="00A3786D">
                  <w:pPr>
                    <w:pStyle w:val="TableBodyText"/>
                    <w:ind w:right="28"/>
                  </w:pPr>
                  <w:r>
                    <w:noBreakHyphen/>
                    <w:t>79</w:t>
                  </w:r>
                </w:p>
              </w:tc>
              <w:tc>
                <w:tcPr>
                  <w:tcW w:w="481" w:type="pct"/>
                </w:tcPr>
                <w:p w14:paraId="7954B23E" w14:textId="77777777" w:rsidR="00F05DC7" w:rsidRDefault="00F05DC7" w:rsidP="00A3786D">
                  <w:pPr>
                    <w:pStyle w:val="TableBodyText"/>
                    <w:ind w:right="28"/>
                  </w:pPr>
                  <w:r>
                    <w:t>249</w:t>
                  </w:r>
                </w:p>
              </w:tc>
            </w:tr>
            <w:tr w:rsidR="00F05DC7" w14:paraId="7954B249" w14:textId="77777777" w:rsidTr="00A3786D">
              <w:tc>
                <w:tcPr>
                  <w:tcW w:w="1152" w:type="pct"/>
                </w:tcPr>
                <w:p w14:paraId="7954B240" w14:textId="77777777" w:rsidR="00F05DC7" w:rsidRPr="005A5C53" w:rsidRDefault="00F05DC7" w:rsidP="00A3786D">
                  <w:pPr>
                    <w:pStyle w:val="TableBodyText"/>
                    <w:jc w:val="left"/>
                    <w:rPr>
                      <w:b/>
                    </w:rPr>
                  </w:pPr>
                  <w:r w:rsidRPr="005A5C53">
                    <w:rPr>
                      <w:b/>
                    </w:rPr>
                    <w:t>Total impact ($pc)</w:t>
                  </w:r>
                </w:p>
              </w:tc>
              <w:tc>
                <w:tcPr>
                  <w:tcW w:w="481" w:type="pct"/>
                </w:tcPr>
                <w:p w14:paraId="7954B241" w14:textId="77777777" w:rsidR="00F05DC7" w:rsidRPr="005A5C53" w:rsidRDefault="00F05DC7" w:rsidP="00A3786D">
                  <w:pPr>
                    <w:pStyle w:val="TableBodyText"/>
                    <w:rPr>
                      <w:b/>
                    </w:rPr>
                  </w:pPr>
                  <w:r>
                    <w:rPr>
                      <w:b/>
                    </w:rPr>
                    <w:noBreakHyphen/>
                  </w:r>
                  <w:r w:rsidRPr="005A5C53">
                    <w:rPr>
                      <w:b/>
                    </w:rPr>
                    <w:t>10</w:t>
                  </w:r>
                </w:p>
              </w:tc>
              <w:tc>
                <w:tcPr>
                  <w:tcW w:w="481" w:type="pct"/>
                </w:tcPr>
                <w:p w14:paraId="7954B242" w14:textId="77777777" w:rsidR="00F05DC7" w:rsidRPr="005A5C53" w:rsidRDefault="00F05DC7" w:rsidP="00A3786D">
                  <w:pPr>
                    <w:pStyle w:val="TableBodyText"/>
                    <w:rPr>
                      <w:b/>
                    </w:rPr>
                  </w:pPr>
                  <w:r>
                    <w:rPr>
                      <w:b/>
                    </w:rPr>
                    <w:noBreakHyphen/>
                  </w:r>
                  <w:r w:rsidRPr="005A5C53">
                    <w:rPr>
                      <w:b/>
                    </w:rPr>
                    <w:t>19</w:t>
                  </w:r>
                </w:p>
              </w:tc>
              <w:tc>
                <w:tcPr>
                  <w:tcW w:w="481" w:type="pct"/>
                </w:tcPr>
                <w:p w14:paraId="7954B243" w14:textId="77777777" w:rsidR="00F05DC7" w:rsidRPr="005A5C53" w:rsidRDefault="00F05DC7" w:rsidP="00A3786D">
                  <w:pPr>
                    <w:pStyle w:val="TableBodyText"/>
                    <w:ind w:right="28"/>
                    <w:rPr>
                      <w:b/>
                    </w:rPr>
                  </w:pPr>
                  <w:r>
                    <w:rPr>
                      <w:b/>
                    </w:rPr>
                    <w:noBreakHyphen/>
                  </w:r>
                  <w:r w:rsidRPr="005A5C53">
                    <w:rPr>
                      <w:b/>
                    </w:rPr>
                    <w:t>26</w:t>
                  </w:r>
                </w:p>
              </w:tc>
              <w:tc>
                <w:tcPr>
                  <w:tcW w:w="481" w:type="pct"/>
                </w:tcPr>
                <w:p w14:paraId="7954B244" w14:textId="77777777" w:rsidR="00F05DC7" w:rsidRPr="005A5C53" w:rsidRDefault="00F05DC7" w:rsidP="00A3786D">
                  <w:pPr>
                    <w:pStyle w:val="TableBodyText"/>
                    <w:ind w:right="28"/>
                    <w:rPr>
                      <w:b/>
                    </w:rPr>
                  </w:pPr>
                  <w:r w:rsidRPr="005A5C53">
                    <w:rPr>
                      <w:b/>
                    </w:rPr>
                    <w:t>104</w:t>
                  </w:r>
                </w:p>
              </w:tc>
              <w:tc>
                <w:tcPr>
                  <w:tcW w:w="481" w:type="pct"/>
                </w:tcPr>
                <w:p w14:paraId="7954B245" w14:textId="77777777" w:rsidR="00F05DC7" w:rsidRPr="005A5C53" w:rsidRDefault="00F05DC7" w:rsidP="00A3786D">
                  <w:pPr>
                    <w:pStyle w:val="TableBodyText"/>
                    <w:ind w:right="28"/>
                    <w:rPr>
                      <w:b/>
                    </w:rPr>
                  </w:pPr>
                  <w:r w:rsidRPr="005A5C53">
                    <w:rPr>
                      <w:b/>
                    </w:rPr>
                    <w:t>73</w:t>
                  </w:r>
                </w:p>
              </w:tc>
              <w:tc>
                <w:tcPr>
                  <w:tcW w:w="481" w:type="pct"/>
                </w:tcPr>
                <w:p w14:paraId="7954B246" w14:textId="77777777" w:rsidR="00F05DC7" w:rsidRPr="005A5C53" w:rsidRDefault="00F05DC7" w:rsidP="00A3786D">
                  <w:pPr>
                    <w:pStyle w:val="TableBodyText"/>
                    <w:ind w:right="28"/>
                    <w:rPr>
                      <w:b/>
                    </w:rPr>
                  </w:pPr>
                  <w:r w:rsidRPr="005A5C53">
                    <w:rPr>
                      <w:b/>
                    </w:rPr>
                    <w:t>46</w:t>
                  </w:r>
                </w:p>
              </w:tc>
              <w:tc>
                <w:tcPr>
                  <w:tcW w:w="481" w:type="pct"/>
                </w:tcPr>
                <w:p w14:paraId="7954B247" w14:textId="77777777" w:rsidR="00F05DC7" w:rsidRPr="005A5C53" w:rsidRDefault="00F05DC7" w:rsidP="00A3786D">
                  <w:pPr>
                    <w:pStyle w:val="TableBodyText"/>
                    <w:ind w:right="28"/>
                    <w:rPr>
                      <w:b/>
                    </w:rPr>
                  </w:pPr>
                  <w:r>
                    <w:rPr>
                      <w:b/>
                    </w:rPr>
                    <w:noBreakHyphen/>
                  </w:r>
                  <w:r w:rsidRPr="005A5C53">
                    <w:rPr>
                      <w:b/>
                    </w:rPr>
                    <w:t>42</w:t>
                  </w:r>
                </w:p>
              </w:tc>
              <w:tc>
                <w:tcPr>
                  <w:tcW w:w="481" w:type="pct"/>
                </w:tcPr>
                <w:p w14:paraId="7954B248" w14:textId="77777777" w:rsidR="00F05DC7" w:rsidRPr="005A5C53" w:rsidRDefault="00F05DC7" w:rsidP="00A3786D">
                  <w:pPr>
                    <w:pStyle w:val="TableBodyText"/>
                    <w:ind w:right="28"/>
                    <w:rPr>
                      <w:b/>
                    </w:rPr>
                  </w:pPr>
                  <w:r>
                    <w:rPr>
                      <w:b/>
                    </w:rPr>
                    <w:noBreakHyphen/>
                  </w:r>
                  <w:r w:rsidRPr="005A5C53">
                    <w:rPr>
                      <w:b/>
                    </w:rPr>
                    <w:t>347</w:t>
                  </w:r>
                </w:p>
              </w:tc>
            </w:tr>
            <w:tr w:rsidR="00F05DC7" w14:paraId="7954B253" w14:textId="77777777" w:rsidTr="00A3786D">
              <w:tc>
                <w:tcPr>
                  <w:tcW w:w="1152" w:type="pct"/>
                </w:tcPr>
                <w:p w14:paraId="7954B24A" w14:textId="77777777" w:rsidR="00F05DC7" w:rsidRDefault="00F05DC7" w:rsidP="00A3786D">
                  <w:pPr>
                    <w:pStyle w:val="TableBodyText"/>
                    <w:jc w:val="left"/>
                  </w:pPr>
                  <w:r>
                    <w:t>Revenue impact ($pc)</w:t>
                  </w:r>
                </w:p>
              </w:tc>
              <w:tc>
                <w:tcPr>
                  <w:tcW w:w="481" w:type="pct"/>
                </w:tcPr>
                <w:p w14:paraId="7954B24B" w14:textId="77777777" w:rsidR="00F05DC7" w:rsidRDefault="00F05DC7" w:rsidP="00A3786D">
                  <w:pPr>
                    <w:pStyle w:val="TableBodyText"/>
                  </w:pPr>
                  <w:r>
                    <w:t>13</w:t>
                  </w:r>
                </w:p>
              </w:tc>
              <w:tc>
                <w:tcPr>
                  <w:tcW w:w="481" w:type="pct"/>
                </w:tcPr>
                <w:p w14:paraId="7954B24C" w14:textId="77777777" w:rsidR="00F05DC7" w:rsidRDefault="00F05DC7" w:rsidP="00A3786D">
                  <w:pPr>
                    <w:pStyle w:val="TableBodyText"/>
                  </w:pPr>
                  <w:r>
                    <w:t>44</w:t>
                  </w:r>
                </w:p>
              </w:tc>
              <w:tc>
                <w:tcPr>
                  <w:tcW w:w="481" w:type="pct"/>
                </w:tcPr>
                <w:p w14:paraId="7954B24D" w14:textId="77777777" w:rsidR="00F05DC7" w:rsidRDefault="00F05DC7" w:rsidP="00A3786D">
                  <w:pPr>
                    <w:pStyle w:val="TableBodyText"/>
                    <w:ind w:right="28"/>
                  </w:pPr>
                  <w:r>
                    <w:noBreakHyphen/>
                    <w:t>49</w:t>
                  </w:r>
                </w:p>
              </w:tc>
              <w:tc>
                <w:tcPr>
                  <w:tcW w:w="481" w:type="pct"/>
                </w:tcPr>
                <w:p w14:paraId="7954B24E" w14:textId="77777777" w:rsidR="00F05DC7" w:rsidRDefault="00F05DC7" w:rsidP="00A3786D">
                  <w:pPr>
                    <w:pStyle w:val="TableBodyText"/>
                    <w:ind w:right="28"/>
                  </w:pPr>
                  <w:r>
                    <w:t>6</w:t>
                  </w:r>
                </w:p>
              </w:tc>
              <w:tc>
                <w:tcPr>
                  <w:tcW w:w="481" w:type="pct"/>
                </w:tcPr>
                <w:p w14:paraId="7954B24F" w14:textId="77777777" w:rsidR="00F05DC7" w:rsidRDefault="00F05DC7" w:rsidP="00A3786D">
                  <w:pPr>
                    <w:pStyle w:val="TableBodyText"/>
                    <w:ind w:right="28"/>
                  </w:pPr>
                  <w:r>
                    <w:t>84</w:t>
                  </w:r>
                </w:p>
              </w:tc>
              <w:tc>
                <w:tcPr>
                  <w:tcW w:w="481" w:type="pct"/>
                </w:tcPr>
                <w:p w14:paraId="7954B250" w14:textId="77777777" w:rsidR="00F05DC7" w:rsidRDefault="00F05DC7" w:rsidP="00A3786D">
                  <w:pPr>
                    <w:pStyle w:val="TableBodyText"/>
                    <w:ind w:right="28"/>
                  </w:pPr>
                  <w:r>
                    <w:noBreakHyphen/>
                    <w:t>46</w:t>
                  </w:r>
                </w:p>
              </w:tc>
              <w:tc>
                <w:tcPr>
                  <w:tcW w:w="481" w:type="pct"/>
                </w:tcPr>
                <w:p w14:paraId="7954B251" w14:textId="77777777" w:rsidR="00F05DC7" w:rsidRDefault="00F05DC7" w:rsidP="00A3786D">
                  <w:pPr>
                    <w:pStyle w:val="TableBodyText"/>
                    <w:ind w:right="28"/>
                  </w:pPr>
                  <w:r>
                    <w:t>155</w:t>
                  </w:r>
                </w:p>
              </w:tc>
              <w:tc>
                <w:tcPr>
                  <w:tcW w:w="481" w:type="pct"/>
                </w:tcPr>
                <w:p w14:paraId="7954B252" w14:textId="77777777" w:rsidR="00F05DC7" w:rsidRDefault="00F05DC7" w:rsidP="00A3786D">
                  <w:pPr>
                    <w:pStyle w:val="TableBodyText"/>
                    <w:ind w:right="28"/>
                  </w:pPr>
                  <w:r>
                    <w:noBreakHyphen/>
                    <w:t>1 361</w:t>
                  </w:r>
                </w:p>
              </w:tc>
            </w:tr>
            <w:tr w:rsidR="00F05DC7" w14:paraId="7954B25D" w14:textId="77777777" w:rsidTr="00A3786D">
              <w:tc>
                <w:tcPr>
                  <w:tcW w:w="1152" w:type="pct"/>
                  <w:tcBorders>
                    <w:bottom w:val="single" w:sz="6" w:space="0" w:color="BFBFBF"/>
                  </w:tcBorders>
                  <w:shd w:val="clear" w:color="auto" w:fill="auto"/>
                </w:tcPr>
                <w:p w14:paraId="7954B254" w14:textId="77777777" w:rsidR="00F05DC7" w:rsidRDefault="00F05DC7" w:rsidP="00A3786D">
                  <w:pPr>
                    <w:pStyle w:val="TableBodyText"/>
                    <w:jc w:val="left"/>
                  </w:pPr>
                  <w:r>
                    <w:t>Expenses impact ($pc)</w:t>
                  </w:r>
                </w:p>
              </w:tc>
              <w:tc>
                <w:tcPr>
                  <w:tcW w:w="481" w:type="pct"/>
                  <w:tcBorders>
                    <w:bottom w:val="single" w:sz="6" w:space="0" w:color="BFBFBF"/>
                  </w:tcBorders>
                </w:tcPr>
                <w:p w14:paraId="7954B255" w14:textId="77777777" w:rsidR="00F05DC7" w:rsidRDefault="00F05DC7" w:rsidP="00A3786D">
                  <w:pPr>
                    <w:pStyle w:val="TableBodyText"/>
                  </w:pPr>
                  <w:r>
                    <w:noBreakHyphen/>
                    <w:t>23</w:t>
                  </w:r>
                </w:p>
              </w:tc>
              <w:tc>
                <w:tcPr>
                  <w:tcW w:w="481" w:type="pct"/>
                  <w:tcBorders>
                    <w:bottom w:val="single" w:sz="6" w:space="0" w:color="BFBFBF"/>
                  </w:tcBorders>
                  <w:shd w:val="clear" w:color="auto" w:fill="auto"/>
                </w:tcPr>
                <w:p w14:paraId="7954B256" w14:textId="77777777" w:rsidR="00F05DC7" w:rsidRDefault="00F05DC7" w:rsidP="00A3786D">
                  <w:pPr>
                    <w:pStyle w:val="TableBodyText"/>
                  </w:pPr>
                  <w:r>
                    <w:noBreakHyphen/>
                    <w:t>63</w:t>
                  </w:r>
                </w:p>
              </w:tc>
              <w:tc>
                <w:tcPr>
                  <w:tcW w:w="481" w:type="pct"/>
                  <w:tcBorders>
                    <w:bottom w:val="single" w:sz="6" w:space="0" w:color="BFBFBF"/>
                  </w:tcBorders>
                </w:tcPr>
                <w:p w14:paraId="7954B257" w14:textId="77777777" w:rsidR="00F05DC7" w:rsidRDefault="00F05DC7" w:rsidP="00A3786D">
                  <w:pPr>
                    <w:pStyle w:val="TableBodyText"/>
                    <w:ind w:right="28"/>
                  </w:pPr>
                  <w:r>
                    <w:t>23</w:t>
                  </w:r>
                </w:p>
              </w:tc>
              <w:tc>
                <w:tcPr>
                  <w:tcW w:w="481" w:type="pct"/>
                  <w:tcBorders>
                    <w:bottom w:val="single" w:sz="6" w:space="0" w:color="BFBFBF"/>
                  </w:tcBorders>
                </w:tcPr>
                <w:p w14:paraId="7954B258" w14:textId="77777777" w:rsidR="00F05DC7" w:rsidRDefault="00F05DC7" w:rsidP="00A3786D">
                  <w:pPr>
                    <w:pStyle w:val="TableBodyText"/>
                    <w:ind w:right="28"/>
                  </w:pPr>
                  <w:r>
                    <w:t>97</w:t>
                  </w:r>
                </w:p>
              </w:tc>
              <w:tc>
                <w:tcPr>
                  <w:tcW w:w="481" w:type="pct"/>
                  <w:tcBorders>
                    <w:bottom w:val="single" w:sz="6" w:space="0" w:color="BFBFBF"/>
                  </w:tcBorders>
                </w:tcPr>
                <w:p w14:paraId="7954B259" w14:textId="77777777" w:rsidR="00F05DC7" w:rsidRDefault="00F05DC7" w:rsidP="00A3786D">
                  <w:pPr>
                    <w:pStyle w:val="TableBodyText"/>
                    <w:ind w:right="28"/>
                  </w:pPr>
                  <w:r>
                    <w:noBreakHyphen/>
                    <w:t>11</w:t>
                  </w:r>
                </w:p>
              </w:tc>
              <w:tc>
                <w:tcPr>
                  <w:tcW w:w="481" w:type="pct"/>
                  <w:tcBorders>
                    <w:bottom w:val="single" w:sz="6" w:space="0" w:color="BFBFBF"/>
                  </w:tcBorders>
                </w:tcPr>
                <w:p w14:paraId="7954B25A" w14:textId="77777777" w:rsidR="00F05DC7" w:rsidRDefault="00F05DC7" w:rsidP="00A3786D">
                  <w:pPr>
                    <w:pStyle w:val="TableBodyText"/>
                    <w:ind w:right="28"/>
                  </w:pPr>
                  <w:r>
                    <w:t>92</w:t>
                  </w:r>
                </w:p>
              </w:tc>
              <w:tc>
                <w:tcPr>
                  <w:tcW w:w="481" w:type="pct"/>
                  <w:tcBorders>
                    <w:bottom w:val="single" w:sz="6" w:space="0" w:color="BFBFBF"/>
                  </w:tcBorders>
                </w:tcPr>
                <w:p w14:paraId="7954B25B" w14:textId="77777777" w:rsidR="00F05DC7" w:rsidRDefault="00F05DC7" w:rsidP="00A3786D">
                  <w:pPr>
                    <w:pStyle w:val="TableBodyText"/>
                    <w:ind w:right="28"/>
                  </w:pPr>
                  <w:r>
                    <w:noBreakHyphen/>
                    <w:t>197</w:t>
                  </w:r>
                </w:p>
              </w:tc>
              <w:tc>
                <w:tcPr>
                  <w:tcW w:w="481" w:type="pct"/>
                  <w:tcBorders>
                    <w:bottom w:val="single" w:sz="6" w:space="0" w:color="BFBFBF"/>
                  </w:tcBorders>
                  <w:shd w:val="clear" w:color="auto" w:fill="auto"/>
                </w:tcPr>
                <w:p w14:paraId="7954B25C" w14:textId="77777777" w:rsidR="00F05DC7" w:rsidRDefault="00F05DC7" w:rsidP="00A3786D">
                  <w:pPr>
                    <w:pStyle w:val="TableBodyText"/>
                    <w:ind w:right="28"/>
                  </w:pPr>
                  <w:r>
                    <w:t>1 014</w:t>
                  </w:r>
                </w:p>
              </w:tc>
            </w:tr>
          </w:tbl>
          <w:p w14:paraId="7954B25E" w14:textId="77777777" w:rsidR="00F05DC7" w:rsidRDefault="00F05DC7" w:rsidP="00A3786D">
            <w:pPr>
              <w:pStyle w:val="Box"/>
            </w:pPr>
          </w:p>
        </w:tc>
      </w:tr>
      <w:tr w:rsidR="00F05DC7" w14:paraId="7954B261" w14:textId="77777777" w:rsidTr="00A3786D">
        <w:tc>
          <w:tcPr>
            <w:tcW w:w="5000" w:type="pct"/>
            <w:tcBorders>
              <w:top w:val="nil"/>
              <w:left w:val="nil"/>
              <w:bottom w:val="nil"/>
              <w:right w:val="nil"/>
            </w:tcBorders>
            <w:shd w:val="clear" w:color="auto" w:fill="auto"/>
          </w:tcPr>
          <w:p w14:paraId="7954B260" w14:textId="6F3CB288" w:rsidR="00F05DC7" w:rsidRDefault="00F05DC7" w:rsidP="00A3786D">
            <w:pPr>
              <w:pStyle w:val="Source"/>
            </w:pPr>
            <w:r>
              <w:rPr>
                <w:i/>
              </w:rPr>
              <w:t>Source</w:t>
            </w:r>
            <w:r w:rsidRPr="00167F06">
              <w:t xml:space="preserve">: </w:t>
            </w:r>
            <w:r>
              <w:t xml:space="preserve">CGC </w:t>
            </w:r>
            <w:r w:rsidR="009D6331" w:rsidRPr="009D6331">
              <w:rPr>
                <w:rFonts w:cs="Arial"/>
              </w:rPr>
              <w:t>(2018g)</w:t>
            </w:r>
            <w:r>
              <w:t>.</w:t>
            </w:r>
          </w:p>
        </w:tc>
      </w:tr>
      <w:tr w:rsidR="00F05DC7" w14:paraId="7954B263" w14:textId="77777777" w:rsidTr="00A3786D">
        <w:tc>
          <w:tcPr>
            <w:tcW w:w="5000" w:type="pct"/>
            <w:tcBorders>
              <w:top w:val="nil"/>
              <w:left w:val="nil"/>
              <w:bottom w:val="single" w:sz="6" w:space="0" w:color="78A22F"/>
              <w:right w:val="nil"/>
            </w:tcBorders>
            <w:shd w:val="clear" w:color="auto" w:fill="auto"/>
          </w:tcPr>
          <w:p w14:paraId="7954B262" w14:textId="77777777" w:rsidR="00F05DC7" w:rsidRDefault="00F05DC7" w:rsidP="00A3786D">
            <w:pPr>
              <w:pStyle w:val="Box"/>
              <w:spacing w:before="0" w:line="120" w:lineRule="exact"/>
            </w:pPr>
          </w:p>
        </w:tc>
      </w:tr>
      <w:tr w:rsidR="00F05DC7" w:rsidRPr="000863A5" w14:paraId="7954B265" w14:textId="77777777" w:rsidTr="00A3786D">
        <w:tc>
          <w:tcPr>
            <w:tcW w:w="5000" w:type="pct"/>
            <w:tcBorders>
              <w:top w:val="single" w:sz="6" w:space="0" w:color="78A22F"/>
              <w:left w:val="nil"/>
              <w:bottom w:val="nil"/>
              <w:right w:val="nil"/>
            </w:tcBorders>
          </w:tcPr>
          <w:p w14:paraId="7954B264" w14:textId="77777777" w:rsidR="00F05DC7" w:rsidRPr="00626D32" w:rsidRDefault="00F05DC7" w:rsidP="00A3786D">
            <w:pPr>
              <w:pStyle w:val="BoxSpaceBelow"/>
            </w:pPr>
          </w:p>
        </w:tc>
      </w:tr>
    </w:tbl>
    <w:p w14:paraId="7954B266" w14:textId="77777777" w:rsidR="00F05DC7" w:rsidRPr="00A479D2" w:rsidRDefault="00F05DC7" w:rsidP="00A3786D">
      <w:pPr>
        <w:pStyle w:val="Heading4"/>
      </w:pPr>
      <w:r w:rsidRPr="00A479D2">
        <w:t>Case study: treatment of school funding</w:t>
      </w:r>
    </w:p>
    <w:p w14:paraId="7954B267" w14:textId="77777777" w:rsidR="00F05DC7" w:rsidRDefault="00F05DC7" w:rsidP="00A3786D">
      <w:pPr>
        <w:pStyle w:val="BodyText"/>
      </w:pPr>
      <w:r w:rsidRPr="00A479D2">
        <w:t xml:space="preserve">Commonwealth funding for government (public) primary and secondary schools is an example of a payment stream for which all three steps detailed above have included specific inclusion or exclusion stipulations in recent years. </w:t>
      </w:r>
      <w:r>
        <w:t>Table B.3 shows the impact of movements in the government school funding distribution on GST payments, compared to an EPC distribution, for the last five years.</w:t>
      </w:r>
    </w:p>
    <w:p w14:paraId="7954B268"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26A" w14:textId="77777777" w:rsidTr="001113B1">
        <w:trPr>
          <w:tblHeader/>
        </w:trPr>
        <w:tc>
          <w:tcPr>
            <w:tcW w:w="5000" w:type="pct"/>
            <w:tcBorders>
              <w:top w:val="single" w:sz="6" w:space="0" w:color="78A22F"/>
              <w:left w:val="nil"/>
              <w:bottom w:val="nil"/>
              <w:right w:val="nil"/>
            </w:tcBorders>
            <w:shd w:val="clear" w:color="auto" w:fill="auto"/>
          </w:tcPr>
          <w:p w14:paraId="7954B269" w14:textId="7F9D16C8" w:rsidR="00F05DC7" w:rsidRPr="00777D08" w:rsidRDefault="00F05DC7" w:rsidP="00A3786D">
            <w:pPr>
              <w:pStyle w:val="TableTitle"/>
              <w:rPr>
                <w:rStyle w:val="NoteLabel"/>
              </w:rPr>
            </w:pPr>
            <w:r>
              <w:rPr>
                <w:b w:val="0"/>
              </w:rPr>
              <w:t>Table B.3</w:t>
            </w:r>
            <w:r>
              <w:tab/>
              <w:t>Effect of government school funding on GST payments</w:t>
            </w:r>
            <w:r w:rsidRPr="00FB2A01">
              <w:rPr>
                <w:rStyle w:val="NoteLabel"/>
                <w:b/>
              </w:rPr>
              <w:t>a,b</w:t>
            </w:r>
          </w:p>
        </w:tc>
      </w:tr>
      <w:tr w:rsidR="00F05DC7" w14:paraId="7954B325" w14:textId="77777777" w:rsidTr="00A3786D">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580"/>
              <w:gridCol w:w="660"/>
              <w:gridCol w:w="662"/>
              <w:gridCol w:w="660"/>
              <w:gridCol w:w="662"/>
              <w:gridCol w:w="660"/>
              <w:gridCol w:w="662"/>
              <w:gridCol w:w="660"/>
              <w:gridCol w:w="662"/>
              <w:gridCol w:w="662"/>
            </w:tblGrid>
            <w:tr w:rsidR="00F05DC7" w14:paraId="7954B27E" w14:textId="77777777" w:rsidTr="004F6C34">
              <w:trPr>
                <w:tblHeader/>
              </w:trPr>
              <w:tc>
                <w:tcPr>
                  <w:tcW w:w="1512" w:type="pct"/>
                  <w:tcBorders>
                    <w:top w:val="single" w:sz="4" w:space="0" w:color="BFBFBF"/>
                    <w:bottom w:val="single" w:sz="4" w:space="0" w:color="BFBFBF"/>
                  </w:tcBorders>
                  <w:shd w:val="clear" w:color="auto" w:fill="auto"/>
                  <w:tcMar>
                    <w:top w:w="28" w:type="dxa"/>
                  </w:tcMar>
                </w:tcPr>
                <w:p w14:paraId="7954B26B" w14:textId="77777777" w:rsidR="00F05DC7" w:rsidRDefault="00F05DC7" w:rsidP="00A3786D">
                  <w:pPr>
                    <w:pStyle w:val="TableColumnHeading"/>
                    <w:jc w:val="left"/>
                  </w:pPr>
                  <w:r>
                    <w:t>Financial/update year</w:t>
                  </w:r>
                </w:p>
              </w:tc>
              <w:tc>
                <w:tcPr>
                  <w:tcW w:w="387" w:type="pct"/>
                  <w:tcBorders>
                    <w:top w:val="single" w:sz="4" w:space="0" w:color="BFBFBF"/>
                    <w:bottom w:val="single" w:sz="4" w:space="0" w:color="BFBFBF"/>
                  </w:tcBorders>
                </w:tcPr>
                <w:p w14:paraId="7954B26C" w14:textId="77777777" w:rsidR="00F05DC7" w:rsidRDefault="00F05DC7" w:rsidP="00A3786D">
                  <w:pPr>
                    <w:pStyle w:val="TableColumnHeading"/>
                  </w:pPr>
                  <w:r>
                    <w:t>NSW</w:t>
                  </w:r>
                </w:p>
                <w:p w14:paraId="7954B26D" w14:textId="77777777" w:rsidR="00F05DC7" w:rsidRDefault="00F05DC7" w:rsidP="00A3786D">
                  <w:pPr>
                    <w:pStyle w:val="TableColumnHeading"/>
                  </w:pPr>
                  <w:r>
                    <w:t>$m</w:t>
                  </w:r>
                </w:p>
              </w:tc>
              <w:tc>
                <w:tcPr>
                  <w:tcW w:w="388" w:type="pct"/>
                  <w:tcBorders>
                    <w:top w:val="single" w:sz="4" w:space="0" w:color="BFBFBF"/>
                    <w:bottom w:val="single" w:sz="4" w:space="0" w:color="BFBFBF"/>
                  </w:tcBorders>
                </w:tcPr>
                <w:p w14:paraId="7954B26E" w14:textId="77777777" w:rsidR="00F05DC7" w:rsidRDefault="00F05DC7" w:rsidP="00A3786D">
                  <w:pPr>
                    <w:pStyle w:val="TableColumnHeading"/>
                  </w:pPr>
                  <w:r>
                    <w:t>Vic</w:t>
                  </w:r>
                </w:p>
                <w:p w14:paraId="7954B26F" w14:textId="77777777" w:rsidR="00F05DC7" w:rsidRDefault="00F05DC7" w:rsidP="00A3786D">
                  <w:pPr>
                    <w:pStyle w:val="TableColumnHeading"/>
                  </w:pPr>
                  <w:r>
                    <w:t>$m</w:t>
                  </w:r>
                </w:p>
              </w:tc>
              <w:tc>
                <w:tcPr>
                  <w:tcW w:w="387" w:type="pct"/>
                  <w:tcBorders>
                    <w:top w:val="single" w:sz="4" w:space="0" w:color="BFBFBF"/>
                    <w:bottom w:val="single" w:sz="4" w:space="0" w:color="BFBFBF"/>
                  </w:tcBorders>
                </w:tcPr>
                <w:p w14:paraId="7954B270" w14:textId="77777777" w:rsidR="00F05DC7" w:rsidRDefault="00F05DC7" w:rsidP="00A3786D">
                  <w:pPr>
                    <w:pStyle w:val="TableColumnHeading"/>
                  </w:pPr>
                  <w:r>
                    <w:t>Qld</w:t>
                  </w:r>
                </w:p>
                <w:p w14:paraId="7954B271" w14:textId="77777777" w:rsidR="00F05DC7" w:rsidRDefault="00F05DC7" w:rsidP="00A3786D">
                  <w:pPr>
                    <w:pStyle w:val="TableColumnHeading"/>
                  </w:pPr>
                  <w:r>
                    <w:t>$m</w:t>
                  </w:r>
                </w:p>
              </w:tc>
              <w:tc>
                <w:tcPr>
                  <w:tcW w:w="388" w:type="pct"/>
                  <w:tcBorders>
                    <w:top w:val="single" w:sz="4" w:space="0" w:color="BFBFBF"/>
                    <w:bottom w:val="single" w:sz="4" w:space="0" w:color="BFBFBF"/>
                  </w:tcBorders>
                </w:tcPr>
                <w:p w14:paraId="7954B272" w14:textId="77777777" w:rsidR="00F05DC7" w:rsidRDefault="00F05DC7" w:rsidP="00A3786D">
                  <w:pPr>
                    <w:pStyle w:val="TableColumnHeading"/>
                  </w:pPr>
                  <w:r>
                    <w:t>WA</w:t>
                  </w:r>
                </w:p>
                <w:p w14:paraId="7954B273" w14:textId="77777777" w:rsidR="00F05DC7" w:rsidRDefault="00F05DC7" w:rsidP="00A3786D">
                  <w:pPr>
                    <w:pStyle w:val="TableColumnHeading"/>
                  </w:pPr>
                  <w:r>
                    <w:t>$m</w:t>
                  </w:r>
                </w:p>
              </w:tc>
              <w:tc>
                <w:tcPr>
                  <w:tcW w:w="387" w:type="pct"/>
                  <w:tcBorders>
                    <w:top w:val="single" w:sz="4" w:space="0" w:color="BFBFBF"/>
                    <w:bottom w:val="single" w:sz="4" w:space="0" w:color="BFBFBF"/>
                  </w:tcBorders>
                </w:tcPr>
                <w:p w14:paraId="7954B274" w14:textId="77777777" w:rsidR="00F05DC7" w:rsidRDefault="00F05DC7" w:rsidP="00A3786D">
                  <w:pPr>
                    <w:pStyle w:val="TableColumnHeading"/>
                  </w:pPr>
                  <w:r>
                    <w:t>SA</w:t>
                  </w:r>
                </w:p>
                <w:p w14:paraId="7954B275" w14:textId="77777777" w:rsidR="00F05DC7" w:rsidRDefault="00F05DC7" w:rsidP="00A3786D">
                  <w:pPr>
                    <w:pStyle w:val="TableColumnHeading"/>
                  </w:pPr>
                  <w:r>
                    <w:t>$m</w:t>
                  </w:r>
                </w:p>
              </w:tc>
              <w:tc>
                <w:tcPr>
                  <w:tcW w:w="388" w:type="pct"/>
                  <w:tcBorders>
                    <w:top w:val="single" w:sz="4" w:space="0" w:color="BFBFBF"/>
                    <w:bottom w:val="single" w:sz="4" w:space="0" w:color="BFBFBF"/>
                  </w:tcBorders>
                </w:tcPr>
                <w:p w14:paraId="7954B276" w14:textId="77777777" w:rsidR="00F05DC7" w:rsidRDefault="00F05DC7" w:rsidP="00A3786D">
                  <w:pPr>
                    <w:pStyle w:val="TableColumnHeading"/>
                  </w:pPr>
                  <w:r>
                    <w:t>Tas</w:t>
                  </w:r>
                </w:p>
                <w:p w14:paraId="7954B277" w14:textId="77777777" w:rsidR="00F05DC7" w:rsidRDefault="00F05DC7" w:rsidP="00A3786D">
                  <w:pPr>
                    <w:pStyle w:val="TableColumnHeading"/>
                  </w:pPr>
                  <w:r>
                    <w:t>$m</w:t>
                  </w:r>
                </w:p>
              </w:tc>
              <w:tc>
                <w:tcPr>
                  <w:tcW w:w="387" w:type="pct"/>
                  <w:tcBorders>
                    <w:top w:val="single" w:sz="4" w:space="0" w:color="BFBFBF"/>
                    <w:bottom w:val="single" w:sz="4" w:space="0" w:color="BFBFBF"/>
                  </w:tcBorders>
                </w:tcPr>
                <w:p w14:paraId="7954B278" w14:textId="77777777" w:rsidR="00F05DC7" w:rsidRDefault="00F05DC7" w:rsidP="00A3786D">
                  <w:pPr>
                    <w:pStyle w:val="TableColumnHeading"/>
                  </w:pPr>
                  <w:r>
                    <w:t>ACT</w:t>
                  </w:r>
                </w:p>
                <w:p w14:paraId="7954B279" w14:textId="77777777" w:rsidR="00F05DC7" w:rsidRDefault="00F05DC7" w:rsidP="00A3786D">
                  <w:pPr>
                    <w:pStyle w:val="TableColumnHeading"/>
                  </w:pPr>
                  <w:r>
                    <w:t>$m</w:t>
                  </w:r>
                </w:p>
              </w:tc>
              <w:tc>
                <w:tcPr>
                  <w:tcW w:w="388" w:type="pct"/>
                  <w:tcBorders>
                    <w:top w:val="single" w:sz="4" w:space="0" w:color="BFBFBF"/>
                    <w:bottom w:val="single" w:sz="4" w:space="0" w:color="BFBFBF"/>
                  </w:tcBorders>
                </w:tcPr>
                <w:p w14:paraId="7954B27A" w14:textId="77777777" w:rsidR="00F05DC7" w:rsidRDefault="00F05DC7" w:rsidP="00A3786D">
                  <w:pPr>
                    <w:pStyle w:val="TableColumnHeading"/>
                  </w:pPr>
                  <w:r>
                    <w:t>NT</w:t>
                  </w:r>
                </w:p>
                <w:p w14:paraId="7954B27B" w14:textId="77777777" w:rsidR="00F05DC7" w:rsidRDefault="00F05DC7" w:rsidP="00A3786D">
                  <w:pPr>
                    <w:pStyle w:val="TableColumnHeading"/>
                  </w:pPr>
                  <w:r>
                    <w:t>$m</w:t>
                  </w:r>
                </w:p>
              </w:tc>
              <w:tc>
                <w:tcPr>
                  <w:tcW w:w="388" w:type="pct"/>
                  <w:tcBorders>
                    <w:top w:val="single" w:sz="4" w:space="0" w:color="BFBFBF"/>
                    <w:bottom w:val="single" w:sz="4" w:space="0" w:color="BFBFBF"/>
                  </w:tcBorders>
                </w:tcPr>
                <w:p w14:paraId="7954B27C" w14:textId="77777777" w:rsidR="00F05DC7" w:rsidRDefault="00F05DC7" w:rsidP="00A3786D">
                  <w:pPr>
                    <w:pStyle w:val="TableColumnHeading"/>
                  </w:pPr>
                  <w:r>
                    <w:t>Total</w:t>
                  </w:r>
                </w:p>
                <w:p w14:paraId="7954B27D" w14:textId="77777777" w:rsidR="00F05DC7" w:rsidRDefault="00F05DC7" w:rsidP="00A3786D">
                  <w:pPr>
                    <w:pStyle w:val="TableColumnHeading"/>
                  </w:pPr>
                  <w:r>
                    <w:t>$m</w:t>
                  </w:r>
                </w:p>
              </w:tc>
            </w:tr>
            <w:tr w:rsidR="00F05DC7" w14:paraId="7954B289" w14:textId="77777777" w:rsidTr="004F6C34">
              <w:tc>
                <w:tcPr>
                  <w:tcW w:w="1512" w:type="pct"/>
                  <w:tcBorders>
                    <w:top w:val="single" w:sz="4" w:space="0" w:color="BFBFBF"/>
                  </w:tcBorders>
                  <w:shd w:val="pct5" w:color="auto" w:fill="auto"/>
                </w:tcPr>
                <w:p w14:paraId="7954B27F" w14:textId="77777777" w:rsidR="00F05DC7" w:rsidRPr="00DA1BF7" w:rsidRDefault="00F05DC7" w:rsidP="00A3786D">
                  <w:pPr>
                    <w:pStyle w:val="TableUnitsRow"/>
                    <w:jc w:val="left"/>
                    <w:rPr>
                      <w:spacing w:val="-4"/>
                    </w:rPr>
                  </w:pPr>
                  <w:r w:rsidRPr="00DA1BF7">
                    <w:rPr>
                      <w:spacing w:val="-4"/>
                    </w:rPr>
                    <w:t>2013</w:t>
                  </w:r>
                  <w:r>
                    <w:rPr>
                      <w:spacing w:val="-4"/>
                    </w:rPr>
                    <w:noBreakHyphen/>
                  </w:r>
                  <w:r w:rsidRPr="00DA1BF7">
                    <w:rPr>
                      <w:spacing w:val="-4"/>
                    </w:rPr>
                    <w:t>14</w:t>
                  </w:r>
                </w:p>
              </w:tc>
              <w:tc>
                <w:tcPr>
                  <w:tcW w:w="387" w:type="pct"/>
                  <w:tcBorders>
                    <w:top w:val="single" w:sz="4" w:space="0" w:color="BFBFBF"/>
                  </w:tcBorders>
                  <w:shd w:val="pct5" w:color="auto" w:fill="auto"/>
                </w:tcPr>
                <w:p w14:paraId="7954B280" w14:textId="77777777" w:rsidR="00F05DC7" w:rsidRDefault="00F05DC7" w:rsidP="00A3786D">
                  <w:pPr>
                    <w:pStyle w:val="TableUnitsRow"/>
                  </w:pPr>
                </w:p>
              </w:tc>
              <w:tc>
                <w:tcPr>
                  <w:tcW w:w="388" w:type="pct"/>
                  <w:tcBorders>
                    <w:top w:val="single" w:sz="4" w:space="0" w:color="BFBFBF"/>
                  </w:tcBorders>
                  <w:shd w:val="pct5" w:color="auto" w:fill="auto"/>
                </w:tcPr>
                <w:p w14:paraId="7954B281" w14:textId="77777777" w:rsidR="00F05DC7" w:rsidRDefault="00F05DC7" w:rsidP="00A3786D">
                  <w:pPr>
                    <w:pStyle w:val="TableUnitsRow"/>
                  </w:pPr>
                </w:p>
              </w:tc>
              <w:tc>
                <w:tcPr>
                  <w:tcW w:w="387" w:type="pct"/>
                  <w:tcBorders>
                    <w:top w:val="single" w:sz="4" w:space="0" w:color="BFBFBF"/>
                  </w:tcBorders>
                  <w:shd w:val="pct5" w:color="auto" w:fill="auto"/>
                </w:tcPr>
                <w:p w14:paraId="7954B282" w14:textId="77777777" w:rsidR="00F05DC7" w:rsidRDefault="00F05DC7" w:rsidP="00A3786D">
                  <w:pPr>
                    <w:pStyle w:val="TableUnitsRow"/>
                  </w:pPr>
                </w:p>
              </w:tc>
              <w:tc>
                <w:tcPr>
                  <w:tcW w:w="388" w:type="pct"/>
                  <w:tcBorders>
                    <w:top w:val="single" w:sz="4" w:space="0" w:color="BFBFBF"/>
                  </w:tcBorders>
                  <w:shd w:val="pct5" w:color="auto" w:fill="auto"/>
                </w:tcPr>
                <w:p w14:paraId="7954B283" w14:textId="77777777" w:rsidR="00F05DC7" w:rsidRDefault="00F05DC7" w:rsidP="00A3786D">
                  <w:pPr>
                    <w:pStyle w:val="TableUnitsRow"/>
                  </w:pPr>
                </w:p>
              </w:tc>
              <w:tc>
                <w:tcPr>
                  <w:tcW w:w="387" w:type="pct"/>
                  <w:tcBorders>
                    <w:top w:val="single" w:sz="4" w:space="0" w:color="BFBFBF"/>
                  </w:tcBorders>
                  <w:shd w:val="pct5" w:color="auto" w:fill="auto"/>
                </w:tcPr>
                <w:p w14:paraId="7954B284" w14:textId="77777777" w:rsidR="00F05DC7" w:rsidRDefault="00F05DC7" w:rsidP="00A3786D">
                  <w:pPr>
                    <w:pStyle w:val="TableUnitsRow"/>
                  </w:pPr>
                </w:p>
              </w:tc>
              <w:tc>
                <w:tcPr>
                  <w:tcW w:w="388" w:type="pct"/>
                  <w:tcBorders>
                    <w:top w:val="single" w:sz="4" w:space="0" w:color="BFBFBF"/>
                  </w:tcBorders>
                  <w:shd w:val="pct5" w:color="auto" w:fill="auto"/>
                </w:tcPr>
                <w:p w14:paraId="7954B285" w14:textId="77777777" w:rsidR="00F05DC7" w:rsidRDefault="00F05DC7" w:rsidP="00A3786D">
                  <w:pPr>
                    <w:pStyle w:val="TableUnitsRow"/>
                  </w:pPr>
                </w:p>
              </w:tc>
              <w:tc>
                <w:tcPr>
                  <w:tcW w:w="387" w:type="pct"/>
                  <w:tcBorders>
                    <w:top w:val="single" w:sz="4" w:space="0" w:color="BFBFBF"/>
                  </w:tcBorders>
                  <w:shd w:val="pct5" w:color="auto" w:fill="auto"/>
                </w:tcPr>
                <w:p w14:paraId="7954B286" w14:textId="77777777" w:rsidR="00F05DC7" w:rsidRDefault="00F05DC7" w:rsidP="00A3786D">
                  <w:pPr>
                    <w:pStyle w:val="TableUnitsRow"/>
                  </w:pPr>
                </w:p>
              </w:tc>
              <w:tc>
                <w:tcPr>
                  <w:tcW w:w="388" w:type="pct"/>
                  <w:tcBorders>
                    <w:top w:val="single" w:sz="4" w:space="0" w:color="BFBFBF"/>
                  </w:tcBorders>
                  <w:shd w:val="pct5" w:color="auto" w:fill="auto"/>
                </w:tcPr>
                <w:p w14:paraId="7954B287" w14:textId="77777777" w:rsidR="00F05DC7" w:rsidRDefault="00F05DC7" w:rsidP="00A3786D">
                  <w:pPr>
                    <w:pStyle w:val="TableUnitsRow"/>
                  </w:pPr>
                </w:p>
              </w:tc>
              <w:tc>
                <w:tcPr>
                  <w:tcW w:w="388" w:type="pct"/>
                  <w:tcBorders>
                    <w:top w:val="single" w:sz="4" w:space="0" w:color="BFBFBF"/>
                  </w:tcBorders>
                  <w:shd w:val="pct5" w:color="auto" w:fill="auto"/>
                </w:tcPr>
                <w:p w14:paraId="7954B288" w14:textId="77777777" w:rsidR="00F05DC7" w:rsidRDefault="00F05DC7" w:rsidP="00A3786D">
                  <w:pPr>
                    <w:pStyle w:val="TableUnitsRow"/>
                  </w:pPr>
                </w:p>
              </w:tc>
            </w:tr>
            <w:tr w:rsidR="00F05DC7" w14:paraId="7954B294" w14:textId="77777777" w:rsidTr="00A3786D">
              <w:tc>
                <w:tcPr>
                  <w:tcW w:w="1512" w:type="pct"/>
                  <w:tcMar>
                    <w:left w:w="113" w:type="dxa"/>
                  </w:tcMar>
                </w:tcPr>
                <w:p w14:paraId="7954B28A" w14:textId="77777777" w:rsidR="00F05DC7" w:rsidRPr="00DA1BF7" w:rsidRDefault="00F05DC7" w:rsidP="00A3786D">
                  <w:pPr>
                    <w:pStyle w:val="TableUnitsRow"/>
                    <w:jc w:val="left"/>
                    <w:rPr>
                      <w:spacing w:val="-4"/>
                    </w:rPr>
                  </w:pPr>
                  <w:r w:rsidRPr="00DA1BF7">
                    <w:rPr>
                      <w:spacing w:val="-4"/>
                    </w:rPr>
                    <w:t>Funding allocation</w:t>
                  </w:r>
                </w:p>
              </w:tc>
              <w:tc>
                <w:tcPr>
                  <w:tcW w:w="387" w:type="pct"/>
                </w:tcPr>
                <w:p w14:paraId="7954B28B" w14:textId="77777777" w:rsidR="00F05DC7" w:rsidRDefault="00F05DC7" w:rsidP="00A3786D">
                  <w:pPr>
                    <w:pStyle w:val="TableUnitsRow"/>
                  </w:pPr>
                  <w:r>
                    <w:t>1 407</w:t>
                  </w:r>
                </w:p>
              </w:tc>
              <w:tc>
                <w:tcPr>
                  <w:tcW w:w="388" w:type="pct"/>
                </w:tcPr>
                <w:p w14:paraId="7954B28C" w14:textId="77777777" w:rsidR="00F05DC7" w:rsidRDefault="00F05DC7" w:rsidP="00A3786D">
                  <w:pPr>
                    <w:pStyle w:val="TableUnitsRow"/>
                  </w:pPr>
                  <w:r>
                    <w:t>1 035</w:t>
                  </w:r>
                </w:p>
              </w:tc>
              <w:tc>
                <w:tcPr>
                  <w:tcW w:w="387" w:type="pct"/>
                </w:tcPr>
                <w:p w14:paraId="7954B28D" w14:textId="77777777" w:rsidR="00F05DC7" w:rsidRDefault="00F05DC7" w:rsidP="00A3786D">
                  <w:pPr>
                    <w:pStyle w:val="TableUnitsRow"/>
                  </w:pPr>
                  <w:r>
                    <w:t>964</w:t>
                  </w:r>
                </w:p>
              </w:tc>
              <w:tc>
                <w:tcPr>
                  <w:tcW w:w="388" w:type="pct"/>
                </w:tcPr>
                <w:p w14:paraId="7954B28E" w14:textId="77777777" w:rsidR="00F05DC7" w:rsidRDefault="00F05DC7" w:rsidP="00A3786D">
                  <w:pPr>
                    <w:pStyle w:val="TableUnitsRow"/>
                  </w:pPr>
                  <w:r>
                    <w:t>465</w:t>
                  </w:r>
                </w:p>
              </w:tc>
              <w:tc>
                <w:tcPr>
                  <w:tcW w:w="387" w:type="pct"/>
                </w:tcPr>
                <w:p w14:paraId="7954B28F" w14:textId="77777777" w:rsidR="00F05DC7" w:rsidRDefault="00F05DC7" w:rsidP="00A3786D">
                  <w:pPr>
                    <w:pStyle w:val="TableUnitsRow"/>
                  </w:pPr>
                  <w:r>
                    <w:t>334</w:t>
                  </w:r>
                </w:p>
              </w:tc>
              <w:tc>
                <w:tcPr>
                  <w:tcW w:w="388" w:type="pct"/>
                </w:tcPr>
                <w:p w14:paraId="7954B290" w14:textId="77777777" w:rsidR="00F05DC7" w:rsidRDefault="00F05DC7" w:rsidP="00A3786D">
                  <w:pPr>
                    <w:pStyle w:val="TableUnitsRow"/>
                  </w:pPr>
                  <w:r>
                    <w:t>123</w:t>
                  </w:r>
                </w:p>
              </w:tc>
              <w:tc>
                <w:tcPr>
                  <w:tcW w:w="387" w:type="pct"/>
                </w:tcPr>
                <w:p w14:paraId="7954B291" w14:textId="77777777" w:rsidR="00F05DC7" w:rsidRDefault="00F05DC7" w:rsidP="00A3786D">
                  <w:pPr>
                    <w:pStyle w:val="TableUnitsRow"/>
                  </w:pPr>
                  <w:r>
                    <w:t>68</w:t>
                  </w:r>
                </w:p>
              </w:tc>
              <w:tc>
                <w:tcPr>
                  <w:tcW w:w="388" w:type="pct"/>
                </w:tcPr>
                <w:p w14:paraId="7954B292" w14:textId="77777777" w:rsidR="00F05DC7" w:rsidRDefault="00F05DC7" w:rsidP="00A3786D">
                  <w:pPr>
                    <w:pStyle w:val="TableUnitsRow"/>
                  </w:pPr>
                  <w:r>
                    <w:t>92</w:t>
                  </w:r>
                </w:p>
              </w:tc>
              <w:tc>
                <w:tcPr>
                  <w:tcW w:w="388" w:type="pct"/>
                </w:tcPr>
                <w:p w14:paraId="7954B293" w14:textId="77777777" w:rsidR="00F05DC7" w:rsidRDefault="00F05DC7" w:rsidP="00A3786D">
                  <w:pPr>
                    <w:pStyle w:val="TableUnitsRow"/>
                  </w:pPr>
                  <w:r>
                    <w:t>4 488</w:t>
                  </w:r>
                </w:p>
              </w:tc>
            </w:tr>
            <w:tr w:rsidR="00F05DC7" w14:paraId="7954B29F" w14:textId="77777777" w:rsidTr="00A3786D">
              <w:tc>
                <w:tcPr>
                  <w:tcW w:w="1512" w:type="pct"/>
                  <w:tcMar>
                    <w:left w:w="113" w:type="dxa"/>
                  </w:tcMar>
                </w:tcPr>
                <w:p w14:paraId="7954B295" w14:textId="77777777" w:rsidR="00F05DC7" w:rsidRPr="00DA1BF7" w:rsidRDefault="00F05DC7" w:rsidP="00A3786D">
                  <w:pPr>
                    <w:pStyle w:val="TableUnitsRow"/>
                    <w:jc w:val="left"/>
                    <w:rPr>
                      <w:spacing w:val="-4"/>
                    </w:rPr>
                  </w:pPr>
                  <w:r>
                    <w:rPr>
                      <w:spacing w:val="-4"/>
                    </w:rPr>
                    <w:t>Assessed d</w:t>
                  </w:r>
                  <w:r w:rsidRPr="00DA1BF7">
                    <w:rPr>
                      <w:spacing w:val="-4"/>
                    </w:rPr>
                    <w:t>ifference from EPC</w:t>
                  </w:r>
                </w:p>
              </w:tc>
              <w:tc>
                <w:tcPr>
                  <w:tcW w:w="387" w:type="pct"/>
                </w:tcPr>
                <w:p w14:paraId="7954B296" w14:textId="77777777" w:rsidR="00F05DC7" w:rsidRDefault="00F05DC7" w:rsidP="00A3786D">
                  <w:pPr>
                    <w:pStyle w:val="TableUnitsRow"/>
                  </w:pPr>
                  <w:r>
                    <w:noBreakHyphen/>
                    <w:t>13</w:t>
                  </w:r>
                </w:p>
              </w:tc>
              <w:tc>
                <w:tcPr>
                  <w:tcW w:w="388" w:type="pct"/>
                </w:tcPr>
                <w:p w14:paraId="7954B297" w14:textId="77777777" w:rsidR="00F05DC7" w:rsidRDefault="00F05DC7" w:rsidP="00A3786D">
                  <w:pPr>
                    <w:pStyle w:val="TableUnitsRow"/>
                  </w:pPr>
                  <w:r>
                    <w:t>51</w:t>
                  </w:r>
                </w:p>
              </w:tc>
              <w:tc>
                <w:tcPr>
                  <w:tcW w:w="387" w:type="pct"/>
                </w:tcPr>
                <w:p w14:paraId="7954B298" w14:textId="77777777" w:rsidR="00F05DC7" w:rsidRDefault="00F05DC7" w:rsidP="00A3786D">
                  <w:pPr>
                    <w:pStyle w:val="TableUnitsRow"/>
                  </w:pPr>
                  <w:r>
                    <w:noBreakHyphen/>
                    <w:t>37</w:t>
                  </w:r>
                </w:p>
              </w:tc>
              <w:tc>
                <w:tcPr>
                  <w:tcW w:w="388" w:type="pct"/>
                </w:tcPr>
                <w:p w14:paraId="7954B299" w14:textId="77777777" w:rsidR="00F05DC7" w:rsidRDefault="00F05DC7" w:rsidP="00A3786D">
                  <w:pPr>
                    <w:pStyle w:val="TableUnitsRow"/>
                  </w:pPr>
                  <w:r>
                    <w:t>12</w:t>
                  </w:r>
                </w:p>
              </w:tc>
              <w:tc>
                <w:tcPr>
                  <w:tcW w:w="387" w:type="pct"/>
                </w:tcPr>
                <w:p w14:paraId="7954B29A" w14:textId="77777777" w:rsidR="00F05DC7" w:rsidRDefault="00F05DC7" w:rsidP="00A3786D">
                  <w:pPr>
                    <w:pStyle w:val="TableUnitsRow"/>
                  </w:pPr>
                  <w:r>
                    <w:t>4</w:t>
                  </w:r>
                </w:p>
              </w:tc>
              <w:tc>
                <w:tcPr>
                  <w:tcW w:w="388" w:type="pct"/>
                </w:tcPr>
                <w:p w14:paraId="7954B29B" w14:textId="77777777" w:rsidR="00F05DC7" w:rsidRDefault="00F05DC7" w:rsidP="00A3786D">
                  <w:pPr>
                    <w:pStyle w:val="TableUnitsRow"/>
                  </w:pPr>
                  <w:r>
                    <w:noBreakHyphen/>
                    <w:t>10</w:t>
                  </w:r>
                </w:p>
              </w:tc>
              <w:tc>
                <w:tcPr>
                  <w:tcW w:w="387" w:type="pct"/>
                </w:tcPr>
                <w:p w14:paraId="7954B29C" w14:textId="77777777" w:rsidR="00F05DC7" w:rsidRDefault="00F05DC7" w:rsidP="00A3786D">
                  <w:pPr>
                    <w:pStyle w:val="TableUnitsRow"/>
                  </w:pPr>
                  <w:r>
                    <w:t>5</w:t>
                  </w:r>
                </w:p>
              </w:tc>
              <w:tc>
                <w:tcPr>
                  <w:tcW w:w="388" w:type="pct"/>
                </w:tcPr>
                <w:p w14:paraId="7954B29D" w14:textId="77777777" w:rsidR="00F05DC7" w:rsidRDefault="00F05DC7" w:rsidP="00A3786D">
                  <w:pPr>
                    <w:pStyle w:val="TableUnitsRow"/>
                  </w:pPr>
                  <w:r>
                    <w:noBreakHyphen/>
                    <w:t>13</w:t>
                  </w:r>
                </w:p>
              </w:tc>
              <w:tc>
                <w:tcPr>
                  <w:tcW w:w="388" w:type="pct"/>
                </w:tcPr>
                <w:p w14:paraId="7954B29E" w14:textId="77777777" w:rsidR="00F05DC7" w:rsidRDefault="00F05DC7" w:rsidP="00A3786D">
                  <w:pPr>
                    <w:pStyle w:val="TableUnitsRow"/>
                  </w:pPr>
                  <w:r>
                    <w:t>73</w:t>
                  </w:r>
                </w:p>
              </w:tc>
            </w:tr>
            <w:tr w:rsidR="00F05DC7" w14:paraId="7954B2AA" w14:textId="77777777" w:rsidTr="00A3786D">
              <w:tc>
                <w:tcPr>
                  <w:tcW w:w="1512" w:type="pct"/>
                  <w:shd w:val="pct5" w:color="auto" w:fill="auto"/>
                </w:tcPr>
                <w:p w14:paraId="7954B2A0" w14:textId="77777777" w:rsidR="00F05DC7" w:rsidRPr="00DA1BF7" w:rsidRDefault="00F05DC7" w:rsidP="00A3786D">
                  <w:pPr>
                    <w:pStyle w:val="TableUnitsRow"/>
                    <w:jc w:val="left"/>
                    <w:rPr>
                      <w:spacing w:val="-4"/>
                    </w:rPr>
                  </w:pPr>
                  <w:r w:rsidRPr="00DA1BF7">
                    <w:rPr>
                      <w:spacing w:val="-4"/>
                    </w:rPr>
                    <w:t>2014</w:t>
                  </w:r>
                  <w:r>
                    <w:rPr>
                      <w:spacing w:val="-4"/>
                    </w:rPr>
                    <w:noBreakHyphen/>
                  </w:r>
                  <w:r w:rsidRPr="00DA1BF7">
                    <w:rPr>
                      <w:spacing w:val="-4"/>
                    </w:rPr>
                    <w:t>15</w:t>
                  </w:r>
                </w:p>
              </w:tc>
              <w:tc>
                <w:tcPr>
                  <w:tcW w:w="387" w:type="pct"/>
                  <w:shd w:val="pct5" w:color="auto" w:fill="auto"/>
                </w:tcPr>
                <w:p w14:paraId="7954B2A1" w14:textId="77777777" w:rsidR="00F05DC7" w:rsidRDefault="00F05DC7" w:rsidP="00A3786D">
                  <w:pPr>
                    <w:pStyle w:val="TableUnitsRow"/>
                  </w:pPr>
                </w:p>
              </w:tc>
              <w:tc>
                <w:tcPr>
                  <w:tcW w:w="388" w:type="pct"/>
                  <w:shd w:val="pct5" w:color="auto" w:fill="auto"/>
                </w:tcPr>
                <w:p w14:paraId="7954B2A2" w14:textId="77777777" w:rsidR="00F05DC7" w:rsidRDefault="00F05DC7" w:rsidP="00A3786D">
                  <w:pPr>
                    <w:pStyle w:val="TableUnitsRow"/>
                  </w:pPr>
                </w:p>
              </w:tc>
              <w:tc>
                <w:tcPr>
                  <w:tcW w:w="387" w:type="pct"/>
                  <w:shd w:val="pct5" w:color="auto" w:fill="auto"/>
                </w:tcPr>
                <w:p w14:paraId="7954B2A3" w14:textId="77777777" w:rsidR="00F05DC7" w:rsidRDefault="00F05DC7" w:rsidP="00A3786D">
                  <w:pPr>
                    <w:pStyle w:val="TableUnitsRow"/>
                  </w:pPr>
                </w:p>
              </w:tc>
              <w:tc>
                <w:tcPr>
                  <w:tcW w:w="388" w:type="pct"/>
                  <w:shd w:val="pct5" w:color="auto" w:fill="auto"/>
                </w:tcPr>
                <w:p w14:paraId="7954B2A4" w14:textId="77777777" w:rsidR="00F05DC7" w:rsidRDefault="00F05DC7" w:rsidP="00A3786D">
                  <w:pPr>
                    <w:pStyle w:val="TableUnitsRow"/>
                  </w:pPr>
                </w:p>
              </w:tc>
              <w:tc>
                <w:tcPr>
                  <w:tcW w:w="387" w:type="pct"/>
                  <w:shd w:val="pct5" w:color="auto" w:fill="auto"/>
                </w:tcPr>
                <w:p w14:paraId="7954B2A5" w14:textId="77777777" w:rsidR="00F05DC7" w:rsidRDefault="00F05DC7" w:rsidP="00A3786D">
                  <w:pPr>
                    <w:pStyle w:val="TableUnitsRow"/>
                  </w:pPr>
                </w:p>
              </w:tc>
              <w:tc>
                <w:tcPr>
                  <w:tcW w:w="388" w:type="pct"/>
                  <w:shd w:val="pct5" w:color="auto" w:fill="auto"/>
                </w:tcPr>
                <w:p w14:paraId="7954B2A6" w14:textId="77777777" w:rsidR="00F05DC7" w:rsidRDefault="00F05DC7" w:rsidP="00A3786D">
                  <w:pPr>
                    <w:pStyle w:val="TableUnitsRow"/>
                  </w:pPr>
                </w:p>
              </w:tc>
              <w:tc>
                <w:tcPr>
                  <w:tcW w:w="387" w:type="pct"/>
                  <w:shd w:val="pct5" w:color="auto" w:fill="auto"/>
                </w:tcPr>
                <w:p w14:paraId="7954B2A7" w14:textId="77777777" w:rsidR="00F05DC7" w:rsidRDefault="00F05DC7" w:rsidP="00A3786D">
                  <w:pPr>
                    <w:pStyle w:val="TableUnitsRow"/>
                  </w:pPr>
                </w:p>
              </w:tc>
              <w:tc>
                <w:tcPr>
                  <w:tcW w:w="388" w:type="pct"/>
                  <w:shd w:val="pct5" w:color="auto" w:fill="auto"/>
                </w:tcPr>
                <w:p w14:paraId="7954B2A8" w14:textId="77777777" w:rsidR="00F05DC7" w:rsidRDefault="00F05DC7" w:rsidP="00A3786D">
                  <w:pPr>
                    <w:pStyle w:val="TableUnitsRow"/>
                  </w:pPr>
                </w:p>
              </w:tc>
              <w:tc>
                <w:tcPr>
                  <w:tcW w:w="388" w:type="pct"/>
                  <w:shd w:val="pct5" w:color="auto" w:fill="auto"/>
                </w:tcPr>
                <w:p w14:paraId="7954B2A9" w14:textId="77777777" w:rsidR="00F05DC7" w:rsidRDefault="00F05DC7" w:rsidP="00A3786D">
                  <w:pPr>
                    <w:pStyle w:val="TableUnitsRow"/>
                  </w:pPr>
                </w:p>
              </w:tc>
            </w:tr>
            <w:tr w:rsidR="00F05DC7" w14:paraId="7954B2B5" w14:textId="77777777" w:rsidTr="00A3786D">
              <w:tc>
                <w:tcPr>
                  <w:tcW w:w="1512" w:type="pct"/>
                  <w:tcMar>
                    <w:left w:w="113" w:type="dxa"/>
                  </w:tcMar>
                </w:tcPr>
                <w:p w14:paraId="7954B2AB" w14:textId="77777777" w:rsidR="00F05DC7" w:rsidRPr="00DA1BF7" w:rsidRDefault="00F05DC7" w:rsidP="00A3786D">
                  <w:pPr>
                    <w:pStyle w:val="TableUnitsRow"/>
                    <w:jc w:val="left"/>
                    <w:rPr>
                      <w:spacing w:val="-4"/>
                    </w:rPr>
                  </w:pPr>
                  <w:r w:rsidRPr="00DA1BF7">
                    <w:rPr>
                      <w:spacing w:val="-4"/>
                    </w:rPr>
                    <w:t>Funding allocation</w:t>
                  </w:r>
                </w:p>
              </w:tc>
              <w:tc>
                <w:tcPr>
                  <w:tcW w:w="387" w:type="pct"/>
                </w:tcPr>
                <w:p w14:paraId="7954B2AC" w14:textId="77777777" w:rsidR="00F05DC7" w:rsidRDefault="00F05DC7" w:rsidP="00A3786D">
                  <w:pPr>
                    <w:pStyle w:val="TableUnitsRow"/>
                  </w:pPr>
                  <w:r>
                    <w:t>1 615</w:t>
                  </w:r>
                </w:p>
              </w:tc>
              <w:tc>
                <w:tcPr>
                  <w:tcW w:w="388" w:type="pct"/>
                </w:tcPr>
                <w:p w14:paraId="7954B2AD" w14:textId="77777777" w:rsidR="00F05DC7" w:rsidRDefault="00F05DC7" w:rsidP="00A3786D">
                  <w:pPr>
                    <w:pStyle w:val="TableUnitsRow"/>
                  </w:pPr>
                  <w:r>
                    <w:t>1 236</w:t>
                  </w:r>
                </w:p>
              </w:tc>
              <w:tc>
                <w:tcPr>
                  <w:tcW w:w="387" w:type="pct"/>
                </w:tcPr>
                <w:p w14:paraId="7954B2AE" w14:textId="77777777" w:rsidR="00F05DC7" w:rsidRDefault="00F05DC7" w:rsidP="00A3786D">
                  <w:pPr>
                    <w:pStyle w:val="TableUnitsRow"/>
                  </w:pPr>
                  <w:r>
                    <w:t>1 135</w:t>
                  </w:r>
                </w:p>
              </w:tc>
              <w:tc>
                <w:tcPr>
                  <w:tcW w:w="388" w:type="pct"/>
                </w:tcPr>
                <w:p w14:paraId="7954B2AF" w14:textId="77777777" w:rsidR="00F05DC7" w:rsidRDefault="00F05DC7" w:rsidP="00A3786D">
                  <w:pPr>
                    <w:pStyle w:val="TableUnitsRow"/>
                  </w:pPr>
                  <w:r>
                    <w:t>515</w:t>
                  </w:r>
                </w:p>
              </w:tc>
              <w:tc>
                <w:tcPr>
                  <w:tcW w:w="387" w:type="pct"/>
                </w:tcPr>
                <w:p w14:paraId="7954B2B0" w14:textId="77777777" w:rsidR="00F05DC7" w:rsidRDefault="00F05DC7" w:rsidP="00A3786D">
                  <w:pPr>
                    <w:pStyle w:val="TableUnitsRow"/>
                  </w:pPr>
                  <w:r>
                    <w:t>375</w:t>
                  </w:r>
                </w:p>
              </w:tc>
              <w:tc>
                <w:tcPr>
                  <w:tcW w:w="388" w:type="pct"/>
                </w:tcPr>
                <w:p w14:paraId="7954B2B1" w14:textId="77777777" w:rsidR="00F05DC7" w:rsidRDefault="00F05DC7" w:rsidP="00A3786D">
                  <w:pPr>
                    <w:pStyle w:val="TableUnitsRow"/>
                  </w:pPr>
                  <w:r>
                    <w:t>156</w:t>
                  </w:r>
                </w:p>
              </w:tc>
              <w:tc>
                <w:tcPr>
                  <w:tcW w:w="387" w:type="pct"/>
                </w:tcPr>
                <w:p w14:paraId="7954B2B2" w14:textId="77777777" w:rsidR="00F05DC7" w:rsidRDefault="00F05DC7" w:rsidP="00A3786D">
                  <w:pPr>
                    <w:pStyle w:val="TableUnitsRow"/>
                  </w:pPr>
                  <w:r>
                    <w:t>78</w:t>
                  </w:r>
                </w:p>
              </w:tc>
              <w:tc>
                <w:tcPr>
                  <w:tcW w:w="388" w:type="pct"/>
                </w:tcPr>
                <w:p w14:paraId="7954B2B3" w14:textId="77777777" w:rsidR="00F05DC7" w:rsidRDefault="00F05DC7" w:rsidP="00A3786D">
                  <w:pPr>
                    <w:pStyle w:val="TableUnitsRow"/>
                  </w:pPr>
                  <w:r>
                    <w:t>138</w:t>
                  </w:r>
                </w:p>
              </w:tc>
              <w:tc>
                <w:tcPr>
                  <w:tcW w:w="388" w:type="pct"/>
                </w:tcPr>
                <w:p w14:paraId="7954B2B4" w14:textId="77777777" w:rsidR="00F05DC7" w:rsidRDefault="00F05DC7" w:rsidP="00A3786D">
                  <w:pPr>
                    <w:pStyle w:val="TableUnitsRow"/>
                  </w:pPr>
                  <w:r>
                    <w:t>5 247</w:t>
                  </w:r>
                </w:p>
              </w:tc>
            </w:tr>
            <w:tr w:rsidR="00F05DC7" w14:paraId="7954B2C0" w14:textId="77777777" w:rsidTr="00A3786D">
              <w:tc>
                <w:tcPr>
                  <w:tcW w:w="1512" w:type="pct"/>
                  <w:tcMar>
                    <w:left w:w="113" w:type="dxa"/>
                  </w:tcMar>
                </w:tcPr>
                <w:p w14:paraId="7954B2B6" w14:textId="77777777" w:rsidR="00F05DC7" w:rsidRPr="00DA1BF7" w:rsidRDefault="00F05DC7" w:rsidP="00A3786D">
                  <w:pPr>
                    <w:pStyle w:val="TableUnitsRow"/>
                    <w:jc w:val="left"/>
                    <w:rPr>
                      <w:spacing w:val="-4"/>
                    </w:rPr>
                  </w:pPr>
                  <w:r>
                    <w:rPr>
                      <w:spacing w:val="-4"/>
                    </w:rPr>
                    <w:t>Assessed d</w:t>
                  </w:r>
                  <w:r w:rsidRPr="00DA1BF7">
                    <w:rPr>
                      <w:spacing w:val="-4"/>
                    </w:rPr>
                    <w:t>ifference from EPC</w:t>
                  </w:r>
                </w:p>
              </w:tc>
              <w:tc>
                <w:tcPr>
                  <w:tcW w:w="387" w:type="pct"/>
                </w:tcPr>
                <w:p w14:paraId="7954B2B7" w14:textId="77777777" w:rsidR="00F05DC7" w:rsidRDefault="00F05DC7" w:rsidP="00A3786D">
                  <w:pPr>
                    <w:pStyle w:val="TableUnitsRow"/>
                  </w:pPr>
                  <w:r>
                    <w:t>68</w:t>
                  </w:r>
                </w:p>
              </w:tc>
              <w:tc>
                <w:tcPr>
                  <w:tcW w:w="388" w:type="pct"/>
                </w:tcPr>
                <w:p w14:paraId="7954B2B8" w14:textId="77777777" w:rsidR="00F05DC7" w:rsidRDefault="00F05DC7" w:rsidP="00A3786D">
                  <w:pPr>
                    <w:pStyle w:val="TableUnitsRow"/>
                  </w:pPr>
                  <w:r>
                    <w:t>63</w:t>
                  </w:r>
                </w:p>
              </w:tc>
              <w:tc>
                <w:tcPr>
                  <w:tcW w:w="387" w:type="pct"/>
                </w:tcPr>
                <w:p w14:paraId="7954B2B9" w14:textId="77777777" w:rsidR="00F05DC7" w:rsidRDefault="00F05DC7" w:rsidP="00A3786D">
                  <w:pPr>
                    <w:pStyle w:val="TableUnitsRow"/>
                  </w:pPr>
                  <w:r>
                    <w:noBreakHyphen/>
                    <w:t>91</w:t>
                  </w:r>
                </w:p>
              </w:tc>
              <w:tc>
                <w:tcPr>
                  <w:tcW w:w="388" w:type="pct"/>
                </w:tcPr>
                <w:p w14:paraId="7954B2BA" w14:textId="77777777" w:rsidR="00F05DC7" w:rsidRDefault="00F05DC7" w:rsidP="00A3786D">
                  <w:pPr>
                    <w:pStyle w:val="TableUnitsRow"/>
                  </w:pPr>
                  <w:r>
                    <w:t>39</w:t>
                  </w:r>
                </w:p>
              </w:tc>
              <w:tc>
                <w:tcPr>
                  <w:tcW w:w="387" w:type="pct"/>
                </w:tcPr>
                <w:p w14:paraId="7954B2BB" w14:textId="77777777" w:rsidR="00F05DC7" w:rsidRDefault="00F05DC7" w:rsidP="00A3786D">
                  <w:pPr>
                    <w:pStyle w:val="TableUnitsRow"/>
                  </w:pPr>
                  <w:r>
                    <w:t>9</w:t>
                  </w:r>
                </w:p>
              </w:tc>
              <w:tc>
                <w:tcPr>
                  <w:tcW w:w="388" w:type="pct"/>
                </w:tcPr>
                <w:p w14:paraId="7954B2BC" w14:textId="77777777" w:rsidR="00F05DC7" w:rsidRDefault="00F05DC7" w:rsidP="00A3786D">
                  <w:pPr>
                    <w:pStyle w:val="TableUnitsRow"/>
                  </w:pPr>
                  <w:r>
                    <w:noBreakHyphen/>
                    <w:t>31</w:t>
                  </w:r>
                </w:p>
              </w:tc>
              <w:tc>
                <w:tcPr>
                  <w:tcW w:w="387" w:type="pct"/>
                </w:tcPr>
                <w:p w14:paraId="7954B2BD" w14:textId="77777777" w:rsidR="00F05DC7" w:rsidRDefault="00F05DC7" w:rsidP="00A3786D">
                  <w:pPr>
                    <w:pStyle w:val="TableUnitsRow"/>
                  </w:pPr>
                  <w:r>
                    <w:t>8</w:t>
                  </w:r>
                </w:p>
              </w:tc>
              <w:tc>
                <w:tcPr>
                  <w:tcW w:w="388" w:type="pct"/>
                </w:tcPr>
                <w:p w14:paraId="7954B2BE" w14:textId="77777777" w:rsidR="00F05DC7" w:rsidRDefault="00F05DC7" w:rsidP="00A3786D">
                  <w:pPr>
                    <w:pStyle w:val="TableUnitsRow"/>
                  </w:pPr>
                  <w:r>
                    <w:noBreakHyphen/>
                    <w:t>65</w:t>
                  </w:r>
                </w:p>
              </w:tc>
              <w:tc>
                <w:tcPr>
                  <w:tcW w:w="388" w:type="pct"/>
                </w:tcPr>
                <w:p w14:paraId="7954B2BF" w14:textId="77777777" w:rsidR="00F05DC7" w:rsidRDefault="00F05DC7" w:rsidP="00A3786D">
                  <w:pPr>
                    <w:pStyle w:val="TableUnitsRow"/>
                  </w:pPr>
                  <w:r>
                    <w:t>187</w:t>
                  </w:r>
                </w:p>
              </w:tc>
            </w:tr>
            <w:tr w:rsidR="00F05DC7" w14:paraId="7954B2CB" w14:textId="77777777" w:rsidTr="00A3786D">
              <w:tc>
                <w:tcPr>
                  <w:tcW w:w="1512" w:type="pct"/>
                  <w:shd w:val="pct5" w:color="auto" w:fill="auto"/>
                </w:tcPr>
                <w:p w14:paraId="7954B2C1" w14:textId="77777777" w:rsidR="00F05DC7" w:rsidRPr="00DA1BF7" w:rsidRDefault="00F05DC7" w:rsidP="00A3786D">
                  <w:pPr>
                    <w:pStyle w:val="TableUnitsRow"/>
                    <w:jc w:val="left"/>
                    <w:rPr>
                      <w:spacing w:val="-4"/>
                    </w:rPr>
                  </w:pPr>
                  <w:r w:rsidRPr="00DA1BF7">
                    <w:rPr>
                      <w:spacing w:val="-4"/>
                    </w:rPr>
                    <w:t>2015</w:t>
                  </w:r>
                  <w:r>
                    <w:rPr>
                      <w:spacing w:val="-4"/>
                    </w:rPr>
                    <w:noBreakHyphen/>
                  </w:r>
                  <w:r w:rsidRPr="00DA1BF7">
                    <w:rPr>
                      <w:spacing w:val="-4"/>
                    </w:rPr>
                    <w:t>16</w:t>
                  </w:r>
                </w:p>
              </w:tc>
              <w:tc>
                <w:tcPr>
                  <w:tcW w:w="387" w:type="pct"/>
                  <w:shd w:val="pct5" w:color="auto" w:fill="auto"/>
                </w:tcPr>
                <w:p w14:paraId="7954B2C2" w14:textId="77777777" w:rsidR="00F05DC7" w:rsidRDefault="00F05DC7" w:rsidP="00A3786D">
                  <w:pPr>
                    <w:pStyle w:val="TableUnitsRow"/>
                  </w:pPr>
                </w:p>
              </w:tc>
              <w:tc>
                <w:tcPr>
                  <w:tcW w:w="388" w:type="pct"/>
                  <w:shd w:val="pct5" w:color="auto" w:fill="auto"/>
                </w:tcPr>
                <w:p w14:paraId="7954B2C3" w14:textId="77777777" w:rsidR="00F05DC7" w:rsidRDefault="00F05DC7" w:rsidP="00A3786D">
                  <w:pPr>
                    <w:pStyle w:val="TableUnitsRow"/>
                  </w:pPr>
                </w:p>
              </w:tc>
              <w:tc>
                <w:tcPr>
                  <w:tcW w:w="387" w:type="pct"/>
                  <w:shd w:val="pct5" w:color="auto" w:fill="auto"/>
                </w:tcPr>
                <w:p w14:paraId="7954B2C4" w14:textId="77777777" w:rsidR="00F05DC7" w:rsidRDefault="00F05DC7" w:rsidP="00A3786D">
                  <w:pPr>
                    <w:pStyle w:val="TableUnitsRow"/>
                  </w:pPr>
                </w:p>
              </w:tc>
              <w:tc>
                <w:tcPr>
                  <w:tcW w:w="388" w:type="pct"/>
                  <w:shd w:val="pct5" w:color="auto" w:fill="auto"/>
                </w:tcPr>
                <w:p w14:paraId="7954B2C5" w14:textId="77777777" w:rsidR="00F05DC7" w:rsidRDefault="00F05DC7" w:rsidP="00A3786D">
                  <w:pPr>
                    <w:pStyle w:val="TableUnitsRow"/>
                  </w:pPr>
                </w:p>
              </w:tc>
              <w:tc>
                <w:tcPr>
                  <w:tcW w:w="387" w:type="pct"/>
                  <w:shd w:val="pct5" w:color="auto" w:fill="auto"/>
                </w:tcPr>
                <w:p w14:paraId="7954B2C6" w14:textId="77777777" w:rsidR="00F05DC7" w:rsidRDefault="00F05DC7" w:rsidP="00A3786D">
                  <w:pPr>
                    <w:pStyle w:val="TableUnitsRow"/>
                  </w:pPr>
                </w:p>
              </w:tc>
              <w:tc>
                <w:tcPr>
                  <w:tcW w:w="388" w:type="pct"/>
                  <w:shd w:val="pct5" w:color="auto" w:fill="auto"/>
                </w:tcPr>
                <w:p w14:paraId="7954B2C7" w14:textId="77777777" w:rsidR="00F05DC7" w:rsidRDefault="00F05DC7" w:rsidP="00A3786D">
                  <w:pPr>
                    <w:pStyle w:val="TableUnitsRow"/>
                  </w:pPr>
                </w:p>
              </w:tc>
              <w:tc>
                <w:tcPr>
                  <w:tcW w:w="387" w:type="pct"/>
                  <w:shd w:val="pct5" w:color="auto" w:fill="auto"/>
                </w:tcPr>
                <w:p w14:paraId="7954B2C8" w14:textId="77777777" w:rsidR="00F05DC7" w:rsidRDefault="00F05DC7" w:rsidP="00A3786D">
                  <w:pPr>
                    <w:pStyle w:val="TableUnitsRow"/>
                  </w:pPr>
                </w:p>
              </w:tc>
              <w:tc>
                <w:tcPr>
                  <w:tcW w:w="388" w:type="pct"/>
                  <w:shd w:val="pct5" w:color="auto" w:fill="auto"/>
                </w:tcPr>
                <w:p w14:paraId="7954B2C9" w14:textId="77777777" w:rsidR="00F05DC7" w:rsidRDefault="00F05DC7" w:rsidP="00A3786D">
                  <w:pPr>
                    <w:pStyle w:val="TableUnitsRow"/>
                  </w:pPr>
                </w:p>
              </w:tc>
              <w:tc>
                <w:tcPr>
                  <w:tcW w:w="388" w:type="pct"/>
                  <w:shd w:val="pct5" w:color="auto" w:fill="auto"/>
                </w:tcPr>
                <w:p w14:paraId="7954B2CA" w14:textId="77777777" w:rsidR="00F05DC7" w:rsidRDefault="00F05DC7" w:rsidP="00A3786D">
                  <w:pPr>
                    <w:pStyle w:val="TableUnitsRow"/>
                  </w:pPr>
                </w:p>
              </w:tc>
            </w:tr>
            <w:tr w:rsidR="00F05DC7" w14:paraId="7954B2D6" w14:textId="77777777" w:rsidTr="00A3786D">
              <w:tc>
                <w:tcPr>
                  <w:tcW w:w="1512" w:type="pct"/>
                  <w:tcMar>
                    <w:left w:w="113" w:type="dxa"/>
                  </w:tcMar>
                </w:tcPr>
                <w:p w14:paraId="7954B2CC" w14:textId="77777777" w:rsidR="00F05DC7" w:rsidRPr="00DA1BF7" w:rsidRDefault="00F05DC7" w:rsidP="00A3786D">
                  <w:pPr>
                    <w:pStyle w:val="TableUnitsRow"/>
                    <w:jc w:val="left"/>
                    <w:rPr>
                      <w:spacing w:val="-4"/>
                    </w:rPr>
                  </w:pPr>
                  <w:r w:rsidRPr="00DA1BF7">
                    <w:rPr>
                      <w:spacing w:val="-4"/>
                    </w:rPr>
                    <w:t>Funding allocation</w:t>
                  </w:r>
                </w:p>
              </w:tc>
              <w:tc>
                <w:tcPr>
                  <w:tcW w:w="387" w:type="pct"/>
                </w:tcPr>
                <w:p w14:paraId="7954B2CD" w14:textId="77777777" w:rsidR="00F05DC7" w:rsidRDefault="00F05DC7" w:rsidP="00A3786D">
                  <w:pPr>
                    <w:pStyle w:val="TableUnitsRow"/>
                  </w:pPr>
                  <w:r>
                    <w:t>1 758</w:t>
                  </w:r>
                </w:p>
              </w:tc>
              <w:tc>
                <w:tcPr>
                  <w:tcW w:w="388" w:type="pct"/>
                </w:tcPr>
                <w:p w14:paraId="7954B2CE" w14:textId="77777777" w:rsidR="00F05DC7" w:rsidRDefault="00F05DC7" w:rsidP="00A3786D">
                  <w:pPr>
                    <w:pStyle w:val="TableUnitsRow"/>
                  </w:pPr>
                  <w:r>
                    <w:t>1 361</w:t>
                  </w:r>
                </w:p>
              </w:tc>
              <w:tc>
                <w:tcPr>
                  <w:tcW w:w="387" w:type="pct"/>
                </w:tcPr>
                <w:p w14:paraId="7954B2CF" w14:textId="77777777" w:rsidR="00F05DC7" w:rsidRDefault="00F05DC7" w:rsidP="00A3786D">
                  <w:pPr>
                    <w:pStyle w:val="TableUnitsRow"/>
                  </w:pPr>
                  <w:r>
                    <w:t>1 291</w:t>
                  </w:r>
                </w:p>
              </w:tc>
              <w:tc>
                <w:tcPr>
                  <w:tcW w:w="388" w:type="pct"/>
                </w:tcPr>
                <w:p w14:paraId="7954B2D0" w14:textId="77777777" w:rsidR="00F05DC7" w:rsidRDefault="00F05DC7" w:rsidP="00A3786D">
                  <w:pPr>
                    <w:pStyle w:val="TableUnitsRow"/>
                  </w:pPr>
                  <w:r>
                    <w:t>562</w:t>
                  </w:r>
                </w:p>
              </w:tc>
              <w:tc>
                <w:tcPr>
                  <w:tcW w:w="387" w:type="pct"/>
                </w:tcPr>
                <w:p w14:paraId="7954B2D1" w14:textId="77777777" w:rsidR="00F05DC7" w:rsidRDefault="00F05DC7" w:rsidP="00A3786D">
                  <w:pPr>
                    <w:pStyle w:val="TableUnitsRow"/>
                  </w:pPr>
                  <w:r>
                    <w:t>405</w:t>
                  </w:r>
                </w:p>
              </w:tc>
              <w:tc>
                <w:tcPr>
                  <w:tcW w:w="388" w:type="pct"/>
                </w:tcPr>
                <w:p w14:paraId="7954B2D2" w14:textId="77777777" w:rsidR="00F05DC7" w:rsidRDefault="00F05DC7" w:rsidP="00A3786D">
                  <w:pPr>
                    <w:pStyle w:val="TableUnitsRow"/>
                  </w:pPr>
                  <w:r>
                    <w:t>164</w:t>
                  </w:r>
                </w:p>
              </w:tc>
              <w:tc>
                <w:tcPr>
                  <w:tcW w:w="387" w:type="pct"/>
                </w:tcPr>
                <w:p w14:paraId="7954B2D3" w14:textId="77777777" w:rsidR="00F05DC7" w:rsidRDefault="00F05DC7" w:rsidP="00A3786D">
                  <w:pPr>
                    <w:pStyle w:val="TableUnitsRow"/>
                  </w:pPr>
                  <w:r>
                    <w:t>83</w:t>
                  </w:r>
                </w:p>
              </w:tc>
              <w:tc>
                <w:tcPr>
                  <w:tcW w:w="388" w:type="pct"/>
                </w:tcPr>
                <w:p w14:paraId="7954B2D4" w14:textId="77777777" w:rsidR="00F05DC7" w:rsidRDefault="00F05DC7" w:rsidP="00A3786D">
                  <w:pPr>
                    <w:pStyle w:val="TableUnitsRow"/>
                  </w:pPr>
                  <w:r>
                    <w:t>144</w:t>
                  </w:r>
                </w:p>
              </w:tc>
              <w:tc>
                <w:tcPr>
                  <w:tcW w:w="388" w:type="pct"/>
                </w:tcPr>
                <w:p w14:paraId="7954B2D5" w14:textId="77777777" w:rsidR="00F05DC7" w:rsidRDefault="00F05DC7" w:rsidP="00A3786D">
                  <w:pPr>
                    <w:pStyle w:val="TableUnitsRow"/>
                  </w:pPr>
                  <w:r>
                    <w:t>5 766</w:t>
                  </w:r>
                </w:p>
              </w:tc>
            </w:tr>
            <w:tr w:rsidR="00F05DC7" w14:paraId="7954B2E1" w14:textId="77777777" w:rsidTr="00A3786D">
              <w:tc>
                <w:tcPr>
                  <w:tcW w:w="1512" w:type="pct"/>
                  <w:tcMar>
                    <w:left w:w="113" w:type="dxa"/>
                  </w:tcMar>
                </w:tcPr>
                <w:p w14:paraId="7954B2D7" w14:textId="77777777" w:rsidR="00F05DC7" w:rsidRPr="00DA1BF7" w:rsidRDefault="00F05DC7" w:rsidP="00A3786D">
                  <w:pPr>
                    <w:pStyle w:val="TableUnitsRow"/>
                    <w:jc w:val="left"/>
                    <w:rPr>
                      <w:spacing w:val="-4"/>
                    </w:rPr>
                  </w:pPr>
                  <w:r>
                    <w:rPr>
                      <w:spacing w:val="-4"/>
                    </w:rPr>
                    <w:t>Assessed d</w:t>
                  </w:r>
                  <w:r w:rsidRPr="00DA1BF7">
                    <w:rPr>
                      <w:spacing w:val="-4"/>
                    </w:rPr>
                    <w:t>ifference from EPC</w:t>
                  </w:r>
                </w:p>
              </w:tc>
              <w:tc>
                <w:tcPr>
                  <w:tcW w:w="387" w:type="pct"/>
                </w:tcPr>
                <w:p w14:paraId="7954B2D8" w14:textId="77777777" w:rsidR="00F05DC7" w:rsidRDefault="00F05DC7" w:rsidP="00A3786D">
                  <w:pPr>
                    <w:pStyle w:val="TableUnitsRow"/>
                  </w:pPr>
                  <w:r>
                    <w:t>99</w:t>
                  </w:r>
                </w:p>
              </w:tc>
              <w:tc>
                <w:tcPr>
                  <w:tcW w:w="388" w:type="pct"/>
                </w:tcPr>
                <w:p w14:paraId="7954B2D9" w14:textId="77777777" w:rsidR="00F05DC7" w:rsidRDefault="00F05DC7" w:rsidP="00A3786D">
                  <w:pPr>
                    <w:pStyle w:val="TableUnitsRow"/>
                  </w:pPr>
                  <w:r>
                    <w:t>83</w:t>
                  </w:r>
                </w:p>
              </w:tc>
              <w:tc>
                <w:tcPr>
                  <w:tcW w:w="387" w:type="pct"/>
                </w:tcPr>
                <w:p w14:paraId="7954B2DA" w14:textId="77777777" w:rsidR="00F05DC7" w:rsidRDefault="00F05DC7" w:rsidP="00A3786D">
                  <w:pPr>
                    <w:pStyle w:val="TableUnitsRow"/>
                  </w:pPr>
                  <w:r>
                    <w:noBreakHyphen/>
                    <w:t>134</w:t>
                  </w:r>
                </w:p>
              </w:tc>
              <w:tc>
                <w:tcPr>
                  <w:tcW w:w="388" w:type="pct"/>
                </w:tcPr>
                <w:p w14:paraId="7954B2DB" w14:textId="77777777" w:rsidR="00F05DC7" w:rsidRDefault="00F05DC7" w:rsidP="00A3786D">
                  <w:pPr>
                    <w:pStyle w:val="TableUnitsRow"/>
                  </w:pPr>
                  <w:r>
                    <w:t>36</w:t>
                  </w:r>
                </w:p>
              </w:tc>
              <w:tc>
                <w:tcPr>
                  <w:tcW w:w="387" w:type="pct"/>
                </w:tcPr>
                <w:p w14:paraId="7954B2DC" w14:textId="77777777" w:rsidR="00F05DC7" w:rsidRDefault="00F05DC7" w:rsidP="00A3786D">
                  <w:pPr>
                    <w:pStyle w:val="TableUnitsRow"/>
                  </w:pPr>
                  <w:r>
                    <w:t>13</w:t>
                  </w:r>
                </w:p>
              </w:tc>
              <w:tc>
                <w:tcPr>
                  <w:tcW w:w="388" w:type="pct"/>
                </w:tcPr>
                <w:p w14:paraId="7954B2DD" w14:textId="77777777" w:rsidR="00F05DC7" w:rsidRDefault="00F05DC7" w:rsidP="00A3786D">
                  <w:pPr>
                    <w:pStyle w:val="TableUnitsRow"/>
                  </w:pPr>
                  <w:r>
                    <w:noBreakHyphen/>
                    <w:t>30</w:t>
                  </w:r>
                </w:p>
              </w:tc>
              <w:tc>
                <w:tcPr>
                  <w:tcW w:w="387" w:type="pct"/>
                </w:tcPr>
                <w:p w14:paraId="7954B2DE" w14:textId="77777777" w:rsidR="00F05DC7" w:rsidRDefault="00F05DC7" w:rsidP="00A3786D">
                  <w:pPr>
                    <w:pStyle w:val="TableUnitsRow"/>
                  </w:pPr>
                  <w:r>
                    <w:t>16</w:t>
                  </w:r>
                </w:p>
              </w:tc>
              <w:tc>
                <w:tcPr>
                  <w:tcW w:w="388" w:type="pct"/>
                </w:tcPr>
                <w:p w14:paraId="7954B2DF" w14:textId="77777777" w:rsidR="00F05DC7" w:rsidRDefault="00F05DC7" w:rsidP="00A3786D">
                  <w:pPr>
                    <w:pStyle w:val="TableUnitsRow"/>
                  </w:pPr>
                  <w:r>
                    <w:noBreakHyphen/>
                    <w:t>83</w:t>
                  </w:r>
                </w:p>
              </w:tc>
              <w:tc>
                <w:tcPr>
                  <w:tcW w:w="388" w:type="pct"/>
                </w:tcPr>
                <w:p w14:paraId="7954B2E0" w14:textId="77777777" w:rsidR="00F05DC7" w:rsidRDefault="00F05DC7" w:rsidP="00A3786D">
                  <w:pPr>
                    <w:pStyle w:val="TableUnitsRow"/>
                  </w:pPr>
                  <w:r>
                    <w:t>247</w:t>
                  </w:r>
                </w:p>
              </w:tc>
            </w:tr>
            <w:tr w:rsidR="00F05DC7" w14:paraId="7954B2EC" w14:textId="77777777" w:rsidTr="00A3786D">
              <w:tc>
                <w:tcPr>
                  <w:tcW w:w="1512" w:type="pct"/>
                  <w:shd w:val="pct5" w:color="auto" w:fill="auto"/>
                </w:tcPr>
                <w:p w14:paraId="7954B2E2" w14:textId="77777777" w:rsidR="00F05DC7" w:rsidRPr="00DA1BF7" w:rsidRDefault="00F05DC7" w:rsidP="00A3786D">
                  <w:pPr>
                    <w:pStyle w:val="TableUnitsRow"/>
                    <w:jc w:val="left"/>
                    <w:rPr>
                      <w:spacing w:val="-4"/>
                    </w:rPr>
                  </w:pPr>
                  <w:r w:rsidRPr="00DA1BF7">
                    <w:rPr>
                      <w:spacing w:val="-4"/>
                    </w:rPr>
                    <w:t>2016</w:t>
                  </w:r>
                  <w:r>
                    <w:rPr>
                      <w:spacing w:val="-4"/>
                    </w:rPr>
                    <w:noBreakHyphen/>
                  </w:r>
                  <w:r w:rsidRPr="00DA1BF7">
                    <w:rPr>
                      <w:spacing w:val="-4"/>
                    </w:rPr>
                    <w:t>17</w:t>
                  </w:r>
                  <w:r w:rsidRPr="00C0474D">
                    <w:rPr>
                      <w:rStyle w:val="NoteLabel"/>
                      <w:sz w:val="16"/>
                    </w:rPr>
                    <w:t>c</w:t>
                  </w:r>
                </w:p>
              </w:tc>
              <w:tc>
                <w:tcPr>
                  <w:tcW w:w="387" w:type="pct"/>
                  <w:shd w:val="pct5" w:color="auto" w:fill="auto"/>
                </w:tcPr>
                <w:p w14:paraId="7954B2E3" w14:textId="77777777" w:rsidR="00F05DC7" w:rsidRDefault="00F05DC7" w:rsidP="00A3786D">
                  <w:pPr>
                    <w:pStyle w:val="TableUnitsRow"/>
                  </w:pPr>
                </w:p>
              </w:tc>
              <w:tc>
                <w:tcPr>
                  <w:tcW w:w="388" w:type="pct"/>
                  <w:shd w:val="pct5" w:color="auto" w:fill="auto"/>
                </w:tcPr>
                <w:p w14:paraId="7954B2E4" w14:textId="77777777" w:rsidR="00F05DC7" w:rsidRDefault="00F05DC7" w:rsidP="00A3786D">
                  <w:pPr>
                    <w:pStyle w:val="TableUnitsRow"/>
                  </w:pPr>
                </w:p>
              </w:tc>
              <w:tc>
                <w:tcPr>
                  <w:tcW w:w="387" w:type="pct"/>
                  <w:shd w:val="pct5" w:color="auto" w:fill="auto"/>
                </w:tcPr>
                <w:p w14:paraId="7954B2E5" w14:textId="77777777" w:rsidR="00F05DC7" w:rsidRDefault="00F05DC7" w:rsidP="00A3786D">
                  <w:pPr>
                    <w:pStyle w:val="TableUnitsRow"/>
                  </w:pPr>
                </w:p>
              </w:tc>
              <w:tc>
                <w:tcPr>
                  <w:tcW w:w="388" w:type="pct"/>
                  <w:shd w:val="pct5" w:color="auto" w:fill="auto"/>
                </w:tcPr>
                <w:p w14:paraId="7954B2E6" w14:textId="77777777" w:rsidR="00F05DC7" w:rsidRDefault="00F05DC7" w:rsidP="00A3786D">
                  <w:pPr>
                    <w:pStyle w:val="TableUnitsRow"/>
                  </w:pPr>
                </w:p>
              </w:tc>
              <w:tc>
                <w:tcPr>
                  <w:tcW w:w="387" w:type="pct"/>
                  <w:shd w:val="pct5" w:color="auto" w:fill="auto"/>
                </w:tcPr>
                <w:p w14:paraId="7954B2E7" w14:textId="77777777" w:rsidR="00F05DC7" w:rsidRDefault="00F05DC7" w:rsidP="00A3786D">
                  <w:pPr>
                    <w:pStyle w:val="TableUnitsRow"/>
                  </w:pPr>
                </w:p>
              </w:tc>
              <w:tc>
                <w:tcPr>
                  <w:tcW w:w="388" w:type="pct"/>
                  <w:shd w:val="pct5" w:color="auto" w:fill="auto"/>
                </w:tcPr>
                <w:p w14:paraId="7954B2E8" w14:textId="77777777" w:rsidR="00F05DC7" w:rsidRDefault="00F05DC7" w:rsidP="00A3786D">
                  <w:pPr>
                    <w:pStyle w:val="TableUnitsRow"/>
                  </w:pPr>
                </w:p>
              </w:tc>
              <w:tc>
                <w:tcPr>
                  <w:tcW w:w="387" w:type="pct"/>
                  <w:shd w:val="pct5" w:color="auto" w:fill="auto"/>
                </w:tcPr>
                <w:p w14:paraId="7954B2E9" w14:textId="77777777" w:rsidR="00F05DC7" w:rsidRDefault="00F05DC7" w:rsidP="00A3786D">
                  <w:pPr>
                    <w:pStyle w:val="TableUnitsRow"/>
                  </w:pPr>
                </w:p>
              </w:tc>
              <w:tc>
                <w:tcPr>
                  <w:tcW w:w="388" w:type="pct"/>
                  <w:shd w:val="pct5" w:color="auto" w:fill="auto"/>
                </w:tcPr>
                <w:p w14:paraId="7954B2EA" w14:textId="77777777" w:rsidR="00F05DC7" w:rsidRDefault="00F05DC7" w:rsidP="00A3786D">
                  <w:pPr>
                    <w:pStyle w:val="TableUnitsRow"/>
                  </w:pPr>
                </w:p>
              </w:tc>
              <w:tc>
                <w:tcPr>
                  <w:tcW w:w="388" w:type="pct"/>
                  <w:shd w:val="pct5" w:color="auto" w:fill="auto"/>
                </w:tcPr>
                <w:p w14:paraId="7954B2EB" w14:textId="77777777" w:rsidR="00F05DC7" w:rsidRDefault="00F05DC7" w:rsidP="00A3786D">
                  <w:pPr>
                    <w:pStyle w:val="TableUnitsRow"/>
                  </w:pPr>
                </w:p>
              </w:tc>
            </w:tr>
            <w:tr w:rsidR="00F05DC7" w14:paraId="7954B2F7" w14:textId="77777777" w:rsidTr="00A3786D">
              <w:tc>
                <w:tcPr>
                  <w:tcW w:w="1512" w:type="pct"/>
                  <w:tcMar>
                    <w:left w:w="113" w:type="dxa"/>
                  </w:tcMar>
                </w:tcPr>
                <w:p w14:paraId="7954B2ED" w14:textId="77777777" w:rsidR="00F05DC7" w:rsidRPr="00DA1BF7" w:rsidRDefault="00F05DC7" w:rsidP="00A3786D">
                  <w:pPr>
                    <w:pStyle w:val="TableUnitsRow"/>
                    <w:jc w:val="left"/>
                    <w:rPr>
                      <w:spacing w:val="-4"/>
                    </w:rPr>
                  </w:pPr>
                  <w:r w:rsidRPr="00DA1BF7">
                    <w:rPr>
                      <w:spacing w:val="-4"/>
                    </w:rPr>
                    <w:t>Funding allocation</w:t>
                  </w:r>
                </w:p>
              </w:tc>
              <w:tc>
                <w:tcPr>
                  <w:tcW w:w="387" w:type="pct"/>
                </w:tcPr>
                <w:p w14:paraId="7954B2EE" w14:textId="77777777" w:rsidR="00F05DC7" w:rsidRDefault="00F05DC7" w:rsidP="00A3786D">
                  <w:pPr>
                    <w:pStyle w:val="TableUnitsRow"/>
                  </w:pPr>
                  <w:r>
                    <w:t>2 036</w:t>
                  </w:r>
                </w:p>
              </w:tc>
              <w:tc>
                <w:tcPr>
                  <w:tcW w:w="388" w:type="pct"/>
                </w:tcPr>
                <w:p w14:paraId="7954B2EF" w14:textId="77777777" w:rsidR="00F05DC7" w:rsidRDefault="00F05DC7" w:rsidP="00A3786D">
                  <w:pPr>
                    <w:pStyle w:val="TableUnitsRow"/>
                  </w:pPr>
                  <w:r>
                    <w:t>1 504</w:t>
                  </w:r>
                </w:p>
              </w:tc>
              <w:tc>
                <w:tcPr>
                  <w:tcW w:w="387" w:type="pct"/>
                </w:tcPr>
                <w:p w14:paraId="7954B2F0" w14:textId="77777777" w:rsidR="00F05DC7" w:rsidRDefault="00F05DC7" w:rsidP="00A3786D">
                  <w:pPr>
                    <w:pStyle w:val="TableUnitsRow"/>
                  </w:pPr>
                  <w:r>
                    <w:t>1 482</w:t>
                  </w:r>
                </w:p>
              </w:tc>
              <w:tc>
                <w:tcPr>
                  <w:tcW w:w="388" w:type="pct"/>
                </w:tcPr>
                <w:p w14:paraId="7954B2F1" w14:textId="77777777" w:rsidR="00F05DC7" w:rsidRDefault="00F05DC7" w:rsidP="00A3786D">
                  <w:pPr>
                    <w:pStyle w:val="TableUnitsRow"/>
                  </w:pPr>
                  <w:r>
                    <w:t>598</w:t>
                  </w:r>
                </w:p>
              </w:tc>
              <w:tc>
                <w:tcPr>
                  <w:tcW w:w="387" w:type="pct"/>
                </w:tcPr>
                <w:p w14:paraId="7954B2F2" w14:textId="77777777" w:rsidR="00F05DC7" w:rsidRDefault="00F05DC7" w:rsidP="00A3786D">
                  <w:pPr>
                    <w:pStyle w:val="TableUnitsRow"/>
                  </w:pPr>
                  <w:r>
                    <w:t>432</w:t>
                  </w:r>
                </w:p>
              </w:tc>
              <w:tc>
                <w:tcPr>
                  <w:tcW w:w="388" w:type="pct"/>
                </w:tcPr>
                <w:p w14:paraId="7954B2F3" w14:textId="77777777" w:rsidR="00F05DC7" w:rsidRDefault="00F05DC7" w:rsidP="00A3786D">
                  <w:pPr>
                    <w:pStyle w:val="TableUnitsRow"/>
                  </w:pPr>
                  <w:r>
                    <w:t>177</w:t>
                  </w:r>
                </w:p>
              </w:tc>
              <w:tc>
                <w:tcPr>
                  <w:tcW w:w="387" w:type="pct"/>
                </w:tcPr>
                <w:p w14:paraId="7954B2F4" w14:textId="77777777" w:rsidR="00F05DC7" w:rsidRDefault="00F05DC7" w:rsidP="00A3786D">
                  <w:pPr>
                    <w:pStyle w:val="TableUnitsRow"/>
                  </w:pPr>
                  <w:r>
                    <w:t>88</w:t>
                  </w:r>
                </w:p>
              </w:tc>
              <w:tc>
                <w:tcPr>
                  <w:tcW w:w="388" w:type="pct"/>
                </w:tcPr>
                <w:p w14:paraId="7954B2F5" w14:textId="77777777" w:rsidR="00F05DC7" w:rsidRDefault="00F05DC7" w:rsidP="00A3786D">
                  <w:pPr>
                    <w:pStyle w:val="TableUnitsRow"/>
                  </w:pPr>
                  <w:r>
                    <w:t>181</w:t>
                  </w:r>
                </w:p>
              </w:tc>
              <w:tc>
                <w:tcPr>
                  <w:tcW w:w="388" w:type="pct"/>
                </w:tcPr>
                <w:p w14:paraId="7954B2F6" w14:textId="77777777" w:rsidR="00F05DC7" w:rsidRDefault="00F05DC7" w:rsidP="00A3786D">
                  <w:pPr>
                    <w:pStyle w:val="TableUnitsRow"/>
                  </w:pPr>
                  <w:r>
                    <w:t>6 498</w:t>
                  </w:r>
                </w:p>
              </w:tc>
            </w:tr>
            <w:tr w:rsidR="00F05DC7" w14:paraId="7954B302" w14:textId="77777777" w:rsidTr="00A3786D">
              <w:tc>
                <w:tcPr>
                  <w:tcW w:w="1512" w:type="pct"/>
                  <w:tcMar>
                    <w:left w:w="113" w:type="dxa"/>
                  </w:tcMar>
                </w:tcPr>
                <w:p w14:paraId="7954B2F8" w14:textId="77777777" w:rsidR="00F05DC7" w:rsidRPr="00DA1BF7" w:rsidRDefault="00F05DC7" w:rsidP="00A3786D">
                  <w:pPr>
                    <w:pStyle w:val="TableBodyText"/>
                    <w:jc w:val="left"/>
                    <w:rPr>
                      <w:spacing w:val="-4"/>
                    </w:rPr>
                  </w:pPr>
                  <w:r>
                    <w:rPr>
                      <w:spacing w:val="-4"/>
                    </w:rPr>
                    <w:t>Assessed d</w:t>
                  </w:r>
                  <w:r w:rsidRPr="00DA1BF7">
                    <w:rPr>
                      <w:spacing w:val="-4"/>
                    </w:rPr>
                    <w:t>ifference from EPC</w:t>
                  </w:r>
                </w:p>
              </w:tc>
              <w:tc>
                <w:tcPr>
                  <w:tcW w:w="387" w:type="pct"/>
                </w:tcPr>
                <w:p w14:paraId="7954B2F9" w14:textId="77777777" w:rsidR="00F05DC7" w:rsidRDefault="00F05DC7" w:rsidP="00A3786D">
                  <w:pPr>
                    <w:pStyle w:val="TableBodyText"/>
                  </w:pPr>
                  <w:r>
                    <w:t>46</w:t>
                  </w:r>
                </w:p>
              </w:tc>
              <w:tc>
                <w:tcPr>
                  <w:tcW w:w="388" w:type="pct"/>
                </w:tcPr>
                <w:p w14:paraId="7954B2FA" w14:textId="77777777" w:rsidR="00F05DC7" w:rsidRDefault="00F05DC7" w:rsidP="00A3786D">
                  <w:pPr>
                    <w:pStyle w:val="TableBodyText"/>
                  </w:pPr>
                  <w:r>
                    <w:t>105</w:t>
                  </w:r>
                </w:p>
              </w:tc>
              <w:tc>
                <w:tcPr>
                  <w:tcW w:w="387" w:type="pct"/>
                </w:tcPr>
                <w:p w14:paraId="7954B2FB" w14:textId="77777777" w:rsidR="00F05DC7" w:rsidRDefault="00F05DC7" w:rsidP="00A3786D">
                  <w:pPr>
                    <w:pStyle w:val="TableBodyText"/>
                  </w:pPr>
                  <w:r>
                    <w:noBreakHyphen/>
                    <w:t>156</w:t>
                  </w:r>
                </w:p>
              </w:tc>
              <w:tc>
                <w:tcPr>
                  <w:tcW w:w="388" w:type="pct"/>
                </w:tcPr>
                <w:p w14:paraId="7954B2FC" w14:textId="77777777" w:rsidR="00F05DC7" w:rsidRDefault="00F05DC7" w:rsidP="00A3786D">
                  <w:pPr>
                    <w:pStyle w:val="TableBodyText"/>
                  </w:pPr>
                  <w:r>
                    <w:t>78</w:t>
                  </w:r>
                </w:p>
              </w:tc>
              <w:tc>
                <w:tcPr>
                  <w:tcW w:w="387" w:type="pct"/>
                </w:tcPr>
                <w:p w14:paraId="7954B2FD" w14:textId="77777777" w:rsidR="00F05DC7" w:rsidRDefault="00F05DC7" w:rsidP="00A3786D">
                  <w:pPr>
                    <w:pStyle w:val="TableBodyText"/>
                  </w:pPr>
                  <w:r>
                    <w:t>29</w:t>
                  </w:r>
                </w:p>
              </w:tc>
              <w:tc>
                <w:tcPr>
                  <w:tcW w:w="388" w:type="pct"/>
                </w:tcPr>
                <w:p w14:paraId="7954B2FE" w14:textId="77777777" w:rsidR="00F05DC7" w:rsidRDefault="00F05DC7" w:rsidP="00A3786D">
                  <w:pPr>
                    <w:pStyle w:val="TableBodyText"/>
                  </w:pPr>
                  <w:r>
                    <w:noBreakHyphen/>
                    <w:t>33</w:t>
                  </w:r>
                </w:p>
              </w:tc>
              <w:tc>
                <w:tcPr>
                  <w:tcW w:w="387" w:type="pct"/>
                </w:tcPr>
                <w:p w14:paraId="7954B2FF" w14:textId="77777777" w:rsidR="00F05DC7" w:rsidRDefault="00F05DC7" w:rsidP="00A3786D">
                  <w:pPr>
                    <w:pStyle w:val="TableBodyText"/>
                  </w:pPr>
                  <w:r>
                    <w:t>17</w:t>
                  </w:r>
                </w:p>
              </w:tc>
              <w:tc>
                <w:tcPr>
                  <w:tcW w:w="388" w:type="pct"/>
                </w:tcPr>
                <w:p w14:paraId="7954B300" w14:textId="77777777" w:rsidR="00F05DC7" w:rsidRDefault="00F05DC7" w:rsidP="00A3786D">
                  <w:pPr>
                    <w:pStyle w:val="TableBodyText"/>
                  </w:pPr>
                  <w:r>
                    <w:noBreakHyphen/>
                    <w:t>87</w:t>
                  </w:r>
                </w:p>
              </w:tc>
              <w:tc>
                <w:tcPr>
                  <w:tcW w:w="388" w:type="pct"/>
                </w:tcPr>
                <w:p w14:paraId="7954B301" w14:textId="77777777" w:rsidR="00F05DC7" w:rsidRDefault="00F05DC7" w:rsidP="00A3786D">
                  <w:pPr>
                    <w:pStyle w:val="TableBodyText"/>
                  </w:pPr>
                  <w:r>
                    <w:t>276</w:t>
                  </w:r>
                </w:p>
              </w:tc>
            </w:tr>
            <w:tr w:rsidR="00F05DC7" w14:paraId="7954B30D" w14:textId="77777777" w:rsidTr="00A3786D">
              <w:tc>
                <w:tcPr>
                  <w:tcW w:w="1512" w:type="pct"/>
                  <w:shd w:val="pct5" w:color="auto" w:fill="auto"/>
                </w:tcPr>
                <w:p w14:paraId="7954B303" w14:textId="77777777" w:rsidR="00F05DC7" w:rsidRPr="00DA1BF7" w:rsidRDefault="00F05DC7" w:rsidP="00A3786D">
                  <w:pPr>
                    <w:pStyle w:val="TableBodyText"/>
                    <w:jc w:val="left"/>
                    <w:rPr>
                      <w:spacing w:val="-4"/>
                    </w:rPr>
                  </w:pPr>
                  <w:r w:rsidRPr="00DA1BF7">
                    <w:rPr>
                      <w:spacing w:val="-4"/>
                    </w:rPr>
                    <w:t>2017</w:t>
                  </w:r>
                  <w:r>
                    <w:rPr>
                      <w:spacing w:val="-4"/>
                    </w:rPr>
                    <w:noBreakHyphen/>
                  </w:r>
                  <w:r w:rsidRPr="00DA1BF7">
                    <w:rPr>
                      <w:spacing w:val="-4"/>
                    </w:rPr>
                    <w:t>18</w:t>
                  </w:r>
                  <w:r w:rsidRPr="00C0474D">
                    <w:rPr>
                      <w:rStyle w:val="NoteLabel"/>
                      <w:sz w:val="16"/>
                    </w:rPr>
                    <w:t>c</w:t>
                  </w:r>
                </w:p>
              </w:tc>
              <w:tc>
                <w:tcPr>
                  <w:tcW w:w="387" w:type="pct"/>
                  <w:shd w:val="pct5" w:color="auto" w:fill="auto"/>
                </w:tcPr>
                <w:p w14:paraId="7954B304" w14:textId="77777777" w:rsidR="00F05DC7" w:rsidRDefault="00F05DC7" w:rsidP="00A3786D">
                  <w:pPr>
                    <w:pStyle w:val="TableBodyText"/>
                  </w:pPr>
                </w:p>
              </w:tc>
              <w:tc>
                <w:tcPr>
                  <w:tcW w:w="388" w:type="pct"/>
                  <w:shd w:val="pct5" w:color="auto" w:fill="auto"/>
                </w:tcPr>
                <w:p w14:paraId="7954B305" w14:textId="77777777" w:rsidR="00F05DC7" w:rsidRDefault="00F05DC7" w:rsidP="00A3786D">
                  <w:pPr>
                    <w:pStyle w:val="TableBodyText"/>
                  </w:pPr>
                </w:p>
              </w:tc>
              <w:tc>
                <w:tcPr>
                  <w:tcW w:w="387" w:type="pct"/>
                  <w:shd w:val="pct5" w:color="auto" w:fill="auto"/>
                </w:tcPr>
                <w:p w14:paraId="7954B306" w14:textId="77777777" w:rsidR="00F05DC7" w:rsidRDefault="00F05DC7" w:rsidP="00A3786D">
                  <w:pPr>
                    <w:pStyle w:val="TableBodyText"/>
                  </w:pPr>
                </w:p>
              </w:tc>
              <w:tc>
                <w:tcPr>
                  <w:tcW w:w="388" w:type="pct"/>
                  <w:shd w:val="pct5" w:color="auto" w:fill="auto"/>
                </w:tcPr>
                <w:p w14:paraId="7954B307" w14:textId="77777777" w:rsidR="00F05DC7" w:rsidRDefault="00F05DC7" w:rsidP="00A3786D">
                  <w:pPr>
                    <w:pStyle w:val="TableBodyText"/>
                  </w:pPr>
                </w:p>
              </w:tc>
              <w:tc>
                <w:tcPr>
                  <w:tcW w:w="387" w:type="pct"/>
                  <w:shd w:val="pct5" w:color="auto" w:fill="auto"/>
                </w:tcPr>
                <w:p w14:paraId="7954B308" w14:textId="77777777" w:rsidR="00F05DC7" w:rsidRDefault="00F05DC7" w:rsidP="00A3786D">
                  <w:pPr>
                    <w:pStyle w:val="TableBodyText"/>
                  </w:pPr>
                </w:p>
              </w:tc>
              <w:tc>
                <w:tcPr>
                  <w:tcW w:w="388" w:type="pct"/>
                  <w:shd w:val="pct5" w:color="auto" w:fill="auto"/>
                </w:tcPr>
                <w:p w14:paraId="7954B309" w14:textId="77777777" w:rsidR="00F05DC7" w:rsidRDefault="00F05DC7" w:rsidP="00A3786D">
                  <w:pPr>
                    <w:pStyle w:val="TableBodyText"/>
                  </w:pPr>
                </w:p>
              </w:tc>
              <w:tc>
                <w:tcPr>
                  <w:tcW w:w="387" w:type="pct"/>
                  <w:shd w:val="pct5" w:color="auto" w:fill="auto"/>
                </w:tcPr>
                <w:p w14:paraId="7954B30A" w14:textId="77777777" w:rsidR="00F05DC7" w:rsidRDefault="00F05DC7" w:rsidP="00A3786D">
                  <w:pPr>
                    <w:pStyle w:val="TableBodyText"/>
                  </w:pPr>
                </w:p>
              </w:tc>
              <w:tc>
                <w:tcPr>
                  <w:tcW w:w="388" w:type="pct"/>
                  <w:shd w:val="pct5" w:color="auto" w:fill="auto"/>
                </w:tcPr>
                <w:p w14:paraId="7954B30B" w14:textId="77777777" w:rsidR="00F05DC7" w:rsidRDefault="00F05DC7" w:rsidP="00A3786D">
                  <w:pPr>
                    <w:pStyle w:val="TableBodyText"/>
                  </w:pPr>
                </w:p>
              </w:tc>
              <w:tc>
                <w:tcPr>
                  <w:tcW w:w="388" w:type="pct"/>
                  <w:shd w:val="pct5" w:color="auto" w:fill="auto"/>
                </w:tcPr>
                <w:p w14:paraId="7954B30C" w14:textId="77777777" w:rsidR="00F05DC7" w:rsidRDefault="00F05DC7" w:rsidP="00A3786D">
                  <w:pPr>
                    <w:pStyle w:val="TableBodyText"/>
                  </w:pPr>
                </w:p>
              </w:tc>
            </w:tr>
            <w:tr w:rsidR="00F05DC7" w14:paraId="7954B318" w14:textId="77777777" w:rsidTr="004F6C34">
              <w:tc>
                <w:tcPr>
                  <w:tcW w:w="1512" w:type="pct"/>
                  <w:tcMar>
                    <w:left w:w="113" w:type="dxa"/>
                  </w:tcMar>
                </w:tcPr>
                <w:p w14:paraId="7954B30E" w14:textId="77777777" w:rsidR="00F05DC7" w:rsidRPr="00DA1BF7" w:rsidRDefault="00F05DC7" w:rsidP="00A3786D">
                  <w:pPr>
                    <w:pStyle w:val="TableBodyText"/>
                    <w:jc w:val="left"/>
                    <w:rPr>
                      <w:spacing w:val="-4"/>
                    </w:rPr>
                  </w:pPr>
                  <w:r w:rsidRPr="00DA1BF7">
                    <w:rPr>
                      <w:spacing w:val="-4"/>
                    </w:rPr>
                    <w:t>Funding allocation</w:t>
                  </w:r>
                </w:p>
              </w:tc>
              <w:tc>
                <w:tcPr>
                  <w:tcW w:w="387" w:type="pct"/>
                </w:tcPr>
                <w:p w14:paraId="7954B30F" w14:textId="77777777" w:rsidR="00F05DC7" w:rsidRDefault="00F05DC7" w:rsidP="00A3786D">
                  <w:pPr>
                    <w:pStyle w:val="TableBodyText"/>
                  </w:pPr>
                  <w:r>
                    <w:t>2 261</w:t>
                  </w:r>
                </w:p>
              </w:tc>
              <w:tc>
                <w:tcPr>
                  <w:tcW w:w="388" w:type="pct"/>
                </w:tcPr>
                <w:p w14:paraId="7954B310" w14:textId="77777777" w:rsidR="00F05DC7" w:rsidRDefault="00F05DC7" w:rsidP="00A3786D">
                  <w:pPr>
                    <w:pStyle w:val="TableBodyText"/>
                  </w:pPr>
                  <w:r>
                    <w:t>1 609</w:t>
                  </w:r>
                </w:p>
              </w:tc>
              <w:tc>
                <w:tcPr>
                  <w:tcW w:w="387" w:type="pct"/>
                </w:tcPr>
                <w:p w14:paraId="7954B311" w14:textId="77777777" w:rsidR="00F05DC7" w:rsidRDefault="00F05DC7" w:rsidP="00A3786D">
                  <w:pPr>
                    <w:pStyle w:val="TableBodyText"/>
                  </w:pPr>
                  <w:r>
                    <w:t>1 622</w:t>
                  </w:r>
                </w:p>
              </w:tc>
              <w:tc>
                <w:tcPr>
                  <w:tcW w:w="388" w:type="pct"/>
                </w:tcPr>
                <w:p w14:paraId="7954B312" w14:textId="77777777" w:rsidR="00F05DC7" w:rsidRDefault="00F05DC7" w:rsidP="00A3786D">
                  <w:pPr>
                    <w:pStyle w:val="TableBodyText"/>
                  </w:pPr>
                  <w:r>
                    <w:t>648</w:t>
                  </w:r>
                </w:p>
              </w:tc>
              <w:tc>
                <w:tcPr>
                  <w:tcW w:w="387" w:type="pct"/>
                </w:tcPr>
                <w:p w14:paraId="7954B313" w14:textId="77777777" w:rsidR="00F05DC7" w:rsidRDefault="00F05DC7" w:rsidP="00A3786D">
                  <w:pPr>
                    <w:pStyle w:val="TableBodyText"/>
                  </w:pPr>
                  <w:r>
                    <w:t>463</w:t>
                  </w:r>
                </w:p>
              </w:tc>
              <w:tc>
                <w:tcPr>
                  <w:tcW w:w="388" w:type="pct"/>
                </w:tcPr>
                <w:p w14:paraId="7954B314" w14:textId="77777777" w:rsidR="00F05DC7" w:rsidRDefault="00F05DC7" w:rsidP="00A3786D">
                  <w:pPr>
                    <w:pStyle w:val="TableBodyText"/>
                  </w:pPr>
                  <w:r>
                    <w:t>186</w:t>
                  </w:r>
                </w:p>
              </w:tc>
              <w:tc>
                <w:tcPr>
                  <w:tcW w:w="387" w:type="pct"/>
                </w:tcPr>
                <w:p w14:paraId="7954B315" w14:textId="77777777" w:rsidR="00F05DC7" w:rsidRDefault="00F05DC7" w:rsidP="00A3786D">
                  <w:pPr>
                    <w:pStyle w:val="TableBodyText"/>
                  </w:pPr>
                  <w:r>
                    <w:t>96</w:t>
                  </w:r>
                </w:p>
              </w:tc>
              <w:tc>
                <w:tcPr>
                  <w:tcW w:w="388" w:type="pct"/>
                </w:tcPr>
                <w:p w14:paraId="7954B316" w14:textId="77777777" w:rsidR="00F05DC7" w:rsidRDefault="00F05DC7" w:rsidP="00A3786D">
                  <w:pPr>
                    <w:pStyle w:val="TableBodyText"/>
                  </w:pPr>
                  <w:r>
                    <w:t>196</w:t>
                  </w:r>
                </w:p>
              </w:tc>
              <w:tc>
                <w:tcPr>
                  <w:tcW w:w="388" w:type="pct"/>
                </w:tcPr>
                <w:p w14:paraId="7954B317" w14:textId="77777777" w:rsidR="00F05DC7" w:rsidRDefault="00F05DC7" w:rsidP="00A3786D">
                  <w:pPr>
                    <w:pStyle w:val="TableBodyText"/>
                  </w:pPr>
                  <w:r>
                    <w:t>7 081</w:t>
                  </w:r>
                </w:p>
              </w:tc>
            </w:tr>
            <w:tr w:rsidR="00F05DC7" w14:paraId="7954B323" w14:textId="77777777" w:rsidTr="004F6C34">
              <w:tc>
                <w:tcPr>
                  <w:tcW w:w="1512" w:type="pct"/>
                  <w:tcBorders>
                    <w:bottom w:val="single" w:sz="4" w:space="0" w:color="BFBFBF"/>
                  </w:tcBorders>
                  <w:shd w:val="clear" w:color="auto" w:fill="auto"/>
                  <w:tcMar>
                    <w:left w:w="113" w:type="dxa"/>
                  </w:tcMar>
                </w:tcPr>
                <w:p w14:paraId="7954B319" w14:textId="77777777" w:rsidR="00F05DC7" w:rsidRPr="00DA1BF7" w:rsidRDefault="00F05DC7" w:rsidP="00A3786D">
                  <w:pPr>
                    <w:pStyle w:val="TableBodyText"/>
                    <w:jc w:val="left"/>
                    <w:rPr>
                      <w:spacing w:val="-4"/>
                    </w:rPr>
                  </w:pPr>
                  <w:r>
                    <w:rPr>
                      <w:spacing w:val="-4"/>
                    </w:rPr>
                    <w:t>Assessed d</w:t>
                  </w:r>
                  <w:r w:rsidRPr="00DA1BF7">
                    <w:rPr>
                      <w:spacing w:val="-4"/>
                    </w:rPr>
                    <w:t>ifference from EPC</w:t>
                  </w:r>
                </w:p>
              </w:tc>
              <w:tc>
                <w:tcPr>
                  <w:tcW w:w="387" w:type="pct"/>
                  <w:tcBorders>
                    <w:bottom w:val="single" w:sz="4" w:space="0" w:color="BFBFBF"/>
                  </w:tcBorders>
                </w:tcPr>
                <w:p w14:paraId="7954B31A" w14:textId="77777777" w:rsidR="00F05DC7" w:rsidRDefault="00F05DC7" w:rsidP="00A3786D">
                  <w:pPr>
                    <w:pStyle w:val="TableBodyText"/>
                  </w:pPr>
                  <w:r>
                    <w:t>46</w:t>
                  </w:r>
                </w:p>
              </w:tc>
              <w:tc>
                <w:tcPr>
                  <w:tcW w:w="388" w:type="pct"/>
                  <w:tcBorders>
                    <w:bottom w:val="single" w:sz="4" w:space="0" w:color="BFBFBF"/>
                  </w:tcBorders>
                </w:tcPr>
                <w:p w14:paraId="7954B31B" w14:textId="77777777" w:rsidR="00F05DC7" w:rsidRDefault="00F05DC7" w:rsidP="00A3786D">
                  <w:pPr>
                    <w:pStyle w:val="TableBodyText"/>
                  </w:pPr>
                  <w:r>
                    <w:t>134</w:t>
                  </w:r>
                </w:p>
              </w:tc>
              <w:tc>
                <w:tcPr>
                  <w:tcW w:w="387" w:type="pct"/>
                  <w:tcBorders>
                    <w:bottom w:val="single" w:sz="4" w:space="0" w:color="BFBFBF"/>
                  </w:tcBorders>
                </w:tcPr>
                <w:p w14:paraId="7954B31C" w14:textId="77777777" w:rsidR="00F05DC7" w:rsidRDefault="00F05DC7" w:rsidP="00A3786D">
                  <w:pPr>
                    <w:pStyle w:val="TableBodyText"/>
                  </w:pPr>
                  <w:r>
                    <w:noBreakHyphen/>
                    <w:t>142</w:t>
                  </w:r>
                </w:p>
              </w:tc>
              <w:tc>
                <w:tcPr>
                  <w:tcW w:w="388" w:type="pct"/>
                  <w:tcBorders>
                    <w:bottom w:val="single" w:sz="4" w:space="0" w:color="BFBFBF"/>
                  </w:tcBorders>
                </w:tcPr>
                <w:p w14:paraId="7954B31D" w14:textId="77777777" w:rsidR="00F05DC7" w:rsidRDefault="00F05DC7" w:rsidP="00A3786D">
                  <w:pPr>
                    <w:pStyle w:val="TableBodyText"/>
                  </w:pPr>
                  <w:r>
                    <w:t>17</w:t>
                  </w:r>
                </w:p>
              </w:tc>
              <w:tc>
                <w:tcPr>
                  <w:tcW w:w="387" w:type="pct"/>
                  <w:tcBorders>
                    <w:bottom w:val="single" w:sz="4" w:space="0" w:color="BFBFBF"/>
                  </w:tcBorders>
                </w:tcPr>
                <w:p w14:paraId="7954B31E" w14:textId="77777777" w:rsidR="00F05DC7" w:rsidRDefault="00F05DC7" w:rsidP="00A3786D">
                  <w:pPr>
                    <w:pStyle w:val="TableBodyText"/>
                  </w:pPr>
                  <w:r>
                    <w:t>22</w:t>
                  </w:r>
                </w:p>
              </w:tc>
              <w:tc>
                <w:tcPr>
                  <w:tcW w:w="388" w:type="pct"/>
                  <w:tcBorders>
                    <w:bottom w:val="single" w:sz="4" w:space="0" w:color="BFBFBF"/>
                  </w:tcBorders>
                </w:tcPr>
                <w:p w14:paraId="7954B31F" w14:textId="77777777" w:rsidR="00F05DC7" w:rsidRDefault="00F05DC7" w:rsidP="00A3786D">
                  <w:pPr>
                    <w:pStyle w:val="TableBodyText"/>
                  </w:pPr>
                  <w:r>
                    <w:noBreakHyphen/>
                    <w:t>22</w:t>
                  </w:r>
                </w:p>
              </w:tc>
              <w:tc>
                <w:tcPr>
                  <w:tcW w:w="387" w:type="pct"/>
                  <w:tcBorders>
                    <w:bottom w:val="single" w:sz="4" w:space="0" w:color="BFBFBF"/>
                  </w:tcBorders>
                </w:tcPr>
                <w:p w14:paraId="7954B320" w14:textId="77777777" w:rsidR="00F05DC7" w:rsidRDefault="00F05DC7" w:rsidP="00A3786D">
                  <w:pPr>
                    <w:pStyle w:val="TableBodyText"/>
                  </w:pPr>
                  <w:r>
                    <w:t>16</w:t>
                  </w:r>
                </w:p>
              </w:tc>
              <w:tc>
                <w:tcPr>
                  <w:tcW w:w="388" w:type="pct"/>
                  <w:tcBorders>
                    <w:bottom w:val="single" w:sz="4" w:space="0" w:color="BFBFBF"/>
                  </w:tcBorders>
                </w:tcPr>
                <w:p w14:paraId="7954B321" w14:textId="77777777" w:rsidR="00F05DC7" w:rsidRDefault="00F05DC7" w:rsidP="00A3786D">
                  <w:pPr>
                    <w:pStyle w:val="TableBodyText"/>
                  </w:pPr>
                  <w:r>
                    <w:noBreakHyphen/>
                    <w:t>70</w:t>
                  </w:r>
                </w:p>
              </w:tc>
              <w:tc>
                <w:tcPr>
                  <w:tcW w:w="388" w:type="pct"/>
                  <w:tcBorders>
                    <w:bottom w:val="single" w:sz="4" w:space="0" w:color="BFBFBF"/>
                  </w:tcBorders>
                </w:tcPr>
                <w:p w14:paraId="7954B322" w14:textId="77777777" w:rsidR="00F05DC7" w:rsidRDefault="00F05DC7" w:rsidP="00A3786D">
                  <w:pPr>
                    <w:pStyle w:val="TableBodyText"/>
                  </w:pPr>
                  <w:r>
                    <w:t>235</w:t>
                  </w:r>
                </w:p>
              </w:tc>
            </w:tr>
          </w:tbl>
          <w:p w14:paraId="7954B324" w14:textId="77777777" w:rsidR="00F05DC7" w:rsidRDefault="00F05DC7" w:rsidP="00A3786D">
            <w:pPr>
              <w:pStyle w:val="Box"/>
            </w:pPr>
          </w:p>
        </w:tc>
      </w:tr>
      <w:tr w:rsidR="00F05DC7" w14:paraId="7954B327" w14:textId="77777777" w:rsidTr="00A3786D">
        <w:tc>
          <w:tcPr>
            <w:tcW w:w="5000" w:type="pct"/>
            <w:tcBorders>
              <w:top w:val="nil"/>
              <w:left w:val="nil"/>
              <w:bottom w:val="nil"/>
              <w:right w:val="nil"/>
            </w:tcBorders>
            <w:shd w:val="clear" w:color="auto" w:fill="auto"/>
          </w:tcPr>
          <w:p w14:paraId="7954B326" w14:textId="526B1BFF" w:rsidR="00F05DC7" w:rsidRPr="003217B9" w:rsidRDefault="00F05DC7" w:rsidP="00A3786D">
            <w:pPr>
              <w:pStyle w:val="Note"/>
              <w:spacing w:before="40" w:line="210" w:lineRule="exact"/>
              <w:rPr>
                <w:spacing w:val="-2"/>
              </w:rPr>
            </w:pPr>
            <w:r w:rsidRPr="003217B9">
              <w:rPr>
                <w:rStyle w:val="NoteLabel"/>
                <w:rFonts w:ascii="Arial Bold" w:hAnsi="Arial Bold"/>
                <w:spacing w:val="-2"/>
                <w:position w:val="4"/>
              </w:rPr>
              <w:t>a</w:t>
            </w:r>
            <w:r w:rsidRPr="003217B9">
              <w:rPr>
                <w:spacing w:val="-2"/>
              </w:rPr>
              <w:t xml:space="preserve"> School funding includes funding provided under the National Schools SPP (until 2014) and under the Students First framework (from 2014 onwards). It does not include funding provided under the Building the Education Revolution framework or other National Partnership agreements. </w:t>
            </w:r>
            <w:r w:rsidRPr="003217B9">
              <w:rPr>
                <w:rStyle w:val="NoteLabel"/>
                <w:rFonts w:ascii="Arial Bold" w:hAnsi="Arial Bold"/>
                <w:spacing w:val="-2"/>
                <w:position w:val="4"/>
              </w:rPr>
              <w:t>b</w:t>
            </w:r>
            <w:r w:rsidRPr="003217B9">
              <w:rPr>
                <w:rStyle w:val="NoteLabel"/>
                <w:spacing w:val="-2"/>
              </w:rPr>
              <w:t xml:space="preserve"> </w:t>
            </w:r>
            <w:r w:rsidRPr="003217B9">
              <w:rPr>
                <w:rStyle w:val="NoteLabel"/>
                <w:b w:val="0"/>
                <w:spacing w:val="-2"/>
                <w:position w:val="0"/>
              </w:rPr>
              <w:t>‘</w:t>
            </w:r>
            <w:r w:rsidRPr="003217B9">
              <w:rPr>
                <w:spacing w:val="-2"/>
              </w:rPr>
              <w:t>Assessed difference from EPC’ is calculated, per the CGC’s standard formula, on the basis of a lagged three</w:t>
            </w:r>
            <w:r w:rsidRPr="003217B9">
              <w:rPr>
                <w:spacing w:val="-2"/>
              </w:rPr>
              <w:noBreakHyphen/>
              <w:t xml:space="preserve">year average. As such, the assessed difference for any particular year does not reflect the funding allocation </w:t>
            </w:r>
            <w:r w:rsidRPr="003217B9">
              <w:rPr>
                <w:i/>
                <w:spacing w:val="-2"/>
              </w:rPr>
              <w:t>for that year</w:t>
            </w:r>
            <w:r w:rsidRPr="003217B9">
              <w:rPr>
                <w:spacing w:val="-2"/>
              </w:rPr>
              <w:t xml:space="preserve">, but for all three of the assessment years overall. </w:t>
            </w:r>
            <w:r w:rsidRPr="003217B9">
              <w:rPr>
                <w:rStyle w:val="NoteLabel"/>
                <w:rFonts w:ascii="Arial Bold" w:hAnsi="Arial Bold"/>
                <w:spacing w:val="-2"/>
                <w:position w:val="4"/>
              </w:rPr>
              <w:t>c</w:t>
            </w:r>
            <w:r w:rsidRPr="003217B9">
              <w:rPr>
                <w:rStyle w:val="NoteLabel"/>
                <w:spacing w:val="-2"/>
              </w:rPr>
              <w:t xml:space="preserve"> </w:t>
            </w:r>
            <w:r w:rsidRPr="003217B9">
              <w:rPr>
                <w:spacing w:val="-2"/>
              </w:rPr>
              <w:t>Projected (the move from Students First to Quality Schools has meant that final funding levels for 2016</w:t>
            </w:r>
            <w:r>
              <w:rPr>
                <w:spacing w:val="-2"/>
              </w:rPr>
              <w:noBreakHyphen/>
            </w:r>
            <w:r w:rsidRPr="003217B9">
              <w:rPr>
                <w:spacing w:val="-2"/>
              </w:rPr>
              <w:t xml:space="preserve">17 have not yet been determined </w:t>
            </w:r>
            <w:r>
              <w:rPr>
                <w:spacing w:val="-2"/>
              </w:rPr>
              <w:t>(</w:t>
            </w:r>
            <w:r w:rsidRPr="003217B9">
              <w:rPr>
                <w:spacing w:val="-2"/>
              </w:rPr>
              <w:t xml:space="preserve">Commonwealth of Australia </w:t>
            </w:r>
            <w:r w:rsidR="009D6331" w:rsidRPr="009D6331">
              <w:rPr>
                <w:rFonts w:cs="Arial"/>
              </w:rPr>
              <w:t>(2017f)</w:t>
            </w:r>
            <w:r>
              <w:rPr>
                <w:spacing w:val="-2"/>
              </w:rPr>
              <w:t>).</w:t>
            </w:r>
          </w:p>
        </w:tc>
      </w:tr>
      <w:tr w:rsidR="00F05DC7" w14:paraId="7954B329" w14:textId="77777777" w:rsidTr="00A3786D">
        <w:tc>
          <w:tcPr>
            <w:tcW w:w="5000" w:type="pct"/>
            <w:tcBorders>
              <w:top w:val="nil"/>
              <w:left w:val="nil"/>
              <w:bottom w:val="nil"/>
              <w:right w:val="nil"/>
            </w:tcBorders>
            <w:shd w:val="clear" w:color="auto" w:fill="auto"/>
          </w:tcPr>
          <w:p w14:paraId="7954B328" w14:textId="28316669" w:rsidR="00F05DC7" w:rsidRPr="003217B9" w:rsidRDefault="00F05DC7" w:rsidP="00A3786D">
            <w:pPr>
              <w:pStyle w:val="Source"/>
              <w:rPr>
                <w:spacing w:val="2"/>
              </w:rPr>
            </w:pPr>
            <w:r w:rsidRPr="003217B9">
              <w:rPr>
                <w:i/>
                <w:spacing w:val="2"/>
              </w:rPr>
              <w:t>Source</w:t>
            </w:r>
            <w:r>
              <w:rPr>
                <w:i/>
                <w:spacing w:val="2"/>
              </w:rPr>
              <w:t>s</w:t>
            </w:r>
            <w:r w:rsidRPr="003217B9">
              <w:rPr>
                <w:spacing w:val="2"/>
              </w:rPr>
              <w:t xml:space="preserve">: CGC </w:t>
            </w:r>
            <w:r w:rsidR="009D6331" w:rsidRPr="009D6331">
              <w:rPr>
                <w:rFonts w:cs="Arial"/>
              </w:rPr>
              <w:t>(2013c, 2014, 2015b, 2016a, 2017b)</w:t>
            </w:r>
            <w:r w:rsidRPr="003217B9">
              <w:rPr>
                <w:spacing w:val="2"/>
              </w:rPr>
              <w:t xml:space="preserve">; Commonwealth of Australia </w:t>
            </w:r>
            <w:r w:rsidR="009D6331" w:rsidRPr="009D6331">
              <w:rPr>
                <w:rFonts w:cs="Arial"/>
              </w:rPr>
              <w:t>(2013, 2014a, 2015a, 2016a, 2017b)</w:t>
            </w:r>
            <w:r w:rsidRPr="003217B9">
              <w:rPr>
                <w:spacing w:val="2"/>
              </w:rPr>
              <w:t>.</w:t>
            </w:r>
          </w:p>
        </w:tc>
      </w:tr>
      <w:tr w:rsidR="00F05DC7" w14:paraId="7954B32B" w14:textId="77777777" w:rsidTr="00A3786D">
        <w:tc>
          <w:tcPr>
            <w:tcW w:w="5000" w:type="pct"/>
            <w:tcBorders>
              <w:top w:val="nil"/>
              <w:left w:val="nil"/>
              <w:bottom w:val="single" w:sz="6" w:space="0" w:color="78A22F"/>
              <w:right w:val="nil"/>
            </w:tcBorders>
            <w:shd w:val="clear" w:color="auto" w:fill="auto"/>
          </w:tcPr>
          <w:p w14:paraId="7954B32A" w14:textId="77777777" w:rsidR="00F05DC7" w:rsidRDefault="00F05DC7" w:rsidP="00A3786D">
            <w:pPr>
              <w:pStyle w:val="Box"/>
              <w:spacing w:before="0" w:line="120" w:lineRule="exact"/>
            </w:pPr>
          </w:p>
        </w:tc>
      </w:tr>
      <w:tr w:rsidR="00F05DC7" w:rsidRPr="000863A5" w14:paraId="7954B32D" w14:textId="77777777" w:rsidTr="00A3786D">
        <w:tc>
          <w:tcPr>
            <w:tcW w:w="5000" w:type="pct"/>
            <w:tcBorders>
              <w:top w:val="single" w:sz="6" w:space="0" w:color="78A22F"/>
              <w:left w:val="nil"/>
              <w:bottom w:val="nil"/>
              <w:right w:val="nil"/>
            </w:tcBorders>
          </w:tcPr>
          <w:p w14:paraId="7954B32C" w14:textId="77777777" w:rsidR="00F05DC7" w:rsidRPr="00626D32" w:rsidRDefault="00F05DC7" w:rsidP="00A3786D">
            <w:pPr>
              <w:pStyle w:val="BoxSpaceBelow"/>
            </w:pPr>
          </w:p>
        </w:tc>
      </w:tr>
    </w:tbl>
    <w:p w14:paraId="7954B32E" w14:textId="77777777" w:rsidR="00F05DC7" w:rsidRDefault="00F05DC7" w:rsidP="00A3786D">
      <w:pPr>
        <w:pStyle w:val="BodyText"/>
      </w:pPr>
      <w:r>
        <w:t>The treatment of the major government school funding arrangements has been as follows.</w:t>
      </w:r>
    </w:p>
    <w:p w14:paraId="7954B32F" w14:textId="26940854" w:rsidR="00F05DC7" w:rsidRPr="00A479D2" w:rsidRDefault="00F05DC7" w:rsidP="00A3786D">
      <w:pPr>
        <w:pStyle w:val="ListBullet"/>
      </w:pPr>
      <w:r w:rsidRPr="00A479D2">
        <w:t xml:space="preserve">At the time the IGAFFR was made (2011), school funding was provided under a National SPP on an EPC basis, and as such was automatically treated by inclusion (though ‘Rewards for Great Teachers’ bonus payments were excluded by the </w:t>
      </w:r>
      <w:r>
        <w:t xml:space="preserve">standard </w:t>
      </w:r>
      <w:r w:rsidRPr="00A479D2">
        <w:t>terms of reference</w:t>
      </w:r>
      <w:r>
        <w:t>, as they took place under a NP reward agreement</w:t>
      </w:r>
      <w:r w:rsidRPr="00A479D2">
        <w:t>)</w:t>
      </w:r>
      <w:r>
        <w:t xml:space="preserve"> </w:t>
      </w:r>
      <w:r w:rsidR="009D6331" w:rsidRPr="009D6331">
        <w:rPr>
          <w:szCs w:val="24"/>
        </w:rPr>
        <w:t>(COAG 2012a; Harrington 2013)</w:t>
      </w:r>
      <w:r w:rsidRPr="00A479D2">
        <w:t>.</w:t>
      </w:r>
    </w:p>
    <w:p w14:paraId="7954B330" w14:textId="524388C4" w:rsidR="00F05DC7" w:rsidRPr="00A479D2" w:rsidRDefault="00F05DC7" w:rsidP="00A3786D">
      <w:pPr>
        <w:pStyle w:val="ListBullet"/>
      </w:pPr>
      <w:r w:rsidRPr="00A479D2">
        <w:t xml:space="preserve">In 2013, </w:t>
      </w:r>
      <w:r>
        <w:t xml:space="preserve">the National Education Reform Agreement </w:t>
      </w:r>
      <w:r w:rsidR="009D6331" w:rsidRPr="009D6331">
        <w:rPr>
          <w:szCs w:val="24"/>
        </w:rPr>
        <w:t>(COAG 2013)</w:t>
      </w:r>
      <w:r>
        <w:t xml:space="preserve"> saw </w:t>
      </w:r>
      <w:r w:rsidRPr="00A479D2">
        <w:t>this SPP replaced by needs</w:t>
      </w:r>
      <w:r>
        <w:noBreakHyphen/>
      </w:r>
      <w:r w:rsidRPr="00A479D2">
        <w:t xml:space="preserve">based ‘Students First’ funding (which, as discussed above, will soon be replaced by Quality Schools funding arrangements). As such, the IGAFFR is now silent on the treatment of school funding. </w:t>
      </w:r>
    </w:p>
    <w:p w14:paraId="7954B331" w14:textId="0A36CC3B" w:rsidR="00F05DC7" w:rsidRPr="00A479D2" w:rsidRDefault="00F05DC7" w:rsidP="00A3786D">
      <w:pPr>
        <w:pStyle w:val="ListBullet"/>
      </w:pPr>
      <w:r w:rsidRPr="00A479D2">
        <w:t>In 2016, the terms of reference for the CGC Relativity Update were also silent on the treatment of Students First funding</w:t>
      </w:r>
      <w:r>
        <w:t xml:space="preserve"> </w:t>
      </w:r>
      <w:r w:rsidR="009D6331" w:rsidRPr="009D6331">
        <w:rPr>
          <w:szCs w:val="24"/>
        </w:rPr>
        <w:t>(Morrison 2016)</w:t>
      </w:r>
      <w:r w:rsidRPr="00A479D2">
        <w:t>. The CGC treated this funding as follows</w:t>
      </w:r>
      <w:r>
        <w:t xml:space="preserve"> </w:t>
      </w:r>
      <w:r w:rsidR="009D6331" w:rsidRPr="009D6331">
        <w:rPr>
          <w:szCs w:val="24"/>
        </w:rPr>
        <w:t>(CGC 2016d, p. 23)</w:t>
      </w:r>
      <w:r w:rsidRPr="00A479D2">
        <w:t>.</w:t>
      </w:r>
    </w:p>
    <w:p w14:paraId="7954B332" w14:textId="77777777" w:rsidR="00F05DC7" w:rsidRDefault="00F05DC7" w:rsidP="00A3786D">
      <w:pPr>
        <w:pStyle w:val="ListBullet2"/>
      </w:pPr>
      <w:r>
        <w:lastRenderedPageBreak/>
        <w:t xml:space="preserve">Funding for government (public) schools was treated by inclusion, and therefore had an impact on relativities </w:t>
      </w:r>
      <w:r w:rsidRPr="00A479D2">
        <w:t>(given that education is a standard State public service).</w:t>
      </w:r>
    </w:p>
    <w:p w14:paraId="7954B333" w14:textId="77777777" w:rsidR="00F05DC7" w:rsidRDefault="00F05DC7" w:rsidP="00A3786D">
      <w:pPr>
        <w:pStyle w:val="ListBullet2"/>
      </w:pPr>
      <w:r>
        <w:t>Funding for non</w:t>
      </w:r>
      <w:r>
        <w:noBreakHyphen/>
        <w:t>government (private) schools was treated by exclusion (and therefore had no impact on relativities) because States only act as an intermediary for such funding, transferring it to individual schools with no control over its spending. States’ needs for non</w:t>
      </w:r>
      <w:r>
        <w:noBreakHyphen/>
        <w:t>government school funding is also not assessed by the CGC.</w:t>
      </w:r>
    </w:p>
    <w:p w14:paraId="7954B334" w14:textId="5426F71E" w:rsidR="00F05DC7" w:rsidRDefault="00F05DC7" w:rsidP="00A3786D">
      <w:pPr>
        <w:pStyle w:val="ListBullet"/>
      </w:pPr>
      <w:r>
        <w:t>In 2017, the terms of reference for the Relativity Update stipulated that Students First funding (for government schools) should affect relativities. The treatment of funding for non</w:t>
      </w:r>
      <w:r>
        <w:noBreakHyphen/>
        <w:t xml:space="preserve">government schools was not prescribed. Accordingly, the CGC treated Students First funding in the same way as 2016 </w:t>
      </w:r>
      <w:r w:rsidR="009D6331" w:rsidRPr="009D6331">
        <w:rPr>
          <w:szCs w:val="24"/>
        </w:rPr>
        <w:t>(CGC 2017k, p. 7)</w:t>
      </w:r>
      <w:r>
        <w:t>.</w:t>
      </w:r>
    </w:p>
    <w:p w14:paraId="7954B335" w14:textId="7E161064" w:rsidR="00F05DC7" w:rsidRDefault="00F05DC7" w:rsidP="00A3786D">
      <w:pPr>
        <w:pStyle w:val="BodyText"/>
      </w:pPr>
      <w:r>
        <w:t xml:space="preserve">The CGC </w:t>
      </w:r>
      <w:r w:rsidR="009D6331" w:rsidRPr="009D6331">
        <w:rPr>
          <w:szCs w:val="24"/>
        </w:rPr>
        <w:t>(2017d, p. 18)</w:t>
      </w:r>
      <w:r>
        <w:t xml:space="preserve"> has indicated that the differences between Quality Schools funding and the previous National Education Reform funding (Students First) are minor. The current terms of reference (for NERA funding) require that the CGC:</w:t>
      </w:r>
    </w:p>
    <w:p w14:paraId="7954B336" w14:textId="77777777" w:rsidR="00F05DC7" w:rsidRDefault="00F05DC7" w:rsidP="00A3786D">
      <w:pPr>
        <w:pStyle w:val="ListBullet"/>
      </w:pPr>
      <w:r>
        <w:t>not unwind the recognition of educational disadvantage embedded in the needs</w:t>
      </w:r>
      <w:r>
        <w:noBreakHyphen/>
        <w:t xml:space="preserve">based funding arrangements </w:t>
      </w:r>
    </w:p>
    <w:p w14:paraId="7954B337" w14:textId="780AC784" w:rsidR="00F05DC7" w:rsidRDefault="00F05DC7" w:rsidP="00A3786D">
      <w:pPr>
        <w:pStyle w:val="ListBullet"/>
      </w:pPr>
      <w:r>
        <w:t>ensure that no State received a windfall gain from non</w:t>
      </w:r>
      <w:r>
        <w:noBreakHyphen/>
        <w:t xml:space="preserve">participation in the arrangement </w:t>
      </w:r>
      <w:r w:rsidR="009D6331" w:rsidRPr="009D6331">
        <w:rPr>
          <w:szCs w:val="24"/>
        </w:rPr>
        <w:t>(CGC 2015e)</w:t>
      </w:r>
      <w:r>
        <w:t xml:space="preserve">. This is less relevant for Quality Schools, as it is more of a unilateral process run by the Commonwealth, where Students First relied on States’ cooperation </w:t>
      </w:r>
      <w:r w:rsidR="009D6331" w:rsidRPr="009D6331">
        <w:rPr>
          <w:szCs w:val="24"/>
        </w:rPr>
        <w:t>(CGC 2017d, p. 18)</w:t>
      </w:r>
      <w:r>
        <w:t>.</w:t>
      </w:r>
    </w:p>
    <w:p w14:paraId="7954B338" w14:textId="77777777" w:rsidR="00F05DC7" w:rsidRPr="004B189D" w:rsidRDefault="00F05DC7" w:rsidP="00A3786D">
      <w:pPr>
        <w:pStyle w:val="BodyText"/>
      </w:pPr>
    </w:p>
    <w:p w14:paraId="7954B339" w14:textId="77777777" w:rsidR="00F05DC7" w:rsidRDefault="00F05DC7" w:rsidP="00F05DC7">
      <w:pPr>
        <w:sectPr w:rsidR="00F05DC7" w:rsidSect="00F05DC7">
          <w:headerReference w:type="even" r:id="rId182"/>
          <w:headerReference w:type="default" r:id="rId183"/>
          <w:footerReference w:type="even" r:id="rId184"/>
          <w:footerReference w:type="default" r:id="rId185"/>
          <w:type w:val="oddPage"/>
          <w:pgSz w:w="11907" w:h="16840" w:code="9"/>
          <w:pgMar w:top="1985" w:right="1304" w:bottom="1247" w:left="1814" w:header="1701" w:footer="397" w:gutter="0"/>
          <w:pgNumType w:chapSep="period"/>
          <w:cols w:space="720"/>
          <w:docGrid w:linePitch="326"/>
        </w:sectPr>
      </w:pPr>
    </w:p>
    <w:p w14:paraId="7954B33A" w14:textId="77777777" w:rsidR="00F05DC7" w:rsidRDefault="00F05DC7" w:rsidP="00460F2D">
      <w:pPr>
        <w:pStyle w:val="Heading1"/>
      </w:pPr>
      <w:bookmarkStart w:id="116" w:name="_Toc513637743"/>
      <w:r>
        <w:lastRenderedPageBreak/>
        <w:t>C</w:t>
      </w:r>
      <w:r>
        <w:tab/>
        <w:t>Calculations and cameos</w:t>
      </w:r>
      <w:bookmarkEnd w:id="116"/>
    </w:p>
    <w:p w14:paraId="7954B33B" w14:textId="77777777" w:rsidR="00F05DC7" w:rsidRDefault="00F05DC7" w:rsidP="00A3786D">
      <w:pPr>
        <w:pStyle w:val="BodyText"/>
      </w:pPr>
      <w:r>
        <w:t xml:space="preserve">The Productivity Commission has estimated the GST distribution implications of a range of relativity calculation methods in assessing the impacts of Australia’s HFE system and evaluating alternative approaches to redistribution of the GST pool. The methods analysed include: </w:t>
      </w:r>
    </w:p>
    <w:p w14:paraId="7954B33C" w14:textId="77777777" w:rsidR="00F05DC7" w:rsidRDefault="00F05DC7" w:rsidP="00A3786D">
      <w:pPr>
        <w:pStyle w:val="ListBullet"/>
      </w:pPr>
      <w:r>
        <w:t>a</w:t>
      </w:r>
      <w:r w:rsidRPr="00DB4CF9">
        <w:t xml:space="preserve">lternative </w:t>
      </w:r>
      <w:r>
        <w:t>approaches</w:t>
      </w:r>
      <w:r w:rsidRPr="00DB4CF9">
        <w:t>,</w:t>
      </w:r>
      <w:r>
        <w:t xml:space="preserve"> which represent significant departures from the current implementation of HFE by the Commonwealth Grants Commission (CGC) and alter the extent to which States’ fiscal capacities are equalised. These include various alternative benchmarks of equalisation to less than the strongest State</w:t>
      </w:r>
    </w:p>
    <w:p w14:paraId="7954B33D" w14:textId="77777777" w:rsidR="00F05DC7" w:rsidRPr="00DB4CF9" w:rsidRDefault="00F05DC7" w:rsidP="00A3786D">
      <w:pPr>
        <w:pStyle w:val="ListBullet"/>
      </w:pPr>
      <w:r>
        <w:t>specific ‘in system’ a</w:t>
      </w:r>
      <w:r w:rsidRPr="00DB4CF9">
        <w:t xml:space="preserve">djustments to </w:t>
      </w:r>
      <w:r>
        <w:t>HFE using the current equalisation benchmark.</w:t>
      </w:r>
    </w:p>
    <w:p w14:paraId="7954B33E" w14:textId="77777777" w:rsidR="00F05DC7" w:rsidRDefault="00F05DC7" w:rsidP="00A3786D">
      <w:pPr>
        <w:pStyle w:val="BodyText"/>
      </w:pPr>
      <w:r>
        <w:t>This appendix also examines how a State’s choice of tax rates and levels of expenditure can affect its GST payments. These ‘average rate effects’ are mechanical and driven by the CGC’s implementation of HFE. Their effects on States’ incentives and decision making are discussed in chapter 3. Finally, this appendix considers three in</w:t>
      </w:r>
      <w:r>
        <w:noBreakHyphen/>
        <w:t>depth cameos of State tax reforms to illustrate how unilateral and multilateral reforms can affect GST payments.</w:t>
      </w:r>
    </w:p>
    <w:p w14:paraId="7954B33F" w14:textId="6B1E8A9E" w:rsidR="00F05DC7" w:rsidRDefault="00F05DC7" w:rsidP="00A3786D">
      <w:pPr>
        <w:pStyle w:val="Heading2"/>
      </w:pPr>
      <w:bookmarkStart w:id="117" w:name="_Toc513637744"/>
      <w:r>
        <w:t>C.</w:t>
      </w:r>
      <w:r>
        <w:rPr>
          <w:noProof/>
        </w:rPr>
        <w:t>1</w:t>
      </w:r>
      <w:r>
        <w:tab/>
      </w:r>
      <w:r w:rsidRPr="00760FFE">
        <w:t>Alternative approaches</w:t>
      </w:r>
      <w:r>
        <w:t xml:space="preserve"> to equalising States’ fiscal capacities</w:t>
      </w:r>
      <w:bookmarkEnd w:id="117"/>
    </w:p>
    <w:p w14:paraId="7954B340" w14:textId="77777777" w:rsidR="00F05DC7" w:rsidRDefault="00F05DC7" w:rsidP="00A3786D">
      <w:pPr>
        <w:pStyle w:val="BodyText"/>
      </w:pPr>
      <w:r>
        <w:t>The calculations presented below follow the CGC’s approach of using three years of data (2014</w:t>
      </w:r>
      <w:r>
        <w:noBreakHyphen/>
        <w:t>15, 2015</w:t>
      </w:r>
      <w:r>
        <w:noBreakHyphen/>
        <w:t>16, and 2016</w:t>
      </w:r>
      <w:r>
        <w:noBreakHyphen/>
        <w:t>17 — the ‘assessment years’) to calculate each State’s GST payment for the current year (2018</w:t>
      </w:r>
      <w:r>
        <w:noBreakHyphen/>
        <w:t>19 — the ‘application year’).</w:t>
      </w:r>
    </w:p>
    <w:p w14:paraId="7954B341" w14:textId="77777777" w:rsidR="00F05DC7" w:rsidRDefault="00F05DC7" w:rsidP="00A3786D">
      <w:pPr>
        <w:pStyle w:val="Heading3"/>
      </w:pPr>
      <w:r>
        <w:t>Equal per capita</w:t>
      </w:r>
    </w:p>
    <w:p w14:paraId="7954B342" w14:textId="77777777" w:rsidR="00F05DC7" w:rsidRDefault="00F05DC7" w:rsidP="00A3786D">
      <w:pPr>
        <w:pStyle w:val="BodyText"/>
      </w:pPr>
      <w:r>
        <w:t>An equal per capita (EPC) approach simply distributes the total GST pool (an estimated $65.8 billion in 2018</w:t>
      </w:r>
      <w:r>
        <w:noBreakHyphen/>
        <w:t>19) by each State’s share of the Australian population. Compared to current HFE arrangements, an EPC distribution would benefit fiscally stronger States at the expense of fiscally weaker States. How States might fare under this approach will vary over time and, given their susceptibility to revenue shocks, their positions could change markedly from the snapshot portrayed in table C.1. In the current environment, an EPC distribution would see more GST revenue flow to New South Wales, Victoria and Western Australia, and commensurately less to the remaining States, with the Northern Territory experiencing the largest reduction in per capita terms.</w:t>
      </w:r>
    </w:p>
    <w:p w14:paraId="7954B343" w14:textId="77777777" w:rsidR="00F05DC7" w:rsidRDefault="00F05DC7" w:rsidP="00A3786D">
      <w:pPr>
        <w:pStyle w:val="BodyText"/>
      </w:pPr>
      <w:r>
        <w:lastRenderedPageBreak/>
        <w:t>If a ‘top up’ payment was used to maintain the current approach so that fiscally weaker States would not lose out under an EPC distribution, this would come at a total cost of $6.8 billion.</w:t>
      </w:r>
    </w:p>
    <w:p w14:paraId="7954B344" w14:textId="77777777" w:rsidR="00F05DC7" w:rsidRPr="00F64A05"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347" w14:textId="77777777" w:rsidTr="001113B1">
        <w:trPr>
          <w:tblHeader/>
        </w:trPr>
        <w:tc>
          <w:tcPr>
            <w:tcW w:w="5000" w:type="pct"/>
            <w:tcBorders>
              <w:top w:val="single" w:sz="6" w:space="0" w:color="78A22F"/>
              <w:left w:val="nil"/>
              <w:bottom w:val="nil"/>
              <w:right w:val="nil"/>
            </w:tcBorders>
            <w:shd w:val="clear" w:color="auto" w:fill="auto"/>
          </w:tcPr>
          <w:p w14:paraId="7954B345" w14:textId="5906F21F" w:rsidR="00F05DC7" w:rsidRDefault="00F05DC7" w:rsidP="00A3786D">
            <w:pPr>
              <w:pStyle w:val="TableTitle"/>
            </w:pPr>
            <w:r>
              <w:rPr>
                <w:b w:val="0"/>
              </w:rPr>
              <w:t>Table C.</w:t>
            </w:r>
            <w:r>
              <w:rPr>
                <w:b w:val="0"/>
                <w:noProof/>
              </w:rPr>
              <w:t>1</w:t>
            </w:r>
            <w:r>
              <w:tab/>
              <w:t>Effects of equal per capita distribution</w:t>
            </w:r>
          </w:p>
          <w:p w14:paraId="7954B346" w14:textId="77777777" w:rsidR="00F05DC7" w:rsidRPr="00784A05" w:rsidRDefault="00F05DC7" w:rsidP="00A3786D">
            <w:pPr>
              <w:pStyle w:val="Subtitle"/>
            </w:pPr>
            <w:r>
              <w:t>2018</w:t>
            </w:r>
            <w:r>
              <w:noBreakHyphen/>
              <w:t>19 GST payments and relativities</w:t>
            </w:r>
          </w:p>
        </w:tc>
      </w:tr>
      <w:tr w:rsidR="00F05DC7" w14:paraId="7954B399" w14:textId="77777777" w:rsidTr="00A3786D">
        <w:tc>
          <w:tcPr>
            <w:tcW w:w="5000" w:type="pct"/>
            <w:tcBorders>
              <w:top w:val="nil"/>
              <w:left w:val="nil"/>
              <w:bottom w:val="single" w:sz="4" w:space="0" w:color="BFBFBF"/>
              <w:right w:val="nil"/>
            </w:tcBorders>
            <w:shd w:val="clear" w:color="auto" w:fill="auto"/>
          </w:tcPr>
          <w:tbl>
            <w:tblPr>
              <w:tblW w:w="8505" w:type="dxa"/>
              <w:tblLayout w:type="fixed"/>
              <w:tblCellMar>
                <w:left w:w="0" w:type="dxa"/>
                <w:right w:w="0" w:type="dxa"/>
              </w:tblCellMar>
              <w:tblLook w:val="04A0" w:firstRow="1" w:lastRow="0" w:firstColumn="1" w:lastColumn="0" w:noHBand="0" w:noVBand="1"/>
            </w:tblPr>
            <w:tblGrid>
              <w:gridCol w:w="2835"/>
              <w:gridCol w:w="708"/>
              <w:gridCol w:w="709"/>
              <w:gridCol w:w="709"/>
              <w:gridCol w:w="709"/>
              <w:gridCol w:w="708"/>
              <w:gridCol w:w="709"/>
              <w:gridCol w:w="709"/>
              <w:gridCol w:w="709"/>
            </w:tblGrid>
            <w:tr w:rsidR="00F05DC7" w14:paraId="7954B351" w14:textId="77777777" w:rsidTr="001113B1">
              <w:trPr>
                <w:trHeight w:val="283"/>
                <w:tblHeader/>
              </w:trPr>
              <w:tc>
                <w:tcPr>
                  <w:tcW w:w="2835" w:type="dxa"/>
                  <w:tcBorders>
                    <w:top w:val="single" w:sz="8" w:space="0" w:color="BFBFBF"/>
                    <w:left w:val="nil"/>
                    <w:bottom w:val="single" w:sz="8" w:space="0" w:color="BFBFBF"/>
                    <w:right w:val="nil"/>
                  </w:tcBorders>
                  <w:shd w:val="clear" w:color="auto" w:fill="auto"/>
                  <w:vAlign w:val="center"/>
                  <w:hideMark/>
                </w:tcPr>
                <w:p w14:paraId="7954B348" w14:textId="77777777" w:rsidR="00F05DC7" w:rsidRDefault="00F05DC7" w:rsidP="00A3786D">
                  <w:pPr>
                    <w:rPr>
                      <w:rFonts w:ascii="Arial" w:hAnsi="Arial" w:cs="Arial"/>
                      <w:i/>
                      <w:iCs/>
                      <w:color w:val="000000"/>
                      <w:sz w:val="18"/>
                      <w:szCs w:val="18"/>
                    </w:rPr>
                  </w:pPr>
                </w:p>
              </w:tc>
              <w:tc>
                <w:tcPr>
                  <w:tcW w:w="708" w:type="dxa"/>
                  <w:tcBorders>
                    <w:top w:val="single" w:sz="8" w:space="0" w:color="BFBFBF"/>
                    <w:left w:val="nil"/>
                    <w:bottom w:val="single" w:sz="8" w:space="0" w:color="BFBFBF"/>
                    <w:right w:val="nil"/>
                  </w:tcBorders>
                  <w:shd w:val="clear" w:color="auto" w:fill="auto"/>
                  <w:vAlign w:val="center"/>
                  <w:hideMark/>
                </w:tcPr>
                <w:p w14:paraId="7954B349" w14:textId="77777777" w:rsidR="00F05DC7" w:rsidRPr="00EE70CB" w:rsidRDefault="00F05DC7" w:rsidP="00A3786D">
                  <w:pPr>
                    <w:pStyle w:val="TableColumnHeading"/>
                    <w:ind w:right="11"/>
                  </w:pPr>
                  <w:r w:rsidRPr="00EE70CB">
                    <w:t>NSW</w:t>
                  </w:r>
                </w:p>
              </w:tc>
              <w:tc>
                <w:tcPr>
                  <w:tcW w:w="709" w:type="dxa"/>
                  <w:tcBorders>
                    <w:top w:val="single" w:sz="8" w:space="0" w:color="BFBFBF"/>
                    <w:left w:val="nil"/>
                    <w:bottom w:val="single" w:sz="8" w:space="0" w:color="BFBFBF"/>
                    <w:right w:val="nil"/>
                  </w:tcBorders>
                  <w:shd w:val="clear" w:color="auto" w:fill="auto"/>
                  <w:vAlign w:val="center"/>
                  <w:hideMark/>
                </w:tcPr>
                <w:p w14:paraId="7954B34A" w14:textId="77777777" w:rsidR="00F05DC7" w:rsidRPr="00EE70CB" w:rsidRDefault="00F05DC7" w:rsidP="00A3786D">
                  <w:pPr>
                    <w:pStyle w:val="TableColumnHeading"/>
                    <w:ind w:right="11"/>
                  </w:pPr>
                  <w:r w:rsidRPr="00EE70CB">
                    <w:t>Vic</w:t>
                  </w:r>
                </w:p>
              </w:tc>
              <w:tc>
                <w:tcPr>
                  <w:tcW w:w="709" w:type="dxa"/>
                  <w:tcBorders>
                    <w:top w:val="single" w:sz="8" w:space="0" w:color="BFBFBF"/>
                    <w:left w:val="nil"/>
                    <w:bottom w:val="single" w:sz="8" w:space="0" w:color="BFBFBF"/>
                    <w:right w:val="nil"/>
                  </w:tcBorders>
                  <w:shd w:val="clear" w:color="auto" w:fill="auto"/>
                  <w:vAlign w:val="center"/>
                  <w:hideMark/>
                </w:tcPr>
                <w:p w14:paraId="7954B34B" w14:textId="77777777" w:rsidR="00F05DC7" w:rsidRPr="00EE70CB" w:rsidRDefault="00F05DC7" w:rsidP="00A3786D">
                  <w:pPr>
                    <w:pStyle w:val="TableColumnHeading"/>
                    <w:ind w:right="11"/>
                  </w:pPr>
                  <w:r w:rsidRPr="00EE70CB">
                    <w:t>Qld</w:t>
                  </w:r>
                </w:p>
              </w:tc>
              <w:tc>
                <w:tcPr>
                  <w:tcW w:w="709" w:type="dxa"/>
                  <w:tcBorders>
                    <w:top w:val="single" w:sz="8" w:space="0" w:color="BFBFBF"/>
                    <w:left w:val="nil"/>
                    <w:bottom w:val="single" w:sz="8" w:space="0" w:color="BFBFBF"/>
                    <w:right w:val="nil"/>
                  </w:tcBorders>
                  <w:shd w:val="clear" w:color="auto" w:fill="auto"/>
                  <w:vAlign w:val="center"/>
                  <w:hideMark/>
                </w:tcPr>
                <w:p w14:paraId="7954B34C" w14:textId="77777777" w:rsidR="00F05DC7" w:rsidRPr="00EE70CB" w:rsidRDefault="00F05DC7" w:rsidP="00A3786D">
                  <w:pPr>
                    <w:pStyle w:val="TableColumnHeading"/>
                    <w:ind w:right="11"/>
                  </w:pPr>
                  <w:r w:rsidRPr="00EE70CB">
                    <w:t>WA</w:t>
                  </w:r>
                </w:p>
              </w:tc>
              <w:tc>
                <w:tcPr>
                  <w:tcW w:w="708" w:type="dxa"/>
                  <w:tcBorders>
                    <w:top w:val="single" w:sz="8" w:space="0" w:color="BFBFBF"/>
                    <w:left w:val="nil"/>
                    <w:bottom w:val="single" w:sz="8" w:space="0" w:color="BFBFBF"/>
                    <w:right w:val="nil"/>
                  </w:tcBorders>
                  <w:shd w:val="clear" w:color="auto" w:fill="auto"/>
                  <w:vAlign w:val="center"/>
                  <w:hideMark/>
                </w:tcPr>
                <w:p w14:paraId="7954B34D" w14:textId="77777777" w:rsidR="00F05DC7" w:rsidRPr="00EE70CB" w:rsidRDefault="00F05DC7" w:rsidP="00A3786D">
                  <w:pPr>
                    <w:pStyle w:val="TableColumnHeading"/>
                    <w:ind w:right="11"/>
                  </w:pPr>
                  <w:r w:rsidRPr="00EE70CB">
                    <w:t>SA</w:t>
                  </w:r>
                </w:p>
              </w:tc>
              <w:tc>
                <w:tcPr>
                  <w:tcW w:w="709" w:type="dxa"/>
                  <w:tcBorders>
                    <w:top w:val="single" w:sz="8" w:space="0" w:color="BFBFBF"/>
                    <w:left w:val="nil"/>
                    <w:bottom w:val="single" w:sz="8" w:space="0" w:color="BFBFBF"/>
                    <w:right w:val="nil"/>
                  </w:tcBorders>
                  <w:shd w:val="clear" w:color="auto" w:fill="auto"/>
                  <w:vAlign w:val="center"/>
                  <w:hideMark/>
                </w:tcPr>
                <w:p w14:paraId="7954B34E" w14:textId="77777777" w:rsidR="00F05DC7" w:rsidRPr="00EE70CB" w:rsidRDefault="00F05DC7" w:rsidP="00A3786D">
                  <w:pPr>
                    <w:pStyle w:val="TableColumnHeading"/>
                    <w:ind w:right="11"/>
                  </w:pPr>
                  <w:r w:rsidRPr="00EE70CB">
                    <w:t>Tas</w:t>
                  </w:r>
                </w:p>
              </w:tc>
              <w:tc>
                <w:tcPr>
                  <w:tcW w:w="709" w:type="dxa"/>
                  <w:tcBorders>
                    <w:top w:val="single" w:sz="8" w:space="0" w:color="BFBFBF"/>
                    <w:left w:val="nil"/>
                    <w:bottom w:val="single" w:sz="8" w:space="0" w:color="BFBFBF"/>
                    <w:right w:val="nil"/>
                  </w:tcBorders>
                  <w:shd w:val="clear" w:color="auto" w:fill="auto"/>
                  <w:vAlign w:val="center"/>
                  <w:hideMark/>
                </w:tcPr>
                <w:p w14:paraId="7954B34F" w14:textId="77777777" w:rsidR="00F05DC7" w:rsidRPr="00EE70CB" w:rsidRDefault="00F05DC7" w:rsidP="00A3786D">
                  <w:pPr>
                    <w:pStyle w:val="TableColumnHeading"/>
                    <w:ind w:right="11"/>
                  </w:pPr>
                  <w:r w:rsidRPr="00EE70CB">
                    <w:t>ACT</w:t>
                  </w:r>
                </w:p>
              </w:tc>
              <w:tc>
                <w:tcPr>
                  <w:tcW w:w="709" w:type="dxa"/>
                  <w:tcBorders>
                    <w:top w:val="single" w:sz="8" w:space="0" w:color="BFBFBF"/>
                    <w:left w:val="nil"/>
                    <w:bottom w:val="single" w:sz="8" w:space="0" w:color="BFBFBF"/>
                    <w:right w:val="nil"/>
                  </w:tcBorders>
                  <w:shd w:val="clear" w:color="auto" w:fill="auto"/>
                  <w:vAlign w:val="center"/>
                  <w:hideMark/>
                </w:tcPr>
                <w:p w14:paraId="7954B350" w14:textId="77777777" w:rsidR="00F05DC7" w:rsidRPr="00EE70CB" w:rsidRDefault="00F05DC7" w:rsidP="00A3786D">
                  <w:pPr>
                    <w:pStyle w:val="TableColumnHeading"/>
                    <w:ind w:right="11"/>
                  </w:pPr>
                  <w:r w:rsidRPr="00EE70CB">
                    <w:t>NT</w:t>
                  </w:r>
                </w:p>
              </w:tc>
            </w:tr>
            <w:tr w:rsidR="00F05DC7" w14:paraId="7954B35B" w14:textId="77777777" w:rsidTr="00A3786D">
              <w:trPr>
                <w:trHeight w:val="283"/>
              </w:trPr>
              <w:tc>
                <w:tcPr>
                  <w:tcW w:w="2835" w:type="dxa"/>
                  <w:tcBorders>
                    <w:top w:val="nil"/>
                    <w:left w:val="nil"/>
                    <w:bottom w:val="nil"/>
                    <w:right w:val="nil"/>
                  </w:tcBorders>
                  <w:shd w:val="clear" w:color="auto" w:fill="auto"/>
                  <w:vAlign w:val="center"/>
                  <w:hideMark/>
                </w:tcPr>
                <w:p w14:paraId="7954B352" w14:textId="77777777" w:rsidR="00F05DC7" w:rsidRPr="00791D71" w:rsidRDefault="00F05DC7" w:rsidP="00A3786D">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708" w:type="dxa"/>
                  <w:tcBorders>
                    <w:top w:val="nil"/>
                    <w:left w:val="nil"/>
                    <w:bottom w:val="nil"/>
                    <w:right w:val="nil"/>
                  </w:tcBorders>
                  <w:shd w:val="clear" w:color="auto" w:fill="auto"/>
                  <w:hideMark/>
                </w:tcPr>
                <w:p w14:paraId="7954B353"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B354"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B355"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B356" w14:textId="77777777" w:rsidR="00F05DC7" w:rsidRPr="00791D71" w:rsidRDefault="00F05DC7" w:rsidP="00A3786D">
                  <w:pPr>
                    <w:pStyle w:val="TableBodyText"/>
                  </w:pPr>
                </w:p>
              </w:tc>
              <w:tc>
                <w:tcPr>
                  <w:tcW w:w="708" w:type="dxa"/>
                  <w:tcBorders>
                    <w:top w:val="nil"/>
                    <w:left w:val="nil"/>
                    <w:bottom w:val="nil"/>
                    <w:right w:val="nil"/>
                  </w:tcBorders>
                  <w:shd w:val="clear" w:color="auto" w:fill="auto"/>
                  <w:hideMark/>
                </w:tcPr>
                <w:p w14:paraId="7954B357"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B358"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B359" w14:textId="77777777" w:rsidR="00F05DC7" w:rsidRPr="00791D71" w:rsidRDefault="00F05DC7" w:rsidP="00A3786D">
                  <w:pPr>
                    <w:pStyle w:val="TableBodyText"/>
                  </w:pPr>
                </w:p>
              </w:tc>
              <w:tc>
                <w:tcPr>
                  <w:tcW w:w="709" w:type="dxa"/>
                  <w:tcBorders>
                    <w:top w:val="nil"/>
                    <w:left w:val="nil"/>
                    <w:bottom w:val="nil"/>
                    <w:right w:val="nil"/>
                  </w:tcBorders>
                  <w:shd w:val="clear" w:color="auto" w:fill="auto"/>
                  <w:hideMark/>
                </w:tcPr>
                <w:p w14:paraId="7954B35A" w14:textId="77777777" w:rsidR="00F05DC7" w:rsidRPr="00791D71" w:rsidRDefault="00F05DC7" w:rsidP="00A3786D">
                  <w:pPr>
                    <w:pStyle w:val="TableBodyText"/>
                  </w:pPr>
                </w:p>
              </w:tc>
            </w:tr>
            <w:tr w:rsidR="00F05DC7" w14:paraId="7954B365" w14:textId="77777777" w:rsidTr="00A3786D">
              <w:trPr>
                <w:trHeight w:val="283"/>
              </w:trPr>
              <w:tc>
                <w:tcPr>
                  <w:tcW w:w="2835" w:type="dxa"/>
                  <w:tcBorders>
                    <w:top w:val="nil"/>
                    <w:left w:val="nil"/>
                    <w:bottom w:val="nil"/>
                    <w:right w:val="nil"/>
                  </w:tcBorders>
                  <w:shd w:val="clear" w:color="auto" w:fill="auto"/>
                  <w:vAlign w:val="center"/>
                  <w:hideMark/>
                </w:tcPr>
                <w:p w14:paraId="7954B35C" w14:textId="77777777" w:rsidR="00F05DC7" w:rsidRPr="00791D71" w:rsidRDefault="00F05DC7" w:rsidP="00A3786D">
                  <w:pPr>
                    <w:pStyle w:val="TableBodyText"/>
                    <w:ind w:left="0"/>
                    <w:jc w:val="left"/>
                  </w:pPr>
                  <w:r w:rsidRPr="00791D71">
                    <w:t>Current approach</w:t>
                  </w:r>
                </w:p>
              </w:tc>
              <w:tc>
                <w:tcPr>
                  <w:tcW w:w="708" w:type="dxa"/>
                  <w:tcBorders>
                    <w:top w:val="nil"/>
                    <w:left w:val="nil"/>
                    <w:bottom w:val="nil"/>
                    <w:right w:val="nil"/>
                  </w:tcBorders>
                  <w:shd w:val="clear" w:color="auto" w:fill="auto"/>
                  <w:vAlign w:val="center"/>
                  <w:hideMark/>
                </w:tcPr>
                <w:p w14:paraId="7954B35D" w14:textId="77777777" w:rsidR="00F05DC7" w:rsidRPr="00791D71" w:rsidRDefault="00F05DC7" w:rsidP="00A3786D">
                  <w:pPr>
                    <w:pStyle w:val="TableBodyText"/>
                    <w:ind w:right="28"/>
                  </w:pPr>
                  <w:r>
                    <w:rPr>
                      <w:rFonts w:cs="Arial"/>
                      <w:color w:val="000000"/>
                      <w:szCs w:val="18"/>
                    </w:rPr>
                    <w:t>0.86</w:t>
                  </w:r>
                </w:p>
              </w:tc>
              <w:tc>
                <w:tcPr>
                  <w:tcW w:w="709" w:type="dxa"/>
                  <w:tcBorders>
                    <w:top w:val="nil"/>
                    <w:left w:val="nil"/>
                    <w:bottom w:val="nil"/>
                    <w:right w:val="nil"/>
                  </w:tcBorders>
                  <w:shd w:val="clear" w:color="auto" w:fill="auto"/>
                  <w:vAlign w:val="center"/>
                  <w:hideMark/>
                </w:tcPr>
                <w:p w14:paraId="7954B35E" w14:textId="77777777" w:rsidR="00F05DC7" w:rsidRPr="00791D71" w:rsidRDefault="00F05DC7" w:rsidP="00A3786D">
                  <w:pPr>
                    <w:pStyle w:val="TableBodyText"/>
                    <w:ind w:right="28"/>
                  </w:pPr>
                  <w:r>
                    <w:rPr>
                      <w:rFonts w:cs="Arial"/>
                      <w:color w:val="000000"/>
                      <w:szCs w:val="18"/>
                    </w:rPr>
                    <w:t>0.99</w:t>
                  </w:r>
                </w:p>
              </w:tc>
              <w:tc>
                <w:tcPr>
                  <w:tcW w:w="709" w:type="dxa"/>
                  <w:tcBorders>
                    <w:top w:val="nil"/>
                    <w:left w:val="nil"/>
                    <w:bottom w:val="nil"/>
                    <w:right w:val="nil"/>
                  </w:tcBorders>
                  <w:shd w:val="clear" w:color="auto" w:fill="auto"/>
                  <w:vAlign w:val="center"/>
                  <w:hideMark/>
                </w:tcPr>
                <w:p w14:paraId="7954B35F" w14:textId="77777777" w:rsidR="00F05DC7" w:rsidRPr="00791D71" w:rsidRDefault="00F05DC7" w:rsidP="00A3786D">
                  <w:pPr>
                    <w:pStyle w:val="TableBodyText"/>
                    <w:ind w:right="28"/>
                  </w:pPr>
                  <w:r>
                    <w:rPr>
                      <w:rFonts w:cs="Arial"/>
                      <w:color w:val="000000"/>
                      <w:szCs w:val="18"/>
                    </w:rPr>
                    <w:t>1.10</w:t>
                  </w:r>
                </w:p>
              </w:tc>
              <w:tc>
                <w:tcPr>
                  <w:tcW w:w="709" w:type="dxa"/>
                  <w:tcBorders>
                    <w:top w:val="nil"/>
                    <w:left w:val="nil"/>
                    <w:bottom w:val="nil"/>
                    <w:right w:val="nil"/>
                  </w:tcBorders>
                  <w:shd w:val="clear" w:color="auto" w:fill="auto"/>
                  <w:vAlign w:val="center"/>
                  <w:hideMark/>
                </w:tcPr>
                <w:p w14:paraId="7954B360" w14:textId="77777777" w:rsidR="00F05DC7" w:rsidRPr="00791D71" w:rsidRDefault="00F05DC7" w:rsidP="00A3786D">
                  <w:pPr>
                    <w:pStyle w:val="TableBodyText"/>
                    <w:ind w:right="28"/>
                  </w:pPr>
                  <w:r>
                    <w:rPr>
                      <w:rFonts w:cs="Arial"/>
                      <w:color w:val="000000"/>
                      <w:szCs w:val="18"/>
                    </w:rPr>
                    <w:t>0.47</w:t>
                  </w:r>
                </w:p>
              </w:tc>
              <w:tc>
                <w:tcPr>
                  <w:tcW w:w="708" w:type="dxa"/>
                  <w:tcBorders>
                    <w:top w:val="nil"/>
                    <w:left w:val="nil"/>
                    <w:bottom w:val="nil"/>
                    <w:right w:val="nil"/>
                  </w:tcBorders>
                  <w:shd w:val="clear" w:color="auto" w:fill="auto"/>
                  <w:vAlign w:val="center"/>
                  <w:hideMark/>
                </w:tcPr>
                <w:p w14:paraId="7954B361" w14:textId="77777777" w:rsidR="00F05DC7" w:rsidRPr="00791D71" w:rsidRDefault="00F05DC7" w:rsidP="00A3786D">
                  <w:pPr>
                    <w:pStyle w:val="TableBodyText"/>
                    <w:ind w:right="28"/>
                  </w:pPr>
                  <w:r>
                    <w:rPr>
                      <w:rFonts w:cs="Arial"/>
                      <w:color w:val="000000"/>
                      <w:szCs w:val="18"/>
                    </w:rPr>
                    <w:t>1.48</w:t>
                  </w:r>
                </w:p>
              </w:tc>
              <w:tc>
                <w:tcPr>
                  <w:tcW w:w="709" w:type="dxa"/>
                  <w:tcBorders>
                    <w:top w:val="nil"/>
                    <w:left w:val="nil"/>
                    <w:bottom w:val="nil"/>
                    <w:right w:val="nil"/>
                  </w:tcBorders>
                  <w:shd w:val="clear" w:color="auto" w:fill="auto"/>
                  <w:vAlign w:val="center"/>
                  <w:hideMark/>
                </w:tcPr>
                <w:p w14:paraId="7954B362" w14:textId="77777777" w:rsidR="00F05DC7" w:rsidRPr="00791D71" w:rsidRDefault="00F05DC7" w:rsidP="00A3786D">
                  <w:pPr>
                    <w:pStyle w:val="TableBodyText"/>
                    <w:ind w:right="28"/>
                  </w:pPr>
                  <w:r>
                    <w:rPr>
                      <w:rFonts w:cs="Arial"/>
                      <w:color w:val="000000"/>
                      <w:szCs w:val="18"/>
                    </w:rPr>
                    <w:t>1.77</w:t>
                  </w:r>
                </w:p>
              </w:tc>
              <w:tc>
                <w:tcPr>
                  <w:tcW w:w="709" w:type="dxa"/>
                  <w:tcBorders>
                    <w:top w:val="nil"/>
                    <w:left w:val="nil"/>
                    <w:bottom w:val="nil"/>
                    <w:right w:val="nil"/>
                  </w:tcBorders>
                  <w:shd w:val="clear" w:color="auto" w:fill="auto"/>
                  <w:vAlign w:val="center"/>
                  <w:hideMark/>
                </w:tcPr>
                <w:p w14:paraId="7954B363" w14:textId="77777777" w:rsidR="00F05DC7" w:rsidRPr="00791D71" w:rsidRDefault="00F05DC7" w:rsidP="00A3786D">
                  <w:pPr>
                    <w:pStyle w:val="TableBodyText"/>
                    <w:ind w:right="28"/>
                  </w:pPr>
                  <w:r>
                    <w:rPr>
                      <w:rFonts w:cs="Arial"/>
                      <w:color w:val="000000"/>
                      <w:szCs w:val="18"/>
                    </w:rPr>
                    <w:t>1.18</w:t>
                  </w:r>
                </w:p>
              </w:tc>
              <w:tc>
                <w:tcPr>
                  <w:tcW w:w="709" w:type="dxa"/>
                  <w:tcBorders>
                    <w:top w:val="nil"/>
                    <w:left w:val="nil"/>
                    <w:bottom w:val="nil"/>
                    <w:right w:val="nil"/>
                  </w:tcBorders>
                  <w:shd w:val="clear" w:color="auto" w:fill="auto"/>
                  <w:vAlign w:val="center"/>
                  <w:hideMark/>
                </w:tcPr>
                <w:p w14:paraId="7954B364" w14:textId="77777777" w:rsidR="00F05DC7" w:rsidRPr="00791D71" w:rsidRDefault="00F05DC7" w:rsidP="00A3786D">
                  <w:pPr>
                    <w:pStyle w:val="TableBodyText"/>
                    <w:ind w:right="28"/>
                  </w:pPr>
                  <w:r>
                    <w:rPr>
                      <w:rFonts w:cs="Arial"/>
                      <w:color w:val="000000"/>
                      <w:szCs w:val="18"/>
                    </w:rPr>
                    <w:t>4.26</w:t>
                  </w:r>
                </w:p>
              </w:tc>
            </w:tr>
            <w:tr w:rsidR="00F05DC7" w14:paraId="7954B36F" w14:textId="77777777" w:rsidTr="00A3786D">
              <w:trPr>
                <w:trHeight w:val="283"/>
              </w:trPr>
              <w:tc>
                <w:tcPr>
                  <w:tcW w:w="2835" w:type="dxa"/>
                  <w:tcBorders>
                    <w:top w:val="nil"/>
                    <w:left w:val="nil"/>
                    <w:bottom w:val="nil"/>
                    <w:right w:val="nil"/>
                  </w:tcBorders>
                  <w:shd w:val="clear" w:color="auto" w:fill="auto"/>
                  <w:vAlign w:val="center"/>
                  <w:hideMark/>
                </w:tcPr>
                <w:p w14:paraId="7954B366" w14:textId="77777777" w:rsidR="00F05DC7" w:rsidRPr="00791D71" w:rsidRDefault="00F05DC7" w:rsidP="00A3786D">
                  <w:pPr>
                    <w:pStyle w:val="TableBodyText"/>
                    <w:ind w:left="0"/>
                    <w:jc w:val="left"/>
                  </w:pPr>
                  <w:r w:rsidRPr="00791D71">
                    <w:t>Equal per capita</w:t>
                  </w:r>
                </w:p>
              </w:tc>
              <w:tc>
                <w:tcPr>
                  <w:tcW w:w="708" w:type="dxa"/>
                  <w:tcBorders>
                    <w:top w:val="nil"/>
                    <w:left w:val="nil"/>
                    <w:bottom w:val="nil"/>
                    <w:right w:val="nil"/>
                  </w:tcBorders>
                  <w:shd w:val="clear" w:color="auto" w:fill="auto"/>
                  <w:vAlign w:val="center"/>
                  <w:hideMark/>
                </w:tcPr>
                <w:p w14:paraId="7954B367"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B368"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B369"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B36A" w14:textId="77777777" w:rsidR="00F05DC7" w:rsidRPr="00791D71" w:rsidRDefault="00F05DC7" w:rsidP="00A3786D">
                  <w:pPr>
                    <w:pStyle w:val="TableBodyText"/>
                    <w:ind w:right="28"/>
                  </w:pPr>
                  <w:r w:rsidRPr="00791D71">
                    <w:t>1.00</w:t>
                  </w:r>
                </w:p>
              </w:tc>
              <w:tc>
                <w:tcPr>
                  <w:tcW w:w="708" w:type="dxa"/>
                  <w:tcBorders>
                    <w:top w:val="nil"/>
                    <w:left w:val="nil"/>
                    <w:bottom w:val="nil"/>
                    <w:right w:val="nil"/>
                  </w:tcBorders>
                  <w:shd w:val="clear" w:color="auto" w:fill="auto"/>
                  <w:vAlign w:val="center"/>
                  <w:hideMark/>
                </w:tcPr>
                <w:p w14:paraId="7954B36B"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B36C"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B36D" w14:textId="77777777" w:rsidR="00F05DC7" w:rsidRPr="00791D71" w:rsidRDefault="00F05DC7" w:rsidP="00A3786D">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7954B36E" w14:textId="77777777" w:rsidR="00F05DC7" w:rsidRPr="00791D71" w:rsidRDefault="00F05DC7" w:rsidP="00A3786D">
                  <w:pPr>
                    <w:pStyle w:val="TableBodyText"/>
                    <w:ind w:right="28"/>
                  </w:pPr>
                  <w:r w:rsidRPr="00791D71">
                    <w:t>1.00</w:t>
                  </w:r>
                </w:p>
              </w:tc>
            </w:tr>
            <w:tr w:rsidR="00F05DC7" w14:paraId="7954B379" w14:textId="77777777" w:rsidTr="00A3786D">
              <w:trPr>
                <w:trHeight w:val="283"/>
              </w:trPr>
              <w:tc>
                <w:tcPr>
                  <w:tcW w:w="2835" w:type="dxa"/>
                  <w:tcBorders>
                    <w:top w:val="nil"/>
                    <w:left w:val="nil"/>
                    <w:bottom w:val="nil"/>
                    <w:right w:val="nil"/>
                  </w:tcBorders>
                  <w:shd w:val="clear" w:color="auto" w:fill="auto"/>
                  <w:vAlign w:val="center"/>
                  <w:hideMark/>
                </w:tcPr>
                <w:p w14:paraId="7954B370" w14:textId="77777777" w:rsidR="00F05DC7" w:rsidRPr="00791D71" w:rsidRDefault="00F05DC7" w:rsidP="00A3786D">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708" w:type="dxa"/>
                  <w:tcBorders>
                    <w:top w:val="nil"/>
                    <w:left w:val="nil"/>
                    <w:bottom w:val="nil"/>
                    <w:right w:val="nil"/>
                  </w:tcBorders>
                  <w:shd w:val="clear" w:color="auto" w:fill="auto"/>
                  <w:vAlign w:val="center"/>
                  <w:hideMark/>
                </w:tcPr>
                <w:p w14:paraId="7954B371" w14:textId="77777777" w:rsidR="00F05DC7" w:rsidRPr="00961FB0"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B372"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B373"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B374" w14:textId="77777777" w:rsidR="00F05DC7" w:rsidRPr="00791D71" w:rsidRDefault="00F05DC7" w:rsidP="00A3786D">
                  <w:pPr>
                    <w:pStyle w:val="TableBodyText"/>
                    <w:ind w:right="28"/>
                  </w:pPr>
                </w:p>
              </w:tc>
              <w:tc>
                <w:tcPr>
                  <w:tcW w:w="708" w:type="dxa"/>
                  <w:tcBorders>
                    <w:top w:val="nil"/>
                    <w:left w:val="nil"/>
                    <w:bottom w:val="nil"/>
                    <w:right w:val="nil"/>
                  </w:tcBorders>
                  <w:shd w:val="clear" w:color="auto" w:fill="auto"/>
                  <w:vAlign w:val="center"/>
                  <w:hideMark/>
                </w:tcPr>
                <w:p w14:paraId="7954B375"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B376"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B377" w14:textId="77777777" w:rsidR="00F05DC7" w:rsidRPr="00791D71" w:rsidRDefault="00F05DC7" w:rsidP="00A3786D">
                  <w:pPr>
                    <w:pStyle w:val="TableBodyText"/>
                    <w:ind w:right="28"/>
                  </w:pPr>
                </w:p>
              </w:tc>
              <w:tc>
                <w:tcPr>
                  <w:tcW w:w="709" w:type="dxa"/>
                  <w:tcBorders>
                    <w:top w:val="nil"/>
                    <w:left w:val="nil"/>
                    <w:bottom w:val="nil"/>
                    <w:right w:val="nil"/>
                  </w:tcBorders>
                  <w:shd w:val="clear" w:color="auto" w:fill="auto"/>
                  <w:vAlign w:val="center"/>
                  <w:hideMark/>
                </w:tcPr>
                <w:p w14:paraId="7954B378" w14:textId="77777777" w:rsidR="00F05DC7" w:rsidRPr="00791D71" w:rsidRDefault="00F05DC7" w:rsidP="00A3786D">
                  <w:pPr>
                    <w:pStyle w:val="TableBodyText"/>
                    <w:ind w:right="28"/>
                  </w:pPr>
                </w:p>
              </w:tc>
            </w:tr>
            <w:tr w:rsidR="00F05DC7" w14:paraId="7954B383" w14:textId="77777777" w:rsidTr="00A3786D">
              <w:trPr>
                <w:trHeight w:val="283"/>
              </w:trPr>
              <w:tc>
                <w:tcPr>
                  <w:tcW w:w="2835" w:type="dxa"/>
                  <w:tcBorders>
                    <w:top w:val="nil"/>
                    <w:left w:val="nil"/>
                    <w:bottom w:val="nil"/>
                    <w:right w:val="nil"/>
                  </w:tcBorders>
                  <w:shd w:val="clear" w:color="auto" w:fill="auto"/>
                  <w:vAlign w:val="center"/>
                  <w:hideMark/>
                </w:tcPr>
                <w:p w14:paraId="7954B37A" w14:textId="77777777" w:rsidR="00F05DC7" w:rsidRPr="00791D71" w:rsidRDefault="00F05DC7" w:rsidP="00A3786D">
                  <w:pPr>
                    <w:pStyle w:val="TableBodyText"/>
                    <w:ind w:left="0"/>
                    <w:jc w:val="left"/>
                  </w:pPr>
                  <w:r>
                    <w:t>$m</w:t>
                  </w:r>
                </w:p>
              </w:tc>
              <w:tc>
                <w:tcPr>
                  <w:tcW w:w="708" w:type="dxa"/>
                  <w:tcBorders>
                    <w:top w:val="nil"/>
                    <w:left w:val="nil"/>
                    <w:bottom w:val="nil"/>
                    <w:right w:val="nil"/>
                  </w:tcBorders>
                  <w:shd w:val="clear" w:color="auto" w:fill="auto"/>
                  <w:vAlign w:val="center"/>
                  <w:hideMark/>
                </w:tcPr>
                <w:p w14:paraId="7954B37B" w14:textId="77777777" w:rsidR="00F05DC7" w:rsidRPr="00791D71" w:rsidRDefault="00F05DC7" w:rsidP="00A3786D">
                  <w:pPr>
                    <w:pStyle w:val="TableBodyText"/>
                    <w:ind w:right="28"/>
                  </w:pPr>
                  <w:r>
                    <w:t>3 021</w:t>
                  </w:r>
                </w:p>
              </w:tc>
              <w:tc>
                <w:tcPr>
                  <w:tcW w:w="709" w:type="dxa"/>
                  <w:tcBorders>
                    <w:top w:val="nil"/>
                    <w:left w:val="nil"/>
                    <w:bottom w:val="nil"/>
                    <w:right w:val="nil"/>
                  </w:tcBorders>
                  <w:shd w:val="clear" w:color="auto" w:fill="auto"/>
                  <w:vAlign w:val="center"/>
                  <w:hideMark/>
                </w:tcPr>
                <w:p w14:paraId="7954B37C" w14:textId="77777777" w:rsidR="00F05DC7" w:rsidRPr="00791D71" w:rsidRDefault="00F05DC7" w:rsidP="00A3786D">
                  <w:pPr>
                    <w:pStyle w:val="TableBodyText"/>
                    <w:ind w:right="28"/>
                  </w:pPr>
                  <w:r>
                    <w:t>201</w:t>
                  </w:r>
                </w:p>
              </w:tc>
              <w:tc>
                <w:tcPr>
                  <w:tcW w:w="709" w:type="dxa"/>
                  <w:tcBorders>
                    <w:top w:val="nil"/>
                    <w:left w:val="nil"/>
                    <w:bottom w:val="nil"/>
                    <w:right w:val="nil"/>
                  </w:tcBorders>
                  <w:shd w:val="clear" w:color="auto" w:fill="auto"/>
                  <w:vAlign w:val="center"/>
                  <w:hideMark/>
                </w:tcPr>
                <w:p w14:paraId="7954B37D" w14:textId="77777777" w:rsidR="00F05DC7" w:rsidRPr="00791D71" w:rsidRDefault="00F05DC7" w:rsidP="00A3786D">
                  <w:pPr>
                    <w:pStyle w:val="TableBodyText"/>
                    <w:ind w:right="28"/>
                  </w:pPr>
                  <w:r w:rsidRPr="00791D71">
                    <w:t>-</w:t>
                  </w:r>
                  <w:r>
                    <w:t>1 284</w:t>
                  </w:r>
                </w:p>
              </w:tc>
              <w:tc>
                <w:tcPr>
                  <w:tcW w:w="709" w:type="dxa"/>
                  <w:tcBorders>
                    <w:top w:val="nil"/>
                    <w:left w:val="nil"/>
                    <w:bottom w:val="nil"/>
                    <w:right w:val="nil"/>
                  </w:tcBorders>
                  <w:shd w:val="clear" w:color="auto" w:fill="auto"/>
                  <w:vAlign w:val="center"/>
                  <w:hideMark/>
                </w:tcPr>
                <w:p w14:paraId="7954B37E" w14:textId="77777777" w:rsidR="00F05DC7" w:rsidRPr="00791D71" w:rsidRDefault="00F05DC7" w:rsidP="00A3786D">
                  <w:pPr>
                    <w:pStyle w:val="TableBodyText"/>
                    <w:ind w:right="28"/>
                  </w:pPr>
                  <w:r>
                    <w:t>3 618</w:t>
                  </w:r>
                </w:p>
              </w:tc>
              <w:tc>
                <w:tcPr>
                  <w:tcW w:w="708" w:type="dxa"/>
                  <w:tcBorders>
                    <w:top w:val="nil"/>
                    <w:left w:val="nil"/>
                    <w:bottom w:val="nil"/>
                    <w:right w:val="nil"/>
                  </w:tcBorders>
                  <w:shd w:val="clear" w:color="auto" w:fill="auto"/>
                  <w:vAlign w:val="center"/>
                  <w:hideMark/>
                </w:tcPr>
                <w:p w14:paraId="7954B37F" w14:textId="77777777" w:rsidR="00F05DC7" w:rsidRPr="00791D71" w:rsidRDefault="00F05DC7" w:rsidP="00A3786D">
                  <w:pPr>
                    <w:pStyle w:val="TableBodyText"/>
                    <w:ind w:right="28"/>
                  </w:pPr>
                  <w:r w:rsidRPr="00791D71">
                    <w:t>-</w:t>
                  </w:r>
                  <w:r>
                    <w:t>2 188</w:t>
                  </w:r>
                </w:p>
              </w:tc>
              <w:tc>
                <w:tcPr>
                  <w:tcW w:w="709" w:type="dxa"/>
                  <w:tcBorders>
                    <w:top w:val="nil"/>
                    <w:left w:val="nil"/>
                    <w:bottom w:val="nil"/>
                    <w:right w:val="nil"/>
                  </w:tcBorders>
                  <w:shd w:val="clear" w:color="auto" w:fill="auto"/>
                  <w:vAlign w:val="center"/>
                  <w:hideMark/>
                </w:tcPr>
                <w:p w14:paraId="7954B380" w14:textId="77777777" w:rsidR="00F05DC7" w:rsidRPr="00791D71" w:rsidRDefault="00F05DC7" w:rsidP="00A3786D">
                  <w:pPr>
                    <w:pStyle w:val="TableBodyText"/>
                    <w:ind w:right="28"/>
                  </w:pPr>
                  <w:r w:rsidRPr="00791D71">
                    <w:t>-1</w:t>
                  </w:r>
                  <w:r>
                    <w:t> </w:t>
                  </w:r>
                  <w:r w:rsidRPr="00791D71">
                    <w:t>0</w:t>
                  </w:r>
                  <w:r>
                    <w:t>59</w:t>
                  </w:r>
                </w:p>
              </w:tc>
              <w:tc>
                <w:tcPr>
                  <w:tcW w:w="709" w:type="dxa"/>
                  <w:tcBorders>
                    <w:top w:val="nil"/>
                    <w:left w:val="nil"/>
                    <w:bottom w:val="nil"/>
                    <w:right w:val="nil"/>
                  </w:tcBorders>
                  <w:shd w:val="clear" w:color="auto" w:fill="auto"/>
                  <w:vAlign w:val="center"/>
                  <w:hideMark/>
                </w:tcPr>
                <w:p w14:paraId="7954B381" w14:textId="77777777" w:rsidR="00F05DC7" w:rsidRPr="00791D71" w:rsidRDefault="00F05DC7" w:rsidP="00A3786D">
                  <w:pPr>
                    <w:pStyle w:val="TableBodyText"/>
                    <w:ind w:right="28"/>
                  </w:pPr>
                  <w:r w:rsidRPr="00791D71">
                    <w:t>-20</w:t>
                  </w:r>
                  <w:r>
                    <w:t>0</w:t>
                  </w:r>
                </w:p>
              </w:tc>
              <w:tc>
                <w:tcPr>
                  <w:tcW w:w="709" w:type="dxa"/>
                  <w:tcBorders>
                    <w:top w:val="nil"/>
                    <w:left w:val="nil"/>
                    <w:bottom w:val="nil"/>
                    <w:right w:val="nil"/>
                  </w:tcBorders>
                  <w:shd w:val="clear" w:color="auto" w:fill="auto"/>
                  <w:vAlign w:val="center"/>
                  <w:hideMark/>
                </w:tcPr>
                <w:p w14:paraId="7954B382" w14:textId="77777777" w:rsidR="00F05DC7" w:rsidRPr="00791D71" w:rsidRDefault="00F05DC7" w:rsidP="00A3786D">
                  <w:pPr>
                    <w:pStyle w:val="TableBodyText"/>
                    <w:ind w:right="28"/>
                  </w:pPr>
                  <w:r w:rsidRPr="00791D71">
                    <w:t>-2</w:t>
                  </w:r>
                  <w:r>
                    <w:t> 109</w:t>
                  </w:r>
                </w:p>
              </w:tc>
            </w:tr>
            <w:tr w:rsidR="00F05DC7" w14:paraId="7954B38D" w14:textId="77777777" w:rsidTr="00A3786D">
              <w:trPr>
                <w:trHeight w:val="283"/>
              </w:trPr>
              <w:tc>
                <w:tcPr>
                  <w:tcW w:w="2835" w:type="dxa"/>
                  <w:tcBorders>
                    <w:top w:val="nil"/>
                    <w:left w:val="nil"/>
                    <w:right w:val="nil"/>
                  </w:tcBorders>
                  <w:shd w:val="clear" w:color="auto" w:fill="auto"/>
                  <w:vAlign w:val="center"/>
                </w:tcPr>
                <w:p w14:paraId="7954B384" w14:textId="77777777" w:rsidR="00F05DC7" w:rsidRDefault="00F05DC7" w:rsidP="00A3786D">
                  <w:pPr>
                    <w:pStyle w:val="TableBodyText"/>
                    <w:ind w:left="0"/>
                    <w:jc w:val="left"/>
                  </w:pPr>
                  <w:r>
                    <w:t>$pc</w:t>
                  </w:r>
                </w:p>
              </w:tc>
              <w:tc>
                <w:tcPr>
                  <w:tcW w:w="708" w:type="dxa"/>
                  <w:tcBorders>
                    <w:top w:val="nil"/>
                    <w:left w:val="nil"/>
                    <w:right w:val="nil"/>
                  </w:tcBorders>
                  <w:shd w:val="clear" w:color="auto" w:fill="auto"/>
                  <w:vAlign w:val="center"/>
                </w:tcPr>
                <w:p w14:paraId="7954B385" w14:textId="77777777" w:rsidR="00F05DC7" w:rsidRPr="00791D71" w:rsidRDefault="00F05DC7" w:rsidP="00A3786D">
                  <w:pPr>
                    <w:pStyle w:val="TableBodyText"/>
                    <w:ind w:right="28"/>
                  </w:pPr>
                  <w:r>
                    <w:t>376</w:t>
                  </w:r>
                </w:p>
              </w:tc>
              <w:tc>
                <w:tcPr>
                  <w:tcW w:w="709" w:type="dxa"/>
                  <w:tcBorders>
                    <w:top w:val="nil"/>
                    <w:left w:val="nil"/>
                    <w:right w:val="nil"/>
                  </w:tcBorders>
                  <w:shd w:val="clear" w:color="auto" w:fill="auto"/>
                  <w:vAlign w:val="center"/>
                </w:tcPr>
                <w:p w14:paraId="7954B386" w14:textId="77777777" w:rsidR="00F05DC7" w:rsidRPr="00791D71" w:rsidRDefault="00F05DC7" w:rsidP="00A3786D">
                  <w:pPr>
                    <w:pStyle w:val="TableBodyText"/>
                    <w:ind w:right="28"/>
                  </w:pPr>
                  <w:r>
                    <w:t>31</w:t>
                  </w:r>
                </w:p>
              </w:tc>
              <w:tc>
                <w:tcPr>
                  <w:tcW w:w="709" w:type="dxa"/>
                  <w:tcBorders>
                    <w:top w:val="nil"/>
                    <w:left w:val="nil"/>
                    <w:right w:val="nil"/>
                  </w:tcBorders>
                  <w:shd w:val="clear" w:color="auto" w:fill="auto"/>
                  <w:vAlign w:val="center"/>
                </w:tcPr>
                <w:p w14:paraId="7954B387" w14:textId="77777777" w:rsidR="00F05DC7" w:rsidRPr="00791D71" w:rsidRDefault="00F05DC7" w:rsidP="00A3786D">
                  <w:pPr>
                    <w:pStyle w:val="TableBodyText"/>
                    <w:ind w:right="28"/>
                  </w:pPr>
                  <w:r w:rsidRPr="00791D71">
                    <w:t>-</w:t>
                  </w:r>
                  <w:r>
                    <w:t>256</w:t>
                  </w:r>
                </w:p>
              </w:tc>
              <w:tc>
                <w:tcPr>
                  <w:tcW w:w="709" w:type="dxa"/>
                  <w:tcBorders>
                    <w:top w:val="nil"/>
                    <w:left w:val="nil"/>
                    <w:right w:val="nil"/>
                  </w:tcBorders>
                  <w:shd w:val="clear" w:color="auto" w:fill="auto"/>
                  <w:vAlign w:val="center"/>
                </w:tcPr>
                <w:p w14:paraId="7954B388" w14:textId="77777777" w:rsidR="00F05DC7" w:rsidRPr="00791D71" w:rsidRDefault="00F05DC7" w:rsidP="00A3786D">
                  <w:pPr>
                    <w:pStyle w:val="TableBodyText"/>
                    <w:ind w:right="28"/>
                  </w:pPr>
                  <w:r w:rsidRPr="00791D71">
                    <w:t>1</w:t>
                  </w:r>
                  <w:r>
                    <w:t> 380</w:t>
                  </w:r>
                </w:p>
              </w:tc>
              <w:tc>
                <w:tcPr>
                  <w:tcW w:w="708" w:type="dxa"/>
                  <w:tcBorders>
                    <w:top w:val="nil"/>
                    <w:left w:val="nil"/>
                    <w:right w:val="nil"/>
                  </w:tcBorders>
                  <w:shd w:val="clear" w:color="auto" w:fill="auto"/>
                  <w:vAlign w:val="center"/>
                </w:tcPr>
                <w:p w14:paraId="7954B389" w14:textId="77777777" w:rsidR="00F05DC7" w:rsidRPr="00791D71" w:rsidRDefault="00F05DC7" w:rsidP="00A3786D">
                  <w:pPr>
                    <w:pStyle w:val="TableBodyText"/>
                    <w:ind w:right="28"/>
                  </w:pPr>
                  <w:r w:rsidRPr="00791D71">
                    <w:t>-1</w:t>
                  </w:r>
                  <w:r>
                    <w:t> 257</w:t>
                  </w:r>
                </w:p>
              </w:tc>
              <w:tc>
                <w:tcPr>
                  <w:tcW w:w="709" w:type="dxa"/>
                  <w:tcBorders>
                    <w:top w:val="nil"/>
                    <w:left w:val="nil"/>
                    <w:right w:val="nil"/>
                  </w:tcBorders>
                  <w:shd w:val="clear" w:color="auto" w:fill="auto"/>
                  <w:vAlign w:val="center"/>
                </w:tcPr>
                <w:p w14:paraId="7954B38A" w14:textId="77777777" w:rsidR="00F05DC7" w:rsidRPr="00791D71" w:rsidRDefault="00F05DC7" w:rsidP="00A3786D">
                  <w:pPr>
                    <w:pStyle w:val="TableBodyText"/>
                    <w:ind w:right="28"/>
                  </w:pPr>
                  <w:r w:rsidRPr="00791D71">
                    <w:t>-2</w:t>
                  </w:r>
                  <w:r>
                    <w:t> </w:t>
                  </w:r>
                  <w:r w:rsidRPr="00791D71">
                    <w:t>0</w:t>
                  </w:r>
                  <w:r>
                    <w:t>18</w:t>
                  </w:r>
                </w:p>
              </w:tc>
              <w:tc>
                <w:tcPr>
                  <w:tcW w:w="709" w:type="dxa"/>
                  <w:tcBorders>
                    <w:top w:val="nil"/>
                    <w:left w:val="nil"/>
                    <w:right w:val="nil"/>
                  </w:tcBorders>
                  <w:shd w:val="clear" w:color="auto" w:fill="auto"/>
                  <w:vAlign w:val="center"/>
                </w:tcPr>
                <w:p w14:paraId="7954B38B" w14:textId="77777777" w:rsidR="00F05DC7" w:rsidRPr="00791D71" w:rsidRDefault="00F05DC7" w:rsidP="00A3786D">
                  <w:pPr>
                    <w:pStyle w:val="TableBodyText"/>
                    <w:ind w:right="28"/>
                  </w:pPr>
                  <w:r w:rsidRPr="00791D71">
                    <w:t>-</w:t>
                  </w:r>
                  <w:r>
                    <w:t>479</w:t>
                  </w:r>
                </w:p>
              </w:tc>
              <w:tc>
                <w:tcPr>
                  <w:tcW w:w="709" w:type="dxa"/>
                  <w:tcBorders>
                    <w:top w:val="nil"/>
                    <w:left w:val="nil"/>
                    <w:right w:val="nil"/>
                  </w:tcBorders>
                  <w:shd w:val="clear" w:color="auto" w:fill="auto"/>
                  <w:vAlign w:val="center"/>
                </w:tcPr>
                <w:p w14:paraId="7954B38C" w14:textId="77777777" w:rsidR="00F05DC7" w:rsidRPr="00791D71" w:rsidRDefault="00F05DC7" w:rsidP="00A3786D">
                  <w:pPr>
                    <w:pStyle w:val="TableBodyText"/>
                    <w:ind w:right="28"/>
                  </w:pPr>
                  <w:r w:rsidRPr="00791D71">
                    <w:t>-</w:t>
                  </w:r>
                  <w:r>
                    <w:t>8 559</w:t>
                  </w:r>
                </w:p>
              </w:tc>
            </w:tr>
            <w:tr w:rsidR="00F05DC7" w14:paraId="7954B397" w14:textId="77777777" w:rsidTr="00A3786D">
              <w:trPr>
                <w:trHeight w:val="283"/>
              </w:trPr>
              <w:tc>
                <w:tcPr>
                  <w:tcW w:w="2835" w:type="dxa"/>
                  <w:tcBorders>
                    <w:top w:val="nil"/>
                    <w:left w:val="nil"/>
                    <w:right w:val="nil"/>
                  </w:tcBorders>
                  <w:shd w:val="clear" w:color="auto" w:fill="auto"/>
                  <w:vAlign w:val="center"/>
                </w:tcPr>
                <w:p w14:paraId="7954B38E" w14:textId="77777777" w:rsidR="00F05DC7" w:rsidRPr="00791D71" w:rsidRDefault="00F05DC7" w:rsidP="00A3786D">
                  <w:pPr>
                    <w:pStyle w:val="TableBodyText"/>
                    <w:ind w:left="0"/>
                    <w:jc w:val="left"/>
                  </w:pPr>
                  <w:r>
                    <w:rPr>
                      <w:rFonts w:asciiTheme="minorHAnsi" w:hAnsiTheme="minorHAnsi" w:cstheme="minorHAnsi"/>
                      <w:color w:val="000000"/>
                      <w:szCs w:val="18"/>
                    </w:rPr>
                    <w:t>% change in State revenue</w:t>
                  </w:r>
                </w:p>
              </w:tc>
              <w:tc>
                <w:tcPr>
                  <w:tcW w:w="708" w:type="dxa"/>
                  <w:tcBorders>
                    <w:top w:val="nil"/>
                    <w:left w:val="nil"/>
                    <w:right w:val="nil"/>
                  </w:tcBorders>
                  <w:shd w:val="clear" w:color="auto" w:fill="auto"/>
                  <w:vAlign w:val="bottom"/>
                </w:tcPr>
                <w:p w14:paraId="7954B38F" w14:textId="77777777" w:rsidR="00F05DC7" w:rsidRPr="00991E74" w:rsidRDefault="00F05DC7" w:rsidP="00A3786D">
                  <w:pPr>
                    <w:pStyle w:val="TableBodyText"/>
                    <w:ind w:right="28"/>
                    <w:rPr>
                      <w:rFonts w:cs="Arial"/>
                      <w:szCs w:val="18"/>
                    </w:rPr>
                  </w:pPr>
                  <w:r w:rsidRPr="00DD7E1A">
                    <w:rPr>
                      <w:rFonts w:cs="Arial"/>
                      <w:color w:val="000000"/>
                      <w:szCs w:val="18"/>
                    </w:rPr>
                    <w:t>3.</w:t>
                  </w:r>
                  <w:r>
                    <w:rPr>
                      <w:rFonts w:cs="Arial"/>
                      <w:color w:val="000000"/>
                      <w:szCs w:val="18"/>
                    </w:rPr>
                    <w:t>7</w:t>
                  </w:r>
                </w:p>
              </w:tc>
              <w:tc>
                <w:tcPr>
                  <w:tcW w:w="709" w:type="dxa"/>
                  <w:tcBorders>
                    <w:top w:val="nil"/>
                    <w:left w:val="nil"/>
                    <w:right w:val="nil"/>
                  </w:tcBorders>
                  <w:shd w:val="clear" w:color="auto" w:fill="auto"/>
                  <w:vAlign w:val="bottom"/>
                </w:tcPr>
                <w:p w14:paraId="7954B390" w14:textId="77777777" w:rsidR="00F05DC7" w:rsidRPr="00991E74" w:rsidRDefault="00F05DC7" w:rsidP="00A3786D">
                  <w:pPr>
                    <w:pStyle w:val="TableBodyText"/>
                    <w:ind w:right="28"/>
                    <w:rPr>
                      <w:rFonts w:cs="Arial"/>
                      <w:szCs w:val="18"/>
                    </w:rPr>
                  </w:pPr>
                  <w:r>
                    <w:rPr>
                      <w:rFonts w:cs="Arial"/>
                      <w:color w:val="000000"/>
                      <w:szCs w:val="18"/>
                    </w:rPr>
                    <w:t>0</w:t>
                  </w:r>
                  <w:r w:rsidRPr="00DD7E1A">
                    <w:rPr>
                      <w:rFonts w:cs="Arial"/>
                      <w:color w:val="000000"/>
                      <w:szCs w:val="18"/>
                    </w:rPr>
                    <w:t>.</w:t>
                  </w:r>
                  <w:r>
                    <w:rPr>
                      <w:rFonts w:cs="Arial"/>
                      <w:color w:val="000000"/>
                      <w:szCs w:val="18"/>
                    </w:rPr>
                    <w:t>3</w:t>
                  </w:r>
                </w:p>
              </w:tc>
              <w:tc>
                <w:tcPr>
                  <w:tcW w:w="709" w:type="dxa"/>
                  <w:tcBorders>
                    <w:top w:val="nil"/>
                    <w:left w:val="nil"/>
                    <w:right w:val="nil"/>
                  </w:tcBorders>
                  <w:shd w:val="clear" w:color="auto" w:fill="auto"/>
                  <w:vAlign w:val="bottom"/>
                </w:tcPr>
                <w:p w14:paraId="7954B391" w14:textId="77777777" w:rsidR="00F05DC7" w:rsidRPr="00991E74" w:rsidRDefault="00F05DC7" w:rsidP="00A3786D">
                  <w:pPr>
                    <w:pStyle w:val="TableBodyText"/>
                    <w:ind w:right="28"/>
                    <w:rPr>
                      <w:rFonts w:cs="Arial"/>
                      <w:szCs w:val="18"/>
                    </w:rPr>
                  </w:pPr>
                  <w:r w:rsidRPr="00DD7E1A">
                    <w:rPr>
                      <w:rFonts w:cs="Arial"/>
                      <w:color w:val="000000"/>
                      <w:szCs w:val="18"/>
                    </w:rPr>
                    <w:t>-</w:t>
                  </w:r>
                  <w:r>
                    <w:rPr>
                      <w:rFonts w:cs="Arial"/>
                      <w:color w:val="000000"/>
                      <w:szCs w:val="18"/>
                    </w:rPr>
                    <w:t>2</w:t>
                  </w:r>
                  <w:r w:rsidRPr="00DD7E1A">
                    <w:rPr>
                      <w:rFonts w:cs="Arial"/>
                      <w:color w:val="000000"/>
                      <w:szCs w:val="18"/>
                    </w:rPr>
                    <w:t>.3</w:t>
                  </w:r>
                </w:p>
              </w:tc>
              <w:tc>
                <w:tcPr>
                  <w:tcW w:w="709" w:type="dxa"/>
                  <w:tcBorders>
                    <w:top w:val="nil"/>
                    <w:left w:val="nil"/>
                    <w:right w:val="nil"/>
                  </w:tcBorders>
                  <w:shd w:val="clear" w:color="auto" w:fill="auto"/>
                  <w:vAlign w:val="bottom"/>
                </w:tcPr>
                <w:p w14:paraId="7954B392" w14:textId="77777777" w:rsidR="00F05DC7" w:rsidRPr="00991E74" w:rsidRDefault="00F05DC7" w:rsidP="00A3786D">
                  <w:pPr>
                    <w:pStyle w:val="TableBodyText"/>
                    <w:ind w:right="28"/>
                    <w:rPr>
                      <w:rFonts w:cs="Arial"/>
                      <w:szCs w:val="18"/>
                    </w:rPr>
                  </w:pPr>
                  <w:r w:rsidRPr="00DD7E1A">
                    <w:rPr>
                      <w:rFonts w:cs="Arial"/>
                      <w:color w:val="000000"/>
                      <w:szCs w:val="18"/>
                    </w:rPr>
                    <w:t>1</w:t>
                  </w:r>
                  <w:r>
                    <w:rPr>
                      <w:rFonts w:cs="Arial"/>
                      <w:color w:val="000000"/>
                      <w:szCs w:val="18"/>
                    </w:rPr>
                    <w:t>2</w:t>
                  </w:r>
                  <w:r w:rsidRPr="00DD7E1A">
                    <w:rPr>
                      <w:rFonts w:cs="Arial"/>
                      <w:color w:val="000000"/>
                      <w:szCs w:val="18"/>
                    </w:rPr>
                    <w:t>.</w:t>
                  </w:r>
                  <w:r>
                    <w:rPr>
                      <w:rFonts w:cs="Arial"/>
                      <w:color w:val="000000"/>
                      <w:szCs w:val="18"/>
                    </w:rPr>
                    <w:t>2</w:t>
                  </w:r>
                </w:p>
              </w:tc>
              <w:tc>
                <w:tcPr>
                  <w:tcW w:w="708" w:type="dxa"/>
                  <w:tcBorders>
                    <w:top w:val="nil"/>
                    <w:left w:val="nil"/>
                    <w:right w:val="nil"/>
                  </w:tcBorders>
                  <w:shd w:val="clear" w:color="auto" w:fill="auto"/>
                  <w:vAlign w:val="bottom"/>
                </w:tcPr>
                <w:p w14:paraId="7954B393" w14:textId="77777777" w:rsidR="00F05DC7" w:rsidRPr="00991E74" w:rsidRDefault="00F05DC7" w:rsidP="00A3786D">
                  <w:pPr>
                    <w:pStyle w:val="TableBodyText"/>
                    <w:ind w:right="28"/>
                    <w:rPr>
                      <w:rFonts w:cs="Arial"/>
                      <w:szCs w:val="18"/>
                    </w:rPr>
                  </w:pPr>
                  <w:r w:rsidRPr="00DD7E1A">
                    <w:rPr>
                      <w:rFonts w:cs="Arial"/>
                      <w:color w:val="000000"/>
                      <w:szCs w:val="18"/>
                    </w:rPr>
                    <w:t>-1</w:t>
                  </w:r>
                  <w:r>
                    <w:rPr>
                      <w:rFonts w:cs="Arial"/>
                      <w:color w:val="000000"/>
                      <w:szCs w:val="18"/>
                    </w:rPr>
                    <w:t>1</w:t>
                  </w:r>
                  <w:r w:rsidRPr="00DD7E1A">
                    <w:rPr>
                      <w:rFonts w:cs="Arial"/>
                      <w:color w:val="000000"/>
                      <w:szCs w:val="18"/>
                    </w:rPr>
                    <w:t>.</w:t>
                  </w:r>
                  <w:r>
                    <w:rPr>
                      <w:rFonts w:cs="Arial"/>
                      <w:color w:val="000000"/>
                      <w:szCs w:val="18"/>
                    </w:rPr>
                    <w:t>4</w:t>
                  </w:r>
                </w:p>
              </w:tc>
              <w:tc>
                <w:tcPr>
                  <w:tcW w:w="709" w:type="dxa"/>
                  <w:tcBorders>
                    <w:top w:val="nil"/>
                    <w:left w:val="nil"/>
                    <w:right w:val="nil"/>
                  </w:tcBorders>
                  <w:shd w:val="clear" w:color="auto" w:fill="auto"/>
                  <w:vAlign w:val="bottom"/>
                </w:tcPr>
                <w:p w14:paraId="7954B394" w14:textId="77777777" w:rsidR="00F05DC7" w:rsidRPr="00991E74" w:rsidRDefault="00F05DC7" w:rsidP="00A3786D">
                  <w:pPr>
                    <w:pStyle w:val="TableBodyText"/>
                    <w:ind w:right="28"/>
                    <w:rPr>
                      <w:rFonts w:cs="Arial"/>
                      <w:szCs w:val="18"/>
                    </w:rPr>
                  </w:pPr>
                  <w:r w:rsidRPr="00DD7E1A">
                    <w:rPr>
                      <w:rFonts w:cs="Arial"/>
                      <w:color w:val="000000"/>
                      <w:szCs w:val="18"/>
                    </w:rPr>
                    <w:t>-1</w:t>
                  </w:r>
                  <w:r>
                    <w:rPr>
                      <w:rFonts w:cs="Arial"/>
                      <w:color w:val="000000"/>
                      <w:szCs w:val="18"/>
                    </w:rPr>
                    <w:t>7</w:t>
                  </w:r>
                  <w:r w:rsidRPr="00DD7E1A">
                    <w:rPr>
                      <w:rFonts w:cs="Arial"/>
                      <w:color w:val="000000"/>
                      <w:szCs w:val="18"/>
                    </w:rPr>
                    <w:t>.</w:t>
                  </w:r>
                  <w:r>
                    <w:rPr>
                      <w:rFonts w:cs="Arial"/>
                      <w:color w:val="000000"/>
                      <w:szCs w:val="18"/>
                    </w:rPr>
                    <w:t>7</w:t>
                  </w:r>
                </w:p>
              </w:tc>
              <w:tc>
                <w:tcPr>
                  <w:tcW w:w="709" w:type="dxa"/>
                  <w:tcBorders>
                    <w:top w:val="nil"/>
                    <w:left w:val="nil"/>
                    <w:right w:val="nil"/>
                  </w:tcBorders>
                  <w:shd w:val="clear" w:color="auto" w:fill="auto"/>
                  <w:vAlign w:val="bottom"/>
                </w:tcPr>
                <w:p w14:paraId="7954B395" w14:textId="77777777" w:rsidR="00F05DC7" w:rsidRPr="00991E74" w:rsidRDefault="00F05DC7" w:rsidP="00A3786D">
                  <w:pPr>
                    <w:pStyle w:val="TableBodyText"/>
                    <w:ind w:right="28"/>
                    <w:rPr>
                      <w:rFonts w:cs="Arial"/>
                      <w:szCs w:val="18"/>
                    </w:rPr>
                  </w:pPr>
                  <w:r w:rsidRPr="00DD7E1A">
                    <w:rPr>
                      <w:rFonts w:cs="Arial"/>
                      <w:color w:val="000000"/>
                      <w:szCs w:val="18"/>
                    </w:rPr>
                    <w:t>-3.</w:t>
                  </w:r>
                  <w:r>
                    <w:rPr>
                      <w:rFonts w:cs="Arial"/>
                      <w:color w:val="000000"/>
                      <w:szCs w:val="18"/>
                    </w:rPr>
                    <w:t>6</w:t>
                  </w:r>
                </w:p>
              </w:tc>
              <w:tc>
                <w:tcPr>
                  <w:tcW w:w="709" w:type="dxa"/>
                  <w:tcBorders>
                    <w:top w:val="nil"/>
                    <w:left w:val="nil"/>
                    <w:right w:val="nil"/>
                  </w:tcBorders>
                  <w:shd w:val="clear" w:color="auto" w:fill="auto"/>
                  <w:vAlign w:val="bottom"/>
                </w:tcPr>
                <w:p w14:paraId="7954B396" w14:textId="77777777" w:rsidR="00F05DC7" w:rsidRPr="00991E74" w:rsidRDefault="00F05DC7" w:rsidP="00A3786D">
                  <w:pPr>
                    <w:pStyle w:val="TableBodyText"/>
                    <w:ind w:right="28"/>
                    <w:rPr>
                      <w:rFonts w:cs="Arial"/>
                      <w:szCs w:val="18"/>
                    </w:rPr>
                  </w:pPr>
                  <w:r w:rsidRPr="00DD7E1A">
                    <w:rPr>
                      <w:rFonts w:cs="Arial"/>
                      <w:color w:val="000000"/>
                      <w:szCs w:val="18"/>
                    </w:rPr>
                    <w:t>-3</w:t>
                  </w:r>
                  <w:r>
                    <w:rPr>
                      <w:rFonts w:cs="Arial"/>
                      <w:color w:val="000000"/>
                      <w:szCs w:val="18"/>
                    </w:rPr>
                    <w:t>9</w:t>
                  </w:r>
                  <w:r w:rsidRPr="00DD7E1A">
                    <w:rPr>
                      <w:rFonts w:cs="Arial"/>
                      <w:color w:val="000000"/>
                      <w:szCs w:val="18"/>
                    </w:rPr>
                    <w:t>.</w:t>
                  </w:r>
                  <w:r>
                    <w:rPr>
                      <w:rFonts w:cs="Arial"/>
                      <w:color w:val="000000"/>
                      <w:szCs w:val="18"/>
                    </w:rPr>
                    <w:t>2</w:t>
                  </w:r>
                </w:p>
              </w:tc>
            </w:tr>
          </w:tbl>
          <w:p w14:paraId="7954B398" w14:textId="77777777" w:rsidR="00F05DC7" w:rsidRDefault="00F05DC7" w:rsidP="00A3786D">
            <w:pPr>
              <w:pStyle w:val="Box"/>
            </w:pPr>
          </w:p>
        </w:tc>
      </w:tr>
      <w:tr w:rsidR="00F05DC7" w14:paraId="7954B39B" w14:textId="77777777" w:rsidTr="00A3786D">
        <w:tc>
          <w:tcPr>
            <w:tcW w:w="5000" w:type="pct"/>
            <w:tcBorders>
              <w:top w:val="single" w:sz="4" w:space="0" w:color="D9D9D9" w:themeColor="background1" w:themeShade="D9"/>
              <w:left w:val="nil"/>
              <w:bottom w:val="nil"/>
              <w:right w:val="nil"/>
            </w:tcBorders>
            <w:shd w:val="clear" w:color="auto" w:fill="auto"/>
          </w:tcPr>
          <w:p w14:paraId="7954B39A"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39D" w14:textId="77777777" w:rsidTr="00A3786D">
        <w:tc>
          <w:tcPr>
            <w:tcW w:w="5000" w:type="pct"/>
            <w:tcBorders>
              <w:top w:val="nil"/>
              <w:left w:val="nil"/>
              <w:bottom w:val="single" w:sz="6" w:space="0" w:color="78A22F"/>
              <w:right w:val="nil"/>
            </w:tcBorders>
            <w:shd w:val="clear" w:color="auto" w:fill="auto"/>
          </w:tcPr>
          <w:p w14:paraId="7954B39C" w14:textId="77777777" w:rsidR="00F05DC7" w:rsidRDefault="00F05DC7" w:rsidP="00A3786D">
            <w:pPr>
              <w:pStyle w:val="Box"/>
              <w:spacing w:before="0" w:line="120" w:lineRule="exact"/>
            </w:pPr>
          </w:p>
        </w:tc>
      </w:tr>
      <w:tr w:rsidR="00F05DC7" w:rsidRPr="000863A5" w14:paraId="7954B39F" w14:textId="77777777" w:rsidTr="00A3786D">
        <w:tc>
          <w:tcPr>
            <w:tcW w:w="5000" w:type="pct"/>
            <w:tcBorders>
              <w:top w:val="single" w:sz="6" w:space="0" w:color="78A22F"/>
              <w:left w:val="nil"/>
              <w:bottom w:val="nil"/>
              <w:right w:val="nil"/>
            </w:tcBorders>
          </w:tcPr>
          <w:p w14:paraId="7954B39E" w14:textId="77777777" w:rsidR="00F05DC7" w:rsidRPr="00626D32" w:rsidRDefault="00F05DC7" w:rsidP="00A3786D">
            <w:pPr>
              <w:pStyle w:val="BoxSpaceBelow"/>
            </w:pPr>
          </w:p>
        </w:tc>
      </w:tr>
    </w:tbl>
    <w:p w14:paraId="7954B3A0" w14:textId="77777777" w:rsidR="00F05DC7" w:rsidRDefault="00F05DC7" w:rsidP="00A3786D">
      <w:pPr>
        <w:pStyle w:val="Heading3"/>
      </w:pPr>
      <w:r>
        <w:t>Equalisation to less than the strongest State</w:t>
      </w:r>
    </w:p>
    <w:p w14:paraId="7954B3A1" w14:textId="77777777" w:rsidR="00F05DC7" w:rsidRDefault="00F05DC7" w:rsidP="00A3786D">
      <w:pPr>
        <w:pStyle w:val="BodyText"/>
      </w:pPr>
      <w:r>
        <w:t>Equalisation to less than the strongest State involves lifting States up to some agreed level of fiscal capacity, but not bringing them up to the fiscally strongest State as presently occurs. The balance of the GST pool would then be distributed on an EPC basis. There are many possible variants of this form of equalisation.</w:t>
      </w:r>
    </w:p>
    <w:p w14:paraId="7954B3A2" w14:textId="77777777" w:rsidR="00F05DC7" w:rsidRDefault="00F05DC7" w:rsidP="00A3786D">
      <w:pPr>
        <w:pStyle w:val="Heading4"/>
      </w:pPr>
      <w:r>
        <w:t>Equalisation to the average</w:t>
      </w:r>
    </w:p>
    <w:p w14:paraId="7954B3A3" w14:textId="77777777" w:rsidR="00F05DC7" w:rsidRDefault="00F05DC7" w:rsidP="00A3786D">
      <w:pPr>
        <w:pStyle w:val="BodyText"/>
      </w:pPr>
      <w:r>
        <w:t xml:space="preserve">One approach to this could involve distributing GST payments to raise fiscally weaker States to the average fiscal capacity of all States. This involves using the current CGC approach to fund the weaker States based on the additional amount needed above their EPC share to address their (above average) assessed fiscal needs. It then apportions the remaining GST pool to </w:t>
      </w:r>
      <w:r w:rsidRPr="00ED759E">
        <w:t xml:space="preserve">all </w:t>
      </w:r>
      <w:r>
        <w:t>States on an EPC basis.</w:t>
      </w:r>
    </w:p>
    <w:p w14:paraId="7954B3A4" w14:textId="77777777" w:rsidR="00F05DC7" w:rsidRDefault="00F05DC7" w:rsidP="00A3786D">
      <w:pPr>
        <w:pStyle w:val="BodyText"/>
      </w:pPr>
      <w:r>
        <w:t>For the 2018 financial year relativity calculations, all States but New South Wales, Victoria and Western Australia require GST payments to reach this fiscal capacity.</w:t>
      </w:r>
      <w:r w:rsidDel="009D27A2">
        <w:t xml:space="preserve"> </w:t>
      </w:r>
      <w:r>
        <w:t>The difference between GST payments under this approach and current practices are presented in table C.2. For 2018</w:t>
      </w:r>
      <w:r>
        <w:noBreakHyphen/>
        <w:t>19, this approach would reduce GST payments to all States but New South Wales and Western Australia.</w:t>
      </w:r>
    </w:p>
    <w:p w14:paraId="7954B3A5"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3A8" w14:textId="77777777" w:rsidTr="001113B1">
        <w:trPr>
          <w:tblHeader/>
        </w:trPr>
        <w:tc>
          <w:tcPr>
            <w:tcW w:w="5000" w:type="pct"/>
            <w:tcBorders>
              <w:top w:val="single" w:sz="6" w:space="0" w:color="78A22F"/>
              <w:left w:val="nil"/>
              <w:bottom w:val="nil"/>
              <w:right w:val="nil"/>
            </w:tcBorders>
            <w:shd w:val="clear" w:color="auto" w:fill="auto"/>
          </w:tcPr>
          <w:p w14:paraId="7954B3A6" w14:textId="71294EA9" w:rsidR="00F05DC7" w:rsidRDefault="00F05DC7" w:rsidP="00A3786D">
            <w:pPr>
              <w:pStyle w:val="TableTitle"/>
            </w:pPr>
            <w:r>
              <w:rPr>
                <w:b w:val="0"/>
              </w:rPr>
              <w:t>Table C.</w:t>
            </w:r>
            <w:r>
              <w:rPr>
                <w:b w:val="0"/>
                <w:noProof/>
              </w:rPr>
              <w:t>2</w:t>
            </w:r>
            <w:r>
              <w:tab/>
              <w:t>Effects of equalisation to the average</w:t>
            </w:r>
          </w:p>
          <w:p w14:paraId="7954B3A7" w14:textId="77777777" w:rsidR="00F05DC7" w:rsidRPr="00784A05" w:rsidRDefault="00F05DC7" w:rsidP="00A3786D">
            <w:pPr>
              <w:pStyle w:val="Subtitle"/>
            </w:pPr>
            <w:r>
              <w:t>2018</w:t>
            </w:r>
            <w:r>
              <w:noBreakHyphen/>
              <w:t>19 GST payments and relativities</w:t>
            </w:r>
          </w:p>
        </w:tc>
      </w:tr>
      <w:tr w:rsidR="00F05DC7" w14:paraId="7954B40A" w14:textId="77777777" w:rsidTr="00A3786D">
        <w:trPr>
          <w:trHeight w:val="2975"/>
        </w:trPr>
        <w:tc>
          <w:tcPr>
            <w:tcW w:w="5000" w:type="pct"/>
            <w:tcBorders>
              <w:top w:val="nil"/>
              <w:left w:val="nil"/>
              <w:bottom w:val="nil"/>
              <w:right w:val="nil"/>
            </w:tcBorders>
            <w:shd w:val="clear" w:color="auto" w:fill="auto"/>
          </w:tcPr>
          <w:tbl>
            <w:tblPr>
              <w:tblW w:w="8505" w:type="dxa"/>
              <w:tblLook w:val="04A0" w:firstRow="1" w:lastRow="0" w:firstColumn="1" w:lastColumn="0" w:noHBand="0" w:noVBand="1"/>
            </w:tblPr>
            <w:tblGrid>
              <w:gridCol w:w="2796"/>
              <w:gridCol w:w="714"/>
              <w:gridCol w:w="714"/>
              <w:gridCol w:w="713"/>
              <w:gridCol w:w="713"/>
              <w:gridCol w:w="713"/>
              <w:gridCol w:w="713"/>
              <w:gridCol w:w="713"/>
              <w:gridCol w:w="716"/>
            </w:tblGrid>
            <w:tr w:rsidR="00F05DC7" w14:paraId="7954B3B2" w14:textId="77777777" w:rsidTr="001113B1">
              <w:trPr>
                <w:trHeight w:val="283"/>
                <w:tblHeader/>
              </w:trPr>
              <w:tc>
                <w:tcPr>
                  <w:tcW w:w="1644"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3A9" w14:textId="77777777" w:rsidR="00F05DC7" w:rsidRDefault="00F05DC7" w:rsidP="00A3786D">
                  <w:pPr>
                    <w:pStyle w:val="TableColumnHeading"/>
                  </w:pPr>
                </w:p>
              </w:tc>
              <w:tc>
                <w:tcPr>
                  <w:tcW w:w="42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3AA" w14:textId="77777777" w:rsidR="00F05DC7" w:rsidRPr="000F5373" w:rsidRDefault="00F05DC7" w:rsidP="00A3786D">
                  <w:pPr>
                    <w:pStyle w:val="TableColumnHeading"/>
                    <w:ind w:right="11"/>
                  </w:pPr>
                  <w:r w:rsidRPr="000F5373">
                    <w:t>NSW</w:t>
                  </w:r>
                </w:p>
              </w:tc>
              <w:tc>
                <w:tcPr>
                  <w:tcW w:w="42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3AB" w14:textId="77777777" w:rsidR="00F05DC7" w:rsidRPr="000F5373" w:rsidRDefault="00F05DC7" w:rsidP="00A3786D">
                  <w:pPr>
                    <w:pStyle w:val="TableColumnHeading"/>
                    <w:ind w:right="11"/>
                  </w:pPr>
                  <w:r w:rsidRPr="000F5373">
                    <w:t>Vic</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3AC" w14:textId="77777777" w:rsidR="00F05DC7" w:rsidRPr="000F5373" w:rsidRDefault="00F05DC7" w:rsidP="00A3786D">
                  <w:pPr>
                    <w:pStyle w:val="TableColumnHeading"/>
                    <w:ind w:right="11"/>
                  </w:pPr>
                  <w:r w:rsidRPr="000F5373">
                    <w:t>Qld</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3AD" w14:textId="77777777" w:rsidR="00F05DC7" w:rsidRPr="000F5373" w:rsidRDefault="00F05DC7" w:rsidP="00A3786D">
                  <w:pPr>
                    <w:pStyle w:val="TableColumnHeading"/>
                    <w:ind w:right="11"/>
                  </w:pPr>
                  <w:r w:rsidRPr="000F5373">
                    <w:t>WA</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3AE" w14:textId="77777777" w:rsidR="00F05DC7" w:rsidRPr="000F5373" w:rsidRDefault="00F05DC7" w:rsidP="00A3786D">
                  <w:pPr>
                    <w:pStyle w:val="TableColumnHeading"/>
                    <w:ind w:right="11"/>
                  </w:pPr>
                  <w:r w:rsidRPr="000F5373">
                    <w:t>SA</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3AF" w14:textId="77777777" w:rsidR="00F05DC7" w:rsidRPr="000F5373" w:rsidRDefault="00F05DC7" w:rsidP="00A3786D">
                  <w:pPr>
                    <w:pStyle w:val="TableColumnHeading"/>
                    <w:ind w:right="11"/>
                  </w:pPr>
                  <w:r w:rsidRPr="000F5373">
                    <w:t>Tas</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3B0" w14:textId="77777777" w:rsidR="00F05DC7" w:rsidRPr="000F5373" w:rsidRDefault="00F05DC7" w:rsidP="00A3786D">
                  <w:pPr>
                    <w:pStyle w:val="TableColumnHeading"/>
                    <w:ind w:right="11"/>
                  </w:pPr>
                  <w:r w:rsidRPr="000F5373">
                    <w:t>ACT</w:t>
                  </w:r>
                </w:p>
              </w:tc>
              <w:tc>
                <w:tcPr>
                  <w:tcW w:w="42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3B1" w14:textId="77777777" w:rsidR="00F05DC7" w:rsidRPr="000F5373" w:rsidRDefault="00F05DC7" w:rsidP="00A3786D">
                  <w:pPr>
                    <w:pStyle w:val="TableColumnHeading"/>
                    <w:ind w:right="11"/>
                  </w:pPr>
                  <w:r w:rsidRPr="000F5373">
                    <w:t>NT</w:t>
                  </w:r>
                </w:p>
              </w:tc>
            </w:tr>
            <w:tr w:rsidR="00F05DC7" w14:paraId="7954B3BC" w14:textId="77777777" w:rsidTr="00A3786D">
              <w:trPr>
                <w:trHeight w:val="283"/>
              </w:trPr>
              <w:tc>
                <w:tcPr>
                  <w:tcW w:w="1644" w:type="pct"/>
                  <w:tcBorders>
                    <w:top w:val="nil"/>
                    <w:left w:val="nil"/>
                    <w:bottom w:val="nil"/>
                    <w:right w:val="nil"/>
                  </w:tcBorders>
                  <w:shd w:val="clear" w:color="auto" w:fill="auto"/>
                  <w:tcMar>
                    <w:left w:w="0" w:type="dxa"/>
                    <w:right w:w="0" w:type="dxa"/>
                  </w:tcMar>
                  <w:vAlign w:val="center"/>
                  <w:hideMark/>
                </w:tcPr>
                <w:p w14:paraId="7954B3B3" w14:textId="77777777" w:rsidR="00F05DC7" w:rsidRDefault="00F05DC7" w:rsidP="00A3786D">
                  <w:pPr>
                    <w:spacing w:before="80"/>
                    <w:rPr>
                      <w:rFonts w:ascii="Arial" w:hAnsi="Arial" w:cs="Arial"/>
                      <w:b/>
                      <w:bCs/>
                      <w:color w:val="000000"/>
                      <w:sz w:val="18"/>
                      <w:szCs w:val="18"/>
                    </w:rPr>
                  </w:pPr>
                  <w:r>
                    <w:rPr>
                      <w:rFonts w:ascii="Arial" w:hAnsi="Arial" w:cs="Arial"/>
                      <w:b/>
                      <w:bCs/>
                      <w:color w:val="000000"/>
                      <w:sz w:val="18"/>
                      <w:szCs w:val="18"/>
                    </w:rPr>
                    <w:t xml:space="preserve">Relativities </w:t>
                  </w:r>
                </w:p>
              </w:tc>
              <w:tc>
                <w:tcPr>
                  <w:tcW w:w="420" w:type="pct"/>
                  <w:tcBorders>
                    <w:top w:val="nil"/>
                    <w:left w:val="nil"/>
                    <w:bottom w:val="nil"/>
                    <w:right w:val="nil"/>
                  </w:tcBorders>
                  <w:shd w:val="clear" w:color="auto" w:fill="auto"/>
                  <w:tcMar>
                    <w:left w:w="0" w:type="dxa"/>
                    <w:right w:w="0" w:type="dxa"/>
                  </w:tcMar>
                  <w:vAlign w:val="center"/>
                  <w:hideMark/>
                </w:tcPr>
                <w:p w14:paraId="7954B3B4" w14:textId="77777777" w:rsidR="00F05DC7" w:rsidRPr="00AE409A" w:rsidRDefault="00F05DC7" w:rsidP="00A3786D">
                  <w:pPr>
                    <w:ind w:right="57"/>
                    <w:jc w:val="right"/>
                    <w:rPr>
                      <w:rFonts w:ascii="Arial" w:hAnsi="Arial" w:cs="Arial"/>
                      <w:color w:val="000000"/>
                      <w:sz w:val="18"/>
                      <w:szCs w:val="18"/>
                    </w:rPr>
                  </w:pPr>
                </w:p>
              </w:tc>
              <w:tc>
                <w:tcPr>
                  <w:tcW w:w="420" w:type="pct"/>
                  <w:tcBorders>
                    <w:top w:val="nil"/>
                    <w:left w:val="nil"/>
                    <w:bottom w:val="nil"/>
                    <w:right w:val="nil"/>
                  </w:tcBorders>
                  <w:shd w:val="clear" w:color="auto" w:fill="auto"/>
                  <w:tcMar>
                    <w:left w:w="0" w:type="dxa"/>
                    <w:right w:w="0" w:type="dxa"/>
                  </w:tcMar>
                  <w:vAlign w:val="center"/>
                  <w:hideMark/>
                </w:tcPr>
                <w:p w14:paraId="7954B3B5" w14:textId="77777777" w:rsidR="00F05DC7" w:rsidRPr="00AE409A" w:rsidRDefault="00F05DC7" w:rsidP="00A3786D">
                  <w:pPr>
                    <w:spacing w:before="80"/>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B6" w14:textId="77777777" w:rsidR="00F05DC7" w:rsidRPr="00AE409A" w:rsidRDefault="00F05DC7" w:rsidP="00A3786D">
                  <w:pPr>
                    <w:spacing w:before="80"/>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B7" w14:textId="77777777" w:rsidR="00F05DC7" w:rsidRPr="00AE409A" w:rsidRDefault="00F05DC7" w:rsidP="00A3786D">
                  <w:pPr>
                    <w:spacing w:before="80"/>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B8" w14:textId="77777777" w:rsidR="00F05DC7" w:rsidRPr="00AE409A" w:rsidRDefault="00F05DC7" w:rsidP="00A3786D">
                  <w:pPr>
                    <w:spacing w:before="80"/>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B9" w14:textId="77777777" w:rsidR="00F05DC7" w:rsidRPr="00AE409A" w:rsidRDefault="00F05DC7" w:rsidP="00A3786D">
                  <w:pPr>
                    <w:spacing w:before="80"/>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BA" w14:textId="77777777" w:rsidR="00F05DC7" w:rsidRPr="00AE409A" w:rsidRDefault="00F05DC7" w:rsidP="00A3786D">
                  <w:pPr>
                    <w:spacing w:before="80"/>
                    <w:ind w:right="57"/>
                    <w:jc w:val="right"/>
                    <w:rPr>
                      <w:rFonts w:ascii="Arial" w:hAnsi="Arial" w:cs="Arial"/>
                      <w:color w:val="000000"/>
                      <w:sz w:val="18"/>
                      <w:szCs w:val="18"/>
                    </w:rPr>
                  </w:pPr>
                </w:p>
              </w:tc>
              <w:tc>
                <w:tcPr>
                  <w:tcW w:w="421" w:type="pct"/>
                  <w:tcBorders>
                    <w:top w:val="nil"/>
                    <w:left w:val="nil"/>
                    <w:bottom w:val="nil"/>
                    <w:right w:val="nil"/>
                  </w:tcBorders>
                  <w:shd w:val="clear" w:color="auto" w:fill="auto"/>
                  <w:tcMar>
                    <w:left w:w="0" w:type="dxa"/>
                    <w:right w:w="0" w:type="dxa"/>
                  </w:tcMar>
                  <w:vAlign w:val="center"/>
                  <w:hideMark/>
                </w:tcPr>
                <w:p w14:paraId="7954B3BB" w14:textId="77777777" w:rsidR="00F05DC7" w:rsidRPr="00AE409A" w:rsidRDefault="00F05DC7" w:rsidP="00A3786D">
                  <w:pPr>
                    <w:spacing w:before="80"/>
                    <w:ind w:right="57"/>
                    <w:jc w:val="right"/>
                    <w:rPr>
                      <w:rFonts w:ascii="Arial" w:hAnsi="Arial" w:cs="Arial"/>
                      <w:color w:val="000000"/>
                      <w:sz w:val="18"/>
                      <w:szCs w:val="18"/>
                    </w:rPr>
                  </w:pPr>
                </w:p>
              </w:tc>
            </w:tr>
            <w:tr w:rsidR="00F05DC7" w14:paraId="7954B3C6" w14:textId="77777777" w:rsidTr="00A3786D">
              <w:trPr>
                <w:trHeight w:val="283"/>
              </w:trPr>
              <w:tc>
                <w:tcPr>
                  <w:tcW w:w="1644" w:type="pct"/>
                  <w:tcBorders>
                    <w:top w:val="nil"/>
                    <w:left w:val="nil"/>
                    <w:bottom w:val="nil"/>
                    <w:right w:val="nil"/>
                  </w:tcBorders>
                  <w:shd w:val="clear" w:color="auto" w:fill="auto"/>
                  <w:tcMar>
                    <w:left w:w="0" w:type="dxa"/>
                    <w:right w:w="0" w:type="dxa"/>
                  </w:tcMar>
                  <w:vAlign w:val="center"/>
                  <w:hideMark/>
                </w:tcPr>
                <w:p w14:paraId="7954B3BD" w14:textId="77777777" w:rsidR="00F05DC7" w:rsidRDefault="00F05DC7" w:rsidP="00A3786D">
                  <w:pPr>
                    <w:pStyle w:val="TableBodyText"/>
                    <w:jc w:val="left"/>
                  </w:pPr>
                  <w:r>
                    <w:t>Current approach</w:t>
                  </w:r>
                </w:p>
              </w:tc>
              <w:tc>
                <w:tcPr>
                  <w:tcW w:w="420" w:type="pct"/>
                  <w:tcBorders>
                    <w:top w:val="nil"/>
                    <w:left w:val="nil"/>
                    <w:bottom w:val="nil"/>
                    <w:right w:val="nil"/>
                  </w:tcBorders>
                  <w:shd w:val="clear" w:color="auto" w:fill="auto"/>
                  <w:tcMar>
                    <w:left w:w="0" w:type="dxa"/>
                    <w:right w:w="0" w:type="dxa"/>
                  </w:tcMar>
                  <w:vAlign w:val="center"/>
                  <w:hideMark/>
                </w:tcPr>
                <w:p w14:paraId="7954B3BE" w14:textId="77777777" w:rsidR="00F05DC7" w:rsidRDefault="00F05DC7" w:rsidP="00A3786D">
                  <w:pPr>
                    <w:pStyle w:val="TableBodyText"/>
                  </w:pPr>
                  <w:r>
                    <w:t>0.86</w:t>
                  </w:r>
                </w:p>
              </w:tc>
              <w:tc>
                <w:tcPr>
                  <w:tcW w:w="420" w:type="pct"/>
                  <w:tcBorders>
                    <w:top w:val="nil"/>
                    <w:left w:val="nil"/>
                    <w:bottom w:val="nil"/>
                    <w:right w:val="nil"/>
                  </w:tcBorders>
                  <w:shd w:val="clear" w:color="auto" w:fill="auto"/>
                  <w:tcMar>
                    <w:left w:w="0" w:type="dxa"/>
                    <w:right w:w="0" w:type="dxa"/>
                  </w:tcMar>
                  <w:vAlign w:val="center"/>
                  <w:hideMark/>
                </w:tcPr>
                <w:p w14:paraId="7954B3BF" w14:textId="77777777" w:rsidR="00F05DC7" w:rsidRDefault="00F05DC7" w:rsidP="00A3786D">
                  <w:pPr>
                    <w:pStyle w:val="TableBodyText"/>
                  </w:pPr>
                  <w:r>
                    <w:t>0.99</w:t>
                  </w:r>
                </w:p>
              </w:tc>
              <w:tc>
                <w:tcPr>
                  <w:tcW w:w="419" w:type="pct"/>
                  <w:tcBorders>
                    <w:top w:val="nil"/>
                    <w:left w:val="nil"/>
                    <w:bottom w:val="nil"/>
                    <w:right w:val="nil"/>
                  </w:tcBorders>
                  <w:shd w:val="clear" w:color="auto" w:fill="auto"/>
                  <w:tcMar>
                    <w:left w:w="0" w:type="dxa"/>
                    <w:right w:w="0" w:type="dxa"/>
                  </w:tcMar>
                  <w:vAlign w:val="center"/>
                  <w:hideMark/>
                </w:tcPr>
                <w:p w14:paraId="7954B3C0" w14:textId="77777777" w:rsidR="00F05DC7" w:rsidRDefault="00F05DC7" w:rsidP="00A3786D">
                  <w:pPr>
                    <w:pStyle w:val="TableBodyText"/>
                  </w:pPr>
                  <w:r>
                    <w:t>1.10</w:t>
                  </w:r>
                </w:p>
              </w:tc>
              <w:tc>
                <w:tcPr>
                  <w:tcW w:w="419" w:type="pct"/>
                  <w:tcBorders>
                    <w:top w:val="nil"/>
                    <w:left w:val="nil"/>
                    <w:bottom w:val="nil"/>
                    <w:right w:val="nil"/>
                  </w:tcBorders>
                  <w:shd w:val="clear" w:color="auto" w:fill="auto"/>
                  <w:tcMar>
                    <w:left w:w="0" w:type="dxa"/>
                    <w:right w:w="0" w:type="dxa"/>
                  </w:tcMar>
                  <w:vAlign w:val="center"/>
                  <w:hideMark/>
                </w:tcPr>
                <w:p w14:paraId="7954B3C1" w14:textId="77777777" w:rsidR="00F05DC7" w:rsidRDefault="00F05DC7" w:rsidP="00A3786D">
                  <w:pPr>
                    <w:pStyle w:val="TableBodyText"/>
                  </w:pPr>
                  <w:r>
                    <w:t>0.47</w:t>
                  </w:r>
                </w:p>
              </w:tc>
              <w:tc>
                <w:tcPr>
                  <w:tcW w:w="419" w:type="pct"/>
                  <w:tcBorders>
                    <w:top w:val="nil"/>
                    <w:left w:val="nil"/>
                    <w:bottom w:val="nil"/>
                    <w:right w:val="nil"/>
                  </w:tcBorders>
                  <w:shd w:val="clear" w:color="auto" w:fill="auto"/>
                  <w:tcMar>
                    <w:left w:w="0" w:type="dxa"/>
                    <w:right w:w="0" w:type="dxa"/>
                  </w:tcMar>
                  <w:vAlign w:val="center"/>
                  <w:hideMark/>
                </w:tcPr>
                <w:p w14:paraId="7954B3C2" w14:textId="77777777" w:rsidR="00F05DC7" w:rsidRDefault="00F05DC7" w:rsidP="00A3786D">
                  <w:pPr>
                    <w:pStyle w:val="TableBodyText"/>
                  </w:pPr>
                  <w:r>
                    <w:t>1.48</w:t>
                  </w:r>
                </w:p>
              </w:tc>
              <w:tc>
                <w:tcPr>
                  <w:tcW w:w="419" w:type="pct"/>
                  <w:tcBorders>
                    <w:top w:val="nil"/>
                    <w:left w:val="nil"/>
                    <w:bottom w:val="nil"/>
                    <w:right w:val="nil"/>
                  </w:tcBorders>
                  <w:shd w:val="clear" w:color="auto" w:fill="auto"/>
                  <w:tcMar>
                    <w:left w:w="0" w:type="dxa"/>
                    <w:right w:w="0" w:type="dxa"/>
                  </w:tcMar>
                  <w:vAlign w:val="center"/>
                  <w:hideMark/>
                </w:tcPr>
                <w:p w14:paraId="7954B3C3" w14:textId="77777777" w:rsidR="00F05DC7" w:rsidRDefault="00F05DC7" w:rsidP="00A3786D">
                  <w:pPr>
                    <w:pStyle w:val="TableBodyText"/>
                  </w:pPr>
                  <w:r>
                    <w:t>1.77</w:t>
                  </w:r>
                </w:p>
              </w:tc>
              <w:tc>
                <w:tcPr>
                  <w:tcW w:w="419" w:type="pct"/>
                  <w:tcBorders>
                    <w:top w:val="nil"/>
                    <w:left w:val="nil"/>
                    <w:bottom w:val="nil"/>
                    <w:right w:val="nil"/>
                  </w:tcBorders>
                  <w:shd w:val="clear" w:color="auto" w:fill="auto"/>
                  <w:tcMar>
                    <w:left w:w="0" w:type="dxa"/>
                    <w:right w:w="0" w:type="dxa"/>
                  </w:tcMar>
                  <w:vAlign w:val="center"/>
                  <w:hideMark/>
                </w:tcPr>
                <w:p w14:paraId="7954B3C4" w14:textId="77777777" w:rsidR="00F05DC7" w:rsidRDefault="00F05DC7" w:rsidP="00A3786D">
                  <w:pPr>
                    <w:pStyle w:val="TableBodyText"/>
                  </w:pPr>
                  <w:r>
                    <w:t>1.18</w:t>
                  </w:r>
                </w:p>
              </w:tc>
              <w:tc>
                <w:tcPr>
                  <w:tcW w:w="421" w:type="pct"/>
                  <w:tcBorders>
                    <w:top w:val="nil"/>
                    <w:left w:val="nil"/>
                    <w:bottom w:val="nil"/>
                    <w:right w:val="nil"/>
                  </w:tcBorders>
                  <w:shd w:val="clear" w:color="auto" w:fill="auto"/>
                  <w:tcMar>
                    <w:left w:w="0" w:type="dxa"/>
                    <w:right w:w="0" w:type="dxa"/>
                  </w:tcMar>
                  <w:vAlign w:val="center"/>
                  <w:hideMark/>
                </w:tcPr>
                <w:p w14:paraId="7954B3C5" w14:textId="77777777" w:rsidR="00F05DC7" w:rsidRDefault="00F05DC7" w:rsidP="00A3786D">
                  <w:pPr>
                    <w:pStyle w:val="TableBodyText"/>
                  </w:pPr>
                  <w:r>
                    <w:t>4.26</w:t>
                  </w:r>
                </w:p>
              </w:tc>
            </w:tr>
            <w:tr w:rsidR="00F05DC7" w14:paraId="7954B3D0" w14:textId="77777777" w:rsidTr="00A3786D">
              <w:trPr>
                <w:trHeight w:val="283"/>
              </w:trPr>
              <w:tc>
                <w:tcPr>
                  <w:tcW w:w="1644" w:type="pct"/>
                  <w:tcBorders>
                    <w:top w:val="nil"/>
                    <w:left w:val="nil"/>
                    <w:bottom w:val="nil"/>
                    <w:right w:val="nil"/>
                  </w:tcBorders>
                  <w:shd w:val="clear" w:color="auto" w:fill="auto"/>
                  <w:tcMar>
                    <w:left w:w="0" w:type="dxa"/>
                    <w:right w:w="0" w:type="dxa"/>
                  </w:tcMar>
                  <w:vAlign w:val="center"/>
                  <w:hideMark/>
                </w:tcPr>
                <w:p w14:paraId="7954B3C7" w14:textId="77777777" w:rsidR="00F05DC7" w:rsidRDefault="00F05DC7" w:rsidP="00A3786D">
                  <w:pPr>
                    <w:pStyle w:val="TableBodyText"/>
                    <w:jc w:val="left"/>
                  </w:pPr>
                  <w:r>
                    <w:t>Equalisation to the average</w:t>
                  </w:r>
                </w:p>
              </w:tc>
              <w:tc>
                <w:tcPr>
                  <w:tcW w:w="420" w:type="pct"/>
                  <w:tcBorders>
                    <w:top w:val="nil"/>
                    <w:left w:val="nil"/>
                    <w:bottom w:val="nil"/>
                    <w:right w:val="nil"/>
                  </w:tcBorders>
                  <w:shd w:val="clear" w:color="auto" w:fill="auto"/>
                  <w:tcMar>
                    <w:left w:w="0" w:type="dxa"/>
                    <w:right w:w="0" w:type="dxa"/>
                  </w:tcMar>
                  <w:vAlign w:val="center"/>
                  <w:hideMark/>
                </w:tcPr>
                <w:p w14:paraId="7954B3C8" w14:textId="77777777" w:rsidR="00F05DC7" w:rsidRDefault="00F05DC7" w:rsidP="00A3786D">
                  <w:pPr>
                    <w:pStyle w:val="TableBodyText"/>
                  </w:pPr>
                  <w:r>
                    <w:t>0.90</w:t>
                  </w:r>
                </w:p>
              </w:tc>
              <w:tc>
                <w:tcPr>
                  <w:tcW w:w="420" w:type="pct"/>
                  <w:tcBorders>
                    <w:top w:val="nil"/>
                    <w:left w:val="nil"/>
                    <w:bottom w:val="nil"/>
                    <w:right w:val="nil"/>
                  </w:tcBorders>
                  <w:shd w:val="clear" w:color="auto" w:fill="auto"/>
                  <w:tcMar>
                    <w:left w:w="0" w:type="dxa"/>
                    <w:right w:w="0" w:type="dxa"/>
                  </w:tcMar>
                  <w:vAlign w:val="center"/>
                  <w:hideMark/>
                </w:tcPr>
                <w:p w14:paraId="7954B3C9" w14:textId="77777777" w:rsidR="00F05DC7" w:rsidRDefault="00F05DC7" w:rsidP="00A3786D">
                  <w:pPr>
                    <w:pStyle w:val="TableBodyText"/>
                  </w:pPr>
                  <w:r>
                    <w:t>0.90</w:t>
                  </w:r>
                </w:p>
              </w:tc>
              <w:tc>
                <w:tcPr>
                  <w:tcW w:w="419" w:type="pct"/>
                  <w:tcBorders>
                    <w:top w:val="nil"/>
                    <w:left w:val="nil"/>
                    <w:bottom w:val="nil"/>
                    <w:right w:val="nil"/>
                  </w:tcBorders>
                  <w:shd w:val="clear" w:color="auto" w:fill="auto"/>
                  <w:tcMar>
                    <w:left w:w="0" w:type="dxa"/>
                    <w:right w:w="0" w:type="dxa"/>
                  </w:tcMar>
                  <w:vAlign w:val="center"/>
                  <w:hideMark/>
                </w:tcPr>
                <w:p w14:paraId="7954B3CA" w14:textId="77777777" w:rsidR="00F05DC7" w:rsidRDefault="00F05DC7" w:rsidP="00A3786D">
                  <w:pPr>
                    <w:pStyle w:val="TableBodyText"/>
                  </w:pPr>
                  <w:r>
                    <w:t>0.99</w:t>
                  </w:r>
                </w:p>
              </w:tc>
              <w:tc>
                <w:tcPr>
                  <w:tcW w:w="419" w:type="pct"/>
                  <w:tcBorders>
                    <w:top w:val="nil"/>
                    <w:left w:val="nil"/>
                    <w:bottom w:val="nil"/>
                    <w:right w:val="nil"/>
                  </w:tcBorders>
                  <w:shd w:val="clear" w:color="auto" w:fill="auto"/>
                  <w:tcMar>
                    <w:left w:w="0" w:type="dxa"/>
                    <w:right w:w="0" w:type="dxa"/>
                  </w:tcMar>
                  <w:vAlign w:val="center"/>
                  <w:hideMark/>
                </w:tcPr>
                <w:p w14:paraId="7954B3CB" w14:textId="77777777" w:rsidR="00F05DC7" w:rsidRDefault="00F05DC7" w:rsidP="00A3786D">
                  <w:pPr>
                    <w:pStyle w:val="TableBodyText"/>
                  </w:pPr>
                  <w:r>
                    <w:t>0.90</w:t>
                  </w:r>
                </w:p>
              </w:tc>
              <w:tc>
                <w:tcPr>
                  <w:tcW w:w="419" w:type="pct"/>
                  <w:tcBorders>
                    <w:top w:val="nil"/>
                    <w:left w:val="nil"/>
                    <w:bottom w:val="nil"/>
                    <w:right w:val="nil"/>
                  </w:tcBorders>
                  <w:shd w:val="clear" w:color="auto" w:fill="auto"/>
                  <w:tcMar>
                    <w:left w:w="0" w:type="dxa"/>
                    <w:right w:w="0" w:type="dxa"/>
                  </w:tcMar>
                  <w:vAlign w:val="center"/>
                  <w:hideMark/>
                </w:tcPr>
                <w:p w14:paraId="7954B3CC" w14:textId="77777777" w:rsidR="00F05DC7" w:rsidRDefault="00F05DC7" w:rsidP="00A3786D">
                  <w:pPr>
                    <w:pStyle w:val="TableBodyText"/>
                  </w:pPr>
                  <w:r>
                    <w:t>1.38</w:t>
                  </w:r>
                </w:p>
              </w:tc>
              <w:tc>
                <w:tcPr>
                  <w:tcW w:w="419" w:type="pct"/>
                  <w:tcBorders>
                    <w:top w:val="nil"/>
                    <w:left w:val="nil"/>
                    <w:bottom w:val="nil"/>
                    <w:right w:val="nil"/>
                  </w:tcBorders>
                  <w:shd w:val="clear" w:color="auto" w:fill="auto"/>
                  <w:tcMar>
                    <w:left w:w="0" w:type="dxa"/>
                    <w:right w:w="0" w:type="dxa"/>
                  </w:tcMar>
                  <w:vAlign w:val="center"/>
                  <w:hideMark/>
                </w:tcPr>
                <w:p w14:paraId="7954B3CD" w14:textId="77777777" w:rsidR="00F05DC7" w:rsidRDefault="00F05DC7" w:rsidP="00A3786D">
                  <w:pPr>
                    <w:pStyle w:val="TableBodyText"/>
                  </w:pPr>
                  <w:r>
                    <w:t>1.67</w:t>
                  </w:r>
                </w:p>
              </w:tc>
              <w:tc>
                <w:tcPr>
                  <w:tcW w:w="419" w:type="pct"/>
                  <w:tcBorders>
                    <w:top w:val="nil"/>
                    <w:left w:val="nil"/>
                    <w:bottom w:val="nil"/>
                    <w:right w:val="nil"/>
                  </w:tcBorders>
                  <w:shd w:val="clear" w:color="auto" w:fill="auto"/>
                  <w:tcMar>
                    <w:left w:w="0" w:type="dxa"/>
                    <w:right w:w="0" w:type="dxa"/>
                  </w:tcMar>
                  <w:vAlign w:val="center"/>
                  <w:hideMark/>
                </w:tcPr>
                <w:p w14:paraId="7954B3CE" w14:textId="77777777" w:rsidR="00F05DC7" w:rsidRDefault="00F05DC7" w:rsidP="00A3786D">
                  <w:pPr>
                    <w:pStyle w:val="TableBodyText"/>
                  </w:pPr>
                  <w:r>
                    <w:t>1.08</w:t>
                  </w:r>
                </w:p>
              </w:tc>
              <w:tc>
                <w:tcPr>
                  <w:tcW w:w="421" w:type="pct"/>
                  <w:tcBorders>
                    <w:top w:val="nil"/>
                    <w:left w:val="nil"/>
                    <w:bottom w:val="nil"/>
                    <w:right w:val="nil"/>
                  </w:tcBorders>
                  <w:shd w:val="clear" w:color="auto" w:fill="auto"/>
                  <w:tcMar>
                    <w:left w:w="0" w:type="dxa"/>
                    <w:right w:w="0" w:type="dxa"/>
                  </w:tcMar>
                  <w:vAlign w:val="center"/>
                  <w:hideMark/>
                </w:tcPr>
                <w:p w14:paraId="7954B3CF" w14:textId="77777777" w:rsidR="00F05DC7" w:rsidRDefault="00F05DC7" w:rsidP="00A3786D">
                  <w:pPr>
                    <w:pStyle w:val="TableBodyText"/>
                  </w:pPr>
                  <w:r>
                    <w:t>4.16</w:t>
                  </w:r>
                </w:p>
              </w:tc>
            </w:tr>
            <w:tr w:rsidR="00F05DC7" w14:paraId="7954B3DA" w14:textId="77777777" w:rsidTr="00A3786D">
              <w:trPr>
                <w:trHeight w:val="283"/>
              </w:trPr>
              <w:tc>
                <w:tcPr>
                  <w:tcW w:w="1644" w:type="pct"/>
                  <w:tcBorders>
                    <w:top w:val="nil"/>
                    <w:left w:val="nil"/>
                    <w:bottom w:val="nil"/>
                    <w:right w:val="nil"/>
                  </w:tcBorders>
                  <w:shd w:val="clear" w:color="auto" w:fill="auto"/>
                  <w:tcMar>
                    <w:left w:w="0" w:type="dxa"/>
                    <w:right w:w="0" w:type="dxa"/>
                  </w:tcMar>
                  <w:vAlign w:val="center"/>
                  <w:hideMark/>
                </w:tcPr>
                <w:p w14:paraId="7954B3D1" w14:textId="77777777" w:rsidR="00F05DC7" w:rsidRDefault="00F05DC7" w:rsidP="00A3786D">
                  <w:pPr>
                    <w:rPr>
                      <w:rFonts w:ascii="Arial" w:hAnsi="Arial" w:cs="Arial"/>
                      <w:b/>
                      <w:bCs/>
                      <w:color w:val="000000"/>
                      <w:sz w:val="18"/>
                      <w:szCs w:val="18"/>
                    </w:rPr>
                  </w:pPr>
                  <w:r>
                    <w:rPr>
                      <w:rFonts w:ascii="Arial" w:hAnsi="Arial" w:cs="Arial"/>
                      <w:b/>
                      <w:bCs/>
                      <w:color w:val="000000"/>
                      <w:sz w:val="18"/>
                      <w:szCs w:val="18"/>
                    </w:rPr>
                    <w:t>Change in GST payments</w:t>
                  </w:r>
                </w:p>
              </w:tc>
              <w:tc>
                <w:tcPr>
                  <w:tcW w:w="420" w:type="pct"/>
                  <w:tcBorders>
                    <w:top w:val="nil"/>
                    <w:left w:val="nil"/>
                    <w:bottom w:val="nil"/>
                    <w:right w:val="nil"/>
                  </w:tcBorders>
                  <w:shd w:val="clear" w:color="auto" w:fill="auto"/>
                  <w:tcMar>
                    <w:left w:w="0" w:type="dxa"/>
                    <w:right w:w="0" w:type="dxa"/>
                  </w:tcMar>
                  <w:vAlign w:val="center"/>
                  <w:hideMark/>
                </w:tcPr>
                <w:p w14:paraId="7954B3D2" w14:textId="77777777" w:rsidR="00F05DC7" w:rsidRPr="00AE409A" w:rsidRDefault="00F05DC7" w:rsidP="00A3786D">
                  <w:pPr>
                    <w:ind w:right="57"/>
                    <w:jc w:val="right"/>
                    <w:rPr>
                      <w:rFonts w:ascii="Arial" w:hAnsi="Arial" w:cs="Arial"/>
                      <w:color w:val="000000"/>
                      <w:sz w:val="18"/>
                      <w:szCs w:val="18"/>
                    </w:rPr>
                  </w:pPr>
                </w:p>
              </w:tc>
              <w:tc>
                <w:tcPr>
                  <w:tcW w:w="420" w:type="pct"/>
                  <w:tcBorders>
                    <w:top w:val="nil"/>
                    <w:left w:val="nil"/>
                    <w:bottom w:val="nil"/>
                    <w:right w:val="nil"/>
                  </w:tcBorders>
                  <w:shd w:val="clear" w:color="auto" w:fill="auto"/>
                  <w:tcMar>
                    <w:left w:w="0" w:type="dxa"/>
                    <w:right w:w="0" w:type="dxa"/>
                  </w:tcMar>
                  <w:vAlign w:val="center"/>
                  <w:hideMark/>
                </w:tcPr>
                <w:p w14:paraId="7954B3D3"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D4"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D5"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D6"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D7"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D8" w14:textId="77777777" w:rsidR="00F05DC7" w:rsidRPr="00AE409A" w:rsidRDefault="00F05DC7" w:rsidP="00A3786D">
                  <w:pPr>
                    <w:ind w:right="57"/>
                    <w:jc w:val="right"/>
                    <w:rPr>
                      <w:rFonts w:ascii="Arial" w:hAnsi="Arial" w:cs="Arial"/>
                      <w:color w:val="000000"/>
                      <w:sz w:val="18"/>
                      <w:szCs w:val="18"/>
                    </w:rPr>
                  </w:pPr>
                </w:p>
              </w:tc>
              <w:tc>
                <w:tcPr>
                  <w:tcW w:w="421" w:type="pct"/>
                  <w:tcBorders>
                    <w:top w:val="nil"/>
                    <w:left w:val="nil"/>
                    <w:bottom w:val="nil"/>
                    <w:right w:val="nil"/>
                  </w:tcBorders>
                  <w:shd w:val="clear" w:color="auto" w:fill="auto"/>
                  <w:tcMar>
                    <w:left w:w="0" w:type="dxa"/>
                    <w:right w:w="0" w:type="dxa"/>
                  </w:tcMar>
                  <w:vAlign w:val="center"/>
                  <w:hideMark/>
                </w:tcPr>
                <w:p w14:paraId="7954B3D9" w14:textId="77777777" w:rsidR="00F05DC7" w:rsidRPr="00AE409A" w:rsidRDefault="00F05DC7" w:rsidP="00A3786D">
                  <w:pPr>
                    <w:ind w:right="57"/>
                    <w:jc w:val="right"/>
                    <w:rPr>
                      <w:rFonts w:ascii="Arial" w:hAnsi="Arial" w:cs="Arial"/>
                      <w:color w:val="000000"/>
                      <w:sz w:val="18"/>
                      <w:szCs w:val="18"/>
                    </w:rPr>
                  </w:pPr>
                </w:p>
              </w:tc>
            </w:tr>
            <w:tr w:rsidR="00F05DC7" w14:paraId="7954B3E4" w14:textId="77777777" w:rsidTr="00A3786D">
              <w:trPr>
                <w:trHeight w:val="283"/>
              </w:trPr>
              <w:tc>
                <w:tcPr>
                  <w:tcW w:w="1644" w:type="pct"/>
                  <w:tcBorders>
                    <w:top w:val="nil"/>
                    <w:left w:val="nil"/>
                    <w:bottom w:val="nil"/>
                    <w:right w:val="nil"/>
                  </w:tcBorders>
                  <w:shd w:val="clear" w:color="auto" w:fill="auto"/>
                  <w:tcMar>
                    <w:left w:w="0" w:type="dxa"/>
                    <w:right w:w="0" w:type="dxa"/>
                  </w:tcMar>
                  <w:vAlign w:val="center"/>
                  <w:hideMark/>
                </w:tcPr>
                <w:p w14:paraId="7954B3DB" w14:textId="77777777" w:rsidR="00F05DC7" w:rsidRDefault="00F05DC7" w:rsidP="00A3786D">
                  <w:pPr>
                    <w:pStyle w:val="TableBodyText"/>
                    <w:jc w:val="left"/>
                  </w:pPr>
                  <w:r>
                    <w:t>$m</w:t>
                  </w:r>
                </w:p>
              </w:tc>
              <w:tc>
                <w:tcPr>
                  <w:tcW w:w="420" w:type="pct"/>
                  <w:tcBorders>
                    <w:top w:val="nil"/>
                    <w:left w:val="nil"/>
                    <w:bottom w:val="nil"/>
                    <w:right w:val="nil"/>
                  </w:tcBorders>
                  <w:shd w:val="clear" w:color="auto" w:fill="auto"/>
                  <w:tcMar>
                    <w:left w:w="0" w:type="dxa"/>
                    <w:right w:w="0" w:type="dxa"/>
                  </w:tcMar>
                  <w:vAlign w:val="center"/>
                  <w:hideMark/>
                </w:tcPr>
                <w:p w14:paraId="7954B3DC" w14:textId="77777777" w:rsidR="00F05DC7" w:rsidRDefault="00F05DC7" w:rsidP="00A3786D">
                  <w:pPr>
                    <w:pStyle w:val="TableBodyText"/>
                  </w:pPr>
                  <w:r>
                    <w:t>833</w:t>
                  </w:r>
                </w:p>
              </w:tc>
              <w:tc>
                <w:tcPr>
                  <w:tcW w:w="420" w:type="pct"/>
                  <w:tcBorders>
                    <w:top w:val="nil"/>
                    <w:left w:val="nil"/>
                    <w:bottom w:val="nil"/>
                    <w:right w:val="nil"/>
                  </w:tcBorders>
                  <w:shd w:val="clear" w:color="auto" w:fill="auto"/>
                  <w:tcMar>
                    <w:left w:w="0" w:type="dxa"/>
                    <w:right w:w="0" w:type="dxa"/>
                  </w:tcMar>
                  <w:vAlign w:val="center"/>
                  <w:hideMark/>
                </w:tcPr>
                <w:p w14:paraId="7954B3DD" w14:textId="77777777" w:rsidR="00F05DC7" w:rsidRDefault="00F05DC7" w:rsidP="00A3786D">
                  <w:pPr>
                    <w:pStyle w:val="TableBodyText"/>
                  </w:pPr>
                  <w:r>
                    <w:t>-1 570</w:t>
                  </w:r>
                </w:p>
              </w:tc>
              <w:tc>
                <w:tcPr>
                  <w:tcW w:w="419" w:type="pct"/>
                  <w:tcBorders>
                    <w:top w:val="nil"/>
                    <w:left w:val="nil"/>
                    <w:bottom w:val="nil"/>
                    <w:right w:val="nil"/>
                  </w:tcBorders>
                  <w:shd w:val="clear" w:color="auto" w:fill="auto"/>
                  <w:tcMar>
                    <w:left w:w="0" w:type="dxa"/>
                    <w:right w:w="0" w:type="dxa"/>
                  </w:tcMar>
                  <w:vAlign w:val="center"/>
                  <w:hideMark/>
                </w:tcPr>
                <w:p w14:paraId="7954B3DE" w14:textId="77777777" w:rsidR="00F05DC7" w:rsidRPr="00AE409A" w:rsidRDefault="00F05DC7" w:rsidP="00A3786D">
                  <w:pPr>
                    <w:pStyle w:val="TableBodyText"/>
                  </w:pPr>
                  <w:r w:rsidRPr="00AE409A">
                    <w:t>-1 </w:t>
                  </w:r>
                  <w:r>
                    <w:t>368</w:t>
                  </w:r>
                </w:p>
              </w:tc>
              <w:tc>
                <w:tcPr>
                  <w:tcW w:w="419" w:type="pct"/>
                  <w:tcBorders>
                    <w:top w:val="nil"/>
                    <w:left w:val="nil"/>
                    <w:bottom w:val="nil"/>
                    <w:right w:val="nil"/>
                  </w:tcBorders>
                  <w:shd w:val="clear" w:color="auto" w:fill="auto"/>
                  <w:tcMar>
                    <w:left w:w="0" w:type="dxa"/>
                    <w:right w:w="0" w:type="dxa"/>
                  </w:tcMar>
                  <w:vAlign w:val="center"/>
                  <w:hideMark/>
                </w:tcPr>
                <w:p w14:paraId="7954B3DF" w14:textId="77777777" w:rsidR="00F05DC7" w:rsidRPr="00AE409A" w:rsidRDefault="00F05DC7" w:rsidP="00A3786D">
                  <w:pPr>
                    <w:pStyle w:val="TableBodyText"/>
                  </w:pPr>
                  <w:r>
                    <w:t>2</w:t>
                  </w:r>
                  <w:r w:rsidRPr="00AE409A">
                    <w:t> </w:t>
                  </w:r>
                  <w:r>
                    <w:t>903</w:t>
                  </w:r>
                </w:p>
              </w:tc>
              <w:tc>
                <w:tcPr>
                  <w:tcW w:w="419" w:type="pct"/>
                  <w:tcBorders>
                    <w:top w:val="nil"/>
                    <w:left w:val="nil"/>
                    <w:bottom w:val="nil"/>
                    <w:right w:val="nil"/>
                  </w:tcBorders>
                  <w:shd w:val="clear" w:color="auto" w:fill="auto"/>
                  <w:tcMar>
                    <w:left w:w="0" w:type="dxa"/>
                    <w:right w:w="0" w:type="dxa"/>
                  </w:tcMar>
                  <w:vAlign w:val="center"/>
                  <w:hideMark/>
                </w:tcPr>
                <w:p w14:paraId="7954B3E0" w14:textId="77777777" w:rsidR="00F05DC7" w:rsidRDefault="00F05DC7" w:rsidP="00A3786D">
                  <w:pPr>
                    <w:pStyle w:val="TableBodyText"/>
                  </w:pPr>
                  <w:r>
                    <w:t>-474</w:t>
                  </w:r>
                </w:p>
              </w:tc>
              <w:tc>
                <w:tcPr>
                  <w:tcW w:w="419" w:type="pct"/>
                  <w:tcBorders>
                    <w:top w:val="nil"/>
                    <w:left w:val="nil"/>
                    <w:bottom w:val="nil"/>
                    <w:right w:val="nil"/>
                  </w:tcBorders>
                  <w:shd w:val="clear" w:color="auto" w:fill="auto"/>
                  <w:tcMar>
                    <w:left w:w="0" w:type="dxa"/>
                    <w:right w:w="0" w:type="dxa"/>
                  </w:tcMar>
                  <w:vAlign w:val="center"/>
                  <w:hideMark/>
                </w:tcPr>
                <w:p w14:paraId="7954B3E1" w14:textId="77777777" w:rsidR="00F05DC7" w:rsidRDefault="00F05DC7" w:rsidP="00A3786D">
                  <w:pPr>
                    <w:pStyle w:val="TableBodyText"/>
                  </w:pPr>
                  <w:r>
                    <w:t>-143</w:t>
                  </w:r>
                </w:p>
              </w:tc>
              <w:tc>
                <w:tcPr>
                  <w:tcW w:w="419" w:type="pct"/>
                  <w:tcBorders>
                    <w:top w:val="nil"/>
                    <w:left w:val="nil"/>
                    <w:bottom w:val="nil"/>
                    <w:right w:val="nil"/>
                  </w:tcBorders>
                  <w:shd w:val="clear" w:color="auto" w:fill="auto"/>
                  <w:tcMar>
                    <w:left w:w="0" w:type="dxa"/>
                    <w:right w:w="0" w:type="dxa"/>
                  </w:tcMar>
                  <w:vAlign w:val="center"/>
                  <w:hideMark/>
                </w:tcPr>
                <w:p w14:paraId="7954B3E2" w14:textId="77777777" w:rsidR="00F05DC7" w:rsidRDefault="00F05DC7" w:rsidP="00A3786D">
                  <w:pPr>
                    <w:pStyle w:val="TableBodyText"/>
                  </w:pPr>
                  <w:r>
                    <w:t>-114</w:t>
                  </w:r>
                </w:p>
              </w:tc>
              <w:tc>
                <w:tcPr>
                  <w:tcW w:w="421" w:type="pct"/>
                  <w:tcBorders>
                    <w:top w:val="nil"/>
                    <w:left w:val="nil"/>
                    <w:bottom w:val="nil"/>
                    <w:right w:val="nil"/>
                  </w:tcBorders>
                  <w:shd w:val="clear" w:color="auto" w:fill="auto"/>
                  <w:tcMar>
                    <w:left w:w="0" w:type="dxa"/>
                    <w:right w:w="0" w:type="dxa"/>
                  </w:tcMar>
                  <w:vAlign w:val="center"/>
                  <w:hideMark/>
                </w:tcPr>
                <w:p w14:paraId="7954B3E3" w14:textId="77777777" w:rsidR="00F05DC7" w:rsidRDefault="00F05DC7" w:rsidP="00A3786D">
                  <w:pPr>
                    <w:pStyle w:val="TableBodyText"/>
                  </w:pPr>
                  <w:r>
                    <w:t>-67</w:t>
                  </w:r>
                </w:p>
              </w:tc>
            </w:tr>
            <w:tr w:rsidR="00F05DC7" w14:paraId="7954B3EE" w14:textId="77777777" w:rsidTr="00A3786D">
              <w:trPr>
                <w:trHeight w:val="283"/>
              </w:trPr>
              <w:tc>
                <w:tcPr>
                  <w:tcW w:w="1644" w:type="pct"/>
                  <w:tcBorders>
                    <w:top w:val="nil"/>
                    <w:left w:val="nil"/>
                    <w:bottom w:val="nil"/>
                    <w:right w:val="nil"/>
                  </w:tcBorders>
                  <w:shd w:val="clear" w:color="auto" w:fill="auto"/>
                  <w:tcMar>
                    <w:left w:w="0" w:type="dxa"/>
                    <w:right w:w="0" w:type="dxa"/>
                  </w:tcMar>
                  <w:vAlign w:val="center"/>
                </w:tcPr>
                <w:p w14:paraId="7954B3E5" w14:textId="77777777" w:rsidR="00F05DC7" w:rsidRDefault="00F05DC7" w:rsidP="00A3786D">
                  <w:pPr>
                    <w:pStyle w:val="TableBodyText"/>
                    <w:jc w:val="left"/>
                  </w:pPr>
                  <w:r>
                    <w:t>$pc</w:t>
                  </w:r>
                </w:p>
              </w:tc>
              <w:tc>
                <w:tcPr>
                  <w:tcW w:w="420" w:type="pct"/>
                  <w:tcBorders>
                    <w:top w:val="nil"/>
                    <w:left w:val="nil"/>
                    <w:bottom w:val="nil"/>
                    <w:right w:val="nil"/>
                  </w:tcBorders>
                  <w:shd w:val="clear" w:color="auto" w:fill="auto"/>
                  <w:tcMar>
                    <w:left w:w="0" w:type="dxa"/>
                    <w:right w:w="0" w:type="dxa"/>
                  </w:tcMar>
                  <w:vAlign w:val="center"/>
                </w:tcPr>
                <w:p w14:paraId="7954B3E6" w14:textId="77777777" w:rsidR="00F05DC7" w:rsidRDefault="00F05DC7" w:rsidP="00A3786D">
                  <w:pPr>
                    <w:pStyle w:val="TableBodyText"/>
                  </w:pPr>
                  <w:r>
                    <w:t>104</w:t>
                  </w:r>
                </w:p>
              </w:tc>
              <w:tc>
                <w:tcPr>
                  <w:tcW w:w="420" w:type="pct"/>
                  <w:tcBorders>
                    <w:top w:val="nil"/>
                    <w:left w:val="nil"/>
                    <w:bottom w:val="nil"/>
                    <w:right w:val="nil"/>
                  </w:tcBorders>
                  <w:shd w:val="clear" w:color="auto" w:fill="auto"/>
                  <w:tcMar>
                    <w:left w:w="0" w:type="dxa"/>
                    <w:right w:w="0" w:type="dxa"/>
                  </w:tcMar>
                  <w:vAlign w:val="center"/>
                </w:tcPr>
                <w:p w14:paraId="7954B3E7" w14:textId="77777777" w:rsidR="00F05DC7" w:rsidRDefault="00F05DC7" w:rsidP="00A3786D">
                  <w:pPr>
                    <w:pStyle w:val="TableBodyText"/>
                  </w:pPr>
                  <w:r>
                    <w:t>-242</w:t>
                  </w:r>
                </w:p>
              </w:tc>
              <w:tc>
                <w:tcPr>
                  <w:tcW w:w="419" w:type="pct"/>
                  <w:tcBorders>
                    <w:top w:val="nil"/>
                    <w:left w:val="nil"/>
                    <w:bottom w:val="nil"/>
                    <w:right w:val="nil"/>
                  </w:tcBorders>
                  <w:shd w:val="clear" w:color="auto" w:fill="auto"/>
                  <w:tcMar>
                    <w:left w:w="0" w:type="dxa"/>
                    <w:right w:w="0" w:type="dxa"/>
                  </w:tcMar>
                  <w:vAlign w:val="center"/>
                </w:tcPr>
                <w:p w14:paraId="7954B3E8" w14:textId="77777777" w:rsidR="00F05DC7" w:rsidRPr="00AE409A" w:rsidRDefault="00F05DC7" w:rsidP="00A3786D">
                  <w:pPr>
                    <w:pStyle w:val="TableBodyText"/>
                  </w:pPr>
                  <w:r>
                    <w:t>-273</w:t>
                  </w:r>
                </w:p>
              </w:tc>
              <w:tc>
                <w:tcPr>
                  <w:tcW w:w="419" w:type="pct"/>
                  <w:tcBorders>
                    <w:top w:val="nil"/>
                    <w:left w:val="nil"/>
                    <w:bottom w:val="nil"/>
                    <w:right w:val="nil"/>
                  </w:tcBorders>
                  <w:shd w:val="clear" w:color="auto" w:fill="auto"/>
                  <w:tcMar>
                    <w:left w:w="0" w:type="dxa"/>
                    <w:right w:w="0" w:type="dxa"/>
                  </w:tcMar>
                  <w:vAlign w:val="center"/>
                </w:tcPr>
                <w:p w14:paraId="7954B3E9" w14:textId="77777777" w:rsidR="00F05DC7" w:rsidRPr="00AE409A" w:rsidRDefault="00F05DC7" w:rsidP="00A3786D">
                  <w:pPr>
                    <w:pStyle w:val="TableBodyText"/>
                  </w:pPr>
                  <w:r>
                    <w:t>1 108</w:t>
                  </w:r>
                </w:p>
              </w:tc>
              <w:tc>
                <w:tcPr>
                  <w:tcW w:w="419" w:type="pct"/>
                  <w:tcBorders>
                    <w:top w:val="nil"/>
                    <w:left w:val="nil"/>
                    <w:bottom w:val="nil"/>
                    <w:right w:val="nil"/>
                  </w:tcBorders>
                  <w:shd w:val="clear" w:color="auto" w:fill="auto"/>
                  <w:tcMar>
                    <w:left w:w="0" w:type="dxa"/>
                    <w:right w:w="0" w:type="dxa"/>
                  </w:tcMar>
                  <w:vAlign w:val="center"/>
                </w:tcPr>
                <w:p w14:paraId="7954B3EA" w14:textId="77777777" w:rsidR="00F05DC7" w:rsidRDefault="00F05DC7" w:rsidP="00A3786D">
                  <w:pPr>
                    <w:pStyle w:val="TableBodyText"/>
                  </w:pPr>
                  <w:r>
                    <w:t>-273</w:t>
                  </w:r>
                </w:p>
              </w:tc>
              <w:tc>
                <w:tcPr>
                  <w:tcW w:w="419" w:type="pct"/>
                  <w:tcBorders>
                    <w:top w:val="nil"/>
                    <w:left w:val="nil"/>
                    <w:bottom w:val="nil"/>
                    <w:right w:val="nil"/>
                  </w:tcBorders>
                  <w:shd w:val="clear" w:color="auto" w:fill="auto"/>
                  <w:tcMar>
                    <w:left w:w="0" w:type="dxa"/>
                    <w:right w:w="0" w:type="dxa"/>
                  </w:tcMar>
                  <w:vAlign w:val="center"/>
                </w:tcPr>
                <w:p w14:paraId="7954B3EB" w14:textId="77777777" w:rsidR="00F05DC7" w:rsidRDefault="00F05DC7" w:rsidP="00A3786D">
                  <w:pPr>
                    <w:pStyle w:val="TableBodyText"/>
                  </w:pPr>
                  <w:r>
                    <w:t>-273</w:t>
                  </w:r>
                </w:p>
              </w:tc>
              <w:tc>
                <w:tcPr>
                  <w:tcW w:w="419" w:type="pct"/>
                  <w:tcBorders>
                    <w:top w:val="nil"/>
                    <w:left w:val="nil"/>
                    <w:bottom w:val="nil"/>
                    <w:right w:val="nil"/>
                  </w:tcBorders>
                  <w:shd w:val="clear" w:color="auto" w:fill="auto"/>
                  <w:tcMar>
                    <w:left w:w="0" w:type="dxa"/>
                    <w:right w:w="0" w:type="dxa"/>
                  </w:tcMar>
                  <w:vAlign w:val="center"/>
                </w:tcPr>
                <w:p w14:paraId="7954B3EC" w14:textId="77777777" w:rsidR="00F05DC7" w:rsidRDefault="00F05DC7" w:rsidP="00A3786D">
                  <w:pPr>
                    <w:pStyle w:val="TableBodyText"/>
                  </w:pPr>
                  <w:r>
                    <w:t>-273</w:t>
                  </w:r>
                </w:p>
              </w:tc>
              <w:tc>
                <w:tcPr>
                  <w:tcW w:w="421" w:type="pct"/>
                  <w:tcBorders>
                    <w:top w:val="nil"/>
                    <w:left w:val="nil"/>
                    <w:bottom w:val="nil"/>
                    <w:right w:val="nil"/>
                  </w:tcBorders>
                  <w:shd w:val="clear" w:color="auto" w:fill="auto"/>
                  <w:tcMar>
                    <w:left w:w="0" w:type="dxa"/>
                    <w:right w:w="0" w:type="dxa"/>
                  </w:tcMar>
                  <w:vAlign w:val="center"/>
                </w:tcPr>
                <w:p w14:paraId="7954B3ED" w14:textId="77777777" w:rsidR="00F05DC7" w:rsidRDefault="00F05DC7" w:rsidP="00A3786D">
                  <w:pPr>
                    <w:pStyle w:val="TableBodyText"/>
                  </w:pPr>
                  <w:r>
                    <w:t>-273</w:t>
                  </w:r>
                </w:p>
              </w:tc>
            </w:tr>
            <w:tr w:rsidR="00F05DC7" w14:paraId="7954B3F8" w14:textId="77777777" w:rsidTr="00A3786D">
              <w:trPr>
                <w:trHeight w:val="283"/>
              </w:trPr>
              <w:tc>
                <w:tcPr>
                  <w:tcW w:w="1644" w:type="pct"/>
                  <w:tcBorders>
                    <w:top w:val="nil"/>
                    <w:left w:val="nil"/>
                    <w:bottom w:val="nil"/>
                    <w:right w:val="nil"/>
                  </w:tcBorders>
                  <w:shd w:val="clear" w:color="auto" w:fill="auto"/>
                  <w:tcMar>
                    <w:left w:w="0" w:type="dxa"/>
                    <w:right w:w="0" w:type="dxa"/>
                  </w:tcMar>
                  <w:vAlign w:val="center"/>
                </w:tcPr>
                <w:p w14:paraId="7954B3EF" w14:textId="77777777" w:rsidR="00F05DC7" w:rsidRDefault="00F05DC7" w:rsidP="00A3786D">
                  <w:pPr>
                    <w:pStyle w:val="TableBodyText"/>
                    <w:jc w:val="left"/>
                  </w:pPr>
                  <w:r w:rsidRPr="002600E3">
                    <w:rPr>
                      <w:rFonts w:asciiTheme="minorHAnsi" w:hAnsiTheme="minorHAnsi" w:cstheme="minorHAnsi"/>
                    </w:rPr>
                    <w:t>% change in State revenue</w:t>
                  </w:r>
                  <w:r w:rsidRPr="002600E3" w:rsidDel="00CE2770">
                    <w:rPr>
                      <w:rFonts w:asciiTheme="minorHAnsi" w:hAnsiTheme="minorHAnsi" w:cstheme="minorHAnsi"/>
                    </w:rPr>
                    <w:t xml:space="preserve"> </w:t>
                  </w:r>
                </w:p>
              </w:tc>
              <w:tc>
                <w:tcPr>
                  <w:tcW w:w="420" w:type="pct"/>
                  <w:tcBorders>
                    <w:top w:val="nil"/>
                    <w:left w:val="nil"/>
                    <w:bottom w:val="nil"/>
                    <w:right w:val="nil"/>
                  </w:tcBorders>
                  <w:shd w:val="clear" w:color="auto" w:fill="auto"/>
                  <w:tcMar>
                    <w:left w:w="0" w:type="dxa"/>
                    <w:right w:w="0" w:type="dxa"/>
                  </w:tcMar>
                  <w:vAlign w:val="bottom"/>
                </w:tcPr>
                <w:p w14:paraId="7954B3F0" w14:textId="77777777" w:rsidR="00F05DC7" w:rsidRPr="00CE2770" w:rsidRDefault="00F05DC7" w:rsidP="00A3786D">
                  <w:pPr>
                    <w:pStyle w:val="TableBodyText"/>
                  </w:pPr>
                  <w:r>
                    <w:t>1.0</w:t>
                  </w:r>
                </w:p>
              </w:tc>
              <w:tc>
                <w:tcPr>
                  <w:tcW w:w="420" w:type="pct"/>
                  <w:tcBorders>
                    <w:top w:val="nil"/>
                    <w:left w:val="nil"/>
                    <w:bottom w:val="nil"/>
                    <w:right w:val="nil"/>
                  </w:tcBorders>
                  <w:shd w:val="clear" w:color="auto" w:fill="auto"/>
                  <w:tcMar>
                    <w:left w:w="0" w:type="dxa"/>
                    <w:right w:w="0" w:type="dxa"/>
                  </w:tcMar>
                  <w:vAlign w:val="bottom"/>
                </w:tcPr>
                <w:p w14:paraId="7954B3F1" w14:textId="77777777" w:rsidR="00F05DC7" w:rsidRPr="00CE2770" w:rsidRDefault="00F05DC7" w:rsidP="00A3786D">
                  <w:pPr>
                    <w:pStyle w:val="TableBodyText"/>
                  </w:pPr>
                  <w:r>
                    <w:t>-2.3</w:t>
                  </w:r>
                </w:p>
              </w:tc>
              <w:tc>
                <w:tcPr>
                  <w:tcW w:w="419" w:type="pct"/>
                  <w:tcBorders>
                    <w:top w:val="nil"/>
                    <w:left w:val="nil"/>
                    <w:bottom w:val="nil"/>
                    <w:right w:val="nil"/>
                  </w:tcBorders>
                  <w:shd w:val="clear" w:color="auto" w:fill="auto"/>
                  <w:tcMar>
                    <w:left w:w="0" w:type="dxa"/>
                    <w:right w:w="0" w:type="dxa"/>
                  </w:tcMar>
                  <w:vAlign w:val="bottom"/>
                </w:tcPr>
                <w:p w14:paraId="7954B3F2" w14:textId="77777777" w:rsidR="00F05DC7" w:rsidRPr="00CE2770" w:rsidRDefault="00F05DC7" w:rsidP="00A3786D">
                  <w:pPr>
                    <w:pStyle w:val="TableBodyText"/>
                  </w:pPr>
                  <w:r>
                    <w:t>-2.4</w:t>
                  </w:r>
                </w:p>
              </w:tc>
              <w:tc>
                <w:tcPr>
                  <w:tcW w:w="419" w:type="pct"/>
                  <w:tcBorders>
                    <w:top w:val="nil"/>
                    <w:left w:val="nil"/>
                    <w:bottom w:val="nil"/>
                    <w:right w:val="nil"/>
                  </w:tcBorders>
                  <w:shd w:val="clear" w:color="auto" w:fill="auto"/>
                  <w:tcMar>
                    <w:left w:w="0" w:type="dxa"/>
                    <w:right w:w="0" w:type="dxa"/>
                  </w:tcMar>
                  <w:vAlign w:val="bottom"/>
                </w:tcPr>
                <w:p w14:paraId="7954B3F3" w14:textId="77777777" w:rsidR="00F05DC7" w:rsidRPr="00CE2770" w:rsidRDefault="00F05DC7" w:rsidP="00A3786D">
                  <w:pPr>
                    <w:pStyle w:val="TableBodyText"/>
                  </w:pPr>
                  <w:r>
                    <w:t>9.8</w:t>
                  </w:r>
                </w:p>
              </w:tc>
              <w:tc>
                <w:tcPr>
                  <w:tcW w:w="419" w:type="pct"/>
                  <w:tcBorders>
                    <w:top w:val="nil"/>
                    <w:left w:val="nil"/>
                    <w:bottom w:val="nil"/>
                    <w:right w:val="nil"/>
                  </w:tcBorders>
                  <w:shd w:val="clear" w:color="auto" w:fill="auto"/>
                  <w:tcMar>
                    <w:left w:w="0" w:type="dxa"/>
                    <w:right w:w="0" w:type="dxa"/>
                  </w:tcMar>
                  <w:vAlign w:val="bottom"/>
                </w:tcPr>
                <w:p w14:paraId="7954B3F4" w14:textId="77777777" w:rsidR="00F05DC7" w:rsidRPr="00CE2770" w:rsidRDefault="00F05DC7" w:rsidP="00A3786D">
                  <w:pPr>
                    <w:pStyle w:val="TableBodyText"/>
                  </w:pPr>
                  <w:r>
                    <w:t>-2.5</w:t>
                  </w:r>
                </w:p>
              </w:tc>
              <w:tc>
                <w:tcPr>
                  <w:tcW w:w="419" w:type="pct"/>
                  <w:tcBorders>
                    <w:top w:val="nil"/>
                    <w:left w:val="nil"/>
                    <w:bottom w:val="nil"/>
                    <w:right w:val="nil"/>
                  </w:tcBorders>
                  <w:shd w:val="clear" w:color="auto" w:fill="auto"/>
                  <w:tcMar>
                    <w:left w:w="0" w:type="dxa"/>
                    <w:right w:w="0" w:type="dxa"/>
                  </w:tcMar>
                  <w:vAlign w:val="bottom"/>
                </w:tcPr>
                <w:p w14:paraId="7954B3F5" w14:textId="77777777" w:rsidR="00F05DC7" w:rsidRPr="00CE2770" w:rsidRDefault="00F05DC7" w:rsidP="00A3786D">
                  <w:pPr>
                    <w:pStyle w:val="TableBodyText"/>
                  </w:pPr>
                  <w:r>
                    <w:t>-2.4</w:t>
                  </w:r>
                </w:p>
              </w:tc>
              <w:tc>
                <w:tcPr>
                  <w:tcW w:w="419" w:type="pct"/>
                  <w:tcBorders>
                    <w:top w:val="nil"/>
                    <w:left w:val="nil"/>
                    <w:bottom w:val="nil"/>
                    <w:right w:val="nil"/>
                  </w:tcBorders>
                  <w:shd w:val="clear" w:color="auto" w:fill="auto"/>
                  <w:tcMar>
                    <w:left w:w="0" w:type="dxa"/>
                    <w:right w:w="0" w:type="dxa"/>
                  </w:tcMar>
                  <w:vAlign w:val="bottom"/>
                </w:tcPr>
                <w:p w14:paraId="7954B3F6" w14:textId="77777777" w:rsidR="00F05DC7" w:rsidRPr="00CE2770" w:rsidRDefault="00F05DC7" w:rsidP="00A3786D">
                  <w:pPr>
                    <w:pStyle w:val="TableBodyText"/>
                  </w:pPr>
                  <w:r>
                    <w:t>-2.0</w:t>
                  </w:r>
                </w:p>
              </w:tc>
              <w:tc>
                <w:tcPr>
                  <w:tcW w:w="421" w:type="pct"/>
                  <w:tcBorders>
                    <w:top w:val="nil"/>
                    <w:left w:val="nil"/>
                    <w:bottom w:val="nil"/>
                    <w:right w:val="nil"/>
                  </w:tcBorders>
                  <w:shd w:val="clear" w:color="auto" w:fill="auto"/>
                  <w:tcMar>
                    <w:left w:w="0" w:type="dxa"/>
                    <w:right w:w="0" w:type="dxa"/>
                  </w:tcMar>
                  <w:vAlign w:val="bottom"/>
                </w:tcPr>
                <w:p w14:paraId="7954B3F7" w14:textId="77777777" w:rsidR="00F05DC7" w:rsidRPr="00CE2770" w:rsidRDefault="00F05DC7" w:rsidP="00A3786D">
                  <w:pPr>
                    <w:pStyle w:val="TableBodyText"/>
                  </w:pPr>
                  <w:r>
                    <w:t>-1.2</w:t>
                  </w:r>
                </w:p>
              </w:tc>
            </w:tr>
            <w:tr w:rsidR="00F05DC7" w14:paraId="7954B402" w14:textId="77777777" w:rsidTr="00A3786D">
              <w:trPr>
                <w:trHeight w:val="283"/>
              </w:trPr>
              <w:tc>
                <w:tcPr>
                  <w:tcW w:w="1644" w:type="pct"/>
                  <w:tcBorders>
                    <w:top w:val="nil"/>
                    <w:left w:val="nil"/>
                    <w:bottom w:val="nil"/>
                    <w:right w:val="nil"/>
                  </w:tcBorders>
                  <w:shd w:val="clear" w:color="auto" w:fill="auto"/>
                  <w:tcMar>
                    <w:left w:w="0" w:type="dxa"/>
                    <w:right w:w="0" w:type="dxa"/>
                  </w:tcMar>
                  <w:vAlign w:val="center"/>
                  <w:hideMark/>
                </w:tcPr>
                <w:p w14:paraId="7954B3F9" w14:textId="77777777" w:rsidR="00F05DC7" w:rsidRDefault="00F05DC7" w:rsidP="00A3786D">
                  <w:pPr>
                    <w:rPr>
                      <w:rFonts w:ascii="Arial" w:hAnsi="Arial" w:cs="Arial"/>
                      <w:b/>
                      <w:bCs/>
                      <w:color w:val="000000"/>
                      <w:sz w:val="18"/>
                      <w:szCs w:val="18"/>
                    </w:rPr>
                  </w:pPr>
                  <w:r>
                    <w:rPr>
                      <w:rFonts w:ascii="Arial" w:hAnsi="Arial" w:cs="Arial"/>
                      <w:b/>
                      <w:bCs/>
                      <w:color w:val="000000"/>
                      <w:sz w:val="18"/>
                      <w:szCs w:val="18"/>
                    </w:rPr>
                    <w:t>Total redistribution from EPC</w:t>
                  </w:r>
                </w:p>
              </w:tc>
              <w:tc>
                <w:tcPr>
                  <w:tcW w:w="420" w:type="pct"/>
                  <w:tcBorders>
                    <w:top w:val="nil"/>
                    <w:left w:val="nil"/>
                    <w:bottom w:val="nil"/>
                    <w:right w:val="nil"/>
                  </w:tcBorders>
                  <w:shd w:val="clear" w:color="auto" w:fill="auto"/>
                  <w:tcMar>
                    <w:left w:w="0" w:type="dxa"/>
                    <w:right w:w="0" w:type="dxa"/>
                  </w:tcMar>
                  <w:vAlign w:val="center"/>
                  <w:hideMark/>
                </w:tcPr>
                <w:p w14:paraId="7954B3FA" w14:textId="77777777" w:rsidR="00F05DC7" w:rsidRPr="00AE409A" w:rsidRDefault="00F05DC7" w:rsidP="00A3786D">
                  <w:pPr>
                    <w:ind w:right="57"/>
                    <w:jc w:val="right"/>
                    <w:rPr>
                      <w:rFonts w:ascii="Arial" w:hAnsi="Arial" w:cs="Arial"/>
                      <w:color w:val="000000"/>
                      <w:sz w:val="18"/>
                      <w:szCs w:val="18"/>
                    </w:rPr>
                  </w:pPr>
                </w:p>
              </w:tc>
              <w:tc>
                <w:tcPr>
                  <w:tcW w:w="420" w:type="pct"/>
                  <w:tcBorders>
                    <w:top w:val="nil"/>
                    <w:left w:val="nil"/>
                    <w:bottom w:val="nil"/>
                    <w:right w:val="nil"/>
                  </w:tcBorders>
                  <w:shd w:val="clear" w:color="auto" w:fill="auto"/>
                  <w:tcMar>
                    <w:left w:w="0" w:type="dxa"/>
                    <w:right w:w="0" w:type="dxa"/>
                  </w:tcMar>
                  <w:vAlign w:val="center"/>
                  <w:hideMark/>
                </w:tcPr>
                <w:p w14:paraId="7954B3FB"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FC"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FD"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FE"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3FF" w14:textId="77777777" w:rsidR="00F05DC7" w:rsidRPr="00AE409A" w:rsidRDefault="00F05DC7" w:rsidP="00A3786D">
                  <w:pPr>
                    <w:ind w:right="57"/>
                    <w:jc w:val="right"/>
                    <w:rPr>
                      <w:rFonts w:ascii="Arial" w:hAnsi="Arial" w:cs="Arial"/>
                      <w:color w:val="000000"/>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400" w14:textId="77777777" w:rsidR="00F05DC7" w:rsidRPr="00AE409A" w:rsidRDefault="00F05DC7" w:rsidP="00A3786D">
                  <w:pPr>
                    <w:ind w:right="57"/>
                    <w:jc w:val="right"/>
                    <w:rPr>
                      <w:rFonts w:ascii="Arial" w:hAnsi="Arial" w:cs="Arial"/>
                      <w:color w:val="000000"/>
                      <w:sz w:val="18"/>
                      <w:szCs w:val="18"/>
                    </w:rPr>
                  </w:pPr>
                </w:p>
              </w:tc>
              <w:tc>
                <w:tcPr>
                  <w:tcW w:w="421" w:type="pct"/>
                  <w:tcBorders>
                    <w:top w:val="nil"/>
                    <w:left w:val="nil"/>
                    <w:bottom w:val="nil"/>
                    <w:right w:val="nil"/>
                  </w:tcBorders>
                  <w:shd w:val="clear" w:color="auto" w:fill="auto"/>
                  <w:tcMar>
                    <w:left w:w="0" w:type="dxa"/>
                    <w:right w:w="0" w:type="dxa"/>
                  </w:tcMar>
                  <w:vAlign w:val="center"/>
                  <w:hideMark/>
                </w:tcPr>
                <w:p w14:paraId="7954B401" w14:textId="77777777" w:rsidR="00F05DC7" w:rsidRPr="00AE409A" w:rsidRDefault="00F05DC7" w:rsidP="00A3786D">
                  <w:pPr>
                    <w:ind w:right="57"/>
                    <w:jc w:val="right"/>
                    <w:rPr>
                      <w:rFonts w:ascii="Arial" w:hAnsi="Arial" w:cs="Arial"/>
                      <w:color w:val="000000"/>
                      <w:sz w:val="18"/>
                      <w:szCs w:val="18"/>
                    </w:rPr>
                  </w:pPr>
                </w:p>
              </w:tc>
            </w:tr>
            <w:tr w:rsidR="00F05DC7" w14:paraId="7954B405" w14:textId="77777777" w:rsidTr="00A3786D">
              <w:trPr>
                <w:trHeight w:val="283"/>
              </w:trPr>
              <w:tc>
                <w:tcPr>
                  <w:tcW w:w="1644" w:type="pct"/>
                  <w:tcBorders>
                    <w:top w:val="nil"/>
                    <w:left w:val="nil"/>
                    <w:bottom w:val="nil"/>
                    <w:right w:val="nil"/>
                  </w:tcBorders>
                  <w:shd w:val="clear" w:color="auto" w:fill="auto"/>
                  <w:tcMar>
                    <w:left w:w="0" w:type="dxa"/>
                    <w:right w:w="0" w:type="dxa"/>
                  </w:tcMar>
                  <w:vAlign w:val="center"/>
                  <w:hideMark/>
                </w:tcPr>
                <w:p w14:paraId="7954B403" w14:textId="77777777" w:rsidR="00F05DC7" w:rsidRDefault="00F05DC7" w:rsidP="00A3786D">
                  <w:pPr>
                    <w:pStyle w:val="TableBodyText"/>
                    <w:jc w:val="left"/>
                  </w:pPr>
                  <w:r>
                    <w:t>Current approach</w:t>
                  </w:r>
                </w:p>
              </w:tc>
              <w:tc>
                <w:tcPr>
                  <w:tcW w:w="3356" w:type="pct"/>
                  <w:gridSpan w:val="8"/>
                  <w:tcBorders>
                    <w:top w:val="nil"/>
                    <w:left w:val="nil"/>
                    <w:bottom w:val="nil"/>
                    <w:right w:val="nil"/>
                  </w:tcBorders>
                  <w:shd w:val="clear" w:color="auto" w:fill="auto"/>
                  <w:tcMar>
                    <w:left w:w="0" w:type="dxa"/>
                    <w:right w:w="0" w:type="dxa"/>
                  </w:tcMar>
                  <w:vAlign w:val="center"/>
                  <w:hideMark/>
                </w:tcPr>
                <w:p w14:paraId="7954B404" w14:textId="77777777" w:rsidR="00F05DC7" w:rsidRDefault="00F05DC7" w:rsidP="00A3786D">
                  <w:pPr>
                    <w:pStyle w:val="TableBodyText"/>
                  </w:pPr>
                  <w:r>
                    <w:t>$6 840 million</w:t>
                  </w:r>
                </w:p>
              </w:tc>
            </w:tr>
            <w:tr w:rsidR="00F05DC7" w14:paraId="7954B408" w14:textId="77777777" w:rsidTr="00A3786D">
              <w:trPr>
                <w:trHeight w:val="283"/>
              </w:trPr>
              <w:tc>
                <w:tcPr>
                  <w:tcW w:w="1644" w:type="pct"/>
                  <w:tcBorders>
                    <w:top w:val="nil"/>
                    <w:left w:val="nil"/>
                    <w:bottom w:val="single" w:sz="8" w:space="0" w:color="BFBFBF"/>
                    <w:right w:val="nil"/>
                  </w:tcBorders>
                  <w:shd w:val="clear" w:color="auto" w:fill="auto"/>
                  <w:tcMar>
                    <w:left w:w="0" w:type="dxa"/>
                    <w:right w:w="0" w:type="dxa"/>
                  </w:tcMar>
                  <w:vAlign w:val="center"/>
                  <w:hideMark/>
                </w:tcPr>
                <w:p w14:paraId="7954B406" w14:textId="77777777" w:rsidR="00F05DC7" w:rsidRDefault="00F05DC7" w:rsidP="00A3786D">
                  <w:pPr>
                    <w:pStyle w:val="TableBodyText"/>
                    <w:jc w:val="left"/>
                  </w:pPr>
                  <w:r>
                    <w:t>Equalisation to the average</w:t>
                  </w:r>
                </w:p>
              </w:tc>
              <w:tc>
                <w:tcPr>
                  <w:tcW w:w="3356" w:type="pct"/>
                  <w:gridSpan w:val="8"/>
                  <w:tcBorders>
                    <w:top w:val="nil"/>
                    <w:left w:val="nil"/>
                    <w:bottom w:val="single" w:sz="8" w:space="0" w:color="BFBFBF"/>
                    <w:right w:val="nil"/>
                  </w:tcBorders>
                  <w:shd w:val="clear" w:color="auto" w:fill="auto"/>
                  <w:tcMar>
                    <w:left w:w="0" w:type="dxa"/>
                    <w:right w:w="0" w:type="dxa"/>
                  </w:tcMar>
                  <w:vAlign w:val="center"/>
                  <w:hideMark/>
                </w:tcPr>
                <w:p w14:paraId="7954B407" w14:textId="77777777" w:rsidR="00F05DC7" w:rsidRDefault="00F05DC7" w:rsidP="00A3786D">
                  <w:pPr>
                    <w:pStyle w:val="TableBodyText"/>
                  </w:pPr>
                  <w:r>
                    <w:t>$4 757 million</w:t>
                  </w:r>
                </w:p>
              </w:tc>
            </w:tr>
          </w:tbl>
          <w:p w14:paraId="7954B409" w14:textId="77777777" w:rsidR="00F05DC7" w:rsidRDefault="00F05DC7" w:rsidP="00A3786D">
            <w:pPr>
              <w:pStyle w:val="Box"/>
            </w:pPr>
          </w:p>
        </w:tc>
      </w:tr>
      <w:tr w:rsidR="00F05DC7" w14:paraId="7954B40C" w14:textId="77777777" w:rsidTr="00A3786D">
        <w:trPr>
          <w:trHeight w:val="140"/>
        </w:trPr>
        <w:tc>
          <w:tcPr>
            <w:tcW w:w="5000" w:type="pct"/>
            <w:tcBorders>
              <w:top w:val="nil"/>
              <w:left w:val="nil"/>
              <w:bottom w:val="nil"/>
              <w:right w:val="nil"/>
            </w:tcBorders>
            <w:shd w:val="clear" w:color="auto" w:fill="auto"/>
          </w:tcPr>
          <w:p w14:paraId="7954B40B"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40E" w14:textId="77777777" w:rsidTr="00A3786D">
        <w:tc>
          <w:tcPr>
            <w:tcW w:w="5000" w:type="pct"/>
            <w:tcBorders>
              <w:top w:val="nil"/>
              <w:left w:val="nil"/>
              <w:bottom w:val="single" w:sz="6" w:space="0" w:color="78A22F"/>
              <w:right w:val="nil"/>
            </w:tcBorders>
            <w:shd w:val="clear" w:color="auto" w:fill="auto"/>
          </w:tcPr>
          <w:p w14:paraId="7954B40D" w14:textId="77777777" w:rsidR="00F05DC7" w:rsidRDefault="00F05DC7" w:rsidP="00A3786D">
            <w:pPr>
              <w:pStyle w:val="Box"/>
              <w:spacing w:before="0" w:line="120" w:lineRule="exact"/>
            </w:pPr>
          </w:p>
        </w:tc>
      </w:tr>
    </w:tbl>
    <w:p w14:paraId="7954B40F" w14:textId="77777777" w:rsidR="00F05DC7" w:rsidRDefault="00F05DC7" w:rsidP="00A3786D">
      <w:pPr>
        <w:pStyle w:val="Heading4"/>
        <w:spacing w:before="320"/>
      </w:pPr>
      <w:r>
        <w:t>Equalisation to the second strongest State</w:t>
      </w:r>
    </w:p>
    <w:p w14:paraId="7954B410" w14:textId="77777777" w:rsidR="00F05DC7" w:rsidRDefault="00F05DC7" w:rsidP="00A3786D">
      <w:pPr>
        <w:pStyle w:val="BodyText"/>
      </w:pPr>
      <w:r w:rsidRPr="00E3719E">
        <w:t>An</w:t>
      </w:r>
      <w:r>
        <w:t xml:space="preserve"> alternative approach is to raise States to the fiscal capacity of the second strongest State. This involves using the current CGC approach to fund the weaker States based on the additional amount needed above their EPC share (in the same way as table C.2), and then funding the six weakest States to raise them to the fiscal capacity of the second strongest State (currently New South Wales). The remaining GST pool is then distributed to all States on an EPC basis. The GST payments and relativities associated with this approach are presented in table C.3.</w:t>
      </w:r>
    </w:p>
    <w:p w14:paraId="7954B411" w14:textId="77777777" w:rsidR="00F05DC7" w:rsidRDefault="00F05DC7" w:rsidP="00A3786D">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414" w14:textId="77777777" w:rsidTr="001113B1">
        <w:trPr>
          <w:tblHeader/>
        </w:trPr>
        <w:tc>
          <w:tcPr>
            <w:tcW w:w="5000" w:type="pct"/>
            <w:tcBorders>
              <w:top w:val="single" w:sz="6" w:space="0" w:color="78A22F"/>
              <w:left w:val="nil"/>
              <w:bottom w:val="nil"/>
              <w:right w:val="nil"/>
            </w:tcBorders>
            <w:shd w:val="clear" w:color="auto" w:fill="auto"/>
          </w:tcPr>
          <w:p w14:paraId="7954B412" w14:textId="6904EDC5" w:rsidR="00F05DC7" w:rsidRDefault="00F05DC7" w:rsidP="00A3786D">
            <w:pPr>
              <w:pStyle w:val="TableTitle"/>
            </w:pPr>
            <w:r>
              <w:rPr>
                <w:b w:val="0"/>
              </w:rPr>
              <w:t>Table C.</w:t>
            </w:r>
            <w:r>
              <w:rPr>
                <w:b w:val="0"/>
                <w:noProof/>
              </w:rPr>
              <w:t>3</w:t>
            </w:r>
            <w:r>
              <w:tab/>
              <w:t>Effects of equalisation to the second strongest State</w:t>
            </w:r>
          </w:p>
          <w:p w14:paraId="7954B413" w14:textId="77777777" w:rsidR="00F05DC7" w:rsidRPr="00784A05" w:rsidRDefault="00F05DC7" w:rsidP="00A3786D">
            <w:pPr>
              <w:pStyle w:val="Subtitle"/>
              <w:spacing w:after="60"/>
            </w:pPr>
            <w:r>
              <w:t>2018</w:t>
            </w:r>
            <w:r>
              <w:noBreakHyphen/>
              <w:t>19 GST payments and relativities</w:t>
            </w:r>
            <w:r w:rsidDel="004B438C">
              <w:t xml:space="preserve"> </w:t>
            </w:r>
          </w:p>
        </w:tc>
      </w:tr>
      <w:tr w:rsidR="00F05DC7" w14:paraId="7954B476" w14:textId="77777777" w:rsidTr="00A3786D">
        <w:trPr>
          <w:trHeight w:val="3061"/>
        </w:trPr>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819"/>
              <w:gridCol w:w="709"/>
              <w:gridCol w:w="711"/>
              <w:gridCol w:w="713"/>
              <w:gridCol w:w="711"/>
              <w:gridCol w:w="711"/>
              <w:gridCol w:w="711"/>
              <w:gridCol w:w="711"/>
              <w:gridCol w:w="709"/>
            </w:tblGrid>
            <w:tr w:rsidR="00F05DC7" w14:paraId="7954B41E" w14:textId="77777777" w:rsidTr="001113B1">
              <w:trPr>
                <w:trHeight w:val="283"/>
                <w:tblHeader/>
              </w:trPr>
              <w:tc>
                <w:tcPr>
                  <w:tcW w:w="165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15" w14:textId="77777777" w:rsidR="00F05DC7" w:rsidRDefault="00F05DC7" w:rsidP="00A3786D">
                  <w:pPr>
                    <w:rPr>
                      <w:color w:val="000000"/>
                      <w:sz w:val="20"/>
                      <w:szCs w:val="20"/>
                    </w:rPr>
                  </w:pPr>
                  <w:r>
                    <w:rPr>
                      <w:color w:val="000000"/>
                      <w:sz w:val="20"/>
                      <w:szCs w:val="20"/>
                    </w:rPr>
                    <w:t> </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16" w14:textId="77777777" w:rsidR="00F05DC7" w:rsidRDefault="00F05DC7" w:rsidP="00A3786D">
                  <w:pPr>
                    <w:pStyle w:val="TableColumnHeading"/>
                    <w:ind w:right="11"/>
                  </w:pPr>
                  <w:r>
                    <w:t>NSW</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17" w14:textId="77777777" w:rsidR="00F05DC7" w:rsidRDefault="00F05DC7" w:rsidP="00A3786D">
                  <w:pPr>
                    <w:pStyle w:val="TableColumnHeading"/>
                    <w:ind w:right="11"/>
                  </w:pPr>
                  <w:r>
                    <w:t>Vic</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18" w14:textId="77777777" w:rsidR="00F05DC7" w:rsidRDefault="00F05DC7" w:rsidP="00A3786D">
                  <w:pPr>
                    <w:pStyle w:val="TableColumnHeading"/>
                    <w:ind w:right="11"/>
                  </w:pPr>
                  <w:r>
                    <w:t>Qld</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19" w14:textId="77777777" w:rsidR="00F05DC7" w:rsidRDefault="00F05DC7" w:rsidP="00A3786D">
                  <w:pPr>
                    <w:pStyle w:val="TableColumnHeading"/>
                    <w:ind w:right="11"/>
                  </w:pPr>
                  <w:r>
                    <w:t>WA</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1A" w14:textId="77777777" w:rsidR="00F05DC7" w:rsidRDefault="00F05DC7" w:rsidP="00A3786D">
                  <w:pPr>
                    <w:pStyle w:val="TableColumnHeading"/>
                    <w:ind w:right="11"/>
                  </w:pPr>
                  <w:r>
                    <w:t>SA</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1B" w14:textId="77777777" w:rsidR="00F05DC7" w:rsidRDefault="00F05DC7" w:rsidP="00A3786D">
                  <w:pPr>
                    <w:pStyle w:val="TableColumnHeading"/>
                    <w:ind w:right="11"/>
                  </w:pPr>
                  <w:r>
                    <w:t>Tas</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1C" w14:textId="77777777" w:rsidR="00F05DC7" w:rsidRDefault="00F05DC7" w:rsidP="00A3786D">
                  <w:pPr>
                    <w:pStyle w:val="TableColumnHeading"/>
                    <w:ind w:right="11"/>
                  </w:pPr>
                  <w:r>
                    <w:t>ACT</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1D" w14:textId="77777777" w:rsidR="00F05DC7" w:rsidRDefault="00F05DC7" w:rsidP="00A3786D">
                  <w:pPr>
                    <w:pStyle w:val="TableColumnHeading"/>
                    <w:ind w:right="11"/>
                  </w:pPr>
                  <w:r>
                    <w:t>NT</w:t>
                  </w:r>
                </w:p>
              </w:tc>
            </w:tr>
            <w:tr w:rsidR="00F05DC7" w14:paraId="7954B428" w14:textId="77777777" w:rsidTr="00A3786D">
              <w:trPr>
                <w:trHeight w:val="283"/>
              </w:trPr>
              <w:tc>
                <w:tcPr>
                  <w:tcW w:w="1657" w:type="pct"/>
                  <w:tcBorders>
                    <w:top w:val="nil"/>
                    <w:left w:val="nil"/>
                    <w:bottom w:val="nil"/>
                    <w:right w:val="nil"/>
                  </w:tcBorders>
                  <w:shd w:val="clear" w:color="auto" w:fill="auto"/>
                  <w:tcMar>
                    <w:left w:w="0" w:type="dxa"/>
                    <w:right w:w="0" w:type="dxa"/>
                  </w:tcMar>
                  <w:vAlign w:val="center"/>
                  <w:hideMark/>
                </w:tcPr>
                <w:p w14:paraId="7954B41F" w14:textId="77777777" w:rsidR="00F05DC7" w:rsidRPr="00791D71" w:rsidRDefault="00F05DC7" w:rsidP="00A3786D">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417" w:type="pct"/>
                  <w:tcBorders>
                    <w:top w:val="nil"/>
                    <w:left w:val="nil"/>
                    <w:bottom w:val="nil"/>
                    <w:right w:val="nil"/>
                  </w:tcBorders>
                  <w:shd w:val="clear" w:color="auto" w:fill="auto"/>
                  <w:tcMar>
                    <w:left w:w="0" w:type="dxa"/>
                    <w:right w:w="0" w:type="dxa"/>
                  </w:tcMar>
                  <w:vAlign w:val="center"/>
                  <w:hideMark/>
                </w:tcPr>
                <w:p w14:paraId="7954B420" w14:textId="77777777" w:rsidR="00F05DC7" w:rsidRPr="00791D71" w:rsidRDefault="00F05DC7" w:rsidP="00A3786D">
                  <w:pPr>
                    <w:spacing w:before="80"/>
                    <w:ind w:right="11"/>
                    <w:jc w:val="right"/>
                    <w:rPr>
                      <w:rFonts w:asciiTheme="minorHAnsi" w:hAnsiTheme="minorHAnsi" w:cstheme="minorHAnsi"/>
                      <w:b/>
                      <w:bCs/>
                      <w:color w:val="000000"/>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21" w14:textId="77777777" w:rsidR="00F05DC7" w:rsidRPr="00791D71" w:rsidRDefault="00F05DC7" w:rsidP="00A3786D">
                  <w:pPr>
                    <w:spacing w:before="80"/>
                    <w:ind w:right="11"/>
                    <w:jc w:val="right"/>
                    <w:rPr>
                      <w:rFonts w:asciiTheme="minorHAnsi" w:hAnsiTheme="minorHAnsi" w:cstheme="minorHAnsi"/>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422"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23"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24"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25"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26" w14:textId="77777777" w:rsidR="00F05DC7" w:rsidRPr="00791D71" w:rsidRDefault="00F05DC7" w:rsidP="00A3786D">
                  <w:pPr>
                    <w:spacing w:before="80"/>
                    <w:ind w:right="11"/>
                    <w:jc w:val="right"/>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B427" w14:textId="77777777" w:rsidR="00F05DC7" w:rsidRPr="00791D71" w:rsidRDefault="00F05DC7" w:rsidP="00A3786D">
                  <w:pPr>
                    <w:spacing w:before="80"/>
                    <w:ind w:right="11"/>
                    <w:jc w:val="right"/>
                    <w:rPr>
                      <w:rFonts w:asciiTheme="minorHAnsi" w:hAnsiTheme="minorHAnsi" w:cstheme="minorHAnsi"/>
                      <w:sz w:val="18"/>
                      <w:szCs w:val="18"/>
                    </w:rPr>
                  </w:pPr>
                </w:p>
              </w:tc>
            </w:tr>
            <w:tr w:rsidR="00F05DC7" w14:paraId="7954B432" w14:textId="77777777" w:rsidTr="00A3786D">
              <w:trPr>
                <w:trHeight w:val="283"/>
              </w:trPr>
              <w:tc>
                <w:tcPr>
                  <w:tcW w:w="1657" w:type="pct"/>
                  <w:tcBorders>
                    <w:top w:val="nil"/>
                    <w:left w:val="nil"/>
                    <w:bottom w:val="nil"/>
                    <w:right w:val="nil"/>
                  </w:tcBorders>
                  <w:shd w:val="clear" w:color="auto" w:fill="auto"/>
                  <w:tcMar>
                    <w:left w:w="0" w:type="dxa"/>
                    <w:right w:w="0" w:type="dxa"/>
                  </w:tcMar>
                  <w:vAlign w:val="center"/>
                  <w:hideMark/>
                </w:tcPr>
                <w:p w14:paraId="7954B429" w14:textId="77777777" w:rsidR="00F05DC7" w:rsidRPr="00791D71" w:rsidRDefault="00F05DC7" w:rsidP="00A3786D">
                  <w:pPr>
                    <w:pStyle w:val="TableBodyText"/>
                    <w:jc w:val="left"/>
                  </w:pPr>
                  <w:r w:rsidRPr="00791D71">
                    <w:t>Current approach</w:t>
                  </w:r>
                </w:p>
              </w:tc>
              <w:tc>
                <w:tcPr>
                  <w:tcW w:w="417" w:type="pct"/>
                  <w:tcBorders>
                    <w:top w:val="nil"/>
                    <w:left w:val="nil"/>
                    <w:bottom w:val="nil"/>
                    <w:right w:val="nil"/>
                  </w:tcBorders>
                  <w:shd w:val="clear" w:color="auto" w:fill="auto"/>
                  <w:tcMar>
                    <w:left w:w="0" w:type="dxa"/>
                    <w:right w:w="0" w:type="dxa"/>
                  </w:tcMar>
                  <w:vAlign w:val="center"/>
                  <w:hideMark/>
                </w:tcPr>
                <w:p w14:paraId="7954B42A" w14:textId="77777777" w:rsidR="00F05DC7" w:rsidRPr="00791D71" w:rsidRDefault="00F05DC7" w:rsidP="00A3786D">
                  <w:pPr>
                    <w:pStyle w:val="TableBodyText"/>
                  </w:pPr>
                  <w:r>
                    <w:rPr>
                      <w:rFonts w:cs="Arial"/>
                    </w:rPr>
                    <w:t>0.86</w:t>
                  </w:r>
                </w:p>
              </w:tc>
              <w:tc>
                <w:tcPr>
                  <w:tcW w:w="418" w:type="pct"/>
                  <w:tcBorders>
                    <w:top w:val="nil"/>
                    <w:left w:val="nil"/>
                    <w:bottom w:val="nil"/>
                    <w:right w:val="nil"/>
                  </w:tcBorders>
                  <w:shd w:val="clear" w:color="auto" w:fill="auto"/>
                  <w:tcMar>
                    <w:left w:w="0" w:type="dxa"/>
                    <w:right w:w="0" w:type="dxa"/>
                  </w:tcMar>
                  <w:vAlign w:val="center"/>
                  <w:hideMark/>
                </w:tcPr>
                <w:p w14:paraId="7954B42B" w14:textId="77777777" w:rsidR="00F05DC7" w:rsidRPr="00791D71" w:rsidRDefault="00F05DC7" w:rsidP="00A3786D">
                  <w:pPr>
                    <w:pStyle w:val="TableBodyText"/>
                  </w:pPr>
                  <w:r>
                    <w:rPr>
                      <w:rFonts w:cs="Arial"/>
                    </w:rPr>
                    <w:t>0.99</w:t>
                  </w:r>
                </w:p>
              </w:tc>
              <w:tc>
                <w:tcPr>
                  <w:tcW w:w="419" w:type="pct"/>
                  <w:tcBorders>
                    <w:top w:val="nil"/>
                    <w:left w:val="nil"/>
                    <w:bottom w:val="nil"/>
                    <w:right w:val="nil"/>
                  </w:tcBorders>
                  <w:shd w:val="clear" w:color="auto" w:fill="auto"/>
                  <w:tcMar>
                    <w:left w:w="0" w:type="dxa"/>
                    <w:right w:w="0" w:type="dxa"/>
                  </w:tcMar>
                  <w:vAlign w:val="center"/>
                  <w:hideMark/>
                </w:tcPr>
                <w:p w14:paraId="7954B42C" w14:textId="77777777" w:rsidR="00F05DC7" w:rsidRPr="00791D71" w:rsidRDefault="00F05DC7" w:rsidP="00A3786D">
                  <w:pPr>
                    <w:pStyle w:val="TableBodyText"/>
                  </w:pPr>
                  <w:r>
                    <w:rPr>
                      <w:rFonts w:cs="Arial"/>
                    </w:rPr>
                    <w:t>1.10</w:t>
                  </w:r>
                </w:p>
              </w:tc>
              <w:tc>
                <w:tcPr>
                  <w:tcW w:w="418" w:type="pct"/>
                  <w:tcBorders>
                    <w:top w:val="nil"/>
                    <w:left w:val="nil"/>
                    <w:bottom w:val="nil"/>
                    <w:right w:val="nil"/>
                  </w:tcBorders>
                  <w:shd w:val="clear" w:color="auto" w:fill="auto"/>
                  <w:tcMar>
                    <w:left w:w="0" w:type="dxa"/>
                    <w:right w:w="0" w:type="dxa"/>
                  </w:tcMar>
                  <w:vAlign w:val="center"/>
                  <w:hideMark/>
                </w:tcPr>
                <w:p w14:paraId="7954B42D" w14:textId="77777777" w:rsidR="00F05DC7" w:rsidRPr="00791D71" w:rsidRDefault="00F05DC7" w:rsidP="00A3786D">
                  <w:pPr>
                    <w:pStyle w:val="TableBodyText"/>
                  </w:pPr>
                  <w:r>
                    <w:rPr>
                      <w:rFonts w:cs="Arial"/>
                    </w:rPr>
                    <w:t>0.47</w:t>
                  </w:r>
                </w:p>
              </w:tc>
              <w:tc>
                <w:tcPr>
                  <w:tcW w:w="418" w:type="pct"/>
                  <w:tcBorders>
                    <w:top w:val="nil"/>
                    <w:left w:val="nil"/>
                    <w:bottom w:val="nil"/>
                    <w:right w:val="nil"/>
                  </w:tcBorders>
                  <w:shd w:val="clear" w:color="auto" w:fill="auto"/>
                  <w:tcMar>
                    <w:left w:w="0" w:type="dxa"/>
                    <w:right w:w="0" w:type="dxa"/>
                  </w:tcMar>
                  <w:vAlign w:val="center"/>
                  <w:hideMark/>
                </w:tcPr>
                <w:p w14:paraId="7954B42E" w14:textId="77777777" w:rsidR="00F05DC7" w:rsidRPr="00791D71" w:rsidRDefault="00F05DC7" w:rsidP="00A3786D">
                  <w:pPr>
                    <w:pStyle w:val="TableBodyText"/>
                  </w:pPr>
                  <w:r>
                    <w:rPr>
                      <w:rFonts w:cs="Arial"/>
                    </w:rPr>
                    <w:t>1.48</w:t>
                  </w:r>
                </w:p>
              </w:tc>
              <w:tc>
                <w:tcPr>
                  <w:tcW w:w="418" w:type="pct"/>
                  <w:tcBorders>
                    <w:top w:val="nil"/>
                    <w:left w:val="nil"/>
                    <w:bottom w:val="nil"/>
                    <w:right w:val="nil"/>
                  </w:tcBorders>
                  <w:shd w:val="clear" w:color="auto" w:fill="auto"/>
                  <w:tcMar>
                    <w:left w:w="0" w:type="dxa"/>
                    <w:right w:w="0" w:type="dxa"/>
                  </w:tcMar>
                  <w:vAlign w:val="center"/>
                  <w:hideMark/>
                </w:tcPr>
                <w:p w14:paraId="7954B42F" w14:textId="77777777" w:rsidR="00F05DC7" w:rsidRPr="00791D71" w:rsidRDefault="00F05DC7" w:rsidP="00A3786D">
                  <w:pPr>
                    <w:pStyle w:val="TableBodyText"/>
                  </w:pPr>
                  <w:r>
                    <w:rPr>
                      <w:rFonts w:cs="Arial"/>
                    </w:rPr>
                    <w:t>1.77</w:t>
                  </w:r>
                </w:p>
              </w:tc>
              <w:tc>
                <w:tcPr>
                  <w:tcW w:w="418" w:type="pct"/>
                  <w:tcBorders>
                    <w:top w:val="nil"/>
                    <w:left w:val="nil"/>
                    <w:bottom w:val="nil"/>
                    <w:right w:val="nil"/>
                  </w:tcBorders>
                  <w:shd w:val="clear" w:color="auto" w:fill="auto"/>
                  <w:tcMar>
                    <w:left w:w="0" w:type="dxa"/>
                    <w:right w:w="0" w:type="dxa"/>
                  </w:tcMar>
                  <w:vAlign w:val="center"/>
                  <w:hideMark/>
                </w:tcPr>
                <w:p w14:paraId="7954B430" w14:textId="77777777" w:rsidR="00F05DC7" w:rsidRPr="00791D71" w:rsidRDefault="00F05DC7" w:rsidP="00A3786D">
                  <w:pPr>
                    <w:pStyle w:val="TableBodyText"/>
                  </w:pPr>
                  <w:r>
                    <w:rPr>
                      <w:rFonts w:cs="Arial"/>
                    </w:rPr>
                    <w:t>1.18</w:t>
                  </w:r>
                </w:p>
              </w:tc>
              <w:tc>
                <w:tcPr>
                  <w:tcW w:w="417" w:type="pct"/>
                  <w:tcBorders>
                    <w:top w:val="nil"/>
                    <w:left w:val="nil"/>
                    <w:bottom w:val="nil"/>
                    <w:right w:val="nil"/>
                  </w:tcBorders>
                  <w:shd w:val="clear" w:color="auto" w:fill="auto"/>
                  <w:tcMar>
                    <w:left w:w="0" w:type="dxa"/>
                    <w:right w:w="0" w:type="dxa"/>
                  </w:tcMar>
                  <w:vAlign w:val="center"/>
                  <w:hideMark/>
                </w:tcPr>
                <w:p w14:paraId="7954B431" w14:textId="77777777" w:rsidR="00F05DC7" w:rsidRPr="00791D71" w:rsidRDefault="00F05DC7" w:rsidP="00A3786D">
                  <w:pPr>
                    <w:pStyle w:val="TableBodyText"/>
                  </w:pPr>
                  <w:r>
                    <w:rPr>
                      <w:rFonts w:cs="Arial"/>
                    </w:rPr>
                    <w:t>4.26</w:t>
                  </w:r>
                </w:p>
              </w:tc>
            </w:tr>
            <w:tr w:rsidR="00F05DC7" w14:paraId="7954B43C" w14:textId="77777777" w:rsidTr="00A3786D">
              <w:trPr>
                <w:trHeight w:val="283"/>
              </w:trPr>
              <w:tc>
                <w:tcPr>
                  <w:tcW w:w="1657" w:type="pct"/>
                  <w:tcBorders>
                    <w:top w:val="nil"/>
                    <w:left w:val="nil"/>
                    <w:bottom w:val="nil"/>
                    <w:right w:val="nil"/>
                  </w:tcBorders>
                  <w:shd w:val="clear" w:color="auto" w:fill="auto"/>
                  <w:tcMar>
                    <w:left w:w="0" w:type="dxa"/>
                    <w:right w:w="0" w:type="dxa"/>
                  </w:tcMar>
                  <w:vAlign w:val="center"/>
                  <w:hideMark/>
                </w:tcPr>
                <w:p w14:paraId="7954B433" w14:textId="77777777" w:rsidR="00F05DC7" w:rsidRPr="00791D71" w:rsidRDefault="00F05DC7" w:rsidP="00A3786D">
                  <w:pPr>
                    <w:pStyle w:val="TableBodyText"/>
                    <w:jc w:val="left"/>
                  </w:pPr>
                  <w:r>
                    <w:t>Equalising to the second strongest State</w:t>
                  </w:r>
                </w:p>
              </w:tc>
              <w:tc>
                <w:tcPr>
                  <w:tcW w:w="417" w:type="pct"/>
                  <w:tcBorders>
                    <w:top w:val="nil"/>
                    <w:left w:val="nil"/>
                    <w:bottom w:val="nil"/>
                    <w:right w:val="nil"/>
                  </w:tcBorders>
                  <w:shd w:val="clear" w:color="auto" w:fill="auto"/>
                  <w:tcMar>
                    <w:left w:w="0" w:type="dxa"/>
                    <w:right w:w="0" w:type="dxa"/>
                  </w:tcMar>
                  <w:vAlign w:val="center"/>
                  <w:hideMark/>
                </w:tcPr>
                <w:p w14:paraId="7954B434" w14:textId="77777777" w:rsidR="00F05DC7" w:rsidRPr="00791D71" w:rsidRDefault="00F05DC7" w:rsidP="00A3786D">
                  <w:pPr>
                    <w:pStyle w:val="TableBodyText"/>
                  </w:pPr>
                  <w:r w:rsidRPr="00791D71">
                    <w:t>0.82</w:t>
                  </w:r>
                </w:p>
              </w:tc>
              <w:tc>
                <w:tcPr>
                  <w:tcW w:w="418" w:type="pct"/>
                  <w:tcBorders>
                    <w:top w:val="nil"/>
                    <w:left w:val="nil"/>
                    <w:bottom w:val="nil"/>
                    <w:right w:val="nil"/>
                  </w:tcBorders>
                  <w:shd w:val="clear" w:color="auto" w:fill="auto"/>
                  <w:tcMar>
                    <w:left w:w="0" w:type="dxa"/>
                    <w:right w:w="0" w:type="dxa"/>
                  </w:tcMar>
                  <w:vAlign w:val="center"/>
                  <w:hideMark/>
                </w:tcPr>
                <w:p w14:paraId="7954B435" w14:textId="77777777" w:rsidR="00F05DC7" w:rsidRPr="00791D71" w:rsidRDefault="00F05DC7" w:rsidP="00A3786D">
                  <w:pPr>
                    <w:pStyle w:val="TableBodyText"/>
                  </w:pPr>
                  <w:r w:rsidRPr="00791D71">
                    <w:t>0.</w:t>
                  </w:r>
                  <w:r>
                    <w:t>95</w:t>
                  </w:r>
                </w:p>
              </w:tc>
              <w:tc>
                <w:tcPr>
                  <w:tcW w:w="419" w:type="pct"/>
                  <w:tcBorders>
                    <w:top w:val="nil"/>
                    <w:left w:val="nil"/>
                    <w:bottom w:val="nil"/>
                    <w:right w:val="nil"/>
                  </w:tcBorders>
                  <w:shd w:val="clear" w:color="auto" w:fill="auto"/>
                  <w:tcMar>
                    <w:left w:w="0" w:type="dxa"/>
                    <w:right w:w="0" w:type="dxa"/>
                  </w:tcMar>
                  <w:vAlign w:val="center"/>
                  <w:hideMark/>
                </w:tcPr>
                <w:p w14:paraId="7954B436" w14:textId="77777777" w:rsidR="00F05DC7" w:rsidRPr="00791D71" w:rsidRDefault="00F05DC7" w:rsidP="00A3786D">
                  <w:pPr>
                    <w:pStyle w:val="TableBodyText"/>
                  </w:pPr>
                  <w:r w:rsidRPr="00791D71">
                    <w:t>1</w:t>
                  </w:r>
                  <w:r>
                    <w:t>.06</w:t>
                  </w:r>
                </w:p>
              </w:tc>
              <w:tc>
                <w:tcPr>
                  <w:tcW w:w="418" w:type="pct"/>
                  <w:tcBorders>
                    <w:top w:val="nil"/>
                    <w:left w:val="nil"/>
                    <w:bottom w:val="nil"/>
                    <w:right w:val="nil"/>
                  </w:tcBorders>
                  <w:shd w:val="clear" w:color="auto" w:fill="auto"/>
                  <w:tcMar>
                    <w:left w:w="0" w:type="dxa"/>
                    <w:right w:w="0" w:type="dxa"/>
                  </w:tcMar>
                  <w:vAlign w:val="center"/>
                  <w:hideMark/>
                </w:tcPr>
                <w:p w14:paraId="7954B437" w14:textId="77777777" w:rsidR="00F05DC7" w:rsidRPr="00791D71" w:rsidRDefault="00F05DC7" w:rsidP="00A3786D">
                  <w:pPr>
                    <w:pStyle w:val="TableBodyText"/>
                  </w:pPr>
                  <w:r w:rsidRPr="00791D71">
                    <w:t>0.82</w:t>
                  </w:r>
                </w:p>
              </w:tc>
              <w:tc>
                <w:tcPr>
                  <w:tcW w:w="418" w:type="pct"/>
                  <w:tcBorders>
                    <w:top w:val="nil"/>
                    <w:left w:val="nil"/>
                    <w:bottom w:val="nil"/>
                    <w:right w:val="nil"/>
                  </w:tcBorders>
                  <w:shd w:val="clear" w:color="auto" w:fill="auto"/>
                  <w:tcMar>
                    <w:left w:w="0" w:type="dxa"/>
                    <w:right w:w="0" w:type="dxa"/>
                  </w:tcMar>
                  <w:vAlign w:val="center"/>
                  <w:hideMark/>
                </w:tcPr>
                <w:p w14:paraId="7954B438" w14:textId="77777777" w:rsidR="00F05DC7" w:rsidRPr="00791D71" w:rsidRDefault="00F05DC7" w:rsidP="00A3786D">
                  <w:pPr>
                    <w:pStyle w:val="TableBodyText"/>
                  </w:pPr>
                  <w:r>
                    <w:t>1.44</w:t>
                  </w:r>
                </w:p>
              </w:tc>
              <w:tc>
                <w:tcPr>
                  <w:tcW w:w="418" w:type="pct"/>
                  <w:tcBorders>
                    <w:top w:val="nil"/>
                    <w:left w:val="nil"/>
                    <w:bottom w:val="nil"/>
                    <w:right w:val="nil"/>
                  </w:tcBorders>
                  <w:shd w:val="clear" w:color="auto" w:fill="auto"/>
                  <w:tcMar>
                    <w:left w:w="0" w:type="dxa"/>
                    <w:right w:w="0" w:type="dxa"/>
                  </w:tcMar>
                  <w:vAlign w:val="center"/>
                  <w:hideMark/>
                </w:tcPr>
                <w:p w14:paraId="7954B439" w14:textId="77777777" w:rsidR="00F05DC7" w:rsidRPr="00791D71" w:rsidRDefault="00F05DC7" w:rsidP="00A3786D">
                  <w:pPr>
                    <w:pStyle w:val="TableBodyText"/>
                  </w:pPr>
                  <w:r>
                    <w:t>1.73</w:t>
                  </w:r>
                </w:p>
              </w:tc>
              <w:tc>
                <w:tcPr>
                  <w:tcW w:w="418" w:type="pct"/>
                  <w:tcBorders>
                    <w:top w:val="nil"/>
                    <w:left w:val="nil"/>
                    <w:bottom w:val="nil"/>
                    <w:right w:val="nil"/>
                  </w:tcBorders>
                  <w:shd w:val="clear" w:color="auto" w:fill="auto"/>
                  <w:tcMar>
                    <w:left w:w="0" w:type="dxa"/>
                    <w:right w:w="0" w:type="dxa"/>
                  </w:tcMar>
                  <w:vAlign w:val="center"/>
                  <w:hideMark/>
                </w:tcPr>
                <w:p w14:paraId="7954B43A" w14:textId="77777777" w:rsidR="00F05DC7" w:rsidRPr="00791D71" w:rsidRDefault="00F05DC7" w:rsidP="00A3786D">
                  <w:pPr>
                    <w:pStyle w:val="TableBodyText"/>
                  </w:pPr>
                  <w:r w:rsidRPr="00791D71">
                    <w:t>1.14</w:t>
                  </w:r>
                </w:p>
              </w:tc>
              <w:tc>
                <w:tcPr>
                  <w:tcW w:w="417" w:type="pct"/>
                  <w:tcBorders>
                    <w:top w:val="nil"/>
                    <w:left w:val="nil"/>
                    <w:bottom w:val="nil"/>
                    <w:right w:val="nil"/>
                  </w:tcBorders>
                  <w:shd w:val="clear" w:color="auto" w:fill="auto"/>
                  <w:tcMar>
                    <w:left w:w="0" w:type="dxa"/>
                    <w:right w:w="0" w:type="dxa"/>
                  </w:tcMar>
                  <w:vAlign w:val="center"/>
                  <w:hideMark/>
                </w:tcPr>
                <w:p w14:paraId="7954B43B" w14:textId="77777777" w:rsidR="00F05DC7" w:rsidRPr="00791D71" w:rsidRDefault="00F05DC7" w:rsidP="00A3786D">
                  <w:pPr>
                    <w:pStyle w:val="TableBodyText"/>
                  </w:pPr>
                  <w:r>
                    <w:t>4.22</w:t>
                  </w:r>
                </w:p>
              </w:tc>
            </w:tr>
            <w:tr w:rsidR="00F05DC7" w14:paraId="7954B446" w14:textId="77777777" w:rsidTr="00A3786D">
              <w:trPr>
                <w:trHeight w:val="283"/>
              </w:trPr>
              <w:tc>
                <w:tcPr>
                  <w:tcW w:w="1657" w:type="pct"/>
                  <w:tcBorders>
                    <w:top w:val="nil"/>
                    <w:left w:val="nil"/>
                    <w:bottom w:val="nil"/>
                    <w:right w:val="nil"/>
                  </w:tcBorders>
                  <w:shd w:val="clear" w:color="auto" w:fill="auto"/>
                  <w:tcMar>
                    <w:left w:w="0" w:type="dxa"/>
                    <w:right w:w="0" w:type="dxa"/>
                  </w:tcMar>
                  <w:vAlign w:val="center"/>
                  <w:hideMark/>
                </w:tcPr>
                <w:p w14:paraId="7954B43D" w14:textId="77777777" w:rsidR="00F05DC7" w:rsidRPr="00791D71" w:rsidRDefault="00F05DC7" w:rsidP="00A3786D">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417" w:type="pct"/>
                  <w:tcBorders>
                    <w:top w:val="nil"/>
                    <w:left w:val="nil"/>
                    <w:bottom w:val="nil"/>
                    <w:right w:val="nil"/>
                  </w:tcBorders>
                  <w:shd w:val="clear" w:color="auto" w:fill="auto"/>
                  <w:tcMar>
                    <w:left w:w="0" w:type="dxa"/>
                    <w:right w:w="0" w:type="dxa"/>
                  </w:tcMar>
                  <w:vAlign w:val="center"/>
                  <w:hideMark/>
                </w:tcPr>
                <w:p w14:paraId="7954B43E" w14:textId="77777777" w:rsidR="00F05DC7" w:rsidRPr="00791D71" w:rsidRDefault="00F05DC7" w:rsidP="00A3786D">
                  <w:pPr>
                    <w:spacing w:before="80"/>
                    <w:ind w:right="11"/>
                    <w:jc w:val="right"/>
                    <w:rPr>
                      <w:rFonts w:asciiTheme="minorHAnsi" w:hAnsiTheme="minorHAnsi" w:cstheme="minorHAnsi"/>
                      <w:b/>
                      <w:bCs/>
                      <w:color w:val="000000"/>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3F" w14:textId="77777777" w:rsidR="00F05DC7" w:rsidRPr="00791D71" w:rsidRDefault="00F05DC7" w:rsidP="00A3786D">
                  <w:pPr>
                    <w:spacing w:before="80"/>
                    <w:ind w:right="11"/>
                    <w:jc w:val="right"/>
                    <w:rPr>
                      <w:rFonts w:asciiTheme="minorHAnsi" w:hAnsiTheme="minorHAnsi" w:cstheme="minorHAnsi"/>
                      <w:sz w:val="18"/>
                      <w:szCs w:val="18"/>
                    </w:rPr>
                  </w:pPr>
                </w:p>
              </w:tc>
              <w:tc>
                <w:tcPr>
                  <w:tcW w:w="419" w:type="pct"/>
                  <w:tcBorders>
                    <w:top w:val="nil"/>
                    <w:left w:val="nil"/>
                    <w:bottom w:val="nil"/>
                    <w:right w:val="nil"/>
                  </w:tcBorders>
                  <w:shd w:val="clear" w:color="auto" w:fill="auto"/>
                  <w:tcMar>
                    <w:left w:w="0" w:type="dxa"/>
                    <w:right w:w="0" w:type="dxa"/>
                  </w:tcMar>
                  <w:vAlign w:val="center"/>
                  <w:hideMark/>
                </w:tcPr>
                <w:p w14:paraId="7954B440"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41"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42"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43"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44" w14:textId="77777777" w:rsidR="00F05DC7" w:rsidRPr="00791D71" w:rsidRDefault="00F05DC7" w:rsidP="00A3786D">
                  <w:pPr>
                    <w:spacing w:before="80"/>
                    <w:ind w:right="11"/>
                    <w:jc w:val="right"/>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B445" w14:textId="77777777" w:rsidR="00F05DC7" w:rsidRPr="00791D71" w:rsidRDefault="00F05DC7" w:rsidP="00A3786D">
                  <w:pPr>
                    <w:spacing w:before="80"/>
                    <w:ind w:right="11"/>
                    <w:jc w:val="right"/>
                    <w:rPr>
                      <w:rFonts w:asciiTheme="minorHAnsi" w:hAnsiTheme="minorHAnsi" w:cstheme="minorHAnsi"/>
                      <w:sz w:val="18"/>
                      <w:szCs w:val="18"/>
                    </w:rPr>
                  </w:pPr>
                </w:p>
              </w:tc>
            </w:tr>
            <w:tr w:rsidR="00F05DC7" w14:paraId="7954B450" w14:textId="77777777" w:rsidTr="00A3786D">
              <w:trPr>
                <w:trHeight w:val="283"/>
              </w:trPr>
              <w:tc>
                <w:tcPr>
                  <w:tcW w:w="1657" w:type="pct"/>
                  <w:tcBorders>
                    <w:top w:val="nil"/>
                    <w:left w:val="nil"/>
                    <w:bottom w:val="nil"/>
                    <w:right w:val="nil"/>
                  </w:tcBorders>
                  <w:shd w:val="clear" w:color="auto" w:fill="auto"/>
                  <w:tcMar>
                    <w:left w:w="0" w:type="dxa"/>
                    <w:right w:w="0" w:type="dxa"/>
                  </w:tcMar>
                  <w:vAlign w:val="center"/>
                  <w:hideMark/>
                </w:tcPr>
                <w:p w14:paraId="7954B447" w14:textId="77777777" w:rsidR="00F05DC7" w:rsidRPr="00791D71" w:rsidRDefault="00F05DC7" w:rsidP="00A3786D">
                  <w:pPr>
                    <w:pStyle w:val="TableBodyText"/>
                    <w:jc w:val="left"/>
                  </w:pPr>
                  <w:r>
                    <w:t>$m</w:t>
                  </w:r>
                </w:p>
              </w:tc>
              <w:tc>
                <w:tcPr>
                  <w:tcW w:w="417" w:type="pct"/>
                  <w:tcBorders>
                    <w:top w:val="nil"/>
                    <w:left w:val="nil"/>
                    <w:bottom w:val="nil"/>
                    <w:right w:val="nil"/>
                  </w:tcBorders>
                  <w:shd w:val="clear" w:color="auto" w:fill="auto"/>
                  <w:tcMar>
                    <w:left w:w="0" w:type="dxa"/>
                    <w:right w:w="0" w:type="dxa"/>
                  </w:tcMar>
                  <w:hideMark/>
                </w:tcPr>
                <w:p w14:paraId="7954B448" w14:textId="77777777" w:rsidR="00F05DC7" w:rsidRPr="00791D71" w:rsidRDefault="00F05DC7" w:rsidP="00A3786D">
                  <w:pPr>
                    <w:pStyle w:val="TableBodyText"/>
                  </w:pPr>
                  <w:r w:rsidRPr="00791D71">
                    <w:t>-</w:t>
                  </w:r>
                  <w:r>
                    <w:t>842</w:t>
                  </w:r>
                </w:p>
              </w:tc>
              <w:tc>
                <w:tcPr>
                  <w:tcW w:w="418" w:type="pct"/>
                  <w:tcBorders>
                    <w:top w:val="nil"/>
                    <w:left w:val="nil"/>
                    <w:bottom w:val="nil"/>
                    <w:right w:val="nil"/>
                  </w:tcBorders>
                  <w:shd w:val="clear" w:color="auto" w:fill="auto"/>
                  <w:tcMar>
                    <w:left w:w="0" w:type="dxa"/>
                    <w:right w:w="0" w:type="dxa"/>
                  </w:tcMar>
                  <w:hideMark/>
                </w:tcPr>
                <w:p w14:paraId="7954B449" w14:textId="77777777" w:rsidR="00F05DC7" w:rsidRPr="00791D71" w:rsidRDefault="00F05DC7" w:rsidP="00A3786D">
                  <w:pPr>
                    <w:pStyle w:val="TableBodyText"/>
                  </w:pPr>
                  <w:r w:rsidRPr="00791D71">
                    <w:t>-</w:t>
                  </w:r>
                  <w:r>
                    <w:t>681</w:t>
                  </w:r>
                </w:p>
              </w:tc>
              <w:tc>
                <w:tcPr>
                  <w:tcW w:w="419" w:type="pct"/>
                  <w:tcBorders>
                    <w:top w:val="nil"/>
                    <w:left w:val="nil"/>
                    <w:bottom w:val="nil"/>
                    <w:right w:val="nil"/>
                  </w:tcBorders>
                  <w:shd w:val="clear" w:color="auto" w:fill="auto"/>
                  <w:tcMar>
                    <w:left w:w="0" w:type="dxa"/>
                    <w:right w:w="0" w:type="dxa"/>
                  </w:tcMar>
                  <w:hideMark/>
                </w:tcPr>
                <w:p w14:paraId="7954B44A" w14:textId="77777777" w:rsidR="00F05DC7" w:rsidRPr="00791D71" w:rsidRDefault="00F05DC7" w:rsidP="00A3786D">
                  <w:pPr>
                    <w:pStyle w:val="TableBodyText"/>
                  </w:pPr>
                  <w:r>
                    <w:t>-526</w:t>
                  </w:r>
                </w:p>
              </w:tc>
              <w:tc>
                <w:tcPr>
                  <w:tcW w:w="418" w:type="pct"/>
                  <w:tcBorders>
                    <w:top w:val="nil"/>
                    <w:left w:val="nil"/>
                    <w:bottom w:val="nil"/>
                    <w:right w:val="nil"/>
                  </w:tcBorders>
                  <w:shd w:val="clear" w:color="auto" w:fill="auto"/>
                  <w:tcMar>
                    <w:left w:w="0" w:type="dxa"/>
                    <w:right w:w="0" w:type="dxa"/>
                  </w:tcMar>
                  <w:hideMark/>
                </w:tcPr>
                <w:p w14:paraId="7954B44B" w14:textId="77777777" w:rsidR="00F05DC7" w:rsidRPr="00791D71" w:rsidRDefault="00F05DC7" w:rsidP="00A3786D">
                  <w:pPr>
                    <w:pStyle w:val="TableBodyText"/>
                  </w:pPr>
                  <w:r>
                    <w:t>2 357</w:t>
                  </w:r>
                </w:p>
              </w:tc>
              <w:tc>
                <w:tcPr>
                  <w:tcW w:w="418" w:type="pct"/>
                  <w:tcBorders>
                    <w:top w:val="nil"/>
                    <w:left w:val="nil"/>
                    <w:bottom w:val="nil"/>
                    <w:right w:val="nil"/>
                  </w:tcBorders>
                  <w:shd w:val="clear" w:color="auto" w:fill="auto"/>
                  <w:tcMar>
                    <w:left w:w="0" w:type="dxa"/>
                    <w:right w:w="0" w:type="dxa"/>
                  </w:tcMar>
                  <w:hideMark/>
                </w:tcPr>
                <w:p w14:paraId="7954B44C" w14:textId="77777777" w:rsidR="00F05DC7" w:rsidRPr="00791D71" w:rsidRDefault="00F05DC7" w:rsidP="00A3786D">
                  <w:pPr>
                    <w:pStyle w:val="TableBodyText"/>
                  </w:pPr>
                  <w:r>
                    <w:t>-182</w:t>
                  </w:r>
                </w:p>
              </w:tc>
              <w:tc>
                <w:tcPr>
                  <w:tcW w:w="418" w:type="pct"/>
                  <w:tcBorders>
                    <w:top w:val="nil"/>
                    <w:left w:val="nil"/>
                    <w:bottom w:val="nil"/>
                    <w:right w:val="nil"/>
                  </w:tcBorders>
                  <w:shd w:val="clear" w:color="auto" w:fill="auto"/>
                  <w:tcMar>
                    <w:left w:w="0" w:type="dxa"/>
                    <w:right w:w="0" w:type="dxa"/>
                  </w:tcMar>
                  <w:hideMark/>
                </w:tcPr>
                <w:p w14:paraId="7954B44D" w14:textId="77777777" w:rsidR="00F05DC7" w:rsidRPr="00791D71" w:rsidRDefault="00F05DC7" w:rsidP="00A3786D">
                  <w:pPr>
                    <w:pStyle w:val="TableBodyText"/>
                  </w:pPr>
                  <w:r>
                    <w:t>-55</w:t>
                  </w:r>
                </w:p>
              </w:tc>
              <w:tc>
                <w:tcPr>
                  <w:tcW w:w="418" w:type="pct"/>
                  <w:tcBorders>
                    <w:top w:val="nil"/>
                    <w:left w:val="nil"/>
                    <w:bottom w:val="nil"/>
                    <w:right w:val="nil"/>
                  </w:tcBorders>
                  <w:shd w:val="clear" w:color="auto" w:fill="auto"/>
                  <w:tcMar>
                    <w:left w:w="0" w:type="dxa"/>
                    <w:right w:w="0" w:type="dxa"/>
                  </w:tcMar>
                  <w:hideMark/>
                </w:tcPr>
                <w:p w14:paraId="7954B44E" w14:textId="77777777" w:rsidR="00F05DC7" w:rsidRPr="00791D71" w:rsidRDefault="00F05DC7" w:rsidP="00A3786D">
                  <w:pPr>
                    <w:pStyle w:val="TableBodyText"/>
                  </w:pPr>
                  <w:r>
                    <w:t>-44</w:t>
                  </w:r>
                </w:p>
              </w:tc>
              <w:tc>
                <w:tcPr>
                  <w:tcW w:w="417" w:type="pct"/>
                  <w:tcBorders>
                    <w:top w:val="nil"/>
                    <w:left w:val="nil"/>
                    <w:bottom w:val="nil"/>
                    <w:right w:val="nil"/>
                  </w:tcBorders>
                  <w:shd w:val="clear" w:color="auto" w:fill="auto"/>
                  <w:tcMar>
                    <w:left w:w="0" w:type="dxa"/>
                    <w:right w:w="0" w:type="dxa"/>
                  </w:tcMar>
                  <w:hideMark/>
                </w:tcPr>
                <w:p w14:paraId="7954B44F" w14:textId="77777777" w:rsidR="00F05DC7" w:rsidRPr="00791D71" w:rsidRDefault="00F05DC7" w:rsidP="00A3786D">
                  <w:pPr>
                    <w:pStyle w:val="TableBodyText"/>
                  </w:pPr>
                  <w:r>
                    <w:t>-2</w:t>
                  </w:r>
                  <w:r w:rsidRPr="00791D71">
                    <w:t>6</w:t>
                  </w:r>
                </w:p>
              </w:tc>
            </w:tr>
            <w:tr w:rsidR="00F05DC7" w14:paraId="7954B45A" w14:textId="77777777" w:rsidTr="00A3786D">
              <w:trPr>
                <w:trHeight w:val="283"/>
              </w:trPr>
              <w:tc>
                <w:tcPr>
                  <w:tcW w:w="1657" w:type="pct"/>
                  <w:tcBorders>
                    <w:top w:val="nil"/>
                    <w:left w:val="nil"/>
                    <w:bottom w:val="nil"/>
                    <w:right w:val="nil"/>
                  </w:tcBorders>
                  <w:shd w:val="clear" w:color="auto" w:fill="auto"/>
                  <w:tcMar>
                    <w:left w:w="0" w:type="dxa"/>
                    <w:right w:w="0" w:type="dxa"/>
                  </w:tcMar>
                  <w:vAlign w:val="center"/>
                </w:tcPr>
                <w:p w14:paraId="7954B451" w14:textId="77777777" w:rsidR="00F05DC7" w:rsidRDefault="00F05DC7" w:rsidP="00A3786D">
                  <w:pPr>
                    <w:pStyle w:val="TableBodyText"/>
                    <w:jc w:val="left"/>
                  </w:pPr>
                  <w:r>
                    <w:t>$pc</w:t>
                  </w:r>
                </w:p>
              </w:tc>
              <w:tc>
                <w:tcPr>
                  <w:tcW w:w="417" w:type="pct"/>
                  <w:tcBorders>
                    <w:top w:val="nil"/>
                    <w:left w:val="nil"/>
                    <w:bottom w:val="nil"/>
                    <w:right w:val="nil"/>
                  </w:tcBorders>
                  <w:shd w:val="clear" w:color="auto" w:fill="auto"/>
                  <w:tcMar>
                    <w:left w:w="0" w:type="dxa"/>
                    <w:right w:w="0" w:type="dxa"/>
                  </w:tcMar>
                </w:tcPr>
                <w:p w14:paraId="7954B452" w14:textId="77777777" w:rsidR="00F05DC7" w:rsidRPr="00791D71" w:rsidRDefault="00F05DC7" w:rsidP="00A3786D">
                  <w:pPr>
                    <w:pStyle w:val="TableBodyText"/>
                  </w:pPr>
                  <w:r>
                    <w:t>-105</w:t>
                  </w:r>
                </w:p>
              </w:tc>
              <w:tc>
                <w:tcPr>
                  <w:tcW w:w="418" w:type="pct"/>
                  <w:tcBorders>
                    <w:top w:val="nil"/>
                    <w:left w:val="nil"/>
                    <w:bottom w:val="nil"/>
                    <w:right w:val="nil"/>
                  </w:tcBorders>
                  <w:shd w:val="clear" w:color="auto" w:fill="auto"/>
                  <w:tcMar>
                    <w:left w:w="0" w:type="dxa"/>
                    <w:right w:w="0" w:type="dxa"/>
                  </w:tcMar>
                </w:tcPr>
                <w:p w14:paraId="7954B453" w14:textId="77777777" w:rsidR="00F05DC7" w:rsidRPr="00791D71" w:rsidRDefault="00F05DC7" w:rsidP="00A3786D">
                  <w:pPr>
                    <w:pStyle w:val="TableBodyText"/>
                  </w:pPr>
                  <w:r>
                    <w:t>-105</w:t>
                  </w:r>
                </w:p>
              </w:tc>
              <w:tc>
                <w:tcPr>
                  <w:tcW w:w="419" w:type="pct"/>
                  <w:tcBorders>
                    <w:top w:val="nil"/>
                    <w:left w:val="nil"/>
                    <w:bottom w:val="nil"/>
                    <w:right w:val="nil"/>
                  </w:tcBorders>
                  <w:shd w:val="clear" w:color="auto" w:fill="auto"/>
                  <w:tcMar>
                    <w:left w:w="0" w:type="dxa"/>
                    <w:right w:w="0" w:type="dxa"/>
                  </w:tcMar>
                </w:tcPr>
                <w:p w14:paraId="7954B454" w14:textId="77777777" w:rsidR="00F05DC7" w:rsidRPr="00791D71" w:rsidRDefault="00F05DC7" w:rsidP="00A3786D">
                  <w:pPr>
                    <w:pStyle w:val="TableBodyText"/>
                  </w:pPr>
                  <w:r>
                    <w:t>-105</w:t>
                  </w:r>
                </w:p>
              </w:tc>
              <w:tc>
                <w:tcPr>
                  <w:tcW w:w="418" w:type="pct"/>
                  <w:tcBorders>
                    <w:top w:val="nil"/>
                    <w:left w:val="nil"/>
                    <w:bottom w:val="nil"/>
                    <w:right w:val="nil"/>
                  </w:tcBorders>
                  <w:shd w:val="clear" w:color="auto" w:fill="auto"/>
                  <w:tcMar>
                    <w:left w:w="0" w:type="dxa"/>
                    <w:right w:w="0" w:type="dxa"/>
                  </w:tcMar>
                </w:tcPr>
                <w:p w14:paraId="7954B455" w14:textId="77777777" w:rsidR="00F05DC7" w:rsidRPr="00791D71" w:rsidRDefault="00F05DC7" w:rsidP="00A3786D">
                  <w:pPr>
                    <w:pStyle w:val="TableBodyText"/>
                  </w:pPr>
                  <w:r>
                    <w:t>899</w:t>
                  </w:r>
                </w:p>
              </w:tc>
              <w:tc>
                <w:tcPr>
                  <w:tcW w:w="418" w:type="pct"/>
                  <w:tcBorders>
                    <w:top w:val="nil"/>
                    <w:left w:val="nil"/>
                    <w:bottom w:val="nil"/>
                    <w:right w:val="nil"/>
                  </w:tcBorders>
                  <w:shd w:val="clear" w:color="auto" w:fill="auto"/>
                  <w:tcMar>
                    <w:left w:w="0" w:type="dxa"/>
                    <w:right w:w="0" w:type="dxa"/>
                  </w:tcMar>
                </w:tcPr>
                <w:p w14:paraId="7954B456" w14:textId="77777777" w:rsidR="00F05DC7" w:rsidRPr="00791D71" w:rsidRDefault="00F05DC7" w:rsidP="00A3786D">
                  <w:pPr>
                    <w:pStyle w:val="TableBodyText"/>
                  </w:pPr>
                  <w:r>
                    <w:t>-105</w:t>
                  </w:r>
                </w:p>
              </w:tc>
              <w:tc>
                <w:tcPr>
                  <w:tcW w:w="418" w:type="pct"/>
                  <w:tcBorders>
                    <w:top w:val="nil"/>
                    <w:left w:val="nil"/>
                    <w:bottom w:val="nil"/>
                    <w:right w:val="nil"/>
                  </w:tcBorders>
                  <w:shd w:val="clear" w:color="auto" w:fill="auto"/>
                  <w:tcMar>
                    <w:left w:w="0" w:type="dxa"/>
                    <w:right w:w="0" w:type="dxa"/>
                  </w:tcMar>
                </w:tcPr>
                <w:p w14:paraId="7954B457" w14:textId="77777777" w:rsidR="00F05DC7" w:rsidRPr="00791D71" w:rsidRDefault="00F05DC7" w:rsidP="00A3786D">
                  <w:pPr>
                    <w:pStyle w:val="TableBodyText"/>
                  </w:pPr>
                  <w:r>
                    <w:t>-105</w:t>
                  </w:r>
                </w:p>
              </w:tc>
              <w:tc>
                <w:tcPr>
                  <w:tcW w:w="418" w:type="pct"/>
                  <w:tcBorders>
                    <w:top w:val="nil"/>
                    <w:left w:val="nil"/>
                    <w:bottom w:val="nil"/>
                    <w:right w:val="nil"/>
                  </w:tcBorders>
                  <w:shd w:val="clear" w:color="auto" w:fill="auto"/>
                  <w:tcMar>
                    <w:left w:w="0" w:type="dxa"/>
                    <w:right w:w="0" w:type="dxa"/>
                  </w:tcMar>
                </w:tcPr>
                <w:p w14:paraId="7954B458" w14:textId="77777777" w:rsidR="00F05DC7" w:rsidRPr="00791D71" w:rsidRDefault="00F05DC7" w:rsidP="00A3786D">
                  <w:pPr>
                    <w:pStyle w:val="TableBodyText"/>
                  </w:pPr>
                  <w:r>
                    <w:t>-105</w:t>
                  </w:r>
                </w:p>
              </w:tc>
              <w:tc>
                <w:tcPr>
                  <w:tcW w:w="417" w:type="pct"/>
                  <w:tcBorders>
                    <w:top w:val="nil"/>
                    <w:left w:val="nil"/>
                    <w:bottom w:val="nil"/>
                    <w:right w:val="nil"/>
                  </w:tcBorders>
                  <w:shd w:val="clear" w:color="auto" w:fill="auto"/>
                  <w:tcMar>
                    <w:left w:w="0" w:type="dxa"/>
                    <w:right w:w="0" w:type="dxa"/>
                  </w:tcMar>
                </w:tcPr>
                <w:p w14:paraId="7954B459" w14:textId="77777777" w:rsidR="00F05DC7" w:rsidRPr="00791D71" w:rsidRDefault="00F05DC7" w:rsidP="00A3786D">
                  <w:pPr>
                    <w:pStyle w:val="TableBodyText"/>
                  </w:pPr>
                  <w:r>
                    <w:t>-105</w:t>
                  </w:r>
                </w:p>
              </w:tc>
            </w:tr>
            <w:tr w:rsidR="00F05DC7" w14:paraId="7954B464" w14:textId="77777777" w:rsidTr="00A3786D">
              <w:trPr>
                <w:trHeight w:val="283"/>
              </w:trPr>
              <w:tc>
                <w:tcPr>
                  <w:tcW w:w="1657" w:type="pct"/>
                  <w:tcBorders>
                    <w:top w:val="nil"/>
                    <w:left w:val="nil"/>
                    <w:bottom w:val="nil"/>
                    <w:right w:val="nil"/>
                  </w:tcBorders>
                  <w:shd w:val="clear" w:color="auto" w:fill="auto"/>
                  <w:tcMar>
                    <w:left w:w="0" w:type="dxa"/>
                    <w:right w:w="0" w:type="dxa"/>
                  </w:tcMar>
                  <w:vAlign w:val="center"/>
                </w:tcPr>
                <w:p w14:paraId="7954B45B" w14:textId="77777777" w:rsidR="00F05DC7" w:rsidRPr="00791D71" w:rsidRDefault="00F05DC7" w:rsidP="00A3786D">
                  <w:pPr>
                    <w:pStyle w:val="TableBodyText"/>
                    <w:jc w:val="left"/>
                  </w:pPr>
                  <w:r w:rsidRPr="002600E3">
                    <w:t>% change in State revenue</w:t>
                  </w:r>
                  <w:r w:rsidRPr="002600E3" w:rsidDel="00CE2770">
                    <w:t xml:space="preserve"> </w:t>
                  </w:r>
                </w:p>
              </w:tc>
              <w:tc>
                <w:tcPr>
                  <w:tcW w:w="417" w:type="pct"/>
                  <w:tcBorders>
                    <w:top w:val="nil"/>
                    <w:left w:val="nil"/>
                    <w:bottom w:val="nil"/>
                    <w:right w:val="nil"/>
                  </w:tcBorders>
                  <w:shd w:val="clear" w:color="auto" w:fill="auto"/>
                  <w:tcMar>
                    <w:left w:w="0" w:type="dxa"/>
                    <w:right w:w="0" w:type="dxa"/>
                  </w:tcMar>
                  <w:vAlign w:val="bottom"/>
                </w:tcPr>
                <w:p w14:paraId="7954B45C" w14:textId="77777777" w:rsidR="00F05DC7" w:rsidRPr="00CE2770" w:rsidRDefault="00F05DC7" w:rsidP="00A3786D">
                  <w:pPr>
                    <w:pStyle w:val="TableBodyText"/>
                  </w:pPr>
                  <w:r>
                    <w:t>-1.0</w:t>
                  </w:r>
                </w:p>
              </w:tc>
              <w:tc>
                <w:tcPr>
                  <w:tcW w:w="418" w:type="pct"/>
                  <w:tcBorders>
                    <w:top w:val="nil"/>
                    <w:left w:val="nil"/>
                    <w:bottom w:val="nil"/>
                    <w:right w:val="nil"/>
                  </w:tcBorders>
                  <w:shd w:val="clear" w:color="auto" w:fill="auto"/>
                  <w:tcMar>
                    <w:left w:w="0" w:type="dxa"/>
                    <w:right w:w="0" w:type="dxa"/>
                  </w:tcMar>
                  <w:vAlign w:val="bottom"/>
                </w:tcPr>
                <w:p w14:paraId="7954B45D" w14:textId="77777777" w:rsidR="00F05DC7" w:rsidRPr="00CE2770" w:rsidRDefault="00F05DC7" w:rsidP="00A3786D">
                  <w:pPr>
                    <w:pStyle w:val="TableBodyText"/>
                  </w:pPr>
                  <w:r>
                    <w:t>-1.0</w:t>
                  </w:r>
                </w:p>
              </w:tc>
              <w:tc>
                <w:tcPr>
                  <w:tcW w:w="419" w:type="pct"/>
                  <w:tcBorders>
                    <w:top w:val="nil"/>
                    <w:left w:val="nil"/>
                    <w:bottom w:val="nil"/>
                    <w:right w:val="nil"/>
                  </w:tcBorders>
                  <w:shd w:val="clear" w:color="auto" w:fill="auto"/>
                  <w:tcMar>
                    <w:left w:w="0" w:type="dxa"/>
                    <w:right w:w="0" w:type="dxa"/>
                  </w:tcMar>
                  <w:vAlign w:val="bottom"/>
                </w:tcPr>
                <w:p w14:paraId="7954B45E" w14:textId="77777777" w:rsidR="00F05DC7" w:rsidRPr="00CE2770" w:rsidRDefault="00F05DC7" w:rsidP="00A3786D">
                  <w:pPr>
                    <w:pStyle w:val="TableBodyText"/>
                  </w:pPr>
                  <w:r>
                    <w:t>-0.9</w:t>
                  </w:r>
                </w:p>
              </w:tc>
              <w:tc>
                <w:tcPr>
                  <w:tcW w:w="418" w:type="pct"/>
                  <w:tcBorders>
                    <w:top w:val="nil"/>
                    <w:left w:val="nil"/>
                    <w:bottom w:val="nil"/>
                    <w:right w:val="nil"/>
                  </w:tcBorders>
                  <w:shd w:val="clear" w:color="auto" w:fill="auto"/>
                  <w:tcMar>
                    <w:left w:w="0" w:type="dxa"/>
                    <w:right w:w="0" w:type="dxa"/>
                  </w:tcMar>
                  <w:vAlign w:val="bottom"/>
                </w:tcPr>
                <w:p w14:paraId="7954B45F" w14:textId="77777777" w:rsidR="00F05DC7" w:rsidRPr="00CE2770" w:rsidRDefault="00F05DC7" w:rsidP="00A3786D">
                  <w:pPr>
                    <w:pStyle w:val="TableBodyText"/>
                  </w:pPr>
                  <w:r>
                    <w:t>8.0</w:t>
                  </w:r>
                </w:p>
              </w:tc>
              <w:tc>
                <w:tcPr>
                  <w:tcW w:w="418" w:type="pct"/>
                  <w:tcBorders>
                    <w:top w:val="nil"/>
                    <w:left w:val="nil"/>
                    <w:bottom w:val="nil"/>
                    <w:right w:val="nil"/>
                  </w:tcBorders>
                  <w:shd w:val="clear" w:color="auto" w:fill="auto"/>
                  <w:tcMar>
                    <w:left w:w="0" w:type="dxa"/>
                    <w:right w:w="0" w:type="dxa"/>
                  </w:tcMar>
                  <w:vAlign w:val="bottom"/>
                </w:tcPr>
                <w:p w14:paraId="7954B460" w14:textId="77777777" w:rsidR="00F05DC7" w:rsidRPr="00CE2770" w:rsidRDefault="00F05DC7" w:rsidP="00A3786D">
                  <w:pPr>
                    <w:pStyle w:val="TableBodyText"/>
                  </w:pPr>
                  <w:r>
                    <w:t>-0.9</w:t>
                  </w:r>
                </w:p>
              </w:tc>
              <w:tc>
                <w:tcPr>
                  <w:tcW w:w="418" w:type="pct"/>
                  <w:tcBorders>
                    <w:top w:val="nil"/>
                    <w:left w:val="nil"/>
                    <w:bottom w:val="nil"/>
                    <w:right w:val="nil"/>
                  </w:tcBorders>
                  <w:shd w:val="clear" w:color="auto" w:fill="auto"/>
                  <w:tcMar>
                    <w:left w:w="0" w:type="dxa"/>
                    <w:right w:w="0" w:type="dxa"/>
                  </w:tcMar>
                  <w:vAlign w:val="bottom"/>
                </w:tcPr>
                <w:p w14:paraId="7954B461" w14:textId="77777777" w:rsidR="00F05DC7" w:rsidRPr="00CE2770" w:rsidRDefault="00F05DC7" w:rsidP="00A3786D">
                  <w:pPr>
                    <w:pStyle w:val="TableBodyText"/>
                  </w:pPr>
                  <w:r>
                    <w:t>-0.9</w:t>
                  </w:r>
                </w:p>
              </w:tc>
              <w:tc>
                <w:tcPr>
                  <w:tcW w:w="418" w:type="pct"/>
                  <w:tcBorders>
                    <w:top w:val="nil"/>
                    <w:left w:val="nil"/>
                    <w:bottom w:val="nil"/>
                    <w:right w:val="nil"/>
                  </w:tcBorders>
                  <w:shd w:val="clear" w:color="auto" w:fill="auto"/>
                  <w:tcMar>
                    <w:left w:w="0" w:type="dxa"/>
                    <w:right w:w="0" w:type="dxa"/>
                  </w:tcMar>
                  <w:vAlign w:val="bottom"/>
                </w:tcPr>
                <w:p w14:paraId="7954B462" w14:textId="77777777" w:rsidR="00F05DC7" w:rsidRPr="00CE2770" w:rsidRDefault="00F05DC7" w:rsidP="00A3786D">
                  <w:pPr>
                    <w:pStyle w:val="TableBodyText"/>
                  </w:pPr>
                  <w:r>
                    <w:t>-0.8</w:t>
                  </w:r>
                </w:p>
              </w:tc>
              <w:tc>
                <w:tcPr>
                  <w:tcW w:w="417" w:type="pct"/>
                  <w:tcBorders>
                    <w:top w:val="nil"/>
                    <w:left w:val="nil"/>
                    <w:bottom w:val="nil"/>
                    <w:right w:val="nil"/>
                  </w:tcBorders>
                  <w:shd w:val="clear" w:color="auto" w:fill="auto"/>
                  <w:tcMar>
                    <w:left w:w="0" w:type="dxa"/>
                    <w:right w:w="0" w:type="dxa"/>
                  </w:tcMar>
                  <w:vAlign w:val="bottom"/>
                </w:tcPr>
                <w:p w14:paraId="7954B463" w14:textId="77777777" w:rsidR="00F05DC7" w:rsidRPr="00CE2770" w:rsidRDefault="00F05DC7" w:rsidP="00A3786D">
                  <w:pPr>
                    <w:pStyle w:val="TableBodyText"/>
                  </w:pPr>
                  <w:r>
                    <w:t>-0.5</w:t>
                  </w:r>
                </w:p>
              </w:tc>
            </w:tr>
            <w:tr w:rsidR="00F05DC7" w14:paraId="7954B46E" w14:textId="77777777" w:rsidTr="00A3786D">
              <w:trPr>
                <w:trHeight w:val="283"/>
              </w:trPr>
              <w:tc>
                <w:tcPr>
                  <w:tcW w:w="1657" w:type="pct"/>
                  <w:tcBorders>
                    <w:top w:val="nil"/>
                    <w:left w:val="nil"/>
                    <w:bottom w:val="nil"/>
                    <w:right w:val="nil"/>
                  </w:tcBorders>
                  <w:shd w:val="clear" w:color="auto" w:fill="auto"/>
                  <w:tcMar>
                    <w:left w:w="0" w:type="dxa"/>
                    <w:right w:w="0" w:type="dxa"/>
                  </w:tcMar>
                  <w:vAlign w:val="center"/>
                </w:tcPr>
                <w:p w14:paraId="7954B465" w14:textId="77777777" w:rsidR="00F05DC7" w:rsidRDefault="00F05DC7" w:rsidP="00A3786D">
                  <w:pPr>
                    <w:rPr>
                      <w:rFonts w:asciiTheme="minorHAnsi" w:hAnsiTheme="minorHAnsi" w:cstheme="minorHAnsi"/>
                      <w:color w:val="000000"/>
                      <w:sz w:val="18"/>
                      <w:szCs w:val="18"/>
                    </w:rPr>
                  </w:pPr>
                  <w:r>
                    <w:rPr>
                      <w:rFonts w:ascii="Arial" w:hAnsi="Arial" w:cs="Arial"/>
                      <w:b/>
                      <w:bCs/>
                      <w:color w:val="000000"/>
                      <w:sz w:val="18"/>
                      <w:szCs w:val="18"/>
                    </w:rPr>
                    <w:t>Total redistribution from EPC</w:t>
                  </w:r>
                </w:p>
              </w:tc>
              <w:tc>
                <w:tcPr>
                  <w:tcW w:w="417" w:type="pct"/>
                  <w:tcBorders>
                    <w:top w:val="nil"/>
                    <w:left w:val="nil"/>
                    <w:bottom w:val="nil"/>
                    <w:right w:val="nil"/>
                  </w:tcBorders>
                  <w:shd w:val="clear" w:color="auto" w:fill="auto"/>
                  <w:tcMar>
                    <w:left w:w="0" w:type="dxa"/>
                    <w:right w:w="0" w:type="dxa"/>
                  </w:tcMar>
                  <w:vAlign w:val="center"/>
                </w:tcPr>
                <w:p w14:paraId="7954B466"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467" w14:textId="77777777" w:rsidR="00F05DC7" w:rsidRPr="00791D71" w:rsidRDefault="00F05DC7" w:rsidP="00A3786D">
                  <w:pPr>
                    <w:ind w:right="6"/>
                    <w:jc w:val="right"/>
                    <w:rPr>
                      <w:rFonts w:asciiTheme="minorHAnsi" w:hAnsiTheme="minorHAnsi" w:cstheme="minorHAnsi"/>
                      <w:color w:val="000000"/>
                      <w:sz w:val="18"/>
                      <w:szCs w:val="18"/>
                    </w:rPr>
                  </w:pPr>
                </w:p>
              </w:tc>
              <w:tc>
                <w:tcPr>
                  <w:tcW w:w="419" w:type="pct"/>
                  <w:tcBorders>
                    <w:top w:val="nil"/>
                    <w:left w:val="nil"/>
                    <w:bottom w:val="nil"/>
                    <w:right w:val="nil"/>
                  </w:tcBorders>
                  <w:shd w:val="clear" w:color="auto" w:fill="auto"/>
                  <w:tcMar>
                    <w:left w:w="0" w:type="dxa"/>
                    <w:right w:w="0" w:type="dxa"/>
                  </w:tcMar>
                  <w:vAlign w:val="center"/>
                </w:tcPr>
                <w:p w14:paraId="7954B468"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469"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46A"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46B"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46C" w14:textId="77777777" w:rsidR="00F05DC7" w:rsidRPr="00791D71" w:rsidRDefault="00F05DC7" w:rsidP="00A3786D">
                  <w:pPr>
                    <w:ind w:right="6"/>
                    <w:jc w:val="right"/>
                    <w:rPr>
                      <w:rFonts w:asciiTheme="minorHAnsi" w:hAnsiTheme="minorHAnsi" w:cstheme="minorHAnsi"/>
                      <w:color w:val="000000"/>
                      <w:sz w:val="18"/>
                      <w:szCs w:val="18"/>
                    </w:rPr>
                  </w:pPr>
                </w:p>
              </w:tc>
              <w:tc>
                <w:tcPr>
                  <w:tcW w:w="417" w:type="pct"/>
                  <w:tcBorders>
                    <w:top w:val="nil"/>
                    <w:left w:val="nil"/>
                    <w:bottom w:val="nil"/>
                    <w:right w:val="nil"/>
                  </w:tcBorders>
                  <w:shd w:val="clear" w:color="auto" w:fill="auto"/>
                  <w:tcMar>
                    <w:left w:w="0" w:type="dxa"/>
                    <w:right w:w="0" w:type="dxa"/>
                  </w:tcMar>
                  <w:vAlign w:val="center"/>
                </w:tcPr>
                <w:p w14:paraId="7954B46D" w14:textId="77777777" w:rsidR="00F05DC7" w:rsidRPr="00791D71" w:rsidRDefault="00F05DC7" w:rsidP="00A3786D">
                  <w:pPr>
                    <w:ind w:right="6"/>
                    <w:jc w:val="right"/>
                    <w:rPr>
                      <w:rFonts w:asciiTheme="minorHAnsi" w:hAnsiTheme="minorHAnsi" w:cstheme="minorHAnsi"/>
                      <w:color w:val="000000"/>
                      <w:sz w:val="18"/>
                      <w:szCs w:val="18"/>
                    </w:rPr>
                  </w:pPr>
                </w:p>
              </w:tc>
            </w:tr>
            <w:tr w:rsidR="00F05DC7" w14:paraId="7954B471" w14:textId="77777777" w:rsidTr="00A3786D">
              <w:trPr>
                <w:trHeight w:val="283"/>
              </w:trPr>
              <w:tc>
                <w:tcPr>
                  <w:tcW w:w="1657" w:type="pct"/>
                  <w:tcBorders>
                    <w:top w:val="nil"/>
                    <w:left w:val="nil"/>
                    <w:bottom w:val="nil"/>
                    <w:right w:val="nil"/>
                  </w:tcBorders>
                  <w:shd w:val="clear" w:color="auto" w:fill="auto"/>
                  <w:tcMar>
                    <w:left w:w="0" w:type="dxa"/>
                    <w:right w:w="0" w:type="dxa"/>
                  </w:tcMar>
                  <w:vAlign w:val="center"/>
                </w:tcPr>
                <w:p w14:paraId="7954B46F" w14:textId="77777777" w:rsidR="00F05DC7" w:rsidRDefault="00F05DC7" w:rsidP="00A3786D">
                  <w:pPr>
                    <w:pStyle w:val="TableBodyText"/>
                    <w:jc w:val="left"/>
                    <w:rPr>
                      <w:rFonts w:asciiTheme="minorHAnsi" w:hAnsiTheme="minorHAnsi" w:cstheme="minorHAnsi"/>
                    </w:rPr>
                  </w:pPr>
                  <w:r>
                    <w:t>Current approach</w:t>
                  </w:r>
                </w:p>
              </w:tc>
              <w:tc>
                <w:tcPr>
                  <w:tcW w:w="3343" w:type="pct"/>
                  <w:gridSpan w:val="8"/>
                  <w:tcBorders>
                    <w:top w:val="nil"/>
                    <w:left w:val="nil"/>
                    <w:bottom w:val="nil"/>
                    <w:right w:val="nil"/>
                  </w:tcBorders>
                  <w:shd w:val="clear" w:color="auto" w:fill="auto"/>
                  <w:tcMar>
                    <w:left w:w="0" w:type="dxa"/>
                    <w:right w:w="0" w:type="dxa"/>
                  </w:tcMar>
                  <w:vAlign w:val="center"/>
                </w:tcPr>
                <w:p w14:paraId="7954B470" w14:textId="77777777" w:rsidR="00F05DC7" w:rsidRDefault="00F05DC7" w:rsidP="00A3786D">
                  <w:pPr>
                    <w:pStyle w:val="TableBodyText"/>
                    <w:rPr>
                      <w:rFonts w:asciiTheme="minorHAnsi" w:hAnsiTheme="minorHAnsi" w:cstheme="minorHAnsi"/>
                    </w:rPr>
                  </w:pPr>
                  <w:r>
                    <w:t>$6 840 million</w:t>
                  </w:r>
                </w:p>
              </w:tc>
            </w:tr>
            <w:tr w:rsidR="00F05DC7" w14:paraId="7954B474" w14:textId="77777777" w:rsidTr="00A3786D">
              <w:trPr>
                <w:trHeight w:val="283"/>
              </w:trPr>
              <w:tc>
                <w:tcPr>
                  <w:tcW w:w="2911" w:type="pct"/>
                  <w:gridSpan w:val="4"/>
                  <w:tcBorders>
                    <w:top w:val="nil"/>
                    <w:left w:val="nil"/>
                    <w:bottom w:val="single" w:sz="8" w:space="0" w:color="BFBFBF"/>
                    <w:right w:val="nil"/>
                  </w:tcBorders>
                  <w:shd w:val="clear" w:color="auto" w:fill="auto"/>
                  <w:tcMar>
                    <w:left w:w="0" w:type="dxa"/>
                    <w:right w:w="0" w:type="dxa"/>
                  </w:tcMar>
                  <w:vAlign w:val="center"/>
                </w:tcPr>
                <w:p w14:paraId="7954B472" w14:textId="77777777" w:rsidR="00F05DC7" w:rsidRDefault="00F05DC7" w:rsidP="00A3786D">
                  <w:pPr>
                    <w:pStyle w:val="TableBodyText"/>
                    <w:jc w:val="left"/>
                    <w:rPr>
                      <w:rFonts w:asciiTheme="minorHAnsi" w:hAnsiTheme="minorHAnsi" w:cstheme="minorHAnsi"/>
                    </w:rPr>
                  </w:pPr>
                  <w:r>
                    <w:t xml:space="preserve">Equalisation </w:t>
                  </w:r>
                  <w:r>
                    <w:rPr>
                      <w:rFonts w:asciiTheme="minorHAnsi" w:hAnsiTheme="minorHAnsi" w:cstheme="minorHAnsi"/>
                    </w:rPr>
                    <w:t>to the second strongest State</w:t>
                  </w:r>
                </w:p>
              </w:tc>
              <w:tc>
                <w:tcPr>
                  <w:tcW w:w="2089" w:type="pct"/>
                  <w:gridSpan w:val="5"/>
                  <w:tcBorders>
                    <w:top w:val="nil"/>
                    <w:left w:val="nil"/>
                    <w:bottom w:val="single" w:sz="8" w:space="0" w:color="BFBFBF"/>
                    <w:right w:val="nil"/>
                  </w:tcBorders>
                  <w:shd w:val="clear" w:color="auto" w:fill="auto"/>
                  <w:tcMar>
                    <w:left w:w="0" w:type="dxa"/>
                    <w:right w:w="0" w:type="dxa"/>
                  </w:tcMar>
                  <w:vAlign w:val="center"/>
                </w:tcPr>
                <w:p w14:paraId="7954B473" w14:textId="77777777" w:rsidR="00F05DC7" w:rsidRDefault="00F05DC7" w:rsidP="00A3786D">
                  <w:pPr>
                    <w:pStyle w:val="TableBodyText"/>
                    <w:rPr>
                      <w:rFonts w:asciiTheme="minorHAnsi" w:hAnsiTheme="minorHAnsi" w:cstheme="minorHAnsi"/>
                    </w:rPr>
                  </w:pPr>
                  <w:r>
                    <w:t>$</w:t>
                  </w:r>
                  <w:r w:rsidRPr="00A403FF">
                    <w:t>6</w:t>
                  </w:r>
                  <w:r>
                    <w:t> 006 million</w:t>
                  </w:r>
                </w:p>
              </w:tc>
            </w:tr>
          </w:tbl>
          <w:p w14:paraId="7954B475" w14:textId="77777777" w:rsidR="00F05DC7" w:rsidRDefault="00F05DC7" w:rsidP="00A3786D">
            <w:pPr>
              <w:pStyle w:val="Box"/>
            </w:pPr>
          </w:p>
        </w:tc>
      </w:tr>
      <w:tr w:rsidR="00F05DC7" w14:paraId="7954B478" w14:textId="77777777" w:rsidTr="00A3786D">
        <w:tc>
          <w:tcPr>
            <w:tcW w:w="5000" w:type="pct"/>
            <w:tcBorders>
              <w:top w:val="nil"/>
              <w:left w:val="nil"/>
              <w:bottom w:val="nil"/>
              <w:right w:val="nil"/>
            </w:tcBorders>
            <w:shd w:val="clear" w:color="auto" w:fill="auto"/>
          </w:tcPr>
          <w:p w14:paraId="7954B477"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47A" w14:textId="77777777" w:rsidTr="00A3786D">
        <w:trPr>
          <w:trHeight w:val="68"/>
        </w:trPr>
        <w:tc>
          <w:tcPr>
            <w:tcW w:w="5000" w:type="pct"/>
            <w:tcBorders>
              <w:top w:val="nil"/>
              <w:left w:val="nil"/>
              <w:bottom w:val="single" w:sz="6" w:space="0" w:color="78A22F"/>
              <w:right w:val="nil"/>
            </w:tcBorders>
            <w:shd w:val="clear" w:color="auto" w:fill="auto"/>
          </w:tcPr>
          <w:p w14:paraId="7954B479" w14:textId="77777777" w:rsidR="00F05DC7" w:rsidRDefault="00F05DC7" w:rsidP="00A3786D">
            <w:pPr>
              <w:pStyle w:val="Box"/>
              <w:spacing w:before="0" w:line="120" w:lineRule="exact"/>
            </w:pPr>
          </w:p>
        </w:tc>
      </w:tr>
    </w:tbl>
    <w:p w14:paraId="7954B47B" w14:textId="77777777" w:rsidR="00F05DC7" w:rsidRDefault="00F05DC7" w:rsidP="00A3786D">
      <w:pPr>
        <w:pStyle w:val="BodyText"/>
      </w:pPr>
    </w:p>
    <w:p w14:paraId="7954B47C" w14:textId="77777777" w:rsidR="00F05DC7" w:rsidRDefault="00F05DC7" w:rsidP="00A3786D">
      <w:pPr>
        <w:pStyle w:val="Heading4"/>
      </w:pPr>
      <w:r>
        <w:lastRenderedPageBreak/>
        <w:t>Equalisation to the average of the fiscally strong States</w:t>
      </w:r>
    </w:p>
    <w:p w14:paraId="7954B47D" w14:textId="77777777" w:rsidR="00F05DC7" w:rsidRDefault="00F05DC7" w:rsidP="00A3786D">
      <w:pPr>
        <w:pStyle w:val="BodyText"/>
      </w:pPr>
      <w:r>
        <w:t>A similar approach is to set the equalisation standard to the weighted average of the fiscally stronger States. For the 2018</w:t>
      </w:r>
      <w:r>
        <w:noBreakHyphen/>
        <w:t>19 application year relativity calculations, the average relativity of the fiscally strong States was 0.85. This approach raises States to this standard, with the remaining GST pool distributed to all States on an EPC basis. For 2018</w:t>
      </w:r>
      <w:r>
        <w:noBreakHyphen/>
        <w:t>19, this approach would reduce GST payments to all States but Western Australia (table C.4).</w:t>
      </w:r>
    </w:p>
    <w:p w14:paraId="7954B47E"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481" w14:textId="77777777" w:rsidTr="001113B1">
        <w:trPr>
          <w:tblHeader/>
        </w:trPr>
        <w:tc>
          <w:tcPr>
            <w:tcW w:w="5000" w:type="pct"/>
            <w:tcBorders>
              <w:top w:val="single" w:sz="6" w:space="0" w:color="78A22F"/>
              <w:left w:val="nil"/>
              <w:bottom w:val="nil"/>
              <w:right w:val="nil"/>
            </w:tcBorders>
            <w:shd w:val="clear" w:color="auto" w:fill="auto"/>
          </w:tcPr>
          <w:p w14:paraId="7954B47F" w14:textId="302F8717" w:rsidR="00F05DC7" w:rsidRPr="008709F8" w:rsidRDefault="00F05DC7" w:rsidP="00A3786D">
            <w:pPr>
              <w:pStyle w:val="TableTitle"/>
            </w:pPr>
            <w:r w:rsidRPr="008709F8">
              <w:rPr>
                <w:b w:val="0"/>
              </w:rPr>
              <w:t>Table C.</w:t>
            </w:r>
            <w:r>
              <w:rPr>
                <w:b w:val="0"/>
              </w:rPr>
              <w:t>4</w:t>
            </w:r>
            <w:r w:rsidRPr="008709F8">
              <w:tab/>
              <w:t>Effects of equalisation to the average of</w:t>
            </w:r>
            <w:r>
              <w:t xml:space="preserve"> the</w:t>
            </w:r>
            <w:r w:rsidRPr="008709F8">
              <w:t xml:space="preserve"> fiscally strong States</w:t>
            </w:r>
          </w:p>
          <w:p w14:paraId="7954B480" w14:textId="77777777" w:rsidR="00F05DC7" w:rsidRPr="008709F8" w:rsidRDefault="00F05DC7" w:rsidP="00A3786D">
            <w:pPr>
              <w:pStyle w:val="Subtitle"/>
            </w:pPr>
            <w:r w:rsidRPr="008709F8">
              <w:t>201</w:t>
            </w:r>
            <w:r>
              <w:t>8</w:t>
            </w:r>
            <w:r w:rsidRPr="008709F8">
              <w:noBreakHyphen/>
              <w:t>1</w:t>
            </w:r>
            <w:r>
              <w:t>9</w:t>
            </w:r>
            <w:r w:rsidRPr="008709F8">
              <w:t xml:space="preserve"> GST payments and relativities</w:t>
            </w:r>
            <w:r w:rsidRPr="008709F8" w:rsidDel="004B438C">
              <w:t xml:space="preserve"> </w:t>
            </w:r>
          </w:p>
        </w:tc>
      </w:tr>
      <w:tr w:rsidR="00F05DC7" w14:paraId="7954B4E3"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809"/>
              <w:gridCol w:w="696"/>
              <w:gridCol w:w="697"/>
              <w:gridCol w:w="701"/>
              <w:gridCol w:w="811"/>
              <w:gridCol w:w="697"/>
              <w:gridCol w:w="699"/>
              <w:gridCol w:w="699"/>
              <w:gridCol w:w="696"/>
            </w:tblGrid>
            <w:tr w:rsidR="00F05DC7" w:rsidRPr="0004120D" w14:paraId="7954B48B" w14:textId="77777777" w:rsidTr="001113B1">
              <w:trPr>
                <w:trHeight w:val="288"/>
                <w:tblHeader/>
              </w:trPr>
              <w:tc>
                <w:tcPr>
                  <w:tcW w:w="165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82" w14:textId="77777777" w:rsidR="00F05DC7" w:rsidRPr="008709F8" w:rsidRDefault="00F05DC7" w:rsidP="00A3786D">
                  <w:pPr>
                    <w:rPr>
                      <w:sz w:val="20"/>
                      <w:szCs w:val="20"/>
                    </w:rPr>
                  </w:pPr>
                  <w:r w:rsidRPr="008709F8">
                    <w:rPr>
                      <w:sz w:val="20"/>
                      <w:szCs w:val="20"/>
                    </w:rPr>
                    <w:t> </w:t>
                  </w:r>
                </w:p>
              </w:tc>
              <w:tc>
                <w:tcPr>
                  <w:tcW w:w="40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83" w14:textId="77777777" w:rsidR="00F05DC7" w:rsidRPr="008709F8" w:rsidRDefault="00F05DC7" w:rsidP="00A3786D">
                  <w:pPr>
                    <w:pStyle w:val="TableColumnHeading"/>
                    <w:ind w:right="11"/>
                  </w:pPr>
                  <w:r w:rsidRPr="008709F8">
                    <w:t>NSW</w:t>
                  </w:r>
                </w:p>
              </w:tc>
              <w:tc>
                <w:tcPr>
                  <w:tcW w:w="41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84" w14:textId="77777777" w:rsidR="00F05DC7" w:rsidRPr="008709F8" w:rsidRDefault="00F05DC7" w:rsidP="00A3786D">
                  <w:pPr>
                    <w:pStyle w:val="TableColumnHeading"/>
                    <w:ind w:right="11"/>
                  </w:pPr>
                  <w:r w:rsidRPr="008709F8">
                    <w:t>Vic</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85" w14:textId="77777777" w:rsidR="00F05DC7" w:rsidRPr="008709F8" w:rsidRDefault="00F05DC7" w:rsidP="00A3786D">
                  <w:pPr>
                    <w:pStyle w:val="TableColumnHeading"/>
                    <w:ind w:right="11"/>
                  </w:pPr>
                  <w:r w:rsidRPr="008709F8">
                    <w:t>Qld</w:t>
                  </w:r>
                </w:p>
              </w:tc>
              <w:tc>
                <w:tcPr>
                  <w:tcW w:w="47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86" w14:textId="77777777" w:rsidR="00F05DC7" w:rsidRPr="008709F8" w:rsidRDefault="00F05DC7" w:rsidP="00A3786D">
                  <w:pPr>
                    <w:pStyle w:val="TableColumnHeading"/>
                    <w:ind w:right="11"/>
                  </w:pPr>
                  <w:r w:rsidRPr="008709F8">
                    <w:t>WA</w:t>
                  </w:r>
                </w:p>
              </w:tc>
              <w:tc>
                <w:tcPr>
                  <w:tcW w:w="41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87" w14:textId="77777777" w:rsidR="00F05DC7" w:rsidRPr="008709F8" w:rsidRDefault="00F05DC7" w:rsidP="00A3786D">
                  <w:pPr>
                    <w:pStyle w:val="TableColumnHeading"/>
                    <w:ind w:right="11"/>
                  </w:pPr>
                  <w:r w:rsidRPr="008709F8">
                    <w:t>SA</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88" w14:textId="77777777" w:rsidR="00F05DC7" w:rsidRPr="008709F8" w:rsidRDefault="00F05DC7" w:rsidP="00A3786D">
                  <w:pPr>
                    <w:pStyle w:val="TableColumnHeading"/>
                    <w:ind w:right="11"/>
                  </w:pPr>
                  <w:r w:rsidRPr="008709F8">
                    <w:t>Tas</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89" w14:textId="77777777" w:rsidR="00F05DC7" w:rsidRPr="008709F8" w:rsidRDefault="00F05DC7" w:rsidP="00A3786D">
                  <w:pPr>
                    <w:pStyle w:val="TableColumnHeading"/>
                    <w:ind w:right="11"/>
                  </w:pPr>
                  <w:r w:rsidRPr="008709F8">
                    <w:t>ACT</w:t>
                  </w:r>
                </w:p>
              </w:tc>
              <w:tc>
                <w:tcPr>
                  <w:tcW w:w="41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8A" w14:textId="77777777" w:rsidR="00F05DC7" w:rsidRPr="008709F8" w:rsidRDefault="00F05DC7" w:rsidP="00A3786D">
                  <w:pPr>
                    <w:pStyle w:val="TableColumnHeading"/>
                    <w:ind w:right="11"/>
                  </w:pPr>
                  <w:r w:rsidRPr="008709F8">
                    <w:t>NT</w:t>
                  </w:r>
                </w:p>
              </w:tc>
            </w:tr>
            <w:tr w:rsidR="00F05DC7" w:rsidRPr="0004120D" w14:paraId="7954B495" w14:textId="77777777" w:rsidTr="00A3786D">
              <w:trPr>
                <w:trHeight w:val="276"/>
              </w:trPr>
              <w:tc>
                <w:tcPr>
                  <w:tcW w:w="1651" w:type="pct"/>
                  <w:tcBorders>
                    <w:top w:val="nil"/>
                    <w:left w:val="nil"/>
                    <w:bottom w:val="nil"/>
                    <w:right w:val="nil"/>
                  </w:tcBorders>
                  <w:shd w:val="clear" w:color="auto" w:fill="auto"/>
                  <w:tcMar>
                    <w:left w:w="0" w:type="dxa"/>
                    <w:right w:w="0" w:type="dxa"/>
                  </w:tcMar>
                  <w:vAlign w:val="center"/>
                  <w:hideMark/>
                </w:tcPr>
                <w:p w14:paraId="7954B48C" w14:textId="77777777" w:rsidR="00F05DC7" w:rsidRPr="00B331DE" w:rsidRDefault="00F05DC7" w:rsidP="00A3786D">
                  <w:pPr>
                    <w:spacing w:before="80"/>
                    <w:rPr>
                      <w:rFonts w:asciiTheme="minorHAnsi" w:hAnsiTheme="minorHAnsi" w:cstheme="minorHAnsi"/>
                      <w:b/>
                      <w:bCs/>
                      <w:sz w:val="18"/>
                      <w:szCs w:val="18"/>
                    </w:rPr>
                  </w:pPr>
                  <w:r w:rsidRPr="00B331DE">
                    <w:rPr>
                      <w:rFonts w:asciiTheme="minorHAnsi" w:hAnsiTheme="minorHAnsi" w:cstheme="minorHAnsi"/>
                      <w:b/>
                      <w:bCs/>
                      <w:sz w:val="18"/>
                      <w:szCs w:val="18"/>
                    </w:rPr>
                    <w:t xml:space="preserve">Relativities </w:t>
                  </w:r>
                </w:p>
              </w:tc>
              <w:tc>
                <w:tcPr>
                  <w:tcW w:w="409" w:type="pct"/>
                  <w:tcBorders>
                    <w:top w:val="nil"/>
                    <w:left w:val="nil"/>
                    <w:bottom w:val="nil"/>
                    <w:right w:val="nil"/>
                  </w:tcBorders>
                  <w:shd w:val="clear" w:color="auto" w:fill="auto"/>
                  <w:tcMar>
                    <w:left w:w="0" w:type="dxa"/>
                    <w:right w:w="0" w:type="dxa"/>
                  </w:tcMar>
                  <w:vAlign w:val="center"/>
                  <w:hideMark/>
                </w:tcPr>
                <w:p w14:paraId="7954B48D" w14:textId="77777777" w:rsidR="00F05DC7" w:rsidRPr="00B331DE" w:rsidRDefault="00F05DC7" w:rsidP="00A3786D">
                  <w:pPr>
                    <w:spacing w:before="80"/>
                    <w:ind w:right="11"/>
                    <w:jc w:val="right"/>
                    <w:rPr>
                      <w:rFonts w:asciiTheme="minorHAnsi" w:hAnsiTheme="minorHAnsi" w:cstheme="minorHAnsi"/>
                      <w:b/>
                      <w:bCs/>
                      <w:sz w:val="18"/>
                      <w:szCs w:val="18"/>
                    </w:rPr>
                  </w:pPr>
                </w:p>
              </w:tc>
              <w:tc>
                <w:tcPr>
                  <w:tcW w:w="410" w:type="pct"/>
                  <w:tcBorders>
                    <w:top w:val="nil"/>
                    <w:left w:val="nil"/>
                    <w:bottom w:val="nil"/>
                    <w:right w:val="nil"/>
                  </w:tcBorders>
                  <w:shd w:val="clear" w:color="auto" w:fill="auto"/>
                  <w:tcMar>
                    <w:left w:w="0" w:type="dxa"/>
                    <w:right w:w="0" w:type="dxa"/>
                  </w:tcMar>
                  <w:vAlign w:val="center"/>
                  <w:hideMark/>
                </w:tcPr>
                <w:p w14:paraId="7954B48E" w14:textId="77777777" w:rsidR="00F05DC7" w:rsidRPr="00B331DE" w:rsidRDefault="00F05DC7" w:rsidP="00A3786D">
                  <w:pPr>
                    <w:spacing w:before="80"/>
                    <w:ind w:right="11"/>
                    <w:jc w:val="right"/>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48F" w14:textId="77777777" w:rsidR="00F05DC7" w:rsidRPr="00B331DE" w:rsidRDefault="00F05DC7" w:rsidP="00A3786D">
                  <w:pPr>
                    <w:spacing w:before="80"/>
                    <w:ind w:right="11"/>
                    <w:jc w:val="right"/>
                    <w:rPr>
                      <w:rFonts w:asciiTheme="minorHAnsi" w:hAnsiTheme="minorHAnsi" w:cstheme="minorHAnsi"/>
                      <w:sz w:val="18"/>
                      <w:szCs w:val="18"/>
                    </w:rPr>
                  </w:pPr>
                </w:p>
              </w:tc>
              <w:tc>
                <w:tcPr>
                  <w:tcW w:w="477" w:type="pct"/>
                  <w:tcBorders>
                    <w:top w:val="nil"/>
                    <w:left w:val="nil"/>
                    <w:bottom w:val="nil"/>
                    <w:right w:val="nil"/>
                  </w:tcBorders>
                  <w:shd w:val="clear" w:color="auto" w:fill="auto"/>
                  <w:tcMar>
                    <w:left w:w="0" w:type="dxa"/>
                    <w:right w:w="0" w:type="dxa"/>
                  </w:tcMar>
                  <w:vAlign w:val="center"/>
                  <w:hideMark/>
                </w:tcPr>
                <w:p w14:paraId="7954B490" w14:textId="77777777" w:rsidR="00F05DC7" w:rsidRPr="00B331DE" w:rsidRDefault="00F05DC7" w:rsidP="00A3786D">
                  <w:pPr>
                    <w:spacing w:before="80"/>
                    <w:ind w:right="11"/>
                    <w:jc w:val="right"/>
                    <w:rPr>
                      <w:rFonts w:asciiTheme="minorHAnsi" w:hAnsiTheme="minorHAnsi" w:cstheme="minorHAnsi"/>
                      <w:sz w:val="18"/>
                      <w:szCs w:val="18"/>
                    </w:rPr>
                  </w:pPr>
                </w:p>
              </w:tc>
              <w:tc>
                <w:tcPr>
                  <w:tcW w:w="410" w:type="pct"/>
                  <w:tcBorders>
                    <w:top w:val="nil"/>
                    <w:left w:val="nil"/>
                    <w:bottom w:val="nil"/>
                    <w:right w:val="nil"/>
                  </w:tcBorders>
                  <w:shd w:val="clear" w:color="auto" w:fill="auto"/>
                  <w:tcMar>
                    <w:left w:w="0" w:type="dxa"/>
                    <w:right w:w="0" w:type="dxa"/>
                  </w:tcMar>
                  <w:vAlign w:val="center"/>
                  <w:hideMark/>
                </w:tcPr>
                <w:p w14:paraId="7954B491" w14:textId="77777777" w:rsidR="00F05DC7" w:rsidRPr="00B331DE" w:rsidRDefault="00F05DC7" w:rsidP="00A3786D">
                  <w:pPr>
                    <w:spacing w:before="80"/>
                    <w:ind w:right="11"/>
                    <w:jc w:val="right"/>
                    <w:rPr>
                      <w:rFonts w:asciiTheme="minorHAnsi" w:hAnsiTheme="minorHAnsi" w:cstheme="minorHAnsi"/>
                      <w:sz w:val="18"/>
                      <w:szCs w:val="18"/>
                    </w:rPr>
                  </w:pPr>
                </w:p>
              </w:tc>
              <w:tc>
                <w:tcPr>
                  <w:tcW w:w="411" w:type="pct"/>
                  <w:tcBorders>
                    <w:top w:val="nil"/>
                    <w:left w:val="nil"/>
                    <w:bottom w:val="nil"/>
                    <w:right w:val="nil"/>
                  </w:tcBorders>
                  <w:shd w:val="clear" w:color="auto" w:fill="auto"/>
                  <w:tcMar>
                    <w:left w:w="0" w:type="dxa"/>
                    <w:right w:w="0" w:type="dxa"/>
                  </w:tcMar>
                  <w:vAlign w:val="center"/>
                  <w:hideMark/>
                </w:tcPr>
                <w:p w14:paraId="7954B492" w14:textId="77777777" w:rsidR="00F05DC7" w:rsidRPr="00B331DE" w:rsidRDefault="00F05DC7" w:rsidP="00A3786D">
                  <w:pPr>
                    <w:spacing w:before="80"/>
                    <w:ind w:right="11"/>
                    <w:jc w:val="right"/>
                    <w:rPr>
                      <w:rFonts w:asciiTheme="minorHAnsi" w:hAnsiTheme="minorHAnsi" w:cstheme="minorHAnsi"/>
                      <w:sz w:val="18"/>
                      <w:szCs w:val="18"/>
                    </w:rPr>
                  </w:pPr>
                </w:p>
              </w:tc>
              <w:tc>
                <w:tcPr>
                  <w:tcW w:w="411" w:type="pct"/>
                  <w:tcBorders>
                    <w:top w:val="nil"/>
                    <w:left w:val="nil"/>
                    <w:bottom w:val="nil"/>
                    <w:right w:val="nil"/>
                  </w:tcBorders>
                  <w:shd w:val="clear" w:color="auto" w:fill="auto"/>
                  <w:tcMar>
                    <w:left w:w="0" w:type="dxa"/>
                    <w:right w:w="0" w:type="dxa"/>
                  </w:tcMar>
                  <w:vAlign w:val="center"/>
                  <w:hideMark/>
                </w:tcPr>
                <w:p w14:paraId="7954B493" w14:textId="77777777" w:rsidR="00F05DC7" w:rsidRPr="00B331DE" w:rsidRDefault="00F05DC7" w:rsidP="00A3786D">
                  <w:pPr>
                    <w:spacing w:before="80"/>
                    <w:ind w:right="11"/>
                    <w:jc w:val="right"/>
                    <w:rPr>
                      <w:rFonts w:asciiTheme="minorHAnsi" w:hAnsiTheme="minorHAnsi" w:cstheme="minorHAnsi"/>
                      <w:sz w:val="18"/>
                      <w:szCs w:val="18"/>
                    </w:rPr>
                  </w:pPr>
                </w:p>
              </w:tc>
              <w:tc>
                <w:tcPr>
                  <w:tcW w:w="410" w:type="pct"/>
                  <w:tcBorders>
                    <w:top w:val="nil"/>
                    <w:left w:val="nil"/>
                    <w:bottom w:val="nil"/>
                    <w:right w:val="nil"/>
                  </w:tcBorders>
                  <w:shd w:val="clear" w:color="auto" w:fill="auto"/>
                  <w:tcMar>
                    <w:left w:w="0" w:type="dxa"/>
                    <w:right w:w="0" w:type="dxa"/>
                  </w:tcMar>
                  <w:vAlign w:val="center"/>
                  <w:hideMark/>
                </w:tcPr>
                <w:p w14:paraId="7954B494" w14:textId="77777777" w:rsidR="00F05DC7" w:rsidRPr="00B331DE" w:rsidRDefault="00F05DC7" w:rsidP="00A3786D">
                  <w:pPr>
                    <w:spacing w:before="80"/>
                    <w:ind w:right="11"/>
                    <w:jc w:val="right"/>
                    <w:rPr>
                      <w:rFonts w:asciiTheme="minorHAnsi" w:hAnsiTheme="minorHAnsi" w:cstheme="minorHAnsi"/>
                      <w:sz w:val="18"/>
                      <w:szCs w:val="18"/>
                    </w:rPr>
                  </w:pPr>
                </w:p>
              </w:tc>
            </w:tr>
            <w:tr w:rsidR="00F05DC7" w:rsidRPr="0004120D" w14:paraId="7954B49F" w14:textId="77777777" w:rsidTr="00A3786D">
              <w:trPr>
                <w:trHeight w:val="276"/>
              </w:trPr>
              <w:tc>
                <w:tcPr>
                  <w:tcW w:w="1651" w:type="pct"/>
                  <w:tcBorders>
                    <w:top w:val="nil"/>
                    <w:left w:val="nil"/>
                    <w:bottom w:val="nil"/>
                    <w:right w:val="nil"/>
                  </w:tcBorders>
                  <w:shd w:val="clear" w:color="auto" w:fill="auto"/>
                  <w:tcMar>
                    <w:left w:w="0" w:type="dxa"/>
                    <w:right w:w="0" w:type="dxa"/>
                  </w:tcMar>
                  <w:vAlign w:val="center"/>
                  <w:hideMark/>
                </w:tcPr>
                <w:p w14:paraId="7954B496" w14:textId="77777777" w:rsidR="00F05DC7" w:rsidRPr="00B331DE" w:rsidRDefault="00F05DC7" w:rsidP="00A3786D">
                  <w:pPr>
                    <w:pStyle w:val="TableBodyText"/>
                    <w:jc w:val="left"/>
                  </w:pPr>
                  <w:r w:rsidRPr="00B331DE">
                    <w:t>Current approach</w:t>
                  </w:r>
                </w:p>
              </w:tc>
              <w:tc>
                <w:tcPr>
                  <w:tcW w:w="409" w:type="pct"/>
                  <w:tcBorders>
                    <w:top w:val="nil"/>
                    <w:left w:val="nil"/>
                    <w:bottom w:val="nil"/>
                    <w:right w:val="nil"/>
                  </w:tcBorders>
                  <w:shd w:val="clear" w:color="auto" w:fill="auto"/>
                  <w:tcMar>
                    <w:left w:w="0" w:type="dxa"/>
                    <w:right w:w="0" w:type="dxa"/>
                  </w:tcMar>
                  <w:vAlign w:val="center"/>
                  <w:hideMark/>
                </w:tcPr>
                <w:p w14:paraId="7954B497" w14:textId="77777777" w:rsidR="00F05DC7" w:rsidRPr="00B331DE" w:rsidRDefault="00F05DC7" w:rsidP="00A3786D">
                  <w:pPr>
                    <w:pStyle w:val="TableBodyText"/>
                  </w:pPr>
                  <w:r>
                    <w:rPr>
                      <w:rFonts w:cs="Arial"/>
                      <w:color w:val="000000"/>
                    </w:rPr>
                    <w:t>0.86</w:t>
                  </w:r>
                </w:p>
              </w:tc>
              <w:tc>
                <w:tcPr>
                  <w:tcW w:w="410" w:type="pct"/>
                  <w:tcBorders>
                    <w:top w:val="nil"/>
                    <w:left w:val="nil"/>
                    <w:bottom w:val="nil"/>
                    <w:right w:val="nil"/>
                  </w:tcBorders>
                  <w:shd w:val="clear" w:color="auto" w:fill="auto"/>
                  <w:tcMar>
                    <w:left w:w="0" w:type="dxa"/>
                    <w:right w:w="0" w:type="dxa"/>
                  </w:tcMar>
                  <w:vAlign w:val="center"/>
                  <w:hideMark/>
                </w:tcPr>
                <w:p w14:paraId="7954B498" w14:textId="77777777" w:rsidR="00F05DC7" w:rsidRPr="00B331DE" w:rsidRDefault="00F05DC7" w:rsidP="00A3786D">
                  <w:pPr>
                    <w:pStyle w:val="TableBodyText"/>
                  </w:pPr>
                  <w:r>
                    <w:rPr>
                      <w:rFonts w:cs="Arial"/>
                      <w:color w:val="000000"/>
                    </w:rPr>
                    <w:t>0.99</w:t>
                  </w:r>
                </w:p>
              </w:tc>
              <w:tc>
                <w:tcPr>
                  <w:tcW w:w="412" w:type="pct"/>
                  <w:tcBorders>
                    <w:top w:val="nil"/>
                    <w:left w:val="nil"/>
                    <w:bottom w:val="nil"/>
                    <w:right w:val="nil"/>
                  </w:tcBorders>
                  <w:shd w:val="clear" w:color="auto" w:fill="auto"/>
                  <w:tcMar>
                    <w:left w:w="0" w:type="dxa"/>
                    <w:right w:w="0" w:type="dxa"/>
                  </w:tcMar>
                  <w:vAlign w:val="center"/>
                  <w:hideMark/>
                </w:tcPr>
                <w:p w14:paraId="7954B499" w14:textId="77777777" w:rsidR="00F05DC7" w:rsidRPr="00B331DE" w:rsidRDefault="00F05DC7" w:rsidP="00A3786D">
                  <w:pPr>
                    <w:pStyle w:val="TableBodyText"/>
                  </w:pPr>
                  <w:r>
                    <w:rPr>
                      <w:rFonts w:cs="Arial"/>
                      <w:color w:val="000000"/>
                    </w:rPr>
                    <w:t>1.10</w:t>
                  </w:r>
                </w:p>
              </w:tc>
              <w:tc>
                <w:tcPr>
                  <w:tcW w:w="477" w:type="pct"/>
                  <w:tcBorders>
                    <w:top w:val="nil"/>
                    <w:left w:val="nil"/>
                    <w:bottom w:val="nil"/>
                    <w:right w:val="nil"/>
                  </w:tcBorders>
                  <w:shd w:val="clear" w:color="auto" w:fill="auto"/>
                  <w:tcMar>
                    <w:left w:w="0" w:type="dxa"/>
                    <w:right w:w="0" w:type="dxa"/>
                  </w:tcMar>
                  <w:vAlign w:val="center"/>
                  <w:hideMark/>
                </w:tcPr>
                <w:p w14:paraId="7954B49A" w14:textId="77777777" w:rsidR="00F05DC7" w:rsidRPr="008709F8" w:rsidRDefault="00F05DC7" w:rsidP="00A3786D">
                  <w:pPr>
                    <w:pStyle w:val="TableBodyText"/>
                  </w:pPr>
                  <w:r>
                    <w:rPr>
                      <w:rFonts w:cs="Arial"/>
                      <w:color w:val="000000"/>
                    </w:rPr>
                    <w:t>0.47</w:t>
                  </w:r>
                </w:p>
              </w:tc>
              <w:tc>
                <w:tcPr>
                  <w:tcW w:w="410" w:type="pct"/>
                  <w:tcBorders>
                    <w:top w:val="nil"/>
                    <w:left w:val="nil"/>
                    <w:bottom w:val="nil"/>
                    <w:right w:val="nil"/>
                  </w:tcBorders>
                  <w:shd w:val="clear" w:color="auto" w:fill="auto"/>
                  <w:tcMar>
                    <w:left w:w="0" w:type="dxa"/>
                    <w:right w:w="0" w:type="dxa"/>
                  </w:tcMar>
                  <w:vAlign w:val="center"/>
                  <w:hideMark/>
                </w:tcPr>
                <w:p w14:paraId="7954B49B" w14:textId="77777777" w:rsidR="00F05DC7" w:rsidRPr="008709F8" w:rsidRDefault="00F05DC7" w:rsidP="00A3786D">
                  <w:pPr>
                    <w:pStyle w:val="TableBodyText"/>
                  </w:pPr>
                  <w:r>
                    <w:rPr>
                      <w:rFonts w:cs="Arial"/>
                      <w:color w:val="000000"/>
                    </w:rPr>
                    <w:t>1.48</w:t>
                  </w:r>
                </w:p>
              </w:tc>
              <w:tc>
                <w:tcPr>
                  <w:tcW w:w="411" w:type="pct"/>
                  <w:tcBorders>
                    <w:top w:val="nil"/>
                    <w:left w:val="nil"/>
                    <w:bottom w:val="nil"/>
                    <w:right w:val="nil"/>
                  </w:tcBorders>
                  <w:shd w:val="clear" w:color="auto" w:fill="auto"/>
                  <w:tcMar>
                    <w:left w:w="0" w:type="dxa"/>
                    <w:right w:w="0" w:type="dxa"/>
                  </w:tcMar>
                  <w:vAlign w:val="center"/>
                  <w:hideMark/>
                </w:tcPr>
                <w:p w14:paraId="7954B49C" w14:textId="77777777" w:rsidR="00F05DC7" w:rsidRPr="00B331DE" w:rsidRDefault="00F05DC7" w:rsidP="00A3786D">
                  <w:pPr>
                    <w:pStyle w:val="TableBodyText"/>
                  </w:pPr>
                  <w:r>
                    <w:rPr>
                      <w:rFonts w:cs="Arial"/>
                      <w:color w:val="000000"/>
                    </w:rPr>
                    <w:t>1.77</w:t>
                  </w:r>
                </w:p>
              </w:tc>
              <w:tc>
                <w:tcPr>
                  <w:tcW w:w="411" w:type="pct"/>
                  <w:tcBorders>
                    <w:top w:val="nil"/>
                    <w:left w:val="nil"/>
                    <w:bottom w:val="nil"/>
                    <w:right w:val="nil"/>
                  </w:tcBorders>
                  <w:shd w:val="clear" w:color="auto" w:fill="auto"/>
                  <w:tcMar>
                    <w:left w:w="0" w:type="dxa"/>
                    <w:right w:w="0" w:type="dxa"/>
                  </w:tcMar>
                  <w:vAlign w:val="center"/>
                  <w:hideMark/>
                </w:tcPr>
                <w:p w14:paraId="7954B49D" w14:textId="77777777" w:rsidR="00F05DC7" w:rsidRPr="00B331DE" w:rsidRDefault="00F05DC7" w:rsidP="00A3786D">
                  <w:pPr>
                    <w:pStyle w:val="TableBodyText"/>
                  </w:pPr>
                  <w:r>
                    <w:rPr>
                      <w:rFonts w:cs="Arial"/>
                      <w:color w:val="000000"/>
                    </w:rPr>
                    <w:t>1.18</w:t>
                  </w:r>
                </w:p>
              </w:tc>
              <w:tc>
                <w:tcPr>
                  <w:tcW w:w="410" w:type="pct"/>
                  <w:tcBorders>
                    <w:top w:val="nil"/>
                    <w:left w:val="nil"/>
                    <w:bottom w:val="nil"/>
                    <w:right w:val="nil"/>
                  </w:tcBorders>
                  <w:shd w:val="clear" w:color="auto" w:fill="auto"/>
                  <w:tcMar>
                    <w:left w:w="0" w:type="dxa"/>
                    <w:right w:w="0" w:type="dxa"/>
                  </w:tcMar>
                  <w:vAlign w:val="center"/>
                  <w:hideMark/>
                </w:tcPr>
                <w:p w14:paraId="7954B49E" w14:textId="77777777" w:rsidR="00F05DC7" w:rsidRPr="00B331DE" w:rsidRDefault="00F05DC7" w:rsidP="00A3786D">
                  <w:pPr>
                    <w:pStyle w:val="TableBodyText"/>
                  </w:pPr>
                  <w:r>
                    <w:rPr>
                      <w:rFonts w:cs="Arial"/>
                      <w:color w:val="000000"/>
                    </w:rPr>
                    <w:t>4.26</w:t>
                  </w:r>
                </w:p>
              </w:tc>
            </w:tr>
            <w:tr w:rsidR="00F05DC7" w:rsidRPr="0004120D" w14:paraId="7954B4A9" w14:textId="77777777" w:rsidTr="00A3786D">
              <w:trPr>
                <w:trHeight w:val="276"/>
              </w:trPr>
              <w:tc>
                <w:tcPr>
                  <w:tcW w:w="1651" w:type="pct"/>
                  <w:tcBorders>
                    <w:top w:val="nil"/>
                    <w:left w:val="nil"/>
                    <w:bottom w:val="nil"/>
                    <w:right w:val="nil"/>
                  </w:tcBorders>
                  <w:shd w:val="clear" w:color="auto" w:fill="auto"/>
                  <w:tcMar>
                    <w:left w:w="0" w:type="dxa"/>
                    <w:right w:w="0" w:type="dxa"/>
                  </w:tcMar>
                  <w:vAlign w:val="center"/>
                  <w:hideMark/>
                </w:tcPr>
                <w:p w14:paraId="7954B4A0" w14:textId="77777777" w:rsidR="00F05DC7" w:rsidRPr="00B331DE" w:rsidRDefault="00F05DC7" w:rsidP="00A3786D">
                  <w:pPr>
                    <w:pStyle w:val="TableBodyText"/>
                    <w:jc w:val="left"/>
                  </w:pPr>
                  <w:r w:rsidRPr="00B331DE">
                    <w:t>Average of fiscally strong States</w:t>
                  </w:r>
                </w:p>
              </w:tc>
              <w:tc>
                <w:tcPr>
                  <w:tcW w:w="409" w:type="pct"/>
                  <w:tcBorders>
                    <w:top w:val="nil"/>
                    <w:left w:val="nil"/>
                    <w:bottom w:val="nil"/>
                    <w:right w:val="nil"/>
                  </w:tcBorders>
                  <w:shd w:val="clear" w:color="auto" w:fill="auto"/>
                  <w:tcMar>
                    <w:left w:w="0" w:type="dxa"/>
                    <w:right w:w="0" w:type="dxa"/>
                  </w:tcMar>
                  <w:vAlign w:val="center"/>
                </w:tcPr>
                <w:p w14:paraId="7954B4A1" w14:textId="77777777" w:rsidR="00F05DC7" w:rsidRPr="00B331DE" w:rsidRDefault="00F05DC7" w:rsidP="00A3786D">
                  <w:pPr>
                    <w:pStyle w:val="TableBodyText"/>
                  </w:pPr>
                  <w:r w:rsidRPr="00B331DE">
                    <w:rPr>
                      <w:rFonts w:cs="Arial"/>
                    </w:rPr>
                    <w:t>0.8</w:t>
                  </w:r>
                  <w:r>
                    <w:rPr>
                      <w:rFonts w:cs="Arial"/>
                    </w:rPr>
                    <w:t>2</w:t>
                  </w:r>
                </w:p>
              </w:tc>
              <w:tc>
                <w:tcPr>
                  <w:tcW w:w="410" w:type="pct"/>
                  <w:tcBorders>
                    <w:top w:val="nil"/>
                    <w:left w:val="nil"/>
                    <w:bottom w:val="nil"/>
                    <w:right w:val="nil"/>
                  </w:tcBorders>
                  <w:shd w:val="clear" w:color="auto" w:fill="auto"/>
                  <w:tcMar>
                    <w:left w:w="0" w:type="dxa"/>
                    <w:right w:w="0" w:type="dxa"/>
                  </w:tcMar>
                  <w:vAlign w:val="center"/>
                </w:tcPr>
                <w:p w14:paraId="7954B4A2" w14:textId="77777777" w:rsidR="00F05DC7" w:rsidRPr="00B331DE" w:rsidRDefault="00F05DC7" w:rsidP="00A3786D">
                  <w:pPr>
                    <w:pStyle w:val="TableBodyText"/>
                  </w:pPr>
                  <w:r w:rsidRPr="00B331DE">
                    <w:rPr>
                      <w:rFonts w:cs="Arial"/>
                    </w:rPr>
                    <w:t>0.</w:t>
                  </w:r>
                  <w:r>
                    <w:rPr>
                      <w:rFonts w:cs="Arial"/>
                    </w:rPr>
                    <w:t>95</w:t>
                  </w:r>
                </w:p>
              </w:tc>
              <w:tc>
                <w:tcPr>
                  <w:tcW w:w="412" w:type="pct"/>
                  <w:tcBorders>
                    <w:top w:val="nil"/>
                    <w:left w:val="nil"/>
                    <w:bottom w:val="nil"/>
                    <w:right w:val="nil"/>
                  </w:tcBorders>
                  <w:shd w:val="clear" w:color="auto" w:fill="auto"/>
                  <w:tcMar>
                    <w:left w:w="0" w:type="dxa"/>
                    <w:right w:w="0" w:type="dxa"/>
                  </w:tcMar>
                  <w:vAlign w:val="center"/>
                </w:tcPr>
                <w:p w14:paraId="7954B4A3" w14:textId="77777777" w:rsidR="00F05DC7" w:rsidRPr="00B331DE" w:rsidRDefault="00F05DC7" w:rsidP="00A3786D">
                  <w:pPr>
                    <w:pStyle w:val="TableBodyText"/>
                  </w:pPr>
                  <w:r w:rsidRPr="00B331DE">
                    <w:rPr>
                      <w:rFonts w:cs="Arial"/>
                    </w:rPr>
                    <w:t>1.</w:t>
                  </w:r>
                  <w:r>
                    <w:rPr>
                      <w:rFonts w:cs="Arial"/>
                    </w:rPr>
                    <w:t>06</w:t>
                  </w:r>
                </w:p>
              </w:tc>
              <w:tc>
                <w:tcPr>
                  <w:tcW w:w="477" w:type="pct"/>
                  <w:tcBorders>
                    <w:top w:val="nil"/>
                    <w:left w:val="nil"/>
                    <w:bottom w:val="nil"/>
                    <w:right w:val="nil"/>
                  </w:tcBorders>
                  <w:shd w:val="clear" w:color="auto" w:fill="auto"/>
                  <w:tcMar>
                    <w:left w:w="0" w:type="dxa"/>
                    <w:right w:w="0" w:type="dxa"/>
                  </w:tcMar>
                  <w:vAlign w:val="center"/>
                </w:tcPr>
                <w:p w14:paraId="7954B4A4" w14:textId="77777777" w:rsidR="00F05DC7" w:rsidRPr="00B331DE" w:rsidRDefault="00F05DC7" w:rsidP="00A3786D">
                  <w:pPr>
                    <w:pStyle w:val="TableBodyText"/>
                  </w:pPr>
                  <w:r w:rsidRPr="00B331DE">
                    <w:rPr>
                      <w:rFonts w:cs="Arial"/>
                    </w:rPr>
                    <w:t>0.</w:t>
                  </w:r>
                  <w:r>
                    <w:rPr>
                      <w:rFonts w:cs="Arial"/>
                    </w:rPr>
                    <w:t>81</w:t>
                  </w:r>
                </w:p>
              </w:tc>
              <w:tc>
                <w:tcPr>
                  <w:tcW w:w="410" w:type="pct"/>
                  <w:tcBorders>
                    <w:top w:val="nil"/>
                    <w:left w:val="nil"/>
                    <w:bottom w:val="nil"/>
                    <w:right w:val="nil"/>
                  </w:tcBorders>
                  <w:shd w:val="clear" w:color="auto" w:fill="auto"/>
                  <w:tcMar>
                    <w:left w:w="0" w:type="dxa"/>
                    <w:right w:w="0" w:type="dxa"/>
                  </w:tcMar>
                  <w:vAlign w:val="center"/>
                </w:tcPr>
                <w:p w14:paraId="7954B4A5" w14:textId="77777777" w:rsidR="00F05DC7" w:rsidRPr="00B331DE" w:rsidRDefault="00F05DC7" w:rsidP="00A3786D">
                  <w:pPr>
                    <w:pStyle w:val="TableBodyText"/>
                  </w:pPr>
                  <w:r w:rsidRPr="00B331DE">
                    <w:rPr>
                      <w:rFonts w:cs="Arial"/>
                    </w:rPr>
                    <w:t>1.</w:t>
                  </w:r>
                  <w:r>
                    <w:rPr>
                      <w:rFonts w:cs="Arial"/>
                    </w:rPr>
                    <w:t>44</w:t>
                  </w:r>
                </w:p>
              </w:tc>
              <w:tc>
                <w:tcPr>
                  <w:tcW w:w="411" w:type="pct"/>
                  <w:tcBorders>
                    <w:top w:val="nil"/>
                    <w:left w:val="nil"/>
                    <w:bottom w:val="nil"/>
                    <w:right w:val="nil"/>
                  </w:tcBorders>
                  <w:shd w:val="clear" w:color="auto" w:fill="auto"/>
                  <w:tcMar>
                    <w:left w:w="0" w:type="dxa"/>
                    <w:right w:w="0" w:type="dxa"/>
                  </w:tcMar>
                  <w:vAlign w:val="center"/>
                </w:tcPr>
                <w:p w14:paraId="7954B4A6" w14:textId="77777777" w:rsidR="00F05DC7" w:rsidRPr="00B331DE" w:rsidRDefault="00F05DC7" w:rsidP="00A3786D">
                  <w:pPr>
                    <w:pStyle w:val="TableBodyText"/>
                  </w:pPr>
                  <w:r w:rsidRPr="00B331DE">
                    <w:rPr>
                      <w:rFonts w:cs="Arial"/>
                    </w:rPr>
                    <w:t>1.7</w:t>
                  </w:r>
                  <w:r>
                    <w:rPr>
                      <w:rFonts w:cs="Arial"/>
                    </w:rPr>
                    <w:t>3</w:t>
                  </w:r>
                </w:p>
              </w:tc>
              <w:tc>
                <w:tcPr>
                  <w:tcW w:w="411" w:type="pct"/>
                  <w:tcBorders>
                    <w:top w:val="nil"/>
                    <w:left w:val="nil"/>
                    <w:bottom w:val="nil"/>
                    <w:right w:val="nil"/>
                  </w:tcBorders>
                  <w:shd w:val="clear" w:color="auto" w:fill="auto"/>
                  <w:tcMar>
                    <w:left w:w="0" w:type="dxa"/>
                    <w:right w:w="0" w:type="dxa"/>
                  </w:tcMar>
                  <w:vAlign w:val="center"/>
                </w:tcPr>
                <w:p w14:paraId="7954B4A7" w14:textId="77777777" w:rsidR="00F05DC7" w:rsidRPr="00B331DE" w:rsidRDefault="00F05DC7" w:rsidP="00A3786D">
                  <w:pPr>
                    <w:pStyle w:val="TableBodyText"/>
                  </w:pPr>
                  <w:r w:rsidRPr="00B331DE">
                    <w:rPr>
                      <w:rFonts w:cs="Arial"/>
                    </w:rPr>
                    <w:t>1.1</w:t>
                  </w:r>
                  <w:r>
                    <w:rPr>
                      <w:rFonts w:cs="Arial"/>
                    </w:rPr>
                    <w:t>4</w:t>
                  </w:r>
                </w:p>
              </w:tc>
              <w:tc>
                <w:tcPr>
                  <w:tcW w:w="410" w:type="pct"/>
                  <w:tcBorders>
                    <w:top w:val="nil"/>
                    <w:left w:val="nil"/>
                    <w:bottom w:val="nil"/>
                    <w:right w:val="nil"/>
                  </w:tcBorders>
                  <w:shd w:val="clear" w:color="auto" w:fill="auto"/>
                  <w:tcMar>
                    <w:left w:w="0" w:type="dxa"/>
                    <w:right w:w="0" w:type="dxa"/>
                  </w:tcMar>
                  <w:vAlign w:val="center"/>
                </w:tcPr>
                <w:p w14:paraId="7954B4A8" w14:textId="77777777" w:rsidR="00F05DC7" w:rsidRPr="00B331DE" w:rsidRDefault="00F05DC7" w:rsidP="00A3786D">
                  <w:pPr>
                    <w:pStyle w:val="TableBodyText"/>
                  </w:pPr>
                  <w:r w:rsidRPr="00B331DE">
                    <w:rPr>
                      <w:rFonts w:cs="Arial"/>
                    </w:rPr>
                    <w:t>4.</w:t>
                  </w:r>
                  <w:r>
                    <w:rPr>
                      <w:rFonts w:cs="Arial"/>
                    </w:rPr>
                    <w:t>23</w:t>
                  </w:r>
                </w:p>
              </w:tc>
            </w:tr>
            <w:tr w:rsidR="00F05DC7" w:rsidRPr="0004120D" w14:paraId="7954B4B3" w14:textId="77777777" w:rsidTr="00A3786D">
              <w:trPr>
                <w:trHeight w:val="276"/>
              </w:trPr>
              <w:tc>
                <w:tcPr>
                  <w:tcW w:w="1651" w:type="pct"/>
                  <w:tcBorders>
                    <w:top w:val="nil"/>
                    <w:left w:val="nil"/>
                    <w:bottom w:val="nil"/>
                    <w:right w:val="nil"/>
                  </w:tcBorders>
                  <w:shd w:val="clear" w:color="auto" w:fill="auto"/>
                  <w:tcMar>
                    <w:left w:w="0" w:type="dxa"/>
                    <w:right w:w="0" w:type="dxa"/>
                  </w:tcMar>
                  <w:vAlign w:val="center"/>
                  <w:hideMark/>
                </w:tcPr>
                <w:p w14:paraId="7954B4AA" w14:textId="77777777" w:rsidR="00F05DC7" w:rsidRPr="00B331DE" w:rsidRDefault="00F05DC7" w:rsidP="00A3786D">
                  <w:pPr>
                    <w:spacing w:before="80"/>
                    <w:rPr>
                      <w:rFonts w:asciiTheme="minorHAnsi" w:hAnsiTheme="minorHAnsi" w:cstheme="minorHAnsi"/>
                      <w:b/>
                      <w:bCs/>
                      <w:sz w:val="18"/>
                      <w:szCs w:val="18"/>
                    </w:rPr>
                  </w:pPr>
                  <w:r w:rsidRPr="00B331DE">
                    <w:rPr>
                      <w:rFonts w:asciiTheme="minorHAnsi" w:hAnsiTheme="minorHAnsi" w:cstheme="minorHAnsi"/>
                      <w:b/>
                      <w:bCs/>
                      <w:sz w:val="18"/>
                      <w:szCs w:val="18"/>
                    </w:rPr>
                    <w:t>Change in GST payments</w:t>
                  </w:r>
                </w:p>
              </w:tc>
              <w:tc>
                <w:tcPr>
                  <w:tcW w:w="409" w:type="pct"/>
                  <w:tcBorders>
                    <w:top w:val="nil"/>
                    <w:left w:val="nil"/>
                    <w:bottom w:val="nil"/>
                    <w:right w:val="nil"/>
                  </w:tcBorders>
                  <w:shd w:val="clear" w:color="auto" w:fill="auto"/>
                  <w:tcMar>
                    <w:left w:w="0" w:type="dxa"/>
                    <w:right w:w="0" w:type="dxa"/>
                  </w:tcMar>
                  <w:vAlign w:val="center"/>
                  <w:hideMark/>
                </w:tcPr>
                <w:p w14:paraId="7954B4AB" w14:textId="77777777" w:rsidR="00F05DC7" w:rsidRPr="00B331DE" w:rsidRDefault="00F05DC7" w:rsidP="00A3786D">
                  <w:pPr>
                    <w:spacing w:before="80"/>
                    <w:ind w:right="11"/>
                    <w:jc w:val="right"/>
                    <w:rPr>
                      <w:rFonts w:asciiTheme="minorHAnsi" w:hAnsiTheme="minorHAnsi" w:cstheme="minorHAnsi"/>
                      <w:b/>
                      <w:bCs/>
                      <w:sz w:val="18"/>
                      <w:szCs w:val="18"/>
                    </w:rPr>
                  </w:pPr>
                </w:p>
              </w:tc>
              <w:tc>
                <w:tcPr>
                  <w:tcW w:w="410" w:type="pct"/>
                  <w:tcBorders>
                    <w:top w:val="nil"/>
                    <w:left w:val="nil"/>
                    <w:bottom w:val="nil"/>
                    <w:right w:val="nil"/>
                  </w:tcBorders>
                  <w:shd w:val="clear" w:color="auto" w:fill="auto"/>
                  <w:tcMar>
                    <w:left w:w="0" w:type="dxa"/>
                    <w:right w:w="0" w:type="dxa"/>
                  </w:tcMar>
                  <w:vAlign w:val="center"/>
                  <w:hideMark/>
                </w:tcPr>
                <w:p w14:paraId="7954B4AC" w14:textId="77777777" w:rsidR="00F05DC7" w:rsidRPr="00B331DE" w:rsidRDefault="00F05DC7" w:rsidP="00A3786D">
                  <w:pPr>
                    <w:spacing w:before="80"/>
                    <w:ind w:right="11"/>
                    <w:jc w:val="right"/>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4AD" w14:textId="77777777" w:rsidR="00F05DC7" w:rsidRPr="00B331DE" w:rsidRDefault="00F05DC7" w:rsidP="00A3786D">
                  <w:pPr>
                    <w:spacing w:before="80"/>
                    <w:ind w:right="11"/>
                    <w:jc w:val="right"/>
                    <w:rPr>
                      <w:rFonts w:asciiTheme="minorHAnsi" w:hAnsiTheme="minorHAnsi" w:cstheme="minorHAnsi"/>
                      <w:sz w:val="18"/>
                      <w:szCs w:val="18"/>
                    </w:rPr>
                  </w:pPr>
                </w:p>
              </w:tc>
              <w:tc>
                <w:tcPr>
                  <w:tcW w:w="477" w:type="pct"/>
                  <w:tcBorders>
                    <w:top w:val="nil"/>
                    <w:left w:val="nil"/>
                    <w:bottom w:val="nil"/>
                    <w:right w:val="nil"/>
                  </w:tcBorders>
                  <w:shd w:val="clear" w:color="auto" w:fill="auto"/>
                  <w:tcMar>
                    <w:left w:w="0" w:type="dxa"/>
                    <w:right w:w="0" w:type="dxa"/>
                  </w:tcMar>
                  <w:vAlign w:val="center"/>
                  <w:hideMark/>
                </w:tcPr>
                <w:p w14:paraId="7954B4AE" w14:textId="77777777" w:rsidR="00F05DC7" w:rsidRPr="00B331DE" w:rsidRDefault="00F05DC7" w:rsidP="00A3786D">
                  <w:pPr>
                    <w:spacing w:before="80"/>
                    <w:ind w:right="11"/>
                    <w:jc w:val="right"/>
                    <w:rPr>
                      <w:rFonts w:asciiTheme="minorHAnsi" w:hAnsiTheme="minorHAnsi" w:cstheme="minorHAnsi"/>
                      <w:sz w:val="18"/>
                      <w:szCs w:val="18"/>
                    </w:rPr>
                  </w:pPr>
                </w:p>
              </w:tc>
              <w:tc>
                <w:tcPr>
                  <w:tcW w:w="410" w:type="pct"/>
                  <w:tcBorders>
                    <w:top w:val="nil"/>
                    <w:left w:val="nil"/>
                    <w:bottom w:val="nil"/>
                    <w:right w:val="nil"/>
                  </w:tcBorders>
                  <w:shd w:val="clear" w:color="auto" w:fill="auto"/>
                  <w:tcMar>
                    <w:left w:w="0" w:type="dxa"/>
                    <w:right w:w="0" w:type="dxa"/>
                  </w:tcMar>
                  <w:vAlign w:val="center"/>
                  <w:hideMark/>
                </w:tcPr>
                <w:p w14:paraId="7954B4AF" w14:textId="77777777" w:rsidR="00F05DC7" w:rsidRPr="00B331DE" w:rsidRDefault="00F05DC7" w:rsidP="00A3786D">
                  <w:pPr>
                    <w:spacing w:before="80"/>
                    <w:ind w:right="11"/>
                    <w:jc w:val="right"/>
                    <w:rPr>
                      <w:rFonts w:asciiTheme="minorHAnsi" w:hAnsiTheme="minorHAnsi" w:cstheme="minorHAnsi"/>
                      <w:sz w:val="18"/>
                      <w:szCs w:val="18"/>
                    </w:rPr>
                  </w:pPr>
                </w:p>
              </w:tc>
              <w:tc>
                <w:tcPr>
                  <w:tcW w:w="411" w:type="pct"/>
                  <w:tcBorders>
                    <w:top w:val="nil"/>
                    <w:left w:val="nil"/>
                    <w:bottom w:val="nil"/>
                    <w:right w:val="nil"/>
                  </w:tcBorders>
                  <w:shd w:val="clear" w:color="auto" w:fill="auto"/>
                  <w:tcMar>
                    <w:left w:w="0" w:type="dxa"/>
                    <w:right w:w="0" w:type="dxa"/>
                  </w:tcMar>
                  <w:vAlign w:val="center"/>
                  <w:hideMark/>
                </w:tcPr>
                <w:p w14:paraId="7954B4B0" w14:textId="77777777" w:rsidR="00F05DC7" w:rsidRPr="00B331DE" w:rsidRDefault="00F05DC7" w:rsidP="00A3786D">
                  <w:pPr>
                    <w:spacing w:before="80"/>
                    <w:ind w:right="11"/>
                    <w:jc w:val="right"/>
                    <w:rPr>
                      <w:rFonts w:asciiTheme="minorHAnsi" w:hAnsiTheme="minorHAnsi" w:cstheme="minorHAnsi"/>
                      <w:sz w:val="18"/>
                      <w:szCs w:val="18"/>
                    </w:rPr>
                  </w:pPr>
                </w:p>
              </w:tc>
              <w:tc>
                <w:tcPr>
                  <w:tcW w:w="411" w:type="pct"/>
                  <w:tcBorders>
                    <w:top w:val="nil"/>
                    <w:left w:val="nil"/>
                    <w:bottom w:val="nil"/>
                    <w:right w:val="nil"/>
                  </w:tcBorders>
                  <w:shd w:val="clear" w:color="auto" w:fill="auto"/>
                  <w:tcMar>
                    <w:left w:w="0" w:type="dxa"/>
                    <w:right w:w="0" w:type="dxa"/>
                  </w:tcMar>
                  <w:vAlign w:val="center"/>
                  <w:hideMark/>
                </w:tcPr>
                <w:p w14:paraId="7954B4B1" w14:textId="77777777" w:rsidR="00F05DC7" w:rsidRPr="00B331DE" w:rsidRDefault="00F05DC7" w:rsidP="00A3786D">
                  <w:pPr>
                    <w:spacing w:before="80"/>
                    <w:ind w:right="11"/>
                    <w:jc w:val="right"/>
                    <w:rPr>
                      <w:rFonts w:asciiTheme="minorHAnsi" w:hAnsiTheme="minorHAnsi" w:cstheme="minorHAnsi"/>
                      <w:sz w:val="18"/>
                      <w:szCs w:val="18"/>
                    </w:rPr>
                  </w:pPr>
                </w:p>
              </w:tc>
              <w:tc>
                <w:tcPr>
                  <w:tcW w:w="410" w:type="pct"/>
                  <w:tcBorders>
                    <w:top w:val="nil"/>
                    <w:left w:val="nil"/>
                    <w:bottom w:val="nil"/>
                    <w:right w:val="nil"/>
                  </w:tcBorders>
                  <w:shd w:val="clear" w:color="auto" w:fill="auto"/>
                  <w:tcMar>
                    <w:left w:w="0" w:type="dxa"/>
                    <w:right w:w="0" w:type="dxa"/>
                  </w:tcMar>
                  <w:vAlign w:val="center"/>
                  <w:hideMark/>
                </w:tcPr>
                <w:p w14:paraId="7954B4B2" w14:textId="77777777" w:rsidR="00F05DC7" w:rsidRPr="00B331DE" w:rsidRDefault="00F05DC7" w:rsidP="00A3786D">
                  <w:pPr>
                    <w:spacing w:before="80"/>
                    <w:ind w:right="11"/>
                    <w:jc w:val="right"/>
                    <w:rPr>
                      <w:rFonts w:asciiTheme="minorHAnsi" w:hAnsiTheme="minorHAnsi" w:cstheme="minorHAnsi"/>
                      <w:sz w:val="18"/>
                      <w:szCs w:val="18"/>
                    </w:rPr>
                  </w:pPr>
                </w:p>
              </w:tc>
            </w:tr>
            <w:tr w:rsidR="00F05DC7" w:rsidRPr="0004120D" w14:paraId="7954B4BD" w14:textId="77777777" w:rsidTr="00A3786D">
              <w:trPr>
                <w:trHeight w:val="276"/>
              </w:trPr>
              <w:tc>
                <w:tcPr>
                  <w:tcW w:w="1651" w:type="pct"/>
                  <w:tcBorders>
                    <w:top w:val="nil"/>
                    <w:left w:val="nil"/>
                    <w:bottom w:val="nil"/>
                    <w:right w:val="nil"/>
                  </w:tcBorders>
                  <w:shd w:val="clear" w:color="auto" w:fill="auto"/>
                  <w:tcMar>
                    <w:left w:w="0" w:type="dxa"/>
                    <w:right w:w="0" w:type="dxa"/>
                  </w:tcMar>
                  <w:vAlign w:val="center"/>
                  <w:hideMark/>
                </w:tcPr>
                <w:p w14:paraId="7954B4B4" w14:textId="77777777" w:rsidR="00F05DC7" w:rsidRPr="00B331DE" w:rsidRDefault="00F05DC7" w:rsidP="00A3786D">
                  <w:pPr>
                    <w:pStyle w:val="TableBodyText"/>
                    <w:jc w:val="left"/>
                  </w:pPr>
                  <w:r w:rsidRPr="00B331DE">
                    <w:t>$m</w:t>
                  </w:r>
                </w:p>
              </w:tc>
              <w:tc>
                <w:tcPr>
                  <w:tcW w:w="409" w:type="pct"/>
                  <w:tcBorders>
                    <w:top w:val="nil"/>
                    <w:left w:val="nil"/>
                    <w:bottom w:val="nil"/>
                    <w:right w:val="nil"/>
                  </w:tcBorders>
                  <w:shd w:val="clear" w:color="auto" w:fill="auto"/>
                  <w:tcMar>
                    <w:left w:w="0" w:type="dxa"/>
                    <w:right w:w="0" w:type="dxa"/>
                  </w:tcMar>
                  <w:vAlign w:val="bottom"/>
                  <w:hideMark/>
                </w:tcPr>
                <w:p w14:paraId="7954B4B5" w14:textId="77777777" w:rsidR="00F05DC7" w:rsidRPr="00B331DE" w:rsidRDefault="00F05DC7" w:rsidP="00A3786D">
                  <w:pPr>
                    <w:pStyle w:val="TableBodyText"/>
                    <w:rPr>
                      <w:rFonts w:cs="Arial"/>
                    </w:rPr>
                  </w:pPr>
                  <w:r w:rsidRPr="00B331DE">
                    <w:rPr>
                      <w:rFonts w:cs="Arial"/>
                    </w:rPr>
                    <w:t>-</w:t>
                  </w:r>
                  <w:r>
                    <w:rPr>
                      <w:rFonts w:cs="Arial"/>
                    </w:rPr>
                    <w:t>823</w:t>
                  </w:r>
                </w:p>
              </w:tc>
              <w:tc>
                <w:tcPr>
                  <w:tcW w:w="410" w:type="pct"/>
                  <w:tcBorders>
                    <w:top w:val="nil"/>
                    <w:left w:val="nil"/>
                    <w:bottom w:val="nil"/>
                    <w:right w:val="nil"/>
                  </w:tcBorders>
                  <w:shd w:val="clear" w:color="auto" w:fill="auto"/>
                  <w:tcMar>
                    <w:left w:w="0" w:type="dxa"/>
                    <w:right w:w="0" w:type="dxa"/>
                  </w:tcMar>
                  <w:vAlign w:val="bottom"/>
                  <w:hideMark/>
                </w:tcPr>
                <w:p w14:paraId="7954B4B6" w14:textId="77777777" w:rsidR="00F05DC7" w:rsidRPr="00B331DE" w:rsidRDefault="00F05DC7" w:rsidP="00A3786D">
                  <w:pPr>
                    <w:pStyle w:val="TableBodyText"/>
                    <w:rPr>
                      <w:rFonts w:cs="Arial"/>
                    </w:rPr>
                  </w:pPr>
                  <w:r w:rsidRPr="00B331DE">
                    <w:rPr>
                      <w:rFonts w:cs="Arial"/>
                    </w:rPr>
                    <w:t>-</w:t>
                  </w:r>
                  <w:r>
                    <w:rPr>
                      <w:rFonts w:cs="Arial"/>
                    </w:rPr>
                    <w:t>666</w:t>
                  </w:r>
                </w:p>
              </w:tc>
              <w:tc>
                <w:tcPr>
                  <w:tcW w:w="412" w:type="pct"/>
                  <w:tcBorders>
                    <w:top w:val="nil"/>
                    <w:left w:val="nil"/>
                    <w:bottom w:val="nil"/>
                    <w:right w:val="nil"/>
                  </w:tcBorders>
                  <w:shd w:val="clear" w:color="auto" w:fill="auto"/>
                  <w:tcMar>
                    <w:left w:w="0" w:type="dxa"/>
                    <w:right w:w="0" w:type="dxa"/>
                  </w:tcMar>
                  <w:vAlign w:val="bottom"/>
                  <w:hideMark/>
                </w:tcPr>
                <w:p w14:paraId="7954B4B7" w14:textId="77777777" w:rsidR="00F05DC7" w:rsidRPr="00B331DE" w:rsidRDefault="00F05DC7" w:rsidP="00A3786D">
                  <w:pPr>
                    <w:pStyle w:val="TableBodyText"/>
                    <w:rPr>
                      <w:rFonts w:cs="Arial"/>
                    </w:rPr>
                  </w:pPr>
                  <w:r w:rsidRPr="00B331DE">
                    <w:rPr>
                      <w:rFonts w:cs="Arial"/>
                    </w:rPr>
                    <w:t>-</w:t>
                  </w:r>
                  <w:r>
                    <w:rPr>
                      <w:rFonts w:cs="Arial"/>
                    </w:rPr>
                    <w:t>515</w:t>
                  </w:r>
                </w:p>
              </w:tc>
              <w:tc>
                <w:tcPr>
                  <w:tcW w:w="477" w:type="pct"/>
                  <w:tcBorders>
                    <w:top w:val="nil"/>
                    <w:left w:val="nil"/>
                    <w:bottom w:val="nil"/>
                    <w:right w:val="nil"/>
                  </w:tcBorders>
                  <w:shd w:val="clear" w:color="auto" w:fill="auto"/>
                  <w:tcMar>
                    <w:left w:w="0" w:type="dxa"/>
                    <w:right w:w="0" w:type="dxa"/>
                  </w:tcMar>
                  <w:vAlign w:val="bottom"/>
                  <w:hideMark/>
                </w:tcPr>
                <w:p w14:paraId="7954B4B8" w14:textId="77777777" w:rsidR="00F05DC7" w:rsidRPr="00B331DE" w:rsidRDefault="00F05DC7" w:rsidP="00A3786D">
                  <w:pPr>
                    <w:pStyle w:val="TableBodyText"/>
                    <w:rPr>
                      <w:rFonts w:cs="Arial"/>
                    </w:rPr>
                  </w:pPr>
                  <w:r w:rsidRPr="00B331DE">
                    <w:rPr>
                      <w:rFonts w:cs="Arial"/>
                    </w:rPr>
                    <w:t>2 </w:t>
                  </w:r>
                  <w:r>
                    <w:rPr>
                      <w:rFonts w:cs="Arial"/>
                    </w:rPr>
                    <w:t>30</w:t>
                  </w:r>
                  <w:r w:rsidRPr="00B331DE">
                    <w:rPr>
                      <w:rFonts w:cs="Arial"/>
                    </w:rPr>
                    <w:t>3</w:t>
                  </w:r>
                </w:p>
              </w:tc>
              <w:tc>
                <w:tcPr>
                  <w:tcW w:w="410" w:type="pct"/>
                  <w:tcBorders>
                    <w:top w:val="nil"/>
                    <w:left w:val="nil"/>
                    <w:bottom w:val="nil"/>
                    <w:right w:val="nil"/>
                  </w:tcBorders>
                  <w:shd w:val="clear" w:color="auto" w:fill="auto"/>
                  <w:tcMar>
                    <w:left w:w="0" w:type="dxa"/>
                    <w:right w:w="0" w:type="dxa"/>
                  </w:tcMar>
                  <w:vAlign w:val="bottom"/>
                  <w:hideMark/>
                </w:tcPr>
                <w:p w14:paraId="7954B4B9" w14:textId="77777777" w:rsidR="00F05DC7" w:rsidRPr="00B331DE" w:rsidRDefault="00F05DC7" w:rsidP="00A3786D">
                  <w:pPr>
                    <w:pStyle w:val="TableBodyText"/>
                    <w:rPr>
                      <w:rFonts w:cs="Arial"/>
                    </w:rPr>
                  </w:pPr>
                  <w:r w:rsidRPr="00B331DE">
                    <w:rPr>
                      <w:rFonts w:cs="Arial"/>
                    </w:rPr>
                    <w:t>-</w:t>
                  </w:r>
                  <w:r>
                    <w:rPr>
                      <w:rFonts w:cs="Arial"/>
                    </w:rPr>
                    <w:t>178</w:t>
                  </w:r>
                </w:p>
              </w:tc>
              <w:tc>
                <w:tcPr>
                  <w:tcW w:w="411" w:type="pct"/>
                  <w:tcBorders>
                    <w:top w:val="nil"/>
                    <w:left w:val="nil"/>
                    <w:bottom w:val="nil"/>
                    <w:right w:val="nil"/>
                  </w:tcBorders>
                  <w:shd w:val="clear" w:color="auto" w:fill="auto"/>
                  <w:tcMar>
                    <w:left w:w="0" w:type="dxa"/>
                    <w:right w:w="0" w:type="dxa"/>
                  </w:tcMar>
                  <w:vAlign w:val="bottom"/>
                  <w:hideMark/>
                </w:tcPr>
                <w:p w14:paraId="7954B4BA" w14:textId="77777777" w:rsidR="00F05DC7" w:rsidRPr="00B331DE" w:rsidRDefault="00F05DC7" w:rsidP="00A3786D">
                  <w:pPr>
                    <w:pStyle w:val="TableBodyText"/>
                    <w:rPr>
                      <w:rFonts w:cs="Arial"/>
                    </w:rPr>
                  </w:pPr>
                  <w:r w:rsidRPr="00B331DE">
                    <w:rPr>
                      <w:rFonts w:cs="Arial"/>
                    </w:rPr>
                    <w:t>-</w:t>
                  </w:r>
                  <w:r>
                    <w:rPr>
                      <w:rFonts w:cs="Arial"/>
                    </w:rPr>
                    <w:t>54</w:t>
                  </w:r>
                </w:p>
              </w:tc>
              <w:tc>
                <w:tcPr>
                  <w:tcW w:w="411" w:type="pct"/>
                  <w:tcBorders>
                    <w:top w:val="nil"/>
                    <w:left w:val="nil"/>
                    <w:bottom w:val="nil"/>
                    <w:right w:val="nil"/>
                  </w:tcBorders>
                  <w:shd w:val="clear" w:color="auto" w:fill="auto"/>
                  <w:tcMar>
                    <w:left w:w="0" w:type="dxa"/>
                    <w:right w:w="0" w:type="dxa"/>
                  </w:tcMar>
                  <w:vAlign w:val="bottom"/>
                  <w:hideMark/>
                </w:tcPr>
                <w:p w14:paraId="7954B4BB" w14:textId="77777777" w:rsidR="00F05DC7" w:rsidRPr="00B331DE" w:rsidRDefault="00F05DC7" w:rsidP="00A3786D">
                  <w:pPr>
                    <w:pStyle w:val="TableBodyText"/>
                    <w:rPr>
                      <w:rFonts w:cs="Arial"/>
                    </w:rPr>
                  </w:pPr>
                  <w:r w:rsidRPr="00B331DE">
                    <w:rPr>
                      <w:rFonts w:cs="Arial"/>
                    </w:rPr>
                    <w:t>-</w:t>
                  </w:r>
                  <w:r>
                    <w:rPr>
                      <w:rFonts w:cs="Arial"/>
                    </w:rPr>
                    <w:t>43</w:t>
                  </w:r>
                </w:p>
              </w:tc>
              <w:tc>
                <w:tcPr>
                  <w:tcW w:w="410" w:type="pct"/>
                  <w:tcBorders>
                    <w:top w:val="nil"/>
                    <w:left w:val="nil"/>
                    <w:bottom w:val="nil"/>
                    <w:right w:val="nil"/>
                  </w:tcBorders>
                  <w:shd w:val="clear" w:color="auto" w:fill="auto"/>
                  <w:tcMar>
                    <w:left w:w="0" w:type="dxa"/>
                    <w:right w:w="0" w:type="dxa"/>
                  </w:tcMar>
                  <w:vAlign w:val="bottom"/>
                  <w:hideMark/>
                </w:tcPr>
                <w:p w14:paraId="7954B4BC" w14:textId="77777777" w:rsidR="00F05DC7" w:rsidRPr="00B331DE" w:rsidRDefault="00F05DC7" w:rsidP="00A3786D">
                  <w:pPr>
                    <w:pStyle w:val="TableBodyText"/>
                    <w:rPr>
                      <w:rFonts w:cs="Arial"/>
                    </w:rPr>
                  </w:pPr>
                  <w:r w:rsidRPr="00B331DE">
                    <w:rPr>
                      <w:rFonts w:cs="Arial"/>
                    </w:rPr>
                    <w:t>-</w:t>
                  </w:r>
                  <w:r>
                    <w:rPr>
                      <w:rFonts w:cs="Arial"/>
                    </w:rPr>
                    <w:t>25</w:t>
                  </w:r>
                </w:p>
              </w:tc>
            </w:tr>
            <w:tr w:rsidR="00F05DC7" w:rsidRPr="0004120D" w14:paraId="7954B4C7" w14:textId="77777777" w:rsidTr="00A3786D">
              <w:trPr>
                <w:trHeight w:val="276"/>
              </w:trPr>
              <w:tc>
                <w:tcPr>
                  <w:tcW w:w="1651" w:type="pct"/>
                  <w:tcBorders>
                    <w:top w:val="nil"/>
                    <w:left w:val="nil"/>
                    <w:bottom w:val="nil"/>
                    <w:right w:val="nil"/>
                  </w:tcBorders>
                  <w:shd w:val="clear" w:color="auto" w:fill="auto"/>
                  <w:tcMar>
                    <w:left w:w="0" w:type="dxa"/>
                    <w:right w:w="0" w:type="dxa"/>
                  </w:tcMar>
                  <w:vAlign w:val="center"/>
                </w:tcPr>
                <w:p w14:paraId="7954B4BE" w14:textId="77777777" w:rsidR="00F05DC7" w:rsidRPr="0004120D" w:rsidRDefault="00F05DC7" w:rsidP="00A3786D">
                  <w:pPr>
                    <w:pStyle w:val="TableBodyText"/>
                    <w:jc w:val="left"/>
                  </w:pPr>
                  <w:r w:rsidRPr="0098674F">
                    <w:t>$pc</w:t>
                  </w:r>
                </w:p>
              </w:tc>
              <w:tc>
                <w:tcPr>
                  <w:tcW w:w="409" w:type="pct"/>
                  <w:tcBorders>
                    <w:top w:val="nil"/>
                    <w:left w:val="nil"/>
                    <w:bottom w:val="nil"/>
                    <w:right w:val="nil"/>
                  </w:tcBorders>
                  <w:shd w:val="clear" w:color="auto" w:fill="auto"/>
                  <w:tcMar>
                    <w:left w:w="0" w:type="dxa"/>
                    <w:right w:w="0" w:type="dxa"/>
                  </w:tcMar>
                  <w:vAlign w:val="bottom"/>
                </w:tcPr>
                <w:p w14:paraId="7954B4BF" w14:textId="77777777" w:rsidR="00F05DC7" w:rsidRPr="0004120D" w:rsidRDefault="00F05DC7" w:rsidP="00A3786D">
                  <w:pPr>
                    <w:pStyle w:val="TableBodyText"/>
                    <w:rPr>
                      <w:rFonts w:cs="Arial"/>
                    </w:rPr>
                  </w:pPr>
                  <w:r w:rsidRPr="0098674F">
                    <w:rPr>
                      <w:rFonts w:cs="Arial"/>
                    </w:rPr>
                    <w:t>-1</w:t>
                  </w:r>
                  <w:r>
                    <w:rPr>
                      <w:rFonts w:cs="Arial"/>
                    </w:rPr>
                    <w:t>02</w:t>
                  </w:r>
                </w:p>
              </w:tc>
              <w:tc>
                <w:tcPr>
                  <w:tcW w:w="410" w:type="pct"/>
                  <w:tcBorders>
                    <w:top w:val="nil"/>
                    <w:left w:val="nil"/>
                    <w:bottom w:val="nil"/>
                    <w:right w:val="nil"/>
                  </w:tcBorders>
                  <w:shd w:val="clear" w:color="auto" w:fill="auto"/>
                  <w:tcMar>
                    <w:left w:w="0" w:type="dxa"/>
                    <w:right w:w="0" w:type="dxa"/>
                  </w:tcMar>
                  <w:vAlign w:val="bottom"/>
                </w:tcPr>
                <w:p w14:paraId="7954B4C0" w14:textId="77777777" w:rsidR="00F05DC7" w:rsidRPr="0004120D" w:rsidRDefault="00F05DC7" w:rsidP="00A3786D">
                  <w:pPr>
                    <w:pStyle w:val="TableBodyText"/>
                    <w:rPr>
                      <w:rFonts w:cs="Arial"/>
                    </w:rPr>
                  </w:pPr>
                  <w:r w:rsidRPr="0098674F">
                    <w:rPr>
                      <w:rFonts w:cs="Arial"/>
                    </w:rPr>
                    <w:t>-1</w:t>
                  </w:r>
                  <w:r>
                    <w:rPr>
                      <w:rFonts w:cs="Arial"/>
                    </w:rPr>
                    <w:t>02</w:t>
                  </w:r>
                </w:p>
              </w:tc>
              <w:tc>
                <w:tcPr>
                  <w:tcW w:w="412" w:type="pct"/>
                  <w:tcBorders>
                    <w:top w:val="nil"/>
                    <w:left w:val="nil"/>
                    <w:bottom w:val="nil"/>
                    <w:right w:val="nil"/>
                  </w:tcBorders>
                  <w:shd w:val="clear" w:color="auto" w:fill="auto"/>
                  <w:tcMar>
                    <w:left w:w="0" w:type="dxa"/>
                    <w:right w:w="0" w:type="dxa"/>
                  </w:tcMar>
                  <w:vAlign w:val="bottom"/>
                </w:tcPr>
                <w:p w14:paraId="7954B4C1" w14:textId="77777777" w:rsidR="00F05DC7" w:rsidRPr="0004120D" w:rsidRDefault="00F05DC7" w:rsidP="00A3786D">
                  <w:pPr>
                    <w:pStyle w:val="TableBodyText"/>
                    <w:rPr>
                      <w:rFonts w:cs="Arial"/>
                    </w:rPr>
                  </w:pPr>
                  <w:r w:rsidRPr="0098674F">
                    <w:rPr>
                      <w:rFonts w:cs="Arial"/>
                    </w:rPr>
                    <w:t>-1</w:t>
                  </w:r>
                  <w:r>
                    <w:rPr>
                      <w:rFonts w:cs="Arial"/>
                    </w:rPr>
                    <w:t>02</w:t>
                  </w:r>
                </w:p>
              </w:tc>
              <w:tc>
                <w:tcPr>
                  <w:tcW w:w="477" w:type="pct"/>
                  <w:tcBorders>
                    <w:top w:val="nil"/>
                    <w:left w:val="nil"/>
                    <w:bottom w:val="nil"/>
                    <w:right w:val="nil"/>
                  </w:tcBorders>
                  <w:shd w:val="clear" w:color="auto" w:fill="auto"/>
                  <w:tcMar>
                    <w:left w:w="0" w:type="dxa"/>
                    <w:right w:w="0" w:type="dxa"/>
                  </w:tcMar>
                  <w:vAlign w:val="bottom"/>
                </w:tcPr>
                <w:p w14:paraId="7954B4C2" w14:textId="77777777" w:rsidR="00F05DC7" w:rsidRPr="0004120D" w:rsidRDefault="00F05DC7" w:rsidP="00A3786D">
                  <w:pPr>
                    <w:pStyle w:val="TableBodyText"/>
                    <w:rPr>
                      <w:rFonts w:cs="Arial"/>
                    </w:rPr>
                  </w:pPr>
                  <w:r>
                    <w:rPr>
                      <w:rFonts w:cs="Arial"/>
                    </w:rPr>
                    <w:t>879</w:t>
                  </w:r>
                </w:p>
              </w:tc>
              <w:tc>
                <w:tcPr>
                  <w:tcW w:w="410" w:type="pct"/>
                  <w:tcBorders>
                    <w:top w:val="nil"/>
                    <w:left w:val="nil"/>
                    <w:bottom w:val="nil"/>
                    <w:right w:val="nil"/>
                  </w:tcBorders>
                  <w:shd w:val="clear" w:color="auto" w:fill="auto"/>
                  <w:tcMar>
                    <w:left w:w="0" w:type="dxa"/>
                    <w:right w:w="0" w:type="dxa"/>
                  </w:tcMar>
                  <w:vAlign w:val="bottom"/>
                </w:tcPr>
                <w:p w14:paraId="7954B4C3" w14:textId="77777777" w:rsidR="00F05DC7" w:rsidRPr="0004120D" w:rsidRDefault="00F05DC7" w:rsidP="00A3786D">
                  <w:pPr>
                    <w:pStyle w:val="TableBodyText"/>
                    <w:rPr>
                      <w:rFonts w:cs="Arial"/>
                    </w:rPr>
                  </w:pPr>
                  <w:r w:rsidRPr="0098674F">
                    <w:rPr>
                      <w:rFonts w:cs="Arial"/>
                    </w:rPr>
                    <w:t>-1</w:t>
                  </w:r>
                  <w:r>
                    <w:rPr>
                      <w:rFonts w:cs="Arial"/>
                    </w:rPr>
                    <w:t>02</w:t>
                  </w:r>
                </w:p>
              </w:tc>
              <w:tc>
                <w:tcPr>
                  <w:tcW w:w="411" w:type="pct"/>
                  <w:tcBorders>
                    <w:top w:val="nil"/>
                    <w:left w:val="nil"/>
                    <w:bottom w:val="nil"/>
                    <w:right w:val="nil"/>
                  </w:tcBorders>
                  <w:shd w:val="clear" w:color="auto" w:fill="auto"/>
                  <w:tcMar>
                    <w:left w:w="0" w:type="dxa"/>
                    <w:right w:w="0" w:type="dxa"/>
                  </w:tcMar>
                  <w:vAlign w:val="bottom"/>
                </w:tcPr>
                <w:p w14:paraId="7954B4C4" w14:textId="77777777" w:rsidR="00F05DC7" w:rsidRPr="0004120D" w:rsidRDefault="00F05DC7" w:rsidP="00A3786D">
                  <w:pPr>
                    <w:pStyle w:val="TableBodyText"/>
                    <w:rPr>
                      <w:rFonts w:cs="Arial"/>
                    </w:rPr>
                  </w:pPr>
                  <w:r w:rsidRPr="0098674F">
                    <w:rPr>
                      <w:rFonts w:cs="Arial"/>
                    </w:rPr>
                    <w:t>-10</w:t>
                  </w:r>
                  <w:r>
                    <w:rPr>
                      <w:rFonts w:cs="Arial"/>
                    </w:rPr>
                    <w:t>2</w:t>
                  </w:r>
                </w:p>
              </w:tc>
              <w:tc>
                <w:tcPr>
                  <w:tcW w:w="411" w:type="pct"/>
                  <w:tcBorders>
                    <w:top w:val="nil"/>
                    <w:left w:val="nil"/>
                    <w:bottom w:val="nil"/>
                    <w:right w:val="nil"/>
                  </w:tcBorders>
                  <w:shd w:val="clear" w:color="auto" w:fill="auto"/>
                  <w:tcMar>
                    <w:left w:w="0" w:type="dxa"/>
                    <w:right w:w="0" w:type="dxa"/>
                  </w:tcMar>
                  <w:vAlign w:val="bottom"/>
                </w:tcPr>
                <w:p w14:paraId="7954B4C5" w14:textId="77777777" w:rsidR="00F05DC7" w:rsidRPr="0004120D" w:rsidRDefault="00F05DC7" w:rsidP="00A3786D">
                  <w:pPr>
                    <w:pStyle w:val="TableBodyText"/>
                    <w:rPr>
                      <w:rFonts w:cs="Arial"/>
                    </w:rPr>
                  </w:pPr>
                  <w:r w:rsidRPr="0098674F">
                    <w:rPr>
                      <w:rFonts w:cs="Arial"/>
                    </w:rPr>
                    <w:t>-</w:t>
                  </w:r>
                  <w:r>
                    <w:rPr>
                      <w:rFonts w:cs="Arial"/>
                    </w:rPr>
                    <w:t>1</w:t>
                  </w:r>
                  <w:r w:rsidRPr="0098674F">
                    <w:rPr>
                      <w:rFonts w:cs="Arial"/>
                    </w:rPr>
                    <w:t>0</w:t>
                  </w:r>
                  <w:r>
                    <w:rPr>
                      <w:rFonts w:cs="Arial"/>
                    </w:rPr>
                    <w:t>2</w:t>
                  </w:r>
                </w:p>
              </w:tc>
              <w:tc>
                <w:tcPr>
                  <w:tcW w:w="410" w:type="pct"/>
                  <w:tcBorders>
                    <w:top w:val="nil"/>
                    <w:left w:val="nil"/>
                    <w:bottom w:val="nil"/>
                    <w:right w:val="nil"/>
                  </w:tcBorders>
                  <w:shd w:val="clear" w:color="auto" w:fill="auto"/>
                  <w:tcMar>
                    <w:left w:w="0" w:type="dxa"/>
                    <w:right w:w="0" w:type="dxa"/>
                  </w:tcMar>
                  <w:vAlign w:val="bottom"/>
                </w:tcPr>
                <w:p w14:paraId="7954B4C6" w14:textId="77777777" w:rsidR="00F05DC7" w:rsidRPr="0004120D" w:rsidRDefault="00F05DC7" w:rsidP="00A3786D">
                  <w:pPr>
                    <w:pStyle w:val="TableBodyText"/>
                    <w:rPr>
                      <w:rFonts w:cs="Arial"/>
                    </w:rPr>
                  </w:pPr>
                  <w:r>
                    <w:rPr>
                      <w:rFonts w:cs="Arial"/>
                    </w:rPr>
                    <w:t>-1</w:t>
                  </w:r>
                  <w:r w:rsidRPr="0098674F">
                    <w:rPr>
                      <w:rFonts w:cs="Arial"/>
                    </w:rPr>
                    <w:t>0</w:t>
                  </w:r>
                  <w:r>
                    <w:rPr>
                      <w:rFonts w:cs="Arial"/>
                    </w:rPr>
                    <w:t>2</w:t>
                  </w:r>
                </w:p>
              </w:tc>
            </w:tr>
            <w:tr w:rsidR="00F05DC7" w:rsidRPr="0004120D" w14:paraId="7954B4D1" w14:textId="77777777" w:rsidTr="00A3786D">
              <w:trPr>
                <w:trHeight w:val="288"/>
              </w:trPr>
              <w:tc>
                <w:tcPr>
                  <w:tcW w:w="1651" w:type="pct"/>
                  <w:tcBorders>
                    <w:top w:val="nil"/>
                    <w:left w:val="nil"/>
                    <w:bottom w:val="nil"/>
                    <w:right w:val="nil"/>
                  </w:tcBorders>
                  <w:shd w:val="clear" w:color="auto" w:fill="auto"/>
                  <w:tcMar>
                    <w:left w:w="0" w:type="dxa"/>
                    <w:right w:w="0" w:type="dxa"/>
                  </w:tcMar>
                  <w:vAlign w:val="center"/>
                </w:tcPr>
                <w:p w14:paraId="7954B4C8" w14:textId="77777777" w:rsidR="00F05DC7" w:rsidRPr="008709F8" w:rsidRDefault="00F05DC7" w:rsidP="00A3786D">
                  <w:pPr>
                    <w:pStyle w:val="TableBodyText"/>
                    <w:jc w:val="left"/>
                  </w:pPr>
                  <w:r w:rsidRPr="002600E3">
                    <w:rPr>
                      <w:color w:val="000000"/>
                    </w:rPr>
                    <w:t>% change in State revenue</w:t>
                  </w:r>
                  <w:r w:rsidRPr="002600E3" w:rsidDel="00CE2770">
                    <w:rPr>
                      <w:color w:val="000000"/>
                    </w:rPr>
                    <w:t xml:space="preserve"> </w:t>
                  </w:r>
                </w:p>
              </w:tc>
              <w:tc>
                <w:tcPr>
                  <w:tcW w:w="409" w:type="pct"/>
                  <w:tcBorders>
                    <w:top w:val="nil"/>
                    <w:left w:val="nil"/>
                    <w:bottom w:val="nil"/>
                    <w:right w:val="nil"/>
                  </w:tcBorders>
                  <w:shd w:val="clear" w:color="auto" w:fill="auto"/>
                  <w:tcMar>
                    <w:left w:w="0" w:type="dxa"/>
                    <w:right w:w="0" w:type="dxa"/>
                  </w:tcMar>
                  <w:vAlign w:val="bottom"/>
                </w:tcPr>
                <w:p w14:paraId="7954B4C9" w14:textId="77777777" w:rsidR="00F05DC7" w:rsidRPr="008709F8" w:rsidRDefault="00F05DC7" w:rsidP="00A3786D">
                  <w:pPr>
                    <w:pStyle w:val="TableBodyText"/>
                  </w:pPr>
                  <w:r w:rsidRPr="008709F8">
                    <w:rPr>
                      <w:color w:val="000000"/>
                    </w:rPr>
                    <w:t>-1.</w:t>
                  </w:r>
                  <w:r>
                    <w:rPr>
                      <w:color w:val="000000"/>
                    </w:rPr>
                    <w:t>0</w:t>
                  </w:r>
                </w:p>
              </w:tc>
              <w:tc>
                <w:tcPr>
                  <w:tcW w:w="410" w:type="pct"/>
                  <w:tcBorders>
                    <w:top w:val="nil"/>
                    <w:left w:val="nil"/>
                    <w:bottom w:val="nil"/>
                    <w:right w:val="nil"/>
                  </w:tcBorders>
                  <w:shd w:val="clear" w:color="auto" w:fill="auto"/>
                  <w:tcMar>
                    <w:left w:w="0" w:type="dxa"/>
                    <w:right w:w="0" w:type="dxa"/>
                  </w:tcMar>
                  <w:vAlign w:val="bottom"/>
                </w:tcPr>
                <w:p w14:paraId="7954B4CA" w14:textId="77777777" w:rsidR="00F05DC7" w:rsidRPr="008709F8" w:rsidRDefault="00F05DC7" w:rsidP="00A3786D">
                  <w:pPr>
                    <w:pStyle w:val="TableBodyText"/>
                  </w:pPr>
                  <w:r w:rsidRPr="008709F8">
                    <w:rPr>
                      <w:color w:val="000000"/>
                    </w:rPr>
                    <w:t>-1.</w:t>
                  </w:r>
                  <w:r>
                    <w:rPr>
                      <w:color w:val="000000"/>
                    </w:rPr>
                    <w:t>0</w:t>
                  </w:r>
                </w:p>
              </w:tc>
              <w:tc>
                <w:tcPr>
                  <w:tcW w:w="412" w:type="pct"/>
                  <w:tcBorders>
                    <w:top w:val="nil"/>
                    <w:left w:val="nil"/>
                    <w:bottom w:val="nil"/>
                    <w:right w:val="nil"/>
                  </w:tcBorders>
                  <w:shd w:val="clear" w:color="auto" w:fill="auto"/>
                  <w:tcMar>
                    <w:left w:w="0" w:type="dxa"/>
                    <w:right w:w="0" w:type="dxa"/>
                  </w:tcMar>
                  <w:vAlign w:val="bottom"/>
                </w:tcPr>
                <w:p w14:paraId="7954B4CB" w14:textId="77777777" w:rsidR="00F05DC7" w:rsidRPr="008709F8" w:rsidRDefault="00F05DC7" w:rsidP="00A3786D">
                  <w:pPr>
                    <w:pStyle w:val="TableBodyText"/>
                  </w:pPr>
                  <w:r w:rsidRPr="008709F8">
                    <w:rPr>
                      <w:color w:val="000000"/>
                    </w:rPr>
                    <w:t>-</w:t>
                  </w:r>
                  <w:r>
                    <w:rPr>
                      <w:color w:val="000000"/>
                    </w:rPr>
                    <w:t>0</w:t>
                  </w:r>
                  <w:r w:rsidRPr="008709F8">
                    <w:rPr>
                      <w:color w:val="000000"/>
                    </w:rPr>
                    <w:t>.</w:t>
                  </w:r>
                  <w:r>
                    <w:rPr>
                      <w:color w:val="000000"/>
                    </w:rPr>
                    <w:t>9</w:t>
                  </w:r>
                </w:p>
              </w:tc>
              <w:tc>
                <w:tcPr>
                  <w:tcW w:w="477" w:type="pct"/>
                  <w:tcBorders>
                    <w:top w:val="nil"/>
                    <w:left w:val="nil"/>
                    <w:bottom w:val="nil"/>
                    <w:right w:val="nil"/>
                  </w:tcBorders>
                  <w:shd w:val="clear" w:color="auto" w:fill="auto"/>
                  <w:tcMar>
                    <w:left w:w="0" w:type="dxa"/>
                    <w:right w:w="0" w:type="dxa"/>
                  </w:tcMar>
                  <w:vAlign w:val="bottom"/>
                </w:tcPr>
                <w:p w14:paraId="7954B4CC" w14:textId="77777777" w:rsidR="00F05DC7" w:rsidRPr="008709F8" w:rsidRDefault="00F05DC7" w:rsidP="00A3786D">
                  <w:pPr>
                    <w:pStyle w:val="TableBodyText"/>
                  </w:pPr>
                  <w:r>
                    <w:rPr>
                      <w:color w:val="000000"/>
                    </w:rPr>
                    <w:t>7</w:t>
                  </w:r>
                  <w:r w:rsidRPr="008709F8">
                    <w:rPr>
                      <w:color w:val="000000"/>
                    </w:rPr>
                    <w:t>.</w:t>
                  </w:r>
                  <w:r>
                    <w:rPr>
                      <w:color w:val="000000"/>
                    </w:rPr>
                    <w:t>8</w:t>
                  </w:r>
                </w:p>
              </w:tc>
              <w:tc>
                <w:tcPr>
                  <w:tcW w:w="410" w:type="pct"/>
                  <w:tcBorders>
                    <w:top w:val="nil"/>
                    <w:left w:val="nil"/>
                    <w:bottom w:val="nil"/>
                    <w:right w:val="nil"/>
                  </w:tcBorders>
                  <w:shd w:val="clear" w:color="auto" w:fill="auto"/>
                  <w:tcMar>
                    <w:left w:w="0" w:type="dxa"/>
                    <w:right w:w="0" w:type="dxa"/>
                  </w:tcMar>
                  <w:vAlign w:val="bottom"/>
                </w:tcPr>
                <w:p w14:paraId="7954B4CD" w14:textId="77777777" w:rsidR="00F05DC7" w:rsidRPr="008709F8" w:rsidRDefault="00F05DC7" w:rsidP="00A3786D">
                  <w:pPr>
                    <w:pStyle w:val="TableBodyText"/>
                  </w:pPr>
                  <w:r w:rsidRPr="008709F8">
                    <w:rPr>
                      <w:color w:val="000000"/>
                    </w:rPr>
                    <w:t>-</w:t>
                  </w:r>
                  <w:r>
                    <w:rPr>
                      <w:color w:val="000000"/>
                    </w:rPr>
                    <w:t>0</w:t>
                  </w:r>
                  <w:r w:rsidRPr="008709F8">
                    <w:rPr>
                      <w:color w:val="000000"/>
                    </w:rPr>
                    <w:t>.</w:t>
                  </w:r>
                  <w:r>
                    <w:rPr>
                      <w:color w:val="000000"/>
                    </w:rPr>
                    <w:t>9</w:t>
                  </w:r>
                </w:p>
              </w:tc>
              <w:tc>
                <w:tcPr>
                  <w:tcW w:w="411" w:type="pct"/>
                  <w:tcBorders>
                    <w:top w:val="nil"/>
                    <w:left w:val="nil"/>
                    <w:bottom w:val="nil"/>
                    <w:right w:val="nil"/>
                  </w:tcBorders>
                  <w:shd w:val="clear" w:color="auto" w:fill="auto"/>
                  <w:tcMar>
                    <w:left w:w="0" w:type="dxa"/>
                    <w:right w:w="0" w:type="dxa"/>
                  </w:tcMar>
                  <w:vAlign w:val="bottom"/>
                </w:tcPr>
                <w:p w14:paraId="7954B4CE" w14:textId="77777777" w:rsidR="00F05DC7" w:rsidRPr="008709F8" w:rsidRDefault="00F05DC7" w:rsidP="00A3786D">
                  <w:pPr>
                    <w:pStyle w:val="TableBodyText"/>
                  </w:pPr>
                  <w:r w:rsidRPr="008709F8">
                    <w:rPr>
                      <w:color w:val="000000"/>
                    </w:rPr>
                    <w:t>-</w:t>
                  </w:r>
                  <w:r>
                    <w:rPr>
                      <w:color w:val="000000"/>
                    </w:rPr>
                    <w:t>0</w:t>
                  </w:r>
                  <w:r w:rsidRPr="008709F8">
                    <w:rPr>
                      <w:color w:val="000000"/>
                    </w:rPr>
                    <w:t>.</w:t>
                  </w:r>
                  <w:r>
                    <w:rPr>
                      <w:color w:val="000000"/>
                    </w:rPr>
                    <w:t>9</w:t>
                  </w:r>
                </w:p>
              </w:tc>
              <w:tc>
                <w:tcPr>
                  <w:tcW w:w="411" w:type="pct"/>
                  <w:tcBorders>
                    <w:top w:val="nil"/>
                    <w:left w:val="nil"/>
                    <w:bottom w:val="nil"/>
                    <w:right w:val="nil"/>
                  </w:tcBorders>
                  <w:shd w:val="clear" w:color="auto" w:fill="auto"/>
                  <w:tcMar>
                    <w:left w:w="0" w:type="dxa"/>
                    <w:right w:w="0" w:type="dxa"/>
                  </w:tcMar>
                  <w:vAlign w:val="bottom"/>
                </w:tcPr>
                <w:p w14:paraId="7954B4CF" w14:textId="77777777" w:rsidR="00F05DC7" w:rsidRPr="008709F8" w:rsidRDefault="00F05DC7" w:rsidP="00A3786D">
                  <w:pPr>
                    <w:pStyle w:val="TableBodyText"/>
                  </w:pPr>
                  <w:r w:rsidRPr="008709F8">
                    <w:rPr>
                      <w:color w:val="000000"/>
                    </w:rPr>
                    <w:t>-</w:t>
                  </w:r>
                  <w:r>
                    <w:rPr>
                      <w:color w:val="000000"/>
                    </w:rPr>
                    <w:t>0</w:t>
                  </w:r>
                  <w:r w:rsidRPr="008709F8">
                    <w:rPr>
                      <w:color w:val="000000"/>
                    </w:rPr>
                    <w:t>.</w:t>
                  </w:r>
                  <w:r>
                    <w:rPr>
                      <w:color w:val="000000"/>
                    </w:rPr>
                    <w:t>8</w:t>
                  </w:r>
                </w:p>
              </w:tc>
              <w:tc>
                <w:tcPr>
                  <w:tcW w:w="410" w:type="pct"/>
                  <w:tcBorders>
                    <w:top w:val="nil"/>
                    <w:left w:val="nil"/>
                    <w:bottom w:val="nil"/>
                    <w:right w:val="nil"/>
                  </w:tcBorders>
                  <w:shd w:val="clear" w:color="auto" w:fill="auto"/>
                  <w:tcMar>
                    <w:left w:w="0" w:type="dxa"/>
                    <w:right w:w="0" w:type="dxa"/>
                  </w:tcMar>
                  <w:vAlign w:val="bottom"/>
                </w:tcPr>
                <w:p w14:paraId="7954B4D0" w14:textId="77777777" w:rsidR="00F05DC7" w:rsidRPr="008709F8" w:rsidRDefault="00F05DC7" w:rsidP="00A3786D">
                  <w:pPr>
                    <w:pStyle w:val="TableBodyText"/>
                  </w:pPr>
                  <w:r w:rsidRPr="008709F8">
                    <w:rPr>
                      <w:color w:val="000000"/>
                    </w:rPr>
                    <w:t>-0.5</w:t>
                  </w:r>
                </w:p>
              </w:tc>
            </w:tr>
            <w:tr w:rsidR="00F05DC7" w:rsidRPr="0004120D" w14:paraId="7954B4DB" w14:textId="77777777" w:rsidTr="00A3786D">
              <w:trPr>
                <w:trHeight w:val="288"/>
              </w:trPr>
              <w:tc>
                <w:tcPr>
                  <w:tcW w:w="1651" w:type="pct"/>
                  <w:tcBorders>
                    <w:top w:val="nil"/>
                    <w:left w:val="nil"/>
                    <w:bottom w:val="nil"/>
                    <w:right w:val="nil"/>
                  </w:tcBorders>
                  <w:shd w:val="clear" w:color="auto" w:fill="auto"/>
                  <w:tcMar>
                    <w:left w:w="0" w:type="dxa"/>
                    <w:right w:w="0" w:type="dxa"/>
                  </w:tcMar>
                  <w:vAlign w:val="center"/>
                </w:tcPr>
                <w:p w14:paraId="7954B4D2" w14:textId="77777777" w:rsidR="00F05DC7" w:rsidRPr="00B331DE" w:rsidRDefault="00F05DC7" w:rsidP="00A3786D">
                  <w:pPr>
                    <w:rPr>
                      <w:rFonts w:asciiTheme="minorHAnsi" w:hAnsiTheme="minorHAnsi" w:cstheme="minorHAnsi"/>
                      <w:sz w:val="18"/>
                      <w:szCs w:val="18"/>
                    </w:rPr>
                  </w:pPr>
                  <w:r w:rsidRPr="00B331DE">
                    <w:rPr>
                      <w:rFonts w:ascii="Arial" w:hAnsi="Arial" w:cs="Arial"/>
                      <w:b/>
                      <w:bCs/>
                      <w:sz w:val="18"/>
                      <w:szCs w:val="18"/>
                    </w:rPr>
                    <w:t>Total redistribution from EPC</w:t>
                  </w:r>
                </w:p>
              </w:tc>
              <w:tc>
                <w:tcPr>
                  <w:tcW w:w="409" w:type="pct"/>
                  <w:tcBorders>
                    <w:top w:val="nil"/>
                    <w:left w:val="nil"/>
                    <w:bottom w:val="nil"/>
                    <w:right w:val="nil"/>
                  </w:tcBorders>
                  <w:shd w:val="clear" w:color="auto" w:fill="auto"/>
                  <w:tcMar>
                    <w:left w:w="0" w:type="dxa"/>
                    <w:right w:w="0" w:type="dxa"/>
                  </w:tcMar>
                  <w:vAlign w:val="center"/>
                </w:tcPr>
                <w:p w14:paraId="7954B4D3" w14:textId="77777777" w:rsidR="00F05DC7" w:rsidRPr="00B331DE" w:rsidRDefault="00F05DC7" w:rsidP="00A3786D">
                  <w:pPr>
                    <w:ind w:right="6"/>
                    <w:jc w:val="right"/>
                    <w:rPr>
                      <w:rFonts w:asciiTheme="minorHAnsi" w:hAnsiTheme="minorHAnsi" w:cstheme="minorHAnsi"/>
                      <w:sz w:val="18"/>
                      <w:szCs w:val="18"/>
                    </w:rPr>
                  </w:pPr>
                </w:p>
              </w:tc>
              <w:tc>
                <w:tcPr>
                  <w:tcW w:w="410" w:type="pct"/>
                  <w:tcBorders>
                    <w:top w:val="nil"/>
                    <w:left w:val="nil"/>
                    <w:bottom w:val="nil"/>
                    <w:right w:val="nil"/>
                  </w:tcBorders>
                  <w:shd w:val="clear" w:color="auto" w:fill="auto"/>
                  <w:tcMar>
                    <w:left w:w="0" w:type="dxa"/>
                    <w:right w:w="0" w:type="dxa"/>
                  </w:tcMar>
                  <w:vAlign w:val="center"/>
                </w:tcPr>
                <w:p w14:paraId="7954B4D4" w14:textId="77777777" w:rsidR="00F05DC7" w:rsidRPr="00B331DE" w:rsidRDefault="00F05DC7" w:rsidP="00A3786D">
                  <w:pPr>
                    <w:ind w:right="6"/>
                    <w:jc w:val="right"/>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tcPr>
                <w:p w14:paraId="7954B4D5" w14:textId="77777777" w:rsidR="00F05DC7" w:rsidRPr="00B331DE" w:rsidRDefault="00F05DC7" w:rsidP="00A3786D">
                  <w:pPr>
                    <w:ind w:right="11"/>
                    <w:jc w:val="right"/>
                    <w:rPr>
                      <w:rFonts w:ascii="Arial" w:hAnsi="Arial" w:cs="Arial"/>
                      <w:sz w:val="18"/>
                      <w:szCs w:val="18"/>
                    </w:rPr>
                  </w:pPr>
                </w:p>
              </w:tc>
              <w:tc>
                <w:tcPr>
                  <w:tcW w:w="477" w:type="pct"/>
                  <w:tcBorders>
                    <w:top w:val="nil"/>
                    <w:left w:val="nil"/>
                    <w:bottom w:val="nil"/>
                    <w:right w:val="nil"/>
                  </w:tcBorders>
                  <w:shd w:val="clear" w:color="auto" w:fill="auto"/>
                  <w:tcMar>
                    <w:left w:w="0" w:type="dxa"/>
                    <w:right w:w="0" w:type="dxa"/>
                  </w:tcMar>
                  <w:vAlign w:val="center"/>
                </w:tcPr>
                <w:p w14:paraId="7954B4D6" w14:textId="77777777" w:rsidR="00F05DC7" w:rsidRPr="00B331DE" w:rsidRDefault="00F05DC7" w:rsidP="00A3786D">
                  <w:pPr>
                    <w:ind w:right="6"/>
                    <w:jc w:val="right"/>
                    <w:rPr>
                      <w:rFonts w:asciiTheme="minorHAnsi" w:hAnsiTheme="minorHAnsi" w:cstheme="minorHAnsi"/>
                      <w:sz w:val="18"/>
                      <w:szCs w:val="18"/>
                    </w:rPr>
                  </w:pPr>
                </w:p>
              </w:tc>
              <w:tc>
                <w:tcPr>
                  <w:tcW w:w="410" w:type="pct"/>
                  <w:tcBorders>
                    <w:top w:val="nil"/>
                    <w:left w:val="nil"/>
                    <w:bottom w:val="nil"/>
                    <w:right w:val="nil"/>
                  </w:tcBorders>
                  <w:shd w:val="clear" w:color="auto" w:fill="auto"/>
                  <w:tcMar>
                    <w:left w:w="0" w:type="dxa"/>
                    <w:right w:w="0" w:type="dxa"/>
                  </w:tcMar>
                  <w:vAlign w:val="center"/>
                </w:tcPr>
                <w:p w14:paraId="7954B4D7" w14:textId="77777777" w:rsidR="00F05DC7" w:rsidRPr="00B331DE" w:rsidRDefault="00F05DC7" w:rsidP="00A3786D">
                  <w:pPr>
                    <w:ind w:right="6"/>
                    <w:jc w:val="right"/>
                    <w:rPr>
                      <w:rFonts w:asciiTheme="minorHAnsi" w:hAnsiTheme="minorHAnsi" w:cstheme="minorHAnsi"/>
                      <w:sz w:val="18"/>
                      <w:szCs w:val="18"/>
                    </w:rPr>
                  </w:pPr>
                </w:p>
              </w:tc>
              <w:tc>
                <w:tcPr>
                  <w:tcW w:w="411" w:type="pct"/>
                  <w:tcBorders>
                    <w:top w:val="nil"/>
                    <w:left w:val="nil"/>
                    <w:bottom w:val="nil"/>
                    <w:right w:val="nil"/>
                  </w:tcBorders>
                  <w:shd w:val="clear" w:color="auto" w:fill="auto"/>
                  <w:tcMar>
                    <w:left w:w="0" w:type="dxa"/>
                    <w:right w:w="0" w:type="dxa"/>
                  </w:tcMar>
                  <w:vAlign w:val="center"/>
                </w:tcPr>
                <w:p w14:paraId="7954B4D8" w14:textId="77777777" w:rsidR="00F05DC7" w:rsidRPr="00B331DE" w:rsidRDefault="00F05DC7" w:rsidP="00A3786D">
                  <w:pPr>
                    <w:ind w:right="6"/>
                    <w:jc w:val="right"/>
                    <w:rPr>
                      <w:rFonts w:asciiTheme="minorHAnsi" w:hAnsiTheme="minorHAnsi" w:cstheme="minorHAnsi"/>
                      <w:sz w:val="18"/>
                      <w:szCs w:val="18"/>
                    </w:rPr>
                  </w:pPr>
                </w:p>
              </w:tc>
              <w:tc>
                <w:tcPr>
                  <w:tcW w:w="411" w:type="pct"/>
                  <w:tcBorders>
                    <w:top w:val="nil"/>
                    <w:left w:val="nil"/>
                    <w:bottom w:val="nil"/>
                    <w:right w:val="nil"/>
                  </w:tcBorders>
                  <w:shd w:val="clear" w:color="auto" w:fill="auto"/>
                  <w:tcMar>
                    <w:left w:w="0" w:type="dxa"/>
                    <w:right w:w="0" w:type="dxa"/>
                  </w:tcMar>
                  <w:vAlign w:val="center"/>
                </w:tcPr>
                <w:p w14:paraId="7954B4D9" w14:textId="77777777" w:rsidR="00F05DC7" w:rsidRPr="00B331DE" w:rsidRDefault="00F05DC7" w:rsidP="00A3786D">
                  <w:pPr>
                    <w:ind w:right="6"/>
                    <w:jc w:val="right"/>
                    <w:rPr>
                      <w:rFonts w:asciiTheme="minorHAnsi" w:hAnsiTheme="minorHAnsi" w:cstheme="minorHAnsi"/>
                      <w:sz w:val="18"/>
                      <w:szCs w:val="18"/>
                    </w:rPr>
                  </w:pPr>
                </w:p>
              </w:tc>
              <w:tc>
                <w:tcPr>
                  <w:tcW w:w="410" w:type="pct"/>
                  <w:tcBorders>
                    <w:top w:val="nil"/>
                    <w:left w:val="nil"/>
                    <w:bottom w:val="nil"/>
                    <w:right w:val="nil"/>
                  </w:tcBorders>
                  <w:shd w:val="clear" w:color="auto" w:fill="auto"/>
                  <w:tcMar>
                    <w:left w:w="0" w:type="dxa"/>
                    <w:right w:w="0" w:type="dxa"/>
                  </w:tcMar>
                  <w:vAlign w:val="center"/>
                </w:tcPr>
                <w:p w14:paraId="7954B4DA" w14:textId="77777777" w:rsidR="00F05DC7" w:rsidRPr="00B331DE" w:rsidRDefault="00F05DC7" w:rsidP="00A3786D">
                  <w:pPr>
                    <w:ind w:right="6"/>
                    <w:jc w:val="right"/>
                    <w:rPr>
                      <w:rFonts w:asciiTheme="minorHAnsi" w:hAnsiTheme="minorHAnsi" w:cstheme="minorHAnsi"/>
                      <w:sz w:val="18"/>
                      <w:szCs w:val="18"/>
                    </w:rPr>
                  </w:pPr>
                </w:p>
              </w:tc>
            </w:tr>
            <w:tr w:rsidR="00F05DC7" w:rsidRPr="0004120D" w14:paraId="7954B4DE" w14:textId="77777777" w:rsidTr="00A3786D">
              <w:trPr>
                <w:trHeight w:val="288"/>
              </w:trPr>
              <w:tc>
                <w:tcPr>
                  <w:tcW w:w="1651" w:type="pct"/>
                  <w:tcBorders>
                    <w:top w:val="nil"/>
                    <w:left w:val="nil"/>
                    <w:bottom w:val="nil"/>
                    <w:right w:val="nil"/>
                  </w:tcBorders>
                  <w:shd w:val="clear" w:color="auto" w:fill="auto"/>
                  <w:tcMar>
                    <w:left w:w="0" w:type="dxa"/>
                    <w:right w:w="0" w:type="dxa"/>
                  </w:tcMar>
                  <w:vAlign w:val="center"/>
                </w:tcPr>
                <w:p w14:paraId="7954B4DC" w14:textId="77777777" w:rsidR="00F05DC7" w:rsidRPr="00B331DE" w:rsidRDefault="00F05DC7" w:rsidP="00A3786D">
                  <w:pPr>
                    <w:pStyle w:val="TableBodyText"/>
                    <w:jc w:val="left"/>
                    <w:rPr>
                      <w:rFonts w:asciiTheme="minorHAnsi" w:hAnsiTheme="minorHAnsi" w:cstheme="minorHAnsi"/>
                    </w:rPr>
                  </w:pPr>
                  <w:r w:rsidRPr="00B331DE">
                    <w:t>Current approach</w:t>
                  </w:r>
                </w:p>
              </w:tc>
              <w:tc>
                <w:tcPr>
                  <w:tcW w:w="3349" w:type="pct"/>
                  <w:gridSpan w:val="8"/>
                  <w:tcBorders>
                    <w:top w:val="nil"/>
                    <w:left w:val="nil"/>
                    <w:bottom w:val="nil"/>
                    <w:right w:val="nil"/>
                  </w:tcBorders>
                  <w:shd w:val="clear" w:color="auto" w:fill="auto"/>
                  <w:tcMar>
                    <w:left w:w="0" w:type="dxa"/>
                    <w:right w:w="0" w:type="dxa"/>
                  </w:tcMar>
                  <w:vAlign w:val="center"/>
                </w:tcPr>
                <w:p w14:paraId="7954B4DD" w14:textId="77777777" w:rsidR="00F05DC7" w:rsidRPr="00B331DE" w:rsidRDefault="00F05DC7" w:rsidP="00A3786D">
                  <w:pPr>
                    <w:pStyle w:val="TableBodyText"/>
                    <w:rPr>
                      <w:rFonts w:asciiTheme="minorHAnsi" w:hAnsiTheme="minorHAnsi" w:cstheme="minorHAnsi"/>
                    </w:rPr>
                  </w:pPr>
                  <w:r w:rsidRPr="00B331DE">
                    <w:t>$</w:t>
                  </w:r>
                  <w:r>
                    <w:t>6</w:t>
                  </w:r>
                  <w:r w:rsidRPr="00B331DE">
                    <w:t> </w:t>
                  </w:r>
                  <w:r>
                    <w:t>840</w:t>
                  </w:r>
                  <w:r w:rsidRPr="00B331DE">
                    <w:t> million</w:t>
                  </w:r>
                </w:p>
              </w:tc>
            </w:tr>
            <w:tr w:rsidR="00F05DC7" w:rsidRPr="0004120D" w14:paraId="7954B4E1" w14:textId="77777777" w:rsidTr="00A3786D">
              <w:trPr>
                <w:trHeight w:val="288"/>
              </w:trPr>
              <w:tc>
                <w:tcPr>
                  <w:tcW w:w="2882" w:type="pct"/>
                  <w:gridSpan w:val="4"/>
                  <w:tcBorders>
                    <w:top w:val="nil"/>
                    <w:left w:val="nil"/>
                    <w:bottom w:val="single" w:sz="8" w:space="0" w:color="BFBFBF"/>
                    <w:right w:val="nil"/>
                  </w:tcBorders>
                  <w:shd w:val="clear" w:color="auto" w:fill="auto"/>
                  <w:tcMar>
                    <w:left w:w="0" w:type="dxa"/>
                    <w:right w:w="0" w:type="dxa"/>
                  </w:tcMar>
                  <w:vAlign w:val="center"/>
                </w:tcPr>
                <w:p w14:paraId="7954B4DF" w14:textId="77777777" w:rsidR="00F05DC7" w:rsidRPr="00B331DE" w:rsidRDefault="00F05DC7" w:rsidP="00A3786D">
                  <w:pPr>
                    <w:pStyle w:val="TableBodyText"/>
                    <w:jc w:val="left"/>
                    <w:rPr>
                      <w:rFonts w:asciiTheme="minorHAnsi" w:hAnsiTheme="minorHAnsi" w:cstheme="minorHAnsi"/>
                    </w:rPr>
                  </w:pPr>
                  <w:r w:rsidRPr="00B331DE">
                    <w:rPr>
                      <w:rFonts w:asciiTheme="minorHAnsi" w:hAnsiTheme="minorHAnsi" w:cstheme="minorHAnsi"/>
                    </w:rPr>
                    <w:t>Average of fiscally strong States</w:t>
                  </w:r>
                </w:p>
              </w:tc>
              <w:tc>
                <w:tcPr>
                  <w:tcW w:w="2118" w:type="pct"/>
                  <w:gridSpan w:val="5"/>
                  <w:tcBorders>
                    <w:top w:val="nil"/>
                    <w:left w:val="nil"/>
                    <w:bottom w:val="single" w:sz="8" w:space="0" w:color="BFBFBF"/>
                    <w:right w:val="nil"/>
                  </w:tcBorders>
                  <w:shd w:val="clear" w:color="auto" w:fill="auto"/>
                  <w:tcMar>
                    <w:left w:w="0" w:type="dxa"/>
                    <w:right w:w="0" w:type="dxa"/>
                  </w:tcMar>
                  <w:vAlign w:val="center"/>
                </w:tcPr>
                <w:p w14:paraId="7954B4E0" w14:textId="77777777" w:rsidR="00F05DC7" w:rsidRPr="00B331DE" w:rsidRDefault="00F05DC7" w:rsidP="00A3786D">
                  <w:pPr>
                    <w:pStyle w:val="TableBodyText"/>
                    <w:rPr>
                      <w:rFonts w:asciiTheme="minorHAnsi" w:hAnsiTheme="minorHAnsi" w:cstheme="minorHAnsi"/>
                    </w:rPr>
                  </w:pPr>
                  <w:r w:rsidRPr="00B331DE">
                    <w:t>$6 </w:t>
                  </w:r>
                  <w:r>
                    <w:t>025</w:t>
                  </w:r>
                  <w:r w:rsidRPr="00B331DE">
                    <w:t> million</w:t>
                  </w:r>
                </w:p>
              </w:tc>
            </w:tr>
          </w:tbl>
          <w:p w14:paraId="7954B4E2" w14:textId="77777777" w:rsidR="00F05DC7" w:rsidRPr="00166A90" w:rsidRDefault="00F05DC7" w:rsidP="00A3786D">
            <w:pPr>
              <w:pStyle w:val="Box"/>
            </w:pPr>
          </w:p>
        </w:tc>
      </w:tr>
      <w:tr w:rsidR="00F05DC7" w14:paraId="7954B4E5" w14:textId="77777777" w:rsidTr="00A3786D">
        <w:tc>
          <w:tcPr>
            <w:tcW w:w="5000" w:type="pct"/>
            <w:tcBorders>
              <w:top w:val="nil"/>
              <w:left w:val="nil"/>
              <w:bottom w:val="nil"/>
              <w:right w:val="nil"/>
            </w:tcBorders>
            <w:shd w:val="clear" w:color="auto" w:fill="auto"/>
          </w:tcPr>
          <w:p w14:paraId="7954B4E4" w14:textId="77777777" w:rsidR="00F05DC7" w:rsidRPr="0004120D" w:rsidRDefault="00F05DC7" w:rsidP="00A3786D">
            <w:pPr>
              <w:pStyle w:val="Source"/>
            </w:pPr>
            <w:r w:rsidRPr="0004120D">
              <w:rPr>
                <w:i/>
              </w:rPr>
              <w:t>Source</w:t>
            </w:r>
            <w:r w:rsidRPr="0004120D">
              <w:t>: Productivity Commission estimates based on data provided by the CGC.</w:t>
            </w:r>
          </w:p>
        </w:tc>
      </w:tr>
      <w:tr w:rsidR="00F05DC7" w14:paraId="7954B4E7" w14:textId="77777777" w:rsidTr="00A3786D">
        <w:tc>
          <w:tcPr>
            <w:tcW w:w="5000" w:type="pct"/>
            <w:tcBorders>
              <w:top w:val="nil"/>
              <w:left w:val="nil"/>
              <w:bottom w:val="single" w:sz="6" w:space="0" w:color="78A22F"/>
              <w:right w:val="nil"/>
            </w:tcBorders>
            <w:shd w:val="clear" w:color="auto" w:fill="auto"/>
          </w:tcPr>
          <w:p w14:paraId="7954B4E6" w14:textId="77777777" w:rsidR="00F05DC7" w:rsidRDefault="00F05DC7" w:rsidP="00A3786D">
            <w:pPr>
              <w:pStyle w:val="Box"/>
              <w:spacing w:before="0" w:line="120" w:lineRule="exact"/>
            </w:pPr>
          </w:p>
        </w:tc>
      </w:tr>
    </w:tbl>
    <w:p w14:paraId="7954B4E8" w14:textId="77777777" w:rsidR="00F05DC7" w:rsidRDefault="00F05DC7" w:rsidP="00A3786D">
      <w:pPr>
        <w:pStyle w:val="Heading4"/>
      </w:pPr>
      <w:r>
        <w:t>90 per cent full equalisation</w:t>
      </w:r>
    </w:p>
    <w:p w14:paraId="7954B4E9" w14:textId="77777777" w:rsidR="00F05DC7" w:rsidRDefault="00F05DC7" w:rsidP="00A3786D">
      <w:pPr>
        <w:pStyle w:val="BodyText"/>
      </w:pPr>
      <w:r>
        <w:t>In its post</w:t>
      </w:r>
      <w:r>
        <w:noBreakHyphen/>
        <w:t xml:space="preserve">draft submission, the CGC (sub. DR61) illustrated two other possible distributional approaches of less than full equalisation. This included a ‘symmetric approach’, which isolates part of the GST pool to be distributed evenly per person, with the remainder of the pool distributed using the CGC’s current approach. </w:t>
      </w:r>
    </w:p>
    <w:p w14:paraId="7954B4EA" w14:textId="77777777" w:rsidR="00F05DC7" w:rsidRDefault="00F05DC7" w:rsidP="00A3786D">
      <w:pPr>
        <w:pStyle w:val="BodyText"/>
      </w:pPr>
      <w:r>
        <w:t>The CGC’s example applied an EPC distribution for 10 per cent of the GST pool, and applied the current relativities to the remaining 90 per cent of the GST pool. This approach increases GST payments for the fiscally strong States and reduces them for fiscally weaker States, with the biggest per capita changes for Western Australia, Tasmania and the Northern Territory (table C.5).</w:t>
      </w:r>
    </w:p>
    <w:p w14:paraId="7954B4EB" w14:textId="77777777" w:rsidR="00F05DC7" w:rsidRDefault="00F05DC7">
      <w:pPr>
        <w:rPr>
          <w:szCs w:val="20"/>
        </w:rPr>
      </w:pPr>
      <w:r>
        <w:br w:type="page"/>
      </w:r>
    </w:p>
    <w:p w14:paraId="7954B4EC"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4EF" w14:textId="77777777" w:rsidTr="001113B1">
        <w:trPr>
          <w:tblHeader/>
        </w:trPr>
        <w:tc>
          <w:tcPr>
            <w:tcW w:w="5000" w:type="pct"/>
            <w:tcBorders>
              <w:top w:val="single" w:sz="6" w:space="0" w:color="78A22F"/>
              <w:left w:val="nil"/>
              <w:bottom w:val="nil"/>
              <w:right w:val="nil"/>
            </w:tcBorders>
            <w:shd w:val="clear" w:color="auto" w:fill="auto"/>
          </w:tcPr>
          <w:p w14:paraId="7954B4ED" w14:textId="12DDAEF8" w:rsidR="00F05DC7" w:rsidRDefault="00F05DC7" w:rsidP="00A3786D">
            <w:pPr>
              <w:pStyle w:val="TableTitle"/>
            </w:pPr>
            <w:r>
              <w:rPr>
                <w:b w:val="0"/>
              </w:rPr>
              <w:t>Table C.5</w:t>
            </w:r>
            <w:r>
              <w:tab/>
              <w:t>Effects of 90 </w:t>
            </w:r>
            <w:r w:rsidRPr="00F435DF">
              <w:t>per</w:t>
            </w:r>
            <w:r>
              <w:t> </w:t>
            </w:r>
            <w:r w:rsidRPr="00F435DF">
              <w:t xml:space="preserve">cent </w:t>
            </w:r>
            <w:r>
              <w:t>full equalisation</w:t>
            </w:r>
          </w:p>
          <w:p w14:paraId="7954B4EE" w14:textId="77777777" w:rsidR="00F05DC7" w:rsidRPr="00784A05" w:rsidRDefault="00F05DC7" w:rsidP="00A3786D">
            <w:pPr>
              <w:pStyle w:val="Subtitle"/>
            </w:pPr>
            <w:r>
              <w:t>2018</w:t>
            </w:r>
            <w:r>
              <w:noBreakHyphen/>
              <w:t>19 GST payments and relativities</w:t>
            </w:r>
            <w:r w:rsidDel="004B438C">
              <w:t xml:space="preserve"> </w:t>
            </w:r>
          </w:p>
        </w:tc>
      </w:tr>
      <w:tr w:rsidR="00F05DC7" w14:paraId="7954B551"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819"/>
              <w:gridCol w:w="709"/>
              <w:gridCol w:w="711"/>
              <w:gridCol w:w="703"/>
              <w:gridCol w:w="10"/>
              <w:gridCol w:w="711"/>
              <w:gridCol w:w="711"/>
              <w:gridCol w:w="711"/>
              <w:gridCol w:w="711"/>
              <w:gridCol w:w="709"/>
            </w:tblGrid>
            <w:tr w:rsidR="00F05DC7" w14:paraId="7954B4F9" w14:textId="77777777" w:rsidTr="001113B1">
              <w:trPr>
                <w:trHeight w:val="288"/>
                <w:tblHeader/>
              </w:trPr>
              <w:tc>
                <w:tcPr>
                  <w:tcW w:w="165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F0" w14:textId="77777777" w:rsidR="00F05DC7" w:rsidRDefault="00F05DC7" w:rsidP="00A3786D">
                  <w:pPr>
                    <w:rPr>
                      <w:color w:val="000000"/>
                      <w:sz w:val="20"/>
                      <w:szCs w:val="20"/>
                    </w:rPr>
                  </w:pPr>
                  <w:r>
                    <w:rPr>
                      <w:color w:val="000000"/>
                      <w:sz w:val="20"/>
                      <w:szCs w:val="20"/>
                    </w:rPr>
                    <w:t> </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F1" w14:textId="77777777" w:rsidR="00F05DC7" w:rsidRDefault="00F05DC7" w:rsidP="00A3786D">
                  <w:pPr>
                    <w:pStyle w:val="TableColumnHeading"/>
                    <w:ind w:right="11"/>
                  </w:pPr>
                  <w:r>
                    <w:t>NSW</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F2" w14:textId="77777777" w:rsidR="00F05DC7" w:rsidRDefault="00F05DC7" w:rsidP="00A3786D">
                  <w:pPr>
                    <w:pStyle w:val="TableColumnHeading"/>
                    <w:ind w:right="11"/>
                  </w:pPr>
                  <w:r>
                    <w:t>Vic</w:t>
                  </w:r>
                </w:p>
              </w:tc>
              <w:tc>
                <w:tcPr>
                  <w:tcW w:w="419" w:type="pct"/>
                  <w:gridSpan w:val="2"/>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F3" w14:textId="77777777" w:rsidR="00F05DC7" w:rsidRDefault="00F05DC7" w:rsidP="00A3786D">
                  <w:pPr>
                    <w:pStyle w:val="TableColumnHeading"/>
                    <w:ind w:right="11"/>
                  </w:pPr>
                  <w:r>
                    <w:t>Qld</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F4" w14:textId="77777777" w:rsidR="00F05DC7" w:rsidRDefault="00F05DC7" w:rsidP="00A3786D">
                  <w:pPr>
                    <w:pStyle w:val="TableColumnHeading"/>
                    <w:ind w:right="11"/>
                  </w:pPr>
                  <w:r>
                    <w:t>WA</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F5" w14:textId="77777777" w:rsidR="00F05DC7" w:rsidRDefault="00F05DC7" w:rsidP="00A3786D">
                  <w:pPr>
                    <w:pStyle w:val="TableColumnHeading"/>
                    <w:ind w:right="11"/>
                  </w:pPr>
                  <w:r>
                    <w:t>SA</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F6" w14:textId="77777777" w:rsidR="00F05DC7" w:rsidRDefault="00F05DC7" w:rsidP="00A3786D">
                  <w:pPr>
                    <w:pStyle w:val="TableColumnHeading"/>
                    <w:ind w:right="11"/>
                  </w:pPr>
                  <w:r>
                    <w:t>Tas</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F7" w14:textId="77777777" w:rsidR="00F05DC7" w:rsidRDefault="00F05DC7" w:rsidP="00A3786D">
                  <w:pPr>
                    <w:pStyle w:val="TableColumnHeading"/>
                    <w:ind w:right="11"/>
                  </w:pPr>
                  <w:r>
                    <w:t>ACT</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4F8" w14:textId="77777777" w:rsidR="00F05DC7" w:rsidRDefault="00F05DC7" w:rsidP="00A3786D">
                  <w:pPr>
                    <w:pStyle w:val="TableColumnHeading"/>
                    <w:ind w:right="11"/>
                  </w:pPr>
                  <w:r>
                    <w:t>NT</w:t>
                  </w:r>
                </w:p>
              </w:tc>
            </w:tr>
            <w:tr w:rsidR="00F05DC7" w14:paraId="7954B503" w14:textId="77777777" w:rsidTr="00A3786D">
              <w:trPr>
                <w:trHeight w:val="276"/>
              </w:trPr>
              <w:tc>
                <w:tcPr>
                  <w:tcW w:w="1657" w:type="pct"/>
                  <w:tcBorders>
                    <w:top w:val="nil"/>
                    <w:left w:val="nil"/>
                    <w:bottom w:val="nil"/>
                    <w:right w:val="nil"/>
                  </w:tcBorders>
                  <w:shd w:val="clear" w:color="auto" w:fill="auto"/>
                  <w:tcMar>
                    <w:left w:w="0" w:type="dxa"/>
                    <w:right w:w="0" w:type="dxa"/>
                  </w:tcMar>
                  <w:vAlign w:val="center"/>
                  <w:hideMark/>
                </w:tcPr>
                <w:p w14:paraId="7954B4FA" w14:textId="77777777" w:rsidR="00F05DC7" w:rsidRPr="00791D71" w:rsidRDefault="00F05DC7" w:rsidP="00A3786D">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417" w:type="pct"/>
                  <w:tcBorders>
                    <w:top w:val="nil"/>
                    <w:left w:val="nil"/>
                    <w:bottom w:val="nil"/>
                    <w:right w:val="nil"/>
                  </w:tcBorders>
                  <w:shd w:val="clear" w:color="auto" w:fill="auto"/>
                  <w:tcMar>
                    <w:left w:w="0" w:type="dxa"/>
                    <w:right w:w="0" w:type="dxa"/>
                  </w:tcMar>
                  <w:vAlign w:val="center"/>
                  <w:hideMark/>
                </w:tcPr>
                <w:p w14:paraId="7954B4FB" w14:textId="77777777" w:rsidR="00F05DC7" w:rsidRPr="00791D71" w:rsidRDefault="00F05DC7" w:rsidP="00A3786D">
                  <w:pPr>
                    <w:spacing w:before="80"/>
                    <w:ind w:right="11"/>
                    <w:jc w:val="right"/>
                    <w:rPr>
                      <w:rFonts w:asciiTheme="minorHAnsi" w:hAnsiTheme="minorHAnsi" w:cstheme="minorHAnsi"/>
                      <w:b/>
                      <w:bCs/>
                      <w:color w:val="000000"/>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FC" w14:textId="77777777" w:rsidR="00F05DC7" w:rsidRPr="00791D71" w:rsidRDefault="00F05DC7" w:rsidP="00A3786D">
                  <w:pPr>
                    <w:spacing w:before="80"/>
                    <w:ind w:right="11"/>
                    <w:jc w:val="right"/>
                    <w:rPr>
                      <w:rFonts w:asciiTheme="minorHAnsi" w:hAnsiTheme="minorHAnsi" w:cstheme="minorHAnsi"/>
                      <w:sz w:val="18"/>
                      <w:szCs w:val="18"/>
                    </w:rPr>
                  </w:pPr>
                </w:p>
              </w:tc>
              <w:tc>
                <w:tcPr>
                  <w:tcW w:w="419" w:type="pct"/>
                  <w:gridSpan w:val="2"/>
                  <w:tcBorders>
                    <w:top w:val="nil"/>
                    <w:left w:val="nil"/>
                    <w:bottom w:val="nil"/>
                    <w:right w:val="nil"/>
                  </w:tcBorders>
                  <w:shd w:val="clear" w:color="auto" w:fill="auto"/>
                  <w:tcMar>
                    <w:left w:w="0" w:type="dxa"/>
                    <w:right w:w="0" w:type="dxa"/>
                  </w:tcMar>
                  <w:vAlign w:val="center"/>
                  <w:hideMark/>
                </w:tcPr>
                <w:p w14:paraId="7954B4FD"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FE"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4FF"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500"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501" w14:textId="77777777" w:rsidR="00F05DC7" w:rsidRPr="00791D71" w:rsidRDefault="00F05DC7" w:rsidP="00A3786D">
                  <w:pPr>
                    <w:spacing w:before="80"/>
                    <w:ind w:right="11"/>
                    <w:jc w:val="right"/>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B502" w14:textId="77777777" w:rsidR="00F05DC7" w:rsidRPr="00791D71" w:rsidRDefault="00F05DC7" w:rsidP="00A3786D">
                  <w:pPr>
                    <w:spacing w:before="80"/>
                    <w:ind w:right="11"/>
                    <w:jc w:val="right"/>
                    <w:rPr>
                      <w:rFonts w:asciiTheme="minorHAnsi" w:hAnsiTheme="minorHAnsi" w:cstheme="minorHAnsi"/>
                      <w:sz w:val="18"/>
                      <w:szCs w:val="18"/>
                    </w:rPr>
                  </w:pPr>
                </w:p>
              </w:tc>
            </w:tr>
            <w:tr w:rsidR="00F05DC7" w14:paraId="7954B50D" w14:textId="77777777" w:rsidTr="00A3786D">
              <w:trPr>
                <w:trHeight w:val="276"/>
              </w:trPr>
              <w:tc>
                <w:tcPr>
                  <w:tcW w:w="1657" w:type="pct"/>
                  <w:tcBorders>
                    <w:top w:val="nil"/>
                    <w:left w:val="nil"/>
                    <w:bottom w:val="nil"/>
                    <w:right w:val="nil"/>
                  </w:tcBorders>
                  <w:shd w:val="clear" w:color="auto" w:fill="auto"/>
                  <w:tcMar>
                    <w:left w:w="0" w:type="dxa"/>
                    <w:right w:w="0" w:type="dxa"/>
                  </w:tcMar>
                  <w:vAlign w:val="center"/>
                  <w:hideMark/>
                </w:tcPr>
                <w:p w14:paraId="7954B504" w14:textId="77777777" w:rsidR="00F05DC7" w:rsidRPr="00791D71" w:rsidRDefault="00F05DC7" w:rsidP="00A3786D">
                  <w:pPr>
                    <w:pStyle w:val="TableBodyText"/>
                    <w:jc w:val="left"/>
                  </w:pPr>
                  <w:r w:rsidRPr="00791D71">
                    <w:t>Current approach</w:t>
                  </w:r>
                </w:p>
              </w:tc>
              <w:tc>
                <w:tcPr>
                  <w:tcW w:w="417" w:type="pct"/>
                  <w:tcBorders>
                    <w:top w:val="nil"/>
                    <w:left w:val="nil"/>
                    <w:bottom w:val="nil"/>
                    <w:right w:val="nil"/>
                  </w:tcBorders>
                  <w:shd w:val="clear" w:color="auto" w:fill="auto"/>
                  <w:tcMar>
                    <w:left w:w="0" w:type="dxa"/>
                    <w:right w:w="0" w:type="dxa"/>
                  </w:tcMar>
                  <w:vAlign w:val="center"/>
                  <w:hideMark/>
                </w:tcPr>
                <w:p w14:paraId="7954B505" w14:textId="77777777" w:rsidR="00F05DC7" w:rsidRPr="00791D71" w:rsidRDefault="00F05DC7" w:rsidP="00A3786D">
                  <w:pPr>
                    <w:pStyle w:val="TableBodyText"/>
                  </w:pPr>
                  <w:r>
                    <w:rPr>
                      <w:rFonts w:cs="Arial"/>
                    </w:rPr>
                    <w:t>0.86</w:t>
                  </w:r>
                </w:p>
              </w:tc>
              <w:tc>
                <w:tcPr>
                  <w:tcW w:w="418" w:type="pct"/>
                  <w:tcBorders>
                    <w:top w:val="nil"/>
                    <w:left w:val="nil"/>
                    <w:bottom w:val="nil"/>
                    <w:right w:val="nil"/>
                  </w:tcBorders>
                  <w:shd w:val="clear" w:color="auto" w:fill="auto"/>
                  <w:tcMar>
                    <w:left w:w="0" w:type="dxa"/>
                    <w:right w:w="0" w:type="dxa"/>
                  </w:tcMar>
                  <w:vAlign w:val="center"/>
                  <w:hideMark/>
                </w:tcPr>
                <w:p w14:paraId="7954B506" w14:textId="77777777" w:rsidR="00F05DC7" w:rsidRPr="00791D71" w:rsidRDefault="00F05DC7" w:rsidP="00A3786D">
                  <w:pPr>
                    <w:pStyle w:val="TableBodyText"/>
                  </w:pPr>
                  <w:r>
                    <w:rPr>
                      <w:rFonts w:cs="Arial"/>
                    </w:rPr>
                    <w:t>0.99</w:t>
                  </w:r>
                </w:p>
              </w:tc>
              <w:tc>
                <w:tcPr>
                  <w:tcW w:w="419" w:type="pct"/>
                  <w:gridSpan w:val="2"/>
                  <w:tcBorders>
                    <w:top w:val="nil"/>
                    <w:left w:val="nil"/>
                    <w:bottom w:val="nil"/>
                    <w:right w:val="nil"/>
                  </w:tcBorders>
                  <w:shd w:val="clear" w:color="auto" w:fill="auto"/>
                  <w:tcMar>
                    <w:left w:w="0" w:type="dxa"/>
                    <w:right w:w="0" w:type="dxa"/>
                  </w:tcMar>
                  <w:vAlign w:val="center"/>
                  <w:hideMark/>
                </w:tcPr>
                <w:p w14:paraId="7954B507" w14:textId="77777777" w:rsidR="00F05DC7" w:rsidRPr="00791D71" w:rsidRDefault="00F05DC7" w:rsidP="00A3786D">
                  <w:pPr>
                    <w:pStyle w:val="TableBodyText"/>
                  </w:pPr>
                  <w:r>
                    <w:rPr>
                      <w:rFonts w:cs="Arial"/>
                    </w:rPr>
                    <w:t>1.10</w:t>
                  </w:r>
                </w:p>
              </w:tc>
              <w:tc>
                <w:tcPr>
                  <w:tcW w:w="418" w:type="pct"/>
                  <w:tcBorders>
                    <w:top w:val="nil"/>
                    <w:left w:val="nil"/>
                    <w:bottom w:val="nil"/>
                    <w:right w:val="nil"/>
                  </w:tcBorders>
                  <w:shd w:val="clear" w:color="auto" w:fill="auto"/>
                  <w:tcMar>
                    <w:left w:w="0" w:type="dxa"/>
                    <w:right w:w="0" w:type="dxa"/>
                  </w:tcMar>
                  <w:vAlign w:val="center"/>
                  <w:hideMark/>
                </w:tcPr>
                <w:p w14:paraId="7954B508" w14:textId="77777777" w:rsidR="00F05DC7" w:rsidRPr="00791D71" w:rsidRDefault="00F05DC7" w:rsidP="00A3786D">
                  <w:pPr>
                    <w:pStyle w:val="TableBodyText"/>
                  </w:pPr>
                  <w:r>
                    <w:rPr>
                      <w:rFonts w:cs="Arial"/>
                    </w:rPr>
                    <w:t>0.47</w:t>
                  </w:r>
                </w:p>
              </w:tc>
              <w:tc>
                <w:tcPr>
                  <w:tcW w:w="418" w:type="pct"/>
                  <w:tcBorders>
                    <w:top w:val="nil"/>
                    <w:left w:val="nil"/>
                    <w:bottom w:val="nil"/>
                    <w:right w:val="nil"/>
                  </w:tcBorders>
                  <w:shd w:val="clear" w:color="auto" w:fill="auto"/>
                  <w:tcMar>
                    <w:left w:w="0" w:type="dxa"/>
                    <w:right w:w="0" w:type="dxa"/>
                  </w:tcMar>
                  <w:vAlign w:val="center"/>
                  <w:hideMark/>
                </w:tcPr>
                <w:p w14:paraId="7954B509" w14:textId="77777777" w:rsidR="00F05DC7" w:rsidRPr="00791D71" w:rsidRDefault="00F05DC7" w:rsidP="00A3786D">
                  <w:pPr>
                    <w:pStyle w:val="TableBodyText"/>
                  </w:pPr>
                  <w:r>
                    <w:rPr>
                      <w:rFonts w:cs="Arial"/>
                    </w:rPr>
                    <w:t>1.48</w:t>
                  </w:r>
                </w:p>
              </w:tc>
              <w:tc>
                <w:tcPr>
                  <w:tcW w:w="418" w:type="pct"/>
                  <w:tcBorders>
                    <w:top w:val="nil"/>
                    <w:left w:val="nil"/>
                    <w:bottom w:val="nil"/>
                    <w:right w:val="nil"/>
                  </w:tcBorders>
                  <w:shd w:val="clear" w:color="auto" w:fill="auto"/>
                  <w:tcMar>
                    <w:left w:w="0" w:type="dxa"/>
                    <w:right w:w="0" w:type="dxa"/>
                  </w:tcMar>
                  <w:vAlign w:val="center"/>
                  <w:hideMark/>
                </w:tcPr>
                <w:p w14:paraId="7954B50A" w14:textId="77777777" w:rsidR="00F05DC7" w:rsidRPr="00791D71" w:rsidRDefault="00F05DC7" w:rsidP="00A3786D">
                  <w:pPr>
                    <w:pStyle w:val="TableBodyText"/>
                  </w:pPr>
                  <w:r>
                    <w:rPr>
                      <w:rFonts w:cs="Arial"/>
                    </w:rPr>
                    <w:t>1.77</w:t>
                  </w:r>
                </w:p>
              </w:tc>
              <w:tc>
                <w:tcPr>
                  <w:tcW w:w="418" w:type="pct"/>
                  <w:tcBorders>
                    <w:top w:val="nil"/>
                    <w:left w:val="nil"/>
                    <w:bottom w:val="nil"/>
                    <w:right w:val="nil"/>
                  </w:tcBorders>
                  <w:shd w:val="clear" w:color="auto" w:fill="auto"/>
                  <w:tcMar>
                    <w:left w:w="0" w:type="dxa"/>
                    <w:right w:w="0" w:type="dxa"/>
                  </w:tcMar>
                  <w:vAlign w:val="center"/>
                  <w:hideMark/>
                </w:tcPr>
                <w:p w14:paraId="7954B50B" w14:textId="77777777" w:rsidR="00F05DC7" w:rsidRPr="00791D71" w:rsidRDefault="00F05DC7" w:rsidP="00A3786D">
                  <w:pPr>
                    <w:pStyle w:val="TableBodyText"/>
                  </w:pPr>
                  <w:r>
                    <w:rPr>
                      <w:rFonts w:cs="Arial"/>
                    </w:rPr>
                    <w:t>1.18</w:t>
                  </w:r>
                </w:p>
              </w:tc>
              <w:tc>
                <w:tcPr>
                  <w:tcW w:w="417" w:type="pct"/>
                  <w:tcBorders>
                    <w:top w:val="nil"/>
                    <w:left w:val="nil"/>
                    <w:bottom w:val="nil"/>
                    <w:right w:val="nil"/>
                  </w:tcBorders>
                  <w:shd w:val="clear" w:color="auto" w:fill="auto"/>
                  <w:tcMar>
                    <w:left w:w="0" w:type="dxa"/>
                    <w:right w:w="0" w:type="dxa"/>
                  </w:tcMar>
                  <w:vAlign w:val="center"/>
                  <w:hideMark/>
                </w:tcPr>
                <w:p w14:paraId="7954B50C" w14:textId="77777777" w:rsidR="00F05DC7" w:rsidRPr="00791D71" w:rsidRDefault="00F05DC7" w:rsidP="00A3786D">
                  <w:pPr>
                    <w:pStyle w:val="TableBodyText"/>
                  </w:pPr>
                  <w:r>
                    <w:rPr>
                      <w:rFonts w:cs="Arial"/>
                    </w:rPr>
                    <w:t>4.26</w:t>
                  </w:r>
                </w:p>
              </w:tc>
            </w:tr>
            <w:tr w:rsidR="00F05DC7" w14:paraId="7954B517" w14:textId="77777777" w:rsidTr="00A3786D">
              <w:trPr>
                <w:trHeight w:val="276"/>
              </w:trPr>
              <w:tc>
                <w:tcPr>
                  <w:tcW w:w="1657" w:type="pct"/>
                  <w:tcBorders>
                    <w:top w:val="nil"/>
                    <w:left w:val="nil"/>
                    <w:bottom w:val="nil"/>
                    <w:right w:val="nil"/>
                  </w:tcBorders>
                  <w:shd w:val="clear" w:color="auto" w:fill="auto"/>
                  <w:tcMar>
                    <w:left w:w="0" w:type="dxa"/>
                    <w:right w:w="0" w:type="dxa"/>
                  </w:tcMar>
                  <w:vAlign w:val="center"/>
                  <w:hideMark/>
                </w:tcPr>
                <w:p w14:paraId="7954B50E" w14:textId="77777777" w:rsidR="00F05DC7" w:rsidRPr="00791D71" w:rsidRDefault="00F05DC7" w:rsidP="00A3786D">
                  <w:pPr>
                    <w:pStyle w:val="TableBodyText"/>
                    <w:jc w:val="left"/>
                  </w:pPr>
                  <w:r w:rsidRPr="00363479">
                    <w:t>90 per cent full equalisation</w:t>
                  </w:r>
                </w:p>
              </w:tc>
              <w:tc>
                <w:tcPr>
                  <w:tcW w:w="417" w:type="pct"/>
                  <w:tcBorders>
                    <w:top w:val="nil"/>
                    <w:left w:val="nil"/>
                    <w:bottom w:val="nil"/>
                    <w:right w:val="nil"/>
                  </w:tcBorders>
                  <w:shd w:val="clear" w:color="auto" w:fill="auto"/>
                  <w:tcMar>
                    <w:left w:w="0" w:type="dxa"/>
                    <w:right w:w="0" w:type="dxa"/>
                  </w:tcMar>
                  <w:vAlign w:val="center"/>
                  <w:hideMark/>
                </w:tcPr>
                <w:p w14:paraId="7954B50F" w14:textId="77777777" w:rsidR="00F05DC7" w:rsidRPr="00791D71" w:rsidRDefault="00F05DC7" w:rsidP="00A3786D">
                  <w:pPr>
                    <w:pStyle w:val="TableBodyText"/>
                  </w:pPr>
                  <w:r>
                    <w:rPr>
                      <w:rFonts w:cs="Arial"/>
                    </w:rPr>
                    <w:t>0.87</w:t>
                  </w:r>
                </w:p>
              </w:tc>
              <w:tc>
                <w:tcPr>
                  <w:tcW w:w="418" w:type="pct"/>
                  <w:tcBorders>
                    <w:top w:val="nil"/>
                    <w:left w:val="nil"/>
                    <w:bottom w:val="nil"/>
                    <w:right w:val="nil"/>
                  </w:tcBorders>
                  <w:shd w:val="clear" w:color="auto" w:fill="auto"/>
                  <w:tcMar>
                    <w:left w:w="0" w:type="dxa"/>
                    <w:right w:w="0" w:type="dxa"/>
                  </w:tcMar>
                  <w:vAlign w:val="center"/>
                  <w:hideMark/>
                </w:tcPr>
                <w:p w14:paraId="7954B510" w14:textId="77777777" w:rsidR="00F05DC7" w:rsidRPr="00791D71" w:rsidRDefault="00F05DC7" w:rsidP="00A3786D">
                  <w:pPr>
                    <w:pStyle w:val="TableBodyText"/>
                  </w:pPr>
                  <w:r>
                    <w:rPr>
                      <w:rFonts w:cs="Arial"/>
                    </w:rPr>
                    <w:t>0.99</w:t>
                  </w:r>
                </w:p>
              </w:tc>
              <w:tc>
                <w:tcPr>
                  <w:tcW w:w="419" w:type="pct"/>
                  <w:gridSpan w:val="2"/>
                  <w:tcBorders>
                    <w:top w:val="nil"/>
                    <w:left w:val="nil"/>
                    <w:bottom w:val="nil"/>
                    <w:right w:val="nil"/>
                  </w:tcBorders>
                  <w:shd w:val="clear" w:color="auto" w:fill="auto"/>
                  <w:tcMar>
                    <w:left w:w="0" w:type="dxa"/>
                    <w:right w:w="0" w:type="dxa"/>
                  </w:tcMar>
                  <w:vAlign w:val="center"/>
                  <w:hideMark/>
                </w:tcPr>
                <w:p w14:paraId="7954B511" w14:textId="77777777" w:rsidR="00F05DC7" w:rsidRPr="00791D71" w:rsidRDefault="00F05DC7" w:rsidP="00A3786D">
                  <w:pPr>
                    <w:pStyle w:val="TableBodyText"/>
                  </w:pPr>
                  <w:r>
                    <w:rPr>
                      <w:rFonts w:cs="Arial"/>
                    </w:rPr>
                    <w:t>1.09</w:t>
                  </w:r>
                </w:p>
              </w:tc>
              <w:tc>
                <w:tcPr>
                  <w:tcW w:w="418" w:type="pct"/>
                  <w:tcBorders>
                    <w:top w:val="nil"/>
                    <w:left w:val="nil"/>
                    <w:bottom w:val="nil"/>
                    <w:right w:val="nil"/>
                  </w:tcBorders>
                  <w:shd w:val="clear" w:color="auto" w:fill="auto"/>
                  <w:tcMar>
                    <w:left w:w="0" w:type="dxa"/>
                    <w:right w:w="0" w:type="dxa"/>
                  </w:tcMar>
                  <w:vAlign w:val="center"/>
                  <w:hideMark/>
                </w:tcPr>
                <w:p w14:paraId="7954B512" w14:textId="77777777" w:rsidR="00F05DC7" w:rsidRPr="00791D71" w:rsidRDefault="00F05DC7" w:rsidP="00A3786D">
                  <w:pPr>
                    <w:pStyle w:val="TableBodyText"/>
                  </w:pPr>
                  <w:r>
                    <w:rPr>
                      <w:rFonts w:cs="Arial"/>
                    </w:rPr>
                    <w:t>0.53</w:t>
                  </w:r>
                </w:p>
              </w:tc>
              <w:tc>
                <w:tcPr>
                  <w:tcW w:w="418" w:type="pct"/>
                  <w:tcBorders>
                    <w:top w:val="nil"/>
                    <w:left w:val="nil"/>
                    <w:bottom w:val="nil"/>
                    <w:right w:val="nil"/>
                  </w:tcBorders>
                  <w:shd w:val="clear" w:color="auto" w:fill="auto"/>
                  <w:tcMar>
                    <w:left w:w="0" w:type="dxa"/>
                    <w:right w:w="0" w:type="dxa"/>
                  </w:tcMar>
                  <w:vAlign w:val="center"/>
                  <w:hideMark/>
                </w:tcPr>
                <w:p w14:paraId="7954B513" w14:textId="77777777" w:rsidR="00F05DC7" w:rsidRPr="00791D71" w:rsidRDefault="00F05DC7" w:rsidP="00A3786D">
                  <w:pPr>
                    <w:pStyle w:val="TableBodyText"/>
                  </w:pPr>
                  <w:r>
                    <w:rPr>
                      <w:rFonts w:cs="Arial"/>
                    </w:rPr>
                    <w:t>1.43</w:t>
                  </w:r>
                </w:p>
              </w:tc>
              <w:tc>
                <w:tcPr>
                  <w:tcW w:w="418" w:type="pct"/>
                  <w:tcBorders>
                    <w:top w:val="nil"/>
                    <w:left w:val="nil"/>
                    <w:bottom w:val="nil"/>
                    <w:right w:val="nil"/>
                  </w:tcBorders>
                  <w:shd w:val="clear" w:color="auto" w:fill="auto"/>
                  <w:tcMar>
                    <w:left w:w="0" w:type="dxa"/>
                    <w:right w:w="0" w:type="dxa"/>
                  </w:tcMar>
                  <w:vAlign w:val="center"/>
                  <w:hideMark/>
                </w:tcPr>
                <w:p w14:paraId="7954B514" w14:textId="77777777" w:rsidR="00F05DC7" w:rsidRPr="00791D71" w:rsidRDefault="00F05DC7" w:rsidP="00A3786D">
                  <w:pPr>
                    <w:pStyle w:val="TableBodyText"/>
                  </w:pPr>
                  <w:r>
                    <w:rPr>
                      <w:rFonts w:cs="Arial"/>
                    </w:rPr>
                    <w:t>1.69</w:t>
                  </w:r>
                </w:p>
              </w:tc>
              <w:tc>
                <w:tcPr>
                  <w:tcW w:w="418" w:type="pct"/>
                  <w:tcBorders>
                    <w:top w:val="nil"/>
                    <w:left w:val="nil"/>
                    <w:bottom w:val="nil"/>
                    <w:right w:val="nil"/>
                  </w:tcBorders>
                  <w:shd w:val="clear" w:color="auto" w:fill="auto"/>
                  <w:tcMar>
                    <w:left w:w="0" w:type="dxa"/>
                    <w:right w:w="0" w:type="dxa"/>
                  </w:tcMar>
                  <w:vAlign w:val="center"/>
                  <w:hideMark/>
                </w:tcPr>
                <w:p w14:paraId="7954B515" w14:textId="77777777" w:rsidR="00F05DC7" w:rsidRPr="00791D71" w:rsidRDefault="00F05DC7" w:rsidP="00A3786D">
                  <w:pPr>
                    <w:pStyle w:val="TableBodyText"/>
                  </w:pPr>
                  <w:r>
                    <w:rPr>
                      <w:rFonts w:cs="Arial"/>
                    </w:rPr>
                    <w:t>1.16</w:t>
                  </w:r>
                </w:p>
              </w:tc>
              <w:tc>
                <w:tcPr>
                  <w:tcW w:w="417" w:type="pct"/>
                  <w:tcBorders>
                    <w:top w:val="nil"/>
                    <w:left w:val="nil"/>
                    <w:bottom w:val="nil"/>
                    <w:right w:val="nil"/>
                  </w:tcBorders>
                  <w:shd w:val="clear" w:color="auto" w:fill="auto"/>
                  <w:tcMar>
                    <w:left w:w="0" w:type="dxa"/>
                    <w:right w:w="0" w:type="dxa"/>
                  </w:tcMar>
                  <w:vAlign w:val="center"/>
                  <w:hideMark/>
                </w:tcPr>
                <w:p w14:paraId="7954B516" w14:textId="77777777" w:rsidR="00F05DC7" w:rsidRPr="00791D71" w:rsidRDefault="00F05DC7" w:rsidP="00A3786D">
                  <w:pPr>
                    <w:pStyle w:val="TableBodyText"/>
                  </w:pPr>
                  <w:r>
                    <w:rPr>
                      <w:rFonts w:cs="Arial"/>
                    </w:rPr>
                    <w:t>3.94</w:t>
                  </w:r>
                </w:p>
              </w:tc>
            </w:tr>
            <w:tr w:rsidR="00F05DC7" w14:paraId="7954B521" w14:textId="77777777" w:rsidTr="00A3786D">
              <w:trPr>
                <w:trHeight w:val="276"/>
              </w:trPr>
              <w:tc>
                <w:tcPr>
                  <w:tcW w:w="1657" w:type="pct"/>
                  <w:tcBorders>
                    <w:top w:val="nil"/>
                    <w:left w:val="nil"/>
                    <w:bottom w:val="nil"/>
                    <w:right w:val="nil"/>
                  </w:tcBorders>
                  <w:shd w:val="clear" w:color="auto" w:fill="auto"/>
                  <w:tcMar>
                    <w:left w:w="0" w:type="dxa"/>
                    <w:right w:w="0" w:type="dxa"/>
                  </w:tcMar>
                  <w:vAlign w:val="center"/>
                  <w:hideMark/>
                </w:tcPr>
                <w:p w14:paraId="7954B518" w14:textId="77777777" w:rsidR="00F05DC7" w:rsidRPr="00791D71" w:rsidRDefault="00F05DC7" w:rsidP="00A3786D">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417" w:type="pct"/>
                  <w:tcBorders>
                    <w:top w:val="nil"/>
                    <w:left w:val="nil"/>
                    <w:bottom w:val="nil"/>
                    <w:right w:val="nil"/>
                  </w:tcBorders>
                  <w:shd w:val="clear" w:color="auto" w:fill="auto"/>
                  <w:tcMar>
                    <w:left w:w="0" w:type="dxa"/>
                    <w:right w:w="0" w:type="dxa"/>
                  </w:tcMar>
                  <w:vAlign w:val="center"/>
                  <w:hideMark/>
                </w:tcPr>
                <w:p w14:paraId="7954B519" w14:textId="77777777" w:rsidR="00F05DC7" w:rsidRPr="00791D71" w:rsidRDefault="00F05DC7" w:rsidP="00A3786D">
                  <w:pPr>
                    <w:spacing w:before="80"/>
                    <w:ind w:right="11"/>
                    <w:jc w:val="right"/>
                    <w:rPr>
                      <w:rFonts w:asciiTheme="minorHAnsi" w:hAnsiTheme="minorHAnsi" w:cstheme="minorHAnsi"/>
                      <w:b/>
                      <w:bCs/>
                      <w:color w:val="000000"/>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51A" w14:textId="77777777" w:rsidR="00F05DC7" w:rsidRPr="00791D71" w:rsidRDefault="00F05DC7" w:rsidP="00A3786D">
                  <w:pPr>
                    <w:spacing w:before="80"/>
                    <w:ind w:right="11"/>
                    <w:jc w:val="right"/>
                    <w:rPr>
                      <w:rFonts w:asciiTheme="minorHAnsi" w:hAnsiTheme="minorHAnsi" w:cstheme="minorHAnsi"/>
                      <w:sz w:val="18"/>
                      <w:szCs w:val="18"/>
                    </w:rPr>
                  </w:pPr>
                </w:p>
              </w:tc>
              <w:tc>
                <w:tcPr>
                  <w:tcW w:w="419" w:type="pct"/>
                  <w:gridSpan w:val="2"/>
                  <w:tcBorders>
                    <w:top w:val="nil"/>
                    <w:left w:val="nil"/>
                    <w:bottom w:val="nil"/>
                    <w:right w:val="nil"/>
                  </w:tcBorders>
                  <w:shd w:val="clear" w:color="auto" w:fill="auto"/>
                  <w:tcMar>
                    <w:left w:w="0" w:type="dxa"/>
                    <w:right w:w="0" w:type="dxa"/>
                  </w:tcMar>
                  <w:vAlign w:val="center"/>
                  <w:hideMark/>
                </w:tcPr>
                <w:p w14:paraId="7954B51B"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51C"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51D"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51E" w14:textId="77777777" w:rsidR="00F05DC7" w:rsidRPr="00791D71" w:rsidRDefault="00F05DC7" w:rsidP="00A3786D">
                  <w:pPr>
                    <w:spacing w:before="80"/>
                    <w:ind w:right="11"/>
                    <w:jc w:val="right"/>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51F" w14:textId="77777777" w:rsidR="00F05DC7" w:rsidRPr="00791D71" w:rsidRDefault="00F05DC7" w:rsidP="00A3786D">
                  <w:pPr>
                    <w:spacing w:before="80"/>
                    <w:ind w:right="11"/>
                    <w:jc w:val="right"/>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B520" w14:textId="77777777" w:rsidR="00F05DC7" w:rsidRPr="00791D71" w:rsidRDefault="00F05DC7" w:rsidP="00A3786D">
                  <w:pPr>
                    <w:spacing w:before="80"/>
                    <w:ind w:right="11"/>
                    <w:jc w:val="right"/>
                    <w:rPr>
                      <w:rFonts w:asciiTheme="minorHAnsi" w:hAnsiTheme="minorHAnsi" w:cstheme="minorHAnsi"/>
                      <w:sz w:val="18"/>
                      <w:szCs w:val="18"/>
                    </w:rPr>
                  </w:pPr>
                </w:p>
              </w:tc>
            </w:tr>
            <w:tr w:rsidR="00F05DC7" w14:paraId="7954B52B" w14:textId="77777777" w:rsidTr="00A3786D">
              <w:trPr>
                <w:trHeight w:val="276"/>
              </w:trPr>
              <w:tc>
                <w:tcPr>
                  <w:tcW w:w="1657" w:type="pct"/>
                  <w:tcBorders>
                    <w:top w:val="nil"/>
                    <w:left w:val="nil"/>
                    <w:bottom w:val="nil"/>
                    <w:right w:val="nil"/>
                  </w:tcBorders>
                  <w:shd w:val="clear" w:color="auto" w:fill="auto"/>
                  <w:tcMar>
                    <w:left w:w="0" w:type="dxa"/>
                    <w:right w:w="0" w:type="dxa"/>
                  </w:tcMar>
                  <w:vAlign w:val="center"/>
                  <w:hideMark/>
                </w:tcPr>
                <w:p w14:paraId="7954B522" w14:textId="77777777" w:rsidR="00F05DC7" w:rsidRPr="00791D71" w:rsidRDefault="00F05DC7" w:rsidP="00A3786D">
                  <w:pPr>
                    <w:pStyle w:val="TableBodyText"/>
                    <w:jc w:val="left"/>
                  </w:pPr>
                  <w:r>
                    <w:t>$m</w:t>
                  </w:r>
                </w:p>
              </w:tc>
              <w:tc>
                <w:tcPr>
                  <w:tcW w:w="417" w:type="pct"/>
                  <w:tcBorders>
                    <w:top w:val="nil"/>
                    <w:left w:val="nil"/>
                    <w:bottom w:val="nil"/>
                    <w:right w:val="nil"/>
                  </w:tcBorders>
                  <w:shd w:val="clear" w:color="auto" w:fill="auto"/>
                  <w:tcMar>
                    <w:left w:w="0" w:type="dxa"/>
                    <w:right w:w="0" w:type="dxa"/>
                  </w:tcMar>
                  <w:vAlign w:val="bottom"/>
                  <w:hideMark/>
                </w:tcPr>
                <w:p w14:paraId="7954B523" w14:textId="77777777" w:rsidR="00F05DC7" w:rsidRPr="00791D71" w:rsidRDefault="00F05DC7" w:rsidP="00A3786D">
                  <w:pPr>
                    <w:pStyle w:val="TableBodyText"/>
                  </w:pPr>
                  <w:r>
                    <w:rPr>
                      <w:rFonts w:cs="Arial"/>
                    </w:rPr>
                    <w:t>302</w:t>
                  </w:r>
                </w:p>
              </w:tc>
              <w:tc>
                <w:tcPr>
                  <w:tcW w:w="418" w:type="pct"/>
                  <w:tcBorders>
                    <w:top w:val="nil"/>
                    <w:left w:val="nil"/>
                    <w:bottom w:val="nil"/>
                    <w:right w:val="nil"/>
                  </w:tcBorders>
                  <w:shd w:val="clear" w:color="auto" w:fill="auto"/>
                  <w:tcMar>
                    <w:left w:w="0" w:type="dxa"/>
                    <w:right w:w="0" w:type="dxa"/>
                  </w:tcMar>
                  <w:vAlign w:val="bottom"/>
                  <w:hideMark/>
                </w:tcPr>
                <w:p w14:paraId="7954B524" w14:textId="77777777" w:rsidR="00F05DC7" w:rsidRPr="00791D71" w:rsidRDefault="00F05DC7" w:rsidP="00A3786D">
                  <w:pPr>
                    <w:pStyle w:val="TableBodyText"/>
                  </w:pPr>
                  <w:r>
                    <w:rPr>
                      <w:rFonts w:cs="Arial"/>
                    </w:rPr>
                    <w:t>20</w:t>
                  </w:r>
                </w:p>
              </w:tc>
              <w:tc>
                <w:tcPr>
                  <w:tcW w:w="419" w:type="pct"/>
                  <w:gridSpan w:val="2"/>
                  <w:tcBorders>
                    <w:top w:val="nil"/>
                    <w:left w:val="nil"/>
                    <w:bottom w:val="nil"/>
                    <w:right w:val="nil"/>
                  </w:tcBorders>
                  <w:shd w:val="clear" w:color="auto" w:fill="auto"/>
                  <w:tcMar>
                    <w:left w:w="0" w:type="dxa"/>
                    <w:right w:w="0" w:type="dxa"/>
                  </w:tcMar>
                  <w:vAlign w:val="bottom"/>
                  <w:hideMark/>
                </w:tcPr>
                <w:p w14:paraId="7954B525" w14:textId="77777777" w:rsidR="00F05DC7" w:rsidRPr="00791D71" w:rsidRDefault="00F05DC7" w:rsidP="00A3786D">
                  <w:pPr>
                    <w:pStyle w:val="TableBodyText"/>
                  </w:pPr>
                  <w:r>
                    <w:rPr>
                      <w:rFonts w:cs="Arial"/>
                    </w:rPr>
                    <w:t>-128</w:t>
                  </w:r>
                </w:p>
              </w:tc>
              <w:tc>
                <w:tcPr>
                  <w:tcW w:w="418" w:type="pct"/>
                  <w:tcBorders>
                    <w:top w:val="nil"/>
                    <w:left w:val="nil"/>
                    <w:bottom w:val="nil"/>
                    <w:right w:val="nil"/>
                  </w:tcBorders>
                  <w:shd w:val="clear" w:color="auto" w:fill="auto"/>
                  <w:tcMar>
                    <w:left w:w="0" w:type="dxa"/>
                    <w:right w:w="0" w:type="dxa"/>
                  </w:tcMar>
                  <w:vAlign w:val="bottom"/>
                  <w:hideMark/>
                </w:tcPr>
                <w:p w14:paraId="7954B526" w14:textId="77777777" w:rsidR="00F05DC7" w:rsidRPr="00791D71" w:rsidRDefault="00F05DC7" w:rsidP="00A3786D">
                  <w:pPr>
                    <w:pStyle w:val="TableBodyText"/>
                  </w:pPr>
                  <w:r>
                    <w:rPr>
                      <w:rFonts w:cs="Arial"/>
                    </w:rPr>
                    <w:t>362</w:t>
                  </w:r>
                </w:p>
              </w:tc>
              <w:tc>
                <w:tcPr>
                  <w:tcW w:w="418" w:type="pct"/>
                  <w:tcBorders>
                    <w:top w:val="nil"/>
                    <w:left w:val="nil"/>
                    <w:bottom w:val="nil"/>
                    <w:right w:val="nil"/>
                  </w:tcBorders>
                  <w:shd w:val="clear" w:color="auto" w:fill="auto"/>
                  <w:tcMar>
                    <w:left w:w="0" w:type="dxa"/>
                    <w:right w:w="0" w:type="dxa"/>
                  </w:tcMar>
                  <w:vAlign w:val="bottom"/>
                  <w:hideMark/>
                </w:tcPr>
                <w:p w14:paraId="7954B527" w14:textId="77777777" w:rsidR="00F05DC7" w:rsidRPr="00791D71" w:rsidRDefault="00F05DC7" w:rsidP="00A3786D">
                  <w:pPr>
                    <w:pStyle w:val="TableBodyText"/>
                  </w:pPr>
                  <w:r>
                    <w:rPr>
                      <w:rFonts w:cs="Arial"/>
                    </w:rPr>
                    <w:t>-219</w:t>
                  </w:r>
                </w:p>
              </w:tc>
              <w:tc>
                <w:tcPr>
                  <w:tcW w:w="418" w:type="pct"/>
                  <w:tcBorders>
                    <w:top w:val="nil"/>
                    <w:left w:val="nil"/>
                    <w:bottom w:val="nil"/>
                    <w:right w:val="nil"/>
                  </w:tcBorders>
                  <w:shd w:val="clear" w:color="auto" w:fill="auto"/>
                  <w:tcMar>
                    <w:left w:w="0" w:type="dxa"/>
                    <w:right w:w="0" w:type="dxa"/>
                  </w:tcMar>
                  <w:vAlign w:val="bottom"/>
                  <w:hideMark/>
                </w:tcPr>
                <w:p w14:paraId="7954B528" w14:textId="77777777" w:rsidR="00F05DC7" w:rsidRPr="00791D71" w:rsidRDefault="00F05DC7" w:rsidP="00A3786D">
                  <w:pPr>
                    <w:pStyle w:val="TableBodyText"/>
                  </w:pPr>
                  <w:r>
                    <w:rPr>
                      <w:rFonts w:cs="Arial"/>
                    </w:rPr>
                    <w:t>-106</w:t>
                  </w:r>
                </w:p>
              </w:tc>
              <w:tc>
                <w:tcPr>
                  <w:tcW w:w="418" w:type="pct"/>
                  <w:tcBorders>
                    <w:top w:val="nil"/>
                    <w:left w:val="nil"/>
                    <w:bottom w:val="nil"/>
                    <w:right w:val="nil"/>
                  </w:tcBorders>
                  <w:shd w:val="clear" w:color="auto" w:fill="auto"/>
                  <w:tcMar>
                    <w:left w:w="0" w:type="dxa"/>
                    <w:right w:w="0" w:type="dxa"/>
                  </w:tcMar>
                  <w:vAlign w:val="bottom"/>
                  <w:hideMark/>
                </w:tcPr>
                <w:p w14:paraId="7954B529" w14:textId="77777777" w:rsidR="00F05DC7" w:rsidRPr="00791D71" w:rsidRDefault="00F05DC7" w:rsidP="00A3786D">
                  <w:pPr>
                    <w:pStyle w:val="TableBodyText"/>
                  </w:pPr>
                  <w:r>
                    <w:rPr>
                      <w:rFonts w:cs="Arial"/>
                    </w:rPr>
                    <w:t>-20</w:t>
                  </w:r>
                </w:p>
              </w:tc>
              <w:tc>
                <w:tcPr>
                  <w:tcW w:w="417" w:type="pct"/>
                  <w:tcBorders>
                    <w:top w:val="nil"/>
                    <w:left w:val="nil"/>
                    <w:bottom w:val="nil"/>
                    <w:right w:val="nil"/>
                  </w:tcBorders>
                  <w:shd w:val="clear" w:color="auto" w:fill="auto"/>
                  <w:tcMar>
                    <w:left w:w="0" w:type="dxa"/>
                    <w:right w:w="0" w:type="dxa"/>
                  </w:tcMar>
                  <w:vAlign w:val="bottom"/>
                  <w:hideMark/>
                </w:tcPr>
                <w:p w14:paraId="7954B52A" w14:textId="77777777" w:rsidR="00F05DC7" w:rsidRPr="00791D71" w:rsidRDefault="00F05DC7" w:rsidP="00A3786D">
                  <w:pPr>
                    <w:pStyle w:val="TableBodyText"/>
                  </w:pPr>
                  <w:r>
                    <w:rPr>
                      <w:rFonts w:cs="Arial"/>
                    </w:rPr>
                    <w:t>-211</w:t>
                  </w:r>
                </w:p>
              </w:tc>
            </w:tr>
            <w:tr w:rsidR="00F05DC7" w14:paraId="7954B535" w14:textId="77777777" w:rsidTr="00A3786D">
              <w:trPr>
                <w:trHeight w:val="276"/>
              </w:trPr>
              <w:tc>
                <w:tcPr>
                  <w:tcW w:w="1657" w:type="pct"/>
                  <w:tcBorders>
                    <w:top w:val="nil"/>
                    <w:left w:val="nil"/>
                    <w:bottom w:val="nil"/>
                    <w:right w:val="nil"/>
                  </w:tcBorders>
                  <w:shd w:val="clear" w:color="auto" w:fill="auto"/>
                  <w:tcMar>
                    <w:left w:w="0" w:type="dxa"/>
                    <w:right w:w="0" w:type="dxa"/>
                  </w:tcMar>
                  <w:vAlign w:val="center"/>
                </w:tcPr>
                <w:p w14:paraId="7954B52C" w14:textId="77777777" w:rsidR="00F05DC7" w:rsidRDefault="00F05DC7" w:rsidP="00A3786D">
                  <w:pPr>
                    <w:pStyle w:val="TableBodyText"/>
                    <w:jc w:val="left"/>
                  </w:pPr>
                  <w:r>
                    <w:t>$pc</w:t>
                  </w:r>
                </w:p>
              </w:tc>
              <w:tc>
                <w:tcPr>
                  <w:tcW w:w="417" w:type="pct"/>
                  <w:tcBorders>
                    <w:top w:val="nil"/>
                    <w:left w:val="nil"/>
                    <w:bottom w:val="nil"/>
                    <w:right w:val="nil"/>
                  </w:tcBorders>
                  <w:shd w:val="clear" w:color="auto" w:fill="auto"/>
                  <w:tcMar>
                    <w:left w:w="0" w:type="dxa"/>
                    <w:right w:w="0" w:type="dxa"/>
                  </w:tcMar>
                  <w:vAlign w:val="bottom"/>
                </w:tcPr>
                <w:p w14:paraId="7954B52D" w14:textId="77777777" w:rsidR="00F05DC7" w:rsidRDefault="00F05DC7" w:rsidP="00A3786D">
                  <w:pPr>
                    <w:pStyle w:val="TableBodyText"/>
                    <w:rPr>
                      <w:rFonts w:cs="Arial"/>
                    </w:rPr>
                  </w:pPr>
                  <w:r>
                    <w:rPr>
                      <w:rFonts w:cs="Arial"/>
                    </w:rPr>
                    <w:t>38</w:t>
                  </w:r>
                </w:p>
              </w:tc>
              <w:tc>
                <w:tcPr>
                  <w:tcW w:w="418" w:type="pct"/>
                  <w:tcBorders>
                    <w:top w:val="nil"/>
                    <w:left w:val="nil"/>
                    <w:bottom w:val="nil"/>
                    <w:right w:val="nil"/>
                  </w:tcBorders>
                  <w:shd w:val="clear" w:color="auto" w:fill="auto"/>
                  <w:tcMar>
                    <w:left w:w="0" w:type="dxa"/>
                    <w:right w:w="0" w:type="dxa"/>
                  </w:tcMar>
                  <w:vAlign w:val="bottom"/>
                </w:tcPr>
                <w:p w14:paraId="7954B52E" w14:textId="77777777" w:rsidR="00F05DC7" w:rsidRDefault="00F05DC7" w:rsidP="00A3786D">
                  <w:pPr>
                    <w:pStyle w:val="TableBodyText"/>
                    <w:rPr>
                      <w:rFonts w:cs="Arial"/>
                    </w:rPr>
                  </w:pPr>
                  <w:r>
                    <w:rPr>
                      <w:rFonts w:cs="Arial"/>
                    </w:rPr>
                    <w:t>3</w:t>
                  </w:r>
                </w:p>
              </w:tc>
              <w:tc>
                <w:tcPr>
                  <w:tcW w:w="419" w:type="pct"/>
                  <w:gridSpan w:val="2"/>
                  <w:tcBorders>
                    <w:top w:val="nil"/>
                    <w:left w:val="nil"/>
                    <w:bottom w:val="nil"/>
                    <w:right w:val="nil"/>
                  </w:tcBorders>
                  <w:shd w:val="clear" w:color="auto" w:fill="auto"/>
                  <w:tcMar>
                    <w:left w:w="0" w:type="dxa"/>
                    <w:right w:w="0" w:type="dxa"/>
                  </w:tcMar>
                  <w:vAlign w:val="bottom"/>
                </w:tcPr>
                <w:p w14:paraId="7954B52F" w14:textId="77777777" w:rsidR="00F05DC7" w:rsidRDefault="00F05DC7" w:rsidP="00A3786D">
                  <w:pPr>
                    <w:pStyle w:val="TableBodyText"/>
                    <w:rPr>
                      <w:rFonts w:cs="Arial"/>
                    </w:rPr>
                  </w:pPr>
                  <w:r>
                    <w:rPr>
                      <w:rFonts w:cs="Arial"/>
                    </w:rPr>
                    <w:t>-26</w:t>
                  </w:r>
                </w:p>
              </w:tc>
              <w:tc>
                <w:tcPr>
                  <w:tcW w:w="418" w:type="pct"/>
                  <w:tcBorders>
                    <w:top w:val="nil"/>
                    <w:left w:val="nil"/>
                    <w:bottom w:val="nil"/>
                    <w:right w:val="nil"/>
                  </w:tcBorders>
                  <w:shd w:val="clear" w:color="auto" w:fill="auto"/>
                  <w:tcMar>
                    <w:left w:w="0" w:type="dxa"/>
                    <w:right w:w="0" w:type="dxa"/>
                  </w:tcMar>
                  <w:vAlign w:val="bottom"/>
                </w:tcPr>
                <w:p w14:paraId="7954B530" w14:textId="77777777" w:rsidR="00F05DC7" w:rsidRDefault="00F05DC7" w:rsidP="00A3786D">
                  <w:pPr>
                    <w:pStyle w:val="TableBodyText"/>
                    <w:rPr>
                      <w:rFonts w:cs="Arial"/>
                    </w:rPr>
                  </w:pPr>
                  <w:r>
                    <w:rPr>
                      <w:rFonts w:cs="Arial"/>
                    </w:rPr>
                    <w:t>138</w:t>
                  </w:r>
                </w:p>
              </w:tc>
              <w:tc>
                <w:tcPr>
                  <w:tcW w:w="418" w:type="pct"/>
                  <w:tcBorders>
                    <w:top w:val="nil"/>
                    <w:left w:val="nil"/>
                    <w:bottom w:val="nil"/>
                    <w:right w:val="nil"/>
                  </w:tcBorders>
                  <w:shd w:val="clear" w:color="auto" w:fill="auto"/>
                  <w:tcMar>
                    <w:left w:w="0" w:type="dxa"/>
                    <w:right w:w="0" w:type="dxa"/>
                  </w:tcMar>
                  <w:vAlign w:val="bottom"/>
                </w:tcPr>
                <w:p w14:paraId="7954B531" w14:textId="77777777" w:rsidR="00F05DC7" w:rsidRDefault="00F05DC7" w:rsidP="00A3786D">
                  <w:pPr>
                    <w:pStyle w:val="TableBodyText"/>
                    <w:rPr>
                      <w:rFonts w:cs="Arial"/>
                    </w:rPr>
                  </w:pPr>
                  <w:r>
                    <w:rPr>
                      <w:rFonts w:cs="Arial"/>
                    </w:rPr>
                    <w:t>-126</w:t>
                  </w:r>
                </w:p>
              </w:tc>
              <w:tc>
                <w:tcPr>
                  <w:tcW w:w="418" w:type="pct"/>
                  <w:tcBorders>
                    <w:top w:val="nil"/>
                    <w:left w:val="nil"/>
                    <w:bottom w:val="nil"/>
                    <w:right w:val="nil"/>
                  </w:tcBorders>
                  <w:shd w:val="clear" w:color="auto" w:fill="auto"/>
                  <w:tcMar>
                    <w:left w:w="0" w:type="dxa"/>
                    <w:right w:w="0" w:type="dxa"/>
                  </w:tcMar>
                  <w:vAlign w:val="bottom"/>
                </w:tcPr>
                <w:p w14:paraId="7954B532" w14:textId="77777777" w:rsidR="00F05DC7" w:rsidRDefault="00F05DC7" w:rsidP="00A3786D">
                  <w:pPr>
                    <w:pStyle w:val="TableBodyText"/>
                    <w:rPr>
                      <w:rFonts w:cs="Arial"/>
                    </w:rPr>
                  </w:pPr>
                  <w:r>
                    <w:rPr>
                      <w:rFonts w:cs="Arial"/>
                    </w:rPr>
                    <w:t>-202</w:t>
                  </w:r>
                </w:p>
              </w:tc>
              <w:tc>
                <w:tcPr>
                  <w:tcW w:w="418" w:type="pct"/>
                  <w:tcBorders>
                    <w:top w:val="nil"/>
                    <w:left w:val="nil"/>
                    <w:bottom w:val="nil"/>
                    <w:right w:val="nil"/>
                  </w:tcBorders>
                  <w:shd w:val="clear" w:color="auto" w:fill="auto"/>
                  <w:tcMar>
                    <w:left w:w="0" w:type="dxa"/>
                    <w:right w:w="0" w:type="dxa"/>
                  </w:tcMar>
                  <w:vAlign w:val="bottom"/>
                </w:tcPr>
                <w:p w14:paraId="7954B533" w14:textId="77777777" w:rsidR="00F05DC7" w:rsidRDefault="00F05DC7" w:rsidP="00A3786D">
                  <w:pPr>
                    <w:pStyle w:val="TableBodyText"/>
                    <w:rPr>
                      <w:rFonts w:cs="Arial"/>
                    </w:rPr>
                  </w:pPr>
                  <w:r>
                    <w:rPr>
                      <w:rFonts w:cs="Arial"/>
                    </w:rPr>
                    <w:t>-48</w:t>
                  </w:r>
                </w:p>
              </w:tc>
              <w:tc>
                <w:tcPr>
                  <w:tcW w:w="417" w:type="pct"/>
                  <w:tcBorders>
                    <w:top w:val="nil"/>
                    <w:left w:val="nil"/>
                    <w:bottom w:val="nil"/>
                    <w:right w:val="nil"/>
                  </w:tcBorders>
                  <w:shd w:val="clear" w:color="auto" w:fill="auto"/>
                  <w:tcMar>
                    <w:left w:w="0" w:type="dxa"/>
                    <w:right w:w="0" w:type="dxa"/>
                  </w:tcMar>
                  <w:vAlign w:val="bottom"/>
                </w:tcPr>
                <w:p w14:paraId="7954B534" w14:textId="77777777" w:rsidR="00F05DC7" w:rsidRDefault="00F05DC7" w:rsidP="00A3786D">
                  <w:pPr>
                    <w:pStyle w:val="TableBodyText"/>
                    <w:rPr>
                      <w:rFonts w:cs="Arial"/>
                    </w:rPr>
                  </w:pPr>
                  <w:r>
                    <w:rPr>
                      <w:rFonts w:cs="Arial"/>
                    </w:rPr>
                    <w:t>-856</w:t>
                  </w:r>
                </w:p>
              </w:tc>
            </w:tr>
            <w:tr w:rsidR="00F05DC7" w14:paraId="7954B53F" w14:textId="77777777" w:rsidTr="00A3786D">
              <w:trPr>
                <w:trHeight w:val="288"/>
              </w:trPr>
              <w:tc>
                <w:tcPr>
                  <w:tcW w:w="1657" w:type="pct"/>
                  <w:tcBorders>
                    <w:top w:val="nil"/>
                    <w:left w:val="nil"/>
                    <w:bottom w:val="nil"/>
                    <w:right w:val="nil"/>
                  </w:tcBorders>
                  <w:shd w:val="clear" w:color="auto" w:fill="auto"/>
                  <w:tcMar>
                    <w:left w:w="0" w:type="dxa"/>
                    <w:right w:w="0" w:type="dxa"/>
                  </w:tcMar>
                  <w:vAlign w:val="center"/>
                </w:tcPr>
                <w:p w14:paraId="7954B536" w14:textId="77777777" w:rsidR="00F05DC7" w:rsidRPr="00791D71" w:rsidRDefault="00F05DC7" w:rsidP="00A3786D">
                  <w:pPr>
                    <w:pStyle w:val="TableBodyText"/>
                    <w:jc w:val="left"/>
                  </w:pPr>
                  <w:r w:rsidRPr="002600E3">
                    <w:t>% change in State revenue</w:t>
                  </w:r>
                  <w:r w:rsidRPr="002600E3" w:rsidDel="00CE2770">
                    <w:t xml:space="preserve"> </w:t>
                  </w:r>
                </w:p>
              </w:tc>
              <w:tc>
                <w:tcPr>
                  <w:tcW w:w="417" w:type="pct"/>
                  <w:tcBorders>
                    <w:top w:val="nil"/>
                    <w:left w:val="nil"/>
                    <w:bottom w:val="nil"/>
                    <w:right w:val="nil"/>
                  </w:tcBorders>
                  <w:shd w:val="clear" w:color="auto" w:fill="auto"/>
                  <w:tcMar>
                    <w:left w:w="0" w:type="dxa"/>
                    <w:right w:w="0" w:type="dxa"/>
                  </w:tcMar>
                  <w:vAlign w:val="bottom"/>
                </w:tcPr>
                <w:p w14:paraId="7954B537" w14:textId="77777777" w:rsidR="00F05DC7" w:rsidRPr="00CE2770" w:rsidRDefault="00F05DC7" w:rsidP="00A3786D">
                  <w:pPr>
                    <w:pStyle w:val="TableBodyText"/>
                  </w:pPr>
                  <w:r w:rsidRPr="008709F8">
                    <w:t>0.</w:t>
                  </w:r>
                  <w:r>
                    <w:t>4</w:t>
                  </w:r>
                </w:p>
              </w:tc>
              <w:tc>
                <w:tcPr>
                  <w:tcW w:w="418" w:type="pct"/>
                  <w:tcBorders>
                    <w:top w:val="nil"/>
                    <w:left w:val="nil"/>
                    <w:bottom w:val="nil"/>
                    <w:right w:val="nil"/>
                  </w:tcBorders>
                  <w:shd w:val="clear" w:color="auto" w:fill="auto"/>
                  <w:tcMar>
                    <w:left w:w="0" w:type="dxa"/>
                    <w:right w:w="0" w:type="dxa"/>
                  </w:tcMar>
                  <w:vAlign w:val="bottom"/>
                </w:tcPr>
                <w:p w14:paraId="7954B538" w14:textId="77777777" w:rsidR="00F05DC7" w:rsidRPr="00CE2770" w:rsidRDefault="00F05DC7" w:rsidP="00A3786D">
                  <w:pPr>
                    <w:pStyle w:val="TableBodyText"/>
                  </w:pPr>
                  <w:r w:rsidRPr="008709F8">
                    <w:t>0.</w:t>
                  </w:r>
                  <w:r>
                    <w:t>0</w:t>
                  </w:r>
                </w:p>
              </w:tc>
              <w:tc>
                <w:tcPr>
                  <w:tcW w:w="419" w:type="pct"/>
                  <w:gridSpan w:val="2"/>
                  <w:tcBorders>
                    <w:top w:val="nil"/>
                    <w:left w:val="nil"/>
                    <w:bottom w:val="nil"/>
                    <w:right w:val="nil"/>
                  </w:tcBorders>
                  <w:shd w:val="clear" w:color="auto" w:fill="auto"/>
                  <w:tcMar>
                    <w:left w:w="0" w:type="dxa"/>
                    <w:right w:w="0" w:type="dxa"/>
                  </w:tcMar>
                  <w:vAlign w:val="bottom"/>
                </w:tcPr>
                <w:p w14:paraId="7954B539" w14:textId="77777777" w:rsidR="00F05DC7" w:rsidRPr="00CE2770" w:rsidRDefault="00F05DC7" w:rsidP="00A3786D">
                  <w:pPr>
                    <w:pStyle w:val="TableBodyText"/>
                  </w:pPr>
                  <w:r w:rsidRPr="008709F8">
                    <w:t>-0.</w:t>
                  </w:r>
                  <w:r>
                    <w:t>2</w:t>
                  </w:r>
                </w:p>
              </w:tc>
              <w:tc>
                <w:tcPr>
                  <w:tcW w:w="418" w:type="pct"/>
                  <w:tcBorders>
                    <w:top w:val="nil"/>
                    <w:left w:val="nil"/>
                    <w:bottom w:val="nil"/>
                    <w:right w:val="nil"/>
                  </w:tcBorders>
                  <w:shd w:val="clear" w:color="auto" w:fill="auto"/>
                  <w:tcMar>
                    <w:left w:w="0" w:type="dxa"/>
                    <w:right w:w="0" w:type="dxa"/>
                  </w:tcMar>
                  <w:vAlign w:val="bottom"/>
                </w:tcPr>
                <w:p w14:paraId="7954B53A" w14:textId="77777777" w:rsidR="00F05DC7" w:rsidRPr="00CE2770" w:rsidRDefault="00F05DC7" w:rsidP="00A3786D">
                  <w:pPr>
                    <w:pStyle w:val="TableBodyText"/>
                  </w:pPr>
                  <w:r w:rsidRPr="008709F8">
                    <w:t>1.</w:t>
                  </w:r>
                  <w:r>
                    <w:t>2</w:t>
                  </w:r>
                </w:p>
              </w:tc>
              <w:tc>
                <w:tcPr>
                  <w:tcW w:w="418" w:type="pct"/>
                  <w:tcBorders>
                    <w:top w:val="nil"/>
                    <w:left w:val="nil"/>
                    <w:bottom w:val="nil"/>
                    <w:right w:val="nil"/>
                  </w:tcBorders>
                  <w:shd w:val="clear" w:color="auto" w:fill="auto"/>
                  <w:tcMar>
                    <w:left w:w="0" w:type="dxa"/>
                    <w:right w:w="0" w:type="dxa"/>
                  </w:tcMar>
                  <w:vAlign w:val="bottom"/>
                </w:tcPr>
                <w:p w14:paraId="7954B53B" w14:textId="77777777" w:rsidR="00F05DC7" w:rsidRPr="00CE2770" w:rsidRDefault="00F05DC7" w:rsidP="00A3786D">
                  <w:pPr>
                    <w:pStyle w:val="TableBodyText"/>
                  </w:pPr>
                  <w:r w:rsidRPr="008709F8">
                    <w:t>-1.</w:t>
                  </w:r>
                  <w:r>
                    <w:t>1</w:t>
                  </w:r>
                </w:p>
              </w:tc>
              <w:tc>
                <w:tcPr>
                  <w:tcW w:w="418" w:type="pct"/>
                  <w:tcBorders>
                    <w:top w:val="nil"/>
                    <w:left w:val="nil"/>
                    <w:bottom w:val="nil"/>
                    <w:right w:val="nil"/>
                  </w:tcBorders>
                  <w:shd w:val="clear" w:color="auto" w:fill="auto"/>
                  <w:tcMar>
                    <w:left w:w="0" w:type="dxa"/>
                    <w:right w:w="0" w:type="dxa"/>
                  </w:tcMar>
                  <w:vAlign w:val="bottom"/>
                </w:tcPr>
                <w:p w14:paraId="7954B53C" w14:textId="77777777" w:rsidR="00F05DC7" w:rsidRPr="00CE2770" w:rsidRDefault="00F05DC7" w:rsidP="00A3786D">
                  <w:pPr>
                    <w:pStyle w:val="TableBodyText"/>
                  </w:pPr>
                  <w:r w:rsidRPr="008709F8">
                    <w:t>-1.8</w:t>
                  </w:r>
                </w:p>
              </w:tc>
              <w:tc>
                <w:tcPr>
                  <w:tcW w:w="418" w:type="pct"/>
                  <w:tcBorders>
                    <w:top w:val="nil"/>
                    <w:left w:val="nil"/>
                    <w:bottom w:val="nil"/>
                    <w:right w:val="nil"/>
                  </w:tcBorders>
                  <w:shd w:val="clear" w:color="auto" w:fill="auto"/>
                  <w:tcMar>
                    <w:left w:w="0" w:type="dxa"/>
                    <w:right w:w="0" w:type="dxa"/>
                  </w:tcMar>
                  <w:vAlign w:val="bottom"/>
                </w:tcPr>
                <w:p w14:paraId="7954B53D" w14:textId="77777777" w:rsidR="00F05DC7" w:rsidRPr="00CE2770" w:rsidRDefault="00F05DC7" w:rsidP="00A3786D">
                  <w:pPr>
                    <w:pStyle w:val="TableBodyText"/>
                  </w:pPr>
                  <w:r w:rsidRPr="008709F8">
                    <w:t>-0.4</w:t>
                  </w:r>
                </w:p>
              </w:tc>
              <w:tc>
                <w:tcPr>
                  <w:tcW w:w="417" w:type="pct"/>
                  <w:tcBorders>
                    <w:top w:val="nil"/>
                    <w:left w:val="nil"/>
                    <w:bottom w:val="nil"/>
                    <w:right w:val="nil"/>
                  </w:tcBorders>
                  <w:shd w:val="clear" w:color="auto" w:fill="auto"/>
                  <w:tcMar>
                    <w:left w:w="0" w:type="dxa"/>
                    <w:right w:w="0" w:type="dxa"/>
                  </w:tcMar>
                  <w:vAlign w:val="bottom"/>
                </w:tcPr>
                <w:p w14:paraId="7954B53E" w14:textId="77777777" w:rsidR="00F05DC7" w:rsidRPr="00CE2770" w:rsidRDefault="00F05DC7" w:rsidP="00A3786D">
                  <w:pPr>
                    <w:pStyle w:val="TableBodyText"/>
                  </w:pPr>
                  <w:r w:rsidRPr="008709F8">
                    <w:t>-3.</w:t>
                  </w:r>
                  <w:r>
                    <w:t>9</w:t>
                  </w:r>
                </w:p>
              </w:tc>
            </w:tr>
            <w:tr w:rsidR="00F05DC7" w14:paraId="7954B549" w14:textId="77777777" w:rsidTr="00A3786D">
              <w:trPr>
                <w:trHeight w:val="288"/>
              </w:trPr>
              <w:tc>
                <w:tcPr>
                  <w:tcW w:w="1657" w:type="pct"/>
                  <w:tcBorders>
                    <w:top w:val="nil"/>
                    <w:left w:val="nil"/>
                    <w:bottom w:val="nil"/>
                    <w:right w:val="nil"/>
                  </w:tcBorders>
                  <w:shd w:val="clear" w:color="auto" w:fill="auto"/>
                  <w:tcMar>
                    <w:left w:w="0" w:type="dxa"/>
                    <w:right w:w="0" w:type="dxa"/>
                  </w:tcMar>
                  <w:vAlign w:val="center"/>
                </w:tcPr>
                <w:p w14:paraId="7954B540" w14:textId="77777777" w:rsidR="00F05DC7" w:rsidRDefault="00F05DC7" w:rsidP="00A3786D">
                  <w:pPr>
                    <w:rPr>
                      <w:rFonts w:asciiTheme="minorHAnsi" w:hAnsiTheme="minorHAnsi" w:cstheme="minorHAnsi"/>
                      <w:color w:val="000000"/>
                      <w:sz w:val="18"/>
                      <w:szCs w:val="18"/>
                    </w:rPr>
                  </w:pPr>
                  <w:r>
                    <w:rPr>
                      <w:rFonts w:ascii="Arial" w:hAnsi="Arial" w:cs="Arial"/>
                      <w:b/>
                      <w:bCs/>
                      <w:color w:val="000000"/>
                      <w:sz w:val="18"/>
                      <w:szCs w:val="18"/>
                    </w:rPr>
                    <w:t>Total redistribution from EPC</w:t>
                  </w:r>
                </w:p>
              </w:tc>
              <w:tc>
                <w:tcPr>
                  <w:tcW w:w="417" w:type="pct"/>
                  <w:tcBorders>
                    <w:top w:val="nil"/>
                    <w:left w:val="nil"/>
                    <w:bottom w:val="nil"/>
                    <w:right w:val="nil"/>
                  </w:tcBorders>
                  <w:shd w:val="clear" w:color="auto" w:fill="auto"/>
                  <w:tcMar>
                    <w:left w:w="0" w:type="dxa"/>
                    <w:right w:w="0" w:type="dxa"/>
                  </w:tcMar>
                  <w:vAlign w:val="center"/>
                </w:tcPr>
                <w:p w14:paraId="7954B541"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542" w14:textId="77777777" w:rsidR="00F05DC7" w:rsidRPr="00791D71" w:rsidRDefault="00F05DC7" w:rsidP="00A3786D">
                  <w:pPr>
                    <w:ind w:right="6"/>
                    <w:jc w:val="right"/>
                    <w:rPr>
                      <w:rFonts w:asciiTheme="minorHAnsi" w:hAnsiTheme="minorHAnsi" w:cstheme="minorHAnsi"/>
                      <w:color w:val="000000"/>
                      <w:sz w:val="18"/>
                      <w:szCs w:val="18"/>
                    </w:rPr>
                  </w:pPr>
                </w:p>
              </w:tc>
              <w:tc>
                <w:tcPr>
                  <w:tcW w:w="419" w:type="pct"/>
                  <w:gridSpan w:val="2"/>
                  <w:tcBorders>
                    <w:top w:val="nil"/>
                    <w:left w:val="nil"/>
                    <w:bottom w:val="nil"/>
                    <w:right w:val="nil"/>
                  </w:tcBorders>
                  <w:shd w:val="clear" w:color="auto" w:fill="auto"/>
                  <w:tcMar>
                    <w:left w:w="0" w:type="dxa"/>
                    <w:right w:w="0" w:type="dxa"/>
                  </w:tcMar>
                  <w:vAlign w:val="center"/>
                </w:tcPr>
                <w:p w14:paraId="7954B543"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544"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545"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546" w14:textId="77777777" w:rsidR="00F05DC7" w:rsidRPr="00791D71" w:rsidRDefault="00F05DC7" w:rsidP="00A3786D">
                  <w:pPr>
                    <w:ind w:right="6"/>
                    <w:jc w:val="right"/>
                    <w:rPr>
                      <w:rFonts w:asciiTheme="minorHAnsi" w:hAnsiTheme="minorHAnsi" w:cstheme="minorHAnsi"/>
                      <w:color w:val="000000"/>
                      <w:sz w:val="18"/>
                      <w:szCs w:val="18"/>
                    </w:rPr>
                  </w:pPr>
                </w:p>
              </w:tc>
              <w:tc>
                <w:tcPr>
                  <w:tcW w:w="418" w:type="pct"/>
                  <w:tcBorders>
                    <w:top w:val="nil"/>
                    <w:left w:val="nil"/>
                    <w:bottom w:val="nil"/>
                    <w:right w:val="nil"/>
                  </w:tcBorders>
                  <w:shd w:val="clear" w:color="auto" w:fill="auto"/>
                  <w:tcMar>
                    <w:left w:w="0" w:type="dxa"/>
                    <w:right w:w="0" w:type="dxa"/>
                  </w:tcMar>
                  <w:vAlign w:val="center"/>
                </w:tcPr>
                <w:p w14:paraId="7954B547" w14:textId="77777777" w:rsidR="00F05DC7" w:rsidRPr="00791D71" w:rsidRDefault="00F05DC7" w:rsidP="00A3786D">
                  <w:pPr>
                    <w:ind w:right="6"/>
                    <w:jc w:val="right"/>
                    <w:rPr>
                      <w:rFonts w:asciiTheme="minorHAnsi" w:hAnsiTheme="minorHAnsi" w:cstheme="minorHAnsi"/>
                      <w:color w:val="000000"/>
                      <w:sz w:val="18"/>
                      <w:szCs w:val="18"/>
                    </w:rPr>
                  </w:pPr>
                </w:p>
              </w:tc>
              <w:tc>
                <w:tcPr>
                  <w:tcW w:w="417" w:type="pct"/>
                  <w:tcBorders>
                    <w:top w:val="nil"/>
                    <w:left w:val="nil"/>
                    <w:bottom w:val="nil"/>
                    <w:right w:val="nil"/>
                  </w:tcBorders>
                  <w:shd w:val="clear" w:color="auto" w:fill="auto"/>
                  <w:tcMar>
                    <w:left w:w="0" w:type="dxa"/>
                    <w:right w:w="0" w:type="dxa"/>
                  </w:tcMar>
                  <w:vAlign w:val="center"/>
                </w:tcPr>
                <w:p w14:paraId="7954B548" w14:textId="77777777" w:rsidR="00F05DC7" w:rsidRPr="00791D71" w:rsidRDefault="00F05DC7" w:rsidP="00A3786D">
                  <w:pPr>
                    <w:ind w:right="6"/>
                    <w:jc w:val="right"/>
                    <w:rPr>
                      <w:rFonts w:asciiTheme="minorHAnsi" w:hAnsiTheme="minorHAnsi" w:cstheme="minorHAnsi"/>
                      <w:color w:val="000000"/>
                      <w:sz w:val="18"/>
                      <w:szCs w:val="18"/>
                    </w:rPr>
                  </w:pPr>
                </w:p>
              </w:tc>
            </w:tr>
            <w:tr w:rsidR="00F05DC7" w14:paraId="7954B54C" w14:textId="77777777" w:rsidTr="00A3786D">
              <w:trPr>
                <w:trHeight w:val="288"/>
              </w:trPr>
              <w:tc>
                <w:tcPr>
                  <w:tcW w:w="1657" w:type="pct"/>
                  <w:tcBorders>
                    <w:top w:val="nil"/>
                    <w:left w:val="nil"/>
                    <w:bottom w:val="nil"/>
                    <w:right w:val="nil"/>
                  </w:tcBorders>
                  <w:shd w:val="clear" w:color="auto" w:fill="auto"/>
                  <w:tcMar>
                    <w:left w:w="0" w:type="dxa"/>
                    <w:right w:w="0" w:type="dxa"/>
                  </w:tcMar>
                  <w:vAlign w:val="center"/>
                </w:tcPr>
                <w:p w14:paraId="7954B54A" w14:textId="77777777" w:rsidR="00F05DC7" w:rsidRDefault="00F05DC7" w:rsidP="00A3786D">
                  <w:pPr>
                    <w:pStyle w:val="TableBodyText"/>
                    <w:jc w:val="left"/>
                    <w:rPr>
                      <w:rFonts w:asciiTheme="minorHAnsi" w:hAnsiTheme="minorHAnsi" w:cstheme="minorHAnsi"/>
                    </w:rPr>
                  </w:pPr>
                  <w:r>
                    <w:t>Current approach</w:t>
                  </w:r>
                </w:p>
              </w:tc>
              <w:tc>
                <w:tcPr>
                  <w:tcW w:w="3343" w:type="pct"/>
                  <w:gridSpan w:val="9"/>
                  <w:tcBorders>
                    <w:top w:val="nil"/>
                    <w:left w:val="nil"/>
                    <w:bottom w:val="nil"/>
                    <w:right w:val="nil"/>
                  </w:tcBorders>
                  <w:shd w:val="clear" w:color="auto" w:fill="auto"/>
                  <w:tcMar>
                    <w:left w:w="0" w:type="dxa"/>
                    <w:right w:w="0" w:type="dxa"/>
                  </w:tcMar>
                  <w:vAlign w:val="center"/>
                </w:tcPr>
                <w:p w14:paraId="7954B54B" w14:textId="77777777" w:rsidR="00F05DC7" w:rsidRDefault="00F05DC7" w:rsidP="00A3786D">
                  <w:pPr>
                    <w:pStyle w:val="TableBodyText"/>
                    <w:rPr>
                      <w:rFonts w:asciiTheme="minorHAnsi" w:hAnsiTheme="minorHAnsi" w:cstheme="minorHAnsi"/>
                    </w:rPr>
                  </w:pPr>
                  <w:r>
                    <w:t>$6 840 million</w:t>
                  </w:r>
                </w:p>
              </w:tc>
            </w:tr>
            <w:tr w:rsidR="00F05DC7" w14:paraId="7954B54F" w14:textId="77777777" w:rsidTr="00A3786D">
              <w:trPr>
                <w:trHeight w:val="288"/>
              </w:trPr>
              <w:tc>
                <w:tcPr>
                  <w:tcW w:w="2905" w:type="pct"/>
                  <w:gridSpan w:val="4"/>
                  <w:tcBorders>
                    <w:top w:val="nil"/>
                    <w:left w:val="nil"/>
                    <w:bottom w:val="single" w:sz="8" w:space="0" w:color="BFBFBF"/>
                    <w:right w:val="nil"/>
                  </w:tcBorders>
                  <w:shd w:val="clear" w:color="auto" w:fill="auto"/>
                  <w:tcMar>
                    <w:left w:w="0" w:type="dxa"/>
                    <w:right w:w="0" w:type="dxa"/>
                  </w:tcMar>
                  <w:vAlign w:val="center"/>
                </w:tcPr>
                <w:p w14:paraId="7954B54D" w14:textId="77777777" w:rsidR="00F05DC7" w:rsidRDefault="00F05DC7" w:rsidP="00A3786D">
                  <w:pPr>
                    <w:pStyle w:val="TableBodyText"/>
                    <w:jc w:val="left"/>
                    <w:rPr>
                      <w:rFonts w:asciiTheme="minorHAnsi" w:hAnsiTheme="minorHAnsi" w:cstheme="minorHAnsi"/>
                    </w:rPr>
                  </w:pPr>
                  <w:r w:rsidRPr="00363479">
                    <w:rPr>
                      <w:rFonts w:asciiTheme="minorHAnsi" w:hAnsiTheme="minorHAnsi" w:cstheme="minorHAnsi"/>
                    </w:rPr>
                    <w:t>90 per cent full equalisation</w:t>
                  </w:r>
                </w:p>
              </w:tc>
              <w:tc>
                <w:tcPr>
                  <w:tcW w:w="2095" w:type="pct"/>
                  <w:gridSpan w:val="6"/>
                  <w:tcBorders>
                    <w:top w:val="nil"/>
                    <w:left w:val="nil"/>
                    <w:bottom w:val="single" w:sz="8" w:space="0" w:color="BFBFBF"/>
                    <w:right w:val="nil"/>
                  </w:tcBorders>
                  <w:shd w:val="clear" w:color="auto" w:fill="auto"/>
                  <w:tcMar>
                    <w:left w:w="0" w:type="dxa"/>
                    <w:right w:w="0" w:type="dxa"/>
                  </w:tcMar>
                  <w:vAlign w:val="center"/>
                </w:tcPr>
                <w:p w14:paraId="7954B54E" w14:textId="77777777" w:rsidR="00F05DC7" w:rsidRPr="00B73D13" w:rsidRDefault="00F05DC7" w:rsidP="00A3786D">
                  <w:pPr>
                    <w:pStyle w:val="TableBodyText"/>
                  </w:pPr>
                  <w:r>
                    <w:t>$6 156 million</w:t>
                  </w:r>
                </w:p>
              </w:tc>
            </w:tr>
          </w:tbl>
          <w:p w14:paraId="7954B550" w14:textId="77777777" w:rsidR="00F05DC7" w:rsidRDefault="00F05DC7" w:rsidP="00A3786D">
            <w:pPr>
              <w:pStyle w:val="Box"/>
            </w:pPr>
          </w:p>
        </w:tc>
      </w:tr>
      <w:tr w:rsidR="00F05DC7" w14:paraId="7954B553" w14:textId="77777777" w:rsidTr="00A3786D">
        <w:tc>
          <w:tcPr>
            <w:tcW w:w="5000" w:type="pct"/>
            <w:tcBorders>
              <w:top w:val="nil"/>
              <w:left w:val="nil"/>
              <w:bottom w:val="nil"/>
              <w:right w:val="nil"/>
            </w:tcBorders>
            <w:shd w:val="clear" w:color="auto" w:fill="auto"/>
          </w:tcPr>
          <w:p w14:paraId="7954B552"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555" w14:textId="77777777" w:rsidTr="00A3786D">
        <w:tc>
          <w:tcPr>
            <w:tcW w:w="5000" w:type="pct"/>
            <w:tcBorders>
              <w:top w:val="nil"/>
              <w:left w:val="nil"/>
              <w:bottom w:val="single" w:sz="6" w:space="0" w:color="78A22F"/>
              <w:right w:val="nil"/>
            </w:tcBorders>
            <w:shd w:val="clear" w:color="auto" w:fill="auto"/>
          </w:tcPr>
          <w:p w14:paraId="7954B554" w14:textId="77777777" w:rsidR="00F05DC7" w:rsidRDefault="00F05DC7" w:rsidP="00A3786D">
            <w:pPr>
              <w:pStyle w:val="Box"/>
              <w:spacing w:before="0" w:line="120" w:lineRule="exact"/>
            </w:pPr>
          </w:p>
        </w:tc>
      </w:tr>
    </w:tbl>
    <w:p w14:paraId="7954B556" w14:textId="77777777" w:rsidR="00F05DC7" w:rsidRDefault="00F05DC7" w:rsidP="00A3786D">
      <w:pPr>
        <w:pStyle w:val="Heading4"/>
      </w:pPr>
      <w:r>
        <w:t>Full equalisation for the smallest States</w:t>
      </w:r>
    </w:p>
    <w:p w14:paraId="7954B557" w14:textId="77777777" w:rsidR="00F05DC7" w:rsidRDefault="00F05DC7" w:rsidP="00A3786D">
      <w:pPr>
        <w:pStyle w:val="BodyText"/>
      </w:pPr>
      <w:r>
        <w:t>The second example illustrated by the CGC was for full equalisation for the small States only. This approach applies the current ‘full equalisation’ amounts of GST to the four least populous States, while the four most populous States would receive an equal per capita distribution of the remainder of the GST pool (roughly $53 billion). Relative to the current approach, Western Australia and New South Wales would be better off while Victoria and Queensland would be worse off (table C.6).</w:t>
      </w:r>
    </w:p>
    <w:p w14:paraId="7954B558"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55B" w14:textId="77777777" w:rsidTr="001113B1">
        <w:trPr>
          <w:tblHeader/>
        </w:trPr>
        <w:tc>
          <w:tcPr>
            <w:tcW w:w="5000" w:type="pct"/>
            <w:tcBorders>
              <w:top w:val="single" w:sz="6" w:space="0" w:color="78A22F"/>
              <w:left w:val="nil"/>
              <w:bottom w:val="nil"/>
              <w:right w:val="nil"/>
            </w:tcBorders>
            <w:shd w:val="clear" w:color="auto" w:fill="auto"/>
          </w:tcPr>
          <w:p w14:paraId="7954B559" w14:textId="185A89F8" w:rsidR="00F05DC7" w:rsidRDefault="00F05DC7" w:rsidP="00A3786D">
            <w:pPr>
              <w:pStyle w:val="TableTitle"/>
            </w:pPr>
            <w:r>
              <w:rPr>
                <w:b w:val="0"/>
              </w:rPr>
              <w:t>Table C.6</w:t>
            </w:r>
            <w:r>
              <w:tab/>
              <w:t>Effects of full equalisation to the small States only</w:t>
            </w:r>
          </w:p>
          <w:p w14:paraId="7954B55A" w14:textId="77777777" w:rsidR="00F05DC7" w:rsidRPr="00784A05" w:rsidRDefault="00F05DC7" w:rsidP="00A3786D">
            <w:pPr>
              <w:pStyle w:val="Subtitle"/>
            </w:pPr>
            <w:r>
              <w:t>2018</w:t>
            </w:r>
            <w:r>
              <w:noBreakHyphen/>
              <w:t>19 GST payments and relativities</w:t>
            </w:r>
            <w:r w:rsidDel="004B438C">
              <w:t xml:space="preserve"> </w:t>
            </w:r>
          </w:p>
        </w:tc>
      </w:tr>
      <w:tr w:rsidR="00F05DC7" w14:paraId="7954B5BD"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807"/>
              <w:gridCol w:w="697"/>
              <w:gridCol w:w="701"/>
              <w:gridCol w:w="691"/>
              <w:gridCol w:w="7"/>
              <w:gridCol w:w="811"/>
              <w:gridCol w:w="692"/>
              <w:gridCol w:w="701"/>
              <w:gridCol w:w="701"/>
              <w:gridCol w:w="697"/>
            </w:tblGrid>
            <w:tr w:rsidR="00F05DC7" w14:paraId="7954B565" w14:textId="77777777" w:rsidTr="001113B1">
              <w:trPr>
                <w:trHeight w:val="283"/>
                <w:tblHeader/>
              </w:trPr>
              <w:tc>
                <w:tcPr>
                  <w:tcW w:w="165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5C" w14:textId="77777777" w:rsidR="00F05DC7" w:rsidRDefault="00F05DC7" w:rsidP="00A3786D">
                  <w:pPr>
                    <w:rPr>
                      <w:color w:val="000000"/>
                      <w:sz w:val="20"/>
                      <w:szCs w:val="20"/>
                    </w:rPr>
                  </w:pPr>
                  <w:r>
                    <w:rPr>
                      <w:color w:val="000000"/>
                      <w:sz w:val="20"/>
                      <w:szCs w:val="20"/>
                    </w:rPr>
                    <w:t> </w:t>
                  </w:r>
                </w:p>
              </w:tc>
              <w:tc>
                <w:tcPr>
                  <w:tcW w:w="41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5D" w14:textId="77777777" w:rsidR="00F05DC7" w:rsidRDefault="00F05DC7" w:rsidP="00A3786D">
                  <w:pPr>
                    <w:pStyle w:val="TableColumnHeading"/>
                    <w:ind w:right="11"/>
                  </w:pPr>
                  <w:r>
                    <w:t>NSW</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5E" w14:textId="77777777" w:rsidR="00F05DC7" w:rsidRDefault="00F05DC7" w:rsidP="00A3786D">
                  <w:pPr>
                    <w:pStyle w:val="TableColumnHeading"/>
                    <w:ind w:right="11"/>
                  </w:pPr>
                  <w:r>
                    <w:t>Vic</w:t>
                  </w:r>
                </w:p>
              </w:tc>
              <w:tc>
                <w:tcPr>
                  <w:tcW w:w="410" w:type="pct"/>
                  <w:gridSpan w:val="2"/>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5F" w14:textId="77777777" w:rsidR="00F05DC7" w:rsidRDefault="00F05DC7" w:rsidP="00A3786D">
                  <w:pPr>
                    <w:pStyle w:val="TableColumnHeading"/>
                    <w:ind w:right="11"/>
                  </w:pPr>
                  <w:r>
                    <w:t>Qld</w:t>
                  </w:r>
                </w:p>
              </w:tc>
              <w:tc>
                <w:tcPr>
                  <w:tcW w:w="47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60" w14:textId="77777777" w:rsidR="00F05DC7" w:rsidRDefault="00F05DC7" w:rsidP="00A3786D">
                  <w:pPr>
                    <w:pStyle w:val="TableColumnHeading"/>
                    <w:ind w:right="11"/>
                  </w:pPr>
                  <w:r>
                    <w:t>WA</w:t>
                  </w:r>
                </w:p>
              </w:tc>
              <w:tc>
                <w:tcPr>
                  <w:tcW w:w="40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61" w14:textId="77777777" w:rsidR="00F05DC7" w:rsidRDefault="00F05DC7" w:rsidP="00A3786D">
                  <w:pPr>
                    <w:pStyle w:val="TableColumnHeading"/>
                    <w:ind w:right="11"/>
                  </w:pPr>
                  <w:r>
                    <w:t>SA</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62" w14:textId="77777777" w:rsidR="00F05DC7" w:rsidRDefault="00F05DC7" w:rsidP="00A3786D">
                  <w:pPr>
                    <w:pStyle w:val="TableColumnHeading"/>
                    <w:ind w:right="11"/>
                  </w:pPr>
                  <w:r>
                    <w:t>Tas</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63" w14:textId="77777777" w:rsidR="00F05DC7" w:rsidRDefault="00F05DC7" w:rsidP="00A3786D">
                  <w:pPr>
                    <w:pStyle w:val="TableColumnHeading"/>
                    <w:ind w:right="11"/>
                  </w:pPr>
                  <w:r>
                    <w:t>ACT</w:t>
                  </w:r>
                </w:p>
              </w:tc>
              <w:tc>
                <w:tcPr>
                  <w:tcW w:w="41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64" w14:textId="77777777" w:rsidR="00F05DC7" w:rsidRDefault="00F05DC7" w:rsidP="00A3786D">
                  <w:pPr>
                    <w:pStyle w:val="TableColumnHeading"/>
                    <w:ind w:right="11"/>
                  </w:pPr>
                  <w:r>
                    <w:t>NT</w:t>
                  </w:r>
                </w:p>
              </w:tc>
            </w:tr>
            <w:tr w:rsidR="00F05DC7" w14:paraId="7954B56F" w14:textId="77777777" w:rsidTr="00A3786D">
              <w:trPr>
                <w:trHeight w:val="283"/>
              </w:trPr>
              <w:tc>
                <w:tcPr>
                  <w:tcW w:w="1650" w:type="pct"/>
                  <w:tcBorders>
                    <w:top w:val="nil"/>
                    <w:left w:val="nil"/>
                    <w:bottom w:val="nil"/>
                    <w:right w:val="nil"/>
                  </w:tcBorders>
                  <w:shd w:val="clear" w:color="auto" w:fill="auto"/>
                  <w:tcMar>
                    <w:left w:w="0" w:type="dxa"/>
                    <w:right w:w="0" w:type="dxa"/>
                  </w:tcMar>
                  <w:vAlign w:val="center"/>
                  <w:hideMark/>
                </w:tcPr>
                <w:p w14:paraId="7954B566" w14:textId="77777777" w:rsidR="00F05DC7" w:rsidRPr="00791D71" w:rsidRDefault="00F05DC7" w:rsidP="00A3786D">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410" w:type="pct"/>
                  <w:tcBorders>
                    <w:top w:val="nil"/>
                    <w:left w:val="nil"/>
                    <w:bottom w:val="nil"/>
                    <w:right w:val="nil"/>
                  </w:tcBorders>
                  <w:shd w:val="clear" w:color="auto" w:fill="auto"/>
                  <w:tcMar>
                    <w:left w:w="0" w:type="dxa"/>
                    <w:right w:w="0" w:type="dxa"/>
                  </w:tcMar>
                  <w:vAlign w:val="center"/>
                  <w:hideMark/>
                </w:tcPr>
                <w:p w14:paraId="7954B567" w14:textId="77777777" w:rsidR="00F05DC7" w:rsidRPr="00791D71" w:rsidRDefault="00F05DC7" w:rsidP="00A3786D">
                  <w:pPr>
                    <w:spacing w:before="80"/>
                    <w:ind w:right="11"/>
                    <w:jc w:val="right"/>
                    <w:rPr>
                      <w:rFonts w:asciiTheme="minorHAnsi" w:hAnsiTheme="minorHAnsi" w:cstheme="minorHAnsi"/>
                      <w:b/>
                      <w:bCs/>
                      <w:color w:val="000000"/>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568" w14:textId="77777777" w:rsidR="00F05DC7" w:rsidRPr="00791D71" w:rsidRDefault="00F05DC7" w:rsidP="00A3786D">
                  <w:pPr>
                    <w:spacing w:before="80"/>
                    <w:ind w:right="11"/>
                    <w:jc w:val="right"/>
                    <w:rPr>
                      <w:rFonts w:asciiTheme="minorHAnsi" w:hAnsiTheme="minorHAnsi" w:cstheme="minorHAnsi"/>
                      <w:sz w:val="18"/>
                      <w:szCs w:val="18"/>
                    </w:rPr>
                  </w:pPr>
                </w:p>
              </w:tc>
              <w:tc>
                <w:tcPr>
                  <w:tcW w:w="410" w:type="pct"/>
                  <w:gridSpan w:val="2"/>
                  <w:tcBorders>
                    <w:top w:val="nil"/>
                    <w:left w:val="nil"/>
                    <w:bottom w:val="nil"/>
                    <w:right w:val="nil"/>
                  </w:tcBorders>
                  <w:shd w:val="clear" w:color="auto" w:fill="auto"/>
                  <w:tcMar>
                    <w:left w:w="0" w:type="dxa"/>
                    <w:right w:w="0" w:type="dxa"/>
                  </w:tcMar>
                  <w:vAlign w:val="center"/>
                  <w:hideMark/>
                </w:tcPr>
                <w:p w14:paraId="7954B569" w14:textId="77777777" w:rsidR="00F05DC7" w:rsidRPr="00791D71" w:rsidRDefault="00F05DC7" w:rsidP="00A3786D">
                  <w:pPr>
                    <w:spacing w:before="80"/>
                    <w:ind w:right="11"/>
                    <w:jc w:val="right"/>
                    <w:rPr>
                      <w:rFonts w:asciiTheme="minorHAnsi" w:hAnsiTheme="minorHAnsi" w:cstheme="minorHAnsi"/>
                      <w:sz w:val="18"/>
                      <w:szCs w:val="18"/>
                    </w:rPr>
                  </w:pPr>
                </w:p>
              </w:tc>
              <w:tc>
                <w:tcPr>
                  <w:tcW w:w="477" w:type="pct"/>
                  <w:tcBorders>
                    <w:top w:val="nil"/>
                    <w:left w:val="nil"/>
                    <w:bottom w:val="nil"/>
                    <w:right w:val="nil"/>
                  </w:tcBorders>
                  <w:shd w:val="clear" w:color="auto" w:fill="auto"/>
                  <w:tcMar>
                    <w:left w:w="0" w:type="dxa"/>
                    <w:right w:w="0" w:type="dxa"/>
                  </w:tcMar>
                  <w:vAlign w:val="center"/>
                  <w:hideMark/>
                </w:tcPr>
                <w:p w14:paraId="7954B56A" w14:textId="77777777" w:rsidR="00F05DC7" w:rsidRPr="00791D71" w:rsidRDefault="00F05DC7" w:rsidP="00A3786D">
                  <w:pPr>
                    <w:spacing w:before="80"/>
                    <w:ind w:right="11"/>
                    <w:jc w:val="right"/>
                    <w:rPr>
                      <w:rFonts w:asciiTheme="minorHAnsi" w:hAnsiTheme="minorHAnsi" w:cstheme="minorHAnsi"/>
                      <w:sz w:val="18"/>
                      <w:szCs w:val="18"/>
                    </w:rPr>
                  </w:pPr>
                </w:p>
              </w:tc>
              <w:tc>
                <w:tcPr>
                  <w:tcW w:w="407" w:type="pct"/>
                  <w:tcBorders>
                    <w:top w:val="nil"/>
                    <w:left w:val="nil"/>
                    <w:bottom w:val="nil"/>
                    <w:right w:val="nil"/>
                  </w:tcBorders>
                  <w:shd w:val="clear" w:color="auto" w:fill="auto"/>
                  <w:tcMar>
                    <w:left w:w="0" w:type="dxa"/>
                    <w:right w:w="0" w:type="dxa"/>
                  </w:tcMar>
                  <w:vAlign w:val="center"/>
                  <w:hideMark/>
                </w:tcPr>
                <w:p w14:paraId="7954B56B" w14:textId="77777777" w:rsidR="00F05DC7" w:rsidRPr="00791D71" w:rsidRDefault="00F05DC7" w:rsidP="00A3786D">
                  <w:pPr>
                    <w:spacing w:before="80"/>
                    <w:ind w:right="11"/>
                    <w:jc w:val="right"/>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56C" w14:textId="77777777" w:rsidR="00F05DC7" w:rsidRPr="00791D71" w:rsidRDefault="00F05DC7" w:rsidP="00A3786D">
                  <w:pPr>
                    <w:spacing w:before="80"/>
                    <w:ind w:right="11"/>
                    <w:jc w:val="right"/>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56D" w14:textId="77777777" w:rsidR="00F05DC7" w:rsidRPr="00791D71" w:rsidRDefault="00F05DC7" w:rsidP="00A3786D">
                  <w:pPr>
                    <w:spacing w:before="80"/>
                    <w:ind w:right="11"/>
                    <w:jc w:val="right"/>
                    <w:rPr>
                      <w:rFonts w:asciiTheme="minorHAnsi" w:hAnsiTheme="minorHAnsi" w:cstheme="minorHAnsi"/>
                      <w:sz w:val="18"/>
                      <w:szCs w:val="18"/>
                    </w:rPr>
                  </w:pPr>
                </w:p>
              </w:tc>
              <w:tc>
                <w:tcPr>
                  <w:tcW w:w="410" w:type="pct"/>
                  <w:tcBorders>
                    <w:top w:val="nil"/>
                    <w:left w:val="nil"/>
                    <w:bottom w:val="nil"/>
                    <w:right w:val="nil"/>
                  </w:tcBorders>
                  <w:shd w:val="clear" w:color="auto" w:fill="auto"/>
                  <w:tcMar>
                    <w:left w:w="0" w:type="dxa"/>
                    <w:right w:w="0" w:type="dxa"/>
                  </w:tcMar>
                  <w:vAlign w:val="center"/>
                  <w:hideMark/>
                </w:tcPr>
                <w:p w14:paraId="7954B56E" w14:textId="77777777" w:rsidR="00F05DC7" w:rsidRPr="00791D71" w:rsidRDefault="00F05DC7" w:rsidP="00A3786D">
                  <w:pPr>
                    <w:spacing w:before="80"/>
                    <w:ind w:right="11"/>
                    <w:jc w:val="right"/>
                    <w:rPr>
                      <w:rFonts w:asciiTheme="minorHAnsi" w:hAnsiTheme="minorHAnsi" w:cstheme="minorHAnsi"/>
                      <w:sz w:val="18"/>
                      <w:szCs w:val="18"/>
                    </w:rPr>
                  </w:pPr>
                </w:p>
              </w:tc>
            </w:tr>
            <w:tr w:rsidR="00F05DC7" w14:paraId="7954B579" w14:textId="77777777" w:rsidTr="00A3786D">
              <w:trPr>
                <w:trHeight w:val="283"/>
              </w:trPr>
              <w:tc>
                <w:tcPr>
                  <w:tcW w:w="1650" w:type="pct"/>
                  <w:tcBorders>
                    <w:top w:val="nil"/>
                    <w:left w:val="nil"/>
                    <w:bottom w:val="nil"/>
                    <w:right w:val="nil"/>
                  </w:tcBorders>
                  <w:shd w:val="clear" w:color="auto" w:fill="auto"/>
                  <w:tcMar>
                    <w:left w:w="0" w:type="dxa"/>
                    <w:right w:w="0" w:type="dxa"/>
                  </w:tcMar>
                  <w:vAlign w:val="center"/>
                  <w:hideMark/>
                </w:tcPr>
                <w:p w14:paraId="7954B570" w14:textId="77777777" w:rsidR="00F05DC7" w:rsidRPr="00791D71" w:rsidRDefault="00F05DC7" w:rsidP="00A3786D">
                  <w:pPr>
                    <w:pStyle w:val="TableBodyText"/>
                    <w:jc w:val="left"/>
                  </w:pPr>
                  <w:r w:rsidRPr="00791D71">
                    <w:t>Current approach</w:t>
                  </w:r>
                </w:p>
              </w:tc>
              <w:tc>
                <w:tcPr>
                  <w:tcW w:w="410" w:type="pct"/>
                  <w:tcBorders>
                    <w:top w:val="nil"/>
                    <w:left w:val="nil"/>
                    <w:bottom w:val="nil"/>
                    <w:right w:val="nil"/>
                  </w:tcBorders>
                  <w:shd w:val="clear" w:color="auto" w:fill="auto"/>
                  <w:tcMar>
                    <w:left w:w="0" w:type="dxa"/>
                    <w:right w:w="0" w:type="dxa"/>
                  </w:tcMar>
                  <w:vAlign w:val="center"/>
                  <w:hideMark/>
                </w:tcPr>
                <w:p w14:paraId="7954B571" w14:textId="77777777" w:rsidR="00F05DC7" w:rsidRPr="00791D71" w:rsidRDefault="00F05DC7" w:rsidP="00A3786D">
                  <w:pPr>
                    <w:pStyle w:val="TableBodyText"/>
                  </w:pPr>
                  <w:r>
                    <w:rPr>
                      <w:rFonts w:cs="Arial"/>
                    </w:rPr>
                    <w:t>0.86</w:t>
                  </w:r>
                </w:p>
              </w:tc>
              <w:tc>
                <w:tcPr>
                  <w:tcW w:w="412" w:type="pct"/>
                  <w:tcBorders>
                    <w:top w:val="nil"/>
                    <w:left w:val="nil"/>
                    <w:bottom w:val="nil"/>
                    <w:right w:val="nil"/>
                  </w:tcBorders>
                  <w:shd w:val="clear" w:color="auto" w:fill="auto"/>
                  <w:tcMar>
                    <w:left w:w="0" w:type="dxa"/>
                    <w:right w:w="0" w:type="dxa"/>
                  </w:tcMar>
                  <w:vAlign w:val="center"/>
                  <w:hideMark/>
                </w:tcPr>
                <w:p w14:paraId="7954B572" w14:textId="77777777" w:rsidR="00F05DC7" w:rsidRPr="00791D71" w:rsidRDefault="00F05DC7" w:rsidP="00A3786D">
                  <w:pPr>
                    <w:pStyle w:val="TableBodyText"/>
                  </w:pPr>
                  <w:r>
                    <w:rPr>
                      <w:rFonts w:cs="Arial"/>
                    </w:rPr>
                    <w:t>0.99</w:t>
                  </w:r>
                </w:p>
              </w:tc>
              <w:tc>
                <w:tcPr>
                  <w:tcW w:w="410" w:type="pct"/>
                  <w:gridSpan w:val="2"/>
                  <w:tcBorders>
                    <w:top w:val="nil"/>
                    <w:left w:val="nil"/>
                    <w:bottom w:val="nil"/>
                    <w:right w:val="nil"/>
                  </w:tcBorders>
                  <w:shd w:val="clear" w:color="auto" w:fill="auto"/>
                  <w:tcMar>
                    <w:left w:w="0" w:type="dxa"/>
                    <w:right w:w="0" w:type="dxa"/>
                  </w:tcMar>
                  <w:vAlign w:val="center"/>
                  <w:hideMark/>
                </w:tcPr>
                <w:p w14:paraId="7954B573" w14:textId="77777777" w:rsidR="00F05DC7" w:rsidRPr="00791D71" w:rsidRDefault="00F05DC7" w:rsidP="00A3786D">
                  <w:pPr>
                    <w:pStyle w:val="TableBodyText"/>
                  </w:pPr>
                  <w:r>
                    <w:rPr>
                      <w:rFonts w:cs="Arial"/>
                    </w:rPr>
                    <w:t>1.10</w:t>
                  </w:r>
                </w:p>
              </w:tc>
              <w:tc>
                <w:tcPr>
                  <w:tcW w:w="477" w:type="pct"/>
                  <w:tcBorders>
                    <w:top w:val="nil"/>
                    <w:left w:val="nil"/>
                    <w:bottom w:val="nil"/>
                    <w:right w:val="nil"/>
                  </w:tcBorders>
                  <w:shd w:val="clear" w:color="auto" w:fill="auto"/>
                  <w:tcMar>
                    <w:left w:w="0" w:type="dxa"/>
                    <w:right w:w="0" w:type="dxa"/>
                  </w:tcMar>
                  <w:vAlign w:val="center"/>
                  <w:hideMark/>
                </w:tcPr>
                <w:p w14:paraId="7954B574" w14:textId="77777777" w:rsidR="00F05DC7" w:rsidRPr="00791D71" w:rsidRDefault="00F05DC7" w:rsidP="00A3786D">
                  <w:pPr>
                    <w:pStyle w:val="TableBodyText"/>
                  </w:pPr>
                  <w:r>
                    <w:rPr>
                      <w:rFonts w:cs="Arial"/>
                    </w:rPr>
                    <w:t>0.47</w:t>
                  </w:r>
                </w:p>
              </w:tc>
              <w:tc>
                <w:tcPr>
                  <w:tcW w:w="407" w:type="pct"/>
                  <w:tcBorders>
                    <w:top w:val="nil"/>
                    <w:left w:val="nil"/>
                    <w:bottom w:val="nil"/>
                    <w:right w:val="nil"/>
                  </w:tcBorders>
                  <w:shd w:val="clear" w:color="auto" w:fill="auto"/>
                  <w:tcMar>
                    <w:left w:w="0" w:type="dxa"/>
                    <w:right w:w="0" w:type="dxa"/>
                  </w:tcMar>
                  <w:vAlign w:val="center"/>
                  <w:hideMark/>
                </w:tcPr>
                <w:p w14:paraId="7954B575" w14:textId="77777777" w:rsidR="00F05DC7" w:rsidRPr="00791D71" w:rsidRDefault="00F05DC7" w:rsidP="00A3786D">
                  <w:pPr>
                    <w:pStyle w:val="TableBodyText"/>
                  </w:pPr>
                  <w:r>
                    <w:rPr>
                      <w:rFonts w:cs="Arial"/>
                    </w:rPr>
                    <w:t>1.48</w:t>
                  </w:r>
                </w:p>
              </w:tc>
              <w:tc>
                <w:tcPr>
                  <w:tcW w:w="412" w:type="pct"/>
                  <w:tcBorders>
                    <w:top w:val="nil"/>
                    <w:left w:val="nil"/>
                    <w:bottom w:val="nil"/>
                    <w:right w:val="nil"/>
                  </w:tcBorders>
                  <w:shd w:val="clear" w:color="auto" w:fill="auto"/>
                  <w:tcMar>
                    <w:left w:w="0" w:type="dxa"/>
                    <w:right w:w="0" w:type="dxa"/>
                  </w:tcMar>
                  <w:vAlign w:val="center"/>
                  <w:hideMark/>
                </w:tcPr>
                <w:p w14:paraId="7954B576" w14:textId="77777777" w:rsidR="00F05DC7" w:rsidRPr="00791D71" w:rsidRDefault="00F05DC7" w:rsidP="00A3786D">
                  <w:pPr>
                    <w:pStyle w:val="TableBodyText"/>
                  </w:pPr>
                  <w:r>
                    <w:rPr>
                      <w:rFonts w:cs="Arial"/>
                    </w:rPr>
                    <w:t>1.77</w:t>
                  </w:r>
                </w:p>
              </w:tc>
              <w:tc>
                <w:tcPr>
                  <w:tcW w:w="412" w:type="pct"/>
                  <w:tcBorders>
                    <w:top w:val="nil"/>
                    <w:left w:val="nil"/>
                    <w:bottom w:val="nil"/>
                    <w:right w:val="nil"/>
                  </w:tcBorders>
                  <w:shd w:val="clear" w:color="auto" w:fill="auto"/>
                  <w:tcMar>
                    <w:left w:w="0" w:type="dxa"/>
                    <w:right w:w="0" w:type="dxa"/>
                  </w:tcMar>
                  <w:vAlign w:val="center"/>
                  <w:hideMark/>
                </w:tcPr>
                <w:p w14:paraId="7954B577" w14:textId="77777777" w:rsidR="00F05DC7" w:rsidRPr="00791D71" w:rsidRDefault="00F05DC7" w:rsidP="00A3786D">
                  <w:pPr>
                    <w:pStyle w:val="TableBodyText"/>
                  </w:pPr>
                  <w:r>
                    <w:rPr>
                      <w:rFonts w:cs="Arial"/>
                    </w:rPr>
                    <w:t>1.18</w:t>
                  </w:r>
                </w:p>
              </w:tc>
              <w:tc>
                <w:tcPr>
                  <w:tcW w:w="410" w:type="pct"/>
                  <w:tcBorders>
                    <w:top w:val="nil"/>
                    <w:left w:val="nil"/>
                    <w:bottom w:val="nil"/>
                    <w:right w:val="nil"/>
                  </w:tcBorders>
                  <w:shd w:val="clear" w:color="auto" w:fill="auto"/>
                  <w:tcMar>
                    <w:left w:w="0" w:type="dxa"/>
                    <w:right w:w="0" w:type="dxa"/>
                  </w:tcMar>
                  <w:vAlign w:val="center"/>
                  <w:hideMark/>
                </w:tcPr>
                <w:p w14:paraId="7954B578" w14:textId="77777777" w:rsidR="00F05DC7" w:rsidRPr="00791D71" w:rsidRDefault="00F05DC7" w:rsidP="00A3786D">
                  <w:pPr>
                    <w:pStyle w:val="TableBodyText"/>
                  </w:pPr>
                  <w:r>
                    <w:rPr>
                      <w:rFonts w:cs="Arial"/>
                    </w:rPr>
                    <w:t>4.26</w:t>
                  </w:r>
                </w:p>
              </w:tc>
            </w:tr>
            <w:tr w:rsidR="00F05DC7" w14:paraId="7954B583" w14:textId="77777777" w:rsidTr="00A3786D">
              <w:trPr>
                <w:trHeight w:val="283"/>
              </w:trPr>
              <w:tc>
                <w:tcPr>
                  <w:tcW w:w="1650" w:type="pct"/>
                  <w:tcBorders>
                    <w:top w:val="nil"/>
                    <w:left w:val="nil"/>
                    <w:bottom w:val="nil"/>
                    <w:right w:val="nil"/>
                  </w:tcBorders>
                  <w:shd w:val="clear" w:color="auto" w:fill="auto"/>
                  <w:tcMar>
                    <w:left w:w="0" w:type="dxa"/>
                    <w:right w:w="0" w:type="dxa"/>
                  </w:tcMar>
                  <w:vAlign w:val="center"/>
                  <w:hideMark/>
                </w:tcPr>
                <w:p w14:paraId="7954B57A" w14:textId="77777777" w:rsidR="00F05DC7" w:rsidRPr="00791D71" w:rsidRDefault="00F05DC7" w:rsidP="00A3786D">
                  <w:pPr>
                    <w:pStyle w:val="TableBodyText"/>
                    <w:jc w:val="left"/>
                  </w:pPr>
                  <w:r>
                    <w:t>Small States only</w:t>
                  </w:r>
                </w:p>
              </w:tc>
              <w:tc>
                <w:tcPr>
                  <w:tcW w:w="410" w:type="pct"/>
                  <w:tcBorders>
                    <w:top w:val="nil"/>
                    <w:left w:val="nil"/>
                    <w:bottom w:val="nil"/>
                    <w:right w:val="nil"/>
                  </w:tcBorders>
                  <w:shd w:val="clear" w:color="auto" w:fill="auto"/>
                  <w:tcMar>
                    <w:left w:w="0" w:type="dxa"/>
                    <w:right w:w="0" w:type="dxa"/>
                  </w:tcMar>
                  <w:vAlign w:val="center"/>
                  <w:hideMark/>
                </w:tcPr>
                <w:p w14:paraId="7954B57B" w14:textId="77777777" w:rsidR="00F05DC7" w:rsidRPr="00791D71" w:rsidRDefault="00F05DC7" w:rsidP="00A3786D">
                  <w:pPr>
                    <w:pStyle w:val="TableBodyText"/>
                  </w:pPr>
                  <w:r>
                    <w:rPr>
                      <w:rFonts w:cs="Arial"/>
                    </w:rPr>
                    <w:t>0.90</w:t>
                  </w:r>
                </w:p>
              </w:tc>
              <w:tc>
                <w:tcPr>
                  <w:tcW w:w="412" w:type="pct"/>
                  <w:tcBorders>
                    <w:top w:val="nil"/>
                    <w:left w:val="nil"/>
                    <w:bottom w:val="nil"/>
                    <w:right w:val="nil"/>
                  </w:tcBorders>
                  <w:shd w:val="clear" w:color="auto" w:fill="auto"/>
                  <w:tcMar>
                    <w:left w:w="0" w:type="dxa"/>
                    <w:right w:w="0" w:type="dxa"/>
                  </w:tcMar>
                  <w:vAlign w:val="center"/>
                  <w:hideMark/>
                </w:tcPr>
                <w:p w14:paraId="7954B57C" w14:textId="77777777" w:rsidR="00F05DC7" w:rsidRPr="00791D71" w:rsidRDefault="00F05DC7" w:rsidP="00A3786D">
                  <w:pPr>
                    <w:pStyle w:val="TableBodyText"/>
                  </w:pPr>
                  <w:r>
                    <w:rPr>
                      <w:rFonts w:cs="Arial"/>
                    </w:rPr>
                    <w:t>0.90</w:t>
                  </w:r>
                </w:p>
              </w:tc>
              <w:tc>
                <w:tcPr>
                  <w:tcW w:w="410" w:type="pct"/>
                  <w:gridSpan w:val="2"/>
                  <w:tcBorders>
                    <w:top w:val="nil"/>
                    <w:left w:val="nil"/>
                    <w:bottom w:val="nil"/>
                    <w:right w:val="nil"/>
                  </w:tcBorders>
                  <w:shd w:val="clear" w:color="auto" w:fill="auto"/>
                  <w:tcMar>
                    <w:left w:w="0" w:type="dxa"/>
                    <w:right w:w="0" w:type="dxa"/>
                  </w:tcMar>
                  <w:vAlign w:val="center"/>
                  <w:hideMark/>
                </w:tcPr>
                <w:p w14:paraId="7954B57D" w14:textId="77777777" w:rsidR="00F05DC7" w:rsidRPr="00791D71" w:rsidRDefault="00F05DC7" w:rsidP="00A3786D">
                  <w:pPr>
                    <w:pStyle w:val="TableBodyText"/>
                  </w:pPr>
                  <w:r>
                    <w:rPr>
                      <w:rFonts w:cs="Arial"/>
                    </w:rPr>
                    <w:t>0.90</w:t>
                  </w:r>
                </w:p>
              </w:tc>
              <w:tc>
                <w:tcPr>
                  <w:tcW w:w="477" w:type="pct"/>
                  <w:tcBorders>
                    <w:top w:val="nil"/>
                    <w:left w:val="nil"/>
                    <w:bottom w:val="nil"/>
                    <w:right w:val="nil"/>
                  </w:tcBorders>
                  <w:shd w:val="clear" w:color="auto" w:fill="auto"/>
                  <w:tcMar>
                    <w:left w:w="0" w:type="dxa"/>
                    <w:right w:w="0" w:type="dxa"/>
                  </w:tcMar>
                  <w:vAlign w:val="center"/>
                  <w:hideMark/>
                </w:tcPr>
                <w:p w14:paraId="7954B57E" w14:textId="77777777" w:rsidR="00F05DC7" w:rsidRPr="00791D71" w:rsidRDefault="00F05DC7" w:rsidP="00A3786D">
                  <w:pPr>
                    <w:pStyle w:val="TableBodyText"/>
                  </w:pPr>
                  <w:r>
                    <w:rPr>
                      <w:rFonts w:cs="Arial"/>
                    </w:rPr>
                    <w:t>0.90</w:t>
                  </w:r>
                </w:p>
              </w:tc>
              <w:tc>
                <w:tcPr>
                  <w:tcW w:w="407" w:type="pct"/>
                  <w:tcBorders>
                    <w:top w:val="nil"/>
                    <w:left w:val="nil"/>
                    <w:bottom w:val="nil"/>
                    <w:right w:val="nil"/>
                  </w:tcBorders>
                  <w:shd w:val="clear" w:color="auto" w:fill="auto"/>
                  <w:tcMar>
                    <w:left w:w="0" w:type="dxa"/>
                    <w:right w:w="0" w:type="dxa"/>
                  </w:tcMar>
                  <w:vAlign w:val="center"/>
                  <w:hideMark/>
                </w:tcPr>
                <w:p w14:paraId="7954B57F" w14:textId="77777777" w:rsidR="00F05DC7" w:rsidRPr="00791D71" w:rsidRDefault="00F05DC7" w:rsidP="00A3786D">
                  <w:pPr>
                    <w:pStyle w:val="TableBodyText"/>
                  </w:pPr>
                  <w:r>
                    <w:rPr>
                      <w:rFonts w:cs="Arial"/>
                    </w:rPr>
                    <w:t>1.48</w:t>
                  </w:r>
                </w:p>
              </w:tc>
              <w:tc>
                <w:tcPr>
                  <w:tcW w:w="412" w:type="pct"/>
                  <w:tcBorders>
                    <w:top w:val="nil"/>
                    <w:left w:val="nil"/>
                    <w:bottom w:val="nil"/>
                    <w:right w:val="nil"/>
                  </w:tcBorders>
                  <w:shd w:val="clear" w:color="auto" w:fill="auto"/>
                  <w:tcMar>
                    <w:left w:w="0" w:type="dxa"/>
                    <w:right w:w="0" w:type="dxa"/>
                  </w:tcMar>
                  <w:vAlign w:val="center"/>
                  <w:hideMark/>
                </w:tcPr>
                <w:p w14:paraId="7954B580" w14:textId="77777777" w:rsidR="00F05DC7" w:rsidRPr="00791D71" w:rsidRDefault="00F05DC7" w:rsidP="00A3786D">
                  <w:pPr>
                    <w:pStyle w:val="TableBodyText"/>
                  </w:pPr>
                  <w:r>
                    <w:rPr>
                      <w:rFonts w:cs="Arial"/>
                    </w:rPr>
                    <w:t>1.77</w:t>
                  </w:r>
                </w:p>
              </w:tc>
              <w:tc>
                <w:tcPr>
                  <w:tcW w:w="412" w:type="pct"/>
                  <w:tcBorders>
                    <w:top w:val="nil"/>
                    <w:left w:val="nil"/>
                    <w:bottom w:val="nil"/>
                    <w:right w:val="nil"/>
                  </w:tcBorders>
                  <w:shd w:val="clear" w:color="auto" w:fill="auto"/>
                  <w:tcMar>
                    <w:left w:w="0" w:type="dxa"/>
                    <w:right w:w="0" w:type="dxa"/>
                  </w:tcMar>
                  <w:vAlign w:val="center"/>
                  <w:hideMark/>
                </w:tcPr>
                <w:p w14:paraId="7954B581" w14:textId="77777777" w:rsidR="00F05DC7" w:rsidRPr="00791D71" w:rsidRDefault="00F05DC7" w:rsidP="00A3786D">
                  <w:pPr>
                    <w:pStyle w:val="TableBodyText"/>
                  </w:pPr>
                  <w:r>
                    <w:rPr>
                      <w:rFonts w:cs="Arial"/>
                    </w:rPr>
                    <w:t>1.18</w:t>
                  </w:r>
                </w:p>
              </w:tc>
              <w:tc>
                <w:tcPr>
                  <w:tcW w:w="410" w:type="pct"/>
                  <w:tcBorders>
                    <w:top w:val="nil"/>
                    <w:left w:val="nil"/>
                    <w:bottom w:val="nil"/>
                    <w:right w:val="nil"/>
                  </w:tcBorders>
                  <w:shd w:val="clear" w:color="auto" w:fill="auto"/>
                  <w:tcMar>
                    <w:left w:w="0" w:type="dxa"/>
                    <w:right w:w="0" w:type="dxa"/>
                  </w:tcMar>
                  <w:vAlign w:val="center"/>
                  <w:hideMark/>
                </w:tcPr>
                <w:p w14:paraId="7954B582" w14:textId="77777777" w:rsidR="00F05DC7" w:rsidRPr="00791D71" w:rsidRDefault="00F05DC7" w:rsidP="00A3786D">
                  <w:pPr>
                    <w:pStyle w:val="TableBodyText"/>
                  </w:pPr>
                  <w:r>
                    <w:rPr>
                      <w:rFonts w:cs="Arial"/>
                    </w:rPr>
                    <w:t>4.26</w:t>
                  </w:r>
                </w:p>
              </w:tc>
            </w:tr>
            <w:tr w:rsidR="00F05DC7" w14:paraId="7954B58D" w14:textId="77777777" w:rsidTr="00A3786D">
              <w:trPr>
                <w:trHeight w:val="283"/>
              </w:trPr>
              <w:tc>
                <w:tcPr>
                  <w:tcW w:w="1650" w:type="pct"/>
                  <w:tcBorders>
                    <w:top w:val="nil"/>
                    <w:left w:val="nil"/>
                    <w:bottom w:val="nil"/>
                    <w:right w:val="nil"/>
                  </w:tcBorders>
                  <w:shd w:val="clear" w:color="auto" w:fill="auto"/>
                  <w:tcMar>
                    <w:left w:w="0" w:type="dxa"/>
                    <w:right w:w="0" w:type="dxa"/>
                  </w:tcMar>
                  <w:vAlign w:val="center"/>
                  <w:hideMark/>
                </w:tcPr>
                <w:p w14:paraId="7954B584" w14:textId="77777777" w:rsidR="00F05DC7" w:rsidRPr="00791D71" w:rsidRDefault="00F05DC7" w:rsidP="00A3786D">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410" w:type="pct"/>
                  <w:tcBorders>
                    <w:top w:val="nil"/>
                    <w:left w:val="nil"/>
                    <w:bottom w:val="nil"/>
                    <w:right w:val="nil"/>
                  </w:tcBorders>
                  <w:shd w:val="clear" w:color="auto" w:fill="auto"/>
                  <w:tcMar>
                    <w:left w:w="0" w:type="dxa"/>
                    <w:right w:w="0" w:type="dxa"/>
                  </w:tcMar>
                  <w:vAlign w:val="center"/>
                  <w:hideMark/>
                </w:tcPr>
                <w:p w14:paraId="7954B585" w14:textId="77777777" w:rsidR="00F05DC7" w:rsidRPr="00791D71" w:rsidRDefault="00F05DC7" w:rsidP="00A3786D">
                  <w:pPr>
                    <w:spacing w:before="80"/>
                    <w:ind w:right="11"/>
                    <w:jc w:val="right"/>
                    <w:rPr>
                      <w:rFonts w:asciiTheme="minorHAnsi" w:hAnsiTheme="minorHAnsi" w:cstheme="minorHAnsi"/>
                      <w:b/>
                      <w:bCs/>
                      <w:color w:val="000000"/>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586" w14:textId="77777777" w:rsidR="00F05DC7" w:rsidRPr="00791D71" w:rsidRDefault="00F05DC7" w:rsidP="00A3786D">
                  <w:pPr>
                    <w:spacing w:before="80"/>
                    <w:ind w:right="11"/>
                    <w:jc w:val="right"/>
                    <w:rPr>
                      <w:rFonts w:asciiTheme="minorHAnsi" w:hAnsiTheme="minorHAnsi" w:cstheme="minorHAnsi"/>
                      <w:sz w:val="18"/>
                      <w:szCs w:val="18"/>
                    </w:rPr>
                  </w:pPr>
                </w:p>
              </w:tc>
              <w:tc>
                <w:tcPr>
                  <w:tcW w:w="410" w:type="pct"/>
                  <w:gridSpan w:val="2"/>
                  <w:tcBorders>
                    <w:top w:val="nil"/>
                    <w:left w:val="nil"/>
                    <w:bottom w:val="nil"/>
                    <w:right w:val="nil"/>
                  </w:tcBorders>
                  <w:shd w:val="clear" w:color="auto" w:fill="auto"/>
                  <w:tcMar>
                    <w:left w:w="0" w:type="dxa"/>
                    <w:right w:w="0" w:type="dxa"/>
                  </w:tcMar>
                  <w:vAlign w:val="center"/>
                  <w:hideMark/>
                </w:tcPr>
                <w:p w14:paraId="7954B587" w14:textId="77777777" w:rsidR="00F05DC7" w:rsidRPr="00791D71" w:rsidRDefault="00F05DC7" w:rsidP="00A3786D">
                  <w:pPr>
                    <w:spacing w:before="80"/>
                    <w:ind w:right="11"/>
                    <w:jc w:val="right"/>
                    <w:rPr>
                      <w:rFonts w:asciiTheme="minorHAnsi" w:hAnsiTheme="minorHAnsi" w:cstheme="minorHAnsi"/>
                      <w:sz w:val="18"/>
                      <w:szCs w:val="18"/>
                    </w:rPr>
                  </w:pPr>
                </w:p>
              </w:tc>
              <w:tc>
                <w:tcPr>
                  <w:tcW w:w="477" w:type="pct"/>
                  <w:tcBorders>
                    <w:top w:val="nil"/>
                    <w:left w:val="nil"/>
                    <w:bottom w:val="nil"/>
                    <w:right w:val="nil"/>
                  </w:tcBorders>
                  <w:shd w:val="clear" w:color="auto" w:fill="auto"/>
                  <w:tcMar>
                    <w:left w:w="0" w:type="dxa"/>
                    <w:right w:w="0" w:type="dxa"/>
                  </w:tcMar>
                  <w:vAlign w:val="center"/>
                  <w:hideMark/>
                </w:tcPr>
                <w:p w14:paraId="7954B588" w14:textId="77777777" w:rsidR="00F05DC7" w:rsidRPr="00791D71" w:rsidRDefault="00F05DC7" w:rsidP="00A3786D">
                  <w:pPr>
                    <w:spacing w:before="80"/>
                    <w:ind w:right="11"/>
                    <w:jc w:val="right"/>
                    <w:rPr>
                      <w:rFonts w:asciiTheme="minorHAnsi" w:hAnsiTheme="minorHAnsi" w:cstheme="minorHAnsi"/>
                      <w:sz w:val="18"/>
                      <w:szCs w:val="18"/>
                    </w:rPr>
                  </w:pPr>
                </w:p>
              </w:tc>
              <w:tc>
                <w:tcPr>
                  <w:tcW w:w="407" w:type="pct"/>
                  <w:tcBorders>
                    <w:top w:val="nil"/>
                    <w:left w:val="nil"/>
                    <w:bottom w:val="nil"/>
                    <w:right w:val="nil"/>
                  </w:tcBorders>
                  <w:shd w:val="clear" w:color="auto" w:fill="auto"/>
                  <w:tcMar>
                    <w:left w:w="0" w:type="dxa"/>
                    <w:right w:w="0" w:type="dxa"/>
                  </w:tcMar>
                  <w:vAlign w:val="center"/>
                  <w:hideMark/>
                </w:tcPr>
                <w:p w14:paraId="7954B589" w14:textId="77777777" w:rsidR="00F05DC7" w:rsidRPr="00791D71" w:rsidRDefault="00F05DC7" w:rsidP="00A3786D">
                  <w:pPr>
                    <w:spacing w:before="80"/>
                    <w:ind w:right="11"/>
                    <w:jc w:val="right"/>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58A" w14:textId="77777777" w:rsidR="00F05DC7" w:rsidRPr="00791D71" w:rsidRDefault="00F05DC7" w:rsidP="00A3786D">
                  <w:pPr>
                    <w:spacing w:before="80"/>
                    <w:ind w:right="11"/>
                    <w:jc w:val="right"/>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58B" w14:textId="77777777" w:rsidR="00F05DC7" w:rsidRPr="00791D71" w:rsidRDefault="00F05DC7" w:rsidP="00A3786D">
                  <w:pPr>
                    <w:spacing w:before="80"/>
                    <w:ind w:right="11"/>
                    <w:jc w:val="right"/>
                    <w:rPr>
                      <w:rFonts w:asciiTheme="minorHAnsi" w:hAnsiTheme="minorHAnsi" w:cstheme="minorHAnsi"/>
                      <w:sz w:val="18"/>
                      <w:szCs w:val="18"/>
                    </w:rPr>
                  </w:pPr>
                </w:p>
              </w:tc>
              <w:tc>
                <w:tcPr>
                  <w:tcW w:w="410" w:type="pct"/>
                  <w:tcBorders>
                    <w:top w:val="nil"/>
                    <w:left w:val="nil"/>
                    <w:bottom w:val="nil"/>
                    <w:right w:val="nil"/>
                  </w:tcBorders>
                  <w:shd w:val="clear" w:color="auto" w:fill="auto"/>
                  <w:tcMar>
                    <w:left w:w="0" w:type="dxa"/>
                    <w:right w:w="0" w:type="dxa"/>
                  </w:tcMar>
                  <w:vAlign w:val="center"/>
                  <w:hideMark/>
                </w:tcPr>
                <w:p w14:paraId="7954B58C" w14:textId="77777777" w:rsidR="00F05DC7" w:rsidRPr="00791D71" w:rsidRDefault="00F05DC7" w:rsidP="00A3786D">
                  <w:pPr>
                    <w:spacing w:before="80"/>
                    <w:ind w:right="11"/>
                    <w:jc w:val="right"/>
                    <w:rPr>
                      <w:rFonts w:asciiTheme="minorHAnsi" w:hAnsiTheme="minorHAnsi" w:cstheme="minorHAnsi"/>
                      <w:sz w:val="18"/>
                      <w:szCs w:val="18"/>
                    </w:rPr>
                  </w:pPr>
                </w:p>
              </w:tc>
            </w:tr>
            <w:tr w:rsidR="00F05DC7" w14:paraId="7954B597" w14:textId="77777777" w:rsidTr="00A3786D">
              <w:trPr>
                <w:trHeight w:val="283"/>
              </w:trPr>
              <w:tc>
                <w:tcPr>
                  <w:tcW w:w="1650" w:type="pct"/>
                  <w:tcBorders>
                    <w:top w:val="nil"/>
                    <w:left w:val="nil"/>
                    <w:bottom w:val="nil"/>
                    <w:right w:val="nil"/>
                  </w:tcBorders>
                  <w:shd w:val="clear" w:color="auto" w:fill="auto"/>
                  <w:tcMar>
                    <w:left w:w="0" w:type="dxa"/>
                    <w:right w:w="0" w:type="dxa"/>
                  </w:tcMar>
                  <w:vAlign w:val="center"/>
                  <w:hideMark/>
                </w:tcPr>
                <w:p w14:paraId="7954B58E" w14:textId="77777777" w:rsidR="00F05DC7" w:rsidRPr="00791D71" w:rsidRDefault="00F05DC7" w:rsidP="00A3786D">
                  <w:pPr>
                    <w:pStyle w:val="TableBodyText"/>
                    <w:jc w:val="left"/>
                  </w:pPr>
                  <w:r>
                    <w:t>$m</w:t>
                  </w:r>
                </w:p>
              </w:tc>
              <w:tc>
                <w:tcPr>
                  <w:tcW w:w="410" w:type="pct"/>
                  <w:tcBorders>
                    <w:top w:val="nil"/>
                    <w:left w:val="nil"/>
                    <w:bottom w:val="nil"/>
                    <w:right w:val="nil"/>
                  </w:tcBorders>
                  <w:shd w:val="clear" w:color="auto" w:fill="auto"/>
                  <w:tcMar>
                    <w:left w:w="0" w:type="dxa"/>
                    <w:right w:w="0" w:type="dxa"/>
                  </w:tcMar>
                  <w:vAlign w:val="bottom"/>
                  <w:hideMark/>
                </w:tcPr>
                <w:p w14:paraId="7954B58F" w14:textId="77777777" w:rsidR="00F05DC7" w:rsidRPr="00791D71" w:rsidRDefault="00F05DC7" w:rsidP="00A3786D">
                  <w:pPr>
                    <w:pStyle w:val="TableBodyText"/>
                  </w:pPr>
                  <w:r>
                    <w:rPr>
                      <w:rFonts w:cs="Arial"/>
                    </w:rPr>
                    <w:t>1 009</w:t>
                  </w:r>
                </w:p>
              </w:tc>
              <w:tc>
                <w:tcPr>
                  <w:tcW w:w="412" w:type="pct"/>
                  <w:tcBorders>
                    <w:top w:val="nil"/>
                    <w:left w:val="nil"/>
                    <w:bottom w:val="nil"/>
                    <w:right w:val="nil"/>
                  </w:tcBorders>
                  <w:shd w:val="clear" w:color="auto" w:fill="auto"/>
                  <w:tcMar>
                    <w:left w:w="0" w:type="dxa"/>
                    <w:right w:w="0" w:type="dxa"/>
                  </w:tcMar>
                  <w:vAlign w:val="bottom"/>
                  <w:hideMark/>
                </w:tcPr>
                <w:p w14:paraId="7954B590" w14:textId="77777777" w:rsidR="00F05DC7" w:rsidRPr="00791D71" w:rsidRDefault="00F05DC7" w:rsidP="00A3786D">
                  <w:pPr>
                    <w:pStyle w:val="TableBodyText"/>
                  </w:pPr>
                  <w:r>
                    <w:rPr>
                      <w:rFonts w:cs="Arial"/>
                    </w:rPr>
                    <w:t>-1 427</w:t>
                  </w:r>
                </w:p>
              </w:tc>
              <w:tc>
                <w:tcPr>
                  <w:tcW w:w="410" w:type="pct"/>
                  <w:gridSpan w:val="2"/>
                  <w:tcBorders>
                    <w:top w:val="nil"/>
                    <w:left w:val="nil"/>
                    <w:bottom w:val="nil"/>
                    <w:right w:val="nil"/>
                  </w:tcBorders>
                  <w:shd w:val="clear" w:color="auto" w:fill="auto"/>
                  <w:tcMar>
                    <w:left w:w="0" w:type="dxa"/>
                    <w:right w:w="0" w:type="dxa"/>
                  </w:tcMar>
                  <w:vAlign w:val="bottom"/>
                  <w:hideMark/>
                </w:tcPr>
                <w:p w14:paraId="7954B591" w14:textId="77777777" w:rsidR="00F05DC7" w:rsidRPr="00791D71" w:rsidRDefault="00F05DC7" w:rsidP="00A3786D">
                  <w:pPr>
                    <w:pStyle w:val="TableBodyText"/>
                  </w:pPr>
                  <w:r>
                    <w:rPr>
                      <w:rFonts w:cs="Arial"/>
                    </w:rPr>
                    <w:t>-2 542</w:t>
                  </w:r>
                </w:p>
              </w:tc>
              <w:tc>
                <w:tcPr>
                  <w:tcW w:w="477" w:type="pct"/>
                  <w:tcBorders>
                    <w:top w:val="nil"/>
                    <w:left w:val="nil"/>
                    <w:bottom w:val="nil"/>
                    <w:right w:val="nil"/>
                  </w:tcBorders>
                  <w:shd w:val="clear" w:color="auto" w:fill="auto"/>
                  <w:tcMar>
                    <w:left w:w="0" w:type="dxa"/>
                    <w:right w:w="0" w:type="dxa"/>
                  </w:tcMar>
                  <w:vAlign w:val="bottom"/>
                  <w:hideMark/>
                </w:tcPr>
                <w:p w14:paraId="7954B592" w14:textId="77777777" w:rsidR="00F05DC7" w:rsidRPr="00791D71" w:rsidRDefault="00F05DC7" w:rsidP="00A3786D">
                  <w:pPr>
                    <w:pStyle w:val="TableBodyText"/>
                  </w:pPr>
                  <w:r>
                    <w:rPr>
                      <w:rFonts w:cs="Arial"/>
                    </w:rPr>
                    <w:t>2 961</w:t>
                  </w:r>
                </w:p>
              </w:tc>
              <w:tc>
                <w:tcPr>
                  <w:tcW w:w="407" w:type="pct"/>
                  <w:tcBorders>
                    <w:top w:val="nil"/>
                    <w:left w:val="nil"/>
                    <w:bottom w:val="nil"/>
                    <w:right w:val="nil"/>
                  </w:tcBorders>
                  <w:shd w:val="clear" w:color="auto" w:fill="auto"/>
                  <w:tcMar>
                    <w:left w:w="0" w:type="dxa"/>
                    <w:right w:w="0" w:type="dxa"/>
                  </w:tcMar>
                  <w:vAlign w:val="bottom"/>
                  <w:hideMark/>
                </w:tcPr>
                <w:p w14:paraId="7954B593" w14:textId="77777777" w:rsidR="00F05DC7" w:rsidRPr="00791D71" w:rsidRDefault="00F05DC7" w:rsidP="00A3786D">
                  <w:pPr>
                    <w:pStyle w:val="TableBodyText"/>
                  </w:pPr>
                  <w:r>
                    <w:rPr>
                      <w:rFonts w:cs="Arial"/>
                    </w:rPr>
                    <w:t>0</w:t>
                  </w:r>
                </w:p>
              </w:tc>
              <w:tc>
                <w:tcPr>
                  <w:tcW w:w="412" w:type="pct"/>
                  <w:tcBorders>
                    <w:top w:val="nil"/>
                    <w:left w:val="nil"/>
                    <w:bottom w:val="nil"/>
                    <w:right w:val="nil"/>
                  </w:tcBorders>
                  <w:shd w:val="clear" w:color="auto" w:fill="auto"/>
                  <w:tcMar>
                    <w:left w:w="0" w:type="dxa"/>
                    <w:right w:w="0" w:type="dxa"/>
                  </w:tcMar>
                  <w:vAlign w:val="bottom"/>
                  <w:hideMark/>
                </w:tcPr>
                <w:p w14:paraId="7954B594" w14:textId="77777777" w:rsidR="00F05DC7" w:rsidRPr="00791D71" w:rsidRDefault="00F05DC7" w:rsidP="00A3786D">
                  <w:pPr>
                    <w:pStyle w:val="TableBodyText"/>
                  </w:pPr>
                  <w:r>
                    <w:rPr>
                      <w:rFonts w:cs="Arial"/>
                    </w:rPr>
                    <w:t>0</w:t>
                  </w:r>
                </w:p>
              </w:tc>
              <w:tc>
                <w:tcPr>
                  <w:tcW w:w="412" w:type="pct"/>
                  <w:tcBorders>
                    <w:top w:val="nil"/>
                    <w:left w:val="nil"/>
                    <w:bottom w:val="nil"/>
                    <w:right w:val="nil"/>
                  </w:tcBorders>
                  <w:shd w:val="clear" w:color="auto" w:fill="auto"/>
                  <w:tcMar>
                    <w:left w:w="0" w:type="dxa"/>
                    <w:right w:w="0" w:type="dxa"/>
                  </w:tcMar>
                  <w:vAlign w:val="bottom"/>
                  <w:hideMark/>
                </w:tcPr>
                <w:p w14:paraId="7954B595" w14:textId="77777777" w:rsidR="00F05DC7" w:rsidRPr="00791D71" w:rsidRDefault="00F05DC7" w:rsidP="00A3786D">
                  <w:pPr>
                    <w:pStyle w:val="TableBodyText"/>
                  </w:pPr>
                  <w:r>
                    <w:rPr>
                      <w:rFonts w:cs="Arial"/>
                    </w:rPr>
                    <w:t>0</w:t>
                  </w:r>
                </w:p>
              </w:tc>
              <w:tc>
                <w:tcPr>
                  <w:tcW w:w="410" w:type="pct"/>
                  <w:tcBorders>
                    <w:top w:val="nil"/>
                    <w:left w:val="nil"/>
                    <w:bottom w:val="nil"/>
                    <w:right w:val="nil"/>
                  </w:tcBorders>
                  <w:shd w:val="clear" w:color="auto" w:fill="auto"/>
                  <w:tcMar>
                    <w:left w:w="0" w:type="dxa"/>
                    <w:right w:w="0" w:type="dxa"/>
                  </w:tcMar>
                  <w:vAlign w:val="bottom"/>
                  <w:hideMark/>
                </w:tcPr>
                <w:p w14:paraId="7954B596" w14:textId="77777777" w:rsidR="00F05DC7" w:rsidRPr="00791D71" w:rsidRDefault="00F05DC7" w:rsidP="00A3786D">
                  <w:pPr>
                    <w:pStyle w:val="TableBodyText"/>
                  </w:pPr>
                  <w:r>
                    <w:rPr>
                      <w:rFonts w:cs="Arial"/>
                    </w:rPr>
                    <w:t>0</w:t>
                  </w:r>
                </w:p>
              </w:tc>
            </w:tr>
            <w:tr w:rsidR="00F05DC7" w14:paraId="7954B5A1" w14:textId="77777777" w:rsidTr="00A3786D">
              <w:trPr>
                <w:trHeight w:val="283"/>
              </w:trPr>
              <w:tc>
                <w:tcPr>
                  <w:tcW w:w="1650" w:type="pct"/>
                  <w:tcBorders>
                    <w:top w:val="nil"/>
                    <w:left w:val="nil"/>
                    <w:bottom w:val="nil"/>
                    <w:right w:val="nil"/>
                  </w:tcBorders>
                  <w:shd w:val="clear" w:color="auto" w:fill="auto"/>
                  <w:tcMar>
                    <w:left w:w="0" w:type="dxa"/>
                    <w:right w:w="0" w:type="dxa"/>
                  </w:tcMar>
                  <w:vAlign w:val="center"/>
                </w:tcPr>
                <w:p w14:paraId="7954B598" w14:textId="77777777" w:rsidR="00F05DC7" w:rsidRDefault="00F05DC7" w:rsidP="00A3786D">
                  <w:pPr>
                    <w:pStyle w:val="TableBodyText"/>
                    <w:jc w:val="left"/>
                  </w:pPr>
                  <w:r>
                    <w:t>$pc</w:t>
                  </w:r>
                </w:p>
              </w:tc>
              <w:tc>
                <w:tcPr>
                  <w:tcW w:w="410" w:type="pct"/>
                  <w:tcBorders>
                    <w:top w:val="nil"/>
                    <w:left w:val="nil"/>
                    <w:bottom w:val="nil"/>
                    <w:right w:val="nil"/>
                  </w:tcBorders>
                  <w:shd w:val="clear" w:color="auto" w:fill="auto"/>
                  <w:tcMar>
                    <w:left w:w="0" w:type="dxa"/>
                    <w:right w:w="0" w:type="dxa"/>
                  </w:tcMar>
                  <w:vAlign w:val="bottom"/>
                </w:tcPr>
                <w:p w14:paraId="7954B599" w14:textId="77777777" w:rsidR="00F05DC7" w:rsidRDefault="00F05DC7" w:rsidP="00A3786D">
                  <w:pPr>
                    <w:pStyle w:val="TableBodyText"/>
                    <w:rPr>
                      <w:rFonts w:cs="Arial"/>
                    </w:rPr>
                  </w:pPr>
                  <w:r>
                    <w:rPr>
                      <w:rFonts w:cs="Arial"/>
                    </w:rPr>
                    <w:t>126</w:t>
                  </w:r>
                </w:p>
              </w:tc>
              <w:tc>
                <w:tcPr>
                  <w:tcW w:w="412" w:type="pct"/>
                  <w:tcBorders>
                    <w:top w:val="nil"/>
                    <w:left w:val="nil"/>
                    <w:bottom w:val="nil"/>
                    <w:right w:val="nil"/>
                  </w:tcBorders>
                  <w:shd w:val="clear" w:color="auto" w:fill="auto"/>
                  <w:tcMar>
                    <w:left w:w="0" w:type="dxa"/>
                    <w:right w:w="0" w:type="dxa"/>
                  </w:tcMar>
                  <w:vAlign w:val="bottom"/>
                </w:tcPr>
                <w:p w14:paraId="7954B59A" w14:textId="77777777" w:rsidR="00F05DC7" w:rsidRDefault="00F05DC7" w:rsidP="00A3786D">
                  <w:pPr>
                    <w:pStyle w:val="TableBodyText"/>
                    <w:rPr>
                      <w:rFonts w:cs="Arial"/>
                    </w:rPr>
                  </w:pPr>
                  <w:r>
                    <w:rPr>
                      <w:rFonts w:cs="Arial"/>
                    </w:rPr>
                    <w:t>-220</w:t>
                  </w:r>
                </w:p>
              </w:tc>
              <w:tc>
                <w:tcPr>
                  <w:tcW w:w="410" w:type="pct"/>
                  <w:gridSpan w:val="2"/>
                  <w:tcBorders>
                    <w:top w:val="nil"/>
                    <w:left w:val="nil"/>
                    <w:bottom w:val="nil"/>
                    <w:right w:val="nil"/>
                  </w:tcBorders>
                  <w:shd w:val="clear" w:color="auto" w:fill="auto"/>
                  <w:tcMar>
                    <w:left w:w="0" w:type="dxa"/>
                    <w:right w:w="0" w:type="dxa"/>
                  </w:tcMar>
                  <w:vAlign w:val="bottom"/>
                </w:tcPr>
                <w:p w14:paraId="7954B59B" w14:textId="77777777" w:rsidR="00F05DC7" w:rsidRDefault="00F05DC7" w:rsidP="00A3786D">
                  <w:pPr>
                    <w:pStyle w:val="TableBodyText"/>
                    <w:rPr>
                      <w:rFonts w:cs="Arial"/>
                    </w:rPr>
                  </w:pPr>
                  <w:r>
                    <w:rPr>
                      <w:rFonts w:cs="Arial"/>
                    </w:rPr>
                    <w:t>-506</w:t>
                  </w:r>
                </w:p>
              </w:tc>
              <w:tc>
                <w:tcPr>
                  <w:tcW w:w="477" w:type="pct"/>
                  <w:tcBorders>
                    <w:top w:val="nil"/>
                    <w:left w:val="nil"/>
                    <w:bottom w:val="nil"/>
                    <w:right w:val="nil"/>
                  </w:tcBorders>
                  <w:shd w:val="clear" w:color="auto" w:fill="auto"/>
                  <w:tcMar>
                    <w:left w:w="0" w:type="dxa"/>
                    <w:right w:w="0" w:type="dxa"/>
                  </w:tcMar>
                  <w:vAlign w:val="bottom"/>
                </w:tcPr>
                <w:p w14:paraId="7954B59C" w14:textId="77777777" w:rsidR="00F05DC7" w:rsidRDefault="00F05DC7" w:rsidP="00A3786D">
                  <w:pPr>
                    <w:pStyle w:val="TableBodyText"/>
                    <w:rPr>
                      <w:rFonts w:cs="Arial"/>
                    </w:rPr>
                  </w:pPr>
                  <w:r>
                    <w:rPr>
                      <w:rFonts w:cs="Arial"/>
                    </w:rPr>
                    <w:t>1 129</w:t>
                  </w:r>
                </w:p>
              </w:tc>
              <w:tc>
                <w:tcPr>
                  <w:tcW w:w="407" w:type="pct"/>
                  <w:tcBorders>
                    <w:top w:val="nil"/>
                    <w:left w:val="nil"/>
                    <w:bottom w:val="nil"/>
                    <w:right w:val="nil"/>
                  </w:tcBorders>
                  <w:shd w:val="clear" w:color="auto" w:fill="auto"/>
                  <w:tcMar>
                    <w:left w:w="0" w:type="dxa"/>
                    <w:right w:w="0" w:type="dxa"/>
                  </w:tcMar>
                  <w:vAlign w:val="bottom"/>
                </w:tcPr>
                <w:p w14:paraId="7954B59D" w14:textId="77777777" w:rsidR="00F05DC7" w:rsidRDefault="00F05DC7" w:rsidP="00A3786D">
                  <w:pPr>
                    <w:pStyle w:val="TableBodyText"/>
                    <w:rPr>
                      <w:rFonts w:cs="Arial"/>
                    </w:rPr>
                  </w:pPr>
                  <w:r>
                    <w:rPr>
                      <w:rFonts w:cs="Arial"/>
                    </w:rPr>
                    <w:t>0</w:t>
                  </w:r>
                </w:p>
              </w:tc>
              <w:tc>
                <w:tcPr>
                  <w:tcW w:w="412" w:type="pct"/>
                  <w:tcBorders>
                    <w:top w:val="nil"/>
                    <w:left w:val="nil"/>
                    <w:bottom w:val="nil"/>
                    <w:right w:val="nil"/>
                  </w:tcBorders>
                  <w:shd w:val="clear" w:color="auto" w:fill="auto"/>
                  <w:tcMar>
                    <w:left w:w="0" w:type="dxa"/>
                    <w:right w:w="0" w:type="dxa"/>
                  </w:tcMar>
                  <w:vAlign w:val="bottom"/>
                </w:tcPr>
                <w:p w14:paraId="7954B59E" w14:textId="77777777" w:rsidR="00F05DC7" w:rsidRDefault="00F05DC7" w:rsidP="00A3786D">
                  <w:pPr>
                    <w:pStyle w:val="TableBodyText"/>
                    <w:rPr>
                      <w:rFonts w:cs="Arial"/>
                    </w:rPr>
                  </w:pPr>
                  <w:r>
                    <w:rPr>
                      <w:rFonts w:cs="Arial"/>
                    </w:rPr>
                    <w:t>0</w:t>
                  </w:r>
                </w:p>
              </w:tc>
              <w:tc>
                <w:tcPr>
                  <w:tcW w:w="412" w:type="pct"/>
                  <w:tcBorders>
                    <w:top w:val="nil"/>
                    <w:left w:val="nil"/>
                    <w:bottom w:val="nil"/>
                    <w:right w:val="nil"/>
                  </w:tcBorders>
                  <w:shd w:val="clear" w:color="auto" w:fill="auto"/>
                  <w:tcMar>
                    <w:left w:w="0" w:type="dxa"/>
                    <w:right w:w="0" w:type="dxa"/>
                  </w:tcMar>
                  <w:vAlign w:val="bottom"/>
                </w:tcPr>
                <w:p w14:paraId="7954B59F" w14:textId="77777777" w:rsidR="00F05DC7" w:rsidRDefault="00F05DC7" w:rsidP="00A3786D">
                  <w:pPr>
                    <w:pStyle w:val="TableBodyText"/>
                    <w:rPr>
                      <w:rFonts w:cs="Arial"/>
                    </w:rPr>
                  </w:pPr>
                  <w:r>
                    <w:rPr>
                      <w:rFonts w:cs="Arial"/>
                    </w:rPr>
                    <w:t>0</w:t>
                  </w:r>
                </w:p>
              </w:tc>
              <w:tc>
                <w:tcPr>
                  <w:tcW w:w="410" w:type="pct"/>
                  <w:tcBorders>
                    <w:top w:val="nil"/>
                    <w:left w:val="nil"/>
                    <w:bottom w:val="nil"/>
                    <w:right w:val="nil"/>
                  </w:tcBorders>
                  <w:shd w:val="clear" w:color="auto" w:fill="auto"/>
                  <w:tcMar>
                    <w:left w:w="0" w:type="dxa"/>
                    <w:right w:w="0" w:type="dxa"/>
                  </w:tcMar>
                  <w:vAlign w:val="bottom"/>
                </w:tcPr>
                <w:p w14:paraId="7954B5A0" w14:textId="77777777" w:rsidR="00F05DC7" w:rsidRDefault="00F05DC7" w:rsidP="00A3786D">
                  <w:pPr>
                    <w:pStyle w:val="TableBodyText"/>
                    <w:rPr>
                      <w:rFonts w:cs="Arial"/>
                    </w:rPr>
                  </w:pPr>
                  <w:r>
                    <w:rPr>
                      <w:rFonts w:cs="Arial"/>
                    </w:rPr>
                    <w:t>0</w:t>
                  </w:r>
                </w:p>
              </w:tc>
            </w:tr>
            <w:tr w:rsidR="00F05DC7" w14:paraId="7954B5AB" w14:textId="77777777" w:rsidTr="00A3786D">
              <w:trPr>
                <w:trHeight w:val="283"/>
              </w:trPr>
              <w:tc>
                <w:tcPr>
                  <w:tcW w:w="1650" w:type="pct"/>
                  <w:tcBorders>
                    <w:top w:val="nil"/>
                    <w:left w:val="nil"/>
                    <w:bottom w:val="nil"/>
                    <w:right w:val="nil"/>
                  </w:tcBorders>
                  <w:shd w:val="clear" w:color="auto" w:fill="auto"/>
                  <w:tcMar>
                    <w:left w:w="0" w:type="dxa"/>
                    <w:right w:w="0" w:type="dxa"/>
                  </w:tcMar>
                  <w:vAlign w:val="center"/>
                </w:tcPr>
                <w:p w14:paraId="7954B5A2" w14:textId="77777777" w:rsidR="00F05DC7" w:rsidRPr="00791D71" w:rsidRDefault="00F05DC7" w:rsidP="00A3786D">
                  <w:pPr>
                    <w:pStyle w:val="TableBodyText"/>
                    <w:jc w:val="left"/>
                  </w:pPr>
                  <w:r w:rsidRPr="002600E3">
                    <w:t>% change in State revenue</w:t>
                  </w:r>
                  <w:r w:rsidRPr="002600E3" w:rsidDel="00CE2770">
                    <w:t xml:space="preserve"> </w:t>
                  </w:r>
                </w:p>
              </w:tc>
              <w:tc>
                <w:tcPr>
                  <w:tcW w:w="410" w:type="pct"/>
                  <w:tcBorders>
                    <w:top w:val="nil"/>
                    <w:left w:val="nil"/>
                    <w:bottom w:val="nil"/>
                    <w:right w:val="nil"/>
                  </w:tcBorders>
                  <w:shd w:val="clear" w:color="auto" w:fill="auto"/>
                  <w:tcMar>
                    <w:left w:w="0" w:type="dxa"/>
                    <w:right w:w="0" w:type="dxa"/>
                  </w:tcMar>
                  <w:vAlign w:val="bottom"/>
                </w:tcPr>
                <w:p w14:paraId="7954B5A3" w14:textId="77777777" w:rsidR="00F05DC7" w:rsidRPr="00CE2770" w:rsidRDefault="00F05DC7" w:rsidP="00A3786D">
                  <w:pPr>
                    <w:pStyle w:val="TableBodyText"/>
                  </w:pPr>
                  <w:r>
                    <w:t>1.2</w:t>
                  </w:r>
                </w:p>
              </w:tc>
              <w:tc>
                <w:tcPr>
                  <w:tcW w:w="412" w:type="pct"/>
                  <w:tcBorders>
                    <w:top w:val="nil"/>
                    <w:left w:val="nil"/>
                    <w:bottom w:val="nil"/>
                    <w:right w:val="nil"/>
                  </w:tcBorders>
                  <w:shd w:val="clear" w:color="auto" w:fill="auto"/>
                  <w:tcMar>
                    <w:left w:w="0" w:type="dxa"/>
                    <w:right w:w="0" w:type="dxa"/>
                  </w:tcMar>
                  <w:vAlign w:val="bottom"/>
                </w:tcPr>
                <w:p w14:paraId="7954B5A4" w14:textId="77777777" w:rsidR="00F05DC7" w:rsidRPr="00CE2770" w:rsidRDefault="00F05DC7" w:rsidP="00A3786D">
                  <w:pPr>
                    <w:pStyle w:val="TableBodyText"/>
                  </w:pPr>
                  <w:r>
                    <w:t>-2.1</w:t>
                  </w:r>
                </w:p>
              </w:tc>
              <w:tc>
                <w:tcPr>
                  <w:tcW w:w="410" w:type="pct"/>
                  <w:gridSpan w:val="2"/>
                  <w:tcBorders>
                    <w:top w:val="nil"/>
                    <w:left w:val="nil"/>
                    <w:bottom w:val="nil"/>
                    <w:right w:val="nil"/>
                  </w:tcBorders>
                  <w:shd w:val="clear" w:color="auto" w:fill="auto"/>
                  <w:tcMar>
                    <w:left w:w="0" w:type="dxa"/>
                    <w:right w:w="0" w:type="dxa"/>
                  </w:tcMar>
                  <w:vAlign w:val="bottom"/>
                </w:tcPr>
                <w:p w14:paraId="7954B5A5" w14:textId="77777777" w:rsidR="00F05DC7" w:rsidRPr="00CE2770" w:rsidRDefault="00F05DC7" w:rsidP="00A3786D">
                  <w:pPr>
                    <w:pStyle w:val="TableBodyText"/>
                  </w:pPr>
                  <w:r>
                    <w:t>-4</w:t>
                  </w:r>
                  <w:r w:rsidRPr="00682C35">
                    <w:t>.5</w:t>
                  </w:r>
                </w:p>
              </w:tc>
              <w:tc>
                <w:tcPr>
                  <w:tcW w:w="477" w:type="pct"/>
                  <w:tcBorders>
                    <w:top w:val="nil"/>
                    <w:left w:val="nil"/>
                    <w:bottom w:val="nil"/>
                    <w:right w:val="nil"/>
                  </w:tcBorders>
                  <w:shd w:val="clear" w:color="auto" w:fill="auto"/>
                  <w:tcMar>
                    <w:left w:w="0" w:type="dxa"/>
                    <w:right w:w="0" w:type="dxa"/>
                  </w:tcMar>
                  <w:vAlign w:val="bottom"/>
                </w:tcPr>
                <w:p w14:paraId="7954B5A6" w14:textId="77777777" w:rsidR="00F05DC7" w:rsidRPr="00CE2770" w:rsidRDefault="00F05DC7" w:rsidP="00A3786D">
                  <w:pPr>
                    <w:pStyle w:val="TableBodyText"/>
                  </w:pPr>
                  <w:r>
                    <w:t>10.0</w:t>
                  </w:r>
                </w:p>
              </w:tc>
              <w:tc>
                <w:tcPr>
                  <w:tcW w:w="407" w:type="pct"/>
                  <w:tcBorders>
                    <w:top w:val="nil"/>
                    <w:left w:val="nil"/>
                    <w:bottom w:val="nil"/>
                    <w:right w:val="nil"/>
                  </w:tcBorders>
                  <w:shd w:val="clear" w:color="auto" w:fill="auto"/>
                  <w:tcMar>
                    <w:left w:w="0" w:type="dxa"/>
                    <w:right w:w="0" w:type="dxa"/>
                  </w:tcMar>
                  <w:vAlign w:val="bottom"/>
                </w:tcPr>
                <w:p w14:paraId="7954B5A7" w14:textId="77777777" w:rsidR="00F05DC7" w:rsidRPr="00CE2770" w:rsidRDefault="00F05DC7" w:rsidP="00A3786D">
                  <w:pPr>
                    <w:pStyle w:val="TableBodyText"/>
                  </w:pPr>
                  <w:r w:rsidRPr="00682C35">
                    <w:t>0.0</w:t>
                  </w:r>
                </w:p>
              </w:tc>
              <w:tc>
                <w:tcPr>
                  <w:tcW w:w="412" w:type="pct"/>
                  <w:tcBorders>
                    <w:top w:val="nil"/>
                    <w:left w:val="nil"/>
                    <w:bottom w:val="nil"/>
                    <w:right w:val="nil"/>
                  </w:tcBorders>
                  <w:shd w:val="clear" w:color="auto" w:fill="auto"/>
                  <w:tcMar>
                    <w:left w:w="0" w:type="dxa"/>
                    <w:right w:w="0" w:type="dxa"/>
                  </w:tcMar>
                  <w:vAlign w:val="bottom"/>
                </w:tcPr>
                <w:p w14:paraId="7954B5A8" w14:textId="77777777" w:rsidR="00F05DC7" w:rsidRPr="00CE2770" w:rsidRDefault="00F05DC7" w:rsidP="00A3786D">
                  <w:pPr>
                    <w:pStyle w:val="TableBodyText"/>
                  </w:pPr>
                  <w:r w:rsidRPr="00682C35">
                    <w:t>0.0</w:t>
                  </w:r>
                </w:p>
              </w:tc>
              <w:tc>
                <w:tcPr>
                  <w:tcW w:w="412" w:type="pct"/>
                  <w:tcBorders>
                    <w:top w:val="nil"/>
                    <w:left w:val="nil"/>
                    <w:bottom w:val="nil"/>
                    <w:right w:val="nil"/>
                  </w:tcBorders>
                  <w:shd w:val="clear" w:color="auto" w:fill="auto"/>
                  <w:tcMar>
                    <w:left w:w="0" w:type="dxa"/>
                    <w:right w:w="0" w:type="dxa"/>
                  </w:tcMar>
                  <w:vAlign w:val="bottom"/>
                </w:tcPr>
                <w:p w14:paraId="7954B5A9" w14:textId="77777777" w:rsidR="00F05DC7" w:rsidRPr="00CE2770" w:rsidRDefault="00F05DC7" w:rsidP="00A3786D">
                  <w:pPr>
                    <w:pStyle w:val="TableBodyText"/>
                  </w:pPr>
                  <w:r w:rsidRPr="00682C35">
                    <w:t>0.0</w:t>
                  </w:r>
                </w:p>
              </w:tc>
              <w:tc>
                <w:tcPr>
                  <w:tcW w:w="410" w:type="pct"/>
                  <w:tcBorders>
                    <w:top w:val="nil"/>
                    <w:left w:val="nil"/>
                    <w:bottom w:val="nil"/>
                    <w:right w:val="nil"/>
                  </w:tcBorders>
                  <w:shd w:val="clear" w:color="auto" w:fill="auto"/>
                  <w:tcMar>
                    <w:left w:w="0" w:type="dxa"/>
                    <w:right w:w="0" w:type="dxa"/>
                  </w:tcMar>
                  <w:vAlign w:val="bottom"/>
                </w:tcPr>
                <w:p w14:paraId="7954B5AA" w14:textId="77777777" w:rsidR="00F05DC7" w:rsidRPr="00CE2770" w:rsidRDefault="00F05DC7" w:rsidP="00A3786D">
                  <w:pPr>
                    <w:pStyle w:val="TableBodyText"/>
                  </w:pPr>
                  <w:r w:rsidRPr="00682C35">
                    <w:t>0.0</w:t>
                  </w:r>
                </w:p>
              </w:tc>
            </w:tr>
            <w:tr w:rsidR="00F05DC7" w14:paraId="7954B5B5" w14:textId="77777777" w:rsidTr="00A3786D">
              <w:trPr>
                <w:trHeight w:val="283"/>
              </w:trPr>
              <w:tc>
                <w:tcPr>
                  <w:tcW w:w="1650" w:type="pct"/>
                  <w:tcBorders>
                    <w:top w:val="nil"/>
                    <w:left w:val="nil"/>
                    <w:bottom w:val="nil"/>
                    <w:right w:val="nil"/>
                  </w:tcBorders>
                  <w:shd w:val="clear" w:color="auto" w:fill="auto"/>
                  <w:tcMar>
                    <w:left w:w="0" w:type="dxa"/>
                    <w:right w:w="0" w:type="dxa"/>
                  </w:tcMar>
                  <w:vAlign w:val="center"/>
                </w:tcPr>
                <w:p w14:paraId="7954B5AC" w14:textId="77777777" w:rsidR="00F05DC7" w:rsidRDefault="00F05DC7" w:rsidP="00A3786D">
                  <w:pPr>
                    <w:rPr>
                      <w:rFonts w:asciiTheme="minorHAnsi" w:hAnsiTheme="minorHAnsi" w:cstheme="minorHAnsi"/>
                      <w:color w:val="000000"/>
                      <w:sz w:val="18"/>
                      <w:szCs w:val="18"/>
                    </w:rPr>
                  </w:pPr>
                  <w:r>
                    <w:rPr>
                      <w:rFonts w:ascii="Arial" w:hAnsi="Arial" w:cs="Arial"/>
                      <w:b/>
                      <w:bCs/>
                      <w:color w:val="000000"/>
                      <w:sz w:val="18"/>
                      <w:szCs w:val="18"/>
                    </w:rPr>
                    <w:t>Total redistribution from EPC</w:t>
                  </w:r>
                </w:p>
              </w:tc>
              <w:tc>
                <w:tcPr>
                  <w:tcW w:w="410" w:type="pct"/>
                  <w:tcBorders>
                    <w:top w:val="nil"/>
                    <w:left w:val="nil"/>
                    <w:bottom w:val="nil"/>
                    <w:right w:val="nil"/>
                  </w:tcBorders>
                  <w:shd w:val="clear" w:color="auto" w:fill="auto"/>
                  <w:tcMar>
                    <w:left w:w="0" w:type="dxa"/>
                    <w:right w:w="0" w:type="dxa"/>
                  </w:tcMar>
                  <w:vAlign w:val="center"/>
                </w:tcPr>
                <w:p w14:paraId="7954B5AD" w14:textId="77777777" w:rsidR="00F05DC7" w:rsidRPr="00791D71" w:rsidRDefault="00F05DC7" w:rsidP="00A3786D">
                  <w:pPr>
                    <w:ind w:right="6"/>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center"/>
                </w:tcPr>
                <w:p w14:paraId="7954B5AE" w14:textId="77777777" w:rsidR="00F05DC7" w:rsidRPr="00791D71" w:rsidRDefault="00F05DC7" w:rsidP="00A3786D">
                  <w:pPr>
                    <w:ind w:right="6"/>
                    <w:jc w:val="right"/>
                    <w:rPr>
                      <w:rFonts w:asciiTheme="minorHAnsi" w:hAnsiTheme="minorHAnsi" w:cstheme="minorHAnsi"/>
                      <w:color w:val="000000"/>
                      <w:sz w:val="18"/>
                      <w:szCs w:val="18"/>
                    </w:rPr>
                  </w:pPr>
                </w:p>
              </w:tc>
              <w:tc>
                <w:tcPr>
                  <w:tcW w:w="410" w:type="pct"/>
                  <w:gridSpan w:val="2"/>
                  <w:tcBorders>
                    <w:top w:val="nil"/>
                    <w:left w:val="nil"/>
                    <w:bottom w:val="nil"/>
                    <w:right w:val="nil"/>
                  </w:tcBorders>
                  <w:shd w:val="clear" w:color="auto" w:fill="auto"/>
                  <w:tcMar>
                    <w:left w:w="0" w:type="dxa"/>
                    <w:right w:w="0" w:type="dxa"/>
                  </w:tcMar>
                  <w:vAlign w:val="center"/>
                </w:tcPr>
                <w:p w14:paraId="7954B5AF" w14:textId="77777777" w:rsidR="00F05DC7" w:rsidRPr="00791D71" w:rsidRDefault="00F05DC7" w:rsidP="00A3786D">
                  <w:pPr>
                    <w:ind w:right="6"/>
                    <w:jc w:val="right"/>
                    <w:rPr>
                      <w:rFonts w:asciiTheme="minorHAnsi" w:hAnsiTheme="minorHAnsi" w:cstheme="minorHAnsi"/>
                      <w:color w:val="000000"/>
                      <w:sz w:val="18"/>
                      <w:szCs w:val="18"/>
                    </w:rPr>
                  </w:pPr>
                </w:p>
              </w:tc>
              <w:tc>
                <w:tcPr>
                  <w:tcW w:w="477" w:type="pct"/>
                  <w:tcBorders>
                    <w:top w:val="nil"/>
                    <w:left w:val="nil"/>
                    <w:bottom w:val="nil"/>
                    <w:right w:val="nil"/>
                  </w:tcBorders>
                  <w:shd w:val="clear" w:color="auto" w:fill="auto"/>
                  <w:tcMar>
                    <w:left w:w="0" w:type="dxa"/>
                    <w:right w:w="0" w:type="dxa"/>
                  </w:tcMar>
                  <w:vAlign w:val="center"/>
                </w:tcPr>
                <w:p w14:paraId="7954B5B0" w14:textId="77777777" w:rsidR="00F05DC7" w:rsidRPr="00791D71" w:rsidRDefault="00F05DC7" w:rsidP="00A3786D">
                  <w:pPr>
                    <w:ind w:right="6"/>
                    <w:jc w:val="right"/>
                    <w:rPr>
                      <w:rFonts w:asciiTheme="minorHAnsi" w:hAnsiTheme="minorHAnsi" w:cstheme="minorHAnsi"/>
                      <w:color w:val="000000"/>
                      <w:sz w:val="18"/>
                      <w:szCs w:val="18"/>
                    </w:rPr>
                  </w:pPr>
                </w:p>
              </w:tc>
              <w:tc>
                <w:tcPr>
                  <w:tcW w:w="407" w:type="pct"/>
                  <w:tcBorders>
                    <w:top w:val="nil"/>
                    <w:left w:val="nil"/>
                    <w:bottom w:val="nil"/>
                    <w:right w:val="nil"/>
                  </w:tcBorders>
                  <w:shd w:val="clear" w:color="auto" w:fill="auto"/>
                  <w:tcMar>
                    <w:left w:w="0" w:type="dxa"/>
                    <w:right w:w="0" w:type="dxa"/>
                  </w:tcMar>
                  <w:vAlign w:val="center"/>
                </w:tcPr>
                <w:p w14:paraId="7954B5B1" w14:textId="77777777" w:rsidR="00F05DC7" w:rsidRPr="00791D71" w:rsidRDefault="00F05DC7" w:rsidP="00A3786D">
                  <w:pPr>
                    <w:ind w:right="6"/>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center"/>
                </w:tcPr>
                <w:p w14:paraId="7954B5B2" w14:textId="77777777" w:rsidR="00F05DC7" w:rsidRPr="00791D71" w:rsidRDefault="00F05DC7" w:rsidP="00A3786D">
                  <w:pPr>
                    <w:ind w:right="6"/>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center"/>
                </w:tcPr>
                <w:p w14:paraId="7954B5B3" w14:textId="77777777" w:rsidR="00F05DC7" w:rsidRPr="00791D71" w:rsidRDefault="00F05DC7" w:rsidP="00A3786D">
                  <w:pPr>
                    <w:ind w:right="6"/>
                    <w:jc w:val="right"/>
                    <w:rPr>
                      <w:rFonts w:asciiTheme="minorHAnsi" w:hAnsiTheme="minorHAnsi" w:cstheme="minorHAnsi"/>
                      <w:color w:val="000000"/>
                      <w:sz w:val="18"/>
                      <w:szCs w:val="18"/>
                    </w:rPr>
                  </w:pPr>
                </w:p>
              </w:tc>
              <w:tc>
                <w:tcPr>
                  <w:tcW w:w="410" w:type="pct"/>
                  <w:tcBorders>
                    <w:top w:val="nil"/>
                    <w:left w:val="nil"/>
                    <w:bottom w:val="nil"/>
                    <w:right w:val="nil"/>
                  </w:tcBorders>
                  <w:shd w:val="clear" w:color="auto" w:fill="auto"/>
                  <w:tcMar>
                    <w:left w:w="0" w:type="dxa"/>
                    <w:right w:w="0" w:type="dxa"/>
                  </w:tcMar>
                  <w:vAlign w:val="center"/>
                </w:tcPr>
                <w:p w14:paraId="7954B5B4" w14:textId="77777777" w:rsidR="00F05DC7" w:rsidRPr="00791D71" w:rsidRDefault="00F05DC7" w:rsidP="00A3786D">
                  <w:pPr>
                    <w:ind w:right="6"/>
                    <w:jc w:val="right"/>
                    <w:rPr>
                      <w:rFonts w:asciiTheme="minorHAnsi" w:hAnsiTheme="minorHAnsi" w:cstheme="minorHAnsi"/>
                      <w:color w:val="000000"/>
                      <w:sz w:val="18"/>
                      <w:szCs w:val="18"/>
                    </w:rPr>
                  </w:pPr>
                </w:p>
              </w:tc>
            </w:tr>
            <w:tr w:rsidR="00F05DC7" w14:paraId="7954B5B8" w14:textId="77777777" w:rsidTr="00A3786D">
              <w:trPr>
                <w:trHeight w:val="283"/>
              </w:trPr>
              <w:tc>
                <w:tcPr>
                  <w:tcW w:w="1650" w:type="pct"/>
                  <w:tcBorders>
                    <w:top w:val="nil"/>
                    <w:left w:val="nil"/>
                    <w:bottom w:val="nil"/>
                    <w:right w:val="nil"/>
                  </w:tcBorders>
                  <w:shd w:val="clear" w:color="auto" w:fill="auto"/>
                  <w:tcMar>
                    <w:left w:w="0" w:type="dxa"/>
                    <w:right w:w="0" w:type="dxa"/>
                  </w:tcMar>
                  <w:vAlign w:val="center"/>
                </w:tcPr>
                <w:p w14:paraId="7954B5B6" w14:textId="77777777" w:rsidR="00F05DC7" w:rsidRDefault="00F05DC7" w:rsidP="00A3786D">
                  <w:pPr>
                    <w:pStyle w:val="TableBodyText"/>
                    <w:jc w:val="left"/>
                    <w:rPr>
                      <w:rFonts w:asciiTheme="minorHAnsi" w:hAnsiTheme="minorHAnsi" w:cstheme="minorHAnsi"/>
                    </w:rPr>
                  </w:pPr>
                  <w:r>
                    <w:t>Current approach</w:t>
                  </w:r>
                </w:p>
              </w:tc>
              <w:tc>
                <w:tcPr>
                  <w:tcW w:w="3350" w:type="pct"/>
                  <w:gridSpan w:val="9"/>
                  <w:tcBorders>
                    <w:top w:val="nil"/>
                    <w:left w:val="nil"/>
                    <w:bottom w:val="nil"/>
                    <w:right w:val="nil"/>
                  </w:tcBorders>
                  <w:shd w:val="clear" w:color="auto" w:fill="auto"/>
                  <w:tcMar>
                    <w:left w:w="0" w:type="dxa"/>
                    <w:right w:w="0" w:type="dxa"/>
                  </w:tcMar>
                  <w:vAlign w:val="center"/>
                </w:tcPr>
                <w:p w14:paraId="7954B5B7" w14:textId="77777777" w:rsidR="00F05DC7" w:rsidRDefault="00F05DC7" w:rsidP="00A3786D">
                  <w:pPr>
                    <w:pStyle w:val="TableBodyText"/>
                    <w:rPr>
                      <w:rFonts w:asciiTheme="minorHAnsi" w:hAnsiTheme="minorHAnsi" w:cstheme="minorHAnsi"/>
                    </w:rPr>
                  </w:pPr>
                  <w:r>
                    <w:t>$6 840 million</w:t>
                  </w:r>
                </w:p>
              </w:tc>
            </w:tr>
            <w:tr w:rsidR="00F05DC7" w14:paraId="7954B5BB" w14:textId="77777777" w:rsidTr="00A3786D">
              <w:trPr>
                <w:trHeight w:val="283"/>
              </w:trPr>
              <w:tc>
                <w:tcPr>
                  <w:tcW w:w="2878" w:type="pct"/>
                  <w:gridSpan w:val="4"/>
                  <w:tcBorders>
                    <w:top w:val="nil"/>
                    <w:left w:val="nil"/>
                    <w:bottom w:val="single" w:sz="8" w:space="0" w:color="BFBFBF"/>
                    <w:right w:val="nil"/>
                  </w:tcBorders>
                  <w:shd w:val="clear" w:color="auto" w:fill="auto"/>
                  <w:tcMar>
                    <w:left w:w="0" w:type="dxa"/>
                    <w:right w:w="0" w:type="dxa"/>
                  </w:tcMar>
                  <w:vAlign w:val="center"/>
                </w:tcPr>
                <w:p w14:paraId="7954B5B9" w14:textId="77777777" w:rsidR="00F05DC7" w:rsidRDefault="00F05DC7" w:rsidP="00A3786D">
                  <w:pPr>
                    <w:pStyle w:val="TableBodyText"/>
                    <w:jc w:val="left"/>
                    <w:rPr>
                      <w:rFonts w:asciiTheme="minorHAnsi" w:hAnsiTheme="minorHAnsi" w:cstheme="minorHAnsi"/>
                    </w:rPr>
                  </w:pPr>
                  <w:r>
                    <w:rPr>
                      <w:rFonts w:asciiTheme="minorHAnsi" w:hAnsiTheme="minorHAnsi" w:cstheme="minorHAnsi"/>
                    </w:rPr>
                    <w:t>Small States only</w:t>
                  </w:r>
                </w:p>
              </w:tc>
              <w:tc>
                <w:tcPr>
                  <w:tcW w:w="2122" w:type="pct"/>
                  <w:gridSpan w:val="6"/>
                  <w:tcBorders>
                    <w:top w:val="nil"/>
                    <w:left w:val="nil"/>
                    <w:bottom w:val="single" w:sz="8" w:space="0" w:color="BFBFBF"/>
                    <w:right w:val="nil"/>
                  </w:tcBorders>
                  <w:shd w:val="clear" w:color="auto" w:fill="auto"/>
                  <w:tcMar>
                    <w:left w:w="0" w:type="dxa"/>
                    <w:right w:w="0" w:type="dxa"/>
                  </w:tcMar>
                  <w:vAlign w:val="center"/>
                </w:tcPr>
                <w:p w14:paraId="7954B5BA" w14:textId="77777777" w:rsidR="00F05DC7" w:rsidRPr="00B73D13" w:rsidRDefault="00F05DC7" w:rsidP="00A3786D">
                  <w:pPr>
                    <w:pStyle w:val="TableBodyText"/>
                  </w:pPr>
                  <w:r>
                    <w:t>$5 556 million</w:t>
                  </w:r>
                </w:p>
              </w:tc>
            </w:tr>
          </w:tbl>
          <w:p w14:paraId="7954B5BC" w14:textId="77777777" w:rsidR="00F05DC7" w:rsidRDefault="00F05DC7" w:rsidP="00A3786D">
            <w:pPr>
              <w:pStyle w:val="Box"/>
            </w:pPr>
          </w:p>
        </w:tc>
      </w:tr>
      <w:tr w:rsidR="00F05DC7" w14:paraId="7954B5BF" w14:textId="77777777" w:rsidTr="00A3786D">
        <w:tc>
          <w:tcPr>
            <w:tcW w:w="5000" w:type="pct"/>
            <w:tcBorders>
              <w:top w:val="nil"/>
              <w:left w:val="nil"/>
              <w:bottom w:val="nil"/>
              <w:right w:val="nil"/>
            </w:tcBorders>
            <w:shd w:val="clear" w:color="auto" w:fill="auto"/>
          </w:tcPr>
          <w:p w14:paraId="7954B5BE"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5C1" w14:textId="77777777" w:rsidTr="00A3786D">
        <w:tc>
          <w:tcPr>
            <w:tcW w:w="5000" w:type="pct"/>
            <w:tcBorders>
              <w:top w:val="nil"/>
              <w:left w:val="nil"/>
              <w:bottom w:val="single" w:sz="6" w:space="0" w:color="78A22F"/>
              <w:right w:val="nil"/>
            </w:tcBorders>
            <w:shd w:val="clear" w:color="auto" w:fill="auto"/>
          </w:tcPr>
          <w:p w14:paraId="7954B5C0" w14:textId="77777777" w:rsidR="00F05DC7" w:rsidRDefault="00F05DC7" w:rsidP="00A3786D">
            <w:pPr>
              <w:pStyle w:val="Box"/>
              <w:spacing w:before="0" w:line="120" w:lineRule="exact"/>
            </w:pPr>
          </w:p>
        </w:tc>
      </w:tr>
    </w:tbl>
    <w:p w14:paraId="7954B5C2" w14:textId="77777777" w:rsidR="00F05DC7" w:rsidRDefault="00F05DC7" w:rsidP="00A3786D">
      <w:pPr>
        <w:pStyle w:val="BodyText"/>
      </w:pPr>
    </w:p>
    <w:p w14:paraId="7954B5C3" w14:textId="77777777" w:rsidR="00F05DC7" w:rsidRDefault="00F05DC7" w:rsidP="00A3786D">
      <w:pPr>
        <w:pStyle w:val="Heading3"/>
      </w:pPr>
      <w:r>
        <w:lastRenderedPageBreak/>
        <w:t>Relativity floors</w:t>
      </w:r>
    </w:p>
    <w:p w14:paraId="7954B5C4" w14:textId="77777777" w:rsidR="00F05DC7" w:rsidRDefault="00F05DC7" w:rsidP="00A3786D">
      <w:pPr>
        <w:pStyle w:val="BodyText"/>
      </w:pPr>
      <w:r>
        <w:t>Relativity floors set a minimum value below which relativities cannot fall. This example applies a relativity floor of 0.70 or 0.50. The only State currently below 0.70 is Western Australia, and as such, introducing a relativity floor would require a transfer from all other States to Western Australia. For 2018</w:t>
      </w:r>
      <w:r>
        <w:noBreakHyphen/>
        <w:t>19, the size of this transfer would be about $1.6</w:t>
      </w:r>
      <w:r w:rsidRPr="000337D9">
        <w:t> billion</w:t>
      </w:r>
      <w:r>
        <w:t xml:space="preserve"> (for a floor of 0.70). These funds are redistributed from the other States on an equal per capita basis, leaving all States but Western Australia worse off (table C.7). </w:t>
      </w:r>
    </w:p>
    <w:p w14:paraId="7954B5C5"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5C8" w14:textId="77777777" w:rsidTr="001113B1">
        <w:trPr>
          <w:tblHeader/>
        </w:trPr>
        <w:tc>
          <w:tcPr>
            <w:tcW w:w="5000" w:type="pct"/>
            <w:tcBorders>
              <w:top w:val="single" w:sz="6" w:space="0" w:color="78A22F"/>
              <w:left w:val="nil"/>
              <w:bottom w:val="nil"/>
              <w:right w:val="nil"/>
            </w:tcBorders>
            <w:shd w:val="clear" w:color="auto" w:fill="auto"/>
          </w:tcPr>
          <w:p w14:paraId="7954B5C6" w14:textId="39B392B0" w:rsidR="00F05DC7" w:rsidRDefault="00F05DC7" w:rsidP="00A3786D">
            <w:pPr>
              <w:pStyle w:val="TableTitle"/>
            </w:pPr>
            <w:r>
              <w:rPr>
                <w:b w:val="0"/>
              </w:rPr>
              <w:t>Table C.7</w:t>
            </w:r>
            <w:r>
              <w:tab/>
              <w:t>GST effects of a relativity floor</w:t>
            </w:r>
          </w:p>
          <w:p w14:paraId="7954B5C7" w14:textId="77777777" w:rsidR="00F05DC7" w:rsidRPr="00784A05" w:rsidRDefault="00F05DC7" w:rsidP="00A3786D">
            <w:pPr>
              <w:pStyle w:val="Subtitle"/>
            </w:pPr>
            <w:r>
              <w:t>2018</w:t>
            </w:r>
            <w:r>
              <w:noBreakHyphen/>
              <w:t>19 GST payments and relativities</w:t>
            </w:r>
          </w:p>
        </w:tc>
      </w:tr>
      <w:tr w:rsidR="00F05DC7" w14:paraId="7954B649"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700"/>
              <w:gridCol w:w="846"/>
              <w:gridCol w:w="709"/>
              <w:gridCol w:w="709"/>
              <w:gridCol w:w="711"/>
              <w:gridCol w:w="709"/>
              <w:gridCol w:w="709"/>
              <w:gridCol w:w="709"/>
              <w:gridCol w:w="703"/>
            </w:tblGrid>
            <w:tr w:rsidR="00F05DC7" w14:paraId="7954B5D2" w14:textId="77777777" w:rsidTr="001113B1">
              <w:trPr>
                <w:trHeight w:val="288"/>
                <w:tblHeader/>
              </w:trPr>
              <w:tc>
                <w:tcPr>
                  <w:tcW w:w="158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C9" w14:textId="77777777" w:rsidR="00F05DC7" w:rsidRDefault="00F05DC7" w:rsidP="00A3786D">
                  <w:pPr>
                    <w:pStyle w:val="TableColumnHeading"/>
                  </w:pPr>
                  <w:r>
                    <w:t> </w:t>
                  </w:r>
                </w:p>
              </w:tc>
              <w:tc>
                <w:tcPr>
                  <w:tcW w:w="49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CA" w14:textId="77777777" w:rsidR="00F05DC7" w:rsidRPr="0024735E" w:rsidRDefault="00F05DC7" w:rsidP="00A3786D">
                  <w:pPr>
                    <w:pStyle w:val="TableColumnHeading"/>
                    <w:ind w:right="57"/>
                  </w:pPr>
                  <w:r w:rsidRPr="0024735E">
                    <w:t>NSW</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CB" w14:textId="77777777" w:rsidR="00F05DC7" w:rsidRPr="009E0BA4" w:rsidRDefault="00F05DC7" w:rsidP="00A3786D">
                  <w:pPr>
                    <w:pStyle w:val="TableColumnHeading"/>
                    <w:ind w:right="57"/>
                  </w:pPr>
                  <w:r w:rsidRPr="009E0BA4">
                    <w:t>Vic</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CC" w14:textId="77777777" w:rsidR="00F05DC7" w:rsidRPr="000F3B6C" w:rsidRDefault="00F05DC7" w:rsidP="00A3786D">
                  <w:pPr>
                    <w:pStyle w:val="TableColumnHeading"/>
                    <w:ind w:right="57"/>
                  </w:pPr>
                  <w:r w:rsidRPr="000F3B6C">
                    <w:t>Qld</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CD" w14:textId="77777777" w:rsidR="00F05DC7" w:rsidRPr="000F3B6C" w:rsidRDefault="00F05DC7" w:rsidP="00A3786D">
                  <w:pPr>
                    <w:pStyle w:val="TableColumnHeading"/>
                    <w:ind w:right="57"/>
                  </w:pPr>
                  <w:r w:rsidRPr="000F3B6C">
                    <w:t>WA</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CE" w14:textId="77777777" w:rsidR="00F05DC7" w:rsidRPr="000F3B6C" w:rsidRDefault="00F05DC7" w:rsidP="00A3786D">
                  <w:pPr>
                    <w:pStyle w:val="TableColumnHeading"/>
                    <w:ind w:right="57"/>
                  </w:pPr>
                  <w:r w:rsidRPr="000F3B6C">
                    <w:t>SA</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CF" w14:textId="77777777" w:rsidR="00F05DC7" w:rsidRPr="000F3B6C" w:rsidRDefault="00F05DC7" w:rsidP="00A3786D">
                  <w:pPr>
                    <w:pStyle w:val="TableColumnHeading"/>
                    <w:ind w:right="57"/>
                  </w:pPr>
                  <w:r w:rsidRPr="000F3B6C">
                    <w:t>Tas</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D0" w14:textId="77777777" w:rsidR="00F05DC7" w:rsidRPr="000F3B6C" w:rsidRDefault="00F05DC7" w:rsidP="00A3786D">
                  <w:pPr>
                    <w:pStyle w:val="TableColumnHeading"/>
                    <w:ind w:right="57"/>
                  </w:pPr>
                  <w:r w:rsidRPr="000F3B6C">
                    <w:t>ACT</w:t>
                  </w:r>
                </w:p>
              </w:tc>
              <w:tc>
                <w:tcPr>
                  <w:tcW w:w="41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5D1" w14:textId="77777777" w:rsidR="00F05DC7" w:rsidRPr="000F3B6C" w:rsidRDefault="00F05DC7" w:rsidP="00A3786D">
                  <w:pPr>
                    <w:pStyle w:val="TableColumnHeading"/>
                    <w:ind w:right="57"/>
                  </w:pPr>
                  <w:r w:rsidRPr="000F3B6C">
                    <w:t>NT</w:t>
                  </w:r>
                </w:p>
              </w:tc>
            </w:tr>
            <w:tr w:rsidR="00F05DC7" w14:paraId="7954B5DC"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B5D3" w14:textId="77777777" w:rsidR="00F05DC7" w:rsidRPr="00791D71" w:rsidRDefault="00F05DC7" w:rsidP="00A3786D">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497" w:type="pct"/>
                  <w:tcBorders>
                    <w:top w:val="nil"/>
                    <w:left w:val="nil"/>
                    <w:bottom w:val="nil"/>
                    <w:right w:val="nil"/>
                  </w:tcBorders>
                  <w:shd w:val="clear" w:color="auto" w:fill="auto"/>
                  <w:tcMar>
                    <w:left w:w="0" w:type="dxa"/>
                    <w:right w:w="0" w:type="dxa"/>
                  </w:tcMar>
                  <w:vAlign w:val="center"/>
                  <w:hideMark/>
                </w:tcPr>
                <w:p w14:paraId="7954B5D4" w14:textId="77777777" w:rsidR="00F05DC7" w:rsidRPr="00791D71" w:rsidRDefault="00F05DC7" w:rsidP="00A3786D">
                  <w:pPr>
                    <w:spacing w:before="80"/>
                    <w:ind w:right="57"/>
                    <w:rPr>
                      <w:rFonts w:asciiTheme="minorHAnsi" w:hAnsiTheme="minorHAnsi" w:cstheme="minorHAnsi"/>
                      <w:b/>
                      <w:bCs/>
                      <w:color w:val="000000"/>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B5D5" w14:textId="77777777" w:rsidR="00F05DC7" w:rsidRPr="00791D71" w:rsidRDefault="00F05DC7" w:rsidP="00A3786D">
                  <w:pPr>
                    <w:spacing w:before="80"/>
                    <w:ind w:right="57"/>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B5D6" w14:textId="77777777" w:rsidR="00F05DC7" w:rsidRPr="00791D71" w:rsidRDefault="00F05DC7" w:rsidP="00A3786D">
                  <w:pPr>
                    <w:spacing w:before="80"/>
                    <w:ind w:right="57"/>
                    <w:rPr>
                      <w:rFonts w:asciiTheme="minorHAnsi" w:hAnsiTheme="minorHAnsi" w:cstheme="minorHAnsi"/>
                      <w:sz w:val="18"/>
                      <w:szCs w:val="18"/>
                    </w:rPr>
                  </w:pPr>
                </w:p>
              </w:tc>
              <w:tc>
                <w:tcPr>
                  <w:tcW w:w="418" w:type="pct"/>
                  <w:tcBorders>
                    <w:top w:val="nil"/>
                    <w:left w:val="nil"/>
                    <w:bottom w:val="nil"/>
                    <w:right w:val="nil"/>
                  </w:tcBorders>
                  <w:shd w:val="clear" w:color="auto" w:fill="auto"/>
                  <w:tcMar>
                    <w:left w:w="0" w:type="dxa"/>
                    <w:right w:w="0" w:type="dxa"/>
                  </w:tcMar>
                  <w:vAlign w:val="center"/>
                  <w:hideMark/>
                </w:tcPr>
                <w:p w14:paraId="7954B5D7" w14:textId="77777777" w:rsidR="00F05DC7" w:rsidRPr="00791D71" w:rsidRDefault="00F05DC7" w:rsidP="00A3786D">
                  <w:pPr>
                    <w:spacing w:before="80"/>
                    <w:ind w:right="57"/>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B5D8" w14:textId="77777777" w:rsidR="00F05DC7" w:rsidRPr="00791D71" w:rsidRDefault="00F05DC7" w:rsidP="00A3786D">
                  <w:pPr>
                    <w:spacing w:before="80"/>
                    <w:ind w:right="57"/>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B5D9" w14:textId="77777777" w:rsidR="00F05DC7" w:rsidRPr="00791D71" w:rsidRDefault="00F05DC7" w:rsidP="00A3786D">
                  <w:pPr>
                    <w:spacing w:before="80"/>
                    <w:ind w:right="57"/>
                    <w:rPr>
                      <w:rFonts w:asciiTheme="minorHAnsi" w:hAnsiTheme="minorHAnsi" w:cstheme="minorHAnsi"/>
                      <w:sz w:val="18"/>
                      <w:szCs w:val="18"/>
                    </w:rPr>
                  </w:pPr>
                </w:p>
              </w:tc>
              <w:tc>
                <w:tcPr>
                  <w:tcW w:w="417" w:type="pct"/>
                  <w:tcBorders>
                    <w:top w:val="nil"/>
                    <w:left w:val="nil"/>
                    <w:bottom w:val="nil"/>
                    <w:right w:val="nil"/>
                  </w:tcBorders>
                  <w:shd w:val="clear" w:color="auto" w:fill="auto"/>
                  <w:tcMar>
                    <w:left w:w="0" w:type="dxa"/>
                    <w:right w:w="0" w:type="dxa"/>
                  </w:tcMar>
                  <w:vAlign w:val="center"/>
                  <w:hideMark/>
                </w:tcPr>
                <w:p w14:paraId="7954B5DA" w14:textId="77777777" w:rsidR="00F05DC7" w:rsidRPr="00791D71" w:rsidRDefault="00F05DC7" w:rsidP="00A3786D">
                  <w:pPr>
                    <w:spacing w:before="80"/>
                    <w:ind w:right="57"/>
                    <w:rPr>
                      <w:rFonts w:asciiTheme="minorHAnsi" w:hAnsiTheme="minorHAnsi" w:cstheme="minorHAnsi"/>
                      <w:sz w:val="18"/>
                      <w:szCs w:val="18"/>
                    </w:rPr>
                  </w:pPr>
                </w:p>
              </w:tc>
              <w:tc>
                <w:tcPr>
                  <w:tcW w:w="413" w:type="pct"/>
                  <w:tcBorders>
                    <w:top w:val="nil"/>
                    <w:left w:val="nil"/>
                    <w:bottom w:val="nil"/>
                    <w:right w:val="nil"/>
                  </w:tcBorders>
                  <w:shd w:val="clear" w:color="auto" w:fill="auto"/>
                  <w:tcMar>
                    <w:left w:w="0" w:type="dxa"/>
                    <w:right w:w="0" w:type="dxa"/>
                  </w:tcMar>
                  <w:vAlign w:val="center"/>
                  <w:hideMark/>
                </w:tcPr>
                <w:p w14:paraId="7954B5DB" w14:textId="77777777" w:rsidR="00F05DC7" w:rsidRPr="00791D71" w:rsidRDefault="00F05DC7" w:rsidP="00A3786D">
                  <w:pPr>
                    <w:spacing w:before="80"/>
                    <w:ind w:right="57"/>
                    <w:rPr>
                      <w:rFonts w:asciiTheme="minorHAnsi" w:hAnsiTheme="minorHAnsi" w:cstheme="minorHAnsi"/>
                      <w:sz w:val="18"/>
                      <w:szCs w:val="18"/>
                    </w:rPr>
                  </w:pPr>
                </w:p>
              </w:tc>
            </w:tr>
            <w:tr w:rsidR="00F05DC7" w14:paraId="7954B5E6"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B5DD" w14:textId="77777777" w:rsidR="00F05DC7" w:rsidRPr="00791D71" w:rsidRDefault="00F05DC7" w:rsidP="00A3786D">
                  <w:pPr>
                    <w:pStyle w:val="TableBodyText"/>
                    <w:jc w:val="left"/>
                  </w:pPr>
                  <w:r w:rsidRPr="00791D71">
                    <w:t>Current approach</w:t>
                  </w:r>
                </w:p>
              </w:tc>
              <w:tc>
                <w:tcPr>
                  <w:tcW w:w="497" w:type="pct"/>
                  <w:tcBorders>
                    <w:top w:val="nil"/>
                    <w:left w:val="nil"/>
                    <w:bottom w:val="nil"/>
                    <w:right w:val="nil"/>
                  </w:tcBorders>
                  <w:shd w:val="clear" w:color="auto" w:fill="auto"/>
                  <w:tcMar>
                    <w:left w:w="0" w:type="dxa"/>
                    <w:right w:w="0" w:type="dxa"/>
                  </w:tcMar>
                  <w:vAlign w:val="center"/>
                  <w:hideMark/>
                </w:tcPr>
                <w:p w14:paraId="7954B5DE" w14:textId="77777777" w:rsidR="00F05DC7" w:rsidRPr="00791D71" w:rsidRDefault="00F05DC7" w:rsidP="00A3786D">
                  <w:pPr>
                    <w:pStyle w:val="TableBodyText"/>
                  </w:pPr>
                  <w:r w:rsidRPr="00791D71">
                    <w:t>0.8</w:t>
                  </w:r>
                  <w:r>
                    <w:t>6</w:t>
                  </w:r>
                </w:p>
              </w:tc>
              <w:tc>
                <w:tcPr>
                  <w:tcW w:w="417" w:type="pct"/>
                  <w:tcBorders>
                    <w:top w:val="nil"/>
                    <w:left w:val="nil"/>
                    <w:bottom w:val="nil"/>
                    <w:right w:val="nil"/>
                  </w:tcBorders>
                  <w:shd w:val="clear" w:color="auto" w:fill="auto"/>
                  <w:tcMar>
                    <w:left w:w="0" w:type="dxa"/>
                    <w:right w:w="0" w:type="dxa"/>
                  </w:tcMar>
                  <w:vAlign w:val="center"/>
                  <w:hideMark/>
                </w:tcPr>
                <w:p w14:paraId="7954B5DF" w14:textId="77777777" w:rsidR="00F05DC7" w:rsidRPr="00791D71" w:rsidRDefault="00F05DC7" w:rsidP="00A3786D">
                  <w:pPr>
                    <w:pStyle w:val="TableBodyText"/>
                  </w:pPr>
                  <w:r w:rsidRPr="00791D71">
                    <w:t>0.9</w:t>
                  </w:r>
                  <w:r>
                    <w:t>9</w:t>
                  </w:r>
                </w:p>
              </w:tc>
              <w:tc>
                <w:tcPr>
                  <w:tcW w:w="417" w:type="pct"/>
                  <w:tcBorders>
                    <w:top w:val="nil"/>
                    <w:left w:val="nil"/>
                    <w:bottom w:val="nil"/>
                    <w:right w:val="nil"/>
                  </w:tcBorders>
                  <w:shd w:val="clear" w:color="auto" w:fill="auto"/>
                  <w:tcMar>
                    <w:left w:w="0" w:type="dxa"/>
                    <w:right w:w="0" w:type="dxa"/>
                  </w:tcMar>
                  <w:vAlign w:val="center"/>
                  <w:hideMark/>
                </w:tcPr>
                <w:p w14:paraId="7954B5E0" w14:textId="77777777" w:rsidR="00F05DC7" w:rsidRPr="00791D71" w:rsidRDefault="00F05DC7" w:rsidP="00A3786D">
                  <w:pPr>
                    <w:pStyle w:val="TableBodyText"/>
                  </w:pPr>
                  <w:r w:rsidRPr="00791D71">
                    <w:t>1.1</w:t>
                  </w:r>
                  <w:r>
                    <w:t>0</w:t>
                  </w:r>
                </w:p>
              </w:tc>
              <w:tc>
                <w:tcPr>
                  <w:tcW w:w="418" w:type="pct"/>
                  <w:tcBorders>
                    <w:top w:val="nil"/>
                    <w:left w:val="nil"/>
                    <w:bottom w:val="nil"/>
                    <w:right w:val="nil"/>
                  </w:tcBorders>
                  <w:shd w:val="clear" w:color="auto" w:fill="auto"/>
                  <w:tcMar>
                    <w:left w:w="0" w:type="dxa"/>
                    <w:right w:w="0" w:type="dxa"/>
                  </w:tcMar>
                  <w:vAlign w:val="center"/>
                  <w:hideMark/>
                </w:tcPr>
                <w:p w14:paraId="7954B5E1" w14:textId="77777777" w:rsidR="00F05DC7" w:rsidRPr="00791D71" w:rsidRDefault="00F05DC7" w:rsidP="00A3786D">
                  <w:pPr>
                    <w:pStyle w:val="TableBodyText"/>
                  </w:pPr>
                  <w:r w:rsidRPr="00791D71">
                    <w:t>0.</w:t>
                  </w:r>
                  <w:r>
                    <w:t>47</w:t>
                  </w:r>
                </w:p>
              </w:tc>
              <w:tc>
                <w:tcPr>
                  <w:tcW w:w="417" w:type="pct"/>
                  <w:tcBorders>
                    <w:top w:val="nil"/>
                    <w:left w:val="nil"/>
                    <w:bottom w:val="nil"/>
                    <w:right w:val="nil"/>
                  </w:tcBorders>
                  <w:shd w:val="clear" w:color="auto" w:fill="auto"/>
                  <w:tcMar>
                    <w:left w:w="0" w:type="dxa"/>
                    <w:right w:w="0" w:type="dxa"/>
                  </w:tcMar>
                  <w:vAlign w:val="center"/>
                  <w:hideMark/>
                </w:tcPr>
                <w:p w14:paraId="7954B5E2" w14:textId="77777777" w:rsidR="00F05DC7" w:rsidRPr="00791D71" w:rsidRDefault="00F05DC7" w:rsidP="00A3786D">
                  <w:pPr>
                    <w:pStyle w:val="TableBodyText"/>
                  </w:pPr>
                  <w:r w:rsidRPr="00791D71">
                    <w:t>1.4</w:t>
                  </w:r>
                  <w:r>
                    <w:t>8</w:t>
                  </w:r>
                </w:p>
              </w:tc>
              <w:tc>
                <w:tcPr>
                  <w:tcW w:w="417" w:type="pct"/>
                  <w:tcBorders>
                    <w:top w:val="nil"/>
                    <w:left w:val="nil"/>
                    <w:bottom w:val="nil"/>
                    <w:right w:val="nil"/>
                  </w:tcBorders>
                  <w:shd w:val="clear" w:color="auto" w:fill="auto"/>
                  <w:tcMar>
                    <w:left w:w="0" w:type="dxa"/>
                    <w:right w:w="0" w:type="dxa"/>
                  </w:tcMar>
                  <w:vAlign w:val="center"/>
                  <w:hideMark/>
                </w:tcPr>
                <w:p w14:paraId="7954B5E3" w14:textId="77777777" w:rsidR="00F05DC7" w:rsidRPr="00791D71" w:rsidRDefault="00F05DC7" w:rsidP="00A3786D">
                  <w:pPr>
                    <w:pStyle w:val="TableBodyText"/>
                  </w:pPr>
                  <w:r w:rsidRPr="00791D71">
                    <w:t>1.</w:t>
                  </w:r>
                  <w:r>
                    <w:t>77</w:t>
                  </w:r>
                </w:p>
              </w:tc>
              <w:tc>
                <w:tcPr>
                  <w:tcW w:w="417" w:type="pct"/>
                  <w:tcBorders>
                    <w:top w:val="nil"/>
                    <w:left w:val="nil"/>
                    <w:bottom w:val="nil"/>
                    <w:right w:val="nil"/>
                  </w:tcBorders>
                  <w:shd w:val="clear" w:color="auto" w:fill="auto"/>
                  <w:tcMar>
                    <w:left w:w="0" w:type="dxa"/>
                    <w:right w:w="0" w:type="dxa"/>
                  </w:tcMar>
                  <w:vAlign w:val="center"/>
                  <w:hideMark/>
                </w:tcPr>
                <w:p w14:paraId="7954B5E4" w14:textId="77777777" w:rsidR="00F05DC7" w:rsidRPr="00791D71" w:rsidRDefault="00F05DC7" w:rsidP="00A3786D">
                  <w:pPr>
                    <w:pStyle w:val="TableBodyText"/>
                  </w:pPr>
                  <w:r w:rsidRPr="00791D71">
                    <w:t>1.1</w:t>
                  </w:r>
                  <w:r>
                    <w:t>8</w:t>
                  </w:r>
                </w:p>
              </w:tc>
              <w:tc>
                <w:tcPr>
                  <w:tcW w:w="413" w:type="pct"/>
                  <w:tcBorders>
                    <w:top w:val="nil"/>
                    <w:left w:val="nil"/>
                    <w:bottom w:val="nil"/>
                    <w:right w:val="nil"/>
                  </w:tcBorders>
                  <w:shd w:val="clear" w:color="auto" w:fill="auto"/>
                  <w:tcMar>
                    <w:left w:w="0" w:type="dxa"/>
                    <w:right w:w="0" w:type="dxa"/>
                  </w:tcMar>
                  <w:vAlign w:val="center"/>
                  <w:hideMark/>
                </w:tcPr>
                <w:p w14:paraId="7954B5E5" w14:textId="77777777" w:rsidR="00F05DC7" w:rsidRPr="00791D71" w:rsidRDefault="00F05DC7" w:rsidP="00A3786D">
                  <w:pPr>
                    <w:pStyle w:val="TableBodyText"/>
                  </w:pPr>
                  <w:r w:rsidRPr="00791D71">
                    <w:t>4.</w:t>
                  </w:r>
                  <w:r>
                    <w:t>26</w:t>
                  </w:r>
                </w:p>
              </w:tc>
            </w:tr>
            <w:tr w:rsidR="00F05DC7" w14:paraId="7954B5F0"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B5E7" w14:textId="77777777" w:rsidR="00F05DC7" w:rsidRPr="00791D71" w:rsidRDefault="00F05DC7" w:rsidP="00A3786D">
                  <w:pPr>
                    <w:pStyle w:val="TableBodyText"/>
                    <w:jc w:val="left"/>
                  </w:pPr>
                  <w:r w:rsidRPr="00791D71">
                    <w:t>0.50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B5E8" w14:textId="77777777" w:rsidR="00F05DC7" w:rsidRPr="00791D71" w:rsidRDefault="00F05DC7" w:rsidP="00A3786D">
                  <w:pPr>
                    <w:pStyle w:val="TableBodyText"/>
                  </w:pPr>
                  <w:r w:rsidRPr="00791D71">
                    <w:t>0.8</w:t>
                  </w:r>
                  <w:r>
                    <w:t>5</w:t>
                  </w:r>
                </w:p>
              </w:tc>
              <w:tc>
                <w:tcPr>
                  <w:tcW w:w="417" w:type="pct"/>
                  <w:tcBorders>
                    <w:top w:val="nil"/>
                    <w:left w:val="nil"/>
                    <w:bottom w:val="nil"/>
                    <w:right w:val="nil"/>
                  </w:tcBorders>
                  <w:shd w:val="clear" w:color="auto" w:fill="auto"/>
                  <w:tcMar>
                    <w:left w:w="0" w:type="dxa"/>
                    <w:right w:w="0" w:type="dxa"/>
                  </w:tcMar>
                  <w:vAlign w:val="center"/>
                  <w:hideMark/>
                </w:tcPr>
                <w:p w14:paraId="7954B5E9" w14:textId="77777777" w:rsidR="00F05DC7" w:rsidRPr="00791D71" w:rsidRDefault="00F05DC7" w:rsidP="00A3786D">
                  <w:pPr>
                    <w:pStyle w:val="TableBodyText"/>
                  </w:pPr>
                  <w:r w:rsidRPr="00791D71">
                    <w:t>0.9</w:t>
                  </w:r>
                  <w:r>
                    <w:t>9</w:t>
                  </w:r>
                </w:p>
              </w:tc>
              <w:tc>
                <w:tcPr>
                  <w:tcW w:w="417" w:type="pct"/>
                  <w:tcBorders>
                    <w:top w:val="nil"/>
                    <w:left w:val="nil"/>
                    <w:bottom w:val="nil"/>
                    <w:right w:val="nil"/>
                  </w:tcBorders>
                  <w:shd w:val="clear" w:color="auto" w:fill="auto"/>
                  <w:tcMar>
                    <w:left w:w="0" w:type="dxa"/>
                    <w:right w:w="0" w:type="dxa"/>
                  </w:tcMar>
                  <w:vAlign w:val="center"/>
                  <w:hideMark/>
                </w:tcPr>
                <w:p w14:paraId="7954B5EA" w14:textId="77777777" w:rsidR="00F05DC7" w:rsidRPr="00791D71" w:rsidRDefault="00F05DC7" w:rsidP="00A3786D">
                  <w:pPr>
                    <w:pStyle w:val="TableBodyText"/>
                  </w:pPr>
                  <w:r w:rsidRPr="00791D71">
                    <w:t>1.</w:t>
                  </w:r>
                  <w:r>
                    <w:t>09</w:t>
                  </w:r>
                </w:p>
              </w:tc>
              <w:tc>
                <w:tcPr>
                  <w:tcW w:w="418" w:type="pct"/>
                  <w:tcBorders>
                    <w:top w:val="nil"/>
                    <w:left w:val="nil"/>
                    <w:bottom w:val="nil"/>
                    <w:right w:val="nil"/>
                  </w:tcBorders>
                  <w:shd w:val="clear" w:color="auto" w:fill="auto"/>
                  <w:tcMar>
                    <w:left w:w="0" w:type="dxa"/>
                    <w:right w:w="0" w:type="dxa"/>
                  </w:tcMar>
                  <w:vAlign w:val="center"/>
                  <w:hideMark/>
                </w:tcPr>
                <w:p w14:paraId="7954B5EB" w14:textId="77777777" w:rsidR="00F05DC7" w:rsidRPr="00791D71" w:rsidRDefault="00F05DC7" w:rsidP="00A3786D">
                  <w:pPr>
                    <w:pStyle w:val="TableBodyText"/>
                  </w:pPr>
                  <w:r w:rsidRPr="00791D71">
                    <w:t>0.50</w:t>
                  </w:r>
                </w:p>
              </w:tc>
              <w:tc>
                <w:tcPr>
                  <w:tcW w:w="417" w:type="pct"/>
                  <w:tcBorders>
                    <w:top w:val="nil"/>
                    <w:left w:val="nil"/>
                    <w:bottom w:val="nil"/>
                    <w:right w:val="nil"/>
                  </w:tcBorders>
                  <w:shd w:val="clear" w:color="auto" w:fill="auto"/>
                  <w:tcMar>
                    <w:left w:w="0" w:type="dxa"/>
                    <w:right w:w="0" w:type="dxa"/>
                  </w:tcMar>
                  <w:vAlign w:val="center"/>
                  <w:hideMark/>
                </w:tcPr>
                <w:p w14:paraId="7954B5EC" w14:textId="77777777" w:rsidR="00F05DC7" w:rsidRPr="00791D71" w:rsidRDefault="00F05DC7" w:rsidP="00A3786D">
                  <w:pPr>
                    <w:pStyle w:val="TableBodyText"/>
                  </w:pPr>
                  <w:r w:rsidRPr="00791D71">
                    <w:t>1.4</w:t>
                  </w:r>
                  <w:r>
                    <w:t>8</w:t>
                  </w:r>
                </w:p>
              </w:tc>
              <w:tc>
                <w:tcPr>
                  <w:tcW w:w="417" w:type="pct"/>
                  <w:tcBorders>
                    <w:top w:val="nil"/>
                    <w:left w:val="nil"/>
                    <w:bottom w:val="nil"/>
                    <w:right w:val="nil"/>
                  </w:tcBorders>
                  <w:shd w:val="clear" w:color="auto" w:fill="auto"/>
                  <w:tcMar>
                    <w:left w:w="0" w:type="dxa"/>
                    <w:right w:w="0" w:type="dxa"/>
                  </w:tcMar>
                  <w:vAlign w:val="center"/>
                  <w:hideMark/>
                </w:tcPr>
                <w:p w14:paraId="7954B5ED" w14:textId="77777777" w:rsidR="00F05DC7" w:rsidRPr="00791D71" w:rsidRDefault="00F05DC7" w:rsidP="00A3786D">
                  <w:pPr>
                    <w:pStyle w:val="TableBodyText"/>
                  </w:pPr>
                  <w:r w:rsidRPr="00791D71">
                    <w:t>1.7</w:t>
                  </w:r>
                  <w:r>
                    <w:t>7</w:t>
                  </w:r>
                </w:p>
              </w:tc>
              <w:tc>
                <w:tcPr>
                  <w:tcW w:w="417" w:type="pct"/>
                  <w:tcBorders>
                    <w:top w:val="nil"/>
                    <w:left w:val="nil"/>
                    <w:bottom w:val="nil"/>
                    <w:right w:val="nil"/>
                  </w:tcBorders>
                  <w:shd w:val="clear" w:color="auto" w:fill="auto"/>
                  <w:tcMar>
                    <w:left w:w="0" w:type="dxa"/>
                    <w:right w:w="0" w:type="dxa"/>
                  </w:tcMar>
                  <w:vAlign w:val="center"/>
                  <w:hideMark/>
                </w:tcPr>
                <w:p w14:paraId="7954B5EE" w14:textId="77777777" w:rsidR="00F05DC7" w:rsidRPr="00791D71" w:rsidRDefault="00F05DC7" w:rsidP="00A3786D">
                  <w:pPr>
                    <w:pStyle w:val="TableBodyText"/>
                  </w:pPr>
                  <w:r w:rsidRPr="00791D71">
                    <w:t>1.18</w:t>
                  </w:r>
                </w:p>
              </w:tc>
              <w:tc>
                <w:tcPr>
                  <w:tcW w:w="413" w:type="pct"/>
                  <w:tcBorders>
                    <w:top w:val="nil"/>
                    <w:left w:val="nil"/>
                    <w:bottom w:val="nil"/>
                    <w:right w:val="nil"/>
                  </w:tcBorders>
                  <w:shd w:val="clear" w:color="auto" w:fill="auto"/>
                  <w:tcMar>
                    <w:left w:w="0" w:type="dxa"/>
                    <w:right w:w="0" w:type="dxa"/>
                  </w:tcMar>
                  <w:vAlign w:val="center"/>
                  <w:hideMark/>
                </w:tcPr>
                <w:p w14:paraId="7954B5EF" w14:textId="77777777" w:rsidR="00F05DC7" w:rsidRPr="00791D71" w:rsidRDefault="00F05DC7" w:rsidP="00A3786D">
                  <w:pPr>
                    <w:pStyle w:val="TableBodyText"/>
                  </w:pPr>
                  <w:r w:rsidRPr="00791D71">
                    <w:t>4.</w:t>
                  </w:r>
                  <w:r>
                    <w:t>2</w:t>
                  </w:r>
                  <w:r w:rsidRPr="00791D71">
                    <w:t>6</w:t>
                  </w:r>
                </w:p>
              </w:tc>
            </w:tr>
            <w:tr w:rsidR="00F05DC7" w14:paraId="7954B5FA"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B5F1" w14:textId="77777777" w:rsidR="00F05DC7" w:rsidRPr="00791D71" w:rsidRDefault="00F05DC7" w:rsidP="00A3786D">
                  <w:pPr>
                    <w:pStyle w:val="TableBodyText"/>
                    <w:jc w:val="left"/>
                  </w:pPr>
                  <w:r w:rsidRPr="00791D71">
                    <w:t>0.70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B5F2" w14:textId="77777777" w:rsidR="00F05DC7" w:rsidRPr="00791D71" w:rsidRDefault="00F05DC7" w:rsidP="00A3786D">
                  <w:pPr>
                    <w:pStyle w:val="TableBodyText"/>
                  </w:pPr>
                  <w:r w:rsidRPr="00791D71">
                    <w:t>0.8</w:t>
                  </w:r>
                  <w:r>
                    <w:t>3</w:t>
                  </w:r>
                </w:p>
              </w:tc>
              <w:tc>
                <w:tcPr>
                  <w:tcW w:w="417" w:type="pct"/>
                  <w:tcBorders>
                    <w:top w:val="nil"/>
                    <w:left w:val="nil"/>
                    <w:bottom w:val="nil"/>
                    <w:right w:val="nil"/>
                  </w:tcBorders>
                  <w:shd w:val="clear" w:color="auto" w:fill="auto"/>
                  <w:tcMar>
                    <w:left w:w="0" w:type="dxa"/>
                    <w:right w:w="0" w:type="dxa"/>
                  </w:tcMar>
                  <w:vAlign w:val="center"/>
                  <w:hideMark/>
                </w:tcPr>
                <w:p w14:paraId="7954B5F3" w14:textId="77777777" w:rsidR="00F05DC7" w:rsidRPr="00791D71" w:rsidRDefault="00F05DC7" w:rsidP="00A3786D">
                  <w:pPr>
                    <w:pStyle w:val="TableBodyText"/>
                  </w:pPr>
                  <w:r w:rsidRPr="00791D71">
                    <w:t>0.</w:t>
                  </w:r>
                  <w:r>
                    <w:t>96</w:t>
                  </w:r>
                </w:p>
              </w:tc>
              <w:tc>
                <w:tcPr>
                  <w:tcW w:w="417" w:type="pct"/>
                  <w:tcBorders>
                    <w:top w:val="nil"/>
                    <w:left w:val="nil"/>
                    <w:bottom w:val="nil"/>
                    <w:right w:val="nil"/>
                  </w:tcBorders>
                  <w:shd w:val="clear" w:color="auto" w:fill="auto"/>
                  <w:tcMar>
                    <w:left w:w="0" w:type="dxa"/>
                    <w:right w:w="0" w:type="dxa"/>
                  </w:tcMar>
                  <w:vAlign w:val="center"/>
                  <w:hideMark/>
                </w:tcPr>
                <w:p w14:paraId="7954B5F4" w14:textId="77777777" w:rsidR="00F05DC7" w:rsidRPr="00791D71" w:rsidRDefault="00F05DC7" w:rsidP="00A3786D">
                  <w:pPr>
                    <w:pStyle w:val="TableBodyText"/>
                  </w:pPr>
                  <w:r w:rsidRPr="00791D71">
                    <w:t>1.</w:t>
                  </w:r>
                  <w:r>
                    <w:t>07</w:t>
                  </w:r>
                </w:p>
              </w:tc>
              <w:tc>
                <w:tcPr>
                  <w:tcW w:w="418" w:type="pct"/>
                  <w:tcBorders>
                    <w:top w:val="nil"/>
                    <w:left w:val="nil"/>
                    <w:bottom w:val="nil"/>
                    <w:right w:val="nil"/>
                  </w:tcBorders>
                  <w:shd w:val="clear" w:color="auto" w:fill="auto"/>
                  <w:tcMar>
                    <w:left w:w="0" w:type="dxa"/>
                    <w:right w:w="0" w:type="dxa"/>
                  </w:tcMar>
                  <w:vAlign w:val="center"/>
                  <w:hideMark/>
                </w:tcPr>
                <w:p w14:paraId="7954B5F5" w14:textId="77777777" w:rsidR="00F05DC7" w:rsidRPr="00791D71" w:rsidRDefault="00F05DC7" w:rsidP="00A3786D">
                  <w:pPr>
                    <w:pStyle w:val="TableBodyText"/>
                  </w:pPr>
                  <w:r w:rsidRPr="00791D71">
                    <w:t>0.70</w:t>
                  </w:r>
                </w:p>
              </w:tc>
              <w:tc>
                <w:tcPr>
                  <w:tcW w:w="417" w:type="pct"/>
                  <w:tcBorders>
                    <w:top w:val="nil"/>
                    <w:left w:val="nil"/>
                    <w:bottom w:val="nil"/>
                    <w:right w:val="nil"/>
                  </w:tcBorders>
                  <w:shd w:val="clear" w:color="auto" w:fill="auto"/>
                  <w:tcMar>
                    <w:left w:w="0" w:type="dxa"/>
                    <w:right w:w="0" w:type="dxa"/>
                  </w:tcMar>
                  <w:vAlign w:val="center"/>
                  <w:hideMark/>
                </w:tcPr>
                <w:p w14:paraId="7954B5F6" w14:textId="77777777" w:rsidR="00F05DC7" w:rsidRPr="00791D71" w:rsidRDefault="00F05DC7" w:rsidP="00A3786D">
                  <w:pPr>
                    <w:pStyle w:val="TableBodyText"/>
                  </w:pPr>
                  <w:r w:rsidRPr="00791D71">
                    <w:t>1.4</w:t>
                  </w:r>
                  <w:r>
                    <w:t>5</w:t>
                  </w:r>
                </w:p>
              </w:tc>
              <w:tc>
                <w:tcPr>
                  <w:tcW w:w="417" w:type="pct"/>
                  <w:tcBorders>
                    <w:top w:val="nil"/>
                    <w:left w:val="nil"/>
                    <w:bottom w:val="nil"/>
                    <w:right w:val="nil"/>
                  </w:tcBorders>
                  <w:shd w:val="clear" w:color="auto" w:fill="auto"/>
                  <w:tcMar>
                    <w:left w:w="0" w:type="dxa"/>
                    <w:right w:w="0" w:type="dxa"/>
                  </w:tcMar>
                  <w:vAlign w:val="center"/>
                  <w:hideMark/>
                </w:tcPr>
                <w:p w14:paraId="7954B5F7" w14:textId="77777777" w:rsidR="00F05DC7" w:rsidRPr="00791D71" w:rsidRDefault="00F05DC7" w:rsidP="00A3786D">
                  <w:pPr>
                    <w:pStyle w:val="TableBodyText"/>
                  </w:pPr>
                  <w:r w:rsidRPr="00791D71">
                    <w:t>1.7</w:t>
                  </w:r>
                  <w:r>
                    <w:t>4</w:t>
                  </w:r>
                </w:p>
              </w:tc>
              <w:tc>
                <w:tcPr>
                  <w:tcW w:w="417" w:type="pct"/>
                  <w:tcBorders>
                    <w:top w:val="nil"/>
                    <w:left w:val="nil"/>
                    <w:bottom w:val="nil"/>
                    <w:right w:val="nil"/>
                  </w:tcBorders>
                  <w:shd w:val="clear" w:color="auto" w:fill="auto"/>
                  <w:tcMar>
                    <w:left w:w="0" w:type="dxa"/>
                    <w:right w:w="0" w:type="dxa"/>
                  </w:tcMar>
                  <w:vAlign w:val="center"/>
                  <w:hideMark/>
                </w:tcPr>
                <w:p w14:paraId="7954B5F8" w14:textId="77777777" w:rsidR="00F05DC7" w:rsidRPr="00791D71" w:rsidRDefault="00F05DC7" w:rsidP="00A3786D">
                  <w:pPr>
                    <w:pStyle w:val="TableBodyText"/>
                  </w:pPr>
                  <w:r w:rsidRPr="00791D71">
                    <w:t>1.1</w:t>
                  </w:r>
                  <w:r>
                    <w:t>6</w:t>
                  </w:r>
                </w:p>
              </w:tc>
              <w:tc>
                <w:tcPr>
                  <w:tcW w:w="413" w:type="pct"/>
                  <w:tcBorders>
                    <w:top w:val="nil"/>
                    <w:left w:val="nil"/>
                    <w:bottom w:val="nil"/>
                    <w:right w:val="nil"/>
                  </w:tcBorders>
                  <w:shd w:val="clear" w:color="auto" w:fill="auto"/>
                  <w:tcMar>
                    <w:left w:w="0" w:type="dxa"/>
                    <w:right w:w="0" w:type="dxa"/>
                  </w:tcMar>
                  <w:vAlign w:val="center"/>
                  <w:hideMark/>
                </w:tcPr>
                <w:p w14:paraId="7954B5F9" w14:textId="77777777" w:rsidR="00F05DC7" w:rsidRPr="00791D71" w:rsidRDefault="00F05DC7" w:rsidP="00A3786D">
                  <w:pPr>
                    <w:pStyle w:val="TableBodyText"/>
                  </w:pPr>
                  <w:r w:rsidRPr="00791D71">
                    <w:t>4.</w:t>
                  </w:r>
                  <w:r>
                    <w:t>24</w:t>
                  </w:r>
                </w:p>
              </w:tc>
            </w:tr>
            <w:tr w:rsidR="00F05DC7" w14:paraId="7954B5FC"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7954B5FB"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$m</w:t>
                  </w:r>
                  <w:r w:rsidRPr="00791D71">
                    <w:rPr>
                      <w:rFonts w:asciiTheme="minorHAnsi" w:hAnsiTheme="minorHAnsi" w:cstheme="minorHAnsi"/>
                      <w:b/>
                      <w:bCs/>
                      <w:color w:val="000000"/>
                      <w:sz w:val="18"/>
                      <w:szCs w:val="18"/>
                    </w:rPr>
                    <w:t>)</w:t>
                  </w:r>
                </w:p>
              </w:tc>
            </w:tr>
            <w:tr w:rsidR="00F05DC7" w14:paraId="7954B606"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B5FD" w14:textId="77777777" w:rsidR="00F05DC7" w:rsidRPr="00791D71" w:rsidRDefault="00F05DC7" w:rsidP="00A3786D">
                  <w:pPr>
                    <w:pStyle w:val="TableBodyText"/>
                    <w:jc w:val="left"/>
                  </w:pPr>
                  <w:r w:rsidRPr="00791D71">
                    <w:t>0.50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B5FE" w14:textId="77777777" w:rsidR="00F05DC7" w:rsidRPr="00791D71" w:rsidRDefault="00F05DC7" w:rsidP="00A3786D">
                  <w:pPr>
                    <w:pStyle w:val="TableBodyText"/>
                  </w:pPr>
                  <w:r>
                    <w:noBreakHyphen/>
                    <w:t>65</w:t>
                  </w:r>
                </w:p>
              </w:tc>
              <w:tc>
                <w:tcPr>
                  <w:tcW w:w="417" w:type="pct"/>
                  <w:tcBorders>
                    <w:top w:val="nil"/>
                    <w:left w:val="nil"/>
                    <w:bottom w:val="nil"/>
                    <w:right w:val="nil"/>
                  </w:tcBorders>
                  <w:shd w:val="clear" w:color="auto" w:fill="auto"/>
                  <w:tcMar>
                    <w:left w:w="0" w:type="dxa"/>
                    <w:right w:w="0" w:type="dxa"/>
                  </w:tcMar>
                  <w:vAlign w:val="center"/>
                  <w:hideMark/>
                </w:tcPr>
                <w:p w14:paraId="7954B5FF" w14:textId="77777777" w:rsidR="00F05DC7" w:rsidRPr="00791D71" w:rsidRDefault="00F05DC7" w:rsidP="00A3786D">
                  <w:pPr>
                    <w:pStyle w:val="TableBodyText"/>
                  </w:pPr>
                  <w:r>
                    <w:noBreakHyphen/>
                    <w:t>52</w:t>
                  </w:r>
                </w:p>
              </w:tc>
              <w:tc>
                <w:tcPr>
                  <w:tcW w:w="417" w:type="pct"/>
                  <w:tcBorders>
                    <w:top w:val="nil"/>
                    <w:left w:val="nil"/>
                    <w:bottom w:val="nil"/>
                    <w:right w:val="nil"/>
                  </w:tcBorders>
                  <w:shd w:val="clear" w:color="auto" w:fill="auto"/>
                  <w:tcMar>
                    <w:left w:w="0" w:type="dxa"/>
                    <w:right w:w="0" w:type="dxa"/>
                  </w:tcMar>
                  <w:vAlign w:val="center"/>
                  <w:hideMark/>
                </w:tcPr>
                <w:p w14:paraId="7954B600" w14:textId="77777777" w:rsidR="00F05DC7" w:rsidRPr="00791D71" w:rsidRDefault="00F05DC7" w:rsidP="00A3786D">
                  <w:pPr>
                    <w:pStyle w:val="TableBodyText"/>
                  </w:pPr>
                  <w:r>
                    <w:noBreakHyphen/>
                    <w:t>41</w:t>
                  </w:r>
                </w:p>
              </w:tc>
              <w:tc>
                <w:tcPr>
                  <w:tcW w:w="418" w:type="pct"/>
                  <w:tcBorders>
                    <w:top w:val="nil"/>
                    <w:left w:val="nil"/>
                    <w:bottom w:val="nil"/>
                    <w:right w:val="nil"/>
                  </w:tcBorders>
                  <w:shd w:val="clear" w:color="auto" w:fill="auto"/>
                  <w:tcMar>
                    <w:left w:w="0" w:type="dxa"/>
                    <w:right w:w="0" w:type="dxa"/>
                  </w:tcMar>
                  <w:vAlign w:val="center"/>
                  <w:hideMark/>
                </w:tcPr>
                <w:p w14:paraId="7954B601" w14:textId="77777777" w:rsidR="00F05DC7" w:rsidRPr="00791D71" w:rsidRDefault="00F05DC7" w:rsidP="00A3786D">
                  <w:pPr>
                    <w:pStyle w:val="TableBodyText"/>
                  </w:pPr>
                  <w:r>
                    <w:t>181</w:t>
                  </w:r>
                </w:p>
              </w:tc>
              <w:tc>
                <w:tcPr>
                  <w:tcW w:w="417" w:type="pct"/>
                  <w:tcBorders>
                    <w:top w:val="nil"/>
                    <w:left w:val="nil"/>
                    <w:bottom w:val="nil"/>
                    <w:right w:val="nil"/>
                  </w:tcBorders>
                  <w:shd w:val="clear" w:color="auto" w:fill="auto"/>
                  <w:tcMar>
                    <w:left w:w="0" w:type="dxa"/>
                    <w:right w:w="0" w:type="dxa"/>
                  </w:tcMar>
                  <w:vAlign w:val="center"/>
                  <w:hideMark/>
                </w:tcPr>
                <w:p w14:paraId="7954B602" w14:textId="77777777" w:rsidR="00F05DC7" w:rsidRPr="00791D71" w:rsidRDefault="00F05DC7" w:rsidP="00A3786D">
                  <w:pPr>
                    <w:pStyle w:val="TableBodyText"/>
                  </w:pPr>
                  <w:r>
                    <w:noBreakHyphen/>
                    <w:t>14</w:t>
                  </w:r>
                </w:p>
              </w:tc>
              <w:tc>
                <w:tcPr>
                  <w:tcW w:w="417" w:type="pct"/>
                  <w:tcBorders>
                    <w:top w:val="nil"/>
                    <w:left w:val="nil"/>
                    <w:bottom w:val="nil"/>
                    <w:right w:val="nil"/>
                  </w:tcBorders>
                  <w:shd w:val="clear" w:color="auto" w:fill="auto"/>
                  <w:tcMar>
                    <w:left w:w="0" w:type="dxa"/>
                    <w:right w:w="0" w:type="dxa"/>
                  </w:tcMar>
                  <w:vAlign w:val="center"/>
                  <w:hideMark/>
                </w:tcPr>
                <w:p w14:paraId="7954B603" w14:textId="77777777" w:rsidR="00F05DC7" w:rsidRPr="0035058B" w:rsidRDefault="00F05DC7" w:rsidP="00A3786D">
                  <w:pPr>
                    <w:pStyle w:val="TableBodyText"/>
                  </w:pPr>
                  <w:r>
                    <w:noBreakHyphen/>
                    <w:t>4</w:t>
                  </w:r>
                </w:p>
              </w:tc>
              <w:tc>
                <w:tcPr>
                  <w:tcW w:w="417" w:type="pct"/>
                  <w:tcBorders>
                    <w:top w:val="nil"/>
                    <w:left w:val="nil"/>
                    <w:bottom w:val="nil"/>
                    <w:right w:val="nil"/>
                  </w:tcBorders>
                  <w:shd w:val="clear" w:color="auto" w:fill="auto"/>
                  <w:tcMar>
                    <w:left w:w="0" w:type="dxa"/>
                    <w:right w:w="0" w:type="dxa"/>
                  </w:tcMar>
                  <w:vAlign w:val="center"/>
                  <w:hideMark/>
                </w:tcPr>
                <w:p w14:paraId="7954B604" w14:textId="77777777" w:rsidR="00F05DC7" w:rsidRPr="00791D71" w:rsidRDefault="00F05DC7" w:rsidP="00A3786D">
                  <w:pPr>
                    <w:pStyle w:val="TableBodyText"/>
                  </w:pPr>
                  <w:r>
                    <w:noBreakHyphen/>
                    <w:t>3</w:t>
                  </w:r>
                </w:p>
              </w:tc>
              <w:tc>
                <w:tcPr>
                  <w:tcW w:w="413" w:type="pct"/>
                  <w:tcBorders>
                    <w:top w:val="nil"/>
                    <w:left w:val="nil"/>
                    <w:bottom w:val="nil"/>
                    <w:right w:val="nil"/>
                  </w:tcBorders>
                  <w:shd w:val="clear" w:color="auto" w:fill="auto"/>
                  <w:tcMar>
                    <w:left w:w="0" w:type="dxa"/>
                    <w:right w:w="0" w:type="dxa"/>
                  </w:tcMar>
                  <w:vAlign w:val="center"/>
                  <w:hideMark/>
                </w:tcPr>
                <w:p w14:paraId="7954B605" w14:textId="77777777" w:rsidR="00F05DC7" w:rsidRPr="00791D71" w:rsidRDefault="00F05DC7" w:rsidP="00A3786D">
                  <w:pPr>
                    <w:pStyle w:val="TableBodyText"/>
                  </w:pPr>
                  <w:r>
                    <w:noBreakHyphen/>
                  </w:r>
                  <w:r w:rsidRPr="00791D71">
                    <w:t>2</w:t>
                  </w:r>
                </w:p>
              </w:tc>
            </w:tr>
            <w:tr w:rsidR="00F05DC7" w14:paraId="7954B610"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B607" w14:textId="77777777" w:rsidR="00F05DC7" w:rsidRPr="00791D71" w:rsidRDefault="00F05DC7" w:rsidP="00A3786D">
                  <w:pPr>
                    <w:pStyle w:val="TableBodyText"/>
                    <w:jc w:val="left"/>
                  </w:pPr>
                  <w:r w:rsidRPr="00791D71">
                    <w:t>0.70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B608" w14:textId="77777777" w:rsidR="00F05DC7" w:rsidRPr="00791D71" w:rsidRDefault="00F05DC7" w:rsidP="00A3786D">
                  <w:pPr>
                    <w:pStyle w:val="TableBodyText"/>
                  </w:pPr>
                  <w:r>
                    <w:noBreakHyphen/>
                    <w:t>556</w:t>
                  </w:r>
                </w:p>
              </w:tc>
              <w:tc>
                <w:tcPr>
                  <w:tcW w:w="417" w:type="pct"/>
                  <w:tcBorders>
                    <w:top w:val="nil"/>
                    <w:left w:val="nil"/>
                    <w:bottom w:val="nil"/>
                    <w:right w:val="nil"/>
                  </w:tcBorders>
                  <w:shd w:val="clear" w:color="auto" w:fill="auto"/>
                  <w:tcMar>
                    <w:left w:w="0" w:type="dxa"/>
                    <w:right w:w="0" w:type="dxa"/>
                  </w:tcMar>
                  <w:vAlign w:val="center"/>
                  <w:hideMark/>
                </w:tcPr>
                <w:p w14:paraId="7954B609" w14:textId="77777777" w:rsidR="00F05DC7" w:rsidRPr="00791D71" w:rsidRDefault="00F05DC7" w:rsidP="00A3786D">
                  <w:pPr>
                    <w:pStyle w:val="TableBodyText"/>
                  </w:pPr>
                  <w:r>
                    <w:noBreakHyphen/>
                    <w:t>450</w:t>
                  </w:r>
                </w:p>
              </w:tc>
              <w:tc>
                <w:tcPr>
                  <w:tcW w:w="417" w:type="pct"/>
                  <w:tcBorders>
                    <w:top w:val="nil"/>
                    <w:left w:val="nil"/>
                    <w:bottom w:val="nil"/>
                    <w:right w:val="nil"/>
                  </w:tcBorders>
                  <w:shd w:val="clear" w:color="auto" w:fill="auto"/>
                  <w:tcMar>
                    <w:left w:w="0" w:type="dxa"/>
                    <w:right w:w="0" w:type="dxa"/>
                  </w:tcMar>
                  <w:vAlign w:val="center"/>
                  <w:hideMark/>
                </w:tcPr>
                <w:p w14:paraId="7954B60A" w14:textId="77777777" w:rsidR="00F05DC7" w:rsidRPr="00791D71" w:rsidRDefault="00F05DC7" w:rsidP="00A3786D">
                  <w:pPr>
                    <w:pStyle w:val="TableBodyText"/>
                  </w:pPr>
                  <w:r>
                    <w:noBreakHyphen/>
                    <w:t>348</w:t>
                  </w:r>
                </w:p>
              </w:tc>
              <w:tc>
                <w:tcPr>
                  <w:tcW w:w="418" w:type="pct"/>
                  <w:tcBorders>
                    <w:top w:val="nil"/>
                    <w:left w:val="nil"/>
                    <w:bottom w:val="nil"/>
                    <w:right w:val="nil"/>
                  </w:tcBorders>
                  <w:shd w:val="clear" w:color="auto" w:fill="auto"/>
                  <w:tcMar>
                    <w:left w:w="0" w:type="dxa"/>
                    <w:right w:w="0" w:type="dxa"/>
                  </w:tcMar>
                  <w:vAlign w:val="center"/>
                  <w:hideMark/>
                </w:tcPr>
                <w:p w14:paraId="7954B60B" w14:textId="77777777" w:rsidR="00F05DC7" w:rsidRPr="00791D71" w:rsidRDefault="00F05DC7" w:rsidP="00A3786D">
                  <w:pPr>
                    <w:pStyle w:val="TableBodyText"/>
                  </w:pPr>
                  <w:r>
                    <w:t>1 556</w:t>
                  </w:r>
                </w:p>
              </w:tc>
              <w:tc>
                <w:tcPr>
                  <w:tcW w:w="417" w:type="pct"/>
                  <w:tcBorders>
                    <w:top w:val="nil"/>
                    <w:left w:val="nil"/>
                    <w:bottom w:val="nil"/>
                    <w:right w:val="nil"/>
                  </w:tcBorders>
                  <w:shd w:val="clear" w:color="auto" w:fill="auto"/>
                  <w:tcMar>
                    <w:left w:w="0" w:type="dxa"/>
                    <w:right w:w="0" w:type="dxa"/>
                  </w:tcMar>
                  <w:vAlign w:val="center"/>
                  <w:hideMark/>
                </w:tcPr>
                <w:p w14:paraId="7954B60C" w14:textId="77777777" w:rsidR="00F05DC7" w:rsidRPr="00791D71" w:rsidRDefault="00F05DC7" w:rsidP="00A3786D">
                  <w:pPr>
                    <w:pStyle w:val="TableBodyText"/>
                  </w:pPr>
                  <w:r>
                    <w:noBreakHyphen/>
                  </w:r>
                  <w:r w:rsidRPr="00791D71">
                    <w:t>1</w:t>
                  </w:r>
                  <w:r>
                    <w:t>20</w:t>
                  </w:r>
                </w:p>
              </w:tc>
              <w:tc>
                <w:tcPr>
                  <w:tcW w:w="417" w:type="pct"/>
                  <w:tcBorders>
                    <w:top w:val="nil"/>
                    <w:left w:val="nil"/>
                    <w:bottom w:val="nil"/>
                    <w:right w:val="nil"/>
                  </w:tcBorders>
                  <w:shd w:val="clear" w:color="auto" w:fill="auto"/>
                  <w:tcMar>
                    <w:left w:w="0" w:type="dxa"/>
                    <w:right w:w="0" w:type="dxa"/>
                  </w:tcMar>
                  <w:vAlign w:val="center"/>
                  <w:hideMark/>
                </w:tcPr>
                <w:p w14:paraId="7954B60D" w14:textId="77777777" w:rsidR="00F05DC7" w:rsidRPr="00791D71" w:rsidRDefault="00F05DC7" w:rsidP="00A3786D">
                  <w:pPr>
                    <w:pStyle w:val="TableBodyText"/>
                  </w:pPr>
                  <w:r>
                    <w:noBreakHyphen/>
                    <w:t>36</w:t>
                  </w:r>
                </w:p>
              </w:tc>
              <w:tc>
                <w:tcPr>
                  <w:tcW w:w="417" w:type="pct"/>
                  <w:tcBorders>
                    <w:top w:val="nil"/>
                    <w:left w:val="nil"/>
                    <w:bottom w:val="nil"/>
                    <w:right w:val="nil"/>
                  </w:tcBorders>
                  <w:shd w:val="clear" w:color="auto" w:fill="auto"/>
                  <w:tcMar>
                    <w:left w:w="0" w:type="dxa"/>
                    <w:right w:w="0" w:type="dxa"/>
                  </w:tcMar>
                  <w:vAlign w:val="center"/>
                  <w:hideMark/>
                </w:tcPr>
                <w:p w14:paraId="7954B60E" w14:textId="77777777" w:rsidR="00F05DC7" w:rsidRPr="00791D71" w:rsidRDefault="00F05DC7" w:rsidP="00A3786D">
                  <w:pPr>
                    <w:pStyle w:val="TableBodyText"/>
                  </w:pPr>
                  <w:r>
                    <w:noBreakHyphen/>
                    <w:t>29</w:t>
                  </w:r>
                </w:p>
              </w:tc>
              <w:tc>
                <w:tcPr>
                  <w:tcW w:w="413" w:type="pct"/>
                  <w:tcBorders>
                    <w:top w:val="nil"/>
                    <w:left w:val="nil"/>
                    <w:bottom w:val="nil"/>
                    <w:right w:val="nil"/>
                  </w:tcBorders>
                  <w:shd w:val="clear" w:color="auto" w:fill="auto"/>
                  <w:tcMar>
                    <w:left w:w="0" w:type="dxa"/>
                    <w:right w:w="0" w:type="dxa"/>
                  </w:tcMar>
                  <w:vAlign w:val="center"/>
                  <w:hideMark/>
                </w:tcPr>
                <w:p w14:paraId="7954B60F" w14:textId="77777777" w:rsidR="00F05DC7" w:rsidRPr="00791D71" w:rsidRDefault="00F05DC7" w:rsidP="00A3786D">
                  <w:pPr>
                    <w:pStyle w:val="TableBodyText"/>
                  </w:pPr>
                  <w:r>
                    <w:noBreakHyphen/>
                    <w:t>1</w:t>
                  </w:r>
                  <w:r w:rsidRPr="00791D71">
                    <w:t>7</w:t>
                  </w:r>
                </w:p>
              </w:tc>
            </w:tr>
            <w:tr w:rsidR="00F05DC7" w14:paraId="7954B612"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7954B611"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 xml:space="preserve">ayments </w:t>
                  </w:r>
                  <w:r>
                    <w:rPr>
                      <w:rFonts w:asciiTheme="minorHAnsi" w:hAnsiTheme="minorHAnsi" w:cstheme="minorHAnsi"/>
                      <w:b/>
                      <w:bCs/>
                      <w:color w:val="000000"/>
                      <w:sz w:val="18"/>
                      <w:szCs w:val="18"/>
                    </w:rPr>
                    <w:t>($pc)</w:t>
                  </w:r>
                </w:p>
              </w:tc>
            </w:tr>
            <w:tr w:rsidR="00F05DC7" w14:paraId="7954B61C"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B613" w14:textId="77777777" w:rsidR="00F05DC7" w:rsidRPr="00791D71" w:rsidRDefault="00F05DC7" w:rsidP="00A3786D">
                  <w:pPr>
                    <w:pStyle w:val="TableBodyText"/>
                    <w:jc w:val="left"/>
                  </w:pPr>
                  <w:r w:rsidRPr="00791D71">
                    <w:t>0.50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B614" w14:textId="77777777" w:rsidR="00F05DC7" w:rsidRPr="00791D71" w:rsidRDefault="00F05DC7" w:rsidP="00A3786D">
                  <w:pPr>
                    <w:pStyle w:val="TableBodyText"/>
                  </w:pPr>
                  <w:r>
                    <w:noBreakHyphen/>
                  </w:r>
                  <w:r w:rsidRPr="00791D71">
                    <w:t>8</w:t>
                  </w:r>
                </w:p>
              </w:tc>
              <w:tc>
                <w:tcPr>
                  <w:tcW w:w="417" w:type="pct"/>
                  <w:tcBorders>
                    <w:top w:val="nil"/>
                    <w:left w:val="nil"/>
                    <w:bottom w:val="nil"/>
                    <w:right w:val="nil"/>
                  </w:tcBorders>
                  <w:shd w:val="clear" w:color="auto" w:fill="auto"/>
                  <w:tcMar>
                    <w:left w:w="0" w:type="dxa"/>
                    <w:right w:w="0" w:type="dxa"/>
                  </w:tcMar>
                  <w:vAlign w:val="center"/>
                  <w:hideMark/>
                </w:tcPr>
                <w:p w14:paraId="7954B615" w14:textId="77777777" w:rsidR="00F05DC7" w:rsidRPr="00791D71" w:rsidRDefault="00F05DC7" w:rsidP="00A3786D">
                  <w:pPr>
                    <w:pStyle w:val="TableBodyText"/>
                  </w:pPr>
                  <w:r>
                    <w:noBreakHyphen/>
                  </w:r>
                  <w:r w:rsidRPr="00791D71">
                    <w:t>8</w:t>
                  </w:r>
                </w:p>
              </w:tc>
              <w:tc>
                <w:tcPr>
                  <w:tcW w:w="417" w:type="pct"/>
                  <w:tcBorders>
                    <w:top w:val="nil"/>
                    <w:left w:val="nil"/>
                    <w:bottom w:val="nil"/>
                    <w:right w:val="nil"/>
                  </w:tcBorders>
                  <w:shd w:val="clear" w:color="auto" w:fill="auto"/>
                  <w:tcMar>
                    <w:left w:w="0" w:type="dxa"/>
                    <w:right w:w="0" w:type="dxa"/>
                  </w:tcMar>
                  <w:vAlign w:val="center"/>
                  <w:hideMark/>
                </w:tcPr>
                <w:p w14:paraId="7954B616" w14:textId="77777777" w:rsidR="00F05DC7" w:rsidRPr="00791D71" w:rsidRDefault="00F05DC7" w:rsidP="00A3786D">
                  <w:pPr>
                    <w:pStyle w:val="TableBodyText"/>
                  </w:pPr>
                  <w:r>
                    <w:noBreakHyphen/>
                  </w:r>
                  <w:r w:rsidRPr="00791D71">
                    <w:t>8</w:t>
                  </w:r>
                </w:p>
              </w:tc>
              <w:tc>
                <w:tcPr>
                  <w:tcW w:w="418" w:type="pct"/>
                  <w:tcBorders>
                    <w:top w:val="nil"/>
                    <w:left w:val="nil"/>
                    <w:bottom w:val="nil"/>
                    <w:right w:val="nil"/>
                  </w:tcBorders>
                  <w:shd w:val="clear" w:color="auto" w:fill="auto"/>
                  <w:tcMar>
                    <w:left w:w="0" w:type="dxa"/>
                    <w:right w:w="0" w:type="dxa"/>
                  </w:tcMar>
                  <w:vAlign w:val="center"/>
                  <w:hideMark/>
                </w:tcPr>
                <w:p w14:paraId="7954B617" w14:textId="77777777" w:rsidR="00F05DC7" w:rsidRPr="00791D71" w:rsidRDefault="00F05DC7" w:rsidP="00A3786D">
                  <w:pPr>
                    <w:pStyle w:val="TableBodyText"/>
                  </w:pPr>
                  <w:r>
                    <w:t>6</w:t>
                  </w:r>
                  <w:r w:rsidRPr="00791D71">
                    <w:t>9</w:t>
                  </w:r>
                </w:p>
              </w:tc>
              <w:tc>
                <w:tcPr>
                  <w:tcW w:w="417" w:type="pct"/>
                  <w:tcBorders>
                    <w:top w:val="nil"/>
                    <w:left w:val="nil"/>
                    <w:bottom w:val="nil"/>
                    <w:right w:val="nil"/>
                  </w:tcBorders>
                  <w:shd w:val="clear" w:color="auto" w:fill="auto"/>
                  <w:tcMar>
                    <w:left w:w="0" w:type="dxa"/>
                    <w:right w:w="0" w:type="dxa"/>
                  </w:tcMar>
                  <w:vAlign w:val="center"/>
                  <w:hideMark/>
                </w:tcPr>
                <w:p w14:paraId="7954B618" w14:textId="77777777" w:rsidR="00F05DC7" w:rsidRPr="00791D71" w:rsidRDefault="00F05DC7" w:rsidP="00A3786D">
                  <w:pPr>
                    <w:pStyle w:val="TableBodyText"/>
                  </w:pPr>
                  <w:r>
                    <w:noBreakHyphen/>
                  </w:r>
                  <w:r w:rsidRPr="00791D71">
                    <w:t>8</w:t>
                  </w:r>
                </w:p>
              </w:tc>
              <w:tc>
                <w:tcPr>
                  <w:tcW w:w="417" w:type="pct"/>
                  <w:tcBorders>
                    <w:top w:val="nil"/>
                    <w:left w:val="nil"/>
                    <w:bottom w:val="nil"/>
                    <w:right w:val="nil"/>
                  </w:tcBorders>
                  <w:shd w:val="clear" w:color="auto" w:fill="auto"/>
                  <w:tcMar>
                    <w:left w:w="0" w:type="dxa"/>
                    <w:right w:w="0" w:type="dxa"/>
                  </w:tcMar>
                  <w:vAlign w:val="center"/>
                  <w:hideMark/>
                </w:tcPr>
                <w:p w14:paraId="7954B619" w14:textId="77777777" w:rsidR="00F05DC7" w:rsidRPr="00791D71" w:rsidRDefault="00F05DC7" w:rsidP="00A3786D">
                  <w:pPr>
                    <w:pStyle w:val="TableBodyText"/>
                  </w:pPr>
                  <w:r>
                    <w:noBreakHyphen/>
                  </w:r>
                  <w:r w:rsidRPr="00791D71">
                    <w:t>8</w:t>
                  </w:r>
                </w:p>
              </w:tc>
              <w:tc>
                <w:tcPr>
                  <w:tcW w:w="417" w:type="pct"/>
                  <w:tcBorders>
                    <w:top w:val="nil"/>
                    <w:left w:val="nil"/>
                    <w:bottom w:val="nil"/>
                    <w:right w:val="nil"/>
                  </w:tcBorders>
                  <w:shd w:val="clear" w:color="auto" w:fill="auto"/>
                  <w:tcMar>
                    <w:left w:w="0" w:type="dxa"/>
                    <w:right w:w="0" w:type="dxa"/>
                  </w:tcMar>
                  <w:vAlign w:val="center"/>
                  <w:hideMark/>
                </w:tcPr>
                <w:p w14:paraId="7954B61A" w14:textId="77777777" w:rsidR="00F05DC7" w:rsidRPr="00791D71" w:rsidRDefault="00F05DC7" w:rsidP="00A3786D">
                  <w:pPr>
                    <w:pStyle w:val="TableBodyText"/>
                  </w:pPr>
                  <w:r>
                    <w:noBreakHyphen/>
                  </w:r>
                  <w:r w:rsidRPr="00791D71">
                    <w:t>8</w:t>
                  </w:r>
                </w:p>
              </w:tc>
              <w:tc>
                <w:tcPr>
                  <w:tcW w:w="413" w:type="pct"/>
                  <w:tcBorders>
                    <w:top w:val="nil"/>
                    <w:left w:val="nil"/>
                    <w:bottom w:val="nil"/>
                    <w:right w:val="nil"/>
                  </w:tcBorders>
                  <w:shd w:val="clear" w:color="auto" w:fill="auto"/>
                  <w:tcMar>
                    <w:left w:w="0" w:type="dxa"/>
                    <w:right w:w="0" w:type="dxa"/>
                  </w:tcMar>
                  <w:vAlign w:val="center"/>
                  <w:hideMark/>
                </w:tcPr>
                <w:p w14:paraId="7954B61B" w14:textId="77777777" w:rsidR="00F05DC7" w:rsidRPr="00791D71" w:rsidRDefault="00F05DC7" w:rsidP="00A3786D">
                  <w:pPr>
                    <w:pStyle w:val="TableBodyText"/>
                  </w:pPr>
                  <w:r>
                    <w:noBreakHyphen/>
                  </w:r>
                  <w:r w:rsidRPr="00791D71">
                    <w:t>8</w:t>
                  </w:r>
                </w:p>
              </w:tc>
            </w:tr>
            <w:tr w:rsidR="00F05DC7" w14:paraId="7954B626"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B61D" w14:textId="77777777" w:rsidR="00F05DC7" w:rsidRPr="00791D71" w:rsidRDefault="00F05DC7" w:rsidP="00A3786D">
                  <w:pPr>
                    <w:pStyle w:val="TableBodyText"/>
                    <w:jc w:val="left"/>
                  </w:pPr>
                  <w:r w:rsidRPr="00791D71">
                    <w:t>0.70 relativity floor</w:t>
                  </w:r>
                </w:p>
              </w:tc>
              <w:tc>
                <w:tcPr>
                  <w:tcW w:w="497" w:type="pct"/>
                  <w:tcBorders>
                    <w:top w:val="nil"/>
                    <w:left w:val="nil"/>
                    <w:bottom w:val="nil"/>
                    <w:right w:val="nil"/>
                  </w:tcBorders>
                  <w:shd w:val="clear" w:color="auto" w:fill="auto"/>
                  <w:tcMar>
                    <w:left w:w="0" w:type="dxa"/>
                    <w:right w:w="0" w:type="dxa"/>
                  </w:tcMar>
                  <w:vAlign w:val="center"/>
                  <w:hideMark/>
                </w:tcPr>
                <w:p w14:paraId="7954B61E" w14:textId="77777777" w:rsidR="00F05DC7" w:rsidRPr="00791D71" w:rsidRDefault="00F05DC7" w:rsidP="00A3786D">
                  <w:pPr>
                    <w:pStyle w:val="TableBodyText"/>
                  </w:pPr>
                  <w:r>
                    <w:noBreakHyphen/>
                    <w:t>69</w:t>
                  </w:r>
                </w:p>
              </w:tc>
              <w:tc>
                <w:tcPr>
                  <w:tcW w:w="417" w:type="pct"/>
                  <w:tcBorders>
                    <w:top w:val="nil"/>
                    <w:left w:val="nil"/>
                    <w:bottom w:val="nil"/>
                    <w:right w:val="nil"/>
                  </w:tcBorders>
                  <w:shd w:val="clear" w:color="auto" w:fill="auto"/>
                  <w:tcMar>
                    <w:left w:w="0" w:type="dxa"/>
                    <w:right w:w="0" w:type="dxa"/>
                  </w:tcMar>
                  <w:vAlign w:val="center"/>
                  <w:hideMark/>
                </w:tcPr>
                <w:p w14:paraId="7954B61F" w14:textId="77777777" w:rsidR="00F05DC7" w:rsidRPr="00791D71" w:rsidRDefault="00F05DC7" w:rsidP="00A3786D">
                  <w:pPr>
                    <w:pStyle w:val="TableBodyText"/>
                  </w:pPr>
                  <w:r>
                    <w:noBreakHyphen/>
                    <w:t>69</w:t>
                  </w:r>
                </w:p>
              </w:tc>
              <w:tc>
                <w:tcPr>
                  <w:tcW w:w="417" w:type="pct"/>
                  <w:tcBorders>
                    <w:top w:val="nil"/>
                    <w:left w:val="nil"/>
                    <w:bottom w:val="nil"/>
                    <w:right w:val="nil"/>
                  </w:tcBorders>
                  <w:shd w:val="clear" w:color="auto" w:fill="auto"/>
                  <w:tcMar>
                    <w:left w:w="0" w:type="dxa"/>
                    <w:right w:w="0" w:type="dxa"/>
                  </w:tcMar>
                  <w:vAlign w:val="center"/>
                  <w:hideMark/>
                </w:tcPr>
                <w:p w14:paraId="7954B620" w14:textId="77777777" w:rsidR="00F05DC7" w:rsidRPr="00791D71" w:rsidRDefault="00F05DC7" w:rsidP="00A3786D">
                  <w:pPr>
                    <w:pStyle w:val="TableBodyText"/>
                  </w:pPr>
                  <w:r>
                    <w:noBreakHyphen/>
                    <w:t>69</w:t>
                  </w:r>
                </w:p>
              </w:tc>
              <w:tc>
                <w:tcPr>
                  <w:tcW w:w="418" w:type="pct"/>
                  <w:tcBorders>
                    <w:top w:val="nil"/>
                    <w:left w:val="nil"/>
                    <w:bottom w:val="nil"/>
                    <w:right w:val="nil"/>
                  </w:tcBorders>
                  <w:shd w:val="clear" w:color="auto" w:fill="auto"/>
                  <w:tcMar>
                    <w:left w:w="0" w:type="dxa"/>
                    <w:right w:w="0" w:type="dxa"/>
                  </w:tcMar>
                  <w:vAlign w:val="center"/>
                  <w:hideMark/>
                </w:tcPr>
                <w:p w14:paraId="7954B621" w14:textId="77777777" w:rsidR="00F05DC7" w:rsidRPr="00791D71" w:rsidRDefault="00F05DC7" w:rsidP="00A3786D">
                  <w:pPr>
                    <w:pStyle w:val="TableBodyText"/>
                  </w:pPr>
                  <w:r>
                    <w:t>594</w:t>
                  </w:r>
                </w:p>
              </w:tc>
              <w:tc>
                <w:tcPr>
                  <w:tcW w:w="417" w:type="pct"/>
                  <w:tcBorders>
                    <w:top w:val="nil"/>
                    <w:left w:val="nil"/>
                    <w:bottom w:val="nil"/>
                    <w:right w:val="nil"/>
                  </w:tcBorders>
                  <w:shd w:val="clear" w:color="auto" w:fill="auto"/>
                  <w:tcMar>
                    <w:left w:w="0" w:type="dxa"/>
                    <w:right w:w="0" w:type="dxa"/>
                  </w:tcMar>
                  <w:vAlign w:val="center"/>
                  <w:hideMark/>
                </w:tcPr>
                <w:p w14:paraId="7954B622" w14:textId="77777777" w:rsidR="00F05DC7" w:rsidRPr="00791D71" w:rsidRDefault="00F05DC7" w:rsidP="00A3786D">
                  <w:pPr>
                    <w:pStyle w:val="TableBodyText"/>
                  </w:pPr>
                  <w:r>
                    <w:noBreakHyphen/>
                    <w:t>69</w:t>
                  </w:r>
                </w:p>
              </w:tc>
              <w:tc>
                <w:tcPr>
                  <w:tcW w:w="417" w:type="pct"/>
                  <w:tcBorders>
                    <w:top w:val="nil"/>
                    <w:left w:val="nil"/>
                    <w:bottom w:val="nil"/>
                    <w:right w:val="nil"/>
                  </w:tcBorders>
                  <w:shd w:val="clear" w:color="auto" w:fill="auto"/>
                  <w:tcMar>
                    <w:left w:w="0" w:type="dxa"/>
                    <w:right w:w="0" w:type="dxa"/>
                  </w:tcMar>
                  <w:vAlign w:val="center"/>
                  <w:hideMark/>
                </w:tcPr>
                <w:p w14:paraId="7954B623" w14:textId="77777777" w:rsidR="00F05DC7" w:rsidRPr="00791D71" w:rsidRDefault="00F05DC7" w:rsidP="00A3786D">
                  <w:pPr>
                    <w:pStyle w:val="TableBodyText"/>
                  </w:pPr>
                  <w:r>
                    <w:noBreakHyphen/>
                    <w:t>69</w:t>
                  </w:r>
                </w:p>
              </w:tc>
              <w:tc>
                <w:tcPr>
                  <w:tcW w:w="417" w:type="pct"/>
                  <w:tcBorders>
                    <w:top w:val="nil"/>
                    <w:left w:val="nil"/>
                    <w:bottom w:val="nil"/>
                    <w:right w:val="nil"/>
                  </w:tcBorders>
                  <w:shd w:val="clear" w:color="auto" w:fill="auto"/>
                  <w:tcMar>
                    <w:left w:w="0" w:type="dxa"/>
                    <w:right w:w="0" w:type="dxa"/>
                  </w:tcMar>
                  <w:vAlign w:val="center"/>
                  <w:hideMark/>
                </w:tcPr>
                <w:p w14:paraId="7954B624" w14:textId="77777777" w:rsidR="00F05DC7" w:rsidRPr="00791D71" w:rsidRDefault="00F05DC7" w:rsidP="00A3786D">
                  <w:pPr>
                    <w:pStyle w:val="TableBodyText"/>
                  </w:pPr>
                  <w:r>
                    <w:noBreakHyphen/>
                    <w:t>69</w:t>
                  </w:r>
                </w:p>
              </w:tc>
              <w:tc>
                <w:tcPr>
                  <w:tcW w:w="413" w:type="pct"/>
                  <w:tcBorders>
                    <w:top w:val="nil"/>
                    <w:left w:val="nil"/>
                    <w:bottom w:val="nil"/>
                    <w:right w:val="nil"/>
                  </w:tcBorders>
                  <w:shd w:val="clear" w:color="auto" w:fill="auto"/>
                  <w:tcMar>
                    <w:left w:w="0" w:type="dxa"/>
                    <w:right w:w="0" w:type="dxa"/>
                  </w:tcMar>
                  <w:vAlign w:val="center"/>
                  <w:hideMark/>
                </w:tcPr>
                <w:p w14:paraId="7954B625" w14:textId="77777777" w:rsidR="00F05DC7" w:rsidRPr="00791D71" w:rsidRDefault="00F05DC7" w:rsidP="00A3786D">
                  <w:pPr>
                    <w:pStyle w:val="TableBodyText"/>
                  </w:pPr>
                  <w:r>
                    <w:noBreakHyphen/>
                    <w:t>69</w:t>
                  </w:r>
                </w:p>
              </w:tc>
            </w:tr>
            <w:tr w:rsidR="00F05DC7" w:rsidRPr="00791D71" w14:paraId="7954B628"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7954B627" w14:textId="77777777" w:rsidR="00F05DC7" w:rsidRPr="00791D71" w:rsidRDefault="00F05DC7" w:rsidP="00A3786D">
                  <w:pPr>
                    <w:spacing w:before="80"/>
                    <w:ind w:right="57"/>
                    <w:rPr>
                      <w:rFonts w:asciiTheme="minorHAnsi" w:hAnsiTheme="minorHAnsi" w:cstheme="minorHAnsi"/>
                      <w:sz w:val="18"/>
                      <w:szCs w:val="18"/>
                    </w:rPr>
                  </w:pPr>
                  <w:r>
                    <w:rPr>
                      <w:rFonts w:asciiTheme="minorHAnsi" w:hAnsiTheme="minorHAnsi" w:cstheme="minorHAnsi"/>
                      <w:b/>
                      <w:bCs/>
                      <w:color w:val="000000"/>
                      <w:sz w:val="18"/>
                      <w:szCs w:val="18"/>
                    </w:rPr>
                    <w:t>Change</w:t>
                  </w:r>
                  <w:r w:rsidRPr="00791D71">
                    <w:rPr>
                      <w:rFonts w:asciiTheme="minorHAnsi" w:hAnsiTheme="minorHAnsi" w:cstheme="minorHAnsi"/>
                      <w:b/>
                      <w:bCs/>
                      <w:color w:val="000000"/>
                      <w:sz w:val="18"/>
                      <w:szCs w:val="18"/>
                    </w:rPr>
                    <w:t xml:space="preserve"> in GST </w:t>
                  </w:r>
                  <w:r>
                    <w:rPr>
                      <w:rFonts w:asciiTheme="minorHAnsi" w:hAnsiTheme="minorHAnsi" w:cstheme="minorHAnsi"/>
                      <w:b/>
                      <w:bCs/>
                      <w:color w:val="000000"/>
                      <w:sz w:val="18"/>
                      <w:szCs w:val="18"/>
                    </w:rPr>
                    <w:t>payments (% of State revenue)</w:t>
                  </w:r>
                </w:p>
              </w:tc>
            </w:tr>
            <w:tr w:rsidR="00F05DC7" w:rsidRPr="00791D71" w14:paraId="7954B632"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hideMark/>
                </w:tcPr>
                <w:p w14:paraId="7954B629" w14:textId="77777777" w:rsidR="00F05DC7" w:rsidRPr="00791D71" w:rsidRDefault="00F05DC7" w:rsidP="00A3786D">
                  <w:pPr>
                    <w:pStyle w:val="TableBodyText"/>
                    <w:jc w:val="left"/>
                  </w:pPr>
                  <w:r>
                    <w:t>0.5</w:t>
                  </w:r>
                  <w:r w:rsidRPr="00791D71">
                    <w:t>0 relativity floor</w:t>
                  </w:r>
                </w:p>
              </w:tc>
              <w:tc>
                <w:tcPr>
                  <w:tcW w:w="497" w:type="pct"/>
                  <w:tcBorders>
                    <w:top w:val="nil"/>
                    <w:left w:val="nil"/>
                    <w:bottom w:val="nil"/>
                    <w:right w:val="nil"/>
                  </w:tcBorders>
                  <w:shd w:val="clear" w:color="auto" w:fill="auto"/>
                  <w:tcMar>
                    <w:left w:w="0" w:type="dxa"/>
                    <w:right w:w="0" w:type="dxa"/>
                  </w:tcMar>
                  <w:vAlign w:val="bottom"/>
                </w:tcPr>
                <w:p w14:paraId="7954B62A" w14:textId="77777777" w:rsidR="00F05DC7" w:rsidRPr="00736D89" w:rsidRDefault="00F05DC7" w:rsidP="00A3786D">
                  <w:pPr>
                    <w:pStyle w:val="TableBodyText"/>
                  </w:pPr>
                  <w:r>
                    <w:noBreakHyphen/>
                  </w:r>
                  <w:r w:rsidRPr="00736D89">
                    <w:t>0.</w:t>
                  </w:r>
                  <w:r>
                    <w:t>1</w:t>
                  </w:r>
                </w:p>
              </w:tc>
              <w:tc>
                <w:tcPr>
                  <w:tcW w:w="417" w:type="pct"/>
                  <w:tcBorders>
                    <w:top w:val="nil"/>
                    <w:left w:val="nil"/>
                    <w:bottom w:val="nil"/>
                    <w:right w:val="nil"/>
                  </w:tcBorders>
                  <w:shd w:val="clear" w:color="auto" w:fill="auto"/>
                  <w:tcMar>
                    <w:left w:w="0" w:type="dxa"/>
                    <w:right w:w="0" w:type="dxa"/>
                  </w:tcMar>
                  <w:vAlign w:val="bottom"/>
                </w:tcPr>
                <w:p w14:paraId="7954B62B" w14:textId="77777777" w:rsidR="00F05DC7" w:rsidRPr="00736D89" w:rsidRDefault="00F05DC7" w:rsidP="00A3786D">
                  <w:pPr>
                    <w:pStyle w:val="TableBodyText"/>
                  </w:pPr>
                  <w:r>
                    <w:noBreakHyphen/>
                  </w:r>
                  <w:r w:rsidRPr="00736D89">
                    <w:t>0.</w:t>
                  </w:r>
                  <w:r>
                    <w:t>1</w:t>
                  </w:r>
                </w:p>
              </w:tc>
              <w:tc>
                <w:tcPr>
                  <w:tcW w:w="417" w:type="pct"/>
                  <w:tcBorders>
                    <w:top w:val="nil"/>
                    <w:left w:val="nil"/>
                    <w:bottom w:val="nil"/>
                    <w:right w:val="nil"/>
                  </w:tcBorders>
                  <w:shd w:val="clear" w:color="auto" w:fill="auto"/>
                  <w:tcMar>
                    <w:left w:w="0" w:type="dxa"/>
                    <w:right w:w="0" w:type="dxa"/>
                  </w:tcMar>
                  <w:vAlign w:val="bottom"/>
                </w:tcPr>
                <w:p w14:paraId="7954B62C" w14:textId="77777777" w:rsidR="00F05DC7" w:rsidRPr="00736D89" w:rsidRDefault="00F05DC7" w:rsidP="00A3786D">
                  <w:pPr>
                    <w:pStyle w:val="TableBodyText"/>
                  </w:pPr>
                  <w:r>
                    <w:noBreakHyphen/>
                  </w:r>
                  <w:r w:rsidRPr="00736D89">
                    <w:t>0.</w:t>
                  </w:r>
                  <w:r>
                    <w:t>1</w:t>
                  </w:r>
                </w:p>
              </w:tc>
              <w:tc>
                <w:tcPr>
                  <w:tcW w:w="418" w:type="pct"/>
                  <w:tcBorders>
                    <w:top w:val="nil"/>
                    <w:left w:val="nil"/>
                    <w:bottom w:val="nil"/>
                    <w:right w:val="nil"/>
                  </w:tcBorders>
                  <w:shd w:val="clear" w:color="auto" w:fill="auto"/>
                  <w:tcMar>
                    <w:left w:w="0" w:type="dxa"/>
                    <w:right w:w="0" w:type="dxa"/>
                  </w:tcMar>
                  <w:vAlign w:val="bottom"/>
                </w:tcPr>
                <w:p w14:paraId="7954B62D" w14:textId="77777777" w:rsidR="00F05DC7" w:rsidRPr="00736D89" w:rsidRDefault="00F05DC7" w:rsidP="00A3786D">
                  <w:pPr>
                    <w:pStyle w:val="TableBodyText"/>
                  </w:pPr>
                  <w:r>
                    <w:t>0</w:t>
                  </w:r>
                  <w:r w:rsidRPr="00736D89">
                    <w:t>.</w:t>
                  </w:r>
                  <w:r>
                    <w:t>6</w:t>
                  </w:r>
                </w:p>
              </w:tc>
              <w:tc>
                <w:tcPr>
                  <w:tcW w:w="417" w:type="pct"/>
                  <w:tcBorders>
                    <w:top w:val="nil"/>
                    <w:left w:val="nil"/>
                    <w:bottom w:val="nil"/>
                    <w:right w:val="nil"/>
                  </w:tcBorders>
                  <w:shd w:val="clear" w:color="auto" w:fill="auto"/>
                  <w:tcMar>
                    <w:left w:w="0" w:type="dxa"/>
                    <w:right w:w="0" w:type="dxa"/>
                  </w:tcMar>
                  <w:vAlign w:val="bottom"/>
                </w:tcPr>
                <w:p w14:paraId="7954B62E" w14:textId="77777777" w:rsidR="00F05DC7" w:rsidRPr="00736D89" w:rsidRDefault="00F05DC7" w:rsidP="00A3786D">
                  <w:pPr>
                    <w:pStyle w:val="TableBodyText"/>
                  </w:pPr>
                  <w:r>
                    <w:noBreakHyphen/>
                  </w:r>
                  <w:r w:rsidRPr="00736D89">
                    <w:t>0.</w:t>
                  </w:r>
                  <w:r>
                    <w:t>1</w:t>
                  </w:r>
                </w:p>
              </w:tc>
              <w:tc>
                <w:tcPr>
                  <w:tcW w:w="417" w:type="pct"/>
                  <w:tcBorders>
                    <w:top w:val="nil"/>
                    <w:left w:val="nil"/>
                    <w:bottom w:val="nil"/>
                    <w:right w:val="nil"/>
                  </w:tcBorders>
                  <w:shd w:val="clear" w:color="auto" w:fill="auto"/>
                  <w:tcMar>
                    <w:left w:w="0" w:type="dxa"/>
                    <w:right w:w="0" w:type="dxa"/>
                  </w:tcMar>
                  <w:vAlign w:val="bottom"/>
                </w:tcPr>
                <w:p w14:paraId="7954B62F" w14:textId="77777777" w:rsidR="00F05DC7" w:rsidRPr="00736D89" w:rsidRDefault="00F05DC7" w:rsidP="00A3786D">
                  <w:pPr>
                    <w:pStyle w:val="TableBodyText"/>
                  </w:pPr>
                  <w:r>
                    <w:noBreakHyphen/>
                  </w:r>
                  <w:r w:rsidRPr="00736D89">
                    <w:t>0.</w:t>
                  </w:r>
                  <w:r>
                    <w:t>1</w:t>
                  </w:r>
                </w:p>
              </w:tc>
              <w:tc>
                <w:tcPr>
                  <w:tcW w:w="417" w:type="pct"/>
                  <w:tcBorders>
                    <w:top w:val="nil"/>
                    <w:left w:val="nil"/>
                    <w:bottom w:val="nil"/>
                    <w:right w:val="nil"/>
                  </w:tcBorders>
                  <w:shd w:val="clear" w:color="auto" w:fill="auto"/>
                  <w:tcMar>
                    <w:left w:w="0" w:type="dxa"/>
                    <w:right w:w="0" w:type="dxa"/>
                  </w:tcMar>
                  <w:vAlign w:val="bottom"/>
                </w:tcPr>
                <w:p w14:paraId="7954B630" w14:textId="77777777" w:rsidR="00F05DC7" w:rsidRPr="00736D89" w:rsidRDefault="00F05DC7" w:rsidP="00A3786D">
                  <w:pPr>
                    <w:pStyle w:val="TableBodyText"/>
                  </w:pPr>
                  <w:r>
                    <w:noBreakHyphen/>
                  </w:r>
                  <w:r w:rsidRPr="00736D89">
                    <w:t>0.</w:t>
                  </w:r>
                  <w:r>
                    <w:t>1</w:t>
                  </w:r>
                </w:p>
              </w:tc>
              <w:tc>
                <w:tcPr>
                  <w:tcW w:w="413" w:type="pct"/>
                  <w:tcBorders>
                    <w:top w:val="nil"/>
                    <w:left w:val="nil"/>
                    <w:bottom w:val="nil"/>
                    <w:right w:val="nil"/>
                  </w:tcBorders>
                  <w:shd w:val="clear" w:color="auto" w:fill="auto"/>
                  <w:tcMar>
                    <w:left w:w="0" w:type="dxa"/>
                    <w:right w:w="0" w:type="dxa"/>
                  </w:tcMar>
                  <w:vAlign w:val="bottom"/>
                </w:tcPr>
                <w:p w14:paraId="7954B631" w14:textId="77777777" w:rsidR="00F05DC7" w:rsidRPr="00736D89" w:rsidRDefault="00F05DC7" w:rsidP="00A3786D">
                  <w:pPr>
                    <w:pStyle w:val="TableBodyText"/>
                  </w:pPr>
                  <w:r w:rsidRPr="00736D89">
                    <w:t>0.</w:t>
                  </w:r>
                  <w:r>
                    <w:t>0</w:t>
                  </w:r>
                </w:p>
              </w:tc>
            </w:tr>
            <w:tr w:rsidR="00F05DC7" w:rsidRPr="00791D71" w14:paraId="7954B63C"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tcPr>
                <w:p w14:paraId="7954B633" w14:textId="77777777" w:rsidR="00F05DC7" w:rsidRDefault="00F05DC7" w:rsidP="00A3786D">
                  <w:pPr>
                    <w:pStyle w:val="TableBodyText"/>
                    <w:jc w:val="left"/>
                  </w:pPr>
                  <w:r w:rsidRPr="00791D71">
                    <w:t>0.70 relativity floor</w:t>
                  </w:r>
                </w:p>
              </w:tc>
              <w:tc>
                <w:tcPr>
                  <w:tcW w:w="497" w:type="pct"/>
                  <w:tcBorders>
                    <w:top w:val="nil"/>
                    <w:left w:val="nil"/>
                    <w:bottom w:val="nil"/>
                    <w:right w:val="nil"/>
                  </w:tcBorders>
                  <w:shd w:val="clear" w:color="auto" w:fill="auto"/>
                  <w:tcMar>
                    <w:left w:w="0" w:type="dxa"/>
                    <w:right w:w="0" w:type="dxa"/>
                  </w:tcMar>
                  <w:vAlign w:val="bottom"/>
                </w:tcPr>
                <w:p w14:paraId="7954B634" w14:textId="77777777" w:rsidR="00F05DC7" w:rsidRPr="00736D89" w:rsidRDefault="00F05DC7" w:rsidP="00A3786D">
                  <w:pPr>
                    <w:pStyle w:val="TableBodyText"/>
                  </w:pPr>
                  <w:r>
                    <w:noBreakHyphen/>
                    <w:t>0</w:t>
                  </w:r>
                  <w:r w:rsidRPr="00736D89">
                    <w:t>.</w:t>
                  </w:r>
                  <w:r>
                    <w:t>7</w:t>
                  </w:r>
                </w:p>
              </w:tc>
              <w:tc>
                <w:tcPr>
                  <w:tcW w:w="417" w:type="pct"/>
                  <w:tcBorders>
                    <w:top w:val="nil"/>
                    <w:left w:val="nil"/>
                    <w:bottom w:val="nil"/>
                    <w:right w:val="nil"/>
                  </w:tcBorders>
                  <w:shd w:val="clear" w:color="auto" w:fill="auto"/>
                  <w:tcMar>
                    <w:left w:w="0" w:type="dxa"/>
                    <w:right w:w="0" w:type="dxa"/>
                  </w:tcMar>
                  <w:vAlign w:val="bottom"/>
                </w:tcPr>
                <w:p w14:paraId="7954B635" w14:textId="77777777" w:rsidR="00F05DC7" w:rsidRPr="00736D89" w:rsidRDefault="00F05DC7" w:rsidP="00A3786D">
                  <w:pPr>
                    <w:pStyle w:val="TableBodyText"/>
                  </w:pPr>
                  <w:r>
                    <w:noBreakHyphen/>
                    <w:t>0</w:t>
                  </w:r>
                  <w:r w:rsidRPr="00736D89">
                    <w:t>.</w:t>
                  </w:r>
                  <w:r>
                    <w:t>7</w:t>
                  </w:r>
                </w:p>
              </w:tc>
              <w:tc>
                <w:tcPr>
                  <w:tcW w:w="417" w:type="pct"/>
                  <w:tcBorders>
                    <w:top w:val="nil"/>
                    <w:left w:val="nil"/>
                    <w:bottom w:val="nil"/>
                    <w:right w:val="nil"/>
                  </w:tcBorders>
                  <w:shd w:val="clear" w:color="auto" w:fill="auto"/>
                  <w:tcMar>
                    <w:left w:w="0" w:type="dxa"/>
                    <w:right w:w="0" w:type="dxa"/>
                  </w:tcMar>
                  <w:vAlign w:val="bottom"/>
                </w:tcPr>
                <w:p w14:paraId="7954B636" w14:textId="77777777" w:rsidR="00F05DC7" w:rsidRPr="00736D89" w:rsidRDefault="00F05DC7" w:rsidP="00A3786D">
                  <w:pPr>
                    <w:pStyle w:val="TableBodyText"/>
                  </w:pPr>
                  <w:r>
                    <w:noBreakHyphen/>
                    <w:t>0</w:t>
                  </w:r>
                  <w:r w:rsidRPr="00736D89">
                    <w:t>.</w:t>
                  </w:r>
                  <w:r>
                    <w:t>6</w:t>
                  </w:r>
                </w:p>
              </w:tc>
              <w:tc>
                <w:tcPr>
                  <w:tcW w:w="418" w:type="pct"/>
                  <w:tcBorders>
                    <w:top w:val="nil"/>
                    <w:left w:val="nil"/>
                    <w:bottom w:val="nil"/>
                    <w:right w:val="nil"/>
                  </w:tcBorders>
                  <w:shd w:val="clear" w:color="auto" w:fill="auto"/>
                  <w:tcMar>
                    <w:left w:w="0" w:type="dxa"/>
                    <w:right w:w="0" w:type="dxa"/>
                  </w:tcMar>
                  <w:vAlign w:val="bottom"/>
                </w:tcPr>
                <w:p w14:paraId="7954B637" w14:textId="77777777" w:rsidR="00F05DC7" w:rsidRPr="00736D89" w:rsidRDefault="00F05DC7" w:rsidP="00A3786D">
                  <w:pPr>
                    <w:pStyle w:val="TableBodyText"/>
                  </w:pPr>
                  <w:r>
                    <w:t>5</w:t>
                  </w:r>
                  <w:r w:rsidRPr="00736D89">
                    <w:t>.</w:t>
                  </w:r>
                  <w:r>
                    <w:t>3</w:t>
                  </w:r>
                </w:p>
              </w:tc>
              <w:tc>
                <w:tcPr>
                  <w:tcW w:w="417" w:type="pct"/>
                  <w:tcBorders>
                    <w:top w:val="nil"/>
                    <w:left w:val="nil"/>
                    <w:bottom w:val="nil"/>
                    <w:right w:val="nil"/>
                  </w:tcBorders>
                  <w:shd w:val="clear" w:color="auto" w:fill="auto"/>
                  <w:tcMar>
                    <w:left w:w="0" w:type="dxa"/>
                    <w:right w:w="0" w:type="dxa"/>
                  </w:tcMar>
                  <w:vAlign w:val="bottom"/>
                </w:tcPr>
                <w:p w14:paraId="7954B638" w14:textId="77777777" w:rsidR="00F05DC7" w:rsidRPr="00736D89" w:rsidRDefault="00F05DC7" w:rsidP="00A3786D">
                  <w:pPr>
                    <w:pStyle w:val="TableBodyText"/>
                  </w:pPr>
                  <w:r>
                    <w:noBreakHyphen/>
                    <w:t>0</w:t>
                  </w:r>
                  <w:r w:rsidRPr="00736D89">
                    <w:t>.</w:t>
                  </w:r>
                  <w:r>
                    <w:t>6</w:t>
                  </w:r>
                </w:p>
              </w:tc>
              <w:tc>
                <w:tcPr>
                  <w:tcW w:w="417" w:type="pct"/>
                  <w:tcBorders>
                    <w:top w:val="nil"/>
                    <w:left w:val="nil"/>
                    <w:bottom w:val="nil"/>
                    <w:right w:val="nil"/>
                  </w:tcBorders>
                  <w:shd w:val="clear" w:color="auto" w:fill="auto"/>
                  <w:tcMar>
                    <w:left w:w="0" w:type="dxa"/>
                    <w:right w:w="0" w:type="dxa"/>
                  </w:tcMar>
                  <w:vAlign w:val="bottom"/>
                </w:tcPr>
                <w:p w14:paraId="7954B639" w14:textId="77777777" w:rsidR="00F05DC7" w:rsidRPr="00736D89" w:rsidRDefault="00F05DC7" w:rsidP="00A3786D">
                  <w:pPr>
                    <w:pStyle w:val="TableBodyText"/>
                  </w:pPr>
                  <w:r>
                    <w:noBreakHyphen/>
                    <w:t>0</w:t>
                  </w:r>
                  <w:r w:rsidRPr="00736D89">
                    <w:t>.</w:t>
                  </w:r>
                  <w:r>
                    <w:t>6</w:t>
                  </w:r>
                </w:p>
              </w:tc>
              <w:tc>
                <w:tcPr>
                  <w:tcW w:w="417" w:type="pct"/>
                  <w:tcBorders>
                    <w:top w:val="nil"/>
                    <w:left w:val="nil"/>
                    <w:bottom w:val="nil"/>
                    <w:right w:val="nil"/>
                  </w:tcBorders>
                  <w:shd w:val="clear" w:color="auto" w:fill="auto"/>
                  <w:tcMar>
                    <w:left w:w="0" w:type="dxa"/>
                    <w:right w:w="0" w:type="dxa"/>
                  </w:tcMar>
                  <w:vAlign w:val="bottom"/>
                </w:tcPr>
                <w:p w14:paraId="7954B63A" w14:textId="77777777" w:rsidR="00F05DC7" w:rsidRPr="00736D89" w:rsidRDefault="00F05DC7" w:rsidP="00A3786D">
                  <w:pPr>
                    <w:pStyle w:val="TableBodyText"/>
                  </w:pPr>
                  <w:r>
                    <w:noBreakHyphen/>
                  </w:r>
                  <w:r w:rsidRPr="00736D89">
                    <w:t>0.</w:t>
                  </w:r>
                  <w:r>
                    <w:t>5</w:t>
                  </w:r>
                </w:p>
              </w:tc>
              <w:tc>
                <w:tcPr>
                  <w:tcW w:w="413" w:type="pct"/>
                  <w:tcBorders>
                    <w:top w:val="nil"/>
                    <w:left w:val="nil"/>
                    <w:bottom w:val="nil"/>
                    <w:right w:val="nil"/>
                  </w:tcBorders>
                  <w:shd w:val="clear" w:color="auto" w:fill="auto"/>
                  <w:tcMar>
                    <w:left w:w="0" w:type="dxa"/>
                    <w:right w:w="0" w:type="dxa"/>
                  </w:tcMar>
                  <w:vAlign w:val="bottom"/>
                </w:tcPr>
                <w:p w14:paraId="7954B63B" w14:textId="77777777" w:rsidR="00F05DC7" w:rsidRPr="00736D89" w:rsidRDefault="00F05DC7" w:rsidP="00A3786D">
                  <w:pPr>
                    <w:pStyle w:val="TableBodyText"/>
                  </w:pPr>
                  <w:r>
                    <w:noBreakHyphen/>
                  </w:r>
                  <w:r w:rsidRPr="00736D89">
                    <w:t>0.</w:t>
                  </w:r>
                  <w:r>
                    <w:t>3</w:t>
                  </w:r>
                </w:p>
              </w:tc>
            </w:tr>
            <w:tr w:rsidR="00F05DC7" w:rsidRPr="00791D71" w14:paraId="7954B63E"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7954B63D" w14:textId="77777777" w:rsidR="00F05DC7" w:rsidRPr="00791D71" w:rsidRDefault="00F05DC7" w:rsidP="00A3786D">
                  <w:pPr>
                    <w:spacing w:before="80"/>
                    <w:ind w:right="57"/>
                    <w:rPr>
                      <w:rFonts w:asciiTheme="minorHAnsi" w:hAnsiTheme="minorHAnsi" w:cstheme="minorHAnsi"/>
                      <w:color w:val="000000"/>
                      <w:sz w:val="18"/>
                      <w:szCs w:val="18"/>
                    </w:rPr>
                  </w:pPr>
                  <w:r w:rsidRPr="00FE29EB">
                    <w:rPr>
                      <w:rFonts w:asciiTheme="minorHAnsi" w:hAnsiTheme="minorHAnsi" w:cstheme="minorHAnsi"/>
                      <w:b/>
                      <w:color w:val="000000"/>
                      <w:sz w:val="18"/>
                      <w:szCs w:val="18"/>
                    </w:rPr>
                    <w:t>Total redistribution from EPC</w:t>
                  </w:r>
                </w:p>
              </w:tc>
            </w:tr>
            <w:tr w:rsidR="00F05DC7" w14:paraId="7954B641"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tcPr>
                <w:p w14:paraId="7954B63F" w14:textId="77777777" w:rsidR="00F05DC7" w:rsidRPr="000337D9" w:rsidRDefault="00F05DC7" w:rsidP="00A3786D">
                  <w:pPr>
                    <w:pStyle w:val="TableBodyText"/>
                    <w:jc w:val="left"/>
                  </w:pPr>
                  <w:r w:rsidRPr="000337D9">
                    <w:t>Current approach</w:t>
                  </w:r>
                </w:p>
              </w:tc>
              <w:tc>
                <w:tcPr>
                  <w:tcW w:w="3413" w:type="pct"/>
                  <w:gridSpan w:val="8"/>
                  <w:tcBorders>
                    <w:top w:val="nil"/>
                    <w:left w:val="nil"/>
                    <w:bottom w:val="nil"/>
                    <w:right w:val="nil"/>
                  </w:tcBorders>
                  <w:shd w:val="clear" w:color="auto" w:fill="auto"/>
                  <w:tcMar>
                    <w:left w:w="0" w:type="dxa"/>
                    <w:right w:w="0" w:type="dxa"/>
                  </w:tcMar>
                  <w:vAlign w:val="center"/>
                </w:tcPr>
                <w:p w14:paraId="7954B640" w14:textId="77777777" w:rsidR="00F05DC7" w:rsidRPr="000337D9" w:rsidRDefault="00F05DC7" w:rsidP="00A3786D">
                  <w:pPr>
                    <w:pStyle w:val="TableBodyText"/>
                  </w:pPr>
                  <w:r w:rsidRPr="000337D9">
                    <w:t>$6 840 million</w:t>
                  </w:r>
                </w:p>
              </w:tc>
            </w:tr>
            <w:tr w:rsidR="00F05DC7" w14:paraId="7954B644" w14:textId="77777777" w:rsidTr="00A3786D">
              <w:trPr>
                <w:trHeight w:val="289"/>
              </w:trPr>
              <w:tc>
                <w:tcPr>
                  <w:tcW w:w="1587" w:type="pct"/>
                  <w:tcBorders>
                    <w:top w:val="nil"/>
                    <w:left w:val="nil"/>
                    <w:bottom w:val="nil"/>
                    <w:right w:val="nil"/>
                  </w:tcBorders>
                  <w:shd w:val="clear" w:color="auto" w:fill="auto"/>
                  <w:tcMar>
                    <w:left w:w="0" w:type="dxa"/>
                    <w:right w:w="0" w:type="dxa"/>
                  </w:tcMar>
                  <w:vAlign w:val="center"/>
                </w:tcPr>
                <w:p w14:paraId="7954B642" w14:textId="77777777" w:rsidR="00F05DC7" w:rsidRPr="000337D9" w:rsidRDefault="00F05DC7" w:rsidP="00A3786D">
                  <w:pPr>
                    <w:pStyle w:val="TableBodyText"/>
                    <w:jc w:val="left"/>
                  </w:pPr>
                  <w:r w:rsidRPr="000337D9">
                    <w:t>0.50 relativity floor</w:t>
                  </w:r>
                </w:p>
              </w:tc>
              <w:tc>
                <w:tcPr>
                  <w:tcW w:w="3413" w:type="pct"/>
                  <w:gridSpan w:val="8"/>
                  <w:tcBorders>
                    <w:top w:val="nil"/>
                    <w:left w:val="nil"/>
                    <w:bottom w:val="nil"/>
                    <w:right w:val="nil"/>
                  </w:tcBorders>
                  <w:shd w:val="clear" w:color="auto" w:fill="auto"/>
                  <w:tcMar>
                    <w:left w:w="0" w:type="dxa"/>
                    <w:right w:w="0" w:type="dxa"/>
                  </w:tcMar>
                  <w:vAlign w:val="center"/>
                </w:tcPr>
                <w:p w14:paraId="7954B643" w14:textId="77777777" w:rsidR="00F05DC7" w:rsidRPr="000337D9" w:rsidRDefault="00F05DC7" w:rsidP="00A3786D">
                  <w:pPr>
                    <w:pStyle w:val="TableBodyText"/>
                  </w:pPr>
                  <w:r w:rsidRPr="000337D9">
                    <w:t>$6 775 million</w:t>
                  </w:r>
                </w:p>
              </w:tc>
            </w:tr>
            <w:tr w:rsidR="00F05DC7" w14:paraId="7954B647" w14:textId="77777777" w:rsidTr="00A3786D">
              <w:trPr>
                <w:trHeight w:val="289"/>
              </w:trPr>
              <w:tc>
                <w:tcPr>
                  <w:tcW w:w="1587" w:type="pct"/>
                  <w:tcBorders>
                    <w:top w:val="nil"/>
                    <w:left w:val="nil"/>
                    <w:bottom w:val="single" w:sz="8" w:space="0" w:color="BFBFBF"/>
                    <w:right w:val="nil"/>
                  </w:tcBorders>
                  <w:shd w:val="clear" w:color="auto" w:fill="auto"/>
                  <w:tcMar>
                    <w:left w:w="0" w:type="dxa"/>
                    <w:right w:w="0" w:type="dxa"/>
                  </w:tcMar>
                  <w:vAlign w:val="center"/>
                </w:tcPr>
                <w:p w14:paraId="7954B645" w14:textId="77777777" w:rsidR="00F05DC7" w:rsidRPr="000337D9" w:rsidRDefault="00F05DC7" w:rsidP="00A3786D">
                  <w:pPr>
                    <w:pStyle w:val="TableBodyText"/>
                    <w:jc w:val="left"/>
                  </w:pPr>
                  <w:r w:rsidRPr="000337D9">
                    <w:t>0.70 relativity floor</w:t>
                  </w:r>
                </w:p>
              </w:tc>
              <w:tc>
                <w:tcPr>
                  <w:tcW w:w="3413" w:type="pct"/>
                  <w:gridSpan w:val="8"/>
                  <w:tcBorders>
                    <w:top w:val="nil"/>
                    <w:left w:val="nil"/>
                    <w:bottom w:val="single" w:sz="8" w:space="0" w:color="BFBFBF"/>
                    <w:right w:val="nil"/>
                  </w:tcBorders>
                  <w:shd w:val="clear" w:color="auto" w:fill="auto"/>
                  <w:tcMar>
                    <w:left w:w="0" w:type="dxa"/>
                    <w:right w:w="0" w:type="dxa"/>
                  </w:tcMar>
                  <w:vAlign w:val="center"/>
                </w:tcPr>
                <w:p w14:paraId="7954B646" w14:textId="77777777" w:rsidR="00F05DC7" w:rsidRPr="000337D9" w:rsidRDefault="00F05DC7" w:rsidP="00A3786D">
                  <w:pPr>
                    <w:pStyle w:val="TableBodyText"/>
                  </w:pPr>
                  <w:r w:rsidRPr="000337D9">
                    <w:t>$6 289 million</w:t>
                  </w:r>
                </w:p>
              </w:tc>
            </w:tr>
          </w:tbl>
          <w:p w14:paraId="7954B648" w14:textId="77777777" w:rsidR="00F05DC7" w:rsidRDefault="00F05DC7" w:rsidP="00A3786D">
            <w:pPr>
              <w:pStyle w:val="Box"/>
            </w:pPr>
          </w:p>
        </w:tc>
      </w:tr>
      <w:tr w:rsidR="00F05DC7" w14:paraId="7954B64B" w14:textId="77777777" w:rsidTr="00A3786D">
        <w:tc>
          <w:tcPr>
            <w:tcW w:w="5000" w:type="pct"/>
            <w:tcBorders>
              <w:top w:val="nil"/>
              <w:left w:val="nil"/>
              <w:bottom w:val="nil"/>
              <w:right w:val="nil"/>
            </w:tcBorders>
            <w:shd w:val="clear" w:color="auto" w:fill="auto"/>
          </w:tcPr>
          <w:p w14:paraId="7954B64A"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64D" w14:textId="77777777" w:rsidTr="00A3786D">
        <w:tc>
          <w:tcPr>
            <w:tcW w:w="5000" w:type="pct"/>
            <w:tcBorders>
              <w:top w:val="nil"/>
              <w:left w:val="nil"/>
              <w:bottom w:val="single" w:sz="6" w:space="0" w:color="78A22F"/>
              <w:right w:val="nil"/>
            </w:tcBorders>
            <w:shd w:val="clear" w:color="auto" w:fill="auto"/>
          </w:tcPr>
          <w:p w14:paraId="7954B64C" w14:textId="77777777" w:rsidR="00F05DC7" w:rsidRDefault="00F05DC7" w:rsidP="00A3786D">
            <w:pPr>
              <w:pStyle w:val="Box"/>
              <w:spacing w:before="0" w:line="120" w:lineRule="exact"/>
            </w:pPr>
          </w:p>
        </w:tc>
      </w:tr>
      <w:tr w:rsidR="00F05DC7" w:rsidRPr="000863A5" w14:paraId="7954B64F" w14:textId="77777777" w:rsidTr="00A3786D">
        <w:tc>
          <w:tcPr>
            <w:tcW w:w="5000" w:type="pct"/>
            <w:tcBorders>
              <w:top w:val="single" w:sz="6" w:space="0" w:color="78A22F"/>
              <w:left w:val="nil"/>
              <w:bottom w:val="nil"/>
              <w:right w:val="nil"/>
            </w:tcBorders>
          </w:tcPr>
          <w:p w14:paraId="7954B64E" w14:textId="77777777" w:rsidR="00F05DC7" w:rsidRPr="00626D32" w:rsidRDefault="00F05DC7" w:rsidP="00A3786D">
            <w:pPr>
              <w:pStyle w:val="BoxSpaceBelow"/>
            </w:pPr>
          </w:p>
        </w:tc>
      </w:tr>
    </w:tbl>
    <w:p w14:paraId="7954B650" w14:textId="77777777" w:rsidR="00F05DC7" w:rsidRPr="00B100D1" w:rsidRDefault="00F05DC7" w:rsidP="00A3786D">
      <w:pPr>
        <w:pStyle w:val="Heading3"/>
      </w:pPr>
      <w:r>
        <w:t>Actual per capita</w:t>
      </w:r>
    </w:p>
    <w:p w14:paraId="7954B651" w14:textId="77777777" w:rsidR="00F05DC7" w:rsidRDefault="00F05DC7" w:rsidP="00A3786D">
      <w:pPr>
        <w:pStyle w:val="BodyText"/>
      </w:pPr>
      <w:r w:rsidRPr="00364AAF">
        <w:t>An actual per capita distribution uses GST payments to fund the gap between a State’s actual expenses (including infrastructure expenses) and the revenue it</w:t>
      </w:r>
      <w:r>
        <w:t xml:space="preserve"> </w:t>
      </w:r>
      <w:r w:rsidRPr="00364AAF">
        <w:t>receives</w:t>
      </w:r>
      <w:r>
        <w:t>.</w:t>
      </w:r>
      <w:r w:rsidRPr="00364AAF">
        <w:t xml:space="preserve"> New South Wales</w:t>
      </w:r>
      <w:r>
        <w:t>,</w:t>
      </w:r>
      <w:r w:rsidRPr="00364AAF">
        <w:t xml:space="preserve"> Western Australia,</w:t>
      </w:r>
      <w:r>
        <w:t xml:space="preserve"> the ACT and the </w:t>
      </w:r>
      <w:r w:rsidRPr="00364AAF">
        <w:t>Northern Territory</w:t>
      </w:r>
      <w:r>
        <w:t xml:space="preserve"> </w:t>
      </w:r>
      <w:r w:rsidRPr="00364AAF">
        <w:t xml:space="preserve">would receive more GST payments than </w:t>
      </w:r>
      <w:r>
        <w:t>they</w:t>
      </w:r>
      <w:r w:rsidRPr="00364AAF">
        <w:t xml:space="preserve"> </w:t>
      </w:r>
      <w:r>
        <w:t>currently receive</w:t>
      </w:r>
      <w:r w:rsidRPr="00364AAF">
        <w:t>, while</w:t>
      </w:r>
      <w:r>
        <w:t xml:space="preserve"> Victoria,</w:t>
      </w:r>
      <w:r w:rsidRPr="00364AAF">
        <w:t xml:space="preserve"> Queensland</w:t>
      </w:r>
      <w:r>
        <w:t xml:space="preserve">, </w:t>
      </w:r>
      <w:r w:rsidRPr="00364AAF">
        <w:t>South Australia</w:t>
      </w:r>
      <w:r>
        <w:t xml:space="preserve"> and</w:t>
      </w:r>
      <w:r w:rsidRPr="005618BB">
        <w:t xml:space="preserve"> </w:t>
      </w:r>
      <w:r w:rsidRPr="00364AAF">
        <w:t>Tasmania would receive less</w:t>
      </w:r>
      <w:r>
        <w:t xml:space="preserve"> (table C.8)</w:t>
      </w:r>
      <w:r w:rsidRPr="00364AAF">
        <w:t>.</w:t>
      </w:r>
    </w:p>
    <w:p w14:paraId="7954B652" w14:textId="77777777" w:rsidR="00F05DC7" w:rsidRDefault="00F05DC7">
      <w:pPr>
        <w:rPr>
          <w:szCs w:val="20"/>
        </w:rPr>
      </w:pPr>
      <w:r>
        <w:br w:type="page"/>
      </w:r>
    </w:p>
    <w:p w14:paraId="7954B653" w14:textId="77777777" w:rsidR="00F05DC7" w:rsidRDefault="00F05DC7" w:rsidP="00A3786D">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656" w14:textId="77777777" w:rsidTr="001113B1">
        <w:trPr>
          <w:tblHeader/>
        </w:trPr>
        <w:tc>
          <w:tcPr>
            <w:tcW w:w="5000" w:type="pct"/>
            <w:tcBorders>
              <w:top w:val="single" w:sz="6" w:space="0" w:color="78A22F"/>
              <w:left w:val="nil"/>
              <w:bottom w:val="nil"/>
              <w:right w:val="nil"/>
            </w:tcBorders>
            <w:shd w:val="clear" w:color="auto" w:fill="auto"/>
          </w:tcPr>
          <w:p w14:paraId="7954B654" w14:textId="6D589CFE" w:rsidR="00F05DC7" w:rsidRDefault="00F05DC7" w:rsidP="00A3786D">
            <w:pPr>
              <w:pStyle w:val="TableTitle"/>
            </w:pPr>
            <w:r>
              <w:rPr>
                <w:b w:val="0"/>
              </w:rPr>
              <w:t>Table C.8</w:t>
            </w:r>
            <w:r>
              <w:tab/>
              <w:t>Effects of actual per capita distribution</w:t>
            </w:r>
          </w:p>
          <w:p w14:paraId="7954B655" w14:textId="77777777" w:rsidR="00F05DC7" w:rsidRPr="00784A05" w:rsidRDefault="00F05DC7" w:rsidP="00A3786D">
            <w:pPr>
              <w:pStyle w:val="Subtitle"/>
            </w:pPr>
            <w:r>
              <w:t>2018</w:t>
            </w:r>
            <w:r>
              <w:noBreakHyphen/>
              <w:t>19 GST payments and relativities</w:t>
            </w:r>
          </w:p>
        </w:tc>
      </w:tr>
      <w:tr w:rsidR="00F05DC7" w14:paraId="7954B6B8" w14:textId="77777777" w:rsidTr="00A3786D">
        <w:tc>
          <w:tcPr>
            <w:tcW w:w="5000" w:type="pct"/>
            <w:tcBorders>
              <w:top w:val="nil"/>
              <w:left w:val="nil"/>
              <w:bottom w:val="nil"/>
              <w:right w:val="nil"/>
            </w:tcBorders>
            <w:shd w:val="clear" w:color="auto" w:fill="auto"/>
          </w:tcPr>
          <w:tbl>
            <w:tblPr>
              <w:tblW w:w="8505" w:type="dxa"/>
              <w:tblLook w:val="04A0" w:firstRow="1" w:lastRow="0" w:firstColumn="1" w:lastColumn="0" w:noHBand="0" w:noVBand="1"/>
            </w:tblPr>
            <w:tblGrid>
              <w:gridCol w:w="2835"/>
              <w:gridCol w:w="708"/>
              <w:gridCol w:w="709"/>
              <w:gridCol w:w="709"/>
              <w:gridCol w:w="709"/>
              <w:gridCol w:w="708"/>
              <w:gridCol w:w="709"/>
              <w:gridCol w:w="709"/>
              <w:gridCol w:w="709"/>
            </w:tblGrid>
            <w:tr w:rsidR="00F05DC7" w14:paraId="7954B660" w14:textId="77777777" w:rsidTr="001113B1">
              <w:trPr>
                <w:trHeight w:val="283"/>
                <w:tblHeader/>
              </w:trPr>
              <w:tc>
                <w:tcPr>
                  <w:tcW w:w="2835" w:type="dxa"/>
                  <w:tcBorders>
                    <w:top w:val="single" w:sz="8" w:space="0" w:color="BFBFBF"/>
                    <w:left w:val="nil"/>
                    <w:bottom w:val="single" w:sz="8" w:space="0" w:color="BFBFBF"/>
                    <w:right w:val="nil"/>
                  </w:tcBorders>
                  <w:shd w:val="clear" w:color="auto" w:fill="auto"/>
                  <w:vAlign w:val="center"/>
                  <w:hideMark/>
                </w:tcPr>
                <w:p w14:paraId="7954B657" w14:textId="77777777" w:rsidR="00F05DC7" w:rsidRDefault="00F05DC7" w:rsidP="00A3786D">
                  <w:pPr>
                    <w:rPr>
                      <w:rFonts w:ascii="Arial" w:hAnsi="Arial" w:cs="Arial"/>
                      <w:i/>
                      <w:iCs/>
                      <w:color w:val="000000"/>
                      <w:sz w:val="18"/>
                      <w:szCs w:val="18"/>
                    </w:rPr>
                  </w:pPr>
                </w:p>
              </w:tc>
              <w:tc>
                <w:tcPr>
                  <w:tcW w:w="708"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58" w14:textId="77777777" w:rsidR="00F05DC7" w:rsidRDefault="00F05DC7" w:rsidP="00A3786D">
                  <w:pPr>
                    <w:pStyle w:val="TableColumnHeading"/>
                    <w:ind w:right="11"/>
                  </w:pPr>
                  <w:r>
                    <w:t>NSW</w:t>
                  </w:r>
                </w:p>
              </w:tc>
              <w:tc>
                <w:tcPr>
                  <w:tcW w:w="709"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59" w14:textId="77777777" w:rsidR="00F05DC7" w:rsidRDefault="00F05DC7" w:rsidP="00A3786D">
                  <w:pPr>
                    <w:pStyle w:val="TableColumnHeading"/>
                    <w:ind w:right="11"/>
                  </w:pPr>
                  <w:r>
                    <w:t>Vic</w:t>
                  </w:r>
                </w:p>
              </w:tc>
              <w:tc>
                <w:tcPr>
                  <w:tcW w:w="709"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5A" w14:textId="77777777" w:rsidR="00F05DC7" w:rsidRDefault="00F05DC7" w:rsidP="00A3786D">
                  <w:pPr>
                    <w:pStyle w:val="TableColumnHeading"/>
                    <w:ind w:right="11"/>
                  </w:pPr>
                  <w:r>
                    <w:t>Qld</w:t>
                  </w:r>
                </w:p>
              </w:tc>
              <w:tc>
                <w:tcPr>
                  <w:tcW w:w="709"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5B" w14:textId="77777777" w:rsidR="00F05DC7" w:rsidRDefault="00F05DC7" w:rsidP="00A3786D">
                  <w:pPr>
                    <w:pStyle w:val="TableColumnHeading"/>
                    <w:ind w:right="11"/>
                  </w:pPr>
                  <w:r>
                    <w:t>WA</w:t>
                  </w:r>
                </w:p>
              </w:tc>
              <w:tc>
                <w:tcPr>
                  <w:tcW w:w="708"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5C" w14:textId="77777777" w:rsidR="00F05DC7" w:rsidRDefault="00F05DC7" w:rsidP="00A3786D">
                  <w:pPr>
                    <w:pStyle w:val="TableColumnHeading"/>
                    <w:ind w:right="11"/>
                  </w:pPr>
                  <w:r>
                    <w:t>SA</w:t>
                  </w:r>
                </w:p>
              </w:tc>
              <w:tc>
                <w:tcPr>
                  <w:tcW w:w="709"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5D" w14:textId="77777777" w:rsidR="00F05DC7" w:rsidRDefault="00F05DC7" w:rsidP="00A3786D">
                  <w:pPr>
                    <w:pStyle w:val="TableColumnHeading"/>
                    <w:ind w:right="11"/>
                  </w:pPr>
                  <w:r>
                    <w:t>Tas</w:t>
                  </w:r>
                </w:p>
              </w:tc>
              <w:tc>
                <w:tcPr>
                  <w:tcW w:w="709"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5E" w14:textId="77777777" w:rsidR="00F05DC7" w:rsidRDefault="00F05DC7" w:rsidP="00A3786D">
                  <w:pPr>
                    <w:pStyle w:val="TableColumnHeading"/>
                    <w:ind w:right="11"/>
                  </w:pPr>
                  <w:r>
                    <w:t>ACT</w:t>
                  </w:r>
                </w:p>
              </w:tc>
              <w:tc>
                <w:tcPr>
                  <w:tcW w:w="709"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5F" w14:textId="77777777" w:rsidR="00F05DC7" w:rsidRDefault="00F05DC7" w:rsidP="00A3786D">
                  <w:pPr>
                    <w:pStyle w:val="TableColumnHeading"/>
                    <w:ind w:right="11"/>
                  </w:pPr>
                  <w:r>
                    <w:t>NT</w:t>
                  </w:r>
                </w:p>
              </w:tc>
            </w:tr>
            <w:tr w:rsidR="00F05DC7" w14:paraId="7954B66A" w14:textId="77777777" w:rsidTr="00A3786D">
              <w:trPr>
                <w:trHeight w:val="283"/>
              </w:trPr>
              <w:tc>
                <w:tcPr>
                  <w:tcW w:w="2835" w:type="dxa"/>
                  <w:tcBorders>
                    <w:top w:val="nil"/>
                    <w:left w:val="nil"/>
                    <w:bottom w:val="nil"/>
                    <w:right w:val="nil"/>
                  </w:tcBorders>
                  <w:shd w:val="clear" w:color="auto" w:fill="auto"/>
                  <w:vAlign w:val="center"/>
                  <w:hideMark/>
                </w:tcPr>
                <w:p w14:paraId="7954B661" w14:textId="77777777" w:rsidR="00F05DC7" w:rsidRPr="00791D71" w:rsidRDefault="00F05DC7" w:rsidP="00A3786D">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Relativities</w:t>
                  </w:r>
                </w:p>
              </w:tc>
              <w:tc>
                <w:tcPr>
                  <w:tcW w:w="708" w:type="dxa"/>
                  <w:tcBorders>
                    <w:top w:val="nil"/>
                    <w:left w:val="nil"/>
                    <w:bottom w:val="nil"/>
                    <w:right w:val="nil"/>
                  </w:tcBorders>
                  <w:shd w:val="clear" w:color="auto" w:fill="auto"/>
                  <w:vAlign w:val="center"/>
                  <w:hideMark/>
                </w:tcPr>
                <w:p w14:paraId="7954B662"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hideMark/>
                </w:tcPr>
                <w:p w14:paraId="7954B663"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hideMark/>
                </w:tcPr>
                <w:p w14:paraId="7954B664"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hideMark/>
                </w:tcPr>
                <w:p w14:paraId="7954B665"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8" w:type="dxa"/>
                  <w:tcBorders>
                    <w:top w:val="nil"/>
                    <w:left w:val="nil"/>
                    <w:bottom w:val="nil"/>
                    <w:right w:val="nil"/>
                  </w:tcBorders>
                  <w:shd w:val="clear" w:color="auto" w:fill="auto"/>
                  <w:vAlign w:val="center"/>
                  <w:hideMark/>
                </w:tcPr>
                <w:p w14:paraId="7954B666"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hideMark/>
                </w:tcPr>
                <w:p w14:paraId="7954B667"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hideMark/>
                </w:tcPr>
                <w:p w14:paraId="7954B668"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hideMark/>
                </w:tcPr>
                <w:p w14:paraId="7954B669" w14:textId="77777777" w:rsidR="00F05DC7" w:rsidRPr="006C4F2C" w:rsidRDefault="00F05DC7" w:rsidP="00A3786D">
                  <w:pPr>
                    <w:spacing w:before="80"/>
                    <w:ind w:right="11"/>
                    <w:jc w:val="right"/>
                    <w:rPr>
                      <w:rFonts w:asciiTheme="minorHAnsi" w:hAnsiTheme="minorHAnsi" w:cstheme="minorHAnsi"/>
                      <w:color w:val="000000"/>
                      <w:sz w:val="18"/>
                      <w:szCs w:val="18"/>
                    </w:rPr>
                  </w:pPr>
                </w:p>
              </w:tc>
            </w:tr>
            <w:tr w:rsidR="00F05DC7" w14:paraId="7954B674" w14:textId="77777777" w:rsidTr="00A3786D">
              <w:trPr>
                <w:trHeight w:val="283"/>
              </w:trPr>
              <w:tc>
                <w:tcPr>
                  <w:tcW w:w="2835" w:type="dxa"/>
                  <w:tcBorders>
                    <w:top w:val="nil"/>
                    <w:left w:val="nil"/>
                    <w:bottom w:val="nil"/>
                    <w:right w:val="nil"/>
                  </w:tcBorders>
                  <w:shd w:val="clear" w:color="auto" w:fill="auto"/>
                  <w:vAlign w:val="center"/>
                  <w:hideMark/>
                </w:tcPr>
                <w:p w14:paraId="7954B66B" w14:textId="77777777" w:rsidR="00F05DC7" w:rsidRPr="00791D71" w:rsidRDefault="00F05DC7" w:rsidP="00A3786D">
                  <w:pPr>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708" w:type="dxa"/>
                  <w:tcBorders>
                    <w:top w:val="nil"/>
                    <w:left w:val="nil"/>
                    <w:bottom w:val="nil"/>
                    <w:right w:val="nil"/>
                  </w:tcBorders>
                  <w:shd w:val="clear" w:color="auto" w:fill="auto"/>
                  <w:tcMar>
                    <w:left w:w="0" w:type="dxa"/>
                    <w:right w:w="0" w:type="dxa"/>
                  </w:tcMar>
                  <w:vAlign w:val="center"/>
                  <w:hideMark/>
                </w:tcPr>
                <w:p w14:paraId="7954B66C"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0.86</w:t>
                  </w:r>
                </w:p>
              </w:tc>
              <w:tc>
                <w:tcPr>
                  <w:tcW w:w="709" w:type="dxa"/>
                  <w:tcBorders>
                    <w:top w:val="nil"/>
                    <w:left w:val="nil"/>
                    <w:bottom w:val="nil"/>
                    <w:right w:val="nil"/>
                  </w:tcBorders>
                  <w:shd w:val="clear" w:color="auto" w:fill="auto"/>
                  <w:tcMar>
                    <w:left w:w="0" w:type="dxa"/>
                    <w:right w:w="0" w:type="dxa"/>
                  </w:tcMar>
                  <w:vAlign w:val="center"/>
                  <w:hideMark/>
                </w:tcPr>
                <w:p w14:paraId="7954B66D"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0.99</w:t>
                  </w:r>
                </w:p>
              </w:tc>
              <w:tc>
                <w:tcPr>
                  <w:tcW w:w="709" w:type="dxa"/>
                  <w:tcBorders>
                    <w:top w:val="nil"/>
                    <w:left w:val="nil"/>
                    <w:bottom w:val="nil"/>
                    <w:right w:val="nil"/>
                  </w:tcBorders>
                  <w:shd w:val="clear" w:color="auto" w:fill="auto"/>
                  <w:tcMar>
                    <w:left w:w="0" w:type="dxa"/>
                    <w:right w:w="0" w:type="dxa"/>
                  </w:tcMar>
                  <w:vAlign w:val="center"/>
                  <w:hideMark/>
                </w:tcPr>
                <w:p w14:paraId="7954B66E"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1.10</w:t>
                  </w:r>
                </w:p>
              </w:tc>
              <w:tc>
                <w:tcPr>
                  <w:tcW w:w="709" w:type="dxa"/>
                  <w:tcBorders>
                    <w:top w:val="nil"/>
                    <w:left w:val="nil"/>
                    <w:bottom w:val="nil"/>
                    <w:right w:val="nil"/>
                  </w:tcBorders>
                  <w:shd w:val="clear" w:color="auto" w:fill="auto"/>
                  <w:tcMar>
                    <w:left w:w="0" w:type="dxa"/>
                    <w:right w:w="0" w:type="dxa"/>
                  </w:tcMar>
                  <w:vAlign w:val="center"/>
                  <w:hideMark/>
                </w:tcPr>
                <w:p w14:paraId="7954B66F"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0.47</w:t>
                  </w:r>
                </w:p>
              </w:tc>
              <w:tc>
                <w:tcPr>
                  <w:tcW w:w="708" w:type="dxa"/>
                  <w:tcBorders>
                    <w:top w:val="nil"/>
                    <w:left w:val="nil"/>
                    <w:bottom w:val="nil"/>
                    <w:right w:val="nil"/>
                  </w:tcBorders>
                  <w:shd w:val="clear" w:color="auto" w:fill="auto"/>
                  <w:tcMar>
                    <w:left w:w="0" w:type="dxa"/>
                    <w:right w:w="0" w:type="dxa"/>
                  </w:tcMar>
                  <w:vAlign w:val="center"/>
                  <w:hideMark/>
                </w:tcPr>
                <w:p w14:paraId="7954B670"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1.48</w:t>
                  </w:r>
                </w:p>
              </w:tc>
              <w:tc>
                <w:tcPr>
                  <w:tcW w:w="709" w:type="dxa"/>
                  <w:tcBorders>
                    <w:top w:val="nil"/>
                    <w:left w:val="nil"/>
                    <w:bottom w:val="nil"/>
                    <w:right w:val="nil"/>
                  </w:tcBorders>
                  <w:shd w:val="clear" w:color="auto" w:fill="auto"/>
                  <w:tcMar>
                    <w:left w:w="0" w:type="dxa"/>
                    <w:right w:w="0" w:type="dxa"/>
                  </w:tcMar>
                  <w:vAlign w:val="center"/>
                  <w:hideMark/>
                </w:tcPr>
                <w:p w14:paraId="7954B671"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1.77</w:t>
                  </w:r>
                </w:p>
              </w:tc>
              <w:tc>
                <w:tcPr>
                  <w:tcW w:w="709" w:type="dxa"/>
                  <w:tcBorders>
                    <w:top w:val="nil"/>
                    <w:left w:val="nil"/>
                    <w:bottom w:val="nil"/>
                    <w:right w:val="nil"/>
                  </w:tcBorders>
                  <w:shd w:val="clear" w:color="auto" w:fill="auto"/>
                  <w:tcMar>
                    <w:left w:w="0" w:type="dxa"/>
                    <w:right w:w="0" w:type="dxa"/>
                  </w:tcMar>
                  <w:vAlign w:val="center"/>
                  <w:hideMark/>
                </w:tcPr>
                <w:p w14:paraId="7954B672"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1.18</w:t>
                  </w:r>
                </w:p>
              </w:tc>
              <w:tc>
                <w:tcPr>
                  <w:tcW w:w="709" w:type="dxa"/>
                  <w:tcBorders>
                    <w:top w:val="nil"/>
                    <w:left w:val="nil"/>
                    <w:bottom w:val="nil"/>
                    <w:right w:val="nil"/>
                  </w:tcBorders>
                  <w:shd w:val="clear" w:color="auto" w:fill="auto"/>
                  <w:tcMar>
                    <w:left w:w="0" w:type="dxa"/>
                    <w:right w:w="0" w:type="dxa"/>
                  </w:tcMar>
                  <w:vAlign w:val="center"/>
                  <w:hideMark/>
                </w:tcPr>
                <w:p w14:paraId="7954B673"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4.26</w:t>
                  </w:r>
                </w:p>
              </w:tc>
            </w:tr>
            <w:tr w:rsidR="00F05DC7" w14:paraId="7954B67E" w14:textId="77777777" w:rsidTr="00A3786D">
              <w:trPr>
                <w:trHeight w:val="283"/>
              </w:trPr>
              <w:tc>
                <w:tcPr>
                  <w:tcW w:w="2835" w:type="dxa"/>
                  <w:tcBorders>
                    <w:top w:val="nil"/>
                    <w:left w:val="nil"/>
                    <w:bottom w:val="nil"/>
                    <w:right w:val="nil"/>
                  </w:tcBorders>
                  <w:shd w:val="clear" w:color="auto" w:fill="auto"/>
                  <w:vAlign w:val="center"/>
                  <w:hideMark/>
                </w:tcPr>
                <w:p w14:paraId="7954B675" w14:textId="77777777" w:rsidR="00F05DC7" w:rsidRPr="00791D71" w:rsidRDefault="00F05DC7" w:rsidP="00A3786D">
                  <w:pPr>
                    <w:rPr>
                      <w:rFonts w:asciiTheme="minorHAnsi" w:hAnsiTheme="minorHAnsi" w:cstheme="minorHAnsi"/>
                      <w:color w:val="000000"/>
                      <w:sz w:val="18"/>
                      <w:szCs w:val="18"/>
                    </w:rPr>
                  </w:pPr>
                  <w:r w:rsidRPr="00791D71">
                    <w:rPr>
                      <w:rFonts w:asciiTheme="minorHAnsi" w:hAnsiTheme="minorHAnsi" w:cstheme="minorHAnsi"/>
                      <w:color w:val="000000"/>
                      <w:sz w:val="18"/>
                      <w:szCs w:val="18"/>
                    </w:rPr>
                    <w:t>Actual per capita</w:t>
                  </w:r>
                </w:p>
              </w:tc>
              <w:tc>
                <w:tcPr>
                  <w:tcW w:w="708" w:type="dxa"/>
                  <w:tcBorders>
                    <w:top w:val="nil"/>
                    <w:left w:val="nil"/>
                    <w:bottom w:val="nil"/>
                    <w:right w:val="nil"/>
                  </w:tcBorders>
                  <w:shd w:val="clear" w:color="auto" w:fill="auto"/>
                  <w:tcMar>
                    <w:left w:w="0" w:type="dxa"/>
                    <w:right w:w="0" w:type="dxa"/>
                  </w:tcMar>
                  <w:vAlign w:val="center"/>
                </w:tcPr>
                <w:p w14:paraId="7954B676"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0.87</w:t>
                  </w:r>
                </w:p>
              </w:tc>
              <w:tc>
                <w:tcPr>
                  <w:tcW w:w="709" w:type="dxa"/>
                  <w:tcBorders>
                    <w:top w:val="nil"/>
                    <w:left w:val="nil"/>
                    <w:bottom w:val="nil"/>
                    <w:right w:val="nil"/>
                  </w:tcBorders>
                  <w:shd w:val="clear" w:color="auto" w:fill="auto"/>
                  <w:tcMar>
                    <w:left w:w="0" w:type="dxa"/>
                    <w:right w:w="0" w:type="dxa"/>
                  </w:tcMar>
                  <w:vAlign w:val="center"/>
                </w:tcPr>
                <w:p w14:paraId="7954B677"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0.94</w:t>
                  </w:r>
                </w:p>
              </w:tc>
              <w:tc>
                <w:tcPr>
                  <w:tcW w:w="709" w:type="dxa"/>
                  <w:tcBorders>
                    <w:top w:val="nil"/>
                    <w:left w:val="nil"/>
                    <w:bottom w:val="nil"/>
                    <w:right w:val="nil"/>
                  </w:tcBorders>
                  <w:shd w:val="clear" w:color="auto" w:fill="auto"/>
                  <w:tcMar>
                    <w:left w:w="0" w:type="dxa"/>
                    <w:right w:w="0" w:type="dxa"/>
                  </w:tcMar>
                  <w:vAlign w:val="center"/>
                </w:tcPr>
                <w:p w14:paraId="7954B678"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0.96</w:t>
                  </w:r>
                </w:p>
              </w:tc>
              <w:tc>
                <w:tcPr>
                  <w:tcW w:w="709" w:type="dxa"/>
                  <w:tcBorders>
                    <w:top w:val="nil"/>
                    <w:left w:val="nil"/>
                    <w:bottom w:val="nil"/>
                    <w:right w:val="nil"/>
                  </w:tcBorders>
                  <w:shd w:val="clear" w:color="auto" w:fill="auto"/>
                  <w:tcMar>
                    <w:left w:w="0" w:type="dxa"/>
                    <w:right w:w="0" w:type="dxa"/>
                  </w:tcMar>
                  <w:vAlign w:val="center"/>
                </w:tcPr>
                <w:p w14:paraId="7954B679"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0.72</w:t>
                  </w:r>
                </w:p>
              </w:tc>
              <w:tc>
                <w:tcPr>
                  <w:tcW w:w="708" w:type="dxa"/>
                  <w:tcBorders>
                    <w:top w:val="nil"/>
                    <w:left w:val="nil"/>
                    <w:bottom w:val="nil"/>
                    <w:right w:val="nil"/>
                  </w:tcBorders>
                  <w:shd w:val="clear" w:color="auto" w:fill="auto"/>
                  <w:tcMar>
                    <w:left w:w="0" w:type="dxa"/>
                    <w:right w:w="0" w:type="dxa"/>
                  </w:tcMar>
                  <w:vAlign w:val="center"/>
                </w:tcPr>
                <w:p w14:paraId="7954B67A"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1.34</w:t>
                  </w:r>
                </w:p>
              </w:tc>
              <w:tc>
                <w:tcPr>
                  <w:tcW w:w="709" w:type="dxa"/>
                  <w:tcBorders>
                    <w:top w:val="nil"/>
                    <w:left w:val="nil"/>
                    <w:bottom w:val="nil"/>
                    <w:right w:val="nil"/>
                  </w:tcBorders>
                  <w:shd w:val="clear" w:color="auto" w:fill="auto"/>
                  <w:tcMar>
                    <w:left w:w="0" w:type="dxa"/>
                    <w:right w:w="0" w:type="dxa"/>
                  </w:tcMar>
                  <w:vAlign w:val="center"/>
                </w:tcPr>
                <w:p w14:paraId="7954B67B"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1.47</w:t>
                  </w:r>
                </w:p>
              </w:tc>
              <w:tc>
                <w:tcPr>
                  <w:tcW w:w="709" w:type="dxa"/>
                  <w:tcBorders>
                    <w:top w:val="nil"/>
                    <w:left w:val="nil"/>
                    <w:bottom w:val="nil"/>
                    <w:right w:val="nil"/>
                  </w:tcBorders>
                  <w:shd w:val="clear" w:color="auto" w:fill="auto"/>
                  <w:tcMar>
                    <w:left w:w="0" w:type="dxa"/>
                    <w:right w:w="0" w:type="dxa"/>
                  </w:tcMar>
                  <w:vAlign w:val="center"/>
                </w:tcPr>
                <w:p w14:paraId="7954B67C"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1.68</w:t>
                  </w:r>
                </w:p>
              </w:tc>
              <w:tc>
                <w:tcPr>
                  <w:tcW w:w="709" w:type="dxa"/>
                  <w:tcBorders>
                    <w:top w:val="nil"/>
                    <w:left w:val="nil"/>
                    <w:bottom w:val="nil"/>
                    <w:right w:val="nil"/>
                  </w:tcBorders>
                  <w:shd w:val="clear" w:color="auto" w:fill="auto"/>
                  <w:tcMar>
                    <w:left w:w="0" w:type="dxa"/>
                    <w:right w:w="0" w:type="dxa"/>
                  </w:tcMar>
                  <w:vAlign w:val="center"/>
                </w:tcPr>
                <w:p w14:paraId="7954B67D"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color w:val="000000"/>
                      <w:sz w:val="18"/>
                      <w:szCs w:val="18"/>
                    </w:rPr>
                    <w:t>5.77</w:t>
                  </w:r>
                </w:p>
              </w:tc>
            </w:tr>
            <w:tr w:rsidR="00F05DC7" w14:paraId="7954B688" w14:textId="77777777" w:rsidTr="00A3786D">
              <w:trPr>
                <w:trHeight w:val="283"/>
              </w:trPr>
              <w:tc>
                <w:tcPr>
                  <w:tcW w:w="2835" w:type="dxa"/>
                  <w:tcBorders>
                    <w:top w:val="nil"/>
                    <w:left w:val="nil"/>
                    <w:bottom w:val="nil"/>
                    <w:right w:val="nil"/>
                  </w:tcBorders>
                  <w:shd w:val="clear" w:color="auto" w:fill="auto"/>
                  <w:vAlign w:val="center"/>
                  <w:hideMark/>
                </w:tcPr>
                <w:p w14:paraId="7954B67F" w14:textId="77777777" w:rsidR="00F05DC7" w:rsidRPr="00791D71" w:rsidRDefault="00F05DC7" w:rsidP="00A3786D">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708" w:type="dxa"/>
                  <w:tcBorders>
                    <w:top w:val="nil"/>
                    <w:left w:val="nil"/>
                    <w:bottom w:val="nil"/>
                    <w:right w:val="nil"/>
                  </w:tcBorders>
                  <w:shd w:val="clear" w:color="auto" w:fill="auto"/>
                  <w:vAlign w:val="center"/>
                </w:tcPr>
                <w:p w14:paraId="7954B680"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tcPr>
                <w:p w14:paraId="7954B681"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tcPr>
                <w:p w14:paraId="7954B682"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tcPr>
                <w:p w14:paraId="7954B683"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8" w:type="dxa"/>
                  <w:tcBorders>
                    <w:top w:val="nil"/>
                    <w:left w:val="nil"/>
                    <w:bottom w:val="nil"/>
                    <w:right w:val="nil"/>
                  </w:tcBorders>
                  <w:shd w:val="clear" w:color="auto" w:fill="auto"/>
                  <w:vAlign w:val="center"/>
                </w:tcPr>
                <w:p w14:paraId="7954B684"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tcPr>
                <w:p w14:paraId="7954B685"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tcPr>
                <w:p w14:paraId="7954B686"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center"/>
                </w:tcPr>
                <w:p w14:paraId="7954B687" w14:textId="77777777" w:rsidR="00F05DC7" w:rsidRPr="006C4F2C" w:rsidRDefault="00F05DC7" w:rsidP="00A3786D">
                  <w:pPr>
                    <w:spacing w:before="80"/>
                    <w:ind w:right="11"/>
                    <w:jc w:val="right"/>
                    <w:rPr>
                      <w:rFonts w:asciiTheme="minorHAnsi" w:hAnsiTheme="minorHAnsi" w:cstheme="minorHAnsi"/>
                      <w:color w:val="000000"/>
                      <w:sz w:val="18"/>
                      <w:szCs w:val="18"/>
                    </w:rPr>
                  </w:pPr>
                </w:p>
              </w:tc>
            </w:tr>
            <w:tr w:rsidR="00F05DC7" w14:paraId="7954B692" w14:textId="77777777" w:rsidTr="00A3786D">
              <w:trPr>
                <w:trHeight w:val="283"/>
              </w:trPr>
              <w:tc>
                <w:tcPr>
                  <w:tcW w:w="2835" w:type="dxa"/>
                  <w:tcBorders>
                    <w:top w:val="nil"/>
                    <w:left w:val="nil"/>
                    <w:bottom w:val="nil"/>
                    <w:right w:val="nil"/>
                  </w:tcBorders>
                  <w:shd w:val="clear" w:color="auto" w:fill="auto"/>
                  <w:vAlign w:val="center"/>
                  <w:hideMark/>
                </w:tcPr>
                <w:p w14:paraId="7954B689" w14:textId="77777777" w:rsidR="00F05DC7" w:rsidRPr="00791D71" w:rsidRDefault="00F05DC7" w:rsidP="00A3786D">
                  <w:pPr>
                    <w:rPr>
                      <w:rFonts w:asciiTheme="minorHAnsi" w:hAnsiTheme="minorHAnsi" w:cstheme="minorHAnsi"/>
                      <w:color w:val="000000"/>
                      <w:sz w:val="18"/>
                      <w:szCs w:val="18"/>
                    </w:rPr>
                  </w:pPr>
                  <w:r>
                    <w:rPr>
                      <w:rFonts w:asciiTheme="minorHAnsi" w:hAnsiTheme="minorHAnsi" w:cstheme="minorHAnsi"/>
                      <w:color w:val="000000"/>
                      <w:sz w:val="18"/>
                      <w:szCs w:val="18"/>
                    </w:rPr>
                    <w:t>$m</w:t>
                  </w:r>
                </w:p>
              </w:tc>
              <w:tc>
                <w:tcPr>
                  <w:tcW w:w="708" w:type="dxa"/>
                  <w:tcBorders>
                    <w:top w:val="nil"/>
                    <w:left w:val="nil"/>
                    <w:bottom w:val="nil"/>
                    <w:right w:val="nil"/>
                  </w:tcBorders>
                  <w:shd w:val="clear" w:color="auto" w:fill="auto"/>
                  <w:tcMar>
                    <w:left w:w="0" w:type="dxa"/>
                    <w:right w:w="0" w:type="dxa"/>
                  </w:tcMar>
                  <w:vAlign w:val="bottom"/>
                </w:tcPr>
                <w:p w14:paraId="7954B68A"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sz w:val="18"/>
                      <w:szCs w:val="18"/>
                    </w:rPr>
                    <w:t>258</w:t>
                  </w:r>
                </w:p>
              </w:tc>
              <w:tc>
                <w:tcPr>
                  <w:tcW w:w="709" w:type="dxa"/>
                  <w:tcBorders>
                    <w:top w:val="nil"/>
                    <w:left w:val="nil"/>
                    <w:bottom w:val="nil"/>
                    <w:right w:val="nil"/>
                  </w:tcBorders>
                  <w:shd w:val="clear" w:color="auto" w:fill="auto"/>
                  <w:tcMar>
                    <w:left w:w="0" w:type="dxa"/>
                    <w:right w:w="0" w:type="dxa"/>
                  </w:tcMar>
                  <w:vAlign w:val="bottom"/>
                </w:tcPr>
                <w:p w14:paraId="7954B68B"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sz w:val="18"/>
                      <w:szCs w:val="18"/>
                    </w:rPr>
                    <w:t>-709</w:t>
                  </w:r>
                </w:p>
              </w:tc>
              <w:tc>
                <w:tcPr>
                  <w:tcW w:w="709" w:type="dxa"/>
                  <w:tcBorders>
                    <w:top w:val="nil"/>
                    <w:left w:val="nil"/>
                    <w:bottom w:val="nil"/>
                    <w:right w:val="nil"/>
                  </w:tcBorders>
                  <w:shd w:val="clear" w:color="auto" w:fill="auto"/>
                  <w:tcMar>
                    <w:left w:w="0" w:type="dxa"/>
                    <w:right w:w="0" w:type="dxa"/>
                  </w:tcMar>
                  <w:vAlign w:val="bottom"/>
                </w:tcPr>
                <w:p w14:paraId="7954B68C"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sz w:val="18"/>
                      <w:szCs w:val="18"/>
                    </w:rPr>
                    <w:t>-1,746</w:t>
                  </w:r>
                </w:p>
              </w:tc>
              <w:tc>
                <w:tcPr>
                  <w:tcW w:w="709" w:type="dxa"/>
                  <w:tcBorders>
                    <w:top w:val="nil"/>
                    <w:left w:val="nil"/>
                    <w:bottom w:val="nil"/>
                    <w:right w:val="nil"/>
                  </w:tcBorders>
                  <w:shd w:val="clear" w:color="auto" w:fill="auto"/>
                  <w:tcMar>
                    <w:left w:w="0" w:type="dxa"/>
                    <w:right w:w="0" w:type="dxa"/>
                  </w:tcMar>
                  <w:vAlign w:val="bottom"/>
                </w:tcPr>
                <w:p w14:paraId="7954B68D"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sz w:val="18"/>
                      <w:szCs w:val="18"/>
                    </w:rPr>
                    <w:t>1,704</w:t>
                  </w:r>
                </w:p>
              </w:tc>
              <w:tc>
                <w:tcPr>
                  <w:tcW w:w="708" w:type="dxa"/>
                  <w:tcBorders>
                    <w:top w:val="nil"/>
                    <w:left w:val="nil"/>
                    <w:bottom w:val="nil"/>
                    <w:right w:val="nil"/>
                  </w:tcBorders>
                  <w:shd w:val="clear" w:color="auto" w:fill="auto"/>
                  <w:tcMar>
                    <w:left w:w="0" w:type="dxa"/>
                    <w:right w:w="0" w:type="dxa"/>
                  </w:tcMar>
                  <w:vAlign w:val="bottom"/>
                </w:tcPr>
                <w:p w14:paraId="7954B68E"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sz w:val="18"/>
                      <w:szCs w:val="18"/>
                    </w:rPr>
                    <w:t>-626</w:t>
                  </w:r>
                </w:p>
              </w:tc>
              <w:tc>
                <w:tcPr>
                  <w:tcW w:w="709" w:type="dxa"/>
                  <w:tcBorders>
                    <w:top w:val="nil"/>
                    <w:left w:val="nil"/>
                    <w:bottom w:val="nil"/>
                    <w:right w:val="nil"/>
                  </w:tcBorders>
                  <w:shd w:val="clear" w:color="auto" w:fill="auto"/>
                  <w:tcMar>
                    <w:left w:w="0" w:type="dxa"/>
                    <w:right w:w="0" w:type="dxa"/>
                  </w:tcMar>
                  <w:vAlign w:val="bottom"/>
                </w:tcPr>
                <w:p w14:paraId="7954B68F"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sz w:val="18"/>
                      <w:szCs w:val="18"/>
                    </w:rPr>
                    <w:t>-407</w:t>
                  </w:r>
                </w:p>
              </w:tc>
              <w:tc>
                <w:tcPr>
                  <w:tcW w:w="709" w:type="dxa"/>
                  <w:tcBorders>
                    <w:top w:val="nil"/>
                    <w:left w:val="nil"/>
                    <w:bottom w:val="nil"/>
                    <w:right w:val="nil"/>
                  </w:tcBorders>
                  <w:shd w:val="clear" w:color="auto" w:fill="auto"/>
                  <w:tcMar>
                    <w:left w:w="0" w:type="dxa"/>
                    <w:right w:w="0" w:type="dxa"/>
                  </w:tcMar>
                  <w:vAlign w:val="bottom"/>
                </w:tcPr>
                <w:p w14:paraId="7954B690"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sz w:val="18"/>
                      <w:szCs w:val="18"/>
                    </w:rPr>
                    <w:t>545</w:t>
                  </w:r>
                </w:p>
              </w:tc>
              <w:tc>
                <w:tcPr>
                  <w:tcW w:w="709" w:type="dxa"/>
                  <w:tcBorders>
                    <w:top w:val="nil"/>
                    <w:left w:val="nil"/>
                    <w:bottom w:val="nil"/>
                    <w:right w:val="nil"/>
                  </w:tcBorders>
                  <w:shd w:val="clear" w:color="auto" w:fill="auto"/>
                  <w:tcMar>
                    <w:left w:w="0" w:type="dxa"/>
                    <w:right w:w="0" w:type="dxa"/>
                  </w:tcMar>
                  <w:vAlign w:val="bottom"/>
                </w:tcPr>
                <w:p w14:paraId="7954B691" w14:textId="77777777" w:rsidR="00F05DC7" w:rsidRPr="00791D71" w:rsidRDefault="00F05DC7" w:rsidP="00A3786D">
                  <w:pPr>
                    <w:jc w:val="right"/>
                    <w:rPr>
                      <w:rFonts w:asciiTheme="minorHAnsi" w:hAnsiTheme="minorHAnsi" w:cstheme="minorHAnsi"/>
                      <w:color w:val="000000"/>
                      <w:sz w:val="18"/>
                      <w:szCs w:val="18"/>
                    </w:rPr>
                  </w:pPr>
                  <w:r>
                    <w:rPr>
                      <w:rFonts w:ascii="Arial" w:hAnsi="Arial" w:cs="Arial"/>
                      <w:sz w:val="18"/>
                      <w:szCs w:val="18"/>
                    </w:rPr>
                    <w:t>981</w:t>
                  </w:r>
                </w:p>
              </w:tc>
            </w:tr>
            <w:tr w:rsidR="00F05DC7" w14:paraId="7954B69C" w14:textId="77777777" w:rsidTr="00A3786D">
              <w:trPr>
                <w:trHeight w:val="283"/>
              </w:trPr>
              <w:tc>
                <w:tcPr>
                  <w:tcW w:w="2835" w:type="dxa"/>
                  <w:tcBorders>
                    <w:top w:val="nil"/>
                    <w:left w:val="nil"/>
                    <w:bottom w:val="nil"/>
                    <w:right w:val="nil"/>
                  </w:tcBorders>
                  <w:shd w:val="clear" w:color="auto" w:fill="auto"/>
                  <w:vAlign w:val="center"/>
                </w:tcPr>
                <w:p w14:paraId="7954B693" w14:textId="77777777" w:rsidR="00F05DC7" w:rsidRDefault="00F05DC7" w:rsidP="00A3786D">
                  <w:pPr>
                    <w:rPr>
                      <w:rFonts w:asciiTheme="minorHAnsi" w:hAnsiTheme="minorHAnsi" w:cstheme="minorHAnsi"/>
                      <w:color w:val="000000"/>
                      <w:sz w:val="18"/>
                      <w:szCs w:val="18"/>
                    </w:rPr>
                  </w:pPr>
                  <w:r>
                    <w:rPr>
                      <w:rFonts w:asciiTheme="minorHAnsi" w:hAnsiTheme="minorHAnsi" w:cstheme="minorHAnsi"/>
                      <w:color w:val="000000"/>
                      <w:sz w:val="18"/>
                      <w:szCs w:val="18"/>
                    </w:rPr>
                    <w:t>$pc</w:t>
                  </w:r>
                </w:p>
              </w:tc>
              <w:tc>
                <w:tcPr>
                  <w:tcW w:w="708" w:type="dxa"/>
                  <w:tcBorders>
                    <w:top w:val="nil"/>
                    <w:left w:val="nil"/>
                    <w:bottom w:val="nil"/>
                    <w:right w:val="nil"/>
                  </w:tcBorders>
                  <w:shd w:val="clear" w:color="auto" w:fill="auto"/>
                  <w:tcMar>
                    <w:left w:w="0" w:type="dxa"/>
                    <w:right w:w="0" w:type="dxa"/>
                  </w:tcMar>
                  <w:vAlign w:val="bottom"/>
                </w:tcPr>
                <w:p w14:paraId="7954B694" w14:textId="77777777" w:rsidR="00F05DC7" w:rsidRPr="00791D71" w:rsidRDefault="00F05DC7" w:rsidP="00A3786D">
                  <w:pPr>
                    <w:jc w:val="right"/>
                    <w:rPr>
                      <w:rFonts w:asciiTheme="minorHAnsi" w:hAnsiTheme="minorHAnsi" w:cstheme="minorHAnsi"/>
                      <w:sz w:val="18"/>
                      <w:szCs w:val="18"/>
                    </w:rPr>
                  </w:pPr>
                  <w:r>
                    <w:rPr>
                      <w:rFonts w:ascii="Arial" w:hAnsi="Arial" w:cs="Arial"/>
                      <w:sz w:val="18"/>
                      <w:szCs w:val="18"/>
                    </w:rPr>
                    <w:t>32</w:t>
                  </w:r>
                </w:p>
              </w:tc>
              <w:tc>
                <w:tcPr>
                  <w:tcW w:w="709" w:type="dxa"/>
                  <w:tcBorders>
                    <w:top w:val="nil"/>
                    <w:left w:val="nil"/>
                    <w:bottom w:val="nil"/>
                    <w:right w:val="nil"/>
                  </w:tcBorders>
                  <w:shd w:val="clear" w:color="auto" w:fill="auto"/>
                  <w:tcMar>
                    <w:left w:w="0" w:type="dxa"/>
                    <w:right w:w="0" w:type="dxa"/>
                  </w:tcMar>
                  <w:vAlign w:val="bottom"/>
                </w:tcPr>
                <w:p w14:paraId="7954B695" w14:textId="77777777" w:rsidR="00F05DC7" w:rsidRPr="00791D71" w:rsidRDefault="00F05DC7" w:rsidP="00A3786D">
                  <w:pPr>
                    <w:jc w:val="right"/>
                    <w:rPr>
                      <w:rFonts w:asciiTheme="minorHAnsi" w:hAnsiTheme="minorHAnsi" w:cstheme="minorHAnsi"/>
                      <w:sz w:val="18"/>
                      <w:szCs w:val="18"/>
                    </w:rPr>
                  </w:pPr>
                  <w:r>
                    <w:rPr>
                      <w:rFonts w:ascii="Arial" w:hAnsi="Arial" w:cs="Arial"/>
                      <w:sz w:val="18"/>
                      <w:szCs w:val="18"/>
                    </w:rPr>
                    <w:t>-109</w:t>
                  </w:r>
                </w:p>
              </w:tc>
              <w:tc>
                <w:tcPr>
                  <w:tcW w:w="709" w:type="dxa"/>
                  <w:tcBorders>
                    <w:top w:val="nil"/>
                    <w:left w:val="nil"/>
                    <w:bottom w:val="nil"/>
                    <w:right w:val="nil"/>
                  </w:tcBorders>
                  <w:shd w:val="clear" w:color="auto" w:fill="auto"/>
                  <w:tcMar>
                    <w:left w:w="0" w:type="dxa"/>
                    <w:right w:w="0" w:type="dxa"/>
                  </w:tcMar>
                  <w:vAlign w:val="bottom"/>
                </w:tcPr>
                <w:p w14:paraId="7954B696" w14:textId="77777777" w:rsidR="00F05DC7" w:rsidRPr="00791D71" w:rsidRDefault="00F05DC7" w:rsidP="00A3786D">
                  <w:pPr>
                    <w:jc w:val="right"/>
                    <w:rPr>
                      <w:rFonts w:asciiTheme="minorHAnsi" w:hAnsiTheme="minorHAnsi" w:cstheme="minorHAnsi"/>
                      <w:sz w:val="18"/>
                      <w:szCs w:val="18"/>
                    </w:rPr>
                  </w:pPr>
                  <w:r>
                    <w:rPr>
                      <w:rFonts w:ascii="Arial" w:hAnsi="Arial" w:cs="Arial"/>
                      <w:sz w:val="18"/>
                      <w:szCs w:val="18"/>
                    </w:rPr>
                    <w:t>-348</w:t>
                  </w:r>
                </w:p>
              </w:tc>
              <w:tc>
                <w:tcPr>
                  <w:tcW w:w="709" w:type="dxa"/>
                  <w:tcBorders>
                    <w:top w:val="nil"/>
                    <w:left w:val="nil"/>
                    <w:bottom w:val="nil"/>
                    <w:right w:val="nil"/>
                  </w:tcBorders>
                  <w:shd w:val="clear" w:color="auto" w:fill="auto"/>
                  <w:tcMar>
                    <w:left w:w="0" w:type="dxa"/>
                    <w:right w:w="0" w:type="dxa"/>
                  </w:tcMar>
                  <w:vAlign w:val="bottom"/>
                </w:tcPr>
                <w:p w14:paraId="7954B697" w14:textId="77777777" w:rsidR="00F05DC7" w:rsidRPr="00791D71" w:rsidRDefault="00F05DC7" w:rsidP="00A3786D">
                  <w:pPr>
                    <w:jc w:val="right"/>
                    <w:rPr>
                      <w:rFonts w:asciiTheme="minorHAnsi" w:hAnsiTheme="minorHAnsi" w:cstheme="minorHAnsi"/>
                      <w:sz w:val="18"/>
                      <w:szCs w:val="18"/>
                    </w:rPr>
                  </w:pPr>
                  <w:r>
                    <w:rPr>
                      <w:rFonts w:ascii="Arial" w:hAnsi="Arial" w:cs="Arial"/>
                      <w:sz w:val="18"/>
                      <w:szCs w:val="18"/>
                    </w:rPr>
                    <w:t>650</w:t>
                  </w:r>
                </w:p>
              </w:tc>
              <w:tc>
                <w:tcPr>
                  <w:tcW w:w="708" w:type="dxa"/>
                  <w:tcBorders>
                    <w:top w:val="nil"/>
                    <w:left w:val="nil"/>
                    <w:bottom w:val="nil"/>
                    <w:right w:val="nil"/>
                  </w:tcBorders>
                  <w:shd w:val="clear" w:color="auto" w:fill="auto"/>
                  <w:tcMar>
                    <w:left w:w="0" w:type="dxa"/>
                    <w:right w:w="0" w:type="dxa"/>
                  </w:tcMar>
                  <w:vAlign w:val="bottom"/>
                </w:tcPr>
                <w:p w14:paraId="7954B698" w14:textId="77777777" w:rsidR="00F05DC7" w:rsidRPr="00791D71" w:rsidRDefault="00F05DC7" w:rsidP="00A3786D">
                  <w:pPr>
                    <w:jc w:val="right"/>
                    <w:rPr>
                      <w:rFonts w:asciiTheme="minorHAnsi" w:hAnsiTheme="minorHAnsi" w:cstheme="minorHAnsi"/>
                      <w:sz w:val="18"/>
                      <w:szCs w:val="18"/>
                    </w:rPr>
                  </w:pPr>
                  <w:r>
                    <w:rPr>
                      <w:rFonts w:ascii="Arial" w:hAnsi="Arial" w:cs="Arial"/>
                      <w:sz w:val="18"/>
                      <w:szCs w:val="18"/>
                    </w:rPr>
                    <w:t>-360</w:t>
                  </w:r>
                </w:p>
              </w:tc>
              <w:tc>
                <w:tcPr>
                  <w:tcW w:w="709" w:type="dxa"/>
                  <w:tcBorders>
                    <w:top w:val="nil"/>
                    <w:left w:val="nil"/>
                    <w:bottom w:val="nil"/>
                    <w:right w:val="nil"/>
                  </w:tcBorders>
                  <w:shd w:val="clear" w:color="auto" w:fill="auto"/>
                  <w:tcMar>
                    <w:left w:w="0" w:type="dxa"/>
                    <w:right w:w="0" w:type="dxa"/>
                  </w:tcMar>
                  <w:vAlign w:val="bottom"/>
                </w:tcPr>
                <w:p w14:paraId="7954B699" w14:textId="77777777" w:rsidR="00F05DC7" w:rsidRPr="00791D71" w:rsidRDefault="00F05DC7" w:rsidP="00A3786D">
                  <w:pPr>
                    <w:jc w:val="right"/>
                    <w:rPr>
                      <w:rFonts w:asciiTheme="minorHAnsi" w:hAnsiTheme="minorHAnsi" w:cstheme="minorHAnsi"/>
                      <w:sz w:val="18"/>
                      <w:szCs w:val="18"/>
                    </w:rPr>
                  </w:pPr>
                  <w:r>
                    <w:rPr>
                      <w:rFonts w:ascii="Arial" w:hAnsi="Arial" w:cs="Arial"/>
                      <w:sz w:val="18"/>
                      <w:szCs w:val="18"/>
                    </w:rPr>
                    <w:t>-776</w:t>
                  </w:r>
                </w:p>
              </w:tc>
              <w:tc>
                <w:tcPr>
                  <w:tcW w:w="709" w:type="dxa"/>
                  <w:tcBorders>
                    <w:top w:val="nil"/>
                    <w:left w:val="nil"/>
                    <w:bottom w:val="nil"/>
                    <w:right w:val="nil"/>
                  </w:tcBorders>
                  <w:shd w:val="clear" w:color="auto" w:fill="auto"/>
                  <w:tcMar>
                    <w:left w:w="0" w:type="dxa"/>
                    <w:right w:w="0" w:type="dxa"/>
                  </w:tcMar>
                  <w:vAlign w:val="bottom"/>
                </w:tcPr>
                <w:p w14:paraId="7954B69A" w14:textId="77777777" w:rsidR="00F05DC7" w:rsidRPr="00791D71" w:rsidRDefault="00F05DC7" w:rsidP="00A3786D">
                  <w:pPr>
                    <w:jc w:val="right"/>
                    <w:rPr>
                      <w:rFonts w:asciiTheme="minorHAnsi" w:hAnsiTheme="minorHAnsi" w:cstheme="minorHAnsi"/>
                      <w:sz w:val="18"/>
                      <w:szCs w:val="18"/>
                    </w:rPr>
                  </w:pPr>
                  <w:r>
                    <w:rPr>
                      <w:rFonts w:ascii="Arial" w:hAnsi="Arial" w:cs="Arial"/>
                      <w:sz w:val="18"/>
                      <w:szCs w:val="18"/>
                    </w:rPr>
                    <w:t>1301</w:t>
                  </w:r>
                </w:p>
              </w:tc>
              <w:tc>
                <w:tcPr>
                  <w:tcW w:w="709" w:type="dxa"/>
                  <w:tcBorders>
                    <w:top w:val="nil"/>
                    <w:left w:val="nil"/>
                    <w:bottom w:val="nil"/>
                    <w:right w:val="nil"/>
                  </w:tcBorders>
                  <w:shd w:val="clear" w:color="auto" w:fill="auto"/>
                  <w:tcMar>
                    <w:left w:w="0" w:type="dxa"/>
                    <w:right w:w="0" w:type="dxa"/>
                  </w:tcMar>
                  <w:vAlign w:val="bottom"/>
                </w:tcPr>
                <w:p w14:paraId="7954B69B" w14:textId="77777777" w:rsidR="00F05DC7" w:rsidRPr="00791D71" w:rsidRDefault="00F05DC7" w:rsidP="00A3786D">
                  <w:pPr>
                    <w:jc w:val="right"/>
                    <w:rPr>
                      <w:rFonts w:asciiTheme="minorHAnsi" w:hAnsiTheme="minorHAnsi" w:cstheme="minorHAnsi"/>
                      <w:sz w:val="18"/>
                      <w:szCs w:val="18"/>
                    </w:rPr>
                  </w:pPr>
                  <w:r>
                    <w:rPr>
                      <w:rFonts w:ascii="Arial" w:hAnsi="Arial" w:cs="Arial"/>
                      <w:sz w:val="18"/>
                      <w:szCs w:val="18"/>
                    </w:rPr>
                    <w:t>3 983</w:t>
                  </w:r>
                </w:p>
              </w:tc>
            </w:tr>
            <w:tr w:rsidR="00F05DC7" w14:paraId="7954B6A6" w14:textId="77777777" w:rsidTr="00A3786D">
              <w:trPr>
                <w:trHeight w:val="283"/>
              </w:trPr>
              <w:tc>
                <w:tcPr>
                  <w:tcW w:w="2835" w:type="dxa"/>
                  <w:tcBorders>
                    <w:top w:val="nil"/>
                    <w:left w:val="nil"/>
                    <w:bottom w:val="nil"/>
                    <w:right w:val="nil"/>
                  </w:tcBorders>
                  <w:shd w:val="clear" w:color="auto" w:fill="auto"/>
                  <w:vAlign w:val="center"/>
                </w:tcPr>
                <w:p w14:paraId="7954B69D" w14:textId="77777777" w:rsidR="00F05DC7" w:rsidRPr="00791D71" w:rsidRDefault="00F05DC7" w:rsidP="00A3786D">
                  <w:pPr>
                    <w:rPr>
                      <w:rFonts w:asciiTheme="minorHAnsi" w:hAnsiTheme="minorHAnsi" w:cstheme="minorHAnsi"/>
                      <w:color w:val="000000"/>
                      <w:sz w:val="18"/>
                      <w:szCs w:val="18"/>
                    </w:rPr>
                  </w:pPr>
                  <w:r w:rsidRPr="002600E3">
                    <w:rPr>
                      <w:rFonts w:asciiTheme="minorHAnsi" w:hAnsiTheme="minorHAnsi" w:cstheme="minorHAnsi"/>
                      <w:color w:val="000000"/>
                      <w:sz w:val="18"/>
                      <w:szCs w:val="18"/>
                    </w:rPr>
                    <w:t>% change in State revenue</w:t>
                  </w:r>
                  <w:r w:rsidRPr="002600E3" w:rsidDel="00CE2770">
                    <w:rPr>
                      <w:rFonts w:asciiTheme="minorHAnsi" w:hAnsiTheme="minorHAnsi" w:cstheme="minorHAnsi"/>
                      <w:color w:val="000000"/>
                      <w:sz w:val="18"/>
                      <w:szCs w:val="18"/>
                    </w:rPr>
                    <w:t xml:space="preserve"> </w:t>
                  </w:r>
                </w:p>
              </w:tc>
              <w:tc>
                <w:tcPr>
                  <w:tcW w:w="708" w:type="dxa"/>
                  <w:tcBorders>
                    <w:top w:val="nil"/>
                    <w:left w:val="nil"/>
                    <w:bottom w:val="nil"/>
                    <w:right w:val="nil"/>
                  </w:tcBorders>
                  <w:shd w:val="clear" w:color="auto" w:fill="auto"/>
                  <w:tcMar>
                    <w:left w:w="0" w:type="dxa"/>
                    <w:right w:w="0" w:type="dxa"/>
                  </w:tcMar>
                  <w:vAlign w:val="bottom"/>
                </w:tcPr>
                <w:p w14:paraId="7954B69E" w14:textId="77777777" w:rsidR="00F05DC7" w:rsidRPr="00CE2770"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0</w:t>
                  </w:r>
                  <w:r w:rsidRPr="00D56517">
                    <w:rPr>
                      <w:rFonts w:asciiTheme="minorHAnsi" w:hAnsiTheme="minorHAnsi" w:cstheme="minorHAnsi"/>
                      <w:color w:val="000000"/>
                      <w:sz w:val="18"/>
                      <w:szCs w:val="18"/>
                    </w:rPr>
                    <w:t>.3</w:t>
                  </w:r>
                </w:p>
              </w:tc>
              <w:tc>
                <w:tcPr>
                  <w:tcW w:w="709" w:type="dxa"/>
                  <w:tcBorders>
                    <w:top w:val="nil"/>
                    <w:left w:val="nil"/>
                    <w:bottom w:val="nil"/>
                    <w:right w:val="nil"/>
                  </w:tcBorders>
                  <w:shd w:val="clear" w:color="auto" w:fill="auto"/>
                  <w:tcMar>
                    <w:left w:w="0" w:type="dxa"/>
                    <w:right w:w="0" w:type="dxa"/>
                  </w:tcMar>
                  <w:vAlign w:val="bottom"/>
                </w:tcPr>
                <w:p w14:paraId="7954B69F" w14:textId="77777777" w:rsidR="00F05DC7" w:rsidRPr="00CE2770" w:rsidRDefault="00F05DC7" w:rsidP="00A3786D">
                  <w:pPr>
                    <w:jc w:val="right"/>
                    <w:rPr>
                      <w:rFonts w:asciiTheme="minorHAnsi" w:hAnsiTheme="minorHAnsi" w:cstheme="minorHAnsi"/>
                      <w:color w:val="000000"/>
                      <w:sz w:val="18"/>
                      <w:szCs w:val="18"/>
                    </w:rPr>
                  </w:pPr>
                  <w:r w:rsidRPr="00D56517">
                    <w:rPr>
                      <w:rFonts w:asciiTheme="minorHAnsi" w:hAnsiTheme="minorHAnsi" w:cstheme="minorHAnsi"/>
                      <w:color w:val="000000"/>
                      <w:sz w:val="18"/>
                      <w:szCs w:val="18"/>
                    </w:rPr>
                    <w:t>-1.</w:t>
                  </w:r>
                  <w:r>
                    <w:rPr>
                      <w:rFonts w:asciiTheme="minorHAnsi" w:hAnsiTheme="minorHAnsi" w:cstheme="minorHAnsi"/>
                      <w:color w:val="000000"/>
                      <w:sz w:val="18"/>
                      <w:szCs w:val="18"/>
                    </w:rPr>
                    <w:t>0</w:t>
                  </w:r>
                </w:p>
              </w:tc>
              <w:tc>
                <w:tcPr>
                  <w:tcW w:w="709" w:type="dxa"/>
                  <w:tcBorders>
                    <w:top w:val="nil"/>
                    <w:left w:val="nil"/>
                    <w:bottom w:val="nil"/>
                    <w:right w:val="nil"/>
                  </w:tcBorders>
                  <w:shd w:val="clear" w:color="auto" w:fill="auto"/>
                  <w:tcMar>
                    <w:left w:w="0" w:type="dxa"/>
                    <w:right w:w="0" w:type="dxa"/>
                  </w:tcMar>
                  <w:vAlign w:val="bottom"/>
                </w:tcPr>
                <w:p w14:paraId="7954B6A0" w14:textId="77777777" w:rsidR="00F05DC7" w:rsidRPr="00CE2770" w:rsidRDefault="00F05DC7" w:rsidP="00A3786D">
                  <w:pPr>
                    <w:jc w:val="right"/>
                    <w:rPr>
                      <w:rFonts w:asciiTheme="minorHAnsi" w:hAnsiTheme="minorHAnsi" w:cstheme="minorHAnsi"/>
                      <w:color w:val="000000"/>
                      <w:sz w:val="18"/>
                      <w:szCs w:val="18"/>
                    </w:rPr>
                  </w:pPr>
                  <w:r w:rsidRPr="00D56517">
                    <w:rPr>
                      <w:rFonts w:asciiTheme="minorHAnsi" w:hAnsiTheme="minorHAnsi" w:cstheme="minorHAnsi"/>
                      <w:color w:val="000000"/>
                      <w:sz w:val="18"/>
                      <w:szCs w:val="18"/>
                    </w:rPr>
                    <w:t>-3.</w:t>
                  </w:r>
                  <w:r>
                    <w:rPr>
                      <w:rFonts w:asciiTheme="minorHAnsi" w:hAnsiTheme="minorHAnsi" w:cstheme="minorHAnsi"/>
                      <w:color w:val="000000"/>
                      <w:sz w:val="18"/>
                      <w:szCs w:val="18"/>
                    </w:rPr>
                    <w:t>1</w:t>
                  </w:r>
                </w:p>
              </w:tc>
              <w:tc>
                <w:tcPr>
                  <w:tcW w:w="709" w:type="dxa"/>
                  <w:tcBorders>
                    <w:top w:val="nil"/>
                    <w:left w:val="nil"/>
                    <w:bottom w:val="nil"/>
                    <w:right w:val="nil"/>
                  </w:tcBorders>
                  <w:shd w:val="clear" w:color="auto" w:fill="auto"/>
                  <w:tcMar>
                    <w:left w:w="0" w:type="dxa"/>
                    <w:right w:w="0" w:type="dxa"/>
                  </w:tcMar>
                  <w:vAlign w:val="bottom"/>
                </w:tcPr>
                <w:p w14:paraId="7954B6A1" w14:textId="77777777" w:rsidR="00F05DC7" w:rsidRPr="00CE2770"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5</w:t>
                  </w:r>
                  <w:r w:rsidRPr="00D56517">
                    <w:rPr>
                      <w:rFonts w:asciiTheme="minorHAnsi" w:hAnsiTheme="minorHAnsi" w:cstheme="minorHAnsi"/>
                      <w:color w:val="000000"/>
                      <w:sz w:val="18"/>
                      <w:szCs w:val="18"/>
                    </w:rPr>
                    <w:t>.</w:t>
                  </w:r>
                  <w:r>
                    <w:rPr>
                      <w:rFonts w:asciiTheme="minorHAnsi" w:hAnsiTheme="minorHAnsi" w:cstheme="minorHAnsi"/>
                      <w:color w:val="000000"/>
                      <w:sz w:val="18"/>
                      <w:szCs w:val="18"/>
                    </w:rPr>
                    <w:t>8</w:t>
                  </w:r>
                </w:p>
              </w:tc>
              <w:tc>
                <w:tcPr>
                  <w:tcW w:w="708" w:type="dxa"/>
                  <w:tcBorders>
                    <w:top w:val="nil"/>
                    <w:left w:val="nil"/>
                    <w:bottom w:val="nil"/>
                    <w:right w:val="nil"/>
                  </w:tcBorders>
                  <w:shd w:val="clear" w:color="auto" w:fill="auto"/>
                  <w:tcMar>
                    <w:left w:w="0" w:type="dxa"/>
                    <w:right w:w="0" w:type="dxa"/>
                  </w:tcMar>
                  <w:vAlign w:val="bottom"/>
                </w:tcPr>
                <w:p w14:paraId="7954B6A2" w14:textId="77777777" w:rsidR="00F05DC7" w:rsidRPr="00CE2770" w:rsidRDefault="00F05DC7" w:rsidP="00A3786D">
                  <w:pPr>
                    <w:jc w:val="right"/>
                    <w:rPr>
                      <w:rFonts w:asciiTheme="minorHAnsi" w:hAnsiTheme="minorHAnsi" w:cstheme="minorHAnsi"/>
                      <w:color w:val="000000"/>
                      <w:sz w:val="18"/>
                      <w:szCs w:val="18"/>
                    </w:rPr>
                  </w:pPr>
                  <w:r w:rsidRPr="00D56517">
                    <w:rPr>
                      <w:rFonts w:asciiTheme="minorHAnsi" w:hAnsiTheme="minorHAnsi" w:cstheme="minorHAnsi"/>
                      <w:color w:val="000000"/>
                      <w:sz w:val="18"/>
                      <w:szCs w:val="18"/>
                    </w:rPr>
                    <w:t>-</w:t>
                  </w:r>
                  <w:r>
                    <w:rPr>
                      <w:rFonts w:asciiTheme="minorHAnsi" w:hAnsiTheme="minorHAnsi" w:cstheme="minorHAnsi"/>
                      <w:color w:val="000000"/>
                      <w:sz w:val="18"/>
                      <w:szCs w:val="18"/>
                    </w:rPr>
                    <w:t>3</w:t>
                  </w:r>
                  <w:r w:rsidRPr="00D56517">
                    <w:rPr>
                      <w:rFonts w:asciiTheme="minorHAnsi" w:hAnsiTheme="minorHAnsi" w:cstheme="minorHAnsi"/>
                      <w:color w:val="000000"/>
                      <w:sz w:val="18"/>
                      <w:szCs w:val="18"/>
                    </w:rPr>
                    <w:t>.2</w:t>
                  </w:r>
                </w:p>
              </w:tc>
              <w:tc>
                <w:tcPr>
                  <w:tcW w:w="709" w:type="dxa"/>
                  <w:tcBorders>
                    <w:top w:val="nil"/>
                    <w:left w:val="nil"/>
                    <w:bottom w:val="nil"/>
                    <w:right w:val="nil"/>
                  </w:tcBorders>
                  <w:shd w:val="clear" w:color="auto" w:fill="auto"/>
                  <w:tcMar>
                    <w:left w:w="0" w:type="dxa"/>
                    <w:right w:w="0" w:type="dxa"/>
                  </w:tcMar>
                  <w:vAlign w:val="bottom"/>
                </w:tcPr>
                <w:p w14:paraId="7954B6A3" w14:textId="77777777" w:rsidR="00F05DC7" w:rsidRPr="00CE2770" w:rsidRDefault="00F05DC7" w:rsidP="00A3786D">
                  <w:pPr>
                    <w:jc w:val="right"/>
                    <w:rPr>
                      <w:rFonts w:asciiTheme="minorHAnsi" w:hAnsiTheme="minorHAnsi" w:cstheme="minorHAnsi"/>
                      <w:color w:val="000000"/>
                      <w:sz w:val="18"/>
                      <w:szCs w:val="18"/>
                    </w:rPr>
                  </w:pPr>
                  <w:r w:rsidRPr="00D56517">
                    <w:rPr>
                      <w:rFonts w:asciiTheme="minorHAnsi" w:hAnsiTheme="minorHAnsi" w:cstheme="minorHAnsi"/>
                      <w:color w:val="000000"/>
                      <w:sz w:val="18"/>
                      <w:szCs w:val="18"/>
                    </w:rPr>
                    <w:t>-</w:t>
                  </w:r>
                  <w:r>
                    <w:rPr>
                      <w:rFonts w:asciiTheme="minorHAnsi" w:hAnsiTheme="minorHAnsi" w:cstheme="minorHAnsi"/>
                      <w:color w:val="000000"/>
                      <w:sz w:val="18"/>
                      <w:szCs w:val="18"/>
                    </w:rPr>
                    <w:t>6</w:t>
                  </w:r>
                  <w:r w:rsidRPr="00D56517">
                    <w:rPr>
                      <w:rFonts w:asciiTheme="minorHAnsi" w:hAnsiTheme="minorHAnsi" w:cstheme="minorHAnsi"/>
                      <w:color w:val="000000"/>
                      <w:sz w:val="18"/>
                      <w:szCs w:val="18"/>
                    </w:rPr>
                    <w:t>.</w:t>
                  </w:r>
                  <w:r>
                    <w:rPr>
                      <w:rFonts w:asciiTheme="minorHAnsi" w:hAnsiTheme="minorHAnsi" w:cstheme="minorHAnsi"/>
                      <w:color w:val="000000"/>
                      <w:sz w:val="18"/>
                      <w:szCs w:val="18"/>
                    </w:rPr>
                    <w:t>8</w:t>
                  </w:r>
                </w:p>
              </w:tc>
              <w:tc>
                <w:tcPr>
                  <w:tcW w:w="709" w:type="dxa"/>
                  <w:tcBorders>
                    <w:top w:val="nil"/>
                    <w:left w:val="nil"/>
                    <w:bottom w:val="nil"/>
                    <w:right w:val="nil"/>
                  </w:tcBorders>
                  <w:shd w:val="clear" w:color="auto" w:fill="auto"/>
                  <w:tcMar>
                    <w:left w:w="0" w:type="dxa"/>
                    <w:right w:w="0" w:type="dxa"/>
                  </w:tcMar>
                  <w:vAlign w:val="bottom"/>
                </w:tcPr>
                <w:p w14:paraId="7954B6A4" w14:textId="77777777" w:rsidR="00F05DC7" w:rsidRPr="00CE2770"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9</w:t>
                  </w:r>
                  <w:r w:rsidRPr="00D56517">
                    <w:rPr>
                      <w:rFonts w:asciiTheme="minorHAnsi" w:hAnsiTheme="minorHAnsi" w:cstheme="minorHAnsi"/>
                      <w:color w:val="000000"/>
                      <w:sz w:val="18"/>
                      <w:szCs w:val="18"/>
                    </w:rPr>
                    <w:t>.</w:t>
                  </w:r>
                  <w:r>
                    <w:rPr>
                      <w:rFonts w:asciiTheme="minorHAnsi" w:hAnsiTheme="minorHAnsi" w:cstheme="minorHAnsi"/>
                      <w:color w:val="000000"/>
                      <w:sz w:val="18"/>
                      <w:szCs w:val="18"/>
                    </w:rPr>
                    <w:t>7</w:t>
                  </w:r>
                </w:p>
              </w:tc>
              <w:tc>
                <w:tcPr>
                  <w:tcW w:w="709" w:type="dxa"/>
                  <w:tcBorders>
                    <w:top w:val="nil"/>
                    <w:left w:val="nil"/>
                    <w:bottom w:val="nil"/>
                    <w:right w:val="nil"/>
                  </w:tcBorders>
                  <w:shd w:val="clear" w:color="auto" w:fill="auto"/>
                  <w:tcMar>
                    <w:left w:w="0" w:type="dxa"/>
                    <w:right w:w="0" w:type="dxa"/>
                  </w:tcMar>
                  <w:vAlign w:val="bottom"/>
                </w:tcPr>
                <w:p w14:paraId="7954B6A5" w14:textId="77777777" w:rsidR="00F05DC7" w:rsidRPr="00CE2770" w:rsidRDefault="00F05DC7" w:rsidP="00A3786D">
                  <w:pPr>
                    <w:jc w:val="right"/>
                    <w:rPr>
                      <w:rFonts w:asciiTheme="minorHAnsi" w:hAnsiTheme="minorHAnsi" w:cstheme="minorHAnsi"/>
                      <w:color w:val="000000"/>
                      <w:sz w:val="18"/>
                      <w:szCs w:val="18"/>
                    </w:rPr>
                  </w:pPr>
                  <w:r>
                    <w:rPr>
                      <w:rFonts w:asciiTheme="minorHAnsi" w:hAnsiTheme="minorHAnsi" w:cstheme="minorHAnsi"/>
                      <w:color w:val="000000"/>
                      <w:sz w:val="18"/>
                      <w:szCs w:val="18"/>
                    </w:rPr>
                    <w:t>18</w:t>
                  </w:r>
                  <w:r w:rsidRPr="00D56517">
                    <w:rPr>
                      <w:rFonts w:asciiTheme="minorHAnsi" w:hAnsiTheme="minorHAnsi" w:cstheme="minorHAnsi"/>
                      <w:color w:val="000000"/>
                      <w:sz w:val="18"/>
                      <w:szCs w:val="18"/>
                    </w:rPr>
                    <w:t>.2</w:t>
                  </w:r>
                </w:p>
              </w:tc>
            </w:tr>
            <w:tr w:rsidR="00F05DC7" w14:paraId="7954B6B0" w14:textId="77777777" w:rsidTr="00A3786D">
              <w:trPr>
                <w:trHeight w:val="283"/>
              </w:trPr>
              <w:tc>
                <w:tcPr>
                  <w:tcW w:w="2835" w:type="dxa"/>
                  <w:tcBorders>
                    <w:top w:val="nil"/>
                    <w:left w:val="nil"/>
                    <w:bottom w:val="nil"/>
                    <w:right w:val="nil"/>
                  </w:tcBorders>
                  <w:shd w:val="clear" w:color="auto" w:fill="auto"/>
                  <w:vAlign w:val="center"/>
                </w:tcPr>
                <w:p w14:paraId="7954B6A7" w14:textId="77777777" w:rsidR="00F05DC7" w:rsidRPr="00ED759E" w:rsidRDefault="00F05DC7" w:rsidP="00A3786D">
                  <w:pPr>
                    <w:rPr>
                      <w:rFonts w:asciiTheme="minorHAnsi" w:hAnsiTheme="minorHAnsi" w:cstheme="minorHAnsi"/>
                      <w:color w:val="000000"/>
                      <w:sz w:val="18"/>
                      <w:szCs w:val="18"/>
                    </w:rPr>
                  </w:pPr>
                  <w:r>
                    <w:rPr>
                      <w:rFonts w:ascii="Arial" w:hAnsi="Arial" w:cs="Arial"/>
                      <w:b/>
                      <w:bCs/>
                      <w:color w:val="000000"/>
                      <w:sz w:val="18"/>
                      <w:szCs w:val="18"/>
                    </w:rPr>
                    <w:t>Total redistribution from EPC</w:t>
                  </w:r>
                </w:p>
              </w:tc>
              <w:tc>
                <w:tcPr>
                  <w:tcW w:w="708" w:type="dxa"/>
                  <w:tcBorders>
                    <w:top w:val="nil"/>
                    <w:left w:val="nil"/>
                    <w:bottom w:val="nil"/>
                    <w:right w:val="nil"/>
                  </w:tcBorders>
                  <w:shd w:val="clear" w:color="auto" w:fill="auto"/>
                  <w:vAlign w:val="bottom"/>
                </w:tcPr>
                <w:p w14:paraId="7954B6A8"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bottom"/>
                </w:tcPr>
                <w:p w14:paraId="7954B6A9"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bottom"/>
                </w:tcPr>
                <w:p w14:paraId="7954B6AA"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bottom"/>
                </w:tcPr>
                <w:p w14:paraId="7954B6AB"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8" w:type="dxa"/>
                  <w:tcBorders>
                    <w:top w:val="nil"/>
                    <w:left w:val="nil"/>
                    <w:bottom w:val="nil"/>
                    <w:right w:val="nil"/>
                  </w:tcBorders>
                  <w:shd w:val="clear" w:color="auto" w:fill="auto"/>
                  <w:vAlign w:val="bottom"/>
                </w:tcPr>
                <w:p w14:paraId="7954B6AC"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bottom"/>
                </w:tcPr>
                <w:p w14:paraId="7954B6AD"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bottom"/>
                </w:tcPr>
                <w:p w14:paraId="7954B6AE" w14:textId="77777777" w:rsidR="00F05DC7" w:rsidRPr="006C4F2C" w:rsidRDefault="00F05DC7" w:rsidP="00A3786D">
                  <w:pPr>
                    <w:spacing w:before="80"/>
                    <w:ind w:right="11"/>
                    <w:jc w:val="right"/>
                    <w:rPr>
                      <w:rFonts w:asciiTheme="minorHAnsi" w:hAnsiTheme="minorHAnsi" w:cstheme="minorHAnsi"/>
                      <w:color w:val="000000"/>
                      <w:sz w:val="18"/>
                      <w:szCs w:val="18"/>
                    </w:rPr>
                  </w:pPr>
                </w:p>
              </w:tc>
              <w:tc>
                <w:tcPr>
                  <w:tcW w:w="709" w:type="dxa"/>
                  <w:tcBorders>
                    <w:top w:val="nil"/>
                    <w:left w:val="nil"/>
                    <w:bottom w:val="nil"/>
                    <w:right w:val="nil"/>
                  </w:tcBorders>
                  <w:shd w:val="clear" w:color="auto" w:fill="auto"/>
                  <w:vAlign w:val="bottom"/>
                </w:tcPr>
                <w:p w14:paraId="7954B6AF" w14:textId="77777777" w:rsidR="00F05DC7" w:rsidRPr="006C4F2C" w:rsidRDefault="00F05DC7" w:rsidP="00A3786D">
                  <w:pPr>
                    <w:spacing w:before="80"/>
                    <w:ind w:right="11"/>
                    <w:jc w:val="right"/>
                    <w:rPr>
                      <w:rFonts w:asciiTheme="minorHAnsi" w:hAnsiTheme="minorHAnsi" w:cstheme="minorHAnsi"/>
                      <w:color w:val="000000"/>
                      <w:sz w:val="18"/>
                      <w:szCs w:val="18"/>
                    </w:rPr>
                  </w:pPr>
                </w:p>
              </w:tc>
            </w:tr>
            <w:tr w:rsidR="00F05DC7" w14:paraId="7954B6B3" w14:textId="77777777" w:rsidTr="00A3786D">
              <w:trPr>
                <w:trHeight w:val="283"/>
              </w:trPr>
              <w:tc>
                <w:tcPr>
                  <w:tcW w:w="2835" w:type="dxa"/>
                  <w:tcBorders>
                    <w:top w:val="nil"/>
                    <w:left w:val="nil"/>
                    <w:bottom w:val="nil"/>
                    <w:right w:val="nil"/>
                  </w:tcBorders>
                  <w:shd w:val="clear" w:color="auto" w:fill="auto"/>
                  <w:vAlign w:val="center"/>
                </w:tcPr>
                <w:p w14:paraId="7954B6B1" w14:textId="77777777" w:rsidR="00F05DC7" w:rsidRDefault="00F05DC7" w:rsidP="00A3786D">
                  <w:pPr>
                    <w:rPr>
                      <w:rFonts w:asciiTheme="minorHAnsi" w:hAnsiTheme="minorHAnsi" w:cstheme="minorHAnsi"/>
                      <w:color w:val="000000"/>
                      <w:sz w:val="18"/>
                      <w:szCs w:val="18"/>
                    </w:rPr>
                  </w:pPr>
                  <w:r>
                    <w:rPr>
                      <w:rFonts w:ascii="Arial" w:hAnsi="Arial" w:cs="Arial"/>
                      <w:color w:val="000000"/>
                      <w:sz w:val="18"/>
                      <w:szCs w:val="18"/>
                    </w:rPr>
                    <w:t>Current approach</w:t>
                  </w:r>
                </w:p>
              </w:tc>
              <w:tc>
                <w:tcPr>
                  <w:tcW w:w="5670" w:type="dxa"/>
                  <w:gridSpan w:val="8"/>
                  <w:tcBorders>
                    <w:top w:val="nil"/>
                    <w:left w:val="nil"/>
                    <w:bottom w:val="nil"/>
                    <w:right w:val="nil"/>
                  </w:tcBorders>
                  <w:shd w:val="clear" w:color="auto" w:fill="auto"/>
                  <w:tcMar>
                    <w:left w:w="0" w:type="dxa"/>
                    <w:right w:w="0" w:type="dxa"/>
                  </w:tcMar>
                  <w:vAlign w:val="center"/>
                </w:tcPr>
                <w:p w14:paraId="7954B6B2" w14:textId="77777777" w:rsidR="00F05DC7" w:rsidRDefault="00F05DC7" w:rsidP="00A3786D">
                  <w:pPr>
                    <w:jc w:val="right"/>
                    <w:rPr>
                      <w:rFonts w:asciiTheme="minorHAnsi" w:hAnsiTheme="minorHAnsi" w:cstheme="minorHAnsi"/>
                      <w:sz w:val="18"/>
                      <w:szCs w:val="18"/>
                    </w:rPr>
                  </w:pPr>
                  <w:r>
                    <w:rPr>
                      <w:rFonts w:ascii="Arial" w:hAnsi="Arial" w:cs="Arial"/>
                      <w:color w:val="000000"/>
                      <w:sz w:val="18"/>
                      <w:szCs w:val="18"/>
                    </w:rPr>
                    <w:t>$6 840 million</w:t>
                  </w:r>
                </w:p>
              </w:tc>
            </w:tr>
            <w:tr w:rsidR="00F05DC7" w14:paraId="7954B6B6" w14:textId="77777777" w:rsidTr="00A3786D">
              <w:trPr>
                <w:trHeight w:val="283"/>
              </w:trPr>
              <w:tc>
                <w:tcPr>
                  <w:tcW w:w="2835" w:type="dxa"/>
                  <w:tcBorders>
                    <w:top w:val="nil"/>
                    <w:left w:val="nil"/>
                    <w:bottom w:val="single" w:sz="8" w:space="0" w:color="BFBFBF"/>
                    <w:right w:val="nil"/>
                  </w:tcBorders>
                  <w:shd w:val="clear" w:color="auto" w:fill="auto"/>
                  <w:vAlign w:val="center"/>
                </w:tcPr>
                <w:p w14:paraId="7954B6B4" w14:textId="77777777" w:rsidR="00F05DC7" w:rsidRDefault="00F05DC7" w:rsidP="00A3786D">
                  <w:pPr>
                    <w:rPr>
                      <w:rFonts w:asciiTheme="minorHAnsi" w:hAnsiTheme="minorHAnsi" w:cstheme="minorHAnsi"/>
                      <w:color w:val="000000"/>
                      <w:sz w:val="18"/>
                      <w:szCs w:val="18"/>
                    </w:rPr>
                  </w:pPr>
                  <w:r w:rsidRPr="00791D71">
                    <w:rPr>
                      <w:rFonts w:asciiTheme="minorHAnsi" w:hAnsiTheme="minorHAnsi" w:cstheme="minorHAnsi"/>
                      <w:color w:val="000000"/>
                      <w:sz w:val="18"/>
                      <w:szCs w:val="18"/>
                    </w:rPr>
                    <w:t>Actual per capita</w:t>
                  </w:r>
                </w:p>
              </w:tc>
              <w:tc>
                <w:tcPr>
                  <w:tcW w:w="5670" w:type="dxa"/>
                  <w:gridSpan w:val="8"/>
                  <w:tcBorders>
                    <w:top w:val="nil"/>
                    <w:left w:val="nil"/>
                    <w:bottom w:val="single" w:sz="8" w:space="0" w:color="BFBFBF"/>
                    <w:right w:val="nil"/>
                  </w:tcBorders>
                  <w:shd w:val="clear" w:color="auto" w:fill="auto"/>
                  <w:tcMar>
                    <w:left w:w="0" w:type="dxa"/>
                    <w:right w:w="0" w:type="dxa"/>
                  </w:tcMar>
                  <w:vAlign w:val="center"/>
                </w:tcPr>
                <w:p w14:paraId="7954B6B5" w14:textId="77777777" w:rsidR="00F05DC7" w:rsidRDefault="00F05DC7" w:rsidP="00A3786D">
                  <w:pPr>
                    <w:jc w:val="right"/>
                    <w:rPr>
                      <w:rFonts w:asciiTheme="minorHAnsi" w:hAnsiTheme="minorHAnsi" w:cstheme="minorHAnsi"/>
                      <w:sz w:val="18"/>
                      <w:szCs w:val="18"/>
                    </w:rPr>
                  </w:pPr>
                  <w:r>
                    <w:rPr>
                      <w:rFonts w:asciiTheme="minorHAnsi" w:hAnsiTheme="minorHAnsi" w:cstheme="minorHAnsi"/>
                      <w:sz w:val="18"/>
                      <w:szCs w:val="18"/>
                    </w:rPr>
                    <w:t>$6 049</w:t>
                  </w:r>
                  <w:r w:rsidRPr="00D35514">
                    <w:rPr>
                      <w:rFonts w:asciiTheme="minorHAnsi" w:hAnsiTheme="minorHAnsi" w:cstheme="minorHAnsi"/>
                      <w:sz w:val="18"/>
                      <w:szCs w:val="18"/>
                    </w:rPr>
                    <w:t> million</w:t>
                  </w:r>
                </w:p>
              </w:tc>
            </w:tr>
          </w:tbl>
          <w:p w14:paraId="7954B6B7" w14:textId="77777777" w:rsidR="00F05DC7" w:rsidRDefault="00F05DC7" w:rsidP="00A3786D">
            <w:pPr>
              <w:pStyle w:val="Box"/>
            </w:pPr>
          </w:p>
        </w:tc>
      </w:tr>
      <w:tr w:rsidR="00F05DC7" w14:paraId="7954B6BA" w14:textId="77777777" w:rsidTr="00A3786D">
        <w:tc>
          <w:tcPr>
            <w:tcW w:w="5000" w:type="pct"/>
            <w:tcBorders>
              <w:top w:val="nil"/>
              <w:left w:val="nil"/>
              <w:bottom w:val="nil"/>
              <w:right w:val="nil"/>
            </w:tcBorders>
            <w:shd w:val="clear" w:color="auto" w:fill="auto"/>
          </w:tcPr>
          <w:p w14:paraId="7954B6B9"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6BC" w14:textId="77777777" w:rsidTr="00A3786D">
        <w:tc>
          <w:tcPr>
            <w:tcW w:w="5000" w:type="pct"/>
            <w:tcBorders>
              <w:top w:val="nil"/>
              <w:left w:val="nil"/>
              <w:bottom w:val="single" w:sz="6" w:space="0" w:color="78A22F"/>
              <w:right w:val="nil"/>
            </w:tcBorders>
            <w:shd w:val="clear" w:color="auto" w:fill="auto"/>
          </w:tcPr>
          <w:p w14:paraId="7954B6BB" w14:textId="77777777" w:rsidR="00F05DC7" w:rsidRDefault="00F05DC7" w:rsidP="00A3786D">
            <w:pPr>
              <w:pStyle w:val="Box"/>
              <w:spacing w:before="0" w:line="120" w:lineRule="exact"/>
            </w:pPr>
          </w:p>
        </w:tc>
      </w:tr>
    </w:tbl>
    <w:p w14:paraId="7954B6BD" w14:textId="77777777" w:rsidR="00F05DC7" w:rsidRDefault="00F05DC7" w:rsidP="00A3786D">
      <w:pPr>
        <w:pStyle w:val="Heading3"/>
      </w:pPr>
      <w:r>
        <w:t>Historical GST impacts of selected alternative approaches</w:t>
      </w:r>
    </w:p>
    <w:p w14:paraId="7954B6BF" w14:textId="43A63989" w:rsidR="00F05DC7" w:rsidRDefault="00F05DC7" w:rsidP="00A3786D">
      <w:pPr>
        <w:pStyle w:val="BodyText"/>
      </w:pPr>
      <w:r>
        <w:t>The Commission has examined how alternative systems would have changed GST payments from the year 2000 onwards. Selected alternative approaches include a 0.70 floor, EPC distribution, equalisation to the average State and equalisation to the secon</w:t>
      </w:r>
      <w:r w:rsidR="001113B1">
        <w:t>d strongest State (figure C.1).</w:t>
      </w: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rsidRPr="0021572F" w14:paraId="7954B6C2" w14:textId="77777777" w:rsidTr="00A3786D">
        <w:trPr>
          <w:tblHeader/>
        </w:trPr>
        <w:tc>
          <w:tcPr>
            <w:tcW w:w="5000" w:type="pct"/>
            <w:tcBorders>
              <w:top w:val="single" w:sz="6" w:space="0" w:color="78A22F"/>
              <w:left w:val="nil"/>
              <w:bottom w:val="nil"/>
              <w:right w:val="nil"/>
            </w:tcBorders>
            <w:shd w:val="clear" w:color="auto" w:fill="auto"/>
          </w:tcPr>
          <w:p w14:paraId="7954B6C0" w14:textId="1EFC3F71" w:rsidR="00F05DC7" w:rsidRDefault="00F05DC7" w:rsidP="00A3786D">
            <w:pPr>
              <w:pStyle w:val="FigureTitle"/>
            </w:pPr>
            <w:r w:rsidRPr="00784A05">
              <w:rPr>
                <w:b w:val="0"/>
              </w:rPr>
              <w:lastRenderedPageBreak/>
              <w:t xml:space="preserve">Figure </w:t>
            </w:r>
            <w:r>
              <w:rPr>
                <w:b w:val="0"/>
              </w:rPr>
              <w:t>C.</w:t>
            </w:r>
            <w:r>
              <w:rPr>
                <w:b w:val="0"/>
                <w:noProof/>
              </w:rPr>
              <w:t>1</w:t>
            </w:r>
            <w:r>
              <w:tab/>
              <w:t xml:space="preserve">GST relativities </w:t>
            </w:r>
          </w:p>
          <w:p w14:paraId="7954B6C1" w14:textId="77777777" w:rsidR="00F05DC7" w:rsidRPr="0021572F" w:rsidRDefault="00F05DC7" w:rsidP="00A3786D">
            <w:pPr>
              <w:pStyle w:val="Subtitle"/>
            </w:pPr>
            <w:r>
              <w:t>Under current and alternative distributions, 2000</w:t>
            </w:r>
            <w:r>
              <w:noBreakHyphen/>
              <w:t>01 to 2017</w:t>
            </w:r>
            <w:r>
              <w:noBreakHyphen/>
              <w:t>18</w:t>
            </w:r>
          </w:p>
        </w:tc>
      </w:tr>
      <w:tr w:rsidR="00F05DC7" w14:paraId="7954B6DA"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F05DC7" w:rsidRPr="00B1465D" w14:paraId="7954B6C7" w14:textId="77777777" w:rsidTr="001002DD">
              <w:trPr>
                <w:trHeight w:val="2632"/>
                <w:tblHeader/>
                <w:jc w:val="center"/>
              </w:trPr>
              <w:tc>
                <w:tcPr>
                  <w:tcW w:w="8504" w:type="dxa"/>
                  <w:tcBorders>
                    <w:top w:val="nil"/>
                  </w:tcBorders>
                </w:tcPr>
                <w:p w14:paraId="7954B6C6" w14:textId="0C0899F7" w:rsidR="00F05DC7" w:rsidRPr="00B1465D" w:rsidRDefault="00682979" w:rsidP="00A3786D">
                  <w:pPr>
                    <w:pStyle w:val="Figure"/>
                    <w:spacing w:before="60" w:after="60"/>
                    <w:rPr>
                      <w:rFonts w:ascii="Arial" w:hAnsi="Arial" w:cs="Arial"/>
                      <w:sz w:val="18"/>
                      <w:szCs w:val="18"/>
                    </w:rPr>
                  </w:pPr>
                  <w:r w:rsidRPr="00682979">
                    <w:rPr>
                      <w:rFonts w:ascii="Arial" w:hAnsi="Arial" w:cs="Arial"/>
                      <w:noProof/>
                      <w:sz w:val="18"/>
                      <w:szCs w:val="18"/>
                    </w:rPr>
                    <w:drawing>
                      <wp:inline distT="0" distB="0" distL="0" distR="0" wp14:anchorId="5AADBF0D" wp14:editId="1FFB4664">
                        <wp:extent cx="5260340" cy="5948045"/>
                        <wp:effectExtent l="0" t="0" r="0" b="0"/>
                        <wp:docPr id="185" name="Picture 185" descr="This figure presents GST relativities for each State under current and alternative distributions from 2000-01 to 2018-19. It shows that fiscally weaker States — South Australia, Tasmania, the ACT, the Northern Territory, and, more recently, Queensland — receive higher GST relativities under current arrangements than they would receive under equalisation to the second strongest State or to the average fiscal capacity. Fiscally stronger States — New South Wales, Victoria and Western Australia — receive lower GST relativities under current arrangements than they would under equalisation to the second strongest State or to the average fiscal ca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260340" cy="5948045"/>
                                </a:xfrm>
                                <a:prstGeom prst="rect">
                                  <a:avLst/>
                                </a:prstGeom>
                                <a:noFill/>
                                <a:ln>
                                  <a:noFill/>
                                </a:ln>
                              </pic:spPr>
                            </pic:pic>
                          </a:graphicData>
                        </a:graphic>
                      </wp:inline>
                    </w:drawing>
                  </w:r>
                </w:p>
              </w:tc>
            </w:tr>
            <w:tr w:rsidR="00F05DC7" w:rsidRPr="00B1465D" w14:paraId="7954B6D8" w14:textId="77777777" w:rsidTr="00A3786D">
              <w:trPr>
                <w:trHeight w:val="112"/>
                <w:tblHeader/>
                <w:jc w:val="center"/>
              </w:trPr>
              <w:tc>
                <w:tcPr>
                  <w:tcW w:w="8504" w:type="dxa"/>
                  <w:tcBorders>
                    <w:top w:val="nil"/>
                    <w:bottom w:val="nil"/>
                  </w:tcBorders>
                </w:tcPr>
                <w:p w14:paraId="7954B6D7" w14:textId="22AF5E1A" w:rsidR="00F05DC7" w:rsidRPr="007C2659" w:rsidRDefault="00682979" w:rsidP="00A3786D">
                  <w:pPr>
                    <w:pStyle w:val="Figure"/>
                    <w:spacing w:before="60" w:after="60"/>
                    <w:rPr>
                      <w:rFonts w:ascii="Arial" w:hAnsi="Arial" w:cs="Arial"/>
                      <w:b/>
                      <w:sz w:val="18"/>
                      <w:szCs w:val="18"/>
                    </w:rPr>
                  </w:pPr>
                  <w:r w:rsidRPr="00682979">
                    <w:rPr>
                      <w:rFonts w:ascii="Arial" w:hAnsi="Arial" w:cs="Arial"/>
                      <w:b/>
                      <w:noProof/>
                      <w:sz w:val="18"/>
                      <w:szCs w:val="18"/>
                    </w:rPr>
                    <w:drawing>
                      <wp:inline distT="0" distB="0" distL="0" distR="0" wp14:anchorId="2F78D8AD" wp14:editId="3155C470">
                        <wp:extent cx="3318510" cy="706755"/>
                        <wp:effectExtent l="0" t="0" r="0" b="0"/>
                        <wp:docPr id="186" name="Picture 186" descr="This is the legend for the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318510" cy="706755"/>
                                </a:xfrm>
                                <a:prstGeom prst="rect">
                                  <a:avLst/>
                                </a:prstGeom>
                                <a:noFill/>
                                <a:ln>
                                  <a:noFill/>
                                </a:ln>
                              </pic:spPr>
                            </pic:pic>
                          </a:graphicData>
                        </a:graphic>
                      </wp:inline>
                    </w:drawing>
                  </w:r>
                </w:p>
              </w:tc>
            </w:tr>
          </w:tbl>
          <w:p w14:paraId="7954B6D9" w14:textId="77777777" w:rsidR="00F05DC7" w:rsidRDefault="00F05DC7" w:rsidP="00A3786D">
            <w:pPr>
              <w:pStyle w:val="Figure"/>
            </w:pPr>
          </w:p>
        </w:tc>
      </w:tr>
      <w:tr w:rsidR="00F05DC7" w:rsidRPr="00176D3F" w14:paraId="7954B6DC" w14:textId="77777777" w:rsidTr="00A3786D">
        <w:tc>
          <w:tcPr>
            <w:tcW w:w="5000" w:type="pct"/>
            <w:tcBorders>
              <w:top w:val="nil"/>
              <w:left w:val="nil"/>
              <w:bottom w:val="nil"/>
              <w:right w:val="nil"/>
            </w:tcBorders>
            <w:shd w:val="clear" w:color="auto" w:fill="auto"/>
          </w:tcPr>
          <w:p w14:paraId="7954B6DB" w14:textId="77777777" w:rsidR="00F05DC7" w:rsidRPr="00176D3F" w:rsidRDefault="00F05DC7" w:rsidP="00A3786D">
            <w:pPr>
              <w:pStyle w:val="Source"/>
            </w:pPr>
            <w:r>
              <w:rPr>
                <w:i/>
              </w:rPr>
              <w:t>S</w:t>
            </w:r>
            <w:r w:rsidRPr="00784A05">
              <w:rPr>
                <w:i/>
              </w:rPr>
              <w:t>ource</w:t>
            </w:r>
            <w:r w:rsidRPr="00176D3F">
              <w:t xml:space="preserve">: </w:t>
            </w:r>
            <w:r>
              <w:t>Productivity Commission estimates based on data provided by the CGC.</w:t>
            </w:r>
          </w:p>
        </w:tc>
      </w:tr>
      <w:tr w:rsidR="00F05DC7" w14:paraId="7954B6DE" w14:textId="77777777" w:rsidTr="00A3786D">
        <w:tc>
          <w:tcPr>
            <w:tcW w:w="5000" w:type="pct"/>
            <w:tcBorders>
              <w:top w:val="nil"/>
              <w:left w:val="nil"/>
              <w:bottom w:val="single" w:sz="6" w:space="0" w:color="78A22F"/>
              <w:right w:val="nil"/>
            </w:tcBorders>
            <w:shd w:val="clear" w:color="auto" w:fill="auto"/>
          </w:tcPr>
          <w:p w14:paraId="7954B6DD" w14:textId="77777777" w:rsidR="00F05DC7" w:rsidRDefault="00F05DC7" w:rsidP="00A3786D">
            <w:pPr>
              <w:pStyle w:val="Figurespace"/>
            </w:pPr>
          </w:p>
        </w:tc>
      </w:tr>
      <w:tr w:rsidR="00F05DC7" w:rsidRPr="00626D32" w14:paraId="7954B6E0" w14:textId="77777777" w:rsidTr="00A3786D">
        <w:tc>
          <w:tcPr>
            <w:tcW w:w="5000" w:type="pct"/>
            <w:tcBorders>
              <w:top w:val="single" w:sz="6" w:space="0" w:color="78A22F"/>
              <w:left w:val="nil"/>
              <w:bottom w:val="nil"/>
              <w:right w:val="nil"/>
            </w:tcBorders>
          </w:tcPr>
          <w:p w14:paraId="7954B6DF" w14:textId="77777777" w:rsidR="00F05DC7" w:rsidRPr="00626D32" w:rsidRDefault="00F05DC7" w:rsidP="00A3786D">
            <w:pPr>
              <w:pStyle w:val="BoxSpaceBelow"/>
            </w:pPr>
          </w:p>
        </w:tc>
      </w:tr>
    </w:tbl>
    <w:p w14:paraId="7954B6E1" w14:textId="167796C0" w:rsidR="00F05DC7" w:rsidRDefault="00F05DC7" w:rsidP="00A3786D">
      <w:pPr>
        <w:pStyle w:val="Heading2"/>
      </w:pPr>
      <w:bookmarkStart w:id="118" w:name="_Toc513637745"/>
      <w:r>
        <w:lastRenderedPageBreak/>
        <w:t>C.</w:t>
      </w:r>
      <w:r>
        <w:rPr>
          <w:noProof/>
        </w:rPr>
        <w:t>2</w:t>
      </w:r>
      <w:r>
        <w:tab/>
      </w:r>
      <w:r w:rsidRPr="00760FFE">
        <w:t>Adjustments to the current HFE system</w:t>
      </w:r>
      <w:bookmarkEnd w:id="118"/>
    </w:p>
    <w:p w14:paraId="7954B6E2" w14:textId="77777777" w:rsidR="00F05DC7" w:rsidRDefault="00F05DC7" w:rsidP="00A3786D">
      <w:pPr>
        <w:pStyle w:val="Heading3"/>
        <w:spacing w:before="280"/>
      </w:pPr>
      <w:r>
        <w:t>Discounting</w:t>
      </w:r>
      <w:r w:rsidRPr="00BC25DC">
        <w:t xml:space="preserve"> a share of royalties</w:t>
      </w:r>
    </w:p>
    <w:p w14:paraId="7954B6E3" w14:textId="77777777" w:rsidR="00F05DC7" w:rsidRDefault="00F05DC7" w:rsidP="00A3786D">
      <w:pPr>
        <w:pStyle w:val="BodyText"/>
      </w:pPr>
      <w:r>
        <w:t xml:space="preserve">Mineral royalty assessments have had substantial effects on GST payments in recent years. Discounting mineral revenue from the assessment involves calculating a proportion of assessed royalty revenue (the discount amount) on an EPC basis. Applying a 25 or 50 per cent discount to mineral royalty revenues to the current HFE system shifts GST payments to States with relatively larger mineral royalty revenue bases, including Queensland, Western Australia and the Northern Territory (table C.9). </w:t>
      </w:r>
    </w:p>
    <w:p w14:paraId="7954B6E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6E7" w14:textId="77777777" w:rsidTr="001113B1">
        <w:trPr>
          <w:tblHeader/>
        </w:trPr>
        <w:tc>
          <w:tcPr>
            <w:tcW w:w="5000" w:type="pct"/>
            <w:tcBorders>
              <w:top w:val="single" w:sz="6" w:space="0" w:color="78A22F"/>
              <w:left w:val="nil"/>
              <w:bottom w:val="nil"/>
              <w:right w:val="nil"/>
            </w:tcBorders>
            <w:shd w:val="clear" w:color="auto" w:fill="auto"/>
          </w:tcPr>
          <w:p w14:paraId="7954B6E5" w14:textId="1979BE69" w:rsidR="00F05DC7" w:rsidRDefault="00F05DC7" w:rsidP="00A3786D">
            <w:pPr>
              <w:pStyle w:val="TableTitle"/>
            </w:pPr>
            <w:r>
              <w:rPr>
                <w:b w:val="0"/>
              </w:rPr>
              <w:t>Table C.9</w:t>
            </w:r>
            <w:r>
              <w:tab/>
              <w:t>Effects of discounts to the mineral royalty assessment</w:t>
            </w:r>
          </w:p>
          <w:p w14:paraId="7954B6E6" w14:textId="77777777" w:rsidR="00F05DC7" w:rsidRPr="00784A05" w:rsidRDefault="00F05DC7" w:rsidP="00A3786D">
            <w:pPr>
              <w:pStyle w:val="Subtitle"/>
            </w:pPr>
            <w:r>
              <w:t>2018</w:t>
            </w:r>
            <w:r>
              <w:noBreakHyphen/>
              <w:t>19 GST payments and relativities</w:t>
            </w:r>
          </w:p>
        </w:tc>
      </w:tr>
      <w:tr w:rsidR="00F05DC7" w14:paraId="7954B770"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760"/>
              <w:gridCol w:w="838"/>
              <w:gridCol w:w="701"/>
              <w:gridCol w:w="701"/>
              <w:gridCol w:w="701"/>
              <w:gridCol w:w="701"/>
              <w:gridCol w:w="701"/>
              <w:gridCol w:w="701"/>
              <w:gridCol w:w="701"/>
            </w:tblGrid>
            <w:tr w:rsidR="00F05DC7" w14:paraId="7954B6F1" w14:textId="77777777" w:rsidTr="001113B1">
              <w:trPr>
                <w:trHeight w:val="288"/>
                <w:tblHeader/>
              </w:trPr>
              <w:tc>
                <w:tcPr>
                  <w:tcW w:w="162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E8" w14:textId="77777777" w:rsidR="00F05DC7" w:rsidRDefault="00F05DC7" w:rsidP="00A3786D">
                  <w:pPr>
                    <w:rPr>
                      <w:color w:val="000000"/>
                      <w:sz w:val="20"/>
                      <w:szCs w:val="20"/>
                    </w:rPr>
                  </w:pPr>
                  <w:r>
                    <w:rPr>
                      <w:color w:val="000000"/>
                      <w:sz w:val="20"/>
                      <w:szCs w:val="20"/>
                    </w:rPr>
                    <w:t> </w:t>
                  </w:r>
                </w:p>
              </w:tc>
              <w:tc>
                <w:tcPr>
                  <w:tcW w:w="49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E9" w14:textId="77777777" w:rsidR="00F05DC7" w:rsidRDefault="00F05DC7" w:rsidP="00A3786D">
                  <w:pPr>
                    <w:pStyle w:val="TableColumnHeading"/>
                    <w:ind w:right="57"/>
                  </w:pPr>
                  <w:r>
                    <w:t>NSW</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EA" w14:textId="77777777" w:rsidR="00F05DC7" w:rsidRDefault="00F05DC7" w:rsidP="00A3786D">
                  <w:pPr>
                    <w:pStyle w:val="TableColumnHeading"/>
                    <w:ind w:right="57"/>
                  </w:pPr>
                  <w:r>
                    <w:t>Vic</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EB" w14:textId="77777777" w:rsidR="00F05DC7" w:rsidRDefault="00F05DC7" w:rsidP="00A3786D">
                  <w:pPr>
                    <w:pStyle w:val="TableColumnHeading"/>
                    <w:ind w:right="57"/>
                  </w:pPr>
                  <w:r>
                    <w:t>Qld</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EC" w14:textId="77777777" w:rsidR="00F05DC7" w:rsidRDefault="00F05DC7" w:rsidP="00A3786D">
                  <w:pPr>
                    <w:pStyle w:val="TableColumnHeading"/>
                    <w:ind w:right="57"/>
                  </w:pPr>
                  <w:r>
                    <w:t>WA</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ED" w14:textId="77777777" w:rsidR="00F05DC7" w:rsidRDefault="00F05DC7" w:rsidP="00A3786D">
                  <w:pPr>
                    <w:pStyle w:val="TableColumnHeading"/>
                    <w:ind w:right="57"/>
                  </w:pPr>
                  <w:r>
                    <w:t>SA</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EE" w14:textId="77777777" w:rsidR="00F05DC7" w:rsidRDefault="00F05DC7" w:rsidP="00A3786D">
                  <w:pPr>
                    <w:pStyle w:val="TableColumnHeading"/>
                    <w:ind w:right="57"/>
                  </w:pPr>
                  <w:r>
                    <w:t>Tas</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EF" w14:textId="77777777" w:rsidR="00F05DC7" w:rsidRDefault="00F05DC7" w:rsidP="00A3786D">
                  <w:pPr>
                    <w:pStyle w:val="TableColumnHeading"/>
                    <w:ind w:right="57"/>
                  </w:pPr>
                  <w:r>
                    <w:t>ACT</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6F0" w14:textId="77777777" w:rsidR="00F05DC7" w:rsidRDefault="00F05DC7" w:rsidP="00A3786D">
                  <w:pPr>
                    <w:pStyle w:val="TableColumnHeading"/>
                    <w:ind w:right="57"/>
                  </w:pPr>
                  <w:r>
                    <w:t>NT</w:t>
                  </w:r>
                </w:p>
              </w:tc>
            </w:tr>
            <w:tr w:rsidR="00F05DC7" w14:paraId="7954B6FB"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hideMark/>
                </w:tcPr>
                <w:p w14:paraId="7954B6F2" w14:textId="77777777" w:rsidR="00F05DC7" w:rsidRPr="00791D71" w:rsidRDefault="00F05DC7" w:rsidP="00A3786D">
                  <w:pPr>
                    <w:spacing w:before="80"/>
                    <w:rPr>
                      <w:rFonts w:asciiTheme="minorHAnsi" w:hAnsiTheme="minorHAnsi" w:cstheme="minorHAnsi"/>
                      <w:b/>
                      <w:bCs/>
                      <w:color w:val="000000"/>
                      <w:sz w:val="18"/>
                      <w:szCs w:val="18"/>
                    </w:rPr>
                  </w:pPr>
                  <w:r>
                    <w:rPr>
                      <w:rFonts w:asciiTheme="minorHAnsi" w:hAnsiTheme="minorHAnsi" w:cstheme="minorHAnsi"/>
                      <w:b/>
                      <w:bCs/>
                      <w:color w:val="000000"/>
                      <w:sz w:val="18"/>
                      <w:szCs w:val="18"/>
                    </w:rPr>
                    <w:t>Relativities</w:t>
                  </w:r>
                </w:p>
              </w:tc>
              <w:tc>
                <w:tcPr>
                  <w:tcW w:w="493" w:type="pct"/>
                  <w:tcBorders>
                    <w:top w:val="nil"/>
                    <w:left w:val="nil"/>
                    <w:bottom w:val="nil"/>
                    <w:right w:val="nil"/>
                  </w:tcBorders>
                  <w:shd w:val="clear" w:color="auto" w:fill="auto"/>
                  <w:tcMar>
                    <w:left w:w="0" w:type="dxa"/>
                    <w:right w:w="0" w:type="dxa"/>
                  </w:tcMar>
                  <w:vAlign w:val="center"/>
                  <w:hideMark/>
                </w:tcPr>
                <w:p w14:paraId="7954B6F3" w14:textId="77777777" w:rsidR="00F05DC7" w:rsidRPr="00791D71" w:rsidRDefault="00F05DC7" w:rsidP="00A3786D">
                  <w:pPr>
                    <w:spacing w:before="80"/>
                    <w:rPr>
                      <w:rFonts w:asciiTheme="minorHAnsi" w:hAnsiTheme="minorHAnsi" w:cstheme="minorHAnsi"/>
                      <w:b/>
                      <w:bCs/>
                      <w:color w:val="000000"/>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6F4" w14:textId="77777777" w:rsidR="00F05DC7" w:rsidRPr="00791D71" w:rsidRDefault="00F05DC7" w:rsidP="00A3786D">
                  <w:pPr>
                    <w:spacing w:before="80"/>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6F5" w14:textId="77777777" w:rsidR="00F05DC7" w:rsidRPr="00791D71" w:rsidRDefault="00F05DC7" w:rsidP="00A3786D">
                  <w:pPr>
                    <w:spacing w:before="80"/>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6F6" w14:textId="77777777" w:rsidR="00F05DC7" w:rsidRPr="00791D71" w:rsidRDefault="00F05DC7" w:rsidP="00A3786D">
                  <w:pPr>
                    <w:spacing w:before="80"/>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6F7" w14:textId="77777777" w:rsidR="00F05DC7" w:rsidRPr="00791D71" w:rsidRDefault="00F05DC7" w:rsidP="00A3786D">
                  <w:pPr>
                    <w:spacing w:before="80"/>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6F8" w14:textId="77777777" w:rsidR="00F05DC7" w:rsidRPr="00791D71" w:rsidRDefault="00F05DC7" w:rsidP="00A3786D">
                  <w:pPr>
                    <w:spacing w:before="80"/>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6F9" w14:textId="77777777" w:rsidR="00F05DC7" w:rsidRPr="00791D71" w:rsidRDefault="00F05DC7" w:rsidP="00A3786D">
                  <w:pPr>
                    <w:spacing w:before="80"/>
                    <w:rPr>
                      <w:rFonts w:asciiTheme="minorHAnsi" w:hAnsiTheme="minorHAnsi" w:cstheme="minorHAnsi"/>
                      <w:sz w:val="18"/>
                      <w:szCs w:val="18"/>
                    </w:rPr>
                  </w:pPr>
                </w:p>
              </w:tc>
              <w:tc>
                <w:tcPr>
                  <w:tcW w:w="412" w:type="pct"/>
                  <w:tcBorders>
                    <w:top w:val="nil"/>
                    <w:left w:val="nil"/>
                    <w:bottom w:val="nil"/>
                    <w:right w:val="nil"/>
                  </w:tcBorders>
                  <w:shd w:val="clear" w:color="auto" w:fill="auto"/>
                  <w:tcMar>
                    <w:left w:w="0" w:type="dxa"/>
                    <w:right w:w="0" w:type="dxa"/>
                  </w:tcMar>
                  <w:vAlign w:val="center"/>
                  <w:hideMark/>
                </w:tcPr>
                <w:p w14:paraId="7954B6FA" w14:textId="77777777" w:rsidR="00F05DC7" w:rsidRPr="00791D71" w:rsidRDefault="00F05DC7" w:rsidP="00A3786D">
                  <w:pPr>
                    <w:spacing w:before="80"/>
                    <w:rPr>
                      <w:rFonts w:asciiTheme="minorHAnsi" w:hAnsiTheme="minorHAnsi" w:cstheme="minorHAnsi"/>
                      <w:sz w:val="18"/>
                      <w:szCs w:val="18"/>
                    </w:rPr>
                  </w:pPr>
                </w:p>
              </w:tc>
            </w:tr>
            <w:tr w:rsidR="00F05DC7" w14:paraId="7954B705"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hideMark/>
                </w:tcPr>
                <w:p w14:paraId="7954B6FC" w14:textId="77777777" w:rsidR="00F05DC7" w:rsidRPr="00791D71" w:rsidRDefault="00F05DC7" w:rsidP="00A3786D">
                  <w:pPr>
                    <w:pStyle w:val="TableBodyText"/>
                    <w:jc w:val="left"/>
                  </w:pPr>
                  <w:r w:rsidRPr="00791D71">
                    <w:t>Current approach</w:t>
                  </w:r>
                </w:p>
              </w:tc>
              <w:tc>
                <w:tcPr>
                  <w:tcW w:w="493" w:type="pct"/>
                  <w:tcBorders>
                    <w:top w:val="nil"/>
                    <w:left w:val="nil"/>
                    <w:bottom w:val="nil"/>
                    <w:right w:val="nil"/>
                  </w:tcBorders>
                  <w:shd w:val="clear" w:color="auto" w:fill="auto"/>
                  <w:tcMar>
                    <w:left w:w="0" w:type="dxa"/>
                    <w:right w:w="0" w:type="dxa"/>
                  </w:tcMar>
                  <w:vAlign w:val="center"/>
                  <w:hideMark/>
                </w:tcPr>
                <w:p w14:paraId="7954B6FD" w14:textId="77777777" w:rsidR="00F05DC7" w:rsidRPr="0014184F" w:rsidRDefault="00F05DC7" w:rsidP="00A3786D">
                  <w:pPr>
                    <w:pStyle w:val="TableBodyText"/>
                  </w:pPr>
                  <w:r w:rsidRPr="0014184F">
                    <w:t>0.86</w:t>
                  </w:r>
                </w:p>
              </w:tc>
              <w:tc>
                <w:tcPr>
                  <w:tcW w:w="412" w:type="pct"/>
                  <w:tcBorders>
                    <w:top w:val="nil"/>
                    <w:left w:val="nil"/>
                    <w:bottom w:val="nil"/>
                    <w:right w:val="nil"/>
                  </w:tcBorders>
                  <w:shd w:val="clear" w:color="auto" w:fill="auto"/>
                  <w:tcMar>
                    <w:left w:w="0" w:type="dxa"/>
                    <w:right w:w="0" w:type="dxa"/>
                  </w:tcMar>
                  <w:vAlign w:val="center"/>
                  <w:hideMark/>
                </w:tcPr>
                <w:p w14:paraId="7954B6FE" w14:textId="77777777" w:rsidR="00F05DC7" w:rsidRPr="0014184F" w:rsidRDefault="00F05DC7" w:rsidP="00A3786D">
                  <w:pPr>
                    <w:pStyle w:val="TableBodyText"/>
                  </w:pPr>
                  <w:r w:rsidRPr="0014184F">
                    <w:t>0.99</w:t>
                  </w:r>
                </w:p>
              </w:tc>
              <w:tc>
                <w:tcPr>
                  <w:tcW w:w="412" w:type="pct"/>
                  <w:tcBorders>
                    <w:top w:val="nil"/>
                    <w:left w:val="nil"/>
                    <w:bottom w:val="nil"/>
                    <w:right w:val="nil"/>
                  </w:tcBorders>
                  <w:shd w:val="clear" w:color="auto" w:fill="auto"/>
                  <w:tcMar>
                    <w:left w:w="0" w:type="dxa"/>
                    <w:right w:w="0" w:type="dxa"/>
                  </w:tcMar>
                  <w:vAlign w:val="center"/>
                  <w:hideMark/>
                </w:tcPr>
                <w:p w14:paraId="7954B6FF" w14:textId="77777777" w:rsidR="00F05DC7" w:rsidRPr="0014184F" w:rsidRDefault="00F05DC7" w:rsidP="00A3786D">
                  <w:pPr>
                    <w:pStyle w:val="TableBodyText"/>
                    <w:rPr>
                      <w:highlight w:val="yellow"/>
                    </w:rPr>
                  </w:pPr>
                  <w:r w:rsidRPr="0014184F">
                    <w:t>1.10</w:t>
                  </w:r>
                </w:p>
              </w:tc>
              <w:tc>
                <w:tcPr>
                  <w:tcW w:w="412" w:type="pct"/>
                  <w:tcBorders>
                    <w:top w:val="nil"/>
                    <w:left w:val="nil"/>
                    <w:bottom w:val="nil"/>
                    <w:right w:val="nil"/>
                  </w:tcBorders>
                  <w:shd w:val="clear" w:color="auto" w:fill="auto"/>
                  <w:tcMar>
                    <w:left w:w="0" w:type="dxa"/>
                    <w:right w:w="0" w:type="dxa"/>
                  </w:tcMar>
                  <w:vAlign w:val="center"/>
                  <w:hideMark/>
                </w:tcPr>
                <w:p w14:paraId="7954B700" w14:textId="77777777" w:rsidR="00F05DC7" w:rsidRPr="0014184F" w:rsidRDefault="00F05DC7" w:rsidP="00A3786D">
                  <w:pPr>
                    <w:pStyle w:val="TableBodyText"/>
                  </w:pPr>
                  <w:r w:rsidRPr="0014184F">
                    <w:t>0.47</w:t>
                  </w:r>
                </w:p>
              </w:tc>
              <w:tc>
                <w:tcPr>
                  <w:tcW w:w="412" w:type="pct"/>
                  <w:tcBorders>
                    <w:top w:val="nil"/>
                    <w:left w:val="nil"/>
                    <w:bottom w:val="nil"/>
                    <w:right w:val="nil"/>
                  </w:tcBorders>
                  <w:shd w:val="clear" w:color="auto" w:fill="auto"/>
                  <w:tcMar>
                    <w:left w:w="0" w:type="dxa"/>
                    <w:right w:w="0" w:type="dxa"/>
                  </w:tcMar>
                  <w:vAlign w:val="center"/>
                  <w:hideMark/>
                </w:tcPr>
                <w:p w14:paraId="7954B701" w14:textId="77777777" w:rsidR="00F05DC7" w:rsidRPr="0014184F" w:rsidRDefault="00F05DC7" w:rsidP="00A3786D">
                  <w:pPr>
                    <w:pStyle w:val="TableBodyText"/>
                  </w:pPr>
                  <w:r w:rsidRPr="0014184F">
                    <w:t>1.48</w:t>
                  </w:r>
                </w:p>
              </w:tc>
              <w:tc>
                <w:tcPr>
                  <w:tcW w:w="412" w:type="pct"/>
                  <w:tcBorders>
                    <w:top w:val="nil"/>
                    <w:left w:val="nil"/>
                    <w:bottom w:val="nil"/>
                    <w:right w:val="nil"/>
                  </w:tcBorders>
                  <w:shd w:val="clear" w:color="auto" w:fill="auto"/>
                  <w:tcMar>
                    <w:left w:w="0" w:type="dxa"/>
                    <w:right w:w="0" w:type="dxa"/>
                  </w:tcMar>
                  <w:vAlign w:val="center"/>
                  <w:hideMark/>
                </w:tcPr>
                <w:p w14:paraId="7954B702" w14:textId="77777777" w:rsidR="00F05DC7" w:rsidRPr="0014184F" w:rsidRDefault="00F05DC7" w:rsidP="00A3786D">
                  <w:pPr>
                    <w:pStyle w:val="TableBodyText"/>
                  </w:pPr>
                  <w:r w:rsidRPr="0014184F">
                    <w:t>1.77</w:t>
                  </w:r>
                </w:p>
              </w:tc>
              <w:tc>
                <w:tcPr>
                  <w:tcW w:w="412" w:type="pct"/>
                  <w:tcBorders>
                    <w:top w:val="nil"/>
                    <w:left w:val="nil"/>
                    <w:bottom w:val="nil"/>
                    <w:right w:val="nil"/>
                  </w:tcBorders>
                  <w:shd w:val="clear" w:color="auto" w:fill="auto"/>
                  <w:tcMar>
                    <w:left w:w="0" w:type="dxa"/>
                    <w:right w:w="0" w:type="dxa"/>
                  </w:tcMar>
                  <w:vAlign w:val="center"/>
                  <w:hideMark/>
                </w:tcPr>
                <w:p w14:paraId="7954B703" w14:textId="77777777" w:rsidR="00F05DC7" w:rsidRPr="0014184F" w:rsidRDefault="00F05DC7" w:rsidP="00A3786D">
                  <w:pPr>
                    <w:pStyle w:val="TableBodyText"/>
                  </w:pPr>
                  <w:r w:rsidRPr="0014184F">
                    <w:t>1.18</w:t>
                  </w:r>
                </w:p>
              </w:tc>
              <w:tc>
                <w:tcPr>
                  <w:tcW w:w="412" w:type="pct"/>
                  <w:tcBorders>
                    <w:top w:val="nil"/>
                    <w:left w:val="nil"/>
                    <w:bottom w:val="nil"/>
                    <w:right w:val="nil"/>
                  </w:tcBorders>
                  <w:shd w:val="clear" w:color="auto" w:fill="auto"/>
                  <w:tcMar>
                    <w:left w:w="0" w:type="dxa"/>
                    <w:right w:w="0" w:type="dxa"/>
                  </w:tcMar>
                  <w:vAlign w:val="center"/>
                  <w:hideMark/>
                </w:tcPr>
                <w:p w14:paraId="7954B704" w14:textId="77777777" w:rsidR="00F05DC7" w:rsidRPr="0014184F" w:rsidRDefault="00F05DC7" w:rsidP="00A3786D">
                  <w:pPr>
                    <w:pStyle w:val="TableBodyText"/>
                  </w:pPr>
                  <w:r w:rsidRPr="0014184F">
                    <w:t>4.26</w:t>
                  </w:r>
                </w:p>
              </w:tc>
            </w:tr>
            <w:tr w:rsidR="00F05DC7" w14:paraId="7954B70F"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hideMark/>
                </w:tcPr>
                <w:p w14:paraId="7954B706" w14:textId="77777777" w:rsidR="00F05DC7" w:rsidRPr="00290E19" w:rsidRDefault="00F05DC7" w:rsidP="00A3786D">
                  <w:pPr>
                    <w:pStyle w:val="TableBodyText"/>
                    <w:jc w:val="left"/>
                  </w:pPr>
                  <w:r w:rsidRPr="00290E19">
                    <w:t>25% discount</w:t>
                  </w:r>
                </w:p>
              </w:tc>
              <w:tc>
                <w:tcPr>
                  <w:tcW w:w="493" w:type="pct"/>
                  <w:tcBorders>
                    <w:top w:val="nil"/>
                    <w:left w:val="nil"/>
                    <w:bottom w:val="nil"/>
                    <w:right w:val="nil"/>
                  </w:tcBorders>
                  <w:shd w:val="clear" w:color="auto" w:fill="auto"/>
                  <w:tcMar>
                    <w:left w:w="0" w:type="dxa"/>
                    <w:right w:w="0" w:type="dxa"/>
                  </w:tcMar>
                  <w:vAlign w:val="bottom"/>
                  <w:hideMark/>
                </w:tcPr>
                <w:p w14:paraId="7954B707" w14:textId="77777777" w:rsidR="00F05DC7" w:rsidRPr="0014184F" w:rsidRDefault="00F05DC7" w:rsidP="00A3786D">
                  <w:pPr>
                    <w:pStyle w:val="TableBodyText"/>
                  </w:pPr>
                  <w:r w:rsidRPr="0014184F">
                    <w:t>0.83</w:t>
                  </w:r>
                </w:p>
              </w:tc>
              <w:tc>
                <w:tcPr>
                  <w:tcW w:w="412" w:type="pct"/>
                  <w:tcBorders>
                    <w:top w:val="nil"/>
                    <w:left w:val="nil"/>
                    <w:bottom w:val="nil"/>
                    <w:right w:val="nil"/>
                  </w:tcBorders>
                  <w:shd w:val="clear" w:color="auto" w:fill="auto"/>
                  <w:tcMar>
                    <w:left w:w="0" w:type="dxa"/>
                    <w:right w:w="0" w:type="dxa"/>
                  </w:tcMar>
                  <w:vAlign w:val="bottom"/>
                  <w:hideMark/>
                </w:tcPr>
                <w:p w14:paraId="7954B708" w14:textId="77777777" w:rsidR="00F05DC7" w:rsidRPr="0014184F" w:rsidRDefault="00F05DC7" w:rsidP="00A3786D">
                  <w:pPr>
                    <w:pStyle w:val="TableBodyText"/>
                  </w:pPr>
                  <w:r w:rsidRPr="0014184F">
                    <w:t>0.95</w:t>
                  </w:r>
                </w:p>
              </w:tc>
              <w:tc>
                <w:tcPr>
                  <w:tcW w:w="412" w:type="pct"/>
                  <w:tcBorders>
                    <w:top w:val="nil"/>
                    <w:left w:val="nil"/>
                    <w:bottom w:val="nil"/>
                    <w:right w:val="nil"/>
                  </w:tcBorders>
                  <w:shd w:val="clear" w:color="auto" w:fill="auto"/>
                  <w:tcMar>
                    <w:left w:w="0" w:type="dxa"/>
                    <w:right w:w="0" w:type="dxa"/>
                  </w:tcMar>
                  <w:vAlign w:val="bottom"/>
                  <w:hideMark/>
                </w:tcPr>
                <w:p w14:paraId="7954B709" w14:textId="77777777" w:rsidR="00F05DC7" w:rsidRPr="0014184F" w:rsidRDefault="00F05DC7" w:rsidP="00A3786D">
                  <w:pPr>
                    <w:pStyle w:val="TableBodyText"/>
                    <w:rPr>
                      <w:highlight w:val="yellow"/>
                    </w:rPr>
                  </w:pPr>
                  <w:r w:rsidRPr="0014184F">
                    <w:t>1.11</w:t>
                  </w:r>
                </w:p>
              </w:tc>
              <w:tc>
                <w:tcPr>
                  <w:tcW w:w="412" w:type="pct"/>
                  <w:tcBorders>
                    <w:top w:val="nil"/>
                    <w:left w:val="nil"/>
                    <w:bottom w:val="nil"/>
                    <w:right w:val="nil"/>
                  </w:tcBorders>
                  <w:shd w:val="clear" w:color="auto" w:fill="auto"/>
                  <w:tcMar>
                    <w:left w:w="0" w:type="dxa"/>
                    <w:right w:w="0" w:type="dxa"/>
                  </w:tcMar>
                  <w:vAlign w:val="bottom"/>
                  <w:hideMark/>
                </w:tcPr>
                <w:p w14:paraId="7954B70A" w14:textId="77777777" w:rsidR="00F05DC7" w:rsidRPr="0014184F" w:rsidRDefault="00F05DC7" w:rsidP="00A3786D">
                  <w:pPr>
                    <w:pStyle w:val="TableBodyText"/>
                  </w:pPr>
                  <w:r w:rsidRPr="0014184F">
                    <w:t>0.62</w:t>
                  </w:r>
                </w:p>
              </w:tc>
              <w:tc>
                <w:tcPr>
                  <w:tcW w:w="412" w:type="pct"/>
                  <w:tcBorders>
                    <w:top w:val="nil"/>
                    <w:left w:val="nil"/>
                    <w:bottom w:val="nil"/>
                    <w:right w:val="nil"/>
                  </w:tcBorders>
                  <w:shd w:val="clear" w:color="auto" w:fill="auto"/>
                  <w:tcMar>
                    <w:left w:w="0" w:type="dxa"/>
                    <w:right w:w="0" w:type="dxa"/>
                  </w:tcMar>
                  <w:vAlign w:val="bottom"/>
                  <w:hideMark/>
                </w:tcPr>
                <w:p w14:paraId="7954B70B" w14:textId="77777777" w:rsidR="00F05DC7" w:rsidRPr="0014184F" w:rsidRDefault="00F05DC7" w:rsidP="00A3786D">
                  <w:pPr>
                    <w:pStyle w:val="TableBodyText"/>
                  </w:pPr>
                  <w:r w:rsidRPr="0014184F">
                    <w:t>1.45</w:t>
                  </w:r>
                </w:p>
              </w:tc>
              <w:tc>
                <w:tcPr>
                  <w:tcW w:w="412" w:type="pct"/>
                  <w:tcBorders>
                    <w:top w:val="nil"/>
                    <w:left w:val="nil"/>
                    <w:bottom w:val="nil"/>
                    <w:right w:val="nil"/>
                  </w:tcBorders>
                  <w:shd w:val="clear" w:color="auto" w:fill="auto"/>
                  <w:tcMar>
                    <w:left w:w="0" w:type="dxa"/>
                    <w:right w:w="0" w:type="dxa"/>
                  </w:tcMar>
                  <w:vAlign w:val="bottom"/>
                  <w:hideMark/>
                </w:tcPr>
                <w:p w14:paraId="7954B70C" w14:textId="77777777" w:rsidR="00F05DC7" w:rsidRPr="0014184F" w:rsidRDefault="00F05DC7" w:rsidP="00A3786D">
                  <w:pPr>
                    <w:pStyle w:val="TableBodyText"/>
                  </w:pPr>
                  <w:r w:rsidRPr="0014184F">
                    <w:t>1.74</w:t>
                  </w:r>
                </w:p>
              </w:tc>
              <w:tc>
                <w:tcPr>
                  <w:tcW w:w="412" w:type="pct"/>
                  <w:tcBorders>
                    <w:top w:val="nil"/>
                    <w:left w:val="nil"/>
                    <w:bottom w:val="nil"/>
                    <w:right w:val="nil"/>
                  </w:tcBorders>
                  <w:shd w:val="clear" w:color="auto" w:fill="auto"/>
                  <w:tcMar>
                    <w:left w:w="0" w:type="dxa"/>
                    <w:right w:w="0" w:type="dxa"/>
                  </w:tcMar>
                  <w:vAlign w:val="bottom"/>
                  <w:hideMark/>
                </w:tcPr>
                <w:p w14:paraId="7954B70D" w14:textId="77777777" w:rsidR="00F05DC7" w:rsidRPr="0014184F" w:rsidRDefault="00F05DC7" w:rsidP="00A3786D">
                  <w:pPr>
                    <w:pStyle w:val="TableBodyText"/>
                  </w:pPr>
                  <w:r w:rsidRPr="0014184F">
                    <w:t>1.14</w:t>
                  </w:r>
                </w:p>
              </w:tc>
              <w:tc>
                <w:tcPr>
                  <w:tcW w:w="412" w:type="pct"/>
                  <w:tcBorders>
                    <w:top w:val="nil"/>
                    <w:left w:val="nil"/>
                    <w:bottom w:val="nil"/>
                    <w:right w:val="nil"/>
                  </w:tcBorders>
                  <w:shd w:val="clear" w:color="auto" w:fill="auto"/>
                  <w:tcMar>
                    <w:left w:w="0" w:type="dxa"/>
                    <w:right w:w="0" w:type="dxa"/>
                  </w:tcMar>
                  <w:vAlign w:val="bottom"/>
                  <w:hideMark/>
                </w:tcPr>
                <w:p w14:paraId="7954B70E" w14:textId="77777777" w:rsidR="00F05DC7" w:rsidRPr="0014184F" w:rsidRDefault="00F05DC7" w:rsidP="00A3786D">
                  <w:pPr>
                    <w:pStyle w:val="TableBodyText"/>
                  </w:pPr>
                  <w:r w:rsidRPr="0014184F">
                    <w:t>4.28</w:t>
                  </w:r>
                </w:p>
              </w:tc>
            </w:tr>
            <w:tr w:rsidR="00F05DC7" w14:paraId="7954B719"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B710" w14:textId="77777777" w:rsidR="00F05DC7" w:rsidRPr="00290E19" w:rsidRDefault="00F05DC7" w:rsidP="00A3786D">
                  <w:pPr>
                    <w:pStyle w:val="TableBodyText"/>
                    <w:jc w:val="left"/>
                  </w:pPr>
                  <w:r w:rsidRPr="00290E19">
                    <w:t>50% discount</w:t>
                  </w:r>
                </w:p>
              </w:tc>
              <w:tc>
                <w:tcPr>
                  <w:tcW w:w="493" w:type="pct"/>
                  <w:tcBorders>
                    <w:top w:val="nil"/>
                    <w:left w:val="nil"/>
                    <w:bottom w:val="nil"/>
                    <w:right w:val="nil"/>
                  </w:tcBorders>
                  <w:shd w:val="clear" w:color="auto" w:fill="auto"/>
                  <w:tcMar>
                    <w:left w:w="0" w:type="dxa"/>
                    <w:right w:w="0" w:type="dxa"/>
                  </w:tcMar>
                  <w:vAlign w:val="bottom"/>
                </w:tcPr>
                <w:p w14:paraId="7954B711" w14:textId="77777777" w:rsidR="00F05DC7" w:rsidRPr="0014184F" w:rsidRDefault="00F05DC7" w:rsidP="00A3786D">
                  <w:pPr>
                    <w:pStyle w:val="TableBodyText"/>
                  </w:pPr>
                  <w:r w:rsidRPr="0014184F">
                    <w:t>0.81</w:t>
                  </w:r>
                </w:p>
              </w:tc>
              <w:tc>
                <w:tcPr>
                  <w:tcW w:w="412" w:type="pct"/>
                  <w:tcBorders>
                    <w:top w:val="nil"/>
                    <w:left w:val="nil"/>
                    <w:bottom w:val="nil"/>
                    <w:right w:val="nil"/>
                  </w:tcBorders>
                  <w:shd w:val="clear" w:color="auto" w:fill="auto"/>
                  <w:tcMar>
                    <w:left w:w="0" w:type="dxa"/>
                    <w:right w:w="0" w:type="dxa"/>
                  </w:tcMar>
                  <w:vAlign w:val="bottom"/>
                </w:tcPr>
                <w:p w14:paraId="7954B712" w14:textId="77777777" w:rsidR="00F05DC7" w:rsidRPr="0014184F" w:rsidRDefault="00F05DC7" w:rsidP="00A3786D">
                  <w:pPr>
                    <w:pStyle w:val="TableBodyText"/>
                  </w:pPr>
                  <w:r w:rsidRPr="0014184F">
                    <w:t>0.90</w:t>
                  </w:r>
                </w:p>
              </w:tc>
              <w:tc>
                <w:tcPr>
                  <w:tcW w:w="412" w:type="pct"/>
                  <w:tcBorders>
                    <w:top w:val="nil"/>
                    <w:left w:val="nil"/>
                    <w:bottom w:val="nil"/>
                    <w:right w:val="nil"/>
                  </w:tcBorders>
                  <w:shd w:val="clear" w:color="auto" w:fill="auto"/>
                  <w:tcMar>
                    <w:left w:w="0" w:type="dxa"/>
                    <w:right w:w="0" w:type="dxa"/>
                  </w:tcMar>
                  <w:vAlign w:val="bottom"/>
                </w:tcPr>
                <w:p w14:paraId="7954B713" w14:textId="77777777" w:rsidR="00F05DC7" w:rsidRPr="0014184F" w:rsidRDefault="00F05DC7" w:rsidP="00A3786D">
                  <w:pPr>
                    <w:pStyle w:val="TableBodyText"/>
                  </w:pPr>
                  <w:r w:rsidRPr="0014184F">
                    <w:t>1.12</w:t>
                  </w:r>
                </w:p>
              </w:tc>
              <w:tc>
                <w:tcPr>
                  <w:tcW w:w="412" w:type="pct"/>
                  <w:tcBorders>
                    <w:top w:val="nil"/>
                    <w:left w:val="nil"/>
                    <w:bottom w:val="nil"/>
                    <w:right w:val="nil"/>
                  </w:tcBorders>
                  <w:shd w:val="clear" w:color="auto" w:fill="auto"/>
                  <w:tcMar>
                    <w:left w:w="0" w:type="dxa"/>
                    <w:right w:w="0" w:type="dxa"/>
                  </w:tcMar>
                  <w:vAlign w:val="bottom"/>
                </w:tcPr>
                <w:p w14:paraId="7954B714" w14:textId="77777777" w:rsidR="00F05DC7" w:rsidRPr="0014184F" w:rsidRDefault="00F05DC7" w:rsidP="00A3786D">
                  <w:pPr>
                    <w:pStyle w:val="TableBodyText"/>
                  </w:pPr>
                  <w:r w:rsidRPr="0014184F">
                    <w:t>0.83</w:t>
                  </w:r>
                </w:p>
              </w:tc>
              <w:tc>
                <w:tcPr>
                  <w:tcW w:w="412" w:type="pct"/>
                  <w:tcBorders>
                    <w:top w:val="nil"/>
                    <w:left w:val="nil"/>
                    <w:bottom w:val="nil"/>
                    <w:right w:val="nil"/>
                  </w:tcBorders>
                  <w:shd w:val="clear" w:color="auto" w:fill="auto"/>
                  <w:tcMar>
                    <w:left w:w="0" w:type="dxa"/>
                    <w:right w:w="0" w:type="dxa"/>
                  </w:tcMar>
                  <w:vAlign w:val="bottom"/>
                </w:tcPr>
                <w:p w14:paraId="7954B715" w14:textId="77777777" w:rsidR="00F05DC7" w:rsidRPr="0014184F" w:rsidRDefault="00F05DC7" w:rsidP="00A3786D">
                  <w:pPr>
                    <w:pStyle w:val="TableBodyText"/>
                  </w:pPr>
                  <w:r w:rsidRPr="0014184F">
                    <w:t>1.42</w:t>
                  </w:r>
                </w:p>
              </w:tc>
              <w:tc>
                <w:tcPr>
                  <w:tcW w:w="412" w:type="pct"/>
                  <w:tcBorders>
                    <w:top w:val="nil"/>
                    <w:left w:val="nil"/>
                    <w:bottom w:val="nil"/>
                    <w:right w:val="nil"/>
                  </w:tcBorders>
                  <w:shd w:val="clear" w:color="auto" w:fill="auto"/>
                  <w:tcMar>
                    <w:left w:w="0" w:type="dxa"/>
                    <w:right w:w="0" w:type="dxa"/>
                  </w:tcMar>
                  <w:vAlign w:val="bottom"/>
                </w:tcPr>
                <w:p w14:paraId="7954B716" w14:textId="77777777" w:rsidR="00F05DC7" w:rsidRPr="0014184F" w:rsidRDefault="00F05DC7" w:rsidP="00A3786D">
                  <w:pPr>
                    <w:pStyle w:val="TableBodyText"/>
                  </w:pPr>
                  <w:r w:rsidRPr="0014184F">
                    <w:t>1.70</w:t>
                  </w:r>
                </w:p>
              </w:tc>
              <w:tc>
                <w:tcPr>
                  <w:tcW w:w="412" w:type="pct"/>
                  <w:tcBorders>
                    <w:top w:val="nil"/>
                    <w:left w:val="nil"/>
                    <w:bottom w:val="nil"/>
                    <w:right w:val="nil"/>
                  </w:tcBorders>
                  <w:shd w:val="clear" w:color="auto" w:fill="auto"/>
                  <w:tcMar>
                    <w:left w:w="0" w:type="dxa"/>
                    <w:right w:w="0" w:type="dxa"/>
                  </w:tcMar>
                  <w:vAlign w:val="bottom"/>
                </w:tcPr>
                <w:p w14:paraId="7954B717" w14:textId="77777777" w:rsidR="00F05DC7" w:rsidRPr="0014184F" w:rsidRDefault="00F05DC7" w:rsidP="00A3786D">
                  <w:pPr>
                    <w:pStyle w:val="TableBodyText"/>
                  </w:pPr>
                  <w:r w:rsidRPr="0014184F">
                    <w:t>1.09</w:t>
                  </w:r>
                </w:p>
              </w:tc>
              <w:tc>
                <w:tcPr>
                  <w:tcW w:w="412" w:type="pct"/>
                  <w:tcBorders>
                    <w:top w:val="nil"/>
                    <w:left w:val="nil"/>
                    <w:bottom w:val="nil"/>
                    <w:right w:val="nil"/>
                  </w:tcBorders>
                  <w:shd w:val="clear" w:color="auto" w:fill="auto"/>
                  <w:tcMar>
                    <w:left w:w="0" w:type="dxa"/>
                    <w:right w:w="0" w:type="dxa"/>
                  </w:tcMar>
                  <w:vAlign w:val="bottom"/>
                </w:tcPr>
                <w:p w14:paraId="7954B718" w14:textId="77777777" w:rsidR="00F05DC7" w:rsidRPr="0014184F" w:rsidRDefault="00F05DC7" w:rsidP="00A3786D">
                  <w:pPr>
                    <w:pStyle w:val="TableBodyText"/>
                  </w:pPr>
                  <w:r w:rsidRPr="0014184F">
                    <w:t>4.30</w:t>
                  </w:r>
                </w:p>
              </w:tc>
            </w:tr>
            <w:tr w:rsidR="00F05DC7" w14:paraId="7954B71B"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7954B71A" w14:textId="77777777" w:rsidR="00F05DC7" w:rsidRPr="0014184F" w:rsidRDefault="00F05DC7" w:rsidP="00A3786D">
                  <w:pPr>
                    <w:spacing w:before="80"/>
                    <w:rPr>
                      <w:rFonts w:asciiTheme="minorHAnsi" w:hAnsiTheme="minorHAnsi" w:cstheme="minorHAnsi"/>
                      <w:sz w:val="18"/>
                      <w:szCs w:val="18"/>
                    </w:rPr>
                  </w:pPr>
                  <w:r w:rsidRPr="0014184F">
                    <w:rPr>
                      <w:rFonts w:asciiTheme="minorHAnsi" w:hAnsiTheme="minorHAnsi" w:cstheme="minorHAnsi"/>
                      <w:b/>
                      <w:bCs/>
                      <w:color w:val="000000"/>
                      <w:sz w:val="18"/>
                      <w:szCs w:val="18"/>
                    </w:rPr>
                    <w:t>Change in GST payments ($m)</w:t>
                  </w:r>
                </w:p>
              </w:tc>
            </w:tr>
            <w:tr w:rsidR="00F05DC7" w14:paraId="7954B725"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hideMark/>
                </w:tcPr>
                <w:p w14:paraId="7954B71C" w14:textId="77777777" w:rsidR="00F05DC7" w:rsidRPr="00290E19" w:rsidRDefault="00F05DC7" w:rsidP="00A3786D">
                  <w:pPr>
                    <w:pStyle w:val="TableBodyText"/>
                    <w:jc w:val="both"/>
                  </w:pPr>
                  <w:r w:rsidRPr="00290E19">
                    <w:t>25% discount</w:t>
                  </w:r>
                </w:p>
              </w:tc>
              <w:tc>
                <w:tcPr>
                  <w:tcW w:w="493" w:type="pct"/>
                  <w:tcBorders>
                    <w:top w:val="nil"/>
                    <w:left w:val="nil"/>
                    <w:bottom w:val="nil"/>
                    <w:right w:val="nil"/>
                  </w:tcBorders>
                  <w:shd w:val="clear" w:color="auto" w:fill="auto"/>
                  <w:tcMar>
                    <w:left w:w="0" w:type="dxa"/>
                    <w:right w:w="0" w:type="dxa"/>
                  </w:tcMar>
                  <w:vAlign w:val="bottom"/>
                  <w:hideMark/>
                </w:tcPr>
                <w:p w14:paraId="7954B71D" w14:textId="77777777" w:rsidR="00F05DC7" w:rsidRPr="0014184F" w:rsidRDefault="00F05DC7" w:rsidP="00A3786D">
                  <w:pPr>
                    <w:pStyle w:val="TableBodyText"/>
                  </w:pPr>
                  <w:r w:rsidRPr="0014184F">
                    <w:t>-428</w:t>
                  </w:r>
                </w:p>
              </w:tc>
              <w:tc>
                <w:tcPr>
                  <w:tcW w:w="412" w:type="pct"/>
                  <w:tcBorders>
                    <w:top w:val="nil"/>
                    <w:left w:val="nil"/>
                    <w:bottom w:val="nil"/>
                    <w:right w:val="nil"/>
                  </w:tcBorders>
                  <w:shd w:val="clear" w:color="auto" w:fill="auto"/>
                  <w:tcMar>
                    <w:left w:w="0" w:type="dxa"/>
                    <w:right w:w="0" w:type="dxa"/>
                  </w:tcMar>
                  <w:vAlign w:val="bottom"/>
                  <w:hideMark/>
                </w:tcPr>
                <w:p w14:paraId="7954B71E" w14:textId="77777777" w:rsidR="00F05DC7" w:rsidRPr="0014184F" w:rsidRDefault="00F05DC7" w:rsidP="00A3786D">
                  <w:pPr>
                    <w:pStyle w:val="TableBodyText"/>
                  </w:pPr>
                  <w:r w:rsidRPr="0014184F">
                    <w:t>-648</w:t>
                  </w:r>
                </w:p>
              </w:tc>
              <w:tc>
                <w:tcPr>
                  <w:tcW w:w="412" w:type="pct"/>
                  <w:tcBorders>
                    <w:top w:val="nil"/>
                    <w:left w:val="nil"/>
                    <w:bottom w:val="nil"/>
                    <w:right w:val="nil"/>
                  </w:tcBorders>
                  <w:shd w:val="clear" w:color="auto" w:fill="auto"/>
                  <w:tcMar>
                    <w:left w:w="0" w:type="dxa"/>
                    <w:right w:w="0" w:type="dxa"/>
                  </w:tcMar>
                  <w:vAlign w:val="bottom"/>
                  <w:hideMark/>
                </w:tcPr>
                <w:p w14:paraId="7954B71F" w14:textId="77777777" w:rsidR="00F05DC7" w:rsidRPr="0014184F" w:rsidRDefault="00F05DC7" w:rsidP="00A3786D">
                  <w:pPr>
                    <w:pStyle w:val="TableBodyText"/>
                  </w:pPr>
                  <w:r w:rsidRPr="0014184F">
                    <w:t>208</w:t>
                  </w:r>
                </w:p>
              </w:tc>
              <w:tc>
                <w:tcPr>
                  <w:tcW w:w="412" w:type="pct"/>
                  <w:tcBorders>
                    <w:top w:val="nil"/>
                    <w:left w:val="nil"/>
                    <w:bottom w:val="nil"/>
                    <w:right w:val="nil"/>
                  </w:tcBorders>
                  <w:shd w:val="clear" w:color="auto" w:fill="auto"/>
                  <w:tcMar>
                    <w:left w:w="0" w:type="dxa"/>
                    <w:right w:w="0" w:type="dxa"/>
                  </w:tcMar>
                  <w:vAlign w:val="bottom"/>
                  <w:hideMark/>
                </w:tcPr>
                <w:p w14:paraId="7954B720" w14:textId="77777777" w:rsidR="00F05DC7" w:rsidRPr="0014184F" w:rsidRDefault="00F05DC7" w:rsidP="00A3786D">
                  <w:pPr>
                    <w:pStyle w:val="TableBodyText"/>
                  </w:pPr>
                  <w:r w:rsidRPr="0014184F">
                    <w:t>1042</w:t>
                  </w:r>
                </w:p>
              </w:tc>
              <w:tc>
                <w:tcPr>
                  <w:tcW w:w="412" w:type="pct"/>
                  <w:tcBorders>
                    <w:top w:val="nil"/>
                    <w:left w:val="nil"/>
                    <w:bottom w:val="nil"/>
                    <w:right w:val="nil"/>
                  </w:tcBorders>
                  <w:shd w:val="clear" w:color="auto" w:fill="auto"/>
                  <w:tcMar>
                    <w:left w:w="0" w:type="dxa"/>
                    <w:right w:w="0" w:type="dxa"/>
                  </w:tcMar>
                  <w:vAlign w:val="bottom"/>
                  <w:hideMark/>
                </w:tcPr>
                <w:p w14:paraId="7954B721" w14:textId="77777777" w:rsidR="00F05DC7" w:rsidRPr="0014184F" w:rsidRDefault="00F05DC7" w:rsidP="00A3786D">
                  <w:pPr>
                    <w:pStyle w:val="TableBodyText"/>
                  </w:pPr>
                  <w:r w:rsidRPr="0014184F">
                    <w:t>-106</w:t>
                  </w:r>
                </w:p>
              </w:tc>
              <w:tc>
                <w:tcPr>
                  <w:tcW w:w="412" w:type="pct"/>
                  <w:tcBorders>
                    <w:top w:val="nil"/>
                    <w:left w:val="nil"/>
                    <w:bottom w:val="nil"/>
                    <w:right w:val="nil"/>
                  </w:tcBorders>
                  <w:shd w:val="clear" w:color="auto" w:fill="auto"/>
                  <w:tcMar>
                    <w:left w:w="0" w:type="dxa"/>
                    <w:right w:w="0" w:type="dxa"/>
                  </w:tcMar>
                  <w:vAlign w:val="bottom"/>
                  <w:hideMark/>
                </w:tcPr>
                <w:p w14:paraId="7954B722" w14:textId="77777777" w:rsidR="00F05DC7" w:rsidRPr="0014184F" w:rsidRDefault="00F05DC7" w:rsidP="00A3786D">
                  <w:pPr>
                    <w:pStyle w:val="TableBodyText"/>
                  </w:pPr>
                  <w:r w:rsidRPr="0014184F">
                    <w:t>-40</w:t>
                  </w:r>
                </w:p>
              </w:tc>
              <w:tc>
                <w:tcPr>
                  <w:tcW w:w="412" w:type="pct"/>
                  <w:tcBorders>
                    <w:top w:val="nil"/>
                    <w:left w:val="nil"/>
                    <w:bottom w:val="nil"/>
                    <w:right w:val="nil"/>
                  </w:tcBorders>
                  <w:shd w:val="clear" w:color="auto" w:fill="auto"/>
                  <w:tcMar>
                    <w:left w:w="0" w:type="dxa"/>
                    <w:right w:w="0" w:type="dxa"/>
                  </w:tcMar>
                  <w:vAlign w:val="bottom"/>
                  <w:hideMark/>
                </w:tcPr>
                <w:p w14:paraId="7954B723" w14:textId="77777777" w:rsidR="00F05DC7" w:rsidRPr="0014184F" w:rsidRDefault="00F05DC7" w:rsidP="00A3786D">
                  <w:pPr>
                    <w:pStyle w:val="TableBodyText"/>
                  </w:pPr>
                  <w:r w:rsidRPr="0014184F">
                    <w:t>-43</w:t>
                  </w:r>
                </w:p>
              </w:tc>
              <w:tc>
                <w:tcPr>
                  <w:tcW w:w="412" w:type="pct"/>
                  <w:tcBorders>
                    <w:top w:val="nil"/>
                    <w:left w:val="nil"/>
                    <w:bottom w:val="nil"/>
                    <w:right w:val="nil"/>
                  </w:tcBorders>
                  <w:shd w:val="clear" w:color="auto" w:fill="auto"/>
                  <w:tcMar>
                    <w:left w:w="0" w:type="dxa"/>
                    <w:right w:w="0" w:type="dxa"/>
                  </w:tcMar>
                  <w:vAlign w:val="bottom"/>
                  <w:hideMark/>
                </w:tcPr>
                <w:p w14:paraId="7954B724" w14:textId="77777777" w:rsidR="00F05DC7" w:rsidRPr="0014184F" w:rsidRDefault="00F05DC7" w:rsidP="00A3786D">
                  <w:pPr>
                    <w:pStyle w:val="TableBodyText"/>
                  </w:pPr>
                  <w:r w:rsidRPr="0014184F">
                    <w:t>15</w:t>
                  </w:r>
                </w:p>
              </w:tc>
            </w:tr>
            <w:tr w:rsidR="00F05DC7" w14:paraId="7954B72F"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B726" w14:textId="77777777" w:rsidR="00F05DC7" w:rsidRPr="00290E19" w:rsidRDefault="00F05DC7" w:rsidP="00A3786D">
                  <w:pPr>
                    <w:pStyle w:val="TableBodyText"/>
                    <w:jc w:val="left"/>
                  </w:pPr>
                  <w:r w:rsidRPr="00290E19">
                    <w:t>50% discount</w:t>
                  </w:r>
                </w:p>
              </w:tc>
              <w:tc>
                <w:tcPr>
                  <w:tcW w:w="493" w:type="pct"/>
                  <w:tcBorders>
                    <w:top w:val="nil"/>
                    <w:left w:val="nil"/>
                    <w:bottom w:val="nil"/>
                    <w:right w:val="nil"/>
                  </w:tcBorders>
                  <w:shd w:val="clear" w:color="auto" w:fill="auto"/>
                  <w:tcMar>
                    <w:left w:w="0" w:type="dxa"/>
                    <w:right w:w="0" w:type="dxa"/>
                  </w:tcMar>
                  <w:vAlign w:val="bottom"/>
                </w:tcPr>
                <w:p w14:paraId="7954B727" w14:textId="77777777" w:rsidR="00F05DC7" w:rsidRPr="0014184F" w:rsidRDefault="00F05DC7" w:rsidP="00A3786D">
                  <w:pPr>
                    <w:pStyle w:val="TableBodyText"/>
                  </w:pPr>
                  <w:r w:rsidRPr="0014184F">
                    <w:t>-857</w:t>
                  </w:r>
                </w:p>
              </w:tc>
              <w:tc>
                <w:tcPr>
                  <w:tcW w:w="412" w:type="pct"/>
                  <w:tcBorders>
                    <w:top w:val="nil"/>
                    <w:left w:val="nil"/>
                    <w:bottom w:val="nil"/>
                    <w:right w:val="nil"/>
                  </w:tcBorders>
                  <w:shd w:val="clear" w:color="auto" w:fill="auto"/>
                  <w:tcMar>
                    <w:left w:w="0" w:type="dxa"/>
                    <w:right w:w="0" w:type="dxa"/>
                  </w:tcMar>
                  <w:vAlign w:val="bottom"/>
                </w:tcPr>
                <w:p w14:paraId="7954B728" w14:textId="77777777" w:rsidR="00F05DC7" w:rsidRPr="0014184F" w:rsidRDefault="00F05DC7" w:rsidP="00A3786D">
                  <w:pPr>
                    <w:pStyle w:val="TableBodyText"/>
                  </w:pPr>
                  <w:r w:rsidRPr="0014184F">
                    <w:t>-1297</w:t>
                  </w:r>
                </w:p>
              </w:tc>
              <w:tc>
                <w:tcPr>
                  <w:tcW w:w="412" w:type="pct"/>
                  <w:tcBorders>
                    <w:top w:val="nil"/>
                    <w:left w:val="nil"/>
                    <w:bottom w:val="nil"/>
                    <w:right w:val="nil"/>
                  </w:tcBorders>
                  <w:shd w:val="clear" w:color="auto" w:fill="auto"/>
                  <w:tcMar>
                    <w:left w:w="0" w:type="dxa"/>
                    <w:right w:w="0" w:type="dxa"/>
                  </w:tcMar>
                  <w:vAlign w:val="bottom"/>
                </w:tcPr>
                <w:p w14:paraId="7954B729" w14:textId="77777777" w:rsidR="00F05DC7" w:rsidRPr="0014184F" w:rsidRDefault="00F05DC7" w:rsidP="00A3786D">
                  <w:pPr>
                    <w:pStyle w:val="TableBodyText"/>
                  </w:pPr>
                  <w:r w:rsidRPr="0014184F">
                    <w:t>415</w:t>
                  </w:r>
                </w:p>
              </w:tc>
              <w:tc>
                <w:tcPr>
                  <w:tcW w:w="412" w:type="pct"/>
                  <w:tcBorders>
                    <w:top w:val="nil"/>
                    <w:left w:val="nil"/>
                    <w:bottom w:val="nil"/>
                    <w:right w:val="nil"/>
                  </w:tcBorders>
                  <w:shd w:val="clear" w:color="auto" w:fill="auto"/>
                  <w:tcMar>
                    <w:left w:w="0" w:type="dxa"/>
                    <w:right w:w="0" w:type="dxa"/>
                  </w:tcMar>
                  <w:vAlign w:val="bottom"/>
                </w:tcPr>
                <w:p w14:paraId="7954B72A" w14:textId="77777777" w:rsidR="00F05DC7" w:rsidRPr="0014184F" w:rsidRDefault="00F05DC7" w:rsidP="00A3786D">
                  <w:pPr>
                    <w:pStyle w:val="TableBodyText"/>
                  </w:pPr>
                  <w:r w:rsidRPr="0014184F">
                    <w:t>2086</w:t>
                  </w:r>
                </w:p>
              </w:tc>
              <w:tc>
                <w:tcPr>
                  <w:tcW w:w="412" w:type="pct"/>
                  <w:tcBorders>
                    <w:top w:val="nil"/>
                    <w:left w:val="nil"/>
                    <w:bottom w:val="nil"/>
                    <w:right w:val="nil"/>
                  </w:tcBorders>
                  <w:shd w:val="clear" w:color="auto" w:fill="auto"/>
                  <w:tcMar>
                    <w:left w:w="0" w:type="dxa"/>
                    <w:right w:w="0" w:type="dxa"/>
                  </w:tcMar>
                  <w:vAlign w:val="bottom"/>
                </w:tcPr>
                <w:p w14:paraId="7954B72B" w14:textId="77777777" w:rsidR="00F05DC7" w:rsidRPr="0014184F" w:rsidRDefault="00F05DC7" w:rsidP="00A3786D">
                  <w:pPr>
                    <w:pStyle w:val="TableBodyText"/>
                  </w:pPr>
                  <w:r w:rsidRPr="0014184F">
                    <w:t>-212</w:t>
                  </w:r>
                </w:p>
              </w:tc>
              <w:tc>
                <w:tcPr>
                  <w:tcW w:w="412" w:type="pct"/>
                  <w:tcBorders>
                    <w:top w:val="nil"/>
                    <w:left w:val="nil"/>
                    <w:bottom w:val="nil"/>
                    <w:right w:val="nil"/>
                  </w:tcBorders>
                  <w:shd w:val="clear" w:color="auto" w:fill="auto"/>
                  <w:tcMar>
                    <w:left w:w="0" w:type="dxa"/>
                    <w:right w:w="0" w:type="dxa"/>
                  </w:tcMar>
                  <w:vAlign w:val="bottom"/>
                </w:tcPr>
                <w:p w14:paraId="7954B72C" w14:textId="77777777" w:rsidR="00F05DC7" w:rsidRPr="0014184F" w:rsidRDefault="00F05DC7" w:rsidP="00A3786D">
                  <w:pPr>
                    <w:pStyle w:val="TableBodyText"/>
                  </w:pPr>
                  <w:r w:rsidRPr="0014184F">
                    <w:t>-79</w:t>
                  </w:r>
                </w:p>
              </w:tc>
              <w:tc>
                <w:tcPr>
                  <w:tcW w:w="412" w:type="pct"/>
                  <w:tcBorders>
                    <w:top w:val="nil"/>
                    <w:left w:val="nil"/>
                    <w:bottom w:val="nil"/>
                    <w:right w:val="nil"/>
                  </w:tcBorders>
                  <w:shd w:val="clear" w:color="auto" w:fill="auto"/>
                  <w:tcMar>
                    <w:left w:w="0" w:type="dxa"/>
                    <w:right w:w="0" w:type="dxa"/>
                  </w:tcMar>
                  <w:vAlign w:val="bottom"/>
                </w:tcPr>
                <w:p w14:paraId="7954B72D" w14:textId="77777777" w:rsidR="00F05DC7" w:rsidRPr="0014184F" w:rsidRDefault="00F05DC7" w:rsidP="00A3786D">
                  <w:pPr>
                    <w:pStyle w:val="TableBodyText"/>
                  </w:pPr>
                  <w:r w:rsidRPr="0014184F">
                    <w:t>-87</w:t>
                  </w:r>
                </w:p>
              </w:tc>
              <w:tc>
                <w:tcPr>
                  <w:tcW w:w="412" w:type="pct"/>
                  <w:tcBorders>
                    <w:top w:val="nil"/>
                    <w:left w:val="nil"/>
                    <w:bottom w:val="nil"/>
                    <w:right w:val="nil"/>
                  </w:tcBorders>
                  <w:shd w:val="clear" w:color="auto" w:fill="auto"/>
                  <w:tcMar>
                    <w:left w:w="0" w:type="dxa"/>
                    <w:right w:w="0" w:type="dxa"/>
                  </w:tcMar>
                  <w:vAlign w:val="bottom"/>
                </w:tcPr>
                <w:p w14:paraId="7954B72E" w14:textId="77777777" w:rsidR="00F05DC7" w:rsidRPr="0014184F" w:rsidRDefault="00F05DC7" w:rsidP="00A3786D">
                  <w:pPr>
                    <w:pStyle w:val="TableBodyText"/>
                  </w:pPr>
                  <w:r w:rsidRPr="0014184F">
                    <w:t>31</w:t>
                  </w:r>
                </w:p>
              </w:tc>
            </w:tr>
            <w:tr w:rsidR="00F05DC7" w14:paraId="7954B731"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7954B730" w14:textId="77777777" w:rsidR="00F05DC7" w:rsidRPr="0014184F" w:rsidRDefault="00F05DC7" w:rsidP="00A3786D">
                  <w:pPr>
                    <w:spacing w:before="80"/>
                    <w:rPr>
                      <w:rFonts w:asciiTheme="minorHAnsi" w:hAnsiTheme="minorHAnsi" w:cstheme="minorHAnsi"/>
                      <w:color w:val="000000"/>
                      <w:sz w:val="18"/>
                      <w:szCs w:val="18"/>
                    </w:rPr>
                  </w:pPr>
                  <w:r w:rsidRPr="0014184F">
                    <w:rPr>
                      <w:rFonts w:asciiTheme="minorHAnsi" w:hAnsiTheme="minorHAnsi" w:cstheme="minorHAnsi"/>
                      <w:b/>
                      <w:bCs/>
                      <w:color w:val="000000"/>
                      <w:sz w:val="18"/>
                      <w:szCs w:val="18"/>
                    </w:rPr>
                    <w:t>Change in GST payments ($pc)</w:t>
                  </w:r>
                </w:p>
              </w:tc>
            </w:tr>
            <w:tr w:rsidR="00F05DC7" w14:paraId="7954B73B"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B732" w14:textId="77777777" w:rsidR="00F05DC7" w:rsidRPr="00290E19" w:rsidRDefault="00F05DC7" w:rsidP="00A3786D">
                  <w:pPr>
                    <w:pStyle w:val="TableBodyText"/>
                    <w:jc w:val="left"/>
                  </w:pPr>
                  <w:r w:rsidRPr="00290E19">
                    <w:t>25% discount</w:t>
                  </w:r>
                </w:p>
              </w:tc>
              <w:tc>
                <w:tcPr>
                  <w:tcW w:w="493" w:type="pct"/>
                  <w:tcBorders>
                    <w:top w:val="nil"/>
                    <w:left w:val="nil"/>
                    <w:bottom w:val="nil"/>
                    <w:right w:val="nil"/>
                  </w:tcBorders>
                  <w:shd w:val="clear" w:color="auto" w:fill="auto"/>
                  <w:tcMar>
                    <w:left w:w="0" w:type="dxa"/>
                    <w:right w:w="0" w:type="dxa"/>
                  </w:tcMar>
                  <w:vAlign w:val="bottom"/>
                </w:tcPr>
                <w:p w14:paraId="7954B733" w14:textId="77777777" w:rsidR="00F05DC7" w:rsidRPr="0014184F" w:rsidRDefault="00F05DC7" w:rsidP="00A3786D">
                  <w:pPr>
                    <w:pStyle w:val="TableBodyText"/>
                  </w:pPr>
                  <w:r w:rsidRPr="0014184F">
                    <w:t>-53</w:t>
                  </w:r>
                </w:p>
              </w:tc>
              <w:tc>
                <w:tcPr>
                  <w:tcW w:w="412" w:type="pct"/>
                  <w:tcBorders>
                    <w:top w:val="nil"/>
                    <w:left w:val="nil"/>
                    <w:bottom w:val="nil"/>
                    <w:right w:val="nil"/>
                  </w:tcBorders>
                  <w:shd w:val="clear" w:color="auto" w:fill="auto"/>
                  <w:tcMar>
                    <w:left w:w="0" w:type="dxa"/>
                    <w:right w:w="0" w:type="dxa"/>
                  </w:tcMar>
                  <w:vAlign w:val="bottom"/>
                </w:tcPr>
                <w:p w14:paraId="7954B734" w14:textId="77777777" w:rsidR="00F05DC7" w:rsidRPr="0014184F" w:rsidRDefault="00F05DC7" w:rsidP="00A3786D">
                  <w:pPr>
                    <w:pStyle w:val="TableBodyText"/>
                  </w:pPr>
                  <w:r w:rsidRPr="0014184F">
                    <w:t>-100</w:t>
                  </w:r>
                </w:p>
              </w:tc>
              <w:tc>
                <w:tcPr>
                  <w:tcW w:w="412" w:type="pct"/>
                  <w:tcBorders>
                    <w:top w:val="nil"/>
                    <w:left w:val="nil"/>
                    <w:bottom w:val="nil"/>
                    <w:right w:val="nil"/>
                  </w:tcBorders>
                  <w:shd w:val="clear" w:color="auto" w:fill="auto"/>
                  <w:tcMar>
                    <w:left w:w="0" w:type="dxa"/>
                    <w:right w:w="0" w:type="dxa"/>
                  </w:tcMar>
                  <w:vAlign w:val="bottom"/>
                </w:tcPr>
                <w:p w14:paraId="7954B735" w14:textId="77777777" w:rsidR="00F05DC7" w:rsidRPr="0014184F" w:rsidRDefault="00F05DC7" w:rsidP="00A3786D">
                  <w:pPr>
                    <w:pStyle w:val="TableBodyText"/>
                  </w:pPr>
                  <w:r w:rsidRPr="0014184F">
                    <w:t>41</w:t>
                  </w:r>
                </w:p>
              </w:tc>
              <w:tc>
                <w:tcPr>
                  <w:tcW w:w="412" w:type="pct"/>
                  <w:tcBorders>
                    <w:top w:val="nil"/>
                    <w:left w:val="nil"/>
                    <w:bottom w:val="nil"/>
                    <w:right w:val="nil"/>
                  </w:tcBorders>
                  <w:shd w:val="clear" w:color="auto" w:fill="auto"/>
                  <w:tcMar>
                    <w:left w:w="0" w:type="dxa"/>
                    <w:right w:w="0" w:type="dxa"/>
                  </w:tcMar>
                  <w:vAlign w:val="bottom"/>
                </w:tcPr>
                <w:p w14:paraId="7954B736" w14:textId="77777777" w:rsidR="00F05DC7" w:rsidRPr="0014184F" w:rsidRDefault="00F05DC7" w:rsidP="00A3786D">
                  <w:pPr>
                    <w:pStyle w:val="TableBodyText"/>
                  </w:pPr>
                  <w:r w:rsidRPr="0014184F">
                    <w:t>398</w:t>
                  </w:r>
                </w:p>
              </w:tc>
              <w:tc>
                <w:tcPr>
                  <w:tcW w:w="412" w:type="pct"/>
                  <w:tcBorders>
                    <w:top w:val="nil"/>
                    <w:left w:val="nil"/>
                    <w:bottom w:val="nil"/>
                    <w:right w:val="nil"/>
                  </w:tcBorders>
                  <w:shd w:val="clear" w:color="auto" w:fill="auto"/>
                  <w:tcMar>
                    <w:left w:w="0" w:type="dxa"/>
                    <w:right w:w="0" w:type="dxa"/>
                  </w:tcMar>
                  <w:vAlign w:val="bottom"/>
                </w:tcPr>
                <w:p w14:paraId="7954B737" w14:textId="77777777" w:rsidR="00F05DC7" w:rsidRPr="0014184F" w:rsidRDefault="00F05DC7" w:rsidP="00A3786D">
                  <w:pPr>
                    <w:pStyle w:val="TableBodyText"/>
                  </w:pPr>
                  <w:r w:rsidRPr="0014184F">
                    <w:t>-61</w:t>
                  </w:r>
                </w:p>
              </w:tc>
              <w:tc>
                <w:tcPr>
                  <w:tcW w:w="412" w:type="pct"/>
                  <w:tcBorders>
                    <w:top w:val="nil"/>
                    <w:left w:val="nil"/>
                    <w:bottom w:val="nil"/>
                    <w:right w:val="nil"/>
                  </w:tcBorders>
                  <w:shd w:val="clear" w:color="auto" w:fill="auto"/>
                  <w:tcMar>
                    <w:left w:w="0" w:type="dxa"/>
                    <w:right w:w="0" w:type="dxa"/>
                  </w:tcMar>
                  <w:vAlign w:val="bottom"/>
                </w:tcPr>
                <w:p w14:paraId="7954B738" w14:textId="77777777" w:rsidR="00F05DC7" w:rsidRPr="0014184F" w:rsidRDefault="00F05DC7" w:rsidP="00A3786D">
                  <w:pPr>
                    <w:pStyle w:val="TableBodyText"/>
                  </w:pPr>
                  <w:r w:rsidRPr="0014184F">
                    <w:t>-76</w:t>
                  </w:r>
                </w:p>
              </w:tc>
              <w:tc>
                <w:tcPr>
                  <w:tcW w:w="412" w:type="pct"/>
                  <w:tcBorders>
                    <w:top w:val="nil"/>
                    <w:left w:val="nil"/>
                    <w:bottom w:val="nil"/>
                    <w:right w:val="nil"/>
                  </w:tcBorders>
                  <w:shd w:val="clear" w:color="auto" w:fill="auto"/>
                  <w:tcMar>
                    <w:left w:w="0" w:type="dxa"/>
                    <w:right w:w="0" w:type="dxa"/>
                  </w:tcMar>
                  <w:vAlign w:val="bottom"/>
                </w:tcPr>
                <w:p w14:paraId="7954B739" w14:textId="77777777" w:rsidR="00F05DC7" w:rsidRPr="0014184F" w:rsidRDefault="00F05DC7" w:rsidP="00A3786D">
                  <w:pPr>
                    <w:pStyle w:val="TableBodyText"/>
                  </w:pPr>
                  <w:r w:rsidRPr="0014184F">
                    <w:t>-104</w:t>
                  </w:r>
                </w:p>
              </w:tc>
              <w:tc>
                <w:tcPr>
                  <w:tcW w:w="412" w:type="pct"/>
                  <w:tcBorders>
                    <w:top w:val="nil"/>
                    <w:left w:val="nil"/>
                    <w:bottom w:val="nil"/>
                    <w:right w:val="nil"/>
                  </w:tcBorders>
                  <w:shd w:val="clear" w:color="auto" w:fill="auto"/>
                  <w:tcMar>
                    <w:left w:w="0" w:type="dxa"/>
                    <w:right w:w="0" w:type="dxa"/>
                  </w:tcMar>
                  <w:vAlign w:val="bottom"/>
                </w:tcPr>
                <w:p w14:paraId="7954B73A" w14:textId="77777777" w:rsidR="00F05DC7" w:rsidRPr="0014184F" w:rsidRDefault="00F05DC7" w:rsidP="00A3786D">
                  <w:pPr>
                    <w:pStyle w:val="TableBodyText"/>
                  </w:pPr>
                  <w:r w:rsidRPr="0014184F">
                    <w:t>63</w:t>
                  </w:r>
                </w:p>
              </w:tc>
            </w:tr>
            <w:tr w:rsidR="00F05DC7" w14:paraId="7954B745"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B73C" w14:textId="77777777" w:rsidR="00F05DC7" w:rsidRPr="00290E19" w:rsidRDefault="00F05DC7" w:rsidP="00A3786D">
                  <w:pPr>
                    <w:pStyle w:val="TableBodyText"/>
                    <w:jc w:val="left"/>
                  </w:pPr>
                  <w:r w:rsidRPr="00290E19">
                    <w:t>50% discount</w:t>
                  </w:r>
                </w:p>
              </w:tc>
              <w:tc>
                <w:tcPr>
                  <w:tcW w:w="493" w:type="pct"/>
                  <w:tcBorders>
                    <w:top w:val="nil"/>
                    <w:left w:val="nil"/>
                    <w:bottom w:val="nil"/>
                    <w:right w:val="nil"/>
                  </w:tcBorders>
                  <w:shd w:val="clear" w:color="auto" w:fill="auto"/>
                  <w:tcMar>
                    <w:left w:w="0" w:type="dxa"/>
                    <w:right w:w="0" w:type="dxa"/>
                  </w:tcMar>
                  <w:vAlign w:val="bottom"/>
                </w:tcPr>
                <w:p w14:paraId="7954B73D" w14:textId="77777777" w:rsidR="00F05DC7" w:rsidRPr="0014184F" w:rsidRDefault="00F05DC7" w:rsidP="00A3786D">
                  <w:pPr>
                    <w:pStyle w:val="TableBodyText"/>
                  </w:pPr>
                  <w:r w:rsidRPr="0014184F">
                    <w:t>-107</w:t>
                  </w:r>
                </w:p>
              </w:tc>
              <w:tc>
                <w:tcPr>
                  <w:tcW w:w="412" w:type="pct"/>
                  <w:tcBorders>
                    <w:top w:val="nil"/>
                    <w:left w:val="nil"/>
                    <w:bottom w:val="nil"/>
                    <w:right w:val="nil"/>
                  </w:tcBorders>
                  <w:shd w:val="clear" w:color="auto" w:fill="auto"/>
                  <w:tcMar>
                    <w:left w:w="0" w:type="dxa"/>
                    <w:right w:w="0" w:type="dxa"/>
                  </w:tcMar>
                  <w:vAlign w:val="bottom"/>
                </w:tcPr>
                <w:p w14:paraId="7954B73E" w14:textId="77777777" w:rsidR="00F05DC7" w:rsidRPr="0014184F" w:rsidRDefault="00F05DC7" w:rsidP="00A3786D">
                  <w:pPr>
                    <w:pStyle w:val="TableBodyText"/>
                  </w:pPr>
                  <w:r w:rsidRPr="0014184F">
                    <w:t>-200</w:t>
                  </w:r>
                </w:p>
              </w:tc>
              <w:tc>
                <w:tcPr>
                  <w:tcW w:w="412" w:type="pct"/>
                  <w:tcBorders>
                    <w:top w:val="nil"/>
                    <w:left w:val="nil"/>
                    <w:bottom w:val="nil"/>
                    <w:right w:val="nil"/>
                  </w:tcBorders>
                  <w:shd w:val="clear" w:color="auto" w:fill="auto"/>
                  <w:tcMar>
                    <w:left w:w="0" w:type="dxa"/>
                    <w:right w:w="0" w:type="dxa"/>
                  </w:tcMar>
                  <w:vAlign w:val="bottom"/>
                </w:tcPr>
                <w:p w14:paraId="7954B73F" w14:textId="77777777" w:rsidR="00F05DC7" w:rsidRPr="0014184F" w:rsidRDefault="00F05DC7" w:rsidP="00A3786D">
                  <w:pPr>
                    <w:pStyle w:val="TableBodyText"/>
                  </w:pPr>
                  <w:r w:rsidRPr="0014184F">
                    <w:t>83</w:t>
                  </w:r>
                </w:p>
              </w:tc>
              <w:tc>
                <w:tcPr>
                  <w:tcW w:w="412" w:type="pct"/>
                  <w:tcBorders>
                    <w:top w:val="nil"/>
                    <w:left w:val="nil"/>
                    <w:bottom w:val="nil"/>
                    <w:right w:val="nil"/>
                  </w:tcBorders>
                  <w:shd w:val="clear" w:color="auto" w:fill="auto"/>
                  <w:tcMar>
                    <w:left w:w="0" w:type="dxa"/>
                    <w:right w:w="0" w:type="dxa"/>
                  </w:tcMar>
                  <w:vAlign w:val="bottom"/>
                </w:tcPr>
                <w:p w14:paraId="7954B740" w14:textId="77777777" w:rsidR="00F05DC7" w:rsidRPr="0014184F" w:rsidRDefault="00F05DC7" w:rsidP="00A3786D">
                  <w:pPr>
                    <w:pStyle w:val="TableBodyText"/>
                  </w:pPr>
                  <w:r w:rsidRPr="0014184F">
                    <w:t>796</w:t>
                  </w:r>
                </w:p>
              </w:tc>
              <w:tc>
                <w:tcPr>
                  <w:tcW w:w="412" w:type="pct"/>
                  <w:tcBorders>
                    <w:top w:val="nil"/>
                    <w:left w:val="nil"/>
                    <w:bottom w:val="nil"/>
                    <w:right w:val="nil"/>
                  </w:tcBorders>
                  <w:shd w:val="clear" w:color="auto" w:fill="auto"/>
                  <w:tcMar>
                    <w:left w:w="0" w:type="dxa"/>
                    <w:right w:w="0" w:type="dxa"/>
                  </w:tcMar>
                  <w:vAlign w:val="bottom"/>
                </w:tcPr>
                <w:p w14:paraId="7954B741" w14:textId="77777777" w:rsidR="00F05DC7" w:rsidRPr="0014184F" w:rsidRDefault="00F05DC7" w:rsidP="00A3786D">
                  <w:pPr>
                    <w:pStyle w:val="TableBodyText"/>
                  </w:pPr>
                  <w:r w:rsidRPr="0014184F">
                    <w:t>-122</w:t>
                  </w:r>
                </w:p>
              </w:tc>
              <w:tc>
                <w:tcPr>
                  <w:tcW w:w="412" w:type="pct"/>
                  <w:tcBorders>
                    <w:top w:val="nil"/>
                    <w:left w:val="nil"/>
                    <w:bottom w:val="nil"/>
                    <w:right w:val="nil"/>
                  </w:tcBorders>
                  <w:shd w:val="clear" w:color="auto" w:fill="auto"/>
                  <w:tcMar>
                    <w:left w:w="0" w:type="dxa"/>
                    <w:right w:w="0" w:type="dxa"/>
                  </w:tcMar>
                  <w:vAlign w:val="bottom"/>
                </w:tcPr>
                <w:p w14:paraId="7954B742" w14:textId="77777777" w:rsidR="00F05DC7" w:rsidRPr="0014184F" w:rsidRDefault="00F05DC7" w:rsidP="00A3786D">
                  <w:pPr>
                    <w:pStyle w:val="TableBodyText"/>
                  </w:pPr>
                  <w:r w:rsidRPr="0014184F">
                    <w:t>-151</w:t>
                  </w:r>
                </w:p>
              </w:tc>
              <w:tc>
                <w:tcPr>
                  <w:tcW w:w="412" w:type="pct"/>
                  <w:tcBorders>
                    <w:top w:val="nil"/>
                    <w:left w:val="nil"/>
                    <w:bottom w:val="nil"/>
                    <w:right w:val="nil"/>
                  </w:tcBorders>
                  <w:shd w:val="clear" w:color="auto" w:fill="auto"/>
                  <w:tcMar>
                    <w:left w:w="0" w:type="dxa"/>
                    <w:right w:w="0" w:type="dxa"/>
                  </w:tcMar>
                  <w:vAlign w:val="bottom"/>
                </w:tcPr>
                <w:p w14:paraId="7954B743" w14:textId="77777777" w:rsidR="00F05DC7" w:rsidRPr="0014184F" w:rsidRDefault="00F05DC7" w:rsidP="00A3786D">
                  <w:pPr>
                    <w:pStyle w:val="TableBodyText"/>
                  </w:pPr>
                  <w:r w:rsidRPr="0014184F">
                    <w:t>-207</w:t>
                  </w:r>
                </w:p>
              </w:tc>
              <w:tc>
                <w:tcPr>
                  <w:tcW w:w="412" w:type="pct"/>
                  <w:tcBorders>
                    <w:top w:val="nil"/>
                    <w:left w:val="nil"/>
                    <w:bottom w:val="nil"/>
                    <w:right w:val="nil"/>
                  </w:tcBorders>
                  <w:shd w:val="clear" w:color="auto" w:fill="auto"/>
                  <w:tcMar>
                    <w:left w:w="0" w:type="dxa"/>
                    <w:right w:w="0" w:type="dxa"/>
                  </w:tcMar>
                  <w:vAlign w:val="bottom"/>
                </w:tcPr>
                <w:p w14:paraId="7954B744" w14:textId="77777777" w:rsidR="00F05DC7" w:rsidRPr="0014184F" w:rsidRDefault="00F05DC7" w:rsidP="00A3786D">
                  <w:pPr>
                    <w:pStyle w:val="TableBodyText"/>
                  </w:pPr>
                  <w:r w:rsidRPr="0014184F">
                    <w:t>125</w:t>
                  </w:r>
                </w:p>
              </w:tc>
            </w:tr>
            <w:tr w:rsidR="00F05DC7" w:rsidRPr="00791D71" w14:paraId="7954B747"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7954B746" w14:textId="77777777" w:rsidR="00F05DC7" w:rsidRPr="0014184F" w:rsidRDefault="00F05DC7" w:rsidP="00A3786D">
                  <w:pPr>
                    <w:spacing w:before="80"/>
                    <w:rPr>
                      <w:rFonts w:asciiTheme="minorHAnsi" w:hAnsiTheme="minorHAnsi" w:cstheme="minorHAnsi"/>
                      <w:color w:val="000000"/>
                      <w:sz w:val="18"/>
                      <w:szCs w:val="18"/>
                    </w:rPr>
                  </w:pPr>
                  <w:r w:rsidRPr="0014184F">
                    <w:rPr>
                      <w:rFonts w:asciiTheme="minorHAnsi" w:hAnsiTheme="minorHAnsi" w:cstheme="minorHAnsi"/>
                      <w:b/>
                      <w:bCs/>
                      <w:color w:val="000000"/>
                      <w:sz w:val="18"/>
                      <w:szCs w:val="18"/>
                    </w:rPr>
                    <w:t>Change in GST payments (% of State revenue)</w:t>
                  </w:r>
                </w:p>
              </w:tc>
            </w:tr>
            <w:tr w:rsidR="00F05DC7" w:rsidRPr="00791D71" w14:paraId="7954B751"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hideMark/>
                </w:tcPr>
                <w:p w14:paraId="7954B748" w14:textId="77777777" w:rsidR="00F05DC7" w:rsidRPr="00290E19" w:rsidRDefault="00F05DC7" w:rsidP="00A3786D">
                  <w:pPr>
                    <w:pStyle w:val="TableBodyText"/>
                    <w:jc w:val="left"/>
                  </w:pPr>
                  <w:r w:rsidRPr="00290E19">
                    <w:t>25% discount</w:t>
                  </w:r>
                </w:p>
              </w:tc>
              <w:tc>
                <w:tcPr>
                  <w:tcW w:w="493" w:type="pct"/>
                  <w:tcBorders>
                    <w:top w:val="nil"/>
                    <w:left w:val="nil"/>
                    <w:bottom w:val="nil"/>
                    <w:right w:val="nil"/>
                  </w:tcBorders>
                  <w:shd w:val="clear" w:color="auto" w:fill="auto"/>
                  <w:tcMar>
                    <w:left w:w="0" w:type="dxa"/>
                    <w:right w:w="0" w:type="dxa"/>
                  </w:tcMar>
                  <w:vAlign w:val="bottom"/>
                </w:tcPr>
                <w:p w14:paraId="7954B749" w14:textId="77777777" w:rsidR="00F05DC7" w:rsidRPr="0014184F" w:rsidRDefault="00F05DC7" w:rsidP="00A3786D">
                  <w:pPr>
                    <w:pStyle w:val="TableBodyText"/>
                  </w:pPr>
                  <w:r w:rsidRPr="0014184F">
                    <w:t>-0.5</w:t>
                  </w:r>
                </w:p>
              </w:tc>
              <w:tc>
                <w:tcPr>
                  <w:tcW w:w="412" w:type="pct"/>
                  <w:tcBorders>
                    <w:top w:val="nil"/>
                    <w:left w:val="nil"/>
                    <w:bottom w:val="nil"/>
                    <w:right w:val="nil"/>
                  </w:tcBorders>
                  <w:shd w:val="clear" w:color="auto" w:fill="auto"/>
                  <w:tcMar>
                    <w:left w:w="0" w:type="dxa"/>
                    <w:right w:w="0" w:type="dxa"/>
                  </w:tcMar>
                  <w:vAlign w:val="bottom"/>
                </w:tcPr>
                <w:p w14:paraId="7954B74A" w14:textId="77777777" w:rsidR="00F05DC7" w:rsidRPr="0014184F" w:rsidRDefault="00F05DC7" w:rsidP="00A3786D">
                  <w:pPr>
                    <w:pStyle w:val="TableBodyText"/>
                  </w:pPr>
                  <w:r w:rsidRPr="0014184F">
                    <w:t>-1.1</w:t>
                  </w:r>
                </w:p>
              </w:tc>
              <w:tc>
                <w:tcPr>
                  <w:tcW w:w="412" w:type="pct"/>
                  <w:tcBorders>
                    <w:top w:val="nil"/>
                    <w:left w:val="nil"/>
                    <w:bottom w:val="nil"/>
                    <w:right w:val="nil"/>
                  </w:tcBorders>
                  <w:shd w:val="clear" w:color="auto" w:fill="auto"/>
                  <w:tcMar>
                    <w:left w:w="0" w:type="dxa"/>
                    <w:right w:w="0" w:type="dxa"/>
                  </w:tcMar>
                  <w:vAlign w:val="bottom"/>
                </w:tcPr>
                <w:p w14:paraId="7954B74B" w14:textId="77777777" w:rsidR="00F05DC7" w:rsidRPr="0014184F" w:rsidRDefault="00F05DC7" w:rsidP="00A3786D">
                  <w:pPr>
                    <w:pStyle w:val="TableBodyText"/>
                  </w:pPr>
                  <w:r w:rsidRPr="0014184F">
                    <w:t>0.4</w:t>
                  </w:r>
                </w:p>
              </w:tc>
              <w:tc>
                <w:tcPr>
                  <w:tcW w:w="412" w:type="pct"/>
                  <w:tcBorders>
                    <w:top w:val="nil"/>
                    <w:left w:val="nil"/>
                    <w:bottom w:val="nil"/>
                    <w:right w:val="nil"/>
                  </w:tcBorders>
                  <w:shd w:val="clear" w:color="auto" w:fill="auto"/>
                  <w:tcMar>
                    <w:left w:w="0" w:type="dxa"/>
                    <w:right w:w="0" w:type="dxa"/>
                  </w:tcMar>
                  <w:vAlign w:val="bottom"/>
                </w:tcPr>
                <w:p w14:paraId="7954B74C" w14:textId="77777777" w:rsidR="00F05DC7" w:rsidRPr="0014184F" w:rsidRDefault="00F05DC7" w:rsidP="00A3786D">
                  <w:pPr>
                    <w:pStyle w:val="TableBodyText"/>
                  </w:pPr>
                  <w:r w:rsidRPr="0014184F">
                    <w:t>3.9</w:t>
                  </w:r>
                </w:p>
              </w:tc>
              <w:tc>
                <w:tcPr>
                  <w:tcW w:w="412" w:type="pct"/>
                  <w:tcBorders>
                    <w:top w:val="nil"/>
                    <w:left w:val="nil"/>
                    <w:bottom w:val="nil"/>
                    <w:right w:val="nil"/>
                  </w:tcBorders>
                  <w:shd w:val="clear" w:color="auto" w:fill="auto"/>
                  <w:tcMar>
                    <w:left w:w="0" w:type="dxa"/>
                    <w:right w:w="0" w:type="dxa"/>
                  </w:tcMar>
                  <w:vAlign w:val="bottom"/>
                </w:tcPr>
                <w:p w14:paraId="7954B74D" w14:textId="77777777" w:rsidR="00F05DC7" w:rsidRPr="0014184F" w:rsidRDefault="00F05DC7" w:rsidP="00A3786D">
                  <w:pPr>
                    <w:pStyle w:val="TableBodyText"/>
                  </w:pPr>
                  <w:r w:rsidRPr="0014184F">
                    <w:t>-0.6</w:t>
                  </w:r>
                </w:p>
              </w:tc>
              <w:tc>
                <w:tcPr>
                  <w:tcW w:w="412" w:type="pct"/>
                  <w:tcBorders>
                    <w:top w:val="nil"/>
                    <w:left w:val="nil"/>
                    <w:bottom w:val="nil"/>
                    <w:right w:val="nil"/>
                  </w:tcBorders>
                  <w:shd w:val="clear" w:color="auto" w:fill="auto"/>
                  <w:tcMar>
                    <w:left w:w="0" w:type="dxa"/>
                    <w:right w:w="0" w:type="dxa"/>
                  </w:tcMar>
                  <w:vAlign w:val="bottom"/>
                </w:tcPr>
                <w:p w14:paraId="7954B74E" w14:textId="77777777" w:rsidR="00F05DC7" w:rsidRPr="0014184F" w:rsidRDefault="00F05DC7" w:rsidP="00A3786D">
                  <w:pPr>
                    <w:pStyle w:val="TableBodyText"/>
                  </w:pPr>
                  <w:r w:rsidRPr="0014184F">
                    <w:t>-0.7</w:t>
                  </w:r>
                </w:p>
              </w:tc>
              <w:tc>
                <w:tcPr>
                  <w:tcW w:w="412" w:type="pct"/>
                  <w:tcBorders>
                    <w:top w:val="nil"/>
                    <w:left w:val="nil"/>
                    <w:bottom w:val="nil"/>
                    <w:right w:val="nil"/>
                  </w:tcBorders>
                  <w:shd w:val="clear" w:color="auto" w:fill="auto"/>
                  <w:tcMar>
                    <w:left w:w="0" w:type="dxa"/>
                    <w:right w:w="0" w:type="dxa"/>
                  </w:tcMar>
                  <w:vAlign w:val="bottom"/>
                </w:tcPr>
                <w:p w14:paraId="7954B74F" w14:textId="77777777" w:rsidR="00F05DC7" w:rsidRPr="0014184F" w:rsidRDefault="00F05DC7" w:rsidP="00A3786D">
                  <w:pPr>
                    <w:pStyle w:val="TableBodyText"/>
                  </w:pPr>
                  <w:r w:rsidRPr="0014184F">
                    <w:t>-0.8</w:t>
                  </w:r>
                </w:p>
              </w:tc>
              <w:tc>
                <w:tcPr>
                  <w:tcW w:w="412" w:type="pct"/>
                  <w:tcBorders>
                    <w:top w:val="nil"/>
                    <w:left w:val="nil"/>
                    <w:bottom w:val="nil"/>
                    <w:right w:val="nil"/>
                  </w:tcBorders>
                  <w:shd w:val="clear" w:color="auto" w:fill="auto"/>
                  <w:tcMar>
                    <w:left w:w="0" w:type="dxa"/>
                    <w:right w:w="0" w:type="dxa"/>
                  </w:tcMar>
                  <w:vAlign w:val="bottom"/>
                </w:tcPr>
                <w:p w14:paraId="7954B750" w14:textId="77777777" w:rsidR="00F05DC7" w:rsidRPr="0014184F" w:rsidRDefault="00F05DC7" w:rsidP="00A3786D">
                  <w:pPr>
                    <w:pStyle w:val="TableBodyText"/>
                  </w:pPr>
                  <w:r w:rsidRPr="0014184F">
                    <w:t>0.3</w:t>
                  </w:r>
                </w:p>
              </w:tc>
            </w:tr>
            <w:tr w:rsidR="00F05DC7" w:rsidRPr="00791D71" w14:paraId="7954B75B"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B752" w14:textId="77777777" w:rsidR="00F05DC7" w:rsidRPr="00290E19" w:rsidRDefault="00F05DC7" w:rsidP="00A3786D">
                  <w:pPr>
                    <w:pStyle w:val="TableBodyText"/>
                    <w:jc w:val="left"/>
                  </w:pPr>
                  <w:r w:rsidRPr="00290E19">
                    <w:t>50% discount</w:t>
                  </w:r>
                </w:p>
              </w:tc>
              <w:tc>
                <w:tcPr>
                  <w:tcW w:w="493" w:type="pct"/>
                  <w:tcBorders>
                    <w:top w:val="nil"/>
                    <w:left w:val="nil"/>
                    <w:bottom w:val="nil"/>
                    <w:right w:val="nil"/>
                  </w:tcBorders>
                  <w:shd w:val="clear" w:color="auto" w:fill="auto"/>
                  <w:tcMar>
                    <w:left w:w="0" w:type="dxa"/>
                    <w:right w:w="0" w:type="dxa"/>
                  </w:tcMar>
                  <w:vAlign w:val="bottom"/>
                </w:tcPr>
                <w:p w14:paraId="7954B753" w14:textId="77777777" w:rsidR="00F05DC7" w:rsidRPr="0014184F" w:rsidRDefault="00F05DC7" w:rsidP="00A3786D">
                  <w:pPr>
                    <w:pStyle w:val="TableBodyText"/>
                  </w:pPr>
                  <w:r w:rsidRPr="0014184F">
                    <w:t>-1.1</w:t>
                  </w:r>
                </w:p>
              </w:tc>
              <w:tc>
                <w:tcPr>
                  <w:tcW w:w="412" w:type="pct"/>
                  <w:tcBorders>
                    <w:top w:val="nil"/>
                    <w:left w:val="nil"/>
                    <w:bottom w:val="nil"/>
                    <w:right w:val="nil"/>
                  </w:tcBorders>
                  <w:shd w:val="clear" w:color="auto" w:fill="auto"/>
                  <w:tcMar>
                    <w:left w:w="0" w:type="dxa"/>
                    <w:right w:w="0" w:type="dxa"/>
                  </w:tcMar>
                  <w:vAlign w:val="bottom"/>
                </w:tcPr>
                <w:p w14:paraId="7954B754" w14:textId="77777777" w:rsidR="00F05DC7" w:rsidRPr="0014184F" w:rsidRDefault="00F05DC7" w:rsidP="00A3786D">
                  <w:pPr>
                    <w:pStyle w:val="TableBodyText"/>
                  </w:pPr>
                  <w:r w:rsidRPr="0014184F">
                    <w:t>-2.1</w:t>
                  </w:r>
                </w:p>
              </w:tc>
              <w:tc>
                <w:tcPr>
                  <w:tcW w:w="412" w:type="pct"/>
                  <w:tcBorders>
                    <w:top w:val="nil"/>
                    <w:left w:val="nil"/>
                    <w:bottom w:val="nil"/>
                    <w:right w:val="nil"/>
                  </w:tcBorders>
                  <w:shd w:val="clear" w:color="auto" w:fill="auto"/>
                  <w:tcMar>
                    <w:left w:w="0" w:type="dxa"/>
                    <w:right w:w="0" w:type="dxa"/>
                  </w:tcMar>
                  <w:vAlign w:val="bottom"/>
                </w:tcPr>
                <w:p w14:paraId="7954B755" w14:textId="77777777" w:rsidR="00F05DC7" w:rsidRPr="0014184F" w:rsidRDefault="00F05DC7" w:rsidP="00A3786D">
                  <w:pPr>
                    <w:pStyle w:val="TableBodyText"/>
                  </w:pPr>
                  <w:r w:rsidRPr="0014184F">
                    <w:t>0.7</w:t>
                  </w:r>
                </w:p>
              </w:tc>
              <w:tc>
                <w:tcPr>
                  <w:tcW w:w="412" w:type="pct"/>
                  <w:tcBorders>
                    <w:top w:val="nil"/>
                    <w:left w:val="nil"/>
                    <w:bottom w:val="nil"/>
                    <w:right w:val="nil"/>
                  </w:tcBorders>
                  <w:shd w:val="clear" w:color="auto" w:fill="auto"/>
                  <w:tcMar>
                    <w:left w:w="0" w:type="dxa"/>
                    <w:right w:w="0" w:type="dxa"/>
                  </w:tcMar>
                  <w:vAlign w:val="bottom"/>
                </w:tcPr>
                <w:p w14:paraId="7954B756" w14:textId="77777777" w:rsidR="00F05DC7" w:rsidRPr="0014184F" w:rsidRDefault="00F05DC7" w:rsidP="00A3786D">
                  <w:pPr>
                    <w:pStyle w:val="TableBodyText"/>
                  </w:pPr>
                  <w:r w:rsidRPr="0014184F">
                    <w:t>7.7</w:t>
                  </w:r>
                </w:p>
              </w:tc>
              <w:tc>
                <w:tcPr>
                  <w:tcW w:w="412" w:type="pct"/>
                  <w:tcBorders>
                    <w:top w:val="nil"/>
                    <w:left w:val="nil"/>
                    <w:bottom w:val="nil"/>
                    <w:right w:val="nil"/>
                  </w:tcBorders>
                  <w:shd w:val="clear" w:color="auto" w:fill="auto"/>
                  <w:tcMar>
                    <w:left w:w="0" w:type="dxa"/>
                    <w:right w:w="0" w:type="dxa"/>
                  </w:tcMar>
                  <w:vAlign w:val="bottom"/>
                </w:tcPr>
                <w:p w14:paraId="7954B757" w14:textId="77777777" w:rsidR="00F05DC7" w:rsidRPr="0014184F" w:rsidRDefault="00F05DC7" w:rsidP="00A3786D">
                  <w:pPr>
                    <w:pStyle w:val="TableBodyText"/>
                  </w:pPr>
                  <w:r w:rsidRPr="0014184F">
                    <w:t>-1.1</w:t>
                  </w:r>
                </w:p>
              </w:tc>
              <w:tc>
                <w:tcPr>
                  <w:tcW w:w="412" w:type="pct"/>
                  <w:tcBorders>
                    <w:top w:val="nil"/>
                    <w:left w:val="nil"/>
                    <w:bottom w:val="nil"/>
                    <w:right w:val="nil"/>
                  </w:tcBorders>
                  <w:shd w:val="clear" w:color="auto" w:fill="auto"/>
                  <w:tcMar>
                    <w:left w:w="0" w:type="dxa"/>
                    <w:right w:w="0" w:type="dxa"/>
                  </w:tcMar>
                  <w:vAlign w:val="bottom"/>
                </w:tcPr>
                <w:p w14:paraId="7954B758" w14:textId="77777777" w:rsidR="00F05DC7" w:rsidRPr="0014184F" w:rsidRDefault="00F05DC7" w:rsidP="00A3786D">
                  <w:pPr>
                    <w:pStyle w:val="TableBodyText"/>
                  </w:pPr>
                  <w:r w:rsidRPr="0014184F">
                    <w:t>-1.4</w:t>
                  </w:r>
                </w:p>
              </w:tc>
              <w:tc>
                <w:tcPr>
                  <w:tcW w:w="412" w:type="pct"/>
                  <w:tcBorders>
                    <w:top w:val="nil"/>
                    <w:left w:val="nil"/>
                    <w:bottom w:val="nil"/>
                    <w:right w:val="nil"/>
                  </w:tcBorders>
                  <w:shd w:val="clear" w:color="auto" w:fill="auto"/>
                  <w:tcMar>
                    <w:left w:w="0" w:type="dxa"/>
                    <w:right w:w="0" w:type="dxa"/>
                  </w:tcMar>
                  <w:vAlign w:val="bottom"/>
                </w:tcPr>
                <w:p w14:paraId="7954B759" w14:textId="77777777" w:rsidR="00F05DC7" w:rsidRPr="0014184F" w:rsidRDefault="00F05DC7" w:rsidP="00A3786D">
                  <w:pPr>
                    <w:pStyle w:val="TableBodyText"/>
                  </w:pPr>
                  <w:r w:rsidRPr="0014184F">
                    <w:t>-1.7</w:t>
                  </w:r>
                </w:p>
              </w:tc>
              <w:tc>
                <w:tcPr>
                  <w:tcW w:w="412" w:type="pct"/>
                  <w:tcBorders>
                    <w:top w:val="nil"/>
                    <w:left w:val="nil"/>
                    <w:bottom w:val="nil"/>
                    <w:right w:val="nil"/>
                  </w:tcBorders>
                  <w:shd w:val="clear" w:color="auto" w:fill="auto"/>
                  <w:tcMar>
                    <w:left w:w="0" w:type="dxa"/>
                    <w:right w:w="0" w:type="dxa"/>
                  </w:tcMar>
                  <w:vAlign w:val="bottom"/>
                </w:tcPr>
                <w:p w14:paraId="7954B75A" w14:textId="77777777" w:rsidR="00F05DC7" w:rsidRPr="0014184F" w:rsidRDefault="00F05DC7" w:rsidP="00A3786D">
                  <w:pPr>
                    <w:pStyle w:val="TableBodyText"/>
                  </w:pPr>
                  <w:r w:rsidRPr="0014184F">
                    <w:t>0.5</w:t>
                  </w:r>
                </w:p>
              </w:tc>
            </w:tr>
            <w:tr w:rsidR="00F05DC7" w14:paraId="7954B765"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B75C" w14:textId="77777777" w:rsidR="00F05DC7" w:rsidRPr="00791D71" w:rsidRDefault="00F05DC7" w:rsidP="00A3786D">
                  <w:pPr>
                    <w:spacing w:before="80"/>
                    <w:rPr>
                      <w:rFonts w:asciiTheme="minorHAnsi" w:hAnsiTheme="minorHAnsi" w:cstheme="minorHAnsi"/>
                      <w:color w:val="000000"/>
                      <w:sz w:val="18"/>
                      <w:szCs w:val="18"/>
                    </w:rPr>
                  </w:pPr>
                  <w:r w:rsidRPr="00546A94">
                    <w:rPr>
                      <w:rFonts w:asciiTheme="minorHAnsi" w:hAnsiTheme="minorHAnsi" w:cstheme="minorHAnsi"/>
                      <w:b/>
                      <w:color w:val="000000"/>
                      <w:sz w:val="18"/>
                      <w:szCs w:val="18"/>
                    </w:rPr>
                    <w:t>Total redistribution from EPC</w:t>
                  </w:r>
                  <w:r w:rsidRPr="00791D71" w:rsidDel="00174110">
                    <w:rPr>
                      <w:rFonts w:asciiTheme="minorHAnsi" w:hAnsiTheme="minorHAnsi" w:cstheme="minorHAnsi"/>
                      <w:color w:val="000000"/>
                      <w:sz w:val="18"/>
                      <w:szCs w:val="18"/>
                    </w:rPr>
                    <w:t xml:space="preserve"> </w:t>
                  </w:r>
                </w:p>
              </w:tc>
              <w:tc>
                <w:tcPr>
                  <w:tcW w:w="493" w:type="pct"/>
                  <w:tcBorders>
                    <w:top w:val="nil"/>
                    <w:left w:val="nil"/>
                    <w:bottom w:val="nil"/>
                    <w:right w:val="nil"/>
                  </w:tcBorders>
                  <w:shd w:val="clear" w:color="auto" w:fill="auto"/>
                  <w:tcMar>
                    <w:left w:w="0" w:type="dxa"/>
                    <w:right w:w="0" w:type="dxa"/>
                  </w:tcMar>
                  <w:vAlign w:val="bottom"/>
                </w:tcPr>
                <w:p w14:paraId="7954B75D" w14:textId="77777777" w:rsidR="00F05DC7" w:rsidRPr="00B81B70" w:rsidRDefault="00F05DC7" w:rsidP="00A3786D">
                  <w:pPr>
                    <w:spacing w:before="80"/>
                    <w:ind w:right="57"/>
                    <w:jc w:val="right"/>
                    <w:rPr>
                      <w:rFonts w:ascii="Arial" w:hAnsi="Arial" w:cs="Arial"/>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7954B75E" w14:textId="77777777" w:rsidR="00F05DC7" w:rsidRPr="00B81B70" w:rsidRDefault="00F05DC7" w:rsidP="00A3786D">
                  <w:pPr>
                    <w:spacing w:before="80"/>
                    <w:ind w:right="57"/>
                    <w:jc w:val="right"/>
                    <w:rPr>
                      <w:rFonts w:ascii="Arial" w:hAnsi="Arial" w:cs="Arial"/>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7954B75F" w14:textId="77777777" w:rsidR="00F05DC7" w:rsidRPr="00B81B70" w:rsidRDefault="00F05DC7" w:rsidP="00A3786D">
                  <w:pPr>
                    <w:spacing w:before="80"/>
                    <w:ind w:right="57"/>
                    <w:jc w:val="right"/>
                    <w:rPr>
                      <w:rFonts w:ascii="Arial" w:hAnsi="Arial" w:cs="Arial"/>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7954B760" w14:textId="77777777" w:rsidR="00F05DC7" w:rsidRPr="00B81B70" w:rsidRDefault="00F05DC7" w:rsidP="00A3786D">
                  <w:pPr>
                    <w:spacing w:before="80"/>
                    <w:ind w:right="57"/>
                    <w:jc w:val="right"/>
                    <w:rPr>
                      <w:rFonts w:ascii="Arial" w:hAnsi="Arial" w:cs="Arial"/>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7954B761" w14:textId="77777777" w:rsidR="00F05DC7" w:rsidRPr="00B81B70" w:rsidRDefault="00F05DC7" w:rsidP="00A3786D">
                  <w:pPr>
                    <w:spacing w:before="80"/>
                    <w:ind w:right="57"/>
                    <w:jc w:val="right"/>
                    <w:rPr>
                      <w:rFonts w:ascii="Arial" w:hAnsi="Arial" w:cs="Arial"/>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7954B762" w14:textId="77777777" w:rsidR="00F05DC7" w:rsidRPr="00B81B70" w:rsidRDefault="00F05DC7" w:rsidP="00A3786D">
                  <w:pPr>
                    <w:spacing w:before="80"/>
                    <w:ind w:right="57"/>
                    <w:jc w:val="right"/>
                    <w:rPr>
                      <w:rFonts w:ascii="Arial" w:hAnsi="Arial" w:cs="Arial"/>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7954B763" w14:textId="77777777" w:rsidR="00F05DC7" w:rsidRPr="00B81B70" w:rsidRDefault="00F05DC7" w:rsidP="00A3786D">
                  <w:pPr>
                    <w:spacing w:before="80"/>
                    <w:ind w:right="57"/>
                    <w:jc w:val="right"/>
                    <w:rPr>
                      <w:rFonts w:ascii="Arial" w:hAnsi="Arial" w:cs="Arial"/>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7954B764" w14:textId="77777777" w:rsidR="00F05DC7" w:rsidRPr="00B81B70" w:rsidRDefault="00F05DC7" w:rsidP="00A3786D">
                  <w:pPr>
                    <w:spacing w:before="80"/>
                    <w:ind w:right="57"/>
                    <w:jc w:val="right"/>
                    <w:rPr>
                      <w:rFonts w:ascii="Arial" w:hAnsi="Arial" w:cs="Arial"/>
                      <w:color w:val="000000"/>
                      <w:sz w:val="18"/>
                      <w:szCs w:val="18"/>
                    </w:rPr>
                  </w:pPr>
                </w:p>
              </w:tc>
            </w:tr>
            <w:tr w:rsidR="00F05DC7" w14:paraId="7954B768"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B766" w14:textId="77777777" w:rsidR="00F05DC7" w:rsidRDefault="00F05DC7" w:rsidP="00A3786D">
                  <w:pPr>
                    <w:pStyle w:val="TableBodyText"/>
                    <w:jc w:val="left"/>
                  </w:pPr>
                  <w:r w:rsidRPr="00791D71">
                    <w:t>Current approach</w:t>
                  </w:r>
                </w:p>
              </w:tc>
              <w:tc>
                <w:tcPr>
                  <w:tcW w:w="3377" w:type="pct"/>
                  <w:gridSpan w:val="8"/>
                  <w:tcBorders>
                    <w:top w:val="nil"/>
                    <w:left w:val="nil"/>
                    <w:bottom w:val="nil"/>
                    <w:right w:val="nil"/>
                  </w:tcBorders>
                  <w:shd w:val="clear" w:color="auto" w:fill="auto"/>
                  <w:tcMar>
                    <w:left w:w="0" w:type="dxa"/>
                    <w:right w:w="0" w:type="dxa"/>
                  </w:tcMar>
                  <w:vAlign w:val="center"/>
                </w:tcPr>
                <w:p w14:paraId="7954B767" w14:textId="77777777" w:rsidR="00F05DC7" w:rsidRPr="00B81B70" w:rsidRDefault="00F05DC7" w:rsidP="00A3786D">
                  <w:pPr>
                    <w:pStyle w:val="TableBodyText"/>
                    <w:rPr>
                      <w:rFonts w:cs="Arial"/>
                    </w:rPr>
                  </w:pPr>
                  <w:r w:rsidRPr="00B81B70">
                    <w:rPr>
                      <w:rFonts w:cs="Arial"/>
                    </w:rPr>
                    <w:t>$6 840 million</w:t>
                  </w:r>
                </w:p>
              </w:tc>
            </w:tr>
            <w:tr w:rsidR="00F05DC7" w14:paraId="7954B76B" w14:textId="77777777" w:rsidTr="00A3786D">
              <w:trPr>
                <w:trHeight w:val="289"/>
              </w:trPr>
              <w:tc>
                <w:tcPr>
                  <w:tcW w:w="1623" w:type="pct"/>
                  <w:tcBorders>
                    <w:top w:val="nil"/>
                    <w:left w:val="nil"/>
                    <w:bottom w:val="nil"/>
                    <w:right w:val="nil"/>
                  </w:tcBorders>
                  <w:shd w:val="clear" w:color="auto" w:fill="auto"/>
                  <w:tcMar>
                    <w:left w:w="0" w:type="dxa"/>
                    <w:right w:w="0" w:type="dxa"/>
                  </w:tcMar>
                  <w:vAlign w:val="center"/>
                </w:tcPr>
                <w:p w14:paraId="7954B769" w14:textId="77777777" w:rsidR="00F05DC7" w:rsidRDefault="00F05DC7" w:rsidP="00A3786D">
                  <w:pPr>
                    <w:pStyle w:val="TableBodyText"/>
                    <w:jc w:val="left"/>
                  </w:pPr>
                  <w:r>
                    <w:t>25% discount</w:t>
                  </w:r>
                </w:p>
              </w:tc>
              <w:tc>
                <w:tcPr>
                  <w:tcW w:w="3377" w:type="pct"/>
                  <w:gridSpan w:val="8"/>
                  <w:tcBorders>
                    <w:top w:val="nil"/>
                    <w:left w:val="nil"/>
                    <w:bottom w:val="nil"/>
                    <w:right w:val="nil"/>
                  </w:tcBorders>
                  <w:shd w:val="clear" w:color="auto" w:fill="auto"/>
                  <w:tcMar>
                    <w:left w:w="0" w:type="dxa"/>
                    <w:right w:w="0" w:type="dxa"/>
                  </w:tcMar>
                  <w:vAlign w:val="center"/>
                </w:tcPr>
                <w:p w14:paraId="7954B76A" w14:textId="77777777" w:rsidR="00F05DC7" w:rsidRPr="00B81B70" w:rsidRDefault="00F05DC7" w:rsidP="00A3786D">
                  <w:pPr>
                    <w:pStyle w:val="TableBodyText"/>
                    <w:rPr>
                      <w:rFonts w:cs="Arial"/>
                    </w:rPr>
                  </w:pPr>
                  <w:r w:rsidRPr="00B81B70">
                    <w:rPr>
                      <w:rFonts w:cs="Arial"/>
                    </w:rPr>
                    <w:t>$6 </w:t>
                  </w:r>
                  <w:r>
                    <w:rPr>
                      <w:rFonts w:cs="Arial"/>
                    </w:rPr>
                    <w:t>874</w:t>
                  </w:r>
                  <w:r w:rsidRPr="00B81B70">
                    <w:rPr>
                      <w:rFonts w:cs="Arial"/>
                    </w:rPr>
                    <w:t> million</w:t>
                  </w:r>
                </w:p>
              </w:tc>
            </w:tr>
            <w:tr w:rsidR="00F05DC7" w14:paraId="7954B76E" w14:textId="77777777" w:rsidTr="00A3786D">
              <w:trPr>
                <w:trHeight w:val="289"/>
              </w:trPr>
              <w:tc>
                <w:tcPr>
                  <w:tcW w:w="1623" w:type="pct"/>
                  <w:tcBorders>
                    <w:top w:val="nil"/>
                    <w:left w:val="nil"/>
                    <w:bottom w:val="single" w:sz="8" w:space="0" w:color="BFBFBF"/>
                    <w:right w:val="nil"/>
                  </w:tcBorders>
                  <w:shd w:val="clear" w:color="auto" w:fill="auto"/>
                  <w:tcMar>
                    <w:left w:w="0" w:type="dxa"/>
                    <w:right w:w="0" w:type="dxa"/>
                  </w:tcMar>
                  <w:vAlign w:val="center"/>
                </w:tcPr>
                <w:p w14:paraId="7954B76C" w14:textId="77777777" w:rsidR="00F05DC7" w:rsidRDefault="00F05DC7" w:rsidP="00A3786D">
                  <w:pPr>
                    <w:pStyle w:val="TableBodyText"/>
                    <w:jc w:val="left"/>
                  </w:pPr>
                  <w:r>
                    <w:t>50% discount</w:t>
                  </w:r>
                </w:p>
              </w:tc>
              <w:tc>
                <w:tcPr>
                  <w:tcW w:w="3377" w:type="pct"/>
                  <w:gridSpan w:val="8"/>
                  <w:tcBorders>
                    <w:top w:val="nil"/>
                    <w:left w:val="nil"/>
                    <w:bottom w:val="single" w:sz="8" w:space="0" w:color="BFBFBF"/>
                    <w:right w:val="nil"/>
                  </w:tcBorders>
                  <w:shd w:val="clear" w:color="auto" w:fill="auto"/>
                  <w:tcMar>
                    <w:left w:w="0" w:type="dxa"/>
                    <w:right w:w="0" w:type="dxa"/>
                  </w:tcMar>
                  <w:vAlign w:val="center"/>
                </w:tcPr>
                <w:p w14:paraId="7954B76D" w14:textId="77777777" w:rsidR="00F05DC7" w:rsidRPr="00B81B70" w:rsidRDefault="00F05DC7" w:rsidP="00A3786D">
                  <w:pPr>
                    <w:pStyle w:val="TableBodyText"/>
                    <w:rPr>
                      <w:rFonts w:cs="Arial"/>
                    </w:rPr>
                  </w:pPr>
                  <w:r w:rsidRPr="00B81B70">
                    <w:rPr>
                      <w:rFonts w:cs="Arial"/>
                    </w:rPr>
                    <w:t>$6 </w:t>
                  </w:r>
                  <w:r>
                    <w:rPr>
                      <w:rFonts w:cs="Arial"/>
                    </w:rPr>
                    <w:t>907</w:t>
                  </w:r>
                  <w:r w:rsidRPr="00B81B70">
                    <w:rPr>
                      <w:rFonts w:cs="Arial"/>
                    </w:rPr>
                    <w:t> million</w:t>
                  </w:r>
                </w:p>
              </w:tc>
            </w:tr>
          </w:tbl>
          <w:p w14:paraId="7954B76F" w14:textId="77777777" w:rsidR="00F05DC7" w:rsidRDefault="00F05DC7" w:rsidP="00A3786D">
            <w:pPr>
              <w:pStyle w:val="Box"/>
            </w:pPr>
          </w:p>
        </w:tc>
      </w:tr>
      <w:tr w:rsidR="00F05DC7" w14:paraId="7954B772" w14:textId="77777777" w:rsidTr="00A3786D">
        <w:tc>
          <w:tcPr>
            <w:tcW w:w="5000" w:type="pct"/>
            <w:tcBorders>
              <w:top w:val="nil"/>
              <w:left w:val="nil"/>
              <w:bottom w:val="nil"/>
              <w:right w:val="nil"/>
            </w:tcBorders>
            <w:shd w:val="clear" w:color="auto" w:fill="auto"/>
          </w:tcPr>
          <w:p w14:paraId="7954B771"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774" w14:textId="77777777" w:rsidTr="00A3786D">
        <w:tc>
          <w:tcPr>
            <w:tcW w:w="5000" w:type="pct"/>
            <w:tcBorders>
              <w:top w:val="nil"/>
              <w:left w:val="nil"/>
              <w:bottom w:val="single" w:sz="6" w:space="0" w:color="78A22F"/>
              <w:right w:val="nil"/>
            </w:tcBorders>
            <w:shd w:val="clear" w:color="auto" w:fill="auto"/>
          </w:tcPr>
          <w:p w14:paraId="7954B773" w14:textId="77777777" w:rsidR="00F05DC7" w:rsidRDefault="00F05DC7" w:rsidP="00A3786D">
            <w:pPr>
              <w:pStyle w:val="Box"/>
              <w:spacing w:before="0" w:line="120" w:lineRule="exact"/>
            </w:pPr>
          </w:p>
        </w:tc>
      </w:tr>
      <w:tr w:rsidR="00F05DC7" w:rsidRPr="000863A5" w14:paraId="7954B776" w14:textId="77777777" w:rsidTr="00A3786D">
        <w:tc>
          <w:tcPr>
            <w:tcW w:w="5000" w:type="pct"/>
            <w:tcBorders>
              <w:top w:val="single" w:sz="6" w:space="0" w:color="78A22F"/>
              <w:left w:val="nil"/>
              <w:bottom w:val="nil"/>
              <w:right w:val="nil"/>
            </w:tcBorders>
          </w:tcPr>
          <w:p w14:paraId="7954B775" w14:textId="77777777" w:rsidR="00F05DC7" w:rsidRPr="00626D32" w:rsidRDefault="00F05DC7" w:rsidP="00A3786D">
            <w:pPr>
              <w:pStyle w:val="BoxSpaceBelow"/>
            </w:pPr>
          </w:p>
        </w:tc>
      </w:tr>
    </w:tbl>
    <w:p w14:paraId="7954B777" w14:textId="77777777" w:rsidR="00F05DC7" w:rsidRDefault="00F05DC7" w:rsidP="00A3786D">
      <w:pPr>
        <w:pStyle w:val="Heading3"/>
      </w:pPr>
      <w:r>
        <w:t>Discounting future tax rate changes</w:t>
      </w:r>
    </w:p>
    <w:p w14:paraId="7954B778" w14:textId="70FF831D" w:rsidR="00F05DC7" w:rsidRDefault="00F05DC7" w:rsidP="00A3786D">
      <w:pPr>
        <w:pStyle w:val="BodyText"/>
      </w:pPr>
      <w:r>
        <w:t>This cameo</w:t>
      </w:r>
      <w:r w:rsidRPr="00F90306">
        <w:t xml:space="preserve"> </w:t>
      </w:r>
      <w:r>
        <w:t xml:space="preserve">shows what the GST impacts on States could be from applying a discount to revenue associated with future tax rate changes, had such an approach been applied in the past. It is an illustration of the method being considered by the CGC to reduce the GST impact of a discretionary change in mining tax rates </w:t>
      </w:r>
      <w:r w:rsidR="009D6331" w:rsidRPr="009D6331">
        <w:rPr>
          <w:szCs w:val="24"/>
        </w:rPr>
        <w:t>(CGC 2017j)</w:t>
      </w:r>
      <w:r>
        <w:t>.</w:t>
      </w:r>
    </w:p>
    <w:p w14:paraId="7954B779" w14:textId="77777777" w:rsidR="00F05DC7" w:rsidRDefault="00F05DC7" w:rsidP="00A3786D">
      <w:pPr>
        <w:pStyle w:val="BodyText"/>
      </w:pPr>
      <w:r>
        <w:t xml:space="preserve">The calculations are based on the assumption that a discount would be applied such that the State undertaking the policy change would retain at least 50 per cent of any additional </w:t>
      </w:r>
      <w:r>
        <w:lastRenderedPageBreak/>
        <w:t>revenue (or, conversely, bear at least 50 per cent of any revenue decrease). The cameo applies this discount to the increase in iron ore royalty rates in Western Australia from 2010, assuming the discount (and current mineral</w:t>
      </w:r>
      <w:r>
        <w:noBreakHyphen/>
        <w:t>by</w:t>
      </w:r>
      <w:r>
        <w:noBreakHyphen/>
        <w:t>mineral assessment) had been in place since that year (box C.1). In practice, the CGC did not change its assessment approach in response to the royalty rate change, but did receive direction from the Commonwealth Treasurer to adjust its assessments from 2011 to 2014 to reduce the fiscal impact on Western Australia (chapter 3).</w:t>
      </w:r>
    </w:p>
    <w:p w14:paraId="7954B77A"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B77C" w14:textId="77777777" w:rsidTr="00A3786D">
        <w:trPr>
          <w:tblHeader/>
        </w:trPr>
        <w:tc>
          <w:tcPr>
            <w:tcW w:w="5000" w:type="pct"/>
            <w:tcBorders>
              <w:top w:val="single" w:sz="6" w:space="0" w:color="78A22F"/>
              <w:left w:val="nil"/>
              <w:bottom w:val="nil"/>
              <w:right w:val="nil"/>
            </w:tcBorders>
            <w:shd w:val="clear" w:color="auto" w:fill="F2F2F2"/>
          </w:tcPr>
          <w:p w14:paraId="7954B77B" w14:textId="7780FC01" w:rsidR="00F05DC7" w:rsidRDefault="00F05DC7" w:rsidP="00A3786D">
            <w:pPr>
              <w:pStyle w:val="BoxTitle"/>
            </w:pPr>
            <w:r>
              <w:rPr>
                <w:b w:val="0"/>
              </w:rPr>
              <w:t>Box C.</w:t>
            </w:r>
            <w:r>
              <w:rPr>
                <w:b w:val="0"/>
                <w:noProof/>
              </w:rPr>
              <w:t>1</w:t>
            </w:r>
            <w:r>
              <w:tab/>
              <w:t xml:space="preserve">Royalty rates on iron ore fines in Western Australia </w:t>
            </w:r>
          </w:p>
        </w:tc>
      </w:tr>
      <w:tr w:rsidR="00F05DC7" w14:paraId="7954B77E" w14:textId="77777777" w:rsidTr="00A3786D">
        <w:tc>
          <w:tcPr>
            <w:tcW w:w="5000" w:type="pct"/>
            <w:tcBorders>
              <w:top w:val="nil"/>
              <w:left w:val="nil"/>
              <w:bottom w:val="nil"/>
              <w:right w:val="nil"/>
            </w:tcBorders>
            <w:shd w:val="clear" w:color="auto" w:fill="F2F2F2"/>
          </w:tcPr>
          <w:p w14:paraId="7954B77D" w14:textId="77777777" w:rsidR="00F05DC7" w:rsidRDefault="00F05DC7" w:rsidP="00A3786D">
            <w:pPr>
              <w:pStyle w:val="Box"/>
            </w:pPr>
            <w:r w:rsidRPr="00F90306">
              <w:t xml:space="preserve">In June 2010, the Western Australian Government announced </w:t>
            </w:r>
            <w:r>
              <w:t>that it would be removing</w:t>
            </w:r>
            <w:r w:rsidRPr="00F90306">
              <w:t xml:space="preserve"> the concessional royalty rate of 3.75</w:t>
            </w:r>
            <w:r>
              <w:t> per cent</w:t>
            </w:r>
            <w:r w:rsidRPr="00F90306">
              <w:t xml:space="preserve"> that applied to </w:t>
            </w:r>
            <w:r>
              <w:t xml:space="preserve">about </w:t>
            </w:r>
            <w:r w:rsidRPr="00F90306">
              <w:t>half the iron ore f</w:t>
            </w:r>
            <w:r>
              <w:t>ines produced in the State. A</w:t>
            </w:r>
            <w:r w:rsidRPr="00F90306">
              <w:t xml:space="preserve"> royalty rate of 5.625</w:t>
            </w:r>
            <w:r>
              <w:t> per cent</w:t>
            </w:r>
            <w:r w:rsidRPr="00F90306">
              <w:t xml:space="preserve"> would</w:t>
            </w:r>
            <w:r>
              <w:t xml:space="preserve"> then</w:t>
            </w:r>
            <w:r w:rsidRPr="00F90306">
              <w:t xml:space="preserve"> apply to all iron ore fines produced in the State. In </w:t>
            </w:r>
            <w:r>
              <w:t>the</w:t>
            </w:r>
            <w:r w:rsidRPr="00F90306">
              <w:t xml:space="preserve"> 2011</w:t>
            </w:r>
            <w:r>
              <w:noBreakHyphen/>
            </w:r>
            <w:r w:rsidRPr="00F90306">
              <w:t>12</w:t>
            </w:r>
            <w:r>
              <w:t xml:space="preserve"> Western Australian Budget, </w:t>
            </w:r>
            <w:r w:rsidRPr="00F90306">
              <w:t>two further increases in the royalty rate applying to iron ore fines</w:t>
            </w:r>
            <w:r>
              <w:t xml:space="preserve"> were announced</w:t>
            </w:r>
            <w:r w:rsidRPr="00F90306">
              <w:t xml:space="preserve"> </w:t>
            </w:r>
            <w:r>
              <w:t>—</w:t>
            </w:r>
            <w:r w:rsidRPr="00F90306">
              <w:t xml:space="preserve"> </w:t>
            </w:r>
            <w:r>
              <w:t xml:space="preserve">an increase in </w:t>
            </w:r>
            <w:r w:rsidRPr="00F90306">
              <w:t>the rate to 6.5</w:t>
            </w:r>
            <w:r>
              <w:t> per cent</w:t>
            </w:r>
            <w:r w:rsidRPr="00F90306">
              <w:t xml:space="preserve"> from 1</w:t>
            </w:r>
            <w:r>
              <w:t> </w:t>
            </w:r>
            <w:r w:rsidRPr="00F90306">
              <w:t>July 2012 and to 7.5</w:t>
            </w:r>
            <w:r>
              <w:t> per cent</w:t>
            </w:r>
            <w:r w:rsidRPr="00F90306">
              <w:t xml:space="preserve"> from 1</w:t>
            </w:r>
            <w:r>
              <w:t> </w:t>
            </w:r>
            <w:r w:rsidRPr="00F90306">
              <w:t>July 2013. The second of these increases aligned the royalty rate on iron ore fines wit</w:t>
            </w:r>
            <w:r>
              <w:t>h that applying to lump iron ore</w:t>
            </w:r>
            <w:r w:rsidRPr="00F90306">
              <w:t>.</w:t>
            </w:r>
          </w:p>
        </w:tc>
      </w:tr>
      <w:tr w:rsidR="00F05DC7" w14:paraId="7954B780" w14:textId="77777777" w:rsidTr="00A3786D">
        <w:tc>
          <w:tcPr>
            <w:tcW w:w="5000" w:type="pct"/>
            <w:tcBorders>
              <w:top w:val="nil"/>
              <w:left w:val="nil"/>
              <w:bottom w:val="nil"/>
              <w:right w:val="nil"/>
            </w:tcBorders>
            <w:shd w:val="clear" w:color="auto" w:fill="F2F2F2"/>
          </w:tcPr>
          <w:p w14:paraId="7954B77F" w14:textId="58FF21BF" w:rsidR="00F05DC7" w:rsidRDefault="00F05DC7" w:rsidP="00A3786D">
            <w:pPr>
              <w:pStyle w:val="BoxSource"/>
            </w:pPr>
            <w:r>
              <w:rPr>
                <w:i/>
              </w:rPr>
              <w:t>Source</w:t>
            </w:r>
            <w:r w:rsidRPr="00167F06">
              <w:t>:</w:t>
            </w:r>
            <w:r>
              <w:t xml:space="preserve"> CGC </w:t>
            </w:r>
            <w:r w:rsidR="009D6331" w:rsidRPr="009D6331">
              <w:rPr>
                <w:rFonts w:cs="Arial"/>
              </w:rPr>
              <w:t>(2017d)</w:t>
            </w:r>
            <w:r>
              <w:t>.</w:t>
            </w:r>
          </w:p>
        </w:tc>
      </w:tr>
      <w:tr w:rsidR="00F05DC7" w14:paraId="7954B782" w14:textId="77777777" w:rsidTr="00A3786D">
        <w:tc>
          <w:tcPr>
            <w:tcW w:w="5000" w:type="pct"/>
            <w:tcBorders>
              <w:top w:val="nil"/>
              <w:left w:val="nil"/>
              <w:bottom w:val="single" w:sz="6" w:space="0" w:color="78A22F"/>
              <w:right w:val="nil"/>
            </w:tcBorders>
            <w:shd w:val="clear" w:color="auto" w:fill="F2F2F2"/>
          </w:tcPr>
          <w:p w14:paraId="7954B781" w14:textId="77777777" w:rsidR="00F05DC7" w:rsidRDefault="00F05DC7" w:rsidP="00A3786D">
            <w:pPr>
              <w:pStyle w:val="Box"/>
              <w:spacing w:before="0" w:line="120" w:lineRule="exact"/>
            </w:pPr>
          </w:p>
        </w:tc>
      </w:tr>
      <w:tr w:rsidR="00F05DC7" w:rsidRPr="000863A5" w14:paraId="7954B784" w14:textId="77777777" w:rsidTr="00A3786D">
        <w:tc>
          <w:tcPr>
            <w:tcW w:w="5000" w:type="pct"/>
            <w:tcBorders>
              <w:top w:val="single" w:sz="6" w:space="0" w:color="78A22F"/>
              <w:left w:val="nil"/>
              <w:bottom w:val="nil"/>
              <w:right w:val="nil"/>
            </w:tcBorders>
          </w:tcPr>
          <w:p w14:paraId="7954B783" w14:textId="77777777" w:rsidR="00F05DC7" w:rsidRPr="00626D32" w:rsidRDefault="00F05DC7" w:rsidP="00A3786D">
            <w:pPr>
              <w:pStyle w:val="BoxSpaceBelow"/>
            </w:pPr>
          </w:p>
        </w:tc>
      </w:tr>
    </w:tbl>
    <w:p w14:paraId="7954B785" w14:textId="77777777" w:rsidR="00F05DC7" w:rsidRDefault="00F05DC7" w:rsidP="00A3786D">
      <w:pPr>
        <w:pStyle w:val="Heading4"/>
      </w:pPr>
      <w:r>
        <w:t>Rationale</w:t>
      </w:r>
    </w:p>
    <w:p w14:paraId="7954B786" w14:textId="22C9DF39" w:rsidR="00F05DC7" w:rsidRDefault="00F05DC7" w:rsidP="00A3786D">
      <w:pPr>
        <w:pStyle w:val="BodyText"/>
      </w:pPr>
      <w:r>
        <w:t>As part of the 2020 methodology review, the CGC is examining the method it uses to assess a State’s ability to raise mining revenue. It has indicated that it is considering ‘</w:t>
      </w:r>
      <w:r w:rsidRPr="003A4F7D">
        <w:t>directly reducing the effect of a discretionary change in effective mining tax rates by the dominant State on the rate of tax used for the calculation of revenue capacity</w:t>
      </w:r>
      <w:r>
        <w:t xml:space="preserve">’ </w:t>
      </w:r>
      <w:r w:rsidR="009D6331" w:rsidRPr="009D6331">
        <w:rPr>
          <w:szCs w:val="24"/>
        </w:rPr>
        <w:t>(CGC 2017j, p. 29)</w:t>
      </w:r>
      <w:r>
        <w:t xml:space="preserve">. Under this approach, no discount would apply to revenue that is a result of </w:t>
      </w:r>
      <w:r w:rsidRPr="00ED23E8">
        <w:t>existing</w:t>
      </w:r>
      <w:r>
        <w:t xml:space="preserve"> tax rates, but the additional revenue raised from an increase in tax rates would be subject to a discount (and, conversely, the reduction in revenue from a decrease in tax rates). The discount would be set such that the State retains at least 50 per cent of additional revenue raised.</w:t>
      </w:r>
    </w:p>
    <w:p w14:paraId="7954B787" w14:textId="77777777" w:rsidR="00F05DC7" w:rsidRDefault="00F05DC7" w:rsidP="00A3786D">
      <w:pPr>
        <w:pStyle w:val="BodyText"/>
      </w:pPr>
      <w:r>
        <w:t>The cameo analysis only considered the effect of discounting the iron ore assessment since 2010, as it is both the most significant part of the mining assessment (in terms of dollars redistributed) and is the least policy neutral. In practice, any change to effective royalty rates for gold and nickel over this period may have also been subjected to the discount had it been in place (chapter 7).</w:t>
      </w:r>
    </w:p>
    <w:p w14:paraId="7954B788" w14:textId="77777777" w:rsidR="00F05DC7" w:rsidRDefault="00F05DC7" w:rsidP="00A3786D">
      <w:pPr>
        <w:pStyle w:val="Heading4"/>
      </w:pPr>
      <w:r>
        <w:t>Assumptions</w:t>
      </w:r>
    </w:p>
    <w:p w14:paraId="7954B789" w14:textId="77777777" w:rsidR="00F05DC7" w:rsidRDefault="00F05DC7" w:rsidP="00A3786D">
      <w:pPr>
        <w:pStyle w:val="BodyText"/>
      </w:pPr>
      <w:r>
        <w:t>Before the 2016</w:t>
      </w:r>
      <w:r>
        <w:noBreakHyphen/>
        <w:t>17 application year, States’ capacities to raise mining revenue were assessed using a different methodology than the current mineral-by-mineral assessment (chapter 3). So that the effects of the proposal could be compared on an even keel</w:t>
      </w:r>
      <w:r w:rsidRPr="00107195">
        <w:t xml:space="preserve"> </w:t>
      </w:r>
      <w:r>
        <w:t xml:space="preserve">over time, the Commission assumed that a mineral-by-mineral assessment had been in place since 2010. This required re-calculating assessment year GST payments and relativities between 2010 </w:t>
      </w:r>
      <w:r>
        <w:lastRenderedPageBreak/>
        <w:t xml:space="preserve">and 2016 using the current methodology while holding all other assessments constant. The effect of the proposal was then compared against this new level (table C.10). </w:t>
      </w:r>
    </w:p>
    <w:p w14:paraId="7954B78A"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78D" w14:textId="77777777" w:rsidTr="00A3786D">
        <w:trPr>
          <w:tblHeader/>
        </w:trPr>
        <w:tc>
          <w:tcPr>
            <w:tcW w:w="5000" w:type="pct"/>
            <w:tcBorders>
              <w:top w:val="single" w:sz="6" w:space="0" w:color="78A22F"/>
              <w:left w:val="nil"/>
              <w:bottom w:val="nil"/>
              <w:right w:val="nil"/>
            </w:tcBorders>
            <w:shd w:val="clear" w:color="auto" w:fill="auto"/>
          </w:tcPr>
          <w:p w14:paraId="7954B78B" w14:textId="4D64F857" w:rsidR="00F05DC7" w:rsidRDefault="00F05DC7" w:rsidP="00A3786D">
            <w:pPr>
              <w:pStyle w:val="TableTitle"/>
            </w:pPr>
            <w:r>
              <w:rPr>
                <w:b w:val="0"/>
              </w:rPr>
              <w:t>Table C.10</w:t>
            </w:r>
            <w:r>
              <w:tab/>
              <w:t>Baseline: relativities with a mineral-by-mineral assessment but no discount on iron ore royalty rate changes</w:t>
            </w:r>
            <w:r w:rsidDel="009C6FEA">
              <w:t xml:space="preserve"> </w:t>
            </w:r>
          </w:p>
          <w:p w14:paraId="7954B78C" w14:textId="77777777" w:rsidR="00F05DC7" w:rsidRPr="00784A05" w:rsidRDefault="00F05DC7">
            <w:pPr>
              <w:pStyle w:val="Subtitle"/>
            </w:pPr>
            <w:r>
              <w:t xml:space="preserve">Mining data from the 2018, 2017 and 2013 application years. </w:t>
            </w:r>
          </w:p>
        </w:tc>
      </w:tr>
      <w:tr w:rsidR="00F05DC7" w14:paraId="7954B829"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14:paraId="7954B797"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B78E" w14:textId="77777777" w:rsidR="00F05DC7" w:rsidRDefault="00F05DC7" w:rsidP="00A3786D">
                  <w:pPr>
                    <w:pStyle w:val="TableColumnHeading"/>
                    <w:jc w:val="left"/>
                  </w:pPr>
                </w:p>
              </w:tc>
              <w:tc>
                <w:tcPr>
                  <w:tcW w:w="557" w:type="pct"/>
                  <w:tcBorders>
                    <w:top w:val="single" w:sz="6" w:space="0" w:color="BFBFBF"/>
                    <w:bottom w:val="single" w:sz="6" w:space="0" w:color="BFBFBF"/>
                  </w:tcBorders>
                </w:tcPr>
                <w:p w14:paraId="7954B78F" w14:textId="77777777" w:rsidR="00F05DC7" w:rsidRDefault="00F05DC7" w:rsidP="00A3786D">
                  <w:pPr>
                    <w:pStyle w:val="TableColumnHeading"/>
                  </w:pPr>
                  <w:r>
                    <w:t>NSW</w:t>
                  </w:r>
                </w:p>
              </w:tc>
              <w:tc>
                <w:tcPr>
                  <w:tcW w:w="557" w:type="pct"/>
                  <w:tcBorders>
                    <w:top w:val="single" w:sz="6" w:space="0" w:color="BFBFBF"/>
                    <w:bottom w:val="single" w:sz="6" w:space="0" w:color="BFBFBF"/>
                  </w:tcBorders>
                </w:tcPr>
                <w:p w14:paraId="7954B790" w14:textId="77777777" w:rsidR="00F05DC7" w:rsidRDefault="00F05DC7" w:rsidP="00A3786D">
                  <w:pPr>
                    <w:pStyle w:val="TableColumnHeading"/>
                  </w:pPr>
                  <w:r>
                    <w:t>Vic</w:t>
                  </w:r>
                </w:p>
              </w:tc>
              <w:tc>
                <w:tcPr>
                  <w:tcW w:w="556" w:type="pct"/>
                  <w:tcBorders>
                    <w:top w:val="single" w:sz="6" w:space="0" w:color="BFBFBF"/>
                    <w:bottom w:val="single" w:sz="6" w:space="0" w:color="BFBFBF"/>
                  </w:tcBorders>
                </w:tcPr>
                <w:p w14:paraId="7954B791" w14:textId="77777777" w:rsidR="00F05DC7" w:rsidRDefault="00F05DC7" w:rsidP="00A3786D">
                  <w:pPr>
                    <w:pStyle w:val="TableColumnHeading"/>
                  </w:pPr>
                  <w:r>
                    <w:t>Qld</w:t>
                  </w:r>
                </w:p>
              </w:tc>
              <w:tc>
                <w:tcPr>
                  <w:tcW w:w="556" w:type="pct"/>
                  <w:tcBorders>
                    <w:top w:val="single" w:sz="6" w:space="0" w:color="BFBFBF"/>
                    <w:bottom w:val="single" w:sz="6" w:space="0" w:color="BFBFBF"/>
                  </w:tcBorders>
                </w:tcPr>
                <w:p w14:paraId="7954B792" w14:textId="77777777" w:rsidR="00F05DC7" w:rsidRDefault="00F05DC7" w:rsidP="00A3786D">
                  <w:pPr>
                    <w:pStyle w:val="TableColumnHeading"/>
                  </w:pPr>
                  <w:r>
                    <w:t>WA</w:t>
                  </w:r>
                </w:p>
              </w:tc>
              <w:tc>
                <w:tcPr>
                  <w:tcW w:w="555" w:type="pct"/>
                  <w:tcBorders>
                    <w:top w:val="single" w:sz="6" w:space="0" w:color="BFBFBF"/>
                    <w:bottom w:val="single" w:sz="6" w:space="0" w:color="BFBFBF"/>
                  </w:tcBorders>
                </w:tcPr>
                <w:p w14:paraId="7954B793" w14:textId="77777777" w:rsidR="00F05DC7" w:rsidRDefault="00F05DC7" w:rsidP="00A3786D">
                  <w:pPr>
                    <w:pStyle w:val="TableColumnHeading"/>
                  </w:pPr>
                  <w:r>
                    <w:t>SA</w:t>
                  </w:r>
                </w:p>
              </w:tc>
              <w:tc>
                <w:tcPr>
                  <w:tcW w:w="555" w:type="pct"/>
                  <w:tcBorders>
                    <w:top w:val="single" w:sz="6" w:space="0" w:color="BFBFBF"/>
                    <w:bottom w:val="single" w:sz="6" w:space="0" w:color="BFBFBF"/>
                  </w:tcBorders>
                </w:tcPr>
                <w:p w14:paraId="7954B794" w14:textId="77777777" w:rsidR="00F05DC7" w:rsidRDefault="00F05DC7" w:rsidP="00A3786D">
                  <w:pPr>
                    <w:pStyle w:val="TableColumnHeading"/>
                  </w:pPr>
                  <w:r>
                    <w:t>TAS</w:t>
                  </w:r>
                </w:p>
              </w:tc>
              <w:tc>
                <w:tcPr>
                  <w:tcW w:w="555" w:type="pct"/>
                  <w:tcBorders>
                    <w:top w:val="single" w:sz="6" w:space="0" w:color="BFBFBF"/>
                    <w:bottom w:val="single" w:sz="6" w:space="0" w:color="BFBFBF"/>
                  </w:tcBorders>
                  <w:shd w:val="clear" w:color="auto" w:fill="auto"/>
                  <w:tcMar>
                    <w:top w:w="28" w:type="dxa"/>
                  </w:tcMar>
                </w:tcPr>
                <w:p w14:paraId="7954B795" w14:textId="77777777" w:rsidR="00F05DC7" w:rsidRDefault="00F05DC7" w:rsidP="00A3786D">
                  <w:pPr>
                    <w:pStyle w:val="TableColumnHeading"/>
                  </w:pPr>
                  <w:r>
                    <w:t>ACT</w:t>
                  </w:r>
                </w:p>
              </w:tc>
              <w:tc>
                <w:tcPr>
                  <w:tcW w:w="553" w:type="pct"/>
                  <w:tcBorders>
                    <w:top w:val="single" w:sz="6" w:space="0" w:color="BFBFBF"/>
                    <w:bottom w:val="single" w:sz="6" w:space="0" w:color="BFBFBF"/>
                  </w:tcBorders>
                  <w:shd w:val="clear" w:color="auto" w:fill="auto"/>
                  <w:tcMar>
                    <w:top w:w="28" w:type="dxa"/>
                  </w:tcMar>
                </w:tcPr>
                <w:p w14:paraId="7954B796" w14:textId="77777777" w:rsidR="00F05DC7" w:rsidRDefault="00F05DC7" w:rsidP="00A3786D">
                  <w:pPr>
                    <w:pStyle w:val="TableColumnHeading"/>
                    <w:ind w:right="28"/>
                  </w:pPr>
                  <w:r>
                    <w:t>NT</w:t>
                  </w:r>
                </w:p>
              </w:tc>
            </w:tr>
            <w:tr w:rsidR="00F05DC7" w14:paraId="7954B799" w14:textId="77777777" w:rsidTr="00AB3F17">
              <w:tc>
                <w:tcPr>
                  <w:tcW w:w="5000" w:type="pct"/>
                  <w:gridSpan w:val="9"/>
                  <w:tcBorders>
                    <w:top w:val="single" w:sz="6" w:space="0" w:color="BFBFBF"/>
                  </w:tcBorders>
                  <w:shd w:val="clear" w:color="auto" w:fill="F2F2F2" w:themeFill="background1" w:themeFillShade="F2"/>
                </w:tcPr>
                <w:p w14:paraId="7954B798" w14:textId="77777777" w:rsidR="00F05DC7" w:rsidRPr="00481FC9" w:rsidRDefault="00F05DC7">
                  <w:pPr>
                    <w:pStyle w:val="TableUnitsRow"/>
                    <w:ind w:right="28"/>
                    <w:jc w:val="left"/>
                    <w:rPr>
                      <w:rFonts w:asciiTheme="minorHAnsi" w:hAnsiTheme="minorHAnsi" w:cstheme="minorHAnsi"/>
                      <w:szCs w:val="18"/>
                    </w:rPr>
                  </w:pPr>
                  <w:r>
                    <w:rPr>
                      <w:rFonts w:asciiTheme="minorHAnsi" w:hAnsiTheme="minorHAnsi" w:cstheme="minorHAnsi"/>
                      <w:szCs w:val="18"/>
                    </w:rPr>
                    <w:t>A</w:t>
                  </w:r>
                  <w:r w:rsidRPr="00481FC9">
                    <w:rPr>
                      <w:rFonts w:asciiTheme="minorHAnsi" w:hAnsiTheme="minorHAnsi" w:cstheme="minorHAnsi"/>
                      <w:szCs w:val="18"/>
                    </w:rPr>
                    <w:t>ssessment year</w:t>
                  </w:r>
                  <w:r>
                    <w:rPr>
                      <w:rFonts w:asciiTheme="minorHAnsi" w:hAnsiTheme="minorHAnsi" w:cstheme="minorHAnsi"/>
                      <w:szCs w:val="18"/>
                    </w:rPr>
                    <w:t xml:space="preserve"> relativities</w:t>
                  </w:r>
                </w:p>
              </w:tc>
            </w:tr>
            <w:tr w:rsidR="00F05DC7" w14:paraId="7954B7A3" w14:textId="77777777" w:rsidTr="00A3786D">
              <w:tc>
                <w:tcPr>
                  <w:tcW w:w="556" w:type="pct"/>
                </w:tcPr>
                <w:p w14:paraId="7954B79A" w14:textId="77777777" w:rsidR="00F05DC7" w:rsidRPr="00481FC9" w:rsidRDefault="00F05DC7" w:rsidP="00A3786D">
                  <w:pPr>
                    <w:pStyle w:val="TableBodyText"/>
                    <w:jc w:val="left"/>
                  </w:pPr>
                  <w:r w:rsidRPr="00481FC9">
                    <w:t>2010-11</w:t>
                  </w:r>
                </w:p>
              </w:tc>
              <w:tc>
                <w:tcPr>
                  <w:tcW w:w="557" w:type="pct"/>
                  <w:tcBorders>
                    <w:left w:val="nil"/>
                    <w:bottom w:val="nil"/>
                    <w:right w:val="nil"/>
                  </w:tcBorders>
                  <w:shd w:val="clear" w:color="auto" w:fill="auto"/>
                  <w:vAlign w:val="bottom"/>
                </w:tcPr>
                <w:p w14:paraId="7954B79B" w14:textId="77777777" w:rsidR="00F05DC7" w:rsidRPr="007003D1" w:rsidRDefault="00F05DC7" w:rsidP="00A3786D">
                  <w:pPr>
                    <w:pStyle w:val="TableBodyText"/>
                  </w:pPr>
                  <w:r w:rsidRPr="007003D1">
                    <w:rPr>
                      <w:color w:val="000000"/>
                    </w:rPr>
                    <w:t>0.97</w:t>
                  </w:r>
                </w:p>
              </w:tc>
              <w:tc>
                <w:tcPr>
                  <w:tcW w:w="557" w:type="pct"/>
                  <w:tcBorders>
                    <w:left w:val="nil"/>
                    <w:bottom w:val="nil"/>
                    <w:right w:val="nil"/>
                  </w:tcBorders>
                  <w:shd w:val="clear" w:color="auto" w:fill="auto"/>
                  <w:vAlign w:val="bottom"/>
                </w:tcPr>
                <w:p w14:paraId="7954B79C" w14:textId="77777777" w:rsidR="00F05DC7" w:rsidRPr="007003D1" w:rsidRDefault="00F05DC7" w:rsidP="00A3786D">
                  <w:pPr>
                    <w:pStyle w:val="TableBodyText"/>
                  </w:pPr>
                  <w:r w:rsidRPr="007003D1">
                    <w:rPr>
                      <w:color w:val="000000"/>
                    </w:rPr>
                    <w:t>0.88</w:t>
                  </w:r>
                </w:p>
              </w:tc>
              <w:tc>
                <w:tcPr>
                  <w:tcW w:w="556" w:type="pct"/>
                  <w:tcBorders>
                    <w:left w:val="nil"/>
                    <w:bottom w:val="nil"/>
                    <w:right w:val="nil"/>
                  </w:tcBorders>
                  <w:shd w:val="clear" w:color="auto" w:fill="auto"/>
                  <w:vAlign w:val="bottom"/>
                </w:tcPr>
                <w:p w14:paraId="7954B79D" w14:textId="77777777" w:rsidR="00F05DC7" w:rsidRPr="007003D1" w:rsidRDefault="00F05DC7" w:rsidP="00A3786D">
                  <w:pPr>
                    <w:pStyle w:val="TableBodyText"/>
                  </w:pPr>
                  <w:r w:rsidRPr="007003D1">
                    <w:rPr>
                      <w:color w:val="000000"/>
                    </w:rPr>
                    <w:t>1.12</w:t>
                  </w:r>
                </w:p>
              </w:tc>
              <w:tc>
                <w:tcPr>
                  <w:tcW w:w="556" w:type="pct"/>
                  <w:tcBorders>
                    <w:left w:val="nil"/>
                    <w:bottom w:val="nil"/>
                    <w:right w:val="nil"/>
                  </w:tcBorders>
                  <w:shd w:val="clear" w:color="auto" w:fill="auto"/>
                  <w:vAlign w:val="bottom"/>
                </w:tcPr>
                <w:p w14:paraId="7954B79E" w14:textId="77777777" w:rsidR="00F05DC7" w:rsidRPr="007003D1" w:rsidRDefault="00F05DC7" w:rsidP="00A3786D">
                  <w:pPr>
                    <w:pStyle w:val="TableBodyText"/>
                  </w:pPr>
                  <w:r w:rsidRPr="007003D1">
                    <w:rPr>
                      <w:color w:val="000000"/>
                    </w:rPr>
                    <w:t>0.34</w:t>
                  </w:r>
                </w:p>
              </w:tc>
              <w:tc>
                <w:tcPr>
                  <w:tcW w:w="555" w:type="pct"/>
                  <w:tcBorders>
                    <w:left w:val="nil"/>
                    <w:bottom w:val="nil"/>
                    <w:right w:val="nil"/>
                  </w:tcBorders>
                  <w:shd w:val="clear" w:color="auto" w:fill="auto"/>
                  <w:vAlign w:val="bottom"/>
                </w:tcPr>
                <w:p w14:paraId="7954B79F" w14:textId="77777777" w:rsidR="00F05DC7" w:rsidRPr="007003D1" w:rsidRDefault="00F05DC7" w:rsidP="00A3786D">
                  <w:pPr>
                    <w:pStyle w:val="TableBodyText"/>
                  </w:pPr>
                  <w:r w:rsidRPr="007003D1">
                    <w:rPr>
                      <w:color w:val="000000"/>
                    </w:rPr>
                    <w:t>1.32</w:t>
                  </w:r>
                </w:p>
              </w:tc>
              <w:tc>
                <w:tcPr>
                  <w:tcW w:w="555" w:type="pct"/>
                  <w:tcBorders>
                    <w:left w:val="nil"/>
                    <w:bottom w:val="nil"/>
                    <w:right w:val="nil"/>
                  </w:tcBorders>
                  <w:shd w:val="clear" w:color="auto" w:fill="auto"/>
                  <w:vAlign w:val="bottom"/>
                </w:tcPr>
                <w:p w14:paraId="7954B7A0" w14:textId="77777777" w:rsidR="00F05DC7" w:rsidRPr="007003D1" w:rsidRDefault="00F05DC7" w:rsidP="00A3786D">
                  <w:pPr>
                    <w:pStyle w:val="TableBodyText"/>
                  </w:pPr>
                  <w:r w:rsidRPr="007003D1">
                    <w:rPr>
                      <w:color w:val="000000"/>
                    </w:rPr>
                    <w:t>1.50</w:t>
                  </w:r>
                </w:p>
              </w:tc>
              <w:tc>
                <w:tcPr>
                  <w:tcW w:w="555" w:type="pct"/>
                  <w:tcBorders>
                    <w:left w:val="nil"/>
                    <w:bottom w:val="nil"/>
                    <w:right w:val="nil"/>
                  </w:tcBorders>
                  <w:shd w:val="clear" w:color="auto" w:fill="auto"/>
                  <w:vAlign w:val="bottom"/>
                </w:tcPr>
                <w:p w14:paraId="7954B7A1" w14:textId="77777777" w:rsidR="00F05DC7" w:rsidRPr="007003D1" w:rsidRDefault="00F05DC7" w:rsidP="00A3786D">
                  <w:pPr>
                    <w:pStyle w:val="TableBodyText"/>
                  </w:pPr>
                  <w:r w:rsidRPr="007003D1">
                    <w:rPr>
                      <w:color w:val="000000"/>
                    </w:rPr>
                    <w:t>1.24</w:t>
                  </w:r>
                </w:p>
              </w:tc>
              <w:tc>
                <w:tcPr>
                  <w:tcW w:w="553" w:type="pct"/>
                  <w:tcBorders>
                    <w:left w:val="nil"/>
                    <w:bottom w:val="nil"/>
                    <w:right w:val="nil"/>
                  </w:tcBorders>
                  <w:shd w:val="clear" w:color="auto" w:fill="auto"/>
                  <w:vAlign w:val="bottom"/>
                </w:tcPr>
                <w:p w14:paraId="7954B7A2" w14:textId="77777777" w:rsidR="00F05DC7" w:rsidRPr="007003D1" w:rsidRDefault="00F05DC7" w:rsidP="00A3786D">
                  <w:pPr>
                    <w:pStyle w:val="TableBodyText"/>
                  </w:pPr>
                  <w:r w:rsidRPr="007003D1">
                    <w:rPr>
                      <w:color w:val="000000"/>
                    </w:rPr>
                    <w:t>5.43</w:t>
                  </w:r>
                </w:p>
              </w:tc>
            </w:tr>
            <w:tr w:rsidR="00F05DC7" w14:paraId="7954B7AD" w14:textId="77777777" w:rsidTr="00A3786D">
              <w:tc>
                <w:tcPr>
                  <w:tcW w:w="556" w:type="pct"/>
                </w:tcPr>
                <w:p w14:paraId="7954B7A4" w14:textId="77777777" w:rsidR="00F05DC7" w:rsidRPr="00481FC9" w:rsidRDefault="00F05DC7" w:rsidP="00A3786D">
                  <w:pPr>
                    <w:pStyle w:val="TableBodyText"/>
                    <w:jc w:val="left"/>
                  </w:pPr>
                  <w:r w:rsidRPr="00481FC9">
                    <w:t>2011-12</w:t>
                  </w:r>
                </w:p>
              </w:tc>
              <w:tc>
                <w:tcPr>
                  <w:tcW w:w="557" w:type="pct"/>
                  <w:tcBorders>
                    <w:left w:val="nil"/>
                    <w:bottom w:val="nil"/>
                    <w:right w:val="nil"/>
                  </w:tcBorders>
                  <w:shd w:val="clear" w:color="auto" w:fill="auto"/>
                  <w:vAlign w:val="bottom"/>
                </w:tcPr>
                <w:p w14:paraId="7954B7A5" w14:textId="77777777" w:rsidR="00F05DC7" w:rsidRPr="007003D1" w:rsidRDefault="00F05DC7" w:rsidP="00A3786D">
                  <w:pPr>
                    <w:pStyle w:val="TableBodyText"/>
                  </w:pPr>
                  <w:r w:rsidRPr="007003D1">
                    <w:rPr>
                      <w:color w:val="000000"/>
                    </w:rPr>
                    <w:t>0.99</w:t>
                  </w:r>
                </w:p>
              </w:tc>
              <w:tc>
                <w:tcPr>
                  <w:tcW w:w="557" w:type="pct"/>
                  <w:tcBorders>
                    <w:left w:val="nil"/>
                    <w:bottom w:val="nil"/>
                    <w:right w:val="nil"/>
                  </w:tcBorders>
                  <w:shd w:val="clear" w:color="auto" w:fill="auto"/>
                  <w:vAlign w:val="bottom"/>
                </w:tcPr>
                <w:p w14:paraId="7954B7A6" w14:textId="77777777" w:rsidR="00F05DC7" w:rsidRPr="007003D1" w:rsidRDefault="00F05DC7" w:rsidP="00A3786D">
                  <w:pPr>
                    <w:pStyle w:val="TableBodyText"/>
                  </w:pPr>
                  <w:r w:rsidRPr="007003D1">
                    <w:rPr>
                      <w:color w:val="000000"/>
                    </w:rPr>
                    <w:t>0.91</w:t>
                  </w:r>
                </w:p>
              </w:tc>
              <w:tc>
                <w:tcPr>
                  <w:tcW w:w="556" w:type="pct"/>
                  <w:tcBorders>
                    <w:left w:val="nil"/>
                    <w:bottom w:val="nil"/>
                    <w:right w:val="nil"/>
                  </w:tcBorders>
                  <w:shd w:val="clear" w:color="auto" w:fill="auto"/>
                  <w:vAlign w:val="bottom"/>
                </w:tcPr>
                <w:p w14:paraId="7954B7A7" w14:textId="77777777" w:rsidR="00F05DC7" w:rsidRPr="007003D1" w:rsidRDefault="00F05DC7" w:rsidP="00A3786D">
                  <w:pPr>
                    <w:pStyle w:val="TableBodyText"/>
                  </w:pPr>
                  <w:r w:rsidRPr="007003D1">
                    <w:rPr>
                      <w:color w:val="000000"/>
                    </w:rPr>
                    <w:t>1.05</w:t>
                  </w:r>
                </w:p>
              </w:tc>
              <w:tc>
                <w:tcPr>
                  <w:tcW w:w="556" w:type="pct"/>
                  <w:tcBorders>
                    <w:left w:val="nil"/>
                    <w:bottom w:val="nil"/>
                    <w:right w:val="nil"/>
                  </w:tcBorders>
                  <w:shd w:val="clear" w:color="auto" w:fill="auto"/>
                  <w:vAlign w:val="bottom"/>
                </w:tcPr>
                <w:p w14:paraId="7954B7A8" w14:textId="77777777" w:rsidR="00F05DC7" w:rsidRPr="007003D1" w:rsidRDefault="00F05DC7" w:rsidP="00A3786D">
                  <w:pPr>
                    <w:pStyle w:val="TableBodyText"/>
                  </w:pPr>
                  <w:r w:rsidRPr="007003D1">
                    <w:rPr>
                      <w:color w:val="000000"/>
                    </w:rPr>
                    <w:t>0.35</w:t>
                  </w:r>
                </w:p>
              </w:tc>
              <w:tc>
                <w:tcPr>
                  <w:tcW w:w="555" w:type="pct"/>
                  <w:tcBorders>
                    <w:left w:val="nil"/>
                    <w:bottom w:val="nil"/>
                    <w:right w:val="nil"/>
                  </w:tcBorders>
                  <w:shd w:val="clear" w:color="auto" w:fill="auto"/>
                  <w:vAlign w:val="bottom"/>
                </w:tcPr>
                <w:p w14:paraId="7954B7A9" w14:textId="77777777" w:rsidR="00F05DC7" w:rsidRPr="007003D1" w:rsidRDefault="00F05DC7" w:rsidP="00A3786D">
                  <w:pPr>
                    <w:pStyle w:val="TableBodyText"/>
                  </w:pPr>
                  <w:r w:rsidRPr="007003D1">
                    <w:rPr>
                      <w:color w:val="000000"/>
                    </w:rPr>
                    <w:t>1.21</w:t>
                  </w:r>
                </w:p>
              </w:tc>
              <w:tc>
                <w:tcPr>
                  <w:tcW w:w="555" w:type="pct"/>
                  <w:tcBorders>
                    <w:left w:val="nil"/>
                    <w:bottom w:val="nil"/>
                    <w:right w:val="nil"/>
                  </w:tcBorders>
                  <w:shd w:val="clear" w:color="auto" w:fill="auto"/>
                  <w:vAlign w:val="bottom"/>
                </w:tcPr>
                <w:p w14:paraId="7954B7AA" w14:textId="77777777" w:rsidR="00F05DC7" w:rsidRPr="007003D1" w:rsidRDefault="00F05DC7" w:rsidP="00A3786D">
                  <w:pPr>
                    <w:pStyle w:val="TableBodyText"/>
                  </w:pPr>
                  <w:r w:rsidRPr="007003D1">
                    <w:rPr>
                      <w:color w:val="000000"/>
                    </w:rPr>
                    <w:t>1.79</w:t>
                  </w:r>
                </w:p>
              </w:tc>
              <w:tc>
                <w:tcPr>
                  <w:tcW w:w="555" w:type="pct"/>
                  <w:tcBorders>
                    <w:left w:val="nil"/>
                    <w:bottom w:val="nil"/>
                    <w:right w:val="nil"/>
                  </w:tcBorders>
                  <w:shd w:val="clear" w:color="auto" w:fill="auto"/>
                  <w:vAlign w:val="bottom"/>
                </w:tcPr>
                <w:p w14:paraId="7954B7AB" w14:textId="77777777" w:rsidR="00F05DC7" w:rsidRPr="007003D1" w:rsidRDefault="00F05DC7" w:rsidP="00A3786D">
                  <w:pPr>
                    <w:pStyle w:val="TableBodyText"/>
                  </w:pPr>
                  <w:r w:rsidRPr="007003D1">
                    <w:rPr>
                      <w:color w:val="000000"/>
                    </w:rPr>
                    <w:t>1.30</w:t>
                  </w:r>
                </w:p>
              </w:tc>
              <w:tc>
                <w:tcPr>
                  <w:tcW w:w="553" w:type="pct"/>
                  <w:tcBorders>
                    <w:left w:val="nil"/>
                    <w:bottom w:val="nil"/>
                    <w:right w:val="nil"/>
                  </w:tcBorders>
                  <w:shd w:val="clear" w:color="auto" w:fill="auto"/>
                  <w:vAlign w:val="bottom"/>
                </w:tcPr>
                <w:p w14:paraId="7954B7AC" w14:textId="77777777" w:rsidR="00F05DC7" w:rsidRPr="007003D1" w:rsidRDefault="00F05DC7" w:rsidP="00A3786D">
                  <w:pPr>
                    <w:pStyle w:val="TableBodyText"/>
                  </w:pPr>
                  <w:r w:rsidRPr="007003D1">
                    <w:rPr>
                      <w:color w:val="000000"/>
                    </w:rPr>
                    <w:t>5.47</w:t>
                  </w:r>
                </w:p>
              </w:tc>
            </w:tr>
            <w:tr w:rsidR="00F05DC7" w14:paraId="7954B7B7" w14:textId="77777777" w:rsidTr="00A3786D">
              <w:tc>
                <w:tcPr>
                  <w:tcW w:w="556" w:type="pct"/>
                </w:tcPr>
                <w:p w14:paraId="7954B7AE" w14:textId="77777777" w:rsidR="00F05DC7" w:rsidRPr="00481FC9" w:rsidRDefault="00F05DC7" w:rsidP="00A3786D">
                  <w:pPr>
                    <w:pStyle w:val="TableBodyText"/>
                    <w:jc w:val="left"/>
                  </w:pPr>
                  <w:r w:rsidRPr="00481FC9">
                    <w:t>2012-13</w:t>
                  </w:r>
                </w:p>
              </w:tc>
              <w:tc>
                <w:tcPr>
                  <w:tcW w:w="557" w:type="pct"/>
                  <w:tcBorders>
                    <w:left w:val="nil"/>
                    <w:bottom w:val="nil"/>
                    <w:right w:val="nil"/>
                  </w:tcBorders>
                  <w:shd w:val="clear" w:color="auto" w:fill="auto"/>
                  <w:vAlign w:val="bottom"/>
                </w:tcPr>
                <w:p w14:paraId="7954B7AF" w14:textId="77777777" w:rsidR="00F05DC7" w:rsidRPr="007003D1" w:rsidRDefault="00F05DC7" w:rsidP="00A3786D">
                  <w:pPr>
                    <w:pStyle w:val="TableBodyText"/>
                  </w:pPr>
                  <w:r w:rsidRPr="007003D1">
                    <w:rPr>
                      <w:color w:val="000000"/>
                    </w:rPr>
                    <w:t>0.94</w:t>
                  </w:r>
                </w:p>
              </w:tc>
              <w:tc>
                <w:tcPr>
                  <w:tcW w:w="557" w:type="pct"/>
                  <w:tcBorders>
                    <w:left w:val="nil"/>
                    <w:bottom w:val="nil"/>
                    <w:right w:val="nil"/>
                  </w:tcBorders>
                  <w:shd w:val="clear" w:color="auto" w:fill="auto"/>
                  <w:vAlign w:val="bottom"/>
                </w:tcPr>
                <w:p w14:paraId="7954B7B0" w14:textId="77777777" w:rsidR="00F05DC7" w:rsidRPr="007003D1" w:rsidRDefault="00F05DC7" w:rsidP="00A3786D">
                  <w:pPr>
                    <w:pStyle w:val="TableBodyText"/>
                  </w:pPr>
                  <w:r w:rsidRPr="007003D1">
                    <w:rPr>
                      <w:color w:val="000000"/>
                    </w:rPr>
                    <w:t>0.88</w:t>
                  </w:r>
                </w:p>
              </w:tc>
              <w:tc>
                <w:tcPr>
                  <w:tcW w:w="556" w:type="pct"/>
                  <w:tcBorders>
                    <w:left w:val="nil"/>
                    <w:bottom w:val="nil"/>
                    <w:right w:val="nil"/>
                  </w:tcBorders>
                  <w:shd w:val="clear" w:color="auto" w:fill="auto"/>
                  <w:vAlign w:val="bottom"/>
                </w:tcPr>
                <w:p w14:paraId="7954B7B1" w14:textId="77777777" w:rsidR="00F05DC7" w:rsidRPr="007003D1" w:rsidRDefault="00F05DC7" w:rsidP="00A3786D">
                  <w:pPr>
                    <w:pStyle w:val="TableBodyText"/>
                  </w:pPr>
                  <w:r w:rsidRPr="007003D1">
                    <w:rPr>
                      <w:color w:val="000000"/>
                    </w:rPr>
                    <w:t>1.12</w:t>
                  </w:r>
                </w:p>
              </w:tc>
              <w:tc>
                <w:tcPr>
                  <w:tcW w:w="556" w:type="pct"/>
                  <w:tcBorders>
                    <w:left w:val="nil"/>
                    <w:bottom w:val="nil"/>
                    <w:right w:val="nil"/>
                  </w:tcBorders>
                  <w:shd w:val="clear" w:color="auto" w:fill="auto"/>
                  <w:vAlign w:val="bottom"/>
                </w:tcPr>
                <w:p w14:paraId="7954B7B2" w14:textId="77777777" w:rsidR="00F05DC7" w:rsidRPr="007003D1" w:rsidRDefault="00F05DC7" w:rsidP="00A3786D">
                  <w:pPr>
                    <w:pStyle w:val="TableBodyText"/>
                  </w:pPr>
                  <w:r w:rsidRPr="007003D1">
                    <w:rPr>
                      <w:color w:val="000000"/>
                    </w:rPr>
                    <w:t>0.33</w:t>
                  </w:r>
                </w:p>
              </w:tc>
              <w:tc>
                <w:tcPr>
                  <w:tcW w:w="555" w:type="pct"/>
                  <w:tcBorders>
                    <w:left w:val="nil"/>
                    <w:bottom w:val="nil"/>
                    <w:right w:val="nil"/>
                  </w:tcBorders>
                  <w:shd w:val="clear" w:color="auto" w:fill="auto"/>
                  <w:vAlign w:val="bottom"/>
                </w:tcPr>
                <w:p w14:paraId="7954B7B3" w14:textId="77777777" w:rsidR="00F05DC7" w:rsidRPr="007003D1" w:rsidRDefault="00F05DC7" w:rsidP="00A3786D">
                  <w:pPr>
                    <w:pStyle w:val="TableBodyText"/>
                  </w:pPr>
                  <w:r w:rsidRPr="007003D1">
                    <w:rPr>
                      <w:color w:val="000000"/>
                    </w:rPr>
                    <w:t>1.36</w:t>
                  </w:r>
                </w:p>
              </w:tc>
              <w:tc>
                <w:tcPr>
                  <w:tcW w:w="555" w:type="pct"/>
                  <w:tcBorders>
                    <w:left w:val="nil"/>
                    <w:bottom w:val="nil"/>
                    <w:right w:val="nil"/>
                  </w:tcBorders>
                  <w:shd w:val="clear" w:color="auto" w:fill="auto"/>
                  <w:vAlign w:val="bottom"/>
                </w:tcPr>
                <w:p w14:paraId="7954B7B4" w14:textId="77777777" w:rsidR="00F05DC7" w:rsidRPr="007003D1" w:rsidRDefault="00F05DC7" w:rsidP="00A3786D">
                  <w:pPr>
                    <w:pStyle w:val="TableBodyText"/>
                  </w:pPr>
                  <w:r w:rsidRPr="007003D1">
                    <w:rPr>
                      <w:color w:val="000000"/>
                    </w:rPr>
                    <w:t>1.77</w:t>
                  </w:r>
                </w:p>
              </w:tc>
              <w:tc>
                <w:tcPr>
                  <w:tcW w:w="555" w:type="pct"/>
                  <w:tcBorders>
                    <w:left w:val="nil"/>
                    <w:bottom w:val="nil"/>
                    <w:right w:val="nil"/>
                  </w:tcBorders>
                  <w:shd w:val="clear" w:color="auto" w:fill="auto"/>
                  <w:vAlign w:val="bottom"/>
                </w:tcPr>
                <w:p w14:paraId="7954B7B5" w14:textId="77777777" w:rsidR="00F05DC7" w:rsidRPr="007003D1" w:rsidRDefault="00F05DC7" w:rsidP="00A3786D">
                  <w:pPr>
                    <w:pStyle w:val="TableBodyText"/>
                  </w:pPr>
                  <w:r w:rsidRPr="007003D1">
                    <w:rPr>
                      <w:color w:val="000000"/>
                    </w:rPr>
                    <w:t>1.10</w:t>
                  </w:r>
                </w:p>
              </w:tc>
              <w:tc>
                <w:tcPr>
                  <w:tcW w:w="553" w:type="pct"/>
                  <w:tcBorders>
                    <w:left w:val="nil"/>
                    <w:bottom w:val="nil"/>
                    <w:right w:val="nil"/>
                  </w:tcBorders>
                  <w:shd w:val="clear" w:color="auto" w:fill="auto"/>
                  <w:vAlign w:val="bottom"/>
                </w:tcPr>
                <w:p w14:paraId="7954B7B6" w14:textId="77777777" w:rsidR="00F05DC7" w:rsidRPr="007003D1" w:rsidRDefault="00F05DC7" w:rsidP="00A3786D">
                  <w:pPr>
                    <w:pStyle w:val="TableBodyText"/>
                  </w:pPr>
                  <w:r w:rsidRPr="007003D1">
                    <w:rPr>
                      <w:color w:val="000000"/>
                    </w:rPr>
                    <w:t>6.03</w:t>
                  </w:r>
                </w:p>
              </w:tc>
            </w:tr>
            <w:tr w:rsidR="00F05DC7" w14:paraId="7954B7C1" w14:textId="77777777" w:rsidTr="00A3786D">
              <w:tc>
                <w:tcPr>
                  <w:tcW w:w="556" w:type="pct"/>
                </w:tcPr>
                <w:p w14:paraId="7954B7B8" w14:textId="77777777" w:rsidR="00F05DC7" w:rsidRPr="00481FC9" w:rsidRDefault="00F05DC7" w:rsidP="00A3786D">
                  <w:pPr>
                    <w:pStyle w:val="TableBodyText"/>
                    <w:jc w:val="left"/>
                  </w:pPr>
                  <w:r w:rsidRPr="00481FC9">
                    <w:t>2013-14</w:t>
                  </w:r>
                </w:p>
              </w:tc>
              <w:tc>
                <w:tcPr>
                  <w:tcW w:w="557" w:type="pct"/>
                  <w:tcBorders>
                    <w:left w:val="nil"/>
                    <w:bottom w:val="nil"/>
                    <w:right w:val="nil"/>
                  </w:tcBorders>
                  <w:shd w:val="clear" w:color="auto" w:fill="auto"/>
                  <w:vAlign w:val="bottom"/>
                </w:tcPr>
                <w:p w14:paraId="7954B7B9" w14:textId="77777777" w:rsidR="00F05DC7" w:rsidRPr="007003D1" w:rsidRDefault="00F05DC7" w:rsidP="00A3786D">
                  <w:pPr>
                    <w:pStyle w:val="TableBodyText"/>
                  </w:pPr>
                  <w:r w:rsidRPr="007003D1">
                    <w:rPr>
                      <w:color w:val="000000"/>
                    </w:rPr>
                    <w:t>0.90</w:t>
                  </w:r>
                </w:p>
              </w:tc>
              <w:tc>
                <w:tcPr>
                  <w:tcW w:w="557" w:type="pct"/>
                  <w:tcBorders>
                    <w:left w:val="nil"/>
                    <w:bottom w:val="nil"/>
                    <w:right w:val="nil"/>
                  </w:tcBorders>
                  <w:shd w:val="clear" w:color="auto" w:fill="auto"/>
                  <w:vAlign w:val="bottom"/>
                </w:tcPr>
                <w:p w14:paraId="7954B7BA" w14:textId="77777777" w:rsidR="00F05DC7" w:rsidRPr="007003D1" w:rsidRDefault="00F05DC7" w:rsidP="00A3786D">
                  <w:pPr>
                    <w:pStyle w:val="TableBodyText"/>
                  </w:pPr>
                  <w:r w:rsidRPr="007003D1">
                    <w:rPr>
                      <w:color w:val="000000"/>
                    </w:rPr>
                    <w:t>0.92</w:t>
                  </w:r>
                </w:p>
              </w:tc>
              <w:tc>
                <w:tcPr>
                  <w:tcW w:w="556" w:type="pct"/>
                  <w:tcBorders>
                    <w:left w:val="nil"/>
                    <w:bottom w:val="nil"/>
                    <w:right w:val="nil"/>
                  </w:tcBorders>
                  <w:shd w:val="clear" w:color="auto" w:fill="auto"/>
                  <w:vAlign w:val="bottom"/>
                </w:tcPr>
                <w:p w14:paraId="7954B7BB" w14:textId="77777777" w:rsidR="00F05DC7" w:rsidRPr="007003D1" w:rsidRDefault="00F05DC7" w:rsidP="00A3786D">
                  <w:pPr>
                    <w:pStyle w:val="TableBodyText"/>
                  </w:pPr>
                  <w:r w:rsidRPr="007003D1">
                    <w:rPr>
                      <w:color w:val="000000"/>
                    </w:rPr>
                    <w:t>1.30</w:t>
                  </w:r>
                </w:p>
              </w:tc>
              <w:tc>
                <w:tcPr>
                  <w:tcW w:w="556" w:type="pct"/>
                  <w:tcBorders>
                    <w:left w:val="nil"/>
                    <w:bottom w:val="nil"/>
                    <w:right w:val="nil"/>
                  </w:tcBorders>
                  <w:shd w:val="clear" w:color="auto" w:fill="auto"/>
                  <w:vAlign w:val="bottom"/>
                </w:tcPr>
                <w:p w14:paraId="7954B7BC" w14:textId="77777777" w:rsidR="00F05DC7" w:rsidRPr="007003D1" w:rsidRDefault="00F05DC7" w:rsidP="00A3786D">
                  <w:pPr>
                    <w:pStyle w:val="TableBodyText"/>
                  </w:pPr>
                  <w:r w:rsidRPr="007003D1">
                    <w:rPr>
                      <w:color w:val="000000"/>
                    </w:rPr>
                    <w:t>0.03</w:t>
                  </w:r>
                </w:p>
              </w:tc>
              <w:tc>
                <w:tcPr>
                  <w:tcW w:w="555" w:type="pct"/>
                  <w:tcBorders>
                    <w:left w:val="nil"/>
                    <w:bottom w:val="nil"/>
                    <w:right w:val="nil"/>
                  </w:tcBorders>
                  <w:shd w:val="clear" w:color="auto" w:fill="auto"/>
                  <w:vAlign w:val="bottom"/>
                </w:tcPr>
                <w:p w14:paraId="7954B7BD" w14:textId="77777777" w:rsidR="00F05DC7" w:rsidRPr="007003D1" w:rsidRDefault="00F05DC7" w:rsidP="00A3786D">
                  <w:pPr>
                    <w:pStyle w:val="TableBodyText"/>
                  </w:pPr>
                  <w:r w:rsidRPr="007003D1">
                    <w:rPr>
                      <w:color w:val="000000"/>
                    </w:rPr>
                    <w:t>1.47</w:t>
                  </w:r>
                </w:p>
              </w:tc>
              <w:tc>
                <w:tcPr>
                  <w:tcW w:w="555" w:type="pct"/>
                  <w:tcBorders>
                    <w:left w:val="nil"/>
                    <w:bottom w:val="nil"/>
                    <w:right w:val="nil"/>
                  </w:tcBorders>
                  <w:shd w:val="clear" w:color="auto" w:fill="auto"/>
                  <w:vAlign w:val="bottom"/>
                </w:tcPr>
                <w:p w14:paraId="7954B7BE" w14:textId="77777777" w:rsidR="00F05DC7" w:rsidRPr="007003D1" w:rsidRDefault="00F05DC7" w:rsidP="00A3786D">
                  <w:pPr>
                    <w:pStyle w:val="TableBodyText"/>
                  </w:pPr>
                  <w:r w:rsidRPr="007003D1">
                    <w:rPr>
                      <w:color w:val="000000"/>
                    </w:rPr>
                    <w:t>1.81</w:t>
                  </w:r>
                </w:p>
              </w:tc>
              <w:tc>
                <w:tcPr>
                  <w:tcW w:w="555" w:type="pct"/>
                  <w:tcBorders>
                    <w:left w:val="nil"/>
                    <w:bottom w:val="nil"/>
                    <w:right w:val="nil"/>
                  </w:tcBorders>
                  <w:shd w:val="clear" w:color="auto" w:fill="auto"/>
                  <w:vAlign w:val="bottom"/>
                </w:tcPr>
                <w:p w14:paraId="7954B7BF" w14:textId="77777777" w:rsidR="00F05DC7" w:rsidRPr="007003D1" w:rsidRDefault="00F05DC7" w:rsidP="00A3786D">
                  <w:pPr>
                    <w:pStyle w:val="TableBodyText"/>
                  </w:pPr>
                  <w:r w:rsidRPr="007003D1">
                    <w:rPr>
                      <w:color w:val="000000"/>
                    </w:rPr>
                    <w:t>1.19</w:t>
                  </w:r>
                </w:p>
              </w:tc>
              <w:tc>
                <w:tcPr>
                  <w:tcW w:w="553" w:type="pct"/>
                  <w:tcBorders>
                    <w:left w:val="nil"/>
                    <w:bottom w:val="nil"/>
                    <w:right w:val="nil"/>
                  </w:tcBorders>
                  <w:shd w:val="clear" w:color="auto" w:fill="auto"/>
                  <w:vAlign w:val="bottom"/>
                </w:tcPr>
                <w:p w14:paraId="7954B7C0" w14:textId="77777777" w:rsidR="00F05DC7" w:rsidRPr="007003D1" w:rsidRDefault="00F05DC7" w:rsidP="00A3786D">
                  <w:pPr>
                    <w:pStyle w:val="TableBodyText"/>
                  </w:pPr>
                  <w:r w:rsidRPr="007003D1">
                    <w:rPr>
                      <w:color w:val="000000"/>
                    </w:rPr>
                    <w:t>5.10</w:t>
                  </w:r>
                </w:p>
              </w:tc>
            </w:tr>
            <w:tr w:rsidR="00F05DC7" w14:paraId="7954B7CB" w14:textId="77777777" w:rsidTr="00A3786D">
              <w:tc>
                <w:tcPr>
                  <w:tcW w:w="556" w:type="pct"/>
                </w:tcPr>
                <w:p w14:paraId="7954B7C2" w14:textId="77777777" w:rsidR="00F05DC7" w:rsidRPr="00481FC9" w:rsidRDefault="00F05DC7" w:rsidP="00A3786D">
                  <w:pPr>
                    <w:pStyle w:val="TableBodyText"/>
                    <w:jc w:val="left"/>
                  </w:pPr>
                  <w:r w:rsidRPr="00481FC9">
                    <w:t>2014-15</w:t>
                  </w:r>
                </w:p>
              </w:tc>
              <w:tc>
                <w:tcPr>
                  <w:tcW w:w="557" w:type="pct"/>
                  <w:tcBorders>
                    <w:left w:val="nil"/>
                    <w:bottom w:val="nil"/>
                    <w:right w:val="nil"/>
                  </w:tcBorders>
                  <w:shd w:val="clear" w:color="auto" w:fill="auto"/>
                  <w:vAlign w:val="bottom"/>
                </w:tcPr>
                <w:p w14:paraId="7954B7C3" w14:textId="77777777" w:rsidR="00F05DC7" w:rsidRPr="007003D1" w:rsidRDefault="00F05DC7" w:rsidP="00A3786D">
                  <w:pPr>
                    <w:pStyle w:val="TableBodyText"/>
                  </w:pPr>
                  <w:r w:rsidRPr="007003D1">
                    <w:rPr>
                      <w:color w:val="000000"/>
                    </w:rPr>
                    <w:t>0.88</w:t>
                  </w:r>
                </w:p>
              </w:tc>
              <w:tc>
                <w:tcPr>
                  <w:tcW w:w="557" w:type="pct"/>
                  <w:tcBorders>
                    <w:left w:val="nil"/>
                    <w:bottom w:val="nil"/>
                    <w:right w:val="nil"/>
                  </w:tcBorders>
                  <w:shd w:val="clear" w:color="auto" w:fill="auto"/>
                  <w:vAlign w:val="bottom"/>
                </w:tcPr>
                <w:p w14:paraId="7954B7C4" w14:textId="77777777" w:rsidR="00F05DC7" w:rsidRPr="007003D1" w:rsidRDefault="00F05DC7" w:rsidP="00A3786D">
                  <w:pPr>
                    <w:pStyle w:val="TableBodyText"/>
                  </w:pPr>
                  <w:r w:rsidRPr="007003D1">
                    <w:rPr>
                      <w:color w:val="000000"/>
                    </w:rPr>
                    <w:t>0.99</w:t>
                  </w:r>
                </w:p>
              </w:tc>
              <w:tc>
                <w:tcPr>
                  <w:tcW w:w="556" w:type="pct"/>
                  <w:tcBorders>
                    <w:left w:val="nil"/>
                    <w:bottom w:val="nil"/>
                    <w:right w:val="nil"/>
                  </w:tcBorders>
                  <w:shd w:val="clear" w:color="auto" w:fill="auto"/>
                  <w:vAlign w:val="bottom"/>
                </w:tcPr>
                <w:p w14:paraId="7954B7C5" w14:textId="77777777" w:rsidR="00F05DC7" w:rsidRPr="007003D1" w:rsidRDefault="00F05DC7" w:rsidP="00A3786D">
                  <w:pPr>
                    <w:pStyle w:val="TableBodyText"/>
                  </w:pPr>
                  <w:r w:rsidRPr="007003D1">
                    <w:rPr>
                      <w:color w:val="000000"/>
                    </w:rPr>
                    <w:t>1.14</w:t>
                  </w:r>
                </w:p>
              </w:tc>
              <w:tc>
                <w:tcPr>
                  <w:tcW w:w="556" w:type="pct"/>
                  <w:tcBorders>
                    <w:left w:val="nil"/>
                    <w:bottom w:val="nil"/>
                    <w:right w:val="nil"/>
                  </w:tcBorders>
                  <w:shd w:val="clear" w:color="auto" w:fill="auto"/>
                  <w:vAlign w:val="bottom"/>
                </w:tcPr>
                <w:p w14:paraId="7954B7C6" w14:textId="77777777" w:rsidR="00F05DC7" w:rsidRPr="007003D1" w:rsidRDefault="00F05DC7" w:rsidP="00A3786D">
                  <w:pPr>
                    <w:pStyle w:val="TableBodyText"/>
                  </w:pPr>
                  <w:r w:rsidRPr="007003D1">
                    <w:rPr>
                      <w:color w:val="000000"/>
                    </w:rPr>
                    <w:t>0.31</w:t>
                  </w:r>
                </w:p>
              </w:tc>
              <w:tc>
                <w:tcPr>
                  <w:tcW w:w="555" w:type="pct"/>
                  <w:tcBorders>
                    <w:left w:val="nil"/>
                    <w:bottom w:val="nil"/>
                    <w:right w:val="nil"/>
                  </w:tcBorders>
                  <w:shd w:val="clear" w:color="auto" w:fill="auto"/>
                  <w:vAlign w:val="bottom"/>
                </w:tcPr>
                <w:p w14:paraId="7954B7C7" w14:textId="77777777" w:rsidR="00F05DC7" w:rsidRPr="007003D1" w:rsidRDefault="00F05DC7" w:rsidP="00A3786D">
                  <w:pPr>
                    <w:pStyle w:val="TableBodyText"/>
                  </w:pPr>
                  <w:r w:rsidRPr="007003D1">
                    <w:rPr>
                      <w:color w:val="000000"/>
                    </w:rPr>
                    <w:t>1.43</w:t>
                  </w:r>
                </w:p>
              </w:tc>
              <w:tc>
                <w:tcPr>
                  <w:tcW w:w="555" w:type="pct"/>
                  <w:tcBorders>
                    <w:left w:val="nil"/>
                    <w:bottom w:val="nil"/>
                    <w:right w:val="nil"/>
                  </w:tcBorders>
                  <w:shd w:val="clear" w:color="auto" w:fill="auto"/>
                  <w:vAlign w:val="bottom"/>
                </w:tcPr>
                <w:p w14:paraId="7954B7C8" w14:textId="77777777" w:rsidR="00F05DC7" w:rsidRPr="007003D1" w:rsidRDefault="00F05DC7" w:rsidP="00A3786D">
                  <w:pPr>
                    <w:pStyle w:val="TableBodyText"/>
                  </w:pPr>
                  <w:r w:rsidRPr="007003D1">
                    <w:rPr>
                      <w:color w:val="000000"/>
                    </w:rPr>
                    <w:t>1.77</w:t>
                  </w:r>
                </w:p>
              </w:tc>
              <w:tc>
                <w:tcPr>
                  <w:tcW w:w="555" w:type="pct"/>
                  <w:tcBorders>
                    <w:left w:val="nil"/>
                    <w:bottom w:val="nil"/>
                    <w:right w:val="nil"/>
                  </w:tcBorders>
                  <w:shd w:val="clear" w:color="auto" w:fill="auto"/>
                  <w:vAlign w:val="bottom"/>
                </w:tcPr>
                <w:p w14:paraId="7954B7C9" w14:textId="77777777" w:rsidR="00F05DC7" w:rsidRPr="007003D1" w:rsidRDefault="00F05DC7" w:rsidP="00A3786D">
                  <w:pPr>
                    <w:pStyle w:val="TableBodyText"/>
                  </w:pPr>
                  <w:r w:rsidRPr="007003D1">
                    <w:rPr>
                      <w:color w:val="000000"/>
                    </w:rPr>
                    <w:t>1.18</w:t>
                  </w:r>
                </w:p>
              </w:tc>
              <w:tc>
                <w:tcPr>
                  <w:tcW w:w="553" w:type="pct"/>
                  <w:tcBorders>
                    <w:left w:val="nil"/>
                    <w:bottom w:val="nil"/>
                    <w:right w:val="nil"/>
                  </w:tcBorders>
                  <w:shd w:val="clear" w:color="auto" w:fill="auto"/>
                  <w:vAlign w:val="bottom"/>
                </w:tcPr>
                <w:p w14:paraId="7954B7CA" w14:textId="77777777" w:rsidR="00F05DC7" w:rsidRPr="007003D1" w:rsidRDefault="00F05DC7" w:rsidP="00A3786D">
                  <w:pPr>
                    <w:pStyle w:val="TableBodyText"/>
                  </w:pPr>
                  <w:r w:rsidRPr="007003D1">
                    <w:rPr>
                      <w:color w:val="000000"/>
                    </w:rPr>
                    <w:t>4.40</w:t>
                  </w:r>
                </w:p>
              </w:tc>
            </w:tr>
            <w:tr w:rsidR="00F05DC7" w14:paraId="7954B7D5" w14:textId="77777777" w:rsidTr="00A3786D">
              <w:tc>
                <w:tcPr>
                  <w:tcW w:w="556" w:type="pct"/>
                </w:tcPr>
                <w:p w14:paraId="7954B7CC" w14:textId="77777777" w:rsidR="00F05DC7" w:rsidRPr="00481FC9" w:rsidRDefault="00F05DC7" w:rsidP="00A3786D">
                  <w:pPr>
                    <w:pStyle w:val="TableBodyText"/>
                    <w:jc w:val="left"/>
                  </w:pPr>
                  <w:r w:rsidRPr="00481FC9">
                    <w:t>2015-16</w:t>
                  </w:r>
                </w:p>
              </w:tc>
              <w:tc>
                <w:tcPr>
                  <w:tcW w:w="557" w:type="pct"/>
                  <w:tcBorders>
                    <w:left w:val="nil"/>
                    <w:bottom w:val="nil"/>
                    <w:right w:val="nil"/>
                  </w:tcBorders>
                  <w:shd w:val="clear" w:color="auto" w:fill="auto"/>
                  <w:vAlign w:val="bottom"/>
                </w:tcPr>
                <w:p w14:paraId="7954B7CD" w14:textId="77777777" w:rsidR="00F05DC7" w:rsidRPr="007003D1" w:rsidRDefault="00F05DC7" w:rsidP="00A3786D">
                  <w:pPr>
                    <w:pStyle w:val="TableBodyText"/>
                  </w:pPr>
                  <w:r w:rsidRPr="007003D1">
                    <w:rPr>
                      <w:color w:val="000000"/>
                    </w:rPr>
                    <w:t>0.85</w:t>
                  </w:r>
                </w:p>
              </w:tc>
              <w:tc>
                <w:tcPr>
                  <w:tcW w:w="557" w:type="pct"/>
                  <w:tcBorders>
                    <w:left w:val="nil"/>
                    <w:bottom w:val="nil"/>
                    <w:right w:val="nil"/>
                  </w:tcBorders>
                  <w:shd w:val="clear" w:color="auto" w:fill="auto"/>
                  <w:vAlign w:val="bottom"/>
                </w:tcPr>
                <w:p w14:paraId="7954B7CE" w14:textId="77777777" w:rsidR="00F05DC7" w:rsidRPr="007003D1" w:rsidRDefault="00F05DC7" w:rsidP="00A3786D">
                  <w:pPr>
                    <w:pStyle w:val="TableBodyText"/>
                  </w:pPr>
                  <w:r w:rsidRPr="007003D1">
                    <w:rPr>
                      <w:color w:val="000000"/>
                    </w:rPr>
                    <w:t>0.95</w:t>
                  </w:r>
                </w:p>
              </w:tc>
              <w:tc>
                <w:tcPr>
                  <w:tcW w:w="556" w:type="pct"/>
                  <w:tcBorders>
                    <w:left w:val="nil"/>
                    <w:bottom w:val="nil"/>
                    <w:right w:val="nil"/>
                  </w:tcBorders>
                  <w:shd w:val="clear" w:color="auto" w:fill="auto"/>
                  <w:vAlign w:val="bottom"/>
                </w:tcPr>
                <w:p w14:paraId="7954B7CF" w14:textId="77777777" w:rsidR="00F05DC7" w:rsidRPr="007003D1" w:rsidRDefault="00F05DC7" w:rsidP="00A3786D">
                  <w:pPr>
                    <w:pStyle w:val="TableBodyText"/>
                  </w:pPr>
                  <w:r w:rsidRPr="007003D1">
                    <w:rPr>
                      <w:color w:val="000000"/>
                    </w:rPr>
                    <w:t>1.12</w:t>
                  </w:r>
                </w:p>
              </w:tc>
              <w:tc>
                <w:tcPr>
                  <w:tcW w:w="556" w:type="pct"/>
                  <w:tcBorders>
                    <w:left w:val="nil"/>
                    <w:bottom w:val="nil"/>
                    <w:right w:val="nil"/>
                  </w:tcBorders>
                  <w:shd w:val="clear" w:color="auto" w:fill="auto"/>
                  <w:vAlign w:val="bottom"/>
                </w:tcPr>
                <w:p w14:paraId="7954B7D0" w14:textId="77777777" w:rsidR="00F05DC7" w:rsidRPr="007003D1" w:rsidRDefault="00F05DC7" w:rsidP="00A3786D">
                  <w:pPr>
                    <w:pStyle w:val="TableBodyText"/>
                  </w:pPr>
                  <w:r w:rsidRPr="007003D1">
                    <w:rPr>
                      <w:color w:val="000000"/>
                    </w:rPr>
                    <w:t>0.54</w:t>
                  </w:r>
                </w:p>
              </w:tc>
              <w:tc>
                <w:tcPr>
                  <w:tcW w:w="555" w:type="pct"/>
                  <w:tcBorders>
                    <w:left w:val="nil"/>
                    <w:bottom w:val="nil"/>
                    <w:right w:val="nil"/>
                  </w:tcBorders>
                  <w:shd w:val="clear" w:color="auto" w:fill="auto"/>
                  <w:vAlign w:val="bottom"/>
                </w:tcPr>
                <w:p w14:paraId="7954B7D1" w14:textId="77777777" w:rsidR="00F05DC7" w:rsidRPr="007003D1" w:rsidRDefault="00F05DC7" w:rsidP="00A3786D">
                  <w:pPr>
                    <w:pStyle w:val="TableBodyText"/>
                  </w:pPr>
                  <w:r w:rsidRPr="007003D1">
                    <w:rPr>
                      <w:color w:val="000000"/>
                    </w:rPr>
                    <w:t>1.47</w:t>
                  </w:r>
                </w:p>
              </w:tc>
              <w:tc>
                <w:tcPr>
                  <w:tcW w:w="555" w:type="pct"/>
                  <w:tcBorders>
                    <w:left w:val="nil"/>
                    <w:bottom w:val="nil"/>
                    <w:right w:val="nil"/>
                  </w:tcBorders>
                  <w:shd w:val="clear" w:color="auto" w:fill="auto"/>
                  <w:vAlign w:val="bottom"/>
                </w:tcPr>
                <w:p w14:paraId="7954B7D2" w14:textId="77777777" w:rsidR="00F05DC7" w:rsidRPr="007003D1" w:rsidRDefault="00F05DC7" w:rsidP="00A3786D">
                  <w:pPr>
                    <w:pStyle w:val="TableBodyText"/>
                  </w:pPr>
                  <w:r w:rsidRPr="007003D1">
                    <w:rPr>
                      <w:color w:val="000000"/>
                    </w:rPr>
                    <w:t>1.81</w:t>
                  </w:r>
                </w:p>
              </w:tc>
              <w:tc>
                <w:tcPr>
                  <w:tcW w:w="555" w:type="pct"/>
                  <w:tcBorders>
                    <w:left w:val="nil"/>
                    <w:bottom w:val="nil"/>
                    <w:right w:val="nil"/>
                  </w:tcBorders>
                  <w:shd w:val="clear" w:color="auto" w:fill="auto"/>
                  <w:vAlign w:val="bottom"/>
                </w:tcPr>
                <w:p w14:paraId="7954B7D3" w14:textId="77777777" w:rsidR="00F05DC7" w:rsidRPr="007003D1" w:rsidRDefault="00F05DC7" w:rsidP="00A3786D">
                  <w:pPr>
                    <w:pStyle w:val="TableBodyText"/>
                  </w:pPr>
                  <w:r w:rsidRPr="007003D1">
                    <w:rPr>
                      <w:color w:val="000000"/>
                    </w:rPr>
                    <w:t>1.15</w:t>
                  </w:r>
                </w:p>
              </w:tc>
              <w:tc>
                <w:tcPr>
                  <w:tcW w:w="553" w:type="pct"/>
                  <w:tcBorders>
                    <w:left w:val="nil"/>
                    <w:bottom w:val="nil"/>
                    <w:right w:val="nil"/>
                  </w:tcBorders>
                  <w:shd w:val="clear" w:color="auto" w:fill="auto"/>
                  <w:vAlign w:val="bottom"/>
                </w:tcPr>
                <w:p w14:paraId="7954B7D4" w14:textId="77777777" w:rsidR="00F05DC7" w:rsidRPr="007003D1" w:rsidRDefault="00F05DC7" w:rsidP="00A3786D">
                  <w:pPr>
                    <w:pStyle w:val="TableBodyText"/>
                  </w:pPr>
                  <w:r w:rsidRPr="007003D1">
                    <w:rPr>
                      <w:color w:val="000000"/>
                    </w:rPr>
                    <w:t>4.19</w:t>
                  </w:r>
                </w:p>
              </w:tc>
            </w:tr>
            <w:tr w:rsidR="00F05DC7" w14:paraId="7954B7DF" w14:textId="77777777" w:rsidTr="00A3786D">
              <w:tc>
                <w:tcPr>
                  <w:tcW w:w="556" w:type="pct"/>
                </w:tcPr>
                <w:p w14:paraId="7954B7D6" w14:textId="77777777" w:rsidR="00F05DC7" w:rsidRPr="00481FC9" w:rsidRDefault="00F05DC7" w:rsidP="00A3786D">
                  <w:pPr>
                    <w:pStyle w:val="TableBodyText"/>
                    <w:jc w:val="left"/>
                  </w:pPr>
                  <w:r w:rsidRPr="00481FC9">
                    <w:t>2016-17</w:t>
                  </w:r>
                </w:p>
              </w:tc>
              <w:tc>
                <w:tcPr>
                  <w:tcW w:w="557" w:type="pct"/>
                  <w:tcBorders>
                    <w:left w:val="nil"/>
                    <w:bottom w:val="nil"/>
                    <w:right w:val="nil"/>
                  </w:tcBorders>
                  <w:shd w:val="clear" w:color="auto" w:fill="auto"/>
                  <w:vAlign w:val="bottom"/>
                </w:tcPr>
                <w:p w14:paraId="7954B7D7" w14:textId="77777777" w:rsidR="00F05DC7" w:rsidRPr="007003D1" w:rsidRDefault="00F05DC7" w:rsidP="00A3786D">
                  <w:pPr>
                    <w:pStyle w:val="TableBodyText"/>
                  </w:pPr>
                  <w:r w:rsidRPr="007003D1">
                    <w:rPr>
                      <w:color w:val="000000"/>
                    </w:rPr>
                    <w:t>0.84</w:t>
                  </w:r>
                </w:p>
              </w:tc>
              <w:tc>
                <w:tcPr>
                  <w:tcW w:w="557" w:type="pct"/>
                  <w:tcBorders>
                    <w:left w:val="nil"/>
                    <w:bottom w:val="nil"/>
                    <w:right w:val="nil"/>
                  </w:tcBorders>
                  <w:shd w:val="clear" w:color="auto" w:fill="auto"/>
                  <w:vAlign w:val="bottom"/>
                </w:tcPr>
                <w:p w14:paraId="7954B7D8" w14:textId="77777777" w:rsidR="00F05DC7" w:rsidRPr="007003D1" w:rsidRDefault="00F05DC7" w:rsidP="00A3786D">
                  <w:pPr>
                    <w:pStyle w:val="TableBodyText"/>
                  </w:pPr>
                  <w:r w:rsidRPr="007003D1">
                    <w:rPr>
                      <w:color w:val="000000"/>
                    </w:rPr>
                    <w:t>1.01</w:t>
                  </w:r>
                </w:p>
              </w:tc>
              <w:tc>
                <w:tcPr>
                  <w:tcW w:w="556" w:type="pct"/>
                  <w:tcBorders>
                    <w:left w:val="nil"/>
                    <w:bottom w:val="nil"/>
                    <w:right w:val="nil"/>
                  </w:tcBorders>
                  <w:shd w:val="clear" w:color="auto" w:fill="auto"/>
                  <w:vAlign w:val="bottom"/>
                </w:tcPr>
                <w:p w14:paraId="7954B7D9" w14:textId="77777777" w:rsidR="00F05DC7" w:rsidRPr="007003D1" w:rsidRDefault="00F05DC7" w:rsidP="00A3786D">
                  <w:pPr>
                    <w:pStyle w:val="TableBodyText"/>
                  </w:pPr>
                  <w:r w:rsidRPr="007003D1">
                    <w:rPr>
                      <w:color w:val="000000"/>
                    </w:rPr>
                    <w:t>1.03</w:t>
                  </w:r>
                </w:p>
              </w:tc>
              <w:tc>
                <w:tcPr>
                  <w:tcW w:w="556" w:type="pct"/>
                  <w:tcBorders>
                    <w:left w:val="nil"/>
                    <w:bottom w:val="nil"/>
                    <w:right w:val="nil"/>
                  </w:tcBorders>
                  <w:shd w:val="clear" w:color="auto" w:fill="auto"/>
                  <w:vAlign w:val="bottom"/>
                </w:tcPr>
                <w:p w14:paraId="7954B7DA" w14:textId="77777777" w:rsidR="00F05DC7" w:rsidRPr="007003D1" w:rsidRDefault="00F05DC7" w:rsidP="00A3786D">
                  <w:pPr>
                    <w:pStyle w:val="TableBodyText"/>
                  </w:pPr>
                  <w:r w:rsidRPr="007003D1">
                    <w:rPr>
                      <w:color w:val="000000"/>
                    </w:rPr>
                    <w:t>0.57</w:t>
                  </w:r>
                </w:p>
              </w:tc>
              <w:tc>
                <w:tcPr>
                  <w:tcW w:w="555" w:type="pct"/>
                  <w:tcBorders>
                    <w:left w:val="nil"/>
                    <w:bottom w:val="nil"/>
                    <w:right w:val="nil"/>
                  </w:tcBorders>
                  <w:shd w:val="clear" w:color="auto" w:fill="auto"/>
                  <w:vAlign w:val="bottom"/>
                </w:tcPr>
                <w:p w14:paraId="7954B7DB" w14:textId="77777777" w:rsidR="00F05DC7" w:rsidRPr="007003D1" w:rsidRDefault="00F05DC7" w:rsidP="00A3786D">
                  <w:pPr>
                    <w:pStyle w:val="TableBodyText"/>
                  </w:pPr>
                  <w:r w:rsidRPr="007003D1">
                    <w:rPr>
                      <w:color w:val="000000"/>
                    </w:rPr>
                    <w:t>1.53</w:t>
                  </w:r>
                </w:p>
              </w:tc>
              <w:tc>
                <w:tcPr>
                  <w:tcW w:w="555" w:type="pct"/>
                  <w:tcBorders>
                    <w:left w:val="nil"/>
                    <w:bottom w:val="nil"/>
                    <w:right w:val="nil"/>
                  </w:tcBorders>
                  <w:shd w:val="clear" w:color="auto" w:fill="auto"/>
                  <w:vAlign w:val="bottom"/>
                </w:tcPr>
                <w:p w14:paraId="7954B7DC" w14:textId="77777777" w:rsidR="00F05DC7" w:rsidRPr="007003D1" w:rsidRDefault="00F05DC7" w:rsidP="00A3786D">
                  <w:pPr>
                    <w:pStyle w:val="TableBodyText"/>
                  </w:pPr>
                  <w:r w:rsidRPr="007003D1">
                    <w:rPr>
                      <w:color w:val="000000"/>
                    </w:rPr>
                    <w:t>1.72</w:t>
                  </w:r>
                </w:p>
              </w:tc>
              <w:tc>
                <w:tcPr>
                  <w:tcW w:w="555" w:type="pct"/>
                  <w:tcBorders>
                    <w:left w:val="nil"/>
                    <w:bottom w:val="nil"/>
                    <w:right w:val="nil"/>
                  </w:tcBorders>
                  <w:shd w:val="clear" w:color="auto" w:fill="auto"/>
                  <w:vAlign w:val="bottom"/>
                </w:tcPr>
                <w:p w14:paraId="7954B7DD" w14:textId="77777777" w:rsidR="00F05DC7" w:rsidRPr="007003D1" w:rsidRDefault="00F05DC7" w:rsidP="00A3786D">
                  <w:pPr>
                    <w:pStyle w:val="TableBodyText"/>
                  </w:pPr>
                  <w:r w:rsidRPr="007003D1">
                    <w:rPr>
                      <w:color w:val="000000"/>
                    </w:rPr>
                    <w:t>1.21</w:t>
                  </w:r>
                </w:p>
              </w:tc>
              <w:tc>
                <w:tcPr>
                  <w:tcW w:w="553" w:type="pct"/>
                  <w:tcBorders>
                    <w:left w:val="nil"/>
                    <w:bottom w:val="nil"/>
                    <w:right w:val="nil"/>
                  </w:tcBorders>
                  <w:shd w:val="clear" w:color="auto" w:fill="auto"/>
                  <w:vAlign w:val="bottom"/>
                </w:tcPr>
                <w:p w14:paraId="7954B7DE" w14:textId="77777777" w:rsidR="00F05DC7" w:rsidRPr="007003D1" w:rsidRDefault="00F05DC7" w:rsidP="00A3786D">
                  <w:pPr>
                    <w:pStyle w:val="TableBodyText"/>
                  </w:pPr>
                  <w:r w:rsidRPr="007003D1">
                    <w:rPr>
                      <w:color w:val="000000"/>
                    </w:rPr>
                    <w:t>4.19</w:t>
                  </w:r>
                </w:p>
              </w:tc>
            </w:tr>
            <w:tr w:rsidR="00F05DC7" w14:paraId="7954B7E1" w14:textId="77777777" w:rsidTr="00AB3F17">
              <w:tc>
                <w:tcPr>
                  <w:tcW w:w="5000" w:type="pct"/>
                  <w:gridSpan w:val="9"/>
                  <w:shd w:val="clear" w:color="auto" w:fill="F2F2F2" w:themeFill="background1" w:themeFillShade="F2"/>
                </w:tcPr>
                <w:p w14:paraId="7954B7E0" w14:textId="77777777" w:rsidR="00F05DC7" w:rsidRPr="007003D1" w:rsidRDefault="00F05DC7">
                  <w:pPr>
                    <w:pStyle w:val="TableUnitsRow"/>
                    <w:ind w:right="28"/>
                    <w:jc w:val="left"/>
                    <w:rPr>
                      <w:rFonts w:asciiTheme="minorHAnsi" w:hAnsiTheme="minorHAnsi" w:cstheme="minorHAnsi"/>
                      <w:szCs w:val="18"/>
                    </w:rPr>
                  </w:pPr>
                  <w:r>
                    <w:rPr>
                      <w:rFonts w:asciiTheme="minorHAnsi" w:hAnsiTheme="minorHAnsi" w:cstheme="minorHAnsi"/>
                      <w:szCs w:val="18"/>
                    </w:rPr>
                    <w:t>A</w:t>
                  </w:r>
                  <w:r w:rsidRPr="007003D1">
                    <w:rPr>
                      <w:rFonts w:asciiTheme="minorHAnsi" w:hAnsiTheme="minorHAnsi" w:cstheme="minorHAnsi"/>
                      <w:szCs w:val="18"/>
                    </w:rPr>
                    <w:t>pplication year</w:t>
                  </w:r>
                  <w:r>
                    <w:rPr>
                      <w:rFonts w:asciiTheme="minorHAnsi" w:hAnsiTheme="minorHAnsi" w:cstheme="minorHAnsi"/>
                      <w:szCs w:val="18"/>
                    </w:rPr>
                    <w:t xml:space="preserve"> relativities (3 year average of assessment year relativities)</w:t>
                  </w:r>
                </w:p>
              </w:tc>
            </w:tr>
            <w:tr w:rsidR="00F05DC7" w14:paraId="7954B7EB" w14:textId="77777777" w:rsidTr="00A3786D">
              <w:tc>
                <w:tcPr>
                  <w:tcW w:w="556" w:type="pct"/>
                </w:tcPr>
                <w:p w14:paraId="7954B7E2" w14:textId="77777777" w:rsidR="00F05DC7" w:rsidRPr="00481FC9" w:rsidRDefault="00F05DC7" w:rsidP="00A3786D">
                  <w:pPr>
                    <w:pStyle w:val="TableBodyText"/>
                    <w:jc w:val="left"/>
                  </w:pPr>
                  <w:r w:rsidRPr="00481FC9">
                    <w:t>2012-13</w:t>
                  </w:r>
                </w:p>
              </w:tc>
              <w:tc>
                <w:tcPr>
                  <w:tcW w:w="557" w:type="pct"/>
                  <w:tcBorders>
                    <w:left w:val="nil"/>
                    <w:bottom w:val="nil"/>
                    <w:right w:val="nil"/>
                  </w:tcBorders>
                  <w:shd w:val="clear" w:color="auto" w:fill="auto"/>
                  <w:vAlign w:val="bottom"/>
                </w:tcPr>
                <w:p w14:paraId="7954B7E3" w14:textId="77777777" w:rsidR="00F05DC7" w:rsidRPr="007003D1" w:rsidRDefault="00F05DC7" w:rsidP="00A3786D">
                  <w:pPr>
                    <w:pStyle w:val="TableBodyText"/>
                  </w:pPr>
                  <w:r w:rsidRPr="007003D1">
                    <w:rPr>
                      <w:color w:val="000000"/>
                    </w:rPr>
                    <w:t>0.95</w:t>
                  </w:r>
                </w:p>
              </w:tc>
              <w:tc>
                <w:tcPr>
                  <w:tcW w:w="557" w:type="pct"/>
                  <w:tcBorders>
                    <w:left w:val="nil"/>
                    <w:bottom w:val="nil"/>
                    <w:right w:val="nil"/>
                  </w:tcBorders>
                  <w:shd w:val="clear" w:color="auto" w:fill="auto"/>
                  <w:vAlign w:val="bottom"/>
                </w:tcPr>
                <w:p w14:paraId="7954B7E4" w14:textId="77777777" w:rsidR="00F05DC7" w:rsidRPr="007003D1" w:rsidRDefault="00F05DC7" w:rsidP="00A3786D">
                  <w:pPr>
                    <w:pStyle w:val="TableBodyText"/>
                  </w:pPr>
                  <w:r w:rsidRPr="007003D1">
                    <w:rPr>
                      <w:color w:val="000000"/>
                    </w:rPr>
                    <w:t>0.92</w:t>
                  </w:r>
                </w:p>
              </w:tc>
              <w:tc>
                <w:tcPr>
                  <w:tcW w:w="556" w:type="pct"/>
                  <w:tcBorders>
                    <w:left w:val="nil"/>
                    <w:bottom w:val="nil"/>
                    <w:right w:val="nil"/>
                  </w:tcBorders>
                  <w:shd w:val="clear" w:color="auto" w:fill="auto"/>
                  <w:vAlign w:val="bottom"/>
                </w:tcPr>
                <w:p w14:paraId="7954B7E5" w14:textId="77777777" w:rsidR="00F05DC7" w:rsidRPr="007003D1" w:rsidRDefault="00F05DC7" w:rsidP="00A3786D">
                  <w:pPr>
                    <w:pStyle w:val="TableBodyText"/>
                  </w:pPr>
                  <w:r w:rsidRPr="007003D1">
                    <w:rPr>
                      <w:color w:val="000000"/>
                    </w:rPr>
                    <w:t>0.98</w:t>
                  </w:r>
                </w:p>
              </w:tc>
              <w:tc>
                <w:tcPr>
                  <w:tcW w:w="556" w:type="pct"/>
                  <w:tcBorders>
                    <w:left w:val="nil"/>
                    <w:bottom w:val="nil"/>
                    <w:right w:val="nil"/>
                  </w:tcBorders>
                  <w:shd w:val="clear" w:color="auto" w:fill="auto"/>
                  <w:vAlign w:val="bottom"/>
                </w:tcPr>
                <w:p w14:paraId="7954B7E6" w14:textId="77777777" w:rsidR="00F05DC7" w:rsidRPr="007003D1" w:rsidRDefault="00F05DC7" w:rsidP="00A3786D">
                  <w:pPr>
                    <w:pStyle w:val="TableBodyText"/>
                  </w:pPr>
                  <w:r w:rsidRPr="007003D1">
                    <w:rPr>
                      <w:color w:val="000000"/>
                    </w:rPr>
                    <w:t>0.58</w:t>
                  </w:r>
                </w:p>
              </w:tc>
              <w:tc>
                <w:tcPr>
                  <w:tcW w:w="555" w:type="pct"/>
                  <w:tcBorders>
                    <w:left w:val="nil"/>
                    <w:bottom w:val="nil"/>
                    <w:right w:val="nil"/>
                  </w:tcBorders>
                  <w:shd w:val="clear" w:color="auto" w:fill="auto"/>
                  <w:vAlign w:val="bottom"/>
                </w:tcPr>
                <w:p w14:paraId="7954B7E7" w14:textId="77777777" w:rsidR="00F05DC7" w:rsidRPr="007003D1" w:rsidRDefault="00F05DC7" w:rsidP="00A3786D">
                  <w:pPr>
                    <w:pStyle w:val="TableBodyText"/>
                  </w:pPr>
                  <w:r w:rsidRPr="007003D1">
                    <w:rPr>
                      <w:color w:val="000000"/>
                    </w:rPr>
                    <w:t>1.30</w:t>
                  </w:r>
                </w:p>
              </w:tc>
              <w:tc>
                <w:tcPr>
                  <w:tcW w:w="555" w:type="pct"/>
                  <w:tcBorders>
                    <w:left w:val="nil"/>
                    <w:bottom w:val="nil"/>
                    <w:right w:val="nil"/>
                  </w:tcBorders>
                  <w:shd w:val="clear" w:color="auto" w:fill="auto"/>
                  <w:vAlign w:val="bottom"/>
                </w:tcPr>
                <w:p w14:paraId="7954B7E8" w14:textId="77777777" w:rsidR="00F05DC7" w:rsidRPr="007003D1" w:rsidRDefault="00F05DC7" w:rsidP="00A3786D">
                  <w:pPr>
                    <w:pStyle w:val="TableBodyText"/>
                  </w:pPr>
                  <w:r w:rsidRPr="007003D1">
                    <w:rPr>
                      <w:color w:val="000000"/>
                    </w:rPr>
                    <w:t>1.58</w:t>
                  </w:r>
                </w:p>
              </w:tc>
              <w:tc>
                <w:tcPr>
                  <w:tcW w:w="555" w:type="pct"/>
                  <w:tcBorders>
                    <w:left w:val="nil"/>
                    <w:bottom w:val="nil"/>
                    <w:right w:val="nil"/>
                  </w:tcBorders>
                  <w:shd w:val="clear" w:color="auto" w:fill="auto"/>
                  <w:vAlign w:val="bottom"/>
                </w:tcPr>
                <w:p w14:paraId="7954B7E9" w14:textId="77777777" w:rsidR="00F05DC7" w:rsidRPr="007003D1" w:rsidRDefault="00F05DC7" w:rsidP="00A3786D">
                  <w:pPr>
                    <w:pStyle w:val="TableBodyText"/>
                  </w:pPr>
                  <w:r w:rsidRPr="007003D1">
                    <w:rPr>
                      <w:color w:val="000000"/>
                    </w:rPr>
                    <w:t>1.19</w:t>
                  </w:r>
                </w:p>
              </w:tc>
              <w:tc>
                <w:tcPr>
                  <w:tcW w:w="553" w:type="pct"/>
                  <w:tcBorders>
                    <w:left w:val="nil"/>
                    <w:bottom w:val="nil"/>
                    <w:right w:val="nil"/>
                  </w:tcBorders>
                  <w:shd w:val="clear" w:color="auto" w:fill="auto"/>
                  <w:vAlign w:val="bottom"/>
                </w:tcPr>
                <w:p w14:paraId="7954B7EA" w14:textId="77777777" w:rsidR="00F05DC7" w:rsidRPr="007003D1" w:rsidRDefault="00F05DC7" w:rsidP="00A3786D">
                  <w:pPr>
                    <w:pStyle w:val="TableBodyText"/>
                  </w:pPr>
                  <w:r w:rsidRPr="007003D1">
                    <w:rPr>
                      <w:color w:val="000000"/>
                    </w:rPr>
                    <w:t>5.28</w:t>
                  </w:r>
                </w:p>
              </w:tc>
            </w:tr>
            <w:tr w:rsidR="00F05DC7" w14:paraId="7954B7F5" w14:textId="77777777" w:rsidTr="00A3786D">
              <w:tc>
                <w:tcPr>
                  <w:tcW w:w="556" w:type="pct"/>
                </w:tcPr>
                <w:p w14:paraId="7954B7EC" w14:textId="77777777" w:rsidR="00F05DC7" w:rsidRPr="00481FC9" w:rsidRDefault="00F05DC7" w:rsidP="00A3786D">
                  <w:pPr>
                    <w:pStyle w:val="TableBodyText"/>
                    <w:jc w:val="left"/>
                  </w:pPr>
                  <w:r w:rsidRPr="00481FC9">
                    <w:t>2013-14</w:t>
                  </w:r>
                </w:p>
              </w:tc>
              <w:tc>
                <w:tcPr>
                  <w:tcW w:w="557" w:type="pct"/>
                  <w:tcBorders>
                    <w:left w:val="nil"/>
                    <w:bottom w:val="nil"/>
                    <w:right w:val="nil"/>
                  </w:tcBorders>
                  <w:shd w:val="clear" w:color="auto" w:fill="auto"/>
                  <w:vAlign w:val="bottom"/>
                </w:tcPr>
                <w:p w14:paraId="7954B7ED" w14:textId="77777777" w:rsidR="00F05DC7" w:rsidRPr="007003D1" w:rsidRDefault="00F05DC7" w:rsidP="00A3786D">
                  <w:pPr>
                    <w:pStyle w:val="TableBodyText"/>
                  </w:pPr>
                  <w:r w:rsidRPr="007003D1">
                    <w:rPr>
                      <w:color w:val="000000"/>
                    </w:rPr>
                    <w:t>0.97</w:t>
                  </w:r>
                </w:p>
              </w:tc>
              <w:tc>
                <w:tcPr>
                  <w:tcW w:w="557" w:type="pct"/>
                  <w:tcBorders>
                    <w:left w:val="nil"/>
                    <w:bottom w:val="nil"/>
                    <w:right w:val="nil"/>
                  </w:tcBorders>
                  <w:shd w:val="clear" w:color="auto" w:fill="auto"/>
                  <w:vAlign w:val="bottom"/>
                </w:tcPr>
                <w:p w14:paraId="7954B7EE" w14:textId="77777777" w:rsidR="00F05DC7" w:rsidRPr="007003D1" w:rsidRDefault="00F05DC7" w:rsidP="00A3786D">
                  <w:pPr>
                    <w:pStyle w:val="TableBodyText"/>
                  </w:pPr>
                  <w:r w:rsidRPr="007003D1">
                    <w:rPr>
                      <w:color w:val="000000"/>
                    </w:rPr>
                    <w:t>0.90</w:t>
                  </w:r>
                </w:p>
              </w:tc>
              <w:tc>
                <w:tcPr>
                  <w:tcW w:w="556" w:type="pct"/>
                  <w:tcBorders>
                    <w:left w:val="nil"/>
                    <w:bottom w:val="nil"/>
                    <w:right w:val="nil"/>
                  </w:tcBorders>
                  <w:shd w:val="clear" w:color="auto" w:fill="auto"/>
                  <w:vAlign w:val="bottom"/>
                </w:tcPr>
                <w:p w14:paraId="7954B7EF" w14:textId="77777777" w:rsidR="00F05DC7" w:rsidRPr="007003D1" w:rsidRDefault="00F05DC7" w:rsidP="00A3786D">
                  <w:pPr>
                    <w:pStyle w:val="TableBodyText"/>
                  </w:pPr>
                  <w:r w:rsidRPr="007003D1">
                    <w:rPr>
                      <w:color w:val="000000"/>
                    </w:rPr>
                    <w:t>1.06</w:t>
                  </w:r>
                </w:p>
              </w:tc>
              <w:tc>
                <w:tcPr>
                  <w:tcW w:w="556" w:type="pct"/>
                  <w:tcBorders>
                    <w:left w:val="nil"/>
                    <w:bottom w:val="nil"/>
                    <w:right w:val="nil"/>
                  </w:tcBorders>
                  <w:shd w:val="clear" w:color="auto" w:fill="auto"/>
                  <w:vAlign w:val="bottom"/>
                </w:tcPr>
                <w:p w14:paraId="7954B7F0" w14:textId="77777777" w:rsidR="00F05DC7" w:rsidRPr="007003D1" w:rsidRDefault="00F05DC7" w:rsidP="00A3786D">
                  <w:pPr>
                    <w:pStyle w:val="TableBodyText"/>
                  </w:pPr>
                  <w:r w:rsidRPr="007003D1">
                    <w:rPr>
                      <w:color w:val="000000"/>
                    </w:rPr>
                    <w:t>0.45</w:t>
                  </w:r>
                </w:p>
              </w:tc>
              <w:tc>
                <w:tcPr>
                  <w:tcW w:w="555" w:type="pct"/>
                  <w:tcBorders>
                    <w:left w:val="nil"/>
                    <w:bottom w:val="nil"/>
                    <w:right w:val="nil"/>
                  </w:tcBorders>
                  <w:shd w:val="clear" w:color="auto" w:fill="auto"/>
                  <w:vAlign w:val="bottom"/>
                </w:tcPr>
                <w:p w14:paraId="7954B7F1" w14:textId="77777777" w:rsidR="00F05DC7" w:rsidRPr="007003D1" w:rsidRDefault="00F05DC7" w:rsidP="00A3786D">
                  <w:pPr>
                    <w:pStyle w:val="TableBodyText"/>
                  </w:pPr>
                  <w:r w:rsidRPr="007003D1">
                    <w:rPr>
                      <w:color w:val="000000"/>
                    </w:rPr>
                    <w:t>1.26</w:t>
                  </w:r>
                </w:p>
              </w:tc>
              <w:tc>
                <w:tcPr>
                  <w:tcW w:w="555" w:type="pct"/>
                  <w:tcBorders>
                    <w:left w:val="nil"/>
                    <w:bottom w:val="nil"/>
                    <w:right w:val="nil"/>
                  </w:tcBorders>
                  <w:shd w:val="clear" w:color="auto" w:fill="auto"/>
                  <w:vAlign w:val="bottom"/>
                </w:tcPr>
                <w:p w14:paraId="7954B7F2" w14:textId="77777777" w:rsidR="00F05DC7" w:rsidRPr="007003D1" w:rsidRDefault="00F05DC7" w:rsidP="00A3786D">
                  <w:pPr>
                    <w:pStyle w:val="TableBodyText"/>
                  </w:pPr>
                  <w:r w:rsidRPr="007003D1">
                    <w:rPr>
                      <w:color w:val="000000"/>
                    </w:rPr>
                    <w:t>1.61</w:t>
                  </w:r>
                </w:p>
              </w:tc>
              <w:tc>
                <w:tcPr>
                  <w:tcW w:w="555" w:type="pct"/>
                  <w:tcBorders>
                    <w:left w:val="nil"/>
                    <w:bottom w:val="nil"/>
                    <w:right w:val="nil"/>
                  </w:tcBorders>
                  <w:shd w:val="clear" w:color="auto" w:fill="auto"/>
                  <w:vAlign w:val="bottom"/>
                </w:tcPr>
                <w:p w14:paraId="7954B7F3" w14:textId="77777777" w:rsidR="00F05DC7" w:rsidRPr="007003D1" w:rsidRDefault="00F05DC7" w:rsidP="00A3786D">
                  <w:pPr>
                    <w:pStyle w:val="TableBodyText"/>
                  </w:pPr>
                  <w:r w:rsidRPr="007003D1">
                    <w:rPr>
                      <w:color w:val="000000"/>
                    </w:rPr>
                    <w:t>1.22</w:t>
                  </w:r>
                </w:p>
              </w:tc>
              <w:tc>
                <w:tcPr>
                  <w:tcW w:w="553" w:type="pct"/>
                  <w:tcBorders>
                    <w:left w:val="nil"/>
                    <w:bottom w:val="nil"/>
                    <w:right w:val="nil"/>
                  </w:tcBorders>
                  <w:shd w:val="clear" w:color="auto" w:fill="auto"/>
                  <w:vAlign w:val="bottom"/>
                </w:tcPr>
                <w:p w14:paraId="7954B7F4" w14:textId="77777777" w:rsidR="00F05DC7" w:rsidRPr="007003D1" w:rsidRDefault="00F05DC7" w:rsidP="00A3786D">
                  <w:pPr>
                    <w:pStyle w:val="TableBodyText"/>
                  </w:pPr>
                  <w:r w:rsidRPr="007003D1">
                    <w:rPr>
                      <w:color w:val="000000"/>
                    </w:rPr>
                    <w:t>5.31</w:t>
                  </w:r>
                </w:p>
              </w:tc>
            </w:tr>
            <w:tr w:rsidR="00F05DC7" w14:paraId="7954B7FF" w14:textId="77777777" w:rsidTr="00A3786D">
              <w:tc>
                <w:tcPr>
                  <w:tcW w:w="556" w:type="pct"/>
                </w:tcPr>
                <w:p w14:paraId="7954B7F6" w14:textId="77777777" w:rsidR="00F05DC7" w:rsidRPr="00481FC9" w:rsidRDefault="00F05DC7" w:rsidP="00A3786D">
                  <w:pPr>
                    <w:pStyle w:val="TableBodyText"/>
                    <w:jc w:val="left"/>
                  </w:pPr>
                  <w:r w:rsidRPr="00481FC9">
                    <w:t>2014-15</w:t>
                  </w:r>
                </w:p>
              </w:tc>
              <w:tc>
                <w:tcPr>
                  <w:tcW w:w="557" w:type="pct"/>
                  <w:tcBorders>
                    <w:left w:val="nil"/>
                    <w:bottom w:val="nil"/>
                    <w:right w:val="nil"/>
                  </w:tcBorders>
                  <w:shd w:val="clear" w:color="auto" w:fill="auto"/>
                  <w:vAlign w:val="bottom"/>
                </w:tcPr>
                <w:p w14:paraId="7954B7F7" w14:textId="77777777" w:rsidR="00F05DC7" w:rsidRPr="007003D1" w:rsidRDefault="00F05DC7" w:rsidP="00A3786D">
                  <w:pPr>
                    <w:pStyle w:val="TableBodyText"/>
                  </w:pPr>
                  <w:r w:rsidRPr="007003D1">
                    <w:rPr>
                      <w:color w:val="000000"/>
                    </w:rPr>
                    <w:t>0.97</w:t>
                  </w:r>
                </w:p>
              </w:tc>
              <w:tc>
                <w:tcPr>
                  <w:tcW w:w="557" w:type="pct"/>
                  <w:tcBorders>
                    <w:left w:val="nil"/>
                    <w:bottom w:val="nil"/>
                    <w:right w:val="nil"/>
                  </w:tcBorders>
                  <w:shd w:val="clear" w:color="auto" w:fill="auto"/>
                  <w:vAlign w:val="bottom"/>
                </w:tcPr>
                <w:p w14:paraId="7954B7F8" w14:textId="77777777" w:rsidR="00F05DC7" w:rsidRPr="007003D1" w:rsidRDefault="00F05DC7" w:rsidP="00A3786D">
                  <w:pPr>
                    <w:pStyle w:val="TableBodyText"/>
                  </w:pPr>
                  <w:r w:rsidRPr="007003D1">
                    <w:rPr>
                      <w:color w:val="000000"/>
                    </w:rPr>
                    <w:t>0.89</w:t>
                  </w:r>
                </w:p>
              </w:tc>
              <w:tc>
                <w:tcPr>
                  <w:tcW w:w="556" w:type="pct"/>
                  <w:tcBorders>
                    <w:left w:val="nil"/>
                    <w:bottom w:val="nil"/>
                    <w:right w:val="nil"/>
                  </w:tcBorders>
                  <w:shd w:val="clear" w:color="auto" w:fill="auto"/>
                  <w:vAlign w:val="bottom"/>
                </w:tcPr>
                <w:p w14:paraId="7954B7F9" w14:textId="77777777" w:rsidR="00F05DC7" w:rsidRPr="007003D1" w:rsidRDefault="00F05DC7" w:rsidP="00A3786D">
                  <w:pPr>
                    <w:pStyle w:val="TableBodyText"/>
                  </w:pPr>
                  <w:r w:rsidRPr="007003D1">
                    <w:rPr>
                      <w:color w:val="000000"/>
                    </w:rPr>
                    <w:t>1.10</w:t>
                  </w:r>
                </w:p>
              </w:tc>
              <w:tc>
                <w:tcPr>
                  <w:tcW w:w="556" w:type="pct"/>
                  <w:tcBorders>
                    <w:left w:val="nil"/>
                    <w:bottom w:val="nil"/>
                    <w:right w:val="nil"/>
                  </w:tcBorders>
                  <w:shd w:val="clear" w:color="auto" w:fill="auto"/>
                  <w:vAlign w:val="bottom"/>
                </w:tcPr>
                <w:p w14:paraId="7954B7FA" w14:textId="77777777" w:rsidR="00F05DC7" w:rsidRPr="007003D1" w:rsidRDefault="00F05DC7" w:rsidP="00A3786D">
                  <w:pPr>
                    <w:pStyle w:val="TableBodyText"/>
                  </w:pPr>
                  <w:r w:rsidRPr="007003D1">
                    <w:rPr>
                      <w:color w:val="000000"/>
                    </w:rPr>
                    <w:t>0.34</w:t>
                  </w:r>
                </w:p>
              </w:tc>
              <w:tc>
                <w:tcPr>
                  <w:tcW w:w="555" w:type="pct"/>
                  <w:tcBorders>
                    <w:left w:val="nil"/>
                    <w:bottom w:val="nil"/>
                    <w:right w:val="nil"/>
                  </w:tcBorders>
                  <w:shd w:val="clear" w:color="auto" w:fill="auto"/>
                  <w:vAlign w:val="bottom"/>
                </w:tcPr>
                <w:p w14:paraId="7954B7FB" w14:textId="77777777" w:rsidR="00F05DC7" w:rsidRPr="007003D1" w:rsidRDefault="00F05DC7" w:rsidP="00A3786D">
                  <w:pPr>
                    <w:pStyle w:val="TableBodyText"/>
                  </w:pPr>
                  <w:r w:rsidRPr="007003D1">
                    <w:rPr>
                      <w:color w:val="000000"/>
                    </w:rPr>
                    <w:t>1.30</w:t>
                  </w:r>
                </w:p>
              </w:tc>
              <w:tc>
                <w:tcPr>
                  <w:tcW w:w="555" w:type="pct"/>
                  <w:tcBorders>
                    <w:left w:val="nil"/>
                    <w:bottom w:val="nil"/>
                    <w:right w:val="nil"/>
                  </w:tcBorders>
                  <w:shd w:val="clear" w:color="auto" w:fill="auto"/>
                  <w:vAlign w:val="bottom"/>
                </w:tcPr>
                <w:p w14:paraId="7954B7FC" w14:textId="77777777" w:rsidR="00F05DC7" w:rsidRPr="007003D1" w:rsidRDefault="00F05DC7" w:rsidP="00A3786D">
                  <w:pPr>
                    <w:pStyle w:val="TableBodyText"/>
                  </w:pPr>
                  <w:r w:rsidRPr="007003D1">
                    <w:rPr>
                      <w:color w:val="000000"/>
                    </w:rPr>
                    <w:t>1.69</w:t>
                  </w:r>
                </w:p>
              </w:tc>
              <w:tc>
                <w:tcPr>
                  <w:tcW w:w="555" w:type="pct"/>
                  <w:tcBorders>
                    <w:left w:val="nil"/>
                    <w:bottom w:val="nil"/>
                    <w:right w:val="nil"/>
                  </w:tcBorders>
                  <w:shd w:val="clear" w:color="auto" w:fill="auto"/>
                  <w:vAlign w:val="bottom"/>
                </w:tcPr>
                <w:p w14:paraId="7954B7FD" w14:textId="77777777" w:rsidR="00F05DC7" w:rsidRPr="007003D1" w:rsidRDefault="00F05DC7" w:rsidP="00A3786D">
                  <w:pPr>
                    <w:pStyle w:val="TableBodyText"/>
                  </w:pPr>
                  <w:r w:rsidRPr="007003D1">
                    <w:rPr>
                      <w:color w:val="000000"/>
                    </w:rPr>
                    <w:t>1.21</w:t>
                  </w:r>
                </w:p>
              </w:tc>
              <w:tc>
                <w:tcPr>
                  <w:tcW w:w="553" w:type="pct"/>
                  <w:tcBorders>
                    <w:left w:val="nil"/>
                    <w:bottom w:val="nil"/>
                    <w:right w:val="nil"/>
                  </w:tcBorders>
                  <w:shd w:val="clear" w:color="auto" w:fill="auto"/>
                  <w:vAlign w:val="bottom"/>
                </w:tcPr>
                <w:p w14:paraId="7954B7FE" w14:textId="77777777" w:rsidR="00F05DC7" w:rsidRPr="007003D1" w:rsidRDefault="00F05DC7" w:rsidP="00A3786D">
                  <w:pPr>
                    <w:pStyle w:val="TableBodyText"/>
                  </w:pPr>
                  <w:r w:rsidRPr="007003D1">
                    <w:rPr>
                      <w:color w:val="000000"/>
                    </w:rPr>
                    <w:t>5.65</w:t>
                  </w:r>
                </w:p>
              </w:tc>
            </w:tr>
            <w:tr w:rsidR="00F05DC7" w14:paraId="7954B809" w14:textId="77777777" w:rsidTr="00A3786D">
              <w:tc>
                <w:tcPr>
                  <w:tcW w:w="556" w:type="pct"/>
                </w:tcPr>
                <w:p w14:paraId="7954B800" w14:textId="77777777" w:rsidR="00F05DC7" w:rsidRPr="00481FC9" w:rsidRDefault="00F05DC7" w:rsidP="00A3786D">
                  <w:pPr>
                    <w:pStyle w:val="TableBodyText"/>
                    <w:jc w:val="left"/>
                  </w:pPr>
                  <w:r w:rsidRPr="00481FC9">
                    <w:t>2015-16</w:t>
                  </w:r>
                </w:p>
              </w:tc>
              <w:tc>
                <w:tcPr>
                  <w:tcW w:w="557" w:type="pct"/>
                  <w:tcBorders>
                    <w:left w:val="nil"/>
                    <w:bottom w:val="nil"/>
                    <w:right w:val="nil"/>
                  </w:tcBorders>
                  <w:shd w:val="clear" w:color="auto" w:fill="auto"/>
                  <w:vAlign w:val="bottom"/>
                </w:tcPr>
                <w:p w14:paraId="7954B801" w14:textId="77777777" w:rsidR="00F05DC7" w:rsidRPr="007003D1" w:rsidRDefault="00F05DC7" w:rsidP="00A3786D">
                  <w:pPr>
                    <w:pStyle w:val="TableBodyText"/>
                  </w:pPr>
                  <w:r w:rsidRPr="007003D1">
                    <w:rPr>
                      <w:color w:val="000000"/>
                    </w:rPr>
                    <w:t>0.94</w:t>
                  </w:r>
                </w:p>
              </w:tc>
              <w:tc>
                <w:tcPr>
                  <w:tcW w:w="557" w:type="pct"/>
                  <w:tcBorders>
                    <w:left w:val="nil"/>
                    <w:bottom w:val="nil"/>
                    <w:right w:val="nil"/>
                  </w:tcBorders>
                  <w:shd w:val="clear" w:color="auto" w:fill="auto"/>
                  <w:vAlign w:val="bottom"/>
                </w:tcPr>
                <w:p w14:paraId="7954B802" w14:textId="77777777" w:rsidR="00F05DC7" w:rsidRPr="007003D1" w:rsidRDefault="00F05DC7" w:rsidP="00A3786D">
                  <w:pPr>
                    <w:pStyle w:val="TableBodyText"/>
                  </w:pPr>
                  <w:r w:rsidRPr="007003D1">
                    <w:rPr>
                      <w:color w:val="000000"/>
                    </w:rPr>
                    <w:t>0.90</w:t>
                  </w:r>
                </w:p>
              </w:tc>
              <w:tc>
                <w:tcPr>
                  <w:tcW w:w="556" w:type="pct"/>
                  <w:tcBorders>
                    <w:left w:val="nil"/>
                    <w:bottom w:val="nil"/>
                    <w:right w:val="nil"/>
                  </w:tcBorders>
                  <w:shd w:val="clear" w:color="auto" w:fill="auto"/>
                  <w:vAlign w:val="bottom"/>
                </w:tcPr>
                <w:p w14:paraId="7954B803" w14:textId="77777777" w:rsidR="00F05DC7" w:rsidRPr="007003D1" w:rsidRDefault="00F05DC7" w:rsidP="00A3786D">
                  <w:pPr>
                    <w:pStyle w:val="TableBodyText"/>
                  </w:pPr>
                  <w:r w:rsidRPr="007003D1">
                    <w:rPr>
                      <w:color w:val="000000"/>
                    </w:rPr>
                    <w:t>1.16</w:t>
                  </w:r>
                </w:p>
              </w:tc>
              <w:tc>
                <w:tcPr>
                  <w:tcW w:w="556" w:type="pct"/>
                  <w:tcBorders>
                    <w:left w:val="nil"/>
                    <w:bottom w:val="nil"/>
                    <w:right w:val="nil"/>
                  </w:tcBorders>
                  <w:shd w:val="clear" w:color="auto" w:fill="auto"/>
                  <w:vAlign w:val="bottom"/>
                </w:tcPr>
                <w:p w14:paraId="7954B804" w14:textId="77777777" w:rsidR="00F05DC7" w:rsidRPr="007003D1" w:rsidRDefault="00F05DC7" w:rsidP="00A3786D">
                  <w:pPr>
                    <w:pStyle w:val="TableBodyText"/>
                  </w:pPr>
                  <w:r w:rsidRPr="007003D1">
                    <w:rPr>
                      <w:color w:val="000000"/>
                    </w:rPr>
                    <w:t>0.24</w:t>
                  </w:r>
                </w:p>
              </w:tc>
              <w:tc>
                <w:tcPr>
                  <w:tcW w:w="555" w:type="pct"/>
                  <w:tcBorders>
                    <w:left w:val="nil"/>
                    <w:bottom w:val="nil"/>
                    <w:right w:val="nil"/>
                  </w:tcBorders>
                  <w:shd w:val="clear" w:color="auto" w:fill="auto"/>
                  <w:vAlign w:val="bottom"/>
                </w:tcPr>
                <w:p w14:paraId="7954B805" w14:textId="77777777" w:rsidR="00F05DC7" w:rsidRPr="007003D1" w:rsidRDefault="00F05DC7" w:rsidP="00A3786D">
                  <w:pPr>
                    <w:pStyle w:val="TableBodyText"/>
                  </w:pPr>
                  <w:r w:rsidRPr="007003D1">
                    <w:rPr>
                      <w:color w:val="000000"/>
                    </w:rPr>
                    <w:t>1.35</w:t>
                  </w:r>
                </w:p>
              </w:tc>
              <w:tc>
                <w:tcPr>
                  <w:tcW w:w="555" w:type="pct"/>
                  <w:tcBorders>
                    <w:left w:val="nil"/>
                    <w:bottom w:val="nil"/>
                    <w:right w:val="nil"/>
                  </w:tcBorders>
                  <w:shd w:val="clear" w:color="auto" w:fill="auto"/>
                  <w:vAlign w:val="bottom"/>
                </w:tcPr>
                <w:p w14:paraId="7954B806" w14:textId="77777777" w:rsidR="00F05DC7" w:rsidRPr="007003D1" w:rsidRDefault="00F05DC7" w:rsidP="00A3786D">
                  <w:pPr>
                    <w:pStyle w:val="TableBodyText"/>
                  </w:pPr>
                  <w:r w:rsidRPr="007003D1">
                    <w:rPr>
                      <w:color w:val="000000"/>
                    </w:rPr>
                    <w:t>1.79</w:t>
                  </w:r>
                </w:p>
              </w:tc>
              <w:tc>
                <w:tcPr>
                  <w:tcW w:w="555" w:type="pct"/>
                  <w:tcBorders>
                    <w:left w:val="nil"/>
                    <w:bottom w:val="nil"/>
                    <w:right w:val="nil"/>
                  </w:tcBorders>
                  <w:shd w:val="clear" w:color="auto" w:fill="auto"/>
                  <w:vAlign w:val="bottom"/>
                </w:tcPr>
                <w:p w14:paraId="7954B807" w14:textId="77777777" w:rsidR="00F05DC7" w:rsidRPr="007003D1" w:rsidRDefault="00F05DC7" w:rsidP="00A3786D">
                  <w:pPr>
                    <w:pStyle w:val="TableBodyText"/>
                  </w:pPr>
                  <w:r w:rsidRPr="007003D1">
                    <w:rPr>
                      <w:color w:val="000000"/>
                    </w:rPr>
                    <w:t>1.20</w:t>
                  </w:r>
                </w:p>
              </w:tc>
              <w:tc>
                <w:tcPr>
                  <w:tcW w:w="553" w:type="pct"/>
                  <w:tcBorders>
                    <w:left w:val="nil"/>
                    <w:bottom w:val="nil"/>
                    <w:right w:val="nil"/>
                  </w:tcBorders>
                  <w:shd w:val="clear" w:color="auto" w:fill="auto"/>
                  <w:vAlign w:val="bottom"/>
                </w:tcPr>
                <w:p w14:paraId="7954B808" w14:textId="77777777" w:rsidR="00F05DC7" w:rsidRPr="007003D1" w:rsidRDefault="00F05DC7" w:rsidP="00A3786D">
                  <w:pPr>
                    <w:pStyle w:val="TableBodyText"/>
                  </w:pPr>
                  <w:r w:rsidRPr="007003D1">
                    <w:rPr>
                      <w:color w:val="000000"/>
                    </w:rPr>
                    <w:t>5.53</w:t>
                  </w:r>
                </w:p>
              </w:tc>
            </w:tr>
            <w:tr w:rsidR="00F05DC7" w14:paraId="7954B813" w14:textId="77777777" w:rsidTr="00A3786D">
              <w:tc>
                <w:tcPr>
                  <w:tcW w:w="556" w:type="pct"/>
                </w:tcPr>
                <w:p w14:paraId="7954B80A" w14:textId="77777777" w:rsidR="00F05DC7" w:rsidRPr="00481FC9" w:rsidRDefault="00F05DC7" w:rsidP="00A3786D">
                  <w:pPr>
                    <w:pStyle w:val="TableBodyText"/>
                    <w:jc w:val="left"/>
                  </w:pPr>
                  <w:r w:rsidRPr="00481FC9">
                    <w:t>2016-17</w:t>
                  </w:r>
                </w:p>
              </w:tc>
              <w:tc>
                <w:tcPr>
                  <w:tcW w:w="557" w:type="pct"/>
                  <w:tcBorders>
                    <w:left w:val="nil"/>
                    <w:bottom w:val="nil"/>
                    <w:right w:val="nil"/>
                  </w:tcBorders>
                  <w:shd w:val="clear" w:color="auto" w:fill="auto"/>
                  <w:vAlign w:val="bottom"/>
                </w:tcPr>
                <w:p w14:paraId="7954B80B" w14:textId="77777777" w:rsidR="00F05DC7" w:rsidRPr="007003D1" w:rsidRDefault="00F05DC7" w:rsidP="00A3786D">
                  <w:pPr>
                    <w:pStyle w:val="TableBodyText"/>
                  </w:pPr>
                  <w:r w:rsidRPr="007003D1">
                    <w:rPr>
                      <w:color w:val="000000"/>
                    </w:rPr>
                    <w:t>0.91</w:t>
                  </w:r>
                </w:p>
              </w:tc>
              <w:tc>
                <w:tcPr>
                  <w:tcW w:w="557" w:type="pct"/>
                  <w:tcBorders>
                    <w:left w:val="nil"/>
                    <w:bottom w:val="nil"/>
                    <w:right w:val="nil"/>
                  </w:tcBorders>
                  <w:shd w:val="clear" w:color="auto" w:fill="auto"/>
                  <w:vAlign w:val="bottom"/>
                </w:tcPr>
                <w:p w14:paraId="7954B80C" w14:textId="77777777" w:rsidR="00F05DC7" w:rsidRPr="007003D1" w:rsidRDefault="00F05DC7" w:rsidP="00A3786D">
                  <w:pPr>
                    <w:pStyle w:val="TableBodyText"/>
                  </w:pPr>
                  <w:r w:rsidRPr="007003D1">
                    <w:rPr>
                      <w:color w:val="000000"/>
                    </w:rPr>
                    <w:t>0.93</w:t>
                  </w:r>
                </w:p>
              </w:tc>
              <w:tc>
                <w:tcPr>
                  <w:tcW w:w="556" w:type="pct"/>
                  <w:tcBorders>
                    <w:left w:val="nil"/>
                    <w:bottom w:val="nil"/>
                    <w:right w:val="nil"/>
                  </w:tcBorders>
                  <w:shd w:val="clear" w:color="auto" w:fill="auto"/>
                  <w:vAlign w:val="bottom"/>
                </w:tcPr>
                <w:p w14:paraId="7954B80D" w14:textId="77777777" w:rsidR="00F05DC7" w:rsidRPr="007003D1" w:rsidRDefault="00F05DC7" w:rsidP="00A3786D">
                  <w:pPr>
                    <w:pStyle w:val="TableBodyText"/>
                  </w:pPr>
                  <w:r w:rsidRPr="007003D1">
                    <w:rPr>
                      <w:color w:val="000000"/>
                    </w:rPr>
                    <w:t>1.19</w:t>
                  </w:r>
                </w:p>
              </w:tc>
              <w:tc>
                <w:tcPr>
                  <w:tcW w:w="556" w:type="pct"/>
                  <w:tcBorders>
                    <w:left w:val="nil"/>
                    <w:bottom w:val="nil"/>
                    <w:right w:val="nil"/>
                  </w:tcBorders>
                  <w:shd w:val="clear" w:color="auto" w:fill="auto"/>
                  <w:vAlign w:val="bottom"/>
                </w:tcPr>
                <w:p w14:paraId="7954B80E" w14:textId="77777777" w:rsidR="00F05DC7" w:rsidRPr="007003D1" w:rsidRDefault="00F05DC7" w:rsidP="00A3786D">
                  <w:pPr>
                    <w:pStyle w:val="TableBodyText"/>
                  </w:pPr>
                  <w:r w:rsidRPr="007003D1">
                    <w:rPr>
                      <w:color w:val="000000"/>
                    </w:rPr>
                    <w:t>0.22</w:t>
                  </w:r>
                </w:p>
              </w:tc>
              <w:tc>
                <w:tcPr>
                  <w:tcW w:w="555" w:type="pct"/>
                  <w:tcBorders>
                    <w:left w:val="nil"/>
                    <w:bottom w:val="nil"/>
                    <w:right w:val="nil"/>
                  </w:tcBorders>
                  <w:shd w:val="clear" w:color="auto" w:fill="auto"/>
                  <w:vAlign w:val="bottom"/>
                </w:tcPr>
                <w:p w14:paraId="7954B80F" w14:textId="77777777" w:rsidR="00F05DC7" w:rsidRPr="007003D1" w:rsidRDefault="00F05DC7" w:rsidP="00A3786D">
                  <w:pPr>
                    <w:pStyle w:val="TableBodyText"/>
                  </w:pPr>
                  <w:r w:rsidRPr="007003D1">
                    <w:rPr>
                      <w:color w:val="000000"/>
                    </w:rPr>
                    <w:t>1.42</w:t>
                  </w:r>
                </w:p>
              </w:tc>
              <w:tc>
                <w:tcPr>
                  <w:tcW w:w="555" w:type="pct"/>
                  <w:tcBorders>
                    <w:left w:val="nil"/>
                    <w:bottom w:val="nil"/>
                    <w:right w:val="nil"/>
                  </w:tcBorders>
                  <w:shd w:val="clear" w:color="auto" w:fill="auto"/>
                  <w:vAlign w:val="bottom"/>
                </w:tcPr>
                <w:p w14:paraId="7954B810" w14:textId="77777777" w:rsidR="00F05DC7" w:rsidRPr="007003D1" w:rsidRDefault="00F05DC7" w:rsidP="00A3786D">
                  <w:pPr>
                    <w:pStyle w:val="TableBodyText"/>
                  </w:pPr>
                  <w:r w:rsidRPr="007003D1">
                    <w:rPr>
                      <w:color w:val="000000"/>
                    </w:rPr>
                    <w:t>1.79</w:t>
                  </w:r>
                </w:p>
              </w:tc>
              <w:tc>
                <w:tcPr>
                  <w:tcW w:w="555" w:type="pct"/>
                  <w:tcBorders>
                    <w:left w:val="nil"/>
                    <w:bottom w:val="nil"/>
                    <w:right w:val="nil"/>
                  </w:tcBorders>
                  <w:shd w:val="clear" w:color="auto" w:fill="auto"/>
                  <w:vAlign w:val="bottom"/>
                </w:tcPr>
                <w:p w14:paraId="7954B811" w14:textId="77777777" w:rsidR="00F05DC7" w:rsidRPr="007003D1" w:rsidRDefault="00F05DC7" w:rsidP="00A3786D">
                  <w:pPr>
                    <w:pStyle w:val="TableBodyText"/>
                  </w:pPr>
                  <w:r w:rsidRPr="007003D1">
                    <w:rPr>
                      <w:color w:val="000000"/>
                    </w:rPr>
                    <w:t>1.16</w:t>
                  </w:r>
                </w:p>
              </w:tc>
              <w:tc>
                <w:tcPr>
                  <w:tcW w:w="553" w:type="pct"/>
                  <w:tcBorders>
                    <w:left w:val="nil"/>
                    <w:bottom w:val="nil"/>
                    <w:right w:val="nil"/>
                  </w:tcBorders>
                  <w:shd w:val="clear" w:color="auto" w:fill="auto"/>
                  <w:vAlign w:val="bottom"/>
                </w:tcPr>
                <w:p w14:paraId="7954B812" w14:textId="77777777" w:rsidR="00F05DC7" w:rsidRPr="007003D1" w:rsidRDefault="00F05DC7" w:rsidP="00A3786D">
                  <w:pPr>
                    <w:pStyle w:val="TableBodyText"/>
                  </w:pPr>
                  <w:r w:rsidRPr="007003D1">
                    <w:rPr>
                      <w:color w:val="000000"/>
                    </w:rPr>
                    <w:t>5.18</w:t>
                  </w:r>
                </w:p>
              </w:tc>
            </w:tr>
            <w:tr w:rsidR="00F05DC7" w14:paraId="7954B81D" w14:textId="77777777" w:rsidTr="00A3786D">
              <w:tc>
                <w:tcPr>
                  <w:tcW w:w="556" w:type="pct"/>
                </w:tcPr>
                <w:p w14:paraId="7954B814" w14:textId="77777777" w:rsidR="00F05DC7" w:rsidRPr="00481FC9" w:rsidRDefault="00F05DC7" w:rsidP="00A3786D">
                  <w:pPr>
                    <w:pStyle w:val="TableBodyText"/>
                    <w:jc w:val="left"/>
                  </w:pPr>
                  <w:r w:rsidRPr="00481FC9">
                    <w:t>2017-18</w:t>
                  </w:r>
                </w:p>
              </w:tc>
              <w:tc>
                <w:tcPr>
                  <w:tcW w:w="557" w:type="pct"/>
                  <w:tcBorders>
                    <w:top w:val="nil"/>
                    <w:left w:val="nil"/>
                    <w:bottom w:val="nil"/>
                    <w:right w:val="nil"/>
                  </w:tcBorders>
                  <w:shd w:val="clear" w:color="auto" w:fill="auto"/>
                  <w:vAlign w:val="bottom"/>
                </w:tcPr>
                <w:p w14:paraId="7954B815" w14:textId="77777777" w:rsidR="00F05DC7" w:rsidRPr="007003D1" w:rsidRDefault="00F05DC7" w:rsidP="00A3786D">
                  <w:pPr>
                    <w:pStyle w:val="TableBodyText"/>
                  </w:pPr>
                  <w:r w:rsidRPr="007003D1">
                    <w:rPr>
                      <w:color w:val="000000"/>
                    </w:rPr>
                    <w:t>0.88</w:t>
                  </w:r>
                </w:p>
              </w:tc>
              <w:tc>
                <w:tcPr>
                  <w:tcW w:w="557" w:type="pct"/>
                  <w:tcBorders>
                    <w:top w:val="nil"/>
                    <w:left w:val="nil"/>
                    <w:bottom w:val="nil"/>
                    <w:right w:val="nil"/>
                  </w:tcBorders>
                  <w:shd w:val="clear" w:color="auto" w:fill="auto"/>
                  <w:vAlign w:val="bottom"/>
                </w:tcPr>
                <w:p w14:paraId="7954B816" w14:textId="77777777" w:rsidR="00F05DC7" w:rsidRPr="007003D1" w:rsidRDefault="00F05DC7" w:rsidP="00A3786D">
                  <w:pPr>
                    <w:pStyle w:val="TableBodyText"/>
                  </w:pPr>
                  <w:r w:rsidRPr="007003D1">
                    <w:rPr>
                      <w:color w:val="000000"/>
                    </w:rPr>
                    <w:t>0.96</w:t>
                  </w:r>
                </w:p>
              </w:tc>
              <w:tc>
                <w:tcPr>
                  <w:tcW w:w="556" w:type="pct"/>
                  <w:tcBorders>
                    <w:top w:val="nil"/>
                    <w:left w:val="nil"/>
                    <w:bottom w:val="nil"/>
                    <w:right w:val="nil"/>
                  </w:tcBorders>
                  <w:shd w:val="clear" w:color="auto" w:fill="auto"/>
                  <w:vAlign w:val="bottom"/>
                </w:tcPr>
                <w:p w14:paraId="7954B817" w14:textId="77777777" w:rsidR="00F05DC7" w:rsidRPr="007003D1" w:rsidRDefault="00F05DC7" w:rsidP="00A3786D">
                  <w:pPr>
                    <w:pStyle w:val="TableBodyText"/>
                  </w:pPr>
                  <w:r w:rsidRPr="007003D1">
                    <w:rPr>
                      <w:color w:val="000000"/>
                    </w:rPr>
                    <w:t>1.18</w:t>
                  </w:r>
                </w:p>
              </w:tc>
              <w:tc>
                <w:tcPr>
                  <w:tcW w:w="556" w:type="pct"/>
                  <w:tcBorders>
                    <w:top w:val="nil"/>
                    <w:left w:val="nil"/>
                    <w:bottom w:val="nil"/>
                    <w:right w:val="nil"/>
                  </w:tcBorders>
                  <w:shd w:val="clear" w:color="auto" w:fill="auto"/>
                  <w:vAlign w:val="bottom"/>
                </w:tcPr>
                <w:p w14:paraId="7954B818" w14:textId="77777777" w:rsidR="00F05DC7" w:rsidRPr="007003D1" w:rsidRDefault="00F05DC7" w:rsidP="00A3786D">
                  <w:pPr>
                    <w:pStyle w:val="TableBodyText"/>
                  </w:pPr>
                  <w:r w:rsidRPr="007003D1">
                    <w:rPr>
                      <w:color w:val="000000"/>
                    </w:rPr>
                    <w:t>0.29</w:t>
                  </w:r>
                </w:p>
              </w:tc>
              <w:tc>
                <w:tcPr>
                  <w:tcW w:w="555" w:type="pct"/>
                  <w:tcBorders>
                    <w:top w:val="nil"/>
                    <w:left w:val="nil"/>
                    <w:bottom w:val="nil"/>
                    <w:right w:val="nil"/>
                  </w:tcBorders>
                  <w:shd w:val="clear" w:color="auto" w:fill="auto"/>
                  <w:vAlign w:val="bottom"/>
                </w:tcPr>
                <w:p w14:paraId="7954B819" w14:textId="77777777" w:rsidR="00F05DC7" w:rsidRPr="007003D1" w:rsidRDefault="00F05DC7" w:rsidP="00A3786D">
                  <w:pPr>
                    <w:pStyle w:val="TableBodyText"/>
                  </w:pPr>
                  <w:r w:rsidRPr="007003D1">
                    <w:rPr>
                      <w:color w:val="000000"/>
                    </w:rPr>
                    <w:t>1.46</w:t>
                  </w:r>
                </w:p>
              </w:tc>
              <w:tc>
                <w:tcPr>
                  <w:tcW w:w="555" w:type="pct"/>
                  <w:tcBorders>
                    <w:top w:val="nil"/>
                    <w:left w:val="nil"/>
                    <w:bottom w:val="nil"/>
                    <w:right w:val="nil"/>
                  </w:tcBorders>
                  <w:shd w:val="clear" w:color="auto" w:fill="auto"/>
                  <w:vAlign w:val="bottom"/>
                </w:tcPr>
                <w:p w14:paraId="7954B81A" w14:textId="77777777" w:rsidR="00F05DC7" w:rsidRPr="007003D1" w:rsidRDefault="00F05DC7" w:rsidP="00A3786D">
                  <w:pPr>
                    <w:pStyle w:val="TableBodyText"/>
                  </w:pPr>
                  <w:r w:rsidRPr="007003D1">
                    <w:rPr>
                      <w:color w:val="000000"/>
                    </w:rPr>
                    <w:t>1.80</w:t>
                  </w:r>
                </w:p>
              </w:tc>
              <w:tc>
                <w:tcPr>
                  <w:tcW w:w="555" w:type="pct"/>
                  <w:tcBorders>
                    <w:top w:val="nil"/>
                    <w:left w:val="nil"/>
                    <w:bottom w:val="nil"/>
                    <w:right w:val="nil"/>
                  </w:tcBorders>
                  <w:shd w:val="clear" w:color="auto" w:fill="auto"/>
                  <w:vAlign w:val="bottom"/>
                </w:tcPr>
                <w:p w14:paraId="7954B81B" w14:textId="77777777" w:rsidR="00F05DC7" w:rsidRPr="007003D1" w:rsidRDefault="00F05DC7" w:rsidP="00A3786D">
                  <w:pPr>
                    <w:pStyle w:val="TableBodyText"/>
                  </w:pPr>
                  <w:r w:rsidRPr="007003D1">
                    <w:rPr>
                      <w:color w:val="000000"/>
                    </w:rPr>
                    <w:t>1.17</w:t>
                  </w:r>
                </w:p>
              </w:tc>
              <w:tc>
                <w:tcPr>
                  <w:tcW w:w="553" w:type="pct"/>
                  <w:tcBorders>
                    <w:top w:val="nil"/>
                    <w:left w:val="nil"/>
                    <w:bottom w:val="nil"/>
                    <w:right w:val="nil"/>
                  </w:tcBorders>
                  <w:shd w:val="clear" w:color="auto" w:fill="auto"/>
                  <w:vAlign w:val="bottom"/>
                </w:tcPr>
                <w:p w14:paraId="7954B81C" w14:textId="77777777" w:rsidR="00F05DC7" w:rsidRPr="007003D1" w:rsidRDefault="00F05DC7" w:rsidP="00A3786D">
                  <w:pPr>
                    <w:pStyle w:val="TableBodyText"/>
                  </w:pPr>
                  <w:r w:rsidRPr="007003D1">
                    <w:rPr>
                      <w:color w:val="000000"/>
                    </w:rPr>
                    <w:t>4.56</w:t>
                  </w:r>
                </w:p>
              </w:tc>
            </w:tr>
            <w:tr w:rsidR="00F05DC7" w14:paraId="7954B827" w14:textId="77777777" w:rsidTr="00A3786D">
              <w:tc>
                <w:tcPr>
                  <w:tcW w:w="556" w:type="pct"/>
                  <w:tcBorders>
                    <w:bottom w:val="single" w:sz="4" w:space="0" w:color="D9D9D9" w:themeColor="background1" w:themeShade="D9"/>
                  </w:tcBorders>
                  <w:shd w:val="clear" w:color="auto" w:fill="auto"/>
                </w:tcPr>
                <w:p w14:paraId="7954B81E" w14:textId="77777777" w:rsidR="00F05DC7" w:rsidRPr="00481FC9" w:rsidRDefault="00F05DC7" w:rsidP="00A3786D">
                  <w:pPr>
                    <w:pStyle w:val="TableBodyText"/>
                    <w:jc w:val="left"/>
                  </w:pPr>
                  <w:r w:rsidRPr="00481FC9">
                    <w:t>2018-19</w:t>
                  </w:r>
                </w:p>
              </w:tc>
              <w:tc>
                <w:tcPr>
                  <w:tcW w:w="557" w:type="pct"/>
                  <w:tcBorders>
                    <w:top w:val="nil"/>
                    <w:left w:val="nil"/>
                    <w:bottom w:val="single" w:sz="4" w:space="0" w:color="D9D9D9" w:themeColor="background1" w:themeShade="D9"/>
                    <w:right w:val="nil"/>
                  </w:tcBorders>
                  <w:shd w:val="clear" w:color="auto" w:fill="auto"/>
                  <w:vAlign w:val="bottom"/>
                </w:tcPr>
                <w:p w14:paraId="7954B81F" w14:textId="77777777" w:rsidR="00F05DC7" w:rsidRPr="007003D1" w:rsidRDefault="00F05DC7" w:rsidP="00A3786D">
                  <w:pPr>
                    <w:pStyle w:val="TableBodyText"/>
                  </w:pPr>
                  <w:r w:rsidRPr="007003D1">
                    <w:rPr>
                      <w:color w:val="000000"/>
                    </w:rPr>
                    <w:t>0.86</w:t>
                  </w:r>
                </w:p>
              </w:tc>
              <w:tc>
                <w:tcPr>
                  <w:tcW w:w="557" w:type="pct"/>
                  <w:tcBorders>
                    <w:top w:val="nil"/>
                    <w:left w:val="nil"/>
                    <w:bottom w:val="single" w:sz="4" w:space="0" w:color="D9D9D9" w:themeColor="background1" w:themeShade="D9"/>
                    <w:right w:val="nil"/>
                  </w:tcBorders>
                  <w:shd w:val="clear" w:color="auto" w:fill="auto"/>
                  <w:vAlign w:val="bottom"/>
                </w:tcPr>
                <w:p w14:paraId="7954B820" w14:textId="77777777" w:rsidR="00F05DC7" w:rsidRPr="007003D1" w:rsidRDefault="00F05DC7" w:rsidP="00A3786D">
                  <w:pPr>
                    <w:pStyle w:val="TableBodyText"/>
                  </w:pPr>
                  <w:r w:rsidRPr="007003D1">
                    <w:rPr>
                      <w:color w:val="000000"/>
                    </w:rPr>
                    <w:t>0.99</w:t>
                  </w:r>
                </w:p>
              </w:tc>
              <w:tc>
                <w:tcPr>
                  <w:tcW w:w="556" w:type="pct"/>
                  <w:tcBorders>
                    <w:top w:val="nil"/>
                    <w:left w:val="nil"/>
                    <w:bottom w:val="single" w:sz="4" w:space="0" w:color="D9D9D9" w:themeColor="background1" w:themeShade="D9"/>
                    <w:right w:val="nil"/>
                  </w:tcBorders>
                  <w:shd w:val="clear" w:color="auto" w:fill="auto"/>
                  <w:vAlign w:val="bottom"/>
                </w:tcPr>
                <w:p w14:paraId="7954B821" w14:textId="77777777" w:rsidR="00F05DC7" w:rsidRPr="007003D1" w:rsidRDefault="00F05DC7" w:rsidP="00A3786D">
                  <w:pPr>
                    <w:pStyle w:val="TableBodyText"/>
                  </w:pPr>
                  <w:r w:rsidRPr="007003D1">
                    <w:rPr>
                      <w:color w:val="000000"/>
                    </w:rPr>
                    <w:t>1.10</w:t>
                  </w:r>
                </w:p>
              </w:tc>
              <w:tc>
                <w:tcPr>
                  <w:tcW w:w="556" w:type="pct"/>
                  <w:tcBorders>
                    <w:top w:val="nil"/>
                    <w:left w:val="nil"/>
                    <w:bottom w:val="single" w:sz="4" w:space="0" w:color="D9D9D9" w:themeColor="background1" w:themeShade="D9"/>
                    <w:right w:val="nil"/>
                  </w:tcBorders>
                  <w:shd w:val="clear" w:color="auto" w:fill="auto"/>
                  <w:vAlign w:val="bottom"/>
                </w:tcPr>
                <w:p w14:paraId="7954B822" w14:textId="77777777" w:rsidR="00F05DC7" w:rsidRPr="007003D1" w:rsidRDefault="00F05DC7" w:rsidP="00A3786D">
                  <w:pPr>
                    <w:pStyle w:val="TableBodyText"/>
                  </w:pPr>
                  <w:r w:rsidRPr="007003D1">
                    <w:rPr>
                      <w:color w:val="000000"/>
                    </w:rPr>
                    <w:t>0.47</w:t>
                  </w:r>
                </w:p>
              </w:tc>
              <w:tc>
                <w:tcPr>
                  <w:tcW w:w="555" w:type="pct"/>
                  <w:tcBorders>
                    <w:top w:val="nil"/>
                    <w:left w:val="nil"/>
                    <w:bottom w:val="single" w:sz="4" w:space="0" w:color="D9D9D9" w:themeColor="background1" w:themeShade="D9"/>
                    <w:right w:val="nil"/>
                  </w:tcBorders>
                  <w:shd w:val="clear" w:color="auto" w:fill="auto"/>
                  <w:vAlign w:val="bottom"/>
                </w:tcPr>
                <w:p w14:paraId="7954B823" w14:textId="77777777" w:rsidR="00F05DC7" w:rsidRPr="007003D1" w:rsidRDefault="00F05DC7" w:rsidP="00A3786D">
                  <w:pPr>
                    <w:pStyle w:val="TableBodyText"/>
                  </w:pPr>
                  <w:r w:rsidRPr="007003D1">
                    <w:rPr>
                      <w:color w:val="000000"/>
                    </w:rPr>
                    <w:t>1.48</w:t>
                  </w:r>
                </w:p>
              </w:tc>
              <w:tc>
                <w:tcPr>
                  <w:tcW w:w="555" w:type="pct"/>
                  <w:tcBorders>
                    <w:top w:val="nil"/>
                    <w:left w:val="nil"/>
                    <w:bottom w:val="single" w:sz="4" w:space="0" w:color="D9D9D9" w:themeColor="background1" w:themeShade="D9"/>
                    <w:right w:val="nil"/>
                  </w:tcBorders>
                  <w:shd w:val="clear" w:color="auto" w:fill="auto"/>
                  <w:vAlign w:val="bottom"/>
                </w:tcPr>
                <w:p w14:paraId="7954B824" w14:textId="77777777" w:rsidR="00F05DC7" w:rsidRPr="007003D1" w:rsidRDefault="00F05DC7" w:rsidP="00A3786D">
                  <w:pPr>
                    <w:pStyle w:val="TableBodyText"/>
                  </w:pPr>
                  <w:r w:rsidRPr="007003D1">
                    <w:rPr>
                      <w:color w:val="000000"/>
                    </w:rPr>
                    <w:t>1.77</w:t>
                  </w:r>
                </w:p>
              </w:tc>
              <w:tc>
                <w:tcPr>
                  <w:tcW w:w="555" w:type="pct"/>
                  <w:tcBorders>
                    <w:top w:val="nil"/>
                    <w:left w:val="nil"/>
                    <w:bottom w:val="single" w:sz="4" w:space="0" w:color="D9D9D9" w:themeColor="background1" w:themeShade="D9"/>
                    <w:right w:val="nil"/>
                  </w:tcBorders>
                  <w:shd w:val="clear" w:color="auto" w:fill="auto"/>
                  <w:vAlign w:val="bottom"/>
                </w:tcPr>
                <w:p w14:paraId="7954B825" w14:textId="77777777" w:rsidR="00F05DC7" w:rsidRPr="007003D1" w:rsidRDefault="00F05DC7" w:rsidP="00A3786D">
                  <w:pPr>
                    <w:pStyle w:val="TableBodyText"/>
                  </w:pPr>
                  <w:r w:rsidRPr="007003D1">
                    <w:rPr>
                      <w:color w:val="000000"/>
                    </w:rPr>
                    <w:t>1.18</w:t>
                  </w:r>
                </w:p>
              </w:tc>
              <w:tc>
                <w:tcPr>
                  <w:tcW w:w="553" w:type="pct"/>
                  <w:tcBorders>
                    <w:top w:val="nil"/>
                    <w:left w:val="nil"/>
                    <w:bottom w:val="single" w:sz="4" w:space="0" w:color="D9D9D9" w:themeColor="background1" w:themeShade="D9"/>
                    <w:right w:val="nil"/>
                  </w:tcBorders>
                  <w:shd w:val="clear" w:color="auto" w:fill="auto"/>
                  <w:vAlign w:val="bottom"/>
                </w:tcPr>
                <w:p w14:paraId="7954B826" w14:textId="77777777" w:rsidR="00F05DC7" w:rsidRPr="007003D1" w:rsidRDefault="00F05DC7" w:rsidP="00A3786D">
                  <w:pPr>
                    <w:pStyle w:val="TableBodyText"/>
                  </w:pPr>
                  <w:r w:rsidRPr="007003D1">
                    <w:rPr>
                      <w:color w:val="000000"/>
                    </w:rPr>
                    <w:t>4.26</w:t>
                  </w:r>
                </w:p>
              </w:tc>
            </w:tr>
          </w:tbl>
          <w:p w14:paraId="7954B828" w14:textId="77777777" w:rsidR="00F05DC7" w:rsidRDefault="00F05DC7" w:rsidP="00A3786D">
            <w:pPr>
              <w:pStyle w:val="Box"/>
            </w:pPr>
          </w:p>
        </w:tc>
      </w:tr>
      <w:tr w:rsidR="00F05DC7" w14:paraId="7954B82B" w14:textId="77777777" w:rsidTr="00A3786D">
        <w:tc>
          <w:tcPr>
            <w:tcW w:w="5000" w:type="pct"/>
            <w:tcBorders>
              <w:top w:val="nil"/>
              <w:left w:val="nil"/>
              <w:bottom w:val="nil"/>
              <w:right w:val="nil"/>
            </w:tcBorders>
            <w:shd w:val="clear" w:color="auto" w:fill="auto"/>
          </w:tcPr>
          <w:p w14:paraId="7954B82A"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82D" w14:textId="77777777" w:rsidTr="00A3786D">
        <w:tc>
          <w:tcPr>
            <w:tcW w:w="5000" w:type="pct"/>
            <w:tcBorders>
              <w:top w:val="nil"/>
              <w:left w:val="nil"/>
              <w:bottom w:val="single" w:sz="6" w:space="0" w:color="78A22F"/>
              <w:right w:val="nil"/>
            </w:tcBorders>
            <w:shd w:val="clear" w:color="auto" w:fill="auto"/>
          </w:tcPr>
          <w:p w14:paraId="7954B82C" w14:textId="77777777" w:rsidR="00F05DC7" w:rsidRDefault="00F05DC7" w:rsidP="00A3786D">
            <w:pPr>
              <w:pStyle w:val="Box"/>
              <w:spacing w:before="0" w:line="120" w:lineRule="exact"/>
            </w:pPr>
          </w:p>
        </w:tc>
      </w:tr>
      <w:tr w:rsidR="00F05DC7" w:rsidRPr="000863A5" w14:paraId="7954B82F" w14:textId="77777777" w:rsidTr="00A3786D">
        <w:tc>
          <w:tcPr>
            <w:tcW w:w="5000" w:type="pct"/>
            <w:tcBorders>
              <w:top w:val="single" w:sz="6" w:space="0" w:color="78A22F"/>
              <w:left w:val="nil"/>
              <w:bottom w:val="nil"/>
              <w:right w:val="nil"/>
            </w:tcBorders>
          </w:tcPr>
          <w:p w14:paraId="7954B82E" w14:textId="77777777" w:rsidR="00F05DC7" w:rsidRPr="00626D32" w:rsidRDefault="00F05DC7" w:rsidP="00A3786D">
            <w:pPr>
              <w:pStyle w:val="BoxSpaceBelow"/>
            </w:pPr>
          </w:p>
        </w:tc>
      </w:tr>
    </w:tbl>
    <w:p w14:paraId="7954B830" w14:textId="77777777" w:rsidR="00F05DC7" w:rsidRDefault="00F05DC7" w:rsidP="00A3786D">
      <w:pPr>
        <w:pStyle w:val="BodyText"/>
      </w:pPr>
      <w:r>
        <w:t>Data provided by the CGC (from the 2018, 2017 and 2013 mining assessments) on the value of production in each State (the revenue base) and the total royalties (across all States) was used for each mineral category. State-by-State royalty data is not available, and so imputed iron ore royalties were calculated for each State. To do this, it was assumed that all States set the same average iron ore royalty rate in 2010 (5.099 per cent), with all States except Western Australia leaving their average royalty rate at this level between 2010 and 2017. Any change in royalties over the period was therefore due to either a change in the iron ore revenue base, or a change in Western Australia’s average iron ore royalty rate</w:t>
      </w:r>
      <w:r w:rsidRPr="00282527">
        <w:rPr>
          <w:rStyle w:val="FootnoteReference"/>
        </w:rPr>
        <w:footnoteReference w:id="21"/>
      </w:r>
      <w:r>
        <w:t>. As each State’s iron ore revenue base is known, this allowed an imputed average iron ore royalty rate to be calculated for Western Australia (table C.11).</w:t>
      </w:r>
    </w:p>
    <w:p w14:paraId="7954B831"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834" w14:textId="77777777" w:rsidTr="00A3786D">
        <w:trPr>
          <w:tblHeader/>
        </w:trPr>
        <w:tc>
          <w:tcPr>
            <w:tcW w:w="5000" w:type="pct"/>
            <w:tcBorders>
              <w:top w:val="single" w:sz="6" w:space="0" w:color="78A22F"/>
              <w:left w:val="nil"/>
              <w:bottom w:val="nil"/>
              <w:right w:val="nil"/>
            </w:tcBorders>
            <w:shd w:val="clear" w:color="auto" w:fill="auto"/>
          </w:tcPr>
          <w:p w14:paraId="7954B832" w14:textId="0CB11827" w:rsidR="00F05DC7" w:rsidRDefault="00F05DC7" w:rsidP="00A3786D">
            <w:pPr>
              <w:pStyle w:val="TableTitle"/>
            </w:pPr>
            <w:r>
              <w:rPr>
                <w:b w:val="0"/>
              </w:rPr>
              <w:t>Table C.11</w:t>
            </w:r>
            <w:r>
              <w:tab/>
              <w:t>Assumed average iron ore royalty rate</w:t>
            </w:r>
          </w:p>
          <w:p w14:paraId="7954B833" w14:textId="77777777" w:rsidR="00F05DC7" w:rsidRPr="00784A05" w:rsidRDefault="00F05DC7" w:rsidP="00A3786D">
            <w:pPr>
              <w:pStyle w:val="Subtitle"/>
            </w:pPr>
            <w:r>
              <w:t>Per cent</w:t>
            </w:r>
          </w:p>
        </w:tc>
      </w:tr>
      <w:tr w:rsidR="00F05DC7" w14:paraId="7954B87E"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97"/>
              <w:gridCol w:w="851"/>
              <w:gridCol w:w="852"/>
              <w:gridCol w:w="852"/>
              <w:gridCol w:w="801"/>
              <w:gridCol w:w="861"/>
              <w:gridCol w:w="861"/>
              <w:gridCol w:w="869"/>
              <w:gridCol w:w="861"/>
            </w:tblGrid>
            <w:tr w:rsidR="00F05DC7" w14:paraId="7954B83E" w14:textId="77777777" w:rsidTr="00A3786D">
              <w:trPr>
                <w:tblHeader/>
              </w:trPr>
              <w:tc>
                <w:tcPr>
                  <w:tcW w:w="998" w:type="pct"/>
                  <w:tcBorders>
                    <w:top w:val="single" w:sz="6" w:space="0" w:color="BFBFBF"/>
                    <w:bottom w:val="single" w:sz="6" w:space="0" w:color="BFBFBF"/>
                  </w:tcBorders>
                  <w:shd w:val="clear" w:color="auto" w:fill="auto"/>
                  <w:tcMar>
                    <w:top w:w="28" w:type="dxa"/>
                  </w:tcMar>
                </w:tcPr>
                <w:p w14:paraId="7954B835" w14:textId="77777777" w:rsidR="00F05DC7" w:rsidRDefault="00F05DC7" w:rsidP="00A3786D">
                  <w:pPr>
                    <w:pStyle w:val="TableColumnHeading"/>
                    <w:jc w:val="left"/>
                  </w:pPr>
                </w:p>
              </w:tc>
              <w:tc>
                <w:tcPr>
                  <w:tcW w:w="500" w:type="pct"/>
                  <w:tcBorders>
                    <w:top w:val="single" w:sz="6" w:space="0" w:color="BFBFBF"/>
                    <w:bottom w:val="single" w:sz="6" w:space="0" w:color="BFBFBF"/>
                  </w:tcBorders>
                </w:tcPr>
                <w:p w14:paraId="7954B836" w14:textId="77777777" w:rsidR="00F05DC7" w:rsidRDefault="00F05DC7" w:rsidP="00A3786D">
                  <w:pPr>
                    <w:pStyle w:val="TableColumnHeading"/>
                  </w:pPr>
                  <w:r>
                    <w:t>2009-10</w:t>
                  </w:r>
                </w:p>
              </w:tc>
              <w:tc>
                <w:tcPr>
                  <w:tcW w:w="501" w:type="pct"/>
                  <w:tcBorders>
                    <w:top w:val="single" w:sz="6" w:space="0" w:color="BFBFBF"/>
                    <w:bottom w:val="single" w:sz="6" w:space="0" w:color="BFBFBF"/>
                  </w:tcBorders>
                  <w:shd w:val="clear" w:color="auto" w:fill="auto"/>
                  <w:tcMar>
                    <w:top w:w="28" w:type="dxa"/>
                  </w:tcMar>
                </w:tcPr>
                <w:p w14:paraId="7954B837" w14:textId="77777777" w:rsidR="00F05DC7" w:rsidRDefault="00F05DC7" w:rsidP="00A3786D">
                  <w:pPr>
                    <w:pStyle w:val="TableColumnHeading"/>
                  </w:pPr>
                  <w:r>
                    <w:t>2010-11</w:t>
                  </w:r>
                </w:p>
              </w:tc>
              <w:tc>
                <w:tcPr>
                  <w:tcW w:w="501" w:type="pct"/>
                  <w:tcBorders>
                    <w:top w:val="single" w:sz="6" w:space="0" w:color="BFBFBF"/>
                    <w:bottom w:val="single" w:sz="6" w:space="0" w:color="BFBFBF"/>
                  </w:tcBorders>
                </w:tcPr>
                <w:p w14:paraId="7954B838" w14:textId="77777777" w:rsidR="00F05DC7" w:rsidRDefault="00F05DC7" w:rsidP="00A3786D">
                  <w:pPr>
                    <w:pStyle w:val="TableColumnHeading"/>
                    <w:ind w:right="28"/>
                  </w:pPr>
                  <w:r>
                    <w:t>2011-12</w:t>
                  </w:r>
                </w:p>
              </w:tc>
              <w:tc>
                <w:tcPr>
                  <w:tcW w:w="471" w:type="pct"/>
                  <w:tcBorders>
                    <w:top w:val="single" w:sz="6" w:space="0" w:color="BFBFBF"/>
                    <w:bottom w:val="single" w:sz="6" w:space="0" w:color="BFBFBF"/>
                  </w:tcBorders>
                </w:tcPr>
                <w:p w14:paraId="7954B839" w14:textId="77777777" w:rsidR="00F05DC7" w:rsidRDefault="00F05DC7" w:rsidP="00A3786D">
                  <w:pPr>
                    <w:pStyle w:val="TableColumnHeading"/>
                    <w:ind w:right="28"/>
                  </w:pPr>
                  <w:r>
                    <w:t>2012-13</w:t>
                  </w:r>
                </w:p>
              </w:tc>
              <w:tc>
                <w:tcPr>
                  <w:tcW w:w="506" w:type="pct"/>
                  <w:tcBorders>
                    <w:top w:val="single" w:sz="6" w:space="0" w:color="BFBFBF"/>
                    <w:bottom w:val="single" w:sz="6" w:space="0" w:color="BFBFBF"/>
                  </w:tcBorders>
                </w:tcPr>
                <w:p w14:paraId="7954B83A" w14:textId="77777777" w:rsidR="00F05DC7" w:rsidRDefault="00F05DC7" w:rsidP="00A3786D">
                  <w:pPr>
                    <w:pStyle w:val="TableColumnHeading"/>
                    <w:ind w:right="28"/>
                  </w:pPr>
                  <w:r>
                    <w:t>2013-14</w:t>
                  </w:r>
                </w:p>
              </w:tc>
              <w:tc>
                <w:tcPr>
                  <w:tcW w:w="506" w:type="pct"/>
                  <w:tcBorders>
                    <w:top w:val="single" w:sz="6" w:space="0" w:color="BFBFBF"/>
                    <w:bottom w:val="single" w:sz="6" w:space="0" w:color="BFBFBF"/>
                  </w:tcBorders>
                </w:tcPr>
                <w:p w14:paraId="7954B83B" w14:textId="77777777" w:rsidR="00F05DC7" w:rsidRDefault="00F05DC7" w:rsidP="00A3786D">
                  <w:pPr>
                    <w:pStyle w:val="TableColumnHeading"/>
                    <w:ind w:right="28"/>
                  </w:pPr>
                  <w:r>
                    <w:t>2014-15</w:t>
                  </w:r>
                </w:p>
              </w:tc>
              <w:tc>
                <w:tcPr>
                  <w:tcW w:w="511" w:type="pct"/>
                  <w:tcBorders>
                    <w:top w:val="single" w:sz="6" w:space="0" w:color="BFBFBF"/>
                    <w:bottom w:val="single" w:sz="6" w:space="0" w:color="BFBFBF"/>
                  </w:tcBorders>
                  <w:shd w:val="clear" w:color="auto" w:fill="auto"/>
                  <w:tcMar>
                    <w:top w:w="28" w:type="dxa"/>
                  </w:tcMar>
                </w:tcPr>
                <w:p w14:paraId="7954B83C" w14:textId="77777777" w:rsidR="00F05DC7" w:rsidRDefault="00F05DC7" w:rsidP="00A3786D">
                  <w:pPr>
                    <w:pStyle w:val="TableColumnHeading"/>
                    <w:ind w:right="28"/>
                  </w:pPr>
                  <w:r>
                    <w:t>2015-16</w:t>
                  </w:r>
                </w:p>
              </w:tc>
              <w:tc>
                <w:tcPr>
                  <w:tcW w:w="506" w:type="pct"/>
                  <w:tcBorders>
                    <w:top w:val="single" w:sz="6" w:space="0" w:color="BFBFBF"/>
                    <w:bottom w:val="single" w:sz="6" w:space="0" w:color="BFBFBF"/>
                  </w:tcBorders>
                </w:tcPr>
                <w:p w14:paraId="7954B83D" w14:textId="77777777" w:rsidR="00F05DC7" w:rsidRDefault="00F05DC7" w:rsidP="00A3786D">
                  <w:pPr>
                    <w:pStyle w:val="TableColumnHeading"/>
                    <w:ind w:right="28"/>
                  </w:pPr>
                  <w:r>
                    <w:t>2016-17</w:t>
                  </w:r>
                </w:p>
              </w:tc>
            </w:tr>
            <w:tr w:rsidR="00F05DC7" w14:paraId="7954B848" w14:textId="77777777" w:rsidTr="00A3786D">
              <w:tc>
                <w:tcPr>
                  <w:tcW w:w="998" w:type="pct"/>
                  <w:tcBorders>
                    <w:top w:val="single" w:sz="6" w:space="0" w:color="BFBFBF"/>
                  </w:tcBorders>
                </w:tcPr>
                <w:p w14:paraId="7954B83F" w14:textId="77777777" w:rsidR="00F05DC7" w:rsidRDefault="00F05DC7" w:rsidP="00A3786D">
                  <w:pPr>
                    <w:pStyle w:val="TableBodyText"/>
                    <w:jc w:val="left"/>
                  </w:pPr>
                  <w:r w:rsidRPr="00EC6855">
                    <w:t>Western Australia</w:t>
                  </w:r>
                  <w:r w:rsidRPr="006C2A7C">
                    <w:rPr>
                      <w:rStyle w:val="NoteLabel"/>
                    </w:rPr>
                    <w:t>a</w:t>
                  </w:r>
                </w:p>
              </w:tc>
              <w:tc>
                <w:tcPr>
                  <w:tcW w:w="500" w:type="pct"/>
                  <w:tcBorders>
                    <w:top w:val="single" w:sz="6" w:space="0" w:color="BFBFBF"/>
                  </w:tcBorders>
                </w:tcPr>
                <w:p w14:paraId="7954B840" w14:textId="77777777" w:rsidR="00F05DC7" w:rsidRDefault="00F05DC7" w:rsidP="00A3786D">
                  <w:pPr>
                    <w:pStyle w:val="TableBodyText"/>
                  </w:pPr>
                  <w:r>
                    <w:t>5.099</w:t>
                  </w:r>
                </w:p>
              </w:tc>
              <w:tc>
                <w:tcPr>
                  <w:tcW w:w="501" w:type="pct"/>
                  <w:tcBorders>
                    <w:top w:val="single" w:sz="6" w:space="0" w:color="BFBFBF"/>
                  </w:tcBorders>
                </w:tcPr>
                <w:p w14:paraId="7954B841" w14:textId="77777777" w:rsidR="00F05DC7" w:rsidRDefault="00F05DC7" w:rsidP="00A3786D">
                  <w:pPr>
                    <w:pStyle w:val="TableBodyText"/>
                  </w:pPr>
                  <w:r>
                    <w:t>6.267</w:t>
                  </w:r>
                </w:p>
              </w:tc>
              <w:tc>
                <w:tcPr>
                  <w:tcW w:w="501" w:type="pct"/>
                  <w:tcBorders>
                    <w:top w:val="single" w:sz="6" w:space="0" w:color="BFBFBF"/>
                  </w:tcBorders>
                </w:tcPr>
                <w:p w14:paraId="7954B842" w14:textId="77777777" w:rsidR="00F05DC7" w:rsidRDefault="00F05DC7" w:rsidP="00A3786D">
                  <w:pPr>
                    <w:pStyle w:val="TableBodyText"/>
                  </w:pPr>
                  <w:r>
                    <w:t>6.099</w:t>
                  </w:r>
                </w:p>
              </w:tc>
              <w:tc>
                <w:tcPr>
                  <w:tcW w:w="471" w:type="pct"/>
                  <w:tcBorders>
                    <w:top w:val="single" w:sz="6" w:space="0" w:color="BFBFBF"/>
                  </w:tcBorders>
                </w:tcPr>
                <w:p w14:paraId="7954B843" w14:textId="77777777" w:rsidR="00F05DC7" w:rsidRDefault="00F05DC7" w:rsidP="00A3786D">
                  <w:pPr>
                    <w:pStyle w:val="TableBodyText"/>
                  </w:pPr>
                  <w:r>
                    <w:t>6.762</w:t>
                  </w:r>
                </w:p>
              </w:tc>
              <w:tc>
                <w:tcPr>
                  <w:tcW w:w="506" w:type="pct"/>
                  <w:tcBorders>
                    <w:top w:val="single" w:sz="6" w:space="0" w:color="BFBFBF"/>
                  </w:tcBorders>
                </w:tcPr>
                <w:p w14:paraId="7954B844" w14:textId="77777777" w:rsidR="00F05DC7" w:rsidRDefault="00F05DC7" w:rsidP="00A3786D">
                  <w:pPr>
                    <w:pStyle w:val="TableBodyText"/>
                  </w:pPr>
                  <w:r>
                    <w:t>7.162</w:t>
                  </w:r>
                </w:p>
              </w:tc>
              <w:tc>
                <w:tcPr>
                  <w:tcW w:w="506" w:type="pct"/>
                  <w:tcBorders>
                    <w:top w:val="single" w:sz="6" w:space="0" w:color="BFBFBF"/>
                  </w:tcBorders>
                </w:tcPr>
                <w:p w14:paraId="7954B845" w14:textId="77777777" w:rsidR="00F05DC7" w:rsidRDefault="00F05DC7" w:rsidP="00A3786D">
                  <w:pPr>
                    <w:pStyle w:val="TableBodyText"/>
                  </w:pPr>
                  <w:r>
                    <w:t>7.306</w:t>
                  </w:r>
                </w:p>
              </w:tc>
              <w:tc>
                <w:tcPr>
                  <w:tcW w:w="511" w:type="pct"/>
                  <w:tcBorders>
                    <w:top w:val="single" w:sz="6" w:space="0" w:color="BFBFBF"/>
                  </w:tcBorders>
                </w:tcPr>
                <w:p w14:paraId="7954B846" w14:textId="77777777" w:rsidR="00F05DC7" w:rsidRDefault="00F05DC7" w:rsidP="00A3786D">
                  <w:pPr>
                    <w:pStyle w:val="TableBodyText"/>
                  </w:pPr>
                  <w:r>
                    <w:t>7.299</w:t>
                  </w:r>
                </w:p>
              </w:tc>
              <w:tc>
                <w:tcPr>
                  <w:tcW w:w="506" w:type="pct"/>
                  <w:tcBorders>
                    <w:top w:val="single" w:sz="6" w:space="0" w:color="BFBFBF"/>
                  </w:tcBorders>
                </w:tcPr>
                <w:p w14:paraId="7954B847" w14:textId="77777777" w:rsidR="00F05DC7" w:rsidRDefault="00F05DC7" w:rsidP="00A3786D">
                  <w:pPr>
                    <w:pStyle w:val="TableBodyText"/>
                  </w:pPr>
                  <w:r>
                    <w:t>7.285</w:t>
                  </w:r>
                </w:p>
              </w:tc>
            </w:tr>
            <w:tr w:rsidR="00F05DC7" w14:paraId="7954B852" w14:textId="77777777" w:rsidTr="00A3786D">
              <w:tc>
                <w:tcPr>
                  <w:tcW w:w="998" w:type="pct"/>
                </w:tcPr>
                <w:p w14:paraId="7954B849" w14:textId="77777777" w:rsidR="00F05DC7" w:rsidRDefault="00F05DC7" w:rsidP="00A3786D">
                  <w:pPr>
                    <w:pStyle w:val="TableBodyText"/>
                    <w:jc w:val="left"/>
                  </w:pPr>
                  <w:r w:rsidRPr="00EC6855">
                    <w:t>All other States</w:t>
                  </w:r>
                  <w:r w:rsidRPr="006C2A7C">
                    <w:rPr>
                      <w:rStyle w:val="NoteLabel"/>
                    </w:rPr>
                    <w:t>b</w:t>
                  </w:r>
                </w:p>
              </w:tc>
              <w:tc>
                <w:tcPr>
                  <w:tcW w:w="500" w:type="pct"/>
                </w:tcPr>
                <w:p w14:paraId="7954B84A" w14:textId="77777777" w:rsidR="00F05DC7" w:rsidRDefault="00F05DC7" w:rsidP="00A3786D">
                  <w:pPr>
                    <w:pStyle w:val="TableBodyText"/>
                  </w:pPr>
                  <w:r>
                    <w:t>5.099</w:t>
                  </w:r>
                </w:p>
              </w:tc>
              <w:tc>
                <w:tcPr>
                  <w:tcW w:w="501" w:type="pct"/>
                </w:tcPr>
                <w:p w14:paraId="7954B84B" w14:textId="77777777" w:rsidR="00F05DC7" w:rsidRDefault="00F05DC7" w:rsidP="00A3786D">
                  <w:pPr>
                    <w:pStyle w:val="TableBodyText"/>
                  </w:pPr>
                  <w:r>
                    <w:t>5.099</w:t>
                  </w:r>
                </w:p>
              </w:tc>
              <w:tc>
                <w:tcPr>
                  <w:tcW w:w="501" w:type="pct"/>
                </w:tcPr>
                <w:p w14:paraId="7954B84C" w14:textId="77777777" w:rsidR="00F05DC7" w:rsidRDefault="00F05DC7" w:rsidP="00A3786D">
                  <w:pPr>
                    <w:pStyle w:val="TableBodyText"/>
                  </w:pPr>
                  <w:r>
                    <w:t>5.099</w:t>
                  </w:r>
                </w:p>
              </w:tc>
              <w:tc>
                <w:tcPr>
                  <w:tcW w:w="471" w:type="pct"/>
                </w:tcPr>
                <w:p w14:paraId="7954B84D" w14:textId="77777777" w:rsidR="00F05DC7" w:rsidRDefault="00F05DC7" w:rsidP="00A3786D">
                  <w:pPr>
                    <w:pStyle w:val="TableBodyText"/>
                  </w:pPr>
                  <w:r>
                    <w:t>5.099</w:t>
                  </w:r>
                </w:p>
              </w:tc>
              <w:tc>
                <w:tcPr>
                  <w:tcW w:w="506" w:type="pct"/>
                </w:tcPr>
                <w:p w14:paraId="7954B84E" w14:textId="77777777" w:rsidR="00F05DC7" w:rsidRDefault="00F05DC7" w:rsidP="00A3786D">
                  <w:pPr>
                    <w:pStyle w:val="TableBodyText"/>
                  </w:pPr>
                  <w:r>
                    <w:t>5.099</w:t>
                  </w:r>
                </w:p>
              </w:tc>
              <w:tc>
                <w:tcPr>
                  <w:tcW w:w="506" w:type="pct"/>
                </w:tcPr>
                <w:p w14:paraId="7954B84F" w14:textId="77777777" w:rsidR="00F05DC7" w:rsidRDefault="00F05DC7" w:rsidP="00A3786D">
                  <w:pPr>
                    <w:pStyle w:val="TableBodyText"/>
                  </w:pPr>
                  <w:r>
                    <w:t>5.099</w:t>
                  </w:r>
                </w:p>
              </w:tc>
              <w:tc>
                <w:tcPr>
                  <w:tcW w:w="511" w:type="pct"/>
                </w:tcPr>
                <w:p w14:paraId="7954B850" w14:textId="77777777" w:rsidR="00F05DC7" w:rsidRDefault="00F05DC7" w:rsidP="00A3786D">
                  <w:pPr>
                    <w:pStyle w:val="TableBodyText"/>
                  </w:pPr>
                  <w:r>
                    <w:t>5.099</w:t>
                  </w:r>
                </w:p>
              </w:tc>
              <w:tc>
                <w:tcPr>
                  <w:tcW w:w="506" w:type="pct"/>
                </w:tcPr>
                <w:p w14:paraId="7954B851" w14:textId="77777777" w:rsidR="00F05DC7" w:rsidRDefault="00F05DC7" w:rsidP="00A3786D">
                  <w:pPr>
                    <w:pStyle w:val="TableBodyText"/>
                  </w:pPr>
                  <w:r>
                    <w:t>5.099</w:t>
                  </w:r>
                </w:p>
              </w:tc>
            </w:tr>
            <w:tr w:rsidR="00F05DC7" w14:paraId="7954B854" w14:textId="77777777" w:rsidTr="00AB3F17">
              <w:tc>
                <w:tcPr>
                  <w:tcW w:w="5000" w:type="pct"/>
                  <w:gridSpan w:val="9"/>
                  <w:shd w:val="clear" w:color="auto" w:fill="F2F2F2" w:themeFill="background1" w:themeFillShade="F2"/>
                </w:tcPr>
                <w:p w14:paraId="7954B853" w14:textId="77777777" w:rsidR="00F05DC7" w:rsidRDefault="00F05DC7" w:rsidP="00A3786D">
                  <w:pPr>
                    <w:pStyle w:val="TableBodyText"/>
                    <w:ind w:right="28"/>
                    <w:jc w:val="left"/>
                  </w:pPr>
                  <w:r>
                    <w:t>Total imputed royalty revenue ($m)</w:t>
                  </w:r>
                  <w:r>
                    <w:tab/>
                  </w:r>
                </w:p>
              </w:tc>
            </w:tr>
            <w:tr w:rsidR="00F05DC7" w14:paraId="7954B85E" w14:textId="77777777" w:rsidTr="00A3786D">
              <w:tc>
                <w:tcPr>
                  <w:tcW w:w="998" w:type="pct"/>
                  <w:shd w:val="clear" w:color="auto" w:fill="auto"/>
                </w:tcPr>
                <w:p w14:paraId="7954B855" w14:textId="77777777" w:rsidR="00F05DC7" w:rsidRDefault="00F05DC7" w:rsidP="00A3786D">
                  <w:pPr>
                    <w:pStyle w:val="TableBodyText"/>
                    <w:jc w:val="left"/>
                  </w:pPr>
                  <w:r>
                    <w:t>Western Australia</w:t>
                  </w:r>
                </w:p>
              </w:tc>
              <w:tc>
                <w:tcPr>
                  <w:tcW w:w="500" w:type="pct"/>
                </w:tcPr>
                <w:p w14:paraId="7954B856" w14:textId="77777777" w:rsidR="00F05DC7" w:rsidRDefault="00F05DC7" w:rsidP="00A3786D">
                  <w:pPr>
                    <w:pStyle w:val="TableBodyText"/>
                  </w:pPr>
                  <w:r>
                    <w:t>1 801</w:t>
                  </w:r>
                </w:p>
              </w:tc>
              <w:tc>
                <w:tcPr>
                  <w:tcW w:w="501" w:type="pct"/>
                  <w:shd w:val="clear" w:color="auto" w:fill="auto"/>
                </w:tcPr>
                <w:p w14:paraId="7954B857" w14:textId="77777777" w:rsidR="00F05DC7" w:rsidRDefault="00F05DC7" w:rsidP="00A3786D">
                  <w:pPr>
                    <w:pStyle w:val="TableBodyText"/>
                  </w:pPr>
                  <w:r>
                    <w:t>3 609</w:t>
                  </w:r>
                </w:p>
              </w:tc>
              <w:tc>
                <w:tcPr>
                  <w:tcW w:w="501" w:type="pct"/>
                </w:tcPr>
                <w:p w14:paraId="7954B858" w14:textId="77777777" w:rsidR="00F05DC7" w:rsidRDefault="00F05DC7" w:rsidP="00A3786D">
                  <w:pPr>
                    <w:pStyle w:val="TableBodyText"/>
                    <w:ind w:right="28"/>
                  </w:pPr>
                  <w:r>
                    <w:t>3 725</w:t>
                  </w:r>
                </w:p>
              </w:tc>
              <w:tc>
                <w:tcPr>
                  <w:tcW w:w="471" w:type="pct"/>
                </w:tcPr>
                <w:p w14:paraId="7954B859" w14:textId="77777777" w:rsidR="00F05DC7" w:rsidRDefault="00F05DC7" w:rsidP="00A3786D">
                  <w:pPr>
                    <w:pStyle w:val="TableBodyText"/>
                    <w:ind w:right="28"/>
                  </w:pPr>
                  <w:r>
                    <w:t>3 793</w:t>
                  </w:r>
                </w:p>
              </w:tc>
              <w:tc>
                <w:tcPr>
                  <w:tcW w:w="506" w:type="pct"/>
                </w:tcPr>
                <w:p w14:paraId="7954B85A" w14:textId="77777777" w:rsidR="00F05DC7" w:rsidRDefault="00F05DC7" w:rsidP="00A3786D">
                  <w:pPr>
                    <w:pStyle w:val="TableBodyText"/>
                    <w:ind w:right="28"/>
                  </w:pPr>
                  <w:r>
                    <w:t>5 383</w:t>
                  </w:r>
                </w:p>
              </w:tc>
              <w:tc>
                <w:tcPr>
                  <w:tcW w:w="506" w:type="pct"/>
                </w:tcPr>
                <w:p w14:paraId="7954B85B" w14:textId="77777777" w:rsidR="00F05DC7" w:rsidRDefault="00F05DC7" w:rsidP="00A3786D">
                  <w:pPr>
                    <w:pStyle w:val="TableBodyText"/>
                    <w:ind w:right="28"/>
                  </w:pPr>
                  <w:r>
                    <w:t>3 972</w:t>
                  </w:r>
                </w:p>
              </w:tc>
              <w:tc>
                <w:tcPr>
                  <w:tcW w:w="511" w:type="pct"/>
                  <w:shd w:val="clear" w:color="auto" w:fill="auto"/>
                </w:tcPr>
                <w:p w14:paraId="7954B85C" w14:textId="77777777" w:rsidR="00F05DC7" w:rsidRDefault="00F05DC7" w:rsidP="00A3786D">
                  <w:pPr>
                    <w:pStyle w:val="TableBodyText"/>
                    <w:ind w:right="28"/>
                  </w:pPr>
                  <w:r>
                    <w:t>3 559</w:t>
                  </w:r>
                </w:p>
              </w:tc>
              <w:tc>
                <w:tcPr>
                  <w:tcW w:w="506" w:type="pct"/>
                </w:tcPr>
                <w:p w14:paraId="7954B85D" w14:textId="77777777" w:rsidR="00F05DC7" w:rsidRDefault="00F05DC7" w:rsidP="00A3786D">
                  <w:pPr>
                    <w:pStyle w:val="TableBodyText"/>
                    <w:ind w:right="28"/>
                  </w:pPr>
                  <w:r>
                    <w:t>4 637</w:t>
                  </w:r>
                </w:p>
              </w:tc>
            </w:tr>
            <w:tr w:rsidR="00F05DC7" w14:paraId="7954B868" w14:textId="77777777" w:rsidTr="00A3786D">
              <w:tc>
                <w:tcPr>
                  <w:tcW w:w="998" w:type="pct"/>
                  <w:shd w:val="clear" w:color="auto" w:fill="auto"/>
                  <w:tcMar>
                    <w:left w:w="113" w:type="dxa"/>
                  </w:tcMar>
                </w:tcPr>
                <w:p w14:paraId="7954B85F" w14:textId="77777777" w:rsidR="00F05DC7" w:rsidRPr="00444517" w:rsidRDefault="00F05DC7" w:rsidP="00A3786D">
                  <w:pPr>
                    <w:pStyle w:val="TableBodyText"/>
                    <w:jc w:val="left"/>
                  </w:pPr>
                  <w:r w:rsidRPr="00444517">
                    <w:t>Due to royalty rate change</w:t>
                  </w:r>
                </w:p>
              </w:tc>
              <w:tc>
                <w:tcPr>
                  <w:tcW w:w="500" w:type="pct"/>
                </w:tcPr>
                <w:p w14:paraId="7954B860" w14:textId="77777777" w:rsidR="00F05DC7" w:rsidRPr="00444517" w:rsidRDefault="00F05DC7" w:rsidP="00A3786D">
                  <w:pPr>
                    <w:pStyle w:val="TableBodyText"/>
                  </w:pPr>
                  <w:r w:rsidRPr="00444517">
                    <w:t>0</w:t>
                  </w:r>
                </w:p>
              </w:tc>
              <w:tc>
                <w:tcPr>
                  <w:tcW w:w="501" w:type="pct"/>
                  <w:shd w:val="clear" w:color="auto" w:fill="auto"/>
                </w:tcPr>
                <w:p w14:paraId="7954B861" w14:textId="77777777" w:rsidR="00F05DC7" w:rsidRPr="00444517" w:rsidRDefault="00F05DC7" w:rsidP="00A3786D">
                  <w:pPr>
                    <w:pStyle w:val="TableBodyText"/>
                  </w:pPr>
                  <w:r w:rsidRPr="00444517">
                    <w:t>672</w:t>
                  </w:r>
                </w:p>
              </w:tc>
              <w:tc>
                <w:tcPr>
                  <w:tcW w:w="501" w:type="pct"/>
                </w:tcPr>
                <w:p w14:paraId="7954B862" w14:textId="77777777" w:rsidR="00F05DC7" w:rsidRPr="00444517" w:rsidRDefault="00F05DC7" w:rsidP="00A3786D">
                  <w:pPr>
                    <w:pStyle w:val="TableBodyText"/>
                  </w:pPr>
                  <w:r w:rsidRPr="00444517">
                    <w:t>610</w:t>
                  </w:r>
                </w:p>
              </w:tc>
              <w:tc>
                <w:tcPr>
                  <w:tcW w:w="471" w:type="pct"/>
                </w:tcPr>
                <w:p w14:paraId="7954B863" w14:textId="77777777" w:rsidR="00F05DC7" w:rsidRPr="00444517" w:rsidRDefault="00F05DC7" w:rsidP="00A3786D">
                  <w:pPr>
                    <w:pStyle w:val="TableBodyText"/>
                  </w:pPr>
                  <w:r w:rsidRPr="00444517">
                    <w:t>933</w:t>
                  </w:r>
                </w:p>
              </w:tc>
              <w:tc>
                <w:tcPr>
                  <w:tcW w:w="506" w:type="pct"/>
                </w:tcPr>
                <w:p w14:paraId="7954B864" w14:textId="77777777" w:rsidR="00F05DC7" w:rsidRPr="00444517" w:rsidRDefault="00F05DC7" w:rsidP="00A3786D">
                  <w:pPr>
                    <w:pStyle w:val="TableBodyText"/>
                  </w:pPr>
                  <w:r w:rsidRPr="00444517">
                    <w:t>1</w:t>
                  </w:r>
                  <w:r>
                    <w:t> </w:t>
                  </w:r>
                  <w:r w:rsidRPr="00444517">
                    <w:t>551</w:t>
                  </w:r>
                </w:p>
              </w:tc>
              <w:tc>
                <w:tcPr>
                  <w:tcW w:w="506" w:type="pct"/>
                </w:tcPr>
                <w:p w14:paraId="7954B865" w14:textId="77777777" w:rsidR="00F05DC7" w:rsidRPr="00444517" w:rsidRDefault="00F05DC7" w:rsidP="00A3786D">
                  <w:pPr>
                    <w:pStyle w:val="TableBodyText"/>
                  </w:pPr>
                  <w:r w:rsidRPr="00444517">
                    <w:t>1</w:t>
                  </w:r>
                  <w:r>
                    <w:t> </w:t>
                  </w:r>
                  <w:r w:rsidRPr="00444517">
                    <w:t>200</w:t>
                  </w:r>
                </w:p>
              </w:tc>
              <w:tc>
                <w:tcPr>
                  <w:tcW w:w="511" w:type="pct"/>
                  <w:shd w:val="clear" w:color="auto" w:fill="auto"/>
                </w:tcPr>
                <w:p w14:paraId="7954B866" w14:textId="77777777" w:rsidR="00F05DC7" w:rsidRPr="00444517" w:rsidRDefault="00F05DC7" w:rsidP="00A3786D">
                  <w:pPr>
                    <w:pStyle w:val="TableBodyText"/>
                  </w:pPr>
                  <w:r w:rsidRPr="00444517">
                    <w:t>1</w:t>
                  </w:r>
                  <w:r>
                    <w:t> </w:t>
                  </w:r>
                  <w:r w:rsidRPr="00444517">
                    <w:t>073</w:t>
                  </w:r>
                </w:p>
              </w:tc>
              <w:tc>
                <w:tcPr>
                  <w:tcW w:w="506" w:type="pct"/>
                </w:tcPr>
                <w:p w14:paraId="7954B867" w14:textId="77777777" w:rsidR="00F05DC7" w:rsidRPr="00444517" w:rsidRDefault="00F05DC7" w:rsidP="00A3786D">
                  <w:pPr>
                    <w:pStyle w:val="TableBodyText"/>
                  </w:pPr>
                  <w:r w:rsidRPr="00444517">
                    <w:t>1</w:t>
                  </w:r>
                  <w:r>
                    <w:t> </w:t>
                  </w:r>
                  <w:r w:rsidRPr="00444517">
                    <w:t>391</w:t>
                  </w:r>
                </w:p>
              </w:tc>
            </w:tr>
            <w:tr w:rsidR="00F05DC7" w14:paraId="7954B872" w14:textId="77777777" w:rsidTr="00A3786D">
              <w:tc>
                <w:tcPr>
                  <w:tcW w:w="998" w:type="pct"/>
                  <w:tcBorders>
                    <w:bottom w:val="single" w:sz="4" w:space="0" w:color="D9D9D9" w:themeColor="background1" w:themeShade="D9"/>
                  </w:tcBorders>
                  <w:shd w:val="clear" w:color="auto" w:fill="auto"/>
                </w:tcPr>
                <w:p w14:paraId="7954B869" w14:textId="77777777" w:rsidR="00F05DC7" w:rsidRPr="00FB7DD4" w:rsidRDefault="00F05DC7" w:rsidP="00A3786D">
                  <w:pPr>
                    <w:pStyle w:val="TableBodyText"/>
                    <w:jc w:val="left"/>
                  </w:pPr>
                  <w:r w:rsidRPr="00FB7DD4">
                    <w:t>All other States</w:t>
                  </w:r>
                </w:p>
              </w:tc>
              <w:tc>
                <w:tcPr>
                  <w:tcW w:w="500" w:type="pct"/>
                  <w:tcBorders>
                    <w:bottom w:val="single" w:sz="4" w:space="0" w:color="D9D9D9" w:themeColor="background1" w:themeShade="D9"/>
                  </w:tcBorders>
                </w:tcPr>
                <w:p w14:paraId="7954B86A" w14:textId="77777777" w:rsidR="00F05DC7" w:rsidRPr="00CC1EDA" w:rsidRDefault="00F05DC7" w:rsidP="00A3786D">
                  <w:pPr>
                    <w:pStyle w:val="TableBodyText"/>
                  </w:pPr>
                  <w:r w:rsidRPr="00CC1EDA">
                    <w:t>44</w:t>
                  </w:r>
                </w:p>
              </w:tc>
              <w:tc>
                <w:tcPr>
                  <w:tcW w:w="501" w:type="pct"/>
                  <w:tcBorders>
                    <w:bottom w:val="single" w:sz="4" w:space="0" w:color="D9D9D9" w:themeColor="background1" w:themeShade="D9"/>
                  </w:tcBorders>
                  <w:shd w:val="clear" w:color="auto" w:fill="auto"/>
                </w:tcPr>
                <w:p w14:paraId="7954B86B" w14:textId="77777777" w:rsidR="00F05DC7" w:rsidRPr="00CC1EDA" w:rsidRDefault="00F05DC7" w:rsidP="00A3786D">
                  <w:pPr>
                    <w:pStyle w:val="TableBodyText"/>
                  </w:pPr>
                  <w:r w:rsidRPr="00CC1EDA">
                    <w:t>78</w:t>
                  </w:r>
                </w:p>
              </w:tc>
              <w:tc>
                <w:tcPr>
                  <w:tcW w:w="501" w:type="pct"/>
                  <w:tcBorders>
                    <w:bottom w:val="single" w:sz="4" w:space="0" w:color="D9D9D9" w:themeColor="background1" w:themeShade="D9"/>
                  </w:tcBorders>
                </w:tcPr>
                <w:p w14:paraId="7954B86C" w14:textId="77777777" w:rsidR="00F05DC7" w:rsidRPr="00AE18B6" w:rsidRDefault="00F05DC7" w:rsidP="00A3786D">
                  <w:pPr>
                    <w:pStyle w:val="TableBodyText"/>
                  </w:pPr>
                  <w:r w:rsidRPr="00AE18B6">
                    <w:t>88</w:t>
                  </w:r>
                </w:p>
              </w:tc>
              <w:tc>
                <w:tcPr>
                  <w:tcW w:w="471" w:type="pct"/>
                  <w:tcBorders>
                    <w:bottom w:val="single" w:sz="4" w:space="0" w:color="D9D9D9" w:themeColor="background1" w:themeShade="D9"/>
                  </w:tcBorders>
                </w:tcPr>
                <w:p w14:paraId="7954B86D" w14:textId="77777777" w:rsidR="00F05DC7" w:rsidRPr="00444517" w:rsidRDefault="00F05DC7" w:rsidP="00A3786D">
                  <w:pPr>
                    <w:pStyle w:val="TableBodyText"/>
                  </w:pPr>
                  <w:r w:rsidRPr="00444517">
                    <w:t>84</w:t>
                  </w:r>
                </w:p>
              </w:tc>
              <w:tc>
                <w:tcPr>
                  <w:tcW w:w="506" w:type="pct"/>
                  <w:tcBorders>
                    <w:bottom w:val="single" w:sz="4" w:space="0" w:color="D9D9D9" w:themeColor="background1" w:themeShade="D9"/>
                  </w:tcBorders>
                </w:tcPr>
                <w:p w14:paraId="7954B86E" w14:textId="77777777" w:rsidR="00F05DC7" w:rsidRPr="00444517" w:rsidRDefault="00F05DC7" w:rsidP="00A3786D">
                  <w:pPr>
                    <w:pStyle w:val="TableBodyText"/>
                  </w:pPr>
                  <w:r w:rsidRPr="00444517">
                    <w:t>133</w:t>
                  </w:r>
                </w:p>
              </w:tc>
              <w:tc>
                <w:tcPr>
                  <w:tcW w:w="506" w:type="pct"/>
                  <w:tcBorders>
                    <w:bottom w:val="single" w:sz="4" w:space="0" w:color="D9D9D9" w:themeColor="background1" w:themeShade="D9"/>
                  </w:tcBorders>
                </w:tcPr>
                <w:p w14:paraId="7954B86F" w14:textId="77777777" w:rsidR="00F05DC7" w:rsidRPr="00444517" w:rsidRDefault="00F05DC7" w:rsidP="00A3786D">
                  <w:pPr>
                    <w:pStyle w:val="TableBodyText"/>
                  </w:pPr>
                  <w:r w:rsidRPr="00444517">
                    <w:t>78</w:t>
                  </w:r>
                </w:p>
              </w:tc>
              <w:tc>
                <w:tcPr>
                  <w:tcW w:w="511" w:type="pct"/>
                  <w:tcBorders>
                    <w:bottom w:val="single" w:sz="4" w:space="0" w:color="D9D9D9" w:themeColor="background1" w:themeShade="D9"/>
                  </w:tcBorders>
                  <w:shd w:val="clear" w:color="auto" w:fill="auto"/>
                </w:tcPr>
                <w:p w14:paraId="7954B870" w14:textId="77777777" w:rsidR="00F05DC7" w:rsidRPr="00444517" w:rsidRDefault="00F05DC7" w:rsidP="00A3786D">
                  <w:pPr>
                    <w:pStyle w:val="TableBodyText"/>
                  </w:pPr>
                  <w:r w:rsidRPr="00444517">
                    <w:t>38</w:t>
                  </w:r>
                </w:p>
              </w:tc>
              <w:tc>
                <w:tcPr>
                  <w:tcW w:w="506" w:type="pct"/>
                  <w:tcBorders>
                    <w:bottom w:val="single" w:sz="4" w:space="0" w:color="D9D9D9" w:themeColor="background1" w:themeShade="D9"/>
                  </w:tcBorders>
                </w:tcPr>
                <w:p w14:paraId="7954B871" w14:textId="77777777" w:rsidR="00F05DC7" w:rsidRPr="00444517" w:rsidRDefault="00F05DC7" w:rsidP="00A3786D">
                  <w:pPr>
                    <w:pStyle w:val="TableBodyText"/>
                  </w:pPr>
                  <w:r w:rsidRPr="00444517">
                    <w:t>52</w:t>
                  </w:r>
                </w:p>
              </w:tc>
            </w:tr>
            <w:tr w:rsidR="00F05DC7" w14:paraId="7954B87C" w14:textId="77777777" w:rsidTr="00A3786D">
              <w:tc>
                <w:tcPr>
                  <w:tcW w:w="998" w:type="pct"/>
                  <w:tcBorders>
                    <w:top w:val="single" w:sz="4" w:space="0" w:color="D9D9D9" w:themeColor="background1" w:themeShade="D9"/>
                    <w:bottom w:val="single" w:sz="6" w:space="0" w:color="BFBFBF"/>
                  </w:tcBorders>
                  <w:shd w:val="clear" w:color="auto" w:fill="auto"/>
                </w:tcPr>
                <w:p w14:paraId="7954B873" w14:textId="77777777" w:rsidR="00F05DC7" w:rsidRPr="00FB7DD4" w:rsidRDefault="00F05DC7" w:rsidP="00A3786D">
                  <w:pPr>
                    <w:pStyle w:val="TableBodyText"/>
                    <w:jc w:val="left"/>
                  </w:pPr>
                  <w:r w:rsidRPr="004F6C34">
                    <w:rPr>
                      <w:b/>
                    </w:rPr>
                    <w:t>Total royalties</w:t>
                  </w:r>
                  <w:r w:rsidRPr="00EE4464">
                    <w:rPr>
                      <w:rStyle w:val="NoteLabel"/>
                    </w:rPr>
                    <w:t>c</w:t>
                  </w:r>
                </w:p>
              </w:tc>
              <w:tc>
                <w:tcPr>
                  <w:tcW w:w="500" w:type="pct"/>
                  <w:tcBorders>
                    <w:top w:val="single" w:sz="4" w:space="0" w:color="D9D9D9" w:themeColor="background1" w:themeShade="D9"/>
                    <w:bottom w:val="single" w:sz="6" w:space="0" w:color="BFBFBF"/>
                  </w:tcBorders>
                  <w:vAlign w:val="bottom"/>
                </w:tcPr>
                <w:p w14:paraId="7954B874" w14:textId="77777777" w:rsidR="00F05DC7" w:rsidRPr="00444517" w:rsidRDefault="00F05DC7" w:rsidP="00A3786D">
                  <w:pPr>
                    <w:pStyle w:val="TableBodyText"/>
                    <w:rPr>
                      <w:b/>
                    </w:rPr>
                  </w:pPr>
                  <w:r w:rsidRPr="00444517">
                    <w:rPr>
                      <w:b/>
                    </w:rPr>
                    <w:t>1</w:t>
                  </w:r>
                  <w:r>
                    <w:rPr>
                      <w:b/>
                    </w:rPr>
                    <w:t> </w:t>
                  </w:r>
                  <w:r w:rsidRPr="00444517">
                    <w:rPr>
                      <w:b/>
                    </w:rPr>
                    <w:t>846</w:t>
                  </w:r>
                </w:p>
              </w:tc>
              <w:tc>
                <w:tcPr>
                  <w:tcW w:w="501" w:type="pct"/>
                  <w:tcBorders>
                    <w:top w:val="single" w:sz="4" w:space="0" w:color="D9D9D9" w:themeColor="background1" w:themeShade="D9"/>
                    <w:bottom w:val="single" w:sz="6" w:space="0" w:color="BFBFBF"/>
                  </w:tcBorders>
                  <w:shd w:val="clear" w:color="auto" w:fill="auto"/>
                  <w:vAlign w:val="bottom"/>
                </w:tcPr>
                <w:p w14:paraId="7954B875" w14:textId="77777777" w:rsidR="00F05DC7" w:rsidRPr="00444517" w:rsidRDefault="00F05DC7" w:rsidP="00A3786D">
                  <w:pPr>
                    <w:pStyle w:val="TableBodyText"/>
                    <w:rPr>
                      <w:b/>
                    </w:rPr>
                  </w:pPr>
                  <w:r w:rsidRPr="00444517">
                    <w:rPr>
                      <w:b/>
                    </w:rPr>
                    <w:t>3</w:t>
                  </w:r>
                  <w:r>
                    <w:rPr>
                      <w:b/>
                    </w:rPr>
                    <w:t> </w:t>
                  </w:r>
                  <w:r w:rsidRPr="00444517">
                    <w:rPr>
                      <w:b/>
                    </w:rPr>
                    <w:t>687</w:t>
                  </w:r>
                </w:p>
              </w:tc>
              <w:tc>
                <w:tcPr>
                  <w:tcW w:w="501" w:type="pct"/>
                  <w:tcBorders>
                    <w:top w:val="single" w:sz="4" w:space="0" w:color="D9D9D9" w:themeColor="background1" w:themeShade="D9"/>
                    <w:bottom w:val="single" w:sz="6" w:space="0" w:color="BFBFBF"/>
                  </w:tcBorders>
                  <w:vAlign w:val="bottom"/>
                </w:tcPr>
                <w:p w14:paraId="7954B876" w14:textId="77777777" w:rsidR="00F05DC7" w:rsidRPr="00444517" w:rsidRDefault="00F05DC7" w:rsidP="00A3786D">
                  <w:pPr>
                    <w:pStyle w:val="TableBodyText"/>
                    <w:rPr>
                      <w:b/>
                    </w:rPr>
                  </w:pPr>
                  <w:r w:rsidRPr="00444517">
                    <w:rPr>
                      <w:b/>
                    </w:rPr>
                    <w:t>3</w:t>
                  </w:r>
                  <w:r>
                    <w:rPr>
                      <w:b/>
                    </w:rPr>
                    <w:t> </w:t>
                  </w:r>
                  <w:r w:rsidRPr="00444517">
                    <w:rPr>
                      <w:b/>
                    </w:rPr>
                    <w:t>813</w:t>
                  </w:r>
                </w:p>
              </w:tc>
              <w:tc>
                <w:tcPr>
                  <w:tcW w:w="471" w:type="pct"/>
                  <w:tcBorders>
                    <w:top w:val="single" w:sz="4" w:space="0" w:color="D9D9D9" w:themeColor="background1" w:themeShade="D9"/>
                    <w:bottom w:val="single" w:sz="6" w:space="0" w:color="BFBFBF"/>
                  </w:tcBorders>
                  <w:vAlign w:val="bottom"/>
                </w:tcPr>
                <w:p w14:paraId="7954B877" w14:textId="77777777" w:rsidR="00F05DC7" w:rsidRPr="00444517" w:rsidRDefault="00F05DC7" w:rsidP="00A3786D">
                  <w:pPr>
                    <w:pStyle w:val="TableBodyText"/>
                    <w:rPr>
                      <w:b/>
                    </w:rPr>
                  </w:pPr>
                  <w:r w:rsidRPr="00444517">
                    <w:rPr>
                      <w:b/>
                    </w:rPr>
                    <w:t>3</w:t>
                  </w:r>
                  <w:r>
                    <w:rPr>
                      <w:b/>
                    </w:rPr>
                    <w:t> </w:t>
                  </w:r>
                  <w:r w:rsidRPr="00444517">
                    <w:rPr>
                      <w:b/>
                    </w:rPr>
                    <w:t>878</w:t>
                  </w:r>
                </w:p>
              </w:tc>
              <w:tc>
                <w:tcPr>
                  <w:tcW w:w="506" w:type="pct"/>
                  <w:tcBorders>
                    <w:top w:val="single" w:sz="4" w:space="0" w:color="D9D9D9" w:themeColor="background1" w:themeShade="D9"/>
                    <w:bottom w:val="single" w:sz="6" w:space="0" w:color="BFBFBF"/>
                  </w:tcBorders>
                  <w:vAlign w:val="bottom"/>
                </w:tcPr>
                <w:p w14:paraId="7954B878" w14:textId="77777777" w:rsidR="00F05DC7" w:rsidRPr="00444517" w:rsidRDefault="00F05DC7" w:rsidP="00A3786D">
                  <w:pPr>
                    <w:pStyle w:val="TableBodyText"/>
                    <w:rPr>
                      <w:b/>
                    </w:rPr>
                  </w:pPr>
                  <w:r w:rsidRPr="00444517">
                    <w:rPr>
                      <w:b/>
                    </w:rPr>
                    <w:t>5</w:t>
                  </w:r>
                  <w:r>
                    <w:rPr>
                      <w:b/>
                    </w:rPr>
                    <w:t> </w:t>
                  </w:r>
                  <w:r w:rsidRPr="00444517">
                    <w:rPr>
                      <w:b/>
                    </w:rPr>
                    <w:t>516</w:t>
                  </w:r>
                </w:p>
              </w:tc>
              <w:tc>
                <w:tcPr>
                  <w:tcW w:w="506" w:type="pct"/>
                  <w:tcBorders>
                    <w:top w:val="single" w:sz="4" w:space="0" w:color="D9D9D9" w:themeColor="background1" w:themeShade="D9"/>
                    <w:bottom w:val="single" w:sz="6" w:space="0" w:color="BFBFBF"/>
                  </w:tcBorders>
                  <w:vAlign w:val="bottom"/>
                </w:tcPr>
                <w:p w14:paraId="7954B879" w14:textId="77777777" w:rsidR="00F05DC7" w:rsidRPr="00444517" w:rsidRDefault="00F05DC7" w:rsidP="00A3786D">
                  <w:pPr>
                    <w:pStyle w:val="TableBodyText"/>
                    <w:rPr>
                      <w:b/>
                    </w:rPr>
                  </w:pPr>
                  <w:r w:rsidRPr="00444517">
                    <w:rPr>
                      <w:b/>
                    </w:rPr>
                    <w:t>4</w:t>
                  </w:r>
                  <w:r>
                    <w:rPr>
                      <w:b/>
                    </w:rPr>
                    <w:t> </w:t>
                  </w:r>
                  <w:r w:rsidRPr="00444517">
                    <w:rPr>
                      <w:b/>
                    </w:rPr>
                    <w:t>050</w:t>
                  </w:r>
                </w:p>
              </w:tc>
              <w:tc>
                <w:tcPr>
                  <w:tcW w:w="511" w:type="pct"/>
                  <w:tcBorders>
                    <w:top w:val="single" w:sz="4" w:space="0" w:color="D9D9D9" w:themeColor="background1" w:themeShade="D9"/>
                    <w:bottom w:val="single" w:sz="6" w:space="0" w:color="BFBFBF"/>
                  </w:tcBorders>
                  <w:shd w:val="clear" w:color="auto" w:fill="auto"/>
                  <w:vAlign w:val="bottom"/>
                </w:tcPr>
                <w:p w14:paraId="7954B87A" w14:textId="77777777" w:rsidR="00F05DC7" w:rsidRPr="00444517" w:rsidRDefault="00F05DC7" w:rsidP="00A3786D">
                  <w:pPr>
                    <w:pStyle w:val="TableBodyText"/>
                    <w:rPr>
                      <w:b/>
                    </w:rPr>
                  </w:pPr>
                  <w:r w:rsidRPr="00444517">
                    <w:rPr>
                      <w:b/>
                    </w:rPr>
                    <w:t>3</w:t>
                  </w:r>
                  <w:r>
                    <w:rPr>
                      <w:b/>
                    </w:rPr>
                    <w:t> </w:t>
                  </w:r>
                  <w:r w:rsidRPr="00444517">
                    <w:rPr>
                      <w:b/>
                    </w:rPr>
                    <w:t>597</w:t>
                  </w:r>
                </w:p>
              </w:tc>
              <w:tc>
                <w:tcPr>
                  <w:tcW w:w="506" w:type="pct"/>
                  <w:tcBorders>
                    <w:top w:val="single" w:sz="4" w:space="0" w:color="D9D9D9" w:themeColor="background1" w:themeShade="D9"/>
                    <w:bottom w:val="single" w:sz="6" w:space="0" w:color="BFBFBF"/>
                  </w:tcBorders>
                  <w:vAlign w:val="bottom"/>
                </w:tcPr>
                <w:p w14:paraId="7954B87B" w14:textId="77777777" w:rsidR="00F05DC7" w:rsidRPr="00444517" w:rsidRDefault="00F05DC7" w:rsidP="00A3786D">
                  <w:pPr>
                    <w:pStyle w:val="TableBodyText"/>
                    <w:rPr>
                      <w:b/>
                    </w:rPr>
                  </w:pPr>
                  <w:r w:rsidRPr="00444517">
                    <w:rPr>
                      <w:b/>
                    </w:rPr>
                    <w:t>4</w:t>
                  </w:r>
                  <w:r>
                    <w:rPr>
                      <w:b/>
                    </w:rPr>
                    <w:t> </w:t>
                  </w:r>
                  <w:r w:rsidRPr="00444517">
                    <w:rPr>
                      <w:b/>
                    </w:rPr>
                    <w:t>689</w:t>
                  </w:r>
                </w:p>
              </w:tc>
            </w:tr>
          </w:tbl>
          <w:p w14:paraId="7954B87D" w14:textId="77777777" w:rsidR="00F05DC7" w:rsidRDefault="00F05DC7" w:rsidP="00A3786D">
            <w:pPr>
              <w:pStyle w:val="Box"/>
            </w:pPr>
          </w:p>
        </w:tc>
      </w:tr>
      <w:tr w:rsidR="00F05DC7" w14:paraId="7954B880" w14:textId="77777777" w:rsidTr="00A3786D">
        <w:tc>
          <w:tcPr>
            <w:tcW w:w="5000" w:type="pct"/>
            <w:tcBorders>
              <w:top w:val="nil"/>
              <w:left w:val="nil"/>
              <w:bottom w:val="nil"/>
              <w:right w:val="nil"/>
            </w:tcBorders>
            <w:shd w:val="clear" w:color="auto" w:fill="auto"/>
          </w:tcPr>
          <w:p w14:paraId="7954B87F" w14:textId="77777777" w:rsidR="00F05DC7" w:rsidRDefault="00F05DC7" w:rsidP="00A3786D">
            <w:pPr>
              <w:pStyle w:val="Note"/>
              <w:rPr>
                <w:i/>
              </w:rPr>
            </w:pPr>
            <w:r w:rsidRPr="008E77FE">
              <w:rPr>
                <w:rStyle w:val="NoteLabel"/>
              </w:rPr>
              <w:t>a</w:t>
            </w:r>
            <w:r>
              <w:t xml:space="preserve"> Imputed rate. </w:t>
            </w:r>
            <w:r>
              <w:rPr>
                <w:rStyle w:val="NoteLabel"/>
              </w:rPr>
              <w:t>b</w:t>
            </w:r>
            <w:r>
              <w:t xml:space="preserve"> By assumption. </w:t>
            </w:r>
            <w:r>
              <w:rPr>
                <w:rStyle w:val="NoteLabel"/>
              </w:rPr>
              <w:t xml:space="preserve">c </w:t>
            </w:r>
            <w:r>
              <w:t>May not sum due to rounding.</w:t>
            </w:r>
          </w:p>
        </w:tc>
      </w:tr>
      <w:tr w:rsidR="00F05DC7" w14:paraId="7954B882" w14:textId="77777777" w:rsidTr="00A3786D">
        <w:tc>
          <w:tcPr>
            <w:tcW w:w="5000" w:type="pct"/>
            <w:tcBorders>
              <w:top w:val="nil"/>
              <w:left w:val="nil"/>
              <w:bottom w:val="nil"/>
              <w:right w:val="nil"/>
            </w:tcBorders>
            <w:shd w:val="clear" w:color="auto" w:fill="auto"/>
          </w:tcPr>
          <w:p w14:paraId="7954B881"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884" w14:textId="77777777" w:rsidTr="00A3786D">
        <w:tc>
          <w:tcPr>
            <w:tcW w:w="5000" w:type="pct"/>
            <w:tcBorders>
              <w:top w:val="nil"/>
              <w:left w:val="nil"/>
              <w:bottom w:val="single" w:sz="6" w:space="0" w:color="78A22F"/>
              <w:right w:val="nil"/>
            </w:tcBorders>
            <w:shd w:val="clear" w:color="auto" w:fill="auto"/>
          </w:tcPr>
          <w:p w14:paraId="7954B883" w14:textId="77777777" w:rsidR="00F05DC7" w:rsidRDefault="00F05DC7" w:rsidP="00A3786D">
            <w:pPr>
              <w:pStyle w:val="Box"/>
              <w:spacing w:before="0" w:line="120" w:lineRule="exact"/>
            </w:pPr>
          </w:p>
        </w:tc>
      </w:tr>
      <w:tr w:rsidR="00F05DC7" w:rsidRPr="000863A5" w14:paraId="7954B886" w14:textId="77777777" w:rsidTr="00A3786D">
        <w:tc>
          <w:tcPr>
            <w:tcW w:w="5000" w:type="pct"/>
            <w:tcBorders>
              <w:top w:val="single" w:sz="6" w:space="0" w:color="78A22F"/>
              <w:left w:val="nil"/>
              <w:bottom w:val="nil"/>
              <w:right w:val="nil"/>
            </w:tcBorders>
          </w:tcPr>
          <w:p w14:paraId="7954B885" w14:textId="77777777" w:rsidR="00F05DC7" w:rsidRPr="00626D32" w:rsidRDefault="00F05DC7" w:rsidP="00A3786D">
            <w:pPr>
              <w:pStyle w:val="BoxSpaceBelow"/>
            </w:pPr>
          </w:p>
        </w:tc>
      </w:tr>
    </w:tbl>
    <w:p w14:paraId="7954B887" w14:textId="77777777" w:rsidR="00F05DC7" w:rsidRDefault="00F05DC7" w:rsidP="00A3786D">
      <w:pPr>
        <w:pStyle w:val="Heading4"/>
      </w:pPr>
      <w:r>
        <w:t>Calculations</w:t>
      </w:r>
    </w:p>
    <w:p w14:paraId="7954B888" w14:textId="77777777" w:rsidR="00F05DC7" w:rsidRDefault="00F05DC7" w:rsidP="00A3786D">
      <w:pPr>
        <w:pStyle w:val="BodyText"/>
      </w:pPr>
      <w:r>
        <w:t>The dollar value of royalties collected by Western Australia due to the change in its iron ore royalty rate was calculated by subtracting Western Australia’s assumed average iron ore royalty rate in 2010 (5.099 per cent) from the imputed rate for that year (table C.11) and multiplying this number by Western Australia’s iron ore revenue base. A discount factor (the proportion of additional revenues due to a royalty rate change that is to be subject to equalisation) was set such that exactly 50 per cent of this revenue would be retained. This factor is equal to the proportion of revenue to be retained (in this case 0.50) divided by the difference between Western Australia’s share of the iron ore base and its population share:</w:t>
      </w:r>
    </w:p>
    <w:p w14:paraId="7954B889" w14:textId="77777777" w:rsidR="00F05DC7" w:rsidRDefault="001C7E22" w:rsidP="00A3786D">
      <w:pPr>
        <w:pStyle w:val="BodyText"/>
      </w:pPr>
      <m:oMathPara>
        <m:oMath>
          <m:sSub>
            <m:sSubPr>
              <m:ctrlPr>
                <w:rPr>
                  <w:rFonts w:ascii="Cambria Math" w:hAnsi="Cambria Math"/>
                  <w:i/>
                </w:rPr>
              </m:ctrlPr>
            </m:sSubPr>
            <m:e>
              <m:r>
                <w:rPr>
                  <w:rFonts w:ascii="Cambria Math" w:hAnsi="Cambria Math"/>
                </w:rPr>
                <m:t>δ</m:t>
              </m:r>
            </m:e>
            <m:sub>
              <m:r>
                <w:rPr>
                  <w:rFonts w:ascii="Cambria Math" w:hAnsi="Cambria Math"/>
                </w:rPr>
                <m:t>t</m:t>
              </m:r>
            </m:sub>
          </m:sSub>
          <m:r>
            <w:rPr>
              <w:rFonts w:ascii="Cambria Math" w:hAnsi="Cambria Math"/>
            </w:rPr>
            <m:t xml:space="preserve">= </m:t>
          </m:r>
          <m:f>
            <m:fPr>
              <m:ctrlPr>
                <w:rPr>
                  <w:rFonts w:ascii="Cambria Math" w:hAnsi="Cambria Math"/>
                  <w:i/>
                </w:rPr>
              </m:ctrlPr>
            </m:fPr>
            <m:num>
              <m:r>
                <w:rPr>
                  <w:rFonts w:ascii="Cambria Math" w:hAnsi="Cambria Math"/>
                </w:rPr>
                <m:t>0.5</m:t>
              </m:r>
            </m:num>
            <m:den>
              <m:sSub>
                <m:sSubPr>
                  <m:ctrlPr>
                    <w:rPr>
                      <w:rFonts w:ascii="Cambria Math" w:hAnsi="Cambria Math"/>
                      <w:i/>
                    </w:rPr>
                  </m:ctrlPr>
                </m:sSubPr>
                <m:e>
                  <m:r>
                    <w:rPr>
                      <w:rFonts w:ascii="Cambria Math" w:hAnsi="Cambria Math"/>
                    </w:rPr>
                    <m:t>base share</m:t>
                  </m:r>
                </m:e>
                <m:sub>
                  <m:r>
                    <w:rPr>
                      <w:rFonts w:ascii="Cambria Math" w:hAnsi="Cambria Math"/>
                    </w:rPr>
                    <m:t xml:space="preserve"> WA,t</m:t>
                  </m:r>
                </m:sub>
              </m:sSub>
              <m:r>
                <w:rPr>
                  <w:rFonts w:ascii="Cambria Math" w:hAnsi="Cambria Math"/>
                </w:rPr>
                <m:t>-</m:t>
              </m:r>
              <m:sSub>
                <m:sSubPr>
                  <m:ctrlPr>
                    <w:rPr>
                      <w:rFonts w:ascii="Cambria Math" w:hAnsi="Cambria Math"/>
                      <w:i/>
                    </w:rPr>
                  </m:ctrlPr>
                </m:sSubPr>
                <m:e>
                  <m:r>
                    <w:rPr>
                      <w:rFonts w:ascii="Cambria Math" w:hAnsi="Cambria Math"/>
                    </w:rPr>
                    <m:t>pop share</m:t>
                  </m:r>
                </m:e>
                <m:sub>
                  <m:r>
                    <w:rPr>
                      <w:rFonts w:ascii="Cambria Math" w:hAnsi="Cambria Math"/>
                    </w:rPr>
                    <m:t>WA, t</m:t>
                  </m:r>
                </m:sub>
              </m:sSub>
            </m:den>
          </m:f>
        </m:oMath>
      </m:oMathPara>
    </w:p>
    <w:p w14:paraId="7954B88A" w14:textId="77777777" w:rsidR="00F05DC7" w:rsidRDefault="00F05DC7" w:rsidP="00A3786D">
      <w:pPr>
        <w:pStyle w:val="BodyText"/>
      </w:pPr>
      <w:r>
        <w:t xml:space="preserve">Where </w:t>
      </w:r>
      <m:oMath>
        <m:sSub>
          <m:sSubPr>
            <m:ctrlPr>
              <w:rPr>
                <w:rFonts w:ascii="Cambria Math" w:hAnsi="Cambria Math"/>
                <w:i/>
              </w:rPr>
            </m:ctrlPr>
          </m:sSubPr>
          <m:e>
            <m:r>
              <w:rPr>
                <w:rFonts w:ascii="Cambria Math" w:hAnsi="Cambria Math"/>
              </w:rPr>
              <m:t>δ</m:t>
            </m:r>
          </m:e>
          <m:sub>
            <m:r>
              <w:rPr>
                <w:rFonts w:ascii="Cambria Math" w:hAnsi="Cambria Math"/>
              </w:rPr>
              <m:t>t</m:t>
            </m:r>
          </m:sub>
        </m:sSub>
      </m:oMath>
      <w:r>
        <w:t xml:space="preserve"> is the discount factor to be applied to the additional royalties that resulted from the rate increase in assessment year </w:t>
      </w:r>
      <w:r>
        <w:rPr>
          <w:i/>
        </w:rPr>
        <w:t>t</w:t>
      </w:r>
      <w:r>
        <w:t>. The discount factor changed slightly each year as Western Australia’s base share and population share varied. Total royalties across all States that were subject to equalisation in each assessment year was therefore:</w:t>
      </w:r>
    </w:p>
    <w:p w14:paraId="7954B88B" w14:textId="1C1E645C" w:rsidR="00F05DC7" w:rsidRDefault="001C7E22" w:rsidP="00A3786D">
      <w:pPr>
        <w:pStyle w:val="BodyText"/>
      </w:pPr>
      <m:oMathPara>
        <m:oMath>
          <m:sSub>
            <m:sSubPr>
              <m:ctrlPr>
                <w:rPr>
                  <w:rFonts w:ascii="Cambria Math" w:hAnsi="Cambria Math"/>
                  <w:i/>
                </w:rPr>
              </m:ctrlPr>
            </m:sSubPr>
            <m:e>
              <m:r>
                <w:rPr>
                  <w:rFonts w:ascii="Cambria Math" w:hAnsi="Cambria Math"/>
                </w:rPr>
                <m:t>Total royalties</m:t>
              </m:r>
            </m:e>
            <m:sub>
              <m:r>
                <w:rPr>
                  <w:rFonts w:ascii="Cambria Math" w:hAnsi="Cambria Math"/>
                </w:rPr>
                <m:t>t</m:t>
              </m:r>
            </m:sub>
          </m:sSub>
          <m:r>
            <w:rPr>
              <w:rFonts w:ascii="Cambria Math" w:hAnsi="Cambria Math"/>
            </w:rPr>
            <m:t xml:space="preserve"> =0.05099</m:t>
          </m:r>
          <m:nary>
            <m:naryPr>
              <m:chr m:val="∑"/>
              <m:limLoc m:val="undOvr"/>
              <m:ctrlPr>
                <w:rPr>
                  <w:rFonts w:ascii="Cambria Math" w:hAnsi="Cambria Math"/>
                  <w:i/>
                </w:rPr>
              </m:ctrlPr>
            </m:naryPr>
            <m:sub>
              <m:r>
                <w:rPr>
                  <w:rFonts w:ascii="Cambria Math" w:hAnsi="Cambria Math"/>
                </w:rPr>
                <m:t>i=1</m:t>
              </m:r>
            </m:sub>
            <m:sup>
              <m:r>
                <w:rPr>
                  <w:rFonts w:ascii="Cambria Math" w:hAnsi="Cambria Math"/>
                </w:rPr>
                <m:t>8</m:t>
              </m:r>
            </m:sup>
            <m:e>
              <m:sSub>
                <m:sSubPr>
                  <m:ctrlPr>
                    <w:rPr>
                      <w:rFonts w:ascii="Cambria Math" w:hAnsi="Cambria Math"/>
                      <w:i/>
                    </w:rPr>
                  </m:ctrlPr>
                </m:sSubPr>
                <m:e>
                  <m:r>
                    <w:rPr>
                      <w:rFonts w:ascii="Cambria Math" w:hAnsi="Cambria Math"/>
                    </w:rPr>
                    <m:t>B</m:t>
                  </m:r>
                </m:e>
                <m:sub>
                  <m:r>
                    <w:rPr>
                      <w:rFonts w:ascii="Cambria Math" w:hAnsi="Cambria Math"/>
                    </w:rPr>
                    <m:t>i,t</m:t>
                  </m:r>
                </m:sub>
              </m:sSub>
            </m:e>
          </m:nary>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t</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WA,t</m:t>
                  </m:r>
                </m:sub>
              </m:sSub>
              <m:r>
                <w:rPr>
                  <w:rFonts w:ascii="Cambria Math" w:hAnsi="Cambria Math"/>
                </w:rPr>
                <m:t>-0.05099</m:t>
              </m:r>
            </m:e>
          </m:d>
          <m:sSub>
            <m:sSubPr>
              <m:ctrlPr>
                <w:rPr>
                  <w:rFonts w:ascii="Cambria Math" w:hAnsi="Cambria Math"/>
                  <w:i/>
                </w:rPr>
              </m:ctrlPr>
            </m:sSubPr>
            <m:e>
              <m:r>
                <w:rPr>
                  <w:rFonts w:ascii="Cambria Math" w:hAnsi="Cambria Math"/>
                </w:rPr>
                <m:t>B</m:t>
              </m:r>
            </m:e>
            <m:sub>
              <m:r>
                <w:rPr>
                  <w:rFonts w:ascii="Cambria Math" w:hAnsi="Cambria Math"/>
                </w:rPr>
                <m:t>WA,t</m:t>
              </m:r>
            </m:sub>
          </m:sSub>
        </m:oMath>
      </m:oMathPara>
    </w:p>
    <w:p w14:paraId="7954B88C" w14:textId="77777777" w:rsidR="00F05DC7" w:rsidRDefault="00F05DC7" w:rsidP="00A3786D">
      <w:pPr>
        <w:pStyle w:val="BodyText"/>
      </w:pPr>
      <w:r>
        <w:t xml:space="preserve">Where </w:t>
      </w:r>
      <w:r>
        <w:rPr>
          <w:i/>
        </w:rPr>
        <w:t xml:space="preserve">t </w:t>
      </w:r>
      <w:r>
        <w:t xml:space="preserve">is the assessment year,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t xml:space="preserve"> is the base share of State </w:t>
      </w:r>
      <w:r>
        <w:rPr>
          <w:i/>
        </w:rPr>
        <w:t xml:space="preserve">i, </w:t>
      </w:r>
      <w:r>
        <w:t>and</w:t>
      </w:r>
      <w:r>
        <w:rPr>
          <w:i/>
        </w:rPr>
        <w:t xml:space="preserve"> </w:t>
      </w:r>
      <m:oMath>
        <m:sSub>
          <m:sSubPr>
            <m:ctrlPr>
              <w:rPr>
                <w:rFonts w:ascii="Cambria Math" w:hAnsi="Cambria Math"/>
                <w:i/>
              </w:rPr>
            </m:ctrlPr>
          </m:sSubPr>
          <m:e>
            <m:r>
              <w:rPr>
                <w:rFonts w:ascii="Cambria Math" w:hAnsi="Cambria Math"/>
              </w:rPr>
              <m:t>r</m:t>
            </m:r>
          </m:e>
          <m:sub>
            <m:r>
              <w:rPr>
                <w:rFonts w:ascii="Cambria Math" w:hAnsi="Cambria Math"/>
              </w:rPr>
              <m:t>WA</m:t>
            </m:r>
          </m:sub>
        </m:sSub>
      </m:oMath>
      <w:r>
        <w:t xml:space="preserve"> is the imputed royalty rate for Western Australia. A national average royalty rate for iron ore was then calculated using these discounted royalties, and applied to each State’s revenue base to calculate assessed iron ore revenues. </w:t>
      </w:r>
    </w:p>
    <w:p w14:paraId="7954B88D" w14:textId="77777777" w:rsidR="00F05DC7" w:rsidRDefault="00F05DC7" w:rsidP="00A3786D">
      <w:pPr>
        <w:pStyle w:val="BodyText"/>
      </w:pPr>
      <w:r>
        <w:lastRenderedPageBreak/>
        <w:t xml:space="preserve">Calculating the total GST requirement for each assessment year required two steps. First, the total GST requirement in each State net of the original mining assessment was calculated by subtracting each State’s assessed difference for mining revenue from their GST requirement in that assessment year. The new mining assessed difference based on the mineral-by-mineral assessment and discounted royalties was then added back in. This is equivalent to holding all other assessments constant over the period, with only the mining revenue assessment changing. </w:t>
      </w:r>
    </w:p>
    <w:p w14:paraId="7954B88E" w14:textId="77777777" w:rsidR="00F05DC7" w:rsidRDefault="00F05DC7" w:rsidP="00A3786D">
      <w:pPr>
        <w:pStyle w:val="Heading4"/>
      </w:pPr>
      <w:r>
        <w:t>GST impact</w:t>
      </w:r>
    </w:p>
    <w:p w14:paraId="7954B88F" w14:textId="77777777" w:rsidR="00F05DC7" w:rsidRDefault="00F05DC7" w:rsidP="00A3786D">
      <w:pPr>
        <w:pStyle w:val="BodyText"/>
      </w:pPr>
      <w:r>
        <w:t xml:space="preserve">Table C.12 shows the amount of additional royalties resulting from a rate increase retained by Western Australia with and without the discount factor applied. </w:t>
      </w:r>
    </w:p>
    <w:p w14:paraId="7954B890"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893" w14:textId="77777777" w:rsidTr="004F6C34">
        <w:trPr>
          <w:tblHeader/>
        </w:trPr>
        <w:tc>
          <w:tcPr>
            <w:tcW w:w="5000" w:type="pct"/>
            <w:tcBorders>
              <w:top w:val="single" w:sz="6" w:space="0" w:color="78A22F"/>
              <w:left w:val="nil"/>
              <w:bottom w:val="nil"/>
              <w:right w:val="nil"/>
            </w:tcBorders>
            <w:shd w:val="clear" w:color="auto" w:fill="auto"/>
          </w:tcPr>
          <w:p w14:paraId="7954B891" w14:textId="65643E7E" w:rsidR="00F05DC7" w:rsidRDefault="00F05DC7" w:rsidP="00A3786D">
            <w:pPr>
              <w:pStyle w:val="TableTitle"/>
            </w:pPr>
            <w:r>
              <w:rPr>
                <w:b w:val="0"/>
              </w:rPr>
              <w:t>Table C.12</w:t>
            </w:r>
            <w:r>
              <w:tab/>
              <w:t>Discount factor and additional iron ore royalties retained</w:t>
            </w:r>
          </w:p>
          <w:p w14:paraId="7954B892" w14:textId="77777777" w:rsidR="00F05DC7" w:rsidRPr="00784A05" w:rsidRDefault="00F05DC7" w:rsidP="00A3786D">
            <w:pPr>
              <w:pStyle w:val="TableBodyText"/>
              <w:spacing w:after="80" w:line="200" w:lineRule="exact"/>
              <w:ind w:left="1474" w:right="0"/>
              <w:jc w:val="left"/>
            </w:pPr>
            <w:r>
              <w:t>Applied to additional Western Australian iron ore royalties due to a rate change</w:t>
            </w:r>
          </w:p>
        </w:tc>
      </w:tr>
      <w:tr w:rsidR="00F05DC7" w14:paraId="7954B8BC" w14:textId="77777777" w:rsidTr="004F6C34">
        <w:tc>
          <w:tcPr>
            <w:tcW w:w="5000" w:type="pct"/>
            <w:tcBorders>
              <w:top w:val="nil"/>
              <w:left w:val="nil"/>
              <w:bottom w:val="nil"/>
              <w:right w:val="nil"/>
            </w:tcBorders>
            <w:shd w:val="clear" w:color="auto" w:fill="auto"/>
          </w:tcPr>
          <w:tbl>
            <w:tblPr>
              <w:tblW w:w="8508" w:type="dxa"/>
              <w:tblCellMar>
                <w:top w:w="28" w:type="dxa"/>
                <w:left w:w="0" w:type="dxa"/>
                <w:right w:w="0" w:type="dxa"/>
              </w:tblCellMar>
              <w:tblLook w:val="0000" w:firstRow="0" w:lastRow="0" w:firstColumn="0" w:lastColumn="0" w:noHBand="0" w:noVBand="0"/>
            </w:tblPr>
            <w:tblGrid>
              <w:gridCol w:w="2306"/>
              <w:gridCol w:w="885"/>
              <w:gridCol w:w="885"/>
              <w:gridCol w:w="887"/>
              <w:gridCol w:w="885"/>
              <w:gridCol w:w="885"/>
              <w:gridCol w:w="888"/>
              <w:gridCol w:w="887"/>
            </w:tblGrid>
            <w:tr w:rsidR="00F05DC7" w14:paraId="7954B89C" w14:textId="77777777" w:rsidTr="00A3786D">
              <w:trPr>
                <w:trHeight w:val="380"/>
                <w:tblHeader/>
              </w:trPr>
              <w:tc>
                <w:tcPr>
                  <w:tcW w:w="1356" w:type="pct"/>
                  <w:tcBorders>
                    <w:top w:val="single" w:sz="6" w:space="0" w:color="BFBFBF"/>
                    <w:bottom w:val="single" w:sz="6" w:space="0" w:color="BFBFBF"/>
                  </w:tcBorders>
                  <w:shd w:val="clear" w:color="auto" w:fill="auto"/>
                  <w:tcMar>
                    <w:top w:w="28" w:type="dxa"/>
                  </w:tcMar>
                </w:tcPr>
                <w:p w14:paraId="7954B894" w14:textId="77777777" w:rsidR="00F05DC7" w:rsidRDefault="00F05DC7" w:rsidP="00A3786D">
                  <w:pPr>
                    <w:pStyle w:val="TableColumnHeading"/>
                    <w:jc w:val="left"/>
                  </w:pPr>
                </w:p>
              </w:tc>
              <w:tc>
                <w:tcPr>
                  <w:tcW w:w="520" w:type="pct"/>
                  <w:tcBorders>
                    <w:top w:val="single" w:sz="6" w:space="0" w:color="BFBFBF"/>
                    <w:bottom w:val="single" w:sz="6" w:space="0" w:color="BFBFBF"/>
                  </w:tcBorders>
                </w:tcPr>
                <w:p w14:paraId="7954B895" w14:textId="77777777" w:rsidR="00F05DC7" w:rsidRDefault="00F05DC7" w:rsidP="00A3786D">
                  <w:pPr>
                    <w:pStyle w:val="TableColumnHeading"/>
                  </w:pPr>
                  <w:r>
                    <w:t>2010-11</w:t>
                  </w:r>
                </w:p>
              </w:tc>
              <w:tc>
                <w:tcPr>
                  <w:tcW w:w="520" w:type="pct"/>
                  <w:tcBorders>
                    <w:top w:val="single" w:sz="6" w:space="0" w:color="BFBFBF"/>
                    <w:bottom w:val="single" w:sz="6" w:space="0" w:color="BFBFBF"/>
                  </w:tcBorders>
                </w:tcPr>
                <w:p w14:paraId="7954B896" w14:textId="77777777" w:rsidR="00F05DC7" w:rsidRDefault="00F05DC7" w:rsidP="00A3786D">
                  <w:pPr>
                    <w:pStyle w:val="TableColumnHeading"/>
                  </w:pPr>
                  <w:r>
                    <w:t>2011-12</w:t>
                  </w:r>
                </w:p>
              </w:tc>
              <w:tc>
                <w:tcPr>
                  <w:tcW w:w="521" w:type="pct"/>
                  <w:tcBorders>
                    <w:top w:val="single" w:sz="6" w:space="0" w:color="BFBFBF"/>
                    <w:bottom w:val="single" w:sz="6" w:space="0" w:color="BFBFBF"/>
                  </w:tcBorders>
                  <w:shd w:val="clear" w:color="auto" w:fill="auto"/>
                  <w:tcMar>
                    <w:top w:w="28" w:type="dxa"/>
                  </w:tcMar>
                </w:tcPr>
                <w:p w14:paraId="7954B897" w14:textId="77777777" w:rsidR="00F05DC7" w:rsidRDefault="00F05DC7" w:rsidP="00A3786D">
                  <w:pPr>
                    <w:pStyle w:val="TableColumnHeading"/>
                  </w:pPr>
                  <w:r>
                    <w:t>2012-13</w:t>
                  </w:r>
                </w:p>
              </w:tc>
              <w:tc>
                <w:tcPr>
                  <w:tcW w:w="520" w:type="pct"/>
                  <w:tcBorders>
                    <w:top w:val="single" w:sz="6" w:space="0" w:color="BFBFBF"/>
                    <w:bottom w:val="single" w:sz="6" w:space="0" w:color="BFBFBF"/>
                  </w:tcBorders>
                  <w:shd w:val="clear" w:color="auto" w:fill="auto"/>
                  <w:tcMar>
                    <w:top w:w="28" w:type="dxa"/>
                  </w:tcMar>
                </w:tcPr>
                <w:p w14:paraId="7954B898" w14:textId="77777777" w:rsidR="00F05DC7" w:rsidRDefault="00F05DC7" w:rsidP="00A3786D">
                  <w:pPr>
                    <w:pStyle w:val="TableColumnHeading"/>
                    <w:ind w:right="28"/>
                  </w:pPr>
                  <w:r>
                    <w:t>2013-14</w:t>
                  </w:r>
                </w:p>
              </w:tc>
              <w:tc>
                <w:tcPr>
                  <w:tcW w:w="520" w:type="pct"/>
                  <w:tcBorders>
                    <w:top w:val="single" w:sz="6" w:space="0" w:color="BFBFBF"/>
                    <w:bottom w:val="single" w:sz="6" w:space="0" w:color="BFBFBF"/>
                  </w:tcBorders>
                </w:tcPr>
                <w:p w14:paraId="7954B899" w14:textId="77777777" w:rsidR="00F05DC7" w:rsidRDefault="00F05DC7" w:rsidP="00A3786D">
                  <w:pPr>
                    <w:pStyle w:val="TableColumnHeading"/>
                    <w:ind w:right="28"/>
                  </w:pPr>
                  <w:r>
                    <w:t>2014-15</w:t>
                  </w:r>
                </w:p>
              </w:tc>
              <w:tc>
                <w:tcPr>
                  <w:tcW w:w="522" w:type="pct"/>
                  <w:tcBorders>
                    <w:top w:val="single" w:sz="6" w:space="0" w:color="BFBFBF"/>
                    <w:bottom w:val="single" w:sz="6" w:space="0" w:color="BFBFBF"/>
                  </w:tcBorders>
                </w:tcPr>
                <w:p w14:paraId="7954B89A" w14:textId="77777777" w:rsidR="00F05DC7" w:rsidRDefault="00F05DC7" w:rsidP="00A3786D">
                  <w:pPr>
                    <w:pStyle w:val="TableColumnHeading"/>
                    <w:ind w:right="28"/>
                  </w:pPr>
                  <w:r>
                    <w:t>2015-16</w:t>
                  </w:r>
                </w:p>
              </w:tc>
              <w:tc>
                <w:tcPr>
                  <w:tcW w:w="521" w:type="pct"/>
                  <w:tcBorders>
                    <w:top w:val="single" w:sz="6" w:space="0" w:color="BFBFBF"/>
                    <w:bottom w:val="single" w:sz="6" w:space="0" w:color="BFBFBF"/>
                  </w:tcBorders>
                </w:tcPr>
                <w:p w14:paraId="7954B89B" w14:textId="77777777" w:rsidR="00F05DC7" w:rsidRDefault="00F05DC7" w:rsidP="00A3786D">
                  <w:pPr>
                    <w:pStyle w:val="TableColumnHeading"/>
                    <w:ind w:right="28"/>
                  </w:pPr>
                  <w:r>
                    <w:t>2016-17</w:t>
                  </w:r>
                </w:p>
              </w:tc>
            </w:tr>
            <w:tr w:rsidR="00F05DC7" w14:paraId="7954B8A5" w14:textId="77777777" w:rsidTr="00A3786D">
              <w:trPr>
                <w:trHeight w:val="298"/>
              </w:trPr>
              <w:tc>
                <w:tcPr>
                  <w:tcW w:w="1356" w:type="pct"/>
                  <w:tcBorders>
                    <w:top w:val="single" w:sz="6" w:space="0" w:color="BFBFBF"/>
                  </w:tcBorders>
                </w:tcPr>
                <w:p w14:paraId="7954B89D" w14:textId="77777777" w:rsidR="00F05DC7" w:rsidRPr="00EC6855" w:rsidRDefault="00F05DC7" w:rsidP="00A3786D">
                  <w:pPr>
                    <w:pStyle w:val="TableUnitsRow"/>
                    <w:jc w:val="left"/>
                  </w:pPr>
                  <w:r>
                    <w:t>Discount factor</w:t>
                  </w:r>
                </w:p>
              </w:tc>
              <w:tc>
                <w:tcPr>
                  <w:tcW w:w="520" w:type="pct"/>
                  <w:tcBorders>
                    <w:top w:val="single" w:sz="6" w:space="0" w:color="BFBFBF"/>
                  </w:tcBorders>
                </w:tcPr>
                <w:p w14:paraId="7954B89E" w14:textId="77777777" w:rsidR="00F05DC7" w:rsidRDefault="00F05DC7" w:rsidP="00A3786D">
                  <w:pPr>
                    <w:pStyle w:val="TableBodyText"/>
                  </w:pPr>
                  <w:r>
                    <w:t>0.575</w:t>
                  </w:r>
                </w:p>
              </w:tc>
              <w:tc>
                <w:tcPr>
                  <w:tcW w:w="520" w:type="pct"/>
                  <w:tcBorders>
                    <w:top w:val="single" w:sz="6" w:space="0" w:color="BFBFBF"/>
                  </w:tcBorders>
                </w:tcPr>
                <w:p w14:paraId="7954B89F" w14:textId="77777777" w:rsidR="00F05DC7" w:rsidRDefault="00F05DC7" w:rsidP="00A3786D">
                  <w:pPr>
                    <w:pStyle w:val="TableBodyText"/>
                  </w:pPr>
                  <w:r>
                    <w:t>0.577</w:t>
                  </w:r>
                </w:p>
              </w:tc>
              <w:tc>
                <w:tcPr>
                  <w:tcW w:w="521" w:type="pct"/>
                  <w:tcBorders>
                    <w:top w:val="single" w:sz="6" w:space="0" w:color="BFBFBF"/>
                  </w:tcBorders>
                </w:tcPr>
                <w:p w14:paraId="7954B8A0" w14:textId="77777777" w:rsidR="00F05DC7" w:rsidRDefault="00F05DC7" w:rsidP="00A3786D">
                  <w:pPr>
                    <w:pStyle w:val="TableBodyText"/>
                  </w:pPr>
                  <w:r>
                    <w:t>0.579</w:t>
                  </w:r>
                </w:p>
              </w:tc>
              <w:tc>
                <w:tcPr>
                  <w:tcW w:w="520" w:type="pct"/>
                  <w:tcBorders>
                    <w:top w:val="single" w:sz="6" w:space="0" w:color="BFBFBF"/>
                  </w:tcBorders>
                </w:tcPr>
                <w:p w14:paraId="7954B8A1" w14:textId="77777777" w:rsidR="00F05DC7" w:rsidRDefault="00F05DC7" w:rsidP="00A3786D">
                  <w:pPr>
                    <w:pStyle w:val="TableBodyText"/>
                  </w:pPr>
                  <w:r>
                    <w:t>0.583</w:t>
                  </w:r>
                </w:p>
              </w:tc>
              <w:tc>
                <w:tcPr>
                  <w:tcW w:w="520" w:type="pct"/>
                  <w:tcBorders>
                    <w:top w:val="single" w:sz="6" w:space="0" w:color="BFBFBF"/>
                  </w:tcBorders>
                </w:tcPr>
                <w:p w14:paraId="7954B8A2" w14:textId="77777777" w:rsidR="00F05DC7" w:rsidRDefault="00F05DC7" w:rsidP="00A3786D">
                  <w:pPr>
                    <w:pStyle w:val="TableBodyText"/>
                  </w:pPr>
                  <w:r>
                    <w:t>0.578</w:t>
                  </w:r>
                </w:p>
              </w:tc>
              <w:tc>
                <w:tcPr>
                  <w:tcW w:w="522" w:type="pct"/>
                  <w:tcBorders>
                    <w:top w:val="single" w:sz="6" w:space="0" w:color="BFBFBF"/>
                  </w:tcBorders>
                </w:tcPr>
                <w:p w14:paraId="7954B8A3" w14:textId="77777777" w:rsidR="00F05DC7" w:rsidRDefault="00F05DC7" w:rsidP="00A3786D">
                  <w:pPr>
                    <w:pStyle w:val="TableBodyText"/>
                  </w:pPr>
                  <w:r>
                    <w:t>0.569</w:t>
                  </w:r>
                </w:p>
              </w:tc>
              <w:tc>
                <w:tcPr>
                  <w:tcW w:w="521" w:type="pct"/>
                  <w:tcBorders>
                    <w:top w:val="single" w:sz="6" w:space="0" w:color="BFBFBF"/>
                  </w:tcBorders>
                </w:tcPr>
                <w:p w14:paraId="7954B8A4" w14:textId="77777777" w:rsidR="00F05DC7" w:rsidRDefault="00F05DC7" w:rsidP="00A3786D">
                  <w:pPr>
                    <w:pStyle w:val="TableBodyText"/>
                  </w:pPr>
                  <w:r>
                    <w:t>0.569</w:t>
                  </w:r>
                </w:p>
              </w:tc>
            </w:tr>
            <w:tr w:rsidR="00F05DC7" w14:paraId="7954B8A8" w14:textId="77777777" w:rsidTr="00AB3F17">
              <w:trPr>
                <w:trHeight w:val="298"/>
              </w:trPr>
              <w:tc>
                <w:tcPr>
                  <w:tcW w:w="4479" w:type="pct"/>
                  <w:gridSpan w:val="7"/>
                  <w:shd w:val="clear" w:color="auto" w:fill="F2F2F2" w:themeFill="background1" w:themeFillShade="F2"/>
                </w:tcPr>
                <w:p w14:paraId="7954B8A6" w14:textId="77777777" w:rsidR="00F05DC7" w:rsidRDefault="00F05DC7" w:rsidP="00A3786D">
                  <w:pPr>
                    <w:pStyle w:val="TableUnitsRow"/>
                    <w:jc w:val="left"/>
                  </w:pPr>
                  <w:r>
                    <w:t>Additional iron ore royalties retained after equalisation</w:t>
                  </w:r>
                </w:p>
              </w:tc>
              <w:tc>
                <w:tcPr>
                  <w:tcW w:w="521" w:type="pct"/>
                  <w:shd w:val="clear" w:color="auto" w:fill="F2F2F2" w:themeFill="background1" w:themeFillShade="F2"/>
                </w:tcPr>
                <w:p w14:paraId="7954B8A7" w14:textId="77777777" w:rsidR="00F05DC7" w:rsidRDefault="00F05DC7" w:rsidP="00A3786D">
                  <w:pPr>
                    <w:pStyle w:val="TableUnitsRow"/>
                    <w:jc w:val="left"/>
                  </w:pPr>
                </w:p>
              </w:tc>
            </w:tr>
            <w:tr w:rsidR="00F05DC7" w14:paraId="7954B8B1" w14:textId="77777777" w:rsidTr="004F6C34">
              <w:trPr>
                <w:trHeight w:val="281"/>
              </w:trPr>
              <w:tc>
                <w:tcPr>
                  <w:tcW w:w="1356" w:type="pct"/>
                </w:tcPr>
                <w:p w14:paraId="7954B8A9" w14:textId="77777777" w:rsidR="00F05DC7" w:rsidRDefault="00F05DC7" w:rsidP="00A3786D">
                  <w:pPr>
                    <w:pStyle w:val="TableUnitsRow"/>
                    <w:jc w:val="left"/>
                  </w:pPr>
                  <w:r>
                    <w:t xml:space="preserve">No discount </w:t>
                  </w:r>
                </w:p>
              </w:tc>
              <w:tc>
                <w:tcPr>
                  <w:tcW w:w="520" w:type="pct"/>
                </w:tcPr>
                <w:p w14:paraId="7954B8AA" w14:textId="77777777" w:rsidR="00F05DC7" w:rsidRDefault="00F05DC7" w:rsidP="00A3786D">
                  <w:pPr>
                    <w:pStyle w:val="TableBodyText"/>
                  </w:pPr>
                  <w:r>
                    <w:t>88</w:t>
                  </w:r>
                </w:p>
              </w:tc>
              <w:tc>
                <w:tcPr>
                  <w:tcW w:w="520" w:type="pct"/>
                </w:tcPr>
                <w:p w14:paraId="7954B8AB" w14:textId="77777777" w:rsidR="00F05DC7" w:rsidRDefault="00F05DC7" w:rsidP="00A3786D">
                  <w:pPr>
                    <w:pStyle w:val="TableBodyText"/>
                  </w:pPr>
                  <w:r>
                    <w:t>82</w:t>
                  </w:r>
                </w:p>
              </w:tc>
              <w:tc>
                <w:tcPr>
                  <w:tcW w:w="521" w:type="pct"/>
                </w:tcPr>
                <w:p w14:paraId="7954B8AC" w14:textId="77777777" w:rsidR="00F05DC7" w:rsidRDefault="00F05DC7" w:rsidP="00A3786D">
                  <w:pPr>
                    <w:pStyle w:val="TableBodyText"/>
                  </w:pPr>
                  <w:r>
                    <w:t>128</w:t>
                  </w:r>
                </w:p>
              </w:tc>
              <w:tc>
                <w:tcPr>
                  <w:tcW w:w="520" w:type="pct"/>
                </w:tcPr>
                <w:p w14:paraId="7954B8AD" w14:textId="77777777" w:rsidR="00F05DC7" w:rsidRDefault="00F05DC7" w:rsidP="00A3786D">
                  <w:pPr>
                    <w:pStyle w:val="TableBodyText"/>
                  </w:pPr>
                  <w:r>
                    <w:t>221</w:t>
                  </w:r>
                </w:p>
              </w:tc>
              <w:tc>
                <w:tcPr>
                  <w:tcW w:w="520" w:type="pct"/>
                </w:tcPr>
                <w:p w14:paraId="7954B8AE" w14:textId="77777777" w:rsidR="00F05DC7" w:rsidRDefault="00F05DC7" w:rsidP="00A3786D">
                  <w:pPr>
                    <w:pStyle w:val="TableBodyText"/>
                  </w:pPr>
                  <w:r>
                    <w:t>161</w:t>
                  </w:r>
                </w:p>
              </w:tc>
              <w:tc>
                <w:tcPr>
                  <w:tcW w:w="522" w:type="pct"/>
                </w:tcPr>
                <w:p w14:paraId="7954B8AF" w14:textId="77777777" w:rsidR="00F05DC7" w:rsidRDefault="00F05DC7" w:rsidP="00A3786D">
                  <w:pPr>
                    <w:pStyle w:val="TableBodyText"/>
                  </w:pPr>
                  <w:r>
                    <w:t>130</w:t>
                  </w:r>
                </w:p>
              </w:tc>
              <w:tc>
                <w:tcPr>
                  <w:tcW w:w="521" w:type="pct"/>
                </w:tcPr>
                <w:p w14:paraId="7954B8B0" w14:textId="77777777" w:rsidR="00F05DC7" w:rsidRDefault="00F05DC7" w:rsidP="00A3786D">
                  <w:pPr>
                    <w:pStyle w:val="TableBodyText"/>
                  </w:pPr>
                  <w:r>
                    <w:t>168</w:t>
                  </w:r>
                </w:p>
              </w:tc>
            </w:tr>
            <w:tr w:rsidR="00F05DC7" w14:paraId="7954B8BA" w14:textId="77777777" w:rsidTr="004F6C34">
              <w:trPr>
                <w:trHeight w:val="298"/>
              </w:trPr>
              <w:tc>
                <w:tcPr>
                  <w:tcW w:w="1356" w:type="pct"/>
                  <w:tcBorders>
                    <w:bottom w:val="single" w:sz="4" w:space="0" w:color="BFBFBF"/>
                  </w:tcBorders>
                </w:tcPr>
                <w:p w14:paraId="7954B8B2" w14:textId="77777777" w:rsidR="00F05DC7" w:rsidRDefault="00F05DC7" w:rsidP="00A3786D">
                  <w:pPr>
                    <w:pStyle w:val="TableUnitsRow"/>
                    <w:jc w:val="left"/>
                  </w:pPr>
                  <w:r>
                    <w:t>With discount</w:t>
                  </w:r>
                </w:p>
              </w:tc>
              <w:tc>
                <w:tcPr>
                  <w:tcW w:w="520" w:type="pct"/>
                  <w:tcBorders>
                    <w:bottom w:val="single" w:sz="4" w:space="0" w:color="BFBFBF"/>
                  </w:tcBorders>
                </w:tcPr>
                <w:p w14:paraId="7954B8B3" w14:textId="77777777" w:rsidR="00F05DC7" w:rsidRDefault="00F05DC7" w:rsidP="00A3786D">
                  <w:pPr>
                    <w:pStyle w:val="TableBodyText"/>
                  </w:pPr>
                  <w:r>
                    <w:t>336</w:t>
                  </w:r>
                </w:p>
              </w:tc>
              <w:tc>
                <w:tcPr>
                  <w:tcW w:w="520" w:type="pct"/>
                  <w:tcBorders>
                    <w:bottom w:val="single" w:sz="4" w:space="0" w:color="BFBFBF"/>
                  </w:tcBorders>
                </w:tcPr>
                <w:p w14:paraId="7954B8B4" w14:textId="77777777" w:rsidR="00F05DC7" w:rsidRDefault="00F05DC7" w:rsidP="00A3786D">
                  <w:pPr>
                    <w:pStyle w:val="TableBodyText"/>
                  </w:pPr>
                  <w:r>
                    <w:t>305</w:t>
                  </w:r>
                </w:p>
              </w:tc>
              <w:tc>
                <w:tcPr>
                  <w:tcW w:w="521" w:type="pct"/>
                  <w:tcBorders>
                    <w:bottom w:val="single" w:sz="4" w:space="0" w:color="BFBFBF"/>
                  </w:tcBorders>
                </w:tcPr>
                <w:p w14:paraId="7954B8B5" w14:textId="77777777" w:rsidR="00F05DC7" w:rsidRDefault="00F05DC7" w:rsidP="00A3786D">
                  <w:pPr>
                    <w:pStyle w:val="TableBodyText"/>
                  </w:pPr>
                  <w:r>
                    <w:t>466</w:t>
                  </w:r>
                </w:p>
              </w:tc>
              <w:tc>
                <w:tcPr>
                  <w:tcW w:w="520" w:type="pct"/>
                  <w:tcBorders>
                    <w:bottom w:val="single" w:sz="4" w:space="0" w:color="BFBFBF"/>
                  </w:tcBorders>
                </w:tcPr>
                <w:p w14:paraId="7954B8B6" w14:textId="77777777" w:rsidR="00F05DC7" w:rsidRDefault="00F05DC7" w:rsidP="00A3786D">
                  <w:pPr>
                    <w:pStyle w:val="TableBodyText"/>
                  </w:pPr>
                  <w:r>
                    <w:t>775</w:t>
                  </w:r>
                </w:p>
              </w:tc>
              <w:tc>
                <w:tcPr>
                  <w:tcW w:w="520" w:type="pct"/>
                  <w:tcBorders>
                    <w:bottom w:val="single" w:sz="4" w:space="0" w:color="BFBFBF"/>
                  </w:tcBorders>
                </w:tcPr>
                <w:p w14:paraId="7954B8B7" w14:textId="77777777" w:rsidR="00F05DC7" w:rsidRDefault="00F05DC7" w:rsidP="00A3786D">
                  <w:pPr>
                    <w:pStyle w:val="TableBodyText"/>
                  </w:pPr>
                  <w:r>
                    <w:t>600</w:t>
                  </w:r>
                </w:p>
              </w:tc>
              <w:tc>
                <w:tcPr>
                  <w:tcW w:w="522" w:type="pct"/>
                  <w:tcBorders>
                    <w:bottom w:val="single" w:sz="4" w:space="0" w:color="BFBFBF"/>
                  </w:tcBorders>
                </w:tcPr>
                <w:p w14:paraId="7954B8B8" w14:textId="77777777" w:rsidR="00F05DC7" w:rsidRDefault="00F05DC7" w:rsidP="00A3786D">
                  <w:pPr>
                    <w:pStyle w:val="TableBodyText"/>
                  </w:pPr>
                  <w:r>
                    <w:t>536</w:t>
                  </w:r>
                </w:p>
              </w:tc>
              <w:tc>
                <w:tcPr>
                  <w:tcW w:w="521" w:type="pct"/>
                  <w:tcBorders>
                    <w:bottom w:val="single" w:sz="4" w:space="0" w:color="BFBFBF"/>
                  </w:tcBorders>
                </w:tcPr>
                <w:p w14:paraId="7954B8B9" w14:textId="77777777" w:rsidR="00F05DC7" w:rsidRDefault="00F05DC7" w:rsidP="00A3786D">
                  <w:pPr>
                    <w:pStyle w:val="TableBodyText"/>
                  </w:pPr>
                  <w:r>
                    <w:t>696</w:t>
                  </w:r>
                </w:p>
              </w:tc>
            </w:tr>
          </w:tbl>
          <w:p w14:paraId="7954B8BB" w14:textId="77777777" w:rsidR="00F05DC7" w:rsidRDefault="00F05DC7" w:rsidP="00A3786D">
            <w:pPr>
              <w:pStyle w:val="Box"/>
            </w:pPr>
          </w:p>
        </w:tc>
      </w:tr>
      <w:tr w:rsidR="00F05DC7" w14:paraId="7954B8BE" w14:textId="77777777" w:rsidTr="004F6C34">
        <w:tc>
          <w:tcPr>
            <w:tcW w:w="5000" w:type="pct"/>
            <w:tcBorders>
              <w:top w:val="nil"/>
              <w:left w:val="nil"/>
              <w:bottom w:val="nil"/>
              <w:right w:val="nil"/>
            </w:tcBorders>
            <w:shd w:val="clear" w:color="auto" w:fill="auto"/>
          </w:tcPr>
          <w:p w14:paraId="7954B8BD" w14:textId="77777777" w:rsidR="00F05DC7" w:rsidRDefault="00F05DC7" w:rsidP="00A3786D">
            <w:pPr>
              <w:pStyle w:val="TableBodyText"/>
              <w:keepNext w:val="0"/>
              <w:spacing w:before="80" w:after="0" w:line="220" w:lineRule="exact"/>
              <w:ind w:left="0" w:right="0"/>
              <w:jc w:val="both"/>
            </w:pPr>
            <w:r>
              <w:rPr>
                <w:i/>
              </w:rPr>
              <w:t>Source</w:t>
            </w:r>
            <w:r w:rsidRPr="00167F06">
              <w:t xml:space="preserve">: </w:t>
            </w:r>
            <w:r>
              <w:t xml:space="preserve">Productivity </w:t>
            </w:r>
            <w:r w:rsidRPr="000D1878">
              <w:t>Commission estimates</w:t>
            </w:r>
            <w:r>
              <w:t xml:space="preserve"> based on data provided by the CGC.</w:t>
            </w:r>
          </w:p>
        </w:tc>
      </w:tr>
      <w:tr w:rsidR="00F05DC7" w14:paraId="7954B8C0" w14:textId="77777777" w:rsidTr="00A3786D">
        <w:tc>
          <w:tcPr>
            <w:tcW w:w="5000" w:type="pct"/>
            <w:tcBorders>
              <w:top w:val="nil"/>
              <w:left w:val="nil"/>
              <w:bottom w:val="single" w:sz="6" w:space="0" w:color="78A22F"/>
              <w:right w:val="nil"/>
            </w:tcBorders>
            <w:shd w:val="clear" w:color="auto" w:fill="auto"/>
          </w:tcPr>
          <w:p w14:paraId="7954B8BF" w14:textId="77777777" w:rsidR="00F05DC7" w:rsidRDefault="00F05DC7" w:rsidP="00A3786D">
            <w:pPr>
              <w:pStyle w:val="Box"/>
              <w:spacing w:before="0" w:line="120" w:lineRule="exact"/>
            </w:pPr>
          </w:p>
        </w:tc>
      </w:tr>
      <w:tr w:rsidR="00F05DC7" w:rsidRPr="000863A5" w14:paraId="7954B8C2" w14:textId="77777777" w:rsidTr="00A3786D">
        <w:tc>
          <w:tcPr>
            <w:tcW w:w="5000" w:type="pct"/>
            <w:tcBorders>
              <w:top w:val="single" w:sz="6" w:space="0" w:color="78A22F"/>
              <w:left w:val="nil"/>
              <w:bottom w:val="nil"/>
              <w:right w:val="nil"/>
            </w:tcBorders>
          </w:tcPr>
          <w:p w14:paraId="7954B8C1" w14:textId="77777777" w:rsidR="00F05DC7" w:rsidRPr="00626D32" w:rsidRDefault="00F05DC7" w:rsidP="00A3786D">
            <w:pPr>
              <w:pStyle w:val="BoxSpaceBelow"/>
            </w:pPr>
          </w:p>
        </w:tc>
      </w:tr>
    </w:tbl>
    <w:p w14:paraId="7954B8C3" w14:textId="77777777" w:rsidR="00F05DC7" w:rsidRDefault="00F05DC7" w:rsidP="00A3786D">
      <w:pPr>
        <w:pStyle w:val="BodyText"/>
      </w:pPr>
      <w:r>
        <w:t>Table C.13 shows the change in GST payments as a result of this reform, relative to what they would have been had a mineral-by-mineral assessment methodology and no discount been in place (table C.10). GST impacts in dollars and dollars per capita are reported for assessment years, not application years. In practice, the GST impact will be realised over three years, as a result of averaging, and with a lag (the GST impact for the 2018</w:t>
      </w:r>
      <w:r>
        <w:noBreakHyphen/>
        <w:t xml:space="preserve">19 application year – which takes into account averaging and time lags – is shown in table C.14). </w:t>
      </w:r>
    </w:p>
    <w:p w14:paraId="7954B8C4" w14:textId="77777777" w:rsidR="00F05DC7" w:rsidRDefault="00F05DC7" w:rsidP="00A3786D">
      <w:pPr>
        <w:pStyle w:val="BodyText"/>
      </w:pPr>
      <w:r>
        <w:t>GST payments would increase for Western Australia by between $224 and $554 million over the seven year period. GST payments to all other States would decrease. The largest decrease in payments would have been to New South Wales in 2013</w:t>
      </w:r>
      <w:r>
        <w:noBreakHyphen/>
        <w:t xml:space="preserve">14 ($207 million) although on a per capita basis the decrease is spread evenly across the States. </w:t>
      </w:r>
    </w:p>
    <w:p w14:paraId="7954B8C6" w14:textId="110FFAA0" w:rsidR="00F05DC7" w:rsidRDefault="00F05DC7" w:rsidP="00A3786D">
      <w:pPr>
        <w:pStyle w:val="BodyText"/>
      </w:pPr>
      <w:r>
        <w:t>Relativities would be higher for Western Australia and lower for all other States. With this approach (and a mineral-by-mineral assessment methodology) in place, Western Australia’s application year relativities would have ranged from 0.30 to 0.60 over the period (table C.13), compared to a range of 0.2</w:t>
      </w:r>
      <w:r w:rsidR="00DD25DE">
        <w:t>2 to 0.58 without (table C.10).</w:t>
      </w:r>
    </w:p>
    <w:p w14:paraId="7954B8C7"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8CA" w14:textId="77777777" w:rsidTr="00A3786D">
        <w:trPr>
          <w:tblHeader/>
        </w:trPr>
        <w:tc>
          <w:tcPr>
            <w:tcW w:w="5000" w:type="pct"/>
            <w:tcBorders>
              <w:top w:val="single" w:sz="6" w:space="0" w:color="78A22F"/>
              <w:left w:val="nil"/>
              <w:bottom w:val="nil"/>
              <w:right w:val="nil"/>
            </w:tcBorders>
            <w:shd w:val="clear" w:color="auto" w:fill="auto"/>
          </w:tcPr>
          <w:p w14:paraId="7954B8C8" w14:textId="75A62DC4" w:rsidR="00F05DC7" w:rsidRDefault="00F05DC7" w:rsidP="00A3786D">
            <w:pPr>
              <w:pStyle w:val="TableTitle"/>
            </w:pPr>
            <w:r>
              <w:rPr>
                <w:b w:val="0"/>
              </w:rPr>
              <w:t>Table C.13</w:t>
            </w:r>
            <w:r>
              <w:tab/>
              <w:t>Historical change in GST payments with 50 per cent discount on iron ore royalty rate changes</w:t>
            </w:r>
          </w:p>
          <w:p w14:paraId="7954B8C9" w14:textId="77777777" w:rsidR="00F05DC7" w:rsidRPr="00784A05" w:rsidRDefault="00F05DC7">
            <w:pPr>
              <w:pStyle w:val="Subtitle"/>
            </w:pPr>
            <w:r>
              <w:t>Assuming a mineral-by-mineral assessment methodology</w:t>
            </w:r>
          </w:p>
        </w:tc>
      </w:tr>
      <w:tr w:rsidR="00F05DC7" w14:paraId="7954B9F6" w14:textId="77777777" w:rsidTr="00A3786D">
        <w:tc>
          <w:tcPr>
            <w:tcW w:w="5000" w:type="pct"/>
            <w:tcBorders>
              <w:top w:val="nil"/>
              <w:left w:val="nil"/>
              <w:bottom w:val="single" w:sz="4" w:space="0" w:color="D9D9D9" w:themeColor="background1" w:themeShade="D9"/>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86"/>
              <w:gridCol w:w="940"/>
              <w:gridCol w:w="941"/>
              <w:gridCol w:w="941"/>
              <w:gridCol w:w="941"/>
              <w:gridCol w:w="941"/>
              <w:gridCol w:w="941"/>
              <w:gridCol w:w="937"/>
              <w:gridCol w:w="937"/>
            </w:tblGrid>
            <w:tr w:rsidR="00F05DC7" w14:paraId="7954B8D4" w14:textId="77777777" w:rsidTr="00A3786D">
              <w:trPr>
                <w:tblHeader/>
              </w:trPr>
              <w:tc>
                <w:tcPr>
                  <w:tcW w:w="580" w:type="pct"/>
                  <w:tcBorders>
                    <w:top w:val="single" w:sz="6" w:space="0" w:color="BFBFBF"/>
                    <w:bottom w:val="single" w:sz="6" w:space="0" w:color="BFBFBF"/>
                  </w:tcBorders>
                  <w:shd w:val="clear" w:color="auto" w:fill="auto"/>
                  <w:tcMar>
                    <w:top w:w="28" w:type="dxa"/>
                  </w:tcMar>
                </w:tcPr>
                <w:p w14:paraId="7954B8CB" w14:textId="77777777" w:rsidR="00F05DC7" w:rsidRDefault="00F05DC7" w:rsidP="00A3786D">
                  <w:pPr>
                    <w:pStyle w:val="TableColumnHeading"/>
                    <w:jc w:val="left"/>
                  </w:pPr>
                </w:p>
              </w:tc>
              <w:tc>
                <w:tcPr>
                  <w:tcW w:w="553" w:type="pct"/>
                  <w:tcBorders>
                    <w:top w:val="single" w:sz="6" w:space="0" w:color="BFBFBF"/>
                    <w:bottom w:val="single" w:sz="6" w:space="0" w:color="BFBFBF"/>
                  </w:tcBorders>
                </w:tcPr>
                <w:p w14:paraId="7954B8CC" w14:textId="77777777" w:rsidR="00F05DC7" w:rsidRDefault="00F05DC7" w:rsidP="00A3786D">
                  <w:pPr>
                    <w:pStyle w:val="TableColumnHeading"/>
                  </w:pPr>
                  <w:r>
                    <w:t>NSW</w:t>
                  </w:r>
                </w:p>
              </w:tc>
              <w:tc>
                <w:tcPr>
                  <w:tcW w:w="553" w:type="pct"/>
                  <w:tcBorders>
                    <w:top w:val="single" w:sz="6" w:space="0" w:color="BFBFBF"/>
                    <w:bottom w:val="single" w:sz="6" w:space="0" w:color="BFBFBF"/>
                  </w:tcBorders>
                </w:tcPr>
                <w:p w14:paraId="7954B8CD" w14:textId="77777777" w:rsidR="00F05DC7" w:rsidRDefault="00F05DC7" w:rsidP="00A3786D">
                  <w:pPr>
                    <w:pStyle w:val="TableColumnHeading"/>
                  </w:pPr>
                  <w:r>
                    <w:t>Vic</w:t>
                  </w:r>
                </w:p>
              </w:tc>
              <w:tc>
                <w:tcPr>
                  <w:tcW w:w="553" w:type="pct"/>
                  <w:tcBorders>
                    <w:top w:val="single" w:sz="6" w:space="0" w:color="BFBFBF"/>
                    <w:bottom w:val="single" w:sz="6" w:space="0" w:color="BFBFBF"/>
                  </w:tcBorders>
                </w:tcPr>
                <w:p w14:paraId="7954B8CE" w14:textId="77777777" w:rsidR="00F05DC7" w:rsidRDefault="00F05DC7" w:rsidP="00A3786D">
                  <w:pPr>
                    <w:pStyle w:val="TableColumnHeading"/>
                  </w:pPr>
                  <w:r>
                    <w:t>Qld</w:t>
                  </w:r>
                </w:p>
              </w:tc>
              <w:tc>
                <w:tcPr>
                  <w:tcW w:w="553" w:type="pct"/>
                  <w:tcBorders>
                    <w:top w:val="single" w:sz="6" w:space="0" w:color="BFBFBF"/>
                    <w:bottom w:val="single" w:sz="6" w:space="0" w:color="BFBFBF"/>
                  </w:tcBorders>
                </w:tcPr>
                <w:p w14:paraId="7954B8CF" w14:textId="77777777" w:rsidR="00F05DC7" w:rsidRDefault="00F05DC7" w:rsidP="00A3786D">
                  <w:pPr>
                    <w:pStyle w:val="TableColumnHeading"/>
                  </w:pPr>
                  <w:r>
                    <w:t>WA</w:t>
                  </w:r>
                </w:p>
              </w:tc>
              <w:tc>
                <w:tcPr>
                  <w:tcW w:w="553" w:type="pct"/>
                  <w:tcBorders>
                    <w:top w:val="single" w:sz="6" w:space="0" w:color="BFBFBF"/>
                    <w:bottom w:val="single" w:sz="6" w:space="0" w:color="BFBFBF"/>
                  </w:tcBorders>
                </w:tcPr>
                <w:p w14:paraId="7954B8D0" w14:textId="77777777" w:rsidR="00F05DC7" w:rsidRDefault="00F05DC7" w:rsidP="00A3786D">
                  <w:pPr>
                    <w:pStyle w:val="TableColumnHeading"/>
                  </w:pPr>
                  <w:r>
                    <w:t>SA</w:t>
                  </w:r>
                </w:p>
              </w:tc>
              <w:tc>
                <w:tcPr>
                  <w:tcW w:w="553" w:type="pct"/>
                  <w:tcBorders>
                    <w:top w:val="single" w:sz="6" w:space="0" w:color="BFBFBF"/>
                    <w:bottom w:val="single" w:sz="6" w:space="0" w:color="BFBFBF"/>
                  </w:tcBorders>
                  <w:shd w:val="clear" w:color="auto" w:fill="auto"/>
                  <w:tcMar>
                    <w:top w:w="28" w:type="dxa"/>
                  </w:tcMar>
                </w:tcPr>
                <w:p w14:paraId="7954B8D1" w14:textId="77777777" w:rsidR="00F05DC7" w:rsidRDefault="00F05DC7" w:rsidP="00A3786D">
                  <w:pPr>
                    <w:pStyle w:val="TableColumnHeading"/>
                  </w:pPr>
                  <w:r>
                    <w:t>TAS</w:t>
                  </w:r>
                </w:p>
              </w:tc>
              <w:tc>
                <w:tcPr>
                  <w:tcW w:w="551" w:type="pct"/>
                  <w:tcBorders>
                    <w:top w:val="single" w:sz="6" w:space="0" w:color="BFBFBF"/>
                    <w:bottom w:val="single" w:sz="6" w:space="0" w:color="BFBFBF"/>
                  </w:tcBorders>
                </w:tcPr>
                <w:p w14:paraId="7954B8D2" w14:textId="77777777" w:rsidR="00F05DC7" w:rsidRDefault="00F05DC7" w:rsidP="00A3786D">
                  <w:pPr>
                    <w:pStyle w:val="TableColumnHeading"/>
                    <w:ind w:right="28"/>
                  </w:pPr>
                  <w:r>
                    <w:t>ACT</w:t>
                  </w:r>
                </w:p>
              </w:tc>
              <w:tc>
                <w:tcPr>
                  <w:tcW w:w="551" w:type="pct"/>
                  <w:tcBorders>
                    <w:top w:val="single" w:sz="6" w:space="0" w:color="BFBFBF"/>
                    <w:bottom w:val="single" w:sz="6" w:space="0" w:color="BFBFBF"/>
                  </w:tcBorders>
                  <w:shd w:val="clear" w:color="auto" w:fill="auto"/>
                  <w:tcMar>
                    <w:top w:w="28" w:type="dxa"/>
                  </w:tcMar>
                </w:tcPr>
                <w:p w14:paraId="7954B8D3" w14:textId="77777777" w:rsidR="00F05DC7" w:rsidRDefault="00F05DC7" w:rsidP="00A3786D">
                  <w:pPr>
                    <w:pStyle w:val="TableColumnHeading"/>
                    <w:ind w:right="28"/>
                  </w:pPr>
                  <w:r>
                    <w:t>NT</w:t>
                  </w:r>
                </w:p>
              </w:tc>
            </w:tr>
            <w:tr w:rsidR="00F05DC7" w14:paraId="7954B8D6" w14:textId="77777777" w:rsidTr="00AB3F17">
              <w:tc>
                <w:tcPr>
                  <w:tcW w:w="5000" w:type="pct"/>
                  <w:gridSpan w:val="9"/>
                  <w:tcBorders>
                    <w:top w:val="single" w:sz="6" w:space="0" w:color="BFBFBF"/>
                  </w:tcBorders>
                  <w:shd w:val="clear" w:color="auto" w:fill="F2F2F2" w:themeFill="background1" w:themeFillShade="F2"/>
                </w:tcPr>
                <w:p w14:paraId="7954B8D5" w14:textId="77777777" w:rsidR="00F05DC7" w:rsidRPr="00F301A8" w:rsidRDefault="00F05DC7" w:rsidP="00A3786D">
                  <w:pPr>
                    <w:pStyle w:val="TableUnitsRow"/>
                    <w:ind w:right="28"/>
                    <w:jc w:val="left"/>
                    <w:rPr>
                      <w:rFonts w:cs="Arial"/>
                      <w:szCs w:val="18"/>
                    </w:rPr>
                  </w:pPr>
                  <w:r w:rsidRPr="00F301A8">
                    <w:rPr>
                      <w:rFonts w:cs="Arial"/>
                      <w:szCs w:val="18"/>
                    </w:rPr>
                    <w:t>$ millions (assessment year)</w:t>
                  </w:r>
                </w:p>
              </w:tc>
            </w:tr>
            <w:tr w:rsidR="00F05DC7" w14:paraId="7954B8E0" w14:textId="77777777" w:rsidTr="00A3786D">
              <w:tc>
                <w:tcPr>
                  <w:tcW w:w="580" w:type="pct"/>
                </w:tcPr>
                <w:p w14:paraId="7954B8D7" w14:textId="77777777" w:rsidR="00F05DC7" w:rsidRPr="00F301A8" w:rsidRDefault="00F05DC7" w:rsidP="00A3786D">
                  <w:pPr>
                    <w:pStyle w:val="TableUnitsRow"/>
                    <w:jc w:val="left"/>
                    <w:rPr>
                      <w:rFonts w:cs="Arial"/>
                      <w:szCs w:val="18"/>
                    </w:rPr>
                  </w:pPr>
                  <w:r w:rsidRPr="00F301A8">
                    <w:rPr>
                      <w:rFonts w:cs="Arial"/>
                      <w:szCs w:val="18"/>
                    </w:rPr>
                    <w:t>2010-11</w:t>
                  </w:r>
                </w:p>
              </w:tc>
              <w:tc>
                <w:tcPr>
                  <w:tcW w:w="553" w:type="pct"/>
                  <w:tcBorders>
                    <w:left w:val="nil"/>
                    <w:bottom w:val="nil"/>
                    <w:right w:val="nil"/>
                  </w:tcBorders>
                  <w:shd w:val="clear" w:color="auto" w:fill="auto"/>
                  <w:vAlign w:val="bottom"/>
                </w:tcPr>
                <w:p w14:paraId="7954B8D8" w14:textId="77777777" w:rsidR="00F05DC7" w:rsidRPr="00F301A8" w:rsidRDefault="00F05DC7" w:rsidP="00A3786D">
                  <w:pPr>
                    <w:pStyle w:val="TableBodyText"/>
                  </w:pPr>
                  <w:r w:rsidRPr="00F301A8">
                    <w:t>-92</w:t>
                  </w:r>
                </w:p>
              </w:tc>
              <w:tc>
                <w:tcPr>
                  <w:tcW w:w="553" w:type="pct"/>
                  <w:tcBorders>
                    <w:left w:val="nil"/>
                    <w:bottom w:val="nil"/>
                    <w:right w:val="nil"/>
                  </w:tcBorders>
                  <w:shd w:val="clear" w:color="auto" w:fill="auto"/>
                  <w:vAlign w:val="bottom"/>
                </w:tcPr>
                <w:p w14:paraId="7954B8D9" w14:textId="77777777" w:rsidR="00F05DC7" w:rsidRPr="00F301A8" w:rsidRDefault="00F05DC7" w:rsidP="00A3786D">
                  <w:pPr>
                    <w:pStyle w:val="TableBodyText"/>
                  </w:pPr>
                  <w:r w:rsidRPr="00F301A8">
                    <w:t>-71</w:t>
                  </w:r>
                </w:p>
              </w:tc>
              <w:tc>
                <w:tcPr>
                  <w:tcW w:w="553" w:type="pct"/>
                  <w:tcBorders>
                    <w:left w:val="nil"/>
                    <w:bottom w:val="nil"/>
                    <w:right w:val="nil"/>
                  </w:tcBorders>
                  <w:shd w:val="clear" w:color="auto" w:fill="auto"/>
                  <w:vAlign w:val="bottom"/>
                </w:tcPr>
                <w:p w14:paraId="7954B8DA" w14:textId="77777777" w:rsidR="00F05DC7" w:rsidRPr="00F301A8" w:rsidRDefault="00F05DC7" w:rsidP="00A3786D">
                  <w:pPr>
                    <w:pStyle w:val="TableBodyText"/>
                  </w:pPr>
                  <w:r w:rsidRPr="00F301A8">
                    <w:t>-57</w:t>
                  </w:r>
                </w:p>
              </w:tc>
              <w:tc>
                <w:tcPr>
                  <w:tcW w:w="553" w:type="pct"/>
                  <w:tcBorders>
                    <w:left w:val="nil"/>
                    <w:bottom w:val="nil"/>
                    <w:right w:val="nil"/>
                  </w:tcBorders>
                  <w:shd w:val="clear" w:color="auto" w:fill="auto"/>
                  <w:vAlign w:val="bottom"/>
                </w:tcPr>
                <w:p w14:paraId="7954B8DB" w14:textId="77777777" w:rsidR="00F05DC7" w:rsidRPr="00F301A8" w:rsidRDefault="00F05DC7" w:rsidP="00A3786D">
                  <w:pPr>
                    <w:pStyle w:val="TableBodyText"/>
                  </w:pPr>
                  <w:r w:rsidRPr="00F301A8">
                    <w:t>248</w:t>
                  </w:r>
                </w:p>
              </w:tc>
              <w:tc>
                <w:tcPr>
                  <w:tcW w:w="553" w:type="pct"/>
                  <w:tcBorders>
                    <w:left w:val="nil"/>
                    <w:bottom w:val="nil"/>
                    <w:right w:val="nil"/>
                  </w:tcBorders>
                  <w:shd w:val="clear" w:color="auto" w:fill="auto"/>
                  <w:vAlign w:val="bottom"/>
                </w:tcPr>
                <w:p w14:paraId="7954B8DC" w14:textId="77777777" w:rsidR="00F05DC7" w:rsidRPr="00F301A8" w:rsidRDefault="00F05DC7" w:rsidP="00A3786D">
                  <w:pPr>
                    <w:pStyle w:val="TableBodyText"/>
                  </w:pPr>
                  <w:r w:rsidRPr="00F301A8">
                    <w:t>-16</w:t>
                  </w:r>
                </w:p>
              </w:tc>
              <w:tc>
                <w:tcPr>
                  <w:tcW w:w="553" w:type="pct"/>
                  <w:tcBorders>
                    <w:left w:val="nil"/>
                    <w:bottom w:val="nil"/>
                    <w:right w:val="nil"/>
                  </w:tcBorders>
                  <w:shd w:val="clear" w:color="auto" w:fill="auto"/>
                  <w:vAlign w:val="bottom"/>
                </w:tcPr>
                <w:p w14:paraId="7954B8DD" w14:textId="77777777" w:rsidR="00F05DC7" w:rsidRPr="00F301A8" w:rsidRDefault="00F05DC7" w:rsidP="00A3786D">
                  <w:pPr>
                    <w:pStyle w:val="TableBodyText"/>
                  </w:pPr>
                  <w:r w:rsidRPr="00F301A8">
                    <w:t>-5</w:t>
                  </w:r>
                </w:p>
              </w:tc>
              <w:tc>
                <w:tcPr>
                  <w:tcW w:w="551" w:type="pct"/>
                  <w:tcBorders>
                    <w:left w:val="nil"/>
                    <w:bottom w:val="nil"/>
                    <w:right w:val="nil"/>
                  </w:tcBorders>
                  <w:shd w:val="clear" w:color="auto" w:fill="auto"/>
                  <w:vAlign w:val="bottom"/>
                </w:tcPr>
                <w:p w14:paraId="7954B8DE" w14:textId="77777777" w:rsidR="00F05DC7" w:rsidRPr="00F301A8" w:rsidRDefault="00F05DC7" w:rsidP="00A3786D">
                  <w:pPr>
                    <w:pStyle w:val="TableBodyText"/>
                  </w:pPr>
                  <w:r w:rsidRPr="00F301A8">
                    <w:t>-5</w:t>
                  </w:r>
                </w:p>
              </w:tc>
              <w:tc>
                <w:tcPr>
                  <w:tcW w:w="551" w:type="pct"/>
                  <w:tcBorders>
                    <w:left w:val="nil"/>
                    <w:bottom w:val="nil"/>
                    <w:right w:val="nil"/>
                  </w:tcBorders>
                  <w:shd w:val="clear" w:color="auto" w:fill="auto"/>
                  <w:vAlign w:val="bottom"/>
                </w:tcPr>
                <w:p w14:paraId="7954B8DF" w14:textId="77777777" w:rsidR="00F05DC7" w:rsidRPr="00F301A8" w:rsidRDefault="00F05DC7" w:rsidP="00A3786D">
                  <w:pPr>
                    <w:pStyle w:val="TableBodyText"/>
                  </w:pPr>
                  <w:r w:rsidRPr="00F301A8">
                    <w:t>-2</w:t>
                  </w:r>
                </w:p>
              </w:tc>
            </w:tr>
            <w:tr w:rsidR="00F05DC7" w14:paraId="7954B8EA" w14:textId="77777777" w:rsidTr="00A3786D">
              <w:tc>
                <w:tcPr>
                  <w:tcW w:w="580" w:type="pct"/>
                </w:tcPr>
                <w:p w14:paraId="7954B8E1" w14:textId="77777777" w:rsidR="00F05DC7" w:rsidRPr="00F301A8" w:rsidRDefault="00F05DC7" w:rsidP="00A3786D">
                  <w:pPr>
                    <w:pStyle w:val="TableUnitsRow"/>
                    <w:jc w:val="left"/>
                    <w:rPr>
                      <w:rFonts w:cs="Arial"/>
                      <w:szCs w:val="18"/>
                    </w:rPr>
                  </w:pPr>
                  <w:r w:rsidRPr="00F301A8">
                    <w:rPr>
                      <w:rFonts w:cs="Arial"/>
                      <w:szCs w:val="18"/>
                    </w:rPr>
                    <w:t>2011-12</w:t>
                  </w:r>
                </w:p>
              </w:tc>
              <w:tc>
                <w:tcPr>
                  <w:tcW w:w="553" w:type="pct"/>
                  <w:tcBorders>
                    <w:left w:val="nil"/>
                    <w:bottom w:val="nil"/>
                    <w:right w:val="nil"/>
                  </w:tcBorders>
                  <w:shd w:val="clear" w:color="auto" w:fill="auto"/>
                  <w:vAlign w:val="bottom"/>
                </w:tcPr>
                <w:p w14:paraId="7954B8E2" w14:textId="77777777" w:rsidR="00F05DC7" w:rsidRPr="00F301A8" w:rsidRDefault="00F05DC7" w:rsidP="00A3786D">
                  <w:pPr>
                    <w:pStyle w:val="TableBodyText"/>
                  </w:pPr>
                  <w:r w:rsidRPr="00F301A8">
                    <w:t>-83</w:t>
                  </w:r>
                </w:p>
              </w:tc>
              <w:tc>
                <w:tcPr>
                  <w:tcW w:w="553" w:type="pct"/>
                  <w:tcBorders>
                    <w:left w:val="nil"/>
                    <w:bottom w:val="nil"/>
                    <w:right w:val="nil"/>
                  </w:tcBorders>
                  <w:shd w:val="clear" w:color="auto" w:fill="auto"/>
                  <w:vAlign w:val="bottom"/>
                </w:tcPr>
                <w:p w14:paraId="7954B8E3" w14:textId="77777777" w:rsidR="00F05DC7" w:rsidRPr="00F301A8" w:rsidRDefault="00F05DC7" w:rsidP="00A3786D">
                  <w:pPr>
                    <w:pStyle w:val="TableBodyText"/>
                  </w:pPr>
                  <w:r w:rsidRPr="00F301A8">
                    <w:t>-64</w:t>
                  </w:r>
                </w:p>
              </w:tc>
              <w:tc>
                <w:tcPr>
                  <w:tcW w:w="553" w:type="pct"/>
                  <w:tcBorders>
                    <w:left w:val="nil"/>
                    <w:bottom w:val="nil"/>
                    <w:right w:val="nil"/>
                  </w:tcBorders>
                  <w:shd w:val="clear" w:color="auto" w:fill="auto"/>
                  <w:vAlign w:val="bottom"/>
                </w:tcPr>
                <w:p w14:paraId="7954B8E4" w14:textId="77777777" w:rsidR="00F05DC7" w:rsidRPr="00F301A8" w:rsidRDefault="00F05DC7" w:rsidP="00A3786D">
                  <w:pPr>
                    <w:pStyle w:val="TableBodyText"/>
                  </w:pPr>
                  <w:r w:rsidRPr="00F301A8">
                    <w:t>-52</w:t>
                  </w:r>
                </w:p>
              </w:tc>
              <w:tc>
                <w:tcPr>
                  <w:tcW w:w="553" w:type="pct"/>
                  <w:tcBorders>
                    <w:left w:val="nil"/>
                    <w:bottom w:val="nil"/>
                    <w:right w:val="nil"/>
                  </w:tcBorders>
                  <w:shd w:val="clear" w:color="auto" w:fill="auto"/>
                  <w:vAlign w:val="bottom"/>
                </w:tcPr>
                <w:p w14:paraId="7954B8E5" w14:textId="77777777" w:rsidR="00F05DC7" w:rsidRPr="00F301A8" w:rsidRDefault="00F05DC7" w:rsidP="00A3786D">
                  <w:pPr>
                    <w:pStyle w:val="TableBodyText"/>
                  </w:pPr>
                  <w:r w:rsidRPr="00F301A8">
                    <w:t>224</w:t>
                  </w:r>
                </w:p>
              </w:tc>
              <w:tc>
                <w:tcPr>
                  <w:tcW w:w="553" w:type="pct"/>
                  <w:tcBorders>
                    <w:left w:val="nil"/>
                    <w:bottom w:val="nil"/>
                    <w:right w:val="nil"/>
                  </w:tcBorders>
                  <w:shd w:val="clear" w:color="auto" w:fill="auto"/>
                  <w:vAlign w:val="bottom"/>
                </w:tcPr>
                <w:p w14:paraId="7954B8E6" w14:textId="77777777" w:rsidR="00F05DC7" w:rsidRPr="00F301A8" w:rsidRDefault="00F05DC7" w:rsidP="00A3786D">
                  <w:pPr>
                    <w:pStyle w:val="TableBodyText"/>
                  </w:pPr>
                  <w:r w:rsidRPr="00F301A8">
                    <w:t>-14</w:t>
                  </w:r>
                </w:p>
              </w:tc>
              <w:tc>
                <w:tcPr>
                  <w:tcW w:w="553" w:type="pct"/>
                  <w:tcBorders>
                    <w:left w:val="nil"/>
                    <w:bottom w:val="nil"/>
                    <w:right w:val="nil"/>
                  </w:tcBorders>
                  <w:shd w:val="clear" w:color="auto" w:fill="auto"/>
                  <w:vAlign w:val="bottom"/>
                </w:tcPr>
                <w:p w14:paraId="7954B8E7" w14:textId="77777777" w:rsidR="00F05DC7" w:rsidRPr="00F301A8" w:rsidRDefault="00F05DC7" w:rsidP="00A3786D">
                  <w:pPr>
                    <w:pStyle w:val="TableBodyText"/>
                  </w:pPr>
                  <w:r w:rsidRPr="00F301A8">
                    <w:t>-4</w:t>
                  </w:r>
                </w:p>
              </w:tc>
              <w:tc>
                <w:tcPr>
                  <w:tcW w:w="551" w:type="pct"/>
                  <w:tcBorders>
                    <w:left w:val="nil"/>
                    <w:bottom w:val="nil"/>
                    <w:right w:val="nil"/>
                  </w:tcBorders>
                  <w:shd w:val="clear" w:color="auto" w:fill="auto"/>
                  <w:vAlign w:val="bottom"/>
                </w:tcPr>
                <w:p w14:paraId="7954B8E8" w14:textId="77777777" w:rsidR="00F05DC7" w:rsidRPr="00F301A8" w:rsidRDefault="00F05DC7" w:rsidP="00A3786D">
                  <w:pPr>
                    <w:pStyle w:val="TableBodyText"/>
                  </w:pPr>
                  <w:r w:rsidRPr="00F301A8">
                    <w:t>-4</w:t>
                  </w:r>
                </w:p>
              </w:tc>
              <w:tc>
                <w:tcPr>
                  <w:tcW w:w="551" w:type="pct"/>
                  <w:tcBorders>
                    <w:left w:val="nil"/>
                    <w:bottom w:val="nil"/>
                    <w:right w:val="nil"/>
                  </w:tcBorders>
                  <w:shd w:val="clear" w:color="auto" w:fill="auto"/>
                  <w:vAlign w:val="bottom"/>
                </w:tcPr>
                <w:p w14:paraId="7954B8E9" w14:textId="77777777" w:rsidR="00F05DC7" w:rsidRPr="00F301A8" w:rsidRDefault="00F05DC7" w:rsidP="00A3786D">
                  <w:pPr>
                    <w:pStyle w:val="TableBodyText"/>
                  </w:pPr>
                  <w:r w:rsidRPr="00F301A8">
                    <w:t>-2</w:t>
                  </w:r>
                </w:p>
              </w:tc>
            </w:tr>
            <w:tr w:rsidR="00F05DC7" w14:paraId="7954B8F4" w14:textId="77777777" w:rsidTr="00A3786D">
              <w:tc>
                <w:tcPr>
                  <w:tcW w:w="580" w:type="pct"/>
                </w:tcPr>
                <w:p w14:paraId="7954B8EB" w14:textId="77777777" w:rsidR="00F05DC7" w:rsidRPr="00F301A8" w:rsidRDefault="00F05DC7" w:rsidP="00A3786D">
                  <w:pPr>
                    <w:pStyle w:val="TableUnitsRow"/>
                    <w:jc w:val="left"/>
                    <w:rPr>
                      <w:rFonts w:cs="Arial"/>
                      <w:szCs w:val="18"/>
                    </w:rPr>
                  </w:pPr>
                  <w:r w:rsidRPr="00F301A8">
                    <w:rPr>
                      <w:rFonts w:cs="Arial"/>
                      <w:szCs w:val="18"/>
                    </w:rPr>
                    <w:t>2012-13</w:t>
                  </w:r>
                </w:p>
              </w:tc>
              <w:tc>
                <w:tcPr>
                  <w:tcW w:w="553" w:type="pct"/>
                  <w:tcBorders>
                    <w:left w:val="nil"/>
                    <w:bottom w:val="nil"/>
                    <w:right w:val="nil"/>
                  </w:tcBorders>
                  <w:shd w:val="clear" w:color="auto" w:fill="auto"/>
                  <w:vAlign w:val="bottom"/>
                </w:tcPr>
                <w:p w14:paraId="7954B8EC" w14:textId="77777777" w:rsidR="00F05DC7" w:rsidRPr="00F301A8" w:rsidRDefault="00F05DC7" w:rsidP="00A3786D">
                  <w:pPr>
                    <w:pStyle w:val="TableBodyText"/>
                  </w:pPr>
                  <w:r w:rsidRPr="00F301A8">
                    <w:t>-126</w:t>
                  </w:r>
                </w:p>
              </w:tc>
              <w:tc>
                <w:tcPr>
                  <w:tcW w:w="553" w:type="pct"/>
                  <w:tcBorders>
                    <w:left w:val="nil"/>
                    <w:bottom w:val="nil"/>
                    <w:right w:val="nil"/>
                  </w:tcBorders>
                  <w:shd w:val="clear" w:color="auto" w:fill="auto"/>
                  <w:vAlign w:val="bottom"/>
                </w:tcPr>
                <w:p w14:paraId="7954B8ED" w14:textId="77777777" w:rsidR="00F05DC7" w:rsidRPr="00F301A8" w:rsidRDefault="00F05DC7" w:rsidP="00A3786D">
                  <w:pPr>
                    <w:pStyle w:val="TableBodyText"/>
                  </w:pPr>
                  <w:r w:rsidRPr="00F301A8">
                    <w:t>-97</w:t>
                  </w:r>
                </w:p>
              </w:tc>
              <w:tc>
                <w:tcPr>
                  <w:tcW w:w="553" w:type="pct"/>
                  <w:tcBorders>
                    <w:left w:val="nil"/>
                    <w:bottom w:val="nil"/>
                    <w:right w:val="nil"/>
                  </w:tcBorders>
                  <w:shd w:val="clear" w:color="auto" w:fill="auto"/>
                  <w:vAlign w:val="bottom"/>
                </w:tcPr>
                <w:p w14:paraId="7954B8EE" w14:textId="77777777" w:rsidR="00F05DC7" w:rsidRPr="00F301A8" w:rsidRDefault="00F05DC7" w:rsidP="00A3786D">
                  <w:pPr>
                    <w:pStyle w:val="TableBodyText"/>
                  </w:pPr>
                  <w:r w:rsidRPr="00F301A8">
                    <w:t>-79</w:t>
                  </w:r>
                </w:p>
              </w:tc>
              <w:tc>
                <w:tcPr>
                  <w:tcW w:w="553" w:type="pct"/>
                  <w:tcBorders>
                    <w:left w:val="nil"/>
                    <w:bottom w:val="nil"/>
                    <w:right w:val="nil"/>
                  </w:tcBorders>
                  <w:shd w:val="clear" w:color="auto" w:fill="auto"/>
                  <w:vAlign w:val="bottom"/>
                </w:tcPr>
                <w:p w14:paraId="7954B8EF" w14:textId="77777777" w:rsidR="00F05DC7" w:rsidRPr="00F301A8" w:rsidRDefault="00F05DC7" w:rsidP="00A3786D">
                  <w:pPr>
                    <w:pStyle w:val="TableBodyText"/>
                  </w:pPr>
                  <w:r w:rsidRPr="00F301A8">
                    <w:t>339</w:t>
                  </w:r>
                </w:p>
              </w:tc>
              <w:tc>
                <w:tcPr>
                  <w:tcW w:w="553" w:type="pct"/>
                  <w:tcBorders>
                    <w:left w:val="nil"/>
                    <w:bottom w:val="nil"/>
                    <w:right w:val="nil"/>
                  </w:tcBorders>
                  <w:shd w:val="clear" w:color="auto" w:fill="auto"/>
                  <w:vAlign w:val="bottom"/>
                </w:tcPr>
                <w:p w14:paraId="7954B8F0" w14:textId="77777777" w:rsidR="00F05DC7" w:rsidRPr="00F301A8" w:rsidRDefault="00F05DC7" w:rsidP="00A3786D">
                  <w:pPr>
                    <w:pStyle w:val="TableBodyText"/>
                  </w:pPr>
                  <w:r w:rsidRPr="00F301A8">
                    <w:t>-21</w:t>
                  </w:r>
                </w:p>
              </w:tc>
              <w:tc>
                <w:tcPr>
                  <w:tcW w:w="553" w:type="pct"/>
                  <w:tcBorders>
                    <w:left w:val="nil"/>
                    <w:bottom w:val="nil"/>
                    <w:right w:val="nil"/>
                  </w:tcBorders>
                  <w:shd w:val="clear" w:color="auto" w:fill="auto"/>
                  <w:vAlign w:val="bottom"/>
                </w:tcPr>
                <w:p w14:paraId="7954B8F1" w14:textId="77777777" w:rsidR="00F05DC7" w:rsidRPr="00F301A8" w:rsidRDefault="00F05DC7" w:rsidP="00A3786D">
                  <w:pPr>
                    <w:pStyle w:val="TableBodyText"/>
                  </w:pPr>
                  <w:r w:rsidRPr="00F301A8">
                    <w:t>-7</w:t>
                  </w:r>
                </w:p>
              </w:tc>
              <w:tc>
                <w:tcPr>
                  <w:tcW w:w="551" w:type="pct"/>
                  <w:tcBorders>
                    <w:left w:val="nil"/>
                    <w:bottom w:val="nil"/>
                    <w:right w:val="nil"/>
                  </w:tcBorders>
                  <w:shd w:val="clear" w:color="auto" w:fill="auto"/>
                  <w:vAlign w:val="bottom"/>
                </w:tcPr>
                <w:p w14:paraId="7954B8F2" w14:textId="77777777" w:rsidR="00F05DC7" w:rsidRPr="00F301A8" w:rsidRDefault="00F05DC7" w:rsidP="00A3786D">
                  <w:pPr>
                    <w:pStyle w:val="TableBodyText"/>
                  </w:pPr>
                  <w:r w:rsidRPr="00F301A8">
                    <w:t>-6</w:t>
                  </w:r>
                </w:p>
              </w:tc>
              <w:tc>
                <w:tcPr>
                  <w:tcW w:w="551" w:type="pct"/>
                  <w:tcBorders>
                    <w:left w:val="nil"/>
                    <w:bottom w:val="nil"/>
                    <w:right w:val="nil"/>
                  </w:tcBorders>
                  <w:shd w:val="clear" w:color="auto" w:fill="auto"/>
                  <w:vAlign w:val="bottom"/>
                </w:tcPr>
                <w:p w14:paraId="7954B8F3" w14:textId="77777777" w:rsidR="00F05DC7" w:rsidRPr="00F301A8" w:rsidRDefault="00F05DC7" w:rsidP="00A3786D">
                  <w:pPr>
                    <w:pStyle w:val="TableBodyText"/>
                  </w:pPr>
                  <w:r w:rsidRPr="00F301A8">
                    <w:t>-3</w:t>
                  </w:r>
                </w:p>
              </w:tc>
            </w:tr>
            <w:tr w:rsidR="00F05DC7" w14:paraId="7954B8FE" w14:textId="77777777" w:rsidTr="00A3786D">
              <w:tc>
                <w:tcPr>
                  <w:tcW w:w="580" w:type="pct"/>
                </w:tcPr>
                <w:p w14:paraId="7954B8F5" w14:textId="77777777" w:rsidR="00F05DC7" w:rsidRPr="00F301A8" w:rsidRDefault="00F05DC7" w:rsidP="00A3786D">
                  <w:pPr>
                    <w:pStyle w:val="TableUnitsRow"/>
                    <w:jc w:val="left"/>
                    <w:rPr>
                      <w:rFonts w:cs="Arial"/>
                      <w:szCs w:val="18"/>
                    </w:rPr>
                  </w:pPr>
                  <w:r w:rsidRPr="00F301A8">
                    <w:rPr>
                      <w:rFonts w:cs="Arial"/>
                      <w:szCs w:val="18"/>
                    </w:rPr>
                    <w:t>2013-14</w:t>
                  </w:r>
                </w:p>
              </w:tc>
              <w:tc>
                <w:tcPr>
                  <w:tcW w:w="553" w:type="pct"/>
                  <w:tcBorders>
                    <w:left w:val="nil"/>
                    <w:bottom w:val="nil"/>
                    <w:right w:val="nil"/>
                  </w:tcBorders>
                  <w:shd w:val="clear" w:color="auto" w:fill="auto"/>
                  <w:vAlign w:val="bottom"/>
                </w:tcPr>
                <w:p w14:paraId="7954B8F6" w14:textId="77777777" w:rsidR="00F05DC7" w:rsidRPr="00F301A8" w:rsidRDefault="00F05DC7" w:rsidP="00A3786D">
                  <w:pPr>
                    <w:pStyle w:val="TableBodyText"/>
                  </w:pPr>
                  <w:r w:rsidRPr="00F301A8">
                    <w:t>-207</w:t>
                  </w:r>
                </w:p>
              </w:tc>
              <w:tc>
                <w:tcPr>
                  <w:tcW w:w="553" w:type="pct"/>
                  <w:tcBorders>
                    <w:left w:val="nil"/>
                    <w:bottom w:val="nil"/>
                    <w:right w:val="nil"/>
                  </w:tcBorders>
                  <w:shd w:val="clear" w:color="auto" w:fill="auto"/>
                  <w:vAlign w:val="bottom"/>
                </w:tcPr>
                <w:p w14:paraId="7954B8F7" w14:textId="77777777" w:rsidR="00F05DC7" w:rsidRPr="00F301A8" w:rsidRDefault="00F05DC7" w:rsidP="00A3786D">
                  <w:pPr>
                    <w:pStyle w:val="TableBodyText"/>
                  </w:pPr>
                  <w:r w:rsidRPr="00F301A8">
                    <w:t>-161</w:t>
                  </w:r>
                </w:p>
              </w:tc>
              <w:tc>
                <w:tcPr>
                  <w:tcW w:w="553" w:type="pct"/>
                  <w:tcBorders>
                    <w:left w:val="nil"/>
                    <w:bottom w:val="nil"/>
                    <w:right w:val="nil"/>
                  </w:tcBorders>
                  <w:shd w:val="clear" w:color="auto" w:fill="auto"/>
                  <w:vAlign w:val="bottom"/>
                </w:tcPr>
                <w:p w14:paraId="7954B8F8" w14:textId="77777777" w:rsidR="00F05DC7" w:rsidRPr="00F301A8" w:rsidRDefault="00F05DC7" w:rsidP="00A3786D">
                  <w:pPr>
                    <w:pStyle w:val="TableBodyText"/>
                  </w:pPr>
                  <w:r w:rsidRPr="00F301A8">
                    <w:t>-130</w:t>
                  </w:r>
                </w:p>
              </w:tc>
              <w:tc>
                <w:tcPr>
                  <w:tcW w:w="553" w:type="pct"/>
                  <w:tcBorders>
                    <w:left w:val="nil"/>
                    <w:bottom w:val="nil"/>
                    <w:right w:val="nil"/>
                  </w:tcBorders>
                  <w:shd w:val="clear" w:color="auto" w:fill="auto"/>
                  <w:vAlign w:val="bottom"/>
                </w:tcPr>
                <w:p w14:paraId="7954B8F9" w14:textId="77777777" w:rsidR="00F05DC7" w:rsidRPr="00F301A8" w:rsidRDefault="00F05DC7" w:rsidP="00A3786D">
                  <w:pPr>
                    <w:pStyle w:val="TableBodyText"/>
                  </w:pPr>
                  <w:r w:rsidRPr="00F301A8">
                    <w:t>554</w:t>
                  </w:r>
                </w:p>
              </w:tc>
              <w:tc>
                <w:tcPr>
                  <w:tcW w:w="553" w:type="pct"/>
                  <w:tcBorders>
                    <w:left w:val="nil"/>
                    <w:bottom w:val="nil"/>
                    <w:right w:val="nil"/>
                  </w:tcBorders>
                  <w:shd w:val="clear" w:color="auto" w:fill="auto"/>
                  <w:vAlign w:val="bottom"/>
                </w:tcPr>
                <w:p w14:paraId="7954B8FA" w14:textId="77777777" w:rsidR="00F05DC7" w:rsidRPr="00F301A8" w:rsidRDefault="00F05DC7" w:rsidP="00A3786D">
                  <w:pPr>
                    <w:pStyle w:val="TableBodyText"/>
                  </w:pPr>
                  <w:r w:rsidRPr="00F301A8">
                    <w:t>-32</w:t>
                  </w:r>
                </w:p>
              </w:tc>
              <w:tc>
                <w:tcPr>
                  <w:tcW w:w="553" w:type="pct"/>
                  <w:tcBorders>
                    <w:left w:val="nil"/>
                    <w:bottom w:val="nil"/>
                    <w:right w:val="nil"/>
                  </w:tcBorders>
                  <w:shd w:val="clear" w:color="auto" w:fill="auto"/>
                  <w:vAlign w:val="bottom"/>
                </w:tcPr>
                <w:p w14:paraId="7954B8FB" w14:textId="77777777" w:rsidR="00F05DC7" w:rsidRPr="00F301A8" w:rsidRDefault="00F05DC7" w:rsidP="00A3786D">
                  <w:pPr>
                    <w:pStyle w:val="TableBodyText"/>
                  </w:pPr>
                  <w:r w:rsidRPr="00F301A8">
                    <w:t>-12</w:t>
                  </w:r>
                </w:p>
              </w:tc>
              <w:tc>
                <w:tcPr>
                  <w:tcW w:w="551" w:type="pct"/>
                  <w:tcBorders>
                    <w:left w:val="nil"/>
                    <w:bottom w:val="nil"/>
                    <w:right w:val="nil"/>
                  </w:tcBorders>
                  <w:shd w:val="clear" w:color="auto" w:fill="auto"/>
                  <w:vAlign w:val="bottom"/>
                </w:tcPr>
                <w:p w14:paraId="7954B8FC" w14:textId="77777777" w:rsidR="00F05DC7" w:rsidRPr="00F301A8" w:rsidRDefault="00F05DC7" w:rsidP="00A3786D">
                  <w:pPr>
                    <w:pStyle w:val="TableBodyText"/>
                  </w:pPr>
                  <w:r w:rsidRPr="00F301A8">
                    <w:t>-11</w:t>
                  </w:r>
                </w:p>
              </w:tc>
              <w:tc>
                <w:tcPr>
                  <w:tcW w:w="551" w:type="pct"/>
                  <w:tcBorders>
                    <w:left w:val="nil"/>
                    <w:bottom w:val="nil"/>
                    <w:right w:val="nil"/>
                  </w:tcBorders>
                  <w:shd w:val="clear" w:color="auto" w:fill="auto"/>
                  <w:vAlign w:val="bottom"/>
                </w:tcPr>
                <w:p w14:paraId="7954B8FD" w14:textId="77777777" w:rsidR="00F05DC7" w:rsidRPr="00F301A8" w:rsidRDefault="00F05DC7" w:rsidP="00A3786D">
                  <w:pPr>
                    <w:pStyle w:val="TableBodyText"/>
                  </w:pPr>
                  <w:r w:rsidRPr="00F301A8">
                    <w:t>-2</w:t>
                  </w:r>
                </w:p>
              </w:tc>
            </w:tr>
            <w:tr w:rsidR="00F05DC7" w14:paraId="7954B908" w14:textId="77777777" w:rsidTr="00A3786D">
              <w:tc>
                <w:tcPr>
                  <w:tcW w:w="580" w:type="pct"/>
                </w:tcPr>
                <w:p w14:paraId="7954B8FF" w14:textId="77777777" w:rsidR="00F05DC7" w:rsidRPr="00F301A8" w:rsidRDefault="00F05DC7" w:rsidP="00A3786D">
                  <w:pPr>
                    <w:pStyle w:val="TableUnitsRow"/>
                    <w:jc w:val="left"/>
                    <w:rPr>
                      <w:rFonts w:cs="Arial"/>
                      <w:szCs w:val="18"/>
                    </w:rPr>
                  </w:pPr>
                  <w:r w:rsidRPr="00F301A8">
                    <w:rPr>
                      <w:rFonts w:cs="Arial"/>
                      <w:szCs w:val="18"/>
                    </w:rPr>
                    <w:t>2014-15</w:t>
                  </w:r>
                </w:p>
              </w:tc>
              <w:tc>
                <w:tcPr>
                  <w:tcW w:w="553" w:type="pct"/>
                  <w:tcBorders>
                    <w:left w:val="nil"/>
                    <w:bottom w:val="nil"/>
                    <w:right w:val="nil"/>
                  </w:tcBorders>
                  <w:shd w:val="clear" w:color="auto" w:fill="auto"/>
                  <w:vAlign w:val="bottom"/>
                </w:tcPr>
                <w:p w14:paraId="7954B900" w14:textId="77777777" w:rsidR="00F05DC7" w:rsidRPr="00F301A8" w:rsidRDefault="00F05DC7" w:rsidP="00A3786D">
                  <w:pPr>
                    <w:pStyle w:val="TableBodyText"/>
                  </w:pPr>
                  <w:r w:rsidRPr="00F301A8">
                    <w:t>-162</w:t>
                  </w:r>
                </w:p>
              </w:tc>
              <w:tc>
                <w:tcPr>
                  <w:tcW w:w="553" w:type="pct"/>
                  <w:tcBorders>
                    <w:left w:val="nil"/>
                    <w:bottom w:val="nil"/>
                    <w:right w:val="nil"/>
                  </w:tcBorders>
                  <w:shd w:val="clear" w:color="auto" w:fill="auto"/>
                  <w:vAlign w:val="bottom"/>
                </w:tcPr>
                <w:p w14:paraId="7954B901" w14:textId="77777777" w:rsidR="00F05DC7" w:rsidRPr="00F301A8" w:rsidRDefault="00F05DC7" w:rsidP="00A3786D">
                  <w:pPr>
                    <w:pStyle w:val="TableBodyText"/>
                  </w:pPr>
                  <w:r w:rsidRPr="00F301A8">
                    <w:t>-128</w:t>
                  </w:r>
                </w:p>
              </w:tc>
              <w:tc>
                <w:tcPr>
                  <w:tcW w:w="553" w:type="pct"/>
                  <w:tcBorders>
                    <w:left w:val="nil"/>
                    <w:bottom w:val="nil"/>
                    <w:right w:val="nil"/>
                  </w:tcBorders>
                  <w:shd w:val="clear" w:color="auto" w:fill="auto"/>
                  <w:vAlign w:val="bottom"/>
                </w:tcPr>
                <w:p w14:paraId="7954B902" w14:textId="77777777" w:rsidR="00F05DC7" w:rsidRPr="00F301A8" w:rsidRDefault="00F05DC7" w:rsidP="00A3786D">
                  <w:pPr>
                    <w:pStyle w:val="TableBodyText"/>
                  </w:pPr>
                  <w:r w:rsidRPr="00F301A8">
                    <w:t>-102</w:t>
                  </w:r>
                </w:p>
              </w:tc>
              <w:tc>
                <w:tcPr>
                  <w:tcW w:w="553" w:type="pct"/>
                  <w:tcBorders>
                    <w:left w:val="nil"/>
                    <w:bottom w:val="nil"/>
                    <w:right w:val="nil"/>
                  </w:tcBorders>
                  <w:shd w:val="clear" w:color="auto" w:fill="auto"/>
                  <w:vAlign w:val="bottom"/>
                </w:tcPr>
                <w:p w14:paraId="7954B903" w14:textId="77777777" w:rsidR="00F05DC7" w:rsidRPr="00F301A8" w:rsidRDefault="00F05DC7" w:rsidP="00A3786D">
                  <w:pPr>
                    <w:pStyle w:val="TableBodyText"/>
                  </w:pPr>
                  <w:r w:rsidRPr="00F301A8">
                    <w:t>439</w:t>
                  </w:r>
                </w:p>
              </w:tc>
              <w:tc>
                <w:tcPr>
                  <w:tcW w:w="553" w:type="pct"/>
                  <w:tcBorders>
                    <w:left w:val="nil"/>
                    <w:bottom w:val="nil"/>
                    <w:right w:val="nil"/>
                  </w:tcBorders>
                  <w:shd w:val="clear" w:color="auto" w:fill="auto"/>
                  <w:vAlign w:val="bottom"/>
                </w:tcPr>
                <w:p w14:paraId="7954B904" w14:textId="77777777" w:rsidR="00F05DC7" w:rsidRPr="00F301A8" w:rsidRDefault="00F05DC7" w:rsidP="00A3786D">
                  <w:pPr>
                    <w:pStyle w:val="TableBodyText"/>
                  </w:pPr>
                  <w:r w:rsidRPr="00F301A8">
                    <w:t>-28</w:t>
                  </w:r>
                </w:p>
              </w:tc>
              <w:tc>
                <w:tcPr>
                  <w:tcW w:w="553" w:type="pct"/>
                  <w:tcBorders>
                    <w:left w:val="nil"/>
                    <w:bottom w:val="nil"/>
                    <w:right w:val="nil"/>
                  </w:tcBorders>
                  <w:shd w:val="clear" w:color="auto" w:fill="auto"/>
                  <w:vAlign w:val="bottom"/>
                </w:tcPr>
                <w:p w14:paraId="7954B905" w14:textId="77777777" w:rsidR="00F05DC7" w:rsidRPr="00F301A8" w:rsidRDefault="00F05DC7" w:rsidP="00A3786D">
                  <w:pPr>
                    <w:pStyle w:val="TableBodyText"/>
                  </w:pPr>
                  <w:r w:rsidRPr="00F301A8">
                    <w:t>-9</w:t>
                  </w:r>
                </w:p>
              </w:tc>
              <w:tc>
                <w:tcPr>
                  <w:tcW w:w="551" w:type="pct"/>
                  <w:tcBorders>
                    <w:left w:val="nil"/>
                    <w:bottom w:val="nil"/>
                    <w:right w:val="nil"/>
                  </w:tcBorders>
                  <w:shd w:val="clear" w:color="auto" w:fill="auto"/>
                  <w:vAlign w:val="bottom"/>
                </w:tcPr>
                <w:p w14:paraId="7954B906" w14:textId="77777777" w:rsidR="00F05DC7" w:rsidRPr="00F301A8" w:rsidRDefault="00F05DC7" w:rsidP="00A3786D">
                  <w:pPr>
                    <w:pStyle w:val="TableBodyText"/>
                  </w:pPr>
                  <w:r w:rsidRPr="00F301A8">
                    <w:t>-8</w:t>
                  </w:r>
                </w:p>
              </w:tc>
              <w:tc>
                <w:tcPr>
                  <w:tcW w:w="551" w:type="pct"/>
                  <w:tcBorders>
                    <w:left w:val="nil"/>
                    <w:bottom w:val="nil"/>
                    <w:right w:val="nil"/>
                  </w:tcBorders>
                  <w:shd w:val="clear" w:color="auto" w:fill="auto"/>
                  <w:vAlign w:val="bottom"/>
                </w:tcPr>
                <w:p w14:paraId="7954B907" w14:textId="77777777" w:rsidR="00F05DC7" w:rsidRPr="00F301A8" w:rsidRDefault="00F05DC7" w:rsidP="00A3786D">
                  <w:pPr>
                    <w:pStyle w:val="TableBodyText"/>
                  </w:pPr>
                  <w:r w:rsidRPr="00F301A8">
                    <w:t>-2</w:t>
                  </w:r>
                </w:p>
              </w:tc>
            </w:tr>
            <w:tr w:rsidR="00F05DC7" w14:paraId="7954B912" w14:textId="77777777" w:rsidTr="00A3786D">
              <w:tc>
                <w:tcPr>
                  <w:tcW w:w="580" w:type="pct"/>
                </w:tcPr>
                <w:p w14:paraId="7954B909" w14:textId="77777777" w:rsidR="00F05DC7" w:rsidRPr="00F301A8" w:rsidRDefault="00F05DC7" w:rsidP="00A3786D">
                  <w:pPr>
                    <w:pStyle w:val="TableUnitsRow"/>
                    <w:jc w:val="left"/>
                    <w:rPr>
                      <w:rFonts w:cs="Arial"/>
                      <w:szCs w:val="18"/>
                    </w:rPr>
                  </w:pPr>
                  <w:r w:rsidRPr="00F301A8">
                    <w:rPr>
                      <w:rFonts w:cs="Arial"/>
                      <w:szCs w:val="18"/>
                    </w:rPr>
                    <w:t>2015-16</w:t>
                  </w:r>
                </w:p>
              </w:tc>
              <w:tc>
                <w:tcPr>
                  <w:tcW w:w="553" w:type="pct"/>
                  <w:tcBorders>
                    <w:left w:val="nil"/>
                    <w:right w:val="nil"/>
                  </w:tcBorders>
                  <w:shd w:val="clear" w:color="auto" w:fill="auto"/>
                  <w:vAlign w:val="bottom"/>
                </w:tcPr>
                <w:p w14:paraId="7954B90A" w14:textId="77777777" w:rsidR="00F05DC7" w:rsidRPr="00F301A8" w:rsidRDefault="00F05DC7" w:rsidP="00A3786D">
                  <w:pPr>
                    <w:pStyle w:val="TableBodyText"/>
                  </w:pPr>
                  <w:r w:rsidRPr="00F301A8">
                    <w:t>-148</w:t>
                  </w:r>
                </w:p>
              </w:tc>
              <w:tc>
                <w:tcPr>
                  <w:tcW w:w="553" w:type="pct"/>
                  <w:tcBorders>
                    <w:left w:val="nil"/>
                    <w:right w:val="nil"/>
                  </w:tcBorders>
                  <w:shd w:val="clear" w:color="auto" w:fill="auto"/>
                  <w:vAlign w:val="bottom"/>
                </w:tcPr>
                <w:p w14:paraId="7954B90B" w14:textId="77777777" w:rsidR="00F05DC7" w:rsidRPr="00F301A8" w:rsidRDefault="00F05DC7" w:rsidP="00A3786D">
                  <w:pPr>
                    <w:pStyle w:val="TableBodyText"/>
                  </w:pPr>
                  <w:r w:rsidRPr="00F301A8">
                    <w:t>-117</w:t>
                  </w:r>
                </w:p>
              </w:tc>
              <w:tc>
                <w:tcPr>
                  <w:tcW w:w="553" w:type="pct"/>
                  <w:tcBorders>
                    <w:left w:val="nil"/>
                    <w:right w:val="nil"/>
                  </w:tcBorders>
                  <w:shd w:val="clear" w:color="auto" w:fill="auto"/>
                  <w:vAlign w:val="bottom"/>
                </w:tcPr>
                <w:p w14:paraId="7954B90C" w14:textId="77777777" w:rsidR="00F05DC7" w:rsidRPr="00F301A8" w:rsidRDefault="00F05DC7" w:rsidP="00A3786D">
                  <w:pPr>
                    <w:pStyle w:val="TableBodyText"/>
                  </w:pPr>
                  <w:r w:rsidRPr="00F301A8">
                    <w:t>-93</w:t>
                  </w:r>
                </w:p>
              </w:tc>
              <w:tc>
                <w:tcPr>
                  <w:tcW w:w="553" w:type="pct"/>
                  <w:tcBorders>
                    <w:left w:val="nil"/>
                    <w:right w:val="nil"/>
                  </w:tcBorders>
                  <w:shd w:val="clear" w:color="auto" w:fill="auto"/>
                  <w:vAlign w:val="bottom"/>
                </w:tcPr>
                <w:p w14:paraId="7954B90D" w14:textId="77777777" w:rsidR="00F05DC7" w:rsidRPr="00F301A8" w:rsidRDefault="00F05DC7" w:rsidP="00A3786D">
                  <w:pPr>
                    <w:pStyle w:val="TableBodyText"/>
                  </w:pPr>
                  <w:r w:rsidRPr="00F301A8">
                    <w:t>406</w:t>
                  </w:r>
                </w:p>
              </w:tc>
              <w:tc>
                <w:tcPr>
                  <w:tcW w:w="553" w:type="pct"/>
                  <w:tcBorders>
                    <w:left w:val="nil"/>
                    <w:right w:val="nil"/>
                  </w:tcBorders>
                  <w:shd w:val="clear" w:color="auto" w:fill="auto"/>
                  <w:vAlign w:val="bottom"/>
                </w:tcPr>
                <w:p w14:paraId="7954B90E" w14:textId="77777777" w:rsidR="00F05DC7" w:rsidRPr="00F301A8" w:rsidRDefault="00F05DC7" w:rsidP="00A3786D">
                  <w:pPr>
                    <w:pStyle w:val="TableBodyText"/>
                  </w:pPr>
                  <w:r w:rsidRPr="00F301A8">
                    <w:t>-28</w:t>
                  </w:r>
                </w:p>
              </w:tc>
              <w:tc>
                <w:tcPr>
                  <w:tcW w:w="553" w:type="pct"/>
                  <w:tcBorders>
                    <w:left w:val="nil"/>
                    <w:right w:val="nil"/>
                  </w:tcBorders>
                  <w:shd w:val="clear" w:color="auto" w:fill="auto"/>
                  <w:vAlign w:val="bottom"/>
                </w:tcPr>
                <w:p w14:paraId="7954B90F" w14:textId="77777777" w:rsidR="00F05DC7" w:rsidRPr="00F301A8" w:rsidRDefault="00F05DC7" w:rsidP="00A3786D">
                  <w:pPr>
                    <w:pStyle w:val="TableBodyText"/>
                  </w:pPr>
                  <w:r w:rsidRPr="00F301A8">
                    <w:t>-8</w:t>
                  </w:r>
                </w:p>
              </w:tc>
              <w:tc>
                <w:tcPr>
                  <w:tcW w:w="551" w:type="pct"/>
                  <w:tcBorders>
                    <w:left w:val="nil"/>
                    <w:right w:val="nil"/>
                  </w:tcBorders>
                  <w:shd w:val="clear" w:color="auto" w:fill="auto"/>
                  <w:vAlign w:val="bottom"/>
                </w:tcPr>
                <w:p w14:paraId="7954B910" w14:textId="77777777" w:rsidR="00F05DC7" w:rsidRPr="00F301A8" w:rsidRDefault="00F05DC7" w:rsidP="00A3786D">
                  <w:pPr>
                    <w:pStyle w:val="TableBodyText"/>
                  </w:pPr>
                  <w:r w:rsidRPr="00F301A8">
                    <w:t>-8</w:t>
                  </w:r>
                </w:p>
              </w:tc>
              <w:tc>
                <w:tcPr>
                  <w:tcW w:w="551" w:type="pct"/>
                  <w:tcBorders>
                    <w:left w:val="nil"/>
                    <w:right w:val="nil"/>
                  </w:tcBorders>
                  <w:shd w:val="clear" w:color="auto" w:fill="auto"/>
                  <w:vAlign w:val="bottom"/>
                </w:tcPr>
                <w:p w14:paraId="7954B911" w14:textId="77777777" w:rsidR="00F05DC7" w:rsidRPr="00F301A8" w:rsidRDefault="00F05DC7" w:rsidP="00A3786D">
                  <w:pPr>
                    <w:pStyle w:val="TableBodyText"/>
                  </w:pPr>
                  <w:r w:rsidRPr="00F301A8">
                    <w:t>-5</w:t>
                  </w:r>
                </w:p>
              </w:tc>
            </w:tr>
            <w:tr w:rsidR="00F05DC7" w14:paraId="7954B91C" w14:textId="77777777" w:rsidTr="00A3786D">
              <w:tc>
                <w:tcPr>
                  <w:tcW w:w="580" w:type="pct"/>
                </w:tcPr>
                <w:p w14:paraId="7954B913" w14:textId="77777777" w:rsidR="00F05DC7" w:rsidRPr="00F301A8" w:rsidRDefault="00F05DC7" w:rsidP="00A3786D">
                  <w:pPr>
                    <w:pStyle w:val="TableUnitsRow"/>
                    <w:jc w:val="left"/>
                    <w:rPr>
                      <w:rFonts w:cs="Arial"/>
                      <w:szCs w:val="18"/>
                    </w:rPr>
                  </w:pPr>
                  <w:r w:rsidRPr="00F301A8">
                    <w:rPr>
                      <w:rFonts w:cs="Arial"/>
                      <w:szCs w:val="18"/>
                    </w:rPr>
                    <w:t>2016-17</w:t>
                  </w:r>
                </w:p>
              </w:tc>
              <w:tc>
                <w:tcPr>
                  <w:tcW w:w="553" w:type="pct"/>
                  <w:tcBorders>
                    <w:left w:val="nil"/>
                    <w:right w:val="nil"/>
                  </w:tcBorders>
                  <w:shd w:val="clear" w:color="auto" w:fill="auto"/>
                  <w:vAlign w:val="bottom"/>
                </w:tcPr>
                <w:p w14:paraId="7954B914" w14:textId="77777777" w:rsidR="00F05DC7" w:rsidRPr="00F301A8" w:rsidRDefault="00F05DC7" w:rsidP="00A3786D">
                  <w:pPr>
                    <w:pStyle w:val="TableBodyText"/>
                  </w:pPr>
                  <w:r w:rsidRPr="00F301A8">
                    <w:t>-192</w:t>
                  </w:r>
                </w:p>
              </w:tc>
              <w:tc>
                <w:tcPr>
                  <w:tcW w:w="553" w:type="pct"/>
                  <w:tcBorders>
                    <w:left w:val="nil"/>
                    <w:right w:val="nil"/>
                  </w:tcBorders>
                  <w:shd w:val="clear" w:color="auto" w:fill="auto"/>
                  <w:vAlign w:val="bottom"/>
                </w:tcPr>
                <w:p w14:paraId="7954B915" w14:textId="77777777" w:rsidR="00F05DC7" w:rsidRPr="00F301A8" w:rsidRDefault="00F05DC7" w:rsidP="00A3786D">
                  <w:pPr>
                    <w:pStyle w:val="TableBodyText"/>
                  </w:pPr>
                  <w:r w:rsidRPr="00F301A8">
                    <w:t>-154</w:t>
                  </w:r>
                </w:p>
              </w:tc>
              <w:tc>
                <w:tcPr>
                  <w:tcW w:w="553" w:type="pct"/>
                  <w:tcBorders>
                    <w:left w:val="nil"/>
                    <w:right w:val="nil"/>
                  </w:tcBorders>
                  <w:shd w:val="clear" w:color="auto" w:fill="auto"/>
                  <w:vAlign w:val="bottom"/>
                </w:tcPr>
                <w:p w14:paraId="7954B916" w14:textId="77777777" w:rsidR="00F05DC7" w:rsidRPr="00F301A8" w:rsidRDefault="00F05DC7" w:rsidP="00A3786D">
                  <w:pPr>
                    <w:pStyle w:val="TableBodyText"/>
                  </w:pPr>
                  <w:r w:rsidRPr="00F301A8">
                    <w:t>-120</w:t>
                  </w:r>
                </w:p>
              </w:tc>
              <w:tc>
                <w:tcPr>
                  <w:tcW w:w="553" w:type="pct"/>
                  <w:tcBorders>
                    <w:left w:val="nil"/>
                    <w:right w:val="nil"/>
                  </w:tcBorders>
                  <w:shd w:val="clear" w:color="auto" w:fill="auto"/>
                  <w:vAlign w:val="bottom"/>
                </w:tcPr>
                <w:p w14:paraId="7954B917" w14:textId="77777777" w:rsidR="00F05DC7" w:rsidRPr="00F301A8" w:rsidRDefault="00F05DC7" w:rsidP="00A3786D">
                  <w:pPr>
                    <w:pStyle w:val="TableBodyText"/>
                  </w:pPr>
                  <w:r w:rsidRPr="00F301A8">
                    <w:t>527</w:t>
                  </w:r>
                </w:p>
              </w:tc>
              <w:tc>
                <w:tcPr>
                  <w:tcW w:w="553" w:type="pct"/>
                  <w:tcBorders>
                    <w:left w:val="nil"/>
                    <w:right w:val="nil"/>
                  </w:tcBorders>
                  <w:shd w:val="clear" w:color="auto" w:fill="auto"/>
                  <w:vAlign w:val="bottom"/>
                </w:tcPr>
                <w:p w14:paraId="7954B918" w14:textId="77777777" w:rsidR="00F05DC7" w:rsidRPr="00F301A8" w:rsidRDefault="00F05DC7" w:rsidP="00A3786D">
                  <w:pPr>
                    <w:pStyle w:val="TableBodyText"/>
                  </w:pPr>
                  <w:r w:rsidRPr="00F301A8">
                    <w:t>-37</w:t>
                  </w:r>
                </w:p>
              </w:tc>
              <w:tc>
                <w:tcPr>
                  <w:tcW w:w="553" w:type="pct"/>
                  <w:tcBorders>
                    <w:left w:val="nil"/>
                    <w:right w:val="nil"/>
                  </w:tcBorders>
                  <w:shd w:val="clear" w:color="auto" w:fill="auto"/>
                  <w:vAlign w:val="bottom"/>
                </w:tcPr>
                <w:p w14:paraId="7954B919" w14:textId="77777777" w:rsidR="00F05DC7" w:rsidRPr="00F301A8" w:rsidRDefault="00F05DC7" w:rsidP="00A3786D">
                  <w:pPr>
                    <w:pStyle w:val="TableBodyText"/>
                  </w:pPr>
                  <w:r w:rsidRPr="00F301A8">
                    <w:t>-9</w:t>
                  </w:r>
                </w:p>
              </w:tc>
              <w:tc>
                <w:tcPr>
                  <w:tcW w:w="551" w:type="pct"/>
                  <w:tcBorders>
                    <w:left w:val="nil"/>
                    <w:right w:val="nil"/>
                  </w:tcBorders>
                  <w:shd w:val="clear" w:color="auto" w:fill="auto"/>
                  <w:vAlign w:val="bottom"/>
                </w:tcPr>
                <w:p w14:paraId="7954B91A" w14:textId="77777777" w:rsidR="00F05DC7" w:rsidRPr="00F301A8" w:rsidRDefault="00F05DC7" w:rsidP="00A3786D">
                  <w:pPr>
                    <w:pStyle w:val="TableBodyText"/>
                  </w:pPr>
                  <w:r w:rsidRPr="00F301A8">
                    <w:t>-10</w:t>
                  </w:r>
                </w:p>
              </w:tc>
              <w:tc>
                <w:tcPr>
                  <w:tcW w:w="551" w:type="pct"/>
                  <w:tcBorders>
                    <w:left w:val="nil"/>
                    <w:right w:val="nil"/>
                  </w:tcBorders>
                  <w:shd w:val="clear" w:color="auto" w:fill="auto"/>
                  <w:vAlign w:val="bottom"/>
                </w:tcPr>
                <w:p w14:paraId="7954B91B" w14:textId="77777777" w:rsidR="00F05DC7" w:rsidRPr="00F301A8" w:rsidRDefault="00F05DC7" w:rsidP="00A3786D">
                  <w:pPr>
                    <w:pStyle w:val="TableBodyText"/>
                  </w:pPr>
                  <w:r w:rsidRPr="00F301A8">
                    <w:t>-6</w:t>
                  </w:r>
                </w:p>
              </w:tc>
            </w:tr>
            <w:tr w:rsidR="00F05DC7" w14:paraId="7954B91E" w14:textId="77777777" w:rsidTr="00AB3F17">
              <w:tc>
                <w:tcPr>
                  <w:tcW w:w="5000" w:type="pct"/>
                  <w:gridSpan w:val="9"/>
                  <w:shd w:val="clear" w:color="auto" w:fill="F2F2F2" w:themeFill="background1" w:themeFillShade="F2"/>
                </w:tcPr>
                <w:p w14:paraId="7954B91D" w14:textId="77777777" w:rsidR="00F05DC7" w:rsidRPr="00F301A8" w:rsidRDefault="00F05DC7" w:rsidP="00A3786D">
                  <w:pPr>
                    <w:pStyle w:val="TableUnitsRow"/>
                    <w:ind w:right="28"/>
                    <w:jc w:val="left"/>
                    <w:rPr>
                      <w:rFonts w:cs="Arial"/>
                      <w:color w:val="000000"/>
                      <w:szCs w:val="18"/>
                    </w:rPr>
                  </w:pPr>
                  <w:r w:rsidRPr="00F301A8">
                    <w:rPr>
                      <w:rFonts w:cs="Arial"/>
                      <w:color w:val="000000"/>
                      <w:szCs w:val="18"/>
                    </w:rPr>
                    <w:t xml:space="preserve">$ per capita </w:t>
                  </w:r>
                  <w:r w:rsidRPr="00F301A8">
                    <w:rPr>
                      <w:rFonts w:cs="Arial"/>
                      <w:szCs w:val="18"/>
                    </w:rPr>
                    <w:t>(assessment year)</w:t>
                  </w:r>
                </w:p>
              </w:tc>
            </w:tr>
            <w:tr w:rsidR="00F05DC7" w14:paraId="7954B928" w14:textId="77777777" w:rsidTr="00A3786D">
              <w:tc>
                <w:tcPr>
                  <w:tcW w:w="580" w:type="pct"/>
                </w:tcPr>
                <w:p w14:paraId="7954B91F" w14:textId="77777777" w:rsidR="00F05DC7" w:rsidRPr="00F301A8" w:rsidRDefault="00F05DC7" w:rsidP="00A3786D">
                  <w:pPr>
                    <w:pStyle w:val="TableUnitsRow"/>
                    <w:jc w:val="left"/>
                    <w:rPr>
                      <w:rFonts w:cs="Arial"/>
                      <w:szCs w:val="18"/>
                    </w:rPr>
                  </w:pPr>
                  <w:r w:rsidRPr="00F301A8">
                    <w:rPr>
                      <w:rFonts w:cs="Arial"/>
                      <w:szCs w:val="18"/>
                    </w:rPr>
                    <w:t>2010-11</w:t>
                  </w:r>
                </w:p>
              </w:tc>
              <w:tc>
                <w:tcPr>
                  <w:tcW w:w="553" w:type="pct"/>
                  <w:tcBorders>
                    <w:left w:val="nil"/>
                    <w:right w:val="nil"/>
                  </w:tcBorders>
                  <w:shd w:val="clear" w:color="auto" w:fill="auto"/>
                  <w:vAlign w:val="bottom"/>
                </w:tcPr>
                <w:p w14:paraId="7954B920" w14:textId="77777777" w:rsidR="00F05DC7" w:rsidRPr="00F301A8" w:rsidRDefault="00F05DC7" w:rsidP="00A3786D">
                  <w:pPr>
                    <w:pStyle w:val="TableBodyText"/>
                  </w:pPr>
                  <w:r w:rsidRPr="00F301A8">
                    <w:t>-13</w:t>
                  </w:r>
                </w:p>
              </w:tc>
              <w:tc>
                <w:tcPr>
                  <w:tcW w:w="553" w:type="pct"/>
                  <w:tcBorders>
                    <w:left w:val="nil"/>
                    <w:right w:val="nil"/>
                  </w:tcBorders>
                  <w:shd w:val="clear" w:color="auto" w:fill="auto"/>
                  <w:vAlign w:val="bottom"/>
                </w:tcPr>
                <w:p w14:paraId="7954B921" w14:textId="77777777" w:rsidR="00F05DC7" w:rsidRPr="00F301A8" w:rsidRDefault="00F05DC7" w:rsidP="00A3786D">
                  <w:pPr>
                    <w:pStyle w:val="TableBodyText"/>
                  </w:pPr>
                  <w:r w:rsidRPr="00F301A8">
                    <w:t>-13</w:t>
                  </w:r>
                </w:p>
              </w:tc>
              <w:tc>
                <w:tcPr>
                  <w:tcW w:w="553" w:type="pct"/>
                  <w:tcBorders>
                    <w:left w:val="nil"/>
                    <w:right w:val="nil"/>
                  </w:tcBorders>
                  <w:shd w:val="clear" w:color="auto" w:fill="auto"/>
                  <w:vAlign w:val="bottom"/>
                </w:tcPr>
                <w:p w14:paraId="7954B922" w14:textId="77777777" w:rsidR="00F05DC7" w:rsidRPr="00F301A8" w:rsidRDefault="00F05DC7" w:rsidP="00A3786D">
                  <w:pPr>
                    <w:pStyle w:val="TableBodyText"/>
                  </w:pPr>
                  <w:r w:rsidRPr="00F301A8">
                    <w:t>-13</w:t>
                  </w:r>
                </w:p>
              </w:tc>
              <w:tc>
                <w:tcPr>
                  <w:tcW w:w="553" w:type="pct"/>
                  <w:tcBorders>
                    <w:left w:val="nil"/>
                    <w:right w:val="nil"/>
                  </w:tcBorders>
                  <w:shd w:val="clear" w:color="auto" w:fill="auto"/>
                  <w:vAlign w:val="bottom"/>
                </w:tcPr>
                <w:p w14:paraId="7954B923" w14:textId="77777777" w:rsidR="00F05DC7" w:rsidRPr="00F301A8" w:rsidRDefault="00F05DC7" w:rsidP="00A3786D">
                  <w:pPr>
                    <w:pStyle w:val="TableBodyText"/>
                  </w:pPr>
                  <w:r w:rsidRPr="00F301A8">
                    <w:t>107</w:t>
                  </w:r>
                </w:p>
              </w:tc>
              <w:tc>
                <w:tcPr>
                  <w:tcW w:w="553" w:type="pct"/>
                  <w:tcBorders>
                    <w:left w:val="nil"/>
                    <w:right w:val="nil"/>
                  </w:tcBorders>
                  <w:shd w:val="clear" w:color="auto" w:fill="auto"/>
                  <w:vAlign w:val="bottom"/>
                </w:tcPr>
                <w:p w14:paraId="7954B924" w14:textId="77777777" w:rsidR="00F05DC7" w:rsidRPr="00F301A8" w:rsidRDefault="00F05DC7" w:rsidP="00A3786D">
                  <w:pPr>
                    <w:pStyle w:val="TableBodyText"/>
                  </w:pPr>
                  <w:r w:rsidRPr="00F301A8">
                    <w:t>-10</w:t>
                  </w:r>
                </w:p>
              </w:tc>
              <w:tc>
                <w:tcPr>
                  <w:tcW w:w="553" w:type="pct"/>
                  <w:tcBorders>
                    <w:left w:val="nil"/>
                    <w:right w:val="nil"/>
                  </w:tcBorders>
                  <w:shd w:val="clear" w:color="auto" w:fill="auto"/>
                  <w:vAlign w:val="bottom"/>
                </w:tcPr>
                <w:p w14:paraId="7954B925" w14:textId="77777777" w:rsidR="00F05DC7" w:rsidRPr="00F301A8" w:rsidRDefault="00F05DC7" w:rsidP="00A3786D">
                  <w:pPr>
                    <w:pStyle w:val="TableBodyText"/>
                  </w:pPr>
                  <w:r w:rsidRPr="00F301A8">
                    <w:t>-10</w:t>
                  </w:r>
                </w:p>
              </w:tc>
              <w:tc>
                <w:tcPr>
                  <w:tcW w:w="551" w:type="pct"/>
                  <w:tcBorders>
                    <w:left w:val="nil"/>
                    <w:right w:val="nil"/>
                  </w:tcBorders>
                  <w:shd w:val="clear" w:color="auto" w:fill="auto"/>
                  <w:vAlign w:val="bottom"/>
                </w:tcPr>
                <w:p w14:paraId="7954B926" w14:textId="77777777" w:rsidR="00F05DC7" w:rsidRPr="00F301A8" w:rsidRDefault="00F05DC7" w:rsidP="00A3786D">
                  <w:pPr>
                    <w:pStyle w:val="TableBodyText"/>
                  </w:pPr>
                  <w:r w:rsidRPr="00F301A8">
                    <w:t>-13</w:t>
                  </w:r>
                </w:p>
              </w:tc>
              <w:tc>
                <w:tcPr>
                  <w:tcW w:w="551" w:type="pct"/>
                  <w:tcBorders>
                    <w:left w:val="nil"/>
                    <w:right w:val="nil"/>
                  </w:tcBorders>
                  <w:shd w:val="clear" w:color="auto" w:fill="auto"/>
                  <w:vAlign w:val="bottom"/>
                </w:tcPr>
                <w:p w14:paraId="7954B927" w14:textId="77777777" w:rsidR="00F05DC7" w:rsidRPr="00F301A8" w:rsidRDefault="00F05DC7" w:rsidP="00A3786D">
                  <w:pPr>
                    <w:pStyle w:val="TableBodyText"/>
                  </w:pPr>
                  <w:r w:rsidRPr="00F301A8">
                    <w:t>-9</w:t>
                  </w:r>
                </w:p>
              </w:tc>
            </w:tr>
            <w:tr w:rsidR="00F05DC7" w14:paraId="7954B932" w14:textId="77777777" w:rsidTr="00A3786D">
              <w:tc>
                <w:tcPr>
                  <w:tcW w:w="580" w:type="pct"/>
                </w:tcPr>
                <w:p w14:paraId="7954B929" w14:textId="77777777" w:rsidR="00F05DC7" w:rsidRPr="00F301A8" w:rsidRDefault="00F05DC7" w:rsidP="00A3786D">
                  <w:pPr>
                    <w:pStyle w:val="TableUnitsRow"/>
                    <w:jc w:val="left"/>
                    <w:rPr>
                      <w:rFonts w:cs="Arial"/>
                      <w:szCs w:val="18"/>
                    </w:rPr>
                  </w:pPr>
                  <w:r w:rsidRPr="00F301A8">
                    <w:rPr>
                      <w:rFonts w:cs="Arial"/>
                      <w:szCs w:val="18"/>
                    </w:rPr>
                    <w:t>2011-12</w:t>
                  </w:r>
                </w:p>
              </w:tc>
              <w:tc>
                <w:tcPr>
                  <w:tcW w:w="553" w:type="pct"/>
                  <w:tcBorders>
                    <w:left w:val="nil"/>
                    <w:right w:val="nil"/>
                  </w:tcBorders>
                  <w:shd w:val="clear" w:color="auto" w:fill="auto"/>
                  <w:vAlign w:val="bottom"/>
                </w:tcPr>
                <w:p w14:paraId="7954B92A" w14:textId="77777777" w:rsidR="00F05DC7" w:rsidRPr="00F301A8" w:rsidRDefault="00F05DC7" w:rsidP="00A3786D">
                  <w:pPr>
                    <w:pStyle w:val="TableBodyText"/>
                  </w:pPr>
                  <w:r w:rsidRPr="00F301A8">
                    <w:t>-11</w:t>
                  </w:r>
                </w:p>
              </w:tc>
              <w:tc>
                <w:tcPr>
                  <w:tcW w:w="553" w:type="pct"/>
                  <w:tcBorders>
                    <w:left w:val="nil"/>
                    <w:right w:val="nil"/>
                  </w:tcBorders>
                  <w:shd w:val="clear" w:color="auto" w:fill="auto"/>
                  <w:vAlign w:val="bottom"/>
                </w:tcPr>
                <w:p w14:paraId="7954B92B" w14:textId="77777777" w:rsidR="00F05DC7" w:rsidRPr="00F301A8" w:rsidRDefault="00F05DC7" w:rsidP="00A3786D">
                  <w:pPr>
                    <w:pStyle w:val="TableBodyText"/>
                  </w:pPr>
                  <w:r w:rsidRPr="00F301A8">
                    <w:t>-11</w:t>
                  </w:r>
                </w:p>
              </w:tc>
              <w:tc>
                <w:tcPr>
                  <w:tcW w:w="553" w:type="pct"/>
                  <w:tcBorders>
                    <w:left w:val="nil"/>
                    <w:right w:val="nil"/>
                  </w:tcBorders>
                  <w:shd w:val="clear" w:color="auto" w:fill="auto"/>
                  <w:vAlign w:val="bottom"/>
                </w:tcPr>
                <w:p w14:paraId="7954B92C" w14:textId="77777777" w:rsidR="00F05DC7" w:rsidRPr="00F301A8" w:rsidRDefault="00F05DC7" w:rsidP="00A3786D">
                  <w:pPr>
                    <w:pStyle w:val="TableBodyText"/>
                  </w:pPr>
                  <w:r w:rsidRPr="00F301A8">
                    <w:t>-11</w:t>
                  </w:r>
                </w:p>
              </w:tc>
              <w:tc>
                <w:tcPr>
                  <w:tcW w:w="553" w:type="pct"/>
                  <w:tcBorders>
                    <w:left w:val="nil"/>
                    <w:right w:val="nil"/>
                  </w:tcBorders>
                  <w:shd w:val="clear" w:color="auto" w:fill="auto"/>
                  <w:vAlign w:val="bottom"/>
                </w:tcPr>
                <w:p w14:paraId="7954B92D" w14:textId="77777777" w:rsidR="00F05DC7" w:rsidRPr="00F301A8" w:rsidRDefault="00F05DC7" w:rsidP="00A3786D">
                  <w:pPr>
                    <w:pStyle w:val="TableBodyText"/>
                  </w:pPr>
                  <w:r w:rsidRPr="00F301A8">
                    <w:t>94</w:t>
                  </w:r>
                </w:p>
              </w:tc>
              <w:tc>
                <w:tcPr>
                  <w:tcW w:w="553" w:type="pct"/>
                  <w:tcBorders>
                    <w:left w:val="nil"/>
                    <w:right w:val="nil"/>
                  </w:tcBorders>
                  <w:shd w:val="clear" w:color="auto" w:fill="auto"/>
                  <w:vAlign w:val="bottom"/>
                </w:tcPr>
                <w:p w14:paraId="7954B92E" w14:textId="77777777" w:rsidR="00F05DC7" w:rsidRPr="00F301A8" w:rsidRDefault="00F05DC7" w:rsidP="00A3786D">
                  <w:pPr>
                    <w:pStyle w:val="TableBodyText"/>
                  </w:pPr>
                  <w:r w:rsidRPr="00F301A8">
                    <w:t>-9</w:t>
                  </w:r>
                </w:p>
              </w:tc>
              <w:tc>
                <w:tcPr>
                  <w:tcW w:w="553" w:type="pct"/>
                  <w:tcBorders>
                    <w:left w:val="nil"/>
                    <w:right w:val="nil"/>
                  </w:tcBorders>
                  <w:shd w:val="clear" w:color="auto" w:fill="auto"/>
                  <w:vAlign w:val="bottom"/>
                </w:tcPr>
                <w:p w14:paraId="7954B92F" w14:textId="77777777" w:rsidR="00F05DC7" w:rsidRPr="00F301A8" w:rsidRDefault="00F05DC7" w:rsidP="00A3786D">
                  <w:pPr>
                    <w:pStyle w:val="TableBodyText"/>
                  </w:pPr>
                  <w:r w:rsidRPr="00F301A8">
                    <w:t>-9</w:t>
                  </w:r>
                </w:p>
              </w:tc>
              <w:tc>
                <w:tcPr>
                  <w:tcW w:w="551" w:type="pct"/>
                  <w:tcBorders>
                    <w:left w:val="nil"/>
                    <w:right w:val="nil"/>
                  </w:tcBorders>
                  <w:shd w:val="clear" w:color="auto" w:fill="auto"/>
                  <w:vAlign w:val="bottom"/>
                </w:tcPr>
                <w:p w14:paraId="7954B930" w14:textId="77777777" w:rsidR="00F05DC7" w:rsidRPr="00F301A8" w:rsidRDefault="00F05DC7" w:rsidP="00A3786D">
                  <w:pPr>
                    <w:pStyle w:val="TableBodyText"/>
                  </w:pPr>
                  <w:r w:rsidRPr="00F301A8">
                    <w:t>-11</w:t>
                  </w:r>
                </w:p>
              </w:tc>
              <w:tc>
                <w:tcPr>
                  <w:tcW w:w="551" w:type="pct"/>
                  <w:tcBorders>
                    <w:left w:val="nil"/>
                    <w:right w:val="nil"/>
                  </w:tcBorders>
                  <w:shd w:val="clear" w:color="auto" w:fill="auto"/>
                  <w:vAlign w:val="bottom"/>
                </w:tcPr>
                <w:p w14:paraId="7954B931" w14:textId="77777777" w:rsidR="00F05DC7" w:rsidRPr="00F301A8" w:rsidRDefault="00F05DC7" w:rsidP="00A3786D">
                  <w:pPr>
                    <w:pStyle w:val="TableBodyText"/>
                  </w:pPr>
                  <w:r w:rsidRPr="00F301A8">
                    <w:t>-8</w:t>
                  </w:r>
                </w:p>
              </w:tc>
            </w:tr>
            <w:tr w:rsidR="00F05DC7" w14:paraId="7954B93C" w14:textId="77777777" w:rsidTr="00A3786D">
              <w:tc>
                <w:tcPr>
                  <w:tcW w:w="580" w:type="pct"/>
                </w:tcPr>
                <w:p w14:paraId="7954B933" w14:textId="77777777" w:rsidR="00F05DC7" w:rsidRPr="00F301A8" w:rsidRDefault="00F05DC7" w:rsidP="00A3786D">
                  <w:pPr>
                    <w:pStyle w:val="TableUnitsRow"/>
                    <w:jc w:val="left"/>
                    <w:rPr>
                      <w:rFonts w:cs="Arial"/>
                      <w:szCs w:val="18"/>
                    </w:rPr>
                  </w:pPr>
                  <w:r w:rsidRPr="00F301A8">
                    <w:rPr>
                      <w:rFonts w:cs="Arial"/>
                      <w:szCs w:val="18"/>
                    </w:rPr>
                    <w:t>2012-13</w:t>
                  </w:r>
                </w:p>
              </w:tc>
              <w:tc>
                <w:tcPr>
                  <w:tcW w:w="553" w:type="pct"/>
                  <w:tcBorders>
                    <w:left w:val="nil"/>
                    <w:right w:val="nil"/>
                  </w:tcBorders>
                  <w:shd w:val="clear" w:color="auto" w:fill="auto"/>
                  <w:vAlign w:val="bottom"/>
                </w:tcPr>
                <w:p w14:paraId="7954B934" w14:textId="77777777" w:rsidR="00F05DC7" w:rsidRPr="00F301A8" w:rsidRDefault="00F05DC7" w:rsidP="00A3786D">
                  <w:pPr>
                    <w:pStyle w:val="TableBodyText"/>
                  </w:pPr>
                  <w:r w:rsidRPr="00F301A8">
                    <w:t>-17</w:t>
                  </w:r>
                </w:p>
              </w:tc>
              <w:tc>
                <w:tcPr>
                  <w:tcW w:w="553" w:type="pct"/>
                  <w:tcBorders>
                    <w:left w:val="nil"/>
                    <w:right w:val="nil"/>
                  </w:tcBorders>
                  <w:shd w:val="clear" w:color="auto" w:fill="auto"/>
                  <w:vAlign w:val="bottom"/>
                </w:tcPr>
                <w:p w14:paraId="7954B935" w14:textId="77777777" w:rsidR="00F05DC7" w:rsidRPr="00F301A8" w:rsidRDefault="00F05DC7" w:rsidP="00A3786D">
                  <w:pPr>
                    <w:pStyle w:val="TableBodyText"/>
                  </w:pPr>
                  <w:r w:rsidRPr="00F301A8">
                    <w:t>-17</w:t>
                  </w:r>
                </w:p>
              </w:tc>
              <w:tc>
                <w:tcPr>
                  <w:tcW w:w="553" w:type="pct"/>
                  <w:tcBorders>
                    <w:left w:val="nil"/>
                    <w:right w:val="nil"/>
                  </w:tcBorders>
                  <w:shd w:val="clear" w:color="auto" w:fill="auto"/>
                  <w:vAlign w:val="bottom"/>
                </w:tcPr>
                <w:p w14:paraId="7954B936" w14:textId="77777777" w:rsidR="00F05DC7" w:rsidRPr="00F301A8" w:rsidRDefault="00F05DC7" w:rsidP="00A3786D">
                  <w:pPr>
                    <w:pStyle w:val="TableBodyText"/>
                  </w:pPr>
                  <w:r w:rsidRPr="00F301A8">
                    <w:t>-17</w:t>
                  </w:r>
                </w:p>
              </w:tc>
              <w:tc>
                <w:tcPr>
                  <w:tcW w:w="553" w:type="pct"/>
                  <w:tcBorders>
                    <w:left w:val="nil"/>
                    <w:right w:val="nil"/>
                  </w:tcBorders>
                  <w:shd w:val="clear" w:color="auto" w:fill="auto"/>
                  <w:vAlign w:val="bottom"/>
                </w:tcPr>
                <w:p w14:paraId="7954B937" w14:textId="77777777" w:rsidR="00F05DC7" w:rsidRPr="00F301A8" w:rsidRDefault="00F05DC7" w:rsidP="00A3786D">
                  <w:pPr>
                    <w:pStyle w:val="TableBodyText"/>
                  </w:pPr>
                  <w:r w:rsidRPr="00F301A8">
                    <w:t>137</w:t>
                  </w:r>
                </w:p>
              </w:tc>
              <w:tc>
                <w:tcPr>
                  <w:tcW w:w="553" w:type="pct"/>
                  <w:tcBorders>
                    <w:left w:val="nil"/>
                    <w:right w:val="nil"/>
                  </w:tcBorders>
                  <w:shd w:val="clear" w:color="auto" w:fill="auto"/>
                  <w:vAlign w:val="bottom"/>
                </w:tcPr>
                <w:p w14:paraId="7954B938" w14:textId="77777777" w:rsidR="00F05DC7" w:rsidRPr="00F301A8" w:rsidRDefault="00F05DC7" w:rsidP="00A3786D">
                  <w:pPr>
                    <w:pStyle w:val="TableBodyText"/>
                  </w:pPr>
                  <w:r w:rsidRPr="00F301A8">
                    <w:t>-12</w:t>
                  </w:r>
                </w:p>
              </w:tc>
              <w:tc>
                <w:tcPr>
                  <w:tcW w:w="553" w:type="pct"/>
                  <w:tcBorders>
                    <w:left w:val="nil"/>
                    <w:right w:val="nil"/>
                  </w:tcBorders>
                  <w:shd w:val="clear" w:color="auto" w:fill="auto"/>
                  <w:vAlign w:val="bottom"/>
                </w:tcPr>
                <w:p w14:paraId="7954B939" w14:textId="77777777" w:rsidR="00F05DC7" w:rsidRPr="00F301A8" w:rsidRDefault="00F05DC7" w:rsidP="00A3786D">
                  <w:pPr>
                    <w:pStyle w:val="TableBodyText"/>
                  </w:pPr>
                  <w:r w:rsidRPr="00F301A8">
                    <w:t>-14</w:t>
                  </w:r>
                </w:p>
              </w:tc>
              <w:tc>
                <w:tcPr>
                  <w:tcW w:w="551" w:type="pct"/>
                  <w:tcBorders>
                    <w:left w:val="nil"/>
                    <w:right w:val="nil"/>
                  </w:tcBorders>
                  <w:shd w:val="clear" w:color="auto" w:fill="auto"/>
                  <w:vAlign w:val="bottom"/>
                </w:tcPr>
                <w:p w14:paraId="7954B93A" w14:textId="77777777" w:rsidR="00F05DC7" w:rsidRPr="00F301A8" w:rsidRDefault="00F05DC7" w:rsidP="00A3786D">
                  <w:pPr>
                    <w:pStyle w:val="TableBodyText"/>
                  </w:pPr>
                  <w:r w:rsidRPr="00F301A8">
                    <w:t>-17</w:t>
                  </w:r>
                </w:p>
              </w:tc>
              <w:tc>
                <w:tcPr>
                  <w:tcW w:w="551" w:type="pct"/>
                  <w:tcBorders>
                    <w:left w:val="nil"/>
                    <w:right w:val="nil"/>
                  </w:tcBorders>
                  <w:shd w:val="clear" w:color="auto" w:fill="auto"/>
                  <w:vAlign w:val="bottom"/>
                </w:tcPr>
                <w:p w14:paraId="7954B93B" w14:textId="77777777" w:rsidR="00F05DC7" w:rsidRPr="00F301A8" w:rsidRDefault="00F05DC7" w:rsidP="00A3786D">
                  <w:pPr>
                    <w:pStyle w:val="TableBodyText"/>
                  </w:pPr>
                  <w:r w:rsidRPr="00F301A8">
                    <w:t>-11</w:t>
                  </w:r>
                </w:p>
              </w:tc>
            </w:tr>
            <w:tr w:rsidR="00F05DC7" w14:paraId="7954B946" w14:textId="77777777" w:rsidTr="00A3786D">
              <w:tc>
                <w:tcPr>
                  <w:tcW w:w="580" w:type="pct"/>
                </w:tcPr>
                <w:p w14:paraId="7954B93D" w14:textId="77777777" w:rsidR="00F05DC7" w:rsidRPr="00F301A8" w:rsidRDefault="00F05DC7" w:rsidP="00A3786D">
                  <w:pPr>
                    <w:pStyle w:val="TableUnitsRow"/>
                    <w:jc w:val="left"/>
                    <w:rPr>
                      <w:rFonts w:cs="Arial"/>
                      <w:szCs w:val="18"/>
                    </w:rPr>
                  </w:pPr>
                  <w:r w:rsidRPr="00F301A8">
                    <w:rPr>
                      <w:rFonts w:cs="Arial"/>
                      <w:szCs w:val="18"/>
                    </w:rPr>
                    <w:t>2013-14</w:t>
                  </w:r>
                </w:p>
              </w:tc>
              <w:tc>
                <w:tcPr>
                  <w:tcW w:w="553" w:type="pct"/>
                  <w:tcBorders>
                    <w:left w:val="nil"/>
                    <w:right w:val="nil"/>
                  </w:tcBorders>
                  <w:shd w:val="clear" w:color="auto" w:fill="auto"/>
                  <w:vAlign w:val="bottom"/>
                </w:tcPr>
                <w:p w14:paraId="7954B93E" w14:textId="77777777" w:rsidR="00F05DC7" w:rsidRPr="00F301A8" w:rsidRDefault="00F05DC7" w:rsidP="00A3786D">
                  <w:pPr>
                    <w:pStyle w:val="TableBodyText"/>
                  </w:pPr>
                  <w:r w:rsidRPr="00F301A8">
                    <w:t>-28</w:t>
                  </w:r>
                </w:p>
              </w:tc>
              <w:tc>
                <w:tcPr>
                  <w:tcW w:w="553" w:type="pct"/>
                  <w:tcBorders>
                    <w:left w:val="nil"/>
                    <w:right w:val="nil"/>
                  </w:tcBorders>
                  <w:shd w:val="clear" w:color="auto" w:fill="auto"/>
                  <w:vAlign w:val="bottom"/>
                </w:tcPr>
                <w:p w14:paraId="7954B93F" w14:textId="77777777" w:rsidR="00F05DC7" w:rsidRPr="00F301A8" w:rsidRDefault="00F05DC7" w:rsidP="00A3786D">
                  <w:pPr>
                    <w:pStyle w:val="TableBodyText"/>
                  </w:pPr>
                  <w:r w:rsidRPr="00F301A8">
                    <w:t>-28</w:t>
                  </w:r>
                </w:p>
              </w:tc>
              <w:tc>
                <w:tcPr>
                  <w:tcW w:w="553" w:type="pct"/>
                  <w:tcBorders>
                    <w:left w:val="nil"/>
                    <w:right w:val="nil"/>
                  </w:tcBorders>
                  <w:shd w:val="clear" w:color="auto" w:fill="auto"/>
                  <w:vAlign w:val="bottom"/>
                </w:tcPr>
                <w:p w14:paraId="7954B940" w14:textId="77777777" w:rsidR="00F05DC7" w:rsidRPr="00F301A8" w:rsidRDefault="00F05DC7" w:rsidP="00A3786D">
                  <w:pPr>
                    <w:pStyle w:val="TableBodyText"/>
                  </w:pPr>
                  <w:r w:rsidRPr="00F301A8">
                    <w:t>-28</w:t>
                  </w:r>
                </w:p>
              </w:tc>
              <w:tc>
                <w:tcPr>
                  <w:tcW w:w="553" w:type="pct"/>
                  <w:tcBorders>
                    <w:left w:val="nil"/>
                    <w:right w:val="nil"/>
                  </w:tcBorders>
                  <w:shd w:val="clear" w:color="auto" w:fill="auto"/>
                  <w:vAlign w:val="bottom"/>
                </w:tcPr>
                <w:p w14:paraId="7954B941" w14:textId="77777777" w:rsidR="00F05DC7" w:rsidRPr="00F301A8" w:rsidRDefault="00F05DC7" w:rsidP="00A3786D">
                  <w:pPr>
                    <w:pStyle w:val="TableBodyText"/>
                  </w:pPr>
                  <w:r w:rsidRPr="00F301A8">
                    <w:t>219</w:t>
                  </w:r>
                </w:p>
              </w:tc>
              <w:tc>
                <w:tcPr>
                  <w:tcW w:w="553" w:type="pct"/>
                  <w:tcBorders>
                    <w:left w:val="nil"/>
                    <w:right w:val="nil"/>
                  </w:tcBorders>
                  <w:shd w:val="clear" w:color="auto" w:fill="auto"/>
                  <w:vAlign w:val="bottom"/>
                </w:tcPr>
                <w:p w14:paraId="7954B942" w14:textId="77777777" w:rsidR="00F05DC7" w:rsidRPr="00F301A8" w:rsidRDefault="00F05DC7" w:rsidP="00A3786D">
                  <w:pPr>
                    <w:pStyle w:val="TableBodyText"/>
                  </w:pPr>
                  <w:r w:rsidRPr="00F301A8">
                    <w:t>-19</w:t>
                  </w:r>
                </w:p>
              </w:tc>
              <w:tc>
                <w:tcPr>
                  <w:tcW w:w="553" w:type="pct"/>
                  <w:tcBorders>
                    <w:left w:val="nil"/>
                    <w:right w:val="nil"/>
                  </w:tcBorders>
                  <w:shd w:val="clear" w:color="auto" w:fill="auto"/>
                  <w:vAlign w:val="bottom"/>
                </w:tcPr>
                <w:p w14:paraId="7954B943" w14:textId="77777777" w:rsidR="00F05DC7" w:rsidRPr="00F301A8" w:rsidRDefault="00F05DC7" w:rsidP="00A3786D">
                  <w:pPr>
                    <w:pStyle w:val="TableBodyText"/>
                  </w:pPr>
                  <w:r w:rsidRPr="00F301A8">
                    <w:t>-23</w:t>
                  </w:r>
                </w:p>
              </w:tc>
              <w:tc>
                <w:tcPr>
                  <w:tcW w:w="551" w:type="pct"/>
                  <w:tcBorders>
                    <w:left w:val="nil"/>
                    <w:right w:val="nil"/>
                  </w:tcBorders>
                  <w:shd w:val="clear" w:color="auto" w:fill="auto"/>
                  <w:vAlign w:val="bottom"/>
                </w:tcPr>
                <w:p w14:paraId="7954B944" w14:textId="77777777" w:rsidR="00F05DC7" w:rsidRPr="00F301A8" w:rsidRDefault="00F05DC7" w:rsidP="00A3786D">
                  <w:pPr>
                    <w:pStyle w:val="TableBodyText"/>
                  </w:pPr>
                  <w:r w:rsidRPr="00F301A8">
                    <w:t>-28</w:t>
                  </w:r>
                </w:p>
              </w:tc>
              <w:tc>
                <w:tcPr>
                  <w:tcW w:w="551" w:type="pct"/>
                  <w:tcBorders>
                    <w:left w:val="nil"/>
                    <w:right w:val="nil"/>
                  </w:tcBorders>
                  <w:shd w:val="clear" w:color="auto" w:fill="auto"/>
                  <w:vAlign w:val="bottom"/>
                </w:tcPr>
                <w:p w14:paraId="7954B945" w14:textId="77777777" w:rsidR="00F05DC7" w:rsidRPr="00F301A8" w:rsidRDefault="00F05DC7" w:rsidP="00A3786D">
                  <w:pPr>
                    <w:pStyle w:val="TableBodyText"/>
                  </w:pPr>
                  <w:r w:rsidRPr="00F301A8">
                    <w:t>-8</w:t>
                  </w:r>
                </w:p>
              </w:tc>
            </w:tr>
            <w:tr w:rsidR="00F05DC7" w14:paraId="7954B950" w14:textId="77777777" w:rsidTr="00A3786D">
              <w:tc>
                <w:tcPr>
                  <w:tcW w:w="580" w:type="pct"/>
                </w:tcPr>
                <w:p w14:paraId="7954B947" w14:textId="77777777" w:rsidR="00F05DC7" w:rsidRPr="00F301A8" w:rsidRDefault="00F05DC7" w:rsidP="00A3786D">
                  <w:pPr>
                    <w:pStyle w:val="TableUnitsRow"/>
                    <w:jc w:val="left"/>
                    <w:rPr>
                      <w:rFonts w:cs="Arial"/>
                      <w:szCs w:val="18"/>
                    </w:rPr>
                  </w:pPr>
                  <w:r w:rsidRPr="00F301A8">
                    <w:rPr>
                      <w:rFonts w:cs="Arial"/>
                      <w:szCs w:val="18"/>
                    </w:rPr>
                    <w:t>2014-15</w:t>
                  </w:r>
                </w:p>
              </w:tc>
              <w:tc>
                <w:tcPr>
                  <w:tcW w:w="553" w:type="pct"/>
                  <w:tcBorders>
                    <w:left w:val="nil"/>
                    <w:right w:val="nil"/>
                  </w:tcBorders>
                  <w:shd w:val="clear" w:color="auto" w:fill="auto"/>
                  <w:vAlign w:val="bottom"/>
                </w:tcPr>
                <w:p w14:paraId="7954B948" w14:textId="77777777" w:rsidR="00F05DC7" w:rsidRPr="00F301A8" w:rsidRDefault="00F05DC7" w:rsidP="00A3786D">
                  <w:pPr>
                    <w:pStyle w:val="TableBodyText"/>
                  </w:pPr>
                  <w:r w:rsidRPr="00F301A8">
                    <w:t>-21</w:t>
                  </w:r>
                </w:p>
              </w:tc>
              <w:tc>
                <w:tcPr>
                  <w:tcW w:w="553" w:type="pct"/>
                  <w:tcBorders>
                    <w:left w:val="nil"/>
                    <w:right w:val="nil"/>
                  </w:tcBorders>
                  <w:shd w:val="clear" w:color="auto" w:fill="auto"/>
                  <w:vAlign w:val="bottom"/>
                </w:tcPr>
                <w:p w14:paraId="7954B949" w14:textId="77777777" w:rsidR="00F05DC7" w:rsidRPr="00F301A8" w:rsidRDefault="00F05DC7" w:rsidP="00A3786D">
                  <w:pPr>
                    <w:pStyle w:val="TableBodyText"/>
                  </w:pPr>
                  <w:r w:rsidRPr="00F301A8">
                    <w:t>-21</w:t>
                  </w:r>
                </w:p>
              </w:tc>
              <w:tc>
                <w:tcPr>
                  <w:tcW w:w="553" w:type="pct"/>
                  <w:tcBorders>
                    <w:left w:val="nil"/>
                    <w:right w:val="nil"/>
                  </w:tcBorders>
                  <w:shd w:val="clear" w:color="auto" w:fill="auto"/>
                  <w:vAlign w:val="bottom"/>
                </w:tcPr>
                <w:p w14:paraId="7954B94A" w14:textId="77777777" w:rsidR="00F05DC7" w:rsidRPr="00F301A8" w:rsidRDefault="00F05DC7" w:rsidP="00A3786D">
                  <w:pPr>
                    <w:pStyle w:val="TableBodyText"/>
                  </w:pPr>
                  <w:r w:rsidRPr="00F301A8">
                    <w:t>-21</w:t>
                  </w:r>
                </w:p>
              </w:tc>
              <w:tc>
                <w:tcPr>
                  <w:tcW w:w="553" w:type="pct"/>
                  <w:tcBorders>
                    <w:left w:val="nil"/>
                    <w:right w:val="nil"/>
                  </w:tcBorders>
                  <w:shd w:val="clear" w:color="auto" w:fill="auto"/>
                  <w:vAlign w:val="bottom"/>
                </w:tcPr>
                <w:p w14:paraId="7954B94B" w14:textId="77777777" w:rsidR="00F05DC7" w:rsidRPr="00F301A8" w:rsidRDefault="00F05DC7" w:rsidP="00A3786D">
                  <w:pPr>
                    <w:pStyle w:val="TableBodyText"/>
                  </w:pPr>
                  <w:r w:rsidRPr="00F301A8">
                    <w:t>173</w:t>
                  </w:r>
                </w:p>
              </w:tc>
              <w:tc>
                <w:tcPr>
                  <w:tcW w:w="553" w:type="pct"/>
                  <w:tcBorders>
                    <w:left w:val="nil"/>
                    <w:right w:val="nil"/>
                  </w:tcBorders>
                  <w:shd w:val="clear" w:color="auto" w:fill="auto"/>
                  <w:vAlign w:val="bottom"/>
                </w:tcPr>
                <w:p w14:paraId="7954B94C" w14:textId="77777777" w:rsidR="00F05DC7" w:rsidRPr="00F301A8" w:rsidRDefault="00F05DC7" w:rsidP="00A3786D">
                  <w:pPr>
                    <w:pStyle w:val="TableBodyText"/>
                  </w:pPr>
                  <w:r w:rsidRPr="00F301A8">
                    <w:t>-17</w:t>
                  </w:r>
                </w:p>
              </w:tc>
              <w:tc>
                <w:tcPr>
                  <w:tcW w:w="553" w:type="pct"/>
                  <w:tcBorders>
                    <w:left w:val="nil"/>
                    <w:right w:val="nil"/>
                  </w:tcBorders>
                  <w:shd w:val="clear" w:color="auto" w:fill="auto"/>
                  <w:vAlign w:val="bottom"/>
                </w:tcPr>
                <w:p w14:paraId="7954B94D" w14:textId="77777777" w:rsidR="00F05DC7" w:rsidRPr="00F301A8" w:rsidRDefault="00F05DC7" w:rsidP="00A3786D">
                  <w:pPr>
                    <w:pStyle w:val="TableBodyText"/>
                  </w:pPr>
                  <w:r w:rsidRPr="00F301A8">
                    <w:t>-17</w:t>
                  </w:r>
                </w:p>
              </w:tc>
              <w:tc>
                <w:tcPr>
                  <w:tcW w:w="551" w:type="pct"/>
                  <w:tcBorders>
                    <w:left w:val="nil"/>
                    <w:right w:val="nil"/>
                  </w:tcBorders>
                  <w:shd w:val="clear" w:color="auto" w:fill="auto"/>
                  <w:vAlign w:val="bottom"/>
                </w:tcPr>
                <w:p w14:paraId="7954B94E" w14:textId="77777777" w:rsidR="00F05DC7" w:rsidRPr="00F301A8" w:rsidRDefault="00F05DC7" w:rsidP="00A3786D">
                  <w:pPr>
                    <w:pStyle w:val="TableBodyText"/>
                  </w:pPr>
                  <w:r w:rsidRPr="00F301A8">
                    <w:t>-21</w:t>
                  </w:r>
                </w:p>
              </w:tc>
              <w:tc>
                <w:tcPr>
                  <w:tcW w:w="551" w:type="pct"/>
                  <w:tcBorders>
                    <w:left w:val="nil"/>
                    <w:right w:val="nil"/>
                  </w:tcBorders>
                  <w:shd w:val="clear" w:color="auto" w:fill="auto"/>
                  <w:vAlign w:val="bottom"/>
                </w:tcPr>
                <w:p w14:paraId="7954B94F" w14:textId="77777777" w:rsidR="00F05DC7" w:rsidRPr="00F301A8" w:rsidRDefault="00F05DC7" w:rsidP="00A3786D">
                  <w:pPr>
                    <w:pStyle w:val="TableBodyText"/>
                  </w:pPr>
                  <w:r w:rsidRPr="00F301A8">
                    <w:t>-8</w:t>
                  </w:r>
                </w:p>
              </w:tc>
            </w:tr>
            <w:tr w:rsidR="00F05DC7" w14:paraId="7954B95A" w14:textId="77777777" w:rsidTr="00A3786D">
              <w:tc>
                <w:tcPr>
                  <w:tcW w:w="580" w:type="pct"/>
                </w:tcPr>
                <w:p w14:paraId="7954B951" w14:textId="77777777" w:rsidR="00F05DC7" w:rsidRPr="00F301A8" w:rsidRDefault="00F05DC7" w:rsidP="00A3786D">
                  <w:pPr>
                    <w:pStyle w:val="TableUnitsRow"/>
                    <w:jc w:val="left"/>
                    <w:rPr>
                      <w:rFonts w:cs="Arial"/>
                      <w:szCs w:val="18"/>
                    </w:rPr>
                  </w:pPr>
                  <w:r w:rsidRPr="00F301A8">
                    <w:rPr>
                      <w:rFonts w:cs="Arial"/>
                      <w:szCs w:val="18"/>
                    </w:rPr>
                    <w:t>2015-16</w:t>
                  </w:r>
                </w:p>
              </w:tc>
              <w:tc>
                <w:tcPr>
                  <w:tcW w:w="553" w:type="pct"/>
                  <w:tcBorders>
                    <w:left w:val="nil"/>
                    <w:right w:val="nil"/>
                  </w:tcBorders>
                  <w:shd w:val="clear" w:color="auto" w:fill="auto"/>
                  <w:vAlign w:val="bottom"/>
                </w:tcPr>
                <w:p w14:paraId="7954B952" w14:textId="77777777" w:rsidR="00F05DC7" w:rsidRPr="00F301A8" w:rsidRDefault="00F05DC7" w:rsidP="00A3786D">
                  <w:pPr>
                    <w:pStyle w:val="TableBodyText"/>
                  </w:pPr>
                  <w:r w:rsidRPr="00F301A8">
                    <w:t>-19</w:t>
                  </w:r>
                </w:p>
              </w:tc>
              <w:tc>
                <w:tcPr>
                  <w:tcW w:w="553" w:type="pct"/>
                  <w:tcBorders>
                    <w:left w:val="nil"/>
                    <w:right w:val="nil"/>
                  </w:tcBorders>
                  <w:shd w:val="clear" w:color="auto" w:fill="auto"/>
                  <w:vAlign w:val="bottom"/>
                </w:tcPr>
                <w:p w14:paraId="7954B953" w14:textId="77777777" w:rsidR="00F05DC7" w:rsidRPr="00F301A8" w:rsidRDefault="00F05DC7" w:rsidP="00A3786D">
                  <w:pPr>
                    <w:pStyle w:val="TableBodyText"/>
                  </w:pPr>
                  <w:r w:rsidRPr="00F301A8">
                    <w:t>-19</w:t>
                  </w:r>
                </w:p>
              </w:tc>
              <w:tc>
                <w:tcPr>
                  <w:tcW w:w="553" w:type="pct"/>
                  <w:tcBorders>
                    <w:left w:val="nil"/>
                    <w:right w:val="nil"/>
                  </w:tcBorders>
                  <w:shd w:val="clear" w:color="auto" w:fill="auto"/>
                  <w:vAlign w:val="bottom"/>
                </w:tcPr>
                <w:p w14:paraId="7954B954" w14:textId="77777777" w:rsidR="00F05DC7" w:rsidRPr="00F301A8" w:rsidRDefault="00F05DC7" w:rsidP="00A3786D">
                  <w:pPr>
                    <w:pStyle w:val="TableBodyText"/>
                  </w:pPr>
                  <w:r w:rsidRPr="00F301A8">
                    <w:t>-19</w:t>
                  </w:r>
                </w:p>
              </w:tc>
              <w:tc>
                <w:tcPr>
                  <w:tcW w:w="553" w:type="pct"/>
                  <w:tcBorders>
                    <w:left w:val="nil"/>
                    <w:right w:val="nil"/>
                  </w:tcBorders>
                  <w:shd w:val="clear" w:color="auto" w:fill="auto"/>
                  <w:vAlign w:val="bottom"/>
                </w:tcPr>
                <w:p w14:paraId="7954B955" w14:textId="77777777" w:rsidR="00F05DC7" w:rsidRPr="00F301A8" w:rsidRDefault="00F05DC7" w:rsidP="00A3786D">
                  <w:pPr>
                    <w:pStyle w:val="TableBodyText"/>
                  </w:pPr>
                  <w:r w:rsidRPr="00F301A8">
                    <w:t>159</w:t>
                  </w:r>
                </w:p>
              </w:tc>
              <w:tc>
                <w:tcPr>
                  <w:tcW w:w="553" w:type="pct"/>
                  <w:tcBorders>
                    <w:left w:val="nil"/>
                    <w:right w:val="nil"/>
                  </w:tcBorders>
                  <w:shd w:val="clear" w:color="auto" w:fill="auto"/>
                  <w:vAlign w:val="bottom"/>
                </w:tcPr>
                <w:p w14:paraId="7954B956" w14:textId="77777777" w:rsidR="00F05DC7" w:rsidRPr="00F301A8" w:rsidRDefault="00F05DC7" w:rsidP="00A3786D">
                  <w:pPr>
                    <w:pStyle w:val="TableBodyText"/>
                  </w:pPr>
                  <w:r w:rsidRPr="00F301A8">
                    <w:t>-16</w:t>
                  </w:r>
                </w:p>
              </w:tc>
              <w:tc>
                <w:tcPr>
                  <w:tcW w:w="553" w:type="pct"/>
                  <w:tcBorders>
                    <w:left w:val="nil"/>
                    <w:right w:val="nil"/>
                  </w:tcBorders>
                  <w:shd w:val="clear" w:color="auto" w:fill="auto"/>
                  <w:vAlign w:val="bottom"/>
                </w:tcPr>
                <w:p w14:paraId="7954B957" w14:textId="77777777" w:rsidR="00F05DC7" w:rsidRPr="00F301A8" w:rsidRDefault="00F05DC7" w:rsidP="00A3786D">
                  <w:pPr>
                    <w:pStyle w:val="TableBodyText"/>
                  </w:pPr>
                  <w:r w:rsidRPr="00F301A8">
                    <w:t>-16</w:t>
                  </w:r>
                </w:p>
              </w:tc>
              <w:tc>
                <w:tcPr>
                  <w:tcW w:w="551" w:type="pct"/>
                  <w:tcBorders>
                    <w:left w:val="nil"/>
                    <w:right w:val="nil"/>
                  </w:tcBorders>
                  <w:shd w:val="clear" w:color="auto" w:fill="auto"/>
                  <w:vAlign w:val="bottom"/>
                </w:tcPr>
                <w:p w14:paraId="7954B958" w14:textId="77777777" w:rsidR="00F05DC7" w:rsidRPr="00F301A8" w:rsidRDefault="00F05DC7" w:rsidP="00A3786D">
                  <w:pPr>
                    <w:pStyle w:val="TableBodyText"/>
                  </w:pPr>
                  <w:r w:rsidRPr="00F301A8">
                    <w:t>-19</w:t>
                  </w:r>
                </w:p>
              </w:tc>
              <w:tc>
                <w:tcPr>
                  <w:tcW w:w="551" w:type="pct"/>
                  <w:tcBorders>
                    <w:left w:val="nil"/>
                    <w:right w:val="nil"/>
                  </w:tcBorders>
                  <w:shd w:val="clear" w:color="auto" w:fill="auto"/>
                  <w:vAlign w:val="bottom"/>
                </w:tcPr>
                <w:p w14:paraId="7954B959" w14:textId="77777777" w:rsidR="00F05DC7" w:rsidRPr="00F301A8" w:rsidRDefault="00F05DC7" w:rsidP="00A3786D">
                  <w:pPr>
                    <w:pStyle w:val="TableBodyText"/>
                  </w:pPr>
                  <w:r w:rsidRPr="00F301A8">
                    <w:t>-19</w:t>
                  </w:r>
                </w:p>
              </w:tc>
            </w:tr>
            <w:tr w:rsidR="00F05DC7" w14:paraId="7954B964" w14:textId="77777777" w:rsidTr="00A3786D">
              <w:tc>
                <w:tcPr>
                  <w:tcW w:w="580" w:type="pct"/>
                </w:tcPr>
                <w:p w14:paraId="7954B95B" w14:textId="77777777" w:rsidR="00F05DC7" w:rsidRPr="00F301A8" w:rsidRDefault="00F05DC7" w:rsidP="00A3786D">
                  <w:pPr>
                    <w:pStyle w:val="TableUnitsRow"/>
                    <w:jc w:val="left"/>
                    <w:rPr>
                      <w:rFonts w:cs="Arial"/>
                      <w:szCs w:val="18"/>
                    </w:rPr>
                  </w:pPr>
                  <w:r w:rsidRPr="00F301A8">
                    <w:rPr>
                      <w:rFonts w:cs="Arial"/>
                      <w:szCs w:val="18"/>
                    </w:rPr>
                    <w:t>2016-17</w:t>
                  </w:r>
                </w:p>
              </w:tc>
              <w:tc>
                <w:tcPr>
                  <w:tcW w:w="553" w:type="pct"/>
                  <w:tcBorders>
                    <w:left w:val="nil"/>
                    <w:right w:val="nil"/>
                  </w:tcBorders>
                  <w:shd w:val="clear" w:color="auto" w:fill="auto"/>
                  <w:vAlign w:val="bottom"/>
                </w:tcPr>
                <w:p w14:paraId="7954B95C" w14:textId="77777777" w:rsidR="00F05DC7" w:rsidRPr="00F301A8" w:rsidRDefault="00F05DC7" w:rsidP="00A3786D">
                  <w:pPr>
                    <w:pStyle w:val="TableBodyText"/>
                  </w:pPr>
                  <w:r w:rsidRPr="00F301A8">
                    <w:t>-25</w:t>
                  </w:r>
                </w:p>
              </w:tc>
              <w:tc>
                <w:tcPr>
                  <w:tcW w:w="553" w:type="pct"/>
                  <w:tcBorders>
                    <w:left w:val="nil"/>
                    <w:right w:val="nil"/>
                  </w:tcBorders>
                  <w:shd w:val="clear" w:color="auto" w:fill="auto"/>
                  <w:vAlign w:val="bottom"/>
                </w:tcPr>
                <w:p w14:paraId="7954B95D" w14:textId="77777777" w:rsidR="00F05DC7" w:rsidRPr="00F301A8" w:rsidRDefault="00F05DC7" w:rsidP="00A3786D">
                  <w:pPr>
                    <w:pStyle w:val="TableBodyText"/>
                  </w:pPr>
                  <w:r w:rsidRPr="00F301A8">
                    <w:t>-25</w:t>
                  </w:r>
                </w:p>
              </w:tc>
              <w:tc>
                <w:tcPr>
                  <w:tcW w:w="553" w:type="pct"/>
                  <w:tcBorders>
                    <w:left w:val="nil"/>
                    <w:right w:val="nil"/>
                  </w:tcBorders>
                  <w:shd w:val="clear" w:color="auto" w:fill="auto"/>
                  <w:vAlign w:val="bottom"/>
                </w:tcPr>
                <w:p w14:paraId="7954B95E" w14:textId="77777777" w:rsidR="00F05DC7" w:rsidRPr="00F301A8" w:rsidRDefault="00F05DC7" w:rsidP="00A3786D">
                  <w:pPr>
                    <w:pStyle w:val="TableBodyText"/>
                  </w:pPr>
                  <w:r w:rsidRPr="00F301A8">
                    <w:t>-25</w:t>
                  </w:r>
                </w:p>
              </w:tc>
              <w:tc>
                <w:tcPr>
                  <w:tcW w:w="553" w:type="pct"/>
                  <w:tcBorders>
                    <w:left w:val="nil"/>
                    <w:right w:val="nil"/>
                  </w:tcBorders>
                  <w:shd w:val="clear" w:color="auto" w:fill="auto"/>
                  <w:vAlign w:val="bottom"/>
                </w:tcPr>
                <w:p w14:paraId="7954B95F" w14:textId="77777777" w:rsidR="00F05DC7" w:rsidRPr="00F301A8" w:rsidRDefault="00F05DC7" w:rsidP="00A3786D">
                  <w:pPr>
                    <w:pStyle w:val="TableBodyText"/>
                  </w:pPr>
                  <w:r w:rsidRPr="00F301A8">
                    <w:t>205</w:t>
                  </w:r>
                </w:p>
              </w:tc>
              <w:tc>
                <w:tcPr>
                  <w:tcW w:w="553" w:type="pct"/>
                  <w:tcBorders>
                    <w:left w:val="nil"/>
                    <w:right w:val="nil"/>
                  </w:tcBorders>
                  <w:shd w:val="clear" w:color="auto" w:fill="auto"/>
                  <w:vAlign w:val="bottom"/>
                </w:tcPr>
                <w:p w14:paraId="7954B960" w14:textId="77777777" w:rsidR="00F05DC7" w:rsidRPr="00F301A8" w:rsidRDefault="00F05DC7" w:rsidP="00A3786D">
                  <w:pPr>
                    <w:pStyle w:val="TableBodyText"/>
                  </w:pPr>
                  <w:r w:rsidRPr="00F301A8">
                    <w:t>-21</w:t>
                  </w:r>
                </w:p>
              </w:tc>
              <w:tc>
                <w:tcPr>
                  <w:tcW w:w="553" w:type="pct"/>
                  <w:tcBorders>
                    <w:left w:val="nil"/>
                    <w:right w:val="nil"/>
                  </w:tcBorders>
                  <w:shd w:val="clear" w:color="auto" w:fill="auto"/>
                  <w:vAlign w:val="bottom"/>
                </w:tcPr>
                <w:p w14:paraId="7954B961" w14:textId="77777777" w:rsidR="00F05DC7" w:rsidRPr="00F301A8" w:rsidRDefault="00F05DC7" w:rsidP="00A3786D">
                  <w:pPr>
                    <w:pStyle w:val="TableBodyText"/>
                  </w:pPr>
                  <w:r w:rsidRPr="00F301A8">
                    <w:t>-17</w:t>
                  </w:r>
                </w:p>
              </w:tc>
              <w:tc>
                <w:tcPr>
                  <w:tcW w:w="551" w:type="pct"/>
                  <w:tcBorders>
                    <w:left w:val="nil"/>
                    <w:right w:val="nil"/>
                  </w:tcBorders>
                  <w:shd w:val="clear" w:color="auto" w:fill="auto"/>
                  <w:vAlign w:val="bottom"/>
                </w:tcPr>
                <w:p w14:paraId="7954B962" w14:textId="77777777" w:rsidR="00F05DC7" w:rsidRPr="00F301A8" w:rsidRDefault="00F05DC7" w:rsidP="00A3786D">
                  <w:pPr>
                    <w:pStyle w:val="TableBodyText"/>
                  </w:pPr>
                  <w:r w:rsidRPr="00F301A8">
                    <w:t>-25</w:t>
                  </w:r>
                </w:p>
              </w:tc>
              <w:tc>
                <w:tcPr>
                  <w:tcW w:w="551" w:type="pct"/>
                  <w:tcBorders>
                    <w:left w:val="nil"/>
                    <w:right w:val="nil"/>
                  </w:tcBorders>
                  <w:shd w:val="clear" w:color="auto" w:fill="auto"/>
                  <w:vAlign w:val="bottom"/>
                </w:tcPr>
                <w:p w14:paraId="7954B963" w14:textId="77777777" w:rsidR="00F05DC7" w:rsidRPr="00F301A8" w:rsidRDefault="00F05DC7" w:rsidP="00A3786D">
                  <w:pPr>
                    <w:pStyle w:val="TableBodyText"/>
                  </w:pPr>
                  <w:r w:rsidRPr="00F301A8">
                    <w:t>-25</w:t>
                  </w:r>
                </w:p>
              </w:tc>
            </w:tr>
            <w:tr w:rsidR="00F05DC7" w14:paraId="7954B966" w14:textId="77777777" w:rsidTr="00AB3F17">
              <w:tc>
                <w:tcPr>
                  <w:tcW w:w="5000" w:type="pct"/>
                  <w:gridSpan w:val="9"/>
                  <w:shd w:val="clear" w:color="auto" w:fill="F2F2F2" w:themeFill="background1" w:themeFillShade="F2"/>
                </w:tcPr>
                <w:p w14:paraId="7954B965" w14:textId="77777777" w:rsidR="00F05DC7" w:rsidRPr="00F301A8" w:rsidRDefault="00F05DC7" w:rsidP="00A3786D">
                  <w:pPr>
                    <w:pStyle w:val="TableUnitsRow"/>
                    <w:jc w:val="left"/>
                    <w:rPr>
                      <w:rFonts w:cs="Arial"/>
                      <w:szCs w:val="18"/>
                    </w:rPr>
                  </w:pPr>
                  <w:r>
                    <w:rPr>
                      <w:rFonts w:cs="Arial"/>
                      <w:szCs w:val="18"/>
                    </w:rPr>
                    <w:t>Assessment year r</w:t>
                  </w:r>
                  <w:r w:rsidRPr="00F301A8">
                    <w:rPr>
                      <w:rFonts w:cs="Arial"/>
                      <w:szCs w:val="18"/>
                    </w:rPr>
                    <w:t>elativities</w:t>
                  </w:r>
                  <w:r w:rsidRPr="00F301A8">
                    <w:rPr>
                      <w:rStyle w:val="NoteLabel"/>
                      <w:rFonts w:cs="Arial"/>
                      <w:szCs w:val="18"/>
                    </w:rPr>
                    <w:t>a</w:t>
                  </w:r>
                </w:p>
              </w:tc>
            </w:tr>
            <w:tr w:rsidR="00F05DC7" w14:paraId="7954B970" w14:textId="77777777" w:rsidTr="00A3786D">
              <w:tc>
                <w:tcPr>
                  <w:tcW w:w="580" w:type="pct"/>
                </w:tcPr>
                <w:p w14:paraId="7954B967" w14:textId="77777777" w:rsidR="00F05DC7" w:rsidRPr="00F301A8" w:rsidRDefault="00F05DC7" w:rsidP="00A3786D">
                  <w:pPr>
                    <w:pStyle w:val="TableUnitsRow"/>
                    <w:jc w:val="left"/>
                    <w:rPr>
                      <w:rFonts w:cs="Arial"/>
                      <w:szCs w:val="18"/>
                    </w:rPr>
                  </w:pPr>
                  <w:r w:rsidRPr="00F301A8">
                    <w:rPr>
                      <w:rFonts w:cs="Arial"/>
                      <w:szCs w:val="18"/>
                    </w:rPr>
                    <w:t>2010-11</w:t>
                  </w:r>
                </w:p>
              </w:tc>
              <w:tc>
                <w:tcPr>
                  <w:tcW w:w="553" w:type="pct"/>
                  <w:tcBorders>
                    <w:left w:val="nil"/>
                    <w:right w:val="nil"/>
                  </w:tcBorders>
                  <w:shd w:val="clear" w:color="auto" w:fill="auto"/>
                  <w:vAlign w:val="bottom"/>
                </w:tcPr>
                <w:p w14:paraId="7954B968" w14:textId="77777777" w:rsidR="00F05DC7" w:rsidRPr="00F301A8" w:rsidRDefault="00F05DC7" w:rsidP="00A3786D">
                  <w:pPr>
                    <w:pStyle w:val="TableBodyText"/>
                  </w:pPr>
                  <w:r w:rsidRPr="00F301A8">
                    <w:t>0.96</w:t>
                  </w:r>
                </w:p>
              </w:tc>
              <w:tc>
                <w:tcPr>
                  <w:tcW w:w="553" w:type="pct"/>
                  <w:tcBorders>
                    <w:left w:val="nil"/>
                    <w:right w:val="nil"/>
                  </w:tcBorders>
                  <w:shd w:val="clear" w:color="auto" w:fill="auto"/>
                  <w:vAlign w:val="bottom"/>
                </w:tcPr>
                <w:p w14:paraId="7954B969" w14:textId="77777777" w:rsidR="00F05DC7" w:rsidRPr="00F301A8" w:rsidRDefault="00F05DC7" w:rsidP="00A3786D">
                  <w:pPr>
                    <w:pStyle w:val="TableBodyText"/>
                  </w:pPr>
                  <w:r w:rsidRPr="00F301A8">
                    <w:t>0.88</w:t>
                  </w:r>
                </w:p>
              </w:tc>
              <w:tc>
                <w:tcPr>
                  <w:tcW w:w="553" w:type="pct"/>
                  <w:tcBorders>
                    <w:left w:val="nil"/>
                    <w:right w:val="nil"/>
                  </w:tcBorders>
                  <w:shd w:val="clear" w:color="auto" w:fill="auto"/>
                  <w:vAlign w:val="bottom"/>
                </w:tcPr>
                <w:p w14:paraId="7954B96A" w14:textId="77777777" w:rsidR="00F05DC7" w:rsidRPr="00F301A8" w:rsidRDefault="00F05DC7" w:rsidP="00A3786D">
                  <w:pPr>
                    <w:pStyle w:val="TableBodyText"/>
                  </w:pPr>
                  <w:r w:rsidRPr="00F301A8">
                    <w:t>1.11</w:t>
                  </w:r>
                </w:p>
              </w:tc>
              <w:tc>
                <w:tcPr>
                  <w:tcW w:w="553" w:type="pct"/>
                  <w:tcBorders>
                    <w:left w:val="nil"/>
                    <w:right w:val="nil"/>
                  </w:tcBorders>
                  <w:shd w:val="clear" w:color="auto" w:fill="auto"/>
                  <w:vAlign w:val="bottom"/>
                </w:tcPr>
                <w:p w14:paraId="7954B96B" w14:textId="77777777" w:rsidR="00F05DC7" w:rsidRPr="00F301A8" w:rsidRDefault="00F05DC7" w:rsidP="00A3786D">
                  <w:pPr>
                    <w:pStyle w:val="TableBodyText"/>
                  </w:pPr>
                  <w:r w:rsidRPr="00F301A8">
                    <w:t>0.39</w:t>
                  </w:r>
                </w:p>
              </w:tc>
              <w:tc>
                <w:tcPr>
                  <w:tcW w:w="553" w:type="pct"/>
                  <w:tcBorders>
                    <w:left w:val="nil"/>
                    <w:right w:val="nil"/>
                  </w:tcBorders>
                  <w:shd w:val="clear" w:color="auto" w:fill="auto"/>
                  <w:vAlign w:val="bottom"/>
                </w:tcPr>
                <w:p w14:paraId="7954B96C" w14:textId="77777777" w:rsidR="00F05DC7" w:rsidRPr="00F301A8" w:rsidRDefault="00F05DC7" w:rsidP="00A3786D">
                  <w:pPr>
                    <w:pStyle w:val="TableBodyText"/>
                  </w:pPr>
                  <w:r w:rsidRPr="00F301A8">
                    <w:t>1.32</w:t>
                  </w:r>
                </w:p>
              </w:tc>
              <w:tc>
                <w:tcPr>
                  <w:tcW w:w="553" w:type="pct"/>
                  <w:tcBorders>
                    <w:left w:val="nil"/>
                    <w:right w:val="nil"/>
                  </w:tcBorders>
                  <w:shd w:val="clear" w:color="auto" w:fill="auto"/>
                  <w:vAlign w:val="bottom"/>
                </w:tcPr>
                <w:p w14:paraId="7954B96D" w14:textId="77777777" w:rsidR="00F05DC7" w:rsidRPr="00F301A8" w:rsidRDefault="00F05DC7" w:rsidP="00A3786D">
                  <w:pPr>
                    <w:pStyle w:val="TableBodyText"/>
                  </w:pPr>
                  <w:r w:rsidRPr="00F301A8">
                    <w:t>1.49</w:t>
                  </w:r>
                </w:p>
              </w:tc>
              <w:tc>
                <w:tcPr>
                  <w:tcW w:w="551" w:type="pct"/>
                  <w:tcBorders>
                    <w:left w:val="nil"/>
                    <w:right w:val="nil"/>
                  </w:tcBorders>
                  <w:shd w:val="clear" w:color="auto" w:fill="auto"/>
                  <w:vAlign w:val="bottom"/>
                </w:tcPr>
                <w:p w14:paraId="7954B96E" w14:textId="77777777" w:rsidR="00F05DC7" w:rsidRPr="00F301A8" w:rsidRDefault="00F05DC7" w:rsidP="00A3786D">
                  <w:pPr>
                    <w:pStyle w:val="TableBodyText"/>
                  </w:pPr>
                  <w:r w:rsidRPr="00F301A8">
                    <w:t>1.24</w:t>
                  </w:r>
                </w:p>
              </w:tc>
              <w:tc>
                <w:tcPr>
                  <w:tcW w:w="551" w:type="pct"/>
                  <w:tcBorders>
                    <w:left w:val="nil"/>
                    <w:right w:val="nil"/>
                  </w:tcBorders>
                  <w:shd w:val="clear" w:color="auto" w:fill="auto"/>
                  <w:vAlign w:val="bottom"/>
                </w:tcPr>
                <w:p w14:paraId="7954B96F" w14:textId="77777777" w:rsidR="00F05DC7" w:rsidRPr="00F301A8" w:rsidRDefault="00F05DC7" w:rsidP="00A3786D">
                  <w:pPr>
                    <w:pStyle w:val="TableBodyText"/>
                  </w:pPr>
                  <w:r w:rsidRPr="00F301A8">
                    <w:t>5.43</w:t>
                  </w:r>
                </w:p>
              </w:tc>
            </w:tr>
            <w:tr w:rsidR="00F05DC7" w14:paraId="7954B97A" w14:textId="77777777" w:rsidTr="00A3786D">
              <w:tc>
                <w:tcPr>
                  <w:tcW w:w="580" w:type="pct"/>
                </w:tcPr>
                <w:p w14:paraId="7954B971" w14:textId="77777777" w:rsidR="00F05DC7" w:rsidRPr="00F301A8" w:rsidRDefault="00F05DC7" w:rsidP="00A3786D">
                  <w:pPr>
                    <w:pStyle w:val="TableUnitsRow"/>
                    <w:jc w:val="left"/>
                    <w:rPr>
                      <w:rFonts w:cs="Arial"/>
                      <w:szCs w:val="18"/>
                    </w:rPr>
                  </w:pPr>
                  <w:r w:rsidRPr="00F301A8">
                    <w:rPr>
                      <w:rFonts w:cs="Arial"/>
                      <w:szCs w:val="18"/>
                    </w:rPr>
                    <w:t>2011-12</w:t>
                  </w:r>
                </w:p>
              </w:tc>
              <w:tc>
                <w:tcPr>
                  <w:tcW w:w="553" w:type="pct"/>
                  <w:tcBorders>
                    <w:left w:val="nil"/>
                    <w:right w:val="nil"/>
                  </w:tcBorders>
                  <w:shd w:val="clear" w:color="auto" w:fill="auto"/>
                  <w:vAlign w:val="bottom"/>
                </w:tcPr>
                <w:p w14:paraId="7954B972" w14:textId="77777777" w:rsidR="00F05DC7" w:rsidRPr="00F301A8" w:rsidRDefault="00F05DC7" w:rsidP="00A3786D">
                  <w:pPr>
                    <w:pStyle w:val="TableBodyText"/>
                  </w:pPr>
                  <w:r w:rsidRPr="00F301A8">
                    <w:t>0.98</w:t>
                  </w:r>
                </w:p>
              </w:tc>
              <w:tc>
                <w:tcPr>
                  <w:tcW w:w="553" w:type="pct"/>
                  <w:tcBorders>
                    <w:left w:val="nil"/>
                    <w:right w:val="nil"/>
                  </w:tcBorders>
                  <w:shd w:val="clear" w:color="auto" w:fill="auto"/>
                  <w:vAlign w:val="bottom"/>
                </w:tcPr>
                <w:p w14:paraId="7954B973" w14:textId="77777777" w:rsidR="00F05DC7" w:rsidRPr="00F301A8" w:rsidRDefault="00F05DC7" w:rsidP="00A3786D">
                  <w:pPr>
                    <w:pStyle w:val="TableBodyText"/>
                  </w:pPr>
                  <w:r w:rsidRPr="00F301A8">
                    <w:t>0.90</w:t>
                  </w:r>
                </w:p>
              </w:tc>
              <w:tc>
                <w:tcPr>
                  <w:tcW w:w="553" w:type="pct"/>
                  <w:tcBorders>
                    <w:left w:val="nil"/>
                    <w:right w:val="nil"/>
                  </w:tcBorders>
                  <w:shd w:val="clear" w:color="auto" w:fill="auto"/>
                  <w:vAlign w:val="bottom"/>
                </w:tcPr>
                <w:p w14:paraId="7954B974" w14:textId="77777777" w:rsidR="00F05DC7" w:rsidRPr="00F301A8" w:rsidRDefault="00F05DC7" w:rsidP="00A3786D">
                  <w:pPr>
                    <w:pStyle w:val="TableBodyText"/>
                  </w:pPr>
                  <w:r w:rsidRPr="00F301A8">
                    <w:t>1.05</w:t>
                  </w:r>
                </w:p>
              </w:tc>
              <w:tc>
                <w:tcPr>
                  <w:tcW w:w="553" w:type="pct"/>
                  <w:tcBorders>
                    <w:left w:val="nil"/>
                    <w:right w:val="nil"/>
                  </w:tcBorders>
                  <w:shd w:val="clear" w:color="auto" w:fill="auto"/>
                  <w:vAlign w:val="bottom"/>
                </w:tcPr>
                <w:p w14:paraId="7954B975" w14:textId="77777777" w:rsidR="00F05DC7" w:rsidRPr="00F301A8" w:rsidRDefault="00F05DC7" w:rsidP="00A3786D">
                  <w:pPr>
                    <w:pStyle w:val="TableBodyText"/>
                  </w:pPr>
                  <w:r w:rsidRPr="00F301A8">
                    <w:t>0.40</w:t>
                  </w:r>
                </w:p>
              </w:tc>
              <w:tc>
                <w:tcPr>
                  <w:tcW w:w="553" w:type="pct"/>
                  <w:tcBorders>
                    <w:left w:val="nil"/>
                    <w:right w:val="nil"/>
                  </w:tcBorders>
                  <w:shd w:val="clear" w:color="auto" w:fill="auto"/>
                  <w:vAlign w:val="bottom"/>
                </w:tcPr>
                <w:p w14:paraId="7954B976" w14:textId="77777777" w:rsidR="00F05DC7" w:rsidRPr="00F301A8" w:rsidRDefault="00F05DC7" w:rsidP="00A3786D">
                  <w:pPr>
                    <w:pStyle w:val="TableBodyText"/>
                  </w:pPr>
                  <w:r w:rsidRPr="00F301A8">
                    <w:t>1.21</w:t>
                  </w:r>
                </w:p>
              </w:tc>
              <w:tc>
                <w:tcPr>
                  <w:tcW w:w="553" w:type="pct"/>
                  <w:tcBorders>
                    <w:left w:val="nil"/>
                    <w:right w:val="nil"/>
                  </w:tcBorders>
                  <w:shd w:val="clear" w:color="auto" w:fill="auto"/>
                  <w:vAlign w:val="bottom"/>
                </w:tcPr>
                <w:p w14:paraId="7954B977" w14:textId="77777777" w:rsidR="00F05DC7" w:rsidRPr="00F301A8" w:rsidRDefault="00F05DC7" w:rsidP="00A3786D">
                  <w:pPr>
                    <w:pStyle w:val="TableBodyText"/>
                  </w:pPr>
                  <w:r w:rsidRPr="00F301A8">
                    <w:t>1.78</w:t>
                  </w:r>
                </w:p>
              </w:tc>
              <w:tc>
                <w:tcPr>
                  <w:tcW w:w="551" w:type="pct"/>
                  <w:tcBorders>
                    <w:left w:val="nil"/>
                    <w:right w:val="nil"/>
                  </w:tcBorders>
                  <w:shd w:val="clear" w:color="auto" w:fill="auto"/>
                  <w:vAlign w:val="bottom"/>
                </w:tcPr>
                <w:p w14:paraId="7954B978" w14:textId="77777777" w:rsidR="00F05DC7" w:rsidRPr="00F301A8" w:rsidRDefault="00F05DC7" w:rsidP="00A3786D">
                  <w:pPr>
                    <w:pStyle w:val="TableBodyText"/>
                  </w:pPr>
                  <w:r w:rsidRPr="00F301A8">
                    <w:t>1.29</w:t>
                  </w:r>
                </w:p>
              </w:tc>
              <w:tc>
                <w:tcPr>
                  <w:tcW w:w="551" w:type="pct"/>
                  <w:tcBorders>
                    <w:left w:val="nil"/>
                    <w:right w:val="nil"/>
                  </w:tcBorders>
                  <w:shd w:val="clear" w:color="auto" w:fill="auto"/>
                  <w:vAlign w:val="bottom"/>
                </w:tcPr>
                <w:p w14:paraId="7954B979" w14:textId="77777777" w:rsidR="00F05DC7" w:rsidRPr="00F301A8" w:rsidRDefault="00F05DC7" w:rsidP="00A3786D">
                  <w:pPr>
                    <w:pStyle w:val="TableBodyText"/>
                  </w:pPr>
                  <w:r w:rsidRPr="00F301A8">
                    <w:t>5.47</w:t>
                  </w:r>
                </w:p>
              </w:tc>
            </w:tr>
            <w:tr w:rsidR="00F05DC7" w14:paraId="7954B984" w14:textId="77777777" w:rsidTr="00A3786D">
              <w:tc>
                <w:tcPr>
                  <w:tcW w:w="580" w:type="pct"/>
                </w:tcPr>
                <w:p w14:paraId="7954B97B" w14:textId="77777777" w:rsidR="00F05DC7" w:rsidRPr="00F301A8" w:rsidRDefault="00F05DC7" w:rsidP="00A3786D">
                  <w:pPr>
                    <w:pStyle w:val="TableUnitsRow"/>
                    <w:jc w:val="left"/>
                    <w:rPr>
                      <w:rFonts w:cs="Arial"/>
                      <w:szCs w:val="18"/>
                    </w:rPr>
                  </w:pPr>
                  <w:r w:rsidRPr="00F301A8">
                    <w:rPr>
                      <w:rFonts w:cs="Arial"/>
                      <w:szCs w:val="18"/>
                    </w:rPr>
                    <w:t>2012-13</w:t>
                  </w:r>
                </w:p>
              </w:tc>
              <w:tc>
                <w:tcPr>
                  <w:tcW w:w="553" w:type="pct"/>
                  <w:tcBorders>
                    <w:left w:val="nil"/>
                    <w:right w:val="nil"/>
                  </w:tcBorders>
                  <w:shd w:val="clear" w:color="auto" w:fill="auto"/>
                  <w:vAlign w:val="bottom"/>
                </w:tcPr>
                <w:p w14:paraId="7954B97C" w14:textId="77777777" w:rsidR="00F05DC7" w:rsidRPr="00F301A8" w:rsidRDefault="00F05DC7" w:rsidP="00A3786D">
                  <w:pPr>
                    <w:pStyle w:val="TableBodyText"/>
                  </w:pPr>
                  <w:r w:rsidRPr="00F301A8">
                    <w:t>0.93</w:t>
                  </w:r>
                </w:p>
              </w:tc>
              <w:tc>
                <w:tcPr>
                  <w:tcW w:w="553" w:type="pct"/>
                  <w:tcBorders>
                    <w:left w:val="nil"/>
                    <w:right w:val="nil"/>
                  </w:tcBorders>
                  <w:shd w:val="clear" w:color="auto" w:fill="auto"/>
                  <w:vAlign w:val="bottom"/>
                </w:tcPr>
                <w:p w14:paraId="7954B97D" w14:textId="77777777" w:rsidR="00F05DC7" w:rsidRPr="00F301A8" w:rsidRDefault="00F05DC7" w:rsidP="00A3786D">
                  <w:pPr>
                    <w:pStyle w:val="TableBodyText"/>
                  </w:pPr>
                  <w:r w:rsidRPr="00F301A8">
                    <w:t>0.87</w:t>
                  </w:r>
                </w:p>
              </w:tc>
              <w:tc>
                <w:tcPr>
                  <w:tcW w:w="553" w:type="pct"/>
                  <w:tcBorders>
                    <w:left w:val="nil"/>
                    <w:right w:val="nil"/>
                  </w:tcBorders>
                  <w:shd w:val="clear" w:color="auto" w:fill="auto"/>
                  <w:vAlign w:val="bottom"/>
                </w:tcPr>
                <w:p w14:paraId="7954B97E" w14:textId="77777777" w:rsidR="00F05DC7" w:rsidRPr="00F301A8" w:rsidRDefault="00F05DC7" w:rsidP="00A3786D">
                  <w:pPr>
                    <w:pStyle w:val="TableBodyText"/>
                  </w:pPr>
                  <w:r w:rsidRPr="00F301A8">
                    <w:t>1.11</w:t>
                  </w:r>
                </w:p>
              </w:tc>
              <w:tc>
                <w:tcPr>
                  <w:tcW w:w="553" w:type="pct"/>
                  <w:tcBorders>
                    <w:left w:val="nil"/>
                    <w:right w:val="nil"/>
                  </w:tcBorders>
                  <w:shd w:val="clear" w:color="auto" w:fill="auto"/>
                  <w:vAlign w:val="bottom"/>
                </w:tcPr>
                <w:p w14:paraId="7954B97F" w14:textId="77777777" w:rsidR="00F05DC7" w:rsidRPr="00F301A8" w:rsidRDefault="00F05DC7" w:rsidP="00A3786D">
                  <w:pPr>
                    <w:pStyle w:val="TableBodyText"/>
                  </w:pPr>
                  <w:r w:rsidRPr="00F301A8">
                    <w:t>0.40</w:t>
                  </w:r>
                </w:p>
              </w:tc>
              <w:tc>
                <w:tcPr>
                  <w:tcW w:w="553" w:type="pct"/>
                  <w:tcBorders>
                    <w:left w:val="nil"/>
                    <w:right w:val="nil"/>
                  </w:tcBorders>
                  <w:shd w:val="clear" w:color="auto" w:fill="auto"/>
                  <w:vAlign w:val="bottom"/>
                </w:tcPr>
                <w:p w14:paraId="7954B980" w14:textId="77777777" w:rsidR="00F05DC7" w:rsidRPr="00F301A8" w:rsidRDefault="00F05DC7" w:rsidP="00A3786D">
                  <w:pPr>
                    <w:pStyle w:val="TableBodyText"/>
                  </w:pPr>
                  <w:r w:rsidRPr="00F301A8">
                    <w:t>1.35</w:t>
                  </w:r>
                </w:p>
              </w:tc>
              <w:tc>
                <w:tcPr>
                  <w:tcW w:w="553" w:type="pct"/>
                  <w:tcBorders>
                    <w:left w:val="nil"/>
                    <w:right w:val="nil"/>
                  </w:tcBorders>
                  <w:shd w:val="clear" w:color="auto" w:fill="auto"/>
                  <w:vAlign w:val="bottom"/>
                </w:tcPr>
                <w:p w14:paraId="7954B981" w14:textId="77777777" w:rsidR="00F05DC7" w:rsidRPr="00F301A8" w:rsidRDefault="00F05DC7" w:rsidP="00A3786D">
                  <w:pPr>
                    <w:pStyle w:val="TableBodyText"/>
                  </w:pPr>
                  <w:r w:rsidRPr="00F301A8">
                    <w:t>1.77</w:t>
                  </w:r>
                </w:p>
              </w:tc>
              <w:tc>
                <w:tcPr>
                  <w:tcW w:w="551" w:type="pct"/>
                  <w:tcBorders>
                    <w:left w:val="nil"/>
                    <w:right w:val="nil"/>
                  </w:tcBorders>
                  <w:shd w:val="clear" w:color="auto" w:fill="auto"/>
                  <w:vAlign w:val="bottom"/>
                </w:tcPr>
                <w:p w14:paraId="7954B982" w14:textId="77777777" w:rsidR="00F05DC7" w:rsidRPr="00F301A8" w:rsidRDefault="00F05DC7" w:rsidP="00A3786D">
                  <w:pPr>
                    <w:pStyle w:val="TableBodyText"/>
                  </w:pPr>
                  <w:r w:rsidRPr="00F301A8">
                    <w:t>1.09</w:t>
                  </w:r>
                </w:p>
              </w:tc>
              <w:tc>
                <w:tcPr>
                  <w:tcW w:w="551" w:type="pct"/>
                  <w:tcBorders>
                    <w:left w:val="nil"/>
                    <w:right w:val="nil"/>
                  </w:tcBorders>
                  <w:shd w:val="clear" w:color="auto" w:fill="auto"/>
                  <w:vAlign w:val="bottom"/>
                </w:tcPr>
                <w:p w14:paraId="7954B983" w14:textId="77777777" w:rsidR="00F05DC7" w:rsidRPr="00F301A8" w:rsidRDefault="00F05DC7" w:rsidP="00A3786D">
                  <w:pPr>
                    <w:pStyle w:val="TableBodyText"/>
                  </w:pPr>
                  <w:r w:rsidRPr="00F301A8">
                    <w:t>6.03</w:t>
                  </w:r>
                </w:p>
              </w:tc>
            </w:tr>
            <w:tr w:rsidR="00F05DC7" w14:paraId="7954B98E" w14:textId="77777777" w:rsidTr="00A3786D">
              <w:tc>
                <w:tcPr>
                  <w:tcW w:w="580" w:type="pct"/>
                </w:tcPr>
                <w:p w14:paraId="7954B985" w14:textId="77777777" w:rsidR="00F05DC7" w:rsidRPr="00F301A8" w:rsidRDefault="00F05DC7" w:rsidP="00A3786D">
                  <w:pPr>
                    <w:pStyle w:val="TableUnitsRow"/>
                    <w:jc w:val="left"/>
                    <w:rPr>
                      <w:rFonts w:cs="Arial"/>
                      <w:szCs w:val="18"/>
                    </w:rPr>
                  </w:pPr>
                  <w:r w:rsidRPr="00F301A8">
                    <w:rPr>
                      <w:rFonts w:cs="Arial"/>
                      <w:szCs w:val="18"/>
                    </w:rPr>
                    <w:t>2013-14</w:t>
                  </w:r>
                </w:p>
              </w:tc>
              <w:tc>
                <w:tcPr>
                  <w:tcW w:w="553" w:type="pct"/>
                  <w:tcBorders>
                    <w:left w:val="nil"/>
                    <w:right w:val="nil"/>
                  </w:tcBorders>
                  <w:shd w:val="clear" w:color="auto" w:fill="auto"/>
                  <w:vAlign w:val="bottom"/>
                </w:tcPr>
                <w:p w14:paraId="7954B986" w14:textId="77777777" w:rsidR="00F05DC7" w:rsidRPr="00F301A8" w:rsidRDefault="00F05DC7" w:rsidP="00A3786D">
                  <w:pPr>
                    <w:pStyle w:val="TableBodyText"/>
                  </w:pPr>
                  <w:r w:rsidRPr="00F301A8">
                    <w:t>0.88</w:t>
                  </w:r>
                </w:p>
              </w:tc>
              <w:tc>
                <w:tcPr>
                  <w:tcW w:w="553" w:type="pct"/>
                  <w:tcBorders>
                    <w:left w:val="nil"/>
                    <w:right w:val="nil"/>
                  </w:tcBorders>
                  <w:shd w:val="clear" w:color="auto" w:fill="auto"/>
                  <w:vAlign w:val="bottom"/>
                </w:tcPr>
                <w:p w14:paraId="7954B987" w14:textId="77777777" w:rsidR="00F05DC7" w:rsidRPr="00F301A8" w:rsidRDefault="00F05DC7" w:rsidP="00A3786D">
                  <w:pPr>
                    <w:pStyle w:val="TableBodyText"/>
                  </w:pPr>
                  <w:r w:rsidRPr="00F301A8">
                    <w:t>0.91</w:t>
                  </w:r>
                </w:p>
              </w:tc>
              <w:tc>
                <w:tcPr>
                  <w:tcW w:w="553" w:type="pct"/>
                  <w:tcBorders>
                    <w:left w:val="nil"/>
                    <w:right w:val="nil"/>
                  </w:tcBorders>
                  <w:shd w:val="clear" w:color="auto" w:fill="auto"/>
                  <w:vAlign w:val="bottom"/>
                </w:tcPr>
                <w:p w14:paraId="7954B988" w14:textId="77777777" w:rsidR="00F05DC7" w:rsidRPr="00F301A8" w:rsidRDefault="00F05DC7" w:rsidP="00A3786D">
                  <w:pPr>
                    <w:pStyle w:val="TableBodyText"/>
                  </w:pPr>
                  <w:r w:rsidRPr="00F301A8">
                    <w:t>1.28</w:t>
                  </w:r>
                </w:p>
              </w:tc>
              <w:tc>
                <w:tcPr>
                  <w:tcW w:w="553" w:type="pct"/>
                  <w:tcBorders>
                    <w:left w:val="nil"/>
                    <w:right w:val="nil"/>
                  </w:tcBorders>
                  <w:shd w:val="clear" w:color="auto" w:fill="auto"/>
                  <w:vAlign w:val="bottom"/>
                </w:tcPr>
                <w:p w14:paraId="7954B989" w14:textId="77777777" w:rsidR="00F05DC7" w:rsidRPr="00F301A8" w:rsidRDefault="00F05DC7" w:rsidP="00A3786D">
                  <w:pPr>
                    <w:pStyle w:val="TableBodyText"/>
                  </w:pPr>
                  <w:r w:rsidRPr="00F301A8">
                    <w:t>0.13</w:t>
                  </w:r>
                </w:p>
              </w:tc>
              <w:tc>
                <w:tcPr>
                  <w:tcW w:w="553" w:type="pct"/>
                  <w:tcBorders>
                    <w:left w:val="nil"/>
                    <w:right w:val="nil"/>
                  </w:tcBorders>
                  <w:shd w:val="clear" w:color="auto" w:fill="auto"/>
                  <w:vAlign w:val="bottom"/>
                </w:tcPr>
                <w:p w14:paraId="7954B98A" w14:textId="77777777" w:rsidR="00F05DC7" w:rsidRPr="00F301A8" w:rsidRDefault="00F05DC7" w:rsidP="00A3786D">
                  <w:pPr>
                    <w:pStyle w:val="TableBodyText"/>
                  </w:pPr>
                  <w:r w:rsidRPr="00F301A8">
                    <w:t>1.46</w:t>
                  </w:r>
                </w:p>
              </w:tc>
              <w:tc>
                <w:tcPr>
                  <w:tcW w:w="553" w:type="pct"/>
                  <w:tcBorders>
                    <w:left w:val="nil"/>
                    <w:right w:val="nil"/>
                  </w:tcBorders>
                  <w:shd w:val="clear" w:color="auto" w:fill="auto"/>
                  <w:vAlign w:val="bottom"/>
                </w:tcPr>
                <w:p w14:paraId="7954B98B" w14:textId="77777777" w:rsidR="00F05DC7" w:rsidRPr="00F301A8" w:rsidRDefault="00F05DC7" w:rsidP="00A3786D">
                  <w:pPr>
                    <w:pStyle w:val="TableBodyText"/>
                  </w:pPr>
                  <w:r w:rsidRPr="00F301A8">
                    <w:t>1.80</w:t>
                  </w:r>
                </w:p>
              </w:tc>
              <w:tc>
                <w:tcPr>
                  <w:tcW w:w="551" w:type="pct"/>
                  <w:tcBorders>
                    <w:left w:val="nil"/>
                    <w:right w:val="nil"/>
                  </w:tcBorders>
                  <w:shd w:val="clear" w:color="auto" w:fill="auto"/>
                  <w:vAlign w:val="bottom"/>
                </w:tcPr>
                <w:p w14:paraId="7954B98C" w14:textId="77777777" w:rsidR="00F05DC7" w:rsidRPr="00F301A8" w:rsidRDefault="00F05DC7" w:rsidP="00A3786D">
                  <w:pPr>
                    <w:pStyle w:val="TableBodyText"/>
                  </w:pPr>
                  <w:r w:rsidRPr="00F301A8">
                    <w:t>1.18</w:t>
                  </w:r>
                </w:p>
              </w:tc>
              <w:tc>
                <w:tcPr>
                  <w:tcW w:w="551" w:type="pct"/>
                  <w:tcBorders>
                    <w:left w:val="nil"/>
                    <w:right w:val="nil"/>
                  </w:tcBorders>
                  <w:shd w:val="clear" w:color="auto" w:fill="auto"/>
                  <w:vAlign w:val="bottom"/>
                </w:tcPr>
                <w:p w14:paraId="7954B98D" w14:textId="77777777" w:rsidR="00F05DC7" w:rsidRPr="00F301A8" w:rsidRDefault="00F05DC7" w:rsidP="00A3786D">
                  <w:pPr>
                    <w:pStyle w:val="TableBodyText"/>
                  </w:pPr>
                  <w:r w:rsidRPr="00F301A8">
                    <w:t>5.10</w:t>
                  </w:r>
                </w:p>
              </w:tc>
            </w:tr>
            <w:tr w:rsidR="00F05DC7" w14:paraId="7954B998" w14:textId="77777777" w:rsidTr="00A3786D">
              <w:tc>
                <w:tcPr>
                  <w:tcW w:w="580" w:type="pct"/>
                </w:tcPr>
                <w:p w14:paraId="7954B98F" w14:textId="77777777" w:rsidR="00F05DC7" w:rsidRPr="00F301A8" w:rsidRDefault="00F05DC7" w:rsidP="00A3786D">
                  <w:pPr>
                    <w:pStyle w:val="TableUnitsRow"/>
                    <w:jc w:val="left"/>
                    <w:rPr>
                      <w:rFonts w:cs="Arial"/>
                      <w:szCs w:val="18"/>
                    </w:rPr>
                  </w:pPr>
                  <w:r w:rsidRPr="00F301A8">
                    <w:rPr>
                      <w:rFonts w:cs="Arial"/>
                      <w:szCs w:val="18"/>
                    </w:rPr>
                    <w:t>2014-15</w:t>
                  </w:r>
                </w:p>
              </w:tc>
              <w:tc>
                <w:tcPr>
                  <w:tcW w:w="553" w:type="pct"/>
                  <w:tcBorders>
                    <w:left w:val="nil"/>
                    <w:right w:val="nil"/>
                  </w:tcBorders>
                  <w:shd w:val="clear" w:color="auto" w:fill="auto"/>
                  <w:vAlign w:val="bottom"/>
                </w:tcPr>
                <w:p w14:paraId="7954B990" w14:textId="77777777" w:rsidR="00F05DC7" w:rsidRPr="00F301A8" w:rsidRDefault="00F05DC7" w:rsidP="00A3786D">
                  <w:pPr>
                    <w:pStyle w:val="TableBodyText"/>
                  </w:pPr>
                  <w:r w:rsidRPr="00F301A8">
                    <w:t>0.87</w:t>
                  </w:r>
                </w:p>
              </w:tc>
              <w:tc>
                <w:tcPr>
                  <w:tcW w:w="553" w:type="pct"/>
                  <w:tcBorders>
                    <w:left w:val="nil"/>
                    <w:right w:val="nil"/>
                  </w:tcBorders>
                  <w:shd w:val="clear" w:color="auto" w:fill="auto"/>
                  <w:vAlign w:val="bottom"/>
                </w:tcPr>
                <w:p w14:paraId="7954B991" w14:textId="77777777" w:rsidR="00F05DC7" w:rsidRPr="00F301A8" w:rsidRDefault="00F05DC7" w:rsidP="00A3786D">
                  <w:pPr>
                    <w:pStyle w:val="TableBodyText"/>
                  </w:pPr>
                  <w:r w:rsidRPr="00F301A8">
                    <w:t>0.99</w:t>
                  </w:r>
                </w:p>
              </w:tc>
              <w:tc>
                <w:tcPr>
                  <w:tcW w:w="553" w:type="pct"/>
                  <w:tcBorders>
                    <w:left w:val="nil"/>
                    <w:right w:val="nil"/>
                  </w:tcBorders>
                  <w:shd w:val="clear" w:color="auto" w:fill="auto"/>
                  <w:vAlign w:val="bottom"/>
                </w:tcPr>
                <w:p w14:paraId="7954B992" w14:textId="77777777" w:rsidR="00F05DC7" w:rsidRPr="00F301A8" w:rsidRDefault="00F05DC7" w:rsidP="00A3786D">
                  <w:pPr>
                    <w:pStyle w:val="TableBodyText"/>
                  </w:pPr>
                  <w:r w:rsidRPr="00F301A8">
                    <w:t>1.13</w:t>
                  </w:r>
                </w:p>
              </w:tc>
              <w:tc>
                <w:tcPr>
                  <w:tcW w:w="553" w:type="pct"/>
                  <w:tcBorders>
                    <w:left w:val="nil"/>
                    <w:right w:val="nil"/>
                  </w:tcBorders>
                  <w:shd w:val="clear" w:color="auto" w:fill="auto"/>
                  <w:vAlign w:val="bottom"/>
                </w:tcPr>
                <w:p w14:paraId="7954B993" w14:textId="77777777" w:rsidR="00F05DC7" w:rsidRPr="00F301A8" w:rsidRDefault="00F05DC7" w:rsidP="00A3786D">
                  <w:pPr>
                    <w:pStyle w:val="TableBodyText"/>
                  </w:pPr>
                  <w:r w:rsidRPr="00F301A8">
                    <w:t>0.38</w:t>
                  </w:r>
                </w:p>
              </w:tc>
              <w:tc>
                <w:tcPr>
                  <w:tcW w:w="553" w:type="pct"/>
                  <w:tcBorders>
                    <w:left w:val="nil"/>
                    <w:right w:val="nil"/>
                  </w:tcBorders>
                  <w:shd w:val="clear" w:color="auto" w:fill="auto"/>
                  <w:vAlign w:val="bottom"/>
                </w:tcPr>
                <w:p w14:paraId="7954B994" w14:textId="77777777" w:rsidR="00F05DC7" w:rsidRPr="00F301A8" w:rsidRDefault="00F05DC7" w:rsidP="00A3786D">
                  <w:pPr>
                    <w:pStyle w:val="TableBodyText"/>
                  </w:pPr>
                  <w:r w:rsidRPr="00F301A8">
                    <w:t>1.42</w:t>
                  </w:r>
                </w:p>
              </w:tc>
              <w:tc>
                <w:tcPr>
                  <w:tcW w:w="553" w:type="pct"/>
                  <w:tcBorders>
                    <w:left w:val="nil"/>
                    <w:right w:val="nil"/>
                  </w:tcBorders>
                  <w:shd w:val="clear" w:color="auto" w:fill="auto"/>
                  <w:vAlign w:val="bottom"/>
                </w:tcPr>
                <w:p w14:paraId="7954B995" w14:textId="77777777" w:rsidR="00F05DC7" w:rsidRPr="00F301A8" w:rsidRDefault="00F05DC7" w:rsidP="00A3786D">
                  <w:pPr>
                    <w:pStyle w:val="TableBodyText"/>
                  </w:pPr>
                  <w:r w:rsidRPr="00F301A8">
                    <w:t>1.77</w:t>
                  </w:r>
                </w:p>
              </w:tc>
              <w:tc>
                <w:tcPr>
                  <w:tcW w:w="551" w:type="pct"/>
                  <w:tcBorders>
                    <w:left w:val="nil"/>
                    <w:right w:val="nil"/>
                  </w:tcBorders>
                  <w:shd w:val="clear" w:color="auto" w:fill="auto"/>
                  <w:vAlign w:val="bottom"/>
                </w:tcPr>
                <w:p w14:paraId="7954B996" w14:textId="77777777" w:rsidR="00F05DC7" w:rsidRPr="00F301A8" w:rsidRDefault="00F05DC7" w:rsidP="00A3786D">
                  <w:pPr>
                    <w:pStyle w:val="TableBodyText"/>
                  </w:pPr>
                  <w:r w:rsidRPr="00F301A8">
                    <w:t>1.17</w:t>
                  </w:r>
                </w:p>
              </w:tc>
              <w:tc>
                <w:tcPr>
                  <w:tcW w:w="551" w:type="pct"/>
                  <w:tcBorders>
                    <w:left w:val="nil"/>
                    <w:right w:val="nil"/>
                  </w:tcBorders>
                  <w:shd w:val="clear" w:color="auto" w:fill="auto"/>
                  <w:vAlign w:val="bottom"/>
                </w:tcPr>
                <w:p w14:paraId="7954B997" w14:textId="77777777" w:rsidR="00F05DC7" w:rsidRPr="00F301A8" w:rsidRDefault="00F05DC7" w:rsidP="00A3786D">
                  <w:pPr>
                    <w:pStyle w:val="TableBodyText"/>
                  </w:pPr>
                  <w:r w:rsidRPr="00F301A8">
                    <w:t>4.40</w:t>
                  </w:r>
                </w:p>
              </w:tc>
            </w:tr>
            <w:tr w:rsidR="00F05DC7" w14:paraId="7954B9A2" w14:textId="77777777" w:rsidTr="00A3786D">
              <w:tc>
                <w:tcPr>
                  <w:tcW w:w="580" w:type="pct"/>
                </w:tcPr>
                <w:p w14:paraId="7954B999" w14:textId="77777777" w:rsidR="00F05DC7" w:rsidRPr="00F301A8" w:rsidRDefault="00F05DC7" w:rsidP="00A3786D">
                  <w:pPr>
                    <w:pStyle w:val="TableUnitsRow"/>
                    <w:jc w:val="left"/>
                    <w:rPr>
                      <w:rFonts w:cs="Arial"/>
                      <w:szCs w:val="18"/>
                    </w:rPr>
                  </w:pPr>
                  <w:r w:rsidRPr="00F301A8">
                    <w:rPr>
                      <w:rFonts w:cs="Arial"/>
                      <w:szCs w:val="18"/>
                    </w:rPr>
                    <w:t>2015-16</w:t>
                  </w:r>
                </w:p>
              </w:tc>
              <w:tc>
                <w:tcPr>
                  <w:tcW w:w="553" w:type="pct"/>
                  <w:tcBorders>
                    <w:left w:val="nil"/>
                    <w:right w:val="nil"/>
                  </w:tcBorders>
                  <w:shd w:val="clear" w:color="auto" w:fill="auto"/>
                  <w:vAlign w:val="bottom"/>
                </w:tcPr>
                <w:p w14:paraId="7954B99A" w14:textId="77777777" w:rsidR="00F05DC7" w:rsidRPr="00F301A8" w:rsidRDefault="00F05DC7" w:rsidP="00A3786D">
                  <w:pPr>
                    <w:pStyle w:val="TableBodyText"/>
                  </w:pPr>
                  <w:r w:rsidRPr="00F301A8">
                    <w:t>0.84</w:t>
                  </w:r>
                </w:p>
              </w:tc>
              <w:tc>
                <w:tcPr>
                  <w:tcW w:w="553" w:type="pct"/>
                  <w:tcBorders>
                    <w:left w:val="nil"/>
                    <w:right w:val="nil"/>
                  </w:tcBorders>
                  <w:shd w:val="clear" w:color="auto" w:fill="auto"/>
                  <w:vAlign w:val="bottom"/>
                </w:tcPr>
                <w:p w14:paraId="7954B99B" w14:textId="77777777" w:rsidR="00F05DC7" w:rsidRPr="00F301A8" w:rsidRDefault="00F05DC7" w:rsidP="00A3786D">
                  <w:pPr>
                    <w:pStyle w:val="TableBodyText"/>
                  </w:pPr>
                  <w:r w:rsidRPr="00F301A8">
                    <w:t>0.95</w:t>
                  </w:r>
                </w:p>
              </w:tc>
              <w:tc>
                <w:tcPr>
                  <w:tcW w:w="553" w:type="pct"/>
                  <w:tcBorders>
                    <w:left w:val="nil"/>
                    <w:right w:val="nil"/>
                  </w:tcBorders>
                  <w:shd w:val="clear" w:color="auto" w:fill="auto"/>
                  <w:vAlign w:val="bottom"/>
                </w:tcPr>
                <w:p w14:paraId="7954B99C" w14:textId="77777777" w:rsidR="00F05DC7" w:rsidRPr="00F301A8" w:rsidRDefault="00F05DC7" w:rsidP="00A3786D">
                  <w:pPr>
                    <w:pStyle w:val="TableBodyText"/>
                  </w:pPr>
                  <w:r w:rsidRPr="00F301A8">
                    <w:t>1.11</w:t>
                  </w:r>
                </w:p>
              </w:tc>
              <w:tc>
                <w:tcPr>
                  <w:tcW w:w="553" w:type="pct"/>
                  <w:tcBorders>
                    <w:left w:val="nil"/>
                    <w:right w:val="nil"/>
                  </w:tcBorders>
                  <w:shd w:val="clear" w:color="auto" w:fill="auto"/>
                  <w:vAlign w:val="bottom"/>
                </w:tcPr>
                <w:p w14:paraId="7954B99D" w14:textId="77777777" w:rsidR="00F05DC7" w:rsidRPr="00F301A8" w:rsidRDefault="00F05DC7" w:rsidP="00A3786D">
                  <w:pPr>
                    <w:pStyle w:val="TableBodyText"/>
                  </w:pPr>
                  <w:r w:rsidRPr="00F301A8">
                    <w:t>0.61</w:t>
                  </w:r>
                </w:p>
              </w:tc>
              <w:tc>
                <w:tcPr>
                  <w:tcW w:w="553" w:type="pct"/>
                  <w:tcBorders>
                    <w:left w:val="nil"/>
                    <w:right w:val="nil"/>
                  </w:tcBorders>
                  <w:shd w:val="clear" w:color="auto" w:fill="auto"/>
                  <w:vAlign w:val="bottom"/>
                </w:tcPr>
                <w:p w14:paraId="7954B99E" w14:textId="77777777" w:rsidR="00F05DC7" w:rsidRPr="00F301A8" w:rsidRDefault="00F05DC7" w:rsidP="00A3786D">
                  <w:pPr>
                    <w:pStyle w:val="TableBodyText"/>
                  </w:pPr>
                  <w:r w:rsidRPr="00F301A8">
                    <w:t>1.46</w:t>
                  </w:r>
                </w:p>
              </w:tc>
              <w:tc>
                <w:tcPr>
                  <w:tcW w:w="553" w:type="pct"/>
                  <w:tcBorders>
                    <w:left w:val="nil"/>
                    <w:right w:val="nil"/>
                  </w:tcBorders>
                  <w:shd w:val="clear" w:color="auto" w:fill="auto"/>
                  <w:vAlign w:val="bottom"/>
                </w:tcPr>
                <w:p w14:paraId="7954B99F" w14:textId="77777777" w:rsidR="00F05DC7" w:rsidRPr="00F301A8" w:rsidRDefault="00F05DC7" w:rsidP="00A3786D">
                  <w:pPr>
                    <w:pStyle w:val="TableBodyText"/>
                  </w:pPr>
                  <w:r w:rsidRPr="00F301A8">
                    <w:t>1.80</w:t>
                  </w:r>
                </w:p>
              </w:tc>
              <w:tc>
                <w:tcPr>
                  <w:tcW w:w="551" w:type="pct"/>
                  <w:tcBorders>
                    <w:left w:val="nil"/>
                    <w:right w:val="nil"/>
                  </w:tcBorders>
                  <w:shd w:val="clear" w:color="auto" w:fill="auto"/>
                  <w:vAlign w:val="bottom"/>
                </w:tcPr>
                <w:p w14:paraId="7954B9A0" w14:textId="77777777" w:rsidR="00F05DC7" w:rsidRPr="00F301A8" w:rsidRDefault="00F05DC7" w:rsidP="00A3786D">
                  <w:pPr>
                    <w:pStyle w:val="TableBodyText"/>
                  </w:pPr>
                  <w:r w:rsidRPr="00F301A8">
                    <w:t>1.14</w:t>
                  </w:r>
                </w:p>
              </w:tc>
              <w:tc>
                <w:tcPr>
                  <w:tcW w:w="551" w:type="pct"/>
                  <w:tcBorders>
                    <w:left w:val="nil"/>
                    <w:right w:val="nil"/>
                  </w:tcBorders>
                  <w:shd w:val="clear" w:color="auto" w:fill="auto"/>
                  <w:vAlign w:val="bottom"/>
                </w:tcPr>
                <w:p w14:paraId="7954B9A1" w14:textId="77777777" w:rsidR="00F05DC7" w:rsidRPr="00F301A8" w:rsidRDefault="00F05DC7" w:rsidP="00A3786D">
                  <w:pPr>
                    <w:pStyle w:val="TableBodyText"/>
                  </w:pPr>
                  <w:r w:rsidRPr="00F301A8">
                    <w:t>4.18</w:t>
                  </w:r>
                </w:p>
              </w:tc>
            </w:tr>
            <w:tr w:rsidR="00F05DC7" w14:paraId="7954B9AC" w14:textId="77777777" w:rsidTr="00A3786D">
              <w:tc>
                <w:tcPr>
                  <w:tcW w:w="580" w:type="pct"/>
                </w:tcPr>
                <w:p w14:paraId="7954B9A3" w14:textId="77777777" w:rsidR="00F05DC7" w:rsidRPr="00F301A8" w:rsidRDefault="00F05DC7" w:rsidP="00A3786D">
                  <w:pPr>
                    <w:pStyle w:val="TableUnitsRow"/>
                    <w:jc w:val="left"/>
                    <w:rPr>
                      <w:rFonts w:cs="Arial"/>
                      <w:szCs w:val="18"/>
                    </w:rPr>
                  </w:pPr>
                  <w:r w:rsidRPr="00F301A8">
                    <w:rPr>
                      <w:rFonts w:cs="Arial"/>
                      <w:szCs w:val="18"/>
                    </w:rPr>
                    <w:t>2016-17</w:t>
                  </w:r>
                </w:p>
              </w:tc>
              <w:tc>
                <w:tcPr>
                  <w:tcW w:w="553" w:type="pct"/>
                  <w:tcBorders>
                    <w:left w:val="nil"/>
                    <w:right w:val="nil"/>
                  </w:tcBorders>
                  <w:shd w:val="clear" w:color="auto" w:fill="auto"/>
                  <w:vAlign w:val="bottom"/>
                </w:tcPr>
                <w:p w14:paraId="7954B9A4" w14:textId="77777777" w:rsidR="00F05DC7" w:rsidRPr="00F301A8" w:rsidRDefault="00F05DC7" w:rsidP="00A3786D">
                  <w:pPr>
                    <w:pStyle w:val="TableBodyText"/>
                  </w:pPr>
                  <w:r w:rsidRPr="00F301A8">
                    <w:t>0.83</w:t>
                  </w:r>
                </w:p>
              </w:tc>
              <w:tc>
                <w:tcPr>
                  <w:tcW w:w="553" w:type="pct"/>
                  <w:tcBorders>
                    <w:left w:val="nil"/>
                    <w:right w:val="nil"/>
                  </w:tcBorders>
                  <w:shd w:val="clear" w:color="auto" w:fill="auto"/>
                  <w:vAlign w:val="bottom"/>
                </w:tcPr>
                <w:p w14:paraId="7954B9A5" w14:textId="77777777" w:rsidR="00F05DC7" w:rsidRPr="00F301A8" w:rsidRDefault="00F05DC7" w:rsidP="00A3786D">
                  <w:pPr>
                    <w:pStyle w:val="TableBodyText"/>
                  </w:pPr>
                  <w:r w:rsidRPr="00F301A8">
                    <w:t>1.00</w:t>
                  </w:r>
                </w:p>
              </w:tc>
              <w:tc>
                <w:tcPr>
                  <w:tcW w:w="553" w:type="pct"/>
                  <w:tcBorders>
                    <w:left w:val="nil"/>
                    <w:right w:val="nil"/>
                  </w:tcBorders>
                  <w:shd w:val="clear" w:color="auto" w:fill="auto"/>
                  <w:vAlign w:val="bottom"/>
                </w:tcPr>
                <w:p w14:paraId="7954B9A6" w14:textId="77777777" w:rsidR="00F05DC7" w:rsidRPr="00F301A8" w:rsidRDefault="00F05DC7" w:rsidP="00A3786D">
                  <w:pPr>
                    <w:pStyle w:val="TableBodyText"/>
                  </w:pPr>
                  <w:r w:rsidRPr="00F301A8">
                    <w:t>1.02</w:t>
                  </w:r>
                </w:p>
              </w:tc>
              <w:tc>
                <w:tcPr>
                  <w:tcW w:w="553" w:type="pct"/>
                  <w:tcBorders>
                    <w:left w:val="nil"/>
                    <w:right w:val="nil"/>
                  </w:tcBorders>
                  <w:shd w:val="clear" w:color="auto" w:fill="auto"/>
                  <w:vAlign w:val="bottom"/>
                </w:tcPr>
                <w:p w14:paraId="7954B9A7" w14:textId="77777777" w:rsidR="00F05DC7" w:rsidRPr="00F301A8" w:rsidRDefault="00F05DC7" w:rsidP="00A3786D">
                  <w:pPr>
                    <w:pStyle w:val="TableBodyText"/>
                  </w:pPr>
                  <w:r w:rsidRPr="00F301A8">
                    <w:t>0.66</w:t>
                  </w:r>
                </w:p>
              </w:tc>
              <w:tc>
                <w:tcPr>
                  <w:tcW w:w="553" w:type="pct"/>
                  <w:tcBorders>
                    <w:left w:val="nil"/>
                    <w:right w:val="nil"/>
                  </w:tcBorders>
                  <w:shd w:val="clear" w:color="auto" w:fill="auto"/>
                  <w:vAlign w:val="bottom"/>
                </w:tcPr>
                <w:p w14:paraId="7954B9A8" w14:textId="77777777" w:rsidR="00F05DC7" w:rsidRPr="00F301A8" w:rsidRDefault="00F05DC7" w:rsidP="00A3786D">
                  <w:pPr>
                    <w:pStyle w:val="TableBodyText"/>
                  </w:pPr>
                  <w:r w:rsidRPr="00F301A8">
                    <w:t>1.52</w:t>
                  </w:r>
                </w:p>
              </w:tc>
              <w:tc>
                <w:tcPr>
                  <w:tcW w:w="553" w:type="pct"/>
                  <w:tcBorders>
                    <w:left w:val="nil"/>
                    <w:right w:val="nil"/>
                  </w:tcBorders>
                  <w:shd w:val="clear" w:color="auto" w:fill="auto"/>
                  <w:vAlign w:val="bottom"/>
                </w:tcPr>
                <w:p w14:paraId="7954B9A9" w14:textId="77777777" w:rsidR="00F05DC7" w:rsidRPr="00F301A8" w:rsidRDefault="00F05DC7" w:rsidP="00A3786D">
                  <w:pPr>
                    <w:pStyle w:val="TableBodyText"/>
                  </w:pPr>
                  <w:r w:rsidRPr="00F301A8">
                    <w:t>1.71</w:t>
                  </w:r>
                </w:p>
              </w:tc>
              <w:tc>
                <w:tcPr>
                  <w:tcW w:w="551" w:type="pct"/>
                  <w:tcBorders>
                    <w:left w:val="nil"/>
                    <w:right w:val="nil"/>
                  </w:tcBorders>
                  <w:shd w:val="clear" w:color="auto" w:fill="auto"/>
                  <w:vAlign w:val="bottom"/>
                </w:tcPr>
                <w:p w14:paraId="7954B9AA" w14:textId="77777777" w:rsidR="00F05DC7" w:rsidRPr="00F301A8" w:rsidRDefault="00F05DC7" w:rsidP="00A3786D">
                  <w:pPr>
                    <w:pStyle w:val="TableBodyText"/>
                  </w:pPr>
                  <w:r w:rsidRPr="00F301A8">
                    <w:t>1.20</w:t>
                  </w:r>
                </w:p>
              </w:tc>
              <w:tc>
                <w:tcPr>
                  <w:tcW w:w="551" w:type="pct"/>
                  <w:tcBorders>
                    <w:left w:val="nil"/>
                    <w:right w:val="nil"/>
                  </w:tcBorders>
                  <w:shd w:val="clear" w:color="auto" w:fill="auto"/>
                  <w:vAlign w:val="bottom"/>
                </w:tcPr>
                <w:p w14:paraId="7954B9AB" w14:textId="77777777" w:rsidR="00F05DC7" w:rsidRPr="00F301A8" w:rsidRDefault="00F05DC7" w:rsidP="00A3786D">
                  <w:pPr>
                    <w:pStyle w:val="TableBodyText"/>
                  </w:pPr>
                  <w:r w:rsidRPr="00F301A8">
                    <w:t>4.18</w:t>
                  </w:r>
                </w:p>
              </w:tc>
            </w:tr>
            <w:tr w:rsidR="00F05DC7" w14:paraId="7954B9AE" w14:textId="77777777" w:rsidTr="00AB3F17">
              <w:tc>
                <w:tcPr>
                  <w:tcW w:w="5000" w:type="pct"/>
                  <w:gridSpan w:val="9"/>
                  <w:shd w:val="clear" w:color="auto" w:fill="F2F2F2" w:themeFill="background1" w:themeFillShade="F2"/>
                </w:tcPr>
                <w:p w14:paraId="7954B9AD" w14:textId="77777777" w:rsidR="00F05DC7" w:rsidRPr="00F301A8" w:rsidRDefault="00F05DC7" w:rsidP="00A3786D">
                  <w:pPr>
                    <w:pStyle w:val="TableUnitsRow"/>
                    <w:jc w:val="left"/>
                    <w:rPr>
                      <w:rFonts w:cs="Arial"/>
                      <w:szCs w:val="18"/>
                    </w:rPr>
                  </w:pPr>
                  <w:r>
                    <w:rPr>
                      <w:rFonts w:cs="Arial"/>
                      <w:szCs w:val="18"/>
                    </w:rPr>
                    <w:t>Application year r</w:t>
                  </w:r>
                  <w:r w:rsidRPr="00F301A8">
                    <w:rPr>
                      <w:rFonts w:cs="Arial"/>
                      <w:szCs w:val="18"/>
                    </w:rPr>
                    <w:t>elativities</w:t>
                  </w:r>
                  <w:r w:rsidRPr="006C2A7C">
                    <w:rPr>
                      <w:rStyle w:val="NoteLabel"/>
                      <w:rFonts w:cs="Arial"/>
                      <w:szCs w:val="18"/>
                    </w:rPr>
                    <w:t>a</w:t>
                  </w:r>
                  <w:r w:rsidRPr="00F301A8">
                    <w:rPr>
                      <w:rFonts w:cs="Arial"/>
                      <w:szCs w:val="18"/>
                    </w:rPr>
                    <w:t xml:space="preserve"> (</w:t>
                  </w:r>
                  <w:r>
                    <w:rPr>
                      <w:rFonts w:asciiTheme="minorHAnsi" w:hAnsiTheme="minorHAnsi" w:cstheme="minorHAnsi"/>
                      <w:szCs w:val="18"/>
                    </w:rPr>
                    <w:t>3 year average of assessment year relativities</w:t>
                  </w:r>
                  <w:r w:rsidRPr="00F301A8">
                    <w:rPr>
                      <w:rFonts w:cs="Arial"/>
                      <w:szCs w:val="18"/>
                    </w:rPr>
                    <w:t>)</w:t>
                  </w:r>
                </w:p>
              </w:tc>
            </w:tr>
            <w:tr w:rsidR="00F05DC7" w14:paraId="7954B9B8" w14:textId="77777777" w:rsidTr="00A3786D">
              <w:tc>
                <w:tcPr>
                  <w:tcW w:w="580" w:type="pct"/>
                </w:tcPr>
                <w:p w14:paraId="7954B9AF" w14:textId="77777777" w:rsidR="00F05DC7" w:rsidRPr="00F301A8" w:rsidRDefault="00F05DC7" w:rsidP="00A3786D">
                  <w:pPr>
                    <w:pStyle w:val="TableUnitsRow"/>
                    <w:jc w:val="left"/>
                    <w:rPr>
                      <w:rFonts w:cs="Arial"/>
                      <w:szCs w:val="18"/>
                    </w:rPr>
                  </w:pPr>
                  <w:r w:rsidRPr="00F301A8">
                    <w:rPr>
                      <w:rFonts w:cs="Arial"/>
                      <w:szCs w:val="18"/>
                    </w:rPr>
                    <w:t>2012-13</w:t>
                  </w:r>
                </w:p>
              </w:tc>
              <w:tc>
                <w:tcPr>
                  <w:tcW w:w="553" w:type="pct"/>
                  <w:tcBorders>
                    <w:left w:val="nil"/>
                    <w:right w:val="nil"/>
                  </w:tcBorders>
                  <w:shd w:val="clear" w:color="auto" w:fill="auto"/>
                  <w:vAlign w:val="bottom"/>
                </w:tcPr>
                <w:p w14:paraId="7954B9B0" w14:textId="77777777" w:rsidR="00F05DC7" w:rsidRPr="00F301A8" w:rsidRDefault="00F05DC7" w:rsidP="00A3786D">
                  <w:pPr>
                    <w:pStyle w:val="TableBodyText"/>
                  </w:pPr>
                  <w:r w:rsidRPr="00F301A8">
                    <w:t>0.95</w:t>
                  </w:r>
                </w:p>
              </w:tc>
              <w:tc>
                <w:tcPr>
                  <w:tcW w:w="553" w:type="pct"/>
                  <w:tcBorders>
                    <w:left w:val="nil"/>
                    <w:right w:val="nil"/>
                  </w:tcBorders>
                  <w:shd w:val="clear" w:color="auto" w:fill="auto"/>
                  <w:vAlign w:val="bottom"/>
                </w:tcPr>
                <w:p w14:paraId="7954B9B1" w14:textId="77777777" w:rsidR="00F05DC7" w:rsidRPr="00F301A8" w:rsidRDefault="00F05DC7" w:rsidP="00A3786D">
                  <w:pPr>
                    <w:pStyle w:val="TableBodyText"/>
                  </w:pPr>
                  <w:r w:rsidRPr="00F301A8">
                    <w:t>0.92</w:t>
                  </w:r>
                </w:p>
              </w:tc>
              <w:tc>
                <w:tcPr>
                  <w:tcW w:w="553" w:type="pct"/>
                  <w:tcBorders>
                    <w:left w:val="nil"/>
                    <w:right w:val="nil"/>
                  </w:tcBorders>
                  <w:shd w:val="clear" w:color="auto" w:fill="auto"/>
                  <w:vAlign w:val="bottom"/>
                </w:tcPr>
                <w:p w14:paraId="7954B9B2" w14:textId="77777777" w:rsidR="00F05DC7" w:rsidRPr="00F301A8" w:rsidRDefault="00F05DC7" w:rsidP="00A3786D">
                  <w:pPr>
                    <w:pStyle w:val="TableBodyText"/>
                  </w:pPr>
                  <w:r w:rsidRPr="00F301A8">
                    <w:t>0.98</w:t>
                  </w:r>
                </w:p>
              </w:tc>
              <w:tc>
                <w:tcPr>
                  <w:tcW w:w="553" w:type="pct"/>
                  <w:tcBorders>
                    <w:left w:val="nil"/>
                    <w:right w:val="nil"/>
                  </w:tcBorders>
                  <w:shd w:val="clear" w:color="auto" w:fill="auto"/>
                  <w:vAlign w:val="bottom"/>
                </w:tcPr>
                <w:p w14:paraId="7954B9B3" w14:textId="77777777" w:rsidR="00F05DC7" w:rsidRPr="00F301A8" w:rsidRDefault="00F05DC7" w:rsidP="00A3786D">
                  <w:pPr>
                    <w:pStyle w:val="TableBodyText"/>
                  </w:pPr>
                  <w:r w:rsidRPr="00F301A8">
                    <w:t>0.60</w:t>
                  </w:r>
                </w:p>
              </w:tc>
              <w:tc>
                <w:tcPr>
                  <w:tcW w:w="553" w:type="pct"/>
                  <w:tcBorders>
                    <w:left w:val="nil"/>
                    <w:right w:val="nil"/>
                  </w:tcBorders>
                  <w:shd w:val="clear" w:color="auto" w:fill="auto"/>
                  <w:vAlign w:val="bottom"/>
                </w:tcPr>
                <w:p w14:paraId="7954B9B4" w14:textId="77777777" w:rsidR="00F05DC7" w:rsidRPr="00F301A8" w:rsidRDefault="00F05DC7" w:rsidP="00A3786D">
                  <w:pPr>
                    <w:pStyle w:val="TableBodyText"/>
                  </w:pPr>
                  <w:r w:rsidRPr="00F301A8">
                    <w:t>1.30</w:t>
                  </w:r>
                </w:p>
              </w:tc>
              <w:tc>
                <w:tcPr>
                  <w:tcW w:w="553" w:type="pct"/>
                  <w:tcBorders>
                    <w:left w:val="nil"/>
                    <w:right w:val="nil"/>
                  </w:tcBorders>
                  <w:shd w:val="clear" w:color="auto" w:fill="auto"/>
                  <w:vAlign w:val="bottom"/>
                </w:tcPr>
                <w:p w14:paraId="7954B9B5" w14:textId="77777777" w:rsidR="00F05DC7" w:rsidRPr="00F301A8" w:rsidRDefault="00F05DC7" w:rsidP="00A3786D">
                  <w:pPr>
                    <w:pStyle w:val="TableBodyText"/>
                  </w:pPr>
                  <w:r w:rsidRPr="00F301A8">
                    <w:t>1.58</w:t>
                  </w:r>
                </w:p>
              </w:tc>
              <w:tc>
                <w:tcPr>
                  <w:tcW w:w="551" w:type="pct"/>
                  <w:tcBorders>
                    <w:left w:val="nil"/>
                    <w:right w:val="nil"/>
                  </w:tcBorders>
                  <w:shd w:val="clear" w:color="auto" w:fill="auto"/>
                  <w:vAlign w:val="bottom"/>
                </w:tcPr>
                <w:p w14:paraId="7954B9B6" w14:textId="77777777" w:rsidR="00F05DC7" w:rsidRPr="00F301A8" w:rsidRDefault="00F05DC7" w:rsidP="00A3786D">
                  <w:pPr>
                    <w:pStyle w:val="TableBodyText"/>
                  </w:pPr>
                  <w:r w:rsidRPr="00F301A8">
                    <w:t>1.18</w:t>
                  </w:r>
                </w:p>
              </w:tc>
              <w:tc>
                <w:tcPr>
                  <w:tcW w:w="551" w:type="pct"/>
                  <w:tcBorders>
                    <w:left w:val="nil"/>
                    <w:right w:val="nil"/>
                  </w:tcBorders>
                  <w:shd w:val="clear" w:color="auto" w:fill="auto"/>
                  <w:vAlign w:val="bottom"/>
                </w:tcPr>
                <w:p w14:paraId="7954B9B7" w14:textId="77777777" w:rsidR="00F05DC7" w:rsidRPr="00F301A8" w:rsidRDefault="00F05DC7" w:rsidP="00A3786D">
                  <w:pPr>
                    <w:pStyle w:val="TableBodyText"/>
                  </w:pPr>
                  <w:r w:rsidRPr="00F301A8">
                    <w:t>5.28</w:t>
                  </w:r>
                </w:p>
              </w:tc>
            </w:tr>
            <w:tr w:rsidR="00F05DC7" w14:paraId="7954B9C2" w14:textId="77777777" w:rsidTr="00A3786D">
              <w:tc>
                <w:tcPr>
                  <w:tcW w:w="580" w:type="pct"/>
                </w:tcPr>
                <w:p w14:paraId="7954B9B9" w14:textId="77777777" w:rsidR="00F05DC7" w:rsidRPr="00F301A8" w:rsidRDefault="00F05DC7" w:rsidP="00A3786D">
                  <w:pPr>
                    <w:pStyle w:val="TableUnitsRow"/>
                    <w:jc w:val="left"/>
                    <w:rPr>
                      <w:rFonts w:cs="Arial"/>
                      <w:szCs w:val="18"/>
                    </w:rPr>
                  </w:pPr>
                  <w:r w:rsidRPr="00F301A8">
                    <w:rPr>
                      <w:rFonts w:cs="Arial"/>
                      <w:szCs w:val="18"/>
                    </w:rPr>
                    <w:t>2013-14</w:t>
                  </w:r>
                </w:p>
              </w:tc>
              <w:tc>
                <w:tcPr>
                  <w:tcW w:w="553" w:type="pct"/>
                  <w:tcBorders>
                    <w:left w:val="nil"/>
                    <w:right w:val="nil"/>
                  </w:tcBorders>
                  <w:shd w:val="clear" w:color="auto" w:fill="auto"/>
                  <w:vAlign w:val="bottom"/>
                </w:tcPr>
                <w:p w14:paraId="7954B9BA" w14:textId="77777777" w:rsidR="00F05DC7" w:rsidRPr="00F301A8" w:rsidRDefault="00F05DC7" w:rsidP="00A3786D">
                  <w:pPr>
                    <w:pStyle w:val="TableBodyText"/>
                  </w:pPr>
                  <w:r w:rsidRPr="00F301A8">
                    <w:t>0.96</w:t>
                  </w:r>
                </w:p>
              </w:tc>
              <w:tc>
                <w:tcPr>
                  <w:tcW w:w="553" w:type="pct"/>
                  <w:tcBorders>
                    <w:left w:val="nil"/>
                    <w:right w:val="nil"/>
                  </w:tcBorders>
                  <w:shd w:val="clear" w:color="auto" w:fill="auto"/>
                  <w:vAlign w:val="bottom"/>
                </w:tcPr>
                <w:p w14:paraId="7954B9BB" w14:textId="77777777" w:rsidR="00F05DC7" w:rsidRPr="00F301A8" w:rsidRDefault="00F05DC7" w:rsidP="00A3786D">
                  <w:pPr>
                    <w:pStyle w:val="TableBodyText"/>
                  </w:pPr>
                  <w:r w:rsidRPr="00F301A8">
                    <w:t>0.90</w:t>
                  </w:r>
                </w:p>
              </w:tc>
              <w:tc>
                <w:tcPr>
                  <w:tcW w:w="553" w:type="pct"/>
                  <w:tcBorders>
                    <w:left w:val="nil"/>
                    <w:right w:val="nil"/>
                  </w:tcBorders>
                  <w:shd w:val="clear" w:color="auto" w:fill="auto"/>
                  <w:vAlign w:val="bottom"/>
                </w:tcPr>
                <w:p w14:paraId="7954B9BC" w14:textId="77777777" w:rsidR="00F05DC7" w:rsidRPr="00F301A8" w:rsidRDefault="00F05DC7" w:rsidP="00A3786D">
                  <w:pPr>
                    <w:pStyle w:val="TableBodyText"/>
                  </w:pPr>
                  <w:r w:rsidRPr="00F301A8">
                    <w:t>1.05</w:t>
                  </w:r>
                </w:p>
              </w:tc>
              <w:tc>
                <w:tcPr>
                  <w:tcW w:w="553" w:type="pct"/>
                  <w:tcBorders>
                    <w:left w:val="nil"/>
                    <w:right w:val="nil"/>
                  </w:tcBorders>
                  <w:shd w:val="clear" w:color="auto" w:fill="auto"/>
                  <w:vAlign w:val="bottom"/>
                </w:tcPr>
                <w:p w14:paraId="7954B9BD" w14:textId="77777777" w:rsidR="00F05DC7" w:rsidRPr="00F301A8" w:rsidRDefault="00F05DC7" w:rsidP="00A3786D">
                  <w:pPr>
                    <w:pStyle w:val="TableBodyText"/>
                  </w:pPr>
                  <w:r w:rsidRPr="00F301A8">
                    <w:t>0.48</w:t>
                  </w:r>
                </w:p>
              </w:tc>
              <w:tc>
                <w:tcPr>
                  <w:tcW w:w="553" w:type="pct"/>
                  <w:tcBorders>
                    <w:left w:val="nil"/>
                    <w:right w:val="nil"/>
                  </w:tcBorders>
                  <w:shd w:val="clear" w:color="auto" w:fill="auto"/>
                  <w:vAlign w:val="bottom"/>
                </w:tcPr>
                <w:p w14:paraId="7954B9BE" w14:textId="77777777" w:rsidR="00F05DC7" w:rsidRPr="00F301A8" w:rsidRDefault="00F05DC7" w:rsidP="00A3786D">
                  <w:pPr>
                    <w:pStyle w:val="TableBodyText"/>
                  </w:pPr>
                  <w:r w:rsidRPr="00F301A8">
                    <w:t>1.26</w:t>
                  </w:r>
                </w:p>
              </w:tc>
              <w:tc>
                <w:tcPr>
                  <w:tcW w:w="553" w:type="pct"/>
                  <w:tcBorders>
                    <w:left w:val="nil"/>
                    <w:right w:val="nil"/>
                  </w:tcBorders>
                  <w:shd w:val="clear" w:color="auto" w:fill="auto"/>
                  <w:vAlign w:val="bottom"/>
                </w:tcPr>
                <w:p w14:paraId="7954B9BF" w14:textId="77777777" w:rsidR="00F05DC7" w:rsidRPr="00F301A8" w:rsidRDefault="00F05DC7" w:rsidP="00A3786D">
                  <w:pPr>
                    <w:pStyle w:val="TableBodyText"/>
                  </w:pPr>
                  <w:r w:rsidRPr="00F301A8">
                    <w:t>1.61</w:t>
                  </w:r>
                </w:p>
              </w:tc>
              <w:tc>
                <w:tcPr>
                  <w:tcW w:w="551" w:type="pct"/>
                  <w:tcBorders>
                    <w:left w:val="nil"/>
                    <w:right w:val="nil"/>
                  </w:tcBorders>
                  <w:shd w:val="clear" w:color="auto" w:fill="auto"/>
                  <w:vAlign w:val="bottom"/>
                </w:tcPr>
                <w:p w14:paraId="7954B9C0" w14:textId="77777777" w:rsidR="00F05DC7" w:rsidRPr="00F301A8" w:rsidRDefault="00F05DC7" w:rsidP="00A3786D">
                  <w:pPr>
                    <w:pStyle w:val="TableBodyText"/>
                  </w:pPr>
                  <w:r w:rsidRPr="00F301A8">
                    <w:t>1.22</w:t>
                  </w:r>
                </w:p>
              </w:tc>
              <w:tc>
                <w:tcPr>
                  <w:tcW w:w="551" w:type="pct"/>
                  <w:tcBorders>
                    <w:left w:val="nil"/>
                    <w:right w:val="nil"/>
                  </w:tcBorders>
                  <w:shd w:val="clear" w:color="auto" w:fill="auto"/>
                  <w:vAlign w:val="bottom"/>
                </w:tcPr>
                <w:p w14:paraId="7954B9C1" w14:textId="77777777" w:rsidR="00F05DC7" w:rsidRPr="00F301A8" w:rsidRDefault="00F05DC7" w:rsidP="00A3786D">
                  <w:pPr>
                    <w:pStyle w:val="TableBodyText"/>
                  </w:pPr>
                  <w:r w:rsidRPr="00F301A8">
                    <w:t>5.31</w:t>
                  </w:r>
                </w:p>
              </w:tc>
            </w:tr>
            <w:tr w:rsidR="00F05DC7" w14:paraId="7954B9CC" w14:textId="77777777" w:rsidTr="00A3786D">
              <w:tc>
                <w:tcPr>
                  <w:tcW w:w="580" w:type="pct"/>
                </w:tcPr>
                <w:p w14:paraId="7954B9C3" w14:textId="77777777" w:rsidR="00F05DC7" w:rsidRPr="00F301A8" w:rsidRDefault="00F05DC7" w:rsidP="00A3786D">
                  <w:pPr>
                    <w:pStyle w:val="TableUnitsRow"/>
                    <w:jc w:val="left"/>
                    <w:rPr>
                      <w:rFonts w:cs="Arial"/>
                      <w:szCs w:val="18"/>
                    </w:rPr>
                  </w:pPr>
                  <w:r w:rsidRPr="00F301A8">
                    <w:rPr>
                      <w:rFonts w:cs="Arial"/>
                      <w:szCs w:val="18"/>
                    </w:rPr>
                    <w:t>2014-15</w:t>
                  </w:r>
                </w:p>
              </w:tc>
              <w:tc>
                <w:tcPr>
                  <w:tcW w:w="553" w:type="pct"/>
                  <w:tcBorders>
                    <w:left w:val="nil"/>
                    <w:right w:val="nil"/>
                  </w:tcBorders>
                  <w:shd w:val="clear" w:color="auto" w:fill="auto"/>
                  <w:vAlign w:val="bottom"/>
                </w:tcPr>
                <w:p w14:paraId="7954B9C4" w14:textId="77777777" w:rsidR="00F05DC7" w:rsidRPr="00F301A8" w:rsidRDefault="00F05DC7" w:rsidP="00A3786D">
                  <w:pPr>
                    <w:pStyle w:val="TableBodyText"/>
                  </w:pPr>
                  <w:r w:rsidRPr="00F301A8">
                    <w:t>0.96</w:t>
                  </w:r>
                </w:p>
              </w:tc>
              <w:tc>
                <w:tcPr>
                  <w:tcW w:w="553" w:type="pct"/>
                  <w:tcBorders>
                    <w:left w:val="nil"/>
                    <w:right w:val="nil"/>
                  </w:tcBorders>
                  <w:shd w:val="clear" w:color="auto" w:fill="auto"/>
                  <w:vAlign w:val="bottom"/>
                </w:tcPr>
                <w:p w14:paraId="7954B9C5" w14:textId="77777777" w:rsidR="00F05DC7" w:rsidRPr="00F301A8" w:rsidRDefault="00F05DC7" w:rsidP="00A3786D">
                  <w:pPr>
                    <w:pStyle w:val="TableBodyText"/>
                  </w:pPr>
                  <w:r w:rsidRPr="00F301A8">
                    <w:t>0.88</w:t>
                  </w:r>
                </w:p>
              </w:tc>
              <w:tc>
                <w:tcPr>
                  <w:tcW w:w="553" w:type="pct"/>
                  <w:tcBorders>
                    <w:left w:val="nil"/>
                    <w:right w:val="nil"/>
                  </w:tcBorders>
                  <w:shd w:val="clear" w:color="auto" w:fill="auto"/>
                  <w:vAlign w:val="bottom"/>
                </w:tcPr>
                <w:p w14:paraId="7954B9C6" w14:textId="77777777" w:rsidR="00F05DC7" w:rsidRPr="00F301A8" w:rsidRDefault="00F05DC7" w:rsidP="00A3786D">
                  <w:pPr>
                    <w:pStyle w:val="TableBodyText"/>
                  </w:pPr>
                  <w:r w:rsidRPr="00F301A8">
                    <w:t>1.09</w:t>
                  </w:r>
                </w:p>
              </w:tc>
              <w:tc>
                <w:tcPr>
                  <w:tcW w:w="553" w:type="pct"/>
                  <w:tcBorders>
                    <w:left w:val="nil"/>
                    <w:right w:val="nil"/>
                  </w:tcBorders>
                  <w:shd w:val="clear" w:color="auto" w:fill="auto"/>
                  <w:vAlign w:val="bottom"/>
                </w:tcPr>
                <w:p w14:paraId="7954B9C7" w14:textId="77777777" w:rsidR="00F05DC7" w:rsidRPr="00F301A8" w:rsidRDefault="00F05DC7" w:rsidP="00A3786D">
                  <w:pPr>
                    <w:pStyle w:val="TableBodyText"/>
                  </w:pPr>
                  <w:r w:rsidRPr="00F301A8">
                    <w:t>0.40</w:t>
                  </w:r>
                </w:p>
              </w:tc>
              <w:tc>
                <w:tcPr>
                  <w:tcW w:w="553" w:type="pct"/>
                  <w:tcBorders>
                    <w:left w:val="nil"/>
                    <w:right w:val="nil"/>
                  </w:tcBorders>
                  <w:shd w:val="clear" w:color="auto" w:fill="auto"/>
                  <w:vAlign w:val="bottom"/>
                </w:tcPr>
                <w:p w14:paraId="7954B9C8" w14:textId="77777777" w:rsidR="00F05DC7" w:rsidRPr="00F301A8" w:rsidRDefault="00F05DC7" w:rsidP="00A3786D">
                  <w:pPr>
                    <w:pStyle w:val="TableBodyText"/>
                  </w:pPr>
                  <w:r w:rsidRPr="00F301A8">
                    <w:t>1.29</w:t>
                  </w:r>
                </w:p>
              </w:tc>
              <w:tc>
                <w:tcPr>
                  <w:tcW w:w="553" w:type="pct"/>
                  <w:tcBorders>
                    <w:left w:val="nil"/>
                    <w:right w:val="nil"/>
                  </w:tcBorders>
                  <w:shd w:val="clear" w:color="auto" w:fill="auto"/>
                  <w:vAlign w:val="bottom"/>
                </w:tcPr>
                <w:p w14:paraId="7954B9C9" w14:textId="77777777" w:rsidR="00F05DC7" w:rsidRPr="00F301A8" w:rsidRDefault="00F05DC7" w:rsidP="00A3786D">
                  <w:pPr>
                    <w:pStyle w:val="TableBodyText"/>
                  </w:pPr>
                  <w:r w:rsidRPr="00F301A8">
                    <w:t>1.68</w:t>
                  </w:r>
                </w:p>
              </w:tc>
              <w:tc>
                <w:tcPr>
                  <w:tcW w:w="551" w:type="pct"/>
                  <w:tcBorders>
                    <w:left w:val="nil"/>
                    <w:right w:val="nil"/>
                  </w:tcBorders>
                  <w:shd w:val="clear" w:color="auto" w:fill="auto"/>
                  <w:vAlign w:val="bottom"/>
                </w:tcPr>
                <w:p w14:paraId="7954B9CA" w14:textId="77777777" w:rsidR="00F05DC7" w:rsidRPr="00F301A8" w:rsidRDefault="00F05DC7" w:rsidP="00A3786D">
                  <w:pPr>
                    <w:pStyle w:val="TableBodyText"/>
                  </w:pPr>
                  <w:r w:rsidRPr="00F301A8">
                    <w:t>1.21</w:t>
                  </w:r>
                </w:p>
              </w:tc>
              <w:tc>
                <w:tcPr>
                  <w:tcW w:w="551" w:type="pct"/>
                  <w:tcBorders>
                    <w:left w:val="nil"/>
                    <w:right w:val="nil"/>
                  </w:tcBorders>
                  <w:shd w:val="clear" w:color="auto" w:fill="auto"/>
                  <w:vAlign w:val="bottom"/>
                </w:tcPr>
                <w:p w14:paraId="7954B9CB" w14:textId="77777777" w:rsidR="00F05DC7" w:rsidRPr="00F301A8" w:rsidRDefault="00F05DC7" w:rsidP="00A3786D">
                  <w:pPr>
                    <w:pStyle w:val="TableBodyText"/>
                  </w:pPr>
                  <w:r w:rsidRPr="00F301A8">
                    <w:t>5.64</w:t>
                  </w:r>
                </w:p>
              </w:tc>
            </w:tr>
            <w:tr w:rsidR="00F05DC7" w14:paraId="7954B9D6" w14:textId="77777777" w:rsidTr="00A3786D">
              <w:tc>
                <w:tcPr>
                  <w:tcW w:w="580" w:type="pct"/>
                </w:tcPr>
                <w:p w14:paraId="7954B9CD" w14:textId="77777777" w:rsidR="00F05DC7" w:rsidRPr="00F301A8" w:rsidRDefault="00F05DC7" w:rsidP="00A3786D">
                  <w:pPr>
                    <w:pStyle w:val="TableUnitsRow"/>
                    <w:jc w:val="left"/>
                    <w:rPr>
                      <w:rFonts w:cs="Arial"/>
                      <w:szCs w:val="18"/>
                    </w:rPr>
                  </w:pPr>
                  <w:r w:rsidRPr="00F301A8">
                    <w:rPr>
                      <w:rFonts w:cs="Arial"/>
                      <w:szCs w:val="18"/>
                    </w:rPr>
                    <w:t>2015-16</w:t>
                  </w:r>
                </w:p>
              </w:tc>
              <w:tc>
                <w:tcPr>
                  <w:tcW w:w="553" w:type="pct"/>
                  <w:tcBorders>
                    <w:left w:val="nil"/>
                    <w:right w:val="nil"/>
                  </w:tcBorders>
                  <w:shd w:val="clear" w:color="auto" w:fill="auto"/>
                  <w:vAlign w:val="bottom"/>
                </w:tcPr>
                <w:p w14:paraId="7954B9CE" w14:textId="77777777" w:rsidR="00F05DC7" w:rsidRPr="00F301A8" w:rsidRDefault="00F05DC7" w:rsidP="00A3786D">
                  <w:pPr>
                    <w:pStyle w:val="TableBodyText"/>
                  </w:pPr>
                  <w:r w:rsidRPr="00F301A8">
                    <w:t>0.93</w:t>
                  </w:r>
                </w:p>
              </w:tc>
              <w:tc>
                <w:tcPr>
                  <w:tcW w:w="553" w:type="pct"/>
                  <w:tcBorders>
                    <w:left w:val="nil"/>
                    <w:right w:val="nil"/>
                  </w:tcBorders>
                  <w:shd w:val="clear" w:color="auto" w:fill="auto"/>
                  <w:vAlign w:val="bottom"/>
                </w:tcPr>
                <w:p w14:paraId="7954B9CF" w14:textId="77777777" w:rsidR="00F05DC7" w:rsidRPr="00F301A8" w:rsidRDefault="00F05DC7" w:rsidP="00A3786D">
                  <w:pPr>
                    <w:pStyle w:val="TableBodyText"/>
                  </w:pPr>
                  <w:r w:rsidRPr="00F301A8">
                    <w:t>0.89</w:t>
                  </w:r>
                </w:p>
              </w:tc>
              <w:tc>
                <w:tcPr>
                  <w:tcW w:w="553" w:type="pct"/>
                  <w:tcBorders>
                    <w:left w:val="nil"/>
                    <w:right w:val="nil"/>
                  </w:tcBorders>
                  <w:shd w:val="clear" w:color="auto" w:fill="auto"/>
                  <w:vAlign w:val="bottom"/>
                </w:tcPr>
                <w:p w14:paraId="7954B9D0" w14:textId="77777777" w:rsidR="00F05DC7" w:rsidRPr="00F301A8" w:rsidRDefault="00F05DC7" w:rsidP="00A3786D">
                  <w:pPr>
                    <w:pStyle w:val="TableBodyText"/>
                  </w:pPr>
                  <w:r w:rsidRPr="00F301A8">
                    <w:t>1.15</w:t>
                  </w:r>
                </w:p>
              </w:tc>
              <w:tc>
                <w:tcPr>
                  <w:tcW w:w="553" w:type="pct"/>
                  <w:tcBorders>
                    <w:left w:val="nil"/>
                    <w:right w:val="nil"/>
                  </w:tcBorders>
                  <w:shd w:val="clear" w:color="auto" w:fill="auto"/>
                  <w:vAlign w:val="bottom"/>
                </w:tcPr>
                <w:p w14:paraId="7954B9D1" w14:textId="77777777" w:rsidR="00F05DC7" w:rsidRPr="00F301A8" w:rsidRDefault="00F05DC7" w:rsidP="00A3786D">
                  <w:pPr>
                    <w:pStyle w:val="TableBodyText"/>
                  </w:pPr>
                  <w:r w:rsidRPr="00F301A8">
                    <w:t>0.31</w:t>
                  </w:r>
                </w:p>
              </w:tc>
              <w:tc>
                <w:tcPr>
                  <w:tcW w:w="553" w:type="pct"/>
                  <w:tcBorders>
                    <w:left w:val="nil"/>
                    <w:right w:val="nil"/>
                  </w:tcBorders>
                  <w:shd w:val="clear" w:color="auto" w:fill="auto"/>
                  <w:vAlign w:val="bottom"/>
                </w:tcPr>
                <w:p w14:paraId="7954B9D2" w14:textId="77777777" w:rsidR="00F05DC7" w:rsidRPr="00F301A8" w:rsidRDefault="00F05DC7" w:rsidP="00A3786D">
                  <w:pPr>
                    <w:pStyle w:val="TableBodyText"/>
                  </w:pPr>
                  <w:r w:rsidRPr="00F301A8">
                    <w:t>1.34</w:t>
                  </w:r>
                </w:p>
              </w:tc>
              <w:tc>
                <w:tcPr>
                  <w:tcW w:w="553" w:type="pct"/>
                  <w:tcBorders>
                    <w:left w:val="nil"/>
                    <w:right w:val="nil"/>
                  </w:tcBorders>
                  <w:shd w:val="clear" w:color="auto" w:fill="auto"/>
                  <w:vAlign w:val="bottom"/>
                </w:tcPr>
                <w:p w14:paraId="7954B9D3" w14:textId="77777777" w:rsidR="00F05DC7" w:rsidRPr="00F301A8" w:rsidRDefault="00F05DC7" w:rsidP="00A3786D">
                  <w:pPr>
                    <w:pStyle w:val="TableBodyText"/>
                  </w:pPr>
                  <w:r w:rsidRPr="00F301A8">
                    <w:t>1.78</w:t>
                  </w:r>
                </w:p>
              </w:tc>
              <w:tc>
                <w:tcPr>
                  <w:tcW w:w="551" w:type="pct"/>
                  <w:tcBorders>
                    <w:left w:val="nil"/>
                    <w:right w:val="nil"/>
                  </w:tcBorders>
                  <w:shd w:val="clear" w:color="auto" w:fill="auto"/>
                  <w:vAlign w:val="bottom"/>
                </w:tcPr>
                <w:p w14:paraId="7954B9D4" w14:textId="77777777" w:rsidR="00F05DC7" w:rsidRPr="00F301A8" w:rsidRDefault="00F05DC7" w:rsidP="00A3786D">
                  <w:pPr>
                    <w:pStyle w:val="TableBodyText"/>
                  </w:pPr>
                  <w:r w:rsidRPr="00F301A8">
                    <w:t>1.19</w:t>
                  </w:r>
                </w:p>
              </w:tc>
              <w:tc>
                <w:tcPr>
                  <w:tcW w:w="551" w:type="pct"/>
                  <w:tcBorders>
                    <w:left w:val="nil"/>
                    <w:right w:val="nil"/>
                  </w:tcBorders>
                  <w:shd w:val="clear" w:color="auto" w:fill="auto"/>
                  <w:vAlign w:val="bottom"/>
                </w:tcPr>
                <w:p w14:paraId="7954B9D5" w14:textId="77777777" w:rsidR="00F05DC7" w:rsidRPr="00F301A8" w:rsidRDefault="00F05DC7" w:rsidP="00A3786D">
                  <w:pPr>
                    <w:pStyle w:val="TableBodyText"/>
                  </w:pPr>
                  <w:r w:rsidRPr="00F301A8">
                    <w:t>5.53</w:t>
                  </w:r>
                </w:p>
              </w:tc>
            </w:tr>
            <w:tr w:rsidR="00F05DC7" w14:paraId="7954B9E0" w14:textId="77777777" w:rsidTr="00A3786D">
              <w:tc>
                <w:tcPr>
                  <w:tcW w:w="580" w:type="pct"/>
                </w:tcPr>
                <w:p w14:paraId="7954B9D7" w14:textId="77777777" w:rsidR="00F05DC7" w:rsidRPr="00F301A8" w:rsidRDefault="00F05DC7" w:rsidP="00A3786D">
                  <w:pPr>
                    <w:pStyle w:val="TableUnitsRow"/>
                    <w:jc w:val="left"/>
                    <w:rPr>
                      <w:rFonts w:cs="Arial"/>
                      <w:szCs w:val="18"/>
                    </w:rPr>
                  </w:pPr>
                  <w:r w:rsidRPr="00F301A8">
                    <w:rPr>
                      <w:rFonts w:cs="Arial"/>
                      <w:szCs w:val="18"/>
                    </w:rPr>
                    <w:t>2016-17</w:t>
                  </w:r>
                </w:p>
              </w:tc>
              <w:tc>
                <w:tcPr>
                  <w:tcW w:w="553" w:type="pct"/>
                  <w:tcBorders>
                    <w:left w:val="nil"/>
                    <w:bottom w:val="nil"/>
                    <w:right w:val="nil"/>
                  </w:tcBorders>
                  <w:shd w:val="clear" w:color="auto" w:fill="auto"/>
                  <w:vAlign w:val="bottom"/>
                </w:tcPr>
                <w:p w14:paraId="7954B9D8" w14:textId="77777777" w:rsidR="00F05DC7" w:rsidRPr="00F301A8" w:rsidRDefault="00F05DC7" w:rsidP="00A3786D">
                  <w:pPr>
                    <w:pStyle w:val="TableBodyText"/>
                  </w:pPr>
                  <w:r w:rsidRPr="00F301A8">
                    <w:t>0.90</w:t>
                  </w:r>
                </w:p>
              </w:tc>
              <w:tc>
                <w:tcPr>
                  <w:tcW w:w="553" w:type="pct"/>
                  <w:tcBorders>
                    <w:left w:val="nil"/>
                    <w:bottom w:val="nil"/>
                    <w:right w:val="nil"/>
                  </w:tcBorders>
                  <w:shd w:val="clear" w:color="auto" w:fill="auto"/>
                  <w:vAlign w:val="bottom"/>
                </w:tcPr>
                <w:p w14:paraId="7954B9D9" w14:textId="77777777" w:rsidR="00F05DC7" w:rsidRPr="00F301A8" w:rsidRDefault="00F05DC7" w:rsidP="00A3786D">
                  <w:pPr>
                    <w:pStyle w:val="TableBodyText"/>
                  </w:pPr>
                  <w:r w:rsidRPr="00F301A8">
                    <w:t>0.92</w:t>
                  </w:r>
                </w:p>
              </w:tc>
              <w:tc>
                <w:tcPr>
                  <w:tcW w:w="553" w:type="pct"/>
                  <w:tcBorders>
                    <w:left w:val="nil"/>
                    <w:bottom w:val="nil"/>
                    <w:right w:val="nil"/>
                  </w:tcBorders>
                  <w:shd w:val="clear" w:color="auto" w:fill="auto"/>
                  <w:vAlign w:val="bottom"/>
                </w:tcPr>
                <w:p w14:paraId="7954B9DA" w14:textId="77777777" w:rsidR="00F05DC7" w:rsidRPr="00F301A8" w:rsidRDefault="00F05DC7" w:rsidP="00A3786D">
                  <w:pPr>
                    <w:pStyle w:val="TableBodyText"/>
                  </w:pPr>
                  <w:r w:rsidRPr="00F301A8">
                    <w:t>1.18</w:t>
                  </w:r>
                </w:p>
              </w:tc>
              <w:tc>
                <w:tcPr>
                  <w:tcW w:w="553" w:type="pct"/>
                  <w:tcBorders>
                    <w:left w:val="nil"/>
                    <w:bottom w:val="nil"/>
                    <w:right w:val="nil"/>
                  </w:tcBorders>
                  <w:shd w:val="clear" w:color="auto" w:fill="auto"/>
                  <w:vAlign w:val="bottom"/>
                </w:tcPr>
                <w:p w14:paraId="7954B9DB" w14:textId="77777777" w:rsidR="00F05DC7" w:rsidRPr="00F301A8" w:rsidRDefault="00F05DC7" w:rsidP="00A3786D">
                  <w:pPr>
                    <w:pStyle w:val="TableBodyText"/>
                  </w:pPr>
                  <w:r w:rsidRPr="00F301A8">
                    <w:t>0.30</w:t>
                  </w:r>
                </w:p>
              </w:tc>
              <w:tc>
                <w:tcPr>
                  <w:tcW w:w="553" w:type="pct"/>
                  <w:tcBorders>
                    <w:left w:val="nil"/>
                    <w:bottom w:val="nil"/>
                    <w:right w:val="nil"/>
                  </w:tcBorders>
                  <w:shd w:val="clear" w:color="auto" w:fill="auto"/>
                  <w:vAlign w:val="bottom"/>
                </w:tcPr>
                <w:p w14:paraId="7954B9DC" w14:textId="77777777" w:rsidR="00F05DC7" w:rsidRPr="00F301A8" w:rsidRDefault="00F05DC7" w:rsidP="00A3786D">
                  <w:pPr>
                    <w:pStyle w:val="TableBodyText"/>
                  </w:pPr>
                  <w:r w:rsidRPr="00F301A8">
                    <w:t>1.41</w:t>
                  </w:r>
                </w:p>
              </w:tc>
              <w:tc>
                <w:tcPr>
                  <w:tcW w:w="553" w:type="pct"/>
                  <w:tcBorders>
                    <w:left w:val="nil"/>
                    <w:bottom w:val="nil"/>
                    <w:right w:val="nil"/>
                  </w:tcBorders>
                  <w:shd w:val="clear" w:color="auto" w:fill="auto"/>
                  <w:vAlign w:val="bottom"/>
                </w:tcPr>
                <w:p w14:paraId="7954B9DD" w14:textId="77777777" w:rsidR="00F05DC7" w:rsidRPr="00F301A8" w:rsidRDefault="00F05DC7" w:rsidP="00A3786D">
                  <w:pPr>
                    <w:pStyle w:val="TableBodyText"/>
                  </w:pPr>
                  <w:r w:rsidRPr="00F301A8">
                    <w:t>1.78</w:t>
                  </w:r>
                </w:p>
              </w:tc>
              <w:tc>
                <w:tcPr>
                  <w:tcW w:w="551" w:type="pct"/>
                  <w:tcBorders>
                    <w:left w:val="nil"/>
                    <w:bottom w:val="nil"/>
                    <w:right w:val="nil"/>
                  </w:tcBorders>
                  <w:shd w:val="clear" w:color="auto" w:fill="auto"/>
                  <w:vAlign w:val="bottom"/>
                </w:tcPr>
                <w:p w14:paraId="7954B9DE" w14:textId="77777777" w:rsidR="00F05DC7" w:rsidRPr="00F301A8" w:rsidRDefault="00F05DC7" w:rsidP="00A3786D">
                  <w:pPr>
                    <w:pStyle w:val="TableBodyText"/>
                  </w:pPr>
                  <w:r w:rsidRPr="00F301A8">
                    <w:t>1.15</w:t>
                  </w:r>
                </w:p>
              </w:tc>
              <w:tc>
                <w:tcPr>
                  <w:tcW w:w="551" w:type="pct"/>
                  <w:tcBorders>
                    <w:left w:val="nil"/>
                    <w:bottom w:val="nil"/>
                    <w:right w:val="nil"/>
                  </w:tcBorders>
                  <w:shd w:val="clear" w:color="auto" w:fill="auto"/>
                  <w:vAlign w:val="bottom"/>
                </w:tcPr>
                <w:p w14:paraId="7954B9DF" w14:textId="77777777" w:rsidR="00F05DC7" w:rsidRPr="00F301A8" w:rsidRDefault="00F05DC7" w:rsidP="00A3786D">
                  <w:pPr>
                    <w:pStyle w:val="TableBodyText"/>
                  </w:pPr>
                  <w:r w:rsidRPr="00F301A8">
                    <w:t>5.17</w:t>
                  </w:r>
                </w:p>
              </w:tc>
            </w:tr>
            <w:tr w:rsidR="00F05DC7" w14:paraId="7954B9EA" w14:textId="77777777" w:rsidTr="00A3786D">
              <w:tc>
                <w:tcPr>
                  <w:tcW w:w="580" w:type="pct"/>
                </w:tcPr>
                <w:p w14:paraId="7954B9E1" w14:textId="77777777" w:rsidR="00F05DC7" w:rsidRPr="00F301A8" w:rsidRDefault="00F05DC7" w:rsidP="00A3786D">
                  <w:pPr>
                    <w:pStyle w:val="TableUnitsRow"/>
                    <w:jc w:val="left"/>
                    <w:rPr>
                      <w:rFonts w:cs="Arial"/>
                      <w:szCs w:val="18"/>
                    </w:rPr>
                  </w:pPr>
                  <w:r w:rsidRPr="00F301A8">
                    <w:rPr>
                      <w:rFonts w:cs="Arial"/>
                      <w:szCs w:val="18"/>
                    </w:rPr>
                    <w:t>2017-18</w:t>
                  </w:r>
                </w:p>
              </w:tc>
              <w:tc>
                <w:tcPr>
                  <w:tcW w:w="553" w:type="pct"/>
                  <w:tcBorders>
                    <w:left w:val="nil"/>
                    <w:right w:val="nil"/>
                  </w:tcBorders>
                  <w:shd w:val="clear" w:color="auto" w:fill="auto"/>
                  <w:vAlign w:val="bottom"/>
                </w:tcPr>
                <w:p w14:paraId="7954B9E2" w14:textId="77777777" w:rsidR="00F05DC7" w:rsidRPr="00F301A8" w:rsidRDefault="00F05DC7" w:rsidP="00A3786D">
                  <w:pPr>
                    <w:pStyle w:val="TableBodyText"/>
                  </w:pPr>
                  <w:r w:rsidRPr="00F301A8">
                    <w:t>0.87</w:t>
                  </w:r>
                </w:p>
              </w:tc>
              <w:tc>
                <w:tcPr>
                  <w:tcW w:w="553" w:type="pct"/>
                  <w:tcBorders>
                    <w:left w:val="nil"/>
                    <w:right w:val="nil"/>
                  </w:tcBorders>
                  <w:shd w:val="clear" w:color="auto" w:fill="auto"/>
                  <w:vAlign w:val="bottom"/>
                </w:tcPr>
                <w:p w14:paraId="7954B9E3" w14:textId="77777777" w:rsidR="00F05DC7" w:rsidRPr="00F301A8" w:rsidRDefault="00F05DC7" w:rsidP="00A3786D">
                  <w:pPr>
                    <w:pStyle w:val="TableBodyText"/>
                  </w:pPr>
                  <w:r w:rsidRPr="00F301A8">
                    <w:t>0.95</w:t>
                  </w:r>
                </w:p>
              </w:tc>
              <w:tc>
                <w:tcPr>
                  <w:tcW w:w="553" w:type="pct"/>
                  <w:tcBorders>
                    <w:left w:val="nil"/>
                    <w:right w:val="nil"/>
                  </w:tcBorders>
                  <w:shd w:val="clear" w:color="auto" w:fill="auto"/>
                  <w:vAlign w:val="bottom"/>
                </w:tcPr>
                <w:p w14:paraId="7954B9E4" w14:textId="77777777" w:rsidR="00F05DC7" w:rsidRPr="00F301A8" w:rsidRDefault="00F05DC7" w:rsidP="00A3786D">
                  <w:pPr>
                    <w:pStyle w:val="TableBodyText"/>
                  </w:pPr>
                  <w:r w:rsidRPr="00F301A8">
                    <w:t>1.17</w:t>
                  </w:r>
                </w:p>
              </w:tc>
              <w:tc>
                <w:tcPr>
                  <w:tcW w:w="553" w:type="pct"/>
                  <w:tcBorders>
                    <w:left w:val="nil"/>
                    <w:right w:val="nil"/>
                  </w:tcBorders>
                  <w:shd w:val="clear" w:color="auto" w:fill="auto"/>
                  <w:vAlign w:val="bottom"/>
                </w:tcPr>
                <w:p w14:paraId="7954B9E5" w14:textId="77777777" w:rsidR="00F05DC7" w:rsidRPr="00F301A8" w:rsidRDefault="00F05DC7" w:rsidP="00A3786D">
                  <w:pPr>
                    <w:pStyle w:val="TableBodyText"/>
                  </w:pPr>
                  <w:r w:rsidRPr="00F301A8">
                    <w:t>0.37</w:t>
                  </w:r>
                </w:p>
              </w:tc>
              <w:tc>
                <w:tcPr>
                  <w:tcW w:w="553" w:type="pct"/>
                  <w:tcBorders>
                    <w:left w:val="nil"/>
                    <w:right w:val="nil"/>
                  </w:tcBorders>
                  <w:shd w:val="clear" w:color="auto" w:fill="auto"/>
                  <w:vAlign w:val="bottom"/>
                </w:tcPr>
                <w:p w14:paraId="7954B9E6" w14:textId="77777777" w:rsidR="00F05DC7" w:rsidRPr="00F301A8" w:rsidRDefault="00F05DC7" w:rsidP="00A3786D">
                  <w:pPr>
                    <w:pStyle w:val="TableBodyText"/>
                  </w:pPr>
                  <w:r w:rsidRPr="00F301A8">
                    <w:t>1.45</w:t>
                  </w:r>
                </w:p>
              </w:tc>
              <w:tc>
                <w:tcPr>
                  <w:tcW w:w="553" w:type="pct"/>
                  <w:tcBorders>
                    <w:left w:val="nil"/>
                    <w:right w:val="nil"/>
                  </w:tcBorders>
                  <w:shd w:val="clear" w:color="auto" w:fill="auto"/>
                  <w:vAlign w:val="bottom"/>
                </w:tcPr>
                <w:p w14:paraId="7954B9E7" w14:textId="77777777" w:rsidR="00F05DC7" w:rsidRPr="00F301A8" w:rsidRDefault="00F05DC7" w:rsidP="00A3786D">
                  <w:pPr>
                    <w:pStyle w:val="TableBodyText"/>
                  </w:pPr>
                  <w:r w:rsidRPr="00F301A8">
                    <w:t>1.79</w:t>
                  </w:r>
                </w:p>
              </w:tc>
              <w:tc>
                <w:tcPr>
                  <w:tcW w:w="551" w:type="pct"/>
                  <w:tcBorders>
                    <w:left w:val="nil"/>
                    <w:right w:val="nil"/>
                  </w:tcBorders>
                  <w:shd w:val="clear" w:color="auto" w:fill="auto"/>
                  <w:vAlign w:val="bottom"/>
                </w:tcPr>
                <w:p w14:paraId="7954B9E8" w14:textId="77777777" w:rsidR="00F05DC7" w:rsidRPr="00F301A8" w:rsidRDefault="00F05DC7" w:rsidP="00A3786D">
                  <w:pPr>
                    <w:pStyle w:val="TableBodyText"/>
                  </w:pPr>
                  <w:r w:rsidRPr="00F301A8">
                    <w:t>1.16</w:t>
                  </w:r>
                </w:p>
              </w:tc>
              <w:tc>
                <w:tcPr>
                  <w:tcW w:w="551" w:type="pct"/>
                  <w:tcBorders>
                    <w:left w:val="nil"/>
                    <w:right w:val="nil"/>
                  </w:tcBorders>
                  <w:shd w:val="clear" w:color="auto" w:fill="auto"/>
                  <w:vAlign w:val="bottom"/>
                </w:tcPr>
                <w:p w14:paraId="7954B9E9" w14:textId="77777777" w:rsidR="00F05DC7" w:rsidRPr="00F301A8" w:rsidRDefault="00F05DC7" w:rsidP="00A3786D">
                  <w:pPr>
                    <w:pStyle w:val="TableBodyText"/>
                  </w:pPr>
                  <w:r w:rsidRPr="00F301A8">
                    <w:t>4.56</w:t>
                  </w:r>
                </w:p>
              </w:tc>
            </w:tr>
            <w:tr w:rsidR="00F05DC7" w14:paraId="7954B9F4" w14:textId="77777777" w:rsidTr="00A3786D">
              <w:tc>
                <w:tcPr>
                  <w:tcW w:w="580" w:type="pct"/>
                </w:tcPr>
                <w:p w14:paraId="7954B9EB" w14:textId="77777777" w:rsidR="00F05DC7" w:rsidRPr="00F301A8" w:rsidRDefault="00F05DC7" w:rsidP="00A3786D">
                  <w:pPr>
                    <w:pStyle w:val="TableUnitsRow"/>
                    <w:jc w:val="left"/>
                    <w:rPr>
                      <w:rFonts w:cs="Arial"/>
                      <w:szCs w:val="18"/>
                    </w:rPr>
                  </w:pPr>
                  <w:r w:rsidRPr="00F301A8">
                    <w:rPr>
                      <w:rFonts w:cs="Arial"/>
                      <w:szCs w:val="18"/>
                    </w:rPr>
                    <w:t>2018-19</w:t>
                  </w:r>
                </w:p>
              </w:tc>
              <w:tc>
                <w:tcPr>
                  <w:tcW w:w="553" w:type="pct"/>
                  <w:tcBorders>
                    <w:left w:val="nil"/>
                    <w:bottom w:val="nil"/>
                    <w:right w:val="nil"/>
                  </w:tcBorders>
                  <w:shd w:val="clear" w:color="auto" w:fill="auto"/>
                  <w:vAlign w:val="bottom"/>
                </w:tcPr>
                <w:p w14:paraId="7954B9EC" w14:textId="77777777" w:rsidR="00F05DC7" w:rsidRPr="00F301A8" w:rsidRDefault="00F05DC7" w:rsidP="00A3786D">
                  <w:pPr>
                    <w:pStyle w:val="TableBodyText"/>
                  </w:pPr>
                  <w:r w:rsidRPr="00F301A8">
                    <w:t>0.85</w:t>
                  </w:r>
                </w:p>
              </w:tc>
              <w:tc>
                <w:tcPr>
                  <w:tcW w:w="553" w:type="pct"/>
                  <w:tcBorders>
                    <w:left w:val="nil"/>
                    <w:bottom w:val="nil"/>
                    <w:right w:val="nil"/>
                  </w:tcBorders>
                  <w:shd w:val="clear" w:color="auto" w:fill="auto"/>
                  <w:vAlign w:val="bottom"/>
                </w:tcPr>
                <w:p w14:paraId="7954B9ED" w14:textId="77777777" w:rsidR="00F05DC7" w:rsidRPr="00F301A8" w:rsidRDefault="00F05DC7" w:rsidP="00A3786D">
                  <w:pPr>
                    <w:pStyle w:val="TableBodyText"/>
                  </w:pPr>
                  <w:r w:rsidRPr="00F301A8">
                    <w:t>0.98</w:t>
                  </w:r>
                </w:p>
              </w:tc>
              <w:tc>
                <w:tcPr>
                  <w:tcW w:w="553" w:type="pct"/>
                  <w:tcBorders>
                    <w:left w:val="nil"/>
                    <w:bottom w:val="nil"/>
                    <w:right w:val="nil"/>
                  </w:tcBorders>
                  <w:shd w:val="clear" w:color="auto" w:fill="auto"/>
                  <w:vAlign w:val="bottom"/>
                </w:tcPr>
                <w:p w14:paraId="7954B9EE" w14:textId="77777777" w:rsidR="00F05DC7" w:rsidRPr="00F301A8" w:rsidRDefault="00F05DC7" w:rsidP="00A3786D">
                  <w:pPr>
                    <w:pStyle w:val="TableBodyText"/>
                  </w:pPr>
                  <w:r w:rsidRPr="00F301A8">
                    <w:t>1.09</w:t>
                  </w:r>
                </w:p>
              </w:tc>
              <w:tc>
                <w:tcPr>
                  <w:tcW w:w="553" w:type="pct"/>
                  <w:tcBorders>
                    <w:left w:val="nil"/>
                    <w:bottom w:val="nil"/>
                    <w:right w:val="nil"/>
                  </w:tcBorders>
                  <w:shd w:val="clear" w:color="auto" w:fill="auto"/>
                  <w:vAlign w:val="bottom"/>
                </w:tcPr>
                <w:p w14:paraId="7954B9EF" w14:textId="77777777" w:rsidR="00F05DC7" w:rsidRPr="00F301A8" w:rsidRDefault="00F05DC7" w:rsidP="00A3786D">
                  <w:pPr>
                    <w:pStyle w:val="TableBodyText"/>
                  </w:pPr>
                  <w:r w:rsidRPr="00F301A8">
                    <w:t>0.55</w:t>
                  </w:r>
                </w:p>
              </w:tc>
              <w:tc>
                <w:tcPr>
                  <w:tcW w:w="553" w:type="pct"/>
                  <w:tcBorders>
                    <w:left w:val="nil"/>
                    <w:bottom w:val="nil"/>
                    <w:right w:val="nil"/>
                  </w:tcBorders>
                  <w:shd w:val="clear" w:color="auto" w:fill="auto"/>
                  <w:vAlign w:val="bottom"/>
                </w:tcPr>
                <w:p w14:paraId="7954B9F0" w14:textId="77777777" w:rsidR="00F05DC7" w:rsidRPr="00F301A8" w:rsidRDefault="00F05DC7" w:rsidP="00A3786D">
                  <w:pPr>
                    <w:pStyle w:val="TableBodyText"/>
                  </w:pPr>
                  <w:r w:rsidRPr="00F301A8">
                    <w:t>1.47</w:t>
                  </w:r>
                </w:p>
              </w:tc>
              <w:tc>
                <w:tcPr>
                  <w:tcW w:w="553" w:type="pct"/>
                  <w:tcBorders>
                    <w:left w:val="nil"/>
                    <w:bottom w:val="nil"/>
                    <w:right w:val="nil"/>
                  </w:tcBorders>
                  <w:shd w:val="clear" w:color="auto" w:fill="auto"/>
                  <w:vAlign w:val="bottom"/>
                </w:tcPr>
                <w:p w14:paraId="7954B9F1" w14:textId="77777777" w:rsidR="00F05DC7" w:rsidRPr="00F301A8" w:rsidRDefault="00F05DC7" w:rsidP="00A3786D">
                  <w:pPr>
                    <w:pStyle w:val="TableBodyText"/>
                  </w:pPr>
                  <w:r w:rsidRPr="00F301A8">
                    <w:t>1.76</w:t>
                  </w:r>
                </w:p>
              </w:tc>
              <w:tc>
                <w:tcPr>
                  <w:tcW w:w="551" w:type="pct"/>
                  <w:tcBorders>
                    <w:left w:val="nil"/>
                    <w:bottom w:val="nil"/>
                    <w:right w:val="nil"/>
                  </w:tcBorders>
                  <w:shd w:val="clear" w:color="auto" w:fill="auto"/>
                  <w:vAlign w:val="bottom"/>
                </w:tcPr>
                <w:p w14:paraId="7954B9F2" w14:textId="77777777" w:rsidR="00F05DC7" w:rsidRPr="00F301A8" w:rsidRDefault="00F05DC7" w:rsidP="00A3786D">
                  <w:pPr>
                    <w:pStyle w:val="TableBodyText"/>
                  </w:pPr>
                  <w:r w:rsidRPr="00F301A8">
                    <w:t>1.17</w:t>
                  </w:r>
                </w:p>
              </w:tc>
              <w:tc>
                <w:tcPr>
                  <w:tcW w:w="551" w:type="pct"/>
                  <w:tcBorders>
                    <w:left w:val="nil"/>
                    <w:bottom w:val="nil"/>
                    <w:right w:val="nil"/>
                  </w:tcBorders>
                  <w:shd w:val="clear" w:color="auto" w:fill="auto"/>
                  <w:vAlign w:val="bottom"/>
                </w:tcPr>
                <w:p w14:paraId="7954B9F3" w14:textId="77777777" w:rsidR="00F05DC7" w:rsidRPr="00F301A8" w:rsidRDefault="00F05DC7" w:rsidP="00A3786D">
                  <w:pPr>
                    <w:pStyle w:val="TableBodyText"/>
                  </w:pPr>
                  <w:r w:rsidRPr="00F301A8">
                    <w:t>4.25</w:t>
                  </w:r>
                </w:p>
              </w:tc>
            </w:tr>
          </w:tbl>
          <w:p w14:paraId="7954B9F5" w14:textId="77777777" w:rsidR="00F05DC7" w:rsidRDefault="00F05DC7" w:rsidP="00A3786D">
            <w:pPr>
              <w:pStyle w:val="Box"/>
            </w:pPr>
          </w:p>
        </w:tc>
      </w:tr>
      <w:tr w:rsidR="00F05DC7" w14:paraId="7954B9F8" w14:textId="77777777" w:rsidTr="00A3786D">
        <w:tc>
          <w:tcPr>
            <w:tcW w:w="5000" w:type="pct"/>
            <w:tcBorders>
              <w:top w:val="single" w:sz="4" w:space="0" w:color="D9D9D9" w:themeColor="background1" w:themeShade="D9"/>
              <w:left w:val="nil"/>
              <w:bottom w:val="nil"/>
              <w:right w:val="nil"/>
            </w:tcBorders>
            <w:shd w:val="clear" w:color="auto" w:fill="auto"/>
          </w:tcPr>
          <w:p w14:paraId="7954B9F7" w14:textId="77777777" w:rsidR="00F05DC7" w:rsidRDefault="00F05DC7" w:rsidP="00A3786D">
            <w:pPr>
              <w:pStyle w:val="Note"/>
              <w:rPr>
                <w:i/>
              </w:rPr>
            </w:pPr>
            <w:r w:rsidRPr="008E77FE">
              <w:rPr>
                <w:rStyle w:val="NoteLabel"/>
              </w:rPr>
              <w:t>a</w:t>
            </w:r>
            <w:r>
              <w:t xml:space="preserve"> To be compared against relativities in table C.10.</w:t>
            </w:r>
          </w:p>
        </w:tc>
      </w:tr>
      <w:tr w:rsidR="00F05DC7" w14:paraId="7954B9FA" w14:textId="77777777" w:rsidTr="00A3786D">
        <w:tc>
          <w:tcPr>
            <w:tcW w:w="5000" w:type="pct"/>
            <w:tcBorders>
              <w:top w:val="nil"/>
              <w:left w:val="nil"/>
              <w:bottom w:val="nil"/>
              <w:right w:val="nil"/>
            </w:tcBorders>
            <w:shd w:val="clear" w:color="auto" w:fill="auto"/>
          </w:tcPr>
          <w:p w14:paraId="7954B9F9"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9FC" w14:textId="77777777" w:rsidTr="00A3786D">
        <w:tc>
          <w:tcPr>
            <w:tcW w:w="5000" w:type="pct"/>
            <w:tcBorders>
              <w:top w:val="nil"/>
              <w:left w:val="nil"/>
              <w:bottom w:val="single" w:sz="6" w:space="0" w:color="78A22F"/>
              <w:right w:val="nil"/>
            </w:tcBorders>
            <w:shd w:val="clear" w:color="auto" w:fill="auto"/>
          </w:tcPr>
          <w:p w14:paraId="7954B9FB" w14:textId="77777777" w:rsidR="00F05DC7" w:rsidRDefault="00F05DC7" w:rsidP="00A3786D">
            <w:pPr>
              <w:pStyle w:val="Box"/>
              <w:spacing w:before="0" w:line="120" w:lineRule="exact"/>
            </w:pPr>
          </w:p>
        </w:tc>
      </w:tr>
      <w:tr w:rsidR="00F05DC7" w:rsidRPr="000863A5" w14:paraId="7954B9FE" w14:textId="77777777" w:rsidTr="00A3786D">
        <w:tc>
          <w:tcPr>
            <w:tcW w:w="5000" w:type="pct"/>
            <w:tcBorders>
              <w:top w:val="single" w:sz="6" w:space="0" w:color="78A22F"/>
              <w:left w:val="nil"/>
              <w:bottom w:val="nil"/>
              <w:right w:val="nil"/>
            </w:tcBorders>
          </w:tcPr>
          <w:p w14:paraId="7954B9FD" w14:textId="77777777" w:rsidR="00F05DC7" w:rsidRPr="00626D32" w:rsidRDefault="00F05DC7" w:rsidP="00A3786D">
            <w:pPr>
              <w:pStyle w:val="BoxSpaceBelow"/>
            </w:pPr>
          </w:p>
        </w:tc>
      </w:tr>
    </w:tbl>
    <w:p w14:paraId="7954B9FF"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A01" w14:textId="77777777" w:rsidTr="00A3786D">
        <w:trPr>
          <w:tblHeader/>
        </w:trPr>
        <w:tc>
          <w:tcPr>
            <w:tcW w:w="5000" w:type="pct"/>
            <w:tcBorders>
              <w:top w:val="single" w:sz="6" w:space="0" w:color="78A22F"/>
              <w:left w:val="nil"/>
              <w:bottom w:val="nil"/>
              <w:right w:val="nil"/>
            </w:tcBorders>
            <w:shd w:val="clear" w:color="auto" w:fill="auto"/>
          </w:tcPr>
          <w:p w14:paraId="7954BA00" w14:textId="707FBC1F" w:rsidR="00F05DC7" w:rsidRPr="00784A05" w:rsidRDefault="00F05DC7" w:rsidP="00A3786D">
            <w:pPr>
              <w:pStyle w:val="TableTitle"/>
            </w:pPr>
            <w:r>
              <w:rPr>
                <w:b w:val="0"/>
              </w:rPr>
              <w:t>Table C.14</w:t>
            </w:r>
            <w:r>
              <w:tab/>
              <w:t>Change in 2018-19 GST payments with 50 per cent discount on iron ore royalty rate changes</w:t>
            </w:r>
          </w:p>
        </w:tc>
      </w:tr>
      <w:tr w:rsidR="00F05DC7" w14:paraId="7954BA45"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551"/>
              <w:gridCol w:w="642"/>
              <w:gridCol w:w="758"/>
              <w:gridCol w:w="759"/>
              <w:gridCol w:w="759"/>
              <w:gridCol w:w="759"/>
              <w:gridCol w:w="759"/>
              <w:gridCol w:w="759"/>
              <w:gridCol w:w="759"/>
            </w:tblGrid>
            <w:tr w:rsidR="00F05DC7" w14:paraId="7954BA0B" w14:textId="77777777" w:rsidTr="001113B1">
              <w:trPr>
                <w:trHeight w:val="283"/>
                <w:tblHeader/>
              </w:trPr>
              <w:tc>
                <w:tcPr>
                  <w:tcW w:w="150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02" w14:textId="77777777" w:rsidR="00F05DC7" w:rsidRPr="00C13B66" w:rsidRDefault="00F05DC7" w:rsidP="00A3786D">
                  <w:pPr>
                    <w:pStyle w:val="TableColumnHeading"/>
                    <w:rPr>
                      <w:rFonts w:cs="Arial"/>
                      <w:szCs w:val="18"/>
                    </w:rPr>
                  </w:pPr>
                </w:p>
              </w:tc>
              <w:tc>
                <w:tcPr>
                  <w:tcW w:w="37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03" w14:textId="77777777" w:rsidR="00F05DC7" w:rsidRPr="00C13B66" w:rsidRDefault="00F05DC7" w:rsidP="00A3786D">
                  <w:pPr>
                    <w:pStyle w:val="TableColumnHeading"/>
                    <w:ind w:right="57"/>
                    <w:rPr>
                      <w:rFonts w:cs="Arial"/>
                      <w:szCs w:val="18"/>
                    </w:rPr>
                  </w:pPr>
                  <w:r w:rsidRPr="00C13B66">
                    <w:rPr>
                      <w:rFonts w:cs="Arial"/>
                      <w:szCs w:val="18"/>
                    </w:rPr>
                    <w:t>NSW</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04" w14:textId="77777777" w:rsidR="00F05DC7" w:rsidRPr="00C13B66" w:rsidRDefault="00F05DC7" w:rsidP="00A3786D">
                  <w:pPr>
                    <w:pStyle w:val="TableColumnHeading"/>
                    <w:ind w:right="57"/>
                    <w:rPr>
                      <w:rFonts w:cs="Arial"/>
                      <w:szCs w:val="18"/>
                    </w:rPr>
                  </w:pPr>
                  <w:r w:rsidRPr="00C13B66">
                    <w:rPr>
                      <w:rFonts w:cs="Arial"/>
                      <w:szCs w:val="18"/>
                    </w:rPr>
                    <w:t>Vic</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05" w14:textId="77777777" w:rsidR="00F05DC7" w:rsidRPr="00C13B66" w:rsidRDefault="00F05DC7" w:rsidP="00A3786D">
                  <w:pPr>
                    <w:pStyle w:val="TableColumnHeading"/>
                    <w:ind w:right="57"/>
                    <w:rPr>
                      <w:rFonts w:cs="Arial"/>
                      <w:szCs w:val="18"/>
                    </w:rPr>
                  </w:pPr>
                  <w:r w:rsidRPr="00C13B66">
                    <w:rPr>
                      <w:rFonts w:cs="Arial"/>
                      <w:szCs w:val="18"/>
                    </w:rPr>
                    <w:t>Qld</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06" w14:textId="77777777" w:rsidR="00F05DC7" w:rsidRPr="00C13B66" w:rsidRDefault="00F05DC7" w:rsidP="00A3786D">
                  <w:pPr>
                    <w:pStyle w:val="TableColumnHeading"/>
                    <w:ind w:right="57"/>
                    <w:rPr>
                      <w:rFonts w:cs="Arial"/>
                      <w:szCs w:val="18"/>
                    </w:rPr>
                  </w:pPr>
                  <w:r w:rsidRPr="00C13B66">
                    <w:rPr>
                      <w:rFonts w:cs="Arial"/>
                      <w:szCs w:val="18"/>
                    </w:rPr>
                    <w:t>WA</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07" w14:textId="77777777" w:rsidR="00F05DC7" w:rsidRPr="00C13B66" w:rsidRDefault="00F05DC7" w:rsidP="00A3786D">
                  <w:pPr>
                    <w:pStyle w:val="TableColumnHeading"/>
                    <w:ind w:right="57"/>
                    <w:rPr>
                      <w:rFonts w:cs="Arial"/>
                      <w:szCs w:val="18"/>
                    </w:rPr>
                  </w:pPr>
                  <w:r w:rsidRPr="00C13B66">
                    <w:rPr>
                      <w:rFonts w:cs="Arial"/>
                      <w:szCs w:val="18"/>
                    </w:rPr>
                    <w:t>SA</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08" w14:textId="77777777" w:rsidR="00F05DC7" w:rsidRPr="00C13B66" w:rsidRDefault="00F05DC7" w:rsidP="00A3786D">
                  <w:pPr>
                    <w:pStyle w:val="TableColumnHeading"/>
                    <w:ind w:right="57"/>
                    <w:rPr>
                      <w:rFonts w:cs="Arial"/>
                      <w:szCs w:val="18"/>
                    </w:rPr>
                  </w:pPr>
                  <w:r w:rsidRPr="00C13B66">
                    <w:rPr>
                      <w:rFonts w:cs="Arial"/>
                      <w:szCs w:val="18"/>
                    </w:rPr>
                    <w:t>Tas</w:t>
                  </w:r>
                </w:p>
              </w:tc>
              <w:tc>
                <w:tcPr>
                  <w:tcW w:w="44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09" w14:textId="77777777" w:rsidR="00F05DC7" w:rsidRPr="00C13B66" w:rsidRDefault="00F05DC7" w:rsidP="00A3786D">
                  <w:pPr>
                    <w:pStyle w:val="TableColumnHeading"/>
                    <w:ind w:right="57"/>
                    <w:rPr>
                      <w:rFonts w:cs="Arial"/>
                      <w:szCs w:val="18"/>
                    </w:rPr>
                  </w:pPr>
                  <w:r w:rsidRPr="00C13B66">
                    <w:rPr>
                      <w:rFonts w:cs="Arial"/>
                      <w:szCs w:val="18"/>
                    </w:rPr>
                    <w:t>ACT</w:t>
                  </w:r>
                </w:p>
              </w:tc>
              <w:tc>
                <w:tcPr>
                  <w:tcW w:w="445"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0A" w14:textId="77777777" w:rsidR="00F05DC7" w:rsidRPr="00C13B66" w:rsidRDefault="00F05DC7" w:rsidP="00A3786D">
                  <w:pPr>
                    <w:pStyle w:val="TableColumnHeading"/>
                    <w:ind w:right="57"/>
                    <w:rPr>
                      <w:rFonts w:cs="Arial"/>
                      <w:szCs w:val="18"/>
                    </w:rPr>
                  </w:pPr>
                  <w:r w:rsidRPr="00C13B66">
                    <w:rPr>
                      <w:rFonts w:cs="Arial"/>
                      <w:szCs w:val="18"/>
                    </w:rPr>
                    <w:t>NT</w:t>
                  </w:r>
                </w:p>
              </w:tc>
            </w:tr>
            <w:tr w:rsidR="00F05DC7" w14:paraId="7954BA15" w14:textId="77777777" w:rsidTr="00A3786D">
              <w:trPr>
                <w:trHeight w:val="283"/>
              </w:trPr>
              <w:tc>
                <w:tcPr>
                  <w:tcW w:w="1500" w:type="pct"/>
                  <w:tcBorders>
                    <w:top w:val="nil"/>
                    <w:left w:val="nil"/>
                    <w:bottom w:val="nil"/>
                    <w:right w:val="nil"/>
                  </w:tcBorders>
                  <w:shd w:val="clear" w:color="auto" w:fill="auto"/>
                  <w:tcMar>
                    <w:left w:w="0" w:type="dxa"/>
                    <w:right w:w="0" w:type="dxa"/>
                  </w:tcMar>
                  <w:vAlign w:val="center"/>
                  <w:hideMark/>
                </w:tcPr>
                <w:p w14:paraId="7954BA0C" w14:textId="77777777" w:rsidR="00F05DC7" w:rsidRPr="00C13B66" w:rsidRDefault="00F05DC7" w:rsidP="00A3786D">
                  <w:pPr>
                    <w:keepNext/>
                    <w:keepLines/>
                    <w:spacing w:before="80"/>
                    <w:rPr>
                      <w:rFonts w:ascii="Arial" w:hAnsi="Arial" w:cs="Arial"/>
                      <w:b/>
                      <w:bCs/>
                      <w:color w:val="000000"/>
                      <w:sz w:val="18"/>
                      <w:szCs w:val="18"/>
                    </w:rPr>
                  </w:pPr>
                  <w:r w:rsidRPr="00C13B66">
                    <w:rPr>
                      <w:rFonts w:ascii="Arial" w:hAnsi="Arial" w:cs="Arial"/>
                      <w:b/>
                      <w:bCs/>
                      <w:color w:val="000000"/>
                      <w:sz w:val="18"/>
                      <w:szCs w:val="18"/>
                    </w:rPr>
                    <w:t>Change in GST payments</w:t>
                  </w:r>
                </w:p>
              </w:tc>
              <w:tc>
                <w:tcPr>
                  <w:tcW w:w="378" w:type="pct"/>
                  <w:tcBorders>
                    <w:top w:val="nil"/>
                    <w:left w:val="nil"/>
                    <w:bottom w:val="nil"/>
                    <w:right w:val="nil"/>
                  </w:tcBorders>
                  <w:shd w:val="clear" w:color="auto" w:fill="auto"/>
                  <w:tcMar>
                    <w:left w:w="0" w:type="dxa"/>
                    <w:right w:w="0" w:type="dxa"/>
                  </w:tcMar>
                  <w:vAlign w:val="center"/>
                  <w:hideMark/>
                </w:tcPr>
                <w:p w14:paraId="7954BA0D" w14:textId="77777777" w:rsidR="00F05DC7" w:rsidRPr="00C13B66" w:rsidRDefault="00F05DC7" w:rsidP="00A3786D">
                  <w:pPr>
                    <w:keepNext/>
                    <w:keepLines/>
                    <w:spacing w:before="80"/>
                    <w:ind w:right="57"/>
                    <w:jc w:val="right"/>
                    <w:rPr>
                      <w:rFonts w:ascii="Arial" w:hAnsi="Arial" w:cs="Arial"/>
                      <w:b/>
                      <w:bCs/>
                      <w:color w:val="000000"/>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BA0E"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BA0F"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BA10"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BA11"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BA12" w14:textId="77777777" w:rsidR="00F05DC7" w:rsidRPr="00C13B66" w:rsidRDefault="00F05DC7" w:rsidP="00A3786D">
                  <w:pPr>
                    <w:keepNext/>
                    <w:keepLines/>
                    <w:spacing w:before="80"/>
                    <w:ind w:right="57"/>
                    <w:jc w:val="right"/>
                    <w:rPr>
                      <w:rFonts w:ascii="Arial" w:hAnsi="Arial" w:cs="Arial"/>
                      <w:sz w:val="18"/>
                      <w:szCs w:val="18"/>
                    </w:rPr>
                  </w:pPr>
                </w:p>
              </w:tc>
              <w:tc>
                <w:tcPr>
                  <w:tcW w:w="446" w:type="pct"/>
                  <w:tcBorders>
                    <w:top w:val="nil"/>
                    <w:left w:val="nil"/>
                    <w:bottom w:val="nil"/>
                    <w:right w:val="nil"/>
                  </w:tcBorders>
                  <w:shd w:val="clear" w:color="auto" w:fill="auto"/>
                  <w:tcMar>
                    <w:left w:w="0" w:type="dxa"/>
                    <w:right w:w="0" w:type="dxa"/>
                  </w:tcMar>
                  <w:vAlign w:val="center"/>
                  <w:hideMark/>
                </w:tcPr>
                <w:p w14:paraId="7954BA13" w14:textId="77777777" w:rsidR="00F05DC7" w:rsidRPr="00C13B66" w:rsidRDefault="00F05DC7" w:rsidP="00A3786D">
                  <w:pPr>
                    <w:keepNext/>
                    <w:keepLines/>
                    <w:spacing w:before="80"/>
                    <w:ind w:right="57"/>
                    <w:jc w:val="right"/>
                    <w:rPr>
                      <w:rFonts w:ascii="Arial" w:hAnsi="Arial" w:cs="Arial"/>
                      <w:sz w:val="18"/>
                      <w:szCs w:val="18"/>
                    </w:rPr>
                  </w:pPr>
                </w:p>
              </w:tc>
              <w:tc>
                <w:tcPr>
                  <w:tcW w:w="445" w:type="pct"/>
                  <w:tcBorders>
                    <w:top w:val="nil"/>
                    <w:left w:val="nil"/>
                    <w:bottom w:val="nil"/>
                    <w:right w:val="nil"/>
                  </w:tcBorders>
                  <w:shd w:val="clear" w:color="auto" w:fill="auto"/>
                  <w:tcMar>
                    <w:left w:w="0" w:type="dxa"/>
                    <w:right w:w="0" w:type="dxa"/>
                  </w:tcMar>
                  <w:vAlign w:val="center"/>
                  <w:hideMark/>
                </w:tcPr>
                <w:p w14:paraId="7954BA14" w14:textId="77777777" w:rsidR="00F05DC7" w:rsidRPr="00C13B66" w:rsidRDefault="00F05DC7" w:rsidP="00A3786D">
                  <w:pPr>
                    <w:keepNext/>
                    <w:keepLines/>
                    <w:spacing w:before="80"/>
                    <w:ind w:right="57"/>
                    <w:jc w:val="right"/>
                    <w:rPr>
                      <w:rFonts w:ascii="Arial" w:hAnsi="Arial" w:cs="Arial"/>
                      <w:sz w:val="18"/>
                      <w:szCs w:val="18"/>
                    </w:rPr>
                  </w:pPr>
                </w:p>
              </w:tc>
            </w:tr>
            <w:tr w:rsidR="00F05DC7" w14:paraId="7954BA1F" w14:textId="77777777" w:rsidTr="00A3786D">
              <w:trPr>
                <w:trHeight w:val="283"/>
              </w:trPr>
              <w:tc>
                <w:tcPr>
                  <w:tcW w:w="1500" w:type="pct"/>
                  <w:tcBorders>
                    <w:top w:val="nil"/>
                    <w:left w:val="nil"/>
                    <w:bottom w:val="nil"/>
                    <w:right w:val="nil"/>
                  </w:tcBorders>
                  <w:shd w:val="clear" w:color="auto" w:fill="auto"/>
                  <w:tcMar>
                    <w:left w:w="0" w:type="dxa"/>
                    <w:right w:w="0" w:type="dxa"/>
                  </w:tcMar>
                  <w:vAlign w:val="center"/>
                  <w:hideMark/>
                </w:tcPr>
                <w:p w14:paraId="7954BA16" w14:textId="77777777" w:rsidR="00F05DC7" w:rsidRPr="00C13B66" w:rsidRDefault="00F05DC7" w:rsidP="00A3786D">
                  <w:pPr>
                    <w:pStyle w:val="TableBodyText"/>
                    <w:jc w:val="left"/>
                  </w:pPr>
                  <w:r w:rsidRPr="00C13B66">
                    <w:t>$m</w:t>
                  </w:r>
                </w:p>
              </w:tc>
              <w:tc>
                <w:tcPr>
                  <w:tcW w:w="378" w:type="pct"/>
                  <w:tcBorders>
                    <w:top w:val="nil"/>
                    <w:left w:val="nil"/>
                    <w:bottom w:val="nil"/>
                    <w:right w:val="nil"/>
                  </w:tcBorders>
                  <w:shd w:val="clear" w:color="auto" w:fill="auto"/>
                  <w:tcMar>
                    <w:left w:w="0" w:type="dxa"/>
                    <w:right w:w="0" w:type="dxa"/>
                  </w:tcMar>
                  <w:vAlign w:val="bottom"/>
                </w:tcPr>
                <w:p w14:paraId="7954BA17" w14:textId="77777777" w:rsidR="00F05DC7" w:rsidRPr="00C13B66" w:rsidRDefault="00F05DC7" w:rsidP="00A3786D">
                  <w:pPr>
                    <w:pStyle w:val="TableBodyText"/>
                  </w:pPr>
                  <w:r w:rsidRPr="00C13B66">
                    <w:t>-190</w:t>
                  </w:r>
                </w:p>
              </w:tc>
              <w:tc>
                <w:tcPr>
                  <w:tcW w:w="446" w:type="pct"/>
                  <w:tcBorders>
                    <w:top w:val="nil"/>
                    <w:left w:val="nil"/>
                    <w:bottom w:val="nil"/>
                    <w:right w:val="nil"/>
                  </w:tcBorders>
                  <w:shd w:val="clear" w:color="auto" w:fill="auto"/>
                  <w:tcMar>
                    <w:left w:w="0" w:type="dxa"/>
                    <w:right w:w="0" w:type="dxa"/>
                  </w:tcMar>
                  <w:vAlign w:val="bottom"/>
                </w:tcPr>
                <w:p w14:paraId="7954BA18" w14:textId="77777777" w:rsidR="00F05DC7" w:rsidRPr="00C13B66" w:rsidRDefault="00F05DC7" w:rsidP="00A3786D">
                  <w:pPr>
                    <w:pStyle w:val="TableBodyText"/>
                  </w:pPr>
                  <w:r w:rsidRPr="00C13B66">
                    <w:t>-153</w:t>
                  </w:r>
                </w:p>
              </w:tc>
              <w:tc>
                <w:tcPr>
                  <w:tcW w:w="446" w:type="pct"/>
                  <w:tcBorders>
                    <w:top w:val="nil"/>
                    <w:left w:val="nil"/>
                    <w:bottom w:val="nil"/>
                    <w:right w:val="nil"/>
                  </w:tcBorders>
                  <w:shd w:val="clear" w:color="auto" w:fill="auto"/>
                  <w:tcMar>
                    <w:left w:w="0" w:type="dxa"/>
                    <w:right w:w="0" w:type="dxa"/>
                  </w:tcMar>
                  <w:vAlign w:val="bottom"/>
                </w:tcPr>
                <w:p w14:paraId="7954BA19" w14:textId="77777777" w:rsidR="00F05DC7" w:rsidRPr="00C13B66" w:rsidRDefault="00F05DC7" w:rsidP="00A3786D">
                  <w:pPr>
                    <w:pStyle w:val="TableBodyText"/>
                  </w:pPr>
                  <w:r w:rsidRPr="00C13B66">
                    <w:t>-118</w:t>
                  </w:r>
                </w:p>
              </w:tc>
              <w:tc>
                <w:tcPr>
                  <w:tcW w:w="446" w:type="pct"/>
                  <w:tcBorders>
                    <w:top w:val="nil"/>
                    <w:left w:val="nil"/>
                    <w:bottom w:val="nil"/>
                    <w:right w:val="nil"/>
                  </w:tcBorders>
                  <w:shd w:val="clear" w:color="auto" w:fill="auto"/>
                  <w:tcMar>
                    <w:left w:w="0" w:type="dxa"/>
                    <w:right w:w="0" w:type="dxa"/>
                  </w:tcMar>
                  <w:vAlign w:val="bottom"/>
                </w:tcPr>
                <w:p w14:paraId="7954BA1A" w14:textId="77777777" w:rsidR="00F05DC7" w:rsidRPr="00C13B66" w:rsidRDefault="00F05DC7" w:rsidP="00A3786D">
                  <w:pPr>
                    <w:pStyle w:val="TableBodyText"/>
                  </w:pPr>
                  <w:r w:rsidRPr="00C13B66">
                    <w:t>519</w:t>
                  </w:r>
                </w:p>
              </w:tc>
              <w:tc>
                <w:tcPr>
                  <w:tcW w:w="446" w:type="pct"/>
                  <w:tcBorders>
                    <w:top w:val="nil"/>
                    <w:left w:val="nil"/>
                    <w:bottom w:val="nil"/>
                    <w:right w:val="nil"/>
                  </w:tcBorders>
                  <w:shd w:val="clear" w:color="auto" w:fill="auto"/>
                  <w:tcMar>
                    <w:left w:w="0" w:type="dxa"/>
                    <w:right w:w="0" w:type="dxa"/>
                  </w:tcMar>
                  <w:vAlign w:val="bottom"/>
                </w:tcPr>
                <w:p w14:paraId="7954BA1B" w14:textId="77777777" w:rsidR="00F05DC7" w:rsidRPr="00C13B66" w:rsidRDefault="00F05DC7" w:rsidP="00A3786D">
                  <w:pPr>
                    <w:pStyle w:val="TableBodyText"/>
                  </w:pPr>
                  <w:r w:rsidRPr="00C13B66">
                    <w:t>-34</w:t>
                  </w:r>
                </w:p>
              </w:tc>
              <w:tc>
                <w:tcPr>
                  <w:tcW w:w="446" w:type="pct"/>
                  <w:tcBorders>
                    <w:top w:val="nil"/>
                    <w:left w:val="nil"/>
                    <w:bottom w:val="nil"/>
                    <w:right w:val="nil"/>
                  </w:tcBorders>
                  <w:shd w:val="clear" w:color="auto" w:fill="auto"/>
                  <w:tcMar>
                    <w:left w:w="0" w:type="dxa"/>
                    <w:right w:w="0" w:type="dxa"/>
                  </w:tcMar>
                  <w:vAlign w:val="bottom"/>
                </w:tcPr>
                <w:p w14:paraId="7954BA1C" w14:textId="77777777" w:rsidR="00F05DC7" w:rsidRPr="00C13B66" w:rsidRDefault="00F05DC7" w:rsidP="00A3786D">
                  <w:pPr>
                    <w:pStyle w:val="TableBodyText"/>
                  </w:pPr>
                  <w:r w:rsidRPr="00C13B66">
                    <w:t>-9</w:t>
                  </w:r>
                </w:p>
              </w:tc>
              <w:tc>
                <w:tcPr>
                  <w:tcW w:w="446" w:type="pct"/>
                  <w:tcBorders>
                    <w:top w:val="nil"/>
                    <w:left w:val="nil"/>
                    <w:bottom w:val="nil"/>
                    <w:right w:val="nil"/>
                  </w:tcBorders>
                  <w:shd w:val="clear" w:color="auto" w:fill="auto"/>
                  <w:tcMar>
                    <w:left w:w="0" w:type="dxa"/>
                    <w:right w:w="0" w:type="dxa"/>
                  </w:tcMar>
                  <w:vAlign w:val="bottom"/>
                </w:tcPr>
                <w:p w14:paraId="7954BA1D" w14:textId="77777777" w:rsidR="00F05DC7" w:rsidRPr="00C13B66" w:rsidRDefault="00F05DC7" w:rsidP="00A3786D">
                  <w:pPr>
                    <w:pStyle w:val="TableBodyText"/>
                  </w:pPr>
                  <w:r w:rsidRPr="00C13B66">
                    <w:t>-10</w:t>
                  </w:r>
                </w:p>
              </w:tc>
              <w:tc>
                <w:tcPr>
                  <w:tcW w:w="445" w:type="pct"/>
                  <w:tcBorders>
                    <w:top w:val="nil"/>
                    <w:left w:val="nil"/>
                    <w:bottom w:val="nil"/>
                    <w:right w:val="nil"/>
                  </w:tcBorders>
                  <w:shd w:val="clear" w:color="auto" w:fill="auto"/>
                  <w:tcMar>
                    <w:left w:w="0" w:type="dxa"/>
                    <w:right w:w="0" w:type="dxa"/>
                  </w:tcMar>
                  <w:vAlign w:val="bottom"/>
                </w:tcPr>
                <w:p w14:paraId="7954BA1E" w14:textId="77777777" w:rsidR="00F05DC7" w:rsidRPr="00C13B66" w:rsidRDefault="00F05DC7" w:rsidP="00A3786D">
                  <w:pPr>
                    <w:pStyle w:val="TableBodyText"/>
                  </w:pPr>
                  <w:r w:rsidRPr="00C13B66">
                    <w:t>-4</w:t>
                  </w:r>
                </w:p>
              </w:tc>
            </w:tr>
            <w:tr w:rsidR="00F05DC7" w14:paraId="7954BA29" w14:textId="77777777" w:rsidTr="00A3786D">
              <w:trPr>
                <w:trHeight w:val="283"/>
              </w:trPr>
              <w:tc>
                <w:tcPr>
                  <w:tcW w:w="1500" w:type="pct"/>
                  <w:tcBorders>
                    <w:top w:val="nil"/>
                    <w:left w:val="nil"/>
                    <w:bottom w:val="nil"/>
                    <w:right w:val="nil"/>
                  </w:tcBorders>
                  <w:shd w:val="clear" w:color="auto" w:fill="auto"/>
                  <w:tcMar>
                    <w:left w:w="0" w:type="dxa"/>
                    <w:right w:w="0" w:type="dxa"/>
                  </w:tcMar>
                  <w:vAlign w:val="center"/>
                </w:tcPr>
                <w:p w14:paraId="7954BA20" w14:textId="77777777" w:rsidR="00F05DC7" w:rsidRPr="00C13B66" w:rsidRDefault="00F05DC7" w:rsidP="00A3786D">
                  <w:pPr>
                    <w:pStyle w:val="TableBodyText"/>
                    <w:jc w:val="left"/>
                  </w:pPr>
                  <w:r w:rsidRPr="00C13B66">
                    <w:t>$pc</w:t>
                  </w:r>
                </w:p>
              </w:tc>
              <w:tc>
                <w:tcPr>
                  <w:tcW w:w="378" w:type="pct"/>
                  <w:tcBorders>
                    <w:top w:val="nil"/>
                    <w:left w:val="nil"/>
                    <w:bottom w:val="nil"/>
                    <w:right w:val="nil"/>
                  </w:tcBorders>
                  <w:shd w:val="clear" w:color="auto" w:fill="auto"/>
                  <w:tcMar>
                    <w:left w:w="0" w:type="dxa"/>
                    <w:right w:w="0" w:type="dxa"/>
                  </w:tcMar>
                  <w:vAlign w:val="bottom"/>
                </w:tcPr>
                <w:p w14:paraId="7954BA21" w14:textId="77777777" w:rsidR="00F05DC7" w:rsidRPr="00C13B66" w:rsidRDefault="00F05DC7" w:rsidP="00A3786D">
                  <w:pPr>
                    <w:pStyle w:val="TableBodyText"/>
                  </w:pPr>
                  <w:r w:rsidRPr="00C13B66">
                    <w:t>-24</w:t>
                  </w:r>
                </w:p>
              </w:tc>
              <w:tc>
                <w:tcPr>
                  <w:tcW w:w="446" w:type="pct"/>
                  <w:tcBorders>
                    <w:top w:val="nil"/>
                    <w:left w:val="nil"/>
                    <w:bottom w:val="nil"/>
                    <w:right w:val="nil"/>
                  </w:tcBorders>
                  <w:shd w:val="clear" w:color="auto" w:fill="auto"/>
                  <w:tcMar>
                    <w:left w:w="0" w:type="dxa"/>
                    <w:right w:w="0" w:type="dxa"/>
                  </w:tcMar>
                  <w:vAlign w:val="bottom"/>
                </w:tcPr>
                <w:p w14:paraId="7954BA22" w14:textId="77777777" w:rsidR="00F05DC7" w:rsidRPr="00C13B66" w:rsidRDefault="00F05DC7" w:rsidP="00A3786D">
                  <w:pPr>
                    <w:pStyle w:val="TableBodyText"/>
                  </w:pPr>
                  <w:r w:rsidRPr="00C13B66">
                    <w:t>-24</w:t>
                  </w:r>
                </w:p>
              </w:tc>
              <w:tc>
                <w:tcPr>
                  <w:tcW w:w="446" w:type="pct"/>
                  <w:tcBorders>
                    <w:top w:val="nil"/>
                    <w:left w:val="nil"/>
                    <w:bottom w:val="nil"/>
                    <w:right w:val="nil"/>
                  </w:tcBorders>
                  <w:shd w:val="clear" w:color="auto" w:fill="auto"/>
                  <w:tcMar>
                    <w:left w:w="0" w:type="dxa"/>
                    <w:right w:w="0" w:type="dxa"/>
                  </w:tcMar>
                  <w:vAlign w:val="bottom"/>
                </w:tcPr>
                <w:p w14:paraId="7954BA23" w14:textId="77777777" w:rsidR="00F05DC7" w:rsidRPr="00C13B66" w:rsidRDefault="00F05DC7" w:rsidP="00A3786D">
                  <w:pPr>
                    <w:pStyle w:val="TableBodyText"/>
                  </w:pPr>
                  <w:r w:rsidRPr="00C13B66">
                    <w:t>-24</w:t>
                  </w:r>
                </w:p>
              </w:tc>
              <w:tc>
                <w:tcPr>
                  <w:tcW w:w="446" w:type="pct"/>
                  <w:tcBorders>
                    <w:top w:val="nil"/>
                    <w:left w:val="nil"/>
                    <w:bottom w:val="nil"/>
                    <w:right w:val="nil"/>
                  </w:tcBorders>
                  <w:shd w:val="clear" w:color="auto" w:fill="auto"/>
                  <w:tcMar>
                    <w:left w:w="0" w:type="dxa"/>
                    <w:right w:w="0" w:type="dxa"/>
                  </w:tcMar>
                  <w:vAlign w:val="bottom"/>
                </w:tcPr>
                <w:p w14:paraId="7954BA24" w14:textId="77777777" w:rsidR="00F05DC7" w:rsidRPr="00C13B66" w:rsidRDefault="00F05DC7" w:rsidP="00A3786D">
                  <w:pPr>
                    <w:pStyle w:val="TableBodyText"/>
                  </w:pPr>
                  <w:r w:rsidRPr="00C13B66">
                    <w:t>198</w:t>
                  </w:r>
                </w:p>
              </w:tc>
              <w:tc>
                <w:tcPr>
                  <w:tcW w:w="446" w:type="pct"/>
                  <w:tcBorders>
                    <w:top w:val="nil"/>
                    <w:left w:val="nil"/>
                    <w:bottom w:val="nil"/>
                    <w:right w:val="nil"/>
                  </w:tcBorders>
                  <w:shd w:val="clear" w:color="auto" w:fill="auto"/>
                  <w:tcMar>
                    <w:left w:w="0" w:type="dxa"/>
                    <w:right w:w="0" w:type="dxa"/>
                  </w:tcMar>
                  <w:vAlign w:val="bottom"/>
                </w:tcPr>
                <w:p w14:paraId="7954BA25" w14:textId="77777777" w:rsidR="00F05DC7" w:rsidRPr="00C13B66" w:rsidRDefault="00F05DC7" w:rsidP="00A3786D">
                  <w:pPr>
                    <w:pStyle w:val="TableBodyText"/>
                  </w:pPr>
                  <w:r w:rsidRPr="00C13B66">
                    <w:t>-19</w:t>
                  </w:r>
                </w:p>
              </w:tc>
              <w:tc>
                <w:tcPr>
                  <w:tcW w:w="446" w:type="pct"/>
                  <w:tcBorders>
                    <w:top w:val="nil"/>
                    <w:left w:val="nil"/>
                    <w:bottom w:val="nil"/>
                    <w:right w:val="nil"/>
                  </w:tcBorders>
                  <w:shd w:val="clear" w:color="auto" w:fill="auto"/>
                  <w:tcMar>
                    <w:left w:w="0" w:type="dxa"/>
                    <w:right w:w="0" w:type="dxa"/>
                  </w:tcMar>
                  <w:vAlign w:val="bottom"/>
                </w:tcPr>
                <w:p w14:paraId="7954BA26" w14:textId="77777777" w:rsidR="00F05DC7" w:rsidRPr="00C13B66" w:rsidRDefault="00F05DC7" w:rsidP="00A3786D">
                  <w:pPr>
                    <w:pStyle w:val="TableBodyText"/>
                  </w:pPr>
                  <w:r w:rsidRPr="00C13B66">
                    <w:t>-18</w:t>
                  </w:r>
                </w:p>
              </w:tc>
              <w:tc>
                <w:tcPr>
                  <w:tcW w:w="446" w:type="pct"/>
                  <w:tcBorders>
                    <w:top w:val="nil"/>
                    <w:left w:val="nil"/>
                    <w:bottom w:val="nil"/>
                    <w:right w:val="nil"/>
                  </w:tcBorders>
                  <w:shd w:val="clear" w:color="auto" w:fill="auto"/>
                  <w:tcMar>
                    <w:left w:w="0" w:type="dxa"/>
                    <w:right w:w="0" w:type="dxa"/>
                  </w:tcMar>
                  <w:vAlign w:val="bottom"/>
                </w:tcPr>
                <w:p w14:paraId="7954BA27" w14:textId="77777777" w:rsidR="00F05DC7" w:rsidRPr="00C13B66" w:rsidRDefault="00F05DC7" w:rsidP="00A3786D">
                  <w:pPr>
                    <w:pStyle w:val="TableBodyText"/>
                  </w:pPr>
                  <w:r w:rsidRPr="00C13B66">
                    <w:t>-24</w:t>
                  </w:r>
                </w:p>
              </w:tc>
              <w:tc>
                <w:tcPr>
                  <w:tcW w:w="445" w:type="pct"/>
                  <w:tcBorders>
                    <w:top w:val="nil"/>
                    <w:left w:val="nil"/>
                    <w:bottom w:val="nil"/>
                    <w:right w:val="nil"/>
                  </w:tcBorders>
                  <w:shd w:val="clear" w:color="auto" w:fill="auto"/>
                  <w:tcMar>
                    <w:left w:w="0" w:type="dxa"/>
                    <w:right w:w="0" w:type="dxa"/>
                  </w:tcMar>
                  <w:vAlign w:val="bottom"/>
                </w:tcPr>
                <w:p w14:paraId="7954BA28" w14:textId="77777777" w:rsidR="00F05DC7" w:rsidRPr="00C13B66" w:rsidRDefault="00F05DC7" w:rsidP="00A3786D">
                  <w:pPr>
                    <w:pStyle w:val="TableBodyText"/>
                  </w:pPr>
                  <w:r w:rsidRPr="00C13B66">
                    <w:t>-17</w:t>
                  </w:r>
                </w:p>
              </w:tc>
            </w:tr>
            <w:tr w:rsidR="00F05DC7" w14:paraId="7954BA33" w14:textId="77777777" w:rsidTr="00A3786D">
              <w:trPr>
                <w:trHeight w:val="283"/>
              </w:trPr>
              <w:tc>
                <w:tcPr>
                  <w:tcW w:w="1500" w:type="pct"/>
                  <w:tcBorders>
                    <w:top w:val="nil"/>
                    <w:left w:val="nil"/>
                    <w:bottom w:val="nil"/>
                    <w:right w:val="nil"/>
                  </w:tcBorders>
                  <w:shd w:val="clear" w:color="auto" w:fill="auto"/>
                  <w:tcMar>
                    <w:left w:w="0" w:type="dxa"/>
                    <w:right w:w="0" w:type="dxa"/>
                  </w:tcMar>
                  <w:vAlign w:val="center"/>
                </w:tcPr>
                <w:p w14:paraId="7954BA2A" w14:textId="77777777" w:rsidR="00F05DC7" w:rsidRPr="00C13B66" w:rsidRDefault="00F05DC7" w:rsidP="00A3786D">
                  <w:pPr>
                    <w:pStyle w:val="TableBodyText"/>
                    <w:jc w:val="left"/>
                  </w:pPr>
                  <w:r w:rsidRPr="00C13B66">
                    <w:t>% change in State revenue</w:t>
                  </w:r>
                  <w:r w:rsidRPr="00C13B66" w:rsidDel="00CE2770">
                    <w:t xml:space="preserve"> </w:t>
                  </w:r>
                </w:p>
              </w:tc>
              <w:tc>
                <w:tcPr>
                  <w:tcW w:w="378" w:type="pct"/>
                  <w:tcBorders>
                    <w:top w:val="nil"/>
                    <w:left w:val="nil"/>
                    <w:bottom w:val="nil"/>
                    <w:right w:val="nil"/>
                  </w:tcBorders>
                  <w:shd w:val="clear" w:color="auto" w:fill="auto"/>
                  <w:tcMar>
                    <w:left w:w="0" w:type="dxa"/>
                    <w:right w:w="0" w:type="dxa"/>
                  </w:tcMar>
                  <w:vAlign w:val="bottom"/>
                </w:tcPr>
                <w:p w14:paraId="7954BA2B" w14:textId="77777777" w:rsidR="00F05DC7" w:rsidRPr="00C13B66" w:rsidRDefault="00F05DC7" w:rsidP="00A3786D">
                  <w:pPr>
                    <w:pStyle w:val="TableBodyText"/>
                  </w:pPr>
                  <w:r w:rsidRPr="00C13B66">
                    <w:t>-0.2</w:t>
                  </w:r>
                </w:p>
              </w:tc>
              <w:tc>
                <w:tcPr>
                  <w:tcW w:w="446" w:type="pct"/>
                  <w:tcBorders>
                    <w:top w:val="nil"/>
                    <w:left w:val="nil"/>
                    <w:bottom w:val="nil"/>
                    <w:right w:val="nil"/>
                  </w:tcBorders>
                  <w:shd w:val="clear" w:color="auto" w:fill="auto"/>
                  <w:tcMar>
                    <w:left w:w="0" w:type="dxa"/>
                    <w:right w:w="0" w:type="dxa"/>
                  </w:tcMar>
                  <w:vAlign w:val="bottom"/>
                </w:tcPr>
                <w:p w14:paraId="7954BA2C" w14:textId="77777777" w:rsidR="00F05DC7" w:rsidRPr="00C13B66" w:rsidRDefault="00F05DC7" w:rsidP="00A3786D">
                  <w:pPr>
                    <w:pStyle w:val="TableBodyText"/>
                  </w:pPr>
                  <w:r w:rsidRPr="00C13B66">
                    <w:t>-0.3</w:t>
                  </w:r>
                </w:p>
              </w:tc>
              <w:tc>
                <w:tcPr>
                  <w:tcW w:w="446" w:type="pct"/>
                  <w:tcBorders>
                    <w:top w:val="nil"/>
                    <w:left w:val="nil"/>
                    <w:bottom w:val="nil"/>
                    <w:right w:val="nil"/>
                  </w:tcBorders>
                  <w:shd w:val="clear" w:color="auto" w:fill="auto"/>
                  <w:tcMar>
                    <w:left w:w="0" w:type="dxa"/>
                    <w:right w:w="0" w:type="dxa"/>
                  </w:tcMar>
                  <w:vAlign w:val="bottom"/>
                </w:tcPr>
                <w:p w14:paraId="7954BA2D" w14:textId="77777777" w:rsidR="00F05DC7" w:rsidRPr="00C13B66" w:rsidRDefault="00F05DC7" w:rsidP="00A3786D">
                  <w:pPr>
                    <w:pStyle w:val="TableBodyText"/>
                  </w:pPr>
                  <w:r w:rsidRPr="00C13B66">
                    <w:t>-0.2</w:t>
                  </w:r>
                </w:p>
              </w:tc>
              <w:tc>
                <w:tcPr>
                  <w:tcW w:w="446" w:type="pct"/>
                  <w:tcBorders>
                    <w:top w:val="nil"/>
                    <w:left w:val="nil"/>
                    <w:bottom w:val="nil"/>
                    <w:right w:val="nil"/>
                  </w:tcBorders>
                  <w:shd w:val="clear" w:color="auto" w:fill="auto"/>
                  <w:tcMar>
                    <w:left w:w="0" w:type="dxa"/>
                    <w:right w:w="0" w:type="dxa"/>
                  </w:tcMar>
                  <w:vAlign w:val="bottom"/>
                </w:tcPr>
                <w:p w14:paraId="7954BA2E" w14:textId="77777777" w:rsidR="00F05DC7" w:rsidRPr="00C13B66" w:rsidRDefault="00F05DC7" w:rsidP="00A3786D">
                  <w:pPr>
                    <w:pStyle w:val="TableBodyText"/>
                  </w:pPr>
                  <w:r w:rsidRPr="00C13B66">
                    <w:t>1.9</w:t>
                  </w:r>
                </w:p>
              </w:tc>
              <w:tc>
                <w:tcPr>
                  <w:tcW w:w="446" w:type="pct"/>
                  <w:tcBorders>
                    <w:top w:val="nil"/>
                    <w:left w:val="nil"/>
                    <w:bottom w:val="nil"/>
                    <w:right w:val="nil"/>
                  </w:tcBorders>
                  <w:shd w:val="clear" w:color="auto" w:fill="auto"/>
                  <w:tcMar>
                    <w:left w:w="0" w:type="dxa"/>
                    <w:right w:w="0" w:type="dxa"/>
                  </w:tcMar>
                  <w:vAlign w:val="bottom"/>
                </w:tcPr>
                <w:p w14:paraId="7954BA2F" w14:textId="77777777" w:rsidR="00F05DC7" w:rsidRPr="00C13B66" w:rsidRDefault="00F05DC7" w:rsidP="00A3786D">
                  <w:pPr>
                    <w:pStyle w:val="TableBodyText"/>
                  </w:pPr>
                  <w:r w:rsidRPr="00C13B66">
                    <w:t>-0.2</w:t>
                  </w:r>
                </w:p>
              </w:tc>
              <w:tc>
                <w:tcPr>
                  <w:tcW w:w="446" w:type="pct"/>
                  <w:tcBorders>
                    <w:top w:val="nil"/>
                    <w:left w:val="nil"/>
                    <w:bottom w:val="nil"/>
                    <w:right w:val="nil"/>
                  </w:tcBorders>
                  <w:shd w:val="clear" w:color="auto" w:fill="auto"/>
                  <w:tcMar>
                    <w:left w:w="0" w:type="dxa"/>
                    <w:right w:w="0" w:type="dxa"/>
                  </w:tcMar>
                  <w:vAlign w:val="bottom"/>
                </w:tcPr>
                <w:p w14:paraId="7954BA30" w14:textId="77777777" w:rsidR="00F05DC7" w:rsidRPr="00C13B66" w:rsidRDefault="00F05DC7" w:rsidP="00A3786D">
                  <w:pPr>
                    <w:pStyle w:val="TableBodyText"/>
                  </w:pPr>
                  <w:r w:rsidRPr="00C13B66">
                    <w:t>-0.2</w:t>
                  </w:r>
                </w:p>
              </w:tc>
              <w:tc>
                <w:tcPr>
                  <w:tcW w:w="446" w:type="pct"/>
                  <w:tcBorders>
                    <w:top w:val="nil"/>
                    <w:left w:val="nil"/>
                    <w:bottom w:val="nil"/>
                    <w:right w:val="nil"/>
                  </w:tcBorders>
                  <w:shd w:val="clear" w:color="auto" w:fill="auto"/>
                  <w:tcMar>
                    <w:left w:w="0" w:type="dxa"/>
                    <w:right w:w="0" w:type="dxa"/>
                  </w:tcMar>
                  <w:vAlign w:val="bottom"/>
                </w:tcPr>
                <w:p w14:paraId="7954BA31" w14:textId="77777777" w:rsidR="00F05DC7" w:rsidRPr="00C13B66" w:rsidRDefault="00F05DC7" w:rsidP="00A3786D">
                  <w:pPr>
                    <w:pStyle w:val="TableBodyText"/>
                  </w:pPr>
                  <w:r w:rsidRPr="00C13B66">
                    <w:t>-0.2</w:t>
                  </w:r>
                </w:p>
              </w:tc>
              <w:tc>
                <w:tcPr>
                  <w:tcW w:w="445" w:type="pct"/>
                  <w:tcBorders>
                    <w:top w:val="nil"/>
                    <w:left w:val="nil"/>
                    <w:bottom w:val="nil"/>
                    <w:right w:val="nil"/>
                  </w:tcBorders>
                  <w:shd w:val="clear" w:color="auto" w:fill="auto"/>
                  <w:tcMar>
                    <w:left w:w="0" w:type="dxa"/>
                    <w:right w:w="0" w:type="dxa"/>
                  </w:tcMar>
                  <w:vAlign w:val="bottom"/>
                </w:tcPr>
                <w:p w14:paraId="7954BA32" w14:textId="77777777" w:rsidR="00F05DC7" w:rsidRPr="00C13B66" w:rsidRDefault="00F05DC7" w:rsidP="00A3786D">
                  <w:pPr>
                    <w:pStyle w:val="TableBodyText"/>
                  </w:pPr>
                  <w:r w:rsidRPr="00C13B66">
                    <w:t>-0.1</w:t>
                  </w:r>
                </w:p>
              </w:tc>
            </w:tr>
            <w:tr w:rsidR="00F05DC7" w14:paraId="7954BA3D" w14:textId="77777777" w:rsidTr="00A3786D">
              <w:trPr>
                <w:trHeight w:val="283"/>
              </w:trPr>
              <w:tc>
                <w:tcPr>
                  <w:tcW w:w="1500" w:type="pct"/>
                  <w:tcBorders>
                    <w:top w:val="nil"/>
                    <w:left w:val="nil"/>
                    <w:bottom w:val="nil"/>
                    <w:right w:val="nil"/>
                  </w:tcBorders>
                  <w:shd w:val="clear" w:color="auto" w:fill="auto"/>
                  <w:tcMar>
                    <w:left w:w="0" w:type="dxa"/>
                    <w:right w:w="0" w:type="dxa"/>
                  </w:tcMar>
                  <w:vAlign w:val="center"/>
                </w:tcPr>
                <w:p w14:paraId="7954BA34" w14:textId="77777777" w:rsidR="00F05DC7" w:rsidRPr="00C13B66" w:rsidRDefault="00F05DC7" w:rsidP="00A3786D">
                  <w:pPr>
                    <w:keepNext/>
                    <w:keepLines/>
                    <w:spacing w:before="80"/>
                    <w:rPr>
                      <w:rFonts w:ascii="Arial" w:hAnsi="Arial" w:cs="Arial"/>
                      <w:color w:val="000000"/>
                      <w:sz w:val="18"/>
                      <w:szCs w:val="18"/>
                    </w:rPr>
                  </w:pPr>
                  <w:r w:rsidRPr="00C13B66">
                    <w:rPr>
                      <w:rFonts w:ascii="Arial" w:hAnsi="Arial" w:cs="Arial"/>
                      <w:b/>
                      <w:bCs/>
                      <w:color w:val="000000"/>
                      <w:sz w:val="18"/>
                      <w:szCs w:val="18"/>
                    </w:rPr>
                    <w:t>Total redistribution from EPC</w:t>
                  </w:r>
                </w:p>
              </w:tc>
              <w:tc>
                <w:tcPr>
                  <w:tcW w:w="378" w:type="pct"/>
                  <w:tcBorders>
                    <w:top w:val="nil"/>
                    <w:left w:val="nil"/>
                    <w:bottom w:val="nil"/>
                    <w:right w:val="nil"/>
                  </w:tcBorders>
                  <w:shd w:val="clear" w:color="auto" w:fill="auto"/>
                  <w:tcMar>
                    <w:left w:w="0" w:type="dxa"/>
                    <w:right w:w="0" w:type="dxa"/>
                  </w:tcMar>
                  <w:vAlign w:val="bottom"/>
                </w:tcPr>
                <w:p w14:paraId="7954BA35"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BA36"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BA37"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BA38"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BA39"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BA3A"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6" w:type="pct"/>
                  <w:tcBorders>
                    <w:top w:val="nil"/>
                    <w:left w:val="nil"/>
                    <w:bottom w:val="nil"/>
                    <w:right w:val="nil"/>
                  </w:tcBorders>
                  <w:shd w:val="clear" w:color="auto" w:fill="auto"/>
                  <w:tcMar>
                    <w:left w:w="0" w:type="dxa"/>
                    <w:right w:w="0" w:type="dxa"/>
                  </w:tcMar>
                  <w:vAlign w:val="center"/>
                </w:tcPr>
                <w:p w14:paraId="7954BA3B" w14:textId="77777777" w:rsidR="00F05DC7" w:rsidRPr="00C13B66" w:rsidRDefault="00F05DC7" w:rsidP="00A3786D">
                  <w:pPr>
                    <w:keepNext/>
                    <w:keepLines/>
                    <w:spacing w:before="80"/>
                    <w:ind w:right="11"/>
                    <w:jc w:val="right"/>
                    <w:rPr>
                      <w:rFonts w:ascii="Arial" w:hAnsi="Arial" w:cs="Arial"/>
                      <w:color w:val="000000"/>
                      <w:sz w:val="18"/>
                      <w:szCs w:val="18"/>
                    </w:rPr>
                  </w:pPr>
                </w:p>
              </w:tc>
              <w:tc>
                <w:tcPr>
                  <w:tcW w:w="445" w:type="pct"/>
                  <w:tcBorders>
                    <w:top w:val="nil"/>
                    <w:left w:val="nil"/>
                    <w:bottom w:val="nil"/>
                    <w:right w:val="nil"/>
                  </w:tcBorders>
                  <w:shd w:val="clear" w:color="auto" w:fill="auto"/>
                  <w:tcMar>
                    <w:left w:w="0" w:type="dxa"/>
                    <w:right w:w="0" w:type="dxa"/>
                  </w:tcMar>
                  <w:vAlign w:val="center"/>
                </w:tcPr>
                <w:p w14:paraId="7954BA3C" w14:textId="77777777" w:rsidR="00F05DC7" w:rsidRPr="00C13B66" w:rsidRDefault="00F05DC7" w:rsidP="00A3786D">
                  <w:pPr>
                    <w:keepNext/>
                    <w:keepLines/>
                    <w:spacing w:before="80"/>
                    <w:ind w:right="11"/>
                    <w:jc w:val="right"/>
                    <w:rPr>
                      <w:rFonts w:ascii="Arial" w:hAnsi="Arial" w:cs="Arial"/>
                      <w:color w:val="000000"/>
                      <w:sz w:val="18"/>
                      <w:szCs w:val="18"/>
                    </w:rPr>
                  </w:pPr>
                </w:p>
              </w:tc>
            </w:tr>
            <w:tr w:rsidR="00F05DC7" w14:paraId="7954BA40" w14:textId="77777777" w:rsidTr="00A3786D">
              <w:trPr>
                <w:trHeight w:val="283"/>
              </w:trPr>
              <w:tc>
                <w:tcPr>
                  <w:tcW w:w="1500" w:type="pct"/>
                  <w:tcBorders>
                    <w:top w:val="nil"/>
                    <w:left w:val="nil"/>
                    <w:bottom w:val="nil"/>
                    <w:right w:val="nil"/>
                  </w:tcBorders>
                  <w:shd w:val="clear" w:color="auto" w:fill="auto"/>
                  <w:tcMar>
                    <w:left w:w="0" w:type="dxa"/>
                    <w:right w:w="0" w:type="dxa"/>
                  </w:tcMar>
                  <w:vAlign w:val="center"/>
                </w:tcPr>
                <w:p w14:paraId="7954BA3E" w14:textId="77777777" w:rsidR="00F05DC7" w:rsidRPr="00C13B66" w:rsidRDefault="00F05DC7" w:rsidP="00A3786D">
                  <w:pPr>
                    <w:pStyle w:val="TableBodyText"/>
                    <w:jc w:val="left"/>
                  </w:pPr>
                  <w:r w:rsidRPr="00C13B66">
                    <w:t>Current approach</w:t>
                  </w:r>
                </w:p>
              </w:tc>
              <w:tc>
                <w:tcPr>
                  <w:tcW w:w="3500" w:type="pct"/>
                  <w:gridSpan w:val="8"/>
                  <w:tcBorders>
                    <w:top w:val="nil"/>
                    <w:left w:val="nil"/>
                    <w:bottom w:val="nil"/>
                    <w:right w:val="nil"/>
                  </w:tcBorders>
                  <w:shd w:val="clear" w:color="auto" w:fill="auto"/>
                  <w:tcMar>
                    <w:left w:w="0" w:type="dxa"/>
                    <w:right w:w="0" w:type="dxa"/>
                  </w:tcMar>
                  <w:vAlign w:val="center"/>
                </w:tcPr>
                <w:p w14:paraId="7954BA3F" w14:textId="77777777" w:rsidR="00F05DC7" w:rsidRPr="00C13B66" w:rsidRDefault="00F05DC7" w:rsidP="00A3786D">
                  <w:pPr>
                    <w:pStyle w:val="TableBodyText"/>
                  </w:pPr>
                  <w:r w:rsidRPr="00C13B66">
                    <w:t>$6 840 million</w:t>
                  </w:r>
                </w:p>
              </w:tc>
            </w:tr>
            <w:tr w:rsidR="00F05DC7" w14:paraId="7954BA43" w14:textId="77777777" w:rsidTr="00A3786D">
              <w:trPr>
                <w:trHeight w:val="283"/>
              </w:trPr>
              <w:tc>
                <w:tcPr>
                  <w:tcW w:w="1500" w:type="pct"/>
                  <w:tcBorders>
                    <w:top w:val="nil"/>
                    <w:left w:val="nil"/>
                    <w:bottom w:val="single" w:sz="8" w:space="0" w:color="BFBFBF"/>
                    <w:right w:val="nil"/>
                  </w:tcBorders>
                  <w:shd w:val="clear" w:color="auto" w:fill="auto"/>
                  <w:tcMar>
                    <w:left w:w="0" w:type="dxa"/>
                    <w:right w:w="0" w:type="dxa"/>
                  </w:tcMar>
                  <w:vAlign w:val="center"/>
                </w:tcPr>
                <w:p w14:paraId="7954BA41" w14:textId="77777777" w:rsidR="00F05DC7" w:rsidRPr="00C13B66" w:rsidRDefault="00F05DC7" w:rsidP="00A3786D">
                  <w:pPr>
                    <w:pStyle w:val="TableBodyText"/>
                    <w:jc w:val="left"/>
                  </w:pPr>
                  <w:r w:rsidRPr="00C13B66">
                    <w:t>50 per cent discount</w:t>
                  </w:r>
                </w:p>
              </w:tc>
              <w:tc>
                <w:tcPr>
                  <w:tcW w:w="3500" w:type="pct"/>
                  <w:gridSpan w:val="8"/>
                  <w:tcBorders>
                    <w:top w:val="nil"/>
                    <w:left w:val="nil"/>
                    <w:bottom w:val="single" w:sz="8" w:space="0" w:color="BFBFBF"/>
                    <w:right w:val="nil"/>
                  </w:tcBorders>
                  <w:shd w:val="clear" w:color="auto" w:fill="auto"/>
                  <w:tcMar>
                    <w:left w:w="0" w:type="dxa"/>
                    <w:right w:w="0" w:type="dxa"/>
                  </w:tcMar>
                  <w:vAlign w:val="center"/>
                </w:tcPr>
                <w:p w14:paraId="7954BA42" w14:textId="77777777" w:rsidR="00F05DC7" w:rsidRPr="00C13B66" w:rsidRDefault="00F05DC7" w:rsidP="00A3786D">
                  <w:pPr>
                    <w:pStyle w:val="TableBodyText"/>
                  </w:pPr>
                  <w:r w:rsidRPr="00C13B66">
                    <w:t>$6 664 million</w:t>
                  </w:r>
                </w:p>
              </w:tc>
            </w:tr>
          </w:tbl>
          <w:p w14:paraId="7954BA44" w14:textId="77777777" w:rsidR="00F05DC7" w:rsidRDefault="00F05DC7" w:rsidP="00A3786D">
            <w:pPr>
              <w:pStyle w:val="Box"/>
            </w:pPr>
          </w:p>
        </w:tc>
      </w:tr>
      <w:tr w:rsidR="00F05DC7" w14:paraId="7954BA47" w14:textId="77777777" w:rsidTr="00A3786D">
        <w:tc>
          <w:tcPr>
            <w:tcW w:w="5000" w:type="pct"/>
            <w:tcBorders>
              <w:top w:val="nil"/>
              <w:left w:val="nil"/>
              <w:bottom w:val="nil"/>
              <w:right w:val="nil"/>
            </w:tcBorders>
            <w:shd w:val="clear" w:color="auto" w:fill="auto"/>
          </w:tcPr>
          <w:p w14:paraId="7954BA46"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A49" w14:textId="77777777" w:rsidTr="00A3786D">
        <w:tc>
          <w:tcPr>
            <w:tcW w:w="5000" w:type="pct"/>
            <w:tcBorders>
              <w:top w:val="nil"/>
              <w:left w:val="nil"/>
              <w:bottom w:val="single" w:sz="6" w:space="0" w:color="78A22F"/>
              <w:right w:val="nil"/>
            </w:tcBorders>
            <w:shd w:val="clear" w:color="auto" w:fill="auto"/>
          </w:tcPr>
          <w:p w14:paraId="7954BA48" w14:textId="77777777" w:rsidR="00F05DC7" w:rsidRDefault="00F05DC7" w:rsidP="00A3786D">
            <w:pPr>
              <w:pStyle w:val="Box"/>
              <w:spacing w:before="0" w:line="120" w:lineRule="exact"/>
            </w:pPr>
          </w:p>
        </w:tc>
      </w:tr>
      <w:tr w:rsidR="00F05DC7" w:rsidRPr="000863A5" w14:paraId="7954BA4B" w14:textId="77777777" w:rsidTr="00A3786D">
        <w:tc>
          <w:tcPr>
            <w:tcW w:w="5000" w:type="pct"/>
            <w:tcBorders>
              <w:top w:val="single" w:sz="6" w:space="0" w:color="78A22F"/>
              <w:left w:val="nil"/>
              <w:bottom w:val="nil"/>
              <w:right w:val="nil"/>
            </w:tcBorders>
          </w:tcPr>
          <w:p w14:paraId="7954BA4A" w14:textId="77777777" w:rsidR="00F05DC7" w:rsidRPr="00626D32" w:rsidRDefault="00F05DC7" w:rsidP="00A3786D">
            <w:pPr>
              <w:pStyle w:val="BoxSpaceBelow"/>
            </w:pPr>
          </w:p>
        </w:tc>
      </w:tr>
    </w:tbl>
    <w:p w14:paraId="7954BA4C" w14:textId="77777777" w:rsidR="00F05DC7" w:rsidRDefault="00F05DC7" w:rsidP="00A3786D">
      <w:pPr>
        <w:pStyle w:val="Heading3"/>
      </w:pPr>
      <w:r>
        <w:t>Broad indicators</w:t>
      </w:r>
    </w:p>
    <w:p w14:paraId="7954BA4D" w14:textId="77777777" w:rsidR="00F05DC7" w:rsidRDefault="00F05DC7" w:rsidP="00A3786D">
      <w:pPr>
        <w:pStyle w:val="BodyText"/>
      </w:pPr>
      <w:r>
        <w:t xml:space="preserve">Broad indicator approaches to HFE use general measures of States’ revenue raising capacities (typically economic indicators) to calculate relativities. Gross state product (GSP) and gross disposable income (GDI) have been identified as two potential broad indicators. </w:t>
      </w:r>
    </w:p>
    <w:p w14:paraId="7954BA4E" w14:textId="77777777" w:rsidR="00F05DC7" w:rsidRDefault="00F05DC7" w:rsidP="00A3786D">
      <w:pPr>
        <w:pStyle w:val="BodyText"/>
      </w:pPr>
      <w:r>
        <w:t>There is no consensus on the methodology for how broad indicators should be used to calculate relativities, and whether they should be applied to assess States’ total fiscal capacity or solely revenue</w:t>
      </w:r>
      <w:r>
        <w:noBreakHyphen/>
        <w:t>raising capacity. The approach taken here is to calculate the shares of total revenue based on GSP and GDI. Either measure would replace the CGC’s current approach of individually assessing State revenue items.</w:t>
      </w:r>
    </w:p>
    <w:p w14:paraId="7954BA4F" w14:textId="77777777" w:rsidR="00F05DC7" w:rsidRDefault="00F05DC7" w:rsidP="00A3786D">
      <w:pPr>
        <w:pStyle w:val="BodyText"/>
      </w:pPr>
      <w:r>
        <w:t>Table C.15 uses GSP and GDI as the revenue measures whilst</w:t>
      </w:r>
      <w:r w:rsidRPr="00214C84">
        <w:t xml:space="preserve"> </w:t>
      </w:r>
      <w:r>
        <w:t>removing all distribution of GST payments attributable to differences in expense capacities (which are not used to calculate relativities). Using this approach substantially decreases relativities for the ACT and the Northern Territory to a situation where they can even turn negative. In this situation, the States would presumably not receive any GST payment and would also need to provide some of their own revenue to redistribute to the other States.</w:t>
      </w:r>
    </w:p>
    <w:p w14:paraId="7954BA50"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A53" w14:textId="77777777" w:rsidTr="001113B1">
        <w:trPr>
          <w:tblHeader/>
        </w:trPr>
        <w:tc>
          <w:tcPr>
            <w:tcW w:w="5000" w:type="pct"/>
            <w:tcBorders>
              <w:top w:val="single" w:sz="6" w:space="0" w:color="78A22F"/>
              <w:left w:val="nil"/>
              <w:bottom w:val="nil"/>
              <w:right w:val="nil"/>
            </w:tcBorders>
            <w:shd w:val="clear" w:color="auto" w:fill="auto"/>
          </w:tcPr>
          <w:p w14:paraId="7954BA51" w14:textId="4DE98202" w:rsidR="00F05DC7" w:rsidRDefault="00F05DC7" w:rsidP="00A3786D">
            <w:pPr>
              <w:pStyle w:val="TableTitle"/>
            </w:pPr>
            <w:r>
              <w:rPr>
                <w:b w:val="0"/>
              </w:rPr>
              <w:t>Table C.15</w:t>
            </w:r>
            <w:r>
              <w:tab/>
              <w:t>GST effects of a broad indicators approach</w:t>
            </w:r>
          </w:p>
          <w:p w14:paraId="7954BA52" w14:textId="77777777" w:rsidR="00F05DC7" w:rsidRPr="00784A05" w:rsidRDefault="00F05DC7" w:rsidP="00A3786D">
            <w:pPr>
              <w:pStyle w:val="Subtitle"/>
            </w:pPr>
            <w:r>
              <w:t>2018</w:t>
            </w:r>
            <w:r>
              <w:noBreakHyphen/>
              <w:t>19 GST payments and relativities</w:t>
            </w:r>
          </w:p>
        </w:tc>
      </w:tr>
      <w:tr w:rsidR="00F05DC7" w14:paraId="7954BACC"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693"/>
              <w:gridCol w:w="726"/>
              <w:gridCol w:w="726"/>
              <w:gridCol w:w="726"/>
              <w:gridCol w:w="726"/>
              <w:gridCol w:w="726"/>
              <w:gridCol w:w="726"/>
              <w:gridCol w:w="726"/>
              <w:gridCol w:w="730"/>
            </w:tblGrid>
            <w:tr w:rsidR="00F05DC7" w14:paraId="7954BA5D" w14:textId="77777777" w:rsidTr="001113B1">
              <w:trPr>
                <w:trHeight w:val="300"/>
                <w:tblHeader/>
              </w:trPr>
              <w:tc>
                <w:tcPr>
                  <w:tcW w:w="1584"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54" w14:textId="77777777" w:rsidR="00F05DC7" w:rsidRDefault="00F05DC7" w:rsidP="00A3786D">
                  <w:pPr>
                    <w:pStyle w:val="TableColumnHeading"/>
                  </w:pP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55" w14:textId="77777777" w:rsidR="00F05DC7" w:rsidRDefault="00F05DC7" w:rsidP="00A3786D">
                  <w:pPr>
                    <w:pStyle w:val="TableColumnHeading"/>
                    <w:ind w:right="57"/>
                  </w:pPr>
                  <w:r>
                    <w:t>NSW</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56" w14:textId="77777777" w:rsidR="00F05DC7" w:rsidRDefault="00F05DC7" w:rsidP="00A3786D">
                  <w:pPr>
                    <w:pStyle w:val="TableColumnHeading"/>
                    <w:ind w:right="57"/>
                  </w:pPr>
                  <w:r>
                    <w:t>Vic</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57" w14:textId="77777777" w:rsidR="00F05DC7" w:rsidRDefault="00F05DC7" w:rsidP="00A3786D">
                  <w:pPr>
                    <w:pStyle w:val="TableColumnHeading"/>
                    <w:ind w:right="57"/>
                  </w:pPr>
                  <w:r>
                    <w:t>Qld</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58" w14:textId="77777777" w:rsidR="00F05DC7" w:rsidRDefault="00F05DC7" w:rsidP="00A3786D">
                  <w:pPr>
                    <w:pStyle w:val="TableColumnHeading"/>
                    <w:ind w:right="57"/>
                  </w:pPr>
                  <w:r>
                    <w:t>WA</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59" w14:textId="77777777" w:rsidR="00F05DC7" w:rsidRDefault="00F05DC7" w:rsidP="00A3786D">
                  <w:pPr>
                    <w:pStyle w:val="TableColumnHeading"/>
                    <w:ind w:right="57"/>
                  </w:pPr>
                  <w:r>
                    <w:t>SA</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5A" w14:textId="77777777" w:rsidR="00F05DC7" w:rsidRDefault="00F05DC7" w:rsidP="00A3786D">
                  <w:pPr>
                    <w:pStyle w:val="TableColumnHeading"/>
                    <w:ind w:right="57"/>
                  </w:pPr>
                  <w:r>
                    <w:t>Tas</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5B" w14:textId="77777777" w:rsidR="00F05DC7" w:rsidRDefault="00F05DC7" w:rsidP="00A3786D">
                  <w:pPr>
                    <w:pStyle w:val="TableColumnHeading"/>
                    <w:ind w:right="57"/>
                  </w:pPr>
                  <w:r>
                    <w:t>ACT</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5C" w14:textId="77777777" w:rsidR="00F05DC7" w:rsidRDefault="00F05DC7" w:rsidP="00A3786D">
                  <w:pPr>
                    <w:pStyle w:val="TableColumnHeading"/>
                    <w:ind w:right="57"/>
                  </w:pPr>
                  <w:r>
                    <w:t>NT</w:t>
                  </w:r>
                </w:p>
              </w:tc>
            </w:tr>
            <w:tr w:rsidR="00F05DC7" w14:paraId="7954BA5F" w14:textId="77777777" w:rsidTr="00A3786D">
              <w:trPr>
                <w:trHeight w:val="283"/>
              </w:trPr>
              <w:tc>
                <w:tcPr>
                  <w:tcW w:w="5000" w:type="pct"/>
                  <w:gridSpan w:val="9"/>
                  <w:tcBorders>
                    <w:top w:val="nil"/>
                    <w:left w:val="nil"/>
                    <w:bottom w:val="nil"/>
                    <w:right w:val="nil"/>
                  </w:tcBorders>
                  <w:shd w:val="clear" w:color="auto" w:fill="auto"/>
                  <w:tcMar>
                    <w:left w:w="0" w:type="dxa"/>
                    <w:right w:w="0" w:type="dxa"/>
                  </w:tcMar>
                  <w:vAlign w:val="center"/>
                  <w:hideMark/>
                </w:tcPr>
                <w:p w14:paraId="7954BA5E"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Relativities </w:t>
                  </w:r>
                </w:p>
              </w:tc>
            </w:tr>
            <w:tr w:rsidR="00F05DC7" w14:paraId="7954BA69"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hideMark/>
                </w:tcPr>
                <w:p w14:paraId="7954BA60" w14:textId="77777777" w:rsidR="00F05DC7" w:rsidRPr="00791D71" w:rsidRDefault="00F05DC7" w:rsidP="00A3786D">
                  <w:pPr>
                    <w:pStyle w:val="TableBodyText"/>
                    <w:jc w:val="left"/>
                  </w:pPr>
                  <w:r w:rsidRPr="00791D71">
                    <w:t>Current approach</w:t>
                  </w:r>
                </w:p>
              </w:tc>
              <w:tc>
                <w:tcPr>
                  <w:tcW w:w="427" w:type="pct"/>
                  <w:tcBorders>
                    <w:top w:val="nil"/>
                    <w:left w:val="nil"/>
                    <w:bottom w:val="nil"/>
                    <w:right w:val="nil"/>
                  </w:tcBorders>
                  <w:shd w:val="clear" w:color="auto" w:fill="auto"/>
                  <w:tcMar>
                    <w:left w:w="0" w:type="dxa"/>
                    <w:right w:w="0" w:type="dxa"/>
                  </w:tcMar>
                  <w:vAlign w:val="center"/>
                  <w:hideMark/>
                </w:tcPr>
                <w:p w14:paraId="7954BA61" w14:textId="77777777" w:rsidR="00F05DC7" w:rsidRPr="00791D71" w:rsidRDefault="00F05DC7" w:rsidP="00A3786D">
                  <w:pPr>
                    <w:pStyle w:val="TableBodyText"/>
                  </w:pPr>
                  <w:r w:rsidRPr="00791D71">
                    <w:t>0.8</w:t>
                  </w:r>
                  <w:r>
                    <w:t>6</w:t>
                  </w:r>
                </w:p>
              </w:tc>
              <w:tc>
                <w:tcPr>
                  <w:tcW w:w="427" w:type="pct"/>
                  <w:tcBorders>
                    <w:top w:val="nil"/>
                    <w:left w:val="nil"/>
                    <w:bottom w:val="nil"/>
                    <w:right w:val="nil"/>
                  </w:tcBorders>
                  <w:shd w:val="clear" w:color="auto" w:fill="auto"/>
                  <w:tcMar>
                    <w:left w:w="0" w:type="dxa"/>
                    <w:right w:w="0" w:type="dxa"/>
                  </w:tcMar>
                  <w:vAlign w:val="center"/>
                  <w:hideMark/>
                </w:tcPr>
                <w:p w14:paraId="7954BA62" w14:textId="77777777" w:rsidR="00F05DC7" w:rsidRPr="00791D71" w:rsidRDefault="00F05DC7" w:rsidP="00A3786D">
                  <w:pPr>
                    <w:pStyle w:val="TableBodyText"/>
                  </w:pPr>
                  <w:r w:rsidRPr="00791D71">
                    <w:t>0.9</w:t>
                  </w:r>
                  <w:r>
                    <w:t>9</w:t>
                  </w:r>
                </w:p>
              </w:tc>
              <w:tc>
                <w:tcPr>
                  <w:tcW w:w="427" w:type="pct"/>
                  <w:tcBorders>
                    <w:top w:val="nil"/>
                    <w:left w:val="nil"/>
                    <w:bottom w:val="nil"/>
                    <w:right w:val="nil"/>
                  </w:tcBorders>
                  <w:shd w:val="clear" w:color="auto" w:fill="auto"/>
                  <w:tcMar>
                    <w:left w:w="0" w:type="dxa"/>
                    <w:right w:w="0" w:type="dxa"/>
                  </w:tcMar>
                  <w:vAlign w:val="center"/>
                  <w:hideMark/>
                </w:tcPr>
                <w:p w14:paraId="7954BA63" w14:textId="77777777" w:rsidR="00F05DC7" w:rsidRPr="00791D71" w:rsidRDefault="00F05DC7" w:rsidP="00A3786D">
                  <w:pPr>
                    <w:pStyle w:val="TableBodyText"/>
                  </w:pPr>
                  <w:r w:rsidRPr="00791D71">
                    <w:t>1.1</w:t>
                  </w:r>
                  <w:r>
                    <w:t>0</w:t>
                  </w:r>
                </w:p>
              </w:tc>
              <w:tc>
                <w:tcPr>
                  <w:tcW w:w="427" w:type="pct"/>
                  <w:tcBorders>
                    <w:top w:val="nil"/>
                    <w:left w:val="nil"/>
                    <w:bottom w:val="nil"/>
                    <w:right w:val="nil"/>
                  </w:tcBorders>
                  <w:shd w:val="clear" w:color="auto" w:fill="auto"/>
                  <w:tcMar>
                    <w:left w:w="0" w:type="dxa"/>
                    <w:right w:w="0" w:type="dxa"/>
                  </w:tcMar>
                  <w:vAlign w:val="center"/>
                  <w:hideMark/>
                </w:tcPr>
                <w:p w14:paraId="7954BA64" w14:textId="77777777" w:rsidR="00F05DC7" w:rsidRPr="00791D71" w:rsidRDefault="00F05DC7" w:rsidP="00A3786D">
                  <w:pPr>
                    <w:pStyle w:val="TableBodyText"/>
                  </w:pPr>
                  <w:r w:rsidRPr="00791D71">
                    <w:t>0.</w:t>
                  </w:r>
                  <w:r>
                    <w:t>47</w:t>
                  </w:r>
                </w:p>
              </w:tc>
              <w:tc>
                <w:tcPr>
                  <w:tcW w:w="427" w:type="pct"/>
                  <w:tcBorders>
                    <w:top w:val="nil"/>
                    <w:left w:val="nil"/>
                    <w:bottom w:val="nil"/>
                    <w:right w:val="nil"/>
                  </w:tcBorders>
                  <w:shd w:val="clear" w:color="auto" w:fill="auto"/>
                  <w:tcMar>
                    <w:left w:w="0" w:type="dxa"/>
                    <w:right w:w="0" w:type="dxa"/>
                  </w:tcMar>
                  <w:vAlign w:val="center"/>
                  <w:hideMark/>
                </w:tcPr>
                <w:p w14:paraId="7954BA65" w14:textId="77777777" w:rsidR="00F05DC7" w:rsidRPr="00791D71" w:rsidRDefault="00F05DC7" w:rsidP="00A3786D">
                  <w:pPr>
                    <w:pStyle w:val="TableBodyText"/>
                  </w:pPr>
                  <w:r w:rsidRPr="00791D71">
                    <w:t>1.4</w:t>
                  </w:r>
                  <w:r>
                    <w:t>8</w:t>
                  </w:r>
                </w:p>
              </w:tc>
              <w:tc>
                <w:tcPr>
                  <w:tcW w:w="427" w:type="pct"/>
                  <w:tcBorders>
                    <w:top w:val="nil"/>
                    <w:left w:val="nil"/>
                    <w:bottom w:val="nil"/>
                    <w:right w:val="nil"/>
                  </w:tcBorders>
                  <w:shd w:val="clear" w:color="auto" w:fill="auto"/>
                  <w:tcMar>
                    <w:left w:w="0" w:type="dxa"/>
                    <w:right w:w="0" w:type="dxa"/>
                  </w:tcMar>
                  <w:vAlign w:val="center"/>
                  <w:hideMark/>
                </w:tcPr>
                <w:p w14:paraId="7954BA66" w14:textId="77777777" w:rsidR="00F05DC7" w:rsidRPr="00791D71" w:rsidRDefault="00F05DC7" w:rsidP="00A3786D">
                  <w:pPr>
                    <w:pStyle w:val="TableBodyText"/>
                  </w:pPr>
                  <w:r w:rsidRPr="00791D71">
                    <w:t>1.</w:t>
                  </w:r>
                  <w:r>
                    <w:t>77</w:t>
                  </w:r>
                </w:p>
              </w:tc>
              <w:tc>
                <w:tcPr>
                  <w:tcW w:w="427" w:type="pct"/>
                  <w:tcBorders>
                    <w:top w:val="nil"/>
                    <w:left w:val="nil"/>
                    <w:bottom w:val="nil"/>
                    <w:right w:val="nil"/>
                  </w:tcBorders>
                  <w:shd w:val="clear" w:color="auto" w:fill="auto"/>
                  <w:tcMar>
                    <w:left w:w="0" w:type="dxa"/>
                    <w:right w:w="0" w:type="dxa"/>
                  </w:tcMar>
                  <w:vAlign w:val="center"/>
                  <w:hideMark/>
                </w:tcPr>
                <w:p w14:paraId="7954BA67" w14:textId="77777777" w:rsidR="00F05DC7" w:rsidRPr="00791D71" w:rsidRDefault="00F05DC7" w:rsidP="00A3786D">
                  <w:pPr>
                    <w:pStyle w:val="TableBodyText"/>
                  </w:pPr>
                  <w:r w:rsidRPr="00791D71">
                    <w:t>1.1</w:t>
                  </w:r>
                  <w:r>
                    <w:t>8</w:t>
                  </w:r>
                </w:p>
              </w:tc>
              <w:tc>
                <w:tcPr>
                  <w:tcW w:w="427" w:type="pct"/>
                  <w:tcBorders>
                    <w:top w:val="nil"/>
                    <w:left w:val="nil"/>
                    <w:bottom w:val="nil"/>
                    <w:right w:val="nil"/>
                  </w:tcBorders>
                  <w:shd w:val="clear" w:color="auto" w:fill="auto"/>
                  <w:tcMar>
                    <w:left w:w="0" w:type="dxa"/>
                    <w:right w:w="0" w:type="dxa"/>
                  </w:tcMar>
                  <w:vAlign w:val="center"/>
                  <w:hideMark/>
                </w:tcPr>
                <w:p w14:paraId="7954BA68" w14:textId="77777777" w:rsidR="00F05DC7" w:rsidRPr="00791D71" w:rsidRDefault="00F05DC7" w:rsidP="00A3786D">
                  <w:pPr>
                    <w:pStyle w:val="TableBodyText"/>
                  </w:pPr>
                  <w:r w:rsidRPr="00791D71">
                    <w:t>4.</w:t>
                  </w:r>
                  <w:r>
                    <w:t>26</w:t>
                  </w:r>
                </w:p>
              </w:tc>
            </w:tr>
            <w:tr w:rsidR="00F05DC7" w14:paraId="7954BA73"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hideMark/>
                </w:tcPr>
                <w:p w14:paraId="7954BA6A" w14:textId="77777777" w:rsidR="00F05DC7" w:rsidRPr="00791D71" w:rsidRDefault="00F05DC7" w:rsidP="00A3786D">
                  <w:pPr>
                    <w:pStyle w:val="TableBodyText"/>
                    <w:jc w:val="left"/>
                  </w:pPr>
                  <w:r w:rsidRPr="00791D71">
                    <w:t>G</w:t>
                  </w:r>
                  <w:r>
                    <w:t>ross state product</w:t>
                  </w:r>
                </w:p>
              </w:tc>
              <w:tc>
                <w:tcPr>
                  <w:tcW w:w="427" w:type="pct"/>
                  <w:tcBorders>
                    <w:top w:val="nil"/>
                    <w:left w:val="nil"/>
                    <w:bottom w:val="nil"/>
                    <w:right w:val="nil"/>
                  </w:tcBorders>
                  <w:shd w:val="clear" w:color="auto" w:fill="auto"/>
                  <w:tcMar>
                    <w:left w:w="0" w:type="dxa"/>
                    <w:right w:w="0" w:type="dxa"/>
                  </w:tcMar>
                  <w:vAlign w:val="center"/>
                  <w:hideMark/>
                </w:tcPr>
                <w:p w14:paraId="7954BA6B" w14:textId="77777777" w:rsidR="00F05DC7" w:rsidRPr="00791D71" w:rsidRDefault="00F05DC7" w:rsidP="00A3786D">
                  <w:pPr>
                    <w:pStyle w:val="TableBodyText"/>
                  </w:pPr>
                  <w:r>
                    <w:t>0.99</w:t>
                  </w:r>
                </w:p>
              </w:tc>
              <w:tc>
                <w:tcPr>
                  <w:tcW w:w="427" w:type="pct"/>
                  <w:tcBorders>
                    <w:top w:val="nil"/>
                    <w:left w:val="nil"/>
                    <w:bottom w:val="nil"/>
                    <w:right w:val="nil"/>
                  </w:tcBorders>
                  <w:shd w:val="clear" w:color="auto" w:fill="auto"/>
                  <w:tcMar>
                    <w:left w:w="0" w:type="dxa"/>
                    <w:right w:w="0" w:type="dxa"/>
                  </w:tcMar>
                  <w:vAlign w:val="center"/>
                  <w:hideMark/>
                </w:tcPr>
                <w:p w14:paraId="7954BA6C" w14:textId="77777777" w:rsidR="00F05DC7" w:rsidRPr="00791D71" w:rsidRDefault="00F05DC7" w:rsidP="00A3786D">
                  <w:pPr>
                    <w:pStyle w:val="TableBodyText"/>
                  </w:pPr>
                  <w:r w:rsidRPr="00791D71">
                    <w:t>1.</w:t>
                  </w:r>
                  <w:r>
                    <w:t>30</w:t>
                  </w:r>
                </w:p>
              </w:tc>
              <w:tc>
                <w:tcPr>
                  <w:tcW w:w="427" w:type="pct"/>
                  <w:tcBorders>
                    <w:top w:val="nil"/>
                    <w:left w:val="nil"/>
                    <w:bottom w:val="nil"/>
                    <w:right w:val="nil"/>
                  </w:tcBorders>
                  <w:shd w:val="clear" w:color="auto" w:fill="auto"/>
                  <w:tcMar>
                    <w:left w:w="0" w:type="dxa"/>
                    <w:right w:w="0" w:type="dxa"/>
                  </w:tcMar>
                  <w:vAlign w:val="center"/>
                  <w:hideMark/>
                </w:tcPr>
                <w:p w14:paraId="7954BA6D" w14:textId="77777777" w:rsidR="00F05DC7" w:rsidRPr="00791D71" w:rsidRDefault="00F05DC7" w:rsidP="00A3786D">
                  <w:pPr>
                    <w:pStyle w:val="TableBodyText"/>
                  </w:pPr>
                  <w:r w:rsidRPr="00791D71">
                    <w:t>1.</w:t>
                  </w:r>
                  <w:r>
                    <w:t>11</w:t>
                  </w:r>
                </w:p>
              </w:tc>
              <w:tc>
                <w:tcPr>
                  <w:tcW w:w="427" w:type="pct"/>
                  <w:tcBorders>
                    <w:top w:val="nil"/>
                    <w:left w:val="nil"/>
                    <w:bottom w:val="nil"/>
                    <w:right w:val="nil"/>
                  </w:tcBorders>
                  <w:shd w:val="clear" w:color="auto" w:fill="auto"/>
                  <w:tcMar>
                    <w:left w:w="0" w:type="dxa"/>
                    <w:right w:w="0" w:type="dxa"/>
                  </w:tcMar>
                  <w:vAlign w:val="center"/>
                  <w:hideMark/>
                </w:tcPr>
                <w:p w14:paraId="7954BA6E" w14:textId="77777777" w:rsidR="00F05DC7" w:rsidRPr="00791D71" w:rsidRDefault="00F05DC7" w:rsidP="00A3786D">
                  <w:pPr>
                    <w:pStyle w:val="TableBodyText"/>
                  </w:pPr>
                  <w:r w:rsidRPr="00791D71">
                    <w:t>0.1</w:t>
                  </w:r>
                  <w:r>
                    <w:t>3</w:t>
                  </w:r>
                </w:p>
              </w:tc>
              <w:tc>
                <w:tcPr>
                  <w:tcW w:w="427" w:type="pct"/>
                  <w:tcBorders>
                    <w:top w:val="nil"/>
                    <w:left w:val="nil"/>
                    <w:bottom w:val="nil"/>
                    <w:right w:val="nil"/>
                  </w:tcBorders>
                  <w:shd w:val="clear" w:color="auto" w:fill="auto"/>
                  <w:tcMar>
                    <w:left w:w="0" w:type="dxa"/>
                    <w:right w:w="0" w:type="dxa"/>
                  </w:tcMar>
                  <w:vAlign w:val="center"/>
                  <w:hideMark/>
                </w:tcPr>
                <w:p w14:paraId="7954BA6F" w14:textId="77777777" w:rsidR="00F05DC7" w:rsidRPr="00791D71" w:rsidRDefault="00F05DC7" w:rsidP="00A3786D">
                  <w:pPr>
                    <w:pStyle w:val="TableBodyText"/>
                  </w:pPr>
                  <w:r w:rsidRPr="00791D71">
                    <w:t>1.2</w:t>
                  </w:r>
                  <w:r>
                    <w:t>8</w:t>
                  </w:r>
                </w:p>
              </w:tc>
              <w:tc>
                <w:tcPr>
                  <w:tcW w:w="427" w:type="pct"/>
                  <w:tcBorders>
                    <w:top w:val="nil"/>
                    <w:left w:val="nil"/>
                    <w:bottom w:val="nil"/>
                    <w:right w:val="nil"/>
                  </w:tcBorders>
                  <w:shd w:val="clear" w:color="auto" w:fill="auto"/>
                  <w:tcMar>
                    <w:left w:w="0" w:type="dxa"/>
                    <w:right w:w="0" w:type="dxa"/>
                  </w:tcMar>
                  <w:vAlign w:val="center"/>
                  <w:hideMark/>
                </w:tcPr>
                <w:p w14:paraId="7954BA70" w14:textId="77777777" w:rsidR="00F05DC7" w:rsidRPr="00791D71" w:rsidRDefault="00F05DC7" w:rsidP="00A3786D">
                  <w:pPr>
                    <w:pStyle w:val="TableBodyText"/>
                  </w:pPr>
                  <w:r w:rsidRPr="00791D71">
                    <w:t>1.</w:t>
                  </w:r>
                  <w:r>
                    <w:t>32</w:t>
                  </w:r>
                </w:p>
              </w:tc>
              <w:tc>
                <w:tcPr>
                  <w:tcW w:w="427" w:type="pct"/>
                  <w:tcBorders>
                    <w:top w:val="nil"/>
                    <w:left w:val="nil"/>
                    <w:bottom w:val="nil"/>
                    <w:right w:val="nil"/>
                  </w:tcBorders>
                  <w:shd w:val="clear" w:color="auto" w:fill="auto"/>
                  <w:tcMar>
                    <w:left w:w="0" w:type="dxa"/>
                    <w:right w:w="0" w:type="dxa"/>
                  </w:tcMar>
                  <w:vAlign w:val="center"/>
                  <w:hideMark/>
                </w:tcPr>
                <w:p w14:paraId="7954BA71" w14:textId="77777777" w:rsidR="00F05DC7" w:rsidRPr="00791D71" w:rsidRDefault="00F05DC7" w:rsidP="00A3786D">
                  <w:pPr>
                    <w:pStyle w:val="TableBodyText"/>
                  </w:pPr>
                  <w:r w:rsidRPr="00791D71">
                    <w:t>0.</w:t>
                  </w:r>
                  <w:r>
                    <w:t>41</w:t>
                  </w:r>
                </w:p>
              </w:tc>
              <w:tc>
                <w:tcPr>
                  <w:tcW w:w="427" w:type="pct"/>
                  <w:tcBorders>
                    <w:top w:val="nil"/>
                    <w:left w:val="nil"/>
                    <w:bottom w:val="nil"/>
                    <w:right w:val="nil"/>
                  </w:tcBorders>
                  <w:shd w:val="clear" w:color="auto" w:fill="auto"/>
                  <w:tcMar>
                    <w:left w:w="0" w:type="dxa"/>
                    <w:right w:w="0" w:type="dxa"/>
                  </w:tcMar>
                  <w:vAlign w:val="center"/>
                  <w:hideMark/>
                </w:tcPr>
                <w:p w14:paraId="7954BA72" w14:textId="77777777" w:rsidR="00F05DC7" w:rsidRPr="00791D71" w:rsidRDefault="00F05DC7" w:rsidP="00A3786D">
                  <w:pPr>
                    <w:pStyle w:val="TableBodyText"/>
                  </w:pPr>
                  <w:r w:rsidRPr="00791D71">
                    <w:t>-0.</w:t>
                  </w:r>
                  <w:r>
                    <w:t>95</w:t>
                  </w:r>
                </w:p>
              </w:tc>
            </w:tr>
            <w:tr w:rsidR="00F05DC7" w14:paraId="7954BA7D"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hideMark/>
                </w:tcPr>
                <w:p w14:paraId="7954BA74" w14:textId="77777777" w:rsidR="00F05DC7" w:rsidRPr="00791D71" w:rsidRDefault="00F05DC7" w:rsidP="00A3786D">
                  <w:pPr>
                    <w:pStyle w:val="TableBodyText"/>
                    <w:jc w:val="left"/>
                  </w:pPr>
                  <w:r>
                    <w:t>Gross disposable income</w:t>
                  </w:r>
                </w:p>
              </w:tc>
              <w:tc>
                <w:tcPr>
                  <w:tcW w:w="427" w:type="pct"/>
                  <w:tcBorders>
                    <w:top w:val="nil"/>
                    <w:left w:val="nil"/>
                    <w:bottom w:val="nil"/>
                    <w:right w:val="nil"/>
                  </w:tcBorders>
                  <w:shd w:val="clear" w:color="auto" w:fill="auto"/>
                  <w:tcMar>
                    <w:left w:w="0" w:type="dxa"/>
                    <w:right w:w="0" w:type="dxa"/>
                  </w:tcMar>
                  <w:vAlign w:val="center"/>
                  <w:hideMark/>
                </w:tcPr>
                <w:p w14:paraId="7954BA75" w14:textId="77777777" w:rsidR="00F05DC7" w:rsidRPr="00791D71" w:rsidRDefault="00F05DC7" w:rsidP="00A3786D">
                  <w:pPr>
                    <w:pStyle w:val="TableBodyText"/>
                  </w:pPr>
                  <w:r w:rsidRPr="00791D71">
                    <w:t>0.8</w:t>
                  </w:r>
                  <w:r>
                    <w:t>9</w:t>
                  </w:r>
                </w:p>
              </w:tc>
              <w:tc>
                <w:tcPr>
                  <w:tcW w:w="427" w:type="pct"/>
                  <w:tcBorders>
                    <w:top w:val="nil"/>
                    <w:left w:val="nil"/>
                    <w:bottom w:val="nil"/>
                    <w:right w:val="nil"/>
                  </w:tcBorders>
                  <w:shd w:val="clear" w:color="auto" w:fill="auto"/>
                  <w:tcMar>
                    <w:left w:w="0" w:type="dxa"/>
                    <w:right w:w="0" w:type="dxa"/>
                  </w:tcMar>
                  <w:vAlign w:val="center"/>
                  <w:hideMark/>
                </w:tcPr>
                <w:p w14:paraId="7954BA76" w14:textId="77777777" w:rsidR="00F05DC7" w:rsidRPr="00791D71" w:rsidRDefault="00F05DC7" w:rsidP="00A3786D">
                  <w:pPr>
                    <w:pStyle w:val="TableBodyText"/>
                  </w:pPr>
                  <w:r w:rsidRPr="00791D71">
                    <w:t>1.</w:t>
                  </w:r>
                  <w:r>
                    <w:t>31</w:t>
                  </w:r>
                </w:p>
              </w:tc>
              <w:tc>
                <w:tcPr>
                  <w:tcW w:w="427" w:type="pct"/>
                  <w:tcBorders>
                    <w:top w:val="nil"/>
                    <w:left w:val="nil"/>
                    <w:bottom w:val="nil"/>
                    <w:right w:val="nil"/>
                  </w:tcBorders>
                  <w:shd w:val="clear" w:color="auto" w:fill="auto"/>
                  <w:tcMar>
                    <w:left w:w="0" w:type="dxa"/>
                    <w:right w:w="0" w:type="dxa"/>
                  </w:tcMar>
                  <w:vAlign w:val="center"/>
                  <w:hideMark/>
                </w:tcPr>
                <w:p w14:paraId="7954BA77" w14:textId="77777777" w:rsidR="00F05DC7" w:rsidRPr="00791D71" w:rsidRDefault="00F05DC7" w:rsidP="00A3786D">
                  <w:pPr>
                    <w:pStyle w:val="TableBodyText"/>
                  </w:pPr>
                  <w:r w:rsidRPr="00791D71">
                    <w:t>1.1</w:t>
                  </w:r>
                  <w:r>
                    <w:t>0</w:t>
                  </w:r>
                </w:p>
              </w:tc>
              <w:tc>
                <w:tcPr>
                  <w:tcW w:w="427" w:type="pct"/>
                  <w:tcBorders>
                    <w:top w:val="nil"/>
                    <w:left w:val="nil"/>
                    <w:bottom w:val="nil"/>
                    <w:right w:val="nil"/>
                  </w:tcBorders>
                  <w:shd w:val="clear" w:color="auto" w:fill="auto"/>
                  <w:tcMar>
                    <w:left w:w="0" w:type="dxa"/>
                    <w:right w:w="0" w:type="dxa"/>
                  </w:tcMar>
                  <w:vAlign w:val="center"/>
                  <w:hideMark/>
                </w:tcPr>
                <w:p w14:paraId="7954BA78" w14:textId="77777777" w:rsidR="00F05DC7" w:rsidRPr="00791D71" w:rsidRDefault="00F05DC7" w:rsidP="00A3786D">
                  <w:pPr>
                    <w:pStyle w:val="TableBodyText"/>
                  </w:pPr>
                  <w:r w:rsidRPr="00791D71">
                    <w:t>0.</w:t>
                  </w:r>
                  <w:r>
                    <w:t>70</w:t>
                  </w:r>
                </w:p>
              </w:tc>
              <w:tc>
                <w:tcPr>
                  <w:tcW w:w="427" w:type="pct"/>
                  <w:tcBorders>
                    <w:top w:val="nil"/>
                    <w:left w:val="nil"/>
                    <w:bottom w:val="nil"/>
                    <w:right w:val="nil"/>
                  </w:tcBorders>
                  <w:shd w:val="clear" w:color="auto" w:fill="auto"/>
                  <w:tcMar>
                    <w:left w:w="0" w:type="dxa"/>
                    <w:right w:w="0" w:type="dxa"/>
                  </w:tcMar>
                  <w:vAlign w:val="center"/>
                  <w:hideMark/>
                </w:tcPr>
                <w:p w14:paraId="7954BA79" w14:textId="77777777" w:rsidR="00F05DC7" w:rsidRPr="00791D71" w:rsidRDefault="00F05DC7" w:rsidP="00A3786D">
                  <w:pPr>
                    <w:pStyle w:val="TableBodyText"/>
                  </w:pPr>
                  <w:r w:rsidRPr="00791D71">
                    <w:t>1.1</w:t>
                  </w:r>
                  <w:r>
                    <w:t>4</w:t>
                  </w:r>
                </w:p>
              </w:tc>
              <w:tc>
                <w:tcPr>
                  <w:tcW w:w="427" w:type="pct"/>
                  <w:tcBorders>
                    <w:top w:val="nil"/>
                    <w:left w:val="nil"/>
                    <w:bottom w:val="nil"/>
                    <w:right w:val="nil"/>
                  </w:tcBorders>
                  <w:shd w:val="clear" w:color="auto" w:fill="auto"/>
                  <w:tcMar>
                    <w:left w:w="0" w:type="dxa"/>
                    <w:right w:w="0" w:type="dxa"/>
                  </w:tcMar>
                  <w:vAlign w:val="center"/>
                  <w:hideMark/>
                </w:tcPr>
                <w:p w14:paraId="7954BA7A" w14:textId="77777777" w:rsidR="00F05DC7" w:rsidRPr="00791D71" w:rsidRDefault="00F05DC7" w:rsidP="00A3786D">
                  <w:pPr>
                    <w:pStyle w:val="TableBodyText"/>
                  </w:pPr>
                  <w:r w:rsidRPr="00791D71">
                    <w:t>1.</w:t>
                  </w:r>
                  <w:r>
                    <w:t>17</w:t>
                  </w:r>
                </w:p>
              </w:tc>
              <w:tc>
                <w:tcPr>
                  <w:tcW w:w="427" w:type="pct"/>
                  <w:tcBorders>
                    <w:top w:val="nil"/>
                    <w:left w:val="nil"/>
                    <w:bottom w:val="nil"/>
                    <w:right w:val="nil"/>
                  </w:tcBorders>
                  <w:shd w:val="clear" w:color="auto" w:fill="auto"/>
                  <w:tcMar>
                    <w:left w:w="0" w:type="dxa"/>
                    <w:right w:w="0" w:type="dxa"/>
                  </w:tcMar>
                  <w:vAlign w:val="center"/>
                  <w:hideMark/>
                </w:tcPr>
                <w:p w14:paraId="7954BA7B" w14:textId="77777777" w:rsidR="00F05DC7" w:rsidRPr="00791D71" w:rsidRDefault="00F05DC7" w:rsidP="00A3786D">
                  <w:pPr>
                    <w:pStyle w:val="TableBodyText"/>
                  </w:pPr>
                  <w:r w:rsidRPr="00791D71">
                    <w:t>-0.</w:t>
                  </w:r>
                  <w:r>
                    <w:t>82</w:t>
                  </w:r>
                </w:p>
              </w:tc>
              <w:tc>
                <w:tcPr>
                  <w:tcW w:w="427" w:type="pct"/>
                  <w:tcBorders>
                    <w:top w:val="nil"/>
                    <w:left w:val="nil"/>
                    <w:bottom w:val="nil"/>
                    <w:right w:val="nil"/>
                  </w:tcBorders>
                  <w:shd w:val="clear" w:color="auto" w:fill="auto"/>
                  <w:tcMar>
                    <w:left w:w="0" w:type="dxa"/>
                    <w:right w:w="0" w:type="dxa"/>
                  </w:tcMar>
                  <w:vAlign w:val="center"/>
                  <w:hideMark/>
                </w:tcPr>
                <w:p w14:paraId="7954BA7C" w14:textId="77777777" w:rsidR="00F05DC7" w:rsidRPr="00791D71" w:rsidRDefault="00F05DC7" w:rsidP="00A3786D">
                  <w:pPr>
                    <w:pStyle w:val="TableBodyText"/>
                  </w:pPr>
                  <w:r w:rsidRPr="00791D71">
                    <w:t>-0.</w:t>
                  </w:r>
                  <w:r>
                    <w:t>62</w:t>
                  </w:r>
                </w:p>
              </w:tc>
            </w:tr>
            <w:tr w:rsidR="00F05DC7" w14:paraId="7954BA7F" w14:textId="77777777" w:rsidTr="00A3786D">
              <w:trPr>
                <w:trHeight w:val="283"/>
              </w:trPr>
              <w:tc>
                <w:tcPr>
                  <w:tcW w:w="5000" w:type="pct"/>
                  <w:gridSpan w:val="9"/>
                  <w:tcBorders>
                    <w:top w:val="nil"/>
                    <w:left w:val="nil"/>
                    <w:bottom w:val="nil"/>
                    <w:right w:val="nil"/>
                  </w:tcBorders>
                  <w:shd w:val="clear" w:color="auto" w:fill="auto"/>
                  <w:tcMar>
                    <w:left w:w="0" w:type="dxa"/>
                    <w:right w:w="0" w:type="dxa"/>
                  </w:tcMar>
                  <w:vAlign w:val="center"/>
                  <w:hideMark/>
                </w:tcPr>
                <w:p w14:paraId="7954BA7E"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$m</w:t>
                  </w:r>
                  <w:r w:rsidRPr="00791D71">
                    <w:rPr>
                      <w:rFonts w:asciiTheme="minorHAnsi" w:hAnsiTheme="minorHAnsi" w:cstheme="minorHAnsi"/>
                      <w:b/>
                      <w:bCs/>
                      <w:color w:val="000000"/>
                      <w:sz w:val="18"/>
                      <w:szCs w:val="18"/>
                    </w:rPr>
                    <w:t>)</w:t>
                  </w:r>
                </w:p>
              </w:tc>
            </w:tr>
            <w:tr w:rsidR="00F05DC7" w14:paraId="7954BA89"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hideMark/>
                </w:tcPr>
                <w:p w14:paraId="7954BA80" w14:textId="77777777" w:rsidR="00F05DC7" w:rsidRPr="00791D71" w:rsidRDefault="00F05DC7" w:rsidP="00A3786D">
                  <w:pPr>
                    <w:pStyle w:val="TableBodyText"/>
                    <w:jc w:val="left"/>
                  </w:pPr>
                  <w:r w:rsidRPr="00791D71">
                    <w:t>G</w:t>
                  </w:r>
                  <w:r>
                    <w:t>ross state product</w:t>
                  </w:r>
                </w:p>
              </w:tc>
              <w:tc>
                <w:tcPr>
                  <w:tcW w:w="427" w:type="pct"/>
                  <w:tcBorders>
                    <w:top w:val="nil"/>
                    <w:left w:val="nil"/>
                    <w:bottom w:val="nil"/>
                    <w:right w:val="nil"/>
                  </w:tcBorders>
                  <w:shd w:val="clear" w:color="auto" w:fill="auto"/>
                  <w:tcMar>
                    <w:left w:w="0" w:type="dxa"/>
                    <w:right w:w="0" w:type="dxa"/>
                  </w:tcMar>
                  <w:vAlign w:val="center"/>
                  <w:hideMark/>
                </w:tcPr>
                <w:p w14:paraId="7954BA81" w14:textId="77777777" w:rsidR="00F05DC7" w:rsidRPr="00791D71" w:rsidRDefault="00F05DC7" w:rsidP="00A3786D">
                  <w:pPr>
                    <w:pStyle w:val="TableBodyText"/>
                  </w:pPr>
                  <w:r>
                    <w:t>2 812</w:t>
                  </w:r>
                </w:p>
              </w:tc>
              <w:tc>
                <w:tcPr>
                  <w:tcW w:w="427" w:type="pct"/>
                  <w:tcBorders>
                    <w:top w:val="nil"/>
                    <w:left w:val="nil"/>
                    <w:bottom w:val="nil"/>
                    <w:right w:val="nil"/>
                  </w:tcBorders>
                  <w:shd w:val="clear" w:color="auto" w:fill="auto"/>
                  <w:tcMar>
                    <w:left w:w="0" w:type="dxa"/>
                    <w:right w:w="0" w:type="dxa"/>
                  </w:tcMar>
                  <w:vAlign w:val="center"/>
                  <w:hideMark/>
                </w:tcPr>
                <w:p w14:paraId="7954BA82" w14:textId="77777777" w:rsidR="00F05DC7" w:rsidRPr="00791D71" w:rsidRDefault="00F05DC7" w:rsidP="00A3786D">
                  <w:pPr>
                    <w:pStyle w:val="TableBodyText"/>
                  </w:pPr>
                  <w:r w:rsidRPr="00791D71">
                    <w:t>5</w:t>
                  </w:r>
                  <w:r>
                    <w:t> 225</w:t>
                  </w:r>
                </w:p>
              </w:tc>
              <w:tc>
                <w:tcPr>
                  <w:tcW w:w="427" w:type="pct"/>
                  <w:tcBorders>
                    <w:top w:val="nil"/>
                    <w:left w:val="nil"/>
                    <w:bottom w:val="nil"/>
                    <w:right w:val="nil"/>
                  </w:tcBorders>
                  <w:shd w:val="clear" w:color="auto" w:fill="auto"/>
                  <w:tcMar>
                    <w:left w:w="0" w:type="dxa"/>
                    <w:right w:w="0" w:type="dxa"/>
                  </w:tcMar>
                  <w:vAlign w:val="center"/>
                  <w:hideMark/>
                </w:tcPr>
                <w:p w14:paraId="7954BA83" w14:textId="77777777" w:rsidR="00F05DC7" w:rsidRPr="00791D71" w:rsidRDefault="00F05DC7" w:rsidP="00A3786D">
                  <w:pPr>
                    <w:pStyle w:val="TableBodyText"/>
                  </w:pPr>
                  <w:r>
                    <w:t>93</w:t>
                  </w:r>
                </w:p>
              </w:tc>
              <w:tc>
                <w:tcPr>
                  <w:tcW w:w="427" w:type="pct"/>
                  <w:tcBorders>
                    <w:top w:val="nil"/>
                    <w:left w:val="nil"/>
                    <w:bottom w:val="nil"/>
                    <w:right w:val="nil"/>
                  </w:tcBorders>
                  <w:shd w:val="clear" w:color="auto" w:fill="auto"/>
                  <w:tcMar>
                    <w:left w:w="0" w:type="dxa"/>
                    <w:right w:w="0" w:type="dxa"/>
                  </w:tcMar>
                  <w:vAlign w:val="center"/>
                  <w:hideMark/>
                </w:tcPr>
                <w:p w14:paraId="7954BA84" w14:textId="77777777" w:rsidR="00F05DC7" w:rsidRPr="00791D71" w:rsidRDefault="00F05DC7" w:rsidP="00A3786D">
                  <w:pPr>
                    <w:pStyle w:val="TableBodyText"/>
                  </w:pPr>
                  <w:r>
                    <w:t>-2 347</w:t>
                  </w:r>
                </w:p>
              </w:tc>
              <w:tc>
                <w:tcPr>
                  <w:tcW w:w="427" w:type="pct"/>
                  <w:tcBorders>
                    <w:top w:val="nil"/>
                    <w:left w:val="nil"/>
                    <w:bottom w:val="nil"/>
                    <w:right w:val="nil"/>
                  </w:tcBorders>
                  <w:shd w:val="clear" w:color="auto" w:fill="auto"/>
                  <w:tcMar>
                    <w:left w:w="0" w:type="dxa"/>
                    <w:right w:w="0" w:type="dxa"/>
                  </w:tcMar>
                  <w:vAlign w:val="center"/>
                  <w:hideMark/>
                </w:tcPr>
                <w:p w14:paraId="7954BA85" w14:textId="77777777" w:rsidR="00F05DC7" w:rsidRPr="00791D71" w:rsidRDefault="00F05DC7" w:rsidP="00A3786D">
                  <w:pPr>
                    <w:pStyle w:val="TableBodyText"/>
                  </w:pPr>
                  <w:r>
                    <w:t>-926</w:t>
                  </w:r>
                </w:p>
              </w:tc>
              <w:tc>
                <w:tcPr>
                  <w:tcW w:w="427" w:type="pct"/>
                  <w:tcBorders>
                    <w:top w:val="nil"/>
                    <w:left w:val="nil"/>
                    <w:bottom w:val="nil"/>
                    <w:right w:val="nil"/>
                  </w:tcBorders>
                  <w:shd w:val="clear" w:color="auto" w:fill="auto"/>
                  <w:tcMar>
                    <w:left w:w="0" w:type="dxa"/>
                    <w:right w:w="0" w:type="dxa"/>
                  </w:tcMar>
                  <w:vAlign w:val="center"/>
                  <w:hideMark/>
                </w:tcPr>
                <w:p w14:paraId="7954BA86" w14:textId="77777777" w:rsidR="00F05DC7" w:rsidRPr="00791D71" w:rsidRDefault="00F05DC7" w:rsidP="00A3786D">
                  <w:pPr>
                    <w:pStyle w:val="TableBodyText"/>
                  </w:pPr>
                  <w:r>
                    <w:t>-620</w:t>
                  </w:r>
                </w:p>
              </w:tc>
              <w:tc>
                <w:tcPr>
                  <w:tcW w:w="427" w:type="pct"/>
                  <w:tcBorders>
                    <w:top w:val="nil"/>
                    <w:left w:val="nil"/>
                    <w:bottom w:val="nil"/>
                    <w:right w:val="nil"/>
                  </w:tcBorders>
                  <w:shd w:val="clear" w:color="auto" w:fill="auto"/>
                  <w:tcMar>
                    <w:left w:w="0" w:type="dxa"/>
                    <w:right w:w="0" w:type="dxa"/>
                  </w:tcMar>
                  <w:vAlign w:val="center"/>
                  <w:hideMark/>
                </w:tcPr>
                <w:p w14:paraId="7954BA87" w14:textId="77777777" w:rsidR="00F05DC7" w:rsidRPr="00791D71" w:rsidRDefault="00F05DC7" w:rsidP="00A3786D">
                  <w:pPr>
                    <w:pStyle w:val="TableBodyText"/>
                  </w:pPr>
                  <w:r>
                    <w:t>-845</w:t>
                  </w:r>
                </w:p>
              </w:tc>
              <w:tc>
                <w:tcPr>
                  <w:tcW w:w="427" w:type="pct"/>
                  <w:tcBorders>
                    <w:top w:val="nil"/>
                    <w:left w:val="nil"/>
                    <w:bottom w:val="nil"/>
                    <w:right w:val="nil"/>
                  </w:tcBorders>
                  <w:shd w:val="clear" w:color="auto" w:fill="auto"/>
                  <w:tcMar>
                    <w:left w:w="0" w:type="dxa"/>
                    <w:right w:w="0" w:type="dxa"/>
                  </w:tcMar>
                  <w:vAlign w:val="center"/>
                  <w:hideMark/>
                </w:tcPr>
                <w:p w14:paraId="7954BA88" w14:textId="77777777" w:rsidR="00F05DC7" w:rsidRPr="00791D71" w:rsidRDefault="00F05DC7" w:rsidP="00A3786D">
                  <w:pPr>
                    <w:pStyle w:val="TableBodyText"/>
                  </w:pPr>
                  <w:r w:rsidRPr="00791D71">
                    <w:t>-3</w:t>
                  </w:r>
                  <w:r>
                    <w:t> 367</w:t>
                  </w:r>
                </w:p>
              </w:tc>
            </w:tr>
            <w:tr w:rsidR="00F05DC7" w14:paraId="7954BA93"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hideMark/>
                </w:tcPr>
                <w:p w14:paraId="7954BA8A" w14:textId="77777777" w:rsidR="00F05DC7" w:rsidRPr="00791D71" w:rsidRDefault="00F05DC7" w:rsidP="00A3786D">
                  <w:pPr>
                    <w:pStyle w:val="TableBodyText"/>
                    <w:jc w:val="left"/>
                  </w:pPr>
                  <w:r>
                    <w:t>Gross disposable income</w:t>
                  </w:r>
                </w:p>
              </w:tc>
              <w:tc>
                <w:tcPr>
                  <w:tcW w:w="427" w:type="pct"/>
                  <w:tcBorders>
                    <w:top w:val="nil"/>
                    <w:left w:val="nil"/>
                    <w:bottom w:val="nil"/>
                    <w:right w:val="nil"/>
                  </w:tcBorders>
                  <w:shd w:val="clear" w:color="auto" w:fill="auto"/>
                  <w:tcMar>
                    <w:left w:w="0" w:type="dxa"/>
                    <w:right w:w="0" w:type="dxa"/>
                  </w:tcMar>
                  <w:vAlign w:val="center"/>
                  <w:hideMark/>
                </w:tcPr>
                <w:p w14:paraId="7954BA8B" w14:textId="77777777" w:rsidR="00F05DC7" w:rsidRPr="00791D71" w:rsidRDefault="00F05DC7" w:rsidP="00A3786D">
                  <w:pPr>
                    <w:pStyle w:val="TableBodyText"/>
                  </w:pPr>
                  <w:r>
                    <w:t>653</w:t>
                  </w:r>
                </w:p>
              </w:tc>
              <w:tc>
                <w:tcPr>
                  <w:tcW w:w="427" w:type="pct"/>
                  <w:tcBorders>
                    <w:top w:val="nil"/>
                    <w:left w:val="nil"/>
                    <w:bottom w:val="nil"/>
                    <w:right w:val="nil"/>
                  </w:tcBorders>
                  <w:shd w:val="clear" w:color="auto" w:fill="auto"/>
                  <w:tcMar>
                    <w:left w:w="0" w:type="dxa"/>
                    <w:right w:w="0" w:type="dxa"/>
                  </w:tcMar>
                  <w:vAlign w:val="center"/>
                  <w:hideMark/>
                </w:tcPr>
                <w:p w14:paraId="7954BA8C" w14:textId="77777777" w:rsidR="00F05DC7" w:rsidRPr="00791D71" w:rsidRDefault="00F05DC7" w:rsidP="00A3786D">
                  <w:pPr>
                    <w:pStyle w:val="TableBodyText"/>
                  </w:pPr>
                  <w:r>
                    <w:t>5 492</w:t>
                  </w:r>
                </w:p>
              </w:tc>
              <w:tc>
                <w:tcPr>
                  <w:tcW w:w="427" w:type="pct"/>
                  <w:tcBorders>
                    <w:top w:val="nil"/>
                    <w:left w:val="nil"/>
                    <w:bottom w:val="nil"/>
                    <w:right w:val="nil"/>
                  </w:tcBorders>
                  <w:shd w:val="clear" w:color="auto" w:fill="auto"/>
                  <w:tcMar>
                    <w:left w:w="0" w:type="dxa"/>
                    <w:right w:w="0" w:type="dxa"/>
                  </w:tcMar>
                  <w:vAlign w:val="center"/>
                  <w:hideMark/>
                </w:tcPr>
                <w:p w14:paraId="7954BA8D" w14:textId="77777777" w:rsidR="00F05DC7" w:rsidRPr="00791D71" w:rsidRDefault="00F05DC7" w:rsidP="00A3786D">
                  <w:pPr>
                    <w:pStyle w:val="TableBodyText"/>
                  </w:pPr>
                  <w:r>
                    <w:t>43</w:t>
                  </w:r>
                </w:p>
              </w:tc>
              <w:tc>
                <w:tcPr>
                  <w:tcW w:w="427" w:type="pct"/>
                  <w:tcBorders>
                    <w:top w:val="nil"/>
                    <w:left w:val="nil"/>
                    <w:bottom w:val="nil"/>
                    <w:right w:val="nil"/>
                  </w:tcBorders>
                  <w:shd w:val="clear" w:color="auto" w:fill="auto"/>
                  <w:tcMar>
                    <w:left w:w="0" w:type="dxa"/>
                    <w:right w:w="0" w:type="dxa"/>
                  </w:tcMar>
                  <w:vAlign w:val="center"/>
                  <w:hideMark/>
                </w:tcPr>
                <w:p w14:paraId="7954BA8E" w14:textId="77777777" w:rsidR="00F05DC7" w:rsidRPr="00791D71" w:rsidRDefault="00F05DC7" w:rsidP="00A3786D">
                  <w:pPr>
                    <w:pStyle w:val="TableBodyText"/>
                  </w:pPr>
                  <w:r>
                    <w:t>1 545</w:t>
                  </w:r>
                </w:p>
              </w:tc>
              <w:tc>
                <w:tcPr>
                  <w:tcW w:w="427" w:type="pct"/>
                  <w:tcBorders>
                    <w:top w:val="nil"/>
                    <w:left w:val="nil"/>
                    <w:bottom w:val="nil"/>
                    <w:right w:val="nil"/>
                  </w:tcBorders>
                  <w:shd w:val="clear" w:color="auto" w:fill="auto"/>
                  <w:tcMar>
                    <w:left w:w="0" w:type="dxa"/>
                    <w:right w:w="0" w:type="dxa"/>
                  </w:tcMar>
                  <w:vAlign w:val="center"/>
                  <w:hideMark/>
                </w:tcPr>
                <w:p w14:paraId="7954BA8F" w14:textId="77777777" w:rsidR="00F05DC7" w:rsidRPr="00791D71" w:rsidRDefault="00F05DC7" w:rsidP="00A3786D">
                  <w:pPr>
                    <w:pStyle w:val="TableBodyText"/>
                  </w:pPr>
                  <w:r w:rsidRPr="00791D71">
                    <w:t>-1</w:t>
                  </w:r>
                  <w:r>
                    <w:t> 556</w:t>
                  </w:r>
                </w:p>
              </w:tc>
              <w:tc>
                <w:tcPr>
                  <w:tcW w:w="427" w:type="pct"/>
                  <w:tcBorders>
                    <w:top w:val="nil"/>
                    <w:left w:val="nil"/>
                    <w:bottom w:val="nil"/>
                    <w:right w:val="nil"/>
                  </w:tcBorders>
                  <w:shd w:val="clear" w:color="auto" w:fill="auto"/>
                  <w:tcMar>
                    <w:left w:w="0" w:type="dxa"/>
                    <w:right w:w="0" w:type="dxa"/>
                  </w:tcMar>
                  <w:vAlign w:val="center"/>
                  <w:hideMark/>
                </w:tcPr>
                <w:p w14:paraId="7954BA90" w14:textId="77777777" w:rsidR="00F05DC7" w:rsidRPr="00791D71" w:rsidRDefault="00F05DC7" w:rsidP="00A3786D">
                  <w:pPr>
                    <w:pStyle w:val="TableBodyText"/>
                  </w:pPr>
                  <w:r>
                    <w:t>-829</w:t>
                  </w:r>
                </w:p>
              </w:tc>
              <w:tc>
                <w:tcPr>
                  <w:tcW w:w="427" w:type="pct"/>
                  <w:tcBorders>
                    <w:top w:val="nil"/>
                    <w:left w:val="nil"/>
                    <w:bottom w:val="nil"/>
                    <w:right w:val="nil"/>
                  </w:tcBorders>
                  <w:shd w:val="clear" w:color="auto" w:fill="auto"/>
                  <w:tcMar>
                    <w:left w:w="0" w:type="dxa"/>
                    <w:right w:w="0" w:type="dxa"/>
                  </w:tcMar>
                  <w:vAlign w:val="center"/>
                  <w:hideMark/>
                </w:tcPr>
                <w:p w14:paraId="7954BA91" w14:textId="77777777" w:rsidR="00F05DC7" w:rsidRPr="00791D71" w:rsidRDefault="00F05DC7" w:rsidP="00A3786D">
                  <w:pPr>
                    <w:pStyle w:val="TableBodyText"/>
                  </w:pPr>
                  <w:r>
                    <w:t>-2 194</w:t>
                  </w:r>
                </w:p>
              </w:tc>
              <w:tc>
                <w:tcPr>
                  <w:tcW w:w="427" w:type="pct"/>
                  <w:tcBorders>
                    <w:top w:val="nil"/>
                    <w:left w:val="nil"/>
                    <w:bottom w:val="nil"/>
                    <w:right w:val="nil"/>
                  </w:tcBorders>
                  <w:shd w:val="clear" w:color="auto" w:fill="auto"/>
                  <w:tcMar>
                    <w:left w:w="0" w:type="dxa"/>
                    <w:right w:w="0" w:type="dxa"/>
                  </w:tcMar>
                  <w:vAlign w:val="center"/>
                  <w:hideMark/>
                </w:tcPr>
                <w:p w14:paraId="7954BA92" w14:textId="77777777" w:rsidR="00F05DC7" w:rsidRPr="00791D71" w:rsidRDefault="00F05DC7" w:rsidP="00A3786D">
                  <w:pPr>
                    <w:pStyle w:val="TableBodyText"/>
                  </w:pPr>
                  <w:r>
                    <w:t>-3 154</w:t>
                  </w:r>
                </w:p>
              </w:tc>
            </w:tr>
            <w:tr w:rsidR="00F05DC7" w14:paraId="7954BA95" w14:textId="77777777" w:rsidTr="00A3786D">
              <w:trPr>
                <w:trHeight w:val="283"/>
              </w:trPr>
              <w:tc>
                <w:tcPr>
                  <w:tcW w:w="5000" w:type="pct"/>
                  <w:gridSpan w:val="9"/>
                  <w:tcBorders>
                    <w:top w:val="nil"/>
                    <w:left w:val="nil"/>
                    <w:bottom w:val="nil"/>
                    <w:right w:val="nil"/>
                  </w:tcBorders>
                  <w:shd w:val="clear" w:color="auto" w:fill="auto"/>
                  <w:tcMar>
                    <w:left w:w="0" w:type="dxa"/>
                    <w:right w:w="0" w:type="dxa"/>
                  </w:tcMar>
                  <w:vAlign w:val="center"/>
                  <w:hideMark/>
                </w:tcPr>
                <w:p w14:paraId="7954BA94"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$pc</w:t>
                  </w:r>
                  <w:r w:rsidRPr="00791D71">
                    <w:rPr>
                      <w:rFonts w:asciiTheme="minorHAnsi" w:hAnsiTheme="minorHAnsi" w:cstheme="minorHAnsi"/>
                      <w:b/>
                      <w:bCs/>
                      <w:color w:val="000000"/>
                      <w:sz w:val="18"/>
                      <w:szCs w:val="18"/>
                    </w:rPr>
                    <w:t>)</w:t>
                  </w:r>
                </w:p>
              </w:tc>
            </w:tr>
            <w:tr w:rsidR="00F05DC7" w14:paraId="7954BA9F"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hideMark/>
                </w:tcPr>
                <w:p w14:paraId="7954BA96" w14:textId="77777777" w:rsidR="00F05DC7" w:rsidRPr="00791D71" w:rsidRDefault="00F05DC7" w:rsidP="00A3786D">
                  <w:pPr>
                    <w:pStyle w:val="TableBodyText"/>
                    <w:jc w:val="left"/>
                  </w:pPr>
                  <w:r w:rsidRPr="00791D71">
                    <w:t>G</w:t>
                  </w:r>
                  <w:r>
                    <w:t>ross state product</w:t>
                  </w:r>
                </w:p>
              </w:tc>
              <w:tc>
                <w:tcPr>
                  <w:tcW w:w="427" w:type="pct"/>
                  <w:tcBorders>
                    <w:top w:val="nil"/>
                    <w:left w:val="nil"/>
                    <w:bottom w:val="nil"/>
                    <w:right w:val="nil"/>
                  </w:tcBorders>
                  <w:shd w:val="clear" w:color="auto" w:fill="auto"/>
                  <w:tcMar>
                    <w:left w:w="0" w:type="dxa"/>
                    <w:right w:w="0" w:type="dxa"/>
                  </w:tcMar>
                  <w:vAlign w:val="center"/>
                  <w:hideMark/>
                </w:tcPr>
                <w:p w14:paraId="7954BA97" w14:textId="77777777" w:rsidR="00F05DC7" w:rsidRPr="00791D71" w:rsidRDefault="00F05DC7" w:rsidP="00A3786D">
                  <w:pPr>
                    <w:pStyle w:val="TableBodyText"/>
                  </w:pPr>
                  <w:r>
                    <w:t>350</w:t>
                  </w:r>
                </w:p>
              </w:tc>
              <w:tc>
                <w:tcPr>
                  <w:tcW w:w="427" w:type="pct"/>
                  <w:tcBorders>
                    <w:top w:val="nil"/>
                    <w:left w:val="nil"/>
                    <w:bottom w:val="nil"/>
                    <w:right w:val="nil"/>
                  </w:tcBorders>
                  <w:shd w:val="clear" w:color="auto" w:fill="auto"/>
                  <w:tcMar>
                    <w:left w:w="0" w:type="dxa"/>
                    <w:right w:w="0" w:type="dxa"/>
                  </w:tcMar>
                  <w:vAlign w:val="center"/>
                  <w:hideMark/>
                </w:tcPr>
                <w:p w14:paraId="7954BA98" w14:textId="77777777" w:rsidR="00F05DC7" w:rsidRPr="00791D71" w:rsidRDefault="00F05DC7" w:rsidP="00A3786D">
                  <w:pPr>
                    <w:pStyle w:val="TableBodyText"/>
                  </w:pPr>
                  <w:r>
                    <w:t>804</w:t>
                  </w:r>
                </w:p>
              </w:tc>
              <w:tc>
                <w:tcPr>
                  <w:tcW w:w="427" w:type="pct"/>
                  <w:tcBorders>
                    <w:top w:val="nil"/>
                    <w:left w:val="nil"/>
                    <w:bottom w:val="nil"/>
                    <w:right w:val="nil"/>
                  </w:tcBorders>
                  <w:shd w:val="clear" w:color="auto" w:fill="auto"/>
                  <w:tcMar>
                    <w:left w:w="0" w:type="dxa"/>
                    <w:right w:w="0" w:type="dxa"/>
                  </w:tcMar>
                  <w:vAlign w:val="center"/>
                  <w:hideMark/>
                </w:tcPr>
                <w:p w14:paraId="7954BA99" w14:textId="77777777" w:rsidR="00F05DC7" w:rsidRPr="00791D71" w:rsidRDefault="00F05DC7" w:rsidP="00A3786D">
                  <w:pPr>
                    <w:pStyle w:val="TableBodyText"/>
                  </w:pPr>
                  <w:r>
                    <w:t>19</w:t>
                  </w:r>
                </w:p>
              </w:tc>
              <w:tc>
                <w:tcPr>
                  <w:tcW w:w="427" w:type="pct"/>
                  <w:tcBorders>
                    <w:top w:val="nil"/>
                    <w:left w:val="nil"/>
                    <w:bottom w:val="nil"/>
                    <w:right w:val="nil"/>
                  </w:tcBorders>
                  <w:shd w:val="clear" w:color="auto" w:fill="auto"/>
                  <w:tcMar>
                    <w:left w:w="0" w:type="dxa"/>
                    <w:right w:w="0" w:type="dxa"/>
                  </w:tcMar>
                  <w:vAlign w:val="center"/>
                  <w:hideMark/>
                </w:tcPr>
                <w:p w14:paraId="7954BA9A" w14:textId="77777777" w:rsidR="00F05DC7" w:rsidRPr="00791D71" w:rsidRDefault="00F05DC7" w:rsidP="00A3786D">
                  <w:pPr>
                    <w:pStyle w:val="TableBodyText"/>
                  </w:pPr>
                  <w:r>
                    <w:t>-906</w:t>
                  </w:r>
                </w:p>
              </w:tc>
              <w:tc>
                <w:tcPr>
                  <w:tcW w:w="427" w:type="pct"/>
                  <w:tcBorders>
                    <w:top w:val="nil"/>
                    <w:left w:val="nil"/>
                    <w:bottom w:val="nil"/>
                    <w:right w:val="nil"/>
                  </w:tcBorders>
                  <w:shd w:val="clear" w:color="auto" w:fill="auto"/>
                  <w:tcMar>
                    <w:left w:w="0" w:type="dxa"/>
                    <w:right w:w="0" w:type="dxa"/>
                  </w:tcMar>
                  <w:vAlign w:val="center"/>
                  <w:hideMark/>
                </w:tcPr>
                <w:p w14:paraId="7954BA9B" w14:textId="77777777" w:rsidR="00F05DC7" w:rsidRPr="00791D71" w:rsidRDefault="00F05DC7" w:rsidP="00A3786D">
                  <w:pPr>
                    <w:pStyle w:val="TableBodyText"/>
                  </w:pPr>
                  <w:r>
                    <w:t>-532</w:t>
                  </w:r>
                </w:p>
              </w:tc>
              <w:tc>
                <w:tcPr>
                  <w:tcW w:w="427" w:type="pct"/>
                  <w:tcBorders>
                    <w:top w:val="nil"/>
                    <w:left w:val="nil"/>
                    <w:bottom w:val="nil"/>
                    <w:right w:val="nil"/>
                  </w:tcBorders>
                  <w:shd w:val="clear" w:color="auto" w:fill="auto"/>
                  <w:tcMar>
                    <w:left w:w="0" w:type="dxa"/>
                    <w:right w:w="0" w:type="dxa"/>
                  </w:tcMar>
                  <w:vAlign w:val="center"/>
                  <w:hideMark/>
                </w:tcPr>
                <w:p w14:paraId="7954BA9C" w14:textId="77777777" w:rsidR="00F05DC7" w:rsidRPr="00791D71" w:rsidRDefault="00F05DC7" w:rsidP="00A3786D">
                  <w:pPr>
                    <w:pStyle w:val="TableBodyText"/>
                  </w:pPr>
                  <w:r w:rsidRPr="00791D71">
                    <w:t>-</w:t>
                  </w:r>
                  <w:r>
                    <w:t>1 182</w:t>
                  </w:r>
                </w:p>
              </w:tc>
              <w:tc>
                <w:tcPr>
                  <w:tcW w:w="427" w:type="pct"/>
                  <w:tcBorders>
                    <w:top w:val="nil"/>
                    <w:left w:val="nil"/>
                    <w:bottom w:val="nil"/>
                    <w:right w:val="nil"/>
                  </w:tcBorders>
                  <w:shd w:val="clear" w:color="auto" w:fill="auto"/>
                  <w:tcMar>
                    <w:left w:w="0" w:type="dxa"/>
                    <w:right w:w="0" w:type="dxa"/>
                  </w:tcMar>
                  <w:vAlign w:val="center"/>
                  <w:hideMark/>
                </w:tcPr>
                <w:p w14:paraId="7954BA9D" w14:textId="77777777" w:rsidR="00F05DC7" w:rsidRPr="00791D71" w:rsidRDefault="00F05DC7" w:rsidP="00A3786D">
                  <w:pPr>
                    <w:pStyle w:val="TableBodyText"/>
                  </w:pPr>
                  <w:r w:rsidRPr="00791D71">
                    <w:t>-2</w:t>
                  </w:r>
                  <w:r>
                    <w:t> 018</w:t>
                  </w:r>
                </w:p>
              </w:tc>
              <w:tc>
                <w:tcPr>
                  <w:tcW w:w="427" w:type="pct"/>
                  <w:tcBorders>
                    <w:top w:val="nil"/>
                    <w:left w:val="nil"/>
                    <w:bottom w:val="nil"/>
                    <w:right w:val="nil"/>
                  </w:tcBorders>
                  <w:shd w:val="clear" w:color="auto" w:fill="auto"/>
                  <w:tcMar>
                    <w:left w:w="0" w:type="dxa"/>
                    <w:right w:w="0" w:type="dxa"/>
                  </w:tcMar>
                  <w:vAlign w:val="center"/>
                  <w:hideMark/>
                </w:tcPr>
                <w:p w14:paraId="7954BA9E" w14:textId="77777777" w:rsidR="00F05DC7" w:rsidRPr="00791D71" w:rsidRDefault="00F05DC7" w:rsidP="00A3786D">
                  <w:pPr>
                    <w:pStyle w:val="TableBodyText"/>
                  </w:pPr>
                  <w:r>
                    <w:noBreakHyphen/>
                  </w:r>
                  <w:r w:rsidRPr="00791D71">
                    <w:t>13</w:t>
                  </w:r>
                  <w:r>
                    <w:t> 665</w:t>
                  </w:r>
                </w:p>
              </w:tc>
            </w:tr>
            <w:tr w:rsidR="00F05DC7" w14:paraId="7954BAA9"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hideMark/>
                </w:tcPr>
                <w:p w14:paraId="7954BAA0" w14:textId="77777777" w:rsidR="00F05DC7" w:rsidRPr="00791D71" w:rsidRDefault="00F05DC7" w:rsidP="00A3786D">
                  <w:pPr>
                    <w:pStyle w:val="TableBodyText"/>
                    <w:jc w:val="left"/>
                  </w:pPr>
                  <w:r>
                    <w:t>Gross disposable income</w:t>
                  </w:r>
                </w:p>
              </w:tc>
              <w:tc>
                <w:tcPr>
                  <w:tcW w:w="427" w:type="pct"/>
                  <w:tcBorders>
                    <w:top w:val="nil"/>
                    <w:left w:val="nil"/>
                    <w:bottom w:val="nil"/>
                    <w:right w:val="nil"/>
                  </w:tcBorders>
                  <w:shd w:val="clear" w:color="auto" w:fill="auto"/>
                  <w:tcMar>
                    <w:left w:w="0" w:type="dxa"/>
                    <w:right w:w="0" w:type="dxa"/>
                  </w:tcMar>
                  <w:vAlign w:val="center"/>
                  <w:hideMark/>
                </w:tcPr>
                <w:p w14:paraId="7954BAA1" w14:textId="77777777" w:rsidR="00F05DC7" w:rsidRPr="00791D71" w:rsidRDefault="00F05DC7" w:rsidP="00A3786D">
                  <w:pPr>
                    <w:pStyle w:val="TableBodyText"/>
                  </w:pPr>
                  <w:r>
                    <w:t>81</w:t>
                  </w:r>
                </w:p>
              </w:tc>
              <w:tc>
                <w:tcPr>
                  <w:tcW w:w="427" w:type="pct"/>
                  <w:tcBorders>
                    <w:top w:val="nil"/>
                    <w:left w:val="nil"/>
                    <w:bottom w:val="nil"/>
                    <w:right w:val="nil"/>
                  </w:tcBorders>
                  <w:shd w:val="clear" w:color="auto" w:fill="auto"/>
                  <w:tcMar>
                    <w:left w:w="0" w:type="dxa"/>
                    <w:right w:w="0" w:type="dxa"/>
                  </w:tcMar>
                  <w:vAlign w:val="center"/>
                  <w:hideMark/>
                </w:tcPr>
                <w:p w14:paraId="7954BAA2" w14:textId="77777777" w:rsidR="00F05DC7" w:rsidRPr="00791D71" w:rsidRDefault="00F05DC7" w:rsidP="00A3786D">
                  <w:pPr>
                    <w:pStyle w:val="TableBodyText"/>
                  </w:pPr>
                  <w:r>
                    <w:t>845</w:t>
                  </w:r>
                </w:p>
              </w:tc>
              <w:tc>
                <w:tcPr>
                  <w:tcW w:w="427" w:type="pct"/>
                  <w:tcBorders>
                    <w:top w:val="nil"/>
                    <w:left w:val="nil"/>
                    <w:bottom w:val="nil"/>
                    <w:right w:val="nil"/>
                  </w:tcBorders>
                  <w:shd w:val="clear" w:color="auto" w:fill="auto"/>
                  <w:tcMar>
                    <w:left w:w="0" w:type="dxa"/>
                    <w:right w:w="0" w:type="dxa"/>
                  </w:tcMar>
                  <w:vAlign w:val="center"/>
                  <w:hideMark/>
                </w:tcPr>
                <w:p w14:paraId="7954BAA3" w14:textId="77777777" w:rsidR="00F05DC7" w:rsidRPr="00791D71" w:rsidRDefault="00F05DC7" w:rsidP="00A3786D">
                  <w:pPr>
                    <w:pStyle w:val="TableBodyText"/>
                  </w:pPr>
                  <w:r>
                    <w:t>9</w:t>
                  </w:r>
                </w:p>
              </w:tc>
              <w:tc>
                <w:tcPr>
                  <w:tcW w:w="427" w:type="pct"/>
                  <w:tcBorders>
                    <w:top w:val="nil"/>
                    <w:left w:val="nil"/>
                    <w:bottom w:val="nil"/>
                    <w:right w:val="nil"/>
                  </w:tcBorders>
                  <w:shd w:val="clear" w:color="auto" w:fill="auto"/>
                  <w:tcMar>
                    <w:left w:w="0" w:type="dxa"/>
                    <w:right w:w="0" w:type="dxa"/>
                  </w:tcMar>
                  <w:vAlign w:val="center"/>
                  <w:hideMark/>
                </w:tcPr>
                <w:p w14:paraId="7954BAA4" w14:textId="77777777" w:rsidR="00F05DC7" w:rsidRPr="00791D71" w:rsidRDefault="00F05DC7" w:rsidP="00A3786D">
                  <w:pPr>
                    <w:pStyle w:val="TableBodyText"/>
                  </w:pPr>
                  <w:r>
                    <w:t>590</w:t>
                  </w:r>
                </w:p>
              </w:tc>
              <w:tc>
                <w:tcPr>
                  <w:tcW w:w="427" w:type="pct"/>
                  <w:tcBorders>
                    <w:top w:val="nil"/>
                    <w:left w:val="nil"/>
                    <w:bottom w:val="nil"/>
                    <w:right w:val="nil"/>
                  </w:tcBorders>
                  <w:shd w:val="clear" w:color="auto" w:fill="auto"/>
                  <w:tcMar>
                    <w:left w:w="0" w:type="dxa"/>
                    <w:right w:w="0" w:type="dxa"/>
                  </w:tcMar>
                  <w:vAlign w:val="center"/>
                  <w:hideMark/>
                </w:tcPr>
                <w:p w14:paraId="7954BAA5" w14:textId="77777777" w:rsidR="00F05DC7" w:rsidRPr="00791D71" w:rsidRDefault="00F05DC7" w:rsidP="00A3786D">
                  <w:pPr>
                    <w:pStyle w:val="TableBodyText"/>
                  </w:pPr>
                  <w:r>
                    <w:t>-894</w:t>
                  </w:r>
                </w:p>
              </w:tc>
              <w:tc>
                <w:tcPr>
                  <w:tcW w:w="427" w:type="pct"/>
                  <w:tcBorders>
                    <w:top w:val="nil"/>
                    <w:left w:val="nil"/>
                    <w:bottom w:val="nil"/>
                    <w:right w:val="nil"/>
                  </w:tcBorders>
                  <w:shd w:val="clear" w:color="auto" w:fill="auto"/>
                  <w:tcMar>
                    <w:left w:w="0" w:type="dxa"/>
                    <w:right w:w="0" w:type="dxa"/>
                  </w:tcMar>
                  <w:vAlign w:val="center"/>
                  <w:hideMark/>
                </w:tcPr>
                <w:p w14:paraId="7954BAA6" w14:textId="77777777" w:rsidR="00F05DC7" w:rsidRPr="00791D71" w:rsidRDefault="00F05DC7" w:rsidP="00A3786D">
                  <w:pPr>
                    <w:pStyle w:val="TableBodyText"/>
                  </w:pPr>
                  <w:r w:rsidRPr="00791D71">
                    <w:t>-1</w:t>
                  </w:r>
                  <w:r>
                    <w:t> 5</w:t>
                  </w:r>
                  <w:r w:rsidRPr="00791D71">
                    <w:t>8</w:t>
                  </w:r>
                  <w:r>
                    <w:t>1</w:t>
                  </w:r>
                </w:p>
              </w:tc>
              <w:tc>
                <w:tcPr>
                  <w:tcW w:w="427" w:type="pct"/>
                  <w:tcBorders>
                    <w:top w:val="nil"/>
                    <w:left w:val="nil"/>
                    <w:bottom w:val="nil"/>
                    <w:right w:val="nil"/>
                  </w:tcBorders>
                  <w:shd w:val="clear" w:color="auto" w:fill="auto"/>
                  <w:tcMar>
                    <w:left w:w="0" w:type="dxa"/>
                    <w:right w:w="0" w:type="dxa"/>
                  </w:tcMar>
                  <w:vAlign w:val="center"/>
                  <w:hideMark/>
                </w:tcPr>
                <w:p w14:paraId="7954BAA7" w14:textId="77777777" w:rsidR="00F05DC7" w:rsidRPr="00791D71" w:rsidRDefault="00F05DC7" w:rsidP="00A3786D">
                  <w:pPr>
                    <w:pStyle w:val="TableBodyText"/>
                  </w:pPr>
                  <w:r>
                    <w:t>-5 241</w:t>
                  </w:r>
                </w:p>
              </w:tc>
              <w:tc>
                <w:tcPr>
                  <w:tcW w:w="427" w:type="pct"/>
                  <w:tcBorders>
                    <w:top w:val="nil"/>
                    <w:left w:val="nil"/>
                    <w:bottom w:val="nil"/>
                    <w:right w:val="nil"/>
                  </w:tcBorders>
                  <w:shd w:val="clear" w:color="auto" w:fill="auto"/>
                  <w:tcMar>
                    <w:left w:w="0" w:type="dxa"/>
                    <w:right w:w="0" w:type="dxa"/>
                  </w:tcMar>
                  <w:vAlign w:val="center"/>
                  <w:hideMark/>
                </w:tcPr>
                <w:p w14:paraId="7954BAA8" w14:textId="77777777" w:rsidR="00F05DC7" w:rsidRPr="00791D71" w:rsidRDefault="00F05DC7" w:rsidP="00A3786D">
                  <w:pPr>
                    <w:pStyle w:val="TableBodyText"/>
                  </w:pPr>
                  <w:r w:rsidRPr="00791D71">
                    <w:t>-</w:t>
                  </w:r>
                  <w:r>
                    <w:noBreakHyphen/>
                  </w:r>
                  <w:r w:rsidRPr="00791D71">
                    <w:t>2</w:t>
                  </w:r>
                  <w:r>
                    <w:t> 801</w:t>
                  </w:r>
                </w:p>
              </w:tc>
            </w:tr>
            <w:tr w:rsidR="00F05DC7" w:rsidRPr="00791D71" w14:paraId="7954BAAB" w14:textId="77777777" w:rsidTr="00A3786D">
              <w:trPr>
                <w:trHeight w:val="283"/>
              </w:trPr>
              <w:tc>
                <w:tcPr>
                  <w:tcW w:w="5000" w:type="pct"/>
                  <w:gridSpan w:val="9"/>
                  <w:tcBorders>
                    <w:top w:val="nil"/>
                    <w:left w:val="nil"/>
                    <w:bottom w:val="nil"/>
                    <w:right w:val="nil"/>
                  </w:tcBorders>
                  <w:shd w:val="clear" w:color="auto" w:fill="auto"/>
                  <w:tcMar>
                    <w:left w:w="0" w:type="dxa"/>
                    <w:right w:w="0" w:type="dxa"/>
                  </w:tcMar>
                  <w:vAlign w:val="center"/>
                </w:tcPr>
                <w:p w14:paraId="7954BAAA" w14:textId="77777777" w:rsidR="00F05DC7" w:rsidRPr="00791D71" w:rsidRDefault="00F05DC7" w:rsidP="00A3786D">
                  <w:pPr>
                    <w:spacing w:before="80"/>
                    <w:rPr>
                      <w:rFonts w:asciiTheme="minorHAnsi" w:hAnsiTheme="minorHAnsi" w:cstheme="minorHAnsi"/>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payments (% of State revenue</w:t>
                  </w:r>
                  <w:r w:rsidRPr="00791D71">
                    <w:rPr>
                      <w:rFonts w:asciiTheme="minorHAnsi" w:hAnsiTheme="minorHAnsi" w:cstheme="minorHAnsi"/>
                      <w:b/>
                      <w:bCs/>
                      <w:color w:val="000000"/>
                      <w:sz w:val="18"/>
                      <w:szCs w:val="18"/>
                    </w:rPr>
                    <w:t>)</w:t>
                  </w:r>
                </w:p>
              </w:tc>
            </w:tr>
            <w:tr w:rsidR="00F05DC7" w:rsidRPr="00791D71" w14:paraId="7954BAB5"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hideMark/>
                </w:tcPr>
                <w:p w14:paraId="7954BAAC" w14:textId="77777777" w:rsidR="00F05DC7" w:rsidRPr="00791D71" w:rsidRDefault="00F05DC7" w:rsidP="00A3786D">
                  <w:pPr>
                    <w:pStyle w:val="TableBodyText"/>
                    <w:jc w:val="left"/>
                  </w:pPr>
                  <w:r w:rsidRPr="00791D71">
                    <w:t>G</w:t>
                  </w:r>
                  <w:r>
                    <w:t>ross state product</w:t>
                  </w:r>
                </w:p>
              </w:tc>
              <w:tc>
                <w:tcPr>
                  <w:tcW w:w="427" w:type="pct"/>
                  <w:tcBorders>
                    <w:top w:val="nil"/>
                    <w:left w:val="nil"/>
                    <w:bottom w:val="nil"/>
                    <w:right w:val="nil"/>
                  </w:tcBorders>
                  <w:shd w:val="clear" w:color="auto" w:fill="auto"/>
                  <w:tcMar>
                    <w:left w:w="0" w:type="dxa"/>
                    <w:right w:w="0" w:type="dxa"/>
                  </w:tcMar>
                  <w:vAlign w:val="bottom"/>
                </w:tcPr>
                <w:p w14:paraId="7954BAAD" w14:textId="77777777" w:rsidR="00F05DC7" w:rsidRPr="00AB587D" w:rsidRDefault="00F05DC7" w:rsidP="00A3786D">
                  <w:pPr>
                    <w:pStyle w:val="TableBodyText"/>
                  </w:pPr>
                  <w:r w:rsidRPr="009F79BF">
                    <w:t>3.</w:t>
                  </w:r>
                  <w:r>
                    <w:t>5</w:t>
                  </w:r>
                </w:p>
              </w:tc>
              <w:tc>
                <w:tcPr>
                  <w:tcW w:w="427" w:type="pct"/>
                  <w:tcBorders>
                    <w:top w:val="nil"/>
                    <w:left w:val="nil"/>
                    <w:bottom w:val="nil"/>
                    <w:right w:val="nil"/>
                  </w:tcBorders>
                  <w:shd w:val="clear" w:color="auto" w:fill="auto"/>
                  <w:tcMar>
                    <w:left w:w="0" w:type="dxa"/>
                    <w:right w:w="0" w:type="dxa"/>
                  </w:tcMar>
                  <w:vAlign w:val="bottom"/>
                </w:tcPr>
                <w:p w14:paraId="7954BAAE" w14:textId="77777777" w:rsidR="00F05DC7" w:rsidRPr="00AB587D" w:rsidRDefault="00F05DC7" w:rsidP="00A3786D">
                  <w:pPr>
                    <w:pStyle w:val="TableBodyText"/>
                  </w:pPr>
                  <w:r>
                    <w:t>7.7</w:t>
                  </w:r>
                </w:p>
              </w:tc>
              <w:tc>
                <w:tcPr>
                  <w:tcW w:w="427" w:type="pct"/>
                  <w:tcBorders>
                    <w:top w:val="nil"/>
                    <w:left w:val="nil"/>
                    <w:bottom w:val="nil"/>
                    <w:right w:val="nil"/>
                  </w:tcBorders>
                  <w:shd w:val="clear" w:color="auto" w:fill="auto"/>
                  <w:tcMar>
                    <w:left w:w="0" w:type="dxa"/>
                    <w:right w:w="0" w:type="dxa"/>
                  </w:tcMar>
                  <w:vAlign w:val="bottom"/>
                </w:tcPr>
                <w:p w14:paraId="7954BAAF" w14:textId="77777777" w:rsidR="00F05DC7" w:rsidRPr="00AB587D" w:rsidRDefault="00F05DC7" w:rsidP="00A3786D">
                  <w:pPr>
                    <w:pStyle w:val="TableBodyText"/>
                  </w:pPr>
                  <w:r>
                    <w:t>0.2</w:t>
                  </w:r>
                </w:p>
              </w:tc>
              <w:tc>
                <w:tcPr>
                  <w:tcW w:w="427" w:type="pct"/>
                  <w:tcBorders>
                    <w:top w:val="nil"/>
                    <w:left w:val="nil"/>
                    <w:bottom w:val="nil"/>
                    <w:right w:val="nil"/>
                  </w:tcBorders>
                  <w:shd w:val="clear" w:color="auto" w:fill="auto"/>
                  <w:tcMar>
                    <w:left w:w="0" w:type="dxa"/>
                    <w:right w:w="0" w:type="dxa"/>
                  </w:tcMar>
                  <w:vAlign w:val="bottom"/>
                </w:tcPr>
                <w:p w14:paraId="7954BAB0" w14:textId="77777777" w:rsidR="00F05DC7" w:rsidRPr="00AB587D" w:rsidRDefault="00F05DC7" w:rsidP="00A3786D">
                  <w:pPr>
                    <w:pStyle w:val="TableBodyText"/>
                  </w:pPr>
                  <w:r w:rsidRPr="009F79BF">
                    <w:t>-</w:t>
                  </w:r>
                  <w:r>
                    <w:t>8.0</w:t>
                  </w:r>
                </w:p>
              </w:tc>
              <w:tc>
                <w:tcPr>
                  <w:tcW w:w="427" w:type="pct"/>
                  <w:tcBorders>
                    <w:top w:val="nil"/>
                    <w:left w:val="nil"/>
                    <w:bottom w:val="nil"/>
                    <w:right w:val="nil"/>
                  </w:tcBorders>
                  <w:shd w:val="clear" w:color="auto" w:fill="auto"/>
                  <w:tcMar>
                    <w:left w:w="0" w:type="dxa"/>
                    <w:right w:w="0" w:type="dxa"/>
                  </w:tcMar>
                  <w:vAlign w:val="bottom"/>
                </w:tcPr>
                <w:p w14:paraId="7954BAB1" w14:textId="77777777" w:rsidR="00F05DC7" w:rsidRPr="00AB587D" w:rsidRDefault="00F05DC7" w:rsidP="00A3786D">
                  <w:pPr>
                    <w:pStyle w:val="TableBodyText"/>
                  </w:pPr>
                  <w:r w:rsidRPr="009F79BF">
                    <w:t>-</w:t>
                  </w:r>
                  <w:r>
                    <w:t>4</w:t>
                  </w:r>
                  <w:r w:rsidRPr="009F79BF">
                    <w:t>.</w:t>
                  </w:r>
                  <w:r>
                    <w:t>8</w:t>
                  </w:r>
                </w:p>
              </w:tc>
              <w:tc>
                <w:tcPr>
                  <w:tcW w:w="427" w:type="pct"/>
                  <w:tcBorders>
                    <w:top w:val="nil"/>
                    <w:left w:val="nil"/>
                    <w:bottom w:val="nil"/>
                    <w:right w:val="nil"/>
                  </w:tcBorders>
                  <w:shd w:val="clear" w:color="auto" w:fill="auto"/>
                  <w:tcMar>
                    <w:left w:w="0" w:type="dxa"/>
                    <w:right w:w="0" w:type="dxa"/>
                  </w:tcMar>
                  <w:vAlign w:val="bottom"/>
                </w:tcPr>
                <w:p w14:paraId="7954BAB2" w14:textId="77777777" w:rsidR="00F05DC7" w:rsidRPr="00AB587D" w:rsidRDefault="00F05DC7" w:rsidP="00A3786D">
                  <w:pPr>
                    <w:pStyle w:val="TableBodyText"/>
                  </w:pPr>
                  <w:r w:rsidRPr="009F79BF">
                    <w:t>-</w:t>
                  </w:r>
                  <w:r>
                    <w:t>10</w:t>
                  </w:r>
                  <w:r w:rsidRPr="009F79BF">
                    <w:t>.</w:t>
                  </w:r>
                  <w:r>
                    <w:t>4</w:t>
                  </w:r>
                </w:p>
              </w:tc>
              <w:tc>
                <w:tcPr>
                  <w:tcW w:w="427" w:type="pct"/>
                  <w:tcBorders>
                    <w:top w:val="nil"/>
                    <w:left w:val="nil"/>
                    <w:bottom w:val="nil"/>
                    <w:right w:val="nil"/>
                  </w:tcBorders>
                  <w:shd w:val="clear" w:color="auto" w:fill="auto"/>
                  <w:tcMar>
                    <w:left w:w="0" w:type="dxa"/>
                    <w:right w:w="0" w:type="dxa"/>
                  </w:tcMar>
                  <w:vAlign w:val="bottom"/>
                </w:tcPr>
                <w:p w14:paraId="7954BAB3" w14:textId="77777777" w:rsidR="00F05DC7" w:rsidRPr="00AB587D" w:rsidRDefault="00F05DC7" w:rsidP="00A3786D">
                  <w:pPr>
                    <w:pStyle w:val="TableBodyText"/>
                  </w:pPr>
                  <w:r w:rsidRPr="009F79BF">
                    <w:t>-</w:t>
                  </w:r>
                  <w:r>
                    <w:t>15.1</w:t>
                  </w:r>
                </w:p>
              </w:tc>
              <w:tc>
                <w:tcPr>
                  <w:tcW w:w="427" w:type="pct"/>
                  <w:tcBorders>
                    <w:top w:val="nil"/>
                    <w:left w:val="nil"/>
                    <w:bottom w:val="nil"/>
                    <w:right w:val="nil"/>
                  </w:tcBorders>
                  <w:shd w:val="clear" w:color="auto" w:fill="auto"/>
                  <w:tcMar>
                    <w:left w:w="0" w:type="dxa"/>
                    <w:right w:w="0" w:type="dxa"/>
                  </w:tcMar>
                  <w:vAlign w:val="bottom"/>
                </w:tcPr>
                <w:p w14:paraId="7954BAB4" w14:textId="77777777" w:rsidR="00F05DC7" w:rsidRPr="00AB587D" w:rsidRDefault="00F05DC7" w:rsidP="00A3786D">
                  <w:pPr>
                    <w:pStyle w:val="TableBodyText"/>
                  </w:pPr>
                  <w:r w:rsidRPr="009F79BF">
                    <w:t>-</w:t>
                  </w:r>
                  <w:r>
                    <w:t>62.5</w:t>
                  </w:r>
                </w:p>
              </w:tc>
            </w:tr>
            <w:tr w:rsidR="00F05DC7" w:rsidRPr="00791D71" w14:paraId="7954BABF"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hideMark/>
                </w:tcPr>
                <w:p w14:paraId="7954BAB6" w14:textId="77777777" w:rsidR="00F05DC7" w:rsidRPr="00791D71" w:rsidRDefault="00F05DC7" w:rsidP="00A3786D">
                  <w:pPr>
                    <w:pStyle w:val="TableBodyText"/>
                    <w:jc w:val="left"/>
                  </w:pPr>
                  <w:r>
                    <w:t>Gross disposable income</w:t>
                  </w:r>
                </w:p>
              </w:tc>
              <w:tc>
                <w:tcPr>
                  <w:tcW w:w="427" w:type="pct"/>
                  <w:tcBorders>
                    <w:top w:val="nil"/>
                    <w:left w:val="nil"/>
                    <w:bottom w:val="nil"/>
                    <w:right w:val="nil"/>
                  </w:tcBorders>
                  <w:shd w:val="clear" w:color="auto" w:fill="auto"/>
                  <w:tcMar>
                    <w:left w:w="0" w:type="dxa"/>
                    <w:right w:w="0" w:type="dxa"/>
                  </w:tcMar>
                  <w:vAlign w:val="bottom"/>
                </w:tcPr>
                <w:p w14:paraId="7954BAB7" w14:textId="77777777" w:rsidR="00F05DC7" w:rsidRPr="00AB587D" w:rsidRDefault="00F05DC7" w:rsidP="00A3786D">
                  <w:pPr>
                    <w:pStyle w:val="TableBodyText"/>
                  </w:pPr>
                  <w:r w:rsidRPr="009F79BF">
                    <w:t>0.</w:t>
                  </w:r>
                  <w:r>
                    <w:t>8</w:t>
                  </w:r>
                </w:p>
              </w:tc>
              <w:tc>
                <w:tcPr>
                  <w:tcW w:w="427" w:type="pct"/>
                  <w:tcBorders>
                    <w:top w:val="nil"/>
                    <w:left w:val="nil"/>
                    <w:bottom w:val="nil"/>
                    <w:right w:val="nil"/>
                  </w:tcBorders>
                  <w:shd w:val="clear" w:color="auto" w:fill="auto"/>
                  <w:tcMar>
                    <w:left w:w="0" w:type="dxa"/>
                    <w:right w:w="0" w:type="dxa"/>
                  </w:tcMar>
                  <w:vAlign w:val="bottom"/>
                </w:tcPr>
                <w:p w14:paraId="7954BAB8" w14:textId="77777777" w:rsidR="00F05DC7" w:rsidRPr="00AB587D" w:rsidRDefault="00F05DC7" w:rsidP="00A3786D">
                  <w:pPr>
                    <w:pStyle w:val="TableBodyText"/>
                  </w:pPr>
                  <w:r>
                    <w:t>8</w:t>
                  </w:r>
                  <w:r w:rsidRPr="009F79BF">
                    <w:t>.</w:t>
                  </w:r>
                  <w:r>
                    <w:t>1</w:t>
                  </w:r>
                </w:p>
              </w:tc>
              <w:tc>
                <w:tcPr>
                  <w:tcW w:w="427" w:type="pct"/>
                  <w:tcBorders>
                    <w:top w:val="nil"/>
                    <w:left w:val="nil"/>
                    <w:bottom w:val="nil"/>
                    <w:right w:val="nil"/>
                  </w:tcBorders>
                  <w:shd w:val="clear" w:color="auto" w:fill="auto"/>
                  <w:tcMar>
                    <w:left w:w="0" w:type="dxa"/>
                    <w:right w:w="0" w:type="dxa"/>
                  </w:tcMar>
                  <w:vAlign w:val="bottom"/>
                </w:tcPr>
                <w:p w14:paraId="7954BAB9" w14:textId="77777777" w:rsidR="00F05DC7" w:rsidRPr="00AB587D" w:rsidRDefault="00F05DC7" w:rsidP="00A3786D">
                  <w:pPr>
                    <w:pStyle w:val="TableBodyText"/>
                  </w:pPr>
                  <w:r>
                    <w:t>0</w:t>
                  </w:r>
                  <w:r w:rsidRPr="009F79BF">
                    <w:t>.</w:t>
                  </w:r>
                  <w:r>
                    <w:t>1</w:t>
                  </w:r>
                </w:p>
              </w:tc>
              <w:tc>
                <w:tcPr>
                  <w:tcW w:w="427" w:type="pct"/>
                  <w:tcBorders>
                    <w:top w:val="nil"/>
                    <w:left w:val="nil"/>
                    <w:bottom w:val="nil"/>
                    <w:right w:val="nil"/>
                  </w:tcBorders>
                  <w:shd w:val="clear" w:color="auto" w:fill="auto"/>
                  <w:tcMar>
                    <w:left w:w="0" w:type="dxa"/>
                    <w:right w:w="0" w:type="dxa"/>
                  </w:tcMar>
                  <w:vAlign w:val="bottom"/>
                </w:tcPr>
                <w:p w14:paraId="7954BABA" w14:textId="77777777" w:rsidR="00F05DC7" w:rsidRPr="00AB587D" w:rsidRDefault="00F05DC7" w:rsidP="00A3786D">
                  <w:pPr>
                    <w:pStyle w:val="TableBodyText"/>
                  </w:pPr>
                  <w:r>
                    <w:t>5</w:t>
                  </w:r>
                  <w:r w:rsidRPr="009F79BF">
                    <w:t>.</w:t>
                  </w:r>
                  <w:r>
                    <w:t>2</w:t>
                  </w:r>
                </w:p>
              </w:tc>
              <w:tc>
                <w:tcPr>
                  <w:tcW w:w="427" w:type="pct"/>
                  <w:tcBorders>
                    <w:top w:val="nil"/>
                    <w:left w:val="nil"/>
                    <w:bottom w:val="nil"/>
                    <w:right w:val="nil"/>
                  </w:tcBorders>
                  <w:shd w:val="clear" w:color="auto" w:fill="auto"/>
                  <w:tcMar>
                    <w:left w:w="0" w:type="dxa"/>
                    <w:right w:w="0" w:type="dxa"/>
                  </w:tcMar>
                  <w:vAlign w:val="bottom"/>
                </w:tcPr>
                <w:p w14:paraId="7954BABB" w14:textId="77777777" w:rsidR="00F05DC7" w:rsidRPr="00AB587D" w:rsidRDefault="00F05DC7" w:rsidP="00A3786D">
                  <w:pPr>
                    <w:pStyle w:val="TableBodyText"/>
                  </w:pPr>
                  <w:r w:rsidRPr="009F79BF">
                    <w:t>-</w:t>
                  </w:r>
                  <w:r>
                    <w:t>8</w:t>
                  </w:r>
                  <w:r w:rsidRPr="009F79BF">
                    <w:t>.</w:t>
                  </w:r>
                  <w:r>
                    <w:t>1</w:t>
                  </w:r>
                </w:p>
              </w:tc>
              <w:tc>
                <w:tcPr>
                  <w:tcW w:w="427" w:type="pct"/>
                  <w:tcBorders>
                    <w:top w:val="nil"/>
                    <w:left w:val="nil"/>
                    <w:bottom w:val="nil"/>
                    <w:right w:val="nil"/>
                  </w:tcBorders>
                  <w:shd w:val="clear" w:color="auto" w:fill="auto"/>
                  <w:tcMar>
                    <w:left w:w="0" w:type="dxa"/>
                    <w:right w:w="0" w:type="dxa"/>
                  </w:tcMar>
                  <w:vAlign w:val="bottom"/>
                </w:tcPr>
                <w:p w14:paraId="7954BABC" w14:textId="77777777" w:rsidR="00F05DC7" w:rsidRPr="00AB587D" w:rsidRDefault="00F05DC7" w:rsidP="00A3786D">
                  <w:pPr>
                    <w:pStyle w:val="TableBodyText"/>
                  </w:pPr>
                  <w:r w:rsidRPr="009F79BF">
                    <w:t>-13.</w:t>
                  </w:r>
                  <w:r>
                    <w:t>9</w:t>
                  </w:r>
                </w:p>
              </w:tc>
              <w:tc>
                <w:tcPr>
                  <w:tcW w:w="427" w:type="pct"/>
                  <w:tcBorders>
                    <w:top w:val="nil"/>
                    <w:left w:val="nil"/>
                    <w:bottom w:val="nil"/>
                    <w:right w:val="nil"/>
                  </w:tcBorders>
                  <w:shd w:val="clear" w:color="auto" w:fill="auto"/>
                  <w:tcMar>
                    <w:left w:w="0" w:type="dxa"/>
                    <w:right w:w="0" w:type="dxa"/>
                  </w:tcMar>
                  <w:vAlign w:val="bottom"/>
                </w:tcPr>
                <w:p w14:paraId="7954BABD" w14:textId="77777777" w:rsidR="00F05DC7" w:rsidRPr="00AB587D" w:rsidRDefault="00F05DC7" w:rsidP="00A3786D">
                  <w:pPr>
                    <w:pStyle w:val="TableBodyText"/>
                  </w:pPr>
                  <w:r w:rsidRPr="009F79BF">
                    <w:t>-3</w:t>
                  </w:r>
                  <w:r>
                    <w:t>9</w:t>
                  </w:r>
                  <w:r w:rsidRPr="009F79BF">
                    <w:t>.</w:t>
                  </w:r>
                  <w:r>
                    <w:t>3</w:t>
                  </w:r>
                </w:p>
              </w:tc>
              <w:tc>
                <w:tcPr>
                  <w:tcW w:w="427" w:type="pct"/>
                  <w:tcBorders>
                    <w:top w:val="nil"/>
                    <w:left w:val="nil"/>
                    <w:bottom w:val="nil"/>
                    <w:right w:val="nil"/>
                  </w:tcBorders>
                  <w:shd w:val="clear" w:color="auto" w:fill="auto"/>
                  <w:tcMar>
                    <w:left w:w="0" w:type="dxa"/>
                    <w:right w:w="0" w:type="dxa"/>
                  </w:tcMar>
                  <w:vAlign w:val="bottom"/>
                </w:tcPr>
                <w:p w14:paraId="7954BABE" w14:textId="77777777" w:rsidR="00F05DC7" w:rsidRPr="00AB587D" w:rsidRDefault="00F05DC7" w:rsidP="00A3786D">
                  <w:pPr>
                    <w:pStyle w:val="TableBodyText"/>
                  </w:pPr>
                  <w:r w:rsidRPr="009F79BF">
                    <w:t>-</w:t>
                  </w:r>
                  <w:r>
                    <w:t>58</w:t>
                  </w:r>
                  <w:r w:rsidRPr="009F79BF">
                    <w:t>.</w:t>
                  </w:r>
                  <w:r>
                    <w:t>6</w:t>
                  </w:r>
                </w:p>
              </w:tc>
            </w:tr>
            <w:tr w:rsidR="00F05DC7" w14:paraId="7954BAC1" w14:textId="77777777" w:rsidTr="00A3786D">
              <w:trPr>
                <w:trHeight w:val="283"/>
              </w:trPr>
              <w:tc>
                <w:tcPr>
                  <w:tcW w:w="5000" w:type="pct"/>
                  <w:gridSpan w:val="9"/>
                  <w:tcBorders>
                    <w:top w:val="nil"/>
                    <w:left w:val="nil"/>
                    <w:bottom w:val="nil"/>
                    <w:right w:val="nil"/>
                  </w:tcBorders>
                  <w:shd w:val="clear" w:color="auto" w:fill="auto"/>
                  <w:tcMar>
                    <w:left w:w="0" w:type="dxa"/>
                    <w:right w:w="0" w:type="dxa"/>
                  </w:tcMar>
                  <w:vAlign w:val="center"/>
                </w:tcPr>
                <w:p w14:paraId="7954BAC0" w14:textId="77777777" w:rsidR="00F05DC7" w:rsidRPr="00791D71" w:rsidRDefault="00F05DC7" w:rsidP="00A3786D">
                  <w:pPr>
                    <w:spacing w:before="80"/>
                    <w:ind w:right="57"/>
                    <w:rPr>
                      <w:rFonts w:asciiTheme="minorHAnsi" w:hAnsiTheme="minorHAnsi" w:cstheme="minorHAnsi"/>
                      <w:color w:val="000000"/>
                      <w:sz w:val="18"/>
                      <w:szCs w:val="18"/>
                    </w:rPr>
                  </w:pPr>
                  <w:r w:rsidRPr="00546A94">
                    <w:rPr>
                      <w:rFonts w:asciiTheme="minorHAnsi" w:hAnsiTheme="minorHAnsi" w:cstheme="minorHAnsi"/>
                      <w:b/>
                      <w:color w:val="000000"/>
                      <w:sz w:val="18"/>
                      <w:szCs w:val="18"/>
                    </w:rPr>
                    <w:t>Total redistribution from EPC</w:t>
                  </w:r>
                </w:p>
              </w:tc>
            </w:tr>
            <w:tr w:rsidR="00F05DC7" w14:paraId="7954BAC4"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tcPr>
                <w:p w14:paraId="7954BAC2" w14:textId="77777777" w:rsidR="00F05DC7" w:rsidRDefault="00F05DC7" w:rsidP="00A3786D">
                  <w:pPr>
                    <w:pStyle w:val="TableBodyText"/>
                    <w:jc w:val="left"/>
                  </w:pPr>
                  <w:r w:rsidRPr="00791D71">
                    <w:t>Current approach</w:t>
                  </w:r>
                </w:p>
              </w:tc>
              <w:tc>
                <w:tcPr>
                  <w:tcW w:w="3416" w:type="pct"/>
                  <w:gridSpan w:val="8"/>
                  <w:tcBorders>
                    <w:top w:val="nil"/>
                    <w:left w:val="nil"/>
                    <w:bottom w:val="nil"/>
                    <w:right w:val="nil"/>
                  </w:tcBorders>
                  <w:shd w:val="clear" w:color="auto" w:fill="auto"/>
                  <w:tcMar>
                    <w:left w:w="0" w:type="dxa"/>
                    <w:right w:w="0" w:type="dxa"/>
                  </w:tcMar>
                  <w:vAlign w:val="center"/>
                </w:tcPr>
                <w:p w14:paraId="7954BAC3" w14:textId="77777777" w:rsidR="00F05DC7" w:rsidRDefault="00F05DC7" w:rsidP="00A3786D">
                  <w:pPr>
                    <w:pStyle w:val="TableBodyText"/>
                  </w:pPr>
                  <w:r w:rsidRPr="000337D9">
                    <w:t xml:space="preserve">$6 840 </w:t>
                  </w:r>
                  <w:r>
                    <w:rPr>
                      <w:rFonts w:cs="Arial"/>
                    </w:rPr>
                    <w:t>million</w:t>
                  </w:r>
                </w:p>
              </w:tc>
            </w:tr>
            <w:tr w:rsidR="00F05DC7" w14:paraId="7954BAC7" w14:textId="77777777" w:rsidTr="00A3786D">
              <w:trPr>
                <w:trHeight w:val="283"/>
              </w:trPr>
              <w:tc>
                <w:tcPr>
                  <w:tcW w:w="1584" w:type="pct"/>
                  <w:tcBorders>
                    <w:top w:val="nil"/>
                    <w:left w:val="nil"/>
                    <w:bottom w:val="nil"/>
                    <w:right w:val="nil"/>
                  </w:tcBorders>
                  <w:shd w:val="clear" w:color="auto" w:fill="auto"/>
                  <w:tcMar>
                    <w:left w:w="0" w:type="dxa"/>
                    <w:right w:w="0" w:type="dxa"/>
                  </w:tcMar>
                  <w:vAlign w:val="center"/>
                </w:tcPr>
                <w:p w14:paraId="7954BAC5" w14:textId="77777777" w:rsidR="00F05DC7" w:rsidRDefault="00F05DC7" w:rsidP="00A3786D">
                  <w:pPr>
                    <w:pStyle w:val="TableBodyText"/>
                    <w:jc w:val="left"/>
                  </w:pPr>
                  <w:r w:rsidRPr="00791D71">
                    <w:t>G</w:t>
                  </w:r>
                  <w:r>
                    <w:t>ross state product</w:t>
                  </w:r>
                </w:p>
              </w:tc>
              <w:tc>
                <w:tcPr>
                  <w:tcW w:w="3416" w:type="pct"/>
                  <w:gridSpan w:val="8"/>
                  <w:tcBorders>
                    <w:top w:val="nil"/>
                    <w:left w:val="nil"/>
                    <w:bottom w:val="nil"/>
                    <w:right w:val="nil"/>
                  </w:tcBorders>
                  <w:shd w:val="clear" w:color="auto" w:fill="auto"/>
                  <w:tcMar>
                    <w:left w:w="0" w:type="dxa"/>
                    <w:right w:w="0" w:type="dxa"/>
                  </w:tcMar>
                  <w:vAlign w:val="center"/>
                </w:tcPr>
                <w:p w14:paraId="7954BAC6" w14:textId="77777777" w:rsidR="00F05DC7" w:rsidRDefault="00F05DC7" w:rsidP="00A3786D">
                  <w:pPr>
                    <w:pStyle w:val="TableBodyText"/>
                  </w:pPr>
                  <w:r>
                    <w:t>$8 103</w:t>
                  </w:r>
                  <w:r w:rsidRPr="00065E17">
                    <w:t> million</w:t>
                  </w:r>
                </w:p>
              </w:tc>
            </w:tr>
            <w:tr w:rsidR="00F05DC7" w14:paraId="7954BACA" w14:textId="77777777" w:rsidTr="00A3786D">
              <w:trPr>
                <w:trHeight w:val="283"/>
              </w:trPr>
              <w:tc>
                <w:tcPr>
                  <w:tcW w:w="1584" w:type="pct"/>
                  <w:tcBorders>
                    <w:top w:val="nil"/>
                    <w:left w:val="nil"/>
                    <w:bottom w:val="single" w:sz="8" w:space="0" w:color="BFBFBF"/>
                    <w:right w:val="nil"/>
                  </w:tcBorders>
                  <w:shd w:val="clear" w:color="auto" w:fill="auto"/>
                  <w:tcMar>
                    <w:left w:w="0" w:type="dxa"/>
                    <w:right w:w="0" w:type="dxa"/>
                  </w:tcMar>
                  <w:vAlign w:val="center"/>
                </w:tcPr>
                <w:p w14:paraId="7954BAC8" w14:textId="77777777" w:rsidR="00F05DC7" w:rsidRDefault="00F05DC7" w:rsidP="00A3786D">
                  <w:pPr>
                    <w:pStyle w:val="TableBodyText"/>
                    <w:jc w:val="left"/>
                  </w:pPr>
                  <w:r>
                    <w:t>Gross disposable income</w:t>
                  </w:r>
                </w:p>
              </w:tc>
              <w:tc>
                <w:tcPr>
                  <w:tcW w:w="3416" w:type="pct"/>
                  <w:gridSpan w:val="8"/>
                  <w:tcBorders>
                    <w:top w:val="nil"/>
                    <w:left w:val="nil"/>
                    <w:bottom w:val="single" w:sz="8" w:space="0" w:color="BFBFBF"/>
                    <w:right w:val="nil"/>
                  </w:tcBorders>
                  <w:shd w:val="clear" w:color="auto" w:fill="auto"/>
                  <w:tcMar>
                    <w:left w:w="0" w:type="dxa"/>
                    <w:right w:w="0" w:type="dxa"/>
                  </w:tcMar>
                  <w:vAlign w:val="center"/>
                </w:tcPr>
                <w:p w14:paraId="7954BAC9" w14:textId="77777777" w:rsidR="00F05DC7" w:rsidRDefault="00F05DC7" w:rsidP="00A3786D">
                  <w:pPr>
                    <w:pStyle w:val="TableBodyText"/>
                  </w:pPr>
                  <w:r w:rsidRPr="00F45F7D">
                    <w:t>$</w:t>
                  </w:r>
                  <w:r>
                    <w:t>7 479</w:t>
                  </w:r>
                  <w:r w:rsidRPr="00F45F7D">
                    <w:t> million</w:t>
                  </w:r>
                </w:p>
              </w:tc>
            </w:tr>
          </w:tbl>
          <w:p w14:paraId="7954BACB" w14:textId="77777777" w:rsidR="00F05DC7" w:rsidRDefault="00F05DC7" w:rsidP="00A3786D">
            <w:pPr>
              <w:pStyle w:val="Box"/>
            </w:pPr>
          </w:p>
        </w:tc>
      </w:tr>
      <w:tr w:rsidR="00F05DC7" w14:paraId="7954BACE" w14:textId="77777777" w:rsidTr="00A3786D">
        <w:tc>
          <w:tcPr>
            <w:tcW w:w="5000" w:type="pct"/>
            <w:tcBorders>
              <w:top w:val="nil"/>
              <w:left w:val="nil"/>
              <w:bottom w:val="nil"/>
              <w:right w:val="nil"/>
            </w:tcBorders>
            <w:shd w:val="clear" w:color="auto" w:fill="auto"/>
          </w:tcPr>
          <w:p w14:paraId="7954BACD"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AD0" w14:textId="77777777" w:rsidTr="00A3786D">
        <w:tc>
          <w:tcPr>
            <w:tcW w:w="5000" w:type="pct"/>
            <w:tcBorders>
              <w:top w:val="nil"/>
              <w:left w:val="nil"/>
              <w:bottom w:val="single" w:sz="6" w:space="0" w:color="78A22F"/>
              <w:right w:val="nil"/>
            </w:tcBorders>
            <w:shd w:val="clear" w:color="auto" w:fill="auto"/>
          </w:tcPr>
          <w:p w14:paraId="7954BACF" w14:textId="77777777" w:rsidR="00F05DC7" w:rsidRDefault="00F05DC7" w:rsidP="00A3786D">
            <w:pPr>
              <w:pStyle w:val="Box"/>
              <w:spacing w:before="0" w:line="120" w:lineRule="exact"/>
            </w:pPr>
          </w:p>
        </w:tc>
      </w:tr>
      <w:tr w:rsidR="00F05DC7" w:rsidRPr="000863A5" w14:paraId="7954BAD2" w14:textId="77777777" w:rsidTr="00A3786D">
        <w:tc>
          <w:tcPr>
            <w:tcW w:w="5000" w:type="pct"/>
            <w:tcBorders>
              <w:top w:val="single" w:sz="6" w:space="0" w:color="78A22F"/>
              <w:left w:val="nil"/>
              <w:bottom w:val="nil"/>
              <w:right w:val="nil"/>
            </w:tcBorders>
          </w:tcPr>
          <w:p w14:paraId="7954BAD1" w14:textId="77777777" w:rsidR="00F05DC7" w:rsidRPr="00626D32" w:rsidRDefault="00F05DC7" w:rsidP="00A3786D">
            <w:pPr>
              <w:pStyle w:val="BoxSpaceBelow"/>
            </w:pPr>
          </w:p>
        </w:tc>
      </w:tr>
    </w:tbl>
    <w:p w14:paraId="7954BAD3" w14:textId="77777777" w:rsidR="00F05DC7" w:rsidRPr="009C178B" w:rsidRDefault="00F05DC7" w:rsidP="00A3786D">
      <w:pPr>
        <w:pStyle w:val="BodyText"/>
      </w:pPr>
      <w:r>
        <w:t>Table C.16 also uses GSP and GDI as the revenue measures but it uses the CGC’s current methodology for the expenditure side. This approach leads to large declines in GST payments for the ACT and the Northern Territory, and a large increase for Western Australia (in the case of GDI).</w:t>
      </w:r>
    </w:p>
    <w:p w14:paraId="7954BAD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AD7" w14:textId="77777777" w:rsidTr="001113B1">
        <w:trPr>
          <w:tblHeader/>
        </w:trPr>
        <w:tc>
          <w:tcPr>
            <w:tcW w:w="5000" w:type="pct"/>
            <w:tcBorders>
              <w:top w:val="single" w:sz="6" w:space="0" w:color="78A22F"/>
              <w:left w:val="nil"/>
              <w:bottom w:val="nil"/>
              <w:right w:val="nil"/>
            </w:tcBorders>
            <w:shd w:val="clear" w:color="auto" w:fill="auto"/>
          </w:tcPr>
          <w:p w14:paraId="7954BAD5" w14:textId="487CF543" w:rsidR="00F05DC7" w:rsidRDefault="00F05DC7" w:rsidP="00A3786D">
            <w:pPr>
              <w:pStyle w:val="TableTitle"/>
            </w:pPr>
            <w:r>
              <w:rPr>
                <w:b w:val="0"/>
              </w:rPr>
              <w:t>Table C.16</w:t>
            </w:r>
            <w:r>
              <w:tab/>
              <w:t>Broad indicators for revenue with current expenditure approach</w:t>
            </w:r>
          </w:p>
          <w:p w14:paraId="7954BAD6" w14:textId="77777777" w:rsidR="00F05DC7" w:rsidRPr="00784A05" w:rsidRDefault="00F05DC7" w:rsidP="00A3786D">
            <w:pPr>
              <w:pStyle w:val="Subtitle"/>
            </w:pPr>
            <w:r>
              <w:t>2018</w:t>
            </w:r>
            <w:r>
              <w:noBreakHyphen/>
              <w:t>19 GST payments and relativities</w:t>
            </w:r>
          </w:p>
        </w:tc>
      </w:tr>
      <w:tr w:rsidR="00F05DC7" w14:paraId="7954BB50"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683"/>
              <w:gridCol w:w="726"/>
              <w:gridCol w:w="728"/>
              <w:gridCol w:w="728"/>
              <w:gridCol w:w="728"/>
              <w:gridCol w:w="728"/>
              <w:gridCol w:w="728"/>
              <w:gridCol w:w="728"/>
              <w:gridCol w:w="728"/>
            </w:tblGrid>
            <w:tr w:rsidR="00F05DC7" w14:paraId="7954BAE1" w14:textId="77777777" w:rsidTr="001113B1">
              <w:trPr>
                <w:trHeight w:val="300"/>
                <w:tblHeader/>
              </w:trPr>
              <w:tc>
                <w:tcPr>
                  <w:tcW w:w="157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D8" w14:textId="77777777" w:rsidR="00F05DC7" w:rsidRDefault="00F05DC7" w:rsidP="00A3786D">
                  <w:pPr>
                    <w:pStyle w:val="TableColumnHeading"/>
                    <w:ind w:right="57"/>
                  </w:pP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D9" w14:textId="77777777" w:rsidR="00F05DC7" w:rsidRDefault="00F05DC7" w:rsidP="00A3786D">
                  <w:pPr>
                    <w:pStyle w:val="TableColumnHeading"/>
                    <w:ind w:right="57"/>
                  </w:pPr>
                  <w:r>
                    <w:t>NSW</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DA" w14:textId="77777777" w:rsidR="00F05DC7" w:rsidRDefault="00F05DC7" w:rsidP="00A3786D">
                  <w:pPr>
                    <w:pStyle w:val="TableColumnHeading"/>
                    <w:ind w:right="57"/>
                  </w:pPr>
                  <w:r>
                    <w:t>Vic</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DB" w14:textId="77777777" w:rsidR="00F05DC7" w:rsidRDefault="00F05DC7" w:rsidP="00A3786D">
                  <w:pPr>
                    <w:pStyle w:val="TableColumnHeading"/>
                    <w:ind w:right="57"/>
                  </w:pPr>
                  <w:r>
                    <w:t>Qld</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DC" w14:textId="77777777" w:rsidR="00F05DC7" w:rsidRDefault="00F05DC7" w:rsidP="00A3786D">
                  <w:pPr>
                    <w:pStyle w:val="TableColumnHeading"/>
                    <w:ind w:right="57"/>
                  </w:pPr>
                  <w:r>
                    <w:t>WA</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DD" w14:textId="77777777" w:rsidR="00F05DC7" w:rsidRDefault="00F05DC7" w:rsidP="00A3786D">
                  <w:pPr>
                    <w:pStyle w:val="TableColumnHeading"/>
                    <w:ind w:right="57"/>
                  </w:pPr>
                  <w:r>
                    <w:t>SA</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DE" w14:textId="77777777" w:rsidR="00F05DC7" w:rsidRDefault="00F05DC7" w:rsidP="00A3786D">
                  <w:pPr>
                    <w:pStyle w:val="TableColumnHeading"/>
                    <w:ind w:right="57"/>
                  </w:pPr>
                  <w:r>
                    <w:t>Tas</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DF" w14:textId="77777777" w:rsidR="00F05DC7" w:rsidRDefault="00F05DC7" w:rsidP="00A3786D">
                  <w:pPr>
                    <w:pStyle w:val="TableColumnHeading"/>
                    <w:ind w:right="57"/>
                  </w:pPr>
                  <w:r>
                    <w:t>ACT</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AE0" w14:textId="77777777" w:rsidR="00F05DC7" w:rsidRDefault="00F05DC7" w:rsidP="00A3786D">
                  <w:pPr>
                    <w:pStyle w:val="TableColumnHeading"/>
                    <w:ind w:right="57"/>
                  </w:pPr>
                  <w:r>
                    <w:t>NT</w:t>
                  </w:r>
                </w:p>
              </w:tc>
            </w:tr>
            <w:tr w:rsidR="00F05DC7" w14:paraId="7954BAE3" w14:textId="77777777" w:rsidTr="00A3786D">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7954BAE2"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Relativities </w:t>
                  </w:r>
                </w:p>
              </w:tc>
            </w:tr>
            <w:tr w:rsidR="00F05DC7" w14:paraId="7954BAED" w14:textId="77777777" w:rsidTr="00A3786D">
              <w:trPr>
                <w:trHeight w:val="288"/>
              </w:trPr>
              <w:tc>
                <w:tcPr>
                  <w:tcW w:w="1577" w:type="pct"/>
                  <w:tcBorders>
                    <w:top w:val="nil"/>
                    <w:left w:val="nil"/>
                    <w:bottom w:val="nil"/>
                    <w:right w:val="nil"/>
                  </w:tcBorders>
                  <w:shd w:val="clear" w:color="auto" w:fill="auto"/>
                  <w:tcMar>
                    <w:left w:w="0" w:type="dxa"/>
                    <w:right w:w="0" w:type="dxa"/>
                  </w:tcMar>
                  <w:vAlign w:val="center"/>
                  <w:hideMark/>
                </w:tcPr>
                <w:p w14:paraId="7954BAE4" w14:textId="77777777" w:rsidR="00F05DC7" w:rsidRPr="00791D71" w:rsidRDefault="00F05DC7" w:rsidP="00A3786D">
                  <w:pPr>
                    <w:pStyle w:val="TableBodyText"/>
                    <w:jc w:val="left"/>
                  </w:pPr>
                  <w:r w:rsidRPr="00791D71">
                    <w:t>Current approach</w:t>
                  </w:r>
                </w:p>
              </w:tc>
              <w:tc>
                <w:tcPr>
                  <w:tcW w:w="427" w:type="pct"/>
                  <w:tcBorders>
                    <w:top w:val="nil"/>
                    <w:left w:val="nil"/>
                    <w:bottom w:val="nil"/>
                    <w:right w:val="nil"/>
                  </w:tcBorders>
                  <w:shd w:val="clear" w:color="auto" w:fill="auto"/>
                  <w:tcMar>
                    <w:left w:w="0" w:type="dxa"/>
                    <w:right w:w="0" w:type="dxa"/>
                  </w:tcMar>
                  <w:vAlign w:val="center"/>
                  <w:hideMark/>
                </w:tcPr>
                <w:p w14:paraId="7954BAE5" w14:textId="77777777" w:rsidR="00F05DC7" w:rsidRPr="00791D71" w:rsidRDefault="00F05DC7" w:rsidP="00A3786D">
                  <w:pPr>
                    <w:pStyle w:val="TableBodyText"/>
                  </w:pPr>
                  <w:r w:rsidRPr="00791D71">
                    <w:t>0.8</w:t>
                  </w:r>
                  <w:r>
                    <w:t>6</w:t>
                  </w:r>
                </w:p>
              </w:tc>
              <w:tc>
                <w:tcPr>
                  <w:tcW w:w="428" w:type="pct"/>
                  <w:tcBorders>
                    <w:top w:val="nil"/>
                    <w:left w:val="nil"/>
                    <w:bottom w:val="nil"/>
                    <w:right w:val="nil"/>
                  </w:tcBorders>
                  <w:shd w:val="clear" w:color="auto" w:fill="auto"/>
                  <w:tcMar>
                    <w:left w:w="0" w:type="dxa"/>
                    <w:right w:w="0" w:type="dxa"/>
                  </w:tcMar>
                  <w:vAlign w:val="center"/>
                  <w:hideMark/>
                </w:tcPr>
                <w:p w14:paraId="7954BAE6" w14:textId="77777777" w:rsidR="00F05DC7" w:rsidRPr="00791D71" w:rsidRDefault="00F05DC7" w:rsidP="00A3786D">
                  <w:pPr>
                    <w:pStyle w:val="TableBodyText"/>
                  </w:pPr>
                  <w:r w:rsidRPr="00791D71">
                    <w:t>0.9</w:t>
                  </w:r>
                  <w:r>
                    <w:t>9</w:t>
                  </w:r>
                </w:p>
              </w:tc>
              <w:tc>
                <w:tcPr>
                  <w:tcW w:w="428" w:type="pct"/>
                  <w:tcBorders>
                    <w:top w:val="nil"/>
                    <w:left w:val="nil"/>
                    <w:bottom w:val="nil"/>
                    <w:right w:val="nil"/>
                  </w:tcBorders>
                  <w:shd w:val="clear" w:color="auto" w:fill="auto"/>
                  <w:tcMar>
                    <w:left w:w="0" w:type="dxa"/>
                    <w:right w:w="0" w:type="dxa"/>
                  </w:tcMar>
                  <w:vAlign w:val="center"/>
                  <w:hideMark/>
                </w:tcPr>
                <w:p w14:paraId="7954BAE7" w14:textId="77777777" w:rsidR="00F05DC7" w:rsidRPr="00791D71" w:rsidRDefault="00F05DC7" w:rsidP="00A3786D">
                  <w:pPr>
                    <w:pStyle w:val="TableBodyText"/>
                  </w:pPr>
                  <w:r w:rsidRPr="00791D71">
                    <w:t>1.1</w:t>
                  </w:r>
                  <w:r>
                    <w:t>0</w:t>
                  </w:r>
                </w:p>
              </w:tc>
              <w:tc>
                <w:tcPr>
                  <w:tcW w:w="428" w:type="pct"/>
                  <w:tcBorders>
                    <w:top w:val="nil"/>
                    <w:left w:val="nil"/>
                    <w:bottom w:val="nil"/>
                    <w:right w:val="nil"/>
                  </w:tcBorders>
                  <w:shd w:val="clear" w:color="auto" w:fill="auto"/>
                  <w:tcMar>
                    <w:left w:w="0" w:type="dxa"/>
                    <w:right w:w="0" w:type="dxa"/>
                  </w:tcMar>
                  <w:vAlign w:val="center"/>
                  <w:hideMark/>
                </w:tcPr>
                <w:p w14:paraId="7954BAE8" w14:textId="77777777" w:rsidR="00F05DC7" w:rsidRPr="00791D71" w:rsidRDefault="00F05DC7" w:rsidP="00A3786D">
                  <w:pPr>
                    <w:pStyle w:val="TableBodyText"/>
                  </w:pPr>
                  <w:r w:rsidRPr="00791D71">
                    <w:t>0.</w:t>
                  </w:r>
                  <w:r>
                    <w:t>47</w:t>
                  </w:r>
                </w:p>
              </w:tc>
              <w:tc>
                <w:tcPr>
                  <w:tcW w:w="428" w:type="pct"/>
                  <w:tcBorders>
                    <w:top w:val="nil"/>
                    <w:left w:val="nil"/>
                    <w:bottom w:val="nil"/>
                    <w:right w:val="nil"/>
                  </w:tcBorders>
                  <w:shd w:val="clear" w:color="auto" w:fill="auto"/>
                  <w:tcMar>
                    <w:left w:w="0" w:type="dxa"/>
                    <w:right w:w="0" w:type="dxa"/>
                  </w:tcMar>
                  <w:vAlign w:val="center"/>
                  <w:hideMark/>
                </w:tcPr>
                <w:p w14:paraId="7954BAE9" w14:textId="77777777" w:rsidR="00F05DC7" w:rsidRPr="00791D71" w:rsidRDefault="00F05DC7" w:rsidP="00A3786D">
                  <w:pPr>
                    <w:pStyle w:val="TableBodyText"/>
                  </w:pPr>
                  <w:r w:rsidRPr="00791D71">
                    <w:t>1.4</w:t>
                  </w:r>
                  <w:r>
                    <w:t>8</w:t>
                  </w:r>
                </w:p>
              </w:tc>
              <w:tc>
                <w:tcPr>
                  <w:tcW w:w="428" w:type="pct"/>
                  <w:tcBorders>
                    <w:top w:val="nil"/>
                    <w:left w:val="nil"/>
                    <w:bottom w:val="nil"/>
                    <w:right w:val="nil"/>
                  </w:tcBorders>
                  <w:shd w:val="clear" w:color="auto" w:fill="auto"/>
                  <w:tcMar>
                    <w:left w:w="0" w:type="dxa"/>
                    <w:right w:w="0" w:type="dxa"/>
                  </w:tcMar>
                  <w:vAlign w:val="center"/>
                  <w:hideMark/>
                </w:tcPr>
                <w:p w14:paraId="7954BAEA" w14:textId="77777777" w:rsidR="00F05DC7" w:rsidRPr="00791D71" w:rsidRDefault="00F05DC7" w:rsidP="00A3786D">
                  <w:pPr>
                    <w:pStyle w:val="TableBodyText"/>
                  </w:pPr>
                  <w:r w:rsidRPr="00791D71">
                    <w:t>1.</w:t>
                  </w:r>
                  <w:r>
                    <w:t>77</w:t>
                  </w:r>
                </w:p>
              </w:tc>
              <w:tc>
                <w:tcPr>
                  <w:tcW w:w="428" w:type="pct"/>
                  <w:tcBorders>
                    <w:top w:val="nil"/>
                    <w:left w:val="nil"/>
                    <w:bottom w:val="nil"/>
                    <w:right w:val="nil"/>
                  </w:tcBorders>
                  <w:shd w:val="clear" w:color="auto" w:fill="auto"/>
                  <w:tcMar>
                    <w:left w:w="0" w:type="dxa"/>
                    <w:right w:w="0" w:type="dxa"/>
                  </w:tcMar>
                  <w:vAlign w:val="center"/>
                  <w:hideMark/>
                </w:tcPr>
                <w:p w14:paraId="7954BAEB" w14:textId="77777777" w:rsidR="00F05DC7" w:rsidRPr="00791D71" w:rsidRDefault="00F05DC7" w:rsidP="00A3786D">
                  <w:pPr>
                    <w:pStyle w:val="TableBodyText"/>
                  </w:pPr>
                  <w:r w:rsidRPr="00791D71">
                    <w:t>1.1</w:t>
                  </w:r>
                  <w:r>
                    <w:t>8</w:t>
                  </w:r>
                </w:p>
              </w:tc>
              <w:tc>
                <w:tcPr>
                  <w:tcW w:w="428" w:type="pct"/>
                  <w:tcBorders>
                    <w:top w:val="nil"/>
                    <w:left w:val="nil"/>
                    <w:bottom w:val="nil"/>
                    <w:right w:val="nil"/>
                  </w:tcBorders>
                  <w:shd w:val="clear" w:color="auto" w:fill="auto"/>
                  <w:tcMar>
                    <w:left w:w="0" w:type="dxa"/>
                    <w:right w:w="0" w:type="dxa"/>
                  </w:tcMar>
                  <w:vAlign w:val="center"/>
                  <w:hideMark/>
                </w:tcPr>
                <w:p w14:paraId="7954BAEC" w14:textId="77777777" w:rsidR="00F05DC7" w:rsidRPr="00791D71" w:rsidRDefault="00F05DC7" w:rsidP="00A3786D">
                  <w:pPr>
                    <w:pStyle w:val="TableBodyText"/>
                  </w:pPr>
                  <w:r w:rsidRPr="00791D71">
                    <w:t>4.</w:t>
                  </w:r>
                  <w:r>
                    <w:t>26</w:t>
                  </w:r>
                </w:p>
              </w:tc>
            </w:tr>
            <w:tr w:rsidR="00F05DC7" w14:paraId="7954BAF7" w14:textId="77777777" w:rsidTr="00A3786D">
              <w:trPr>
                <w:trHeight w:val="288"/>
              </w:trPr>
              <w:tc>
                <w:tcPr>
                  <w:tcW w:w="1577" w:type="pct"/>
                  <w:tcBorders>
                    <w:top w:val="nil"/>
                    <w:left w:val="nil"/>
                    <w:bottom w:val="nil"/>
                    <w:right w:val="nil"/>
                  </w:tcBorders>
                  <w:shd w:val="clear" w:color="auto" w:fill="auto"/>
                  <w:tcMar>
                    <w:left w:w="0" w:type="dxa"/>
                    <w:right w:w="0" w:type="dxa"/>
                  </w:tcMar>
                  <w:vAlign w:val="center"/>
                  <w:hideMark/>
                </w:tcPr>
                <w:p w14:paraId="7954BAEE" w14:textId="77777777" w:rsidR="00F05DC7" w:rsidRPr="00791D71" w:rsidRDefault="00F05DC7" w:rsidP="00A3786D">
                  <w:pPr>
                    <w:pStyle w:val="TableBodyText"/>
                    <w:jc w:val="left"/>
                  </w:pPr>
                  <w:r w:rsidRPr="00791D71">
                    <w:t>G</w:t>
                  </w:r>
                  <w:r>
                    <w:t>ross state product</w:t>
                  </w:r>
                </w:p>
              </w:tc>
              <w:tc>
                <w:tcPr>
                  <w:tcW w:w="427" w:type="pct"/>
                  <w:tcBorders>
                    <w:top w:val="nil"/>
                    <w:left w:val="nil"/>
                    <w:bottom w:val="nil"/>
                    <w:right w:val="nil"/>
                  </w:tcBorders>
                  <w:shd w:val="clear" w:color="auto" w:fill="auto"/>
                  <w:tcMar>
                    <w:left w:w="0" w:type="dxa"/>
                    <w:right w:w="0" w:type="dxa"/>
                  </w:tcMar>
                  <w:vAlign w:val="center"/>
                  <w:hideMark/>
                </w:tcPr>
                <w:p w14:paraId="7954BAEF" w14:textId="77777777" w:rsidR="00F05DC7" w:rsidRPr="00791D71" w:rsidRDefault="00F05DC7" w:rsidP="00A3786D">
                  <w:pPr>
                    <w:pStyle w:val="TableBodyText"/>
                  </w:pPr>
                  <w:r w:rsidRPr="00791D71">
                    <w:t>0.8</w:t>
                  </w:r>
                  <w:r>
                    <w:t>7</w:t>
                  </w:r>
                </w:p>
              </w:tc>
              <w:tc>
                <w:tcPr>
                  <w:tcW w:w="428" w:type="pct"/>
                  <w:tcBorders>
                    <w:top w:val="nil"/>
                    <w:left w:val="nil"/>
                    <w:bottom w:val="nil"/>
                    <w:right w:val="nil"/>
                  </w:tcBorders>
                  <w:shd w:val="clear" w:color="auto" w:fill="auto"/>
                  <w:tcMar>
                    <w:left w:w="0" w:type="dxa"/>
                    <w:right w:w="0" w:type="dxa"/>
                  </w:tcMar>
                  <w:vAlign w:val="center"/>
                  <w:hideMark/>
                </w:tcPr>
                <w:p w14:paraId="7954BAF0" w14:textId="77777777" w:rsidR="00F05DC7" w:rsidRPr="00791D71" w:rsidRDefault="00F05DC7" w:rsidP="00A3786D">
                  <w:pPr>
                    <w:pStyle w:val="TableBodyText"/>
                  </w:pPr>
                  <w:r>
                    <w:t>1.01</w:t>
                  </w:r>
                </w:p>
              </w:tc>
              <w:tc>
                <w:tcPr>
                  <w:tcW w:w="428" w:type="pct"/>
                  <w:tcBorders>
                    <w:top w:val="nil"/>
                    <w:left w:val="nil"/>
                    <w:bottom w:val="nil"/>
                    <w:right w:val="nil"/>
                  </w:tcBorders>
                  <w:shd w:val="clear" w:color="auto" w:fill="auto"/>
                  <w:tcMar>
                    <w:left w:w="0" w:type="dxa"/>
                    <w:right w:w="0" w:type="dxa"/>
                  </w:tcMar>
                  <w:vAlign w:val="center"/>
                  <w:hideMark/>
                </w:tcPr>
                <w:p w14:paraId="7954BAF1" w14:textId="77777777" w:rsidR="00F05DC7" w:rsidRPr="00791D71" w:rsidRDefault="00F05DC7" w:rsidP="00A3786D">
                  <w:pPr>
                    <w:pStyle w:val="TableBodyText"/>
                  </w:pPr>
                  <w:r w:rsidRPr="00791D71">
                    <w:t>1.23</w:t>
                  </w:r>
                </w:p>
              </w:tc>
              <w:tc>
                <w:tcPr>
                  <w:tcW w:w="428" w:type="pct"/>
                  <w:tcBorders>
                    <w:top w:val="nil"/>
                    <w:left w:val="nil"/>
                    <w:bottom w:val="nil"/>
                    <w:right w:val="nil"/>
                  </w:tcBorders>
                  <w:shd w:val="clear" w:color="auto" w:fill="auto"/>
                  <w:tcMar>
                    <w:left w:w="0" w:type="dxa"/>
                    <w:right w:w="0" w:type="dxa"/>
                  </w:tcMar>
                  <w:vAlign w:val="center"/>
                  <w:hideMark/>
                </w:tcPr>
                <w:p w14:paraId="7954BAF2" w14:textId="77777777" w:rsidR="00F05DC7" w:rsidRPr="00791D71" w:rsidRDefault="00F05DC7" w:rsidP="00A3786D">
                  <w:pPr>
                    <w:pStyle w:val="TableBodyText"/>
                  </w:pPr>
                  <w:r>
                    <w:t>0.46</w:t>
                  </w:r>
                </w:p>
              </w:tc>
              <w:tc>
                <w:tcPr>
                  <w:tcW w:w="428" w:type="pct"/>
                  <w:tcBorders>
                    <w:top w:val="nil"/>
                    <w:left w:val="nil"/>
                    <w:bottom w:val="nil"/>
                    <w:right w:val="nil"/>
                  </w:tcBorders>
                  <w:shd w:val="clear" w:color="auto" w:fill="auto"/>
                  <w:tcMar>
                    <w:left w:w="0" w:type="dxa"/>
                    <w:right w:w="0" w:type="dxa"/>
                  </w:tcMar>
                  <w:vAlign w:val="center"/>
                  <w:hideMark/>
                </w:tcPr>
                <w:p w14:paraId="7954BAF3" w14:textId="77777777" w:rsidR="00F05DC7" w:rsidRPr="00791D71" w:rsidRDefault="00F05DC7" w:rsidP="00A3786D">
                  <w:pPr>
                    <w:pStyle w:val="TableBodyText"/>
                  </w:pPr>
                  <w:r>
                    <w:t>1.39</w:t>
                  </w:r>
                </w:p>
              </w:tc>
              <w:tc>
                <w:tcPr>
                  <w:tcW w:w="428" w:type="pct"/>
                  <w:tcBorders>
                    <w:top w:val="nil"/>
                    <w:left w:val="nil"/>
                    <w:bottom w:val="nil"/>
                    <w:right w:val="nil"/>
                  </w:tcBorders>
                  <w:shd w:val="clear" w:color="auto" w:fill="auto"/>
                  <w:tcMar>
                    <w:left w:w="0" w:type="dxa"/>
                    <w:right w:w="0" w:type="dxa"/>
                  </w:tcMar>
                  <w:vAlign w:val="center"/>
                  <w:hideMark/>
                </w:tcPr>
                <w:p w14:paraId="7954BAF4" w14:textId="77777777" w:rsidR="00F05DC7" w:rsidRPr="00791D71" w:rsidRDefault="00F05DC7" w:rsidP="00A3786D">
                  <w:pPr>
                    <w:pStyle w:val="TableBodyText"/>
                  </w:pPr>
                  <w:r>
                    <w:t>1.70</w:t>
                  </w:r>
                </w:p>
              </w:tc>
              <w:tc>
                <w:tcPr>
                  <w:tcW w:w="428" w:type="pct"/>
                  <w:tcBorders>
                    <w:top w:val="nil"/>
                    <w:left w:val="nil"/>
                    <w:bottom w:val="nil"/>
                    <w:right w:val="nil"/>
                  </w:tcBorders>
                  <w:shd w:val="clear" w:color="auto" w:fill="auto"/>
                  <w:tcMar>
                    <w:left w:w="0" w:type="dxa"/>
                    <w:right w:w="0" w:type="dxa"/>
                  </w:tcMar>
                  <w:vAlign w:val="center"/>
                  <w:hideMark/>
                </w:tcPr>
                <w:p w14:paraId="7954BAF5" w14:textId="77777777" w:rsidR="00F05DC7" w:rsidRPr="00791D71" w:rsidRDefault="00F05DC7" w:rsidP="00A3786D">
                  <w:pPr>
                    <w:pStyle w:val="TableBodyText"/>
                  </w:pPr>
                  <w:r>
                    <w:t>0.25</w:t>
                  </w:r>
                </w:p>
              </w:tc>
              <w:tc>
                <w:tcPr>
                  <w:tcW w:w="428" w:type="pct"/>
                  <w:tcBorders>
                    <w:top w:val="nil"/>
                    <w:left w:val="nil"/>
                    <w:bottom w:val="nil"/>
                    <w:right w:val="nil"/>
                  </w:tcBorders>
                  <w:shd w:val="clear" w:color="auto" w:fill="auto"/>
                  <w:tcMar>
                    <w:left w:w="0" w:type="dxa"/>
                    <w:right w:w="0" w:type="dxa"/>
                  </w:tcMar>
                  <w:vAlign w:val="center"/>
                  <w:hideMark/>
                </w:tcPr>
                <w:p w14:paraId="7954BAF6" w14:textId="77777777" w:rsidR="00F05DC7" w:rsidRPr="00791D71" w:rsidRDefault="00F05DC7" w:rsidP="00A3786D">
                  <w:pPr>
                    <w:pStyle w:val="TableBodyText"/>
                  </w:pPr>
                  <w:r>
                    <w:t>3.20</w:t>
                  </w:r>
                </w:p>
              </w:tc>
            </w:tr>
            <w:tr w:rsidR="00F05DC7" w14:paraId="7954BB01" w14:textId="77777777" w:rsidTr="00A3786D">
              <w:trPr>
                <w:trHeight w:val="288"/>
              </w:trPr>
              <w:tc>
                <w:tcPr>
                  <w:tcW w:w="1577" w:type="pct"/>
                  <w:tcBorders>
                    <w:top w:val="nil"/>
                    <w:left w:val="nil"/>
                    <w:bottom w:val="nil"/>
                    <w:right w:val="nil"/>
                  </w:tcBorders>
                  <w:shd w:val="clear" w:color="auto" w:fill="auto"/>
                  <w:tcMar>
                    <w:left w:w="0" w:type="dxa"/>
                    <w:right w:w="0" w:type="dxa"/>
                  </w:tcMar>
                  <w:vAlign w:val="center"/>
                  <w:hideMark/>
                </w:tcPr>
                <w:p w14:paraId="7954BAF8" w14:textId="77777777" w:rsidR="00F05DC7" w:rsidRPr="00791D71" w:rsidRDefault="00F05DC7" w:rsidP="00A3786D">
                  <w:pPr>
                    <w:pStyle w:val="TableBodyText"/>
                    <w:jc w:val="left"/>
                  </w:pPr>
                  <w:r>
                    <w:t>Gross disposable income</w:t>
                  </w:r>
                </w:p>
              </w:tc>
              <w:tc>
                <w:tcPr>
                  <w:tcW w:w="427" w:type="pct"/>
                  <w:tcBorders>
                    <w:top w:val="nil"/>
                    <w:left w:val="nil"/>
                    <w:bottom w:val="nil"/>
                    <w:right w:val="nil"/>
                  </w:tcBorders>
                  <w:shd w:val="clear" w:color="auto" w:fill="auto"/>
                  <w:tcMar>
                    <w:left w:w="0" w:type="dxa"/>
                    <w:right w:w="0" w:type="dxa"/>
                  </w:tcMar>
                  <w:vAlign w:val="center"/>
                  <w:hideMark/>
                </w:tcPr>
                <w:p w14:paraId="7954BAF9" w14:textId="77777777" w:rsidR="00F05DC7" w:rsidRPr="00791D71" w:rsidRDefault="00F05DC7" w:rsidP="00A3786D">
                  <w:pPr>
                    <w:pStyle w:val="TableBodyText"/>
                  </w:pPr>
                  <w:r w:rsidRPr="00791D71">
                    <w:t>0.7</w:t>
                  </w:r>
                  <w:r>
                    <w:t>6</w:t>
                  </w:r>
                </w:p>
              </w:tc>
              <w:tc>
                <w:tcPr>
                  <w:tcW w:w="428" w:type="pct"/>
                  <w:tcBorders>
                    <w:top w:val="nil"/>
                    <w:left w:val="nil"/>
                    <w:bottom w:val="nil"/>
                    <w:right w:val="nil"/>
                  </w:tcBorders>
                  <w:shd w:val="clear" w:color="auto" w:fill="auto"/>
                  <w:tcMar>
                    <w:left w:w="0" w:type="dxa"/>
                    <w:right w:w="0" w:type="dxa"/>
                  </w:tcMar>
                  <w:vAlign w:val="center"/>
                  <w:hideMark/>
                </w:tcPr>
                <w:p w14:paraId="7954BAFA" w14:textId="77777777" w:rsidR="00F05DC7" w:rsidRPr="00791D71" w:rsidRDefault="00F05DC7" w:rsidP="00A3786D">
                  <w:pPr>
                    <w:pStyle w:val="TableBodyText"/>
                  </w:pPr>
                  <w:r>
                    <w:t>1.02</w:t>
                  </w:r>
                </w:p>
              </w:tc>
              <w:tc>
                <w:tcPr>
                  <w:tcW w:w="428" w:type="pct"/>
                  <w:tcBorders>
                    <w:top w:val="nil"/>
                    <w:left w:val="nil"/>
                    <w:bottom w:val="nil"/>
                    <w:right w:val="nil"/>
                  </w:tcBorders>
                  <w:shd w:val="clear" w:color="auto" w:fill="auto"/>
                  <w:tcMar>
                    <w:left w:w="0" w:type="dxa"/>
                    <w:right w:w="0" w:type="dxa"/>
                  </w:tcMar>
                  <w:vAlign w:val="center"/>
                  <w:hideMark/>
                </w:tcPr>
                <w:p w14:paraId="7954BAFB" w14:textId="77777777" w:rsidR="00F05DC7" w:rsidRPr="00791D71" w:rsidRDefault="00F05DC7" w:rsidP="00A3786D">
                  <w:pPr>
                    <w:pStyle w:val="TableBodyText"/>
                  </w:pPr>
                  <w:r w:rsidRPr="00791D71">
                    <w:t>1.2</w:t>
                  </w:r>
                  <w:r>
                    <w:t>2</w:t>
                  </w:r>
                </w:p>
              </w:tc>
              <w:tc>
                <w:tcPr>
                  <w:tcW w:w="428" w:type="pct"/>
                  <w:tcBorders>
                    <w:top w:val="nil"/>
                    <w:left w:val="nil"/>
                    <w:bottom w:val="nil"/>
                    <w:right w:val="nil"/>
                  </w:tcBorders>
                  <w:shd w:val="clear" w:color="auto" w:fill="auto"/>
                  <w:tcMar>
                    <w:left w:w="0" w:type="dxa"/>
                    <w:right w:w="0" w:type="dxa"/>
                  </w:tcMar>
                  <w:vAlign w:val="center"/>
                  <w:hideMark/>
                </w:tcPr>
                <w:p w14:paraId="7954BAFC" w14:textId="77777777" w:rsidR="00F05DC7" w:rsidRPr="00791D71" w:rsidRDefault="00F05DC7" w:rsidP="00A3786D">
                  <w:pPr>
                    <w:pStyle w:val="TableBodyText"/>
                  </w:pPr>
                  <w:r w:rsidRPr="00791D71">
                    <w:t>1.</w:t>
                  </w:r>
                  <w:r>
                    <w:t>03</w:t>
                  </w:r>
                </w:p>
              </w:tc>
              <w:tc>
                <w:tcPr>
                  <w:tcW w:w="428" w:type="pct"/>
                  <w:tcBorders>
                    <w:top w:val="nil"/>
                    <w:left w:val="nil"/>
                    <w:bottom w:val="nil"/>
                    <w:right w:val="nil"/>
                  </w:tcBorders>
                  <w:shd w:val="clear" w:color="auto" w:fill="auto"/>
                  <w:tcMar>
                    <w:left w:w="0" w:type="dxa"/>
                    <w:right w:w="0" w:type="dxa"/>
                  </w:tcMar>
                  <w:vAlign w:val="center"/>
                  <w:hideMark/>
                </w:tcPr>
                <w:p w14:paraId="7954BAFD" w14:textId="77777777" w:rsidR="00F05DC7" w:rsidRPr="00791D71" w:rsidRDefault="00F05DC7" w:rsidP="00A3786D">
                  <w:pPr>
                    <w:pStyle w:val="TableBodyText"/>
                  </w:pPr>
                  <w:r w:rsidRPr="00791D71">
                    <w:t>1.2</w:t>
                  </w:r>
                  <w:r>
                    <w:t>5</w:t>
                  </w:r>
                </w:p>
              </w:tc>
              <w:tc>
                <w:tcPr>
                  <w:tcW w:w="428" w:type="pct"/>
                  <w:tcBorders>
                    <w:top w:val="nil"/>
                    <w:left w:val="nil"/>
                    <w:bottom w:val="nil"/>
                    <w:right w:val="nil"/>
                  </w:tcBorders>
                  <w:shd w:val="clear" w:color="auto" w:fill="auto"/>
                  <w:tcMar>
                    <w:left w:w="0" w:type="dxa"/>
                    <w:right w:w="0" w:type="dxa"/>
                  </w:tcMar>
                  <w:vAlign w:val="center"/>
                  <w:hideMark/>
                </w:tcPr>
                <w:p w14:paraId="7954BAFE" w14:textId="77777777" w:rsidR="00F05DC7" w:rsidRPr="00791D71" w:rsidRDefault="00F05DC7" w:rsidP="00A3786D">
                  <w:pPr>
                    <w:pStyle w:val="TableBodyText"/>
                  </w:pPr>
                  <w:r w:rsidRPr="00791D71">
                    <w:t>1.5</w:t>
                  </w:r>
                  <w:r>
                    <w:t>5</w:t>
                  </w:r>
                </w:p>
              </w:tc>
              <w:tc>
                <w:tcPr>
                  <w:tcW w:w="428" w:type="pct"/>
                  <w:tcBorders>
                    <w:top w:val="nil"/>
                    <w:left w:val="nil"/>
                    <w:bottom w:val="nil"/>
                    <w:right w:val="nil"/>
                  </w:tcBorders>
                  <w:shd w:val="clear" w:color="auto" w:fill="auto"/>
                  <w:tcMar>
                    <w:left w:w="0" w:type="dxa"/>
                    <w:right w:w="0" w:type="dxa"/>
                  </w:tcMar>
                  <w:vAlign w:val="center"/>
                  <w:hideMark/>
                </w:tcPr>
                <w:p w14:paraId="7954BAFF" w14:textId="77777777" w:rsidR="00F05DC7" w:rsidRPr="00791D71" w:rsidRDefault="00F05DC7" w:rsidP="00A3786D">
                  <w:pPr>
                    <w:pStyle w:val="TableBodyText"/>
                  </w:pPr>
                  <w:r w:rsidRPr="00791D71">
                    <w:t>-0.</w:t>
                  </w:r>
                  <w:r>
                    <w:t>98</w:t>
                  </w:r>
                </w:p>
              </w:tc>
              <w:tc>
                <w:tcPr>
                  <w:tcW w:w="428" w:type="pct"/>
                  <w:tcBorders>
                    <w:top w:val="nil"/>
                    <w:left w:val="nil"/>
                    <w:bottom w:val="nil"/>
                    <w:right w:val="nil"/>
                  </w:tcBorders>
                  <w:shd w:val="clear" w:color="auto" w:fill="auto"/>
                  <w:tcMar>
                    <w:left w:w="0" w:type="dxa"/>
                    <w:right w:w="0" w:type="dxa"/>
                  </w:tcMar>
                  <w:vAlign w:val="center"/>
                  <w:hideMark/>
                </w:tcPr>
                <w:p w14:paraId="7954BB00" w14:textId="77777777" w:rsidR="00F05DC7" w:rsidRPr="00791D71" w:rsidRDefault="00F05DC7" w:rsidP="00A3786D">
                  <w:pPr>
                    <w:pStyle w:val="TableBodyText"/>
                  </w:pPr>
                  <w:r>
                    <w:t>3.53</w:t>
                  </w:r>
                </w:p>
              </w:tc>
            </w:tr>
            <w:tr w:rsidR="00F05DC7" w14:paraId="7954BB03" w14:textId="77777777" w:rsidTr="00A3786D">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7954BB02"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$m</w:t>
                  </w:r>
                  <w:r w:rsidRPr="00791D71">
                    <w:rPr>
                      <w:rFonts w:asciiTheme="minorHAnsi" w:hAnsiTheme="minorHAnsi" w:cstheme="minorHAnsi"/>
                      <w:b/>
                      <w:bCs/>
                      <w:color w:val="000000"/>
                      <w:sz w:val="18"/>
                      <w:szCs w:val="18"/>
                    </w:rPr>
                    <w:t>)</w:t>
                  </w:r>
                </w:p>
              </w:tc>
            </w:tr>
            <w:tr w:rsidR="00F05DC7" w14:paraId="7954BB0D" w14:textId="77777777" w:rsidTr="00A3786D">
              <w:trPr>
                <w:trHeight w:val="288"/>
              </w:trPr>
              <w:tc>
                <w:tcPr>
                  <w:tcW w:w="1577" w:type="pct"/>
                  <w:tcBorders>
                    <w:top w:val="nil"/>
                    <w:left w:val="nil"/>
                    <w:bottom w:val="nil"/>
                    <w:right w:val="nil"/>
                  </w:tcBorders>
                  <w:shd w:val="clear" w:color="auto" w:fill="auto"/>
                  <w:tcMar>
                    <w:left w:w="0" w:type="dxa"/>
                    <w:right w:w="0" w:type="dxa"/>
                  </w:tcMar>
                  <w:vAlign w:val="center"/>
                  <w:hideMark/>
                </w:tcPr>
                <w:p w14:paraId="7954BB04" w14:textId="77777777" w:rsidR="00F05DC7" w:rsidRPr="00791D71" w:rsidRDefault="00F05DC7" w:rsidP="00A3786D">
                  <w:pPr>
                    <w:pStyle w:val="TableBodyText"/>
                    <w:jc w:val="left"/>
                  </w:pPr>
                  <w:r w:rsidRPr="00791D71">
                    <w:t>G</w:t>
                  </w:r>
                  <w:r>
                    <w:t>ross state product</w:t>
                  </w:r>
                </w:p>
              </w:tc>
              <w:tc>
                <w:tcPr>
                  <w:tcW w:w="427" w:type="pct"/>
                  <w:tcBorders>
                    <w:top w:val="nil"/>
                    <w:left w:val="nil"/>
                    <w:bottom w:val="nil"/>
                    <w:right w:val="nil"/>
                  </w:tcBorders>
                  <w:shd w:val="clear" w:color="auto" w:fill="auto"/>
                  <w:tcMar>
                    <w:left w:w="0" w:type="dxa"/>
                    <w:right w:w="0" w:type="dxa"/>
                  </w:tcMar>
                  <w:vAlign w:val="center"/>
                  <w:hideMark/>
                </w:tcPr>
                <w:p w14:paraId="7954BB05" w14:textId="77777777" w:rsidR="00F05DC7" w:rsidRPr="00791D71" w:rsidRDefault="00F05DC7" w:rsidP="00A3786D">
                  <w:pPr>
                    <w:pStyle w:val="TableBodyText"/>
                  </w:pPr>
                  <w:r>
                    <w:t>210</w:t>
                  </w:r>
                </w:p>
              </w:tc>
              <w:tc>
                <w:tcPr>
                  <w:tcW w:w="428" w:type="pct"/>
                  <w:tcBorders>
                    <w:top w:val="nil"/>
                    <w:left w:val="nil"/>
                    <w:bottom w:val="nil"/>
                    <w:right w:val="nil"/>
                  </w:tcBorders>
                  <w:shd w:val="clear" w:color="auto" w:fill="auto"/>
                  <w:tcMar>
                    <w:left w:w="0" w:type="dxa"/>
                    <w:right w:w="0" w:type="dxa"/>
                  </w:tcMar>
                  <w:vAlign w:val="center"/>
                  <w:hideMark/>
                </w:tcPr>
                <w:p w14:paraId="7954BB06" w14:textId="77777777" w:rsidR="00F05DC7" w:rsidRPr="00791D71" w:rsidRDefault="00F05DC7" w:rsidP="00A3786D">
                  <w:pPr>
                    <w:pStyle w:val="TableBodyText"/>
                  </w:pPr>
                  <w:r>
                    <w:t>378</w:t>
                  </w:r>
                </w:p>
              </w:tc>
              <w:tc>
                <w:tcPr>
                  <w:tcW w:w="428" w:type="pct"/>
                  <w:tcBorders>
                    <w:top w:val="nil"/>
                    <w:left w:val="nil"/>
                    <w:bottom w:val="nil"/>
                    <w:right w:val="nil"/>
                  </w:tcBorders>
                  <w:shd w:val="clear" w:color="auto" w:fill="auto"/>
                  <w:tcMar>
                    <w:left w:w="0" w:type="dxa"/>
                    <w:right w:w="0" w:type="dxa"/>
                  </w:tcMar>
                  <w:vAlign w:val="center"/>
                  <w:hideMark/>
                </w:tcPr>
                <w:p w14:paraId="7954BB07" w14:textId="77777777" w:rsidR="00F05DC7" w:rsidRPr="00791D71" w:rsidRDefault="00F05DC7" w:rsidP="00A3786D">
                  <w:pPr>
                    <w:pStyle w:val="TableBodyText"/>
                  </w:pPr>
                  <w:r>
                    <w:t>1 754</w:t>
                  </w:r>
                </w:p>
              </w:tc>
              <w:tc>
                <w:tcPr>
                  <w:tcW w:w="428" w:type="pct"/>
                  <w:tcBorders>
                    <w:top w:val="nil"/>
                    <w:left w:val="nil"/>
                    <w:bottom w:val="nil"/>
                    <w:right w:val="nil"/>
                  </w:tcBorders>
                  <w:shd w:val="clear" w:color="auto" w:fill="auto"/>
                  <w:tcMar>
                    <w:left w:w="0" w:type="dxa"/>
                    <w:right w:w="0" w:type="dxa"/>
                  </w:tcMar>
                  <w:vAlign w:val="center"/>
                  <w:hideMark/>
                </w:tcPr>
                <w:p w14:paraId="7954BB08" w14:textId="77777777" w:rsidR="00F05DC7" w:rsidRPr="00791D71" w:rsidRDefault="00F05DC7" w:rsidP="00A3786D">
                  <w:pPr>
                    <w:pStyle w:val="TableBodyText"/>
                  </w:pPr>
                  <w:r>
                    <w:t>-121</w:t>
                  </w:r>
                </w:p>
              </w:tc>
              <w:tc>
                <w:tcPr>
                  <w:tcW w:w="428" w:type="pct"/>
                  <w:tcBorders>
                    <w:top w:val="nil"/>
                    <w:left w:val="nil"/>
                    <w:bottom w:val="nil"/>
                    <w:right w:val="nil"/>
                  </w:tcBorders>
                  <w:shd w:val="clear" w:color="auto" w:fill="auto"/>
                  <w:tcMar>
                    <w:left w:w="0" w:type="dxa"/>
                    <w:right w:w="0" w:type="dxa"/>
                  </w:tcMar>
                  <w:vAlign w:val="center"/>
                  <w:hideMark/>
                </w:tcPr>
                <w:p w14:paraId="7954BB09" w14:textId="77777777" w:rsidR="00F05DC7" w:rsidRPr="00791D71" w:rsidRDefault="00F05DC7" w:rsidP="00A3786D">
                  <w:pPr>
                    <w:pStyle w:val="TableBodyText"/>
                  </w:pPr>
                  <w:r w:rsidRPr="00791D71">
                    <w:t>-</w:t>
                  </w:r>
                  <w:r>
                    <w:t>423</w:t>
                  </w:r>
                </w:p>
              </w:tc>
              <w:tc>
                <w:tcPr>
                  <w:tcW w:w="428" w:type="pct"/>
                  <w:tcBorders>
                    <w:top w:val="nil"/>
                    <w:left w:val="nil"/>
                    <w:bottom w:val="nil"/>
                    <w:right w:val="nil"/>
                  </w:tcBorders>
                  <w:shd w:val="clear" w:color="auto" w:fill="auto"/>
                  <w:tcMar>
                    <w:left w:w="0" w:type="dxa"/>
                    <w:right w:w="0" w:type="dxa"/>
                  </w:tcMar>
                  <w:vAlign w:val="center"/>
                  <w:hideMark/>
                </w:tcPr>
                <w:p w14:paraId="7954BB0A" w14:textId="77777777" w:rsidR="00F05DC7" w:rsidRPr="00791D71" w:rsidRDefault="00F05DC7" w:rsidP="00A3786D">
                  <w:pPr>
                    <w:pStyle w:val="TableBodyText"/>
                  </w:pPr>
                  <w:r>
                    <w:t>-91</w:t>
                  </w:r>
                </w:p>
              </w:tc>
              <w:tc>
                <w:tcPr>
                  <w:tcW w:w="428" w:type="pct"/>
                  <w:tcBorders>
                    <w:top w:val="nil"/>
                    <w:left w:val="nil"/>
                    <w:bottom w:val="nil"/>
                    <w:right w:val="nil"/>
                  </w:tcBorders>
                  <w:shd w:val="clear" w:color="auto" w:fill="auto"/>
                  <w:tcMar>
                    <w:left w:w="0" w:type="dxa"/>
                    <w:right w:w="0" w:type="dxa"/>
                  </w:tcMar>
                  <w:vAlign w:val="center"/>
                  <w:hideMark/>
                </w:tcPr>
                <w:p w14:paraId="7954BB0B" w14:textId="77777777" w:rsidR="00F05DC7" w:rsidRPr="00791D71" w:rsidRDefault="00F05DC7" w:rsidP="00A3786D">
                  <w:pPr>
                    <w:pStyle w:val="TableBodyText"/>
                  </w:pPr>
                  <w:r w:rsidRPr="00791D71">
                    <w:t>-1</w:t>
                  </w:r>
                  <w:r>
                    <w:t> 023</w:t>
                  </w:r>
                </w:p>
              </w:tc>
              <w:tc>
                <w:tcPr>
                  <w:tcW w:w="428" w:type="pct"/>
                  <w:tcBorders>
                    <w:top w:val="nil"/>
                    <w:left w:val="nil"/>
                    <w:bottom w:val="nil"/>
                    <w:right w:val="nil"/>
                  </w:tcBorders>
                  <w:shd w:val="clear" w:color="auto" w:fill="auto"/>
                  <w:tcMar>
                    <w:left w:w="0" w:type="dxa"/>
                    <w:right w:w="0" w:type="dxa"/>
                  </w:tcMar>
                  <w:vAlign w:val="center"/>
                  <w:hideMark/>
                </w:tcPr>
                <w:p w14:paraId="7954BB0C" w14:textId="77777777" w:rsidR="00F05DC7" w:rsidRPr="00791D71" w:rsidRDefault="00F05DC7" w:rsidP="00A3786D">
                  <w:pPr>
                    <w:pStyle w:val="TableBodyText"/>
                  </w:pPr>
                  <w:r>
                    <w:t>-684</w:t>
                  </w:r>
                </w:p>
              </w:tc>
            </w:tr>
            <w:tr w:rsidR="00F05DC7" w14:paraId="7954BB17" w14:textId="77777777" w:rsidTr="00A3786D">
              <w:trPr>
                <w:trHeight w:val="288"/>
              </w:trPr>
              <w:tc>
                <w:tcPr>
                  <w:tcW w:w="1577" w:type="pct"/>
                  <w:tcBorders>
                    <w:top w:val="nil"/>
                    <w:left w:val="nil"/>
                    <w:bottom w:val="nil"/>
                    <w:right w:val="nil"/>
                  </w:tcBorders>
                  <w:shd w:val="clear" w:color="auto" w:fill="auto"/>
                  <w:tcMar>
                    <w:left w:w="0" w:type="dxa"/>
                    <w:right w:w="0" w:type="dxa"/>
                  </w:tcMar>
                  <w:vAlign w:val="center"/>
                  <w:hideMark/>
                </w:tcPr>
                <w:p w14:paraId="7954BB0E" w14:textId="77777777" w:rsidR="00F05DC7" w:rsidRPr="00791D71" w:rsidRDefault="00F05DC7" w:rsidP="00A3786D">
                  <w:pPr>
                    <w:pStyle w:val="TableBodyText"/>
                    <w:jc w:val="left"/>
                  </w:pPr>
                  <w:r>
                    <w:t>Gross disposable income</w:t>
                  </w:r>
                </w:p>
              </w:tc>
              <w:tc>
                <w:tcPr>
                  <w:tcW w:w="427" w:type="pct"/>
                  <w:tcBorders>
                    <w:top w:val="nil"/>
                    <w:left w:val="nil"/>
                    <w:bottom w:val="nil"/>
                    <w:right w:val="nil"/>
                  </w:tcBorders>
                  <w:shd w:val="clear" w:color="auto" w:fill="auto"/>
                  <w:tcMar>
                    <w:left w:w="0" w:type="dxa"/>
                    <w:right w:w="0" w:type="dxa"/>
                  </w:tcMar>
                  <w:vAlign w:val="center"/>
                  <w:hideMark/>
                </w:tcPr>
                <w:p w14:paraId="7954BB0F" w14:textId="77777777" w:rsidR="00F05DC7" w:rsidRPr="00791D71" w:rsidRDefault="00F05DC7" w:rsidP="00A3786D">
                  <w:pPr>
                    <w:pStyle w:val="TableBodyText"/>
                  </w:pPr>
                  <w:r w:rsidRPr="00791D71">
                    <w:t>-</w:t>
                  </w:r>
                  <w:r>
                    <w:t>1 960</w:t>
                  </w:r>
                </w:p>
              </w:tc>
              <w:tc>
                <w:tcPr>
                  <w:tcW w:w="428" w:type="pct"/>
                  <w:tcBorders>
                    <w:top w:val="nil"/>
                    <w:left w:val="nil"/>
                    <w:bottom w:val="nil"/>
                    <w:right w:val="nil"/>
                  </w:tcBorders>
                  <w:shd w:val="clear" w:color="auto" w:fill="auto"/>
                  <w:tcMar>
                    <w:left w:w="0" w:type="dxa"/>
                    <w:right w:w="0" w:type="dxa"/>
                  </w:tcMar>
                  <w:vAlign w:val="center"/>
                  <w:hideMark/>
                </w:tcPr>
                <w:p w14:paraId="7954BB10" w14:textId="77777777" w:rsidR="00F05DC7" w:rsidRPr="00791D71" w:rsidRDefault="00F05DC7" w:rsidP="00A3786D">
                  <w:pPr>
                    <w:pStyle w:val="TableBodyText"/>
                  </w:pPr>
                  <w:r>
                    <w:t>641</w:t>
                  </w:r>
                </w:p>
              </w:tc>
              <w:tc>
                <w:tcPr>
                  <w:tcW w:w="428" w:type="pct"/>
                  <w:tcBorders>
                    <w:top w:val="nil"/>
                    <w:left w:val="nil"/>
                    <w:bottom w:val="nil"/>
                    <w:right w:val="nil"/>
                  </w:tcBorders>
                  <w:shd w:val="clear" w:color="auto" w:fill="auto"/>
                  <w:tcMar>
                    <w:left w:w="0" w:type="dxa"/>
                    <w:right w:w="0" w:type="dxa"/>
                  </w:tcMar>
                  <w:vAlign w:val="center"/>
                  <w:hideMark/>
                </w:tcPr>
                <w:p w14:paraId="7954BB11" w14:textId="77777777" w:rsidR="00F05DC7" w:rsidRPr="00791D71" w:rsidRDefault="00F05DC7" w:rsidP="00A3786D">
                  <w:pPr>
                    <w:pStyle w:val="TableBodyText"/>
                  </w:pPr>
                  <w:r w:rsidRPr="00791D71">
                    <w:t>1</w:t>
                  </w:r>
                  <w:r>
                    <w:t> 705</w:t>
                  </w:r>
                </w:p>
              </w:tc>
              <w:tc>
                <w:tcPr>
                  <w:tcW w:w="428" w:type="pct"/>
                  <w:tcBorders>
                    <w:top w:val="nil"/>
                    <w:left w:val="nil"/>
                    <w:bottom w:val="nil"/>
                    <w:right w:val="nil"/>
                  </w:tcBorders>
                  <w:shd w:val="clear" w:color="auto" w:fill="auto"/>
                  <w:tcMar>
                    <w:left w:w="0" w:type="dxa"/>
                    <w:right w:w="0" w:type="dxa"/>
                  </w:tcMar>
                  <w:vAlign w:val="center"/>
                  <w:hideMark/>
                </w:tcPr>
                <w:p w14:paraId="7954BB12" w14:textId="77777777" w:rsidR="00F05DC7" w:rsidRPr="00791D71" w:rsidRDefault="00F05DC7" w:rsidP="00A3786D">
                  <w:pPr>
                    <w:pStyle w:val="TableBodyText"/>
                  </w:pPr>
                  <w:r>
                    <w:t>3 815</w:t>
                  </w:r>
                </w:p>
              </w:tc>
              <w:tc>
                <w:tcPr>
                  <w:tcW w:w="428" w:type="pct"/>
                  <w:tcBorders>
                    <w:top w:val="nil"/>
                    <w:left w:val="nil"/>
                    <w:bottom w:val="nil"/>
                    <w:right w:val="nil"/>
                  </w:tcBorders>
                  <w:shd w:val="clear" w:color="auto" w:fill="auto"/>
                  <w:tcMar>
                    <w:left w:w="0" w:type="dxa"/>
                    <w:right w:w="0" w:type="dxa"/>
                  </w:tcMar>
                  <w:vAlign w:val="center"/>
                  <w:hideMark/>
                </w:tcPr>
                <w:p w14:paraId="7954BB13" w14:textId="77777777" w:rsidR="00F05DC7" w:rsidRPr="00791D71" w:rsidRDefault="00F05DC7" w:rsidP="00A3786D">
                  <w:pPr>
                    <w:pStyle w:val="TableBodyText"/>
                  </w:pPr>
                  <w:r w:rsidRPr="00791D71">
                    <w:t>-1</w:t>
                  </w:r>
                  <w:r>
                    <w:t> </w:t>
                  </w:r>
                  <w:r w:rsidRPr="00791D71">
                    <w:t>0</w:t>
                  </w:r>
                  <w:r>
                    <w:t>56</w:t>
                  </w:r>
                </w:p>
              </w:tc>
              <w:tc>
                <w:tcPr>
                  <w:tcW w:w="428" w:type="pct"/>
                  <w:tcBorders>
                    <w:top w:val="nil"/>
                    <w:left w:val="nil"/>
                    <w:bottom w:val="nil"/>
                    <w:right w:val="nil"/>
                  </w:tcBorders>
                  <w:shd w:val="clear" w:color="auto" w:fill="auto"/>
                  <w:tcMar>
                    <w:left w:w="0" w:type="dxa"/>
                    <w:right w:w="0" w:type="dxa"/>
                  </w:tcMar>
                  <w:vAlign w:val="center"/>
                  <w:hideMark/>
                </w:tcPr>
                <w:p w14:paraId="7954BB14" w14:textId="77777777" w:rsidR="00F05DC7" w:rsidRPr="00791D71" w:rsidRDefault="00F05DC7" w:rsidP="00A3786D">
                  <w:pPr>
                    <w:pStyle w:val="TableBodyText"/>
                  </w:pPr>
                  <w:r w:rsidRPr="00791D71">
                    <w:t>-30</w:t>
                  </w:r>
                  <w:r>
                    <w:t>1</w:t>
                  </w:r>
                </w:p>
              </w:tc>
              <w:tc>
                <w:tcPr>
                  <w:tcW w:w="428" w:type="pct"/>
                  <w:tcBorders>
                    <w:top w:val="nil"/>
                    <w:left w:val="nil"/>
                    <w:bottom w:val="nil"/>
                    <w:right w:val="nil"/>
                  </w:tcBorders>
                  <w:shd w:val="clear" w:color="auto" w:fill="auto"/>
                  <w:tcMar>
                    <w:left w:w="0" w:type="dxa"/>
                    <w:right w:w="0" w:type="dxa"/>
                  </w:tcMar>
                  <w:vAlign w:val="center"/>
                  <w:hideMark/>
                </w:tcPr>
                <w:p w14:paraId="7954BB15" w14:textId="77777777" w:rsidR="00F05DC7" w:rsidRPr="00791D71" w:rsidRDefault="00F05DC7" w:rsidP="00A3786D">
                  <w:pPr>
                    <w:pStyle w:val="TableBodyText"/>
                  </w:pPr>
                  <w:r w:rsidRPr="00791D71">
                    <w:t>-</w:t>
                  </w:r>
                  <w:r>
                    <w:t>2 377</w:t>
                  </w:r>
                </w:p>
              </w:tc>
              <w:tc>
                <w:tcPr>
                  <w:tcW w:w="428" w:type="pct"/>
                  <w:tcBorders>
                    <w:top w:val="nil"/>
                    <w:left w:val="nil"/>
                    <w:bottom w:val="nil"/>
                    <w:right w:val="nil"/>
                  </w:tcBorders>
                  <w:shd w:val="clear" w:color="auto" w:fill="auto"/>
                  <w:tcMar>
                    <w:left w:w="0" w:type="dxa"/>
                    <w:right w:w="0" w:type="dxa"/>
                  </w:tcMar>
                  <w:vAlign w:val="center"/>
                  <w:hideMark/>
                </w:tcPr>
                <w:p w14:paraId="7954BB16" w14:textId="77777777" w:rsidR="00F05DC7" w:rsidRPr="00791D71" w:rsidRDefault="00F05DC7" w:rsidP="00A3786D">
                  <w:pPr>
                    <w:pStyle w:val="TableBodyText"/>
                  </w:pPr>
                  <w:r w:rsidRPr="00791D71">
                    <w:t>-</w:t>
                  </w:r>
                  <w:r>
                    <w:t>468</w:t>
                  </w:r>
                </w:p>
              </w:tc>
            </w:tr>
            <w:tr w:rsidR="00F05DC7" w14:paraId="7954BB19" w14:textId="77777777" w:rsidTr="00A3786D">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7954BB18" w14:textId="77777777" w:rsidR="00F05DC7" w:rsidRPr="00791D71" w:rsidRDefault="00F05DC7" w:rsidP="00A3786D">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$pc</w:t>
                  </w:r>
                  <w:r w:rsidRPr="00791D71">
                    <w:rPr>
                      <w:rFonts w:asciiTheme="minorHAnsi" w:hAnsiTheme="minorHAnsi" w:cstheme="minorHAnsi"/>
                      <w:b/>
                      <w:bCs/>
                      <w:color w:val="000000"/>
                      <w:sz w:val="18"/>
                      <w:szCs w:val="18"/>
                    </w:rPr>
                    <w:t>)</w:t>
                  </w:r>
                </w:p>
              </w:tc>
            </w:tr>
            <w:tr w:rsidR="00F05DC7" w14:paraId="7954BB23" w14:textId="77777777" w:rsidTr="00A3786D">
              <w:trPr>
                <w:trHeight w:val="288"/>
              </w:trPr>
              <w:tc>
                <w:tcPr>
                  <w:tcW w:w="1577" w:type="pct"/>
                  <w:tcBorders>
                    <w:top w:val="nil"/>
                    <w:left w:val="nil"/>
                    <w:bottom w:val="nil"/>
                    <w:right w:val="nil"/>
                  </w:tcBorders>
                  <w:shd w:val="clear" w:color="auto" w:fill="auto"/>
                  <w:tcMar>
                    <w:left w:w="0" w:type="dxa"/>
                    <w:right w:w="0" w:type="dxa"/>
                  </w:tcMar>
                  <w:vAlign w:val="center"/>
                  <w:hideMark/>
                </w:tcPr>
                <w:p w14:paraId="7954BB1A" w14:textId="77777777" w:rsidR="00F05DC7" w:rsidRPr="00791D71" w:rsidRDefault="00F05DC7" w:rsidP="00A3786D">
                  <w:pPr>
                    <w:pStyle w:val="TableBodyText"/>
                    <w:jc w:val="left"/>
                  </w:pPr>
                  <w:r w:rsidRPr="00791D71">
                    <w:t>G</w:t>
                  </w:r>
                  <w:r>
                    <w:t>ross state product</w:t>
                  </w:r>
                </w:p>
              </w:tc>
              <w:tc>
                <w:tcPr>
                  <w:tcW w:w="427" w:type="pct"/>
                  <w:tcBorders>
                    <w:top w:val="nil"/>
                    <w:left w:val="nil"/>
                    <w:bottom w:val="nil"/>
                    <w:right w:val="nil"/>
                  </w:tcBorders>
                  <w:shd w:val="clear" w:color="auto" w:fill="auto"/>
                  <w:tcMar>
                    <w:left w:w="0" w:type="dxa"/>
                    <w:right w:w="0" w:type="dxa"/>
                  </w:tcMar>
                  <w:vAlign w:val="center"/>
                  <w:hideMark/>
                </w:tcPr>
                <w:p w14:paraId="7954BB1B" w14:textId="77777777" w:rsidR="00F05DC7" w:rsidRPr="00791D71" w:rsidRDefault="00F05DC7" w:rsidP="00A3786D">
                  <w:pPr>
                    <w:pStyle w:val="TableBodyText"/>
                  </w:pPr>
                  <w:r>
                    <w:t>26</w:t>
                  </w:r>
                </w:p>
              </w:tc>
              <w:tc>
                <w:tcPr>
                  <w:tcW w:w="428" w:type="pct"/>
                  <w:tcBorders>
                    <w:top w:val="nil"/>
                    <w:left w:val="nil"/>
                    <w:bottom w:val="nil"/>
                    <w:right w:val="nil"/>
                  </w:tcBorders>
                  <w:shd w:val="clear" w:color="auto" w:fill="auto"/>
                  <w:tcMar>
                    <w:left w:w="0" w:type="dxa"/>
                    <w:right w:w="0" w:type="dxa"/>
                  </w:tcMar>
                  <w:vAlign w:val="center"/>
                  <w:hideMark/>
                </w:tcPr>
                <w:p w14:paraId="7954BB1C" w14:textId="77777777" w:rsidR="00F05DC7" w:rsidRPr="00791D71" w:rsidRDefault="00F05DC7" w:rsidP="00A3786D">
                  <w:pPr>
                    <w:pStyle w:val="TableBodyText"/>
                  </w:pPr>
                  <w:r>
                    <w:t>58</w:t>
                  </w:r>
                </w:p>
              </w:tc>
              <w:tc>
                <w:tcPr>
                  <w:tcW w:w="428" w:type="pct"/>
                  <w:tcBorders>
                    <w:top w:val="nil"/>
                    <w:left w:val="nil"/>
                    <w:bottom w:val="nil"/>
                    <w:right w:val="nil"/>
                  </w:tcBorders>
                  <w:shd w:val="clear" w:color="auto" w:fill="auto"/>
                  <w:tcMar>
                    <w:left w:w="0" w:type="dxa"/>
                    <w:right w:w="0" w:type="dxa"/>
                  </w:tcMar>
                  <w:vAlign w:val="center"/>
                  <w:hideMark/>
                </w:tcPr>
                <w:p w14:paraId="7954BB1D" w14:textId="77777777" w:rsidR="00F05DC7" w:rsidRPr="00791D71" w:rsidRDefault="00F05DC7" w:rsidP="00A3786D">
                  <w:pPr>
                    <w:pStyle w:val="TableBodyText"/>
                  </w:pPr>
                  <w:r>
                    <w:t>349</w:t>
                  </w:r>
                </w:p>
              </w:tc>
              <w:tc>
                <w:tcPr>
                  <w:tcW w:w="428" w:type="pct"/>
                  <w:tcBorders>
                    <w:top w:val="nil"/>
                    <w:left w:val="nil"/>
                    <w:bottom w:val="nil"/>
                    <w:right w:val="nil"/>
                  </w:tcBorders>
                  <w:shd w:val="clear" w:color="auto" w:fill="auto"/>
                  <w:tcMar>
                    <w:left w:w="0" w:type="dxa"/>
                    <w:right w:w="0" w:type="dxa"/>
                  </w:tcMar>
                  <w:vAlign w:val="center"/>
                  <w:hideMark/>
                </w:tcPr>
                <w:p w14:paraId="7954BB1E" w14:textId="77777777" w:rsidR="00F05DC7" w:rsidRPr="00791D71" w:rsidRDefault="00F05DC7" w:rsidP="00A3786D">
                  <w:pPr>
                    <w:pStyle w:val="TableBodyText"/>
                  </w:pPr>
                  <w:r>
                    <w:t>-46</w:t>
                  </w:r>
                </w:p>
              </w:tc>
              <w:tc>
                <w:tcPr>
                  <w:tcW w:w="428" w:type="pct"/>
                  <w:tcBorders>
                    <w:top w:val="nil"/>
                    <w:left w:val="nil"/>
                    <w:bottom w:val="nil"/>
                    <w:right w:val="nil"/>
                  </w:tcBorders>
                  <w:shd w:val="clear" w:color="auto" w:fill="auto"/>
                  <w:tcMar>
                    <w:left w:w="0" w:type="dxa"/>
                    <w:right w:w="0" w:type="dxa"/>
                  </w:tcMar>
                  <w:vAlign w:val="center"/>
                  <w:hideMark/>
                </w:tcPr>
                <w:p w14:paraId="7954BB1F" w14:textId="77777777" w:rsidR="00F05DC7" w:rsidRPr="00791D71" w:rsidRDefault="00F05DC7" w:rsidP="00A3786D">
                  <w:pPr>
                    <w:pStyle w:val="TableBodyText"/>
                  </w:pPr>
                  <w:r w:rsidRPr="00791D71">
                    <w:t>-</w:t>
                  </w:r>
                  <w:r>
                    <w:t>243</w:t>
                  </w:r>
                </w:p>
              </w:tc>
              <w:tc>
                <w:tcPr>
                  <w:tcW w:w="428" w:type="pct"/>
                  <w:tcBorders>
                    <w:top w:val="nil"/>
                    <w:left w:val="nil"/>
                    <w:bottom w:val="nil"/>
                    <w:right w:val="nil"/>
                  </w:tcBorders>
                  <w:shd w:val="clear" w:color="auto" w:fill="auto"/>
                  <w:tcMar>
                    <w:left w:w="0" w:type="dxa"/>
                    <w:right w:w="0" w:type="dxa"/>
                  </w:tcMar>
                  <w:vAlign w:val="center"/>
                  <w:hideMark/>
                </w:tcPr>
                <w:p w14:paraId="7954BB20" w14:textId="77777777" w:rsidR="00F05DC7" w:rsidRPr="00791D71" w:rsidRDefault="00F05DC7" w:rsidP="00A3786D">
                  <w:pPr>
                    <w:pStyle w:val="TableBodyText"/>
                  </w:pPr>
                  <w:r>
                    <w:t>-173</w:t>
                  </w:r>
                </w:p>
              </w:tc>
              <w:tc>
                <w:tcPr>
                  <w:tcW w:w="428" w:type="pct"/>
                  <w:tcBorders>
                    <w:top w:val="nil"/>
                    <w:left w:val="nil"/>
                    <w:bottom w:val="nil"/>
                    <w:right w:val="nil"/>
                  </w:tcBorders>
                  <w:shd w:val="clear" w:color="auto" w:fill="auto"/>
                  <w:tcMar>
                    <w:left w:w="0" w:type="dxa"/>
                    <w:right w:w="0" w:type="dxa"/>
                  </w:tcMar>
                  <w:vAlign w:val="center"/>
                  <w:hideMark/>
                </w:tcPr>
                <w:p w14:paraId="7954BB21" w14:textId="77777777" w:rsidR="00F05DC7" w:rsidRPr="00791D71" w:rsidRDefault="00F05DC7" w:rsidP="00A3786D">
                  <w:pPr>
                    <w:pStyle w:val="TableBodyText"/>
                  </w:pPr>
                  <w:r w:rsidRPr="00791D71">
                    <w:t>-2</w:t>
                  </w:r>
                  <w:r>
                    <w:t> 443</w:t>
                  </w:r>
                </w:p>
              </w:tc>
              <w:tc>
                <w:tcPr>
                  <w:tcW w:w="428" w:type="pct"/>
                  <w:tcBorders>
                    <w:top w:val="nil"/>
                    <w:left w:val="nil"/>
                    <w:bottom w:val="nil"/>
                    <w:right w:val="nil"/>
                  </w:tcBorders>
                  <w:shd w:val="clear" w:color="auto" w:fill="auto"/>
                  <w:tcMar>
                    <w:left w:w="0" w:type="dxa"/>
                    <w:right w:w="0" w:type="dxa"/>
                  </w:tcMar>
                  <w:vAlign w:val="center"/>
                  <w:hideMark/>
                </w:tcPr>
                <w:p w14:paraId="7954BB22" w14:textId="77777777" w:rsidR="00F05DC7" w:rsidRPr="00791D71" w:rsidRDefault="00F05DC7" w:rsidP="00A3786D">
                  <w:pPr>
                    <w:pStyle w:val="TableBodyText"/>
                  </w:pPr>
                  <w:r w:rsidRPr="00791D71">
                    <w:t>-2</w:t>
                  </w:r>
                  <w:r>
                    <w:t> 775</w:t>
                  </w:r>
                </w:p>
              </w:tc>
            </w:tr>
            <w:tr w:rsidR="00F05DC7" w14:paraId="7954BB2D" w14:textId="77777777" w:rsidTr="00A3786D">
              <w:trPr>
                <w:trHeight w:val="300"/>
              </w:trPr>
              <w:tc>
                <w:tcPr>
                  <w:tcW w:w="1577" w:type="pct"/>
                  <w:tcBorders>
                    <w:top w:val="nil"/>
                    <w:left w:val="nil"/>
                    <w:bottom w:val="nil"/>
                    <w:right w:val="nil"/>
                  </w:tcBorders>
                  <w:shd w:val="clear" w:color="auto" w:fill="auto"/>
                  <w:tcMar>
                    <w:left w:w="0" w:type="dxa"/>
                    <w:right w:w="0" w:type="dxa"/>
                  </w:tcMar>
                  <w:vAlign w:val="center"/>
                  <w:hideMark/>
                </w:tcPr>
                <w:p w14:paraId="7954BB24" w14:textId="77777777" w:rsidR="00F05DC7" w:rsidRPr="00791D71" w:rsidRDefault="00F05DC7" w:rsidP="00A3786D">
                  <w:pPr>
                    <w:pStyle w:val="TableBodyText"/>
                    <w:jc w:val="left"/>
                  </w:pPr>
                  <w:r>
                    <w:t>Gross disposable income</w:t>
                  </w:r>
                </w:p>
              </w:tc>
              <w:tc>
                <w:tcPr>
                  <w:tcW w:w="427" w:type="pct"/>
                  <w:tcBorders>
                    <w:top w:val="nil"/>
                    <w:left w:val="nil"/>
                    <w:bottom w:val="nil"/>
                    <w:right w:val="nil"/>
                  </w:tcBorders>
                  <w:shd w:val="clear" w:color="auto" w:fill="auto"/>
                  <w:tcMar>
                    <w:left w:w="0" w:type="dxa"/>
                    <w:right w:w="0" w:type="dxa"/>
                  </w:tcMar>
                  <w:vAlign w:val="center"/>
                  <w:hideMark/>
                </w:tcPr>
                <w:p w14:paraId="7954BB25" w14:textId="77777777" w:rsidR="00F05DC7" w:rsidRPr="00791D71" w:rsidRDefault="00F05DC7" w:rsidP="00A3786D">
                  <w:pPr>
                    <w:pStyle w:val="TableBodyText"/>
                  </w:pPr>
                  <w:r w:rsidRPr="00791D71">
                    <w:t>-</w:t>
                  </w:r>
                  <w:r>
                    <w:t>244</w:t>
                  </w:r>
                </w:p>
              </w:tc>
              <w:tc>
                <w:tcPr>
                  <w:tcW w:w="428" w:type="pct"/>
                  <w:tcBorders>
                    <w:top w:val="nil"/>
                    <w:left w:val="nil"/>
                    <w:bottom w:val="nil"/>
                    <w:right w:val="nil"/>
                  </w:tcBorders>
                  <w:shd w:val="clear" w:color="auto" w:fill="auto"/>
                  <w:tcMar>
                    <w:left w:w="0" w:type="dxa"/>
                    <w:right w:w="0" w:type="dxa"/>
                  </w:tcMar>
                  <w:vAlign w:val="center"/>
                  <w:hideMark/>
                </w:tcPr>
                <w:p w14:paraId="7954BB26" w14:textId="77777777" w:rsidR="00F05DC7" w:rsidRPr="00791D71" w:rsidRDefault="00F05DC7" w:rsidP="00A3786D">
                  <w:pPr>
                    <w:pStyle w:val="TableBodyText"/>
                  </w:pPr>
                  <w:r>
                    <w:t>99</w:t>
                  </w:r>
                </w:p>
              </w:tc>
              <w:tc>
                <w:tcPr>
                  <w:tcW w:w="428" w:type="pct"/>
                  <w:tcBorders>
                    <w:top w:val="nil"/>
                    <w:left w:val="nil"/>
                    <w:bottom w:val="nil"/>
                    <w:right w:val="nil"/>
                  </w:tcBorders>
                  <w:shd w:val="clear" w:color="auto" w:fill="auto"/>
                  <w:tcMar>
                    <w:left w:w="0" w:type="dxa"/>
                    <w:right w:w="0" w:type="dxa"/>
                  </w:tcMar>
                  <w:vAlign w:val="center"/>
                  <w:hideMark/>
                </w:tcPr>
                <w:p w14:paraId="7954BB27" w14:textId="77777777" w:rsidR="00F05DC7" w:rsidRPr="00791D71" w:rsidRDefault="00F05DC7" w:rsidP="00A3786D">
                  <w:pPr>
                    <w:pStyle w:val="TableBodyText"/>
                  </w:pPr>
                  <w:r>
                    <w:t>340</w:t>
                  </w:r>
                </w:p>
              </w:tc>
              <w:tc>
                <w:tcPr>
                  <w:tcW w:w="428" w:type="pct"/>
                  <w:tcBorders>
                    <w:top w:val="nil"/>
                    <w:left w:val="nil"/>
                    <w:bottom w:val="nil"/>
                    <w:right w:val="nil"/>
                  </w:tcBorders>
                  <w:shd w:val="clear" w:color="auto" w:fill="auto"/>
                  <w:tcMar>
                    <w:left w:w="0" w:type="dxa"/>
                    <w:right w:w="0" w:type="dxa"/>
                  </w:tcMar>
                  <w:vAlign w:val="center"/>
                  <w:hideMark/>
                </w:tcPr>
                <w:p w14:paraId="7954BB28" w14:textId="77777777" w:rsidR="00F05DC7" w:rsidRPr="00791D71" w:rsidRDefault="00F05DC7" w:rsidP="00A3786D">
                  <w:pPr>
                    <w:pStyle w:val="TableBodyText"/>
                  </w:pPr>
                  <w:r w:rsidRPr="00791D71">
                    <w:t>1</w:t>
                  </w:r>
                  <w:r>
                    <w:t> 455</w:t>
                  </w:r>
                </w:p>
              </w:tc>
              <w:tc>
                <w:tcPr>
                  <w:tcW w:w="428" w:type="pct"/>
                  <w:tcBorders>
                    <w:top w:val="nil"/>
                    <w:left w:val="nil"/>
                    <w:bottom w:val="nil"/>
                    <w:right w:val="nil"/>
                  </w:tcBorders>
                  <w:shd w:val="clear" w:color="auto" w:fill="auto"/>
                  <w:tcMar>
                    <w:left w:w="0" w:type="dxa"/>
                    <w:right w:w="0" w:type="dxa"/>
                  </w:tcMar>
                  <w:vAlign w:val="center"/>
                  <w:hideMark/>
                </w:tcPr>
                <w:p w14:paraId="7954BB29" w14:textId="77777777" w:rsidR="00F05DC7" w:rsidRPr="00791D71" w:rsidRDefault="00F05DC7" w:rsidP="00A3786D">
                  <w:pPr>
                    <w:pStyle w:val="TableBodyText"/>
                  </w:pPr>
                  <w:r w:rsidRPr="00791D71">
                    <w:t>-</w:t>
                  </w:r>
                  <w:r>
                    <w:t>607</w:t>
                  </w:r>
                </w:p>
              </w:tc>
              <w:tc>
                <w:tcPr>
                  <w:tcW w:w="428" w:type="pct"/>
                  <w:tcBorders>
                    <w:top w:val="nil"/>
                    <w:left w:val="nil"/>
                    <w:bottom w:val="nil"/>
                    <w:right w:val="nil"/>
                  </w:tcBorders>
                  <w:shd w:val="clear" w:color="auto" w:fill="auto"/>
                  <w:tcMar>
                    <w:left w:w="0" w:type="dxa"/>
                    <w:right w:w="0" w:type="dxa"/>
                  </w:tcMar>
                  <w:vAlign w:val="center"/>
                  <w:hideMark/>
                </w:tcPr>
                <w:p w14:paraId="7954BB2A" w14:textId="77777777" w:rsidR="00F05DC7" w:rsidRPr="00791D71" w:rsidRDefault="00F05DC7" w:rsidP="00A3786D">
                  <w:pPr>
                    <w:pStyle w:val="TableBodyText"/>
                  </w:pPr>
                  <w:r w:rsidRPr="00791D71">
                    <w:t>-5</w:t>
                  </w:r>
                  <w:r>
                    <w:t>73</w:t>
                  </w:r>
                </w:p>
              </w:tc>
              <w:tc>
                <w:tcPr>
                  <w:tcW w:w="428" w:type="pct"/>
                  <w:tcBorders>
                    <w:top w:val="nil"/>
                    <w:left w:val="nil"/>
                    <w:bottom w:val="nil"/>
                    <w:right w:val="nil"/>
                  </w:tcBorders>
                  <w:shd w:val="clear" w:color="auto" w:fill="auto"/>
                  <w:tcMar>
                    <w:left w:w="0" w:type="dxa"/>
                    <w:right w:w="0" w:type="dxa"/>
                  </w:tcMar>
                  <w:vAlign w:val="center"/>
                  <w:hideMark/>
                </w:tcPr>
                <w:p w14:paraId="7954BB2B" w14:textId="77777777" w:rsidR="00F05DC7" w:rsidRPr="00791D71" w:rsidRDefault="00F05DC7" w:rsidP="00A3786D">
                  <w:pPr>
                    <w:pStyle w:val="TableBodyText"/>
                  </w:pPr>
                  <w:r w:rsidRPr="00791D71">
                    <w:t>-</w:t>
                  </w:r>
                  <w:r>
                    <w:t>5 679</w:t>
                  </w:r>
                </w:p>
              </w:tc>
              <w:tc>
                <w:tcPr>
                  <w:tcW w:w="428" w:type="pct"/>
                  <w:tcBorders>
                    <w:top w:val="nil"/>
                    <w:left w:val="nil"/>
                    <w:bottom w:val="nil"/>
                    <w:right w:val="nil"/>
                  </w:tcBorders>
                  <w:shd w:val="clear" w:color="auto" w:fill="auto"/>
                  <w:tcMar>
                    <w:left w:w="0" w:type="dxa"/>
                    <w:right w:w="0" w:type="dxa"/>
                  </w:tcMar>
                  <w:vAlign w:val="center"/>
                  <w:hideMark/>
                </w:tcPr>
                <w:p w14:paraId="7954BB2C" w14:textId="77777777" w:rsidR="00F05DC7" w:rsidRPr="00791D71" w:rsidRDefault="00F05DC7" w:rsidP="00A3786D">
                  <w:pPr>
                    <w:pStyle w:val="TableBodyText"/>
                  </w:pPr>
                  <w:r w:rsidRPr="00791D71">
                    <w:t>-</w:t>
                  </w:r>
                  <w:r>
                    <w:t>1 899</w:t>
                  </w:r>
                </w:p>
              </w:tc>
            </w:tr>
            <w:tr w:rsidR="00F05DC7" w:rsidRPr="00791D71" w14:paraId="7954BB2F"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7954BB2E" w14:textId="77777777" w:rsidR="00F05DC7" w:rsidRPr="00791D71" w:rsidRDefault="00F05DC7" w:rsidP="00A3786D">
                  <w:pPr>
                    <w:spacing w:before="80"/>
                    <w:rPr>
                      <w:rFonts w:asciiTheme="minorHAnsi" w:hAnsiTheme="minorHAnsi" w:cstheme="minorHAnsi"/>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payments (% of State revenue</w:t>
                  </w:r>
                  <w:r w:rsidRPr="00791D71">
                    <w:rPr>
                      <w:rFonts w:asciiTheme="minorHAnsi" w:hAnsiTheme="minorHAnsi" w:cstheme="minorHAnsi"/>
                      <w:b/>
                      <w:bCs/>
                      <w:color w:val="000000"/>
                      <w:sz w:val="18"/>
                      <w:szCs w:val="18"/>
                    </w:rPr>
                    <w:t>)</w:t>
                  </w:r>
                </w:p>
              </w:tc>
            </w:tr>
            <w:tr w:rsidR="00F05DC7" w:rsidRPr="00791D71" w14:paraId="7954BB39" w14:textId="77777777" w:rsidTr="00A3786D">
              <w:trPr>
                <w:trHeight w:val="288"/>
              </w:trPr>
              <w:tc>
                <w:tcPr>
                  <w:tcW w:w="1577" w:type="pct"/>
                  <w:tcBorders>
                    <w:top w:val="nil"/>
                    <w:left w:val="nil"/>
                    <w:bottom w:val="nil"/>
                    <w:right w:val="nil"/>
                  </w:tcBorders>
                  <w:shd w:val="clear" w:color="auto" w:fill="auto"/>
                  <w:tcMar>
                    <w:left w:w="0" w:type="dxa"/>
                    <w:right w:w="0" w:type="dxa"/>
                  </w:tcMar>
                  <w:vAlign w:val="center"/>
                  <w:hideMark/>
                </w:tcPr>
                <w:p w14:paraId="7954BB30" w14:textId="77777777" w:rsidR="00F05DC7" w:rsidRPr="00791D71" w:rsidRDefault="00F05DC7" w:rsidP="00A3786D">
                  <w:pPr>
                    <w:pStyle w:val="TableBodyText"/>
                    <w:jc w:val="left"/>
                  </w:pPr>
                  <w:r w:rsidRPr="00791D71">
                    <w:t>G</w:t>
                  </w:r>
                  <w:r>
                    <w:t>ross state product</w:t>
                  </w:r>
                </w:p>
              </w:tc>
              <w:tc>
                <w:tcPr>
                  <w:tcW w:w="427" w:type="pct"/>
                  <w:tcBorders>
                    <w:top w:val="nil"/>
                    <w:left w:val="nil"/>
                    <w:bottom w:val="nil"/>
                    <w:right w:val="nil"/>
                  </w:tcBorders>
                  <w:shd w:val="clear" w:color="auto" w:fill="auto"/>
                  <w:tcMar>
                    <w:left w:w="0" w:type="dxa"/>
                    <w:right w:w="0" w:type="dxa"/>
                  </w:tcMar>
                  <w:vAlign w:val="bottom"/>
                </w:tcPr>
                <w:p w14:paraId="7954BB31" w14:textId="77777777" w:rsidR="00F05DC7" w:rsidRPr="00AB587D" w:rsidRDefault="00F05DC7" w:rsidP="00A3786D">
                  <w:pPr>
                    <w:pStyle w:val="TableBodyText"/>
                  </w:pPr>
                  <w:r w:rsidRPr="009F79BF">
                    <w:t>0.</w:t>
                  </w:r>
                  <w:r>
                    <w:t>3</w:t>
                  </w:r>
                </w:p>
              </w:tc>
              <w:tc>
                <w:tcPr>
                  <w:tcW w:w="428" w:type="pct"/>
                  <w:tcBorders>
                    <w:top w:val="nil"/>
                    <w:left w:val="nil"/>
                    <w:bottom w:val="nil"/>
                    <w:right w:val="nil"/>
                  </w:tcBorders>
                  <w:shd w:val="clear" w:color="auto" w:fill="auto"/>
                  <w:tcMar>
                    <w:left w:w="0" w:type="dxa"/>
                    <w:right w:w="0" w:type="dxa"/>
                  </w:tcMar>
                  <w:vAlign w:val="bottom"/>
                </w:tcPr>
                <w:p w14:paraId="7954BB32" w14:textId="77777777" w:rsidR="00F05DC7" w:rsidRPr="00AB587D" w:rsidRDefault="00F05DC7" w:rsidP="00A3786D">
                  <w:pPr>
                    <w:pStyle w:val="TableBodyText"/>
                  </w:pPr>
                  <w:r>
                    <w:t>0.6</w:t>
                  </w:r>
                </w:p>
              </w:tc>
              <w:tc>
                <w:tcPr>
                  <w:tcW w:w="428" w:type="pct"/>
                  <w:tcBorders>
                    <w:top w:val="nil"/>
                    <w:left w:val="nil"/>
                    <w:bottom w:val="nil"/>
                    <w:right w:val="nil"/>
                  </w:tcBorders>
                  <w:shd w:val="clear" w:color="auto" w:fill="auto"/>
                  <w:tcMar>
                    <w:left w:w="0" w:type="dxa"/>
                    <w:right w:w="0" w:type="dxa"/>
                  </w:tcMar>
                  <w:vAlign w:val="bottom"/>
                </w:tcPr>
                <w:p w14:paraId="7954BB33" w14:textId="77777777" w:rsidR="00F05DC7" w:rsidRPr="00AB587D" w:rsidRDefault="00F05DC7" w:rsidP="00A3786D">
                  <w:pPr>
                    <w:pStyle w:val="TableBodyText"/>
                  </w:pPr>
                  <w:r>
                    <w:t>3.1</w:t>
                  </w:r>
                </w:p>
              </w:tc>
              <w:tc>
                <w:tcPr>
                  <w:tcW w:w="428" w:type="pct"/>
                  <w:tcBorders>
                    <w:top w:val="nil"/>
                    <w:left w:val="nil"/>
                    <w:bottom w:val="nil"/>
                    <w:right w:val="nil"/>
                  </w:tcBorders>
                  <w:shd w:val="clear" w:color="auto" w:fill="auto"/>
                  <w:tcMar>
                    <w:left w:w="0" w:type="dxa"/>
                    <w:right w:w="0" w:type="dxa"/>
                  </w:tcMar>
                  <w:vAlign w:val="bottom"/>
                </w:tcPr>
                <w:p w14:paraId="7954BB34" w14:textId="77777777" w:rsidR="00F05DC7" w:rsidRPr="00AB587D" w:rsidRDefault="00F05DC7" w:rsidP="00A3786D">
                  <w:pPr>
                    <w:pStyle w:val="TableBodyText"/>
                  </w:pPr>
                  <w:r>
                    <w:t>-0.4</w:t>
                  </w:r>
                </w:p>
              </w:tc>
              <w:tc>
                <w:tcPr>
                  <w:tcW w:w="428" w:type="pct"/>
                  <w:tcBorders>
                    <w:top w:val="nil"/>
                    <w:left w:val="nil"/>
                    <w:bottom w:val="nil"/>
                    <w:right w:val="nil"/>
                  </w:tcBorders>
                  <w:shd w:val="clear" w:color="auto" w:fill="auto"/>
                  <w:tcMar>
                    <w:left w:w="0" w:type="dxa"/>
                    <w:right w:w="0" w:type="dxa"/>
                  </w:tcMar>
                  <w:vAlign w:val="bottom"/>
                </w:tcPr>
                <w:p w14:paraId="7954BB35" w14:textId="77777777" w:rsidR="00F05DC7" w:rsidRPr="00AB587D" w:rsidRDefault="00F05DC7" w:rsidP="00A3786D">
                  <w:pPr>
                    <w:pStyle w:val="TableBodyText"/>
                  </w:pPr>
                  <w:r w:rsidRPr="009F79BF">
                    <w:t>-</w:t>
                  </w:r>
                  <w:r>
                    <w:t>2</w:t>
                  </w:r>
                  <w:r w:rsidRPr="009F79BF">
                    <w:t>.</w:t>
                  </w:r>
                  <w:r>
                    <w:t>2</w:t>
                  </w:r>
                </w:p>
              </w:tc>
              <w:tc>
                <w:tcPr>
                  <w:tcW w:w="428" w:type="pct"/>
                  <w:tcBorders>
                    <w:top w:val="nil"/>
                    <w:left w:val="nil"/>
                    <w:bottom w:val="nil"/>
                    <w:right w:val="nil"/>
                  </w:tcBorders>
                  <w:shd w:val="clear" w:color="auto" w:fill="auto"/>
                  <w:tcMar>
                    <w:left w:w="0" w:type="dxa"/>
                    <w:right w:w="0" w:type="dxa"/>
                  </w:tcMar>
                  <w:vAlign w:val="bottom"/>
                </w:tcPr>
                <w:p w14:paraId="7954BB36" w14:textId="77777777" w:rsidR="00F05DC7" w:rsidRPr="00AB587D" w:rsidRDefault="00F05DC7" w:rsidP="00A3786D">
                  <w:pPr>
                    <w:pStyle w:val="TableBodyText"/>
                  </w:pPr>
                  <w:r>
                    <w:t>-1.5</w:t>
                  </w:r>
                </w:p>
              </w:tc>
              <w:tc>
                <w:tcPr>
                  <w:tcW w:w="428" w:type="pct"/>
                  <w:tcBorders>
                    <w:top w:val="nil"/>
                    <w:left w:val="nil"/>
                    <w:bottom w:val="nil"/>
                    <w:right w:val="nil"/>
                  </w:tcBorders>
                  <w:shd w:val="clear" w:color="auto" w:fill="auto"/>
                  <w:tcMar>
                    <w:left w:w="0" w:type="dxa"/>
                    <w:right w:w="0" w:type="dxa"/>
                  </w:tcMar>
                  <w:vAlign w:val="bottom"/>
                </w:tcPr>
                <w:p w14:paraId="7954BB37" w14:textId="77777777" w:rsidR="00F05DC7" w:rsidRPr="00AB587D" w:rsidRDefault="00F05DC7" w:rsidP="00A3786D">
                  <w:pPr>
                    <w:pStyle w:val="TableBodyText"/>
                  </w:pPr>
                  <w:r w:rsidRPr="009F79BF">
                    <w:t>-</w:t>
                  </w:r>
                  <w:r>
                    <w:t>18.3</w:t>
                  </w:r>
                </w:p>
              </w:tc>
              <w:tc>
                <w:tcPr>
                  <w:tcW w:w="428" w:type="pct"/>
                  <w:tcBorders>
                    <w:top w:val="nil"/>
                    <w:left w:val="nil"/>
                    <w:bottom w:val="nil"/>
                    <w:right w:val="nil"/>
                  </w:tcBorders>
                  <w:shd w:val="clear" w:color="auto" w:fill="auto"/>
                  <w:tcMar>
                    <w:left w:w="0" w:type="dxa"/>
                    <w:right w:w="0" w:type="dxa"/>
                  </w:tcMar>
                  <w:vAlign w:val="bottom"/>
                </w:tcPr>
                <w:p w14:paraId="7954BB38" w14:textId="77777777" w:rsidR="00F05DC7" w:rsidRPr="00AB587D" w:rsidRDefault="00F05DC7" w:rsidP="00A3786D">
                  <w:pPr>
                    <w:pStyle w:val="TableBodyText"/>
                  </w:pPr>
                  <w:r>
                    <w:t>-12.7</w:t>
                  </w:r>
                </w:p>
              </w:tc>
            </w:tr>
            <w:tr w:rsidR="00F05DC7" w:rsidRPr="00791D71" w14:paraId="7954BB43" w14:textId="77777777" w:rsidTr="00A3786D">
              <w:trPr>
                <w:trHeight w:val="300"/>
              </w:trPr>
              <w:tc>
                <w:tcPr>
                  <w:tcW w:w="1577" w:type="pct"/>
                  <w:tcBorders>
                    <w:top w:val="nil"/>
                    <w:left w:val="nil"/>
                    <w:bottom w:val="nil"/>
                    <w:right w:val="nil"/>
                  </w:tcBorders>
                  <w:shd w:val="clear" w:color="auto" w:fill="auto"/>
                  <w:tcMar>
                    <w:left w:w="0" w:type="dxa"/>
                    <w:right w:w="0" w:type="dxa"/>
                  </w:tcMar>
                  <w:vAlign w:val="center"/>
                  <w:hideMark/>
                </w:tcPr>
                <w:p w14:paraId="7954BB3A" w14:textId="77777777" w:rsidR="00F05DC7" w:rsidRPr="00791D71" w:rsidRDefault="00F05DC7" w:rsidP="00A3786D">
                  <w:pPr>
                    <w:pStyle w:val="TableBodyText"/>
                    <w:jc w:val="left"/>
                  </w:pPr>
                  <w:r>
                    <w:t>Gross disposable income</w:t>
                  </w:r>
                </w:p>
              </w:tc>
              <w:tc>
                <w:tcPr>
                  <w:tcW w:w="427" w:type="pct"/>
                  <w:tcBorders>
                    <w:top w:val="nil"/>
                    <w:left w:val="nil"/>
                    <w:bottom w:val="nil"/>
                    <w:right w:val="nil"/>
                  </w:tcBorders>
                  <w:shd w:val="clear" w:color="auto" w:fill="auto"/>
                  <w:tcMar>
                    <w:left w:w="0" w:type="dxa"/>
                    <w:right w:w="0" w:type="dxa"/>
                  </w:tcMar>
                  <w:vAlign w:val="bottom"/>
                </w:tcPr>
                <w:p w14:paraId="7954BB3B" w14:textId="77777777" w:rsidR="00F05DC7" w:rsidRPr="00AB587D" w:rsidRDefault="00F05DC7" w:rsidP="00A3786D">
                  <w:pPr>
                    <w:pStyle w:val="TableBodyText"/>
                  </w:pPr>
                  <w:r w:rsidRPr="009F79BF">
                    <w:t>-</w:t>
                  </w:r>
                  <w:r>
                    <w:t>2</w:t>
                  </w:r>
                  <w:r w:rsidRPr="009F79BF">
                    <w:t>.4</w:t>
                  </w:r>
                </w:p>
              </w:tc>
              <w:tc>
                <w:tcPr>
                  <w:tcW w:w="428" w:type="pct"/>
                  <w:tcBorders>
                    <w:top w:val="nil"/>
                    <w:left w:val="nil"/>
                    <w:bottom w:val="nil"/>
                    <w:right w:val="nil"/>
                  </w:tcBorders>
                  <w:shd w:val="clear" w:color="auto" w:fill="auto"/>
                  <w:tcMar>
                    <w:left w:w="0" w:type="dxa"/>
                    <w:right w:w="0" w:type="dxa"/>
                  </w:tcMar>
                  <w:vAlign w:val="bottom"/>
                </w:tcPr>
                <w:p w14:paraId="7954BB3C" w14:textId="77777777" w:rsidR="00F05DC7" w:rsidRPr="00AB587D" w:rsidRDefault="00F05DC7" w:rsidP="00A3786D">
                  <w:pPr>
                    <w:pStyle w:val="TableBodyText"/>
                  </w:pPr>
                  <w:r w:rsidRPr="009F79BF">
                    <w:t>0.</w:t>
                  </w:r>
                  <w:r>
                    <w:t>9</w:t>
                  </w:r>
                </w:p>
              </w:tc>
              <w:tc>
                <w:tcPr>
                  <w:tcW w:w="428" w:type="pct"/>
                  <w:tcBorders>
                    <w:top w:val="nil"/>
                    <w:left w:val="nil"/>
                    <w:bottom w:val="nil"/>
                    <w:right w:val="nil"/>
                  </w:tcBorders>
                  <w:shd w:val="clear" w:color="auto" w:fill="auto"/>
                  <w:tcMar>
                    <w:left w:w="0" w:type="dxa"/>
                    <w:right w:w="0" w:type="dxa"/>
                  </w:tcMar>
                  <w:vAlign w:val="bottom"/>
                </w:tcPr>
                <w:p w14:paraId="7954BB3D" w14:textId="77777777" w:rsidR="00F05DC7" w:rsidRPr="00AB587D" w:rsidRDefault="00F05DC7" w:rsidP="00A3786D">
                  <w:pPr>
                    <w:pStyle w:val="TableBodyText"/>
                  </w:pPr>
                  <w:r>
                    <w:t>3</w:t>
                  </w:r>
                  <w:r w:rsidRPr="009F79BF">
                    <w:t>.</w:t>
                  </w:r>
                  <w:r>
                    <w:t>0</w:t>
                  </w:r>
                </w:p>
              </w:tc>
              <w:tc>
                <w:tcPr>
                  <w:tcW w:w="428" w:type="pct"/>
                  <w:tcBorders>
                    <w:top w:val="nil"/>
                    <w:left w:val="nil"/>
                    <w:bottom w:val="nil"/>
                    <w:right w:val="nil"/>
                  </w:tcBorders>
                  <w:shd w:val="clear" w:color="auto" w:fill="auto"/>
                  <w:tcMar>
                    <w:left w:w="0" w:type="dxa"/>
                    <w:right w:w="0" w:type="dxa"/>
                  </w:tcMar>
                  <w:vAlign w:val="bottom"/>
                </w:tcPr>
                <w:p w14:paraId="7954BB3E" w14:textId="77777777" w:rsidR="00F05DC7" w:rsidRPr="00AB587D" w:rsidRDefault="00F05DC7" w:rsidP="00A3786D">
                  <w:pPr>
                    <w:pStyle w:val="TableBodyText"/>
                  </w:pPr>
                  <w:r w:rsidRPr="009F79BF">
                    <w:t>1</w:t>
                  </w:r>
                  <w:r>
                    <w:t>2</w:t>
                  </w:r>
                  <w:r w:rsidRPr="009F79BF">
                    <w:t>.</w:t>
                  </w:r>
                  <w:r>
                    <w:t>9</w:t>
                  </w:r>
                </w:p>
              </w:tc>
              <w:tc>
                <w:tcPr>
                  <w:tcW w:w="428" w:type="pct"/>
                  <w:tcBorders>
                    <w:top w:val="nil"/>
                    <w:left w:val="nil"/>
                    <w:bottom w:val="nil"/>
                    <w:right w:val="nil"/>
                  </w:tcBorders>
                  <w:shd w:val="clear" w:color="auto" w:fill="auto"/>
                  <w:tcMar>
                    <w:left w:w="0" w:type="dxa"/>
                    <w:right w:w="0" w:type="dxa"/>
                  </w:tcMar>
                  <w:vAlign w:val="bottom"/>
                </w:tcPr>
                <w:p w14:paraId="7954BB3F" w14:textId="77777777" w:rsidR="00F05DC7" w:rsidRPr="00AB587D" w:rsidRDefault="00F05DC7" w:rsidP="00A3786D">
                  <w:pPr>
                    <w:pStyle w:val="TableBodyText"/>
                  </w:pPr>
                  <w:r w:rsidRPr="009F79BF">
                    <w:t>-5.</w:t>
                  </w:r>
                  <w:r>
                    <w:t>5</w:t>
                  </w:r>
                </w:p>
              </w:tc>
              <w:tc>
                <w:tcPr>
                  <w:tcW w:w="428" w:type="pct"/>
                  <w:tcBorders>
                    <w:top w:val="nil"/>
                    <w:left w:val="nil"/>
                    <w:bottom w:val="nil"/>
                    <w:right w:val="nil"/>
                  </w:tcBorders>
                  <w:shd w:val="clear" w:color="auto" w:fill="auto"/>
                  <w:tcMar>
                    <w:left w:w="0" w:type="dxa"/>
                    <w:right w:w="0" w:type="dxa"/>
                  </w:tcMar>
                  <w:vAlign w:val="bottom"/>
                </w:tcPr>
                <w:p w14:paraId="7954BB40" w14:textId="77777777" w:rsidR="00F05DC7" w:rsidRPr="00AB587D" w:rsidRDefault="00F05DC7" w:rsidP="00A3786D">
                  <w:pPr>
                    <w:pStyle w:val="TableBodyText"/>
                  </w:pPr>
                  <w:r w:rsidRPr="009F79BF">
                    <w:t>-5.</w:t>
                  </w:r>
                  <w:r>
                    <w:t>0</w:t>
                  </w:r>
                </w:p>
              </w:tc>
              <w:tc>
                <w:tcPr>
                  <w:tcW w:w="428" w:type="pct"/>
                  <w:tcBorders>
                    <w:top w:val="nil"/>
                    <w:left w:val="nil"/>
                    <w:bottom w:val="nil"/>
                    <w:right w:val="nil"/>
                  </w:tcBorders>
                  <w:shd w:val="clear" w:color="auto" w:fill="auto"/>
                  <w:tcMar>
                    <w:left w:w="0" w:type="dxa"/>
                    <w:right w:w="0" w:type="dxa"/>
                  </w:tcMar>
                  <w:vAlign w:val="bottom"/>
                </w:tcPr>
                <w:p w14:paraId="7954BB41" w14:textId="77777777" w:rsidR="00F05DC7" w:rsidRPr="00AB587D" w:rsidRDefault="00F05DC7" w:rsidP="00A3786D">
                  <w:pPr>
                    <w:pStyle w:val="TableBodyText"/>
                  </w:pPr>
                  <w:r w:rsidRPr="009F79BF">
                    <w:t>-</w:t>
                  </w:r>
                  <w:r>
                    <w:t>42</w:t>
                  </w:r>
                  <w:r w:rsidRPr="009F79BF">
                    <w:t>.</w:t>
                  </w:r>
                  <w:r>
                    <w:t>5</w:t>
                  </w:r>
                </w:p>
              </w:tc>
              <w:tc>
                <w:tcPr>
                  <w:tcW w:w="428" w:type="pct"/>
                  <w:tcBorders>
                    <w:top w:val="nil"/>
                    <w:left w:val="nil"/>
                    <w:bottom w:val="nil"/>
                    <w:right w:val="nil"/>
                  </w:tcBorders>
                  <w:shd w:val="clear" w:color="auto" w:fill="auto"/>
                  <w:tcMar>
                    <w:left w:w="0" w:type="dxa"/>
                    <w:right w:w="0" w:type="dxa"/>
                  </w:tcMar>
                  <w:vAlign w:val="bottom"/>
                </w:tcPr>
                <w:p w14:paraId="7954BB42" w14:textId="77777777" w:rsidR="00F05DC7" w:rsidRPr="00AB587D" w:rsidRDefault="00F05DC7" w:rsidP="00A3786D">
                  <w:pPr>
                    <w:pStyle w:val="TableBodyText"/>
                  </w:pPr>
                  <w:r w:rsidRPr="009F79BF">
                    <w:t>-</w:t>
                  </w:r>
                  <w:r>
                    <w:t>8</w:t>
                  </w:r>
                  <w:r w:rsidRPr="009F79BF">
                    <w:t>.</w:t>
                  </w:r>
                  <w:r>
                    <w:t>7</w:t>
                  </w:r>
                </w:p>
              </w:tc>
            </w:tr>
            <w:tr w:rsidR="00F05DC7" w14:paraId="7954BB45" w14:textId="77777777" w:rsidTr="00A3786D">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7954BB44" w14:textId="77777777" w:rsidR="00F05DC7" w:rsidRPr="00791D71" w:rsidRDefault="00F05DC7" w:rsidP="00A3786D">
                  <w:pPr>
                    <w:spacing w:before="80"/>
                    <w:ind w:right="57"/>
                    <w:rPr>
                      <w:rFonts w:asciiTheme="minorHAnsi" w:hAnsiTheme="minorHAnsi" w:cstheme="minorHAnsi"/>
                      <w:color w:val="000000"/>
                      <w:sz w:val="18"/>
                      <w:szCs w:val="18"/>
                    </w:rPr>
                  </w:pPr>
                  <w:r w:rsidRPr="00546A94">
                    <w:rPr>
                      <w:rFonts w:asciiTheme="minorHAnsi" w:hAnsiTheme="minorHAnsi" w:cstheme="minorHAnsi"/>
                      <w:b/>
                      <w:color w:val="000000"/>
                      <w:sz w:val="18"/>
                      <w:szCs w:val="18"/>
                    </w:rPr>
                    <w:t>Total redistribution from EPC</w:t>
                  </w:r>
                </w:p>
              </w:tc>
            </w:tr>
            <w:tr w:rsidR="00F05DC7" w14:paraId="7954BB48" w14:textId="77777777" w:rsidTr="00A3786D">
              <w:trPr>
                <w:trHeight w:val="289"/>
              </w:trPr>
              <w:tc>
                <w:tcPr>
                  <w:tcW w:w="1577" w:type="pct"/>
                  <w:tcBorders>
                    <w:top w:val="nil"/>
                    <w:left w:val="nil"/>
                    <w:bottom w:val="nil"/>
                    <w:right w:val="nil"/>
                  </w:tcBorders>
                  <w:shd w:val="clear" w:color="auto" w:fill="auto"/>
                  <w:tcMar>
                    <w:left w:w="0" w:type="dxa"/>
                    <w:right w:w="0" w:type="dxa"/>
                  </w:tcMar>
                  <w:vAlign w:val="center"/>
                </w:tcPr>
                <w:p w14:paraId="7954BB46" w14:textId="77777777" w:rsidR="00F05DC7" w:rsidRDefault="00F05DC7" w:rsidP="00A3786D">
                  <w:pPr>
                    <w:pStyle w:val="TableBodyText"/>
                    <w:jc w:val="left"/>
                  </w:pPr>
                  <w:r w:rsidRPr="00791D71">
                    <w:t>Current approach</w:t>
                  </w:r>
                </w:p>
              </w:tc>
              <w:tc>
                <w:tcPr>
                  <w:tcW w:w="3423" w:type="pct"/>
                  <w:gridSpan w:val="8"/>
                  <w:tcBorders>
                    <w:top w:val="nil"/>
                    <w:left w:val="nil"/>
                    <w:bottom w:val="nil"/>
                    <w:right w:val="nil"/>
                  </w:tcBorders>
                  <w:shd w:val="clear" w:color="auto" w:fill="auto"/>
                  <w:tcMar>
                    <w:left w:w="0" w:type="dxa"/>
                    <w:right w:w="0" w:type="dxa"/>
                  </w:tcMar>
                  <w:vAlign w:val="center"/>
                </w:tcPr>
                <w:p w14:paraId="7954BB47" w14:textId="77777777" w:rsidR="00F05DC7" w:rsidRDefault="00F05DC7" w:rsidP="00A3786D">
                  <w:pPr>
                    <w:pStyle w:val="TableBodyText"/>
                  </w:pPr>
                  <w:r w:rsidRPr="000337D9">
                    <w:t>$6 840 million</w:t>
                  </w:r>
                </w:p>
              </w:tc>
            </w:tr>
            <w:tr w:rsidR="00F05DC7" w14:paraId="7954BB4B" w14:textId="77777777" w:rsidTr="00A3786D">
              <w:trPr>
                <w:trHeight w:val="289"/>
              </w:trPr>
              <w:tc>
                <w:tcPr>
                  <w:tcW w:w="1577" w:type="pct"/>
                  <w:tcBorders>
                    <w:top w:val="nil"/>
                    <w:left w:val="nil"/>
                    <w:bottom w:val="nil"/>
                    <w:right w:val="nil"/>
                  </w:tcBorders>
                  <w:shd w:val="clear" w:color="auto" w:fill="auto"/>
                  <w:tcMar>
                    <w:left w:w="0" w:type="dxa"/>
                    <w:right w:w="0" w:type="dxa"/>
                  </w:tcMar>
                  <w:vAlign w:val="center"/>
                </w:tcPr>
                <w:p w14:paraId="7954BB49" w14:textId="77777777" w:rsidR="00F05DC7" w:rsidRDefault="00F05DC7" w:rsidP="00A3786D">
                  <w:pPr>
                    <w:pStyle w:val="TableBodyText"/>
                    <w:jc w:val="left"/>
                  </w:pPr>
                  <w:r w:rsidRPr="00791D71">
                    <w:t>G</w:t>
                  </w:r>
                  <w:r>
                    <w:t>ross state product</w:t>
                  </w:r>
                </w:p>
              </w:tc>
              <w:tc>
                <w:tcPr>
                  <w:tcW w:w="3423" w:type="pct"/>
                  <w:gridSpan w:val="8"/>
                  <w:tcBorders>
                    <w:top w:val="nil"/>
                    <w:left w:val="nil"/>
                    <w:bottom w:val="nil"/>
                    <w:right w:val="nil"/>
                  </w:tcBorders>
                  <w:shd w:val="clear" w:color="auto" w:fill="auto"/>
                  <w:tcMar>
                    <w:left w:w="0" w:type="dxa"/>
                    <w:right w:w="0" w:type="dxa"/>
                  </w:tcMar>
                  <w:vAlign w:val="center"/>
                </w:tcPr>
                <w:p w14:paraId="7954BB4A" w14:textId="77777777" w:rsidR="00F05DC7" w:rsidRDefault="00F05DC7" w:rsidP="00A3786D">
                  <w:pPr>
                    <w:pStyle w:val="TableBodyText"/>
                  </w:pPr>
                  <w:r w:rsidRPr="002645B7">
                    <w:t>$7 </w:t>
                  </w:r>
                  <w:r>
                    <w:t>372</w:t>
                  </w:r>
                  <w:r w:rsidRPr="002645B7">
                    <w:t> million</w:t>
                  </w:r>
                </w:p>
              </w:tc>
            </w:tr>
            <w:tr w:rsidR="00F05DC7" w14:paraId="7954BB4E" w14:textId="77777777" w:rsidTr="00A3786D">
              <w:trPr>
                <w:trHeight w:val="289"/>
              </w:trPr>
              <w:tc>
                <w:tcPr>
                  <w:tcW w:w="1577" w:type="pct"/>
                  <w:tcBorders>
                    <w:top w:val="nil"/>
                    <w:left w:val="nil"/>
                    <w:bottom w:val="single" w:sz="8" w:space="0" w:color="BFBFBF"/>
                    <w:right w:val="nil"/>
                  </w:tcBorders>
                  <w:shd w:val="clear" w:color="auto" w:fill="auto"/>
                  <w:tcMar>
                    <w:left w:w="0" w:type="dxa"/>
                    <w:right w:w="0" w:type="dxa"/>
                  </w:tcMar>
                  <w:vAlign w:val="center"/>
                </w:tcPr>
                <w:p w14:paraId="7954BB4C" w14:textId="77777777" w:rsidR="00F05DC7" w:rsidRDefault="00F05DC7" w:rsidP="00A3786D">
                  <w:pPr>
                    <w:pStyle w:val="TableBodyText"/>
                    <w:jc w:val="left"/>
                  </w:pPr>
                  <w:r>
                    <w:t>Gross disposable income</w:t>
                  </w:r>
                </w:p>
              </w:tc>
              <w:tc>
                <w:tcPr>
                  <w:tcW w:w="3423" w:type="pct"/>
                  <w:gridSpan w:val="8"/>
                  <w:tcBorders>
                    <w:top w:val="nil"/>
                    <w:left w:val="nil"/>
                    <w:bottom w:val="single" w:sz="8" w:space="0" w:color="BFBFBF"/>
                    <w:right w:val="nil"/>
                  </w:tcBorders>
                  <w:shd w:val="clear" w:color="auto" w:fill="auto"/>
                  <w:tcMar>
                    <w:left w:w="0" w:type="dxa"/>
                    <w:right w:w="0" w:type="dxa"/>
                  </w:tcMar>
                  <w:vAlign w:val="center"/>
                </w:tcPr>
                <w:p w14:paraId="7954BB4D" w14:textId="77777777" w:rsidR="00F05DC7" w:rsidRDefault="00F05DC7" w:rsidP="00A3786D">
                  <w:pPr>
                    <w:pStyle w:val="TableBodyText"/>
                  </w:pPr>
                  <w:r w:rsidRPr="003779D6">
                    <w:t>$</w:t>
                  </w:r>
                  <w:r>
                    <w:t>7</w:t>
                  </w:r>
                  <w:r w:rsidRPr="003779D6">
                    <w:t> </w:t>
                  </w:r>
                  <w:r>
                    <w:t>158</w:t>
                  </w:r>
                  <w:r w:rsidRPr="003779D6">
                    <w:t> million</w:t>
                  </w:r>
                </w:p>
              </w:tc>
            </w:tr>
          </w:tbl>
          <w:p w14:paraId="7954BB4F" w14:textId="77777777" w:rsidR="00F05DC7" w:rsidRDefault="00F05DC7" w:rsidP="00A3786D">
            <w:pPr>
              <w:pStyle w:val="Box"/>
            </w:pPr>
          </w:p>
        </w:tc>
      </w:tr>
      <w:tr w:rsidR="00F05DC7" w14:paraId="7954BB52" w14:textId="77777777" w:rsidTr="00A3786D">
        <w:tc>
          <w:tcPr>
            <w:tcW w:w="5000" w:type="pct"/>
            <w:tcBorders>
              <w:top w:val="nil"/>
              <w:left w:val="nil"/>
              <w:bottom w:val="nil"/>
              <w:right w:val="nil"/>
            </w:tcBorders>
            <w:shd w:val="clear" w:color="auto" w:fill="auto"/>
          </w:tcPr>
          <w:p w14:paraId="7954BB51"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B54" w14:textId="77777777" w:rsidTr="00A3786D">
        <w:tc>
          <w:tcPr>
            <w:tcW w:w="5000" w:type="pct"/>
            <w:tcBorders>
              <w:top w:val="nil"/>
              <w:left w:val="nil"/>
              <w:bottom w:val="single" w:sz="6" w:space="0" w:color="78A22F"/>
              <w:right w:val="nil"/>
            </w:tcBorders>
            <w:shd w:val="clear" w:color="auto" w:fill="auto"/>
          </w:tcPr>
          <w:p w14:paraId="7954BB53" w14:textId="77777777" w:rsidR="00F05DC7" w:rsidRDefault="00F05DC7" w:rsidP="00A3786D">
            <w:pPr>
              <w:pStyle w:val="Box"/>
              <w:spacing w:before="0" w:line="120" w:lineRule="exact"/>
            </w:pPr>
          </w:p>
        </w:tc>
      </w:tr>
      <w:tr w:rsidR="00F05DC7" w:rsidRPr="000863A5" w14:paraId="7954BB56" w14:textId="77777777" w:rsidTr="00A3786D">
        <w:tc>
          <w:tcPr>
            <w:tcW w:w="5000" w:type="pct"/>
            <w:tcBorders>
              <w:top w:val="single" w:sz="6" w:space="0" w:color="78A22F"/>
              <w:left w:val="nil"/>
              <w:bottom w:val="nil"/>
              <w:right w:val="nil"/>
            </w:tcBorders>
          </w:tcPr>
          <w:p w14:paraId="7954BB55" w14:textId="77777777" w:rsidR="00F05DC7" w:rsidRPr="00626D32" w:rsidRDefault="00F05DC7" w:rsidP="00A3786D">
            <w:pPr>
              <w:pStyle w:val="BoxSpaceBelow"/>
            </w:pPr>
          </w:p>
        </w:tc>
      </w:tr>
    </w:tbl>
    <w:p w14:paraId="7954BB57" w14:textId="1A45C873" w:rsidR="00F05DC7" w:rsidRDefault="00F05DC7" w:rsidP="00A3786D">
      <w:pPr>
        <w:pStyle w:val="Heading2"/>
      </w:pPr>
      <w:bookmarkStart w:id="119" w:name="_Toc513637746"/>
      <w:r>
        <w:t>C.</w:t>
      </w:r>
      <w:r>
        <w:rPr>
          <w:noProof/>
        </w:rPr>
        <w:t>3</w:t>
      </w:r>
      <w:r>
        <w:tab/>
      </w:r>
      <w:r w:rsidRPr="00760FFE">
        <w:t>Average rate effects</w:t>
      </w:r>
      <w:bookmarkEnd w:id="119"/>
    </w:p>
    <w:p w14:paraId="7954BB58" w14:textId="77777777" w:rsidR="00F05DC7" w:rsidRDefault="00F05DC7" w:rsidP="00A3786D">
      <w:pPr>
        <w:pStyle w:val="BodyText"/>
      </w:pPr>
      <w:r>
        <w:t>Changes in any State’s tax rate shifts the national average tax rate, driving a change in each State’s assessed revenues and consequently its GST payments. A general measure of the effect of changes to revenue</w:t>
      </w:r>
      <w:r>
        <w:noBreakHyphen/>
        <w:t>raising effort on GST payments can be calculated by examining the change in GST payments due to raising an extra $100 in revenue (in any State). Table C.17 presents this measure for selected revenue assessments.</w:t>
      </w:r>
    </w:p>
    <w:p w14:paraId="7954BB59"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B5C" w14:textId="77777777" w:rsidTr="001113B1">
        <w:trPr>
          <w:tblHeader/>
        </w:trPr>
        <w:tc>
          <w:tcPr>
            <w:tcW w:w="5000" w:type="pct"/>
            <w:tcBorders>
              <w:top w:val="single" w:sz="6" w:space="0" w:color="78A22F"/>
              <w:left w:val="nil"/>
              <w:bottom w:val="nil"/>
              <w:right w:val="nil"/>
            </w:tcBorders>
            <w:shd w:val="clear" w:color="auto" w:fill="auto"/>
          </w:tcPr>
          <w:p w14:paraId="7954BB5A" w14:textId="19A8176A" w:rsidR="00F05DC7" w:rsidRDefault="00F05DC7" w:rsidP="00A3786D">
            <w:pPr>
              <w:pStyle w:val="TableTitle"/>
            </w:pPr>
            <w:r>
              <w:rPr>
                <w:b w:val="0"/>
              </w:rPr>
              <w:t>Table C.17</w:t>
            </w:r>
            <w:r>
              <w:tab/>
              <w:t>Change in GST payments of raising revenue by $100</w:t>
            </w:r>
          </w:p>
          <w:p w14:paraId="7954BB5B" w14:textId="77777777" w:rsidR="00F05DC7" w:rsidRPr="00784A05" w:rsidRDefault="00F05DC7" w:rsidP="00A3786D">
            <w:pPr>
              <w:pStyle w:val="Subtitle"/>
            </w:pPr>
            <w:r>
              <w:t>2016</w:t>
            </w:r>
            <w:r>
              <w:noBreakHyphen/>
              <w:t>17, dollars</w:t>
            </w:r>
          </w:p>
        </w:tc>
      </w:tr>
      <w:tr w:rsidR="00F05DC7" w14:paraId="7954BBA4" w14:textId="77777777" w:rsidTr="00A3786D">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3313"/>
              <w:gridCol w:w="649"/>
              <w:gridCol w:w="650"/>
              <w:gridCol w:w="650"/>
              <w:gridCol w:w="650"/>
              <w:gridCol w:w="650"/>
              <w:gridCol w:w="650"/>
              <w:gridCol w:w="650"/>
              <w:gridCol w:w="643"/>
            </w:tblGrid>
            <w:tr w:rsidR="00F05DC7" w14:paraId="7954BB66" w14:textId="77777777" w:rsidTr="001113B1">
              <w:trPr>
                <w:trHeight w:val="300"/>
                <w:tblHeader/>
              </w:trPr>
              <w:tc>
                <w:tcPr>
                  <w:tcW w:w="194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5D" w14:textId="77777777" w:rsidR="00F05DC7" w:rsidRDefault="00F05DC7" w:rsidP="00A3786D">
                  <w:pPr>
                    <w:pStyle w:val="TableColumnHeading"/>
                    <w:jc w:val="left"/>
                  </w:pPr>
                  <w:r>
                    <w:t xml:space="preserve">Revenue category </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5E" w14:textId="77777777" w:rsidR="00F05DC7" w:rsidRDefault="00F05DC7" w:rsidP="00A3786D">
                  <w:pPr>
                    <w:pStyle w:val="TableColumnHeading"/>
                    <w:ind w:right="57"/>
                  </w:pPr>
                  <w:r>
                    <w:t>NSW</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5F" w14:textId="77777777" w:rsidR="00F05DC7" w:rsidRDefault="00F05DC7" w:rsidP="00A3786D">
                  <w:pPr>
                    <w:pStyle w:val="TableColumnHeading"/>
                    <w:ind w:right="57"/>
                  </w:pPr>
                  <w:r>
                    <w:t>Vic</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60" w14:textId="77777777" w:rsidR="00F05DC7" w:rsidRDefault="00F05DC7" w:rsidP="00A3786D">
                  <w:pPr>
                    <w:pStyle w:val="TableColumnHeading"/>
                    <w:ind w:right="57"/>
                  </w:pPr>
                  <w:r>
                    <w:t>Qld</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61" w14:textId="77777777" w:rsidR="00F05DC7" w:rsidRDefault="00F05DC7" w:rsidP="00A3786D">
                  <w:pPr>
                    <w:pStyle w:val="TableColumnHeading"/>
                    <w:ind w:right="57"/>
                  </w:pPr>
                  <w:r>
                    <w:t>WA</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62" w14:textId="77777777" w:rsidR="00F05DC7" w:rsidRDefault="00F05DC7" w:rsidP="00A3786D">
                  <w:pPr>
                    <w:pStyle w:val="TableColumnHeading"/>
                    <w:ind w:right="57"/>
                  </w:pPr>
                  <w:r>
                    <w:t>SA</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63" w14:textId="77777777" w:rsidR="00F05DC7" w:rsidRDefault="00F05DC7" w:rsidP="00A3786D">
                  <w:pPr>
                    <w:pStyle w:val="TableColumnHeading"/>
                    <w:ind w:right="57"/>
                  </w:pPr>
                  <w:r>
                    <w:t>Tas</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64" w14:textId="77777777" w:rsidR="00F05DC7" w:rsidRDefault="00F05DC7" w:rsidP="00A3786D">
                  <w:pPr>
                    <w:pStyle w:val="TableColumnHeading"/>
                    <w:ind w:right="57"/>
                  </w:pPr>
                  <w:r>
                    <w:t>ACT</w:t>
                  </w:r>
                </w:p>
              </w:tc>
              <w:tc>
                <w:tcPr>
                  <w:tcW w:w="37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65" w14:textId="77777777" w:rsidR="00F05DC7" w:rsidRDefault="00F05DC7" w:rsidP="00A3786D">
                  <w:pPr>
                    <w:pStyle w:val="TableColumnHeading"/>
                    <w:ind w:right="57"/>
                  </w:pPr>
                  <w:r>
                    <w:t>NT</w:t>
                  </w:r>
                </w:p>
              </w:tc>
            </w:tr>
            <w:tr w:rsidR="00F05DC7" w14:paraId="7954BB70" w14:textId="77777777" w:rsidTr="00A3786D">
              <w:trPr>
                <w:trHeight w:val="288"/>
              </w:trPr>
              <w:tc>
                <w:tcPr>
                  <w:tcW w:w="1948" w:type="pct"/>
                  <w:tcBorders>
                    <w:top w:val="nil"/>
                    <w:left w:val="nil"/>
                    <w:bottom w:val="nil"/>
                    <w:right w:val="nil"/>
                  </w:tcBorders>
                  <w:shd w:val="clear" w:color="auto" w:fill="auto"/>
                  <w:tcMar>
                    <w:left w:w="0" w:type="dxa"/>
                    <w:right w:w="0" w:type="dxa"/>
                  </w:tcMar>
                  <w:vAlign w:val="center"/>
                  <w:hideMark/>
                </w:tcPr>
                <w:p w14:paraId="7954BB67" w14:textId="77777777" w:rsidR="00F05DC7" w:rsidRDefault="00F05DC7" w:rsidP="00A3786D">
                  <w:pPr>
                    <w:pStyle w:val="TableBodyText"/>
                    <w:spacing w:after="0"/>
                    <w:jc w:val="left"/>
                  </w:pPr>
                  <w:r>
                    <w:t>Insurance tax</w:t>
                  </w:r>
                </w:p>
              </w:tc>
              <w:tc>
                <w:tcPr>
                  <w:tcW w:w="382" w:type="pct"/>
                  <w:tcBorders>
                    <w:top w:val="nil"/>
                    <w:left w:val="nil"/>
                    <w:bottom w:val="nil"/>
                    <w:right w:val="nil"/>
                  </w:tcBorders>
                  <w:shd w:val="clear" w:color="auto" w:fill="auto"/>
                  <w:tcMar>
                    <w:left w:w="0" w:type="dxa"/>
                    <w:right w:w="0" w:type="dxa"/>
                  </w:tcMar>
                  <w:vAlign w:val="center"/>
                  <w:hideMark/>
                </w:tcPr>
                <w:p w14:paraId="7954BB68" w14:textId="77777777" w:rsidR="00F05DC7" w:rsidRPr="00CF3D6E" w:rsidRDefault="00F05DC7" w:rsidP="00A3786D">
                  <w:pPr>
                    <w:pStyle w:val="TableBodyText"/>
                    <w:ind w:right="57"/>
                    <w:rPr>
                      <w:rFonts w:cs="Arial"/>
                      <w:szCs w:val="18"/>
                    </w:rPr>
                  </w:pPr>
                  <w:r w:rsidRPr="00CF3D6E">
                    <w:rPr>
                      <w:rFonts w:cs="Arial"/>
                      <w:szCs w:val="18"/>
                    </w:rPr>
                    <w:t>-2.6</w:t>
                  </w:r>
                </w:p>
              </w:tc>
              <w:tc>
                <w:tcPr>
                  <w:tcW w:w="382" w:type="pct"/>
                  <w:tcBorders>
                    <w:top w:val="nil"/>
                    <w:left w:val="nil"/>
                    <w:bottom w:val="nil"/>
                    <w:right w:val="nil"/>
                  </w:tcBorders>
                  <w:shd w:val="clear" w:color="auto" w:fill="auto"/>
                  <w:tcMar>
                    <w:left w:w="0" w:type="dxa"/>
                    <w:right w:w="0" w:type="dxa"/>
                  </w:tcMar>
                  <w:vAlign w:val="center"/>
                  <w:hideMark/>
                </w:tcPr>
                <w:p w14:paraId="7954BB69" w14:textId="77777777" w:rsidR="00F05DC7" w:rsidRPr="00CF3D6E" w:rsidRDefault="00F05DC7" w:rsidP="00A3786D">
                  <w:pPr>
                    <w:pStyle w:val="TableBodyText"/>
                    <w:ind w:right="57"/>
                    <w:rPr>
                      <w:rFonts w:cs="Arial"/>
                      <w:szCs w:val="18"/>
                    </w:rPr>
                  </w:pPr>
                  <w:r w:rsidRPr="00CF3D6E">
                    <w:rPr>
                      <w:rFonts w:cs="Arial"/>
                      <w:szCs w:val="18"/>
                    </w:rPr>
                    <w:t>1.9</w:t>
                  </w:r>
                </w:p>
              </w:tc>
              <w:tc>
                <w:tcPr>
                  <w:tcW w:w="382" w:type="pct"/>
                  <w:tcBorders>
                    <w:top w:val="nil"/>
                    <w:left w:val="nil"/>
                    <w:bottom w:val="nil"/>
                    <w:right w:val="nil"/>
                  </w:tcBorders>
                  <w:shd w:val="clear" w:color="auto" w:fill="auto"/>
                  <w:tcMar>
                    <w:left w:w="0" w:type="dxa"/>
                    <w:right w:w="0" w:type="dxa"/>
                  </w:tcMar>
                  <w:vAlign w:val="center"/>
                  <w:hideMark/>
                </w:tcPr>
                <w:p w14:paraId="7954BB6A" w14:textId="77777777" w:rsidR="00F05DC7" w:rsidRPr="00CF3D6E" w:rsidRDefault="00F05DC7" w:rsidP="00A3786D">
                  <w:pPr>
                    <w:pStyle w:val="TableBodyText"/>
                    <w:ind w:right="57"/>
                    <w:rPr>
                      <w:rFonts w:cs="Arial"/>
                      <w:szCs w:val="18"/>
                    </w:rPr>
                  </w:pPr>
                  <w:r w:rsidRPr="00CF3D6E">
                    <w:rPr>
                      <w:rFonts w:cs="Arial"/>
                      <w:szCs w:val="18"/>
                    </w:rPr>
                    <w:t>0.7</w:t>
                  </w:r>
                </w:p>
              </w:tc>
              <w:tc>
                <w:tcPr>
                  <w:tcW w:w="382" w:type="pct"/>
                  <w:tcBorders>
                    <w:top w:val="nil"/>
                    <w:left w:val="nil"/>
                    <w:bottom w:val="nil"/>
                    <w:right w:val="nil"/>
                  </w:tcBorders>
                  <w:shd w:val="clear" w:color="auto" w:fill="auto"/>
                  <w:tcMar>
                    <w:left w:w="0" w:type="dxa"/>
                    <w:right w:w="0" w:type="dxa"/>
                  </w:tcMar>
                  <w:vAlign w:val="center"/>
                  <w:hideMark/>
                </w:tcPr>
                <w:p w14:paraId="7954BB6B" w14:textId="77777777" w:rsidR="00F05DC7" w:rsidRPr="00CF3D6E" w:rsidRDefault="00F05DC7" w:rsidP="00A3786D">
                  <w:pPr>
                    <w:pStyle w:val="TableBodyText"/>
                    <w:ind w:right="57"/>
                    <w:rPr>
                      <w:rFonts w:cs="Arial"/>
                      <w:szCs w:val="18"/>
                    </w:rPr>
                  </w:pPr>
                  <w:r w:rsidRPr="00CF3D6E">
                    <w:rPr>
                      <w:rFonts w:cs="Arial"/>
                      <w:szCs w:val="18"/>
                    </w:rPr>
                    <w:t>0.3</w:t>
                  </w:r>
                </w:p>
              </w:tc>
              <w:tc>
                <w:tcPr>
                  <w:tcW w:w="382" w:type="pct"/>
                  <w:tcBorders>
                    <w:top w:val="nil"/>
                    <w:left w:val="nil"/>
                    <w:bottom w:val="nil"/>
                    <w:right w:val="nil"/>
                  </w:tcBorders>
                  <w:shd w:val="clear" w:color="auto" w:fill="auto"/>
                  <w:tcMar>
                    <w:left w:w="0" w:type="dxa"/>
                    <w:right w:w="0" w:type="dxa"/>
                  </w:tcMar>
                  <w:vAlign w:val="center"/>
                  <w:hideMark/>
                </w:tcPr>
                <w:p w14:paraId="7954BB6C" w14:textId="77777777" w:rsidR="00F05DC7" w:rsidRPr="00CF3D6E" w:rsidRDefault="00F05DC7" w:rsidP="00A3786D">
                  <w:pPr>
                    <w:pStyle w:val="TableBodyText"/>
                    <w:ind w:right="57"/>
                    <w:rPr>
                      <w:rFonts w:cs="Arial"/>
                      <w:szCs w:val="18"/>
                    </w:rPr>
                  </w:pPr>
                  <w:r w:rsidRPr="00CF3D6E">
                    <w:rPr>
                      <w:rFonts w:cs="Arial"/>
                      <w:szCs w:val="18"/>
                    </w:rPr>
                    <w:t>-0.5</w:t>
                  </w:r>
                </w:p>
              </w:tc>
              <w:tc>
                <w:tcPr>
                  <w:tcW w:w="382" w:type="pct"/>
                  <w:tcBorders>
                    <w:top w:val="nil"/>
                    <w:left w:val="nil"/>
                    <w:bottom w:val="nil"/>
                    <w:right w:val="nil"/>
                  </w:tcBorders>
                  <w:shd w:val="clear" w:color="auto" w:fill="auto"/>
                  <w:tcMar>
                    <w:left w:w="0" w:type="dxa"/>
                    <w:right w:w="0" w:type="dxa"/>
                  </w:tcMar>
                  <w:vAlign w:val="center"/>
                  <w:hideMark/>
                </w:tcPr>
                <w:p w14:paraId="7954BB6D" w14:textId="77777777" w:rsidR="00F05DC7" w:rsidRPr="00CF3D6E" w:rsidRDefault="00F05DC7" w:rsidP="00A3786D">
                  <w:pPr>
                    <w:pStyle w:val="TableBodyText"/>
                    <w:ind w:right="57"/>
                    <w:rPr>
                      <w:rFonts w:cs="Arial"/>
                      <w:szCs w:val="18"/>
                    </w:rPr>
                  </w:pPr>
                  <w:r w:rsidRPr="00CF3D6E">
                    <w:rPr>
                      <w:rFonts w:cs="Arial"/>
                      <w:szCs w:val="18"/>
                    </w:rPr>
                    <w:t>0.4</w:t>
                  </w:r>
                </w:p>
              </w:tc>
              <w:tc>
                <w:tcPr>
                  <w:tcW w:w="382" w:type="pct"/>
                  <w:tcBorders>
                    <w:top w:val="nil"/>
                    <w:left w:val="nil"/>
                    <w:bottom w:val="nil"/>
                    <w:right w:val="nil"/>
                  </w:tcBorders>
                  <w:shd w:val="clear" w:color="auto" w:fill="auto"/>
                  <w:tcMar>
                    <w:left w:w="0" w:type="dxa"/>
                    <w:right w:w="0" w:type="dxa"/>
                  </w:tcMar>
                  <w:vAlign w:val="center"/>
                  <w:hideMark/>
                </w:tcPr>
                <w:p w14:paraId="7954BB6E" w14:textId="77777777" w:rsidR="00F05DC7" w:rsidRPr="00CF3D6E" w:rsidRDefault="00F05DC7" w:rsidP="00A3786D">
                  <w:pPr>
                    <w:pStyle w:val="TableBodyText"/>
                    <w:ind w:right="57"/>
                    <w:rPr>
                      <w:rFonts w:cs="Arial"/>
                      <w:szCs w:val="18"/>
                    </w:rPr>
                  </w:pPr>
                  <w:r w:rsidRPr="00CF3D6E">
                    <w:rPr>
                      <w:rFonts w:cs="Arial"/>
                      <w:szCs w:val="18"/>
                    </w:rPr>
                    <w:t>0.1</w:t>
                  </w:r>
                </w:p>
              </w:tc>
              <w:tc>
                <w:tcPr>
                  <w:tcW w:w="378" w:type="pct"/>
                  <w:tcBorders>
                    <w:top w:val="nil"/>
                    <w:left w:val="nil"/>
                    <w:bottom w:val="nil"/>
                    <w:right w:val="nil"/>
                  </w:tcBorders>
                  <w:shd w:val="clear" w:color="auto" w:fill="auto"/>
                  <w:tcMar>
                    <w:left w:w="0" w:type="dxa"/>
                    <w:right w:w="0" w:type="dxa"/>
                  </w:tcMar>
                  <w:vAlign w:val="center"/>
                  <w:hideMark/>
                </w:tcPr>
                <w:p w14:paraId="7954BB6F" w14:textId="77777777" w:rsidR="00F05DC7" w:rsidRPr="00CF3D6E" w:rsidRDefault="00F05DC7" w:rsidP="00A3786D">
                  <w:pPr>
                    <w:pStyle w:val="TableBodyText"/>
                    <w:ind w:right="57"/>
                    <w:rPr>
                      <w:rFonts w:cs="Arial"/>
                      <w:szCs w:val="18"/>
                    </w:rPr>
                  </w:pPr>
                  <w:r w:rsidRPr="00CF3D6E">
                    <w:rPr>
                      <w:rFonts w:cs="Arial"/>
                      <w:szCs w:val="18"/>
                    </w:rPr>
                    <w:t>-0.1</w:t>
                  </w:r>
                </w:p>
              </w:tc>
            </w:tr>
            <w:tr w:rsidR="00F05DC7" w14:paraId="7954BB7A" w14:textId="77777777" w:rsidTr="00A3786D">
              <w:trPr>
                <w:trHeight w:val="288"/>
              </w:trPr>
              <w:tc>
                <w:tcPr>
                  <w:tcW w:w="1948" w:type="pct"/>
                  <w:tcBorders>
                    <w:top w:val="nil"/>
                    <w:left w:val="nil"/>
                    <w:bottom w:val="nil"/>
                    <w:right w:val="nil"/>
                  </w:tcBorders>
                  <w:shd w:val="clear" w:color="auto" w:fill="auto"/>
                  <w:tcMar>
                    <w:left w:w="0" w:type="dxa"/>
                    <w:right w:w="0" w:type="dxa"/>
                  </w:tcMar>
                  <w:vAlign w:val="center"/>
                  <w:hideMark/>
                </w:tcPr>
                <w:p w14:paraId="7954BB71" w14:textId="77777777" w:rsidR="00F05DC7" w:rsidRDefault="00F05DC7" w:rsidP="00A3786D">
                  <w:pPr>
                    <w:pStyle w:val="TableBodyText"/>
                    <w:spacing w:after="0"/>
                    <w:jc w:val="left"/>
                  </w:pPr>
                  <w:r>
                    <w:t>Land tax on income producing property</w:t>
                  </w:r>
                </w:p>
              </w:tc>
              <w:tc>
                <w:tcPr>
                  <w:tcW w:w="382" w:type="pct"/>
                  <w:tcBorders>
                    <w:top w:val="nil"/>
                    <w:left w:val="nil"/>
                    <w:bottom w:val="nil"/>
                    <w:right w:val="nil"/>
                  </w:tcBorders>
                  <w:shd w:val="clear" w:color="auto" w:fill="auto"/>
                  <w:tcMar>
                    <w:left w:w="0" w:type="dxa"/>
                    <w:right w:w="0" w:type="dxa"/>
                  </w:tcMar>
                  <w:vAlign w:val="bottom"/>
                  <w:hideMark/>
                </w:tcPr>
                <w:p w14:paraId="7954BB72" w14:textId="77777777" w:rsidR="00F05DC7" w:rsidRPr="00CF3D6E" w:rsidRDefault="00F05DC7" w:rsidP="00A3786D">
                  <w:pPr>
                    <w:pStyle w:val="TableBodyText"/>
                    <w:ind w:right="57"/>
                    <w:rPr>
                      <w:rFonts w:cs="Arial"/>
                      <w:szCs w:val="18"/>
                    </w:rPr>
                  </w:pPr>
                  <w:r w:rsidRPr="00CF3D6E">
                    <w:rPr>
                      <w:rFonts w:cs="Arial"/>
                      <w:color w:val="000000"/>
                      <w:szCs w:val="18"/>
                    </w:rPr>
                    <w:t>-7.5</w:t>
                  </w:r>
                </w:p>
              </w:tc>
              <w:tc>
                <w:tcPr>
                  <w:tcW w:w="382" w:type="pct"/>
                  <w:tcBorders>
                    <w:top w:val="nil"/>
                    <w:left w:val="nil"/>
                    <w:bottom w:val="nil"/>
                    <w:right w:val="nil"/>
                  </w:tcBorders>
                  <w:shd w:val="clear" w:color="auto" w:fill="auto"/>
                  <w:tcMar>
                    <w:left w:w="0" w:type="dxa"/>
                    <w:right w:w="0" w:type="dxa"/>
                  </w:tcMar>
                  <w:vAlign w:val="bottom"/>
                  <w:hideMark/>
                </w:tcPr>
                <w:p w14:paraId="7954BB73" w14:textId="77777777" w:rsidR="00F05DC7" w:rsidRPr="00CF3D6E" w:rsidRDefault="00F05DC7" w:rsidP="00A3786D">
                  <w:pPr>
                    <w:pStyle w:val="TableBodyText"/>
                    <w:ind w:right="57"/>
                    <w:rPr>
                      <w:rFonts w:cs="Arial"/>
                      <w:szCs w:val="18"/>
                    </w:rPr>
                  </w:pPr>
                  <w:r w:rsidRPr="00CF3D6E">
                    <w:rPr>
                      <w:rFonts w:cs="Arial"/>
                      <w:color w:val="000000"/>
                      <w:szCs w:val="18"/>
                    </w:rPr>
                    <w:t>-3.7</w:t>
                  </w:r>
                </w:p>
              </w:tc>
              <w:tc>
                <w:tcPr>
                  <w:tcW w:w="382" w:type="pct"/>
                  <w:tcBorders>
                    <w:top w:val="nil"/>
                    <w:left w:val="nil"/>
                    <w:bottom w:val="nil"/>
                    <w:right w:val="nil"/>
                  </w:tcBorders>
                  <w:shd w:val="clear" w:color="auto" w:fill="auto"/>
                  <w:tcMar>
                    <w:left w:w="0" w:type="dxa"/>
                    <w:right w:w="0" w:type="dxa"/>
                  </w:tcMar>
                  <w:vAlign w:val="bottom"/>
                  <w:hideMark/>
                </w:tcPr>
                <w:p w14:paraId="7954BB74" w14:textId="77777777" w:rsidR="00F05DC7" w:rsidRPr="00CF3D6E" w:rsidRDefault="00F05DC7" w:rsidP="00A3786D">
                  <w:pPr>
                    <w:pStyle w:val="TableBodyText"/>
                    <w:ind w:right="57"/>
                    <w:rPr>
                      <w:rFonts w:cs="Arial"/>
                      <w:szCs w:val="18"/>
                    </w:rPr>
                  </w:pPr>
                  <w:r w:rsidRPr="00CF3D6E">
                    <w:rPr>
                      <w:rFonts w:cs="Arial"/>
                      <w:color w:val="000000"/>
                      <w:szCs w:val="18"/>
                    </w:rPr>
                    <w:t>5.6</w:t>
                  </w:r>
                </w:p>
              </w:tc>
              <w:tc>
                <w:tcPr>
                  <w:tcW w:w="382" w:type="pct"/>
                  <w:tcBorders>
                    <w:top w:val="nil"/>
                    <w:left w:val="nil"/>
                    <w:bottom w:val="nil"/>
                    <w:right w:val="nil"/>
                  </w:tcBorders>
                  <w:shd w:val="clear" w:color="auto" w:fill="auto"/>
                  <w:tcMar>
                    <w:left w:w="0" w:type="dxa"/>
                    <w:right w:w="0" w:type="dxa"/>
                  </w:tcMar>
                  <w:vAlign w:val="bottom"/>
                  <w:hideMark/>
                </w:tcPr>
                <w:p w14:paraId="7954BB75" w14:textId="77777777" w:rsidR="00F05DC7" w:rsidRPr="00CF3D6E" w:rsidRDefault="00F05DC7" w:rsidP="00A3786D">
                  <w:pPr>
                    <w:pStyle w:val="TableBodyText"/>
                    <w:ind w:right="57"/>
                    <w:rPr>
                      <w:rFonts w:cs="Arial"/>
                      <w:szCs w:val="18"/>
                    </w:rPr>
                  </w:pPr>
                  <w:r w:rsidRPr="00CF3D6E">
                    <w:rPr>
                      <w:rFonts w:cs="Arial"/>
                      <w:color w:val="000000"/>
                      <w:szCs w:val="18"/>
                    </w:rPr>
                    <w:t>-0.2</w:t>
                  </w:r>
                </w:p>
              </w:tc>
              <w:tc>
                <w:tcPr>
                  <w:tcW w:w="382" w:type="pct"/>
                  <w:tcBorders>
                    <w:top w:val="nil"/>
                    <w:left w:val="nil"/>
                    <w:bottom w:val="nil"/>
                    <w:right w:val="nil"/>
                  </w:tcBorders>
                  <w:shd w:val="clear" w:color="auto" w:fill="auto"/>
                  <w:tcMar>
                    <w:left w:w="0" w:type="dxa"/>
                    <w:right w:w="0" w:type="dxa"/>
                  </w:tcMar>
                  <w:vAlign w:val="bottom"/>
                  <w:hideMark/>
                </w:tcPr>
                <w:p w14:paraId="7954BB76" w14:textId="77777777" w:rsidR="00F05DC7" w:rsidRPr="00CF3D6E" w:rsidRDefault="00F05DC7" w:rsidP="00A3786D">
                  <w:pPr>
                    <w:pStyle w:val="TableBodyText"/>
                    <w:ind w:right="57"/>
                    <w:rPr>
                      <w:rFonts w:cs="Arial"/>
                      <w:szCs w:val="18"/>
                    </w:rPr>
                  </w:pPr>
                  <w:r w:rsidRPr="00CF3D6E">
                    <w:rPr>
                      <w:rFonts w:cs="Arial"/>
                      <w:color w:val="000000"/>
                      <w:szCs w:val="18"/>
                    </w:rPr>
                    <w:t>3.5</w:t>
                  </w:r>
                </w:p>
              </w:tc>
              <w:tc>
                <w:tcPr>
                  <w:tcW w:w="382" w:type="pct"/>
                  <w:tcBorders>
                    <w:top w:val="nil"/>
                    <w:left w:val="nil"/>
                    <w:bottom w:val="nil"/>
                    <w:right w:val="nil"/>
                  </w:tcBorders>
                  <w:shd w:val="clear" w:color="auto" w:fill="auto"/>
                  <w:tcMar>
                    <w:left w:w="0" w:type="dxa"/>
                    <w:right w:w="0" w:type="dxa"/>
                  </w:tcMar>
                  <w:vAlign w:val="bottom"/>
                  <w:hideMark/>
                </w:tcPr>
                <w:p w14:paraId="7954BB77" w14:textId="77777777" w:rsidR="00F05DC7" w:rsidRPr="00CF3D6E" w:rsidRDefault="00F05DC7" w:rsidP="00A3786D">
                  <w:pPr>
                    <w:pStyle w:val="TableBodyText"/>
                    <w:ind w:right="57"/>
                    <w:rPr>
                      <w:rFonts w:cs="Arial"/>
                      <w:szCs w:val="18"/>
                    </w:rPr>
                  </w:pPr>
                  <w:r w:rsidRPr="00CF3D6E">
                    <w:rPr>
                      <w:rFonts w:cs="Arial"/>
                      <w:color w:val="000000"/>
                      <w:szCs w:val="18"/>
                    </w:rPr>
                    <w:t>1.2</w:t>
                  </w:r>
                </w:p>
              </w:tc>
              <w:tc>
                <w:tcPr>
                  <w:tcW w:w="382" w:type="pct"/>
                  <w:tcBorders>
                    <w:top w:val="nil"/>
                    <w:left w:val="nil"/>
                    <w:bottom w:val="nil"/>
                    <w:right w:val="nil"/>
                  </w:tcBorders>
                  <w:shd w:val="clear" w:color="auto" w:fill="auto"/>
                  <w:tcMar>
                    <w:left w:w="0" w:type="dxa"/>
                    <w:right w:w="0" w:type="dxa"/>
                  </w:tcMar>
                  <w:vAlign w:val="bottom"/>
                  <w:hideMark/>
                </w:tcPr>
                <w:p w14:paraId="7954BB78" w14:textId="77777777" w:rsidR="00F05DC7" w:rsidRPr="00CF3D6E" w:rsidRDefault="00F05DC7" w:rsidP="00A3786D">
                  <w:pPr>
                    <w:pStyle w:val="TableBodyText"/>
                    <w:ind w:right="57"/>
                    <w:rPr>
                      <w:rFonts w:cs="Arial"/>
                      <w:szCs w:val="18"/>
                    </w:rPr>
                  </w:pPr>
                  <w:r w:rsidRPr="00CF3D6E">
                    <w:rPr>
                      <w:rFonts w:cs="Arial"/>
                      <w:color w:val="000000"/>
                      <w:szCs w:val="18"/>
                    </w:rPr>
                    <w:t>0.8</w:t>
                  </w:r>
                </w:p>
              </w:tc>
              <w:tc>
                <w:tcPr>
                  <w:tcW w:w="378" w:type="pct"/>
                  <w:tcBorders>
                    <w:top w:val="nil"/>
                    <w:left w:val="nil"/>
                    <w:bottom w:val="nil"/>
                    <w:right w:val="nil"/>
                  </w:tcBorders>
                  <w:shd w:val="clear" w:color="auto" w:fill="auto"/>
                  <w:tcMar>
                    <w:left w:w="0" w:type="dxa"/>
                    <w:right w:w="0" w:type="dxa"/>
                  </w:tcMar>
                  <w:vAlign w:val="bottom"/>
                  <w:hideMark/>
                </w:tcPr>
                <w:p w14:paraId="7954BB79" w14:textId="77777777" w:rsidR="00F05DC7" w:rsidRPr="00CF3D6E" w:rsidRDefault="00F05DC7" w:rsidP="00A3786D">
                  <w:pPr>
                    <w:pStyle w:val="TableBodyText"/>
                    <w:ind w:right="57"/>
                    <w:rPr>
                      <w:rFonts w:cs="Arial"/>
                      <w:szCs w:val="18"/>
                    </w:rPr>
                  </w:pPr>
                  <w:r w:rsidRPr="00CF3D6E">
                    <w:rPr>
                      <w:rFonts w:cs="Arial"/>
                      <w:color w:val="000000"/>
                      <w:szCs w:val="18"/>
                    </w:rPr>
                    <w:t>0.3</w:t>
                  </w:r>
                </w:p>
              </w:tc>
            </w:tr>
            <w:tr w:rsidR="00F05DC7" w14:paraId="7954BB84" w14:textId="77777777" w:rsidTr="00A3786D">
              <w:trPr>
                <w:trHeight w:val="288"/>
              </w:trPr>
              <w:tc>
                <w:tcPr>
                  <w:tcW w:w="1948" w:type="pct"/>
                  <w:tcBorders>
                    <w:top w:val="nil"/>
                    <w:left w:val="nil"/>
                    <w:bottom w:val="nil"/>
                    <w:right w:val="nil"/>
                  </w:tcBorders>
                  <w:shd w:val="clear" w:color="auto" w:fill="auto"/>
                  <w:tcMar>
                    <w:left w:w="0" w:type="dxa"/>
                    <w:right w:w="0" w:type="dxa"/>
                  </w:tcMar>
                  <w:vAlign w:val="center"/>
                  <w:hideMark/>
                </w:tcPr>
                <w:p w14:paraId="7954BB7B" w14:textId="77777777" w:rsidR="00F05DC7" w:rsidRDefault="00F05DC7" w:rsidP="00A3786D">
                  <w:pPr>
                    <w:pStyle w:val="TableBodyText"/>
                    <w:spacing w:after="0"/>
                    <w:jc w:val="left"/>
                  </w:pPr>
                  <w:r>
                    <w:t>Iron ore royalties</w:t>
                  </w:r>
                </w:p>
              </w:tc>
              <w:tc>
                <w:tcPr>
                  <w:tcW w:w="382" w:type="pct"/>
                  <w:tcBorders>
                    <w:top w:val="nil"/>
                    <w:left w:val="nil"/>
                    <w:bottom w:val="nil"/>
                    <w:right w:val="nil"/>
                  </w:tcBorders>
                  <w:shd w:val="clear" w:color="auto" w:fill="auto"/>
                  <w:tcMar>
                    <w:left w:w="0" w:type="dxa"/>
                    <w:right w:w="0" w:type="dxa"/>
                  </w:tcMar>
                  <w:vAlign w:val="center"/>
                  <w:hideMark/>
                </w:tcPr>
                <w:p w14:paraId="7954BB7C" w14:textId="77777777" w:rsidR="00F05DC7" w:rsidRPr="00CF3D6E" w:rsidRDefault="00F05DC7" w:rsidP="00A3786D">
                  <w:pPr>
                    <w:pStyle w:val="TableBodyText"/>
                    <w:ind w:right="57"/>
                    <w:rPr>
                      <w:rFonts w:cs="Arial"/>
                      <w:szCs w:val="18"/>
                    </w:rPr>
                  </w:pPr>
                  <w:r w:rsidRPr="00CF3D6E">
                    <w:rPr>
                      <w:rFonts w:cs="Arial"/>
                      <w:szCs w:val="18"/>
                    </w:rPr>
                    <w:t>32.0</w:t>
                  </w:r>
                </w:p>
              </w:tc>
              <w:tc>
                <w:tcPr>
                  <w:tcW w:w="382" w:type="pct"/>
                  <w:tcBorders>
                    <w:top w:val="nil"/>
                    <w:left w:val="nil"/>
                    <w:bottom w:val="nil"/>
                    <w:right w:val="nil"/>
                  </w:tcBorders>
                  <w:shd w:val="clear" w:color="auto" w:fill="auto"/>
                  <w:tcMar>
                    <w:left w:w="0" w:type="dxa"/>
                    <w:right w:w="0" w:type="dxa"/>
                  </w:tcMar>
                  <w:vAlign w:val="center"/>
                  <w:hideMark/>
                </w:tcPr>
                <w:p w14:paraId="7954BB7D" w14:textId="77777777" w:rsidR="00F05DC7" w:rsidRPr="00CF3D6E" w:rsidRDefault="00F05DC7" w:rsidP="00A3786D">
                  <w:pPr>
                    <w:pStyle w:val="TableBodyText"/>
                    <w:ind w:right="57"/>
                    <w:rPr>
                      <w:rFonts w:cs="Arial"/>
                      <w:szCs w:val="18"/>
                    </w:rPr>
                  </w:pPr>
                  <w:r w:rsidRPr="00CF3D6E">
                    <w:rPr>
                      <w:rFonts w:cs="Arial"/>
                      <w:szCs w:val="18"/>
                    </w:rPr>
                    <w:t>25.6</w:t>
                  </w:r>
                </w:p>
              </w:tc>
              <w:tc>
                <w:tcPr>
                  <w:tcW w:w="382" w:type="pct"/>
                  <w:tcBorders>
                    <w:top w:val="nil"/>
                    <w:left w:val="nil"/>
                    <w:bottom w:val="nil"/>
                    <w:right w:val="nil"/>
                  </w:tcBorders>
                  <w:shd w:val="clear" w:color="auto" w:fill="auto"/>
                  <w:tcMar>
                    <w:left w:w="0" w:type="dxa"/>
                    <w:right w:w="0" w:type="dxa"/>
                  </w:tcMar>
                  <w:vAlign w:val="center"/>
                  <w:hideMark/>
                </w:tcPr>
                <w:p w14:paraId="7954BB7E" w14:textId="77777777" w:rsidR="00F05DC7" w:rsidRPr="00CF3D6E" w:rsidRDefault="00F05DC7" w:rsidP="00A3786D">
                  <w:pPr>
                    <w:pStyle w:val="TableBodyText"/>
                    <w:ind w:right="57"/>
                    <w:rPr>
                      <w:rFonts w:cs="Arial"/>
                      <w:szCs w:val="18"/>
                    </w:rPr>
                  </w:pPr>
                  <w:r w:rsidRPr="00CF3D6E">
                    <w:rPr>
                      <w:rFonts w:cs="Arial"/>
                      <w:szCs w:val="18"/>
                    </w:rPr>
                    <w:t>20.0</w:t>
                  </w:r>
                </w:p>
              </w:tc>
              <w:tc>
                <w:tcPr>
                  <w:tcW w:w="382" w:type="pct"/>
                  <w:tcBorders>
                    <w:top w:val="nil"/>
                    <w:left w:val="nil"/>
                    <w:bottom w:val="nil"/>
                    <w:right w:val="nil"/>
                  </w:tcBorders>
                  <w:shd w:val="clear" w:color="auto" w:fill="auto"/>
                  <w:tcMar>
                    <w:left w:w="0" w:type="dxa"/>
                    <w:right w:w="0" w:type="dxa"/>
                  </w:tcMar>
                  <w:vAlign w:val="center"/>
                  <w:hideMark/>
                </w:tcPr>
                <w:p w14:paraId="7954BB7F" w14:textId="77777777" w:rsidR="00F05DC7" w:rsidRPr="00CF3D6E" w:rsidRDefault="00F05DC7" w:rsidP="00A3786D">
                  <w:pPr>
                    <w:pStyle w:val="TableBodyText"/>
                    <w:ind w:right="57"/>
                    <w:rPr>
                      <w:rFonts w:cs="Arial"/>
                      <w:szCs w:val="18"/>
                    </w:rPr>
                  </w:pPr>
                  <w:r w:rsidRPr="00CF3D6E">
                    <w:rPr>
                      <w:rFonts w:cs="Arial"/>
                      <w:szCs w:val="18"/>
                    </w:rPr>
                    <w:t>-87.9</w:t>
                  </w:r>
                </w:p>
              </w:tc>
              <w:tc>
                <w:tcPr>
                  <w:tcW w:w="382" w:type="pct"/>
                  <w:tcBorders>
                    <w:top w:val="nil"/>
                    <w:left w:val="nil"/>
                    <w:bottom w:val="nil"/>
                    <w:right w:val="nil"/>
                  </w:tcBorders>
                  <w:shd w:val="clear" w:color="auto" w:fill="auto"/>
                  <w:tcMar>
                    <w:left w:w="0" w:type="dxa"/>
                    <w:right w:w="0" w:type="dxa"/>
                  </w:tcMar>
                  <w:vAlign w:val="center"/>
                  <w:hideMark/>
                </w:tcPr>
                <w:p w14:paraId="7954BB80" w14:textId="77777777" w:rsidR="00F05DC7" w:rsidRPr="00CF3D6E" w:rsidRDefault="00F05DC7" w:rsidP="00A3786D">
                  <w:pPr>
                    <w:pStyle w:val="TableBodyText"/>
                    <w:ind w:right="57"/>
                    <w:rPr>
                      <w:rFonts w:cs="Arial"/>
                      <w:szCs w:val="18"/>
                    </w:rPr>
                  </w:pPr>
                  <w:r w:rsidRPr="00CF3D6E">
                    <w:rPr>
                      <w:rFonts w:cs="Arial"/>
                      <w:szCs w:val="18"/>
                    </w:rPr>
                    <w:t>6.1</w:t>
                  </w:r>
                </w:p>
              </w:tc>
              <w:tc>
                <w:tcPr>
                  <w:tcW w:w="382" w:type="pct"/>
                  <w:tcBorders>
                    <w:top w:val="nil"/>
                    <w:left w:val="nil"/>
                    <w:bottom w:val="nil"/>
                    <w:right w:val="nil"/>
                  </w:tcBorders>
                  <w:shd w:val="clear" w:color="auto" w:fill="auto"/>
                  <w:tcMar>
                    <w:left w:w="0" w:type="dxa"/>
                    <w:right w:w="0" w:type="dxa"/>
                  </w:tcMar>
                  <w:vAlign w:val="center"/>
                  <w:hideMark/>
                </w:tcPr>
                <w:p w14:paraId="7954BB81" w14:textId="77777777" w:rsidR="00F05DC7" w:rsidRPr="00CF3D6E" w:rsidRDefault="00F05DC7" w:rsidP="00A3786D">
                  <w:pPr>
                    <w:pStyle w:val="TableBodyText"/>
                    <w:ind w:right="57"/>
                    <w:rPr>
                      <w:rFonts w:cs="Arial"/>
                      <w:szCs w:val="18"/>
                    </w:rPr>
                  </w:pPr>
                  <w:r w:rsidRPr="00CF3D6E">
                    <w:rPr>
                      <w:rFonts w:cs="Arial"/>
                      <w:szCs w:val="18"/>
                    </w:rPr>
                    <w:t>1.5</w:t>
                  </w:r>
                </w:p>
              </w:tc>
              <w:tc>
                <w:tcPr>
                  <w:tcW w:w="382" w:type="pct"/>
                  <w:tcBorders>
                    <w:top w:val="nil"/>
                    <w:left w:val="nil"/>
                    <w:bottom w:val="nil"/>
                    <w:right w:val="nil"/>
                  </w:tcBorders>
                  <w:shd w:val="clear" w:color="auto" w:fill="auto"/>
                  <w:tcMar>
                    <w:left w:w="0" w:type="dxa"/>
                    <w:right w:w="0" w:type="dxa"/>
                  </w:tcMar>
                  <w:vAlign w:val="center"/>
                  <w:hideMark/>
                </w:tcPr>
                <w:p w14:paraId="7954BB82" w14:textId="77777777" w:rsidR="00F05DC7" w:rsidRPr="00CF3D6E" w:rsidRDefault="00F05DC7" w:rsidP="00A3786D">
                  <w:pPr>
                    <w:pStyle w:val="TableBodyText"/>
                    <w:ind w:right="57"/>
                    <w:rPr>
                      <w:rFonts w:cs="Arial"/>
                      <w:szCs w:val="18"/>
                    </w:rPr>
                  </w:pPr>
                  <w:r w:rsidRPr="00CF3D6E">
                    <w:rPr>
                      <w:rFonts w:cs="Arial"/>
                      <w:szCs w:val="18"/>
                    </w:rPr>
                    <w:t>1.7</w:t>
                  </w:r>
                </w:p>
              </w:tc>
              <w:tc>
                <w:tcPr>
                  <w:tcW w:w="378" w:type="pct"/>
                  <w:tcBorders>
                    <w:top w:val="nil"/>
                    <w:left w:val="nil"/>
                    <w:bottom w:val="nil"/>
                    <w:right w:val="nil"/>
                  </w:tcBorders>
                  <w:shd w:val="clear" w:color="auto" w:fill="auto"/>
                  <w:tcMar>
                    <w:left w:w="0" w:type="dxa"/>
                    <w:right w:w="0" w:type="dxa"/>
                  </w:tcMar>
                  <w:vAlign w:val="center"/>
                  <w:hideMark/>
                </w:tcPr>
                <w:p w14:paraId="7954BB83" w14:textId="77777777" w:rsidR="00F05DC7" w:rsidRPr="00CF3D6E" w:rsidRDefault="00F05DC7" w:rsidP="00A3786D">
                  <w:pPr>
                    <w:pStyle w:val="TableBodyText"/>
                    <w:ind w:right="57"/>
                    <w:rPr>
                      <w:rFonts w:cs="Arial"/>
                      <w:szCs w:val="18"/>
                    </w:rPr>
                  </w:pPr>
                  <w:r w:rsidRPr="00CF3D6E">
                    <w:rPr>
                      <w:rFonts w:cs="Arial"/>
                      <w:szCs w:val="18"/>
                    </w:rPr>
                    <w:t>1.0</w:t>
                  </w:r>
                </w:p>
              </w:tc>
            </w:tr>
            <w:tr w:rsidR="00F05DC7" w14:paraId="7954BB8E" w14:textId="77777777" w:rsidTr="00A3786D">
              <w:trPr>
                <w:trHeight w:val="288"/>
              </w:trPr>
              <w:tc>
                <w:tcPr>
                  <w:tcW w:w="1948" w:type="pct"/>
                  <w:tcBorders>
                    <w:top w:val="nil"/>
                    <w:left w:val="nil"/>
                    <w:bottom w:val="nil"/>
                    <w:right w:val="nil"/>
                  </w:tcBorders>
                  <w:shd w:val="clear" w:color="auto" w:fill="auto"/>
                  <w:tcMar>
                    <w:left w:w="0" w:type="dxa"/>
                    <w:right w:w="0" w:type="dxa"/>
                  </w:tcMar>
                  <w:vAlign w:val="center"/>
                  <w:hideMark/>
                </w:tcPr>
                <w:p w14:paraId="7954BB85" w14:textId="77777777" w:rsidR="00F05DC7" w:rsidRDefault="00F05DC7" w:rsidP="00A3786D">
                  <w:pPr>
                    <w:pStyle w:val="TableBodyText"/>
                    <w:spacing w:after="0"/>
                    <w:jc w:val="left"/>
                  </w:pPr>
                  <w:r>
                    <w:t>Taxes on heavy vehicles</w:t>
                  </w:r>
                </w:p>
              </w:tc>
              <w:tc>
                <w:tcPr>
                  <w:tcW w:w="382" w:type="pct"/>
                  <w:tcBorders>
                    <w:top w:val="nil"/>
                    <w:left w:val="nil"/>
                    <w:bottom w:val="nil"/>
                    <w:right w:val="nil"/>
                  </w:tcBorders>
                  <w:shd w:val="clear" w:color="auto" w:fill="auto"/>
                  <w:tcMar>
                    <w:left w:w="0" w:type="dxa"/>
                    <w:right w:w="0" w:type="dxa"/>
                  </w:tcMar>
                  <w:hideMark/>
                </w:tcPr>
                <w:p w14:paraId="7954BB86" w14:textId="77777777" w:rsidR="00F05DC7" w:rsidRPr="00CF3D6E" w:rsidRDefault="00F05DC7" w:rsidP="00A3786D">
                  <w:pPr>
                    <w:pStyle w:val="TableBodyText"/>
                    <w:ind w:right="57"/>
                    <w:rPr>
                      <w:rFonts w:cs="Arial"/>
                      <w:szCs w:val="18"/>
                    </w:rPr>
                  </w:pPr>
                  <w:r w:rsidRPr="00CF3D6E">
                    <w:rPr>
                      <w:rFonts w:cs="Arial"/>
                      <w:szCs w:val="18"/>
                    </w:rPr>
                    <w:t>5.3</w:t>
                  </w:r>
                </w:p>
              </w:tc>
              <w:tc>
                <w:tcPr>
                  <w:tcW w:w="382" w:type="pct"/>
                  <w:tcBorders>
                    <w:top w:val="nil"/>
                    <w:left w:val="nil"/>
                    <w:bottom w:val="nil"/>
                    <w:right w:val="nil"/>
                  </w:tcBorders>
                  <w:shd w:val="clear" w:color="auto" w:fill="auto"/>
                  <w:tcMar>
                    <w:left w:w="0" w:type="dxa"/>
                    <w:right w:w="0" w:type="dxa"/>
                  </w:tcMar>
                  <w:hideMark/>
                </w:tcPr>
                <w:p w14:paraId="7954BB87" w14:textId="77777777" w:rsidR="00F05DC7" w:rsidRPr="00CF3D6E" w:rsidRDefault="00F05DC7" w:rsidP="00A3786D">
                  <w:pPr>
                    <w:pStyle w:val="TableBodyText"/>
                    <w:ind w:right="57"/>
                    <w:rPr>
                      <w:rFonts w:cs="Arial"/>
                      <w:szCs w:val="18"/>
                    </w:rPr>
                  </w:pPr>
                  <w:r w:rsidRPr="00CF3D6E">
                    <w:rPr>
                      <w:rFonts w:cs="Arial"/>
                      <w:szCs w:val="18"/>
                    </w:rPr>
                    <w:t>0.8</w:t>
                  </w:r>
                </w:p>
              </w:tc>
              <w:tc>
                <w:tcPr>
                  <w:tcW w:w="382" w:type="pct"/>
                  <w:tcBorders>
                    <w:top w:val="nil"/>
                    <w:left w:val="nil"/>
                    <w:bottom w:val="nil"/>
                    <w:right w:val="nil"/>
                  </w:tcBorders>
                  <w:shd w:val="clear" w:color="auto" w:fill="auto"/>
                  <w:tcMar>
                    <w:left w:w="0" w:type="dxa"/>
                    <w:right w:w="0" w:type="dxa"/>
                  </w:tcMar>
                  <w:hideMark/>
                </w:tcPr>
                <w:p w14:paraId="7954BB88" w14:textId="77777777" w:rsidR="00F05DC7" w:rsidRPr="00CF3D6E" w:rsidRDefault="00F05DC7" w:rsidP="00A3786D">
                  <w:pPr>
                    <w:pStyle w:val="TableBodyText"/>
                    <w:ind w:right="57"/>
                    <w:rPr>
                      <w:rFonts w:cs="Arial"/>
                      <w:szCs w:val="18"/>
                    </w:rPr>
                  </w:pPr>
                  <w:r w:rsidRPr="00CF3D6E">
                    <w:rPr>
                      <w:rFonts w:cs="Arial"/>
                      <w:szCs w:val="18"/>
                    </w:rPr>
                    <w:t>-1.3</w:t>
                  </w:r>
                </w:p>
              </w:tc>
              <w:tc>
                <w:tcPr>
                  <w:tcW w:w="382" w:type="pct"/>
                  <w:tcBorders>
                    <w:top w:val="nil"/>
                    <w:left w:val="nil"/>
                    <w:bottom w:val="nil"/>
                    <w:right w:val="nil"/>
                  </w:tcBorders>
                  <w:shd w:val="clear" w:color="auto" w:fill="auto"/>
                  <w:tcMar>
                    <w:left w:w="0" w:type="dxa"/>
                    <w:right w:w="0" w:type="dxa"/>
                  </w:tcMar>
                  <w:hideMark/>
                </w:tcPr>
                <w:p w14:paraId="7954BB89" w14:textId="77777777" w:rsidR="00F05DC7" w:rsidRPr="00CF3D6E" w:rsidRDefault="00F05DC7" w:rsidP="00A3786D">
                  <w:pPr>
                    <w:pStyle w:val="TableBodyText"/>
                    <w:ind w:right="57"/>
                    <w:rPr>
                      <w:rFonts w:cs="Arial"/>
                      <w:szCs w:val="18"/>
                    </w:rPr>
                  </w:pPr>
                  <w:r w:rsidRPr="00CF3D6E">
                    <w:rPr>
                      <w:rFonts w:cs="Arial"/>
                      <w:szCs w:val="18"/>
                    </w:rPr>
                    <w:t>-5.2</w:t>
                  </w:r>
                </w:p>
              </w:tc>
              <w:tc>
                <w:tcPr>
                  <w:tcW w:w="382" w:type="pct"/>
                  <w:tcBorders>
                    <w:top w:val="nil"/>
                    <w:left w:val="nil"/>
                    <w:bottom w:val="nil"/>
                    <w:right w:val="nil"/>
                  </w:tcBorders>
                  <w:shd w:val="clear" w:color="auto" w:fill="auto"/>
                  <w:tcMar>
                    <w:left w:w="0" w:type="dxa"/>
                    <w:right w:w="0" w:type="dxa"/>
                  </w:tcMar>
                  <w:hideMark/>
                </w:tcPr>
                <w:p w14:paraId="7954BB8A" w14:textId="77777777" w:rsidR="00F05DC7" w:rsidRPr="00CF3D6E" w:rsidRDefault="00F05DC7" w:rsidP="00A3786D">
                  <w:pPr>
                    <w:pStyle w:val="TableBodyText"/>
                    <w:ind w:right="57"/>
                    <w:rPr>
                      <w:rFonts w:cs="Arial"/>
                      <w:szCs w:val="18"/>
                    </w:rPr>
                  </w:pPr>
                  <w:r w:rsidRPr="00CF3D6E">
                    <w:rPr>
                      <w:rFonts w:cs="Arial"/>
                      <w:szCs w:val="18"/>
                    </w:rPr>
                    <w:t>-0.2</w:t>
                  </w:r>
                </w:p>
              </w:tc>
              <w:tc>
                <w:tcPr>
                  <w:tcW w:w="382" w:type="pct"/>
                  <w:tcBorders>
                    <w:top w:val="nil"/>
                    <w:left w:val="nil"/>
                    <w:bottom w:val="nil"/>
                    <w:right w:val="nil"/>
                  </w:tcBorders>
                  <w:shd w:val="clear" w:color="auto" w:fill="auto"/>
                  <w:tcMar>
                    <w:left w:w="0" w:type="dxa"/>
                    <w:right w:w="0" w:type="dxa"/>
                  </w:tcMar>
                  <w:hideMark/>
                </w:tcPr>
                <w:p w14:paraId="7954BB8B" w14:textId="77777777" w:rsidR="00F05DC7" w:rsidRPr="00CF3D6E" w:rsidRDefault="00F05DC7" w:rsidP="00A3786D">
                  <w:pPr>
                    <w:pStyle w:val="TableBodyText"/>
                    <w:ind w:right="57"/>
                    <w:rPr>
                      <w:rFonts w:cs="Arial"/>
                      <w:szCs w:val="18"/>
                    </w:rPr>
                  </w:pPr>
                  <w:r w:rsidRPr="00CF3D6E">
                    <w:rPr>
                      <w:rFonts w:cs="Arial"/>
                      <w:szCs w:val="18"/>
                    </w:rPr>
                    <w:t>-0.3</w:t>
                  </w:r>
                </w:p>
              </w:tc>
              <w:tc>
                <w:tcPr>
                  <w:tcW w:w="382" w:type="pct"/>
                  <w:tcBorders>
                    <w:top w:val="nil"/>
                    <w:left w:val="nil"/>
                    <w:bottom w:val="nil"/>
                    <w:right w:val="nil"/>
                  </w:tcBorders>
                  <w:shd w:val="clear" w:color="auto" w:fill="auto"/>
                  <w:tcMar>
                    <w:left w:w="0" w:type="dxa"/>
                    <w:right w:w="0" w:type="dxa"/>
                  </w:tcMar>
                  <w:hideMark/>
                </w:tcPr>
                <w:p w14:paraId="7954BB8C" w14:textId="77777777" w:rsidR="00F05DC7" w:rsidRPr="00CF3D6E" w:rsidRDefault="00F05DC7" w:rsidP="00A3786D">
                  <w:pPr>
                    <w:pStyle w:val="TableBodyText"/>
                    <w:ind w:right="57"/>
                    <w:rPr>
                      <w:rFonts w:cs="Arial"/>
                      <w:szCs w:val="18"/>
                    </w:rPr>
                  </w:pPr>
                  <w:r w:rsidRPr="00CF3D6E">
                    <w:rPr>
                      <w:rFonts w:cs="Arial"/>
                      <w:szCs w:val="18"/>
                    </w:rPr>
                    <w:t>1.3</w:t>
                  </w:r>
                </w:p>
              </w:tc>
              <w:tc>
                <w:tcPr>
                  <w:tcW w:w="378" w:type="pct"/>
                  <w:tcBorders>
                    <w:top w:val="nil"/>
                    <w:left w:val="nil"/>
                    <w:bottom w:val="nil"/>
                    <w:right w:val="nil"/>
                  </w:tcBorders>
                  <w:shd w:val="clear" w:color="auto" w:fill="auto"/>
                  <w:tcMar>
                    <w:left w:w="0" w:type="dxa"/>
                    <w:right w:w="0" w:type="dxa"/>
                  </w:tcMar>
                  <w:hideMark/>
                </w:tcPr>
                <w:p w14:paraId="7954BB8D" w14:textId="77777777" w:rsidR="00F05DC7" w:rsidRPr="00CF3D6E" w:rsidRDefault="00F05DC7" w:rsidP="00A3786D">
                  <w:pPr>
                    <w:pStyle w:val="TableBodyText"/>
                    <w:ind w:right="57"/>
                    <w:rPr>
                      <w:rFonts w:cs="Arial"/>
                      <w:szCs w:val="18"/>
                    </w:rPr>
                  </w:pPr>
                  <w:r w:rsidRPr="00CF3D6E">
                    <w:rPr>
                      <w:rFonts w:cs="Arial"/>
                      <w:szCs w:val="18"/>
                    </w:rPr>
                    <w:t>-0.3</w:t>
                  </w:r>
                </w:p>
              </w:tc>
            </w:tr>
            <w:tr w:rsidR="00F05DC7" w14:paraId="7954BB98" w14:textId="77777777" w:rsidTr="00A3786D">
              <w:trPr>
                <w:trHeight w:val="288"/>
              </w:trPr>
              <w:tc>
                <w:tcPr>
                  <w:tcW w:w="1948" w:type="pct"/>
                  <w:tcBorders>
                    <w:top w:val="nil"/>
                    <w:left w:val="nil"/>
                    <w:bottom w:val="nil"/>
                    <w:right w:val="nil"/>
                  </w:tcBorders>
                  <w:shd w:val="clear" w:color="auto" w:fill="auto"/>
                  <w:tcMar>
                    <w:left w:w="0" w:type="dxa"/>
                    <w:right w:w="0" w:type="dxa"/>
                  </w:tcMar>
                  <w:vAlign w:val="center"/>
                  <w:hideMark/>
                </w:tcPr>
                <w:p w14:paraId="7954BB8F" w14:textId="77777777" w:rsidR="00F05DC7" w:rsidRDefault="00F05DC7" w:rsidP="00A3786D">
                  <w:pPr>
                    <w:pStyle w:val="TableBodyText"/>
                    <w:spacing w:after="0"/>
                    <w:jc w:val="left"/>
                  </w:pPr>
                  <w:r>
                    <w:t>Payroll tax</w:t>
                  </w:r>
                </w:p>
              </w:tc>
              <w:tc>
                <w:tcPr>
                  <w:tcW w:w="382" w:type="pct"/>
                  <w:tcBorders>
                    <w:top w:val="nil"/>
                    <w:left w:val="nil"/>
                    <w:bottom w:val="nil"/>
                    <w:right w:val="nil"/>
                  </w:tcBorders>
                  <w:shd w:val="clear" w:color="auto" w:fill="auto"/>
                  <w:tcMar>
                    <w:left w:w="0" w:type="dxa"/>
                    <w:right w:w="0" w:type="dxa"/>
                  </w:tcMar>
                  <w:vAlign w:val="center"/>
                  <w:hideMark/>
                </w:tcPr>
                <w:p w14:paraId="7954BB90" w14:textId="77777777" w:rsidR="00F05DC7" w:rsidRDefault="00F05DC7" w:rsidP="00A3786D">
                  <w:pPr>
                    <w:pStyle w:val="TableBodyText"/>
                    <w:ind w:right="57"/>
                  </w:pPr>
                  <w:r>
                    <w:t>-2.9</w:t>
                  </w:r>
                </w:p>
              </w:tc>
              <w:tc>
                <w:tcPr>
                  <w:tcW w:w="382" w:type="pct"/>
                  <w:tcBorders>
                    <w:top w:val="nil"/>
                    <w:left w:val="nil"/>
                    <w:bottom w:val="nil"/>
                    <w:right w:val="nil"/>
                  </w:tcBorders>
                  <w:shd w:val="clear" w:color="auto" w:fill="auto"/>
                  <w:tcMar>
                    <w:left w:w="0" w:type="dxa"/>
                    <w:right w:w="0" w:type="dxa"/>
                  </w:tcMar>
                  <w:vAlign w:val="center"/>
                  <w:hideMark/>
                </w:tcPr>
                <w:p w14:paraId="7954BB91" w14:textId="77777777" w:rsidR="00F05DC7" w:rsidRDefault="00F05DC7" w:rsidP="00A3786D">
                  <w:pPr>
                    <w:pStyle w:val="TableBodyText"/>
                    <w:ind w:right="57"/>
                  </w:pPr>
                  <w:r>
                    <w:t>1.3</w:t>
                  </w:r>
                </w:p>
              </w:tc>
              <w:tc>
                <w:tcPr>
                  <w:tcW w:w="382" w:type="pct"/>
                  <w:tcBorders>
                    <w:top w:val="nil"/>
                    <w:left w:val="nil"/>
                    <w:bottom w:val="nil"/>
                    <w:right w:val="nil"/>
                  </w:tcBorders>
                  <w:shd w:val="clear" w:color="auto" w:fill="auto"/>
                  <w:tcMar>
                    <w:left w:w="0" w:type="dxa"/>
                    <w:right w:w="0" w:type="dxa"/>
                  </w:tcMar>
                  <w:vAlign w:val="center"/>
                  <w:hideMark/>
                </w:tcPr>
                <w:p w14:paraId="7954BB92" w14:textId="77777777" w:rsidR="00F05DC7" w:rsidRDefault="00F05DC7" w:rsidP="00A3786D">
                  <w:pPr>
                    <w:pStyle w:val="TableBodyText"/>
                    <w:ind w:right="57"/>
                  </w:pPr>
                  <w:r>
                    <w:t>2.1</w:t>
                  </w:r>
                </w:p>
              </w:tc>
              <w:tc>
                <w:tcPr>
                  <w:tcW w:w="382" w:type="pct"/>
                  <w:tcBorders>
                    <w:top w:val="nil"/>
                    <w:left w:val="nil"/>
                    <w:bottom w:val="nil"/>
                    <w:right w:val="nil"/>
                  </w:tcBorders>
                  <w:shd w:val="clear" w:color="auto" w:fill="auto"/>
                  <w:tcMar>
                    <w:left w:w="0" w:type="dxa"/>
                    <w:right w:w="0" w:type="dxa"/>
                  </w:tcMar>
                  <w:vAlign w:val="center"/>
                  <w:hideMark/>
                </w:tcPr>
                <w:p w14:paraId="7954BB93" w14:textId="77777777" w:rsidR="00F05DC7" w:rsidRDefault="00F05DC7" w:rsidP="00A3786D">
                  <w:pPr>
                    <w:pStyle w:val="TableBodyText"/>
                    <w:ind w:right="57"/>
                  </w:pPr>
                  <w:r>
                    <w:t>-3.1</w:t>
                  </w:r>
                </w:p>
              </w:tc>
              <w:tc>
                <w:tcPr>
                  <w:tcW w:w="382" w:type="pct"/>
                  <w:tcBorders>
                    <w:top w:val="nil"/>
                    <w:left w:val="nil"/>
                    <w:bottom w:val="nil"/>
                    <w:right w:val="nil"/>
                  </w:tcBorders>
                  <w:shd w:val="clear" w:color="auto" w:fill="auto"/>
                  <w:tcMar>
                    <w:left w:w="0" w:type="dxa"/>
                    <w:right w:w="0" w:type="dxa"/>
                  </w:tcMar>
                  <w:vAlign w:val="center"/>
                  <w:hideMark/>
                </w:tcPr>
                <w:p w14:paraId="7954BB94" w14:textId="77777777" w:rsidR="00F05DC7" w:rsidRDefault="00F05DC7" w:rsidP="00A3786D">
                  <w:pPr>
                    <w:pStyle w:val="TableBodyText"/>
                    <w:ind w:right="57"/>
                  </w:pPr>
                  <w:r>
                    <w:t>1.9</w:t>
                  </w:r>
                </w:p>
              </w:tc>
              <w:tc>
                <w:tcPr>
                  <w:tcW w:w="382" w:type="pct"/>
                  <w:tcBorders>
                    <w:top w:val="nil"/>
                    <w:left w:val="nil"/>
                    <w:bottom w:val="nil"/>
                    <w:right w:val="nil"/>
                  </w:tcBorders>
                  <w:shd w:val="clear" w:color="auto" w:fill="auto"/>
                  <w:tcMar>
                    <w:left w:w="0" w:type="dxa"/>
                    <w:right w:w="0" w:type="dxa"/>
                  </w:tcMar>
                  <w:vAlign w:val="center"/>
                  <w:hideMark/>
                </w:tcPr>
                <w:p w14:paraId="7954BB95" w14:textId="77777777" w:rsidR="00F05DC7" w:rsidRDefault="00F05DC7" w:rsidP="00A3786D">
                  <w:pPr>
                    <w:pStyle w:val="TableBodyText"/>
                    <w:ind w:right="57"/>
                  </w:pPr>
                  <w:r>
                    <w:t>0.8</w:t>
                  </w:r>
                </w:p>
              </w:tc>
              <w:tc>
                <w:tcPr>
                  <w:tcW w:w="382" w:type="pct"/>
                  <w:tcBorders>
                    <w:top w:val="nil"/>
                    <w:left w:val="nil"/>
                    <w:bottom w:val="nil"/>
                    <w:right w:val="nil"/>
                  </w:tcBorders>
                  <w:shd w:val="clear" w:color="auto" w:fill="auto"/>
                  <w:tcMar>
                    <w:left w:w="0" w:type="dxa"/>
                    <w:right w:w="0" w:type="dxa"/>
                  </w:tcMar>
                  <w:vAlign w:val="center"/>
                  <w:hideMark/>
                </w:tcPr>
                <w:p w14:paraId="7954BB96" w14:textId="77777777" w:rsidR="00F05DC7" w:rsidRDefault="00F05DC7" w:rsidP="00A3786D">
                  <w:pPr>
                    <w:pStyle w:val="TableBodyText"/>
                    <w:ind w:right="57"/>
                  </w:pPr>
                  <w:r>
                    <w:t>-0.1</w:t>
                  </w:r>
                </w:p>
              </w:tc>
              <w:tc>
                <w:tcPr>
                  <w:tcW w:w="378" w:type="pct"/>
                  <w:tcBorders>
                    <w:top w:val="nil"/>
                    <w:left w:val="nil"/>
                    <w:bottom w:val="nil"/>
                    <w:right w:val="nil"/>
                  </w:tcBorders>
                  <w:shd w:val="clear" w:color="auto" w:fill="auto"/>
                  <w:tcMar>
                    <w:left w:w="0" w:type="dxa"/>
                    <w:right w:w="0" w:type="dxa"/>
                  </w:tcMar>
                  <w:vAlign w:val="center"/>
                  <w:hideMark/>
                </w:tcPr>
                <w:p w14:paraId="7954BB97" w14:textId="77777777" w:rsidR="00F05DC7" w:rsidRDefault="00F05DC7" w:rsidP="00A3786D">
                  <w:pPr>
                    <w:pStyle w:val="TableBodyText"/>
                    <w:ind w:right="57"/>
                  </w:pPr>
                  <w:r>
                    <w:t>-0.2</w:t>
                  </w:r>
                </w:p>
              </w:tc>
            </w:tr>
            <w:tr w:rsidR="00F05DC7" w14:paraId="7954BBA2" w14:textId="77777777" w:rsidTr="00A3786D">
              <w:trPr>
                <w:trHeight w:val="300"/>
              </w:trPr>
              <w:tc>
                <w:tcPr>
                  <w:tcW w:w="1948" w:type="pct"/>
                  <w:tcBorders>
                    <w:top w:val="nil"/>
                    <w:left w:val="nil"/>
                    <w:bottom w:val="single" w:sz="8" w:space="0" w:color="BFBFBF"/>
                    <w:right w:val="nil"/>
                  </w:tcBorders>
                  <w:shd w:val="clear" w:color="auto" w:fill="auto"/>
                  <w:tcMar>
                    <w:left w:w="0" w:type="dxa"/>
                    <w:right w:w="0" w:type="dxa"/>
                  </w:tcMar>
                  <w:vAlign w:val="center"/>
                  <w:hideMark/>
                </w:tcPr>
                <w:p w14:paraId="7954BB99" w14:textId="77777777" w:rsidR="00F05DC7" w:rsidRDefault="00F05DC7" w:rsidP="00A3786D">
                  <w:pPr>
                    <w:pStyle w:val="TableBodyText"/>
                    <w:spacing w:after="0"/>
                    <w:jc w:val="left"/>
                  </w:pPr>
                  <w:r>
                    <w:t>Stamp duty on property</w:t>
                  </w:r>
                </w:p>
              </w:tc>
              <w:tc>
                <w:tcPr>
                  <w:tcW w:w="382" w:type="pct"/>
                  <w:tcBorders>
                    <w:top w:val="nil"/>
                    <w:left w:val="nil"/>
                    <w:bottom w:val="single" w:sz="8" w:space="0" w:color="BFBFBF"/>
                    <w:right w:val="nil"/>
                  </w:tcBorders>
                  <w:shd w:val="clear" w:color="auto" w:fill="auto"/>
                  <w:tcMar>
                    <w:left w:w="0" w:type="dxa"/>
                    <w:right w:w="0" w:type="dxa"/>
                  </w:tcMar>
                  <w:hideMark/>
                </w:tcPr>
                <w:p w14:paraId="7954BB9A" w14:textId="77777777" w:rsidR="00F05DC7" w:rsidRDefault="00F05DC7" w:rsidP="00A3786D">
                  <w:pPr>
                    <w:pStyle w:val="TableBodyText"/>
                    <w:ind w:right="57"/>
                  </w:pPr>
                  <w:r w:rsidRPr="0082062B">
                    <w:t>-</w:t>
                  </w:r>
                  <w:r>
                    <w:t>10</w:t>
                  </w:r>
                  <w:r w:rsidRPr="0082062B">
                    <w:t>.</w:t>
                  </w:r>
                  <w:r>
                    <w:t>4</w:t>
                  </w:r>
                </w:p>
              </w:tc>
              <w:tc>
                <w:tcPr>
                  <w:tcW w:w="382" w:type="pct"/>
                  <w:tcBorders>
                    <w:top w:val="nil"/>
                    <w:left w:val="nil"/>
                    <w:bottom w:val="single" w:sz="8" w:space="0" w:color="BFBFBF"/>
                    <w:right w:val="nil"/>
                  </w:tcBorders>
                  <w:shd w:val="clear" w:color="auto" w:fill="auto"/>
                  <w:tcMar>
                    <w:left w:w="0" w:type="dxa"/>
                    <w:right w:w="0" w:type="dxa"/>
                  </w:tcMar>
                  <w:hideMark/>
                </w:tcPr>
                <w:p w14:paraId="7954BB9B" w14:textId="77777777" w:rsidR="00F05DC7" w:rsidRDefault="00F05DC7" w:rsidP="00A3786D">
                  <w:pPr>
                    <w:pStyle w:val="TableBodyText"/>
                    <w:ind w:right="57"/>
                  </w:pPr>
                  <w:r w:rsidRPr="0082062B">
                    <w:t>-</w:t>
                  </w:r>
                  <w:r>
                    <w:t>1</w:t>
                  </w:r>
                  <w:r w:rsidRPr="0082062B">
                    <w:t>.</w:t>
                  </w:r>
                  <w:r>
                    <w:t>5</w:t>
                  </w:r>
                </w:p>
              </w:tc>
              <w:tc>
                <w:tcPr>
                  <w:tcW w:w="382" w:type="pct"/>
                  <w:tcBorders>
                    <w:top w:val="nil"/>
                    <w:left w:val="nil"/>
                    <w:bottom w:val="single" w:sz="8" w:space="0" w:color="BFBFBF"/>
                    <w:right w:val="nil"/>
                  </w:tcBorders>
                  <w:shd w:val="clear" w:color="auto" w:fill="auto"/>
                  <w:tcMar>
                    <w:left w:w="0" w:type="dxa"/>
                    <w:right w:w="0" w:type="dxa"/>
                  </w:tcMar>
                  <w:hideMark/>
                </w:tcPr>
                <w:p w14:paraId="7954BB9C" w14:textId="77777777" w:rsidR="00F05DC7" w:rsidRDefault="00F05DC7" w:rsidP="00A3786D">
                  <w:pPr>
                    <w:pStyle w:val="TableBodyText"/>
                    <w:ind w:right="57"/>
                  </w:pPr>
                  <w:r>
                    <w:t>1</w:t>
                  </w:r>
                  <w:r w:rsidRPr="0082062B">
                    <w:t>.</w:t>
                  </w:r>
                  <w:r>
                    <w:t>5</w:t>
                  </w:r>
                </w:p>
              </w:tc>
              <w:tc>
                <w:tcPr>
                  <w:tcW w:w="382" w:type="pct"/>
                  <w:tcBorders>
                    <w:top w:val="nil"/>
                    <w:left w:val="nil"/>
                    <w:bottom w:val="single" w:sz="8" w:space="0" w:color="BFBFBF"/>
                    <w:right w:val="nil"/>
                  </w:tcBorders>
                  <w:shd w:val="clear" w:color="auto" w:fill="auto"/>
                  <w:tcMar>
                    <w:left w:w="0" w:type="dxa"/>
                    <w:right w:w="0" w:type="dxa"/>
                  </w:tcMar>
                  <w:hideMark/>
                </w:tcPr>
                <w:p w14:paraId="7954BB9D" w14:textId="77777777" w:rsidR="00F05DC7" w:rsidRDefault="00F05DC7" w:rsidP="00A3786D">
                  <w:pPr>
                    <w:pStyle w:val="TableBodyText"/>
                    <w:ind w:right="57"/>
                  </w:pPr>
                  <w:r>
                    <w:t>5</w:t>
                  </w:r>
                  <w:r w:rsidRPr="0082062B">
                    <w:t>.</w:t>
                  </w:r>
                  <w:r>
                    <w:t>3</w:t>
                  </w:r>
                </w:p>
              </w:tc>
              <w:tc>
                <w:tcPr>
                  <w:tcW w:w="382" w:type="pct"/>
                  <w:tcBorders>
                    <w:top w:val="nil"/>
                    <w:left w:val="nil"/>
                    <w:bottom w:val="single" w:sz="8" w:space="0" w:color="BFBFBF"/>
                    <w:right w:val="nil"/>
                  </w:tcBorders>
                  <w:shd w:val="clear" w:color="auto" w:fill="auto"/>
                  <w:tcMar>
                    <w:left w:w="0" w:type="dxa"/>
                    <w:right w:w="0" w:type="dxa"/>
                  </w:tcMar>
                  <w:hideMark/>
                </w:tcPr>
                <w:p w14:paraId="7954BB9E" w14:textId="77777777" w:rsidR="00F05DC7" w:rsidRDefault="00F05DC7" w:rsidP="00A3786D">
                  <w:pPr>
                    <w:pStyle w:val="TableBodyText"/>
                    <w:ind w:right="57"/>
                  </w:pPr>
                  <w:r w:rsidRPr="0082062B">
                    <w:t>3.</w:t>
                  </w:r>
                  <w:r>
                    <w:t>5</w:t>
                  </w:r>
                </w:p>
              </w:tc>
              <w:tc>
                <w:tcPr>
                  <w:tcW w:w="382" w:type="pct"/>
                  <w:tcBorders>
                    <w:top w:val="nil"/>
                    <w:left w:val="nil"/>
                    <w:bottom w:val="single" w:sz="8" w:space="0" w:color="BFBFBF"/>
                    <w:right w:val="nil"/>
                  </w:tcBorders>
                  <w:shd w:val="clear" w:color="auto" w:fill="auto"/>
                  <w:tcMar>
                    <w:left w:w="0" w:type="dxa"/>
                    <w:right w:w="0" w:type="dxa"/>
                  </w:tcMar>
                  <w:hideMark/>
                </w:tcPr>
                <w:p w14:paraId="7954BB9F" w14:textId="77777777" w:rsidR="00F05DC7" w:rsidRDefault="00F05DC7" w:rsidP="00A3786D">
                  <w:pPr>
                    <w:pStyle w:val="TableBodyText"/>
                    <w:ind w:right="57"/>
                  </w:pPr>
                  <w:r w:rsidRPr="0082062B">
                    <w:t>1.</w:t>
                  </w:r>
                  <w:r>
                    <w:t>0</w:t>
                  </w:r>
                </w:p>
              </w:tc>
              <w:tc>
                <w:tcPr>
                  <w:tcW w:w="382" w:type="pct"/>
                  <w:tcBorders>
                    <w:top w:val="nil"/>
                    <w:left w:val="nil"/>
                    <w:bottom w:val="single" w:sz="8" w:space="0" w:color="BFBFBF"/>
                    <w:right w:val="nil"/>
                  </w:tcBorders>
                  <w:shd w:val="clear" w:color="auto" w:fill="auto"/>
                  <w:tcMar>
                    <w:left w:w="0" w:type="dxa"/>
                    <w:right w:w="0" w:type="dxa"/>
                  </w:tcMar>
                  <w:hideMark/>
                </w:tcPr>
                <w:p w14:paraId="7954BBA0" w14:textId="77777777" w:rsidR="00F05DC7" w:rsidRDefault="00F05DC7" w:rsidP="00A3786D">
                  <w:pPr>
                    <w:pStyle w:val="TableBodyText"/>
                    <w:ind w:right="57"/>
                  </w:pPr>
                  <w:r w:rsidRPr="0082062B">
                    <w:t>0.</w:t>
                  </w:r>
                  <w:r>
                    <w:t>0</w:t>
                  </w:r>
                </w:p>
              </w:tc>
              <w:tc>
                <w:tcPr>
                  <w:tcW w:w="378" w:type="pct"/>
                  <w:tcBorders>
                    <w:top w:val="nil"/>
                    <w:left w:val="nil"/>
                    <w:bottom w:val="single" w:sz="8" w:space="0" w:color="BFBFBF"/>
                    <w:right w:val="nil"/>
                  </w:tcBorders>
                  <w:shd w:val="clear" w:color="auto" w:fill="auto"/>
                  <w:tcMar>
                    <w:left w:w="0" w:type="dxa"/>
                    <w:right w:w="0" w:type="dxa"/>
                  </w:tcMar>
                  <w:hideMark/>
                </w:tcPr>
                <w:p w14:paraId="7954BBA1" w14:textId="77777777" w:rsidR="00F05DC7" w:rsidRDefault="00F05DC7" w:rsidP="00A3786D">
                  <w:pPr>
                    <w:pStyle w:val="TableBodyText"/>
                    <w:ind w:right="57"/>
                  </w:pPr>
                  <w:r w:rsidRPr="0082062B">
                    <w:t>0.</w:t>
                  </w:r>
                  <w:r>
                    <w:t>6</w:t>
                  </w:r>
                </w:p>
              </w:tc>
            </w:tr>
          </w:tbl>
          <w:p w14:paraId="7954BBA3" w14:textId="77777777" w:rsidR="00F05DC7" w:rsidRDefault="00F05DC7" w:rsidP="00A3786D">
            <w:pPr>
              <w:pStyle w:val="Box"/>
            </w:pPr>
          </w:p>
        </w:tc>
      </w:tr>
      <w:tr w:rsidR="00F05DC7" w14:paraId="7954BBA6" w14:textId="77777777" w:rsidTr="00A3786D">
        <w:tc>
          <w:tcPr>
            <w:tcW w:w="5000" w:type="pct"/>
            <w:tcBorders>
              <w:top w:val="nil"/>
              <w:left w:val="nil"/>
              <w:bottom w:val="nil"/>
              <w:right w:val="nil"/>
            </w:tcBorders>
            <w:shd w:val="clear" w:color="auto" w:fill="auto"/>
          </w:tcPr>
          <w:p w14:paraId="7954BBA5" w14:textId="25C6A1D8" w:rsidR="00F05DC7" w:rsidRDefault="00F05DC7" w:rsidP="00A3786D">
            <w:pPr>
              <w:pStyle w:val="Source"/>
            </w:pPr>
            <w:r>
              <w:rPr>
                <w:i/>
              </w:rPr>
              <w:t>Source</w:t>
            </w:r>
            <w:r w:rsidRPr="00167F06">
              <w:t xml:space="preserve">: </w:t>
            </w:r>
            <w:r>
              <w:t xml:space="preserve">Productivity </w:t>
            </w:r>
            <w:r w:rsidRPr="000D1878">
              <w:t>Commission estimates</w:t>
            </w:r>
            <w:r>
              <w:t xml:space="preserve"> based on CGC </w:t>
            </w:r>
            <w:r w:rsidR="009D6331" w:rsidRPr="009D6331">
              <w:rPr>
                <w:rFonts w:cs="Arial"/>
              </w:rPr>
              <w:t>(2018h)</w:t>
            </w:r>
            <w:r>
              <w:t xml:space="preserve"> data.</w:t>
            </w:r>
          </w:p>
        </w:tc>
      </w:tr>
      <w:tr w:rsidR="00F05DC7" w14:paraId="7954BBA8" w14:textId="77777777" w:rsidTr="00A3786D">
        <w:tc>
          <w:tcPr>
            <w:tcW w:w="5000" w:type="pct"/>
            <w:tcBorders>
              <w:top w:val="nil"/>
              <w:left w:val="nil"/>
              <w:bottom w:val="single" w:sz="6" w:space="0" w:color="78A22F"/>
              <w:right w:val="nil"/>
            </w:tcBorders>
            <w:shd w:val="clear" w:color="auto" w:fill="auto"/>
          </w:tcPr>
          <w:p w14:paraId="7954BBA7" w14:textId="77777777" w:rsidR="00F05DC7" w:rsidRDefault="00F05DC7" w:rsidP="00A3786D">
            <w:pPr>
              <w:pStyle w:val="Box"/>
              <w:spacing w:before="0" w:line="120" w:lineRule="exact"/>
            </w:pPr>
          </w:p>
        </w:tc>
      </w:tr>
      <w:tr w:rsidR="00F05DC7" w:rsidRPr="000863A5" w14:paraId="7954BBAA" w14:textId="77777777" w:rsidTr="00A3786D">
        <w:tc>
          <w:tcPr>
            <w:tcW w:w="5000" w:type="pct"/>
            <w:tcBorders>
              <w:top w:val="single" w:sz="6" w:space="0" w:color="78A22F"/>
              <w:left w:val="nil"/>
              <w:bottom w:val="nil"/>
              <w:right w:val="nil"/>
            </w:tcBorders>
          </w:tcPr>
          <w:p w14:paraId="7954BBA9" w14:textId="77777777" w:rsidR="00F05DC7" w:rsidRPr="00626D32" w:rsidRDefault="00F05DC7" w:rsidP="00A3786D">
            <w:pPr>
              <w:pStyle w:val="BoxSpaceBelow"/>
            </w:pPr>
          </w:p>
        </w:tc>
      </w:tr>
    </w:tbl>
    <w:p w14:paraId="7954BBAB" w14:textId="77777777" w:rsidR="00F05DC7" w:rsidRDefault="00F05DC7" w:rsidP="00A3786D">
      <w:pPr>
        <w:pStyle w:val="BodyText"/>
      </w:pPr>
      <w:r>
        <w:t>Average rate effects also occur for changes in States’ expenditure. These changes affect the average levels of expenditure across States, leading to changes in each State’s assessed expenses and consequently its GST payments. As with revenue rate effects, expenditure rate effects presented below are given by the change in GST payments resulting from a $100 reduction in expenditure. These effects are presented in table C.18. They are generally smaller than revenue rate effects and in most cases less than $1.</w:t>
      </w:r>
      <w:r w:rsidRPr="00DB4B8B">
        <w:t xml:space="preserve"> </w:t>
      </w:r>
    </w:p>
    <w:p w14:paraId="7954BBAC"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BAF" w14:textId="77777777" w:rsidTr="001113B1">
        <w:trPr>
          <w:tblHeader/>
        </w:trPr>
        <w:tc>
          <w:tcPr>
            <w:tcW w:w="5000" w:type="pct"/>
            <w:tcBorders>
              <w:top w:val="single" w:sz="6" w:space="0" w:color="78A22F"/>
              <w:left w:val="nil"/>
              <w:bottom w:val="nil"/>
              <w:right w:val="nil"/>
            </w:tcBorders>
            <w:shd w:val="clear" w:color="auto" w:fill="auto"/>
          </w:tcPr>
          <w:p w14:paraId="7954BBAD" w14:textId="37C67762" w:rsidR="00F05DC7" w:rsidRDefault="00F05DC7" w:rsidP="00A3786D">
            <w:pPr>
              <w:pStyle w:val="TableTitle"/>
            </w:pPr>
            <w:r>
              <w:rPr>
                <w:b w:val="0"/>
              </w:rPr>
              <w:t>Table C.18</w:t>
            </w:r>
            <w:r>
              <w:tab/>
              <w:t>Change in GST payments of reducing expenses by $100</w:t>
            </w:r>
          </w:p>
          <w:p w14:paraId="7954BBAE" w14:textId="77777777" w:rsidR="00F05DC7" w:rsidRPr="00784A05" w:rsidRDefault="00F05DC7" w:rsidP="00A3786D">
            <w:pPr>
              <w:pStyle w:val="Subtitle"/>
            </w:pPr>
            <w:r>
              <w:t>2016</w:t>
            </w:r>
            <w:r>
              <w:noBreakHyphen/>
              <w:t>17, dollars</w:t>
            </w:r>
          </w:p>
        </w:tc>
      </w:tr>
      <w:tr w:rsidR="00F05DC7" w14:paraId="7954BBED" w14:textId="77777777" w:rsidTr="00A3786D">
        <w:tc>
          <w:tcPr>
            <w:tcW w:w="5000" w:type="pct"/>
            <w:tcBorders>
              <w:top w:val="nil"/>
              <w:left w:val="nil"/>
              <w:bottom w:val="nil"/>
              <w:right w:val="nil"/>
            </w:tcBorders>
            <w:shd w:val="clear" w:color="auto" w:fill="auto"/>
          </w:tcPr>
          <w:tbl>
            <w:tblPr>
              <w:tblW w:w="5000" w:type="pct"/>
              <w:tblLayout w:type="fixed"/>
              <w:tblLook w:val="04A0" w:firstRow="1" w:lastRow="0" w:firstColumn="1" w:lastColumn="0" w:noHBand="0" w:noVBand="1"/>
            </w:tblPr>
            <w:tblGrid>
              <w:gridCol w:w="3119"/>
              <w:gridCol w:w="673"/>
              <w:gridCol w:w="673"/>
              <w:gridCol w:w="674"/>
              <w:gridCol w:w="674"/>
              <w:gridCol w:w="674"/>
              <w:gridCol w:w="674"/>
              <w:gridCol w:w="674"/>
              <w:gridCol w:w="670"/>
            </w:tblGrid>
            <w:tr w:rsidR="00F05DC7" w14:paraId="7954BBB9" w14:textId="77777777" w:rsidTr="001113B1">
              <w:trPr>
                <w:trHeight w:val="288"/>
                <w:tblHeader/>
              </w:trPr>
              <w:tc>
                <w:tcPr>
                  <w:tcW w:w="1834"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B0" w14:textId="77777777" w:rsidR="00F05DC7" w:rsidRDefault="00F05DC7" w:rsidP="00A3786D">
                  <w:pPr>
                    <w:pStyle w:val="TableColumnHeading"/>
                    <w:jc w:val="left"/>
                  </w:pPr>
                  <w:r>
                    <w:t>Expenditure category</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B1" w14:textId="77777777" w:rsidR="00F05DC7" w:rsidRDefault="00F05DC7" w:rsidP="00A3786D">
                  <w:pPr>
                    <w:pStyle w:val="TableColumnHeading"/>
                    <w:ind w:right="57"/>
                  </w:pPr>
                  <w:r>
                    <w:t>NSW</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B2" w14:textId="77777777" w:rsidR="00F05DC7" w:rsidRDefault="00F05DC7" w:rsidP="00A3786D">
                  <w:pPr>
                    <w:pStyle w:val="TableColumnHeading"/>
                    <w:ind w:right="57"/>
                  </w:pPr>
                  <w:r>
                    <w:t>Vic</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B3" w14:textId="77777777" w:rsidR="00F05DC7" w:rsidRDefault="00F05DC7" w:rsidP="00A3786D">
                  <w:pPr>
                    <w:pStyle w:val="TableColumnHeading"/>
                    <w:ind w:right="57"/>
                  </w:pPr>
                  <w:r>
                    <w:t>Qld</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B4" w14:textId="77777777" w:rsidR="00F05DC7" w:rsidRDefault="00F05DC7" w:rsidP="00A3786D">
                  <w:pPr>
                    <w:pStyle w:val="TableColumnHeading"/>
                    <w:ind w:right="57"/>
                  </w:pPr>
                  <w:r>
                    <w:t>WA</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B5" w14:textId="77777777" w:rsidR="00F05DC7" w:rsidRDefault="00F05DC7" w:rsidP="00A3786D">
                  <w:pPr>
                    <w:pStyle w:val="TableColumnHeading"/>
                    <w:ind w:right="57"/>
                  </w:pPr>
                  <w:r>
                    <w:t>SA</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B6" w14:textId="77777777" w:rsidR="00F05DC7" w:rsidRDefault="00F05DC7" w:rsidP="00A3786D">
                  <w:pPr>
                    <w:pStyle w:val="TableColumnHeading"/>
                    <w:ind w:right="57"/>
                  </w:pPr>
                  <w:r>
                    <w:t>Tas</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B7" w14:textId="77777777" w:rsidR="00F05DC7" w:rsidRDefault="00F05DC7" w:rsidP="00A3786D">
                  <w:pPr>
                    <w:pStyle w:val="TableColumnHeading"/>
                    <w:ind w:right="57"/>
                  </w:pPr>
                  <w:r>
                    <w:t>ACT</w:t>
                  </w:r>
                </w:p>
              </w:tc>
              <w:tc>
                <w:tcPr>
                  <w:tcW w:w="394"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BBB8" w14:textId="77777777" w:rsidR="00F05DC7" w:rsidRDefault="00F05DC7" w:rsidP="00A3786D">
                  <w:pPr>
                    <w:pStyle w:val="TableColumnHeading"/>
                    <w:ind w:right="57"/>
                  </w:pPr>
                  <w:r>
                    <w:t>NT</w:t>
                  </w:r>
                </w:p>
              </w:tc>
            </w:tr>
            <w:tr w:rsidR="00F05DC7" w14:paraId="7954BBC3" w14:textId="77777777" w:rsidTr="00A3786D">
              <w:trPr>
                <w:trHeight w:val="289"/>
              </w:trPr>
              <w:tc>
                <w:tcPr>
                  <w:tcW w:w="1834" w:type="pct"/>
                  <w:tcBorders>
                    <w:top w:val="nil"/>
                    <w:left w:val="nil"/>
                    <w:bottom w:val="nil"/>
                    <w:right w:val="nil"/>
                  </w:tcBorders>
                  <w:shd w:val="clear" w:color="auto" w:fill="auto"/>
                  <w:tcMar>
                    <w:left w:w="0" w:type="dxa"/>
                    <w:right w:w="0" w:type="dxa"/>
                  </w:tcMar>
                  <w:vAlign w:val="center"/>
                  <w:hideMark/>
                </w:tcPr>
                <w:p w14:paraId="7954BBBA" w14:textId="77777777" w:rsidR="00F05DC7" w:rsidRDefault="00F05DC7" w:rsidP="00A3786D">
                  <w:pPr>
                    <w:pStyle w:val="TableBodyText"/>
                    <w:jc w:val="left"/>
                  </w:pPr>
                  <w:r>
                    <w:t>Health – admitted patients</w:t>
                  </w:r>
                </w:p>
              </w:tc>
              <w:tc>
                <w:tcPr>
                  <w:tcW w:w="396" w:type="pct"/>
                  <w:tcBorders>
                    <w:top w:val="nil"/>
                    <w:left w:val="nil"/>
                    <w:bottom w:val="nil"/>
                    <w:right w:val="nil"/>
                  </w:tcBorders>
                  <w:shd w:val="clear" w:color="auto" w:fill="auto"/>
                  <w:tcMar>
                    <w:left w:w="0" w:type="dxa"/>
                    <w:right w:w="0" w:type="dxa"/>
                  </w:tcMar>
                  <w:vAlign w:val="bottom"/>
                  <w:hideMark/>
                </w:tcPr>
                <w:p w14:paraId="7954BBBB" w14:textId="77777777" w:rsidR="00F05DC7" w:rsidRPr="000755EA" w:rsidRDefault="00F05DC7" w:rsidP="00A3786D">
                  <w:pPr>
                    <w:pStyle w:val="TableBodyText"/>
                    <w:ind w:right="57"/>
                    <w:rPr>
                      <w:rFonts w:cs="Arial"/>
                      <w:szCs w:val="18"/>
                    </w:rPr>
                  </w:pPr>
                  <w:r>
                    <w:rPr>
                      <w:rFonts w:cs="Arial"/>
                      <w:color w:val="000000"/>
                      <w:szCs w:val="18"/>
                    </w:rPr>
                    <w:t>0.</w:t>
                  </w:r>
                  <w:r w:rsidRPr="000755EA">
                    <w:rPr>
                      <w:rFonts w:cs="Arial"/>
                      <w:color w:val="000000"/>
                      <w:szCs w:val="18"/>
                    </w:rPr>
                    <w:t>1</w:t>
                  </w:r>
                </w:p>
              </w:tc>
              <w:tc>
                <w:tcPr>
                  <w:tcW w:w="396" w:type="pct"/>
                  <w:tcBorders>
                    <w:top w:val="nil"/>
                    <w:left w:val="nil"/>
                    <w:bottom w:val="nil"/>
                    <w:right w:val="nil"/>
                  </w:tcBorders>
                  <w:shd w:val="clear" w:color="auto" w:fill="auto"/>
                  <w:tcMar>
                    <w:left w:w="0" w:type="dxa"/>
                    <w:right w:w="0" w:type="dxa"/>
                  </w:tcMar>
                  <w:vAlign w:val="bottom"/>
                  <w:hideMark/>
                </w:tcPr>
                <w:p w14:paraId="7954BBBC" w14:textId="77777777" w:rsidR="00F05DC7" w:rsidRPr="000755EA" w:rsidRDefault="00F05DC7" w:rsidP="00A3786D">
                  <w:pPr>
                    <w:pStyle w:val="TableBodyText"/>
                    <w:ind w:right="57"/>
                    <w:rPr>
                      <w:rFonts w:cs="Arial"/>
                      <w:szCs w:val="18"/>
                    </w:rPr>
                  </w:pPr>
                  <w:r>
                    <w:rPr>
                      <w:rFonts w:cs="Arial"/>
                      <w:color w:val="000000"/>
                      <w:szCs w:val="18"/>
                    </w:rPr>
                    <w:t>1.</w:t>
                  </w:r>
                  <w:r w:rsidRPr="000755EA">
                    <w:rPr>
                      <w:rFonts w:cs="Arial"/>
                      <w:color w:val="000000"/>
                      <w:szCs w:val="18"/>
                    </w:rPr>
                    <w:t>1</w:t>
                  </w:r>
                </w:p>
              </w:tc>
              <w:tc>
                <w:tcPr>
                  <w:tcW w:w="396" w:type="pct"/>
                  <w:tcBorders>
                    <w:top w:val="nil"/>
                    <w:left w:val="nil"/>
                    <w:bottom w:val="nil"/>
                    <w:right w:val="nil"/>
                  </w:tcBorders>
                  <w:shd w:val="clear" w:color="auto" w:fill="auto"/>
                  <w:tcMar>
                    <w:left w:w="0" w:type="dxa"/>
                    <w:right w:w="0" w:type="dxa"/>
                  </w:tcMar>
                  <w:vAlign w:val="bottom"/>
                  <w:hideMark/>
                </w:tcPr>
                <w:p w14:paraId="7954BBBD" w14:textId="77777777" w:rsidR="00F05DC7" w:rsidRPr="000755EA" w:rsidRDefault="00F05DC7" w:rsidP="00A3786D">
                  <w:pPr>
                    <w:pStyle w:val="TableBodyText"/>
                    <w:ind w:right="57"/>
                    <w:rPr>
                      <w:rFonts w:cs="Arial"/>
                      <w:szCs w:val="18"/>
                    </w:rPr>
                  </w:pPr>
                  <w:r>
                    <w:rPr>
                      <w:rFonts w:cs="Arial"/>
                      <w:color w:val="000000"/>
                      <w:szCs w:val="18"/>
                    </w:rPr>
                    <w:t>0.</w:t>
                  </w:r>
                  <w:r w:rsidRPr="000755EA">
                    <w:rPr>
                      <w:rFonts w:cs="Arial"/>
                      <w:color w:val="000000"/>
                      <w:szCs w:val="18"/>
                    </w:rPr>
                    <w:t>0</w:t>
                  </w:r>
                </w:p>
              </w:tc>
              <w:tc>
                <w:tcPr>
                  <w:tcW w:w="396" w:type="pct"/>
                  <w:tcBorders>
                    <w:top w:val="nil"/>
                    <w:left w:val="nil"/>
                    <w:bottom w:val="nil"/>
                    <w:right w:val="nil"/>
                  </w:tcBorders>
                  <w:shd w:val="clear" w:color="auto" w:fill="auto"/>
                  <w:tcMar>
                    <w:left w:w="0" w:type="dxa"/>
                    <w:right w:w="0" w:type="dxa"/>
                  </w:tcMar>
                  <w:vAlign w:val="bottom"/>
                  <w:hideMark/>
                </w:tcPr>
                <w:p w14:paraId="7954BBBE" w14:textId="77777777" w:rsidR="00F05DC7" w:rsidRPr="000755EA" w:rsidRDefault="00F05DC7" w:rsidP="00A3786D">
                  <w:pPr>
                    <w:pStyle w:val="TableBodyText"/>
                    <w:ind w:right="57"/>
                    <w:rPr>
                      <w:rFonts w:cs="Arial"/>
                      <w:szCs w:val="18"/>
                    </w:rPr>
                  </w:pPr>
                  <w:r>
                    <w:rPr>
                      <w:rFonts w:cs="Arial"/>
                      <w:color w:val="000000"/>
                      <w:szCs w:val="18"/>
                    </w:rPr>
                    <w:t>-0.</w:t>
                  </w:r>
                  <w:r w:rsidRPr="000755EA">
                    <w:rPr>
                      <w:rFonts w:cs="Arial"/>
                      <w:color w:val="000000"/>
                      <w:szCs w:val="18"/>
                    </w:rPr>
                    <w:t>1</w:t>
                  </w:r>
                </w:p>
              </w:tc>
              <w:tc>
                <w:tcPr>
                  <w:tcW w:w="396" w:type="pct"/>
                  <w:tcBorders>
                    <w:top w:val="nil"/>
                    <w:left w:val="nil"/>
                    <w:bottom w:val="nil"/>
                    <w:right w:val="nil"/>
                  </w:tcBorders>
                  <w:shd w:val="clear" w:color="auto" w:fill="auto"/>
                  <w:tcMar>
                    <w:left w:w="0" w:type="dxa"/>
                    <w:right w:w="0" w:type="dxa"/>
                  </w:tcMar>
                  <w:vAlign w:val="bottom"/>
                  <w:hideMark/>
                </w:tcPr>
                <w:p w14:paraId="7954BBBF" w14:textId="77777777" w:rsidR="00F05DC7" w:rsidRPr="000755EA" w:rsidRDefault="00F05DC7" w:rsidP="00A3786D">
                  <w:pPr>
                    <w:pStyle w:val="TableBodyText"/>
                    <w:ind w:right="57"/>
                    <w:rPr>
                      <w:rFonts w:cs="Arial"/>
                      <w:szCs w:val="18"/>
                    </w:rPr>
                  </w:pPr>
                  <w:r>
                    <w:rPr>
                      <w:rFonts w:cs="Arial"/>
                      <w:color w:val="000000"/>
                      <w:szCs w:val="18"/>
                    </w:rPr>
                    <w:t>-0.5</w:t>
                  </w:r>
                </w:p>
              </w:tc>
              <w:tc>
                <w:tcPr>
                  <w:tcW w:w="396" w:type="pct"/>
                  <w:tcBorders>
                    <w:top w:val="nil"/>
                    <w:left w:val="nil"/>
                    <w:bottom w:val="nil"/>
                    <w:right w:val="nil"/>
                  </w:tcBorders>
                  <w:shd w:val="clear" w:color="auto" w:fill="auto"/>
                  <w:tcMar>
                    <w:left w:w="0" w:type="dxa"/>
                    <w:right w:w="0" w:type="dxa"/>
                  </w:tcMar>
                  <w:vAlign w:val="bottom"/>
                  <w:hideMark/>
                </w:tcPr>
                <w:p w14:paraId="7954BBC0" w14:textId="77777777" w:rsidR="00F05DC7" w:rsidRPr="000755EA" w:rsidRDefault="00F05DC7" w:rsidP="00A3786D">
                  <w:pPr>
                    <w:pStyle w:val="TableBodyText"/>
                    <w:ind w:right="57"/>
                    <w:rPr>
                      <w:rFonts w:cs="Arial"/>
                      <w:szCs w:val="18"/>
                    </w:rPr>
                  </w:pPr>
                  <w:r>
                    <w:rPr>
                      <w:rFonts w:cs="Arial"/>
                      <w:color w:val="000000"/>
                      <w:szCs w:val="18"/>
                    </w:rPr>
                    <w:t>-0.</w:t>
                  </w:r>
                  <w:r w:rsidRPr="000755EA">
                    <w:rPr>
                      <w:rFonts w:cs="Arial"/>
                      <w:color w:val="000000"/>
                      <w:szCs w:val="18"/>
                    </w:rPr>
                    <w:t>3</w:t>
                  </w:r>
                </w:p>
              </w:tc>
              <w:tc>
                <w:tcPr>
                  <w:tcW w:w="396" w:type="pct"/>
                  <w:tcBorders>
                    <w:top w:val="nil"/>
                    <w:left w:val="nil"/>
                    <w:bottom w:val="nil"/>
                    <w:right w:val="nil"/>
                  </w:tcBorders>
                  <w:shd w:val="clear" w:color="auto" w:fill="auto"/>
                  <w:tcMar>
                    <w:left w:w="0" w:type="dxa"/>
                    <w:right w:w="0" w:type="dxa"/>
                  </w:tcMar>
                  <w:vAlign w:val="bottom"/>
                  <w:hideMark/>
                </w:tcPr>
                <w:p w14:paraId="7954BBC1" w14:textId="77777777" w:rsidR="00F05DC7" w:rsidRPr="000755EA" w:rsidRDefault="00F05DC7" w:rsidP="00A3786D">
                  <w:pPr>
                    <w:pStyle w:val="TableBodyText"/>
                    <w:ind w:right="57"/>
                    <w:rPr>
                      <w:rFonts w:cs="Arial"/>
                      <w:szCs w:val="18"/>
                    </w:rPr>
                  </w:pPr>
                  <w:r>
                    <w:rPr>
                      <w:rFonts w:cs="Arial"/>
                      <w:color w:val="000000"/>
                      <w:szCs w:val="18"/>
                    </w:rPr>
                    <w:t>0.2</w:t>
                  </w:r>
                </w:p>
              </w:tc>
              <w:tc>
                <w:tcPr>
                  <w:tcW w:w="394" w:type="pct"/>
                  <w:tcBorders>
                    <w:top w:val="nil"/>
                    <w:left w:val="nil"/>
                    <w:bottom w:val="nil"/>
                    <w:right w:val="nil"/>
                  </w:tcBorders>
                  <w:shd w:val="clear" w:color="auto" w:fill="auto"/>
                  <w:tcMar>
                    <w:left w:w="0" w:type="dxa"/>
                    <w:right w:w="0" w:type="dxa"/>
                  </w:tcMar>
                  <w:vAlign w:val="bottom"/>
                  <w:hideMark/>
                </w:tcPr>
                <w:p w14:paraId="7954BBC2" w14:textId="77777777" w:rsidR="00F05DC7" w:rsidRPr="000755EA" w:rsidRDefault="00F05DC7" w:rsidP="00A3786D">
                  <w:pPr>
                    <w:pStyle w:val="TableBodyText"/>
                    <w:ind w:right="57"/>
                    <w:rPr>
                      <w:rFonts w:cs="Arial"/>
                      <w:szCs w:val="18"/>
                    </w:rPr>
                  </w:pPr>
                  <w:r>
                    <w:rPr>
                      <w:rFonts w:cs="Arial"/>
                      <w:color w:val="000000"/>
                      <w:szCs w:val="18"/>
                    </w:rPr>
                    <w:t>-0.</w:t>
                  </w:r>
                  <w:r w:rsidRPr="000755EA">
                    <w:rPr>
                      <w:rFonts w:cs="Arial"/>
                      <w:color w:val="000000"/>
                      <w:szCs w:val="18"/>
                    </w:rPr>
                    <w:t>5</w:t>
                  </w:r>
                </w:p>
              </w:tc>
            </w:tr>
            <w:tr w:rsidR="00F05DC7" w14:paraId="7954BBCD" w14:textId="77777777" w:rsidTr="00A3786D">
              <w:trPr>
                <w:trHeight w:val="289"/>
              </w:trPr>
              <w:tc>
                <w:tcPr>
                  <w:tcW w:w="1834" w:type="pct"/>
                  <w:tcBorders>
                    <w:top w:val="nil"/>
                    <w:left w:val="nil"/>
                    <w:bottom w:val="nil"/>
                    <w:right w:val="nil"/>
                  </w:tcBorders>
                  <w:shd w:val="clear" w:color="auto" w:fill="auto"/>
                  <w:tcMar>
                    <w:left w:w="0" w:type="dxa"/>
                    <w:right w:w="0" w:type="dxa"/>
                  </w:tcMar>
                  <w:vAlign w:val="center"/>
                  <w:hideMark/>
                </w:tcPr>
                <w:p w14:paraId="7954BBC4" w14:textId="77777777" w:rsidR="00F05DC7" w:rsidRDefault="00F05DC7" w:rsidP="00A3786D">
                  <w:pPr>
                    <w:pStyle w:val="TableBodyText"/>
                    <w:jc w:val="left"/>
                  </w:pPr>
                  <w:r>
                    <w:t>Roads</w:t>
                  </w:r>
                </w:p>
              </w:tc>
              <w:tc>
                <w:tcPr>
                  <w:tcW w:w="396" w:type="pct"/>
                  <w:tcBorders>
                    <w:top w:val="nil"/>
                    <w:left w:val="nil"/>
                    <w:bottom w:val="nil"/>
                    <w:right w:val="nil"/>
                  </w:tcBorders>
                  <w:shd w:val="clear" w:color="auto" w:fill="auto"/>
                  <w:tcMar>
                    <w:left w:w="0" w:type="dxa"/>
                    <w:right w:w="0" w:type="dxa"/>
                  </w:tcMar>
                  <w:vAlign w:val="center"/>
                  <w:hideMark/>
                </w:tcPr>
                <w:p w14:paraId="7954BBC5" w14:textId="77777777" w:rsidR="00F05DC7" w:rsidRPr="000755EA" w:rsidRDefault="00F05DC7" w:rsidP="00A3786D">
                  <w:pPr>
                    <w:pStyle w:val="TableBodyText"/>
                    <w:ind w:right="57"/>
                    <w:rPr>
                      <w:rFonts w:cs="Arial"/>
                      <w:szCs w:val="18"/>
                    </w:rPr>
                  </w:pPr>
                  <w:r>
                    <w:rPr>
                      <w:rFonts w:cs="Arial"/>
                      <w:color w:val="000000"/>
                      <w:szCs w:val="18"/>
                    </w:rPr>
                    <w:t>3.0</w:t>
                  </w:r>
                </w:p>
              </w:tc>
              <w:tc>
                <w:tcPr>
                  <w:tcW w:w="396" w:type="pct"/>
                  <w:tcBorders>
                    <w:top w:val="nil"/>
                    <w:left w:val="nil"/>
                    <w:bottom w:val="nil"/>
                    <w:right w:val="nil"/>
                  </w:tcBorders>
                  <w:shd w:val="clear" w:color="auto" w:fill="auto"/>
                  <w:tcMar>
                    <w:left w:w="0" w:type="dxa"/>
                    <w:right w:w="0" w:type="dxa"/>
                  </w:tcMar>
                  <w:vAlign w:val="center"/>
                  <w:hideMark/>
                </w:tcPr>
                <w:p w14:paraId="7954BBC6" w14:textId="77777777" w:rsidR="00F05DC7" w:rsidRPr="000755EA" w:rsidRDefault="00F05DC7" w:rsidP="00A3786D">
                  <w:pPr>
                    <w:pStyle w:val="TableBodyText"/>
                    <w:ind w:right="57"/>
                    <w:rPr>
                      <w:rFonts w:cs="Arial"/>
                      <w:szCs w:val="18"/>
                    </w:rPr>
                  </w:pPr>
                  <w:r>
                    <w:rPr>
                      <w:rFonts w:cs="Arial"/>
                      <w:color w:val="000000"/>
                      <w:szCs w:val="18"/>
                    </w:rPr>
                    <w:t>3.7</w:t>
                  </w:r>
                </w:p>
              </w:tc>
              <w:tc>
                <w:tcPr>
                  <w:tcW w:w="396" w:type="pct"/>
                  <w:tcBorders>
                    <w:top w:val="nil"/>
                    <w:left w:val="nil"/>
                    <w:bottom w:val="nil"/>
                    <w:right w:val="nil"/>
                  </w:tcBorders>
                  <w:shd w:val="clear" w:color="auto" w:fill="auto"/>
                  <w:tcMar>
                    <w:left w:w="0" w:type="dxa"/>
                    <w:right w:w="0" w:type="dxa"/>
                  </w:tcMar>
                  <w:vAlign w:val="center"/>
                  <w:hideMark/>
                </w:tcPr>
                <w:p w14:paraId="7954BBC7" w14:textId="77777777" w:rsidR="00F05DC7" w:rsidRPr="000755EA" w:rsidRDefault="00F05DC7" w:rsidP="00A3786D">
                  <w:pPr>
                    <w:pStyle w:val="TableBodyText"/>
                    <w:ind w:right="57"/>
                    <w:rPr>
                      <w:rFonts w:cs="Arial"/>
                      <w:szCs w:val="18"/>
                    </w:rPr>
                  </w:pPr>
                  <w:r>
                    <w:rPr>
                      <w:rFonts w:cs="Arial"/>
                      <w:color w:val="000000"/>
                      <w:szCs w:val="18"/>
                    </w:rPr>
                    <w:t>-1.8</w:t>
                  </w:r>
                </w:p>
              </w:tc>
              <w:tc>
                <w:tcPr>
                  <w:tcW w:w="396" w:type="pct"/>
                  <w:tcBorders>
                    <w:top w:val="nil"/>
                    <w:left w:val="nil"/>
                    <w:bottom w:val="nil"/>
                    <w:right w:val="nil"/>
                  </w:tcBorders>
                  <w:shd w:val="clear" w:color="auto" w:fill="auto"/>
                  <w:tcMar>
                    <w:left w:w="0" w:type="dxa"/>
                    <w:right w:w="0" w:type="dxa"/>
                  </w:tcMar>
                  <w:vAlign w:val="center"/>
                  <w:hideMark/>
                </w:tcPr>
                <w:p w14:paraId="7954BBC8" w14:textId="77777777" w:rsidR="00F05DC7" w:rsidRPr="000755EA" w:rsidRDefault="00F05DC7" w:rsidP="00A3786D">
                  <w:pPr>
                    <w:pStyle w:val="TableBodyText"/>
                    <w:ind w:right="57"/>
                    <w:rPr>
                      <w:rFonts w:cs="Arial"/>
                      <w:szCs w:val="18"/>
                    </w:rPr>
                  </w:pPr>
                  <w:r>
                    <w:rPr>
                      <w:rFonts w:cs="Arial"/>
                      <w:color w:val="000000"/>
                      <w:szCs w:val="18"/>
                    </w:rPr>
                    <w:t>-3.2</w:t>
                  </w:r>
                </w:p>
              </w:tc>
              <w:tc>
                <w:tcPr>
                  <w:tcW w:w="396" w:type="pct"/>
                  <w:tcBorders>
                    <w:top w:val="nil"/>
                    <w:left w:val="nil"/>
                    <w:bottom w:val="nil"/>
                    <w:right w:val="nil"/>
                  </w:tcBorders>
                  <w:shd w:val="clear" w:color="auto" w:fill="auto"/>
                  <w:tcMar>
                    <w:left w:w="0" w:type="dxa"/>
                    <w:right w:w="0" w:type="dxa"/>
                  </w:tcMar>
                  <w:vAlign w:val="center"/>
                  <w:hideMark/>
                </w:tcPr>
                <w:p w14:paraId="7954BBC9" w14:textId="77777777" w:rsidR="00F05DC7" w:rsidRPr="000755EA" w:rsidRDefault="00F05DC7" w:rsidP="00A3786D">
                  <w:pPr>
                    <w:pStyle w:val="TableBodyText"/>
                    <w:ind w:right="57"/>
                    <w:rPr>
                      <w:rFonts w:cs="Arial"/>
                      <w:szCs w:val="18"/>
                    </w:rPr>
                  </w:pPr>
                  <w:r>
                    <w:rPr>
                      <w:rFonts w:cs="Arial"/>
                      <w:color w:val="000000"/>
                      <w:szCs w:val="18"/>
                    </w:rPr>
                    <w:t>-1.1</w:t>
                  </w:r>
                </w:p>
              </w:tc>
              <w:tc>
                <w:tcPr>
                  <w:tcW w:w="396" w:type="pct"/>
                  <w:tcBorders>
                    <w:top w:val="nil"/>
                    <w:left w:val="nil"/>
                    <w:bottom w:val="nil"/>
                    <w:right w:val="nil"/>
                  </w:tcBorders>
                  <w:shd w:val="clear" w:color="auto" w:fill="auto"/>
                  <w:tcMar>
                    <w:left w:w="0" w:type="dxa"/>
                    <w:right w:w="0" w:type="dxa"/>
                  </w:tcMar>
                  <w:vAlign w:val="center"/>
                  <w:hideMark/>
                </w:tcPr>
                <w:p w14:paraId="7954BBCA" w14:textId="77777777" w:rsidR="00F05DC7" w:rsidRPr="000755EA" w:rsidRDefault="00F05DC7" w:rsidP="00A3786D">
                  <w:pPr>
                    <w:pStyle w:val="TableBodyText"/>
                    <w:ind w:right="57"/>
                    <w:rPr>
                      <w:rFonts w:cs="Arial"/>
                      <w:szCs w:val="18"/>
                    </w:rPr>
                  </w:pPr>
                  <w:r>
                    <w:rPr>
                      <w:rFonts w:cs="Arial"/>
                      <w:color w:val="000000"/>
                      <w:szCs w:val="18"/>
                    </w:rPr>
                    <w:t>0.2</w:t>
                  </w:r>
                </w:p>
              </w:tc>
              <w:tc>
                <w:tcPr>
                  <w:tcW w:w="396" w:type="pct"/>
                  <w:tcBorders>
                    <w:top w:val="nil"/>
                    <w:left w:val="nil"/>
                    <w:bottom w:val="nil"/>
                    <w:right w:val="nil"/>
                  </w:tcBorders>
                  <w:shd w:val="clear" w:color="auto" w:fill="auto"/>
                  <w:tcMar>
                    <w:left w:w="0" w:type="dxa"/>
                    <w:right w:w="0" w:type="dxa"/>
                  </w:tcMar>
                  <w:vAlign w:val="center"/>
                  <w:hideMark/>
                </w:tcPr>
                <w:p w14:paraId="7954BBCB" w14:textId="77777777" w:rsidR="00F05DC7" w:rsidRPr="000755EA" w:rsidRDefault="00F05DC7" w:rsidP="00A3786D">
                  <w:pPr>
                    <w:pStyle w:val="TableBodyText"/>
                    <w:ind w:right="57"/>
                    <w:rPr>
                      <w:rFonts w:cs="Arial"/>
                      <w:szCs w:val="18"/>
                    </w:rPr>
                  </w:pPr>
                  <w:r>
                    <w:rPr>
                      <w:rFonts w:cs="Arial"/>
                      <w:color w:val="000000"/>
                      <w:szCs w:val="18"/>
                    </w:rPr>
                    <w:t>0.6</w:t>
                  </w:r>
                </w:p>
              </w:tc>
              <w:tc>
                <w:tcPr>
                  <w:tcW w:w="394" w:type="pct"/>
                  <w:tcBorders>
                    <w:top w:val="nil"/>
                    <w:left w:val="nil"/>
                    <w:bottom w:val="nil"/>
                    <w:right w:val="nil"/>
                  </w:tcBorders>
                  <w:shd w:val="clear" w:color="auto" w:fill="auto"/>
                  <w:tcMar>
                    <w:left w:w="0" w:type="dxa"/>
                    <w:right w:w="0" w:type="dxa"/>
                  </w:tcMar>
                  <w:vAlign w:val="center"/>
                  <w:hideMark/>
                </w:tcPr>
                <w:p w14:paraId="7954BBCC" w14:textId="77777777" w:rsidR="00F05DC7" w:rsidRPr="000755EA" w:rsidRDefault="00F05DC7" w:rsidP="00A3786D">
                  <w:pPr>
                    <w:pStyle w:val="TableBodyText"/>
                    <w:ind w:right="57"/>
                    <w:rPr>
                      <w:rFonts w:cs="Arial"/>
                      <w:szCs w:val="18"/>
                    </w:rPr>
                  </w:pPr>
                  <w:r>
                    <w:rPr>
                      <w:rFonts w:cs="Arial"/>
                      <w:color w:val="000000"/>
                      <w:szCs w:val="18"/>
                    </w:rPr>
                    <w:t>-1.4</w:t>
                  </w:r>
                </w:p>
              </w:tc>
            </w:tr>
            <w:tr w:rsidR="00F05DC7" w14:paraId="7954BBD7" w14:textId="77777777" w:rsidTr="00A3786D">
              <w:trPr>
                <w:trHeight w:val="289"/>
              </w:trPr>
              <w:tc>
                <w:tcPr>
                  <w:tcW w:w="1834" w:type="pct"/>
                  <w:tcBorders>
                    <w:top w:val="nil"/>
                    <w:left w:val="nil"/>
                    <w:bottom w:val="nil"/>
                    <w:right w:val="nil"/>
                  </w:tcBorders>
                  <w:shd w:val="clear" w:color="auto" w:fill="auto"/>
                  <w:tcMar>
                    <w:left w:w="0" w:type="dxa"/>
                    <w:right w:w="0" w:type="dxa"/>
                  </w:tcMar>
                  <w:vAlign w:val="center"/>
                  <w:hideMark/>
                </w:tcPr>
                <w:p w14:paraId="7954BBCE" w14:textId="77777777" w:rsidR="00F05DC7" w:rsidRDefault="00F05DC7" w:rsidP="00A3786D">
                  <w:pPr>
                    <w:pStyle w:val="TableBodyText"/>
                    <w:jc w:val="left"/>
                  </w:pPr>
                  <w:r>
                    <w:t>Post-secondary education</w:t>
                  </w:r>
                </w:p>
              </w:tc>
              <w:tc>
                <w:tcPr>
                  <w:tcW w:w="396" w:type="pct"/>
                  <w:tcBorders>
                    <w:top w:val="nil"/>
                    <w:left w:val="nil"/>
                    <w:bottom w:val="nil"/>
                    <w:right w:val="nil"/>
                  </w:tcBorders>
                  <w:shd w:val="clear" w:color="auto" w:fill="auto"/>
                  <w:tcMar>
                    <w:left w:w="0" w:type="dxa"/>
                    <w:right w:w="0" w:type="dxa"/>
                  </w:tcMar>
                  <w:vAlign w:val="center"/>
                  <w:hideMark/>
                </w:tcPr>
                <w:p w14:paraId="7954BBCF" w14:textId="77777777" w:rsidR="00F05DC7" w:rsidRPr="000755EA" w:rsidRDefault="00F05DC7" w:rsidP="00A3786D">
                  <w:pPr>
                    <w:pStyle w:val="TableBodyText"/>
                    <w:ind w:right="57"/>
                    <w:rPr>
                      <w:rFonts w:cs="Arial"/>
                      <w:szCs w:val="18"/>
                    </w:rPr>
                  </w:pPr>
                  <w:r>
                    <w:rPr>
                      <w:rFonts w:cs="Arial"/>
                      <w:color w:val="000000"/>
                      <w:szCs w:val="18"/>
                    </w:rPr>
                    <w:t>0.4</w:t>
                  </w:r>
                </w:p>
              </w:tc>
              <w:tc>
                <w:tcPr>
                  <w:tcW w:w="396" w:type="pct"/>
                  <w:tcBorders>
                    <w:top w:val="nil"/>
                    <w:left w:val="nil"/>
                    <w:bottom w:val="nil"/>
                    <w:right w:val="nil"/>
                  </w:tcBorders>
                  <w:shd w:val="clear" w:color="auto" w:fill="auto"/>
                  <w:tcMar>
                    <w:left w:w="0" w:type="dxa"/>
                    <w:right w:w="0" w:type="dxa"/>
                  </w:tcMar>
                  <w:vAlign w:val="center"/>
                  <w:hideMark/>
                </w:tcPr>
                <w:p w14:paraId="7954BBD0" w14:textId="77777777" w:rsidR="00F05DC7" w:rsidRPr="000755EA" w:rsidRDefault="00F05DC7" w:rsidP="00A3786D">
                  <w:pPr>
                    <w:pStyle w:val="TableBodyText"/>
                    <w:ind w:right="57"/>
                    <w:rPr>
                      <w:rFonts w:cs="Arial"/>
                      <w:szCs w:val="18"/>
                    </w:rPr>
                  </w:pPr>
                  <w:r>
                    <w:rPr>
                      <w:rFonts w:cs="Arial"/>
                      <w:color w:val="000000"/>
                      <w:szCs w:val="18"/>
                    </w:rPr>
                    <w:t>1.0</w:t>
                  </w:r>
                </w:p>
              </w:tc>
              <w:tc>
                <w:tcPr>
                  <w:tcW w:w="396" w:type="pct"/>
                  <w:tcBorders>
                    <w:top w:val="nil"/>
                    <w:left w:val="nil"/>
                    <w:bottom w:val="nil"/>
                    <w:right w:val="nil"/>
                  </w:tcBorders>
                  <w:shd w:val="clear" w:color="auto" w:fill="auto"/>
                  <w:tcMar>
                    <w:left w:w="0" w:type="dxa"/>
                    <w:right w:w="0" w:type="dxa"/>
                  </w:tcMar>
                  <w:vAlign w:val="center"/>
                  <w:hideMark/>
                </w:tcPr>
                <w:p w14:paraId="7954BBD1" w14:textId="77777777" w:rsidR="00F05DC7" w:rsidRPr="000755EA" w:rsidRDefault="00F05DC7" w:rsidP="00A3786D">
                  <w:pPr>
                    <w:pStyle w:val="TableBodyText"/>
                    <w:ind w:right="57"/>
                    <w:rPr>
                      <w:rFonts w:cs="Arial"/>
                      <w:szCs w:val="18"/>
                    </w:rPr>
                  </w:pPr>
                  <w:r>
                    <w:rPr>
                      <w:rFonts w:cs="Arial"/>
                      <w:color w:val="000000"/>
                      <w:szCs w:val="18"/>
                    </w:rPr>
                    <w:t>-0.4</w:t>
                  </w:r>
                </w:p>
              </w:tc>
              <w:tc>
                <w:tcPr>
                  <w:tcW w:w="396" w:type="pct"/>
                  <w:tcBorders>
                    <w:top w:val="nil"/>
                    <w:left w:val="nil"/>
                    <w:bottom w:val="nil"/>
                    <w:right w:val="nil"/>
                  </w:tcBorders>
                  <w:shd w:val="clear" w:color="auto" w:fill="auto"/>
                  <w:tcMar>
                    <w:left w:w="0" w:type="dxa"/>
                    <w:right w:w="0" w:type="dxa"/>
                  </w:tcMar>
                  <w:vAlign w:val="center"/>
                  <w:hideMark/>
                </w:tcPr>
                <w:p w14:paraId="7954BBD2" w14:textId="77777777" w:rsidR="00F05DC7" w:rsidRPr="000755EA" w:rsidRDefault="00F05DC7" w:rsidP="00A3786D">
                  <w:pPr>
                    <w:pStyle w:val="TableBodyText"/>
                    <w:ind w:right="57"/>
                    <w:rPr>
                      <w:rFonts w:cs="Arial"/>
                      <w:szCs w:val="18"/>
                    </w:rPr>
                  </w:pPr>
                  <w:r>
                    <w:rPr>
                      <w:rFonts w:cs="Arial"/>
                      <w:color w:val="000000"/>
                      <w:szCs w:val="18"/>
                    </w:rPr>
                    <w:t>-0.4</w:t>
                  </w:r>
                </w:p>
              </w:tc>
              <w:tc>
                <w:tcPr>
                  <w:tcW w:w="396" w:type="pct"/>
                  <w:tcBorders>
                    <w:top w:val="nil"/>
                    <w:left w:val="nil"/>
                    <w:bottom w:val="nil"/>
                    <w:right w:val="nil"/>
                  </w:tcBorders>
                  <w:shd w:val="clear" w:color="auto" w:fill="auto"/>
                  <w:tcMar>
                    <w:left w:w="0" w:type="dxa"/>
                    <w:right w:w="0" w:type="dxa"/>
                  </w:tcMar>
                  <w:vAlign w:val="center"/>
                  <w:hideMark/>
                </w:tcPr>
                <w:p w14:paraId="7954BBD3" w14:textId="77777777" w:rsidR="00F05DC7" w:rsidRPr="000755EA" w:rsidRDefault="00F05DC7" w:rsidP="00A3786D">
                  <w:pPr>
                    <w:pStyle w:val="TableBodyText"/>
                    <w:ind w:right="57"/>
                    <w:rPr>
                      <w:rFonts w:cs="Arial"/>
                      <w:szCs w:val="18"/>
                    </w:rPr>
                  </w:pPr>
                  <w:r>
                    <w:rPr>
                      <w:rFonts w:cs="Arial"/>
                      <w:color w:val="000000"/>
                      <w:szCs w:val="18"/>
                    </w:rPr>
                    <w:t>0.0</w:t>
                  </w:r>
                </w:p>
              </w:tc>
              <w:tc>
                <w:tcPr>
                  <w:tcW w:w="396" w:type="pct"/>
                  <w:tcBorders>
                    <w:top w:val="nil"/>
                    <w:left w:val="nil"/>
                    <w:bottom w:val="nil"/>
                    <w:right w:val="nil"/>
                  </w:tcBorders>
                  <w:shd w:val="clear" w:color="auto" w:fill="auto"/>
                  <w:tcMar>
                    <w:left w:w="0" w:type="dxa"/>
                    <w:right w:w="0" w:type="dxa"/>
                  </w:tcMar>
                  <w:vAlign w:val="center"/>
                  <w:hideMark/>
                </w:tcPr>
                <w:p w14:paraId="7954BBD4" w14:textId="77777777" w:rsidR="00F05DC7" w:rsidRPr="000755EA" w:rsidRDefault="00F05DC7" w:rsidP="00A3786D">
                  <w:pPr>
                    <w:pStyle w:val="TableBodyText"/>
                    <w:ind w:right="57"/>
                    <w:rPr>
                      <w:rFonts w:cs="Arial"/>
                      <w:szCs w:val="18"/>
                    </w:rPr>
                  </w:pPr>
                  <w:r>
                    <w:rPr>
                      <w:rFonts w:cs="Arial"/>
                      <w:color w:val="000000"/>
                      <w:szCs w:val="18"/>
                    </w:rPr>
                    <w:t>0.0</w:t>
                  </w:r>
                </w:p>
              </w:tc>
              <w:tc>
                <w:tcPr>
                  <w:tcW w:w="396" w:type="pct"/>
                  <w:tcBorders>
                    <w:top w:val="nil"/>
                    <w:left w:val="nil"/>
                    <w:bottom w:val="nil"/>
                    <w:right w:val="nil"/>
                  </w:tcBorders>
                  <w:shd w:val="clear" w:color="auto" w:fill="auto"/>
                  <w:tcMar>
                    <w:left w:w="0" w:type="dxa"/>
                    <w:right w:w="0" w:type="dxa"/>
                  </w:tcMar>
                  <w:vAlign w:val="center"/>
                  <w:hideMark/>
                </w:tcPr>
                <w:p w14:paraId="7954BBD5" w14:textId="77777777" w:rsidR="00F05DC7" w:rsidRPr="000755EA" w:rsidRDefault="00F05DC7" w:rsidP="00A3786D">
                  <w:pPr>
                    <w:pStyle w:val="TableBodyText"/>
                    <w:ind w:right="57"/>
                    <w:rPr>
                      <w:rFonts w:cs="Arial"/>
                      <w:szCs w:val="18"/>
                    </w:rPr>
                  </w:pPr>
                  <w:r>
                    <w:rPr>
                      <w:rFonts w:cs="Arial"/>
                      <w:color w:val="000000"/>
                      <w:szCs w:val="18"/>
                    </w:rPr>
                    <w:t>-0.1</w:t>
                  </w:r>
                </w:p>
              </w:tc>
              <w:tc>
                <w:tcPr>
                  <w:tcW w:w="394" w:type="pct"/>
                  <w:tcBorders>
                    <w:top w:val="nil"/>
                    <w:left w:val="nil"/>
                    <w:bottom w:val="nil"/>
                    <w:right w:val="nil"/>
                  </w:tcBorders>
                  <w:shd w:val="clear" w:color="auto" w:fill="auto"/>
                  <w:tcMar>
                    <w:left w:w="0" w:type="dxa"/>
                    <w:right w:w="0" w:type="dxa"/>
                  </w:tcMar>
                  <w:vAlign w:val="center"/>
                  <w:hideMark/>
                </w:tcPr>
                <w:p w14:paraId="7954BBD6" w14:textId="77777777" w:rsidR="00F05DC7" w:rsidRPr="000755EA" w:rsidRDefault="00F05DC7" w:rsidP="00A3786D">
                  <w:pPr>
                    <w:pStyle w:val="TableBodyText"/>
                    <w:ind w:right="57"/>
                    <w:rPr>
                      <w:rFonts w:cs="Arial"/>
                      <w:szCs w:val="18"/>
                    </w:rPr>
                  </w:pPr>
                  <w:r>
                    <w:rPr>
                      <w:rFonts w:cs="Arial"/>
                      <w:color w:val="000000"/>
                      <w:szCs w:val="18"/>
                    </w:rPr>
                    <w:t>-0.5</w:t>
                  </w:r>
                </w:p>
              </w:tc>
            </w:tr>
            <w:tr w:rsidR="00F05DC7" w14:paraId="7954BBE1" w14:textId="77777777" w:rsidTr="00A3786D">
              <w:trPr>
                <w:trHeight w:val="289"/>
              </w:trPr>
              <w:tc>
                <w:tcPr>
                  <w:tcW w:w="1834" w:type="pct"/>
                  <w:tcBorders>
                    <w:top w:val="nil"/>
                    <w:left w:val="nil"/>
                    <w:bottom w:val="nil"/>
                    <w:right w:val="nil"/>
                  </w:tcBorders>
                  <w:shd w:val="clear" w:color="auto" w:fill="auto"/>
                  <w:tcMar>
                    <w:left w:w="0" w:type="dxa"/>
                    <w:right w:w="0" w:type="dxa"/>
                  </w:tcMar>
                  <w:vAlign w:val="center"/>
                  <w:hideMark/>
                </w:tcPr>
                <w:p w14:paraId="7954BBD8" w14:textId="77777777" w:rsidR="00F05DC7" w:rsidRDefault="00F05DC7" w:rsidP="00A3786D">
                  <w:pPr>
                    <w:pStyle w:val="TableBodyText"/>
                    <w:jc w:val="left"/>
                  </w:pPr>
                  <w:r>
                    <w:t>Schools education – state funded component</w:t>
                  </w:r>
                </w:p>
              </w:tc>
              <w:tc>
                <w:tcPr>
                  <w:tcW w:w="396" w:type="pct"/>
                  <w:tcBorders>
                    <w:top w:val="nil"/>
                    <w:left w:val="nil"/>
                    <w:bottom w:val="nil"/>
                    <w:right w:val="nil"/>
                  </w:tcBorders>
                  <w:shd w:val="clear" w:color="auto" w:fill="auto"/>
                  <w:tcMar>
                    <w:left w:w="0" w:type="dxa"/>
                    <w:right w:w="0" w:type="dxa"/>
                  </w:tcMar>
                  <w:vAlign w:val="bottom"/>
                  <w:hideMark/>
                </w:tcPr>
                <w:p w14:paraId="7954BBD9" w14:textId="77777777" w:rsidR="00F05DC7" w:rsidRPr="000755EA" w:rsidRDefault="00F05DC7" w:rsidP="00A3786D">
                  <w:pPr>
                    <w:pStyle w:val="TableBodyText"/>
                    <w:ind w:right="57"/>
                    <w:rPr>
                      <w:rFonts w:cs="Arial"/>
                      <w:szCs w:val="18"/>
                    </w:rPr>
                  </w:pPr>
                  <w:r w:rsidRPr="000755EA">
                    <w:rPr>
                      <w:rFonts w:cs="Arial"/>
                      <w:color w:val="000000"/>
                      <w:szCs w:val="18"/>
                    </w:rPr>
                    <w:t>0.8</w:t>
                  </w:r>
                </w:p>
              </w:tc>
              <w:tc>
                <w:tcPr>
                  <w:tcW w:w="396" w:type="pct"/>
                  <w:tcBorders>
                    <w:top w:val="nil"/>
                    <w:left w:val="nil"/>
                    <w:bottom w:val="nil"/>
                    <w:right w:val="nil"/>
                  </w:tcBorders>
                  <w:shd w:val="clear" w:color="auto" w:fill="auto"/>
                  <w:tcMar>
                    <w:left w:w="0" w:type="dxa"/>
                    <w:right w:w="0" w:type="dxa"/>
                  </w:tcMar>
                  <w:vAlign w:val="bottom"/>
                  <w:hideMark/>
                </w:tcPr>
                <w:p w14:paraId="7954BBDA" w14:textId="77777777" w:rsidR="00F05DC7" w:rsidRPr="000755EA" w:rsidRDefault="00F05DC7" w:rsidP="00A3786D">
                  <w:pPr>
                    <w:pStyle w:val="TableBodyText"/>
                    <w:ind w:right="57"/>
                    <w:rPr>
                      <w:rFonts w:cs="Arial"/>
                      <w:szCs w:val="18"/>
                    </w:rPr>
                  </w:pPr>
                  <w:r w:rsidRPr="000755EA">
                    <w:rPr>
                      <w:rFonts w:cs="Arial"/>
                      <w:color w:val="000000"/>
                      <w:szCs w:val="18"/>
                    </w:rPr>
                    <w:t>2.6</w:t>
                  </w:r>
                </w:p>
              </w:tc>
              <w:tc>
                <w:tcPr>
                  <w:tcW w:w="396" w:type="pct"/>
                  <w:tcBorders>
                    <w:top w:val="nil"/>
                    <w:left w:val="nil"/>
                    <w:bottom w:val="nil"/>
                    <w:right w:val="nil"/>
                  </w:tcBorders>
                  <w:shd w:val="clear" w:color="auto" w:fill="auto"/>
                  <w:tcMar>
                    <w:left w:w="0" w:type="dxa"/>
                    <w:right w:w="0" w:type="dxa"/>
                  </w:tcMar>
                  <w:vAlign w:val="bottom"/>
                  <w:hideMark/>
                </w:tcPr>
                <w:p w14:paraId="7954BBDB" w14:textId="77777777" w:rsidR="00F05DC7" w:rsidRPr="000755EA" w:rsidRDefault="00F05DC7" w:rsidP="00A3786D">
                  <w:pPr>
                    <w:pStyle w:val="TableBodyText"/>
                    <w:ind w:right="57"/>
                    <w:rPr>
                      <w:rFonts w:cs="Arial"/>
                      <w:szCs w:val="18"/>
                    </w:rPr>
                  </w:pPr>
                  <w:r>
                    <w:rPr>
                      <w:rFonts w:cs="Arial"/>
                      <w:color w:val="000000"/>
                      <w:szCs w:val="18"/>
                    </w:rPr>
                    <w:t>-1.</w:t>
                  </w:r>
                  <w:r w:rsidRPr="000755EA">
                    <w:rPr>
                      <w:rFonts w:cs="Arial"/>
                      <w:color w:val="000000"/>
                      <w:szCs w:val="18"/>
                    </w:rPr>
                    <w:t>6</w:t>
                  </w:r>
                </w:p>
              </w:tc>
              <w:tc>
                <w:tcPr>
                  <w:tcW w:w="396" w:type="pct"/>
                  <w:tcBorders>
                    <w:top w:val="nil"/>
                    <w:left w:val="nil"/>
                    <w:bottom w:val="nil"/>
                    <w:right w:val="nil"/>
                  </w:tcBorders>
                  <w:shd w:val="clear" w:color="auto" w:fill="auto"/>
                  <w:tcMar>
                    <w:left w:w="0" w:type="dxa"/>
                    <w:right w:w="0" w:type="dxa"/>
                  </w:tcMar>
                  <w:vAlign w:val="bottom"/>
                  <w:hideMark/>
                </w:tcPr>
                <w:p w14:paraId="7954BBDC" w14:textId="77777777" w:rsidR="00F05DC7" w:rsidRPr="000755EA" w:rsidRDefault="00F05DC7" w:rsidP="00A3786D">
                  <w:pPr>
                    <w:pStyle w:val="TableBodyText"/>
                    <w:ind w:right="57"/>
                    <w:rPr>
                      <w:rFonts w:cs="Arial"/>
                      <w:szCs w:val="18"/>
                    </w:rPr>
                  </w:pPr>
                  <w:r>
                    <w:rPr>
                      <w:rFonts w:cs="Arial"/>
                      <w:color w:val="000000"/>
                      <w:szCs w:val="18"/>
                    </w:rPr>
                    <w:t>-0.</w:t>
                  </w:r>
                  <w:r w:rsidRPr="000755EA">
                    <w:rPr>
                      <w:rFonts w:cs="Arial"/>
                      <w:color w:val="000000"/>
                      <w:szCs w:val="18"/>
                    </w:rPr>
                    <w:t>9</w:t>
                  </w:r>
                </w:p>
              </w:tc>
              <w:tc>
                <w:tcPr>
                  <w:tcW w:w="396" w:type="pct"/>
                  <w:tcBorders>
                    <w:top w:val="nil"/>
                    <w:left w:val="nil"/>
                    <w:bottom w:val="nil"/>
                    <w:right w:val="nil"/>
                  </w:tcBorders>
                  <w:shd w:val="clear" w:color="auto" w:fill="auto"/>
                  <w:tcMar>
                    <w:left w:w="0" w:type="dxa"/>
                    <w:right w:w="0" w:type="dxa"/>
                  </w:tcMar>
                  <w:vAlign w:val="bottom"/>
                  <w:hideMark/>
                </w:tcPr>
                <w:p w14:paraId="7954BBDD" w14:textId="77777777" w:rsidR="00F05DC7" w:rsidRPr="000755EA" w:rsidRDefault="00F05DC7" w:rsidP="00A3786D">
                  <w:pPr>
                    <w:pStyle w:val="TableBodyText"/>
                    <w:ind w:right="57"/>
                    <w:rPr>
                      <w:rFonts w:cs="Arial"/>
                      <w:szCs w:val="18"/>
                    </w:rPr>
                  </w:pPr>
                  <w:r>
                    <w:rPr>
                      <w:rFonts w:cs="Arial"/>
                      <w:color w:val="000000"/>
                      <w:szCs w:val="18"/>
                    </w:rPr>
                    <w:t>-0.1</w:t>
                  </w:r>
                </w:p>
              </w:tc>
              <w:tc>
                <w:tcPr>
                  <w:tcW w:w="396" w:type="pct"/>
                  <w:tcBorders>
                    <w:top w:val="nil"/>
                    <w:left w:val="nil"/>
                    <w:bottom w:val="nil"/>
                    <w:right w:val="nil"/>
                  </w:tcBorders>
                  <w:shd w:val="clear" w:color="auto" w:fill="auto"/>
                  <w:tcMar>
                    <w:left w:w="0" w:type="dxa"/>
                    <w:right w:w="0" w:type="dxa"/>
                  </w:tcMar>
                  <w:vAlign w:val="bottom"/>
                  <w:hideMark/>
                </w:tcPr>
                <w:p w14:paraId="7954BBDE" w14:textId="77777777" w:rsidR="00F05DC7" w:rsidRPr="000755EA" w:rsidRDefault="00F05DC7" w:rsidP="00A3786D">
                  <w:pPr>
                    <w:pStyle w:val="TableBodyText"/>
                    <w:ind w:right="57"/>
                    <w:rPr>
                      <w:rFonts w:cs="Arial"/>
                      <w:szCs w:val="18"/>
                    </w:rPr>
                  </w:pPr>
                  <w:r>
                    <w:rPr>
                      <w:rFonts w:cs="Arial"/>
                      <w:color w:val="000000"/>
                      <w:szCs w:val="18"/>
                    </w:rPr>
                    <w:t>-0.1</w:t>
                  </w:r>
                </w:p>
              </w:tc>
              <w:tc>
                <w:tcPr>
                  <w:tcW w:w="396" w:type="pct"/>
                  <w:tcBorders>
                    <w:top w:val="nil"/>
                    <w:left w:val="nil"/>
                    <w:bottom w:val="nil"/>
                    <w:right w:val="nil"/>
                  </w:tcBorders>
                  <w:shd w:val="clear" w:color="auto" w:fill="auto"/>
                  <w:tcMar>
                    <w:left w:w="0" w:type="dxa"/>
                    <w:right w:w="0" w:type="dxa"/>
                  </w:tcMar>
                  <w:vAlign w:val="bottom"/>
                  <w:hideMark/>
                </w:tcPr>
                <w:p w14:paraId="7954BBDF" w14:textId="77777777" w:rsidR="00F05DC7" w:rsidRPr="000755EA" w:rsidRDefault="00F05DC7" w:rsidP="00A3786D">
                  <w:pPr>
                    <w:pStyle w:val="TableBodyText"/>
                    <w:ind w:right="57"/>
                    <w:rPr>
                      <w:rFonts w:cs="Arial"/>
                      <w:szCs w:val="18"/>
                    </w:rPr>
                  </w:pPr>
                  <w:r>
                    <w:rPr>
                      <w:rFonts w:cs="Arial"/>
                      <w:color w:val="000000"/>
                      <w:szCs w:val="18"/>
                    </w:rPr>
                    <w:t>0.1</w:t>
                  </w:r>
                </w:p>
              </w:tc>
              <w:tc>
                <w:tcPr>
                  <w:tcW w:w="394" w:type="pct"/>
                  <w:tcBorders>
                    <w:top w:val="nil"/>
                    <w:left w:val="nil"/>
                    <w:bottom w:val="nil"/>
                    <w:right w:val="nil"/>
                  </w:tcBorders>
                  <w:shd w:val="clear" w:color="auto" w:fill="auto"/>
                  <w:tcMar>
                    <w:left w:w="0" w:type="dxa"/>
                    <w:right w:w="0" w:type="dxa"/>
                  </w:tcMar>
                  <w:vAlign w:val="bottom"/>
                  <w:hideMark/>
                </w:tcPr>
                <w:p w14:paraId="7954BBE0" w14:textId="77777777" w:rsidR="00F05DC7" w:rsidRPr="000755EA" w:rsidRDefault="00F05DC7" w:rsidP="00A3786D">
                  <w:pPr>
                    <w:pStyle w:val="TableBodyText"/>
                    <w:ind w:right="57"/>
                    <w:rPr>
                      <w:rFonts w:cs="Arial"/>
                      <w:szCs w:val="18"/>
                    </w:rPr>
                  </w:pPr>
                  <w:r>
                    <w:rPr>
                      <w:rFonts w:cs="Arial"/>
                      <w:color w:val="000000"/>
                      <w:szCs w:val="18"/>
                    </w:rPr>
                    <w:t>-0.</w:t>
                  </w:r>
                  <w:r w:rsidRPr="000755EA">
                    <w:rPr>
                      <w:rFonts w:cs="Arial"/>
                      <w:color w:val="000000"/>
                      <w:szCs w:val="18"/>
                    </w:rPr>
                    <w:t>7</w:t>
                  </w:r>
                </w:p>
              </w:tc>
            </w:tr>
            <w:tr w:rsidR="00F05DC7" w14:paraId="7954BBEB" w14:textId="77777777" w:rsidTr="00A3786D">
              <w:trPr>
                <w:trHeight w:val="289"/>
              </w:trPr>
              <w:tc>
                <w:tcPr>
                  <w:tcW w:w="1834" w:type="pct"/>
                  <w:tcBorders>
                    <w:top w:val="nil"/>
                    <w:left w:val="nil"/>
                    <w:bottom w:val="single" w:sz="8" w:space="0" w:color="BFBFBF"/>
                    <w:right w:val="nil"/>
                  </w:tcBorders>
                  <w:shd w:val="clear" w:color="auto" w:fill="auto"/>
                  <w:tcMar>
                    <w:left w:w="0" w:type="dxa"/>
                    <w:right w:w="0" w:type="dxa"/>
                  </w:tcMar>
                  <w:vAlign w:val="center"/>
                  <w:hideMark/>
                </w:tcPr>
                <w:p w14:paraId="7954BBE2" w14:textId="77777777" w:rsidR="00F05DC7" w:rsidRDefault="00F05DC7" w:rsidP="00A3786D">
                  <w:pPr>
                    <w:pStyle w:val="TableBodyText"/>
                    <w:jc w:val="left"/>
                  </w:pPr>
                  <w:r>
                    <w:t>Justice</w:t>
                  </w:r>
                </w:p>
              </w:tc>
              <w:tc>
                <w:tcPr>
                  <w:tcW w:w="396" w:type="pct"/>
                  <w:tcBorders>
                    <w:top w:val="nil"/>
                    <w:left w:val="nil"/>
                    <w:bottom w:val="single" w:sz="8" w:space="0" w:color="BFBFBF"/>
                    <w:right w:val="nil"/>
                  </w:tcBorders>
                  <w:shd w:val="clear" w:color="auto" w:fill="auto"/>
                  <w:tcMar>
                    <w:left w:w="0" w:type="dxa"/>
                    <w:right w:w="0" w:type="dxa"/>
                  </w:tcMar>
                  <w:vAlign w:val="center"/>
                  <w:hideMark/>
                </w:tcPr>
                <w:p w14:paraId="7954BBE3" w14:textId="77777777" w:rsidR="00F05DC7" w:rsidRPr="000755EA" w:rsidRDefault="00F05DC7" w:rsidP="00A3786D">
                  <w:pPr>
                    <w:pStyle w:val="TableBodyText"/>
                    <w:ind w:right="57"/>
                    <w:rPr>
                      <w:rFonts w:cs="Arial"/>
                      <w:szCs w:val="18"/>
                    </w:rPr>
                  </w:pPr>
                  <w:r>
                    <w:rPr>
                      <w:rFonts w:cs="Arial"/>
                      <w:color w:val="000000"/>
                      <w:szCs w:val="18"/>
                    </w:rPr>
                    <w:t>1.2</w:t>
                  </w:r>
                </w:p>
              </w:tc>
              <w:tc>
                <w:tcPr>
                  <w:tcW w:w="396" w:type="pct"/>
                  <w:tcBorders>
                    <w:top w:val="nil"/>
                    <w:left w:val="nil"/>
                    <w:bottom w:val="single" w:sz="8" w:space="0" w:color="BFBFBF"/>
                    <w:right w:val="nil"/>
                  </w:tcBorders>
                  <w:shd w:val="clear" w:color="auto" w:fill="auto"/>
                  <w:tcMar>
                    <w:left w:w="0" w:type="dxa"/>
                    <w:right w:w="0" w:type="dxa"/>
                  </w:tcMar>
                  <w:vAlign w:val="center"/>
                  <w:hideMark/>
                </w:tcPr>
                <w:p w14:paraId="7954BBE4" w14:textId="77777777" w:rsidR="00F05DC7" w:rsidRPr="000755EA" w:rsidRDefault="00F05DC7" w:rsidP="00A3786D">
                  <w:pPr>
                    <w:pStyle w:val="TableBodyText"/>
                    <w:ind w:right="57"/>
                    <w:rPr>
                      <w:rFonts w:cs="Arial"/>
                      <w:szCs w:val="18"/>
                    </w:rPr>
                  </w:pPr>
                  <w:r>
                    <w:rPr>
                      <w:rFonts w:cs="Arial"/>
                      <w:color w:val="000000"/>
                      <w:szCs w:val="18"/>
                    </w:rPr>
                    <w:t>3.1</w:t>
                  </w:r>
                </w:p>
              </w:tc>
              <w:tc>
                <w:tcPr>
                  <w:tcW w:w="396" w:type="pct"/>
                  <w:tcBorders>
                    <w:top w:val="nil"/>
                    <w:left w:val="nil"/>
                    <w:bottom w:val="single" w:sz="8" w:space="0" w:color="BFBFBF"/>
                    <w:right w:val="nil"/>
                  </w:tcBorders>
                  <w:shd w:val="clear" w:color="auto" w:fill="auto"/>
                  <w:tcMar>
                    <w:left w:w="0" w:type="dxa"/>
                    <w:right w:w="0" w:type="dxa"/>
                  </w:tcMar>
                  <w:vAlign w:val="center"/>
                  <w:hideMark/>
                </w:tcPr>
                <w:p w14:paraId="7954BBE5" w14:textId="77777777" w:rsidR="00F05DC7" w:rsidRPr="000755EA" w:rsidRDefault="00F05DC7" w:rsidP="00A3786D">
                  <w:pPr>
                    <w:pStyle w:val="TableBodyText"/>
                    <w:ind w:right="57"/>
                    <w:rPr>
                      <w:rFonts w:cs="Arial"/>
                      <w:szCs w:val="18"/>
                    </w:rPr>
                  </w:pPr>
                  <w:r>
                    <w:rPr>
                      <w:rFonts w:cs="Arial"/>
                      <w:color w:val="000000"/>
                      <w:szCs w:val="18"/>
                    </w:rPr>
                    <w:t>-1.2</w:t>
                  </w:r>
                </w:p>
              </w:tc>
              <w:tc>
                <w:tcPr>
                  <w:tcW w:w="396" w:type="pct"/>
                  <w:tcBorders>
                    <w:top w:val="nil"/>
                    <w:left w:val="nil"/>
                    <w:bottom w:val="single" w:sz="8" w:space="0" w:color="BFBFBF"/>
                    <w:right w:val="nil"/>
                  </w:tcBorders>
                  <w:shd w:val="clear" w:color="auto" w:fill="auto"/>
                  <w:tcMar>
                    <w:left w:w="0" w:type="dxa"/>
                    <w:right w:w="0" w:type="dxa"/>
                  </w:tcMar>
                  <w:vAlign w:val="center"/>
                  <w:hideMark/>
                </w:tcPr>
                <w:p w14:paraId="7954BBE6" w14:textId="77777777" w:rsidR="00F05DC7" w:rsidRPr="000755EA" w:rsidRDefault="00F05DC7" w:rsidP="00A3786D">
                  <w:pPr>
                    <w:pStyle w:val="TableBodyText"/>
                    <w:ind w:right="57"/>
                    <w:rPr>
                      <w:rFonts w:cs="Arial"/>
                      <w:szCs w:val="18"/>
                    </w:rPr>
                  </w:pPr>
                  <w:r>
                    <w:rPr>
                      <w:rFonts w:cs="Arial"/>
                      <w:color w:val="000000"/>
                      <w:szCs w:val="18"/>
                    </w:rPr>
                    <w:t>-1.1</w:t>
                  </w:r>
                </w:p>
              </w:tc>
              <w:tc>
                <w:tcPr>
                  <w:tcW w:w="396" w:type="pct"/>
                  <w:tcBorders>
                    <w:top w:val="nil"/>
                    <w:left w:val="nil"/>
                    <w:bottom w:val="single" w:sz="8" w:space="0" w:color="BFBFBF"/>
                    <w:right w:val="nil"/>
                  </w:tcBorders>
                  <w:shd w:val="clear" w:color="auto" w:fill="auto"/>
                  <w:tcMar>
                    <w:left w:w="0" w:type="dxa"/>
                    <w:right w:w="0" w:type="dxa"/>
                  </w:tcMar>
                  <w:vAlign w:val="center"/>
                  <w:hideMark/>
                </w:tcPr>
                <w:p w14:paraId="7954BBE7" w14:textId="77777777" w:rsidR="00F05DC7" w:rsidRPr="000755EA" w:rsidRDefault="00F05DC7" w:rsidP="00A3786D">
                  <w:pPr>
                    <w:pStyle w:val="TableBodyText"/>
                    <w:ind w:right="57"/>
                    <w:rPr>
                      <w:rFonts w:cs="Arial"/>
                      <w:szCs w:val="18"/>
                    </w:rPr>
                  </w:pPr>
                  <w:r>
                    <w:rPr>
                      <w:rFonts w:cs="Arial"/>
                      <w:color w:val="000000"/>
                      <w:szCs w:val="18"/>
                    </w:rPr>
                    <w:t>0.0</w:t>
                  </w:r>
                </w:p>
              </w:tc>
              <w:tc>
                <w:tcPr>
                  <w:tcW w:w="396" w:type="pct"/>
                  <w:tcBorders>
                    <w:top w:val="nil"/>
                    <w:left w:val="nil"/>
                    <w:bottom w:val="single" w:sz="8" w:space="0" w:color="BFBFBF"/>
                    <w:right w:val="nil"/>
                  </w:tcBorders>
                  <w:shd w:val="clear" w:color="auto" w:fill="auto"/>
                  <w:tcMar>
                    <w:left w:w="0" w:type="dxa"/>
                    <w:right w:w="0" w:type="dxa"/>
                  </w:tcMar>
                  <w:vAlign w:val="center"/>
                  <w:hideMark/>
                </w:tcPr>
                <w:p w14:paraId="7954BBE8" w14:textId="77777777" w:rsidR="00F05DC7" w:rsidRPr="000755EA" w:rsidRDefault="00F05DC7" w:rsidP="00A3786D">
                  <w:pPr>
                    <w:pStyle w:val="TableBodyText"/>
                    <w:ind w:right="57"/>
                    <w:rPr>
                      <w:rFonts w:cs="Arial"/>
                      <w:szCs w:val="18"/>
                    </w:rPr>
                  </w:pPr>
                  <w:r>
                    <w:rPr>
                      <w:rFonts w:cs="Arial"/>
                      <w:color w:val="000000"/>
                      <w:szCs w:val="18"/>
                    </w:rPr>
                    <w:t>-0.1</w:t>
                  </w:r>
                </w:p>
              </w:tc>
              <w:tc>
                <w:tcPr>
                  <w:tcW w:w="396" w:type="pct"/>
                  <w:tcBorders>
                    <w:top w:val="nil"/>
                    <w:left w:val="nil"/>
                    <w:bottom w:val="single" w:sz="8" w:space="0" w:color="BFBFBF"/>
                    <w:right w:val="nil"/>
                  </w:tcBorders>
                  <w:shd w:val="clear" w:color="auto" w:fill="auto"/>
                  <w:tcMar>
                    <w:left w:w="0" w:type="dxa"/>
                    <w:right w:w="0" w:type="dxa"/>
                  </w:tcMar>
                  <w:vAlign w:val="center"/>
                  <w:hideMark/>
                </w:tcPr>
                <w:p w14:paraId="7954BBE9" w14:textId="77777777" w:rsidR="00F05DC7" w:rsidRPr="000755EA" w:rsidRDefault="00F05DC7" w:rsidP="00A3786D">
                  <w:pPr>
                    <w:pStyle w:val="TableBodyText"/>
                    <w:ind w:right="57"/>
                    <w:rPr>
                      <w:rFonts w:cs="Arial"/>
                      <w:szCs w:val="18"/>
                    </w:rPr>
                  </w:pPr>
                  <w:r>
                    <w:rPr>
                      <w:rFonts w:cs="Arial"/>
                      <w:color w:val="000000"/>
                      <w:szCs w:val="18"/>
                    </w:rPr>
                    <w:t>0.2</w:t>
                  </w:r>
                </w:p>
              </w:tc>
              <w:tc>
                <w:tcPr>
                  <w:tcW w:w="394" w:type="pct"/>
                  <w:tcBorders>
                    <w:top w:val="nil"/>
                    <w:left w:val="nil"/>
                    <w:bottom w:val="single" w:sz="8" w:space="0" w:color="BFBFBF"/>
                    <w:right w:val="nil"/>
                  </w:tcBorders>
                  <w:shd w:val="clear" w:color="auto" w:fill="auto"/>
                  <w:tcMar>
                    <w:left w:w="0" w:type="dxa"/>
                    <w:right w:w="0" w:type="dxa"/>
                  </w:tcMar>
                  <w:vAlign w:val="center"/>
                  <w:hideMark/>
                </w:tcPr>
                <w:p w14:paraId="7954BBEA" w14:textId="77777777" w:rsidR="00F05DC7" w:rsidRPr="000755EA" w:rsidRDefault="00F05DC7" w:rsidP="00A3786D">
                  <w:pPr>
                    <w:pStyle w:val="TableBodyText"/>
                    <w:ind w:right="57"/>
                    <w:rPr>
                      <w:rFonts w:cs="Arial"/>
                      <w:szCs w:val="18"/>
                    </w:rPr>
                  </w:pPr>
                  <w:r>
                    <w:rPr>
                      <w:rFonts w:cs="Arial"/>
                      <w:color w:val="000000"/>
                      <w:szCs w:val="18"/>
                    </w:rPr>
                    <w:t>-2.2</w:t>
                  </w:r>
                </w:p>
              </w:tc>
            </w:tr>
          </w:tbl>
          <w:p w14:paraId="7954BBEC" w14:textId="77777777" w:rsidR="00F05DC7" w:rsidRDefault="00F05DC7" w:rsidP="00A3786D">
            <w:pPr>
              <w:pStyle w:val="Box"/>
            </w:pPr>
          </w:p>
        </w:tc>
      </w:tr>
      <w:tr w:rsidR="00F05DC7" w14:paraId="7954BBEF" w14:textId="77777777" w:rsidTr="00A3786D">
        <w:tc>
          <w:tcPr>
            <w:tcW w:w="5000" w:type="pct"/>
            <w:tcBorders>
              <w:top w:val="nil"/>
              <w:left w:val="nil"/>
              <w:bottom w:val="nil"/>
              <w:right w:val="nil"/>
            </w:tcBorders>
            <w:shd w:val="clear" w:color="auto" w:fill="auto"/>
          </w:tcPr>
          <w:p w14:paraId="7954BBEE" w14:textId="5BC903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CGC </w:t>
            </w:r>
            <w:r w:rsidR="009D6331" w:rsidRPr="009D6331">
              <w:rPr>
                <w:rFonts w:cs="Arial"/>
              </w:rPr>
              <w:t>(2018h)</w:t>
            </w:r>
            <w:r>
              <w:t xml:space="preserve"> data.</w:t>
            </w:r>
          </w:p>
        </w:tc>
      </w:tr>
      <w:tr w:rsidR="00F05DC7" w14:paraId="7954BBF1" w14:textId="77777777" w:rsidTr="00A3786D">
        <w:tc>
          <w:tcPr>
            <w:tcW w:w="5000" w:type="pct"/>
            <w:tcBorders>
              <w:top w:val="nil"/>
              <w:left w:val="nil"/>
              <w:bottom w:val="single" w:sz="6" w:space="0" w:color="78A22F"/>
              <w:right w:val="nil"/>
            </w:tcBorders>
            <w:shd w:val="clear" w:color="auto" w:fill="auto"/>
          </w:tcPr>
          <w:p w14:paraId="7954BBF0" w14:textId="77777777" w:rsidR="00F05DC7" w:rsidRDefault="00F05DC7" w:rsidP="00A3786D">
            <w:pPr>
              <w:pStyle w:val="Box"/>
              <w:spacing w:before="0" w:line="120" w:lineRule="exact"/>
            </w:pPr>
          </w:p>
        </w:tc>
      </w:tr>
      <w:tr w:rsidR="00F05DC7" w:rsidRPr="000863A5" w14:paraId="7954BBF3" w14:textId="77777777" w:rsidTr="00A3786D">
        <w:tc>
          <w:tcPr>
            <w:tcW w:w="5000" w:type="pct"/>
            <w:tcBorders>
              <w:top w:val="single" w:sz="6" w:space="0" w:color="78A22F"/>
              <w:left w:val="nil"/>
              <w:bottom w:val="nil"/>
              <w:right w:val="nil"/>
            </w:tcBorders>
          </w:tcPr>
          <w:p w14:paraId="7954BBF2" w14:textId="77777777" w:rsidR="00F05DC7" w:rsidRPr="00626D32" w:rsidRDefault="00F05DC7" w:rsidP="00A3786D">
            <w:pPr>
              <w:pStyle w:val="BoxSpaceBelow"/>
            </w:pPr>
          </w:p>
        </w:tc>
      </w:tr>
    </w:tbl>
    <w:p w14:paraId="7954BBF4" w14:textId="0EEDCD7D" w:rsidR="00F05DC7" w:rsidRDefault="00F05DC7" w:rsidP="00A3786D">
      <w:pPr>
        <w:pStyle w:val="Heading2"/>
      </w:pPr>
      <w:bookmarkStart w:id="120" w:name="_Toc513637747"/>
      <w:r>
        <w:t>C.</w:t>
      </w:r>
      <w:r>
        <w:rPr>
          <w:noProof/>
        </w:rPr>
        <w:t>4</w:t>
      </w:r>
      <w:r>
        <w:tab/>
      </w:r>
      <w:r w:rsidRPr="00760FFE">
        <w:t>Cameos</w:t>
      </w:r>
      <w:bookmarkEnd w:id="120"/>
    </w:p>
    <w:p w14:paraId="7954BBF5" w14:textId="77777777" w:rsidR="00F05DC7" w:rsidRDefault="00F05DC7" w:rsidP="00A3786D">
      <w:pPr>
        <w:pStyle w:val="BodyText"/>
      </w:pPr>
      <w:r>
        <w:t>The cameos presented here are used to illustrate how a change to a State’s tax policy can influence its GST payments and its incentives to carry out a given reform. These include scenarios where only one State changes its tax policy (unilateral reforms), and when all States collectively change their tax policy (multilateral reforms).</w:t>
      </w:r>
    </w:p>
    <w:p w14:paraId="7954BBF6" w14:textId="77777777" w:rsidR="00F05DC7" w:rsidRDefault="00F05DC7" w:rsidP="00A3786D">
      <w:pPr>
        <w:pStyle w:val="BodyText"/>
      </w:pPr>
      <w:r>
        <w:t>Three cameos are presented here:</w:t>
      </w:r>
    </w:p>
    <w:p w14:paraId="7954BBF7" w14:textId="77777777" w:rsidR="00F05DC7" w:rsidRDefault="00F05DC7" w:rsidP="00C8449A">
      <w:pPr>
        <w:pStyle w:val="ListNumber"/>
        <w:numPr>
          <w:ilvl w:val="0"/>
          <w:numId w:val="23"/>
        </w:numPr>
      </w:pPr>
      <w:r>
        <w:t>A revenue-neutral reform in which a State halves its stamp duty and introduces a broad</w:t>
      </w:r>
      <w:r>
        <w:noBreakHyphen/>
        <w:t>based land tax.</w:t>
      </w:r>
    </w:p>
    <w:p w14:paraId="7954BBF8" w14:textId="77777777" w:rsidR="00F05DC7" w:rsidRDefault="00F05DC7" w:rsidP="00A3786D">
      <w:pPr>
        <w:pStyle w:val="ListNumber"/>
      </w:pPr>
      <w:r>
        <w:lastRenderedPageBreak/>
        <w:t>A budget</w:t>
      </w:r>
      <w:r>
        <w:noBreakHyphen/>
        <w:t>neutral reform in which a State introduces a congestion tax to fund public transport.</w:t>
      </w:r>
    </w:p>
    <w:p w14:paraId="7954BBF9" w14:textId="77777777" w:rsidR="00F05DC7" w:rsidRDefault="00F05DC7" w:rsidP="00A3786D">
      <w:pPr>
        <w:pStyle w:val="ListNumber"/>
      </w:pPr>
      <w:r>
        <w:t>A reform in which a State abolishes taxes on insurance (not revenue neutral).</w:t>
      </w:r>
    </w:p>
    <w:p w14:paraId="7954BBFA" w14:textId="77777777" w:rsidR="00F05DC7" w:rsidRDefault="00F05DC7" w:rsidP="00A3786D">
      <w:pPr>
        <w:pStyle w:val="BodyText"/>
      </w:pPr>
      <w:r>
        <w:t xml:space="preserve">These cameos show the potential impact of an immediate reform to a State’s GST payment. They show the </w:t>
      </w:r>
      <w:r w:rsidRPr="00230801">
        <w:rPr>
          <w:i/>
        </w:rPr>
        <w:t>annual</w:t>
      </w:r>
      <w:r>
        <w:t xml:space="preserve"> GST relativity based on the most recent year for which CGC data are available (2016</w:t>
      </w:r>
      <w:r>
        <w:noBreakHyphen/>
        <w:t>17). This can be thought of as a comparative static analysis of the reform. In practice, however, the GST impact of the reform would come through gradually as it passes through the three</w:t>
      </w:r>
      <w:r>
        <w:noBreakHyphen/>
        <w:t xml:space="preserve">year moving average of the assessment period. </w:t>
      </w:r>
    </w:p>
    <w:p w14:paraId="7954BBFB" w14:textId="77777777" w:rsidR="00F05DC7" w:rsidRDefault="00F05DC7" w:rsidP="00A3786D">
      <w:pPr>
        <w:pStyle w:val="BodyText"/>
      </w:pPr>
      <w:r>
        <w:t>A State reform can have a positive or a negative effect on its GST payment. This depends on whether it is assessed as having an above</w:t>
      </w:r>
      <w:r>
        <w:noBreakHyphen/>
        <w:t>average capacity to raise revenue from the tax (where it receives a lower GST payment), or if it is assessed as having below</w:t>
      </w:r>
      <w:r>
        <w:noBreakHyphen/>
        <w:t>average capacity to raise revenue (where it receives a higher GST payment).</w:t>
      </w:r>
    </w:p>
    <w:p w14:paraId="7954BBFC" w14:textId="77777777" w:rsidR="00F05DC7" w:rsidRDefault="00F05DC7" w:rsidP="00A3786D">
      <w:pPr>
        <w:pStyle w:val="BodyText"/>
      </w:pPr>
      <w:r>
        <w:t>A reform can have two main impacts on the GST distribution (chapter 3). First, it can change the national average tax rate (the average rate effect). Second, it can change the size of the State’s tax base (the elasticity effect). Both effects depend on the size of the State implementing the reform (a State with a large share of the overall tax base has a bigger influence on the national average tax rate), and on the size of the reform (where a large reform can cause a big shift in the tax rate and base).</w:t>
      </w:r>
    </w:p>
    <w:p w14:paraId="7954BBFD" w14:textId="77777777" w:rsidR="00F05DC7" w:rsidRDefault="00F05DC7" w:rsidP="00A3786D">
      <w:pPr>
        <w:pStyle w:val="BodyText"/>
      </w:pPr>
      <w:r>
        <w:t>How the reform is treated also depends on whether such a change has a ‘material’ effect on the GST distribution. At present, the CGC considers a redistribution of $30 or more per capita to any State as a material effect that warrants inclusion in its assessment. This approach has been adopted in the cameos presented here. In scenarios where the assessment is not material, a simple EPC assessment has been used.</w:t>
      </w:r>
    </w:p>
    <w:p w14:paraId="7954BBFE" w14:textId="77777777" w:rsidR="00F05DC7" w:rsidRDefault="00F05DC7" w:rsidP="00A3786D">
      <w:pPr>
        <w:pStyle w:val="BodyText"/>
      </w:pPr>
      <w:r>
        <w:t>While these cameos are illustrative, there is considerable uncertainty in how a tax change would ultimately affect each State and its GST payments. The size and timing of the policy changes used in the cameos are not intended to reflect reality, but are instead used to demonstrate the influence on the GST distribution, how it is determined, and what factors need to be considered.</w:t>
      </w:r>
    </w:p>
    <w:p w14:paraId="7954BBFF" w14:textId="77777777" w:rsidR="00F05DC7" w:rsidRDefault="00F05DC7" w:rsidP="00A3786D">
      <w:pPr>
        <w:pStyle w:val="BodyText"/>
        <w:keepNext/>
      </w:pPr>
      <w:r>
        <w:t>The cameos rest upon simple assumptions and share a number of limitations:</w:t>
      </w:r>
    </w:p>
    <w:p w14:paraId="7954BC00" w14:textId="77777777" w:rsidR="00F05DC7" w:rsidRDefault="00F05DC7" w:rsidP="00A3786D">
      <w:pPr>
        <w:pStyle w:val="ListBullet"/>
        <w:keepNext/>
      </w:pPr>
      <w:r>
        <w:t>First, two of the cameos assess the revenue bases for new types of taxes, and thus it is unclear how the CGC would treat these reforms in practice. For example, the CGC may follow a different approach to assess the revenue base (including what data sources are used to measure the base), to determine the average of what States collectively do, and to determine whether these impacts are material enough to require specific assessment.</w:t>
      </w:r>
    </w:p>
    <w:p w14:paraId="7954BC01" w14:textId="77777777" w:rsidR="00F05DC7" w:rsidRDefault="00F05DC7" w:rsidP="00A3786D">
      <w:pPr>
        <w:pStyle w:val="ListBullet"/>
      </w:pPr>
      <w:r>
        <w:t>Second, the cameos assume that a State can fully and seamlessly offset its revenue and/or balance its spending in the same year the reform is implemented.</w:t>
      </w:r>
      <w:r w:rsidRPr="006807FE">
        <w:t xml:space="preserve"> </w:t>
      </w:r>
      <w:r>
        <w:t>This analysis does not consider the transition path for reform, such as the gradual phasing in of the new policy, or any indirect effects that might occur as a consequence. This analysis also does not consider the complexity</w:t>
      </w:r>
      <w:r w:rsidRPr="004E79F3">
        <w:t xml:space="preserve"> </w:t>
      </w:r>
      <w:r>
        <w:t>of the tax reform, costs of administration or compliance rates.</w:t>
      </w:r>
    </w:p>
    <w:p w14:paraId="7954BC02" w14:textId="77777777" w:rsidR="00F05DC7" w:rsidRDefault="00F05DC7" w:rsidP="00A3786D">
      <w:pPr>
        <w:pStyle w:val="ListBullet"/>
      </w:pPr>
      <w:r>
        <w:lastRenderedPageBreak/>
        <w:t>Third, the cameos do not forecast any future changes or any long</w:t>
      </w:r>
      <w:r>
        <w:noBreakHyphen/>
        <w:t>term impact of the tax change. The analysis also does not consider the consequences of how other States may respond to this reform.</w:t>
      </w:r>
    </w:p>
    <w:p w14:paraId="7954BC03" w14:textId="77777777" w:rsidR="00F05DC7" w:rsidRDefault="00F05DC7" w:rsidP="00A3786D">
      <w:pPr>
        <w:pStyle w:val="ListBullet"/>
      </w:pPr>
      <w:r>
        <w:t>Finally, the impact of the reform on a State’s tax base (the elasticity effect) is by assumption only. These cameos do not consider any further consequences of the reform (such as second</w:t>
      </w:r>
      <w:r>
        <w:noBreakHyphen/>
        <w:t>round economic impacts). For example, the cameos do not detail how businesses, consumers and households would respond to the tax change or whether people adapt to these reforms over time.</w:t>
      </w:r>
    </w:p>
    <w:p w14:paraId="7954BC04" w14:textId="77777777" w:rsidR="00F05DC7" w:rsidRDefault="00F05DC7" w:rsidP="00A3786D">
      <w:pPr>
        <w:pStyle w:val="Heading3"/>
      </w:pPr>
      <w:r>
        <w:t>Replacing stamp duty with land tax</w:t>
      </w:r>
    </w:p>
    <w:p w14:paraId="7954BC05" w14:textId="77777777" w:rsidR="00F05DC7" w:rsidRDefault="00F05DC7" w:rsidP="00A3786D">
      <w:pPr>
        <w:pStyle w:val="BodyText"/>
      </w:pPr>
      <w:r>
        <w:t>The first cameo involves a State halving its stamp duty on property and replacing this lost revenue with a new broad</w:t>
      </w:r>
      <w:r>
        <w:noBreakHyphen/>
        <w:t xml:space="preserve">based tax on residential land (with policy in all remaining States remaining unchanged). The analysis was conducted separately for each State (unilateral reform) and jointly for all States (multilateral reform). </w:t>
      </w:r>
    </w:p>
    <w:p w14:paraId="7954BC06" w14:textId="77777777" w:rsidR="00F05DC7" w:rsidRPr="00660114" w:rsidRDefault="00F05DC7" w:rsidP="00A3786D">
      <w:pPr>
        <w:pStyle w:val="Heading4"/>
      </w:pPr>
      <w:r>
        <w:t>R</w:t>
      </w:r>
      <w:r w:rsidRPr="00660114">
        <w:t>ationale for reform</w:t>
      </w:r>
    </w:p>
    <w:p w14:paraId="7954BC07" w14:textId="49AE7274" w:rsidR="00F05DC7" w:rsidRDefault="00F05DC7" w:rsidP="00A3786D">
      <w:pPr>
        <w:pStyle w:val="BodyText"/>
      </w:pPr>
      <w:r>
        <w:t xml:space="preserve">Replacing stamp duty with a broader land tax has long been cited as an area for reform </w:t>
      </w:r>
      <w:r w:rsidRPr="006318A0">
        <w:rPr>
          <w:szCs w:val="24"/>
        </w:rPr>
        <w:t>(for example, Henry et al. 2010a; PC 2004)</w:t>
      </w:r>
      <w:r>
        <w:t>. Stamp duty is regarded as a highly inefficient tax that can discourage the turnover of property as people try to reduce or avoid paying the tax. As noted by the NSW Government (sub. 52, p. 14), this can lead to people living in homes that are not suited to them, which can increase commuting times and can constrain national productivity. It is also inequitable as it places a higher tax burden on those that need to move.</w:t>
      </w:r>
    </w:p>
    <w:p w14:paraId="7954BC08" w14:textId="77777777" w:rsidR="00F05DC7" w:rsidRDefault="00F05DC7" w:rsidP="00A3786D">
      <w:pPr>
        <w:pStyle w:val="BodyText"/>
      </w:pPr>
      <w:r>
        <w:t>Land tax, on the other hand, is regarded as a more efficient tax. It is applied on the ownership of land and is therefore difficult to avoid paying, particularly if the tax is applied to a broad base. It is also collected annually and forms a stable source of State revenue.</w:t>
      </w:r>
    </w:p>
    <w:p w14:paraId="7954BC09" w14:textId="77777777" w:rsidR="00F05DC7" w:rsidRDefault="00F05DC7" w:rsidP="00A3786D">
      <w:pPr>
        <w:pStyle w:val="Heading4"/>
      </w:pPr>
      <w:r>
        <w:t>Reduced stamp duty on property</w:t>
      </w:r>
    </w:p>
    <w:p w14:paraId="7954BC0A" w14:textId="77777777" w:rsidR="00F05DC7" w:rsidRDefault="00F05DC7" w:rsidP="00A3786D">
      <w:pPr>
        <w:pStyle w:val="BodyText"/>
      </w:pPr>
      <w:r>
        <w:t xml:space="preserve">The CGC currently </w:t>
      </w:r>
      <w:r w:rsidRPr="00147FC0">
        <w:t xml:space="preserve">assesses </w:t>
      </w:r>
      <w:r>
        <w:t>each</w:t>
      </w:r>
      <w:r w:rsidRPr="00147FC0">
        <w:t xml:space="preserve"> State’s capacity to raise revenue from stamp duty based on the </w:t>
      </w:r>
      <w:r w:rsidRPr="00791D71">
        <w:t>amount of revenue actually raised</w:t>
      </w:r>
      <w:r w:rsidRPr="00147FC0">
        <w:t xml:space="preserve"> by States (the tax rate) and </w:t>
      </w:r>
      <w:r w:rsidRPr="00791D71">
        <w:t>the total property value of these transfers</w:t>
      </w:r>
      <w:r w:rsidRPr="00147FC0">
        <w:t xml:space="preserve"> (the tax base). States vary in their legislated rates of stamp duty, as well as the scope of properties that attract</w:t>
      </w:r>
      <w:r>
        <w:t xml:space="preserve"> the tax. Progressive rate scales are applied in all States, meaning that higher value properties attract higher tax rates.</w:t>
      </w:r>
    </w:p>
    <w:p w14:paraId="7954BC0B" w14:textId="77777777" w:rsidR="00F05DC7" w:rsidRDefault="00F05DC7" w:rsidP="00A3786D">
      <w:pPr>
        <w:pStyle w:val="BodyText"/>
      </w:pPr>
      <w:r>
        <w:t>A reform to reduce stamp duty on property can be shown by halving a State’s average tax rate — total revenue divided by the total tax base. While States apply stamp duty using progressive rate structures in practice, the impact on different value categories has not been calculated as part of this analysis.</w:t>
      </w:r>
    </w:p>
    <w:p w14:paraId="7954BC0C" w14:textId="77777777" w:rsidR="00F05DC7" w:rsidRDefault="00F05DC7" w:rsidP="00A3786D">
      <w:pPr>
        <w:pStyle w:val="BodyText"/>
      </w:pPr>
      <w:r>
        <w:lastRenderedPageBreak/>
        <w:t>The reduced stamp duty revenue has two main impacts on the GST distribution. It reduces the national average stamp duty rate (the average rate effect), and it increases the size of the State’s tax base (the elasticity effect). It is reasonable to expect that the tax base will change in response to a policy change of such magnitude.</w:t>
      </w:r>
    </w:p>
    <w:p w14:paraId="7954BC0D" w14:textId="77777777" w:rsidR="00F05DC7" w:rsidRDefault="00F05DC7" w:rsidP="00A3786D">
      <w:pPr>
        <w:pStyle w:val="BodyText"/>
      </w:pPr>
      <w:r>
        <w:t>A unilateral reform by a State to halve its stamp duty can have very different impacts on the average tax rate depending on how much of the revenue base it holds. For example, New South Wales held 42 per cent of the total stamp duty revenue base in 2016</w:t>
      </w:r>
      <w:r>
        <w:noBreakHyphen/>
        <w:t>17. If it were to halve its stamp duty rate (from 4 per cent to 2 per cent) this would halve its stamp duty revenue to about $4.5 billion (assuming tax bases do not change). This would cause a big fall in the national average tax rate (from 4.1 per cent to 3.2 per cent). The halving of the stamp duty rate would cause a smaller reduction in the average tax rate if it occurred in other States because they hold less of the assessed revenue base. If States collectively halved their stamp duty rates (a multilateral reform), the Australian average tax rate would also halve (table C.19).</w:t>
      </w:r>
      <w:r w:rsidRPr="00BF1BB7">
        <w:t xml:space="preserve"> </w:t>
      </w:r>
    </w:p>
    <w:p w14:paraId="7954BC0E"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C11" w14:textId="77777777" w:rsidTr="001113B1">
        <w:trPr>
          <w:tblHeader/>
        </w:trPr>
        <w:tc>
          <w:tcPr>
            <w:tcW w:w="5000" w:type="pct"/>
            <w:tcBorders>
              <w:top w:val="single" w:sz="6" w:space="0" w:color="78A22F"/>
              <w:left w:val="nil"/>
              <w:bottom w:val="nil"/>
              <w:right w:val="nil"/>
            </w:tcBorders>
            <w:shd w:val="clear" w:color="auto" w:fill="auto"/>
          </w:tcPr>
          <w:p w14:paraId="7954BC0F" w14:textId="689ADB46" w:rsidR="00F05DC7" w:rsidRDefault="00F05DC7" w:rsidP="00A3786D">
            <w:pPr>
              <w:pStyle w:val="TableTitle"/>
            </w:pPr>
            <w:r>
              <w:rPr>
                <w:b w:val="0"/>
              </w:rPr>
              <w:t>Table C.19</w:t>
            </w:r>
            <w:r>
              <w:tab/>
              <w:t>Average</w:t>
            </w:r>
            <w:r>
              <w:noBreakHyphen/>
              <w:t>rate effect from halving stamp duty rates</w:t>
            </w:r>
          </w:p>
          <w:p w14:paraId="7954BC10" w14:textId="77777777" w:rsidR="00F05DC7" w:rsidRPr="00784A05" w:rsidRDefault="00F05DC7" w:rsidP="00A3786D">
            <w:pPr>
              <w:pStyle w:val="Subtitle"/>
            </w:pPr>
            <w:r>
              <w:t>Unilateral change by each State and a multilateral change by all States</w:t>
            </w:r>
            <w:r w:rsidRPr="00171B8E">
              <w:rPr>
                <w:rStyle w:val="NoteLabel"/>
              </w:rPr>
              <w:t>a</w:t>
            </w:r>
          </w:p>
        </w:tc>
      </w:tr>
      <w:tr w:rsidR="00F05DC7" w14:paraId="7954BC4F" w14:textId="77777777" w:rsidTr="00A3786D">
        <w:tc>
          <w:tcPr>
            <w:tcW w:w="5000" w:type="pct"/>
            <w:tcBorders>
              <w:top w:val="nil"/>
              <w:left w:val="nil"/>
              <w:bottom w:val="nil"/>
              <w:right w:val="nil"/>
            </w:tcBorders>
            <w:shd w:val="clear" w:color="auto" w:fill="auto"/>
          </w:tcPr>
          <w:tbl>
            <w:tblPr>
              <w:tblW w:w="8647" w:type="dxa"/>
              <w:tblLayout w:type="fixed"/>
              <w:tblCellMar>
                <w:top w:w="28" w:type="dxa"/>
                <w:left w:w="0" w:type="dxa"/>
                <w:right w:w="0" w:type="dxa"/>
              </w:tblCellMar>
              <w:tblLook w:val="0000" w:firstRow="0" w:lastRow="0" w:firstColumn="0" w:lastColumn="0" w:noHBand="0" w:noVBand="0"/>
            </w:tblPr>
            <w:tblGrid>
              <w:gridCol w:w="1703"/>
              <w:gridCol w:w="694"/>
              <w:gridCol w:w="696"/>
              <w:gridCol w:w="693"/>
              <w:gridCol w:w="695"/>
              <w:gridCol w:w="695"/>
              <w:gridCol w:w="693"/>
              <w:gridCol w:w="695"/>
              <w:gridCol w:w="693"/>
              <w:gridCol w:w="695"/>
              <w:gridCol w:w="695"/>
            </w:tblGrid>
            <w:tr w:rsidR="00F05DC7" w:rsidRPr="00AD7DC6" w14:paraId="7954BC1D" w14:textId="77777777" w:rsidTr="001113B1">
              <w:trPr>
                <w:tblHeader/>
              </w:trPr>
              <w:tc>
                <w:tcPr>
                  <w:tcW w:w="984" w:type="pct"/>
                  <w:tcBorders>
                    <w:top w:val="single" w:sz="6" w:space="0" w:color="BFBFBF"/>
                    <w:bottom w:val="single" w:sz="6" w:space="0" w:color="BFBFBF"/>
                  </w:tcBorders>
                  <w:shd w:val="clear" w:color="auto" w:fill="auto"/>
                  <w:tcMar>
                    <w:top w:w="28" w:type="dxa"/>
                  </w:tcMar>
                </w:tcPr>
                <w:p w14:paraId="7954BC12" w14:textId="77777777" w:rsidR="00F05DC7" w:rsidRPr="00A13B64" w:rsidRDefault="00F05DC7" w:rsidP="00A3786D">
                  <w:pPr>
                    <w:pStyle w:val="TableColumnHeading"/>
                    <w:jc w:val="left"/>
                    <w:rPr>
                      <w:rFonts w:cs="Arial"/>
                      <w:szCs w:val="18"/>
                    </w:rPr>
                  </w:pPr>
                </w:p>
              </w:tc>
              <w:tc>
                <w:tcPr>
                  <w:tcW w:w="401" w:type="pct"/>
                  <w:tcBorders>
                    <w:top w:val="single" w:sz="6" w:space="0" w:color="BFBFBF"/>
                    <w:bottom w:val="single" w:sz="6" w:space="0" w:color="BFBFBF"/>
                  </w:tcBorders>
                  <w:vAlign w:val="bottom"/>
                </w:tcPr>
                <w:p w14:paraId="7954BC13" w14:textId="77777777" w:rsidR="00F05DC7" w:rsidRPr="00A13B64" w:rsidRDefault="00F05DC7" w:rsidP="00A3786D">
                  <w:pPr>
                    <w:pStyle w:val="TableColumnHeading"/>
                    <w:ind w:right="57"/>
                    <w:rPr>
                      <w:rFonts w:cs="Arial"/>
                      <w:szCs w:val="18"/>
                    </w:rPr>
                  </w:pPr>
                  <w:r>
                    <w:rPr>
                      <w:rFonts w:cs="Arial"/>
                      <w:szCs w:val="18"/>
                    </w:rPr>
                    <w:t>Units</w:t>
                  </w:r>
                </w:p>
              </w:tc>
              <w:tc>
                <w:tcPr>
                  <w:tcW w:w="402" w:type="pct"/>
                  <w:tcBorders>
                    <w:top w:val="single" w:sz="6" w:space="0" w:color="BFBFBF"/>
                    <w:bottom w:val="single" w:sz="6" w:space="0" w:color="BFBFBF"/>
                  </w:tcBorders>
                  <w:shd w:val="clear" w:color="auto" w:fill="auto"/>
                  <w:vAlign w:val="bottom"/>
                </w:tcPr>
                <w:p w14:paraId="7954BC14" w14:textId="77777777" w:rsidR="00F05DC7" w:rsidRPr="00A13B64" w:rsidRDefault="00F05DC7" w:rsidP="00A3786D">
                  <w:pPr>
                    <w:pStyle w:val="TableColumnHeading"/>
                    <w:ind w:right="57"/>
                    <w:rPr>
                      <w:rFonts w:cs="Arial"/>
                      <w:szCs w:val="18"/>
                    </w:rPr>
                  </w:pPr>
                  <w:r w:rsidRPr="00A13B64">
                    <w:rPr>
                      <w:rFonts w:cs="Arial"/>
                      <w:szCs w:val="18"/>
                    </w:rPr>
                    <w:t>NSW</w:t>
                  </w:r>
                </w:p>
              </w:tc>
              <w:tc>
                <w:tcPr>
                  <w:tcW w:w="401" w:type="pct"/>
                  <w:tcBorders>
                    <w:top w:val="single" w:sz="6" w:space="0" w:color="BFBFBF"/>
                    <w:bottom w:val="single" w:sz="6" w:space="0" w:color="BFBFBF"/>
                  </w:tcBorders>
                  <w:shd w:val="clear" w:color="auto" w:fill="auto"/>
                  <w:vAlign w:val="bottom"/>
                </w:tcPr>
                <w:p w14:paraId="7954BC15" w14:textId="77777777" w:rsidR="00F05DC7" w:rsidRPr="00A13B64" w:rsidRDefault="00F05DC7" w:rsidP="00A3786D">
                  <w:pPr>
                    <w:pStyle w:val="TableColumnHeading"/>
                    <w:ind w:right="57"/>
                    <w:rPr>
                      <w:rFonts w:cs="Arial"/>
                      <w:szCs w:val="18"/>
                    </w:rPr>
                  </w:pPr>
                  <w:r w:rsidRPr="00A13B64">
                    <w:rPr>
                      <w:rFonts w:cs="Arial"/>
                      <w:szCs w:val="18"/>
                    </w:rPr>
                    <w:t>Vic</w:t>
                  </w:r>
                </w:p>
              </w:tc>
              <w:tc>
                <w:tcPr>
                  <w:tcW w:w="402" w:type="pct"/>
                  <w:tcBorders>
                    <w:top w:val="single" w:sz="6" w:space="0" w:color="BFBFBF"/>
                    <w:bottom w:val="single" w:sz="6" w:space="0" w:color="BFBFBF"/>
                  </w:tcBorders>
                  <w:shd w:val="clear" w:color="auto" w:fill="auto"/>
                  <w:vAlign w:val="bottom"/>
                </w:tcPr>
                <w:p w14:paraId="7954BC16" w14:textId="77777777" w:rsidR="00F05DC7" w:rsidRPr="00A13B64" w:rsidRDefault="00F05DC7" w:rsidP="00A3786D">
                  <w:pPr>
                    <w:pStyle w:val="TableColumnHeading"/>
                    <w:ind w:right="57"/>
                    <w:rPr>
                      <w:rFonts w:cs="Arial"/>
                      <w:szCs w:val="18"/>
                    </w:rPr>
                  </w:pPr>
                  <w:r w:rsidRPr="00A13B64">
                    <w:rPr>
                      <w:rFonts w:cs="Arial"/>
                      <w:szCs w:val="18"/>
                    </w:rPr>
                    <w:t>Qld</w:t>
                  </w:r>
                </w:p>
              </w:tc>
              <w:tc>
                <w:tcPr>
                  <w:tcW w:w="402" w:type="pct"/>
                  <w:tcBorders>
                    <w:top w:val="single" w:sz="6" w:space="0" w:color="BFBFBF"/>
                    <w:bottom w:val="single" w:sz="6" w:space="0" w:color="BFBFBF"/>
                  </w:tcBorders>
                  <w:shd w:val="clear" w:color="auto" w:fill="auto"/>
                  <w:vAlign w:val="bottom"/>
                </w:tcPr>
                <w:p w14:paraId="7954BC17" w14:textId="77777777" w:rsidR="00F05DC7" w:rsidRPr="00A13B64" w:rsidRDefault="00F05DC7" w:rsidP="00A3786D">
                  <w:pPr>
                    <w:pStyle w:val="TableColumnHeading"/>
                    <w:ind w:right="57"/>
                    <w:rPr>
                      <w:rFonts w:cs="Arial"/>
                      <w:szCs w:val="18"/>
                    </w:rPr>
                  </w:pPr>
                  <w:r w:rsidRPr="00A13B64">
                    <w:rPr>
                      <w:rFonts w:cs="Arial"/>
                      <w:szCs w:val="18"/>
                    </w:rPr>
                    <w:t>WA</w:t>
                  </w:r>
                </w:p>
              </w:tc>
              <w:tc>
                <w:tcPr>
                  <w:tcW w:w="401" w:type="pct"/>
                  <w:tcBorders>
                    <w:top w:val="single" w:sz="6" w:space="0" w:color="BFBFBF"/>
                    <w:bottom w:val="single" w:sz="6" w:space="0" w:color="BFBFBF"/>
                  </w:tcBorders>
                  <w:shd w:val="clear" w:color="auto" w:fill="auto"/>
                  <w:vAlign w:val="bottom"/>
                </w:tcPr>
                <w:p w14:paraId="7954BC18" w14:textId="77777777" w:rsidR="00F05DC7" w:rsidRPr="00A13B64" w:rsidRDefault="00F05DC7" w:rsidP="00A3786D">
                  <w:pPr>
                    <w:pStyle w:val="TableColumnHeading"/>
                    <w:ind w:right="57"/>
                    <w:rPr>
                      <w:rFonts w:cs="Arial"/>
                      <w:szCs w:val="18"/>
                    </w:rPr>
                  </w:pPr>
                  <w:r w:rsidRPr="00A13B64">
                    <w:rPr>
                      <w:rFonts w:cs="Arial"/>
                      <w:szCs w:val="18"/>
                    </w:rPr>
                    <w:t>SA</w:t>
                  </w:r>
                </w:p>
              </w:tc>
              <w:tc>
                <w:tcPr>
                  <w:tcW w:w="402" w:type="pct"/>
                  <w:tcBorders>
                    <w:top w:val="single" w:sz="6" w:space="0" w:color="BFBFBF"/>
                    <w:bottom w:val="single" w:sz="6" w:space="0" w:color="BFBFBF"/>
                  </w:tcBorders>
                  <w:shd w:val="clear" w:color="auto" w:fill="auto"/>
                  <w:vAlign w:val="bottom"/>
                </w:tcPr>
                <w:p w14:paraId="7954BC19" w14:textId="77777777" w:rsidR="00F05DC7" w:rsidRPr="00A13B64" w:rsidRDefault="00F05DC7" w:rsidP="00A3786D">
                  <w:pPr>
                    <w:pStyle w:val="TableColumnHeading"/>
                    <w:ind w:right="57"/>
                    <w:rPr>
                      <w:rFonts w:cs="Arial"/>
                      <w:szCs w:val="18"/>
                    </w:rPr>
                  </w:pPr>
                  <w:r w:rsidRPr="00A13B64">
                    <w:rPr>
                      <w:rFonts w:cs="Arial"/>
                      <w:szCs w:val="18"/>
                    </w:rPr>
                    <w:t>Tas</w:t>
                  </w:r>
                </w:p>
              </w:tc>
              <w:tc>
                <w:tcPr>
                  <w:tcW w:w="401" w:type="pct"/>
                  <w:tcBorders>
                    <w:top w:val="single" w:sz="6" w:space="0" w:color="BFBFBF"/>
                    <w:bottom w:val="single" w:sz="6" w:space="0" w:color="BFBFBF"/>
                  </w:tcBorders>
                  <w:shd w:val="clear" w:color="auto" w:fill="auto"/>
                  <w:vAlign w:val="bottom"/>
                </w:tcPr>
                <w:p w14:paraId="7954BC1A" w14:textId="77777777" w:rsidR="00F05DC7" w:rsidRPr="00A13B64" w:rsidRDefault="00F05DC7" w:rsidP="00A3786D">
                  <w:pPr>
                    <w:pStyle w:val="TableColumnHeading"/>
                    <w:ind w:right="57"/>
                    <w:rPr>
                      <w:rFonts w:cs="Arial"/>
                      <w:szCs w:val="18"/>
                    </w:rPr>
                  </w:pPr>
                  <w:r w:rsidRPr="00A13B64">
                    <w:rPr>
                      <w:rFonts w:cs="Arial"/>
                      <w:szCs w:val="18"/>
                    </w:rPr>
                    <w:t>ACT</w:t>
                  </w:r>
                </w:p>
              </w:tc>
              <w:tc>
                <w:tcPr>
                  <w:tcW w:w="402" w:type="pct"/>
                  <w:tcBorders>
                    <w:top w:val="single" w:sz="6" w:space="0" w:color="BFBFBF"/>
                    <w:bottom w:val="single" w:sz="6" w:space="0" w:color="BFBFBF"/>
                  </w:tcBorders>
                  <w:shd w:val="clear" w:color="auto" w:fill="auto"/>
                  <w:tcMar>
                    <w:top w:w="28" w:type="dxa"/>
                  </w:tcMar>
                  <w:vAlign w:val="bottom"/>
                </w:tcPr>
                <w:p w14:paraId="7954BC1B" w14:textId="77777777" w:rsidR="00F05DC7" w:rsidRPr="00A13B64" w:rsidRDefault="00F05DC7" w:rsidP="00A3786D">
                  <w:pPr>
                    <w:pStyle w:val="TableColumnHeading"/>
                    <w:ind w:right="57"/>
                    <w:rPr>
                      <w:rFonts w:cs="Arial"/>
                      <w:szCs w:val="18"/>
                    </w:rPr>
                  </w:pPr>
                  <w:r w:rsidRPr="00A13B64">
                    <w:rPr>
                      <w:rFonts w:cs="Arial"/>
                      <w:szCs w:val="18"/>
                    </w:rPr>
                    <w:t>NT</w:t>
                  </w:r>
                </w:p>
              </w:tc>
              <w:tc>
                <w:tcPr>
                  <w:tcW w:w="402" w:type="pct"/>
                  <w:tcBorders>
                    <w:top w:val="single" w:sz="6" w:space="0" w:color="BFBFBF"/>
                    <w:bottom w:val="single" w:sz="6" w:space="0" w:color="BFBFBF"/>
                  </w:tcBorders>
                  <w:shd w:val="clear" w:color="auto" w:fill="auto"/>
                  <w:tcMar>
                    <w:top w:w="28" w:type="dxa"/>
                  </w:tcMar>
                  <w:vAlign w:val="bottom"/>
                </w:tcPr>
                <w:p w14:paraId="7954BC1C" w14:textId="77777777" w:rsidR="00F05DC7" w:rsidRPr="00A13B64" w:rsidRDefault="00F05DC7" w:rsidP="00A3786D">
                  <w:pPr>
                    <w:pStyle w:val="TableColumnHeading"/>
                    <w:ind w:right="57"/>
                    <w:rPr>
                      <w:rFonts w:cs="Arial"/>
                      <w:szCs w:val="18"/>
                    </w:rPr>
                  </w:pPr>
                  <w:r w:rsidRPr="00A13B64">
                    <w:rPr>
                      <w:rFonts w:cs="Arial"/>
                      <w:szCs w:val="18"/>
                    </w:rPr>
                    <w:t xml:space="preserve">All </w:t>
                  </w:r>
                  <w:r>
                    <w:rPr>
                      <w:rFonts w:cs="Arial"/>
                      <w:szCs w:val="18"/>
                    </w:rPr>
                    <w:br/>
                  </w:r>
                  <w:r w:rsidRPr="00A13B64">
                    <w:rPr>
                      <w:rFonts w:cs="Arial"/>
                      <w:szCs w:val="18"/>
                    </w:rPr>
                    <w:t xml:space="preserve">States </w:t>
                  </w:r>
                </w:p>
              </w:tc>
            </w:tr>
            <w:tr w:rsidR="00F05DC7" w:rsidRPr="00AD7DC6" w14:paraId="7954BC29" w14:textId="77777777" w:rsidTr="001113B1">
              <w:tc>
                <w:tcPr>
                  <w:tcW w:w="984" w:type="pct"/>
                  <w:tcBorders>
                    <w:top w:val="single" w:sz="6" w:space="0" w:color="BFBFBF"/>
                  </w:tcBorders>
                  <w:shd w:val="clear" w:color="auto" w:fill="auto"/>
                  <w:vAlign w:val="center"/>
                </w:tcPr>
                <w:p w14:paraId="7954BC1E" w14:textId="77777777" w:rsidR="00F05DC7" w:rsidRPr="00AD7DC6" w:rsidRDefault="00F05DC7" w:rsidP="004F6C34">
                  <w:pPr>
                    <w:pStyle w:val="TableUnitsRow"/>
                    <w:spacing w:before="80"/>
                    <w:jc w:val="left"/>
                    <w:rPr>
                      <w:rFonts w:asciiTheme="minorHAnsi" w:hAnsiTheme="minorHAnsi" w:cstheme="minorHAnsi"/>
                      <w:szCs w:val="18"/>
                    </w:rPr>
                  </w:pPr>
                  <w:r w:rsidRPr="00AD7DC6">
                    <w:rPr>
                      <w:rFonts w:asciiTheme="minorHAnsi" w:hAnsiTheme="minorHAnsi" w:cstheme="minorHAnsi"/>
                      <w:color w:val="000000"/>
                      <w:szCs w:val="18"/>
                    </w:rPr>
                    <w:t>Share of national revenue base</w:t>
                  </w:r>
                </w:p>
              </w:tc>
              <w:tc>
                <w:tcPr>
                  <w:tcW w:w="401" w:type="pct"/>
                  <w:tcBorders>
                    <w:top w:val="single" w:sz="6" w:space="0" w:color="BFBFBF"/>
                  </w:tcBorders>
                  <w:vAlign w:val="center"/>
                </w:tcPr>
                <w:p w14:paraId="7954BC1F" w14:textId="77777777" w:rsidR="00F05DC7" w:rsidRPr="00AD7DC6" w:rsidRDefault="00F05DC7" w:rsidP="004F6C34">
                  <w:pPr>
                    <w:pStyle w:val="TableUnitsRow"/>
                    <w:spacing w:before="80"/>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402" w:type="pct"/>
                  <w:tcBorders>
                    <w:top w:val="single" w:sz="6" w:space="0" w:color="BFBFBF"/>
                  </w:tcBorders>
                  <w:shd w:val="clear" w:color="auto" w:fill="auto"/>
                  <w:vAlign w:val="center"/>
                </w:tcPr>
                <w:p w14:paraId="7954BC20" w14:textId="77777777" w:rsidR="00F05DC7" w:rsidRPr="00AD7DC6" w:rsidRDefault="00F05DC7" w:rsidP="004F6C34">
                  <w:pPr>
                    <w:pStyle w:val="TableUnitsRow"/>
                    <w:spacing w:before="80"/>
                    <w:ind w:right="57"/>
                    <w:rPr>
                      <w:rFonts w:asciiTheme="minorHAnsi" w:hAnsiTheme="minorHAnsi" w:cstheme="minorHAnsi"/>
                      <w:szCs w:val="18"/>
                    </w:rPr>
                  </w:pPr>
                  <w:r w:rsidRPr="00AD7DC6">
                    <w:rPr>
                      <w:rFonts w:asciiTheme="minorHAnsi" w:hAnsiTheme="minorHAnsi" w:cstheme="minorHAnsi"/>
                      <w:color w:val="000000"/>
                      <w:szCs w:val="18"/>
                    </w:rPr>
                    <w:t>4</w:t>
                  </w:r>
                  <w:r>
                    <w:rPr>
                      <w:rFonts w:asciiTheme="minorHAnsi" w:hAnsiTheme="minorHAnsi" w:cstheme="minorHAnsi"/>
                      <w:color w:val="000000"/>
                      <w:szCs w:val="18"/>
                    </w:rPr>
                    <w:t>2</w:t>
                  </w:r>
                </w:p>
              </w:tc>
              <w:tc>
                <w:tcPr>
                  <w:tcW w:w="401" w:type="pct"/>
                  <w:tcBorders>
                    <w:top w:val="single" w:sz="6" w:space="0" w:color="BFBFBF"/>
                  </w:tcBorders>
                  <w:shd w:val="clear" w:color="auto" w:fill="auto"/>
                  <w:vAlign w:val="center"/>
                </w:tcPr>
                <w:p w14:paraId="7954BC21" w14:textId="77777777" w:rsidR="00F05DC7" w:rsidRPr="00AD7DC6" w:rsidRDefault="00F05DC7" w:rsidP="004F6C34">
                  <w:pPr>
                    <w:pStyle w:val="TableUnitsRow"/>
                    <w:spacing w:before="80"/>
                    <w:ind w:right="57"/>
                    <w:rPr>
                      <w:rFonts w:asciiTheme="minorHAnsi" w:hAnsiTheme="minorHAnsi" w:cstheme="minorHAnsi"/>
                      <w:szCs w:val="18"/>
                    </w:rPr>
                  </w:pPr>
                  <w:r w:rsidRPr="00AD7DC6">
                    <w:rPr>
                      <w:rFonts w:asciiTheme="minorHAnsi" w:hAnsiTheme="minorHAnsi" w:cstheme="minorHAnsi"/>
                      <w:color w:val="000000"/>
                      <w:szCs w:val="18"/>
                    </w:rPr>
                    <w:t>27</w:t>
                  </w:r>
                </w:p>
              </w:tc>
              <w:tc>
                <w:tcPr>
                  <w:tcW w:w="402" w:type="pct"/>
                  <w:tcBorders>
                    <w:top w:val="single" w:sz="6" w:space="0" w:color="BFBFBF"/>
                  </w:tcBorders>
                  <w:shd w:val="clear" w:color="auto" w:fill="auto"/>
                  <w:vAlign w:val="center"/>
                </w:tcPr>
                <w:p w14:paraId="7954BC22" w14:textId="77777777" w:rsidR="00F05DC7" w:rsidRPr="00AD7DC6" w:rsidRDefault="00F05DC7" w:rsidP="004F6C34">
                  <w:pPr>
                    <w:pStyle w:val="TableUnitsRow"/>
                    <w:spacing w:before="80"/>
                    <w:ind w:right="57"/>
                    <w:rPr>
                      <w:rFonts w:asciiTheme="minorHAnsi" w:hAnsiTheme="minorHAnsi" w:cstheme="minorHAnsi"/>
                      <w:szCs w:val="18"/>
                    </w:rPr>
                  </w:pPr>
                  <w:r w:rsidRPr="00AD7DC6">
                    <w:rPr>
                      <w:rFonts w:asciiTheme="minorHAnsi" w:hAnsiTheme="minorHAnsi" w:cstheme="minorHAnsi"/>
                      <w:color w:val="000000"/>
                      <w:szCs w:val="18"/>
                    </w:rPr>
                    <w:t>1</w:t>
                  </w:r>
                  <w:r>
                    <w:rPr>
                      <w:rFonts w:asciiTheme="minorHAnsi" w:hAnsiTheme="minorHAnsi" w:cstheme="minorHAnsi"/>
                      <w:color w:val="000000"/>
                      <w:szCs w:val="18"/>
                    </w:rPr>
                    <w:t>8</w:t>
                  </w:r>
                </w:p>
              </w:tc>
              <w:tc>
                <w:tcPr>
                  <w:tcW w:w="402" w:type="pct"/>
                  <w:tcBorders>
                    <w:top w:val="single" w:sz="6" w:space="0" w:color="BFBFBF"/>
                  </w:tcBorders>
                  <w:shd w:val="clear" w:color="auto" w:fill="auto"/>
                  <w:vAlign w:val="center"/>
                </w:tcPr>
                <w:p w14:paraId="7954BC23" w14:textId="77777777" w:rsidR="00F05DC7" w:rsidRPr="00AD7DC6" w:rsidRDefault="00F05DC7" w:rsidP="004F6C34">
                  <w:pPr>
                    <w:pStyle w:val="TableUnitsRow"/>
                    <w:spacing w:before="80"/>
                    <w:ind w:right="57"/>
                    <w:rPr>
                      <w:rFonts w:asciiTheme="minorHAnsi" w:hAnsiTheme="minorHAnsi" w:cstheme="minorHAnsi"/>
                      <w:szCs w:val="18"/>
                    </w:rPr>
                  </w:pPr>
                  <w:r>
                    <w:rPr>
                      <w:rFonts w:asciiTheme="minorHAnsi" w:hAnsiTheme="minorHAnsi" w:cstheme="minorHAnsi"/>
                      <w:color w:val="000000"/>
                      <w:szCs w:val="18"/>
                    </w:rPr>
                    <w:t>5</w:t>
                  </w:r>
                </w:p>
              </w:tc>
              <w:tc>
                <w:tcPr>
                  <w:tcW w:w="401" w:type="pct"/>
                  <w:tcBorders>
                    <w:top w:val="single" w:sz="6" w:space="0" w:color="BFBFBF"/>
                  </w:tcBorders>
                  <w:shd w:val="clear" w:color="auto" w:fill="auto"/>
                  <w:vAlign w:val="center"/>
                </w:tcPr>
                <w:p w14:paraId="7954BC24" w14:textId="77777777" w:rsidR="00F05DC7" w:rsidRPr="00AD7DC6" w:rsidRDefault="00F05DC7" w:rsidP="004F6C34">
                  <w:pPr>
                    <w:pStyle w:val="TableUnitsRow"/>
                    <w:spacing w:before="80"/>
                    <w:ind w:right="57"/>
                    <w:rPr>
                      <w:rFonts w:asciiTheme="minorHAnsi" w:hAnsiTheme="minorHAnsi" w:cstheme="minorHAnsi"/>
                      <w:szCs w:val="18"/>
                    </w:rPr>
                  </w:pPr>
                  <w:r>
                    <w:rPr>
                      <w:rFonts w:asciiTheme="minorHAnsi" w:hAnsiTheme="minorHAnsi" w:cstheme="minorHAnsi"/>
                      <w:color w:val="000000"/>
                      <w:szCs w:val="18"/>
                    </w:rPr>
                    <w:t>3</w:t>
                  </w:r>
                </w:p>
              </w:tc>
              <w:tc>
                <w:tcPr>
                  <w:tcW w:w="402" w:type="pct"/>
                  <w:tcBorders>
                    <w:top w:val="single" w:sz="6" w:space="0" w:color="BFBFBF"/>
                  </w:tcBorders>
                  <w:shd w:val="clear" w:color="auto" w:fill="auto"/>
                  <w:vAlign w:val="center"/>
                </w:tcPr>
                <w:p w14:paraId="7954BC25" w14:textId="77777777" w:rsidR="00F05DC7" w:rsidRPr="00AD7DC6" w:rsidRDefault="00F05DC7" w:rsidP="004F6C34">
                  <w:pPr>
                    <w:pStyle w:val="TableUnitsRow"/>
                    <w:spacing w:before="80"/>
                    <w:ind w:right="57"/>
                    <w:rPr>
                      <w:rFonts w:asciiTheme="minorHAnsi" w:hAnsiTheme="minorHAnsi" w:cstheme="minorHAnsi"/>
                      <w:szCs w:val="18"/>
                    </w:rPr>
                  </w:pPr>
                  <w:r>
                    <w:rPr>
                      <w:rFonts w:asciiTheme="minorHAnsi" w:hAnsiTheme="minorHAnsi" w:cstheme="minorHAnsi"/>
                      <w:color w:val="000000"/>
                      <w:szCs w:val="18"/>
                    </w:rPr>
                    <w:t>1</w:t>
                  </w:r>
                </w:p>
              </w:tc>
              <w:tc>
                <w:tcPr>
                  <w:tcW w:w="401" w:type="pct"/>
                  <w:tcBorders>
                    <w:top w:val="single" w:sz="6" w:space="0" w:color="BFBFBF"/>
                  </w:tcBorders>
                  <w:shd w:val="clear" w:color="auto" w:fill="auto"/>
                  <w:vAlign w:val="center"/>
                </w:tcPr>
                <w:p w14:paraId="7954BC26" w14:textId="77777777" w:rsidR="00F05DC7" w:rsidRPr="00AD7DC6" w:rsidRDefault="00F05DC7" w:rsidP="004F6C34">
                  <w:pPr>
                    <w:pStyle w:val="TableUnitsRow"/>
                    <w:spacing w:before="80"/>
                    <w:ind w:right="57"/>
                    <w:rPr>
                      <w:rFonts w:asciiTheme="minorHAnsi" w:hAnsiTheme="minorHAnsi" w:cstheme="minorHAnsi"/>
                      <w:szCs w:val="18"/>
                    </w:rPr>
                  </w:pPr>
                  <w:r w:rsidRPr="00AD7DC6">
                    <w:rPr>
                      <w:rFonts w:asciiTheme="minorHAnsi" w:hAnsiTheme="minorHAnsi" w:cstheme="minorHAnsi"/>
                      <w:color w:val="000000"/>
                      <w:szCs w:val="18"/>
                    </w:rPr>
                    <w:t>2</w:t>
                  </w:r>
                </w:p>
              </w:tc>
              <w:tc>
                <w:tcPr>
                  <w:tcW w:w="402" w:type="pct"/>
                  <w:tcBorders>
                    <w:top w:val="single" w:sz="6" w:space="0" w:color="BFBFBF"/>
                  </w:tcBorders>
                  <w:shd w:val="clear" w:color="auto" w:fill="auto"/>
                  <w:vAlign w:val="center"/>
                </w:tcPr>
                <w:p w14:paraId="7954BC27" w14:textId="77777777" w:rsidR="00F05DC7" w:rsidRPr="00AD7DC6" w:rsidRDefault="00F05DC7" w:rsidP="004F6C34">
                  <w:pPr>
                    <w:pStyle w:val="TableUnitsRow"/>
                    <w:spacing w:before="80"/>
                    <w:ind w:right="57"/>
                    <w:rPr>
                      <w:rFonts w:asciiTheme="minorHAnsi" w:hAnsiTheme="minorHAnsi" w:cstheme="minorHAnsi"/>
                      <w:szCs w:val="18"/>
                    </w:rPr>
                  </w:pPr>
                  <w:r>
                    <w:rPr>
                      <w:rFonts w:asciiTheme="minorHAnsi" w:hAnsiTheme="minorHAnsi" w:cstheme="minorHAnsi"/>
                      <w:color w:val="000000"/>
                      <w:szCs w:val="18"/>
                    </w:rPr>
                    <w:t>0</w:t>
                  </w:r>
                </w:p>
              </w:tc>
              <w:tc>
                <w:tcPr>
                  <w:tcW w:w="402" w:type="pct"/>
                  <w:tcBorders>
                    <w:top w:val="single" w:sz="6" w:space="0" w:color="BFBFBF"/>
                  </w:tcBorders>
                  <w:shd w:val="clear" w:color="auto" w:fill="auto"/>
                  <w:vAlign w:val="center"/>
                </w:tcPr>
                <w:p w14:paraId="7954BC28" w14:textId="77777777" w:rsidR="00F05DC7" w:rsidRPr="00AD7DC6" w:rsidRDefault="00F05DC7" w:rsidP="004F6C34">
                  <w:pPr>
                    <w:pStyle w:val="TableUnitsRow"/>
                    <w:spacing w:before="80"/>
                    <w:ind w:right="57"/>
                    <w:rPr>
                      <w:rFonts w:asciiTheme="minorHAnsi" w:hAnsiTheme="minorHAnsi" w:cstheme="minorHAnsi"/>
                      <w:szCs w:val="18"/>
                    </w:rPr>
                  </w:pPr>
                  <w:r w:rsidRPr="00AD7DC6">
                    <w:rPr>
                      <w:rFonts w:asciiTheme="minorHAnsi" w:hAnsiTheme="minorHAnsi" w:cstheme="minorHAnsi"/>
                      <w:bCs/>
                      <w:color w:val="000000"/>
                      <w:szCs w:val="18"/>
                    </w:rPr>
                    <w:t>100</w:t>
                  </w:r>
                </w:p>
              </w:tc>
            </w:tr>
            <w:tr w:rsidR="00F05DC7" w:rsidRPr="00AD7DC6" w14:paraId="7954BC35" w14:textId="77777777" w:rsidTr="001113B1">
              <w:tc>
                <w:tcPr>
                  <w:tcW w:w="984" w:type="pct"/>
                  <w:shd w:val="clear" w:color="auto" w:fill="auto"/>
                  <w:vAlign w:val="center"/>
                </w:tcPr>
                <w:p w14:paraId="7954BC2A" w14:textId="77777777" w:rsidR="00F05DC7" w:rsidRPr="00AD7DC6" w:rsidRDefault="00F05DC7" w:rsidP="00A3786D">
                  <w:pPr>
                    <w:pStyle w:val="TableBodyText"/>
                    <w:jc w:val="left"/>
                    <w:rPr>
                      <w:rFonts w:asciiTheme="minorHAnsi" w:hAnsiTheme="minorHAnsi" w:cstheme="minorHAnsi"/>
                      <w:szCs w:val="18"/>
                    </w:rPr>
                  </w:pPr>
                  <w:r w:rsidRPr="00AD7DC6">
                    <w:rPr>
                      <w:rFonts w:asciiTheme="minorHAnsi" w:hAnsiTheme="minorHAnsi" w:cstheme="minorHAnsi"/>
                      <w:color w:val="000000"/>
                      <w:szCs w:val="18"/>
                    </w:rPr>
                    <w:t>Reduction in stamp duty revenue</w:t>
                  </w:r>
                </w:p>
              </w:tc>
              <w:tc>
                <w:tcPr>
                  <w:tcW w:w="401" w:type="pct"/>
                  <w:vAlign w:val="center"/>
                </w:tcPr>
                <w:p w14:paraId="7954BC2B"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r>
                    <w:rPr>
                      <w:rFonts w:asciiTheme="minorHAnsi" w:hAnsiTheme="minorHAnsi" w:cstheme="minorHAnsi"/>
                      <w:color w:val="000000"/>
                      <w:szCs w:val="18"/>
                    </w:rPr>
                    <w:t>$m</w:t>
                  </w:r>
                  <w:r w:rsidRPr="00AD7DC6">
                    <w:rPr>
                      <w:rFonts w:asciiTheme="minorHAnsi" w:hAnsiTheme="minorHAnsi" w:cstheme="minorHAnsi"/>
                      <w:color w:val="000000"/>
                      <w:szCs w:val="18"/>
                    </w:rPr>
                    <w:t>)</w:t>
                  </w:r>
                </w:p>
              </w:tc>
              <w:tc>
                <w:tcPr>
                  <w:tcW w:w="402" w:type="pct"/>
                  <w:shd w:val="clear" w:color="auto" w:fill="auto"/>
                  <w:vAlign w:val="center"/>
                </w:tcPr>
                <w:p w14:paraId="7954BC2C"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w:t>
                  </w:r>
                  <w:r>
                    <w:rPr>
                      <w:rFonts w:asciiTheme="minorHAnsi" w:hAnsiTheme="minorHAnsi" w:cstheme="minorHAnsi"/>
                      <w:color w:val="000000"/>
                      <w:szCs w:val="18"/>
                    </w:rPr>
                    <w:t> 527</w:t>
                  </w:r>
                </w:p>
              </w:tc>
              <w:tc>
                <w:tcPr>
                  <w:tcW w:w="401" w:type="pct"/>
                  <w:shd w:val="clear" w:color="auto" w:fill="auto"/>
                  <w:vAlign w:val="center"/>
                </w:tcPr>
                <w:p w14:paraId="7954BC2D"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w:t>
                  </w:r>
                  <w:r>
                    <w:rPr>
                      <w:rFonts w:asciiTheme="minorHAnsi" w:hAnsiTheme="minorHAnsi" w:cstheme="minorHAnsi"/>
                      <w:color w:val="000000"/>
                      <w:szCs w:val="18"/>
                    </w:rPr>
                    <w:t> 151</w:t>
                  </w:r>
                </w:p>
              </w:tc>
              <w:tc>
                <w:tcPr>
                  <w:tcW w:w="402" w:type="pct"/>
                  <w:shd w:val="clear" w:color="auto" w:fill="auto"/>
                  <w:vAlign w:val="center"/>
                </w:tcPr>
                <w:p w14:paraId="7954BC2E"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w:t>
                  </w:r>
                  <w:r>
                    <w:rPr>
                      <w:rFonts w:asciiTheme="minorHAnsi" w:hAnsiTheme="minorHAnsi" w:cstheme="minorHAnsi"/>
                      <w:color w:val="000000"/>
                      <w:szCs w:val="18"/>
                    </w:rPr>
                    <w:t> 761</w:t>
                  </w:r>
                </w:p>
              </w:tc>
              <w:tc>
                <w:tcPr>
                  <w:tcW w:w="402" w:type="pct"/>
                  <w:shd w:val="clear" w:color="auto" w:fill="auto"/>
                  <w:vAlign w:val="center"/>
                </w:tcPr>
                <w:p w14:paraId="7954BC2F"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color w:val="000000"/>
                      <w:szCs w:val="18"/>
                    </w:rPr>
                    <w:t>671</w:t>
                  </w:r>
                </w:p>
              </w:tc>
              <w:tc>
                <w:tcPr>
                  <w:tcW w:w="401" w:type="pct"/>
                  <w:shd w:val="clear" w:color="auto" w:fill="auto"/>
                  <w:vAlign w:val="center"/>
                </w:tcPr>
                <w:p w14:paraId="7954BC30"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w:t>
                  </w:r>
                  <w:r>
                    <w:rPr>
                      <w:rFonts w:asciiTheme="minorHAnsi" w:hAnsiTheme="minorHAnsi" w:cstheme="minorHAnsi"/>
                      <w:color w:val="000000"/>
                      <w:szCs w:val="18"/>
                    </w:rPr>
                    <w:t>2</w:t>
                  </w:r>
                  <w:r w:rsidRPr="00AD7DC6">
                    <w:rPr>
                      <w:rFonts w:asciiTheme="minorHAnsi" w:hAnsiTheme="minorHAnsi" w:cstheme="minorHAnsi"/>
                      <w:color w:val="000000"/>
                      <w:szCs w:val="18"/>
                    </w:rPr>
                    <w:t>1</w:t>
                  </w:r>
                </w:p>
              </w:tc>
              <w:tc>
                <w:tcPr>
                  <w:tcW w:w="402" w:type="pct"/>
                  <w:shd w:val="clear" w:color="auto" w:fill="auto"/>
                  <w:vAlign w:val="center"/>
                </w:tcPr>
                <w:p w14:paraId="7954BC31"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color w:val="000000"/>
                      <w:szCs w:val="18"/>
                    </w:rPr>
                    <w:t>116</w:t>
                  </w:r>
                </w:p>
              </w:tc>
              <w:tc>
                <w:tcPr>
                  <w:tcW w:w="401" w:type="pct"/>
                  <w:shd w:val="clear" w:color="auto" w:fill="auto"/>
                  <w:vAlign w:val="center"/>
                </w:tcPr>
                <w:p w14:paraId="7954BC32"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color w:val="000000"/>
                      <w:szCs w:val="18"/>
                    </w:rPr>
                    <w:t>163</w:t>
                  </w:r>
                </w:p>
              </w:tc>
              <w:tc>
                <w:tcPr>
                  <w:tcW w:w="402" w:type="pct"/>
                  <w:shd w:val="clear" w:color="auto" w:fill="auto"/>
                  <w:vAlign w:val="center"/>
                </w:tcPr>
                <w:p w14:paraId="7954BC33"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color w:val="000000"/>
                      <w:szCs w:val="18"/>
                    </w:rPr>
                    <w:t>58</w:t>
                  </w:r>
                </w:p>
              </w:tc>
              <w:tc>
                <w:tcPr>
                  <w:tcW w:w="402" w:type="pct"/>
                  <w:shd w:val="clear" w:color="auto" w:fill="auto"/>
                  <w:vAlign w:val="center"/>
                </w:tcPr>
                <w:p w14:paraId="7954BC34"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10</w:t>
                  </w:r>
                  <w:r>
                    <w:rPr>
                      <w:rFonts w:asciiTheme="minorHAnsi" w:hAnsiTheme="minorHAnsi" w:cstheme="minorHAnsi"/>
                      <w:color w:val="000000"/>
                      <w:szCs w:val="18"/>
                    </w:rPr>
                    <w:t> 868</w:t>
                  </w:r>
                </w:p>
              </w:tc>
            </w:tr>
            <w:tr w:rsidR="00F05DC7" w:rsidRPr="00AD7DC6" w14:paraId="7954BC41" w14:textId="77777777" w:rsidTr="001113B1">
              <w:tc>
                <w:tcPr>
                  <w:tcW w:w="984" w:type="pct"/>
                  <w:shd w:val="clear" w:color="auto" w:fill="auto"/>
                  <w:vAlign w:val="center"/>
                </w:tcPr>
                <w:p w14:paraId="7954BC36" w14:textId="77777777" w:rsidR="00F05DC7" w:rsidRPr="00AD7DC6" w:rsidRDefault="00F05DC7" w:rsidP="00A3786D">
                  <w:pPr>
                    <w:pStyle w:val="TableBodyText"/>
                    <w:jc w:val="left"/>
                    <w:rPr>
                      <w:rFonts w:asciiTheme="minorHAnsi" w:hAnsiTheme="minorHAnsi" w:cstheme="minorHAnsi"/>
                      <w:szCs w:val="18"/>
                    </w:rPr>
                  </w:pPr>
                  <w:r w:rsidRPr="00AD7DC6">
                    <w:rPr>
                      <w:rFonts w:asciiTheme="minorHAnsi" w:hAnsiTheme="minorHAnsi" w:cstheme="minorHAnsi"/>
                      <w:color w:val="000000"/>
                      <w:szCs w:val="18"/>
                    </w:rPr>
                    <w:t>New State average tax rate</w:t>
                  </w:r>
                </w:p>
              </w:tc>
              <w:tc>
                <w:tcPr>
                  <w:tcW w:w="401" w:type="pct"/>
                  <w:vAlign w:val="center"/>
                </w:tcPr>
                <w:p w14:paraId="7954BC37"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402" w:type="pct"/>
                  <w:shd w:val="clear" w:color="auto" w:fill="auto"/>
                  <w:vAlign w:val="center"/>
                </w:tcPr>
                <w:p w14:paraId="7954BC38"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2.0</w:t>
                  </w:r>
                </w:p>
              </w:tc>
              <w:tc>
                <w:tcPr>
                  <w:tcW w:w="401" w:type="pct"/>
                  <w:shd w:val="clear" w:color="auto" w:fill="auto"/>
                  <w:vAlign w:val="center"/>
                </w:tcPr>
                <w:p w14:paraId="7954BC39"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2.2</w:t>
                  </w:r>
                </w:p>
              </w:tc>
              <w:tc>
                <w:tcPr>
                  <w:tcW w:w="402" w:type="pct"/>
                  <w:shd w:val="clear" w:color="auto" w:fill="auto"/>
                  <w:vAlign w:val="center"/>
                </w:tcPr>
                <w:p w14:paraId="7954BC3A"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1.8</w:t>
                  </w:r>
                </w:p>
              </w:tc>
              <w:tc>
                <w:tcPr>
                  <w:tcW w:w="402" w:type="pct"/>
                  <w:shd w:val="clear" w:color="auto" w:fill="auto"/>
                  <w:vAlign w:val="center"/>
                </w:tcPr>
                <w:p w14:paraId="7954BC3B"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2.4</w:t>
                  </w:r>
                </w:p>
              </w:tc>
              <w:tc>
                <w:tcPr>
                  <w:tcW w:w="401" w:type="pct"/>
                  <w:shd w:val="clear" w:color="auto" w:fill="auto"/>
                  <w:vAlign w:val="center"/>
                </w:tcPr>
                <w:p w14:paraId="7954BC3C"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2.3</w:t>
                  </w:r>
                </w:p>
              </w:tc>
              <w:tc>
                <w:tcPr>
                  <w:tcW w:w="402" w:type="pct"/>
                  <w:shd w:val="clear" w:color="auto" w:fill="auto"/>
                  <w:vAlign w:val="center"/>
                </w:tcPr>
                <w:p w14:paraId="7954BC3D"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1.9</w:t>
                  </w:r>
                </w:p>
              </w:tc>
              <w:tc>
                <w:tcPr>
                  <w:tcW w:w="401" w:type="pct"/>
                  <w:shd w:val="clear" w:color="auto" w:fill="auto"/>
                  <w:vAlign w:val="center"/>
                </w:tcPr>
                <w:p w14:paraId="7954BC3E"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w:t>
                  </w:r>
                  <w:r>
                    <w:rPr>
                      <w:rFonts w:asciiTheme="minorHAnsi" w:hAnsiTheme="minorHAnsi" w:cstheme="minorHAnsi"/>
                      <w:color w:val="000000"/>
                      <w:szCs w:val="18"/>
                    </w:rPr>
                    <w:t>8</w:t>
                  </w:r>
                </w:p>
              </w:tc>
              <w:tc>
                <w:tcPr>
                  <w:tcW w:w="402" w:type="pct"/>
                  <w:shd w:val="clear" w:color="auto" w:fill="auto"/>
                  <w:vAlign w:val="center"/>
                </w:tcPr>
                <w:p w14:paraId="7954BC3F"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2.4</w:t>
                  </w:r>
                </w:p>
              </w:tc>
              <w:tc>
                <w:tcPr>
                  <w:tcW w:w="402" w:type="pct"/>
                  <w:shd w:val="clear" w:color="auto" w:fill="auto"/>
                  <w:vAlign w:val="center"/>
                </w:tcPr>
                <w:p w14:paraId="7954BC40"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2.0</w:t>
                  </w:r>
                </w:p>
              </w:tc>
            </w:tr>
            <w:tr w:rsidR="00F05DC7" w:rsidRPr="00AD7DC6" w14:paraId="7954BC4D" w14:textId="77777777" w:rsidTr="001113B1">
              <w:tc>
                <w:tcPr>
                  <w:tcW w:w="984" w:type="pct"/>
                  <w:tcBorders>
                    <w:bottom w:val="single" w:sz="6" w:space="0" w:color="BFBFBF"/>
                  </w:tcBorders>
                  <w:shd w:val="clear" w:color="auto" w:fill="auto"/>
                  <w:vAlign w:val="center"/>
                </w:tcPr>
                <w:p w14:paraId="7954BC42" w14:textId="77777777" w:rsidR="00F05DC7" w:rsidRPr="00AD7DC6" w:rsidRDefault="00F05DC7" w:rsidP="00A3786D">
                  <w:pPr>
                    <w:pStyle w:val="TableBodyText"/>
                    <w:jc w:val="left"/>
                    <w:rPr>
                      <w:rFonts w:asciiTheme="minorHAnsi" w:hAnsiTheme="minorHAnsi" w:cstheme="minorHAnsi"/>
                      <w:szCs w:val="18"/>
                    </w:rPr>
                  </w:pPr>
                  <w:r w:rsidRPr="00AD7DC6">
                    <w:rPr>
                      <w:rFonts w:asciiTheme="minorHAnsi" w:hAnsiTheme="minorHAnsi" w:cstheme="minorHAnsi"/>
                      <w:color w:val="000000"/>
                      <w:szCs w:val="18"/>
                    </w:rPr>
                    <w:t>New national average rate</w:t>
                  </w:r>
                </w:p>
              </w:tc>
              <w:tc>
                <w:tcPr>
                  <w:tcW w:w="401" w:type="pct"/>
                  <w:tcBorders>
                    <w:bottom w:val="single" w:sz="6" w:space="0" w:color="BFBFBF"/>
                  </w:tcBorders>
                  <w:vAlign w:val="center"/>
                </w:tcPr>
                <w:p w14:paraId="7954BC43"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402" w:type="pct"/>
                  <w:tcBorders>
                    <w:bottom w:val="single" w:sz="6" w:space="0" w:color="BFBFBF"/>
                  </w:tcBorders>
                  <w:shd w:val="clear" w:color="auto" w:fill="auto"/>
                  <w:vAlign w:val="center"/>
                </w:tcPr>
                <w:p w14:paraId="7954BC44"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w:t>
                  </w:r>
                  <w:r>
                    <w:rPr>
                      <w:rFonts w:asciiTheme="minorHAnsi" w:hAnsiTheme="minorHAnsi" w:cstheme="minorHAnsi"/>
                      <w:color w:val="000000"/>
                      <w:szCs w:val="18"/>
                    </w:rPr>
                    <w:t>2</w:t>
                  </w:r>
                </w:p>
              </w:tc>
              <w:tc>
                <w:tcPr>
                  <w:tcW w:w="401" w:type="pct"/>
                  <w:tcBorders>
                    <w:bottom w:val="single" w:sz="6" w:space="0" w:color="BFBFBF"/>
                  </w:tcBorders>
                  <w:shd w:val="clear" w:color="auto" w:fill="auto"/>
                  <w:vAlign w:val="center"/>
                </w:tcPr>
                <w:p w14:paraId="7954BC45"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3.5</w:t>
                  </w:r>
                </w:p>
              </w:tc>
              <w:tc>
                <w:tcPr>
                  <w:tcW w:w="402" w:type="pct"/>
                  <w:tcBorders>
                    <w:bottom w:val="single" w:sz="6" w:space="0" w:color="BFBFBF"/>
                  </w:tcBorders>
                  <w:shd w:val="clear" w:color="auto" w:fill="auto"/>
                  <w:vAlign w:val="center"/>
                </w:tcPr>
                <w:p w14:paraId="7954BC46"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w:t>
                  </w:r>
                  <w:r>
                    <w:rPr>
                      <w:rFonts w:asciiTheme="minorHAnsi" w:hAnsiTheme="minorHAnsi" w:cstheme="minorHAnsi"/>
                      <w:color w:val="000000"/>
                      <w:szCs w:val="18"/>
                    </w:rPr>
                    <w:t>7</w:t>
                  </w:r>
                </w:p>
              </w:tc>
              <w:tc>
                <w:tcPr>
                  <w:tcW w:w="402" w:type="pct"/>
                  <w:tcBorders>
                    <w:bottom w:val="single" w:sz="6" w:space="0" w:color="BFBFBF"/>
                  </w:tcBorders>
                  <w:shd w:val="clear" w:color="auto" w:fill="auto"/>
                  <w:vAlign w:val="center"/>
                </w:tcPr>
                <w:p w14:paraId="7954BC47"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3.9</w:t>
                  </w:r>
                </w:p>
              </w:tc>
              <w:tc>
                <w:tcPr>
                  <w:tcW w:w="401" w:type="pct"/>
                  <w:tcBorders>
                    <w:bottom w:val="single" w:sz="6" w:space="0" w:color="BFBFBF"/>
                  </w:tcBorders>
                  <w:shd w:val="clear" w:color="auto" w:fill="auto"/>
                  <w:vAlign w:val="center"/>
                </w:tcPr>
                <w:p w14:paraId="7954BC48"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4.0</w:t>
                  </w:r>
                </w:p>
              </w:tc>
              <w:tc>
                <w:tcPr>
                  <w:tcW w:w="402" w:type="pct"/>
                  <w:tcBorders>
                    <w:bottom w:val="single" w:sz="6" w:space="0" w:color="BFBFBF"/>
                  </w:tcBorders>
                  <w:shd w:val="clear" w:color="auto" w:fill="auto"/>
                  <w:vAlign w:val="center"/>
                </w:tcPr>
                <w:p w14:paraId="7954BC49"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w:t>
                  </w:r>
                  <w:r>
                    <w:rPr>
                      <w:rFonts w:asciiTheme="minorHAnsi" w:hAnsiTheme="minorHAnsi" w:cstheme="minorHAnsi"/>
                      <w:color w:val="000000"/>
                      <w:szCs w:val="18"/>
                    </w:rPr>
                    <w:t>0</w:t>
                  </w:r>
                </w:p>
              </w:tc>
              <w:tc>
                <w:tcPr>
                  <w:tcW w:w="401" w:type="pct"/>
                  <w:tcBorders>
                    <w:bottom w:val="single" w:sz="6" w:space="0" w:color="BFBFBF"/>
                  </w:tcBorders>
                  <w:shd w:val="clear" w:color="auto" w:fill="auto"/>
                  <w:vAlign w:val="center"/>
                </w:tcPr>
                <w:p w14:paraId="7954BC4A"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4.0</w:t>
                  </w:r>
                </w:p>
              </w:tc>
              <w:tc>
                <w:tcPr>
                  <w:tcW w:w="402" w:type="pct"/>
                  <w:tcBorders>
                    <w:bottom w:val="single" w:sz="6" w:space="0" w:color="BFBFBF"/>
                  </w:tcBorders>
                  <w:shd w:val="clear" w:color="auto" w:fill="auto"/>
                  <w:vAlign w:val="center"/>
                </w:tcPr>
                <w:p w14:paraId="7954BC4B"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w:t>
                  </w:r>
                  <w:r>
                    <w:rPr>
                      <w:rFonts w:asciiTheme="minorHAnsi" w:hAnsiTheme="minorHAnsi" w:cstheme="minorHAnsi"/>
                      <w:color w:val="000000"/>
                      <w:szCs w:val="18"/>
                    </w:rPr>
                    <w:t>0</w:t>
                  </w:r>
                </w:p>
              </w:tc>
              <w:tc>
                <w:tcPr>
                  <w:tcW w:w="402" w:type="pct"/>
                  <w:tcBorders>
                    <w:bottom w:val="single" w:sz="6" w:space="0" w:color="BFBFBF"/>
                  </w:tcBorders>
                  <w:shd w:val="clear" w:color="auto" w:fill="auto"/>
                  <w:vAlign w:val="center"/>
                </w:tcPr>
                <w:p w14:paraId="7954BC4C"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2.0</w:t>
                  </w:r>
                </w:p>
              </w:tc>
            </w:tr>
          </w:tbl>
          <w:p w14:paraId="7954BC4E" w14:textId="77777777" w:rsidR="00F05DC7" w:rsidRDefault="00F05DC7" w:rsidP="00A3786D">
            <w:pPr>
              <w:pStyle w:val="Box"/>
            </w:pPr>
          </w:p>
        </w:tc>
      </w:tr>
      <w:tr w:rsidR="00F05DC7" w14:paraId="7954BC51" w14:textId="77777777" w:rsidTr="00A3786D">
        <w:tc>
          <w:tcPr>
            <w:tcW w:w="5000" w:type="pct"/>
            <w:tcBorders>
              <w:top w:val="nil"/>
              <w:left w:val="nil"/>
              <w:bottom w:val="nil"/>
              <w:right w:val="nil"/>
            </w:tcBorders>
            <w:shd w:val="clear" w:color="auto" w:fill="auto"/>
          </w:tcPr>
          <w:p w14:paraId="7954BC50" w14:textId="77777777" w:rsidR="00F05DC7" w:rsidRDefault="00F05DC7" w:rsidP="00A3786D">
            <w:pPr>
              <w:pStyle w:val="Note"/>
              <w:rPr>
                <w:i/>
              </w:rPr>
            </w:pPr>
            <w:r w:rsidRPr="008E77FE">
              <w:rPr>
                <w:rStyle w:val="NoteLabel"/>
              </w:rPr>
              <w:t>a</w:t>
            </w:r>
            <w:r>
              <w:t xml:space="preserve"> State columns show the effect of each State unilaterally halving its own stamp duty rate. ‘All States’ shows the effect if all States halve their stamp duty rates.</w:t>
            </w:r>
          </w:p>
        </w:tc>
      </w:tr>
      <w:tr w:rsidR="00F05DC7" w14:paraId="7954BC53" w14:textId="77777777" w:rsidTr="00A3786D">
        <w:tc>
          <w:tcPr>
            <w:tcW w:w="5000" w:type="pct"/>
            <w:tcBorders>
              <w:top w:val="nil"/>
              <w:left w:val="nil"/>
              <w:bottom w:val="nil"/>
              <w:right w:val="nil"/>
            </w:tcBorders>
            <w:shd w:val="clear" w:color="auto" w:fill="auto"/>
          </w:tcPr>
          <w:p w14:paraId="7954BC52"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C55" w14:textId="77777777" w:rsidTr="00A3786D">
        <w:tc>
          <w:tcPr>
            <w:tcW w:w="5000" w:type="pct"/>
            <w:tcBorders>
              <w:top w:val="nil"/>
              <w:left w:val="nil"/>
              <w:bottom w:val="single" w:sz="6" w:space="0" w:color="78A22F"/>
              <w:right w:val="nil"/>
            </w:tcBorders>
            <w:shd w:val="clear" w:color="auto" w:fill="auto"/>
          </w:tcPr>
          <w:p w14:paraId="7954BC54" w14:textId="77777777" w:rsidR="00F05DC7" w:rsidRDefault="00F05DC7" w:rsidP="00A3786D">
            <w:pPr>
              <w:pStyle w:val="Box"/>
              <w:spacing w:before="0" w:line="120" w:lineRule="exact"/>
            </w:pPr>
          </w:p>
        </w:tc>
      </w:tr>
      <w:tr w:rsidR="00F05DC7" w:rsidRPr="000863A5" w14:paraId="7954BC57" w14:textId="77777777" w:rsidTr="00A3786D">
        <w:tc>
          <w:tcPr>
            <w:tcW w:w="5000" w:type="pct"/>
            <w:tcBorders>
              <w:top w:val="single" w:sz="6" w:space="0" w:color="78A22F"/>
              <w:left w:val="nil"/>
              <w:bottom w:val="nil"/>
              <w:right w:val="nil"/>
            </w:tcBorders>
          </w:tcPr>
          <w:p w14:paraId="7954BC56" w14:textId="77777777" w:rsidR="00F05DC7" w:rsidRPr="00626D32" w:rsidRDefault="00F05DC7" w:rsidP="00A3786D">
            <w:pPr>
              <w:pStyle w:val="BoxSpaceBelow"/>
            </w:pPr>
          </w:p>
        </w:tc>
      </w:tr>
    </w:tbl>
    <w:p w14:paraId="7954BC58" w14:textId="6993F332" w:rsidR="00F05DC7" w:rsidRDefault="00F05DC7" w:rsidP="00A3786D">
      <w:pPr>
        <w:pStyle w:val="BodyText"/>
      </w:pPr>
      <w:r>
        <w:t xml:space="preserve">Including elasticity effects would mean that the revenue base would also change (table C.20). This analysis uses lower and upper bound values for the elasticity of property transactions in response to a change in stamp duty rates, drawn from estimates published by Davidoff and Leigh </w:t>
      </w:r>
      <w:r w:rsidRPr="009E1812">
        <w:t>(2013)</w:t>
      </w:r>
      <w:r>
        <w:t>. The lower bound value is a 1.9 per cent reduction in transactions due to a 10 per cent increase in the duty rate (after one year).</w:t>
      </w:r>
      <w:r w:rsidRPr="00282527">
        <w:rPr>
          <w:rStyle w:val="FootnoteReference"/>
        </w:rPr>
        <w:footnoteReference w:id="22"/>
      </w:r>
      <w:r>
        <w:t xml:space="preserve"> The upper bound value is a 6.6 per cent reduction (after three years).</w:t>
      </w:r>
    </w:p>
    <w:p w14:paraId="7954BC59"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C5C" w14:textId="77777777" w:rsidTr="001113B1">
        <w:trPr>
          <w:tblHeader/>
        </w:trPr>
        <w:tc>
          <w:tcPr>
            <w:tcW w:w="5000" w:type="pct"/>
            <w:tcBorders>
              <w:top w:val="single" w:sz="6" w:space="0" w:color="78A22F"/>
              <w:left w:val="nil"/>
              <w:bottom w:val="nil"/>
              <w:right w:val="nil"/>
            </w:tcBorders>
            <w:shd w:val="clear" w:color="auto" w:fill="auto"/>
          </w:tcPr>
          <w:p w14:paraId="7954BC5A" w14:textId="261D080B" w:rsidR="00F05DC7" w:rsidRDefault="00F05DC7" w:rsidP="00A3786D">
            <w:pPr>
              <w:pStyle w:val="TableTitle"/>
            </w:pPr>
            <w:r>
              <w:rPr>
                <w:b w:val="0"/>
              </w:rPr>
              <w:t>Table C.20</w:t>
            </w:r>
            <w:r>
              <w:tab/>
              <w:t>Elasticity effect from halving stamp duty rates</w:t>
            </w:r>
          </w:p>
          <w:p w14:paraId="7954BC5B" w14:textId="77777777" w:rsidR="00F05DC7" w:rsidRPr="00784A05" w:rsidRDefault="00F05DC7" w:rsidP="00A3786D">
            <w:pPr>
              <w:pStyle w:val="Subtitle"/>
            </w:pPr>
            <w:r>
              <w:t>Unilateral change by each State and a multilateral change by all States</w:t>
            </w:r>
            <w:r w:rsidRPr="00171B8E">
              <w:rPr>
                <w:rStyle w:val="NoteLabel"/>
              </w:rPr>
              <w:t>a</w:t>
            </w:r>
          </w:p>
        </w:tc>
      </w:tr>
      <w:tr w:rsidR="00F05DC7" w14:paraId="7954BCB2"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09"/>
              <w:gridCol w:w="582"/>
              <w:gridCol w:w="582"/>
              <w:gridCol w:w="583"/>
              <w:gridCol w:w="582"/>
              <w:gridCol w:w="582"/>
              <w:gridCol w:w="583"/>
              <w:gridCol w:w="582"/>
              <w:gridCol w:w="582"/>
              <w:gridCol w:w="583"/>
              <w:gridCol w:w="655"/>
            </w:tblGrid>
            <w:tr w:rsidR="00F05DC7" w:rsidRPr="00AD7DC6" w14:paraId="7954BC68" w14:textId="77777777" w:rsidTr="001113B1">
              <w:trPr>
                <w:tblHeader/>
              </w:trPr>
              <w:tc>
                <w:tcPr>
                  <w:tcW w:w="1534" w:type="pct"/>
                  <w:tcBorders>
                    <w:top w:val="single" w:sz="6" w:space="0" w:color="BFBFBF"/>
                    <w:bottom w:val="single" w:sz="6" w:space="0" w:color="BFBFBF"/>
                  </w:tcBorders>
                  <w:shd w:val="clear" w:color="auto" w:fill="auto"/>
                  <w:tcMar>
                    <w:top w:w="28" w:type="dxa"/>
                  </w:tcMar>
                </w:tcPr>
                <w:p w14:paraId="7954BC5D" w14:textId="77777777" w:rsidR="00F05DC7" w:rsidRPr="00A13B64" w:rsidRDefault="00F05DC7" w:rsidP="00A3786D">
                  <w:pPr>
                    <w:pStyle w:val="TableColumnHeading"/>
                    <w:ind w:right="57"/>
                    <w:jc w:val="left"/>
                    <w:rPr>
                      <w:rFonts w:cs="Arial"/>
                      <w:szCs w:val="18"/>
                    </w:rPr>
                  </w:pPr>
                </w:p>
              </w:tc>
              <w:tc>
                <w:tcPr>
                  <w:tcW w:w="342" w:type="pct"/>
                  <w:tcBorders>
                    <w:top w:val="single" w:sz="6" w:space="0" w:color="BFBFBF"/>
                    <w:bottom w:val="single" w:sz="6" w:space="0" w:color="BFBFBF"/>
                  </w:tcBorders>
                  <w:vAlign w:val="bottom"/>
                </w:tcPr>
                <w:p w14:paraId="7954BC5E" w14:textId="77777777" w:rsidR="00F05DC7" w:rsidRPr="00A13B64" w:rsidRDefault="00F05DC7" w:rsidP="00A3786D">
                  <w:pPr>
                    <w:pStyle w:val="TableColumnHeading"/>
                    <w:ind w:right="57"/>
                    <w:rPr>
                      <w:rFonts w:cs="Arial"/>
                      <w:szCs w:val="18"/>
                    </w:rPr>
                  </w:pPr>
                  <w:r>
                    <w:rPr>
                      <w:rFonts w:cs="Arial"/>
                      <w:szCs w:val="18"/>
                    </w:rPr>
                    <w:t>Units</w:t>
                  </w:r>
                </w:p>
              </w:tc>
              <w:tc>
                <w:tcPr>
                  <w:tcW w:w="342" w:type="pct"/>
                  <w:tcBorders>
                    <w:top w:val="single" w:sz="6" w:space="0" w:color="BFBFBF"/>
                    <w:bottom w:val="single" w:sz="6" w:space="0" w:color="BFBFBF"/>
                  </w:tcBorders>
                  <w:shd w:val="clear" w:color="auto" w:fill="auto"/>
                  <w:vAlign w:val="bottom"/>
                </w:tcPr>
                <w:p w14:paraId="7954BC5F" w14:textId="77777777" w:rsidR="00F05DC7" w:rsidRPr="00A13B64" w:rsidRDefault="00F05DC7" w:rsidP="00A3786D">
                  <w:pPr>
                    <w:pStyle w:val="TableColumnHeading"/>
                    <w:ind w:right="57"/>
                    <w:rPr>
                      <w:rFonts w:cs="Arial"/>
                      <w:szCs w:val="18"/>
                    </w:rPr>
                  </w:pPr>
                  <w:r w:rsidRPr="00A13B64">
                    <w:rPr>
                      <w:rFonts w:cs="Arial"/>
                      <w:szCs w:val="18"/>
                    </w:rPr>
                    <w:t>NSW</w:t>
                  </w:r>
                </w:p>
              </w:tc>
              <w:tc>
                <w:tcPr>
                  <w:tcW w:w="343" w:type="pct"/>
                  <w:tcBorders>
                    <w:top w:val="single" w:sz="6" w:space="0" w:color="BFBFBF"/>
                    <w:bottom w:val="single" w:sz="6" w:space="0" w:color="BFBFBF"/>
                  </w:tcBorders>
                  <w:shd w:val="clear" w:color="auto" w:fill="auto"/>
                  <w:tcMar>
                    <w:top w:w="28" w:type="dxa"/>
                  </w:tcMar>
                  <w:vAlign w:val="bottom"/>
                </w:tcPr>
                <w:p w14:paraId="7954BC60" w14:textId="77777777" w:rsidR="00F05DC7" w:rsidRPr="00A13B64" w:rsidRDefault="00F05DC7" w:rsidP="00A3786D">
                  <w:pPr>
                    <w:pStyle w:val="TableColumnHeading"/>
                    <w:ind w:right="57"/>
                    <w:rPr>
                      <w:rFonts w:cs="Arial"/>
                      <w:szCs w:val="18"/>
                    </w:rPr>
                  </w:pPr>
                  <w:r w:rsidRPr="00A13B64">
                    <w:rPr>
                      <w:rFonts w:cs="Arial"/>
                      <w:szCs w:val="18"/>
                    </w:rPr>
                    <w:t>Vic</w:t>
                  </w:r>
                </w:p>
              </w:tc>
              <w:tc>
                <w:tcPr>
                  <w:tcW w:w="342" w:type="pct"/>
                  <w:tcBorders>
                    <w:top w:val="single" w:sz="6" w:space="0" w:color="BFBFBF"/>
                    <w:bottom w:val="single" w:sz="6" w:space="0" w:color="BFBFBF"/>
                  </w:tcBorders>
                  <w:shd w:val="clear" w:color="auto" w:fill="auto"/>
                  <w:vAlign w:val="bottom"/>
                </w:tcPr>
                <w:p w14:paraId="7954BC61" w14:textId="77777777" w:rsidR="00F05DC7" w:rsidRPr="00A13B64" w:rsidRDefault="00F05DC7" w:rsidP="00A3786D">
                  <w:pPr>
                    <w:pStyle w:val="TableColumnHeading"/>
                    <w:ind w:right="57"/>
                    <w:rPr>
                      <w:rFonts w:cs="Arial"/>
                      <w:szCs w:val="18"/>
                    </w:rPr>
                  </w:pPr>
                  <w:r w:rsidRPr="00A13B64">
                    <w:rPr>
                      <w:rFonts w:cs="Arial"/>
                      <w:szCs w:val="18"/>
                    </w:rPr>
                    <w:t>Qld</w:t>
                  </w:r>
                </w:p>
              </w:tc>
              <w:tc>
                <w:tcPr>
                  <w:tcW w:w="342" w:type="pct"/>
                  <w:tcBorders>
                    <w:top w:val="single" w:sz="6" w:space="0" w:color="BFBFBF"/>
                    <w:bottom w:val="single" w:sz="6" w:space="0" w:color="BFBFBF"/>
                  </w:tcBorders>
                  <w:shd w:val="clear" w:color="auto" w:fill="auto"/>
                  <w:vAlign w:val="bottom"/>
                </w:tcPr>
                <w:p w14:paraId="7954BC62" w14:textId="77777777" w:rsidR="00F05DC7" w:rsidRPr="00A13B64" w:rsidRDefault="00F05DC7" w:rsidP="00A3786D">
                  <w:pPr>
                    <w:pStyle w:val="TableColumnHeading"/>
                    <w:ind w:right="57"/>
                    <w:rPr>
                      <w:rFonts w:cs="Arial"/>
                      <w:szCs w:val="18"/>
                    </w:rPr>
                  </w:pPr>
                  <w:r w:rsidRPr="00A13B64">
                    <w:rPr>
                      <w:rFonts w:cs="Arial"/>
                      <w:szCs w:val="18"/>
                    </w:rPr>
                    <w:t>WA</w:t>
                  </w:r>
                </w:p>
              </w:tc>
              <w:tc>
                <w:tcPr>
                  <w:tcW w:w="343" w:type="pct"/>
                  <w:tcBorders>
                    <w:top w:val="single" w:sz="6" w:space="0" w:color="BFBFBF"/>
                    <w:bottom w:val="single" w:sz="6" w:space="0" w:color="BFBFBF"/>
                  </w:tcBorders>
                  <w:shd w:val="clear" w:color="auto" w:fill="auto"/>
                  <w:vAlign w:val="bottom"/>
                </w:tcPr>
                <w:p w14:paraId="7954BC63" w14:textId="77777777" w:rsidR="00F05DC7" w:rsidRPr="00A13B64" w:rsidRDefault="00F05DC7" w:rsidP="00A3786D">
                  <w:pPr>
                    <w:pStyle w:val="TableColumnHeading"/>
                    <w:ind w:right="57"/>
                    <w:rPr>
                      <w:rFonts w:cs="Arial"/>
                      <w:szCs w:val="18"/>
                    </w:rPr>
                  </w:pPr>
                  <w:r w:rsidRPr="00A13B64">
                    <w:rPr>
                      <w:rFonts w:cs="Arial"/>
                      <w:szCs w:val="18"/>
                    </w:rPr>
                    <w:t>SA</w:t>
                  </w:r>
                </w:p>
              </w:tc>
              <w:tc>
                <w:tcPr>
                  <w:tcW w:w="342" w:type="pct"/>
                  <w:tcBorders>
                    <w:top w:val="single" w:sz="6" w:space="0" w:color="BFBFBF"/>
                    <w:bottom w:val="single" w:sz="6" w:space="0" w:color="BFBFBF"/>
                  </w:tcBorders>
                  <w:shd w:val="clear" w:color="auto" w:fill="auto"/>
                  <w:vAlign w:val="bottom"/>
                </w:tcPr>
                <w:p w14:paraId="7954BC64" w14:textId="77777777" w:rsidR="00F05DC7" w:rsidRPr="00A13B64" w:rsidRDefault="00F05DC7" w:rsidP="00A3786D">
                  <w:pPr>
                    <w:pStyle w:val="TableColumnHeading"/>
                    <w:ind w:right="57"/>
                    <w:rPr>
                      <w:rFonts w:cs="Arial"/>
                      <w:szCs w:val="18"/>
                    </w:rPr>
                  </w:pPr>
                  <w:r w:rsidRPr="00A13B64">
                    <w:rPr>
                      <w:rFonts w:cs="Arial"/>
                      <w:szCs w:val="18"/>
                    </w:rPr>
                    <w:t>Tas</w:t>
                  </w:r>
                </w:p>
              </w:tc>
              <w:tc>
                <w:tcPr>
                  <w:tcW w:w="342" w:type="pct"/>
                  <w:tcBorders>
                    <w:top w:val="single" w:sz="6" w:space="0" w:color="BFBFBF"/>
                    <w:bottom w:val="single" w:sz="6" w:space="0" w:color="BFBFBF"/>
                  </w:tcBorders>
                  <w:shd w:val="clear" w:color="auto" w:fill="auto"/>
                  <w:vAlign w:val="bottom"/>
                </w:tcPr>
                <w:p w14:paraId="7954BC65" w14:textId="77777777" w:rsidR="00F05DC7" w:rsidRPr="00A13B64" w:rsidRDefault="00F05DC7" w:rsidP="00A3786D">
                  <w:pPr>
                    <w:pStyle w:val="TableColumnHeading"/>
                    <w:ind w:right="57"/>
                    <w:rPr>
                      <w:rFonts w:cs="Arial"/>
                      <w:szCs w:val="18"/>
                    </w:rPr>
                  </w:pPr>
                  <w:r w:rsidRPr="00A13B64">
                    <w:rPr>
                      <w:rFonts w:cs="Arial"/>
                      <w:szCs w:val="18"/>
                    </w:rPr>
                    <w:t>ACT</w:t>
                  </w:r>
                </w:p>
              </w:tc>
              <w:tc>
                <w:tcPr>
                  <w:tcW w:w="343" w:type="pct"/>
                  <w:tcBorders>
                    <w:top w:val="single" w:sz="6" w:space="0" w:color="BFBFBF"/>
                    <w:bottom w:val="single" w:sz="6" w:space="0" w:color="BFBFBF"/>
                  </w:tcBorders>
                  <w:shd w:val="clear" w:color="auto" w:fill="auto"/>
                  <w:vAlign w:val="bottom"/>
                </w:tcPr>
                <w:p w14:paraId="7954BC66" w14:textId="77777777" w:rsidR="00F05DC7" w:rsidRPr="00A13B64" w:rsidRDefault="00F05DC7" w:rsidP="00A3786D">
                  <w:pPr>
                    <w:pStyle w:val="TableColumnHeading"/>
                    <w:ind w:right="57"/>
                    <w:rPr>
                      <w:rFonts w:cs="Arial"/>
                      <w:szCs w:val="18"/>
                    </w:rPr>
                  </w:pPr>
                  <w:r w:rsidRPr="00A13B64">
                    <w:rPr>
                      <w:rFonts w:cs="Arial"/>
                      <w:szCs w:val="18"/>
                    </w:rPr>
                    <w:t>NT</w:t>
                  </w:r>
                </w:p>
              </w:tc>
              <w:tc>
                <w:tcPr>
                  <w:tcW w:w="385" w:type="pct"/>
                  <w:tcBorders>
                    <w:top w:val="single" w:sz="6" w:space="0" w:color="BFBFBF"/>
                    <w:bottom w:val="single" w:sz="6" w:space="0" w:color="BFBFBF"/>
                  </w:tcBorders>
                  <w:shd w:val="clear" w:color="auto" w:fill="auto"/>
                  <w:vAlign w:val="bottom"/>
                </w:tcPr>
                <w:p w14:paraId="7954BC67" w14:textId="77777777" w:rsidR="00F05DC7" w:rsidRPr="00A13B64" w:rsidRDefault="00F05DC7" w:rsidP="00A3786D">
                  <w:pPr>
                    <w:pStyle w:val="TableColumnHeading"/>
                    <w:ind w:right="57"/>
                    <w:rPr>
                      <w:rFonts w:cs="Arial"/>
                      <w:szCs w:val="18"/>
                    </w:rPr>
                  </w:pPr>
                  <w:r w:rsidRPr="00A13B64">
                    <w:rPr>
                      <w:rFonts w:cs="Arial"/>
                      <w:szCs w:val="18"/>
                    </w:rPr>
                    <w:t>All States</w:t>
                  </w:r>
                </w:p>
              </w:tc>
            </w:tr>
            <w:tr w:rsidR="00F05DC7" w:rsidRPr="00AD7DC6" w14:paraId="7954BC74" w14:textId="77777777" w:rsidTr="001113B1">
              <w:trPr>
                <w:trHeight w:val="289"/>
              </w:trPr>
              <w:tc>
                <w:tcPr>
                  <w:tcW w:w="1534" w:type="pct"/>
                  <w:tcBorders>
                    <w:top w:val="single" w:sz="6" w:space="0" w:color="BFBFBF"/>
                  </w:tcBorders>
                  <w:shd w:val="clear" w:color="auto" w:fill="auto"/>
                  <w:vAlign w:val="center"/>
                </w:tcPr>
                <w:p w14:paraId="7954BC69" w14:textId="77777777" w:rsidR="00F05DC7" w:rsidRPr="000547F5" w:rsidRDefault="00F05DC7" w:rsidP="00A3786D">
                  <w:pPr>
                    <w:spacing w:before="80"/>
                    <w:ind w:right="57"/>
                    <w:rPr>
                      <w:rFonts w:asciiTheme="minorHAnsi" w:hAnsiTheme="minorHAnsi" w:cstheme="minorHAnsi"/>
                      <w:b/>
                      <w:szCs w:val="18"/>
                    </w:rPr>
                  </w:pPr>
                  <w:r w:rsidRPr="00A6143F">
                    <w:rPr>
                      <w:rFonts w:asciiTheme="minorHAnsi" w:hAnsiTheme="minorHAnsi" w:cstheme="minorHAnsi"/>
                      <w:b/>
                      <w:color w:val="000000"/>
                      <w:sz w:val="18"/>
                      <w:szCs w:val="18"/>
                    </w:rPr>
                    <w:t>Lower-bound</w:t>
                  </w:r>
                </w:p>
              </w:tc>
              <w:tc>
                <w:tcPr>
                  <w:tcW w:w="342" w:type="pct"/>
                  <w:tcBorders>
                    <w:top w:val="single" w:sz="6" w:space="0" w:color="BFBFBF"/>
                  </w:tcBorders>
                </w:tcPr>
                <w:p w14:paraId="7954BC6A" w14:textId="77777777" w:rsidR="00F05DC7" w:rsidRPr="00AD7DC6" w:rsidRDefault="00F05DC7" w:rsidP="00A3786D">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vAlign w:val="bottom"/>
                </w:tcPr>
                <w:p w14:paraId="7954BC6B" w14:textId="77777777" w:rsidR="00F05DC7" w:rsidRPr="00AD7DC6" w:rsidRDefault="00F05DC7" w:rsidP="00A3786D">
                  <w:pPr>
                    <w:pStyle w:val="TableUnitsRow"/>
                    <w:ind w:right="57"/>
                    <w:rPr>
                      <w:rFonts w:asciiTheme="minorHAnsi" w:hAnsiTheme="minorHAnsi" w:cstheme="minorHAnsi"/>
                      <w:szCs w:val="18"/>
                    </w:rPr>
                  </w:pPr>
                </w:p>
              </w:tc>
              <w:tc>
                <w:tcPr>
                  <w:tcW w:w="343" w:type="pct"/>
                  <w:tcBorders>
                    <w:top w:val="single" w:sz="6" w:space="0" w:color="BFBFBF"/>
                  </w:tcBorders>
                  <w:shd w:val="clear" w:color="auto" w:fill="auto"/>
                  <w:vAlign w:val="bottom"/>
                </w:tcPr>
                <w:p w14:paraId="7954BC6C" w14:textId="77777777" w:rsidR="00F05DC7" w:rsidRPr="00AD7DC6" w:rsidRDefault="00F05DC7" w:rsidP="00A3786D">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vAlign w:val="bottom"/>
                </w:tcPr>
                <w:p w14:paraId="7954BC6D" w14:textId="77777777" w:rsidR="00F05DC7" w:rsidRPr="00AD7DC6" w:rsidRDefault="00F05DC7" w:rsidP="00A3786D">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vAlign w:val="bottom"/>
                </w:tcPr>
                <w:p w14:paraId="7954BC6E" w14:textId="77777777" w:rsidR="00F05DC7" w:rsidRPr="00AD7DC6" w:rsidRDefault="00F05DC7" w:rsidP="00A3786D">
                  <w:pPr>
                    <w:pStyle w:val="TableUnitsRow"/>
                    <w:ind w:right="57"/>
                    <w:rPr>
                      <w:rFonts w:asciiTheme="minorHAnsi" w:hAnsiTheme="minorHAnsi" w:cstheme="minorHAnsi"/>
                      <w:color w:val="000000"/>
                      <w:szCs w:val="18"/>
                    </w:rPr>
                  </w:pPr>
                </w:p>
              </w:tc>
              <w:tc>
                <w:tcPr>
                  <w:tcW w:w="343" w:type="pct"/>
                  <w:tcBorders>
                    <w:top w:val="single" w:sz="6" w:space="0" w:color="BFBFBF"/>
                  </w:tcBorders>
                  <w:shd w:val="clear" w:color="auto" w:fill="auto"/>
                  <w:vAlign w:val="bottom"/>
                </w:tcPr>
                <w:p w14:paraId="7954BC6F" w14:textId="77777777" w:rsidR="00F05DC7" w:rsidRPr="00AD7DC6" w:rsidRDefault="00F05DC7" w:rsidP="00A3786D">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vAlign w:val="bottom"/>
                </w:tcPr>
                <w:p w14:paraId="7954BC70" w14:textId="77777777" w:rsidR="00F05DC7" w:rsidRPr="00AD7DC6" w:rsidRDefault="00F05DC7" w:rsidP="00A3786D">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vAlign w:val="bottom"/>
                </w:tcPr>
                <w:p w14:paraId="7954BC71" w14:textId="77777777" w:rsidR="00F05DC7" w:rsidRPr="00AD7DC6" w:rsidRDefault="00F05DC7" w:rsidP="00A3786D">
                  <w:pPr>
                    <w:pStyle w:val="TableUnitsRow"/>
                    <w:ind w:right="57"/>
                    <w:rPr>
                      <w:rFonts w:asciiTheme="minorHAnsi" w:hAnsiTheme="minorHAnsi" w:cstheme="minorHAnsi"/>
                      <w:color w:val="000000"/>
                      <w:szCs w:val="18"/>
                    </w:rPr>
                  </w:pPr>
                </w:p>
              </w:tc>
              <w:tc>
                <w:tcPr>
                  <w:tcW w:w="343" w:type="pct"/>
                  <w:tcBorders>
                    <w:top w:val="single" w:sz="6" w:space="0" w:color="BFBFBF"/>
                  </w:tcBorders>
                  <w:shd w:val="clear" w:color="auto" w:fill="auto"/>
                  <w:vAlign w:val="bottom"/>
                </w:tcPr>
                <w:p w14:paraId="7954BC72" w14:textId="77777777" w:rsidR="00F05DC7" w:rsidRPr="00AD7DC6" w:rsidRDefault="00F05DC7" w:rsidP="00A3786D">
                  <w:pPr>
                    <w:pStyle w:val="TableUnitsRow"/>
                    <w:ind w:right="57"/>
                    <w:rPr>
                      <w:rFonts w:asciiTheme="minorHAnsi" w:hAnsiTheme="minorHAnsi" w:cstheme="minorHAnsi"/>
                      <w:color w:val="000000"/>
                      <w:szCs w:val="18"/>
                    </w:rPr>
                  </w:pPr>
                </w:p>
              </w:tc>
              <w:tc>
                <w:tcPr>
                  <w:tcW w:w="385" w:type="pct"/>
                  <w:tcBorders>
                    <w:top w:val="single" w:sz="6" w:space="0" w:color="BFBFBF"/>
                  </w:tcBorders>
                  <w:shd w:val="clear" w:color="auto" w:fill="auto"/>
                  <w:vAlign w:val="bottom"/>
                </w:tcPr>
                <w:p w14:paraId="7954BC73" w14:textId="77777777" w:rsidR="00F05DC7" w:rsidRPr="00AD7DC6" w:rsidRDefault="00F05DC7" w:rsidP="00A3786D">
                  <w:pPr>
                    <w:pStyle w:val="TableUnitsRow"/>
                    <w:ind w:right="57"/>
                    <w:rPr>
                      <w:rFonts w:asciiTheme="minorHAnsi" w:hAnsiTheme="minorHAnsi" w:cstheme="minorHAnsi"/>
                      <w:color w:val="000000"/>
                      <w:szCs w:val="18"/>
                    </w:rPr>
                  </w:pPr>
                </w:p>
              </w:tc>
            </w:tr>
            <w:tr w:rsidR="00F05DC7" w:rsidRPr="00AD7DC6" w14:paraId="7954BC80" w14:textId="77777777" w:rsidTr="001113B1">
              <w:trPr>
                <w:trHeight w:val="289"/>
              </w:trPr>
              <w:tc>
                <w:tcPr>
                  <w:tcW w:w="1534" w:type="pct"/>
                  <w:shd w:val="clear" w:color="auto" w:fill="auto"/>
                  <w:vAlign w:val="center"/>
                </w:tcPr>
                <w:p w14:paraId="7954BC75" w14:textId="77777777" w:rsidR="00F05DC7" w:rsidRPr="00AD7DC6" w:rsidRDefault="00F05DC7" w:rsidP="00A3786D">
                  <w:pPr>
                    <w:pStyle w:val="TableBodyText"/>
                    <w:ind w:left="113" w:right="57"/>
                    <w:jc w:val="left"/>
                    <w:rPr>
                      <w:rFonts w:asciiTheme="minorHAnsi" w:hAnsiTheme="minorHAnsi" w:cstheme="minorHAnsi"/>
                      <w:szCs w:val="18"/>
                    </w:rPr>
                  </w:pPr>
                  <w:r w:rsidRPr="00AD7DC6">
                    <w:rPr>
                      <w:rFonts w:asciiTheme="minorHAnsi" w:hAnsiTheme="minorHAnsi" w:cstheme="minorHAnsi"/>
                      <w:color w:val="000000"/>
                      <w:szCs w:val="18"/>
                    </w:rPr>
                    <w:t>Reduction in stamp duty revenue</w:t>
                  </w:r>
                </w:p>
              </w:tc>
              <w:tc>
                <w:tcPr>
                  <w:tcW w:w="342" w:type="pct"/>
                  <w:vAlign w:val="center"/>
                </w:tcPr>
                <w:p w14:paraId="7954BC76" w14:textId="77777777" w:rsidR="00F05DC7" w:rsidRPr="00791D71" w:rsidRDefault="00F05DC7" w:rsidP="00A3786D">
                  <w:pPr>
                    <w:pStyle w:val="TableBodyText"/>
                    <w:ind w:right="57"/>
                  </w:pPr>
                  <w:r w:rsidRPr="00AD7DC6">
                    <w:rPr>
                      <w:rFonts w:asciiTheme="minorHAnsi" w:hAnsiTheme="minorHAnsi" w:cstheme="minorHAnsi"/>
                      <w:color w:val="000000"/>
                      <w:szCs w:val="18"/>
                    </w:rPr>
                    <w:t>(</w:t>
                  </w:r>
                  <w:r>
                    <w:rPr>
                      <w:rFonts w:asciiTheme="minorHAnsi" w:hAnsiTheme="minorHAnsi" w:cstheme="minorHAnsi"/>
                      <w:color w:val="000000"/>
                      <w:szCs w:val="18"/>
                    </w:rPr>
                    <w:t>$m</w:t>
                  </w:r>
                  <w:r w:rsidRPr="00AD7DC6">
                    <w:rPr>
                      <w:rFonts w:asciiTheme="minorHAnsi" w:hAnsiTheme="minorHAnsi" w:cstheme="minorHAnsi"/>
                      <w:color w:val="000000"/>
                      <w:szCs w:val="18"/>
                    </w:rPr>
                    <w:t>)</w:t>
                  </w:r>
                </w:p>
              </w:tc>
              <w:tc>
                <w:tcPr>
                  <w:tcW w:w="342" w:type="pct"/>
                  <w:shd w:val="clear" w:color="auto" w:fill="auto"/>
                  <w:vAlign w:val="center"/>
                </w:tcPr>
                <w:p w14:paraId="7954BC77" w14:textId="77777777" w:rsidR="00F05DC7" w:rsidRPr="00791D71" w:rsidRDefault="00F05DC7" w:rsidP="00A3786D">
                  <w:pPr>
                    <w:pStyle w:val="TableBodyText"/>
                    <w:ind w:right="57"/>
                  </w:pPr>
                  <w:r>
                    <w:t>4 097</w:t>
                  </w:r>
                </w:p>
              </w:tc>
              <w:tc>
                <w:tcPr>
                  <w:tcW w:w="343" w:type="pct"/>
                  <w:shd w:val="clear" w:color="auto" w:fill="auto"/>
                  <w:vAlign w:val="center"/>
                </w:tcPr>
                <w:p w14:paraId="7954BC78" w14:textId="77777777" w:rsidR="00F05DC7" w:rsidRPr="00791D71" w:rsidRDefault="00F05DC7" w:rsidP="00A3786D">
                  <w:pPr>
                    <w:pStyle w:val="TableBodyText"/>
                    <w:ind w:right="57"/>
                  </w:pPr>
                  <w:r>
                    <w:t>2 852</w:t>
                  </w:r>
                </w:p>
              </w:tc>
              <w:tc>
                <w:tcPr>
                  <w:tcW w:w="342" w:type="pct"/>
                  <w:shd w:val="clear" w:color="auto" w:fill="auto"/>
                  <w:vAlign w:val="center"/>
                </w:tcPr>
                <w:p w14:paraId="7954BC79" w14:textId="77777777" w:rsidR="00F05DC7" w:rsidRPr="00791D71" w:rsidRDefault="00F05DC7" w:rsidP="00A3786D">
                  <w:pPr>
                    <w:pStyle w:val="TableBodyText"/>
                    <w:ind w:right="57"/>
                  </w:pPr>
                  <w:r w:rsidRPr="00791D71">
                    <w:t>1</w:t>
                  </w:r>
                  <w:r>
                    <w:t> 593</w:t>
                  </w:r>
                </w:p>
              </w:tc>
              <w:tc>
                <w:tcPr>
                  <w:tcW w:w="342" w:type="pct"/>
                  <w:shd w:val="clear" w:color="auto" w:fill="auto"/>
                  <w:vAlign w:val="center"/>
                </w:tcPr>
                <w:p w14:paraId="7954BC7A" w14:textId="77777777" w:rsidR="00F05DC7" w:rsidRPr="00791D71" w:rsidRDefault="00F05DC7" w:rsidP="00A3786D">
                  <w:pPr>
                    <w:pStyle w:val="TableBodyText"/>
                    <w:ind w:right="57"/>
                  </w:pPr>
                  <w:r>
                    <w:t>608</w:t>
                  </w:r>
                </w:p>
              </w:tc>
              <w:tc>
                <w:tcPr>
                  <w:tcW w:w="343" w:type="pct"/>
                  <w:shd w:val="clear" w:color="auto" w:fill="auto"/>
                  <w:vAlign w:val="center"/>
                </w:tcPr>
                <w:p w14:paraId="7954BC7B" w14:textId="77777777" w:rsidR="00F05DC7" w:rsidRPr="00791D71" w:rsidRDefault="00F05DC7" w:rsidP="00A3786D">
                  <w:pPr>
                    <w:pStyle w:val="TableBodyText"/>
                    <w:ind w:right="57"/>
                  </w:pPr>
                  <w:r w:rsidRPr="00791D71">
                    <w:t>3</w:t>
                  </w:r>
                  <w:r>
                    <w:t>81</w:t>
                  </w:r>
                </w:p>
              </w:tc>
              <w:tc>
                <w:tcPr>
                  <w:tcW w:w="342" w:type="pct"/>
                  <w:shd w:val="clear" w:color="auto" w:fill="auto"/>
                  <w:vAlign w:val="center"/>
                </w:tcPr>
                <w:p w14:paraId="7954BC7C" w14:textId="77777777" w:rsidR="00F05DC7" w:rsidRPr="00791D71" w:rsidRDefault="00F05DC7" w:rsidP="00A3786D">
                  <w:pPr>
                    <w:pStyle w:val="TableBodyText"/>
                    <w:ind w:right="57"/>
                  </w:pPr>
                  <w:r>
                    <w:t>105</w:t>
                  </w:r>
                </w:p>
              </w:tc>
              <w:tc>
                <w:tcPr>
                  <w:tcW w:w="342" w:type="pct"/>
                  <w:shd w:val="clear" w:color="auto" w:fill="auto"/>
                  <w:vAlign w:val="center"/>
                </w:tcPr>
                <w:p w14:paraId="7954BC7D" w14:textId="77777777" w:rsidR="00F05DC7" w:rsidRPr="00791D71" w:rsidRDefault="00F05DC7" w:rsidP="00A3786D">
                  <w:pPr>
                    <w:pStyle w:val="TableBodyText"/>
                    <w:ind w:right="57"/>
                  </w:pPr>
                  <w:r>
                    <w:t>147</w:t>
                  </w:r>
                </w:p>
              </w:tc>
              <w:tc>
                <w:tcPr>
                  <w:tcW w:w="343" w:type="pct"/>
                  <w:shd w:val="clear" w:color="auto" w:fill="auto"/>
                  <w:vAlign w:val="center"/>
                </w:tcPr>
                <w:p w14:paraId="7954BC7E" w14:textId="77777777" w:rsidR="00F05DC7" w:rsidRPr="00791D71" w:rsidRDefault="00F05DC7" w:rsidP="00A3786D">
                  <w:pPr>
                    <w:pStyle w:val="TableBodyText"/>
                    <w:ind w:right="57"/>
                  </w:pPr>
                  <w:r>
                    <w:t>53</w:t>
                  </w:r>
                </w:p>
              </w:tc>
              <w:tc>
                <w:tcPr>
                  <w:tcW w:w="385" w:type="pct"/>
                  <w:shd w:val="clear" w:color="auto" w:fill="auto"/>
                  <w:vAlign w:val="center"/>
                </w:tcPr>
                <w:p w14:paraId="7954BC7F" w14:textId="77777777" w:rsidR="00F05DC7" w:rsidRPr="00791D71" w:rsidRDefault="00F05DC7" w:rsidP="00A3786D">
                  <w:pPr>
                    <w:pStyle w:val="TableBodyText"/>
                    <w:ind w:right="57"/>
                  </w:pPr>
                  <w:r w:rsidRPr="00791D71">
                    <w:t>9</w:t>
                  </w:r>
                  <w:r>
                    <w:t> 836</w:t>
                  </w:r>
                </w:p>
              </w:tc>
            </w:tr>
            <w:tr w:rsidR="00F05DC7" w:rsidRPr="00AD7DC6" w14:paraId="7954BC8C" w14:textId="77777777" w:rsidTr="001113B1">
              <w:trPr>
                <w:trHeight w:val="289"/>
              </w:trPr>
              <w:tc>
                <w:tcPr>
                  <w:tcW w:w="1534" w:type="pct"/>
                  <w:shd w:val="clear" w:color="auto" w:fill="auto"/>
                  <w:vAlign w:val="center"/>
                </w:tcPr>
                <w:p w14:paraId="7954BC81" w14:textId="77777777" w:rsidR="00F05DC7" w:rsidRPr="00AD7DC6" w:rsidRDefault="00F05DC7" w:rsidP="00A3786D">
                  <w:pPr>
                    <w:pStyle w:val="TableBodyText"/>
                    <w:ind w:left="113" w:right="57"/>
                    <w:jc w:val="left"/>
                    <w:rPr>
                      <w:rFonts w:asciiTheme="minorHAnsi" w:hAnsiTheme="minorHAnsi" w:cstheme="minorHAnsi"/>
                      <w:color w:val="000000"/>
                      <w:szCs w:val="18"/>
                    </w:rPr>
                  </w:pPr>
                  <w:r w:rsidRPr="00AD7DC6">
                    <w:rPr>
                      <w:rFonts w:asciiTheme="minorHAnsi" w:hAnsiTheme="minorHAnsi" w:cstheme="minorHAnsi"/>
                      <w:color w:val="000000"/>
                      <w:szCs w:val="18"/>
                    </w:rPr>
                    <w:t>New national average tax rate</w:t>
                  </w:r>
                </w:p>
              </w:tc>
              <w:tc>
                <w:tcPr>
                  <w:tcW w:w="342" w:type="pct"/>
                  <w:vAlign w:val="center"/>
                </w:tcPr>
                <w:p w14:paraId="7954BC82" w14:textId="77777777" w:rsidR="00F05DC7" w:rsidRPr="00791D71" w:rsidRDefault="00F05DC7" w:rsidP="00A3786D">
                  <w:pPr>
                    <w:pStyle w:val="TableBodyText"/>
                    <w:ind w:right="57"/>
                  </w:pPr>
                  <w:r w:rsidRPr="00AD7DC6">
                    <w:rPr>
                      <w:rFonts w:asciiTheme="minorHAnsi" w:hAnsiTheme="minorHAnsi" w:cstheme="minorHAnsi"/>
                      <w:color w:val="000000"/>
                      <w:szCs w:val="18"/>
                    </w:rPr>
                    <w:t>(%)</w:t>
                  </w:r>
                </w:p>
              </w:tc>
              <w:tc>
                <w:tcPr>
                  <w:tcW w:w="342" w:type="pct"/>
                  <w:shd w:val="clear" w:color="auto" w:fill="auto"/>
                  <w:vAlign w:val="center"/>
                </w:tcPr>
                <w:p w14:paraId="7954BC83" w14:textId="77777777" w:rsidR="00F05DC7" w:rsidRPr="00791D71" w:rsidRDefault="00F05DC7" w:rsidP="00A3786D">
                  <w:pPr>
                    <w:pStyle w:val="TableBodyText"/>
                    <w:ind w:right="57"/>
                  </w:pPr>
                  <w:r w:rsidRPr="00791D71">
                    <w:t>3.2</w:t>
                  </w:r>
                </w:p>
              </w:tc>
              <w:tc>
                <w:tcPr>
                  <w:tcW w:w="343" w:type="pct"/>
                  <w:shd w:val="clear" w:color="auto" w:fill="auto"/>
                  <w:vAlign w:val="center"/>
                </w:tcPr>
                <w:p w14:paraId="7954BC84" w14:textId="77777777" w:rsidR="00F05DC7" w:rsidRPr="00791D71" w:rsidRDefault="00F05DC7" w:rsidP="00A3786D">
                  <w:pPr>
                    <w:pStyle w:val="TableBodyText"/>
                    <w:ind w:right="57"/>
                  </w:pPr>
                  <w:r w:rsidRPr="00791D71">
                    <w:t>3.</w:t>
                  </w:r>
                  <w:r>
                    <w:t>4</w:t>
                  </w:r>
                </w:p>
              </w:tc>
              <w:tc>
                <w:tcPr>
                  <w:tcW w:w="342" w:type="pct"/>
                  <w:shd w:val="clear" w:color="auto" w:fill="auto"/>
                  <w:vAlign w:val="center"/>
                </w:tcPr>
                <w:p w14:paraId="7954BC85" w14:textId="77777777" w:rsidR="00F05DC7" w:rsidRPr="00791D71" w:rsidRDefault="00F05DC7" w:rsidP="00A3786D">
                  <w:pPr>
                    <w:pStyle w:val="TableBodyText"/>
                    <w:ind w:right="57"/>
                  </w:pPr>
                  <w:r w:rsidRPr="00791D71">
                    <w:t>3.7</w:t>
                  </w:r>
                </w:p>
              </w:tc>
              <w:tc>
                <w:tcPr>
                  <w:tcW w:w="342" w:type="pct"/>
                  <w:shd w:val="clear" w:color="auto" w:fill="auto"/>
                  <w:vAlign w:val="center"/>
                </w:tcPr>
                <w:p w14:paraId="7954BC86" w14:textId="77777777" w:rsidR="00F05DC7" w:rsidRPr="00791D71" w:rsidRDefault="00F05DC7" w:rsidP="00A3786D">
                  <w:pPr>
                    <w:pStyle w:val="TableBodyText"/>
                    <w:ind w:right="57"/>
                  </w:pPr>
                  <w:r w:rsidRPr="00791D71">
                    <w:t>3.9</w:t>
                  </w:r>
                </w:p>
              </w:tc>
              <w:tc>
                <w:tcPr>
                  <w:tcW w:w="343" w:type="pct"/>
                  <w:shd w:val="clear" w:color="auto" w:fill="auto"/>
                  <w:vAlign w:val="center"/>
                </w:tcPr>
                <w:p w14:paraId="7954BC87" w14:textId="77777777" w:rsidR="00F05DC7" w:rsidRPr="00791D71" w:rsidRDefault="00F05DC7" w:rsidP="00A3786D">
                  <w:pPr>
                    <w:pStyle w:val="TableBodyText"/>
                    <w:ind w:right="57"/>
                  </w:pPr>
                  <w:r w:rsidRPr="00791D71">
                    <w:t>4.0</w:t>
                  </w:r>
                </w:p>
              </w:tc>
              <w:tc>
                <w:tcPr>
                  <w:tcW w:w="342" w:type="pct"/>
                  <w:shd w:val="clear" w:color="auto" w:fill="auto"/>
                  <w:vAlign w:val="center"/>
                </w:tcPr>
                <w:p w14:paraId="7954BC88" w14:textId="77777777" w:rsidR="00F05DC7" w:rsidRPr="00791D71" w:rsidRDefault="00F05DC7" w:rsidP="00A3786D">
                  <w:pPr>
                    <w:pStyle w:val="TableBodyText"/>
                    <w:ind w:right="57"/>
                  </w:pPr>
                  <w:r>
                    <w:t>4.0</w:t>
                  </w:r>
                </w:p>
              </w:tc>
              <w:tc>
                <w:tcPr>
                  <w:tcW w:w="342" w:type="pct"/>
                  <w:shd w:val="clear" w:color="auto" w:fill="auto"/>
                  <w:vAlign w:val="center"/>
                </w:tcPr>
                <w:p w14:paraId="7954BC89" w14:textId="77777777" w:rsidR="00F05DC7" w:rsidRPr="00791D71" w:rsidRDefault="00F05DC7" w:rsidP="00A3786D">
                  <w:pPr>
                    <w:pStyle w:val="TableBodyText"/>
                    <w:ind w:right="57"/>
                  </w:pPr>
                  <w:r>
                    <w:t>4.0</w:t>
                  </w:r>
                </w:p>
              </w:tc>
              <w:tc>
                <w:tcPr>
                  <w:tcW w:w="343" w:type="pct"/>
                  <w:shd w:val="clear" w:color="auto" w:fill="auto"/>
                  <w:vAlign w:val="center"/>
                </w:tcPr>
                <w:p w14:paraId="7954BC8A" w14:textId="77777777" w:rsidR="00F05DC7" w:rsidRPr="00791D71" w:rsidRDefault="00F05DC7" w:rsidP="00A3786D">
                  <w:pPr>
                    <w:pStyle w:val="TableBodyText"/>
                    <w:ind w:right="57"/>
                  </w:pPr>
                  <w:r>
                    <w:t>4.0</w:t>
                  </w:r>
                </w:p>
              </w:tc>
              <w:tc>
                <w:tcPr>
                  <w:tcW w:w="385" w:type="pct"/>
                  <w:shd w:val="clear" w:color="auto" w:fill="auto"/>
                  <w:vAlign w:val="center"/>
                </w:tcPr>
                <w:p w14:paraId="7954BC8B" w14:textId="77777777" w:rsidR="00F05DC7" w:rsidRPr="00791D71" w:rsidRDefault="00F05DC7" w:rsidP="00A3786D">
                  <w:pPr>
                    <w:pStyle w:val="TableBodyText"/>
                    <w:ind w:right="57"/>
                  </w:pPr>
                  <w:r w:rsidRPr="00791D71">
                    <w:t>2.0</w:t>
                  </w:r>
                </w:p>
              </w:tc>
            </w:tr>
            <w:tr w:rsidR="00F05DC7" w:rsidRPr="00AD7DC6" w14:paraId="7954BC98" w14:textId="77777777" w:rsidTr="001113B1">
              <w:trPr>
                <w:trHeight w:val="289"/>
              </w:trPr>
              <w:tc>
                <w:tcPr>
                  <w:tcW w:w="1534" w:type="pct"/>
                  <w:shd w:val="clear" w:color="auto" w:fill="auto"/>
                  <w:vAlign w:val="center"/>
                </w:tcPr>
                <w:p w14:paraId="7954BC8D" w14:textId="77777777" w:rsidR="00F05DC7" w:rsidRPr="000547F5" w:rsidRDefault="00F05DC7" w:rsidP="00A3786D">
                  <w:pPr>
                    <w:spacing w:before="80"/>
                    <w:ind w:right="57"/>
                    <w:rPr>
                      <w:rFonts w:asciiTheme="minorHAnsi" w:hAnsiTheme="minorHAnsi" w:cstheme="minorHAnsi"/>
                      <w:b/>
                      <w:color w:val="000000"/>
                      <w:szCs w:val="18"/>
                    </w:rPr>
                  </w:pPr>
                  <w:r w:rsidRPr="00A6143F">
                    <w:rPr>
                      <w:rFonts w:asciiTheme="minorHAnsi" w:hAnsiTheme="minorHAnsi" w:cstheme="minorHAnsi"/>
                      <w:b/>
                      <w:color w:val="000000"/>
                      <w:sz w:val="18"/>
                      <w:szCs w:val="18"/>
                    </w:rPr>
                    <w:t>Upper-bound</w:t>
                  </w:r>
                </w:p>
              </w:tc>
              <w:tc>
                <w:tcPr>
                  <w:tcW w:w="342" w:type="pct"/>
                  <w:vAlign w:val="center"/>
                </w:tcPr>
                <w:p w14:paraId="7954BC8E" w14:textId="77777777" w:rsidR="00F05DC7" w:rsidRPr="00791D71" w:rsidRDefault="00F05DC7" w:rsidP="00A3786D">
                  <w:pPr>
                    <w:pStyle w:val="TableBodyText"/>
                    <w:ind w:right="57"/>
                  </w:pPr>
                </w:p>
              </w:tc>
              <w:tc>
                <w:tcPr>
                  <w:tcW w:w="342" w:type="pct"/>
                  <w:shd w:val="clear" w:color="auto" w:fill="auto"/>
                  <w:vAlign w:val="center"/>
                </w:tcPr>
                <w:p w14:paraId="7954BC8F" w14:textId="77777777" w:rsidR="00F05DC7" w:rsidRPr="00791D71" w:rsidRDefault="00F05DC7" w:rsidP="00A3786D">
                  <w:pPr>
                    <w:pStyle w:val="TableBodyText"/>
                    <w:ind w:right="57"/>
                  </w:pPr>
                </w:p>
              </w:tc>
              <w:tc>
                <w:tcPr>
                  <w:tcW w:w="343" w:type="pct"/>
                  <w:shd w:val="clear" w:color="auto" w:fill="auto"/>
                  <w:vAlign w:val="center"/>
                </w:tcPr>
                <w:p w14:paraId="7954BC90" w14:textId="77777777" w:rsidR="00F05DC7" w:rsidRPr="00791D71" w:rsidRDefault="00F05DC7" w:rsidP="00A3786D">
                  <w:pPr>
                    <w:pStyle w:val="TableBodyText"/>
                    <w:ind w:right="57"/>
                  </w:pPr>
                </w:p>
              </w:tc>
              <w:tc>
                <w:tcPr>
                  <w:tcW w:w="342" w:type="pct"/>
                  <w:shd w:val="clear" w:color="auto" w:fill="auto"/>
                  <w:vAlign w:val="center"/>
                </w:tcPr>
                <w:p w14:paraId="7954BC91" w14:textId="77777777" w:rsidR="00F05DC7" w:rsidRPr="00791D71" w:rsidRDefault="00F05DC7" w:rsidP="00A3786D">
                  <w:pPr>
                    <w:pStyle w:val="TableBodyText"/>
                    <w:ind w:right="57"/>
                  </w:pPr>
                </w:p>
              </w:tc>
              <w:tc>
                <w:tcPr>
                  <w:tcW w:w="342" w:type="pct"/>
                  <w:shd w:val="clear" w:color="auto" w:fill="auto"/>
                  <w:vAlign w:val="center"/>
                </w:tcPr>
                <w:p w14:paraId="7954BC92" w14:textId="77777777" w:rsidR="00F05DC7" w:rsidRPr="00791D71" w:rsidRDefault="00F05DC7" w:rsidP="00A3786D">
                  <w:pPr>
                    <w:pStyle w:val="TableBodyText"/>
                    <w:ind w:right="57"/>
                  </w:pPr>
                </w:p>
              </w:tc>
              <w:tc>
                <w:tcPr>
                  <w:tcW w:w="343" w:type="pct"/>
                  <w:shd w:val="clear" w:color="auto" w:fill="auto"/>
                  <w:vAlign w:val="center"/>
                </w:tcPr>
                <w:p w14:paraId="7954BC93" w14:textId="77777777" w:rsidR="00F05DC7" w:rsidRPr="00791D71" w:rsidRDefault="00F05DC7" w:rsidP="00A3786D">
                  <w:pPr>
                    <w:pStyle w:val="TableBodyText"/>
                    <w:ind w:right="57"/>
                  </w:pPr>
                </w:p>
              </w:tc>
              <w:tc>
                <w:tcPr>
                  <w:tcW w:w="342" w:type="pct"/>
                  <w:shd w:val="clear" w:color="auto" w:fill="auto"/>
                  <w:vAlign w:val="center"/>
                </w:tcPr>
                <w:p w14:paraId="7954BC94" w14:textId="77777777" w:rsidR="00F05DC7" w:rsidRPr="00791D71" w:rsidRDefault="00F05DC7" w:rsidP="00A3786D">
                  <w:pPr>
                    <w:pStyle w:val="TableBodyText"/>
                    <w:ind w:right="57"/>
                  </w:pPr>
                </w:p>
              </w:tc>
              <w:tc>
                <w:tcPr>
                  <w:tcW w:w="342" w:type="pct"/>
                  <w:shd w:val="clear" w:color="auto" w:fill="auto"/>
                  <w:vAlign w:val="center"/>
                </w:tcPr>
                <w:p w14:paraId="7954BC95" w14:textId="77777777" w:rsidR="00F05DC7" w:rsidRPr="00791D71" w:rsidRDefault="00F05DC7" w:rsidP="00A3786D">
                  <w:pPr>
                    <w:pStyle w:val="TableBodyText"/>
                    <w:ind w:right="57"/>
                  </w:pPr>
                </w:p>
              </w:tc>
              <w:tc>
                <w:tcPr>
                  <w:tcW w:w="343" w:type="pct"/>
                  <w:shd w:val="clear" w:color="auto" w:fill="auto"/>
                  <w:vAlign w:val="center"/>
                </w:tcPr>
                <w:p w14:paraId="7954BC96" w14:textId="77777777" w:rsidR="00F05DC7" w:rsidRPr="00791D71" w:rsidRDefault="00F05DC7" w:rsidP="00A3786D">
                  <w:pPr>
                    <w:pStyle w:val="TableBodyText"/>
                    <w:ind w:right="57"/>
                  </w:pPr>
                </w:p>
              </w:tc>
              <w:tc>
                <w:tcPr>
                  <w:tcW w:w="385" w:type="pct"/>
                  <w:shd w:val="clear" w:color="auto" w:fill="auto"/>
                  <w:vAlign w:val="center"/>
                </w:tcPr>
                <w:p w14:paraId="7954BC97" w14:textId="77777777" w:rsidR="00F05DC7" w:rsidRPr="00791D71" w:rsidRDefault="00F05DC7" w:rsidP="00A3786D">
                  <w:pPr>
                    <w:pStyle w:val="TableBodyText"/>
                    <w:ind w:right="57"/>
                  </w:pPr>
                </w:p>
              </w:tc>
            </w:tr>
            <w:tr w:rsidR="00F05DC7" w:rsidRPr="00AD7DC6" w14:paraId="7954BCA4" w14:textId="77777777" w:rsidTr="001113B1">
              <w:trPr>
                <w:trHeight w:val="289"/>
              </w:trPr>
              <w:tc>
                <w:tcPr>
                  <w:tcW w:w="1534" w:type="pct"/>
                  <w:shd w:val="clear" w:color="auto" w:fill="auto"/>
                  <w:vAlign w:val="center"/>
                </w:tcPr>
                <w:p w14:paraId="7954BC99" w14:textId="77777777" w:rsidR="00F05DC7" w:rsidRPr="00AD7DC6" w:rsidRDefault="00F05DC7" w:rsidP="00A3786D">
                  <w:pPr>
                    <w:pStyle w:val="TableBodyText"/>
                    <w:ind w:left="113" w:right="57"/>
                    <w:jc w:val="left"/>
                    <w:rPr>
                      <w:rFonts w:asciiTheme="minorHAnsi" w:hAnsiTheme="minorHAnsi" w:cstheme="minorHAnsi"/>
                      <w:color w:val="000000"/>
                      <w:szCs w:val="18"/>
                    </w:rPr>
                  </w:pPr>
                  <w:r w:rsidRPr="00AD7DC6">
                    <w:rPr>
                      <w:rFonts w:asciiTheme="minorHAnsi" w:hAnsiTheme="minorHAnsi" w:cstheme="minorHAnsi"/>
                      <w:color w:val="000000"/>
                      <w:szCs w:val="18"/>
                    </w:rPr>
                    <w:t>Reduction in stamp duty revenue</w:t>
                  </w:r>
                </w:p>
              </w:tc>
              <w:tc>
                <w:tcPr>
                  <w:tcW w:w="342" w:type="pct"/>
                  <w:vAlign w:val="center"/>
                </w:tcPr>
                <w:p w14:paraId="7954BC9A" w14:textId="77777777" w:rsidR="00F05DC7" w:rsidRPr="00791D71" w:rsidRDefault="00F05DC7" w:rsidP="00A3786D">
                  <w:pPr>
                    <w:pStyle w:val="TableBodyText"/>
                    <w:ind w:right="57"/>
                  </w:pPr>
                  <w:r w:rsidRPr="00AD7DC6">
                    <w:rPr>
                      <w:rFonts w:asciiTheme="minorHAnsi" w:hAnsiTheme="minorHAnsi" w:cstheme="minorHAnsi"/>
                      <w:color w:val="000000"/>
                      <w:szCs w:val="18"/>
                    </w:rPr>
                    <w:t>(</w:t>
                  </w:r>
                  <w:r>
                    <w:rPr>
                      <w:rFonts w:asciiTheme="minorHAnsi" w:hAnsiTheme="minorHAnsi" w:cstheme="minorHAnsi"/>
                      <w:color w:val="000000"/>
                      <w:szCs w:val="18"/>
                    </w:rPr>
                    <w:t>$m</w:t>
                  </w:r>
                  <w:r w:rsidRPr="00AD7DC6">
                    <w:rPr>
                      <w:rFonts w:asciiTheme="minorHAnsi" w:hAnsiTheme="minorHAnsi" w:cstheme="minorHAnsi"/>
                      <w:color w:val="000000"/>
                      <w:szCs w:val="18"/>
                    </w:rPr>
                    <w:t>)</w:t>
                  </w:r>
                </w:p>
              </w:tc>
              <w:tc>
                <w:tcPr>
                  <w:tcW w:w="342" w:type="pct"/>
                  <w:shd w:val="clear" w:color="auto" w:fill="auto"/>
                  <w:vAlign w:val="center"/>
                </w:tcPr>
                <w:p w14:paraId="7954BC9B" w14:textId="77777777" w:rsidR="00F05DC7" w:rsidRPr="00791D71" w:rsidRDefault="00F05DC7" w:rsidP="00A3786D">
                  <w:pPr>
                    <w:pStyle w:val="TableBodyText"/>
                    <w:ind w:right="57"/>
                  </w:pPr>
                  <w:r>
                    <w:t>3 033</w:t>
                  </w:r>
                </w:p>
              </w:tc>
              <w:tc>
                <w:tcPr>
                  <w:tcW w:w="343" w:type="pct"/>
                  <w:shd w:val="clear" w:color="auto" w:fill="auto"/>
                  <w:vAlign w:val="center"/>
                </w:tcPr>
                <w:p w14:paraId="7954BC9C" w14:textId="77777777" w:rsidR="00F05DC7" w:rsidRPr="00791D71" w:rsidRDefault="00F05DC7" w:rsidP="00A3786D">
                  <w:pPr>
                    <w:pStyle w:val="TableBodyText"/>
                    <w:ind w:right="57"/>
                  </w:pPr>
                  <w:r w:rsidRPr="00791D71">
                    <w:t>2</w:t>
                  </w:r>
                  <w:r>
                    <w:t> 111</w:t>
                  </w:r>
                </w:p>
              </w:tc>
              <w:tc>
                <w:tcPr>
                  <w:tcW w:w="342" w:type="pct"/>
                  <w:shd w:val="clear" w:color="auto" w:fill="auto"/>
                  <w:vAlign w:val="center"/>
                </w:tcPr>
                <w:p w14:paraId="7954BC9D" w14:textId="77777777" w:rsidR="00F05DC7" w:rsidRPr="00791D71" w:rsidRDefault="00F05DC7" w:rsidP="00A3786D">
                  <w:pPr>
                    <w:pStyle w:val="TableBodyText"/>
                    <w:ind w:right="57"/>
                  </w:pPr>
                  <w:r w:rsidRPr="00791D71">
                    <w:t>1</w:t>
                  </w:r>
                  <w:r>
                    <w:t> 180</w:t>
                  </w:r>
                </w:p>
              </w:tc>
              <w:tc>
                <w:tcPr>
                  <w:tcW w:w="342" w:type="pct"/>
                  <w:shd w:val="clear" w:color="auto" w:fill="auto"/>
                  <w:vAlign w:val="center"/>
                </w:tcPr>
                <w:p w14:paraId="7954BC9E" w14:textId="77777777" w:rsidR="00F05DC7" w:rsidRPr="00791D71" w:rsidRDefault="00F05DC7" w:rsidP="00A3786D">
                  <w:pPr>
                    <w:pStyle w:val="TableBodyText"/>
                    <w:ind w:right="57"/>
                  </w:pPr>
                  <w:r>
                    <w:t>450</w:t>
                  </w:r>
                </w:p>
              </w:tc>
              <w:tc>
                <w:tcPr>
                  <w:tcW w:w="343" w:type="pct"/>
                  <w:shd w:val="clear" w:color="auto" w:fill="auto"/>
                  <w:vAlign w:val="center"/>
                </w:tcPr>
                <w:p w14:paraId="7954BC9F" w14:textId="77777777" w:rsidR="00F05DC7" w:rsidRPr="00791D71" w:rsidRDefault="00F05DC7" w:rsidP="00A3786D">
                  <w:pPr>
                    <w:pStyle w:val="TableBodyText"/>
                    <w:ind w:right="57"/>
                  </w:pPr>
                  <w:r>
                    <w:t>282</w:t>
                  </w:r>
                </w:p>
              </w:tc>
              <w:tc>
                <w:tcPr>
                  <w:tcW w:w="342" w:type="pct"/>
                  <w:shd w:val="clear" w:color="auto" w:fill="auto"/>
                  <w:vAlign w:val="center"/>
                </w:tcPr>
                <w:p w14:paraId="7954BCA0" w14:textId="77777777" w:rsidR="00F05DC7" w:rsidRPr="00791D71" w:rsidRDefault="00F05DC7" w:rsidP="00A3786D">
                  <w:pPr>
                    <w:pStyle w:val="TableBodyText"/>
                    <w:ind w:right="57"/>
                  </w:pPr>
                  <w:r>
                    <w:t>77</w:t>
                  </w:r>
                </w:p>
              </w:tc>
              <w:tc>
                <w:tcPr>
                  <w:tcW w:w="342" w:type="pct"/>
                  <w:shd w:val="clear" w:color="auto" w:fill="auto"/>
                  <w:vAlign w:val="center"/>
                </w:tcPr>
                <w:p w14:paraId="7954BCA1" w14:textId="77777777" w:rsidR="00F05DC7" w:rsidRPr="00791D71" w:rsidRDefault="00F05DC7" w:rsidP="00A3786D">
                  <w:pPr>
                    <w:pStyle w:val="TableBodyText"/>
                    <w:ind w:right="57"/>
                  </w:pPr>
                  <w:r>
                    <w:t>109</w:t>
                  </w:r>
                </w:p>
              </w:tc>
              <w:tc>
                <w:tcPr>
                  <w:tcW w:w="343" w:type="pct"/>
                  <w:shd w:val="clear" w:color="auto" w:fill="auto"/>
                  <w:vAlign w:val="center"/>
                </w:tcPr>
                <w:p w14:paraId="7954BCA2" w14:textId="77777777" w:rsidR="00F05DC7" w:rsidRPr="00791D71" w:rsidRDefault="00F05DC7" w:rsidP="00A3786D">
                  <w:pPr>
                    <w:pStyle w:val="TableBodyText"/>
                    <w:ind w:right="57"/>
                  </w:pPr>
                  <w:r>
                    <w:t>39</w:t>
                  </w:r>
                </w:p>
              </w:tc>
              <w:tc>
                <w:tcPr>
                  <w:tcW w:w="385" w:type="pct"/>
                  <w:shd w:val="clear" w:color="auto" w:fill="auto"/>
                  <w:vAlign w:val="center"/>
                </w:tcPr>
                <w:p w14:paraId="7954BCA3" w14:textId="77777777" w:rsidR="00F05DC7" w:rsidRPr="00791D71" w:rsidRDefault="00F05DC7" w:rsidP="00A3786D">
                  <w:pPr>
                    <w:pStyle w:val="TableBodyText"/>
                    <w:ind w:right="57"/>
                  </w:pPr>
                  <w:r w:rsidRPr="00791D71">
                    <w:t>7</w:t>
                  </w:r>
                  <w:r>
                    <w:t> 282</w:t>
                  </w:r>
                </w:p>
              </w:tc>
            </w:tr>
            <w:tr w:rsidR="00F05DC7" w:rsidRPr="00AD7DC6" w14:paraId="7954BCB0" w14:textId="77777777" w:rsidTr="001113B1">
              <w:trPr>
                <w:trHeight w:val="289"/>
              </w:trPr>
              <w:tc>
                <w:tcPr>
                  <w:tcW w:w="1534" w:type="pct"/>
                  <w:tcBorders>
                    <w:bottom w:val="single" w:sz="6" w:space="0" w:color="BFBFBF"/>
                  </w:tcBorders>
                  <w:shd w:val="clear" w:color="auto" w:fill="auto"/>
                  <w:vAlign w:val="center"/>
                </w:tcPr>
                <w:p w14:paraId="7954BCA5" w14:textId="77777777" w:rsidR="00F05DC7" w:rsidRPr="00AD7DC6" w:rsidRDefault="00F05DC7" w:rsidP="00A3786D">
                  <w:pPr>
                    <w:pStyle w:val="TableBodyText"/>
                    <w:ind w:left="113" w:right="57"/>
                    <w:jc w:val="left"/>
                    <w:rPr>
                      <w:rFonts w:asciiTheme="minorHAnsi" w:hAnsiTheme="minorHAnsi" w:cstheme="minorHAnsi"/>
                      <w:color w:val="000000"/>
                      <w:szCs w:val="18"/>
                    </w:rPr>
                  </w:pPr>
                  <w:r w:rsidRPr="00AD7DC6">
                    <w:rPr>
                      <w:rFonts w:asciiTheme="minorHAnsi" w:hAnsiTheme="minorHAnsi" w:cstheme="minorHAnsi"/>
                      <w:color w:val="000000"/>
                      <w:szCs w:val="18"/>
                    </w:rPr>
                    <w:t>New national average tax rate</w:t>
                  </w:r>
                </w:p>
              </w:tc>
              <w:tc>
                <w:tcPr>
                  <w:tcW w:w="342" w:type="pct"/>
                  <w:tcBorders>
                    <w:bottom w:val="single" w:sz="6" w:space="0" w:color="BFBFBF"/>
                  </w:tcBorders>
                  <w:vAlign w:val="center"/>
                </w:tcPr>
                <w:p w14:paraId="7954BCA6" w14:textId="77777777" w:rsidR="00F05DC7" w:rsidRPr="00791D71" w:rsidRDefault="00F05DC7" w:rsidP="00A3786D">
                  <w:pPr>
                    <w:pStyle w:val="TableBodyText"/>
                    <w:ind w:right="57"/>
                  </w:pPr>
                  <w:r w:rsidRPr="00AD7DC6">
                    <w:rPr>
                      <w:rFonts w:asciiTheme="minorHAnsi" w:hAnsiTheme="minorHAnsi" w:cstheme="minorHAnsi"/>
                      <w:color w:val="000000"/>
                      <w:szCs w:val="18"/>
                    </w:rPr>
                    <w:t>(%)</w:t>
                  </w:r>
                </w:p>
              </w:tc>
              <w:tc>
                <w:tcPr>
                  <w:tcW w:w="342" w:type="pct"/>
                  <w:tcBorders>
                    <w:bottom w:val="single" w:sz="6" w:space="0" w:color="BFBFBF"/>
                  </w:tcBorders>
                  <w:shd w:val="clear" w:color="auto" w:fill="auto"/>
                  <w:vAlign w:val="center"/>
                </w:tcPr>
                <w:p w14:paraId="7954BCA7" w14:textId="77777777" w:rsidR="00F05DC7" w:rsidRPr="00791D71" w:rsidRDefault="00F05DC7" w:rsidP="00A3786D">
                  <w:pPr>
                    <w:pStyle w:val="TableBodyText"/>
                    <w:ind w:right="57"/>
                  </w:pPr>
                  <w:r w:rsidRPr="00791D71">
                    <w:t>3.1</w:t>
                  </w:r>
                </w:p>
              </w:tc>
              <w:tc>
                <w:tcPr>
                  <w:tcW w:w="343" w:type="pct"/>
                  <w:tcBorders>
                    <w:bottom w:val="single" w:sz="6" w:space="0" w:color="BFBFBF"/>
                  </w:tcBorders>
                  <w:shd w:val="clear" w:color="auto" w:fill="auto"/>
                  <w:vAlign w:val="center"/>
                </w:tcPr>
                <w:p w14:paraId="7954BCA8" w14:textId="77777777" w:rsidR="00F05DC7" w:rsidRPr="00791D71" w:rsidRDefault="00F05DC7" w:rsidP="00A3786D">
                  <w:pPr>
                    <w:pStyle w:val="TableBodyText"/>
                    <w:ind w:right="57"/>
                  </w:pPr>
                  <w:r w:rsidRPr="00791D71">
                    <w:t>3.4</w:t>
                  </w:r>
                </w:p>
              </w:tc>
              <w:tc>
                <w:tcPr>
                  <w:tcW w:w="342" w:type="pct"/>
                  <w:tcBorders>
                    <w:bottom w:val="single" w:sz="6" w:space="0" w:color="BFBFBF"/>
                  </w:tcBorders>
                  <w:shd w:val="clear" w:color="auto" w:fill="auto"/>
                  <w:vAlign w:val="center"/>
                </w:tcPr>
                <w:p w14:paraId="7954BCA9" w14:textId="77777777" w:rsidR="00F05DC7" w:rsidRPr="00791D71" w:rsidRDefault="00F05DC7" w:rsidP="00A3786D">
                  <w:pPr>
                    <w:pStyle w:val="TableBodyText"/>
                    <w:ind w:right="57"/>
                  </w:pPr>
                  <w:r w:rsidRPr="00791D71">
                    <w:t>3.</w:t>
                  </w:r>
                  <w:r>
                    <w:t>6</w:t>
                  </w:r>
                </w:p>
              </w:tc>
              <w:tc>
                <w:tcPr>
                  <w:tcW w:w="342" w:type="pct"/>
                  <w:tcBorders>
                    <w:bottom w:val="single" w:sz="6" w:space="0" w:color="BFBFBF"/>
                  </w:tcBorders>
                  <w:shd w:val="clear" w:color="auto" w:fill="auto"/>
                  <w:vAlign w:val="center"/>
                </w:tcPr>
                <w:p w14:paraId="7954BCAA" w14:textId="77777777" w:rsidR="00F05DC7" w:rsidRPr="00791D71" w:rsidRDefault="00F05DC7" w:rsidP="00A3786D">
                  <w:pPr>
                    <w:pStyle w:val="TableBodyText"/>
                    <w:ind w:right="57"/>
                  </w:pPr>
                  <w:r w:rsidRPr="00791D71">
                    <w:t>3.9</w:t>
                  </w:r>
                </w:p>
              </w:tc>
              <w:tc>
                <w:tcPr>
                  <w:tcW w:w="343" w:type="pct"/>
                  <w:tcBorders>
                    <w:bottom w:val="single" w:sz="6" w:space="0" w:color="BFBFBF"/>
                  </w:tcBorders>
                  <w:shd w:val="clear" w:color="auto" w:fill="auto"/>
                  <w:vAlign w:val="center"/>
                </w:tcPr>
                <w:p w14:paraId="7954BCAB" w14:textId="77777777" w:rsidR="00F05DC7" w:rsidRPr="00791D71" w:rsidRDefault="00F05DC7" w:rsidP="00A3786D">
                  <w:pPr>
                    <w:pStyle w:val="TableBodyText"/>
                    <w:ind w:right="57"/>
                  </w:pPr>
                  <w:r w:rsidRPr="00791D71">
                    <w:t>4.0</w:t>
                  </w:r>
                </w:p>
              </w:tc>
              <w:tc>
                <w:tcPr>
                  <w:tcW w:w="342" w:type="pct"/>
                  <w:tcBorders>
                    <w:bottom w:val="single" w:sz="6" w:space="0" w:color="BFBFBF"/>
                  </w:tcBorders>
                  <w:shd w:val="clear" w:color="auto" w:fill="auto"/>
                  <w:vAlign w:val="center"/>
                </w:tcPr>
                <w:p w14:paraId="7954BCAC" w14:textId="77777777" w:rsidR="00F05DC7" w:rsidRPr="00791D71" w:rsidRDefault="00F05DC7" w:rsidP="00A3786D">
                  <w:pPr>
                    <w:pStyle w:val="TableBodyText"/>
                    <w:ind w:right="57"/>
                  </w:pPr>
                  <w:r>
                    <w:t>4.0</w:t>
                  </w:r>
                </w:p>
              </w:tc>
              <w:tc>
                <w:tcPr>
                  <w:tcW w:w="342" w:type="pct"/>
                  <w:tcBorders>
                    <w:bottom w:val="single" w:sz="6" w:space="0" w:color="BFBFBF"/>
                  </w:tcBorders>
                  <w:shd w:val="clear" w:color="auto" w:fill="auto"/>
                  <w:vAlign w:val="center"/>
                </w:tcPr>
                <w:p w14:paraId="7954BCAD" w14:textId="77777777" w:rsidR="00F05DC7" w:rsidRPr="00791D71" w:rsidRDefault="00F05DC7" w:rsidP="00A3786D">
                  <w:pPr>
                    <w:pStyle w:val="TableBodyText"/>
                    <w:ind w:right="57"/>
                  </w:pPr>
                  <w:r w:rsidRPr="00791D71">
                    <w:t>4.0</w:t>
                  </w:r>
                </w:p>
              </w:tc>
              <w:tc>
                <w:tcPr>
                  <w:tcW w:w="343" w:type="pct"/>
                  <w:tcBorders>
                    <w:bottom w:val="single" w:sz="6" w:space="0" w:color="BFBFBF"/>
                  </w:tcBorders>
                  <w:shd w:val="clear" w:color="auto" w:fill="auto"/>
                  <w:vAlign w:val="center"/>
                </w:tcPr>
                <w:p w14:paraId="7954BCAE" w14:textId="77777777" w:rsidR="00F05DC7" w:rsidRPr="00791D71" w:rsidRDefault="00F05DC7" w:rsidP="00A3786D">
                  <w:pPr>
                    <w:pStyle w:val="TableBodyText"/>
                    <w:ind w:right="57"/>
                  </w:pPr>
                  <w:r>
                    <w:t>4.0</w:t>
                  </w:r>
                </w:p>
              </w:tc>
              <w:tc>
                <w:tcPr>
                  <w:tcW w:w="385" w:type="pct"/>
                  <w:tcBorders>
                    <w:bottom w:val="single" w:sz="6" w:space="0" w:color="BFBFBF"/>
                  </w:tcBorders>
                  <w:shd w:val="clear" w:color="auto" w:fill="auto"/>
                  <w:vAlign w:val="center"/>
                </w:tcPr>
                <w:p w14:paraId="7954BCAF" w14:textId="77777777" w:rsidR="00F05DC7" w:rsidRPr="00791D71" w:rsidRDefault="00F05DC7" w:rsidP="00A3786D">
                  <w:pPr>
                    <w:pStyle w:val="TableBodyText"/>
                    <w:ind w:right="57"/>
                  </w:pPr>
                  <w:r w:rsidRPr="00791D71">
                    <w:t>2.0</w:t>
                  </w:r>
                </w:p>
              </w:tc>
            </w:tr>
          </w:tbl>
          <w:p w14:paraId="7954BCB1" w14:textId="77777777" w:rsidR="00F05DC7" w:rsidRDefault="00F05DC7" w:rsidP="00A3786D">
            <w:pPr>
              <w:pStyle w:val="Box"/>
            </w:pPr>
          </w:p>
        </w:tc>
      </w:tr>
      <w:tr w:rsidR="00F05DC7" w14:paraId="7954BCB4" w14:textId="77777777" w:rsidTr="00A3786D">
        <w:tc>
          <w:tcPr>
            <w:tcW w:w="5000" w:type="pct"/>
            <w:tcBorders>
              <w:top w:val="nil"/>
              <w:left w:val="nil"/>
              <w:bottom w:val="nil"/>
              <w:right w:val="nil"/>
            </w:tcBorders>
            <w:shd w:val="clear" w:color="auto" w:fill="auto"/>
          </w:tcPr>
          <w:p w14:paraId="7954BCB3" w14:textId="77777777" w:rsidR="00F05DC7" w:rsidRDefault="00F05DC7" w:rsidP="00A3786D">
            <w:pPr>
              <w:pStyle w:val="Note"/>
              <w:rPr>
                <w:i/>
              </w:rPr>
            </w:pPr>
            <w:r w:rsidRPr="008E77FE">
              <w:rPr>
                <w:rStyle w:val="NoteLabel"/>
              </w:rPr>
              <w:t>a</w:t>
            </w:r>
            <w:r>
              <w:t xml:space="preserve"> State columns show the effect of each State unilaterally halving Stamp duty. ‘All States’ shows the effect if all States halve their stamp duty. Lower and upper bounds refer to the elasticity estimates used to calculate changes in the tax base.</w:t>
            </w:r>
          </w:p>
        </w:tc>
      </w:tr>
      <w:tr w:rsidR="00F05DC7" w14:paraId="7954BCB6" w14:textId="77777777" w:rsidTr="00A3786D">
        <w:tc>
          <w:tcPr>
            <w:tcW w:w="5000" w:type="pct"/>
            <w:tcBorders>
              <w:top w:val="nil"/>
              <w:left w:val="nil"/>
              <w:bottom w:val="nil"/>
              <w:right w:val="nil"/>
            </w:tcBorders>
            <w:shd w:val="clear" w:color="auto" w:fill="auto"/>
          </w:tcPr>
          <w:p w14:paraId="7954BCB5"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CB8" w14:textId="77777777" w:rsidTr="00A3786D">
        <w:tc>
          <w:tcPr>
            <w:tcW w:w="5000" w:type="pct"/>
            <w:tcBorders>
              <w:top w:val="nil"/>
              <w:left w:val="nil"/>
              <w:bottom w:val="single" w:sz="6" w:space="0" w:color="78A22F"/>
              <w:right w:val="nil"/>
            </w:tcBorders>
            <w:shd w:val="clear" w:color="auto" w:fill="auto"/>
          </w:tcPr>
          <w:p w14:paraId="7954BCB7" w14:textId="77777777" w:rsidR="00F05DC7" w:rsidRDefault="00F05DC7" w:rsidP="00A3786D">
            <w:pPr>
              <w:pStyle w:val="Box"/>
              <w:spacing w:before="0" w:line="120" w:lineRule="exact"/>
            </w:pPr>
          </w:p>
        </w:tc>
      </w:tr>
      <w:tr w:rsidR="00F05DC7" w:rsidRPr="000863A5" w14:paraId="7954BCBA" w14:textId="77777777" w:rsidTr="00A3786D">
        <w:tc>
          <w:tcPr>
            <w:tcW w:w="5000" w:type="pct"/>
            <w:tcBorders>
              <w:top w:val="single" w:sz="6" w:space="0" w:color="78A22F"/>
              <w:left w:val="nil"/>
              <w:bottom w:val="nil"/>
              <w:right w:val="nil"/>
            </w:tcBorders>
          </w:tcPr>
          <w:p w14:paraId="7954BCB9" w14:textId="77777777" w:rsidR="00F05DC7" w:rsidRPr="00626D32" w:rsidRDefault="00F05DC7" w:rsidP="00A3786D">
            <w:pPr>
              <w:pStyle w:val="BoxSpaceBelow"/>
            </w:pPr>
          </w:p>
        </w:tc>
      </w:tr>
    </w:tbl>
    <w:p w14:paraId="7954BCBB" w14:textId="77777777" w:rsidR="00F05DC7" w:rsidRDefault="00F05DC7" w:rsidP="00A3786D">
      <w:pPr>
        <w:pStyle w:val="BodyText"/>
      </w:pPr>
      <w:r>
        <w:t xml:space="preserve">A </w:t>
      </w:r>
      <w:r w:rsidRPr="00491F09">
        <w:rPr>
          <w:i/>
        </w:rPr>
        <w:t>reduction</w:t>
      </w:r>
      <w:r>
        <w:t xml:space="preserve"> in the stamp duty rate would therefore increase the number of property transactions that would occur in the State (while no change in the revenue base is assumed for the States that do not reform stamp duty). This means that the State’s actual stamp duty revenue would not fall by as much as it would if elasticity effects were ignored. It also means that assessed stamp duty revenue for the State would be higher (although this is somewhat offset by the change in the average tax rate, which is also affected by the larger tax base in the reforming State).</w:t>
      </w:r>
    </w:p>
    <w:p w14:paraId="7954BCBC" w14:textId="77777777" w:rsidR="00F05DC7" w:rsidRDefault="00F05DC7" w:rsidP="00A3786D">
      <w:pPr>
        <w:pStyle w:val="BodyText"/>
      </w:pPr>
      <w:r>
        <w:t>Consequently, a State would receive a lower GST payment compared to a situation where the growth in their assessed tax base was ignored. When including elasticity effects, the halving of stamp duty rates is found to have a material effect on the GST distribution for any State that pursues this reform.</w:t>
      </w:r>
    </w:p>
    <w:p w14:paraId="7954BCBD" w14:textId="77777777" w:rsidR="00F05DC7" w:rsidRDefault="00F05DC7" w:rsidP="00A3786D">
      <w:pPr>
        <w:pStyle w:val="Heading4"/>
      </w:pPr>
      <w:r>
        <w:t>New broad</w:t>
      </w:r>
      <w:r>
        <w:noBreakHyphen/>
        <w:t>based land tax</w:t>
      </w:r>
    </w:p>
    <w:p w14:paraId="7954BCBE" w14:textId="77777777" w:rsidR="00F05DC7" w:rsidRDefault="00F05DC7" w:rsidP="00A3786D">
      <w:pPr>
        <w:pStyle w:val="BodyText"/>
      </w:pPr>
      <w:r>
        <w:t>To offset the loss in stamp duty revenue, it is assumed that a State introduces a broad</w:t>
      </w:r>
      <w:r>
        <w:noBreakHyphen/>
        <w:t>based land tax (a more efficient tax). This significant reform would involve the new tax being applied to residential property (including owner</w:t>
      </w:r>
      <w:r>
        <w:noBreakHyphen/>
        <w:t>occupied), as the owners of such property would be the main beneficiaries of reduced stamp duty.</w:t>
      </w:r>
    </w:p>
    <w:p w14:paraId="7954BCBF" w14:textId="77777777" w:rsidR="00F05DC7" w:rsidRDefault="00F05DC7" w:rsidP="00A3786D">
      <w:pPr>
        <w:pStyle w:val="BodyText"/>
      </w:pPr>
      <w:r>
        <w:t>Such a reform would be different to existing land taxes. All States (apart from the Northern Territory) currently apply some form of land tax, and these tax scales are generally progressive. However, a number of exemptions apply, with owner</w:t>
      </w:r>
      <w:r>
        <w:noBreakHyphen/>
        <w:t>occupied housing and land used for primary production generally exempted from the tax. States also vary in their legislated tax rates and in their tax</w:t>
      </w:r>
      <w:r>
        <w:noBreakHyphen/>
        <w:t>free thresholds.</w:t>
      </w:r>
    </w:p>
    <w:p w14:paraId="7954BCC0" w14:textId="77777777" w:rsidR="00F05DC7" w:rsidRDefault="00F05DC7" w:rsidP="00A3786D">
      <w:pPr>
        <w:pStyle w:val="BodyText"/>
      </w:pPr>
    </w:p>
    <w:p w14:paraId="7954BCC1" w14:textId="77777777" w:rsidR="00F05DC7" w:rsidRDefault="00F05DC7" w:rsidP="00A3786D">
      <w:pPr>
        <w:pStyle w:val="BodyText"/>
      </w:pPr>
      <w:r>
        <w:lastRenderedPageBreak/>
        <w:t>At present, the CGC assesses two types of land tax collected by the States:</w:t>
      </w:r>
    </w:p>
    <w:p w14:paraId="7954BCC2" w14:textId="77777777" w:rsidR="00F05DC7" w:rsidRDefault="00F05DC7" w:rsidP="00A3786D">
      <w:pPr>
        <w:pStyle w:val="ListBullet"/>
      </w:pPr>
      <w:r>
        <w:t>A ‘general property’ component (which includes fire services levies, metropolitan improvement levies and general rates in the ACT). None of these have a material effect on GST relativities, and thus are assessed on an EPC basis (meaning that they have no impact on the GST distribution).</w:t>
      </w:r>
    </w:p>
    <w:p w14:paraId="7954BCC3" w14:textId="710F0FD2" w:rsidR="00F05DC7" w:rsidRDefault="00F05DC7" w:rsidP="00A3786D">
      <w:pPr>
        <w:pStyle w:val="ListBullet"/>
      </w:pPr>
      <w:r>
        <w:t>An ‘income producing property’ component (such as residential rentals and commercial property). These are assessed differentially, with taxable land values used to measure each State’s revenue</w:t>
      </w:r>
      <w:r>
        <w:noBreakHyphen/>
        <w:t xml:space="preserve">raising capacity. A progressive tax scale structure is used for this assessment. The CGC has ‘moderate’ concerns about the comparability and reliability of these data from State Revenue Offices and applies a 25 per cent discount to this component of its assessment </w:t>
      </w:r>
      <w:r w:rsidR="009D6331" w:rsidRPr="009D6331">
        <w:rPr>
          <w:szCs w:val="24"/>
        </w:rPr>
        <w:t>(CGC 2015f)</w:t>
      </w:r>
      <w:r>
        <w:t>.</w:t>
      </w:r>
    </w:p>
    <w:p w14:paraId="7954BCC4" w14:textId="77777777" w:rsidR="00F05DC7" w:rsidRDefault="00F05DC7" w:rsidP="00A3786D">
      <w:pPr>
        <w:pStyle w:val="BodyText"/>
      </w:pPr>
      <w:r>
        <w:t>The analysis here does not involve simply increasing existing taxes on income</w:t>
      </w:r>
      <w:r>
        <w:noBreakHyphen/>
        <w:t>producing properties because the tax base is narrow. Doing so would require a very large increase in these taxes (in some cases, over 100 per cent) to recoup the reduced stamp duty revenue. Moreover, such a policy change is very unlikely to be considered by a State Government.</w:t>
      </w:r>
    </w:p>
    <w:p w14:paraId="7954BCC5" w14:textId="5C634750" w:rsidR="00F05DC7" w:rsidRPr="000C175D" w:rsidRDefault="00F05DC7" w:rsidP="00A3786D">
      <w:pPr>
        <w:pStyle w:val="BodyText"/>
      </w:pPr>
      <w:r>
        <w:t xml:space="preserve">Instead, the analysis involves creating a new type of land tax. The tax base used for the analysis is the aggregate unimproved value of residential land in each State, sourced from the </w:t>
      </w:r>
      <w:r w:rsidRPr="00E46DF8">
        <w:t>ABS</w:t>
      </w:r>
      <w:r>
        <w:t> </w:t>
      </w:r>
      <w:r w:rsidR="009D6331" w:rsidRPr="009D6331">
        <w:t>(2017c)</w:t>
      </w:r>
      <w:r w:rsidRPr="00E46DF8">
        <w:t>. However, reflecting usual CGC practice, a differential assessment is only simulated where there is</w:t>
      </w:r>
      <w:r w:rsidRPr="00640058">
        <w:t xml:space="preserve"> a material effect on the GST distribution. In scenarios where this is not material, a </w:t>
      </w:r>
      <w:r w:rsidRPr="000C175D">
        <w:t>simple EPC assessment has been used.</w:t>
      </w:r>
    </w:p>
    <w:p w14:paraId="7954BCC6" w14:textId="77777777" w:rsidR="00F05DC7" w:rsidRDefault="00F05DC7" w:rsidP="00A3786D">
      <w:pPr>
        <w:pStyle w:val="BodyText"/>
      </w:pPr>
      <w:r w:rsidRPr="00791D71">
        <w:t>The size of the land tax needed to offset stamp duty is shown in table C.</w:t>
      </w:r>
      <w:r>
        <w:t>21</w:t>
      </w:r>
      <w:r w:rsidRPr="00791D71">
        <w:t xml:space="preserve">. For example, if New South Wales wanted to </w:t>
      </w:r>
      <w:r>
        <w:t>recoup the $4.1 billion</w:t>
      </w:r>
      <w:r w:rsidRPr="00791D71">
        <w:t xml:space="preserve"> in revenue that it loses from the fall in stamp duty (under the lower-bound scenario), it would need to apply an annual flat </w:t>
      </w:r>
      <w:r>
        <w:t xml:space="preserve">tax </w:t>
      </w:r>
      <w:r w:rsidRPr="00791D71">
        <w:t xml:space="preserve">rate </w:t>
      </w:r>
      <w:r>
        <w:t>of 0.21 </w:t>
      </w:r>
      <w:r w:rsidRPr="00791D71">
        <w:t>per</w:t>
      </w:r>
      <w:r>
        <w:t> </w:t>
      </w:r>
      <w:r w:rsidRPr="00791D71">
        <w:t xml:space="preserve">cent </w:t>
      </w:r>
      <w:r w:rsidRPr="00BF1E73">
        <w:t>on the</w:t>
      </w:r>
      <w:r w:rsidRPr="00791D71">
        <w:t xml:space="preserve"> unimproved value of</w:t>
      </w:r>
      <w:r>
        <w:t xml:space="preserve"> all </w:t>
      </w:r>
      <w:r w:rsidRPr="00791D71">
        <w:t>residential land</w:t>
      </w:r>
      <w:r>
        <w:t xml:space="preserve"> in the State</w:t>
      </w:r>
      <w:r w:rsidRPr="00791D71">
        <w:t xml:space="preserve">. A lower land tax rate </w:t>
      </w:r>
      <w:r>
        <w:t xml:space="preserve">(of 0.16 per cent) </w:t>
      </w:r>
      <w:r w:rsidRPr="00791D71">
        <w:t>would be required under the upper</w:t>
      </w:r>
      <w:r w:rsidRPr="00791D71">
        <w:noBreakHyphen/>
        <w:t>bound scenario</w:t>
      </w:r>
      <w:r>
        <w:t>. This is because</w:t>
      </w:r>
      <w:r w:rsidRPr="00791D71">
        <w:t xml:space="preserve"> </w:t>
      </w:r>
      <w:r>
        <w:t>New South Wales</w:t>
      </w:r>
      <w:r w:rsidRPr="00791D71">
        <w:t xml:space="preserve"> does not lose as much stamp duty revenue</w:t>
      </w:r>
      <w:r>
        <w:t xml:space="preserve"> because its lower duty rates increase the number of property transactions in the State</w:t>
      </w:r>
      <w:r w:rsidRPr="00791D71">
        <w:t>.</w:t>
      </w:r>
    </w:p>
    <w:p w14:paraId="7954BCC7" w14:textId="77777777" w:rsidR="00F05DC7" w:rsidRPr="00791D71" w:rsidRDefault="00F05DC7" w:rsidP="00A3786D">
      <w:pPr>
        <w:pStyle w:val="BodyText"/>
      </w:pPr>
      <w:r>
        <w:t>Only a unilateral change to land tax in New South Wales or Victoria — or a multilateral change made by all States — is assessed to have a material impact on the GST distribution. A change to land tax made by any other State is treated on an EPC basis and would have no impact on the GST distribution.</w:t>
      </w:r>
    </w:p>
    <w:p w14:paraId="7954BCC8"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CCB" w14:textId="77777777" w:rsidTr="001113B1">
        <w:trPr>
          <w:tblHeader/>
        </w:trPr>
        <w:tc>
          <w:tcPr>
            <w:tcW w:w="5000" w:type="pct"/>
            <w:tcBorders>
              <w:top w:val="single" w:sz="6" w:space="0" w:color="78A22F"/>
              <w:left w:val="nil"/>
              <w:bottom w:val="nil"/>
              <w:right w:val="nil"/>
            </w:tcBorders>
            <w:shd w:val="clear" w:color="auto" w:fill="auto"/>
          </w:tcPr>
          <w:p w14:paraId="7954BCC9" w14:textId="6C19440B" w:rsidR="00F05DC7" w:rsidRDefault="00F05DC7" w:rsidP="00A3786D">
            <w:pPr>
              <w:pStyle w:val="TableTitle"/>
            </w:pPr>
            <w:r>
              <w:rPr>
                <w:b w:val="0"/>
              </w:rPr>
              <w:t>Table C.21</w:t>
            </w:r>
            <w:r>
              <w:tab/>
              <w:t>Land tax required to offset stamp duty reduction</w:t>
            </w:r>
          </w:p>
          <w:p w14:paraId="7954BCCA" w14:textId="77777777" w:rsidR="00F05DC7" w:rsidRPr="00784A05" w:rsidRDefault="00F05DC7" w:rsidP="00A3786D">
            <w:pPr>
              <w:pStyle w:val="Subtitle"/>
            </w:pPr>
            <w:r>
              <w:t>Unilateral change by each State and a multilateral change by all States</w:t>
            </w:r>
            <w:r w:rsidRPr="00171B8E">
              <w:rPr>
                <w:rStyle w:val="NoteLabel"/>
              </w:rPr>
              <w:t>a</w:t>
            </w:r>
          </w:p>
        </w:tc>
      </w:tr>
      <w:tr w:rsidR="00F05DC7" w14:paraId="7954BD2D"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2"/>
              <w:gridCol w:w="581"/>
              <w:gridCol w:w="581"/>
              <w:gridCol w:w="582"/>
              <w:gridCol w:w="582"/>
              <w:gridCol w:w="582"/>
              <w:gridCol w:w="582"/>
              <w:gridCol w:w="582"/>
              <w:gridCol w:w="582"/>
              <w:gridCol w:w="582"/>
              <w:gridCol w:w="577"/>
            </w:tblGrid>
            <w:tr w:rsidR="00F05DC7" w:rsidRPr="00AD7DC6" w14:paraId="7954BCD7" w14:textId="77777777" w:rsidTr="00A3786D">
              <w:trPr>
                <w:tblHeader/>
              </w:trPr>
              <w:tc>
                <w:tcPr>
                  <w:tcW w:w="1583" w:type="pct"/>
                  <w:tcBorders>
                    <w:top w:val="single" w:sz="6" w:space="0" w:color="BFBFBF"/>
                    <w:bottom w:val="single" w:sz="6" w:space="0" w:color="BFBFBF"/>
                  </w:tcBorders>
                  <w:shd w:val="clear" w:color="auto" w:fill="auto"/>
                  <w:tcMar>
                    <w:top w:w="28" w:type="dxa"/>
                  </w:tcMar>
                </w:tcPr>
                <w:p w14:paraId="7954BCCC" w14:textId="77777777" w:rsidR="00F05DC7" w:rsidRPr="00AD7DC6" w:rsidRDefault="00F05DC7" w:rsidP="00A3786D">
                  <w:pPr>
                    <w:pStyle w:val="TableColumnHeading"/>
                    <w:jc w:val="left"/>
                    <w:rPr>
                      <w:rFonts w:asciiTheme="minorHAnsi" w:hAnsiTheme="minorHAnsi" w:cstheme="minorHAnsi"/>
                      <w:szCs w:val="18"/>
                    </w:rPr>
                  </w:pPr>
                </w:p>
              </w:tc>
              <w:tc>
                <w:tcPr>
                  <w:tcW w:w="342" w:type="pct"/>
                  <w:tcBorders>
                    <w:top w:val="single" w:sz="6" w:space="0" w:color="BFBFBF"/>
                    <w:bottom w:val="single" w:sz="6" w:space="0" w:color="BFBFBF"/>
                  </w:tcBorders>
                  <w:vAlign w:val="bottom"/>
                </w:tcPr>
                <w:p w14:paraId="7954BCCD" w14:textId="77777777" w:rsidR="00F05DC7" w:rsidRPr="00AD7DC6" w:rsidRDefault="00F05DC7" w:rsidP="00A3786D">
                  <w:pPr>
                    <w:pStyle w:val="TableColumnHeading"/>
                    <w:ind w:right="57"/>
                    <w:rPr>
                      <w:rFonts w:asciiTheme="minorHAnsi" w:hAnsiTheme="minorHAnsi" w:cstheme="minorHAnsi"/>
                      <w:szCs w:val="18"/>
                    </w:rPr>
                  </w:pPr>
                  <w:r>
                    <w:rPr>
                      <w:rFonts w:cs="Arial"/>
                      <w:szCs w:val="18"/>
                    </w:rPr>
                    <w:t>Units</w:t>
                  </w:r>
                </w:p>
              </w:tc>
              <w:tc>
                <w:tcPr>
                  <w:tcW w:w="342" w:type="pct"/>
                  <w:tcBorders>
                    <w:top w:val="single" w:sz="6" w:space="0" w:color="BFBFBF"/>
                    <w:bottom w:val="single" w:sz="6" w:space="0" w:color="BFBFBF"/>
                  </w:tcBorders>
                  <w:shd w:val="clear" w:color="auto" w:fill="auto"/>
                  <w:vAlign w:val="bottom"/>
                </w:tcPr>
                <w:p w14:paraId="7954BCCE"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NSW</w:t>
                  </w:r>
                </w:p>
              </w:tc>
              <w:tc>
                <w:tcPr>
                  <w:tcW w:w="342" w:type="pct"/>
                  <w:tcBorders>
                    <w:top w:val="single" w:sz="6" w:space="0" w:color="BFBFBF"/>
                    <w:bottom w:val="single" w:sz="6" w:space="0" w:color="BFBFBF"/>
                  </w:tcBorders>
                  <w:shd w:val="clear" w:color="auto" w:fill="auto"/>
                  <w:tcMar>
                    <w:top w:w="28" w:type="dxa"/>
                  </w:tcMar>
                  <w:vAlign w:val="bottom"/>
                </w:tcPr>
                <w:p w14:paraId="7954BCCF"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Vic</w:t>
                  </w:r>
                </w:p>
              </w:tc>
              <w:tc>
                <w:tcPr>
                  <w:tcW w:w="342" w:type="pct"/>
                  <w:tcBorders>
                    <w:top w:val="single" w:sz="6" w:space="0" w:color="BFBFBF"/>
                    <w:bottom w:val="single" w:sz="6" w:space="0" w:color="BFBFBF"/>
                  </w:tcBorders>
                  <w:shd w:val="clear" w:color="auto" w:fill="auto"/>
                  <w:vAlign w:val="bottom"/>
                </w:tcPr>
                <w:p w14:paraId="7954BCD0"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Qld</w:t>
                  </w:r>
                </w:p>
              </w:tc>
              <w:tc>
                <w:tcPr>
                  <w:tcW w:w="342" w:type="pct"/>
                  <w:tcBorders>
                    <w:top w:val="single" w:sz="6" w:space="0" w:color="BFBFBF"/>
                    <w:bottom w:val="single" w:sz="6" w:space="0" w:color="BFBFBF"/>
                  </w:tcBorders>
                  <w:shd w:val="clear" w:color="auto" w:fill="auto"/>
                  <w:vAlign w:val="bottom"/>
                </w:tcPr>
                <w:p w14:paraId="7954BCD1"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WA</w:t>
                  </w:r>
                </w:p>
              </w:tc>
              <w:tc>
                <w:tcPr>
                  <w:tcW w:w="342" w:type="pct"/>
                  <w:tcBorders>
                    <w:top w:val="single" w:sz="6" w:space="0" w:color="BFBFBF"/>
                    <w:bottom w:val="single" w:sz="6" w:space="0" w:color="BFBFBF"/>
                  </w:tcBorders>
                  <w:shd w:val="clear" w:color="auto" w:fill="auto"/>
                  <w:vAlign w:val="bottom"/>
                </w:tcPr>
                <w:p w14:paraId="7954BCD2"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SA</w:t>
                  </w:r>
                </w:p>
              </w:tc>
              <w:tc>
                <w:tcPr>
                  <w:tcW w:w="342" w:type="pct"/>
                  <w:tcBorders>
                    <w:top w:val="single" w:sz="6" w:space="0" w:color="BFBFBF"/>
                    <w:bottom w:val="single" w:sz="6" w:space="0" w:color="BFBFBF"/>
                  </w:tcBorders>
                  <w:shd w:val="clear" w:color="auto" w:fill="auto"/>
                  <w:vAlign w:val="bottom"/>
                </w:tcPr>
                <w:p w14:paraId="7954BCD3"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Tas</w:t>
                  </w:r>
                </w:p>
              </w:tc>
              <w:tc>
                <w:tcPr>
                  <w:tcW w:w="342" w:type="pct"/>
                  <w:tcBorders>
                    <w:top w:val="single" w:sz="6" w:space="0" w:color="BFBFBF"/>
                    <w:bottom w:val="single" w:sz="6" w:space="0" w:color="BFBFBF"/>
                  </w:tcBorders>
                  <w:shd w:val="clear" w:color="auto" w:fill="auto"/>
                  <w:vAlign w:val="bottom"/>
                </w:tcPr>
                <w:p w14:paraId="7954BCD4"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ACT</w:t>
                  </w:r>
                </w:p>
              </w:tc>
              <w:tc>
                <w:tcPr>
                  <w:tcW w:w="342" w:type="pct"/>
                  <w:tcBorders>
                    <w:top w:val="single" w:sz="6" w:space="0" w:color="BFBFBF"/>
                    <w:bottom w:val="single" w:sz="6" w:space="0" w:color="BFBFBF"/>
                  </w:tcBorders>
                  <w:shd w:val="clear" w:color="auto" w:fill="auto"/>
                  <w:vAlign w:val="bottom"/>
                </w:tcPr>
                <w:p w14:paraId="7954BCD5"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NT</w:t>
                  </w:r>
                </w:p>
              </w:tc>
              <w:tc>
                <w:tcPr>
                  <w:tcW w:w="342" w:type="pct"/>
                  <w:tcBorders>
                    <w:top w:val="single" w:sz="6" w:space="0" w:color="BFBFBF"/>
                    <w:bottom w:val="single" w:sz="6" w:space="0" w:color="BFBFBF"/>
                  </w:tcBorders>
                  <w:shd w:val="clear" w:color="auto" w:fill="auto"/>
                  <w:vAlign w:val="bottom"/>
                </w:tcPr>
                <w:p w14:paraId="7954BCD6"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 xml:space="preserve">All States </w:t>
                  </w:r>
                </w:p>
              </w:tc>
            </w:tr>
            <w:tr w:rsidR="00F05DC7" w:rsidRPr="00AD7DC6" w14:paraId="7954BCE3" w14:textId="77777777" w:rsidTr="00A3786D">
              <w:tc>
                <w:tcPr>
                  <w:tcW w:w="1583" w:type="pct"/>
                  <w:tcBorders>
                    <w:top w:val="single" w:sz="6" w:space="0" w:color="BFBFBF"/>
                  </w:tcBorders>
                  <w:shd w:val="clear" w:color="auto" w:fill="auto"/>
                  <w:vAlign w:val="center"/>
                </w:tcPr>
                <w:p w14:paraId="7954BCD8" w14:textId="77777777" w:rsidR="00F05DC7" w:rsidRPr="000547F5" w:rsidRDefault="00F05DC7" w:rsidP="00A3786D">
                  <w:pPr>
                    <w:spacing w:before="80"/>
                    <w:ind w:right="57"/>
                    <w:rPr>
                      <w:rFonts w:asciiTheme="minorHAnsi" w:hAnsiTheme="minorHAnsi" w:cstheme="minorHAnsi"/>
                      <w:b/>
                      <w:szCs w:val="18"/>
                    </w:rPr>
                  </w:pPr>
                  <w:r w:rsidRPr="00A6143F">
                    <w:rPr>
                      <w:rFonts w:asciiTheme="minorHAnsi" w:hAnsiTheme="minorHAnsi" w:cstheme="minorHAnsi"/>
                      <w:b/>
                      <w:color w:val="000000"/>
                      <w:sz w:val="18"/>
                      <w:szCs w:val="18"/>
                    </w:rPr>
                    <w:t>Lower-bound</w:t>
                  </w:r>
                </w:p>
              </w:tc>
              <w:tc>
                <w:tcPr>
                  <w:tcW w:w="342" w:type="pct"/>
                  <w:tcBorders>
                    <w:top w:val="single" w:sz="6" w:space="0" w:color="BFBFBF"/>
                  </w:tcBorders>
                </w:tcPr>
                <w:p w14:paraId="7954BCD9" w14:textId="77777777" w:rsidR="00F05DC7" w:rsidRPr="00AD7DC6" w:rsidRDefault="00F05DC7" w:rsidP="00A3786D">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tcPr>
                <w:p w14:paraId="7954BCDA" w14:textId="77777777" w:rsidR="00F05DC7" w:rsidRPr="00AD7DC6" w:rsidRDefault="00F05DC7" w:rsidP="00A3786D">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tcPr>
                <w:p w14:paraId="7954BCDB" w14:textId="77777777" w:rsidR="00F05DC7" w:rsidRPr="00AD7DC6" w:rsidRDefault="00F05DC7" w:rsidP="00A3786D">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tcPr>
                <w:p w14:paraId="7954BCDC" w14:textId="77777777" w:rsidR="00F05DC7" w:rsidRPr="00AD7DC6" w:rsidRDefault="00F05DC7" w:rsidP="00A3786D">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7954BCDD" w14:textId="77777777" w:rsidR="00F05DC7" w:rsidRPr="00AD7DC6" w:rsidRDefault="00F05DC7" w:rsidP="00A3786D">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7954BCDE" w14:textId="77777777" w:rsidR="00F05DC7" w:rsidRPr="00AD7DC6" w:rsidRDefault="00F05DC7" w:rsidP="00A3786D">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7954BCDF" w14:textId="77777777" w:rsidR="00F05DC7" w:rsidRPr="00AD7DC6" w:rsidRDefault="00F05DC7" w:rsidP="00A3786D">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7954BCE0" w14:textId="77777777" w:rsidR="00F05DC7" w:rsidRPr="00AD7DC6" w:rsidRDefault="00F05DC7" w:rsidP="00A3786D">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7954BCE1" w14:textId="77777777" w:rsidR="00F05DC7" w:rsidRPr="00AD7DC6" w:rsidRDefault="00F05DC7" w:rsidP="00A3786D">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7954BCE2" w14:textId="77777777" w:rsidR="00F05DC7" w:rsidRPr="00AD7DC6" w:rsidRDefault="00F05DC7" w:rsidP="00A3786D">
                  <w:pPr>
                    <w:pStyle w:val="TableUnitsRow"/>
                    <w:ind w:right="57"/>
                    <w:rPr>
                      <w:rFonts w:asciiTheme="minorHAnsi" w:hAnsiTheme="minorHAnsi" w:cstheme="minorHAnsi"/>
                      <w:color w:val="000000"/>
                      <w:szCs w:val="18"/>
                    </w:rPr>
                  </w:pPr>
                </w:p>
              </w:tc>
            </w:tr>
            <w:tr w:rsidR="00F05DC7" w:rsidRPr="00AD7DC6" w14:paraId="7954BCEF" w14:textId="77777777" w:rsidTr="00A3786D">
              <w:tc>
                <w:tcPr>
                  <w:tcW w:w="1583" w:type="pct"/>
                  <w:shd w:val="clear" w:color="auto" w:fill="auto"/>
                  <w:vAlign w:val="center"/>
                </w:tcPr>
                <w:p w14:paraId="7954BCE4" w14:textId="77777777" w:rsidR="00F05DC7" w:rsidRPr="00AD7DC6" w:rsidRDefault="00F05DC7" w:rsidP="00A3786D">
                  <w:pPr>
                    <w:pStyle w:val="TableBodyText"/>
                    <w:ind w:left="0"/>
                    <w:jc w:val="left"/>
                    <w:rPr>
                      <w:rFonts w:asciiTheme="minorHAnsi" w:hAnsiTheme="minorHAnsi" w:cstheme="minorHAnsi"/>
                      <w:szCs w:val="18"/>
                    </w:rPr>
                  </w:pPr>
                  <w:r>
                    <w:rPr>
                      <w:rFonts w:asciiTheme="minorHAnsi" w:hAnsiTheme="minorHAnsi" w:cstheme="minorHAnsi"/>
                      <w:color w:val="000000"/>
                      <w:szCs w:val="18"/>
                    </w:rPr>
                    <w:t>L</w:t>
                  </w:r>
                  <w:r w:rsidRPr="00AD7DC6">
                    <w:rPr>
                      <w:rFonts w:asciiTheme="minorHAnsi" w:hAnsiTheme="minorHAnsi" w:cstheme="minorHAnsi"/>
                      <w:color w:val="000000"/>
                      <w:szCs w:val="18"/>
                    </w:rPr>
                    <w:t xml:space="preserve">and tax rate required to raise equivalent revenue </w:t>
                  </w:r>
                </w:p>
              </w:tc>
              <w:tc>
                <w:tcPr>
                  <w:tcW w:w="342" w:type="pct"/>
                  <w:vAlign w:val="center"/>
                </w:tcPr>
                <w:p w14:paraId="7954BCE5"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342" w:type="pct"/>
                  <w:shd w:val="clear" w:color="auto" w:fill="auto"/>
                  <w:vAlign w:val="center"/>
                </w:tcPr>
                <w:p w14:paraId="7954BCE6"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0.2</w:t>
                  </w:r>
                  <w:r>
                    <w:rPr>
                      <w:rFonts w:asciiTheme="minorHAnsi" w:hAnsiTheme="minorHAnsi" w:cstheme="minorHAnsi"/>
                      <w:color w:val="000000"/>
                      <w:szCs w:val="18"/>
                    </w:rPr>
                    <w:t>1</w:t>
                  </w:r>
                </w:p>
              </w:tc>
              <w:tc>
                <w:tcPr>
                  <w:tcW w:w="342" w:type="pct"/>
                  <w:shd w:val="clear" w:color="auto" w:fill="auto"/>
                  <w:vAlign w:val="center"/>
                </w:tcPr>
                <w:p w14:paraId="7954BCE7" w14:textId="77777777" w:rsidR="00F05DC7" w:rsidRPr="00AD7DC6" w:rsidRDefault="00F05DC7" w:rsidP="00A3786D">
                  <w:pPr>
                    <w:pStyle w:val="TableBodyText"/>
                    <w:ind w:right="57"/>
                    <w:rPr>
                      <w:rFonts w:asciiTheme="minorHAnsi" w:hAnsiTheme="minorHAnsi" w:cstheme="minorHAnsi"/>
                      <w:szCs w:val="18"/>
                    </w:rPr>
                  </w:pPr>
                  <w:r w:rsidRPr="00AD7DC6">
                    <w:rPr>
                      <w:rFonts w:asciiTheme="minorHAnsi" w:hAnsiTheme="minorHAnsi" w:cstheme="minorHAnsi"/>
                      <w:color w:val="000000"/>
                      <w:szCs w:val="18"/>
                    </w:rPr>
                    <w:t>0.2</w:t>
                  </w:r>
                  <w:r>
                    <w:rPr>
                      <w:rFonts w:asciiTheme="minorHAnsi" w:hAnsiTheme="minorHAnsi" w:cstheme="minorHAnsi"/>
                      <w:color w:val="000000"/>
                      <w:szCs w:val="18"/>
                    </w:rPr>
                    <w:t>2</w:t>
                  </w:r>
                </w:p>
              </w:tc>
              <w:tc>
                <w:tcPr>
                  <w:tcW w:w="342" w:type="pct"/>
                  <w:shd w:val="clear" w:color="auto" w:fill="auto"/>
                  <w:vAlign w:val="center"/>
                </w:tcPr>
                <w:p w14:paraId="7954BCE8"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w:t>
                  </w:r>
                  <w:r>
                    <w:rPr>
                      <w:rFonts w:asciiTheme="minorHAnsi" w:hAnsiTheme="minorHAnsi" w:cstheme="minorHAnsi"/>
                      <w:color w:val="000000"/>
                      <w:szCs w:val="18"/>
                    </w:rPr>
                    <w:t>23</w:t>
                  </w:r>
                </w:p>
              </w:tc>
              <w:tc>
                <w:tcPr>
                  <w:tcW w:w="342" w:type="pct"/>
                  <w:shd w:val="clear" w:color="auto" w:fill="auto"/>
                  <w:vAlign w:val="center"/>
                </w:tcPr>
                <w:p w14:paraId="7954BCE9"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w:t>
                  </w:r>
                  <w:r>
                    <w:rPr>
                      <w:rFonts w:asciiTheme="minorHAnsi" w:hAnsiTheme="minorHAnsi" w:cstheme="minorHAnsi"/>
                      <w:color w:val="000000"/>
                      <w:szCs w:val="18"/>
                    </w:rPr>
                    <w:t>15</w:t>
                  </w:r>
                </w:p>
              </w:tc>
              <w:tc>
                <w:tcPr>
                  <w:tcW w:w="342" w:type="pct"/>
                  <w:shd w:val="clear" w:color="auto" w:fill="auto"/>
                  <w:vAlign w:val="center"/>
                </w:tcPr>
                <w:p w14:paraId="7954BCEA"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6</w:t>
                  </w:r>
                </w:p>
              </w:tc>
              <w:tc>
                <w:tcPr>
                  <w:tcW w:w="342" w:type="pct"/>
                  <w:shd w:val="clear" w:color="auto" w:fill="auto"/>
                  <w:vAlign w:val="center"/>
                </w:tcPr>
                <w:p w14:paraId="7954BCEB"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7</w:t>
                  </w:r>
                </w:p>
              </w:tc>
              <w:tc>
                <w:tcPr>
                  <w:tcW w:w="342" w:type="pct"/>
                  <w:shd w:val="clear" w:color="auto" w:fill="auto"/>
                  <w:vAlign w:val="center"/>
                </w:tcPr>
                <w:p w14:paraId="7954BCEC"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w:t>
                  </w:r>
                  <w:r>
                    <w:rPr>
                      <w:rFonts w:asciiTheme="minorHAnsi" w:hAnsiTheme="minorHAnsi" w:cstheme="minorHAnsi"/>
                      <w:color w:val="000000"/>
                      <w:szCs w:val="18"/>
                    </w:rPr>
                    <w:t>19</w:t>
                  </w:r>
                </w:p>
              </w:tc>
              <w:tc>
                <w:tcPr>
                  <w:tcW w:w="342" w:type="pct"/>
                  <w:shd w:val="clear" w:color="auto" w:fill="auto"/>
                  <w:vAlign w:val="center"/>
                </w:tcPr>
                <w:p w14:paraId="7954BCED"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w:t>
                  </w:r>
                  <w:r>
                    <w:rPr>
                      <w:rFonts w:asciiTheme="minorHAnsi" w:hAnsiTheme="minorHAnsi" w:cstheme="minorHAnsi"/>
                      <w:color w:val="000000"/>
                      <w:szCs w:val="18"/>
                    </w:rPr>
                    <w:t>19</w:t>
                  </w:r>
                </w:p>
              </w:tc>
              <w:tc>
                <w:tcPr>
                  <w:tcW w:w="342" w:type="pct"/>
                  <w:shd w:val="clear" w:color="auto" w:fill="auto"/>
                  <w:vAlign w:val="center"/>
                </w:tcPr>
                <w:p w14:paraId="7954BCEE" w14:textId="77777777" w:rsidR="00F05DC7" w:rsidRPr="00AD7DC6" w:rsidRDefault="00F05DC7" w:rsidP="00A3786D">
                  <w:pPr>
                    <w:pStyle w:val="TableBodyText"/>
                    <w:ind w:right="57"/>
                    <w:rPr>
                      <w:rFonts w:asciiTheme="minorHAnsi" w:hAnsiTheme="minorHAnsi" w:cstheme="minorHAnsi"/>
                      <w:color w:val="000000"/>
                      <w:szCs w:val="18"/>
                    </w:rPr>
                  </w:pPr>
                  <w:r>
                    <w:rPr>
                      <w:rFonts w:asciiTheme="minorHAnsi" w:hAnsiTheme="minorHAnsi" w:cstheme="minorHAnsi"/>
                      <w:color w:val="000000"/>
                      <w:szCs w:val="18"/>
                    </w:rPr>
                    <w:t>..</w:t>
                  </w:r>
                </w:p>
              </w:tc>
            </w:tr>
            <w:tr w:rsidR="00F05DC7" w:rsidRPr="00AD7DC6" w14:paraId="7954BCFB" w14:textId="77777777" w:rsidTr="00A3786D">
              <w:tc>
                <w:tcPr>
                  <w:tcW w:w="1583" w:type="pct"/>
                  <w:shd w:val="clear" w:color="auto" w:fill="auto"/>
                  <w:vAlign w:val="center"/>
                </w:tcPr>
                <w:p w14:paraId="7954BCF0" w14:textId="77777777" w:rsidR="00F05DC7" w:rsidRPr="00AD7DC6" w:rsidRDefault="00F05DC7" w:rsidP="00A3786D">
                  <w:pPr>
                    <w:pStyle w:val="TableBodyText"/>
                    <w:ind w:left="0"/>
                    <w:jc w:val="left"/>
                    <w:rPr>
                      <w:rFonts w:asciiTheme="minorHAnsi" w:hAnsiTheme="minorHAnsi" w:cstheme="minorHAnsi"/>
                      <w:color w:val="000000"/>
                      <w:szCs w:val="18"/>
                    </w:rPr>
                  </w:pPr>
                  <w:r>
                    <w:rPr>
                      <w:rFonts w:asciiTheme="minorHAnsi" w:hAnsiTheme="minorHAnsi" w:cstheme="minorHAnsi"/>
                      <w:color w:val="000000"/>
                      <w:szCs w:val="18"/>
                    </w:rPr>
                    <w:t>New n</w:t>
                  </w:r>
                  <w:r w:rsidRPr="00AD7DC6">
                    <w:rPr>
                      <w:rFonts w:asciiTheme="minorHAnsi" w:hAnsiTheme="minorHAnsi" w:cstheme="minorHAnsi"/>
                      <w:color w:val="000000"/>
                      <w:szCs w:val="18"/>
                    </w:rPr>
                    <w:t>ational average tax rate</w:t>
                  </w:r>
                </w:p>
              </w:tc>
              <w:tc>
                <w:tcPr>
                  <w:tcW w:w="342" w:type="pct"/>
                  <w:vAlign w:val="center"/>
                </w:tcPr>
                <w:p w14:paraId="7954BCF1"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342" w:type="pct"/>
                  <w:shd w:val="clear" w:color="auto" w:fill="auto"/>
                  <w:vAlign w:val="center"/>
                </w:tcPr>
                <w:p w14:paraId="7954BCF2"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0.09</w:t>
                  </w:r>
                </w:p>
              </w:tc>
              <w:tc>
                <w:tcPr>
                  <w:tcW w:w="342" w:type="pct"/>
                  <w:shd w:val="clear" w:color="auto" w:fill="auto"/>
                  <w:vAlign w:val="center"/>
                </w:tcPr>
                <w:p w14:paraId="7954BCF3" w14:textId="77777777" w:rsidR="00F05DC7" w:rsidRPr="00AD7DC6" w:rsidRDefault="00F05DC7">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w:t>
                  </w:r>
                  <w:r>
                    <w:rPr>
                      <w:rFonts w:asciiTheme="minorHAnsi" w:hAnsiTheme="minorHAnsi" w:cstheme="minorHAnsi"/>
                      <w:color w:val="000000"/>
                      <w:szCs w:val="18"/>
                    </w:rPr>
                    <w:t>6</w:t>
                  </w:r>
                </w:p>
              </w:tc>
              <w:tc>
                <w:tcPr>
                  <w:tcW w:w="342" w:type="pct"/>
                  <w:shd w:val="clear" w:color="auto" w:fill="auto"/>
                  <w:vAlign w:val="center"/>
                </w:tcPr>
                <w:p w14:paraId="7954BCF4"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0.03</w:t>
                  </w:r>
                </w:p>
              </w:tc>
              <w:tc>
                <w:tcPr>
                  <w:tcW w:w="342" w:type="pct"/>
                  <w:shd w:val="clear" w:color="auto" w:fill="auto"/>
                  <w:vAlign w:val="center"/>
                </w:tcPr>
                <w:p w14:paraId="7954BCF5" w14:textId="77777777" w:rsidR="00F05DC7" w:rsidRPr="00AD7DC6" w:rsidRDefault="00F05DC7" w:rsidP="00A3786D">
                  <w:pPr>
                    <w:pStyle w:val="TableBodyText"/>
                    <w:ind w:right="57"/>
                    <w:rPr>
                      <w:rFonts w:asciiTheme="minorHAnsi" w:hAnsiTheme="minorHAnsi" w:cstheme="minorHAnsi"/>
                      <w:color w:val="000000"/>
                      <w:szCs w:val="18"/>
                    </w:rPr>
                  </w:pPr>
                  <w:r>
                    <w:rPr>
                      <w:rFonts w:asciiTheme="minorHAnsi" w:hAnsiTheme="minorHAnsi" w:cstheme="minorHAnsi"/>
                      <w:color w:val="000000"/>
                      <w:szCs w:val="18"/>
                    </w:rPr>
                    <w:t>0.01</w:t>
                  </w:r>
                </w:p>
              </w:tc>
              <w:tc>
                <w:tcPr>
                  <w:tcW w:w="342" w:type="pct"/>
                  <w:shd w:val="clear" w:color="auto" w:fill="auto"/>
                  <w:vAlign w:val="center"/>
                </w:tcPr>
                <w:p w14:paraId="7954BCF6"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0.01</w:t>
                  </w:r>
                </w:p>
              </w:tc>
              <w:tc>
                <w:tcPr>
                  <w:tcW w:w="342" w:type="pct"/>
                  <w:shd w:val="clear" w:color="auto" w:fill="auto"/>
                  <w:vAlign w:val="center"/>
                </w:tcPr>
                <w:p w14:paraId="7954BCF7"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7954BCF8"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7954BCF9"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7954BCFA"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0.2</w:t>
                  </w:r>
                  <w:r>
                    <w:rPr>
                      <w:rFonts w:asciiTheme="minorHAnsi" w:hAnsiTheme="minorHAnsi" w:cstheme="minorHAnsi"/>
                      <w:color w:val="000000"/>
                      <w:szCs w:val="18"/>
                    </w:rPr>
                    <w:t>1</w:t>
                  </w:r>
                </w:p>
              </w:tc>
            </w:tr>
            <w:tr w:rsidR="00F05DC7" w:rsidRPr="00AD7DC6" w14:paraId="7954BD07" w14:textId="77777777" w:rsidTr="00A3786D">
              <w:tc>
                <w:tcPr>
                  <w:tcW w:w="1583" w:type="pct"/>
                  <w:shd w:val="clear" w:color="auto" w:fill="auto"/>
                  <w:vAlign w:val="center"/>
                </w:tcPr>
                <w:p w14:paraId="7954BCFC" w14:textId="77777777" w:rsidR="00F05DC7" w:rsidRPr="000547F5" w:rsidRDefault="00F05DC7" w:rsidP="00A3786D">
                  <w:pPr>
                    <w:spacing w:before="80"/>
                    <w:ind w:right="57"/>
                    <w:rPr>
                      <w:rFonts w:asciiTheme="minorHAnsi" w:hAnsiTheme="minorHAnsi" w:cstheme="minorHAnsi"/>
                      <w:b/>
                      <w:color w:val="000000"/>
                      <w:szCs w:val="18"/>
                    </w:rPr>
                  </w:pPr>
                  <w:r w:rsidRPr="00A6143F">
                    <w:rPr>
                      <w:rFonts w:asciiTheme="minorHAnsi" w:hAnsiTheme="minorHAnsi" w:cstheme="minorHAnsi"/>
                      <w:b/>
                      <w:color w:val="000000"/>
                      <w:sz w:val="18"/>
                      <w:szCs w:val="18"/>
                    </w:rPr>
                    <w:t>Upper-bound</w:t>
                  </w:r>
                </w:p>
              </w:tc>
              <w:tc>
                <w:tcPr>
                  <w:tcW w:w="342" w:type="pct"/>
                  <w:vAlign w:val="center"/>
                </w:tcPr>
                <w:p w14:paraId="7954BCFD"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shd w:val="clear" w:color="auto" w:fill="auto"/>
                  <w:vAlign w:val="center"/>
                </w:tcPr>
                <w:p w14:paraId="7954BCFE"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shd w:val="clear" w:color="auto" w:fill="auto"/>
                  <w:vAlign w:val="center"/>
                </w:tcPr>
                <w:p w14:paraId="7954BCFF"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shd w:val="clear" w:color="auto" w:fill="auto"/>
                  <w:vAlign w:val="center"/>
                </w:tcPr>
                <w:p w14:paraId="7954BD00"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shd w:val="clear" w:color="auto" w:fill="auto"/>
                  <w:vAlign w:val="center"/>
                </w:tcPr>
                <w:p w14:paraId="7954BD01"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shd w:val="clear" w:color="auto" w:fill="auto"/>
                  <w:vAlign w:val="center"/>
                </w:tcPr>
                <w:p w14:paraId="7954BD02"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shd w:val="clear" w:color="auto" w:fill="auto"/>
                  <w:vAlign w:val="center"/>
                </w:tcPr>
                <w:p w14:paraId="7954BD03"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shd w:val="clear" w:color="auto" w:fill="auto"/>
                  <w:vAlign w:val="center"/>
                </w:tcPr>
                <w:p w14:paraId="7954BD04"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shd w:val="clear" w:color="auto" w:fill="auto"/>
                  <w:vAlign w:val="center"/>
                </w:tcPr>
                <w:p w14:paraId="7954BD05"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shd w:val="clear" w:color="auto" w:fill="auto"/>
                  <w:vAlign w:val="center"/>
                </w:tcPr>
                <w:p w14:paraId="7954BD06" w14:textId="77777777" w:rsidR="00F05DC7" w:rsidRPr="00AD7DC6" w:rsidRDefault="00F05DC7" w:rsidP="00A3786D">
                  <w:pPr>
                    <w:pStyle w:val="TableBodyText"/>
                    <w:ind w:right="57"/>
                    <w:rPr>
                      <w:rFonts w:asciiTheme="minorHAnsi" w:hAnsiTheme="minorHAnsi" w:cstheme="minorHAnsi"/>
                      <w:color w:val="000000"/>
                      <w:szCs w:val="18"/>
                    </w:rPr>
                  </w:pPr>
                </w:p>
              </w:tc>
            </w:tr>
            <w:tr w:rsidR="00F05DC7" w:rsidRPr="00AD7DC6" w14:paraId="7954BD13" w14:textId="77777777" w:rsidTr="00A3786D">
              <w:tc>
                <w:tcPr>
                  <w:tcW w:w="1583" w:type="pct"/>
                  <w:shd w:val="clear" w:color="auto" w:fill="auto"/>
                  <w:vAlign w:val="center"/>
                </w:tcPr>
                <w:p w14:paraId="7954BD08" w14:textId="77777777" w:rsidR="00F05DC7" w:rsidRPr="00AD7DC6" w:rsidRDefault="00F05DC7" w:rsidP="00A3786D">
                  <w:pPr>
                    <w:pStyle w:val="TableBodyText"/>
                    <w:ind w:left="0"/>
                    <w:jc w:val="left"/>
                    <w:rPr>
                      <w:rFonts w:asciiTheme="minorHAnsi" w:hAnsiTheme="minorHAnsi" w:cstheme="minorHAnsi"/>
                      <w:color w:val="000000"/>
                      <w:szCs w:val="18"/>
                    </w:rPr>
                  </w:pPr>
                  <w:r w:rsidRPr="00AD7DC6">
                    <w:rPr>
                      <w:rFonts w:asciiTheme="minorHAnsi" w:hAnsiTheme="minorHAnsi" w:cstheme="minorHAnsi"/>
                      <w:color w:val="000000"/>
                      <w:szCs w:val="18"/>
                    </w:rPr>
                    <w:t>Land tax rate required to raise equivalent revenue</w:t>
                  </w:r>
                </w:p>
              </w:tc>
              <w:tc>
                <w:tcPr>
                  <w:tcW w:w="342" w:type="pct"/>
                  <w:vAlign w:val="center"/>
                </w:tcPr>
                <w:p w14:paraId="7954BD09"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342" w:type="pct"/>
                  <w:shd w:val="clear" w:color="auto" w:fill="auto"/>
                  <w:vAlign w:val="center"/>
                </w:tcPr>
                <w:p w14:paraId="7954BD0A"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6</w:t>
                  </w:r>
                </w:p>
              </w:tc>
              <w:tc>
                <w:tcPr>
                  <w:tcW w:w="342" w:type="pct"/>
                  <w:shd w:val="clear" w:color="auto" w:fill="auto"/>
                  <w:vAlign w:val="center"/>
                </w:tcPr>
                <w:p w14:paraId="7954BD0B"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6</w:t>
                  </w:r>
                </w:p>
              </w:tc>
              <w:tc>
                <w:tcPr>
                  <w:tcW w:w="342" w:type="pct"/>
                  <w:shd w:val="clear" w:color="auto" w:fill="auto"/>
                  <w:vAlign w:val="center"/>
                </w:tcPr>
                <w:p w14:paraId="7954BD0C"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0.17</w:t>
                  </w:r>
                </w:p>
              </w:tc>
              <w:tc>
                <w:tcPr>
                  <w:tcW w:w="342" w:type="pct"/>
                  <w:shd w:val="clear" w:color="auto" w:fill="auto"/>
                  <w:vAlign w:val="center"/>
                </w:tcPr>
                <w:p w14:paraId="7954BD0D"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1</w:t>
                  </w:r>
                </w:p>
              </w:tc>
              <w:tc>
                <w:tcPr>
                  <w:tcW w:w="342" w:type="pct"/>
                  <w:shd w:val="clear" w:color="auto" w:fill="auto"/>
                  <w:vAlign w:val="center"/>
                </w:tcPr>
                <w:p w14:paraId="7954BD0E"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w:t>
                  </w:r>
                  <w:r>
                    <w:rPr>
                      <w:rFonts w:asciiTheme="minorHAnsi" w:hAnsiTheme="minorHAnsi" w:cstheme="minorHAnsi"/>
                      <w:color w:val="000000"/>
                      <w:szCs w:val="18"/>
                    </w:rPr>
                    <w:t>.12</w:t>
                  </w:r>
                </w:p>
              </w:tc>
              <w:tc>
                <w:tcPr>
                  <w:tcW w:w="342" w:type="pct"/>
                  <w:shd w:val="clear" w:color="auto" w:fill="auto"/>
                  <w:vAlign w:val="center"/>
                </w:tcPr>
                <w:p w14:paraId="7954BD0F"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3</w:t>
                  </w:r>
                </w:p>
              </w:tc>
              <w:tc>
                <w:tcPr>
                  <w:tcW w:w="342" w:type="pct"/>
                  <w:shd w:val="clear" w:color="auto" w:fill="auto"/>
                  <w:vAlign w:val="center"/>
                </w:tcPr>
                <w:p w14:paraId="7954BD10"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0.14</w:t>
                  </w:r>
                </w:p>
              </w:tc>
              <w:tc>
                <w:tcPr>
                  <w:tcW w:w="342" w:type="pct"/>
                  <w:shd w:val="clear" w:color="auto" w:fill="auto"/>
                  <w:vAlign w:val="center"/>
                </w:tcPr>
                <w:p w14:paraId="7954BD11"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4</w:t>
                  </w:r>
                </w:p>
              </w:tc>
              <w:tc>
                <w:tcPr>
                  <w:tcW w:w="342" w:type="pct"/>
                  <w:shd w:val="clear" w:color="auto" w:fill="auto"/>
                  <w:vAlign w:val="center"/>
                </w:tcPr>
                <w:p w14:paraId="7954BD12" w14:textId="77777777" w:rsidR="00F05DC7" w:rsidRPr="00AD7DC6" w:rsidRDefault="00F05DC7" w:rsidP="00A3786D">
                  <w:pPr>
                    <w:pStyle w:val="TableBodyText"/>
                    <w:ind w:right="57"/>
                    <w:rPr>
                      <w:rFonts w:asciiTheme="minorHAnsi" w:hAnsiTheme="minorHAnsi" w:cstheme="minorHAnsi"/>
                      <w:color w:val="000000"/>
                      <w:szCs w:val="18"/>
                    </w:rPr>
                  </w:pPr>
                  <w:r>
                    <w:rPr>
                      <w:rFonts w:asciiTheme="minorHAnsi" w:hAnsiTheme="minorHAnsi" w:cstheme="minorHAnsi"/>
                      <w:color w:val="000000"/>
                      <w:szCs w:val="18"/>
                    </w:rPr>
                    <w:t>..</w:t>
                  </w:r>
                </w:p>
              </w:tc>
            </w:tr>
            <w:tr w:rsidR="00F05DC7" w:rsidRPr="00AD7DC6" w14:paraId="7954BD1F" w14:textId="77777777" w:rsidTr="00A3786D">
              <w:tc>
                <w:tcPr>
                  <w:tcW w:w="1583" w:type="pct"/>
                  <w:shd w:val="clear" w:color="auto" w:fill="auto"/>
                  <w:vAlign w:val="center"/>
                </w:tcPr>
                <w:p w14:paraId="7954BD14" w14:textId="77777777" w:rsidR="00F05DC7" w:rsidRPr="00AD7DC6" w:rsidRDefault="00F05DC7" w:rsidP="00A3786D">
                  <w:pPr>
                    <w:pStyle w:val="TableBodyText"/>
                    <w:ind w:left="0"/>
                    <w:jc w:val="left"/>
                    <w:rPr>
                      <w:rFonts w:asciiTheme="minorHAnsi" w:hAnsiTheme="minorHAnsi" w:cstheme="minorHAnsi"/>
                      <w:color w:val="000000"/>
                      <w:szCs w:val="18"/>
                    </w:rPr>
                  </w:pPr>
                  <w:r>
                    <w:rPr>
                      <w:rFonts w:asciiTheme="minorHAnsi" w:hAnsiTheme="minorHAnsi" w:cstheme="minorHAnsi"/>
                      <w:color w:val="000000"/>
                      <w:szCs w:val="18"/>
                    </w:rPr>
                    <w:t>N</w:t>
                  </w:r>
                  <w:r w:rsidRPr="00AD7DC6">
                    <w:rPr>
                      <w:rFonts w:asciiTheme="minorHAnsi" w:hAnsiTheme="minorHAnsi" w:cstheme="minorHAnsi"/>
                      <w:color w:val="000000"/>
                      <w:szCs w:val="18"/>
                    </w:rPr>
                    <w:t>ew national average tax rate</w:t>
                  </w:r>
                </w:p>
              </w:tc>
              <w:tc>
                <w:tcPr>
                  <w:tcW w:w="342" w:type="pct"/>
                  <w:vAlign w:val="center"/>
                </w:tcPr>
                <w:p w14:paraId="7954BD15"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342" w:type="pct"/>
                  <w:shd w:val="clear" w:color="auto" w:fill="auto"/>
                  <w:vAlign w:val="center"/>
                </w:tcPr>
                <w:p w14:paraId="7954BD16" w14:textId="77777777" w:rsidR="00F05DC7" w:rsidRPr="00AD7DC6" w:rsidRDefault="00F05DC7" w:rsidP="00A3786D">
                  <w:pPr>
                    <w:pStyle w:val="TableBodyText"/>
                    <w:ind w:right="57"/>
                    <w:rPr>
                      <w:rFonts w:asciiTheme="minorHAnsi" w:hAnsiTheme="minorHAnsi" w:cstheme="minorHAnsi"/>
                      <w:color w:val="000000"/>
                      <w:szCs w:val="18"/>
                    </w:rPr>
                  </w:pPr>
                  <w:r>
                    <w:rPr>
                      <w:rFonts w:asciiTheme="minorHAnsi" w:hAnsiTheme="minorHAnsi" w:cstheme="minorHAnsi"/>
                      <w:color w:val="000000"/>
                      <w:szCs w:val="18"/>
                    </w:rPr>
                    <w:t>0.06</w:t>
                  </w:r>
                </w:p>
              </w:tc>
              <w:tc>
                <w:tcPr>
                  <w:tcW w:w="342" w:type="pct"/>
                  <w:shd w:val="clear" w:color="auto" w:fill="auto"/>
                  <w:vAlign w:val="center"/>
                </w:tcPr>
                <w:p w14:paraId="7954BD17" w14:textId="77777777" w:rsidR="00F05DC7" w:rsidRPr="00AD7DC6" w:rsidRDefault="00F05DC7" w:rsidP="00A3786D">
                  <w:pPr>
                    <w:pStyle w:val="TableBodyText"/>
                    <w:ind w:right="57"/>
                    <w:rPr>
                      <w:rFonts w:asciiTheme="minorHAnsi" w:hAnsiTheme="minorHAnsi" w:cstheme="minorHAnsi"/>
                      <w:color w:val="000000"/>
                      <w:szCs w:val="18"/>
                    </w:rPr>
                  </w:pPr>
                  <w:r>
                    <w:rPr>
                      <w:rFonts w:asciiTheme="minorHAnsi" w:hAnsiTheme="minorHAnsi" w:cstheme="minorHAnsi"/>
                      <w:color w:val="000000"/>
                      <w:szCs w:val="18"/>
                    </w:rPr>
                    <w:t>0.04</w:t>
                  </w:r>
                </w:p>
              </w:tc>
              <w:tc>
                <w:tcPr>
                  <w:tcW w:w="342" w:type="pct"/>
                  <w:shd w:val="clear" w:color="auto" w:fill="auto"/>
                  <w:vAlign w:val="center"/>
                </w:tcPr>
                <w:p w14:paraId="7954BD18" w14:textId="77777777" w:rsidR="00F05DC7" w:rsidRPr="00AD7DC6" w:rsidRDefault="00F05DC7" w:rsidP="00A3786D">
                  <w:pPr>
                    <w:pStyle w:val="TableBodyText"/>
                    <w:ind w:right="57"/>
                    <w:rPr>
                      <w:rFonts w:asciiTheme="minorHAnsi" w:hAnsiTheme="minorHAnsi" w:cstheme="minorHAnsi"/>
                      <w:color w:val="000000"/>
                      <w:szCs w:val="18"/>
                    </w:rPr>
                  </w:pPr>
                  <w:r>
                    <w:rPr>
                      <w:rFonts w:asciiTheme="minorHAnsi" w:hAnsiTheme="minorHAnsi" w:cstheme="minorHAnsi"/>
                      <w:color w:val="000000"/>
                      <w:szCs w:val="18"/>
                    </w:rPr>
                    <w:t>0.02</w:t>
                  </w:r>
                </w:p>
              </w:tc>
              <w:tc>
                <w:tcPr>
                  <w:tcW w:w="342" w:type="pct"/>
                  <w:shd w:val="clear" w:color="auto" w:fill="auto"/>
                  <w:vAlign w:val="center"/>
                </w:tcPr>
                <w:p w14:paraId="7954BD19"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0.01</w:t>
                  </w:r>
                </w:p>
              </w:tc>
              <w:tc>
                <w:tcPr>
                  <w:tcW w:w="342" w:type="pct"/>
                  <w:shd w:val="clear" w:color="auto" w:fill="auto"/>
                  <w:vAlign w:val="center"/>
                </w:tcPr>
                <w:p w14:paraId="7954BD1A"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0.01</w:t>
                  </w:r>
                </w:p>
              </w:tc>
              <w:tc>
                <w:tcPr>
                  <w:tcW w:w="342" w:type="pct"/>
                  <w:shd w:val="clear" w:color="auto" w:fill="auto"/>
                  <w:vAlign w:val="center"/>
                </w:tcPr>
                <w:p w14:paraId="7954BD1B"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7954BD1C"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7954BD1D"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7954BD1E"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5</w:t>
                  </w:r>
                </w:p>
              </w:tc>
            </w:tr>
            <w:tr w:rsidR="00F05DC7" w:rsidRPr="00AD7DC6" w14:paraId="7954BD2B" w14:textId="77777777" w:rsidTr="00A3786D">
              <w:tc>
                <w:tcPr>
                  <w:tcW w:w="1583" w:type="pct"/>
                  <w:tcBorders>
                    <w:bottom w:val="single" w:sz="6" w:space="0" w:color="BFBFBF"/>
                  </w:tcBorders>
                  <w:shd w:val="clear" w:color="auto" w:fill="auto"/>
                  <w:vAlign w:val="center"/>
                </w:tcPr>
                <w:p w14:paraId="7954BD20" w14:textId="77777777" w:rsidR="00F05DC7" w:rsidRPr="00AD7DC6" w:rsidRDefault="00F05DC7" w:rsidP="00A3786D">
                  <w:pPr>
                    <w:pStyle w:val="TableBodyText"/>
                    <w:ind w:left="0"/>
                    <w:jc w:val="left"/>
                    <w:rPr>
                      <w:rFonts w:asciiTheme="minorHAnsi" w:hAnsiTheme="minorHAnsi" w:cstheme="minorHAnsi"/>
                      <w:color w:val="000000"/>
                      <w:szCs w:val="18"/>
                    </w:rPr>
                  </w:pPr>
                  <w:r w:rsidRPr="00AD7DC6">
                    <w:rPr>
                      <w:rFonts w:asciiTheme="minorHAnsi" w:hAnsiTheme="minorHAnsi" w:cstheme="minorHAnsi"/>
                      <w:color w:val="000000"/>
                      <w:szCs w:val="18"/>
                    </w:rPr>
                    <w:t>Material impact on GST distribution?</w:t>
                  </w:r>
                  <w:r>
                    <w:rPr>
                      <w:rStyle w:val="NoteLabel"/>
                    </w:rPr>
                    <w:t>b</w:t>
                  </w:r>
                </w:p>
              </w:tc>
              <w:tc>
                <w:tcPr>
                  <w:tcW w:w="342" w:type="pct"/>
                  <w:tcBorders>
                    <w:bottom w:val="single" w:sz="6" w:space="0" w:color="BFBFBF"/>
                  </w:tcBorders>
                  <w:vAlign w:val="center"/>
                </w:tcPr>
                <w:p w14:paraId="7954BD21" w14:textId="77777777" w:rsidR="00F05DC7" w:rsidRPr="00AD7DC6" w:rsidRDefault="00F05DC7" w:rsidP="00A3786D">
                  <w:pPr>
                    <w:pStyle w:val="TableBodyText"/>
                    <w:ind w:right="57"/>
                    <w:rPr>
                      <w:rFonts w:asciiTheme="minorHAnsi" w:hAnsiTheme="minorHAnsi" w:cstheme="minorHAnsi"/>
                      <w:color w:val="000000"/>
                      <w:szCs w:val="18"/>
                    </w:rPr>
                  </w:pPr>
                </w:p>
              </w:tc>
              <w:tc>
                <w:tcPr>
                  <w:tcW w:w="342" w:type="pct"/>
                  <w:tcBorders>
                    <w:bottom w:val="single" w:sz="6" w:space="0" w:color="BFBFBF"/>
                  </w:tcBorders>
                  <w:shd w:val="clear" w:color="auto" w:fill="auto"/>
                  <w:vAlign w:val="center"/>
                </w:tcPr>
                <w:p w14:paraId="7954BD22"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yes</w:t>
                  </w:r>
                </w:p>
              </w:tc>
              <w:tc>
                <w:tcPr>
                  <w:tcW w:w="342" w:type="pct"/>
                  <w:tcBorders>
                    <w:bottom w:val="single" w:sz="6" w:space="0" w:color="BFBFBF"/>
                  </w:tcBorders>
                  <w:shd w:val="clear" w:color="auto" w:fill="auto"/>
                  <w:vAlign w:val="center"/>
                </w:tcPr>
                <w:p w14:paraId="7954BD23" w14:textId="77777777" w:rsidR="00F05DC7" w:rsidRPr="00AD7DC6" w:rsidRDefault="00F05DC7" w:rsidP="00A3786D">
                  <w:pPr>
                    <w:pStyle w:val="TableBodyText"/>
                    <w:ind w:right="57"/>
                    <w:rPr>
                      <w:rFonts w:asciiTheme="minorHAnsi" w:hAnsiTheme="minorHAnsi" w:cstheme="minorHAnsi"/>
                      <w:color w:val="000000"/>
                      <w:szCs w:val="18"/>
                    </w:rPr>
                  </w:pPr>
                  <w:r>
                    <w:rPr>
                      <w:rFonts w:asciiTheme="minorHAnsi" w:hAnsiTheme="minorHAnsi" w:cstheme="minorHAnsi"/>
                      <w:color w:val="000000"/>
                      <w:szCs w:val="18"/>
                    </w:rPr>
                    <w:t>y</w:t>
                  </w:r>
                  <w:r w:rsidRPr="00AD7DC6">
                    <w:rPr>
                      <w:rFonts w:asciiTheme="minorHAnsi" w:hAnsiTheme="minorHAnsi" w:cstheme="minorHAnsi"/>
                      <w:color w:val="000000"/>
                      <w:szCs w:val="18"/>
                    </w:rPr>
                    <w:t>es</w:t>
                  </w:r>
                </w:p>
              </w:tc>
              <w:tc>
                <w:tcPr>
                  <w:tcW w:w="342" w:type="pct"/>
                  <w:tcBorders>
                    <w:bottom w:val="single" w:sz="6" w:space="0" w:color="BFBFBF"/>
                  </w:tcBorders>
                  <w:shd w:val="clear" w:color="auto" w:fill="auto"/>
                  <w:vAlign w:val="center"/>
                </w:tcPr>
                <w:p w14:paraId="7954BD24"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6" w:space="0" w:color="BFBFBF"/>
                  </w:tcBorders>
                  <w:shd w:val="clear" w:color="auto" w:fill="auto"/>
                  <w:vAlign w:val="center"/>
                </w:tcPr>
                <w:p w14:paraId="7954BD25"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6" w:space="0" w:color="BFBFBF"/>
                  </w:tcBorders>
                  <w:shd w:val="clear" w:color="auto" w:fill="auto"/>
                  <w:vAlign w:val="center"/>
                </w:tcPr>
                <w:p w14:paraId="7954BD26"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6" w:space="0" w:color="BFBFBF"/>
                  </w:tcBorders>
                  <w:shd w:val="clear" w:color="auto" w:fill="auto"/>
                  <w:vAlign w:val="center"/>
                </w:tcPr>
                <w:p w14:paraId="7954BD27"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6" w:space="0" w:color="BFBFBF"/>
                  </w:tcBorders>
                  <w:shd w:val="clear" w:color="auto" w:fill="auto"/>
                  <w:vAlign w:val="center"/>
                </w:tcPr>
                <w:p w14:paraId="7954BD28"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6" w:space="0" w:color="BFBFBF"/>
                  </w:tcBorders>
                  <w:shd w:val="clear" w:color="auto" w:fill="auto"/>
                  <w:vAlign w:val="center"/>
                </w:tcPr>
                <w:p w14:paraId="7954BD29"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6" w:space="0" w:color="BFBFBF"/>
                  </w:tcBorders>
                  <w:shd w:val="clear" w:color="auto" w:fill="auto"/>
                  <w:vAlign w:val="center"/>
                </w:tcPr>
                <w:p w14:paraId="7954BD2A" w14:textId="77777777" w:rsidR="00F05DC7" w:rsidRPr="00AD7DC6" w:rsidRDefault="00F05DC7" w:rsidP="00A3786D">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yes</w:t>
                  </w:r>
                </w:p>
              </w:tc>
            </w:tr>
          </w:tbl>
          <w:p w14:paraId="7954BD2C" w14:textId="77777777" w:rsidR="00F05DC7" w:rsidRDefault="00F05DC7" w:rsidP="00A3786D">
            <w:pPr>
              <w:pStyle w:val="Box"/>
            </w:pPr>
          </w:p>
        </w:tc>
      </w:tr>
      <w:tr w:rsidR="00F05DC7" w14:paraId="7954BD2F" w14:textId="77777777" w:rsidTr="00A3786D">
        <w:tc>
          <w:tcPr>
            <w:tcW w:w="5000" w:type="pct"/>
            <w:tcBorders>
              <w:top w:val="nil"/>
              <w:left w:val="nil"/>
              <w:bottom w:val="nil"/>
              <w:right w:val="nil"/>
            </w:tcBorders>
            <w:shd w:val="clear" w:color="auto" w:fill="auto"/>
          </w:tcPr>
          <w:p w14:paraId="7954BD2E" w14:textId="77777777" w:rsidR="00F05DC7" w:rsidRDefault="00F05DC7" w:rsidP="00A3786D">
            <w:pPr>
              <w:pStyle w:val="Note"/>
              <w:rPr>
                <w:i/>
              </w:rPr>
            </w:pPr>
            <w:r w:rsidRPr="008E77FE">
              <w:rPr>
                <w:rStyle w:val="NoteLabel"/>
              </w:rPr>
              <w:t>a</w:t>
            </w:r>
            <w:r>
              <w:t xml:space="preserve"> State columns show the effect of each State unilaterally reforming land tax. ‘All States’ shows the effect if all States concurrently reform land tax. Lower and upper bounds refer to the elasticity estimates used to calculate changes in the stamp duty tax base. </w:t>
            </w:r>
            <w:r>
              <w:rPr>
                <w:rStyle w:val="NoteLabel"/>
              </w:rPr>
              <w:t>b</w:t>
            </w:r>
            <w:r>
              <w:t xml:space="preserve"> Material impacts refer to a redistribution of at least $30 per capita in any State. </w:t>
            </w:r>
            <w:r>
              <w:rPr>
                <w:b/>
              </w:rPr>
              <w:t xml:space="preserve">.. </w:t>
            </w:r>
            <w:r>
              <w:t>Not applicable.</w:t>
            </w:r>
          </w:p>
        </w:tc>
      </w:tr>
      <w:tr w:rsidR="00F05DC7" w14:paraId="7954BD31" w14:textId="77777777" w:rsidTr="00A3786D">
        <w:tc>
          <w:tcPr>
            <w:tcW w:w="5000" w:type="pct"/>
            <w:tcBorders>
              <w:top w:val="nil"/>
              <w:left w:val="nil"/>
              <w:bottom w:val="nil"/>
              <w:right w:val="nil"/>
            </w:tcBorders>
            <w:shd w:val="clear" w:color="auto" w:fill="auto"/>
          </w:tcPr>
          <w:p w14:paraId="7954BD30"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D33" w14:textId="77777777" w:rsidTr="00A3786D">
        <w:tc>
          <w:tcPr>
            <w:tcW w:w="5000" w:type="pct"/>
            <w:tcBorders>
              <w:top w:val="nil"/>
              <w:left w:val="nil"/>
              <w:bottom w:val="single" w:sz="6" w:space="0" w:color="78A22F"/>
              <w:right w:val="nil"/>
            </w:tcBorders>
            <w:shd w:val="clear" w:color="auto" w:fill="auto"/>
          </w:tcPr>
          <w:p w14:paraId="7954BD32" w14:textId="77777777" w:rsidR="00F05DC7" w:rsidRDefault="00F05DC7" w:rsidP="00A3786D">
            <w:pPr>
              <w:pStyle w:val="Box"/>
              <w:spacing w:before="0" w:line="120" w:lineRule="exact"/>
            </w:pPr>
          </w:p>
        </w:tc>
      </w:tr>
      <w:tr w:rsidR="00F05DC7" w:rsidRPr="000863A5" w14:paraId="7954BD35" w14:textId="77777777" w:rsidTr="00A3786D">
        <w:tc>
          <w:tcPr>
            <w:tcW w:w="5000" w:type="pct"/>
            <w:tcBorders>
              <w:top w:val="single" w:sz="6" w:space="0" w:color="78A22F"/>
              <w:left w:val="nil"/>
              <w:bottom w:val="nil"/>
              <w:right w:val="nil"/>
            </w:tcBorders>
          </w:tcPr>
          <w:p w14:paraId="7954BD34" w14:textId="77777777" w:rsidR="00F05DC7" w:rsidRPr="00626D32" w:rsidRDefault="00F05DC7" w:rsidP="00A3786D">
            <w:pPr>
              <w:pStyle w:val="BoxSpaceBelow"/>
            </w:pPr>
          </w:p>
        </w:tc>
      </w:tr>
    </w:tbl>
    <w:p w14:paraId="7954BD36" w14:textId="14C12B8A" w:rsidR="00F05DC7" w:rsidRDefault="00F05DC7" w:rsidP="00A3786D">
      <w:pPr>
        <w:pStyle w:val="BodyText"/>
      </w:pPr>
      <w:r>
        <w:t>The analysis shown here does not take explicit account of the impact on land values (the tax base). It also does not evaluate how the new land tax would affect the value and assessment of income</w:t>
      </w:r>
      <w:r>
        <w:noBreakHyphen/>
        <w:t>producing residential land that forms part of the CGC’s existing assessment of land taxes on income</w:t>
      </w:r>
      <w:r>
        <w:noBreakHyphen/>
        <w:t xml:space="preserve">producing property. While land taxes do not affect the amount of land, they can have a significant impact on land values, even when tax rates are small </w:t>
      </w:r>
      <w:r w:rsidRPr="0014737B">
        <w:rPr>
          <w:szCs w:val="24"/>
        </w:rPr>
        <w:t>(Henry et al. 2010b, p. 270)</w:t>
      </w:r>
      <w:r>
        <w:t>. However, it is assumed that the reduction in stamp duty would offset the effect that the land tax would have in reducing land values. Including land value changes in the analysis does not change the pattern of the GST impacts presented.</w:t>
      </w:r>
      <w:r w:rsidRPr="00282527">
        <w:rPr>
          <w:rStyle w:val="FootnoteReference"/>
        </w:rPr>
        <w:footnoteReference w:id="23"/>
      </w:r>
    </w:p>
    <w:p w14:paraId="7954BD37" w14:textId="77777777" w:rsidR="00F05DC7" w:rsidRDefault="00F05DC7" w:rsidP="00A3786D">
      <w:pPr>
        <w:pStyle w:val="Heading4"/>
      </w:pPr>
      <w:r>
        <w:t>GST impact</w:t>
      </w:r>
    </w:p>
    <w:p w14:paraId="7954BD38" w14:textId="77777777" w:rsidR="00F05DC7" w:rsidRDefault="00F05DC7" w:rsidP="00A3786D">
      <w:pPr>
        <w:pStyle w:val="BodyText"/>
      </w:pPr>
      <w:r>
        <w:t>The combined GST impact from a unilateral reform of stamp duty/land tax is shown in table C.22 (for each reforming State only). Any State that carries out the reform would have lower GST payments, but the size of these impacts differ depending on the assumptions made about the elasticity of the tax base. In absolute terms, the net impact in GST payments of a unilateral reform by New South Wales or Victoria could exceed $1 billion.</w:t>
      </w:r>
    </w:p>
    <w:p w14:paraId="7954BD39" w14:textId="77777777" w:rsidR="00F05DC7" w:rsidRDefault="00F05DC7" w:rsidP="00A3786D">
      <w:pPr>
        <w:pStyle w:val="BodyText"/>
      </w:pPr>
      <w:r>
        <w:t xml:space="preserve">As a first mover on the reform, a reforming State would be made worse off in terms of its GST payments. This is because the State would be assessed as having a stronger capacity to raise revenue from stamp duty because of the growth in its assessed tax base, even though </w:t>
      </w:r>
      <w:r>
        <w:lastRenderedPageBreak/>
        <w:t>the reform would mean that it actually now raises less revenue. The land tax reform would also cause New South Wales and Victoria (which have a material impact on redistribution) to lose GST payments as they are assessed to have a stronger capacity to raise this tax.</w:t>
      </w:r>
      <w:r w:rsidRPr="00E74DEB">
        <w:t xml:space="preserve"> </w:t>
      </w:r>
    </w:p>
    <w:p w14:paraId="7954BD3A"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D3D" w14:textId="77777777" w:rsidTr="001113B1">
        <w:trPr>
          <w:tblHeader/>
        </w:trPr>
        <w:tc>
          <w:tcPr>
            <w:tcW w:w="5000" w:type="pct"/>
            <w:tcBorders>
              <w:top w:val="single" w:sz="6" w:space="0" w:color="78A22F"/>
              <w:left w:val="nil"/>
              <w:bottom w:val="nil"/>
              <w:right w:val="nil"/>
            </w:tcBorders>
            <w:shd w:val="clear" w:color="auto" w:fill="auto"/>
          </w:tcPr>
          <w:p w14:paraId="7954BD3B" w14:textId="3BC343D0" w:rsidR="00F05DC7" w:rsidRDefault="00F05DC7" w:rsidP="00A3786D">
            <w:pPr>
              <w:pStyle w:val="TableTitle"/>
            </w:pPr>
            <w:r>
              <w:rPr>
                <w:b w:val="0"/>
              </w:rPr>
              <w:t>Table C.22</w:t>
            </w:r>
            <w:r>
              <w:tab/>
              <w:t>GST impact of stamp duty/land tax reform</w:t>
            </w:r>
          </w:p>
          <w:p w14:paraId="7954BD3C" w14:textId="77777777" w:rsidR="00F05DC7" w:rsidRPr="00784A05" w:rsidRDefault="00F05DC7" w:rsidP="00A3786D">
            <w:pPr>
              <w:pStyle w:val="Subtitle"/>
            </w:pPr>
            <w:r>
              <w:t>Unilateral change made by each State, 2016</w:t>
            </w:r>
            <w:r>
              <w:noBreakHyphen/>
              <w:t>17</w:t>
            </w:r>
            <w:r w:rsidRPr="00171B8E">
              <w:rPr>
                <w:rStyle w:val="NoteLabel"/>
              </w:rPr>
              <w:t>a</w:t>
            </w:r>
          </w:p>
        </w:tc>
      </w:tr>
      <w:tr w:rsidR="00F05DC7" w14:paraId="7954BDB7"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713"/>
              <w:gridCol w:w="708"/>
              <w:gridCol w:w="708"/>
              <w:gridCol w:w="708"/>
              <w:gridCol w:w="708"/>
              <w:gridCol w:w="708"/>
              <w:gridCol w:w="709"/>
              <w:gridCol w:w="708"/>
            </w:tblGrid>
            <w:tr w:rsidR="00F05DC7" w:rsidRPr="00AD7DC6" w14:paraId="7954BD47" w14:textId="77777777" w:rsidTr="00A3786D">
              <w:trPr>
                <w:tblHeader/>
              </w:trPr>
              <w:tc>
                <w:tcPr>
                  <w:tcW w:w="1667" w:type="pct"/>
                  <w:tcBorders>
                    <w:top w:val="single" w:sz="6" w:space="0" w:color="BFBFBF"/>
                    <w:bottom w:val="single" w:sz="6" w:space="0" w:color="BFBFBF"/>
                  </w:tcBorders>
                  <w:shd w:val="clear" w:color="auto" w:fill="auto"/>
                  <w:tcMar>
                    <w:top w:w="28" w:type="dxa"/>
                  </w:tcMar>
                </w:tcPr>
                <w:p w14:paraId="7954BD3E" w14:textId="77777777" w:rsidR="00F05DC7" w:rsidRPr="00AD7DC6" w:rsidRDefault="00F05DC7" w:rsidP="00A3786D">
                  <w:pPr>
                    <w:pStyle w:val="TableColumnHeading"/>
                    <w:jc w:val="left"/>
                    <w:rPr>
                      <w:rFonts w:asciiTheme="minorHAnsi" w:hAnsiTheme="minorHAnsi" w:cstheme="minorHAnsi"/>
                      <w:szCs w:val="18"/>
                    </w:rPr>
                  </w:pPr>
                </w:p>
              </w:tc>
              <w:tc>
                <w:tcPr>
                  <w:tcW w:w="419" w:type="pct"/>
                  <w:tcBorders>
                    <w:top w:val="single" w:sz="6" w:space="0" w:color="BFBFBF"/>
                    <w:bottom w:val="single" w:sz="6" w:space="0" w:color="BFBFBF"/>
                  </w:tcBorders>
                  <w:shd w:val="clear" w:color="auto" w:fill="auto"/>
                  <w:vAlign w:val="bottom"/>
                </w:tcPr>
                <w:p w14:paraId="7954BD3F"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NSW</w:t>
                  </w:r>
                </w:p>
              </w:tc>
              <w:tc>
                <w:tcPr>
                  <w:tcW w:w="416" w:type="pct"/>
                  <w:tcBorders>
                    <w:top w:val="single" w:sz="6" w:space="0" w:color="BFBFBF"/>
                    <w:bottom w:val="single" w:sz="6" w:space="0" w:color="BFBFBF"/>
                  </w:tcBorders>
                  <w:shd w:val="clear" w:color="auto" w:fill="auto"/>
                  <w:tcMar>
                    <w:top w:w="28" w:type="dxa"/>
                  </w:tcMar>
                  <w:vAlign w:val="bottom"/>
                </w:tcPr>
                <w:p w14:paraId="7954BD40"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Vic</w:t>
                  </w:r>
                </w:p>
              </w:tc>
              <w:tc>
                <w:tcPr>
                  <w:tcW w:w="416" w:type="pct"/>
                  <w:tcBorders>
                    <w:top w:val="single" w:sz="6" w:space="0" w:color="BFBFBF"/>
                    <w:bottom w:val="single" w:sz="6" w:space="0" w:color="BFBFBF"/>
                  </w:tcBorders>
                  <w:shd w:val="clear" w:color="auto" w:fill="auto"/>
                  <w:vAlign w:val="bottom"/>
                </w:tcPr>
                <w:p w14:paraId="7954BD41"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Qld</w:t>
                  </w:r>
                </w:p>
              </w:tc>
              <w:tc>
                <w:tcPr>
                  <w:tcW w:w="416" w:type="pct"/>
                  <w:tcBorders>
                    <w:top w:val="single" w:sz="6" w:space="0" w:color="BFBFBF"/>
                    <w:bottom w:val="single" w:sz="6" w:space="0" w:color="BFBFBF"/>
                  </w:tcBorders>
                  <w:shd w:val="clear" w:color="auto" w:fill="auto"/>
                  <w:vAlign w:val="bottom"/>
                </w:tcPr>
                <w:p w14:paraId="7954BD42"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WA</w:t>
                  </w:r>
                </w:p>
              </w:tc>
              <w:tc>
                <w:tcPr>
                  <w:tcW w:w="416" w:type="pct"/>
                  <w:tcBorders>
                    <w:top w:val="single" w:sz="6" w:space="0" w:color="BFBFBF"/>
                    <w:bottom w:val="single" w:sz="6" w:space="0" w:color="BFBFBF"/>
                  </w:tcBorders>
                  <w:shd w:val="clear" w:color="auto" w:fill="auto"/>
                  <w:vAlign w:val="bottom"/>
                </w:tcPr>
                <w:p w14:paraId="7954BD43"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SA</w:t>
                  </w:r>
                </w:p>
              </w:tc>
              <w:tc>
                <w:tcPr>
                  <w:tcW w:w="416" w:type="pct"/>
                  <w:tcBorders>
                    <w:top w:val="single" w:sz="6" w:space="0" w:color="BFBFBF"/>
                    <w:bottom w:val="single" w:sz="6" w:space="0" w:color="BFBFBF"/>
                  </w:tcBorders>
                  <w:shd w:val="clear" w:color="auto" w:fill="auto"/>
                  <w:vAlign w:val="bottom"/>
                </w:tcPr>
                <w:p w14:paraId="7954BD44"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Tas</w:t>
                  </w:r>
                </w:p>
              </w:tc>
              <w:tc>
                <w:tcPr>
                  <w:tcW w:w="417" w:type="pct"/>
                  <w:tcBorders>
                    <w:top w:val="single" w:sz="6" w:space="0" w:color="BFBFBF"/>
                    <w:bottom w:val="single" w:sz="6" w:space="0" w:color="BFBFBF"/>
                  </w:tcBorders>
                  <w:shd w:val="clear" w:color="auto" w:fill="auto"/>
                  <w:vAlign w:val="bottom"/>
                </w:tcPr>
                <w:p w14:paraId="7954BD45"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ACT</w:t>
                  </w:r>
                </w:p>
              </w:tc>
              <w:tc>
                <w:tcPr>
                  <w:tcW w:w="416" w:type="pct"/>
                  <w:tcBorders>
                    <w:top w:val="single" w:sz="6" w:space="0" w:color="BFBFBF"/>
                    <w:bottom w:val="single" w:sz="6" w:space="0" w:color="BFBFBF"/>
                  </w:tcBorders>
                  <w:shd w:val="clear" w:color="auto" w:fill="auto"/>
                  <w:vAlign w:val="bottom"/>
                </w:tcPr>
                <w:p w14:paraId="7954BD46"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NT</w:t>
                  </w:r>
                </w:p>
              </w:tc>
            </w:tr>
            <w:tr w:rsidR="00F05DC7" w:rsidRPr="00AD7DC6" w14:paraId="7954BD51" w14:textId="77777777" w:rsidTr="00A3786D">
              <w:tc>
                <w:tcPr>
                  <w:tcW w:w="1667" w:type="pct"/>
                  <w:tcBorders>
                    <w:top w:val="single" w:sz="6" w:space="0" w:color="BFBFBF"/>
                  </w:tcBorders>
                  <w:shd w:val="clear" w:color="auto" w:fill="auto"/>
                  <w:vAlign w:val="center"/>
                </w:tcPr>
                <w:p w14:paraId="7954BD48" w14:textId="77777777" w:rsidR="00F05DC7" w:rsidRPr="00CE6393" w:rsidRDefault="00F05DC7" w:rsidP="004F6C34">
                  <w:pPr>
                    <w:pStyle w:val="TableBodyText"/>
                    <w:spacing w:before="80"/>
                    <w:jc w:val="left"/>
                  </w:pPr>
                  <w:r>
                    <w:t>Baseline:</w:t>
                  </w:r>
                  <w:r w:rsidRPr="00CE6393">
                    <w:t xml:space="preserve"> GST </w:t>
                  </w:r>
                  <w:r>
                    <w:t xml:space="preserve">annual </w:t>
                  </w:r>
                  <w:r w:rsidRPr="00CE6393">
                    <w:t>relativity</w:t>
                  </w:r>
                </w:p>
              </w:tc>
              <w:tc>
                <w:tcPr>
                  <w:tcW w:w="419" w:type="pct"/>
                  <w:tcBorders>
                    <w:top w:val="nil"/>
                    <w:left w:val="nil"/>
                    <w:bottom w:val="nil"/>
                    <w:right w:val="nil"/>
                  </w:tcBorders>
                  <w:shd w:val="clear" w:color="auto" w:fill="auto"/>
                  <w:vAlign w:val="bottom"/>
                </w:tcPr>
                <w:p w14:paraId="7954BD49" w14:textId="77777777" w:rsidR="00F05DC7" w:rsidRPr="00C94245" w:rsidRDefault="00F05DC7" w:rsidP="004F6C34">
                  <w:pPr>
                    <w:pStyle w:val="TableBodyText"/>
                    <w:spacing w:before="80"/>
                    <w:rPr>
                      <w:color w:val="000000" w:themeColor="text1"/>
                    </w:rPr>
                  </w:pPr>
                  <w:r w:rsidRPr="00C94245">
                    <w:rPr>
                      <w:bCs/>
                      <w:color w:val="000000" w:themeColor="text1"/>
                    </w:rPr>
                    <w:t>0.84</w:t>
                  </w:r>
                </w:p>
              </w:tc>
              <w:tc>
                <w:tcPr>
                  <w:tcW w:w="416" w:type="pct"/>
                  <w:tcBorders>
                    <w:top w:val="nil"/>
                    <w:left w:val="nil"/>
                    <w:bottom w:val="nil"/>
                    <w:right w:val="nil"/>
                  </w:tcBorders>
                  <w:shd w:val="clear" w:color="auto" w:fill="auto"/>
                  <w:vAlign w:val="bottom"/>
                </w:tcPr>
                <w:p w14:paraId="7954BD4A" w14:textId="77777777" w:rsidR="00F05DC7" w:rsidRPr="00C94245" w:rsidRDefault="00F05DC7" w:rsidP="004F6C34">
                  <w:pPr>
                    <w:pStyle w:val="TableBodyText"/>
                    <w:spacing w:before="80"/>
                    <w:rPr>
                      <w:color w:val="000000" w:themeColor="text1"/>
                    </w:rPr>
                  </w:pPr>
                  <w:r w:rsidRPr="00C94245">
                    <w:rPr>
                      <w:bCs/>
                      <w:color w:val="000000" w:themeColor="text1"/>
                    </w:rPr>
                    <w:t>1.01</w:t>
                  </w:r>
                </w:p>
              </w:tc>
              <w:tc>
                <w:tcPr>
                  <w:tcW w:w="416" w:type="pct"/>
                  <w:tcBorders>
                    <w:top w:val="nil"/>
                    <w:left w:val="nil"/>
                    <w:bottom w:val="nil"/>
                    <w:right w:val="nil"/>
                  </w:tcBorders>
                  <w:shd w:val="clear" w:color="auto" w:fill="auto"/>
                  <w:vAlign w:val="bottom"/>
                </w:tcPr>
                <w:p w14:paraId="7954BD4B" w14:textId="77777777" w:rsidR="00F05DC7" w:rsidRPr="00C94245" w:rsidRDefault="00F05DC7" w:rsidP="004F6C34">
                  <w:pPr>
                    <w:pStyle w:val="TableBodyText"/>
                    <w:spacing w:before="80"/>
                    <w:rPr>
                      <w:color w:val="000000" w:themeColor="text1"/>
                    </w:rPr>
                  </w:pPr>
                  <w:r w:rsidRPr="00C94245">
                    <w:rPr>
                      <w:bCs/>
                      <w:color w:val="000000" w:themeColor="text1"/>
                    </w:rPr>
                    <w:t>1.03</w:t>
                  </w:r>
                </w:p>
              </w:tc>
              <w:tc>
                <w:tcPr>
                  <w:tcW w:w="416" w:type="pct"/>
                  <w:tcBorders>
                    <w:top w:val="nil"/>
                    <w:left w:val="nil"/>
                    <w:bottom w:val="nil"/>
                    <w:right w:val="nil"/>
                  </w:tcBorders>
                  <w:shd w:val="clear" w:color="auto" w:fill="auto"/>
                  <w:vAlign w:val="bottom"/>
                </w:tcPr>
                <w:p w14:paraId="7954BD4C" w14:textId="77777777" w:rsidR="00F05DC7" w:rsidRPr="00C94245" w:rsidRDefault="00F05DC7" w:rsidP="004F6C34">
                  <w:pPr>
                    <w:pStyle w:val="TableBodyText"/>
                    <w:spacing w:before="80"/>
                    <w:rPr>
                      <w:color w:val="000000" w:themeColor="text1"/>
                    </w:rPr>
                  </w:pPr>
                  <w:r w:rsidRPr="00C94245">
                    <w:rPr>
                      <w:bCs/>
                      <w:color w:val="000000" w:themeColor="text1"/>
                    </w:rPr>
                    <w:t>0.57</w:t>
                  </w:r>
                </w:p>
              </w:tc>
              <w:tc>
                <w:tcPr>
                  <w:tcW w:w="416" w:type="pct"/>
                  <w:tcBorders>
                    <w:top w:val="nil"/>
                    <w:left w:val="nil"/>
                    <w:bottom w:val="nil"/>
                    <w:right w:val="nil"/>
                  </w:tcBorders>
                  <w:shd w:val="clear" w:color="auto" w:fill="auto"/>
                  <w:vAlign w:val="bottom"/>
                </w:tcPr>
                <w:p w14:paraId="7954BD4D" w14:textId="77777777" w:rsidR="00F05DC7" w:rsidRPr="00C94245" w:rsidRDefault="00F05DC7" w:rsidP="004F6C34">
                  <w:pPr>
                    <w:pStyle w:val="TableBodyText"/>
                    <w:spacing w:before="80"/>
                    <w:rPr>
                      <w:color w:val="000000" w:themeColor="text1"/>
                    </w:rPr>
                  </w:pPr>
                  <w:r w:rsidRPr="00C94245">
                    <w:rPr>
                      <w:bCs/>
                      <w:color w:val="000000" w:themeColor="text1"/>
                    </w:rPr>
                    <w:t>1.53</w:t>
                  </w:r>
                </w:p>
              </w:tc>
              <w:tc>
                <w:tcPr>
                  <w:tcW w:w="416" w:type="pct"/>
                  <w:tcBorders>
                    <w:top w:val="nil"/>
                    <w:left w:val="nil"/>
                    <w:bottom w:val="nil"/>
                    <w:right w:val="nil"/>
                  </w:tcBorders>
                  <w:shd w:val="clear" w:color="auto" w:fill="auto"/>
                  <w:vAlign w:val="bottom"/>
                </w:tcPr>
                <w:p w14:paraId="7954BD4E" w14:textId="77777777" w:rsidR="00F05DC7" w:rsidRPr="00C94245" w:rsidRDefault="00F05DC7" w:rsidP="004F6C34">
                  <w:pPr>
                    <w:pStyle w:val="TableBodyText"/>
                    <w:spacing w:before="80"/>
                    <w:rPr>
                      <w:color w:val="000000" w:themeColor="text1"/>
                    </w:rPr>
                  </w:pPr>
                  <w:r w:rsidRPr="00C94245">
                    <w:rPr>
                      <w:bCs/>
                      <w:color w:val="000000" w:themeColor="text1"/>
                    </w:rPr>
                    <w:t>1.72</w:t>
                  </w:r>
                </w:p>
              </w:tc>
              <w:tc>
                <w:tcPr>
                  <w:tcW w:w="417" w:type="pct"/>
                  <w:tcBorders>
                    <w:top w:val="nil"/>
                    <w:left w:val="nil"/>
                    <w:bottom w:val="nil"/>
                    <w:right w:val="nil"/>
                  </w:tcBorders>
                  <w:shd w:val="clear" w:color="auto" w:fill="auto"/>
                  <w:vAlign w:val="bottom"/>
                </w:tcPr>
                <w:p w14:paraId="7954BD4F" w14:textId="77777777" w:rsidR="00F05DC7" w:rsidRPr="00C94245" w:rsidRDefault="00F05DC7" w:rsidP="004F6C34">
                  <w:pPr>
                    <w:pStyle w:val="TableBodyText"/>
                    <w:spacing w:before="80"/>
                    <w:rPr>
                      <w:color w:val="000000" w:themeColor="text1"/>
                    </w:rPr>
                  </w:pPr>
                  <w:r w:rsidRPr="00C94245">
                    <w:rPr>
                      <w:bCs/>
                      <w:color w:val="000000" w:themeColor="text1"/>
                    </w:rPr>
                    <w:t>1.21</w:t>
                  </w:r>
                </w:p>
              </w:tc>
              <w:tc>
                <w:tcPr>
                  <w:tcW w:w="416" w:type="pct"/>
                  <w:tcBorders>
                    <w:top w:val="nil"/>
                    <w:left w:val="nil"/>
                    <w:bottom w:val="nil"/>
                    <w:right w:val="nil"/>
                  </w:tcBorders>
                  <w:shd w:val="clear" w:color="auto" w:fill="auto"/>
                  <w:vAlign w:val="bottom"/>
                </w:tcPr>
                <w:p w14:paraId="7954BD50" w14:textId="77777777" w:rsidR="00F05DC7" w:rsidRPr="00C94245" w:rsidRDefault="00F05DC7" w:rsidP="004F6C34">
                  <w:pPr>
                    <w:pStyle w:val="TableBodyText"/>
                    <w:spacing w:before="80"/>
                    <w:rPr>
                      <w:color w:val="000000" w:themeColor="text1"/>
                    </w:rPr>
                  </w:pPr>
                  <w:r w:rsidRPr="00C94245">
                    <w:rPr>
                      <w:bCs/>
                      <w:color w:val="000000" w:themeColor="text1"/>
                    </w:rPr>
                    <w:t>4.19</w:t>
                  </w:r>
                </w:p>
              </w:tc>
            </w:tr>
            <w:tr w:rsidR="00F05DC7" w:rsidRPr="00AD7DC6" w14:paraId="7954BD5B" w14:textId="77777777" w:rsidTr="00A3786D">
              <w:tc>
                <w:tcPr>
                  <w:tcW w:w="1667" w:type="pct"/>
                  <w:shd w:val="clear" w:color="auto" w:fill="auto"/>
                  <w:vAlign w:val="center"/>
                </w:tcPr>
                <w:p w14:paraId="7954BD52" w14:textId="77777777" w:rsidR="00F05DC7" w:rsidRPr="00CE6393" w:rsidRDefault="00F05DC7" w:rsidP="00A3786D">
                  <w:pPr>
                    <w:spacing w:before="80"/>
                    <w:ind w:right="57"/>
                    <w:rPr>
                      <w:rFonts w:asciiTheme="minorHAnsi" w:hAnsiTheme="minorHAnsi" w:cstheme="minorHAnsi"/>
                      <w:b/>
                      <w:bCs/>
                      <w:color w:val="000000"/>
                      <w:szCs w:val="18"/>
                    </w:rPr>
                  </w:pPr>
                  <w:r w:rsidRPr="00A6143F">
                    <w:rPr>
                      <w:rFonts w:asciiTheme="minorHAnsi" w:hAnsiTheme="minorHAnsi" w:cstheme="minorHAnsi"/>
                      <w:b/>
                      <w:color w:val="000000"/>
                      <w:sz w:val="18"/>
                      <w:szCs w:val="18"/>
                    </w:rPr>
                    <w:t>Lower-bound</w:t>
                  </w:r>
                </w:p>
              </w:tc>
              <w:tc>
                <w:tcPr>
                  <w:tcW w:w="419" w:type="pct"/>
                  <w:shd w:val="clear" w:color="auto" w:fill="auto"/>
                  <w:vAlign w:val="center"/>
                </w:tcPr>
                <w:p w14:paraId="7954BD53" w14:textId="77777777" w:rsidR="00F05DC7" w:rsidRPr="000C175D" w:rsidRDefault="00F05DC7" w:rsidP="00A3786D">
                  <w:pPr>
                    <w:pStyle w:val="TableUnitsRow"/>
                    <w:ind w:right="57"/>
                    <w:rPr>
                      <w:rFonts w:cs="Arial"/>
                      <w:szCs w:val="18"/>
                    </w:rPr>
                  </w:pPr>
                </w:p>
              </w:tc>
              <w:tc>
                <w:tcPr>
                  <w:tcW w:w="416" w:type="pct"/>
                  <w:shd w:val="clear" w:color="auto" w:fill="auto"/>
                  <w:vAlign w:val="center"/>
                </w:tcPr>
                <w:p w14:paraId="7954BD54" w14:textId="77777777" w:rsidR="00F05DC7" w:rsidRPr="000C175D" w:rsidRDefault="00F05DC7" w:rsidP="00A3786D">
                  <w:pPr>
                    <w:pStyle w:val="TableUnitsRow"/>
                    <w:ind w:right="57"/>
                    <w:rPr>
                      <w:rFonts w:cs="Arial"/>
                      <w:szCs w:val="18"/>
                    </w:rPr>
                  </w:pPr>
                </w:p>
              </w:tc>
              <w:tc>
                <w:tcPr>
                  <w:tcW w:w="416" w:type="pct"/>
                  <w:shd w:val="clear" w:color="auto" w:fill="auto"/>
                  <w:vAlign w:val="center"/>
                </w:tcPr>
                <w:p w14:paraId="7954BD55" w14:textId="77777777" w:rsidR="00F05DC7" w:rsidRPr="000C175D" w:rsidRDefault="00F05DC7" w:rsidP="00A3786D">
                  <w:pPr>
                    <w:pStyle w:val="TableUnitsRow"/>
                    <w:ind w:right="57"/>
                    <w:rPr>
                      <w:rFonts w:cs="Arial"/>
                      <w:szCs w:val="18"/>
                    </w:rPr>
                  </w:pPr>
                </w:p>
              </w:tc>
              <w:tc>
                <w:tcPr>
                  <w:tcW w:w="416" w:type="pct"/>
                  <w:shd w:val="clear" w:color="auto" w:fill="auto"/>
                  <w:vAlign w:val="center"/>
                </w:tcPr>
                <w:p w14:paraId="7954BD56" w14:textId="77777777" w:rsidR="00F05DC7" w:rsidRPr="000C175D" w:rsidRDefault="00F05DC7" w:rsidP="00A3786D">
                  <w:pPr>
                    <w:pStyle w:val="TableUnitsRow"/>
                    <w:ind w:right="57"/>
                    <w:rPr>
                      <w:rFonts w:cs="Arial"/>
                      <w:szCs w:val="18"/>
                    </w:rPr>
                  </w:pPr>
                </w:p>
              </w:tc>
              <w:tc>
                <w:tcPr>
                  <w:tcW w:w="416" w:type="pct"/>
                  <w:shd w:val="clear" w:color="auto" w:fill="auto"/>
                  <w:vAlign w:val="center"/>
                </w:tcPr>
                <w:p w14:paraId="7954BD57" w14:textId="77777777" w:rsidR="00F05DC7" w:rsidRPr="000C175D" w:rsidRDefault="00F05DC7" w:rsidP="00A3786D">
                  <w:pPr>
                    <w:pStyle w:val="TableUnitsRow"/>
                    <w:ind w:right="57"/>
                    <w:rPr>
                      <w:rFonts w:cs="Arial"/>
                      <w:szCs w:val="18"/>
                    </w:rPr>
                  </w:pPr>
                </w:p>
              </w:tc>
              <w:tc>
                <w:tcPr>
                  <w:tcW w:w="416" w:type="pct"/>
                  <w:shd w:val="clear" w:color="auto" w:fill="auto"/>
                  <w:vAlign w:val="center"/>
                </w:tcPr>
                <w:p w14:paraId="7954BD58" w14:textId="77777777" w:rsidR="00F05DC7" w:rsidRPr="000C175D" w:rsidRDefault="00F05DC7" w:rsidP="00A3786D">
                  <w:pPr>
                    <w:pStyle w:val="TableUnitsRow"/>
                    <w:ind w:right="57"/>
                    <w:rPr>
                      <w:rFonts w:cs="Arial"/>
                      <w:szCs w:val="18"/>
                    </w:rPr>
                  </w:pPr>
                </w:p>
              </w:tc>
              <w:tc>
                <w:tcPr>
                  <w:tcW w:w="417" w:type="pct"/>
                  <w:shd w:val="clear" w:color="auto" w:fill="auto"/>
                  <w:vAlign w:val="center"/>
                </w:tcPr>
                <w:p w14:paraId="7954BD59" w14:textId="77777777" w:rsidR="00F05DC7" w:rsidRPr="000C175D" w:rsidRDefault="00F05DC7" w:rsidP="00A3786D">
                  <w:pPr>
                    <w:pStyle w:val="TableUnitsRow"/>
                    <w:ind w:right="57"/>
                    <w:rPr>
                      <w:rFonts w:cs="Arial"/>
                      <w:szCs w:val="18"/>
                    </w:rPr>
                  </w:pPr>
                </w:p>
              </w:tc>
              <w:tc>
                <w:tcPr>
                  <w:tcW w:w="416" w:type="pct"/>
                  <w:shd w:val="clear" w:color="auto" w:fill="auto"/>
                  <w:vAlign w:val="center"/>
                </w:tcPr>
                <w:p w14:paraId="7954BD5A" w14:textId="77777777" w:rsidR="00F05DC7" w:rsidRPr="000C175D" w:rsidRDefault="00F05DC7" w:rsidP="00A3786D">
                  <w:pPr>
                    <w:pStyle w:val="TableUnitsRow"/>
                    <w:ind w:right="57"/>
                    <w:rPr>
                      <w:rFonts w:cs="Arial"/>
                      <w:szCs w:val="18"/>
                    </w:rPr>
                  </w:pPr>
                </w:p>
              </w:tc>
            </w:tr>
            <w:tr w:rsidR="00F05DC7" w:rsidRPr="00AD7DC6" w14:paraId="7954BD65" w14:textId="77777777" w:rsidTr="00A3786D">
              <w:tc>
                <w:tcPr>
                  <w:tcW w:w="1667" w:type="pct"/>
                  <w:shd w:val="clear" w:color="auto" w:fill="auto"/>
                  <w:vAlign w:val="center"/>
                </w:tcPr>
                <w:p w14:paraId="7954BD5C" w14:textId="77777777" w:rsidR="00F05DC7" w:rsidRPr="00CE6393" w:rsidRDefault="00F05DC7" w:rsidP="00A3786D">
                  <w:pPr>
                    <w:pStyle w:val="TableBodyText"/>
                    <w:jc w:val="left"/>
                  </w:pPr>
                  <w:r>
                    <w:t xml:space="preserve">Change in </w:t>
                  </w:r>
                  <w:r w:rsidRPr="00CE6393">
                    <w:t xml:space="preserve">GST </w:t>
                  </w:r>
                  <w:r>
                    <w:t>payments</w:t>
                  </w:r>
                  <w:r w:rsidRPr="00CE6393">
                    <w:t xml:space="preserve"> (</w:t>
                  </w:r>
                  <w:r>
                    <w:t>$m</w:t>
                  </w:r>
                  <w:r w:rsidRPr="00CE6393">
                    <w:t>)</w:t>
                  </w:r>
                </w:p>
              </w:tc>
              <w:tc>
                <w:tcPr>
                  <w:tcW w:w="419" w:type="pct"/>
                  <w:shd w:val="clear" w:color="auto" w:fill="auto"/>
                  <w:vAlign w:val="center"/>
                </w:tcPr>
                <w:p w14:paraId="7954BD5D" w14:textId="77777777" w:rsidR="00F05DC7" w:rsidRPr="009D5B1D" w:rsidRDefault="00F05DC7" w:rsidP="00A3786D">
                  <w:pPr>
                    <w:pStyle w:val="TableBodyText"/>
                    <w:rPr>
                      <w:rFonts w:cs="Arial"/>
                    </w:rPr>
                  </w:pPr>
                  <w:r w:rsidRPr="009D5B1D">
                    <w:rPr>
                      <w:rFonts w:cs="Arial"/>
                    </w:rPr>
                    <w:t>-337</w:t>
                  </w:r>
                </w:p>
              </w:tc>
              <w:tc>
                <w:tcPr>
                  <w:tcW w:w="416" w:type="pct"/>
                  <w:shd w:val="clear" w:color="auto" w:fill="auto"/>
                  <w:vAlign w:val="center"/>
                </w:tcPr>
                <w:p w14:paraId="7954BD5E" w14:textId="77777777" w:rsidR="00F05DC7" w:rsidRPr="009D5B1D" w:rsidRDefault="00F05DC7" w:rsidP="00A3786D">
                  <w:pPr>
                    <w:pStyle w:val="TableBodyText"/>
                    <w:rPr>
                      <w:rFonts w:cs="Arial"/>
                    </w:rPr>
                  </w:pPr>
                  <w:r w:rsidRPr="009D5B1D">
                    <w:rPr>
                      <w:rFonts w:cs="Arial"/>
                    </w:rPr>
                    <w:t>-351</w:t>
                  </w:r>
                </w:p>
              </w:tc>
              <w:tc>
                <w:tcPr>
                  <w:tcW w:w="416" w:type="pct"/>
                  <w:shd w:val="clear" w:color="auto" w:fill="auto"/>
                  <w:vAlign w:val="center"/>
                </w:tcPr>
                <w:p w14:paraId="7954BD5F" w14:textId="77777777" w:rsidR="00F05DC7" w:rsidRPr="009D5B1D" w:rsidRDefault="00F05DC7" w:rsidP="00A3786D">
                  <w:pPr>
                    <w:pStyle w:val="TableBodyText"/>
                    <w:rPr>
                      <w:rFonts w:cs="Arial"/>
                    </w:rPr>
                  </w:pPr>
                  <w:r w:rsidRPr="009D5B1D">
                    <w:rPr>
                      <w:rFonts w:cs="Arial"/>
                    </w:rPr>
                    <w:t>-308</w:t>
                  </w:r>
                </w:p>
              </w:tc>
              <w:tc>
                <w:tcPr>
                  <w:tcW w:w="416" w:type="pct"/>
                  <w:shd w:val="clear" w:color="auto" w:fill="auto"/>
                  <w:vAlign w:val="center"/>
                </w:tcPr>
                <w:p w14:paraId="7954BD60" w14:textId="77777777" w:rsidR="00F05DC7" w:rsidRPr="009D5B1D" w:rsidRDefault="00F05DC7" w:rsidP="00A3786D">
                  <w:pPr>
                    <w:pStyle w:val="TableBodyText"/>
                    <w:rPr>
                      <w:rFonts w:cs="Arial"/>
                    </w:rPr>
                  </w:pPr>
                  <w:r w:rsidRPr="009D5B1D">
                    <w:rPr>
                      <w:rFonts w:cs="Arial"/>
                    </w:rPr>
                    <w:t>-131</w:t>
                  </w:r>
                </w:p>
              </w:tc>
              <w:tc>
                <w:tcPr>
                  <w:tcW w:w="416" w:type="pct"/>
                  <w:shd w:val="clear" w:color="auto" w:fill="auto"/>
                  <w:vAlign w:val="center"/>
                </w:tcPr>
                <w:p w14:paraId="7954BD61" w14:textId="77777777" w:rsidR="00F05DC7" w:rsidRPr="009D5B1D" w:rsidRDefault="00F05DC7" w:rsidP="00A3786D">
                  <w:pPr>
                    <w:pStyle w:val="TableBodyText"/>
                    <w:rPr>
                      <w:rFonts w:cs="Arial"/>
                    </w:rPr>
                  </w:pPr>
                  <w:r w:rsidRPr="009D5B1D">
                    <w:rPr>
                      <w:rFonts w:cs="Arial"/>
                    </w:rPr>
                    <w:t>-83</w:t>
                  </w:r>
                </w:p>
              </w:tc>
              <w:tc>
                <w:tcPr>
                  <w:tcW w:w="416" w:type="pct"/>
                  <w:shd w:val="clear" w:color="auto" w:fill="auto"/>
                  <w:vAlign w:val="center"/>
                </w:tcPr>
                <w:p w14:paraId="7954BD62" w14:textId="77777777" w:rsidR="00F05DC7" w:rsidRPr="009D5B1D" w:rsidRDefault="00F05DC7" w:rsidP="00A3786D">
                  <w:pPr>
                    <w:pStyle w:val="TableBodyText"/>
                    <w:rPr>
                      <w:rFonts w:cs="Arial"/>
                    </w:rPr>
                  </w:pPr>
                  <w:r w:rsidRPr="009D5B1D">
                    <w:rPr>
                      <w:rFonts w:cs="Arial"/>
                    </w:rPr>
                    <w:t>-24</w:t>
                  </w:r>
                </w:p>
              </w:tc>
              <w:tc>
                <w:tcPr>
                  <w:tcW w:w="417" w:type="pct"/>
                  <w:shd w:val="clear" w:color="auto" w:fill="auto"/>
                  <w:vAlign w:val="center"/>
                </w:tcPr>
                <w:p w14:paraId="7954BD63" w14:textId="77777777" w:rsidR="00F05DC7" w:rsidRPr="009D5B1D" w:rsidRDefault="00F05DC7" w:rsidP="00A3786D">
                  <w:pPr>
                    <w:pStyle w:val="TableBodyText"/>
                    <w:rPr>
                      <w:rFonts w:cs="Arial"/>
                    </w:rPr>
                  </w:pPr>
                  <w:r w:rsidRPr="009D5B1D">
                    <w:rPr>
                      <w:rFonts w:cs="Arial"/>
                    </w:rPr>
                    <w:t>-33</w:t>
                  </w:r>
                </w:p>
              </w:tc>
              <w:tc>
                <w:tcPr>
                  <w:tcW w:w="416" w:type="pct"/>
                  <w:shd w:val="clear" w:color="auto" w:fill="auto"/>
                  <w:vAlign w:val="center"/>
                </w:tcPr>
                <w:p w14:paraId="7954BD64" w14:textId="77777777" w:rsidR="00F05DC7" w:rsidRPr="009D5B1D" w:rsidRDefault="00F05DC7" w:rsidP="00A3786D">
                  <w:pPr>
                    <w:pStyle w:val="TableBodyText"/>
                    <w:rPr>
                      <w:rFonts w:cs="Arial"/>
                    </w:rPr>
                  </w:pPr>
                  <w:r w:rsidRPr="009D5B1D">
                    <w:rPr>
                      <w:rFonts w:cs="Arial"/>
                    </w:rPr>
                    <w:t>-10</w:t>
                  </w:r>
                </w:p>
              </w:tc>
            </w:tr>
            <w:tr w:rsidR="00F05DC7" w:rsidRPr="00AD7DC6" w14:paraId="7954BD6F" w14:textId="77777777" w:rsidTr="00A3786D">
              <w:tc>
                <w:tcPr>
                  <w:tcW w:w="1667" w:type="pct"/>
                  <w:shd w:val="clear" w:color="auto" w:fill="auto"/>
                  <w:vAlign w:val="center"/>
                </w:tcPr>
                <w:p w14:paraId="7954BD66" w14:textId="77777777" w:rsidR="00F05DC7" w:rsidRPr="00CE6393" w:rsidRDefault="00F05DC7" w:rsidP="00A3786D">
                  <w:pPr>
                    <w:pStyle w:val="TableBodyText"/>
                    <w:jc w:val="left"/>
                  </w:pPr>
                  <w:r>
                    <w:t xml:space="preserve">Change in </w:t>
                  </w:r>
                  <w:r w:rsidRPr="00CE6393">
                    <w:t xml:space="preserve">GST </w:t>
                  </w:r>
                  <w:r>
                    <w:t>payments</w:t>
                  </w:r>
                  <w:r w:rsidRPr="00CE6393">
                    <w:t xml:space="preserve"> (</w:t>
                  </w:r>
                  <w:r>
                    <w:t>$pc</w:t>
                  </w:r>
                  <w:r w:rsidRPr="00CE6393">
                    <w:t>)</w:t>
                  </w:r>
                </w:p>
              </w:tc>
              <w:tc>
                <w:tcPr>
                  <w:tcW w:w="419" w:type="pct"/>
                  <w:shd w:val="clear" w:color="auto" w:fill="auto"/>
                  <w:vAlign w:val="center"/>
                </w:tcPr>
                <w:p w14:paraId="7954BD67" w14:textId="77777777" w:rsidR="00F05DC7" w:rsidRPr="009D5B1D" w:rsidRDefault="00F05DC7" w:rsidP="00A3786D">
                  <w:pPr>
                    <w:pStyle w:val="TableBodyText"/>
                    <w:rPr>
                      <w:rFonts w:cs="Arial"/>
                    </w:rPr>
                  </w:pPr>
                  <w:r w:rsidRPr="009D5B1D">
                    <w:rPr>
                      <w:rFonts w:cs="Arial"/>
                    </w:rPr>
                    <w:t>-43</w:t>
                  </w:r>
                </w:p>
              </w:tc>
              <w:tc>
                <w:tcPr>
                  <w:tcW w:w="416" w:type="pct"/>
                  <w:shd w:val="clear" w:color="auto" w:fill="auto"/>
                  <w:vAlign w:val="center"/>
                </w:tcPr>
                <w:p w14:paraId="7954BD68" w14:textId="77777777" w:rsidR="00F05DC7" w:rsidRPr="009D5B1D" w:rsidRDefault="00F05DC7" w:rsidP="00A3786D">
                  <w:pPr>
                    <w:pStyle w:val="TableBodyText"/>
                    <w:rPr>
                      <w:rFonts w:cs="Arial"/>
                    </w:rPr>
                  </w:pPr>
                  <w:r w:rsidRPr="009D5B1D">
                    <w:rPr>
                      <w:rFonts w:cs="Arial"/>
                    </w:rPr>
                    <w:t>-56</w:t>
                  </w:r>
                </w:p>
              </w:tc>
              <w:tc>
                <w:tcPr>
                  <w:tcW w:w="416" w:type="pct"/>
                  <w:shd w:val="clear" w:color="auto" w:fill="auto"/>
                  <w:vAlign w:val="center"/>
                </w:tcPr>
                <w:p w14:paraId="7954BD69" w14:textId="77777777" w:rsidR="00F05DC7" w:rsidRPr="009D5B1D" w:rsidRDefault="00F05DC7" w:rsidP="00A3786D">
                  <w:pPr>
                    <w:pStyle w:val="TableBodyText"/>
                    <w:rPr>
                      <w:rFonts w:cs="Arial"/>
                    </w:rPr>
                  </w:pPr>
                  <w:r w:rsidRPr="009D5B1D">
                    <w:rPr>
                      <w:rFonts w:cs="Arial"/>
                    </w:rPr>
                    <w:t>-63</w:t>
                  </w:r>
                </w:p>
              </w:tc>
              <w:tc>
                <w:tcPr>
                  <w:tcW w:w="416" w:type="pct"/>
                  <w:shd w:val="clear" w:color="auto" w:fill="auto"/>
                  <w:vAlign w:val="center"/>
                </w:tcPr>
                <w:p w14:paraId="7954BD6A" w14:textId="77777777" w:rsidR="00F05DC7" w:rsidRPr="009D5B1D" w:rsidRDefault="00F05DC7" w:rsidP="00A3786D">
                  <w:pPr>
                    <w:pStyle w:val="TableBodyText"/>
                    <w:rPr>
                      <w:rFonts w:cs="Arial"/>
                    </w:rPr>
                  </w:pPr>
                  <w:r w:rsidRPr="009D5B1D">
                    <w:rPr>
                      <w:rFonts w:cs="Arial"/>
                    </w:rPr>
                    <w:t>-51</w:t>
                  </w:r>
                </w:p>
              </w:tc>
              <w:tc>
                <w:tcPr>
                  <w:tcW w:w="416" w:type="pct"/>
                  <w:shd w:val="clear" w:color="auto" w:fill="auto"/>
                  <w:vAlign w:val="center"/>
                </w:tcPr>
                <w:p w14:paraId="7954BD6B" w14:textId="77777777" w:rsidR="00F05DC7" w:rsidRPr="009D5B1D" w:rsidRDefault="00F05DC7" w:rsidP="00A3786D">
                  <w:pPr>
                    <w:pStyle w:val="TableBodyText"/>
                    <w:rPr>
                      <w:rFonts w:cs="Arial"/>
                    </w:rPr>
                  </w:pPr>
                  <w:r w:rsidRPr="009D5B1D">
                    <w:rPr>
                      <w:rFonts w:cs="Arial"/>
                    </w:rPr>
                    <w:t>-48</w:t>
                  </w:r>
                </w:p>
              </w:tc>
              <w:tc>
                <w:tcPr>
                  <w:tcW w:w="416" w:type="pct"/>
                  <w:shd w:val="clear" w:color="auto" w:fill="auto"/>
                  <w:vAlign w:val="center"/>
                </w:tcPr>
                <w:p w14:paraId="7954BD6C" w14:textId="77777777" w:rsidR="00F05DC7" w:rsidRPr="009D5B1D" w:rsidRDefault="00F05DC7" w:rsidP="00A3786D">
                  <w:pPr>
                    <w:pStyle w:val="TableBodyText"/>
                    <w:rPr>
                      <w:rFonts w:cs="Arial"/>
                    </w:rPr>
                  </w:pPr>
                  <w:r w:rsidRPr="009D5B1D">
                    <w:rPr>
                      <w:rFonts w:cs="Arial"/>
                    </w:rPr>
                    <w:t>-45</w:t>
                  </w:r>
                </w:p>
              </w:tc>
              <w:tc>
                <w:tcPr>
                  <w:tcW w:w="417" w:type="pct"/>
                  <w:shd w:val="clear" w:color="auto" w:fill="auto"/>
                  <w:vAlign w:val="center"/>
                </w:tcPr>
                <w:p w14:paraId="7954BD6D" w14:textId="77777777" w:rsidR="00F05DC7" w:rsidRPr="009D5B1D" w:rsidRDefault="00F05DC7" w:rsidP="00A3786D">
                  <w:pPr>
                    <w:pStyle w:val="TableBodyText"/>
                    <w:rPr>
                      <w:rFonts w:cs="Arial"/>
                    </w:rPr>
                  </w:pPr>
                  <w:r w:rsidRPr="009D5B1D">
                    <w:rPr>
                      <w:rFonts w:cs="Arial"/>
                    </w:rPr>
                    <w:t>-82</w:t>
                  </w:r>
                </w:p>
              </w:tc>
              <w:tc>
                <w:tcPr>
                  <w:tcW w:w="416" w:type="pct"/>
                  <w:shd w:val="clear" w:color="auto" w:fill="auto"/>
                  <w:vAlign w:val="center"/>
                </w:tcPr>
                <w:p w14:paraId="7954BD6E" w14:textId="77777777" w:rsidR="00F05DC7" w:rsidRPr="009D5B1D" w:rsidRDefault="00F05DC7" w:rsidP="00A3786D">
                  <w:pPr>
                    <w:pStyle w:val="TableBodyText"/>
                    <w:rPr>
                      <w:rFonts w:cs="Arial"/>
                    </w:rPr>
                  </w:pPr>
                  <w:r w:rsidRPr="009D5B1D">
                    <w:rPr>
                      <w:rFonts w:cs="Arial"/>
                    </w:rPr>
                    <w:t>-39</w:t>
                  </w:r>
                </w:p>
              </w:tc>
            </w:tr>
            <w:tr w:rsidR="00F05DC7" w:rsidRPr="00AD7DC6" w14:paraId="7954BD79" w14:textId="77777777" w:rsidTr="00A3786D">
              <w:tc>
                <w:tcPr>
                  <w:tcW w:w="1667" w:type="pct"/>
                  <w:shd w:val="clear" w:color="auto" w:fill="auto"/>
                  <w:vAlign w:val="center"/>
                </w:tcPr>
                <w:p w14:paraId="7954BD70" w14:textId="77777777" w:rsidR="00F05DC7" w:rsidRDefault="00F05DC7" w:rsidP="00A3786D">
                  <w:pPr>
                    <w:pStyle w:val="TableBodyText"/>
                    <w:jc w:val="left"/>
                  </w:pPr>
                  <w:r w:rsidRPr="00AE067B">
                    <w:rPr>
                      <w:rFonts w:cs="Arial"/>
                    </w:rPr>
                    <w:t>Change in GST payments (% of State revenue)</w:t>
                  </w:r>
                </w:p>
              </w:tc>
              <w:tc>
                <w:tcPr>
                  <w:tcW w:w="419" w:type="pct"/>
                  <w:tcBorders>
                    <w:top w:val="nil"/>
                    <w:left w:val="nil"/>
                    <w:bottom w:val="nil"/>
                    <w:right w:val="nil"/>
                  </w:tcBorders>
                  <w:shd w:val="clear" w:color="auto" w:fill="auto"/>
                  <w:vAlign w:val="bottom"/>
                </w:tcPr>
                <w:p w14:paraId="7954BD71" w14:textId="77777777" w:rsidR="00F05DC7" w:rsidRPr="009D5B1D" w:rsidRDefault="00F05DC7" w:rsidP="00A3786D">
                  <w:pPr>
                    <w:pStyle w:val="TableBodyText"/>
                    <w:rPr>
                      <w:rFonts w:cs="Arial"/>
                    </w:rPr>
                  </w:pPr>
                  <w:r w:rsidRPr="009D5B1D">
                    <w:rPr>
                      <w:rFonts w:cs="Arial"/>
                    </w:rPr>
                    <w:t>-0.4</w:t>
                  </w:r>
                </w:p>
              </w:tc>
              <w:tc>
                <w:tcPr>
                  <w:tcW w:w="416" w:type="pct"/>
                  <w:tcBorders>
                    <w:top w:val="nil"/>
                    <w:left w:val="nil"/>
                    <w:bottom w:val="nil"/>
                    <w:right w:val="nil"/>
                  </w:tcBorders>
                  <w:shd w:val="clear" w:color="auto" w:fill="auto"/>
                  <w:vAlign w:val="bottom"/>
                </w:tcPr>
                <w:p w14:paraId="7954BD72" w14:textId="77777777" w:rsidR="00F05DC7" w:rsidRPr="009D5B1D" w:rsidRDefault="00F05DC7" w:rsidP="00A3786D">
                  <w:pPr>
                    <w:pStyle w:val="TableBodyText"/>
                    <w:rPr>
                      <w:rFonts w:cs="Arial"/>
                    </w:rPr>
                  </w:pPr>
                  <w:r w:rsidRPr="009D5B1D">
                    <w:rPr>
                      <w:rFonts w:cs="Arial"/>
                    </w:rPr>
                    <w:t>-0.6</w:t>
                  </w:r>
                </w:p>
              </w:tc>
              <w:tc>
                <w:tcPr>
                  <w:tcW w:w="416" w:type="pct"/>
                  <w:tcBorders>
                    <w:top w:val="nil"/>
                    <w:left w:val="nil"/>
                    <w:bottom w:val="nil"/>
                    <w:right w:val="nil"/>
                  </w:tcBorders>
                  <w:shd w:val="clear" w:color="auto" w:fill="auto"/>
                  <w:vAlign w:val="bottom"/>
                </w:tcPr>
                <w:p w14:paraId="7954BD73" w14:textId="77777777" w:rsidR="00F05DC7" w:rsidRPr="009D5B1D" w:rsidRDefault="00F05DC7" w:rsidP="00A3786D">
                  <w:pPr>
                    <w:pStyle w:val="TableBodyText"/>
                    <w:rPr>
                      <w:rFonts w:cs="Arial"/>
                    </w:rPr>
                  </w:pPr>
                  <w:r w:rsidRPr="009D5B1D">
                    <w:rPr>
                      <w:rFonts w:cs="Arial"/>
                    </w:rPr>
                    <w:t>-0.5</w:t>
                  </w:r>
                </w:p>
              </w:tc>
              <w:tc>
                <w:tcPr>
                  <w:tcW w:w="416" w:type="pct"/>
                  <w:tcBorders>
                    <w:top w:val="nil"/>
                    <w:left w:val="nil"/>
                    <w:bottom w:val="nil"/>
                    <w:right w:val="nil"/>
                  </w:tcBorders>
                  <w:shd w:val="clear" w:color="auto" w:fill="auto"/>
                  <w:vAlign w:val="bottom"/>
                </w:tcPr>
                <w:p w14:paraId="7954BD74" w14:textId="77777777" w:rsidR="00F05DC7" w:rsidRPr="009D5B1D" w:rsidRDefault="00F05DC7" w:rsidP="00A3786D">
                  <w:pPr>
                    <w:pStyle w:val="TableBodyText"/>
                    <w:rPr>
                      <w:rFonts w:cs="Arial"/>
                    </w:rPr>
                  </w:pPr>
                  <w:r w:rsidRPr="009D5B1D">
                    <w:rPr>
                      <w:rFonts w:cs="Arial"/>
                    </w:rPr>
                    <w:t>-0.5</w:t>
                  </w:r>
                </w:p>
              </w:tc>
              <w:tc>
                <w:tcPr>
                  <w:tcW w:w="416" w:type="pct"/>
                  <w:tcBorders>
                    <w:top w:val="nil"/>
                    <w:left w:val="nil"/>
                    <w:bottom w:val="nil"/>
                    <w:right w:val="nil"/>
                  </w:tcBorders>
                  <w:shd w:val="clear" w:color="auto" w:fill="auto"/>
                  <w:vAlign w:val="bottom"/>
                </w:tcPr>
                <w:p w14:paraId="7954BD75" w14:textId="77777777" w:rsidR="00F05DC7" w:rsidRPr="009D5B1D" w:rsidRDefault="00F05DC7" w:rsidP="00A3786D">
                  <w:pPr>
                    <w:pStyle w:val="TableBodyText"/>
                    <w:rPr>
                      <w:rFonts w:cs="Arial"/>
                    </w:rPr>
                  </w:pPr>
                  <w:r w:rsidRPr="009D5B1D">
                    <w:rPr>
                      <w:rFonts w:cs="Arial"/>
                    </w:rPr>
                    <w:t>-0.4</w:t>
                  </w:r>
                </w:p>
              </w:tc>
              <w:tc>
                <w:tcPr>
                  <w:tcW w:w="416" w:type="pct"/>
                  <w:tcBorders>
                    <w:top w:val="nil"/>
                    <w:left w:val="nil"/>
                    <w:bottom w:val="nil"/>
                    <w:right w:val="nil"/>
                  </w:tcBorders>
                  <w:shd w:val="clear" w:color="auto" w:fill="auto"/>
                  <w:vAlign w:val="bottom"/>
                </w:tcPr>
                <w:p w14:paraId="7954BD76" w14:textId="77777777" w:rsidR="00F05DC7" w:rsidRPr="009D5B1D" w:rsidRDefault="00F05DC7" w:rsidP="00A3786D">
                  <w:pPr>
                    <w:pStyle w:val="TableBodyText"/>
                    <w:rPr>
                      <w:rFonts w:cs="Arial"/>
                    </w:rPr>
                  </w:pPr>
                  <w:r w:rsidRPr="009D5B1D">
                    <w:rPr>
                      <w:rFonts w:cs="Arial"/>
                    </w:rPr>
                    <w:t>-0.4</w:t>
                  </w:r>
                </w:p>
              </w:tc>
              <w:tc>
                <w:tcPr>
                  <w:tcW w:w="417" w:type="pct"/>
                  <w:tcBorders>
                    <w:top w:val="nil"/>
                    <w:left w:val="nil"/>
                    <w:bottom w:val="nil"/>
                    <w:right w:val="nil"/>
                  </w:tcBorders>
                  <w:shd w:val="clear" w:color="auto" w:fill="auto"/>
                  <w:vAlign w:val="bottom"/>
                </w:tcPr>
                <w:p w14:paraId="7954BD77" w14:textId="77777777" w:rsidR="00F05DC7" w:rsidRPr="009D5B1D" w:rsidRDefault="00F05DC7" w:rsidP="00A3786D">
                  <w:pPr>
                    <w:pStyle w:val="TableBodyText"/>
                    <w:rPr>
                      <w:rFonts w:cs="Arial"/>
                    </w:rPr>
                  </w:pPr>
                  <w:r w:rsidRPr="009D5B1D">
                    <w:rPr>
                      <w:rFonts w:cs="Arial"/>
                    </w:rPr>
                    <w:t>-0.6</w:t>
                  </w:r>
                </w:p>
              </w:tc>
              <w:tc>
                <w:tcPr>
                  <w:tcW w:w="416" w:type="pct"/>
                  <w:tcBorders>
                    <w:top w:val="nil"/>
                    <w:left w:val="nil"/>
                    <w:bottom w:val="nil"/>
                    <w:right w:val="nil"/>
                  </w:tcBorders>
                  <w:shd w:val="clear" w:color="auto" w:fill="auto"/>
                  <w:vAlign w:val="bottom"/>
                </w:tcPr>
                <w:p w14:paraId="7954BD78" w14:textId="77777777" w:rsidR="00F05DC7" w:rsidRPr="009D5B1D" w:rsidRDefault="00F05DC7" w:rsidP="00A3786D">
                  <w:pPr>
                    <w:pStyle w:val="TableBodyText"/>
                    <w:rPr>
                      <w:rFonts w:cs="Arial"/>
                    </w:rPr>
                  </w:pPr>
                  <w:r w:rsidRPr="009D5B1D">
                    <w:rPr>
                      <w:rFonts w:cs="Arial"/>
                    </w:rPr>
                    <w:t>-0.2</w:t>
                  </w:r>
                </w:p>
              </w:tc>
            </w:tr>
            <w:tr w:rsidR="00F05DC7" w:rsidRPr="00AD7DC6" w14:paraId="7954BD83" w14:textId="77777777" w:rsidTr="00A3786D">
              <w:tc>
                <w:tcPr>
                  <w:tcW w:w="1667" w:type="pct"/>
                  <w:shd w:val="clear" w:color="auto" w:fill="auto"/>
                  <w:vAlign w:val="center"/>
                </w:tcPr>
                <w:p w14:paraId="7954BD7A" w14:textId="77777777" w:rsidR="00F05DC7" w:rsidRPr="00CE6393" w:rsidRDefault="00F05DC7" w:rsidP="00A3786D">
                  <w:pPr>
                    <w:pStyle w:val="TableBodyText"/>
                    <w:jc w:val="left"/>
                  </w:pPr>
                  <w:r w:rsidRPr="00CE6393">
                    <w:t>New GST relativity</w:t>
                  </w:r>
                </w:p>
              </w:tc>
              <w:tc>
                <w:tcPr>
                  <w:tcW w:w="419" w:type="pct"/>
                  <w:shd w:val="clear" w:color="auto" w:fill="auto"/>
                  <w:vAlign w:val="center"/>
                </w:tcPr>
                <w:p w14:paraId="7954BD7B" w14:textId="77777777" w:rsidR="00F05DC7" w:rsidRPr="009D5B1D" w:rsidRDefault="00F05DC7" w:rsidP="00A3786D">
                  <w:pPr>
                    <w:pStyle w:val="TableBodyText"/>
                    <w:rPr>
                      <w:rFonts w:cs="Arial"/>
                    </w:rPr>
                  </w:pPr>
                  <w:r w:rsidRPr="009D5B1D">
                    <w:rPr>
                      <w:rFonts w:cs="Arial"/>
                    </w:rPr>
                    <w:t>0.82</w:t>
                  </w:r>
                </w:p>
              </w:tc>
              <w:tc>
                <w:tcPr>
                  <w:tcW w:w="416" w:type="pct"/>
                  <w:shd w:val="clear" w:color="auto" w:fill="auto"/>
                  <w:vAlign w:val="center"/>
                </w:tcPr>
                <w:p w14:paraId="7954BD7C" w14:textId="77777777" w:rsidR="00F05DC7" w:rsidRPr="009D5B1D" w:rsidRDefault="00F05DC7" w:rsidP="00A3786D">
                  <w:pPr>
                    <w:pStyle w:val="TableBodyText"/>
                    <w:rPr>
                      <w:rFonts w:cs="Arial"/>
                    </w:rPr>
                  </w:pPr>
                  <w:r w:rsidRPr="009D5B1D">
                    <w:rPr>
                      <w:rFonts w:cs="Arial"/>
                    </w:rPr>
                    <w:t>0.99</w:t>
                  </w:r>
                </w:p>
              </w:tc>
              <w:tc>
                <w:tcPr>
                  <w:tcW w:w="416" w:type="pct"/>
                  <w:shd w:val="clear" w:color="auto" w:fill="auto"/>
                  <w:vAlign w:val="center"/>
                </w:tcPr>
                <w:p w14:paraId="7954BD7D" w14:textId="77777777" w:rsidR="00F05DC7" w:rsidRPr="009D5B1D" w:rsidRDefault="00F05DC7" w:rsidP="00A3786D">
                  <w:pPr>
                    <w:pStyle w:val="TableBodyText"/>
                    <w:rPr>
                      <w:rFonts w:cs="Arial"/>
                    </w:rPr>
                  </w:pPr>
                  <w:r w:rsidRPr="009D5B1D">
                    <w:rPr>
                      <w:rFonts w:cs="Arial"/>
                    </w:rPr>
                    <w:t>1.00</w:t>
                  </w:r>
                </w:p>
              </w:tc>
              <w:tc>
                <w:tcPr>
                  <w:tcW w:w="416" w:type="pct"/>
                  <w:shd w:val="clear" w:color="auto" w:fill="auto"/>
                  <w:vAlign w:val="center"/>
                </w:tcPr>
                <w:p w14:paraId="7954BD7E" w14:textId="77777777" w:rsidR="00F05DC7" w:rsidRPr="009D5B1D" w:rsidRDefault="00F05DC7" w:rsidP="00A3786D">
                  <w:pPr>
                    <w:pStyle w:val="TableBodyText"/>
                    <w:rPr>
                      <w:rFonts w:cs="Arial"/>
                    </w:rPr>
                  </w:pPr>
                  <w:r w:rsidRPr="009D5B1D">
                    <w:rPr>
                      <w:rFonts w:cs="Arial"/>
                    </w:rPr>
                    <w:t>0.55</w:t>
                  </w:r>
                </w:p>
              </w:tc>
              <w:tc>
                <w:tcPr>
                  <w:tcW w:w="416" w:type="pct"/>
                  <w:shd w:val="clear" w:color="auto" w:fill="auto"/>
                  <w:vAlign w:val="center"/>
                </w:tcPr>
                <w:p w14:paraId="7954BD7F" w14:textId="77777777" w:rsidR="00F05DC7" w:rsidRPr="009D5B1D" w:rsidRDefault="00F05DC7" w:rsidP="00A3786D">
                  <w:pPr>
                    <w:pStyle w:val="TableBodyText"/>
                    <w:rPr>
                      <w:rFonts w:cs="Arial"/>
                    </w:rPr>
                  </w:pPr>
                  <w:r w:rsidRPr="009D5B1D">
                    <w:rPr>
                      <w:rFonts w:cs="Arial"/>
                    </w:rPr>
                    <w:t>1.51</w:t>
                  </w:r>
                </w:p>
              </w:tc>
              <w:tc>
                <w:tcPr>
                  <w:tcW w:w="416" w:type="pct"/>
                  <w:shd w:val="clear" w:color="auto" w:fill="auto"/>
                  <w:vAlign w:val="center"/>
                </w:tcPr>
                <w:p w14:paraId="7954BD80" w14:textId="77777777" w:rsidR="00F05DC7" w:rsidRPr="009D5B1D" w:rsidRDefault="00F05DC7" w:rsidP="00A3786D">
                  <w:pPr>
                    <w:pStyle w:val="TableBodyText"/>
                    <w:rPr>
                      <w:rFonts w:cs="Arial"/>
                    </w:rPr>
                  </w:pPr>
                  <w:r w:rsidRPr="009D5B1D">
                    <w:rPr>
                      <w:rFonts w:cs="Arial"/>
                    </w:rPr>
                    <w:t>1.70</w:t>
                  </w:r>
                </w:p>
              </w:tc>
              <w:tc>
                <w:tcPr>
                  <w:tcW w:w="417" w:type="pct"/>
                  <w:shd w:val="clear" w:color="auto" w:fill="auto"/>
                  <w:vAlign w:val="center"/>
                </w:tcPr>
                <w:p w14:paraId="7954BD81" w14:textId="77777777" w:rsidR="00F05DC7" w:rsidRPr="009D5B1D" w:rsidRDefault="00F05DC7" w:rsidP="00A3786D">
                  <w:pPr>
                    <w:pStyle w:val="TableBodyText"/>
                    <w:rPr>
                      <w:rFonts w:cs="Arial"/>
                    </w:rPr>
                  </w:pPr>
                  <w:r w:rsidRPr="009D5B1D">
                    <w:rPr>
                      <w:rFonts w:cs="Arial"/>
                    </w:rPr>
                    <w:t>1.18</w:t>
                  </w:r>
                </w:p>
              </w:tc>
              <w:tc>
                <w:tcPr>
                  <w:tcW w:w="416" w:type="pct"/>
                  <w:shd w:val="clear" w:color="auto" w:fill="auto"/>
                  <w:vAlign w:val="center"/>
                </w:tcPr>
                <w:p w14:paraId="7954BD82" w14:textId="77777777" w:rsidR="00F05DC7" w:rsidRPr="009D5B1D" w:rsidRDefault="00F05DC7" w:rsidP="00A3786D">
                  <w:pPr>
                    <w:pStyle w:val="TableBodyText"/>
                    <w:rPr>
                      <w:rFonts w:cs="Arial"/>
                    </w:rPr>
                  </w:pPr>
                  <w:r w:rsidRPr="009D5B1D">
                    <w:rPr>
                      <w:rFonts w:cs="Arial"/>
                    </w:rPr>
                    <w:t>4.17</w:t>
                  </w:r>
                </w:p>
              </w:tc>
            </w:tr>
            <w:tr w:rsidR="00F05DC7" w:rsidRPr="00AD7DC6" w14:paraId="7954BD8D" w14:textId="77777777" w:rsidTr="00A3786D">
              <w:tc>
                <w:tcPr>
                  <w:tcW w:w="1667" w:type="pct"/>
                  <w:shd w:val="clear" w:color="auto" w:fill="auto"/>
                  <w:vAlign w:val="center"/>
                </w:tcPr>
                <w:p w14:paraId="7954BD84" w14:textId="77777777" w:rsidR="00F05DC7" w:rsidRPr="00CE6393" w:rsidRDefault="00F05DC7" w:rsidP="00A3786D">
                  <w:pPr>
                    <w:spacing w:before="80"/>
                    <w:ind w:right="57"/>
                    <w:rPr>
                      <w:rFonts w:asciiTheme="minorHAnsi" w:hAnsiTheme="minorHAnsi" w:cstheme="minorHAnsi"/>
                      <w:b/>
                      <w:color w:val="000000"/>
                      <w:szCs w:val="18"/>
                    </w:rPr>
                  </w:pPr>
                  <w:r w:rsidRPr="00A6143F">
                    <w:rPr>
                      <w:rFonts w:asciiTheme="minorHAnsi" w:hAnsiTheme="minorHAnsi" w:cstheme="minorHAnsi"/>
                      <w:b/>
                      <w:color w:val="000000"/>
                      <w:sz w:val="18"/>
                      <w:szCs w:val="18"/>
                    </w:rPr>
                    <w:t>Upper-bound</w:t>
                  </w:r>
                </w:p>
              </w:tc>
              <w:tc>
                <w:tcPr>
                  <w:tcW w:w="419" w:type="pct"/>
                  <w:shd w:val="clear" w:color="auto" w:fill="auto"/>
                  <w:vAlign w:val="center"/>
                </w:tcPr>
                <w:p w14:paraId="7954BD85" w14:textId="77777777" w:rsidR="00F05DC7" w:rsidRPr="009D5B1D" w:rsidRDefault="00F05DC7" w:rsidP="00A3786D">
                  <w:pPr>
                    <w:pStyle w:val="TableUnitsRow"/>
                    <w:ind w:right="57"/>
                    <w:rPr>
                      <w:rFonts w:cs="Arial"/>
                      <w:szCs w:val="18"/>
                    </w:rPr>
                  </w:pPr>
                </w:p>
              </w:tc>
              <w:tc>
                <w:tcPr>
                  <w:tcW w:w="416" w:type="pct"/>
                  <w:shd w:val="clear" w:color="auto" w:fill="auto"/>
                  <w:vAlign w:val="center"/>
                </w:tcPr>
                <w:p w14:paraId="7954BD86" w14:textId="77777777" w:rsidR="00F05DC7" w:rsidRPr="009D5B1D" w:rsidRDefault="00F05DC7" w:rsidP="00A3786D">
                  <w:pPr>
                    <w:pStyle w:val="TableUnitsRow"/>
                    <w:ind w:right="57"/>
                    <w:rPr>
                      <w:rFonts w:cs="Arial"/>
                      <w:szCs w:val="18"/>
                    </w:rPr>
                  </w:pPr>
                </w:p>
              </w:tc>
              <w:tc>
                <w:tcPr>
                  <w:tcW w:w="416" w:type="pct"/>
                  <w:shd w:val="clear" w:color="auto" w:fill="auto"/>
                  <w:vAlign w:val="center"/>
                </w:tcPr>
                <w:p w14:paraId="7954BD87" w14:textId="77777777" w:rsidR="00F05DC7" w:rsidRPr="009D5B1D" w:rsidRDefault="00F05DC7" w:rsidP="00A3786D">
                  <w:pPr>
                    <w:pStyle w:val="TableUnitsRow"/>
                    <w:ind w:right="57"/>
                    <w:rPr>
                      <w:rFonts w:cs="Arial"/>
                      <w:szCs w:val="18"/>
                    </w:rPr>
                  </w:pPr>
                </w:p>
              </w:tc>
              <w:tc>
                <w:tcPr>
                  <w:tcW w:w="416" w:type="pct"/>
                  <w:shd w:val="clear" w:color="auto" w:fill="auto"/>
                  <w:vAlign w:val="center"/>
                </w:tcPr>
                <w:p w14:paraId="7954BD88" w14:textId="77777777" w:rsidR="00F05DC7" w:rsidRPr="009D5B1D" w:rsidRDefault="00F05DC7" w:rsidP="00A3786D">
                  <w:pPr>
                    <w:pStyle w:val="TableUnitsRow"/>
                    <w:ind w:right="57"/>
                    <w:rPr>
                      <w:rFonts w:cs="Arial"/>
                      <w:szCs w:val="18"/>
                    </w:rPr>
                  </w:pPr>
                </w:p>
              </w:tc>
              <w:tc>
                <w:tcPr>
                  <w:tcW w:w="416" w:type="pct"/>
                  <w:shd w:val="clear" w:color="auto" w:fill="auto"/>
                  <w:vAlign w:val="center"/>
                </w:tcPr>
                <w:p w14:paraId="7954BD89" w14:textId="77777777" w:rsidR="00F05DC7" w:rsidRPr="009D5B1D" w:rsidRDefault="00F05DC7" w:rsidP="00A3786D">
                  <w:pPr>
                    <w:pStyle w:val="TableUnitsRow"/>
                    <w:ind w:right="57"/>
                    <w:rPr>
                      <w:rFonts w:cs="Arial"/>
                      <w:szCs w:val="18"/>
                    </w:rPr>
                  </w:pPr>
                </w:p>
              </w:tc>
              <w:tc>
                <w:tcPr>
                  <w:tcW w:w="416" w:type="pct"/>
                  <w:shd w:val="clear" w:color="auto" w:fill="auto"/>
                  <w:vAlign w:val="center"/>
                </w:tcPr>
                <w:p w14:paraId="7954BD8A" w14:textId="77777777" w:rsidR="00F05DC7" w:rsidRPr="009D5B1D" w:rsidRDefault="00F05DC7" w:rsidP="00A3786D">
                  <w:pPr>
                    <w:pStyle w:val="TableUnitsRow"/>
                    <w:ind w:right="57"/>
                    <w:rPr>
                      <w:rFonts w:cs="Arial"/>
                      <w:szCs w:val="18"/>
                    </w:rPr>
                  </w:pPr>
                </w:p>
              </w:tc>
              <w:tc>
                <w:tcPr>
                  <w:tcW w:w="417" w:type="pct"/>
                  <w:shd w:val="clear" w:color="auto" w:fill="auto"/>
                  <w:vAlign w:val="center"/>
                </w:tcPr>
                <w:p w14:paraId="7954BD8B" w14:textId="77777777" w:rsidR="00F05DC7" w:rsidRPr="009D5B1D" w:rsidRDefault="00F05DC7" w:rsidP="00A3786D">
                  <w:pPr>
                    <w:pStyle w:val="TableUnitsRow"/>
                    <w:ind w:right="57"/>
                    <w:rPr>
                      <w:rFonts w:cs="Arial"/>
                      <w:szCs w:val="18"/>
                    </w:rPr>
                  </w:pPr>
                </w:p>
              </w:tc>
              <w:tc>
                <w:tcPr>
                  <w:tcW w:w="416" w:type="pct"/>
                  <w:shd w:val="clear" w:color="auto" w:fill="auto"/>
                  <w:vAlign w:val="center"/>
                </w:tcPr>
                <w:p w14:paraId="7954BD8C" w14:textId="77777777" w:rsidR="00F05DC7" w:rsidRPr="009D5B1D" w:rsidRDefault="00F05DC7" w:rsidP="00A3786D">
                  <w:pPr>
                    <w:pStyle w:val="TableUnitsRow"/>
                    <w:ind w:right="57"/>
                    <w:rPr>
                      <w:rFonts w:cs="Arial"/>
                      <w:szCs w:val="18"/>
                    </w:rPr>
                  </w:pPr>
                </w:p>
              </w:tc>
            </w:tr>
            <w:tr w:rsidR="00F05DC7" w:rsidRPr="00AD7DC6" w14:paraId="7954BD97" w14:textId="77777777" w:rsidTr="00A3786D">
              <w:tc>
                <w:tcPr>
                  <w:tcW w:w="1667" w:type="pct"/>
                  <w:shd w:val="clear" w:color="auto" w:fill="auto"/>
                  <w:vAlign w:val="center"/>
                </w:tcPr>
                <w:p w14:paraId="7954BD8E" w14:textId="77777777" w:rsidR="00F05DC7" w:rsidRPr="00CE6393" w:rsidRDefault="00F05DC7" w:rsidP="00A3786D">
                  <w:pPr>
                    <w:pStyle w:val="TableBodyText"/>
                    <w:jc w:val="left"/>
                  </w:pPr>
                  <w:r>
                    <w:t xml:space="preserve">Change in </w:t>
                  </w:r>
                  <w:r w:rsidRPr="00CE6393">
                    <w:t xml:space="preserve">GST </w:t>
                  </w:r>
                  <w:r>
                    <w:t>payments</w:t>
                  </w:r>
                  <w:r w:rsidRPr="00CE6393">
                    <w:t xml:space="preserve"> (</w:t>
                  </w:r>
                  <w:r>
                    <w:t>$m</w:t>
                  </w:r>
                  <w:r w:rsidRPr="00CE6393">
                    <w:t>)</w:t>
                  </w:r>
                </w:p>
              </w:tc>
              <w:tc>
                <w:tcPr>
                  <w:tcW w:w="419" w:type="pct"/>
                  <w:shd w:val="clear" w:color="auto" w:fill="auto"/>
                  <w:vAlign w:val="center"/>
                </w:tcPr>
                <w:p w14:paraId="7954BD8F" w14:textId="77777777" w:rsidR="00F05DC7" w:rsidRPr="009D5B1D" w:rsidRDefault="00F05DC7" w:rsidP="00A3786D">
                  <w:pPr>
                    <w:pStyle w:val="TableBodyText"/>
                    <w:rPr>
                      <w:rFonts w:cs="Arial"/>
                    </w:rPr>
                  </w:pPr>
                  <w:r w:rsidRPr="009D5B1D">
                    <w:rPr>
                      <w:rFonts w:cs="Arial"/>
                    </w:rPr>
                    <w:t>-1 281</w:t>
                  </w:r>
                </w:p>
              </w:tc>
              <w:tc>
                <w:tcPr>
                  <w:tcW w:w="416" w:type="pct"/>
                  <w:shd w:val="clear" w:color="auto" w:fill="auto"/>
                  <w:vAlign w:val="center"/>
                </w:tcPr>
                <w:p w14:paraId="7954BD90" w14:textId="77777777" w:rsidR="00F05DC7" w:rsidRPr="009D5B1D" w:rsidRDefault="00F05DC7" w:rsidP="00A3786D">
                  <w:pPr>
                    <w:pStyle w:val="TableBodyText"/>
                    <w:rPr>
                      <w:rFonts w:cs="Arial"/>
                    </w:rPr>
                  </w:pPr>
                  <w:r w:rsidRPr="009D5B1D">
                    <w:rPr>
                      <w:rFonts w:cs="Arial"/>
                    </w:rPr>
                    <w:t>-1 178</w:t>
                  </w:r>
                </w:p>
              </w:tc>
              <w:tc>
                <w:tcPr>
                  <w:tcW w:w="416" w:type="pct"/>
                  <w:shd w:val="clear" w:color="auto" w:fill="auto"/>
                  <w:vAlign w:val="center"/>
                </w:tcPr>
                <w:p w14:paraId="7954BD91" w14:textId="77777777" w:rsidR="00F05DC7" w:rsidRPr="009D5B1D" w:rsidRDefault="00F05DC7" w:rsidP="00A3786D">
                  <w:pPr>
                    <w:pStyle w:val="TableBodyText"/>
                    <w:rPr>
                      <w:rFonts w:cs="Arial"/>
                    </w:rPr>
                  </w:pPr>
                  <w:r w:rsidRPr="009D5B1D">
                    <w:rPr>
                      <w:rFonts w:cs="Arial"/>
                    </w:rPr>
                    <w:t>-982</w:t>
                  </w:r>
                </w:p>
              </w:tc>
              <w:tc>
                <w:tcPr>
                  <w:tcW w:w="416" w:type="pct"/>
                  <w:shd w:val="clear" w:color="auto" w:fill="auto"/>
                  <w:vAlign w:val="center"/>
                </w:tcPr>
                <w:p w14:paraId="7954BD92" w14:textId="77777777" w:rsidR="00F05DC7" w:rsidRPr="009D5B1D" w:rsidRDefault="00F05DC7" w:rsidP="00A3786D">
                  <w:pPr>
                    <w:pStyle w:val="TableBodyText"/>
                    <w:rPr>
                      <w:rFonts w:cs="Arial"/>
                    </w:rPr>
                  </w:pPr>
                  <w:r w:rsidRPr="009D5B1D">
                    <w:rPr>
                      <w:rFonts w:cs="Arial"/>
                    </w:rPr>
                    <w:t>-366</w:t>
                  </w:r>
                </w:p>
              </w:tc>
              <w:tc>
                <w:tcPr>
                  <w:tcW w:w="416" w:type="pct"/>
                  <w:shd w:val="clear" w:color="auto" w:fill="auto"/>
                  <w:vAlign w:val="center"/>
                </w:tcPr>
                <w:p w14:paraId="7954BD93" w14:textId="77777777" w:rsidR="00F05DC7" w:rsidRPr="009D5B1D" w:rsidRDefault="00F05DC7" w:rsidP="00A3786D">
                  <w:pPr>
                    <w:pStyle w:val="TableBodyText"/>
                    <w:rPr>
                      <w:rFonts w:cs="Arial"/>
                    </w:rPr>
                  </w:pPr>
                  <w:r w:rsidRPr="009D5B1D">
                    <w:rPr>
                      <w:rFonts w:cs="Arial"/>
                    </w:rPr>
                    <w:t>-250</w:t>
                  </w:r>
                </w:p>
              </w:tc>
              <w:tc>
                <w:tcPr>
                  <w:tcW w:w="416" w:type="pct"/>
                  <w:shd w:val="clear" w:color="auto" w:fill="auto"/>
                  <w:vAlign w:val="center"/>
                </w:tcPr>
                <w:p w14:paraId="7954BD94" w14:textId="77777777" w:rsidR="00F05DC7" w:rsidRPr="009D5B1D" w:rsidRDefault="00F05DC7" w:rsidP="00A3786D">
                  <w:pPr>
                    <w:pStyle w:val="TableBodyText"/>
                    <w:rPr>
                      <w:rFonts w:cs="Arial"/>
                    </w:rPr>
                  </w:pPr>
                  <w:r w:rsidRPr="009D5B1D">
                    <w:rPr>
                      <w:rFonts w:cs="Arial"/>
                    </w:rPr>
                    <w:t>-79</w:t>
                  </w:r>
                </w:p>
              </w:tc>
              <w:tc>
                <w:tcPr>
                  <w:tcW w:w="417" w:type="pct"/>
                  <w:shd w:val="clear" w:color="auto" w:fill="auto"/>
                  <w:vAlign w:val="center"/>
                </w:tcPr>
                <w:p w14:paraId="7954BD95" w14:textId="77777777" w:rsidR="00F05DC7" w:rsidRPr="009D5B1D" w:rsidRDefault="00F05DC7" w:rsidP="00A3786D">
                  <w:pPr>
                    <w:pStyle w:val="TableBodyText"/>
                    <w:rPr>
                      <w:rFonts w:cs="Arial"/>
                    </w:rPr>
                  </w:pPr>
                  <w:r w:rsidRPr="009D5B1D">
                    <w:rPr>
                      <w:rFonts w:cs="Arial"/>
                    </w:rPr>
                    <w:t>-115</w:t>
                  </w:r>
                </w:p>
              </w:tc>
              <w:tc>
                <w:tcPr>
                  <w:tcW w:w="416" w:type="pct"/>
                  <w:shd w:val="clear" w:color="auto" w:fill="auto"/>
                  <w:vAlign w:val="center"/>
                </w:tcPr>
                <w:p w14:paraId="7954BD96" w14:textId="77777777" w:rsidR="00F05DC7" w:rsidRPr="009D5B1D" w:rsidRDefault="00F05DC7" w:rsidP="00A3786D">
                  <w:pPr>
                    <w:pStyle w:val="TableBodyText"/>
                    <w:rPr>
                      <w:rFonts w:cs="Arial"/>
                    </w:rPr>
                  </w:pPr>
                  <w:r w:rsidRPr="009D5B1D">
                    <w:rPr>
                      <w:rFonts w:cs="Arial"/>
                    </w:rPr>
                    <w:t>-32</w:t>
                  </w:r>
                </w:p>
              </w:tc>
            </w:tr>
            <w:tr w:rsidR="00F05DC7" w:rsidRPr="00AD7DC6" w14:paraId="7954BDA1" w14:textId="77777777" w:rsidTr="00A3786D">
              <w:tc>
                <w:tcPr>
                  <w:tcW w:w="1667" w:type="pct"/>
                  <w:shd w:val="clear" w:color="auto" w:fill="auto"/>
                  <w:vAlign w:val="center"/>
                </w:tcPr>
                <w:p w14:paraId="7954BD98" w14:textId="77777777" w:rsidR="00F05DC7" w:rsidRPr="00F87A67" w:rsidRDefault="00F05DC7" w:rsidP="00A3786D">
                  <w:pPr>
                    <w:pStyle w:val="TableBodyText"/>
                    <w:jc w:val="left"/>
                  </w:pPr>
                  <w:r>
                    <w:t xml:space="preserve">Change in </w:t>
                  </w:r>
                  <w:r w:rsidRPr="00CE6393">
                    <w:t xml:space="preserve">GST </w:t>
                  </w:r>
                  <w:r>
                    <w:t>payments</w:t>
                  </w:r>
                  <w:r w:rsidRPr="00CE6393">
                    <w:t xml:space="preserve"> (</w:t>
                  </w:r>
                  <w:r>
                    <w:t>$pc</w:t>
                  </w:r>
                  <w:r w:rsidRPr="00CE6393">
                    <w:t>)</w:t>
                  </w:r>
                </w:p>
              </w:tc>
              <w:tc>
                <w:tcPr>
                  <w:tcW w:w="419" w:type="pct"/>
                  <w:shd w:val="clear" w:color="auto" w:fill="auto"/>
                  <w:vAlign w:val="center"/>
                </w:tcPr>
                <w:p w14:paraId="7954BD99" w14:textId="77777777" w:rsidR="00F05DC7" w:rsidRPr="009D5B1D" w:rsidRDefault="00F05DC7" w:rsidP="00A3786D">
                  <w:pPr>
                    <w:pStyle w:val="TableBodyText"/>
                    <w:rPr>
                      <w:rFonts w:cs="Arial"/>
                    </w:rPr>
                  </w:pPr>
                  <w:r w:rsidRPr="009D5B1D">
                    <w:rPr>
                      <w:rFonts w:cs="Arial"/>
                    </w:rPr>
                    <w:t>-164</w:t>
                  </w:r>
                </w:p>
              </w:tc>
              <w:tc>
                <w:tcPr>
                  <w:tcW w:w="416" w:type="pct"/>
                  <w:shd w:val="clear" w:color="auto" w:fill="auto"/>
                  <w:vAlign w:val="center"/>
                </w:tcPr>
                <w:p w14:paraId="7954BD9A" w14:textId="77777777" w:rsidR="00F05DC7" w:rsidRPr="009D5B1D" w:rsidRDefault="00F05DC7" w:rsidP="00A3786D">
                  <w:pPr>
                    <w:pStyle w:val="TableBodyText"/>
                    <w:rPr>
                      <w:rFonts w:cs="Arial"/>
                    </w:rPr>
                  </w:pPr>
                  <w:r w:rsidRPr="009D5B1D">
                    <w:rPr>
                      <w:rFonts w:cs="Arial"/>
                    </w:rPr>
                    <w:t>-189</w:t>
                  </w:r>
                </w:p>
              </w:tc>
              <w:tc>
                <w:tcPr>
                  <w:tcW w:w="416" w:type="pct"/>
                  <w:shd w:val="clear" w:color="auto" w:fill="auto"/>
                  <w:vAlign w:val="center"/>
                </w:tcPr>
                <w:p w14:paraId="7954BD9B" w14:textId="77777777" w:rsidR="00F05DC7" w:rsidRPr="009D5B1D" w:rsidRDefault="00F05DC7" w:rsidP="00A3786D">
                  <w:pPr>
                    <w:pStyle w:val="TableBodyText"/>
                    <w:rPr>
                      <w:rFonts w:cs="Arial"/>
                    </w:rPr>
                  </w:pPr>
                  <w:r w:rsidRPr="009D5B1D">
                    <w:rPr>
                      <w:rFonts w:cs="Arial"/>
                    </w:rPr>
                    <w:t>-201</w:t>
                  </w:r>
                </w:p>
              </w:tc>
              <w:tc>
                <w:tcPr>
                  <w:tcW w:w="416" w:type="pct"/>
                  <w:shd w:val="clear" w:color="auto" w:fill="auto"/>
                  <w:vAlign w:val="center"/>
                </w:tcPr>
                <w:p w14:paraId="7954BD9C" w14:textId="77777777" w:rsidR="00F05DC7" w:rsidRPr="009D5B1D" w:rsidRDefault="00F05DC7" w:rsidP="00A3786D">
                  <w:pPr>
                    <w:pStyle w:val="TableBodyText"/>
                    <w:rPr>
                      <w:rFonts w:cs="Arial"/>
                    </w:rPr>
                  </w:pPr>
                  <w:r w:rsidRPr="009D5B1D">
                    <w:rPr>
                      <w:rFonts w:cs="Arial"/>
                    </w:rPr>
                    <w:t>-143</w:t>
                  </w:r>
                </w:p>
              </w:tc>
              <w:tc>
                <w:tcPr>
                  <w:tcW w:w="416" w:type="pct"/>
                  <w:shd w:val="clear" w:color="auto" w:fill="auto"/>
                  <w:vAlign w:val="center"/>
                </w:tcPr>
                <w:p w14:paraId="7954BD9D" w14:textId="77777777" w:rsidR="00F05DC7" w:rsidRPr="009D5B1D" w:rsidRDefault="00F05DC7" w:rsidP="00A3786D">
                  <w:pPr>
                    <w:pStyle w:val="TableBodyText"/>
                    <w:rPr>
                      <w:rFonts w:cs="Arial"/>
                    </w:rPr>
                  </w:pPr>
                  <w:r w:rsidRPr="009D5B1D">
                    <w:rPr>
                      <w:rFonts w:cs="Arial"/>
                    </w:rPr>
                    <w:t>-146</w:t>
                  </w:r>
                </w:p>
              </w:tc>
              <w:tc>
                <w:tcPr>
                  <w:tcW w:w="416" w:type="pct"/>
                  <w:shd w:val="clear" w:color="auto" w:fill="auto"/>
                  <w:vAlign w:val="center"/>
                </w:tcPr>
                <w:p w14:paraId="7954BD9E" w14:textId="77777777" w:rsidR="00F05DC7" w:rsidRPr="009D5B1D" w:rsidRDefault="00F05DC7" w:rsidP="00A3786D">
                  <w:pPr>
                    <w:pStyle w:val="TableBodyText"/>
                    <w:rPr>
                      <w:rFonts w:cs="Arial"/>
                    </w:rPr>
                  </w:pPr>
                  <w:r w:rsidRPr="009D5B1D">
                    <w:rPr>
                      <w:rFonts w:cs="Arial"/>
                    </w:rPr>
                    <w:t>-152</w:t>
                  </w:r>
                </w:p>
              </w:tc>
              <w:tc>
                <w:tcPr>
                  <w:tcW w:w="417" w:type="pct"/>
                  <w:shd w:val="clear" w:color="auto" w:fill="auto"/>
                  <w:vAlign w:val="center"/>
                </w:tcPr>
                <w:p w14:paraId="7954BD9F" w14:textId="77777777" w:rsidR="00F05DC7" w:rsidRPr="009D5B1D" w:rsidRDefault="00F05DC7" w:rsidP="00A3786D">
                  <w:pPr>
                    <w:pStyle w:val="TableBodyText"/>
                    <w:rPr>
                      <w:rFonts w:cs="Arial"/>
                    </w:rPr>
                  </w:pPr>
                  <w:r w:rsidRPr="009D5B1D">
                    <w:rPr>
                      <w:rFonts w:cs="Arial"/>
                    </w:rPr>
                    <w:t>-283</w:t>
                  </w:r>
                </w:p>
              </w:tc>
              <w:tc>
                <w:tcPr>
                  <w:tcW w:w="416" w:type="pct"/>
                  <w:shd w:val="clear" w:color="auto" w:fill="auto"/>
                  <w:vAlign w:val="center"/>
                </w:tcPr>
                <w:p w14:paraId="7954BDA0" w14:textId="77777777" w:rsidR="00F05DC7" w:rsidRPr="009D5B1D" w:rsidRDefault="00F05DC7" w:rsidP="00A3786D">
                  <w:pPr>
                    <w:pStyle w:val="TableBodyText"/>
                    <w:rPr>
                      <w:rFonts w:cs="Arial"/>
                    </w:rPr>
                  </w:pPr>
                  <w:r w:rsidRPr="009D5B1D">
                    <w:rPr>
                      <w:rFonts w:cs="Arial"/>
                    </w:rPr>
                    <w:t>-132</w:t>
                  </w:r>
                </w:p>
              </w:tc>
            </w:tr>
            <w:tr w:rsidR="00F05DC7" w:rsidRPr="00AD7DC6" w14:paraId="7954BDAB" w14:textId="77777777" w:rsidTr="00A3786D">
              <w:tc>
                <w:tcPr>
                  <w:tcW w:w="1667" w:type="pct"/>
                  <w:shd w:val="clear" w:color="auto" w:fill="auto"/>
                  <w:vAlign w:val="center"/>
                </w:tcPr>
                <w:p w14:paraId="7954BDA2" w14:textId="77777777" w:rsidR="00F05DC7" w:rsidRDefault="00F05DC7" w:rsidP="00A3786D">
                  <w:pPr>
                    <w:pStyle w:val="TableBodyText"/>
                    <w:jc w:val="left"/>
                  </w:pPr>
                  <w:r w:rsidRPr="00AE067B">
                    <w:rPr>
                      <w:rFonts w:cs="Arial"/>
                    </w:rPr>
                    <w:t>Change in GST payments (% of State revenue)</w:t>
                  </w:r>
                </w:p>
              </w:tc>
              <w:tc>
                <w:tcPr>
                  <w:tcW w:w="419" w:type="pct"/>
                  <w:tcBorders>
                    <w:top w:val="nil"/>
                    <w:left w:val="nil"/>
                    <w:bottom w:val="nil"/>
                    <w:right w:val="nil"/>
                  </w:tcBorders>
                  <w:shd w:val="clear" w:color="auto" w:fill="auto"/>
                  <w:vAlign w:val="bottom"/>
                </w:tcPr>
                <w:p w14:paraId="7954BDA3" w14:textId="77777777" w:rsidR="00F05DC7" w:rsidRPr="009D5B1D" w:rsidRDefault="00F05DC7" w:rsidP="00A3786D">
                  <w:pPr>
                    <w:pStyle w:val="TableBodyText"/>
                    <w:rPr>
                      <w:rFonts w:cs="Arial"/>
                    </w:rPr>
                  </w:pPr>
                  <w:r w:rsidRPr="009D5B1D">
                    <w:rPr>
                      <w:rFonts w:cs="Arial"/>
                    </w:rPr>
                    <w:t>-1.6</w:t>
                  </w:r>
                </w:p>
              </w:tc>
              <w:tc>
                <w:tcPr>
                  <w:tcW w:w="416" w:type="pct"/>
                  <w:tcBorders>
                    <w:top w:val="nil"/>
                    <w:left w:val="nil"/>
                    <w:bottom w:val="nil"/>
                    <w:right w:val="nil"/>
                  </w:tcBorders>
                  <w:shd w:val="clear" w:color="auto" w:fill="auto"/>
                  <w:vAlign w:val="bottom"/>
                </w:tcPr>
                <w:p w14:paraId="7954BDA4" w14:textId="77777777" w:rsidR="00F05DC7" w:rsidRPr="009D5B1D" w:rsidRDefault="00F05DC7" w:rsidP="00A3786D">
                  <w:pPr>
                    <w:pStyle w:val="TableBodyText"/>
                    <w:rPr>
                      <w:rFonts w:cs="Arial"/>
                    </w:rPr>
                  </w:pPr>
                  <w:r w:rsidRPr="009D5B1D">
                    <w:rPr>
                      <w:rFonts w:cs="Arial"/>
                    </w:rPr>
                    <w:t>-1.9</w:t>
                  </w:r>
                </w:p>
              </w:tc>
              <w:tc>
                <w:tcPr>
                  <w:tcW w:w="416" w:type="pct"/>
                  <w:tcBorders>
                    <w:top w:val="nil"/>
                    <w:left w:val="nil"/>
                    <w:bottom w:val="nil"/>
                    <w:right w:val="nil"/>
                  </w:tcBorders>
                  <w:shd w:val="clear" w:color="auto" w:fill="auto"/>
                  <w:vAlign w:val="bottom"/>
                </w:tcPr>
                <w:p w14:paraId="7954BDA5" w14:textId="77777777" w:rsidR="00F05DC7" w:rsidRPr="009D5B1D" w:rsidRDefault="00F05DC7" w:rsidP="00A3786D">
                  <w:pPr>
                    <w:pStyle w:val="TableBodyText"/>
                    <w:rPr>
                      <w:rFonts w:cs="Arial"/>
                    </w:rPr>
                  </w:pPr>
                  <w:r w:rsidRPr="009D5B1D">
                    <w:rPr>
                      <w:rFonts w:cs="Arial"/>
                    </w:rPr>
                    <w:t>-1.7</w:t>
                  </w:r>
                </w:p>
              </w:tc>
              <w:tc>
                <w:tcPr>
                  <w:tcW w:w="416" w:type="pct"/>
                  <w:tcBorders>
                    <w:top w:val="nil"/>
                    <w:left w:val="nil"/>
                    <w:bottom w:val="nil"/>
                    <w:right w:val="nil"/>
                  </w:tcBorders>
                  <w:shd w:val="clear" w:color="auto" w:fill="auto"/>
                  <w:vAlign w:val="bottom"/>
                </w:tcPr>
                <w:p w14:paraId="7954BDA6" w14:textId="77777777" w:rsidR="00F05DC7" w:rsidRPr="009D5B1D" w:rsidRDefault="00F05DC7" w:rsidP="00A3786D">
                  <w:pPr>
                    <w:pStyle w:val="TableBodyText"/>
                    <w:rPr>
                      <w:rFonts w:cs="Arial"/>
                    </w:rPr>
                  </w:pPr>
                  <w:r w:rsidRPr="009D5B1D">
                    <w:rPr>
                      <w:rFonts w:cs="Arial"/>
                    </w:rPr>
                    <w:t>-1.4</w:t>
                  </w:r>
                </w:p>
              </w:tc>
              <w:tc>
                <w:tcPr>
                  <w:tcW w:w="416" w:type="pct"/>
                  <w:tcBorders>
                    <w:top w:val="nil"/>
                    <w:left w:val="nil"/>
                    <w:bottom w:val="nil"/>
                    <w:right w:val="nil"/>
                  </w:tcBorders>
                  <w:shd w:val="clear" w:color="auto" w:fill="auto"/>
                  <w:vAlign w:val="bottom"/>
                </w:tcPr>
                <w:p w14:paraId="7954BDA7" w14:textId="77777777" w:rsidR="00F05DC7" w:rsidRPr="009D5B1D" w:rsidRDefault="00F05DC7" w:rsidP="00A3786D">
                  <w:pPr>
                    <w:pStyle w:val="TableBodyText"/>
                    <w:rPr>
                      <w:rFonts w:cs="Arial"/>
                    </w:rPr>
                  </w:pPr>
                  <w:r w:rsidRPr="009D5B1D">
                    <w:rPr>
                      <w:rFonts w:cs="Arial"/>
                    </w:rPr>
                    <w:t>-1.4</w:t>
                  </w:r>
                </w:p>
              </w:tc>
              <w:tc>
                <w:tcPr>
                  <w:tcW w:w="416" w:type="pct"/>
                  <w:tcBorders>
                    <w:top w:val="nil"/>
                    <w:left w:val="nil"/>
                    <w:bottom w:val="nil"/>
                    <w:right w:val="nil"/>
                  </w:tcBorders>
                  <w:shd w:val="clear" w:color="auto" w:fill="auto"/>
                  <w:vAlign w:val="bottom"/>
                </w:tcPr>
                <w:p w14:paraId="7954BDA8" w14:textId="77777777" w:rsidR="00F05DC7" w:rsidRPr="009D5B1D" w:rsidRDefault="00F05DC7" w:rsidP="00A3786D">
                  <w:pPr>
                    <w:pStyle w:val="TableBodyText"/>
                    <w:rPr>
                      <w:rFonts w:cs="Arial"/>
                    </w:rPr>
                  </w:pPr>
                  <w:r w:rsidRPr="009D5B1D">
                    <w:rPr>
                      <w:rFonts w:cs="Arial"/>
                    </w:rPr>
                    <w:t>-1.4</w:t>
                  </w:r>
                </w:p>
              </w:tc>
              <w:tc>
                <w:tcPr>
                  <w:tcW w:w="417" w:type="pct"/>
                  <w:tcBorders>
                    <w:top w:val="nil"/>
                    <w:left w:val="nil"/>
                    <w:bottom w:val="nil"/>
                    <w:right w:val="nil"/>
                  </w:tcBorders>
                  <w:shd w:val="clear" w:color="auto" w:fill="auto"/>
                  <w:vAlign w:val="bottom"/>
                </w:tcPr>
                <w:p w14:paraId="7954BDA9" w14:textId="77777777" w:rsidR="00F05DC7" w:rsidRPr="009D5B1D" w:rsidRDefault="00F05DC7" w:rsidP="00A3786D">
                  <w:pPr>
                    <w:pStyle w:val="TableBodyText"/>
                    <w:rPr>
                      <w:rFonts w:cs="Arial"/>
                    </w:rPr>
                  </w:pPr>
                  <w:r w:rsidRPr="009D5B1D">
                    <w:rPr>
                      <w:rFonts w:cs="Arial"/>
                    </w:rPr>
                    <w:t>-2.2</w:t>
                  </w:r>
                </w:p>
              </w:tc>
              <w:tc>
                <w:tcPr>
                  <w:tcW w:w="416" w:type="pct"/>
                  <w:tcBorders>
                    <w:top w:val="nil"/>
                    <w:left w:val="nil"/>
                    <w:bottom w:val="nil"/>
                    <w:right w:val="nil"/>
                  </w:tcBorders>
                  <w:shd w:val="clear" w:color="auto" w:fill="auto"/>
                  <w:vAlign w:val="bottom"/>
                </w:tcPr>
                <w:p w14:paraId="7954BDAA" w14:textId="77777777" w:rsidR="00F05DC7" w:rsidRPr="009D5B1D" w:rsidRDefault="00F05DC7" w:rsidP="00A3786D">
                  <w:pPr>
                    <w:pStyle w:val="TableBodyText"/>
                    <w:rPr>
                      <w:rFonts w:cs="Arial"/>
                    </w:rPr>
                  </w:pPr>
                  <w:r w:rsidRPr="009D5B1D">
                    <w:rPr>
                      <w:rFonts w:cs="Arial"/>
                    </w:rPr>
                    <w:t>-0.5</w:t>
                  </w:r>
                </w:p>
              </w:tc>
            </w:tr>
            <w:tr w:rsidR="00F05DC7" w:rsidRPr="00AD7DC6" w14:paraId="7954BDB5" w14:textId="77777777" w:rsidTr="00A3786D">
              <w:tc>
                <w:tcPr>
                  <w:tcW w:w="1667" w:type="pct"/>
                  <w:tcBorders>
                    <w:bottom w:val="single" w:sz="6" w:space="0" w:color="BFBFBF"/>
                  </w:tcBorders>
                  <w:shd w:val="clear" w:color="auto" w:fill="auto"/>
                  <w:vAlign w:val="center"/>
                </w:tcPr>
                <w:p w14:paraId="7954BDAC" w14:textId="77777777" w:rsidR="00F05DC7" w:rsidRPr="00CE6393" w:rsidRDefault="00F05DC7" w:rsidP="00A3786D">
                  <w:pPr>
                    <w:pStyle w:val="TableBodyText"/>
                    <w:jc w:val="left"/>
                  </w:pPr>
                  <w:r w:rsidRPr="00CE6393">
                    <w:t>New GST relativity</w:t>
                  </w:r>
                </w:p>
              </w:tc>
              <w:tc>
                <w:tcPr>
                  <w:tcW w:w="419" w:type="pct"/>
                  <w:tcBorders>
                    <w:bottom w:val="single" w:sz="6" w:space="0" w:color="BFBFBF"/>
                  </w:tcBorders>
                  <w:shd w:val="clear" w:color="auto" w:fill="auto"/>
                  <w:vAlign w:val="center"/>
                </w:tcPr>
                <w:p w14:paraId="7954BDAD" w14:textId="77777777" w:rsidR="00F05DC7" w:rsidRPr="009D5B1D" w:rsidRDefault="00F05DC7" w:rsidP="00A3786D">
                  <w:pPr>
                    <w:pStyle w:val="TableBodyText"/>
                    <w:rPr>
                      <w:rFonts w:cs="Arial"/>
                    </w:rPr>
                  </w:pPr>
                  <w:r w:rsidRPr="009D5B1D">
                    <w:rPr>
                      <w:rFonts w:cs="Arial"/>
                    </w:rPr>
                    <w:t>0.77</w:t>
                  </w:r>
                </w:p>
              </w:tc>
              <w:tc>
                <w:tcPr>
                  <w:tcW w:w="416" w:type="pct"/>
                  <w:tcBorders>
                    <w:bottom w:val="single" w:sz="6" w:space="0" w:color="BFBFBF"/>
                  </w:tcBorders>
                  <w:shd w:val="clear" w:color="auto" w:fill="auto"/>
                  <w:vAlign w:val="center"/>
                </w:tcPr>
                <w:p w14:paraId="7954BDAE" w14:textId="77777777" w:rsidR="00F05DC7" w:rsidRPr="009D5B1D" w:rsidRDefault="00F05DC7" w:rsidP="00A3786D">
                  <w:pPr>
                    <w:pStyle w:val="TableBodyText"/>
                    <w:rPr>
                      <w:rFonts w:cs="Arial"/>
                    </w:rPr>
                  </w:pPr>
                  <w:r w:rsidRPr="009D5B1D">
                    <w:rPr>
                      <w:rFonts w:cs="Arial"/>
                    </w:rPr>
                    <w:t>0.93</w:t>
                  </w:r>
                </w:p>
              </w:tc>
              <w:tc>
                <w:tcPr>
                  <w:tcW w:w="416" w:type="pct"/>
                  <w:tcBorders>
                    <w:bottom w:val="single" w:sz="6" w:space="0" w:color="BFBFBF"/>
                  </w:tcBorders>
                  <w:shd w:val="clear" w:color="auto" w:fill="auto"/>
                  <w:vAlign w:val="center"/>
                </w:tcPr>
                <w:p w14:paraId="7954BDAF" w14:textId="77777777" w:rsidR="00F05DC7" w:rsidRPr="009D5B1D" w:rsidRDefault="00F05DC7" w:rsidP="00A3786D">
                  <w:pPr>
                    <w:pStyle w:val="TableBodyText"/>
                    <w:rPr>
                      <w:rFonts w:cs="Arial"/>
                    </w:rPr>
                  </w:pPr>
                  <w:r w:rsidRPr="009D5B1D">
                    <w:rPr>
                      <w:rFonts w:cs="Arial"/>
                    </w:rPr>
                    <w:t>0.95</w:t>
                  </w:r>
                </w:p>
              </w:tc>
              <w:tc>
                <w:tcPr>
                  <w:tcW w:w="416" w:type="pct"/>
                  <w:tcBorders>
                    <w:bottom w:val="single" w:sz="6" w:space="0" w:color="BFBFBF"/>
                  </w:tcBorders>
                  <w:shd w:val="clear" w:color="auto" w:fill="auto"/>
                  <w:vAlign w:val="center"/>
                </w:tcPr>
                <w:p w14:paraId="7954BDB0" w14:textId="77777777" w:rsidR="00F05DC7" w:rsidRPr="009D5B1D" w:rsidRDefault="00F05DC7" w:rsidP="00A3786D">
                  <w:pPr>
                    <w:pStyle w:val="TableBodyText"/>
                    <w:rPr>
                      <w:rFonts w:cs="Arial"/>
                    </w:rPr>
                  </w:pPr>
                  <w:r w:rsidRPr="009D5B1D">
                    <w:rPr>
                      <w:rFonts w:cs="Arial"/>
                    </w:rPr>
                    <w:t>0.52</w:t>
                  </w:r>
                </w:p>
              </w:tc>
              <w:tc>
                <w:tcPr>
                  <w:tcW w:w="416" w:type="pct"/>
                  <w:tcBorders>
                    <w:bottom w:val="single" w:sz="6" w:space="0" w:color="BFBFBF"/>
                  </w:tcBorders>
                  <w:shd w:val="clear" w:color="auto" w:fill="auto"/>
                  <w:vAlign w:val="center"/>
                </w:tcPr>
                <w:p w14:paraId="7954BDB1" w14:textId="77777777" w:rsidR="00F05DC7" w:rsidRPr="009D5B1D" w:rsidRDefault="00F05DC7" w:rsidP="00A3786D">
                  <w:pPr>
                    <w:pStyle w:val="TableBodyText"/>
                    <w:rPr>
                      <w:rFonts w:cs="Arial"/>
                    </w:rPr>
                  </w:pPr>
                  <w:r w:rsidRPr="009D5B1D">
                    <w:rPr>
                      <w:rFonts w:cs="Arial"/>
                    </w:rPr>
                    <w:t>1.47</w:t>
                  </w:r>
                </w:p>
              </w:tc>
              <w:tc>
                <w:tcPr>
                  <w:tcW w:w="416" w:type="pct"/>
                  <w:tcBorders>
                    <w:bottom w:val="single" w:sz="6" w:space="0" w:color="BFBFBF"/>
                  </w:tcBorders>
                  <w:shd w:val="clear" w:color="auto" w:fill="auto"/>
                  <w:vAlign w:val="center"/>
                </w:tcPr>
                <w:p w14:paraId="7954BDB2" w14:textId="77777777" w:rsidR="00F05DC7" w:rsidRPr="009D5B1D" w:rsidRDefault="00F05DC7" w:rsidP="00A3786D">
                  <w:pPr>
                    <w:pStyle w:val="TableBodyText"/>
                    <w:rPr>
                      <w:rFonts w:cs="Arial"/>
                    </w:rPr>
                  </w:pPr>
                  <w:r w:rsidRPr="009D5B1D">
                    <w:rPr>
                      <w:rFonts w:cs="Arial"/>
                    </w:rPr>
                    <w:t>1.66</w:t>
                  </w:r>
                </w:p>
              </w:tc>
              <w:tc>
                <w:tcPr>
                  <w:tcW w:w="417" w:type="pct"/>
                  <w:tcBorders>
                    <w:bottom w:val="single" w:sz="6" w:space="0" w:color="BFBFBF"/>
                  </w:tcBorders>
                  <w:shd w:val="clear" w:color="auto" w:fill="auto"/>
                  <w:vAlign w:val="center"/>
                </w:tcPr>
                <w:p w14:paraId="7954BDB3" w14:textId="77777777" w:rsidR="00F05DC7" w:rsidRPr="009D5B1D" w:rsidRDefault="00F05DC7" w:rsidP="00A3786D">
                  <w:pPr>
                    <w:pStyle w:val="TableBodyText"/>
                    <w:rPr>
                      <w:rFonts w:cs="Arial"/>
                    </w:rPr>
                  </w:pPr>
                  <w:r w:rsidRPr="009D5B1D">
                    <w:rPr>
                      <w:rFonts w:cs="Arial"/>
                    </w:rPr>
                    <w:t>1.10</w:t>
                  </w:r>
                </w:p>
              </w:tc>
              <w:tc>
                <w:tcPr>
                  <w:tcW w:w="416" w:type="pct"/>
                  <w:tcBorders>
                    <w:bottom w:val="single" w:sz="6" w:space="0" w:color="BFBFBF"/>
                  </w:tcBorders>
                  <w:shd w:val="clear" w:color="auto" w:fill="auto"/>
                  <w:vAlign w:val="center"/>
                </w:tcPr>
                <w:p w14:paraId="7954BDB4" w14:textId="77777777" w:rsidR="00F05DC7" w:rsidRPr="009D5B1D" w:rsidRDefault="00F05DC7" w:rsidP="00A3786D">
                  <w:pPr>
                    <w:pStyle w:val="TableBodyText"/>
                    <w:rPr>
                      <w:rFonts w:cs="Arial"/>
                    </w:rPr>
                  </w:pPr>
                  <w:r w:rsidRPr="009D5B1D">
                    <w:rPr>
                      <w:rFonts w:cs="Arial"/>
                    </w:rPr>
                    <w:t>4.13</w:t>
                  </w:r>
                </w:p>
              </w:tc>
            </w:tr>
          </w:tbl>
          <w:p w14:paraId="7954BDB6" w14:textId="77777777" w:rsidR="00F05DC7" w:rsidRDefault="00F05DC7" w:rsidP="00A3786D">
            <w:pPr>
              <w:pStyle w:val="Box"/>
            </w:pPr>
          </w:p>
        </w:tc>
      </w:tr>
      <w:tr w:rsidR="00F05DC7" w14:paraId="7954BDB9" w14:textId="77777777" w:rsidTr="00A3786D">
        <w:tc>
          <w:tcPr>
            <w:tcW w:w="5000" w:type="pct"/>
            <w:tcBorders>
              <w:top w:val="nil"/>
              <w:left w:val="nil"/>
              <w:bottom w:val="nil"/>
              <w:right w:val="nil"/>
            </w:tcBorders>
            <w:shd w:val="clear" w:color="auto" w:fill="auto"/>
          </w:tcPr>
          <w:p w14:paraId="7954BDB8" w14:textId="77777777" w:rsidR="00F05DC7" w:rsidRDefault="00F05DC7" w:rsidP="00A3786D">
            <w:pPr>
              <w:pStyle w:val="Note"/>
              <w:rPr>
                <w:i/>
              </w:rPr>
            </w:pPr>
            <w:r w:rsidRPr="008E77FE">
              <w:rPr>
                <w:rStyle w:val="NoteLabel"/>
              </w:rPr>
              <w:t>a</w:t>
            </w:r>
            <w:r>
              <w:t xml:space="preserve"> GST impacts are evaluated on a ‘steady state’ basis; that is, assuming the new policy was fully in place in 2016</w:t>
            </w:r>
            <w:r>
              <w:noBreakHyphen/>
              <w:t>17. No transition paths are evaluated. Lower and upper bounds refer to the elasticity estimates used to calculate changes in the tax base.</w:t>
            </w:r>
          </w:p>
        </w:tc>
      </w:tr>
      <w:tr w:rsidR="00F05DC7" w14:paraId="7954BDBB" w14:textId="77777777" w:rsidTr="00A3786D">
        <w:tc>
          <w:tcPr>
            <w:tcW w:w="5000" w:type="pct"/>
            <w:tcBorders>
              <w:top w:val="nil"/>
              <w:left w:val="nil"/>
              <w:bottom w:val="nil"/>
              <w:right w:val="nil"/>
            </w:tcBorders>
            <w:shd w:val="clear" w:color="auto" w:fill="auto"/>
          </w:tcPr>
          <w:p w14:paraId="7954BDBA"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DBD" w14:textId="77777777" w:rsidTr="00A3786D">
        <w:tc>
          <w:tcPr>
            <w:tcW w:w="5000" w:type="pct"/>
            <w:tcBorders>
              <w:top w:val="nil"/>
              <w:left w:val="nil"/>
              <w:bottom w:val="single" w:sz="6" w:space="0" w:color="78A22F"/>
              <w:right w:val="nil"/>
            </w:tcBorders>
            <w:shd w:val="clear" w:color="auto" w:fill="auto"/>
          </w:tcPr>
          <w:p w14:paraId="7954BDBC" w14:textId="77777777" w:rsidR="00F05DC7" w:rsidRDefault="00F05DC7" w:rsidP="00A3786D">
            <w:pPr>
              <w:pStyle w:val="Box"/>
              <w:spacing w:before="0" w:line="120" w:lineRule="exact"/>
            </w:pPr>
          </w:p>
        </w:tc>
      </w:tr>
      <w:tr w:rsidR="00F05DC7" w:rsidRPr="000863A5" w14:paraId="7954BDBF" w14:textId="77777777" w:rsidTr="00A3786D">
        <w:tc>
          <w:tcPr>
            <w:tcW w:w="5000" w:type="pct"/>
            <w:tcBorders>
              <w:top w:val="single" w:sz="6" w:space="0" w:color="78A22F"/>
              <w:left w:val="nil"/>
              <w:bottom w:val="nil"/>
              <w:right w:val="nil"/>
            </w:tcBorders>
          </w:tcPr>
          <w:p w14:paraId="7954BDBE" w14:textId="77777777" w:rsidR="00F05DC7" w:rsidRPr="00626D32" w:rsidRDefault="00F05DC7" w:rsidP="00A3786D">
            <w:pPr>
              <w:pStyle w:val="BoxSpaceBelow"/>
            </w:pPr>
          </w:p>
        </w:tc>
      </w:tr>
    </w:tbl>
    <w:p w14:paraId="7954BDC0" w14:textId="77777777" w:rsidR="00F05DC7" w:rsidRDefault="00F05DC7" w:rsidP="00A3786D">
      <w:pPr>
        <w:pStyle w:val="BodyText"/>
      </w:pPr>
      <w:r>
        <w:t>If all States were to jointly reform stamp duty/land tax, the GST distribution effects would be smaller (table C.23). This is because the multilateral reform does not cause any State to deviate further from the average tax rate, while the assessed tax base increases for all States. This largely neutralises the impact on the GST distribution. In this scenario, the larger States (New South Wales, Victoria and Queensland) receive larger GST payments while all other States receive lower payments relative to the baseline.</w:t>
      </w:r>
    </w:p>
    <w:p w14:paraId="7954BDC1"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DC4" w14:textId="77777777" w:rsidTr="001113B1">
        <w:trPr>
          <w:tblHeader/>
        </w:trPr>
        <w:tc>
          <w:tcPr>
            <w:tcW w:w="5000" w:type="pct"/>
            <w:tcBorders>
              <w:top w:val="single" w:sz="6" w:space="0" w:color="78A22F"/>
              <w:left w:val="nil"/>
              <w:bottom w:val="nil"/>
              <w:right w:val="nil"/>
            </w:tcBorders>
            <w:shd w:val="clear" w:color="auto" w:fill="auto"/>
          </w:tcPr>
          <w:p w14:paraId="7954BDC2" w14:textId="1B03E4A5" w:rsidR="00F05DC7" w:rsidRDefault="00F05DC7" w:rsidP="00A3786D">
            <w:pPr>
              <w:pStyle w:val="TableTitle"/>
            </w:pPr>
            <w:r>
              <w:rPr>
                <w:b w:val="0"/>
              </w:rPr>
              <w:t>Table C.23</w:t>
            </w:r>
            <w:r>
              <w:tab/>
              <w:t>GST impact of stamp duty/land tax reform</w:t>
            </w:r>
          </w:p>
          <w:p w14:paraId="7954BDC3" w14:textId="77777777" w:rsidR="00F05DC7" w:rsidRPr="00784A05" w:rsidRDefault="00F05DC7" w:rsidP="00A3786D">
            <w:pPr>
              <w:pStyle w:val="Subtitle"/>
            </w:pPr>
            <w:r>
              <w:t>Multilateral change made by all States, 2016</w:t>
            </w:r>
            <w:r>
              <w:noBreakHyphen/>
              <w:t>17</w:t>
            </w:r>
            <w:r w:rsidRPr="00171B8E">
              <w:rPr>
                <w:rStyle w:val="NoteLabel"/>
              </w:rPr>
              <w:t>a</w:t>
            </w:r>
          </w:p>
        </w:tc>
      </w:tr>
      <w:tr w:rsidR="00F05DC7" w14:paraId="7954BE3E" w14:textId="77777777" w:rsidTr="00A3786D">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836"/>
              <w:gridCol w:w="708"/>
              <w:gridCol w:w="709"/>
              <w:gridCol w:w="709"/>
              <w:gridCol w:w="709"/>
              <w:gridCol w:w="708"/>
              <w:gridCol w:w="709"/>
              <w:gridCol w:w="709"/>
              <w:gridCol w:w="708"/>
            </w:tblGrid>
            <w:tr w:rsidR="00F05DC7" w:rsidRPr="00AD7DC6" w14:paraId="7954BDCE" w14:textId="77777777" w:rsidTr="00A3786D">
              <w:trPr>
                <w:tblHeader/>
              </w:trPr>
              <w:tc>
                <w:tcPr>
                  <w:tcW w:w="1667" w:type="pct"/>
                  <w:tcBorders>
                    <w:top w:val="single" w:sz="6" w:space="0" w:color="BFBFBF"/>
                    <w:bottom w:val="single" w:sz="6" w:space="0" w:color="BFBFBF"/>
                  </w:tcBorders>
                  <w:shd w:val="clear" w:color="auto" w:fill="auto"/>
                  <w:tcMar>
                    <w:top w:w="28" w:type="dxa"/>
                  </w:tcMar>
                  <w:vAlign w:val="center"/>
                </w:tcPr>
                <w:p w14:paraId="7954BDC5" w14:textId="77777777" w:rsidR="00F05DC7" w:rsidRPr="00AD7DC6" w:rsidRDefault="00F05DC7" w:rsidP="00A3786D">
                  <w:pPr>
                    <w:pStyle w:val="TableColumnHeading"/>
                    <w:rPr>
                      <w:rFonts w:asciiTheme="minorHAnsi" w:hAnsiTheme="minorHAnsi" w:cstheme="minorHAnsi"/>
                      <w:szCs w:val="18"/>
                    </w:rPr>
                  </w:pPr>
                </w:p>
              </w:tc>
              <w:tc>
                <w:tcPr>
                  <w:tcW w:w="416" w:type="pct"/>
                  <w:tcBorders>
                    <w:top w:val="single" w:sz="6" w:space="0" w:color="BFBFBF"/>
                    <w:bottom w:val="single" w:sz="6" w:space="0" w:color="BFBFBF"/>
                  </w:tcBorders>
                  <w:shd w:val="clear" w:color="auto" w:fill="auto"/>
                  <w:vAlign w:val="bottom"/>
                </w:tcPr>
                <w:p w14:paraId="7954BDC6"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NSW</w:t>
                  </w:r>
                </w:p>
              </w:tc>
              <w:tc>
                <w:tcPr>
                  <w:tcW w:w="417" w:type="pct"/>
                  <w:tcBorders>
                    <w:top w:val="single" w:sz="6" w:space="0" w:color="BFBFBF"/>
                    <w:bottom w:val="single" w:sz="6" w:space="0" w:color="BFBFBF"/>
                  </w:tcBorders>
                  <w:shd w:val="clear" w:color="auto" w:fill="auto"/>
                  <w:tcMar>
                    <w:top w:w="28" w:type="dxa"/>
                  </w:tcMar>
                  <w:vAlign w:val="bottom"/>
                </w:tcPr>
                <w:p w14:paraId="7954BDC7"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Vic</w:t>
                  </w:r>
                </w:p>
              </w:tc>
              <w:tc>
                <w:tcPr>
                  <w:tcW w:w="417" w:type="pct"/>
                  <w:tcBorders>
                    <w:top w:val="single" w:sz="6" w:space="0" w:color="BFBFBF"/>
                    <w:bottom w:val="single" w:sz="6" w:space="0" w:color="BFBFBF"/>
                  </w:tcBorders>
                  <w:shd w:val="clear" w:color="auto" w:fill="auto"/>
                  <w:vAlign w:val="bottom"/>
                </w:tcPr>
                <w:p w14:paraId="7954BDC8"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Qld</w:t>
                  </w:r>
                </w:p>
              </w:tc>
              <w:tc>
                <w:tcPr>
                  <w:tcW w:w="417" w:type="pct"/>
                  <w:tcBorders>
                    <w:top w:val="single" w:sz="6" w:space="0" w:color="BFBFBF"/>
                    <w:bottom w:val="single" w:sz="6" w:space="0" w:color="BFBFBF"/>
                  </w:tcBorders>
                  <w:shd w:val="clear" w:color="auto" w:fill="auto"/>
                  <w:vAlign w:val="bottom"/>
                </w:tcPr>
                <w:p w14:paraId="7954BDC9"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WA</w:t>
                  </w:r>
                </w:p>
              </w:tc>
              <w:tc>
                <w:tcPr>
                  <w:tcW w:w="416" w:type="pct"/>
                  <w:tcBorders>
                    <w:top w:val="single" w:sz="6" w:space="0" w:color="BFBFBF"/>
                    <w:bottom w:val="single" w:sz="6" w:space="0" w:color="BFBFBF"/>
                  </w:tcBorders>
                  <w:shd w:val="clear" w:color="auto" w:fill="auto"/>
                  <w:vAlign w:val="bottom"/>
                </w:tcPr>
                <w:p w14:paraId="7954BDCA"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SA</w:t>
                  </w:r>
                </w:p>
              </w:tc>
              <w:tc>
                <w:tcPr>
                  <w:tcW w:w="417" w:type="pct"/>
                  <w:tcBorders>
                    <w:top w:val="single" w:sz="6" w:space="0" w:color="BFBFBF"/>
                    <w:bottom w:val="single" w:sz="6" w:space="0" w:color="BFBFBF"/>
                  </w:tcBorders>
                  <w:shd w:val="clear" w:color="auto" w:fill="auto"/>
                  <w:vAlign w:val="bottom"/>
                </w:tcPr>
                <w:p w14:paraId="7954BDCB"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Tas</w:t>
                  </w:r>
                </w:p>
              </w:tc>
              <w:tc>
                <w:tcPr>
                  <w:tcW w:w="417" w:type="pct"/>
                  <w:tcBorders>
                    <w:top w:val="single" w:sz="6" w:space="0" w:color="BFBFBF"/>
                    <w:bottom w:val="single" w:sz="6" w:space="0" w:color="BFBFBF"/>
                  </w:tcBorders>
                  <w:shd w:val="clear" w:color="auto" w:fill="auto"/>
                  <w:vAlign w:val="bottom"/>
                </w:tcPr>
                <w:p w14:paraId="7954BDCC"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ACT</w:t>
                  </w:r>
                </w:p>
              </w:tc>
              <w:tc>
                <w:tcPr>
                  <w:tcW w:w="416" w:type="pct"/>
                  <w:tcBorders>
                    <w:top w:val="single" w:sz="6" w:space="0" w:color="BFBFBF"/>
                    <w:bottom w:val="single" w:sz="6" w:space="0" w:color="BFBFBF"/>
                  </w:tcBorders>
                  <w:shd w:val="clear" w:color="auto" w:fill="auto"/>
                  <w:vAlign w:val="bottom"/>
                </w:tcPr>
                <w:p w14:paraId="7954BDCD"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NT</w:t>
                  </w:r>
                </w:p>
              </w:tc>
            </w:tr>
            <w:tr w:rsidR="00F05DC7" w:rsidRPr="00AD7DC6" w14:paraId="7954BDD8" w14:textId="77777777" w:rsidTr="00A3786D">
              <w:tc>
                <w:tcPr>
                  <w:tcW w:w="1667" w:type="pct"/>
                  <w:tcBorders>
                    <w:top w:val="single" w:sz="6" w:space="0" w:color="BFBFBF"/>
                  </w:tcBorders>
                  <w:shd w:val="clear" w:color="auto" w:fill="auto"/>
                  <w:vAlign w:val="center"/>
                </w:tcPr>
                <w:p w14:paraId="7954BDCF" w14:textId="77777777" w:rsidR="00F05DC7" w:rsidRPr="007771F9" w:rsidRDefault="00F05DC7" w:rsidP="00A3786D">
                  <w:pPr>
                    <w:pStyle w:val="TableUnitsRow"/>
                    <w:jc w:val="left"/>
                    <w:rPr>
                      <w:rFonts w:asciiTheme="minorHAnsi" w:hAnsiTheme="minorHAnsi" w:cstheme="minorHAnsi"/>
                      <w:color w:val="000000" w:themeColor="text1"/>
                      <w:szCs w:val="18"/>
                    </w:rPr>
                  </w:pPr>
                  <w:r w:rsidRPr="007771F9">
                    <w:rPr>
                      <w:rFonts w:asciiTheme="minorHAnsi" w:hAnsiTheme="minorHAnsi" w:cstheme="minorHAnsi"/>
                      <w:color w:val="000000" w:themeColor="text1"/>
                      <w:szCs w:val="18"/>
                    </w:rPr>
                    <w:t>Baseline: GST annual relativity</w:t>
                  </w:r>
                </w:p>
              </w:tc>
              <w:tc>
                <w:tcPr>
                  <w:tcW w:w="416" w:type="pct"/>
                  <w:tcBorders>
                    <w:top w:val="nil"/>
                    <w:left w:val="nil"/>
                    <w:bottom w:val="nil"/>
                    <w:right w:val="nil"/>
                  </w:tcBorders>
                  <w:shd w:val="clear" w:color="auto" w:fill="auto"/>
                  <w:vAlign w:val="bottom"/>
                </w:tcPr>
                <w:p w14:paraId="7954BDD0" w14:textId="77777777" w:rsidR="00F05DC7" w:rsidRPr="007771F9" w:rsidRDefault="00F05DC7" w:rsidP="00A3786D">
                  <w:pPr>
                    <w:pStyle w:val="TableUnitsRow"/>
                    <w:ind w:right="57"/>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0.84</w:t>
                  </w:r>
                </w:p>
              </w:tc>
              <w:tc>
                <w:tcPr>
                  <w:tcW w:w="417" w:type="pct"/>
                  <w:tcBorders>
                    <w:top w:val="nil"/>
                    <w:left w:val="nil"/>
                    <w:bottom w:val="nil"/>
                    <w:right w:val="nil"/>
                  </w:tcBorders>
                  <w:shd w:val="clear" w:color="auto" w:fill="auto"/>
                  <w:vAlign w:val="bottom"/>
                </w:tcPr>
                <w:p w14:paraId="7954BDD1" w14:textId="77777777" w:rsidR="00F05DC7" w:rsidRPr="007771F9" w:rsidRDefault="00F05DC7" w:rsidP="00A3786D">
                  <w:pPr>
                    <w:pStyle w:val="TableUnitsRow"/>
                    <w:ind w:right="57"/>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1.01</w:t>
                  </w:r>
                </w:p>
              </w:tc>
              <w:tc>
                <w:tcPr>
                  <w:tcW w:w="417" w:type="pct"/>
                  <w:tcBorders>
                    <w:top w:val="nil"/>
                    <w:left w:val="nil"/>
                    <w:bottom w:val="nil"/>
                    <w:right w:val="nil"/>
                  </w:tcBorders>
                  <w:shd w:val="clear" w:color="auto" w:fill="auto"/>
                  <w:vAlign w:val="bottom"/>
                </w:tcPr>
                <w:p w14:paraId="7954BDD2" w14:textId="77777777" w:rsidR="00F05DC7" w:rsidRPr="007771F9" w:rsidRDefault="00F05DC7" w:rsidP="00A3786D">
                  <w:pPr>
                    <w:pStyle w:val="TableUnitsRow"/>
                    <w:ind w:right="57"/>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1.03</w:t>
                  </w:r>
                </w:p>
              </w:tc>
              <w:tc>
                <w:tcPr>
                  <w:tcW w:w="417" w:type="pct"/>
                  <w:tcBorders>
                    <w:top w:val="nil"/>
                    <w:left w:val="nil"/>
                    <w:bottom w:val="nil"/>
                    <w:right w:val="nil"/>
                  </w:tcBorders>
                  <w:shd w:val="clear" w:color="auto" w:fill="auto"/>
                  <w:vAlign w:val="bottom"/>
                </w:tcPr>
                <w:p w14:paraId="7954BDD3" w14:textId="77777777" w:rsidR="00F05DC7" w:rsidRPr="007771F9" w:rsidRDefault="00F05DC7" w:rsidP="00A3786D">
                  <w:pPr>
                    <w:pStyle w:val="TableUnitsRow"/>
                    <w:ind w:right="57"/>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0.57</w:t>
                  </w:r>
                </w:p>
              </w:tc>
              <w:tc>
                <w:tcPr>
                  <w:tcW w:w="416" w:type="pct"/>
                  <w:tcBorders>
                    <w:top w:val="nil"/>
                    <w:left w:val="nil"/>
                    <w:bottom w:val="nil"/>
                    <w:right w:val="nil"/>
                  </w:tcBorders>
                  <w:shd w:val="clear" w:color="auto" w:fill="auto"/>
                  <w:vAlign w:val="bottom"/>
                </w:tcPr>
                <w:p w14:paraId="7954BDD4" w14:textId="77777777" w:rsidR="00F05DC7" w:rsidRPr="007771F9" w:rsidRDefault="00F05DC7" w:rsidP="00A3786D">
                  <w:pPr>
                    <w:pStyle w:val="TableUnitsRow"/>
                    <w:ind w:right="57"/>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1.53</w:t>
                  </w:r>
                </w:p>
              </w:tc>
              <w:tc>
                <w:tcPr>
                  <w:tcW w:w="417" w:type="pct"/>
                  <w:tcBorders>
                    <w:top w:val="nil"/>
                    <w:left w:val="nil"/>
                    <w:bottom w:val="nil"/>
                    <w:right w:val="nil"/>
                  </w:tcBorders>
                  <w:shd w:val="clear" w:color="auto" w:fill="auto"/>
                  <w:vAlign w:val="bottom"/>
                </w:tcPr>
                <w:p w14:paraId="7954BDD5" w14:textId="77777777" w:rsidR="00F05DC7" w:rsidRPr="007771F9" w:rsidRDefault="00F05DC7" w:rsidP="00A3786D">
                  <w:pPr>
                    <w:pStyle w:val="TableUnitsRow"/>
                    <w:ind w:right="57"/>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1.72</w:t>
                  </w:r>
                </w:p>
              </w:tc>
              <w:tc>
                <w:tcPr>
                  <w:tcW w:w="417" w:type="pct"/>
                  <w:tcBorders>
                    <w:top w:val="nil"/>
                    <w:left w:val="nil"/>
                    <w:bottom w:val="nil"/>
                    <w:right w:val="nil"/>
                  </w:tcBorders>
                  <w:shd w:val="clear" w:color="auto" w:fill="auto"/>
                  <w:vAlign w:val="bottom"/>
                </w:tcPr>
                <w:p w14:paraId="7954BDD6" w14:textId="77777777" w:rsidR="00F05DC7" w:rsidRPr="007771F9" w:rsidRDefault="00F05DC7" w:rsidP="00A3786D">
                  <w:pPr>
                    <w:pStyle w:val="TableUnitsRow"/>
                    <w:ind w:right="57"/>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1.21</w:t>
                  </w:r>
                </w:p>
              </w:tc>
              <w:tc>
                <w:tcPr>
                  <w:tcW w:w="416" w:type="pct"/>
                  <w:tcBorders>
                    <w:top w:val="nil"/>
                    <w:left w:val="nil"/>
                    <w:bottom w:val="nil"/>
                    <w:right w:val="nil"/>
                  </w:tcBorders>
                  <w:shd w:val="clear" w:color="auto" w:fill="auto"/>
                  <w:vAlign w:val="bottom"/>
                </w:tcPr>
                <w:p w14:paraId="7954BDD7" w14:textId="77777777" w:rsidR="00F05DC7" w:rsidRPr="007771F9" w:rsidRDefault="00F05DC7" w:rsidP="00A3786D">
                  <w:pPr>
                    <w:pStyle w:val="TableUnitsRow"/>
                    <w:ind w:right="57"/>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4.19</w:t>
                  </w:r>
                </w:p>
              </w:tc>
            </w:tr>
            <w:tr w:rsidR="00F05DC7" w:rsidRPr="00AD7DC6" w14:paraId="7954BDE2" w14:textId="77777777" w:rsidTr="00A3786D">
              <w:tc>
                <w:tcPr>
                  <w:tcW w:w="1667" w:type="pct"/>
                  <w:shd w:val="clear" w:color="auto" w:fill="auto"/>
                  <w:vAlign w:val="center"/>
                </w:tcPr>
                <w:p w14:paraId="7954BDD9" w14:textId="77777777" w:rsidR="00F05DC7" w:rsidRPr="007771F9" w:rsidRDefault="00F05DC7" w:rsidP="00A3786D">
                  <w:pPr>
                    <w:spacing w:before="80"/>
                    <w:ind w:right="57"/>
                    <w:rPr>
                      <w:rFonts w:asciiTheme="minorHAnsi" w:hAnsiTheme="minorHAnsi" w:cstheme="minorHAnsi"/>
                      <w:b/>
                      <w:bCs/>
                      <w:color w:val="000000" w:themeColor="text1"/>
                      <w:sz w:val="18"/>
                      <w:szCs w:val="18"/>
                    </w:rPr>
                  </w:pPr>
                  <w:r w:rsidRPr="007771F9">
                    <w:rPr>
                      <w:rFonts w:asciiTheme="minorHAnsi" w:hAnsiTheme="minorHAnsi" w:cstheme="minorHAnsi"/>
                      <w:b/>
                      <w:color w:val="000000" w:themeColor="text1"/>
                      <w:sz w:val="18"/>
                      <w:szCs w:val="18"/>
                    </w:rPr>
                    <w:t>Lower-bound</w:t>
                  </w:r>
                </w:p>
              </w:tc>
              <w:tc>
                <w:tcPr>
                  <w:tcW w:w="416" w:type="pct"/>
                  <w:shd w:val="clear" w:color="auto" w:fill="auto"/>
                  <w:vAlign w:val="center"/>
                </w:tcPr>
                <w:p w14:paraId="7954BDDA" w14:textId="77777777" w:rsidR="00F05DC7" w:rsidRPr="007771F9" w:rsidRDefault="00F05DC7" w:rsidP="00A3786D">
                  <w:pPr>
                    <w:pStyle w:val="TableBodyText"/>
                    <w:ind w:right="57"/>
                    <w:rPr>
                      <w:rFonts w:asciiTheme="minorHAnsi" w:hAnsiTheme="minorHAnsi" w:cstheme="minorHAnsi"/>
                      <w:color w:val="000000" w:themeColor="text1"/>
                      <w:szCs w:val="18"/>
                    </w:rPr>
                  </w:pPr>
                </w:p>
              </w:tc>
              <w:tc>
                <w:tcPr>
                  <w:tcW w:w="417" w:type="pct"/>
                  <w:shd w:val="clear" w:color="auto" w:fill="auto"/>
                  <w:vAlign w:val="center"/>
                </w:tcPr>
                <w:p w14:paraId="7954BDDB" w14:textId="77777777" w:rsidR="00F05DC7" w:rsidRPr="007771F9" w:rsidRDefault="00F05DC7" w:rsidP="00A3786D">
                  <w:pPr>
                    <w:pStyle w:val="TableBodyText"/>
                    <w:ind w:right="57"/>
                    <w:rPr>
                      <w:rFonts w:asciiTheme="minorHAnsi" w:hAnsiTheme="minorHAnsi" w:cstheme="minorHAnsi"/>
                      <w:color w:val="000000" w:themeColor="text1"/>
                      <w:szCs w:val="18"/>
                    </w:rPr>
                  </w:pPr>
                </w:p>
              </w:tc>
              <w:tc>
                <w:tcPr>
                  <w:tcW w:w="417" w:type="pct"/>
                  <w:shd w:val="clear" w:color="auto" w:fill="auto"/>
                  <w:vAlign w:val="center"/>
                </w:tcPr>
                <w:p w14:paraId="7954BDDC" w14:textId="77777777" w:rsidR="00F05DC7" w:rsidRPr="007771F9" w:rsidRDefault="00F05DC7" w:rsidP="00A3786D">
                  <w:pPr>
                    <w:pStyle w:val="TableBodyText"/>
                    <w:ind w:right="57"/>
                    <w:rPr>
                      <w:rFonts w:asciiTheme="minorHAnsi" w:hAnsiTheme="minorHAnsi" w:cstheme="minorHAnsi"/>
                      <w:color w:val="000000" w:themeColor="text1"/>
                      <w:szCs w:val="18"/>
                    </w:rPr>
                  </w:pPr>
                </w:p>
              </w:tc>
              <w:tc>
                <w:tcPr>
                  <w:tcW w:w="417" w:type="pct"/>
                  <w:shd w:val="clear" w:color="auto" w:fill="auto"/>
                  <w:vAlign w:val="center"/>
                </w:tcPr>
                <w:p w14:paraId="7954BDDD" w14:textId="77777777" w:rsidR="00F05DC7" w:rsidRPr="007771F9" w:rsidRDefault="00F05DC7" w:rsidP="00A3786D">
                  <w:pPr>
                    <w:pStyle w:val="TableBodyText"/>
                    <w:ind w:right="57"/>
                    <w:rPr>
                      <w:rFonts w:asciiTheme="minorHAnsi" w:hAnsiTheme="minorHAnsi" w:cstheme="minorHAnsi"/>
                      <w:color w:val="000000" w:themeColor="text1"/>
                      <w:szCs w:val="18"/>
                    </w:rPr>
                  </w:pPr>
                </w:p>
              </w:tc>
              <w:tc>
                <w:tcPr>
                  <w:tcW w:w="416" w:type="pct"/>
                  <w:shd w:val="clear" w:color="auto" w:fill="auto"/>
                  <w:vAlign w:val="center"/>
                </w:tcPr>
                <w:p w14:paraId="7954BDDE" w14:textId="77777777" w:rsidR="00F05DC7" w:rsidRPr="007771F9" w:rsidRDefault="00F05DC7" w:rsidP="00A3786D">
                  <w:pPr>
                    <w:pStyle w:val="TableBodyText"/>
                    <w:ind w:right="57"/>
                    <w:rPr>
                      <w:rFonts w:asciiTheme="minorHAnsi" w:hAnsiTheme="minorHAnsi" w:cstheme="minorHAnsi"/>
                      <w:color w:val="000000" w:themeColor="text1"/>
                      <w:szCs w:val="18"/>
                    </w:rPr>
                  </w:pPr>
                </w:p>
              </w:tc>
              <w:tc>
                <w:tcPr>
                  <w:tcW w:w="417" w:type="pct"/>
                  <w:shd w:val="clear" w:color="auto" w:fill="auto"/>
                  <w:vAlign w:val="center"/>
                </w:tcPr>
                <w:p w14:paraId="7954BDDF" w14:textId="77777777" w:rsidR="00F05DC7" w:rsidRPr="007771F9" w:rsidRDefault="00F05DC7" w:rsidP="00A3786D">
                  <w:pPr>
                    <w:pStyle w:val="TableBodyText"/>
                    <w:ind w:right="57"/>
                    <w:rPr>
                      <w:rFonts w:asciiTheme="minorHAnsi" w:hAnsiTheme="minorHAnsi" w:cstheme="minorHAnsi"/>
                      <w:color w:val="000000" w:themeColor="text1"/>
                      <w:szCs w:val="18"/>
                    </w:rPr>
                  </w:pPr>
                </w:p>
              </w:tc>
              <w:tc>
                <w:tcPr>
                  <w:tcW w:w="417" w:type="pct"/>
                  <w:shd w:val="clear" w:color="auto" w:fill="auto"/>
                  <w:vAlign w:val="center"/>
                </w:tcPr>
                <w:p w14:paraId="7954BDE0" w14:textId="77777777" w:rsidR="00F05DC7" w:rsidRPr="007771F9" w:rsidRDefault="00F05DC7" w:rsidP="00A3786D">
                  <w:pPr>
                    <w:pStyle w:val="TableBodyText"/>
                    <w:ind w:right="57"/>
                    <w:rPr>
                      <w:rFonts w:asciiTheme="minorHAnsi" w:hAnsiTheme="minorHAnsi" w:cstheme="minorHAnsi"/>
                      <w:color w:val="000000" w:themeColor="text1"/>
                      <w:szCs w:val="18"/>
                    </w:rPr>
                  </w:pPr>
                </w:p>
              </w:tc>
              <w:tc>
                <w:tcPr>
                  <w:tcW w:w="416" w:type="pct"/>
                  <w:shd w:val="clear" w:color="auto" w:fill="auto"/>
                  <w:vAlign w:val="center"/>
                </w:tcPr>
                <w:p w14:paraId="7954BDE1" w14:textId="77777777" w:rsidR="00F05DC7" w:rsidRPr="007771F9" w:rsidRDefault="00F05DC7" w:rsidP="00A3786D">
                  <w:pPr>
                    <w:pStyle w:val="TableBodyText"/>
                    <w:ind w:right="57"/>
                    <w:rPr>
                      <w:rFonts w:asciiTheme="minorHAnsi" w:hAnsiTheme="minorHAnsi" w:cstheme="minorHAnsi"/>
                      <w:color w:val="000000" w:themeColor="text1"/>
                      <w:szCs w:val="18"/>
                    </w:rPr>
                  </w:pPr>
                </w:p>
              </w:tc>
            </w:tr>
            <w:tr w:rsidR="00F05DC7" w:rsidRPr="00AD7DC6" w14:paraId="7954BDEC" w14:textId="77777777" w:rsidTr="00A3786D">
              <w:trPr>
                <w:trHeight w:val="210"/>
              </w:trPr>
              <w:tc>
                <w:tcPr>
                  <w:tcW w:w="1667" w:type="pct"/>
                  <w:shd w:val="clear" w:color="auto" w:fill="auto"/>
                  <w:vAlign w:val="center"/>
                </w:tcPr>
                <w:p w14:paraId="7954BDE3" w14:textId="77777777" w:rsidR="00F05DC7" w:rsidRPr="007771F9" w:rsidRDefault="00F05DC7" w:rsidP="00A3786D">
                  <w:pPr>
                    <w:pStyle w:val="TableBodyText"/>
                    <w:ind w:left="113" w:right="57"/>
                    <w:jc w:val="left"/>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Change in GST payments ($m)</w:t>
                  </w:r>
                </w:p>
              </w:tc>
              <w:tc>
                <w:tcPr>
                  <w:tcW w:w="416" w:type="pct"/>
                  <w:tcBorders>
                    <w:top w:val="nil"/>
                    <w:left w:val="nil"/>
                    <w:bottom w:val="nil"/>
                    <w:right w:val="nil"/>
                  </w:tcBorders>
                  <w:shd w:val="clear" w:color="auto" w:fill="auto"/>
                  <w:vAlign w:val="bottom"/>
                </w:tcPr>
                <w:p w14:paraId="7954BDE4"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135</w:t>
                  </w:r>
                </w:p>
              </w:tc>
              <w:tc>
                <w:tcPr>
                  <w:tcW w:w="417" w:type="pct"/>
                  <w:tcBorders>
                    <w:top w:val="nil"/>
                    <w:left w:val="nil"/>
                    <w:bottom w:val="nil"/>
                    <w:right w:val="nil"/>
                  </w:tcBorders>
                  <w:shd w:val="clear" w:color="auto" w:fill="auto"/>
                  <w:vAlign w:val="bottom"/>
                </w:tcPr>
                <w:p w14:paraId="7954BDE5"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-18</w:t>
                  </w:r>
                </w:p>
              </w:tc>
              <w:tc>
                <w:tcPr>
                  <w:tcW w:w="417" w:type="pct"/>
                  <w:tcBorders>
                    <w:top w:val="nil"/>
                    <w:left w:val="nil"/>
                    <w:bottom w:val="nil"/>
                    <w:right w:val="nil"/>
                  </w:tcBorders>
                  <w:shd w:val="clear" w:color="auto" w:fill="auto"/>
                  <w:vAlign w:val="bottom"/>
                </w:tcPr>
                <w:p w14:paraId="7954BDE6"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380</w:t>
                  </w:r>
                </w:p>
              </w:tc>
              <w:tc>
                <w:tcPr>
                  <w:tcW w:w="417" w:type="pct"/>
                  <w:tcBorders>
                    <w:top w:val="nil"/>
                    <w:left w:val="nil"/>
                    <w:bottom w:val="nil"/>
                    <w:right w:val="nil"/>
                  </w:tcBorders>
                  <w:shd w:val="clear" w:color="auto" w:fill="auto"/>
                  <w:vAlign w:val="bottom"/>
                </w:tcPr>
                <w:p w14:paraId="7954BDE7"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-306</w:t>
                  </w:r>
                </w:p>
              </w:tc>
              <w:tc>
                <w:tcPr>
                  <w:tcW w:w="416" w:type="pct"/>
                  <w:tcBorders>
                    <w:top w:val="nil"/>
                    <w:left w:val="nil"/>
                    <w:bottom w:val="nil"/>
                    <w:right w:val="nil"/>
                  </w:tcBorders>
                  <w:shd w:val="clear" w:color="auto" w:fill="auto"/>
                  <w:vAlign w:val="bottom"/>
                </w:tcPr>
                <w:p w14:paraId="7954BDE8"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-157</w:t>
                  </w:r>
                </w:p>
              </w:tc>
              <w:tc>
                <w:tcPr>
                  <w:tcW w:w="417" w:type="pct"/>
                  <w:tcBorders>
                    <w:top w:val="nil"/>
                    <w:left w:val="nil"/>
                    <w:bottom w:val="nil"/>
                    <w:right w:val="nil"/>
                  </w:tcBorders>
                  <w:shd w:val="clear" w:color="auto" w:fill="auto"/>
                  <w:vAlign w:val="bottom"/>
                </w:tcPr>
                <w:p w14:paraId="7954BDE9"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-19</w:t>
                  </w:r>
                </w:p>
              </w:tc>
              <w:tc>
                <w:tcPr>
                  <w:tcW w:w="417" w:type="pct"/>
                  <w:tcBorders>
                    <w:top w:val="nil"/>
                    <w:left w:val="nil"/>
                    <w:bottom w:val="nil"/>
                    <w:right w:val="nil"/>
                  </w:tcBorders>
                  <w:shd w:val="clear" w:color="auto" w:fill="auto"/>
                  <w:vAlign w:val="bottom"/>
                </w:tcPr>
                <w:p w14:paraId="7954BDEA"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-2</w:t>
                  </w:r>
                </w:p>
              </w:tc>
              <w:tc>
                <w:tcPr>
                  <w:tcW w:w="416" w:type="pct"/>
                  <w:tcBorders>
                    <w:top w:val="nil"/>
                    <w:left w:val="nil"/>
                    <w:bottom w:val="nil"/>
                    <w:right w:val="nil"/>
                  </w:tcBorders>
                  <w:shd w:val="clear" w:color="auto" w:fill="auto"/>
                  <w:vAlign w:val="bottom"/>
                </w:tcPr>
                <w:p w14:paraId="7954BDEB"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-13</w:t>
                  </w:r>
                </w:p>
              </w:tc>
            </w:tr>
            <w:tr w:rsidR="00F05DC7" w:rsidRPr="00AD7DC6" w14:paraId="7954BDF6" w14:textId="77777777" w:rsidTr="00A3786D">
              <w:trPr>
                <w:trHeight w:val="210"/>
              </w:trPr>
              <w:tc>
                <w:tcPr>
                  <w:tcW w:w="1667" w:type="pct"/>
                  <w:shd w:val="clear" w:color="auto" w:fill="auto"/>
                  <w:vAlign w:val="center"/>
                </w:tcPr>
                <w:p w14:paraId="7954BDED" w14:textId="77777777" w:rsidR="00F05DC7" w:rsidRPr="007771F9" w:rsidRDefault="00F05DC7" w:rsidP="00A3786D">
                  <w:pPr>
                    <w:pStyle w:val="TableBodyText"/>
                    <w:ind w:left="113" w:right="57"/>
                    <w:jc w:val="left"/>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Change in GST payments ($pc)</w:t>
                  </w:r>
                </w:p>
              </w:tc>
              <w:tc>
                <w:tcPr>
                  <w:tcW w:w="416" w:type="pct"/>
                  <w:tcBorders>
                    <w:top w:val="nil"/>
                    <w:left w:val="nil"/>
                    <w:bottom w:val="nil"/>
                    <w:right w:val="nil"/>
                  </w:tcBorders>
                  <w:shd w:val="clear" w:color="auto" w:fill="auto"/>
                  <w:vAlign w:val="bottom"/>
                </w:tcPr>
                <w:p w14:paraId="7954BDEE"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17</w:t>
                  </w:r>
                </w:p>
              </w:tc>
              <w:tc>
                <w:tcPr>
                  <w:tcW w:w="417" w:type="pct"/>
                  <w:tcBorders>
                    <w:top w:val="nil"/>
                    <w:left w:val="nil"/>
                    <w:bottom w:val="nil"/>
                    <w:right w:val="nil"/>
                  </w:tcBorders>
                  <w:shd w:val="clear" w:color="auto" w:fill="auto"/>
                  <w:vAlign w:val="bottom"/>
                </w:tcPr>
                <w:p w14:paraId="7954BDEF"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-3</w:t>
                  </w:r>
                </w:p>
              </w:tc>
              <w:tc>
                <w:tcPr>
                  <w:tcW w:w="417" w:type="pct"/>
                  <w:tcBorders>
                    <w:top w:val="nil"/>
                    <w:left w:val="nil"/>
                    <w:bottom w:val="nil"/>
                    <w:right w:val="nil"/>
                  </w:tcBorders>
                  <w:shd w:val="clear" w:color="auto" w:fill="auto"/>
                  <w:vAlign w:val="bottom"/>
                </w:tcPr>
                <w:p w14:paraId="7954BDF0"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78</w:t>
                  </w:r>
                </w:p>
              </w:tc>
              <w:tc>
                <w:tcPr>
                  <w:tcW w:w="417" w:type="pct"/>
                  <w:tcBorders>
                    <w:top w:val="nil"/>
                    <w:left w:val="nil"/>
                    <w:bottom w:val="nil"/>
                    <w:right w:val="nil"/>
                  </w:tcBorders>
                  <w:shd w:val="clear" w:color="auto" w:fill="auto"/>
                  <w:vAlign w:val="bottom"/>
                </w:tcPr>
                <w:p w14:paraId="7954BDF1"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-119</w:t>
                  </w:r>
                </w:p>
              </w:tc>
              <w:tc>
                <w:tcPr>
                  <w:tcW w:w="416" w:type="pct"/>
                  <w:tcBorders>
                    <w:top w:val="nil"/>
                    <w:left w:val="nil"/>
                    <w:bottom w:val="nil"/>
                    <w:right w:val="nil"/>
                  </w:tcBorders>
                  <w:shd w:val="clear" w:color="auto" w:fill="auto"/>
                  <w:vAlign w:val="bottom"/>
                </w:tcPr>
                <w:p w14:paraId="7954BDF2"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-91</w:t>
                  </w:r>
                </w:p>
              </w:tc>
              <w:tc>
                <w:tcPr>
                  <w:tcW w:w="417" w:type="pct"/>
                  <w:tcBorders>
                    <w:top w:val="nil"/>
                    <w:left w:val="nil"/>
                    <w:bottom w:val="nil"/>
                    <w:right w:val="nil"/>
                  </w:tcBorders>
                  <w:shd w:val="clear" w:color="auto" w:fill="auto"/>
                  <w:vAlign w:val="bottom"/>
                </w:tcPr>
                <w:p w14:paraId="7954BDF3"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-37</w:t>
                  </w:r>
                </w:p>
              </w:tc>
              <w:tc>
                <w:tcPr>
                  <w:tcW w:w="417" w:type="pct"/>
                  <w:tcBorders>
                    <w:top w:val="nil"/>
                    <w:left w:val="nil"/>
                    <w:bottom w:val="nil"/>
                    <w:right w:val="nil"/>
                  </w:tcBorders>
                  <w:shd w:val="clear" w:color="auto" w:fill="auto"/>
                  <w:vAlign w:val="bottom"/>
                </w:tcPr>
                <w:p w14:paraId="7954BDF4"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-5</w:t>
                  </w:r>
                </w:p>
              </w:tc>
              <w:tc>
                <w:tcPr>
                  <w:tcW w:w="416" w:type="pct"/>
                  <w:tcBorders>
                    <w:top w:val="nil"/>
                    <w:left w:val="nil"/>
                    <w:bottom w:val="nil"/>
                    <w:right w:val="nil"/>
                  </w:tcBorders>
                  <w:shd w:val="clear" w:color="auto" w:fill="auto"/>
                  <w:vAlign w:val="bottom"/>
                </w:tcPr>
                <w:p w14:paraId="7954BDF5"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-55</w:t>
                  </w:r>
                </w:p>
              </w:tc>
            </w:tr>
            <w:tr w:rsidR="00F05DC7" w:rsidRPr="00AD7DC6" w14:paraId="7954BE00" w14:textId="77777777" w:rsidTr="00A3786D">
              <w:trPr>
                <w:trHeight w:val="210"/>
              </w:trPr>
              <w:tc>
                <w:tcPr>
                  <w:tcW w:w="1667" w:type="pct"/>
                  <w:shd w:val="clear" w:color="auto" w:fill="auto"/>
                  <w:vAlign w:val="center"/>
                </w:tcPr>
                <w:p w14:paraId="7954BDF7" w14:textId="77777777" w:rsidR="00F05DC7" w:rsidRPr="007771F9" w:rsidRDefault="00F05DC7" w:rsidP="00A3786D">
                  <w:pPr>
                    <w:pStyle w:val="TableBodyText"/>
                    <w:ind w:left="113" w:right="57"/>
                    <w:jc w:val="left"/>
                    <w:rPr>
                      <w:rFonts w:asciiTheme="minorHAnsi" w:hAnsiTheme="minorHAnsi" w:cstheme="minorHAnsi"/>
                      <w:bCs/>
                      <w:color w:val="000000" w:themeColor="text1"/>
                      <w:szCs w:val="18"/>
                    </w:rPr>
                  </w:pPr>
                  <w:r w:rsidRPr="00AE067B">
                    <w:rPr>
                      <w:rFonts w:cs="Arial"/>
                      <w:szCs w:val="18"/>
                    </w:rPr>
                    <w:t>Change in GST payments (% of State revenue)</w:t>
                  </w:r>
                </w:p>
              </w:tc>
              <w:tc>
                <w:tcPr>
                  <w:tcW w:w="416" w:type="pct"/>
                  <w:tcBorders>
                    <w:top w:val="nil"/>
                    <w:left w:val="nil"/>
                    <w:bottom w:val="nil"/>
                    <w:right w:val="nil"/>
                  </w:tcBorders>
                  <w:shd w:val="clear" w:color="auto" w:fill="auto"/>
                  <w:vAlign w:val="bottom"/>
                </w:tcPr>
                <w:p w14:paraId="7954BDF8"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0.2</w:t>
                  </w:r>
                </w:p>
              </w:tc>
              <w:tc>
                <w:tcPr>
                  <w:tcW w:w="417" w:type="pct"/>
                  <w:tcBorders>
                    <w:top w:val="nil"/>
                    <w:left w:val="nil"/>
                    <w:bottom w:val="nil"/>
                    <w:right w:val="nil"/>
                  </w:tcBorders>
                  <w:shd w:val="clear" w:color="auto" w:fill="auto"/>
                  <w:vAlign w:val="bottom"/>
                </w:tcPr>
                <w:p w14:paraId="7954BDF9"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0.0</w:t>
                  </w:r>
                </w:p>
              </w:tc>
              <w:tc>
                <w:tcPr>
                  <w:tcW w:w="417" w:type="pct"/>
                  <w:tcBorders>
                    <w:top w:val="nil"/>
                    <w:left w:val="nil"/>
                    <w:bottom w:val="nil"/>
                    <w:right w:val="nil"/>
                  </w:tcBorders>
                  <w:shd w:val="clear" w:color="auto" w:fill="auto"/>
                  <w:vAlign w:val="bottom"/>
                </w:tcPr>
                <w:p w14:paraId="7954BDFA"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0.7</w:t>
                  </w:r>
                </w:p>
              </w:tc>
              <w:tc>
                <w:tcPr>
                  <w:tcW w:w="417" w:type="pct"/>
                  <w:tcBorders>
                    <w:top w:val="nil"/>
                    <w:left w:val="nil"/>
                    <w:bottom w:val="nil"/>
                    <w:right w:val="nil"/>
                  </w:tcBorders>
                  <w:shd w:val="clear" w:color="auto" w:fill="auto"/>
                  <w:vAlign w:val="bottom"/>
                </w:tcPr>
                <w:p w14:paraId="7954BDFB"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-1.1</w:t>
                  </w:r>
                </w:p>
              </w:tc>
              <w:tc>
                <w:tcPr>
                  <w:tcW w:w="416" w:type="pct"/>
                  <w:tcBorders>
                    <w:top w:val="nil"/>
                    <w:left w:val="nil"/>
                    <w:bottom w:val="nil"/>
                    <w:right w:val="nil"/>
                  </w:tcBorders>
                  <w:shd w:val="clear" w:color="auto" w:fill="auto"/>
                  <w:vAlign w:val="bottom"/>
                </w:tcPr>
                <w:p w14:paraId="7954BDFC"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-0.8</w:t>
                  </w:r>
                </w:p>
              </w:tc>
              <w:tc>
                <w:tcPr>
                  <w:tcW w:w="417" w:type="pct"/>
                  <w:tcBorders>
                    <w:top w:val="nil"/>
                    <w:left w:val="nil"/>
                    <w:bottom w:val="nil"/>
                    <w:right w:val="nil"/>
                  </w:tcBorders>
                  <w:shd w:val="clear" w:color="auto" w:fill="auto"/>
                  <w:vAlign w:val="bottom"/>
                </w:tcPr>
                <w:p w14:paraId="7954BDFD"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-0.3</w:t>
                  </w:r>
                </w:p>
              </w:tc>
              <w:tc>
                <w:tcPr>
                  <w:tcW w:w="417" w:type="pct"/>
                  <w:tcBorders>
                    <w:top w:val="nil"/>
                    <w:left w:val="nil"/>
                    <w:bottom w:val="nil"/>
                    <w:right w:val="nil"/>
                  </w:tcBorders>
                  <w:shd w:val="clear" w:color="auto" w:fill="auto"/>
                  <w:vAlign w:val="bottom"/>
                </w:tcPr>
                <w:p w14:paraId="7954BDFE"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0.0</w:t>
                  </w:r>
                </w:p>
              </w:tc>
              <w:tc>
                <w:tcPr>
                  <w:tcW w:w="416" w:type="pct"/>
                  <w:tcBorders>
                    <w:top w:val="nil"/>
                    <w:left w:val="nil"/>
                    <w:bottom w:val="nil"/>
                    <w:right w:val="nil"/>
                  </w:tcBorders>
                  <w:shd w:val="clear" w:color="auto" w:fill="auto"/>
                  <w:vAlign w:val="bottom"/>
                </w:tcPr>
                <w:p w14:paraId="7954BDFF"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-0.2</w:t>
                  </w:r>
                </w:p>
              </w:tc>
            </w:tr>
            <w:tr w:rsidR="00F05DC7" w:rsidRPr="00AD7DC6" w14:paraId="7954BE0A" w14:textId="77777777" w:rsidTr="00A3786D">
              <w:trPr>
                <w:trHeight w:val="210"/>
              </w:trPr>
              <w:tc>
                <w:tcPr>
                  <w:tcW w:w="1667" w:type="pct"/>
                  <w:shd w:val="clear" w:color="auto" w:fill="auto"/>
                  <w:vAlign w:val="center"/>
                </w:tcPr>
                <w:p w14:paraId="7954BE01" w14:textId="77777777" w:rsidR="00F05DC7" w:rsidRPr="007771F9" w:rsidRDefault="00F05DC7" w:rsidP="00A3786D">
                  <w:pPr>
                    <w:pStyle w:val="TableBodyText"/>
                    <w:ind w:left="113" w:right="57"/>
                    <w:jc w:val="left"/>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New GST relativity</w:t>
                  </w:r>
                </w:p>
              </w:tc>
              <w:tc>
                <w:tcPr>
                  <w:tcW w:w="416" w:type="pct"/>
                  <w:tcBorders>
                    <w:top w:val="nil"/>
                    <w:left w:val="nil"/>
                    <w:bottom w:val="nil"/>
                    <w:right w:val="nil"/>
                  </w:tcBorders>
                  <w:shd w:val="clear" w:color="auto" w:fill="auto"/>
                  <w:vAlign w:val="bottom"/>
                </w:tcPr>
                <w:p w14:paraId="7954BE02"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0.85</w:t>
                  </w:r>
                </w:p>
              </w:tc>
              <w:tc>
                <w:tcPr>
                  <w:tcW w:w="417" w:type="pct"/>
                  <w:tcBorders>
                    <w:top w:val="nil"/>
                    <w:left w:val="nil"/>
                    <w:bottom w:val="nil"/>
                    <w:right w:val="nil"/>
                  </w:tcBorders>
                  <w:shd w:val="clear" w:color="auto" w:fill="auto"/>
                  <w:vAlign w:val="bottom"/>
                </w:tcPr>
                <w:p w14:paraId="7954BE03"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1.01</w:t>
                  </w:r>
                </w:p>
              </w:tc>
              <w:tc>
                <w:tcPr>
                  <w:tcW w:w="417" w:type="pct"/>
                  <w:tcBorders>
                    <w:top w:val="nil"/>
                    <w:left w:val="nil"/>
                    <w:bottom w:val="nil"/>
                    <w:right w:val="nil"/>
                  </w:tcBorders>
                  <w:shd w:val="clear" w:color="auto" w:fill="auto"/>
                  <w:vAlign w:val="bottom"/>
                </w:tcPr>
                <w:p w14:paraId="7954BE04"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1.06</w:t>
                  </w:r>
                </w:p>
              </w:tc>
              <w:tc>
                <w:tcPr>
                  <w:tcW w:w="417" w:type="pct"/>
                  <w:tcBorders>
                    <w:top w:val="nil"/>
                    <w:left w:val="nil"/>
                    <w:bottom w:val="nil"/>
                    <w:right w:val="nil"/>
                  </w:tcBorders>
                  <w:shd w:val="clear" w:color="auto" w:fill="auto"/>
                  <w:vAlign w:val="bottom"/>
                </w:tcPr>
                <w:p w14:paraId="7954BE05"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0.52</w:t>
                  </w:r>
                </w:p>
              </w:tc>
              <w:tc>
                <w:tcPr>
                  <w:tcW w:w="416" w:type="pct"/>
                  <w:tcBorders>
                    <w:top w:val="nil"/>
                    <w:left w:val="nil"/>
                    <w:bottom w:val="nil"/>
                    <w:right w:val="nil"/>
                  </w:tcBorders>
                  <w:shd w:val="clear" w:color="auto" w:fill="auto"/>
                  <w:vAlign w:val="bottom"/>
                </w:tcPr>
                <w:p w14:paraId="7954BE06"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1.49</w:t>
                  </w:r>
                </w:p>
              </w:tc>
              <w:tc>
                <w:tcPr>
                  <w:tcW w:w="417" w:type="pct"/>
                  <w:tcBorders>
                    <w:top w:val="nil"/>
                    <w:left w:val="nil"/>
                    <w:bottom w:val="nil"/>
                    <w:right w:val="nil"/>
                  </w:tcBorders>
                  <w:shd w:val="clear" w:color="auto" w:fill="auto"/>
                  <w:vAlign w:val="bottom"/>
                </w:tcPr>
                <w:p w14:paraId="7954BE07"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1.71</w:t>
                  </w:r>
                </w:p>
              </w:tc>
              <w:tc>
                <w:tcPr>
                  <w:tcW w:w="417" w:type="pct"/>
                  <w:tcBorders>
                    <w:top w:val="nil"/>
                    <w:left w:val="nil"/>
                    <w:bottom w:val="nil"/>
                    <w:right w:val="nil"/>
                  </w:tcBorders>
                  <w:shd w:val="clear" w:color="auto" w:fill="auto"/>
                  <w:vAlign w:val="bottom"/>
                </w:tcPr>
                <w:p w14:paraId="7954BE08"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1.21</w:t>
                  </w:r>
                </w:p>
              </w:tc>
              <w:tc>
                <w:tcPr>
                  <w:tcW w:w="416" w:type="pct"/>
                  <w:tcBorders>
                    <w:top w:val="nil"/>
                    <w:left w:val="nil"/>
                    <w:bottom w:val="nil"/>
                    <w:right w:val="nil"/>
                  </w:tcBorders>
                  <w:shd w:val="clear" w:color="auto" w:fill="auto"/>
                  <w:vAlign w:val="bottom"/>
                </w:tcPr>
                <w:p w14:paraId="7954BE09"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4.17</w:t>
                  </w:r>
                </w:p>
              </w:tc>
            </w:tr>
            <w:tr w:rsidR="00F05DC7" w:rsidRPr="00AD7DC6" w14:paraId="7954BE14" w14:textId="77777777" w:rsidTr="00A3786D">
              <w:tc>
                <w:tcPr>
                  <w:tcW w:w="1667" w:type="pct"/>
                  <w:shd w:val="clear" w:color="auto" w:fill="auto"/>
                  <w:vAlign w:val="center"/>
                </w:tcPr>
                <w:p w14:paraId="7954BE0B" w14:textId="77777777" w:rsidR="00F05DC7" w:rsidRPr="007771F9" w:rsidRDefault="00F05DC7" w:rsidP="00A3786D">
                  <w:pPr>
                    <w:spacing w:before="80"/>
                    <w:ind w:right="57"/>
                    <w:rPr>
                      <w:rFonts w:asciiTheme="minorHAnsi" w:hAnsiTheme="minorHAnsi" w:cstheme="minorHAnsi"/>
                      <w:b/>
                      <w:color w:val="000000" w:themeColor="text1"/>
                      <w:sz w:val="18"/>
                      <w:szCs w:val="18"/>
                    </w:rPr>
                  </w:pPr>
                  <w:r w:rsidRPr="007771F9">
                    <w:rPr>
                      <w:rFonts w:asciiTheme="minorHAnsi" w:hAnsiTheme="minorHAnsi" w:cstheme="minorHAnsi"/>
                      <w:b/>
                      <w:color w:val="000000" w:themeColor="text1"/>
                      <w:sz w:val="18"/>
                      <w:szCs w:val="18"/>
                    </w:rPr>
                    <w:t>Upper-bound</w:t>
                  </w:r>
                </w:p>
              </w:tc>
              <w:tc>
                <w:tcPr>
                  <w:tcW w:w="416" w:type="pct"/>
                  <w:shd w:val="clear" w:color="auto" w:fill="auto"/>
                  <w:vAlign w:val="center"/>
                </w:tcPr>
                <w:p w14:paraId="7954BE0C" w14:textId="77777777" w:rsidR="00F05DC7" w:rsidRPr="009D5B1D" w:rsidRDefault="00F05DC7" w:rsidP="00A3786D">
                  <w:pPr>
                    <w:pStyle w:val="TableBodyText"/>
                    <w:ind w:right="57"/>
                    <w:rPr>
                      <w:rFonts w:cs="Arial"/>
                      <w:color w:val="000000" w:themeColor="text1"/>
                      <w:szCs w:val="18"/>
                    </w:rPr>
                  </w:pPr>
                </w:p>
              </w:tc>
              <w:tc>
                <w:tcPr>
                  <w:tcW w:w="417" w:type="pct"/>
                  <w:shd w:val="clear" w:color="auto" w:fill="auto"/>
                  <w:vAlign w:val="center"/>
                </w:tcPr>
                <w:p w14:paraId="7954BE0D" w14:textId="77777777" w:rsidR="00F05DC7" w:rsidRPr="009D5B1D" w:rsidRDefault="00F05DC7" w:rsidP="00A3786D">
                  <w:pPr>
                    <w:pStyle w:val="TableBodyText"/>
                    <w:ind w:right="57"/>
                    <w:rPr>
                      <w:rFonts w:cs="Arial"/>
                      <w:color w:val="000000" w:themeColor="text1"/>
                      <w:szCs w:val="18"/>
                    </w:rPr>
                  </w:pPr>
                </w:p>
              </w:tc>
              <w:tc>
                <w:tcPr>
                  <w:tcW w:w="417" w:type="pct"/>
                  <w:shd w:val="clear" w:color="auto" w:fill="auto"/>
                  <w:vAlign w:val="center"/>
                </w:tcPr>
                <w:p w14:paraId="7954BE0E" w14:textId="77777777" w:rsidR="00F05DC7" w:rsidRPr="009D5B1D" w:rsidRDefault="00F05DC7" w:rsidP="00A3786D">
                  <w:pPr>
                    <w:pStyle w:val="TableBodyText"/>
                    <w:ind w:right="57"/>
                    <w:rPr>
                      <w:rFonts w:cs="Arial"/>
                      <w:color w:val="000000" w:themeColor="text1"/>
                      <w:szCs w:val="18"/>
                    </w:rPr>
                  </w:pPr>
                </w:p>
              </w:tc>
              <w:tc>
                <w:tcPr>
                  <w:tcW w:w="417" w:type="pct"/>
                  <w:shd w:val="clear" w:color="auto" w:fill="auto"/>
                  <w:vAlign w:val="center"/>
                </w:tcPr>
                <w:p w14:paraId="7954BE0F" w14:textId="77777777" w:rsidR="00F05DC7" w:rsidRPr="009D5B1D" w:rsidRDefault="00F05DC7" w:rsidP="00A3786D">
                  <w:pPr>
                    <w:pStyle w:val="TableBodyText"/>
                    <w:ind w:right="57"/>
                    <w:rPr>
                      <w:rFonts w:cs="Arial"/>
                      <w:color w:val="000000" w:themeColor="text1"/>
                      <w:szCs w:val="18"/>
                    </w:rPr>
                  </w:pPr>
                </w:p>
              </w:tc>
              <w:tc>
                <w:tcPr>
                  <w:tcW w:w="416" w:type="pct"/>
                  <w:shd w:val="clear" w:color="auto" w:fill="auto"/>
                  <w:vAlign w:val="center"/>
                </w:tcPr>
                <w:p w14:paraId="7954BE10" w14:textId="77777777" w:rsidR="00F05DC7" w:rsidRPr="009D5B1D" w:rsidRDefault="00F05DC7" w:rsidP="00A3786D">
                  <w:pPr>
                    <w:pStyle w:val="TableBodyText"/>
                    <w:ind w:right="57"/>
                    <w:rPr>
                      <w:rFonts w:cs="Arial"/>
                      <w:color w:val="000000" w:themeColor="text1"/>
                      <w:szCs w:val="18"/>
                    </w:rPr>
                  </w:pPr>
                </w:p>
              </w:tc>
              <w:tc>
                <w:tcPr>
                  <w:tcW w:w="417" w:type="pct"/>
                  <w:shd w:val="clear" w:color="auto" w:fill="auto"/>
                  <w:vAlign w:val="center"/>
                </w:tcPr>
                <w:p w14:paraId="7954BE11" w14:textId="77777777" w:rsidR="00F05DC7" w:rsidRPr="009D5B1D" w:rsidRDefault="00F05DC7" w:rsidP="00A3786D">
                  <w:pPr>
                    <w:pStyle w:val="TableBodyText"/>
                    <w:ind w:right="57"/>
                    <w:rPr>
                      <w:rFonts w:cs="Arial"/>
                      <w:color w:val="000000" w:themeColor="text1"/>
                      <w:szCs w:val="18"/>
                    </w:rPr>
                  </w:pPr>
                </w:p>
              </w:tc>
              <w:tc>
                <w:tcPr>
                  <w:tcW w:w="417" w:type="pct"/>
                  <w:shd w:val="clear" w:color="auto" w:fill="auto"/>
                  <w:vAlign w:val="center"/>
                </w:tcPr>
                <w:p w14:paraId="7954BE12" w14:textId="77777777" w:rsidR="00F05DC7" w:rsidRPr="009D5B1D" w:rsidRDefault="00F05DC7" w:rsidP="00A3786D">
                  <w:pPr>
                    <w:pStyle w:val="TableBodyText"/>
                    <w:ind w:right="57"/>
                    <w:rPr>
                      <w:rFonts w:cs="Arial"/>
                      <w:color w:val="000000" w:themeColor="text1"/>
                      <w:szCs w:val="18"/>
                    </w:rPr>
                  </w:pPr>
                </w:p>
              </w:tc>
              <w:tc>
                <w:tcPr>
                  <w:tcW w:w="416" w:type="pct"/>
                  <w:shd w:val="clear" w:color="auto" w:fill="auto"/>
                  <w:vAlign w:val="center"/>
                </w:tcPr>
                <w:p w14:paraId="7954BE13" w14:textId="77777777" w:rsidR="00F05DC7" w:rsidRPr="009D5B1D" w:rsidRDefault="00F05DC7" w:rsidP="00A3786D">
                  <w:pPr>
                    <w:pStyle w:val="TableBodyText"/>
                    <w:ind w:right="57"/>
                    <w:rPr>
                      <w:rFonts w:cs="Arial"/>
                      <w:color w:val="000000" w:themeColor="text1"/>
                      <w:szCs w:val="18"/>
                    </w:rPr>
                  </w:pPr>
                </w:p>
              </w:tc>
            </w:tr>
            <w:tr w:rsidR="00F05DC7" w:rsidRPr="00AD7DC6" w14:paraId="7954BE1E" w14:textId="77777777" w:rsidTr="00A3786D">
              <w:trPr>
                <w:trHeight w:val="210"/>
              </w:trPr>
              <w:tc>
                <w:tcPr>
                  <w:tcW w:w="1667" w:type="pct"/>
                  <w:shd w:val="clear" w:color="auto" w:fill="auto"/>
                  <w:vAlign w:val="center"/>
                </w:tcPr>
                <w:p w14:paraId="7954BE15" w14:textId="77777777" w:rsidR="00F05DC7" w:rsidRPr="007771F9" w:rsidRDefault="00F05DC7" w:rsidP="00A3786D">
                  <w:pPr>
                    <w:pStyle w:val="TableBodyText"/>
                    <w:ind w:left="113" w:right="57"/>
                    <w:jc w:val="left"/>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Change in GST payments ($m)</w:t>
                  </w:r>
                </w:p>
              </w:tc>
              <w:tc>
                <w:tcPr>
                  <w:tcW w:w="416" w:type="pct"/>
                  <w:tcBorders>
                    <w:top w:val="nil"/>
                    <w:left w:val="nil"/>
                    <w:bottom w:val="nil"/>
                    <w:right w:val="nil"/>
                  </w:tcBorders>
                  <w:shd w:val="clear" w:color="auto" w:fill="auto"/>
                  <w:vAlign w:val="bottom"/>
                </w:tcPr>
                <w:p w14:paraId="7954BE16"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100</w:t>
                  </w:r>
                </w:p>
              </w:tc>
              <w:tc>
                <w:tcPr>
                  <w:tcW w:w="417" w:type="pct"/>
                  <w:tcBorders>
                    <w:top w:val="nil"/>
                    <w:left w:val="nil"/>
                    <w:bottom w:val="nil"/>
                    <w:right w:val="nil"/>
                  </w:tcBorders>
                  <w:shd w:val="clear" w:color="auto" w:fill="auto"/>
                  <w:vAlign w:val="bottom"/>
                </w:tcPr>
                <w:p w14:paraId="7954BE17"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-13</w:t>
                  </w:r>
                </w:p>
              </w:tc>
              <w:tc>
                <w:tcPr>
                  <w:tcW w:w="417" w:type="pct"/>
                  <w:tcBorders>
                    <w:top w:val="nil"/>
                    <w:left w:val="nil"/>
                    <w:bottom w:val="nil"/>
                    <w:right w:val="nil"/>
                  </w:tcBorders>
                  <w:shd w:val="clear" w:color="auto" w:fill="auto"/>
                  <w:vAlign w:val="bottom"/>
                </w:tcPr>
                <w:p w14:paraId="7954BE18"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281</w:t>
                  </w:r>
                </w:p>
              </w:tc>
              <w:tc>
                <w:tcPr>
                  <w:tcW w:w="417" w:type="pct"/>
                  <w:tcBorders>
                    <w:top w:val="nil"/>
                    <w:left w:val="nil"/>
                    <w:bottom w:val="nil"/>
                    <w:right w:val="nil"/>
                  </w:tcBorders>
                  <w:shd w:val="clear" w:color="auto" w:fill="auto"/>
                  <w:vAlign w:val="bottom"/>
                </w:tcPr>
                <w:p w14:paraId="7954BE19"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-227</w:t>
                  </w:r>
                </w:p>
              </w:tc>
              <w:tc>
                <w:tcPr>
                  <w:tcW w:w="416" w:type="pct"/>
                  <w:tcBorders>
                    <w:top w:val="nil"/>
                    <w:left w:val="nil"/>
                    <w:bottom w:val="nil"/>
                    <w:right w:val="nil"/>
                  </w:tcBorders>
                  <w:shd w:val="clear" w:color="auto" w:fill="auto"/>
                  <w:vAlign w:val="bottom"/>
                </w:tcPr>
                <w:p w14:paraId="7954BE1A"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-116</w:t>
                  </w:r>
                </w:p>
              </w:tc>
              <w:tc>
                <w:tcPr>
                  <w:tcW w:w="417" w:type="pct"/>
                  <w:tcBorders>
                    <w:top w:val="nil"/>
                    <w:left w:val="nil"/>
                    <w:bottom w:val="nil"/>
                    <w:right w:val="nil"/>
                  </w:tcBorders>
                  <w:shd w:val="clear" w:color="auto" w:fill="auto"/>
                  <w:vAlign w:val="bottom"/>
                </w:tcPr>
                <w:p w14:paraId="7954BE1B"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-14</w:t>
                  </w:r>
                </w:p>
              </w:tc>
              <w:tc>
                <w:tcPr>
                  <w:tcW w:w="417" w:type="pct"/>
                  <w:tcBorders>
                    <w:top w:val="nil"/>
                    <w:left w:val="nil"/>
                    <w:bottom w:val="nil"/>
                    <w:right w:val="nil"/>
                  </w:tcBorders>
                  <w:shd w:val="clear" w:color="auto" w:fill="auto"/>
                  <w:vAlign w:val="bottom"/>
                </w:tcPr>
                <w:p w14:paraId="7954BE1C"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w:t>
                  </w:r>
                </w:p>
              </w:tc>
              <w:tc>
                <w:tcPr>
                  <w:tcW w:w="416" w:type="pct"/>
                  <w:tcBorders>
                    <w:top w:val="nil"/>
                    <w:left w:val="nil"/>
                    <w:bottom w:val="nil"/>
                    <w:right w:val="nil"/>
                  </w:tcBorders>
                  <w:shd w:val="clear" w:color="auto" w:fill="auto"/>
                  <w:vAlign w:val="bottom"/>
                </w:tcPr>
                <w:p w14:paraId="7954BE1D"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-10</w:t>
                  </w:r>
                </w:p>
              </w:tc>
            </w:tr>
            <w:tr w:rsidR="00F05DC7" w:rsidRPr="00AD7DC6" w14:paraId="7954BE28" w14:textId="77777777" w:rsidTr="00A3786D">
              <w:trPr>
                <w:trHeight w:val="210"/>
              </w:trPr>
              <w:tc>
                <w:tcPr>
                  <w:tcW w:w="1667" w:type="pct"/>
                  <w:shd w:val="clear" w:color="auto" w:fill="auto"/>
                  <w:vAlign w:val="center"/>
                </w:tcPr>
                <w:p w14:paraId="7954BE1F" w14:textId="77777777" w:rsidR="00F05DC7" w:rsidRPr="007771F9" w:rsidRDefault="00F05DC7" w:rsidP="00A3786D">
                  <w:pPr>
                    <w:pStyle w:val="TableBodyText"/>
                    <w:ind w:left="113" w:right="57"/>
                    <w:jc w:val="left"/>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Change in GST payments ($pc)</w:t>
                  </w:r>
                </w:p>
              </w:tc>
              <w:tc>
                <w:tcPr>
                  <w:tcW w:w="416" w:type="pct"/>
                  <w:tcBorders>
                    <w:top w:val="nil"/>
                    <w:left w:val="nil"/>
                    <w:bottom w:val="nil"/>
                    <w:right w:val="nil"/>
                  </w:tcBorders>
                  <w:shd w:val="clear" w:color="auto" w:fill="auto"/>
                  <w:vAlign w:val="bottom"/>
                </w:tcPr>
                <w:p w14:paraId="7954BE20"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13</w:t>
                  </w:r>
                </w:p>
              </w:tc>
              <w:tc>
                <w:tcPr>
                  <w:tcW w:w="417" w:type="pct"/>
                  <w:tcBorders>
                    <w:top w:val="nil"/>
                    <w:left w:val="nil"/>
                    <w:bottom w:val="nil"/>
                    <w:right w:val="nil"/>
                  </w:tcBorders>
                  <w:shd w:val="clear" w:color="auto" w:fill="auto"/>
                  <w:vAlign w:val="bottom"/>
                </w:tcPr>
                <w:p w14:paraId="7954BE21"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-2</w:t>
                  </w:r>
                </w:p>
              </w:tc>
              <w:tc>
                <w:tcPr>
                  <w:tcW w:w="417" w:type="pct"/>
                  <w:tcBorders>
                    <w:top w:val="nil"/>
                    <w:left w:val="nil"/>
                    <w:bottom w:val="nil"/>
                    <w:right w:val="nil"/>
                  </w:tcBorders>
                  <w:shd w:val="clear" w:color="auto" w:fill="auto"/>
                  <w:vAlign w:val="bottom"/>
                </w:tcPr>
                <w:p w14:paraId="7954BE22"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58</w:t>
                  </w:r>
                </w:p>
              </w:tc>
              <w:tc>
                <w:tcPr>
                  <w:tcW w:w="417" w:type="pct"/>
                  <w:tcBorders>
                    <w:top w:val="nil"/>
                    <w:left w:val="nil"/>
                    <w:bottom w:val="nil"/>
                    <w:right w:val="nil"/>
                  </w:tcBorders>
                  <w:shd w:val="clear" w:color="auto" w:fill="auto"/>
                  <w:vAlign w:val="bottom"/>
                </w:tcPr>
                <w:p w14:paraId="7954BE23"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-88</w:t>
                  </w:r>
                </w:p>
              </w:tc>
              <w:tc>
                <w:tcPr>
                  <w:tcW w:w="416" w:type="pct"/>
                  <w:tcBorders>
                    <w:top w:val="nil"/>
                    <w:left w:val="nil"/>
                    <w:bottom w:val="nil"/>
                    <w:right w:val="nil"/>
                  </w:tcBorders>
                  <w:shd w:val="clear" w:color="auto" w:fill="auto"/>
                  <w:vAlign w:val="bottom"/>
                </w:tcPr>
                <w:p w14:paraId="7954BE24"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-68</w:t>
                  </w:r>
                </w:p>
              </w:tc>
              <w:tc>
                <w:tcPr>
                  <w:tcW w:w="417" w:type="pct"/>
                  <w:tcBorders>
                    <w:top w:val="nil"/>
                    <w:left w:val="nil"/>
                    <w:bottom w:val="nil"/>
                    <w:right w:val="nil"/>
                  </w:tcBorders>
                  <w:shd w:val="clear" w:color="auto" w:fill="auto"/>
                  <w:vAlign w:val="bottom"/>
                </w:tcPr>
                <w:p w14:paraId="7954BE25"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-27</w:t>
                  </w:r>
                </w:p>
              </w:tc>
              <w:tc>
                <w:tcPr>
                  <w:tcW w:w="417" w:type="pct"/>
                  <w:tcBorders>
                    <w:top w:val="nil"/>
                    <w:left w:val="nil"/>
                    <w:bottom w:val="nil"/>
                    <w:right w:val="nil"/>
                  </w:tcBorders>
                  <w:shd w:val="clear" w:color="auto" w:fill="auto"/>
                  <w:vAlign w:val="bottom"/>
                </w:tcPr>
                <w:p w14:paraId="7954BE26"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-3</w:t>
                  </w:r>
                </w:p>
              </w:tc>
              <w:tc>
                <w:tcPr>
                  <w:tcW w:w="416" w:type="pct"/>
                  <w:tcBorders>
                    <w:top w:val="nil"/>
                    <w:left w:val="nil"/>
                    <w:bottom w:val="nil"/>
                    <w:right w:val="nil"/>
                  </w:tcBorders>
                  <w:shd w:val="clear" w:color="auto" w:fill="auto"/>
                  <w:vAlign w:val="bottom"/>
                </w:tcPr>
                <w:p w14:paraId="7954BE27"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-41</w:t>
                  </w:r>
                </w:p>
              </w:tc>
            </w:tr>
            <w:tr w:rsidR="00F05DC7" w:rsidRPr="00AD7DC6" w14:paraId="7954BE32" w14:textId="77777777" w:rsidTr="00513B96">
              <w:trPr>
                <w:trHeight w:val="210"/>
              </w:trPr>
              <w:tc>
                <w:tcPr>
                  <w:tcW w:w="1667" w:type="pct"/>
                  <w:shd w:val="clear" w:color="auto" w:fill="auto"/>
                  <w:vAlign w:val="center"/>
                </w:tcPr>
                <w:p w14:paraId="7954BE29" w14:textId="77777777" w:rsidR="00F05DC7" w:rsidRPr="007771F9" w:rsidRDefault="00F05DC7" w:rsidP="00A3786D">
                  <w:pPr>
                    <w:pStyle w:val="TableBodyText"/>
                    <w:ind w:left="113" w:right="57"/>
                    <w:jc w:val="left"/>
                    <w:rPr>
                      <w:rFonts w:asciiTheme="minorHAnsi" w:hAnsiTheme="minorHAnsi" w:cstheme="minorHAnsi"/>
                      <w:bCs/>
                      <w:color w:val="000000" w:themeColor="text1"/>
                      <w:szCs w:val="18"/>
                    </w:rPr>
                  </w:pPr>
                  <w:r w:rsidRPr="00AE067B">
                    <w:rPr>
                      <w:rFonts w:cs="Arial"/>
                      <w:szCs w:val="18"/>
                    </w:rPr>
                    <w:t>Change in GST payments (% of State revenue)</w:t>
                  </w:r>
                </w:p>
              </w:tc>
              <w:tc>
                <w:tcPr>
                  <w:tcW w:w="416" w:type="pct"/>
                  <w:tcBorders>
                    <w:top w:val="nil"/>
                    <w:left w:val="nil"/>
                    <w:right w:val="nil"/>
                  </w:tcBorders>
                  <w:shd w:val="clear" w:color="auto" w:fill="auto"/>
                  <w:vAlign w:val="bottom"/>
                </w:tcPr>
                <w:p w14:paraId="7954BE2A"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0.1</w:t>
                  </w:r>
                </w:p>
              </w:tc>
              <w:tc>
                <w:tcPr>
                  <w:tcW w:w="417" w:type="pct"/>
                  <w:tcBorders>
                    <w:top w:val="nil"/>
                    <w:left w:val="nil"/>
                    <w:right w:val="nil"/>
                  </w:tcBorders>
                  <w:shd w:val="clear" w:color="auto" w:fill="auto"/>
                  <w:vAlign w:val="bottom"/>
                </w:tcPr>
                <w:p w14:paraId="7954BE2B"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0.0</w:t>
                  </w:r>
                </w:p>
              </w:tc>
              <w:tc>
                <w:tcPr>
                  <w:tcW w:w="417" w:type="pct"/>
                  <w:tcBorders>
                    <w:top w:val="nil"/>
                    <w:left w:val="nil"/>
                    <w:right w:val="nil"/>
                  </w:tcBorders>
                  <w:shd w:val="clear" w:color="auto" w:fill="auto"/>
                  <w:vAlign w:val="bottom"/>
                </w:tcPr>
                <w:p w14:paraId="7954BE2C"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0.5</w:t>
                  </w:r>
                </w:p>
              </w:tc>
              <w:tc>
                <w:tcPr>
                  <w:tcW w:w="417" w:type="pct"/>
                  <w:tcBorders>
                    <w:top w:val="nil"/>
                    <w:left w:val="nil"/>
                    <w:right w:val="nil"/>
                  </w:tcBorders>
                  <w:shd w:val="clear" w:color="auto" w:fill="auto"/>
                  <w:vAlign w:val="bottom"/>
                </w:tcPr>
                <w:p w14:paraId="7954BE2D"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-0.8</w:t>
                  </w:r>
                </w:p>
              </w:tc>
              <w:tc>
                <w:tcPr>
                  <w:tcW w:w="416" w:type="pct"/>
                  <w:tcBorders>
                    <w:top w:val="nil"/>
                    <w:left w:val="nil"/>
                    <w:right w:val="nil"/>
                  </w:tcBorders>
                  <w:shd w:val="clear" w:color="auto" w:fill="auto"/>
                  <w:vAlign w:val="bottom"/>
                </w:tcPr>
                <w:p w14:paraId="7954BE2E"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-0.6</w:t>
                  </w:r>
                </w:p>
              </w:tc>
              <w:tc>
                <w:tcPr>
                  <w:tcW w:w="417" w:type="pct"/>
                  <w:tcBorders>
                    <w:top w:val="nil"/>
                    <w:left w:val="nil"/>
                    <w:right w:val="nil"/>
                  </w:tcBorders>
                  <w:shd w:val="clear" w:color="auto" w:fill="auto"/>
                  <w:vAlign w:val="bottom"/>
                </w:tcPr>
                <w:p w14:paraId="7954BE2F"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-0.3</w:t>
                  </w:r>
                </w:p>
              </w:tc>
              <w:tc>
                <w:tcPr>
                  <w:tcW w:w="417" w:type="pct"/>
                  <w:tcBorders>
                    <w:top w:val="nil"/>
                    <w:left w:val="nil"/>
                    <w:right w:val="nil"/>
                  </w:tcBorders>
                  <w:shd w:val="clear" w:color="auto" w:fill="auto"/>
                  <w:vAlign w:val="bottom"/>
                </w:tcPr>
                <w:p w14:paraId="7954BE30"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0.0</w:t>
                  </w:r>
                </w:p>
              </w:tc>
              <w:tc>
                <w:tcPr>
                  <w:tcW w:w="416" w:type="pct"/>
                  <w:tcBorders>
                    <w:top w:val="nil"/>
                    <w:left w:val="nil"/>
                    <w:right w:val="nil"/>
                  </w:tcBorders>
                  <w:shd w:val="clear" w:color="auto" w:fill="auto"/>
                  <w:vAlign w:val="bottom"/>
                </w:tcPr>
                <w:p w14:paraId="7954BE31" w14:textId="77777777" w:rsidR="00F05DC7" w:rsidRPr="009D5B1D" w:rsidRDefault="00F05DC7" w:rsidP="00A3786D">
                  <w:pPr>
                    <w:pStyle w:val="TableBodyText"/>
                    <w:ind w:right="57"/>
                    <w:rPr>
                      <w:rFonts w:cs="Arial"/>
                      <w:bCs/>
                      <w:color w:val="000000" w:themeColor="text1"/>
                      <w:szCs w:val="18"/>
                    </w:rPr>
                  </w:pPr>
                  <w:r w:rsidRPr="009D5B1D">
                    <w:rPr>
                      <w:rFonts w:cs="Arial"/>
                      <w:color w:val="000000"/>
                      <w:szCs w:val="18"/>
                    </w:rPr>
                    <w:t>-0.2</w:t>
                  </w:r>
                </w:p>
              </w:tc>
            </w:tr>
            <w:tr w:rsidR="00F05DC7" w:rsidRPr="00AD7DC6" w14:paraId="7954BE3C" w14:textId="77777777" w:rsidTr="00513B96">
              <w:trPr>
                <w:trHeight w:val="210"/>
              </w:trPr>
              <w:tc>
                <w:tcPr>
                  <w:tcW w:w="1667" w:type="pct"/>
                  <w:tcBorders>
                    <w:bottom w:val="single" w:sz="4" w:space="0" w:color="BFBFBF"/>
                  </w:tcBorders>
                  <w:shd w:val="clear" w:color="auto" w:fill="auto"/>
                  <w:vAlign w:val="center"/>
                </w:tcPr>
                <w:p w14:paraId="7954BE33" w14:textId="77777777" w:rsidR="00F05DC7" w:rsidRPr="007771F9" w:rsidRDefault="00F05DC7" w:rsidP="00A3786D">
                  <w:pPr>
                    <w:pStyle w:val="TableBodyText"/>
                    <w:ind w:left="113" w:right="57"/>
                    <w:jc w:val="left"/>
                    <w:rPr>
                      <w:rFonts w:asciiTheme="minorHAnsi" w:hAnsiTheme="minorHAnsi" w:cstheme="minorHAnsi"/>
                      <w:color w:val="000000" w:themeColor="text1"/>
                      <w:szCs w:val="18"/>
                    </w:rPr>
                  </w:pPr>
                  <w:r w:rsidRPr="007771F9">
                    <w:rPr>
                      <w:rFonts w:asciiTheme="minorHAnsi" w:hAnsiTheme="minorHAnsi" w:cstheme="minorHAnsi"/>
                      <w:bCs/>
                      <w:color w:val="000000" w:themeColor="text1"/>
                      <w:szCs w:val="18"/>
                    </w:rPr>
                    <w:t>New GST relativity</w:t>
                  </w:r>
                </w:p>
              </w:tc>
              <w:tc>
                <w:tcPr>
                  <w:tcW w:w="416" w:type="pct"/>
                  <w:tcBorders>
                    <w:top w:val="nil"/>
                    <w:left w:val="nil"/>
                    <w:bottom w:val="single" w:sz="4" w:space="0" w:color="BFBFBF"/>
                    <w:right w:val="nil"/>
                  </w:tcBorders>
                  <w:shd w:val="clear" w:color="auto" w:fill="auto"/>
                  <w:vAlign w:val="bottom"/>
                </w:tcPr>
                <w:p w14:paraId="7954BE34"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0.84</w:t>
                  </w:r>
                </w:p>
              </w:tc>
              <w:tc>
                <w:tcPr>
                  <w:tcW w:w="417" w:type="pct"/>
                  <w:tcBorders>
                    <w:top w:val="nil"/>
                    <w:left w:val="nil"/>
                    <w:bottom w:val="single" w:sz="4" w:space="0" w:color="BFBFBF"/>
                    <w:right w:val="nil"/>
                  </w:tcBorders>
                  <w:shd w:val="clear" w:color="auto" w:fill="auto"/>
                  <w:vAlign w:val="bottom"/>
                </w:tcPr>
                <w:p w14:paraId="7954BE35"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1.01</w:t>
                  </w:r>
                </w:p>
              </w:tc>
              <w:tc>
                <w:tcPr>
                  <w:tcW w:w="417" w:type="pct"/>
                  <w:tcBorders>
                    <w:top w:val="nil"/>
                    <w:left w:val="nil"/>
                    <w:bottom w:val="single" w:sz="4" w:space="0" w:color="BFBFBF"/>
                    <w:right w:val="nil"/>
                  </w:tcBorders>
                  <w:shd w:val="clear" w:color="auto" w:fill="auto"/>
                  <w:vAlign w:val="bottom"/>
                </w:tcPr>
                <w:p w14:paraId="7954BE36"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1.05</w:t>
                  </w:r>
                </w:p>
              </w:tc>
              <w:tc>
                <w:tcPr>
                  <w:tcW w:w="417" w:type="pct"/>
                  <w:tcBorders>
                    <w:top w:val="nil"/>
                    <w:left w:val="nil"/>
                    <w:bottom w:val="single" w:sz="4" w:space="0" w:color="BFBFBF"/>
                    <w:right w:val="nil"/>
                  </w:tcBorders>
                  <w:shd w:val="clear" w:color="auto" w:fill="auto"/>
                  <w:vAlign w:val="bottom"/>
                </w:tcPr>
                <w:p w14:paraId="7954BE37"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0.54</w:t>
                  </w:r>
                </w:p>
              </w:tc>
              <w:tc>
                <w:tcPr>
                  <w:tcW w:w="416" w:type="pct"/>
                  <w:tcBorders>
                    <w:top w:val="nil"/>
                    <w:left w:val="nil"/>
                    <w:bottom w:val="single" w:sz="4" w:space="0" w:color="BFBFBF"/>
                    <w:right w:val="nil"/>
                  </w:tcBorders>
                  <w:shd w:val="clear" w:color="auto" w:fill="auto"/>
                  <w:vAlign w:val="bottom"/>
                </w:tcPr>
                <w:p w14:paraId="7954BE38"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1.504</w:t>
                  </w:r>
                </w:p>
              </w:tc>
              <w:tc>
                <w:tcPr>
                  <w:tcW w:w="417" w:type="pct"/>
                  <w:tcBorders>
                    <w:top w:val="nil"/>
                    <w:left w:val="nil"/>
                    <w:bottom w:val="single" w:sz="4" w:space="0" w:color="BFBFBF"/>
                    <w:right w:val="nil"/>
                  </w:tcBorders>
                  <w:shd w:val="clear" w:color="auto" w:fill="auto"/>
                  <w:vAlign w:val="bottom"/>
                </w:tcPr>
                <w:p w14:paraId="7954BE39"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1.71</w:t>
                  </w:r>
                </w:p>
              </w:tc>
              <w:tc>
                <w:tcPr>
                  <w:tcW w:w="417" w:type="pct"/>
                  <w:tcBorders>
                    <w:top w:val="nil"/>
                    <w:left w:val="nil"/>
                    <w:bottom w:val="single" w:sz="4" w:space="0" w:color="BFBFBF"/>
                    <w:right w:val="nil"/>
                  </w:tcBorders>
                  <w:shd w:val="clear" w:color="auto" w:fill="auto"/>
                  <w:vAlign w:val="bottom"/>
                </w:tcPr>
                <w:p w14:paraId="7954BE3A"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1.21</w:t>
                  </w:r>
                </w:p>
              </w:tc>
              <w:tc>
                <w:tcPr>
                  <w:tcW w:w="416" w:type="pct"/>
                  <w:tcBorders>
                    <w:top w:val="nil"/>
                    <w:left w:val="nil"/>
                    <w:bottom w:val="single" w:sz="4" w:space="0" w:color="BFBFBF"/>
                    <w:right w:val="nil"/>
                  </w:tcBorders>
                  <w:shd w:val="clear" w:color="auto" w:fill="auto"/>
                  <w:vAlign w:val="bottom"/>
                </w:tcPr>
                <w:p w14:paraId="7954BE3B" w14:textId="77777777" w:rsidR="00F05DC7" w:rsidRPr="009D5B1D" w:rsidRDefault="00F05DC7" w:rsidP="00A3786D">
                  <w:pPr>
                    <w:pStyle w:val="TableBodyText"/>
                    <w:ind w:right="57"/>
                    <w:rPr>
                      <w:rFonts w:cs="Arial"/>
                      <w:color w:val="000000" w:themeColor="text1"/>
                      <w:szCs w:val="18"/>
                    </w:rPr>
                  </w:pPr>
                  <w:r w:rsidRPr="009D5B1D">
                    <w:rPr>
                      <w:rFonts w:cs="Arial"/>
                      <w:bCs/>
                      <w:color w:val="000000" w:themeColor="text1"/>
                      <w:szCs w:val="18"/>
                    </w:rPr>
                    <w:t>4.17</w:t>
                  </w:r>
                </w:p>
              </w:tc>
            </w:tr>
          </w:tbl>
          <w:p w14:paraId="7954BE3D" w14:textId="77777777" w:rsidR="00F05DC7" w:rsidRDefault="00F05DC7" w:rsidP="00A3786D">
            <w:pPr>
              <w:pStyle w:val="Box"/>
            </w:pPr>
          </w:p>
        </w:tc>
      </w:tr>
      <w:tr w:rsidR="00F05DC7" w14:paraId="7954BE40" w14:textId="77777777" w:rsidTr="00A3786D">
        <w:tc>
          <w:tcPr>
            <w:tcW w:w="5000" w:type="pct"/>
            <w:tcBorders>
              <w:top w:val="nil"/>
              <w:left w:val="nil"/>
              <w:bottom w:val="nil"/>
              <w:right w:val="nil"/>
            </w:tcBorders>
            <w:shd w:val="clear" w:color="auto" w:fill="auto"/>
          </w:tcPr>
          <w:p w14:paraId="7954BE3F" w14:textId="77777777" w:rsidR="00F05DC7" w:rsidRDefault="00F05DC7" w:rsidP="00A3786D">
            <w:pPr>
              <w:pStyle w:val="Note"/>
              <w:rPr>
                <w:i/>
              </w:rPr>
            </w:pPr>
            <w:r w:rsidRPr="008E77FE">
              <w:rPr>
                <w:rStyle w:val="NoteLabel"/>
              </w:rPr>
              <w:t>a</w:t>
            </w:r>
            <w:r>
              <w:t xml:space="preserve"> GST impacts are evaluated on a ‘steady state’ basis; that is, assuming the new policy was fully in place in 2016</w:t>
            </w:r>
            <w:r>
              <w:noBreakHyphen/>
              <w:t>17. No transition paths are evaluated. Lower and upper bounds refer to the elasticity estimates used to calculate changes in the tax base.</w:t>
            </w:r>
          </w:p>
        </w:tc>
      </w:tr>
      <w:tr w:rsidR="00F05DC7" w14:paraId="7954BE42" w14:textId="77777777" w:rsidTr="00A3786D">
        <w:tc>
          <w:tcPr>
            <w:tcW w:w="5000" w:type="pct"/>
            <w:tcBorders>
              <w:top w:val="nil"/>
              <w:left w:val="nil"/>
              <w:bottom w:val="nil"/>
              <w:right w:val="nil"/>
            </w:tcBorders>
            <w:shd w:val="clear" w:color="auto" w:fill="auto"/>
          </w:tcPr>
          <w:p w14:paraId="7954BE41"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E44" w14:textId="77777777" w:rsidTr="00A3786D">
        <w:tc>
          <w:tcPr>
            <w:tcW w:w="5000" w:type="pct"/>
            <w:tcBorders>
              <w:top w:val="nil"/>
              <w:left w:val="nil"/>
              <w:bottom w:val="single" w:sz="6" w:space="0" w:color="78A22F"/>
              <w:right w:val="nil"/>
            </w:tcBorders>
            <w:shd w:val="clear" w:color="auto" w:fill="auto"/>
          </w:tcPr>
          <w:p w14:paraId="7954BE43" w14:textId="77777777" w:rsidR="00F05DC7" w:rsidRDefault="00F05DC7" w:rsidP="00A3786D">
            <w:pPr>
              <w:pStyle w:val="Box"/>
              <w:spacing w:before="0" w:line="120" w:lineRule="exact"/>
            </w:pPr>
          </w:p>
        </w:tc>
      </w:tr>
      <w:tr w:rsidR="00F05DC7" w:rsidRPr="000863A5" w14:paraId="7954BE46" w14:textId="77777777" w:rsidTr="00A3786D">
        <w:tc>
          <w:tcPr>
            <w:tcW w:w="5000" w:type="pct"/>
            <w:tcBorders>
              <w:top w:val="single" w:sz="6" w:space="0" w:color="78A22F"/>
              <w:left w:val="nil"/>
              <w:bottom w:val="nil"/>
              <w:right w:val="nil"/>
            </w:tcBorders>
          </w:tcPr>
          <w:p w14:paraId="7954BE45" w14:textId="77777777" w:rsidR="00F05DC7" w:rsidRPr="00626D32" w:rsidRDefault="00F05DC7" w:rsidP="00A3786D">
            <w:pPr>
              <w:pStyle w:val="BoxSpaceBelow"/>
            </w:pPr>
          </w:p>
        </w:tc>
      </w:tr>
    </w:tbl>
    <w:p w14:paraId="7954BE47" w14:textId="77777777" w:rsidR="00F05DC7" w:rsidRDefault="00F05DC7" w:rsidP="00A3786D">
      <w:pPr>
        <w:pStyle w:val="BodyText"/>
      </w:pPr>
      <w:r>
        <w:t>The GST impacts shown in these scenarios vary substantially, even though the reform itself is revenue neutral for the State. The size of the GST impact depends on the size of the tax, the size and elasticity of the tax base, whether a State is assessed as having above or below average capacity to raise revenue from the tax and how the tax is assessed. It also depends on whether other States also carry out the reform.</w:t>
      </w:r>
    </w:p>
    <w:p w14:paraId="7954BE48" w14:textId="77777777" w:rsidR="00F05DC7" w:rsidRDefault="00F05DC7" w:rsidP="00A3786D">
      <w:pPr>
        <w:pStyle w:val="Heading3"/>
      </w:pPr>
      <w:r>
        <w:t>Abolishing insurance taxes</w:t>
      </w:r>
    </w:p>
    <w:p w14:paraId="7954BE49" w14:textId="77777777" w:rsidR="00F05DC7" w:rsidRDefault="00F05DC7" w:rsidP="00A3786D">
      <w:pPr>
        <w:pStyle w:val="BodyText"/>
      </w:pPr>
      <w:r>
        <w:t>This cameo involves a State abolishing all taxes on insurance. The analysis was conducted separately for each State (unilateral reform) and jointly for all States (multilateral reform). This is not a revenue</w:t>
      </w:r>
      <w:r>
        <w:noBreakHyphen/>
        <w:t>neutral reform: reforming States would end up with less own</w:t>
      </w:r>
      <w:r>
        <w:noBreakHyphen/>
        <w:t>source revenue than they otherwise would have (that is, no adjustment is made for how States might replace the lost insurance tax revenue, whether by raising other taxes, reducing expenditure or increasing net debt).</w:t>
      </w:r>
    </w:p>
    <w:p w14:paraId="7954BE4A" w14:textId="77777777" w:rsidR="00F05DC7" w:rsidRDefault="00F05DC7" w:rsidP="00A3786D">
      <w:pPr>
        <w:pStyle w:val="Heading4"/>
      </w:pPr>
      <w:r>
        <w:t>Rationale for reform</w:t>
      </w:r>
    </w:p>
    <w:p w14:paraId="7954BE4B" w14:textId="77777777" w:rsidR="00F05DC7" w:rsidRDefault="00F05DC7" w:rsidP="00A3786D">
      <w:pPr>
        <w:pStyle w:val="BodyText"/>
      </w:pPr>
      <w:r>
        <w:t>All States currently impose insurance stamp duties on two broad types of insurance:</w:t>
      </w:r>
    </w:p>
    <w:p w14:paraId="7954BE4C" w14:textId="77777777" w:rsidR="00F05DC7" w:rsidRDefault="00F05DC7" w:rsidP="00A3786D">
      <w:pPr>
        <w:pStyle w:val="ListBullet"/>
      </w:pPr>
      <w:r>
        <w:t>life insurance</w:t>
      </w:r>
    </w:p>
    <w:p w14:paraId="7954BE4D" w14:textId="65A14D82" w:rsidR="00F05DC7" w:rsidRPr="00F07BCE" w:rsidRDefault="00F05DC7" w:rsidP="00A3786D">
      <w:pPr>
        <w:pStyle w:val="ListBullet"/>
      </w:pPr>
      <w:r>
        <w:lastRenderedPageBreak/>
        <w:t xml:space="preserve">general insurance — including home and contents, public liability and professional indemnity, commercial and domestic motor vehicles, and Compulsory Third Party motor vehicle cover </w:t>
      </w:r>
      <w:r w:rsidR="009D6331" w:rsidRPr="009D6331">
        <w:rPr>
          <w:szCs w:val="24"/>
        </w:rPr>
        <w:t>(CGC 2015f, p. 90)</w:t>
      </w:r>
      <w:r>
        <w:t>.</w:t>
      </w:r>
    </w:p>
    <w:p w14:paraId="7954BE4E" w14:textId="4207BCBD" w:rsidR="00F05DC7" w:rsidRDefault="00F05DC7" w:rsidP="00A3786D">
      <w:pPr>
        <w:pStyle w:val="BodyText"/>
      </w:pPr>
      <w:r>
        <w:t xml:space="preserve">No State imposes duties on medical benefits insurance (health insurance) or reinsurance. New South Wales and Tasmania impose separate fire and emergency services levies (FESLs). In 2017, the NSW Government announced that it would be phasing out its FESL (to be gradually replaced by higher local government rates) but has since deferred implementation of this reform to July 2019 </w:t>
      </w:r>
      <w:r w:rsidRPr="00B73E5F">
        <w:rPr>
          <w:szCs w:val="24"/>
        </w:rPr>
        <w:t>(NSW Treasury 2018)</w:t>
      </w:r>
      <w:r>
        <w:t>.</w:t>
      </w:r>
    </w:p>
    <w:p w14:paraId="7954BE4F" w14:textId="07DFD4D7" w:rsidR="00F05DC7" w:rsidRDefault="00F05DC7" w:rsidP="00A3786D">
      <w:pPr>
        <w:pStyle w:val="BodyText"/>
      </w:pPr>
      <w:r>
        <w:t xml:space="preserve">Insurance taxes are among the most inefficient of all taxes </w:t>
      </w:r>
      <w:r w:rsidRPr="00DA6C7F">
        <w:rPr>
          <w:szCs w:val="24"/>
        </w:rPr>
        <w:t>(Henry et al. 2010a, p. 13)</w:t>
      </w:r>
      <w:r>
        <w:t xml:space="preserve">. By taxing insurance transactions, these taxes create a financial incentive for households and businesses to underinsure — or not take out insurance at all. They can also discourage people from undertaking risky but economically valuable activities </w:t>
      </w:r>
      <w:r w:rsidRPr="00135782">
        <w:rPr>
          <w:szCs w:val="24"/>
        </w:rPr>
        <w:t>(Henry et al. 2010b, p. 470)</w:t>
      </w:r>
      <w:r>
        <w:t xml:space="preserve">. Some inquiry participants pointed to the inefficiency of insurance taxes and the economic benefits that would result from reform (ICA, sub. DR70, p. 3; FSC, sub. DR90, p. 2). The Henry Review recommended abolishing State insurance taxes </w:t>
      </w:r>
      <w:r w:rsidRPr="00135782">
        <w:rPr>
          <w:szCs w:val="24"/>
        </w:rPr>
        <w:t>(Henry et al. 2010b, p. 474)</w:t>
      </w:r>
      <w:r>
        <w:t xml:space="preserve">, as has the Productivity Commission on several occasions </w:t>
      </w:r>
      <w:r w:rsidR="009D6331" w:rsidRPr="009D6331">
        <w:rPr>
          <w:szCs w:val="24"/>
        </w:rPr>
        <w:t>(PC 2014b, 2018)</w:t>
      </w:r>
      <w:r>
        <w:t>.</w:t>
      </w:r>
    </w:p>
    <w:p w14:paraId="7954BE50" w14:textId="77777777" w:rsidR="00F05DC7" w:rsidRDefault="00F05DC7" w:rsidP="00A3786D">
      <w:pPr>
        <w:pStyle w:val="Heading4"/>
      </w:pPr>
      <w:r>
        <w:t>Assumptions</w:t>
      </w:r>
    </w:p>
    <w:p w14:paraId="7954BE51" w14:textId="22BDBDFD" w:rsidR="00F05DC7" w:rsidRPr="00227C44" w:rsidRDefault="00F05DC7" w:rsidP="00A3786D">
      <w:pPr>
        <w:pStyle w:val="BodyText"/>
      </w:pPr>
      <w:r>
        <w:t xml:space="preserve">The CGC currently assesses insurance taxes using gross written premiums as the tax base (across the taxable types of insurance). Because it is unable to obtain data on life insurance premiums by State, it excludes life insurance from its tax base measure (but not State revenue data). The effect is that each State’s capacity to raise tax from life insurance is assumed to be the same as its capacity to raise tax from general insurance </w:t>
      </w:r>
      <w:r w:rsidR="009D6331" w:rsidRPr="009D6331">
        <w:rPr>
          <w:szCs w:val="24"/>
        </w:rPr>
        <w:t>(CGC 2015f, p. 91)</w:t>
      </w:r>
      <w:r>
        <w:t>.</w:t>
      </w:r>
    </w:p>
    <w:p w14:paraId="7954BE52" w14:textId="79642D13" w:rsidR="00F05DC7" w:rsidRDefault="00F05DC7" w:rsidP="00A3786D">
      <w:pPr>
        <w:pStyle w:val="BodyText"/>
      </w:pPr>
      <w:r>
        <w:t xml:space="preserve">Estimates of the impact on gross written premiums (the tax base measure) were drawn from econometric modelling published by Tooth </w:t>
      </w:r>
      <w:r w:rsidRPr="00943CBF">
        <w:t>(2015)</w:t>
      </w:r>
      <w:r>
        <w:t>. This modelling produced estimates of what would happen to pre</w:t>
      </w:r>
      <w:r>
        <w:noBreakHyphen/>
        <w:t xml:space="preserve">tax premiums for home and contents insurance in each State if all State insurance taxes were abolished in full (table C.24). The estimates only </w:t>
      </w:r>
      <w:r w:rsidRPr="00D73ED8">
        <w:t>apply to home and contents insurance, which represents</w:t>
      </w:r>
      <w:r w:rsidRPr="00AF0C96">
        <w:t xml:space="preserve"> 23 per</w:t>
      </w:r>
      <w:r>
        <w:t> </w:t>
      </w:r>
      <w:r w:rsidRPr="00AF0C96">
        <w:t>cent</w:t>
      </w:r>
      <w:r w:rsidRPr="00D73ED8">
        <w:t xml:space="preserve"> of gross written premiums across all general insurance lines </w:t>
      </w:r>
      <w:r w:rsidRPr="00AF0C96">
        <w:rPr>
          <w:szCs w:val="24"/>
        </w:rPr>
        <w:t>(APRA 2017)</w:t>
      </w:r>
      <w:r w:rsidRPr="00D73ED8">
        <w:t>.</w:t>
      </w:r>
    </w:p>
    <w:p w14:paraId="7954BE53" w14:textId="77777777" w:rsidR="00F05DC7" w:rsidRDefault="00F05DC7" w:rsidP="00A3786D">
      <w:pPr>
        <w:pStyle w:val="BodyText"/>
      </w:pPr>
      <w:r w:rsidRPr="00D73ED8">
        <w:t>The Commission has assumed that a similar impact on tax bases would arise from removing taxes on general</w:t>
      </w:r>
      <w:r>
        <w:t xml:space="preserve"> insurance (indeed, the stamp duty rates are typically the same). The impact of FESLs has not been included in this estimate because these do not apply to other general insurance lines, and because an estimate is only available for one of the two States that impose such levies. Because the general insurance tax base is also used to assess life insurance taxes (as noted above), separate estimates of the impact of the reform on life insurance premiums are not required to calculate GST impacts. </w:t>
      </w:r>
    </w:p>
    <w:p w14:paraId="7954BE5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E57" w14:textId="77777777" w:rsidTr="001113B1">
        <w:trPr>
          <w:tblHeader/>
        </w:trPr>
        <w:tc>
          <w:tcPr>
            <w:tcW w:w="5000" w:type="pct"/>
            <w:tcBorders>
              <w:top w:val="single" w:sz="6" w:space="0" w:color="78A22F"/>
              <w:left w:val="nil"/>
              <w:bottom w:val="nil"/>
              <w:right w:val="nil"/>
            </w:tcBorders>
            <w:shd w:val="clear" w:color="auto" w:fill="auto"/>
          </w:tcPr>
          <w:p w14:paraId="7954BE55" w14:textId="635B5BCE" w:rsidR="00F05DC7" w:rsidRDefault="00F05DC7" w:rsidP="00A3786D">
            <w:pPr>
              <w:pStyle w:val="TableTitle"/>
            </w:pPr>
            <w:r>
              <w:rPr>
                <w:b w:val="0"/>
              </w:rPr>
              <w:t>Table C.24</w:t>
            </w:r>
            <w:r>
              <w:tab/>
              <w:t>Estimated change in pre</w:t>
            </w:r>
            <w:r>
              <w:noBreakHyphen/>
              <w:t>tax home and contents insurance premiums from removing State insurance taxes</w:t>
            </w:r>
          </w:p>
          <w:p w14:paraId="7954BE56" w14:textId="77777777" w:rsidR="00F05DC7" w:rsidRPr="00784A05" w:rsidRDefault="00F05DC7" w:rsidP="00A3786D">
            <w:pPr>
              <w:pStyle w:val="Subtitle"/>
            </w:pPr>
            <w:r>
              <w:t>Percentage increase, 2015</w:t>
            </w:r>
          </w:p>
        </w:tc>
      </w:tr>
      <w:tr w:rsidR="00F05DC7" w14:paraId="7954BE85" w14:textId="77777777" w:rsidTr="00A3786D">
        <w:tc>
          <w:tcPr>
            <w:tcW w:w="5000" w:type="pct"/>
            <w:tcBorders>
              <w:top w:val="nil"/>
              <w:left w:val="nil"/>
              <w:bottom w:val="single" w:sz="4" w:space="0" w:color="D9D9D9" w:themeColor="background1" w:themeShade="D9"/>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3"/>
              <w:gridCol w:w="715"/>
              <w:gridCol w:w="715"/>
              <w:gridCol w:w="715"/>
              <w:gridCol w:w="715"/>
              <w:gridCol w:w="715"/>
              <w:gridCol w:w="715"/>
              <w:gridCol w:w="714"/>
              <w:gridCol w:w="714"/>
              <w:gridCol w:w="944"/>
            </w:tblGrid>
            <w:tr w:rsidR="00F05DC7" w:rsidRPr="00AD7DC6" w14:paraId="7954BE62" w14:textId="77777777" w:rsidTr="00A3786D">
              <w:trPr>
                <w:tblHeader/>
              </w:trPr>
              <w:tc>
                <w:tcPr>
                  <w:tcW w:w="1083" w:type="pct"/>
                  <w:tcBorders>
                    <w:top w:val="single" w:sz="6" w:space="0" w:color="BFBFBF"/>
                    <w:bottom w:val="single" w:sz="6" w:space="0" w:color="BFBFBF"/>
                  </w:tcBorders>
                  <w:shd w:val="clear" w:color="auto" w:fill="auto"/>
                  <w:tcMar>
                    <w:top w:w="28" w:type="dxa"/>
                  </w:tcMar>
                </w:tcPr>
                <w:p w14:paraId="7954BE58" w14:textId="77777777" w:rsidR="00F05DC7" w:rsidRPr="00A13B64" w:rsidRDefault="00F05DC7" w:rsidP="00A3786D">
                  <w:pPr>
                    <w:pStyle w:val="TableColumnHeading"/>
                    <w:jc w:val="left"/>
                    <w:rPr>
                      <w:rFonts w:cs="Arial"/>
                      <w:szCs w:val="18"/>
                    </w:rPr>
                  </w:pPr>
                </w:p>
              </w:tc>
              <w:tc>
                <w:tcPr>
                  <w:tcW w:w="420" w:type="pct"/>
                  <w:tcBorders>
                    <w:top w:val="single" w:sz="6" w:space="0" w:color="BFBFBF"/>
                    <w:bottom w:val="single" w:sz="6" w:space="0" w:color="BFBFBF"/>
                  </w:tcBorders>
                  <w:shd w:val="clear" w:color="auto" w:fill="auto"/>
                  <w:vAlign w:val="bottom"/>
                </w:tcPr>
                <w:p w14:paraId="7954BE59" w14:textId="77777777" w:rsidR="00F05DC7" w:rsidRPr="00A13B64" w:rsidRDefault="00F05DC7" w:rsidP="00A3786D">
                  <w:pPr>
                    <w:pStyle w:val="TableColumnHeading"/>
                    <w:ind w:right="57"/>
                    <w:rPr>
                      <w:rFonts w:cs="Arial"/>
                      <w:szCs w:val="18"/>
                    </w:rPr>
                  </w:pPr>
                  <w:r w:rsidRPr="00A13B64">
                    <w:rPr>
                      <w:rFonts w:cs="Arial"/>
                      <w:szCs w:val="18"/>
                    </w:rPr>
                    <w:t>NSW</w:t>
                  </w:r>
                </w:p>
              </w:tc>
              <w:tc>
                <w:tcPr>
                  <w:tcW w:w="420" w:type="pct"/>
                  <w:tcBorders>
                    <w:top w:val="single" w:sz="6" w:space="0" w:color="BFBFBF"/>
                    <w:bottom w:val="single" w:sz="6" w:space="0" w:color="BFBFBF"/>
                  </w:tcBorders>
                  <w:shd w:val="clear" w:color="auto" w:fill="auto"/>
                  <w:vAlign w:val="bottom"/>
                </w:tcPr>
                <w:p w14:paraId="7954BE5A" w14:textId="77777777" w:rsidR="00F05DC7" w:rsidRPr="00A13B64" w:rsidRDefault="00F05DC7" w:rsidP="00A3786D">
                  <w:pPr>
                    <w:pStyle w:val="TableColumnHeading"/>
                    <w:ind w:right="57"/>
                    <w:rPr>
                      <w:rFonts w:cs="Arial"/>
                      <w:szCs w:val="18"/>
                    </w:rPr>
                  </w:pPr>
                  <w:r w:rsidRPr="00A13B64">
                    <w:rPr>
                      <w:rFonts w:cs="Arial"/>
                      <w:szCs w:val="18"/>
                    </w:rPr>
                    <w:t>Vic</w:t>
                  </w:r>
                </w:p>
              </w:tc>
              <w:tc>
                <w:tcPr>
                  <w:tcW w:w="420" w:type="pct"/>
                  <w:tcBorders>
                    <w:top w:val="single" w:sz="6" w:space="0" w:color="BFBFBF"/>
                    <w:bottom w:val="single" w:sz="6" w:space="0" w:color="BFBFBF"/>
                  </w:tcBorders>
                  <w:shd w:val="clear" w:color="auto" w:fill="auto"/>
                  <w:vAlign w:val="bottom"/>
                </w:tcPr>
                <w:p w14:paraId="7954BE5B" w14:textId="77777777" w:rsidR="00F05DC7" w:rsidRPr="00A13B64" w:rsidRDefault="00F05DC7" w:rsidP="00A3786D">
                  <w:pPr>
                    <w:pStyle w:val="TableColumnHeading"/>
                    <w:ind w:right="57"/>
                    <w:rPr>
                      <w:rFonts w:cs="Arial"/>
                      <w:szCs w:val="18"/>
                    </w:rPr>
                  </w:pPr>
                  <w:r w:rsidRPr="00A13B64">
                    <w:rPr>
                      <w:rFonts w:cs="Arial"/>
                      <w:szCs w:val="18"/>
                    </w:rPr>
                    <w:t>Qld</w:t>
                  </w:r>
                </w:p>
              </w:tc>
              <w:tc>
                <w:tcPr>
                  <w:tcW w:w="420" w:type="pct"/>
                  <w:tcBorders>
                    <w:top w:val="single" w:sz="6" w:space="0" w:color="BFBFBF"/>
                    <w:bottom w:val="single" w:sz="6" w:space="0" w:color="BFBFBF"/>
                  </w:tcBorders>
                  <w:shd w:val="clear" w:color="auto" w:fill="auto"/>
                  <w:vAlign w:val="bottom"/>
                </w:tcPr>
                <w:p w14:paraId="7954BE5C" w14:textId="77777777" w:rsidR="00F05DC7" w:rsidRPr="00A13B64" w:rsidRDefault="00F05DC7" w:rsidP="00A3786D">
                  <w:pPr>
                    <w:pStyle w:val="TableColumnHeading"/>
                    <w:ind w:right="57"/>
                    <w:rPr>
                      <w:rFonts w:cs="Arial"/>
                      <w:szCs w:val="18"/>
                    </w:rPr>
                  </w:pPr>
                  <w:r w:rsidRPr="00A13B64">
                    <w:rPr>
                      <w:rFonts w:cs="Arial"/>
                      <w:szCs w:val="18"/>
                    </w:rPr>
                    <w:t>WA</w:t>
                  </w:r>
                </w:p>
              </w:tc>
              <w:tc>
                <w:tcPr>
                  <w:tcW w:w="420" w:type="pct"/>
                  <w:tcBorders>
                    <w:top w:val="single" w:sz="6" w:space="0" w:color="BFBFBF"/>
                    <w:bottom w:val="single" w:sz="6" w:space="0" w:color="BFBFBF"/>
                  </w:tcBorders>
                  <w:shd w:val="clear" w:color="auto" w:fill="auto"/>
                  <w:vAlign w:val="bottom"/>
                </w:tcPr>
                <w:p w14:paraId="7954BE5D" w14:textId="77777777" w:rsidR="00F05DC7" w:rsidRPr="00A13B64" w:rsidRDefault="00F05DC7" w:rsidP="00A3786D">
                  <w:pPr>
                    <w:pStyle w:val="TableColumnHeading"/>
                    <w:ind w:right="57"/>
                    <w:rPr>
                      <w:rFonts w:cs="Arial"/>
                      <w:szCs w:val="18"/>
                    </w:rPr>
                  </w:pPr>
                  <w:r w:rsidRPr="00A13B64">
                    <w:rPr>
                      <w:rFonts w:cs="Arial"/>
                      <w:szCs w:val="18"/>
                    </w:rPr>
                    <w:t>SA</w:t>
                  </w:r>
                </w:p>
              </w:tc>
              <w:tc>
                <w:tcPr>
                  <w:tcW w:w="420" w:type="pct"/>
                  <w:tcBorders>
                    <w:top w:val="single" w:sz="6" w:space="0" w:color="BFBFBF"/>
                    <w:bottom w:val="single" w:sz="6" w:space="0" w:color="BFBFBF"/>
                  </w:tcBorders>
                  <w:shd w:val="clear" w:color="auto" w:fill="auto"/>
                  <w:vAlign w:val="bottom"/>
                </w:tcPr>
                <w:p w14:paraId="7954BE5E" w14:textId="77777777" w:rsidR="00F05DC7" w:rsidRPr="00A13B64" w:rsidRDefault="00F05DC7" w:rsidP="00A3786D">
                  <w:pPr>
                    <w:pStyle w:val="TableColumnHeading"/>
                    <w:ind w:right="57"/>
                    <w:rPr>
                      <w:rFonts w:cs="Arial"/>
                      <w:szCs w:val="18"/>
                    </w:rPr>
                  </w:pPr>
                  <w:r w:rsidRPr="00A13B64">
                    <w:rPr>
                      <w:rFonts w:cs="Arial"/>
                      <w:szCs w:val="18"/>
                    </w:rPr>
                    <w:t>Tas</w:t>
                  </w:r>
                </w:p>
              </w:tc>
              <w:tc>
                <w:tcPr>
                  <w:tcW w:w="420" w:type="pct"/>
                  <w:tcBorders>
                    <w:top w:val="single" w:sz="6" w:space="0" w:color="BFBFBF"/>
                    <w:bottom w:val="single" w:sz="6" w:space="0" w:color="BFBFBF"/>
                  </w:tcBorders>
                  <w:shd w:val="clear" w:color="auto" w:fill="auto"/>
                  <w:vAlign w:val="bottom"/>
                </w:tcPr>
                <w:p w14:paraId="7954BE5F" w14:textId="77777777" w:rsidR="00F05DC7" w:rsidRPr="00A13B64" w:rsidRDefault="00F05DC7" w:rsidP="00A3786D">
                  <w:pPr>
                    <w:pStyle w:val="TableColumnHeading"/>
                    <w:ind w:right="57"/>
                    <w:rPr>
                      <w:rFonts w:cs="Arial"/>
                      <w:szCs w:val="18"/>
                    </w:rPr>
                  </w:pPr>
                  <w:r w:rsidRPr="00A13B64">
                    <w:rPr>
                      <w:rFonts w:cs="Arial"/>
                      <w:szCs w:val="18"/>
                    </w:rPr>
                    <w:t>ACT</w:t>
                  </w:r>
                </w:p>
              </w:tc>
              <w:tc>
                <w:tcPr>
                  <w:tcW w:w="420" w:type="pct"/>
                  <w:tcBorders>
                    <w:top w:val="single" w:sz="6" w:space="0" w:color="BFBFBF"/>
                    <w:bottom w:val="single" w:sz="6" w:space="0" w:color="BFBFBF"/>
                  </w:tcBorders>
                  <w:shd w:val="clear" w:color="auto" w:fill="auto"/>
                  <w:tcMar>
                    <w:top w:w="28" w:type="dxa"/>
                  </w:tcMar>
                  <w:vAlign w:val="bottom"/>
                </w:tcPr>
                <w:p w14:paraId="7954BE60" w14:textId="77777777" w:rsidR="00F05DC7" w:rsidRPr="00A13B64" w:rsidRDefault="00F05DC7" w:rsidP="00A3786D">
                  <w:pPr>
                    <w:pStyle w:val="TableColumnHeading"/>
                    <w:ind w:right="57"/>
                    <w:rPr>
                      <w:rFonts w:cs="Arial"/>
                      <w:szCs w:val="18"/>
                    </w:rPr>
                  </w:pPr>
                  <w:r w:rsidRPr="00A13B64">
                    <w:rPr>
                      <w:rFonts w:cs="Arial"/>
                      <w:szCs w:val="18"/>
                    </w:rPr>
                    <w:t>NT</w:t>
                  </w:r>
                </w:p>
              </w:tc>
              <w:tc>
                <w:tcPr>
                  <w:tcW w:w="555" w:type="pct"/>
                  <w:tcBorders>
                    <w:top w:val="single" w:sz="6" w:space="0" w:color="BFBFBF"/>
                    <w:bottom w:val="single" w:sz="6" w:space="0" w:color="BFBFBF"/>
                  </w:tcBorders>
                  <w:shd w:val="clear" w:color="auto" w:fill="auto"/>
                  <w:tcMar>
                    <w:top w:w="28" w:type="dxa"/>
                  </w:tcMar>
                  <w:vAlign w:val="bottom"/>
                </w:tcPr>
                <w:p w14:paraId="7954BE61" w14:textId="77777777" w:rsidR="00F05DC7" w:rsidRPr="00A13B64" w:rsidRDefault="00F05DC7" w:rsidP="00A3786D">
                  <w:pPr>
                    <w:pStyle w:val="TableColumnHeading"/>
                    <w:ind w:right="57"/>
                    <w:rPr>
                      <w:rFonts w:cs="Arial"/>
                      <w:szCs w:val="18"/>
                    </w:rPr>
                  </w:pPr>
                  <w:r w:rsidRPr="00A13B64">
                    <w:rPr>
                      <w:rFonts w:cs="Arial"/>
                      <w:szCs w:val="18"/>
                    </w:rPr>
                    <w:t xml:space="preserve">All States </w:t>
                  </w:r>
                </w:p>
              </w:tc>
            </w:tr>
            <w:tr w:rsidR="00F05DC7" w:rsidRPr="00AD7DC6" w14:paraId="7954BE6D" w14:textId="77777777" w:rsidTr="00A3786D">
              <w:tc>
                <w:tcPr>
                  <w:tcW w:w="1083" w:type="pct"/>
                  <w:tcBorders>
                    <w:top w:val="single" w:sz="6" w:space="0" w:color="BFBFBF"/>
                  </w:tcBorders>
                  <w:shd w:val="clear" w:color="auto" w:fill="auto"/>
                  <w:vAlign w:val="center"/>
                </w:tcPr>
                <w:p w14:paraId="7954BE63" w14:textId="77777777" w:rsidR="00F05DC7" w:rsidRDefault="00F05DC7" w:rsidP="00A3786D">
                  <w:pPr>
                    <w:pStyle w:val="TableBodyText"/>
                    <w:jc w:val="left"/>
                    <w:rPr>
                      <w:rFonts w:asciiTheme="minorHAnsi" w:hAnsiTheme="minorHAnsi" w:cstheme="minorHAnsi"/>
                      <w:szCs w:val="18"/>
                    </w:rPr>
                  </w:pPr>
                  <w:r>
                    <w:rPr>
                      <w:rFonts w:asciiTheme="minorHAnsi" w:hAnsiTheme="minorHAnsi" w:cstheme="minorHAnsi"/>
                      <w:szCs w:val="18"/>
                    </w:rPr>
                    <w:t>Insurance stamp duties only</w:t>
                  </w:r>
                </w:p>
              </w:tc>
              <w:tc>
                <w:tcPr>
                  <w:tcW w:w="420" w:type="pct"/>
                  <w:tcBorders>
                    <w:top w:val="single" w:sz="6" w:space="0" w:color="BFBFBF"/>
                  </w:tcBorders>
                  <w:shd w:val="clear" w:color="auto" w:fill="auto"/>
                  <w:vAlign w:val="center"/>
                </w:tcPr>
                <w:p w14:paraId="7954BE64"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9</w:t>
                  </w:r>
                </w:p>
              </w:tc>
              <w:tc>
                <w:tcPr>
                  <w:tcW w:w="420" w:type="pct"/>
                  <w:tcBorders>
                    <w:top w:val="single" w:sz="6" w:space="0" w:color="BFBFBF"/>
                  </w:tcBorders>
                  <w:shd w:val="clear" w:color="auto" w:fill="auto"/>
                  <w:vAlign w:val="center"/>
                </w:tcPr>
                <w:p w14:paraId="7954BE65"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9</w:t>
                  </w:r>
                </w:p>
              </w:tc>
              <w:tc>
                <w:tcPr>
                  <w:tcW w:w="420" w:type="pct"/>
                  <w:tcBorders>
                    <w:top w:val="single" w:sz="6" w:space="0" w:color="BFBFBF"/>
                  </w:tcBorders>
                  <w:shd w:val="clear" w:color="auto" w:fill="auto"/>
                  <w:vAlign w:val="center"/>
                </w:tcPr>
                <w:p w14:paraId="7954BE66"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8</w:t>
                  </w:r>
                </w:p>
              </w:tc>
              <w:tc>
                <w:tcPr>
                  <w:tcW w:w="420" w:type="pct"/>
                  <w:tcBorders>
                    <w:top w:val="single" w:sz="6" w:space="0" w:color="BFBFBF"/>
                  </w:tcBorders>
                  <w:shd w:val="clear" w:color="auto" w:fill="auto"/>
                  <w:vAlign w:val="center"/>
                </w:tcPr>
                <w:p w14:paraId="7954BE67"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8</w:t>
                  </w:r>
                </w:p>
              </w:tc>
              <w:tc>
                <w:tcPr>
                  <w:tcW w:w="420" w:type="pct"/>
                  <w:tcBorders>
                    <w:top w:val="single" w:sz="6" w:space="0" w:color="BFBFBF"/>
                  </w:tcBorders>
                  <w:shd w:val="clear" w:color="auto" w:fill="auto"/>
                  <w:vAlign w:val="center"/>
                </w:tcPr>
                <w:p w14:paraId="7954BE68"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10</w:t>
                  </w:r>
                </w:p>
              </w:tc>
              <w:tc>
                <w:tcPr>
                  <w:tcW w:w="420" w:type="pct"/>
                  <w:tcBorders>
                    <w:top w:val="single" w:sz="6" w:space="0" w:color="BFBFBF"/>
                  </w:tcBorders>
                  <w:shd w:val="clear" w:color="auto" w:fill="auto"/>
                  <w:vAlign w:val="center"/>
                </w:tcPr>
                <w:p w14:paraId="7954BE69"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8</w:t>
                  </w:r>
                </w:p>
              </w:tc>
              <w:tc>
                <w:tcPr>
                  <w:tcW w:w="420" w:type="pct"/>
                  <w:tcBorders>
                    <w:top w:val="single" w:sz="6" w:space="0" w:color="BFBFBF"/>
                  </w:tcBorders>
                  <w:shd w:val="clear" w:color="auto" w:fill="auto"/>
                  <w:vAlign w:val="center"/>
                </w:tcPr>
                <w:p w14:paraId="7954BE6A"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5</w:t>
                  </w:r>
                </w:p>
              </w:tc>
              <w:tc>
                <w:tcPr>
                  <w:tcW w:w="420" w:type="pct"/>
                  <w:tcBorders>
                    <w:top w:val="single" w:sz="6" w:space="0" w:color="BFBFBF"/>
                  </w:tcBorders>
                  <w:shd w:val="clear" w:color="auto" w:fill="auto"/>
                  <w:vAlign w:val="center"/>
                </w:tcPr>
                <w:p w14:paraId="7954BE6B"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5</w:t>
                  </w:r>
                </w:p>
              </w:tc>
              <w:tc>
                <w:tcPr>
                  <w:tcW w:w="555" w:type="pct"/>
                  <w:tcBorders>
                    <w:top w:val="single" w:sz="6" w:space="0" w:color="BFBFBF"/>
                  </w:tcBorders>
                  <w:shd w:val="clear" w:color="auto" w:fill="auto"/>
                  <w:vAlign w:val="center"/>
                </w:tcPr>
                <w:p w14:paraId="7954BE6C"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10</w:t>
                  </w:r>
                </w:p>
              </w:tc>
            </w:tr>
            <w:tr w:rsidR="00F05DC7" w:rsidRPr="00AD7DC6" w14:paraId="7954BE78" w14:textId="77777777" w:rsidTr="00A3786D">
              <w:tc>
                <w:tcPr>
                  <w:tcW w:w="1083" w:type="pct"/>
                  <w:shd w:val="clear" w:color="auto" w:fill="auto"/>
                  <w:vAlign w:val="center"/>
                </w:tcPr>
                <w:p w14:paraId="7954BE6E" w14:textId="77777777" w:rsidR="00F05DC7" w:rsidRPr="00AF0C96" w:rsidRDefault="00F05DC7" w:rsidP="00A3786D">
                  <w:pPr>
                    <w:pStyle w:val="TableBodyText"/>
                    <w:jc w:val="left"/>
                    <w:rPr>
                      <w:rStyle w:val="NoteLabel"/>
                    </w:rPr>
                  </w:pPr>
                  <w:r>
                    <w:rPr>
                      <w:rFonts w:asciiTheme="minorHAnsi" w:hAnsiTheme="minorHAnsi" w:cstheme="minorHAnsi"/>
                      <w:szCs w:val="18"/>
                    </w:rPr>
                    <w:t>FESL only</w:t>
                  </w:r>
                </w:p>
              </w:tc>
              <w:tc>
                <w:tcPr>
                  <w:tcW w:w="420" w:type="pct"/>
                  <w:shd w:val="clear" w:color="auto" w:fill="auto"/>
                  <w:vAlign w:val="center"/>
                </w:tcPr>
                <w:p w14:paraId="7954BE6F"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16</w:t>
                  </w:r>
                </w:p>
              </w:tc>
              <w:tc>
                <w:tcPr>
                  <w:tcW w:w="420" w:type="pct"/>
                  <w:shd w:val="clear" w:color="auto" w:fill="auto"/>
                  <w:vAlign w:val="center"/>
                </w:tcPr>
                <w:p w14:paraId="7954BE70"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w:t>
                  </w:r>
                </w:p>
              </w:tc>
              <w:tc>
                <w:tcPr>
                  <w:tcW w:w="420" w:type="pct"/>
                  <w:shd w:val="clear" w:color="auto" w:fill="auto"/>
                  <w:vAlign w:val="center"/>
                </w:tcPr>
                <w:p w14:paraId="7954BE71"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w:t>
                  </w:r>
                </w:p>
              </w:tc>
              <w:tc>
                <w:tcPr>
                  <w:tcW w:w="420" w:type="pct"/>
                  <w:shd w:val="clear" w:color="auto" w:fill="auto"/>
                  <w:vAlign w:val="center"/>
                </w:tcPr>
                <w:p w14:paraId="7954BE72"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w:t>
                  </w:r>
                </w:p>
              </w:tc>
              <w:tc>
                <w:tcPr>
                  <w:tcW w:w="420" w:type="pct"/>
                  <w:shd w:val="clear" w:color="auto" w:fill="auto"/>
                  <w:vAlign w:val="center"/>
                </w:tcPr>
                <w:p w14:paraId="7954BE73"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w:t>
                  </w:r>
                </w:p>
              </w:tc>
              <w:tc>
                <w:tcPr>
                  <w:tcW w:w="420" w:type="pct"/>
                  <w:shd w:val="clear" w:color="auto" w:fill="auto"/>
                  <w:vAlign w:val="center"/>
                </w:tcPr>
                <w:p w14:paraId="7954BE74"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na</w:t>
                  </w:r>
                </w:p>
              </w:tc>
              <w:tc>
                <w:tcPr>
                  <w:tcW w:w="420" w:type="pct"/>
                  <w:shd w:val="clear" w:color="auto" w:fill="auto"/>
                  <w:vAlign w:val="center"/>
                </w:tcPr>
                <w:p w14:paraId="7954BE75"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w:t>
                  </w:r>
                </w:p>
              </w:tc>
              <w:tc>
                <w:tcPr>
                  <w:tcW w:w="420" w:type="pct"/>
                  <w:shd w:val="clear" w:color="auto" w:fill="auto"/>
                  <w:vAlign w:val="center"/>
                </w:tcPr>
                <w:p w14:paraId="7954BE76"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w:t>
                  </w:r>
                </w:p>
              </w:tc>
              <w:tc>
                <w:tcPr>
                  <w:tcW w:w="555" w:type="pct"/>
                  <w:shd w:val="clear" w:color="auto" w:fill="auto"/>
                  <w:vAlign w:val="center"/>
                </w:tcPr>
                <w:p w14:paraId="7954BE77" w14:textId="77777777" w:rsidR="00F05DC7"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na</w:t>
                  </w:r>
                </w:p>
              </w:tc>
            </w:tr>
            <w:tr w:rsidR="00F05DC7" w:rsidRPr="00AD7DC6" w14:paraId="7954BE83" w14:textId="77777777" w:rsidTr="00A3786D">
              <w:tc>
                <w:tcPr>
                  <w:tcW w:w="1083" w:type="pct"/>
                  <w:shd w:val="clear" w:color="auto" w:fill="auto"/>
                  <w:vAlign w:val="center"/>
                </w:tcPr>
                <w:p w14:paraId="7954BE79" w14:textId="77777777" w:rsidR="00F05DC7" w:rsidRPr="00AD7DC6" w:rsidRDefault="00F05DC7" w:rsidP="00A3786D">
                  <w:pPr>
                    <w:pStyle w:val="TableBodyText"/>
                    <w:jc w:val="left"/>
                    <w:rPr>
                      <w:rFonts w:asciiTheme="minorHAnsi" w:hAnsiTheme="minorHAnsi" w:cstheme="minorHAnsi"/>
                      <w:szCs w:val="18"/>
                    </w:rPr>
                  </w:pPr>
                  <w:r>
                    <w:rPr>
                      <w:rFonts w:asciiTheme="minorHAnsi" w:hAnsiTheme="minorHAnsi" w:cstheme="minorHAnsi"/>
                      <w:szCs w:val="18"/>
                    </w:rPr>
                    <w:t>Both taxes</w:t>
                  </w:r>
                </w:p>
              </w:tc>
              <w:tc>
                <w:tcPr>
                  <w:tcW w:w="420" w:type="pct"/>
                  <w:shd w:val="clear" w:color="auto" w:fill="auto"/>
                  <w:vAlign w:val="center"/>
                </w:tcPr>
                <w:p w14:paraId="7954BE7A"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25</w:t>
                  </w:r>
                </w:p>
              </w:tc>
              <w:tc>
                <w:tcPr>
                  <w:tcW w:w="420" w:type="pct"/>
                  <w:shd w:val="clear" w:color="auto" w:fill="auto"/>
                  <w:vAlign w:val="center"/>
                </w:tcPr>
                <w:p w14:paraId="7954BE7B"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9</w:t>
                  </w:r>
                </w:p>
              </w:tc>
              <w:tc>
                <w:tcPr>
                  <w:tcW w:w="420" w:type="pct"/>
                  <w:shd w:val="clear" w:color="auto" w:fill="auto"/>
                  <w:vAlign w:val="center"/>
                </w:tcPr>
                <w:p w14:paraId="7954BE7C"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8</w:t>
                  </w:r>
                </w:p>
              </w:tc>
              <w:tc>
                <w:tcPr>
                  <w:tcW w:w="420" w:type="pct"/>
                  <w:shd w:val="clear" w:color="auto" w:fill="auto"/>
                  <w:vAlign w:val="center"/>
                </w:tcPr>
                <w:p w14:paraId="7954BE7D"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8</w:t>
                  </w:r>
                </w:p>
              </w:tc>
              <w:tc>
                <w:tcPr>
                  <w:tcW w:w="420" w:type="pct"/>
                  <w:shd w:val="clear" w:color="auto" w:fill="auto"/>
                  <w:vAlign w:val="center"/>
                </w:tcPr>
                <w:p w14:paraId="7954BE7E"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10</w:t>
                  </w:r>
                </w:p>
              </w:tc>
              <w:tc>
                <w:tcPr>
                  <w:tcW w:w="420" w:type="pct"/>
                  <w:shd w:val="clear" w:color="auto" w:fill="auto"/>
                  <w:vAlign w:val="center"/>
                </w:tcPr>
                <w:p w14:paraId="7954BE7F"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8</w:t>
                  </w:r>
                </w:p>
              </w:tc>
              <w:tc>
                <w:tcPr>
                  <w:tcW w:w="420" w:type="pct"/>
                  <w:shd w:val="clear" w:color="auto" w:fill="auto"/>
                  <w:vAlign w:val="center"/>
                </w:tcPr>
                <w:p w14:paraId="7954BE80"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5</w:t>
                  </w:r>
                </w:p>
              </w:tc>
              <w:tc>
                <w:tcPr>
                  <w:tcW w:w="420" w:type="pct"/>
                  <w:shd w:val="clear" w:color="auto" w:fill="auto"/>
                  <w:vAlign w:val="center"/>
                </w:tcPr>
                <w:p w14:paraId="7954BE81"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5</w:t>
                  </w:r>
                </w:p>
              </w:tc>
              <w:tc>
                <w:tcPr>
                  <w:tcW w:w="555" w:type="pct"/>
                  <w:shd w:val="clear" w:color="auto" w:fill="auto"/>
                  <w:vAlign w:val="center"/>
                </w:tcPr>
                <w:p w14:paraId="7954BE82" w14:textId="77777777" w:rsidR="00F05DC7" w:rsidRPr="00AD7DC6" w:rsidRDefault="00F05DC7" w:rsidP="00A3786D">
                  <w:pPr>
                    <w:pStyle w:val="TableBodyText"/>
                    <w:ind w:right="57"/>
                    <w:rPr>
                      <w:rFonts w:asciiTheme="minorHAnsi" w:hAnsiTheme="minorHAnsi" w:cstheme="minorHAnsi"/>
                      <w:szCs w:val="18"/>
                    </w:rPr>
                  </w:pPr>
                  <w:r>
                    <w:rPr>
                      <w:rFonts w:asciiTheme="minorHAnsi" w:hAnsiTheme="minorHAnsi" w:cstheme="minorHAnsi"/>
                      <w:szCs w:val="18"/>
                    </w:rPr>
                    <w:t>13</w:t>
                  </w:r>
                </w:p>
              </w:tc>
            </w:tr>
          </w:tbl>
          <w:p w14:paraId="7954BE84" w14:textId="77777777" w:rsidR="00F05DC7" w:rsidRDefault="00F05DC7" w:rsidP="00A3786D">
            <w:pPr>
              <w:pStyle w:val="Box"/>
            </w:pPr>
          </w:p>
        </w:tc>
      </w:tr>
      <w:tr w:rsidR="00F05DC7" w14:paraId="7954BE87" w14:textId="77777777" w:rsidTr="00A3786D">
        <w:tc>
          <w:tcPr>
            <w:tcW w:w="5000" w:type="pct"/>
            <w:tcBorders>
              <w:top w:val="single" w:sz="4" w:space="0" w:color="D9D9D9" w:themeColor="background1" w:themeShade="D9"/>
              <w:left w:val="nil"/>
              <w:bottom w:val="nil"/>
              <w:right w:val="nil"/>
            </w:tcBorders>
            <w:shd w:val="clear" w:color="auto" w:fill="auto"/>
          </w:tcPr>
          <w:p w14:paraId="7954BE86" w14:textId="77777777" w:rsidR="00F05DC7" w:rsidRPr="00AF0C96" w:rsidRDefault="00F05DC7" w:rsidP="00A3786D">
            <w:pPr>
              <w:pStyle w:val="Note"/>
            </w:pPr>
            <w:r>
              <w:rPr>
                <w:b/>
              </w:rPr>
              <w:t>n</w:t>
            </w:r>
            <w:r w:rsidRPr="00AF0C96">
              <w:rPr>
                <w:b/>
              </w:rPr>
              <w:t>a</w:t>
            </w:r>
            <w:r w:rsidRPr="00AF0C96">
              <w:t xml:space="preserve"> </w:t>
            </w:r>
            <w:r>
              <w:t xml:space="preserve">Not available. </w:t>
            </w:r>
            <w:r w:rsidRPr="00AF0C96">
              <w:rPr>
                <w:b/>
              </w:rPr>
              <w:t>..</w:t>
            </w:r>
            <w:r>
              <w:t xml:space="preserve"> Not applicable.</w:t>
            </w:r>
          </w:p>
        </w:tc>
      </w:tr>
      <w:tr w:rsidR="00F05DC7" w14:paraId="7954BE89" w14:textId="77777777" w:rsidTr="00A3786D">
        <w:tc>
          <w:tcPr>
            <w:tcW w:w="5000" w:type="pct"/>
            <w:tcBorders>
              <w:top w:val="nil"/>
              <w:left w:val="nil"/>
              <w:bottom w:val="nil"/>
              <w:right w:val="nil"/>
            </w:tcBorders>
            <w:shd w:val="clear" w:color="auto" w:fill="auto"/>
          </w:tcPr>
          <w:p w14:paraId="7954BE88" w14:textId="6542974C" w:rsidR="00F05DC7" w:rsidRDefault="00F05DC7" w:rsidP="00A3786D">
            <w:pPr>
              <w:pStyle w:val="Source"/>
            </w:pPr>
            <w:r>
              <w:rPr>
                <w:i/>
              </w:rPr>
              <w:t>Source</w:t>
            </w:r>
            <w:r w:rsidRPr="00167F06">
              <w:t xml:space="preserve">: </w:t>
            </w:r>
            <w:r>
              <w:t xml:space="preserve">Tooth </w:t>
            </w:r>
            <w:r w:rsidRPr="00AF0C96">
              <w:rPr>
                <w:rFonts w:cs="Arial"/>
                <w:szCs w:val="24"/>
              </w:rPr>
              <w:t>(2015, p. 28)</w:t>
            </w:r>
            <w:r>
              <w:t>.</w:t>
            </w:r>
          </w:p>
        </w:tc>
      </w:tr>
      <w:tr w:rsidR="00F05DC7" w14:paraId="7954BE8B" w14:textId="77777777" w:rsidTr="00A3786D">
        <w:tc>
          <w:tcPr>
            <w:tcW w:w="5000" w:type="pct"/>
            <w:tcBorders>
              <w:top w:val="nil"/>
              <w:left w:val="nil"/>
              <w:bottom w:val="single" w:sz="6" w:space="0" w:color="78A22F"/>
              <w:right w:val="nil"/>
            </w:tcBorders>
            <w:shd w:val="clear" w:color="auto" w:fill="auto"/>
          </w:tcPr>
          <w:p w14:paraId="7954BE8A" w14:textId="77777777" w:rsidR="00F05DC7" w:rsidRDefault="00F05DC7" w:rsidP="00A3786D">
            <w:pPr>
              <w:pStyle w:val="Box"/>
              <w:spacing w:before="0" w:line="120" w:lineRule="exact"/>
            </w:pPr>
          </w:p>
        </w:tc>
      </w:tr>
      <w:tr w:rsidR="00F05DC7" w:rsidRPr="000863A5" w14:paraId="7954BE8D" w14:textId="77777777" w:rsidTr="00A3786D">
        <w:tc>
          <w:tcPr>
            <w:tcW w:w="5000" w:type="pct"/>
            <w:tcBorders>
              <w:top w:val="single" w:sz="6" w:space="0" w:color="78A22F"/>
              <w:left w:val="nil"/>
              <w:bottom w:val="nil"/>
              <w:right w:val="nil"/>
            </w:tcBorders>
          </w:tcPr>
          <w:p w14:paraId="7954BE8C" w14:textId="77777777" w:rsidR="00F05DC7" w:rsidRPr="00626D32" w:rsidRDefault="00F05DC7" w:rsidP="00A3786D">
            <w:pPr>
              <w:pStyle w:val="BoxSpaceBelow"/>
            </w:pPr>
          </w:p>
        </w:tc>
      </w:tr>
    </w:tbl>
    <w:p w14:paraId="7954BE8E" w14:textId="77777777" w:rsidR="00F05DC7" w:rsidRDefault="00F05DC7" w:rsidP="00A3786D">
      <w:pPr>
        <w:pStyle w:val="BodyText"/>
      </w:pPr>
      <w:r>
        <w:t>As per the Commission’s other cameos, the results only show a one</w:t>
      </w:r>
      <w:r>
        <w:noBreakHyphen/>
        <w:t>year GST impact for 2016</w:t>
      </w:r>
      <w:r>
        <w:noBreakHyphen/>
        <w:t>17 and do not incorporate any analysis of how the insurance tax abolition might be phased in — in other words, the figures only show what GST payments might have been in 2016</w:t>
      </w:r>
      <w:r>
        <w:noBreakHyphen/>
        <w:t>17 had no insurance taxes been in place.</w:t>
      </w:r>
    </w:p>
    <w:p w14:paraId="7954BE8F" w14:textId="77777777" w:rsidR="00F05DC7" w:rsidRDefault="00F05DC7" w:rsidP="00A3786D">
      <w:pPr>
        <w:pStyle w:val="Heading4"/>
      </w:pPr>
      <w:r>
        <w:t>GST impact</w:t>
      </w:r>
    </w:p>
    <w:p w14:paraId="7954BE90" w14:textId="18B184E5" w:rsidR="00F05DC7" w:rsidRDefault="00F05DC7" w:rsidP="00A3786D">
      <w:pPr>
        <w:pStyle w:val="BodyText"/>
      </w:pPr>
      <w:r>
        <w:t>Table C.25 shows the impact on each State’s own</w:t>
      </w:r>
      <w:r>
        <w:noBreakHyphen/>
        <w:t>source revenues, as well as the impacts on the national average tax rate. Tables C.26 and C.27 show the impacts on each State’s GST payments and annual relativity of unilateral and multilateral reform, respectively. Because the reform is not own</w:t>
      </w:r>
      <w:r>
        <w:noBreakHyphen/>
        <w:t>source revenue neutral, the estimates of GST impacts include an offsetting calculation that adjusts for a change in the size of the overall equalisation task (in most cases a decrease) due to the reform.</w:t>
      </w:r>
    </w:p>
    <w:p w14:paraId="7954BE91" w14:textId="77777777" w:rsidR="00F05DC7" w:rsidRDefault="00F05DC7" w:rsidP="00A3786D">
      <w:pPr>
        <w:pStyle w:val="BodyText"/>
      </w:pPr>
      <w:r>
        <w:t>Overall, the GST impacts are modest. This is primarily due to the small size of the insurance tax base (about $5 billion nationally), which means that differences in the relative size of tax bases across States have only a small impact on the amount of money being redistributed.</w:t>
      </w:r>
    </w:p>
    <w:p w14:paraId="7954BE92" w14:textId="6A4C652A" w:rsidR="00F05DC7" w:rsidRDefault="00F05DC7" w:rsidP="00A3786D">
      <w:pPr>
        <w:pStyle w:val="BodyText"/>
      </w:pPr>
      <w:r>
        <w:t>All States lose GST from unilateral reform (table C.26), primarily because their tax base has increased but they are still assessed as having the capacity to raise revenue through insurance taxes. The largest total impact is on Victoria (a loss of $87 million), whereas the largest per</w:t>
      </w:r>
      <w:r>
        <w:noBreakHyphen/>
        <w:t>capita impact falls on South Australia (a loss of $17 per capita). Relative to the amount of own</w:t>
      </w:r>
      <w:r>
        <w:noBreakHyphen/>
        <w:t>source revenue being forgone, the percentage impact is greatest for the ACT (at 19 per cent), followed by Tasmania (at 8 per cent). The high figure for the ACT is due to a ‘small denominator’ effect (its insurance tax revenue was just $20 million in 2016</w:t>
      </w:r>
      <w:r>
        <w:noBreakHyphen/>
        <w:t xml:space="preserve">17, well below its population share of the total). </w:t>
      </w:r>
    </w:p>
    <w:p w14:paraId="7954BE93" w14:textId="7262A70E" w:rsidR="00F05DC7" w:rsidRDefault="00F05DC7" w:rsidP="00A3786D">
      <w:pPr>
        <w:pStyle w:val="BodyText"/>
      </w:pPr>
      <w:r>
        <w:t xml:space="preserve">The GST impacts in the multilateral scenario (table C.27) are simply the same as the current redistribution due to the insurance tax assessment with the signs reversed. In other words, all States abolishing their insurance taxes would yield the same outcome as removing insurance tax from HFE completely. New South Wales, South Australia and the Northern </w:t>
      </w:r>
      <w:r>
        <w:lastRenderedPageBreak/>
        <w:t>Territory — which are currently assessed as having above</w:t>
      </w:r>
      <w:r>
        <w:noBreakHyphen/>
        <w:t>average capacity to raise insurance tax revenue — would gain GST revenue at the expense of the other jurisdictions.</w:t>
      </w:r>
    </w:p>
    <w:p w14:paraId="7954BE9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ED4" w14:textId="77777777" w:rsidTr="00530909">
        <w:trPr>
          <w:tblHeader/>
        </w:trPr>
        <w:tc>
          <w:tcPr>
            <w:tcW w:w="5000" w:type="pct"/>
            <w:tcBorders>
              <w:top w:val="single" w:sz="6" w:space="0" w:color="78A22F"/>
              <w:left w:val="nil"/>
              <w:bottom w:val="nil"/>
              <w:right w:val="nil"/>
            </w:tcBorders>
            <w:shd w:val="clear" w:color="auto" w:fill="auto"/>
          </w:tcPr>
          <w:p w14:paraId="7954BE95" w14:textId="702263EC" w:rsidR="00F05DC7" w:rsidRDefault="00F05DC7" w:rsidP="00A3786D">
            <w:pPr>
              <w:pStyle w:val="TableTitle"/>
            </w:pPr>
            <w:r>
              <w:rPr>
                <w:b w:val="0"/>
              </w:rPr>
              <w:t xml:space="preserve">Table </w:t>
            </w:r>
            <w:bookmarkStart w:id="121" w:name="OLE_LINK19"/>
            <w:r>
              <w:rPr>
                <w:b w:val="0"/>
              </w:rPr>
              <w:t>C.</w:t>
            </w:r>
            <w:bookmarkEnd w:id="121"/>
            <w:r>
              <w:rPr>
                <w:b w:val="0"/>
              </w:rPr>
              <w:t>25</w:t>
            </w:r>
            <w:r>
              <w:tab/>
              <w:t>Own</w:t>
            </w:r>
            <w:r>
              <w:noBreakHyphen/>
              <w:t>source revenue impact of abolishing insurance taxes</w:t>
            </w:r>
          </w:p>
          <w:p w14:paraId="7954BE96" w14:textId="77777777" w:rsidR="00F05DC7" w:rsidRDefault="00F05DC7" w:rsidP="00A3786D">
            <w:pPr>
              <w:pStyle w:val="Subtitle"/>
            </w:pPr>
            <w:r>
              <w:t>Unilateral change by each State and a multilateral change by all States, 2016</w:t>
            </w:r>
            <w:r>
              <w:noBreakHyphen/>
              <w:t>17</w:t>
            </w:r>
            <w:r w:rsidRPr="008E77FE">
              <w:rPr>
                <w:rStyle w:val="NoteLabel"/>
              </w:rPr>
              <w:t>a</w:t>
            </w:r>
          </w:p>
          <w:tbl>
            <w:tblPr>
              <w:tblW w:w="5000" w:type="pct"/>
              <w:tblLook w:val="04A0" w:firstRow="1" w:lastRow="0" w:firstColumn="1" w:lastColumn="0" w:noHBand="0" w:noVBand="1"/>
            </w:tblPr>
            <w:tblGrid>
              <w:gridCol w:w="2295"/>
              <w:gridCol w:w="565"/>
              <w:gridCol w:w="626"/>
              <w:gridCol w:w="628"/>
              <w:gridCol w:w="628"/>
              <w:gridCol w:w="628"/>
              <w:gridCol w:w="628"/>
              <w:gridCol w:w="628"/>
              <w:gridCol w:w="628"/>
              <w:gridCol w:w="628"/>
              <w:gridCol w:w="623"/>
            </w:tblGrid>
            <w:tr w:rsidR="00F05DC7" w14:paraId="7954BEA2" w14:textId="77777777" w:rsidTr="00A555DD">
              <w:trPr>
                <w:trHeight w:val="300"/>
                <w:tblHeader/>
              </w:trPr>
              <w:tc>
                <w:tcPr>
                  <w:tcW w:w="1349" w:type="pct"/>
                  <w:tcBorders>
                    <w:top w:val="single" w:sz="8" w:space="0" w:color="BFBFBF"/>
                    <w:left w:val="nil"/>
                    <w:bottom w:val="single" w:sz="6" w:space="0" w:color="BFBFBF"/>
                    <w:right w:val="nil"/>
                  </w:tcBorders>
                  <w:shd w:val="clear" w:color="auto" w:fill="auto"/>
                  <w:tcMar>
                    <w:left w:w="0" w:type="dxa"/>
                    <w:right w:w="0" w:type="dxa"/>
                  </w:tcMar>
                  <w:vAlign w:val="center"/>
                  <w:hideMark/>
                </w:tcPr>
                <w:p w14:paraId="7954BE97" w14:textId="77777777" w:rsidR="00F05DC7" w:rsidRPr="00791D71" w:rsidRDefault="00F05DC7" w:rsidP="00A3786D">
                  <w:pPr>
                    <w:pStyle w:val="TableColumnHeading"/>
                    <w:rPr>
                      <w:rFonts w:asciiTheme="minorHAnsi" w:hAnsiTheme="minorHAnsi" w:cstheme="minorHAnsi"/>
                      <w:i w:val="0"/>
                      <w:szCs w:val="18"/>
                    </w:rPr>
                  </w:pPr>
                </w:p>
              </w:tc>
              <w:tc>
                <w:tcPr>
                  <w:tcW w:w="332" w:type="pct"/>
                  <w:tcBorders>
                    <w:top w:val="single" w:sz="8" w:space="0" w:color="BFBFBF"/>
                    <w:left w:val="nil"/>
                    <w:bottom w:val="single" w:sz="6" w:space="0" w:color="BFBFBF"/>
                    <w:right w:val="nil"/>
                  </w:tcBorders>
                  <w:tcMar>
                    <w:left w:w="0" w:type="dxa"/>
                    <w:right w:w="0" w:type="dxa"/>
                  </w:tcMar>
                  <w:vAlign w:val="bottom"/>
                </w:tcPr>
                <w:p w14:paraId="7954BE98" w14:textId="77777777" w:rsidR="00F05DC7" w:rsidRPr="00791D71" w:rsidRDefault="00F05DC7" w:rsidP="00A3786D">
                  <w:pPr>
                    <w:pStyle w:val="TableColumnHeading"/>
                    <w:ind w:right="57"/>
                    <w:rPr>
                      <w:rFonts w:asciiTheme="minorHAnsi" w:hAnsiTheme="minorHAnsi" w:cstheme="minorHAnsi"/>
                      <w:szCs w:val="18"/>
                    </w:rPr>
                  </w:pPr>
                  <w:r>
                    <w:rPr>
                      <w:rFonts w:asciiTheme="minorHAnsi" w:hAnsiTheme="minorHAnsi" w:cstheme="minorHAnsi"/>
                      <w:szCs w:val="18"/>
                    </w:rPr>
                    <w:t>Units</w:t>
                  </w:r>
                </w:p>
              </w:tc>
              <w:tc>
                <w:tcPr>
                  <w:tcW w:w="368"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E99" w14:textId="77777777" w:rsidR="00F05DC7" w:rsidRPr="00D212F6" w:rsidRDefault="00F05DC7" w:rsidP="00A3786D">
                  <w:pPr>
                    <w:pStyle w:val="TableColumnHeading"/>
                    <w:ind w:right="57"/>
                    <w:rPr>
                      <w:rFonts w:asciiTheme="minorHAnsi" w:hAnsiTheme="minorHAnsi" w:cstheme="minorHAnsi"/>
                      <w:szCs w:val="18"/>
                    </w:rPr>
                  </w:pPr>
                  <w:r w:rsidRPr="00791D71">
                    <w:rPr>
                      <w:rFonts w:asciiTheme="minorHAnsi" w:hAnsiTheme="minorHAnsi" w:cstheme="minorHAnsi"/>
                      <w:szCs w:val="18"/>
                    </w:rPr>
                    <w:t>NSW</w:t>
                  </w:r>
                </w:p>
              </w:tc>
              <w:tc>
                <w:tcPr>
                  <w:tcW w:w="369"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E9A"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Vic</w:t>
                  </w:r>
                </w:p>
              </w:tc>
              <w:tc>
                <w:tcPr>
                  <w:tcW w:w="369"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E9B"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Qld</w:t>
                  </w:r>
                </w:p>
              </w:tc>
              <w:tc>
                <w:tcPr>
                  <w:tcW w:w="369"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E9C"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WA</w:t>
                  </w:r>
                </w:p>
              </w:tc>
              <w:tc>
                <w:tcPr>
                  <w:tcW w:w="369"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E9D"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SA</w:t>
                  </w:r>
                </w:p>
              </w:tc>
              <w:tc>
                <w:tcPr>
                  <w:tcW w:w="369"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E9E"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Tas</w:t>
                  </w:r>
                </w:p>
              </w:tc>
              <w:tc>
                <w:tcPr>
                  <w:tcW w:w="369"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E9F"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ACT</w:t>
                  </w:r>
                </w:p>
              </w:tc>
              <w:tc>
                <w:tcPr>
                  <w:tcW w:w="369"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EA0"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NT</w:t>
                  </w:r>
                </w:p>
              </w:tc>
              <w:tc>
                <w:tcPr>
                  <w:tcW w:w="366"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EA1"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All States</w:t>
                  </w:r>
                </w:p>
              </w:tc>
            </w:tr>
            <w:tr w:rsidR="00F05DC7" w14:paraId="7954BEAE" w14:textId="77777777" w:rsidTr="00A555DD">
              <w:trPr>
                <w:trHeight w:val="288"/>
              </w:trPr>
              <w:tc>
                <w:tcPr>
                  <w:tcW w:w="1349" w:type="pct"/>
                  <w:tcBorders>
                    <w:top w:val="single" w:sz="6" w:space="0" w:color="BFBFBF"/>
                    <w:left w:val="nil"/>
                    <w:bottom w:val="nil"/>
                    <w:right w:val="nil"/>
                  </w:tcBorders>
                  <w:shd w:val="clear" w:color="auto" w:fill="auto"/>
                  <w:tcMar>
                    <w:left w:w="0" w:type="dxa"/>
                    <w:right w:w="0" w:type="dxa"/>
                  </w:tcMar>
                  <w:vAlign w:val="center"/>
                  <w:hideMark/>
                </w:tcPr>
                <w:p w14:paraId="7954BEA3" w14:textId="77777777" w:rsidR="00F05DC7" w:rsidRPr="00791D71" w:rsidRDefault="00F05DC7" w:rsidP="00A3786D">
                  <w:pPr>
                    <w:pStyle w:val="TableBodyText"/>
                    <w:spacing w:before="40" w:after="0"/>
                    <w:jc w:val="left"/>
                  </w:pPr>
                  <w:r>
                    <w:t>Current share of national tax base</w:t>
                  </w:r>
                </w:p>
              </w:tc>
              <w:tc>
                <w:tcPr>
                  <w:tcW w:w="332" w:type="pct"/>
                  <w:tcBorders>
                    <w:top w:val="single" w:sz="6" w:space="0" w:color="BFBFBF"/>
                    <w:left w:val="nil"/>
                    <w:bottom w:val="nil"/>
                    <w:right w:val="nil"/>
                  </w:tcBorders>
                  <w:tcMar>
                    <w:left w:w="0" w:type="dxa"/>
                    <w:right w:w="0" w:type="dxa"/>
                  </w:tcMar>
                  <w:vAlign w:val="center"/>
                </w:tcPr>
                <w:p w14:paraId="7954BEA4" w14:textId="77777777" w:rsidR="00F05DC7" w:rsidRPr="00791D71" w:rsidRDefault="00F05DC7" w:rsidP="00A3786D">
                  <w:pPr>
                    <w:spacing w:before="40"/>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w:t>
                  </w:r>
                </w:p>
              </w:tc>
              <w:tc>
                <w:tcPr>
                  <w:tcW w:w="368" w:type="pct"/>
                  <w:tcBorders>
                    <w:top w:val="single" w:sz="6" w:space="0" w:color="BFBFBF"/>
                    <w:left w:val="nil"/>
                    <w:bottom w:val="nil"/>
                    <w:right w:val="nil"/>
                  </w:tcBorders>
                  <w:shd w:val="clear" w:color="auto" w:fill="auto"/>
                  <w:tcMar>
                    <w:left w:w="0" w:type="dxa"/>
                    <w:right w:w="0" w:type="dxa"/>
                  </w:tcMar>
                  <w:vAlign w:val="center"/>
                </w:tcPr>
                <w:p w14:paraId="7954BEA5" w14:textId="77777777" w:rsidR="00F05DC7" w:rsidRPr="00AE0838" w:rsidRDefault="00F05DC7" w:rsidP="00A3786D">
                  <w:pPr>
                    <w:pStyle w:val="TableBodyText"/>
                    <w:spacing w:before="40" w:after="0"/>
                  </w:pPr>
                  <w:r>
                    <w:t>35</w:t>
                  </w:r>
                </w:p>
              </w:tc>
              <w:tc>
                <w:tcPr>
                  <w:tcW w:w="369" w:type="pct"/>
                  <w:tcBorders>
                    <w:top w:val="single" w:sz="6" w:space="0" w:color="BFBFBF"/>
                    <w:left w:val="nil"/>
                    <w:bottom w:val="nil"/>
                    <w:right w:val="nil"/>
                  </w:tcBorders>
                  <w:shd w:val="clear" w:color="auto" w:fill="auto"/>
                  <w:tcMar>
                    <w:left w:w="0" w:type="dxa"/>
                    <w:right w:w="0" w:type="dxa"/>
                  </w:tcMar>
                  <w:vAlign w:val="center"/>
                </w:tcPr>
                <w:p w14:paraId="7954BEA6" w14:textId="77777777" w:rsidR="00F05DC7" w:rsidRPr="00AE0838" w:rsidRDefault="00F05DC7" w:rsidP="00A3786D">
                  <w:pPr>
                    <w:pStyle w:val="TableBodyText"/>
                    <w:spacing w:before="40" w:after="0"/>
                  </w:pPr>
                  <w:r>
                    <w:t>24</w:t>
                  </w:r>
                </w:p>
              </w:tc>
              <w:tc>
                <w:tcPr>
                  <w:tcW w:w="369" w:type="pct"/>
                  <w:tcBorders>
                    <w:top w:val="single" w:sz="6" w:space="0" w:color="BFBFBF"/>
                    <w:left w:val="nil"/>
                    <w:bottom w:val="nil"/>
                    <w:right w:val="nil"/>
                  </w:tcBorders>
                  <w:shd w:val="clear" w:color="auto" w:fill="auto"/>
                  <w:tcMar>
                    <w:left w:w="0" w:type="dxa"/>
                    <w:right w:w="0" w:type="dxa"/>
                  </w:tcMar>
                  <w:vAlign w:val="center"/>
                </w:tcPr>
                <w:p w14:paraId="7954BEA7" w14:textId="77777777" w:rsidR="00F05DC7" w:rsidRPr="00AE0838" w:rsidRDefault="00F05DC7" w:rsidP="00A3786D">
                  <w:pPr>
                    <w:pStyle w:val="TableBodyText"/>
                    <w:spacing w:before="40" w:after="0"/>
                  </w:pPr>
                  <w:r>
                    <w:t>19</w:t>
                  </w:r>
                </w:p>
              </w:tc>
              <w:tc>
                <w:tcPr>
                  <w:tcW w:w="369" w:type="pct"/>
                  <w:tcBorders>
                    <w:top w:val="single" w:sz="6" w:space="0" w:color="BFBFBF"/>
                    <w:left w:val="nil"/>
                    <w:bottom w:val="nil"/>
                    <w:right w:val="nil"/>
                  </w:tcBorders>
                  <w:shd w:val="clear" w:color="auto" w:fill="auto"/>
                  <w:tcMar>
                    <w:left w:w="0" w:type="dxa"/>
                    <w:right w:w="0" w:type="dxa"/>
                  </w:tcMar>
                  <w:vAlign w:val="center"/>
                </w:tcPr>
                <w:p w14:paraId="7954BEA8" w14:textId="77777777" w:rsidR="00F05DC7" w:rsidRPr="00AE0838" w:rsidRDefault="00F05DC7" w:rsidP="00A3786D">
                  <w:pPr>
                    <w:pStyle w:val="TableBodyText"/>
                    <w:spacing w:before="40" w:after="0"/>
                  </w:pPr>
                  <w:r>
                    <w:t>10</w:t>
                  </w:r>
                </w:p>
              </w:tc>
              <w:tc>
                <w:tcPr>
                  <w:tcW w:w="369" w:type="pct"/>
                  <w:tcBorders>
                    <w:top w:val="single" w:sz="6" w:space="0" w:color="BFBFBF"/>
                    <w:left w:val="nil"/>
                    <w:bottom w:val="nil"/>
                    <w:right w:val="nil"/>
                  </w:tcBorders>
                  <w:shd w:val="clear" w:color="auto" w:fill="auto"/>
                  <w:tcMar>
                    <w:left w:w="0" w:type="dxa"/>
                    <w:right w:w="0" w:type="dxa"/>
                  </w:tcMar>
                  <w:vAlign w:val="center"/>
                </w:tcPr>
                <w:p w14:paraId="7954BEA9" w14:textId="77777777" w:rsidR="00F05DC7" w:rsidRPr="00AE0838" w:rsidRDefault="00F05DC7" w:rsidP="00A3786D">
                  <w:pPr>
                    <w:pStyle w:val="TableBodyText"/>
                    <w:spacing w:before="40" w:after="0"/>
                  </w:pPr>
                  <w:r>
                    <w:t>8</w:t>
                  </w:r>
                </w:p>
              </w:tc>
              <w:tc>
                <w:tcPr>
                  <w:tcW w:w="369" w:type="pct"/>
                  <w:tcBorders>
                    <w:top w:val="single" w:sz="6" w:space="0" w:color="BFBFBF"/>
                    <w:left w:val="nil"/>
                    <w:bottom w:val="nil"/>
                    <w:right w:val="nil"/>
                  </w:tcBorders>
                  <w:shd w:val="clear" w:color="auto" w:fill="auto"/>
                  <w:tcMar>
                    <w:left w:w="0" w:type="dxa"/>
                    <w:right w:w="0" w:type="dxa"/>
                  </w:tcMar>
                  <w:vAlign w:val="center"/>
                </w:tcPr>
                <w:p w14:paraId="7954BEAA" w14:textId="77777777" w:rsidR="00F05DC7" w:rsidRPr="00AE0838" w:rsidRDefault="00F05DC7" w:rsidP="00A3786D">
                  <w:pPr>
                    <w:pStyle w:val="TableBodyText"/>
                    <w:spacing w:before="40" w:after="0"/>
                  </w:pPr>
                  <w:r>
                    <w:t>2</w:t>
                  </w:r>
                </w:p>
              </w:tc>
              <w:tc>
                <w:tcPr>
                  <w:tcW w:w="369" w:type="pct"/>
                  <w:tcBorders>
                    <w:top w:val="single" w:sz="6" w:space="0" w:color="BFBFBF"/>
                    <w:left w:val="nil"/>
                    <w:bottom w:val="nil"/>
                    <w:right w:val="nil"/>
                  </w:tcBorders>
                  <w:shd w:val="clear" w:color="auto" w:fill="auto"/>
                  <w:tcMar>
                    <w:left w:w="0" w:type="dxa"/>
                    <w:right w:w="0" w:type="dxa"/>
                  </w:tcMar>
                  <w:vAlign w:val="center"/>
                </w:tcPr>
                <w:p w14:paraId="7954BEAB" w14:textId="77777777" w:rsidR="00F05DC7" w:rsidRPr="00AE0838" w:rsidRDefault="00F05DC7" w:rsidP="00A3786D">
                  <w:pPr>
                    <w:pStyle w:val="TableBodyText"/>
                    <w:spacing w:before="40" w:after="0"/>
                  </w:pPr>
                  <w:r>
                    <w:t>2</w:t>
                  </w:r>
                </w:p>
              </w:tc>
              <w:tc>
                <w:tcPr>
                  <w:tcW w:w="369" w:type="pct"/>
                  <w:tcBorders>
                    <w:top w:val="single" w:sz="6" w:space="0" w:color="BFBFBF"/>
                    <w:left w:val="nil"/>
                    <w:bottom w:val="nil"/>
                    <w:right w:val="nil"/>
                  </w:tcBorders>
                  <w:shd w:val="clear" w:color="auto" w:fill="auto"/>
                  <w:tcMar>
                    <w:left w:w="0" w:type="dxa"/>
                    <w:right w:w="0" w:type="dxa"/>
                  </w:tcMar>
                  <w:vAlign w:val="center"/>
                </w:tcPr>
                <w:p w14:paraId="7954BEAC" w14:textId="77777777" w:rsidR="00F05DC7" w:rsidRPr="00AE0838" w:rsidRDefault="00F05DC7" w:rsidP="00A3786D">
                  <w:pPr>
                    <w:pStyle w:val="TableBodyText"/>
                    <w:spacing w:before="40" w:after="0"/>
                  </w:pPr>
                  <w:r>
                    <w:t>1</w:t>
                  </w:r>
                </w:p>
              </w:tc>
              <w:tc>
                <w:tcPr>
                  <w:tcW w:w="366" w:type="pct"/>
                  <w:tcBorders>
                    <w:top w:val="single" w:sz="6" w:space="0" w:color="BFBFBF"/>
                    <w:left w:val="nil"/>
                    <w:bottom w:val="nil"/>
                    <w:right w:val="nil"/>
                  </w:tcBorders>
                  <w:shd w:val="clear" w:color="auto" w:fill="auto"/>
                  <w:tcMar>
                    <w:left w:w="0" w:type="dxa"/>
                    <w:right w:w="0" w:type="dxa"/>
                  </w:tcMar>
                  <w:vAlign w:val="center"/>
                  <w:hideMark/>
                </w:tcPr>
                <w:p w14:paraId="7954BEAD" w14:textId="77777777" w:rsidR="00F05DC7" w:rsidRPr="00AE0838" w:rsidRDefault="00F05DC7" w:rsidP="00A3786D">
                  <w:pPr>
                    <w:pStyle w:val="TableBodyText"/>
                    <w:spacing w:before="40" w:after="0"/>
                    <w:ind w:right="28"/>
                  </w:pPr>
                  <w:r w:rsidRPr="00AE0838">
                    <w:t>100</w:t>
                  </w:r>
                </w:p>
              </w:tc>
            </w:tr>
            <w:tr w:rsidR="00F05DC7" w14:paraId="7954BEBA" w14:textId="77777777" w:rsidTr="00A3786D">
              <w:trPr>
                <w:trHeight w:val="288"/>
              </w:trPr>
              <w:tc>
                <w:tcPr>
                  <w:tcW w:w="1349" w:type="pct"/>
                  <w:tcBorders>
                    <w:top w:val="nil"/>
                    <w:left w:val="nil"/>
                    <w:bottom w:val="nil"/>
                    <w:right w:val="nil"/>
                  </w:tcBorders>
                  <w:shd w:val="clear" w:color="auto" w:fill="auto"/>
                  <w:tcMar>
                    <w:left w:w="0" w:type="dxa"/>
                    <w:right w:w="0" w:type="dxa"/>
                  </w:tcMar>
                  <w:vAlign w:val="center"/>
                </w:tcPr>
                <w:p w14:paraId="7954BEAF" w14:textId="77777777" w:rsidR="00F05DC7" w:rsidRPr="00C85B36" w:rsidRDefault="00F05DC7" w:rsidP="00A3786D">
                  <w:pPr>
                    <w:pStyle w:val="TableBodyText"/>
                    <w:spacing w:after="0"/>
                    <w:jc w:val="left"/>
                    <w:rPr>
                      <w:rFonts w:asciiTheme="minorHAnsi" w:hAnsiTheme="minorHAnsi" w:cstheme="minorHAnsi"/>
                      <w:szCs w:val="18"/>
                    </w:rPr>
                  </w:pPr>
                  <w:r w:rsidRPr="00C85B36">
                    <w:rPr>
                      <w:rFonts w:asciiTheme="minorHAnsi" w:hAnsiTheme="minorHAnsi" w:cstheme="minorHAnsi"/>
                      <w:szCs w:val="18"/>
                    </w:rPr>
                    <w:t>Increase in tax base due to abolishing insurance tax</w:t>
                  </w:r>
                </w:p>
              </w:tc>
              <w:tc>
                <w:tcPr>
                  <w:tcW w:w="332" w:type="pct"/>
                  <w:tcBorders>
                    <w:top w:val="nil"/>
                    <w:left w:val="nil"/>
                    <w:bottom w:val="nil"/>
                    <w:right w:val="nil"/>
                  </w:tcBorders>
                  <w:tcMar>
                    <w:left w:w="0" w:type="dxa"/>
                    <w:right w:w="0" w:type="dxa"/>
                  </w:tcMar>
                  <w:vAlign w:val="center"/>
                </w:tcPr>
                <w:p w14:paraId="7954BEB0" w14:textId="77777777" w:rsidR="00F05DC7" w:rsidRPr="00C85B36" w:rsidRDefault="00F05DC7" w:rsidP="00A3786D">
                  <w:pPr>
                    <w:ind w:right="57"/>
                    <w:jc w:val="right"/>
                    <w:rPr>
                      <w:rFonts w:asciiTheme="minorHAnsi" w:hAnsiTheme="minorHAnsi" w:cstheme="minorHAnsi"/>
                      <w:color w:val="000000"/>
                      <w:sz w:val="18"/>
                      <w:szCs w:val="18"/>
                    </w:rPr>
                  </w:pPr>
                  <w:r w:rsidRPr="00C85B36">
                    <w:rPr>
                      <w:rFonts w:asciiTheme="minorHAnsi" w:hAnsiTheme="minorHAnsi" w:cstheme="minorHAnsi"/>
                      <w:color w:val="000000"/>
                      <w:sz w:val="18"/>
                      <w:szCs w:val="18"/>
                    </w:rPr>
                    <w:t>(%)</w:t>
                  </w:r>
                </w:p>
              </w:tc>
              <w:tc>
                <w:tcPr>
                  <w:tcW w:w="368" w:type="pct"/>
                  <w:tcBorders>
                    <w:top w:val="nil"/>
                    <w:left w:val="nil"/>
                    <w:bottom w:val="nil"/>
                    <w:right w:val="nil"/>
                  </w:tcBorders>
                  <w:shd w:val="clear" w:color="auto" w:fill="auto"/>
                  <w:tcMar>
                    <w:left w:w="0" w:type="dxa"/>
                    <w:right w:w="0" w:type="dxa"/>
                  </w:tcMar>
                  <w:vAlign w:val="center"/>
                </w:tcPr>
                <w:p w14:paraId="7954BEB1"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9</w:t>
                  </w:r>
                </w:p>
              </w:tc>
              <w:tc>
                <w:tcPr>
                  <w:tcW w:w="369" w:type="pct"/>
                  <w:tcBorders>
                    <w:top w:val="nil"/>
                    <w:left w:val="nil"/>
                    <w:bottom w:val="nil"/>
                    <w:right w:val="nil"/>
                  </w:tcBorders>
                  <w:shd w:val="clear" w:color="auto" w:fill="auto"/>
                  <w:tcMar>
                    <w:left w:w="0" w:type="dxa"/>
                    <w:right w:w="0" w:type="dxa"/>
                  </w:tcMar>
                  <w:vAlign w:val="center"/>
                </w:tcPr>
                <w:p w14:paraId="7954BEB2"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9</w:t>
                  </w:r>
                </w:p>
              </w:tc>
              <w:tc>
                <w:tcPr>
                  <w:tcW w:w="369" w:type="pct"/>
                  <w:tcBorders>
                    <w:top w:val="nil"/>
                    <w:left w:val="nil"/>
                    <w:bottom w:val="nil"/>
                    <w:right w:val="nil"/>
                  </w:tcBorders>
                  <w:shd w:val="clear" w:color="auto" w:fill="auto"/>
                  <w:tcMar>
                    <w:left w:w="0" w:type="dxa"/>
                    <w:right w:w="0" w:type="dxa"/>
                  </w:tcMar>
                  <w:vAlign w:val="center"/>
                </w:tcPr>
                <w:p w14:paraId="7954BEB3"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8</w:t>
                  </w:r>
                </w:p>
              </w:tc>
              <w:tc>
                <w:tcPr>
                  <w:tcW w:w="369" w:type="pct"/>
                  <w:tcBorders>
                    <w:top w:val="nil"/>
                    <w:left w:val="nil"/>
                    <w:bottom w:val="nil"/>
                    <w:right w:val="nil"/>
                  </w:tcBorders>
                  <w:shd w:val="clear" w:color="auto" w:fill="auto"/>
                  <w:tcMar>
                    <w:left w:w="0" w:type="dxa"/>
                    <w:right w:w="0" w:type="dxa"/>
                  </w:tcMar>
                  <w:vAlign w:val="center"/>
                </w:tcPr>
                <w:p w14:paraId="7954BEB4"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8</w:t>
                  </w:r>
                </w:p>
              </w:tc>
              <w:tc>
                <w:tcPr>
                  <w:tcW w:w="369" w:type="pct"/>
                  <w:tcBorders>
                    <w:top w:val="nil"/>
                    <w:left w:val="nil"/>
                    <w:bottom w:val="nil"/>
                    <w:right w:val="nil"/>
                  </w:tcBorders>
                  <w:shd w:val="clear" w:color="auto" w:fill="auto"/>
                  <w:tcMar>
                    <w:left w:w="0" w:type="dxa"/>
                    <w:right w:w="0" w:type="dxa"/>
                  </w:tcMar>
                  <w:vAlign w:val="center"/>
                </w:tcPr>
                <w:p w14:paraId="7954BEB5"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10</w:t>
                  </w:r>
                </w:p>
              </w:tc>
              <w:tc>
                <w:tcPr>
                  <w:tcW w:w="369" w:type="pct"/>
                  <w:tcBorders>
                    <w:top w:val="nil"/>
                    <w:left w:val="nil"/>
                    <w:bottom w:val="nil"/>
                    <w:right w:val="nil"/>
                  </w:tcBorders>
                  <w:shd w:val="clear" w:color="auto" w:fill="auto"/>
                  <w:tcMar>
                    <w:left w:w="0" w:type="dxa"/>
                    <w:right w:w="0" w:type="dxa"/>
                  </w:tcMar>
                  <w:vAlign w:val="center"/>
                </w:tcPr>
                <w:p w14:paraId="7954BEB6"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8</w:t>
                  </w:r>
                </w:p>
              </w:tc>
              <w:tc>
                <w:tcPr>
                  <w:tcW w:w="369" w:type="pct"/>
                  <w:tcBorders>
                    <w:top w:val="nil"/>
                    <w:left w:val="nil"/>
                    <w:bottom w:val="nil"/>
                    <w:right w:val="nil"/>
                  </w:tcBorders>
                  <w:shd w:val="clear" w:color="auto" w:fill="auto"/>
                  <w:tcMar>
                    <w:left w:w="0" w:type="dxa"/>
                    <w:right w:w="0" w:type="dxa"/>
                  </w:tcMar>
                  <w:vAlign w:val="center"/>
                </w:tcPr>
                <w:p w14:paraId="7954BEB7"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5</w:t>
                  </w:r>
                </w:p>
              </w:tc>
              <w:tc>
                <w:tcPr>
                  <w:tcW w:w="369" w:type="pct"/>
                  <w:tcBorders>
                    <w:top w:val="nil"/>
                    <w:left w:val="nil"/>
                    <w:bottom w:val="nil"/>
                    <w:right w:val="nil"/>
                  </w:tcBorders>
                  <w:shd w:val="clear" w:color="auto" w:fill="auto"/>
                  <w:tcMar>
                    <w:left w:w="0" w:type="dxa"/>
                    <w:right w:w="0" w:type="dxa"/>
                  </w:tcMar>
                  <w:vAlign w:val="center"/>
                </w:tcPr>
                <w:p w14:paraId="7954BEB8"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5</w:t>
                  </w:r>
                </w:p>
              </w:tc>
              <w:tc>
                <w:tcPr>
                  <w:tcW w:w="366" w:type="pct"/>
                  <w:tcBorders>
                    <w:top w:val="nil"/>
                    <w:left w:val="nil"/>
                    <w:bottom w:val="nil"/>
                    <w:right w:val="nil"/>
                  </w:tcBorders>
                  <w:shd w:val="clear" w:color="auto" w:fill="auto"/>
                  <w:tcMar>
                    <w:left w:w="0" w:type="dxa"/>
                    <w:right w:w="0" w:type="dxa"/>
                  </w:tcMar>
                  <w:vAlign w:val="center"/>
                </w:tcPr>
                <w:p w14:paraId="7954BEB9" w14:textId="77777777" w:rsidR="00F05DC7" w:rsidRPr="00C85B36" w:rsidRDefault="00F05DC7" w:rsidP="00A3786D">
                  <w:pPr>
                    <w:pStyle w:val="TableBodyText"/>
                    <w:spacing w:after="0"/>
                    <w:ind w:right="28"/>
                    <w:rPr>
                      <w:rFonts w:asciiTheme="minorHAnsi" w:hAnsiTheme="minorHAnsi" w:cstheme="minorHAnsi"/>
                      <w:szCs w:val="18"/>
                    </w:rPr>
                  </w:pPr>
                  <w:r w:rsidRPr="00C85B36">
                    <w:rPr>
                      <w:rFonts w:asciiTheme="minorHAnsi" w:hAnsiTheme="minorHAnsi" w:cstheme="minorHAnsi"/>
                      <w:szCs w:val="18"/>
                    </w:rPr>
                    <w:t>9</w:t>
                  </w:r>
                </w:p>
              </w:tc>
            </w:tr>
            <w:tr w:rsidR="00F05DC7" w14:paraId="7954BEC6" w14:textId="77777777" w:rsidTr="00530909">
              <w:trPr>
                <w:trHeight w:val="288"/>
              </w:trPr>
              <w:tc>
                <w:tcPr>
                  <w:tcW w:w="1349" w:type="pct"/>
                  <w:tcBorders>
                    <w:top w:val="nil"/>
                    <w:left w:val="nil"/>
                    <w:right w:val="nil"/>
                  </w:tcBorders>
                  <w:shd w:val="clear" w:color="auto" w:fill="auto"/>
                  <w:tcMar>
                    <w:left w:w="0" w:type="dxa"/>
                    <w:right w:w="0" w:type="dxa"/>
                  </w:tcMar>
                  <w:vAlign w:val="center"/>
                  <w:hideMark/>
                </w:tcPr>
                <w:p w14:paraId="7954BEBB" w14:textId="77777777" w:rsidR="00F05DC7" w:rsidRPr="00C85B36" w:rsidRDefault="00F05DC7" w:rsidP="00A3786D">
                  <w:pPr>
                    <w:pStyle w:val="TableBodyText"/>
                    <w:spacing w:after="0"/>
                    <w:jc w:val="left"/>
                    <w:rPr>
                      <w:rFonts w:asciiTheme="minorHAnsi" w:hAnsiTheme="minorHAnsi" w:cstheme="minorHAnsi"/>
                      <w:szCs w:val="18"/>
                    </w:rPr>
                  </w:pPr>
                  <w:r w:rsidRPr="00C85B36">
                    <w:rPr>
                      <w:rFonts w:asciiTheme="minorHAnsi" w:hAnsiTheme="minorHAnsi" w:cstheme="minorHAnsi"/>
                      <w:szCs w:val="18"/>
                    </w:rPr>
                    <w:t>Loss in own</w:t>
                  </w:r>
                  <w:r w:rsidRPr="00C85B36">
                    <w:rPr>
                      <w:rFonts w:asciiTheme="minorHAnsi" w:hAnsiTheme="minorHAnsi" w:cstheme="minorHAnsi"/>
                      <w:szCs w:val="18"/>
                    </w:rPr>
                    <w:noBreakHyphen/>
                    <w:t>source revenue</w:t>
                  </w:r>
                </w:p>
              </w:tc>
              <w:tc>
                <w:tcPr>
                  <w:tcW w:w="332" w:type="pct"/>
                  <w:tcBorders>
                    <w:top w:val="nil"/>
                    <w:left w:val="nil"/>
                    <w:right w:val="nil"/>
                  </w:tcBorders>
                  <w:tcMar>
                    <w:left w:w="0" w:type="dxa"/>
                    <w:right w:w="0" w:type="dxa"/>
                  </w:tcMar>
                  <w:vAlign w:val="center"/>
                </w:tcPr>
                <w:p w14:paraId="7954BEBC" w14:textId="77777777" w:rsidR="00F05DC7" w:rsidRPr="00C85B36" w:rsidRDefault="00F05DC7" w:rsidP="00A3786D">
                  <w:pPr>
                    <w:ind w:right="57"/>
                    <w:jc w:val="right"/>
                    <w:rPr>
                      <w:rFonts w:asciiTheme="minorHAnsi" w:hAnsiTheme="minorHAnsi" w:cstheme="minorHAnsi"/>
                      <w:color w:val="000000"/>
                      <w:sz w:val="18"/>
                      <w:szCs w:val="18"/>
                    </w:rPr>
                  </w:pPr>
                  <w:r w:rsidRPr="00C85B36">
                    <w:rPr>
                      <w:rFonts w:asciiTheme="minorHAnsi" w:hAnsiTheme="minorHAnsi" w:cstheme="minorHAnsi"/>
                      <w:color w:val="000000"/>
                      <w:sz w:val="18"/>
                      <w:szCs w:val="18"/>
                    </w:rPr>
                    <w:t>($m)</w:t>
                  </w:r>
                </w:p>
              </w:tc>
              <w:tc>
                <w:tcPr>
                  <w:tcW w:w="368" w:type="pct"/>
                  <w:tcBorders>
                    <w:top w:val="nil"/>
                    <w:left w:val="nil"/>
                    <w:right w:val="nil"/>
                  </w:tcBorders>
                  <w:shd w:val="clear" w:color="auto" w:fill="auto"/>
                  <w:tcMar>
                    <w:left w:w="0" w:type="dxa"/>
                    <w:right w:w="0" w:type="dxa"/>
                  </w:tcMar>
                  <w:vAlign w:val="bottom"/>
                </w:tcPr>
                <w:p w14:paraId="7954BEBD"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color w:val="000000"/>
                      <w:szCs w:val="18"/>
                    </w:rPr>
                    <w:t>1</w:t>
                  </w:r>
                  <w:r>
                    <w:rPr>
                      <w:rFonts w:asciiTheme="minorHAnsi" w:hAnsiTheme="minorHAnsi" w:cstheme="minorHAnsi"/>
                      <w:color w:val="000000"/>
                      <w:szCs w:val="18"/>
                    </w:rPr>
                    <w:t> </w:t>
                  </w:r>
                  <w:r w:rsidRPr="00C85B36">
                    <w:rPr>
                      <w:rFonts w:asciiTheme="minorHAnsi" w:hAnsiTheme="minorHAnsi" w:cstheme="minorHAnsi"/>
                      <w:color w:val="000000"/>
                      <w:szCs w:val="18"/>
                    </w:rPr>
                    <w:t>985</w:t>
                  </w:r>
                </w:p>
              </w:tc>
              <w:tc>
                <w:tcPr>
                  <w:tcW w:w="369" w:type="pct"/>
                  <w:tcBorders>
                    <w:top w:val="nil"/>
                    <w:left w:val="nil"/>
                    <w:right w:val="nil"/>
                  </w:tcBorders>
                  <w:shd w:val="clear" w:color="auto" w:fill="auto"/>
                  <w:tcMar>
                    <w:left w:w="0" w:type="dxa"/>
                    <w:right w:w="0" w:type="dxa"/>
                  </w:tcMar>
                  <w:vAlign w:val="bottom"/>
                </w:tcPr>
                <w:p w14:paraId="7954BEBE"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color w:val="000000"/>
                      <w:szCs w:val="18"/>
                    </w:rPr>
                    <w:t>1</w:t>
                  </w:r>
                  <w:r>
                    <w:rPr>
                      <w:rFonts w:asciiTheme="minorHAnsi" w:hAnsiTheme="minorHAnsi" w:cstheme="minorHAnsi"/>
                      <w:color w:val="000000"/>
                      <w:szCs w:val="18"/>
                    </w:rPr>
                    <w:t> </w:t>
                  </w:r>
                  <w:r w:rsidRPr="00C85B36">
                    <w:rPr>
                      <w:rFonts w:asciiTheme="minorHAnsi" w:hAnsiTheme="minorHAnsi" w:cstheme="minorHAnsi"/>
                      <w:color w:val="000000"/>
                      <w:szCs w:val="18"/>
                    </w:rPr>
                    <w:t>218</w:t>
                  </w:r>
                </w:p>
              </w:tc>
              <w:tc>
                <w:tcPr>
                  <w:tcW w:w="369" w:type="pct"/>
                  <w:tcBorders>
                    <w:top w:val="nil"/>
                    <w:left w:val="nil"/>
                    <w:right w:val="nil"/>
                  </w:tcBorders>
                  <w:shd w:val="clear" w:color="auto" w:fill="auto"/>
                  <w:tcMar>
                    <w:left w:w="0" w:type="dxa"/>
                    <w:right w:w="0" w:type="dxa"/>
                  </w:tcMar>
                  <w:vAlign w:val="bottom"/>
                </w:tcPr>
                <w:p w14:paraId="7954BEBF"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color w:val="000000"/>
                      <w:szCs w:val="18"/>
                    </w:rPr>
                    <w:t>828</w:t>
                  </w:r>
                </w:p>
              </w:tc>
              <w:tc>
                <w:tcPr>
                  <w:tcW w:w="369" w:type="pct"/>
                  <w:tcBorders>
                    <w:top w:val="nil"/>
                    <w:left w:val="nil"/>
                    <w:right w:val="nil"/>
                  </w:tcBorders>
                  <w:shd w:val="clear" w:color="auto" w:fill="auto"/>
                  <w:tcMar>
                    <w:left w:w="0" w:type="dxa"/>
                    <w:right w:w="0" w:type="dxa"/>
                  </w:tcMar>
                  <w:vAlign w:val="bottom"/>
                </w:tcPr>
                <w:p w14:paraId="7954BEC0"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color w:val="000000"/>
                      <w:szCs w:val="18"/>
                    </w:rPr>
                    <w:t>661</w:t>
                  </w:r>
                </w:p>
              </w:tc>
              <w:tc>
                <w:tcPr>
                  <w:tcW w:w="369" w:type="pct"/>
                  <w:tcBorders>
                    <w:top w:val="nil"/>
                    <w:left w:val="nil"/>
                    <w:right w:val="nil"/>
                  </w:tcBorders>
                  <w:shd w:val="clear" w:color="auto" w:fill="auto"/>
                  <w:tcMar>
                    <w:left w:w="0" w:type="dxa"/>
                    <w:right w:w="0" w:type="dxa"/>
                  </w:tcMar>
                  <w:vAlign w:val="bottom"/>
                </w:tcPr>
                <w:p w14:paraId="7954BEC1"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color w:val="000000"/>
                      <w:szCs w:val="18"/>
                    </w:rPr>
                    <w:t>479</w:t>
                  </w:r>
                </w:p>
              </w:tc>
              <w:tc>
                <w:tcPr>
                  <w:tcW w:w="369" w:type="pct"/>
                  <w:tcBorders>
                    <w:top w:val="nil"/>
                    <w:left w:val="nil"/>
                    <w:right w:val="nil"/>
                  </w:tcBorders>
                  <w:shd w:val="clear" w:color="auto" w:fill="auto"/>
                  <w:tcMar>
                    <w:left w:w="0" w:type="dxa"/>
                    <w:right w:w="0" w:type="dxa"/>
                  </w:tcMar>
                  <w:vAlign w:val="bottom"/>
                </w:tcPr>
                <w:p w14:paraId="7954BEC2"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color w:val="000000"/>
                      <w:szCs w:val="18"/>
                    </w:rPr>
                    <w:t>104</w:t>
                  </w:r>
                </w:p>
              </w:tc>
              <w:tc>
                <w:tcPr>
                  <w:tcW w:w="369" w:type="pct"/>
                  <w:tcBorders>
                    <w:top w:val="nil"/>
                    <w:left w:val="nil"/>
                    <w:right w:val="nil"/>
                  </w:tcBorders>
                  <w:shd w:val="clear" w:color="auto" w:fill="auto"/>
                  <w:tcMar>
                    <w:left w:w="0" w:type="dxa"/>
                    <w:right w:w="0" w:type="dxa"/>
                  </w:tcMar>
                  <w:vAlign w:val="bottom"/>
                </w:tcPr>
                <w:p w14:paraId="7954BEC3"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color w:val="000000"/>
                      <w:szCs w:val="18"/>
                    </w:rPr>
                    <w:t>20</w:t>
                  </w:r>
                </w:p>
              </w:tc>
              <w:tc>
                <w:tcPr>
                  <w:tcW w:w="369" w:type="pct"/>
                  <w:tcBorders>
                    <w:top w:val="nil"/>
                    <w:left w:val="nil"/>
                    <w:right w:val="nil"/>
                  </w:tcBorders>
                  <w:shd w:val="clear" w:color="auto" w:fill="auto"/>
                  <w:tcMar>
                    <w:left w:w="0" w:type="dxa"/>
                    <w:right w:w="0" w:type="dxa"/>
                  </w:tcMar>
                  <w:vAlign w:val="bottom"/>
                </w:tcPr>
                <w:p w14:paraId="7954BEC4"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color w:val="000000"/>
                      <w:szCs w:val="18"/>
                    </w:rPr>
                    <w:t>43</w:t>
                  </w:r>
                </w:p>
              </w:tc>
              <w:tc>
                <w:tcPr>
                  <w:tcW w:w="366" w:type="pct"/>
                  <w:tcBorders>
                    <w:top w:val="nil"/>
                    <w:left w:val="nil"/>
                    <w:right w:val="nil"/>
                  </w:tcBorders>
                  <w:shd w:val="clear" w:color="auto" w:fill="auto"/>
                  <w:tcMar>
                    <w:left w:w="0" w:type="dxa"/>
                    <w:right w:w="0" w:type="dxa"/>
                  </w:tcMar>
                  <w:vAlign w:val="bottom"/>
                </w:tcPr>
                <w:p w14:paraId="7954BEC5" w14:textId="77777777" w:rsidR="00F05DC7" w:rsidRPr="00C85B36" w:rsidRDefault="00F05DC7" w:rsidP="00A3786D">
                  <w:pPr>
                    <w:pStyle w:val="TableBodyText"/>
                    <w:spacing w:after="0"/>
                    <w:ind w:right="28"/>
                    <w:rPr>
                      <w:rFonts w:asciiTheme="minorHAnsi" w:hAnsiTheme="minorHAnsi" w:cstheme="minorHAnsi"/>
                      <w:szCs w:val="18"/>
                    </w:rPr>
                  </w:pPr>
                  <w:r w:rsidRPr="00C85B36">
                    <w:rPr>
                      <w:rFonts w:asciiTheme="minorHAnsi" w:hAnsiTheme="minorHAnsi" w:cstheme="minorHAnsi"/>
                      <w:color w:val="000000"/>
                      <w:szCs w:val="18"/>
                    </w:rPr>
                    <w:t>5</w:t>
                  </w:r>
                  <w:r>
                    <w:rPr>
                      <w:rFonts w:asciiTheme="minorHAnsi" w:hAnsiTheme="minorHAnsi" w:cstheme="minorHAnsi"/>
                      <w:color w:val="000000"/>
                      <w:szCs w:val="18"/>
                    </w:rPr>
                    <w:t> </w:t>
                  </w:r>
                  <w:r w:rsidRPr="00C85B36">
                    <w:rPr>
                      <w:rFonts w:asciiTheme="minorHAnsi" w:hAnsiTheme="minorHAnsi" w:cstheme="minorHAnsi"/>
                      <w:color w:val="000000"/>
                      <w:szCs w:val="18"/>
                    </w:rPr>
                    <w:t>339</w:t>
                  </w:r>
                </w:p>
              </w:tc>
            </w:tr>
            <w:tr w:rsidR="00F05DC7" w14:paraId="7954BED2" w14:textId="77777777" w:rsidTr="00530909">
              <w:trPr>
                <w:trHeight w:val="300"/>
              </w:trPr>
              <w:tc>
                <w:tcPr>
                  <w:tcW w:w="1349" w:type="pct"/>
                  <w:tcBorders>
                    <w:top w:val="nil"/>
                    <w:left w:val="nil"/>
                    <w:bottom w:val="single" w:sz="6" w:space="0" w:color="BFBFBF"/>
                    <w:right w:val="nil"/>
                  </w:tcBorders>
                  <w:shd w:val="clear" w:color="auto" w:fill="auto"/>
                  <w:tcMar>
                    <w:left w:w="0" w:type="dxa"/>
                    <w:right w:w="0" w:type="dxa"/>
                  </w:tcMar>
                  <w:vAlign w:val="center"/>
                  <w:hideMark/>
                </w:tcPr>
                <w:p w14:paraId="7954BEC7" w14:textId="77777777" w:rsidR="00F05DC7" w:rsidRPr="00C85B36" w:rsidRDefault="00F05DC7" w:rsidP="00A3786D">
                  <w:pPr>
                    <w:pStyle w:val="TableBodyText"/>
                    <w:spacing w:after="0"/>
                    <w:jc w:val="left"/>
                    <w:rPr>
                      <w:rStyle w:val="NoteLabel"/>
                      <w:rFonts w:asciiTheme="minorHAnsi" w:hAnsiTheme="minorHAnsi" w:cstheme="minorHAnsi"/>
                      <w:szCs w:val="18"/>
                    </w:rPr>
                  </w:pPr>
                  <w:r w:rsidRPr="00C85B36">
                    <w:rPr>
                      <w:rFonts w:asciiTheme="minorHAnsi" w:hAnsiTheme="minorHAnsi" w:cstheme="minorHAnsi"/>
                      <w:szCs w:val="18"/>
                    </w:rPr>
                    <w:t>National average tax rate</w:t>
                  </w:r>
                  <w:r w:rsidRPr="00C85B36">
                    <w:rPr>
                      <w:rStyle w:val="NoteLabel"/>
                      <w:rFonts w:asciiTheme="minorHAnsi" w:hAnsiTheme="minorHAnsi" w:cstheme="minorHAnsi"/>
                      <w:szCs w:val="18"/>
                    </w:rPr>
                    <w:t>b</w:t>
                  </w:r>
                </w:p>
              </w:tc>
              <w:tc>
                <w:tcPr>
                  <w:tcW w:w="332" w:type="pct"/>
                  <w:tcBorders>
                    <w:top w:val="nil"/>
                    <w:left w:val="nil"/>
                    <w:bottom w:val="single" w:sz="6" w:space="0" w:color="BFBFBF"/>
                    <w:right w:val="nil"/>
                  </w:tcBorders>
                  <w:tcMar>
                    <w:left w:w="0" w:type="dxa"/>
                    <w:right w:w="0" w:type="dxa"/>
                  </w:tcMar>
                  <w:vAlign w:val="center"/>
                </w:tcPr>
                <w:p w14:paraId="7954BEC8" w14:textId="77777777" w:rsidR="00F05DC7" w:rsidRPr="00C85B36" w:rsidRDefault="00F05DC7" w:rsidP="00A3786D">
                  <w:pPr>
                    <w:ind w:right="57"/>
                    <w:jc w:val="right"/>
                    <w:rPr>
                      <w:rFonts w:asciiTheme="minorHAnsi" w:hAnsiTheme="minorHAnsi" w:cstheme="minorHAnsi"/>
                      <w:color w:val="000000"/>
                      <w:sz w:val="18"/>
                      <w:szCs w:val="18"/>
                    </w:rPr>
                  </w:pPr>
                  <w:r w:rsidRPr="00C85B36">
                    <w:rPr>
                      <w:rFonts w:asciiTheme="minorHAnsi" w:hAnsiTheme="minorHAnsi" w:cstheme="minorHAnsi"/>
                      <w:color w:val="000000"/>
                      <w:sz w:val="18"/>
                      <w:szCs w:val="18"/>
                    </w:rPr>
                    <w:t>(%)</w:t>
                  </w:r>
                </w:p>
              </w:tc>
              <w:tc>
                <w:tcPr>
                  <w:tcW w:w="368" w:type="pct"/>
                  <w:tcBorders>
                    <w:top w:val="nil"/>
                    <w:left w:val="nil"/>
                    <w:bottom w:val="single" w:sz="6" w:space="0" w:color="BFBFBF"/>
                    <w:right w:val="nil"/>
                  </w:tcBorders>
                  <w:shd w:val="clear" w:color="auto" w:fill="auto"/>
                  <w:tcMar>
                    <w:left w:w="0" w:type="dxa"/>
                    <w:right w:w="0" w:type="dxa"/>
                  </w:tcMar>
                  <w:vAlign w:val="center"/>
                </w:tcPr>
                <w:p w14:paraId="7954BEC9"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8.</w:t>
                  </w:r>
                  <w:r>
                    <w:rPr>
                      <w:rFonts w:asciiTheme="minorHAnsi" w:hAnsiTheme="minorHAnsi" w:cstheme="minorHAnsi"/>
                      <w:szCs w:val="18"/>
                    </w:rPr>
                    <w:t>6</w:t>
                  </w:r>
                </w:p>
              </w:tc>
              <w:tc>
                <w:tcPr>
                  <w:tcW w:w="369" w:type="pct"/>
                  <w:tcBorders>
                    <w:top w:val="nil"/>
                    <w:left w:val="nil"/>
                    <w:bottom w:val="single" w:sz="6" w:space="0" w:color="BFBFBF"/>
                    <w:right w:val="nil"/>
                  </w:tcBorders>
                  <w:shd w:val="clear" w:color="auto" w:fill="auto"/>
                  <w:tcMar>
                    <w:left w:w="0" w:type="dxa"/>
                    <w:right w:w="0" w:type="dxa"/>
                  </w:tcMar>
                  <w:vAlign w:val="center"/>
                </w:tcPr>
                <w:p w14:paraId="7954BECA"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10.</w:t>
                  </w:r>
                  <w:r>
                    <w:rPr>
                      <w:rFonts w:asciiTheme="minorHAnsi" w:hAnsiTheme="minorHAnsi" w:cstheme="minorHAnsi"/>
                      <w:szCs w:val="18"/>
                    </w:rPr>
                    <w:t>7</w:t>
                  </w:r>
                </w:p>
              </w:tc>
              <w:tc>
                <w:tcPr>
                  <w:tcW w:w="369" w:type="pct"/>
                  <w:tcBorders>
                    <w:top w:val="nil"/>
                    <w:left w:val="nil"/>
                    <w:bottom w:val="single" w:sz="6" w:space="0" w:color="BFBFBF"/>
                    <w:right w:val="nil"/>
                  </w:tcBorders>
                  <w:shd w:val="clear" w:color="auto" w:fill="auto"/>
                  <w:tcMar>
                    <w:left w:w="0" w:type="dxa"/>
                    <w:right w:w="0" w:type="dxa"/>
                  </w:tcMar>
                  <w:vAlign w:val="center"/>
                </w:tcPr>
                <w:p w14:paraId="7954BECB"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11.7</w:t>
                  </w:r>
                </w:p>
              </w:tc>
              <w:tc>
                <w:tcPr>
                  <w:tcW w:w="369" w:type="pct"/>
                  <w:tcBorders>
                    <w:top w:val="nil"/>
                    <w:left w:val="nil"/>
                    <w:bottom w:val="single" w:sz="6" w:space="0" w:color="BFBFBF"/>
                    <w:right w:val="nil"/>
                  </w:tcBorders>
                  <w:shd w:val="clear" w:color="auto" w:fill="auto"/>
                  <w:tcMar>
                    <w:left w:w="0" w:type="dxa"/>
                    <w:right w:w="0" w:type="dxa"/>
                  </w:tcMar>
                  <w:vAlign w:val="center"/>
                </w:tcPr>
                <w:p w14:paraId="7954BECC"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12.2</w:t>
                  </w:r>
                </w:p>
              </w:tc>
              <w:tc>
                <w:tcPr>
                  <w:tcW w:w="369" w:type="pct"/>
                  <w:tcBorders>
                    <w:top w:val="nil"/>
                    <w:left w:val="nil"/>
                    <w:bottom w:val="single" w:sz="6" w:space="0" w:color="BFBFBF"/>
                    <w:right w:val="nil"/>
                  </w:tcBorders>
                  <w:shd w:val="clear" w:color="auto" w:fill="auto"/>
                  <w:tcMar>
                    <w:left w:w="0" w:type="dxa"/>
                    <w:right w:w="0" w:type="dxa"/>
                  </w:tcMar>
                  <w:vAlign w:val="center"/>
                </w:tcPr>
                <w:p w14:paraId="7954BECD" w14:textId="77777777" w:rsidR="00F05DC7" w:rsidRPr="00C85B36" w:rsidRDefault="00F05DC7" w:rsidP="00A3786D">
                  <w:pPr>
                    <w:pStyle w:val="TableBodyText"/>
                    <w:spacing w:after="0"/>
                    <w:rPr>
                      <w:rFonts w:asciiTheme="minorHAnsi" w:hAnsiTheme="minorHAnsi" w:cstheme="minorHAnsi"/>
                      <w:szCs w:val="18"/>
                    </w:rPr>
                  </w:pPr>
                  <w:r w:rsidRPr="00C85B36">
                    <w:rPr>
                      <w:rFonts w:asciiTheme="minorHAnsi" w:hAnsiTheme="minorHAnsi" w:cstheme="minorHAnsi"/>
                      <w:szCs w:val="18"/>
                    </w:rPr>
                    <w:t>12.</w:t>
                  </w:r>
                  <w:r>
                    <w:rPr>
                      <w:rFonts w:asciiTheme="minorHAnsi" w:hAnsiTheme="minorHAnsi" w:cstheme="minorHAnsi"/>
                      <w:szCs w:val="18"/>
                    </w:rPr>
                    <w:t>7</w:t>
                  </w:r>
                </w:p>
              </w:tc>
              <w:tc>
                <w:tcPr>
                  <w:tcW w:w="369" w:type="pct"/>
                  <w:tcBorders>
                    <w:top w:val="nil"/>
                    <w:left w:val="nil"/>
                    <w:bottom w:val="single" w:sz="6" w:space="0" w:color="BFBFBF"/>
                    <w:right w:val="nil"/>
                  </w:tcBorders>
                  <w:shd w:val="clear" w:color="auto" w:fill="auto"/>
                  <w:tcMar>
                    <w:left w:w="0" w:type="dxa"/>
                    <w:right w:w="0" w:type="dxa"/>
                  </w:tcMar>
                  <w:vAlign w:val="center"/>
                </w:tcPr>
                <w:p w14:paraId="7954BECE" w14:textId="77777777" w:rsidR="00F05DC7" w:rsidRPr="00C85B36" w:rsidRDefault="00F05DC7" w:rsidP="00A3786D">
                  <w:pPr>
                    <w:pStyle w:val="TableBodyText"/>
                    <w:spacing w:after="0"/>
                    <w:rPr>
                      <w:rFonts w:asciiTheme="minorHAnsi" w:hAnsiTheme="minorHAnsi" w:cstheme="minorHAnsi"/>
                      <w:szCs w:val="18"/>
                    </w:rPr>
                  </w:pPr>
                  <w:r>
                    <w:rPr>
                      <w:rFonts w:asciiTheme="minorHAnsi" w:hAnsiTheme="minorHAnsi" w:cstheme="minorHAnsi"/>
                      <w:szCs w:val="18"/>
                    </w:rPr>
                    <w:t>13.8</w:t>
                  </w:r>
                </w:p>
              </w:tc>
              <w:tc>
                <w:tcPr>
                  <w:tcW w:w="369" w:type="pct"/>
                  <w:tcBorders>
                    <w:top w:val="nil"/>
                    <w:left w:val="nil"/>
                    <w:bottom w:val="single" w:sz="6" w:space="0" w:color="BFBFBF"/>
                    <w:right w:val="nil"/>
                  </w:tcBorders>
                  <w:shd w:val="clear" w:color="auto" w:fill="auto"/>
                  <w:tcMar>
                    <w:left w:w="0" w:type="dxa"/>
                    <w:right w:w="0" w:type="dxa"/>
                  </w:tcMar>
                  <w:vAlign w:val="center"/>
                </w:tcPr>
                <w:p w14:paraId="7954BECF" w14:textId="77777777" w:rsidR="00F05DC7" w:rsidRPr="00C85B36" w:rsidRDefault="00F05DC7" w:rsidP="00A3786D">
                  <w:pPr>
                    <w:pStyle w:val="TableBodyText"/>
                    <w:spacing w:after="0"/>
                    <w:rPr>
                      <w:rFonts w:asciiTheme="minorHAnsi" w:hAnsiTheme="minorHAnsi" w:cstheme="minorHAnsi"/>
                      <w:szCs w:val="18"/>
                    </w:rPr>
                  </w:pPr>
                  <w:r>
                    <w:rPr>
                      <w:rFonts w:asciiTheme="minorHAnsi" w:hAnsiTheme="minorHAnsi" w:cstheme="minorHAnsi"/>
                      <w:szCs w:val="18"/>
                    </w:rPr>
                    <w:t>14.0</w:t>
                  </w:r>
                </w:p>
              </w:tc>
              <w:tc>
                <w:tcPr>
                  <w:tcW w:w="369" w:type="pct"/>
                  <w:tcBorders>
                    <w:top w:val="nil"/>
                    <w:left w:val="nil"/>
                    <w:bottom w:val="single" w:sz="6" w:space="0" w:color="BFBFBF"/>
                    <w:right w:val="nil"/>
                  </w:tcBorders>
                  <w:shd w:val="clear" w:color="auto" w:fill="auto"/>
                  <w:tcMar>
                    <w:left w:w="0" w:type="dxa"/>
                    <w:right w:w="0" w:type="dxa"/>
                  </w:tcMar>
                  <w:vAlign w:val="center"/>
                </w:tcPr>
                <w:p w14:paraId="7954BED0" w14:textId="77777777" w:rsidR="00F05DC7" w:rsidRPr="00C85B36" w:rsidRDefault="00F05DC7" w:rsidP="00A3786D">
                  <w:pPr>
                    <w:pStyle w:val="TableBodyText"/>
                    <w:spacing w:after="0"/>
                    <w:rPr>
                      <w:rFonts w:asciiTheme="minorHAnsi" w:hAnsiTheme="minorHAnsi" w:cstheme="minorHAnsi"/>
                      <w:szCs w:val="18"/>
                    </w:rPr>
                  </w:pPr>
                  <w:r>
                    <w:rPr>
                      <w:rFonts w:asciiTheme="minorHAnsi" w:hAnsiTheme="minorHAnsi" w:cstheme="minorHAnsi"/>
                      <w:szCs w:val="18"/>
                    </w:rPr>
                    <w:t>14</w:t>
                  </w:r>
                  <w:r w:rsidRPr="00C85B36">
                    <w:rPr>
                      <w:rFonts w:asciiTheme="minorHAnsi" w:hAnsiTheme="minorHAnsi" w:cstheme="minorHAnsi"/>
                      <w:szCs w:val="18"/>
                    </w:rPr>
                    <w:t>.</w:t>
                  </w:r>
                  <w:r>
                    <w:rPr>
                      <w:rFonts w:asciiTheme="minorHAnsi" w:hAnsiTheme="minorHAnsi" w:cstheme="minorHAnsi"/>
                      <w:szCs w:val="18"/>
                    </w:rPr>
                    <w:t>0</w:t>
                  </w:r>
                </w:p>
              </w:tc>
              <w:tc>
                <w:tcPr>
                  <w:tcW w:w="366" w:type="pct"/>
                  <w:tcBorders>
                    <w:top w:val="nil"/>
                    <w:left w:val="nil"/>
                    <w:bottom w:val="single" w:sz="6" w:space="0" w:color="BFBFBF"/>
                    <w:right w:val="nil"/>
                  </w:tcBorders>
                  <w:shd w:val="clear" w:color="auto" w:fill="auto"/>
                  <w:tcMar>
                    <w:left w:w="0" w:type="dxa"/>
                    <w:right w:w="0" w:type="dxa"/>
                  </w:tcMar>
                  <w:vAlign w:val="center"/>
                </w:tcPr>
                <w:p w14:paraId="7954BED1" w14:textId="77777777" w:rsidR="00F05DC7" w:rsidRPr="00C85B36" w:rsidRDefault="00F05DC7" w:rsidP="00A3786D">
                  <w:pPr>
                    <w:pStyle w:val="TableBodyText"/>
                    <w:spacing w:after="0"/>
                    <w:ind w:right="28"/>
                    <w:rPr>
                      <w:rFonts w:asciiTheme="minorHAnsi" w:hAnsiTheme="minorHAnsi" w:cstheme="minorHAnsi"/>
                      <w:szCs w:val="18"/>
                    </w:rPr>
                  </w:pPr>
                  <w:r w:rsidRPr="00C85B36">
                    <w:rPr>
                      <w:rFonts w:asciiTheme="minorHAnsi" w:hAnsiTheme="minorHAnsi" w:cstheme="minorHAnsi"/>
                      <w:szCs w:val="18"/>
                    </w:rPr>
                    <w:t>0.0</w:t>
                  </w:r>
                </w:p>
              </w:tc>
            </w:tr>
          </w:tbl>
          <w:p w14:paraId="7954BED3" w14:textId="77777777" w:rsidR="00F05DC7" w:rsidRPr="00784A05" w:rsidRDefault="00F05DC7" w:rsidP="00A3786D">
            <w:pPr>
              <w:pStyle w:val="Subtitle"/>
            </w:pPr>
          </w:p>
        </w:tc>
      </w:tr>
      <w:tr w:rsidR="00F05DC7" w14:paraId="7954BED6" w14:textId="77777777" w:rsidTr="00530909">
        <w:tc>
          <w:tcPr>
            <w:tcW w:w="5000" w:type="pct"/>
            <w:tcBorders>
              <w:top w:val="nil"/>
              <w:left w:val="nil"/>
              <w:bottom w:val="nil"/>
              <w:right w:val="nil"/>
            </w:tcBorders>
            <w:shd w:val="clear" w:color="auto" w:fill="auto"/>
          </w:tcPr>
          <w:p w14:paraId="7954BED5" w14:textId="77777777" w:rsidR="00F05DC7" w:rsidRDefault="00F05DC7" w:rsidP="00A3786D">
            <w:pPr>
              <w:pStyle w:val="Source"/>
              <w:rPr>
                <w:i/>
              </w:rPr>
            </w:pPr>
            <w:r>
              <w:rPr>
                <w:rStyle w:val="NoteLabel"/>
              </w:rPr>
              <w:t>a</w:t>
            </w:r>
            <w:r>
              <w:t xml:space="preserve"> State columns show the effect of each State unilaterally undertaking reform. ‘All States’ shows the effect if all States concurrently undertake reform. </w:t>
            </w:r>
            <w:r>
              <w:rPr>
                <w:rStyle w:val="NoteLabel"/>
              </w:rPr>
              <w:t>b</w:t>
            </w:r>
            <w:r>
              <w:t xml:space="preserve"> The national average tax rate may exceed the legislated rates in all States due to the inclusion of life insurance taxes in revenue figures but not tax base figures. </w:t>
            </w:r>
          </w:p>
        </w:tc>
      </w:tr>
      <w:tr w:rsidR="00F05DC7" w14:paraId="7954BED8" w14:textId="77777777" w:rsidTr="00A3786D">
        <w:tc>
          <w:tcPr>
            <w:tcW w:w="5000" w:type="pct"/>
            <w:tcBorders>
              <w:top w:val="nil"/>
              <w:left w:val="nil"/>
              <w:bottom w:val="nil"/>
              <w:right w:val="nil"/>
            </w:tcBorders>
            <w:shd w:val="clear" w:color="auto" w:fill="auto"/>
          </w:tcPr>
          <w:p w14:paraId="7954BED7"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EDA" w14:textId="77777777" w:rsidTr="00A3786D">
        <w:tc>
          <w:tcPr>
            <w:tcW w:w="5000" w:type="pct"/>
            <w:tcBorders>
              <w:top w:val="nil"/>
              <w:left w:val="nil"/>
              <w:bottom w:val="single" w:sz="6" w:space="0" w:color="78A22F"/>
              <w:right w:val="nil"/>
            </w:tcBorders>
            <w:shd w:val="clear" w:color="auto" w:fill="auto"/>
          </w:tcPr>
          <w:p w14:paraId="7954BED9" w14:textId="77777777" w:rsidR="00F05DC7" w:rsidRDefault="00F05DC7" w:rsidP="00A3786D">
            <w:pPr>
              <w:pStyle w:val="Box"/>
              <w:spacing w:before="0" w:line="120" w:lineRule="exact"/>
            </w:pPr>
          </w:p>
        </w:tc>
      </w:tr>
      <w:tr w:rsidR="00F05DC7" w:rsidRPr="000863A5" w14:paraId="7954BEDC" w14:textId="77777777" w:rsidTr="00A3786D">
        <w:tc>
          <w:tcPr>
            <w:tcW w:w="5000" w:type="pct"/>
            <w:tcBorders>
              <w:top w:val="single" w:sz="6" w:space="0" w:color="78A22F"/>
              <w:left w:val="nil"/>
              <w:bottom w:val="nil"/>
              <w:right w:val="nil"/>
            </w:tcBorders>
          </w:tcPr>
          <w:p w14:paraId="7954BEDB" w14:textId="77777777" w:rsidR="00F05DC7" w:rsidRPr="00626D32" w:rsidRDefault="00F05DC7" w:rsidP="00A3786D">
            <w:pPr>
              <w:pStyle w:val="BoxSpaceBelow"/>
            </w:pPr>
          </w:p>
        </w:tc>
      </w:tr>
    </w:tbl>
    <w:p w14:paraId="7954BEDD"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EE0" w14:textId="77777777" w:rsidTr="00CF26BB">
        <w:trPr>
          <w:tblHeader/>
        </w:trPr>
        <w:tc>
          <w:tcPr>
            <w:tcW w:w="5000" w:type="pct"/>
            <w:tcBorders>
              <w:top w:val="single" w:sz="6" w:space="0" w:color="78A22F"/>
              <w:left w:val="nil"/>
              <w:bottom w:val="nil"/>
              <w:right w:val="nil"/>
            </w:tcBorders>
            <w:shd w:val="clear" w:color="auto" w:fill="auto"/>
          </w:tcPr>
          <w:p w14:paraId="7954BEDE" w14:textId="2915A870" w:rsidR="00F05DC7" w:rsidRDefault="00F05DC7" w:rsidP="00A3786D">
            <w:pPr>
              <w:pStyle w:val="TableTitle"/>
            </w:pPr>
            <w:r>
              <w:rPr>
                <w:b w:val="0"/>
              </w:rPr>
              <w:t>Table C.26</w:t>
            </w:r>
            <w:r>
              <w:tab/>
              <w:t>GST impact of abolishing insurance taxes</w:t>
            </w:r>
          </w:p>
          <w:p w14:paraId="7954BEDF" w14:textId="77777777" w:rsidR="00F05DC7" w:rsidRPr="00784A05" w:rsidRDefault="00F05DC7" w:rsidP="00A3786D">
            <w:pPr>
              <w:pStyle w:val="Subtitle"/>
            </w:pPr>
            <w:r>
              <w:t>Unilateral change by each State, 2016</w:t>
            </w:r>
            <w:r>
              <w:noBreakHyphen/>
              <w:t>17</w:t>
            </w:r>
          </w:p>
        </w:tc>
      </w:tr>
      <w:tr w:rsidR="00F05DC7" w14:paraId="7954BF28" w14:textId="77777777" w:rsidTr="00CF26BB">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3285"/>
              <w:gridCol w:w="760"/>
              <w:gridCol w:w="638"/>
              <w:gridCol w:w="636"/>
              <w:gridCol w:w="638"/>
              <w:gridCol w:w="636"/>
              <w:gridCol w:w="638"/>
              <w:gridCol w:w="636"/>
              <w:gridCol w:w="638"/>
            </w:tblGrid>
            <w:tr w:rsidR="00F05DC7" w14:paraId="7954BEEA" w14:textId="77777777" w:rsidTr="00CF26BB">
              <w:trPr>
                <w:trHeight w:val="300"/>
                <w:tblHeader/>
              </w:trPr>
              <w:tc>
                <w:tcPr>
                  <w:tcW w:w="1931"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BEE1" w14:textId="77777777" w:rsidR="00F05DC7" w:rsidRDefault="00F05DC7" w:rsidP="00A3786D">
                  <w:pPr>
                    <w:pStyle w:val="TableColumnHeading"/>
                  </w:pPr>
                </w:p>
              </w:tc>
              <w:tc>
                <w:tcPr>
                  <w:tcW w:w="447"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EE2"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NSW</w:t>
                  </w:r>
                </w:p>
              </w:tc>
              <w:tc>
                <w:tcPr>
                  <w:tcW w:w="375"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EE3"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Vic</w:t>
                  </w:r>
                </w:p>
              </w:tc>
              <w:tc>
                <w:tcPr>
                  <w:tcW w:w="374"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EE4"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Qld</w:t>
                  </w:r>
                </w:p>
              </w:tc>
              <w:tc>
                <w:tcPr>
                  <w:tcW w:w="375"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EE5"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WA</w:t>
                  </w:r>
                </w:p>
              </w:tc>
              <w:tc>
                <w:tcPr>
                  <w:tcW w:w="374"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EE6"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SA</w:t>
                  </w:r>
                </w:p>
              </w:tc>
              <w:tc>
                <w:tcPr>
                  <w:tcW w:w="375"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EE7"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Tas</w:t>
                  </w:r>
                </w:p>
              </w:tc>
              <w:tc>
                <w:tcPr>
                  <w:tcW w:w="374"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EE8"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ACT</w:t>
                  </w:r>
                </w:p>
              </w:tc>
              <w:tc>
                <w:tcPr>
                  <w:tcW w:w="375"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EE9"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NT</w:t>
                  </w:r>
                </w:p>
              </w:tc>
            </w:tr>
            <w:tr w:rsidR="00F05DC7" w14:paraId="7954BEF4" w14:textId="77777777" w:rsidTr="005E3257">
              <w:trPr>
                <w:trHeight w:val="288"/>
              </w:trPr>
              <w:tc>
                <w:tcPr>
                  <w:tcW w:w="1931" w:type="pct"/>
                  <w:tcBorders>
                    <w:top w:val="single" w:sz="6" w:space="0" w:color="BFBFBF"/>
                    <w:left w:val="nil"/>
                    <w:right w:val="nil"/>
                  </w:tcBorders>
                  <w:shd w:val="clear" w:color="auto" w:fill="auto"/>
                  <w:tcMar>
                    <w:left w:w="0" w:type="dxa"/>
                    <w:right w:w="0" w:type="dxa"/>
                  </w:tcMar>
                  <w:vAlign w:val="center"/>
                  <w:hideMark/>
                </w:tcPr>
                <w:p w14:paraId="7954BEEB" w14:textId="77777777" w:rsidR="00F05DC7" w:rsidRPr="00CE6016" w:rsidRDefault="00F05DC7" w:rsidP="00A3786D">
                  <w:pPr>
                    <w:pStyle w:val="TableBodyText"/>
                    <w:spacing w:before="40"/>
                    <w:jc w:val="left"/>
                  </w:pPr>
                  <w:r w:rsidRPr="00CE6016">
                    <w:t>Baseline: GST annual relativity</w:t>
                  </w:r>
                </w:p>
              </w:tc>
              <w:tc>
                <w:tcPr>
                  <w:tcW w:w="447" w:type="pct"/>
                  <w:tcBorders>
                    <w:top w:val="single" w:sz="6" w:space="0" w:color="BFBFBF"/>
                    <w:left w:val="nil"/>
                    <w:right w:val="nil"/>
                  </w:tcBorders>
                  <w:shd w:val="clear" w:color="auto" w:fill="auto"/>
                  <w:tcMar>
                    <w:left w:w="0" w:type="dxa"/>
                    <w:right w:w="0" w:type="dxa"/>
                  </w:tcMar>
                  <w:vAlign w:val="bottom"/>
                  <w:hideMark/>
                </w:tcPr>
                <w:p w14:paraId="7954BEEC" w14:textId="77777777" w:rsidR="00F05DC7" w:rsidRPr="00CE6016" w:rsidRDefault="00F05DC7" w:rsidP="00A3786D">
                  <w:pPr>
                    <w:pStyle w:val="TableBodyText"/>
                    <w:ind w:right="57"/>
                    <w:rPr>
                      <w:rFonts w:cs="Arial"/>
                    </w:rPr>
                  </w:pPr>
                  <w:r w:rsidRPr="00CE6016">
                    <w:rPr>
                      <w:rFonts w:cs="Arial"/>
                      <w:bCs/>
                      <w:color w:val="000000" w:themeColor="text1"/>
                      <w:szCs w:val="18"/>
                    </w:rPr>
                    <w:t>0.84</w:t>
                  </w:r>
                </w:p>
              </w:tc>
              <w:tc>
                <w:tcPr>
                  <w:tcW w:w="375" w:type="pct"/>
                  <w:tcBorders>
                    <w:top w:val="single" w:sz="6" w:space="0" w:color="BFBFBF"/>
                    <w:left w:val="nil"/>
                    <w:right w:val="nil"/>
                  </w:tcBorders>
                  <w:shd w:val="clear" w:color="auto" w:fill="auto"/>
                  <w:tcMar>
                    <w:left w:w="0" w:type="dxa"/>
                    <w:right w:w="0" w:type="dxa"/>
                  </w:tcMar>
                  <w:vAlign w:val="bottom"/>
                  <w:hideMark/>
                </w:tcPr>
                <w:p w14:paraId="7954BEED" w14:textId="77777777" w:rsidR="00F05DC7" w:rsidRPr="00CE6016" w:rsidRDefault="00F05DC7" w:rsidP="00A3786D">
                  <w:pPr>
                    <w:pStyle w:val="TableBodyText"/>
                    <w:ind w:right="57"/>
                    <w:rPr>
                      <w:rFonts w:cs="Arial"/>
                    </w:rPr>
                  </w:pPr>
                  <w:r w:rsidRPr="00CE6016">
                    <w:rPr>
                      <w:rFonts w:cs="Arial"/>
                      <w:bCs/>
                      <w:color w:val="000000" w:themeColor="text1"/>
                      <w:szCs w:val="18"/>
                    </w:rPr>
                    <w:t>1.01</w:t>
                  </w:r>
                </w:p>
              </w:tc>
              <w:tc>
                <w:tcPr>
                  <w:tcW w:w="374" w:type="pct"/>
                  <w:tcBorders>
                    <w:top w:val="single" w:sz="6" w:space="0" w:color="BFBFBF"/>
                    <w:left w:val="nil"/>
                    <w:right w:val="nil"/>
                  </w:tcBorders>
                  <w:shd w:val="clear" w:color="auto" w:fill="auto"/>
                  <w:tcMar>
                    <w:left w:w="0" w:type="dxa"/>
                    <w:right w:w="0" w:type="dxa"/>
                  </w:tcMar>
                  <w:vAlign w:val="bottom"/>
                  <w:hideMark/>
                </w:tcPr>
                <w:p w14:paraId="7954BEEE" w14:textId="77777777" w:rsidR="00F05DC7" w:rsidRPr="00CE6016" w:rsidRDefault="00F05DC7" w:rsidP="00A3786D">
                  <w:pPr>
                    <w:pStyle w:val="TableBodyText"/>
                    <w:ind w:right="57"/>
                    <w:rPr>
                      <w:rFonts w:cs="Arial"/>
                    </w:rPr>
                  </w:pPr>
                  <w:r w:rsidRPr="00CE6016">
                    <w:rPr>
                      <w:rFonts w:cs="Arial"/>
                      <w:bCs/>
                      <w:color w:val="000000" w:themeColor="text1"/>
                      <w:szCs w:val="18"/>
                    </w:rPr>
                    <w:t>1.03</w:t>
                  </w:r>
                </w:p>
              </w:tc>
              <w:tc>
                <w:tcPr>
                  <w:tcW w:w="375" w:type="pct"/>
                  <w:tcBorders>
                    <w:top w:val="single" w:sz="6" w:space="0" w:color="BFBFBF"/>
                    <w:left w:val="nil"/>
                    <w:right w:val="nil"/>
                  </w:tcBorders>
                  <w:shd w:val="clear" w:color="auto" w:fill="auto"/>
                  <w:tcMar>
                    <w:left w:w="0" w:type="dxa"/>
                    <w:right w:w="0" w:type="dxa"/>
                  </w:tcMar>
                  <w:vAlign w:val="bottom"/>
                  <w:hideMark/>
                </w:tcPr>
                <w:p w14:paraId="7954BEEF" w14:textId="77777777" w:rsidR="00F05DC7" w:rsidRPr="00CE6016" w:rsidRDefault="00F05DC7" w:rsidP="00A3786D">
                  <w:pPr>
                    <w:pStyle w:val="TableBodyText"/>
                    <w:ind w:right="57"/>
                    <w:rPr>
                      <w:rFonts w:cs="Arial"/>
                    </w:rPr>
                  </w:pPr>
                  <w:r w:rsidRPr="00CE6016">
                    <w:rPr>
                      <w:rFonts w:cs="Arial"/>
                      <w:bCs/>
                      <w:color w:val="000000" w:themeColor="text1"/>
                      <w:szCs w:val="18"/>
                    </w:rPr>
                    <w:t>0.57</w:t>
                  </w:r>
                </w:p>
              </w:tc>
              <w:tc>
                <w:tcPr>
                  <w:tcW w:w="374" w:type="pct"/>
                  <w:tcBorders>
                    <w:top w:val="single" w:sz="6" w:space="0" w:color="BFBFBF"/>
                    <w:left w:val="nil"/>
                    <w:right w:val="nil"/>
                  </w:tcBorders>
                  <w:shd w:val="clear" w:color="auto" w:fill="auto"/>
                  <w:tcMar>
                    <w:left w:w="0" w:type="dxa"/>
                    <w:right w:w="0" w:type="dxa"/>
                  </w:tcMar>
                  <w:vAlign w:val="bottom"/>
                  <w:hideMark/>
                </w:tcPr>
                <w:p w14:paraId="7954BEF0" w14:textId="77777777" w:rsidR="00F05DC7" w:rsidRPr="00CE6016" w:rsidRDefault="00F05DC7" w:rsidP="00A3786D">
                  <w:pPr>
                    <w:pStyle w:val="TableBodyText"/>
                    <w:ind w:right="57"/>
                    <w:rPr>
                      <w:rFonts w:cs="Arial"/>
                    </w:rPr>
                  </w:pPr>
                  <w:r w:rsidRPr="00CE6016">
                    <w:rPr>
                      <w:rFonts w:cs="Arial"/>
                      <w:bCs/>
                      <w:color w:val="000000" w:themeColor="text1"/>
                      <w:szCs w:val="18"/>
                    </w:rPr>
                    <w:t>1.53</w:t>
                  </w:r>
                </w:p>
              </w:tc>
              <w:tc>
                <w:tcPr>
                  <w:tcW w:w="375" w:type="pct"/>
                  <w:tcBorders>
                    <w:top w:val="single" w:sz="6" w:space="0" w:color="BFBFBF"/>
                    <w:left w:val="nil"/>
                    <w:right w:val="nil"/>
                  </w:tcBorders>
                  <w:shd w:val="clear" w:color="auto" w:fill="auto"/>
                  <w:tcMar>
                    <w:left w:w="0" w:type="dxa"/>
                    <w:right w:w="0" w:type="dxa"/>
                  </w:tcMar>
                  <w:vAlign w:val="bottom"/>
                  <w:hideMark/>
                </w:tcPr>
                <w:p w14:paraId="7954BEF1" w14:textId="77777777" w:rsidR="00F05DC7" w:rsidRPr="00CE6016" w:rsidRDefault="00F05DC7" w:rsidP="00A3786D">
                  <w:pPr>
                    <w:pStyle w:val="TableBodyText"/>
                    <w:ind w:right="57"/>
                    <w:rPr>
                      <w:rFonts w:cs="Arial"/>
                    </w:rPr>
                  </w:pPr>
                  <w:r w:rsidRPr="00CE6016">
                    <w:rPr>
                      <w:rFonts w:cs="Arial"/>
                      <w:bCs/>
                      <w:color w:val="000000" w:themeColor="text1"/>
                      <w:szCs w:val="18"/>
                    </w:rPr>
                    <w:t>1.72</w:t>
                  </w:r>
                </w:p>
              </w:tc>
              <w:tc>
                <w:tcPr>
                  <w:tcW w:w="374" w:type="pct"/>
                  <w:tcBorders>
                    <w:top w:val="single" w:sz="6" w:space="0" w:color="BFBFBF"/>
                    <w:left w:val="nil"/>
                    <w:right w:val="nil"/>
                  </w:tcBorders>
                  <w:shd w:val="clear" w:color="auto" w:fill="auto"/>
                  <w:tcMar>
                    <w:left w:w="0" w:type="dxa"/>
                    <w:right w:w="0" w:type="dxa"/>
                  </w:tcMar>
                  <w:vAlign w:val="bottom"/>
                  <w:hideMark/>
                </w:tcPr>
                <w:p w14:paraId="7954BEF2" w14:textId="77777777" w:rsidR="00F05DC7" w:rsidRPr="00CE6016" w:rsidRDefault="00F05DC7" w:rsidP="00A3786D">
                  <w:pPr>
                    <w:pStyle w:val="TableBodyText"/>
                    <w:ind w:right="57"/>
                    <w:rPr>
                      <w:rFonts w:cs="Arial"/>
                    </w:rPr>
                  </w:pPr>
                  <w:r w:rsidRPr="00CE6016">
                    <w:rPr>
                      <w:rFonts w:cs="Arial"/>
                      <w:bCs/>
                      <w:color w:val="000000" w:themeColor="text1"/>
                      <w:szCs w:val="18"/>
                    </w:rPr>
                    <w:t>1.21</w:t>
                  </w:r>
                </w:p>
              </w:tc>
              <w:tc>
                <w:tcPr>
                  <w:tcW w:w="375" w:type="pct"/>
                  <w:tcBorders>
                    <w:top w:val="single" w:sz="6" w:space="0" w:color="BFBFBF"/>
                    <w:left w:val="nil"/>
                    <w:right w:val="nil"/>
                  </w:tcBorders>
                  <w:shd w:val="clear" w:color="auto" w:fill="auto"/>
                  <w:tcMar>
                    <w:left w:w="0" w:type="dxa"/>
                    <w:right w:w="0" w:type="dxa"/>
                  </w:tcMar>
                  <w:vAlign w:val="bottom"/>
                  <w:hideMark/>
                </w:tcPr>
                <w:p w14:paraId="7954BEF3" w14:textId="77777777" w:rsidR="00F05DC7" w:rsidRPr="00CE6016" w:rsidRDefault="00F05DC7" w:rsidP="00A3786D">
                  <w:pPr>
                    <w:pStyle w:val="TableBodyText"/>
                    <w:ind w:right="57"/>
                    <w:rPr>
                      <w:rFonts w:cs="Arial"/>
                    </w:rPr>
                  </w:pPr>
                  <w:r w:rsidRPr="00CE6016">
                    <w:rPr>
                      <w:rFonts w:cs="Arial"/>
                      <w:bCs/>
                      <w:color w:val="000000" w:themeColor="text1"/>
                      <w:szCs w:val="18"/>
                    </w:rPr>
                    <w:t>4.19</w:t>
                  </w:r>
                </w:p>
              </w:tc>
            </w:tr>
            <w:tr w:rsidR="00F05DC7" w14:paraId="7954BEFE" w14:textId="77777777" w:rsidTr="00A3786D">
              <w:trPr>
                <w:trHeight w:val="288"/>
              </w:trPr>
              <w:tc>
                <w:tcPr>
                  <w:tcW w:w="1931" w:type="pct"/>
                  <w:tcBorders>
                    <w:left w:val="nil"/>
                    <w:bottom w:val="nil"/>
                    <w:right w:val="nil"/>
                  </w:tcBorders>
                  <w:shd w:val="clear" w:color="auto" w:fill="auto"/>
                  <w:tcMar>
                    <w:left w:w="0" w:type="dxa"/>
                    <w:right w:w="0" w:type="dxa"/>
                  </w:tcMar>
                  <w:vAlign w:val="center"/>
                  <w:hideMark/>
                </w:tcPr>
                <w:p w14:paraId="7954BEF5" w14:textId="77777777" w:rsidR="00F05DC7" w:rsidRPr="00775B18" w:rsidRDefault="00F05DC7" w:rsidP="00A3786D">
                  <w:pPr>
                    <w:pStyle w:val="TableBodyText"/>
                    <w:jc w:val="left"/>
                  </w:pPr>
                  <w:r w:rsidRPr="00C9149D">
                    <w:t>Change in GST payments</w:t>
                  </w:r>
                  <w:r w:rsidRPr="00775B18">
                    <w:t xml:space="preserve"> (</w:t>
                  </w:r>
                  <w:r>
                    <w:t>$m</w:t>
                  </w:r>
                  <w:r w:rsidRPr="00775B18">
                    <w:t>)</w:t>
                  </w:r>
                </w:p>
              </w:tc>
              <w:tc>
                <w:tcPr>
                  <w:tcW w:w="447" w:type="pct"/>
                  <w:tcBorders>
                    <w:left w:val="nil"/>
                    <w:bottom w:val="nil"/>
                    <w:right w:val="nil"/>
                  </w:tcBorders>
                  <w:shd w:val="clear" w:color="auto" w:fill="auto"/>
                  <w:tcMar>
                    <w:left w:w="0" w:type="dxa"/>
                    <w:right w:w="0" w:type="dxa"/>
                  </w:tcMar>
                </w:tcPr>
                <w:p w14:paraId="7954BEF6" w14:textId="77777777" w:rsidR="00F05DC7" w:rsidRPr="00C9149D" w:rsidRDefault="00F05DC7" w:rsidP="00A3786D">
                  <w:pPr>
                    <w:pStyle w:val="TableBodyText"/>
                    <w:ind w:right="57"/>
                  </w:pPr>
                  <w:r>
                    <w:t>-16</w:t>
                  </w:r>
                </w:p>
              </w:tc>
              <w:tc>
                <w:tcPr>
                  <w:tcW w:w="375" w:type="pct"/>
                  <w:tcBorders>
                    <w:left w:val="nil"/>
                    <w:bottom w:val="nil"/>
                    <w:right w:val="nil"/>
                  </w:tcBorders>
                  <w:shd w:val="clear" w:color="auto" w:fill="auto"/>
                  <w:tcMar>
                    <w:left w:w="0" w:type="dxa"/>
                    <w:right w:w="0" w:type="dxa"/>
                  </w:tcMar>
                </w:tcPr>
                <w:p w14:paraId="7954BEF7" w14:textId="77777777" w:rsidR="00F05DC7" w:rsidRPr="00C9149D" w:rsidRDefault="00F05DC7" w:rsidP="00A3786D">
                  <w:pPr>
                    <w:pStyle w:val="TableBodyText"/>
                    <w:ind w:right="57"/>
                  </w:pPr>
                  <w:r w:rsidRPr="003C4808">
                    <w:t>-8</w:t>
                  </w:r>
                  <w:r>
                    <w:t>7</w:t>
                  </w:r>
                </w:p>
              </w:tc>
              <w:tc>
                <w:tcPr>
                  <w:tcW w:w="374" w:type="pct"/>
                  <w:tcBorders>
                    <w:left w:val="nil"/>
                    <w:bottom w:val="nil"/>
                    <w:right w:val="nil"/>
                  </w:tcBorders>
                  <w:shd w:val="clear" w:color="auto" w:fill="auto"/>
                  <w:tcMar>
                    <w:left w:w="0" w:type="dxa"/>
                    <w:right w:w="0" w:type="dxa"/>
                  </w:tcMar>
                </w:tcPr>
                <w:p w14:paraId="7954BEF8" w14:textId="77777777" w:rsidR="00F05DC7" w:rsidRPr="00C9149D" w:rsidRDefault="00F05DC7" w:rsidP="00A3786D">
                  <w:pPr>
                    <w:pStyle w:val="TableBodyText"/>
                    <w:ind w:right="57"/>
                  </w:pPr>
                  <w:r>
                    <w:t>-61</w:t>
                  </w:r>
                </w:p>
              </w:tc>
              <w:tc>
                <w:tcPr>
                  <w:tcW w:w="375" w:type="pct"/>
                  <w:tcBorders>
                    <w:left w:val="nil"/>
                    <w:bottom w:val="nil"/>
                    <w:right w:val="nil"/>
                  </w:tcBorders>
                  <w:shd w:val="clear" w:color="auto" w:fill="auto"/>
                  <w:tcMar>
                    <w:left w:w="0" w:type="dxa"/>
                    <w:right w:w="0" w:type="dxa"/>
                  </w:tcMar>
                </w:tcPr>
                <w:p w14:paraId="7954BEF9" w14:textId="77777777" w:rsidR="00F05DC7" w:rsidRPr="00C9149D" w:rsidRDefault="00F05DC7" w:rsidP="00A3786D">
                  <w:pPr>
                    <w:pStyle w:val="TableBodyText"/>
                    <w:ind w:right="57"/>
                  </w:pPr>
                  <w:r w:rsidRPr="003C4808">
                    <w:t>-3</w:t>
                  </w:r>
                  <w:r>
                    <w:t>7</w:t>
                  </w:r>
                </w:p>
              </w:tc>
              <w:tc>
                <w:tcPr>
                  <w:tcW w:w="374" w:type="pct"/>
                  <w:tcBorders>
                    <w:left w:val="nil"/>
                    <w:bottom w:val="nil"/>
                    <w:right w:val="nil"/>
                  </w:tcBorders>
                  <w:shd w:val="clear" w:color="auto" w:fill="auto"/>
                  <w:tcMar>
                    <w:left w:w="0" w:type="dxa"/>
                    <w:right w:w="0" w:type="dxa"/>
                  </w:tcMar>
                </w:tcPr>
                <w:p w14:paraId="7954BEFA" w14:textId="77777777" w:rsidR="00F05DC7" w:rsidRPr="00C9149D" w:rsidRDefault="00F05DC7" w:rsidP="00A3786D">
                  <w:pPr>
                    <w:pStyle w:val="TableBodyText"/>
                    <w:ind w:right="57"/>
                  </w:pPr>
                  <w:r>
                    <w:t>-30</w:t>
                  </w:r>
                </w:p>
              </w:tc>
              <w:tc>
                <w:tcPr>
                  <w:tcW w:w="375" w:type="pct"/>
                  <w:tcBorders>
                    <w:left w:val="nil"/>
                    <w:bottom w:val="nil"/>
                    <w:right w:val="nil"/>
                  </w:tcBorders>
                  <w:shd w:val="clear" w:color="auto" w:fill="auto"/>
                  <w:tcMar>
                    <w:left w:w="0" w:type="dxa"/>
                    <w:right w:w="0" w:type="dxa"/>
                  </w:tcMar>
                </w:tcPr>
                <w:p w14:paraId="7954BEFB" w14:textId="77777777" w:rsidR="00F05DC7" w:rsidRPr="00C9149D" w:rsidRDefault="00F05DC7" w:rsidP="00A3786D">
                  <w:pPr>
                    <w:pStyle w:val="TableBodyText"/>
                    <w:ind w:right="57"/>
                  </w:pPr>
                  <w:r w:rsidRPr="003C4808">
                    <w:t>-8</w:t>
                  </w:r>
                </w:p>
              </w:tc>
              <w:tc>
                <w:tcPr>
                  <w:tcW w:w="374" w:type="pct"/>
                  <w:tcBorders>
                    <w:left w:val="nil"/>
                    <w:bottom w:val="nil"/>
                    <w:right w:val="nil"/>
                  </w:tcBorders>
                  <w:shd w:val="clear" w:color="auto" w:fill="auto"/>
                  <w:tcMar>
                    <w:left w:w="0" w:type="dxa"/>
                    <w:right w:w="0" w:type="dxa"/>
                  </w:tcMar>
                </w:tcPr>
                <w:p w14:paraId="7954BEFC" w14:textId="77777777" w:rsidR="00F05DC7" w:rsidRPr="00C9149D" w:rsidRDefault="00F05DC7" w:rsidP="00A3786D">
                  <w:pPr>
                    <w:pStyle w:val="TableBodyText"/>
                    <w:ind w:right="57"/>
                  </w:pPr>
                  <w:r w:rsidRPr="003C4808">
                    <w:t>-4</w:t>
                  </w:r>
                </w:p>
              </w:tc>
              <w:tc>
                <w:tcPr>
                  <w:tcW w:w="375" w:type="pct"/>
                  <w:tcBorders>
                    <w:left w:val="nil"/>
                    <w:bottom w:val="nil"/>
                    <w:right w:val="nil"/>
                  </w:tcBorders>
                  <w:shd w:val="clear" w:color="auto" w:fill="auto"/>
                  <w:tcMar>
                    <w:left w:w="0" w:type="dxa"/>
                    <w:right w:w="0" w:type="dxa"/>
                  </w:tcMar>
                </w:tcPr>
                <w:p w14:paraId="7954BEFD" w14:textId="77777777" w:rsidR="00F05DC7" w:rsidRPr="00C9149D" w:rsidRDefault="00F05DC7" w:rsidP="00A3786D">
                  <w:pPr>
                    <w:pStyle w:val="TableBodyText"/>
                    <w:ind w:right="57"/>
                  </w:pPr>
                  <w:r>
                    <w:t>-3</w:t>
                  </w:r>
                </w:p>
              </w:tc>
            </w:tr>
            <w:tr w:rsidR="00F05DC7" w14:paraId="7954BF08" w14:textId="77777777" w:rsidTr="00A3786D">
              <w:trPr>
                <w:trHeight w:val="288"/>
              </w:trPr>
              <w:tc>
                <w:tcPr>
                  <w:tcW w:w="1931" w:type="pct"/>
                  <w:tcBorders>
                    <w:top w:val="nil"/>
                    <w:left w:val="nil"/>
                    <w:bottom w:val="nil"/>
                    <w:right w:val="nil"/>
                  </w:tcBorders>
                  <w:shd w:val="clear" w:color="auto" w:fill="auto"/>
                  <w:tcMar>
                    <w:left w:w="0" w:type="dxa"/>
                    <w:right w:w="0" w:type="dxa"/>
                  </w:tcMar>
                  <w:vAlign w:val="center"/>
                  <w:hideMark/>
                </w:tcPr>
                <w:p w14:paraId="7954BEFF" w14:textId="77777777" w:rsidR="00F05DC7" w:rsidRPr="00775B18" w:rsidRDefault="00F05DC7" w:rsidP="00A3786D">
                  <w:pPr>
                    <w:pStyle w:val="TableBodyText"/>
                    <w:jc w:val="left"/>
                  </w:pPr>
                  <w:r w:rsidRPr="00C9149D">
                    <w:t>Change in GST payments</w:t>
                  </w:r>
                  <w:r w:rsidRPr="00775B18">
                    <w:t xml:space="preserve"> (</w:t>
                  </w:r>
                  <w:r>
                    <w:t>$pc</w:t>
                  </w:r>
                  <w:r w:rsidRPr="00775B18">
                    <w:t>)</w:t>
                  </w:r>
                </w:p>
              </w:tc>
              <w:tc>
                <w:tcPr>
                  <w:tcW w:w="447" w:type="pct"/>
                  <w:tcBorders>
                    <w:top w:val="nil"/>
                    <w:left w:val="nil"/>
                    <w:bottom w:val="nil"/>
                    <w:right w:val="nil"/>
                  </w:tcBorders>
                  <w:shd w:val="clear" w:color="auto" w:fill="auto"/>
                  <w:tcMar>
                    <w:left w:w="0" w:type="dxa"/>
                    <w:right w:w="0" w:type="dxa"/>
                  </w:tcMar>
                </w:tcPr>
                <w:p w14:paraId="7954BF00" w14:textId="77777777" w:rsidR="00F05DC7" w:rsidRPr="00C9149D" w:rsidRDefault="00F05DC7" w:rsidP="00A3786D">
                  <w:pPr>
                    <w:pStyle w:val="TableBodyText"/>
                    <w:ind w:right="57"/>
                  </w:pPr>
                  <w:r>
                    <w:t>-2</w:t>
                  </w:r>
                </w:p>
              </w:tc>
              <w:tc>
                <w:tcPr>
                  <w:tcW w:w="375" w:type="pct"/>
                  <w:tcBorders>
                    <w:top w:val="nil"/>
                    <w:left w:val="nil"/>
                    <w:bottom w:val="nil"/>
                    <w:right w:val="nil"/>
                  </w:tcBorders>
                  <w:shd w:val="clear" w:color="auto" w:fill="auto"/>
                  <w:tcMar>
                    <w:left w:w="0" w:type="dxa"/>
                    <w:right w:w="0" w:type="dxa"/>
                  </w:tcMar>
                </w:tcPr>
                <w:p w14:paraId="7954BF01" w14:textId="77777777" w:rsidR="00F05DC7" w:rsidRPr="00C9149D" w:rsidRDefault="00F05DC7" w:rsidP="00A3786D">
                  <w:pPr>
                    <w:pStyle w:val="TableBodyText"/>
                    <w:ind w:right="57"/>
                  </w:pPr>
                  <w:r>
                    <w:t>-14</w:t>
                  </w:r>
                </w:p>
              </w:tc>
              <w:tc>
                <w:tcPr>
                  <w:tcW w:w="374" w:type="pct"/>
                  <w:tcBorders>
                    <w:top w:val="nil"/>
                    <w:left w:val="nil"/>
                    <w:bottom w:val="nil"/>
                    <w:right w:val="nil"/>
                  </w:tcBorders>
                  <w:shd w:val="clear" w:color="auto" w:fill="auto"/>
                  <w:tcMar>
                    <w:left w:w="0" w:type="dxa"/>
                    <w:right w:w="0" w:type="dxa"/>
                  </w:tcMar>
                </w:tcPr>
                <w:p w14:paraId="7954BF02" w14:textId="77777777" w:rsidR="00F05DC7" w:rsidRPr="00C9149D" w:rsidRDefault="00F05DC7" w:rsidP="00A3786D">
                  <w:pPr>
                    <w:pStyle w:val="TableBodyText"/>
                    <w:ind w:right="57"/>
                  </w:pPr>
                  <w:r w:rsidRPr="003C4808">
                    <w:t>-12</w:t>
                  </w:r>
                </w:p>
              </w:tc>
              <w:tc>
                <w:tcPr>
                  <w:tcW w:w="375" w:type="pct"/>
                  <w:tcBorders>
                    <w:top w:val="nil"/>
                    <w:left w:val="nil"/>
                    <w:bottom w:val="nil"/>
                    <w:right w:val="nil"/>
                  </w:tcBorders>
                  <w:shd w:val="clear" w:color="auto" w:fill="auto"/>
                  <w:tcMar>
                    <w:left w:w="0" w:type="dxa"/>
                    <w:right w:w="0" w:type="dxa"/>
                  </w:tcMar>
                </w:tcPr>
                <w:p w14:paraId="7954BF03" w14:textId="77777777" w:rsidR="00F05DC7" w:rsidRPr="00C9149D" w:rsidRDefault="00F05DC7" w:rsidP="00A3786D">
                  <w:pPr>
                    <w:pStyle w:val="TableBodyText"/>
                    <w:ind w:right="57"/>
                  </w:pPr>
                  <w:r w:rsidRPr="003C4808">
                    <w:t>-14</w:t>
                  </w:r>
                </w:p>
              </w:tc>
              <w:tc>
                <w:tcPr>
                  <w:tcW w:w="374" w:type="pct"/>
                  <w:tcBorders>
                    <w:top w:val="nil"/>
                    <w:left w:val="nil"/>
                    <w:bottom w:val="nil"/>
                    <w:right w:val="nil"/>
                  </w:tcBorders>
                  <w:shd w:val="clear" w:color="auto" w:fill="auto"/>
                  <w:tcMar>
                    <w:left w:w="0" w:type="dxa"/>
                    <w:right w:w="0" w:type="dxa"/>
                  </w:tcMar>
                </w:tcPr>
                <w:p w14:paraId="7954BF04" w14:textId="77777777" w:rsidR="00F05DC7" w:rsidRPr="00C9149D" w:rsidRDefault="00F05DC7" w:rsidP="00A3786D">
                  <w:pPr>
                    <w:pStyle w:val="TableBodyText"/>
                    <w:ind w:right="57"/>
                  </w:pPr>
                  <w:r w:rsidRPr="003C4808">
                    <w:t>-17</w:t>
                  </w:r>
                </w:p>
              </w:tc>
              <w:tc>
                <w:tcPr>
                  <w:tcW w:w="375" w:type="pct"/>
                  <w:tcBorders>
                    <w:top w:val="nil"/>
                    <w:left w:val="nil"/>
                    <w:bottom w:val="nil"/>
                    <w:right w:val="nil"/>
                  </w:tcBorders>
                  <w:shd w:val="clear" w:color="auto" w:fill="auto"/>
                  <w:tcMar>
                    <w:left w:w="0" w:type="dxa"/>
                    <w:right w:w="0" w:type="dxa"/>
                  </w:tcMar>
                </w:tcPr>
                <w:p w14:paraId="7954BF05" w14:textId="77777777" w:rsidR="00F05DC7" w:rsidRPr="00C9149D" w:rsidRDefault="00F05DC7" w:rsidP="00A3786D">
                  <w:pPr>
                    <w:pStyle w:val="TableBodyText"/>
                    <w:ind w:right="57"/>
                  </w:pPr>
                  <w:r w:rsidRPr="003C4808">
                    <w:t>-15</w:t>
                  </w:r>
                </w:p>
              </w:tc>
              <w:tc>
                <w:tcPr>
                  <w:tcW w:w="374" w:type="pct"/>
                  <w:tcBorders>
                    <w:top w:val="nil"/>
                    <w:left w:val="nil"/>
                    <w:bottom w:val="nil"/>
                    <w:right w:val="nil"/>
                  </w:tcBorders>
                  <w:shd w:val="clear" w:color="auto" w:fill="auto"/>
                  <w:tcMar>
                    <w:left w:w="0" w:type="dxa"/>
                    <w:right w:w="0" w:type="dxa"/>
                  </w:tcMar>
                </w:tcPr>
                <w:p w14:paraId="7954BF06" w14:textId="77777777" w:rsidR="00F05DC7" w:rsidRPr="00C9149D" w:rsidRDefault="00F05DC7" w:rsidP="00A3786D">
                  <w:pPr>
                    <w:pStyle w:val="TableBodyText"/>
                    <w:ind w:right="57"/>
                  </w:pPr>
                  <w:r>
                    <w:t>-9</w:t>
                  </w:r>
                </w:p>
              </w:tc>
              <w:tc>
                <w:tcPr>
                  <w:tcW w:w="375" w:type="pct"/>
                  <w:tcBorders>
                    <w:top w:val="nil"/>
                    <w:left w:val="nil"/>
                    <w:bottom w:val="nil"/>
                    <w:right w:val="nil"/>
                  </w:tcBorders>
                  <w:shd w:val="clear" w:color="auto" w:fill="auto"/>
                  <w:tcMar>
                    <w:left w:w="0" w:type="dxa"/>
                    <w:right w:w="0" w:type="dxa"/>
                  </w:tcMar>
                </w:tcPr>
                <w:p w14:paraId="7954BF07" w14:textId="77777777" w:rsidR="00F05DC7" w:rsidRPr="00C9149D" w:rsidRDefault="00F05DC7" w:rsidP="00A3786D">
                  <w:pPr>
                    <w:pStyle w:val="TableBodyText"/>
                    <w:ind w:right="57"/>
                  </w:pPr>
                  <w:r>
                    <w:t>-11</w:t>
                  </w:r>
                </w:p>
              </w:tc>
            </w:tr>
            <w:tr w:rsidR="00F05DC7" w14:paraId="7954BF12" w14:textId="77777777" w:rsidTr="00A3786D">
              <w:trPr>
                <w:trHeight w:val="300"/>
              </w:trPr>
              <w:tc>
                <w:tcPr>
                  <w:tcW w:w="1931" w:type="pct"/>
                  <w:tcBorders>
                    <w:top w:val="nil"/>
                    <w:left w:val="nil"/>
                    <w:right w:val="nil"/>
                  </w:tcBorders>
                  <w:shd w:val="clear" w:color="auto" w:fill="auto"/>
                  <w:tcMar>
                    <w:left w:w="0" w:type="dxa"/>
                    <w:right w:w="0" w:type="dxa"/>
                  </w:tcMar>
                  <w:vAlign w:val="center"/>
                </w:tcPr>
                <w:p w14:paraId="7954BF09" w14:textId="77777777" w:rsidR="00F05DC7" w:rsidRPr="00C9149D" w:rsidRDefault="00F05DC7" w:rsidP="00A3786D">
                  <w:pPr>
                    <w:pStyle w:val="TableBodyText"/>
                    <w:jc w:val="left"/>
                  </w:pPr>
                  <w:r>
                    <w:t>Change in GST payments (% of State revenue)</w:t>
                  </w:r>
                </w:p>
              </w:tc>
              <w:tc>
                <w:tcPr>
                  <w:tcW w:w="447" w:type="pct"/>
                  <w:tcBorders>
                    <w:top w:val="nil"/>
                    <w:left w:val="nil"/>
                    <w:bottom w:val="nil"/>
                    <w:right w:val="nil"/>
                  </w:tcBorders>
                  <w:shd w:val="clear" w:color="auto" w:fill="auto"/>
                  <w:tcMar>
                    <w:left w:w="0" w:type="dxa"/>
                    <w:right w:w="0" w:type="dxa"/>
                  </w:tcMar>
                  <w:vAlign w:val="bottom"/>
                </w:tcPr>
                <w:p w14:paraId="7954BF0A" w14:textId="77777777" w:rsidR="00F05DC7" w:rsidRPr="00AE067B" w:rsidRDefault="00F05DC7" w:rsidP="00A3786D">
                  <w:pPr>
                    <w:pStyle w:val="TableBodyText"/>
                    <w:ind w:right="57"/>
                    <w:rPr>
                      <w:rFonts w:asciiTheme="minorHAnsi" w:hAnsiTheme="minorHAnsi" w:cstheme="minorHAnsi"/>
                      <w:szCs w:val="18"/>
                    </w:rPr>
                  </w:pPr>
                  <w:r w:rsidRPr="00AE067B">
                    <w:rPr>
                      <w:rFonts w:asciiTheme="minorHAnsi" w:hAnsiTheme="minorHAnsi" w:cstheme="minorHAnsi"/>
                      <w:color w:val="000000"/>
                      <w:szCs w:val="18"/>
                    </w:rPr>
                    <w:t>0.0</w:t>
                  </w:r>
                </w:p>
              </w:tc>
              <w:tc>
                <w:tcPr>
                  <w:tcW w:w="375" w:type="pct"/>
                  <w:tcBorders>
                    <w:top w:val="nil"/>
                    <w:left w:val="nil"/>
                    <w:bottom w:val="nil"/>
                    <w:right w:val="nil"/>
                  </w:tcBorders>
                  <w:shd w:val="clear" w:color="auto" w:fill="auto"/>
                  <w:tcMar>
                    <w:left w:w="0" w:type="dxa"/>
                    <w:right w:w="0" w:type="dxa"/>
                  </w:tcMar>
                  <w:vAlign w:val="bottom"/>
                </w:tcPr>
                <w:p w14:paraId="7954BF0B" w14:textId="77777777" w:rsidR="00F05DC7" w:rsidRPr="00AE067B" w:rsidRDefault="00F05DC7" w:rsidP="00A3786D">
                  <w:pPr>
                    <w:pStyle w:val="TableBodyText"/>
                    <w:ind w:right="57"/>
                    <w:rPr>
                      <w:rFonts w:asciiTheme="minorHAnsi" w:hAnsiTheme="minorHAnsi" w:cstheme="minorHAnsi"/>
                      <w:szCs w:val="18"/>
                    </w:rPr>
                  </w:pPr>
                  <w:r w:rsidRPr="00AE067B">
                    <w:rPr>
                      <w:rFonts w:asciiTheme="minorHAnsi" w:hAnsiTheme="minorHAnsi" w:cstheme="minorHAnsi"/>
                      <w:color w:val="000000"/>
                      <w:szCs w:val="18"/>
                    </w:rPr>
                    <w:t>-0.1</w:t>
                  </w:r>
                </w:p>
              </w:tc>
              <w:tc>
                <w:tcPr>
                  <w:tcW w:w="374" w:type="pct"/>
                  <w:tcBorders>
                    <w:top w:val="nil"/>
                    <w:left w:val="nil"/>
                    <w:bottom w:val="nil"/>
                    <w:right w:val="nil"/>
                  </w:tcBorders>
                  <w:shd w:val="clear" w:color="auto" w:fill="auto"/>
                  <w:tcMar>
                    <w:left w:w="0" w:type="dxa"/>
                    <w:right w:w="0" w:type="dxa"/>
                  </w:tcMar>
                  <w:vAlign w:val="bottom"/>
                </w:tcPr>
                <w:p w14:paraId="7954BF0C" w14:textId="77777777" w:rsidR="00F05DC7" w:rsidRPr="00AE067B" w:rsidRDefault="00F05DC7" w:rsidP="00A3786D">
                  <w:pPr>
                    <w:pStyle w:val="TableBodyText"/>
                    <w:ind w:right="57"/>
                    <w:rPr>
                      <w:rFonts w:asciiTheme="minorHAnsi" w:hAnsiTheme="minorHAnsi" w:cstheme="minorHAnsi"/>
                      <w:szCs w:val="18"/>
                    </w:rPr>
                  </w:pPr>
                  <w:r w:rsidRPr="00AE067B">
                    <w:rPr>
                      <w:rFonts w:asciiTheme="minorHAnsi" w:hAnsiTheme="minorHAnsi" w:cstheme="minorHAnsi"/>
                      <w:color w:val="000000"/>
                      <w:szCs w:val="18"/>
                    </w:rPr>
                    <w:t>-0.1</w:t>
                  </w:r>
                </w:p>
              </w:tc>
              <w:tc>
                <w:tcPr>
                  <w:tcW w:w="375" w:type="pct"/>
                  <w:tcBorders>
                    <w:top w:val="nil"/>
                    <w:left w:val="nil"/>
                    <w:bottom w:val="nil"/>
                    <w:right w:val="nil"/>
                  </w:tcBorders>
                  <w:shd w:val="clear" w:color="auto" w:fill="auto"/>
                  <w:tcMar>
                    <w:left w:w="0" w:type="dxa"/>
                    <w:right w:w="0" w:type="dxa"/>
                  </w:tcMar>
                  <w:vAlign w:val="bottom"/>
                </w:tcPr>
                <w:p w14:paraId="7954BF0D" w14:textId="77777777" w:rsidR="00F05DC7" w:rsidRPr="00AE067B" w:rsidRDefault="00F05DC7" w:rsidP="00A3786D">
                  <w:pPr>
                    <w:pStyle w:val="TableBodyText"/>
                    <w:ind w:right="57"/>
                    <w:rPr>
                      <w:rFonts w:asciiTheme="minorHAnsi" w:hAnsiTheme="minorHAnsi" w:cstheme="minorHAnsi"/>
                      <w:szCs w:val="18"/>
                    </w:rPr>
                  </w:pPr>
                  <w:r w:rsidRPr="00AE067B">
                    <w:rPr>
                      <w:rFonts w:asciiTheme="minorHAnsi" w:hAnsiTheme="minorHAnsi" w:cstheme="minorHAnsi"/>
                      <w:color w:val="000000"/>
                      <w:szCs w:val="18"/>
                    </w:rPr>
                    <w:t>-0.1</w:t>
                  </w:r>
                </w:p>
              </w:tc>
              <w:tc>
                <w:tcPr>
                  <w:tcW w:w="374" w:type="pct"/>
                  <w:tcBorders>
                    <w:top w:val="nil"/>
                    <w:left w:val="nil"/>
                    <w:bottom w:val="nil"/>
                    <w:right w:val="nil"/>
                  </w:tcBorders>
                  <w:shd w:val="clear" w:color="auto" w:fill="auto"/>
                  <w:tcMar>
                    <w:left w:w="0" w:type="dxa"/>
                    <w:right w:w="0" w:type="dxa"/>
                  </w:tcMar>
                  <w:vAlign w:val="bottom"/>
                </w:tcPr>
                <w:p w14:paraId="7954BF0E" w14:textId="77777777" w:rsidR="00F05DC7" w:rsidRPr="00AE067B" w:rsidRDefault="00F05DC7" w:rsidP="00A3786D">
                  <w:pPr>
                    <w:pStyle w:val="TableBodyText"/>
                    <w:ind w:right="57"/>
                    <w:rPr>
                      <w:rFonts w:asciiTheme="minorHAnsi" w:hAnsiTheme="minorHAnsi" w:cstheme="minorHAnsi"/>
                      <w:szCs w:val="18"/>
                    </w:rPr>
                  </w:pPr>
                  <w:r w:rsidRPr="00AE067B">
                    <w:rPr>
                      <w:rFonts w:asciiTheme="minorHAnsi" w:hAnsiTheme="minorHAnsi" w:cstheme="minorHAnsi"/>
                      <w:color w:val="000000"/>
                      <w:szCs w:val="18"/>
                    </w:rPr>
                    <w:t>-0.2</w:t>
                  </w:r>
                </w:p>
              </w:tc>
              <w:tc>
                <w:tcPr>
                  <w:tcW w:w="375" w:type="pct"/>
                  <w:tcBorders>
                    <w:top w:val="nil"/>
                    <w:left w:val="nil"/>
                    <w:bottom w:val="nil"/>
                    <w:right w:val="nil"/>
                  </w:tcBorders>
                  <w:shd w:val="clear" w:color="auto" w:fill="auto"/>
                  <w:tcMar>
                    <w:left w:w="0" w:type="dxa"/>
                    <w:right w:w="0" w:type="dxa"/>
                  </w:tcMar>
                  <w:vAlign w:val="bottom"/>
                </w:tcPr>
                <w:p w14:paraId="7954BF0F" w14:textId="77777777" w:rsidR="00F05DC7" w:rsidRPr="00AE067B" w:rsidRDefault="00F05DC7" w:rsidP="00A3786D">
                  <w:pPr>
                    <w:pStyle w:val="TableBodyText"/>
                    <w:ind w:right="57"/>
                    <w:rPr>
                      <w:rFonts w:asciiTheme="minorHAnsi" w:hAnsiTheme="minorHAnsi" w:cstheme="minorHAnsi"/>
                      <w:szCs w:val="18"/>
                    </w:rPr>
                  </w:pPr>
                  <w:r w:rsidRPr="00AE067B">
                    <w:rPr>
                      <w:rFonts w:asciiTheme="minorHAnsi" w:hAnsiTheme="minorHAnsi" w:cstheme="minorHAnsi"/>
                      <w:color w:val="000000"/>
                      <w:szCs w:val="18"/>
                    </w:rPr>
                    <w:t>-0.1</w:t>
                  </w:r>
                </w:p>
              </w:tc>
              <w:tc>
                <w:tcPr>
                  <w:tcW w:w="374" w:type="pct"/>
                  <w:tcBorders>
                    <w:top w:val="nil"/>
                    <w:left w:val="nil"/>
                    <w:bottom w:val="nil"/>
                    <w:right w:val="nil"/>
                  </w:tcBorders>
                  <w:shd w:val="clear" w:color="auto" w:fill="auto"/>
                  <w:tcMar>
                    <w:left w:w="0" w:type="dxa"/>
                    <w:right w:w="0" w:type="dxa"/>
                  </w:tcMar>
                  <w:vAlign w:val="bottom"/>
                </w:tcPr>
                <w:p w14:paraId="7954BF10" w14:textId="77777777" w:rsidR="00F05DC7" w:rsidRPr="00AE067B" w:rsidRDefault="00F05DC7" w:rsidP="00A3786D">
                  <w:pPr>
                    <w:pStyle w:val="TableBodyText"/>
                    <w:ind w:right="57"/>
                    <w:rPr>
                      <w:rFonts w:asciiTheme="minorHAnsi" w:hAnsiTheme="minorHAnsi" w:cstheme="minorHAnsi"/>
                      <w:szCs w:val="18"/>
                    </w:rPr>
                  </w:pPr>
                  <w:r w:rsidRPr="00AE067B">
                    <w:rPr>
                      <w:rFonts w:asciiTheme="minorHAnsi" w:hAnsiTheme="minorHAnsi" w:cstheme="minorHAnsi"/>
                      <w:color w:val="000000"/>
                      <w:szCs w:val="18"/>
                    </w:rPr>
                    <w:t>-0.1</w:t>
                  </w:r>
                </w:p>
              </w:tc>
              <w:tc>
                <w:tcPr>
                  <w:tcW w:w="375" w:type="pct"/>
                  <w:tcBorders>
                    <w:top w:val="nil"/>
                    <w:left w:val="nil"/>
                    <w:bottom w:val="nil"/>
                    <w:right w:val="nil"/>
                  </w:tcBorders>
                  <w:shd w:val="clear" w:color="auto" w:fill="auto"/>
                  <w:tcMar>
                    <w:left w:w="0" w:type="dxa"/>
                    <w:right w:w="0" w:type="dxa"/>
                  </w:tcMar>
                  <w:vAlign w:val="bottom"/>
                </w:tcPr>
                <w:p w14:paraId="7954BF11" w14:textId="77777777" w:rsidR="00F05DC7" w:rsidRPr="00AE067B" w:rsidRDefault="00F05DC7" w:rsidP="00A3786D">
                  <w:pPr>
                    <w:pStyle w:val="TableBodyText"/>
                    <w:ind w:right="57"/>
                    <w:rPr>
                      <w:rFonts w:asciiTheme="minorHAnsi" w:hAnsiTheme="minorHAnsi" w:cstheme="minorHAnsi"/>
                      <w:szCs w:val="18"/>
                    </w:rPr>
                  </w:pPr>
                  <w:r w:rsidRPr="00AE067B">
                    <w:rPr>
                      <w:rFonts w:asciiTheme="minorHAnsi" w:hAnsiTheme="minorHAnsi" w:cstheme="minorHAnsi"/>
                      <w:color w:val="000000"/>
                      <w:szCs w:val="18"/>
                    </w:rPr>
                    <w:t>-0.1</w:t>
                  </w:r>
                </w:p>
              </w:tc>
            </w:tr>
            <w:tr w:rsidR="00F05DC7" w14:paraId="7954BF1C" w14:textId="77777777" w:rsidTr="00A3786D">
              <w:trPr>
                <w:trHeight w:val="300"/>
              </w:trPr>
              <w:tc>
                <w:tcPr>
                  <w:tcW w:w="1931" w:type="pct"/>
                  <w:tcBorders>
                    <w:top w:val="nil"/>
                    <w:left w:val="nil"/>
                    <w:right w:val="nil"/>
                  </w:tcBorders>
                  <w:shd w:val="clear" w:color="auto" w:fill="auto"/>
                  <w:tcMar>
                    <w:left w:w="0" w:type="dxa"/>
                    <w:right w:w="0" w:type="dxa"/>
                  </w:tcMar>
                  <w:vAlign w:val="center"/>
                </w:tcPr>
                <w:p w14:paraId="7954BF13" w14:textId="77777777" w:rsidR="00F05DC7" w:rsidRDefault="00F05DC7" w:rsidP="00A3786D">
                  <w:pPr>
                    <w:pStyle w:val="TableBodyText"/>
                    <w:jc w:val="left"/>
                  </w:pPr>
                  <w:r>
                    <w:t>Change in GST payments (% of pre</w:t>
                  </w:r>
                  <w:r>
                    <w:noBreakHyphen/>
                    <w:t>reform insurance tax revenue)</w:t>
                  </w:r>
                </w:p>
              </w:tc>
              <w:tc>
                <w:tcPr>
                  <w:tcW w:w="447" w:type="pct"/>
                  <w:tcBorders>
                    <w:top w:val="nil"/>
                    <w:left w:val="nil"/>
                    <w:right w:val="nil"/>
                  </w:tcBorders>
                  <w:shd w:val="clear" w:color="auto" w:fill="auto"/>
                  <w:tcMar>
                    <w:left w:w="0" w:type="dxa"/>
                    <w:right w:w="0" w:type="dxa"/>
                  </w:tcMar>
                </w:tcPr>
                <w:p w14:paraId="7954BF14" w14:textId="77777777" w:rsidR="00F05DC7" w:rsidRPr="00AE067B" w:rsidRDefault="00F05DC7" w:rsidP="00A3786D">
                  <w:pPr>
                    <w:pStyle w:val="TableBodyText"/>
                    <w:ind w:right="57"/>
                    <w:rPr>
                      <w:rFonts w:asciiTheme="minorHAnsi" w:hAnsiTheme="minorHAnsi" w:cstheme="minorHAnsi"/>
                      <w:color w:val="000000"/>
                      <w:szCs w:val="18"/>
                    </w:rPr>
                  </w:pPr>
                  <w:r>
                    <w:t>-1</w:t>
                  </w:r>
                </w:p>
              </w:tc>
              <w:tc>
                <w:tcPr>
                  <w:tcW w:w="375" w:type="pct"/>
                  <w:tcBorders>
                    <w:top w:val="nil"/>
                    <w:left w:val="nil"/>
                    <w:right w:val="nil"/>
                  </w:tcBorders>
                  <w:shd w:val="clear" w:color="auto" w:fill="auto"/>
                  <w:tcMar>
                    <w:left w:w="0" w:type="dxa"/>
                    <w:right w:w="0" w:type="dxa"/>
                  </w:tcMar>
                </w:tcPr>
                <w:p w14:paraId="7954BF15" w14:textId="77777777" w:rsidR="00F05DC7" w:rsidRPr="00AE067B" w:rsidRDefault="00F05DC7" w:rsidP="00A3786D">
                  <w:pPr>
                    <w:pStyle w:val="TableBodyText"/>
                    <w:ind w:right="57"/>
                    <w:rPr>
                      <w:rFonts w:asciiTheme="minorHAnsi" w:hAnsiTheme="minorHAnsi" w:cstheme="minorHAnsi"/>
                      <w:color w:val="000000"/>
                      <w:szCs w:val="18"/>
                    </w:rPr>
                  </w:pPr>
                  <w:r>
                    <w:t>-7</w:t>
                  </w:r>
                </w:p>
              </w:tc>
              <w:tc>
                <w:tcPr>
                  <w:tcW w:w="374" w:type="pct"/>
                  <w:tcBorders>
                    <w:top w:val="nil"/>
                    <w:left w:val="nil"/>
                    <w:right w:val="nil"/>
                  </w:tcBorders>
                  <w:shd w:val="clear" w:color="auto" w:fill="auto"/>
                  <w:tcMar>
                    <w:left w:w="0" w:type="dxa"/>
                    <w:right w:w="0" w:type="dxa"/>
                  </w:tcMar>
                </w:tcPr>
                <w:p w14:paraId="7954BF16" w14:textId="77777777" w:rsidR="00F05DC7" w:rsidRPr="00AE067B" w:rsidRDefault="00F05DC7" w:rsidP="00A3786D">
                  <w:pPr>
                    <w:pStyle w:val="TableBodyText"/>
                    <w:ind w:right="57"/>
                    <w:rPr>
                      <w:rFonts w:asciiTheme="minorHAnsi" w:hAnsiTheme="minorHAnsi" w:cstheme="minorHAnsi"/>
                      <w:color w:val="000000"/>
                      <w:szCs w:val="18"/>
                    </w:rPr>
                  </w:pPr>
                  <w:r>
                    <w:t>-7</w:t>
                  </w:r>
                </w:p>
              </w:tc>
              <w:tc>
                <w:tcPr>
                  <w:tcW w:w="375" w:type="pct"/>
                  <w:tcBorders>
                    <w:top w:val="nil"/>
                    <w:left w:val="nil"/>
                    <w:right w:val="nil"/>
                  </w:tcBorders>
                  <w:shd w:val="clear" w:color="auto" w:fill="auto"/>
                  <w:tcMar>
                    <w:left w:w="0" w:type="dxa"/>
                    <w:right w:w="0" w:type="dxa"/>
                  </w:tcMar>
                </w:tcPr>
                <w:p w14:paraId="7954BF17" w14:textId="77777777" w:rsidR="00F05DC7" w:rsidRPr="00AE067B" w:rsidRDefault="00F05DC7" w:rsidP="00A3786D">
                  <w:pPr>
                    <w:pStyle w:val="TableBodyText"/>
                    <w:ind w:right="57"/>
                    <w:rPr>
                      <w:rFonts w:asciiTheme="minorHAnsi" w:hAnsiTheme="minorHAnsi" w:cstheme="minorHAnsi"/>
                      <w:color w:val="000000"/>
                      <w:szCs w:val="18"/>
                    </w:rPr>
                  </w:pPr>
                  <w:r>
                    <w:t>-6</w:t>
                  </w:r>
                </w:p>
              </w:tc>
              <w:tc>
                <w:tcPr>
                  <w:tcW w:w="374" w:type="pct"/>
                  <w:tcBorders>
                    <w:top w:val="nil"/>
                    <w:left w:val="nil"/>
                    <w:right w:val="nil"/>
                  </w:tcBorders>
                  <w:shd w:val="clear" w:color="auto" w:fill="auto"/>
                  <w:tcMar>
                    <w:left w:w="0" w:type="dxa"/>
                    <w:right w:w="0" w:type="dxa"/>
                  </w:tcMar>
                </w:tcPr>
                <w:p w14:paraId="7954BF18" w14:textId="77777777" w:rsidR="00F05DC7" w:rsidRPr="00AE067B" w:rsidRDefault="00F05DC7" w:rsidP="00A3786D">
                  <w:pPr>
                    <w:pStyle w:val="TableBodyText"/>
                    <w:ind w:right="57"/>
                    <w:rPr>
                      <w:rFonts w:asciiTheme="minorHAnsi" w:hAnsiTheme="minorHAnsi" w:cstheme="minorHAnsi"/>
                      <w:color w:val="000000"/>
                      <w:szCs w:val="18"/>
                    </w:rPr>
                  </w:pPr>
                  <w:r w:rsidRPr="003C4808">
                    <w:t>-6</w:t>
                  </w:r>
                </w:p>
              </w:tc>
              <w:tc>
                <w:tcPr>
                  <w:tcW w:w="375" w:type="pct"/>
                  <w:tcBorders>
                    <w:top w:val="nil"/>
                    <w:left w:val="nil"/>
                    <w:right w:val="nil"/>
                  </w:tcBorders>
                  <w:shd w:val="clear" w:color="auto" w:fill="auto"/>
                  <w:tcMar>
                    <w:left w:w="0" w:type="dxa"/>
                    <w:right w:w="0" w:type="dxa"/>
                  </w:tcMar>
                </w:tcPr>
                <w:p w14:paraId="7954BF19" w14:textId="77777777" w:rsidR="00F05DC7" w:rsidRPr="00AE067B" w:rsidRDefault="00F05DC7" w:rsidP="00A3786D">
                  <w:pPr>
                    <w:pStyle w:val="TableBodyText"/>
                    <w:ind w:right="57"/>
                    <w:rPr>
                      <w:rFonts w:asciiTheme="minorHAnsi" w:hAnsiTheme="minorHAnsi" w:cstheme="minorHAnsi"/>
                      <w:color w:val="000000"/>
                      <w:szCs w:val="18"/>
                    </w:rPr>
                  </w:pPr>
                  <w:r>
                    <w:t>-8</w:t>
                  </w:r>
                </w:p>
              </w:tc>
              <w:tc>
                <w:tcPr>
                  <w:tcW w:w="374" w:type="pct"/>
                  <w:tcBorders>
                    <w:top w:val="nil"/>
                    <w:left w:val="nil"/>
                    <w:right w:val="nil"/>
                  </w:tcBorders>
                  <w:shd w:val="clear" w:color="auto" w:fill="auto"/>
                  <w:tcMar>
                    <w:left w:w="0" w:type="dxa"/>
                    <w:right w:w="0" w:type="dxa"/>
                  </w:tcMar>
                </w:tcPr>
                <w:p w14:paraId="7954BF1A" w14:textId="77777777" w:rsidR="00F05DC7" w:rsidRPr="00AE067B" w:rsidRDefault="00F05DC7" w:rsidP="00A3786D">
                  <w:pPr>
                    <w:pStyle w:val="TableBodyText"/>
                    <w:ind w:right="57"/>
                    <w:rPr>
                      <w:rFonts w:asciiTheme="minorHAnsi" w:hAnsiTheme="minorHAnsi" w:cstheme="minorHAnsi"/>
                      <w:color w:val="000000"/>
                      <w:szCs w:val="18"/>
                    </w:rPr>
                  </w:pPr>
                  <w:r>
                    <w:t>-19</w:t>
                  </w:r>
                </w:p>
              </w:tc>
              <w:tc>
                <w:tcPr>
                  <w:tcW w:w="375" w:type="pct"/>
                  <w:tcBorders>
                    <w:top w:val="nil"/>
                    <w:left w:val="nil"/>
                    <w:right w:val="nil"/>
                  </w:tcBorders>
                  <w:shd w:val="clear" w:color="auto" w:fill="auto"/>
                  <w:tcMar>
                    <w:left w:w="0" w:type="dxa"/>
                    <w:right w:w="0" w:type="dxa"/>
                  </w:tcMar>
                </w:tcPr>
                <w:p w14:paraId="7954BF1B" w14:textId="77777777" w:rsidR="00F05DC7" w:rsidRPr="00AE067B" w:rsidRDefault="00F05DC7" w:rsidP="00A3786D">
                  <w:pPr>
                    <w:pStyle w:val="TableBodyText"/>
                    <w:ind w:right="57"/>
                    <w:rPr>
                      <w:rFonts w:asciiTheme="minorHAnsi" w:hAnsiTheme="minorHAnsi" w:cstheme="minorHAnsi"/>
                      <w:color w:val="000000"/>
                      <w:szCs w:val="18"/>
                    </w:rPr>
                  </w:pPr>
                  <w:r>
                    <w:t>-6</w:t>
                  </w:r>
                </w:p>
              </w:tc>
            </w:tr>
            <w:tr w:rsidR="00F05DC7" w14:paraId="7954BF26" w14:textId="77777777" w:rsidTr="00B963A4">
              <w:trPr>
                <w:trHeight w:val="300"/>
              </w:trPr>
              <w:tc>
                <w:tcPr>
                  <w:tcW w:w="1931" w:type="pct"/>
                  <w:tcBorders>
                    <w:top w:val="nil"/>
                    <w:left w:val="nil"/>
                    <w:bottom w:val="single" w:sz="6" w:space="0" w:color="BFBFBF"/>
                    <w:right w:val="nil"/>
                  </w:tcBorders>
                  <w:shd w:val="clear" w:color="auto" w:fill="auto"/>
                  <w:tcMar>
                    <w:left w:w="0" w:type="dxa"/>
                    <w:right w:w="0" w:type="dxa"/>
                  </w:tcMar>
                  <w:vAlign w:val="center"/>
                  <w:hideMark/>
                </w:tcPr>
                <w:p w14:paraId="7954BF1D" w14:textId="77777777" w:rsidR="00F05DC7" w:rsidRPr="00775B18" w:rsidRDefault="00F05DC7" w:rsidP="00A3786D">
                  <w:pPr>
                    <w:pStyle w:val="TableBodyText"/>
                    <w:jc w:val="left"/>
                  </w:pPr>
                  <w:r w:rsidRPr="00C9149D">
                    <w:t>New</w:t>
                  </w:r>
                  <w:r w:rsidRPr="00775B18">
                    <w:t xml:space="preserve"> GST relativity</w:t>
                  </w:r>
                </w:p>
              </w:tc>
              <w:tc>
                <w:tcPr>
                  <w:tcW w:w="447" w:type="pct"/>
                  <w:tcBorders>
                    <w:top w:val="nil"/>
                    <w:left w:val="nil"/>
                    <w:bottom w:val="single" w:sz="6" w:space="0" w:color="BFBFBF"/>
                    <w:right w:val="nil"/>
                  </w:tcBorders>
                  <w:shd w:val="clear" w:color="auto" w:fill="auto"/>
                  <w:tcMar>
                    <w:left w:w="0" w:type="dxa"/>
                    <w:right w:w="0" w:type="dxa"/>
                  </w:tcMar>
                </w:tcPr>
                <w:p w14:paraId="7954BF1E" w14:textId="77777777" w:rsidR="00F05DC7" w:rsidRPr="00C9149D" w:rsidRDefault="00F05DC7" w:rsidP="00A3786D">
                  <w:pPr>
                    <w:pStyle w:val="TableBodyText"/>
                    <w:ind w:right="57"/>
                  </w:pPr>
                  <w:r w:rsidRPr="003C4808">
                    <w:t>0.8</w:t>
                  </w:r>
                  <w:r>
                    <w:t>4</w:t>
                  </w:r>
                </w:p>
              </w:tc>
              <w:tc>
                <w:tcPr>
                  <w:tcW w:w="375" w:type="pct"/>
                  <w:tcBorders>
                    <w:top w:val="nil"/>
                    <w:left w:val="nil"/>
                    <w:bottom w:val="single" w:sz="6" w:space="0" w:color="BFBFBF"/>
                    <w:right w:val="nil"/>
                  </w:tcBorders>
                  <w:shd w:val="clear" w:color="auto" w:fill="auto"/>
                  <w:tcMar>
                    <w:left w:w="0" w:type="dxa"/>
                    <w:right w:w="0" w:type="dxa"/>
                  </w:tcMar>
                </w:tcPr>
                <w:p w14:paraId="7954BF1F" w14:textId="77777777" w:rsidR="00F05DC7" w:rsidRPr="00C9149D" w:rsidRDefault="00F05DC7" w:rsidP="00A3786D">
                  <w:pPr>
                    <w:pStyle w:val="TableBodyText"/>
                    <w:ind w:right="57"/>
                  </w:pPr>
                  <w:r>
                    <w:t>1.01</w:t>
                  </w:r>
                </w:p>
              </w:tc>
              <w:tc>
                <w:tcPr>
                  <w:tcW w:w="374" w:type="pct"/>
                  <w:tcBorders>
                    <w:top w:val="nil"/>
                    <w:left w:val="nil"/>
                    <w:bottom w:val="single" w:sz="6" w:space="0" w:color="BFBFBF"/>
                    <w:right w:val="nil"/>
                  </w:tcBorders>
                  <w:shd w:val="clear" w:color="auto" w:fill="auto"/>
                  <w:tcMar>
                    <w:left w:w="0" w:type="dxa"/>
                    <w:right w:w="0" w:type="dxa"/>
                  </w:tcMar>
                </w:tcPr>
                <w:p w14:paraId="7954BF20" w14:textId="77777777" w:rsidR="00F05DC7" w:rsidRPr="00C9149D" w:rsidRDefault="00F05DC7" w:rsidP="00A3786D">
                  <w:pPr>
                    <w:pStyle w:val="TableBodyText"/>
                    <w:ind w:right="57"/>
                  </w:pPr>
                  <w:r>
                    <w:t>1.03</w:t>
                  </w:r>
                </w:p>
              </w:tc>
              <w:tc>
                <w:tcPr>
                  <w:tcW w:w="375" w:type="pct"/>
                  <w:tcBorders>
                    <w:top w:val="nil"/>
                    <w:left w:val="nil"/>
                    <w:bottom w:val="single" w:sz="6" w:space="0" w:color="BFBFBF"/>
                    <w:right w:val="nil"/>
                  </w:tcBorders>
                  <w:shd w:val="clear" w:color="auto" w:fill="auto"/>
                  <w:tcMar>
                    <w:left w:w="0" w:type="dxa"/>
                    <w:right w:w="0" w:type="dxa"/>
                  </w:tcMar>
                </w:tcPr>
                <w:p w14:paraId="7954BF21" w14:textId="77777777" w:rsidR="00F05DC7" w:rsidRPr="00C9149D" w:rsidRDefault="00F05DC7" w:rsidP="00A3786D">
                  <w:pPr>
                    <w:pStyle w:val="TableBodyText"/>
                    <w:ind w:right="57"/>
                  </w:pPr>
                  <w:r w:rsidRPr="003C4808">
                    <w:t>0.5</w:t>
                  </w:r>
                  <w:r>
                    <w:t>7</w:t>
                  </w:r>
                </w:p>
              </w:tc>
              <w:tc>
                <w:tcPr>
                  <w:tcW w:w="374" w:type="pct"/>
                  <w:tcBorders>
                    <w:top w:val="nil"/>
                    <w:left w:val="nil"/>
                    <w:bottom w:val="single" w:sz="6" w:space="0" w:color="BFBFBF"/>
                    <w:right w:val="nil"/>
                  </w:tcBorders>
                  <w:shd w:val="clear" w:color="auto" w:fill="auto"/>
                  <w:tcMar>
                    <w:left w:w="0" w:type="dxa"/>
                    <w:right w:w="0" w:type="dxa"/>
                  </w:tcMar>
                </w:tcPr>
                <w:p w14:paraId="7954BF22" w14:textId="77777777" w:rsidR="00F05DC7" w:rsidRPr="00C9149D" w:rsidRDefault="00F05DC7" w:rsidP="00A3786D">
                  <w:pPr>
                    <w:pStyle w:val="TableBodyText"/>
                    <w:ind w:right="57"/>
                  </w:pPr>
                  <w:r>
                    <w:t>1.52</w:t>
                  </w:r>
                </w:p>
              </w:tc>
              <w:tc>
                <w:tcPr>
                  <w:tcW w:w="375" w:type="pct"/>
                  <w:tcBorders>
                    <w:top w:val="nil"/>
                    <w:left w:val="nil"/>
                    <w:bottom w:val="single" w:sz="6" w:space="0" w:color="BFBFBF"/>
                    <w:right w:val="nil"/>
                  </w:tcBorders>
                  <w:shd w:val="clear" w:color="auto" w:fill="auto"/>
                  <w:tcMar>
                    <w:left w:w="0" w:type="dxa"/>
                    <w:right w:w="0" w:type="dxa"/>
                  </w:tcMar>
                </w:tcPr>
                <w:p w14:paraId="7954BF23" w14:textId="77777777" w:rsidR="00F05DC7" w:rsidRPr="00C9149D" w:rsidRDefault="00F05DC7" w:rsidP="00A3786D">
                  <w:pPr>
                    <w:pStyle w:val="TableBodyText"/>
                    <w:ind w:right="57"/>
                  </w:pPr>
                  <w:r>
                    <w:t>1.71</w:t>
                  </w:r>
                </w:p>
              </w:tc>
              <w:tc>
                <w:tcPr>
                  <w:tcW w:w="374" w:type="pct"/>
                  <w:tcBorders>
                    <w:top w:val="nil"/>
                    <w:left w:val="nil"/>
                    <w:bottom w:val="single" w:sz="6" w:space="0" w:color="BFBFBF"/>
                    <w:right w:val="nil"/>
                  </w:tcBorders>
                  <w:shd w:val="clear" w:color="auto" w:fill="auto"/>
                  <w:tcMar>
                    <w:left w:w="0" w:type="dxa"/>
                    <w:right w:w="0" w:type="dxa"/>
                  </w:tcMar>
                </w:tcPr>
                <w:p w14:paraId="7954BF24" w14:textId="77777777" w:rsidR="00F05DC7" w:rsidRPr="00C9149D" w:rsidRDefault="00F05DC7" w:rsidP="00A3786D">
                  <w:pPr>
                    <w:pStyle w:val="TableBodyText"/>
                    <w:ind w:right="57"/>
                  </w:pPr>
                  <w:r>
                    <w:t>1.21</w:t>
                  </w:r>
                </w:p>
              </w:tc>
              <w:tc>
                <w:tcPr>
                  <w:tcW w:w="375" w:type="pct"/>
                  <w:tcBorders>
                    <w:top w:val="nil"/>
                    <w:left w:val="nil"/>
                    <w:bottom w:val="single" w:sz="6" w:space="0" w:color="BFBFBF"/>
                    <w:right w:val="nil"/>
                  </w:tcBorders>
                  <w:shd w:val="clear" w:color="auto" w:fill="auto"/>
                  <w:tcMar>
                    <w:left w:w="0" w:type="dxa"/>
                    <w:right w:w="0" w:type="dxa"/>
                  </w:tcMar>
                </w:tcPr>
                <w:p w14:paraId="7954BF25" w14:textId="77777777" w:rsidR="00F05DC7" w:rsidRPr="00C9149D" w:rsidRDefault="00F05DC7" w:rsidP="00A3786D">
                  <w:pPr>
                    <w:pStyle w:val="TableBodyText"/>
                    <w:ind w:right="57"/>
                  </w:pPr>
                  <w:r w:rsidRPr="003C4808">
                    <w:t>4.</w:t>
                  </w:r>
                  <w:r>
                    <w:t>18</w:t>
                  </w:r>
                </w:p>
              </w:tc>
            </w:tr>
          </w:tbl>
          <w:p w14:paraId="7954BF27" w14:textId="77777777" w:rsidR="00F05DC7" w:rsidRDefault="00F05DC7" w:rsidP="00A3786D">
            <w:pPr>
              <w:pStyle w:val="Box"/>
            </w:pPr>
          </w:p>
        </w:tc>
      </w:tr>
      <w:tr w:rsidR="00F05DC7" w14:paraId="7954BF2A" w14:textId="77777777" w:rsidTr="00A3786D">
        <w:tc>
          <w:tcPr>
            <w:tcW w:w="5000" w:type="pct"/>
            <w:tcBorders>
              <w:top w:val="nil"/>
              <w:left w:val="nil"/>
              <w:bottom w:val="nil"/>
              <w:right w:val="nil"/>
            </w:tcBorders>
            <w:shd w:val="clear" w:color="auto" w:fill="auto"/>
          </w:tcPr>
          <w:p w14:paraId="7954BF29"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F2C" w14:textId="77777777" w:rsidTr="00A3786D">
        <w:tc>
          <w:tcPr>
            <w:tcW w:w="5000" w:type="pct"/>
            <w:tcBorders>
              <w:top w:val="nil"/>
              <w:left w:val="nil"/>
              <w:bottom w:val="single" w:sz="6" w:space="0" w:color="78A22F"/>
              <w:right w:val="nil"/>
            </w:tcBorders>
            <w:shd w:val="clear" w:color="auto" w:fill="auto"/>
          </w:tcPr>
          <w:p w14:paraId="7954BF2B" w14:textId="77777777" w:rsidR="00F05DC7" w:rsidRDefault="00F05DC7" w:rsidP="00A3786D">
            <w:pPr>
              <w:pStyle w:val="Box"/>
              <w:spacing w:before="0" w:line="120" w:lineRule="exact"/>
            </w:pPr>
          </w:p>
        </w:tc>
      </w:tr>
      <w:tr w:rsidR="00F05DC7" w:rsidRPr="000863A5" w14:paraId="7954BF2E" w14:textId="77777777" w:rsidTr="00A3786D">
        <w:tc>
          <w:tcPr>
            <w:tcW w:w="5000" w:type="pct"/>
            <w:tcBorders>
              <w:top w:val="single" w:sz="6" w:space="0" w:color="78A22F"/>
              <w:left w:val="nil"/>
              <w:bottom w:val="nil"/>
              <w:right w:val="nil"/>
            </w:tcBorders>
          </w:tcPr>
          <w:p w14:paraId="7954BF2D" w14:textId="77777777" w:rsidR="00F05DC7" w:rsidRPr="00626D32" w:rsidRDefault="00F05DC7" w:rsidP="00A3786D">
            <w:pPr>
              <w:pStyle w:val="BoxSpaceBelow"/>
            </w:pPr>
          </w:p>
        </w:tc>
      </w:tr>
    </w:tbl>
    <w:p w14:paraId="7954BF2F"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F32" w14:textId="77777777" w:rsidTr="0041223B">
        <w:trPr>
          <w:tblHeader/>
        </w:trPr>
        <w:tc>
          <w:tcPr>
            <w:tcW w:w="5000" w:type="pct"/>
            <w:tcBorders>
              <w:top w:val="single" w:sz="6" w:space="0" w:color="78A22F"/>
              <w:left w:val="nil"/>
              <w:bottom w:val="nil"/>
              <w:right w:val="nil"/>
            </w:tcBorders>
            <w:shd w:val="clear" w:color="auto" w:fill="auto"/>
          </w:tcPr>
          <w:p w14:paraId="7954BF30" w14:textId="404ECDE8" w:rsidR="00F05DC7" w:rsidRDefault="00F05DC7" w:rsidP="00A3786D">
            <w:pPr>
              <w:pStyle w:val="TableTitle"/>
            </w:pPr>
            <w:r>
              <w:rPr>
                <w:b w:val="0"/>
              </w:rPr>
              <w:t xml:space="preserve">Table </w:t>
            </w:r>
            <w:bookmarkStart w:id="122" w:name="OLE_LINK21"/>
            <w:r>
              <w:rPr>
                <w:b w:val="0"/>
              </w:rPr>
              <w:t>C.</w:t>
            </w:r>
            <w:bookmarkEnd w:id="122"/>
            <w:r>
              <w:rPr>
                <w:b w:val="0"/>
              </w:rPr>
              <w:t>27</w:t>
            </w:r>
            <w:r>
              <w:tab/>
              <w:t>GST impact of abolishing insurance taxes</w:t>
            </w:r>
          </w:p>
          <w:p w14:paraId="7954BF31" w14:textId="77777777" w:rsidR="00F05DC7" w:rsidRPr="00784A05" w:rsidRDefault="00F05DC7" w:rsidP="00A3786D">
            <w:pPr>
              <w:pStyle w:val="Subtitle"/>
            </w:pPr>
            <w:r>
              <w:t>Multilateral change by all States, 2016</w:t>
            </w:r>
            <w:r>
              <w:noBreakHyphen/>
              <w:t>17</w:t>
            </w:r>
          </w:p>
        </w:tc>
      </w:tr>
      <w:tr w:rsidR="00F05DC7" w14:paraId="7954BF7A" w14:textId="77777777" w:rsidTr="000C4A9B">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3285"/>
              <w:gridCol w:w="760"/>
              <w:gridCol w:w="638"/>
              <w:gridCol w:w="636"/>
              <w:gridCol w:w="638"/>
              <w:gridCol w:w="636"/>
              <w:gridCol w:w="638"/>
              <w:gridCol w:w="636"/>
              <w:gridCol w:w="638"/>
            </w:tblGrid>
            <w:tr w:rsidR="00F05DC7" w14:paraId="7954BF3C" w14:textId="77777777" w:rsidTr="0041223B">
              <w:trPr>
                <w:trHeight w:val="300"/>
                <w:tblHeader/>
              </w:trPr>
              <w:tc>
                <w:tcPr>
                  <w:tcW w:w="1931" w:type="pct"/>
                  <w:tcBorders>
                    <w:top w:val="single" w:sz="8" w:space="0" w:color="BFBFBF"/>
                    <w:left w:val="nil"/>
                    <w:bottom w:val="single" w:sz="6" w:space="0" w:color="BFBFBF"/>
                    <w:right w:val="nil"/>
                  </w:tcBorders>
                  <w:shd w:val="clear" w:color="auto" w:fill="auto"/>
                  <w:tcMar>
                    <w:left w:w="0" w:type="dxa"/>
                    <w:right w:w="0" w:type="dxa"/>
                  </w:tcMar>
                  <w:vAlign w:val="center"/>
                  <w:hideMark/>
                </w:tcPr>
                <w:p w14:paraId="7954BF33" w14:textId="77777777" w:rsidR="00F05DC7" w:rsidRDefault="00F05DC7" w:rsidP="00A3786D">
                  <w:pPr>
                    <w:pStyle w:val="TableColumnHeading"/>
                  </w:pPr>
                </w:p>
              </w:tc>
              <w:tc>
                <w:tcPr>
                  <w:tcW w:w="447"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F34"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NSW</w:t>
                  </w:r>
                </w:p>
              </w:tc>
              <w:tc>
                <w:tcPr>
                  <w:tcW w:w="375"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F35"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Vic</w:t>
                  </w:r>
                </w:p>
              </w:tc>
              <w:tc>
                <w:tcPr>
                  <w:tcW w:w="374"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F36"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Qld</w:t>
                  </w:r>
                </w:p>
              </w:tc>
              <w:tc>
                <w:tcPr>
                  <w:tcW w:w="375"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F37"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WA</w:t>
                  </w:r>
                </w:p>
              </w:tc>
              <w:tc>
                <w:tcPr>
                  <w:tcW w:w="374"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F38"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SA</w:t>
                  </w:r>
                </w:p>
              </w:tc>
              <w:tc>
                <w:tcPr>
                  <w:tcW w:w="375"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F39"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Tas</w:t>
                  </w:r>
                </w:p>
              </w:tc>
              <w:tc>
                <w:tcPr>
                  <w:tcW w:w="374"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F3A"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ACT</w:t>
                  </w:r>
                </w:p>
              </w:tc>
              <w:tc>
                <w:tcPr>
                  <w:tcW w:w="375" w:type="pct"/>
                  <w:tcBorders>
                    <w:top w:val="single" w:sz="8" w:space="0" w:color="BFBFBF"/>
                    <w:left w:val="nil"/>
                    <w:bottom w:val="single" w:sz="6" w:space="0" w:color="BFBFBF"/>
                    <w:right w:val="nil"/>
                  </w:tcBorders>
                  <w:shd w:val="clear" w:color="auto" w:fill="auto"/>
                  <w:tcMar>
                    <w:left w:w="0" w:type="dxa"/>
                    <w:right w:w="0" w:type="dxa"/>
                  </w:tcMar>
                  <w:vAlign w:val="bottom"/>
                  <w:hideMark/>
                </w:tcPr>
                <w:p w14:paraId="7954BF3B"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NT</w:t>
                  </w:r>
                </w:p>
              </w:tc>
            </w:tr>
            <w:tr w:rsidR="00F05DC7" w14:paraId="7954BF46" w14:textId="77777777" w:rsidTr="0041223B">
              <w:trPr>
                <w:trHeight w:val="288"/>
              </w:trPr>
              <w:tc>
                <w:tcPr>
                  <w:tcW w:w="1931" w:type="pct"/>
                  <w:tcBorders>
                    <w:top w:val="single" w:sz="6" w:space="0" w:color="BFBFBF"/>
                    <w:left w:val="nil"/>
                    <w:right w:val="nil"/>
                  </w:tcBorders>
                  <w:shd w:val="clear" w:color="auto" w:fill="auto"/>
                  <w:tcMar>
                    <w:left w:w="0" w:type="dxa"/>
                    <w:right w:w="0" w:type="dxa"/>
                  </w:tcMar>
                  <w:vAlign w:val="center"/>
                  <w:hideMark/>
                </w:tcPr>
                <w:p w14:paraId="7954BF3D" w14:textId="77777777" w:rsidR="00F05DC7" w:rsidRPr="00775B18" w:rsidRDefault="00F05DC7" w:rsidP="004F6C34">
                  <w:pPr>
                    <w:pStyle w:val="TableBodyText"/>
                    <w:spacing w:before="80"/>
                    <w:jc w:val="left"/>
                  </w:pPr>
                  <w:r w:rsidRPr="00C9149D">
                    <w:t>Baseline: GST annual relativity</w:t>
                  </w:r>
                </w:p>
              </w:tc>
              <w:tc>
                <w:tcPr>
                  <w:tcW w:w="447" w:type="pct"/>
                  <w:tcBorders>
                    <w:top w:val="single" w:sz="6" w:space="0" w:color="BFBFBF"/>
                    <w:left w:val="nil"/>
                    <w:right w:val="nil"/>
                  </w:tcBorders>
                  <w:shd w:val="clear" w:color="auto" w:fill="auto"/>
                  <w:tcMar>
                    <w:left w:w="0" w:type="dxa"/>
                    <w:right w:w="0" w:type="dxa"/>
                  </w:tcMar>
                  <w:vAlign w:val="bottom"/>
                  <w:hideMark/>
                </w:tcPr>
                <w:p w14:paraId="7954BF3E" w14:textId="77777777" w:rsidR="00F05DC7" w:rsidRPr="00CA7E55" w:rsidRDefault="00F05DC7" w:rsidP="004F6C34">
                  <w:pPr>
                    <w:pStyle w:val="TableBodyText"/>
                    <w:spacing w:before="80"/>
                    <w:ind w:right="57"/>
                    <w:rPr>
                      <w:rFonts w:cs="Arial"/>
                      <w:szCs w:val="18"/>
                    </w:rPr>
                  </w:pPr>
                  <w:r w:rsidRPr="00CA7E55">
                    <w:rPr>
                      <w:rFonts w:cs="Arial"/>
                      <w:bCs/>
                      <w:color w:val="000000" w:themeColor="text1"/>
                      <w:szCs w:val="18"/>
                    </w:rPr>
                    <w:t>0.84</w:t>
                  </w:r>
                </w:p>
              </w:tc>
              <w:tc>
                <w:tcPr>
                  <w:tcW w:w="375" w:type="pct"/>
                  <w:tcBorders>
                    <w:top w:val="single" w:sz="6" w:space="0" w:color="BFBFBF"/>
                    <w:left w:val="nil"/>
                    <w:right w:val="nil"/>
                  </w:tcBorders>
                  <w:shd w:val="clear" w:color="auto" w:fill="auto"/>
                  <w:tcMar>
                    <w:left w:w="0" w:type="dxa"/>
                    <w:right w:w="0" w:type="dxa"/>
                  </w:tcMar>
                  <w:vAlign w:val="bottom"/>
                  <w:hideMark/>
                </w:tcPr>
                <w:p w14:paraId="7954BF3F" w14:textId="77777777" w:rsidR="00F05DC7" w:rsidRPr="00CA7E55" w:rsidRDefault="00F05DC7" w:rsidP="004F6C34">
                  <w:pPr>
                    <w:pStyle w:val="TableBodyText"/>
                    <w:spacing w:before="80"/>
                    <w:ind w:right="57"/>
                    <w:rPr>
                      <w:rFonts w:cs="Arial"/>
                      <w:szCs w:val="18"/>
                    </w:rPr>
                  </w:pPr>
                  <w:r w:rsidRPr="00CA7E55">
                    <w:rPr>
                      <w:rFonts w:cs="Arial"/>
                      <w:bCs/>
                      <w:color w:val="000000" w:themeColor="text1"/>
                      <w:szCs w:val="18"/>
                    </w:rPr>
                    <w:t>1.01</w:t>
                  </w:r>
                </w:p>
              </w:tc>
              <w:tc>
                <w:tcPr>
                  <w:tcW w:w="374" w:type="pct"/>
                  <w:tcBorders>
                    <w:top w:val="single" w:sz="6" w:space="0" w:color="BFBFBF"/>
                    <w:left w:val="nil"/>
                    <w:right w:val="nil"/>
                  </w:tcBorders>
                  <w:shd w:val="clear" w:color="auto" w:fill="auto"/>
                  <w:tcMar>
                    <w:left w:w="0" w:type="dxa"/>
                    <w:right w:w="0" w:type="dxa"/>
                  </w:tcMar>
                  <w:vAlign w:val="bottom"/>
                  <w:hideMark/>
                </w:tcPr>
                <w:p w14:paraId="7954BF40" w14:textId="77777777" w:rsidR="00F05DC7" w:rsidRPr="00CA7E55" w:rsidRDefault="00F05DC7" w:rsidP="004F6C34">
                  <w:pPr>
                    <w:pStyle w:val="TableBodyText"/>
                    <w:spacing w:before="80"/>
                    <w:ind w:right="57"/>
                    <w:rPr>
                      <w:rFonts w:cs="Arial"/>
                      <w:szCs w:val="18"/>
                    </w:rPr>
                  </w:pPr>
                  <w:r w:rsidRPr="00CA7E55">
                    <w:rPr>
                      <w:rFonts w:cs="Arial"/>
                      <w:bCs/>
                      <w:color w:val="000000" w:themeColor="text1"/>
                      <w:szCs w:val="18"/>
                    </w:rPr>
                    <w:t>1.03</w:t>
                  </w:r>
                </w:p>
              </w:tc>
              <w:tc>
                <w:tcPr>
                  <w:tcW w:w="375" w:type="pct"/>
                  <w:tcBorders>
                    <w:top w:val="single" w:sz="6" w:space="0" w:color="BFBFBF"/>
                    <w:left w:val="nil"/>
                    <w:right w:val="nil"/>
                  </w:tcBorders>
                  <w:shd w:val="clear" w:color="auto" w:fill="auto"/>
                  <w:tcMar>
                    <w:left w:w="0" w:type="dxa"/>
                    <w:right w:w="0" w:type="dxa"/>
                  </w:tcMar>
                  <w:vAlign w:val="bottom"/>
                  <w:hideMark/>
                </w:tcPr>
                <w:p w14:paraId="7954BF41" w14:textId="77777777" w:rsidR="00F05DC7" w:rsidRPr="00CA7E55" w:rsidRDefault="00F05DC7" w:rsidP="004F6C34">
                  <w:pPr>
                    <w:pStyle w:val="TableBodyText"/>
                    <w:spacing w:before="80"/>
                    <w:ind w:right="57"/>
                    <w:rPr>
                      <w:rFonts w:cs="Arial"/>
                      <w:szCs w:val="18"/>
                    </w:rPr>
                  </w:pPr>
                  <w:r w:rsidRPr="00CA7E55">
                    <w:rPr>
                      <w:rFonts w:cs="Arial"/>
                      <w:bCs/>
                      <w:color w:val="000000" w:themeColor="text1"/>
                      <w:szCs w:val="18"/>
                    </w:rPr>
                    <w:t>0.57</w:t>
                  </w:r>
                </w:p>
              </w:tc>
              <w:tc>
                <w:tcPr>
                  <w:tcW w:w="374" w:type="pct"/>
                  <w:tcBorders>
                    <w:top w:val="single" w:sz="6" w:space="0" w:color="BFBFBF"/>
                    <w:left w:val="nil"/>
                    <w:right w:val="nil"/>
                  </w:tcBorders>
                  <w:shd w:val="clear" w:color="auto" w:fill="auto"/>
                  <w:tcMar>
                    <w:left w:w="0" w:type="dxa"/>
                    <w:right w:w="0" w:type="dxa"/>
                  </w:tcMar>
                  <w:vAlign w:val="bottom"/>
                  <w:hideMark/>
                </w:tcPr>
                <w:p w14:paraId="7954BF42" w14:textId="77777777" w:rsidR="00F05DC7" w:rsidRPr="00CA7E55" w:rsidRDefault="00F05DC7" w:rsidP="004F6C34">
                  <w:pPr>
                    <w:pStyle w:val="TableBodyText"/>
                    <w:spacing w:before="80"/>
                    <w:ind w:right="57"/>
                    <w:rPr>
                      <w:rFonts w:cs="Arial"/>
                      <w:szCs w:val="18"/>
                    </w:rPr>
                  </w:pPr>
                  <w:r w:rsidRPr="00CA7E55">
                    <w:rPr>
                      <w:rFonts w:cs="Arial"/>
                      <w:bCs/>
                      <w:color w:val="000000" w:themeColor="text1"/>
                      <w:szCs w:val="18"/>
                    </w:rPr>
                    <w:t>1.53</w:t>
                  </w:r>
                </w:p>
              </w:tc>
              <w:tc>
                <w:tcPr>
                  <w:tcW w:w="375" w:type="pct"/>
                  <w:tcBorders>
                    <w:top w:val="single" w:sz="6" w:space="0" w:color="BFBFBF"/>
                    <w:left w:val="nil"/>
                    <w:right w:val="nil"/>
                  </w:tcBorders>
                  <w:shd w:val="clear" w:color="auto" w:fill="auto"/>
                  <w:tcMar>
                    <w:left w:w="0" w:type="dxa"/>
                    <w:right w:w="0" w:type="dxa"/>
                  </w:tcMar>
                  <w:vAlign w:val="bottom"/>
                  <w:hideMark/>
                </w:tcPr>
                <w:p w14:paraId="7954BF43" w14:textId="77777777" w:rsidR="00F05DC7" w:rsidRPr="00CA7E55" w:rsidRDefault="00F05DC7" w:rsidP="004F6C34">
                  <w:pPr>
                    <w:pStyle w:val="TableBodyText"/>
                    <w:spacing w:before="80"/>
                    <w:ind w:right="57"/>
                    <w:rPr>
                      <w:rFonts w:cs="Arial"/>
                      <w:szCs w:val="18"/>
                    </w:rPr>
                  </w:pPr>
                  <w:r w:rsidRPr="00CA7E55">
                    <w:rPr>
                      <w:rFonts w:cs="Arial"/>
                      <w:bCs/>
                      <w:color w:val="000000" w:themeColor="text1"/>
                      <w:szCs w:val="18"/>
                    </w:rPr>
                    <w:t>1.72</w:t>
                  </w:r>
                </w:p>
              </w:tc>
              <w:tc>
                <w:tcPr>
                  <w:tcW w:w="374" w:type="pct"/>
                  <w:tcBorders>
                    <w:top w:val="single" w:sz="6" w:space="0" w:color="BFBFBF"/>
                    <w:left w:val="nil"/>
                    <w:right w:val="nil"/>
                  </w:tcBorders>
                  <w:shd w:val="clear" w:color="auto" w:fill="auto"/>
                  <w:tcMar>
                    <w:left w:w="0" w:type="dxa"/>
                    <w:right w:w="0" w:type="dxa"/>
                  </w:tcMar>
                  <w:vAlign w:val="bottom"/>
                  <w:hideMark/>
                </w:tcPr>
                <w:p w14:paraId="7954BF44" w14:textId="77777777" w:rsidR="00F05DC7" w:rsidRPr="00CA7E55" w:rsidRDefault="00F05DC7" w:rsidP="004F6C34">
                  <w:pPr>
                    <w:pStyle w:val="TableBodyText"/>
                    <w:spacing w:before="80"/>
                    <w:ind w:right="57"/>
                    <w:rPr>
                      <w:rFonts w:cs="Arial"/>
                      <w:szCs w:val="18"/>
                    </w:rPr>
                  </w:pPr>
                  <w:r w:rsidRPr="00CA7E55">
                    <w:rPr>
                      <w:rFonts w:cs="Arial"/>
                      <w:bCs/>
                      <w:color w:val="000000" w:themeColor="text1"/>
                      <w:szCs w:val="18"/>
                    </w:rPr>
                    <w:t>1.21</w:t>
                  </w:r>
                </w:p>
              </w:tc>
              <w:tc>
                <w:tcPr>
                  <w:tcW w:w="375" w:type="pct"/>
                  <w:tcBorders>
                    <w:top w:val="single" w:sz="6" w:space="0" w:color="BFBFBF"/>
                    <w:left w:val="nil"/>
                    <w:right w:val="nil"/>
                  </w:tcBorders>
                  <w:shd w:val="clear" w:color="auto" w:fill="auto"/>
                  <w:tcMar>
                    <w:left w:w="0" w:type="dxa"/>
                    <w:right w:w="0" w:type="dxa"/>
                  </w:tcMar>
                  <w:vAlign w:val="bottom"/>
                  <w:hideMark/>
                </w:tcPr>
                <w:p w14:paraId="7954BF45" w14:textId="77777777" w:rsidR="00F05DC7" w:rsidRPr="00CA7E55" w:rsidRDefault="00F05DC7" w:rsidP="004F6C34">
                  <w:pPr>
                    <w:pStyle w:val="TableBodyText"/>
                    <w:spacing w:before="80"/>
                    <w:ind w:right="57"/>
                    <w:rPr>
                      <w:rFonts w:cs="Arial"/>
                      <w:szCs w:val="18"/>
                    </w:rPr>
                  </w:pPr>
                  <w:r w:rsidRPr="00CA7E55">
                    <w:rPr>
                      <w:rFonts w:cs="Arial"/>
                      <w:bCs/>
                      <w:color w:val="000000" w:themeColor="text1"/>
                      <w:szCs w:val="18"/>
                    </w:rPr>
                    <w:t>4.19</w:t>
                  </w:r>
                </w:p>
              </w:tc>
            </w:tr>
            <w:tr w:rsidR="00F05DC7" w14:paraId="7954BF50" w14:textId="77777777" w:rsidTr="00A3786D">
              <w:trPr>
                <w:trHeight w:val="288"/>
              </w:trPr>
              <w:tc>
                <w:tcPr>
                  <w:tcW w:w="1931" w:type="pct"/>
                  <w:tcBorders>
                    <w:left w:val="nil"/>
                    <w:bottom w:val="nil"/>
                    <w:right w:val="nil"/>
                  </w:tcBorders>
                  <w:shd w:val="clear" w:color="auto" w:fill="auto"/>
                  <w:tcMar>
                    <w:left w:w="0" w:type="dxa"/>
                    <w:right w:w="0" w:type="dxa"/>
                  </w:tcMar>
                  <w:vAlign w:val="center"/>
                  <w:hideMark/>
                </w:tcPr>
                <w:p w14:paraId="7954BF47" w14:textId="77777777" w:rsidR="00F05DC7" w:rsidRPr="00775B18" w:rsidRDefault="00F05DC7" w:rsidP="00A3786D">
                  <w:pPr>
                    <w:pStyle w:val="TableBodyText"/>
                    <w:jc w:val="left"/>
                  </w:pPr>
                  <w:r w:rsidRPr="00C9149D">
                    <w:t>Change in GST payments</w:t>
                  </w:r>
                  <w:r w:rsidRPr="00775B18">
                    <w:t xml:space="preserve"> (</w:t>
                  </w:r>
                  <w:r>
                    <w:t>$m</w:t>
                  </w:r>
                  <w:r w:rsidRPr="00775B18">
                    <w:t>)</w:t>
                  </w:r>
                </w:p>
              </w:tc>
              <w:tc>
                <w:tcPr>
                  <w:tcW w:w="447" w:type="pct"/>
                  <w:tcBorders>
                    <w:top w:val="nil"/>
                    <w:left w:val="nil"/>
                    <w:bottom w:val="nil"/>
                    <w:right w:val="nil"/>
                  </w:tcBorders>
                  <w:shd w:val="clear" w:color="auto" w:fill="auto"/>
                  <w:tcMar>
                    <w:left w:w="0" w:type="dxa"/>
                    <w:right w:w="0" w:type="dxa"/>
                  </w:tcMar>
                  <w:vAlign w:val="bottom"/>
                </w:tcPr>
                <w:p w14:paraId="7954BF48" w14:textId="77777777" w:rsidR="00F05DC7" w:rsidRPr="00CA7E55" w:rsidRDefault="00F05DC7" w:rsidP="00A3786D">
                  <w:pPr>
                    <w:pStyle w:val="TableBodyText"/>
                    <w:ind w:right="57"/>
                    <w:rPr>
                      <w:rFonts w:cs="Arial"/>
                      <w:szCs w:val="18"/>
                    </w:rPr>
                  </w:pPr>
                  <w:r w:rsidRPr="00CA7E55">
                    <w:rPr>
                      <w:rFonts w:cs="Arial"/>
                      <w:color w:val="000000"/>
                      <w:szCs w:val="18"/>
                    </w:rPr>
                    <w:t>136</w:t>
                  </w:r>
                </w:p>
              </w:tc>
              <w:tc>
                <w:tcPr>
                  <w:tcW w:w="375" w:type="pct"/>
                  <w:tcBorders>
                    <w:top w:val="nil"/>
                    <w:left w:val="nil"/>
                    <w:bottom w:val="nil"/>
                    <w:right w:val="nil"/>
                  </w:tcBorders>
                  <w:shd w:val="clear" w:color="auto" w:fill="auto"/>
                  <w:tcMar>
                    <w:left w:w="0" w:type="dxa"/>
                    <w:right w:w="0" w:type="dxa"/>
                  </w:tcMar>
                  <w:vAlign w:val="bottom"/>
                </w:tcPr>
                <w:p w14:paraId="7954BF49" w14:textId="77777777" w:rsidR="00F05DC7" w:rsidRPr="00CA7E55" w:rsidRDefault="00F05DC7" w:rsidP="00A3786D">
                  <w:pPr>
                    <w:pStyle w:val="TableBodyText"/>
                    <w:ind w:right="57"/>
                    <w:rPr>
                      <w:rFonts w:cs="Arial"/>
                      <w:szCs w:val="18"/>
                    </w:rPr>
                  </w:pPr>
                  <w:r w:rsidRPr="00CA7E55">
                    <w:rPr>
                      <w:rFonts w:cs="Arial"/>
                      <w:color w:val="000000"/>
                      <w:szCs w:val="18"/>
                    </w:rPr>
                    <w:t>-99</w:t>
                  </w:r>
                </w:p>
              </w:tc>
              <w:tc>
                <w:tcPr>
                  <w:tcW w:w="374" w:type="pct"/>
                  <w:tcBorders>
                    <w:top w:val="nil"/>
                    <w:left w:val="nil"/>
                    <w:bottom w:val="nil"/>
                    <w:right w:val="nil"/>
                  </w:tcBorders>
                  <w:shd w:val="clear" w:color="auto" w:fill="auto"/>
                  <w:tcMar>
                    <w:left w:w="0" w:type="dxa"/>
                    <w:right w:w="0" w:type="dxa"/>
                  </w:tcMar>
                  <w:vAlign w:val="bottom"/>
                </w:tcPr>
                <w:p w14:paraId="7954BF4A" w14:textId="77777777" w:rsidR="00F05DC7" w:rsidRPr="00CA7E55" w:rsidRDefault="00F05DC7" w:rsidP="00A3786D">
                  <w:pPr>
                    <w:pStyle w:val="TableBodyText"/>
                    <w:ind w:right="57"/>
                    <w:rPr>
                      <w:rFonts w:cs="Arial"/>
                      <w:szCs w:val="18"/>
                    </w:rPr>
                  </w:pPr>
                  <w:r w:rsidRPr="00CA7E55">
                    <w:rPr>
                      <w:rFonts w:cs="Arial"/>
                      <w:color w:val="000000"/>
                      <w:szCs w:val="18"/>
                    </w:rPr>
                    <w:t>-35</w:t>
                  </w:r>
                </w:p>
              </w:tc>
              <w:tc>
                <w:tcPr>
                  <w:tcW w:w="375" w:type="pct"/>
                  <w:tcBorders>
                    <w:top w:val="nil"/>
                    <w:left w:val="nil"/>
                    <w:bottom w:val="nil"/>
                    <w:right w:val="nil"/>
                  </w:tcBorders>
                  <w:shd w:val="clear" w:color="auto" w:fill="auto"/>
                  <w:tcMar>
                    <w:left w:w="0" w:type="dxa"/>
                    <w:right w:w="0" w:type="dxa"/>
                  </w:tcMar>
                  <w:vAlign w:val="bottom"/>
                </w:tcPr>
                <w:p w14:paraId="7954BF4B" w14:textId="77777777" w:rsidR="00F05DC7" w:rsidRPr="00CA7E55" w:rsidRDefault="00F05DC7" w:rsidP="00A3786D">
                  <w:pPr>
                    <w:pStyle w:val="TableBodyText"/>
                    <w:ind w:right="57"/>
                    <w:rPr>
                      <w:rFonts w:cs="Arial"/>
                      <w:szCs w:val="18"/>
                    </w:rPr>
                  </w:pPr>
                  <w:r w:rsidRPr="00CA7E55">
                    <w:rPr>
                      <w:rFonts w:cs="Arial"/>
                      <w:color w:val="000000"/>
                      <w:szCs w:val="18"/>
                    </w:rPr>
                    <w:t>-14</w:t>
                  </w:r>
                </w:p>
              </w:tc>
              <w:tc>
                <w:tcPr>
                  <w:tcW w:w="374" w:type="pct"/>
                  <w:tcBorders>
                    <w:top w:val="nil"/>
                    <w:left w:val="nil"/>
                    <w:bottom w:val="nil"/>
                    <w:right w:val="nil"/>
                  </w:tcBorders>
                  <w:shd w:val="clear" w:color="auto" w:fill="auto"/>
                  <w:tcMar>
                    <w:left w:w="0" w:type="dxa"/>
                    <w:right w:w="0" w:type="dxa"/>
                  </w:tcMar>
                  <w:vAlign w:val="bottom"/>
                </w:tcPr>
                <w:p w14:paraId="7954BF4C" w14:textId="77777777" w:rsidR="00F05DC7" w:rsidRPr="00CA7E55" w:rsidRDefault="00F05DC7" w:rsidP="00A3786D">
                  <w:pPr>
                    <w:pStyle w:val="TableBodyText"/>
                    <w:ind w:right="57"/>
                    <w:rPr>
                      <w:rFonts w:cs="Arial"/>
                      <w:szCs w:val="18"/>
                    </w:rPr>
                  </w:pPr>
                  <w:r w:rsidRPr="00CA7E55">
                    <w:rPr>
                      <w:rFonts w:cs="Arial"/>
                      <w:color w:val="000000"/>
                      <w:szCs w:val="18"/>
                    </w:rPr>
                    <w:t>29</w:t>
                  </w:r>
                </w:p>
              </w:tc>
              <w:tc>
                <w:tcPr>
                  <w:tcW w:w="375" w:type="pct"/>
                  <w:tcBorders>
                    <w:top w:val="nil"/>
                    <w:left w:val="nil"/>
                    <w:bottom w:val="nil"/>
                    <w:right w:val="nil"/>
                  </w:tcBorders>
                  <w:shd w:val="clear" w:color="auto" w:fill="auto"/>
                  <w:tcMar>
                    <w:left w:w="0" w:type="dxa"/>
                    <w:right w:w="0" w:type="dxa"/>
                  </w:tcMar>
                  <w:vAlign w:val="bottom"/>
                </w:tcPr>
                <w:p w14:paraId="7954BF4D" w14:textId="77777777" w:rsidR="00F05DC7" w:rsidRPr="00CA7E55" w:rsidRDefault="00F05DC7" w:rsidP="00A3786D">
                  <w:pPr>
                    <w:pStyle w:val="TableBodyText"/>
                    <w:ind w:right="57"/>
                    <w:rPr>
                      <w:rFonts w:cs="Arial"/>
                      <w:szCs w:val="18"/>
                    </w:rPr>
                  </w:pPr>
                  <w:r w:rsidRPr="00CA7E55">
                    <w:rPr>
                      <w:rFonts w:cs="Arial"/>
                      <w:color w:val="000000"/>
                      <w:szCs w:val="18"/>
                    </w:rPr>
                    <w:t>-20</w:t>
                  </w:r>
                </w:p>
              </w:tc>
              <w:tc>
                <w:tcPr>
                  <w:tcW w:w="374" w:type="pct"/>
                  <w:tcBorders>
                    <w:top w:val="nil"/>
                    <w:left w:val="nil"/>
                    <w:bottom w:val="nil"/>
                    <w:right w:val="nil"/>
                  </w:tcBorders>
                  <w:shd w:val="clear" w:color="auto" w:fill="auto"/>
                  <w:tcMar>
                    <w:left w:w="0" w:type="dxa"/>
                    <w:right w:w="0" w:type="dxa"/>
                  </w:tcMar>
                  <w:vAlign w:val="bottom"/>
                </w:tcPr>
                <w:p w14:paraId="7954BF4E" w14:textId="77777777" w:rsidR="00F05DC7" w:rsidRPr="00CA7E55" w:rsidRDefault="00F05DC7" w:rsidP="00A3786D">
                  <w:pPr>
                    <w:pStyle w:val="TableBodyText"/>
                    <w:ind w:right="57"/>
                    <w:rPr>
                      <w:rFonts w:cs="Arial"/>
                      <w:szCs w:val="18"/>
                    </w:rPr>
                  </w:pPr>
                  <w:r w:rsidRPr="00CA7E55">
                    <w:rPr>
                      <w:rFonts w:cs="Arial"/>
                      <w:color w:val="000000"/>
                      <w:szCs w:val="18"/>
                    </w:rPr>
                    <w:t>-4</w:t>
                  </w:r>
                </w:p>
              </w:tc>
              <w:tc>
                <w:tcPr>
                  <w:tcW w:w="375" w:type="pct"/>
                  <w:tcBorders>
                    <w:top w:val="nil"/>
                    <w:left w:val="nil"/>
                    <w:bottom w:val="nil"/>
                    <w:right w:val="nil"/>
                  </w:tcBorders>
                  <w:shd w:val="clear" w:color="auto" w:fill="auto"/>
                  <w:tcMar>
                    <w:left w:w="0" w:type="dxa"/>
                    <w:right w:w="0" w:type="dxa"/>
                  </w:tcMar>
                  <w:vAlign w:val="bottom"/>
                </w:tcPr>
                <w:p w14:paraId="7954BF4F" w14:textId="77777777" w:rsidR="00F05DC7" w:rsidRPr="00CA7E55" w:rsidRDefault="00F05DC7" w:rsidP="00A3786D">
                  <w:pPr>
                    <w:pStyle w:val="TableBodyText"/>
                    <w:ind w:right="57"/>
                    <w:rPr>
                      <w:rFonts w:cs="Arial"/>
                      <w:szCs w:val="18"/>
                    </w:rPr>
                  </w:pPr>
                  <w:r w:rsidRPr="00CA7E55">
                    <w:rPr>
                      <w:rFonts w:cs="Arial"/>
                      <w:color w:val="000000"/>
                      <w:szCs w:val="18"/>
                    </w:rPr>
                    <w:t>6</w:t>
                  </w:r>
                </w:p>
              </w:tc>
            </w:tr>
            <w:tr w:rsidR="00F05DC7" w14:paraId="7954BF5A" w14:textId="77777777" w:rsidTr="00A3786D">
              <w:trPr>
                <w:trHeight w:val="288"/>
              </w:trPr>
              <w:tc>
                <w:tcPr>
                  <w:tcW w:w="1931" w:type="pct"/>
                  <w:tcBorders>
                    <w:top w:val="nil"/>
                    <w:left w:val="nil"/>
                    <w:bottom w:val="nil"/>
                    <w:right w:val="nil"/>
                  </w:tcBorders>
                  <w:shd w:val="clear" w:color="auto" w:fill="auto"/>
                  <w:tcMar>
                    <w:left w:w="0" w:type="dxa"/>
                    <w:right w:w="0" w:type="dxa"/>
                  </w:tcMar>
                  <w:vAlign w:val="center"/>
                  <w:hideMark/>
                </w:tcPr>
                <w:p w14:paraId="7954BF51" w14:textId="77777777" w:rsidR="00F05DC7" w:rsidRPr="00775B18" w:rsidRDefault="00F05DC7" w:rsidP="00A3786D">
                  <w:pPr>
                    <w:pStyle w:val="TableBodyText"/>
                    <w:jc w:val="left"/>
                  </w:pPr>
                  <w:r w:rsidRPr="00C9149D">
                    <w:t>Change in GST payments</w:t>
                  </w:r>
                  <w:r w:rsidRPr="00775B18">
                    <w:t xml:space="preserve"> (</w:t>
                  </w:r>
                  <w:r>
                    <w:t>$pc</w:t>
                  </w:r>
                  <w:r w:rsidRPr="00775B18">
                    <w:t>)</w:t>
                  </w:r>
                </w:p>
              </w:tc>
              <w:tc>
                <w:tcPr>
                  <w:tcW w:w="447" w:type="pct"/>
                  <w:tcBorders>
                    <w:top w:val="nil"/>
                    <w:left w:val="nil"/>
                    <w:bottom w:val="nil"/>
                    <w:right w:val="nil"/>
                  </w:tcBorders>
                  <w:shd w:val="clear" w:color="auto" w:fill="auto"/>
                  <w:tcMar>
                    <w:left w:w="0" w:type="dxa"/>
                    <w:right w:w="0" w:type="dxa"/>
                  </w:tcMar>
                  <w:vAlign w:val="bottom"/>
                </w:tcPr>
                <w:p w14:paraId="7954BF52" w14:textId="77777777" w:rsidR="00F05DC7" w:rsidRPr="00CA7E55" w:rsidRDefault="00F05DC7" w:rsidP="00A3786D">
                  <w:pPr>
                    <w:pStyle w:val="TableBodyText"/>
                    <w:ind w:right="57"/>
                    <w:rPr>
                      <w:rFonts w:cs="Arial"/>
                      <w:szCs w:val="18"/>
                    </w:rPr>
                  </w:pPr>
                  <w:r w:rsidRPr="00CA7E55">
                    <w:rPr>
                      <w:rFonts w:cs="Arial"/>
                      <w:color w:val="000000"/>
                      <w:szCs w:val="18"/>
                    </w:rPr>
                    <w:t>17</w:t>
                  </w:r>
                </w:p>
              </w:tc>
              <w:tc>
                <w:tcPr>
                  <w:tcW w:w="375" w:type="pct"/>
                  <w:tcBorders>
                    <w:top w:val="nil"/>
                    <w:left w:val="nil"/>
                    <w:bottom w:val="nil"/>
                    <w:right w:val="nil"/>
                  </w:tcBorders>
                  <w:shd w:val="clear" w:color="auto" w:fill="auto"/>
                  <w:tcMar>
                    <w:left w:w="0" w:type="dxa"/>
                    <w:right w:w="0" w:type="dxa"/>
                  </w:tcMar>
                  <w:vAlign w:val="bottom"/>
                </w:tcPr>
                <w:p w14:paraId="7954BF53" w14:textId="77777777" w:rsidR="00F05DC7" w:rsidRPr="00CA7E55" w:rsidRDefault="00F05DC7" w:rsidP="00A3786D">
                  <w:pPr>
                    <w:pStyle w:val="TableBodyText"/>
                    <w:ind w:right="57"/>
                    <w:rPr>
                      <w:rFonts w:cs="Arial"/>
                      <w:szCs w:val="18"/>
                    </w:rPr>
                  </w:pPr>
                  <w:r w:rsidRPr="00CA7E55">
                    <w:rPr>
                      <w:rFonts w:cs="Arial"/>
                      <w:color w:val="000000"/>
                      <w:szCs w:val="18"/>
                    </w:rPr>
                    <w:t>-16</w:t>
                  </w:r>
                </w:p>
              </w:tc>
              <w:tc>
                <w:tcPr>
                  <w:tcW w:w="374" w:type="pct"/>
                  <w:tcBorders>
                    <w:top w:val="nil"/>
                    <w:left w:val="nil"/>
                    <w:bottom w:val="nil"/>
                    <w:right w:val="nil"/>
                  </w:tcBorders>
                  <w:shd w:val="clear" w:color="auto" w:fill="auto"/>
                  <w:tcMar>
                    <w:left w:w="0" w:type="dxa"/>
                    <w:right w:w="0" w:type="dxa"/>
                  </w:tcMar>
                  <w:vAlign w:val="bottom"/>
                </w:tcPr>
                <w:p w14:paraId="7954BF54" w14:textId="77777777" w:rsidR="00F05DC7" w:rsidRPr="00CA7E55" w:rsidRDefault="00F05DC7" w:rsidP="00A3786D">
                  <w:pPr>
                    <w:pStyle w:val="TableBodyText"/>
                    <w:ind w:right="57"/>
                    <w:rPr>
                      <w:rFonts w:cs="Arial"/>
                      <w:szCs w:val="18"/>
                    </w:rPr>
                  </w:pPr>
                  <w:r w:rsidRPr="00CA7E55">
                    <w:rPr>
                      <w:rFonts w:cs="Arial"/>
                      <w:color w:val="000000"/>
                      <w:szCs w:val="18"/>
                    </w:rPr>
                    <w:t>-7</w:t>
                  </w:r>
                </w:p>
              </w:tc>
              <w:tc>
                <w:tcPr>
                  <w:tcW w:w="375" w:type="pct"/>
                  <w:tcBorders>
                    <w:top w:val="nil"/>
                    <w:left w:val="nil"/>
                    <w:bottom w:val="nil"/>
                    <w:right w:val="nil"/>
                  </w:tcBorders>
                  <w:shd w:val="clear" w:color="auto" w:fill="auto"/>
                  <w:tcMar>
                    <w:left w:w="0" w:type="dxa"/>
                    <w:right w:w="0" w:type="dxa"/>
                  </w:tcMar>
                  <w:vAlign w:val="bottom"/>
                </w:tcPr>
                <w:p w14:paraId="7954BF55" w14:textId="77777777" w:rsidR="00F05DC7" w:rsidRPr="00CA7E55" w:rsidRDefault="00F05DC7" w:rsidP="00A3786D">
                  <w:pPr>
                    <w:pStyle w:val="TableBodyText"/>
                    <w:ind w:right="57"/>
                    <w:rPr>
                      <w:rFonts w:cs="Arial"/>
                      <w:szCs w:val="18"/>
                    </w:rPr>
                  </w:pPr>
                  <w:r w:rsidRPr="00CA7E55">
                    <w:rPr>
                      <w:rFonts w:cs="Arial"/>
                      <w:color w:val="000000"/>
                      <w:szCs w:val="18"/>
                    </w:rPr>
                    <w:t>-5</w:t>
                  </w:r>
                </w:p>
              </w:tc>
              <w:tc>
                <w:tcPr>
                  <w:tcW w:w="374" w:type="pct"/>
                  <w:tcBorders>
                    <w:top w:val="nil"/>
                    <w:left w:val="nil"/>
                    <w:bottom w:val="nil"/>
                    <w:right w:val="nil"/>
                  </w:tcBorders>
                  <w:shd w:val="clear" w:color="auto" w:fill="auto"/>
                  <w:tcMar>
                    <w:left w:w="0" w:type="dxa"/>
                    <w:right w:w="0" w:type="dxa"/>
                  </w:tcMar>
                  <w:vAlign w:val="bottom"/>
                </w:tcPr>
                <w:p w14:paraId="7954BF56" w14:textId="77777777" w:rsidR="00F05DC7" w:rsidRPr="00CA7E55" w:rsidRDefault="00F05DC7" w:rsidP="00A3786D">
                  <w:pPr>
                    <w:pStyle w:val="TableBodyText"/>
                    <w:ind w:right="57"/>
                    <w:rPr>
                      <w:rFonts w:cs="Arial"/>
                      <w:szCs w:val="18"/>
                    </w:rPr>
                  </w:pPr>
                  <w:r w:rsidRPr="00CA7E55">
                    <w:rPr>
                      <w:rFonts w:cs="Arial"/>
                      <w:color w:val="000000"/>
                      <w:szCs w:val="18"/>
                    </w:rPr>
                    <w:t>17</w:t>
                  </w:r>
                </w:p>
              </w:tc>
              <w:tc>
                <w:tcPr>
                  <w:tcW w:w="375" w:type="pct"/>
                  <w:tcBorders>
                    <w:top w:val="nil"/>
                    <w:left w:val="nil"/>
                    <w:bottom w:val="nil"/>
                    <w:right w:val="nil"/>
                  </w:tcBorders>
                  <w:shd w:val="clear" w:color="auto" w:fill="auto"/>
                  <w:tcMar>
                    <w:left w:w="0" w:type="dxa"/>
                    <w:right w:w="0" w:type="dxa"/>
                  </w:tcMar>
                  <w:vAlign w:val="bottom"/>
                </w:tcPr>
                <w:p w14:paraId="7954BF57" w14:textId="77777777" w:rsidR="00F05DC7" w:rsidRPr="00CA7E55" w:rsidRDefault="00F05DC7" w:rsidP="00A3786D">
                  <w:pPr>
                    <w:pStyle w:val="TableBodyText"/>
                    <w:ind w:right="57"/>
                    <w:rPr>
                      <w:rFonts w:cs="Arial"/>
                      <w:szCs w:val="18"/>
                    </w:rPr>
                  </w:pPr>
                  <w:r w:rsidRPr="00CA7E55">
                    <w:rPr>
                      <w:rFonts w:cs="Arial"/>
                      <w:color w:val="000000"/>
                      <w:szCs w:val="18"/>
                    </w:rPr>
                    <w:t>-38</w:t>
                  </w:r>
                </w:p>
              </w:tc>
              <w:tc>
                <w:tcPr>
                  <w:tcW w:w="374" w:type="pct"/>
                  <w:tcBorders>
                    <w:top w:val="nil"/>
                    <w:left w:val="nil"/>
                    <w:bottom w:val="nil"/>
                    <w:right w:val="nil"/>
                  </w:tcBorders>
                  <w:shd w:val="clear" w:color="auto" w:fill="auto"/>
                  <w:tcMar>
                    <w:left w:w="0" w:type="dxa"/>
                    <w:right w:w="0" w:type="dxa"/>
                  </w:tcMar>
                  <w:vAlign w:val="bottom"/>
                </w:tcPr>
                <w:p w14:paraId="7954BF58" w14:textId="77777777" w:rsidR="00F05DC7" w:rsidRPr="00CA7E55" w:rsidRDefault="00F05DC7" w:rsidP="00A3786D">
                  <w:pPr>
                    <w:pStyle w:val="TableBodyText"/>
                    <w:ind w:right="57"/>
                    <w:rPr>
                      <w:rFonts w:cs="Arial"/>
                      <w:szCs w:val="18"/>
                    </w:rPr>
                  </w:pPr>
                  <w:r w:rsidRPr="00CA7E55">
                    <w:rPr>
                      <w:rFonts w:cs="Arial"/>
                      <w:color w:val="000000"/>
                      <w:szCs w:val="18"/>
                    </w:rPr>
                    <w:t>-9</w:t>
                  </w:r>
                </w:p>
              </w:tc>
              <w:tc>
                <w:tcPr>
                  <w:tcW w:w="375" w:type="pct"/>
                  <w:tcBorders>
                    <w:top w:val="nil"/>
                    <w:left w:val="nil"/>
                    <w:bottom w:val="nil"/>
                    <w:right w:val="nil"/>
                  </w:tcBorders>
                  <w:shd w:val="clear" w:color="auto" w:fill="auto"/>
                  <w:tcMar>
                    <w:left w:w="0" w:type="dxa"/>
                    <w:right w:w="0" w:type="dxa"/>
                  </w:tcMar>
                  <w:vAlign w:val="bottom"/>
                </w:tcPr>
                <w:p w14:paraId="7954BF59" w14:textId="77777777" w:rsidR="00F05DC7" w:rsidRPr="00CA7E55" w:rsidRDefault="00F05DC7" w:rsidP="00A3786D">
                  <w:pPr>
                    <w:pStyle w:val="TableBodyText"/>
                    <w:ind w:right="57"/>
                    <w:rPr>
                      <w:rFonts w:cs="Arial"/>
                      <w:szCs w:val="18"/>
                    </w:rPr>
                  </w:pPr>
                  <w:r w:rsidRPr="00CA7E55">
                    <w:rPr>
                      <w:rFonts w:cs="Arial"/>
                      <w:color w:val="000000"/>
                      <w:szCs w:val="18"/>
                    </w:rPr>
                    <w:t>26</w:t>
                  </w:r>
                </w:p>
              </w:tc>
            </w:tr>
            <w:tr w:rsidR="00F05DC7" w14:paraId="7954BF64" w14:textId="77777777" w:rsidTr="00A3786D">
              <w:trPr>
                <w:trHeight w:val="300"/>
              </w:trPr>
              <w:tc>
                <w:tcPr>
                  <w:tcW w:w="1931" w:type="pct"/>
                  <w:tcBorders>
                    <w:top w:val="nil"/>
                    <w:left w:val="nil"/>
                    <w:right w:val="nil"/>
                  </w:tcBorders>
                  <w:shd w:val="clear" w:color="auto" w:fill="auto"/>
                  <w:tcMar>
                    <w:left w:w="0" w:type="dxa"/>
                    <w:right w:w="0" w:type="dxa"/>
                  </w:tcMar>
                  <w:vAlign w:val="center"/>
                </w:tcPr>
                <w:p w14:paraId="7954BF5B" w14:textId="77777777" w:rsidR="00F05DC7" w:rsidRPr="00AE067B" w:rsidRDefault="00F05DC7" w:rsidP="00A3786D">
                  <w:pPr>
                    <w:pStyle w:val="TableBodyText"/>
                    <w:jc w:val="left"/>
                    <w:rPr>
                      <w:rFonts w:cs="Arial"/>
                      <w:szCs w:val="18"/>
                    </w:rPr>
                  </w:pPr>
                  <w:r w:rsidRPr="00AE067B">
                    <w:rPr>
                      <w:rFonts w:cs="Arial"/>
                      <w:szCs w:val="18"/>
                    </w:rPr>
                    <w:t>Change in GST payments (% of State revenue)</w:t>
                  </w:r>
                </w:p>
              </w:tc>
              <w:tc>
                <w:tcPr>
                  <w:tcW w:w="447" w:type="pct"/>
                  <w:tcBorders>
                    <w:top w:val="nil"/>
                    <w:left w:val="nil"/>
                    <w:bottom w:val="nil"/>
                    <w:right w:val="nil"/>
                  </w:tcBorders>
                  <w:shd w:val="clear" w:color="auto" w:fill="auto"/>
                  <w:tcMar>
                    <w:left w:w="0" w:type="dxa"/>
                    <w:right w:w="0" w:type="dxa"/>
                  </w:tcMar>
                  <w:vAlign w:val="bottom"/>
                </w:tcPr>
                <w:p w14:paraId="7954BF5C" w14:textId="77777777" w:rsidR="00F05DC7" w:rsidRPr="00AE067B" w:rsidRDefault="00F05DC7" w:rsidP="00A3786D">
                  <w:pPr>
                    <w:pStyle w:val="TableBodyText"/>
                    <w:ind w:right="57"/>
                    <w:rPr>
                      <w:rFonts w:cs="Arial"/>
                      <w:szCs w:val="18"/>
                    </w:rPr>
                  </w:pPr>
                  <w:r w:rsidRPr="00AE067B">
                    <w:rPr>
                      <w:rFonts w:cs="Arial"/>
                      <w:color w:val="000000"/>
                      <w:szCs w:val="18"/>
                    </w:rPr>
                    <w:t>0.2</w:t>
                  </w:r>
                </w:p>
              </w:tc>
              <w:tc>
                <w:tcPr>
                  <w:tcW w:w="375" w:type="pct"/>
                  <w:tcBorders>
                    <w:top w:val="nil"/>
                    <w:left w:val="nil"/>
                    <w:bottom w:val="nil"/>
                    <w:right w:val="nil"/>
                  </w:tcBorders>
                  <w:shd w:val="clear" w:color="auto" w:fill="auto"/>
                  <w:tcMar>
                    <w:left w:w="0" w:type="dxa"/>
                    <w:right w:w="0" w:type="dxa"/>
                  </w:tcMar>
                  <w:vAlign w:val="bottom"/>
                </w:tcPr>
                <w:p w14:paraId="7954BF5D" w14:textId="77777777" w:rsidR="00F05DC7" w:rsidRPr="00AE067B" w:rsidRDefault="00F05DC7" w:rsidP="00A3786D">
                  <w:pPr>
                    <w:pStyle w:val="TableBodyText"/>
                    <w:ind w:right="57"/>
                    <w:rPr>
                      <w:rFonts w:cs="Arial"/>
                      <w:szCs w:val="18"/>
                    </w:rPr>
                  </w:pPr>
                  <w:r w:rsidRPr="00AE067B">
                    <w:rPr>
                      <w:rFonts w:cs="Arial"/>
                      <w:color w:val="000000"/>
                      <w:szCs w:val="18"/>
                    </w:rPr>
                    <w:t>-0.2</w:t>
                  </w:r>
                </w:p>
              </w:tc>
              <w:tc>
                <w:tcPr>
                  <w:tcW w:w="374" w:type="pct"/>
                  <w:tcBorders>
                    <w:top w:val="nil"/>
                    <w:left w:val="nil"/>
                    <w:bottom w:val="nil"/>
                    <w:right w:val="nil"/>
                  </w:tcBorders>
                  <w:shd w:val="clear" w:color="auto" w:fill="auto"/>
                  <w:tcMar>
                    <w:left w:w="0" w:type="dxa"/>
                    <w:right w:w="0" w:type="dxa"/>
                  </w:tcMar>
                  <w:vAlign w:val="bottom"/>
                </w:tcPr>
                <w:p w14:paraId="7954BF5E" w14:textId="77777777" w:rsidR="00F05DC7" w:rsidRPr="00AE067B" w:rsidRDefault="00F05DC7" w:rsidP="00A3786D">
                  <w:pPr>
                    <w:pStyle w:val="TableBodyText"/>
                    <w:ind w:right="57"/>
                    <w:rPr>
                      <w:rFonts w:cs="Arial"/>
                      <w:szCs w:val="18"/>
                    </w:rPr>
                  </w:pPr>
                  <w:r w:rsidRPr="00AE067B">
                    <w:rPr>
                      <w:rFonts w:cs="Arial"/>
                      <w:color w:val="000000"/>
                      <w:szCs w:val="18"/>
                    </w:rPr>
                    <w:t>-0.1</w:t>
                  </w:r>
                </w:p>
              </w:tc>
              <w:tc>
                <w:tcPr>
                  <w:tcW w:w="375" w:type="pct"/>
                  <w:tcBorders>
                    <w:top w:val="nil"/>
                    <w:left w:val="nil"/>
                    <w:bottom w:val="nil"/>
                    <w:right w:val="nil"/>
                  </w:tcBorders>
                  <w:shd w:val="clear" w:color="auto" w:fill="auto"/>
                  <w:tcMar>
                    <w:left w:w="0" w:type="dxa"/>
                    <w:right w:w="0" w:type="dxa"/>
                  </w:tcMar>
                  <w:vAlign w:val="bottom"/>
                </w:tcPr>
                <w:p w14:paraId="7954BF5F" w14:textId="77777777" w:rsidR="00F05DC7" w:rsidRPr="00AE067B" w:rsidRDefault="00F05DC7" w:rsidP="00A3786D">
                  <w:pPr>
                    <w:pStyle w:val="TableBodyText"/>
                    <w:ind w:right="57"/>
                    <w:rPr>
                      <w:rFonts w:cs="Arial"/>
                      <w:szCs w:val="18"/>
                    </w:rPr>
                  </w:pPr>
                  <w:r w:rsidRPr="00AE067B">
                    <w:rPr>
                      <w:rFonts w:cs="Arial"/>
                      <w:color w:val="000000"/>
                      <w:szCs w:val="18"/>
                    </w:rPr>
                    <w:t>-0.1</w:t>
                  </w:r>
                </w:p>
              </w:tc>
              <w:tc>
                <w:tcPr>
                  <w:tcW w:w="374" w:type="pct"/>
                  <w:tcBorders>
                    <w:top w:val="nil"/>
                    <w:left w:val="nil"/>
                    <w:bottom w:val="nil"/>
                    <w:right w:val="nil"/>
                  </w:tcBorders>
                  <w:shd w:val="clear" w:color="auto" w:fill="auto"/>
                  <w:tcMar>
                    <w:left w:w="0" w:type="dxa"/>
                    <w:right w:w="0" w:type="dxa"/>
                  </w:tcMar>
                  <w:vAlign w:val="bottom"/>
                </w:tcPr>
                <w:p w14:paraId="7954BF60" w14:textId="77777777" w:rsidR="00F05DC7" w:rsidRPr="00AE067B" w:rsidRDefault="00F05DC7" w:rsidP="00A3786D">
                  <w:pPr>
                    <w:pStyle w:val="TableBodyText"/>
                    <w:ind w:right="57"/>
                    <w:rPr>
                      <w:rFonts w:cs="Arial"/>
                      <w:szCs w:val="18"/>
                    </w:rPr>
                  </w:pPr>
                  <w:r w:rsidRPr="00AE067B">
                    <w:rPr>
                      <w:rFonts w:cs="Arial"/>
                      <w:color w:val="000000"/>
                      <w:szCs w:val="18"/>
                    </w:rPr>
                    <w:t>0.2</w:t>
                  </w:r>
                </w:p>
              </w:tc>
              <w:tc>
                <w:tcPr>
                  <w:tcW w:w="375" w:type="pct"/>
                  <w:tcBorders>
                    <w:top w:val="nil"/>
                    <w:left w:val="nil"/>
                    <w:bottom w:val="nil"/>
                    <w:right w:val="nil"/>
                  </w:tcBorders>
                  <w:shd w:val="clear" w:color="auto" w:fill="auto"/>
                  <w:tcMar>
                    <w:left w:w="0" w:type="dxa"/>
                    <w:right w:w="0" w:type="dxa"/>
                  </w:tcMar>
                  <w:vAlign w:val="bottom"/>
                </w:tcPr>
                <w:p w14:paraId="7954BF61" w14:textId="77777777" w:rsidR="00F05DC7" w:rsidRPr="00AE067B" w:rsidRDefault="00F05DC7" w:rsidP="00A3786D">
                  <w:pPr>
                    <w:pStyle w:val="TableBodyText"/>
                    <w:ind w:right="57"/>
                    <w:rPr>
                      <w:rFonts w:cs="Arial"/>
                      <w:szCs w:val="18"/>
                    </w:rPr>
                  </w:pPr>
                  <w:r w:rsidRPr="00AE067B">
                    <w:rPr>
                      <w:rFonts w:cs="Arial"/>
                      <w:color w:val="000000"/>
                      <w:szCs w:val="18"/>
                    </w:rPr>
                    <w:t>-0.4</w:t>
                  </w:r>
                </w:p>
              </w:tc>
              <w:tc>
                <w:tcPr>
                  <w:tcW w:w="374" w:type="pct"/>
                  <w:tcBorders>
                    <w:top w:val="nil"/>
                    <w:left w:val="nil"/>
                    <w:bottom w:val="nil"/>
                    <w:right w:val="nil"/>
                  </w:tcBorders>
                  <w:shd w:val="clear" w:color="auto" w:fill="auto"/>
                  <w:tcMar>
                    <w:left w:w="0" w:type="dxa"/>
                    <w:right w:w="0" w:type="dxa"/>
                  </w:tcMar>
                  <w:vAlign w:val="bottom"/>
                </w:tcPr>
                <w:p w14:paraId="7954BF62" w14:textId="77777777" w:rsidR="00F05DC7" w:rsidRPr="00AE067B" w:rsidRDefault="00F05DC7" w:rsidP="00A3786D">
                  <w:pPr>
                    <w:pStyle w:val="TableBodyText"/>
                    <w:ind w:right="57"/>
                    <w:rPr>
                      <w:rFonts w:cs="Arial"/>
                      <w:szCs w:val="18"/>
                    </w:rPr>
                  </w:pPr>
                  <w:r w:rsidRPr="00AE067B">
                    <w:rPr>
                      <w:rFonts w:cs="Arial"/>
                      <w:color w:val="000000"/>
                      <w:szCs w:val="18"/>
                    </w:rPr>
                    <w:t>-0.1</w:t>
                  </w:r>
                </w:p>
              </w:tc>
              <w:tc>
                <w:tcPr>
                  <w:tcW w:w="375" w:type="pct"/>
                  <w:tcBorders>
                    <w:top w:val="nil"/>
                    <w:left w:val="nil"/>
                    <w:bottom w:val="nil"/>
                    <w:right w:val="nil"/>
                  </w:tcBorders>
                  <w:shd w:val="clear" w:color="auto" w:fill="auto"/>
                  <w:tcMar>
                    <w:left w:w="0" w:type="dxa"/>
                    <w:right w:w="0" w:type="dxa"/>
                  </w:tcMar>
                  <w:vAlign w:val="bottom"/>
                </w:tcPr>
                <w:p w14:paraId="7954BF63" w14:textId="77777777" w:rsidR="00F05DC7" w:rsidRPr="00AE067B" w:rsidRDefault="00F05DC7" w:rsidP="00A3786D">
                  <w:pPr>
                    <w:pStyle w:val="TableBodyText"/>
                    <w:ind w:right="57"/>
                    <w:rPr>
                      <w:rFonts w:cs="Arial"/>
                      <w:szCs w:val="18"/>
                    </w:rPr>
                  </w:pPr>
                  <w:r w:rsidRPr="00AE067B">
                    <w:rPr>
                      <w:rFonts w:cs="Arial"/>
                      <w:color w:val="000000"/>
                      <w:szCs w:val="18"/>
                    </w:rPr>
                    <w:t>0.1</w:t>
                  </w:r>
                </w:p>
              </w:tc>
            </w:tr>
            <w:tr w:rsidR="00F05DC7" w14:paraId="7954BF6E" w14:textId="77777777" w:rsidTr="00A3786D">
              <w:trPr>
                <w:trHeight w:val="300"/>
              </w:trPr>
              <w:tc>
                <w:tcPr>
                  <w:tcW w:w="1931" w:type="pct"/>
                  <w:tcBorders>
                    <w:top w:val="nil"/>
                    <w:left w:val="nil"/>
                    <w:right w:val="nil"/>
                  </w:tcBorders>
                  <w:shd w:val="clear" w:color="auto" w:fill="auto"/>
                  <w:tcMar>
                    <w:left w:w="0" w:type="dxa"/>
                    <w:right w:w="0" w:type="dxa"/>
                  </w:tcMar>
                  <w:vAlign w:val="center"/>
                </w:tcPr>
                <w:p w14:paraId="7954BF65" w14:textId="77777777" w:rsidR="00F05DC7" w:rsidRPr="00AE067B" w:rsidRDefault="00F05DC7" w:rsidP="00A3786D">
                  <w:pPr>
                    <w:pStyle w:val="TableBodyText"/>
                    <w:jc w:val="left"/>
                    <w:rPr>
                      <w:rFonts w:cs="Arial"/>
                      <w:szCs w:val="18"/>
                    </w:rPr>
                  </w:pPr>
                  <w:r>
                    <w:t>Change in GST payments (% of pre</w:t>
                  </w:r>
                  <w:r>
                    <w:noBreakHyphen/>
                    <w:t>reform insurance tax revenue)</w:t>
                  </w:r>
                </w:p>
              </w:tc>
              <w:tc>
                <w:tcPr>
                  <w:tcW w:w="447" w:type="pct"/>
                  <w:tcBorders>
                    <w:top w:val="nil"/>
                    <w:left w:val="nil"/>
                    <w:right w:val="nil"/>
                  </w:tcBorders>
                  <w:shd w:val="clear" w:color="auto" w:fill="auto"/>
                  <w:tcMar>
                    <w:left w:w="0" w:type="dxa"/>
                    <w:right w:w="0" w:type="dxa"/>
                  </w:tcMar>
                </w:tcPr>
                <w:p w14:paraId="7954BF66" w14:textId="77777777" w:rsidR="00F05DC7" w:rsidRPr="00AE067B" w:rsidRDefault="00F05DC7" w:rsidP="00A3786D">
                  <w:pPr>
                    <w:pStyle w:val="TableBodyText"/>
                    <w:ind w:right="57"/>
                    <w:rPr>
                      <w:rFonts w:cs="Arial"/>
                      <w:color w:val="000000"/>
                      <w:szCs w:val="18"/>
                    </w:rPr>
                  </w:pPr>
                  <w:r w:rsidRPr="00CA7E55">
                    <w:rPr>
                      <w:rFonts w:cs="Arial"/>
                      <w:szCs w:val="18"/>
                    </w:rPr>
                    <w:t>7</w:t>
                  </w:r>
                </w:p>
              </w:tc>
              <w:tc>
                <w:tcPr>
                  <w:tcW w:w="375" w:type="pct"/>
                  <w:tcBorders>
                    <w:top w:val="nil"/>
                    <w:left w:val="nil"/>
                    <w:right w:val="nil"/>
                  </w:tcBorders>
                  <w:shd w:val="clear" w:color="auto" w:fill="auto"/>
                  <w:tcMar>
                    <w:left w:w="0" w:type="dxa"/>
                    <w:right w:w="0" w:type="dxa"/>
                  </w:tcMar>
                </w:tcPr>
                <w:p w14:paraId="7954BF67" w14:textId="77777777" w:rsidR="00F05DC7" w:rsidRPr="00AE067B" w:rsidRDefault="00F05DC7" w:rsidP="00A3786D">
                  <w:pPr>
                    <w:pStyle w:val="TableBodyText"/>
                    <w:ind w:right="57"/>
                    <w:rPr>
                      <w:rFonts w:cs="Arial"/>
                      <w:color w:val="000000"/>
                      <w:szCs w:val="18"/>
                    </w:rPr>
                  </w:pPr>
                  <w:r w:rsidRPr="00CA7E55">
                    <w:rPr>
                      <w:rFonts w:cs="Arial"/>
                      <w:szCs w:val="18"/>
                    </w:rPr>
                    <w:t>-8</w:t>
                  </w:r>
                </w:p>
              </w:tc>
              <w:tc>
                <w:tcPr>
                  <w:tcW w:w="374" w:type="pct"/>
                  <w:tcBorders>
                    <w:top w:val="nil"/>
                    <w:left w:val="nil"/>
                    <w:right w:val="nil"/>
                  </w:tcBorders>
                  <w:shd w:val="clear" w:color="auto" w:fill="auto"/>
                  <w:tcMar>
                    <w:left w:w="0" w:type="dxa"/>
                    <w:right w:w="0" w:type="dxa"/>
                  </w:tcMar>
                </w:tcPr>
                <w:p w14:paraId="7954BF68" w14:textId="77777777" w:rsidR="00F05DC7" w:rsidRPr="00AE067B" w:rsidRDefault="00F05DC7" w:rsidP="00A3786D">
                  <w:pPr>
                    <w:pStyle w:val="TableBodyText"/>
                    <w:ind w:right="57"/>
                    <w:rPr>
                      <w:rFonts w:cs="Arial"/>
                      <w:color w:val="000000"/>
                      <w:szCs w:val="18"/>
                    </w:rPr>
                  </w:pPr>
                  <w:r w:rsidRPr="00CA7E55">
                    <w:rPr>
                      <w:rFonts w:cs="Arial"/>
                      <w:szCs w:val="18"/>
                    </w:rPr>
                    <w:t>-4</w:t>
                  </w:r>
                </w:p>
              </w:tc>
              <w:tc>
                <w:tcPr>
                  <w:tcW w:w="375" w:type="pct"/>
                  <w:tcBorders>
                    <w:top w:val="nil"/>
                    <w:left w:val="nil"/>
                    <w:right w:val="nil"/>
                  </w:tcBorders>
                  <w:shd w:val="clear" w:color="auto" w:fill="auto"/>
                  <w:tcMar>
                    <w:left w:w="0" w:type="dxa"/>
                    <w:right w:w="0" w:type="dxa"/>
                  </w:tcMar>
                </w:tcPr>
                <w:p w14:paraId="7954BF69" w14:textId="77777777" w:rsidR="00F05DC7" w:rsidRPr="00AE067B" w:rsidRDefault="00F05DC7" w:rsidP="00A3786D">
                  <w:pPr>
                    <w:pStyle w:val="TableBodyText"/>
                    <w:ind w:right="57"/>
                    <w:rPr>
                      <w:rFonts w:cs="Arial"/>
                      <w:color w:val="000000"/>
                      <w:szCs w:val="18"/>
                    </w:rPr>
                  </w:pPr>
                  <w:r w:rsidRPr="00CA7E55">
                    <w:rPr>
                      <w:rFonts w:cs="Arial"/>
                      <w:szCs w:val="18"/>
                    </w:rPr>
                    <w:t>-2</w:t>
                  </w:r>
                </w:p>
              </w:tc>
              <w:tc>
                <w:tcPr>
                  <w:tcW w:w="374" w:type="pct"/>
                  <w:tcBorders>
                    <w:top w:val="nil"/>
                    <w:left w:val="nil"/>
                    <w:right w:val="nil"/>
                  </w:tcBorders>
                  <w:shd w:val="clear" w:color="auto" w:fill="auto"/>
                  <w:tcMar>
                    <w:left w:w="0" w:type="dxa"/>
                    <w:right w:w="0" w:type="dxa"/>
                  </w:tcMar>
                </w:tcPr>
                <w:p w14:paraId="7954BF6A" w14:textId="77777777" w:rsidR="00F05DC7" w:rsidRPr="00AE067B" w:rsidRDefault="00F05DC7" w:rsidP="00A3786D">
                  <w:pPr>
                    <w:pStyle w:val="TableBodyText"/>
                    <w:ind w:right="57"/>
                    <w:rPr>
                      <w:rFonts w:cs="Arial"/>
                      <w:color w:val="000000"/>
                      <w:szCs w:val="18"/>
                    </w:rPr>
                  </w:pPr>
                  <w:r w:rsidRPr="00CA7E55">
                    <w:rPr>
                      <w:rFonts w:cs="Arial"/>
                      <w:szCs w:val="18"/>
                    </w:rPr>
                    <w:t>6</w:t>
                  </w:r>
                </w:p>
              </w:tc>
              <w:tc>
                <w:tcPr>
                  <w:tcW w:w="375" w:type="pct"/>
                  <w:tcBorders>
                    <w:top w:val="nil"/>
                    <w:left w:val="nil"/>
                    <w:right w:val="nil"/>
                  </w:tcBorders>
                  <w:shd w:val="clear" w:color="auto" w:fill="auto"/>
                  <w:tcMar>
                    <w:left w:w="0" w:type="dxa"/>
                    <w:right w:w="0" w:type="dxa"/>
                  </w:tcMar>
                </w:tcPr>
                <w:p w14:paraId="7954BF6B" w14:textId="77777777" w:rsidR="00F05DC7" w:rsidRPr="00AE067B" w:rsidRDefault="00F05DC7" w:rsidP="00A3786D">
                  <w:pPr>
                    <w:pStyle w:val="TableBodyText"/>
                    <w:ind w:right="57"/>
                    <w:rPr>
                      <w:rFonts w:cs="Arial"/>
                      <w:color w:val="000000"/>
                      <w:szCs w:val="18"/>
                    </w:rPr>
                  </w:pPr>
                  <w:r w:rsidRPr="00CA7E55">
                    <w:rPr>
                      <w:rFonts w:cs="Arial"/>
                      <w:szCs w:val="18"/>
                    </w:rPr>
                    <w:t>-19</w:t>
                  </w:r>
                </w:p>
              </w:tc>
              <w:tc>
                <w:tcPr>
                  <w:tcW w:w="374" w:type="pct"/>
                  <w:tcBorders>
                    <w:top w:val="nil"/>
                    <w:left w:val="nil"/>
                    <w:right w:val="nil"/>
                  </w:tcBorders>
                  <w:shd w:val="clear" w:color="auto" w:fill="auto"/>
                  <w:tcMar>
                    <w:left w:w="0" w:type="dxa"/>
                    <w:right w:w="0" w:type="dxa"/>
                  </w:tcMar>
                </w:tcPr>
                <w:p w14:paraId="7954BF6C" w14:textId="77777777" w:rsidR="00F05DC7" w:rsidRPr="00AE067B" w:rsidRDefault="00F05DC7" w:rsidP="00A3786D">
                  <w:pPr>
                    <w:pStyle w:val="TableBodyText"/>
                    <w:ind w:right="57"/>
                    <w:rPr>
                      <w:rFonts w:cs="Arial"/>
                      <w:color w:val="000000"/>
                      <w:szCs w:val="18"/>
                    </w:rPr>
                  </w:pPr>
                  <w:r w:rsidRPr="00CA7E55">
                    <w:rPr>
                      <w:rFonts w:cs="Arial"/>
                      <w:szCs w:val="18"/>
                    </w:rPr>
                    <w:t>-18</w:t>
                  </w:r>
                </w:p>
              </w:tc>
              <w:tc>
                <w:tcPr>
                  <w:tcW w:w="375" w:type="pct"/>
                  <w:tcBorders>
                    <w:top w:val="nil"/>
                    <w:left w:val="nil"/>
                    <w:right w:val="nil"/>
                  </w:tcBorders>
                  <w:shd w:val="clear" w:color="auto" w:fill="auto"/>
                  <w:tcMar>
                    <w:left w:w="0" w:type="dxa"/>
                    <w:right w:w="0" w:type="dxa"/>
                  </w:tcMar>
                </w:tcPr>
                <w:p w14:paraId="7954BF6D" w14:textId="77777777" w:rsidR="00F05DC7" w:rsidRPr="00AE067B" w:rsidRDefault="00F05DC7" w:rsidP="00A3786D">
                  <w:pPr>
                    <w:pStyle w:val="TableBodyText"/>
                    <w:ind w:right="57"/>
                    <w:rPr>
                      <w:rFonts w:cs="Arial"/>
                      <w:color w:val="000000"/>
                      <w:szCs w:val="18"/>
                    </w:rPr>
                  </w:pPr>
                  <w:r w:rsidRPr="00CA7E55">
                    <w:rPr>
                      <w:rFonts w:cs="Arial"/>
                      <w:szCs w:val="18"/>
                    </w:rPr>
                    <w:t>15</w:t>
                  </w:r>
                </w:p>
              </w:tc>
            </w:tr>
            <w:tr w:rsidR="00F05DC7" w14:paraId="7954BF78" w14:textId="77777777" w:rsidTr="000C4A9B">
              <w:trPr>
                <w:trHeight w:val="300"/>
              </w:trPr>
              <w:tc>
                <w:tcPr>
                  <w:tcW w:w="1931" w:type="pct"/>
                  <w:tcBorders>
                    <w:top w:val="nil"/>
                    <w:left w:val="nil"/>
                    <w:bottom w:val="single" w:sz="6" w:space="0" w:color="BFBFBF"/>
                    <w:right w:val="nil"/>
                  </w:tcBorders>
                  <w:shd w:val="clear" w:color="auto" w:fill="auto"/>
                  <w:tcMar>
                    <w:left w:w="0" w:type="dxa"/>
                    <w:right w:w="0" w:type="dxa"/>
                  </w:tcMar>
                  <w:vAlign w:val="center"/>
                  <w:hideMark/>
                </w:tcPr>
                <w:p w14:paraId="7954BF6F" w14:textId="77777777" w:rsidR="00F05DC7" w:rsidRPr="00775B18" w:rsidRDefault="00F05DC7" w:rsidP="00A3786D">
                  <w:pPr>
                    <w:pStyle w:val="TableBodyText"/>
                    <w:jc w:val="left"/>
                  </w:pPr>
                  <w:r w:rsidRPr="00C9149D">
                    <w:t>New</w:t>
                  </w:r>
                  <w:r w:rsidRPr="00775B18">
                    <w:t xml:space="preserve"> GST relativity</w:t>
                  </w:r>
                </w:p>
              </w:tc>
              <w:tc>
                <w:tcPr>
                  <w:tcW w:w="447" w:type="pct"/>
                  <w:tcBorders>
                    <w:top w:val="nil"/>
                    <w:left w:val="nil"/>
                    <w:bottom w:val="single" w:sz="6" w:space="0" w:color="BFBFBF"/>
                    <w:right w:val="nil"/>
                  </w:tcBorders>
                  <w:shd w:val="clear" w:color="auto" w:fill="auto"/>
                  <w:tcMar>
                    <w:left w:w="0" w:type="dxa"/>
                    <w:right w:w="0" w:type="dxa"/>
                  </w:tcMar>
                  <w:vAlign w:val="bottom"/>
                </w:tcPr>
                <w:p w14:paraId="7954BF70" w14:textId="77777777" w:rsidR="00F05DC7" w:rsidRPr="00CA7E55" w:rsidRDefault="00F05DC7" w:rsidP="00A3786D">
                  <w:pPr>
                    <w:pStyle w:val="TableBodyText"/>
                    <w:ind w:right="57"/>
                    <w:rPr>
                      <w:rFonts w:cs="Arial"/>
                      <w:szCs w:val="18"/>
                    </w:rPr>
                  </w:pPr>
                  <w:r w:rsidRPr="00CA7E55">
                    <w:rPr>
                      <w:rFonts w:cs="Arial"/>
                      <w:color w:val="000000"/>
                      <w:szCs w:val="18"/>
                    </w:rPr>
                    <w:t>0.84</w:t>
                  </w:r>
                </w:p>
              </w:tc>
              <w:tc>
                <w:tcPr>
                  <w:tcW w:w="375" w:type="pct"/>
                  <w:tcBorders>
                    <w:top w:val="nil"/>
                    <w:left w:val="nil"/>
                    <w:bottom w:val="single" w:sz="6" w:space="0" w:color="BFBFBF"/>
                    <w:right w:val="nil"/>
                  </w:tcBorders>
                  <w:shd w:val="clear" w:color="auto" w:fill="auto"/>
                  <w:tcMar>
                    <w:left w:w="0" w:type="dxa"/>
                    <w:right w:w="0" w:type="dxa"/>
                  </w:tcMar>
                  <w:vAlign w:val="bottom"/>
                </w:tcPr>
                <w:p w14:paraId="7954BF71" w14:textId="77777777" w:rsidR="00F05DC7" w:rsidRPr="00CA7E55" w:rsidRDefault="00F05DC7" w:rsidP="00A3786D">
                  <w:pPr>
                    <w:pStyle w:val="TableBodyText"/>
                    <w:ind w:right="57"/>
                    <w:rPr>
                      <w:rFonts w:cs="Arial"/>
                      <w:szCs w:val="18"/>
                    </w:rPr>
                  </w:pPr>
                  <w:r w:rsidRPr="00CA7E55">
                    <w:rPr>
                      <w:rFonts w:cs="Arial"/>
                      <w:color w:val="000000"/>
                      <w:szCs w:val="18"/>
                    </w:rPr>
                    <w:t>1.00</w:t>
                  </w:r>
                </w:p>
              </w:tc>
              <w:tc>
                <w:tcPr>
                  <w:tcW w:w="374" w:type="pct"/>
                  <w:tcBorders>
                    <w:top w:val="nil"/>
                    <w:left w:val="nil"/>
                    <w:bottom w:val="single" w:sz="6" w:space="0" w:color="BFBFBF"/>
                    <w:right w:val="nil"/>
                  </w:tcBorders>
                  <w:shd w:val="clear" w:color="auto" w:fill="auto"/>
                  <w:tcMar>
                    <w:left w:w="0" w:type="dxa"/>
                    <w:right w:w="0" w:type="dxa"/>
                  </w:tcMar>
                  <w:vAlign w:val="bottom"/>
                </w:tcPr>
                <w:p w14:paraId="7954BF72" w14:textId="77777777" w:rsidR="00F05DC7" w:rsidRPr="00CA7E55" w:rsidRDefault="00F05DC7" w:rsidP="00A3786D">
                  <w:pPr>
                    <w:pStyle w:val="TableBodyText"/>
                    <w:ind w:right="57"/>
                    <w:rPr>
                      <w:rFonts w:cs="Arial"/>
                      <w:szCs w:val="18"/>
                    </w:rPr>
                  </w:pPr>
                  <w:r w:rsidRPr="00CA7E55">
                    <w:rPr>
                      <w:rFonts w:cs="Arial"/>
                      <w:color w:val="000000"/>
                      <w:szCs w:val="18"/>
                    </w:rPr>
                    <w:t>1.03</w:t>
                  </w:r>
                </w:p>
              </w:tc>
              <w:tc>
                <w:tcPr>
                  <w:tcW w:w="375" w:type="pct"/>
                  <w:tcBorders>
                    <w:top w:val="nil"/>
                    <w:left w:val="nil"/>
                    <w:bottom w:val="single" w:sz="6" w:space="0" w:color="BFBFBF"/>
                    <w:right w:val="nil"/>
                  </w:tcBorders>
                  <w:shd w:val="clear" w:color="auto" w:fill="auto"/>
                  <w:tcMar>
                    <w:left w:w="0" w:type="dxa"/>
                    <w:right w:w="0" w:type="dxa"/>
                  </w:tcMar>
                  <w:vAlign w:val="bottom"/>
                </w:tcPr>
                <w:p w14:paraId="7954BF73" w14:textId="77777777" w:rsidR="00F05DC7" w:rsidRPr="00CA7E55" w:rsidRDefault="00F05DC7" w:rsidP="00A3786D">
                  <w:pPr>
                    <w:pStyle w:val="TableBodyText"/>
                    <w:ind w:right="57"/>
                    <w:rPr>
                      <w:rFonts w:cs="Arial"/>
                      <w:szCs w:val="18"/>
                    </w:rPr>
                  </w:pPr>
                  <w:r w:rsidRPr="00CA7E55">
                    <w:rPr>
                      <w:rFonts w:cs="Arial"/>
                      <w:color w:val="000000"/>
                      <w:szCs w:val="18"/>
                    </w:rPr>
                    <w:t>0.57</w:t>
                  </w:r>
                </w:p>
              </w:tc>
              <w:tc>
                <w:tcPr>
                  <w:tcW w:w="374" w:type="pct"/>
                  <w:tcBorders>
                    <w:top w:val="nil"/>
                    <w:left w:val="nil"/>
                    <w:bottom w:val="single" w:sz="6" w:space="0" w:color="BFBFBF"/>
                    <w:right w:val="nil"/>
                  </w:tcBorders>
                  <w:shd w:val="clear" w:color="auto" w:fill="auto"/>
                  <w:tcMar>
                    <w:left w:w="0" w:type="dxa"/>
                    <w:right w:w="0" w:type="dxa"/>
                  </w:tcMar>
                  <w:vAlign w:val="bottom"/>
                </w:tcPr>
                <w:p w14:paraId="7954BF74" w14:textId="77777777" w:rsidR="00F05DC7" w:rsidRPr="00CA7E55" w:rsidRDefault="00F05DC7" w:rsidP="00A3786D">
                  <w:pPr>
                    <w:pStyle w:val="TableBodyText"/>
                    <w:ind w:right="57"/>
                    <w:rPr>
                      <w:rFonts w:cs="Arial"/>
                      <w:szCs w:val="18"/>
                    </w:rPr>
                  </w:pPr>
                  <w:r w:rsidRPr="00CA7E55">
                    <w:rPr>
                      <w:rFonts w:cs="Arial"/>
                      <w:color w:val="000000"/>
                      <w:szCs w:val="18"/>
                    </w:rPr>
                    <w:t>1.54</w:t>
                  </w:r>
                </w:p>
              </w:tc>
              <w:tc>
                <w:tcPr>
                  <w:tcW w:w="375" w:type="pct"/>
                  <w:tcBorders>
                    <w:top w:val="nil"/>
                    <w:left w:val="nil"/>
                    <w:bottom w:val="single" w:sz="6" w:space="0" w:color="BFBFBF"/>
                    <w:right w:val="nil"/>
                  </w:tcBorders>
                  <w:shd w:val="clear" w:color="auto" w:fill="auto"/>
                  <w:tcMar>
                    <w:left w:w="0" w:type="dxa"/>
                    <w:right w:w="0" w:type="dxa"/>
                  </w:tcMar>
                  <w:vAlign w:val="bottom"/>
                </w:tcPr>
                <w:p w14:paraId="7954BF75" w14:textId="77777777" w:rsidR="00F05DC7" w:rsidRPr="00CA7E55" w:rsidRDefault="00F05DC7" w:rsidP="00A3786D">
                  <w:pPr>
                    <w:pStyle w:val="TableBodyText"/>
                    <w:ind w:right="57"/>
                    <w:rPr>
                      <w:rFonts w:cs="Arial"/>
                      <w:szCs w:val="18"/>
                    </w:rPr>
                  </w:pPr>
                  <w:r w:rsidRPr="00CA7E55">
                    <w:rPr>
                      <w:rFonts w:cs="Arial"/>
                      <w:color w:val="000000"/>
                      <w:szCs w:val="18"/>
                    </w:rPr>
                    <w:t>1.70</w:t>
                  </w:r>
                </w:p>
              </w:tc>
              <w:tc>
                <w:tcPr>
                  <w:tcW w:w="374" w:type="pct"/>
                  <w:tcBorders>
                    <w:top w:val="nil"/>
                    <w:left w:val="nil"/>
                    <w:bottom w:val="single" w:sz="6" w:space="0" w:color="BFBFBF"/>
                    <w:right w:val="nil"/>
                  </w:tcBorders>
                  <w:shd w:val="clear" w:color="auto" w:fill="auto"/>
                  <w:tcMar>
                    <w:left w:w="0" w:type="dxa"/>
                    <w:right w:w="0" w:type="dxa"/>
                  </w:tcMar>
                  <w:vAlign w:val="bottom"/>
                </w:tcPr>
                <w:p w14:paraId="7954BF76" w14:textId="77777777" w:rsidR="00F05DC7" w:rsidRPr="00CA7E55" w:rsidRDefault="00F05DC7" w:rsidP="00A3786D">
                  <w:pPr>
                    <w:pStyle w:val="TableBodyText"/>
                    <w:ind w:right="57"/>
                    <w:rPr>
                      <w:rFonts w:cs="Arial"/>
                      <w:szCs w:val="18"/>
                    </w:rPr>
                  </w:pPr>
                  <w:r w:rsidRPr="00CA7E55">
                    <w:rPr>
                      <w:rFonts w:cs="Arial"/>
                      <w:color w:val="000000"/>
                      <w:szCs w:val="18"/>
                    </w:rPr>
                    <w:t>1.21</w:t>
                  </w:r>
                </w:p>
              </w:tc>
              <w:tc>
                <w:tcPr>
                  <w:tcW w:w="375" w:type="pct"/>
                  <w:tcBorders>
                    <w:top w:val="nil"/>
                    <w:left w:val="nil"/>
                    <w:bottom w:val="single" w:sz="6" w:space="0" w:color="BFBFBF"/>
                    <w:right w:val="nil"/>
                  </w:tcBorders>
                  <w:shd w:val="clear" w:color="auto" w:fill="auto"/>
                  <w:tcMar>
                    <w:left w:w="0" w:type="dxa"/>
                    <w:right w:w="0" w:type="dxa"/>
                  </w:tcMar>
                  <w:vAlign w:val="bottom"/>
                </w:tcPr>
                <w:p w14:paraId="7954BF77" w14:textId="77777777" w:rsidR="00F05DC7" w:rsidRPr="00CA7E55" w:rsidRDefault="00F05DC7" w:rsidP="00A3786D">
                  <w:pPr>
                    <w:pStyle w:val="TableBodyText"/>
                    <w:ind w:right="57"/>
                    <w:rPr>
                      <w:rFonts w:cs="Arial"/>
                      <w:szCs w:val="18"/>
                    </w:rPr>
                  </w:pPr>
                  <w:r w:rsidRPr="00CA7E55">
                    <w:rPr>
                      <w:rFonts w:cs="Arial"/>
                      <w:color w:val="000000"/>
                      <w:szCs w:val="18"/>
                    </w:rPr>
                    <w:t>4.20</w:t>
                  </w:r>
                </w:p>
              </w:tc>
            </w:tr>
          </w:tbl>
          <w:p w14:paraId="7954BF79" w14:textId="77777777" w:rsidR="00F05DC7" w:rsidRDefault="00F05DC7" w:rsidP="00A3786D">
            <w:pPr>
              <w:pStyle w:val="Box"/>
            </w:pPr>
          </w:p>
        </w:tc>
      </w:tr>
      <w:tr w:rsidR="00F05DC7" w14:paraId="7954BF7C" w14:textId="77777777" w:rsidTr="000C4A9B">
        <w:tc>
          <w:tcPr>
            <w:tcW w:w="5000" w:type="pct"/>
            <w:tcBorders>
              <w:top w:val="nil"/>
              <w:left w:val="nil"/>
              <w:bottom w:val="nil"/>
              <w:right w:val="nil"/>
            </w:tcBorders>
            <w:shd w:val="clear" w:color="auto" w:fill="auto"/>
          </w:tcPr>
          <w:p w14:paraId="7954BF7B"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F7E" w14:textId="77777777" w:rsidTr="00A3786D">
        <w:tc>
          <w:tcPr>
            <w:tcW w:w="5000" w:type="pct"/>
            <w:tcBorders>
              <w:top w:val="nil"/>
              <w:left w:val="nil"/>
              <w:bottom w:val="single" w:sz="6" w:space="0" w:color="78A22F"/>
              <w:right w:val="nil"/>
            </w:tcBorders>
            <w:shd w:val="clear" w:color="auto" w:fill="auto"/>
          </w:tcPr>
          <w:p w14:paraId="7954BF7D" w14:textId="77777777" w:rsidR="00F05DC7" w:rsidRDefault="00F05DC7" w:rsidP="00A3786D">
            <w:pPr>
              <w:pStyle w:val="Box"/>
              <w:spacing w:before="0" w:line="120" w:lineRule="exact"/>
            </w:pPr>
          </w:p>
        </w:tc>
      </w:tr>
      <w:tr w:rsidR="00F05DC7" w:rsidRPr="000863A5" w14:paraId="7954BF80" w14:textId="77777777" w:rsidTr="00A3786D">
        <w:tc>
          <w:tcPr>
            <w:tcW w:w="5000" w:type="pct"/>
            <w:tcBorders>
              <w:top w:val="single" w:sz="6" w:space="0" w:color="78A22F"/>
              <w:left w:val="nil"/>
              <w:bottom w:val="nil"/>
              <w:right w:val="nil"/>
            </w:tcBorders>
          </w:tcPr>
          <w:p w14:paraId="7954BF7F" w14:textId="77777777" w:rsidR="00F05DC7" w:rsidRPr="00626D32" w:rsidRDefault="00F05DC7" w:rsidP="00A3786D">
            <w:pPr>
              <w:pStyle w:val="BoxSpaceBelow"/>
            </w:pPr>
          </w:p>
        </w:tc>
      </w:tr>
    </w:tbl>
    <w:p w14:paraId="7954BF81" w14:textId="77777777" w:rsidR="00F05DC7" w:rsidRPr="004D3B21" w:rsidRDefault="00F05DC7" w:rsidP="00A3786D">
      <w:pPr>
        <w:pStyle w:val="Heading3"/>
      </w:pPr>
      <w:r>
        <w:t>Congestion tax with increased public transport spending</w:t>
      </w:r>
    </w:p>
    <w:p w14:paraId="7954BF82" w14:textId="77777777" w:rsidR="00F05DC7" w:rsidRDefault="00F05DC7" w:rsidP="00A3786D">
      <w:pPr>
        <w:pStyle w:val="BodyText"/>
      </w:pPr>
      <w:r>
        <w:t>This cameo involves a State introducing road pricing to reduce urban congestion (that is, a congestion tax) and hypothecating its revenue to spending on urban public transport operational expenses. Though the level of congestion varies substantially across States (with smaller States experiencing particularly low levels), for completeness, this analysis examines the impact of reform for each State. Specifically, it measures the effects of reform undertaken on an individual basis (unilateral reform) and across all States (multilateral reform).</w:t>
      </w:r>
    </w:p>
    <w:p w14:paraId="7954BF83" w14:textId="77777777" w:rsidR="00F05DC7" w:rsidRDefault="00F05DC7" w:rsidP="00A3786D">
      <w:pPr>
        <w:pStyle w:val="Heading4"/>
      </w:pPr>
      <w:r>
        <w:t>Rationale for reform</w:t>
      </w:r>
    </w:p>
    <w:p w14:paraId="7954BF84" w14:textId="0B289D02" w:rsidR="00F05DC7" w:rsidRDefault="00F05DC7" w:rsidP="00A3786D">
      <w:pPr>
        <w:pStyle w:val="BodyText"/>
      </w:pPr>
      <w:r>
        <w:t xml:space="preserve">The introduction of road pricing has been raised widely as an efficiency enhancing reform, as it has the potential to improve transport investment and reduce travel times, vehicle maintenance costs and pollution </w:t>
      </w:r>
      <w:r w:rsidR="009D6331" w:rsidRPr="009D6331">
        <w:rPr>
          <w:szCs w:val="24"/>
        </w:rPr>
        <w:t>(for example, Henry et al. 2010b; PC 2014c)</w:t>
      </w:r>
      <w:r>
        <w:t xml:space="preserve">. The Henry Tax Review suggested that the revenue from a congestion tax on existing roads should flow back to the community, initially to public transport in affected areas. </w:t>
      </w:r>
    </w:p>
    <w:p w14:paraId="7954BF85" w14:textId="77777777" w:rsidR="00F05DC7" w:rsidRDefault="00F05DC7" w:rsidP="00A3786D">
      <w:pPr>
        <w:pStyle w:val="Heading4"/>
      </w:pPr>
      <w:r>
        <w:t>Introducing a congestion tax</w:t>
      </w:r>
    </w:p>
    <w:p w14:paraId="7954BF86" w14:textId="77777777" w:rsidR="00F05DC7" w:rsidRDefault="00F05DC7" w:rsidP="00A3786D">
      <w:pPr>
        <w:pStyle w:val="BodyText"/>
      </w:pPr>
      <w:r>
        <w:t>Congestion taxes, implemented via road pricing, have not been introduced by any Australian State and are therefore not included in the CGC’s current calculation of assessed revenues. The impact on GST payments of a State introducing a congestion tax depends on several factors, including the amount of funds raised by the State, the specific revenue base used and how the CGC would treat the new tax.</w:t>
      </w:r>
    </w:p>
    <w:p w14:paraId="7954BF87" w14:textId="0C8F9578" w:rsidR="00F05DC7" w:rsidRDefault="00F05DC7" w:rsidP="00A3786D">
      <w:pPr>
        <w:pStyle w:val="BodyText"/>
      </w:pPr>
      <w:r>
        <w:t xml:space="preserve">States will vary substantially in their capacity to raise revenue from congestion taxation, with States that have higher levels of traffic in metropolitan areas possessing a stronger revenue base. The Bureau of Infrastructure, Transport and Regional Economics has published several </w:t>
      </w:r>
      <w:r>
        <w:lastRenderedPageBreak/>
        <w:t>measures of traffic levels in Australian cities, including vehicle</w:t>
      </w:r>
      <w:r>
        <w:noBreakHyphen/>
        <w:t xml:space="preserve">kilometres travelled (VKT), passenger car equivalent units and some estimates of the costs associated with these levels of traffic </w:t>
      </w:r>
      <w:r w:rsidRPr="00113464">
        <w:rPr>
          <w:szCs w:val="24"/>
        </w:rPr>
        <w:t>(BITRE 2017, p. 84)</w:t>
      </w:r>
      <w:r>
        <w:t xml:space="preserve">. </w:t>
      </w:r>
    </w:p>
    <w:p w14:paraId="7954BF88" w14:textId="77777777" w:rsidR="00F05DC7" w:rsidRDefault="00F05DC7" w:rsidP="00A3786D">
      <w:pPr>
        <w:pStyle w:val="BodyText"/>
      </w:pPr>
      <w:r>
        <w:t>For this cameo, metropolitan VKT has been used as a measure of a State’s revenue base, rather than measures of congestion costs. VKT is likely to be less sensitive to States’ policy choices on taxing congestion (and, as such, the tax examined would be more akin to a road user charge in the smaller jurisdictions with less congested capital cities). Given that the intention of a congestion tax would be to reduce congestion costs, using costs as a measure of the revenue base would leave GST payments highly sensitive to policy settings.</w:t>
      </w:r>
    </w:p>
    <w:p w14:paraId="7954BF89" w14:textId="77777777" w:rsidR="00F05DC7" w:rsidRDefault="00F05DC7" w:rsidP="00A3786D">
      <w:pPr>
        <w:pStyle w:val="BodyText"/>
      </w:pPr>
      <w:r>
        <w:t xml:space="preserve">This cameo involves scenarios of States raising revenue equivalent to $200 per capita in both unilateral and multilateral circumstances. The amount of revenue raised does not affect the </w:t>
      </w:r>
      <w:r>
        <w:rPr>
          <w:i/>
        </w:rPr>
        <w:t xml:space="preserve">direction </w:t>
      </w:r>
      <w:r>
        <w:t xml:space="preserve">of the policy’s effect on a State’s GST payments. That is, whether New South Wales raises $10 or $200 per capita does not affect whether its GST payments increase or decrease as a result of the policy. It does, however, affect the </w:t>
      </w:r>
      <w:r w:rsidRPr="00230801">
        <w:rPr>
          <w:i/>
        </w:rPr>
        <w:t>magnitude</w:t>
      </w:r>
      <w:r>
        <w:t xml:space="preserve"> of this effect and therefore whether a congestion tax is considered material. Raising $200 per capita in New South Wales, for example, equates to raising on average 3.7 cents per metropolitan VKT. In a multilateral reform scenario, this represents a 30 per cent increase in urban public transport expenses.</w:t>
      </w:r>
    </w:p>
    <w:p w14:paraId="7954BF8A" w14:textId="77777777" w:rsidR="00F05DC7" w:rsidRDefault="00F05DC7" w:rsidP="00A3786D">
      <w:pPr>
        <w:pStyle w:val="BodyText"/>
      </w:pPr>
      <w:r>
        <w:t xml:space="preserve">Table C.28 presents the effect of unilateral congestion reforms on components of the revenue assessment. It shows that where the tax is introduced it has a large impact on the national average tax rate and its materiality. Assuming States raise $200 per capita, the introduction of a congestion tax would be material only for </w:t>
      </w:r>
      <w:r w:rsidRPr="003045FA">
        <w:t>New South Wales and Victoria</w:t>
      </w:r>
      <w:r>
        <w:t>. In the analysis below, assessed revenues have been calculated on an EPC basis in cases where the congestion tax is not material.</w:t>
      </w:r>
    </w:p>
    <w:p w14:paraId="7954BF8B"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FD7" w14:textId="77777777" w:rsidTr="001113B1">
        <w:trPr>
          <w:tblHeader/>
        </w:trPr>
        <w:tc>
          <w:tcPr>
            <w:tcW w:w="5000" w:type="pct"/>
            <w:tcBorders>
              <w:top w:val="single" w:sz="6" w:space="0" w:color="78A22F"/>
              <w:left w:val="nil"/>
              <w:bottom w:val="nil"/>
              <w:right w:val="nil"/>
            </w:tcBorders>
            <w:shd w:val="clear" w:color="auto" w:fill="auto"/>
          </w:tcPr>
          <w:p w14:paraId="7954BF8C" w14:textId="547D568D" w:rsidR="00F05DC7" w:rsidRDefault="00F05DC7" w:rsidP="00A3786D">
            <w:pPr>
              <w:pStyle w:val="TableTitle"/>
            </w:pPr>
            <w:r>
              <w:rPr>
                <w:b w:val="0"/>
              </w:rPr>
              <w:t>Table C.28</w:t>
            </w:r>
            <w:r>
              <w:tab/>
              <w:t>Revenue assessment of a congestion tax</w:t>
            </w:r>
          </w:p>
          <w:p w14:paraId="7954BF8D" w14:textId="77777777" w:rsidR="00F05DC7" w:rsidRDefault="00F05DC7" w:rsidP="00A3786D">
            <w:pPr>
              <w:pStyle w:val="Subtitle"/>
            </w:pPr>
            <w:r>
              <w:t>Unilateral change by each State and a change by all States</w:t>
            </w:r>
            <w:r w:rsidRPr="008E77FE">
              <w:rPr>
                <w:rStyle w:val="NoteLabel"/>
              </w:rPr>
              <w:t>a</w:t>
            </w:r>
            <w:r>
              <w:rPr>
                <w:rStyle w:val="NoteLabel"/>
              </w:rPr>
              <w:t>,b</w:t>
            </w:r>
          </w:p>
          <w:tbl>
            <w:tblPr>
              <w:tblW w:w="5000" w:type="pct"/>
              <w:tblLook w:val="04A0" w:firstRow="1" w:lastRow="0" w:firstColumn="1" w:lastColumn="0" w:noHBand="0" w:noVBand="1"/>
            </w:tblPr>
            <w:tblGrid>
              <w:gridCol w:w="2961"/>
              <w:gridCol w:w="1070"/>
              <w:gridCol w:w="570"/>
              <w:gridCol w:w="570"/>
              <w:gridCol w:w="420"/>
              <w:gridCol w:w="458"/>
              <w:gridCol w:w="470"/>
              <w:gridCol w:w="470"/>
              <w:gridCol w:w="471"/>
              <w:gridCol w:w="471"/>
              <w:gridCol w:w="574"/>
            </w:tblGrid>
            <w:tr w:rsidR="00F05DC7" w14:paraId="7954BF99" w14:textId="77777777" w:rsidTr="002C6C3D">
              <w:trPr>
                <w:trHeight w:val="300"/>
                <w:tblHeader/>
              </w:trPr>
              <w:tc>
                <w:tcPr>
                  <w:tcW w:w="1750"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BF8E" w14:textId="77777777" w:rsidR="00F05DC7" w:rsidRPr="00791D71" w:rsidRDefault="00F05DC7" w:rsidP="00A3786D">
                  <w:pPr>
                    <w:pStyle w:val="TableColumnHeading"/>
                    <w:rPr>
                      <w:rFonts w:asciiTheme="minorHAnsi" w:hAnsiTheme="minorHAnsi" w:cstheme="minorHAnsi"/>
                      <w:i w:val="0"/>
                      <w:szCs w:val="18"/>
                    </w:rPr>
                  </w:pPr>
                </w:p>
              </w:tc>
              <w:tc>
                <w:tcPr>
                  <w:tcW w:w="630" w:type="pct"/>
                  <w:tcBorders>
                    <w:top w:val="single" w:sz="6" w:space="0" w:color="BFBFBF"/>
                    <w:left w:val="nil"/>
                    <w:bottom w:val="single" w:sz="6" w:space="0" w:color="BFBFBF"/>
                    <w:right w:val="nil"/>
                  </w:tcBorders>
                  <w:tcMar>
                    <w:left w:w="0" w:type="dxa"/>
                    <w:right w:w="0" w:type="dxa"/>
                  </w:tcMar>
                  <w:vAlign w:val="bottom"/>
                </w:tcPr>
                <w:p w14:paraId="7954BF8F" w14:textId="77777777" w:rsidR="00F05DC7" w:rsidRPr="00791D71" w:rsidRDefault="00F05DC7" w:rsidP="00A3786D">
                  <w:pPr>
                    <w:pStyle w:val="TableColumnHeading"/>
                    <w:ind w:right="57"/>
                    <w:rPr>
                      <w:rFonts w:asciiTheme="minorHAnsi" w:hAnsiTheme="minorHAnsi" w:cstheme="minorHAnsi"/>
                      <w:szCs w:val="18"/>
                    </w:rPr>
                  </w:pPr>
                  <w:r>
                    <w:rPr>
                      <w:rFonts w:asciiTheme="minorHAnsi" w:hAnsiTheme="minorHAnsi" w:cstheme="minorHAnsi"/>
                      <w:szCs w:val="18"/>
                    </w:rPr>
                    <w:t>Units</w:t>
                  </w:r>
                </w:p>
              </w:tc>
              <w:tc>
                <w:tcPr>
                  <w:tcW w:w="299"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F90" w14:textId="77777777" w:rsidR="00F05DC7" w:rsidRPr="00D212F6" w:rsidRDefault="00F05DC7" w:rsidP="00A3786D">
                  <w:pPr>
                    <w:pStyle w:val="TableColumnHeading"/>
                    <w:ind w:right="57"/>
                    <w:rPr>
                      <w:rFonts w:asciiTheme="minorHAnsi" w:hAnsiTheme="minorHAnsi" w:cstheme="minorHAnsi"/>
                      <w:szCs w:val="18"/>
                    </w:rPr>
                  </w:pPr>
                  <w:r w:rsidRPr="00791D71">
                    <w:rPr>
                      <w:rFonts w:asciiTheme="minorHAnsi" w:hAnsiTheme="minorHAnsi" w:cstheme="minorHAnsi"/>
                      <w:szCs w:val="18"/>
                    </w:rPr>
                    <w:t>NSW</w:t>
                  </w:r>
                </w:p>
              </w:tc>
              <w:tc>
                <w:tcPr>
                  <w:tcW w:w="299"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F91"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Vic</w:t>
                  </w:r>
                </w:p>
              </w:tc>
              <w:tc>
                <w:tcPr>
                  <w:tcW w:w="258"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F92"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Qld</w:t>
                  </w:r>
                </w:p>
              </w:tc>
              <w:tc>
                <w:tcPr>
                  <w:tcW w:w="285"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F93"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WA</w:t>
                  </w:r>
                </w:p>
              </w:tc>
              <w:tc>
                <w:tcPr>
                  <w:tcW w:w="285"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F94"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SA</w:t>
                  </w:r>
                </w:p>
              </w:tc>
              <w:tc>
                <w:tcPr>
                  <w:tcW w:w="285"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F95"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Tas</w:t>
                  </w:r>
                </w:p>
              </w:tc>
              <w:tc>
                <w:tcPr>
                  <w:tcW w:w="286"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F96"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ACT</w:t>
                  </w:r>
                </w:p>
              </w:tc>
              <w:tc>
                <w:tcPr>
                  <w:tcW w:w="286"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F97"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NT</w:t>
                  </w:r>
                </w:p>
              </w:tc>
              <w:tc>
                <w:tcPr>
                  <w:tcW w:w="337" w:type="pct"/>
                  <w:tcBorders>
                    <w:top w:val="single" w:sz="6" w:space="0" w:color="BFBFBF"/>
                    <w:left w:val="nil"/>
                    <w:bottom w:val="single" w:sz="6" w:space="0" w:color="BFBFBF"/>
                    <w:right w:val="nil"/>
                  </w:tcBorders>
                  <w:shd w:val="clear" w:color="auto" w:fill="auto"/>
                  <w:tcMar>
                    <w:left w:w="0" w:type="dxa"/>
                    <w:right w:w="0" w:type="dxa"/>
                  </w:tcMar>
                  <w:vAlign w:val="bottom"/>
                  <w:hideMark/>
                </w:tcPr>
                <w:p w14:paraId="7954BF98" w14:textId="77777777" w:rsidR="00F05DC7" w:rsidRPr="00791D71" w:rsidRDefault="00F05DC7" w:rsidP="00A3786D">
                  <w:pPr>
                    <w:pStyle w:val="TableColumnHeading"/>
                    <w:ind w:right="57"/>
                    <w:rPr>
                      <w:rFonts w:asciiTheme="minorHAnsi" w:hAnsiTheme="minorHAnsi" w:cstheme="minorHAnsi"/>
                      <w:i w:val="0"/>
                      <w:szCs w:val="18"/>
                    </w:rPr>
                  </w:pPr>
                  <w:r w:rsidRPr="00791D71">
                    <w:rPr>
                      <w:rFonts w:asciiTheme="minorHAnsi" w:hAnsiTheme="minorHAnsi" w:cstheme="minorHAnsi"/>
                      <w:szCs w:val="18"/>
                    </w:rPr>
                    <w:t>All States</w:t>
                  </w:r>
                </w:p>
              </w:tc>
            </w:tr>
            <w:tr w:rsidR="00F05DC7" w14:paraId="7954BFA5" w14:textId="77777777" w:rsidTr="002C6C3D">
              <w:trPr>
                <w:trHeight w:val="288"/>
              </w:trPr>
              <w:tc>
                <w:tcPr>
                  <w:tcW w:w="1750" w:type="pct"/>
                  <w:tcBorders>
                    <w:top w:val="single" w:sz="6" w:space="0" w:color="BFBFBF"/>
                    <w:left w:val="nil"/>
                    <w:bottom w:val="nil"/>
                    <w:right w:val="nil"/>
                  </w:tcBorders>
                  <w:shd w:val="clear" w:color="auto" w:fill="auto"/>
                  <w:tcMar>
                    <w:left w:w="0" w:type="dxa"/>
                    <w:right w:w="0" w:type="dxa"/>
                  </w:tcMar>
                  <w:vAlign w:val="center"/>
                  <w:hideMark/>
                </w:tcPr>
                <w:p w14:paraId="7954BF9A" w14:textId="77777777" w:rsidR="00F05DC7" w:rsidRPr="00791D71" w:rsidRDefault="00F05DC7" w:rsidP="004F6C34">
                  <w:pPr>
                    <w:pStyle w:val="TableBodyText"/>
                    <w:spacing w:before="80"/>
                    <w:jc w:val="left"/>
                  </w:pPr>
                  <w:r w:rsidRPr="00791D71">
                    <w:t xml:space="preserve">Share of national revenue base </w:t>
                  </w:r>
                </w:p>
              </w:tc>
              <w:tc>
                <w:tcPr>
                  <w:tcW w:w="630" w:type="pct"/>
                  <w:tcBorders>
                    <w:top w:val="single" w:sz="6" w:space="0" w:color="BFBFBF"/>
                    <w:left w:val="nil"/>
                    <w:bottom w:val="nil"/>
                    <w:right w:val="nil"/>
                  </w:tcBorders>
                  <w:tcMar>
                    <w:left w:w="0" w:type="dxa"/>
                    <w:right w:w="0" w:type="dxa"/>
                  </w:tcMar>
                  <w:vAlign w:val="center"/>
                </w:tcPr>
                <w:p w14:paraId="7954BF9B" w14:textId="77777777" w:rsidR="00F05DC7" w:rsidRPr="00BB789C" w:rsidRDefault="00F05DC7" w:rsidP="004F6C34">
                  <w:pPr>
                    <w:pStyle w:val="TableBodyText"/>
                    <w:spacing w:before="80"/>
                    <w:jc w:val="left"/>
                    <w:rPr>
                      <w:rFonts w:cs="Arial"/>
                    </w:rPr>
                  </w:pPr>
                  <w:r w:rsidRPr="00BB789C">
                    <w:rPr>
                      <w:rFonts w:cs="Arial"/>
                    </w:rPr>
                    <w:t>(%)</w:t>
                  </w:r>
                </w:p>
              </w:tc>
              <w:tc>
                <w:tcPr>
                  <w:tcW w:w="299" w:type="pct"/>
                  <w:tcBorders>
                    <w:top w:val="single" w:sz="6" w:space="0" w:color="BFBFBF"/>
                    <w:left w:val="nil"/>
                    <w:bottom w:val="nil"/>
                    <w:right w:val="nil"/>
                  </w:tcBorders>
                  <w:shd w:val="clear" w:color="auto" w:fill="auto"/>
                  <w:tcMar>
                    <w:left w:w="0" w:type="dxa"/>
                    <w:right w:w="0" w:type="dxa"/>
                  </w:tcMar>
                  <w:vAlign w:val="center"/>
                  <w:hideMark/>
                </w:tcPr>
                <w:p w14:paraId="7954BF9C" w14:textId="77777777" w:rsidR="00F05DC7" w:rsidRPr="00BB789C" w:rsidRDefault="00F05DC7" w:rsidP="004F6C34">
                  <w:pPr>
                    <w:pStyle w:val="TableBodyText"/>
                    <w:spacing w:before="80"/>
                    <w:rPr>
                      <w:rFonts w:cs="Arial"/>
                    </w:rPr>
                  </w:pPr>
                  <w:r w:rsidRPr="00BB789C">
                    <w:rPr>
                      <w:rFonts w:cs="Arial"/>
                    </w:rPr>
                    <w:t>29</w:t>
                  </w:r>
                </w:p>
              </w:tc>
              <w:tc>
                <w:tcPr>
                  <w:tcW w:w="299" w:type="pct"/>
                  <w:tcBorders>
                    <w:top w:val="single" w:sz="6" w:space="0" w:color="BFBFBF"/>
                    <w:left w:val="nil"/>
                    <w:bottom w:val="nil"/>
                    <w:right w:val="nil"/>
                  </w:tcBorders>
                  <w:shd w:val="clear" w:color="auto" w:fill="auto"/>
                  <w:tcMar>
                    <w:left w:w="0" w:type="dxa"/>
                    <w:right w:w="0" w:type="dxa"/>
                  </w:tcMar>
                  <w:vAlign w:val="center"/>
                  <w:hideMark/>
                </w:tcPr>
                <w:p w14:paraId="7954BF9D" w14:textId="77777777" w:rsidR="00F05DC7" w:rsidRPr="00BB789C" w:rsidRDefault="00F05DC7" w:rsidP="004F6C34">
                  <w:pPr>
                    <w:pStyle w:val="TableBodyText"/>
                    <w:spacing w:before="80"/>
                    <w:rPr>
                      <w:rFonts w:cs="Arial"/>
                    </w:rPr>
                  </w:pPr>
                  <w:r w:rsidRPr="00BB789C">
                    <w:rPr>
                      <w:rFonts w:cs="Arial"/>
                    </w:rPr>
                    <w:t>29</w:t>
                  </w:r>
                </w:p>
              </w:tc>
              <w:tc>
                <w:tcPr>
                  <w:tcW w:w="258" w:type="pct"/>
                  <w:tcBorders>
                    <w:top w:val="single" w:sz="6" w:space="0" w:color="BFBFBF"/>
                    <w:left w:val="nil"/>
                    <w:bottom w:val="nil"/>
                    <w:right w:val="nil"/>
                  </w:tcBorders>
                  <w:shd w:val="clear" w:color="auto" w:fill="auto"/>
                  <w:tcMar>
                    <w:left w:w="0" w:type="dxa"/>
                    <w:right w:w="0" w:type="dxa"/>
                  </w:tcMar>
                  <w:vAlign w:val="center"/>
                  <w:hideMark/>
                </w:tcPr>
                <w:p w14:paraId="7954BF9E" w14:textId="77777777" w:rsidR="00F05DC7" w:rsidRPr="00BB789C" w:rsidRDefault="00F05DC7" w:rsidP="004F6C34">
                  <w:pPr>
                    <w:pStyle w:val="TableBodyText"/>
                    <w:spacing w:before="80"/>
                    <w:rPr>
                      <w:rFonts w:cs="Arial"/>
                    </w:rPr>
                  </w:pPr>
                  <w:r w:rsidRPr="00BB789C">
                    <w:rPr>
                      <w:rFonts w:cs="Arial"/>
                    </w:rPr>
                    <w:t>17</w:t>
                  </w:r>
                </w:p>
              </w:tc>
              <w:tc>
                <w:tcPr>
                  <w:tcW w:w="285" w:type="pct"/>
                  <w:tcBorders>
                    <w:top w:val="single" w:sz="6" w:space="0" w:color="BFBFBF"/>
                    <w:left w:val="nil"/>
                    <w:bottom w:val="nil"/>
                    <w:right w:val="nil"/>
                  </w:tcBorders>
                  <w:shd w:val="clear" w:color="auto" w:fill="auto"/>
                  <w:tcMar>
                    <w:left w:w="0" w:type="dxa"/>
                    <w:right w:w="0" w:type="dxa"/>
                  </w:tcMar>
                  <w:vAlign w:val="center"/>
                  <w:hideMark/>
                </w:tcPr>
                <w:p w14:paraId="7954BF9F" w14:textId="77777777" w:rsidR="00F05DC7" w:rsidRPr="00BB789C" w:rsidRDefault="00F05DC7" w:rsidP="004F6C34">
                  <w:pPr>
                    <w:pStyle w:val="TableBodyText"/>
                    <w:spacing w:before="80"/>
                    <w:rPr>
                      <w:rFonts w:cs="Arial"/>
                    </w:rPr>
                  </w:pPr>
                  <w:r w:rsidRPr="00BB789C">
                    <w:rPr>
                      <w:rFonts w:cs="Arial"/>
                    </w:rPr>
                    <w:t>13</w:t>
                  </w:r>
                </w:p>
              </w:tc>
              <w:tc>
                <w:tcPr>
                  <w:tcW w:w="285" w:type="pct"/>
                  <w:tcBorders>
                    <w:top w:val="single" w:sz="6" w:space="0" w:color="BFBFBF"/>
                    <w:left w:val="nil"/>
                    <w:bottom w:val="nil"/>
                    <w:right w:val="nil"/>
                  </w:tcBorders>
                  <w:shd w:val="clear" w:color="auto" w:fill="auto"/>
                  <w:tcMar>
                    <w:left w:w="0" w:type="dxa"/>
                    <w:right w:w="0" w:type="dxa"/>
                  </w:tcMar>
                  <w:vAlign w:val="center"/>
                  <w:hideMark/>
                </w:tcPr>
                <w:p w14:paraId="7954BFA0" w14:textId="77777777" w:rsidR="00F05DC7" w:rsidRPr="00BB789C" w:rsidRDefault="00F05DC7" w:rsidP="004F6C34">
                  <w:pPr>
                    <w:pStyle w:val="TableBodyText"/>
                    <w:spacing w:before="80"/>
                    <w:rPr>
                      <w:rFonts w:cs="Arial"/>
                    </w:rPr>
                  </w:pPr>
                  <w:r w:rsidRPr="00BB789C">
                    <w:rPr>
                      <w:rFonts w:cs="Arial"/>
                    </w:rPr>
                    <w:t>7</w:t>
                  </w:r>
                </w:p>
              </w:tc>
              <w:tc>
                <w:tcPr>
                  <w:tcW w:w="285" w:type="pct"/>
                  <w:tcBorders>
                    <w:top w:val="single" w:sz="6" w:space="0" w:color="BFBFBF"/>
                    <w:left w:val="nil"/>
                    <w:bottom w:val="nil"/>
                    <w:right w:val="nil"/>
                  </w:tcBorders>
                  <w:shd w:val="clear" w:color="auto" w:fill="auto"/>
                  <w:tcMar>
                    <w:left w:w="0" w:type="dxa"/>
                    <w:right w:w="0" w:type="dxa"/>
                  </w:tcMar>
                  <w:vAlign w:val="center"/>
                  <w:hideMark/>
                </w:tcPr>
                <w:p w14:paraId="7954BFA1" w14:textId="77777777" w:rsidR="00F05DC7" w:rsidRPr="00BB789C" w:rsidRDefault="00F05DC7" w:rsidP="004F6C34">
                  <w:pPr>
                    <w:pStyle w:val="TableBodyText"/>
                    <w:spacing w:before="80"/>
                    <w:rPr>
                      <w:rFonts w:cs="Arial"/>
                    </w:rPr>
                  </w:pPr>
                  <w:r w:rsidRPr="00BB789C">
                    <w:rPr>
                      <w:rFonts w:cs="Arial"/>
                    </w:rPr>
                    <w:t>1</w:t>
                  </w:r>
                </w:p>
              </w:tc>
              <w:tc>
                <w:tcPr>
                  <w:tcW w:w="286" w:type="pct"/>
                  <w:tcBorders>
                    <w:top w:val="single" w:sz="6" w:space="0" w:color="BFBFBF"/>
                    <w:left w:val="nil"/>
                    <w:bottom w:val="nil"/>
                    <w:right w:val="nil"/>
                  </w:tcBorders>
                  <w:shd w:val="clear" w:color="auto" w:fill="auto"/>
                  <w:tcMar>
                    <w:left w:w="0" w:type="dxa"/>
                    <w:right w:w="0" w:type="dxa"/>
                  </w:tcMar>
                  <w:vAlign w:val="center"/>
                  <w:hideMark/>
                </w:tcPr>
                <w:p w14:paraId="7954BFA2" w14:textId="77777777" w:rsidR="00F05DC7" w:rsidRPr="00BB789C" w:rsidRDefault="00F05DC7" w:rsidP="004F6C34">
                  <w:pPr>
                    <w:pStyle w:val="TableBodyText"/>
                    <w:spacing w:before="80"/>
                    <w:rPr>
                      <w:rFonts w:cs="Arial"/>
                    </w:rPr>
                  </w:pPr>
                  <w:r w:rsidRPr="00BB789C">
                    <w:rPr>
                      <w:rFonts w:cs="Arial"/>
                    </w:rPr>
                    <w:t>3</w:t>
                  </w:r>
                </w:p>
              </w:tc>
              <w:tc>
                <w:tcPr>
                  <w:tcW w:w="286" w:type="pct"/>
                  <w:tcBorders>
                    <w:top w:val="single" w:sz="6" w:space="0" w:color="BFBFBF"/>
                    <w:left w:val="nil"/>
                    <w:bottom w:val="nil"/>
                    <w:right w:val="nil"/>
                  </w:tcBorders>
                  <w:shd w:val="clear" w:color="auto" w:fill="auto"/>
                  <w:tcMar>
                    <w:left w:w="0" w:type="dxa"/>
                    <w:right w:w="0" w:type="dxa"/>
                  </w:tcMar>
                  <w:vAlign w:val="center"/>
                  <w:hideMark/>
                </w:tcPr>
                <w:p w14:paraId="7954BFA3" w14:textId="77777777" w:rsidR="00F05DC7" w:rsidRPr="00BB789C" w:rsidRDefault="00F05DC7" w:rsidP="004F6C34">
                  <w:pPr>
                    <w:pStyle w:val="TableBodyText"/>
                    <w:spacing w:before="80"/>
                    <w:rPr>
                      <w:rFonts w:cs="Arial"/>
                    </w:rPr>
                  </w:pPr>
                  <w:r w:rsidRPr="00BB789C">
                    <w:rPr>
                      <w:rFonts w:cs="Arial"/>
                    </w:rPr>
                    <w:t>1</w:t>
                  </w:r>
                </w:p>
              </w:tc>
              <w:tc>
                <w:tcPr>
                  <w:tcW w:w="337" w:type="pct"/>
                  <w:tcBorders>
                    <w:top w:val="single" w:sz="6" w:space="0" w:color="BFBFBF"/>
                    <w:left w:val="nil"/>
                    <w:bottom w:val="nil"/>
                    <w:right w:val="nil"/>
                  </w:tcBorders>
                  <w:shd w:val="clear" w:color="auto" w:fill="auto"/>
                  <w:tcMar>
                    <w:left w:w="0" w:type="dxa"/>
                    <w:right w:w="0" w:type="dxa"/>
                  </w:tcMar>
                  <w:vAlign w:val="center"/>
                  <w:hideMark/>
                </w:tcPr>
                <w:p w14:paraId="7954BFA4" w14:textId="77777777" w:rsidR="00F05DC7" w:rsidRPr="00BB789C" w:rsidRDefault="00F05DC7" w:rsidP="004F6C34">
                  <w:pPr>
                    <w:pStyle w:val="TableBodyText"/>
                    <w:spacing w:before="80"/>
                    <w:rPr>
                      <w:rFonts w:cs="Arial"/>
                    </w:rPr>
                  </w:pPr>
                  <w:r w:rsidRPr="00BB789C">
                    <w:rPr>
                      <w:rFonts w:cs="Arial"/>
                    </w:rPr>
                    <w:t>100</w:t>
                  </w:r>
                </w:p>
              </w:tc>
            </w:tr>
            <w:tr w:rsidR="00F05DC7" w14:paraId="7954BFB1" w14:textId="77777777" w:rsidTr="00A3786D">
              <w:trPr>
                <w:trHeight w:val="288"/>
              </w:trPr>
              <w:tc>
                <w:tcPr>
                  <w:tcW w:w="1750" w:type="pct"/>
                  <w:tcBorders>
                    <w:top w:val="nil"/>
                    <w:left w:val="nil"/>
                    <w:bottom w:val="nil"/>
                    <w:right w:val="nil"/>
                  </w:tcBorders>
                  <w:shd w:val="clear" w:color="auto" w:fill="auto"/>
                  <w:tcMar>
                    <w:left w:w="0" w:type="dxa"/>
                    <w:right w:w="0" w:type="dxa"/>
                  </w:tcMar>
                  <w:vAlign w:val="center"/>
                  <w:hideMark/>
                </w:tcPr>
                <w:p w14:paraId="7954BFA6" w14:textId="77777777" w:rsidR="00F05DC7" w:rsidRPr="00791D71" w:rsidRDefault="00F05DC7" w:rsidP="00A3786D">
                  <w:pPr>
                    <w:pStyle w:val="TableBodyText"/>
                    <w:jc w:val="left"/>
                  </w:pPr>
                  <w:r w:rsidRPr="00791D71">
                    <w:t xml:space="preserve">Total revenue raised </w:t>
                  </w:r>
                </w:p>
              </w:tc>
              <w:tc>
                <w:tcPr>
                  <w:tcW w:w="630" w:type="pct"/>
                  <w:tcBorders>
                    <w:top w:val="nil"/>
                    <w:left w:val="nil"/>
                    <w:bottom w:val="nil"/>
                    <w:right w:val="nil"/>
                  </w:tcBorders>
                  <w:tcMar>
                    <w:left w:w="0" w:type="dxa"/>
                    <w:right w:w="0" w:type="dxa"/>
                  </w:tcMar>
                  <w:vAlign w:val="center"/>
                </w:tcPr>
                <w:p w14:paraId="7954BFA7" w14:textId="77777777" w:rsidR="00F05DC7" w:rsidRPr="00BB789C" w:rsidRDefault="00F05DC7" w:rsidP="00A3786D">
                  <w:pPr>
                    <w:pStyle w:val="TableBodyText"/>
                    <w:jc w:val="left"/>
                    <w:rPr>
                      <w:rFonts w:cs="Arial"/>
                    </w:rPr>
                  </w:pPr>
                  <w:r w:rsidRPr="00BB789C">
                    <w:rPr>
                      <w:rFonts w:cs="Arial"/>
                    </w:rPr>
                    <w:t>($m)</w:t>
                  </w:r>
                </w:p>
              </w:tc>
              <w:tc>
                <w:tcPr>
                  <w:tcW w:w="299" w:type="pct"/>
                  <w:tcBorders>
                    <w:top w:val="nil"/>
                    <w:left w:val="nil"/>
                    <w:bottom w:val="nil"/>
                    <w:right w:val="nil"/>
                  </w:tcBorders>
                  <w:shd w:val="clear" w:color="auto" w:fill="auto"/>
                  <w:tcMar>
                    <w:left w:w="0" w:type="dxa"/>
                    <w:right w:w="0" w:type="dxa"/>
                  </w:tcMar>
                  <w:vAlign w:val="bottom"/>
                  <w:hideMark/>
                </w:tcPr>
                <w:p w14:paraId="7954BFA8" w14:textId="77777777" w:rsidR="00F05DC7" w:rsidRPr="00BB789C" w:rsidRDefault="00F05DC7" w:rsidP="00A3786D">
                  <w:pPr>
                    <w:pStyle w:val="TableBodyText"/>
                    <w:rPr>
                      <w:rFonts w:cs="Arial"/>
                    </w:rPr>
                  </w:pPr>
                  <w:r w:rsidRPr="00BB789C">
                    <w:rPr>
                      <w:rFonts w:cs="Arial"/>
                    </w:rPr>
                    <w:t>1</w:t>
                  </w:r>
                  <w:r>
                    <w:rPr>
                      <w:rFonts w:cs="Arial"/>
                    </w:rPr>
                    <w:t> </w:t>
                  </w:r>
                  <w:r w:rsidRPr="00BB789C">
                    <w:rPr>
                      <w:rFonts w:cs="Arial"/>
                    </w:rPr>
                    <w:t>560</w:t>
                  </w:r>
                </w:p>
              </w:tc>
              <w:tc>
                <w:tcPr>
                  <w:tcW w:w="299" w:type="pct"/>
                  <w:tcBorders>
                    <w:top w:val="nil"/>
                    <w:left w:val="nil"/>
                    <w:bottom w:val="nil"/>
                    <w:right w:val="nil"/>
                  </w:tcBorders>
                  <w:shd w:val="clear" w:color="auto" w:fill="auto"/>
                  <w:tcMar>
                    <w:left w:w="0" w:type="dxa"/>
                    <w:right w:w="0" w:type="dxa"/>
                  </w:tcMar>
                  <w:vAlign w:val="bottom"/>
                  <w:hideMark/>
                </w:tcPr>
                <w:p w14:paraId="7954BFA9" w14:textId="77777777" w:rsidR="00F05DC7" w:rsidRPr="00BB789C" w:rsidRDefault="00F05DC7" w:rsidP="00A3786D">
                  <w:pPr>
                    <w:pStyle w:val="TableBodyText"/>
                    <w:rPr>
                      <w:rFonts w:cs="Arial"/>
                    </w:rPr>
                  </w:pPr>
                  <w:r w:rsidRPr="00BB789C">
                    <w:rPr>
                      <w:rFonts w:cs="Arial"/>
                    </w:rPr>
                    <w:t>1</w:t>
                  </w:r>
                  <w:r>
                    <w:rPr>
                      <w:rFonts w:cs="Arial"/>
                    </w:rPr>
                    <w:t> </w:t>
                  </w:r>
                  <w:r w:rsidRPr="00BB789C">
                    <w:rPr>
                      <w:rFonts w:cs="Arial"/>
                    </w:rPr>
                    <w:t>249</w:t>
                  </w:r>
                </w:p>
              </w:tc>
              <w:tc>
                <w:tcPr>
                  <w:tcW w:w="258" w:type="pct"/>
                  <w:tcBorders>
                    <w:top w:val="nil"/>
                    <w:left w:val="nil"/>
                    <w:bottom w:val="nil"/>
                    <w:right w:val="nil"/>
                  </w:tcBorders>
                  <w:shd w:val="clear" w:color="auto" w:fill="auto"/>
                  <w:tcMar>
                    <w:left w:w="0" w:type="dxa"/>
                    <w:right w:w="0" w:type="dxa"/>
                  </w:tcMar>
                  <w:vAlign w:val="bottom"/>
                  <w:hideMark/>
                </w:tcPr>
                <w:p w14:paraId="7954BFAA" w14:textId="77777777" w:rsidR="00F05DC7" w:rsidRPr="00BB789C" w:rsidRDefault="00F05DC7" w:rsidP="00A3786D">
                  <w:pPr>
                    <w:pStyle w:val="TableBodyText"/>
                    <w:rPr>
                      <w:rFonts w:cs="Arial"/>
                    </w:rPr>
                  </w:pPr>
                  <w:r w:rsidRPr="00BB789C">
                    <w:rPr>
                      <w:rFonts w:cs="Arial"/>
                    </w:rPr>
                    <w:t>977</w:t>
                  </w:r>
                </w:p>
              </w:tc>
              <w:tc>
                <w:tcPr>
                  <w:tcW w:w="285" w:type="pct"/>
                  <w:tcBorders>
                    <w:top w:val="nil"/>
                    <w:left w:val="nil"/>
                    <w:bottom w:val="nil"/>
                    <w:right w:val="nil"/>
                  </w:tcBorders>
                  <w:shd w:val="clear" w:color="auto" w:fill="auto"/>
                  <w:tcMar>
                    <w:left w:w="0" w:type="dxa"/>
                    <w:right w:w="0" w:type="dxa"/>
                  </w:tcMar>
                  <w:vAlign w:val="bottom"/>
                  <w:hideMark/>
                </w:tcPr>
                <w:p w14:paraId="7954BFAB" w14:textId="77777777" w:rsidR="00F05DC7" w:rsidRPr="00BB789C" w:rsidRDefault="00F05DC7" w:rsidP="00A3786D">
                  <w:pPr>
                    <w:pStyle w:val="TableBodyText"/>
                    <w:rPr>
                      <w:rFonts w:cs="Arial"/>
                    </w:rPr>
                  </w:pPr>
                  <w:r w:rsidRPr="00BB789C">
                    <w:rPr>
                      <w:rFonts w:cs="Arial"/>
                    </w:rPr>
                    <w:t>514</w:t>
                  </w:r>
                </w:p>
              </w:tc>
              <w:tc>
                <w:tcPr>
                  <w:tcW w:w="285" w:type="pct"/>
                  <w:tcBorders>
                    <w:top w:val="nil"/>
                    <w:left w:val="nil"/>
                    <w:bottom w:val="nil"/>
                    <w:right w:val="nil"/>
                  </w:tcBorders>
                  <w:shd w:val="clear" w:color="auto" w:fill="auto"/>
                  <w:tcMar>
                    <w:left w:w="0" w:type="dxa"/>
                    <w:right w:w="0" w:type="dxa"/>
                  </w:tcMar>
                  <w:vAlign w:val="bottom"/>
                  <w:hideMark/>
                </w:tcPr>
                <w:p w14:paraId="7954BFAC" w14:textId="77777777" w:rsidR="00F05DC7" w:rsidRPr="00BB789C" w:rsidRDefault="00F05DC7" w:rsidP="00A3786D">
                  <w:pPr>
                    <w:pStyle w:val="TableBodyText"/>
                    <w:rPr>
                      <w:rFonts w:cs="Arial"/>
                    </w:rPr>
                  </w:pPr>
                  <w:r w:rsidRPr="00BB789C">
                    <w:rPr>
                      <w:rFonts w:cs="Arial"/>
                    </w:rPr>
                    <w:t>343</w:t>
                  </w:r>
                </w:p>
              </w:tc>
              <w:tc>
                <w:tcPr>
                  <w:tcW w:w="285" w:type="pct"/>
                  <w:tcBorders>
                    <w:top w:val="nil"/>
                    <w:left w:val="nil"/>
                    <w:bottom w:val="nil"/>
                    <w:right w:val="nil"/>
                  </w:tcBorders>
                  <w:shd w:val="clear" w:color="auto" w:fill="auto"/>
                  <w:tcMar>
                    <w:left w:w="0" w:type="dxa"/>
                    <w:right w:w="0" w:type="dxa"/>
                  </w:tcMar>
                  <w:vAlign w:val="bottom"/>
                  <w:hideMark/>
                </w:tcPr>
                <w:p w14:paraId="7954BFAD" w14:textId="77777777" w:rsidR="00F05DC7" w:rsidRPr="00BB789C" w:rsidRDefault="00F05DC7" w:rsidP="00A3786D">
                  <w:pPr>
                    <w:pStyle w:val="TableBodyText"/>
                    <w:rPr>
                      <w:rFonts w:cs="Arial"/>
                    </w:rPr>
                  </w:pPr>
                  <w:r w:rsidRPr="00BB789C">
                    <w:rPr>
                      <w:rFonts w:cs="Arial"/>
                    </w:rPr>
                    <w:t>104</w:t>
                  </w:r>
                </w:p>
              </w:tc>
              <w:tc>
                <w:tcPr>
                  <w:tcW w:w="286" w:type="pct"/>
                  <w:tcBorders>
                    <w:top w:val="nil"/>
                    <w:left w:val="nil"/>
                    <w:bottom w:val="nil"/>
                    <w:right w:val="nil"/>
                  </w:tcBorders>
                  <w:shd w:val="clear" w:color="auto" w:fill="auto"/>
                  <w:tcMar>
                    <w:left w:w="0" w:type="dxa"/>
                    <w:right w:w="0" w:type="dxa"/>
                  </w:tcMar>
                  <w:vAlign w:val="bottom"/>
                  <w:hideMark/>
                </w:tcPr>
                <w:p w14:paraId="7954BFAE" w14:textId="77777777" w:rsidR="00F05DC7" w:rsidRPr="00BB789C" w:rsidRDefault="00F05DC7" w:rsidP="00A3786D">
                  <w:pPr>
                    <w:pStyle w:val="TableBodyText"/>
                    <w:rPr>
                      <w:rFonts w:cs="Arial"/>
                    </w:rPr>
                  </w:pPr>
                  <w:r w:rsidRPr="00BB789C">
                    <w:rPr>
                      <w:rFonts w:cs="Arial"/>
                    </w:rPr>
                    <w:t>81</w:t>
                  </w:r>
                </w:p>
              </w:tc>
              <w:tc>
                <w:tcPr>
                  <w:tcW w:w="286" w:type="pct"/>
                  <w:tcBorders>
                    <w:top w:val="nil"/>
                    <w:left w:val="nil"/>
                    <w:bottom w:val="nil"/>
                    <w:right w:val="nil"/>
                  </w:tcBorders>
                  <w:shd w:val="clear" w:color="auto" w:fill="auto"/>
                  <w:tcMar>
                    <w:left w:w="0" w:type="dxa"/>
                    <w:right w:w="0" w:type="dxa"/>
                  </w:tcMar>
                  <w:vAlign w:val="bottom"/>
                  <w:hideMark/>
                </w:tcPr>
                <w:p w14:paraId="7954BFAF" w14:textId="77777777" w:rsidR="00F05DC7" w:rsidRPr="00BB789C" w:rsidRDefault="00F05DC7" w:rsidP="00A3786D">
                  <w:pPr>
                    <w:pStyle w:val="TableBodyText"/>
                    <w:rPr>
                      <w:rFonts w:cs="Arial"/>
                    </w:rPr>
                  </w:pPr>
                  <w:r w:rsidRPr="00BB789C">
                    <w:rPr>
                      <w:rFonts w:cs="Arial"/>
                    </w:rPr>
                    <w:t>49</w:t>
                  </w:r>
                </w:p>
              </w:tc>
              <w:tc>
                <w:tcPr>
                  <w:tcW w:w="337" w:type="pct"/>
                  <w:tcBorders>
                    <w:top w:val="nil"/>
                    <w:left w:val="nil"/>
                    <w:bottom w:val="nil"/>
                    <w:right w:val="nil"/>
                  </w:tcBorders>
                  <w:shd w:val="clear" w:color="auto" w:fill="auto"/>
                  <w:tcMar>
                    <w:left w:w="0" w:type="dxa"/>
                    <w:right w:w="0" w:type="dxa"/>
                  </w:tcMar>
                  <w:vAlign w:val="bottom"/>
                  <w:hideMark/>
                </w:tcPr>
                <w:p w14:paraId="7954BFB0" w14:textId="77777777" w:rsidR="00F05DC7" w:rsidRPr="00BB789C" w:rsidRDefault="00F05DC7" w:rsidP="00A3786D">
                  <w:pPr>
                    <w:pStyle w:val="TableBodyText"/>
                    <w:rPr>
                      <w:rFonts w:cs="Arial"/>
                    </w:rPr>
                  </w:pPr>
                  <w:r w:rsidRPr="00BB789C">
                    <w:rPr>
                      <w:rFonts w:cs="Arial"/>
                    </w:rPr>
                    <w:t>4 876</w:t>
                  </w:r>
                </w:p>
              </w:tc>
            </w:tr>
            <w:tr w:rsidR="00F05DC7" w14:paraId="7954BFBD" w14:textId="77777777" w:rsidTr="00A3786D">
              <w:trPr>
                <w:trHeight w:val="288"/>
              </w:trPr>
              <w:tc>
                <w:tcPr>
                  <w:tcW w:w="1750" w:type="pct"/>
                  <w:tcBorders>
                    <w:top w:val="nil"/>
                    <w:left w:val="nil"/>
                    <w:bottom w:val="nil"/>
                    <w:right w:val="nil"/>
                  </w:tcBorders>
                  <w:shd w:val="clear" w:color="auto" w:fill="auto"/>
                  <w:tcMar>
                    <w:left w:w="0" w:type="dxa"/>
                    <w:right w:w="0" w:type="dxa"/>
                  </w:tcMar>
                  <w:vAlign w:val="center"/>
                  <w:hideMark/>
                </w:tcPr>
                <w:p w14:paraId="7954BFB2" w14:textId="77777777" w:rsidR="00F05DC7" w:rsidRPr="00791D71" w:rsidRDefault="00F05DC7" w:rsidP="00A3786D">
                  <w:pPr>
                    <w:pStyle w:val="TableBodyText"/>
                    <w:jc w:val="left"/>
                  </w:pPr>
                  <w:r w:rsidRPr="00791D71">
                    <w:t xml:space="preserve">State tax rate </w:t>
                  </w:r>
                </w:p>
              </w:tc>
              <w:tc>
                <w:tcPr>
                  <w:tcW w:w="630" w:type="pct"/>
                  <w:tcBorders>
                    <w:top w:val="nil"/>
                    <w:left w:val="nil"/>
                    <w:bottom w:val="nil"/>
                    <w:right w:val="nil"/>
                  </w:tcBorders>
                  <w:tcMar>
                    <w:left w:w="0" w:type="dxa"/>
                    <w:right w:w="0" w:type="dxa"/>
                  </w:tcMar>
                  <w:vAlign w:val="center"/>
                </w:tcPr>
                <w:p w14:paraId="7954BFB3" w14:textId="77777777" w:rsidR="00F05DC7" w:rsidRPr="00BB789C" w:rsidRDefault="00F05DC7" w:rsidP="00A3786D">
                  <w:pPr>
                    <w:pStyle w:val="TableBodyText"/>
                    <w:jc w:val="left"/>
                    <w:rPr>
                      <w:rFonts w:cs="Arial"/>
                    </w:rPr>
                  </w:pPr>
                  <w:r w:rsidRPr="00BB789C">
                    <w:rPr>
                      <w:rFonts w:cs="Arial"/>
                    </w:rPr>
                    <w:t>(cents/VKT)</w:t>
                  </w:r>
                </w:p>
              </w:tc>
              <w:tc>
                <w:tcPr>
                  <w:tcW w:w="299" w:type="pct"/>
                  <w:tcBorders>
                    <w:top w:val="nil"/>
                    <w:left w:val="nil"/>
                    <w:bottom w:val="nil"/>
                    <w:right w:val="nil"/>
                  </w:tcBorders>
                  <w:shd w:val="clear" w:color="auto" w:fill="auto"/>
                  <w:tcMar>
                    <w:left w:w="0" w:type="dxa"/>
                    <w:right w:w="0" w:type="dxa"/>
                  </w:tcMar>
                  <w:vAlign w:val="bottom"/>
                  <w:hideMark/>
                </w:tcPr>
                <w:p w14:paraId="7954BFB4" w14:textId="77777777" w:rsidR="00F05DC7" w:rsidRPr="00BB789C" w:rsidRDefault="00F05DC7" w:rsidP="00A3786D">
                  <w:pPr>
                    <w:pStyle w:val="TableBodyText"/>
                    <w:rPr>
                      <w:rFonts w:cs="Arial"/>
                    </w:rPr>
                  </w:pPr>
                  <w:r w:rsidRPr="00BB789C">
                    <w:rPr>
                      <w:rFonts w:cs="Arial"/>
                    </w:rPr>
                    <w:t>3.7</w:t>
                  </w:r>
                </w:p>
              </w:tc>
              <w:tc>
                <w:tcPr>
                  <w:tcW w:w="299" w:type="pct"/>
                  <w:tcBorders>
                    <w:top w:val="nil"/>
                    <w:left w:val="nil"/>
                    <w:bottom w:val="nil"/>
                    <w:right w:val="nil"/>
                  </w:tcBorders>
                  <w:shd w:val="clear" w:color="auto" w:fill="auto"/>
                  <w:tcMar>
                    <w:left w:w="0" w:type="dxa"/>
                    <w:right w:w="0" w:type="dxa"/>
                  </w:tcMar>
                  <w:vAlign w:val="bottom"/>
                  <w:hideMark/>
                </w:tcPr>
                <w:p w14:paraId="7954BFB5" w14:textId="77777777" w:rsidR="00F05DC7" w:rsidRPr="00BB789C" w:rsidRDefault="00F05DC7" w:rsidP="00A3786D">
                  <w:pPr>
                    <w:pStyle w:val="TableBodyText"/>
                    <w:rPr>
                      <w:rFonts w:cs="Arial"/>
                    </w:rPr>
                  </w:pPr>
                  <w:r w:rsidRPr="00BB789C">
                    <w:rPr>
                      <w:rFonts w:cs="Arial"/>
                    </w:rPr>
                    <w:t>3.0</w:t>
                  </w:r>
                </w:p>
              </w:tc>
              <w:tc>
                <w:tcPr>
                  <w:tcW w:w="258" w:type="pct"/>
                  <w:tcBorders>
                    <w:top w:val="nil"/>
                    <w:left w:val="nil"/>
                    <w:bottom w:val="nil"/>
                    <w:right w:val="nil"/>
                  </w:tcBorders>
                  <w:shd w:val="clear" w:color="auto" w:fill="auto"/>
                  <w:tcMar>
                    <w:left w:w="0" w:type="dxa"/>
                    <w:right w:w="0" w:type="dxa"/>
                  </w:tcMar>
                  <w:vAlign w:val="bottom"/>
                  <w:hideMark/>
                </w:tcPr>
                <w:p w14:paraId="7954BFB6" w14:textId="77777777" w:rsidR="00F05DC7" w:rsidRPr="00BB789C" w:rsidRDefault="00F05DC7" w:rsidP="00A3786D">
                  <w:pPr>
                    <w:pStyle w:val="TableBodyText"/>
                    <w:rPr>
                      <w:rFonts w:cs="Arial"/>
                    </w:rPr>
                  </w:pPr>
                  <w:r w:rsidRPr="00BB789C">
                    <w:rPr>
                      <w:rFonts w:cs="Arial"/>
                    </w:rPr>
                    <w:t>4.2</w:t>
                  </w:r>
                </w:p>
              </w:tc>
              <w:tc>
                <w:tcPr>
                  <w:tcW w:w="285" w:type="pct"/>
                  <w:tcBorders>
                    <w:top w:val="nil"/>
                    <w:left w:val="nil"/>
                    <w:bottom w:val="nil"/>
                    <w:right w:val="nil"/>
                  </w:tcBorders>
                  <w:shd w:val="clear" w:color="auto" w:fill="auto"/>
                  <w:tcMar>
                    <w:left w:w="0" w:type="dxa"/>
                    <w:right w:w="0" w:type="dxa"/>
                  </w:tcMar>
                  <w:vAlign w:val="bottom"/>
                  <w:hideMark/>
                </w:tcPr>
                <w:p w14:paraId="7954BFB7" w14:textId="77777777" w:rsidR="00F05DC7" w:rsidRPr="00BB789C" w:rsidRDefault="00F05DC7" w:rsidP="00A3786D">
                  <w:pPr>
                    <w:pStyle w:val="TableBodyText"/>
                    <w:rPr>
                      <w:rFonts w:cs="Arial"/>
                    </w:rPr>
                  </w:pPr>
                  <w:r w:rsidRPr="00BB789C">
                    <w:rPr>
                      <w:rFonts w:cs="Arial"/>
                    </w:rPr>
                    <w:t>2.8</w:t>
                  </w:r>
                </w:p>
              </w:tc>
              <w:tc>
                <w:tcPr>
                  <w:tcW w:w="285" w:type="pct"/>
                  <w:tcBorders>
                    <w:top w:val="nil"/>
                    <w:left w:val="nil"/>
                    <w:bottom w:val="nil"/>
                    <w:right w:val="nil"/>
                  </w:tcBorders>
                  <w:shd w:val="clear" w:color="auto" w:fill="auto"/>
                  <w:tcMar>
                    <w:left w:w="0" w:type="dxa"/>
                    <w:right w:w="0" w:type="dxa"/>
                  </w:tcMar>
                  <w:vAlign w:val="bottom"/>
                  <w:hideMark/>
                </w:tcPr>
                <w:p w14:paraId="7954BFB8" w14:textId="77777777" w:rsidR="00F05DC7" w:rsidRPr="00BB789C" w:rsidRDefault="00F05DC7" w:rsidP="00A3786D">
                  <w:pPr>
                    <w:pStyle w:val="TableBodyText"/>
                    <w:rPr>
                      <w:rFonts w:cs="Arial"/>
                    </w:rPr>
                  </w:pPr>
                  <w:r w:rsidRPr="00BB789C">
                    <w:rPr>
                      <w:rFonts w:cs="Arial"/>
                    </w:rPr>
                    <w:t>3.3</w:t>
                  </w:r>
                </w:p>
              </w:tc>
              <w:tc>
                <w:tcPr>
                  <w:tcW w:w="285" w:type="pct"/>
                  <w:tcBorders>
                    <w:top w:val="nil"/>
                    <w:left w:val="nil"/>
                    <w:bottom w:val="nil"/>
                    <w:right w:val="nil"/>
                  </w:tcBorders>
                  <w:shd w:val="clear" w:color="auto" w:fill="auto"/>
                  <w:tcMar>
                    <w:left w:w="0" w:type="dxa"/>
                    <w:right w:w="0" w:type="dxa"/>
                  </w:tcMar>
                  <w:vAlign w:val="bottom"/>
                  <w:hideMark/>
                </w:tcPr>
                <w:p w14:paraId="7954BFB9" w14:textId="77777777" w:rsidR="00F05DC7" w:rsidRPr="00BB789C" w:rsidRDefault="00F05DC7" w:rsidP="00A3786D">
                  <w:pPr>
                    <w:pStyle w:val="TableBodyText"/>
                    <w:rPr>
                      <w:rFonts w:cs="Arial"/>
                    </w:rPr>
                  </w:pPr>
                  <w:r w:rsidRPr="00BB789C">
                    <w:rPr>
                      <w:rFonts w:cs="Arial"/>
                    </w:rPr>
                    <w:t>5.3</w:t>
                  </w:r>
                </w:p>
              </w:tc>
              <w:tc>
                <w:tcPr>
                  <w:tcW w:w="286" w:type="pct"/>
                  <w:tcBorders>
                    <w:top w:val="nil"/>
                    <w:left w:val="nil"/>
                    <w:bottom w:val="nil"/>
                    <w:right w:val="nil"/>
                  </w:tcBorders>
                  <w:shd w:val="clear" w:color="auto" w:fill="auto"/>
                  <w:tcMar>
                    <w:left w:w="0" w:type="dxa"/>
                    <w:right w:w="0" w:type="dxa"/>
                  </w:tcMar>
                  <w:vAlign w:val="bottom"/>
                  <w:hideMark/>
                </w:tcPr>
                <w:p w14:paraId="7954BFBA" w14:textId="77777777" w:rsidR="00F05DC7" w:rsidRPr="00BB789C" w:rsidRDefault="00F05DC7" w:rsidP="00A3786D">
                  <w:pPr>
                    <w:pStyle w:val="TableBodyText"/>
                    <w:rPr>
                      <w:rFonts w:cs="Arial"/>
                    </w:rPr>
                  </w:pPr>
                  <w:r w:rsidRPr="00BB789C">
                    <w:rPr>
                      <w:rFonts w:cs="Arial"/>
                    </w:rPr>
                    <w:t>2.1</w:t>
                  </w:r>
                </w:p>
              </w:tc>
              <w:tc>
                <w:tcPr>
                  <w:tcW w:w="286" w:type="pct"/>
                  <w:tcBorders>
                    <w:top w:val="nil"/>
                    <w:left w:val="nil"/>
                    <w:bottom w:val="nil"/>
                    <w:right w:val="nil"/>
                  </w:tcBorders>
                  <w:shd w:val="clear" w:color="auto" w:fill="auto"/>
                  <w:tcMar>
                    <w:left w:w="0" w:type="dxa"/>
                    <w:right w:w="0" w:type="dxa"/>
                  </w:tcMar>
                  <w:vAlign w:val="bottom"/>
                  <w:hideMark/>
                </w:tcPr>
                <w:p w14:paraId="7954BFBB" w14:textId="77777777" w:rsidR="00F05DC7" w:rsidRPr="00BB789C" w:rsidRDefault="00F05DC7" w:rsidP="00A3786D">
                  <w:pPr>
                    <w:pStyle w:val="TableBodyText"/>
                    <w:rPr>
                      <w:rFonts w:cs="Arial"/>
                    </w:rPr>
                  </w:pPr>
                  <w:r w:rsidRPr="00BB789C">
                    <w:rPr>
                      <w:rFonts w:cs="Arial"/>
                    </w:rPr>
                    <w:t>4.4</w:t>
                  </w:r>
                </w:p>
              </w:tc>
              <w:tc>
                <w:tcPr>
                  <w:tcW w:w="337" w:type="pct"/>
                  <w:tcBorders>
                    <w:top w:val="nil"/>
                    <w:left w:val="nil"/>
                    <w:bottom w:val="nil"/>
                    <w:right w:val="nil"/>
                  </w:tcBorders>
                  <w:shd w:val="clear" w:color="auto" w:fill="auto"/>
                  <w:tcMar>
                    <w:left w:w="0" w:type="dxa"/>
                    <w:right w:w="0" w:type="dxa"/>
                  </w:tcMar>
                  <w:vAlign w:val="center"/>
                  <w:hideMark/>
                </w:tcPr>
                <w:p w14:paraId="7954BFBC" w14:textId="77777777" w:rsidR="00F05DC7" w:rsidRPr="00BB789C" w:rsidRDefault="00F05DC7" w:rsidP="00A3786D">
                  <w:pPr>
                    <w:pStyle w:val="TableBodyText"/>
                    <w:rPr>
                      <w:rFonts w:cs="Arial"/>
                    </w:rPr>
                  </w:pPr>
                </w:p>
              </w:tc>
            </w:tr>
            <w:tr w:rsidR="00F05DC7" w14:paraId="7954BFC9" w14:textId="77777777" w:rsidTr="00A3786D">
              <w:trPr>
                <w:trHeight w:val="288"/>
              </w:trPr>
              <w:tc>
                <w:tcPr>
                  <w:tcW w:w="1750" w:type="pct"/>
                  <w:tcBorders>
                    <w:top w:val="nil"/>
                    <w:left w:val="nil"/>
                    <w:bottom w:val="nil"/>
                    <w:right w:val="nil"/>
                  </w:tcBorders>
                  <w:shd w:val="clear" w:color="auto" w:fill="auto"/>
                  <w:tcMar>
                    <w:left w:w="0" w:type="dxa"/>
                    <w:right w:w="0" w:type="dxa"/>
                  </w:tcMar>
                  <w:vAlign w:val="center"/>
                  <w:hideMark/>
                </w:tcPr>
                <w:p w14:paraId="7954BFBE" w14:textId="77777777" w:rsidR="00F05DC7" w:rsidRPr="00791D71" w:rsidRDefault="00F05DC7" w:rsidP="00A3786D">
                  <w:pPr>
                    <w:pStyle w:val="TableBodyText"/>
                    <w:jc w:val="left"/>
                  </w:pPr>
                  <w:r w:rsidRPr="00791D71">
                    <w:t xml:space="preserve">National average rate </w:t>
                  </w:r>
                </w:p>
              </w:tc>
              <w:tc>
                <w:tcPr>
                  <w:tcW w:w="630" w:type="pct"/>
                  <w:tcBorders>
                    <w:top w:val="nil"/>
                    <w:left w:val="nil"/>
                    <w:bottom w:val="nil"/>
                    <w:right w:val="nil"/>
                  </w:tcBorders>
                  <w:tcMar>
                    <w:left w:w="0" w:type="dxa"/>
                    <w:right w:w="0" w:type="dxa"/>
                  </w:tcMar>
                  <w:vAlign w:val="center"/>
                </w:tcPr>
                <w:p w14:paraId="7954BFBF" w14:textId="77777777" w:rsidR="00F05DC7" w:rsidRPr="00BB789C" w:rsidRDefault="00F05DC7" w:rsidP="00A3786D">
                  <w:pPr>
                    <w:pStyle w:val="TableBodyText"/>
                    <w:jc w:val="left"/>
                    <w:rPr>
                      <w:rFonts w:cs="Arial"/>
                    </w:rPr>
                  </w:pPr>
                  <w:r w:rsidRPr="00BB789C">
                    <w:rPr>
                      <w:rFonts w:cs="Arial"/>
                    </w:rPr>
                    <w:t>(cents/VKT)</w:t>
                  </w:r>
                </w:p>
              </w:tc>
              <w:tc>
                <w:tcPr>
                  <w:tcW w:w="299" w:type="pct"/>
                  <w:tcBorders>
                    <w:top w:val="nil"/>
                    <w:left w:val="nil"/>
                    <w:bottom w:val="nil"/>
                    <w:right w:val="nil"/>
                  </w:tcBorders>
                  <w:shd w:val="clear" w:color="auto" w:fill="auto"/>
                  <w:tcMar>
                    <w:left w:w="0" w:type="dxa"/>
                    <w:right w:w="0" w:type="dxa"/>
                  </w:tcMar>
                  <w:vAlign w:val="bottom"/>
                  <w:hideMark/>
                </w:tcPr>
                <w:p w14:paraId="7954BFC0" w14:textId="77777777" w:rsidR="00F05DC7" w:rsidRPr="00BB789C" w:rsidRDefault="00F05DC7" w:rsidP="00A3786D">
                  <w:pPr>
                    <w:pStyle w:val="TableBodyText"/>
                    <w:rPr>
                      <w:rFonts w:cs="Arial"/>
                    </w:rPr>
                  </w:pPr>
                  <w:r w:rsidRPr="00BB789C">
                    <w:rPr>
                      <w:rFonts w:cs="Arial"/>
                    </w:rPr>
                    <w:t>1.1</w:t>
                  </w:r>
                </w:p>
              </w:tc>
              <w:tc>
                <w:tcPr>
                  <w:tcW w:w="299" w:type="pct"/>
                  <w:tcBorders>
                    <w:top w:val="nil"/>
                    <w:left w:val="nil"/>
                    <w:bottom w:val="nil"/>
                    <w:right w:val="nil"/>
                  </w:tcBorders>
                  <w:shd w:val="clear" w:color="auto" w:fill="auto"/>
                  <w:tcMar>
                    <w:left w:w="0" w:type="dxa"/>
                    <w:right w:w="0" w:type="dxa"/>
                  </w:tcMar>
                  <w:vAlign w:val="bottom"/>
                  <w:hideMark/>
                </w:tcPr>
                <w:p w14:paraId="7954BFC1" w14:textId="77777777" w:rsidR="00F05DC7" w:rsidRPr="00BB789C" w:rsidRDefault="00F05DC7" w:rsidP="00A3786D">
                  <w:pPr>
                    <w:pStyle w:val="TableBodyText"/>
                    <w:rPr>
                      <w:rFonts w:cs="Arial"/>
                    </w:rPr>
                  </w:pPr>
                  <w:r w:rsidRPr="00BB789C">
                    <w:rPr>
                      <w:rFonts w:cs="Arial"/>
                    </w:rPr>
                    <w:t>0.9</w:t>
                  </w:r>
                </w:p>
              </w:tc>
              <w:tc>
                <w:tcPr>
                  <w:tcW w:w="258" w:type="pct"/>
                  <w:tcBorders>
                    <w:top w:val="nil"/>
                    <w:left w:val="nil"/>
                    <w:bottom w:val="nil"/>
                    <w:right w:val="nil"/>
                  </w:tcBorders>
                  <w:shd w:val="clear" w:color="auto" w:fill="auto"/>
                  <w:tcMar>
                    <w:left w:w="0" w:type="dxa"/>
                    <w:right w:w="0" w:type="dxa"/>
                  </w:tcMar>
                  <w:vAlign w:val="bottom"/>
                  <w:hideMark/>
                </w:tcPr>
                <w:p w14:paraId="7954BFC2" w14:textId="77777777" w:rsidR="00F05DC7" w:rsidRPr="00BB789C" w:rsidRDefault="00F05DC7" w:rsidP="00A3786D">
                  <w:pPr>
                    <w:pStyle w:val="TableBodyText"/>
                    <w:rPr>
                      <w:rFonts w:cs="Arial"/>
                    </w:rPr>
                  </w:pPr>
                  <w:r w:rsidRPr="00BB789C">
                    <w:rPr>
                      <w:rFonts w:cs="Arial"/>
                    </w:rPr>
                    <w:t>0.7</w:t>
                  </w:r>
                </w:p>
              </w:tc>
              <w:tc>
                <w:tcPr>
                  <w:tcW w:w="285" w:type="pct"/>
                  <w:tcBorders>
                    <w:top w:val="nil"/>
                    <w:left w:val="nil"/>
                    <w:bottom w:val="nil"/>
                    <w:right w:val="nil"/>
                  </w:tcBorders>
                  <w:shd w:val="clear" w:color="auto" w:fill="auto"/>
                  <w:tcMar>
                    <w:left w:w="0" w:type="dxa"/>
                    <w:right w:w="0" w:type="dxa"/>
                  </w:tcMar>
                  <w:vAlign w:val="bottom"/>
                  <w:hideMark/>
                </w:tcPr>
                <w:p w14:paraId="7954BFC3" w14:textId="77777777" w:rsidR="00F05DC7" w:rsidRPr="00BB789C" w:rsidRDefault="00F05DC7" w:rsidP="00A3786D">
                  <w:pPr>
                    <w:pStyle w:val="TableBodyText"/>
                    <w:rPr>
                      <w:rFonts w:cs="Arial"/>
                    </w:rPr>
                  </w:pPr>
                  <w:r w:rsidRPr="00BB789C">
                    <w:rPr>
                      <w:rFonts w:cs="Arial"/>
                    </w:rPr>
                    <w:t>0.4</w:t>
                  </w:r>
                </w:p>
              </w:tc>
              <w:tc>
                <w:tcPr>
                  <w:tcW w:w="285" w:type="pct"/>
                  <w:tcBorders>
                    <w:top w:val="nil"/>
                    <w:left w:val="nil"/>
                    <w:bottom w:val="nil"/>
                    <w:right w:val="nil"/>
                  </w:tcBorders>
                  <w:shd w:val="clear" w:color="auto" w:fill="auto"/>
                  <w:tcMar>
                    <w:left w:w="0" w:type="dxa"/>
                    <w:right w:w="0" w:type="dxa"/>
                  </w:tcMar>
                  <w:vAlign w:val="bottom"/>
                  <w:hideMark/>
                </w:tcPr>
                <w:p w14:paraId="7954BFC4" w14:textId="77777777" w:rsidR="00F05DC7" w:rsidRPr="00BB789C" w:rsidRDefault="00F05DC7" w:rsidP="00A3786D">
                  <w:pPr>
                    <w:pStyle w:val="TableBodyText"/>
                    <w:rPr>
                      <w:rFonts w:cs="Arial"/>
                    </w:rPr>
                  </w:pPr>
                  <w:r w:rsidRPr="00BB789C">
                    <w:rPr>
                      <w:rFonts w:cs="Arial"/>
                    </w:rPr>
                    <w:t>0.2</w:t>
                  </w:r>
                </w:p>
              </w:tc>
              <w:tc>
                <w:tcPr>
                  <w:tcW w:w="285" w:type="pct"/>
                  <w:tcBorders>
                    <w:top w:val="nil"/>
                    <w:left w:val="nil"/>
                    <w:bottom w:val="nil"/>
                    <w:right w:val="nil"/>
                  </w:tcBorders>
                  <w:shd w:val="clear" w:color="auto" w:fill="auto"/>
                  <w:tcMar>
                    <w:left w:w="0" w:type="dxa"/>
                    <w:right w:w="0" w:type="dxa"/>
                  </w:tcMar>
                  <w:vAlign w:val="bottom"/>
                  <w:hideMark/>
                </w:tcPr>
                <w:p w14:paraId="7954BFC5" w14:textId="77777777" w:rsidR="00F05DC7" w:rsidRPr="00BB789C" w:rsidRDefault="00F05DC7" w:rsidP="00A3786D">
                  <w:pPr>
                    <w:pStyle w:val="TableBodyText"/>
                    <w:rPr>
                      <w:rFonts w:cs="Arial"/>
                    </w:rPr>
                  </w:pPr>
                  <w:r w:rsidRPr="00BB789C">
                    <w:rPr>
                      <w:rFonts w:cs="Arial"/>
                    </w:rPr>
                    <w:t>0.1</w:t>
                  </w:r>
                </w:p>
              </w:tc>
              <w:tc>
                <w:tcPr>
                  <w:tcW w:w="286" w:type="pct"/>
                  <w:tcBorders>
                    <w:top w:val="nil"/>
                    <w:left w:val="nil"/>
                    <w:bottom w:val="nil"/>
                    <w:right w:val="nil"/>
                  </w:tcBorders>
                  <w:shd w:val="clear" w:color="auto" w:fill="auto"/>
                  <w:tcMar>
                    <w:left w:w="0" w:type="dxa"/>
                    <w:right w:w="0" w:type="dxa"/>
                  </w:tcMar>
                  <w:vAlign w:val="bottom"/>
                  <w:hideMark/>
                </w:tcPr>
                <w:p w14:paraId="7954BFC6" w14:textId="77777777" w:rsidR="00F05DC7" w:rsidRPr="00BB789C" w:rsidRDefault="00F05DC7" w:rsidP="00A3786D">
                  <w:pPr>
                    <w:pStyle w:val="TableBodyText"/>
                    <w:rPr>
                      <w:rFonts w:cs="Arial"/>
                    </w:rPr>
                  </w:pPr>
                  <w:r w:rsidRPr="00BB789C">
                    <w:rPr>
                      <w:rFonts w:cs="Arial"/>
                    </w:rPr>
                    <w:t>0.1</w:t>
                  </w:r>
                </w:p>
              </w:tc>
              <w:tc>
                <w:tcPr>
                  <w:tcW w:w="286" w:type="pct"/>
                  <w:tcBorders>
                    <w:top w:val="nil"/>
                    <w:left w:val="nil"/>
                    <w:bottom w:val="nil"/>
                    <w:right w:val="nil"/>
                  </w:tcBorders>
                  <w:shd w:val="clear" w:color="auto" w:fill="auto"/>
                  <w:tcMar>
                    <w:left w:w="0" w:type="dxa"/>
                    <w:right w:w="0" w:type="dxa"/>
                  </w:tcMar>
                  <w:vAlign w:val="bottom"/>
                  <w:hideMark/>
                </w:tcPr>
                <w:p w14:paraId="7954BFC7" w14:textId="77777777" w:rsidR="00F05DC7" w:rsidRPr="00BB789C" w:rsidRDefault="00F05DC7" w:rsidP="00A3786D">
                  <w:pPr>
                    <w:pStyle w:val="TableBodyText"/>
                    <w:rPr>
                      <w:rFonts w:cs="Arial"/>
                    </w:rPr>
                  </w:pPr>
                  <w:r w:rsidRPr="00BB789C">
                    <w:rPr>
                      <w:rFonts w:cs="Arial"/>
                    </w:rPr>
                    <w:t>0.0</w:t>
                  </w:r>
                </w:p>
              </w:tc>
              <w:tc>
                <w:tcPr>
                  <w:tcW w:w="337" w:type="pct"/>
                  <w:tcBorders>
                    <w:top w:val="nil"/>
                    <w:left w:val="nil"/>
                    <w:bottom w:val="nil"/>
                    <w:right w:val="nil"/>
                  </w:tcBorders>
                  <w:shd w:val="clear" w:color="auto" w:fill="auto"/>
                  <w:tcMar>
                    <w:left w:w="0" w:type="dxa"/>
                    <w:right w:w="0" w:type="dxa"/>
                  </w:tcMar>
                  <w:vAlign w:val="center"/>
                  <w:hideMark/>
                </w:tcPr>
                <w:p w14:paraId="7954BFC8" w14:textId="77777777" w:rsidR="00F05DC7" w:rsidRPr="00BB789C" w:rsidRDefault="00F05DC7" w:rsidP="00A3786D">
                  <w:pPr>
                    <w:pStyle w:val="TableBodyText"/>
                    <w:rPr>
                      <w:rFonts w:cs="Arial"/>
                    </w:rPr>
                  </w:pPr>
                  <w:r w:rsidRPr="00BB789C">
                    <w:rPr>
                      <w:rFonts w:cs="Arial"/>
                    </w:rPr>
                    <w:t>3.5</w:t>
                  </w:r>
                </w:p>
              </w:tc>
            </w:tr>
            <w:tr w:rsidR="00F05DC7" w14:paraId="7954BFD5" w14:textId="77777777" w:rsidTr="002C6C3D">
              <w:trPr>
                <w:trHeight w:val="300"/>
              </w:trPr>
              <w:tc>
                <w:tcPr>
                  <w:tcW w:w="1750" w:type="pct"/>
                  <w:tcBorders>
                    <w:top w:val="nil"/>
                    <w:left w:val="nil"/>
                    <w:bottom w:val="single" w:sz="6" w:space="0" w:color="BFBFBF"/>
                    <w:right w:val="nil"/>
                  </w:tcBorders>
                  <w:shd w:val="clear" w:color="auto" w:fill="auto"/>
                  <w:tcMar>
                    <w:left w:w="0" w:type="dxa"/>
                    <w:right w:w="0" w:type="dxa"/>
                  </w:tcMar>
                  <w:vAlign w:val="center"/>
                  <w:hideMark/>
                </w:tcPr>
                <w:p w14:paraId="7954BFCA" w14:textId="77777777" w:rsidR="00F05DC7" w:rsidRPr="00791D71" w:rsidRDefault="00F05DC7" w:rsidP="00A3786D">
                  <w:pPr>
                    <w:pStyle w:val="TableBodyText"/>
                    <w:jc w:val="left"/>
                  </w:pPr>
                  <w:r w:rsidRPr="00791D71">
                    <w:t>Material impact on GST distribution?</w:t>
                  </w:r>
                </w:p>
              </w:tc>
              <w:tc>
                <w:tcPr>
                  <w:tcW w:w="630" w:type="pct"/>
                  <w:tcBorders>
                    <w:top w:val="nil"/>
                    <w:left w:val="nil"/>
                    <w:bottom w:val="single" w:sz="6" w:space="0" w:color="BFBFBF"/>
                    <w:right w:val="nil"/>
                  </w:tcBorders>
                  <w:tcMar>
                    <w:left w:w="0" w:type="dxa"/>
                    <w:right w:w="0" w:type="dxa"/>
                  </w:tcMar>
                  <w:vAlign w:val="center"/>
                </w:tcPr>
                <w:p w14:paraId="7954BFCB" w14:textId="77777777" w:rsidR="00F05DC7" w:rsidRPr="00BB789C" w:rsidRDefault="00F05DC7" w:rsidP="00A3786D">
                  <w:pPr>
                    <w:pStyle w:val="TableBodyText"/>
                    <w:jc w:val="left"/>
                    <w:rPr>
                      <w:rFonts w:cs="Arial"/>
                    </w:rPr>
                  </w:pPr>
                </w:p>
              </w:tc>
              <w:tc>
                <w:tcPr>
                  <w:tcW w:w="299" w:type="pct"/>
                  <w:tcBorders>
                    <w:top w:val="nil"/>
                    <w:left w:val="nil"/>
                    <w:bottom w:val="single" w:sz="6" w:space="0" w:color="BFBFBF"/>
                    <w:right w:val="nil"/>
                  </w:tcBorders>
                  <w:shd w:val="clear" w:color="auto" w:fill="auto"/>
                  <w:tcMar>
                    <w:left w:w="0" w:type="dxa"/>
                    <w:right w:w="0" w:type="dxa"/>
                  </w:tcMar>
                  <w:vAlign w:val="center"/>
                  <w:hideMark/>
                </w:tcPr>
                <w:p w14:paraId="7954BFCC" w14:textId="77777777" w:rsidR="00F05DC7" w:rsidRPr="00BB789C" w:rsidRDefault="00F05DC7" w:rsidP="00A3786D">
                  <w:pPr>
                    <w:pStyle w:val="TableBodyText"/>
                    <w:rPr>
                      <w:rFonts w:cs="Arial"/>
                    </w:rPr>
                  </w:pPr>
                  <w:r w:rsidRPr="00BB789C">
                    <w:rPr>
                      <w:rFonts w:cs="Arial"/>
                    </w:rPr>
                    <w:t>yes</w:t>
                  </w:r>
                </w:p>
              </w:tc>
              <w:tc>
                <w:tcPr>
                  <w:tcW w:w="299" w:type="pct"/>
                  <w:tcBorders>
                    <w:top w:val="nil"/>
                    <w:left w:val="nil"/>
                    <w:bottom w:val="single" w:sz="6" w:space="0" w:color="BFBFBF"/>
                    <w:right w:val="nil"/>
                  </w:tcBorders>
                  <w:shd w:val="clear" w:color="auto" w:fill="auto"/>
                  <w:tcMar>
                    <w:left w:w="0" w:type="dxa"/>
                    <w:right w:w="0" w:type="dxa"/>
                  </w:tcMar>
                  <w:vAlign w:val="center"/>
                  <w:hideMark/>
                </w:tcPr>
                <w:p w14:paraId="7954BFCD" w14:textId="77777777" w:rsidR="00F05DC7" w:rsidRPr="00BB789C" w:rsidRDefault="00F05DC7" w:rsidP="00A3786D">
                  <w:pPr>
                    <w:pStyle w:val="TableBodyText"/>
                    <w:rPr>
                      <w:rFonts w:cs="Arial"/>
                    </w:rPr>
                  </w:pPr>
                  <w:r w:rsidRPr="00BB789C">
                    <w:rPr>
                      <w:rFonts w:cs="Arial"/>
                    </w:rPr>
                    <w:t>yes</w:t>
                  </w:r>
                </w:p>
              </w:tc>
              <w:tc>
                <w:tcPr>
                  <w:tcW w:w="258" w:type="pct"/>
                  <w:tcBorders>
                    <w:top w:val="nil"/>
                    <w:left w:val="nil"/>
                    <w:bottom w:val="single" w:sz="6" w:space="0" w:color="BFBFBF"/>
                    <w:right w:val="nil"/>
                  </w:tcBorders>
                  <w:shd w:val="clear" w:color="auto" w:fill="auto"/>
                  <w:tcMar>
                    <w:left w:w="0" w:type="dxa"/>
                    <w:right w:w="0" w:type="dxa"/>
                  </w:tcMar>
                  <w:vAlign w:val="center"/>
                  <w:hideMark/>
                </w:tcPr>
                <w:p w14:paraId="7954BFCE" w14:textId="77777777" w:rsidR="00F05DC7" w:rsidRPr="00BB789C" w:rsidRDefault="00F05DC7" w:rsidP="00A3786D">
                  <w:pPr>
                    <w:pStyle w:val="TableBodyText"/>
                    <w:rPr>
                      <w:rFonts w:cs="Arial"/>
                    </w:rPr>
                  </w:pPr>
                  <w:r w:rsidRPr="00BB789C">
                    <w:rPr>
                      <w:rFonts w:cs="Arial"/>
                    </w:rPr>
                    <w:t>no</w:t>
                  </w:r>
                </w:p>
              </w:tc>
              <w:tc>
                <w:tcPr>
                  <w:tcW w:w="285" w:type="pct"/>
                  <w:tcBorders>
                    <w:top w:val="nil"/>
                    <w:left w:val="nil"/>
                    <w:bottom w:val="single" w:sz="6" w:space="0" w:color="BFBFBF"/>
                    <w:right w:val="nil"/>
                  </w:tcBorders>
                  <w:shd w:val="clear" w:color="auto" w:fill="auto"/>
                  <w:tcMar>
                    <w:left w:w="0" w:type="dxa"/>
                    <w:right w:w="0" w:type="dxa"/>
                  </w:tcMar>
                  <w:vAlign w:val="center"/>
                  <w:hideMark/>
                </w:tcPr>
                <w:p w14:paraId="7954BFCF" w14:textId="77777777" w:rsidR="00F05DC7" w:rsidRPr="00BB789C" w:rsidRDefault="00F05DC7" w:rsidP="00A3786D">
                  <w:pPr>
                    <w:pStyle w:val="TableBodyText"/>
                    <w:rPr>
                      <w:rFonts w:cs="Arial"/>
                    </w:rPr>
                  </w:pPr>
                  <w:r w:rsidRPr="00BB789C">
                    <w:rPr>
                      <w:rFonts w:cs="Arial"/>
                    </w:rPr>
                    <w:t>no</w:t>
                  </w:r>
                </w:p>
              </w:tc>
              <w:tc>
                <w:tcPr>
                  <w:tcW w:w="285" w:type="pct"/>
                  <w:tcBorders>
                    <w:top w:val="nil"/>
                    <w:left w:val="nil"/>
                    <w:bottom w:val="single" w:sz="6" w:space="0" w:color="BFBFBF"/>
                    <w:right w:val="nil"/>
                  </w:tcBorders>
                  <w:shd w:val="clear" w:color="auto" w:fill="auto"/>
                  <w:tcMar>
                    <w:left w:w="0" w:type="dxa"/>
                    <w:right w:w="0" w:type="dxa"/>
                  </w:tcMar>
                  <w:vAlign w:val="center"/>
                  <w:hideMark/>
                </w:tcPr>
                <w:p w14:paraId="7954BFD0" w14:textId="77777777" w:rsidR="00F05DC7" w:rsidRPr="00BB789C" w:rsidRDefault="00F05DC7" w:rsidP="00A3786D">
                  <w:pPr>
                    <w:pStyle w:val="TableBodyText"/>
                    <w:rPr>
                      <w:rFonts w:cs="Arial"/>
                    </w:rPr>
                  </w:pPr>
                  <w:r w:rsidRPr="00BB789C">
                    <w:rPr>
                      <w:rFonts w:cs="Arial"/>
                    </w:rPr>
                    <w:t>no</w:t>
                  </w:r>
                </w:p>
              </w:tc>
              <w:tc>
                <w:tcPr>
                  <w:tcW w:w="285" w:type="pct"/>
                  <w:tcBorders>
                    <w:top w:val="nil"/>
                    <w:left w:val="nil"/>
                    <w:bottom w:val="single" w:sz="6" w:space="0" w:color="BFBFBF"/>
                    <w:right w:val="nil"/>
                  </w:tcBorders>
                  <w:shd w:val="clear" w:color="auto" w:fill="auto"/>
                  <w:tcMar>
                    <w:left w:w="0" w:type="dxa"/>
                    <w:right w:w="0" w:type="dxa"/>
                  </w:tcMar>
                  <w:vAlign w:val="center"/>
                  <w:hideMark/>
                </w:tcPr>
                <w:p w14:paraId="7954BFD1" w14:textId="77777777" w:rsidR="00F05DC7" w:rsidRPr="00BB789C" w:rsidRDefault="00F05DC7" w:rsidP="00A3786D">
                  <w:pPr>
                    <w:pStyle w:val="TableBodyText"/>
                    <w:rPr>
                      <w:rFonts w:cs="Arial"/>
                    </w:rPr>
                  </w:pPr>
                  <w:r w:rsidRPr="00BB789C">
                    <w:rPr>
                      <w:rFonts w:cs="Arial"/>
                    </w:rPr>
                    <w:t>no</w:t>
                  </w:r>
                </w:p>
              </w:tc>
              <w:tc>
                <w:tcPr>
                  <w:tcW w:w="286" w:type="pct"/>
                  <w:tcBorders>
                    <w:top w:val="nil"/>
                    <w:left w:val="nil"/>
                    <w:bottom w:val="single" w:sz="6" w:space="0" w:color="BFBFBF"/>
                    <w:right w:val="nil"/>
                  </w:tcBorders>
                  <w:shd w:val="clear" w:color="auto" w:fill="auto"/>
                  <w:tcMar>
                    <w:left w:w="0" w:type="dxa"/>
                    <w:right w:w="0" w:type="dxa"/>
                  </w:tcMar>
                  <w:vAlign w:val="center"/>
                  <w:hideMark/>
                </w:tcPr>
                <w:p w14:paraId="7954BFD2" w14:textId="77777777" w:rsidR="00F05DC7" w:rsidRPr="00BB789C" w:rsidRDefault="00F05DC7" w:rsidP="00A3786D">
                  <w:pPr>
                    <w:pStyle w:val="TableBodyText"/>
                    <w:rPr>
                      <w:rFonts w:cs="Arial"/>
                    </w:rPr>
                  </w:pPr>
                  <w:r w:rsidRPr="00BB789C">
                    <w:rPr>
                      <w:rFonts w:cs="Arial"/>
                    </w:rPr>
                    <w:t>no</w:t>
                  </w:r>
                </w:p>
              </w:tc>
              <w:tc>
                <w:tcPr>
                  <w:tcW w:w="286" w:type="pct"/>
                  <w:tcBorders>
                    <w:top w:val="nil"/>
                    <w:left w:val="nil"/>
                    <w:bottom w:val="single" w:sz="6" w:space="0" w:color="BFBFBF"/>
                    <w:right w:val="nil"/>
                  </w:tcBorders>
                  <w:shd w:val="clear" w:color="auto" w:fill="auto"/>
                  <w:tcMar>
                    <w:left w:w="0" w:type="dxa"/>
                    <w:right w:w="0" w:type="dxa"/>
                  </w:tcMar>
                  <w:vAlign w:val="center"/>
                  <w:hideMark/>
                </w:tcPr>
                <w:p w14:paraId="7954BFD3" w14:textId="77777777" w:rsidR="00F05DC7" w:rsidRPr="00BB789C" w:rsidRDefault="00F05DC7" w:rsidP="00A3786D">
                  <w:pPr>
                    <w:pStyle w:val="TableBodyText"/>
                    <w:rPr>
                      <w:rFonts w:cs="Arial"/>
                    </w:rPr>
                  </w:pPr>
                  <w:r w:rsidRPr="00BB789C">
                    <w:rPr>
                      <w:rFonts w:cs="Arial"/>
                    </w:rPr>
                    <w:t>no</w:t>
                  </w:r>
                </w:p>
              </w:tc>
              <w:tc>
                <w:tcPr>
                  <w:tcW w:w="337" w:type="pct"/>
                  <w:tcBorders>
                    <w:top w:val="nil"/>
                    <w:left w:val="nil"/>
                    <w:bottom w:val="single" w:sz="6" w:space="0" w:color="BFBFBF"/>
                    <w:right w:val="nil"/>
                  </w:tcBorders>
                  <w:shd w:val="clear" w:color="auto" w:fill="auto"/>
                  <w:tcMar>
                    <w:left w:w="0" w:type="dxa"/>
                    <w:right w:w="0" w:type="dxa"/>
                  </w:tcMar>
                  <w:vAlign w:val="center"/>
                  <w:hideMark/>
                </w:tcPr>
                <w:p w14:paraId="7954BFD4" w14:textId="77777777" w:rsidR="00F05DC7" w:rsidRPr="00BB789C" w:rsidRDefault="00F05DC7" w:rsidP="00A3786D">
                  <w:pPr>
                    <w:pStyle w:val="TableBodyText"/>
                    <w:rPr>
                      <w:rFonts w:cs="Arial"/>
                    </w:rPr>
                  </w:pPr>
                  <w:r w:rsidRPr="00BB789C">
                    <w:rPr>
                      <w:rFonts w:cs="Arial"/>
                    </w:rPr>
                    <w:t>yes</w:t>
                  </w:r>
                </w:p>
              </w:tc>
            </w:tr>
          </w:tbl>
          <w:p w14:paraId="7954BFD6" w14:textId="77777777" w:rsidR="00F05DC7" w:rsidRPr="00784A05" w:rsidRDefault="00F05DC7" w:rsidP="00A3786D">
            <w:pPr>
              <w:pStyle w:val="Subtitle"/>
            </w:pPr>
          </w:p>
        </w:tc>
      </w:tr>
      <w:tr w:rsidR="00F05DC7" w14:paraId="7954BFD9" w14:textId="77777777" w:rsidTr="00A3786D">
        <w:tc>
          <w:tcPr>
            <w:tcW w:w="5000" w:type="pct"/>
            <w:tcBorders>
              <w:top w:val="nil"/>
              <w:left w:val="nil"/>
              <w:bottom w:val="nil"/>
              <w:right w:val="nil"/>
            </w:tcBorders>
            <w:shd w:val="clear" w:color="auto" w:fill="auto"/>
          </w:tcPr>
          <w:p w14:paraId="7954BFD8" w14:textId="77777777" w:rsidR="00F05DC7" w:rsidRDefault="00F05DC7" w:rsidP="00A3786D">
            <w:pPr>
              <w:pStyle w:val="Note"/>
              <w:rPr>
                <w:i/>
              </w:rPr>
            </w:pPr>
            <w:r w:rsidRPr="008E77FE">
              <w:rPr>
                <w:rStyle w:val="NoteLabel"/>
              </w:rPr>
              <w:t>a</w:t>
            </w:r>
            <w:r>
              <w:t xml:space="preserve"> </w:t>
            </w:r>
            <w:r w:rsidRPr="00CC1EDA">
              <w:t>The tax rates presented above represent the cents collected per urban vehicle</w:t>
            </w:r>
            <w:r w:rsidRPr="00CC1EDA">
              <w:noBreakHyphen/>
              <w:t xml:space="preserve">kilometres travelled. </w:t>
            </w:r>
            <w:r w:rsidRPr="00AC44C2">
              <w:rPr>
                <w:rStyle w:val="NoteLabel"/>
              </w:rPr>
              <w:t>b</w:t>
            </w:r>
            <w:r w:rsidRPr="00CC1EDA">
              <w:t xml:space="preserve"> State columns show the effect of each State unilaterally undertaking reform. ‘All States’ show</w:t>
            </w:r>
            <w:r w:rsidRPr="00444517">
              <w:t xml:space="preserve">s the effect if all States concurrently undertake reform. </w:t>
            </w:r>
          </w:p>
        </w:tc>
      </w:tr>
      <w:tr w:rsidR="00F05DC7" w14:paraId="7954BFDB" w14:textId="77777777" w:rsidTr="00A3786D">
        <w:tc>
          <w:tcPr>
            <w:tcW w:w="5000" w:type="pct"/>
            <w:tcBorders>
              <w:top w:val="nil"/>
              <w:left w:val="nil"/>
              <w:bottom w:val="nil"/>
              <w:right w:val="nil"/>
            </w:tcBorders>
            <w:shd w:val="clear" w:color="auto" w:fill="auto"/>
          </w:tcPr>
          <w:p w14:paraId="7954BFDA"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BFDD" w14:textId="77777777" w:rsidTr="00A3786D">
        <w:tc>
          <w:tcPr>
            <w:tcW w:w="5000" w:type="pct"/>
            <w:tcBorders>
              <w:top w:val="nil"/>
              <w:left w:val="nil"/>
              <w:bottom w:val="single" w:sz="6" w:space="0" w:color="78A22F"/>
              <w:right w:val="nil"/>
            </w:tcBorders>
            <w:shd w:val="clear" w:color="auto" w:fill="auto"/>
          </w:tcPr>
          <w:p w14:paraId="7954BFDC" w14:textId="77777777" w:rsidR="00F05DC7" w:rsidRDefault="00F05DC7" w:rsidP="00A3786D">
            <w:pPr>
              <w:pStyle w:val="Box"/>
              <w:spacing w:before="0" w:line="120" w:lineRule="exact"/>
            </w:pPr>
          </w:p>
        </w:tc>
      </w:tr>
      <w:tr w:rsidR="00F05DC7" w:rsidRPr="000863A5" w14:paraId="7954BFDF" w14:textId="77777777" w:rsidTr="00A3786D">
        <w:tc>
          <w:tcPr>
            <w:tcW w:w="5000" w:type="pct"/>
            <w:tcBorders>
              <w:top w:val="single" w:sz="6" w:space="0" w:color="78A22F"/>
              <w:left w:val="nil"/>
              <w:bottom w:val="nil"/>
              <w:right w:val="nil"/>
            </w:tcBorders>
          </w:tcPr>
          <w:p w14:paraId="7954BFDE" w14:textId="77777777" w:rsidR="00F05DC7" w:rsidRPr="00626D32" w:rsidRDefault="00F05DC7" w:rsidP="00A3786D">
            <w:pPr>
              <w:pStyle w:val="BoxSpaceBelow"/>
            </w:pPr>
          </w:p>
        </w:tc>
      </w:tr>
    </w:tbl>
    <w:p w14:paraId="7954BFE0" w14:textId="77777777" w:rsidR="00F05DC7" w:rsidRDefault="00F05DC7" w:rsidP="00A3786D">
      <w:pPr>
        <w:pStyle w:val="Heading4"/>
      </w:pPr>
      <w:r>
        <w:lastRenderedPageBreak/>
        <w:t>Hypothecated expenditure on urban public transport</w:t>
      </w:r>
    </w:p>
    <w:p w14:paraId="7954BFE1" w14:textId="77777777" w:rsidR="00F05DC7" w:rsidRDefault="00F05DC7" w:rsidP="00A3786D">
      <w:pPr>
        <w:pStyle w:val="BodyText"/>
      </w:pPr>
      <w:r>
        <w:t xml:space="preserve">In this cameo, the revenue raised from the congestion tax has been allocated to urban public transport operational and depreciation expenses. This differs from </w:t>
      </w:r>
      <w:r w:rsidRPr="009F78B9">
        <w:rPr>
          <w:i/>
        </w:rPr>
        <w:t>investment</w:t>
      </w:r>
      <w:r>
        <w:t xml:space="preserve"> in public transport infrastructure. As such, this cameo does not consider transitional effects associated with introducing a congestion tax and increasing expenditure on public transport. Rather, it simulates a steady</w:t>
      </w:r>
      <w:r>
        <w:noBreakHyphen/>
        <w:t>state situation in which States have developed their transport infrastructure such that operational and depreciation expenses have increased by the amount raised from a congestion tax. These operational expenses could include expenditure relating to bus, rail, ferry, and any other services assessed by the CGC as urban transport expenses.</w:t>
      </w:r>
    </w:p>
    <w:p w14:paraId="7954BFE2" w14:textId="77777777" w:rsidR="00F05DC7" w:rsidRDefault="00F05DC7" w:rsidP="00A3786D">
      <w:pPr>
        <w:pStyle w:val="BodyText"/>
      </w:pPr>
      <w:r>
        <w:t>An increase in transport expenditure originating in any single State increases assessed transport expenses for all other States — for example, an increase in expenditure in New South Wales raises the assessed expenses of all other States. The size of the shift in all States’ assessed expenditure will depend in part on the size of the change in spending and therefore the size of the State introducing reform. For example, changes in assessed expenses are much larger where New South Wales undertakes reform, compared with the Northern Territory (table C.29).</w:t>
      </w:r>
      <w:r w:rsidRPr="002C0BB2">
        <w:t xml:space="preserve"> </w:t>
      </w:r>
    </w:p>
    <w:p w14:paraId="7954BFE3"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BFE6" w14:textId="77777777" w:rsidTr="001113B1">
        <w:trPr>
          <w:tblHeader/>
        </w:trPr>
        <w:tc>
          <w:tcPr>
            <w:tcW w:w="5000" w:type="pct"/>
            <w:tcBorders>
              <w:top w:val="single" w:sz="6" w:space="0" w:color="78A22F"/>
              <w:left w:val="nil"/>
              <w:bottom w:val="nil"/>
              <w:right w:val="nil"/>
            </w:tcBorders>
            <w:shd w:val="clear" w:color="auto" w:fill="auto"/>
          </w:tcPr>
          <w:p w14:paraId="7954BFE4" w14:textId="0F60441C" w:rsidR="00F05DC7" w:rsidRDefault="00F05DC7" w:rsidP="00A3786D">
            <w:pPr>
              <w:pStyle w:val="TableTitle"/>
            </w:pPr>
            <w:r>
              <w:rPr>
                <w:b w:val="0"/>
              </w:rPr>
              <w:t>Table C.29</w:t>
            </w:r>
            <w:r>
              <w:tab/>
              <w:t>Hypothecated spending and assessed transport expenses</w:t>
            </w:r>
          </w:p>
          <w:p w14:paraId="7954BFE5" w14:textId="77777777" w:rsidR="00F05DC7" w:rsidRPr="00784A05" w:rsidRDefault="00F05DC7" w:rsidP="00A3786D">
            <w:pPr>
              <w:pStyle w:val="Subtitle"/>
            </w:pPr>
            <w:r>
              <w:t>Unilateral change by each State and a change by all States, $ million</w:t>
            </w:r>
          </w:p>
        </w:tc>
      </w:tr>
      <w:tr w:rsidR="00F05DC7" w14:paraId="7954C010" w14:textId="77777777" w:rsidTr="006C4FBC">
        <w:tc>
          <w:tcPr>
            <w:tcW w:w="5000" w:type="pct"/>
            <w:tcBorders>
              <w:top w:val="nil"/>
              <w:left w:val="nil"/>
              <w:bottom w:val="nil"/>
              <w:right w:val="nil"/>
            </w:tcBorders>
            <w:shd w:val="clear" w:color="auto" w:fill="auto"/>
          </w:tcPr>
          <w:tbl>
            <w:tblPr>
              <w:tblW w:w="8530" w:type="dxa"/>
              <w:tblCellMar>
                <w:left w:w="0" w:type="dxa"/>
                <w:right w:w="0" w:type="dxa"/>
              </w:tblCellMar>
              <w:tblLook w:val="04A0" w:firstRow="1" w:lastRow="0" w:firstColumn="1" w:lastColumn="0" w:noHBand="0" w:noVBand="1"/>
            </w:tblPr>
            <w:tblGrid>
              <w:gridCol w:w="2551"/>
              <w:gridCol w:w="748"/>
              <w:gridCol w:w="748"/>
              <w:gridCol w:w="748"/>
              <w:gridCol w:w="747"/>
              <w:gridCol w:w="747"/>
              <w:gridCol w:w="747"/>
              <w:gridCol w:w="747"/>
              <w:gridCol w:w="747"/>
            </w:tblGrid>
            <w:tr w:rsidR="00F05DC7" w14:paraId="7954BFF0" w14:textId="77777777" w:rsidTr="002C6C3D">
              <w:trPr>
                <w:trHeight w:val="300"/>
                <w:tblHeader/>
              </w:trPr>
              <w:tc>
                <w:tcPr>
                  <w:tcW w:w="1494" w:type="pct"/>
                  <w:tcBorders>
                    <w:top w:val="single" w:sz="6" w:space="0" w:color="BFBFBF"/>
                    <w:left w:val="nil"/>
                    <w:bottom w:val="single" w:sz="6" w:space="0" w:color="BFBFBF"/>
                    <w:right w:val="nil"/>
                  </w:tcBorders>
                  <w:shd w:val="clear" w:color="auto" w:fill="auto"/>
                  <w:vAlign w:val="bottom"/>
                  <w:hideMark/>
                </w:tcPr>
                <w:p w14:paraId="7954BFE7" w14:textId="77777777" w:rsidR="00F05DC7" w:rsidRPr="00791D71" w:rsidRDefault="00F05DC7" w:rsidP="00A3786D">
                  <w:pPr>
                    <w:pStyle w:val="TableColumnHeading"/>
                  </w:pPr>
                </w:p>
              </w:tc>
              <w:tc>
                <w:tcPr>
                  <w:tcW w:w="438" w:type="pct"/>
                  <w:tcBorders>
                    <w:top w:val="single" w:sz="6" w:space="0" w:color="BFBFBF"/>
                    <w:left w:val="nil"/>
                    <w:bottom w:val="single" w:sz="6" w:space="0" w:color="BFBFBF"/>
                    <w:right w:val="nil"/>
                  </w:tcBorders>
                  <w:shd w:val="clear" w:color="auto" w:fill="auto"/>
                  <w:vAlign w:val="bottom"/>
                  <w:hideMark/>
                </w:tcPr>
                <w:p w14:paraId="7954BFE8"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NSW</w:t>
                  </w:r>
                </w:p>
              </w:tc>
              <w:tc>
                <w:tcPr>
                  <w:tcW w:w="438" w:type="pct"/>
                  <w:tcBorders>
                    <w:top w:val="single" w:sz="6" w:space="0" w:color="BFBFBF"/>
                    <w:left w:val="nil"/>
                    <w:bottom w:val="single" w:sz="6" w:space="0" w:color="BFBFBF"/>
                    <w:right w:val="nil"/>
                  </w:tcBorders>
                  <w:shd w:val="clear" w:color="auto" w:fill="auto"/>
                  <w:vAlign w:val="bottom"/>
                  <w:hideMark/>
                </w:tcPr>
                <w:p w14:paraId="7954BFE9"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Vic</w:t>
                  </w:r>
                </w:p>
              </w:tc>
              <w:tc>
                <w:tcPr>
                  <w:tcW w:w="438" w:type="pct"/>
                  <w:tcBorders>
                    <w:top w:val="single" w:sz="6" w:space="0" w:color="BFBFBF"/>
                    <w:left w:val="nil"/>
                    <w:bottom w:val="single" w:sz="6" w:space="0" w:color="BFBFBF"/>
                    <w:right w:val="nil"/>
                  </w:tcBorders>
                  <w:shd w:val="clear" w:color="auto" w:fill="auto"/>
                  <w:vAlign w:val="bottom"/>
                  <w:hideMark/>
                </w:tcPr>
                <w:p w14:paraId="7954BFEA"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Qld</w:t>
                  </w:r>
                </w:p>
              </w:tc>
              <w:tc>
                <w:tcPr>
                  <w:tcW w:w="438" w:type="pct"/>
                  <w:tcBorders>
                    <w:top w:val="single" w:sz="6" w:space="0" w:color="BFBFBF"/>
                    <w:left w:val="nil"/>
                    <w:bottom w:val="single" w:sz="6" w:space="0" w:color="BFBFBF"/>
                    <w:right w:val="nil"/>
                  </w:tcBorders>
                  <w:shd w:val="clear" w:color="auto" w:fill="auto"/>
                  <w:vAlign w:val="bottom"/>
                  <w:hideMark/>
                </w:tcPr>
                <w:p w14:paraId="7954BFEB"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WA</w:t>
                  </w:r>
                </w:p>
              </w:tc>
              <w:tc>
                <w:tcPr>
                  <w:tcW w:w="438" w:type="pct"/>
                  <w:tcBorders>
                    <w:top w:val="single" w:sz="6" w:space="0" w:color="BFBFBF"/>
                    <w:left w:val="nil"/>
                    <w:bottom w:val="single" w:sz="6" w:space="0" w:color="BFBFBF"/>
                    <w:right w:val="nil"/>
                  </w:tcBorders>
                  <w:shd w:val="clear" w:color="auto" w:fill="auto"/>
                  <w:vAlign w:val="bottom"/>
                  <w:hideMark/>
                </w:tcPr>
                <w:p w14:paraId="7954BFEC"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SA</w:t>
                  </w:r>
                </w:p>
              </w:tc>
              <w:tc>
                <w:tcPr>
                  <w:tcW w:w="438" w:type="pct"/>
                  <w:tcBorders>
                    <w:top w:val="single" w:sz="6" w:space="0" w:color="BFBFBF"/>
                    <w:left w:val="nil"/>
                    <w:bottom w:val="single" w:sz="6" w:space="0" w:color="BFBFBF"/>
                    <w:right w:val="nil"/>
                  </w:tcBorders>
                  <w:shd w:val="clear" w:color="auto" w:fill="auto"/>
                  <w:vAlign w:val="bottom"/>
                  <w:hideMark/>
                </w:tcPr>
                <w:p w14:paraId="7954BFED"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Tas</w:t>
                  </w:r>
                </w:p>
              </w:tc>
              <w:tc>
                <w:tcPr>
                  <w:tcW w:w="438" w:type="pct"/>
                  <w:tcBorders>
                    <w:top w:val="single" w:sz="6" w:space="0" w:color="BFBFBF"/>
                    <w:left w:val="nil"/>
                    <w:bottom w:val="single" w:sz="6" w:space="0" w:color="BFBFBF"/>
                    <w:right w:val="nil"/>
                  </w:tcBorders>
                  <w:shd w:val="clear" w:color="auto" w:fill="auto"/>
                  <w:vAlign w:val="bottom"/>
                  <w:hideMark/>
                </w:tcPr>
                <w:p w14:paraId="7954BFEE"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ACT</w:t>
                  </w:r>
                </w:p>
              </w:tc>
              <w:tc>
                <w:tcPr>
                  <w:tcW w:w="438" w:type="pct"/>
                  <w:tcBorders>
                    <w:top w:val="single" w:sz="6" w:space="0" w:color="BFBFBF"/>
                    <w:left w:val="nil"/>
                    <w:bottom w:val="single" w:sz="6" w:space="0" w:color="BFBFBF"/>
                    <w:right w:val="nil"/>
                  </w:tcBorders>
                  <w:shd w:val="clear" w:color="auto" w:fill="auto"/>
                  <w:vAlign w:val="bottom"/>
                  <w:hideMark/>
                </w:tcPr>
                <w:p w14:paraId="7954BFEF"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NT</w:t>
                  </w:r>
                </w:p>
              </w:tc>
            </w:tr>
            <w:tr w:rsidR="00F05DC7" w14:paraId="7954BFFA" w14:textId="77777777" w:rsidTr="002C6C3D">
              <w:trPr>
                <w:trHeight w:val="288"/>
              </w:trPr>
              <w:tc>
                <w:tcPr>
                  <w:tcW w:w="1494" w:type="pct"/>
                  <w:tcBorders>
                    <w:top w:val="single" w:sz="6" w:space="0" w:color="BFBFBF"/>
                    <w:left w:val="nil"/>
                    <w:bottom w:val="nil"/>
                    <w:right w:val="nil"/>
                  </w:tcBorders>
                  <w:shd w:val="clear" w:color="auto" w:fill="auto"/>
                  <w:vAlign w:val="center"/>
                  <w:hideMark/>
                </w:tcPr>
                <w:p w14:paraId="7954BFF1" w14:textId="77777777" w:rsidR="00F05DC7" w:rsidRPr="00791D71" w:rsidRDefault="00F05DC7" w:rsidP="004F6C34">
                  <w:pPr>
                    <w:pStyle w:val="TableBodyText"/>
                    <w:spacing w:before="80"/>
                    <w:jc w:val="left"/>
                  </w:pPr>
                  <w:r w:rsidRPr="00791D71">
                    <w:t>Current assessed expenses</w:t>
                  </w:r>
                </w:p>
              </w:tc>
              <w:tc>
                <w:tcPr>
                  <w:tcW w:w="438" w:type="pct"/>
                  <w:tcBorders>
                    <w:top w:val="single" w:sz="6" w:space="0" w:color="BFBFBF"/>
                    <w:left w:val="nil"/>
                    <w:bottom w:val="nil"/>
                    <w:right w:val="nil"/>
                  </w:tcBorders>
                  <w:shd w:val="clear" w:color="auto" w:fill="auto"/>
                  <w:vAlign w:val="bottom"/>
                  <w:hideMark/>
                </w:tcPr>
                <w:p w14:paraId="7954BFF2" w14:textId="77777777" w:rsidR="00F05DC7" w:rsidRPr="00EF49B3" w:rsidRDefault="00F05DC7" w:rsidP="004F6C34">
                  <w:pPr>
                    <w:pStyle w:val="TableBodyText"/>
                    <w:spacing w:before="80"/>
                    <w:ind w:right="57"/>
                    <w:rPr>
                      <w:rFonts w:cs="Arial"/>
                      <w:szCs w:val="18"/>
                    </w:rPr>
                  </w:pPr>
                  <w:r w:rsidRPr="00EF49B3">
                    <w:rPr>
                      <w:rFonts w:cs="Arial"/>
                      <w:color w:val="000000"/>
                      <w:szCs w:val="18"/>
                    </w:rPr>
                    <w:t>4</w:t>
                  </w:r>
                  <w:r>
                    <w:rPr>
                      <w:rFonts w:cs="Arial"/>
                      <w:color w:val="000000"/>
                      <w:szCs w:val="18"/>
                    </w:rPr>
                    <w:t> </w:t>
                  </w:r>
                  <w:r w:rsidRPr="00EF49B3">
                    <w:rPr>
                      <w:rFonts w:cs="Arial"/>
                      <w:color w:val="000000"/>
                      <w:szCs w:val="18"/>
                    </w:rPr>
                    <w:t>234</w:t>
                  </w:r>
                </w:p>
              </w:tc>
              <w:tc>
                <w:tcPr>
                  <w:tcW w:w="438" w:type="pct"/>
                  <w:tcBorders>
                    <w:top w:val="single" w:sz="6" w:space="0" w:color="BFBFBF"/>
                    <w:left w:val="nil"/>
                    <w:bottom w:val="nil"/>
                    <w:right w:val="nil"/>
                  </w:tcBorders>
                  <w:shd w:val="clear" w:color="auto" w:fill="auto"/>
                  <w:vAlign w:val="bottom"/>
                  <w:hideMark/>
                </w:tcPr>
                <w:p w14:paraId="7954BFF3" w14:textId="77777777" w:rsidR="00F05DC7" w:rsidRPr="00EF49B3" w:rsidRDefault="00F05DC7" w:rsidP="004F6C34">
                  <w:pPr>
                    <w:pStyle w:val="TableBodyText"/>
                    <w:spacing w:before="80"/>
                    <w:ind w:right="57"/>
                    <w:rPr>
                      <w:rFonts w:cs="Arial"/>
                      <w:szCs w:val="18"/>
                    </w:rPr>
                  </w:pPr>
                  <w:r w:rsidRPr="00EF49B3">
                    <w:rPr>
                      <w:rFonts w:cs="Arial"/>
                      <w:color w:val="000000"/>
                      <w:szCs w:val="18"/>
                    </w:rPr>
                    <w:t>3</w:t>
                  </w:r>
                  <w:r>
                    <w:rPr>
                      <w:rFonts w:cs="Arial"/>
                      <w:color w:val="000000"/>
                      <w:szCs w:val="18"/>
                    </w:rPr>
                    <w:t> </w:t>
                  </w:r>
                  <w:r w:rsidRPr="00EF49B3">
                    <w:rPr>
                      <w:rFonts w:cs="Arial"/>
                      <w:color w:val="000000"/>
                      <w:szCs w:val="18"/>
                    </w:rPr>
                    <w:t>814</w:t>
                  </w:r>
                </w:p>
              </w:tc>
              <w:tc>
                <w:tcPr>
                  <w:tcW w:w="438" w:type="pct"/>
                  <w:tcBorders>
                    <w:top w:val="single" w:sz="6" w:space="0" w:color="BFBFBF"/>
                    <w:left w:val="nil"/>
                    <w:bottom w:val="nil"/>
                    <w:right w:val="nil"/>
                  </w:tcBorders>
                  <w:shd w:val="clear" w:color="auto" w:fill="auto"/>
                  <w:vAlign w:val="bottom"/>
                  <w:hideMark/>
                </w:tcPr>
                <w:p w14:paraId="7954BFF4" w14:textId="77777777" w:rsidR="00F05DC7" w:rsidRPr="00EF49B3" w:rsidRDefault="00F05DC7" w:rsidP="004F6C34">
                  <w:pPr>
                    <w:pStyle w:val="TableBodyText"/>
                    <w:spacing w:before="80"/>
                    <w:ind w:right="57"/>
                    <w:rPr>
                      <w:rFonts w:cs="Arial"/>
                      <w:szCs w:val="18"/>
                    </w:rPr>
                  </w:pPr>
                  <w:r w:rsidRPr="00EF49B3">
                    <w:rPr>
                      <w:rFonts w:cs="Arial"/>
                      <w:color w:val="000000"/>
                      <w:szCs w:val="18"/>
                    </w:rPr>
                    <w:t>2</w:t>
                  </w:r>
                  <w:r>
                    <w:rPr>
                      <w:rFonts w:cs="Arial"/>
                      <w:color w:val="000000"/>
                      <w:szCs w:val="18"/>
                    </w:rPr>
                    <w:t> </w:t>
                  </w:r>
                  <w:r w:rsidRPr="00EF49B3">
                    <w:rPr>
                      <w:rFonts w:cs="Arial"/>
                      <w:color w:val="000000"/>
                      <w:szCs w:val="18"/>
                    </w:rPr>
                    <w:t>038</w:t>
                  </w:r>
                </w:p>
              </w:tc>
              <w:tc>
                <w:tcPr>
                  <w:tcW w:w="438" w:type="pct"/>
                  <w:tcBorders>
                    <w:top w:val="single" w:sz="6" w:space="0" w:color="BFBFBF"/>
                    <w:left w:val="nil"/>
                    <w:bottom w:val="nil"/>
                    <w:right w:val="nil"/>
                  </w:tcBorders>
                  <w:shd w:val="clear" w:color="auto" w:fill="auto"/>
                  <w:vAlign w:val="bottom"/>
                  <w:hideMark/>
                </w:tcPr>
                <w:p w14:paraId="7954BFF5" w14:textId="77777777" w:rsidR="00F05DC7" w:rsidRPr="00EF49B3" w:rsidRDefault="00F05DC7" w:rsidP="004F6C34">
                  <w:pPr>
                    <w:pStyle w:val="TableBodyText"/>
                    <w:spacing w:before="80"/>
                    <w:ind w:right="57"/>
                    <w:rPr>
                      <w:rFonts w:cs="Arial"/>
                      <w:szCs w:val="18"/>
                    </w:rPr>
                  </w:pPr>
                  <w:r w:rsidRPr="00EF49B3">
                    <w:rPr>
                      <w:rFonts w:cs="Arial"/>
                      <w:color w:val="000000"/>
                      <w:szCs w:val="18"/>
                    </w:rPr>
                    <w:t>1</w:t>
                  </w:r>
                  <w:r>
                    <w:rPr>
                      <w:rFonts w:cs="Arial"/>
                      <w:color w:val="000000"/>
                      <w:szCs w:val="18"/>
                    </w:rPr>
                    <w:t> </w:t>
                  </w:r>
                  <w:r w:rsidRPr="00EF49B3">
                    <w:rPr>
                      <w:rFonts w:cs="Arial"/>
                      <w:color w:val="000000"/>
                      <w:szCs w:val="18"/>
                    </w:rPr>
                    <w:t>367</w:t>
                  </w:r>
                </w:p>
              </w:tc>
              <w:tc>
                <w:tcPr>
                  <w:tcW w:w="438" w:type="pct"/>
                  <w:tcBorders>
                    <w:top w:val="single" w:sz="6" w:space="0" w:color="BFBFBF"/>
                    <w:left w:val="nil"/>
                    <w:bottom w:val="nil"/>
                    <w:right w:val="nil"/>
                  </w:tcBorders>
                  <w:shd w:val="clear" w:color="auto" w:fill="auto"/>
                  <w:vAlign w:val="bottom"/>
                  <w:hideMark/>
                </w:tcPr>
                <w:p w14:paraId="7954BFF6" w14:textId="77777777" w:rsidR="00F05DC7" w:rsidRPr="00EF49B3" w:rsidRDefault="00F05DC7" w:rsidP="004F6C34">
                  <w:pPr>
                    <w:pStyle w:val="TableBodyText"/>
                    <w:spacing w:before="80"/>
                    <w:ind w:right="57"/>
                    <w:rPr>
                      <w:rFonts w:cs="Arial"/>
                      <w:szCs w:val="18"/>
                    </w:rPr>
                  </w:pPr>
                  <w:r w:rsidRPr="00EF49B3">
                    <w:rPr>
                      <w:rFonts w:cs="Arial"/>
                      <w:color w:val="000000"/>
                      <w:szCs w:val="18"/>
                    </w:rPr>
                    <w:t>762</w:t>
                  </w:r>
                </w:p>
              </w:tc>
              <w:tc>
                <w:tcPr>
                  <w:tcW w:w="438" w:type="pct"/>
                  <w:tcBorders>
                    <w:top w:val="single" w:sz="6" w:space="0" w:color="BFBFBF"/>
                    <w:left w:val="nil"/>
                    <w:bottom w:val="nil"/>
                    <w:right w:val="nil"/>
                  </w:tcBorders>
                  <w:shd w:val="clear" w:color="auto" w:fill="auto"/>
                  <w:vAlign w:val="bottom"/>
                  <w:hideMark/>
                </w:tcPr>
                <w:p w14:paraId="7954BFF7" w14:textId="77777777" w:rsidR="00F05DC7" w:rsidRPr="00EF49B3" w:rsidRDefault="00F05DC7" w:rsidP="004F6C34">
                  <w:pPr>
                    <w:pStyle w:val="TableBodyText"/>
                    <w:spacing w:before="80"/>
                    <w:ind w:right="57"/>
                    <w:rPr>
                      <w:rFonts w:cs="Arial"/>
                      <w:szCs w:val="18"/>
                    </w:rPr>
                  </w:pPr>
                  <w:r w:rsidRPr="00EF49B3">
                    <w:rPr>
                      <w:rFonts w:cs="Arial"/>
                      <w:color w:val="000000"/>
                      <w:szCs w:val="18"/>
                    </w:rPr>
                    <w:t>62</w:t>
                  </w:r>
                </w:p>
              </w:tc>
              <w:tc>
                <w:tcPr>
                  <w:tcW w:w="438" w:type="pct"/>
                  <w:tcBorders>
                    <w:top w:val="single" w:sz="6" w:space="0" w:color="BFBFBF"/>
                    <w:left w:val="nil"/>
                    <w:bottom w:val="nil"/>
                    <w:right w:val="nil"/>
                  </w:tcBorders>
                  <w:shd w:val="clear" w:color="auto" w:fill="auto"/>
                  <w:vAlign w:val="bottom"/>
                  <w:hideMark/>
                </w:tcPr>
                <w:p w14:paraId="7954BFF8" w14:textId="77777777" w:rsidR="00F05DC7" w:rsidRPr="00EF49B3" w:rsidRDefault="00F05DC7" w:rsidP="004F6C34">
                  <w:pPr>
                    <w:pStyle w:val="TableBodyText"/>
                    <w:spacing w:before="80"/>
                    <w:ind w:right="57"/>
                    <w:rPr>
                      <w:rFonts w:cs="Arial"/>
                      <w:szCs w:val="18"/>
                    </w:rPr>
                  </w:pPr>
                  <w:r w:rsidRPr="00EF49B3">
                    <w:rPr>
                      <w:rFonts w:cs="Arial"/>
                      <w:color w:val="000000"/>
                      <w:szCs w:val="18"/>
                    </w:rPr>
                    <w:t>169</w:t>
                  </w:r>
                </w:p>
              </w:tc>
              <w:tc>
                <w:tcPr>
                  <w:tcW w:w="438" w:type="pct"/>
                  <w:tcBorders>
                    <w:top w:val="single" w:sz="6" w:space="0" w:color="BFBFBF"/>
                    <w:left w:val="nil"/>
                    <w:bottom w:val="nil"/>
                    <w:right w:val="nil"/>
                  </w:tcBorders>
                  <w:shd w:val="clear" w:color="auto" w:fill="auto"/>
                  <w:vAlign w:val="bottom"/>
                  <w:hideMark/>
                </w:tcPr>
                <w:p w14:paraId="7954BFF9" w14:textId="77777777" w:rsidR="00F05DC7" w:rsidRPr="00EF49B3" w:rsidRDefault="00F05DC7" w:rsidP="004F6C34">
                  <w:pPr>
                    <w:pStyle w:val="TableBodyText"/>
                    <w:spacing w:before="80"/>
                    <w:ind w:right="57"/>
                    <w:rPr>
                      <w:rFonts w:cs="Arial"/>
                      <w:szCs w:val="18"/>
                    </w:rPr>
                  </w:pPr>
                  <w:r w:rsidRPr="00EF49B3">
                    <w:rPr>
                      <w:rFonts w:cs="Arial"/>
                      <w:color w:val="000000"/>
                      <w:szCs w:val="18"/>
                    </w:rPr>
                    <w:t>27</w:t>
                  </w:r>
                </w:p>
              </w:tc>
            </w:tr>
            <w:tr w:rsidR="00F05DC7" w14:paraId="7954C004" w14:textId="77777777" w:rsidTr="006C4FBC">
              <w:trPr>
                <w:trHeight w:val="288"/>
              </w:trPr>
              <w:tc>
                <w:tcPr>
                  <w:tcW w:w="1494" w:type="pct"/>
                  <w:tcBorders>
                    <w:top w:val="nil"/>
                    <w:left w:val="nil"/>
                    <w:right w:val="nil"/>
                  </w:tcBorders>
                  <w:shd w:val="clear" w:color="auto" w:fill="auto"/>
                  <w:vAlign w:val="center"/>
                  <w:hideMark/>
                </w:tcPr>
                <w:p w14:paraId="7954BFFB" w14:textId="77777777" w:rsidR="00F05DC7" w:rsidRPr="00791D71" w:rsidRDefault="00F05DC7" w:rsidP="00A3786D">
                  <w:pPr>
                    <w:pStyle w:val="TableBodyText"/>
                    <w:ind w:right="-1"/>
                    <w:jc w:val="left"/>
                  </w:pPr>
                  <w:r w:rsidRPr="00791D71">
                    <w:t>Scenario assessed expenses</w:t>
                  </w:r>
                </w:p>
              </w:tc>
              <w:tc>
                <w:tcPr>
                  <w:tcW w:w="438" w:type="pct"/>
                  <w:tcBorders>
                    <w:top w:val="nil"/>
                    <w:left w:val="nil"/>
                    <w:right w:val="nil"/>
                  </w:tcBorders>
                  <w:shd w:val="clear" w:color="auto" w:fill="auto"/>
                  <w:vAlign w:val="bottom"/>
                  <w:hideMark/>
                </w:tcPr>
                <w:p w14:paraId="7954BFFC" w14:textId="77777777" w:rsidR="00F05DC7" w:rsidRPr="00EF49B3" w:rsidRDefault="00F05DC7" w:rsidP="00A3786D">
                  <w:pPr>
                    <w:pStyle w:val="TableBodyText"/>
                    <w:ind w:right="57"/>
                    <w:rPr>
                      <w:rFonts w:cs="Arial"/>
                      <w:szCs w:val="18"/>
                    </w:rPr>
                  </w:pPr>
                  <w:r w:rsidRPr="00EF49B3">
                    <w:rPr>
                      <w:rFonts w:cs="Arial"/>
                      <w:color w:val="000000"/>
                      <w:szCs w:val="18"/>
                    </w:rPr>
                    <w:t>4</w:t>
                  </w:r>
                  <w:r>
                    <w:rPr>
                      <w:rFonts w:cs="Arial"/>
                      <w:color w:val="000000"/>
                      <w:szCs w:val="18"/>
                    </w:rPr>
                    <w:t> </w:t>
                  </w:r>
                  <w:r w:rsidRPr="00EF49B3">
                    <w:rPr>
                      <w:rFonts w:cs="Arial"/>
                      <w:color w:val="000000"/>
                      <w:szCs w:val="18"/>
                    </w:rPr>
                    <w:t>763</w:t>
                  </w:r>
                </w:p>
              </w:tc>
              <w:tc>
                <w:tcPr>
                  <w:tcW w:w="438" w:type="pct"/>
                  <w:tcBorders>
                    <w:top w:val="nil"/>
                    <w:left w:val="nil"/>
                    <w:right w:val="nil"/>
                  </w:tcBorders>
                  <w:shd w:val="clear" w:color="auto" w:fill="auto"/>
                  <w:vAlign w:val="bottom"/>
                  <w:hideMark/>
                </w:tcPr>
                <w:p w14:paraId="7954BFFD" w14:textId="77777777" w:rsidR="00F05DC7" w:rsidRPr="00EF49B3" w:rsidRDefault="00F05DC7" w:rsidP="00A3786D">
                  <w:pPr>
                    <w:pStyle w:val="TableBodyText"/>
                    <w:ind w:right="57"/>
                    <w:rPr>
                      <w:rFonts w:cs="Arial"/>
                      <w:szCs w:val="18"/>
                    </w:rPr>
                  </w:pPr>
                  <w:r w:rsidRPr="00EF49B3">
                    <w:rPr>
                      <w:rFonts w:cs="Arial"/>
                      <w:color w:val="000000"/>
                      <w:szCs w:val="18"/>
                    </w:rPr>
                    <w:t>4</w:t>
                  </w:r>
                  <w:r>
                    <w:rPr>
                      <w:rFonts w:cs="Arial"/>
                      <w:color w:val="000000"/>
                      <w:szCs w:val="18"/>
                    </w:rPr>
                    <w:t> </w:t>
                  </w:r>
                  <w:r w:rsidRPr="00EF49B3">
                    <w:rPr>
                      <w:rFonts w:cs="Arial"/>
                      <w:color w:val="000000"/>
                      <w:szCs w:val="18"/>
                    </w:rPr>
                    <w:t>196</w:t>
                  </w:r>
                </w:p>
              </w:tc>
              <w:tc>
                <w:tcPr>
                  <w:tcW w:w="438" w:type="pct"/>
                  <w:tcBorders>
                    <w:top w:val="nil"/>
                    <w:left w:val="nil"/>
                    <w:right w:val="nil"/>
                  </w:tcBorders>
                  <w:shd w:val="clear" w:color="auto" w:fill="auto"/>
                  <w:vAlign w:val="bottom"/>
                  <w:hideMark/>
                </w:tcPr>
                <w:p w14:paraId="7954BFFE" w14:textId="77777777" w:rsidR="00F05DC7" w:rsidRPr="00EF49B3" w:rsidRDefault="00F05DC7" w:rsidP="00A3786D">
                  <w:pPr>
                    <w:pStyle w:val="TableBodyText"/>
                    <w:ind w:right="57"/>
                    <w:rPr>
                      <w:rFonts w:cs="Arial"/>
                      <w:szCs w:val="18"/>
                    </w:rPr>
                  </w:pPr>
                  <w:r w:rsidRPr="00EF49B3">
                    <w:rPr>
                      <w:rFonts w:cs="Arial"/>
                      <w:color w:val="000000"/>
                      <w:szCs w:val="18"/>
                    </w:rPr>
                    <w:t>2</w:t>
                  </w:r>
                  <w:r>
                    <w:rPr>
                      <w:rFonts w:cs="Arial"/>
                      <w:color w:val="000000"/>
                      <w:szCs w:val="18"/>
                    </w:rPr>
                    <w:t> </w:t>
                  </w:r>
                  <w:r w:rsidRPr="00EF49B3">
                    <w:rPr>
                      <w:rFonts w:cs="Arial"/>
                      <w:color w:val="000000"/>
                      <w:szCs w:val="18"/>
                    </w:rPr>
                    <w:t>198</w:t>
                  </w:r>
                </w:p>
              </w:tc>
              <w:tc>
                <w:tcPr>
                  <w:tcW w:w="438" w:type="pct"/>
                  <w:tcBorders>
                    <w:top w:val="nil"/>
                    <w:left w:val="nil"/>
                    <w:right w:val="nil"/>
                  </w:tcBorders>
                  <w:shd w:val="clear" w:color="auto" w:fill="auto"/>
                  <w:vAlign w:val="bottom"/>
                  <w:hideMark/>
                </w:tcPr>
                <w:p w14:paraId="7954BFFF" w14:textId="77777777" w:rsidR="00F05DC7" w:rsidRPr="00EF49B3" w:rsidRDefault="00F05DC7" w:rsidP="00A3786D">
                  <w:pPr>
                    <w:pStyle w:val="TableBodyText"/>
                    <w:ind w:right="57"/>
                    <w:rPr>
                      <w:rFonts w:cs="Arial"/>
                      <w:szCs w:val="18"/>
                    </w:rPr>
                  </w:pPr>
                  <w:r w:rsidRPr="00EF49B3">
                    <w:rPr>
                      <w:rFonts w:cs="Arial"/>
                      <w:color w:val="000000"/>
                      <w:szCs w:val="18"/>
                    </w:rPr>
                    <w:t>1</w:t>
                  </w:r>
                  <w:r>
                    <w:rPr>
                      <w:rFonts w:cs="Arial"/>
                      <w:color w:val="000000"/>
                      <w:szCs w:val="18"/>
                    </w:rPr>
                    <w:t> </w:t>
                  </w:r>
                  <w:r w:rsidRPr="00EF49B3">
                    <w:rPr>
                      <w:rFonts w:cs="Arial"/>
                      <w:color w:val="000000"/>
                      <w:szCs w:val="18"/>
                    </w:rPr>
                    <w:t>423</w:t>
                  </w:r>
                </w:p>
              </w:tc>
              <w:tc>
                <w:tcPr>
                  <w:tcW w:w="438" w:type="pct"/>
                  <w:tcBorders>
                    <w:top w:val="nil"/>
                    <w:left w:val="nil"/>
                    <w:right w:val="nil"/>
                  </w:tcBorders>
                  <w:shd w:val="clear" w:color="auto" w:fill="auto"/>
                  <w:vAlign w:val="bottom"/>
                  <w:hideMark/>
                </w:tcPr>
                <w:p w14:paraId="7954C000" w14:textId="77777777" w:rsidR="00F05DC7" w:rsidRPr="00EF49B3" w:rsidRDefault="00F05DC7" w:rsidP="00A3786D">
                  <w:pPr>
                    <w:pStyle w:val="TableBodyText"/>
                    <w:ind w:right="57"/>
                    <w:rPr>
                      <w:rFonts w:cs="Arial"/>
                      <w:szCs w:val="18"/>
                    </w:rPr>
                  </w:pPr>
                  <w:r w:rsidRPr="00EF49B3">
                    <w:rPr>
                      <w:rFonts w:cs="Arial"/>
                      <w:color w:val="000000"/>
                      <w:szCs w:val="18"/>
                    </w:rPr>
                    <w:t>783</w:t>
                  </w:r>
                </w:p>
              </w:tc>
              <w:tc>
                <w:tcPr>
                  <w:tcW w:w="438" w:type="pct"/>
                  <w:tcBorders>
                    <w:top w:val="nil"/>
                    <w:left w:val="nil"/>
                    <w:right w:val="nil"/>
                  </w:tcBorders>
                  <w:shd w:val="clear" w:color="auto" w:fill="auto"/>
                  <w:vAlign w:val="bottom"/>
                  <w:hideMark/>
                </w:tcPr>
                <w:p w14:paraId="7954C001" w14:textId="77777777" w:rsidR="00F05DC7" w:rsidRPr="00EF49B3" w:rsidRDefault="00F05DC7" w:rsidP="00A3786D">
                  <w:pPr>
                    <w:pStyle w:val="TableBodyText"/>
                    <w:ind w:right="57"/>
                    <w:rPr>
                      <w:rFonts w:cs="Arial"/>
                      <w:szCs w:val="18"/>
                    </w:rPr>
                  </w:pPr>
                  <w:r w:rsidRPr="00EF49B3">
                    <w:rPr>
                      <w:rFonts w:cs="Arial"/>
                      <w:color w:val="000000"/>
                      <w:szCs w:val="18"/>
                    </w:rPr>
                    <w:t>62</w:t>
                  </w:r>
                </w:p>
              </w:tc>
              <w:tc>
                <w:tcPr>
                  <w:tcW w:w="438" w:type="pct"/>
                  <w:tcBorders>
                    <w:top w:val="nil"/>
                    <w:left w:val="nil"/>
                    <w:right w:val="nil"/>
                  </w:tcBorders>
                  <w:shd w:val="clear" w:color="auto" w:fill="auto"/>
                  <w:vAlign w:val="bottom"/>
                  <w:hideMark/>
                </w:tcPr>
                <w:p w14:paraId="7954C002" w14:textId="77777777" w:rsidR="00F05DC7" w:rsidRPr="00EF49B3" w:rsidRDefault="00F05DC7" w:rsidP="00A3786D">
                  <w:pPr>
                    <w:pStyle w:val="TableBodyText"/>
                    <w:ind w:right="57"/>
                    <w:rPr>
                      <w:rFonts w:cs="Arial"/>
                      <w:szCs w:val="18"/>
                    </w:rPr>
                  </w:pPr>
                  <w:r w:rsidRPr="00EF49B3">
                    <w:rPr>
                      <w:rFonts w:cs="Arial"/>
                      <w:color w:val="000000"/>
                      <w:szCs w:val="18"/>
                    </w:rPr>
                    <w:t>170</w:t>
                  </w:r>
                </w:p>
              </w:tc>
              <w:tc>
                <w:tcPr>
                  <w:tcW w:w="438" w:type="pct"/>
                  <w:tcBorders>
                    <w:top w:val="nil"/>
                    <w:left w:val="nil"/>
                    <w:right w:val="nil"/>
                  </w:tcBorders>
                  <w:shd w:val="clear" w:color="auto" w:fill="auto"/>
                  <w:vAlign w:val="bottom"/>
                  <w:hideMark/>
                </w:tcPr>
                <w:p w14:paraId="7954C003" w14:textId="77777777" w:rsidR="00F05DC7" w:rsidRPr="00EF49B3" w:rsidRDefault="00F05DC7" w:rsidP="00A3786D">
                  <w:pPr>
                    <w:pStyle w:val="TableBodyText"/>
                    <w:ind w:right="57"/>
                    <w:rPr>
                      <w:rFonts w:cs="Arial"/>
                      <w:szCs w:val="18"/>
                    </w:rPr>
                  </w:pPr>
                  <w:r w:rsidRPr="00EF49B3">
                    <w:rPr>
                      <w:rFonts w:cs="Arial"/>
                      <w:color w:val="000000"/>
                      <w:szCs w:val="18"/>
                    </w:rPr>
                    <w:t>27</w:t>
                  </w:r>
                </w:p>
              </w:tc>
            </w:tr>
            <w:tr w:rsidR="00F05DC7" w14:paraId="7954C00E" w14:textId="77777777" w:rsidTr="006C4FBC">
              <w:trPr>
                <w:trHeight w:val="300"/>
              </w:trPr>
              <w:tc>
                <w:tcPr>
                  <w:tcW w:w="1494" w:type="pct"/>
                  <w:tcBorders>
                    <w:top w:val="nil"/>
                    <w:left w:val="nil"/>
                    <w:bottom w:val="single" w:sz="6" w:space="0" w:color="BFBFBF"/>
                    <w:right w:val="nil"/>
                  </w:tcBorders>
                  <w:shd w:val="clear" w:color="auto" w:fill="auto"/>
                  <w:vAlign w:val="center"/>
                  <w:hideMark/>
                </w:tcPr>
                <w:p w14:paraId="7954C005" w14:textId="77777777" w:rsidR="00F05DC7" w:rsidRPr="00791D71" w:rsidRDefault="00F05DC7" w:rsidP="00A3786D">
                  <w:pPr>
                    <w:pStyle w:val="TableBodyText"/>
                    <w:jc w:val="left"/>
                  </w:pPr>
                  <w:r w:rsidRPr="00791D71">
                    <w:t>Difference</w:t>
                  </w:r>
                </w:p>
              </w:tc>
              <w:tc>
                <w:tcPr>
                  <w:tcW w:w="438" w:type="pct"/>
                  <w:tcBorders>
                    <w:top w:val="nil"/>
                    <w:left w:val="nil"/>
                    <w:bottom w:val="single" w:sz="6" w:space="0" w:color="BFBFBF"/>
                    <w:right w:val="nil"/>
                  </w:tcBorders>
                  <w:shd w:val="clear" w:color="auto" w:fill="auto"/>
                  <w:vAlign w:val="bottom"/>
                  <w:hideMark/>
                </w:tcPr>
                <w:p w14:paraId="7954C006" w14:textId="77777777" w:rsidR="00F05DC7" w:rsidRPr="00EF49B3" w:rsidRDefault="00F05DC7" w:rsidP="00A3786D">
                  <w:pPr>
                    <w:pStyle w:val="TableBodyText"/>
                    <w:ind w:right="57"/>
                    <w:rPr>
                      <w:rFonts w:cs="Arial"/>
                      <w:szCs w:val="18"/>
                    </w:rPr>
                  </w:pPr>
                  <w:r w:rsidRPr="00EF49B3">
                    <w:rPr>
                      <w:rFonts w:cs="Arial"/>
                      <w:color w:val="000000"/>
                      <w:szCs w:val="18"/>
                    </w:rPr>
                    <w:t>529</w:t>
                  </w:r>
                </w:p>
              </w:tc>
              <w:tc>
                <w:tcPr>
                  <w:tcW w:w="438" w:type="pct"/>
                  <w:tcBorders>
                    <w:top w:val="nil"/>
                    <w:left w:val="nil"/>
                    <w:bottom w:val="single" w:sz="6" w:space="0" w:color="BFBFBF"/>
                    <w:right w:val="nil"/>
                  </w:tcBorders>
                  <w:shd w:val="clear" w:color="auto" w:fill="auto"/>
                  <w:vAlign w:val="bottom"/>
                  <w:hideMark/>
                </w:tcPr>
                <w:p w14:paraId="7954C007" w14:textId="77777777" w:rsidR="00F05DC7" w:rsidRPr="00EF49B3" w:rsidRDefault="00F05DC7" w:rsidP="00A3786D">
                  <w:pPr>
                    <w:pStyle w:val="TableBodyText"/>
                    <w:ind w:right="57"/>
                    <w:rPr>
                      <w:rFonts w:cs="Arial"/>
                      <w:szCs w:val="18"/>
                    </w:rPr>
                  </w:pPr>
                  <w:r w:rsidRPr="00EF49B3">
                    <w:rPr>
                      <w:rFonts w:cs="Arial"/>
                      <w:color w:val="000000"/>
                      <w:szCs w:val="18"/>
                    </w:rPr>
                    <w:t>382</w:t>
                  </w:r>
                </w:p>
              </w:tc>
              <w:tc>
                <w:tcPr>
                  <w:tcW w:w="438" w:type="pct"/>
                  <w:tcBorders>
                    <w:top w:val="nil"/>
                    <w:left w:val="nil"/>
                    <w:bottom w:val="single" w:sz="6" w:space="0" w:color="BFBFBF"/>
                    <w:right w:val="nil"/>
                  </w:tcBorders>
                  <w:shd w:val="clear" w:color="auto" w:fill="auto"/>
                  <w:vAlign w:val="bottom"/>
                  <w:hideMark/>
                </w:tcPr>
                <w:p w14:paraId="7954C008" w14:textId="77777777" w:rsidR="00F05DC7" w:rsidRPr="00EF49B3" w:rsidRDefault="00F05DC7" w:rsidP="00A3786D">
                  <w:pPr>
                    <w:pStyle w:val="TableBodyText"/>
                    <w:ind w:right="57"/>
                    <w:rPr>
                      <w:rFonts w:cs="Arial"/>
                      <w:szCs w:val="18"/>
                    </w:rPr>
                  </w:pPr>
                  <w:r w:rsidRPr="00EF49B3">
                    <w:rPr>
                      <w:rFonts w:cs="Arial"/>
                      <w:color w:val="000000"/>
                      <w:szCs w:val="18"/>
                    </w:rPr>
                    <w:t>160</w:t>
                  </w:r>
                </w:p>
              </w:tc>
              <w:tc>
                <w:tcPr>
                  <w:tcW w:w="438" w:type="pct"/>
                  <w:tcBorders>
                    <w:top w:val="nil"/>
                    <w:left w:val="nil"/>
                    <w:bottom w:val="single" w:sz="6" w:space="0" w:color="BFBFBF"/>
                    <w:right w:val="nil"/>
                  </w:tcBorders>
                  <w:shd w:val="clear" w:color="auto" w:fill="auto"/>
                  <w:vAlign w:val="bottom"/>
                  <w:hideMark/>
                </w:tcPr>
                <w:p w14:paraId="7954C009" w14:textId="77777777" w:rsidR="00F05DC7" w:rsidRPr="00EF49B3" w:rsidRDefault="00F05DC7" w:rsidP="00A3786D">
                  <w:pPr>
                    <w:pStyle w:val="TableBodyText"/>
                    <w:ind w:right="57"/>
                    <w:rPr>
                      <w:rFonts w:cs="Arial"/>
                      <w:szCs w:val="18"/>
                    </w:rPr>
                  </w:pPr>
                  <w:r w:rsidRPr="00EF49B3">
                    <w:rPr>
                      <w:rFonts w:cs="Arial"/>
                      <w:color w:val="000000"/>
                      <w:szCs w:val="18"/>
                    </w:rPr>
                    <w:t>56</w:t>
                  </w:r>
                </w:p>
              </w:tc>
              <w:tc>
                <w:tcPr>
                  <w:tcW w:w="438" w:type="pct"/>
                  <w:tcBorders>
                    <w:top w:val="nil"/>
                    <w:left w:val="nil"/>
                    <w:bottom w:val="single" w:sz="6" w:space="0" w:color="BFBFBF"/>
                    <w:right w:val="nil"/>
                  </w:tcBorders>
                  <w:shd w:val="clear" w:color="auto" w:fill="auto"/>
                  <w:vAlign w:val="bottom"/>
                  <w:hideMark/>
                </w:tcPr>
                <w:p w14:paraId="7954C00A" w14:textId="77777777" w:rsidR="00F05DC7" w:rsidRPr="00EF49B3" w:rsidRDefault="00F05DC7" w:rsidP="00A3786D">
                  <w:pPr>
                    <w:pStyle w:val="TableBodyText"/>
                    <w:ind w:right="57"/>
                    <w:rPr>
                      <w:rFonts w:cs="Arial"/>
                      <w:szCs w:val="18"/>
                    </w:rPr>
                  </w:pPr>
                  <w:r w:rsidRPr="00EF49B3">
                    <w:rPr>
                      <w:rFonts w:cs="Arial"/>
                      <w:color w:val="000000"/>
                      <w:szCs w:val="18"/>
                    </w:rPr>
                    <w:t>21</w:t>
                  </w:r>
                </w:p>
              </w:tc>
              <w:tc>
                <w:tcPr>
                  <w:tcW w:w="438" w:type="pct"/>
                  <w:tcBorders>
                    <w:top w:val="nil"/>
                    <w:left w:val="nil"/>
                    <w:bottom w:val="single" w:sz="6" w:space="0" w:color="BFBFBF"/>
                    <w:right w:val="nil"/>
                  </w:tcBorders>
                  <w:shd w:val="clear" w:color="auto" w:fill="auto"/>
                  <w:vAlign w:val="bottom"/>
                  <w:hideMark/>
                </w:tcPr>
                <w:p w14:paraId="7954C00B" w14:textId="77777777" w:rsidR="00F05DC7" w:rsidRPr="00EF49B3" w:rsidRDefault="00F05DC7" w:rsidP="00A3786D">
                  <w:pPr>
                    <w:pStyle w:val="TableBodyText"/>
                    <w:ind w:right="57"/>
                    <w:rPr>
                      <w:rFonts w:cs="Arial"/>
                      <w:szCs w:val="18"/>
                    </w:rPr>
                  </w:pPr>
                  <w:r w:rsidRPr="00EF49B3">
                    <w:rPr>
                      <w:rFonts w:cs="Arial"/>
                      <w:color w:val="000000"/>
                      <w:szCs w:val="18"/>
                    </w:rPr>
                    <w:t>1</w:t>
                  </w:r>
                </w:p>
              </w:tc>
              <w:tc>
                <w:tcPr>
                  <w:tcW w:w="438" w:type="pct"/>
                  <w:tcBorders>
                    <w:top w:val="nil"/>
                    <w:left w:val="nil"/>
                    <w:bottom w:val="single" w:sz="6" w:space="0" w:color="BFBFBF"/>
                    <w:right w:val="nil"/>
                  </w:tcBorders>
                  <w:shd w:val="clear" w:color="auto" w:fill="auto"/>
                  <w:vAlign w:val="bottom"/>
                  <w:hideMark/>
                </w:tcPr>
                <w:p w14:paraId="7954C00C" w14:textId="77777777" w:rsidR="00F05DC7" w:rsidRPr="00EF49B3" w:rsidRDefault="00F05DC7" w:rsidP="00A3786D">
                  <w:pPr>
                    <w:pStyle w:val="TableBodyText"/>
                    <w:ind w:right="57"/>
                    <w:rPr>
                      <w:rFonts w:cs="Arial"/>
                      <w:szCs w:val="18"/>
                    </w:rPr>
                  </w:pPr>
                  <w:r w:rsidRPr="00EF49B3">
                    <w:rPr>
                      <w:rFonts w:cs="Arial"/>
                      <w:color w:val="000000"/>
                      <w:szCs w:val="18"/>
                    </w:rPr>
                    <w:t>1</w:t>
                  </w:r>
                </w:p>
              </w:tc>
              <w:tc>
                <w:tcPr>
                  <w:tcW w:w="438" w:type="pct"/>
                  <w:tcBorders>
                    <w:top w:val="nil"/>
                    <w:left w:val="nil"/>
                    <w:bottom w:val="single" w:sz="6" w:space="0" w:color="BFBFBF"/>
                    <w:right w:val="nil"/>
                  </w:tcBorders>
                  <w:shd w:val="clear" w:color="auto" w:fill="auto"/>
                  <w:vAlign w:val="bottom"/>
                  <w:hideMark/>
                </w:tcPr>
                <w:p w14:paraId="7954C00D" w14:textId="77777777" w:rsidR="00F05DC7" w:rsidRPr="00EF49B3" w:rsidRDefault="00F05DC7" w:rsidP="00A3786D">
                  <w:pPr>
                    <w:pStyle w:val="TableBodyText"/>
                    <w:ind w:right="57"/>
                    <w:rPr>
                      <w:rFonts w:cs="Arial"/>
                      <w:szCs w:val="18"/>
                    </w:rPr>
                  </w:pPr>
                  <w:r w:rsidRPr="00EF49B3">
                    <w:rPr>
                      <w:rFonts w:cs="Arial"/>
                      <w:color w:val="000000"/>
                      <w:szCs w:val="18"/>
                    </w:rPr>
                    <w:t>0</w:t>
                  </w:r>
                </w:p>
              </w:tc>
            </w:tr>
          </w:tbl>
          <w:p w14:paraId="7954C00F" w14:textId="77777777" w:rsidR="00F05DC7" w:rsidRDefault="00F05DC7" w:rsidP="00A3786D">
            <w:pPr>
              <w:pStyle w:val="Box"/>
            </w:pPr>
          </w:p>
        </w:tc>
      </w:tr>
      <w:tr w:rsidR="00F05DC7" w14:paraId="7954C012" w14:textId="77777777" w:rsidTr="006C4FBC">
        <w:tc>
          <w:tcPr>
            <w:tcW w:w="5000" w:type="pct"/>
            <w:tcBorders>
              <w:top w:val="nil"/>
              <w:left w:val="nil"/>
              <w:bottom w:val="nil"/>
              <w:right w:val="nil"/>
            </w:tcBorders>
            <w:shd w:val="clear" w:color="auto" w:fill="auto"/>
          </w:tcPr>
          <w:p w14:paraId="7954C011"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C014" w14:textId="77777777" w:rsidTr="00A3786D">
        <w:tc>
          <w:tcPr>
            <w:tcW w:w="5000" w:type="pct"/>
            <w:tcBorders>
              <w:top w:val="nil"/>
              <w:left w:val="nil"/>
              <w:bottom w:val="single" w:sz="6" w:space="0" w:color="78A22F"/>
              <w:right w:val="nil"/>
            </w:tcBorders>
            <w:shd w:val="clear" w:color="auto" w:fill="auto"/>
          </w:tcPr>
          <w:p w14:paraId="7954C013" w14:textId="77777777" w:rsidR="00F05DC7" w:rsidRDefault="00F05DC7" w:rsidP="00A3786D">
            <w:pPr>
              <w:pStyle w:val="Box"/>
              <w:spacing w:before="0" w:line="120" w:lineRule="exact"/>
            </w:pPr>
          </w:p>
        </w:tc>
      </w:tr>
      <w:tr w:rsidR="00F05DC7" w:rsidRPr="000863A5" w14:paraId="7954C016" w14:textId="77777777" w:rsidTr="00A3786D">
        <w:tc>
          <w:tcPr>
            <w:tcW w:w="5000" w:type="pct"/>
            <w:tcBorders>
              <w:top w:val="single" w:sz="6" w:space="0" w:color="78A22F"/>
              <w:left w:val="nil"/>
              <w:bottom w:val="nil"/>
              <w:right w:val="nil"/>
            </w:tcBorders>
          </w:tcPr>
          <w:p w14:paraId="7954C015" w14:textId="77777777" w:rsidR="00F05DC7" w:rsidRPr="00626D32" w:rsidRDefault="00F05DC7" w:rsidP="00A3786D">
            <w:pPr>
              <w:pStyle w:val="BoxSpaceBelow"/>
            </w:pPr>
          </w:p>
        </w:tc>
      </w:tr>
    </w:tbl>
    <w:p w14:paraId="7954C017" w14:textId="77777777" w:rsidR="00F05DC7" w:rsidRDefault="00F05DC7" w:rsidP="00A3786D">
      <w:pPr>
        <w:pStyle w:val="BodyText"/>
      </w:pPr>
      <w:r>
        <w:t xml:space="preserve">The net effect of introducing a congestion tax and directing revenue raised to urban transport is presented in table C.30. The GST payment impacts are positive for New South Wales, Victoria (as these two States have an outsized share of the urban transport expense base), and largely unchanged or negative for the other States. As a proportion of the revenue raised from a congestion tax, these effects range </w:t>
      </w:r>
      <w:r w:rsidRPr="002B47FD">
        <w:t xml:space="preserve">from </w:t>
      </w:r>
      <w:r w:rsidRPr="00791D71">
        <w:t>4.</w:t>
      </w:r>
      <w:r>
        <w:t>7</w:t>
      </w:r>
      <w:r w:rsidRPr="002B47FD">
        <w:t> per cent (for New South Wales)</w:t>
      </w:r>
      <w:r>
        <w:t xml:space="preserve">, to </w:t>
      </w:r>
      <w:r>
        <w:noBreakHyphen/>
        <w:t>3</w:t>
      </w:r>
      <w:r w:rsidRPr="00791D71">
        <w:t>.</w:t>
      </w:r>
      <w:r>
        <w:t>7</w:t>
      </w:r>
      <w:r w:rsidRPr="002B47FD">
        <w:t xml:space="preserve"> per cent (for </w:t>
      </w:r>
      <w:r>
        <w:t>Queensland</w:t>
      </w:r>
      <w:r w:rsidRPr="002B47FD">
        <w:t xml:space="preserve">), and have </w:t>
      </w:r>
      <w:r>
        <w:t>minor</w:t>
      </w:r>
      <w:r w:rsidRPr="002B47FD">
        <w:t xml:space="preserve"> effects on </w:t>
      </w:r>
      <w:r>
        <w:t xml:space="preserve">GST </w:t>
      </w:r>
      <w:r w:rsidRPr="002B47FD">
        <w:t xml:space="preserve">relativities. </w:t>
      </w:r>
    </w:p>
    <w:p w14:paraId="7954C018"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01B" w14:textId="77777777" w:rsidTr="00A3786D">
        <w:tc>
          <w:tcPr>
            <w:tcW w:w="5000" w:type="pct"/>
            <w:tcBorders>
              <w:top w:val="single" w:sz="6" w:space="0" w:color="78A22F"/>
              <w:left w:val="nil"/>
              <w:bottom w:val="nil"/>
              <w:right w:val="nil"/>
            </w:tcBorders>
            <w:shd w:val="clear" w:color="auto" w:fill="auto"/>
          </w:tcPr>
          <w:p w14:paraId="7954C019" w14:textId="569BD321" w:rsidR="00F05DC7" w:rsidRDefault="00F05DC7" w:rsidP="00A3786D">
            <w:pPr>
              <w:pStyle w:val="TableTitle"/>
            </w:pPr>
            <w:r>
              <w:rPr>
                <w:b w:val="0"/>
              </w:rPr>
              <w:t>Table C.30</w:t>
            </w:r>
            <w:r>
              <w:tab/>
              <w:t>GST impact of a congestion tax and public transport spending</w:t>
            </w:r>
          </w:p>
          <w:p w14:paraId="7954C01A" w14:textId="77777777" w:rsidR="00F05DC7" w:rsidRPr="00784A05" w:rsidRDefault="00F05DC7" w:rsidP="00A3786D">
            <w:pPr>
              <w:pStyle w:val="Subtitle"/>
            </w:pPr>
            <w:r>
              <w:t>Unilateral change by each State, 2016</w:t>
            </w:r>
            <w:r>
              <w:noBreakHyphen/>
              <w:t>17</w:t>
            </w:r>
          </w:p>
        </w:tc>
      </w:tr>
      <w:tr w:rsidR="00F05DC7" w14:paraId="7954C063" w14:textId="77777777" w:rsidTr="00A3786D">
        <w:tc>
          <w:tcPr>
            <w:tcW w:w="5000" w:type="pct"/>
            <w:tcBorders>
              <w:top w:val="nil"/>
              <w:left w:val="nil"/>
              <w:bottom w:val="single" w:sz="8" w:space="0" w:color="D9D9D9" w:themeColor="background1" w:themeShade="D9"/>
              <w:right w:val="nil"/>
            </w:tcBorders>
            <w:shd w:val="clear" w:color="auto" w:fill="auto"/>
          </w:tcPr>
          <w:tbl>
            <w:tblPr>
              <w:tblW w:w="5000" w:type="pct"/>
              <w:tblLook w:val="04A0" w:firstRow="1" w:lastRow="0" w:firstColumn="1" w:lastColumn="0" w:noHBand="0" w:noVBand="1"/>
            </w:tblPr>
            <w:tblGrid>
              <w:gridCol w:w="3285"/>
              <w:gridCol w:w="760"/>
              <w:gridCol w:w="638"/>
              <w:gridCol w:w="636"/>
              <w:gridCol w:w="638"/>
              <w:gridCol w:w="636"/>
              <w:gridCol w:w="638"/>
              <w:gridCol w:w="636"/>
              <w:gridCol w:w="638"/>
            </w:tblGrid>
            <w:tr w:rsidR="00F05DC7" w14:paraId="7954C025" w14:textId="77777777" w:rsidTr="00A3786D">
              <w:trPr>
                <w:trHeight w:val="300"/>
              </w:trPr>
              <w:tc>
                <w:tcPr>
                  <w:tcW w:w="193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7954C01C" w14:textId="77777777" w:rsidR="00F05DC7" w:rsidRDefault="00F05DC7" w:rsidP="00A3786D">
                  <w:pPr>
                    <w:pStyle w:val="TableColumnHeading"/>
                  </w:pPr>
                </w:p>
              </w:tc>
              <w:tc>
                <w:tcPr>
                  <w:tcW w:w="447" w:type="pct"/>
                  <w:tcBorders>
                    <w:top w:val="single" w:sz="8" w:space="0" w:color="BFBFBF"/>
                    <w:left w:val="nil"/>
                    <w:bottom w:val="single" w:sz="8" w:space="0" w:color="BFBFBF"/>
                    <w:right w:val="nil"/>
                  </w:tcBorders>
                  <w:shd w:val="clear" w:color="auto" w:fill="auto"/>
                  <w:tcMar>
                    <w:left w:w="0" w:type="dxa"/>
                    <w:right w:w="0" w:type="dxa"/>
                  </w:tcMar>
                  <w:vAlign w:val="bottom"/>
                  <w:hideMark/>
                </w:tcPr>
                <w:p w14:paraId="7954C01D" w14:textId="77777777" w:rsidR="00F05DC7" w:rsidRPr="00CA72B3" w:rsidRDefault="00F05DC7" w:rsidP="00A3786D">
                  <w:pPr>
                    <w:pStyle w:val="TableColumnHeading"/>
                    <w:ind w:right="57"/>
                    <w:rPr>
                      <w:rFonts w:asciiTheme="minorHAnsi" w:hAnsiTheme="minorHAnsi" w:cstheme="minorHAnsi"/>
                      <w:szCs w:val="18"/>
                    </w:rPr>
                  </w:pPr>
                  <w:r w:rsidRPr="00CA72B3">
                    <w:rPr>
                      <w:rFonts w:asciiTheme="minorHAnsi" w:hAnsiTheme="minorHAnsi" w:cstheme="minorHAnsi"/>
                      <w:szCs w:val="18"/>
                    </w:rPr>
                    <w:t>NSW</w:t>
                  </w:r>
                </w:p>
              </w:tc>
              <w:tc>
                <w:tcPr>
                  <w:tcW w:w="375" w:type="pct"/>
                  <w:tcBorders>
                    <w:top w:val="single" w:sz="8" w:space="0" w:color="BFBFBF"/>
                    <w:left w:val="nil"/>
                    <w:bottom w:val="single" w:sz="8" w:space="0" w:color="BFBFBF"/>
                    <w:right w:val="nil"/>
                  </w:tcBorders>
                  <w:shd w:val="clear" w:color="auto" w:fill="auto"/>
                  <w:tcMar>
                    <w:left w:w="0" w:type="dxa"/>
                    <w:right w:w="0" w:type="dxa"/>
                  </w:tcMar>
                  <w:vAlign w:val="bottom"/>
                  <w:hideMark/>
                </w:tcPr>
                <w:p w14:paraId="7954C01E" w14:textId="77777777" w:rsidR="00F05DC7" w:rsidRPr="00CA72B3" w:rsidRDefault="00F05DC7" w:rsidP="00A3786D">
                  <w:pPr>
                    <w:pStyle w:val="TableColumnHeading"/>
                    <w:ind w:right="57"/>
                    <w:rPr>
                      <w:rFonts w:asciiTheme="minorHAnsi" w:hAnsiTheme="minorHAnsi" w:cstheme="minorHAnsi"/>
                      <w:szCs w:val="18"/>
                    </w:rPr>
                  </w:pPr>
                  <w:r w:rsidRPr="00CA72B3">
                    <w:rPr>
                      <w:rFonts w:asciiTheme="minorHAnsi" w:hAnsiTheme="minorHAnsi" w:cstheme="minorHAnsi"/>
                      <w:szCs w:val="18"/>
                    </w:rPr>
                    <w:t>Vic</w:t>
                  </w:r>
                </w:p>
              </w:tc>
              <w:tc>
                <w:tcPr>
                  <w:tcW w:w="374" w:type="pct"/>
                  <w:tcBorders>
                    <w:top w:val="single" w:sz="8" w:space="0" w:color="BFBFBF"/>
                    <w:left w:val="nil"/>
                    <w:bottom w:val="single" w:sz="8" w:space="0" w:color="BFBFBF"/>
                    <w:right w:val="nil"/>
                  </w:tcBorders>
                  <w:shd w:val="clear" w:color="auto" w:fill="auto"/>
                  <w:tcMar>
                    <w:left w:w="0" w:type="dxa"/>
                    <w:right w:w="0" w:type="dxa"/>
                  </w:tcMar>
                  <w:vAlign w:val="bottom"/>
                  <w:hideMark/>
                </w:tcPr>
                <w:p w14:paraId="7954C01F" w14:textId="77777777" w:rsidR="00F05DC7" w:rsidRPr="00CA72B3" w:rsidRDefault="00F05DC7" w:rsidP="00A3786D">
                  <w:pPr>
                    <w:pStyle w:val="TableColumnHeading"/>
                    <w:ind w:right="57"/>
                    <w:rPr>
                      <w:rFonts w:asciiTheme="minorHAnsi" w:hAnsiTheme="minorHAnsi" w:cstheme="minorHAnsi"/>
                      <w:szCs w:val="18"/>
                    </w:rPr>
                  </w:pPr>
                  <w:r w:rsidRPr="00CA72B3">
                    <w:rPr>
                      <w:rFonts w:asciiTheme="minorHAnsi" w:hAnsiTheme="minorHAnsi" w:cstheme="minorHAnsi"/>
                      <w:szCs w:val="18"/>
                    </w:rPr>
                    <w:t>Qld</w:t>
                  </w:r>
                </w:p>
              </w:tc>
              <w:tc>
                <w:tcPr>
                  <w:tcW w:w="375" w:type="pct"/>
                  <w:tcBorders>
                    <w:top w:val="single" w:sz="8" w:space="0" w:color="BFBFBF"/>
                    <w:left w:val="nil"/>
                    <w:bottom w:val="single" w:sz="8" w:space="0" w:color="BFBFBF"/>
                    <w:right w:val="nil"/>
                  </w:tcBorders>
                  <w:shd w:val="clear" w:color="auto" w:fill="auto"/>
                  <w:tcMar>
                    <w:left w:w="0" w:type="dxa"/>
                    <w:right w:w="0" w:type="dxa"/>
                  </w:tcMar>
                  <w:vAlign w:val="bottom"/>
                  <w:hideMark/>
                </w:tcPr>
                <w:p w14:paraId="7954C020" w14:textId="77777777" w:rsidR="00F05DC7" w:rsidRPr="00CA72B3" w:rsidRDefault="00F05DC7" w:rsidP="00A3786D">
                  <w:pPr>
                    <w:pStyle w:val="TableColumnHeading"/>
                    <w:ind w:right="57"/>
                    <w:rPr>
                      <w:rFonts w:asciiTheme="minorHAnsi" w:hAnsiTheme="minorHAnsi" w:cstheme="minorHAnsi"/>
                      <w:szCs w:val="18"/>
                    </w:rPr>
                  </w:pPr>
                  <w:r w:rsidRPr="00CA72B3">
                    <w:rPr>
                      <w:rFonts w:asciiTheme="minorHAnsi" w:hAnsiTheme="minorHAnsi" w:cstheme="minorHAnsi"/>
                      <w:szCs w:val="18"/>
                    </w:rPr>
                    <w:t>WA</w:t>
                  </w:r>
                </w:p>
              </w:tc>
              <w:tc>
                <w:tcPr>
                  <w:tcW w:w="374" w:type="pct"/>
                  <w:tcBorders>
                    <w:top w:val="single" w:sz="8" w:space="0" w:color="BFBFBF"/>
                    <w:left w:val="nil"/>
                    <w:bottom w:val="single" w:sz="8" w:space="0" w:color="BFBFBF"/>
                    <w:right w:val="nil"/>
                  </w:tcBorders>
                  <w:shd w:val="clear" w:color="auto" w:fill="auto"/>
                  <w:tcMar>
                    <w:left w:w="0" w:type="dxa"/>
                    <w:right w:w="0" w:type="dxa"/>
                  </w:tcMar>
                  <w:vAlign w:val="bottom"/>
                  <w:hideMark/>
                </w:tcPr>
                <w:p w14:paraId="7954C021" w14:textId="77777777" w:rsidR="00F05DC7" w:rsidRPr="00CA72B3" w:rsidRDefault="00F05DC7" w:rsidP="00A3786D">
                  <w:pPr>
                    <w:pStyle w:val="TableColumnHeading"/>
                    <w:ind w:right="57"/>
                    <w:rPr>
                      <w:rFonts w:asciiTheme="minorHAnsi" w:hAnsiTheme="minorHAnsi" w:cstheme="minorHAnsi"/>
                      <w:szCs w:val="18"/>
                    </w:rPr>
                  </w:pPr>
                  <w:r w:rsidRPr="00CA72B3">
                    <w:rPr>
                      <w:rFonts w:asciiTheme="minorHAnsi" w:hAnsiTheme="minorHAnsi" w:cstheme="minorHAnsi"/>
                      <w:szCs w:val="18"/>
                    </w:rPr>
                    <w:t>SA</w:t>
                  </w:r>
                </w:p>
              </w:tc>
              <w:tc>
                <w:tcPr>
                  <w:tcW w:w="375" w:type="pct"/>
                  <w:tcBorders>
                    <w:top w:val="single" w:sz="8" w:space="0" w:color="BFBFBF"/>
                    <w:left w:val="nil"/>
                    <w:bottom w:val="single" w:sz="8" w:space="0" w:color="BFBFBF"/>
                    <w:right w:val="nil"/>
                  </w:tcBorders>
                  <w:shd w:val="clear" w:color="auto" w:fill="auto"/>
                  <w:tcMar>
                    <w:left w:w="0" w:type="dxa"/>
                    <w:right w:w="0" w:type="dxa"/>
                  </w:tcMar>
                  <w:vAlign w:val="bottom"/>
                  <w:hideMark/>
                </w:tcPr>
                <w:p w14:paraId="7954C022" w14:textId="77777777" w:rsidR="00F05DC7" w:rsidRPr="00CA72B3" w:rsidRDefault="00F05DC7" w:rsidP="00A3786D">
                  <w:pPr>
                    <w:pStyle w:val="TableColumnHeading"/>
                    <w:ind w:right="57"/>
                    <w:rPr>
                      <w:rFonts w:asciiTheme="minorHAnsi" w:hAnsiTheme="minorHAnsi" w:cstheme="minorHAnsi"/>
                      <w:szCs w:val="18"/>
                    </w:rPr>
                  </w:pPr>
                  <w:r w:rsidRPr="00CA72B3">
                    <w:rPr>
                      <w:rFonts w:asciiTheme="minorHAnsi" w:hAnsiTheme="minorHAnsi" w:cstheme="minorHAnsi"/>
                      <w:szCs w:val="18"/>
                    </w:rPr>
                    <w:t>Tas</w:t>
                  </w:r>
                </w:p>
              </w:tc>
              <w:tc>
                <w:tcPr>
                  <w:tcW w:w="374" w:type="pct"/>
                  <w:tcBorders>
                    <w:top w:val="single" w:sz="8" w:space="0" w:color="BFBFBF"/>
                    <w:left w:val="nil"/>
                    <w:bottom w:val="single" w:sz="8" w:space="0" w:color="BFBFBF"/>
                    <w:right w:val="nil"/>
                  </w:tcBorders>
                  <w:shd w:val="clear" w:color="auto" w:fill="auto"/>
                  <w:tcMar>
                    <w:left w:w="0" w:type="dxa"/>
                    <w:right w:w="0" w:type="dxa"/>
                  </w:tcMar>
                  <w:vAlign w:val="bottom"/>
                  <w:hideMark/>
                </w:tcPr>
                <w:p w14:paraId="7954C023" w14:textId="77777777" w:rsidR="00F05DC7" w:rsidRPr="00CA72B3" w:rsidRDefault="00F05DC7" w:rsidP="00A3786D">
                  <w:pPr>
                    <w:pStyle w:val="TableColumnHeading"/>
                    <w:ind w:right="57"/>
                    <w:rPr>
                      <w:rFonts w:asciiTheme="minorHAnsi" w:hAnsiTheme="minorHAnsi" w:cstheme="minorHAnsi"/>
                      <w:szCs w:val="18"/>
                    </w:rPr>
                  </w:pPr>
                  <w:r w:rsidRPr="00CA72B3">
                    <w:rPr>
                      <w:rFonts w:asciiTheme="minorHAnsi" w:hAnsiTheme="minorHAnsi" w:cstheme="minorHAnsi"/>
                      <w:szCs w:val="18"/>
                    </w:rPr>
                    <w:t>ACT</w:t>
                  </w:r>
                </w:p>
              </w:tc>
              <w:tc>
                <w:tcPr>
                  <w:tcW w:w="375" w:type="pct"/>
                  <w:tcBorders>
                    <w:top w:val="single" w:sz="8" w:space="0" w:color="BFBFBF"/>
                    <w:left w:val="nil"/>
                    <w:bottom w:val="single" w:sz="8" w:space="0" w:color="BFBFBF"/>
                    <w:right w:val="nil"/>
                  </w:tcBorders>
                  <w:shd w:val="clear" w:color="auto" w:fill="auto"/>
                  <w:tcMar>
                    <w:left w:w="0" w:type="dxa"/>
                    <w:right w:w="0" w:type="dxa"/>
                  </w:tcMar>
                  <w:vAlign w:val="bottom"/>
                  <w:hideMark/>
                </w:tcPr>
                <w:p w14:paraId="7954C024" w14:textId="77777777" w:rsidR="00F05DC7" w:rsidRPr="00CA72B3" w:rsidRDefault="00F05DC7" w:rsidP="00A3786D">
                  <w:pPr>
                    <w:pStyle w:val="TableColumnHeading"/>
                    <w:ind w:right="57"/>
                    <w:rPr>
                      <w:rFonts w:asciiTheme="minorHAnsi" w:hAnsiTheme="minorHAnsi" w:cstheme="minorHAnsi"/>
                      <w:szCs w:val="18"/>
                    </w:rPr>
                  </w:pPr>
                  <w:r w:rsidRPr="00CA72B3">
                    <w:rPr>
                      <w:rFonts w:asciiTheme="minorHAnsi" w:hAnsiTheme="minorHAnsi" w:cstheme="minorHAnsi"/>
                      <w:szCs w:val="18"/>
                    </w:rPr>
                    <w:t>NT</w:t>
                  </w:r>
                </w:p>
              </w:tc>
            </w:tr>
            <w:tr w:rsidR="00F05DC7" w14:paraId="7954C02F" w14:textId="77777777" w:rsidTr="00A3786D">
              <w:trPr>
                <w:trHeight w:val="288"/>
              </w:trPr>
              <w:tc>
                <w:tcPr>
                  <w:tcW w:w="1931" w:type="pct"/>
                  <w:tcBorders>
                    <w:top w:val="single" w:sz="8" w:space="0" w:color="BFBFBF"/>
                    <w:left w:val="nil"/>
                    <w:right w:val="nil"/>
                  </w:tcBorders>
                  <w:shd w:val="clear" w:color="auto" w:fill="auto"/>
                  <w:tcMar>
                    <w:left w:w="0" w:type="dxa"/>
                    <w:right w:w="0" w:type="dxa"/>
                  </w:tcMar>
                  <w:vAlign w:val="center"/>
                  <w:hideMark/>
                </w:tcPr>
                <w:p w14:paraId="7954C026" w14:textId="77777777" w:rsidR="00F05DC7" w:rsidRPr="00775B18" w:rsidRDefault="00F05DC7" w:rsidP="004F6C34">
                  <w:pPr>
                    <w:pStyle w:val="TableBodyText"/>
                    <w:spacing w:before="80"/>
                    <w:jc w:val="left"/>
                  </w:pPr>
                  <w:r w:rsidRPr="00C9149D">
                    <w:t>Baseline: GST annual relativity</w:t>
                  </w:r>
                </w:p>
              </w:tc>
              <w:tc>
                <w:tcPr>
                  <w:tcW w:w="447" w:type="pct"/>
                  <w:tcBorders>
                    <w:top w:val="single" w:sz="8" w:space="0" w:color="BFBFBF"/>
                    <w:left w:val="nil"/>
                    <w:right w:val="nil"/>
                  </w:tcBorders>
                  <w:shd w:val="clear" w:color="auto" w:fill="auto"/>
                  <w:tcMar>
                    <w:left w:w="0" w:type="dxa"/>
                    <w:right w:w="0" w:type="dxa"/>
                  </w:tcMar>
                  <w:vAlign w:val="bottom"/>
                  <w:hideMark/>
                </w:tcPr>
                <w:p w14:paraId="7954C027" w14:textId="77777777" w:rsidR="00F05DC7" w:rsidRPr="00CA72B3" w:rsidRDefault="00F05DC7" w:rsidP="004F6C34">
                  <w:pPr>
                    <w:pStyle w:val="TableBodyText"/>
                    <w:spacing w:before="80"/>
                    <w:ind w:right="57"/>
                    <w:rPr>
                      <w:rFonts w:asciiTheme="minorHAnsi" w:hAnsiTheme="minorHAnsi" w:cstheme="minorHAnsi"/>
                      <w:szCs w:val="18"/>
                    </w:rPr>
                  </w:pPr>
                  <w:r w:rsidRPr="00CA72B3">
                    <w:rPr>
                      <w:rFonts w:asciiTheme="minorHAnsi" w:hAnsiTheme="minorHAnsi" w:cstheme="minorHAnsi"/>
                      <w:bCs/>
                      <w:color w:val="000000" w:themeColor="text1"/>
                      <w:szCs w:val="18"/>
                    </w:rPr>
                    <w:t>0.84</w:t>
                  </w:r>
                </w:p>
              </w:tc>
              <w:tc>
                <w:tcPr>
                  <w:tcW w:w="375" w:type="pct"/>
                  <w:tcBorders>
                    <w:top w:val="single" w:sz="8" w:space="0" w:color="BFBFBF"/>
                    <w:left w:val="nil"/>
                    <w:right w:val="nil"/>
                  </w:tcBorders>
                  <w:shd w:val="clear" w:color="auto" w:fill="auto"/>
                  <w:tcMar>
                    <w:left w:w="0" w:type="dxa"/>
                    <w:right w:w="0" w:type="dxa"/>
                  </w:tcMar>
                  <w:vAlign w:val="bottom"/>
                  <w:hideMark/>
                </w:tcPr>
                <w:p w14:paraId="7954C028" w14:textId="77777777" w:rsidR="00F05DC7" w:rsidRPr="00CA72B3" w:rsidRDefault="00F05DC7" w:rsidP="004F6C34">
                  <w:pPr>
                    <w:pStyle w:val="TableBodyText"/>
                    <w:spacing w:before="80"/>
                    <w:ind w:right="57"/>
                    <w:rPr>
                      <w:rFonts w:asciiTheme="minorHAnsi" w:hAnsiTheme="minorHAnsi" w:cstheme="minorHAnsi"/>
                      <w:szCs w:val="18"/>
                    </w:rPr>
                  </w:pPr>
                  <w:r w:rsidRPr="00CA72B3">
                    <w:rPr>
                      <w:rFonts w:asciiTheme="minorHAnsi" w:hAnsiTheme="minorHAnsi" w:cstheme="minorHAnsi"/>
                      <w:bCs/>
                      <w:color w:val="000000" w:themeColor="text1"/>
                      <w:szCs w:val="18"/>
                    </w:rPr>
                    <w:t>1.01</w:t>
                  </w:r>
                </w:p>
              </w:tc>
              <w:tc>
                <w:tcPr>
                  <w:tcW w:w="374" w:type="pct"/>
                  <w:tcBorders>
                    <w:top w:val="single" w:sz="8" w:space="0" w:color="BFBFBF"/>
                    <w:left w:val="nil"/>
                    <w:right w:val="nil"/>
                  </w:tcBorders>
                  <w:shd w:val="clear" w:color="auto" w:fill="auto"/>
                  <w:tcMar>
                    <w:left w:w="0" w:type="dxa"/>
                    <w:right w:w="0" w:type="dxa"/>
                  </w:tcMar>
                  <w:vAlign w:val="bottom"/>
                  <w:hideMark/>
                </w:tcPr>
                <w:p w14:paraId="7954C029" w14:textId="77777777" w:rsidR="00F05DC7" w:rsidRPr="00CA72B3" w:rsidRDefault="00F05DC7" w:rsidP="004F6C34">
                  <w:pPr>
                    <w:pStyle w:val="TableBodyText"/>
                    <w:spacing w:before="80"/>
                    <w:ind w:right="57"/>
                    <w:rPr>
                      <w:rFonts w:asciiTheme="minorHAnsi" w:hAnsiTheme="minorHAnsi" w:cstheme="minorHAnsi"/>
                      <w:szCs w:val="18"/>
                    </w:rPr>
                  </w:pPr>
                  <w:r w:rsidRPr="00CA72B3">
                    <w:rPr>
                      <w:rFonts w:asciiTheme="minorHAnsi" w:hAnsiTheme="minorHAnsi" w:cstheme="minorHAnsi"/>
                      <w:bCs/>
                      <w:color w:val="000000" w:themeColor="text1"/>
                      <w:szCs w:val="18"/>
                    </w:rPr>
                    <w:t>1.03</w:t>
                  </w:r>
                </w:p>
              </w:tc>
              <w:tc>
                <w:tcPr>
                  <w:tcW w:w="375" w:type="pct"/>
                  <w:tcBorders>
                    <w:top w:val="single" w:sz="8" w:space="0" w:color="BFBFBF"/>
                    <w:left w:val="nil"/>
                    <w:right w:val="nil"/>
                  </w:tcBorders>
                  <w:shd w:val="clear" w:color="auto" w:fill="auto"/>
                  <w:tcMar>
                    <w:left w:w="0" w:type="dxa"/>
                    <w:right w:w="0" w:type="dxa"/>
                  </w:tcMar>
                  <w:vAlign w:val="bottom"/>
                  <w:hideMark/>
                </w:tcPr>
                <w:p w14:paraId="7954C02A" w14:textId="77777777" w:rsidR="00F05DC7" w:rsidRPr="00CA72B3" w:rsidRDefault="00F05DC7" w:rsidP="004F6C34">
                  <w:pPr>
                    <w:pStyle w:val="TableBodyText"/>
                    <w:spacing w:before="80"/>
                    <w:ind w:right="57"/>
                    <w:rPr>
                      <w:rFonts w:asciiTheme="minorHAnsi" w:hAnsiTheme="minorHAnsi" w:cstheme="minorHAnsi"/>
                      <w:szCs w:val="18"/>
                    </w:rPr>
                  </w:pPr>
                  <w:r w:rsidRPr="00CA72B3">
                    <w:rPr>
                      <w:rFonts w:asciiTheme="minorHAnsi" w:hAnsiTheme="minorHAnsi" w:cstheme="minorHAnsi"/>
                      <w:bCs/>
                      <w:color w:val="000000" w:themeColor="text1"/>
                      <w:szCs w:val="18"/>
                    </w:rPr>
                    <w:t>0.57</w:t>
                  </w:r>
                </w:p>
              </w:tc>
              <w:tc>
                <w:tcPr>
                  <w:tcW w:w="374" w:type="pct"/>
                  <w:tcBorders>
                    <w:top w:val="single" w:sz="8" w:space="0" w:color="BFBFBF"/>
                    <w:left w:val="nil"/>
                    <w:right w:val="nil"/>
                  </w:tcBorders>
                  <w:shd w:val="clear" w:color="auto" w:fill="auto"/>
                  <w:tcMar>
                    <w:left w:w="0" w:type="dxa"/>
                    <w:right w:w="0" w:type="dxa"/>
                  </w:tcMar>
                  <w:vAlign w:val="bottom"/>
                  <w:hideMark/>
                </w:tcPr>
                <w:p w14:paraId="7954C02B" w14:textId="77777777" w:rsidR="00F05DC7" w:rsidRPr="00CA72B3" w:rsidRDefault="00F05DC7" w:rsidP="004F6C34">
                  <w:pPr>
                    <w:pStyle w:val="TableBodyText"/>
                    <w:spacing w:before="80"/>
                    <w:ind w:right="57"/>
                    <w:rPr>
                      <w:rFonts w:asciiTheme="minorHAnsi" w:hAnsiTheme="minorHAnsi" w:cstheme="minorHAnsi"/>
                      <w:szCs w:val="18"/>
                    </w:rPr>
                  </w:pPr>
                  <w:r w:rsidRPr="00CA72B3">
                    <w:rPr>
                      <w:rFonts w:asciiTheme="minorHAnsi" w:hAnsiTheme="minorHAnsi" w:cstheme="minorHAnsi"/>
                      <w:bCs/>
                      <w:color w:val="000000" w:themeColor="text1"/>
                      <w:szCs w:val="18"/>
                    </w:rPr>
                    <w:t>1.53</w:t>
                  </w:r>
                </w:p>
              </w:tc>
              <w:tc>
                <w:tcPr>
                  <w:tcW w:w="375" w:type="pct"/>
                  <w:tcBorders>
                    <w:top w:val="single" w:sz="8" w:space="0" w:color="BFBFBF"/>
                    <w:left w:val="nil"/>
                    <w:right w:val="nil"/>
                  </w:tcBorders>
                  <w:shd w:val="clear" w:color="auto" w:fill="auto"/>
                  <w:tcMar>
                    <w:left w:w="0" w:type="dxa"/>
                    <w:right w:w="0" w:type="dxa"/>
                  </w:tcMar>
                  <w:vAlign w:val="bottom"/>
                  <w:hideMark/>
                </w:tcPr>
                <w:p w14:paraId="7954C02C" w14:textId="77777777" w:rsidR="00F05DC7" w:rsidRPr="00CA72B3" w:rsidRDefault="00F05DC7" w:rsidP="004F6C34">
                  <w:pPr>
                    <w:pStyle w:val="TableBodyText"/>
                    <w:spacing w:before="80"/>
                    <w:ind w:right="57"/>
                    <w:rPr>
                      <w:rFonts w:asciiTheme="minorHAnsi" w:hAnsiTheme="minorHAnsi" w:cstheme="minorHAnsi"/>
                      <w:szCs w:val="18"/>
                    </w:rPr>
                  </w:pPr>
                  <w:r w:rsidRPr="00CA72B3">
                    <w:rPr>
                      <w:rFonts w:asciiTheme="minorHAnsi" w:hAnsiTheme="minorHAnsi" w:cstheme="minorHAnsi"/>
                      <w:bCs/>
                      <w:color w:val="000000" w:themeColor="text1"/>
                      <w:szCs w:val="18"/>
                    </w:rPr>
                    <w:t>1.72</w:t>
                  </w:r>
                </w:p>
              </w:tc>
              <w:tc>
                <w:tcPr>
                  <w:tcW w:w="374" w:type="pct"/>
                  <w:tcBorders>
                    <w:top w:val="single" w:sz="8" w:space="0" w:color="BFBFBF"/>
                    <w:left w:val="nil"/>
                    <w:right w:val="nil"/>
                  </w:tcBorders>
                  <w:shd w:val="clear" w:color="auto" w:fill="auto"/>
                  <w:tcMar>
                    <w:left w:w="0" w:type="dxa"/>
                    <w:right w:w="0" w:type="dxa"/>
                  </w:tcMar>
                  <w:vAlign w:val="bottom"/>
                  <w:hideMark/>
                </w:tcPr>
                <w:p w14:paraId="7954C02D" w14:textId="77777777" w:rsidR="00F05DC7" w:rsidRPr="00CA72B3" w:rsidRDefault="00F05DC7" w:rsidP="004F6C34">
                  <w:pPr>
                    <w:pStyle w:val="TableBodyText"/>
                    <w:spacing w:before="80"/>
                    <w:ind w:right="57"/>
                    <w:rPr>
                      <w:rFonts w:asciiTheme="minorHAnsi" w:hAnsiTheme="minorHAnsi" w:cstheme="minorHAnsi"/>
                      <w:szCs w:val="18"/>
                    </w:rPr>
                  </w:pPr>
                  <w:r w:rsidRPr="00CA72B3">
                    <w:rPr>
                      <w:rFonts w:asciiTheme="minorHAnsi" w:hAnsiTheme="minorHAnsi" w:cstheme="minorHAnsi"/>
                      <w:bCs/>
                      <w:color w:val="000000" w:themeColor="text1"/>
                      <w:szCs w:val="18"/>
                    </w:rPr>
                    <w:t>1.21</w:t>
                  </w:r>
                </w:p>
              </w:tc>
              <w:tc>
                <w:tcPr>
                  <w:tcW w:w="375" w:type="pct"/>
                  <w:tcBorders>
                    <w:top w:val="single" w:sz="8" w:space="0" w:color="BFBFBF"/>
                    <w:left w:val="nil"/>
                    <w:right w:val="nil"/>
                  </w:tcBorders>
                  <w:shd w:val="clear" w:color="auto" w:fill="auto"/>
                  <w:tcMar>
                    <w:left w:w="0" w:type="dxa"/>
                    <w:right w:w="0" w:type="dxa"/>
                  </w:tcMar>
                  <w:vAlign w:val="bottom"/>
                  <w:hideMark/>
                </w:tcPr>
                <w:p w14:paraId="7954C02E" w14:textId="77777777" w:rsidR="00F05DC7" w:rsidRPr="00CA72B3" w:rsidRDefault="00F05DC7" w:rsidP="004F6C34">
                  <w:pPr>
                    <w:pStyle w:val="TableBodyText"/>
                    <w:spacing w:before="80"/>
                    <w:ind w:right="57"/>
                    <w:rPr>
                      <w:rFonts w:asciiTheme="minorHAnsi" w:hAnsiTheme="minorHAnsi" w:cstheme="minorHAnsi"/>
                      <w:szCs w:val="18"/>
                    </w:rPr>
                  </w:pPr>
                  <w:r w:rsidRPr="00CA72B3">
                    <w:rPr>
                      <w:rFonts w:asciiTheme="minorHAnsi" w:hAnsiTheme="minorHAnsi" w:cstheme="minorHAnsi"/>
                      <w:bCs/>
                      <w:color w:val="000000" w:themeColor="text1"/>
                      <w:szCs w:val="18"/>
                    </w:rPr>
                    <w:t>4.19</w:t>
                  </w:r>
                </w:p>
              </w:tc>
            </w:tr>
            <w:tr w:rsidR="00F05DC7" w14:paraId="7954C039" w14:textId="77777777" w:rsidTr="00A3786D">
              <w:trPr>
                <w:trHeight w:val="288"/>
              </w:trPr>
              <w:tc>
                <w:tcPr>
                  <w:tcW w:w="1931" w:type="pct"/>
                  <w:tcBorders>
                    <w:left w:val="nil"/>
                    <w:right w:val="nil"/>
                  </w:tcBorders>
                  <w:shd w:val="clear" w:color="auto" w:fill="auto"/>
                  <w:tcMar>
                    <w:left w:w="0" w:type="dxa"/>
                    <w:right w:w="0" w:type="dxa"/>
                  </w:tcMar>
                  <w:vAlign w:val="center"/>
                  <w:hideMark/>
                </w:tcPr>
                <w:p w14:paraId="7954C030" w14:textId="77777777" w:rsidR="00F05DC7" w:rsidRPr="00775B18" w:rsidRDefault="00F05DC7" w:rsidP="00A3786D">
                  <w:pPr>
                    <w:pStyle w:val="TableBodyText"/>
                    <w:jc w:val="left"/>
                  </w:pPr>
                  <w:r w:rsidRPr="00C9149D">
                    <w:t>Change in GST payments</w:t>
                  </w:r>
                  <w:r w:rsidRPr="00775B18">
                    <w:t xml:space="preserve"> (</w:t>
                  </w:r>
                  <w:r>
                    <w:t>$m</w:t>
                  </w:r>
                  <w:r w:rsidRPr="00775B18">
                    <w:t>)</w:t>
                  </w:r>
                </w:p>
              </w:tc>
              <w:tc>
                <w:tcPr>
                  <w:tcW w:w="447" w:type="pct"/>
                  <w:tcBorders>
                    <w:top w:val="nil"/>
                    <w:left w:val="nil"/>
                    <w:bottom w:val="nil"/>
                    <w:right w:val="nil"/>
                  </w:tcBorders>
                  <w:shd w:val="clear" w:color="auto" w:fill="auto"/>
                  <w:tcMar>
                    <w:left w:w="0" w:type="dxa"/>
                    <w:right w:w="0" w:type="dxa"/>
                  </w:tcMar>
                  <w:vAlign w:val="bottom"/>
                  <w:hideMark/>
                </w:tcPr>
                <w:p w14:paraId="7954C031" w14:textId="77777777" w:rsidR="00F05DC7" w:rsidRPr="00CA72B3" w:rsidRDefault="00F05DC7" w:rsidP="00A3786D">
                  <w:pPr>
                    <w:pStyle w:val="TableBodyText"/>
                    <w:ind w:right="57"/>
                    <w:rPr>
                      <w:rFonts w:asciiTheme="minorHAnsi" w:hAnsiTheme="minorHAnsi" w:cstheme="minorHAnsi"/>
                      <w:szCs w:val="18"/>
                    </w:rPr>
                  </w:pPr>
                  <w:r w:rsidRPr="00CA72B3">
                    <w:rPr>
                      <w:rFonts w:asciiTheme="minorHAnsi" w:hAnsiTheme="minorHAnsi" w:cstheme="minorHAnsi"/>
                      <w:color w:val="000000"/>
                      <w:szCs w:val="18"/>
                    </w:rPr>
                    <w:t>73</w:t>
                  </w:r>
                </w:p>
              </w:tc>
              <w:tc>
                <w:tcPr>
                  <w:tcW w:w="375" w:type="pct"/>
                  <w:tcBorders>
                    <w:top w:val="nil"/>
                    <w:left w:val="nil"/>
                    <w:bottom w:val="nil"/>
                    <w:right w:val="nil"/>
                  </w:tcBorders>
                  <w:shd w:val="clear" w:color="auto" w:fill="auto"/>
                  <w:tcMar>
                    <w:left w:w="0" w:type="dxa"/>
                    <w:right w:w="0" w:type="dxa"/>
                  </w:tcMar>
                  <w:vAlign w:val="bottom"/>
                  <w:hideMark/>
                </w:tcPr>
                <w:p w14:paraId="7954C032" w14:textId="77777777" w:rsidR="00F05DC7" w:rsidRPr="00CA72B3" w:rsidRDefault="00F05DC7" w:rsidP="00A3786D">
                  <w:pPr>
                    <w:pStyle w:val="TableBodyText"/>
                    <w:ind w:right="57"/>
                    <w:rPr>
                      <w:rFonts w:asciiTheme="minorHAnsi" w:hAnsiTheme="minorHAnsi" w:cstheme="minorHAnsi"/>
                      <w:szCs w:val="18"/>
                    </w:rPr>
                  </w:pPr>
                  <w:r w:rsidRPr="00CA72B3">
                    <w:rPr>
                      <w:rFonts w:asciiTheme="minorHAnsi" w:hAnsiTheme="minorHAnsi" w:cstheme="minorHAnsi"/>
                      <w:color w:val="000000"/>
                      <w:szCs w:val="18"/>
                    </w:rPr>
                    <w:t>19</w:t>
                  </w:r>
                </w:p>
              </w:tc>
              <w:tc>
                <w:tcPr>
                  <w:tcW w:w="374" w:type="pct"/>
                  <w:tcBorders>
                    <w:top w:val="nil"/>
                    <w:left w:val="nil"/>
                    <w:bottom w:val="nil"/>
                    <w:right w:val="nil"/>
                  </w:tcBorders>
                  <w:shd w:val="clear" w:color="auto" w:fill="auto"/>
                  <w:tcMar>
                    <w:left w:w="0" w:type="dxa"/>
                    <w:right w:w="0" w:type="dxa"/>
                  </w:tcMar>
                  <w:vAlign w:val="bottom"/>
                  <w:hideMark/>
                </w:tcPr>
                <w:p w14:paraId="7954C033" w14:textId="77777777" w:rsidR="00F05DC7" w:rsidRPr="00CA72B3" w:rsidRDefault="00F05DC7" w:rsidP="00A3786D">
                  <w:pPr>
                    <w:pStyle w:val="TableBodyText"/>
                    <w:ind w:right="57"/>
                    <w:rPr>
                      <w:rFonts w:asciiTheme="minorHAnsi" w:hAnsiTheme="minorHAnsi" w:cstheme="minorHAnsi"/>
                      <w:szCs w:val="18"/>
                    </w:rPr>
                  </w:pPr>
                  <w:r w:rsidRPr="00CA72B3">
                    <w:rPr>
                      <w:rFonts w:asciiTheme="minorHAnsi" w:hAnsiTheme="minorHAnsi" w:cstheme="minorHAnsi"/>
                      <w:color w:val="000000"/>
                      <w:szCs w:val="18"/>
                    </w:rPr>
                    <w:t>-36</w:t>
                  </w:r>
                </w:p>
              </w:tc>
              <w:tc>
                <w:tcPr>
                  <w:tcW w:w="375" w:type="pct"/>
                  <w:tcBorders>
                    <w:top w:val="nil"/>
                    <w:left w:val="nil"/>
                    <w:bottom w:val="nil"/>
                    <w:right w:val="nil"/>
                  </w:tcBorders>
                  <w:shd w:val="clear" w:color="auto" w:fill="auto"/>
                  <w:tcMar>
                    <w:left w:w="0" w:type="dxa"/>
                    <w:right w:w="0" w:type="dxa"/>
                  </w:tcMar>
                  <w:vAlign w:val="bottom"/>
                  <w:hideMark/>
                </w:tcPr>
                <w:p w14:paraId="7954C034" w14:textId="77777777" w:rsidR="00F05DC7" w:rsidRPr="00CA72B3" w:rsidRDefault="00F05DC7" w:rsidP="00A3786D">
                  <w:pPr>
                    <w:pStyle w:val="TableBodyText"/>
                    <w:ind w:right="57"/>
                    <w:rPr>
                      <w:rFonts w:asciiTheme="minorHAnsi" w:hAnsiTheme="minorHAnsi" w:cstheme="minorHAnsi"/>
                      <w:szCs w:val="18"/>
                    </w:rPr>
                  </w:pPr>
                  <w:r w:rsidRPr="00CA72B3">
                    <w:rPr>
                      <w:rFonts w:asciiTheme="minorHAnsi" w:hAnsiTheme="minorHAnsi" w:cstheme="minorHAnsi"/>
                      <w:color w:val="000000"/>
                      <w:szCs w:val="18"/>
                    </w:rPr>
                    <w:t>2</w:t>
                  </w:r>
                </w:p>
              </w:tc>
              <w:tc>
                <w:tcPr>
                  <w:tcW w:w="374" w:type="pct"/>
                  <w:tcBorders>
                    <w:top w:val="nil"/>
                    <w:left w:val="nil"/>
                    <w:bottom w:val="nil"/>
                    <w:right w:val="nil"/>
                  </w:tcBorders>
                  <w:shd w:val="clear" w:color="auto" w:fill="auto"/>
                  <w:tcMar>
                    <w:left w:w="0" w:type="dxa"/>
                    <w:right w:w="0" w:type="dxa"/>
                  </w:tcMar>
                  <w:vAlign w:val="bottom"/>
                  <w:hideMark/>
                </w:tcPr>
                <w:p w14:paraId="7954C035" w14:textId="77777777" w:rsidR="00F05DC7" w:rsidRPr="00CA72B3" w:rsidRDefault="00F05DC7" w:rsidP="00A3786D">
                  <w:pPr>
                    <w:pStyle w:val="TableBodyText"/>
                    <w:ind w:right="57"/>
                    <w:rPr>
                      <w:rFonts w:asciiTheme="minorHAnsi" w:hAnsiTheme="minorHAnsi" w:cstheme="minorHAnsi"/>
                      <w:szCs w:val="18"/>
                    </w:rPr>
                  </w:pPr>
                  <w:r w:rsidRPr="00CA72B3">
                    <w:rPr>
                      <w:rFonts w:asciiTheme="minorHAnsi" w:hAnsiTheme="minorHAnsi" w:cstheme="minorHAnsi"/>
                      <w:color w:val="000000"/>
                      <w:szCs w:val="18"/>
                    </w:rPr>
                    <w:t>-3</w:t>
                  </w:r>
                </w:p>
              </w:tc>
              <w:tc>
                <w:tcPr>
                  <w:tcW w:w="375" w:type="pct"/>
                  <w:tcBorders>
                    <w:top w:val="nil"/>
                    <w:left w:val="nil"/>
                    <w:bottom w:val="nil"/>
                    <w:right w:val="nil"/>
                  </w:tcBorders>
                  <w:shd w:val="clear" w:color="auto" w:fill="auto"/>
                  <w:tcMar>
                    <w:left w:w="0" w:type="dxa"/>
                    <w:right w:w="0" w:type="dxa"/>
                  </w:tcMar>
                  <w:vAlign w:val="bottom"/>
                  <w:hideMark/>
                </w:tcPr>
                <w:p w14:paraId="7954C036" w14:textId="77777777" w:rsidR="00F05DC7" w:rsidRPr="00CA72B3" w:rsidRDefault="00F05DC7" w:rsidP="00A3786D">
                  <w:pPr>
                    <w:pStyle w:val="TableBodyText"/>
                    <w:ind w:right="57"/>
                    <w:rPr>
                      <w:rFonts w:asciiTheme="minorHAnsi" w:hAnsiTheme="minorHAnsi" w:cstheme="minorHAnsi"/>
                      <w:szCs w:val="18"/>
                    </w:rPr>
                  </w:pPr>
                  <w:r w:rsidRPr="00CA72B3">
                    <w:rPr>
                      <w:rFonts w:asciiTheme="minorHAnsi" w:hAnsiTheme="minorHAnsi" w:cstheme="minorHAnsi"/>
                      <w:color w:val="000000"/>
                      <w:szCs w:val="18"/>
                    </w:rPr>
                    <w:t>-2</w:t>
                  </w:r>
                </w:p>
              </w:tc>
              <w:tc>
                <w:tcPr>
                  <w:tcW w:w="374" w:type="pct"/>
                  <w:tcBorders>
                    <w:top w:val="nil"/>
                    <w:left w:val="nil"/>
                    <w:bottom w:val="nil"/>
                    <w:right w:val="nil"/>
                  </w:tcBorders>
                  <w:shd w:val="clear" w:color="auto" w:fill="auto"/>
                  <w:tcMar>
                    <w:left w:w="0" w:type="dxa"/>
                    <w:right w:w="0" w:type="dxa"/>
                  </w:tcMar>
                  <w:vAlign w:val="bottom"/>
                  <w:hideMark/>
                </w:tcPr>
                <w:p w14:paraId="7954C037" w14:textId="77777777" w:rsidR="00F05DC7" w:rsidRPr="00CA72B3" w:rsidRDefault="00F05DC7" w:rsidP="00A3786D">
                  <w:pPr>
                    <w:pStyle w:val="TableBodyText"/>
                    <w:ind w:right="57"/>
                    <w:rPr>
                      <w:rFonts w:asciiTheme="minorHAnsi" w:hAnsiTheme="minorHAnsi" w:cstheme="minorHAnsi"/>
                      <w:szCs w:val="18"/>
                    </w:rPr>
                  </w:pPr>
                  <w:r w:rsidRPr="00CA72B3">
                    <w:rPr>
                      <w:rFonts w:asciiTheme="minorHAnsi" w:hAnsiTheme="minorHAnsi" w:cstheme="minorHAnsi"/>
                      <w:color w:val="000000"/>
                      <w:szCs w:val="18"/>
                    </w:rPr>
                    <w:t>0</w:t>
                  </w:r>
                </w:p>
              </w:tc>
              <w:tc>
                <w:tcPr>
                  <w:tcW w:w="375" w:type="pct"/>
                  <w:tcBorders>
                    <w:top w:val="nil"/>
                    <w:left w:val="nil"/>
                    <w:bottom w:val="nil"/>
                    <w:right w:val="nil"/>
                  </w:tcBorders>
                  <w:shd w:val="clear" w:color="auto" w:fill="auto"/>
                  <w:tcMar>
                    <w:left w:w="0" w:type="dxa"/>
                    <w:right w:w="0" w:type="dxa"/>
                  </w:tcMar>
                  <w:vAlign w:val="bottom"/>
                  <w:hideMark/>
                </w:tcPr>
                <w:p w14:paraId="7954C038" w14:textId="77777777" w:rsidR="00F05DC7" w:rsidRPr="00CA72B3" w:rsidRDefault="00F05DC7" w:rsidP="00A3786D">
                  <w:pPr>
                    <w:pStyle w:val="TableBodyText"/>
                    <w:ind w:right="57"/>
                    <w:rPr>
                      <w:rFonts w:asciiTheme="minorHAnsi" w:hAnsiTheme="minorHAnsi" w:cstheme="minorHAnsi"/>
                      <w:szCs w:val="18"/>
                    </w:rPr>
                  </w:pPr>
                  <w:r w:rsidRPr="00CA72B3">
                    <w:rPr>
                      <w:rFonts w:asciiTheme="minorHAnsi" w:hAnsiTheme="minorHAnsi" w:cstheme="minorHAnsi"/>
                      <w:color w:val="000000"/>
                      <w:szCs w:val="18"/>
                    </w:rPr>
                    <w:t>0</w:t>
                  </w:r>
                </w:p>
              </w:tc>
            </w:tr>
            <w:tr w:rsidR="00F05DC7" w14:paraId="7954C043" w14:textId="77777777" w:rsidTr="00A3786D">
              <w:trPr>
                <w:trHeight w:val="288"/>
              </w:trPr>
              <w:tc>
                <w:tcPr>
                  <w:tcW w:w="1931" w:type="pct"/>
                  <w:tcBorders>
                    <w:top w:val="nil"/>
                    <w:left w:val="nil"/>
                    <w:bottom w:val="nil"/>
                    <w:right w:val="nil"/>
                  </w:tcBorders>
                  <w:shd w:val="clear" w:color="auto" w:fill="auto"/>
                  <w:tcMar>
                    <w:left w:w="0" w:type="dxa"/>
                    <w:right w:w="0" w:type="dxa"/>
                  </w:tcMar>
                  <w:vAlign w:val="center"/>
                  <w:hideMark/>
                </w:tcPr>
                <w:p w14:paraId="7954C03A" w14:textId="77777777" w:rsidR="00F05DC7" w:rsidRPr="00775B18" w:rsidRDefault="00F05DC7" w:rsidP="00A3786D">
                  <w:pPr>
                    <w:pStyle w:val="TableBodyText"/>
                    <w:jc w:val="left"/>
                  </w:pPr>
                  <w:r w:rsidRPr="00C9149D">
                    <w:t>Change in GST payments</w:t>
                  </w:r>
                  <w:r w:rsidRPr="00775B18">
                    <w:t xml:space="preserve"> (</w:t>
                  </w:r>
                  <w:r>
                    <w:t>$pc</w:t>
                  </w:r>
                  <w:r w:rsidRPr="00775B18">
                    <w:t>)</w:t>
                  </w:r>
                </w:p>
              </w:tc>
              <w:tc>
                <w:tcPr>
                  <w:tcW w:w="447" w:type="pct"/>
                  <w:tcBorders>
                    <w:top w:val="nil"/>
                    <w:left w:val="nil"/>
                    <w:right w:val="nil"/>
                  </w:tcBorders>
                  <w:shd w:val="clear" w:color="auto" w:fill="auto"/>
                  <w:tcMar>
                    <w:left w:w="0" w:type="dxa"/>
                    <w:right w:w="0" w:type="dxa"/>
                  </w:tcMar>
                  <w:vAlign w:val="bottom"/>
                  <w:hideMark/>
                </w:tcPr>
                <w:p w14:paraId="7954C03B" w14:textId="77777777" w:rsidR="00F05DC7" w:rsidRPr="00AE067B" w:rsidRDefault="00F05DC7" w:rsidP="00A3786D">
                  <w:pPr>
                    <w:pStyle w:val="TableBodyText"/>
                    <w:ind w:right="57"/>
                    <w:rPr>
                      <w:rFonts w:cs="Arial"/>
                      <w:szCs w:val="18"/>
                    </w:rPr>
                  </w:pPr>
                  <w:r w:rsidRPr="00AE067B">
                    <w:rPr>
                      <w:rFonts w:cs="Arial"/>
                      <w:color w:val="000000"/>
                      <w:szCs w:val="18"/>
                    </w:rPr>
                    <w:t>9</w:t>
                  </w:r>
                </w:p>
              </w:tc>
              <w:tc>
                <w:tcPr>
                  <w:tcW w:w="375" w:type="pct"/>
                  <w:tcBorders>
                    <w:top w:val="nil"/>
                    <w:left w:val="nil"/>
                    <w:right w:val="nil"/>
                  </w:tcBorders>
                  <w:shd w:val="clear" w:color="auto" w:fill="auto"/>
                  <w:tcMar>
                    <w:left w:w="0" w:type="dxa"/>
                    <w:right w:w="0" w:type="dxa"/>
                  </w:tcMar>
                  <w:vAlign w:val="bottom"/>
                  <w:hideMark/>
                </w:tcPr>
                <w:p w14:paraId="7954C03C" w14:textId="77777777" w:rsidR="00F05DC7" w:rsidRPr="00AE067B" w:rsidRDefault="00F05DC7" w:rsidP="00A3786D">
                  <w:pPr>
                    <w:pStyle w:val="TableBodyText"/>
                    <w:ind w:right="57"/>
                    <w:rPr>
                      <w:rFonts w:cs="Arial"/>
                      <w:szCs w:val="18"/>
                    </w:rPr>
                  </w:pPr>
                  <w:r w:rsidRPr="00AE067B">
                    <w:rPr>
                      <w:rFonts w:cs="Arial"/>
                      <w:color w:val="000000"/>
                      <w:szCs w:val="18"/>
                    </w:rPr>
                    <w:t>3</w:t>
                  </w:r>
                </w:p>
              </w:tc>
              <w:tc>
                <w:tcPr>
                  <w:tcW w:w="374" w:type="pct"/>
                  <w:tcBorders>
                    <w:top w:val="nil"/>
                    <w:left w:val="nil"/>
                    <w:right w:val="nil"/>
                  </w:tcBorders>
                  <w:shd w:val="clear" w:color="auto" w:fill="auto"/>
                  <w:tcMar>
                    <w:left w:w="0" w:type="dxa"/>
                    <w:right w:w="0" w:type="dxa"/>
                  </w:tcMar>
                  <w:vAlign w:val="bottom"/>
                  <w:hideMark/>
                </w:tcPr>
                <w:p w14:paraId="7954C03D" w14:textId="77777777" w:rsidR="00F05DC7" w:rsidRPr="00AE067B" w:rsidRDefault="00F05DC7" w:rsidP="00A3786D">
                  <w:pPr>
                    <w:pStyle w:val="TableBodyText"/>
                    <w:ind w:right="57"/>
                    <w:rPr>
                      <w:rFonts w:cs="Arial"/>
                      <w:szCs w:val="18"/>
                    </w:rPr>
                  </w:pPr>
                  <w:r w:rsidRPr="00AE067B">
                    <w:rPr>
                      <w:rFonts w:cs="Arial"/>
                      <w:color w:val="000000"/>
                      <w:szCs w:val="18"/>
                    </w:rPr>
                    <w:t>-7</w:t>
                  </w:r>
                </w:p>
              </w:tc>
              <w:tc>
                <w:tcPr>
                  <w:tcW w:w="375" w:type="pct"/>
                  <w:tcBorders>
                    <w:top w:val="nil"/>
                    <w:left w:val="nil"/>
                    <w:right w:val="nil"/>
                  </w:tcBorders>
                  <w:shd w:val="clear" w:color="auto" w:fill="auto"/>
                  <w:tcMar>
                    <w:left w:w="0" w:type="dxa"/>
                    <w:right w:w="0" w:type="dxa"/>
                  </w:tcMar>
                  <w:vAlign w:val="bottom"/>
                  <w:hideMark/>
                </w:tcPr>
                <w:p w14:paraId="7954C03E" w14:textId="77777777" w:rsidR="00F05DC7" w:rsidRPr="00AE067B" w:rsidRDefault="00F05DC7" w:rsidP="00A3786D">
                  <w:pPr>
                    <w:pStyle w:val="TableBodyText"/>
                    <w:ind w:right="57"/>
                    <w:rPr>
                      <w:rFonts w:cs="Arial"/>
                      <w:szCs w:val="18"/>
                    </w:rPr>
                  </w:pPr>
                  <w:r w:rsidRPr="00AE067B">
                    <w:rPr>
                      <w:rFonts w:cs="Arial"/>
                      <w:color w:val="000000"/>
                      <w:szCs w:val="18"/>
                    </w:rPr>
                    <w:t>1</w:t>
                  </w:r>
                </w:p>
              </w:tc>
              <w:tc>
                <w:tcPr>
                  <w:tcW w:w="374" w:type="pct"/>
                  <w:tcBorders>
                    <w:top w:val="nil"/>
                    <w:left w:val="nil"/>
                    <w:right w:val="nil"/>
                  </w:tcBorders>
                  <w:shd w:val="clear" w:color="auto" w:fill="auto"/>
                  <w:tcMar>
                    <w:left w:w="0" w:type="dxa"/>
                    <w:right w:w="0" w:type="dxa"/>
                  </w:tcMar>
                  <w:vAlign w:val="bottom"/>
                  <w:hideMark/>
                </w:tcPr>
                <w:p w14:paraId="7954C03F" w14:textId="77777777" w:rsidR="00F05DC7" w:rsidRPr="00AE067B" w:rsidRDefault="00F05DC7" w:rsidP="00A3786D">
                  <w:pPr>
                    <w:pStyle w:val="TableBodyText"/>
                    <w:ind w:right="57"/>
                    <w:rPr>
                      <w:rFonts w:cs="Arial"/>
                      <w:szCs w:val="18"/>
                    </w:rPr>
                  </w:pPr>
                  <w:r w:rsidRPr="00AE067B">
                    <w:rPr>
                      <w:rFonts w:cs="Arial"/>
                      <w:color w:val="000000"/>
                      <w:szCs w:val="18"/>
                    </w:rPr>
                    <w:t>-2</w:t>
                  </w:r>
                </w:p>
              </w:tc>
              <w:tc>
                <w:tcPr>
                  <w:tcW w:w="375" w:type="pct"/>
                  <w:tcBorders>
                    <w:top w:val="nil"/>
                    <w:left w:val="nil"/>
                    <w:right w:val="nil"/>
                  </w:tcBorders>
                  <w:shd w:val="clear" w:color="auto" w:fill="auto"/>
                  <w:tcMar>
                    <w:left w:w="0" w:type="dxa"/>
                    <w:right w:w="0" w:type="dxa"/>
                  </w:tcMar>
                  <w:vAlign w:val="bottom"/>
                  <w:hideMark/>
                </w:tcPr>
                <w:p w14:paraId="7954C040" w14:textId="77777777" w:rsidR="00F05DC7" w:rsidRPr="00AE067B" w:rsidRDefault="00F05DC7" w:rsidP="00A3786D">
                  <w:pPr>
                    <w:pStyle w:val="TableBodyText"/>
                    <w:ind w:right="57"/>
                    <w:rPr>
                      <w:rFonts w:cs="Arial"/>
                      <w:szCs w:val="18"/>
                    </w:rPr>
                  </w:pPr>
                  <w:r w:rsidRPr="00AE067B">
                    <w:rPr>
                      <w:rFonts w:cs="Arial"/>
                      <w:color w:val="000000"/>
                      <w:szCs w:val="18"/>
                    </w:rPr>
                    <w:t>-3</w:t>
                  </w:r>
                </w:p>
              </w:tc>
              <w:tc>
                <w:tcPr>
                  <w:tcW w:w="374" w:type="pct"/>
                  <w:tcBorders>
                    <w:top w:val="nil"/>
                    <w:left w:val="nil"/>
                    <w:right w:val="nil"/>
                  </w:tcBorders>
                  <w:shd w:val="clear" w:color="auto" w:fill="auto"/>
                  <w:tcMar>
                    <w:left w:w="0" w:type="dxa"/>
                    <w:right w:w="0" w:type="dxa"/>
                  </w:tcMar>
                  <w:vAlign w:val="bottom"/>
                  <w:hideMark/>
                </w:tcPr>
                <w:p w14:paraId="7954C041" w14:textId="77777777" w:rsidR="00F05DC7" w:rsidRPr="00AE067B" w:rsidRDefault="00F05DC7" w:rsidP="00A3786D">
                  <w:pPr>
                    <w:pStyle w:val="TableBodyText"/>
                    <w:ind w:right="57"/>
                    <w:rPr>
                      <w:rFonts w:cs="Arial"/>
                      <w:szCs w:val="18"/>
                    </w:rPr>
                  </w:pPr>
                  <w:r w:rsidRPr="00AE067B">
                    <w:rPr>
                      <w:rFonts w:cs="Arial"/>
                      <w:color w:val="000000"/>
                      <w:szCs w:val="18"/>
                    </w:rPr>
                    <w:t>-1</w:t>
                  </w:r>
                </w:p>
              </w:tc>
              <w:tc>
                <w:tcPr>
                  <w:tcW w:w="375" w:type="pct"/>
                  <w:tcBorders>
                    <w:top w:val="nil"/>
                    <w:left w:val="nil"/>
                    <w:right w:val="nil"/>
                  </w:tcBorders>
                  <w:shd w:val="clear" w:color="auto" w:fill="auto"/>
                  <w:tcMar>
                    <w:left w:w="0" w:type="dxa"/>
                    <w:right w:w="0" w:type="dxa"/>
                  </w:tcMar>
                  <w:vAlign w:val="bottom"/>
                  <w:hideMark/>
                </w:tcPr>
                <w:p w14:paraId="7954C042" w14:textId="77777777" w:rsidR="00F05DC7" w:rsidRPr="00AE067B" w:rsidRDefault="00F05DC7" w:rsidP="00A3786D">
                  <w:pPr>
                    <w:pStyle w:val="TableBodyText"/>
                    <w:ind w:right="57"/>
                    <w:rPr>
                      <w:rFonts w:cs="Arial"/>
                      <w:szCs w:val="18"/>
                    </w:rPr>
                  </w:pPr>
                  <w:r w:rsidRPr="00AE067B">
                    <w:rPr>
                      <w:rFonts w:cs="Arial"/>
                      <w:color w:val="000000"/>
                      <w:szCs w:val="18"/>
                    </w:rPr>
                    <w:t>-2</w:t>
                  </w:r>
                </w:p>
              </w:tc>
            </w:tr>
            <w:tr w:rsidR="00F05DC7" w14:paraId="7954C04D" w14:textId="77777777" w:rsidTr="00A3786D">
              <w:trPr>
                <w:trHeight w:val="288"/>
              </w:trPr>
              <w:tc>
                <w:tcPr>
                  <w:tcW w:w="1931" w:type="pct"/>
                  <w:tcBorders>
                    <w:top w:val="nil"/>
                    <w:left w:val="nil"/>
                    <w:bottom w:val="nil"/>
                    <w:right w:val="nil"/>
                  </w:tcBorders>
                  <w:shd w:val="clear" w:color="auto" w:fill="auto"/>
                  <w:tcMar>
                    <w:left w:w="0" w:type="dxa"/>
                    <w:right w:w="0" w:type="dxa"/>
                  </w:tcMar>
                  <w:vAlign w:val="center"/>
                </w:tcPr>
                <w:p w14:paraId="7954C044" w14:textId="77777777" w:rsidR="00F05DC7" w:rsidRPr="00C9149D" w:rsidRDefault="00F05DC7" w:rsidP="00A3786D">
                  <w:pPr>
                    <w:pStyle w:val="TableBodyText"/>
                    <w:jc w:val="left"/>
                  </w:pPr>
                  <w:r w:rsidRPr="00AE067B">
                    <w:rPr>
                      <w:rFonts w:cs="Arial"/>
                      <w:szCs w:val="18"/>
                    </w:rPr>
                    <w:t>Change in GST payments (% of State revenue)</w:t>
                  </w:r>
                </w:p>
              </w:tc>
              <w:tc>
                <w:tcPr>
                  <w:tcW w:w="447" w:type="pct"/>
                  <w:tcBorders>
                    <w:top w:val="nil"/>
                    <w:left w:val="nil"/>
                    <w:bottom w:val="nil"/>
                    <w:right w:val="nil"/>
                  </w:tcBorders>
                  <w:shd w:val="clear" w:color="auto" w:fill="auto"/>
                  <w:tcMar>
                    <w:left w:w="0" w:type="dxa"/>
                    <w:right w:w="0" w:type="dxa"/>
                  </w:tcMar>
                  <w:vAlign w:val="bottom"/>
                </w:tcPr>
                <w:p w14:paraId="7954C045" w14:textId="77777777" w:rsidR="00F05DC7" w:rsidRPr="005A485D" w:rsidRDefault="00F05DC7" w:rsidP="00A3786D">
                  <w:pPr>
                    <w:pStyle w:val="TableBodyText"/>
                    <w:ind w:right="57"/>
                    <w:rPr>
                      <w:rFonts w:cs="Arial"/>
                      <w:color w:val="000000"/>
                      <w:szCs w:val="18"/>
                    </w:rPr>
                  </w:pPr>
                  <w:r w:rsidRPr="005A485D">
                    <w:rPr>
                      <w:rFonts w:cs="Arial"/>
                      <w:color w:val="000000"/>
                      <w:szCs w:val="18"/>
                    </w:rPr>
                    <w:t>0.1</w:t>
                  </w:r>
                </w:p>
              </w:tc>
              <w:tc>
                <w:tcPr>
                  <w:tcW w:w="375" w:type="pct"/>
                  <w:tcBorders>
                    <w:top w:val="nil"/>
                    <w:left w:val="nil"/>
                    <w:bottom w:val="nil"/>
                    <w:right w:val="nil"/>
                  </w:tcBorders>
                  <w:shd w:val="clear" w:color="auto" w:fill="auto"/>
                  <w:tcMar>
                    <w:left w:w="0" w:type="dxa"/>
                    <w:right w:w="0" w:type="dxa"/>
                  </w:tcMar>
                  <w:vAlign w:val="bottom"/>
                </w:tcPr>
                <w:p w14:paraId="7954C046" w14:textId="77777777" w:rsidR="00F05DC7" w:rsidRPr="005A485D" w:rsidRDefault="00F05DC7" w:rsidP="00A3786D">
                  <w:pPr>
                    <w:pStyle w:val="TableBodyText"/>
                    <w:ind w:right="57"/>
                    <w:rPr>
                      <w:rFonts w:cs="Arial"/>
                      <w:color w:val="000000"/>
                      <w:szCs w:val="18"/>
                    </w:rPr>
                  </w:pPr>
                  <w:r w:rsidRPr="005A485D">
                    <w:rPr>
                      <w:rFonts w:cs="Arial"/>
                      <w:color w:val="000000"/>
                      <w:szCs w:val="18"/>
                    </w:rPr>
                    <w:t>0.0</w:t>
                  </w:r>
                </w:p>
              </w:tc>
              <w:tc>
                <w:tcPr>
                  <w:tcW w:w="374" w:type="pct"/>
                  <w:tcBorders>
                    <w:top w:val="nil"/>
                    <w:left w:val="nil"/>
                    <w:bottom w:val="nil"/>
                    <w:right w:val="nil"/>
                  </w:tcBorders>
                  <w:shd w:val="clear" w:color="auto" w:fill="auto"/>
                  <w:tcMar>
                    <w:left w:w="0" w:type="dxa"/>
                    <w:right w:w="0" w:type="dxa"/>
                  </w:tcMar>
                  <w:vAlign w:val="bottom"/>
                </w:tcPr>
                <w:p w14:paraId="7954C047" w14:textId="77777777" w:rsidR="00F05DC7" w:rsidRPr="005A485D" w:rsidRDefault="00F05DC7" w:rsidP="00A3786D">
                  <w:pPr>
                    <w:pStyle w:val="TableBodyText"/>
                    <w:ind w:right="57"/>
                    <w:rPr>
                      <w:rFonts w:cs="Arial"/>
                      <w:color w:val="000000"/>
                      <w:szCs w:val="18"/>
                    </w:rPr>
                  </w:pPr>
                  <w:r w:rsidRPr="005A485D">
                    <w:rPr>
                      <w:rFonts w:cs="Arial"/>
                      <w:color w:val="000000"/>
                      <w:szCs w:val="18"/>
                    </w:rPr>
                    <w:t>-0.1</w:t>
                  </w:r>
                </w:p>
              </w:tc>
              <w:tc>
                <w:tcPr>
                  <w:tcW w:w="375" w:type="pct"/>
                  <w:tcBorders>
                    <w:top w:val="nil"/>
                    <w:left w:val="nil"/>
                    <w:bottom w:val="nil"/>
                    <w:right w:val="nil"/>
                  </w:tcBorders>
                  <w:shd w:val="clear" w:color="auto" w:fill="auto"/>
                  <w:tcMar>
                    <w:left w:w="0" w:type="dxa"/>
                    <w:right w:w="0" w:type="dxa"/>
                  </w:tcMar>
                  <w:vAlign w:val="bottom"/>
                </w:tcPr>
                <w:p w14:paraId="7954C048" w14:textId="77777777" w:rsidR="00F05DC7" w:rsidRPr="005A485D" w:rsidRDefault="00F05DC7" w:rsidP="00A3786D">
                  <w:pPr>
                    <w:pStyle w:val="TableBodyText"/>
                    <w:ind w:right="57"/>
                    <w:rPr>
                      <w:rFonts w:cs="Arial"/>
                      <w:color w:val="000000"/>
                      <w:szCs w:val="18"/>
                    </w:rPr>
                  </w:pPr>
                  <w:r w:rsidRPr="005A485D">
                    <w:rPr>
                      <w:rFonts w:cs="Arial"/>
                      <w:color w:val="000000"/>
                      <w:szCs w:val="18"/>
                    </w:rPr>
                    <w:t>0.0</w:t>
                  </w:r>
                </w:p>
              </w:tc>
              <w:tc>
                <w:tcPr>
                  <w:tcW w:w="374" w:type="pct"/>
                  <w:tcBorders>
                    <w:top w:val="nil"/>
                    <w:left w:val="nil"/>
                    <w:bottom w:val="nil"/>
                    <w:right w:val="nil"/>
                  </w:tcBorders>
                  <w:shd w:val="clear" w:color="auto" w:fill="auto"/>
                  <w:tcMar>
                    <w:left w:w="0" w:type="dxa"/>
                    <w:right w:w="0" w:type="dxa"/>
                  </w:tcMar>
                  <w:vAlign w:val="bottom"/>
                </w:tcPr>
                <w:p w14:paraId="7954C049" w14:textId="77777777" w:rsidR="00F05DC7" w:rsidRPr="005A485D" w:rsidRDefault="00F05DC7" w:rsidP="00A3786D">
                  <w:pPr>
                    <w:pStyle w:val="TableBodyText"/>
                    <w:ind w:right="57"/>
                    <w:rPr>
                      <w:rFonts w:cs="Arial"/>
                      <w:color w:val="000000"/>
                      <w:szCs w:val="18"/>
                    </w:rPr>
                  </w:pPr>
                  <w:r w:rsidRPr="005A485D">
                    <w:rPr>
                      <w:rFonts w:cs="Arial"/>
                      <w:color w:val="000000"/>
                      <w:szCs w:val="18"/>
                    </w:rPr>
                    <w:t>0.0</w:t>
                  </w:r>
                </w:p>
              </w:tc>
              <w:tc>
                <w:tcPr>
                  <w:tcW w:w="375" w:type="pct"/>
                  <w:tcBorders>
                    <w:top w:val="nil"/>
                    <w:left w:val="nil"/>
                    <w:bottom w:val="nil"/>
                    <w:right w:val="nil"/>
                  </w:tcBorders>
                  <w:shd w:val="clear" w:color="auto" w:fill="auto"/>
                  <w:tcMar>
                    <w:left w:w="0" w:type="dxa"/>
                    <w:right w:w="0" w:type="dxa"/>
                  </w:tcMar>
                  <w:vAlign w:val="bottom"/>
                </w:tcPr>
                <w:p w14:paraId="7954C04A" w14:textId="77777777" w:rsidR="00F05DC7" w:rsidRPr="005A485D" w:rsidRDefault="00F05DC7" w:rsidP="00A3786D">
                  <w:pPr>
                    <w:pStyle w:val="TableBodyText"/>
                    <w:ind w:right="57"/>
                    <w:rPr>
                      <w:rFonts w:cs="Arial"/>
                      <w:color w:val="000000"/>
                      <w:szCs w:val="18"/>
                    </w:rPr>
                  </w:pPr>
                  <w:r w:rsidRPr="005A485D">
                    <w:rPr>
                      <w:rFonts w:cs="Arial"/>
                      <w:color w:val="000000"/>
                      <w:szCs w:val="18"/>
                    </w:rPr>
                    <w:t>0.0</w:t>
                  </w:r>
                </w:p>
              </w:tc>
              <w:tc>
                <w:tcPr>
                  <w:tcW w:w="374" w:type="pct"/>
                  <w:tcBorders>
                    <w:top w:val="nil"/>
                    <w:left w:val="nil"/>
                    <w:bottom w:val="nil"/>
                    <w:right w:val="nil"/>
                  </w:tcBorders>
                  <w:shd w:val="clear" w:color="auto" w:fill="auto"/>
                  <w:tcMar>
                    <w:left w:w="0" w:type="dxa"/>
                    <w:right w:w="0" w:type="dxa"/>
                  </w:tcMar>
                  <w:vAlign w:val="bottom"/>
                </w:tcPr>
                <w:p w14:paraId="7954C04B" w14:textId="77777777" w:rsidR="00F05DC7" w:rsidRPr="005A485D" w:rsidRDefault="00F05DC7" w:rsidP="00A3786D">
                  <w:pPr>
                    <w:pStyle w:val="TableBodyText"/>
                    <w:ind w:right="57"/>
                    <w:rPr>
                      <w:rFonts w:cs="Arial"/>
                      <w:color w:val="000000"/>
                      <w:szCs w:val="18"/>
                    </w:rPr>
                  </w:pPr>
                  <w:r w:rsidRPr="005A485D">
                    <w:rPr>
                      <w:rFonts w:cs="Arial"/>
                      <w:color w:val="000000"/>
                      <w:szCs w:val="18"/>
                    </w:rPr>
                    <w:t>0.0</w:t>
                  </w:r>
                </w:p>
              </w:tc>
              <w:tc>
                <w:tcPr>
                  <w:tcW w:w="375" w:type="pct"/>
                  <w:tcBorders>
                    <w:top w:val="nil"/>
                    <w:left w:val="nil"/>
                    <w:bottom w:val="nil"/>
                    <w:right w:val="nil"/>
                  </w:tcBorders>
                  <w:shd w:val="clear" w:color="auto" w:fill="auto"/>
                  <w:tcMar>
                    <w:left w:w="0" w:type="dxa"/>
                    <w:right w:w="0" w:type="dxa"/>
                  </w:tcMar>
                  <w:vAlign w:val="bottom"/>
                </w:tcPr>
                <w:p w14:paraId="7954C04C" w14:textId="77777777" w:rsidR="00F05DC7" w:rsidRPr="005A485D" w:rsidRDefault="00F05DC7" w:rsidP="00A3786D">
                  <w:pPr>
                    <w:pStyle w:val="TableBodyText"/>
                    <w:ind w:right="57"/>
                    <w:rPr>
                      <w:rFonts w:cs="Arial"/>
                      <w:color w:val="000000"/>
                      <w:szCs w:val="18"/>
                    </w:rPr>
                  </w:pPr>
                  <w:r w:rsidRPr="005A485D">
                    <w:rPr>
                      <w:rFonts w:cs="Arial"/>
                      <w:color w:val="000000"/>
                      <w:szCs w:val="18"/>
                    </w:rPr>
                    <w:t>0.0</w:t>
                  </w:r>
                </w:p>
              </w:tc>
            </w:tr>
            <w:tr w:rsidR="00F05DC7" w14:paraId="7954C057" w14:textId="77777777" w:rsidTr="00A3786D">
              <w:trPr>
                <w:trHeight w:val="288"/>
              </w:trPr>
              <w:tc>
                <w:tcPr>
                  <w:tcW w:w="1931" w:type="pct"/>
                  <w:tcBorders>
                    <w:top w:val="nil"/>
                    <w:left w:val="nil"/>
                    <w:bottom w:val="nil"/>
                    <w:right w:val="nil"/>
                  </w:tcBorders>
                  <w:shd w:val="clear" w:color="auto" w:fill="auto"/>
                  <w:tcMar>
                    <w:left w:w="0" w:type="dxa"/>
                    <w:right w:w="0" w:type="dxa"/>
                  </w:tcMar>
                  <w:vAlign w:val="center"/>
                </w:tcPr>
                <w:p w14:paraId="7954C04E" w14:textId="77777777" w:rsidR="00F05DC7" w:rsidRPr="00AE067B" w:rsidRDefault="00F05DC7" w:rsidP="00A3786D">
                  <w:pPr>
                    <w:pStyle w:val="TableBodyText"/>
                    <w:jc w:val="left"/>
                    <w:rPr>
                      <w:rFonts w:cs="Arial"/>
                      <w:szCs w:val="18"/>
                    </w:rPr>
                  </w:pPr>
                  <w:r>
                    <w:t>Change in GST payments (% of pre</w:t>
                  </w:r>
                  <w:r>
                    <w:noBreakHyphen/>
                    <w:t>reform insurance tax revenue)</w:t>
                  </w:r>
                </w:p>
              </w:tc>
              <w:tc>
                <w:tcPr>
                  <w:tcW w:w="447" w:type="pct"/>
                  <w:tcBorders>
                    <w:top w:val="nil"/>
                    <w:left w:val="nil"/>
                    <w:bottom w:val="nil"/>
                    <w:right w:val="nil"/>
                  </w:tcBorders>
                  <w:shd w:val="clear" w:color="auto" w:fill="auto"/>
                  <w:tcMar>
                    <w:left w:w="0" w:type="dxa"/>
                    <w:right w:w="0" w:type="dxa"/>
                  </w:tcMar>
                  <w:vAlign w:val="bottom"/>
                </w:tcPr>
                <w:p w14:paraId="7954C04F" w14:textId="77777777" w:rsidR="00F05DC7" w:rsidRPr="005A485D" w:rsidRDefault="00F05DC7" w:rsidP="00A3786D">
                  <w:pPr>
                    <w:pStyle w:val="TableBodyText"/>
                    <w:ind w:right="57"/>
                    <w:rPr>
                      <w:rFonts w:cs="Arial"/>
                      <w:color w:val="000000"/>
                      <w:szCs w:val="18"/>
                    </w:rPr>
                  </w:pPr>
                  <w:r w:rsidRPr="005A485D">
                    <w:rPr>
                      <w:rFonts w:cs="Arial"/>
                      <w:color w:val="000000"/>
                      <w:szCs w:val="18"/>
                    </w:rPr>
                    <w:t>4.7</w:t>
                  </w:r>
                </w:p>
              </w:tc>
              <w:tc>
                <w:tcPr>
                  <w:tcW w:w="375" w:type="pct"/>
                  <w:tcBorders>
                    <w:top w:val="nil"/>
                    <w:left w:val="nil"/>
                    <w:bottom w:val="nil"/>
                    <w:right w:val="nil"/>
                  </w:tcBorders>
                  <w:shd w:val="clear" w:color="auto" w:fill="auto"/>
                  <w:tcMar>
                    <w:left w:w="0" w:type="dxa"/>
                    <w:right w:w="0" w:type="dxa"/>
                  </w:tcMar>
                  <w:vAlign w:val="bottom"/>
                </w:tcPr>
                <w:p w14:paraId="7954C050" w14:textId="77777777" w:rsidR="00F05DC7" w:rsidRPr="005A485D" w:rsidRDefault="00F05DC7" w:rsidP="00A3786D">
                  <w:pPr>
                    <w:pStyle w:val="TableBodyText"/>
                    <w:ind w:right="57"/>
                    <w:rPr>
                      <w:rFonts w:cs="Arial"/>
                      <w:color w:val="000000"/>
                      <w:szCs w:val="18"/>
                    </w:rPr>
                  </w:pPr>
                  <w:r w:rsidRPr="005A485D">
                    <w:rPr>
                      <w:rFonts w:cs="Arial"/>
                      <w:color w:val="000000"/>
                      <w:szCs w:val="18"/>
                    </w:rPr>
                    <w:t>1.5</w:t>
                  </w:r>
                </w:p>
              </w:tc>
              <w:tc>
                <w:tcPr>
                  <w:tcW w:w="374" w:type="pct"/>
                  <w:tcBorders>
                    <w:top w:val="nil"/>
                    <w:left w:val="nil"/>
                    <w:bottom w:val="nil"/>
                    <w:right w:val="nil"/>
                  </w:tcBorders>
                  <w:shd w:val="clear" w:color="auto" w:fill="auto"/>
                  <w:tcMar>
                    <w:left w:w="0" w:type="dxa"/>
                    <w:right w:w="0" w:type="dxa"/>
                  </w:tcMar>
                  <w:vAlign w:val="bottom"/>
                </w:tcPr>
                <w:p w14:paraId="7954C051" w14:textId="77777777" w:rsidR="00F05DC7" w:rsidRPr="005A485D" w:rsidRDefault="00F05DC7" w:rsidP="00A3786D">
                  <w:pPr>
                    <w:pStyle w:val="TableBodyText"/>
                    <w:ind w:right="57"/>
                    <w:rPr>
                      <w:rFonts w:cs="Arial"/>
                      <w:color w:val="000000"/>
                      <w:szCs w:val="18"/>
                    </w:rPr>
                  </w:pPr>
                  <w:r w:rsidRPr="005A485D">
                    <w:rPr>
                      <w:rFonts w:cs="Arial"/>
                      <w:color w:val="000000"/>
                      <w:szCs w:val="18"/>
                    </w:rPr>
                    <w:t>-3.7</w:t>
                  </w:r>
                </w:p>
              </w:tc>
              <w:tc>
                <w:tcPr>
                  <w:tcW w:w="375" w:type="pct"/>
                  <w:tcBorders>
                    <w:top w:val="nil"/>
                    <w:left w:val="nil"/>
                    <w:bottom w:val="nil"/>
                    <w:right w:val="nil"/>
                  </w:tcBorders>
                  <w:shd w:val="clear" w:color="auto" w:fill="auto"/>
                  <w:tcMar>
                    <w:left w:w="0" w:type="dxa"/>
                    <w:right w:w="0" w:type="dxa"/>
                  </w:tcMar>
                  <w:vAlign w:val="bottom"/>
                </w:tcPr>
                <w:p w14:paraId="7954C052" w14:textId="77777777" w:rsidR="00F05DC7" w:rsidRPr="005A485D" w:rsidRDefault="00F05DC7" w:rsidP="00A3786D">
                  <w:pPr>
                    <w:pStyle w:val="TableBodyText"/>
                    <w:ind w:right="57"/>
                    <w:rPr>
                      <w:rFonts w:cs="Arial"/>
                      <w:color w:val="000000"/>
                      <w:szCs w:val="18"/>
                    </w:rPr>
                  </w:pPr>
                  <w:r w:rsidRPr="005A485D">
                    <w:rPr>
                      <w:rFonts w:cs="Arial"/>
                      <w:color w:val="000000"/>
                      <w:szCs w:val="18"/>
                    </w:rPr>
                    <w:t>0.4</w:t>
                  </w:r>
                </w:p>
              </w:tc>
              <w:tc>
                <w:tcPr>
                  <w:tcW w:w="374" w:type="pct"/>
                  <w:tcBorders>
                    <w:top w:val="nil"/>
                    <w:left w:val="nil"/>
                    <w:bottom w:val="nil"/>
                    <w:right w:val="nil"/>
                  </w:tcBorders>
                  <w:shd w:val="clear" w:color="auto" w:fill="auto"/>
                  <w:tcMar>
                    <w:left w:w="0" w:type="dxa"/>
                    <w:right w:w="0" w:type="dxa"/>
                  </w:tcMar>
                  <w:vAlign w:val="bottom"/>
                </w:tcPr>
                <w:p w14:paraId="7954C053" w14:textId="77777777" w:rsidR="00F05DC7" w:rsidRPr="005A485D" w:rsidRDefault="00F05DC7" w:rsidP="00A3786D">
                  <w:pPr>
                    <w:pStyle w:val="TableBodyText"/>
                    <w:ind w:right="57"/>
                    <w:rPr>
                      <w:rFonts w:cs="Arial"/>
                      <w:color w:val="000000"/>
                      <w:szCs w:val="18"/>
                    </w:rPr>
                  </w:pPr>
                  <w:r w:rsidRPr="005A485D">
                    <w:rPr>
                      <w:rFonts w:cs="Arial"/>
                      <w:color w:val="000000"/>
                      <w:szCs w:val="18"/>
                    </w:rPr>
                    <w:t>-0.9</w:t>
                  </w:r>
                </w:p>
              </w:tc>
              <w:tc>
                <w:tcPr>
                  <w:tcW w:w="375" w:type="pct"/>
                  <w:tcBorders>
                    <w:top w:val="nil"/>
                    <w:left w:val="nil"/>
                    <w:bottom w:val="nil"/>
                    <w:right w:val="nil"/>
                  </w:tcBorders>
                  <w:shd w:val="clear" w:color="auto" w:fill="auto"/>
                  <w:tcMar>
                    <w:left w:w="0" w:type="dxa"/>
                    <w:right w:w="0" w:type="dxa"/>
                  </w:tcMar>
                  <w:vAlign w:val="bottom"/>
                </w:tcPr>
                <w:p w14:paraId="7954C054" w14:textId="77777777" w:rsidR="00F05DC7" w:rsidRPr="005A485D" w:rsidRDefault="00F05DC7" w:rsidP="00A3786D">
                  <w:pPr>
                    <w:pStyle w:val="TableBodyText"/>
                    <w:ind w:right="57"/>
                    <w:rPr>
                      <w:rFonts w:cs="Arial"/>
                      <w:color w:val="000000"/>
                      <w:szCs w:val="18"/>
                    </w:rPr>
                  </w:pPr>
                  <w:r w:rsidRPr="005A485D">
                    <w:rPr>
                      <w:rFonts w:cs="Arial"/>
                      <w:color w:val="000000"/>
                      <w:szCs w:val="18"/>
                    </w:rPr>
                    <w:t>-1.9</w:t>
                  </w:r>
                </w:p>
              </w:tc>
              <w:tc>
                <w:tcPr>
                  <w:tcW w:w="374" w:type="pct"/>
                  <w:tcBorders>
                    <w:top w:val="nil"/>
                    <w:left w:val="nil"/>
                    <w:bottom w:val="nil"/>
                    <w:right w:val="nil"/>
                  </w:tcBorders>
                  <w:shd w:val="clear" w:color="auto" w:fill="auto"/>
                  <w:tcMar>
                    <w:left w:w="0" w:type="dxa"/>
                    <w:right w:w="0" w:type="dxa"/>
                  </w:tcMar>
                  <w:vAlign w:val="bottom"/>
                </w:tcPr>
                <w:p w14:paraId="7954C055" w14:textId="77777777" w:rsidR="00F05DC7" w:rsidRPr="005A485D" w:rsidRDefault="00F05DC7" w:rsidP="00A3786D">
                  <w:pPr>
                    <w:pStyle w:val="TableBodyText"/>
                    <w:ind w:right="57"/>
                    <w:rPr>
                      <w:rFonts w:cs="Arial"/>
                      <w:color w:val="000000"/>
                      <w:szCs w:val="18"/>
                    </w:rPr>
                  </w:pPr>
                  <w:r w:rsidRPr="005A485D">
                    <w:rPr>
                      <w:rFonts w:cs="Arial"/>
                      <w:color w:val="000000"/>
                      <w:szCs w:val="18"/>
                    </w:rPr>
                    <w:t>0.0</w:t>
                  </w:r>
                </w:p>
              </w:tc>
              <w:tc>
                <w:tcPr>
                  <w:tcW w:w="375" w:type="pct"/>
                  <w:tcBorders>
                    <w:top w:val="nil"/>
                    <w:left w:val="nil"/>
                    <w:bottom w:val="nil"/>
                    <w:right w:val="nil"/>
                  </w:tcBorders>
                  <w:shd w:val="clear" w:color="auto" w:fill="auto"/>
                  <w:tcMar>
                    <w:left w:w="0" w:type="dxa"/>
                    <w:right w:w="0" w:type="dxa"/>
                  </w:tcMar>
                  <w:vAlign w:val="bottom"/>
                </w:tcPr>
                <w:p w14:paraId="7954C056" w14:textId="77777777" w:rsidR="00F05DC7" w:rsidRPr="005A485D" w:rsidRDefault="00F05DC7" w:rsidP="00A3786D">
                  <w:pPr>
                    <w:pStyle w:val="TableBodyText"/>
                    <w:ind w:right="57"/>
                    <w:rPr>
                      <w:rFonts w:cs="Arial"/>
                      <w:color w:val="000000"/>
                      <w:szCs w:val="18"/>
                    </w:rPr>
                  </w:pPr>
                  <w:r w:rsidRPr="005A485D">
                    <w:rPr>
                      <w:rFonts w:cs="Arial"/>
                      <w:color w:val="000000"/>
                      <w:szCs w:val="18"/>
                    </w:rPr>
                    <w:t>0.0</w:t>
                  </w:r>
                </w:p>
              </w:tc>
            </w:tr>
            <w:tr w:rsidR="00F05DC7" w14:paraId="7954C061" w14:textId="77777777" w:rsidTr="00A3786D">
              <w:trPr>
                <w:trHeight w:val="300"/>
              </w:trPr>
              <w:tc>
                <w:tcPr>
                  <w:tcW w:w="1931" w:type="pct"/>
                  <w:tcBorders>
                    <w:top w:val="nil"/>
                    <w:left w:val="nil"/>
                    <w:right w:val="nil"/>
                  </w:tcBorders>
                  <w:shd w:val="clear" w:color="auto" w:fill="auto"/>
                  <w:tcMar>
                    <w:left w:w="0" w:type="dxa"/>
                    <w:right w:w="0" w:type="dxa"/>
                  </w:tcMar>
                  <w:vAlign w:val="center"/>
                  <w:hideMark/>
                </w:tcPr>
                <w:p w14:paraId="7954C058" w14:textId="77777777" w:rsidR="00F05DC7" w:rsidRPr="00775B18" w:rsidRDefault="00F05DC7" w:rsidP="00A3786D">
                  <w:pPr>
                    <w:pStyle w:val="TableBodyText"/>
                    <w:jc w:val="left"/>
                  </w:pPr>
                  <w:r w:rsidRPr="00C9149D">
                    <w:t>New</w:t>
                  </w:r>
                  <w:r w:rsidRPr="00775B18">
                    <w:t xml:space="preserve"> GST relativity</w:t>
                  </w:r>
                </w:p>
              </w:tc>
              <w:tc>
                <w:tcPr>
                  <w:tcW w:w="447" w:type="pct"/>
                  <w:tcBorders>
                    <w:top w:val="nil"/>
                    <w:left w:val="nil"/>
                    <w:right w:val="nil"/>
                  </w:tcBorders>
                  <w:shd w:val="clear" w:color="auto" w:fill="auto"/>
                  <w:tcMar>
                    <w:left w:w="0" w:type="dxa"/>
                    <w:right w:w="0" w:type="dxa"/>
                  </w:tcMar>
                  <w:vAlign w:val="bottom"/>
                  <w:hideMark/>
                </w:tcPr>
                <w:p w14:paraId="7954C059" w14:textId="77777777" w:rsidR="00F05DC7" w:rsidRPr="005A485D" w:rsidRDefault="00F05DC7" w:rsidP="00A3786D">
                  <w:pPr>
                    <w:pStyle w:val="TableBodyText"/>
                    <w:ind w:right="57"/>
                    <w:rPr>
                      <w:rFonts w:cs="Arial"/>
                      <w:szCs w:val="18"/>
                    </w:rPr>
                  </w:pPr>
                  <w:r w:rsidRPr="005A485D">
                    <w:rPr>
                      <w:rFonts w:cs="Arial"/>
                      <w:szCs w:val="18"/>
                    </w:rPr>
                    <w:t>0.84</w:t>
                  </w:r>
                </w:p>
              </w:tc>
              <w:tc>
                <w:tcPr>
                  <w:tcW w:w="375" w:type="pct"/>
                  <w:tcBorders>
                    <w:top w:val="nil"/>
                    <w:left w:val="nil"/>
                    <w:right w:val="nil"/>
                  </w:tcBorders>
                  <w:shd w:val="clear" w:color="auto" w:fill="auto"/>
                  <w:tcMar>
                    <w:left w:w="0" w:type="dxa"/>
                    <w:right w:w="0" w:type="dxa"/>
                  </w:tcMar>
                  <w:vAlign w:val="bottom"/>
                  <w:hideMark/>
                </w:tcPr>
                <w:p w14:paraId="7954C05A" w14:textId="77777777" w:rsidR="00F05DC7" w:rsidRPr="005A485D" w:rsidRDefault="00F05DC7" w:rsidP="00A3786D">
                  <w:pPr>
                    <w:pStyle w:val="TableBodyText"/>
                    <w:ind w:right="57"/>
                    <w:rPr>
                      <w:rFonts w:cs="Arial"/>
                      <w:szCs w:val="18"/>
                    </w:rPr>
                  </w:pPr>
                  <w:r w:rsidRPr="005A485D">
                    <w:rPr>
                      <w:rFonts w:cs="Arial"/>
                      <w:szCs w:val="18"/>
                    </w:rPr>
                    <w:t>1.01</w:t>
                  </w:r>
                </w:p>
              </w:tc>
              <w:tc>
                <w:tcPr>
                  <w:tcW w:w="374" w:type="pct"/>
                  <w:tcBorders>
                    <w:top w:val="nil"/>
                    <w:left w:val="nil"/>
                    <w:right w:val="nil"/>
                  </w:tcBorders>
                  <w:shd w:val="clear" w:color="auto" w:fill="auto"/>
                  <w:tcMar>
                    <w:left w:w="0" w:type="dxa"/>
                    <w:right w:w="0" w:type="dxa"/>
                  </w:tcMar>
                  <w:vAlign w:val="bottom"/>
                  <w:hideMark/>
                </w:tcPr>
                <w:p w14:paraId="7954C05B" w14:textId="77777777" w:rsidR="00F05DC7" w:rsidRPr="005A485D" w:rsidRDefault="00F05DC7" w:rsidP="00A3786D">
                  <w:pPr>
                    <w:pStyle w:val="TableBodyText"/>
                    <w:ind w:right="57"/>
                    <w:rPr>
                      <w:rFonts w:cs="Arial"/>
                      <w:szCs w:val="18"/>
                    </w:rPr>
                  </w:pPr>
                  <w:r w:rsidRPr="005A485D">
                    <w:rPr>
                      <w:rFonts w:cs="Arial"/>
                      <w:szCs w:val="18"/>
                    </w:rPr>
                    <w:t>1.03</w:t>
                  </w:r>
                </w:p>
              </w:tc>
              <w:tc>
                <w:tcPr>
                  <w:tcW w:w="375" w:type="pct"/>
                  <w:tcBorders>
                    <w:top w:val="nil"/>
                    <w:left w:val="nil"/>
                    <w:right w:val="nil"/>
                  </w:tcBorders>
                  <w:shd w:val="clear" w:color="auto" w:fill="auto"/>
                  <w:tcMar>
                    <w:left w:w="0" w:type="dxa"/>
                    <w:right w:w="0" w:type="dxa"/>
                  </w:tcMar>
                  <w:vAlign w:val="bottom"/>
                  <w:hideMark/>
                </w:tcPr>
                <w:p w14:paraId="7954C05C" w14:textId="77777777" w:rsidR="00F05DC7" w:rsidRPr="005A485D" w:rsidRDefault="00F05DC7" w:rsidP="00A3786D">
                  <w:pPr>
                    <w:pStyle w:val="TableBodyText"/>
                    <w:ind w:right="57"/>
                    <w:rPr>
                      <w:rFonts w:cs="Arial"/>
                      <w:szCs w:val="18"/>
                    </w:rPr>
                  </w:pPr>
                  <w:r w:rsidRPr="005A485D">
                    <w:rPr>
                      <w:rFonts w:cs="Arial"/>
                      <w:szCs w:val="18"/>
                    </w:rPr>
                    <w:t>0.57</w:t>
                  </w:r>
                </w:p>
              </w:tc>
              <w:tc>
                <w:tcPr>
                  <w:tcW w:w="374" w:type="pct"/>
                  <w:tcBorders>
                    <w:top w:val="nil"/>
                    <w:left w:val="nil"/>
                    <w:right w:val="nil"/>
                  </w:tcBorders>
                  <w:shd w:val="clear" w:color="auto" w:fill="auto"/>
                  <w:tcMar>
                    <w:left w:w="0" w:type="dxa"/>
                    <w:right w:w="0" w:type="dxa"/>
                  </w:tcMar>
                  <w:vAlign w:val="bottom"/>
                  <w:hideMark/>
                </w:tcPr>
                <w:p w14:paraId="7954C05D" w14:textId="77777777" w:rsidR="00F05DC7" w:rsidRPr="005A485D" w:rsidRDefault="00F05DC7" w:rsidP="00A3786D">
                  <w:pPr>
                    <w:pStyle w:val="TableBodyText"/>
                    <w:ind w:right="57"/>
                    <w:rPr>
                      <w:rFonts w:cs="Arial"/>
                      <w:szCs w:val="18"/>
                    </w:rPr>
                  </w:pPr>
                  <w:r w:rsidRPr="005A485D">
                    <w:rPr>
                      <w:rFonts w:cs="Arial"/>
                      <w:szCs w:val="18"/>
                    </w:rPr>
                    <w:t>1.53</w:t>
                  </w:r>
                </w:p>
              </w:tc>
              <w:tc>
                <w:tcPr>
                  <w:tcW w:w="375" w:type="pct"/>
                  <w:tcBorders>
                    <w:top w:val="nil"/>
                    <w:left w:val="nil"/>
                    <w:right w:val="nil"/>
                  </w:tcBorders>
                  <w:shd w:val="clear" w:color="auto" w:fill="auto"/>
                  <w:tcMar>
                    <w:left w:w="0" w:type="dxa"/>
                    <w:right w:w="0" w:type="dxa"/>
                  </w:tcMar>
                  <w:vAlign w:val="bottom"/>
                  <w:hideMark/>
                </w:tcPr>
                <w:p w14:paraId="7954C05E" w14:textId="77777777" w:rsidR="00F05DC7" w:rsidRPr="005A485D" w:rsidRDefault="00F05DC7" w:rsidP="00A3786D">
                  <w:pPr>
                    <w:pStyle w:val="TableBodyText"/>
                    <w:ind w:right="57"/>
                    <w:rPr>
                      <w:rFonts w:cs="Arial"/>
                      <w:szCs w:val="18"/>
                    </w:rPr>
                  </w:pPr>
                  <w:r w:rsidRPr="005A485D">
                    <w:rPr>
                      <w:rFonts w:cs="Arial"/>
                      <w:szCs w:val="18"/>
                    </w:rPr>
                    <w:t>1.72</w:t>
                  </w:r>
                </w:p>
              </w:tc>
              <w:tc>
                <w:tcPr>
                  <w:tcW w:w="374" w:type="pct"/>
                  <w:tcBorders>
                    <w:top w:val="nil"/>
                    <w:left w:val="nil"/>
                    <w:right w:val="nil"/>
                  </w:tcBorders>
                  <w:shd w:val="clear" w:color="auto" w:fill="auto"/>
                  <w:tcMar>
                    <w:left w:w="0" w:type="dxa"/>
                    <w:right w:w="0" w:type="dxa"/>
                  </w:tcMar>
                  <w:vAlign w:val="bottom"/>
                  <w:hideMark/>
                </w:tcPr>
                <w:p w14:paraId="7954C05F" w14:textId="77777777" w:rsidR="00F05DC7" w:rsidRPr="005A485D" w:rsidRDefault="00F05DC7" w:rsidP="00A3786D">
                  <w:pPr>
                    <w:pStyle w:val="TableBodyText"/>
                    <w:ind w:right="57"/>
                    <w:rPr>
                      <w:rFonts w:cs="Arial"/>
                      <w:szCs w:val="18"/>
                    </w:rPr>
                  </w:pPr>
                  <w:r w:rsidRPr="005A485D">
                    <w:rPr>
                      <w:rFonts w:cs="Arial"/>
                      <w:szCs w:val="18"/>
                    </w:rPr>
                    <w:t>1.21</w:t>
                  </w:r>
                </w:p>
              </w:tc>
              <w:tc>
                <w:tcPr>
                  <w:tcW w:w="375" w:type="pct"/>
                  <w:tcBorders>
                    <w:top w:val="nil"/>
                    <w:left w:val="nil"/>
                  </w:tcBorders>
                  <w:shd w:val="clear" w:color="auto" w:fill="auto"/>
                  <w:tcMar>
                    <w:left w:w="0" w:type="dxa"/>
                    <w:right w:w="0" w:type="dxa"/>
                  </w:tcMar>
                  <w:vAlign w:val="bottom"/>
                  <w:hideMark/>
                </w:tcPr>
                <w:p w14:paraId="7954C060" w14:textId="77777777" w:rsidR="00F05DC7" w:rsidRPr="005A485D" w:rsidRDefault="00F05DC7" w:rsidP="00A3786D">
                  <w:pPr>
                    <w:pStyle w:val="TableBodyText"/>
                    <w:ind w:right="57"/>
                    <w:rPr>
                      <w:rFonts w:cs="Arial"/>
                      <w:szCs w:val="18"/>
                    </w:rPr>
                  </w:pPr>
                  <w:r w:rsidRPr="005A485D">
                    <w:rPr>
                      <w:rFonts w:cs="Arial"/>
                      <w:szCs w:val="18"/>
                    </w:rPr>
                    <w:t>4.19</w:t>
                  </w:r>
                </w:p>
              </w:tc>
            </w:tr>
          </w:tbl>
          <w:p w14:paraId="7954C062" w14:textId="77777777" w:rsidR="00F05DC7" w:rsidRDefault="00F05DC7" w:rsidP="00A3786D">
            <w:pPr>
              <w:pStyle w:val="Box"/>
            </w:pPr>
          </w:p>
        </w:tc>
      </w:tr>
      <w:tr w:rsidR="00F05DC7" w14:paraId="7954C065" w14:textId="77777777" w:rsidTr="00A3786D">
        <w:tc>
          <w:tcPr>
            <w:tcW w:w="5000" w:type="pct"/>
            <w:tcBorders>
              <w:top w:val="single" w:sz="8" w:space="0" w:color="D9D9D9" w:themeColor="background1" w:themeShade="D9"/>
              <w:left w:val="nil"/>
              <w:bottom w:val="nil"/>
              <w:right w:val="nil"/>
            </w:tcBorders>
            <w:shd w:val="clear" w:color="auto" w:fill="auto"/>
          </w:tcPr>
          <w:p w14:paraId="7954C064"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C067" w14:textId="77777777" w:rsidTr="00A3786D">
        <w:tc>
          <w:tcPr>
            <w:tcW w:w="5000" w:type="pct"/>
            <w:tcBorders>
              <w:top w:val="nil"/>
              <w:left w:val="nil"/>
              <w:bottom w:val="single" w:sz="6" w:space="0" w:color="78A22F"/>
              <w:right w:val="nil"/>
            </w:tcBorders>
            <w:shd w:val="clear" w:color="auto" w:fill="auto"/>
          </w:tcPr>
          <w:p w14:paraId="7954C066" w14:textId="77777777" w:rsidR="00F05DC7" w:rsidRDefault="00F05DC7" w:rsidP="00A3786D">
            <w:pPr>
              <w:pStyle w:val="Box"/>
              <w:spacing w:before="0" w:line="120" w:lineRule="exact"/>
            </w:pPr>
          </w:p>
        </w:tc>
      </w:tr>
      <w:tr w:rsidR="00F05DC7" w:rsidRPr="000863A5" w14:paraId="7954C069" w14:textId="77777777" w:rsidTr="00A3786D">
        <w:tc>
          <w:tcPr>
            <w:tcW w:w="5000" w:type="pct"/>
            <w:tcBorders>
              <w:top w:val="single" w:sz="6" w:space="0" w:color="78A22F"/>
              <w:left w:val="nil"/>
              <w:bottom w:val="nil"/>
              <w:right w:val="nil"/>
            </w:tcBorders>
          </w:tcPr>
          <w:p w14:paraId="7954C068" w14:textId="77777777" w:rsidR="00F05DC7" w:rsidRPr="00626D32" w:rsidRDefault="00F05DC7" w:rsidP="00A3786D">
            <w:pPr>
              <w:pStyle w:val="BoxSpaceBelow"/>
            </w:pPr>
          </w:p>
        </w:tc>
      </w:tr>
    </w:tbl>
    <w:p w14:paraId="7954C06A" w14:textId="77777777" w:rsidR="00F05DC7" w:rsidRDefault="00F05DC7" w:rsidP="00A3786D">
      <w:pPr>
        <w:pStyle w:val="BodyText"/>
      </w:pPr>
      <w:r w:rsidRPr="00EA7ECD">
        <w:t>The effects of multilateral reform are much larger, particularly for smaller</w:t>
      </w:r>
      <w:r>
        <w:t xml:space="preserve"> States (table C.31). As a proportion of the revenue raised from a congestion tax, these effects range </w:t>
      </w:r>
      <w:r w:rsidRPr="00EA7ECD">
        <w:t>from</w:t>
      </w:r>
      <w:r>
        <w:t xml:space="preserve"> 15 per cent (for New South Wales) to </w:t>
      </w:r>
      <w:r w:rsidRPr="00EA7ECD">
        <w:noBreakHyphen/>
      </w:r>
      <w:r>
        <w:t>86 per cent (for the ACT). The larger effect associated with multilateral reform is the result of a larger change in average expenses and therefore larger changes in assessed expenses.</w:t>
      </w:r>
    </w:p>
    <w:p w14:paraId="7954C06B"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06E" w14:textId="77777777" w:rsidTr="001113B1">
        <w:trPr>
          <w:tblHeader/>
        </w:trPr>
        <w:tc>
          <w:tcPr>
            <w:tcW w:w="5000" w:type="pct"/>
            <w:tcBorders>
              <w:top w:val="single" w:sz="6" w:space="0" w:color="78A22F"/>
              <w:left w:val="nil"/>
              <w:bottom w:val="nil"/>
              <w:right w:val="nil"/>
            </w:tcBorders>
            <w:shd w:val="clear" w:color="auto" w:fill="auto"/>
          </w:tcPr>
          <w:p w14:paraId="7954C06C" w14:textId="0EC5E663" w:rsidR="00F05DC7" w:rsidRDefault="00F05DC7" w:rsidP="00A3786D">
            <w:pPr>
              <w:pStyle w:val="TableTitle"/>
            </w:pPr>
            <w:r>
              <w:rPr>
                <w:b w:val="0"/>
              </w:rPr>
              <w:t>Table C.31</w:t>
            </w:r>
            <w:r>
              <w:tab/>
              <w:t>GST impact of a congestion tax and public transport spending</w:t>
            </w:r>
          </w:p>
          <w:p w14:paraId="7954C06D" w14:textId="77777777" w:rsidR="00F05DC7" w:rsidRPr="00784A05" w:rsidRDefault="00F05DC7" w:rsidP="00A3786D">
            <w:pPr>
              <w:pStyle w:val="Subtitle"/>
            </w:pPr>
            <w:r>
              <w:t>Multilateral change by all States, 2016</w:t>
            </w:r>
            <w:r>
              <w:noBreakHyphen/>
              <w:t>17</w:t>
            </w:r>
          </w:p>
        </w:tc>
      </w:tr>
      <w:tr w:rsidR="00F05DC7" w14:paraId="7954C0B6" w14:textId="77777777" w:rsidTr="00081880">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3287"/>
              <w:gridCol w:w="652"/>
              <w:gridCol w:w="652"/>
              <w:gridCol w:w="654"/>
              <w:gridCol w:w="652"/>
              <w:gridCol w:w="651"/>
              <w:gridCol w:w="653"/>
              <w:gridCol w:w="651"/>
              <w:gridCol w:w="653"/>
            </w:tblGrid>
            <w:tr w:rsidR="00F05DC7" w14:paraId="7954C078" w14:textId="77777777" w:rsidTr="00081880">
              <w:trPr>
                <w:trHeight w:val="300"/>
                <w:tblHeader/>
              </w:trPr>
              <w:tc>
                <w:tcPr>
                  <w:tcW w:w="1932"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C06F" w14:textId="77777777" w:rsidR="00F05DC7" w:rsidRDefault="00F05DC7" w:rsidP="00A3786D">
                  <w:pPr>
                    <w:pStyle w:val="TableColumnHeading"/>
                  </w:pPr>
                </w:p>
              </w:tc>
              <w:tc>
                <w:tcPr>
                  <w:tcW w:w="383"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C070"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NSW</w:t>
                  </w:r>
                </w:p>
              </w:tc>
              <w:tc>
                <w:tcPr>
                  <w:tcW w:w="383"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C071"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Vic</w:t>
                  </w:r>
                </w:p>
              </w:tc>
              <w:tc>
                <w:tcPr>
                  <w:tcW w:w="384"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C072"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Qld</w:t>
                  </w:r>
                </w:p>
              </w:tc>
              <w:tc>
                <w:tcPr>
                  <w:tcW w:w="383"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C073"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WA</w:t>
                  </w:r>
                </w:p>
              </w:tc>
              <w:tc>
                <w:tcPr>
                  <w:tcW w:w="383"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C074"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SA</w:t>
                  </w:r>
                </w:p>
              </w:tc>
              <w:tc>
                <w:tcPr>
                  <w:tcW w:w="384"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C075"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Tas</w:t>
                  </w:r>
                </w:p>
              </w:tc>
              <w:tc>
                <w:tcPr>
                  <w:tcW w:w="383"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C076"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ACT</w:t>
                  </w:r>
                </w:p>
              </w:tc>
              <w:tc>
                <w:tcPr>
                  <w:tcW w:w="384" w:type="pct"/>
                  <w:tcBorders>
                    <w:top w:val="single" w:sz="6" w:space="0" w:color="BFBFBF"/>
                    <w:left w:val="nil"/>
                    <w:bottom w:val="single" w:sz="6" w:space="0" w:color="BFBFBF"/>
                    <w:right w:val="nil"/>
                  </w:tcBorders>
                  <w:shd w:val="clear" w:color="auto" w:fill="auto"/>
                  <w:tcMar>
                    <w:left w:w="0" w:type="dxa"/>
                    <w:right w:w="0" w:type="dxa"/>
                  </w:tcMar>
                  <w:vAlign w:val="center"/>
                  <w:hideMark/>
                </w:tcPr>
                <w:p w14:paraId="7954C077" w14:textId="77777777" w:rsidR="00F05DC7" w:rsidRPr="00EA6D1C" w:rsidRDefault="00F05DC7" w:rsidP="00A3786D">
                  <w:pPr>
                    <w:pStyle w:val="TableColumnHeading"/>
                    <w:ind w:right="57"/>
                    <w:rPr>
                      <w:rFonts w:asciiTheme="minorHAnsi" w:hAnsiTheme="minorHAnsi" w:cstheme="minorHAnsi"/>
                      <w:szCs w:val="18"/>
                    </w:rPr>
                  </w:pPr>
                  <w:r w:rsidRPr="00EA6D1C">
                    <w:rPr>
                      <w:rFonts w:asciiTheme="minorHAnsi" w:hAnsiTheme="minorHAnsi" w:cstheme="minorHAnsi"/>
                      <w:szCs w:val="18"/>
                    </w:rPr>
                    <w:t>NT</w:t>
                  </w:r>
                </w:p>
              </w:tc>
            </w:tr>
            <w:tr w:rsidR="00F05DC7" w14:paraId="7954C082" w14:textId="77777777" w:rsidTr="00081880">
              <w:trPr>
                <w:trHeight w:val="288"/>
              </w:trPr>
              <w:tc>
                <w:tcPr>
                  <w:tcW w:w="1932" w:type="pct"/>
                  <w:tcBorders>
                    <w:top w:val="single" w:sz="6" w:space="0" w:color="BFBFBF"/>
                    <w:left w:val="nil"/>
                    <w:right w:val="nil"/>
                  </w:tcBorders>
                  <w:shd w:val="clear" w:color="auto" w:fill="auto"/>
                  <w:tcMar>
                    <w:left w:w="0" w:type="dxa"/>
                    <w:right w:w="0" w:type="dxa"/>
                  </w:tcMar>
                  <w:vAlign w:val="center"/>
                  <w:hideMark/>
                </w:tcPr>
                <w:p w14:paraId="7954C079" w14:textId="77777777" w:rsidR="00F05DC7" w:rsidRDefault="00F05DC7" w:rsidP="004F6C34">
                  <w:pPr>
                    <w:pStyle w:val="TableBodyText"/>
                    <w:spacing w:before="80"/>
                    <w:jc w:val="left"/>
                  </w:pPr>
                  <w:r w:rsidRPr="00870C41">
                    <w:t>Baseline: GST annual relativity</w:t>
                  </w:r>
                </w:p>
              </w:tc>
              <w:tc>
                <w:tcPr>
                  <w:tcW w:w="383" w:type="pct"/>
                  <w:tcBorders>
                    <w:top w:val="single" w:sz="6" w:space="0" w:color="BFBFBF"/>
                    <w:left w:val="nil"/>
                    <w:right w:val="nil"/>
                  </w:tcBorders>
                  <w:shd w:val="clear" w:color="auto" w:fill="auto"/>
                  <w:tcMar>
                    <w:left w:w="0" w:type="dxa"/>
                    <w:right w:w="0" w:type="dxa"/>
                  </w:tcMar>
                  <w:vAlign w:val="bottom"/>
                  <w:hideMark/>
                </w:tcPr>
                <w:p w14:paraId="7954C07A" w14:textId="77777777" w:rsidR="00F05DC7" w:rsidRDefault="00F05DC7" w:rsidP="004F6C34">
                  <w:pPr>
                    <w:pStyle w:val="TableBodyText"/>
                    <w:spacing w:before="80"/>
                    <w:ind w:right="57"/>
                  </w:pPr>
                  <w:r w:rsidRPr="00C65445">
                    <w:rPr>
                      <w:rFonts w:cs="Arial"/>
                      <w:bCs/>
                      <w:color w:val="000000" w:themeColor="text1"/>
                      <w:szCs w:val="18"/>
                    </w:rPr>
                    <w:t>0.84</w:t>
                  </w:r>
                </w:p>
              </w:tc>
              <w:tc>
                <w:tcPr>
                  <w:tcW w:w="383" w:type="pct"/>
                  <w:tcBorders>
                    <w:top w:val="single" w:sz="6" w:space="0" w:color="BFBFBF"/>
                    <w:left w:val="nil"/>
                    <w:right w:val="nil"/>
                  </w:tcBorders>
                  <w:shd w:val="clear" w:color="auto" w:fill="auto"/>
                  <w:tcMar>
                    <w:left w:w="0" w:type="dxa"/>
                    <w:right w:w="0" w:type="dxa"/>
                  </w:tcMar>
                  <w:vAlign w:val="bottom"/>
                  <w:hideMark/>
                </w:tcPr>
                <w:p w14:paraId="7954C07B" w14:textId="77777777" w:rsidR="00F05DC7" w:rsidRDefault="00F05DC7" w:rsidP="004F6C34">
                  <w:pPr>
                    <w:pStyle w:val="TableBodyText"/>
                    <w:spacing w:before="80"/>
                    <w:ind w:right="57"/>
                  </w:pPr>
                  <w:r w:rsidRPr="00C65445">
                    <w:rPr>
                      <w:rFonts w:cs="Arial"/>
                      <w:bCs/>
                      <w:color w:val="000000" w:themeColor="text1"/>
                      <w:szCs w:val="18"/>
                    </w:rPr>
                    <w:t>1.01</w:t>
                  </w:r>
                </w:p>
              </w:tc>
              <w:tc>
                <w:tcPr>
                  <w:tcW w:w="384" w:type="pct"/>
                  <w:tcBorders>
                    <w:top w:val="single" w:sz="6" w:space="0" w:color="BFBFBF"/>
                    <w:left w:val="nil"/>
                    <w:right w:val="nil"/>
                  </w:tcBorders>
                  <w:shd w:val="clear" w:color="auto" w:fill="auto"/>
                  <w:tcMar>
                    <w:left w:w="0" w:type="dxa"/>
                    <w:right w:w="0" w:type="dxa"/>
                  </w:tcMar>
                  <w:vAlign w:val="bottom"/>
                  <w:hideMark/>
                </w:tcPr>
                <w:p w14:paraId="7954C07C" w14:textId="77777777" w:rsidR="00F05DC7" w:rsidRDefault="00F05DC7" w:rsidP="004F6C34">
                  <w:pPr>
                    <w:pStyle w:val="TableBodyText"/>
                    <w:spacing w:before="80"/>
                    <w:ind w:right="57"/>
                  </w:pPr>
                  <w:r w:rsidRPr="00C65445">
                    <w:rPr>
                      <w:rFonts w:cs="Arial"/>
                      <w:bCs/>
                      <w:color w:val="000000" w:themeColor="text1"/>
                      <w:szCs w:val="18"/>
                    </w:rPr>
                    <w:t>1.03</w:t>
                  </w:r>
                </w:p>
              </w:tc>
              <w:tc>
                <w:tcPr>
                  <w:tcW w:w="383" w:type="pct"/>
                  <w:tcBorders>
                    <w:top w:val="single" w:sz="6" w:space="0" w:color="BFBFBF"/>
                    <w:left w:val="nil"/>
                    <w:right w:val="nil"/>
                  </w:tcBorders>
                  <w:shd w:val="clear" w:color="auto" w:fill="auto"/>
                  <w:tcMar>
                    <w:left w:w="0" w:type="dxa"/>
                    <w:right w:w="0" w:type="dxa"/>
                  </w:tcMar>
                  <w:vAlign w:val="bottom"/>
                  <w:hideMark/>
                </w:tcPr>
                <w:p w14:paraId="7954C07D" w14:textId="77777777" w:rsidR="00F05DC7" w:rsidRDefault="00F05DC7" w:rsidP="004F6C34">
                  <w:pPr>
                    <w:pStyle w:val="TableBodyText"/>
                    <w:spacing w:before="80"/>
                    <w:ind w:right="57"/>
                  </w:pPr>
                  <w:r w:rsidRPr="00C65445">
                    <w:rPr>
                      <w:rFonts w:cs="Arial"/>
                      <w:bCs/>
                      <w:color w:val="000000" w:themeColor="text1"/>
                      <w:szCs w:val="18"/>
                    </w:rPr>
                    <w:t>0.57</w:t>
                  </w:r>
                </w:p>
              </w:tc>
              <w:tc>
                <w:tcPr>
                  <w:tcW w:w="383" w:type="pct"/>
                  <w:tcBorders>
                    <w:top w:val="single" w:sz="6" w:space="0" w:color="BFBFBF"/>
                    <w:left w:val="nil"/>
                    <w:right w:val="nil"/>
                  </w:tcBorders>
                  <w:shd w:val="clear" w:color="auto" w:fill="auto"/>
                  <w:tcMar>
                    <w:left w:w="0" w:type="dxa"/>
                    <w:right w:w="0" w:type="dxa"/>
                  </w:tcMar>
                  <w:vAlign w:val="bottom"/>
                  <w:hideMark/>
                </w:tcPr>
                <w:p w14:paraId="7954C07E" w14:textId="77777777" w:rsidR="00F05DC7" w:rsidRDefault="00F05DC7" w:rsidP="004F6C34">
                  <w:pPr>
                    <w:pStyle w:val="TableBodyText"/>
                    <w:spacing w:before="80"/>
                    <w:ind w:right="57"/>
                  </w:pPr>
                  <w:r w:rsidRPr="00C65445">
                    <w:rPr>
                      <w:rFonts w:cs="Arial"/>
                      <w:bCs/>
                      <w:color w:val="000000" w:themeColor="text1"/>
                      <w:szCs w:val="18"/>
                    </w:rPr>
                    <w:t>1.53</w:t>
                  </w:r>
                </w:p>
              </w:tc>
              <w:tc>
                <w:tcPr>
                  <w:tcW w:w="384" w:type="pct"/>
                  <w:tcBorders>
                    <w:top w:val="single" w:sz="6" w:space="0" w:color="BFBFBF"/>
                    <w:left w:val="nil"/>
                    <w:right w:val="nil"/>
                  </w:tcBorders>
                  <w:shd w:val="clear" w:color="auto" w:fill="auto"/>
                  <w:tcMar>
                    <w:left w:w="0" w:type="dxa"/>
                    <w:right w:w="0" w:type="dxa"/>
                  </w:tcMar>
                  <w:vAlign w:val="bottom"/>
                  <w:hideMark/>
                </w:tcPr>
                <w:p w14:paraId="7954C07F" w14:textId="77777777" w:rsidR="00F05DC7" w:rsidRDefault="00F05DC7" w:rsidP="004F6C34">
                  <w:pPr>
                    <w:pStyle w:val="TableBodyText"/>
                    <w:spacing w:before="80"/>
                    <w:ind w:right="57"/>
                  </w:pPr>
                  <w:r w:rsidRPr="00C65445">
                    <w:rPr>
                      <w:rFonts w:cs="Arial"/>
                      <w:bCs/>
                      <w:color w:val="000000" w:themeColor="text1"/>
                      <w:szCs w:val="18"/>
                    </w:rPr>
                    <w:t>1.72</w:t>
                  </w:r>
                </w:p>
              </w:tc>
              <w:tc>
                <w:tcPr>
                  <w:tcW w:w="383" w:type="pct"/>
                  <w:tcBorders>
                    <w:top w:val="single" w:sz="6" w:space="0" w:color="BFBFBF"/>
                    <w:left w:val="nil"/>
                    <w:right w:val="nil"/>
                  </w:tcBorders>
                  <w:shd w:val="clear" w:color="auto" w:fill="auto"/>
                  <w:tcMar>
                    <w:left w:w="0" w:type="dxa"/>
                    <w:right w:w="0" w:type="dxa"/>
                  </w:tcMar>
                  <w:vAlign w:val="bottom"/>
                  <w:hideMark/>
                </w:tcPr>
                <w:p w14:paraId="7954C080" w14:textId="77777777" w:rsidR="00F05DC7" w:rsidRDefault="00F05DC7" w:rsidP="004F6C34">
                  <w:pPr>
                    <w:pStyle w:val="TableBodyText"/>
                    <w:spacing w:before="80"/>
                    <w:ind w:right="57"/>
                  </w:pPr>
                  <w:r w:rsidRPr="00C65445">
                    <w:rPr>
                      <w:rFonts w:cs="Arial"/>
                      <w:bCs/>
                      <w:color w:val="000000" w:themeColor="text1"/>
                      <w:szCs w:val="18"/>
                    </w:rPr>
                    <w:t>1.21</w:t>
                  </w:r>
                </w:p>
              </w:tc>
              <w:tc>
                <w:tcPr>
                  <w:tcW w:w="384" w:type="pct"/>
                  <w:tcBorders>
                    <w:top w:val="single" w:sz="6" w:space="0" w:color="BFBFBF"/>
                    <w:left w:val="nil"/>
                    <w:right w:val="nil"/>
                  </w:tcBorders>
                  <w:shd w:val="clear" w:color="auto" w:fill="auto"/>
                  <w:tcMar>
                    <w:left w:w="0" w:type="dxa"/>
                    <w:right w:w="0" w:type="dxa"/>
                  </w:tcMar>
                  <w:vAlign w:val="bottom"/>
                  <w:hideMark/>
                </w:tcPr>
                <w:p w14:paraId="7954C081" w14:textId="77777777" w:rsidR="00F05DC7" w:rsidRDefault="00F05DC7" w:rsidP="004F6C34">
                  <w:pPr>
                    <w:pStyle w:val="TableBodyText"/>
                    <w:spacing w:before="80"/>
                    <w:ind w:right="57"/>
                  </w:pPr>
                  <w:r w:rsidRPr="00C65445">
                    <w:rPr>
                      <w:rFonts w:cs="Arial"/>
                      <w:bCs/>
                      <w:color w:val="000000" w:themeColor="text1"/>
                      <w:szCs w:val="18"/>
                    </w:rPr>
                    <w:t>4.19</w:t>
                  </w:r>
                </w:p>
              </w:tc>
            </w:tr>
            <w:tr w:rsidR="00F05DC7" w14:paraId="7954C08C" w14:textId="77777777" w:rsidTr="00A3786D">
              <w:trPr>
                <w:trHeight w:val="288"/>
              </w:trPr>
              <w:tc>
                <w:tcPr>
                  <w:tcW w:w="1932" w:type="pct"/>
                  <w:tcBorders>
                    <w:left w:val="nil"/>
                    <w:bottom w:val="nil"/>
                    <w:right w:val="nil"/>
                  </w:tcBorders>
                  <w:shd w:val="clear" w:color="auto" w:fill="auto"/>
                  <w:tcMar>
                    <w:left w:w="0" w:type="dxa"/>
                    <w:right w:w="0" w:type="dxa"/>
                  </w:tcMar>
                  <w:vAlign w:val="center"/>
                  <w:hideMark/>
                </w:tcPr>
                <w:p w14:paraId="7954C083" w14:textId="77777777" w:rsidR="00F05DC7" w:rsidRDefault="00F05DC7" w:rsidP="00A3786D">
                  <w:pPr>
                    <w:pStyle w:val="TableBodyText"/>
                    <w:jc w:val="left"/>
                  </w:pPr>
                  <w:r w:rsidRPr="00870C41">
                    <w:t xml:space="preserve">Change in GST payments </w:t>
                  </w:r>
                  <w:r>
                    <w:t>($m)</w:t>
                  </w:r>
                </w:p>
              </w:tc>
              <w:tc>
                <w:tcPr>
                  <w:tcW w:w="383" w:type="pct"/>
                  <w:tcBorders>
                    <w:top w:val="nil"/>
                    <w:left w:val="nil"/>
                    <w:bottom w:val="nil"/>
                    <w:right w:val="nil"/>
                  </w:tcBorders>
                  <w:shd w:val="clear" w:color="auto" w:fill="auto"/>
                  <w:tcMar>
                    <w:left w:w="0" w:type="dxa"/>
                    <w:right w:w="0" w:type="dxa"/>
                  </w:tcMar>
                  <w:vAlign w:val="bottom"/>
                  <w:hideMark/>
                </w:tcPr>
                <w:p w14:paraId="7954C084" w14:textId="77777777" w:rsidR="00F05DC7" w:rsidRPr="00AE067B" w:rsidRDefault="00F05DC7" w:rsidP="00A3786D">
                  <w:pPr>
                    <w:pStyle w:val="TableBodyText"/>
                    <w:ind w:right="57"/>
                    <w:rPr>
                      <w:rFonts w:cs="Arial"/>
                      <w:szCs w:val="18"/>
                    </w:rPr>
                  </w:pPr>
                  <w:r w:rsidRPr="00AE067B">
                    <w:rPr>
                      <w:rFonts w:cs="Arial"/>
                      <w:color w:val="000000"/>
                      <w:szCs w:val="18"/>
                    </w:rPr>
                    <w:t>227</w:t>
                  </w:r>
                </w:p>
              </w:tc>
              <w:tc>
                <w:tcPr>
                  <w:tcW w:w="383" w:type="pct"/>
                  <w:tcBorders>
                    <w:top w:val="nil"/>
                    <w:left w:val="nil"/>
                    <w:bottom w:val="nil"/>
                    <w:right w:val="nil"/>
                  </w:tcBorders>
                  <w:shd w:val="clear" w:color="auto" w:fill="auto"/>
                  <w:tcMar>
                    <w:left w:w="0" w:type="dxa"/>
                    <w:right w:w="0" w:type="dxa"/>
                  </w:tcMar>
                  <w:vAlign w:val="bottom"/>
                  <w:hideMark/>
                </w:tcPr>
                <w:p w14:paraId="7954C085" w14:textId="77777777" w:rsidR="00F05DC7" w:rsidRPr="00AE067B" w:rsidRDefault="00F05DC7" w:rsidP="00A3786D">
                  <w:pPr>
                    <w:pStyle w:val="TableBodyText"/>
                    <w:ind w:right="57"/>
                    <w:rPr>
                      <w:rFonts w:cs="Arial"/>
                      <w:szCs w:val="18"/>
                    </w:rPr>
                  </w:pPr>
                  <w:r w:rsidRPr="00AE067B">
                    <w:rPr>
                      <w:rFonts w:cs="Arial"/>
                      <w:color w:val="000000"/>
                      <w:szCs w:val="18"/>
                    </w:rPr>
                    <w:t>76</w:t>
                  </w:r>
                </w:p>
              </w:tc>
              <w:tc>
                <w:tcPr>
                  <w:tcW w:w="384" w:type="pct"/>
                  <w:tcBorders>
                    <w:top w:val="nil"/>
                    <w:left w:val="nil"/>
                    <w:bottom w:val="nil"/>
                    <w:right w:val="nil"/>
                  </w:tcBorders>
                  <w:shd w:val="clear" w:color="auto" w:fill="auto"/>
                  <w:tcMar>
                    <w:left w:w="0" w:type="dxa"/>
                    <w:right w:w="0" w:type="dxa"/>
                  </w:tcMar>
                  <w:vAlign w:val="bottom"/>
                  <w:hideMark/>
                </w:tcPr>
                <w:p w14:paraId="7954C086" w14:textId="77777777" w:rsidR="00F05DC7" w:rsidRPr="00AE067B" w:rsidRDefault="00F05DC7" w:rsidP="00A3786D">
                  <w:pPr>
                    <w:pStyle w:val="TableBodyText"/>
                    <w:ind w:right="57"/>
                    <w:rPr>
                      <w:rFonts w:cs="Arial"/>
                      <w:szCs w:val="18"/>
                    </w:rPr>
                  </w:pPr>
                  <w:r w:rsidRPr="00AE067B">
                    <w:rPr>
                      <w:rFonts w:cs="Arial"/>
                      <w:color w:val="000000"/>
                      <w:szCs w:val="18"/>
                    </w:rPr>
                    <w:t>-8</w:t>
                  </w:r>
                </w:p>
              </w:tc>
              <w:tc>
                <w:tcPr>
                  <w:tcW w:w="383" w:type="pct"/>
                  <w:tcBorders>
                    <w:top w:val="nil"/>
                    <w:left w:val="nil"/>
                    <w:bottom w:val="nil"/>
                    <w:right w:val="nil"/>
                  </w:tcBorders>
                  <w:shd w:val="clear" w:color="auto" w:fill="auto"/>
                  <w:tcMar>
                    <w:left w:w="0" w:type="dxa"/>
                    <w:right w:w="0" w:type="dxa"/>
                  </w:tcMar>
                  <w:vAlign w:val="bottom"/>
                  <w:hideMark/>
                </w:tcPr>
                <w:p w14:paraId="7954C087" w14:textId="77777777" w:rsidR="00F05DC7" w:rsidRPr="00AE067B" w:rsidRDefault="00F05DC7" w:rsidP="00A3786D">
                  <w:pPr>
                    <w:pStyle w:val="TableBodyText"/>
                    <w:ind w:right="57"/>
                    <w:rPr>
                      <w:rFonts w:cs="Arial"/>
                      <w:szCs w:val="18"/>
                    </w:rPr>
                  </w:pPr>
                  <w:r w:rsidRPr="00AE067B">
                    <w:rPr>
                      <w:rFonts w:cs="Arial"/>
                      <w:color w:val="000000"/>
                      <w:szCs w:val="18"/>
                    </w:rPr>
                    <w:t>-91</w:t>
                  </w:r>
                </w:p>
              </w:tc>
              <w:tc>
                <w:tcPr>
                  <w:tcW w:w="383" w:type="pct"/>
                  <w:tcBorders>
                    <w:top w:val="nil"/>
                    <w:left w:val="nil"/>
                    <w:bottom w:val="nil"/>
                    <w:right w:val="nil"/>
                  </w:tcBorders>
                  <w:shd w:val="clear" w:color="auto" w:fill="auto"/>
                  <w:tcMar>
                    <w:left w:w="0" w:type="dxa"/>
                    <w:right w:w="0" w:type="dxa"/>
                  </w:tcMar>
                  <w:vAlign w:val="bottom"/>
                  <w:hideMark/>
                </w:tcPr>
                <w:p w14:paraId="7954C088" w14:textId="77777777" w:rsidR="00F05DC7" w:rsidRPr="00AE067B" w:rsidRDefault="00F05DC7" w:rsidP="00A3786D">
                  <w:pPr>
                    <w:pStyle w:val="TableBodyText"/>
                    <w:ind w:right="57"/>
                    <w:rPr>
                      <w:rFonts w:cs="Arial"/>
                      <w:szCs w:val="18"/>
                    </w:rPr>
                  </w:pPr>
                  <w:r w:rsidRPr="00AE067B">
                    <w:rPr>
                      <w:rFonts w:cs="Arial"/>
                      <w:color w:val="000000"/>
                      <w:szCs w:val="18"/>
                    </w:rPr>
                    <w:t>-62</w:t>
                  </w:r>
                </w:p>
              </w:tc>
              <w:tc>
                <w:tcPr>
                  <w:tcW w:w="384" w:type="pct"/>
                  <w:tcBorders>
                    <w:top w:val="nil"/>
                    <w:left w:val="nil"/>
                    <w:bottom w:val="nil"/>
                    <w:right w:val="nil"/>
                  </w:tcBorders>
                  <w:shd w:val="clear" w:color="auto" w:fill="auto"/>
                  <w:tcMar>
                    <w:left w:w="0" w:type="dxa"/>
                    <w:right w:w="0" w:type="dxa"/>
                  </w:tcMar>
                  <w:vAlign w:val="bottom"/>
                  <w:hideMark/>
                </w:tcPr>
                <w:p w14:paraId="7954C089" w14:textId="77777777" w:rsidR="00F05DC7" w:rsidRPr="00AE067B" w:rsidRDefault="00F05DC7" w:rsidP="00A3786D">
                  <w:pPr>
                    <w:pStyle w:val="TableBodyText"/>
                    <w:ind w:right="57"/>
                    <w:rPr>
                      <w:rFonts w:cs="Arial"/>
                      <w:szCs w:val="18"/>
                    </w:rPr>
                  </w:pPr>
                  <w:r w:rsidRPr="00AE067B">
                    <w:rPr>
                      <w:rFonts w:cs="Arial"/>
                      <w:color w:val="000000"/>
                      <w:szCs w:val="18"/>
                    </w:rPr>
                    <w:t>-43</w:t>
                  </w:r>
                </w:p>
              </w:tc>
              <w:tc>
                <w:tcPr>
                  <w:tcW w:w="383" w:type="pct"/>
                  <w:tcBorders>
                    <w:top w:val="nil"/>
                    <w:left w:val="nil"/>
                    <w:bottom w:val="nil"/>
                    <w:right w:val="nil"/>
                  </w:tcBorders>
                  <w:shd w:val="clear" w:color="auto" w:fill="auto"/>
                  <w:tcMar>
                    <w:left w:w="0" w:type="dxa"/>
                    <w:right w:w="0" w:type="dxa"/>
                  </w:tcMar>
                  <w:vAlign w:val="bottom"/>
                  <w:hideMark/>
                </w:tcPr>
                <w:p w14:paraId="7954C08A" w14:textId="77777777" w:rsidR="00F05DC7" w:rsidRPr="00AE067B" w:rsidRDefault="00F05DC7" w:rsidP="00A3786D">
                  <w:pPr>
                    <w:pStyle w:val="TableBodyText"/>
                    <w:ind w:right="57"/>
                    <w:rPr>
                      <w:rFonts w:cs="Arial"/>
                      <w:szCs w:val="18"/>
                    </w:rPr>
                  </w:pPr>
                  <w:r w:rsidRPr="00AE067B">
                    <w:rPr>
                      <w:rFonts w:cs="Arial"/>
                      <w:color w:val="000000"/>
                      <w:szCs w:val="18"/>
                    </w:rPr>
                    <w:t>-70</w:t>
                  </w:r>
                </w:p>
              </w:tc>
              <w:tc>
                <w:tcPr>
                  <w:tcW w:w="384" w:type="pct"/>
                  <w:tcBorders>
                    <w:top w:val="nil"/>
                    <w:left w:val="nil"/>
                    <w:bottom w:val="nil"/>
                    <w:right w:val="nil"/>
                  </w:tcBorders>
                  <w:shd w:val="clear" w:color="auto" w:fill="auto"/>
                  <w:tcMar>
                    <w:left w:w="0" w:type="dxa"/>
                    <w:right w:w="0" w:type="dxa"/>
                  </w:tcMar>
                  <w:vAlign w:val="bottom"/>
                  <w:hideMark/>
                </w:tcPr>
                <w:p w14:paraId="7954C08B" w14:textId="77777777" w:rsidR="00F05DC7" w:rsidRPr="00AE067B" w:rsidRDefault="00F05DC7" w:rsidP="00A3786D">
                  <w:pPr>
                    <w:pStyle w:val="TableBodyText"/>
                    <w:ind w:right="57"/>
                    <w:rPr>
                      <w:rFonts w:cs="Arial"/>
                      <w:szCs w:val="18"/>
                    </w:rPr>
                  </w:pPr>
                  <w:r w:rsidRPr="00AE067B">
                    <w:rPr>
                      <w:rFonts w:cs="Arial"/>
                      <w:color w:val="000000"/>
                      <w:szCs w:val="18"/>
                    </w:rPr>
                    <w:t>-28</w:t>
                  </w:r>
                </w:p>
              </w:tc>
            </w:tr>
            <w:tr w:rsidR="00F05DC7" w14:paraId="7954C096" w14:textId="77777777" w:rsidTr="00A3786D">
              <w:trPr>
                <w:trHeight w:val="300"/>
              </w:trPr>
              <w:tc>
                <w:tcPr>
                  <w:tcW w:w="1932" w:type="pct"/>
                  <w:tcBorders>
                    <w:top w:val="nil"/>
                    <w:left w:val="nil"/>
                    <w:right w:val="nil"/>
                  </w:tcBorders>
                  <w:shd w:val="clear" w:color="auto" w:fill="auto"/>
                  <w:tcMar>
                    <w:left w:w="0" w:type="dxa"/>
                    <w:right w:w="0" w:type="dxa"/>
                  </w:tcMar>
                  <w:vAlign w:val="center"/>
                  <w:hideMark/>
                </w:tcPr>
                <w:p w14:paraId="7954C08D" w14:textId="77777777" w:rsidR="00F05DC7" w:rsidRDefault="00F05DC7" w:rsidP="00A3786D">
                  <w:pPr>
                    <w:pStyle w:val="TableBodyText"/>
                    <w:jc w:val="left"/>
                  </w:pPr>
                  <w:r w:rsidRPr="00870C41">
                    <w:t xml:space="preserve">Change in GST payments </w:t>
                  </w:r>
                  <w:r w:rsidRPr="00775B18">
                    <w:t>(</w:t>
                  </w:r>
                  <w:r>
                    <w:t>$pc</w:t>
                  </w:r>
                  <w:r w:rsidRPr="00775B18">
                    <w:t>)</w:t>
                  </w:r>
                </w:p>
              </w:tc>
              <w:tc>
                <w:tcPr>
                  <w:tcW w:w="383" w:type="pct"/>
                  <w:tcBorders>
                    <w:top w:val="nil"/>
                    <w:left w:val="nil"/>
                    <w:right w:val="nil"/>
                  </w:tcBorders>
                  <w:shd w:val="clear" w:color="auto" w:fill="auto"/>
                  <w:tcMar>
                    <w:left w:w="0" w:type="dxa"/>
                    <w:right w:w="0" w:type="dxa"/>
                  </w:tcMar>
                  <w:vAlign w:val="bottom"/>
                  <w:hideMark/>
                </w:tcPr>
                <w:p w14:paraId="7954C08E" w14:textId="77777777" w:rsidR="00F05DC7" w:rsidRPr="005A485D" w:rsidRDefault="00F05DC7" w:rsidP="00A3786D">
                  <w:pPr>
                    <w:pStyle w:val="TableBodyText"/>
                    <w:ind w:right="57"/>
                    <w:rPr>
                      <w:rFonts w:asciiTheme="minorHAnsi" w:hAnsiTheme="minorHAnsi" w:cstheme="minorHAnsi"/>
                      <w:szCs w:val="18"/>
                    </w:rPr>
                  </w:pPr>
                  <w:r w:rsidRPr="005A485D">
                    <w:rPr>
                      <w:rFonts w:asciiTheme="minorHAnsi" w:hAnsiTheme="minorHAnsi" w:cstheme="minorHAnsi"/>
                      <w:color w:val="000000"/>
                      <w:szCs w:val="18"/>
                    </w:rPr>
                    <w:t>29</w:t>
                  </w:r>
                </w:p>
              </w:tc>
              <w:tc>
                <w:tcPr>
                  <w:tcW w:w="383" w:type="pct"/>
                  <w:tcBorders>
                    <w:top w:val="nil"/>
                    <w:left w:val="nil"/>
                    <w:right w:val="nil"/>
                  </w:tcBorders>
                  <w:shd w:val="clear" w:color="auto" w:fill="auto"/>
                  <w:tcMar>
                    <w:left w:w="0" w:type="dxa"/>
                    <w:right w:w="0" w:type="dxa"/>
                  </w:tcMar>
                  <w:vAlign w:val="bottom"/>
                  <w:hideMark/>
                </w:tcPr>
                <w:p w14:paraId="7954C08F" w14:textId="77777777" w:rsidR="00F05DC7" w:rsidRPr="005A485D" w:rsidRDefault="00F05DC7" w:rsidP="00A3786D">
                  <w:pPr>
                    <w:pStyle w:val="TableBodyText"/>
                    <w:ind w:right="57"/>
                    <w:rPr>
                      <w:rFonts w:asciiTheme="minorHAnsi" w:hAnsiTheme="minorHAnsi" w:cstheme="minorHAnsi"/>
                      <w:szCs w:val="18"/>
                    </w:rPr>
                  </w:pPr>
                  <w:r w:rsidRPr="005A485D">
                    <w:rPr>
                      <w:rFonts w:asciiTheme="minorHAnsi" w:hAnsiTheme="minorHAnsi" w:cstheme="minorHAnsi"/>
                      <w:color w:val="000000"/>
                      <w:szCs w:val="18"/>
                    </w:rPr>
                    <w:t>12</w:t>
                  </w:r>
                </w:p>
              </w:tc>
              <w:tc>
                <w:tcPr>
                  <w:tcW w:w="384" w:type="pct"/>
                  <w:tcBorders>
                    <w:top w:val="nil"/>
                    <w:left w:val="nil"/>
                    <w:right w:val="nil"/>
                  </w:tcBorders>
                  <w:shd w:val="clear" w:color="auto" w:fill="auto"/>
                  <w:tcMar>
                    <w:left w:w="0" w:type="dxa"/>
                    <w:right w:w="0" w:type="dxa"/>
                  </w:tcMar>
                  <w:vAlign w:val="bottom"/>
                  <w:hideMark/>
                </w:tcPr>
                <w:p w14:paraId="7954C090" w14:textId="77777777" w:rsidR="00F05DC7" w:rsidRPr="005A485D" w:rsidRDefault="00F05DC7" w:rsidP="00A3786D">
                  <w:pPr>
                    <w:pStyle w:val="TableBodyText"/>
                    <w:ind w:right="57"/>
                    <w:rPr>
                      <w:rFonts w:asciiTheme="minorHAnsi" w:hAnsiTheme="minorHAnsi" w:cstheme="minorHAnsi"/>
                      <w:szCs w:val="18"/>
                    </w:rPr>
                  </w:pPr>
                  <w:r w:rsidRPr="005A485D">
                    <w:rPr>
                      <w:rFonts w:asciiTheme="minorHAnsi" w:hAnsiTheme="minorHAnsi" w:cstheme="minorHAnsi"/>
                      <w:color w:val="000000"/>
                      <w:szCs w:val="18"/>
                    </w:rPr>
                    <w:t>-2</w:t>
                  </w:r>
                </w:p>
              </w:tc>
              <w:tc>
                <w:tcPr>
                  <w:tcW w:w="383" w:type="pct"/>
                  <w:tcBorders>
                    <w:top w:val="nil"/>
                    <w:left w:val="nil"/>
                    <w:right w:val="nil"/>
                  </w:tcBorders>
                  <w:shd w:val="clear" w:color="auto" w:fill="auto"/>
                  <w:tcMar>
                    <w:left w:w="0" w:type="dxa"/>
                    <w:right w:w="0" w:type="dxa"/>
                  </w:tcMar>
                  <w:vAlign w:val="bottom"/>
                  <w:hideMark/>
                </w:tcPr>
                <w:p w14:paraId="7954C091" w14:textId="77777777" w:rsidR="00F05DC7" w:rsidRPr="005A485D" w:rsidRDefault="00F05DC7" w:rsidP="00A3786D">
                  <w:pPr>
                    <w:pStyle w:val="TableBodyText"/>
                    <w:ind w:right="57"/>
                    <w:rPr>
                      <w:rFonts w:asciiTheme="minorHAnsi" w:hAnsiTheme="minorHAnsi" w:cstheme="minorHAnsi"/>
                      <w:szCs w:val="18"/>
                    </w:rPr>
                  </w:pPr>
                  <w:r w:rsidRPr="005A485D">
                    <w:rPr>
                      <w:rFonts w:asciiTheme="minorHAnsi" w:hAnsiTheme="minorHAnsi" w:cstheme="minorHAnsi"/>
                      <w:color w:val="000000"/>
                      <w:szCs w:val="18"/>
                    </w:rPr>
                    <w:t>-35</w:t>
                  </w:r>
                </w:p>
              </w:tc>
              <w:tc>
                <w:tcPr>
                  <w:tcW w:w="383" w:type="pct"/>
                  <w:tcBorders>
                    <w:top w:val="nil"/>
                    <w:left w:val="nil"/>
                    <w:right w:val="nil"/>
                  </w:tcBorders>
                  <w:shd w:val="clear" w:color="auto" w:fill="auto"/>
                  <w:tcMar>
                    <w:left w:w="0" w:type="dxa"/>
                    <w:right w:w="0" w:type="dxa"/>
                  </w:tcMar>
                  <w:vAlign w:val="bottom"/>
                  <w:hideMark/>
                </w:tcPr>
                <w:p w14:paraId="7954C092" w14:textId="77777777" w:rsidR="00F05DC7" w:rsidRPr="005A485D" w:rsidRDefault="00F05DC7" w:rsidP="00A3786D">
                  <w:pPr>
                    <w:pStyle w:val="TableBodyText"/>
                    <w:ind w:right="57"/>
                    <w:rPr>
                      <w:rFonts w:asciiTheme="minorHAnsi" w:hAnsiTheme="minorHAnsi" w:cstheme="minorHAnsi"/>
                      <w:szCs w:val="18"/>
                    </w:rPr>
                  </w:pPr>
                  <w:r w:rsidRPr="005A485D">
                    <w:rPr>
                      <w:rFonts w:asciiTheme="minorHAnsi" w:hAnsiTheme="minorHAnsi" w:cstheme="minorHAnsi"/>
                      <w:color w:val="000000"/>
                      <w:szCs w:val="18"/>
                    </w:rPr>
                    <w:t>-36</w:t>
                  </w:r>
                </w:p>
              </w:tc>
              <w:tc>
                <w:tcPr>
                  <w:tcW w:w="384" w:type="pct"/>
                  <w:tcBorders>
                    <w:top w:val="nil"/>
                    <w:left w:val="nil"/>
                    <w:right w:val="nil"/>
                  </w:tcBorders>
                  <w:shd w:val="clear" w:color="auto" w:fill="auto"/>
                  <w:tcMar>
                    <w:left w:w="0" w:type="dxa"/>
                    <w:right w:w="0" w:type="dxa"/>
                  </w:tcMar>
                  <w:vAlign w:val="bottom"/>
                  <w:hideMark/>
                </w:tcPr>
                <w:p w14:paraId="7954C093" w14:textId="77777777" w:rsidR="00F05DC7" w:rsidRPr="005A485D" w:rsidRDefault="00F05DC7" w:rsidP="00A3786D">
                  <w:pPr>
                    <w:pStyle w:val="TableBodyText"/>
                    <w:ind w:right="57"/>
                    <w:rPr>
                      <w:rFonts w:asciiTheme="minorHAnsi" w:hAnsiTheme="minorHAnsi" w:cstheme="minorHAnsi"/>
                      <w:szCs w:val="18"/>
                    </w:rPr>
                  </w:pPr>
                  <w:r w:rsidRPr="005A485D">
                    <w:rPr>
                      <w:rFonts w:asciiTheme="minorHAnsi" w:hAnsiTheme="minorHAnsi" w:cstheme="minorHAnsi"/>
                      <w:color w:val="000000"/>
                      <w:szCs w:val="18"/>
                    </w:rPr>
                    <w:t>-83</w:t>
                  </w:r>
                </w:p>
              </w:tc>
              <w:tc>
                <w:tcPr>
                  <w:tcW w:w="383" w:type="pct"/>
                  <w:tcBorders>
                    <w:top w:val="nil"/>
                    <w:left w:val="nil"/>
                    <w:right w:val="nil"/>
                  </w:tcBorders>
                  <w:shd w:val="clear" w:color="auto" w:fill="auto"/>
                  <w:tcMar>
                    <w:left w:w="0" w:type="dxa"/>
                    <w:right w:w="0" w:type="dxa"/>
                  </w:tcMar>
                  <w:vAlign w:val="bottom"/>
                  <w:hideMark/>
                </w:tcPr>
                <w:p w14:paraId="7954C094" w14:textId="77777777" w:rsidR="00F05DC7" w:rsidRPr="005A485D" w:rsidRDefault="00F05DC7" w:rsidP="00A3786D">
                  <w:pPr>
                    <w:pStyle w:val="TableBodyText"/>
                    <w:ind w:right="57"/>
                    <w:rPr>
                      <w:rFonts w:asciiTheme="minorHAnsi" w:hAnsiTheme="minorHAnsi" w:cstheme="minorHAnsi"/>
                      <w:szCs w:val="18"/>
                    </w:rPr>
                  </w:pPr>
                  <w:r w:rsidRPr="005A485D">
                    <w:rPr>
                      <w:rFonts w:asciiTheme="minorHAnsi" w:hAnsiTheme="minorHAnsi" w:cstheme="minorHAnsi"/>
                      <w:color w:val="000000"/>
                      <w:szCs w:val="18"/>
                    </w:rPr>
                    <w:t>-172</w:t>
                  </w:r>
                </w:p>
              </w:tc>
              <w:tc>
                <w:tcPr>
                  <w:tcW w:w="384" w:type="pct"/>
                  <w:tcBorders>
                    <w:top w:val="nil"/>
                    <w:left w:val="nil"/>
                    <w:right w:val="nil"/>
                  </w:tcBorders>
                  <w:shd w:val="clear" w:color="auto" w:fill="auto"/>
                  <w:tcMar>
                    <w:left w:w="0" w:type="dxa"/>
                    <w:right w:w="0" w:type="dxa"/>
                  </w:tcMar>
                  <w:vAlign w:val="bottom"/>
                  <w:hideMark/>
                </w:tcPr>
                <w:p w14:paraId="7954C095" w14:textId="77777777" w:rsidR="00F05DC7" w:rsidRPr="005A485D" w:rsidRDefault="00F05DC7" w:rsidP="00A3786D">
                  <w:pPr>
                    <w:pStyle w:val="TableBodyText"/>
                    <w:ind w:right="57"/>
                    <w:rPr>
                      <w:rFonts w:asciiTheme="minorHAnsi" w:hAnsiTheme="minorHAnsi" w:cstheme="minorHAnsi"/>
                      <w:szCs w:val="18"/>
                    </w:rPr>
                  </w:pPr>
                  <w:r w:rsidRPr="005A485D">
                    <w:rPr>
                      <w:rFonts w:asciiTheme="minorHAnsi" w:hAnsiTheme="minorHAnsi" w:cstheme="minorHAnsi"/>
                      <w:color w:val="000000"/>
                      <w:szCs w:val="18"/>
                    </w:rPr>
                    <w:t>-113</w:t>
                  </w:r>
                </w:p>
              </w:tc>
            </w:tr>
            <w:tr w:rsidR="00F05DC7" w14:paraId="7954C0A0" w14:textId="77777777" w:rsidTr="00A3786D">
              <w:trPr>
                <w:trHeight w:val="300"/>
              </w:trPr>
              <w:tc>
                <w:tcPr>
                  <w:tcW w:w="1932" w:type="pct"/>
                  <w:tcBorders>
                    <w:top w:val="nil"/>
                    <w:left w:val="nil"/>
                    <w:right w:val="nil"/>
                  </w:tcBorders>
                  <w:shd w:val="clear" w:color="auto" w:fill="auto"/>
                  <w:tcMar>
                    <w:left w:w="0" w:type="dxa"/>
                    <w:right w:w="0" w:type="dxa"/>
                  </w:tcMar>
                  <w:vAlign w:val="center"/>
                </w:tcPr>
                <w:p w14:paraId="7954C097" w14:textId="77777777" w:rsidR="00F05DC7" w:rsidRPr="00870C41" w:rsidRDefault="00F05DC7" w:rsidP="00A3786D">
                  <w:pPr>
                    <w:pStyle w:val="TableBodyText"/>
                    <w:jc w:val="left"/>
                  </w:pPr>
                  <w:r w:rsidRPr="00AE067B">
                    <w:rPr>
                      <w:rFonts w:cs="Arial"/>
                      <w:szCs w:val="18"/>
                    </w:rPr>
                    <w:t>Change in GST payments (% of State revenue)</w:t>
                  </w:r>
                </w:p>
              </w:tc>
              <w:tc>
                <w:tcPr>
                  <w:tcW w:w="383" w:type="pct"/>
                  <w:tcBorders>
                    <w:top w:val="nil"/>
                    <w:left w:val="nil"/>
                    <w:bottom w:val="nil"/>
                    <w:right w:val="nil"/>
                  </w:tcBorders>
                  <w:shd w:val="clear" w:color="auto" w:fill="auto"/>
                  <w:tcMar>
                    <w:left w:w="0" w:type="dxa"/>
                    <w:right w:w="0" w:type="dxa"/>
                  </w:tcMar>
                  <w:vAlign w:val="bottom"/>
                </w:tcPr>
                <w:p w14:paraId="7954C098" w14:textId="77777777" w:rsidR="00F05DC7" w:rsidRPr="005A485D" w:rsidRDefault="00F05DC7" w:rsidP="00A3786D">
                  <w:pPr>
                    <w:pStyle w:val="TableBodyText"/>
                    <w:ind w:right="57"/>
                    <w:rPr>
                      <w:rFonts w:cs="Arial"/>
                      <w:color w:val="000000"/>
                      <w:szCs w:val="18"/>
                    </w:rPr>
                  </w:pPr>
                  <w:r w:rsidRPr="005A485D">
                    <w:rPr>
                      <w:rFonts w:cs="Arial"/>
                      <w:color w:val="000000"/>
                      <w:szCs w:val="18"/>
                    </w:rPr>
                    <w:t>0.3</w:t>
                  </w:r>
                </w:p>
              </w:tc>
              <w:tc>
                <w:tcPr>
                  <w:tcW w:w="383" w:type="pct"/>
                  <w:tcBorders>
                    <w:top w:val="nil"/>
                    <w:left w:val="nil"/>
                    <w:bottom w:val="nil"/>
                    <w:right w:val="nil"/>
                  </w:tcBorders>
                  <w:shd w:val="clear" w:color="auto" w:fill="auto"/>
                  <w:tcMar>
                    <w:left w:w="0" w:type="dxa"/>
                    <w:right w:w="0" w:type="dxa"/>
                  </w:tcMar>
                  <w:vAlign w:val="bottom"/>
                </w:tcPr>
                <w:p w14:paraId="7954C099" w14:textId="77777777" w:rsidR="00F05DC7" w:rsidRPr="005A485D" w:rsidRDefault="00F05DC7" w:rsidP="00A3786D">
                  <w:pPr>
                    <w:pStyle w:val="TableBodyText"/>
                    <w:ind w:right="57"/>
                    <w:rPr>
                      <w:rFonts w:cs="Arial"/>
                      <w:color w:val="000000"/>
                      <w:szCs w:val="18"/>
                    </w:rPr>
                  </w:pPr>
                  <w:r w:rsidRPr="005A485D">
                    <w:rPr>
                      <w:rFonts w:cs="Arial"/>
                      <w:color w:val="000000"/>
                      <w:szCs w:val="18"/>
                    </w:rPr>
                    <w:t>0.1</w:t>
                  </w:r>
                </w:p>
              </w:tc>
              <w:tc>
                <w:tcPr>
                  <w:tcW w:w="384" w:type="pct"/>
                  <w:tcBorders>
                    <w:top w:val="nil"/>
                    <w:left w:val="nil"/>
                    <w:bottom w:val="nil"/>
                    <w:right w:val="nil"/>
                  </w:tcBorders>
                  <w:shd w:val="clear" w:color="auto" w:fill="auto"/>
                  <w:tcMar>
                    <w:left w:w="0" w:type="dxa"/>
                    <w:right w:w="0" w:type="dxa"/>
                  </w:tcMar>
                  <w:vAlign w:val="bottom"/>
                </w:tcPr>
                <w:p w14:paraId="7954C09A" w14:textId="77777777" w:rsidR="00F05DC7" w:rsidRPr="005A485D" w:rsidRDefault="00F05DC7" w:rsidP="00A3786D">
                  <w:pPr>
                    <w:pStyle w:val="TableBodyText"/>
                    <w:ind w:right="57"/>
                    <w:rPr>
                      <w:rFonts w:cs="Arial"/>
                      <w:color w:val="000000"/>
                      <w:szCs w:val="18"/>
                    </w:rPr>
                  </w:pPr>
                  <w:r w:rsidRPr="005A485D">
                    <w:rPr>
                      <w:rFonts w:cs="Arial"/>
                      <w:color w:val="000000"/>
                      <w:szCs w:val="18"/>
                    </w:rPr>
                    <w:t>0.0</w:t>
                  </w:r>
                </w:p>
              </w:tc>
              <w:tc>
                <w:tcPr>
                  <w:tcW w:w="383" w:type="pct"/>
                  <w:tcBorders>
                    <w:top w:val="nil"/>
                    <w:left w:val="nil"/>
                    <w:bottom w:val="nil"/>
                    <w:right w:val="nil"/>
                  </w:tcBorders>
                  <w:shd w:val="clear" w:color="auto" w:fill="auto"/>
                  <w:tcMar>
                    <w:left w:w="0" w:type="dxa"/>
                    <w:right w:w="0" w:type="dxa"/>
                  </w:tcMar>
                  <w:vAlign w:val="bottom"/>
                </w:tcPr>
                <w:p w14:paraId="7954C09B" w14:textId="77777777" w:rsidR="00F05DC7" w:rsidRPr="005A485D" w:rsidRDefault="00F05DC7" w:rsidP="00A3786D">
                  <w:pPr>
                    <w:pStyle w:val="TableBodyText"/>
                    <w:ind w:right="57"/>
                    <w:rPr>
                      <w:rFonts w:cs="Arial"/>
                      <w:color w:val="000000"/>
                      <w:szCs w:val="18"/>
                    </w:rPr>
                  </w:pPr>
                  <w:r w:rsidRPr="005A485D">
                    <w:rPr>
                      <w:rFonts w:cs="Arial"/>
                      <w:color w:val="000000"/>
                      <w:szCs w:val="18"/>
                    </w:rPr>
                    <w:t>-0.3</w:t>
                  </w:r>
                </w:p>
              </w:tc>
              <w:tc>
                <w:tcPr>
                  <w:tcW w:w="383" w:type="pct"/>
                  <w:tcBorders>
                    <w:top w:val="nil"/>
                    <w:left w:val="nil"/>
                    <w:bottom w:val="nil"/>
                    <w:right w:val="nil"/>
                  </w:tcBorders>
                  <w:shd w:val="clear" w:color="auto" w:fill="auto"/>
                  <w:tcMar>
                    <w:left w:w="0" w:type="dxa"/>
                    <w:right w:w="0" w:type="dxa"/>
                  </w:tcMar>
                  <w:vAlign w:val="bottom"/>
                </w:tcPr>
                <w:p w14:paraId="7954C09C" w14:textId="77777777" w:rsidR="00F05DC7" w:rsidRPr="005A485D" w:rsidRDefault="00F05DC7" w:rsidP="00A3786D">
                  <w:pPr>
                    <w:pStyle w:val="TableBodyText"/>
                    <w:ind w:right="57"/>
                    <w:rPr>
                      <w:rFonts w:cs="Arial"/>
                      <w:color w:val="000000"/>
                      <w:szCs w:val="18"/>
                    </w:rPr>
                  </w:pPr>
                  <w:r w:rsidRPr="005A485D">
                    <w:rPr>
                      <w:rFonts w:cs="Arial"/>
                      <w:color w:val="000000"/>
                      <w:szCs w:val="18"/>
                    </w:rPr>
                    <w:t>-0.3</w:t>
                  </w:r>
                </w:p>
              </w:tc>
              <w:tc>
                <w:tcPr>
                  <w:tcW w:w="384" w:type="pct"/>
                  <w:tcBorders>
                    <w:top w:val="nil"/>
                    <w:left w:val="nil"/>
                    <w:bottom w:val="nil"/>
                    <w:right w:val="nil"/>
                  </w:tcBorders>
                  <w:shd w:val="clear" w:color="auto" w:fill="auto"/>
                  <w:tcMar>
                    <w:left w:w="0" w:type="dxa"/>
                    <w:right w:w="0" w:type="dxa"/>
                  </w:tcMar>
                  <w:vAlign w:val="bottom"/>
                </w:tcPr>
                <w:p w14:paraId="7954C09D" w14:textId="77777777" w:rsidR="00F05DC7" w:rsidRPr="005A485D" w:rsidRDefault="00F05DC7" w:rsidP="00A3786D">
                  <w:pPr>
                    <w:pStyle w:val="TableBodyText"/>
                    <w:ind w:right="57"/>
                    <w:rPr>
                      <w:rFonts w:cs="Arial"/>
                      <w:color w:val="000000"/>
                      <w:szCs w:val="18"/>
                    </w:rPr>
                  </w:pPr>
                  <w:r w:rsidRPr="005A485D">
                    <w:rPr>
                      <w:rFonts w:cs="Arial"/>
                      <w:color w:val="000000"/>
                      <w:szCs w:val="18"/>
                    </w:rPr>
                    <w:t>-0.8</w:t>
                  </w:r>
                </w:p>
              </w:tc>
              <w:tc>
                <w:tcPr>
                  <w:tcW w:w="383" w:type="pct"/>
                  <w:tcBorders>
                    <w:top w:val="nil"/>
                    <w:left w:val="nil"/>
                    <w:bottom w:val="nil"/>
                    <w:right w:val="nil"/>
                  </w:tcBorders>
                  <w:shd w:val="clear" w:color="auto" w:fill="auto"/>
                  <w:tcMar>
                    <w:left w:w="0" w:type="dxa"/>
                    <w:right w:w="0" w:type="dxa"/>
                  </w:tcMar>
                  <w:vAlign w:val="bottom"/>
                </w:tcPr>
                <w:p w14:paraId="7954C09E" w14:textId="77777777" w:rsidR="00F05DC7" w:rsidRPr="005A485D" w:rsidRDefault="00F05DC7" w:rsidP="00A3786D">
                  <w:pPr>
                    <w:pStyle w:val="TableBodyText"/>
                    <w:ind w:right="57"/>
                    <w:rPr>
                      <w:rFonts w:cs="Arial"/>
                      <w:color w:val="000000"/>
                      <w:szCs w:val="18"/>
                    </w:rPr>
                  </w:pPr>
                  <w:r w:rsidRPr="005A485D">
                    <w:rPr>
                      <w:rFonts w:cs="Arial"/>
                      <w:color w:val="000000"/>
                      <w:szCs w:val="18"/>
                    </w:rPr>
                    <w:t>-1.4</w:t>
                  </w:r>
                </w:p>
              </w:tc>
              <w:tc>
                <w:tcPr>
                  <w:tcW w:w="384" w:type="pct"/>
                  <w:tcBorders>
                    <w:top w:val="nil"/>
                    <w:left w:val="nil"/>
                    <w:bottom w:val="nil"/>
                    <w:right w:val="nil"/>
                  </w:tcBorders>
                  <w:shd w:val="clear" w:color="auto" w:fill="auto"/>
                  <w:tcMar>
                    <w:left w:w="0" w:type="dxa"/>
                    <w:right w:w="0" w:type="dxa"/>
                  </w:tcMar>
                  <w:vAlign w:val="bottom"/>
                </w:tcPr>
                <w:p w14:paraId="7954C09F" w14:textId="77777777" w:rsidR="00F05DC7" w:rsidRPr="005A485D" w:rsidRDefault="00F05DC7" w:rsidP="00A3786D">
                  <w:pPr>
                    <w:pStyle w:val="TableBodyText"/>
                    <w:ind w:right="57"/>
                    <w:rPr>
                      <w:rFonts w:cs="Arial"/>
                      <w:color w:val="000000"/>
                      <w:szCs w:val="18"/>
                    </w:rPr>
                  </w:pPr>
                  <w:r w:rsidRPr="005A485D">
                    <w:rPr>
                      <w:rFonts w:cs="Arial"/>
                      <w:color w:val="000000"/>
                      <w:szCs w:val="18"/>
                    </w:rPr>
                    <w:t>-0.5</w:t>
                  </w:r>
                </w:p>
              </w:tc>
            </w:tr>
            <w:tr w:rsidR="00F05DC7" w14:paraId="7954C0AA" w14:textId="77777777" w:rsidTr="00081880">
              <w:trPr>
                <w:trHeight w:val="300"/>
              </w:trPr>
              <w:tc>
                <w:tcPr>
                  <w:tcW w:w="1932" w:type="pct"/>
                  <w:tcBorders>
                    <w:top w:val="nil"/>
                    <w:left w:val="nil"/>
                    <w:right w:val="nil"/>
                  </w:tcBorders>
                  <w:shd w:val="clear" w:color="auto" w:fill="auto"/>
                  <w:tcMar>
                    <w:left w:w="0" w:type="dxa"/>
                    <w:right w:w="0" w:type="dxa"/>
                  </w:tcMar>
                  <w:vAlign w:val="center"/>
                </w:tcPr>
                <w:p w14:paraId="7954C0A1" w14:textId="77777777" w:rsidR="00F05DC7" w:rsidRPr="00AE067B" w:rsidRDefault="00F05DC7" w:rsidP="00A3786D">
                  <w:pPr>
                    <w:pStyle w:val="TableBodyText"/>
                    <w:jc w:val="left"/>
                    <w:rPr>
                      <w:rFonts w:cs="Arial"/>
                      <w:szCs w:val="18"/>
                    </w:rPr>
                  </w:pPr>
                  <w:r>
                    <w:t>Change in GST payments (% of pre</w:t>
                  </w:r>
                  <w:r>
                    <w:noBreakHyphen/>
                    <w:t>reform insurance tax revenue)</w:t>
                  </w:r>
                </w:p>
              </w:tc>
              <w:tc>
                <w:tcPr>
                  <w:tcW w:w="383" w:type="pct"/>
                  <w:tcBorders>
                    <w:top w:val="nil"/>
                    <w:left w:val="nil"/>
                    <w:right w:val="nil"/>
                  </w:tcBorders>
                  <w:shd w:val="clear" w:color="auto" w:fill="auto"/>
                  <w:tcMar>
                    <w:left w:w="0" w:type="dxa"/>
                    <w:right w:w="0" w:type="dxa"/>
                  </w:tcMar>
                  <w:vAlign w:val="bottom"/>
                </w:tcPr>
                <w:p w14:paraId="7954C0A2" w14:textId="77777777" w:rsidR="00F05DC7" w:rsidRPr="005A485D" w:rsidRDefault="00F05DC7" w:rsidP="00A3786D">
                  <w:pPr>
                    <w:pStyle w:val="TableBodyText"/>
                    <w:ind w:right="57"/>
                    <w:rPr>
                      <w:rFonts w:cs="Arial"/>
                      <w:color w:val="000000"/>
                      <w:szCs w:val="18"/>
                    </w:rPr>
                  </w:pPr>
                  <w:r w:rsidRPr="005A485D">
                    <w:rPr>
                      <w:rFonts w:cs="Arial"/>
                      <w:color w:val="000000"/>
                      <w:szCs w:val="18"/>
                    </w:rPr>
                    <w:t>15</w:t>
                  </w:r>
                </w:p>
              </w:tc>
              <w:tc>
                <w:tcPr>
                  <w:tcW w:w="383" w:type="pct"/>
                  <w:tcBorders>
                    <w:top w:val="nil"/>
                    <w:left w:val="nil"/>
                    <w:right w:val="nil"/>
                  </w:tcBorders>
                  <w:shd w:val="clear" w:color="auto" w:fill="auto"/>
                  <w:tcMar>
                    <w:left w:w="0" w:type="dxa"/>
                    <w:right w:w="0" w:type="dxa"/>
                  </w:tcMar>
                  <w:vAlign w:val="bottom"/>
                </w:tcPr>
                <w:p w14:paraId="7954C0A3" w14:textId="77777777" w:rsidR="00F05DC7" w:rsidRPr="005A485D" w:rsidRDefault="00F05DC7" w:rsidP="00A3786D">
                  <w:pPr>
                    <w:pStyle w:val="TableBodyText"/>
                    <w:ind w:right="57"/>
                    <w:rPr>
                      <w:rFonts w:cs="Arial"/>
                      <w:color w:val="000000"/>
                      <w:szCs w:val="18"/>
                    </w:rPr>
                  </w:pPr>
                  <w:r w:rsidRPr="005A485D">
                    <w:rPr>
                      <w:rFonts w:cs="Arial"/>
                      <w:color w:val="000000"/>
                      <w:szCs w:val="18"/>
                    </w:rPr>
                    <w:t>6</w:t>
                  </w:r>
                </w:p>
              </w:tc>
              <w:tc>
                <w:tcPr>
                  <w:tcW w:w="384" w:type="pct"/>
                  <w:tcBorders>
                    <w:top w:val="nil"/>
                    <w:left w:val="nil"/>
                    <w:right w:val="nil"/>
                  </w:tcBorders>
                  <w:shd w:val="clear" w:color="auto" w:fill="auto"/>
                  <w:tcMar>
                    <w:left w:w="0" w:type="dxa"/>
                    <w:right w:w="0" w:type="dxa"/>
                  </w:tcMar>
                  <w:vAlign w:val="bottom"/>
                </w:tcPr>
                <w:p w14:paraId="7954C0A4" w14:textId="77777777" w:rsidR="00F05DC7" w:rsidRPr="005A485D" w:rsidRDefault="00F05DC7" w:rsidP="00A3786D">
                  <w:pPr>
                    <w:pStyle w:val="TableBodyText"/>
                    <w:ind w:right="57"/>
                    <w:rPr>
                      <w:rFonts w:cs="Arial"/>
                      <w:color w:val="000000"/>
                      <w:szCs w:val="18"/>
                    </w:rPr>
                  </w:pPr>
                  <w:r w:rsidRPr="005A485D">
                    <w:rPr>
                      <w:rFonts w:cs="Arial"/>
                      <w:color w:val="000000"/>
                      <w:szCs w:val="18"/>
                    </w:rPr>
                    <w:t>-1</w:t>
                  </w:r>
                </w:p>
              </w:tc>
              <w:tc>
                <w:tcPr>
                  <w:tcW w:w="383" w:type="pct"/>
                  <w:tcBorders>
                    <w:top w:val="nil"/>
                    <w:left w:val="nil"/>
                    <w:right w:val="nil"/>
                  </w:tcBorders>
                  <w:shd w:val="clear" w:color="auto" w:fill="auto"/>
                  <w:tcMar>
                    <w:left w:w="0" w:type="dxa"/>
                    <w:right w:w="0" w:type="dxa"/>
                  </w:tcMar>
                  <w:vAlign w:val="bottom"/>
                </w:tcPr>
                <w:p w14:paraId="7954C0A5" w14:textId="77777777" w:rsidR="00F05DC7" w:rsidRPr="005A485D" w:rsidRDefault="00F05DC7" w:rsidP="00A3786D">
                  <w:pPr>
                    <w:pStyle w:val="TableBodyText"/>
                    <w:ind w:right="57"/>
                    <w:rPr>
                      <w:rFonts w:cs="Arial"/>
                      <w:color w:val="000000"/>
                      <w:szCs w:val="18"/>
                    </w:rPr>
                  </w:pPr>
                  <w:r w:rsidRPr="005A485D">
                    <w:rPr>
                      <w:rFonts w:cs="Arial"/>
                      <w:color w:val="000000"/>
                      <w:szCs w:val="18"/>
                    </w:rPr>
                    <w:t>-18</w:t>
                  </w:r>
                </w:p>
              </w:tc>
              <w:tc>
                <w:tcPr>
                  <w:tcW w:w="383" w:type="pct"/>
                  <w:tcBorders>
                    <w:top w:val="nil"/>
                    <w:left w:val="nil"/>
                    <w:right w:val="nil"/>
                  </w:tcBorders>
                  <w:shd w:val="clear" w:color="auto" w:fill="auto"/>
                  <w:tcMar>
                    <w:left w:w="0" w:type="dxa"/>
                    <w:right w:w="0" w:type="dxa"/>
                  </w:tcMar>
                  <w:vAlign w:val="bottom"/>
                </w:tcPr>
                <w:p w14:paraId="7954C0A6" w14:textId="77777777" w:rsidR="00F05DC7" w:rsidRPr="005A485D" w:rsidRDefault="00F05DC7" w:rsidP="00A3786D">
                  <w:pPr>
                    <w:pStyle w:val="TableBodyText"/>
                    <w:ind w:right="57"/>
                    <w:rPr>
                      <w:rFonts w:cs="Arial"/>
                      <w:color w:val="000000"/>
                      <w:szCs w:val="18"/>
                    </w:rPr>
                  </w:pPr>
                  <w:r w:rsidRPr="005A485D">
                    <w:rPr>
                      <w:rFonts w:cs="Arial"/>
                      <w:color w:val="000000"/>
                      <w:szCs w:val="18"/>
                    </w:rPr>
                    <w:t>-18</w:t>
                  </w:r>
                </w:p>
              </w:tc>
              <w:tc>
                <w:tcPr>
                  <w:tcW w:w="384" w:type="pct"/>
                  <w:tcBorders>
                    <w:top w:val="nil"/>
                    <w:left w:val="nil"/>
                    <w:right w:val="nil"/>
                  </w:tcBorders>
                  <w:shd w:val="clear" w:color="auto" w:fill="auto"/>
                  <w:tcMar>
                    <w:left w:w="0" w:type="dxa"/>
                    <w:right w:w="0" w:type="dxa"/>
                  </w:tcMar>
                  <w:vAlign w:val="bottom"/>
                </w:tcPr>
                <w:p w14:paraId="7954C0A7" w14:textId="77777777" w:rsidR="00F05DC7" w:rsidRPr="005A485D" w:rsidRDefault="00F05DC7" w:rsidP="00A3786D">
                  <w:pPr>
                    <w:pStyle w:val="TableBodyText"/>
                    <w:ind w:right="57"/>
                    <w:rPr>
                      <w:rFonts w:cs="Arial"/>
                      <w:color w:val="000000"/>
                      <w:szCs w:val="18"/>
                    </w:rPr>
                  </w:pPr>
                  <w:r w:rsidRPr="005A485D">
                    <w:rPr>
                      <w:rFonts w:cs="Arial"/>
                      <w:color w:val="000000"/>
                      <w:szCs w:val="18"/>
                    </w:rPr>
                    <w:t>-41</w:t>
                  </w:r>
                </w:p>
              </w:tc>
              <w:tc>
                <w:tcPr>
                  <w:tcW w:w="383" w:type="pct"/>
                  <w:tcBorders>
                    <w:top w:val="nil"/>
                    <w:left w:val="nil"/>
                    <w:right w:val="nil"/>
                  </w:tcBorders>
                  <w:shd w:val="clear" w:color="auto" w:fill="auto"/>
                  <w:tcMar>
                    <w:left w:w="0" w:type="dxa"/>
                    <w:right w:w="0" w:type="dxa"/>
                  </w:tcMar>
                  <w:vAlign w:val="bottom"/>
                </w:tcPr>
                <w:p w14:paraId="7954C0A8" w14:textId="77777777" w:rsidR="00F05DC7" w:rsidRPr="005A485D" w:rsidRDefault="00F05DC7" w:rsidP="00A3786D">
                  <w:pPr>
                    <w:pStyle w:val="TableBodyText"/>
                    <w:ind w:right="57"/>
                    <w:rPr>
                      <w:rFonts w:cs="Arial"/>
                      <w:color w:val="000000"/>
                      <w:szCs w:val="18"/>
                    </w:rPr>
                  </w:pPr>
                  <w:r w:rsidRPr="005A485D">
                    <w:rPr>
                      <w:rFonts w:cs="Arial"/>
                      <w:color w:val="000000"/>
                      <w:szCs w:val="18"/>
                    </w:rPr>
                    <w:t>-86</w:t>
                  </w:r>
                </w:p>
              </w:tc>
              <w:tc>
                <w:tcPr>
                  <w:tcW w:w="384" w:type="pct"/>
                  <w:tcBorders>
                    <w:top w:val="nil"/>
                    <w:left w:val="nil"/>
                    <w:right w:val="nil"/>
                  </w:tcBorders>
                  <w:shd w:val="clear" w:color="auto" w:fill="auto"/>
                  <w:tcMar>
                    <w:left w:w="0" w:type="dxa"/>
                    <w:right w:w="0" w:type="dxa"/>
                  </w:tcMar>
                  <w:vAlign w:val="bottom"/>
                </w:tcPr>
                <w:p w14:paraId="7954C0A9" w14:textId="77777777" w:rsidR="00F05DC7" w:rsidRPr="005A485D" w:rsidRDefault="00F05DC7" w:rsidP="00A3786D">
                  <w:pPr>
                    <w:pStyle w:val="TableBodyText"/>
                    <w:ind w:right="57"/>
                    <w:rPr>
                      <w:rFonts w:cs="Arial"/>
                      <w:color w:val="000000"/>
                      <w:szCs w:val="18"/>
                    </w:rPr>
                  </w:pPr>
                  <w:r w:rsidRPr="005A485D">
                    <w:rPr>
                      <w:rFonts w:cs="Arial"/>
                      <w:color w:val="000000"/>
                      <w:szCs w:val="18"/>
                    </w:rPr>
                    <w:t>-57</w:t>
                  </w:r>
                </w:p>
              </w:tc>
            </w:tr>
            <w:tr w:rsidR="00F05DC7" w14:paraId="7954C0B4" w14:textId="77777777" w:rsidTr="00081880">
              <w:trPr>
                <w:trHeight w:val="300"/>
              </w:trPr>
              <w:tc>
                <w:tcPr>
                  <w:tcW w:w="1932" w:type="pct"/>
                  <w:tcBorders>
                    <w:top w:val="nil"/>
                    <w:left w:val="nil"/>
                    <w:bottom w:val="single" w:sz="6" w:space="0" w:color="BFBFBF"/>
                    <w:right w:val="nil"/>
                  </w:tcBorders>
                  <w:shd w:val="clear" w:color="auto" w:fill="auto"/>
                  <w:tcMar>
                    <w:left w:w="0" w:type="dxa"/>
                    <w:right w:w="0" w:type="dxa"/>
                  </w:tcMar>
                  <w:vAlign w:val="center"/>
                  <w:hideMark/>
                </w:tcPr>
                <w:p w14:paraId="7954C0AB" w14:textId="77777777" w:rsidR="00F05DC7" w:rsidRDefault="00F05DC7" w:rsidP="00A3786D">
                  <w:pPr>
                    <w:pStyle w:val="TableBodyText"/>
                    <w:jc w:val="left"/>
                  </w:pPr>
                  <w:r>
                    <w:t>New GST relativity</w:t>
                  </w:r>
                </w:p>
              </w:tc>
              <w:tc>
                <w:tcPr>
                  <w:tcW w:w="383" w:type="pct"/>
                  <w:tcBorders>
                    <w:top w:val="nil"/>
                    <w:left w:val="nil"/>
                    <w:bottom w:val="single" w:sz="6" w:space="0" w:color="BFBFBF"/>
                    <w:right w:val="nil"/>
                  </w:tcBorders>
                  <w:shd w:val="clear" w:color="auto" w:fill="auto"/>
                  <w:tcMar>
                    <w:left w:w="0" w:type="dxa"/>
                    <w:right w:w="0" w:type="dxa"/>
                  </w:tcMar>
                  <w:vAlign w:val="bottom"/>
                  <w:hideMark/>
                </w:tcPr>
                <w:p w14:paraId="7954C0AC" w14:textId="77777777" w:rsidR="00F05DC7" w:rsidRPr="005A485D" w:rsidRDefault="00F05DC7" w:rsidP="00A3786D">
                  <w:pPr>
                    <w:pStyle w:val="TableBodyText"/>
                    <w:ind w:right="57"/>
                    <w:rPr>
                      <w:rFonts w:cs="Arial"/>
                      <w:szCs w:val="18"/>
                    </w:rPr>
                  </w:pPr>
                  <w:r w:rsidRPr="005A485D">
                    <w:rPr>
                      <w:rFonts w:cs="Arial"/>
                      <w:szCs w:val="18"/>
                    </w:rPr>
                    <w:t>0.85</w:t>
                  </w:r>
                </w:p>
              </w:tc>
              <w:tc>
                <w:tcPr>
                  <w:tcW w:w="383" w:type="pct"/>
                  <w:tcBorders>
                    <w:top w:val="nil"/>
                    <w:left w:val="nil"/>
                    <w:bottom w:val="single" w:sz="6" w:space="0" w:color="BFBFBF"/>
                    <w:right w:val="nil"/>
                  </w:tcBorders>
                  <w:shd w:val="clear" w:color="auto" w:fill="auto"/>
                  <w:tcMar>
                    <w:left w:w="0" w:type="dxa"/>
                    <w:right w:w="0" w:type="dxa"/>
                  </w:tcMar>
                  <w:vAlign w:val="bottom"/>
                  <w:hideMark/>
                </w:tcPr>
                <w:p w14:paraId="7954C0AD" w14:textId="77777777" w:rsidR="00F05DC7" w:rsidRPr="005A485D" w:rsidRDefault="00F05DC7" w:rsidP="00A3786D">
                  <w:pPr>
                    <w:pStyle w:val="TableBodyText"/>
                    <w:ind w:right="57"/>
                    <w:rPr>
                      <w:rFonts w:cs="Arial"/>
                      <w:szCs w:val="18"/>
                    </w:rPr>
                  </w:pPr>
                  <w:r w:rsidRPr="005A485D">
                    <w:rPr>
                      <w:rFonts w:cs="Arial"/>
                      <w:szCs w:val="18"/>
                    </w:rPr>
                    <w:t>1.02</w:t>
                  </w:r>
                </w:p>
              </w:tc>
              <w:tc>
                <w:tcPr>
                  <w:tcW w:w="384" w:type="pct"/>
                  <w:tcBorders>
                    <w:top w:val="nil"/>
                    <w:left w:val="nil"/>
                    <w:bottom w:val="single" w:sz="6" w:space="0" w:color="BFBFBF"/>
                    <w:right w:val="nil"/>
                  </w:tcBorders>
                  <w:shd w:val="clear" w:color="auto" w:fill="auto"/>
                  <w:tcMar>
                    <w:left w:w="0" w:type="dxa"/>
                    <w:right w:w="0" w:type="dxa"/>
                  </w:tcMar>
                  <w:vAlign w:val="bottom"/>
                  <w:hideMark/>
                </w:tcPr>
                <w:p w14:paraId="7954C0AE" w14:textId="77777777" w:rsidR="00F05DC7" w:rsidRPr="005A485D" w:rsidRDefault="00F05DC7" w:rsidP="00A3786D">
                  <w:pPr>
                    <w:pStyle w:val="TableBodyText"/>
                    <w:ind w:right="57"/>
                    <w:rPr>
                      <w:rFonts w:cs="Arial"/>
                      <w:szCs w:val="18"/>
                    </w:rPr>
                  </w:pPr>
                  <w:r w:rsidRPr="005A485D">
                    <w:rPr>
                      <w:rFonts w:cs="Arial"/>
                      <w:szCs w:val="18"/>
                    </w:rPr>
                    <w:t>1.03</w:t>
                  </w:r>
                </w:p>
              </w:tc>
              <w:tc>
                <w:tcPr>
                  <w:tcW w:w="383" w:type="pct"/>
                  <w:tcBorders>
                    <w:top w:val="nil"/>
                    <w:left w:val="nil"/>
                    <w:bottom w:val="single" w:sz="6" w:space="0" w:color="BFBFBF"/>
                    <w:right w:val="nil"/>
                  </w:tcBorders>
                  <w:shd w:val="clear" w:color="auto" w:fill="auto"/>
                  <w:tcMar>
                    <w:left w:w="0" w:type="dxa"/>
                    <w:right w:w="0" w:type="dxa"/>
                  </w:tcMar>
                  <w:vAlign w:val="bottom"/>
                  <w:hideMark/>
                </w:tcPr>
                <w:p w14:paraId="7954C0AF" w14:textId="77777777" w:rsidR="00F05DC7" w:rsidRPr="005A485D" w:rsidRDefault="00F05DC7" w:rsidP="00A3786D">
                  <w:pPr>
                    <w:pStyle w:val="TableBodyText"/>
                    <w:ind w:right="57"/>
                    <w:rPr>
                      <w:rFonts w:cs="Arial"/>
                      <w:szCs w:val="18"/>
                    </w:rPr>
                  </w:pPr>
                  <w:r w:rsidRPr="005A485D">
                    <w:rPr>
                      <w:rFonts w:cs="Arial"/>
                      <w:szCs w:val="18"/>
                    </w:rPr>
                    <w:t>0.56</w:t>
                  </w:r>
                </w:p>
              </w:tc>
              <w:tc>
                <w:tcPr>
                  <w:tcW w:w="383" w:type="pct"/>
                  <w:tcBorders>
                    <w:top w:val="nil"/>
                    <w:left w:val="nil"/>
                    <w:bottom w:val="single" w:sz="6" w:space="0" w:color="BFBFBF"/>
                    <w:right w:val="nil"/>
                  </w:tcBorders>
                  <w:shd w:val="clear" w:color="auto" w:fill="auto"/>
                  <w:tcMar>
                    <w:left w:w="0" w:type="dxa"/>
                    <w:right w:w="0" w:type="dxa"/>
                  </w:tcMar>
                  <w:vAlign w:val="bottom"/>
                  <w:hideMark/>
                </w:tcPr>
                <w:p w14:paraId="7954C0B0" w14:textId="77777777" w:rsidR="00F05DC7" w:rsidRPr="005A485D" w:rsidRDefault="00F05DC7" w:rsidP="00A3786D">
                  <w:pPr>
                    <w:pStyle w:val="TableBodyText"/>
                    <w:ind w:right="57"/>
                    <w:rPr>
                      <w:rFonts w:cs="Arial"/>
                      <w:szCs w:val="18"/>
                    </w:rPr>
                  </w:pPr>
                  <w:r w:rsidRPr="005A485D">
                    <w:rPr>
                      <w:rFonts w:cs="Arial"/>
                      <w:szCs w:val="18"/>
                    </w:rPr>
                    <w:t>1.52</w:t>
                  </w:r>
                </w:p>
              </w:tc>
              <w:tc>
                <w:tcPr>
                  <w:tcW w:w="384" w:type="pct"/>
                  <w:tcBorders>
                    <w:top w:val="nil"/>
                    <w:left w:val="nil"/>
                    <w:bottom w:val="single" w:sz="6" w:space="0" w:color="BFBFBF"/>
                    <w:right w:val="nil"/>
                  </w:tcBorders>
                  <w:shd w:val="clear" w:color="auto" w:fill="auto"/>
                  <w:tcMar>
                    <w:left w:w="0" w:type="dxa"/>
                    <w:right w:w="0" w:type="dxa"/>
                  </w:tcMar>
                  <w:vAlign w:val="bottom"/>
                  <w:hideMark/>
                </w:tcPr>
                <w:p w14:paraId="7954C0B1" w14:textId="77777777" w:rsidR="00F05DC7" w:rsidRPr="005A485D" w:rsidRDefault="00F05DC7" w:rsidP="00A3786D">
                  <w:pPr>
                    <w:pStyle w:val="TableBodyText"/>
                    <w:ind w:right="57"/>
                    <w:rPr>
                      <w:rFonts w:cs="Arial"/>
                      <w:szCs w:val="18"/>
                    </w:rPr>
                  </w:pPr>
                  <w:r w:rsidRPr="005A485D">
                    <w:rPr>
                      <w:rFonts w:cs="Arial"/>
                      <w:szCs w:val="18"/>
                    </w:rPr>
                    <w:t>1.69</w:t>
                  </w:r>
                </w:p>
              </w:tc>
              <w:tc>
                <w:tcPr>
                  <w:tcW w:w="383" w:type="pct"/>
                  <w:tcBorders>
                    <w:top w:val="nil"/>
                    <w:left w:val="nil"/>
                    <w:bottom w:val="single" w:sz="6" w:space="0" w:color="BFBFBF"/>
                    <w:right w:val="nil"/>
                  </w:tcBorders>
                  <w:shd w:val="clear" w:color="auto" w:fill="auto"/>
                  <w:tcMar>
                    <w:left w:w="0" w:type="dxa"/>
                    <w:right w:w="0" w:type="dxa"/>
                  </w:tcMar>
                  <w:vAlign w:val="bottom"/>
                  <w:hideMark/>
                </w:tcPr>
                <w:p w14:paraId="7954C0B2" w14:textId="77777777" w:rsidR="00F05DC7" w:rsidRPr="005A485D" w:rsidRDefault="00F05DC7" w:rsidP="00A3786D">
                  <w:pPr>
                    <w:pStyle w:val="TableBodyText"/>
                    <w:ind w:right="57"/>
                    <w:rPr>
                      <w:rFonts w:cs="Arial"/>
                      <w:szCs w:val="18"/>
                    </w:rPr>
                  </w:pPr>
                  <w:r w:rsidRPr="005A485D">
                    <w:rPr>
                      <w:rFonts w:cs="Arial"/>
                      <w:szCs w:val="18"/>
                    </w:rPr>
                    <w:t>1.14</w:t>
                  </w:r>
                </w:p>
              </w:tc>
              <w:tc>
                <w:tcPr>
                  <w:tcW w:w="384" w:type="pct"/>
                  <w:tcBorders>
                    <w:top w:val="nil"/>
                    <w:left w:val="nil"/>
                    <w:bottom w:val="single" w:sz="6" w:space="0" w:color="BFBFBF"/>
                  </w:tcBorders>
                  <w:shd w:val="clear" w:color="auto" w:fill="auto"/>
                  <w:tcMar>
                    <w:left w:w="0" w:type="dxa"/>
                    <w:right w:w="0" w:type="dxa"/>
                  </w:tcMar>
                  <w:vAlign w:val="bottom"/>
                  <w:hideMark/>
                </w:tcPr>
                <w:p w14:paraId="7954C0B3" w14:textId="77777777" w:rsidR="00F05DC7" w:rsidRPr="005A485D" w:rsidRDefault="00F05DC7" w:rsidP="00A3786D">
                  <w:pPr>
                    <w:pStyle w:val="TableBodyText"/>
                    <w:ind w:right="57"/>
                    <w:rPr>
                      <w:rFonts w:cs="Arial"/>
                      <w:szCs w:val="18"/>
                    </w:rPr>
                  </w:pPr>
                  <w:r w:rsidRPr="005A485D">
                    <w:rPr>
                      <w:rFonts w:cs="Arial"/>
                      <w:szCs w:val="18"/>
                    </w:rPr>
                    <w:t>4.14</w:t>
                  </w:r>
                </w:p>
              </w:tc>
            </w:tr>
          </w:tbl>
          <w:p w14:paraId="7954C0B5" w14:textId="77777777" w:rsidR="00F05DC7" w:rsidRDefault="00F05DC7" w:rsidP="00A3786D">
            <w:pPr>
              <w:pStyle w:val="Box"/>
            </w:pPr>
          </w:p>
        </w:tc>
      </w:tr>
      <w:tr w:rsidR="00F05DC7" w14:paraId="7954C0B8" w14:textId="77777777" w:rsidTr="00081880">
        <w:tc>
          <w:tcPr>
            <w:tcW w:w="5000" w:type="pct"/>
            <w:tcBorders>
              <w:top w:val="nil"/>
              <w:left w:val="nil"/>
              <w:bottom w:val="nil"/>
              <w:right w:val="nil"/>
            </w:tcBorders>
            <w:shd w:val="clear" w:color="auto" w:fill="auto"/>
          </w:tcPr>
          <w:p w14:paraId="7954C0B7"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C0BA" w14:textId="77777777" w:rsidTr="00A3786D">
        <w:tc>
          <w:tcPr>
            <w:tcW w:w="5000" w:type="pct"/>
            <w:tcBorders>
              <w:top w:val="nil"/>
              <w:left w:val="nil"/>
              <w:bottom w:val="single" w:sz="6" w:space="0" w:color="78A22F"/>
              <w:right w:val="nil"/>
            </w:tcBorders>
            <w:shd w:val="clear" w:color="auto" w:fill="auto"/>
          </w:tcPr>
          <w:p w14:paraId="7954C0B9" w14:textId="77777777" w:rsidR="00F05DC7" w:rsidRDefault="00F05DC7" w:rsidP="00A3786D">
            <w:pPr>
              <w:pStyle w:val="Box"/>
              <w:spacing w:before="0" w:line="120" w:lineRule="exact"/>
            </w:pPr>
          </w:p>
        </w:tc>
      </w:tr>
      <w:tr w:rsidR="00F05DC7" w:rsidRPr="000863A5" w14:paraId="7954C0BC" w14:textId="77777777" w:rsidTr="00A3786D">
        <w:tc>
          <w:tcPr>
            <w:tcW w:w="5000" w:type="pct"/>
            <w:tcBorders>
              <w:top w:val="single" w:sz="6" w:space="0" w:color="78A22F"/>
              <w:left w:val="nil"/>
              <w:bottom w:val="nil"/>
              <w:right w:val="nil"/>
            </w:tcBorders>
          </w:tcPr>
          <w:p w14:paraId="7954C0BB" w14:textId="77777777" w:rsidR="00F05DC7" w:rsidRPr="00626D32" w:rsidRDefault="00F05DC7" w:rsidP="00A3786D">
            <w:pPr>
              <w:pStyle w:val="BoxSpaceBelow"/>
            </w:pPr>
          </w:p>
        </w:tc>
      </w:tr>
    </w:tbl>
    <w:p w14:paraId="7954C0BD" w14:textId="77777777" w:rsidR="00F05DC7" w:rsidRPr="00C47856" w:rsidRDefault="00F05DC7" w:rsidP="00A3786D">
      <w:pPr>
        <w:pStyle w:val="BodyText"/>
      </w:pPr>
      <w:r>
        <w:t>There are several factors that this analysis does not incorporate. It is assumed that VKT does not respond to the introduction of a congestion tax. For unilateral reforms, reduced VKT resulting from a congestion tax would increase GST payments to the reforming State. For multilateral reforms, the effects of reduced VKT would vary across States, depending on the relative size of a State’s VKT and its responsiveness to the tax. Finally, as outlined above, as this analysis simulates a ‘steady state’ of increased urban transport operational expenses, it does not consider transitional developments.</w:t>
      </w:r>
    </w:p>
    <w:p w14:paraId="7954C0BE" w14:textId="77777777" w:rsidR="00F05DC7" w:rsidRDefault="00F05DC7">
      <w:pPr>
        <w:pStyle w:val="Heading3"/>
      </w:pPr>
      <w:r>
        <w:lastRenderedPageBreak/>
        <w:t>Policy-neutral indicators for stamp-duty</w:t>
      </w:r>
    </w:p>
    <w:p w14:paraId="7954C0BF" w14:textId="77777777" w:rsidR="00F05DC7" w:rsidRDefault="00F05DC7" w:rsidP="00A3786D">
      <w:pPr>
        <w:pStyle w:val="BodyText"/>
      </w:pPr>
      <w:r>
        <w:t xml:space="preserve">The CGC currently </w:t>
      </w:r>
      <w:r w:rsidRPr="00147FC0">
        <w:t xml:space="preserve">assesses </w:t>
      </w:r>
      <w:r>
        <w:t>each</w:t>
      </w:r>
      <w:r w:rsidRPr="00147FC0">
        <w:t xml:space="preserve"> State’s capacity to raise revenue from stamp duty</w:t>
      </w:r>
      <w:r>
        <w:t xml:space="preserve"> </w:t>
      </w:r>
      <w:r w:rsidRPr="00147FC0">
        <w:t>based on the</w:t>
      </w:r>
      <w:r>
        <w:t xml:space="preserve"> average tax rate (the ratio of</w:t>
      </w:r>
      <w:r w:rsidRPr="00147FC0">
        <w:t xml:space="preserve"> </w:t>
      </w:r>
      <w:r>
        <w:t xml:space="preserve">total </w:t>
      </w:r>
      <w:r w:rsidRPr="00791D71">
        <w:t>revenue raised</w:t>
      </w:r>
      <w:r w:rsidRPr="00147FC0">
        <w:t xml:space="preserve"> by States and </w:t>
      </w:r>
      <w:r w:rsidRPr="00791D71">
        <w:t xml:space="preserve">the total value </w:t>
      </w:r>
      <w:r>
        <w:t>of properties</w:t>
      </w:r>
      <w:r w:rsidRPr="00791D71">
        <w:t xml:space="preserve"> transfer</w:t>
      </w:r>
      <w:r>
        <w:t xml:space="preserve">red), and each State’s tax base (the total value of property transferred in that State). As shown above, the current assessment means that GST payments are prone to change as a result of tax reforms to replace stamp duty with land tax. </w:t>
      </w:r>
    </w:p>
    <w:p w14:paraId="7954C0C0" w14:textId="77777777" w:rsidR="00F05DC7" w:rsidRDefault="00F05DC7" w:rsidP="00A3786D">
      <w:pPr>
        <w:pStyle w:val="BodyText"/>
      </w:pPr>
      <w:r>
        <w:t xml:space="preserve">Policy-neutral indicators of the stamp duty tax base offer potential to reduce the disincentives for this policy reform. Two possible measures were considered. </w:t>
      </w:r>
    </w:p>
    <w:p w14:paraId="7954C0C1" w14:textId="13AEC870" w:rsidR="00F05DC7" w:rsidRDefault="00F05DC7" w:rsidP="00A3786D">
      <w:pPr>
        <w:pStyle w:val="ListBullet"/>
      </w:pPr>
      <w:r w:rsidRPr="00B32484">
        <w:rPr>
          <w:i/>
        </w:rPr>
        <w:t>Total value of the dwelling stock owned by households</w:t>
      </w:r>
      <w:r>
        <w:t xml:space="preserve"> </w:t>
      </w:r>
      <w:r w:rsidRPr="008753A2">
        <w:rPr>
          <w:szCs w:val="24"/>
        </w:rPr>
        <w:t>(ABS 2018)</w:t>
      </w:r>
      <w:r>
        <w:t>. This is a general measure of the underlying base for most property taxes, including stamp duties. Only dwellings owned by households were considered as stamp duties on Government</w:t>
      </w:r>
      <w:r>
        <w:noBreakHyphen/>
        <w:t>owned housing are likely to be both small (as Government-owned housing is rarely transacted) and would be a payment that increases expenditure and revenue equally, such that, on net, Government fiscal capacity is unchanged.</w:t>
      </w:r>
      <w:r w:rsidRPr="00282527">
        <w:rPr>
          <w:rStyle w:val="FootnoteReference"/>
        </w:rPr>
        <w:footnoteReference w:id="24"/>
      </w:r>
      <w:r>
        <w:t xml:space="preserve"> The value of the dwelling stock owned by households comprises about 95 per cent of the total value of the dwelling stock.</w:t>
      </w:r>
    </w:p>
    <w:p w14:paraId="7954C0C2" w14:textId="3CCB6E21" w:rsidR="00F05DC7" w:rsidRDefault="00F05DC7" w:rsidP="00A3786D">
      <w:pPr>
        <w:pStyle w:val="ListBullet"/>
      </w:pPr>
      <w:r w:rsidRPr="00B32484">
        <w:rPr>
          <w:i/>
        </w:rPr>
        <w:t>Aggregate unimproved value of residential land in each State</w:t>
      </w:r>
      <w:r>
        <w:rPr>
          <w:i/>
        </w:rPr>
        <w:t xml:space="preserve"> </w:t>
      </w:r>
      <w:r w:rsidR="009D6331" w:rsidRPr="009D6331">
        <w:rPr>
          <w:szCs w:val="24"/>
        </w:rPr>
        <w:t>(ABS 2017c)</w:t>
      </w:r>
      <w:r>
        <w:t xml:space="preserve">. This measure is the same tax base used for the new simulated land tax. </w:t>
      </w:r>
    </w:p>
    <w:p w14:paraId="7954C0C3" w14:textId="71BA3B9F" w:rsidR="00F05DC7" w:rsidRDefault="00F05DC7">
      <w:pPr>
        <w:pStyle w:val="BodyText"/>
      </w:pPr>
      <w:r>
        <w:t xml:space="preserve">This analysis uses lower and upper bound values for the elasticity of average house prices to changes in stamp duty rates, drawn from estimates published by Davidoff and Leigh </w:t>
      </w:r>
      <w:r w:rsidRPr="009E1812">
        <w:t>(2013)</w:t>
      </w:r>
      <w:r>
        <w:t xml:space="preserve">. The lower bound value is a 2 per cent reduction in transactions due to a 10 per cent increase in the duty rate. The upper bound value is a 2.6 per cent reduction. Aside from these elasticity estimates, all other calculations and assumptions are identical to those used in the stamp duty/land tax cameo detailed above. Any differences between the two simulations can therefore be attributed to the use of a policy-neutral indicator. </w:t>
      </w:r>
    </w:p>
    <w:p w14:paraId="7954C0C4" w14:textId="77777777" w:rsidR="00F05DC7" w:rsidRDefault="00F05DC7">
      <w:pPr>
        <w:pStyle w:val="BodyText"/>
      </w:pPr>
      <w:r>
        <w:t xml:space="preserve">Using the total value of the dwelling stock in each State as a measure of the stamp duty tax base reduces the impact that unilateral stamp duty reform has on a State’s GST payments by between 41 and 63 per cent for the upper bound estimates (table C.32). In absolute terms, the reduction was largest in New South Wales (about $758 million). The disincentive for unilateral stamp duty reform was more or less unchanged using the lower bound estimates. </w:t>
      </w:r>
    </w:p>
    <w:p w14:paraId="7954C0C5" w14:textId="77777777" w:rsidR="00F05DC7" w:rsidRDefault="00F05DC7">
      <w:pPr>
        <w:pStyle w:val="BodyText"/>
      </w:pPr>
      <w:r>
        <w:t>Using the a</w:t>
      </w:r>
      <w:r w:rsidRPr="005D761C">
        <w:t>ggregate unimproved value of residential land in each State</w:t>
      </w:r>
      <w:r>
        <w:t xml:space="preserve"> would eliminate the GST impact in this cameo. This is because the same indicator is used to estimate the GST distribution due to the new land tax, creating an aggregated assessment for these two revenue items. As the tax reform is revenue-neutral, the assessed ability to raise revenue from this aggregated base is unchanged for each State.</w:t>
      </w:r>
    </w:p>
    <w:p w14:paraId="7954C0C6" w14:textId="77777777" w:rsidR="00F05DC7" w:rsidRDefault="00F05DC7">
      <w:pPr>
        <w:pStyle w:val="BodyText"/>
      </w:pPr>
      <w:r>
        <w:t xml:space="preserve">If all States were to jointly reform stamp duty/land tax, the GST distribution effects would be smaller than if a single State reformed (table C.33). What remained of the disincentive in </w:t>
      </w:r>
      <w:r>
        <w:lastRenderedPageBreak/>
        <w:t>the multilateral reform scenario would be almost eliminated when using the value of dwelling stock as a policy</w:t>
      </w:r>
      <w:r>
        <w:noBreakHyphen/>
        <w:t xml:space="preserve">neutral indicator. </w:t>
      </w:r>
    </w:p>
    <w:p w14:paraId="7954C0C7"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0CA" w14:textId="77777777" w:rsidTr="001113B1">
        <w:trPr>
          <w:tblHeader/>
        </w:trPr>
        <w:tc>
          <w:tcPr>
            <w:tcW w:w="5000" w:type="pct"/>
            <w:tcBorders>
              <w:top w:val="single" w:sz="6" w:space="0" w:color="78A22F"/>
              <w:left w:val="nil"/>
              <w:bottom w:val="nil"/>
              <w:right w:val="nil"/>
            </w:tcBorders>
            <w:shd w:val="clear" w:color="auto" w:fill="auto"/>
          </w:tcPr>
          <w:p w14:paraId="7954C0C8" w14:textId="7662718C" w:rsidR="00F05DC7" w:rsidRDefault="00F05DC7" w:rsidP="00A3786D">
            <w:pPr>
              <w:pStyle w:val="TableTitle"/>
            </w:pPr>
            <w:r>
              <w:rPr>
                <w:b w:val="0"/>
              </w:rPr>
              <w:t>Table C.32</w:t>
            </w:r>
            <w:r>
              <w:tab/>
              <w:t>GST impact of stamp duty/land tax reform with category indicators</w:t>
            </w:r>
          </w:p>
          <w:p w14:paraId="7954C0C9" w14:textId="77777777" w:rsidR="00F05DC7" w:rsidRPr="00784A05" w:rsidRDefault="00F05DC7" w:rsidP="00A3786D">
            <w:pPr>
              <w:pStyle w:val="Subtitle"/>
            </w:pPr>
            <w:r>
              <w:t>Unilateral change made by each State, 2016</w:t>
            </w:r>
            <w:r>
              <w:noBreakHyphen/>
              <w:t>17</w:t>
            </w:r>
            <w:r w:rsidRPr="00171B8E">
              <w:rPr>
                <w:rStyle w:val="NoteLabel"/>
              </w:rPr>
              <w:t>a</w:t>
            </w:r>
          </w:p>
        </w:tc>
      </w:tr>
      <w:tr w:rsidR="00F05DC7" w14:paraId="7954C180" w14:textId="77777777" w:rsidTr="00A3786D">
        <w:tc>
          <w:tcPr>
            <w:tcW w:w="5000" w:type="pct"/>
            <w:tcBorders>
              <w:top w:val="nil"/>
              <w:left w:val="nil"/>
              <w:bottom w:val="single" w:sz="8" w:space="0" w:color="D9D9D9" w:themeColor="background1" w:themeShade="D9"/>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836"/>
              <w:gridCol w:w="708"/>
              <w:gridCol w:w="709"/>
              <w:gridCol w:w="709"/>
              <w:gridCol w:w="709"/>
              <w:gridCol w:w="708"/>
              <w:gridCol w:w="709"/>
              <w:gridCol w:w="709"/>
              <w:gridCol w:w="708"/>
            </w:tblGrid>
            <w:tr w:rsidR="00F05DC7" w:rsidRPr="00AD7DC6" w14:paraId="7954C0D4" w14:textId="77777777" w:rsidTr="00A3786D">
              <w:trPr>
                <w:tblHeader/>
              </w:trPr>
              <w:tc>
                <w:tcPr>
                  <w:tcW w:w="1667" w:type="pct"/>
                  <w:tcBorders>
                    <w:top w:val="single" w:sz="6" w:space="0" w:color="BFBFBF"/>
                    <w:bottom w:val="single" w:sz="6" w:space="0" w:color="BFBFBF"/>
                  </w:tcBorders>
                  <w:shd w:val="clear" w:color="auto" w:fill="auto"/>
                  <w:tcMar>
                    <w:top w:w="28" w:type="dxa"/>
                  </w:tcMar>
                  <w:vAlign w:val="center"/>
                </w:tcPr>
                <w:p w14:paraId="7954C0CB" w14:textId="77777777" w:rsidR="00F05DC7" w:rsidRPr="00AD7DC6" w:rsidRDefault="00F05DC7" w:rsidP="00A3786D">
                  <w:pPr>
                    <w:pStyle w:val="TableColumnHeading"/>
                    <w:rPr>
                      <w:rFonts w:asciiTheme="minorHAnsi" w:hAnsiTheme="minorHAnsi" w:cstheme="minorHAnsi"/>
                      <w:szCs w:val="18"/>
                    </w:rPr>
                  </w:pPr>
                </w:p>
              </w:tc>
              <w:tc>
                <w:tcPr>
                  <w:tcW w:w="416" w:type="pct"/>
                  <w:tcBorders>
                    <w:top w:val="single" w:sz="6" w:space="0" w:color="BFBFBF"/>
                    <w:bottom w:val="single" w:sz="6" w:space="0" w:color="BFBFBF"/>
                  </w:tcBorders>
                  <w:shd w:val="clear" w:color="auto" w:fill="auto"/>
                  <w:vAlign w:val="bottom"/>
                </w:tcPr>
                <w:p w14:paraId="7954C0CC"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NSW</w:t>
                  </w:r>
                </w:p>
              </w:tc>
              <w:tc>
                <w:tcPr>
                  <w:tcW w:w="417" w:type="pct"/>
                  <w:tcBorders>
                    <w:top w:val="single" w:sz="6" w:space="0" w:color="BFBFBF"/>
                    <w:bottom w:val="single" w:sz="6" w:space="0" w:color="BFBFBF"/>
                  </w:tcBorders>
                  <w:shd w:val="clear" w:color="auto" w:fill="auto"/>
                  <w:tcMar>
                    <w:top w:w="28" w:type="dxa"/>
                  </w:tcMar>
                  <w:vAlign w:val="bottom"/>
                </w:tcPr>
                <w:p w14:paraId="7954C0CD"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Vic</w:t>
                  </w:r>
                </w:p>
              </w:tc>
              <w:tc>
                <w:tcPr>
                  <w:tcW w:w="417" w:type="pct"/>
                  <w:tcBorders>
                    <w:top w:val="single" w:sz="6" w:space="0" w:color="BFBFBF"/>
                    <w:bottom w:val="single" w:sz="6" w:space="0" w:color="BFBFBF"/>
                  </w:tcBorders>
                  <w:shd w:val="clear" w:color="auto" w:fill="auto"/>
                  <w:vAlign w:val="bottom"/>
                </w:tcPr>
                <w:p w14:paraId="7954C0CE"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Qld</w:t>
                  </w:r>
                </w:p>
              </w:tc>
              <w:tc>
                <w:tcPr>
                  <w:tcW w:w="417" w:type="pct"/>
                  <w:tcBorders>
                    <w:top w:val="single" w:sz="6" w:space="0" w:color="BFBFBF"/>
                    <w:bottom w:val="single" w:sz="6" w:space="0" w:color="BFBFBF"/>
                  </w:tcBorders>
                  <w:shd w:val="clear" w:color="auto" w:fill="auto"/>
                  <w:vAlign w:val="bottom"/>
                </w:tcPr>
                <w:p w14:paraId="7954C0CF"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WA</w:t>
                  </w:r>
                </w:p>
              </w:tc>
              <w:tc>
                <w:tcPr>
                  <w:tcW w:w="416" w:type="pct"/>
                  <w:tcBorders>
                    <w:top w:val="single" w:sz="6" w:space="0" w:color="BFBFBF"/>
                    <w:bottom w:val="single" w:sz="6" w:space="0" w:color="BFBFBF"/>
                  </w:tcBorders>
                  <w:shd w:val="clear" w:color="auto" w:fill="auto"/>
                  <w:vAlign w:val="bottom"/>
                </w:tcPr>
                <w:p w14:paraId="7954C0D0"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SA</w:t>
                  </w:r>
                </w:p>
              </w:tc>
              <w:tc>
                <w:tcPr>
                  <w:tcW w:w="417" w:type="pct"/>
                  <w:tcBorders>
                    <w:top w:val="single" w:sz="6" w:space="0" w:color="BFBFBF"/>
                    <w:bottom w:val="single" w:sz="6" w:space="0" w:color="BFBFBF"/>
                  </w:tcBorders>
                  <w:shd w:val="clear" w:color="auto" w:fill="auto"/>
                  <w:vAlign w:val="bottom"/>
                </w:tcPr>
                <w:p w14:paraId="7954C0D1"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Tas</w:t>
                  </w:r>
                </w:p>
              </w:tc>
              <w:tc>
                <w:tcPr>
                  <w:tcW w:w="417" w:type="pct"/>
                  <w:tcBorders>
                    <w:top w:val="single" w:sz="6" w:space="0" w:color="BFBFBF"/>
                    <w:bottom w:val="single" w:sz="6" w:space="0" w:color="BFBFBF"/>
                  </w:tcBorders>
                  <w:shd w:val="clear" w:color="auto" w:fill="auto"/>
                  <w:vAlign w:val="bottom"/>
                </w:tcPr>
                <w:p w14:paraId="7954C0D2"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ACT</w:t>
                  </w:r>
                </w:p>
              </w:tc>
              <w:tc>
                <w:tcPr>
                  <w:tcW w:w="416" w:type="pct"/>
                  <w:tcBorders>
                    <w:top w:val="single" w:sz="6" w:space="0" w:color="BFBFBF"/>
                    <w:bottom w:val="single" w:sz="6" w:space="0" w:color="BFBFBF"/>
                  </w:tcBorders>
                  <w:shd w:val="clear" w:color="auto" w:fill="auto"/>
                  <w:vAlign w:val="bottom"/>
                </w:tcPr>
                <w:p w14:paraId="7954C0D3"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NT</w:t>
                  </w:r>
                </w:p>
              </w:tc>
            </w:tr>
            <w:tr w:rsidR="00F05DC7" w:rsidRPr="00AD7DC6" w14:paraId="7954C0DE" w14:textId="77777777" w:rsidTr="00A3786D">
              <w:tc>
                <w:tcPr>
                  <w:tcW w:w="1667" w:type="pct"/>
                  <w:tcBorders>
                    <w:top w:val="single" w:sz="6" w:space="0" w:color="BFBFBF"/>
                  </w:tcBorders>
                  <w:shd w:val="clear" w:color="auto" w:fill="auto"/>
                  <w:vAlign w:val="center"/>
                </w:tcPr>
                <w:p w14:paraId="7954C0D5" w14:textId="77777777" w:rsidR="00F05DC7" w:rsidRPr="00334909" w:rsidRDefault="00F05DC7" w:rsidP="00A3786D">
                  <w:pPr>
                    <w:pStyle w:val="TableUnitsRow"/>
                    <w:jc w:val="left"/>
                    <w:rPr>
                      <w:rFonts w:asciiTheme="minorHAnsi" w:hAnsiTheme="minorHAnsi" w:cstheme="minorHAnsi"/>
                      <w:szCs w:val="18"/>
                    </w:rPr>
                  </w:pPr>
                  <w:r w:rsidRPr="00334909">
                    <w:rPr>
                      <w:rFonts w:asciiTheme="minorHAnsi" w:hAnsiTheme="minorHAnsi" w:cstheme="minorHAnsi"/>
                      <w:b/>
                      <w:color w:val="000000"/>
                      <w:szCs w:val="18"/>
                    </w:rPr>
                    <w:t>Current approach</w:t>
                  </w:r>
                </w:p>
              </w:tc>
              <w:tc>
                <w:tcPr>
                  <w:tcW w:w="416" w:type="pct"/>
                  <w:tcBorders>
                    <w:top w:val="single" w:sz="6" w:space="0" w:color="BFBFBF"/>
                  </w:tcBorders>
                  <w:shd w:val="clear" w:color="auto" w:fill="auto"/>
                  <w:vAlign w:val="center"/>
                </w:tcPr>
                <w:p w14:paraId="7954C0D6" w14:textId="77777777" w:rsidR="00F05DC7" w:rsidRPr="00CE6393" w:rsidRDefault="00F05DC7" w:rsidP="00A3786D">
                  <w:pPr>
                    <w:pStyle w:val="TableUnitsRow"/>
                    <w:ind w:right="57"/>
                    <w:rPr>
                      <w:rFonts w:asciiTheme="minorHAnsi" w:hAnsiTheme="minorHAnsi" w:cstheme="minorHAnsi"/>
                      <w:szCs w:val="18"/>
                    </w:rPr>
                  </w:pPr>
                </w:p>
              </w:tc>
              <w:tc>
                <w:tcPr>
                  <w:tcW w:w="417" w:type="pct"/>
                  <w:tcBorders>
                    <w:top w:val="single" w:sz="6" w:space="0" w:color="BFBFBF"/>
                  </w:tcBorders>
                  <w:shd w:val="clear" w:color="auto" w:fill="auto"/>
                  <w:vAlign w:val="center"/>
                </w:tcPr>
                <w:p w14:paraId="7954C0D7" w14:textId="77777777" w:rsidR="00F05DC7" w:rsidRPr="00CE6393" w:rsidRDefault="00F05DC7" w:rsidP="00A3786D">
                  <w:pPr>
                    <w:pStyle w:val="TableUnitsRow"/>
                    <w:ind w:right="57"/>
                    <w:rPr>
                      <w:rFonts w:asciiTheme="minorHAnsi" w:hAnsiTheme="minorHAnsi" w:cstheme="minorHAnsi"/>
                      <w:szCs w:val="18"/>
                    </w:rPr>
                  </w:pPr>
                </w:p>
              </w:tc>
              <w:tc>
                <w:tcPr>
                  <w:tcW w:w="417" w:type="pct"/>
                  <w:tcBorders>
                    <w:top w:val="single" w:sz="6" w:space="0" w:color="BFBFBF"/>
                  </w:tcBorders>
                  <w:shd w:val="clear" w:color="auto" w:fill="auto"/>
                  <w:vAlign w:val="center"/>
                </w:tcPr>
                <w:p w14:paraId="7954C0D8" w14:textId="77777777" w:rsidR="00F05DC7" w:rsidRPr="00CE6393" w:rsidRDefault="00F05DC7" w:rsidP="00A3786D">
                  <w:pPr>
                    <w:pStyle w:val="TableUnitsRow"/>
                    <w:ind w:right="57"/>
                    <w:rPr>
                      <w:rFonts w:asciiTheme="minorHAnsi" w:hAnsiTheme="minorHAnsi" w:cstheme="minorHAnsi"/>
                      <w:color w:val="000000"/>
                      <w:szCs w:val="18"/>
                    </w:rPr>
                  </w:pPr>
                </w:p>
              </w:tc>
              <w:tc>
                <w:tcPr>
                  <w:tcW w:w="417" w:type="pct"/>
                  <w:tcBorders>
                    <w:top w:val="single" w:sz="6" w:space="0" w:color="BFBFBF"/>
                  </w:tcBorders>
                  <w:shd w:val="clear" w:color="auto" w:fill="auto"/>
                  <w:vAlign w:val="center"/>
                </w:tcPr>
                <w:p w14:paraId="7954C0D9" w14:textId="77777777" w:rsidR="00F05DC7" w:rsidRPr="00CE6393" w:rsidRDefault="00F05DC7" w:rsidP="00A3786D">
                  <w:pPr>
                    <w:pStyle w:val="TableUnitsRow"/>
                    <w:ind w:right="57"/>
                    <w:rPr>
                      <w:rFonts w:asciiTheme="minorHAnsi" w:hAnsiTheme="minorHAnsi" w:cstheme="minorHAnsi"/>
                      <w:color w:val="000000"/>
                      <w:szCs w:val="18"/>
                    </w:rPr>
                  </w:pPr>
                </w:p>
              </w:tc>
              <w:tc>
                <w:tcPr>
                  <w:tcW w:w="416" w:type="pct"/>
                  <w:tcBorders>
                    <w:top w:val="single" w:sz="6" w:space="0" w:color="BFBFBF"/>
                  </w:tcBorders>
                  <w:shd w:val="clear" w:color="auto" w:fill="auto"/>
                  <w:vAlign w:val="center"/>
                </w:tcPr>
                <w:p w14:paraId="7954C0DA" w14:textId="77777777" w:rsidR="00F05DC7" w:rsidRPr="00CE6393" w:rsidRDefault="00F05DC7" w:rsidP="00A3786D">
                  <w:pPr>
                    <w:pStyle w:val="TableUnitsRow"/>
                    <w:ind w:right="57"/>
                    <w:rPr>
                      <w:rFonts w:asciiTheme="minorHAnsi" w:hAnsiTheme="minorHAnsi" w:cstheme="minorHAnsi"/>
                      <w:color w:val="000000"/>
                      <w:szCs w:val="18"/>
                    </w:rPr>
                  </w:pPr>
                </w:p>
              </w:tc>
              <w:tc>
                <w:tcPr>
                  <w:tcW w:w="417" w:type="pct"/>
                  <w:tcBorders>
                    <w:top w:val="single" w:sz="6" w:space="0" w:color="BFBFBF"/>
                  </w:tcBorders>
                  <w:shd w:val="clear" w:color="auto" w:fill="auto"/>
                  <w:vAlign w:val="center"/>
                </w:tcPr>
                <w:p w14:paraId="7954C0DB" w14:textId="77777777" w:rsidR="00F05DC7" w:rsidRPr="00CE6393" w:rsidRDefault="00F05DC7" w:rsidP="00A3786D">
                  <w:pPr>
                    <w:pStyle w:val="TableUnitsRow"/>
                    <w:ind w:right="57"/>
                    <w:rPr>
                      <w:rFonts w:asciiTheme="minorHAnsi" w:hAnsiTheme="minorHAnsi" w:cstheme="minorHAnsi"/>
                      <w:color w:val="000000"/>
                      <w:szCs w:val="18"/>
                    </w:rPr>
                  </w:pPr>
                </w:p>
              </w:tc>
              <w:tc>
                <w:tcPr>
                  <w:tcW w:w="417" w:type="pct"/>
                  <w:tcBorders>
                    <w:top w:val="single" w:sz="6" w:space="0" w:color="BFBFBF"/>
                  </w:tcBorders>
                  <w:shd w:val="clear" w:color="auto" w:fill="auto"/>
                  <w:vAlign w:val="center"/>
                </w:tcPr>
                <w:p w14:paraId="7954C0DC" w14:textId="77777777" w:rsidR="00F05DC7" w:rsidRPr="00CE6393" w:rsidRDefault="00F05DC7" w:rsidP="00A3786D">
                  <w:pPr>
                    <w:pStyle w:val="TableUnitsRow"/>
                    <w:ind w:right="57"/>
                    <w:rPr>
                      <w:rFonts w:asciiTheme="minorHAnsi" w:hAnsiTheme="minorHAnsi" w:cstheme="minorHAnsi"/>
                      <w:color w:val="000000"/>
                      <w:szCs w:val="18"/>
                    </w:rPr>
                  </w:pPr>
                </w:p>
              </w:tc>
              <w:tc>
                <w:tcPr>
                  <w:tcW w:w="416" w:type="pct"/>
                  <w:tcBorders>
                    <w:top w:val="single" w:sz="6" w:space="0" w:color="BFBFBF"/>
                  </w:tcBorders>
                  <w:shd w:val="clear" w:color="auto" w:fill="auto"/>
                  <w:vAlign w:val="center"/>
                </w:tcPr>
                <w:p w14:paraId="7954C0DD" w14:textId="77777777" w:rsidR="00F05DC7" w:rsidRPr="00CE6393" w:rsidRDefault="00F05DC7" w:rsidP="00A3786D">
                  <w:pPr>
                    <w:pStyle w:val="TableUnitsRow"/>
                    <w:ind w:right="57"/>
                    <w:rPr>
                      <w:rFonts w:asciiTheme="minorHAnsi" w:hAnsiTheme="minorHAnsi" w:cstheme="minorHAnsi"/>
                      <w:color w:val="000000"/>
                      <w:szCs w:val="18"/>
                    </w:rPr>
                  </w:pPr>
                </w:p>
              </w:tc>
            </w:tr>
            <w:tr w:rsidR="00F05DC7" w:rsidRPr="00AD7DC6" w14:paraId="7954C0E8" w14:textId="77777777" w:rsidTr="00A3786D">
              <w:tc>
                <w:tcPr>
                  <w:tcW w:w="1667" w:type="pct"/>
                  <w:shd w:val="clear" w:color="auto" w:fill="F2F2F2" w:themeFill="background1" w:themeFillShade="F2"/>
                  <w:vAlign w:val="center"/>
                </w:tcPr>
                <w:p w14:paraId="7954C0DF" w14:textId="77777777" w:rsidR="00F05DC7" w:rsidRPr="005C0D45" w:rsidRDefault="00F05DC7" w:rsidP="00A3786D">
                  <w:pPr>
                    <w:spacing w:before="80"/>
                    <w:ind w:right="57"/>
                    <w:rPr>
                      <w:rFonts w:asciiTheme="minorHAnsi" w:hAnsiTheme="minorHAnsi" w:cstheme="minorHAnsi"/>
                      <w:b/>
                      <w:color w:val="000000"/>
                      <w:sz w:val="18"/>
                      <w:szCs w:val="18"/>
                    </w:rPr>
                  </w:pPr>
                  <w:r w:rsidRPr="005C0D45">
                    <w:rPr>
                      <w:rFonts w:asciiTheme="minorHAnsi" w:hAnsiTheme="minorHAnsi" w:cstheme="minorHAnsi"/>
                      <w:color w:val="000000"/>
                      <w:sz w:val="18"/>
                      <w:szCs w:val="18"/>
                    </w:rPr>
                    <w:t>GST, lower bound ($m)</w:t>
                  </w:r>
                </w:p>
              </w:tc>
              <w:tc>
                <w:tcPr>
                  <w:tcW w:w="416" w:type="pct"/>
                  <w:shd w:val="clear" w:color="auto" w:fill="F2F2F2" w:themeFill="background1" w:themeFillShade="F2"/>
                  <w:vAlign w:val="center"/>
                </w:tcPr>
                <w:p w14:paraId="7954C0E0" w14:textId="77777777" w:rsidR="00F05DC7" w:rsidRPr="00CB3089" w:rsidRDefault="00F05DC7" w:rsidP="00A3786D">
                  <w:pPr>
                    <w:pStyle w:val="TableBodyText"/>
                    <w:ind w:right="57"/>
                    <w:rPr>
                      <w:rFonts w:cs="Arial"/>
                      <w:color w:val="000000"/>
                      <w:szCs w:val="18"/>
                    </w:rPr>
                  </w:pPr>
                  <w:r w:rsidRPr="00CB3089">
                    <w:rPr>
                      <w:rFonts w:cs="Arial"/>
                      <w:szCs w:val="18"/>
                    </w:rPr>
                    <w:t>-337</w:t>
                  </w:r>
                </w:p>
              </w:tc>
              <w:tc>
                <w:tcPr>
                  <w:tcW w:w="417" w:type="pct"/>
                  <w:shd w:val="clear" w:color="auto" w:fill="F2F2F2" w:themeFill="background1" w:themeFillShade="F2"/>
                  <w:vAlign w:val="center"/>
                </w:tcPr>
                <w:p w14:paraId="7954C0E1" w14:textId="77777777" w:rsidR="00F05DC7" w:rsidRPr="00CB3089" w:rsidRDefault="00F05DC7" w:rsidP="00A3786D">
                  <w:pPr>
                    <w:pStyle w:val="TableBodyText"/>
                    <w:ind w:right="57"/>
                    <w:rPr>
                      <w:rFonts w:cs="Arial"/>
                      <w:color w:val="000000"/>
                      <w:szCs w:val="18"/>
                    </w:rPr>
                  </w:pPr>
                  <w:r w:rsidRPr="00CB3089">
                    <w:rPr>
                      <w:rFonts w:cs="Arial"/>
                      <w:szCs w:val="18"/>
                    </w:rPr>
                    <w:t>-351</w:t>
                  </w:r>
                </w:p>
              </w:tc>
              <w:tc>
                <w:tcPr>
                  <w:tcW w:w="417" w:type="pct"/>
                  <w:shd w:val="clear" w:color="auto" w:fill="F2F2F2" w:themeFill="background1" w:themeFillShade="F2"/>
                  <w:vAlign w:val="center"/>
                </w:tcPr>
                <w:p w14:paraId="7954C0E2" w14:textId="77777777" w:rsidR="00F05DC7" w:rsidRPr="00CB3089" w:rsidRDefault="00F05DC7" w:rsidP="00A3786D">
                  <w:pPr>
                    <w:pStyle w:val="TableBodyText"/>
                    <w:ind w:right="57"/>
                    <w:rPr>
                      <w:rFonts w:cs="Arial"/>
                      <w:color w:val="000000"/>
                      <w:szCs w:val="18"/>
                    </w:rPr>
                  </w:pPr>
                  <w:r w:rsidRPr="00CB3089">
                    <w:rPr>
                      <w:rFonts w:cs="Arial"/>
                      <w:szCs w:val="18"/>
                    </w:rPr>
                    <w:t>-308</w:t>
                  </w:r>
                </w:p>
              </w:tc>
              <w:tc>
                <w:tcPr>
                  <w:tcW w:w="417" w:type="pct"/>
                  <w:shd w:val="clear" w:color="auto" w:fill="F2F2F2" w:themeFill="background1" w:themeFillShade="F2"/>
                  <w:vAlign w:val="center"/>
                </w:tcPr>
                <w:p w14:paraId="7954C0E3" w14:textId="77777777" w:rsidR="00F05DC7" w:rsidRPr="00CB3089" w:rsidRDefault="00F05DC7" w:rsidP="00A3786D">
                  <w:pPr>
                    <w:pStyle w:val="TableBodyText"/>
                    <w:ind w:right="57"/>
                    <w:rPr>
                      <w:rFonts w:cs="Arial"/>
                      <w:color w:val="000000"/>
                      <w:szCs w:val="18"/>
                    </w:rPr>
                  </w:pPr>
                  <w:r w:rsidRPr="00CB3089">
                    <w:rPr>
                      <w:rFonts w:cs="Arial"/>
                      <w:szCs w:val="18"/>
                    </w:rPr>
                    <w:t>-131</w:t>
                  </w:r>
                </w:p>
              </w:tc>
              <w:tc>
                <w:tcPr>
                  <w:tcW w:w="416" w:type="pct"/>
                  <w:shd w:val="clear" w:color="auto" w:fill="F2F2F2" w:themeFill="background1" w:themeFillShade="F2"/>
                  <w:vAlign w:val="center"/>
                </w:tcPr>
                <w:p w14:paraId="7954C0E4" w14:textId="77777777" w:rsidR="00F05DC7" w:rsidRPr="00CB3089" w:rsidRDefault="00F05DC7" w:rsidP="00A3786D">
                  <w:pPr>
                    <w:pStyle w:val="TableBodyText"/>
                    <w:ind w:right="57"/>
                    <w:rPr>
                      <w:rFonts w:cs="Arial"/>
                      <w:color w:val="000000"/>
                      <w:szCs w:val="18"/>
                    </w:rPr>
                  </w:pPr>
                  <w:r w:rsidRPr="00CB3089">
                    <w:rPr>
                      <w:rFonts w:cs="Arial"/>
                      <w:szCs w:val="18"/>
                    </w:rPr>
                    <w:t>-83</w:t>
                  </w:r>
                </w:p>
              </w:tc>
              <w:tc>
                <w:tcPr>
                  <w:tcW w:w="417" w:type="pct"/>
                  <w:shd w:val="clear" w:color="auto" w:fill="F2F2F2" w:themeFill="background1" w:themeFillShade="F2"/>
                  <w:vAlign w:val="center"/>
                </w:tcPr>
                <w:p w14:paraId="7954C0E5" w14:textId="77777777" w:rsidR="00F05DC7" w:rsidRPr="00CB3089" w:rsidRDefault="00F05DC7" w:rsidP="00A3786D">
                  <w:pPr>
                    <w:pStyle w:val="TableBodyText"/>
                    <w:ind w:right="57"/>
                    <w:rPr>
                      <w:rFonts w:cs="Arial"/>
                      <w:color w:val="000000"/>
                      <w:szCs w:val="18"/>
                    </w:rPr>
                  </w:pPr>
                  <w:r w:rsidRPr="00CB3089">
                    <w:rPr>
                      <w:rFonts w:cs="Arial"/>
                      <w:szCs w:val="18"/>
                    </w:rPr>
                    <w:t>-24</w:t>
                  </w:r>
                </w:p>
              </w:tc>
              <w:tc>
                <w:tcPr>
                  <w:tcW w:w="417" w:type="pct"/>
                  <w:shd w:val="clear" w:color="auto" w:fill="F2F2F2" w:themeFill="background1" w:themeFillShade="F2"/>
                  <w:vAlign w:val="center"/>
                </w:tcPr>
                <w:p w14:paraId="7954C0E6" w14:textId="77777777" w:rsidR="00F05DC7" w:rsidRPr="00CB3089" w:rsidRDefault="00F05DC7" w:rsidP="00A3786D">
                  <w:pPr>
                    <w:pStyle w:val="TableBodyText"/>
                    <w:ind w:right="57"/>
                    <w:rPr>
                      <w:rFonts w:cs="Arial"/>
                      <w:color w:val="000000"/>
                      <w:szCs w:val="18"/>
                    </w:rPr>
                  </w:pPr>
                  <w:r w:rsidRPr="00CB3089">
                    <w:rPr>
                      <w:rFonts w:cs="Arial"/>
                      <w:szCs w:val="18"/>
                    </w:rPr>
                    <w:t>-33</w:t>
                  </w:r>
                </w:p>
              </w:tc>
              <w:tc>
                <w:tcPr>
                  <w:tcW w:w="416" w:type="pct"/>
                  <w:shd w:val="clear" w:color="auto" w:fill="F2F2F2" w:themeFill="background1" w:themeFillShade="F2"/>
                  <w:vAlign w:val="center"/>
                </w:tcPr>
                <w:p w14:paraId="7954C0E7" w14:textId="77777777" w:rsidR="00F05DC7" w:rsidRPr="00CB3089" w:rsidRDefault="00F05DC7" w:rsidP="00A3786D">
                  <w:pPr>
                    <w:pStyle w:val="TableBodyText"/>
                    <w:ind w:right="57"/>
                    <w:rPr>
                      <w:rFonts w:cs="Arial"/>
                      <w:color w:val="000000"/>
                      <w:szCs w:val="18"/>
                    </w:rPr>
                  </w:pPr>
                  <w:r w:rsidRPr="00CB3089">
                    <w:rPr>
                      <w:rFonts w:cs="Arial"/>
                      <w:szCs w:val="18"/>
                    </w:rPr>
                    <w:t>-10</w:t>
                  </w:r>
                </w:p>
              </w:tc>
            </w:tr>
            <w:tr w:rsidR="00F05DC7" w:rsidRPr="00AD7DC6" w14:paraId="7954C0F2" w14:textId="77777777" w:rsidTr="00A3786D">
              <w:trPr>
                <w:trHeight w:val="210"/>
              </w:trPr>
              <w:tc>
                <w:tcPr>
                  <w:tcW w:w="1667" w:type="pct"/>
                  <w:shd w:val="clear" w:color="auto" w:fill="auto"/>
                  <w:vAlign w:val="center"/>
                </w:tcPr>
                <w:p w14:paraId="7954C0E9" w14:textId="77777777" w:rsidR="00F05DC7" w:rsidRPr="00334909" w:rsidRDefault="00F05DC7" w:rsidP="00A3786D">
                  <w:pPr>
                    <w:pStyle w:val="TableBodyText"/>
                    <w:ind w:left="0" w:right="57"/>
                    <w:jc w:val="left"/>
                    <w:rPr>
                      <w:rFonts w:asciiTheme="minorHAnsi" w:hAnsiTheme="minorHAnsi" w:cstheme="minorHAnsi"/>
                      <w:szCs w:val="18"/>
                    </w:rPr>
                  </w:pPr>
                  <w:r w:rsidRPr="00334909">
                    <w:rPr>
                      <w:rFonts w:asciiTheme="minorHAnsi" w:hAnsiTheme="minorHAnsi" w:cstheme="minorHAnsi"/>
                      <w:bCs/>
                      <w:color w:val="000000"/>
                      <w:szCs w:val="18"/>
                    </w:rPr>
                    <w:t>GST, lower bound ($pc)</w:t>
                  </w:r>
                </w:p>
              </w:tc>
              <w:tc>
                <w:tcPr>
                  <w:tcW w:w="416" w:type="pct"/>
                  <w:shd w:val="clear" w:color="auto" w:fill="auto"/>
                  <w:vAlign w:val="center"/>
                </w:tcPr>
                <w:p w14:paraId="7954C0EA"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-43</w:t>
                  </w:r>
                </w:p>
              </w:tc>
              <w:tc>
                <w:tcPr>
                  <w:tcW w:w="417" w:type="pct"/>
                  <w:shd w:val="clear" w:color="auto" w:fill="auto"/>
                  <w:vAlign w:val="center"/>
                </w:tcPr>
                <w:p w14:paraId="7954C0EB"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-56</w:t>
                  </w:r>
                </w:p>
              </w:tc>
              <w:tc>
                <w:tcPr>
                  <w:tcW w:w="417" w:type="pct"/>
                  <w:shd w:val="clear" w:color="auto" w:fill="auto"/>
                  <w:vAlign w:val="center"/>
                </w:tcPr>
                <w:p w14:paraId="7954C0EC"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-63</w:t>
                  </w:r>
                </w:p>
              </w:tc>
              <w:tc>
                <w:tcPr>
                  <w:tcW w:w="417" w:type="pct"/>
                  <w:shd w:val="clear" w:color="auto" w:fill="auto"/>
                  <w:vAlign w:val="center"/>
                </w:tcPr>
                <w:p w14:paraId="7954C0ED"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-51</w:t>
                  </w:r>
                </w:p>
              </w:tc>
              <w:tc>
                <w:tcPr>
                  <w:tcW w:w="416" w:type="pct"/>
                  <w:shd w:val="clear" w:color="auto" w:fill="auto"/>
                  <w:vAlign w:val="center"/>
                </w:tcPr>
                <w:p w14:paraId="7954C0EE"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-48</w:t>
                  </w:r>
                </w:p>
              </w:tc>
              <w:tc>
                <w:tcPr>
                  <w:tcW w:w="417" w:type="pct"/>
                  <w:shd w:val="clear" w:color="auto" w:fill="auto"/>
                  <w:vAlign w:val="center"/>
                </w:tcPr>
                <w:p w14:paraId="7954C0EF"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-45</w:t>
                  </w:r>
                </w:p>
              </w:tc>
              <w:tc>
                <w:tcPr>
                  <w:tcW w:w="417" w:type="pct"/>
                  <w:shd w:val="clear" w:color="auto" w:fill="auto"/>
                  <w:vAlign w:val="center"/>
                </w:tcPr>
                <w:p w14:paraId="7954C0F0"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-82</w:t>
                  </w:r>
                </w:p>
              </w:tc>
              <w:tc>
                <w:tcPr>
                  <w:tcW w:w="416" w:type="pct"/>
                  <w:shd w:val="clear" w:color="auto" w:fill="auto"/>
                  <w:vAlign w:val="center"/>
                </w:tcPr>
                <w:p w14:paraId="7954C0F1"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-39</w:t>
                  </w:r>
                </w:p>
              </w:tc>
            </w:tr>
            <w:tr w:rsidR="00F05DC7" w:rsidRPr="00AD7DC6" w14:paraId="7954C0FC" w14:textId="77777777" w:rsidTr="00A3786D">
              <w:trPr>
                <w:trHeight w:val="210"/>
              </w:trPr>
              <w:tc>
                <w:tcPr>
                  <w:tcW w:w="1667" w:type="pct"/>
                  <w:shd w:val="clear" w:color="auto" w:fill="F2F2F2" w:themeFill="background1" w:themeFillShade="F2"/>
                  <w:vAlign w:val="center"/>
                </w:tcPr>
                <w:p w14:paraId="7954C0F3" w14:textId="77777777" w:rsidR="00F05DC7" w:rsidRPr="00334909" w:rsidRDefault="00F05DC7" w:rsidP="00A3786D">
                  <w:pPr>
                    <w:pStyle w:val="TableBodyText"/>
                    <w:ind w:left="0" w:right="57"/>
                    <w:jc w:val="left"/>
                    <w:rPr>
                      <w:rFonts w:asciiTheme="minorHAnsi" w:hAnsiTheme="minorHAnsi" w:cstheme="minorHAnsi"/>
                      <w:bCs/>
                      <w:color w:val="000000"/>
                      <w:szCs w:val="18"/>
                    </w:rPr>
                  </w:pPr>
                  <w:r>
                    <w:t>GST, lower bound (% revenue)</w:t>
                  </w:r>
                </w:p>
              </w:tc>
              <w:tc>
                <w:tcPr>
                  <w:tcW w:w="416" w:type="pct"/>
                  <w:tcBorders>
                    <w:top w:val="nil"/>
                    <w:left w:val="nil"/>
                    <w:bottom w:val="nil"/>
                    <w:right w:val="nil"/>
                  </w:tcBorders>
                  <w:shd w:val="clear" w:color="auto" w:fill="F2F2F2" w:themeFill="background1" w:themeFillShade="F2"/>
                  <w:vAlign w:val="bottom"/>
                </w:tcPr>
                <w:p w14:paraId="7954C0F4"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-0.4</w:t>
                  </w:r>
                </w:p>
              </w:tc>
              <w:tc>
                <w:tcPr>
                  <w:tcW w:w="417" w:type="pct"/>
                  <w:tcBorders>
                    <w:top w:val="nil"/>
                    <w:left w:val="nil"/>
                    <w:bottom w:val="nil"/>
                    <w:right w:val="nil"/>
                  </w:tcBorders>
                  <w:shd w:val="clear" w:color="auto" w:fill="F2F2F2" w:themeFill="background1" w:themeFillShade="F2"/>
                  <w:vAlign w:val="bottom"/>
                </w:tcPr>
                <w:p w14:paraId="7954C0F5"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-0.6</w:t>
                  </w:r>
                </w:p>
              </w:tc>
              <w:tc>
                <w:tcPr>
                  <w:tcW w:w="417" w:type="pct"/>
                  <w:tcBorders>
                    <w:top w:val="nil"/>
                    <w:left w:val="nil"/>
                    <w:bottom w:val="nil"/>
                    <w:right w:val="nil"/>
                  </w:tcBorders>
                  <w:shd w:val="clear" w:color="auto" w:fill="F2F2F2" w:themeFill="background1" w:themeFillShade="F2"/>
                  <w:vAlign w:val="bottom"/>
                </w:tcPr>
                <w:p w14:paraId="7954C0F6"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-0.5</w:t>
                  </w:r>
                </w:p>
              </w:tc>
              <w:tc>
                <w:tcPr>
                  <w:tcW w:w="417" w:type="pct"/>
                  <w:tcBorders>
                    <w:top w:val="nil"/>
                    <w:left w:val="nil"/>
                    <w:bottom w:val="nil"/>
                    <w:right w:val="nil"/>
                  </w:tcBorders>
                  <w:shd w:val="clear" w:color="auto" w:fill="F2F2F2" w:themeFill="background1" w:themeFillShade="F2"/>
                  <w:vAlign w:val="bottom"/>
                </w:tcPr>
                <w:p w14:paraId="7954C0F7"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-0.5</w:t>
                  </w:r>
                </w:p>
              </w:tc>
              <w:tc>
                <w:tcPr>
                  <w:tcW w:w="416" w:type="pct"/>
                  <w:tcBorders>
                    <w:top w:val="nil"/>
                    <w:left w:val="nil"/>
                    <w:bottom w:val="nil"/>
                    <w:right w:val="nil"/>
                  </w:tcBorders>
                  <w:shd w:val="clear" w:color="auto" w:fill="F2F2F2" w:themeFill="background1" w:themeFillShade="F2"/>
                  <w:vAlign w:val="bottom"/>
                </w:tcPr>
                <w:p w14:paraId="7954C0F8"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-0.4</w:t>
                  </w:r>
                </w:p>
              </w:tc>
              <w:tc>
                <w:tcPr>
                  <w:tcW w:w="417" w:type="pct"/>
                  <w:tcBorders>
                    <w:top w:val="nil"/>
                    <w:left w:val="nil"/>
                    <w:bottom w:val="nil"/>
                    <w:right w:val="nil"/>
                  </w:tcBorders>
                  <w:shd w:val="clear" w:color="auto" w:fill="F2F2F2" w:themeFill="background1" w:themeFillShade="F2"/>
                  <w:vAlign w:val="bottom"/>
                </w:tcPr>
                <w:p w14:paraId="7954C0F9"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-0.4</w:t>
                  </w:r>
                </w:p>
              </w:tc>
              <w:tc>
                <w:tcPr>
                  <w:tcW w:w="417" w:type="pct"/>
                  <w:tcBorders>
                    <w:top w:val="nil"/>
                    <w:left w:val="nil"/>
                    <w:bottom w:val="nil"/>
                    <w:right w:val="nil"/>
                  </w:tcBorders>
                  <w:shd w:val="clear" w:color="auto" w:fill="F2F2F2" w:themeFill="background1" w:themeFillShade="F2"/>
                  <w:vAlign w:val="bottom"/>
                </w:tcPr>
                <w:p w14:paraId="7954C0FA"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-0.6</w:t>
                  </w:r>
                </w:p>
              </w:tc>
              <w:tc>
                <w:tcPr>
                  <w:tcW w:w="416" w:type="pct"/>
                  <w:tcBorders>
                    <w:top w:val="nil"/>
                    <w:left w:val="nil"/>
                    <w:bottom w:val="nil"/>
                    <w:right w:val="nil"/>
                  </w:tcBorders>
                  <w:shd w:val="clear" w:color="auto" w:fill="F2F2F2" w:themeFill="background1" w:themeFillShade="F2"/>
                  <w:vAlign w:val="bottom"/>
                </w:tcPr>
                <w:p w14:paraId="7954C0FB" w14:textId="77777777" w:rsidR="00F05DC7" w:rsidRPr="00CB3089" w:rsidRDefault="00F05DC7" w:rsidP="00A3786D">
                  <w:pPr>
                    <w:pStyle w:val="TableBodyText"/>
                    <w:ind w:right="57"/>
                    <w:rPr>
                      <w:rFonts w:cs="Arial"/>
                      <w:color w:val="000000" w:themeColor="text1"/>
                      <w:szCs w:val="18"/>
                    </w:rPr>
                  </w:pPr>
                  <w:r w:rsidRPr="00CB3089">
                    <w:rPr>
                      <w:rFonts w:cs="Arial"/>
                      <w:i/>
                      <w:color w:val="000000"/>
                      <w:szCs w:val="18"/>
                    </w:rPr>
                    <w:t>-0.2</w:t>
                  </w:r>
                </w:p>
              </w:tc>
            </w:tr>
            <w:tr w:rsidR="00F05DC7" w:rsidRPr="00AD7DC6" w14:paraId="7954C106" w14:textId="77777777" w:rsidTr="00A3786D">
              <w:trPr>
                <w:trHeight w:val="210"/>
              </w:trPr>
              <w:tc>
                <w:tcPr>
                  <w:tcW w:w="1667" w:type="pct"/>
                  <w:shd w:val="clear" w:color="auto" w:fill="auto"/>
                  <w:vAlign w:val="center"/>
                </w:tcPr>
                <w:p w14:paraId="7954C0FD" w14:textId="77777777" w:rsidR="00F05DC7" w:rsidRPr="00334909" w:rsidRDefault="00F05DC7" w:rsidP="00A3786D">
                  <w:pPr>
                    <w:pStyle w:val="TableBodyText"/>
                    <w:ind w:left="0" w:right="57"/>
                    <w:jc w:val="left"/>
                    <w:rPr>
                      <w:rFonts w:asciiTheme="minorHAnsi" w:hAnsiTheme="minorHAnsi" w:cstheme="minorHAnsi"/>
                      <w:color w:val="000000"/>
                      <w:szCs w:val="18"/>
                    </w:rPr>
                  </w:pPr>
                  <w:r w:rsidRPr="00334909">
                    <w:rPr>
                      <w:rFonts w:asciiTheme="minorHAnsi" w:hAnsiTheme="minorHAnsi" w:cstheme="minorHAnsi"/>
                      <w:bCs/>
                      <w:color w:val="000000"/>
                      <w:szCs w:val="18"/>
                    </w:rPr>
                    <w:t>GST, upper bound ($m)</w:t>
                  </w:r>
                </w:p>
              </w:tc>
              <w:tc>
                <w:tcPr>
                  <w:tcW w:w="416" w:type="pct"/>
                  <w:shd w:val="clear" w:color="auto" w:fill="auto"/>
                  <w:vAlign w:val="center"/>
                </w:tcPr>
                <w:p w14:paraId="7954C0FE"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-1 281</w:t>
                  </w:r>
                </w:p>
              </w:tc>
              <w:tc>
                <w:tcPr>
                  <w:tcW w:w="417" w:type="pct"/>
                  <w:shd w:val="clear" w:color="auto" w:fill="auto"/>
                  <w:vAlign w:val="center"/>
                </w:tcPr>
                <w:p w14:paraId="7954C0FF"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-1 178</w:t>
                  </w:r>
                </w:p>
              </w:tc>
              <w:tc>
                <w:tcPr>
                  <w:tcW w:w="417" w:type="pct"/>
                  <w:shd w:val="clear" w:color="auto" w:fill="auto"/>
                  <w:vAlign w:val="center"/>
                </w:tcPr>
                <w:p w14:paraId="7954C100"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-982</w:t>
                  </w:r>
                </w:p>
              </w:tc>
              <w:tc>
                <w:tcPr>
                  <w:tcW w:w="417" w:type="pct"/>
                  <w:shd w:val="clear" w:color="auto" w:fill="auto"/>
                  <w:vAlign w:val="center"/>
                </w:tcPr>
                <w:p w14:paraId="7954C101"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-366</w:t>
                  </w:r>
                </w:p>
              </w:tc>
              <w:tc>
                <w:tcPr>
                  <w:tcW w:w="416" w:type="pct"/>
                  <w:shd w:val="clear" w:color="auto" w:fill="auto"/>
                  <w:vAlign w:val="center"/>
                </w:tcPr>
                <w:p w14:paraId="7954C102"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-250</w:t>
                  </w:r>
                </w:p>
              </w:tc>
              <w:tc>
                <w:tcPr>
                  <w:tcW w:w="417" w:type="pct"/>
                  <w:shd w:val="clear" w:color="auto" w:fill="auto"/>
                  <w:vAlign w:val="center"/>
                </w:tcPr>
                <w:p w14:paraId="7954C103"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-79</w:t>
                  </w:r>
                </w:p>
              </w:tc>
              <w:tc>
                <w:tcPr>
                  <w:tcW w:w="417" w:type="pct"/>
                  <w:shd w:val="clear" w:color="auto" w:fill="auto"/>
                  <w:vAlign w:val="center"/>
                </w:tcPr>
                <w:p w14:paraId="7954C104"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-115</w:t>
                  </w:r>
                </w:p>
              </w:tc>
              <w:tc>
                <w:tcPr>
                  <w:tcW w:w="416" w:type="pct"/>
                  <w:shd w:val="clear" w:color="auto" w:fill="auto"/>
                  <w:vAlign w:val="center"/>
                </w:tcPr>
                <w:p w14:paraId="7954C105"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-32</w:t>
                  </w:r>
                </w:p>
              </w:tc>
            </w:tr>
            <w:tr w:rsidR="00F05DC7" w:rsidRPr="00AD7DC6" w14:paraId="7954C110" w14:textId="77777777" w:rsidTr="00A3786D">
              <w:trPr>
                <w:trHeight w:val="210"/>
              </w:trPr>
              <w:tc>
                <w:tcPr>
                  <w:tcW w:w="1667" w:type="pct"/>
                  <w:shd w:val="clear" w:color="auto" w:fill="F2F2F2" w:themeFill="background1" w:themeFillShade="F2"/>
                  <w:vAlign w:val="center"/>
                </w:tcPr>
                <w:p w14:paraId="7954C107" w14:textId="77777777" w:rsidR="00F05DC7" w:rsidRPr="00334909" w:rsidRDefault="00F05DC7" w:rsidP="00A3786D">
                  <w:pPr>
                    <w:pStyle w:val="TableBodyText"/>
                    <w:ind w:left="0" w:right="57"/>
                    <w:jc w:val="left"/>
                    <w:rPr>
                      <w:rFonts w:asciiTheme="minorHAnsi" w:hAnsiTheme="minorHAnsi" w:cstheme="minorHAnsi"/>
                      <w:color w:val="000000"/>
                      <w:szCs w:val="18"/>
                    </w:rPr>
                  </w:pPr>
                  <w:r w:rsidRPr="00334909">
                    <w:rPr>
                      <w:rFonts w:asciiTheme="minorHAnsi" w:hAnsiTheme="minorHAnsi" w:cstheme="minorHAnsi"/>
                      <w:bCs/>
                      <w:color w:val="000000"/>
                      <w:szCs w:val="18"/>
                    </w:rPr>
                    <w:t>GST, upper bound ($pc)</w:t>
                  </w:r>
                </w:p>
              </w:tc>
              <w:tc>
                <w:tcPr>
                  <w:tcW w:w="416" w:type="pct"/>
                  <w:shd w:val="clear" w:color="auto" w:fill="F2F2F2" w:themeFill="background1" w:themeFillShade="F2"/>
                  <w:vAlign w:val="center"/>
                </w:tcPr>
                <w:p w14:paraId="7954C108"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-164</w:t>
                  </w:r>
                </w:p>
              </w:tc>
              <w:tc>
                <w:tcPr>
                  <w:tcW w:w="417" w:type="pct"/>
                  <w:shd w:val="clear" w:color="auto" w:fill="F2F2F2" w:themeFill="background1" w:themeFillShade="F2"/>
                  <w:vAlign w:val="center"/>
                </w:tcPr>
                <w:p w14:paraId="7954C109"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-189</w:t>
                  </w:r>
                </w:p>
              </w:tc>
              <w:tc>
                <w:tcPr>
                  <w:tcW w:w="417" w:type="pct"/>
                  <w:shd w:val="clear" w:color="auto" w:fill="F2F2F2" w:themeFill="background1" w:themeFillShade="F2"/>
                  <w:vAlign w:val="center"/>
                </w:tcPr>
                <w:p w14:paraId="7954C10A"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-201</w:t>
                  </w:r>
                </w:p>
              </w:tc>
              <w:tc>
                <w:tcPr>
                  <w:tcW w:w="417" w:type="pct"/>
                  <w:shd w:val="clear" w:color="auto" w:fill="F2F2F2" w:themeFill="background1" w:themeFillShade="F2"/>
                  <w:vAlign w:val="center"/>
                </w:tcPr>
                <w:p w14:paraId="7954C10B"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-143</w:t>
                  </w:r>
                </w:p>
              </w:tc>
              <w:tc>
                <w:tcPr>
                  <w:tcW w:w="416" w:type="pct"/>
                  <w:shd w:val="clear" w:color="auto" w:fill="F2F2F2" w:themeFill="background1" w:themeFillShade="F2"/>
                  <w:vAlign w:val="center"/>
                </w:tcPr>
                <w:p w14:paraId="7954C10C"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-146</w:t>
                  </w:r>
                </w:p>
              </w:tc>
              <w:tc>
                <w:tcPr>
                  <w:tcW w:w="417" w:type="pct"/>
                  <w:shd w:val="clear" w:color="auto" w:fill="F2F2F2" w:themeFill="background1" w:themeFillShade="F2"/>
                  <w:vAlign w:val="center"/>
                </w:tcPr>
                <w:p w14:paraId="7954C10D"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-152</w:t>
                  </w:r>
                </w:p>
              </w:tc>
              <w:tc>
                <w:tcPr>
                  <w:tcW w:w="417" w:type="pct"/>
                  <w:shd w:val="clear" w:color="auto" w:fill="F2F2F2" w:themeFill="background1" w:themeFillShade="F2"/>
                  <w:vAlign w:val="center"/>
                </w:tcPr>
                <w:p w14:paraId="7954C10E"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-283</w:t>
                  </w:r>
                </w:p>
              </w:tc>
              <w:tc>
                <w:tcPr>
                  <w:tcW w:w="416" w:type="pct"/>
                  <w:shd w:val="clear" w:color="auto" w:fill="F2F2F2" w:themeFill="background1" w:themeFillShade="F2"/>
                  <w:vAlign w:val="center"/>
                </w:tcPr>
                <w:p w14:paraId="7954C10F" w14:textId="77777777" w:rsidR="00F05DC7" w:rsidRPr="00CB3089" w:rsidRDefault="00F05DC7" w:rsidP="00A3786D">
                  <w:pPr>
                    <w:pStyle w:val="TableBodyText"/>
                    <w:ind w:right="57"/>
                    <w:rPr>
                      <w:rFonts w:cs="Arial"/>
                      <w:color w:val="000000" w:themeColor="text1"/>
                      <w:szCs w:val="18"/>
                    </w:rPr>
                  </w:pPr>
                  <w:r w:rsidRPr="00CB3089">
                    <w:rPr>
                      <w:rFonts w:cs="Arial"/>
                      <w:color w:val="000000" w:themeColor="text1"/>
                      <w:szCs w:val="18"/>
                    </w:rPr>
                    <w:t>-132</w:t>
                  </w:r>
                </w:p>
              </w:tc>
            </w:tr>
            <w:tr w:rsidR="00F05DC7" w:rsidRPr="00AD7DC6" w14:paraId="7954C11A" w14:textId="77777777" w:rsidTr="00A3786D">
              <w:trPr>
                <w:trHeight w:val="210"/>
              </w:trPr>
              <w:tc>
                <w:tcPr>
                  <w:tcW w:w="1667" w:type="pct"/>
                  <w:tcBorders>
                    <w:bottom w:val="single" w:sz="4" w:space="0" w:color="D9D9D9" w:themeColor="background1" w:themeShade="D9"/>
                  </w:tcBorders>
                  <w:shd w:val="clear" w:color="auto" w:fill="auto"/>
                  <w:vAlign w:val="center"/>
                </w:tcPr>
                <w:p w14:paraId="7954C111" w14:textId="77777777" w:rsidR="00F05DC7" w:rsidRPr="00334909" w:rsidRDefault="00F05DC7" w:rsidP="00A3786D">
                  <w:pPr>
                    <w:pStyle w:val="TableBodyText"/>
                    <w:ind w:left="0" w:right="57"/>
                    <w:jc w:val="left"/>
                    <w:rPr>
                      <w:rFonts w:asciiTheme="minorHAnsi" w:hAnsiTheme="minorHAnsi" w:cstheme="minorHAnsi"/>
                      <w:bCs/>
                      <w:color w:val="000000"/>
                      <w:szCs w:val="18"/>
                    </w:rPr>
                  </w:pPr>
                  <w:r>
                    <w:t>GST, upper bound (% revenue)</w:t>
                  </w:r>
                </w:p>
              </w:tc>
              <w:tc>
                <w:tcPr>
                  <w:tcW w:w="416" w:type="pct"/>
                  <w:tcBorders>
                    <w:top w:val="nil"/>
                    <w:left w:val="nil"/>
                    <w:bottom w:val="single" w:sz="4" w:space="0" w:color="D9D9D9" w:themeColor="background1" w:themeShade="D9"/>
                    <w:right w:val="nil"/>
                  </w:tcBorders>
                  <w:shd w:val="clear" w:color="auto" w:fill="auto"/>
                  <w:vAlign w:val="bottom"/>
                </w:tcPr>
                <w:p w14:paraId="7954C112"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-1.6</w:t>
                  </w:r>
                </w:p>
              </w:tc>
              <w:tc>
                <w:tcPr>
                  <w:tcW w:w="417" w:type="pct"/>
                  <w:tcBorders>
                    <w:top w:val="nil"/>
                    <w:left w:val="nil"/>
                    <w:bottom w:val="single" w:sz="4" w:space="0" w:color="D9D9D9" w:themeColor="background1" w:themeShade="D9"/>
                    <w:right w:val="nil"/>
                  </w:tcBorders>
                  <w:shd w:val="clear" w:color="auto" w:fill="auto"/>
                  <w:vAlign w:val="bottom"/>
                </w:tcPr>
                <w:p w14:paraId="7954C113"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-1.9</w:t>
                  </w:r>
                </w:p>
              </w:tc>
              <w:tc>
                <w:tcPr>
                  <w:tcW w:w="417" w:type="pct"/>
                  <w:tcBorders>
                    <w:top w:val="nil"/>
                    <w:left w:val="nil"/>
                    <w:bottom w:val="single" w:sz="4" w:space="0" w:color="D9D9D9" w:themeColor="background1" w:themeShade="D9"/>
                    <w:right w:val="nil"/>
                  </w:tcBorders>
                  <w:shd w:val="clear" w:color="auto" w:fill="auto"/>
                  <w:vAlign w:val="bottom"/>
                </w:tcPr>
                <w:p w14:paraId="7954C114"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-1.7</w:t>
                  </w:r>
                </w:p>
              </w:tc>
              <w:tc>
                <w:tcPr>
                  <w:tcW w:w="417" w:type="pct"/>
                  <w:tcBorders>
                    <w:top w:val="nil"/>
                    <w:left w:val="nil"/>
                    <w:bottom w:val="single" w:sz="4" w:space="0" w:color="D9D9D9" w:themeColor="background1" w:themeShade="D9"/>
                    <w:right w:val="nil"/>
                  </w:tcBorders>
                  <w:shd w:val="clear" w:color="auto" w:fill="auto"/>
                  <w:vAlign w:val="bottom"/>
                </w:tcPr>
                <w:p w14:paraId="7954C115"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-1.4</w:t>
                  </w:r>
                </w:p>
              </w:tc>
              <w:tc>
                <w:tcPr>
                  <w:tcW w:w="416" w:type="pct"/>
                  <w:tcBorders>
                    <w:top w:val="nil"/>
                    <w:left w:val="nil"/>
                    <w:bottom w:val="single" w:sz="4" w:space="0" w:color="D9D9D9" w:themeColor="background1" w:themeShade="D9"/>
                    <w:right w:val="nil"/>
                  </w:tcBorders>
                  <w:shd w:val="clear" w:color="auto" w:fill="auto"/>
                  <w:vAlign w:val="bottom"/>
                </w:tcPr>
                <w:p w14:paraId="7954C116"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-1.4</w:t>
                  </w:r>
                </w:p>
              </w:tc>
              <w:tc>
                <w:tcPr>
                  <w:tcW w:w="417" w:type="pct"/>
                  <w:tcBorders>
                    <w:top w:val="nil"/>
                    <w:left w:val="nil"/>
                    <w:bottom w:val="single" w:sz="4" w:space="0" w:color="D9D9D9" w:themeColor="background1" w:themeShade="D9"/>
                    <w:right w:val="nil"/>
                  </w:tcBorders>
                  <w:shd w:val="clear" w:color="auto" w:fill="auto"/>
                  <w:vAlign w:val="bottom"/>
                </w:tcPr>
                <w:p w14:paraId="7954C117"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-1.4</w:t>
                  </w:r>
                </w:p>
              </w:tc>
              <w:tc>
                <w:tcPr>
                  <w:tcW w:w="417" w:type="pct"/>
                  <w:tcBorders>
                    <w:top w:val="nil"/>
                    <w:left w:val="nil"/>
                    <w:bottom w:val="single" w:sz="4" w:space="0" w:color="D9D9D9" w:themeColor="background1" w:themeShade="D9"/>
                    <w:right w:val="nil"/>
                  </w:tcBorders>
                  <w:shd w:val="clear" w:color="auto" w:fill="auto"/>
                  <w:vAlign w:val="bottom"/>
                </w:tcPr>
                <w:p w14:paraId="7954C118" w14:textId="77777777" w:rsidR="00F05DC7" w:rsidRPr="00CB3089" w:rsidRDefault="00F05DC7" w:rsidP="00A3786D">
                  <w:pPr>
                    <w:pStyle w:val="TableBodyText"/>
                    <w:ind w:right="57"/>
                    <w:rPr>
                      <w:rFonts w:cs="Arial"/>
                      <w:color w:val="000000" w:themeColor="text1"/>
                      <w:szCs w:val="18"/>
                    </w:rPr>
                  </w:pPr>
                  <w:r w:rsidRPr="00CB3089">
                    <w:rPr>
                      <w:rFonts w:cs="Arial"/>
                      <w:color w:val="000000"/>
                      <w:szCs w:val="18"/>
                    </w:rPr>
                    <w:t>-2.2</w:t>
                  </w:r>
                </w:p>
              </w:tc>
              <w:tc>
                <w:tcPr>
                  <w:tcW w:w="416" w:type="pct"/>
                  <w:tcBorders>
                    <w:top w:val="nil"/>
                    <w:left w:val="nil"/>
                    <w:bottom w:val="single" w:sz="4" w:space="0" w:color="D9D9D9" w:themeColor="background1" w:themeShade="D9"/>
                    <w:right w:val="nil"/>
                  </w:tcBorders>
                  <w:shd w:val="clear" w:color="auto" w:fill="auto"/>
                  <w:vAlign w:val="bottom"/>
                </w:tcPr>
                <w:p w14:paraId="7954C119" w14:textId="77777777" w:rsidR="00F05DC7" w:rsidRPr="00CB3089" w:rsidRDefault="00F05DC7" w:rsidP="00A3786D">
                  <w:pPr>
                    <w:pStyle w:val="TableBodyText"/>
                    <w:ind w:right="57"/>
                    <w:rPr>
                      <w:rFonts w:cs="Arial"/>
                      <w:color w:val="000000" w:themeColor="text1"/>
                      <w:szCs w:val="18"/>
                    </w:rPr>
                  </w:pPr>
                  <w:r w:rsidRPr="00CB3089">
                    <w:rPr>
                      <w:rFonts w:cs="Arial"/>
                      <w:i/>
                      <w:color w:val="000000"/>
                      <w:szCs w:val="18"/>
                    </w:rPr>
                    <w:t>-0.5</w:t>
                  </w:r>
                </w:p>
              </w:tc>
            </w:tr>
            <w:tr w:rsidR="00F05DC7" w:rsidRPr="00AD7DC6" w14:paraId="7954C124" w14:textId="77777777" w:rsidTr="00A3786D">
              <w:tc>
                <w:tcPr>
                  <w:tcW w:w="1667" w:type="pct"/>
                  <w:tcBorders>
                    <w:top w:val="single" w:sz="4" w:space="0" w:color="D9D9D9" w:themeColor="background1" w:themeShade="D9"/>
                  </w:tcBorders>
                  <w:shd w:val="clear" w:color="auto" w:fill="auto"/>
                  <w:vAlign w:val="center"/>
                </w:tcPr>
                <w:p w14:paraId="7954C11B" w14:textId="77777777" w:rsidR="00F05DC7" w:rsidRPr="005C0D45" w:rsidRDefault="00F05DC7" w:rsidP="00A3786D">
                  <w:pPr>
                    <w:spacing w:before="80"/>
                    <w:ind w:right="57"/>
                    <w:rPr>
                      <w:rFonts w:asciiTheme="minorHAnsi" w:hAnsiTheme="minorHAnsi" w:cstheme="minorHAnsi"/>
                      <w:b/>
                      <w:color w:val="000000"/>
                      <w:sz w:val="18"/>
                      <w:szCs w:val="18"/>
                    </w:rPr>
                  </w:pPr>
                  <w:r w:rsidRPr="00334909">
                    <w:rPr>
                      <w:rFonts w:asciiTheme="minorHAnsi" w:hAnsiTheme="minorHAnsi" w:cstheme="minorHAnsi"/>
                      <w:b/>
                      <w:color w:val="000000"/>
                      <w:sz w:val="18"/>
                      <w:szCs w:val="18"/>
                    </w:rPr>
                    <w:t>Value of dwelling stock</w:t>
                  </w:r>
                </w:p>
              </w:tc>
              <w:tc>
                <w:tcPr>
                  <w:tcW w:w="416" w:type="pct"/>
                  <w:tcBorders>
                    <w:top w:val="single" w:sz="4" w:space="0" w:color="D9D9D9" w:themeColor="background1" w:themeShade="D9"/>
                  </w:tcBorders>
                  <w:shd w:val="clear" w:color="auto" w:fill="auto"/>
                  <w:vAlign w:val="center"/>
                </w:tcPr>
                <w:p w14:paraId="7954C11C"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1D"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1E"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1F" w14:textId="77777777" w:rsidR="00F05DC7" w:rsidRPr="00CB3089" w:rsidRDefault="00F05DC7" w:rsidP="00A3786D">
                  <w:pPr>
                    <w:pStyle w:val="TableBodyText"/>
                    <w:ind w:right="57"/>
                    <w:rPr>
                      <w:rFonts w:cs="Arial"/>
                      <w:color w:val="000000" w:themeColor="text1"/>
                      <w:szCs w:val="18"/>
                    </w:rPr>
                  </w:pPr>
                </w:p>
              </w:tc>
              <w:tc>
                <w:tcPr>
                  <w:tcW w:w="416" w:type="pct"/>
                  <w:tcBorders>
                    <w:top w:val="single" w:sz="4" w:space="0" w:color="D9D9D9" w:themeColor="background1" w:themeShade="D9"/>
                  </w:tcBorders>
                  <w:shd w:val="clear" w:color="auto" w:fill="auto"/>
                  <w:vAlign w:val="center"/>
                </w:tcPr>
                <w:p w14:paraId="7954C120"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21"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22" w14:textId="77777777" w:rsidR="00F05DC7" w:rsidRPr="00CB3089" w:rsidRDefault="00F05DC7" w:rsidP="00A3786D">
                  <w:pPr>
                    <w:pStyle w:val="TableBodyText"/>
                    <w:ind w:right="57"/>
                    <w:rPr>
                      <w:rFonts w:cs="Arial"/>
                      <w:color w:val="000000" w:themeColor="text1"/>
                      <w:szCs w:val="18"/>
                    </w:rPr>
                  </w:pPr>
                </w:p>
              </w:tc>
              <w:tc>
                <w:tcPr>
                  <w:tcW w:w="416" w:type="pct"/>
                  <w:tcBorders>
                    <w:top w:val="single" w:sz="4" w:space="0" w:color="D9D9D9" w:themeColor="background1" w:themeShade="D9"/>
                  </w:tcBorders>
                  <w:shd w:val="clear" w:color="auto" w:fill="auto"/>
                  <w:vAlign w:val="center"/>
                </w:tcPr>
                <w:p w14:paraId="7954C123" w14:textId="77777777" w:rsidR="00F05DC7" w:rsidRPr="00CB3089" w:rsidRDefault="00F05DC7" w:rsidP="00A3786D">
                  <w:pPr>
                    <w:pStyle w:val="TableBodyText"/>
                    <w:ind w:right="57"/>
                    <w:rPr>
                      <w:rFonts w:cs="Arial"/>
                      <w:color w:val="000000" w:themeColor="text1"/>
                      <w:szCs w:val="18"/>
                    </w:rPr>
                  </w:pPr>
                </w:p>
              </w:tc>
            </w:tr>
            <w:tr w:rsidR="00F05DC7" w:rsidRPr="00AD7DC6" w14:paraId="7954C12E" w14:textId="77777777" w:rsidTr="00A3786D">
              <w:trPr>
                <w:trHeight w:val="210"/>
              </w:trPr>
              <w:tc>
                <w:tcPr>
                  <w:tcW w:w="1667" w:type="pct"/>
                  <w:shd w:val="clear" w:color="auto" w:fill="F2F2F2" w:themeFill="background1" w:themeFillShade="F2"/>
                  <w:vAlign w:val="center"/>
                </w:tcPr>
                <w:p w14:paraId="7954C125" w14:textId="77777777" w:rsidR="00F05DC7" w:rsidRPr="00334909" w:rsidRDefault="00F05DC7" w:rsidP="00A3786D">
                  <w:pPr>
                    <w:pStyle w:val="TableBodyText"/>
                    <w:ind w:left="0" w:right="57"/>
                    <w:jc w:val="left"/>
                    <w:rPr>
                      <w:rFonts w:asciiTheme="minorHAnsi" w:hAnsiTheme="minorHAnsi" w:cstheme="minorHAnsi"/>
                      <w:color w:val="000000"/>
                      <w:szCs w:val="18"/>
                    </w:rPr>
                  </w:pPr>
                  <w:r w:rsidRPr="003C5AA9">
                    <w:rPr>
                      <w:rFonts w:asciiTheme="minorHAnsi" w:hAnsiTheme="minorHAnsi" w:cstheme="minorHAnsi"/>
                      <w:bCs/>
                      <w:color w:val="000000"/>
                      <w:szCs w:val="18"/>
                    </w:rPr>
                    <w:t>GST, lower bound ($m)</w:t>
                  </w:r>
                </w:p>
              </w:tc>
              <w:tc>
                <w:tcPr>
                  <w:tcW w:w="416" w:type="pct"/>
                  <w:tcBorders>
                    <w:top w:val="nil"/>
                    <w:left w:val="nil"/>
                    <w:bottom w:val="nil"/>
                    <w:right w:val="nil"/>
                  </w:tcBorders>
                  <w:shd w:val="clear" w:color="auto" w:fill="F2F2F2" w:themeFill="background1" w:themeFillShade="F2"/>
                  <w:vAlign w:val="bottom"/>
                </w:tcPr>
                <w:p w14:paraId="7954C126"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-404</w:t>
                  </w:r>
                </w:p>
              </w:tc>
              <w:tc>
                <w:tcPr>
                  <w:tcW w:w="417" w:type="pct"/>
                  <w:tcBorders>
                    <w:top w:val="nil"/>
                    <w:left w:val="nil"/>
                    <w:bottom w:val="nil"/>
                    <w:right w:val="nil"/>
                  </w:tcBorders>
                  <w:shd w:val="clear" w:color="auto" w:fill="F2F2F2" w:themeFill="background1" w:themeFillShade="F2"/>
                  <w:vAlign w:val="bottom"/>
                </w:tcPr>
                <w:p w14:paraId="7954C127"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-340</w:t>
                  </w:r>
                </w:p>
              </w:tc>
              <w:tc>
                <w:tcPr>
                  <w:tcW w:w="417" w:type="pct"/>
                  <w:tcBorders>
                    <w:top w:val="nil"/>
                    <w:left w:val="nil"/>
                    <w:bottom w:val="nil"/>
                    <w:right w:val="nil"/>
                  </w:tcBorders>
                  <w:shd w:val="clear" w:color="auto" w:fill="F2F2F2" w:themeFill="background1" w:themeFillShade="F2"/>
                  <w:vAlign w:val="bottom"/>
                </w:tcPr>
                <w:p w14:paraId="7954C128"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-329</w:t>
                  </w:r>
                </w:p>
              </w:tc>
              <w:tc>
                <w:tcPr>
                  <w:tcW w:w="417" w:type="pct"/>
                  <w:tcBorders>
                    <w:top w:val="nil"/>
                    <w:left w:val="nil"/>
                    <w:bottom w:val="nil"/>
                    <w:right w:val="nil"/>
                  </w:tcBorders>
                  <w:shd w:val="clear" w:color="auto" w:fill="F2F2F2" w:themeFill="background1" w:themeFillShade="F2"/>
                  <w:vAlign w:val="bottom"/>
                </w:tcPr>
                <w:p w14:paraId="7954C129"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-169</w:t>
                  </w:r>
                </w:p>
              </w:tc>
              <w:tc>
                <w:tcPr>
                  <w:tcW w:w="416" w:type="pct"/>
                  <w:tcBorders>
                    <w:top w:val="nil"/>
                    <w:left w:val="nil"/>
                    <w:bottom w:val="nil"/>
                    <w:right w:val="nil"/>
                  </w:tcBorders>
                  <w:shd w:val="clear" w:color="auto" w:fill="F2F2F2" w:themeFill="background1" w:themeFillShade="F2"/>
                  <w:vAlign w:val="bottom"/>
                </w:tcPr>
                <w:p w14:paraId="7954C12A"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-105</w:t>
                  </w:r>
                </w:p>
              </w:tc>
              <w:tc>
                <w:tcPr>
                  <w:tcW w:w="417" w:type="pct"/>
                  <w:tcBorders>
                    <w:top w:val="nil"/>
                    <w:left w:val="nil"/>
                    <w:bottom w:val="nil"/>
                    <w:right w:val="nil"/>
                  </w:tcBorders>
                  <w:shd w:val="clear" w:color="auto" w:fill="F2F2F2" w:themeFill="background1" w:themeFillShade="F2"/>
                  <w:vAlign w:val="bottom"/>
                </w:tcPr>
                <w:p w14:paraId="7954C12B"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-27</w:t>
                  </w:r>
                </w:p>
              </w:tc>
              <w:tc>
                <w:tcPr>
                  <w:tcW w:w="417" w:type="pct"/>
                  <w:tcBorders>
                    <w:top w:val="nil"/>
                    <w:left w:val="nil"/>
                    <w:bottom w:val="nil"/>
                    <w:right w:val="nil"/>
                  </w:tcBorders>
                  <w:shd w:val="clear" w:color="auto" w:fill="F2F2F2" w:themeFill="background1" w:themeFillShade="F2"/>
                  <w:vAlign w:val="bottom"/>
                </w:tcPr>
                <w:p w14:paraId="7954C12C"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-33</w:t>
                  </w:r>
                </w:p>
              </w:tc>
              <w:tc>
                <w:tcPr>
                  <w:tcW w:w="416" w:type="pct"/>
                  <w:tcBorders>
                    <w:top w:val="nil"/>
                    <w:left w:val="nil"/>
                    <w:bottom w:val="nil"/>
                    <w:right w:val="nil"/>
                  </w:tcBorders>
                  <w:shd w:val="clear" w:color="auto" w:fill="F2F2F2" w:themeFill="background1" w:themeFillShade="F2"/>
                  <w:vAlign w:val="bottom"/>
                </w:tcPr>
                <w:p w14:paraId="7954C12D"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-10</w:t>
                  </w:r>
                </w:p>
              </w:tc>
            </w:tr>
            <w:tr w:rsidR="00F05DC7" w:rsidRPr="00AD7DC6" w14:paraId="7954C138" w14:textId="77777777" w:rsidTr="00A3786D">
              <w:trPr>
                <w:trHeight w:val="210"/>
              </w:trPr>
              <w:tc>
                <w:tcPr>
                  <w:tcW w:w="1667" w:type="pct"/>
                  <w:shd w:val="clear" w:color="auto" w:fill="auto"/>
                  <w:vAlign w:val="center"/>
                </w:tcPr>
                <w:p w14:paraId="7954C12F" w14:textId="77777777" w:rsidR="00F05DC7" w:rsidRPr="00334909" w:rsidRDefault="00F05DC7" w:rsidP="00A3786D">
                  <w:pPr>
                    <w:pStyle w:val="TableBodyText"/>
                    <w:ind w:left="0" w:right="57"/>
                    <w:jc w:val="left"/>
                    <w:rPr>
                      <w:rFonts w:asciiTheme="minorHAnsi" w:hAnsiTheme="minorHAnsi" w:cstheme="minorHAnsi"/>
                      <w:bCs/>
                      <w:color w:val="000000"/>
                      <w:szCs w:val="18"/>
                    </w:rPr>
                  </w:pPr>
                  <w:r w:rsidRPr="003C5AA9">
                    <w:rPr>
                      <w:rFonts w:asciiTheme="minorHAnsi" w:hAnsiTheme="minorHAnsi" w:cstheme="minorHAnsi"/>
                      <w:bCs/>
                      <w:color w:val="000000"/>
                      <w:szCs w:val="18"/>
                    </w:rPr>
                    <w:t>GST, lower bound ($pc)</w:t>
                  </w:r>
                </w:p>
              </w:tc>
              <w:tc>
                <w:tcPr>
                  <w:tcW w:w="416" w:type="pct"/>
                  <w:tcBorders>
                    <w:top w:val="nil"/>
                    <w:left w:val="nil"/>
                    <w:bottom w:val="nil"/>
                    <w:right w:val="nil"/>
                  </w:tcBorders>
                  <w:shd w:val="clear" w:color="auto" w:fill="auto"/>
                  <w:vAlign w:val="bottom"/>
                </w:tcPr>
                <w:p w14:paraId="7954C130"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-52</w:t>
                  </w:r>
                </w:p>
              </w:tc>
              <w:tc>
                <w:tcPr>
                  <w:tcW w:w="417" w:type="pct"/>
                  <w:tcBorders>
                    <w:top w:val="nil"/>
                    <w:left w:val="nil"/>
                    <w:bottom w:val="nil"/>
                    <w:right w:val="nil"/>
                  </w:tcBorders>
                  <w:shd w:val="clear" w:color="auto" w:fill="auto"/>
                  <w:vAlign w:val="bottom"/>
                </w:tcPr>
                <w:p w14:paraId="7954C131"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-54</w:t>
                  </w:r>
                </w:p>
              </w:tc>
              <w:tc>
                <w:tcPr>
                  <w:tcW w:w="417" w:type="pct"/>
                  <w:tcBorders>
                    <w:top w:val="nil"/>
                    <w:left w:val="nil"/>
                    <w:bottom w:val="nil"/>
                    <w:right w:val="nil"/>
                  </w:tcBorders>
                  <w:shd w:val="clear" w:color="auto" w:fill="auto"/>
                  <w:vAlign w:val="bottom"/>
                </w:tcPr>
                <w:p w14:paraId="7954C132"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-67</w:t>
                  </w:r>
                </w:p>
              </w:tc>
              <w:tc>
                <w:tcPr>
                  <w:tcW w:w="417" w:type="pct"/>
                  <w:tcBorders>
                    <w:top w:val="nil"/>
                    <w:left w:val="nil"/>
                    <w:bottom w:val="nil"/>
                    <w:right w:val="nil"/>
                  </w:tcBorders>
                  <w:shd w:val="clear" w:color="auto" w:fill="auto"/>
                  <w:vAlign w:val="bottom"/>
                </w:tcPr>
                <w:p w14:paraId="7954C133"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-66</w:t>
                  </w:r>
                </w:p>
              </w:tc>
              <w:tc>
                <w:tcPr>
                  <w:tcW w:w="416" w:type="pct"/>
                  <w:tcBorders>
                    <w:top w:val="nil"/>
                    <w:left w:val="nil"/>
                    <w:bottom w:val="nil"/>
                    <w:right w:val="nil"/>
                  </w:tcBorders>
                  <w:shd w:val="clear" w:color="auto" w:fill="auto"/>
                  <w:vAlign w:val="bottom"/>
                </w:tcPr>
                <w:p w14:paraId="7954C134"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-61</w:t>
                  </w:r>
                </w:p>
              </w:tc>
              <w:tc>
                <w:tcPr>
                  <w:tcW w:w="417" w:type="pct"/>
                  <w:tcBorders>
                    <w:top w:val="nil"/>
                    <w:left w:val="nil"/>
                    <w:bottom w:val="nil"/>
                    <w:right w:val="nil"/>
                  </w:tcBorders>
                  <w:shd w:val="clear" w:color="auto" w:fill="auto"/>
                  <w:vAlign w:val="bottom"/>
                </w:tcPr>
                <w:p w14:paraId="7954C135"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-52</w:t>
                  </w:r>
                </w:p>
              </w:tc>
              <w:tc>
                <w:tcPr>
                  <w:tcW w:w="417" w:type="pct"/>
                  <w:tcBorders>
                    <w:top w:val="nil"/>
                    <w:left w:val="nil"/>
                    <w:bottom w:val="nil"/>
                    <w:right w:val="nil"/>
                  </w:tcBorders>
                  <w:shd w:val="clear" w:color="auto" w:fill="auto"/>
                  <w:vAlign w:val="bottom"/>
                </w:tcPr>
                <w:p w14:paraId="7954C136"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-81</w:t>
                  </w:r>
                </w:p>
              </w:tc>
              <w:tc>
                <w:tcPr>
                  <w:tcW w:w="416" w:type="pct"/>
                  <w:tcBorders>
                    <w:top w:val="nil"/>
                    <w:left w:val="nil"/>
                    <w:bottom w:val="nil"/>
                    <w:right w:val="nil"/>
                  </w:tcBorders>
                  <w:shd w:val="clear" w:color="auto" w:fill="auto"/>
                  <w:vAlign w:val="bottom"/>
                </w:tcPr>
                <w:p w14:paraId="7954C137"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-41</w:t>
                  </w:r>
                </w:p>
              </w:tc>
            </w:tr>
            <w:tr w:rsidR="00F05DC7" w:rsidRPr="00AD7DC6" w14:paraId="7954C142" w14:textId="77777777" w:rsidTr="00A3786D">
              <w:trPr>
                <w:trHeight w:val="210"/>
              </w:trPr>
              <w:tc>
                <w:tcPr>
                  <w:tcW w:w="1667" w:type="pct"/>
                  <w:shd w:val="clear" w:color="auto" w:fill="F2F2F2" w:themeFill="background1" w:themeFillShade="F2"/>
                  <w:vAlign w:val="center"/>
                </w:tcPr>
                <w:p w14:paraId="7954C139" w14:textId="77777777" w:rsidR="00F05DC7" w:rsidRPr="003C5AA9" w:rsidRDefault="00F05DC7" w:rsidP="00A3786D">
                  <w:pPr>
                    <w:pStyle w:val="TableBodyText"/>
                    <w:ind w:left="0" w:right="57"/>
                    <w:jc w:val="left"/>
                    <w:rPr>
                      <w:rFonts w:asciiTheme="minorHAnsi" w:hAnsiTheme="minorHAnsi" w:cstheme="minorHAnsi"/>
                      <w:bCs/>
                      <w:color w:val="000000"/>
                      <w:szCs w:val="18"/>
                    </w:rPr>
                  </w:pPr>
                  <w:r>
                    <w:t>GST, lower bound (% revenue)</w:t>
                  </w:r>
                </w:p>
              </w:tc>
              <w:tc>
                <w:tcPr>
                  <w:tcW w:w="416" w:type="pct"/>
                  <w:tcBorders>
                    <w:top w:val="nil"/>
                    <w:left w:val="nil"/>
                    <w:bottom w:val="nil"/>
                    <w:right w:val="nil"/>
                  </w:tcBorders>
                  <w:shd w:val="clear" w:color="auto" w:fill="F2F2F2" w:themeFill="background1" w:themeFillShade="F2"/>
                  <w:vAlign w:val="bottom"/>
                </w:tcPr>
                <w:p w14:paraId="7954C13A"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-0.5</w:t>
                  </w:r>
                </w:p>
              </w:tc>
              <w:tc>
                <w:tcPr>
                  <w:tcW w:w="417" w:type="pct"/>
                  <w:tcBorders>
                    <w:top w:val="nil"/>
                    <w:left w:val="nil"/>
                    <w:bottom w:val="nil"/>
                    <w:right w:val="nil"/>
                  </w:tcBorders>
                  <w:shd w:val="clear" w:color="auto" w:fill="F2F2F2" w:themeFill="background1" w:themeFillShade="F2"/>
                  <w:vAlign w:val="bottom"/>
                </w:tcPr>
                <w:p w14:paraId="7954C13B"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-0.6</w:t>
                  </w:r>
                </w:p>
              </w:tc>
              <w:tc>
                <w:tcPr>
                  <w:tcW w:w="417" w:type="pct"/>
                  <w:tcBorders>
                    <w:top w:val="nil"/>
                    <w:left w:val="nil"/>
                    <w:bottom w:val="nil"/>
                    <w:right w:val="nil"/>
                  </w:tcBorders>
                  <w:shd w:val="clear" w:color="auto" w:fill="F2F2F2" w:themeFill="background1" w:themeFillShade="F2"/>
                  <w:vAlign w:val="bottom"/>
                </w:tcPr>
                <w:p w14:paraId="7954C13C"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-0.6</w:t>
                  </w:r>
                </w:p>
              </w:tc>
              <w:tc>
                <w:tcPr>
                  <w:tcW w:w="417" w:type="pct"/>
                  <w:tcBorders>
                    <w:top w:val="nil"/>
                    <w:left w:val="nil"/>
                    <w:bottom w:val="nil"/>
                    <w:right w:val="nil"/>
                  </w:tcBorders>
                  <w:shd w:val="clear" w:color="auto" w:fill="F2F2F2" w:themeFill="background1" w:themeFillShade="F2"/>
                  <w:vAlign w:val="bottom"/>
                </w:tcPr>
                <w:p w14:paraId="7954C13D"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-0.6</w:t>
                  </w:r>
                </w:p>
              </w:tc>
              <w:tc>
                <w:tcPr>
                  <w:tcW w:w="416" w:type="pct"/>
                  <w:tcBorders>
                    <w:top w:val="nil"/>
                    <w:left w:val="nil"/>
                    <w:bottom w:val="nil"/>
                    <w:right w:val="nil"/>
                  </w:tcBorders>
                  <w:shd w:val="clear" w:color="auto" w:fill="F2F2F2" w:themeFill="background1" w:themeFillShade="F2"/>
                  <w:vAlign w:val="bottom"/>
                </w:tcPr>
                <w:p w14:paraId="7954C13E"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-0.6</w:t>
                  </w:r>
                </w:p>
              </w:tc>
              <w:tc>
                <w:tcPr>
                  <w:tcW w:w="417" w:type="pct"/>
                  <w:tcBorders>
                    <w:top w:val="nil"/>
                    <w:left w:val="nil"/>
                    <w:bottom w:val="nil"/>
                    <w:right w:val="nil"/>
                  </w:tcBorders>
                  <w:shd w:val="clear" w:color="auto" w:fill="F2F2F2" w:themeFill="background1" w:themeFillShade="F2"/>
                  <w:vAlign w:val="bottom"/>
                </w:tcPr>
                <w:p w14:paraId="7954C13F"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-0.5</w:t>
                  </w:r>
                </w:p>
              </w:tc>
              <w:tc>
                <w:tcPr>
                  <w:tcW w:w="417" w:type="pct"/>
                  <w:tcBorders>
                    <w:top w:val="nil"/>
                    <w:left w:val="nil"/>
                    <w:bottom w:val="nil"/>
                    <w:right w:val="nil"/>
                  </w:tcBorders>
                  <w:shd w:val="clear" w:color="auto" w:fill="F2F2F2" w:themeFill="background1" w:themeFillShade="F2"/>
                  <w:vAlign w:val="bottom"/>
                </w:tcPr>
                <w:p w14:paraId="7954C140"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-0.6</w:t>
                  </w:r>
                </w:p>
              </w:tc>
              <w:tc>
                <w:tcPr>
                  <w:tcW w:w="416" w:type="pct"/>
                  <w:tcBorders>
                    <w:top w:val="nil"/>
                    <w:left w:val="nil"/>
                    <w:bottom w:val="nil"/>
                    <w:right w:val="nil"/>
                  </w:tcBorders>
                  <w:shd w:val="clear" w:color="auto" w:fill="F2F2F2" w:themeFill="background1" w:themeFillShade="F2"/>
                  <w:vAlign w:val="bottom"/>
                </w:tcPr>
                <w:p w14:paraId="7954C141"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-0.2</w:t>
                  </w:r>
                </w:p>
              </w:tc>
            </w:tr>
            <w:tr w:rsidR="00F05DC7" w:rsidRPr="00AD7DC6" w14:paraId="7954C14C" w14:textId="77777777" w:rsidTr="00A3786D">
              <w:trPr>
                <w:trHeight w:val="210"/>
              </w:trPr>
              <w:tc>
                <w:tcPr>
                  <w:tcW w:w="1667" w:type="pct"/>
                  <w:shd w:val="clear" w:color="auto" w:fill="auto"/>
                  <w:vAlign w:val="center"/>
                </w:tcPr>
                <w:p w14:paraId="7954C143" w14:textId="77777777" w:rsidR="00F05DC7" w:rsidRPr="00334909" w:rsidRDefault="00F05DC7" w:rsidP="00A3786D">
                  <w:pPr>
                    <w:pStyle w:val="TableBodyText"/>
                    <w:ind w:left="0" w:right="57"/>
                    <w:jc w:val="left"/>
                    <w:rPr>
                      <w:rFonts w:asciiTheme="minorHAnsi" w:hAnsiTheme="minorHAnsi" w:cstheme="minorHAnsi"/>
                      <w:bCs/>
                      <w:color w:val="000000"/>
                      <w:szCs w:val="18"/>
                    </w:rPr>
                  </w:pPr>
                  <w:r w:rsidRPr="003C5AA9">
                    <w:rPr>
                      <w:rFonts w:asciiTheme="minorHAnsi" w:hAnsiTheme="minorHAnsi" w:cstheme="minorHAnsi"/>
                      <w:bCs/>
                      <w:color w:val="000000"/>
                      <w:szCs w:val="18"/>
                    </w:rPr>
                    <w:t>GST, upper bound ($m)</w:t>
                  </w:r>
                </w:p>
              </w:tc>
              <w:tc>
                <w:tcPr>
                  <w:tcW w:w="416" w:type="pct"/>
                  <w:tcBorders>
                    <w:top w:val="nil"/>
                    <w:left w:val="nil"/>
                    <w:bottom w:val="nil"/>
                    <w:right w:val="nil"/>
                  </w:tcBorders>
                  <w:shd w:val="clear" w:color="auto" w:fill="auto"/>
                  <w:vAlign w:val="bottom"/>
                </w:tcPr>
                <w:p w14:paraId="7954C144"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-523</w:t>
                  </w:r>
                </w:p>
              </w:tc>
              <w:tc>
                <w:tcPr>
                  <w:tcW w:w="417" w:type="pct"/>
                  <w:tcBorders>
                    <w:top w:val="nil"/>
                    <w:left w:val="nil"/>
                    <w:bottom w:val="nil"/>
                    <w:right w:val="nil"/>
                  </w:tcBorders>
                  <w:shd w:val="clear" w:color="auto" w:fill="auto"/>
                  <w:vAlign w:val="bottom"/>
                </w:tcPr>
                <w:p w14:paraId="7954C145"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-449</w:t>
                  </w:r>
                </w:p>
              </w:tc>
              <w:tc>
                <w:tcPr>
                  <w:tcW w:w="417" w:type="pct"/>
                  <w:tcBorders>
                    <w:top w:val="nil"/>
                    <w:left w:val="nil"/>
                    <w:bottom w:val="nil"/>
                    <w:right w:val="nil"/>
                  </w:tcBorders>
                  <w:shd w:val="clear" w:color="auto" w:fill="auto"/>
                  <w:vAlign w:val="bottom"/>
                </w:tcPr>
                <w:p w14:paraId="7954C146"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-398</w:t>
                  </w:r>
                </w:p>
              </w:tc>
              <w:tc>
                <w:tcPr>
                  <w:tcW w:w="417" w:type="pct"/>
                  <w:tcBorders>
                    <w:top w:val="nil"/>
                    <w:left w:val="nil"/>
                    <w:bottom w:val="nil"/>
                    <w:right w:val="nil"/>
                  </w:tcBorders>
                  <w:shd w:val="clear" w:color="auto" w:fill="auto"/>
                  <w:vAlign w:val="bottom"/>
                </w:tcPr>
                <w:p w14:paraId="7954C147"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-215</w:t>
                  </w:r>
                </w:p>
              </w:tc>
              <w:tc>
                <w:tcPr>
                  <w:tcW w:w="416" w:type="pct"/>
                  <w:tcBorders>
                    <w:top w:val="nil"/>
                    <w:left w:val="nil"/>
                    <w:bottom w:val="nil"/>
                    <w:right w:val="nil"/>
                  </w:tcBorders>
                  <w:shd w:val="clear" w:color="auto" w:fill="auto"/>
                  <w:vAlign w:val="bottom"/>
                </w:tcPr>
                <w:p w14:paraId="7954C148"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-133</w:t>
                  </w:r>
                </w:p>
              </w:tc>
              <w:tc>
                <w:tcPr>
                  <w:tcW w:w="417" w:type="pct"/>
                  <w:tcBorders>
                    <w:top w:val="nil"/>
                    <w:left w:val="nil"/>
                    <w:bottom w:val="nil"/>
                    <w:right w:val="nil"/>
                  </w:tcBorders>
                  <w:shd w:val="clear" w:color="auto" w:fill="auto"/>
                  <w:vAlign w:val="bottom"/>
                </w:tcPr>
                <w:p w14:paraId="7954C149"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-35</w:t>
                  </w:r>
                </w:p>
              </w:tc>
              <w:tc>
                <w:tcPr>
                  <w:tcW w:w="417" w:type="pct"/>
                  <w:tcBorders>
                    <w:top w:val="nil"/>
                    <w:left w:val="nil"/>
                    <w:bottom w:val="nil"/>
                    <w:right w:val="nil"/>
                  </w:tcBorders>
                  <w:shd w:val="clear" w:color="auto" w:fill="auto"/>
                  <w:vAlign w:val="bottom"/>
                </w:tcPr>
                <w:p w14:paraId="7954C14A"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-43</w:t>
                  </w:r>
                </w:p>
              </w:tc>
              <w:tc>
                <w:tcPr>
                  <w:tcW w:w="416" w:type="pct"/>
                  <w:tcBorders>
                    <w:top w:val="nil"/>
                    <w:left w:val="nil"/>
                    <w:bottom w:val="nil"/>
                    <w:right w:val="nil"/>
                  </w:tcBorders>
                  <w:shd w:val="clear" w:color="auto" w:fill="auto"/>
                  <w:vAlign w:val="bottom"/>
                </w:tcPr>
                <w:p w14:paraId="7954C14B"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-13</w:t>
                  </w:r>
                </w:p>
              </w:tc>
            </w:tr>
            <w:tr w:rsidR="00F05DC7" w:rsidRPr="00AD7DC6" w14:paraId="7954C156" w14:textId="77777777" w:rsidTr="00A3786D">
              <w:trPr>
                <w:trHeight w:val="210"/>
              </w:trPr>
              <w:tc>
                <w:tcPr>
                  <w:tcW w:w="1667" w:type="pct"/>
                  <w:shd w:val="clear" w:color="auto" w:fill="F2F2F2" w:themeFill="background1" w:themeFillShade="F2"/>
                  <w:vAlign w:val="center"/>
                </w:tcPr>
                <w:p w14:paraId="7954C14D" w14:textId="77777777" w:rsidR="00F05DC7" w:rsidRPr="00334909" w:rsidRDefault="00F05DC7" w:rsidP="00A3786D">
                  <w:pPr>
                    <w:pStyle w:val="TableBodyText"/>
                    <w:ind w:left="0" w:right="57"/>
                    <w:jc w:val="left"/>
                    <w:rPr>
                      <w:rFonts w:asciiTheme="minorHAnsi" w:hAnsiTheme="minorHAnsi" w:cstheme="minorHAnsi"/>
                      <w:bCs/>
                      <w:color w:val="000000"/>
                      <w:szCs w:val="18"/>
                    </w:rPr>
                  </w:pPr>
                  <w:r w:rsidRPr="003C5AA9">
                    <w:rPr>
                      <w:rFonts w:asciiTheme="minorHAnsi" w:hAnsiTheme="minorHAnsi" w:cstheme="minorHAnsi"/>
                      <w:bCs/>
                      <w:color w:val="000000"/>
                      <w:szCs w:val="18"/>
                    </w:rPr>
                    <w:t>GST, upper bound ($pc)</w:t>
                  </w:r>
                </w:p>
              </w:tc>
              <w:tc>
                <w:tcPr>
                  <w:tcW w:w="416" w:type="pct"/>
                  <w:tcBorders>
                    <w:top w:val="nil"/>
                    <w:left w:val="nil"/>
                    <w:bottom w:val="nil"/>
                    <w:right w:val="nil"/>
                  </w:tcBorders>
                  <w:shd w:val="clear" w:color="auto" w:fill="F2F2F2" w:themeFill="background1" w:themeFillShade="F2"/>
                  <w:vAlign w:val="bottom"/>
                </w:tcPr>
                <w:p w14:paraId="7954C14E"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-67</w:t>
                  </w:r>
                </w:p>
              </w:tc>
              <w:tc>
                <w:tcPr>
                  <w:tcW w:w="417" w:type="pct"/>
                  <w:tcBorders>
                    <w:top w:val="nil"/>
                    <w:left w:val="nil"/>
                    <w:bottom w:val="nil"/>
                    <w:right w:val="nil"/>
                  </w:tcBorders>
                  <w:shd w:val="clear" w:color="auto" w:fill="F2F2F2" w:themeFill="background1" w:themeFillShade="F2"/>
                  <w:vAlign w:val="bottom"/>
                </w:tcPr>
                <w:p w14:paraId="7954C14F"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-72</w:t>
                  </w:r>
                </w:p>
              </w:tc>
              <w:tc>
                <w:tcPr>
                  <w:tcW w:w="417" w:type="pct"/>
                  <w:tcBorders>
                    <w:top w:val="nil"/>
                    <w:left w:val="nil"/>
                    <w:bottom w:val="nil"/>
                    <w:right w:val="nil"/>
                  </w:tcBorders>
                  <w:shd w:val="clear" w:color="auto" w:fill="F2F2F2" w:themeFill="background1" w:themeFillShade="F2"/>
                  <w:vAlign w:val="bottom"/>
                </w:tcPr>
                <w:p w14:paraId="7954C150"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-82</w:t>
                  </w:r>
                </w:p>
              </w:tc>
              <w:tc>
                <w:tcPr>
                  <w:tcW w:w="417" w:type="pct"/>
                  <w:tcBorders>
                    <w:top w:val="nil"/>
                    <w:left w:val="nil"/>
                    <w:bottom w:val="nil"/>
                    <w:right w:val="nil"/>
                  </w:tcBorders>
                  <w:shd w:val="clear" w:color="auto" w:fill="F2F2F2" w:themeFill="background1" w:themeFillShade="F2"/>
                  <w:vAlign w:val="bottom"/>
                </w:tcPr>
                <w:p w14:paraId="7954C151"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-84</w:t>
                  </w:r>
                </w:p>
              </w:tc>
              <w:tc>
                <w:tcPr>
                  <w:tcW w:w="416" w:type="pct"/>
                  <w:tcBorders>
                    <w:top w:val="nil"/>
                    <w:left w:val="nil"/>
                    <w:bottom w:val="nil"/>
                    <w:right w:val="nil"/>
                  </w:tcBorders>
                  <w:shd w:val="clear" w:color="auto" w:fill="F2F2F2" w:themeFill="background1" w:themeFillShade="F2"/>
                  <w:vAlign w:val="bottom"/>
                </w:tcPr>
                <w:p w14:paraId="7954C152"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-78</w:t>
                  </w:r>
                </w:p>
              </w:tc>
              <w:tc>
                <w:tcPr>
                  <w:tcW w:w="417" w:type="pct"/>
                  <w:tcBorders>
                    <w:top w:val="nil"/>
                    <w:left w:val="nil"/>
                    <w:bottom w:val="nil"/>
                    <w:right w:val="nil"/>
                  </w:tcBorders>
                  <w:shd w:val="clear" w:color="auto" w:fill="F2F2F2" w:themeFill="background1" w:themeFillShade="F2"/>
                  <w:vAlign w:val="bottom"/>
                </w:tcPr>
                <w:p w14:paraId="7954C153"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-67</w:t>
                  </w:r>
                </w:p>
              </w:tc>
              <w:tc>
                <w:tcPr>
                  <w:tcW w:w="417" w:type="pct"/>
                  <w:tcBorders>
                    <w:top w:val="nil"/>
                    <w:left w:val="nil"/>
                    <w:bottom w:val="nil"/>
                    <w:right w:val="nil"/>
                  </w:tcBorders>
                  <w:shd w:val="clear" w:color="auto" w:fill="F2F2F2" w:themeFill="background1" w:themeFillShade="F2"/>
                  <w:vAlign w:val="bottom"/>
                </w:tcPr>
                <w:p w14:paraId="7954C154"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-105</w:t>
                  </w:r>
                </w:p>
              </w:tc>
              <w:tc>
                <w:tcPr>
                  <w:tcW w:w="416" w:type="pct"/>
                  <w:tcBorders>
                    <w:top w:val="nil"/>
                    <w:left w:val="nil"/>
                    <w:bottom w:val="nil"/>
                    <w:right w:val="nil"/>
                  </w:tcBorders>
                  <w:shd w:val="clear" w:color="auto" w:fill="F2F2F2" w:themeFill="background1" w:themeFillShade="F2"/>
                  <w:vAlign w:val="bottom"/>
                </w:tcPr>
                <w:p w14:paraId="7954C155"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-52</w:t>
                  </w:r>
                </w:p>
              </w:tc>
            </w:tr>
            <w:tr w:rsidR="00F05DC7" w:rsidRPr="00AD7DC6" w14:paraId="7954C160" w14:textId="77777777" w:rsidTr="00A3786D">
              <w:trPr>
                <w:trHeight w:val="210"/>
              </w:trPr>
              <w:tc>
                <w:tcPr>
                  <w:tcW w:w="1667" w:type="pct"/>
                  <w:tcBorders>
                    <w:bottom w:val="single" w:sz="4" w:space="0" w:color="D9D9D9" w:themeColor="background1" w:themeShade="D9"/>
                  </w:tcBorders>
                  <w:shd w:val="clear" w:color="auto" w:fill="auto"/>
                  <w:vAlign w:val="center"/>
                </w:tcPr>
                <w:p w14:paraId="7954C157" w14:textId="77777777" w:rsidR="00F05DC7" w:rsidRPr="003C5AA9" w:rsidRDefault="00F05DC7" w:rsidP="00A3786D">
                  <w:pPr>
                    <w:pStyle w:val="TableBodyText"/>
                    <w:ind w:left="0" w:right="57"/>
                    <w:jc w:val="left"/>
                    <w:rPr>
                      <w:rFonts w:asciiTheme="minorHAnsi" w:hAnsiTheme="minorHAnsi" w:cstheme="minorHAnsi"/>
                      <w:bCs/>
                      <w:color w:val="000000"/>
                      <w:szCs w:val="18"/>
                    </w:rPr>
                  </w:pPr>
                  <w:r>
                    <w:t>GST, lower bound (% revenue)</w:t>
                  </w:r>
                </w:p>
              </w:tc>
              <w:tc>
                <w:tcPr>
                  <w:tcW w:w="416" w:type="pct"/>
                  <w:tcBorders>
                    <w:top w:val="nil"/>
                    <w:left w:val="nil"/>
                    <w:bottom w:val="single" w:sz="4" w:space="0" w:color="D9D9D9" w:themeColor="background1" w:themeShade="D9"/>
                    <w:right w:val="nil"/>
                  </w:tcBorders>
                  <w:shd w:val="clear" w:color="auto" w:fill="auto"/>
                  <w:vAlign w:val="bottom"/>
                </w:tcPr>
                <w:p w14:paraId="7954C158"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-0.7</w:t>
                  </w:r>
                </w:p>
              </w:tc>
              <w:tc>
                <w:tcPr>
                  <w:tcW w:w="417" w:type="pct"/>
                  <w:tcBorders>
                    <w:top w:val="nil"/>
                    <w:left w:val="nil"/>
                    <w:bottom w:val="single" w:sz="4" w:space="0" w:color="D9D9D9" w:themeColor="background1" w:themeShade="D9"/>
                    <w:right w:val="nil"/>
                  </w:tcBorders>
                  <w:shd w:val="clear" w:color="auto" w:fill="auto"/>
                  <w:vAlign w:val="bottom"/>
                </w:tcPr>
                <w:p w14:paraId="7954C159"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-0.7</w:t>
                  </w:r>
                </w:p>
              </w:tc>
              <w:tc>
                <w:tcPr>
                  <w:tcW w:w="417" w:type="pct"/>
                  <w:tcBorders>
                    <w:top w:val="nil"/>
                    <w:left w:val="nil"/>
                    <w:bottom w:val="single" w:sz="4" w:space="0" w:color="D9D9D9" w:themeColor="background1" w:themeShade="D9"/>
                    <w:right w:val="nil"/>
                  </w:tcBorders>
                  <w:shd w:val="clear" w:color="auto" w:fill="auto"/>
                  <w:vAlign w:val="bottom"/>
                </w:tcPr>
                <w:p w14:paraId="7954C15A"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-0.7</w:t>
                  </w:r>
                </w:p>
              </w:tc>
              <w:tc>
                <w:tcPr>
                  <w:tcW w:w="417" w:type="pct"/>
                  <w:tcBorders>
                    <w:top w:val="nil"/>
                    <w:left w:val="nil"/>
                    <w:bottom w:val="single" w:sz="4" w:space="0" w:color="D9D9D9" w:themeColor="background1" w:themeShade="D9"/>
                    <w:right w:val="nil"/>
                  </w:tcBorders>
                  <w:shd w:val="clear" w:color="auto" w:fill="auto"/>
                  <w:vAlign w:val="bottom"/>
                </w:tcPr>
                <w:p w14:paraId="7954C15B"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-0.8</w:t>
                  </w:r>
                </w:p>
              </w:tc>
              <w:tc>
                <w:tcPr>
                  <w:tcW w:w="416" w:type="pct"/>
                  <w:tcBorders>
                    <w:top w:val="nil"/>
                    <w:left w:val="nil"/>
                    <w:bottom w:val="single" w:sz="4" w:space="0" w:color="D9D9D9" w:themeColor="background1" w:themeShade="D9"/>
                    <w:right w:val="nil"/>
                  </w:tcBorders>
                  <w:shd w:val="clear" w:color="auto" w:fill="auto"/>
                  <w:vAlign w:val="bottom"/>
                </w:tcPr>
                <w:p w14:paraId="7954C15C"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-0.7</w:t>
                  </w:r>
                </w:p>
              </w:tc>
              <w:tc>
                <w:tcPr>
                  <w:tcW w:w="417" w:type="pct"/>
                  <w:tcBorders>
                    <w:top w:val="nil"/>
                    <w:left w:val="nil"/>
                    <w:bottom w:val="single" w:sz="4" w:space="0" w:color="D9D9D9" w:themeColor="background1" w:themeShade="D9"/>
                    <w:right w:val="nil"/>
                  </w:tcBorders>
                  <w:shd w:val="clear" w:color="auto" w:fill="auto"/>
                  <w:vAlign w:val="bottom"/>
                </w:tcPr>
                <w:p w14:paraId="7954C15D"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-0.6</w:t>
                  </w:r>
                </w:p>
              </w:tc>
              <w:tc>
                <w:tcPr>
                  <w:tcW w:w="417" w:type="pct"/>
                  <w:tcBorders>
                    <w:top w:val="nil"/>
                    <w:left w:val="nil"/>
                    <w:bottom w:val="single" w:sz="4" w:space="0" w:color="D9D9D9" w:themeColor="background1" w:themeShade="D9"/>
                    <w:right w:val="nil"/>
                  </w:tcBorders>
                  <w:shd w:val="clear" w:color="auto" w:fill="auto"/>
                  <w:vAlign w:val="bottom"/>
                </w:tcPr>
                <w:p w14:paraId="7954C15E"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-0.8</w:t>
                  </w:r>
                </w:p>
              </w:tc>
              <w:tc>
                <w:tcPr>
                  <w:tcW w:w="416" w:type="pct"/>
                  <w:tcBorders>
                    <w:top w:val="nil"/>
                    <w:left w:val="nil"/>
                    <w:bottom w:val="single" w:sz="4" w:space="0" w:color="D9D9D9" w:themeColor="background1" w:themeShade="D9"/>
                    <w:right w:val="nil"/>
                  </w:tcBorders>
                  <w:shd w:val="clear" w:color="auto" w:fill="auto"/>
                  <w:vAlign w:val="bottom"/>
                </w:tcPr>
                <w:p w14:paraId="7954C15F"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-0.2</w:t>
                  </w:r>
                </w:p>
              </w:tc>
            </w:tr>
            <w:tr w:rsidR="00F05DC7" w:rsidRPr="00AD7DC6" w14:paraId="7954C16A" w14:textId="77777777" w:rsidTr="00A3786D">
              <w:tc>
                <w:tcPr>
                  <w:tcW w:w="1667" w:type="pct"/>
                  <w:tcBorders>
                    <w:top w:val="single" w:sz="4" w:space="0" w:color="D9D9D9" w:themeColor="background1" w:themeShade="D9"/>
                  </w:tcBorders>
                  <w:shd w:val="clear" w:color="auto" w:fill="auto"/>
                  <w:vAlign w:val="center"/>
                </w:tcPr>
                <w:p w14:paraId="7954C161" w14:textId="77777777" w:rsidR="00F05DC7" w:rsidRPr="003C5AA9" w:rsidRDefault="00F05DC7" w:rsidP="00A3786D">
                  <w:pPr>
                    <w:spacing w:before="80"/>
                    <w:ind w:right="57"/>
                    <w:rPr>
                      <w:rFonts w:asciiTheme="minorHAnsi" w:hAnsiTheme="minorHAnsi" w:cstheme="minorHAnsi"/>
                      <w:b/>
                      <w:color w:val="000000"/>
                      <w:sz w:val="18"/>
                      <w:szCs w:val="18"/>
                    </w:rPr>
                  </w:pPr>
                  <w:r>
                    <w:rPr>
                      <w:rFonts w:asciiTheme="minorHAnsi" w:hAnsiTheme="minorHAnsi" w:cstheme="minorHAnsi"/>
                      <w:b/>
                      <w:color w:val="000000"/>
                      <w:sz w:val="18"/>
                      <w:szCs w:val="18"/>
                    </w:rPr>
                    <w:t>Unimproved value of land</w:t>
                  </w:r>
                </w:p>
              </w:tc>
              <w:tc>
                <w:tcPr>
                  <w:tcW w:w="416" w:type="pct"/>
                  <w:tcBorders>
                    <w:top w:val="single" w:sz="4" w:space="0" w:color="D9D9D9" w:themeColor="background1" w:themeShade="D9"/>
                  </w:tcBorders>
                  <w:shd w:val="clear" w:color="auto" w:fill="auto"/>
                  <w:vAlign w:val="center"/>
                </w:tcPr>
                <w:p w14:paraId="7954C162"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63"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64"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65" w14:textId="77777777" w:rsidR="00F05DC7" w:rsidRPr="00DE5825" w:rsidRDefault="00F05DC7" w:rsidP="00A3786D">
                  <w:pPr>
                    <w:pStyle w:val="TableBodyText"/>
                    <w:ind w:right="57"/>
                    <w:rPr>
                      <w:rFonts w:cs="Arial"/>
                      <w:color w:val="000000" w:themeColor="text1"/>
                      <w:szCs w:val="18"/>
                    </w:rPr>
                  </w:pPr>
                </w:p>
              </w:tc>
              <w:tc>
                <w:tcPr>
                  <w:tcW w:w="416" w:type="pct"/>
                  <w:tcBorders>
                    <w:top w:val="single" w:sz="4" w:space="0" w:color="D9D9D9" w:themeColor="background1" w:themeShade="D9"/>
                  </w:tcBorders>
                  <w:shd w:val="clear" w:color="auto" w:fill="auto"/>
                  <w:vAlign w:val="center"/>
                </w:tcPr>
                <w:p w14:paraId="7954C166"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67"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68" w14:textId="77777777" w:rsidR="00F05DC7" w:rsidRPr="00DE5825" w:rsidRDefault="00F05DC7" w:rsidP="00A3786D">
                  <w:pPr>
                    <w:pStyle w:val="TableBodyText"/>
                    <w:ind w:right="57"/>
                    <w:rPr>
                      <w:rFonts w:cs="Arial"/>
                      <w:color w:val="000000" w:themeColor="text1"/>
                      <w:szCs w:val="18"/>
                    </w:rPr>
                  </w:pPr>
                </w:p>
              </w:tc>
              <w:tc>
                <w:tcPr>
                  <w:tcW w:w="416" w:type="pct"/>
                  <w:tcBorders>
                    <w:top w:val="single" w:sz="4" w:space="0" w:color="D9D9D9" w:themeColor="background1" w:themeShade="D9"/>
                  </w:tcBorders>
                  <w:shd w:val="clear" w:color="auto" w:fill="auto"/>
                  <w:vAlign w:val="center"/>
                </w:tcPr>
                <w:p w14:paraId="7954C169" w14:textId="77777777" w:rsidR="00F05DC7" w:rsidRPr="00DE5825" w:rsidRDefault="00F05DC7" w:rsidP="00A3786D">
                  <w:pPr>
                    <w:pStyle w:val="TableBodyText"/>
                    <w:ind w:right="57"/>
                    <w:rPr>
                      <w:rFonts w:cs="Arial"/>
                      <w:color w:val="000000" w:themeColor="text1"/>
                      <w:szCs w:val="18"/>
                    </w:rPr>
                  </w:pPr>
                </w:p>
              </w:tc>
            </w:tr>
            <w:tr w:rsidR="00F05DC7" w:rsidRPr="00AD7DC6" w14:paraId="7954C174" w14:textId="77777777" w:rsidTr="00C42E6B">
              <w:trPr>
                <w:trHeight w:val="210"/>
              </w:trPr>
              <w:tc>
                <w:tcPr>
                  <w:tcW w:w="1667" w:type="pct"/>
                  <w:shd w:val="clear" w:color="auto" w:fill="F2F2F2" w:themeFill="background1" w:themeFillShade="F2"/>
                  <w:vAlign w:val="center"/>
                </w:tcPr>
                <w:p w14:paraId="7954C16B" w14:textId="77777777" w:rsidR="00F05DC7" w:rsidRPr="00CE6393" w:rsidRDefault="00F05DC7" w:rsidP="00A3786D">
                  <w:pPr>
                    <w:pStyle w:val="TableBodyText"/>
                    <w:ind w:left="0" w:right="57"/>
                    <w:jc w:val="left"/>
                    <w:rPr>
                      <w:rFonts w:asciiTheme="minorHAnsi" w:hAnsiTheme="minorHAnsi" w:cstheme="minorHAnsi"/>
                      <w:color w:val="000000"/>
                      <w:szCs w:val="18"/>
                    </w:rPr>
                  </w:pPr>
                  <w:r>
                    <w:rPr>
                      <w:rFonts w:asciiTheme="minorHAnsi" w:hAnsiTheme="minorHAnsi" w:cstheme="minorHAnsi"/>
                      <w:color w:val="000000"/>
                      <w:szCs w:val="18"/>
                    </w:rPr>
                    <w:t>GST (m)</w:t>
                  </w:r>
                </w:p>
              </w:tc>
              <w:tc>
                <w:tcPr>
                  <w:tcW w:w="416" w:type="pct"/>
                  <w:shd w:val="clear" w:color="auto" w:fill="F2F2F2" w:themeFill="background1" w:themeFillShade="F2"/>
                  <w:vAlign w:val="center"/>
                </w:tcPr>
                <w:p w14:paraId="7954C16C"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16D"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16E"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16F"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6" w:type="pct"/>
                  <w:shd w:val="clear" w:color="auto" w:fill="F2F2F2" w:themeFill="background1" w:themeFillShade="F2"/>
                  <w:vAlign w:val="center"/>
                </w:tcPr>
                <w:p w14:paraId="7954C170"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171"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172"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6" w:type="pct"/>
                  <w:shd w:val="clear" w:color="auto" w:fill="F2F2F2" w:themeFill="background1" w:themeFillShade="F2"/>
                  <w:vAlign w:val="center"/>
                </w:tcPr>
                <w:p w14:paraId="7954C173"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r>
            <w:tr w:rsidR="00F05DC7" w:rsidRPr="00AD7DC6" w14:paraId="7954C17E" w14:textId="77777777" w:rsidTr="00C42E6B">
              <w:trPr>
                <w:trHeight w:val="210"/>
              </w:trPr>
              <w:tc>
                <w:tcPr>
                  <w:tcW w:w="1667" w:type="pct"/>
                  <w:shd w:val="clear" w:color="auto" w:fill="auto"/>
                  <w:vAlign w:val="center"/>
                </w:tcPr>
                <w:p w14:paraId="7954C175" w14:textId="77777777" w:rsidR="00F05DC7" w:rsidRPr="00CE6393" w:rsidRDefault="00F05DC7" w:rsidP="00A3786D">
                  <w:pPr>
                    <w:pStyle w:val="TableBodyText"/>
                    <w:ind w:left="0" w:right="57"/>
                    <w:jc w:val="left"/>
                    <w:rPr>
                      <w:rFonts w:asciiTheme="minorHAnsi" w:hAnsiTheme="minorHAnsi" w:cstheme="minorHAnsi"/>
                      <w:color w:val="000000"/>
                      <w:szCs w:val="18"/>
                    </w:rPr>
                  </w:pPr>
                  <w:r>
                    <w:rPr>
                      <w:rFonts w:asciiTheme="minorHAnsi" w:hAnsiTheme="minorHAnsi" w:cstheme="minorHAnsi"/>
                      <w:color w:val="000000"/>
                      <w:szCs w:val="18"/>
                    </w:rPr>
                    <w:t>GST ($pc)</w:t>
                  </w:r>
                </w:p>
              </w:tc>
              <w:tc>
                <w:tcPr>
                  <w:tcW w:w="416" w:type="pct"/>
                  <w:shd w:val="clear" w:color="auto" w:fill="auto"/>
                  <w:vAlign w:val="center"/>
                </w:tcPr>
                <w:p w14:paraId="7954C176" w14:textId="77777777" w:rsidR="00F05DC7" w:rsidRPr="006C0232" w:rsidRDefault="00F05DC7" w:rsidP="00A3786D">
                  <w:pPr>
                    <w:pStyle w:val="TableBodyText"/>
                    <w:ind w:right="57"/>
                  </w:pPr>
                  <w:r>
                    <w:t>0</w:t>
                  </w:r>
                </w:p>
              </w:tc>
              <w:tc>
                <w:tcPr>
                  <w:tcW w:w="417" w:type="pct"/>
                  <w:shd w:val="clear" w:color="auto" w:fill="auto"/>
                  <w:vAlign w:val="center"/>
                </w:tcPr>
                <w:p w14:paraId="7954C177" w14:textId="77777777" w:rsidR="00F05DC7" w:rsidRPr="006C0232" w:rsidRDefault="00F05DC7" w:rsidP="00A3786D">
                  <w:pPr>
                    <w:pStyle w:val="TableBodyText"/>
                    <w:ind w:right="57"/>
                  </w:pPr>
                  <w:r>
                    <w:t>0</w:t>
                  </w:r>
                </w:p>
              </w:tc>
              <w:tc>
                <w:tcPr>
                  <w:tcW w:w="417" w:type="pct"/>
                  <w:shd w:val="clear" w:color="auto" w:fill="auto"/>
                  <w:vAlign w:val="center"/>
                </w:tcPr>
                <w:p w14:paraId="7954C178" w14:textId="77777777" w:rsidR="00F05DC7" w:rsidRPr="006C0232" w:rsidRDefault="00F05DC7" w:rsidP="00A3786D">
                  <w:pPr>
                    <w:pStyle w:val="TableBodyText"/>
                    <w:ind w:right="57"/>
                  </w:pPr>
                  <w:r>
                    <w:t>0</w:t>
                  </w:r>
                </w:p>
              </w:tc>
              <w:tc>
                <w:tcPr>
                  <w:tcW w:w="417" w:type="pct"/>
                  <w:shd w:val="clear" w:color="auto" w:fill="auto"/>
                  <w:vAlign w:val="center"/>
                </w:tcPr>
                <w:p w14:paraId="7954C179" w14:textId="77777777" w:rsidR="00F05DC7" w:rsidRPr="006C0232" w:rsidRDefault="00F05DC7" w:rsidP="00A3786D">
                  <w:pPr>
                    <w:pStyle w:val="TableBodyText"/>
                    <w:ind w:right="57"/>
                  </w:pPr>
                  <w:r>
                    <w:t>0</w:t>
                  </w:r>
                </w:p>
              </w:tc>
              <w:tc>
                <w:tcPr>
                  <w:tcW w:w="416" w:type="pct"/>
                  <w:shd w:val="clear" w:color="auto" w:fill="auto"/>
                  <w:vAlign w:val="center"/>
                </w:tcPr>
                <w:p w14:paraId="7954C17A" w14:textId="77777777" w:rsidR="00F05DC7" w:rsidRPr="006C0232" w:rsidRDefault="00F05DC7" w:rsidP="00A3786D">
                  <w:pPr>
                    <w:pStyle w:val="TableBodyText"/>
                    <w:ind w:right="57"/>
                  </w:pPr>
                  <w:r>
                    <w:t>0</w:t>
                  </w:r>
                </w:p>
              </w:tc>
              <w:tc>
                <w:tcPr>
                  <w:tcW w:w="417" w:type="pct"/>
                  <w:shd w:val="clear" w:color="auto" w:fill="auto"/>
                  <w:vAlign w:val="center"/>
                </w:tcPr>
                <w:p w14:paraId="7954C17B" w14:textId="77777777" w:rsidR="00F05DC7" w:rsidRPr="006C0232" w:rsidRDefault="00F05DC7" w:rsidP="00A3786D">
                  <w:pPr>
                    <w:pStyle w:val="TableBodyText"/>
                    <w:ind w:right="57"/>
                  </w:pPr>
                  <w:r>
                    <w:t>0</w:t>
                  </w:r>
                </w:p>
              </w:tc>
              <w:tc>
                <w:tcPr>
                  <w:tcW w:w="417" w:type="pct"/>
                  <w:shd w:val="clear" w:color="auto" w:fill="auto"/>
                  <w:vAlign w:val="center"/>
                </w:tcPr>
                <w:p w14:paraId="7954C17C" w14:textId="77777777" w:rsidR="00F05DC7" w:rsidRPr="006C0232" w:rsidRDefault="00F05DC7" w:rsidP="00A3786D">
                  <w:pPr>
                    <w:pStyle w:val="TableBodyText"/>
                    <w:ind w:right="57"/>
                  </w:pPr>
                  <w:r>
                    <w:t>0</w:t>
                  </w:r>
                </w:p>
              </w:tc>
              <w:tc>
                <w:tcPr>
                  <w:tcW w:w="416" w:type="pct"/>
                  <w:shd w:val="clear" w:color="auto" w:fill="auto"/>
                  <w:vAlign w:val="center"/>
                </w:tcPr>
                <w:p w14:paraId="7954C17D" w14:textId="77777777" w:rsidR="00F05DC7" w:rsidRPr="006C0232" w:rsidRDefault="00F05DC7" w:rsidP="00A3786D">
                  <w:pPr>
                    <w:pStyle w:val="TableBodyText"/>
                    <w:ind w:right="57"/>
                  </w:pPr>
                  <w:r>
                    <w:t>0</w:t>
                  </w:r>
                </w:p>
              </w:tc>
            </w:tr>
          </w:tbl>
          <w:p w14:paraId="7954C17F" w14:textId="77777777" w:rsidR="00F05DC7" w:rsidRDefault="00F05DC7" w:rsidP="00A3786D">
            <w:pPr>
              <w:pStyle w:val="Box"/>
            </w:pPr>
          </w:p>
        </w:tc>
      </w:tr>
      <w:tr w:rsidR="00F05DC7" w14:paraId="7954C182" w14:textId="77777777" w:rsidTr="00A3786D">
        <w:tc>
          <w:tcPr>
            <w:tcW w:w="5000" w:type="pct"/>
            <w:tcBorders>
              <w:top w:val="single" w:sz="8" w:space="0" w:color="D9D9D9" w:themeColor="background1" w:themeShade="D9"/>
              <w:left w:val="nil"/>
              <w:bottom w:val="nil"/>
              <w:right w:val="nil"/>
            </w:tcBorders>
            <w:shd w:val="clear" w:color="auto" w:fill="auto"/>
          </w:tcPr>
          <w:p w14:paraId="7954C181" w14:textId="77777777" w:rsidR="00F05DC7" w:rsidRDefault="00F05DC7" w:rsidP="00A3786D">
            <w:pPr>
              <w:pStyle w:val="Note"/>
              <w:rPr>
                <w:i/>
              </w:rPr>
            </w:pPr>
            <w:r w:rsidRPr="008E77FE">
              <w:rPr>
                <w:rStyle w:val="NoteLabel"/>
              </w:rPr>
              <w:t>a</w:t>
            </w:r>
            <w:r>
              <w:t xml:space="preserve"> GST impacts are evaluated on a ‘steady state’ basis; that is, assuming the new policy was fully in place in 2016</w:t>
            </w:r>
            <w:r>
              <w:noBreakHyphen/>
              <w:t>17. No transition paths are evaluated. Lower and upper bounds refer to the elasticity estimates used to calculate changes in the tax base.</w:t>
            </w:r>
          </w:p>
        </w:tc>
      </w:tr>
      <w:tr w:rsidR="00F05DC7" w14:paraId="7954C184" w14:textId="77777777" w:rsidTr="00A3786D">
        <w:tc>
          <w:tcPr>
            <w:tcW w:w="5000" w:type="pct"/>
            <w:tcBorders>
              <w:top w:val="nil"/>
              <w:left w:val="nil"/>
              <w:bottom w:val="nil"/>
              <w:right w:val="nil"/>
            </w:tcBorders>
            <w:shd w:val="clear" w:color="auto" w:fill="auto"/>
          </w:tcPr>
          <w:p w14:paraId="7954C183"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C186" w14:textId="77777777" w:rsidTr="00A3786D">
        <w:tc>
          <w:tcPr>
            <w:tcW w:w="5000" w:type="pct"/>
            <w:tcBorders>
              <w:top w:val="nil"/>
              <w:left w:val="nil"/>
              <w:bottom w:val="single" w:sz="6" w:space="0" w:color="78A22F"/>
              <w:right w:val="nil"/>
            </w:tcBorders>
            <w:shd w:val="clear" w:color="auto" w:fill="auto"/>
          </w:tcPr>
          <w:p w14:paraId="7954C185" w14:textId="77777777" w:rsidR="00F05DC7" w:rsidRDefault="00F05DC7" w:rsidP="00A3786D">
            <w:pPr>
              <w:pStyle w:val="Box"/>
              <w:spacing w:before="0" w:line="120" w:lineRule="exact"/>
            </w:pPr>
          </w:p>
        </w:tc>
      </w:tr>
      <w:tr w:rsidR="00F05DC7" w:rsidRPr="000863A5" w14:paraId="7954C188" w14:textId="77777777" w:rsidTr="00A3786D">
        <w:tc>
          <w:tcPr>
            <w:tcW w:w="5000" w:type="pct"/>
            <w:tcBorders>
              <w:top w:val="single" w:sz="6" w:space="0" w:color="78A22F"/>
              <w:left w:val="nil"/>
              <w:bottom w:val="nil"/>
              <w:right w:val="nil"/>
            </w:tcBorders>
          </w:tcPr>
          <w:p w14:paraId="7954C187" w14:textId="77777777" w:rsidR="00F05DC7" w:rsidRPr="00626D32" w:rsidRDefault="00F05DC7" w:rsidP="00A3786D">
            <w:pPr>
              <w:pStyle w:val="BoxSpaceBelow"/>
            </w:pPr>
          </w:p>
        </w:tc>
      </w:tr>
    </w:tbl>
    <w:p w14:paraId="7954C189" w14:textId="77777777" w:rsidR="00F05DC7" w:rsidRDefault="00F05DC7" w:rsidP="00A3786D">
      <w:pPr>
        <w:pStyle w:val="BoxSpaceAbove"/>
      </w:pPr>
      <w:r>
        <w:lastRenderedPageBreak/>
        <w:t xml:space="preserve"> </w:t>
      </w: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18C" w14:textId="77777777" w:rsidTr="001113B1">
        <w:trPr>
          <w:tblHeader/>
        </w:trPr>
        <w:tc>
          <w:tcPr>
            <w:tcW w:w="5000" w:type="pct"/>
            <w:tcBorders>
              <w:top w:val="single" w:sz="6" w:space="0" w:color="78A22F"/>
              <w:left w:val="nil"/>
              <w:bottom w:val="nil"/>
              <w:right w:val="nil"/>
            </w:tcBorders>
            <w:shd w:val="clear" w:color="auto" w:fill="auto"/>
          </w:tcPr>
          <w:p w14:paraId="7954C18A" w14:textId="1EC759AD" w:rsidR="00F05DC7" w:rsidRDefault="00F05DC7" w:rsidP="00A3786D">
            <w:pPr>
              <w:pStyle w:val="TableTitle"/>
            </w:pPr>
            <w:r>
              <w:rPr>
                <w:b w:val="0"/>
              </w:rPr>
              <w:t>Table C.33</w:t>
            </w:r>
            <w:r>
              <w:tab/>
              <w:t>GST impact of stamp duty/land tax reform with category indicators</w:t>
            </w:r>
          </w:p>
          <w:p w14:paraId="7954C18B" w14:textId="77777777" w:rsidR="00F05DC7" w:rsidRPr="00784A05" w:rsidRDefault="00F05DC7" w:rsidP="00A3786D">
            <w:pPr>
              <w:pStyle w:val="Subtitle"/>
            </w:pPr>
            <w:r>
              <w:t>Multilateral change made by all States, 2016</w:t>
            </w:r>
            <w:r>
              <w:noBreakHyphen/>
              <w:t>17</w:t>
            </w:r>
            <w:r w:rsidRPr="00171B8E">
              <w:rPr>
                <w:rStyle w:val="NoteLabel"/>
              </w:rPr>
              <w:t>a</w:t>
            </w:r>
          </w:p>
        </w:tc>
      </w:tr>
      <w:tr w:rsidR="00F05DC7" w14:paraId="7954C242" w14:textId="77777777" w:rsidTr="00A3786D">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836"/>
              <w:gridCol w:w="708"/>
              <w:gridCol w:w="709"/>
              <w:gridCol w:w="709"/>
              <w:gridCol w:w="709"/>
              <w:gridCol w:w="708"/>
              <w:gridCol w:w="709"/>
              <w:gridCol w:w="709"/>
              <w:gridCol w:w="708"/>
            </w:tblGrid>
            <w:tr w:rsidR="00F05DC7" w:rsidRPr="00AD7DC6" w14:paraId="7954C196" w14:textId="77777777" w:rsidTr="00A3786D">
              <w:trPr>
                <w:tblHeader/>
              </w:trPr>
              <w:tc>
                <w:tcPr>
                  <w:tcW w:w="1667" w:type="pct"/>
                  <w:tcBorders>
                    <w:top w:val="single" w:sz="6" w:space="0" w:color="BFBFBF"/>
                    <w:bottom w:val="single" w:sz="6" w:space="0" w:color="BFBFBF"/>
                  </w:tcBorders>
                  <w:shd w:val="clear" w:color="auto" w:fill="auto"/>
                  <w:tcMar>
                    <w:top w:w="28" w:type="dxa"/>
                  </w:tcMar>
                  <w:vAlign w:val="center"/>
                </w:tcPr>
                <w:p w14:paraId="7954C18D" w14:textId="77777777" w:rsidR="00F05DC7" w:rsidRPr="00AD7DC6" w:rsidRDefault="00F05DC7" w:rsidP="00A3786D">
                  <w:pPr>
                    <w:pStyle w:val="TableColumnHeading"/>
                    <w:rPr>
                      <w:rFonts w:asciiTheme="minorHAnsi" w:hAnsiTheme="minorHAnsi" w:cstheme="minorHAnsi"/>
                      <w:szCs w:val="18"/>
                    </w:rPr>
                  </w:pPr>
                </w:p>
              </w:tc>
              <w:tc>
                <w:tcPr>
                  <w:tcW w:w="416" w:type="pct"/>
                  <w:tcBorders>
                    <w:top w:val="single" w:sz="6" w:space="0" w:color="BFBFBF"/>
                    <w:bottom w:val="single" w:sz="6" w:space="0" w:color="BFBFBF"/>
                  </w:tcBorders>
                  <w:shd w:val="clear" w:color="auto" w:fill="auto"/>
                  <w:vAlign w:val="bottom"/>
                </w:tcPr>
                <w:p w14:paraId="7954C18E"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NSW</w:t>
                  </w:r>
                </w:p>
              </w:tc>
              <w:tc>
                <w:tcPr>
                  <w:tcW w:w="417" w:type="pct"/>
                  <w:tcBorders>
                    <w:top w:val="single" w:sz="6" w:space="0" w:color="BFBFBF"/>
                    <w:bottom w:val="single" w:sz="6" w:space="0" w:color="BFBFBF"/>
                  </w:tcBorders>
                  <w:shd w:val="clear" w:color="auto" w:fill="auto"/>
                  <w:tcMar>
                    <w:top w:w="28" w:type="dxa"/>
                  </w:tcMar>
                  <w:vAlign w:val="bottom"/>
                </w:tcPr>
                <w:p w14:paraId="7954C18F"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Vic</w:t>
                  </w:r>
                </w:p>
              </w:tc>
              <w:tc>
                <w:tcPr>
                  <w:tcW w:w="417" w:type="pct"/>
                  <w:tcBorders>
                    <w:top w:val="single" w:sz="6" w:space="0" w:color="BFBFBF"/>
                    <w:bottom w:val="single" w:sz="6" w:space="0" w:color="BFBFBF"/>
                  </w:tcBorders>
                  <w:shd w:val="clear" w:color="auto" w:fill="auto"/>
                  <w:vAlign w:val="bottom"/>
                </w:tcPr>
                <w:p w14:paraId="7954C190"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Qld</w:t>
                  </w:r>
                </w:p>
              </w:tc>
              <w:tc>
                <w:tcPr>
                  <w:tcW w:w="417" w:type="pct"/>
                  <w:tcBorders>
                    <w:top w:val="single" w:sz="6" w:space="0" w:color="BFBFBF"/>
                    <w:bottom w:val="single" w:sz="6" w:space="0" w:color="BFBFBF"/>
                  </w:tcBorders>
                  <w:shd w:val="clear" w:color="auto" w:fill="auto"/>
                  <w:vAlign w:val="bottom"/>
                </w:tcPr>
                <w:p w14:paraId="7954C191"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WA</w:t>
                  </w:r>
                </w:p>
              </w:tc>
              <w:tc>
                <w:tcPr>
                  <w:tcW w:w="416" w:type="pct"/>
                  <w:tcBorders>
                    <w:top w:val="single" w:sz="6" w:space="0" w:color="BFBFBF"/>
                    <w:bottom w:val="single" w:sz="6" w:space="0" w:color="BFBFBF"/>
                  </w:tcBorders>
                  <w:shd w:val="clear" w:color="auto" w:fill="auto"/>
                  <w:vAlign w:val="bottom"/>
                </w:tcPr>
                <w:p w14:paraId="7954C192"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SA</w:t>
                  </w:r>
                </w:p>
              </w:tc>
              <w:tc>
                <w:tcPr>
                  <w:tcW w:w="417" w:type="pct"/>
                  <w:tcBorders>
                    <w:top w:val="single" w:sz="6" w:space="0" w:color="BFBFBF"/>
                    <w:bottom w:val="single" w:sz="6" w:space="0" w:color="BFBFBF"/>
                  </w:tcBorders>
                  <w:shd w:val="clear" w:color="auto" w:fill="auto"/>
                  <w:vAlign w:val="bottom"/>
                </w:tcPr>
                <w:p w14:paraId="7954C193"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Tas</w:t>
                  </w:r>
                </w:p>
              </w:tc>
              <w:tc>
                <w:tcPr>
                  <w:tcW w:w="417" w:type="pct"/>
                  <w:tcBorders>
                    <w:top w:val="single" w:sz="6" w:space="0" w:color="BFBFBF"/>
                    <w:bottom w:val="single" w:sz="6" w:space="0" w:color="BFBFBF"/>
                  </w:tcBorders>
                  <w:shd w:val="clear" w:color="auto" w:fill="auto"/>
                  <w:vAlign w:val="bottom"/>
                </w:tcPr>
                <w:p w14:paraId="7954C194"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ACT</w:t>
                  </w:r>
                </w:p>
              </w:tc>
              <w:tc>
                <w:tcPr>
                  <w:tcW w:w="416" w:type="pct"/>
                  <w:tcBorders>
                    <w:top w:val="single" w:sz="6" w:space="0" w:color="BFBFBF"/>
                    <w:bottom w:val="single" w:sz="6" w:space="0" w:color="BFBFBF"/>
                  </w:tcBorders>
                  <w:shd w:val="clear" w:color="auto" w:fill="auto"/>
                  <w:vAlign w:val="bottom"/>
                </w:tcPr>
                <w:p w14:paraId="7954C195" w14:textId="77777777" w:rsidR="00F05DC7" w:rsidRPr="00AD7DC6" w:rsidRDefault="00F05DC7" w:rsidP="00A3786D">
                  <w:pPr>
                    <w:pStyle w:val="TableColumnHeading"/>
                    <w:ind w:right="57"/>
                    <w:rPr>
                      <w:rFonts w:asciiTheme="minorHAnsi" w:hAnsiTheme="minorHAnsi" w:cstheme="minorHAnsi"/>
                      <w:szCs w:val="18"/>
                    </w:rPr>
                  </w:pPr>
                  <w:r w:rsidRPr="00AD7DC6">
                    <w:rPr>
                      <w:rFonts w:asciiTheme="minorHAnsi" w:hAnsiTheme="minorHAnsi" w:cstheme="minorHAnsi"/>
                      <w:szCs w:val="18"/>
                    </w:rPr>
                    <w:t>NT</w:t>
                  </w:r>
                </w:p>
              </w:tc>
            </w:tr>
            <w:tr w:rsidR="00F05DC7" w:rsidRPr="00AD7DC6" w14:paraId="7954C1A0" w14:textId="77777777" w:rsidTr="00A3786D">
              <w:tc>
                <w:tcPr>
                  <w:tcW w:w="1667" w:type="pct"/>
                  <w:shd w:val="clear" w:color="auto" w:fill="auto"/>
                  <w:vAlign w:val="center"/>
                </w:tcPr>
                <w:p w14:paraId="7954C197" w14:textId="77777777" w:rsidR="00F05DC7" w:rsidRPr="00CE6393" w:rsidRDefault="00F05DC7">
                  <w:pPr>
                    <w:spacing w:before="80"/>
                    <w:ind w:right="57"/>
                    <w:rPr>
                      <w:rFonts w:asciiTheme="minorHAnsi" w:hAnsiTheme="minorHAnsi" w:cstheme="minorHAnsi"/>
                      <w:b/>
                      <w:bCs/>
                      <w:color w:val="000000"/>
                      <w:szCs w:val="18"/>
                    </w:rPr>
                  </w:pPr>
                  <w:r>
                    <w:rPr>
                      <w:rFonts w:asciiTheme="minorHAnsi" w:hAnsiTheme="minorHAnsi" w:cstheme="minorHAnsi"/>
                      <w:b/>
                      <w:color w:val="000000"/>
                      <w:sz w:val="18"/>
                      <w:szCs w:val="18"/>
                    </w:rPr>
                    <w:t>Current approach</w:t>
                  </w:r>
                </w:p>
              </w:tc>
              <w:tc>
                <w:tcPr>
                  <w:tcW w:w="416" w:type="pct"/>
                  <w:shd w:val="clear" w:color="auto" w:fill="auto"/>
                  <w:vAlign w:val="center"/>
                </w:tcPr>
                <w:p w14:paraId="7954C198" w14:textId="77777777" w:rsidR="00F05DC7" w:rsidRPr="00CE6393" w:rsidRDefault="00F05DC7" w:rsidP="00A3786D">
                  <w:pPr>
                    <w:pStyle w:val="TableBodyText"/>
                    <w:ind w:right="57"/>
                    <w:rPr>
                      <w:rFonts w:asciiTheme="minorHAnsi" w:hAnsiTheme="minorHAnsi" w:cstheme="minorHAnsi"/>
                      <w:color w:val="000000"/>
                      <w:szCs w:val="18"/>
                    </w:rPr>
                  </w:pPr>
                </w:p>
              </w:tc>
              <w:tc>
                <w:tcPr>
                  <w:tcW w:w="417" w:type="pct"/>
                  <w:shd w:val="clear" w:color="auto" w:fill="auto"/>
                  <w:vAlign w:val="center"/>
                </w:tcPr>
                <w:p w14:paraId="7954C199" w14:textId="77777777" w:rsidR="00F05DC7" w:rsidRPr="00CE6393" w:rsidRDefault="00F05DC7" w:rsidP="00A3786D">
                  <w:pPr>
                    <w:pStyle w:val="TableBodyText"/>
                    <w:ind w:right="57"/>
                    <w:rPr>
                      <w:rFonts w:asciiTheme="minorHAnsi" w:hAnsiTheme="minorHAnsi" w:cstheme="minorHAnsi"/>
                      <w:color w:val="000000"/>
                      <w:szCs w:val="18"/>
                    </w:rPr>
                  </w:pPr>
                </w:p>
              </w:tc>
              <w:tc>
                <w:tcPr>
                  <w:tcW w:w="417" w:type="pct"/>
                  <w:shd w:val="clear" w:color="auto" w:fill="auto"/>
                  <w:vAlign w:val="center"/>
                </w:tcPr>
                <w:p w14:paraId="7954C19A" w14:textId="77777777" w:rsidR="00F05DC7" w:rsidRPr="00CE6393" w:rsidRDefault="00F05DC7" w:rsidP="00A3786D">
                  <w:pPr>
                    <w:pStyle w:val="TableBodyText"/>
                    <w:ind w:right="57"/>
                    <w:rPr>
                      <w:rFonts w:asciiTheme="minorHAnsi" w:hAnsiTheme="minorHAnsi" w:cstheme="minorHAnsi"/>
                      <w:color w:val="000000"/>
                      <w:szCs w:val="18"/>
                    </w:rPr>
                  </w:pPr>
                </w:p>
              </w:tc>
              <w:tc>
                <w:tcPr>
                  <w:tcW w:w="417" w:type="pct"/>
                  <w:shd w:val="clear" w:color="auto" w:fill="auto"/>
                  <w:vAlign w:val="center"/>
                </w:tcPr>
                <w:p w14:paraId="7954C19B" w14:textId="77777777" w:rsidR="00F05DC7" w:rsidRPr="00CE6393" w:rsidRDefault="00F05DC7" w:rsidP="00A3786D">
                  <w:pPr>
                    <w:pStyle w:val="TableBodyText"/>
                    <w:ind w:right="57"/>
                    <w:rPr>
                      <w:rFonts w:asciiTheme="minorHAnsi" w:hAnsiTheme="minorHAnsi" w:cstheme="minorHAnsi"/>
                      <w:color w:val="000000"/>
                      <w:szCs w:val="18"/>
                    </w:rPr>
                  </w:pPr>
                </w:p>
              </w:tc>
              <w:tc>
                <w:tcPr>
                  <w:tcW w:w="416" w:type="pct"/>
                  <w:shd w:val="clear" w:color="auto" w:fill="auto"/>
                  <w:vAlign w:val="center"/>
                </w:tcPr>
                <w:p w14:paraId="7954C19C" w14:textId="77777777" w:rsidR="00F05DC7" w:rsidRPr="00CE6393" w:rsidRDefault="00F05DC7" w:rsidP="00A3786D">
                  <w:pPr>
                    <w:pStyle w:val="TableBodyText"/>
                    <w:ind w:right="57"/>
                    <w:rPr>
                      <w:rFonts w:asciiTheme="minorHAnsi" w:hAnsiTheme="minorHAnsi" w:cstheme="minorHAnsi"/>
                      <w:color w:val="000000"/>
                      <w:szCs w:val="18"/>
                    </w:rPr>
                  </w:pPr>
                </w:p>
              </w:tc>
              <w:tc>
                <w:tcPr>
                  <w:tcW w:w="417" w:type="pct"/>
                  <w:shd w:val="clear" w:color="auto" w:fill="auto"/>
                  <w:vAlign w:val="center"/>
                </w:tcPr>
                <w:p w14:paraId="7954C19D" w14:textId="77777777" w:rsidR="00F05DC7" w:rsidRPr="00CE6393" w:rsidRDefault="00F05DC7" w:rsidP="00A3786D">
                  <w:pPr>
                    <w:pStyle w:val="TableBodyText"/>
                    <w:ind w:right="57"/>
                    <w:rPr>
                      <w:rFonts w:asciiTheme="minorHAnsi" w:hAnsiTheme="minorHAnsi" w:cstheme="minorHAnsi"/>
                      <w:color w:val="000000"/>
                      <w:szCs w:val="18"/>
                    </w:rPr>
                  </w:pPr>
                </w:p>
              </w:tc>
              <w:tc>
                <w:tcPr>
                  <w:tcW w:w="417" w:type="pct"/>
                  <w:shd w:val="clear" w:color="auto" w:fill="auto"/>
                  <w:vAlign w:val="center"/>
                </w:tcPr>
                <w:p w14:paraId="7954C19E" w14:textId="77777777" w:rsidR="00F05DC7" w:rsidRPr="00CE6393" w:rsidRDefault="00F05DC7" w:rsidP="00A3786D">
                  <w:pPr>
                    <w:pStyle w:val="TableBodyText"/>
                    <w:ind w:right="57"/>
                    <w:rPr>
                      <w:rFonts w:asciiTheme="minorHAnsi" w:hAnsiTheme="minorHAnsi" w:cstheme="minorHAnsi"/>
                      <w:color w:val="000000"/>
                      <w:szCs w:val="18"/>
                    </w:rPr>
                  </w:pPr>
                </w:p>
              </w:tc>
              <w:tc>
                <w:tcPr>
                  <w:tcW w:w="416" w:type="pct"/>
                  <w:shd w:val="clear" w:color="auto" w:fill="auto"/>
                  <w:vAlign w:val="center"/>
                </w:tcPr>
                <w:p w14:paraId="7954C19F" w14:textId="77777777" w:rsidR="00F05DC7" w:rsidRPr="00CE6393" w:rsidRDefault="00F05DC7" w:rsidP="00A3786D">
                  <w:pPr>
                    <w:pStyle w:val="TableBodyText"/>
                    <w:ind w:right="57"/>
                    <w:rPr>
                      <w:rFonts w:asciiTheme="minorHAnsi" w:hAnsiTheme="minorHAnsi" w:cstheme="minorHAnsi"/>
                      <w:color w:val="000000"/>
                      <w:szCs w:val="18"/>
                    </w:rPr>
                  </w:pPr>
                </w:p>
              </w:tc>
            </w:tr>
            <w:tr w:rsidR="00F05DC7" w:rsidRPr="00AD7DC6" w14:paraId="7954C1AA" w14:textId="77777777" w:rsidTr="00A3786D">
              <w:trPr>
                <w:trHeight w:val="210"/>
              </w:trPr>
              <w:tc>
                <w:tcPr>
                  <w:tcW w:w="1667" w:type="pct"/>
                  <w:shd w:val="clear" w:color="auto" w:fill="F2F2F2" w:themeFill="background1" w:themeFillShade="F2"/>
                  <w:vAlign w:val="center"/>
                </w:tcPr>
                <w:p w14:paraId="7954C1A1" w14:textId="77777777" w:rsidR="00F05DC7" w:rsidRPr="00CE6393" w:rsidRDefault="00F05DC7" w:rsidP="00A3786D">
                  <w:pPr>
                    <w:pStyle w:val="TableBodyText"/>
                    <w:ind w:left="0" w:right="57"/>
                    <w:jc w:val="left"/>
                    <w:rPr>
                      <w:rFonts w:asciiTheme="minorHAnsi" w:hAnsiTheme="minorHAnsi" w:cstheme="minorHAnsi"/>
                      <w:szCs w:val="18"/>
                    </w:rPr>
                  </w:pPr>
                  <w:r w:rsidRPr="003C5AA9">
                    <w:rPr>
                      <w:rFonts w:asciiTheme="minorHAnsi" w:hAnsiTheme="minorHAnsi" w:cstheme="minorHAnsi"/>
                      <w:bCs/>
                      <w:color w:val="000000"/>
                      <w:szCs w:val="18"/>
                    </w:rPr>
                    <w:t>GST, lower bound ($m)</w:t>
                  </w:r>
                </w:p>
              </w:tc>
              <w:tc>
                <w:tcPr>
                  <w:tcW w:w="416" w:type="pct"/>
                  <w:tcBorders>
                    <w:top w:val="nil"/>
                    <w:left w:val="nil"/>
                    <w:bottom w:val="nil"/>
                    <w:right w:val="nil"/>
                  </w:tcBorders>
                  <w:shd w:val="clear" w:color="auto" w:fill="F2F2F2" w:themeFill="background1" w:themeFillShade="F2"/>
                  <w:vAlign w:val="bottom"/>
                </w:tcPr>
                <w:p w14:paraId="7954C1A2" w14:textId="77777777" w:rsidR="00F05DC7" w:rsidRPr="00CB3089" w:rsidRDefault="00F05DC7" w:rsidP="00A3786D">
                  <w:pPr>
                    <w:pStyle w:val="TableBodyText"/>
                    <w:ind w:right="57"/>
                    <w:rPr>
                      <w:rFonts w:cs="Arial"/>
                      <w:szCs w:val="18"/>
                    </w:rPr>
                  </w:pPr>
                  <w:r w:rsidRPr="00CB3089">
                    <w:rPr>
                      <w:rFonts w:cs="Arial"/>
                      <w:bCs/>
                      <w:color w:val="000000" w:themeColor="text1"/>
                      <w:szCs w:val="18"/>
                    </w:rPr>
                    <w:t>135</w:t>
                  </w:r>
                </w:p>
              </w:tc>
              <w:tc>
                <w:tcPr>
                  <w:tcW w:w="417" w:type="pct"/>
                  <w:tcBorders>
                    <w:top w:val="nil"/>
                    <w:left w:val="nil"/>
                    <w:bottom w:val="nil"/>
                    <w:right w:val="nil"/>
                  </w:tcBorders>
                  <w:shd w:val="clear" w:color="auto" w:fill="F2F2F2" w:themeFill="background1" w:themeFillShade="F2"/>
                  <w:vAlign w:val="bottom"/>
                </w:tcPr>
                <w:p w14:paraId="7954C1A3" w14:textId="77777777" w:rsidR="00F05DC7" w:rsidRPr="00CB3089" w:rsidRDefault="00F05DC7" w:rsidP="00A3786D">
                  <w:pPr>
                    <w:pStyle w:val="TableBodyText"/>
                    <w:ind w:right="57"/>
                    <w:rPr>
                      <w:rFonts w:cs="Arial"/>
                      <w:szCs w:val="18"/>
                    </w:rPr>
                  </w:pPr>
                  <w:r w:rsidRPr="00CB3089">
                    <w:rPr>
                      <w:rFonts w:cs="Arial"/>
                      <w:bCs/>
                      <w:color w:val="000000" w:themeColor="text1"/>
                      <w:szCs w:val="18"/>
                    </w:rPr>
                    <w:t>-18</w:t>
                  </w:r>
                </w:p>
              </w:tc>
              <w:tc>
                <w:tcPr>
                  <w:tcW w:w="417" w:type="pct"/>
                  <w:tcBorders>
                    <w:top w:val="nil"/>
                    <w:left w:val="nil"/>
                    <w:bottom w:val="nil"/>
                    <w:right w:val="nil"/>
                  </w:tcBorders>
                  <w:shd w:val="clear" w:color="auto" w:fill="F2F2F2" w:themeFill="background1" w:themeFillShade="F2"/>
                  <w:vAlign w:val="bottom"/>
                </w:tcPr>
                <w:p w14:paraId="7954C1A4" w14:textId="77777777" w:rsidR="00F05DC7" w:rsidRPr="00CB3089" w:rsidRDefault="00F05DC7" w:rsidP="00A3786D">
                  <w:pPr>
                    <w:pStyle w:val="TableBodyText"/>
                    <w:ind w:right="57"/>
                    <w:rPr>
                      <w:rFonts w:cs="Arial"/>
                      <w:szCs w:val="18"/>
                    </w:rPr>
                  </w:pPr>
                  <w:r w:rsidRPr="00CB3089">
                    <w:rPr>
                      <w:rFonts w:cs="Arial"/>
                      <w:bCs/>
                      <w:color w:val="000000" w:themeColor="text1"/>
                      <w:szCs w:val="18"/>
                    </w:rPr>
                    <w:t>380</w:t>
                  </w:r>
                </w:p>
              </w:tc>
              <w:tc>
                <w:tcPr>
                  <w:tcW w:w="417" w:type="pct"/>
                  <w:tcBorders>
                    <w:top w:val="nil"/>
                    <w:left w:val="nil"/>
                    <w:bottom w:val="nil"/>
                    <w:right w:val="nil"/>
                  </w:tcBorders>
                  <w:shd w:val="clear" w:color="auto" w:fill="F2F2F2" w:themeFill="background1" w:themeFillShade="F2"/>
                  <w:vAlign w:val="bottom"/>
                </w:tcPr>
                <w:p w14:paraId="7954C1A5" w14:textId="77777777" w:rsidR="00F05DC7" w:rsidRPr="00CB3089" w:rsidRDefault="00F05DC7" w:rsidP="00A3786D">
                  <w:pPr>
                    <w:pStyle w:val="TableBodyText"/>
                    <w:ind w:right="57"/>
                    <w:rPr>
                      <w:rFonts w:cs="Arial"/>
                      <w:szCs w:val="18"/>
                    </w:rPr>
                  </w:pPr>
                  <w:r w:rsidRPr="00CB3089">
                    <w:rPr>
                      <w:rFonts w:cs="Arial"/>
                      <w:bCs/>
                      <w:color w:val="000000" w:themeColor="text1"/>
                      <w:szCs w:val="18"/>
                    </w:rPr>
                    <w:t>-306</w:t>
                  </w:r>
                </w:p>
              </w:tc>
              <w:tc>
                <w:tcPr>
                  <w:tcW w:w="416" w:type="pct"/>
                  <w:tcBorders>
                    <w:top w:val="nil"/>
                    <w:left w:val="nil"/>
                    <w:bottom w:val="nil"/>
                    <w:right w:val="nil"/>
                  </w:tcBorders>
                  <w:shd w:val="clear" w:color="auto" w:fill="F2F2F2" w:themeFill="background1" w:themeFillShade="F2"/>
                  <w:vAlign w:val="bottom"/>
                </w:tcPr>
                <w:p w14:paraId="7954C1A6" w14:textId="77777777" w:rsidR="00F05DC7" w:rsidRPr="00CB3089" w:rsidRDefault="00F05DC7" w:rsidP="00A3786D">
                  <w:pPr>
                    <w:pStyle w:val="TableBodyText"/>
                    <w:ind w:right="57"/>
                    <w:rPr>
                      <w:rFonts w:cs="Arial"/>
                      <w:szCs w:val="18"/>
                    </w:rPr>
                  </w:pPr>
                  <w:r w:rsidRPr="00CB3089">
                    <w:rPr>
                      <w:rFonts w:cs="Arial"/>
                      <w:bCs/>
                      <w:color w:val="000000" w:themeColor="text1"/>
                      <w:szCs w:val="18"/>
                    </w:rPr>
                    <w:t>-157</w:t>
                  </w:r>
                </w:p>
              </w:tc>
              <w:tc>
                <w:tcPr>
                  <w:tcW w:w="417" w:type="pct"/>
                  <w:tcBorders>
                    <w:top w:val="nil"/>
                    <w:left w:val="nil"/>
                    <w:bottom w:val="nil"/>
                    <w:right w:val="nil"/>
                  </w:tcBorders>
                  <w:shd w:val="clear" w:color="auto" w:fill="F2F2F2" w:themeFill="background1" w:themeFillShade="F2"/>
                  <w:vAlign w:val="bottom"/>
                </w:tcPr>
                <w:p w14:paraId="7954C1A7" w14:textId="77777777" w:rsidR="00F05DC7" w:rsidRPr="00CB3089" w:rsidRDefault="00F05DC7" w:rsidP="00A3786D">
                  <w:pPr>
                    <w:pStyle w:val="TableBodyText"/>
                    <w:ind w:right="57"/>
                    <w:rPr>
                      <w:rFonts w:cs="Arial"/>
                      <w:szCs w:val="18"/>
                    </w:rPr>
                  </w:pPr>
                  <w:r w:rsidRPr="00CB3089">
                    <w:rPr>
                      <w:rFonts w:cs="Arial"/>
                      <w:bCs/>
                      <w:color w:val="000000" w:themeColor="text1"/>
                      <w:szCs w:val="18"/>
                    </w:rPr>
                    <w:t>-19</w:t>
                  </w:r>
                </w:p>
              </w:tc>
              <w:tc>
                <w:tcPr>
                  <w:tcW w:w="417" w:type="pct"/>
                  <w:tcBorders>
                    <w:top w:val="nil"/>
                    <w:left w:val="nil"/>
                    <w:bottom w:val="nil"/>
                    <w:right w:val="nil"/>
                  </w:tcBorders>
                  <w:shd w:val="clear" w:color="auto" w:fill="F2F2F2" w:themeFill="background1" w:themeFillShade="F2"/>
                  <w:vAlign w:val="bottom"/>
                </w:tcPr>
                <w:p w14:paraId="7954C1A8" w14:textId="77777777" w:rsidR="00F05DC7" w:rsidRPr="00CB3089" w:rsidRDefault="00F05DC7" w:rsidP="00A3786D">
                  <w:pPr>
                    <w:pStyle w:val="TableBodyText"/>
                    <w:ind w:right="57"/>
                    <w:rPr>
                      <w:rFonts w:cs="Arial"/>
                      <w:szCs w:val="18"/>
                    </w:rPr>
                  </w:pPr>
                  <w:r w:rsidRPr="00CB3089">
                    <w:rPr>
                      <w:rFonts w:cs="Arial"/>
                      <w:bCs/>
                      <w:color w:val="000000" w:themeColor="text1"/>
                      <w:szCs w:val="18"/>
                    </w:rPr>
                    <w:t>-2</w:t>
                  </w:r>
                </w:p>
              </w:tc>
              <w:tc>
                <w:tcPr>
                  <w:tcW w:w="416" w:type="pct"/>
                  <w:tcBorders>
                    <w:top w:val="nil"/>
                    <w:left w:val="nil"/>
                    <w:bottom w:val="nil"/>
                    <w:right w:val="nil"/>
                  </w:tcBorders>
                  <w:shd w:val="clear" w:color="auto" w:fill="F2F2F2" w:themeFill="background1" w:themeFillShade="F2"/>
                  <w:vAlign w:val="bottom"/>
                </w:tcPr>
                <w:p w14:paraId="7954C1A9" w14:textId="77777777" w:rsidR="00F05DC7" w:rsidRPr="00CB3089" w:rsidRDefault="00F05DC7" w:rsidP="00A3786D">
                  <w:pPr>
                    <w:pStyle w:val="TableBodyText"/>
                    <w:ind w:right="57"/>
                    <w:rPr>
                      <w:rFonts w:cs="Arial"/>
                      <w:szCs w:val="18"/>
                    </w:rPr>
                  </w:pPr>
                  <w:r w:rsidRPr="00CB3089">
                    <w:rPr>
                      <w:rFonts w:cs="Arial"/>
                      <w:bCs/>
                      <w:color w:val="000000" w:themeColor="text1"/>
                      <w:szCs w:val="18"/>
                    </w:rPr>
                    <w:t>-13</w:t>
                  </w:r>
                </w:p>
              </w:tc>
            </w:tr>
            <w:tr w:rsidR="00F05DC7" w:rsidRPr="00AD7DC6" w14:paraId="7954C1B4" w14:textId="77777777" w:rsidTr="00A3786D">
              <w:trPr>
                <w:trHeight w:val="210"/>
              </w:trPr>
              <w:tc>
                <w:tcPr>
                  <w:tcW w:w="1667" w:type="pct"/>
                  <w:shd w:val="clear" w:color="auto" w:fill="auto"/>
                  <w:vAlign w:val="center"/>
                </w:tcPr>
                <w:p w14:paraId="7954C1AB" w14:textId="77777777" w:rsidR="00F05DC7" w:rsidRPr="00CE6393" w:rsidRDefault="00F05DC7" w:rsidP="00A3786D">
                  <w:pPr>
                    <w:pStyle w:val="TableBodyText"/>
                    <w:ind w:left="0" w:right="57"/>
                    <w:jc w:val="left"/>
                    <w:rPr>
                      <w:rFonts w:asciiTheme="minorHAnsi" w:hAnsiTheme="minorHAnsi" w:cstheme="minorHAnsi"/>
                      <w:color w:val="000000"/>
                      <w:szCs w:val="18"/>
                    </w:rPr>
                  </w:pPr>
                  <w:r w:rsidRPr="003C5AA9">
                    <w:rPr>
                      <w:rFonts w:asciiTheme="minorHAnsi" w:hAnsiTheme="minorHAnsi" w:cstheme="minorHAnsi"/>
                      <w:bCs/>
                      <w:color w:val="000000"/>
                      <w:szCs w:val="18"/>
                    </w:rPr>
                    <w:t>GST, lower bound ($pc)</w:t>
                  </w:r>
                </w:p>
              </w:tc>
              <w:tc>
                <w:tcPr>
                  <w:tcW w:w="416" w:type="pct"/>
                  <w:tcBorders>
                    <w:top w:val="nil"/>
                    <w:left w:val="nil"/>
                    <w:bottom w:val="nil"/>
                    <w:right w:val="nil"/>
                  </w:tcBorders>
                  <w:shd w:val="clear" w:color="auto" w:fill="auto"/>
                  <w:vAlign w:val="bottom"/>
                </w:tcPr>
                <w:p w14:paraId="7954C1AC"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17</w:t>
                  </w:r>
                </w:p>
              </w:tc>
              <w:tc>
                <w:tcPr>
                  <w:tcW w:w="417" w:type="pct"/>
                  <w:tcBorders>
                    <w:top w:val="nil"/>
                    <w:left w:val="nil"/>
                    <w:bottom w:val="nil"/>
                    <w:right w:val="nil"/>
                  </w:tcBorders>
                  <w:shd w:val="clear" w:color="auto" w:fill="auto"/>
                  <w:vAlign w:val="bottom"/>
                </w:tcPr>
                <w:p w14:paraId="7954C1AD"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w:t>
                  </w:r>
                </w:p>
              </w:tc>
              <w:tc>
                <w:tcPr>
                  <w:tcW w:w="417" w:type="pct"/>
                  <w:tcBorders>
                    <w:top w:val="nil"/>
                    <w:left w:val="nil"/>
                    <w:bottom w:val="nil"/>
                    <w:right w:val="nil"/>
                  </w:tcBorders>
                  <w:shd w:val="clear" w:color="auto" w:fill="auto"/>
                  <w:vAlign w:val="bottom"/>
                </w:tcPr>
                <w:p w14:paraId="7954C1AE"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78</w:t>
                  </w:r>
                </w:p>
              </w:tc>
              <w:tc>
                <w:tcPr>
                  <w:tcW w:w="417" w:type="pct"/>
                  <w:tcBorders>
                    <w:top w:val="nil"/>
                    <w:left w:val="nil"/>
                    <w:bottom w:val="nil"/>
                    <w:right w:val="nil"/>
                  </w:tcBorders>
                  <w:shd w:val="clear" w:color="auto" w:fill="auto"/>
                  <w:vAlign w:val="bottom"/>
                </w:tcPr>
                <w:p w14:paraId="7954C1AF"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-119</w:t>
                  </w:r>
                </w:p>
              </w:tc>
              <w:tc>
                <w:tcPr>
                  <w:tcW w:w="416" w:type="pct"/>
                  <w:tcBorders>
                    <w:top w:val="nil"/>
                    <w:left w:val="nil"/>
                    <w:bottom w:val="nil"/>
                    <w:right w:val="nil"/>
                  </w:tcBorders>
                  <w:shd w:val="clear" w:color="auto" w:fill="auto"/>
                  <w:vAlign w:val="bottom"/>
                </w:tcPr>
                <w:p w14:paraId="7954C1B0"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-91</w:t>
                  </w:r>
                </w:p>
              </w:tc>
              <w:tc>
                <w:tcPr>
                  <w:tcW w:w="417" w:type="pct"/>
                  <w:tcBorders>
                    <w:top w:val="nil"/>
                    <w:left w:val="nil"/>
                    <w:bottom w:val="nil"/>
                    <w:right w:val="nil"/>
                  </w:tcBorders>
                  <w:shd w:val="clear" w:color="auto" w:fill="auto"/>
                  <w:vAlign w:val="bottom"/>
                </w:tcPr>
                <w:p w14:paraId="7954C1B1"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-37</w:t>
                  </w:r>
                </w:p>
              </w:tc>
              <w:tc>
                <w:tcPr>
                  <w:tcW w:w="417" w:type="pct"/>
                  <w:tcBorders>
                    <w:top w:val="nil"/>
                    <w:left w:val="nil"/>
                    <w:bottom w:val="nil"/>
                    <w:right w:val="nil"/>
                  </w:tcBorders>
                  <w:shd w:val="clear" w:color="auto" w:fill="auto"/>
                  <w:vAlign w:val="bottom"/>
                </w:tcPr>
                <w:p w14:paraId="7954C1B2"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w:t>
                  </w:r>
                </w:p>
              </w:tc>
              <w:tc>
                <w:tcPr>
                  <w:tcW w:w="416" w:type="pct"/>
                  <w:tcBorders>
                    <w:top w:val="nil"/>
                    <w:left w:val="nil"/>
                    <w:bottom w:val="nil"/>
                    <w:right w:val="nil"/>
                  </w:tcBorders>
                  <w:shd w:val="clear" w:color="auto" w:fill="auto"/>
                  <w:vAlign w:val="bottom"/>
                </w:tcPr>
                <w:p w14:paraId="7954C1B3"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-55</w:t>
                  </w:r>
                </w:p>
              </w:tc>
            </w:tr>
            <w:tr w:rsidR="00F05DC7" w:rsidRPr="00AD7DC6" w14:paraId="7954C1BE" w14:textId="77777777" w:rsidTr="00A3786D">
              <w:trPr>
                <w:trHeight w:val="210"/>
              </w:trPr>
              <w:tc>
                <w:tcPr>
                  <w:tcW w:w="1667" w:type="pct"/>
                  <w:shd w:val="clear" w:color="auto" w:fill="F2F2F2" w:themeFill="background1" w:themeFillShade="F2"/>
                  <w:vAlign w:val="center"/>
                </w:tcPr>
                <w:p w14:paraId="7954C1B5" w14:textId="77777777" w:rsidR="00F05DC7" w:rsidRPr="003C5AA9" w:rsidRDefault="00F05DC7" w:rsidP="00A3786D">
                  <w:pPr>
                    <w:pStyle w:val="TableBodyText"/>
                    <w:ind w:left="0" w:right="57"/>
                    <w:jc w:val="left"/>
                    <w:rPr>
                      <w:rFonts w:asciiTheme="minorHAnsi" w:hAnsiTheme="minorHAnsi" w:cstheme="minorHAnsi"/>
                      <w:bCs/>
                      <w:color w:val="000000"/>
                      <w:szCs w:val="18"/>
                    </w:rPr>
                  </w:pPr>
                  <w:r>
                    <w:t>GST, lower bound (% revenue)</w:t>
                  </w:r>
                </w:p>
              </w:tc>
              <w:tc>
                <w:tcPr>
                  <w:tcW w:w="416" w:type="pct"/>
                  <w:tcBorders>
                    <w:top w:val="nil"/>
                    <w:left w:val="nil"/>
                    <w:bottom w:val="nil"/>
                    <w:right w:val="nil"/>
                  </w:tcBorders>
                  <w:shd w:val="clear" w:color="auto" w:fill="F2F2F2" w:themeFill="background1" w:themeFillShade="F2"/>
                  <w:vAlign w:val="bottom"/>
                </w:tcPr>
                <w:p w14:paraId="7954C1B6"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0.2</w:t>
                  </w:r>
                </w:p>
              </w:tc>
              <w:tc>
                <w:tcPr>
                  <w:tcW w:w="417" w:type="pct"/>
                  <w:tcBorders>
                    <w:top w:val="nil"/>
                    <w:left w:val="nil"/>
                    <w:bottom w:val="nil"/>
                    <w:right w:val="nil"/>
                  </w:tcBorders>
                  <w:shd w:val="clear" w:color="auto" w:fill="F2F2F2" w:themeFill="background1" w:themeFillShade="F2"/>
                  <w:vAlign w:val="bottom"/>
                </w:tcPr>
                <w:p w14:paraId="7954C1B7"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7" w:type="pct"/>
                  <w:tcBorders>
                    <w:top w:val="nil"/>
                    <w:left w:val="nil"/>
                    <w:bottom w:val="nil"/>
                    <w:right w:val="nil"/>
                  </w:tcBorders>
                  <w:shd w:val="clear" w:color="auto" w:fill="F2F2F2" w:themeFill="background1" w:themeFillShade="F2"/>
                  <w:vAlign w:val="bottom"/>
                </w:tcPr>
                <w:p w14:paraId="7954C1B8"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0.7</w:t>
                  </w:r>
                </w:p>
              </w:tc>
              <w:tc>
                <w:tcPr>
                  <w:tcW w:w="417" w:type="pct"/>
                  <w:tcBorders>
                    <w:top w:val="nil"/>
                    <w:left w:val="nil"/>
                    <w:bottom w:val="nil"/>
                    <w:right w:val="nil"/>
                  </w:tcBorders>
                  <w:shd w:val="clear" w:color="auto" w:fill="F2F2F2" w:themeFill="background1" w:themeFillShade="F2"/>
                  <w:vAlign w:val="bottom"/>
                </w:tcPr>
                <w:p w14:paraId="7954C1B9"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-1.1</w:t>
                  </w:r>
                </w:p>
              </w:tc>
              <w:tc>
                <w:tcPr>
                  <w:tcW w:w="416" w:type="pct"/>
                  <w:tcBorders>
                    <w:top w:val="nil"/>
                    <w:left w:val="nil"/>
                    <w:bottom w:val="nil"/>
                    <w:right w:val="nil"/>
                  </w:tcBorders>
                  <w:shd w:val="clear" w:color="auto" w:fill="F2F2F2" w:themeFill="background1" w:themeFillShade="F2"/>
                  <w:vAlign w:val="bottom"/>
                </w:tcPr>
                <w:p w14:paraId="7954C1BA"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-0.8</w:t>
                  </w:r>
                </w:p>
              </w:tc>
              <w:tc>
                <w:tcPr>
                  <w:tcW w:w="417" w:type="pct"/>
                  <w:tcBorders>
                    <w:top w:val="nil"/>
                    <w:left w:val="nil"/>
                    <w:bottom w:val="nil"/>
                    <w:right w:val="nil"/>
                  </w:tcBorders>
                  <w:shd w:val="clear" w:color="auto" w:fill="F2F2F2" w:themeFill="background1" w:themeFillShade="F2"/>
                  <w:vAlign w:val="bottom"/>
                </w:tcPr>
                <w:p w14:paraId="7954C1BB"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-0.3</w:t>
                  </w:r>
                </w:p>
              </w:tc>
              <w:tc>
                <w:tcPr>
                  <w:tcW w:w="417" w:type="pct"/>
                  <w:tcBorders>
                    <w:top w:val="nil"/>
                    <w:left w:val="nil"/>
                    <w:bottom w:val="nil"/>
                    <w:right w:val="nil"/>
                  </w:tcBorders>
                  <w:shd w:val="clear" w:color="auto" w:fill="F2F2F2" w:themeFill="background1" w:themeFillShade="F2"/>
                  <w:vAlign w:val="bottom"/>
                </w:tcPr>
                <w:p w14:paraId="7954C1BC"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6" w:type="pct"/>
                  <w:tcBorders>
                    <w:top w:val="nil"/>
                    <w:left w:val="nil"/>
                    <w:bottom w:val="nil"/>
                    <w:right w:val="nil"/>
                  </w:tcBorders>
                  <w:shd w:val="clear" w:color="auto" w:fill="F2F2F2" w:themeFill="background1" w:themeFillShade="F2"/>
                  <w:vAlign w:val="bottom"/>
                </w:tcPr>
                <w:p w14:paraId="7954C1BD" w14:textId="77777777" w:rsidR="00F05DC7" w:rsidRPr="00CB3089" w:rsidRDefault="00F05DC7" w:rsidP="00A3786D">
                  <w:pPr>
                    <w:pStyle w:val="TableBodyText"/>
                    <w:ind w:right="57"/>
                    <w:rPr>
                      <w:rFonts w:cs="Arial"/>
                      <w:bCs/>
                      <w:color w:val="000000" w:themeColor="text1"/>
                      <w:szCs w:val="18"/>
                    </w:rPr>
                  </w:pPr>
                  <w:r w:rsidRPr="00CB3089">
                    <w:rPr>
                      <w:rFonts w:cs="Arial"/>
                      <w:i/>
                      <w:color w:val="000000"/>
                      <w:szCs w:val="18"/>
                    </w:rPr>
                    <w:t>-0.2</w:t>
                  </w:r>
                </w:p>
              </w:tc>
            </w:tr>
            <w:tr w:rsidR="00F05DC7" w:rsidRPr="00AD7DC6" w14:paraId="7954C1C8" w14:textId="77777777" w:rsidTr="00A3786D">
              <w:trPr>
                <w:trHeight w:val="210"/>
              </w:trPr>
              <w:tc>
                <w:tcPr>
                  <w:tcW w:w="1667" w:type="pct"/>
                  <w:shd w:val="clear" w:color="auto" w:fill="auto"/>
                  <w:vAlign w:val="center"/>
                </w:tcPr>
                <w:p w14:paraId="7954C1BF" w14:textId="77777777" w:rsidR="00F05DC7" w:rsidRPr="00CE6393" w:rsidRDefault="00F05DC7" w:rsidP="00A3786D">
                  <w:pPr>
                    <w:pStyle w:val="TableBodyText"/>
                    <w:ind w:left="0" w:right="57"/>
                    <w:jc w:val="left"/>
                    <w:rPr>
                      <w:rFonts w:asciiTheme="minorHAnsi" w:hAnsiTheme="minorHAnsi" w:cstheme="minorHAnsi"/>
                      <w:color w:val="000000"/>
                      <w:szCs w:val="18"/>
                    </w:rPr>
                  </w:pPr>
                  <w:r w:rsidRPr="003C5AA9">
                    <w:rPr>
                      <w:rFonts w:asciiTheme="minorHAnsi" w:hAnsiTheme="minorHAnsi" w:cstheme="minorHAnsi"/>
                      <w:bCs/>
                      <w:color w:val="000000"/>
                      <w:szCs w:val="18"/>
                    </w:rPr>
                    <w:t>GST, upper bound ($m)</w:t>
                  </w:r>
                </w:p>
              </w:tc>
              <w:tc>
                <w:tcPr>
                  <w:tcW w:w="416" w:type="pct"/>
                  <w:tcBorders>
                    <w:top w:val="nil"/>
                    <w:left w:val="nil"/>
                    <w:bottom w:val="nil"/>
                    <w:right w:val="nil"/>
                  </w:tcBorders>
                  <w:shd w:val="clear" w:color="auto" w:fill="auto"/>
                  <w:vAlign w:val="bottom"/>
                </w:tcPr>
                <w:p w14:paraId="7954C1C0"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100</w:t>
                  </w:r>
                </w:p>
              </w:tc>
              <w:tc>
                <w:tcPr>
                  <w:tcW w:w="417" w:type="pct"/>
                  <w:tcBorders>
                    <w:top w:val="nil"/>
                    <w:left w:val="nil"/>
                    <w:bottom w:val="nil"/>
                    <w:right w:val="nil"/>
                  </w:tcBorders>
                  <w:shd w:val="clear" w:color="auto" w:fill="auto"/>
                  <w:vAlign w:val="bottom"/>
                </w:tcPr>
                <w:p w14:paraId="7954C1C1"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-13</w:t>
                  </w:r>
                </w:p>
              </w:tc>
              <w:tc>
                <w:tcPr>
                  <w:tcW w:w="417" w:type="pct"/>
                  <w:tcBorders>
                    <w:top w:val="nil"/>
                    <w:left w:val="nil"/>
                    <w:bottom w:val="nil"/>
                    <w:right w:val="nil"/>
                  </w:tcBorders>
                  <w:shd w:val="clear" w:color="auto" w:fill="auto"/>
                  <w:vAlign w:val="bottom"/>
                </w:tcPr>
                <w:p w14:paraId="7954C1C2"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281</w:t>
                  </w:r>
                </w:p>
              </w:tc>
              <w:tc>
                <w:tcPr>
                  <w:tcW w:w="417" w:type="pct"/>
                  <w:tcBorders>
                    <w:top w:val="nil"/>
                    <w:left w:val="nil"/>
                    <w:bottom w:val="nil"/>
                    <w:right w:val="nil"/>
                  </w:tcBorders>
                  <w:shd w:val="clear" w:color="auto" w:fill="auto"/>
                  <w:vAlign w:val="bottom"/>
                </w:tcPr>
                <w:p w14:paraId="7954C1C3"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-227</w:t>
                  </w:r>
                </w:p>
              </w:tc>
              <w:tc>
                <w:tcPr>
                  <w:tcW w:w="416" w:type="pct"/>
                  <w:tcBorders>
                    <w:top w:val="nil"/>
                    <w:left w:val="nil"/>
                    <w:bottom w:val="nil"/>
                    <w:right w:val="nil"/>
                  </w:tcBorders>
                  <w:shd w:val="clear" w:color="auto" w:fill="auto"/>
                  <w:vAlign w:val="bottom"/>
                </w:tcPr>
                <w:p w14:paraId="7954C1C4"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-116</w:t>
                  </w:r>
                </w:p>
              </w:tc>
              <w:tc>
                <w:tcPr>
                  <w:tcW w:w="417" w:type="pct"/>
                  <w:tcBorders>
                    <w:top w:val="nil"/>
                    <w:left w:val="nil"/>
                    <w:bottom w:val="nil"/>
                    <w:right w:val="nil"/>
                  </w:tcBorders>
                  <w:shd w:val="clear" w:color="auto" w:fill="auto"/>
                  <w:vAlign w:val="bottom"/>
                </w:tcPr>
                <w:p w14:paraId="7954C1C5"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-14</w:t>
                  </w:r>
                </w:p>
              </w:tc>
              <w:tc>
                <w:tcPr>
                  <w:tcW w:w="417" w:type="pct"/>
                  <w:tcBorders>
                    <w:top w:val="nil"/>
                    <w:left w:val="nil"/>
                    <w:bottom w:val="nil"/>
                    <w:right w:val="nil"/>
                  </w:tcBorders>
                  <w:shd w:val="clear" w:color="auto" w:fill="auto"/>
                  <w:vAlign w:val="bottom"/>
                </w:tcPr>
                <w:p w14:paraId="7954C1C6"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w:t>
                  </w:r>
                </w:p>
              </w:tc>
              <w:tc>
                <w:tcPr>
                  <w:tcW w:w="416" w:type="pct"/>
                  <w:tcBorders>
                    <w:top w:val="nil"/>
                    <w:left w:val="nil"/>
                    <w:bottom w:val="nil"/>
                    <w:right w:val="nil"/>
                  </w:tcBorders>
                  <w:shd w:val="clear" w:color="auto" w:fill="auto"/>
                  <w:vAlign w:val="bottom"/>
                </w:tcPr>
                <w:p w14:paraId="7954C1C7"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-10</w:t>
                  </w:r>
                </w:p>
              </w:tc>
            </w:tr>
            <w:tr w:rsidR="00F05DC7" w:rsidRPr="00AD7DC6" w14:paraId="7954C1D2" w14:textId="77777777" w:rsidTr="00A3786D">
              <w:trPr>
                <w:trHeight w:val="210"/>
              </w:trPr>
              <w:tc>
                <w:tcPr>
                  <w:tcW w:w="1667" w:type="pct"/>
                  <w:shd w:val="clear" w:color="auto" w:fill="F2F2F2" w:themeFill="background1" w:themeFillShade="F2"/>
                  <w:vAlign w:val="center"/>
                </w:tcPr>
                <w:p w14:paraId="7954C1C9" w14:textId="77777777" w:rsidR="00F05DC7" w:rsidRPr="00CE6393" w:rsidRDefault="00F05DC7" w:rsidP="00A3786D">
                  <w:pPr>
                    <w:pStyle w:val="TableBodyText"/>
                    <w:ind w:left="0" w:right="57"/>
                    <w:jc w:val="left"/>
                    <w:rPr>
                      <w:rFonts w:asciiTheme="minorHAnsi" w:hAnsiTheme="minorHAnsi" w:cstheme="minorHAnsi"/>
                      <w:color w:val="000000"/>
                      <w:szCs w:val="18"/>
                    </w:rPr>
                  </w:pPr>
                  <w:r w:rsidRPr="003C5AA9">
                    <w:rPr>
                      <w:rFonts w:asciiTheme="minorHAnsi" w:hAnsiTheme="minorHAnsi" w:cstheme="minorHAnsi"/>
                      <w:bCs/>
                      <w:color w:val="000000"/>
                      <w:szCs w:val="18"/>
                    </w:rPr>
                    <w:t>GST, upper bound ($pc)</w:t>
                  </w:r>
                </w:p>
              </w:tc>
              <w:tc>
                <w:tcPr>
                  <w:tcW w:w="416" w:type="pct"/>
                  <w:tcBorders>
                    <w:top w:val="nil"/>
                    <w:left w:val="nil"/>
                    <w:bottom w:val="nil"/>
                    <w:right w:val="nil"/>
                  </w:tcBorders>
                  <w:shd w:val="clear" w:color="auto" w:fill="F2F2F2" w:themeFill="background1" w:themeFillShade="F2"/>
                  <w:vAlign w:val="bottom"/>
                </w:tcPr>
                <w:p w14:paraId="7954C1CA"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13</w:t>
                  </w:r>
                </w:p>
              </w:tc>
              <w:tc>
                <w:tcPr>
                  <w:tcW w:w="417" w:type="pct"/>
                  <w:tcBorders>
                    <w:top w:val="nil"/>
                    <w:left w:val="nil"/>
                    <w:bottom w:val="nil"/>
                    <w:right w:val="nil"/>
                  </w:tcBorders>
                  <w:shd w:val="clear" w:color="auto" w:fill="F2F2F2" w:themeFill="background1" w:themeFillShade="F2"/>
                  <w:vAlign w:val="bottom"/>
                </w:tcPr>
                <w:p w14:paraId="7954C1CB"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w:t>
                  </w:r>
                </w:p>
              </w:tc>
              <w:tc>
                <w:tcPr>
                  <w:tcW w:w="417" w:type="pct"/>
                  <w:tcBorders>
                    <w:top w:val="nil"/>
                    <w:left w:val="nil"/>
                    <w:bottom w:val="nil"/>
                    <w:right w:val="nil"/>
                  </w:tcBorders>
                  <w:shd w:val="clear" w:color="auto" w:fill="F2F2F2" w:themeFill="background1" w:themeFillShade="F2"/>
                  <w:vAlign w:val="bottom"/>
                </w:tcPr>
                <w:p w14:paraId="7954C1CC"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58</w:t>
                  </w:r>
                </w:p>
              </w:tc>
              <w:tc>
                <w:tcPr>
                  <w:tcW w:w="417" w:type="pct"/>
                  <w:tcBorders>
                    <w:top w:val="nil"/>
                    <w:left w:val="nil"/>
                    <w:bottom w:val="nil"/>
                    <w:right w:val="nil"/>
                  </w:tcBorders>
                  <w:shd w:val="clear" w:color="auto" w:fill="F2F2F2" w:themeFill="background1" w:themeFillShade="F2"/>
                  <w:vAlign w:val="bottom"/>
                </w:tcPr>
                <w:p w14:paraId="7954C1CD"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-88</w:t>
                  </w:r>
                </w:p>
              </w:tc>
              <w:tc>
                <w:tcPr>
                  <w:tcW w:w="416" w:type="pct"/>
                  <w:tcBorders>
                    <w:top w:val="nil"/>
                    <w:left w:val="nil"/>
                    <w:bottom w:val="nil"/>
                    <w:right w:val="nil"/>
                  </w:tcBorders>
                  <w:shd w:val="clear" w:color="auto" w:fill="F2F2F2" w:themeFill="background1" w:themeFillShade="F2"/>
                  <w:vAlign w:val="bottom"/>
                </w:tcPr>
                <w:p w14:paraId="7954C1CE"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-68</w:t>
                  </w:r>
                </w:p>
              </w:tc>
              <w:tc>
                <w:tcPr>
                  <w:tcW w:w="417" w:type="pct"/>
                  <w:tcBorders>
                    <w:top w:val="nil"/>
                    <w:left w:val="nil"/>
                    <w:bottom w:val="nil"/>
                    <w:right w:val="nil"/>
                  </w:tcBorders>
                  <w:shd w:val="clear" w:color="auto" w:fill="F2F2F2" w:themeFill="background1" w:themeFillShade="F2"/>
                  <w:vAlign w:val="bottom"/>
                </w:tcPr>
                <w:p w14:paraId="7954C1CF"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-27</w:t>
                  </w:r>
                </w:p>
              </w:tc>
              <w:tc>
                <w:tcPr>
                  <w:tcW w:w="417" w:type="pct"/>
                  <w:tcBorders>
                    <w:top w:val="nil"/>
                    <w:left w:val="nil"/>
                    <w:bottom w:val="nil"/>
                    <w:right w:val="nil"/>
                  </w:tcBorders>
                  <w:shd w:val="clear" w:color="auto" w:fill="F2F2F2" w:themeFill="background1" w:themeFillShade="F2"/>
                  <w:vAlign w:val="bottom"/>
                </w:tcPr>
                <w:p w14:paraId="7954C1D0"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w:t>
                  </w:r>
                </w:p>
              </w:tc>
              <w:tc>
                <w:tcPr>
                  <w:tcW w:w="416" w:type="pct"/>
                  <w:tcBorders>
                    <w:top w:val="nil"/>
                    <w:left w:val="nil"/>
                    <w:bottom w:val="nil"/>
                    <w:right w:val="nil"/>
                  </w:tcBorders>
                  <w:shd w:val="clear" w:color="auto" w:fill="F2F2F2" w:themeFill="background1" w:themeFillShade="F2"/>
                  <w:vAlign w:val="bottom"/>
                </w:tcPr>
                <w:p w14:paraId="7954C1D1"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-41</w:t>
                  </w:r>
                </w:p>
              </w:tc>
            </w:tr>
            <w:tr w:rsidR="00F05DC7" w:rsidRPr="00AD7DC6" w14:paraId="7954C1DC" w14:textId="77777777" w:rsidTr="00A3786D">
              <w:trPr>
                <w:trHeight w:val="210"/>
              </w:trPr>
              <w:tc>
                <w:tcPr>
                  <w:tcW w:w="1667" w:type="pct"/>
                  <w:tcBorders>
                    <w:bottom w:val="single" w:sz="4" w:space="0" w:color="D9D9D9" w:themeColor="background1" w:themeShade="D9"/>
                  </w:tcBorders>
                  <w:shd w:val="clear" w:color="auto" w:fill="auto"/>
                  <w:vAlign w:val="center"/>
                </w:tcPr>
                <w:p w14:paraId="7954C1D3" w14:textId="77777777" w:rsidR="00F05DC7" w:rsidRPr="003C5AA9" w:rsidRDefault="00F05DC7" w:rsidP="00A3786D">
                  <w:pPr>
                    <w:pStyle w:val="TableBodyText"/>
                    <w:ind w:left="0" w:right="57"/>
                    <w:jc w:val="left"/>
                    <w:rPr>
                      <w:rFonts w:asciiTheme="minorHAnsi" w:hAnsiTheme="minorHAnsi" w:cstheme="minorHAnsi"/>
                      <w:bCs/>
                      <w:color w:val="000000"/>
                      <w:szCs w:val="18"/>
                    </w:rPr>
                  </w:pPr>
                  <w:r>
                    <w:t>GST, upper bound (% revenue)</w:t>
                  </w:r>
                </w:p>
              </w:tc>
              <w:tc>
                <w:tcPr>
                  <w:tcW w:w="416" w:type="pct"/>
                  <w:tcBorders>
                    <w:top w:val="nil"/>
                    <w:left w:val="nil"/>
                    <w:bottom w:val="single" w:sz="4" w:space="0" w:color="D9D9D9" w:themeColor="background1" w:themeShade="D9"/>
                    <w:right w:val="nil"/>
                  </w:tcBorders>
                  <w:shd w:val="clear" w:color="auto" w:fill="auto"/>
                  <w:vAlign w:val="bottom"/>
                </w:tcPr>
                <w:p w14:paraId="7954C1D4"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0.1</w:t>
                  </w:r>
                </w:p>
              </w:tc>
              <w:tc>
                <w:tcPr>
                  <w:tcW w:w="417" w:type="pct"/>
                  <w:tcBorders>
                    <w:top w:val="nil"/>
                    <w:left w:val="nil"/>
                    <w:bottom w:val="single" w:sz="4" w:space="0" w:color="D9D9D9" w:themeColor="background1" w:themeShade="D9"/>
                    <w:right w:val="nil"/>
                  </w:tcBorders>
                  <w:shd w:val="clear" w:color="auto" w:fill="auto"/>
                  <w:vAlign w:val="bottom"/>
                </w:tcPr>
                <w:p w14:paraId="7954C1D5"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7" w:type="pct"/>
                  <w:tcBorders>
                    <w:top w:val="nil"/>
                    <w:left w:val="nil"/>
                    <w:bottom w:val="single" w:sz="4" w:space="0" w:color="D9D9D9" w:themeColor="background1" w:themeShade="D9"/>
                    <w:right w:val="nil"/>
                  </w:tcBorders>
                  <w:shd w:val="clear" w:color="auto" w:fill="auto"/>
                  <w:vAlign w:val="bottom"/>
                </w:tcPr>
                <w:p w14:paraId="7954C1D6"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0.5</w:t>
                  </w:r>
                </w:p>
              </w:tc>
              <w:tc>
                <w:tcPr>
                  <w:tcW w:w="417" w:type="pct"/>
                  <w:tcBorders>
                    <w:top w:val="nil"/>
                    <w:left w:val="nil"/>
                    <w:bottom w:val="single" w:sz="4" w:space="0" w:color="D9D9D9" w:themeColor="background1" w:themeShade="D9"/>
                    <w:right w:val="nil"/>
                  </w:tcBorders>
                  <w:shd w:val="clear" w:color="auto" w:fill="auto"/>
                  <w:vAlign w:val="bottom"/>
                </w:tcPr>
                <w:p w14:paraId="7954C1D7"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-0.8</w:t>
                  </w:r>
                </w:p>
              </w:tc>
              <w:tc>
                <w:tcPr>
                  <w:tcW w:w="416" w:type="pct"/>
                  <w:tcBorders>
                    <w:top w:val="nil"/>
                    <w:left w:val="nil"/>
                    <w:bottom w:val="single" w:sz="4" w:space="0" w:color="D9D9D9" w:themeColor="background1" w:themeShade="D9"/>
                    <w:right w:val="nil"/>
                  </w:tcBorders>
                  <w:shd w:val="clear" w:color="auto" w:fill="auto"/>
                  <w:vAlign w:val="bottom"/>
                </w:tcPr>
                <w:p w14:paraId="7954C1D8"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-0.6</w:t>
                  </w:r>
                </w:p>
              </w:tc>
              <w:tc>
                <w:tcPr>
                  <w:tcW w:w="417" w:type="pct"/>
                  <w:tcBorders>
                    <w:top w:val="nil"/>
                    <w:left w:val="nil"/>
                    <w:bottom w:val="single" w:sz="4" w:space="0" w:color="D9D9D9" w:themeColor="background1" w:themeShade="D9"/>
                    <w:right w:val="nil"/>
                  </w:tcBorders>
                  <w:shd w:val="clear" w:color="auto" w:fill="auto"/>
                  <w:vAlign w:val="bottom"/>
                </w:tcPr>
                <w:p w14:paraId="7954C1D9"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-0.3</w:t>
                  </w:r>
                </w:p>
              </w:tc>
              <w:tc>
                <w:tcPr>
                  <w:tcW w:w="417" w:type="pct"/>
                  <w:tcBorders>
                    <w:top w:val="nil"/>
                    <w:left w:val="nil"/>
                    <w:bottom w:val="single" w:sz="4" w:space="0" w:color="D9D9D9" w:themeColor="background1" w:themeShade="D9"/>
                    <w:right w:val="nil"/>
                  </w:tcBorders>
                  <w:shd w:val="clear" w:color="auto" w:fill="auto"/>
                  <w:vAlign w:val="bottom"/>
                </w:tcPr>
                <w:p w14:paraId="7954C1DA"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6" w:type="pct"/>
                  <w:tcBorders>
                    <w:top w:val="nil"/>
                    <w:left w:val="nil"/>
                    <w:bottom w:val="single" w:sz="4" w:space="0" w:color="D9D9D9" w:themeColor="background1" w:themeShade="D9"/>
                    <w:right w:val="nil"/>
                  </w:tcBorders>
                  <w:shd w:val="clear" w:color="auto" w:fill="auto"/>
                  <w:vAlign w:val="bottom"/>
                </w:tcPr>
                <w:p w14:paraId="7954C1DB" w14:textId="77777777" w:rsidR="00F05DC7" w:rsidRPr="00CB3089" w:rsidRDefault="00F05DC7" w:rsidP="00A3786D">
                  <w:pPr>
                    <w:pStyle w:val="TableBodyText"/>
                    <w:ind w:right="57"/>
                    <w:rPr>
                      <w:rFonts w:cs="Arial"/>
                      <w:bCs/>
                      <w:color w:val="000000" w:themeColor="text1"/>
                      <w:szCs w:val="18"/>
                    </w:rPr>
                  </w:pPr>
                  <w:r w:rsidRPr="00CB3089">
                    <w:rPr>
                      <w:rFonts w:cs="Arial"/>
                      <w:i/>
                      <w:color w:val="000000"/>
                      <w:szCs w:val="18"/>
                    </w:rPr>
                    <w:t>-0.2</w:t>
                  </w:r>
                </w:p>
              </w:tc>
            </w:tr>
            <w:tr w:rsidR="00F05DC7" w:rsidRPr="00CE6393" w14:paraId="7954C1E6" w14:textId="77777777" w:rsidTr="00A3786D">
              <w:tc>
                <w:tcPr>
                  <w:tcW w:w="1667" w:type="pct"/>
                  <w:tcBorders>
                    <w:top w:val="single" w:sz="4" w:space="0" w:color="D9D9D9" w:themeColor="background1" w:themeShade="D9"/>
                  </w:tcBorders>
                  <w:shd w:val="clear" w:color="auto" w:fill="auto"/>
                  <w:vAlign w:val="center"/>
                </w:tcPr>
                <w:p w14:paraId="7954C1DD" w14:textId="77777777" w:rsidR="00F05DC7" w:rsidRPr="00CE6393" w:rsidRDefault="00F05DC7" w:rsidP="00A3786D">
                  <w:pPr>
                    <w:spacing w:before="80"/>
                    <w:ind w:right="57"/>
                    <w:rPr>
                      <w:rFonts w:asciiTheme="minorHAnsi" w:hAnsiTheme="minorHAnsi" w:cstheme="minorHAnsi"/>
                      <w:b/>
                      <w:bCs/>
                      <w:color w:val="000000"/>
                      <w:szCs w:val="18"/>
                    </w:rPr>
                  </w:pPr>
                  <w:r w:rsidRPr="003C5AA9">
                    <w:rPr>
                      <w:rFonts w:asciiTheme="minorHAnsi" w:hAnsiTheme="minorHAnsi" w:cstheme="minorHAnsi"/>
                      <w:b/>
                      <w:color w:val="000000"/>
                      <w:sz w:val="18"/>
                      <w:szCs w:val="18"/>
                    </w:rPr>
                    <w:t>Value of dwelling stock</w:t>
                  </w:r>
                </w:p>
              </w:tc>
              <w:tc>
                <w:tcPr>
                  <w:tcW w:w="416" w:type="pct"/>
                  <w:tcBorders>
                    <w:top w:val="single" w:sz="4" w:space="0" w:color="D9D9D9" w:themeColor="background1" w:themeShade="D9"/>
                  </w:tcBorders>
                  <w:shd w:val="clear" w:color="auto" w:fill="auto"/>
                  <w:vAlign w:val="center"/>
                </w:tcPr>
                <w:p w14:paraId="7954C1DE"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DF"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E0"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E1" w14:textId="77777777" w:rsidR="00F05DC7" w:rsidRPr="00CB3089" w:rsidRDefault="00F05DC7" w:rsidP="00A3786D">
                  <w:pPr>
                    <w:pStyle w:val="TableBodyText"/>
                    <w:ind w:right="57"/>
                    <w:rPr>
                      <w:rFonts w:cs="Arial"/>
                      <w:color w:val="000000" w:themeColor="text1"/>
                      <w:szCs w:val="18"/>
                    </w:rPr>
                  </w:pPr>
                </w:p>
              </w:tc>
              <w:tc>
                <w:tcPr>
                  <w:tcW w:w="416" w:type="pct"/>
                  <w:tcBorders>
                    <w:top w:val="single" w:sz="4" w:space="0" w:color="D9D9D9" w:themeColor="background1" w:themeShade="D9"/>
                  </w:tcBorders>
                  <w:shd w:val="clear" w:color="auto" w:fill="auto"/>
                  <w:vAlign w:val="center"/>
                </w:tcPr>
                <w:p w14:paraId="7954C1E2"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E3" w14:textId="77777777" w:rsidR="00F05DC7" w:rsidRPr="00CB3089"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1E4" w14:textId="77777777" w:rsidR="00F05DC7" w:rsidRPr="00CB3089" w:rsidRDefault="00F05DC7" w:rsidP="00A3786D">
                  <w:pPr>
                    <w:pStyle w:val="TableBodyText"/>
                    <w:ind w:right="57"/>
                    <w:rPr>
                      <w:rFonts w:cs="Arial"/>
                      <w:color w:val="000000" w:themeColor="text1"/>
                      <w:szCs w:val="18"/>
                    </w:rPr>
                  </w:pPr>
                </w:p>
              </w:tc>
              <w:tc>
                <w:tcPr>
                  <w:tcW w:w="416" w:type="pct"/>
                  <w:tcBorders>
                    <w:top w:val="single" w:sz="4" w:space="0" w:color="D9D9D9" w:themeColor="background1" w:themeShade="D9"/>
                  </w:tcBorders>
                  <w:shd w:val="clear" w:color="auto" w:fill="auto"/>
                  <w:vAlign w:val="center"/>
                </w:tcPr>
                <w:p w14:paraId="7954C1E5" w14:textId="77777777" w:rsidR="00F05DC7" w:rsidRPr="00CB3089" w:rsidRDefault="00F05DC7" w:rsidP="00A3786D">
                  <w:pPr>
                    <w:pStyle w:val="TableBodyText"/>
                    <w:ind w:right="57"/>
                    <w:rPr>
                      <w:rFonts w:cs="Arial"/>
                      <w:color w:val="000000" w:themeColor="text1"/>
                      <w:szCs w:val="18"/>
                    </w:rPr>
                  </w:pPr>
                </w:p>
              </w:tc>
            </w:tr>
            <w:tr w:rsidR="00F05DC7" w:rsidRPr="00AD7DC6" w14:paraId="7954C1F0" w14:textId="77777777" w:rsidTr="00A3786D">
              <w:trPr>
                <w:trHeight w:val="210"/>
              </w:trPr>
              <w:tc>
                <w:tcPr>
                  <w:tcW w:w="1667" w:type="pct"/>
                  <w:shd w:val="clear" w:color="auto" w:fill="F2F2F2" w:themeFill="background1" w:themeFillShade="F2"/>
                  <w:vAlign w:val="center"/>
                </w:tcPr>
                <w:p w14:paraId="7954C1E7" w14:textId="77777777" w:rsidR="00F05DC7" w:rsidRDefault="00F05DC7" w:rsidP="00A3786D">
                  <w:pPr>
                    <w:pStyle w:val="TableBodyText"/>
                    <w:ind w:left="0" w:right="57"/>
                    <w:jc w:val="left"/>
                    <w:rPr>
                      <w:rFonts w:asciiTheme="minorHAnsi" w:hAnsiTheme="minorHAnsi" w:cstheme="minorHAnsi"/>
                      <w:bCs/>
                      <w:color w:val="000000"/>
                      <w:szCs w:val="18"/>
                    </w:rPr>
                  </w:pPr>
                  <w:r w:rsidRPr="003C5AA9">
                    <w:rPr>
                      <w:rFonts w:asciiTheme="minorHAnsi" w:hAnsiTheme="minorHAnsi" w:cstheme="minorHAnsi"/>
                      <w:bCs/>
                      <w:color w:val="000000"/>
                      <w:szCs w:val="18"/>
                    </w:rPr>
                    <w:t>GST, lower bound ($m)</w:t>
                  </w:r>
                </w:p>
              </w:tc>
              <w:tc>
                <w:tcPr>
                  <w:tcW w:w="416" w:type="pct"/>
                  <w:tcBorders>
                    <w:top w:val="nil"/>
                    <w:left w:val="nil"/>
                    <w:bottom w:val="nil"/>
                    <w:right w:val="nil"/>
                  </w:tcBorders>
                  <w:shd w:val="clear" w:color="auto" w:fill="F2F2F2" w:themeFill="background1" w:themeFillShade="F2"/>
                  <w:vAlign w:val="bottom"/>
                </w:tcPr>
                <w:p w14:paraId="7954C1E8"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w:t>
                  </w:r>
                </w:p>
              </w:tc>
              <w:tc>
                <w:tcPr>
                  <w:tcW w:w="417" w:type="pct"/>
                  <w:tcBorders>
                    <w:top w:val="nil"/>
                    <w:left w:val="nil"/>
                    <w:bottom w:val="nil"/>
                    <w:right w:val="nil"/>
                  </w:tcBorders>
                  <w:shd w:val="clear" w:color="auto" w:fill="F2F2F2" w:themeFill="background1" w:themeFillShade="F2"/>
                  <w:vAlign w:val="bottom"/>
                </w:tcPr>
                <w:p w14:paraId="7954C1E9"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85</w:t>
                  </w:r>
                </w:p>
              </w:tc>
              <w:tc>
                <w:tcPr>
                  <w:tcW w:w="417" w:type="pct"/>
                  <w:tcBorders>
                    <w:top w:val="nil"/>
                    <w:left w:val="nil"/>
                    <w:bottom w:val="nil"/>
                    <w:right w:val="nil"/>
                  </w:tcBorders>
                  <w:shd w:val="clear" w:color="auto" w:fill="F2F2F2" w:themeFill="background1" w:themeFillShade="F2"/>
                  <w:vAlign w:val="bottom"/>
                </w:tcPr>
                <w:p w14:paraId="7954C1EA"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-14</w:t>
                  </w:r>
                </w:p>
              </w:tc>
              <w:tc>
                <w:tcPr>
                  <w:tcW w:w="417" w:type="pct"/>
                  <w:tcBorders>
                    <w:top w:val="nil"/>
                    <w:left w:val="nil"/>
                    <w:bottom w:val="nil"/>
                    <w:right w:val="nil"/>
                  </w:tcBorders>
                  <w:shd w:val="clear" w:color="auto" w:fill="F2F2F2" w:themeFill="background1" w:themeFillShade="F2"/>
                  <w:vAlign w:val="bottom"/>
                </w:tcPr>
                <w:p w14:paraId="7954C1EB"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-11</w:t>
                  </w:r>
                </w:p>
              </w:tc>
              <w:tc>
                <w:tcPr>
                  <w:tcW w:w="416" w:type="pct"/>
                  <w:tcBorders>
                    <w:top w:val="nil"/>
                    <w:left w:val="nil"/>
                    <w:bottom w:val="nil"/>
                    <w:right w:val="nil"/>
                  </w:tcBorders>
                  <w:shd w:val="clear" w:color="auto" w:fill="F2F2F2" w:themeFill="background1" w:themeFillShade="F2"/>
                  <w:vAlign w:val="bottom"/>
                </w:tcPr>
                <w:p w14:paraId="7954C1EC"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-28</w:t>
                  </w:r>
                </w:p>
              </w:tc>
              <w:tc>
                <w:tcPr>
                  <w:tcW w:w="417" w:type="pct"/>
                  <w:tcBorders>
                    <w:top w:val="nil"/>
                    <w:left w:val="nil"/>
                    <w:bottom w:val="nil"/>
                    <w:right w:val="nil"/>
                  </w:tcBorders>
                  <w:shd w:val="clear" w:color="auto" w:fill="F2F2F2" w:themeFill="background1" w:themeFillShade="F2"/>
                  <w:vAlign w:val="bottom"/>
                </w:tcPr>
                <w:p w14:paraId="7954C1ED"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w:t>
                  </w:r>
                </w:p>
              </w:tc>
              <w:tc>
                <w:tcPr>
                  <w:tcW w:w="417" w:type="pct"/>
                  <w:tcBorders>
                    <w:top w:val="nil"/>
                    <w:left w:val="nil"/>
                    <w:bottom w:val="nil"/>
                    <w:right w:val="nil"/>
                  </w:tcBorders>
                  <w:shd w:val="clear" w:color="auto" w:fill="F2F2F2" w:themeFill="background1" w:themeFillShade="F2"/>
                  <w:vAlign w:val="bottom"/>
                </w:tcPr>
                <w:p w14:paraId="7954C1EE"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-9</w:t>
                  </w:r>
                </w:p>
              </w:tc>
              <w:tc>
                <w:tcPr>
                  <w:tcW w:w="416" w:type="pct"/>
                  <w:tcBorders>
                    <w:top w:val="nil"/>
                    <w:left w:val="nil"/>
                    <w:bottom w:val="nil"/>
                    <w:right w:val="nil"/>
                  </w:tcBorders>
                  <w:shd w:val="clear" w:color="auto" w:fill="F2F2F2" w:themeFill="background1" w:themeFillShade="F2"/>
                  <w:vAlign w:val="bottom"/>
                </w:tcPr>
                <w:p w14:paraId="7954C1EF"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-13</w:t>
                  </w:r>
                </w:p>
              </w:tc>
            </w:tr>
            <w:tr w:rsidR="00F05DC7" w:rsidRPr="00AD7DC6" w14:paraId="7954C1FA" w14:textId="77777777" w:rsidTr="00A3786D">
              <w:trPr>
                <w:trHeight w:val="210"/>
              </w:trPr>
              <w:tc>
                <w:tcPr>
                  <w:tcW w:w="1667" w:type="pct"/>
                  <w:shd w:val="clear" w:color="auto" w:fill="auto"/>
                  <w:vAlign w:val="center"/>
                </w:tcPr>
                <w:p w14:paraId="7954C1F1" w14:textId="77777777" w:rsidR="00F05DC7" w:rsidRDefault="00F05DC7" w:rsidP="00A3786D">
                  <w:pPr>
                    <w:pStyle w:val="TableBodyText"/>
                    <w:ind w:left="0" w:right="57"/>
                    <w:jc w:val="left"/>
                    <w:rPr>
                      <w:rFonts w:asciiTheme="minorHAnsi" w:hAnsiTheme="minorHAnsi" w:cstheme="minorHAnsi"/>
                      <w:bCs/>
                      <w:color w:val="000000"/>
                      <w:szCs w:val="18"/>
                    </w:rPr>
                  </w:pPr>
                  <w:r w:rsidRPr="003C5AA9">
                    <w:rPr>
                      <w:rFonts w:asciiTheme="minorHAnsi" w:hAnsiTheme="minorHAnsi" w:cstheme="minorHAnsi"/>
                      <w:bCs/>
                      <w:color w:val="000000"/>
                      <w:szCs w:val="18"/>
                    </w:rPr>
                    <w:t>GST, lower bound ($pc)</w:t>
                  </w:r>
                </w:p>
              </w:tc>
              <w:tc>
                <w:tcPr>
                  <w:tcW w:w="416" w:type="pct"/>
                  <w:tcBorders>
                    <w:top w:val="nil"/>
                    <w:left w:val="nil"/>
                    <w:bottom w:val="nil"/>
                    <w:right w:val="nil"/>
                  </w:tcBorders>
                  <w:shd w:val="clear" w:color="auto" w:fill="auto"/>
                  <w:vAlign w:val="bottom"/>
                </w:tcPr>
                <w:p w14:paraId="7954C1F2"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w:t>
                  </w:r>
                </w:p>
              </w:tc>
              <w:tc>
                <w:tcPr>
                  <w:tcW w:w="417" w:type="pct"/>
                  <w:tcBorders>
                    <w:top w:val="nil"/>
                    <w:left w:val="nil"/>
                    <w:bottom w:val="nil"/>
                    <w:right w:val="nil"/>
                  </w:tcBorders>
                  <w:shd w:val="clear" w:color="auto" w:fill="auto"/>
                  <w:vAlign w:val="bottom"/>
                </w:tcPr>
                <w:p w14:paraId="7954C1F3"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14</w:t>
                  </w:r>
                </w:p>
              </w:tc>
              <w:tc>
                <w:tcPr>
                  <w:tcW w:w="417" w:type="pct"/>
                  <w:tcBorders>
                    <w:top w:val="nil"/>
                    <w:left w:val="nil"/>
                    <w:bottom w:val="nil"/>
                    <w:right w:val="nil"/>
                  </w:tcBorders>
                  <w:shd w:val="clear" w:color="auto" w:fill="auto"/>
                  <w:vAlign w:val="bottom"/>
                </w:tcPr>
                <w:p w14:paraId="7954C1F4"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w:t>
                  </w:r>
                </w:p>
              </w:tc>
              <w:tc>
                <w:tcPr>
                  <w:tcW w:w="417" w:type="pct"/>
                  <w:tcBorders>
                    <w:top w:val="nil"/>
                    <w:left w:val="nil"/>
                    <w:bottom w:val="nil"/>
                    <w:right w:val="nil"/>
                  </w:tcBorders>
                  <w:shd w:val="clear" w:color="auto" w:fill="auto"/>
                  <w:vAlign w:val="bottom"/>
                </w:tcPr>
                <w:p w14:paraId="7954C1F5"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-4</w:t>
                  </w:r>
                </w:p>
              </w:tc>
              <w:tc>
                <w:tcPr>
                  <w:tcW w:w="416" w:type="pct"/>
                  <w:tcBorders>
                    <w:top w:val="nil"/>
                    <w:left w:val="nil"/>
                    <w:bottom w:val="nil"/>
                    <w:right w:val="nil"/>
                  </w:tcBorders>
                  <w:shd w:val="clear" w:color="auto" w:fill="auto"/>
                  <w:vAlign w:val="bottom"/>
                </w:tcPr>
                <w:p w14:paraId="7954C1F6"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-16</w:t>
                  </w:r>
                </w:p>
              </w:tc>
              <w:tc>
                <w:tcPr>
                  <w:tcW w:w="417" w:type="pct"/>
                  <w:tcBorders>
                    <w:top w:val="nil"/>
                    <w:left w:val="nil"/>
                    <w:bottom w:val="nil"/>
                    <w:right w:val="nil"/>
                  </w:tcBorders>
                  <w:shd w:val="clear" w:color="auto" w:fill="auto"/>
                  <w:vAlign w:val="bottom"/>
                </w:tcPr>
                <w:p w14:paraId="7954C1F7"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-10</w:t>
                  </w:r>
                </w:p>
              </w:tc>
              <w:tc>
                <w:tcPr>
                  <w:tcW w:w="417" w:type="pct"/>
                  <w:tcBorders>
                    <w:top w:val="nil"/>
                    <w:left w:val="nil"/>
                    <w:bottom w:val="nil"/>
                    <w:right w:val="nil"/>
                  </w:tcBorders>
                  <w:shd w:val="clear" w:color="auto" w:fill="auto"/>
                  <w:vAlign w:val="bottom"/>
                </w:tcPr>
                <w:p w14:paraId="7954C1F8"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-21</w:t>
                  </w:r>
                </w:p>
              </w:tc>
              <w:tc>
                <w:tcPr>
                  <w:tcW w:w="416" w:type="pct"/>
                  <w:tcBorders>
                    <w:top w:val="nil"/>
                    <w:left w:val="nil"/>
                    <w:bottom w:val="nil"/>
                    <w:right w:val="nil"/>
                  </w:tcBorders>
                  <w:shd w:val="clear" w:color="auto" w:fill="auto"/>
                  <w:vAlign w:val="bottom"/>
                </w:tcPr>
                <w:p w14:paraId="7954C1F9"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-52</w:t>
                  </w:r>
                </w:p>
              </w:tc>
            </w:tr>
            <w:tr w:rsidR="00F05DC7" w:rsidRPr="00AD7DC6" w14:paraId="7954C204" w14:textId="77777777" w:rsidTr="00A3786D">
              <w:trPr>
                <w:trHeight w:val="210"/>
              </w:trPr>
              <w:tc>
                <w:tcPr>
                  <w:tcW w:w="1667" w:type="pct"/>
                  <w:shd w:val="clear" w:color="auto" w:fill="F2F2F2" w:themeFill="background1" w:themeFillShade="F2"/>
                  <w:vAlign w:val="center"/>
                </w:tcPr>
                <w:p w14:paraId="7954C1FB" w14:textId="77777777" w:rsidR="00F05DC7" w:rsidRPr="003C5AA9" w:rsidRDefault="00F05DC7" w:rsidP="00A3786D">
                  <w:pPr>
                    <w:pStyle w:val="TableBodyText"/>
                    <w:ind w:left="0" w:right="57"/>
                    <w:jc w:val="left"/>
                    <w:rPr>
                      <w:rFonts w:asciiTheme="minorHAnsi" w:hAnsiTheme="minorHAnsi" w:cstheme="minorHAnsi"/>
                      <w:bCs/>
                      <w:color w:val="000000"/>
                      <w:szCs w:val="18"/>
                    </w:rPr>
                  </w:pPr>
                  <w:r>
                    <w:t>GST, lower bound (% revenue)</w:t>
                  </w:r>
                </w:p>
              </w:tc>
              <w:tc>
                <w:tcPr>
                  <w:tcW w:w="416" w:type="pct"/>
                  <w:tcBorders>
                    <w:top w:val="nil"/>
                    <w:left w:val="nil"/>
                    <w:bottom w:val="nil"/>
                    <w:right w:val="nil"/>
                  </w:tcBorders>
                  <w:shd w:val="clear" w:color="auto" w:fill="F2F2F2" w:themeFill="background1" w:themeFillShade="F2"/>
                  <w:vAlign w:val="bottom"/>
                </w:tcPr>
                <w:p w14:paraId="7954C1FC"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7" w:type="pct"/>
                  <w:tcBorders>
                    <w:top w:val="nil"/>
                    <w:left w:val="nil"/>
                    <w:bottom w:val="nil"/>
                    <w:right w:val="nil"/>
                  </w:tcBorders>
                  <w:shd w:val="clear" w:color="auto" w:fill="F2F2F2" w:themeFill="background1" w:themeFillShade="F2"/>
                  <w:vAlign w:val="bottom"/>
                </w:tcPr>
                <w:p w14:paraId="7954C1FD"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0.1</w:t>
                  </w:r>
                </w:p>
              </w:tc>
              <w:tc>
                <w:tcPr>
                  <w:tcW w:w="417" w:type="pct"/>
                  <w:tcBorders>
                    <w:top w:val="nil"/>
                    <w:left w:val="nil"/>
                    <w:bottom w:val="nil"/>
                    <w:right w:val="nil"/>
                  </w:tcBorders>
                  <w:shd w:val="clear" w:color="auto" w:fill="F2F2F2" w:themeFill="background1" w:themeFillShade="F2"/>
                  <w:vAlign w:val="bottom"/>
                </w:tcPr>
                <w:p w14:paraId="7954C1FE"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7" w:type="pct"/>
                  <w:tcBorders>
                    <w:top w:val="nil"/>
                    <w:left w:val="nil"/>
                    <w:bottom w:val="nil"/>
                    <w:right w:val="nil"/>
                  </w:tcBorders>
                  <w:shd w:val="clear" w:color="auto" w:fill="F2F2F2" w:themeFill="background1" w:themeFillShade="F2"/>
                  <w:vAlign w:val="bottom"/>
                </w:tcPr>
                <w:p w14:paraId="7954C1FF"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6" w:type="pct"/>
                  <w:tcBorders>
                    <w:top w:val="nil"/>
                    <w:left w:val="nil"/>
                    <w:bottom w:val="nil"/>
                    <w:right w:val="nil"/>
                  </w:tcBorders>
                  <w:shd w:val="clear" w:color="auto" w:fill="F2F2F2" w:themeFill="background1" w:themeFillShade="F2"/>
                  <w:vAlign w:val="bottom"/>
                </w:tcPr>
                <w:p w14:paraId="7954C200"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-0.2</w:t>
                  </w:r>
                </w:p>
              </w:tc>
              <w:tc>
                <w:tcPr>
                  <w:tcW w:w="417" w:type="pct"/>
                  <w:tcBorders>
                    <w:top w:val="nil"/>
                    <w:left w:val="nil"/>
                    <w:bottom w:val="nil"/>
                    <w:right w:val="nil"/>
                  </w:tcBorders>
                  <w:shd w:val="clear" w:color="auto" w:fill="F2F2F2" w:themeFill="background1" w:themeFillShade="F2"/>
                  <w:vAlign w:val="bottom"/>
                </w:tcPr>
                <w:p w14:paraId="7954C201"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-0.1</w:t>
                  </w:r>
                </w:p>
              </w:tc>
              <w:tc>
                <w:tcPr>
                  <w:tcW w:w="417" w:type="pct"/>
                  <w:tcBorders>
                    <w:top w:val="nil"/>
                    <w:left w:val="nil"/>
                    <w:bottom w:val="nil"/>
                    <w:right w:val="nil"/>
                  </w:tcBorders>
                  <w:shd w:val="clear" w:color="auto" w:fill="F2F2F2" w:themeFill="background1" w:themeFillShade="F2"/>
                  <w:vAlign w:val="bottom"/>
                </w:tcPr>
                <w:p w14:paraId="7954C202"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-0.2</w:t>
                  </w:r>
                </w:p>
              </w:tc>
              <w:tc>
                <w:tcPr>
                  <w:tcW w:w="416" w:type="pct"/>
                  <w:tcBorders>
                    <w:top w:val="nil"/>
                    <w:left w:val="nil"/>
                    <w:bottom w:val="nil"/>
                    <w:right w:val="nil"/>
                  </w:tcBorders>
                  <w:shd w:val="clear" w:color="auto" w:fill="F2F2F2" w:themeFill="background1" w:themeFillShade="F2"/>
                  <w:vAlign w:val="bottom"/>
                </w:tcPr>
                <w:p w14:paraId="7954C203"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-0.2</w:t>
                  </w:r>
                </w:p>
              </w:tc>
            </w:tr>
            <w:tr w:rsidR="00F05DC7" w:rsidRPr="00AD7DC6" w14:paraId="7954C20E" w14:textId="77777777" w:rsidTr="00A3786D">
              <w:trPr>
                <w:trHeight w:val="210"/>
              </w:trPr>
              <w:tc>
                <w:tcPr>
                  <w:tcW w:w="1667" w:type="pct"/>
                  <w:shd w:val="clear" w:color="auto" w:fill="auto"/>
                  <w:vAlign w:val="center"/>
                </w:tcPr>
                <w:p w14:paraId="7954C205" w14:textId="77777777" w:rsidR="00F05DC7" w:rsidRDefault="00F05DC7" w:rsidP="00A3786D">
                  <w:pPr>
                    <w:pStyle w:val="TableBodyText"/>
                    <w:ind w:left="0" w:right="57"/>
                    <w:jc w:val="left"/>
                    <w:rPr>
                      <w:rFonts w:asciiTheme="minorHAnsi" w:hAnsiTheme="minorHAnsi" w:cstheme="minorHAnsi"/>
                      <w:bCs/>
                      <w:color w:val="000000"/>
                      <w:szCs w:val="18"/>
                    </w:rPr>
                  </w:pPr>
                  <w:r w:rsidRPr="003C5AA9">
                    <w:rPr>
                      <w:rFonts w:asciiTheme="minorHAnsi" w:hAnsiTheme="minorHAnsi" w:cstheme="minorHAnsi"/>
                      <w:bCs/>
                      <w:color w:val="000000"/>
                      <w:szCs w:val="18"/>
                    </w:rPr>
                    <w:t>GST, upper bound ($m)</w:t>
                  </w:r>
                </w:p>
              </w:tc>
              <w:tc>
                <w:tcPr>
                  <w:tcW w:w="416" w:type="pct"/>
                  <w:tcBorders>
                    <w:top w:val="nil"/>
                    <w:left w:val="nil"/>
                    <w:bottom w:val="nil"/>
                    <w:right w:val="nil"/>
                  </w:tcBorders>
                  <w:shd w:val="clear" w:color="auto" w:fill="auto"/>
                  <w:vAlign w:val="bottom"/>
                </w:tcPr>
                <w:p w14:paraId="7954C206"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w:t>
                  </w:r>
                </w:p>
              </w:tc>
              <w:tc>
                <w:tcPr>
                  <w:tcW w:w="417" w:type="pct"/>
                  <w:tcBorders>
                    <w:top w:val="nil"/>
                    <w:left w:val="nil"/>
                    <w:bottom w:val="nil"/>
                    <w:right w:val="nil"/>
                  </w:tcBorders>
                  <w:shd w:val="clear" w:color="auto" w:fill="auto"/>
                  <w:vAlign w:val="bottom"/>
                </w:tcPr>
                <w:p w14:paraId="7954C207"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82</w:t>
                  </w:r>
                </w:p>
              </w:tc>
              <w:tc>
                <w:tcPr>
                  <w:tcW w:w="417" w:type="pct"/>
                  <w:tcBorders>
                    <w:top w:val="nil"/>
                    <w:left w:val="nil"/>
                    <w:bottom w:val="nil"/>
                    <w:right w:val="nil"/>
                  </w:tcBorders>
                  <w:shd w:val="clear" w:color="auto" w:fill="auto"/>
                  <w:vAlign w:val="bottom"/>
                </w:tcPr>
                <w:p w14:paraId="7954C208"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-13</w:t>
                  </w:r>
                </w:p>
              </w:tc>
              <w:tc>
                <w:tcPr>
                  <w:tcW w:w="417" w:type="pct"/>
                  <w:tcBorders>
                    <w:top w:val="nil"/>
                    <w:left w:val="nil"/>
                    <w:bottom w:val="nil"/>
                    <w:right w:val="nil"/>
                  </w:tcBorders>
                  <w:shd w:val="clear" w:color="auto" w:fill="auto"/>
                  <w:vAlign w:val="bottom"/>
                </w:tcPr>
                <w:p w14:paraId="7954C209"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-11</w:t>
                  </w:r>
                </w:p>
              </w:tc>
              <w:tc>
                <w:tcPr>
                  <w:tcW w:w="416" w:type="pct"/>
                  <w:tcBorders>
                    <w:top w:val="nil"/>
                    <w:left w:val="nil"/>
                    <w:bottom w:val="nil"/>
                    <w:right w:val="nil"/>
                  </w:tcBorders>
                  <w:shd w:val="clear" w:color="auto" w:fill="auto"/>
                  <w:vAlign w:val="bottom"/>
                </w:tcPr>
                <w:p w14:paraId="7954C20A"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-27</w:t>
                  </w:r>
                </w:p>
              </w:tc>
              <w:tc>
                <w:tcPr>
                  <w:tcW w:w="417" w:type="pct"/>
                  <w:tcBorders>
                    <w:top w:val="nil"/>
                    <w:left w:val="nil"/>
                    <w:bottom w:val="nil"/>
                    <w:right w:val="nil"/>
                  </w:tcBorders>
                  <w:shd w:val="clear" w:color="auto" w:fill="auto"/>
                  <w:vAlign w:val="bottom"/>
                </w:tcPr>
                <w:p w14:paraId="7954C20B"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w:t>
                  </w:r>
                </w:p>
              </w:tc>
              <w:tc>
                <w:tcPr>
                  <w:tcW w:w="417" w:type="pct"/>
                  <w:tcBorders>
                    <w:top w:val="nil"/>
                    <w:left w:val="nil"/>
                    <w:bottom w:val="nil"/>
                    <w:right w:val="nil"/>
                  </w:tcBorders>
                  <w:shd w:val="clear" w:color="auto" w:fill="auto"/>
                  <w:vAlign w:val="bottom"/>
                </w:tcPr>
                <w:p w14:paraId="7954C20C"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-8</w:t>
                  </w:r>
                </w:p>
              </w:tc>
              <w:tc>
                <w:tcPr>
                  <w:tcW w:w="416" w:type="pct"/>
                  <w:tcBorders>
                    <w:top w:val="nil"/>
                    <w:left w:val="nil"/>
                    <w:bottom w:val="nil"/>
                    <w:right w:val="nil"/>
                  </w:tcBorders>
                  <w:shd w:val="clear" w:color="auto" w:fill="auto"/>
                  <w:vAlign w:val="bottom"/>
                </w:tcPr>
                <w:p w14:paraId="7954C20D"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-12</w:t>
                  </w:r>
                </w:p>
              </w:tc>
            </w:tr>
            <w:tr w:rsidR="00F05DC7" w:rsidRPr="00AD7DC6" w14:paraId="7954C218" w14:textId="77777777" w:rsidTr="00A3786D">
              <w:trPr>
                <w:trHeight w:val="210"/>
              </w:trPr>
              <w:tc>
                <w:tcPr>
                  <w:tcW w:w="1667" w:type="pct"/>
                  <w:shd w:val="clear" w:color="auto" w:fill="F2F2F2" w:themeFill="background1" w:themeFillShade="F2"/>
                  <w:vAlign w:val="center"/>
                </w:tcPr>
                <w:p w14:paraId="7954C20F" w14:textId="77777777" w:rsidR="00F05DC7" w:rsidRDefault="00F05DC7" w:rsidP="00A3786D">
                  <w:pPr>
                    <w:pStyle w:val="TableBodyText"/>
                    <w:ind w:left="0" w:right="57"/>
                    <w:jc w:val="left"/>
                    <w:rPr>
                      <w:rFonts w:asciiTheme="minorHAnsi" w:hAnsiTheme="minorHAnsi" w:cstheme="minorHAnsi"/>
                      <w:bCs/>
                      <w:color w:val="000000"/>
                      <w:szCs w:val="18"/>
                    </w:rPr>
                  </w:pPr>
                  <w:r w:rsidRPr="003C5AA9">
                    <w:rPr>
                      <w:rFonts w:asciiTheme="minorHAnsi" w:hAnsiTheme="minorHAnsi" w:cstheme="minorHAnsi"/>
                      <w:bCs/>
                      <w:color w:val="000000"/>
                      <w:szCs w:val="18"/>
                    </w:rPr>
                    <w:t>GST, upper bound ($pc)</w:t>
                  </w:r>
                </w:p>
              </w:tc>
              <w:tc>
                <w:tcPr>
                  <w:tcW w:w="416" w:type="pct"/>
                  <w:tcBorders>
                    <w:top w:val="nil"/>
                    <w:left w:val="nil"/>
                    <w:bottom w:val="nil"/>
                    <w:right w:val="nil"/>
                  </w:tcBorders>
                  <w:shd w:val="clear" w:color="auto" w:fill="F2F2F2" w:themeFill="background1" w:themeFillShade="F2"/>
                  <w:vAlign w:val="bottom"/>
                </w:tcPr>
                <w:p w14:paraId="7954C210"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w:t>
                  </w:r>
                </w:p>
              </w:tc>
              <w:tc>
                <w:tcPr>
                  <w:tcW w:w="417" w:type="pct"/>
                  <w:tcBorders>
                    <w:top w:val="nil"/>
                    <w:left w:val="nil"/>
                    <w:bottom w:val="nil"/>
                    <w:right w:val="nil"/>
                  </w:tcBorders>
                  <w:shd w:val="clear" w:color="auto" w:fill="F2F2F2" w:themeFill="background1" w:themeFillShade="F2"/>
                  <w:vAlign w:val="bottom"/>
                </w:tcPr>
                <w:p w14:paraId="7954C211"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13</w:t>
                  </w:r>
                </w:p>
              </w:tc>
              <w:tc>
                <w:tcPr>
                  <w:tcW w:w="417" w:type="pct"/>
                  <w:tcBorders>
                    <w:top w:val="nil"/>
                    <w:left w:val="nil"/>
                    <w:bottom w:val="nil"/>
                    <w:right w:val="nil"/>
                  </w:tcBorders>
                  <w:shd w:val="clear" w:color="auto" w:fill="F2F2F2" w:themeFill="background1" w:themeFillShade="F2"/>
                  <w:vAlign w:val="bottom"/>
                </w:tcPr>
                <w:p w14:paraId="7954C212"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-3</w:t>
                  </w:r>
                </w:p>
              </w:tc>
              <w:tc>
                <w:tcPr>
                  <w:tcW w:w="417" w:type="pct"/>
                  <w:tcBorders>
                    <w:top w:val="nil"/>
                    <w:left w:val="nil"/>
                    <w:bottom w:val="nil"/>
                    <w:right w:val="nil"/>
                  </w:tcBorders>
                  <w:shd w:val="clear" w:color="auto" w:fill="F2F2F2" w:themeFill="background1" w:themeFillShade="F2"/>
                  <w:vAlign w:val="bottom"/>
                </w:tcPr>
                <w:p w14:paraId="7954C213"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-4</w:t>
                  </w:r>
                </w:p>
              </w:tc>
              <w:tc>
                <w:tcPr>
                  <w:tcW w:w="416" w:type="pct"/>
                  <w:tcBorders>
                    <w:top w:val="nil"/>
                    <w:left w:val="nil"/>
                    <w:bottom w:val="nil"/>
                    <w:right w:val="nil"/>
                  </w:tcBorders>
                  <w:shd w:val="clear" w:color="auto" w:fill="F2F2F2" w:themeFill="background1" w:themeFillShade="F2"/>
                  <w:vAlign w:val="bottom"/>
                </w:tcPr>
                <w:p w14:paraId="7954C214"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-16</w:t>
                  </w:r>
                </w:p>
              </w:tc>
              <w:tc>
                <w:tcPr>
                  <w:tcW w:w="417" w:type="pct"/>
                  <w:tcBorders>
                    <w:top w:val="nil"/>
                    <w:left w:val="nil"/>
                    <w:bottom w:val="nil"/>
                    <w:right w:val="nil"/>
                  </w:tcBorders>
                  <w:shd w:val="clear" w:color="auto" w:fill="F2F2F2" w:themeFill="background1" w:themeFillShade="F2"/>
                  <w:vAlign w:val="bottom"/>
                </w:tcPr>
                <w:p w14:paraId="7954C215"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-10</w:t>
                  </w:r>
                </w:p>
              </w:tc>
              <w:tc>
                <w:tcPr>
                  <w:tcW w:w="417" w:type="pct"/>
                  <w:tcBorders>
                    <w:top w:val="nil"/>
                    <w:left w:val="nil"/>
                    <w:bottom w:val="nil"/>
                    <w:right w:val="nil"/>
                  </w:tcBorders>
                  <w:shd w:val="clear" w:color="auto" w:fill="F2F2F2" w:themeFill="background1" w:themeFillShade="F2"/>
                  <w:vAlign w:val="bottom"/>
                </w:tcPr>
                <w:p w14:paraId="7954C216"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-20</w:t>
                  </w:r>
                </w:p>
              </w:tc>
              <w:tc>
                <w:tcPr>
                  <w:tcW w:w="416" w:type="pct"/>
                  <w:tcBorders>
                    <w:top w:val="nil"/>
                    <w:left w:val="nil"/>
                    <w:bottom w:val="nil"/>
                    <w:right w:val="nil"/>
                  </w:tcBorders>
                  <w:shd w:val="clear" w:color="auto" w:fill="F2F2F2" w:themeFill="background1" w:themeFillShade="F2"/>
                  <w:vAlign w:val="bottom"/>
                </w:tcPr>
                <w:p w14:paraId="7954C217" w14:textId="77777777" w:rsidR="00F05DC7" w:rsidRPr="00CB3089" w:rsidRDefault="00F05DC7" w:rsidP="00A3786D">
                  <w:pPr>
                    <w:pStyle w:val="TableBodyText"/>
                    <w:ind w:right="57"/>
                    <w:rPr>
                      <w:rFonts w:cs="Arial"/>
                      <w:color w:val="000000" w:themeColor="text1"/>
                      <w:szCs w:val="18"/>
                    </w:rPr>
                  </w:pPr>
                  <w:r w:rsidRPr="00CB3089">
                    <w:rPr>
                      <w:rFonts w:cs="Arial"/>
                      <w:bCs/>
                      <w:color w:val="000000" w:themeColor="text1"/>
                      <w:szCs w:val="18"/>
                    </w:rPr>
                    <w:t>-51</w:t>
                  </w:r>
                </w:p>
              </w:tc>
            </w:tr>
            <w:tr w:rsidR="00F05DC7" w:rsidRPr="00AD7DC6" w14:paraId="7954C222" w14:textId="77777777" w:rsidTr="00A3786D">
              <w:trPr>
                <w:trHeight w:val="210"/>
              </w:trPr>
              <w:tc>
                <w:tcPr>
                  <w:tcW w:w="1667" w:type="pct"/>
                  <w:tcBorders>
                    <w:bottom w:val="single" w:sz="4" w:space="0" w:color="D9D9D9" w:themeColor="background1" w:themeShade="D9"/>
                  </w:tcBorders>
                  <w:shd w:val="clear" w:color="auto" w:fill="auto"/>
                  <w:vAlign w:val="center"/>
                </w:tcPr>
                <w:p w14:paraId="7954C219" w14:textId="77777777" w:rsidR="00F05DC7" w:rsidRPr="003C5AA9" w:rsidRDefault="00F05DC7" w:rsidP="00A3786D">
                  <w:pPr>
                    <w:pStyle w:val="TableBodyText"/>
                    <w:ind w:left="0" w:right="57"/>
                    <w:jc w:val="left"/>
                    <w:rPr>
                      <w:rFonts w:asciiTheme="minorHAnsi" w:hAnsiTheme="minorHAnsi" w:cstheme="minorHAnsi"/>
                      <w:bCs/>
                      <w:color w:val="000000"/>
                      <w:szCs w:val="18"/>
                    </w:rPr>
                  </w:pPr>
                  <w:r>
                    <w:t>GST, lower bound (% revenue)</w:t>
                  </w:r>
                </w:p>
              </w:tc>
              <w:tc>
                <w:tcPr>
                  <w:tcW w:w="416" w:type="pct"/>
                  <w:tcBorders>
                    <w:top w:val="nil"/>
                    <w:left w:val="nil"/>
                    <w:bottom w:val="single" w:sz="4" w:space="0" w:color="D9D9D9" w:themeColor="background1" w:themeShade="D9"/>
                    <w:right w:val="nil"/>
                  </w:tcBorders>
                  <w:shd w:val="clear" w:color="auto" w:fill="auto"/>
                  <w:vAlign w:val="bottom"/>
                </w:tcPr>
                <w:p w14:paraId="7954C21A"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7" w:type="pct"/>
                  <w:tcBorders>
                    <w:top w:val="nil"/>
                    <w:left w:val="nil"/>
                    <w:bottom w:val="single" w:sz="4" w:space="0" w:color="D9D9D9" w:themeColor="background1" w:themeShade="D9"/>
                    <w:right w:val="nil"/>
                  </w:tcBorders>
                  <w:shd w:val="clear" w:color="auto" w:fill="auto"/>
                  <w:vAlign w:val="bottom"/>
                </w:tcPr>
                <w:p w14:paraId="7954C21B"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0.1</w:t>
                  </w:r>
                </w:p>
              </w:tc>
              <w:tc>
                <w:tcPr>
                  <w:tcW w:w="417" w:type="pct"/>
                  <w:tcBorders>
                    <w:top w:val="nil"/>
                    <w:left w:val="nil"/>
                    <w:bottom w:val="single" w:sz="4" w:space="0" w:color="D9D9D9" w:themeColor="background1" w:themeShade="D9"/>
                    <w:right w:val="nil"/>
                  </w:tcBorders>
                  <w:shd w:val="clear" w:color="auto" w:fill="auto"/>
                  <w:vAlign w:val="bottom"/>
                </w:tcPr>
                <w:p w14:paraId="7954C21C"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7" w:type="pct"/>
                  <w:tcBorders>
                    <w:top w:val="nil"/>
                    <w:left w:val="nil"/>
                    <w:bottom w:val="single" w:sz="4" w:space="0" w:color="D9D9D9" w:themeColor="background1" w:themeShade="D9"/>
                    <w:right w:val="nil"/>
                  </w:tcBorders>
                  <w:shd w:val="clear" w:color="auto" w:fill="auto"/>
                  <w:vAlign w:val="bottom"/>
                </w:tcPr>
                <w:p w14:paraId="7954C21D"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0.0</w:t>
                  </w:r>
                </w:p>
              </w:tc>
              <w:tc>
                <w:tcPr>
                  <w:tcW w:w="416" w:type="pct"/>
                  <w:tcBorders>
                    <w:top w:val="nil"/>
                    <w:left w:val="nil"/>
                    <w:bottom w:val="single" w:sz="4" w:space="0" w:color="D9D9D9" w:themeColor="background1" w:themeShade="D9"/>
                    <w:right w:val="nil"/>
                  </w:tcBorders>
                  <w:shd w:val="clear" w:color="auto" w:fill="auto"/>
                  <w:vAlign w:val="bottom"/>
                </w:tcPr>
                <w:p w14:paraId="7954C21E"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-0.1</w:t>
                  </w:r>
                </w:p>
              </w:tc>
              <w:tc>
                <w:tcPr>
                  <w:tcW w:w="417" w:type="pct"/>
                  <w:tcBorders>
                    <w:top w:val="nil"/>
                    <w:left w:val="nil"/>
                    <w:bottom w:val="single" w:sz="4" w:space="0" w:color="D9D9D9" w:themeColor="background1" w:themeShade="D9"/>
                    <w:right w:val="nil"/>
                  </w:tcBorders>
                  <w:shd w:val="clear" w:color="auto" w:fill="auto"/>
                  <w:vAlign w:val="bottom"/>
                </w:tcPr>
                <w:p w14:paraId="7954C21F"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-0.1</w:t>
                  </w:r>
                </w:p>
              </w:tc>
              <w:tc>
                <w:tcPr>
                  <w:tcW w:w="417" w:type="pct"/>
                  <w:tcBorders>
                    <w:top w:val="nil"/>
                    <w:left w:val="nil"/>
                    <w:bottom w:val="single" w:sz="4" w:space="0" w:color="D9D9D9" w:themeColor="background1" w:themeShade="D9"/>
                    <w:right w:val="nil"/>
                  </w:tcBorders>
                  <w:shd w:val="clear" w:color="auto" w:fill="auto"/>
                  <w:vAlign w:val="bottom"/>
                </w:tcPr>
                <w:p w14:paraId="7954C220"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-0.2</w:t>
                  </w:r>
                </w:p>
              </w:tc>
              <w:tc>
                <w:tcPr>
                  <w:tcW w:w="416" w:type="pct"/>
                  <w:tcBorders>
                    <w:top w:val="nil"/>
                    <w:left w:val="nil"/>
                    <w:bottom w:val="single" w:sz="4" w:space="0" w:color="D9D9D9" w:themeColor="background1" w:themeShade="D9"/>
                    <w:right w:val="nil"/>
                  </w:tcBorders>
                  <w:shd w:val="clear" w:color="auto" w:fill="auto"/>
                  <w:vAlign w:val="bottom"/>
                </w:tcPr>
                <w:p w14:paraId="7954C221" w14:textId="77777777" w:rsidR="00F05DC7" w:rsidRPr="00CB3089" w:rsidRDefault="00F05DC7" w:rsidP="00A3786D">
                  <w:pPr>
                    <w:pStyle w:val="TableBodyText"/>
                    <w:ind w:right="57"/>
                    <w:rPr>
                      <w:rFonts w:cs="Arial"/>
                      <w:bCs/>
                      <w:color w:val="000000" w:themeColor="text1"/>
                      <w:szCs w:val="18"/>
                    </w:rPr>
                  </w:pPr>
                  <w:r w:rsidRPr="00CB3089">
                    <w:rPr>
                      <w:rFonts w:cs="Arial"/>
                      <w:color w:val="000000"/>
                      <w:szCs w:val="18"/>
                    </w:rPr>
                    <w:t>-0.2</w:t>
                  </w:r>
                </w:p>
              </w:tc>
            </w:tr>
            <w:tr w:rsidR="00F05DC7" w:rsidRPr="006C0232" w14:paraId="7954C22C" w14:textId="77777777" w:rsidTr="00A3786D">
              <w:tc>
                <w:tcPr>
                  <w:tcW w:w="1667" w:type="pct"/>
                  <w:tcBorders>
                    <w:top w:val="single" w:sz="4" w:space="0" w:color="D9D9D9" w:themeColor="background1" w:themeShade="D9"/>
                  </w:tcBorders>
                  <w:shd w:val="clear" w:color="auto" w:fill="auto"/>
                  <w:vAlign w:val="center"/>
                </w:tcPr>
                <w:p w14:paraId="7954C223" w14:textId="77777777" w:rsidR="00F05DC7" w:rsidRPr="003C5AA9" w:rsidRDefault="00F05DC7" w:rsidP="00A3786D">
                  <w:pPr>
                    <w:spacing w:before="80"/>
                    <w:ind w:right="57"/>
                    <w:rPr>
                      <w:rFonts w:asciiTheme="minorHAnsi" w:hAnsiTheme="minorHAnsi" w:cstheme="minorHAnsi"/>
                      <w:b/>
                      <w:color w:val="000000"/>
                      <w:sz w:val="18"/>
                      <w:szCs w:val="18"/>
                    </w:rPr>
                  </w:pPr>
                  <w:r>
                    <w:rPr>
                      <w:rFonts w:asciiTheme="minorHAnsi" w:hAnsiTheme="minorHAnsi" w:cstheme="minorHAnsi"/>
                      <w:b/>
                      <w:color w:val="000000"/>
                      <w:sz w:val="18"/>
                      <w:szCs w:val="18"/>
                    </w:rPr>
                    <w:t>Unimproved value of land</w:t>
                  </w:r>
                </w:p>
              </w:tc>
              <w:tc>
                <w:tcPr>
                  <w:tcW w:w="416" w:type="pct"/>
                  <w:tcBorders>
                    <w:top w:val="single" w:sz="4" w:space="0" w:color="D9D9D9" w:themeColor="background1" w:themeShade="D9"/>
                  </w:tcBorders>
                  <w:shd w:val="clear" w:color="auto" w:fill="auto"/>
                  <w:vAlign w:val="center"/>
                </w:tcPr>
                <w:p w14:paraId="7954C224"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225"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226"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227" w14:textId="77777777" w:rsidR="00F05DC7" w:rsidRPr="00DE5825" w:rsidRDefault="00F05DC7" w:rsidP="00A3786D">
                  <w:pPr>
                    <w:pStyle w:val="TableBodyText"/>
                    <w:ind w:right="57"/>
                    <w:rPr>
                      <w:rFonts w:cs="Arial"/>
                      <w:color w:val="000000" w:themeColor="text1"/>
                      <w:szCs w:val="18"/>
                    </w:rPr>
                  </w:pPr>
                </w:p>
              </w:tc>
              <w:tc>
                <w:tcPr>
                  <w:tcW w:w="416" w:type="pct"/>
                  <w:tcBorders>
                    <w:top w:val="single" w:sz="4" w:space="0" w:color="D9D9D9" w:themeColor="background1" w:themeShade="D9"/>
                  </w:tcBorders>
                  <w:shd w:val="clear" w:color="auto" w:fill="auto"/>
                  <w:vAlign w:val="center"/>
                </w:tcPr>
                <w:p w14:paraId="7954C228"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229" w14:textId="77777777" w:rsidR="00F05DC7" w:rsidRPr="00DE5825" w:rsidRDefault="00F05DC7" w:rsidP="00A3786D">
                  <w:pPr>
                    <w:pStyle w:val="TableBodyText"/>
                    <w:ind w:right="57"/>
                    <w:rPr>
                      <w:rFonts w:cs="Arial"/>
                      <w:color w:val="000000" w:themeColor="text1"/>
                      <w:szCs w:val="18"/>
                    </w:rPr>
                  </w:pPr>
                </w:p>
              </w:tc>
              <w:tc>
                <w:tcPr>
                  <w:tcW w:w="417" w:type="pct"/>
                  <w:tcBorders>
                    <w:top w:val="single" w:sz="4" w:space="0" w:color="D9D9D9" w:themeColor="background1" w:themeShade="D9"/>
                  </w:tcBorders>
                  <w:shd w:val="clear" w:color="auto" w:fill="auto"/>
                  <w:vAlign w:val="center"/>
                </w:tcPr>
                <w:p w14:paraId="7954C22A" w14:textId="77777777" w:rsidR="00F05DC7" w:rsidRPr="00DE5825" w:rsidRDefault="00F05DC7" w:rsidP="00A3786D">
                  <w:pPr>
                    <w:pStyle w:val="TableBodyText"/>
                    <w:ind w:right="57"/>
                    <w:rPr>
                      <w:rFonts w:cs="Arial"/>
                      <w:color w:val="000000" w:themeColor="text1"/>
                      <w:szCs w:val="18"/>
                    </w:rPr>
                  </w:pPr>
                </w:p>
              </w:tc>
              <w:tc>
                <w:tcPr>
                  <w:tcW w:w="416" w:type="pct"/>
                  <w:tcBorders>
                    <w:top w:val="single" w:sz="4" w:space="0" w:color="D9D9D9" w:themeColor="background1" w:themeShade="D9"/>
                  </w:tcBorders>
                  <w:shd w:val="clear" w:color="auto" w:fill="auto"/>
                  <w:vAlign w:val="center"/>
                </w:tcPr>
                <w:p w14:paraId="7954C22B" w14:textId="77777777" w:rsidR="00F05DC7" w:rsidRPr="00DE5825" w:rsidRDefault="00F05DC7" w:rsidP="00A3786D">
                  <w:pPr>
                    <w:pStyle w:val="TableBodyText"/>
                    <w:ind w:right="57"/>
                    <w:rPr>
                      <w:rFonts w:cs="Arial"/>
                      <w:color w:val="000000" w:themeColor="text1"/>
                      <w:szCs w:val="18"/>
                    </w:rPr>
                  </w:pPr>
                </w:p>
              </w:tc>
            </w:tr>
            <w:tr w:rsidR="00F05DC7" w:rsidRPr="006C0232" w14:paraId="7954C236" w14:textId="77777777" w:rsidTr="00A3786D">
              <w:trPr>
                <w:trHeight w:val="210"/>
              </w:trPr>
              <w:tc>
                <w:tcPr>
                  <w:tcW w:w="1667" w:type="pct"/>
                  <w:shd w:val="clear" w:color="auto" w:fill="F2F2F2" w:themeFill="background1" w:themeFillShade="F2"/>
                  <w:vAlign w:val="center"/>
                </w:tcPr>
                <w:p w14:paraId="7954C22D" w14:textId="77777777" w:rsidR="00F05DC7" w:rsidRPr="00CE6393" w:rsidRDefault="00F05DC7" w:rsidP="00A3786D">
                  <w:pPr>
                    <w:pStyle w:val="TableBodyText"/>
                    <w:ind w:left="0" w:right="57"/>
                    <w:jc w:val="left"/>
                    <w:rPr>
                      <w:rFonts w:asciiTheme="minorHAnsi" w:hAnsiTheme="minorHAnsi" w:cstheme="minorHAnsi"/>
                      <w:color w:val="000000"/>
                      <w:szCs w:val="18"/>
                    </w:rPr>
                  </w:pPr>
                  <w:r>
                    <w:rPr>
                      <w:rFonts w:asciiTheme="minorHAnsi" w:hAnsiTheme="minorHAnsi" w:cstheme="minorHAnsi"/>
                      <w:color w:val="000000"/>
                      <w:szCs w:val="18"/>
                    </w:rPr>
                    <w:t>GST (m)</w:t>
                  </w:r>
                </w:p>
              </w:tc>
              <w:tc>
                <w:tcPr>
                  <w:tcW w:w="416" w:type="pct"/>
                  <w:shd w:val="clear" w:color="auto" w:fill="F2F2F2" w:themeFill="background1" w:themeFillShade="F2"/>
                  <w:vAlign w:val="center"/>
                </w:tcPr>
                <w:p w14:paraId="7954C22E"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22F"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230"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231"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6" w:type="pct"/>
                  <w:shd w:val="clear" w:color="auto" w:fill="F2F2F2" w:themeFill="background1" w:themeFillShade="F2"/>
                  <w:vAlign w:val="center"/>
                </w:tcPr>
                <w:p w14:paraId="7954C232"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233"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shd w:val="clear" w:color="auto" w:fill="F2F2F2" w:themeFill="background1" w:themeFillShade="F2"/>
                  <w:vAlign w:val="center"/>
                </w:tcPr>
                <w:p w14:paraId="7954C234"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6" w:type="pct"/>
                  <w:shd w:val="clear" w:color="auto" w:fill="F2F2F2" w:themeFill="background1" w:themeFillShade="F2"/>
                  <w:vAlign w:val="center"/>
                </w:tcPr>
                <w:p w14:paraId="7954C235"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r>
            <w:tr w:rsidR="00F05DC7" w:rsidRPr="006C0232" w14:paraId="7954C240" w14:textId="77777777" w:rsidTr="00A3786D">
              <w:trPr>
                <w:trHeight w:val="210"/>
              </w:trPr>
              <w:tc>
                <w:tcPr>
                  <w:tcW w:w="1667" w:type="pct"/>
                  <w:tcBorders>
                    <w:bottom w:val="single" w:sz="6" w:space="0" w:color="BFBFBF"/>
                  </w:tcBorders>
                  <w:shd w:val="clear" w:color="auto" w:fill="auto"/>
                  <w:vAlign w:val="center"/>
                </w:tcPr>
                <w:p w14:paraId="7954C237" w14:textId="77777777" w:rsidR="00F05DC7" w:rsidRPr="00CE6393" w:rsidRDefault="00F05DC7" w:rsidP="00A3786D">
                  <w:pPr>
                    <w:pStyle w:val="TableBodyText"/>
                    <w:ind w:left="0" w:right="57"/>
                    <w:jc w:val="left"/>
                    <w:rPr>
                      <w:rFonts w:asciiTheme="minorHAnsi" w:hAnsiTheme="minorHAnsi" w:cstheme="minorHAnsi"/>
                      <w:color w:val="000000"/>
                      <w:szCs w:val="18"/>
                    </w:rPr>
                  </w:pPr>
                  <w:r>
                    <w:rPr>
                      <w:rFonts w:asciiTheme="minorHAnsi" w:hAnsiTheme="minorHAnsi" w:cstheme="minorHAnsi"/>
                      <w:color w:val="000000"/>
                      <w:szCs w:val="18"/>
                    </w:rPr>
                    <w:t>GST ($pc)</w:t>
                  </w:r>
                </w:p>
              </w:tc>
              <w:tc>
                <w:tcPr>
                  <w:tcW w:w="416" w:type="pct"/>
                  <w:tcBorders>
                    <w:bottom w:val="single" w:sz="6" w:space="0" w:color="BFBFBF"/>
                  </w:tcBorders>
                  <w:shd w:val="clear" w:color="auto" w:fill="auto"/>
                  <w:vAlign w:val="center"/>
                </w:tcPr>
                <w:p w14:paraId="7954C238"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tcBorders>
                    <w:bottom w:val="single" w:sz="6" w:space="0" w:color="BFBFBF"/>
                  </w:tcBorders>
                  <w:shd w:val="clear" w:color="auto" w:fill="auto"/>
                  <w:vAlign w:val="center"/>
                </w:tcPr>
                <w:p w14:paraId="7954C239"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tcBorders>
                    <w:bottom w:val="single" w:sz="6" w:space="0" w:color="BFBFBF"/>
                  </w:tcBorders>
                  <w:shd w:val="clear" w:color="auto" w:fill="auto"/>
                  <w:vAlign w:val="center"/>
                </w:tcPr>
                <w:p w14:paraId="7954C23A"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tcBorders>
                    <w:bottom w:val="single" w:sz="6" w:space="0" w:color="BFBFBF"/>
                  </w:tcBorders>
                  <w:shd w:val="clear" w:color="auto" w:fill="auto"/>
                  <w:vAlign w:val="center"/>
                </w:tcPr>
                <w:p w14:paraId="7954C23B"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6" w:type="pct"/>
                  <w:tcBorders>
                    <w:bottom w:val="single" w:sz="6" w:space="0" w:color="BFBFBF"/>
                  </w:tcBorders>
                  <w:shd w:val="clear" w:color="auto" w:fill="auto"/>
                  <w:vAlign w:val="center"/>
                </w:tcPr>
                <w:p w14:paraId="7954C23C"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tcBorders>
                    <w:bottom w:val="single" w:sz="6" w:space="0" w:color="BFBFBF"/>
                  </w:tcBorders>
                  <w:shd w:val="clear" w:color="auto" w:fill="auto"/>
                  <w:vAlign w:val="center"/>
                </w:tcPr>
                <w:p w14:paraId="7954C23D"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7" w:type="pct"/>
                  <w:tcBorders>
                    <w:bottom w:val="single" w:sz="6" w:space="0" w:color="BFBFBF"/>
                  </w:tcBorders>
                  <w:shd w:val="clear" w:color="auto" w:fill="auto"/>
                  <w:vAlign w:val="center"/>
                </w:tcPr>
                <w:p w14:paraId="7954C23E"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c>
                <w:tcPr>
                  <w:tcW w:w="416" w:type="pct"/>
                  <w:tcBorders>
                    <w:bottom w:val="single" w:sz="6" w:space="0" w:color="BFBFBF"/>
                  </w:tcBorders>
                  <w:shd w:val="clear" w:color="auto" w:fill="auto"/>
                  <w:vAlign w:val="center"/>
                </w:tcPr>
                <w:p w14:paraId="7954C23F" w14:textId="77777777" w:rsidR="00F05DC7" w:rsidRPr="00DE5825" w:rsidRDefault="00F05DC7" w:rsidP="00A3786D">
                  <w:pPr>
                    <w:pStyle w:val="TableBodyText"/>
                    <w:ind w:right="57"/>
                    <w:rPr>
                      <w:rFonts w:cs="Arial"/>
                      <w:color w:val="000000" w:themeColor="text1"/>
                      <w:szCs w:val="18"/>
                    </w:rPr>
                  </w:pPr>
                  <w:r w:rsidRPr="00DE5825">
                    <w:rPr>
                      <w:rFonts w:cs="Arial"/>
                      <w:color w:val="000000" w:themeColor="text1"/>
                      <w:szCs w:val="18"/>
                    </w:rPr>
                    <w:t>0</w:t>
                  </w:r>
                </w:p>
              </w:tc>
            </w:tr>
          </w:tbl>
          <w:p w14:paraId="7954C241" w14:textId="77777777" w:rsidR="00F05DC7" w:rsidRDefault="00F05DC7" w:rsidP="00A3786D">
            <w:pPr>
              <w:pStyle w:val="Box"/>
            </w:pPr>
          </w:p>
        </w:tc>
      </w:tr>
      <w:tr w:rsidR="00F05DC7" w14:paraId="7954C244" w14:textId="77777777" w:rsidTr="00A3786D">
        <w:tc>
          <w:tcPr>
            <w:tcW w:w="5000" w:type="pct"/>
            <w:tcBorders>
              <w:top w:val="nil"/>
              <w:left w:val="nil"/>
              <w:bottom w:val="nil"/>
              <w:right w:val="nil"/>
            </w:tcBorders>
            <w:shd w:val="clear" w:color="auto" w:fill="auto"/>
          </w:tcPr>
          <w:p w14:paraId="7954C243" w14:textId="77777777" w:rsidR="00F05DC7" w:rsidRDefault="00F05DC7" w:rsidP="00A3786D">
            <w:pPr>
              <w:pStyle w:val="Note"/>
              <w:rPr>
                <w:i/>
              </w:rPr>
            </w:pPr>
            <w:r w:rsidRPr="008E77FE">
              <w:rPr>
                <w:rStyle w:val="NoteLabel"/>
              </w:rPr>
              <w:t>a</w:t>
            </w:r>
            <w:r>
              <w:t xml:space="preserve"> GST impacts are evaluated on a ‘steady state’ basis; that is, assuming the new policy was fully in place in 2016</w:t>
            </w:r>
            <w:r>
              <w:noBreakHyphen/>
              <w:t>17. No transition paths are evaluated. Lower and upper bounds refer to the elasticity estimates used to calculate changes in the tax base.</w:t>
            </w:r>
          </w:p>
        </w:tc>
      </w:tr>
      <w:tr w:rsidR="00F05DC7" w14:paraId="7954C246" w14:textId="77777777" w:rsidTr="00A3786D">
        <w:tc>
          <w:tcPr>
            <w:tcW w:w="5000" w:type="pct"/>
            <w:tcBorders>
              <w:top w:val="nil"/>
              <w:left w:val="nil"/>
              <w:bottom w:val="nil"/>
              <w:right w:val="nil"/>
            </w:tcBorders>
            <w:shd w:val="clear" w:color="auto" w:fill="auto"/>
          </w:tcPr>
          <w:p w14:paraId="7954C245" w14:textId="77777777" w:rsidR="00F05DC7" w:rsidRDefault="00F05DC7" w:rsidP="00A3786D">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F05DC7" w14:paraId="7954C248" w14:textId="77777777" w:rsidTr="00A3786D">
        <w:tc>
          <w:tcPr>
            <w:tcW w:w="5000" w:type="pct"/>
            <w:tcBorders>
              <w:top w:val="nil"/>
              <w:left w:val="nil"/>
              <w:bottom w:val="single" w:sz="6" w:space="0" w:color="78A22F"/>
              <w:right w:val="nil"/>
            </w:tcBorders>
            <w:shd w:val="clear" w:color="auto" w:fill="auto"/>
          </w:tcPr>
          <w:p w14:paraId="7954C247" w14:textId="77777777" w:rsidR="00F05DC7" w:rsidRDefault="00F05DC7" w:rsidP="00A3786D">
            <w:pPr>
              <w:pStyle w:val="Box"/>
              <w:spacing w:before="0" w:line="120" w:lineRule="exact"/>
            </w:pPr>
          </w:p>
        </w:tc>
      </w:tr>
      <w:tr w:rsidR="00F05DC7" w:rsidRPr="000863A5" w14:paraId="7954C24A" w14:textId="77777777" w:rsidTr="00A3786D">
        <w:tc>
          <w:tcPr>
            <w:tcW w:w="5000" w:type="pct"/>
            <w:tcBorders>
              <w:top w:val="single" w:sz="6" w:space="0" w:color="78A22F"/>
              <w:left w:val="nil"/>
              <w:bottom w:val="nil"/>
              <w:right w:val="nil"/>
            </w:tcBorders>
          </w:tcPr>
          <w:p w14:paraId="7954C249" w14:textId="77777777" w:rsidR="00F05DC7" w:rsidRPr="00626D32" w:rsidRDefault="00F05DC7" w:rsidP="00A3786D">
            <w:pPr>
              <w:pStyle w:val="BoxSpaceBelow"/>
            </w:pPr>
          </w:p>
        </w:tc>
      </w:tr>
    </w:tbl>
    <w:p w14:paraId="7954C24B" w14:textId="77777777" w:rsidR="00F05DC7" w:rsidRPr="00C90724" w:rsidRDefault="00F05DC7" w:rsidP="00A3786D">
      <w:pPr>
        <w:pStyle w:val="BodyText"/>
      </w:pPr>
    </w:p>
    <w:p w14:paraId="7954C24C" w14:textId="77777777" w:rsidR="00F05DC7" w:rsidRDefault="00F05DC7" w:rsidP="00F05DC7">
      <w:pPr>
        <w:sectPr w:rsidR="00F05DC7" w:rsidSect="00F05DC7">
          <w:headerReference w:type="even" r:id="rId188"/>
          <w:headerReference w:type="default" r:id="rId189"/>
          <w:footerReference w:type="even" r:id="rId190"/>
          <w:footerReference w:type="default" r:id="rId191"/>
          <w:type w:val="oddPage"/>
          <w:pgSz w:w="11907" w:h="16840" w:code="9"/>
          <w:pgMar w:top="1985" w:right="1304" w:bottom="1247" w:left="1814" w:header="1701" w:footer="397" w:gutter="0"/>
          <w:pgNumType w:chapSep="period"/>
          <w:cols w:space="720"/>
          <w:docGrid w:linePitch="326"/>
        </w:sectPr>
      </w:pPr>
    </w:p>
    <w:p w14:paraId="7954C24D" w14:textId="77777777" w:rsidR="00F05DC7" w:rsidRDefault="00F05DC7" w:rsidP="00460F2D">
      <w:pPr>
        <w:pStyle w:val="Heading1"/>
      </w:pPr>
      <w:bookmarkStart w:id="123" w:name="_Toc513637748"/>
      <w:r>
        <w:lastRenderedPageBreak/>
        <w:t>D</w:t>
      </w:r>
      <w:r>
        <w:tab/>
        <w:t>Modelling the efficiency of HFE</w:t>
      </w:r>
      <w:bookmarkEnd w:id="123"/>
    </w:p>
    <w:p w14:paraId="7954C24E" w14:textId="77777777" w:rsidR="00F05DC7" w:rsidRDefault="00F05DC7" w:rsidP="00120072">
      <w:pPr>
        <w:pStyle w:val="BodyText"/>
      </w:pPr>
      <w:r>
        <w:t xml:space="preserve">This appendix looks at the modelling studies undertaken in Australia and Canada that have aimed to quantify the </w:t>
      </w:r>
      <w:r w:rsidRPr="002C5626">
        <w:t xml:space="preserve">efficiency </w:t>
      </w:r>
      <w:r>
        <w:t>effects</w:t>
      </w:r>
      <w:r w:rsidRPr="002C5626">
        <w:t xml:space="preserve"> of HFE</w:t>
      </w:r>
      <w:r>
        <w:t>. It describes the main approaches, assumptions and outcomes of these studies, as well as their limitations.</w:t>
      </w:r>
    </w:p>
    <w:p w14:paraId="7954C24F" w14:textId="40B70BFB" w:rsidR="00F05DC7" w:rsidRDefault="00F05DC7" w:rsidP="00A3786D">
      <w:pPr>
        <w:pStyle w:val="Heading2"/>
      </w:pPr>
      <w:bookmarkStart w:id="124" w:name="_Toc513637749"/>
      <w:r>
        <w:t>D.</w:t>
      </w:r>
      <w:r>
        <w:rPr>
          <w:noProof/>
        </w:rPr>
        <w:t>1</w:t>
      </w:r>
      <w:r>
        <w:tab/>
        <w:t>Studies that model the efficiency effects of HFE</w:t>
      </w:r>
      <w:bookmarkEnd w:id="124"/>
    </w:p>
    <w:p w14:paraId="7954C250" w14:textId="77777777" w:rsidR="00F05DC7" w:rsidRDefault="00F05DC7" w:rsidP="00A3786D">
      <w:pPr>
        <w:pStyle w:val="BodyText"/>
      </w:pPr>
      <w:r>
        <w:t xml:space="preserve">There have been </w:t>
      </w:r>
      <w:r w:rsidRPr="002C5626">
        <w:t xml:space="preserve">past attempts to </w:t>
      </w:r>
      <w:r>
        <w:t>measure</w:t>
      </w:r>
      <w:r w:rsidRPr="002C5626">
        <w:t xml:space="preserve"> the efficiency </w:t>
      </w:r>
      <w:r>
        <w:t>effects</w:t>
      </w:r>
      <w:r w:rsidRPr="002C5626">
        <w:t xml:space="preserve"> of HFE</w:t>
      </w:r>
      <w:r>
        <w:t xml:space="preserve"> through modelling. These studies </w:t>
      </w:r>
      <w:r w:rsidRPr="00702E30">
        <w:t>ha</w:t>
      </w:r>
      <w:r>
        <w:t>ve</w:t>
      </w:r>
      <w:r w:rsidRPr="00702E30">
        <w:t xml:space="preserve"> </w:t>
      </w:r>
      <w:r>
        <w:t xml:space="preserve">primarily </w:t>
      </w:r>
      <w:r w:rsidRPr="00702E30">
        <w:t xml:space="preserve">been conducted </w:t>
      </w:r>
      <w:r>
        <w:t>using</w:t>
      </w:r>
      <w:r w:rsidRPr="00702E30">
        <w:t xml:space="preserve"> </w:t>
      </w:r>
      <w:r>
        <w:t xml:space="preserve">either </w:t>
      </w:r>
      <w:r w:rsidRPr="00702E30">
        <w:t>computable general equilibrium modelling</w:t>
      </w:r>
      <w:r>
        <w:t xml:space="preserve"> or deadweight loss analysis.</w:t>
      </w:r>
      <w:r w:rsidRPr="00282527">
        <w:rPr>
          <w:rStyle w:val="FootnoteReference"/>
        </w:rPr>
        <w:footnoteReference w:id="25"/>
      </w:r>
      <w:r>
        <w:t xml:space="preserve"> Both types of modelling aim to quantify whether people are better or worse off under different equalisation scenarios. This is measured in terms of the ‘consumer welfare’ of people in each State and for the nation as a whole. The model outcomes are shown to be broadly similar when using either a general equilibrium or a deadweight loss approach. However, using different underlying assumptions and approaches can have a significant bearing on the model’s outcomes, regardless of the estimation method.</w:t>
      </w:r>
    </w:p>
    <w:p w14:paraId="7954C251" w14:textId="43BE2E62" w:rsidR="00F05DC7" w:rsidRDefault="00F05DC7" w:rsidP="00A3786D">
      <w:pPr>
        <w:pStyle w:val="BodyText"/>
      </w:pPr>
      <w:r>
        <w:t>The most comprehensive modelling of Australia’s HFE system has been undertaken by Dixon, Picton and Rimmer </w:t>
      </w:r>
      <w:r w:rsidRPr="00DC0231">
        <w:t>(2002, 2005)</w:t>
      </w:r>
      <w:r>
        <w:t>, Independent Economics </w:t>
      </w:r>
      <w:r w:rsidRPr="00DC0231">
        <w:t>(2012, 2015)</w:t>
      </w:r>
      <w:r>
        <w:t xml:space="preserve"> and Murphy </w:t>
      </w:r>
      <w:r w:rsidRPr="00DD269A">
        <w:t>(2015, 2017)</w:t>
      </w:r>
      <w:r>
        <w:t>. These groups disagreed on whether HFE enhances or reduces national welfare through its impact on migration (when compared to</w:t>
      </w:r>
      <w:r w:rsidRPr="00A132B7">
        <w:t xml:space="preserve"> </w:t>
      </w:r>
      <w:r>
        <w:t>an equal per capita (EPC) distribution</w:t>
      </w:r>
      <w:r w:rsidRPr="00A132B7">
        <w:t xml:space="preserve"> </w:t>
      </w:r>
      <w:r>
        <w:t>or some variant). However, despite these models applying different assumptions</w:t>
      </w:r>
      <w:r w:rsidDel="00A132B7">
        <w:t xml:space="preserve"> </w:t>
      </w:r>
      <w:r>
        <w:t xml:space="preserve">and leading to different conclusions, the overall efficiency impacts of all three models are generally found to be small (table D.1).These estimates are typically computed on a basis relative to an EPC distribution, as opposed to other less extreme alternative equalisation benchmarks, such as equalising to the average fiscal capacity of the States. </w:t>
      </w:r>
    </w:p>
    <w:p w14:paraId="7954C252" w14:textId="3619B05F" w:rsidR="00F05DC7" w:rsidRPr="00D2201F" w:rsidRDefault="00F05DC7" w:rsidP="00A3786D">
      <w:pPr>
        <w:pStyle w:val="Heading3"/>
      </w:pPr>
      <w:r w:rsidRPr="00D2201F">
        <w:t>Dixon, Picton and Rimmer</w:t>
      </w:r>
      <w:r>
        <w:t> </w:t>
      </w:r>
      <w:r w:rsidRPr="00D2201F">
        <w:t>(2002, 2005)</w:t>
      </w:r>
    </w:p>
    <w:p w14:paraId="7954C253" w14:textId="3D055974" w:rsidR="00F05DC7" w:rsidRPr="003563AB" w:rsidRDefault="00F05DC7" w:rsidP="00A3786D">
      <w:pPr>
        <w:pStyle w:val="BodyText"/>
      </w:pPr>
      <w:r w:rsidRPr="003563AB">
        <w:t>Di</w:t>
      </w:r>
      <w:r>
        <w:t>x</w:t>
      </w:r>
      <w:r w:rsidRPr="003563AB">
        <w:t>on</w:t>
      </w:r>
      <w:r>
        <w:t>, Picton and Rimmer </w:t>
      </w:r>
      <w:r w:rsidRPr="00DC0231">
        <w:t>(2002)</w:t>
      </w:r>
      <w:r>
        <w:t xml:space="preserve">, from the Centre of Policy Studies, were commissioned by fiscally stronger States (New South Wales, Victoria and Western Australia) to undertake modelling for the </w:t>
      </w:r>
      <w:r w:rsidRPr="00AF6308">
        <w:rPr>
          <w:i/>
        </w:rPr>
        <w:t>Review of Commonwealth</w:t>
      </w:r>
      <w:r w:rsidRPr="00AF6308">
        <w:rPr>
          <w:i/>
        </w:rPr>
        <w:noBreakHyphen/>
        <w:t>State Funding</w:t>
      </w:r>
      <w:r>
        <w:t xml:space="preserve"> </w:t>
      </w:r>
      <w:r w:rsidR="009D6331" w:rsidRPr="009D6331">
        <w:rPr>
          <w:szCs w:val="24"/>
        </w:rPr>
        <w:t>(Garnaut and FitzGerald 2002b)</w:t>
      </w:r>
      <w:r>
        <w:t xml:space="preserve">. Their </w:t>
      </w:r>
      <w:r w:rsidRPr="00702E30">
        <w:t xml:space="preserve">computable general equilibrium </w:t>
      </w:r>
      <w:r>
        <w:t>model included</w:t>
      </w:r>
      <w:r w:rsidRPr="003563AB">
        <w:t xml:space="preserve"> </w:t>
      </w:r>
      <w:r>
        <w:t>details on each</w:t>
      </w:r>
      <w:r w:rsidRPr="003563AB">
        <w:t xml:space="preserve"> </w:t>
      </w:r>
      <w:r>
        <w:t>State</w:t>
      </w:r>
      <w:r w:rsidRPr="003563AB">
        <w:t xml:space="preserve"> (</w:t>
      </w:r>
      <w:r>
        <w:t>such as their</w:t>
      </w:r>
      <w:r w:rsidRPr="003563AB">
        <w:t xml:space="preserve"> tax </w:t>
      </w:r>
      <w:r w:rsidRPr="003563AB">
        <w:lastRenderedPageBreak/>
        <w:t xml:space="preserve">bases </w:t>
      </w:r>
      <w:r>
        <w:t xml:space="preserve">and </w:t>
      </w:r>
      <w:r w:rsidRPr="003563AB">
        <w:t xml:space="preserve">costs of </w:t>
      </w:r>
      <w:r>
        <w:t>delivering</w:t>
      </w:r>
      <w:r w:rsidRPr="003563AB">
        <w:t xml:space="preserve"> services)</w:t>
      </w:r>
      <w:r>
        <w:t xml:space="preserve"> and</w:t>
      </w:r>
      <w:r w:rsidRPr="003563AB">
        <w:t xml:space="preserve"> </w:t>
      </w:r>
      <w:r>
        <w:t xml:space="preserve">incorporated an assumption that fiscally weaker States have </w:t>
      </w:r>
      <w:r w:rsidRPr="003563AB">
        <w:t>higher</w:t>
      </w:r>
      <w:r>
        <w:t xml:space="preserve"> and increasingly inefficient </w:t>
      </w:r>
      <w:r w:rsidRPr="003563AB">
        <w:t>levels of</w:t>
      </w:r>
      <w:r>
        <w:t xml:space="preserve"> government discretionary spending.</w:t>
      </w:r>
    </w:p>
    <w:p w14:paraId="7954C254" w14:textId="77777777" w:rsidR="00F05DC7" w:rsidRDefault="00F05DC7" w:rsidP="00A3786D">
      <w:pPr>
        <w:pStyle w:val="BodyText"/>
      </w:pPr>
      <w:r>
        <w:t>They modelled a move to an EPC distribution. Their results suggest welfare gains of up to $169 million per year (in 2000</w:t>
      </w:r>
      <w:r>
        <w:noBreakHyphen/>
        <w:t xml:space="preserve">01 terms), driven largely by the assumed higher government discretionary spending and the higher relative cost of delivering services in </w:t>
      </w:r>
      <w:r w:rsidRPr="001C47C3">
        <w:t>fiscally weaker</w:t>
      </w:r>
      <w:r>
        <w:t xml:space="preserve"> States under HFE. In a follow up study in 2005, they reported smaller welfare gains associated with a move to an EPC distribution — ranging from $16 million to $135 million, depending on how factor mobility, government spending, fiscal externalities and congestion externalities were treated.</w:t>
      </w:r>
    </w:p>
    <w:p w14:paraId="7954C255"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257" w14:textId="77777777" w:rsidTr="001113B1">
        <w:trPr>
          <w:tblHeader/>
        </w:trPr>
        <w:tc>
          <w:tcPr>
            <w:tcW w:w="5000" w:type="pct"/>
            <w:tcBorders>
              <w:top w:val="single" w:sz="6" w:space="0" w:color="78A22F"/>
              <w:left w:val="nil"/>
              <w:bottom w:val="nil"/>
              <w:right w:val="nil"/>
            </w:tcBorders>
            <w:shd w:val="clear" w:color="auto" w:fill="auto"/>
          </w:tcPr>
          <w:p w14:paraId="7954C256" w14:textId="44A38C8A" w:rsidR="00F05DC7" w:rsidRPr="00784A05" w:rsidRDefault="00F05DC7" w:rsidP="00A3786D">
            <w:pPr>
              <w:pStyle w:val="TableTitle"/>
            </w:pPr>
            <w:r>
              <w:rPr>
                <w:b w:val="0"/>
              </w:rPr>
              <w:t>Table D.</w:t>
            </w:r>
            <w:r>
              <w:rPr>
                <w:b w:val="0"/>
                <w:noProof/>
              </w:rPr>
              <w:t>1</w:t>
            </w:r>
            <w:r>
              <w:tab/>
              <w:t>Modelling results summary: selected Australian studies</w:t>
            </w:r>
          </w:p>
        </w:tc>
      </w:tr>
      <w:tr w:rsidR="00F05DC7" w14:paraId="7954C2B6" w14:textId="77777777" w:rsidTr="00A3786D">
        <w:tc>
          <w:tcPr>
            <w:tcW w:w="5000" w:type="pct"/>
            <w:tcBorders>
              <w:top w:val="nil"/>
              <w:left w:val="nil"/>
              <w:bottom w:val="nil"/>
              <w:right w:val="nil"/>
            </w:tcBorders>
            <w:shd w:val="clear" w:color="auto" w:fill="auto"/>
          </w:tcPr>
          <w:tbl>
            <w:tblPr>
              <w:tblW w:w="8682" w:type="dxa"/>
              <w:tblCellMar>
                <w:top w:w="28" w:type="dxa"/>
                <w:left w:w="0" w:type="dxa"/>
                <w:right w:w="0" w:type="dxa"/>
              </w:tblCellMar>
              <w:tblLook w:val="0000" w:firstRow="0" w:lastRow="0" w:firstColumn="0" w:lastColumn="0" w:noHBand="0" w:noVBand="0"/>
            </w:tblPr>
            <w:tblGrid>
              <w:gridCol w:w="2100"/>
              <w:gridCol w:w="1289"/>
              <w:gridCol w:w="975"/>
              <w:gridCol w:w="142"/>
              <w:gridCol w:w="1090"/>
              <w:gridCol w:w="1071"/>
              <w:gridCol w:w="142"/>
              <w:gridCol w:w="960"/>
              <w:gridCol w:w="913"/>
            </w:tblGrid>
            <w:tr w:rsidR="00F05DC7" w14:paraId="7954C25E" w14:textId="77777777" w:rsidTr="001113B1">
              <w:trPr>
                <w:tblHeader/>
              </w:trPr>
              <w:tc>
                <w:tcPr>
                  <w:tcW w:w="1209" w:type="pct"/>
                  <w:tcBorders>
                    <w:top w:val="single" w:sz="6" w:space="0" w:color="BFBFBF"/>
                  </w:tcBorders>
                </w:tcPr>
                <w:p w14:paraId="7954C258" w14:textId="77777777" w:rsidR="00F05DC7" w:rsidRDefault="00F05DC7" w:rsidP="00A3786D">
                  <w:pPr>
                    <w:pStyle w:val="TableUnitsRow"/>
                    <w:jc w:val="left"/>
                  </w:pPr>
                </w:p>
              </w:tc>
              <w:tc>
                <w:tcPr>
                  <w:tcW w:w="1303" w:type="pct"/>
                  <w:gridSpan w:val="2"/>
                  <w:tcBorders>
                    <w:top w:val="single" w:sz="6" w:space="0" w:color="BFBFBF"/>
                    <w:bottom w:val="single" w:sz="6" w:space="0" w:color="BFBFBF"/>
                  </w:tcBorders>
                </w:tcPr>
                <w:p w14:paraId="7954C259" w14:textId="77777777" w:rsidR="00F05DC7" w:rsidRPr="008224D2" w:rsidRDefault="00F05DC7" w:rsidP="00A3786D">
                  <w:pPr>
                    <w:pStyle w:val="TableColumnHeading"/>
                  </w:pPr>
                  <w:r w:rsidRPr="008224D2">
                    <w:t>Dixon, Picton and Rimmer</w:t>
                  </w:r>
                </w:p>
              </w:tc>
              <w:tc>
                <w:tcPr>
                  <w:tcW w:w="82" w:type="pct"/>
                  <w:tcBorders>
                    <w:top w:val="single" w:sz="6" w:space="0" w:color="BFBFBF"/>
                  </w:tcBorders>
                </w:tcPr>
                <w:p w14:paraId="7954C25A" w14:textId="77777777" w:rsidR="00F05DC7" w:rsidRPr="008224D2" w:rsidRDefault="00F05DC7" w:rsidP="00A3786D">
                  <w:pPr>
                    <w:pStyle w:val="TableColumnHeading"/>
                  </w:pPr>
                </w:p>
              </w:tc>
              <w:tc>
                <w:tcPr>
                  <w:tcW w:w="1245" w:type="pct"/>
                  <w:gridSpan w:val="2"/>
                  <w:tcBorders>
                    <w:top w:val="single" w:sz="6" w:space="0" w:color="BFBFBF"/>
                    <w:bottom w:val="single" w:sz="6" w:space="0" w:color="BFBFBF"/>
                  </w:tcBorders>
                </w:tcPr>
                <w:p w14:paraId="7954C25B" w14:textId="77777777" w:rsidR="00F05DC7" w:rsidRPr="008224D2" w:rsidRDefault="00F05DC7" w:rsidP="00A3786D">
                  <w:pPr>
                    <w:pStyle w:val="TableColumnHeading"/>
                  </w:pPr>
                  <w:r w:rsidRPr="008224D2">
                    <w:t>Independent Economics</w:t>
                  </w:r>
                </w:p>
              </w:tc>
              <w:tc>
                <w:tcPr>
                  <w:tcW w:w="82" w:type="pct"/>
                  <w:tcBorders>
                    <w:top w:val="single" w:sz="6" w:space="0" w:color="BFBFBF"/>
                  </w:tcBorders>
                </w:tcPr>
                <w:p w14:paraId="7954C25C" w14:textId="77777777" w:rsidR="00F05DC7" w:rsidRPr="008224D2" w:rsidRDefault="00F05DC7" w:rsidP="00A3786D">
                  <w:pPr>
                    <w:pStyle w:val="TableColumnHeading"/>
                  </w:pPr>
                </w:p>
              </w:tc>
              <w:tc>
                <w:tcPr>
                  <w:tcW w:w="1080" w:type="pct"/>
                  <w:gridSpan w:val="2"/>
                  <w:tcBorders>
                    <w:top w:val="single" w:sz="6" w:space="0" w:color="BFBFBF"/>
                    <w:bottom w:val="single" w:sz="6" w:space="0" w:color="BFBFBF"/>
                  </w:tcBorders>
                </w:tcPr>
                <w:p w14:paraId="7954C25D" w14:textId="77777777" w:rsidR="00F05DC7" w:rsidRPr="008224D2" w:rsidRDefault="00F05DC7" w:rsidP="00A3786D">
                  <w:pPr>
                    <w:pStyle w:val="TableColumnHeading"/>
                  </w:pPr>
                  <w:r w:rsidRPr="008224D2">
                    <w:t>Murphy</w:t>
                  </w:r>
                </w:p>
              </w:tc>
            </w:tr>
            <w:tr w:rsidR="00F05DC7" w14:paraId="7954C268" w14:textId="77777777" w:rsidTr="001113B1">
              <w:trPr>
                <w:tblHeader/>
              </w:trPr>
              <w:tc>
                <w:tcPr>
                  <w:tcW w:w="1209" w:type="pct"/>
                  <w:tcBorders>
                    <w:bottom w:val="single" w:sz="6" w:space="0" w:color="BFBFBF"/>
                  </w:tcBorders>
                </w:tcPr>
                <w:p w14:paraId="7954C25F" w14:textId="77777777" w:rsidR="00F05DC7" w:rsidRDefault="00F05DC7" w:rsidP="00A3786D">
                  <w:pPr>
                    <w:pStyle w:val="TableUnitsRow"/>
                    <w:jc w:val="left"/>
                  </w:pPr>
                </w:p>
              </w:tc>
              <w:tc>
                <w:tcPr>
                  <w:tcW w:w="742" w:type="pct"/>
                  <w:tcBorders>
                    <w:top w:val="single" w:sz="6" w:space="0" w:color="BFBFBF"/>
                    <w:bottom w:val="single" w:sz="6" w:space="0" w:color="BFBFBF"/>
                  </w:tcBorders>
                </w:tcPr>
                <w:p w14:paraId="7954C260" w14:textId="77777777" w:rsidR="00F05DC7" w:rsidRPr="00190E77" w:rsidRDefault="00F05DC7" w:rsidP="00A3786D">
                  <w:pPr>
                    <w:pStyle w:val="TableUnitsRow"/>
                  </w:pPr>
                  <w:r w:rsidRPr="00190E77">
                    <w:t>2002</w:t>
                  </w:r>
                </w:p>
              </w:tc>
              <w:tc>
                <w:tcPr>
                  <w:tcW w:w="560" w:type="pct"/>
                  <w:tcBorders>
                    <w:top w:val="single" w:sz="6" w:space="0" w:color="BFBFBF"/>
                    <w:bottom w:val="single" w:sz="6" w:space="0" w:color="BFBFBF"/>
                  </w:tcBorders>
                </w:tcPr>
                <w:p w14:paraId="7954C261" w14:textId="77777777" w:rsidR="00F05DC7" w:rsidRPr="00190E77" w:rsidRDefault="00F05DC7" w:rsidP="00A3786D">
                  <w:pPr>
                    <w:pStyle w:val="TableUnitsRow"/>
                  </w:pPr>
                  <w:r w:rsidRPr="00190E77">
                    <w:t>2005</w:t>
                  </w:r>
                </w:p>
              </w:tc>
              <w:tc>
                <w:tcPr>
                  <w:tcW w:w="82" w:type="pct"/>
                  <w:tcBorders>
                    <w:bottom w:val="single" w:sz="6" w:space="0" w:color="BFBFBF"/>
                  </w:tcBorders>
                </w:tcPr>
                <w:p w14:paraId="7954C262" w14:textId="77777777" w:rsidR="00F05DC7" w:rsidRPr="00190E77" w:rsidRDefault="00F05DC7" w:rsidP="00A3786D">
                  <w:pPr>
                    <w:pStyle w:val="TableUnitsRow"/>
                  </w:pPr>
                </w:p>
              </w:tc>
              <w:tc>
                <w:tcPr>
                  <w:tcW w:w="628" w:type="pct"/>
                  <w:tcBorders>
                    <w:top w:val="single" w:sz="6" w:space="0" w:color="BFBFBF"/>
                    <w:bottom w:val="single" w:sz="6" w:space="0" w:color="BFBFBF"/>
                  </w:tcBorders>
                </w:tcPr>
                <w:p w14:paraId="7954C263" w14:textId="77777777" w:rsidR="00F05DC7" w:rsidRPr="00190E77" w:rsidRDefault="00F05DC7" w:rsidP="00A3786D">
                  <w:pPr>
                    <w:pStyle w:val="TableUnitsRow"/>
                  </w:pPr>
                  <w:r w:rsidRPr="00190E77">
                    <w:t>2012</w:t>
                  </w:r>
                </w:p>
              </w:tc>
              <w:tc>
                <w:tcPr>
                  <w:tcW w:w="617" w:type="pct"/>
                  <w:tcBorders>
                    <w:top w:val="single" w:sz="6" w:space="0" w:color="BFBFBF"/>
                    <w:bottom w:val="single" w:sz="6" w:space="0" w:color="BFBFBF"/>
                  </w:tcBorders>
                </w:tcPr>
                <w:p w14:paraId="7954C264" w14:textId="77777777" w:rsidR="00F05DC7" w:rsidRPr="00190E77" w:rsidRDefault="00F05DC7" w:rsidP="00A3786D">
                  <w:pPr>
                    <w:pStyle w:val="TableUnitsRow"/>
                  </w:pPr>
                  <w:r w:rsidRPr="00190E77">
                    <w:t>2015</w:t>
                  </w:r>
                </w:p>
              </w:tc>
              <w:tc>
                <w:tcPr>
                  <w:tcW w:w="82" w:type="pct"/>
                  <w:tcBorders>
                    <w:bottom w:val="single" w:sz="6" w:space="0" w:color="BFBFBF"/>
                  </w:tcBorders>
                </w:tcPr>
                <w:p w14:paraId="7954C265" w14:textId="77777777" w:rsidR="00F05DC7" w:rsidRPr="00190E77" w:rsidRDefault="00F05DC7" w:rsidP="00A3786D">
                  <w:pPr>
                    <w:pStyle w:val="TableUnitsRow"/>
                  </w:pPr>
                </w:p>
              </w:tc>
              <w:tc>
                <w:tcPr>
                  <w:tcW w:w="553" w:type="pct"/>
                  <w:tcBorders>
                    <w:top w:val="single" w:sz="6" w:space="0" w:color="BFBFBF"/>
                    <w:bottom w:val="single" w:sz="6" w:space="0" w:color="BFBFBF"/>
                  </w:tcBorders>
                </w:tcPr>
                <w:p w14:paraId="7954C266" w14:textId="77777777" w:rsidR="00F05DC7" w:rsidRPr="00190E77" w:rsidRDefault="00F05DC7" w:rsidP="00A3786D">
                  <w:pPr>
                    <w:pStyle w:val="TableUnitsRow"/>
                  </w:pPr>
                  <w:r w:rsidRPr="00190E77">
                    <w:t>2015</w:t>
                  </w:r>
                </w:p>
              </w:tc>
              <w:tc>
                <w:tcPr>
                  <w:tcW w:w="527" w:type="pct"/>
                  <w:tcBorders>
                    <w:top w:val="single" w:sz="6" w:space="0" w:color="BFBFBF"/>
                    <w:bottom w:val="single" w:sz="6" w:space="0" w:color="BFBFBF"/>
                  </w:tcBorders>
                </w:tcPr>
                <w:p w14:paraId="7954C267" w14:textId="77777777" w:rsidR="00F05DC7" w:rsidRPr="00190E77" w:rsidRDefault="00F05DC7" w:rsidP="00A3786D">
                  <w:pPr>
                    <w:pStyle w:val="TableUnitsRow"/>
                  </w:pPr>
                  <w:r w:rsidRPr="00190E77">
                    <w:t>2017</w:t>
                  </w:r>
                </w:p>
              </w:tc>
            </w:tr>
            <w:tr w:rsidR="00F05DC7" w14:paraId="7954C278" w14:textId="77777777" w:rsidTr="00A3786D">
              <w:tc>
                <w:tcPr>
                  <w:tcW w:w="1209" w:type="pct"/>
                  <w:tcBorders>
                    <w:top w:val="single" w:sz="6" w:space="0" w:color="BFBFBF"/>
                  </w:tcBorders>
                  <w:vAlign w:val="center"/>
                </w:tcPr>
                <w:p w14:paraId="7954C269" w14:textId="77777777" w:rsidR="00F05DC7" w:rsidRDefault="00F05DC7" w:rsidP="004F6C34">
                  <w:pPr>
                    <w:pStyle w:val="TableBodyText"/>
                    <w:spacing w:before="80"/>
                    <w:jc w:val="left"/>
                  </w:pPr>
                  <w:r>
                    <w:t>Change in national welfare from moving to an EPC distribution ($million per year)</w:t>
                  </w:r>
                  <w:r>
                    <w:rPr>
                      <w:rStyle w:val="NoteLabel"/>
                    </w:rPr>
                    <w:t>a</w:t>
                  </w:r>
                </w:p>
              </w:tc>
              <w:tc>
                <w:tcPr>
                  <w:tcW w:w="742" w:type="pct"/>
                  <w:tcBorders>
                    <w:top w:val="single" w:sz="6" w:space="0" w:color="BFBFBF"/>
                  </w:tcBorders>
                  <w:vAlign w:val="center"/>
                </w:tcPr>
                <w:p w14:paraId="7954C26A" w14:textId="77777777" w:rsidR="00F05DC7" w:rsidRDefault="00F05DC7">
                  <w:pPr>
                    <w:pStyle w:val="TableBodyText"/>
                  </w:pPr>
                  <w:r w:rsidRPr="002C531E">
                    <w:t>+$169</w:t>
                  </w:r>
                </w:p>
                <w:p w14:paraId="7954C26B" w14:textId="77777777" w:rsidR="00F05DC7" w:rsidRPr="002C531E" w:rsidRDefault="00F05DC7">
                  <w:pPr>
                    <w:pStyle w:val="TableBodyText"/>
                  </w:pPr>
                  <w:r w:rsidRPr="002C531E">
                    <w:t>(2000</w:t>
                  </w:r>
                  <w:r>
                    <w:noBreakHyphen/>
                  </w:r>
                  <w:r w:rsidRPr="002C531E">
                    <w:t>01)</w:t>
                  </w:r>
                </w:p>
              </w:tc>
              <w:tc>
                <w:tcPr>
                  <w:tcW w:w="560" w:type="pct"/>
                  <w:tcBorders>
                    <w:top w:val="single" w:sz="6" w:space="0" w:color="BFBFBF"/>
                  </w:tcBorders>
                  <w:vAlign w:val="center"/>
                </w:tcPr>
                <w:p w14:paraId="7954C26C" w14:textId="77777777" w:rsidR="00F05DC7" w:rsidRDefault="00F05DC7">
                  <w:pPr>
                    <w:pStyle w:val="TableBodyText"/>
                  </w:pPr>
                  <w:r w:rsidRPr="002C531E">
                    <w:t>+$</w:t>
                  </w:r>
                  <w:r>
                    <w:t>49</w:t>
                  </w:r>
                </w:p>
                <w:p w14:paraId="7954C26D" w14:textId="77777777" w:rsidR="00F05DC7" w:rsidRPr="002C531E" w:rsidRDefault="00F05DC7">
                  <w:pPr>
                    <w:pStyle w:val="TableBodyText"/>
                  </w:pPr>
                  <w:r w:rsidRPr="002C531E">
                    <w:t>(2000</w:t>
                  </w:r>
                  <w:r>
                    <w:noBreakHyphen/>
                  </w:r>
                  <w:r w:rsidRPr="002C531E">
                    <w:t>01)</w:t>
                  </w:r>
                </w:p>
              </w:tc>
              <w:tc>
                <w:tcPr>
                  <w:tcW w:w="82" w:type="pct"/>
                  <w:tcBorders>
                    <w:top w:val="single" w:sz="6" w:space="0" w:color="BFBFBF"/>
                  </w:tcBorders>
                  <w:vAlign w:val="center"/>
                </w:tcPr>
                <w:p w14:paraId="7954C26E" w14:textId="77777777" w:rsidR="00F05DC7" w:rsidRPr="002C531E" w:rsidRDefault="00F05DC7">
                  <w:pPr>
                    <w:pStyle w:val="TableBodyText"/>
                  </w:pPr>
                </w:p>
              </w:tc>
              <w:tc>
                <w:tcPr>
                  <w:tcW w:w="628" w:type="pct"/>
                  <w:tcBorders>
                    <w:top w:val="single" w:sz="6" w:space="0" w:color="BFBFBF"/>
                  </w:tcBorders>
                  <w:vAlign w:val="center"/>
                </w:tcPr>
                <w:p w14:paraId="7954C26F" w14:textId="77777777" w:rsidR="00F05DC7" w:rsidRDefault="00F05DC7">
                  <w:pPr>
                    <w:pStyle w:val="TableBodyText"/>
                  </w:pPr>
                  <w:r>
                    <w:noBreakHyphen/>
                  </w:r>
                  <w:r w:rsidRPr="002C531E">
                    <w:t>$295</w:t>
                  </w:r>
                </w:p>
                <w:p w14:paraId="7954C270" w14:textId="77777777" w:rsidR="00F05DC7" w:rsidRPr="002C531E" w:rsidRDefault="00F05DC7">
                  <w:pPr>
                    <w:pStyle w:val="TableBodyText"/>
                  </w:pPr>
                  <w:r w:rsidRPr="002C531E">
                    <w:t>(2009</w:t>
                  </w:r>
                  <w:r w:rsidRPr="002C531E">
                    <w:noBreakHyphen/>
                    <w:t>10)</w:t>
                  </w:r>
                </w:p>
              </w:tc>
              <w:tc>
                <w:tcPr>
                  <w:tcW w:w="617" w:type="pct"/>
                  <w:tcBorders>
                    <w:top w:val="single" w:sz="6" w:space="0" w:color="BFBFBF"/>
                  </w:tcBorders>
                  <w:vAlign w:val="center"/>
                </w:tcPr>
                <w:p w14:paraId="7954C271" w14:textId="77777777" w:rsidR="00F05DC7" w:rsidRDefault="00F05DC7">
                  <w:pPr>
                    <w:pStyle w:val="TableBodyText"/>
                  </w:pPr>
                  <w:r>
                    <w:noBreakHyphen/>
                  </w:r>
                  <w:r w:rsidRPr="002C531E">
                    <w:t>$521</w:t>
                  </w:r>
                </w:p>
                <w:p w14:paraId="7954C272" w14:textId="77777777" w:rsidR="00F05DC7" w:rsidRPr="002C531E" w:rsidRDefault="00F05DC7">
                  <w:pPr>
                    <w:pStyle w:val="TableBodyText"/>
                  </w:pPr>
                  <w:r w:rsidRPr="002C531E">
                    <w:t>(2015</w:t>
                  </w:r>
                  <w:r>
                    <w:noBreakHyphen/>
                  </w:r>
                  <w:r w:rsidRPr="002C531E">
                    <w:t>16)</w:t>
                  </w:r>
                </w:p>
              </w:tc>
              <w:tc>
                <w:tcPr>
                  <w:tcW w:w="82" w:type="pct"/>
                  <w:tcBorders>
                    <w:top w:val="single" w:sz="6" w:space="0" w:color="BFBFBF"/>
                  </w:tcBorders>
                  <w:vAlign w:val="center"/>
                </w:tcPr>
                <w:p w14:paraId="7954C273" w14:textId="77777777" w:rsidR="00F05DC7" w:rsidRPr="002C531E" w:rsidRDefault="00F05DC7">
                  <w:pPr>
                    <w:pStyle w:val="TableBodyText"/>
                  </w:pPr>
                </w:p>
              </w:tc>
              <w:tc>
                <w:tcPr>
                  <w:tcW w:w="553" w:type="pct"/>
                  <w:tcBorders>
                    <w:top w:val="single" w:sz="6" w:space="0" w:color="BFBFBF"/>
                  </w:tcBorders>
                  <w:vAlign w:val="center"/>
                </w:tcPr>
                <w:p w14:paraId="7954C274" w14:textId="77777777" w:rsidR="00F05DC7" w:rsidRDefault="00F05DC7">
                  <w:pPr>
                    <w:pStyle w:val="TableBodyText"/>
                  </w:pPr>
                  <w:r>
                    <w:noBreakHyphen/>
                    <w:t>$445</w:t>
                  </w:r>
                </w:p>
                <w:p w14:paraId="7954C275" w14:textId="77777777" w:rsidR="00F05DC7" w:rsidRPr="002C531E" w:rsidRDefault="00F05DC7">
                  <w:pPr>
                    <w:pStyle w:val="TableBodyText"/>
                  </w:pPr>
                  <w:r>
                    <w:t>(</w:t>
                  </w:r>
                  <w:r w:rsidRPr="002C531E">
                    <w:t>2015</w:t>
                  </w:r>
                  <w:r w:rsidRPr="002C531E">
                    <w:noBreakHyphen/>
                    <w:t>16)</w:t>
                  </w:r>
                </w:p>
              </w:tc>
              <w:tc>
                <w:tcPr>
                  <w:tcW w:w="527" w:type="pct"/>
                  <w:tcBorders>
                    <w:top w:val="single" w:sz="6" w:space="0" w:color="BFBFBF"/>
                  </w:tcBorders>
                  <w:vAlign w:val="center"/>
                </w:tcPr>
                <w:p w14:paraId="7954C276" w14:textId="77777777" w:rsidR="00F05DC7" w:rsidRDefault="00F05DC7">
                  <w:pPr>
                    <w:pStyle w:val="TableBodyText"/>
                  </w:pPr>
                  <w:r>
                    <w:noBreakHyphen/>
                  </w:r>
                  <w:r w:rsidRPr="002C531E">
                    <w:t>$330</w:t>
                  </w:r>
                </w:p>
                <w:p w14:paraId="7954C277" w14:textId="77777777" w:rsidR="00F05DC7" w:rsidRPr="002C531E" w:rsidRDefault="00F05DC7">
                  <w:pPr>
                    <w:pStyle w:val="TableBodyText"/>
                  </w:pPr>
                  <w:r w:rsidRPr="002C531E">
                    <w:t>(2017</w:t>
                  </w:r>
                  <w:r>
                    <w:noBreakHyphen/>
                  </w:r>
                  <w:r w:rsidRPr="002C531E">
                    <w:t>18)</w:t>
                  </w:r>
                </w:p>
              </w:tc>
            </w:tr>
            <w:tr w:rsidR="00F05DC7" w14:paraId="7954C282" w14:textId="77777777" w:rsidTr="00A3786D">
              <w:tc>
                <w:tcPr>
                  <w:tcW w:w="1209" w:type="pct"/>
                  <w:vAlign w:val="center"/>
                </w:tcPr>
                <w:p w14:paraId="7954C279" w14:textId="77777777" w:rsidR="00F05DC7" w:rsidRDefault="00F05DC7" w:rsidP="00A3786D">
                  <w:pPr>
                    <w:pStyle w:val="TableBodyText"/>
                    <w:jc w:val="left"/>
                  </w:pPr>
                  <w:r>
                    <w:t>Selected assumptions</w:t>
                  </w:r>
                  <w:r>
                    <w:rPr>
                      <w:rStyle w:val="NoteLabel"/>
                    </w:rPr>
                    <w:t>b</w:t>
                  </w:r>
                </w:p>
              </w:tc>
              <w:tc>
                <w:tcPr>
                  <w:tcW w:w="742" w:type="pct"/>
                </w:tcPr>
                <w:p w14:paraId="7954C27A" w14:textId="77777777" w:rsidR="00F05DC7" w:rsidRPr="002C531E" w:rsidRDefault="00F05DC7" w:rsidP="00A3786D">
                  <w:pPr>
                    <w:pStyle w:val="TableBodyText"/>
                  </w:pPr>
                </w:p>
              </w:tc>
              <w:tc>
                <w:tcPr>
                  <w:tcW w:w="560" w:type="pct"/>
                </w:tcPr>
                <w:p w14:paraId="7954C27B" w14:textId="77777777" w:rsidR="00F05DC7" w:rsidRPr="002C531E" w:rsidRDefault="00F05DC7" w:rsidP="00A3786D">
                  <w:pPr>
                    <w:pStyle w:val="TableBodyText"/>
                  </w:pPr>
                </w:p>
              </w:tc>
              <w:tc>
                <w:tcPr>
                  <w:tcW w:w="82" w:type="pct"/>
                </w:tcPr>
                <w:p w14:paraId="7954C27C" w14:textId="77777777" w:rsidR="00F05DC7" w:rsidRPr="002C531E" w:rsidRDefault="00F05DC7" w:rsidP="00A3786D">
                  <w:pPr>
                    <w:pStyle w:val="TableBodyText"/>
                  </w:pPr>
                </w:p>
              </w:tc>
              <w:tc>
                <w:tcPr>
                  <w:tcW w:w="628" w:type="pct"/>
                </w:tcPr>
                <w:p w14:paraId="7954C27D" w14:textId="77777777" w:rsidR="00F05DC7" w:rsidRPr="002C531E" w:rsidRDefault="00F05DC7" w:rsidP="00A3786D">
                  <w:pPr>
                    <w:pStyle w:val="TableBodyText"/>
                  </w:pPr>
                </w:p>
              </w:tc>
              <w:tc>
                <w:tcPr>
                  <w:tcW w:w="617" w:type="pct"/>
                </w:tcPr>
                <w:p w14:paraId="7954C27E" w14:textId="77777777" w:rsidR="00F05DC7" w:rsidRPr="002C531E" w:rsidRDefault="00F05DC7" w:rsidP="00A3786D">
                  <w:pPr>
                    <w:pStyle w:val="TableBodyText"/>
                  </w:pPr>
                </w:p>
              </w:tc>
              <w:tc>
                <w:tcPr>
                  <w:tcW w:w="82" w:type="pct"/>
                </w:tcPr>
                <w:p w14:paraId="7954C27F" w14:textId="77777777" w:rsidR="00F05DC7" w:rsidRPr="002C531E" w:rsidRDefault="00F05DC7" w:rsidP="00A3786D">
                  <w:pPr>
                    <w:pStyle w:val="TableBodyText"/>
                  </w:pPr>
                </w:p>
              </w:tc>
              <w:tc>
                <w:tcPr>
                  <w:tcW w:w="553" w:type="pct"/>
                </w:tcPr>
                <w:p w14:paraId="7954C280" w14:textId="77777777" w:rsidR="00F05DC7" w:rsidRPr="002C531E" w:rsidRDefault="00F05DC7" w:rsidP="00A3786D">
                  <w:pPr>
                    <w:pStyle w:val="TableBodyText"/>
                  </w:pPr>
                </w:p>
              </w:tc>
              <w:tc>
                <w:tcPr>
                  <w:tcW w:w="527" w:type="pct"/>
                </w:tcPr>
                <w:p w14:paraId="7954C281" w14:textId="77777777" w:rsidR="00F05DC7" w:rsidRPr="002C531E" w:rsidRDefault="00F05DC7" w:rsidP="00A3786D">
                  <w:pPr>
                    <w:pStyle w:val="TableBodyText"/>
                  </w:pPr>
                </w:p>
              </w:tc>
            </w:tr>
            <w:tr w:rsidR="00F05DC7" w14:paraId="7954C28C" w14:textId="77777777" w:rsidTr="00A3786D">
              <w:tc>
                <w:tcPr>
                  <w:tcW w:w="1209" w:type="pct"/>
                  <w:vAlign w:val="center"/>
                </w:tcPr>
                <w:p w14:paraId="7954C283" w14:textId="77777777" w:rsidR="00F05DC7" w:rsidRDefault="00F05DC7" w:rsidP="00A3786D">
                  <w:pPr>
                    <w:pStyle w:val="TableBodyText"/>
                    <w:ind w:left="113" w:right="57"/>
                    <w:jc w:val="left"/>
                  </w:pPr>
                  <w:r>
                    <w:t>EPC includes equalisation payments for Indigeneity</w:t>
                  </w:r>
                </w:p>
              </w:tc>
              <w:tc>
                <w:tcPr>
                  <w:tcW w:w="742" w:type="pct"/>
                  <w:vAlign w:val="center"/>
                </w:tcPr>
                <w:p w14:paraId="7954C284" w14:textId="37F10FF7" w:rsidR="00F05DC7" w:rsidRPr="00E753EC" w:rsidRDefault="00513B96">
                  <w:pPr>
                    <w:pStyle w:val="Default"/>
                    <w:jc w:val="center"/>
                    <w:rPr>
                      <w:sz w:val="23"/>
                      <w:szCs w:val="23"/>
                    </w:rPr>
                  </w:pPr>
                  <w:r>
                    <w:rPr>
                      <w:sz w:val="23"/>
                      <w:szCs w:val="23"/>
                    </w:rPr>
                    <w:sym w:font="Wingdings" w:char="F0FB"/>
                  </w:r>
                </w:p>
              </w:tc>
              <w:tc>
                <w:tcPr>
                  <w:tcW w:w="560" w:type="pct"/>
                  <w:vAlign w:val="center"/>
                </w:tcPr>
                <w:p w14:paraId="7954C285" w14:textId="049D4C84" w:rsidR="00F05DC7" w:rsidRPr="00E753EC" w:rsidRDefault="00513B96">
                  <w:pPr>
                    <w:pStyle w:val="Default"/>
                    <w:jc w:val="center"/>
                    <w:rPr>
                      <w:sz w:val="23"/>
                      <w:szCs w:val="23"/>
                    </w:rPr>
                  </w:pPr>
                  <w:r>
                    <w:rPr>
                      <w:sz w:val="23"/>
                      <w:szCs w:val="23"/>
                    </w:rPr>
                    <w:sym w:font="Wingdings" w:char="F0FB"/>
                  </w:r>
                </w:p>
              </w:tc>
              <w:tc>
                <w:tcPr>
                  <w:tcW w:w="82" w:type="pct"/>
                  <w:vAlign w:val="center"/>
                </w:tcPr>
                <w:p w14:paraId="7954C286" w14:textId="77777777" w:rsidR="00F05DC7" w:rsidRPr="00E753EC" w:rsidRDefault="00F05DC7">
                  <w:pPr>
                    <w:pStyle w:val="Default"/>
                    <w:jc w:val="center"/>
                    <w:rPr>
                      <w:sz w:val="23"/>
                      <w:szCs w:val="23"/>
                    </w:rPr>
                  </w:pPr>
                </w:p>
              </w:tc>
              <w:tc>
                <w:tcPr>
                  <w:tcW w:w="628" w:type="pct"/>
                  <w:vAlign w:val="center"/>
                </w:tcPr>
                <w:p w14:paraId="7954C287" w14:textId="1C14207F" w:rsidR="00F05DC7" w:rsidRPr="00E753EC" w:rsidRDefault="00513B96">
                  <w:pPr>
                    <w:pStyle w:val="Default"/>
                    <w:jc w:val="center"/>
                    <w:rPr>
                      <w:sz w:val="23"/>
                      <w:szCs w:val="23"/>
                    </w:rPr>
                  </w:pPr>
                  <w:r>
                    <w:rPr>
                      <w:sz w:val="23"/>
                      <w:szCs w:val="23"/>
                    </w:rPr>
                    <w:sym w:font="Wingdings" w:char="F0FC"/>
                  </w:r>
                </w:p>
              </w:tc>
              <w:tc>
                <w:tcPr>
                  <w:tcW w:w="617" w:type="pct"/>
                  <w:vAlign w:val="center"/>
                </w:tcPr>
                <w:p w14:paraId="7954C288" w14:textId="0BF1DF77" w:rsidR="00F05DC7" w:rsidRPr="00E753EC" w:rsidRDefault="00513B96">
                  <w:pPr>
                    <w:pStyle w:val="Default"/>
                    <w:jc w:val="center"/>
                    <w:rPr>
                      <w:sz w:val="23"/>
                      <w:szCs w:val="23"/>
                    </w:rPr>
                  </w:pPr>
                  <w:r>
                    <w:rPr>
                      <w:sz w:val="23"/>
                      <w:szCs w:val="23"/>
                    </w:rPr>
                    <w:sym w:font="Wingdings" w:char="F0FC"/>
                  </w:r>
                </w:p>
              </w:tc>
              <w:tc>
                <w:tcPr>
                  <w:tcW w:w="82" w:type="pct"/>
                  <w:vAlign w:val="center"/>
                </w:tcPr>
                <w:p w14:paraId="7954C289" w14:textId="77777777" w:rsidR="00F05DC7" w:rsidRPr="00E753EC" w:rsidRDefault="00F05DC7">
                  <w:pPr>
                    <w:pStyle w:val="Default"/>
                    <w:jc w:val="center"/>
                    <w:rPr>
                      <w:sz w:val="23"/>
                      <w:szCs w:val="23"/>
                    </w:rPr>
                  </w:pPr>
                </w:p>
              </w:tc>
              <w:tc>
                <w:tcPr>
                  <w:tcW w:w="553" w:type="pct"/>
                  <w:vAlign w:val="center"/>
                </w:tcPr>
                <w:p w14:paraId="7954C28A" w14:textId="79C5AE07" w:rsidR="00F05DC7" w:rsidRPr="00E753EC" w:rsidRDefault="00513B96">
                  <w:pPr>
                    <w:pStyle w:val="Default"/>
                    <w:jc w:val="center"/>
                    <w:rPr>
                      <w:sz w:val="23"/>
                      <w:szCs w:val="23"/>
                    </w:rPr>
                  </w:pPr>
                  <w:r>
                    <w:rPr>
                      <w:sz w:val="23"/>
                      <w:szCs w:val="23"/>
                    </w:rPr>
                    <w:sym w:font="Wingdings" w:char="F0FC"/>
                  </w:r>
                </w:p>
              </w:tc>
              <w:tc>
                <w:tcPr>
                  <w:tcW w:w="527" w:type="pct"/>
                  <w:vAlign w:val="center"/>
                </w:tcPr>
                <w:p w14:paraId="7954C28B" w14:textId="7A921678" w:rsidR="00F05DC7" w:rsidRPr="00E753EC" w:rsidRDefault="00513B96">
                  <w:pPr>
                    <w:pStyle w:val="Default"/>
                    <w:jc w:val="center"/>
                    <w:rPr>
                      <w:sz w:val="23"/>
                      <w:szCs w:val="23"/>
                    </w:rPr>
                  </w:pPr>
                  <w:r>
                    <w:rPr>
                      <w:sz w:val="23"/>
                      <w:szCs w:val="23"/>
                    </w:rPr>
                    <w:sym w:font="Wingdings" w:char="F0FC"/>
                  </w:r>
                </w:p>
              </w:tc>
            </w:tr>
            <w:tr w:rsidR="00F05DC7" w14:paraId="7954C296" w14:textId="77777777" w:rsidTr="00A3786D">
              <w:tc>
                <w:tcPr>
                  <w:tcW w:w="1209" w:type="pct"/>
                  <w:vAlign w:val="center"/>
                </w:tcPr>
                <w:p w14:paraId="7954C28D" w14:textId="77777777" w:rsidR="00F05DC7" w:rsidRDefault="00F05DC7" w:rsidP="00A3786D">
                  <w:pPr>
                    <w:pStyle w:val="TableBodyText"/>
                    <w:ind w:left="113" w:right="57"/>
                    <w:jc w:val="left"/>
                  </w:pPr>
                  <w:r>
                    <w:t xml:space="preserve">State preferences can differ from resident preferences </w:t>
                  </w:r>
                </w:p>
              </w:tc>
              <w:tc>
                <w:tcPr>
                  <w:tcW w:w="742" w:type="pct"/>
                  <w:vAlign w:val="center"/>
                </w:tcPr>
                <w:p w14:paraId="7954C28E" w14:textId="7CAEF17C" w:rsidR="00F05DC7" w:rsidRPr="00E753EC" w:rsidRDefault="00513B96">
                  <w:pPr>
                    <w:pStyle w:val="Default"/>
                    <w:jc w:val="center"/>
                    <w:rPr>
                      <w:sz w:val="23"/>
                      <w:szCs w:val="23"/>
                    </w:rPr>
                  </w:pPr>
                  <w:r>
                    <w:rPr>
                      <w:sz w:val="23"/>
                      <w:szCs w:val="23"/>
                    </w:rPr>
                    <w:sym w:font="Wingdings" w:char="F0FC"/>
                  </w:r>
                </w:p>
              </w:tc>
              <w:tc>
                <w:tcPr>
                  <w:tcW w:w="560" w:type="pct"/>
                  <w:vAlign w:val="center"/>
                </w:tcPr>
                <w:p w14:paraId="7954C28F" w14:textId="51529774" w:rsidR="00F05DC7" w:rsidRPr="00E753EC" w:rsidRDefault="00513B96">
                  <w:pPr>
                    <w:pStyle w:val="Default"/>
                    <w:jc w:val="center"/>
                    <w:rPr>
                      <w:sz w:val="23"/>
                      <w:szCs w:val="23"/>
                    </w:rPr>
                  </w:pPr>
                  <w:r>
                    <w:rPr>
                      <w:sz w:val="23"/>
                      <w:szCs w:val="23"/>
                    </w:rPr>
                    <w:sym w:font="Wingdings" w:char="F0FC"/>
                  </w:r>
                </w:p>
              </w:tc>
              <w:tc>
                <w:tcPr>
                  <w:tcW w:w="82" w:type="pct"/>
                  <w:vAlign w:val="center"/>
                </w:tcPr>
                <w:p w14:paraId="7954C290" w14:textId="77777777" w:rsidR="00F05DC7" w:rsidRPr="00E753EC" w:rsidRDefault="00F05DC7">
                  <w:pPr>
                    <w:pStyle w:val="Default"/>
                    <w:jc w:val="center"/>
                    <w:rPr>
                      <w:sz w:val="23"/>
                      <w:szCs w:val="23"/>
                    </w:rPr>
                  </w:pPr>
                </w:p>
              </w:tc>
              <w:tc>
                <w:tcPr>
                  <w:tcW w:w="628" w:type="pct"/>
                  <w:vAlign w:val="center"/>
                </w:tcPr>
                <w:p w14:paraId="7954C291" w14:textId="551D7519" w:rsidR="00F05DC7" w:rsidRPr="00E753EC" w:rsidRDefault="00513B96">
                  <w:pPr>
                    <w:pStyle w:val="Default"/>
                    <w:jc w:val="center"/>
                    <w:rPr>
                      <w:sz w:val="23"/>
                      <w:szCs w:val="23"/>
                    </w:rPr>
                  </w:pPr>
                  <w:r>
                    <w:rPr>
                      <w:sz w:val="23"/>
                      <w:szCs w:val="23"/>
                    </w:rPr>
                    <w:sym w:font="Wingdings" w:char="F0FB"/>
                  </w:r>
                </w:p>
              </w:tc>
              <w:tc>
                <w:tcPr>
                  <w:tcW w:w="617" w:type="pct"/>
                  <w:vAlign w:val="center"/>
                </w:tcPr>
                <w:p w14:paraId="7954C292" w14:textId="11554BEA" w:rsidR="00F05DC7" w:rsidRPr="00E753EC" w:rsidRDefault="00513B96">
                  <w:pPr>
                    <w:pStyle w:val="Default"/>
                    <w:jc w:val="center"/>
                    <w:rPr>
                      <w:sz w:val="23"/>
                      <w:szCs w:val="23"/>
                    </w:rPr>
                  </w:pPr>
                  <w:r>
                    <w:rPr>
                      <w:sz w:val="23"/>
                      <w:szCs w:val="23"/>
                    </w:rPr>
                    <w:sym w:font="Wingdings" w:char="F0FB"/>
                  </w:r>
                </w:p>
              </w:tc>
              <w:tc>
                <w:tcPr>
                  <w:tcW w:w="82" w:type="pct"/>
                  <w:vAlign w:val="center"/>
                </w:tcPr>
                <w:p w14:paraId="7954C293" w14:textId="77777777" w:rsidR="00F05DC7" w:rsidRPr="00E753EC" w:rsidRDefault="00F05DC7">
                  <w:pPr>
                    <w:pStyle w:val="Default"/>
                    <w:jc w:val="center"/>
                    <w:rPr>
                      <w:sz w:val="23"/>
                      <w:szCs w:val="23"/>
                    </w:rPr>
                  </w:pPr>
                </w:p>
              </w:tc>
              <w:tc>
                <w:tcPr>
                  <w:tcW w:w="553" w:type="pct"/>
                  <w:vAlign w:val="center"/>
                </w:tcPr>
                <w:p w14:paraId="7954C294" w14:textId="1315C663" w:rsidR="00F05DC7" w:rsidRPr="00E753EC" w:rsidRDefault="00513B96">
                  <w:pPr>
                    <w:pStyle w:val="Default"/>
                    <w:jc w:val="center"/>
                    <w:rPr>
                      <w:sz w:val="23"/>
                      <w:szCs w:val="23"/>
                    </w:rPr>
                  </w:pPr>
                  <w:r>
                    <w:rPr>
                      <w:sz w:val="23"/>
                      <w:szCs w:val="23"/>
                    </w:rPr>
                    <w:sym w:font="Wingdings" w:char="F0FB"/>
                  </w:r>
                </w:p>
              </w:tc>
              <w:tc>
                <w:tcPr>
                  <w:tcW w:w="527" w:type="pct"/>
                  <w:vAlign w:val="center"/>
                </w:tcPr>
                <w:p w14:paraId="7954C295" w14:textId="35216172" w:rsidR="00F05DC7" w:rsidRPr="00E753EC" w:rsidRDefault="00513B96">
                  <w:pPr>
                    <w:pStyle w:val="Default"/>
                    <w:jc w:val="center"/>
                    <w:rPr>
                      <w:sz w:val="23"/>
                      <w:szCs w:val="23"/>
                    </w:rPr>
                  </w:pPr>
                  <w:r>
                    <w:rPr>
                      <w:sz w:val="23"/>
                      <w:szCs w:val="23"/>
                    </w:rPr>
                    <w:sym w:font="Wingdings" w:char="F0FB"/>
                  </w:r>
                </w:p>
              </w:tc>
            </w:tr>
            <w:tr w:rsidR="00F05DC7" w14:paraId="7954C2A0" w14:textId="77777777" w:rsidTr="00A3786D">
              <w:tc>
                <w:tcPr>
                  <w:tcW w:w="1209" w:type="pct"/>
                  <w:vAlign w:val="center"/>
                </w:tcPr>
                <w:p w14:paraId="7954C297" w14:textId="77777777" w:rsidR="00F05DC7" w:rsidRDefault="00F05DC7" w:rsidP="00A3786D">
                  <w:pPr>
                    <w:pStyle w:val="TableBodyText"/>
                    <w:ind w:left="113" w:right="57"/>
                    <w:jc w:val="left"/>
                  </w:pPr>
                  <w:r>
                    <w:t>Single household utility function</w:t>
                  </w:r>
                </w:p>
              </w:tc>
              <w:tc>
                <w:tcPr>
                  <w:tcW w:w="742" w:type="pct"/>
                  <w:vAlign w:val="center"/>
                </w:tcPr>
                <w:p w14:paraId="7954C298" w14:textId="7C49262E" w:rsidR="00F05DC7" w:rsidRPr="00E753EC" w:rsidRDefault="00513B96">
                  <w:pPr>
                    <w:pStyle w:val="Default"/>
                    <w:jc w:val="center"/>
                    <w:rPr>
                      <w:sz w:val="23"/>
                      <w:szCs w:val="23"/>
                    </w:rPr>
                  </w:pPr>
                  <w:r>
                    <w:rPr>
                      <w:sz w:val="23"/>
                      <w:szCs w:val="23"/>
                    </w:rPr>
                    <w:sym w:font="Wingdings" w:char="F0FB"/>
                  </w:r>
                </w:p>
              </w:tc>
              <w:tc>
                <w:tcPr>
                  <w:tcW w:w="560" w:type="pct"/>
                  <w:vAlign w:val="center"/>
                </w:tcPr>
                <w:p w14:paraId="7954C299" w14:textId="7A4E4448" w:rsidR="00F05DC7" w:rsidRPr="00E753EC" w:rsidRDefault="00513B96">
                  <w:pPr>
                    <w:pStyle w:val="Default"/>
                    <w:jc w:val="center"/>
                    <w:rPr>
                      <w:sz w:val="23"/>
                      <w:szCs w:val="23"/>
                    </w:rPr>
                  </w:pPr>
                  <w:r>
                    <w:rPr>
                      <w:sz w:val="23"/>
                      <w:szCs w:val="23"/>
                    </w:rPr>
                    <w:sym w:font="Wingdings" w:char="F0FB"/>
                  </w:r>
                </w:p>
              </w:tc>
              <w:tc>
                <w:tcPr>
                  <w:tcW w:w="82" w:type="pct"/>
                  <w:vAlign w:val="center"/>
                </w:tcPr>
                <w:p w14:paraId="7954C29A" w14:textId="77777777" w:rsidR="00F05DC7" w:rsidRPr="00E753EC" w:rsidRDefault="00F05DC7">
                  <w:pPr>
                    <w:pStyle w:val="Default"/>
                    <w:jc w:val="center"/>
                    <w:rPr>
                      <w:sz w:val="23"/>
                      <w:szCs w:val="23"/>
                    </w:rPr>
                  </w:pPr>
                </w:p>
              </w:tc>
              <w:tc>
                <w:tcPr>
                  <w:tcW w:w="628" w:type="pct"/>
                  <w:vAlign w:val="center"/>
                </w:tcPr>
                <w:p w14:paraId="7954C29B" w14:textId="04BBD296" w:rsidR="00F05DC7" w:rsidRPr="00E753EC" w:rsidRDefault="00513B96">
                  <w:pPr>
                    <w:pStyle w:val="Default"/>
                    <w:jc w:val="center"/>
                    <w:rPr>
                      <w:sz w:val="23"/>
                      <w:szCs w:val="23"/>
                    </w:rPr>
                  </w:pPr>
                  <w:r>
                    <w:rPr>
                      <w:sz w:val="23"/>
                      <w:szCs w:val="23"/>
                    </w:rPr>
                    <w:sym w:font="Wingdings" w:char="F0FC"/>
                  </w:r>
                </w:p>
              </w:tc>
              <w:tc>
                <w:tcPr>
                  <w:tcW w:w="617" w:type="pct"/>
                  <w:vAlign w:val="center"/>
                </w:tcPr>
                <w:p w14:paraId="7954C29C" w14:textId="23C8C83C" w:rsidR="00F05DC7" w:rsidRPr="00E753EC" w:rsidRDefault="00513B96">
                  <w:pPr>
                    <w:pStyle w:val="Default"/>
                    <w:jc w:val="center"/>
                    <w:rPr>
                      <w:sz w:val="23"/>
                      <w:szCs w:val="23"/>
                    </w:rPr>
                  </w:pPr>
                  <w:r>
                    <w:rPr>
                      <w:sz w:val="23"/>
                      <w:szCs w:val="23"/>
                    </w:rPr>
                    <w:sym w:font="Wingdings" w:char="F0FC"/>
                  </w:r>
                </w:p>
              </w:tc>
              <w:tc>
                <w:tcPr>
                  <w:tcW w:w="82" w:type="pct"/>
                  <w:vAlign w:val="center"/>
                </w:tcPr>
                <w:p w14:paraId="7954C29D" w14:textId="77777777" w:rsidR="00F05DC7" w:rsidRPr="00E753EC" w:rsidRDefault="00F05DC7">
                  <w:pPr>
                    <w:pStyle w:val="Default"/>
                    <w:jc w:val="center"/>
                    <w:rPr>
                      <w:sz w:val="23"/>
                      <w:szCs w:val="23"/>
                    </w:rPr>
                  </w:pPr>
                </w:p>
              </w:tc>
              <w:tc>
                <w:tcPr>
                  <w:tcW w:w="553" w:type="pct"/>
                  <w:vAlign w:val="center"/>
                </w:tcPr>
                <w:p w14:paraId="7954C29E" w14:textId="4DF2102B" w:rsidR="00F05DC7" w:rsidRPr="00E753EC" w:rsidRDefault="00513B96">
                  <w:pPr>
                    <w:pStyle w:val="Default"/>
                    <w:jc w:val="center"/>
                    <w:rPr>
                      <w:sz w:val="23"/>
                      <w:szCs w:val="23"/>
                    </w:rPr>
                  </w:pPr>
                  <w:r>
                    <w:rPr>
                      <w:sz w:val="23"/>
                      <w:szCs w:val="23"/>
                    </w:rPr>
                    <w:sym w:font="Wingdings" w:char="F0FC"/>
                  </w:r>
                </w:p>
              </w:tc>
              <w:tc>
                <w:tcPr>
                  <w:tcW w:w="527" w:type="pct"/>
                  <w:vAlign w:val="center"/>
                </w:tcPr>
                <w:p w14:paraId="7954C29F" w14:textId="3C04A90A" w:rsidR="00F05DC7" w:rsidRPr="00E753EC" w:rsidRDefault="00513B96">
                  <w:pPr>
                    <w:pStyle w:val="Default"/>
                    <w:jc w:val="center"/>
                    <w:rPr>
                      <w:sz w:val="23"/>
                      <w:szCs w:val="23"/>
                    </w:rPr>
                  </w:pPr>
                  <w:r>
                    <w:rPr>
                      <w:sz w:val="23"/>
                      <w:szCs w:val="23"/>
                    </w:rPr>
                    <w:sym w:font="Wingdings" w:char="F0FC"/>
                  </w:r>
                </w:p>
              </w:tc>
            </w:tr>
            <w:tr w:rsidR="00F05DC7" w14:paraId="7954C2AA" w14:textId="77777777" w:rsidTr="00A3786D">
              <w:tc>
                <w:tcPr>
                  <w:tcW w:w="1209" w:type="pct"/>
                  <w:vAlign w:val="center"/>
                </w:tcPr>
                <w:p w14:paraId="7954C2A1" w14:textId="77777777" w:rsidR="00F05DC7" w:rsidRDefault="00F05DC7" w:rsidP="00A3786D">
                  <w:pPr>
                    <w:pStyle w:val="TableBodyText"/>
                    <w:ind w:left="113" w:right="57"/>
                    <w:jc w:val="left"/>
                  </w:pPr>
                  <w:r>
                    <w:t>Partial cost equalisation can improve welfare</w:t>
                  </w:r>
                </w:p>
              </w:tc>
              <w:tc>
                <w:tcPr>
                  <w:tcW w:w="742" w:type="pct"/>
                  <w:vAlign w:val="center"/>
                </w:tcPr>
                <w:p w14:paraId="7954C2A2" w14:textId="1412AE99" w:rsidR="00F05DC7" w:rsidRPr="00E753EC" w:rsidRDefault="00513B96">
                  <w:pPr>
                    <w:pStyle w:val="Default"/>
                    <w:jc w:val="center"/>
                    <w:rPr>
                      <w:sz w:val="23"/>
                      <w:szCs w:val="23"/>
                    </w:rPr>
                  </w:pPr>
                  <w:r>
                    <w:rPr>
                      <w:sz w:val="23"/>
                      <w:szCs w:val="23"/>
                    </w:rPr>
                    <w:sym w:font="Wingdings" w:char="F0FB"/>
                  </w:r>
                </w:p>
              </w:tc>
              <w:tc>
                <w:tcPr>
                  <w:tcW w:w="560" w:type="pct"/>
                  <w:vAlign w:val="center"/>
                </w:tcPr>
                <w:p w14:paraId="7954C2A3" w14:textId="23E011AD" w:rsidR="00F05DC7" w:rsidRPr="00E753EC" w:rsidRDefault="00513B96">
                  <w:pPr>
                    <w:pStyle w:val="Default"/>
                    <w:jc w:val="center"/>
                    <w:rPr>
                      <w:sz w:val="23"/>
                      <w:szCs w:val="23"/>
                    </w:rPr>
                  </w:pPr>
                  <w:r>
                    <w:rPr>
                      <w:sz w:val="23"/>
                      <w:szCs w:val="23"/>
                    </w:rPr>
                    <w:sym w:font="Wingdings" w:char="F0FB"/>
                  </w:r>
                </w:p>
              </w:tc>
              <w:tc>
                <w:tcPr>
                  <w:tcW w:w="82" w:type="pct"/>
                  <w:vAlign w:val="center"/>
                </w:tcPr>
                <w:p w14:paraId="7954C2A4" w14:textId="77777777" w:rsidR="00F05DC7" w:rsidRPr="00E753EC" w:rsidRDefault="00F05DC7">
                  <w:pPr>
                    <w:pStyle w:val="Default"/>
                    <w:jc w:val="center"/>
                    <w:rPr>
                      <w:sz w:val="23"/>
                      <w:szCs w:val="23"/>
                    </w:rPr>
                  </w:pPr>
                </w:p>
              </w:tc>
              <w:tc>
                <w:tcPr>
                  <w:tcW w:w="628" w:type="pct"/>
                  <w:vAlign w:val="center"/>
                </w:tcPr>
                <w:p w14:paraId="7954C2A5" w14:textId="1858EFF9" w:rsidR="00F05DC7" w:rsidRPr="00E753EC" w:rsidRDefault="00513B96">
                  <w:pPr>
                    <w:pStyle w:val="Default"/>
                    <w:jc w:val="center"/>
                    <w:rPr>
                      <w:sz w:val="23"/>
                      <w:szCs w:val="23"/>
                    </w:rPr>
                  </w:pPr>
                  <w:r>
                    <w:rPr>
                      <w:sz w:val="23"/>
                      <w:szCs w:val="23"/>
                    </w:rPr>
                    <w:sym w:font="Wingdings" w:char="F0FC"/>
                  </w:r>
                </w:p>
              </w:tc>
              <w:tc>
                <w:tcPr>
                  <w:tcW w:w="617" w:type="pct"/>
                  <w:vAlign w:val="center"/>
                </w:tcPr>
                <w:p w14:paraId="7954C2A6" w14:textId="4A48A731" w:rsidR="00F05DC7" w:rsidRPr="00E753EC" w:rsidRDefault="00513B96">
                  <w:pPr>
                    <w:pStyle w:val="Default"/>
                    <w:jc w:val="center"/>
                    <w:rPr>
                      <w:sz w:val="23"/>
                      <w:szCs w:val="23"/>
                    </w:rPr>
                  </w:pPr>
                  <w:r>
                    <w:rPr>
                      <w:sz w:val="23"/>
                      <w:szCs w:val="23"/>
                    </w:rPr>
                    <w:sym w:font="Wingdings" w:char="F0FC"/>
                  </w:r>
                </w:p>
              </w:tc>
              <w:tc>
                <w:tcPr>
                  <w:tcW w:w="82" w:type="pct"/>
                  <w:vAlign w:val="center"/>
                </w:tcPr>
                <w:p w14:paraId="7954C2A7" w14:textId="77777777" w:rsidR="00F05DC7" w:rsidRPr="00E753EC" w:rsidRDefault="00F05DC7">
                  <w:pPr>
                    <w:pStyle w:val="Default"/>
                    <w:jc w:val="center"/>
                    <w:rPr>
                      <w:sz w:val="23"/>
                      <w:szCs w:val="23"/>
                    </w:rPr>
                  </w:pPr>
                </w:p>
              </w:tc>
              <w:tc>
                <w:tcPr>
                  <w:tcW w:w="553" w:type="pct"/>
                  <w:vAlign w:val="center"/>
                </w:tcPr>
                <w:p w14:paraId="7954C2A8" w14:textId="2AEFF953" w:rsidR="00F05DC7" w:rsidRPr="00E753EC" w:rsidRDefault="00513B96">
                  <w:pPr>
                    <w:pStyle w:val="Default"/>
                    <w:jc w:val="center"/>
                    <w:rPr>
                      <w:sz w:val="23"/>
                      <w:szCs w:val="23"/>
                    </w:rPr>
                  </w:pPr>
                  <w:r>
                    <w:rPr>
                      <w:sz w:val="23"/>
                      <w:szCs w:val="23"/>
                    </w:rPr>
                    <w:sym w:font="Wingdings" w:char="F0FC"/>
                  </w:r>
                </w:p>
              </w:tc>
              <w:tc>
                <w:tcPr>
                  <w:tcW w:w="527" w:type="pct"/>
                  <w:vAlign w:val="center"/>
                </w:tcPr>
                <w:p w14:paraId="7954C2A9" w14:textId="04FB57CC" w:rsidR="00F05DC7" w:rsidRPr="00E753EC" w:rsidRDefault="00513B96">
                  <w:pPr>
                    <w:pStyle w:val="Default"/>
                    <w:jc w:val="center"/>
                    <w:rPr>
                      <w:sz w:val="23"/>
                      <w:szCs w:val="23"/>
                    </w:rPr>
                  </w:pPr>
                  <w:r>
                    <w:rPr>
                      <w:sz w:val="23"/>
                      <w:szCs w:val="23"/>
                    </w:rPr>
                    <w:sym w:font="Wingdings" w:char="F0FC"/>
                  </w:r>
                </w:p>
              </w:tc>
            </w:tr>
            <w:tr w:rsidR="00F05DC7" w14:paraId="7954C2B4" w14:textId="77777777" w:rsidTr="00A3786D">
              <w:tc>
                <w:tcPr>
                  <w:tcW w:w="1209" w:type="pct"/>
                  <w:tcBorders>
                    <w:bottom w:val="single" w:sz="6" w:space="0" w:color="BFBFBF"/>
                  </w:tcBorders>
                  <w:shd w:val="clear" w:color="auto" w:fill="auto"/>
                  <w:vAlign w:val="center"/>
                </w:tcPr>
                <w:p w14:paraId="7954C2AB" w14:textId="77777777" w:rsidR="00F05DC7" w:rsidRDefault="00F05DC7">
                  <w:pPr>
                    <w:pStyle w:val="TableBodyText"/>
                    <w:jc w:val="left"/>
                  </w:pPr>
                  <w:r>
                    <w:t>Estimation method</w:t>
                  </w:r>
                  <w:r>
                    <w:rPr>
                      <w:rStyle w:val="NoteLabel"/>
                    </w:rPr>
                    <w:t>c</w:t>
                  </w:r>
                </w:p>
              </w:tc>
              <w:tc>
                <w:tcPr>
                  <w:tcW w:w="742" w:type="pct"/>
                  <w:tcBorders>
                    <w:bottom w:val="single" w:sz="6" w:space="0" w:color="BFBFBF"/>
                  </w:tcBorders>
                  <w:vAlign w:val="center"/>
                </w:tcPr>
                <w:p w14:paraId="7954C2AC" w14:textId="77777777" w:rsidR="00F05DC7" w:rsidRPr="002C531E" w:rsidRDefault="00F05DC7">
                  <w:pPr>
                    <w:pStyle w:val="TableBodyText"/>
                    <w:jc w:val="center"/>
                  </w:pPr>
                  <w:r>
                    <w:t>CGE</w:t>
                  </w:r>
                </w:p>
              </w:tc>
              <w:tc>
                <w:tcPr>
                  <w:tcW w:w="560" w:type="pct"/>
                  <w:tcBorders>
                    <w:bottom w:val="single" w:sz="6" w:space="0" w:color="BFBFBF"/>
                  </w:tcBorders>
                  <w:vAlign w:val="center"/>
                </w:tcPr>
                <w:p w14:paraId="7954C2AD" w14:textId="77777777" w:rsidR="00F05DC7" w:rsidRPr="002C531E" w:rsidRDefault="00F05DC7">
                  <w:pPr>
                    <w:pStyle w:val="TableBodyText"/>
                    <w:jc w:val="center"/>
                  </w:pPr>
                  <w:r>
                    <w:t>CGE</w:t>
                  </w:r>
                </w:p>
              </w:tc>
              <w:tc>
                <w:tcPr>
                  <w:tcW w:w="82" w:type="pct"/>
                  <w:tcBorders>
                    <w:bottom w:val="single" w:sz="6" w:space="0" w:color="BFBFBF"/>
                  </w:tcBorders>
                  <w:vAlign w:val="center"/>
                </w:tcPr>
                <w:p w14:paraId="7954C2AE" w14:textId="77777777" w:rsidR="00F05DC7" w:rsidRDefault="00F05DC7">
                  <w:pPr>
                    <w:pStyle w:val="TableBodyText"/>
                    <w:jc w:val="center"/>
                  </w:pPr>
                </w:p>
              </w:tc>
              <w:tc>
                <w:tcPr>
                  <w:tcW w:w="628" w:type="pct"/>
                  <w:tcBorders>
                    <w:bottom w:val="single" w:sz="6" w:space="0" w:color="BFBFBF"/>
                  </w:tcBorders>
                  <w:vAlign w:val="center"/>
                </w:tcPr>
                <w:p w14:paraId="7954C2AF" w14:textId="77777777" w:rsidR="00F05DC7" w:rsidRPr="002C531E" w:rsidRDefault="00F05DC7">
                  <w:pPr>
                    <w:pStyle w:val="TableBodyText"/>
                    <w:jc w:val="center"/>
                  </w:pPr>
                  <w:r>
                    <w:t>CGE</w:t>
                  </w:r>
                </w:p>
              </w:tc>
              <w:tc>
                <w:tcPr>
                  <w:tcW w:w="617" w:type="pct"/>
                  <w:tcBorders>
                    <w:bottom w:val="single" w:sz="6" w:space="0" w:color="BFBFBF"/>
                  </w:tcBorders>
                  <w:vAlign w:val="center"/>
                </w:tcPr>
                <w:p w14:paraId="7954C2B0" w14:textId="77777777" w:rsidR="00F05DC7" w:rsidRPr="002C531E" w:rsidRDefault="00F05DC7">
                  <w:pPr>
                    <w:pStyle w:val="TableBodyText"/>
                    <w:jc w:val="center"/>
                  </w:pPr>
                  <w:r>
                    <w:t>CGE</w:t>
                  </w:r>
                </w:p>
              </w:tc>
              <w:tc>
                <w:tcPr>
                  <w:tcW w:w="82" w:type="pct"/>
                  <w:tcBorders>
                    <w:bottom w:val="single" w:sz="6" w:space="0" w:color="BFBFBF"/>
                  </w:tcBorders>
                  <w:vAlign w:val="center"/>
                </w:tcPr>
                <w:p w14:paraId="7954C2B1" w14:textId="77777777" w:rsidR="00F05DC7" w:rsidRDefault="00F05DC7">
                  <w:pPr>
                    <w:pStyle w:val="TableBodyText"/>
                    <w:jc w:val="center"/>
                  </w:pPr>
                </w:p>
              </w:tc>
              <w:tc>
                <w:tcPr>
                  <w:tcW w:w="553" w:type="pct"/>
                  <w:tcBorders>
                    <w:bottom w:val="single" w:sz="6" w:space="0" w:color="BFBFBF"/>
                  </w:tcBorders>
                  <w:shd w:val="clear" w:color="auto" w:fill="auto"/>
                  <w:vAlign w:val="center"/>
                </w:tcPr>
                <w:p w14:paraId="7954C2B2" w14:textId="77777777" w:rsidR="00F05DC7" w:rsidRPr="002C531E" w:rsidRDefault="00F05DC7">
                  <w:pPr>
                    <w:pStyle w:val="TableBodyText"/>
                    <w:jc w:val="center"/>
                  </w:pPr>
                  <w:r>
                    <w:t>CGE/DWL</w:t>
                  </w:r>
                </w:p>
              </w:tc>
              <w:tc>
                <w:tcPr>
                  <w:tcW w:w="527" w:type="pct"/>
                  <w:tcBorders>
                    <w:bottom w:val="single" w:sz="6" w:space="0" w:color="BFBFBF"/>
                  </w:tcBorders>
                  <w:shd w:val="clear" w:color="auto" w:fill="auto"/>
                  <w:vAlign w:val="center"/>
                </w:tcPr>
                <w:p w14:paraId="7954C2B3" w14:textId="77777777" w:rsidR="00F05DC7" w:rsidRPr="002C531E" w:rsidRDefault="00F05DC7">
                  <w:pPr>
                    <w:pStyle w:val="TableBodyText"/>
                    <w:jc w:val="center"/>
                  </w:pPr>
                  <w:r>
                    <w:t>DWL</w:t>
                  </w:r>
                </w:p>
              </w:tc>
            </w:tr>
          </w:tbl>
          <w:p w14:paraId="7954C2B5" w14:textId="77777777" w:rsidR="00F05DC7" w:rsidRDefault="00F05DC7" w:rsidP="00A3786D">
            <w:pPr>
              <w:pStyle w:val="Box"/>
            </w:pPr>
          </w:p>
        </w:tc>
      </w:tr>
      <w:tr w:rsidR="00F05DC7" w14:paraId="7954C2B8" w14:textId="77777777" w:rsidTr="00A3786D">
        <w:tc>
          <w:tcPr>
            <w:tcW w:w="5000" w:type="pct"/>
            <w:tcBorders>
              <w:top w:val="nil"/>
              <w:left w:val="nil"/>
              <w:bottom w:val="nil"/>
              <w:right w:val="nil"/>
            </w:tcBorders>
            <w:shd w:val="clear" w:color="auto" w:fill="auto"/>
          </w:tcPr>
          <w:p w14:paraId="7954C2B7" w14:textId="77777777" w:rsidR="00F05DC7" w:rsidRDefault="00F05DC7">
            <w:pPr>
              <w:pStyle w:val="Note"/>
              <w:rPr>
                <w:i/>
              </w:rPr>
            </w:pPr>
            <w:r w:rsidRPr="008E77FE">
              <w:rPr>
                <w:rStyle w:val="NoteLabel"/>
              </w:rPr>
              <w:t>a</w:t>
            </w:r>
            <w:r>
              <w:t xml:space="preserve"> National welfare broadly refers to a utility function based on the consumption of private goods, government services, and leisure.</w:t>
            </w:r>
            <w:r w:rsidRPr="008E77FE">
              <w:rPr>
                <w:rStyle w:val="NoteLabel"/>
              </w:rPr>
              <w:t xml:space="preserve"> </w:t>
            </w:r>
            <w:r>
              <w:rPr>
                <w:rStyle w:val="NoteLabel"/>
              </w:rPr>
              <w:t>b</w:t>
            </w:r>
            <w:r>
              <w:t xml:space="preserve"> Refers to the assumptions used in these specific scenarios. </w:t>
            </w:r>
            <w:r>
              <w:rPr>
                <w:rStyle w:val="NoteLabel"/>
              </w:rPr>
              <w:t>c</w:t>
            </w:r>
            <w:r>
              <w:t> </w:t>
            </w:r>
            <w:r w:rsidRPr="00A63EFE">
              <w:rPr>
                <w:b/>
              </w:rPr>
              <w:t>CGE</w:t>
            </w:r>
            <w:r>
              <w:t xml:space="preserve"> computable general equilibrium modelling, </w:t>
            </w:r>
            <w:r w:rsidRPr="00A63EFE">
              <w:rPr>
                <w:b/>
              </w:rPr>
              <w:t>DWL</w:t>
            </w:r>
            <w:r>
              <w:t xml:space="preserve"> deadweight loss analysis.</w:t>
            </w:r>
          </w:p>
        </w:tc>
      </w:tr>
      <w:tr w:rsidR="00F05DC7" w14:paraId="7954C2BA" w14:textId="77777777" w:rsidTr="00A3786D">
        <w:tc>
          <w:tcPr>
            <w:tcW w:w="5000" w:type="pct"/>
            <w:tcBorders>
              <w:top w:val="nil"/>
              <w:left w:val="nil"/>
              <w:bottom w:val="nil"/>
              <w:right w:val="nil"/>
            </w:tcBorders>
            <w:shd w:val="clear" w:color="auto" w:fill="auto"/>
          </w:tcPr>
          <w:p w14:paraId="7954C2B9" w14:textId="585318DC" w:rsidR="00F05DC7" w:rsidRPr="000A26CD" w:rsidRDefault="00F05DC7" w:rsidP="00A3786D">
            <w:pPr>
              <w:pStyle w:val="Source"/>
              <w:rPr>
                <w:spacing w:val="-2"/>
              </w:rPr>
            </w:pPr>
            <w:r w:rsidRPr="000A26CD">
              <w:rPr>
                <w:i/>
                <w:spacing w:val="-2"/>
              </w:rPr>
              <w:t>Source</w:t>
            </w:r>
            <w:r>
              <w:rPr>
                <w:i/>
                <w:spacing w:val="-2"/>
              </w:rPr>
              <w:t>s</w:t>
            </w:r>
            <w:r w:rsidRPr="000A26CD">
              <w:rPr>
                <w:spacing w:val="-2"/>
              </w:rPr>
              <w:t>: Dixon, Picton and Rimmer (2002, 2005); Independent Economics (2012, 2015); Murphy (2015,</w:t>
            </w:r>
            <w:r>
              <w:rPr>
                <w:spacing w:val="-2"/>
              </w:rPr>
              <w:t> </w:t>
            </w:r>
            <w:r w:rsidRPr="000A26CD">
              <w:rPr>
                <w:spacing w:val="-2"/>
              </w:rPr>
              <w:t>2017).</w:t>
            </w:r>
          </w:p>
        </w:tc>
      </w:tr>
      <w:tr w:rsidR="00F05DC7" w14:paraId="7954C2BC" w14:textId="77777777" w:rsidTr="00A3786D">
        <w:tc>
          <w:tcPr>
            <w:tcW w:w="5000" w:type="pct"/>
            <w:tcBorders>
              <w:top w:val="nil"/>
              <w:left w:val="nil"/>
              <w:bottom w:val="single" w:sz="6" w:space="0" w:color="78A22F"/>
              <w:right w:val="nil"/>
            </w:tcBorders>
            <w:shd w:val="clear" w:color="auto" w:fill="auto"/>
          </w:tcPr>
          <w:p w14:paraId="7954C2BB" w14:textId="77777777" w:rsidR="00F05DC7" w:rsidRDefault="00F05DC7" w:rsidP="00A3786D">
            <w:pPr>
              <w:pStyle w:val="Box"/>
              <w:spacing w:before="0" w:line="120" w:lineRule="exact"/>
            </w:pPr>
          </w:p>
        </w:tc>
      </w:tr>
      <w:tr w:rsidR="00F05DC7" w:rsidRPr="000863A5" w14:paraId="7954C2BE" w14:textId="77777777" w:rsidTr="00A3786D">
        <w:tc>
          <w:tcPr>
            <w:tcW w:w="5000" w:type="pct"/>
            <w:tcBorders>
              <w:top w:val="single" w:sz="6" w:space="0" w:color="78A22F"/>
              <w:left w:val="nil"/>
              <w:bottom w:val="nil"/>
              <w:right w:val="nil"/>
            </w:tcBorders>
          </w:tcPr>
          <w:p w14:paraId="7954C2BD" w14:textId="77777777" w:rsidR="00F05DC7" w:rsidRPr="00626D32" w:rsidRDefault="00F05DC7" w:rsidP="00A3786D">
            <w:pPr>
              <w:pStyle w:val="BoxSpaceBelow"/>
            </w:pPr>
          </w:p>
        </w:tc>
      </w:tr>
    </w:tbl>
    <w:p w14:paraId="7954C2BF" w14:textId="39D2D528" w:rsidR="00F05DC7" w:rsidRDefault="00F05DC7" w:rsidP="00A3786D">
      <w:pPr>
        <w:pStyle w:val="BodyText"/>
      </w:pPr>
      <w:r>
        <w:t xml:space="preserve">In 2006, the Queensland Treasury engaged the Centre of Policy Studies to repeat the 2002 modelling under a different set of assumptions that the Treasury considered were more realistic — this included a more consistent approach to fiscally strong and weak States’ tax and spending decisions. In contrast to the earlier studies, these new assumptions produced results suggesting that a move to an EPC distribution would result in </w:t>
      </w:r>
      <w:r w:rsidRPr="00E94EFA">
        <w:t xml:space="preserve">a </w:t>
      </w:r>
      <w:r>
        <w:t xml:space="preserve">$620 million </w:t>
      </w:r>
      <w:r w:rsidRPr="006D20BE">
        <w:t>welfare</w:t>
      </w:r>
      <w:r w:rsidRPr="006A79D8">
        <w:rPr>
          <w:i/>
        </w:rPr>
        <w:t xml:space="preserve"> loss</w:t>
      </w:r>
      <w:r>
        <w:t xml:space="preserve"> </w:t>
      </w:r>
      <w:r w:rsidRPr="000C3F99">
        <w:rPr>
          <w:szCs w:val="24"/>
        </w:rPr>
        <w:t>(Queensland Treasury 2006; Tasmanian Government, sub. 28)</w:t>
      </w:r>
      <w:r>
        <w:t>.</w:t>
      </w:r>
    </w:p>
    <w:p w14:paraId="7954C2C0" w14:textId="59CCBE14" w:rsidR="00F05DC7" w:rsidRPr="00D2201F" w:rsidRDefault="00F05DC7" w:rsidP="00A3786D">
      <w:pPr>
        <w:pStyle w:val="Heading3"/>
      </w:pPr>
      <w:r w:rsidRPr="00D2201F">
        <w:lastRenderedPageBreak/>
        <w:t>Independent Economics (2012, 2015)</w:t>
      </w:r>
    </w:p>
    <w:p w14:paraId="7954C2C1" w14:textId="477FF5E4" w:rsidR="00F05DC7" w:rsidRDefault="00F05DC7" w:rsidP="00A3786D">
      <w:pPr>
        <w:pStyle w:val="BodyText"/>
      </w:pPr>
      <w:r>
        <w:t>Independent Economics </w:t>
      </w:r>
      <w:r w:rsidRPr="00DC0231">
        <w:t>(2012)</w:t>
      </w:r>
      <w:r>
        <w:t xml:space="preserve">, in work commissioned by the SA Government, constructed a </w:t>
      </w:r>
      <w:r w:rsidRPr="00702E30">
        <w:t xml:space="preserve">computable general equilibrium </w:t>
      </w:r>
      <w:r>
        <w:t>model that included several features of the Centre of Policy Studies model, in addition to some assumptions of their own (table D.1).</w:t>
      </w:r>
    </w:p>
    <w:p w14:paraId="7954C2C2" w14:textId="2F756107" w:rsidR="00F05DC7" w:rsidRDefault="00F05DC7" w:rsidP="00A3786D">
      <w:pPr>
        <w:pStyle w:val="BodyText"/>
      </w:pPr>
      <w:r>
        <w:t>Their study estimated that a move to a ‘modified’ EPC distribution system (in which equalisation for differences in States’ spending needs for Indigenous populations are retained) leads to a welfare loss of $295 million per year in 2009</w:t>
      </w:r>
      <w:r>
        <w:noBreakHyphen/>
        <w:t>10 terms. Independent Economics </w:t>
      </w:r>
      <w:r w:rsidRPr="00DC0231">
        <w:t>(2015)</w:t>
      </w:r>
      <w:r>
        <w:t xml:space="preserve"> updated this model to account for some further differences between States. They reported a welfare loss of $521 million associated with moving to a modified EPC system (in 2015</w:t>
      </w:r>
      <w:r>
        <w:noBreakHyphen/>
        <w:t xml:space="preserve">16 terms). They also found welfare losses associated with a move to a relativity floor of 0.75 and a scenario in which all payments to </w:t>
      </w:r>
      <w:r w:rsidRPr="001C47C3">
        <w:t>fiscally weaker</w:t>
      </w:r>
      <w:r>
        <w:t xml:space="preserve"> States were funded by additional Commonwealth taxation.</w:t>
      </w:r>
    </w:p>
    <w:p w14:paraId="7954C2C3" w14:textId="70C75641" w:rsidR="00F05DC7" w:rsidRPr="001C02A4" w:rsidRDefault="00F05DC7" w:rsidP="00A3786D">
      <w:pPr>
        <w:pStyle w:val="Heading3"/>
      </w:pPr>
      <w:r w:rsidRPr="001C02A4">
        <w:t>Murphy</w:t>
      </w:r>
      <w:r>
        <w:t> </w:t>
      </w:r>
      <w:r w:rsidRPr="001C02A4">
        <w:t>(2015, 2017)</w:t>
      </w:r>
    </w:p>
    <w:p w14:paraId="7954C2C4" w14:textId="4106CD1A" w:rsidR="00F05DC7" w:rsidRDefault="00F05DC7" w:rsidP="00A3786D">
      <w:pPr>
        <w:pStyle w:val="BodyText"/>
      </w:pPr>
      <w:r>
        <w:t>Chris Murphy (director of Independent Economics) re</w:t>
      </w:r>
      <w:r>
        <w:noBreakHyphen/>
        <w:t>examined the efficiency impacts of HFE using an alternative approach and applied it to additional scenarios. This involved developing a theoretical (‘optimal’) model of fiscal equalisation that builds on the framework of Boadway and Flatters </w:t>
      </w:r>
      <w:r w:rsidRPr="00491C8A">
        <w:t>(1982)</w:t>
      </w:r>
      <w:r>
        <w:t xml:space="preserve"> and Albouy </w:t>
      </w:r>
      <w:r w:rsidRPr="00491C8A">
        <w:t>(2012)</w:t>
      </w:r>
      <w:r>
        <w:t>. Roughly speaking, this equalisation formula only fully equalises States for source</w:t>
      </w:r>
      <w:r>
        <w:noBreakHyphen/>
        <w:t xml:space="preserve">based tax revenues (such as from mining royalties and land taxes), for the fixed costs of government and for differences in States’ demographic mixes. Other factors are subject to no or limited equalisation, so as not to distort price signals for migration (chapter 5). </w:t>
      </w:r>
    </w:p>
    <w:p w14:paraId="7954C2C5" w14:textId="6F4760EF" w:rsidR="00F05DC7" w:rsidRDefault="00F05DC7" w:rsidP="00A3786D">
      <w:pPr>
        <w:pStyle w:val="BodyText"/>
      </w:pPr>
      <w:r>
        <w:t>Murphy </w:t>
      </w:r>
      <w:r w:rsidRPr="00DC0231">
        <w:t>(2015)</w:t>
      </w:r>
      <w:r w:rsidRPr="00492A9E">
        <w:t xml:space="preserve"> </w:t>
      </w:r>
      <w:r>
        <w:t>estimated a welfare loss of $445 million (in 2015</w:t>
      </w:r>
      <w:r>
        <w:noBreakHyphen/>
        <w:t>16 terms) associated with a move from the current HFE system to a modified EPC scenario (as described above for Independent Economics). A move from the current HFE system to his ‘optimal’ scenario was estimated to lead to a welfare gain of $260 million.</w:t>
      </w:r>
      <w:r w:rsidRPr="00282527">
        <w:rPr>
          <w:rStyle w:val="FootnoteReference"/>
        </w:rPr>
        <w:footnoteReference w:id="26"/>
      </w:r>
    </w:p>
    <w:p w14:paraId="7954C2C6" w14:textId="5D649BC1" w:rsidR="00F05DC7" w:rsidRDefault="00F05DC7" w:rsidP="00A3786D">
      <w:pPr>
        <w:pStyle w:val="BodyText"/>
      </w:pPr>
      <w:r>
        <w:t>In a further extension, Murphy </w:t>
      </w:r>
      <w:r w:rsidRPr="0079359A">
        <w:t>(2017)</w:t>
      </w:r>
      <w:r>
        <w:t xml:space="preserve"> added more detail to the design of the ‘optimal’ equalisation approach. He also updated his estimates and added further equalisation scenarios. Compared to the current HFE system (in 2017</w:t>
      </w:r>
      <w:r>
        <w:noBreakHyphen/>
        <w:t>18 terms):</w:t>
      </w:r>
    </w:p>
    <w:p w14:paraId="7954C2C7" w14:textId="77777777" w:rsidR="00F05DC7" w:rsidRDefault="00F05DC7" w:rsidP="00A3786D">
      <w:pPr>
        <w:pStyle w:val="ListBullet"/>
      </w:pPr>
      <w:r>
        <w:t>a move to a modified EPC scenario is estimated to lead to an annual consumer welfare loss of $330 million</w:t>
      </w:r>
    </w:p>
    <w:p w14:paraId="7954C2C8" w14:textId="77777777" w:rsidR="00F05DC7" w:rsidRDefault="00F05DC7" w:rsidP="00A3786D">
      <w:pPr>
        <w:pStyle w:val="ListBullet"/>
      </w:pPr>
      <w:r>
        <w:t>a move to an EPC approach without equalisation for Indigeneity leads to a much larger welfare loss of more than $1 billion</w:t>
      </w:r>
    </w:p>
    <w:p w14:paraId="7954C2C9" w14:textId="77777777" w:rsidR="00F05DC7" w:rsidRDefault="00F05DC7" w:rsidP="00A3786D">
      <w:pPr>
        <w:pStyle w:val="ListBullet"/>
      </w:pPr>
      <w:r>
        <w:lastRenderedPageBreak/>
        <w:t>using a system of Commonwealth ‘grants’ to fund equalisation is estimated to reduce welfare by $100 million, while a 0.75 relativity floor scenario reduces welfare by $71 million</w:t>
      </w:r>
    </w:p>
    <w:p w14:paraId="7954C2CA" w14:textId="77777777" w:rsidR="00F05DC7" w:rsidRDefault="00F05DC7" w:rsidP="00A3786D">
      <w:pPr>
        <w:pStyle w:val="ListBullet"/>
      </w:pPr>
      <w:r>
        <w:t>in contrast, a scenario in which all equalisation transfers are discounted by 25 per cent (from the 2017</w:t>
      </w:r>
      <w:r>
        <w:noBreakHyphen/>
        <w:t>18 recommended relativities) is estimated to improve welfare by $48 million</w:t>
      </w:r>
    </w:p>
    <w:p w14:paraId="7954C2CB" w14:textId="77777777" w:rsidR="00F05DC7" w:rsidRDefault="00F05DC7" w:rsidP="00A3786D">
      <w:pPr>
        <w:pStyle w:val="ListBullet"/>
      </w:pPr>
      <w:r>
        <w:t>a move to the ‘optimal’ model is estimated to increase national welfare by $71 million.</w:t>
      </w:r>
    </w:p>
    <w:p w14:paraId="7954C2CC" w14:textId="77777777" w:rsidR="00F05DC7" w:rsidRDefault="00F05DC7" w:rsidP="00A3786D">
      <w:pPr>
        <w:pStyle w:val="Heading3"/>
      </w:pPr>
      <w:r>
        <w:t>Canadian</w:t>
      </w:r>
      <w:r w:rsidRPr="006328A3">
        <w:t xml:space="preserve"> </w:t>
      </w:r>
      <w:r>
        <w:t>empirical studies of the efficiency impacts of equalisation</w:t>
      </w:r>
    </w:p>
    <w:p w14:paraId="7954C2CD" w14:textId="77777777" w:rsidR="00F05DC7" w:rsidRDefault="00F05DC7" w:rsidP="00A3786D">
      <w:pPr>
        <w:pStyle w:val="BodyText"/>
      </w:pPr>
      <w:r w:rsidRPr="00D765BA">
        <w:t>Canadian studies find</w:t>
      </w:r>
      <w:r>
        <w:t xml:space="preserve"> mixed results </w:t>
      </w:r>
      <w:r w:rsidRPr="001423A8">
        <w:t>on the role of Canada’s system of equalisation</w:t>
      </w:r>
      <w:r w:rsidRPr="002C5626">
        <w:t xml:space="preserve">. </w:t>
      </w:r>
    </w:p>
    <w:p w14:paraId="7954C2CE" w14:textId="1751CD6A" w:rsidR="00F05DC7" w:rsidRPr="00D765BA" w:rsidRDefault="00F05DC7" w:rsidP="00A3786D">
      <w:pPr>
        <w:pStyle w:val="ListBullet"/>
      </w:pPr>
      <w:r w:rsidRPr="00D765BA">
        <w:t>An early study by Watson</w:t>
      </w:r>
      <w:r>
        <w:t> </w:t>
      </w:r>
      <w:r w:rsidRPr="00D765BA">
        <w:t>(1986) use</w:t>
      </w:r>
      <w:r>
        <w:t>d</w:t>
      </w:r>
      <w:r w:rsidRPr="00D765BA">
        <w:t xml:space="preserve"> </w:t>
      </w:r>
      <w:r>
        <w:t xml:space="preserve">a </w:t>
      </w:r>
      <w:r w:rsidRPr="00D765BA">
        <w:t xml:space="preserve">deadweight loss analysis to estimate small efficiency gains </w:t>
      </w:r>
      <w:r>
        <w:t xml:space="preserve">from its equalisation system of </w:t>
      </w:r>
      <w:r w:rsidRPr="00D765BA">
        <w:t>a</w:t>
      </w:r>
      <w:r>
        <w:t>bout</w:t>
      </w:r>
      <w:r w:rsidRPr="00D765BA">
        <w:t xml:space="preserve"> $1.4 million per year (in 1971</w:t>
      </w:r>
      <w:r>
        <w:t> </w:t>
      </w:r>
      <w:r w:rsidRPr="00D765BA">
        <w:t>Canadian dollars)</w:t>
      </w:r>
      <w:r>
        <w:t>,</w:t>
      </w:r>
      <w:r w:rsidRPr="00D765BA">
        <w:t xml:space="preserve"> below the costs of raising these funds.</w:t>
      </w:r>
    </w:p>
    <w:p w14:paraId="7954C2CF" w14:textId="6D465DFA" w:rsidR="00F05DC7" w:rsidRPr="00D765BA" w:rsidRDefault="00F05DC7" w:rsidP="00A3786D">
      <w:pPr>
        <w:pStyle w:val="ListBullet"/>
      </w:pPr>
      <w:r w:rsidRPr="00D765BA">
        <w:t>However, Wilson </w:t>
      </w:r>
      <w:r w:rsidRPr="00447902">
        <w:t>(2003)</w:t>
      </w:r>
      <w:r w:rsidRPr="00D765BA">
        <w:t xml:space="preserve"> was critical of some of </w:t>
      </w:r>
      <w:r>
        <w:t>Watson’s</w:t>
      </w:r>
      <w:r w:rsidRPr="00D765BA">
        <w:t xml:space="preserve"> assumptions and claim</w:t>
      </w:r>
      <w:r>
        <w:t>ed</w:t>
      </w:r>
      <w:r w:rsidRPr="00D765BA">
        <w:t xml:space="preserve"> that the efficiency gains were in fact much larger. He argue</w:t>
      </w:r>
      <w:r>
        <w:t>d</w:t>
      </w:r>
      <w:r w:rsidRPr="00D765BA">
        <w:t xml:space="preserve"> that when migration patterns are considered over a longer period (not just population movements in a single year) the efficiency gains would be </w:t>
      </w:r>
      <w:r>
        <w:t>about</w:t>
      </w:r>
      <w:r w:rsidRPr="00D765BA">
        <w:t xml:space="preserve"> $60.3</w:t>
      </w:r>
      <w:r>
        <w:t> </w:t>
      </w:r>
      <w:r w:rsidRPr="00D765BA">
        <w:t>million per year (in 1971 Canadian dollars).</w:t>
      </w:r>
    </w:p>
    <w:p w14:paraId="7954C2D0" w14:textId="26FA289A" w:rsidR="00F05DC7" w:rsidRDefault="00F05DC7" w:rsidP="00A3786D">
      <w:pPr>
        <w:pStyle w:val="ListBullet"/>
      </w:pPr>
      <w:r w:rsidRPr="00D765BA">
        <w:t>Albouy</w:t>
      </w:r>
      <w:r>
        <w:t> </w:t>
      </w:r>
      <w:r w:rsidRPr="00D765BA">
        <w:t>(2012) also use</w:t>
      </w:r>
      <w:r>
        <w:t>d</w:t>
      </w:r>
      <w:r w:rsidRPr="00D765BA">
        <w:t xml:space="preserve"> </w:t>
      </w:r>
      <w:r>
        <w:t xml:space="preserve">a </w:t>
      </w:r>
      <w:r w:rsidRPr="00D765BA">
        <w:t>deadweight loss analysis to estimate what he consider</w:t>
      </w:r>
      <w:r>
        <w:t>ed</w:t>
      </w:r>
      <w:r w:rsidRPr="00D765BA">
        <w:t xml:space="preserve"> to be </w:t>
      </w:r>
      <w:r>
        <w:t xml:space="preserve">the </w:t>
      </w:r>
      <w:r w:rsidRPr="00D765BA">
        <w:t xml:space="preserve">inefficiencies of Canada’s equalisation policies. </w:t>
      </w:r>
      <w:r>
        <w:t>These</w:t>
      </w:r>
      <w:r w:rsidRPr="00D765BA">
        <w:t xml:space="preserve"> include mining revenues</w:t>
      </w:r>
      <w:r>
        <w:t xml:space="preserve"> being equalised only partially</w:t>
      </w:r>
      <w:r w:rsidRPr="00D765BA">
        <w:t xml:space="preserve">, </w:t>
      </w:r>
      <w:r>
        <w:t xml:space="preserve">and the Atlantic and Prairie </w:t>
      </w:r>
      <w:r w:rsidRPr="00D765BA">
        <w:t xml:space="preserve">Provinces </w:t>
      </w:r>
      <w:r>
        <w:t xml:space="preserve">being compensated </w:t>
      </w:r>
      <w:r w:rsidRPr="00D765BA">
        <w:t>for having lower nominal tax capacit</w:t>
      </w:r>
      <w:r>
        <w:t>ies</w:t>
      </w:r>
      <w:r w:rsidRPr="00D765BA">
        <w:t>, even though cost</w:t>
      </w:r>
      <w:r>
        <w:t xml:space="preserve"> of living differences mean that</w:t>
      </w:r>
      <w:r w:rsidRPr="00D765BA">
        <w:t xml:space="preserve"> their real </w:t>
      </w:r>
      <w:r>
        <w:t>fiscal capabilit</w:t>
      </w:r>
      <w:r w:rsidRPr="00D765BA">
        <w:t>ies are the same</w:t>
      </w:r>
      <w:r>
        <w:t xml:space="preserve"> as the more populated Provinces</w:t>
      </w:r>
      <w:r w:rsidRPr="00D765BA">
        <w:t xml:space="preserve">. </w:t>
      </w:r>
      <w:r>
        <w:t>Albouy</w:t>
      </w:r>
      <w:r w:rsidRPr="00D765BA">
        <w:t xml:space="preserve"> estimate</w:t>
      </w:r>
      <w:r>
        <w:t>d</w:t>
      </w:r>
      <w:r w:rsidRPr="00D765BA">
        <w:t xml:space="preserve"> that these inefficiencies cost Canada $4.3</w:t>
      </w:r>
      <w:r>
        <w:t> </w:t>
      </w:r>
      <w:r w:rsidRPr="00D765BA">
        <w:t>billion per year (in 2001 Canadian dollars).</w:t>
      </w:r>
    </w:p>
    <w:p w14:paraId="7954C2D1" w14:textId="248F3AA0" w:rsidR="00F05DC7" w:rsidRDefault="00F05DC7" w:rsidP="00A3786D">
      <w:pPr>
        <w:pStyle w:val="Heading2"/>
      </w:pPr>
      <w:bookmarkStart w:id="125" w:name="_Toc513637750"/>
      <w:r>
        <w:t>D.</w:t>
      </w:r>
      <w:r>
        <w:rPr>
          <w:noProof/>
        </w:rPr>
        <w:t>2</w:t>
      </w:r>
      <w:r w:rsidRPr="001862EC">
        <w:tab/>
      </w:r>
      <w:r>
        <w:t>Limitations of the modelling</w:t>
      </w:r>
      <w:bookmarkEnd w:id="125"/>
    </w:p>
    <w:p w14:paraId="7954C2D2" w14:textId="77777777" w:rsidR="00F05DC7" w:rsidRDefault="00F05DC7" w:rsidP="00A3786D">
      <w:pPr>
        <w:pStyle w:val="BodyText"/>
      </w:pPr>
      <w:r>
        <w:t>There are limitations to such modelling exercises. As can be seen from the contrasting results of the studies described above, a model’s results can depend strongly on the specific assumptions made and the methodological approach. While certain assumptions are needed to simplify complex real world interactions, some are contentious. As a result, model outcomes depend critically on what underlying (often contentious) assumptions are first made about whether HFE improves or distorts migration decisions.</w:t>
      </w:r>
    </w:p>
    <w:p w14:paraId="7954C2D3" w14:textId="77777777" w:rsidR="00F05DC7" w:rsidRDefault="00F05DC7" w:rsidP="00A3786D">
      <w:pPr>
        <w:pStyle w:val="BodyText"/>
      </w:pPr>
      <w:r>
        <w:t>For example, assumptions about the behaviour of governments and people can drive the results, but the empirics of these behaviours are not well</w:t>
      </w:r>
      <w:r>
        <w:noBreakHyphen/>
        <w:t xml:space="preserve">known, and are generally determined </w:t>
      </w:r>
      <w:r w:rsidRPr="006D20BE">
        <w:rPr>
          <w:i/>
        </w:rPr>
        <w:t>outside</w:t>
      </w:r>
      <w:r>
        <w:t xml:space="preserve"> of the models. In a situation where changes in fiscal transfers lead to a reduction in a State’s revenue, it could encourage that State to borrow more, tax more, or spend less (and perhaps even become more efficient in delivering services). These different responses can have different impacts on overall efficiency.</w:t>
      </w:r>
    </w:p>
    <w:p w14:paraId="7954C2D4" w14:textId="77777777" w:rsidR="00F05DC7" w:rsidRDefault="00F05DC7" w:rsidP="00A3786D">
      <w:pPr>
        <w:pStyle w:val="BodyText"/>
      </w:pPr>
      <w:r>
        <w:lastRenderedPageBreak/>
        <w:t xml:space="preserve">Also, </w:t>
      </w:r>
      <w:r w:rsidRPr="00FE72E6">
        <w:t>State</w:t>
      </w:r>
      <w:r>
        <w:t>s are assumed to</w:t>
      </w:r>
      <w:r w:rsidRPr="00FE72E6">
        <w:t xml:space="preserve"> take their equalisation grants as given</w:t>
      </w:r>
      <w:r>
        <w:t xml:space="preserve"> in these models. That is, they</w:t>
      </w:r>
      <w:r w:rsidRPr="00FE72E6">
        <w:t xml:space="preserve"> do not engage in strategic behaviour or</w:t>
      </w:r>
      <w:r>
        <w:t xml:space="preserve"> face any impact on their incentives to develop their tax bases. Such incentives can also impact on the overall efficiency of HFE. However, such incentives</w:t>
      </w:r>
      <w:r w:rsidRPr="00B81627">
        <w:t xml:space="preserve"> </w:t>
      </w:r>
      <w:r>
        <w:t>would be very difficult to model and have not been included in any empirical modelling to date.</w:t>
      </w:r>
    </w:p>
    <w:p w14:paraId="7954C2D5" w14:textId="77777777" w:rsidR="00F05DC7" w:rsidRDefault="00F05DC7" w:rsidP="00A3786D">
      <w:pPr>
        <w:pStyle w:val="BodyText"/>
      </w:pPr>
      <w:r>
        <w:t>Overall, HFE can bear on efficiency through multiple channels that are not typically captured in a model. Jonathan Pincus (sub. DR96, pp. 2-3) argued that if the model is underpinned only by the assumption that HFE removes incentives for labour to respond to differences in States’ fiscal capacities, then it must show that HFE improves economic efficiency. However, he noted that the results may change if other possible inefficiencies of HFE are included, such as the disincentives for tax reform or development.</w:t>
      </w:r>
    </w:p>
    <w:p w14:paraId="7954C2D6" w14:textId="77777777" w:rsidR="00F05DC7" w:rsidRDefault="00F05DC7" w:rsidP="00A3786D">
      <w:pPr>
        <w:pStyle w:val="BodyText"/>
      </w:pPr>
      <w:r w:rsidRPr="00C51387">
        <w:t xml:space="preserve">In submissions to this inquiry, </w:t>
      </w:r>
      <w:r>
        <w:t>most</w:t>
      </w:r>
      <w:r w:rsidRPr="00C51387">
        <w:t xml:space="preserve"> </w:t>
      </w:r>
      <w:r>
        <w:t>stakeholders</w:t>
      </w:r>
      <w:r w:rsidRPr="00C51387">
        <w:t xml:space="preserve"> have </w:t>
      </w:r>
      <w:r>
        <w:t xml:space="preserve">questioned the use of </w:t>
      </w:r>
      <w:r w:rsidRPr="00C51387">
        <w:t>models</w:t>
      </w:r>
      <w:r>
        <w:t xml:space="preserve"> to assess the efficiency of HFE (box D.1). As noted in chapters 1 and 5, the Productivity Commission has not undertaken its own economy</w:t>
      </w:r>
      <w:r>
        <w:noBreakHyphen/>
        <w:t>wide modelling of the impacts of HFE. The small and ambiguous efficiency impacts found in past modelling attempts (computed on a basis relative to EPC), as well as the extensive work already carried out in Australia, do not make a strong case for further modelling as part of this inquiry.</w:t>
      </w:r>
    </w:p>
    <w:p w14:paraId="7954C2D7"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2D9" w14:textId="77777777" w:rsidTr="001113B1">
        <w:trPr>
          <w:tblHeader/>
        </w:trPr>
        <w:tc>
          <w:tcPr>
            <w:tcW w:w="5000" w:type="pct"/>
            <w:tcBorders>
              <w:top w:val="single" w:sz="6" w:space="0" w:color="78A22F"/>
              <w:left w:val="nil"/>
              <w:bottom w:val="nil"/>
              <w:right w:val="nil"/>
            </w:tcBorders>
            <w:shd w:val="clear" w:color="auto" w:fill="F2F2F2"/>
          </w:tcPr>
          <w:p w14:paraId="7954C2D8" w14:textId="59093C01" w:rsidR="00F05DC7" w:rsidRDefault="00F05DC7">
            <w:pPr>
              <w:pStyle w:val="BoxTitle"/>
            </w:pPr>
            <w:r>
              <w:rPr>
                <w:b w:val="0"/>
              </w:rPr>
              <w:t>Box D.</w:t>
            </w:r>
            <w:r>
              <w:rPr>
                <w:b w:val="0"/>
                <w:noProof/>
              </w:rPr>
              <w:t>1</w:t>
            </w:r>
            <w:r>
              <w:tab/>
              <w:t>Modelling HFE impacts: what participants say</w:t>
            </w:r>
          </w:p>
        </w:tc>
      </w:tr>
      <w:tr w:rsidR="00F05DC7" w14:paraId="7954C2E8" w14:textId="77777777" w:rsidTr="00A3786D">
        <w:tc>
          <w:tcPr>
            <w:tcW w:w="5000" w:type="pct"/>
            <w:tcBorders>
              <w:top w:val="nil"/>
              <w:left w:val="nil"/>
              <w:bottom w:val="nil"/>
              <w:right w:val="nil"/>
            </w:tcBorders>
            <w:shd w:val="clear" w:color="auto" w:fill="F2F2F2"/>
          </w:tcPr>
          <w:p w14:paraId="7954C2DA" w14:textId="77777777" w:rsidR="00F05DC7" w:rsidRDefault="00F05DC7" w:rsidP="00A3786D">
            <w:pPr>
              <w:pStyle w:val="Box"/>
            </w:pPr>
            <w:r>
              <w:t>The SA Government (sub. 25, p. 1) noted the important findings of the modelling work that it commissioned:</w:t>
            </w:r>
          </w:p>
          <w:p w14:paraId="7954C2DB" w14:textId="77777777" w:rsidR="00F05DC7" w:rsidRDefault="00F05DC7" w:rsidP="00A3786D">
            <w:pPr>
              <w:pStyle w:val="BoxQuote"/>
            </w:pPr>
            <w:r>
              <w:t>The efficiency impacts of the current system of HFE were the subject of a detailed review undertaken by Independent Economics … [the report] found that there would be a significant loss in overall national economic productivity if there was a departure from full HFE. This was a very important finding and represented a breakthrough in quantitative modelling in the Australian context.</w:t>
            </w:r>
          </w:p>
          <w:p w14:paraId="7954C2DC" w14:textId="77777777" w:rsidR="00F05DC7" w:rsidRDefault="00F05DC7" w:rsidP="00A3786D">
            <w:pPr>
              <w:pStyle w:val="Box"/>
            </w:pPr>
            <w:r>
              <w:t>Most other States, however, were more doubtful of the evidence from this sort of modelling. The ACT Government (sub. 49, p. 23) noted the importance of the underlying assumptions in modelling the efficiency effects of HFE:</w:t>
            </w:r>
          </w:p>
          <w:p w14:paraId="7954C2DD" w14:textId="77777777" w:rsidR="00F05DC7" w:rsidRDefault="00F05DC7" w:rsidP="00A3786D">
            <w:pPr>
              <w:pStyle w:val="BoxQuote"/>
            </w:pPr>
            <w:r>
              <w:t>There have been several attempts at quantifying welfare gains and losses from equalisation transfers. Some of the work has shown welfare gains due to equalisation, while other studies have found welfare losses as a result of equalisation. The differences in these findings depend significantly on the underlying theoretical assumptions.</w:t>
            </w:r>
          </w:p>
          <w:p w14:paraId="7954C2DE" w14:textId="77777777" w:rsidR="00F05DC7" w:rsidRDefault="00F05DC7" w:rsidP="00A3786D">
            <w:pPr>
              <w:pStyle w:val="Box"/>
            </w:pPr>
            <w:r>
              <w:t xml:space="preserve">The </w:t>
            </w:r>
            <w:r w:rsidRPr="00FE72E6">
              <w:t>WA Government (sub. 15</w:t>
            </w:r>
            <w:r>
              <w:t>, pp. 37–8</w:t>
            </w:r>
            <w:r w:rsidRPr="00FE72E6">
              <w:t xml:space="preserve">) was critical of the </w:t>
            </w:r>
            <w:r>
              <w:t>‘</w:t>
            </w:r>
            <w:r w:rsidRPr="00FE72E6">
              <w:t>essential limitations</w:t>
            </w:r>
            <w:r>
              <w:t>’</w:t>
            </w:r>
            <w:r w:rsidRPr="00FE72E6">
              <w:t xml:space="preserve"> of general equilibrium models. </w:t>
            </w:r>
            <w:r>
              <w:t xml:space="preserve">It </w:t>
            </w:r>
            <w:r w:rsidRPr="00FE72E6">
              <w:t>argue</w:t>
            </w:r>
            <w:r>
              <w:t>d that such models</w:t>
            </w:r>
            <w:r w:rsidRPr="00FE72E6">
              <w:t xml:space="preserve"> follow the presumption of ‘a world of timeless relationships’ and use simple production function</w:t>
            </w:r>
            <w:r>
              <w:t>s</w:t>
            </w:r>
            <w:r w:rsidRPr="00FE72E6">
              <w:t xml:space="preserve"> fixed by recent economic data that ‘can provide no guidance on long</w:t>
            </w:r>
            <w:r w:rsidRPr="00FE72E6">
              <w:noBreakHyphen/>
              <w:t>run efficiency’</w:t>
            </w:r>
            <w:r>
              <w:t xml:space="preserve">. </w:t>
            </w:r>
            <w:r w:rsidRPr="00C51387">
              <w:t>According</w:t>
            </w:r>
            <w:r>
              <w:t>ly:</w:t>
            </w:r>
          </w:p>
          <w:p w14:paraId="7954C2DF" w14:textId="77777777" w:rsidR="00F05DC7" w:rsidRPr="00367039" w:rsidRDefault="00F05DC7" w:rsidP="00A3786D">
            <w:pPr>
              <w:pStyle w:val="BoxQuote"/>
            </w:pPr>
            <w:r w:rsidRPr="00367039">
              <w:t>It is not technically feasible to develop a general equilibrium model that captures the efficiency impacts of HFE. Models that purport to do so demonstrate the effect of the assumptions, not what happens in practice.</w:t>
            </w:r>
            <w:r>
              <w:t xml:space="preserve"> (sub. 15, p. 31)</w:t>
            </w:r>
          </w:p>
          <w:p w14:paraId="7954C2E0" w14:textId="77777777" w:rsidR="00F05DC7" w:rsidRPr="00C51387" w:rsidRDefault="00F05DC7" w:rsidP="00A3786D">
            <w:pPr>
              <w:pStyle w:val="Box"/>
            </w:pPr>
            <w:r>
              <w:t>Similarly, t</w:t>
            </w:r>
            <w:r w:rsidRPr="00C51387">
              <w:t>he Victorian Government (</w:t>
            </w:r>
            <w:r>
              <w:t>s</w:t>
            </w:r>
            <w:r w:rsidRPr="00C51387">
              <w:t>ub.</w:t>
            </w:r>
            <w:r>
              <w:t> 53</w:t>
            </w:r>
            <w:r w:rsidRPr="00C51387">
              <w:t>, p.</w:t>
            </w:r>
            <w:r>
              <w:t> 4</w:t>
            </w:r>
            <w:r w:rsidRPr="00C51387">
              <w:t>) note</w:t>
            </w:r>
            <w:r>
              <w:t>d that</w:t>
            </w:r>
            <w:r w:rsidRPr="00C51387">
              <w:t>:</w:t>
            </w:r>
          </w:p>
          <w:p w14:paraId="7954C2E1" w14:textId="77777777" w:rsidR="00F05DC7" w:rsidRDefault="00F05DC7" w:rsidP="00A3786D">
            <w:pPr>
              <w:pStyle w:val="BoxQuote"/>
            </w:pPr>
            <w:r w:rsidRPr="00B358C1">
              <w:t>Computable general equilibrium models should not be used to assess the magnitude of any economic costs, given that these models are largely assumptions</w:t>
            </w:r>
            <w:r>
              <w:noBreakHyphen/>
            </w:r>
            <w:r w:rsidRPr="00B358C1">
              <w:t>driven. These models can show large differences in results, and/or contradictory results, when inputs and assumptions are changed slightly</w:t>
            </w:r>
            <w:r>
              <w:t>.</w:t>
            </w:r>
          </w:p>
          <w:p w14:paraId="7954C2E2" w14:textId="77777777" w:rsidR="00F05DC7" w:rsidRDefault="00F05DC7" w:rsidP="00A3786D">
            <w:pPr>
              <w:pStyle w:val="Box"/>
            </w:pPr>
            <w:r>
              <w:t>Jonathan Pincus (sub. DR96, p. 2) argued that the existing modelling did not capture the possible HFE</w:t>
            </w:r>
            <w:r>
              <w:noBreakHyphen/>
              <w:t xml:space="preserve">induced disincentives </w:t>
            </w:r>
            <w:r w:rsidRPr="00F26FD0">
              <w:t xml:space="preserve">for </w:t>
            </w:r>
            <w:r w:rsidRPr="00972254">
              <w:t>State tax reform or development</w:t>
            </w:r>
            <w:r w:rsidRPr="00F26FD0">
              <w:t>:</w:t>
            </w:r>
          </w:p>
          <w:p w14:paraId="7954C2E3" w14:textId="77777777" w:rsidR="00F05DC7" w:rsidRPr="002351A8" w:rsidRDefault="00F05DC7">
            <w:pPr>
              <w:pStyle w:val="BoxQuote"/>
            </w:pPr>
            <w:r>
              <w:t xml:space="preserve">… </w:t>
            </w:r>
            <w:r w:rsidRPr="002351A8">
              <w:t>no GCE model (to my knowledge) has included either of these two possible sources of inefficiency: they are ruled out by assumption, justified, if at all, by the technical difficulties of their inclusion, or by a priori theorising or casual empiricism and anecdote.</w:t>
            </w:r>
          </w:p>
          <w:p w14:paraId="7954C2E4" w14:textId="77777777" w:rsidR="00F05DC7" w:rsidRDefault="00F05DC7" w:rsidP="00A3786D">
            <w:pPr>
              <w:pStyle w:val="Box"/>
            </w:pPr>
            <w:r>
              <w:t>In contrast, the Minerals Council of Australia (sub. 48, p. 11) said that</w:t>
            </w:r>
            <w:r w:rsidRPr="009E78ED">
              <w:t xml:space="preserve"> </w:t>
            </w:r>
            <w:r>
              <w:t>further modelling would be valuable, despite its limitations:</w:t>
            </w:r>
          </w:p>
          <w:p w14:paraId="7954C2E5" w14:textId="77777777" w:rsidR="00F05DC7" w:rsidRDefault="00F05DC7" w:rsidP="00A3786D">
            <w:pPr>
              <w:pStyle w:val="BoxQuote"/>
            </w:pPr>
            <w:r w:rsidRPr="009E78ED">
              <w:t>Further modelling of fiscal equalisation in Australia would be valuable to measure the broad economic benefits of the existing system and any potential changes, but such modelling must be based on more realistic or empirically relevant assumptions that represent both the theory of efficient equalisation and the actual dis</w:t>
            </w:r>
            <w:r>
              <w:t>tribution system in Australia.</w:t>
            </w:r>
            <w:r w:rsidRPr="009E78ED">
              <w:t xml:space="preserve"> In particular, this modelling must consider the extent to which Australia is actually implementing HFE with its transfer methods and the impact of incentives on government behaviour.</w:t>
            </w:r>
          </w:p>
          <w:p w14:paraId="7954C2E6" w14:textId="77777777" w:rsidR="00F05DC7" w:rsidRDefault="00F05DC7" w:rsidP="00A3786D">
            <w:pPr>
              <w:pStyle w:val="Box"/>
            </w:pPr>
            <w:r>
              <w:t>The Parliamentary Liberal Party of WA (sub. 22, p. 5) also noted how the economic impact of HFE is likely to be felt most strongly at the State and regional level, rather than the national level:</w:t>
            </w:r>
          </w:p>
          <w:p w14:paraId="7954C2E7" w14:textId="77777777" w:rsidR="00F05DC7" w:rsidRPr="00983D73" w:rsidRDefault="00F05DC7" w:rsidP="00A3786D">
            <w:pPr>
              <w:pStyle w:val="BoxQuote"/>
            </w:pPr>
            <w:r>
              <w:t>The Productivity Commission Inquiry will no doubt do some modelling of the impact on the national economy, though the results are likely to be modest. The true impact is felt at a State or regional level. The recent experience of Western Australia is an obvious example.</w:t>
            </w:r>
          </w:p>
        </w:tc>
      </w:tr>
      <w:tr w:rsidR="00F05DC7" w14:paraId="7954C2EA" w14:textId="77777777" w:rsidTr="00A3786D">
        <w:tc>
          <w:tcPr>
            <w:tcW w:w="5000" w:type="pct"/>
            <w:tcBorders>
              <w:top w:val="nil"/>
              <w:left w:val="nil"/>
              <w:bottom w:val="single" w:sz="6" w:space="0" w:color="78A22F"/>
              <w:right w:val="nil"/>
            </w:tcBorders>
            <w:shd w:val="clear" w:color="auto" w:fill="F2F2F2"/>
          </w:tcPr>
          <w:p w14:paraId="7954C2E9" w14:textId="77777777" w:rsidR="00F05DC7" w:rsidRDefault="00F05DC7" w:rsidP="00A3786D">
            <w:pPr>
              <w:pStyle w:val="Box"/>
              <w:spacing w:before="0" w:line="120" w:lineRule="exact"/>
            </w:pPr>
          </w:p>
        </w:tc>
      </w:tr>
      <w:tr w:rsidR="00F05DC7" w:rsidRPr="000863A5" w14:paraId="7954C2EC" w14:textId="77777777" w:rsidTr="00A3786D">
        <w:tc>
          <w:tcPr>
            <w:tcW w:w="5000" w:type="pct"/>
            <w:tcBorders>
              <w:top w:val="single" w:sz="6" w:space="0" w:color="78A22F"/>
              <w:left w:val="nil"/>
              <w:bottom w:val="nil"/>
              <w:right w:val="nil"/>
            </w:tcBorders>
          </w:tcPr>
          <w:p w14:paraId="7954C2EB" w14:textId="77777777" w:rsidR="00F05DC7" w:rsidRPr="00626D32" w:rsidRDefault="00F05DC7" w:rsidP="00A3786D">
            <w:pPr>
              <w:pStyle w:val="BoxSpaceBelow"/>
            </w:pPr>
          </w:p>
        </w:tc>
      </w:tr>
    </w:tbl>
    <w:p w14:paraId="7954C2ED" w14:textId="77777777" w:rsidR="00F05DC7" w:rsidRDefault="00F05DC7" w:rsidP="00A3786D">
      <w:pPr>
        <w:pStyle w:val="BodyText"/>
      </w:pPr>
    </w:p>
    <w:p w14:paraId="7954C2EE" w14:textId="77777777" w:rsidR="00F05DC7" w:rsidRDefault="00F05DC7" w:rsidP="00F05DC7">
      <w:pPr>
        <w:sectPr w:rsidR="00F05DC7" w:rsidSect="00F05DC7">
          <w:headerReference w:type="even" r:id="rId192"/>
          <w:headerReference w:type="default" r:id="rId193"/>
          <w:footerReference w:type="even" r:id="rId194"/>
          <w:footerReference w:type="default" r:id="rId195"/>
          <w:type w:val="oddPage"/>
          <w:pgSz w:w="11907" w:h="16840" w:code="9"/>
          <w:pgMar w:top="1985" w:right="1304" w:bottom="1247" w:left="1814" w:header="1701" w:footer="397" w:gutter="0"/>
          <w:pgNumType w:chapSep="period"/>
          <w:cols w:space="720"/>
          <w:docGrid w:linePitch="326"/>
        </w:sectPr>
      </w:pPr>
    </w:p>
    <w:p w14:paraId="7954C2EF" w14:textId="77777777" w:rsidR="00F05DC7" w:rsidRDefault="00F05DC7" w:rsidP="00460F2D">
      <w:pPr>
        <w:pStyle w:val="Heading1"/>
      </w:pPr>
      <w:bookmarkStart w:id="126" w:name="_Toc513637751"/>
      <w:r>
        <w:lastRenderedPageBreak/>
        <w:t>E</w:t>
      </w:r>
      <w:r>
        <w:tab/>
      </w:r>
      <w:r w:rsidRPr="00460F2D">
        <w:rPr>
          <w:spacing w:val="-4"/>
        </w:rPr>
        <w:t>Fiscal equalisation in OECD countries</w:t>
      </w:r>
      <w:bookmarkEnd w:id="126"/>
    </w:p>
    <w:p w14:paraId="7954C2F0" w14:textId="77777777" w:rsidR="00F05DC7" w:rsidRDefault="00F05DC7" w:rsidP="00A3786D">
      <w:pPr>
        <w:pStyle w:val="BodyText"/>
        <w:spacing w:before="120"/>
      </w:pPr>
      <w:r>
        <w:t>OECD countries have a range of fiscal equalisation schemes in place. This appendix discusses the features of those schemes, how they equalise fiscal disparities, and whether there are any lessons for Australia.</w:t>
      </w:r>
    </w:p>
    <w:p w14:paraId="7954C2F1" w14:textId="5DFF988E" w:rsidR="00F05DC7" w:rsidRDefault="00F05DC7" w:rsidP="00A3786D">
      <w:pPr>
        <w:pStyle w:val="Heading2"/>
      </w:pPr>
      <w:bookmarkStart w:id="127" w:name="_Toc513637752"/>
      <w:r>
        <w:t>E.</w:t>
      </w:r>
      <w:r>
        <w:rPr>
          <w:noProof/>
        </w:rPr>
        <w:t>1</w:t>
      </w:r>
      <w:r>
        <w:tab/>
        <w:t>Features of fiscal equalisation</w:t>
      </w:r>
      <w:bookmarkEnd w:id="127"/>
    </w:p>
    <w:p w14:paraId="7954C2F2" w14:textId="77777777" w:rsidR="00F05DC7" w:rsidRDefault="00F05DC7" w:rsidP="00A3786D">
      <w:pPr>
        <w:pStyle w:val="Heading3"/>
        <w:spacing w:before="280"/>
      </w:pPr>
      <w:r>
        <w:t>Countries pursue different equalisation objectives</w:t>
      </w:r>
    </w:p>
    <w:p w14:paraId="7954C2F3" w14:textId="77777777" w:rsidR="00F05DC7" w:rsidRDefault="00F05DC7" w:rsidP="00A3786D">
      <w:pPr>
        <w:pStyle w:val="BodyText"/>
      </w:pPr>
      <w:r>
        <w:t>OECD countries exhibit considerable variation in the extent to which their equalisation schemes seek to reduce fiscal disparities among sub</w:t>
      </w:r>
      <w:r>
        <w:noBreakHyphen/>
        <w:t>central governments (table E.1). In part, this is a function of differences in how countries define ‘equalisation’. Australia, for example, interprets horizontal fiscal equalisation as the ‘full and comprehensive’ equalisation of both revenue raising capacity and expenditure needs (chapter 2). The Commonwealth Grants Commission (CGC) commented that ‘the principle [of HFE] has focused on the provision of financial support from the Commonwealth to ensure that each State has the same capacity to provide an equivalent standard of services to its residents’ (sub. 1, p. 3). By comparison:</w:t>
      </w:r>
    </w:p>
    <w:p w14:paraId="7954C2F4" w14:textId="77777777" w:rsidR="00F05DC7" w:rsidRDefault="00F05DC7" w:rsidP="00A3786D">
      <w:pPr>
        <w:pStyle w:val="ListBullet"/>
      </w:pPr>
      <w:r>
        <w:t>Canada seeks ‘reasonably comparable levels of public services at reasonably comparable levels of taxation across provinces’</w:t>
      </w:r>
    </w:p>
    <w:p w14:paraId="7954C2F5" w14:textId="77777777" w:rsidR="00F05DC7" w:rsidRDefault="00F05DC7" w:rsidP="00A3786D">
      <w:pPr>
        <w:pStyle w:val="ListBullet"/>
      </w:pPr>
      <w:r>
        <w:t>Germany aims ‘to equalise the differences in financial [revenue raising] capacity of states’</w:t>
      </w:r>
    </w:p>
    <w:p w14:paraId="7954C2F6" w14:textId="342CEB64" w:rsidR="00F05DC7" w:rsidRDefault="00F05DC7" w:rsidP="00A3786D">
      <w:pPr>
        <w:pStyle w:val="ListBullet"/>
      </w:pPr>
      <w:r>
        <w:t xml:space="preserve">Switzerland looks ‘to provide minimum acceptable levels of certain public services without much heavier tax burdens in some cantons than others’ </w:t>
      </w:r>
      <w:r w:rsidR="009D6331" w:rsidRPr="009D6331">
        <w:rPr>
          <w:szCs w:val="24"/>
        </w:rPr>
        <w:t>(Shah 2014, p. 9)</w:t>
      </w:r>
      <w:r>
        <w:t>.</w:t>
      </w:r>
    </w:p>
    <w:p w14:paraId="7954C2F7" w14:textId="38871868" w:rsidR="00F05DC7" w:rsidRDefault="00F05DC7" w:rsidP="00A3786D">
      <w:pPr>
        <w:pStyle w:val="BodyText"/>
      </w:pPr>
      <w:r>
        <w:t>Although ‘full’ equalisation largely eliminates fiscal disparities between sub</w:t>
      </w:r>
      <w:r>
        <w:noBreakHyphen/>
        <w:t xml:space="preserve">central governments, ‘partial’ equalisation’ (as pursued in most OECD countries) allows for greater emphasis to be placed on other criteria such as efficiency, transparency, accountability, simplicity and predictability </w:t>
      </w:r>
      <w:r w:rsidR="009D6331" w:rsidRPr="009D6331">
        <w:rPr>
          <w:szCs w:val="24"/>
        </w:rPr>
        <w:t>(Shah, sub. DR103, pp. 2-3; Boadway and Shah 2007, p. 36; Brumby, Carter and Greiner 2012a, pp. 44, 135)</w:t>
      </w:r>
      <w:r>
        <w:t>.</w:t>
      </w:r>
      <w:r w:rsidRPr="00F56BBF">
        <w:t xml:space="preserve"> </w:t>
      </w:r>
      <w:r>
        <w:t>The extent to which a country reduces fiscal disparities largely reflects the priorities of governments in regards to these criteria, taking into account wider institutional frameworks, political structures and economic constraints. This is discussed in the Australian context in chapter 6.</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2FA" w14:textId="77777777" w:rsidTr="00A3786D">
        <w:trPr>
          <w:tblHeader/>
        </w:trPr>
        <w:tc>
          <w:tcPr>
            <w:tcW w:w="5000" w:type="pct"/>
            <w:tcBorders>
              <w:top w:val="single" w:sz="6" w:space="0" w:color="78A22F"/>
              <w:left w:val="nil"/>
              <w:bottom w:val="nil"/>
              <w:right w:val="nil"/>
            </w:tcBorders>
            <w:shd w:val="clear" w:color="auto" w:fill="auto"/>
          </w:tcPr>
          <w:p w14:paraId="7954C2F8" w14:textId="7B1C95F2" w:rsidR="00F05DC7" w:rsidRDefault="00F05DC7" w:rsidP="00A3786D">
            <w:pPr>
              <w:pStyle w:val="TableTitle"/>
            </w:pPr>
            <w:r>
              <w:rPr>
                <w:b w:val="0"/>
              </w:rPr>
              <w:lastRenderedPageBreak/>
              <w:t>Table E.1</w:t>
            </w:r>
            <w:r>
              <w:tab/>
              <w:t>A comparison of fiscal equalisation systems</w:t>
            </w:r>
          </w:p>
          <w:p w14:paraId="7954C2F9" w14:textId="77777777" w:rsidR="00F05DC7" w:rsidRPr="00784A05" w:rsidRDefault="00F05DC7" w:rsidP="00A3786D">
            <w:pPr>
              <w:pStyle w:val="Subtitle"/>
            </w:pPr>
            <w:r>
              <w:t>Canada, Germany and Australia</w:t>
            </w:r>
          </w:p>
        </w:tc>
      </w:tr>
      <w:tr w:rsidR="00F05DC7" w14:paraId="7954C338"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90"/>
              <w:gridCol w:w="2335"/>
              <w:gridCol w:w="2215"/>
              <w:gridCol w:w="2465"/>
            </w:tblGrid>
            <w:tr w:rsidR="00F05DC7" w14:paraId="7954C2FF" w14:textId="77777777" w:rsidTr="00A3786D">
              <w:trPr>
                <w:tblHeader/>
              </w:trPr>
              <w:tc>
                <w:tcPr>
                  <w:tcW w:w="876" w:type="pct"/>
                  <w:tcBorders>
                    <w:top w:val="single" w:sz="6" w:space="0" w:color="BFBFBF"/>
                    <w:bottom w:val="single" w:sz="6" w:space="0" w:color="BFBFBF"/>
                  </w:tcBorders>
                  <w:shd w:val="clear" w:color="auto" w:fill="auto"/>
                  <w:tcMar>
                    <w:top w:w="28" w:type="dxa"/>
                  </w:tcMar>
                </w:tcPr>
                <w:p w14:paraId="7954C2FB" w14:textId="77777777" w:rsidR="00F05DC7" w:rsidRPr="00A14224" w:rsidRDefault="00F05DC7" w:rsidP="00A3786D">
                  <w:pPr>
                    <w:pStyle w:val="TableColumnHeading"/>
                    <w:jc w:val="left"/>
                  </w:pPr>
                </w:p>
              </w:tc>
              <w:tc>
                <w:tcPr>
                  <w:tcW w:w="1373" w:type="pct"/>
                  <w:tcBorders>
                    <w:top w:val="single" w:sz="6" w:space="0" w:color="BFBFBF"/>
                    <w:bottom w:val="single" w:sz="6" w:space="0" w:color="BFBFBF"/>
                  </w:tcBorders>
                </w:tcPr>
                <w:p w14:paraId="7954C2FC" w14:textId="77777777" w:rsidR="00F05DC7" w:rsidRPr="00A14224" w:rsidRDefault="00F05DC7" w:rsidP="00A3786D">
                  <w:pPr>
                    <w:pStyle w:val="TableColumnHeading"/>
                    <w:jc w:val="left"/>
                  </w:pPr>
                  <w:r w:rsidRPr="00A14224">
                    <w:t>Canada</w:t>
                  </w:r>
                </w:p>
              </w:tc>
              <w:tc>
                <w:tcPr>
                  <w:tcW w:w="1302" w:type="pct"/>
                  <w:tcBorders>
                    <w:top w:val="single" w:sz="6" w:space="0" w:color="BFBFBF"/>
                    <w:bottom w:val="single" w:sz="6" w:space="0" w:color="BFBFBF"/>
                  </w:tcBorders>
                  <w:shd w:val="clear" w:color="auto" w:fill="auto"/>
                  <w:tcMar>
                    <w:top w:w="28" w:type="dxa"/>
                  </w:tcMar>
                </w:tcPr>
                <w:p w14:paraId="7954C2FD" w14:textId="77777777" w:rsidR="00F05DC7" w:rsidRPr="00A14224" w:rsidRDefault="00F05DC7" w:rsidP="00A3786D">
                  <w:pPr>
                    <w:pStyle w:val="TableColumnHeading"/>
                    <w:jc w:val="left"/>
                  </w:pPr>
                  <w:r w:rsidRPr="00A14224">
                    <w:t>Germany</w:t>
                  </w:r>
                </w:p>
              </w:tc>
              <w:tc>
                <w:tcPr>
                  <w:tcW w:w="1449" w:type="pct"/>
                  <w:tcBorders>
                    <w:top w:val="single" w:sz="6" w:space="0" w:color="BFBFBF"/>
                    <w:bottom w:val="single" w:sz="6" w:space="0" w:color="BFBFBF"/>
                  </w:tcBorders>
                  <w:shd w:val="clear" w:color="auto" w:fill="auto"/>
                  <w:tcMar>
                    <w:top w:w="28" w:type="dxa"/>
                  </w:tcMar>
                </w:tcPr>
                <w:p w14:paraId="7954C2FE" w14:textId="77777777" w:rsidR="00F05DC7" w:rsidRPr="00A14224" w:rsidRDefault="00F05DC7" w:rsidP="00A3786D">
                  <w:pPr>
                    <w:pStyle w:val="TableColumnHeading"/>
                    <w:jc w:val="left"/>
                  </w:pPr>
                  <w:r w:rsidRPr="00A14224">
                    <w:t>Australia</w:t>
                  </w:r>
                </w:p>
              </w:tc>
            </w:tr>
            <w:tr w:rsidR="00F05DC7" w14:paraId="7954C304" w14:textId="77777777" w:rsidTr="00A3786D">
              <w:tc>
                <w:tcPr>
                  <w:tcW w:w="876" w:type="pct"/>
                  <w:tcBorders>
                    <w:top w:val="single" w:sz="6" w:space="0" w:color="BFBFBF"/>
                  </w:tcBorders>
                </w:tcPr>
                <w:p w14:paraId="7954C300" w14:textId="77777777" w:rsidR="00F05DC7" w:rsidRDefault="00F05DC7" w:rsidP="00A3786D">
                  <w:pPr>
                    <w:pStyle w:val="TableUnitsRow"/>
                    <w:jc w:val="left"/>
                  </w:pPr>
                  <w:r w:rsidRPr="00C16D75">
                    <w:t>Equalisation definition</w:t>
                  </w:r>
                </w:p>
              </w:tc>
              <w:tc>
                <w:tcPr>
                  <w:tcW w:w="1373" w:type="pct"/>
                  <w:tcBorders>
                    <w:top w:val="single" w:sz="6" w:space="0" w:color="BFBFBF"/>
                  </w:tcBorders>
                </w:tcPr>
                <w:p w14:paraId="7954C301" w14:textId="77777777" w:rsidR="00F05DC7" w:rsidRPr="00515310" w:rsidRDefault="00F05DC7" w:rsidP="00A3786D">
                  <w:pPr>
                    <w:pStyle w:val="TableBullet"/>
                    <w:rPr>
                      <w:sz w:val="17"/>
                      <w:szCs w:val="17"/>
                    </w:rPr>
                  </w:pPr>
                  <w:r w:rsidRPr="00515310">
                    <w:rPr>
                      <w:sz w:val="17"/>
                      <w:szCs w:val="17"/>
                    </w:rPr>
                    <w:t>Reasonably comparable levels of public services at reasonably comparable levels of taxation across provinces (constitutional)</w:t>
                  </w:r>
                  <w:r>
                    <w:rPr>
                      <w:sz w:val="17"/>
                      <w:szCs w:val="17"/>
                    </w:rPr>
                    <w:t>.</w:t>
                  </w:r>
                </w:p>
              </w:tc>
              <w:tc>
                <w:tcPr>
                  <w:tcW w:w="1302" w:type="pct"/>
                  <w:tcBorders>
                    <w:top w:val="single" w:sz="6" w:space="0" w:color="BFBFBF"/>
                  </w:tcBorders>
                </w:tcPr>
                <w:p w14:paraId="7954C302" w14:textId="77777777" w:rsidR="00F05DC7" w:rsidRPr="00515310" w:rsidRDefault="00F05DC7" w:rsidP="00A3786D">
                  <w:pPr>
                    <w:pStyle w:val="TableBullet"/>
                    <w:rPr>
                      <w:sz w:val="17"/>
                      <w:szCs w:val="17"/>
                    </w:rPr>
                  </w:pPr>
                  <w:r w:rsidRPr="00515310">
                    <w:rPr>
                      <w:sz w:val="17"/>
                      <w:szCs w:val="17"/>
                    </w:rPr>
                    <w:t>To equali</w:t>
                  </w:r>
                  <w:r>
                    <w:rPr>
                      <w:sz w:val="17"/>
                      <w:szCs w:val="17"/>
                    </w:rPr>
                    <w:t>s</w:t>
                  </w:r>
                  <w:r w:rsidRPr="00515310">
                    <w:rPr>
                      <w:sz w:val="17"/>
                      <w:szCs w:val="17"/>
                    </w:rPr>
                    <w:t>e the differences in financial capacity of</w:t>
                  </w:r>
                  <w:r>
                    <w:rPr>
                      <w:sz w:val="17"/>
                      <w:szCs w:val="17"/>
                    </w:rPr>
                    <w:t xml:space="preserve"> States</w:t>
                  </w:r>
                  <w:r w:rsidRPr="00515310">
                    <w:rPr>
                      <w:sz w:val="17"/>
                      <w:szCs w:val="17"/>
                    </w:rPr>
                    <w:t xml:space="preserve"> </w:t>
                  </w:r>
                  <w:r>
                    <w:rPr>
                      <w:sz w:val="17"/>
                      <w:szCs w:val="17"/>
                    </w:rPr>
                    <w:t>(</w:t>
                  </w:r>
                  <w:r w:rsidRPr="00B9070A">
                    <w:rPr>
                      <w:sz w:val="17"/>
                      <w:szCs w:val="17"/>
                    </w:rPr>
                    <w:t>Länder</w:t>
                  </w:r>
                  <w:r>
                    <w:rPr>
                      <w:sz w:val="17"/>
                      <w:szCs w:val="17"/>
                    </w:rPr>
                    <w:t>)</w:t>
                  </w:r>
                  <w:r w:rsidRPr="00B9070A">
                    <w:rPr>
                      <w:sz w:val="17"/>
                      <w:szCs w:val="17"/>
                    </w:rPr>
                    <w:t xml:space="preserve"> </w:t>
                  </w:r>
                  <w:r w:rsidRPr="00515310">
                    <w:rPr>
                      <w:sz w:val="17"/>
                      <w:szCs w:val="17"/>
                    </w:rPr>
                    <w:t>(constitutional).</w:t>
                  </w:r>
                </w:p>
              </w:tc>
              <w:tc>
                <w:tcPr>
                  <w:tcW w:w="1449" w:type="pct"/>
                  <w:tcBorders>
                    <w:top w:val="single" w:sz="6" w:space="0" w:color="BFBFBF"/>
                  </w:tcBorders>
                </w:tcPr>
                <w:p w14:paraId="7954C303" w14:textId="77777777" w:rsidR="00F05DC7" w:rsidRPr="00515310" w:rsidRDefault="00F05DC7" w:rsidP="00A3786D">
                  <w:pPr>
                    <w:pStyle w:val="TableBullet"/>
                    <w:rPr>
                      <w:sz w:val="17"/>
                      <w:szCs w:val="17"/>
                    </w:rPr>
                  </w:pPr>
                  <w:r w:rsidRPr="00515310">
                    <w:rPr>
                      <w:sz w:val="17"/>
                      <w:szCs w:val="17"/>
                    </w:rPr>
                    <w:t>States have the capacity to provide services at the same standard with same revenue effort and same operational efficiency (Federal law).</w:t>
                  </w:r>
                </w:p>
              </w:tc>
            </w:tr>
            <w:tr w:rsidR="00F05DC7" w14:paraId="7954C309" w14:textId="77777777" w:rsidTr="00A3786D">
              <w:tc>
                <w:tcPr>
                  <w:tcW w:w="876" w:type="pct"/>
                  <w:tcBorders>
                    <w:top w:val="single" w:sz="6" w:space="0" w:color="BFBFBF"/>
                  </w:tcBorders>
                </w:tcPr>
                <w:p w14:paraId="7954C305" w14:textId="77777777" w:rsidR="00F05DC7" w:rsidRPr="00C16D75" w:rsidRDefault="00F05DC7" w:rsidP="00A3786D">
                  <w:pPr>
                    <w:pStyle w:val="TableUnitsRow"/>
                    <w:jc w:val="left"/>
                  </w:pPr>
                  <w:r w:rsidRPr="00C16D75">
                    <w:t>Benchmark</w:t>
                  </w:r>
                </w:p>
              </w:tc>
              <w:tc>
                <w:tcPr>
                  <w:tcW w:w="1373" w:type="pct"/>
                  <w:tcBorders>
                    <w:top w:val="single" w:sz="6" w:space="0" w:color="BFBFBF"/>
                  </w:tcBorders>
                </w:tcPr>
                <w:p w14:paraId="7954C306" w14:textId="77777777" w:rsidR="00F05DC7" w:rsidRPr="00515310" w:rsidRDefault="00F05DC7" w:rsidP="00A3786D">
                  <w:pPr>
                    <w:pStyle w:val="TableBullet"/>
                    <w:rPr>
                      <w:sz w:val="17"/>
                      <w:szCs w:val="17"/>
                    </w:rPr>
                  </w:pPr>
                  <w:r>
                    <w:rPr>
                      <w:sz w:val="17"/>
                      <w:szCs w:val="17"/>
                    </w:rPr>
                    <w:t>Below average provinces e</w:t>
                  </w:r>
                  <w:r w:rsidRPr="00515310">
                    <w:rPr>
                      <w:sz w:val="17"/>
                      <w:szCs w:val="17"/>
                    </w:rPr>
                    <w:t>qualis</w:t>
                  </w:r>
                  <w:r>
                    <w:rPr>
                      <w:sz w:val="17"/>
                      <w:szCs w:val="17"/>
                    </w:rPr>
                    <w:t>ed</w:t>
                  </w:r>
                  <w:r w:rsidRPr="00515310">
                    <w:rPr>
                      <w:sz w:val="17"/>
                      <w:szCs w:val="17"/>
                    </w:rPr>
                    <w:t xml:space="preserve"> to the average fiscal capacity of all provincial governments. </w:t>
                  </w:r>
                </w:p>
              </w:tc>
              <w:tc>
                <w:tcPr>
                  <w:tcW w:w="1302" w:type="pct"/>
                  <w:tcBorders>
                    <w:top w:val="single" w:sz="6" w:space="0" w:color="BFBFBF"/>
                  </w:tcBorders>
                </w:tcPr>
                <w:p w14:paraId="7954C307" w14:textId="77777777" w:rsidR="00F05DC7" w:rsidRPr="00515310" w:rsidRDefault="00F05DC7" w:rsidP="00A3786D">
                  <w:pPr>
                    <w:pStyle w:val="TableBullet"/>
                    <w:rPr>
                      <w:sz w:val="17"/>
                      <w:szCs w:val="17"/>
                    </w:rPr>
                  </w:pPr>
                  <w:r w:rsidRPr="00515310">
                    <w:rPr>
                      <w:sz w:val="17"/>
                      <w:szCs w:val="17"/>
                    </w:rPr>
                    <w:t xml:space="preserve">Equalisation to ensure the </w:t>
                  </w:r>
                  <w:r>
                    <w:rPr>
                      <w:sz w:val="17"/>
                      <w:szCs w:val="17"/>
                    </w:rPr>
                    <w:t>financial</w:t>
                  </w:r>
                  <w:r w:rsidRPr="00515310">
                    <w:rPr>
                      <w:sz w:val="17"/>
                      <w:szCs w:val="17"/>
                    </w:rPr>
                    <w:t xml:space="preserve"> capacity of </w:t>
                  </w:r>
                  <w:r>
                    <w:rPr>
                      <w:sz w:val="17"/>
                      <w:szCs w:val="17"/>
                    </w:rPr>
                    <w:t>States</w:t>
                  </w:r>
                  <w:r w:rsidRPr="00B9070A">
                    <w:rPr>
                      <w:sz w:val="17"/>
                      <w:szCs w:val="17"/>
                    </w:rPr>
                    <w:t xml:space="preserve"> </w:t>
                  </w:r>
                  <w:r w:rsidRPr="00515310">
                    <w:rPr>
                      <w:sz w:val="17"/>
                      <w:szCs w:val="17"/>
                    </w:rPr>
                    <w:t>is not substan</w:t>
                  </w:r>
                  <w:r>
                    <w:rPr>
                      <w:sz w:val="17"/>
                      <w:szCs w:val="17"/>
                    </w:rPr>
                    <w:t>tially below the German average.</w:t>
                  </w:r>
                </w:p>
              </w:tc>
              <w:tc>
                <w:tcPr>
                  <w:tcW w:w="1449" w:type="pct"/>
                  <w:tcBorders>
                    <w:top w:val="single" w:sz="6" w:space="0" w:color="BFBFBF"/>
                  </w:tcBorders>
                </w:tcPr>
                <w:p w14:paraId="7954C308" w14:textId="77777777" w:rsidR="00F05DC7" w:rsidRPr="00515310" w:rsidRDefault="00F05DC7" w:rsidP="00005AF1">
                  <w:pPr>
                    <w:pStyle w:val="TableBullet"/>
                    <w:rPr>
                      <w:sz w:val="17"/>
                      <w:szCs w:val="17"/>
                    </w:rPr>
                  </w:pPr>
                  <w:r w:rsidRPr="00515310">
                    <w:rPr>
                      <w:sz w:val="17"/>
                      <w:szCs w:val="17"/>
                    </w:rPr>
                    <w:t>Equalisation t</w:t>
                  </w:r>
                  <w:r>
                    <w:rPr>
                      <w:sz w:val="17"/>
                      <w:szCs w:val="17"/>
                    </w:rPr>
                    <w:t>o the fiscally strongest State.</w:t>
                  </w:r>
                </w:p>
              </w:tc>
            </w:tr>
            <w:tr w:rsidR="00F05DC7" w14:paraId="7954C30E" w14:textId="77777777" w:rsidTr="00A3786D">
              <w:trPr>
                <w:trHeight w:val="1124"/>
              </w:trPr>
              <w:tc>
                <w:tcPr>
                  <w:tcW w:w="876" w:type="pct"/>
                  <w:tcBorders>
                    <w:top w:val="single" w:sz="6" w:space="0" w:color="BFBFBF"/>
                  </w:tcBorders>
                </w:tcPr>
                <w:p w14:paraId="7954C30A" w14:textId="77777777" w:rsidR="00F05DC7" w:rsidRPr="00C16D75" w:rsidRDefault="00F05DC7" w:rsidP="00A3786D">
                  <w:pPr>
                    <w:pStyle w:val="TableUnitsRow"/>
                    <w:jc w:val="left"/>
                  </w:pPr>
                  <w:r>
                    <w:t>Total funding pool determination</w:t>
                  </w:r>
                </w:p>
              </w:tc>
              <w:tc>
                <w:tcPr>
                  <w:tcW w:w="1373" w:type="pct"/>
                  <w:tcBorders>
                    <w:top w:val="single" w:sz="6" w:space="0" w:color="BFBFBF"/>
                  </w:tcBorders>
                </w:tcPr>
                <w:p w14:paraId="7954C30B" w14:textId="77777777" w:rsidR="00F05DC7" w:rsidRPr="00515310" w:rsidRDefault="00F05DC7" w:rsidP="00A3786D">
                  <w:pPr>
                    <w:pStyle w:val="TableBullet"/>
                    <w:rPr>
                      <w:sz w:val="17"/>
                      <w:szCs w:val="17"/>
                    </w:rPr>
                  </w:pPr>
                  <w:r w:rsidRPr="00515310">
                    <w:rPr>
                      <w:sz w:val="17"/>
                      <w:szCs w:val="17"/>
                    </w:rPr>
                    <w:t xml:space="preserve">Formula. Capped by </w:t>
                  </w:r>
                  <w:r w:rsidRPr="00515310">
                    <w:rPr>
                      <w:color w:val="000000"/>
                      <w:sz w:val="17"/>
                      <w:szCs w:val="17"/>
                      <w:shd w:val="clear" w:color="auto" w:fill="FFFFFF"/>
                    </w:rPr>
                    <w:t>three</w:t>
                  </w:r>
                  <w:r>
                    <w:rPr>
                      <w:color w:val="000000"/>
                      <w:sz w:val="17"/>
                      <w:szCs w:val="17"/>
                      <w:shd w:val="clear" w:color="auto" w:fill="FFFFFF"/>
                    </w:rPr>
                    <w:noBreakHyphen/>
                  </w:r>
                  <w:r w:rsidRPr="00515310">
                    <w:rPr>
                      <w:color w:val="000000"/>
                      <w:sz w:val="17"/>
                      <w:szCs w:val="17"/>
                      <w:shd w:val="clear" w:color="auto" w:fill="FFFFFF"/>
                    </w:rPr>
                    <w:t>year moving average rate of growth in nominal</w:t>
                  </w:r>
                  <w:r w:rsidRPr="00515310">
                    <w:rPr>
                      <w:rStyle w:val="apple-converted-space"/>
                      <w:color w:val="000000"/>
                      <w:sz w:val="17"/>
                      <w:szCs w:val="17"/>
                      <w:shd w:val="clear" w:color="auto" w:fill="FFFFFF"/>
                    </w:rPr>
                    <w:t xml:space="preserve"> </w:t>
                  </w:r>
                  <w:r w:rsidRPr="00515310">
                    <w:rPr>
                      <w:sz w:val="17"/>
                      <w:szCs w:val="17"/>
                    </w:rPr>
                    <w:t>GDP</w:t>
                  </w:r>
                  <w:r w:rsidRPr="00515310">
                    <w:rPr>
                      <w:color w:val="000000"/>
                      <w:sz w:val="17"/>
                      <w:szCs w:val="17"/>
                      <w:shd w:val="clear" w:color="auto" w:fill="FFFFFF"/>
                    </w:rPr>
                    <w:t>.</w:t>
                  </w:r>
                </w:p>
              </w:tc>
              <w:tc>
                <w:tcPr>
                  <w:tcW w:w="1302" w:type="pct"/>
                  <w:tcBorders>
                    <w:top w:val="single" w:sz="6" w:space="0" w:color="BFBFBF"/>
                  </w:tcBorders>
                </w:tcPr>
                <w:p w14:paraId="7954C30C" w14:textId="77777777" w:rsidR="00F05DC7" w:rsidRPr="00B3411B" w:rsidRDefault="00F05DC7" w:rsidP="00A3786D">
                  <w:pPr>
                    <w:pStyle w:val="TableBullet"/>
                    <w:rPr>
                      <w:sz w:val="17"/>
                      <w:szCs w:val="17"/>
                    </w:rPr>
                  </w:pPr>
                  <w:r w:rsidRPr="00515310">
                    <w:rPr>
                      <w:sz w:val="17"/>
                      <w:szCs w:val="17"/>
                    </w:rPr>
                    <w:t xml:space="preserve">Formula. Funding sources </w:t>
                  </w:r>
                  <w:r w:rsidRPr="00B9070A">
                    <w:rPr>
                      <w:sz w:val="17"/>
                      <w:szCs w:val="17"/>
                    </w:rPr>
                    <w:t xml:space="preserve">include the value added tax and </w:t>
                  </w:r>
                  <w:r>
                    <w:rPr>
                      <w:sz w:val="17"/>
                      <w:szCs w:val="17"/>
                    </w:rPr>
                    <w:t>States’</w:t>
                  </w:r>
                  <w:r w:rsidRPr="00B3411B">
                    <w:rPr>
                      <w:sz w:val="17"/>
                      <w:szCs w:val="17"/>
                    </w:rPr>
                    <w:t xml:space="preserve"> own source revenue (including their share of joint taxes).</w:t>
                  </w:r>
                </w:p>
              </w:tc>
              <w:tc>
                <w:tcPr>
                  <w:tcW w:w="1449" w:type="pct"/>
                  <w:tcBorders>
                    <w:top w:val="single" w:sz="6" w:space="0" w:color="BFBFBF"/>
                  </w:tcBorders>
                </w:tcPr>
                <w:p w14:paraId="7954C30D" w14:textId="77777777" w:rsidR="00F05DC7" w:rsidRPr="00515310" w:rsidRDefault="00F05DC7" w:rsidP="00A3786D">
                  <w:pPr>
                    <w:pStyle w:val="TableBullet"/>
                    <w:rPr>
                      <w:sz w:val="17"/>
                      <w:szCs w:val="17"/>
                    </w:rPr>
                  </w:pPr>
                  <w:r w:rsidRPr="00515310">
                    <w:rPr>
                      <w:sz w:val="17"/>
                      <w:szCs w:val="17"/>
                    </w:rPr>
                    <w:t>Capped by amount of revenue generated by Goods and Services Tax (GST)</w:t>
                  </w:r>
                  <w:r>
                    <w:rPr>
                      <w:sz w:val="17"/>
                      <w:szCs w:val="17"/>
                    </w:rPr>
                    <w:t>.</w:t>
                  </w:r>
                </w:p>
              </w:tc>
            </w:tr>
            <w:tr w:rsidR="00F05DC7" w14:paraId="7954C314" w14:textId="77777777" w:rsidTr="00A3786D">
              <w:tc>
                <w:tcPr>
                  <w:tcW w:w="876" w:type="pct"/>
                  <w:tcBorders>
                    <w:top w:val="single" w:sz="6" w:space="0" w:color="BFBFBF"/>
                  </w:tcBorders>
                </w:tcPr>
                <w:p w14:paraId="7954C30F" w14:textId="77777777" w:rsidR="00F05DC7" w:rsidRPr="00C16D75" w:rsidRDefault="00F05DC7" w:rsidP="00A3786D">
                  <w:pPr>
                    <w:pStyle w:val="TableUnitsRow"/>
                    <w:jc w:val="left"/>
                  </w:pPr>
                  <w:r>
                    <w:t>Sub</w:t>
                  </w:r>
                  <w:r>
                    <w:noBreakHyphen/>
                    <w:t>central governments</w:t>
                  </w:r>
                </w:p>
              </w:tc>
              <w:tc>
                <w:tcPr>
                  <w:tcW w:w="1373" w:type="pct"/>
                  <w:tcBorders>
                    <w:top w:val="single" w:sz="6" w:space="0" w:color="BFBFBF"/>
                  </w:tcBorders>
                </w:tcPr>
                <w:p w14:paraId="7954C310" w14:textId="333D86EE" w:rsidR="00F05DC7" w:rsidRDefault="00F05DC7" w:rsidP="00A3786D">
                  <w:pPr>
                    <w:pStyle w:val="TableBullet"/>
                    <w:rPr>
                      <w:sz w:val="17"/>
                      <w:szCs w:val="17"/>
                    </w:rPr>
                  </w:pPr>
                  <w:r w:rsidRPr="00515310">
                    <w:rPr>
                      <w:sz w:val="17"/>
                      <w:szCs w:val="17"/>
                    </w:rPr>
                    <w:t>All provincial governments are considered for the purpose of equalisation.</w:t>
                  </w:r>
                </w:p>
                <w:p w14:paraId="7954C311" w14:textId="77777777" w:rsidR="00F05DC7" w:rsidRPr="00515310" w:rsidRDefault="00F05DC7" w:rsidP="00A3786D">
                  <w:pPr>
                    <w:pStyle w:val="TableBullet"/>
                    <w:rPr>
                      <w:sz w:val="17"/>
                      <w:szCs w:val="17"/>
                    </w:rPr>
                  </w:pPr>
                  <w:r>
                    <w:rPr>
                      <w:sz w:val="17"/>
                      <w:szCs w:val="17"/>
                    </w:rPr>
                    <w:t>T</w:t>
                  </w:r>
                  <w:r w:rsidRPr="00515310">
                    <w:rPr>
                      <w:sz w:val="17"/>
                      <w:szCs w:val="17"/>
                    </w:rPr>
                    <w:t>erritories receive funding through a separate formula.</w:t>
                  </w:r>
                </w:p>
              </w:tc>
              <w:tc>
                <w:tcPr>
                  <w:tcW w:w="1302" w:type="pct"/>
                  <w:tcBorders>
                    <w:top w:val="single" w:sz="6" w:space="0" w:color="BFBFBF"/>
                  </w:tcBorders>
                </w:tcPr>
                <w:p w14:paraId="7954C312" w14:textId="69A2D224" w:rsidR="00F05DC7" w:rsidRPr="00515310" w:rsidRDefault="00F05DC7" w:rsidP="00A3786D">
                  <w:pPr>
                    <w:pStyle w:val="TableBullet"/>
                    <w:rPr>
                      <w:sz w:val="17"/>
                      <w:szCs w:val="17"/>
                    </w:rPr>
                  </w:pPr>
                  <w:r w:rsidRPr="00515310">
                    <w:rPr>
                      <w:sz w:val="17"/>
                      <w:szCs w:val="17"/>
                    </w:rPr>
                    <w:t xml:space="preserve">All </w:t>
                  </w:r>
                  <w:r>
                    <w:rPr>
                      <w:szCs w:val="24"/>
                    </w:rPr>
                    <w:t>States</w:t>
                  </w:r>
                  <w:r w:rsidR="00005AF1">
                    <w:rPr>
                      <w:szCs w:val="24"/>
                    </w:rPr>
                    <w:t>.</w:t>
                  </w:r>
                </w:p>
              </w:tc>
              <w:tc>
                <w:tcPr>
                  <w:tcW w:w="1449" w:type="pct"/>
                  <w:tcBorders>
                    <w:top w:val="single" w:sz="6" w:space="0" w:color="BFBFBF"/>
                  </w:tcBorders>
                </w:tcPr>
                <w:p w14:paraId="7954C313" w14:textId="77777777" w:rsidR="00F05DC7" w:rsidRPr="00515310" w:rsidRDefault="00F05DC7" w:rsidP="00A3786D">
                  <w:pPr>
                    <w:pStyle w:val="TableBullet"/>
                    <w:rPr>
                      <w:sz w:val="17"/>
                      <w:szCs w:val="17"/>
                    </w:rPr>
                  </w:pPr>
                  <w:r w:rsidRPr="00515310">
                    <w:rPr>
                      <w:sz w:val="17"/>
                      <w:szCs w:val="17"/>
                    </w:rPr>
                    <w:t>All States and Territories.</w:t>
                  </w:r>
                </w:p>
              </w:tc>
            </w:tr>
            <w:tr w:rsidR="00F05DC7" w14:paraId="7954C319" w14:textId="77777777" w:rsidTr="00A3786D">
              <w:tc>
                <w:tcPr>
                  <w:tcW w:w="876" w:type="pct"/>
                  <w:tcBorders>
                    <w:top w:val="single" w:sz="6" w:space="0" w:color="BFBFBF"/>
                  </w:tcBorders>
                </w:tcPr>
                <w:p w14:paraId="7954C315" w14:textId="77777777" w:rsidR="00F05DC7" w:rsidRDefault="00F05DC7" w:rsidP="00A3786D">
                  <w:pPr>
                    <w:pStyle w:val="TableUnitsRow"/>
                    <w:jc w:val="left"/>
                  </w:pPr>
                  <w:r w:rsidRPr="00C16D75">
                    <w:t>Institutional arrangements</w:t>
                  </w:r>
                </w:p>
              </w:tc>
              <w:tc>
                <w:tcPr>
                  <w:tcW w:w="1373" w:type="pct"/>
                  <w:tcBorders>
                    <w:top w:val="single" w:sz="6" w:space="0" w:color="BFBFBF"/>
                  </w:tcBorders>
                </w:tcPr>
                <w:p w14:paraId="7954C316" w14:textId="77777777" w:rsidR="00F05DC7" w:rsidRPr="00515310" w:rsidRDefault="00F05DC7" w:rsidP="00A3786D">
                  <w:pPr>
                    <w:pStyle w:val="TableBullet"/>
                    <w:rPr>
                      <w:sz w:val="17"/>
                      <w:szCs w:val="17"/>
                    </w:rPr>
                  </w:pPr>
                  <w:r w:rsidRPr="00515310">
                    <w:rPr>
                      <w:sz w:val="17"/>
                      <w:szCs w:val="17"/>
                    </w:rPr>
                    <w:t xml:space="preserve">Intergovernmental Committees. Primary legal responsibility rests with the federal government (Ministry of Finance) and final approval with the </w:t>
                  </w:r>
                  <w:r>
                    <w:rPr>
                      <w:sz w:val="17"/>
                      <w:szCs w:val="17"/>
                    </w:rPr>
                    <w:t>National P</w:t>
                  </w:r>
                  <w:r w:rsidRPr="00515310">
                    <w:rPr>
                      <w:sz w:val="17"/>
                      <w:szCs w:val="17"/>
                    </w:rPr>
                    <w:t>arliament</w:t>
                  </w:r>
                  <w:r>
                    <w:rPr>
                      <w:sz w:val="17"/>
                      <w:szCs w:val="17"/>
                    </w:rPr>
                    <w:t>.</w:t>
                  </w:r>
                </w:p>
              </w:tc>
              <w:tc>
                <w:tcPr>
                  <w:tcW w:w="1302" w:type="pct"/>
                  <w:tcBorders>
                    <w:top w:val="single" w:sz="6" w:space="0" w:color="BFBFBF"/>
                  </w:tcBorders>
                </w:tcPr>
                <w:p w14:paraId="7954C317" w14:textId="77777777" w:rsidR="00F05DC7" w:rsidRPr="00515310" w:rsidRDefault="00F05DC7" w:rsidP="00A3786D">
                  <w:pPr>
                    <w:pStyle w:val="TableBullet"/>
                    <w:rPr>
                      <w:sz w:val="17"/>
                      <w:szCs w:val="17"/>
                    </w:rPr>
                  </w:pPr>
                  <w:r w:rsidRPr="00515310">
                    <w:rPr>
                      <w:sz w:val="17"/>
                      <w:szCs w:val="17"/>
                    </w:rPr>
                    <w:t xml:space="preserve">Intergovernmental forum. Major decisions are reached </w:t>
                  </w:r>
                  <w:r>
                    <w:rPr>
                      <w:sz w:val="17"/>
                      <w:szCs w:val="17"/>
                    </w:rPr>
                    <w:t>by a forum of f</w:t>
                  </w:r>
                  <w:r w:rsidRPr="00515310">
                    <w:rPr>
                      <w:sz w:val="17"/>
                      <w:szCs w:val="17"/>
                    </w:rPr>
                    <w:t xml:space="preserve">ederal and </w:t>
                  </w:r>
                  <w:r>
                    <w:rPr>
                      <w:sz w:val="17"/>
                      <w:szCs w:val="17"/>
                    </w:rPr>
                    <w:t>state</w:t>
                  </w:r>
                  <w:r w:rsidRPr="00B9070A">
                    <w:rPr>
                      <w:sz w:val="17"/>
                      <w:szCs w:val="17"/>
                    </w:rPr>
                    <w:t xml:space="preserve"> </w:t>
                  </w:r>
                  <w:r w:rsidRPr="00515310">
                    <w:rPr>
                      <w:sz w:val="17"/>
                      <w:szCs w:val="17"/>
                    </w:rPr>
                    <w:t>leaders. Oversight provided by the Financial Planning Council</w:t>
                  </w:r>
                  <w:r>
                    <w:rPr>
                      <w:sz w:val="17"/>
                      <w:szCs w:val="17"/>
                    </w:rPr>
                    <w:t>.</w:t>
                  </w:r>
                </w:p>
              </w:tc>
              <w:tc>
                <w:tcPr>
                  <w:tcW w:w="1449" w:type="pct"/>
                  <w:tcBorders>
                    <w:top w:val="single" w:sz="6" w:space="0" w:color="BFBFBF"/>
                  </w:tcBorders>
                </w:tcPr>
                <w:p w14:paraId="7954C318" w14:textId="77777777" w:rsidR="00F05DC7" w:rsidRPr="00515310" w:rsidRDefault="00F05DC7" w:rsidP="00A3786D">
                  <w:pPr>
                    <w:pStyle w:val="TableBullet"/>
                    <w:rPr>
                      <w:sz w:val="17"/>
                      <w:szCs w:val="17"/>
                    </w:rPr>
                  </w:pPr>
                  <w:r w:rsidRPr="00515310">
                    <w:rPr>
                      <w:sz w:val="17"/>
                      <w:szCs w:val="17"/>
                    </w:rPr>
                    <w:t>Independent Government Agency (Commonwealth Grants Commission).</w:t>
                  </w:r>
                  <w:r>
                    <w:rPr>
                      <w:sz w:val="17"/>
                      <w:szCs w:val="17"/>
                    </w:rPr>
                    <w:t xml:space="preserve"> The Treasurer provides final approval of equalisation payments.</w:t>
                  </w:r>
                </w:p>
              </w:tc>
            </w:tr>
            <w:tr w:rsidR="00F05DC7" w14:paraId="7954C31E" w14:textId="77777777" w:rsidTr="00A3786D">
              <w:tc>
                <w:tcPr>
                  <w:tcW w:w="876" w:type="pct"/>
                  <w:tcBorders>
                    <w:top w:val="single" w:sz="6" w:space="0" w:color="BFBFBF"/>
                  </w:tcBorders>
                </w:tcPr>
                <w:p w14:paraId="7954C31A" w14:textId="77777777" w:rsidR="00F05DC7" w:rsidRPr="00C16D75" w:rsidRDefault="00F05DC7" w:rsidP="00A3786D">
                  <w:pPr>
                    <w:pStyle w:val="TableUnitsRow"/>
                    <w:jc w:val="left"/>
                  </w:pPr>
                  <w:r>
                    <w:t>Vertical and horizontal transfers</w:t>
                  </w:r>
                </w:p>
              </w:tc>
              <w:tc>
                <w:tcPr>
                  <w:tcW w:w="1373" w:type="pct"/>
                  <w:tcBorders>
                    <w:top w:val="single" w:sz="6" w:space="0" w:color="BFBFBF"/>
                  </w:tcBorders>
                </w:tcPr>
                <w:p w14:paraId="7954C31B" w14:textId="77777777" w:rsidR="00F05DC7" w:rsidRPr="00515310" w:rsidRDefault="00F05DC7" w:rsidP="00A3786D">
                  <w:pPr>
                    <w:pStyle w:val="TableBullet"/>
                    <w:rPr>
                      <w:sz w:val="17"/>
                      <w:szCs w:val="17"/>
                    </w:rPr>
                  </w:pPr>
                  <w:r w:rsidRPr="00515310">
                    <w:rPr>
                      <w:sz w:val="17"/>
                      <w:szCs w:val="17"/>
                    </w:rPr>
                    <w:t xml:space="preserve">Vertical </w:t>
                  </w:r>
                  <w:r>
                    <w:rPr>
                      <w:sz w:val="17"/>
                      <w:szCs w:val="17"/>
                    </w:rPr>
                    <w:t>transfers only</w:t>
                  </w:r>
                  <w:r w:rsidRPr="00515310">
                    <w:rPr>
                      <w:sz w:val="17"/>
                      <w:szCs w:val="17"/>
                    </w:rPr>
                    <w:t>.</w:t>
                  </w:r>
                </w:p>
              </w:tc>
              <w:tc>
                <w:tcPr>
                  <w:tcW w:w="1302" w:type="pct"/>
                  <w:tcBorders>
                    <w:top w:val="single" w:sz="6" w:space="0" w:color="BFBFBF"/>
                  </w:tcBorders>
                </w:tcPr>
                <w:p w14:paraId="7954C31C" w14:textId="77777777" w:rsidR="00F05DC7" w:rsidRPr="00515310" w:rsidRDefault="00F05DC7" w:rsidP="00A3786D">
                  <w:pPr>
                    <w:pStyle w:val="TableBullet"/>
                    <w:rPr>
                      <w:sz w:val="17"/>
                      <w:szCs w:val="17"/>
                    </w:rPr>
                  </w:pPr>
                  <w:r w:rsidRPr="00515310">
                    <w:rPr>
                      <w:sz w:val="17"/>
                      <w:szCs w:val="17"/>
                    </w:rPr>
                    <w:t>Both ver</w:t>
                  </w:r>
                  <w:r>
                    <w:rPr>
                      <w:sz w:val="17"/>
                      <w:szCs w:val="17"/>
                    </w:rPr>
                    <w:t>tical and horizontal transfers</w:t>
                  </w:r>
                  <w:r w:rsidRPr="00515310">
                    <w:rPr>
                      <w:sz w:val="17"/>
                      <w:szCs w:val="17"/>
                    </w:rPr>
                    <w:t xml:space="preserve">. </w:t>
                  </w:r>
                </w:p>
              </w:tc>
              <w:tc>
                <w:tcPr>
                  <w:tcW w:w="1449" w:type="pct"/>
                  <w:tcBorders>
                    <w:top w:val="single" w:sz="6" w:space="0" w:color="BFBFBF"/>
                  </w:tcBorders>
                </w:tcPr>
                <w:p w14:paraId="7954C31D" w14:textId="68C01239" w:rsidR="00F05DC7" w:rsidRPr="00515310" w:rsidRDefault="00F05DC7" w:rsidP="00A3786D">
                  <w:pPr>
                    <w:pStyle w:val="TableBullet"/>
                    <w:rPr>
                      <w:sz w:val="17"/>
                      <w:szCs w:val="17"/>
                    </w:rPr>
                  </w:pPr>
                  <w:r w:rsidRPr="00515310">
                    <w:rPr>
                      <w:sz w:val="17"/>
                      <w:szCs w:val="17"/>
                    </w:rPr>
                    <w:t xml:space="preserve">Vertical </w:t>
                  </w:r>
                  <w:r w:rsidR="00005AF1">
                    <w:rPr>
                      <w:sz w:val="17"/>
                      <w:szCs w:val="17"/>
                    </w:rPr>
                    <w:t>transfers only.</w:t>
                  </w:r>
                </w:p>
              </w:tc>
            </w:tr>
            <w:tr w:rsidR="00F05DC7" w14:paraId="7954C324" w14:textId="77777777" w:rsidTr="00A3786D">
              <w:tc>
                <w:tcPr>
                  <w:tcW w:w="876" w:type="pct"/>
                  <w:tcBorders>
                    <w:top w:val="single" w:sz="6" w:space="0" w:color="BFBFBF"/>
                  </w:tcBorders>
                </w:tcPr>
                <w:p w14:paraId="7954C31F" w14:textId="77777777" w:rsidR="00F05DC7" w:rsidRPr="00C16D75" w:rsidRDefault="00F05DC7" w:rsidP="00A3786D">
                  <w:pPr>
                    <w:pStyle w:val="TableUnitsRow"/>
                    <w:jc w:val="left"/>
                  </w:pPr>
                  <w:r w:rsidRPr="00C16D75">
                    <w:t>Cost and revenue equalisation</w:t>
                  </w:r>
                </w:p>
              </w:tc>
              <w:tc>
                <w:tcPr>
                  <w:tcW w:w="1373" w:type="pct"/>
                  <w:tcBorders>
                    <w:top w:val="single" w:sz="6" w:space="0" w:color="BFBFBF"/>
                  </w:tcBorders>
                </w:tcPr>
                <w:p w14:paraId="7954C320" w14:textId="77777777" w:rsidR="00F05DC7" w:rsidRDefault="00F05DC7" w:rsidP="00A3786D">
                  <w:pPr>
                    <w:pStyle w:val="TableBullet"/>
                    <w:rPr>
                      <w:sz w:val="17"/>
                      <w:szCs w:val="17"/>
                    </w:rPr>
                  </w:pPr>
                  <w:r>
                    <w:rPr>
                      <w:sz w:val="17"/>
                      <w:szCs w:val="17"/>
                    </w:rPr>
                    <w:t xml:space="preserve">Revenue </w:t>
                  </w:r>
                  <w:r w:rsidRPr="00692CFC">
                    <w:rPr>
                      <w:sz w:val="17"/>
                      <w:szCs w:val="17"/>
                    </w:rPr>
                    <w:t>equalisation only</w:t>
                  </w:r>
                  <w:r>
                    <w:rPr>
                      <w:sz w:val="17"/>
                      <w:szCs w:val="17"/>
                    </w:rPr>
                    <w:t xml:space="preserve"> for provincial governments.</w:t>
                  </w:r>
                </w:p>
                <w:p w14:paraId="7954C321" w14:textId="77777777" w:rsidR="00F05DC7" w:rsidRPr="00515310" w:rsidRDefault="00F05DC7" w:rsidP="00A3786D">
                  <w:pPr>
                    <w:pStyle w:val="TableBullet"/>
                    <w:rPr>
                      <w:sz w:val="17"/>
                      <w:szCs w:val="17"/>
                    </w:rPr>
                  </w:pPr>
                  <w:r w:rsidRPr="00692CFC">
                    <w:rPr>
                      <w:sz w:val="17"/>
                      <w:szCs w:val="17"/>
                    </w:rPr>
                    <w:t>Transfers to territories assess both revenue and expense needs.</w:t>
                  </w:r>
                </w:p>
              </w:tc>
              <w:tc>
                <w:tcPr>
                  <w:tcW w:w="1302" w:type="pct"/>
                  <w:tcBorders>
                    <w:top w:val="single" w:sz="6" w:space="0" w:color="BFBFBF"/>
                  </w:tcBorders>
                </w:tcPr>
                <w:p w14:paraId="7954C322" w14:textId="77777777" w:rsidR="00F05DC7" w:rsidRPr="00515310" w:rsidRDefault="00F05DC7" w:rsidP="00A3786D">
                  <w:pPr>
                    <w:pStyle w:val="TableBullet"/>
                    <w:rPr>
                      <w:sz w:val="17"/>
                      <w:szCs w:val="17"/>
                    </w:rPr>
                  </w:pPr>
                  <w:r w:rsidRPr="00692CFC">
                    <w:rPr>
                      <w:sz w:val="17"/>
                      <w:szCs w:val="17"/>
                    </w:rPr>
                    <w:t>Focus on revenue equalisation</w:t>
                  </w:r>
                  <w:r>
                    <w:rPr>
                      <w:sz w:val="17"/>
                      <w:szCs w:val="17"/>
                    </w:rPr>
                    <w:t xml:space="preserve">, with </w:t>
                  </w:r>
                  <w:r w:rsidRPr="00692CFC">
                    <w:rPr>
                      <w:sz w:val="17"/>
                      <w:szCs w:val="17"/>
                    </w:rPr>
                    <w:t>adjustments to account for population size</w:t>
                  </w:r>
                  <w:r>
                    <w:rPr>
                      <w:sz w:val="17"/>
                      <w:szCs w:val="17"/>
                    </w:rPr>
                    <w:t xml:space="preserve"> and density.</w:t>
                  </w:r>
                </w:p>
              </w:tc>
              <w:tc>
                <w:tcPr>
                  <w:tcW w:w="1449" w:type="pct"/>
                  <w:tcBorders>
                    <w:top w:val="single" w:sz="6" w:space="0" w:color="BFBFBF"/>
                  </w:tcBorders>
                </w:tcPr>
                <w:p w14:paraId="7954C323" w14:textId="77777777" w:rsidR="00F05DC7" w:rsidRPr="00515310" w:rsidRDefault="00F05DC7" w:rsidP="00A3786D">
                  <w:pPr>
                    <w:pStyle w:val="TableBullet"/>
                    <w:rPr>
                      <w:sz w:val="17"/>
                      <w:szCs w:val="17"/>
                    </w:rPr>
                  </w:pPr>
                  <w:r>
                    <w:rPr>
                      <w:sz w:val="17"/>
                      <w:szCs w:val="17"/>
                    </w:rPr>
                    <w:t>Both</w:t>
                  </w:r>
                  <w:r w:rsidRPr="00692CFC">
                    <w:rPr>
                      <w:sz w:val="17"/>
                      <w:szCs w:val="17"/>
                    </w:rPr>
                    <w:t xml:space="preserve"> revenue and cost equalisation</w:t>
                  </w:r>
                  <w:r>
                    <w:rPr>
                      <w:sz w:val="17"/>
                      <w:szCs w:val="17"/>
                    </w:rPr>
                    <w:t>.</w:t>
                  </w:r>
                </w:p>
              </w:tc>
            </w:tr>
            <w:tr w:rsidR="00F05DC7" w14:paraId="7954C32A" w14:textId="77777777" w:rsidTr="00A3786D">
              <w:tc>
                <w:tcPr>
                  <w:tcW w:w="876" w:type="pct"/>
                  <w:tcBorders>
                    <w:top w:val="single" w:sz="6" w:space="0" w:color="BFBFBF"/>
                  </w:tcBorders>
                </w:tcPr>
                <w:p w14:paraId="7954C325" w14:textId="77777777" w:rsidR="00F05DC7" w:rsidRPr="00C16D75" w:rsidRDefault="00F05DC7" w:rsidP="00A3786D">
                  <w:pPr>
                    <w:pStyle w:val="TableUnitsRow"/>
                    <w:jc w:val="left"/>
                  </w:pPr>
                  <w:r w:rsidRPr="00C16D75">
                    <w:t>Assessments</w:t>
                  </w:r>
                </w:p>
              </w:tc>
              <w:tc>
                <w:tcPr>
                  <w:tcW w:w="1373" w:type="pct"/>
                  <w:tcBorders>
                    <w:top w:val="single" w:sz="6" w:space="0" w:color="BFBFBF"/>
                  </w:tcBorders>
                </w:tcPr>
                <w:p w14:paraId="7954C326" w14:textId="77777777" w:rsidR="00F05DC7" w:rsidRDefault="00F05DC7" w:rsidP="00A3786D">
                  <w:pPr>
                    <w:pStyle w:val="TableBullet"/>
                    <w:rPr>
                      <w:sz w:val="17"/>
                      <w:szCs w:val="17"/>
                    </w:rPr>
                  </w:pPr>
                  <w:r w:rsidRPr="00DA062D">
                    <w:rPr>
                      <w:sz w:val="17"/>
                      <w:szCs w:val="17"/>
                    </w:rPr>
                    <w:t xml:space="preserve">Representative tax system </w:t>
                  </w:r>
                  <w:r>
                    <w:rPr>
                      <w:sz w:val="17"/>
                      <w:szCs w:val="17"/>
                    </w:rPr>
                    <w:t>(5 revenue categories).</w:t>
                  </w:r>
                </w:p>
                <w:p w14:paraId="7954C327" w14:textId="77777777" w:rsidR="00F05DC7" w:rsidRPr="00DA062D" w:rsidRDefault="00F05DC7" w:rsidP="00A3786D">
                  <w:pPr>
                    <w:pStyle w:val="TableBullet"/>
                    <w:rPr>
                      <w:sz w:val="17"/>
                      <w:szCs w:val="17"/>
                    </w:rPr>
                  </w:pPr>
                  <w:r w:rsidRPr="00DA062D">
                    <w:rPr>
                      <w:sz w:val="17"/>
                      <w:szCs w:val="17"/>
                    </w:rPr>
                    <w:t xml:space="preserve">Natural resources are partially included and assessed </w:t>
                  </w:r>
                  <w:r>
                    <w:rPr>
                      <w:sz w:val="17"/>
                      <w:szCs w:val="17"/>
                    </w:rPr>
                    <w:t xml:space="preserve">based </w:t>
                  </w:r>
                  <w:r w:rsidRPr="00DA062D">
                    <w:rPr>
                      <w:sz w:val="17"/>
                      <w:szCs w:val="17"/>
                    </w:rPr>
                    <w:t>on actual revenues.</w:t>
                  </w:r>
                </w:p>
              </w:tc>
              <w:tc>
                <w:tcPr>
                  <w:tcW w:w="1302" w:type="pct"/>
                  <w:tcBorders>
                    <w:top w:val="single" w:sz="6" w:space="0" w:color="BFBFBF"/>
                  </w:tcBorders>
                </w:tcPr>
                <w:p w14:paraId="7954C328" w14:textId="77777777" w:rsidR="00F05DC7" w:rsidRPr="00DA062D" w:rsidRDefault="00F05DC7" w:rsidP="00A3786D">
                  <w:pPr>
                    <w:pStyle w:val="TableBullet"/>
                    <w:rPr>
                      <w:sz w:val="17"/>
                      <w:szCs w:val="17"/>
                    </w:rPr>
                  </w:pPr>
                  <w:r w:rsidRPr="00DA062D">
                    <w:rPr>
                      <w:sz w:val="17"/>
                      <w:szCs w:val="17"/>
                    </w:rPr>
                    <w:t>Financial capacity is based on actual revenue</w:t>
                  </w:r>
                  <w:r w:rsidRPr="00B9070A">
                    <w:rPr>
                      <w:sz w:val="17"/>
                      <w:szCs w:val="17"/>
                    </w:rPr>
                    <w:t xml:space="preserve">s — </w:t>
                  </w:r>
                  <w:r>
                    <w:rPr>
                      <w:sz w:val="17"/>
                      <w:szCs w:val="17"/>
                    </w:rPr>
                    <w:t>States</w:t>
                  </w:r>
                  <w:r w:rsidRPr="00B9070A">
                    <w:rPr>
                      <w:sz w:val="17"/>
                      <w:szCs w:val="17"/>
                    </w:rPr>
                    <w:t>’</w:t>
                  </w:r>
                  <w:r>
                    <w:rPr>
                      <w:sz w:val="17"/>
                      <w:szCs w:val="17"/>
                    </w:rPr>
                    <w:t xml:space="preserve"> </w:t>
                  </w:r>
                  <w:r w:rsidRPr="00DA062D">
                    <w:rPr>
                      <w:sz w:val="17"/>
                      <w:szCs w:val="17"/>
                    </w:rPr>
                    <w:t>tax receipts and 64% of the sum of receipts of its local authorities.</w:t>
                  </w:r>
                </w:p>
              </w:tc>
              <w:tc>
                <w:tcPr>
                  <w:tcW w:w="1449" w:type="pct"/>
                  <w:tcBorders>
                    <w:top w:val="single" w:sz="6" w:space="0" w:color="BFBFBF"/>
                  </w:tcBorders>
                </w:tcPr>
                <w:p w14:paraId="7954C329" w14:textId="77777777" w:rsidR="00F05DC7" w:rsidRPr="00DA062D" w:rsidRDefault="00F05DC7" w:rsidP="00A3786D">
                  <w:pPr>
                    <w:pStyle w:val="TableBullet"/>
                    <w:rPr>
                      <w:sz w:val="17"/>
                      <w:szCs w:val="17"/>
                    </w:rPr>
                  </w:pPr>
                  <w:r w:rsidRPr="009F1164">
                    <w:rPr>
                      <w:sz w:val="17"/>
                      <w:szCs w:val="17"/>
                    </w:rPr>
                    <w:t>Both representative revenue and expenditure systems.</w:t>
                  </w:r>
                  <w:r w:rsidRPr="00DA062D">
                    <w:rPr>
                      <w:sz w:val="17"/>
                      <w:szCs w:val="17"/>
                    </w:rPr>
                    <w:t xml:space="preserve"> Considerably detailed and complex calculations. Mining revenue</w:t>
                  </w:r>
                  <w:r>
                    <w:rPr>
                      <w:sz w:val="17"/>
                      <w:szCs w:val="17"/>
                    </w:rPr>
                    <w:t>s</w:t>
                  </w:r>
                  <w:r w:rsidRPr="00DA062D">
                    <w:rPr>
                      <w:sz w:val="17"/>
                      <w:szCs w:val="17"/>
                    </w:rPr>
                    <w:t xml:space="preserve"> are assessed based on internal standards and are fully included.</w:t>
                  </w:r>
                </w:p>
              </w:tc>
            </w:tr>
            <w:tr w:rsidR="00F05DC7" w14:paraId="7954C32F" w14:textId="77777777" w:rsidTr="00A3786D">
              <w:tc>
                <w:tcPr>
                  <w:tcW w:w="876" w:type="pct"/>
                  <w:tcBorders>
                    <w:top w:val="single" w:sz="6" w:space="0" w:color="BFBFBF"/>
                    <w:bottom w:val="single" w:sz="6" w:space="0" w:color="BFBFBF"/>
                  </w:tcBorders>
                </w:tcPr>
                <w:p w14:paraId="7954C32B" w14:textId="77777777" w:rsidR="00F05DC7" w:rsidRPr="00C16D75" w:rsidRDefault="00F05DC7" w:rsidP="00A3786D">
                  <w:pPr>
                    <w:pStyle w:val="TableUnitsRow"/>
                    <w:jc w:val="left"/>
                  </w:pPr>
                  <w:r w:rsidRPr="00C16D75">
                    <w:t>Contemporaneity</w:t>
                  </w:r>
                </w:p>
              </w:tc>
              <w:tc>
                <w:tcPr>
                  <w:tcW w:w="1373" w:type="pct"/>
                  <w:tcBorders>
                    <w:top w:val="single" w:sz="6" w:space="0" w:color="BFBFBF"/>
                    <w:bottom w:val="single" w:sz="6" w:space="0" w:color="BFBFBF"/>
                  </w:tcBorders>
                </w:tcPr>
                <w:p w14:paraId="7954C32C" w14:textId="77777777" w:rsidR="00F05DC7" w:rsidRPr="00692CFC" w:rsidRDefault="00F05DC7" w:rsidP="00A3786D">
                  <w:pPr>
                    <w:pStyle w:val="TableBullet"/>
                    <w:rPr>
                      <w:sz w:val="17"/>
                      <w:szCs w:val="17"/>
                    </w:rPr>
                  </w:pPr>
                  <w:r>
                    <w:rPr>
                      <w:sz w:val="17"/>
                      <w:szCs w:val="17"/>
                    </w:rPr>
                    <w:t>T</w:t>
                  </w:r>
                  <w:r w:rsidRPr="00692CFC">
                    <w:rPr>
                      <w:sz w:val="17"/>
                      <w:szCs w:val="17"/>
                    </w:rPr>
                    <w:t>hree</w:t>
                  </w:r>
                  <w:r w:rsidRPr="00692CFC">
                    <w:rPr>
                      <w:sz w:val="17"/>
                      <w:szCs w:val="17"/>
                    </w:rPr>
                    <w:noBreakHyphen/>
                    <w:t>year weighted moving average of measured fiscal capacities with a two</w:t>
                  </w:r>
                  <w:r w:rsidRPr="00692CFC">
                    <w:rPr>
                      <w:sz w:val="17"/>
                      <w:szCs w:val="17"/>
                    </w:rPr>
                    <w:noBreakHyphen/>
                    <w:t>year lag</w:t>
                  </w:r>
                  <w:r>
                    <w:rPr>
                      <w:sz w:val="17"/>
                      <w:szCs w:val="17"/>
                    </w:rPr>
                    <w:t>.</w:t>
                  </w:r>
                </w:p>
              </w:tc>
              <w:tc>
                <w:tcPr>
                  <w:tcW w:w="1302" w:type="pct"/>
                  <w:tcBorders>
                    <w:top w:val="single" w:sz="6" w:space="0" w:color="BFBFBF"/>
                    <w:bottom w:val="single" w:sz="6" w:space="0" w:color="BFBFBF"/>
                  </w:tcBorders>
                </w:tcPr>
                <w:p w14:paraId="7954C32D" w14:textId="77777777" w:rsidR="00F05DC7" w:rsidRPr="00692CFC" w:rsidRDefault="00F05DC7" w:rsidP="00A3786D">
                  <w:pPr>
                    <w:pStyle w:val="TableBullet"/>
                    <w:rPr>
                      <w:sz w:val="17"/>
                      <w:szCs w:val="17"/>
                    </w:rPr>
                  </w:pPr>
                  <w:r>
                    <w:rPr>
                      <w:sz w:val="17"/>
                      <w:szCs w:val="17"/>
                    </w:rPr>
                    <w:t>Payments based on financial capacity in a given year.</w:t>
                  </w:r>
                </w:p>
              </w:tc>
              <w:tc>
                <w:tcPr>
                  <w:tcW w:w="1449" w:type="pct"/>
                  <w:tcBorders>
                    <w:top w:val="single" w:sz="6" w:space="0" w:color="BFBFBF"/>
                    <w:bottom w:val="single" w:sz="6" w:space="0" w:color="BFBFBF"/>
                  </w:tcBorders>
                </w:tcPr>
                <w:p w14:paraId="7954C32E" w14:textId="77777777" w:rsidR="00F05DC7" w:rsidRPr="00692CFC" w:rsidRDefault="00F05DC7" w:rsidP="00A3786D">
                  <w:pPr>
                    <w:pStyle w:val="TableBullet"/>
                    <w:rPr>
                      <w:sz w:val="17"/>
                      <w:szCs w:val="17"/>
                    </w:rPr>
                  </w:pPr>
                  <w:r>
                    <w:rPr>
                      <w:sz w:val="17"/>
                      <w:szCs w:val="17"/>
                    </w:rPr>
                    <w:t>T</w:t>
                  </w:r>
                  <w:r w:rsidRPr="00692CFC">
                    <w:rPr>
                      <w:sz w:val="17"/>
                      <w:szCs w:val="17"/>
                    </w:rPr>
                    <w:t>hree</w:t>
                  </w:r>
                  <w:r w:rsidRPr="00692CFC">
                    <w:rPr>
                      <w:sz w:val="17"/>
                      <w:szCs w:val="17"/>
                    </w:rPr>
                    <w:noBreakHyphen/>
                    <w:t>year weighted moving average</w:t>
                  </w:r>
                  <w:r>
                    <w:rPr>
                      <w:sz w:val="17"/>
                      <w:szCs w:val="17"/>
                    </w:rPr>
                    <w:t xml:space="preserve"> of measured fiscal capacities and </w:t>
                  </w:r>
                  <w:r w:rsidRPr="00692CFC">
                    <w:rPr>
                      <w:sz w:val="17"/>
                      <w:szCs w:val="17"/>
                    </w:rPr>
                    <w:t>expense needs with a two</w:t>
                  </w:r>
                  <w:r w:rsidRPr="00692CFC">
                    <w:rPr>
                      <w:sz w:val="17"/>
                      <w:szCs w:val="17"/>
                    </w:rPr>
                    <w:noBreakHyphen/>
                    <w:t>year lag</w:t>
                  </w:r>
                  <w:r>
                    <w:rPr>
                      <w:sz w:val="17"/>
                      <w:szCs w:val="17"/>
                    </w:rPr>
                    <w:t>.</w:t>
                  </w:r>
                </w:p>
              </w:tc>
            </w:tr>
            <w:tr w:rsidR="00F05DC7" w14:paraId="7954C336" w14:textId="77777777" w:rsidTr="00A3786D">
              <w:tc>
                <w:tcPr>
                  <w:tcW w:w="876" w:type="pct"/>
                  <w:tcBorders>
                    <w:top w:val="single" w:sz="6" w:space="0" w:color="BFBFBF"/>
                    <w:bottom w:val="single" w:sz="6" w:space="0" w:color="BFBFBF"/>
                  </w:tcBorders>
                  <w:shd w:val="clear" w:color="auto" w:fill="auto"/>
                </w:tcPr>
                <w:p w14:paraId="7954C330" w14:textId="77777777" w:rsidR="00F05DC7" w:rsidRDefault="00F05DC7" w:rsidP="00A3786D">
                  <w:pPr>
                    <w:pStyle w:val="TableUnitsRow"/>
                    <w:jc w:val="left"/>
                  </w:pPr>
                  <w:r>
                    <w:t>Additional Transfers</w:t>
                  </w:r>
                </w:p>
              </w:tc>
              <w:tc>
                <w:tcPr>
                  <w:tcW w:w="1373" w:type="pct"/>
                  <w:tcBorders>
                    <w:top w:val="single" w:sz="6" w:space="0" w:color="BFBFBF"/>
                    <w:bottom w:val="single" w:sz="6" w:space="0" w:color="BFBFBF"/>
                  </w:tcBorders>
                </w:tcPr>
                <w:p w14:paraId="7954C331" w14:textId="77777777" w:rsidR="00F05DC7" w:rsidRDefault="00F05DC7" w:rsidP="00A3786D">
                  <w:pPr>
                    <w:pStyle w:val="TableBullet"/>
                    <w:rPr>
                      <w:sz w:val="17"/>
                      <w:szCs w:val="17"/>
                    </w:rPr>
                  </w:pPr>
                  <w:r>
                    <w:rPr>
                      <w:sz w:val="17"/>
                      <w:szCs w:val="17"/>
                    </w:rPr>
                    <w:t>Health and social transfers</w:t>
                  </w:r>
                </w:p>
                <w:p w14:paraId="7954C332" w14:textId="77777777" w:rsidR="00F05DC7" w:rsidRDefault="00F05DC7" w:rsidP="00A3786D">
                  <w:pPr>
                    <w:pStyle w:val="TableBullet"/>
                    <w:rPr>
                      <w:sz w:val="17"/>
                      <w:szCs w:val="17"/>
                    </w:rPr>
                  </w:pPr>
                  <w:r>
                    <w:rPr>
                      <w:sz w:val="17"/>
                      <w:szCs w:val="17"/>
                    </w:rPr>
                    <w:t>Territorial funding.</w:t>
                  </w:r>
                </w:p>
                <w:p w14:paraId="7954C333" w14:textId="77777777" w:rsidR="00F05DC7" w:rsidRPr="00515310" w:rsidRDefault="00F05DC7" w:rsidP="00A3786D">
                  <w:pPr>
                    <w:pStyle w:val="TableBullet"/>
                    <w:rPr>
                      <w:sz w:val="17"/>
                      <w:szCs w:val="17"/>
                    </w:rPr>
                  </w:pPr>
                  <w:r>
                    <w:rPr>
                      <w:sz w:val="17"/>
                      <w:szCs w:val="17"/>
                    </w:rPr>
                    <w:t>Special needs grants.</w:t>
                  </w:r>
                </w:p>
              </w:tc>
              <w:tc>
                <w:tcPr>
                  <w:tcW w:w="1302" w:type="pct"/>
                  <w:tcBorders>
                    <w:top w:val="single" w:sz="6" w:space="0" w:color="BFBFBF"/>
                    <w:bottom w:val="single" w:sz="6" w:space="0" w:color="BFBFBF"/>
                  </w:tcBorders>
                  <w:shd w:val="clear" w:color="auto" w:fill="auto"/>
                </w:tcPr>
                <w:p w14:paraId="7954C334" w14:textId="77777777" w:rsidR="00F05DC7" w:rsidRPr="0021199C" w:rsidRDefault="00F05DC7" w:rsidP="00A3786D">
                  <w:pPr>
                    <w:pStyle w:val="TableBullet"/>
                    <w:rPr>
                      <w:sz w:val="17"/>
                      <w:szCs w:val="17"/>
                    </w:rPr>
                  </w:pPr>
                  <w:r w:rsidRPr="00C428D7">
                    <w:rPr>
                      <w:sz w:val="17"/>
                      <w:szCs w:val="17"/>
                    </w:rPr>
                    <w:t>Special supplementary central government grants</w:t>
                  </w:r>
                  <w:r>
                    <w:rPr>
                      <w:sz w:val="17"/>
                      <w:szCs w:val="17"/>
                    </w:rPr>
                    <w:t>.</w:t>
                  </w:r>
                </w:p>
              </w:tc>
              <w:tc>
                <w:tcPr>
                  <w:tcW w:w="1449" w:type="pct"/>
                  <w:tcBorders>
                    <w:top w:val="single" w:sz="6" w:space="0" w:color="BFBFBF"/>
                    <w:bottom w:val="single" w:sz="6" w:space="0" w:color="BFBFBF"/>
                  </w:tcBorders>
                </w:tcPr>
                <w:p w14:paraId="7954C335" w14:textId="77777777" w:rsidR="00F05DC7" w:rsidRPr="00C428D7" w:rsidRDefault="00F05DC7" w:rsidP="00A3786D">
                  <w:pPr>
                    <w:pStyle w:val="TableBullet"/>
                    <w:rPr>
                      <w:sz w:val="17"/>
                      <w:szCs w:val="17"/>
                    </w:rPr>
                  </w:pPr>
                  <w:r>
                    <w:rPr>
                      <w:sz w:val="17"/>
                      <w:szCs w:val="17"/>
                    </w:rPr>
                    <w:t>Specific purpose payments and other general revenue assistance (appendix B).</w:t>
                  </w:r>
                </w:p>
              </w:tc>
            </w:tr>
          </w:tbl>
          <w:p w14:paraId="7954C337" w14:textId="77777777" w:rsidR="00F05DC7" w:rsidRDefault="00F05DC7" w:rsidP="00A3786D">
            <w:pPr>
              <w:pStyle w:val="Box"/>
            </w:pPr>
          </w:p>
        </w:tc>
      </w:tr>
      <w:tr w:rsidR="00F05DC7" w14:paraId="7954C33A" w14:textId="77777777" w:rsidTr="00A3786D">
        <w:tc>
          <w:tcPr>
            <w:tcW w:w="5000" w:type="pct"/>
            <w:tcBorders>
              <w:top w:val="nil"/>
              <w:left w:val="nil"/>
              <w:bottom w:val="nil"/>
              <w:right w:val="nil"/>
            </w:tcBorders>
            <w:shd w:val="clear" w:color="auto" w:fill="auto"/>
          </w:tcPr>
          <w:p w14:paraId="7954C339" w14:textId="0766185C" w:rsidR="00F05DC7" w:rsidRDefault="00F05DC7" w:rsidP="004850C2">
            <w:pPr>
              <w:pStyle w:val="Source"/>
              <w:spacing w:after="80"/>
            </w:pPr>
            <w:r>
              <w:rPr>
                <w:i/>
              </w:rPr>
              <w:t>Sources</w:t>
            </w:r>
            <w:r w:rsidRPr="00167F06">
              <w:t>:</w:t>
            </w:r>
            <w:r>
              <w:t xml:space="preserve"> Brumby et al. </w:t>
            </w:r>
            <w:r w:rsidRPr="00F70638">
              <w:rPr>
                <w:rFonts w:cs="Arial"/>
              </w:rPr>
              <w:t>(2012a)</w:t>
            </w:r>
            <w:r>
              <w:t xml:space="preserve">; Department of Finance (Canada) </w:t>
            </w:r>
            <w:r w:rsidRPr="00E37F97">
              <w:rPr>
                <w:rFonts w:cs="Arial"/>
              </w:rPr>
              <w:t>(2006)</w:t>
            </w:r>
            <w:r>
              <w:t xml:space="preserve">; Edison </w:t>
            </w:r>
            <w:r w:rsidRPr="00E37F97">
              <w:rPr>
                <w:rFonts w:cs="Arial"/>
              </w:rPr>
              <w:t>(2013)</w:t>
            </w:r>
            <w:r>
              <w:t xml:space="preserve">; Feehan </w:t>
            </w:r>
            <w:r w:rsidRPr="00E37F97">
              <w:rPr>
                <w:rFonts w:cs="Arial"/>
              </w:rPr>
              <w:t>(2014)</w:t>
            </w:r>
            <w:r>
              <w:t xml:space="preserve">; German Ministry of Finance </w:t>
            </w:r>
            <w:r w:rsidRPr="00E37F97">
              <w:rPr>
                <w:rFonts w:cs="Arial"/>
              </w:rPr>
              <w:t>(2016)</w:t>
            </w:r>
            <w:r>
              <w:t xml:space="preserve">; Shah </w:t>
            </w:r>
            <w:r w:rsidRPr="00E37F97">
              <w:rPr>
                <w:rFonts w:cs="Arial"/>
              </w:rPr>
              <w:t>(2014)</w:t>
            </w:r>
            <w:r>
              <w:t>.</w:t>
            </w:r>
          </w:p>
        </w:tc>
      </w:tr>
      <w:tr w:rsidR="00F05DC7" w:rsidRPr="000863A5" w14:paraId="7954C33C" w14:textId="77777777" w:rsidTr="00A3786D">
        <w:tc>
          <w:tcPr>
            <w:tcW w:w="5000" w:type="pct"/>
            <w:tcBorders>
              <w:top w:val="single" w:sz="6" w:space="0" w:color="78A22F"/>
              <w:left w:val="nil"/>
              <w:bottom w:val="nil"/>
              <w:right w:val="nil"/>
            </w:tcBorders>
          </w:tcPr>
          <w:p w14:paraId="7954C33B" w14:textId="77777777" w:rsidR="00F05DC7" w:rsidRPr="00D168A3" w:rsidRDefault="00F05DC7" w:rsidP="00A3786D">
            <w:pPr>
              <w:pStyle w:val="BoxSpaceBelow"/>
            </w:pPr>
          </w:p>
        </w:tc>
      </w:tr>
    </w:tbl>
    <w:p w14:paraId="7954C33D" w14:textId="77777777" w:rsidR="00F05DC7" w:rsidRDefault="00F05DC7" w:rsidP="00A3786D">
      <w:pPr>
        <w:pStyle w:val="Heading3"/>
      </w:pPr>
      <w:r>
        <w:lastRenderedPageBreak/>
        <w:t>Most countries pursue less than full equalisation</w:t>
      </w:r>
    </w:p>
    <w:p w14:paraId="7954C33E" w14:textId="77777777" w:rsidR="00F05DC7" w:rsidRDefault="00F05DC7" w:rsidP="00A3786D">
      <w:pPr>
        <w:pStyle w:val="BodyText"/>
      </w:pPr>
      <w:r>
        <w:t>Most OECD countries pursue less than full (or ‘partial’) equalisation, and do so in a variety of ways.</w:t>
      </w:r>
      <w:r w:rsidRPr="00BD67CE">
        <w:t xml:space="preserve"> While the average per capita fiscal capacity of sub</w:t>
      </w:r>
      <w:r>
        <w:noBreakHyphen/>
      </w:r>
      <w:r w:rsidRPr="00BD67CE">
        <w:t>central governments</w:t>
      </w:r>
      <w:r>
        <w:t xml:space="preserve"> is often used as the benchmark to guide equalisation</w:t>
      </w:r>
      <w:r w:rsidRPr="00BD67CE">
        <w:t>, the methods of equalisation and the outcomes achieved under the alternative systems differ considerably (</w:t>
      </w:r>
      <w:r>
        <w:t>t</w:t>
      </w:r>
      <w:r w:rsidRPr="00BD67CE">
        <w:t>able E.1).</w:t>
      </w:r>
      <w:r>
        <w:t xml:space="preserve"> For example:</w:t>
      </w:r>
    </w:p>
    <w:p w14:paraId="7954C33F" w14:textId="6D6C170D" w:rsidR="00F05DC7" w:rsidRPr="00042C26" w:rsidRDefault="00F05DC7" w:rsidP="00A3786D">
      <w:pPr>
        <w:pStyle w:val="ListBullet"/>
      </w:pPr>
      <w:r>
        <w:t>in Canada, provincial governments with below-</w:t>
      </w:r>
      <w:r w:rsidRPr="007F3EA8">
        <w:t>average</w:t>
      </w:r>
      <w:r>
        <w:t xml:space="preserve"> fiscal </w:t>
      </w:r>
      <w:r w:rsidRPr="007F3EA8">
        <w:t xml:space="preserve">capacity are equalised </w:t>
      </w:r>
      <w:r>
        <w:t>‘</w:t>
      </w:r>
      <w:r w:rsidRPr="007F3EA8">
        <w:t>up</w:t>
      </w:r>
      <w:r>
        <w:t>’</w:t>
      </w:r>
      <w:r w:rsidRPr="007F3EA8">
        <w:t xml:space="preserve"> to the </w:t>
      </w:r>
      <w:r>
        <w:t>Canadian-</w:t>
      </w:r>
      <w:r w:rsidRPr="007F3EA8">
        <w:t>average</w:t>
      </w:r>
      <w:r>
        <w:t xml:space="preserve"> fiscal capacity. Provinces with above-</w:t>
      </w:r>
      <w:r w:rsidRPr="007F3EA8">
        <w:t xml:space="preserve">average </w:t>
      </w:r>
      <w:r>
        <w:t xml:space="preserve">fiscal </w:t>
      </w:r>
      <w:r w:rsidRPr="007F3EA8">
        <w:t>capacity neither receive payments nor are required to contribute</w:t>
      </w:r>
      <w:r>
        <w:t xml:space="preserve"> </w:t>
      </w:r>
      <w:r w:rsidR="009D6331" w:rsidRPr="009D6331">
        <w:rPr>
          <w:szCs w:val="24"/>
        </w:rPr>
        <w:t>(Brumby, Carter and Greiner 2012b, p. 5)</w:t>
      </w:r>
    </w:p>
    <w:p w14:paraId="7954C340" w14:textId="25AE57F0" w:rsidR="00F05DC7" w:rsidRPr="00042C26" w:rsidRDefault="00F05DC7" w:rsidP="00A3786D">
      <w:pPr>
        <w:pStyle w:val="ListBullet"/>
        <w:rPr>
          <w:szCs w:val="24"/>
        </w:rPr>
      </w:pPr>
      <w:r>
        <w:rPr>
          <w:szCs w:val="24"/>
        </w:rPr>
        <w:t>i</w:t>
      </w:r>
      <w:r w:rsidRPr="00042C26">
        <w:rPr>
          <w:szCs w:val="24"/>
        </w:rPr>
        <w:t>n Germ</w:t>
      </w:r>
      <w:r>
        <w:rPr>
          <w:szCs w:val="24"/>
        </w:rPr>
        <w:t>any, States (Länder) with below-</w:t>
      </w:r>
      <w:r w:rsidRPr="00042C26">
        <w:rPr>
          <w:szCs w:val="24"/>
        </w:rPr>
        <w:t xml:space="preserve">average fiscal capacity are ‘levelled up’ towards the German average, while </w:t>
      </w:r>
      <w:r>
        <w:rPr>
          <w:szCs w:val="24"/>
        </w:rPr>
        <w:t>States</w:t>
      </w:r>
      <w:r w:rsidRPr="00042C26">
        <w:rPr>
          <w:szCs w:val="24"/>
        </w:rPr>
        <w:t xml:space="preserve"> </w:t>
      </w:r>
      <w:r>
        <w:rPr>
          <w:szCs w:val="24"/>
        </w:rPr>
        <w:t>with above-</w:t>
      </w:r>
      <w:r w:rsidRPr="00042C26">
        <w:rPr>
          <w:szCs w:val="24"/>
        </w:rPr>
        <w:t>average fiscal capacity are ‘levelled down’</w:t>
      </w:r>
      <w:r>
        <w:rPr>
          <w:szCs w:val="24"/>
        </w:rPr>
        <w:t xml:space="preserve"> (box E.1)</w:t>
      </w:r>
      <w:r w:rsidRPr="00042C26">
        <w:rPr>
          <w:szCs w:val="24"/>
        </w:rPr>
        <w:t xml:space="preserve">. As noted by the German Federal Ministry of Finance </w:t>
      </w:r>
      <w:r w:rsidR="009D6331" w:rsidRPr="009D6331">
        <w:rPr>
          <w:szCs w:val="24"/>
        </w:rPr>
        <w:t>(2016, p. 3)</w:t>
      </w:r>
      <w:r w:rsidRPr="00042C26">
        <w:rPr>
          <w:szCs w:val="24"/>
        </w:rPr>
        <w:t>, partial equalisation is pursued in the interest of the fiscal autonom</w:t>
      </w:r>
      <w:r>
        <w:rPr>
          <w:szCs w:val="24"/>
        </w:rPr>
        <w:t>y and sovereignty of the States</w:t>
      </w:r>
    </w:p>
    <w:p w14:paraId="7954C341" w14:textId="1A522728" w:rsidR="00F05DC7" w:rsidRDefault="00F05DC7" w:rsidP="00A3786D">
      <w:pPr>
        <w:pStyle w:val="ListBullet"/>
      </w:pPr>
      <w:r>
        <w:t xml:space="preserve">in </w:t>
      </w:r>
      <w:r w:rsidRPr="00C519A6">
        <w:t>Switzerland</w:t>
      </w:r>
      <w:r>
        <w:t>, equalisation payments aim to provide each State (Canton) with a minimum per capita financial resource level of 85</w:t>
      </w:r>
      <w:r w:rsidRPr="000C30D5">
        <w:t> </w:t>
      </w:r>
      <w:r>
        <w:t>per</w:t>
      </w:r>
      <w:r w:rsidRPr="000C30D5">
        <w:t> </w:t>
      </w:r>
      <w:r>
        <w:t xml:space="preserve">cent of the Swiss average. As noted by the </w:t>
      </w:r>
      <w:r w:rsidRPr="00062B2F">
        <w:t xml:space="preserve">Swiss </w:t>
      </w:r>
      <w:r>
        <w:t xml:space="preserve">Federal </w:t>
      </w:r>
      <w:r w:rsidRPr="00062B2F">
        <w:t>Department of Finance</w:t>
      </w:r>
      <w:r>
        <w:t xml:space="preserve"> </w:t>
      </w:r>
      <w:r w:rsidRPr="00E37F97">
        <w:t>(2018)</w:t>
      </w:r>
      <w:r>
        <w:t>, partial equalisation allows for a balance between fiscal equity between States and States’ financial independence.</w:t>
      </w:r>
    </w:p>
    <w:p w14:paraId="7954C342" w14:textId="40CBD2A6" w:rsidR="00F05DC7" w:rsidRDefault="00F05DC7" w:rsidP="00A3786D">
      <w:pPr>
        <w:pStyle w:val="BodyText"/>
      </w:pPr>
      <w:r>
        <w:t>While the decision to pursue partial equalisation is often intentional, as in Germany and Switzerland, this is not always the case</w:t>
      </w:r>
      <w:r w:rsidRPr="00F82153">
        <w:t xml:space="preserve">. In Canada, for example, the amount of equalisation funding is </w:t>
      </w:r>
      <w:r>
        <w:t>only sufficient</w:t>
      </w:r>
      <w:r w:rsidRPr="00F82153">
        <w:t xml:space="preserve"> to bring the fiscally weaker provinces up to a minimum level</w:t>
      </w:r>
      <w:r>
        <w:t xml:space="preserve"> </w:t>
      </w:r>
      <w:r w:rsidR="009D6331" w:rsidRPr="009D6331">
        <w:rPr>
          <w:szCs w:val="24"/>
        </w:rPr>
        <w:t>(Brumby, Carter and Greiner 2012a, p. 172)</w:t>
      </w:r>
      <w:r w:rsidRPr="00233A77">
        <w:t>.</w:t>
      </w:r>
      <w:r w:rsidRPr="00282527">
        <w:rPr>
          <w:rStyle w:val="FootnoteReference"/>
        </w:rPr>
        <w:footnoteReference w:id="27"/>
      </w:r>
    </w:p>
    <w:p w14:paraId="7954C343" w14:textId="1D86B5BD" w:rsidR="00F05DC7" w:rsidRDefault="00F05DC7" w:rsidP="00A3786D">
      <w:pPr>
        <w:pStyle w:val="BodyText"/>
      </w:pPr>
      <w:r>
        <w:t xml:space="preserve">These varied approaches to equalisation result in differences in the extent to which countries reduce disparities in fiscal capacity (table E.2). Based on measurement of the Gini coefficient of tax raising capacity and the ratio of highest and lowest tax raising capacities before and after equalisation, Australia is found to have eliminated measured fiscal disparities among the State Governments. By comparison, substantial disparities remained in Canada and Switzerland, and some disparities remained in Germany </w:t>
      </w:r>
      <w:r w:rsidR="009D6331" w:rsidRPr="009D6331">
        <w:rPr>
          <w:szCs w:val="24"/>
        </w:rPr>
        <w:t>(OECD 2013, p. 105)</w:t>
      </w: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F05DC7" w14:paraId="7954C345" w14:textId="77777777" w:rsidTr="00A3786D">
        <w:trPr>
          <w:tblHeader/>
        </w:trPr>
        <w:tc>
          <w:tcPr>
            <w:tcW w:w="5000" w:type="pct"/>
            <w:tcBorders>
              <w:top w:val="single" w:sz="6" w:space="0" w:color="78A22F"/>
              <w:left w:val="nil"/>
              <w:bottom w:val="nil"/>
              <w:right w:val="nil"/>
            </w:tcBorders>
            <w:shd w:val="clear" w:color="auto" w:fill="F2F2F2"/>
            <w:hideMark/>
          </w:tcPr>
          <w:p w14:paraId="7954C344" w14:textId="4DAD7211" w:rsidR="00F05DC7" w:rsidRDefault="00F05DC7" w:rsidP="00A3786D">
            <w:pPr>
              <w:pStyle w:val="BoxTitle"/>
            </w:pPr>
            <w:r>
              <w:rPr>
                <w:b w:val="0"/>
              </w:rPr>
              <w:lastRenderedPageBreak/>
              <w:t>Box E.1</w:t>
            </w:r>
            <w:r>
              <w:tab/>
              <w:t xml:space="preserve">Germany’s equalisation system </w:t>
            </w:r>
          </w:p>
        </w:tc>
      </w:tr>
      <w:tr w:rsidR="00F05DC7" w14:paraId="7954C357" w14:textId="77777777" w:rsidTr="00A3786D">
        <w:tc>
          <w:tcPr>
            <w:tcW w:w="5000" w:type="pct"/>
            <w:tcBorders>
              <w:top w:val="nil"/>
              <w:left w:val="nil"/>
              <w:bottom w:val="nil"/>
              <w:right w:val="nil"/>
            </w:tcBorders>
            <w:shd w:val="clear" w:color="auto" w:fill="F2F2F2"/>
            <w:tcMar>
              <w:top w:w="0" w:type="dxa"/>
              <w:left w:w="108" w:type="dxa"/>
              <w:bottom w:w="0" w:type="dxa"/>
              <w:right w:w="108" w:type="dxa"/>
            </w:tcMar>
          </w:tcPr>
          <w:p w14:paraId="7954C346" w14:textId="77777777" w:rsidR="00F05DC7" w:rsidRPr="00DA062D" w:rsidRDefault="00F05DC7" w:rsidP="00A3786D">
            <w:pPr>
              <w:pStyle w:val="Box"/>
            </w:pPr>
            <w:r>
              <w:t>E</w:t>
            </w:r>
            <w:r w:rsidRPr="00B75B83">
              <w:t>qualisation ensure</w:t>
            </w:r>
            <w:r>
              <w:t>s the financial capacities</w:t>
            </w:r>
            <w:r w:rsidRPr="00B75B83">
              <w:t xml:space="preserve"> of</w:t>
            </w:r>
            <w:r>
              <w:t xml:space="preserve"> German</w:t>
            </w:r>
            <w:r w:rsidRPr="00B75B83">
              <w:t xml:space="preserve"> </w:t>
            </w:r>
            <w:r>
              <w:rPr>
                <w:szCs w:val="24"/>
              </w:rPr>
              <w:t>States</w:t>
            </w:r>
            <w:r w:rsidRPr="00042C26">
              <w:rPr>
                <w:szCs w:val="24"/>
              </w:rPr>
              <w:t xml:space="preserve"> </w:t>
            </w:r>
            <w:r>
              <w:t>are not</w:t>
            </w:r>
            <w:r w:rsidRPr="00B75B83">
              <w:t xml:space="preserve"> substantially below the German average</w:t>
            </w:r>
            <w:r>
              <w:t>.</w:t>
            </w:r>
            <w:r w:rsidRPr="00180F73">
              <w:t xml:space="preserve"> </w:t>
            </w:r>
            <w:r w:rsidRPr="00DA062D">
              <w:t xml:space="preserve">The process of </w:t>
            </w:r>
            <w:r>
              <w:t>equalisation</w:t>
            </w:r>
            <w:r w:rsidRPr="00DA062D">
              <w:t xml:space="preserve"> can be simplified to three steps. Each step is funded by a different revenue source.</w:t>
            </w:r>
          </w:p>
          <w:p w14:paraId="7954C347" w14:textId="77777777" w:rsidR="00F05DC7" w:rsidRDefault="00F05DC7" w:rsidP="00A3786D">
            <w:pPr>
              <w:pStyle w:val="BoxListBullet"/>
              <w:spacing w:before="80"/>
            </w:pPr>
            <w:r>
              <w:t>Step 1: States receive a share (approximately 45 per cent) of the Value Added Tax revenue. 75 per</w:t>
            </w:r>
            <w:r w:rsidRPr="000C30D5">
              <w:t> </w:t>
            </w:r>
            <w:r>
              <w:t>cent of the share is allocated on an equal per capita basis. The remaining 25 per</w:t>
            </w:r>
            <w:r w:rsidRPr="000C30D5">
              <w:t> </w:t>
            </w:r>
            <w:r>
              <w:t>cent is provided to States with tax revenue below the average, with between 60 per cent and 95 per cent</w:t>
            </w:r>
            <w:r w:rsidRPr="00AF5BF8">
              <w:t xml:space="preserve"> of the gap </w:t>
            </w:r>
            <w:r>
              <w:t>‘</w:t>
            </w:r>
            <w:r w:rsidRPr="00AF5BF8">
              <w:t>topped up</w:t>
            </w:r>
            <w:r>
              <w:t>’.</w:t>
            </w:r>
          </w:p>
          <w:p w14:paraId="7954C348" w14:textId="77777777" w:rsidR="00F05DC7" w:rsidRDefault="00F05DC7" w:rsidP="00A3786D">
            <w:pPr>
              <w:pStyle w:val="BoxListBullet"/>
            </w:pPr>
            <w:r>
              <w:t xml:space="preserve">Step 2: Equalisation payments are made between stronger </w:t>
            </w:r>
            <w:r>
              <w:rPr>
                <w:szCs w:val="24"/>
              </w:rPr>
              <w:t>States</w:t>
            </w:r>
            <w:r w:rsidRPr="00564598">
              <w:rPr>
                <w:szCs w:val="24"/>
              </w:rPr>
              <w:t xml:space="preserve"> </w:t>
            </w:r>
            <w:r>
              <w:t xml:space="preserve">and weaker </w:t>
            </w:r>
            <w:r>
              <w:rPr>
                <w:szCs w:val="24"/>
              </w:rPr>
              <w:t>States</w:t>
            </w:r>
            <w:r w:rsidRPr="00042C26">
              <w:rPr>
                <w:szCs w:val="24"/>
              </w:rPr>
              <w:t xml:space="preserve"> </w:t>
            </w:r>
            <w:r>
              <w:t xml:space="preserve">(based on their per capita financial capacity after step 1) (horizontal equalisation). </w:t>
            </w:r>
            <w:r>
              <w:rPr>
                <w:szCs w:val="24"/>
              </w:rPr>
              <w:t>States</w:t>
            </w:r>
            <w:r w:rsidRPr="00042C26">
              <w:rPr>
                <w:szCs w:val="24"/>
              </w:rPr>
              <w:t xml:space="preserve"> </w:t>
            </w:r>
            <w:r w:rsidRPr="00243447">
              <w:rPr>
                <w:szCs w:val="24"/>
              </w:rPr>
              <w:t xml:space="preserve">with below average </w:t>
            </w:r>
            <w:r>
              <w:rPr>
                <w:szCs w:val="24"/>
              </w:rPr>
              <w:t>financial</w:t>
            </w:r>
            <w:r w:rsidRPr="00243447">
              <w:rPr>
                <w:szCs w:val="24"/>
              </w:rPr>
              <w:t xml:space="preserve"> capacity are ‘levelled up’ towards the German average, while </w:t>
            </w:r>
            <w:r>
              <w:rPr>
                <w:szCs w:val="24"/>
              </w:rPr>
              <w:t>States</w:t>
            </w:r>
            <w:r w:rsidRPr="00042C26">
              <w:rPr>
                <w:szCs w:val="24"/>
              </w:rPr>
              <w:t xml:space="preserve"> </w:t>
            </w:r>
            <w:r w:rsidRPr="00243447">
              <w:rPr>
                <w:szCs w:val="24"/>
              </w:rPr>
              <w:t xml:space="preserve">with above average </w:t>
            </w:r>
            <w:r>
              <w:rPr>
                <w:szCs w:val="24"/>
              </w:rPr>
              <w:t>financial</w:t>
            </w:r>
            <w:r w:rsidRPr="00243447">
              <w:rPr>
                <w:szCs w:val="24"/>
              </w:rPr>
              <w:t xml:space="preserve"> capacity are ‘levelled down’.</w:t>
            </w:r>
            <w:r>
              <w:t xml:space="preserve"> The financial capacity of a </w:t>
            </w:r>
            <w:r>
              <w:rPr>
                <w:szCs w:val="24"/>
              </w:rPr>
              <w:t>State</w:t>
            </w:r>
            <w:r w:rsidRPr="00042C26">
              <w:rPr>
                <w:szCs w:val="24"/>
              </w:rPr>
              <w:t xml:space="preserve"> </w:t>
            </w:r>
            <w:r>
              <w:t>is calculated based on the sum of its tax receipts</w:t>
            </w:r>
            <w:r w:rsidRPr="00282527">
              <w:rPr>
                <w:rStyle w:val="FootnoteReference"/>
              </w:rPr>
              <w:footnoteReference w:id="28"/>
            </w:r>
            <w:r>
              <w:t xml:space="preserve"> and 64 per cent of the sum of receipts of its local authorities. Adjustments ensure that the ranked order of the </w:t>
            </w:r>
            <w:r>
              <w:rPr>
                <w:szCs w:val="24"/>
              </w:rPr>
              <w:t>States</w:t>
            </w:r>
            <w:r>
              <w:t>, in terms of financial capacity, does not change due to equalisation (figure below).</w:t>
            </w:r>
          </w:p>
          <w:p w14:paraId="7954C349" w14:textId="77777777" w:rsidR="00F05DC7" w:rsidRDefault="00F05DC7" w:rsidP="00A3786D">
            <w:pPr>
              <w:pStyle w:val="BoxListBullet"/>
              <w:spacing w:before="80"/>
            </w:pPr>
            <w:r>
              <w:t xml:space="preserve">Step 3: </w:t>
            </w:r>
            <w:r>
              <w:rPr>
                <w:szCs w:val="24"/>
              </w:rPr>
              <w:t>States</w:t>
            </w:r>
            <w:r w:rsidRPr="00042C26">
              <w:rPr>
                <w:szCs w:val="24"/>
              </w:rPr>
              <w:t xml:space="preserve"> </w:t>
            </w:r>
            <w:r>
              <w:t>whose per capita financial capacity (after steps 1 and 2) is still below the German average financial capacity receive supplementary funds from the federal government, making up 77.5 per cent of any remaining shortfall.</w:t>
            </w:r>
          </w:p>
          <w:p w14:paraId="7954C34B" w14:textId="7C6E7A1A" w:rsidR="00F05DC7" w:rsidRPr="00D168A3" w:rsidRDefault="00F05DC7" w:rsidP="00A3786D">
            <w:pPr>
              <w:pStyle w:val="Box"/>
            </w:pPr>
            <w:r w:rsidRPr="00CF19CC">
              <w:t>In 2016</w:t>
            </w:r>
            <w:r>
              <w:t>,</w:t>
            </w:r>
            <w:r w:rsidRPr="00CF19CC">
              <w:t xml:space="preserve"> equalisation narrowed the range of</w:t>
            </w:r>
            <w:r>
              <w:t xml:space="preserve"> per capita </w:t>
            </w:r>
            <w:r w:rsidRPr="00CF19CC">
              <w:t>financial capacity</w:t>
            </w:r>
            <w:r>
              <w:t xml:space="preserve"> </w:t>
            </w:r>
            <w:r w:rsidRPr="00CF19CC">
              <w:t>t</w:t>
            </w:r>
            <w:r>
              <w:t>o between 97.5</w:t>
            </w:r>
            <w:r w:rsidRPr="000C30D5">
              <w:t> </w:t>
            </w:r>
            <w:r>
              <w:t>per</w:t>
            </w:r>
            <w:r w:rsidRPr="000C30D5">
              <w:t> </w:t>
            </w:r>
            <w:r>
              <w:t>cent of the average i</w:t>
            </w:r>
            <w:r w:rsidRPr="005F30DB">
              <w:t xml:space="preserve">n </w:t>
            </w:r>
            <w:r>
              <w:t>Berlin</w:t>
            </w:r>
            <w:r w:rsidRPr="005F30DB">
              <w:t xml:space="preserve"> and 10</w:t>
            </w:r>
            <w:r>
              <w:t>6</w:t>
            </w:r>
            <w:r w:rsidRPr="00CF19CC">
              <w:t>.</w:t>
            </w:r>
            <w:r>
              <w:t>7</w:t>
            </w:r>
            <w:r w:rsidRPr="000C30D5">
              <w:t> </w:t>
            </w:r>
            <w:r>
              <w:t>per</w:t>
            </w:r>
            <w:r w:rsidRPr="000C30D5">
              <w:t> </w:t>
            </w:r>
            <w:r>
              <w:t>cent</w:t>
            </w:r>
            <w:r w:rsidRPr="00CF19CC">
              <w:t xml:space="preserve"> </w:t>
            </w:r>
            <w:r w:rsidRPr="005D7701">
              <w:t xml:space="preserve">in </w:t>
            </w:r>
            <w:r>
              <w:t>Bavaria</w:t>
            </w:r>
            <w:r w:rsidRPr="00CF19CC">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73"/>
            </w:tblGrid>
            <w:tr w:rsidR="00F05DC7" w14:paraId="7954C34D" w14:textId="77777777" w:rsidTr="00AD01BD">
              <w:trPr>
                <w:tblHeader/>
              </w:trPr>
              <w:tc>
                <w:tcPr>
                  <w:tcW w:w="5000" w:type="pct"/>
                  <w:tcBorders>
                    <w:top w:val="nil"/>
                    <w:left w:val="nil"/>
                    <w:bottom w:val="nil"/>
                    <w:right w:val="nil"/>
                  </w:tcBorders>
                  <w:shd w:val="clear" w:color="auto" w:fill="auto"/>
                </w:tcPr>
                <w:p w14:paraId="7954C34C" w14:textId="77777777" w:rsidR="00F05DC7" w:rsidRPr="00CB33BC" w:rsidRDefault="00F05DC7" w:rsidP="00A3786D">
                  <w:pPr>
                    <w:pStyle w:val="BoxTitle"/>
                    <w:rPr>
                      <w:sz w:val="22"/>
                      <w:szCs w:val="22"/>
                    </w:rPr>
                  </w:pPr>
                  <w:r w:rsidRPr="00CB33BC">
                    <w:rPr>
                      <w:sz w:val="22"/>
                      <w:szCs w:val="22"/>
                    </w:rPr>
                    <w:t>Germany’s equalisation system</w:t>
                  </w:r>
                  <w:r>
                    <w:rPr>
                      <w:sz w:val="22"/>
                      <w:szCs w:val="22"/>
                    </w:rPr>
                    <w:t>, 2016</w:t>
                  </w:r>
                  <w:r w:rsidRPr="00CB33BC">
                    <w:rPr>
                      <w:rStyle w:val="NoteLabel"/>
                      <w:b/>
                      <w:szCs w:val="18"/>
                    </w:rPr>
                    <w:t>a</w:t>
                  </w:r>
                  <w:r>
                    <w:rPr>
                      <w:rStyle w:val="NoteLabel"/>
                      <w:b/>
                      <w:szCs w:val="18"/>
                    </w:rPr>
                    <w:t>,</w:t>
                  </w:r>
                  <w:r w:rsidRPr="00E46370">
                    <w:rPr>
                      <w:rStyle w:val="NoteLabel"/>
                      <w:b/>
                      <w:szCs w:val="18"/>
                    </w:rPr>
                    <w:t>b</w:t>
                  </w:r>
                </w:p>
              </w:tc>
            </w:tr>
            <w:tr w:rsidR="00F05DC7" w14:paraId="7954C351" w14:textId="77777777" w:rsidTr="00A3786D">
              <w:tblPrEx>
                <w:tblCellMar>
                  <w:left w:w="108" w:type="dxa"/>
                  <w:right w:w="108" w:type="dxa"/>
                </w:tblCellMar>
              </w:tblPrEx>
              <w:tc>
                <w:tcPr>
                  <w:tcW w:w="5000" w:type="pct"/>
                  <w:tcBorders>
                    <w:top w:val="nil"/>
                    <w:left w:val="nil"/>
                    <w:bottom w:val="nil"/>
                    <w:right w:val="nil"/>
                  </w:tcBorders>
                  <w:shd w:val="clear" w:color="auto" w:fill="auto"/>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F05DC7" w:rsidRPr="00B1465D" w14:paraId="7954C34F" w14:textId="77777777" w:rsidTr="00A3786D">
                    <w:trPr>
                      <w:tblHeader/>
                      <w:jc w:val="center"/>
                    </w:trPr>
                    <w:tc>
                      <w:tcPr>
                        <w:tcW w:w="8504" w:type="dxa"/>
                        <w:tcBorders>
                          <w:top w:val="nil"/>
                          <w:bottom w:val="nil"/>
                        </w:tcBorders>
                      </w:tcPr>
                      <w:p w14:paraId="7954C34E" w14:textId="77777777" w:rsidR="00F05DC7" w:rsidRPr="006D16AA" w:rsidRDefault="00F05DC7" w:rsidP="00A3786D">
                        <w:pPr>
                          <w:pStyle w:val="Figure"/>
                          <w:spacing w:before="60" w:after="60"/>
                          <w:rPr>
                            <w:rFonts w:ascii="Arial" w:hAnsi="Arial" w:cs="Arial"/>
                            <w:sz w:val="18"/>
                            <w:szCs w:val="18"/>
                          </w:rPr>
                        </w:pPr>
                        <w:r w:rsidRPr="0051759A">
                          <w:rPr>
                            <w:rFonts w:ascii="Arial" w:hAnsi="Arial" w:cs="Arial"/>
                            <w:noProof/>
                            <w:sz w:val="18"/>
                            <w:szCs w:val="18"/>
                          </w:rPr>
                          <w:drawing>
                            <wp:inline distT="0" distB="0" distL="0" distR="0" wp14:anchorId="7954D673" wp14:editId="57641B50">
                              <wp:extent cx="5040000" cy="2992500"/>
                              <wp:effectExtent l="0" t="0" r="8255" b="0"/>
                              <wp:docPr id="122" name="Picture 122" descr="This figure shows the per capita financial capacity of German States (as a percentage of the German average financial capacity) before and after equalisation payments are made between the States. &#10;In 2016, equalisation payments between the States narrowed the range of financial capacity to between 90.8 per cent of the average in Berlin and 106.7 per cent in Bavaria. Prior to equalisation payments the financial capacity ranged from between 69.6 and 118.4. States with below average financial capacity are ‘levelled up’ towards the German average, while States with above average fiscal capacity are ‘levelle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040000" cy="2992500"/>
                                      </a:xfrm>
                                      <a:prstGeom prst="rect">
                                        <a:avLst/>
                                      </a:prstGeom>
                                      <a:noFill/>
                                      <a:ln>
                                        <a:noFill/>
                                      </a:ln>
                                    </pic:spPr>
                                  </pic:pic>
                                </a:graphicData>
                              </a:graphic>
                            </wp:inline>
                          </w:drawing>
                        </w:r>
                      </w:p>
                    </w:tc>
                  </w:tr>
                </w:tbl>
                <w:p w14:paraId="7954C350" w14:textId="77777777" w:rsidR="00F05DC7" w:rsidRDefault="00F05DC7" w:rsidP="00A3786D">
                  <w:pPr>
                    <w:pStyle w:val="Figure"/>
                  </w:pPr>
                </w:p>
              </w:tc>
            </w:tr>
            <w:tr w:rsidR="00F05DC7" w:rsidRPr="00176D3F" w14:paraId="7954C353" w14:textId="77777777" w:rsidTr="00A3786D">
              <w:tc>
                <w:tcPr>
                  <w:tcW w:w="5000" w:type="pct"/>
                  <w:tcBorders>
                    <w:top w:val="nil"/>
                    <w:left w:val="nil"/>
                    <w:bottom w:val="nil"/>
                    <w:right w:val="nil"/>
                  </w:tcBorders>
                  <w:shd w:val="clear" w:color="auto" w:fill="auto"/>
                </w:tcPr>
                <w:p w14:paraId="7954C352" w14:textId="77777777" w:rsidR="00F05DC7" w:rsidRPr="00176D3F" w:rsidRDefault="00F05DC7" w:rsidP="00A3786D">
                  <w:pPr>
                    <w:pStyle w:val="Note"/>
                  </w:pPr>
                  <w:r>
                    <w:rPr>
                      <w:rStyle w:val="NoteLabel"/>
                    </w:rPr>
                    <w:t>a</w:t>
                  </w:r>
                  <w:r>
                    <w:t xml:space="preserve"> Adjustments are made to account for different population sizes and densities. </w:t>
                  </w:r>
                  <w:r>
                    <w:rPr>
                      <w:rStyle w:val="NoteLabel"/>
                    </w:rPr>
                    <w:t>b</w:t>
                  </w:r>
                  <w:r>
                    <w:t> Acronyms refer to German States</w:t>
                  </w:r>
                </w:p>
              </w:tc>
            </w:tr>
          </w:tbl>
          <w:p w14:paraId="7954C356" w14:textId="77777777" w:rsidR="00F05DC7" w:rsidRDefault="00F05DC7" w:rsidP="00A3786D">
            <w:pPr>
              <w:pStyle w:val="Box"/>
            </w:pPr>
          </w:p>
        </w:tc>
      </w:tr>
      <w:tr w:rsidR="00F05DC7" w14:paraId="7954C359" w14:textId="77777777" w:rsidTr="00A3786D">
        <w:tc>
          <w:tcPr>
            <w:tcW w:w="5000" w:type="pct"/>
            <w:tcBorders>
              <w:top w:val="nil"/>
              <w:left w:val="nil"/>
              <w:bottom w:val="nil"/>
              <w:right w:val="nil"/>
            </w:tcBorders>
            <w:shd w:val="clear" w:color="auto" w:fill="F2F2F2"/>
            <w:hideMark/>
          </w:tcPr>
          <w:p w14:paraId="7954C358" w14:textId="740E99C4" w:rsidR="00F05DC7" w:rsidRDefault="00F05DC7" w:rsidP="00A3786D">
            <w:pPr>
              <w:pStyle w:val="BoxSource"/>
            </w:pPr>
            <w:r>
              <w:rPr>
                <w:i/>
              </w:rPr>
              <w:t>Sources</w:t>
            </w:r>
            <w:r>
              <w:t xml:space="preserve">: Brumby, Carter and Greiner </w:t>
            </w:r>
            <w:r w:rsidRPr="00C97131">
              <w:rPr>
                <w:rFonts w:cs="Arial"/>
              </w:rPr>
              <w:t>(2012a)</w:t>
            </w:r>
            <w:r>
              <w:t xml:space="preserve">; Deutsche Bundesbank </w:t>
            </w:r>
            <w:r w:rsidRPr="00E37F97">
              <w:rPr>
                <w:rFonts w:cs="Arial"/>
              </w:rPr>
              <w:t>(2014)</w:t>
            </w:r>
            <w:r>
              <w:t>; Federal Ministry of Finance (Germany)</w:t>
            </w:r>
            <w:r>
              <w:rPr>
                <w:i/>
              </w:rPr>
              <w:t xml:space="preserve"> </w:t>
            </w:r>
            <w:r w:rsidRPr="00EC5CAA">
              <w:rPr>
                <w:rFonts w:cs="Arial"/>
              </w:rPr>
              <w:t>(2016, 2017)</w:t>
            </w:r>
            <w:r>
              <w:rPr>
                <w:i/>
              </w:rPr>
              <w:t>.</w:t>
            </w:r>
          </w:p>
        </w:tc>
      </w:tr>
      <w:tr w:rsidR="00F05DC7" w14:paraId="7954C35B" w14:textId="77777777" w:rsidTr="00A3786D">
        <w:tc>
          <w:tcPr>
            <w:tcW w:w="5000" w:type="pct"/>
            <w:tcBorders>
              <w:top w:val="nil"/>
              <w:left w:val="nil"/>
              <w:bottom w:val="single" w:sz="6" w:space="0" w:color="78A22F"/>
              <w:right w:val="nil"/>
            </w:tcBorders>
            <w:shd w:val="clear" w:color="auto" w:fill="F2F2F2"/>
          </w:tcPr>
          <w:p w14:paraId="7954C35A" w14:textId="77777777" w:rsidR="00F05DC7" w:rsidRDefault="00F05DC7" w:rsidP="00A3786D">
            <w:pPr>
              <w:pStyle w:val="Box"/>
              <w:spacing w:before="0" w:line="120" w:lineRule="exact"/>
            </w:pPr>
          </w:p>
        </w:tc>
      </w:tr>
      <w:tr w:rsidR="00F05DC7" w14:paraId="7954C35D" w14:textId="77777777" w:rsidTr="00A3786D">
        <w:tc>
          <w:tcPr>
            <w:tcW w:w="5000" w:type="pct"/>
            <w:tcBorders>
              <w:top w:val="single" w:sz="6" w:space="0" w:color="78A22F"/>
              <w:left w:val="nil"/>
              <w:bottom w:val="nil"/>
              <w:right w:val="nil"/>
            </w:tcBorders>
            <w:hideMark/>
          </w:tcPr>
          <w:p w14:paraId="7954C35C" w14:textId="77777777" w:rsidR="00F05DC7" w:rsidRPr="00D168A3" w:rsidRDefault="00F05DC7" w:rsidP="00A3786D">
            <w:pPr>
              <w:pStyle w:val="BoxSpaceBelow"/>
            </w:pPr>
          </w:p>
        </w:tc>
      </w:tr>
    </w:tbl>
    <w:p w14:paraId="7954C35E" w14:textId="77777777" w:rsidR="00F05DC7" w:rsidRPr="00D168A3"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361" w14:textId="77777777" w:rsidTr="00A3786D">
        <w:trPr>
          <w:tblHeader/>
        </w:trPr>
        <w:tc>
          <w:tcPr>
            <w:tcW w:w="5000" w:type="pct"/>
            <w:tcBorders>
              <w:top w:val="single" w:sz="6" w:space="0" w:color="78A22F"/>
              <w:left w:val="nil"/>
              <w:bottom w:val="nil"/>
              <w:right w:val="nil"/>
            </w:tcBorders>
            <w:shd w:val="clear" w:color="auto" w:fill="auto"/>
          </w:tcPr>
          <w:p w14:paraId="7954C35F" w14:textId="400EAF29" w:rsidR="00F05DC7" w:rsidRDefault="00F05DC7" w:rsidP="00A3786D">
            <w:pPr>
              <w:pStyle w:val="TableTitle"/>
            </w:pPr>
            <w:r>
              <w:rPr>
                <w:b w:val="0"/>
              </w:rPr>
              <w:t>Table E.2</w:t>
            </w:r>
            <w:r>
              <w:tab/>
              <w:t>Fiscal disparities in selected countries before and after equalisation</w:t>
            </w:r>
            <w:r w:rsidRPr="00182C79">
              <w:rPr>
                <w:rStyle w:val="NoteLabel"/>
                <w:b/>
              </w:rPr>
              <w:t>a</w:t>
            </w:r>
          </w:p>
          <w:p w14:paraId="7954C360" w14:textId="77777777" w:rsidR="00F05DC7" w:rsidRPr="00784A05" w:rsidRDefault="00F05DC7" w:rsidP="00A3786D">
            <w:pPr>
              <w:pStyle w:val="Subtitle"/>
            </w:pPr>
            <w:r>
              <w:t>2012</w:t>
            </w:r>
          </w:p>
        </w:tc>
      </w:tr>
      <w:tr w:rsidR="00F05DC7" w14:paraId="7954C39D"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40"/>
              <w:gridCol w:w="1766"/>
              <w:gridCol w:w="1638"/>
              <w:gridCol w:w="1895"/>
              <w:gridCol w:w="1766"/>
            </w:tblGrid>
            <w:tr w:rsidR="00F05DC7" w14:paraId="7954C365" w14:textId="77777777" w:rsidTr="00A3786D">
              <w:trPr>
                <w:tblHeader/>
              </w:trPr>
              <w:tc>
                <w:tcPr>
                  <w:tcW w:w="847" w:type="pct"/>
                  <w:tcBorders>
                    <w:top w:val="single" w:sz="6" w:space="0" w:color="BFBFBF"/>
                    <w:bottom w:val="single" w:sz="6" w:space="0" w:color="BFBFBF"/>
                  </w:tcBorders>
                  <w:shd w:val="clear" w:color="auto" w:fill="auto"/>
                  <w:tcMar>
                    <w:top w:w="28" w:type="dxa"/>
                  </w:tcMar>
                </w:tcPr>
                <w:p w14:paraId="7954C362" w14:textId="77777777" w:rsidR="00F05DC7" w:rsidRDefault="00F05DC7" w:rsidP="00A3786D">
                  <w:pPr>
                    <w:pStyle w:val="TableColumnHeading"/>
                    <w:jc w:val="left"/>
                  </w:pPr>
                  <w:r>
                    <w:t>Country</w:t>
                  </w:r>
                </w:p>
              </w:tc>
              <w:tc>
                <w:tcPr>
                  <w:tcW w:w="2001" w:type="pct"/>
                  <w:gridSpan w:val="2"/>
                  <w:tcBorders>
                    <w:top w:val="single" w:sz="6" w:space="0" w:color="BFBFBF"/>
                    <w:bottom w:val="single" w:sz="6" w:space="0" w:color="BFBFBF"/>
                  </w:tcBorders>
                </w:tcPr>
                <w:p w14:paraId="7954C363" w14:textId="77777777" w:rsidR="00F05DC7" w:rsidRDefault="00F05DC7" w:rsidP="00A3786D">
                  <w:pPr>
                    <w:pStyle w:val="TableColumnHeading"/>
                  </w:pPr>
                  <w:r>
                    <w:t>Gini coefficient of tax</w:t>
                  </w:r>
                  <w:r>
                    <w:noBreakHyphen/>
                    <w:t>raising capacity</w:t>
                  </w:r>
                </w:p>
              </w:tc>
              <w:tc>
                <w:tcPr>
                  <w:tcW w:w="2152" w:type="pct"/>
                  <w:gridSpan w:val="2"/>
                  <w:tcBorders>
                    <w:top w:val="single" w:sz="6" w:space="0" w:color="BFBFBF"/>
                    <w:bottom w:val="single" w:sz="6" w:space="0" w:color="BFBFBF"/>
                  </w:tcBorders>
                </w:tcPr>
                <w:p w14:paraId="7954C364" w14:textId="77777777" w:rsidR="00F05DC7" w:rsidRDefault="00F05DC7" w:rsidP="00A3786D">
                  <w:pPr>
                    <w:pStyle w:val="TableColumnHeading"/>
                    <w:ind w:right="28"/>
                  </w:pPr>
                  <w:r>
                    <w:t>Ratio of highest to lowest tax raising capacity</w:t>
                  </w:r>
                </w:p>
              </w:tc>
            </w:tr>
            <w:tr w:rsidR="00F05DC7" w14:paraId="7954C36B" w14:textId="77777777" w:rsidTr="00A3786D">
              <w:tc>
                <w:tcPr>
                  <w:tcW w:w="847" w:type="pct"/>
                  <w:tcBorders>
                    <w:top w:val="single" w:sz="6" w:space="0" w:color="BFBFBF"/>
                  </w:tcBorders>
                </w:tcPr>
                <w:p w14:paraId="7954C366" w14:textId="77777777" w:rsidR="00F05DC7" w:rsidRDefault="00F05DC7" w:rsidP="00A3786D">
                  <w:pPr>
                    <w:pStyle w:val="TableUnitsRow"/>
                    <w:jc w:val="left"/>
                  </w:pPr>
                </w:p>
              </w:tc>
              <w:tc>
                <w:tcPr>
                  <w:tcW w:w="1038" w:type="pct"/>
                  <w:tcBorders>
                    <w:top w:val="single" w:sz="6" w:space="0" w:color="BFBFBF"/>
                  </w:tcBorders>
                </w:tcPr>
                <w:p w14:paraId="7954C367" w14:textId="77777777" w:rsidR="00F05DC7" w:rsidRPr="00FF4094" w:rsidRDefault="00F05DC7" w:rsidP="00A3786D">
                  <w:pPr>
                    <w:pStyle w:val="TableUnitsRow"/>
                    <w:rPr>
                      <w:i/>
                    </w:rPr>
                  </w:pPr>
                  <w:r w:rsidRPr="00FF4094">
                    <w:rPr>
                      <w:i/>
                    </w:rPr>
                    <w:t>Before equalisation</w:t>
                  </w:r>
                </w:p>
              </w:tc>
              <w:tc>
                <w:tcPr>
                  <w:tcW w:w="963" w:type="pct"/>
                  <w:tcBorders>
                    <w:top w:val="single" w:sz="6" w:space="0" w:color="BFBFBF"/>
                  </w:tcBorders>
                </w:tcPr>
                <w:p w14:paraId="7954C368" w14:textId="77777777" w:rsidR="00F05DC7" w:rsidRPr="00FF4094" w:rsidRDefault="00F05DC7" w:rsidP="00A3786D">
                  <w:pPr>
                    <w:pStyle w:val="TableUnitsRow"/>
                    <w:rPr>
                      <w:i/>
                    </w:rPr>
                  </w:pPr>
                  <w:r w:rsidRPr="00FF4094">
                    <w:rPr>
                      <w:i/>
                    </w:rPr>
                    <w:t>After equalisation</w:t>
                  </w:r>
                </w:p>
              </w:tc>
              <w:tc>
                <w:tcPr>
                  <w:tcW w:w="1114" w:type="pct"/>
                  <w:tcBorders>
                    <w:top w:val="single" w:sz="6" w:space="0" w:color="BFBFBF"/>
                  </w:tcBorders>
                </w:tcPr>
                <w:p w14:paraId="7954C369" w14:textId="77777777" w:rsidR="00F05DC7" w:rsidRPr="00FF4094" w:rsidRDefault="00F05DC7" w:rsidP="00A3786D">
                  <w:pPr>
                    <w:pStyle w:val="TableUnitsRow"/>
                    <w:ind w:right="28"/>
                    <w:rPr>
                      <w:i/>
                    </w:rPr>
                  </w:pPr>
                  <w:r w:rsidRPr="006238D0">
                    <w:rPr>
                      <w:i/>
                    </w:rPr>
                    <w:t>Before equalisation</w:t>
                  </w:r>
                </w:p>
              </w:tc>
              <w:tc>
                <w:tcPr>
                  <w:tcW w:w="1038" w:type="pct"/>
                  <w:tcBorders>
                    <w:top w:val="single" w:sz="6" w:space="0" w:color="BFBFBF"/>
                  </w:tcBorders>
                </w:tcPr>
                <w:p w14:paraId="7954C36A" w14:textId="77777777" w:rsidR="00F05DC7" w:rsidRPr="00FF4094" w:rsidRDefault="00F05DC7" w:rsidP="00A3786D">
                  <w:pPr>
                    <w:pStyle w:val="TableUnitsRow"/>
                    <w:ind w:right="28"/>
                    <w:rPr>
                      <w:i/>
                    </w:rPr>
                  </w:pPr>
                  <w:r w:rsidRPr="006238D0">
                    <w:rPr>
                      <w:i/>
                    </w:rPr>
                    <w:t>After equalisation</w:t>
                  </w:r>
                </w:p>
              </w:tc>
            </w:tr>
            <w:tr w:rsidR="00F05DC7" w14:paraId="7954C371" w14:textId="77777777" w:rsidTr="00A3786D">
              <w:tc>
                <w:tcPr>
                  <w:tcW w:w="847" w:type="pct"/>
                </w:tcPr>
                <w:p w14:paraId="7954C36C" w14:textId="77777777" w:rsidR="00F05DC7" w:rsidRDefault="00F05DC7" w:rsidP="00A3786D">
                  <w:pPr>
                    <w:pStyle w:val="TableBodyText"/>
                    <w:jc w:val="left"/>
                  </w:pPr>
                  <w:r>
                    <w:t>Australia</w:t>
                  </w:r>
                </w:p>
              </w:tc>
              <w:tc>
                <w:tcPr>
                  <w:tcW w:w="1038" w:type="pct"/>
                </w:tcPr>
                <w:p w14:paraId="7954C36D" w14:textId="77777777" w:rsidR="00F05DC7" w:rsidRDefault="00F05DC7" w:rsidP="00A3786D">
                  <w:pPr>
                    <w:pStyle w:val="TableBodyText"/>
                  </w:pPr>
                  <w:r>
                    <w:t>0.07</w:t>
                  </w:r>
                </w:p>
              </w:tc>
              <w:tc>
                <w:tcPr>
                  <w:tcW w:w="963" w:type="pct"/>
                </w:tcPr>
                <w:p w14:paraId="7954C36E" w14:textId="77777777" w:rsidR="00F05DC7" w:rsidRDefault="00F05DC7" w:rsidP="00A3786D">
                  <w:pPr>
                    <w:pStyle w:val="TableBodyText"/>
                  </w:pPr>
                  <w:r>
                    <w:t>0.00</w:t>
                  </w:r>
                </w:p>
              </w:tc>
              <w:tc>
                <w:tcPr>
                  <w:tcW w:w="1114" w:type="pct"/>
                </w:tcPr>
                <w:p w14:paraId="7954C36F" w14:textId="77777777" w:rsidR="00F05DC7" w:rsidRDefault="00F05DC7" w:rsidP="00A3786D">
                  <w:pPr>
                    <w:pStyle w:val="TableBodyText"/>
                    <w:ind w:right="28"/>
                  </w:pPr>
                  <w:r>
                    <w:t>7.5</w:t>
                  </w:r>
                </w:p>
              </w:tc>
              <w:tc>
                <w:tcPr>
                  <w:tcW w:w="1038" w:type="pct"/>
                </w:tcPr>
                <w:p w14:paraId="7954C370" w14:textId="77777777" w:rsidR="00F05DC7" w:rsidRDefault="00F05DC7" w:rsidP="00A3786D">
                  <w:pPr>
                    <w:pStyle w:val="TableBodyText"/>
                    <w:ind w:right="28"/>
                  </w:pPr>
                  <w:r>
                    <w:t>1.0</w:t>
                  </w:r>
                </w:p>
              </w:tc>
            </w:tr>
            <w:tr w:rsidR="00F05DC7" w14:paraId="7954C377" w14:textId="77777777" w:rsidTr="00A3786D">
              <w:tc>
                <w:tcPr>
                  <w:tcW w:w="847" w:type="pct"/>
                </w:tcPr>
                <w:p w14:paraId="7954C372" w14:textId="77777777" w:rsidR="00F05DC7" w:rsidRDefault="00F05DC7" w:rsidP="00A3786D">
                  <w:pPr>
                    <w:pStyle w:val="TableBodyText"/>
                    <w:jc w:val="left"/>
                  </w:pPr>
                  <w:r>
                    <w:t>Austria</w:t>
                  </w:r>
                </w:p>
              </w:tc>
              <w:tc>
                <w:tcPr>
                  <w:tcW w:w="1038" w:type="pct"/>
                </w:tcPr>
                <w:p w14:paraId="7954C373" w14:textId="77777777" w:rsidR="00F05DC7" w:rsidRPr="00CB57E2" w:rsidRDefault="00F05DC7" w:rsidP="00A3786D">
                  <w:pPr>
                    <w:pStyle w:val="TableBodyText"/>
                  </w:pPr>
                  <w:r w:rsidRPr="00CB57E2">
                    <w:t>na</w:t>
                  </w:r>
                </w:p>
              </w:tc>
              <w:tc>
                <w:tcPr>
                  <w:tcW w:w="963" w:type="pct"/>
                </w:tcPr>
                <w:p w14:paraId="7954C374" w14:textId="77777777" w:rsidR="00F05DC7" w:rsidRDefault="00F05DC7" w:rsidP="00A3786D">
                  <w:pPr>
                    <w:pStyle w:val="TableBodyText"/>
                  </w:pPr>
                  <w:r>
                    <w:t>0.05</w:t>
                  </w:r>
                </w:p>
              </w:tc>
              <w:tc>
                <w:tcPr>
                  <w:tcW w:w="1114" w:type="pct"/>
                </w:tcPr>
                <w:p w14:paraId="7954C375" w14:textId="77777777" w:rsidR="00F05DC7" w:rsidRPr="00CB57E2" w:rsidRDefault="00F05DC7" w:rsidP="00A3786D">
                  <w:pPr>
                    <w:pStyle w:val="TableBodyText"/>
                    <w:ind w:right="28"/>
                  </w:pPr>
                  <w:r w:rsidRPr="00CB57E2">
                    <w:t>na</w:t>
                  </w:r>
                </w:p>
              </w:tc>
              <w:tc>
                <w:tcPr>
                  <w:tcW w:w="1038" w:type="pct"/>
                </w:tcPr>
                <w:p w14:paraId="7954C376" w14:textId="77777777" w:rsidR="00F05DC7" w:rsidRDefault="00F05DC7" w:rsidP="00A3786D">
                  <w:pPr>
                    <w:pStyle w:val="TableBodyText"/>
                    <w:ind w:right="28"/>
                  </w:pPr>
                  <w:r>
                    <w:t>1.5</w:t>
                  </w:r>
                </w:p>
              </w:tc>
            </w:tr>
            <w:tr w:rsidR="00F05DC7" w14:paraId="7954C37D" w14:textId="77777777" w:rsidTr="00A3786D">
              <w:tc>
                <w:tcPr>
                  <w:tcW w:w="847" w:type="pct"/>
                </w:tcPr>
                <w:p w14:paraId="7954C378" w14:textId="77777777" w:rsidR="00F05DC7" w:rsidRDefault="00F05DC7" w:rsidP="00A3786D">
                  <w:pPr>
                    <w:pStyle w:val="TableBodyText"/>
                    <w:jc w:val="left"/>
                  </w:pPr>
                  <w:r>
                    <w:t>Canada</w:t>
                  </w:r>
                </w:p>
              </w:tc>
              <w:tc>
                <w:tcPr>
                  <w:tcW w:w="1038" w:type="pct"/>
                </w:tcPr>
                <w:p w14:paraId="7954C379" w14:textId="77777777" w:rsidR="00F05DC7" w:rsidRDefault="00F05DC7" w:rsidP="00A3786D">
                  <w:pPr>
                    <w:pStyle w:val="TableBodyText"/>
                  </w:pPr>
                  <w:r>
                    <w:t>0.11</w:t>
                  </w:r>
                </w:p>
              </w:tc>
              <w:tc>
                <w:tcPr>
                  <w:tcW w:w="963" w:type="pct"/>
                </w:tcPr>
                <w:p w14:paraId="7954C37A" w14:textId="77777777" w:rsidR="00F05DC7" w:rsidRDefault="00F05DC7" w:rsidP="00A3786D">
                  <w:pPr>
                    <w:pStyle w:val="TableBodyText"/>
                  </w:pPr>
                  <w:r>
                    <w:t>0.08</w:t>
                  </w:r>
                </w:p>
              </w:tc>
              <w:tc>
                <w:tcPr>
                  <w:tcW w:w="1114" w:type="pct"/>
                </w:tcPr>
                <w:p w14:paraId="7954C37B" w14:textId="77777777" w:rsidR="00F05DC7" w:rsidRDefault="00F05DC7" w:rsidP="00A3786D">
                  <w:pPr>
                    <w:pStyle w:val="TableBodyText"/>
                    <w:ind w:right="28"/>
                  </w:pPr>
                  <w:r>
                    <w:t>2.4</w:t>
                  </w:r>
                </w:p>
              </w:tc>
              <w:tc>
                <w:tcPr>
                  <w:tcW w:w="1038" w:type="pct"/>
                </w:tcPr>
                <w:p w14:paraId="7954C37C" w14:textId="77777777" w:rsidR="00F05DC7" w:rsidRDefault="00F05DC7" w:rsidP="00A3786D">
                  <w:pPr>
                    <w:pStyle w:val="TableBodyText"/>
                    <w:ind w:right="28"/>
                  </w:pPr>
                  <w:r>
                    <w:t>1.8</w:t>
                  </w:r>
                </w:p>
              </w:tc>
            </w:tr>
            <w:tr w:rsidR="00F05DC7" w14:paraId="7954C383" w14:textId="77777777" w:rsidTr="00A3786D">
              <w:tc>
                <w:tcPr>
                  <w:tcW w:w="847" w:type="pct"/>
                </w:tcPr>
                <w:p w14:paraId="7954C37E" w14:textId="77777777" w:rsidR="00F05DC7" w:rsidRDefault="00F05DC7" w:rsidP="00A3786D">
                  <w:pPr>
                    <w:pStyle w:val="TableBodyText"/>
                    <w:jc w:val="left"/>
                  </w:pPr>
                  <w:r>
                    <w:t>China (2010)</w:t>
                  </w:r>
                </w:p>
              </w:tc>
              <w:tc>
                <w:tcPr>
                  <w:tcW w:w="1038" w:type="pct"/>
                </w:tcPr>
                <w:p w14:paraId="7954C37F" w14:textId="77777777" w:rsidR="00F05DC7" w:rsidRDefault="00F05DC7" w:rsidP="00A3786D">
                  <w:pPr>
                    <w:pStyle w:val="TableBodyText"/>
                  </w:pPr>
                  <w:r>
                    <w:t>0.31</w:t>
                  </w:r>
                </w:p>
              </w:tc>
              <w:tc>
                <w:tcPr>
                  <w:tcW w:w="963" w:type="pct"/>
                </w:tcPr>
                <w:p w14:paraId="7954C380" w14:textId="77777777" w:rsidR="00F05DC7" w:rsidRDefault="00F05DC7" w:rsidP="00A3786D">
                  <w:pPr>
                    <w:pStyle w:val="TableBodyText"/>
                  </w:pPr>
                  <w:r>
                    <w:t>0.18</w:t>
                  </w:r>
                </w:p>
              </w:tc>
              <w:tc>
                <w:tcPr>
                  <w:tcW w:w="1114" w:type="pct"/>
                </w:tcPr>
                <w:p w14:paraId="7954C381" w14:textId="77777777" w:rsidR="00F05DC7" w:rsidRDefault="00F05DC7" w:rsidP="00A3786D">
                  <w:pPr>
                    <w:pStyle w:val="TableBodyText"/>
                    <w:ind w:right="28"/>
                  </w:pPr>
                  <w:r>
                    <w:t>10.3</w:t>
                  </w:r>
                </w:p>
              </w:tc>
              <w:tc>
                <w:tcPr>
                  <w:tcW w:w="1038" w:type="pct"/>
                </w:tcPr>
                <w:p w14:paraId="7954C382" w14:textId="77777777" w:rsidR="00F05DC7" w:rsidRDefault="00F05DC7" w:rsidP="00A3786D">
                  <w:pPr>
                    <w:pStyle w:val="TableBodyText"/>
                    <w:ind w:right="28"/>
                  </w:pPr>
                  <w:r>
                    <w:t>5.3</w:t>
                  </w:r>
                </w:p>
              </w:tc>
            </w:tr>
            <w:tr w:rsidR="00F05DC7" w14:paraId="7954C389" w14:textId="77777777" w:rsidTr="00A3786D">
              <w:tc>
                <w:tcPr>
                  <w:tcW w:w="847" w:type="pct"/>
                </w:tcPr>
                <w:p w14:paraId="7954C384" w14:textId="77777777" w:rsidR="00F05DC7" w:rsidRDefault="00F05DC7" w:rsidP="00A3786D">
                  <w:pPr>
                    <w:pStyle w:val="TableBodyText"/>
                    <w:jc w:val="left"/>
                  </w:pPr>
                  <w:r>
                    <w:t>Germany (2005)</w:t>
                  </w:r>
                </w:p>
              </w:tc>
              <w:tc>
                <w:tcPr>
                  <w:tcW w:w="1038" w:type="pct"/>
                </w:tcPr>
                <w:p w14:paraId="7954C385" w14:textId="77777777" w:rsidR="00F05DC7" w:rsidRDefault="00F05DC7" w:rsidP="00A3786D">
                  <w:pPr>
                    <w:pStyle w:val="TableBodyText"/>
                  </w:pPr>
                  <w:r>
                    <w:t>0.06</w:t>
                  </w:r>
                </w:p>
              </w:tc>
              <w:tc>
                <w:tcPr>
                  <w:tcW w:w="963" w:type="pct"/>
                </w:tcPr>
                <w:p w14:paraId="7954C386" w14:textId="77777777" w:rsidR="00F05DC7" w:rsidRDefault="00F05DC7" w:rsidP="00A3786D">
                  <w:pPr>
                    <w:pStyle w:val="TableBodyText"/>
                  </w:pPr>
                  <w:r>
                    <w:t>0.02</w:t>
                  </w:r>
                </w:p>
              </w:tc>
              <w:tc>
                <w:tcPr>
                  <w:tcW w:w="1114" w:type="pct"/>
                </w:tcPr>
                <w:p w14:paraId="7954C387" w14:textId="77777777" w:rsidR="00F05DC7" w:rsidRDefault="00F05DC7" w:rsidP="00A3786D">
                  <w:pPr>
                    <w:pStyle w:val="TableBodyText"/>
                    <w:ind w:right="28"/>
                  </w:pPr>
                  <w:r>
                    <w:t>1.7</w:t>
                  </w:r>
                </w:p>
              </w:tc>
              <w:tc>
                <w:tcPr>
                  <w:tcW w:w="1038" w:type="pct"/>
                </w:tcPr>
                <w:p w14:paraId="7954C388" w14:textId="77777777" w:rsidR="00F05DC7" w:rsidRDefault="00F05DC7" w:rsidP="00A3786D">
                  <w:pPr>
                    <w:pStyle w:val="TableBodyText"/>
                    <w:ind w:right="28"/>
                  </w:pPr>
                  <w:r>
                    <w:t>1.1</w:t>
                  </w:r>
                </w:p>
              </w:tc>
            </w:tr>
            <w:tr w:rsidR="00F05DC7" w14:paraId="7954C38F" w14:textId="77777777" w:rsidTr="00A3786D">
              <w:tc>
                <w:tcPr>
                  <w:tcW w:w="847" w:type="pct"/>
                </w:tcPr>
                <w:p w14:paraId="7954C38A" w14:textId="77777777" w:rsidR="00F05DC7" w:rsidRDefault="00F05DC7" w:rsidP="00A3786D">
                  <w:pPr>
                    <w:pStyle w:val="TableBodyText"/>
                    <w:jc w:val="left"/>
                  </w:pPr>
                  <w:r>
                    <w:t>Italy</w:t>
                  </w:r>
                </w:p>
              </w:tc>
              <w:tc>
                <w:tcPr>
                  <w:tcW w:w="1038" w:type="pct"/>
                </w:tcPr>
                <w:p w14:paraId="7954C38B" w14:textId="77777777" w:rsidR="00F05DC7" w:rsidRDefault="00F05DC7" w:rsidP="00A3786D">
                  <w:pPr>
                    <w:pStyle w:val="TableBodyText"/>
                  </w:pPr>
                  <w:r>
                    <w:t>0.19</w:t>
                  </w:r>
                </w:p>
              </w:tc>
              <w:tc>
                <w:tcPr>
                  <w:tcW w:w="963" w:type="pct"/>
                </w:tcPr>
                <w:p w14:paraId="7954C38C" w14:textId="77777777" w:rsidR="00F05DC7" w:rsidRDefault="00F05DC7" w:rsidP="00A3786D">
                  <w:pPr>
                    <w:pStyle w:val="TableBodyText"/>
                  </w:pPr>
                  <w:r>
                    <w:t>0.04</w:t>
                  </w:r>
                </w:p>
              </w:tc>
              <w:tc>
                <w:tcPr>
                  <w:tcW w:w="1114" w:type="pct"/>
                </w:tcPr>
                <w:p w14:paraId="7954C38D" w14:textId="77777777" w:rsidR="00F05DC7" w:rsidRDefault="00F05DC7" w:rsidP="00A3786D">
                  <w:pPr>
                    <w:pStyle w:val="TableBodyText"/>
                    <w:ind w:right="28"/>
                  </w:pPr>
                  <w:r>
                    <w:t>4.5</w:t>
                  </w:r>
                </w:p>
              </w:tc>
              <w:tc>
                <w:tcPr>
                  <w:tcW w:w="1038" w:type="pct"/>
                </w:tcPr>
                <w:p w14:paraId="7954C38E" w14:textId="77777777" w:rsidR="00F05DC7" w:rsidRDefault="00F05DC7" w:rsidP="00A3786D">
                  <w:pPr>
                    <w:pStyle w:val="TableBodyText"/>
                    <w:ind w:right="28"/>
                  </w:pPr>
                  <w:r>
                    <w:t>1.3</w:t>
                  </w:r>
                </w:p>
              </w:tc>
            </w:tr>
            <w:tr w:rsidR="00F05DC7" w14:paraId="7954C395" w14:textId="77777777" w:rsidTr="00A3786D">
              <w:tc>
                <w:tcPr>
                  <w:tcW w:w="847" w:type="pct"/>
                </w:tcPr>
                <w:p w14:paraId="7954C390" w14:textId="77777777" w:rsidR="00F05DC7" w:rsidRDefault="00F05DC7" w:rsidP="00A3786D">
                  <w:pPr>
                    <w:pStyle w:val="TableBodyText"/>
                    <w:jc w:val="left"/>
                  </w:pPr>
                  <w:r>
                    <w:t>Spain</w:t>
                  </w:r>
                </w:p>
              </w:tc>
              <w:tc>
                <w:tcPr>
                  <w:tcW w:w="1038" w:type="pct"/>
                </w:tcPr>
                <w:p w14:paraId="7954C391" w14:textId="77777777" w:rsidR="00F05DC7" w:rsidRDefault="00F05DC7" w:rsidP="00A3786D">
                  <w:pPr>
                    <w:pStyle w:val="TableBodyText"/>
                  </w:pPr>
                  <w:r>
                    <w:t>0.13</w:t>
                  </w:r>
                </w:p>
              </w:tc>
              <w:tc>
                <w:tcPr>
                  <w:tcW w:w="963" w:type="pct"/>
                </w:tcPr>
                <w:p w14:paraId="7954C392" w14:textId="77777777" w:rsidR="00F05DC7" w:rsidRDefault="00F05DC7" w:rsidP="00A3786D">
                  <w:pPr>
                    <w:pStyle w:val="TableBodyText"/>
                  </w:pPr>
                  <w:r>
                    <w:t>0.05</w:t>
                  </w:r>
                </w:p>
              </w:tc>
              <w:tc>
                <w:tcPr>
                  <w:tcW w:w="1114" w:type="pct"/>
                </w:tcPr>
                <w:p w14:paraId="7954C393" w14:textId="77777777" w:rsidR="00F05DC7" w:rsidRDefault="00F05DC7" w:rsidP="00A3786D">
                  <w:pPr>
                    <w:pStyle w:val="TableBodyText"/>
                    <w:ind w:right="28"/>
                  </w:pPr>
                  <w:r>
                    <w:t>3.0</w:t>
                  </w:r>
                </w:p>
              </w:tc>
              <w:tc>
                <w:tcPr>
                  <w:tcW w:w="1038" w:type="pct"/>
                </w:tcPr>
                <w:p w14:paraId="7954C394" w14:textId="77777777" w:rsidR="00F05DC7" w:rsidRDefault="00F05DC7" w:rsidP="00A3786D">
                  <w:pPr>
                    <w:pStyle w:val="TableBodyText"/>
                    <w:ind w:right="28"/>
                  </w:pPr>
                  <w:r>
                    <w:t>1.4</w:t>
                  </w:r>
                </w:p>
              </w:tc>
            </w:tr>
            <w:tr w:rsidR="00F05DC7" w14:paraId="7954C39B" w14:textId="77777777" w:rsidTr="00A3786D">
              <w:tc>
                <w:tcPr>
                  <w:tcW w:w="847" w:type="pct"/>
                  <w:tcBorders>
                    <w:bottom w:val="single" w:sz="6" w:space="0" w:color="BFBFBF"/>
                  </w:tcBorders>
                  <w:shd w:val="clear" w:color="auto" w:fill="auto"/>
                </w:tcPr>
                <w:p w14:paraId="7954C396" w14:textId="77777777" w:rsidR="00F05DC7" w:rsidRDefault="00F05DC7" w:rsidP="00A3786D">
                  <w:pPr>
                    <w:pStyle w:val="TableBodyText"/>
                    <w:jc w:val="left"/>
                  </w:pPr>
                  <w:r>
                    <w:t>Switzerland</w:t>
                  </w:r>
                </w:p>
              </w:tc>
              <w:tc>
                <w:tcPr>
                  <w:tcW w:w="1038" w:type="pct"/>
                  <w:tcBorders>
                    <w:bottom w:val="single" w:sz="6" w:space="0" w:color="BFBFBF"/>
                  </w:tcBorders>
                </w:tcPr>
                <w:p w14:paraId="7954C397" w14:textId="77777777" w:rsidR="00F05DC7" w:rsidRDefault="00F05DC7" w:rsidP="00A3786D">
                  <w:pPr>
                    <w:pStyle w:val="TableBodyText"/>
                  </w:pPr>
                  <w:r>
                    <w:t>0.17</w:t>
                  </w:r>
                </w:p>
              </w:tc>
              <w:tc>
                <w:tcPr>
                  <w:tcW w:w="963" w:type="pct"/>
                  <w:tcBorders>
                    <w:bottom w:val="single" w:sz="6" w:space="0" w:color="BFBFBF"/>
                  </w:tcBorders>
                  <w:shd w:val="clear" w:color="auto" w:fill="auto"/>
                </w:tcPr>
                <w:p w14:paraId="7954C398" w14:textId="77777777" w:rsidR="00F05DC7" w:rsidRDefault="00F05DC7" w:rsidP="00A3786D">
                  <w:pPr>
                    <w:pStyle w:val="TableBodyText"/>
                  </w:pPr>
                  <w:r>
                    <w:t>0.11</w:t>
                  </w:r>
                </w:p>
              </w:tc>
              <w:tc>
                <w:tcPr>
                  <w:tcW w:w="1114" w:type="pct"/>
                  <w:tcBorders>
                    <w:bottom w:val="single" w:sz="6" w:space="0" w:color="BFBFBF"/>
                  </w:tcBorders>
                </w:tcPr>
                <w:p w14:paraId="7954C399" w14:textId="77777777" w:rsidR="00F05DC7" w:rsidRDefault="00F05DC7" w:rsidP="00A3786D">
                  <w:pPr>
                    <w:pStyle w:val="TableBodyText"/>
                    <w:ind w:right="28"/>
                  </w:pPr>
                  <w:r>
                    <w:t>4.3</w:t>
                  </w:r>
                </w:p>
              </w:tc>
              <w:tc>
                <w:tcPr>
                  <w:tcW w:w="1038" w:type="pct"/>
                  <w:tcBorders>
                    <w:bottom w:val="single" w:sz="6" w:space="0" w:color="BFBFBF"/>
                  </w:tcBorders>
                  <w:shd w:val="clear" w:color="auto" w:fill="auto"/>
                </w:tcPr>
                <w:p w14:paraId="7954C39A" w14:textId="77777777" w:rsidR="00F05DC7" w:rsidRDefault="00F05DC7" w:rsidP="00A3786D">
                  <w:pPr>
                    <w:pStyle w:val="TableBodyText"/>
                    <w:ind w:right="28"/>
                  </w:pPr>
                  <w:r>
                    <w:t>2.6</w:t>
                  </w:r>
                </w:p>
              </w:tc>
            </w:tr>
          </w:tbl>
          <w:p w14:paraId="7954C39C" w14:textId="77777777" w:rsidR="00F05DC7" w:rsidRDefault="00F05DC7" w:rsidP="00A3786D">
            <w:pPr>
              <w:pStyle w:val="Box"/>
            </w:pPr>
          </w:p>
        </w:tc>
      </w:tr>
      <w:tr w:rsidR="00F05DC7" w14:paraId="7954C39F" w14:textId="77777777" w:rsidTr="00A3786D">
        <w:tc>
          <w:tcPr>
            <w:tcW w:w="5000" w:type="pct"/>
            <w:tcBorders>
              <w:top w:val="nil"/>
              <w:left w:val="nil"/>
              <w:bottom w:val="nil"/>
              <w:right w:val="nil"/>
            </w:tcBorders>
            <w:shd w:val="clear" w:color="auto" w:fill="auto"/>
          </w:tcPr>
          <w:p w14:paraId="7954C39E" w14:textId="77777777" w:rsidR="00F05DC7" w:rsidRPr="00167003" w:rsidRDefault="00F05DC7" w:rsidP="00A3786D">
            <w:pPr>
              <w:pStyle w:val="Note"/>
            </w:pPr>
            <w:r>
              <w:rPr>
                <w:rStyle w:val="NoteLabel"/>
              </w:rPr>
              <w:t>a</w:t>
            </w:r>
            <w:r>
              <w:t> </w:t>
            </w:r>
            <w:r w:rsidRPr="00167003">
              <w:t xml:space="preserve">The </w:t>
            </w:r>
            <w:r>
              <w:t>G</w:t>
            </w:r>
            <w:r w:rsidRPr="00167003">
              <w:t xml:space="preserve">ini coefficient </w:t>
            </w:r>
            <w:r>
              <w:t>measures the</w:t>
            </w:r>
            <w:r w:rsidRPr="00167003">
              <w:t xml:space="preserve"> </w:t>
            </w:r>
            <w:r w:rsidRPr="00D31655">
              <w:t>statistical dispersion</w:t>
            </w:r>
            <w:r>
              <w:t xml:space="preserve"> (spread)</w:t>
            </w:r>
            <w:r w:rsidRPr="00167003">
              <w:t xml:space="preserve"> </w:t>
            </w:r>
            <w:r w:rsidRPr="00D31655">
              <w:t>of fiscal capacity among sub</w:t>
            </w:r>
            <w:r>
              <w:noBreakHyphen/>
            </w:r>
            <w:r w:rsidRPr="00167003">
              <w:t>central governments</w:t>
            </w:r>
            <w:r>
              <w:t xml:space="preserve">. The Gini coefficient and ratio of highest to lowest tax raising capacity both provide a measure of variability in fiscal capacity — they do not measure the extent that economic disparities are eliminated. </w:t>
            </w:r>
            <w:r w:rsidRPr="00B84C39">
              <w:rPr>
                <w:b/>
              </w:rPr>
              <w:t>na</w:t>
            </w:r>
            <w:r>
              <w:t xml:space="preserve"> Not available</w:t>
            </w:r>
          </w:p>
        </w:tc>
      </w:tr>
      <w:tr w:rsidR="00F05DC7" w14:paraId="7954C3A1" w14:textId="77777777" w:rsidTr="00A3786D">
        <w:tc>
          <w:tcPr>
            <w:tcW w:w="5000" w:type="pct"/>
            <w:tcBorders>
              <w:top w:val="nil"/>
              <w:left w:val="nil"/>
              <w:bottom w:val="nil"/>
              <w:right w:val="nil"/>
            </w:tcBorders>
            <w:shd w:val="clear" w:color="auto" w:fill="auto"/>
          </w:tcPr>
          <w:p w14:paraId="7954C3A0" w14:textId="15709F94" w:rsidR="00F05DC7" w:rsidRDefault="00F05DC7" w:rsidP="009D6331">
            <w:pPr>
              <w:pStyle w:val="Source"/>
            </w:pPr>
            <w:r>
              <w:rPr>
                <w:i/>
              </w:rPr>
              <w:t>Source</w:t>
            </w:r>
            <w:r w:rsidRPr="00167F06">
              <w:t xml:space="preserve">: </w:t>
            </w:r>
            <w:r w:rsidRPr="00FF4094">
              <w:rPr>
                <w:szCs w:val="18"/>
              </w:rPr>
              <w:t>OECD</w:t>
            </w:r>
            <w:r>
              <w:rPr>
                <w:szCs w:val="18"/>
              </w:rPr>
              <w:t> </w:t>
            </w:r>
            <w:r w:rsidR="009D6331" w:rsidRPr="009D6331">
              <w:rPr>
                <w:rFonts w:cs="Arial"/>
                <w:szCs w:val="24"/>
              </w:rPr>
              <w:t>(2013, p. 105)</w:t>
            </w:r>
            <w:r>
              <w:rPr>
                <w:szCs w:val="18"/>
              </w:rPr>
              <w:t>.</w:t>
            </w:r>
          </w:p>
        </w:tc>
      </w:tr>
      <w:tr w:rsidR="00F05DC7" w14:paraId="7954C3A3" w14:textId="77777777" w:rsidTr="00A3786D">
        <w:tc>
          <w:tcPr>
            <w:tcW w:w="5000" w:type="pct"/>
            <w:tcBorders>
              <w:top w:val="nil"/>
              <w:left w:val="nil"/>
              <w:bottom w:val="single" w:sz="6" w:space="0" w:color="78A22F"/>
              <w:right w:val="nil"/>
            </w:tcBorders>
            <w:shd w:val="clear" w:color="auto" w:fill="auto"/>
          </w:tcPr>
          <w:p w14:paraId="7954C3A2" w14:textId="77777777" w:rsidR="00F05DC7" w:rsidRDefault="00F05DC7" w:rsidP="00A3786D">
            <w:pPr>
              <w:pStyle w:val="Box"/>
              <w:spacing w:before="0" w:line="120" w:lineRule="exact"/>
            </w:pPr>
          </w:p>
        </w:tc>
      </w:tr>
      <w:tr w:rsidR="00F05DC7" w:rsidRPr="000863A5" w14:paraId="7954C3A5" w14:textId="77777777" w:rsidTr="00A3786D">
        <w:tc>
          <w:tcPr>
            <w:tcW w:w="5000" w:type="pct"/>
            <w:tcBorders>
              <w:top w:val="single" w:sz="6" w:space="0" w:color="78A22F"/>
              <w:left w:val="nil"/>
              <w:bottom w:val="nil"/>
              <w:right w:val="nil"/>
            </w:tcBorders>
          </w:tcPr>
          <w:p w14:paraId="7954C3A4" w14:textId="77777777" w:rsidR="00F05DC7" w:rsidRPr="00D168A3" w:rsidRDefault="00F05DC7" w:rsidP="00A3786D">
            <w:pPr>
              <w:pStyle w:val="BoxSpaceBelow"/>
            </w:pPr>
          </w:p>
        </w:tc>
      </w:tr>
    </w:tbl>
    <w:p w14:paraId="7954C3A6" w14:textId="77777777" w:rsidR="00F05DC7" w:rsidRPr="00D05464" w:rsidRDefault="00F05DC7" w:rsidP="00A3786D">
      <w:pPr>
        <w:pStyle w:val="Heading3"/>
      </w:pPr>
      <w:r>
        <w:t>Not all revenue or costs are equalised</w:t>
      </w:r>
    </w:p>
    <w:p w14:paraId="7954C3A7" w14:textId="77777777" w:rsidR="00F05DC7" w:rsidRPr="00151738" w:rsidRDefault="00F05DC7" w:rsidP="00A3786D">
      <w:pPr>
        <w:pStyle w:val="BodyText"/>
      </w:pPr>
      <w:r w:rsidRPr="00C801B8">
        <w:t>Fiscal equalisation across the OECD is given effect through revenue equalisation, cost equalisation</w:t>
      </w:r>
      <w:r>
        <w:t xml:space="preserve"> </w:t>
      </w:r>
      <w:r w:rsidRPr="00C801B8">
        <w:t>or a combination of th</w:t>
      </w:r>
      <w:r>
        <w:t>e two (as occurs in Australia).</w:t>
      </w:r>
      <w:r w:rsidRPr="00282527">
        <w:rPr>
          <w:rStyle w:val="FootnoteReference"/>
        </w:rPr>
        <w:footnoteReference w:id="29"/>
      </w:r>
      <w:r>
        <w:t xml:space="preserve"> The </w:t>
      </w:r>
      <w:r w:rsidRPr="00151738">
        <w:t>relative reliance on cost and revenue equalisation varies considerably among OECD</w:t>
      </w:r>
      <w:r>
        <w:t xml:space="preserve"> </w:t>
      </w:r>
      <w:r w:rsidRPr="00151738">
        <w:t>countries. For example:</w:t>
      </w:r>
    </w:p>
    <w:p w14:paraId="7954C3A8" w14:textId="6C2F5F6C" w:rsidR="00F05DC7" w:rsidRPr="00DD5A42" w:rsidRDefault="00F05DC7" w:rsidP="00A3786D">
      <w:pPr>
        <w:pStyle w:val="ListBullet"/>
      </w:pPr>
      <w:r>
        <w:t xml:space="preserve">in </w:t>
      </w:r>
      <w:r w:rsidRPr="00DD5A42">
        <w:t>Canada</w:t>
      </w:r>
      <w:r>
        <w:t xml:space="preserve">, provincial governments are equalised based on revenue raising capacity only. The three territorial governments are equalised through a separate formula (territorial formula financing) that considers both revenue raising capacity and expenditure needs </w:t>
      </w:r>
      <w:r w:rsidR="009D6331" w:rsidRPr="009D6331">
        <w:rPr>
          <w:szCs w:val="24"/>
        </w:rPr>
        <w:t>(Department of Finance (Canada) 2012)</w:t>
      </w:r>
    </w:p>
    <w:p w14:paraId="7954C3A9" w14:textId="6FD9A863" w:rsidR="00F05DC7" w:rsidRDefault="00F05DC7" w:rsidP="00A3786D">
      <w:pPr>
        <w:pStyle w:val="ListBullet"/>
      </w:pPr>
      <w:r>
        <w:t xml:space="preserve">in </w:t>
      </w:r>
      <w:r w:rsidRPr="00DD5A42">
        <w:t>Germany</w:t>
      </w:r>
      <w:r>
        <w:t>, the focus is on revenue (both horizontal and vertical) equalisation. A</w:t>
      </w:r>
      <w:r w:rsidRPr="00DD5A42">
        <w:t xml:space="preserve">djustments </w:t>
      </w:r>
      <w:r>
        <w:t>are made to account</w:t>
      </w:r>
      <w:r w:rsidRPr="00DD5A42">
        <w:t xml:space="preserve"> </w:t>
      </w:r>
      <w:r>
        <w:t xml:space="preserve">for different population sizes and densities </w:t>
      </w:r>
      <w:r w:rsidR="009D6331" w:rsidRPr="009D6331">
        <w:rPr>
          <w:szCs w:val="24"/>
        </w:rPr>
        <w:t>(Brumby, Carter and Greiner 2012b, p. 5)</w:t>
      </w:r>
    </w:p>
    <w:p w14:paraId="7954C3AA" w14:textId="03232AAC" w:rsidR="00F05DC7" w:rsidRPr="0021199C" w:rsidRDefault="00F05DC7" w:rsidP="00A3786D">
      <w:pPr>
        <w:pStyle w:val="ListBullet"/>
      </w:pPr>
      <w:r>
        <w:t xml:space="preserve">in Switzerland, while there is a focus on revenue equalisation, substantial adjustments are made to account for </w:t>
      </w:r>
      <w:r>
        <w:rPr>
          <w:shd w:val="clear" w:color="auto" w:fill="FFFFFF"/>
        </w:rPr>
        <w:t>geographical/topographic and socio</w:t>
      </w:r>
      <w:r>
        <w:rPr>
          <w:shd w:val="clear" w:color="auto" w:fill="FFFFFF"/>
        </w:rPr>
        <w:noBreakHyphen/>
        <w:t xml:space="preserve">demographic factors that result in higher costs of providing services </w:t>
      </w:r>
      <w:r w:rsidR="009D6331" w:rsidRPr="009D6331">
        <w:rPr>
          <w:szCs w:val="24"/>
        </w:rPr>
        <w:t>(Federal Department of Finance (Switzerland) 2018)</w:t>
      </w:r>
      <w:r>
        <w:rPr>
          <w:shd w:val="clear" w:color="auto" w:fill="FFFFFF"/>
        </w:rPr>
        <w:t>.</w:t>
      </w:r>
    </w:p>
    <w:p w14:paraId="7954C3AB" w14:textId="77777777" w:rsidR="00F05DC7" w:rsidRDefault="00F05DC7" w:rsidP="00A3786D">
      <w:pPr>
        <w:pStyle w:val="Heading4"/>
      </w:pPr>
      <w:r>
        <w:lastRenderedPageBreak/>
        <w:t>Approaches to revenue equalisation</w:t>
      </w:r>
    </w:p>
    <w:p w14:paraId="7954C3AC" w14:textId="5C682A96" w:rsidR="00F05DC7" w:rsidRDefault="00F05DC7" w:rsidP="00A3786D">
      <w:pPr>
        <w:pStyle w:val="BodyText"/>
      </w:pPr>
      <w:r>
        <w:t>OECD</w:t>
      </w:r>
      <w:r w:rsidRPr="00724E36">
        <w:t xml:space="preserve"> countries </w:t>
      </w:r>
      <w:r>
        <w:t>use</w:t>
      </w:r>
      <w:r w:rsidRPr="00724E36">
        <w:t xml:space="preserve"> various approaches to </w:t>
      </w:r>
      <w:r>
        <w:t>estimate</w:t>
      </w:r>
      <w:r w:rsidRPr="00724E36">
        <w:t xml:space="preserve"> </w:t>
      </w:r>
      <w:r>
        <w:t>sub</w:t>
      </w:r>
      <w:r>
        <w:noBreakHyphen/>
        <w:t>central governments</w:t>
      </w:r>
      <w:r w:rsidRPr="00724E36">
        <w:t xml:space="preserve">’ revenue raising capacity. </w:t>
      </w:r>
      <w:r>
        <w:t>One approach — adopted by many countries — is to use a ‘</w:t>
      </w:r>
      <w:r w:rsidRPr="00724E36">
        <w:t>representative</w:t>
      </w:r>
      <w:r>
        <w:t>’</w:t>
      </w:r>
      <w:r w:rsidRPr="00724E36">
        <w:t xml:space="preserve"> tax system</w:t>
      </w:r>
      <w:r>
        <w:t xml:space="preserve">, although countries differ on what they consider to be representative. </w:t>
      </w:r>
      <w:r w:rsidRPr="00667BA4">
        <w:t>These approaches are based on ‘internal standards’ — what jurisdictions actually do</w:t>
      </w:r>
      <w:r>
        <w:t xml:space="preserve"> </w:t>
      </w:r>
      <w:r w:rsidR="009D6331" w:rsidRPr="009D6331">
        <w:rPr>
          <w:szCs w:val="24"/>
        </w:rPr>
        <w:t>(OECD 2013, pp. 103–104)</w:t>
      </w:r>
      <w:r w:rsidRPr="00667BA4">
        <w:t>. No country appears to use an ‘external standard’ (that is, some concept of optimal policy) to estimat</w:t>
      </w:r>
      <w:r>
        <w:t>e revenue raising capacity.</w:t>
      </w:r>
    </w:p>
    <w:p w14:paraId="7954C3AD" w14:textId="69CEC09E" w:rsidR="00F05DC7" w:rsidRDefault="00F05DC7" w:rsidP="00A3786D">
      <w:pPr>
        <w:pStyle w:val="BodyText"/>
      </w:pPr>
      <w:r w:rsidRPr="00667BA4">
        <w:t>In Canada,</w:t>
      </w:r>
      <w:r>
        <w:t xml:space="preserve"> for example,</w:t>
      </w:r>
      <w:r w:rsidRPr="00667BA4">
        <w:t xml:space="preserve"> all provincial government revenue sources are allocated to one of </w:t>
      </w:r>
      <w:r>
        <w:t>five</w:t>
      </w:r>
      <w:r w:rsidRPr="00667BA4">
        <w:t xml:space="preserve"> categories: personal income taxes, business income taxes, consumption taxes, property taxes and natural resource revenues</w:t>
      </w:r>
      <w:r>
        <w:t xml:space="preserve"> </w:t>
      </w:r>
      <w:r w:rsidR="009D6331" w:rsidRPr="009D6331">
        <w:rPr>
          <w:szCs w:val="24"/>
        </w:rPr>
        <w:t>(Feehan 2014, p. 5)</w:t>
      </w:r>
      <w:r w:rsidRPr="00667BA4">
        <w:t xml:space="preserve">. </w:t>
      </w:r>
      <w:r w:rsidRPr="00C638BA">
        <w:t>The equalisation formula estimates per capita fiscal capacity for each of the revenue categories (excluding natural resource</w:t>
      </w:r>
      <w:r w:rsidRPr="007C7449">
        <w:t xml:space="preserve">s) by determining the amount of revenue that each province could generate if it applied the </w:t>
      </w:r>
      <w:r w:rsidRPr="007C7449">
        <w:rPr>
          <w:rFonts w:eastAsia="Times-Roman"/>
        </w:rPr>
        <w:t>national average provincial tax rate</w:t>
      </w:r>
      <w:r w:rsidRPr="007C7449">
        <w:t>.</w:t>
      </w:r>
      <w:r w:rsidRPr="00667BA4">
        <w:t xml:space="preserve"> Because of the wide range of natural</w:t>
      </w:r>
      <w:r>
        <w:t xml:space="preserve"> </w:t>
      </w:r>
      <w:r w:rsidRPr="00667BA4">
        <w:t>resources and royalty structures across the provinces, actual resource revenues are used to measure fiscal capacity</w:t>
      </w:r>
      <w:r>
        <w:t xml:space="preserve"> for this revenue category, </w:t>
      </w:r>
      <w:r w:rsidRPr="00667BA4">
        <w:t>instead of creati</w:t>
      </w:r>
      <w:r>
        <w:t xml:space="preserve">ng a national average tax rate </w:t>
      </w:r>
      <w:r w:rsidR="009D6331" w:rsidRPr="009D6331">
        <w:rPr>
          <w:szCs w:val="24"/>
        </w:rPr>
        <w:t>(Edison 2013)</w:t>
      </w:r>
      <w:r>
        <w:t>.</w:t>
      </w:r>
      <w:r w:rsidRPr="00DD1199">
        <w:t xml:space="preserve"> </w:t>
      </w:r>
      <w:r>
        <w:t>Since</w:t>
      </w:r>
      <w:r w:rsidRPr="00667BA4">
        <w:t xml:space="preserve"> 2007</w:t>
      </w:r>
      <w:r>
        <w:t>,</w:t>
      </w:r>
      <w:r w:rsidRPr="00667BA4">
        <w:t xml:space="preserve"> the equalisation formula </w:t>
      </w:r>
      <w:r>
        <w:t>has</w:t>
      </w:r>
      <w:r w:rsidRPr="00667BA4">
        <w:t xml:space="preserve"> only partially include</w:t>
      </w:r>
      <w:r>
        <w:t>d</w:t>
      </w:r>
      <w:r w:rsidRPr="00667BA4">
        <w:t xml:space="preserve"> natural resource </w:t>
      </w:r>
      <w:r>
        <w:t>revenues (box E.2).</w:t>
      </w:r>
    </w:p>
    <w:p w14:paraId="7954C3AE" w14:textId="77777777" w:rsidR="00F05DC7" w:rsidRDefault="00F05DC7" w:rsidP="00A3786D">
      <w:pPr>
        <w:pStyle w:val="BodyText"/>
      </w:pPr>
      <w:r w:rsidRPr="006B3DBB">
        <w:rPr>
          <w:szCs w:val="24"/>
        </w:rPr>
        <w:t xml:space="preserve">Similar to Canada, Australia uses a form of </w:t>
      </w:r>
      <w:r>
        <w:rPr>
          <w:szCs w:val="24"/>
        </w:rPr>
        <w:t xml:space="preserve">representative tax system, although in Australia </w:t>
      </w:r>
      <w:r w:rsidRPr="00246A83">
        <w:rPr>
          <w:szCs w:val="24"/>
        </w:rPr>
        <w:t>State revenues are allocated to one</w:t>
      </w:r>
      <w:r>
        <w:rPr>
          <w:szCs w:val="24"/>
        </w:rPr>
        <w:t xml:space="preserve"> of eight categories (seven own-</w:t>
      </w:r>
      <w:r w:rsidRPr="00246A83">
        <w:rPr>
          <w:szCs w:val="24"/>
        </w:rPr>
        <w:t>source revenue categories plus Commonwealth payments).</w:t>
      </w:r>
      <w:r>
        <w:rPr>
          <w:szCs w:val="24"/>
        </w:rPr>
        <w:t>The main difference between the two systems is that Australia’s approach to e</w:t>
      </w:r>
      <w:r w:rsidRPr="00667BA4">
        <w:rPr>
          <w:szCs w:val="24"/>
        </w:rPr>
        <w:t xml:space="preserve">stimating revenue raising capacity involves </w:t>
      </w:r>
      <w:r w:rsidRPr="00667BA4">
        <w:rPr>
          <w:color w:val="000000"/>
          <w:szCs w:val="24"/>
        </w:rPr>
        <w:t xml:space="preserve">considerably </w:t>
      </w:r>
      <w:r>
        <w:rPr>
          <w:color w:val="000000"/>
          <w:szCs w:val="24"/>
        </w:rPr>
        <w:t xml:space="preserve">more </w:t>
      </w:r>
      <w:r w:rsidRPr="00667BA4">
        <w:rPr>
          <w:color w:val="000000"/>
          <w:szCs w:val="24"/>
        </w:rPr>
        <w:t>detailed and complex calculations within many of these categories</w:t>
      </w:r>
      <w:r>
        <w:rPr>
          <w:color w:val="000000"/>
        </w:rPr>
        <w:t xml:space="preserve"> (chapter 2)</w:t>
      </w:r>
      <w:r>
        <w:t>. Moreover, natural resource revenues are assessed based on internal standards (not actual revenues) and are fully included in the equalisation formula.</w:t>
      </w:r>
    </w:p>
    <w:p w14:paraId="7954C3AF" w14:textId="5E70F917" w:rsidR="00F05DC7" w:rsidRDefault="00F05DC7" w:rsidP="00A3786D">
      <w:pPr>
        <w:pStyle w:val="BodyText"/>
      </w:pPr>
      <w:r w:rsidRPr="00667BA4">
        <w:t>As an a</w:t>
      </w:r>
      <w:r>
        <w:t>lternative</w:t>
      </w:r>
      <w:r w:rsidRPr="00667BA4">
        <w:t xml:space="preserve"> to a </w:t>
      </w:r>
      <w:r>
        <w:t>representative</w:t>
      </w:r>
      <w:r w:rsidRPr="00667BA4">
        <w:t xml:space="preserve"> tax system, Germany’s </w:t>
      </w:r>
      <w:r>
        <w:t>approach is based on actual revenues. The financial capacity of a State is calculated based on the sum of its receipts (less 12 per cent of its above</w:t>
      </w:r>
      <w:r>
        <w:noBreakHyphen/>
        <w:t xml:space="preserve">average increase in tax revenue [excluding VAT] over the previous year compared with other States) and a proportion (about two thirds) of the sum of receipts of its local authorities </w:t>
      </w:r>
      <w:r w:rsidR="009D6331" w:rsidRPr="009D6331">
        <w:rPr>
          <w:szCs w:val="24"/>
        </w:rPr>
        <w:t>(Federal Ministry of Finance (Germany) 2017, p. 42)</w:t>
      </w:r>
      <w:r>
        <w:t xml:space="preserve">. </w:t>
      </w:r>
      <w:r w:rsidRPr="00F82153">
        <w:t xml:space="preserve">The </w:t>
      </w:r>
      <w:r>
        <w:t xml:space="preserve">revenues of </w:t>
      </w:r>
      <w:r w:rsidRPr="00F82153">
        <w:t>local authorit</w:t>
      </w:r>
      <w:r>
        <w:t>ies</w:t>
      </w:r>
      <w:r w:rsidRPr="00F82153">
        <w:t xml:space="preserve"> are taken into account when assessing financial capacity because the States are responsible for providing their local authorities with appropriate and adequate financial resources.</w:t>
      </w:r>
      <w:r>
        <w:t xml:space="preserve"> All types of States and local authority revenues are taken into account when determining financial capacity </w:t>
      </w:r>
      <w:r w:rsidR="009D6331" w:rsidRPr="009D6331">
        <w:rPr>
          <w:szCs w:val="24"/>
        </w:rPr>
        <w:t>(Federal Ministry of Finance (Germany) 2016, p. 3)</w:t>
      </w:r>
      <w:r>
        <w:t>.</w:t>
      </w:r>
    </w:p>
    <w:p w14:paraId="7954C3B0" w14:textId="77777777" w:rsidR="00F05DC7" w:rsidRDefault="00F05DC7" w:rsidP="00A3786D">
      <w:pPr>
        <w:pStyle w:val="Heading4"/>
      </w:pPr>
      <w:r>
        <w:t>Approaches to cost equalisation</w:t>
      </w:r>
    </w:p>
    <w:p w14:paraId="7954C3B1" w14:textId="15E574C5" w:rsidR="00F05DC7" w:rsidRDefault="00F05DC7" w:rsidP="00A3786D">
      <w:pPr>
        <w:pStyle w:val="BodyText"/>
      </w:pPr>
      <w:r>
        <w:t>Cost equalisation aims to</w:t>
      </w:r>
      <w:r w:rsidDel="007735E3">
        <w:t xml:space="preserve"> </w:t>
      </w:r>
      <w:r>
        <w:t>compensate for differences in the per capita cost of providing public services among sub</w:t>
      </w:r>
      <w:r>
        <w:noBreakHyphen/>
        <w:t>central governments. Cost equalisation that is based on actual spending has largely been phased out in OECD countries as it gives sub</w:t>
      </w:r>
      <w:r>
        <w:noBreakHyphen/>
        <w:t xml:space="preserve">central governments an incentive to inflate </w:t>
      </w:r>
      <w:r w:rsidRPr="00C1279A">
        <w:t>expenditures</w:t>
      </w:r>
      <w:r>
        <w:t xml:space="preserve"> or, at the very least, to not contain costs or pursue efficiency improvements </w:t>
      </w:r>
      <w:r w:rsidR="009D6331" w:rsidRPr="009D6331">
        <w:rPr>
          <w:szCs w:val="24"/>
        </w:rPr>
        <w:t>(OECD 2013, p. 104)</w:t>
      </w:r>
      <w:r w:rsidRPr="00D6693A">
        <w:t>.</w:t>
      </w:r>
      <w:r>
        <w:t xml:space="preserve"> In practice, there are various approaches to </w:t>
      </w:r>
      <w:r>
        <w:lastRenderedPageBreak/>
        <w:t xml:space="preserve">expenditure equalisation, including representative expenditure systems, imputation methods/econometric approaches, and the application of cost disability factors. </w:t>
      </w:r>
    </w:p>
    <w:p w14:paraId="7954C3B2" w14:textId="77777777" w:rsidR="00F05DC7" w:rsidRDefault="00F05DC7" w:rsidP="00DD25D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3B4" w14:textId="77777777" w:rsidTr="00A3786D">
        <w:trPr>
          <w:tblHeader/>
        </w:trPr>
        <w:tc>
          <w:tcPr>
            <w:tcW w:w="5000" w:type="pct"/>
            <w:tcBorders>
              <w:top w:val="single" w:sz="6" w:space="0" w:color="78A22F"/>
              <w:left w:val="nil"/>
              <w:bottom w:val="nil"/>
              <w:right w:val="nil"/>
            </w:tcBorders>
            <w:shd w:val="clear" w:color="auto" w:fill="F2F2F2"/>
          </w:tcPr>
          <w:p w14:paraId="7954C3B3" w14:textId="414E989E" w:rsidR="00F05DC7" w:rsidRDefault="00F05DC7" w:rsidP="00A3786D">
            <w:pPr>
              <w:pStyle w:val="BoxTitle"/>
            </w:pPr>
            <w:r>
              <w:rPr>
                <w:b w:val="0"/>
              </w:rPr>
              <w:t>Box E.2</w:t>
            </w:r>
            <w:r>
              <w:tab/>
              <w:t>Canada’s mining discount</w:t>
            </w:r>
          </w:p>
        </w:tc>
      </w:tr>
      <w:tr w:rsidR="00F05DC7" w14:paraId="7954C3BC" w14:textId="77777777" w:rsidTr="00A3786D">
        <w:tc>
          <w:tcPr>
            <w:tcW w:w="5000" w:type="pct"/>
            <w:tcBorders>
              <w:top w:val="nil"/>
              <w:left w:val="nil"/>
              <w:bottom w:val="nil"/>
              <w:right w:val="nil"/>
            </w:tcBorders>
            <w:shd w:val="clear" w:color="auto" w:fill="F2F2F2"/>
          </w:tcPr>
          <w:p w14:paraId="7954C3B5" w14:textId="77777777" w:rsidR="00F05DC7" w:rsidRDefault="00F05DC7" w:rsidP="00A3786D">
            <w:pPr>
              <w:pStyle w:val="Box"/>
            </w:pPr>
            <w:r>
              <w:t>In 2006</w:t>
            </w:r>
            <w:r>
              <w:noBreakHyphen/>
              <w:t>07, Canada undertook extensive reform of its fiscal equalisation system, following the recommendations of the Expert Panel on Equalisation. In undertaking its review, the Expert Panel commented that:</w:t>
            </w:r>
          </w:p>
          <w:p w14:paraId="7954C3B6" w14:textId="6315FFA1" w:rsidR="00F05DC7" w:rsidRDefault="00F05DC7" w:rsidP="00A3786D">
            <w:pPr>
              <w:pStyle w:val="BoxQuote"/>
            </w:pPr>
            <w:r>
              <w:t xml:space="preserve">By far, the most contentious issue involves how resource revenues should be treated in the formula. The Panel heard strongly held and diametrically opposing views ranging from excluding resource revenues entirely to including them completely. Given the importance of resources to the economies of some provinces and the impact of high prices for oil and gas in particular, this issue has direct bearing not only on the Equalisation program but on the potential for resource revenues to increase disparities among provinces. </w:t>
            </w:r>
            <w:r w:rsidR="009D6331" w:rsidRPr="009D6331">
              <w:rPr>
                <w:rFonts w:cs="Arial"/>
                <w:szCs w:val="24"/>
              </w:rPr>
              <w:t>(Department of Finance (Canada) 2006, p. 4)</w:t>
            </w:r>
          </w:p>
          <w:p w14:paraId="7954C3B7" w14:textId="77777777" w:rsidR="00F05DC7" w:rsidRDefault="00F05DC7" w:rsidP="00A3786D">
            <w:pPr>
              <w:pStyle w:val="BoxHeading2"/>
            </w:pPr>
            <w:r>
              <w:t>Partial Inclusion</w:t>
            </w:r>
          </w:p>
          <w:p w14:paraId="7954C3B8" w14:textId="77777777" w:rsidR="00F05DC7" w:rsidRDefault="00F05DC7" w:rsidP="00A3786D">
            <w:pPr>
              <w:pStyle w:val="Box"/>
            </w:pPr>
            <w:r>
              <w:t>A key part of the reform was that natural resource revenues, such as royalties and fees, would be partially included in equalisation payments. Prior to 2004, 100</w:t>
            </w:r>
            <w:r w:rsidRPr="000C30D5">
              <w:t> </w:t>
            </w:r>
            <w:r>
              <w:t>per</w:t>
            </w:r>
            <w:r w:rsidRPr="000C30D5">
              <w:t> </w:t>
            </w:r>
            <w:r>
              <w:t>cent of natural resource revenues were included in the equalisation formula.</w:t>
            </w:r>
          </w:p>
          <w:p w14:paraId="7954C3B9" w14:textId="77777777" w:rsidR="00F05DC7" w:rsidRDefault="00F05DC7" w:rsidP="00A3786D">
            <w:pPr>
              <w:pStyle w:val="Box"/>
            </w:pPr>
            <w:r>
              <w:t>The Expert Panel recommended that natural resource revenues should only contribute 50 per cent to defined provincial fiscal capacity (i.e. a 50</w:t>
            </w:r>
            <w:r w:rsidRPr="000C30D5">
              <w:t> </w:t>
            </w:r>
            <w:r>
              <w:t>per</w:t>
            </w:r>
            <w:r w:rsidRPr="000C30D5">
              <w:t> </w:t>
            </w:r>
            <w:r>
              <w:t>cent discount of mining royalties). However, due to a pre</w:t>
            </w:r>
            <w:r>
              <w:noBreakHyphen/>
              <w:t>election promise to exclude natural resource revenues from equalisation payments, the equalisation formula was changed in 2007 to involve two options. Provinces would be entitled to a payment based on a calculation that either includes 50</w:t>
            </w:r>
            <w:r w:rsidRPr="000C30D5">
              <w:t> </w:t>
            </w:r>
            <w:r>
              <w:t>per</w:t>
            </w:r>
            <w:r w:rsidRPr="000C30D5">
              <w:t> </w:t>
            </w:r>
            <w:r>
              <w:t xml:space="preserve">cent of natural resource revenues </w:t>
            </w:r>
            <w:r w:rsidRPr="00133648">
              <w:t>or</w:t>
            </w:r>
            <w:r>
              <w:t xml:space="preserve"> excludes natural resource revenues entirely. Provinces automatically receive payments according to the formula that yields the higher payment. The use of actual resource revenues, instead of resource tax bases, was also introduced to calculate fiscal capacities of the provinces.</w:t>
            </w:r>
          </w:p>
          <w:p w14:paraId="7954C3BA" w14:textId="77777777" w:rsidR="00F05DC7" w:rsidRDefault="00F05DC7" w:rsidP="00A3786D">
            <w:pPr>
              <w:pStyle w:val="BoxHeading2"/>
            </w:pPr>
            <w:r>
              <w:t>Fiscal Capacity Cap</w:t>
            </w:r>
          </w:p>
          <w:p w14:paraId="7954C3BB" w14:textId="0E19401B" w:rsidR="00F05DC7" w:rsidRDefault="00F05DC7" w:rsidP="00A3786D">
            <w:pPr>
              <w:pStyle w:val="Box"/>
            </w:pPr>
            <w:r>
              <w:t>As part of the reform package, a fiscal capacity cap on equalisation payments was introduced to address the partial inclusion of natural resource revenues. The fiscal capacity cap aimed to ensure that when including 100</w:t>
            </w:r>
            <w:r w:rsidRPr="000C30D5">
              <w:t> </w:t>
            </w:r>
            <w:r>
              <w:t>per</w:t>
            </w:r>
            <w:r w:rsidRPr="000C30D5">
              <w:t> </w:t>
            </w:r>
            <w:r>
              <w:t>cent of natural resource revenues the fiscal capacity of eligible provinces, after receiving equalisation payments, did not exceed the fiscal capacity of the fiscally weakest non</w:t>
            </w:r>
            <w:r>
              <w:noBreakHyphen/>
              <w:t>equalisation</w:t>
            </w:r>
            <w:r>
              <w:noBreakHyphen/>
              <w:t>receiving province. Provinces are eligible for payments if their per capita fiscal capacity is below the Canadian average. In 2009, the Canadian government modified the standard of the cap to ensure that the fiscal capacity of equalisation</w:t>
            </w:r>
            <w:r>
              <w:noBreakHyphen/>
              <w:t>receiving provinces did not exceed the average of all equalisation</w:t>
            </w:r>
            <w:r>
              <w:noBreakHyphen/>
              <w:t>receiving provinces</w:t>
            </w:r>
            <w:r>
              <w:rPr>
                <w:rFonts w:cs="Arial"/>
                <w:szCs w:val="24"/>
              </w:rPr>
              <w:t>.</w:t>
            </w:r>
          </w:p>
        </w:tc>
      </w:tr>
      <w:tr w:rsidR="00F05DC7" w14:paraId="7954C3BE" w14:textId="77777777" w:rsidTr="00A3786D">
        <w:tc>
          <w:tcPr>
            <w:tcW w:w="5000" w:type="pct"/>
            <w:tcBorders>
              <w:top w:val="nil"/>
              <w:left w:val="nil"/>
              <w:bottom w:val="nil"/>
              <w:right w:val="nil"/>
            </w:tcBorders>
            <w:shd w:val="clear" w:color="auto" w:fill="F2F2F2"/>
          </w:tcPr>
          <w:p w14:paraId="7954C3BD" w14:textId="49EFC304" w:rsidR="00F05DC7" w:rsidRDefault="00F05DC7" w:rsidP="00A3786D">
            <w:pPr>
              <w:pStyle w:val="BoxSource"/>
            </w:pPr>
            <w:r>
              <w:rPr>
                <w:i/>
              </w:rPr>
              <w:t>Sources</w:t>
            </w:r>
            <w:r w:rsidRPr="00167F06">
              <w:t xml:space="preserve">: </w:t>
            </w:r>
            <w:r>
              <w:t xml:space="preserve">Department of Finance (Canada) </w:t>
            </w:r>
            <w:r w:rsidRPr="00E37F97">
              <w:rPr>
                <w:rFonts w:cs="Arial"/>
              </w:rPr>
              <w:t>(2006)</w:t>
            </w:r>
            <w:r>
              <w:t xml:space="preserve">; Edison </w:t>
            </w:r>
            <w:r w:rsidRPr="00E37F97">
              <w:rPr>
                <w:rFonts w:cs="Arial"/>
              </w:rPr>
              <w:t>(2013)</w:t>
            </w:r>
            <w:r>
              <w:t xml:space="preserve">; Feehan </w:t>
            </w:r>
            <w:r w:rsidRPr="00E37F97">
              <w:rPr>
                <w:rFonts w:cs="Arial"/>
              </w:rPr>
              <w:t>(2014)</w:t>
            </w:r>
            <w:r>
              <w:t>.</w:t>
            </w:r>
          </w:p>
        </w:tc>
      </w:tr>
      <w:tr w:rsidR="00F05DC7" w14:paraId="7954C3C0" w14:textId="77777777" w:rsidTr="00A3786D">
        <w:tc>
          <w:tcPr>
            <w:tcW w:w="5000" w:type="pct"/>
            <w:tcBorders>
              <w:top w:val="nil"/>
              <w:left w:val="nil"/>
              <w:bottom w:val="single" w:sz="6" w:space="0" w:color="78A22F"/>
              <w:right w:val="nil"/>
            </w:tcBorders>
            <w:shd w:val="clear" w:color="auto" w:fill="F2F2F2"/>
          </w:tcPr>
          <w:p w14:paraId="7954C3BF" w14:textId="77777777" w:rsidR="00F05DC7" w:rsidRDefault="00F05DC7" w:rsidP="00A3786D">
            <w:pPr>
              <w:pStyle w:val="Box"/>
              <w:spacing w:before="0" w:line="120" w:lineRule="exact"/>
            </w:pPr>
          </w:p>
        </w:tc>
      </w:tr>
      <w:tr w:rsidR="00F05DC7" w:rsidRPr="000863A5" w14:paraId="7954C3C2" w14:textId="77777777" w:rsidTr="00A3786D">
        <w:tc>
          <w:tcPr>
            <w:tcW w:w="5000" w:type="pct"/>
            <w:tcBorders>
              <w:top w:val="single" w:sz="6" w:space="0" w:color="78A22F"/>
              <w:left w:val="nil"/>
              <w:bottom w:val="nil"/>
              <w:right w:val="nil"/>
            </w:tcBorders>
          </w:tcPr>
          <w:p w14:paraId="7954C3C1" w14:textId="77777777" w:rsidR="00F05DC7" w:rsidRPr="00D168A3" w:rsidRDefault="00F05DC7" w:rsidP="00A3786D">
            <w:pPr>
              <w:pStyle w:val="BoxSpaceBelow"/>
            </w:pPr>
          </w:p>
        </w:tc>
      </w:tr>
    </w:tbl>
    <w:p w14:paraId="7954C3C3" w14:textId="77777777" w:rsidR="00F05DC7" w:rsidRDefault="00F05DC7" w:rsidP="00A3786D">
      <w:pPr>
        <w:pStyle w:val="BodyText"/>
      </w:pPr>
      <w:r>
        <w:t xml:space="preserve">In Australia, </w:t>
      </w:r>
      <w:r w:rsidRPr="0088646C">
        <w:t>the</w:t>
      </w:r>
      <w:r>
        <w:t xml:space="preserve"> Commonwealth Grants Commission</w:t>
      </w:r>
      <w:r w:rsidRPr="0088646C">
        <w:t xml:space="preserve"> </w:t>
      </w:r>
      <w:r>
        <w:t>(</w:t>
      </w:r>
      <w:r w:rsidRPr="0088646C">
        <w:t>CGC</w:t>
      </w:r>
      <w:r>
        <w:t>)</w:t>
      </w:r>
      <w:r w:rsidRPr="0088646C">
        <w:t xml:space="preserve"> </w:t>
      </w:r>
      <w:r>
        <w:t xml:space="preserve">uses a hybrid of these approaches — a form of a representative expenditure system with the overlay of cost disability factors </w:t>
      </w:r>
      <w:r>
        <w:rPr>
          <w:color w:val="000000"/>
        </w:rPr>
        <w:t>(chapter 2)</w:t>
      </w:r>
      <w:r>
        <w:t>. Other OECD countries tend to follow a simpler approach. Switzerland, for example, devotes 19 per cent of its equalisation pool to compensate for</w:t>
      </w:r>
      <w:r>
        <w:rPr>
          <w:shd w:val="clear" w:color="auto" w:fill="FFFFFF"/>
        </w:rPr>
        <w:t xml:space="preserve"> geographical/topographic and socio</w:t>
      </w:r>
      <w:r>
        <w:rPr>
          <w:shd w:val="clear" w:color="auto" w:fill="FFFFFF"/>
        </w:rPr>
        <w:noBreakHyphen/>
        <w:t>demographic factors that result in higher costs in the provision of public goods and services</w:t>
      </w:r>
      <w:r>
        <w:t>.</w:t>
      </w:r>
      <w:r>
        <w:rPr>
          <w:shd w:val="clear" w:color="auto" w:fill="FFFFFF"/>
        </w:rPr>
        <w:t xml:space="preserve"> Eight factors are considered:</w:t>
      </w:r>
      <w:r>
        <w:t xml:space="preserve"> population size, area, population density, population older than 80, number of large cities, number of foreign adults </w:t>
      </w:r>
      <w:r>
        <w:lastRenderedPageBreak/>
        <w:t>resident for more than 10 years, unemployment and the number of people requesting social assistance from the State (Shah, sub. DR103, p. 19).</w:t>
      </w:r>
      <w:r w:rsidRPr="00282527">
        <w:rPr>
          <w:rStyle w:val="FootnoteReference"/>
        </w:rPr>
        <w:footnoteReference w:id="30"/>
      </w:r>
    </w:p>
    <w:p w14:paraId="7954C3C4" w14:textId="78E5AF7B" w:rsidR="00F05DC7" w:rsidRDefault="00F05DC7" w:rsidP="00A3786D">
      <w:pPr>
        <w:pStyle w:val="BodyText"/>
      </w:pPr>
      <w:r>
        <w:t xml:space="preserve">Although the system in Germany focuses on revenue equalisation, some adjustments are made to account for States’ different expenditure needs </w:t>
      </w:r>
      <w:r w:rsidR="009D6331" w:rsidRPr="009D6331">
        <w:rPr>
          <w:szCs w:val="24"/>
        </w:rPr>
        <w:t>(Brumby, Carter and Greiner 2012b, p. 5)</w:t>
      </w:r>
      <w:r>
        <w:t>. The States</w:t>
      </w:r>
      <w:r w:rsidRPr="004A4F14">
        <w:t xml:space="preserve"> </w:t>
      </w:r>
      <w:r>
        <w:t>of Brandenburg, Mecklenburg</w:t>
      </w:r>
      <w:r>
        <w:noBreakHyphen/>
        <w:t>Western Pomerania and Saxony</w:t>
      </w:r>
      <w:r>
        <w:noBreakHyphen/>
        <w:t>Anhalt have their populations ‘marginally upgraded’ to account for the higher costs of providing services in sparsely-populated regions. The ‘city</w:t>
      </w:r>
      <w:r>
        <w:noBreakHyphen/>
        <w:t>states’ of Berlin, Bremen and Hamburg that have a much higher per capita financial requirement (in part because they provide public services to residents of other States) have their populations notionally increased by 35</w:t>
      </w:r>
      <w:r w:rsidRPr="000C30D5">
        <w:t> </w:t>
      </w:r>
      <w:r>
        <w:t>per</w:t>
      </w:r>
      <w:r w:rsidRPr="000C30D5">
        <w:t> </w:t>
      </w:r>
      <w:r>
        <w:t xml:space="preserve">cent </w:t>
      </w:r>
      <w:r w:rsidR="009D6331" w:rsidRPr="009D6331">
        <w:rPr>
          <w:szCs w:val="24"/>
        </w:rPr>
        <w:t>(Deutsche Bundesbank 2014)</w:t>
      </w:r>
      <w:r>
        <w:t>.</w:t>
      </w:r>
    </w:p>
    <w:p w14:paraId="7954C3C5" w14:textId="4ACCF889" w:rsidR="00F05DC7" w:rsidRPr="006051B6" w:rsidRDefault="00F05DC7" w:rsidP="00A3786D">
      <w:pPr>
        <w:pStyle w:val="BodyText"/>
        <w:rPr>
          <w:rStyle w:val="BodyTextChar"/>
        </w:rPr>
      </w:pPr>
      <w:r>
        <w:t>I</w:t>
      </w:r>
      <w:r w:rsidRPr="00613301">
        <w:t>n Canada</w:t>
      </w:r>
      <w:r>
        <w:t>,</w:t>
      </w:r>
      <w:r w:rsidRPr="00613301">
        <w:t xml:space="preserve"> provincial governments</w:t>
      </w:r>
      <w:r>
        <w:t>’</w:t>
      </w:r>
      <w:r w:rsidRPr="00613301">
        <w:t xml:space="preserve"> expense needs are not considered. The default presumption is that that the cost of providing public services across provinces is the same and that the public</w:t>
      </w:r>
      <w:r>
        <w:noBreakHyphen/>
      </w:r>
      <w:r w:rsidRPr="00613301">
        <w:t>service needs of people are equal on a per capita basis</w:t>
      </w:r>
      <w:r>
        <w:t xml:space="preserve"> </w:t>
      </w:r>
      <w:r w:rsidR="009D6331" w:rsidRPr="009D6331">
        <w:rPr>
          <w:szCs w:val="24"/>
        </w:rPr>
        <w:t>(Boadway 2014, p. 5)</w:t>
      </w:r>
      <w:r>
        <w:t xml:space="preserve">. </w:t>
      </w:r>
      <w:r w:rsidRPr="00613301">
        <w:t>Expenditure needs</w:t>
      </w:r>
      <w:r>
        <w:t xml:space="preserve"> </w:t>
      </w:r>
      <w:r w:rsidRPr="00613301">
        <w:t>are instead addressed through federal specific purpose programs</w:t>
      </w:r>
      <w:r>
        <w:t xml:space="preserve"> (Shah, sub. DR103, p. 20). And, as noted in table E.1, the three territorial governments </w:t>
      </w:r>
      <w:r w:rsidRPr="00511F02">
        <w:t>receive payments based on both</w:t>
      </w:r>
      <w:r>
        <w:t xml:space="preserve"> revenue raising capacity and expenditure needs (</w:t>
      </w:r>
      <w:r w:rsidRPr="007B6927">
        <w:t>ensur</w:t>
      </w:r>
      <w:r>
        <w:t>ing</w:t>
      </w:r>
      <w:r w:rsidRPr="007B6927">
        <w:t xml:space="preserve"> that territorial spending can grow in line with changes in relative population growth and changes in provincial</w:t>
      </w:r>
      <w:r>
        <w:noBreakHyphen/>
      </w:r>
      <w:r w:rsidRPr="007B6927">
        <w:t>local government spending</w:t>
      </w:r>
      <w:r>
        <w:t>)</w:t>
      </w:r>
      <w:r w:rsidRPr="007B6927">
        <w:t xml:space="preserve"> </w:t>
      </w:r>
      <w:r w:rsidR="009D6331" w:rsidRPr="009D6331">
        <w:rPr>
          <w:szCs w:val="24"/>
        </w:rPr>
        <w:t>(Department of Finance (Canada) 2017)</w:t>
      </w:r>
      <w:r>
        <w:t>.</w:t>
      </w:r>
    </w:p>
    <w:p w14:paraId="7954C3C6" w14:textId="77777777" w:rsidR="00F05DC7" w:rsidRPr="00883396" w:rsidRDefault="00F05DC7" w:rsidP="00A3786D">
      <w:pPr>
        <w:pStyle w:val="Heading3"/>
        <w:rPr>
          <w:b w:val="0"/>
        </w:rPr>
      </w:pPr>
      <w:r>
        <w:t>Countries generally seek budget stability</w:t>
      </w:r>
    </w:p>
    <w:p w14:paraId="7954C3C7" w14:textId="1D168749" w:rsidR="00F05DC7" w:rsidRDefault="00F05DC7" w:rsidP="00A3786D">
      <w:pPr>
        <w:pStyle w:val="BodyText"/>
      </w:pPr>
      <w:r>
        <w:t>In some OECD countries, changes in sub</w:t>
      </w:r>
      <w:r>
        <w:noBreakHyphen/>
        <w:t>central governments’ revenue</w:t>
      </w:r>
      <w:r>
        <w:noBreakHyphen/>
        <w:t>raising capacity can result in frequent and rapid adjustments to their equalisation payments. These adjustments can exacerbate annual fluctuations in total sub</w:t>
      </w:r>
      <w:r>
        <w:noBreakHyphen/>
        <w:t xml:space="preserve">central government revenue, and complicate budget planning </w:t>
      </w:r>
      <w:r w:rsidR="009D6331" w:rsidRPr="009D6331">
        <w:rPr>
          <w:szCs w:val="24"/>
        </w:rPr>
        <w:t>(OECD 2013, p. 111)</w:t>
      </w:r>
      <w:r>
        <w:t>. The trade</w:t>
      </w:r>
      <w:r>
        <w:noBreakHyphen/>
        <w:t>off between c</w:t>
      </w:r>
      <w:r w:rsidRPr="00EA6139">
        <w:t xml:space="preserve">ontemporaneous </w:t>
      </w:r>
      <w:r>
        <w:t>assessments and budget stability in Australia’s HFE system is discussed in chapter 4.</w:t>
      </w:r>
    </w:p>
    <w:p w14:paraId="7954C3C8" w14:textId="3DA49CDD" w:rsidR="00F05DC7" w:rsidRDefault="00F05DC7" w:rsidP="00A3786D">
      <w:pPr>
        <w:pStyle w:val="BodyText"/>
      </w:pPr>
      <w:r>
        <w:t>Most</w:t>
      </w:r>
      <w:r w:rsidRPr="00AE770E">
        <w:t xml:space="preserve"> countries</w:t>
      </w:r>
      <w:r>
        <w:t>, including Australia and Canada,</w:t>
      </w:r>
      <w:r w:rsidRPr="00AE770E">
        <w:t xml:space="preserve"> have addressed th</w:t>
      </w:r>
      <w:r>
        <w:t>e potential for</w:t>
      </w:r>
      <w:r w:rsidRPr="00AE770E">
        <w:t xml:space="preserve"> instability by</w:t>
      </w:r>
      <w:r>
        <w:t xml:space="preserve"> linking equalisation payments to lagged fiscal capacity indicators and/or moving averages of States’ fiscal capacities </w:t>
      </w:r>
      <w:r w:rsidR="009D6331" w:rsidRPr="009D6331">
        <w:rPr>
          <w:szCs w:val="24"/>
        </w:rPr>
        <w:t>(Blöchliger et al. 2007, p. 23)</w:t>
      </w:r>
      <w:r>
        <w:t>.</w:t>
      </w:r>
    </w:p>
    <w:p w14:paraId="7954C3C9" w14:textId="248DF332" w:rsidR="00F05DC7" w:rsidRDefault="00F05DC7" w:rsidP="00A3786D">
      <w:pPr>
        <w:pStyle w:val="BodyText"/>
      </w:pPr>
      <w:r>
        <w:t>Another response to concerns about volatility</w:t>
      </w:r>
      <w:r w:rsidRPr="00AE770E">
        <w:t xml:space="preserve"> </w:t>
      </w:r>
      <w:r>
        <w:t>has been to set</w:t>
      </w:r>
      <w:r w:rsidRPr="00AE770E">
        <w:t xml:space="preserve"> equalisation transfers as a fixed percentage of total tax revenue or</w:t>
      </w:r>
      <w:r>
        <w:t xml:space="preserve"> to</w:t>
      </w:r>
      <w:r w:rsidRPr="00AE770E">
        <w:t xml:space="preserve"> introduc</w:t>
      </w:r>
      <w:r>
        <w:t>e</w:t>
      </w:r>
      <w:r w:rsidRPr="00AE770E">
        <w:t xml:space="preserve"> ceiling and floor pr</w:t>
      </w:r>
      <w:r>
        <w:t xml:space="preserve">ovisions to dampen fluctuations. </w:t>
      </w:r>
      <w:r w:rsidRPr="00AE770E">
        <w:t>For example, in</w:t>
      </w:r>
      <w:r>
        <w:t xml:space="preserve"> 2009 the Canadian</w:t>
      </w:r>
      <w:r w:rsidRPr="00AE770E">
        <w:t xml:space="preserve"> </w:t>
      </w:r>
      <w:r>
        <w:t>G</w:t>
      </w:r>
      <w:r w:rsidRPr="00AE770E">
        <w:t>overnment</w:t>
      </w:r>
      <w:r>
        <w:t xml:space="preserve"> </w:t>
      </w:r>
      <w:r w:rsidRPr="00AE770E">
        <w:t xml:space="preserve">introduced </w:t>
      </w:r>
      <w:r w:rsidRPr="00AE770E">
        <w:rPr>
          <w:color w:val="000000"/>
          <w:shd w:val="clear" w:color="auto" w:fill="FFFFFF"/>
        </w:rPr>
        <w:t>a</w:t>
      </w:r>
      <w:r>
        <w:rPr>
          <w:color w:val="000000"/>
          <w:shd w:val="clear" w:color="auto" w:fill="FFFFFF"/>
        </w:rPr>
        <w:t xml:space="preserve"> ‘gross domestic product growth ceiling’ that</w:t>
      </w:r>
      <w:r w:rsidRPr="00AE770E">
        <w:t xml:space="preserve"> </w:t>
      </w:r>
      <w:r>
        <w:rPr>
          <w:rStyle w:val="apple-converted-space"/>
          <w:color w:val="000000"/>
          <w:shd w:val="clear" w:color="auto" w:fill="FFFFFF"/>
        </w:rPr>
        <w:t>fixed the pool of funding allocated to equalisation to</w:t>
      </w:r>
      <w:r w:rsidRPr="00AE770E">
        <w:rPr>
          <w:color w:val="000000"/>
          <w:shd w:val="clear" w:color="auto" w:fill="FFFFFF"/>
        </w:rPr>
        <w:t xml:space="preserve"> a three</w:t>
      </w:r>
      <w:r>
        <w:rPr>
          <w:color w:val="000000"/>
          <w:shd w:val="clear" w:color="auto" w:fill="FFFFFF"/>
        </w:rPr>
        <w:noBreakHyphen/>
      </w:r>
      <w:r w:rsidRPr="00AE770E">
        <w:rPr>
          <w:color w:val="000000"/>
          <w:shd w:val="clear" w:color="auto" w:fill="FFFFFF"/>
        </w:rPr>
        <w:t xml:space="preserve">year moving </w:t>
      </w:r>
      <w:r w:rsidRPr="006C3AC0">
        <w:rPr>
          <w:color w:val="000000"/>
          <w:shd w:val="clear" w:color="auto" w:fill="FFFFFF"/>
        </w:rPr>
        <w:t>average rate of growth in nominal</w:t>
      </w:r>
      <w:r>
        <w:rPr>
          <w:rStyle w:val="apple-converted-space"/>
          <w:color w:val="000000"/>
          <w:shd w:val="clear" w:color="auto" w:fill="FFFFFF"/>
        </w:rPr>
        <w:t xml:space="preserve"> </w:t>
      </w:r>
      <w:r w:rsidRPr="006C3AC0">
        <w:t>GDP</w:t>
      </w:r>
      <w:r>
        <w:t xml:space="preserve">. As noted by Edison </w:t>
      </w:r>
      <w:r w:rsidR="009D6331" w:rsidRPr="009D6331">
        <w:rPr>
          <w:szCs w:val="24"/>
        </w:rPr>
        <w:t>(2013, p. 1)</w:t>
      </w:r>
      <w:r>
        <w:rPr>
          <w:color w:val="000000"/>
          <w:shd w:val="clear" w:color="auto" w:fill="FFFFFF"/>
        </w:rPr>
        <w:t xml:space="preserve"> ‘[t]</w:t>
      </w:r>
      <w:r w:rsidRPr="006C3AC0">
        <w:rPr>
          <w:color w:val="000000"/>
          <w:shd w:val="clear" w:color="auto" w:fill="FFFFFF"/>
        </w:rPr>
        <w:t xml:space="preserve">he ceiling also functions as a floor because the total amount of </w:t>
      </w:r>
      <w:r>
        <w:rPr>
          <w:color w:val="000000"/>
          <w:shd w:val="clear" w:color="auto" w:fill="FFFFFF"/>
        </w:rPr>
        <w:t>e</w:t>
      </w:r>
      <w:r w:rsidRPr="006C3AC0">
        <w:rPr>
          <w:color w:val="000000"/>
          <w:shd w:val="clear" w:color="auto" w:fill="FFFFFF"/>
        </w:rPr>
        <w:t>quali</w:t>
      </w:r>
      <w:r>
        <w:rPr>
          <w:color w:val="000000"/>
          <w:shd w:val="clear" w:color="auto" w:fill="FFFFFF"/>
        </w:rPr>
        <w:t>s</w:t>
      </w:r>
      <w:r w:rsidRPr="006C3AC0">
        <w:rPr>
          <w:color w:val="000000"/>
          <w:shd w:val="clear" w:color="auto" w:fill="FFFFFF"/>
        </w:rPr>
        <w:t>ation payments increases in accordance with</w:t>
      </w:r>
      <w:r>
        <w:rPr>
          <w:rStyle w:val="apple-converted-space"/>
          <w:color w:val="000000"/>
          <w:shd w:val="clear" w:color="auto" w:fill="FFFFFF"/>
        </w:rPr>
        <w:t xml:space="preserve"> </w:t>
      </w:r>
      <w:r w:rsidRPr="006C3AC0">
        <w:t>GDP</w:t>
      </w:r>
      <w:r>
        <w:rPr>
          <w:rStyle w:val="apple-converted-space"/>
          <w:color w:val="000000"/>
          <w:shd w:val="clear" w:color="auto" w:fill="FFFFFF"/>
        </w:rPr>
        <w:t xml:space="preserve"> </w:t>
      </w:r>
      <w:r w:rsidRPr="006C3AC0">
        <w:rPr>
          <w:color w:val="000000"/>
          <w:shd w:val="clear" w:color="auto" w:fill="FFFFFF"/>
        </w:rPr>
        <w:t>even when there is a reduction in fiscal disparities among the provinces</w:t>
      </w:r>
      <w:r>
        <w:rPr>
          <w:color w:val="000000"/>
          <w:shd w:val="clear" w:color="auto" w:fill="FFFFFF"/>
        </w:rPr>
        <w:t>’</w:t>
      </w:r>
      <w:r w:rsidRPr="006C3AC0">
        <w:rPr>
          <w:color w:val="000000"/>
          <w:shd w:val="clear" w:color="auto" w:fill="FFFFFF"/>
        </w:rPr>
        <w:t>.</w:t>
      </w:r>
    </w:p>
    <w:p w14:paraId="7954C3CA" w14:textId="089F5743" w:rsidR="00F05DC7" w:rsidRDefault="00F05DC7" w:rsidP="00A3786D">
      <w:pPr>
        <w:pStyle w:val="BodyText"/>
      </w:pPr>
      <w:r>
        <w:lastRenderedPageBreak/>
        <w:t xml:space="preserve">Alternatively, in Germany the system’s horizontal equalisation component (involving the transfers of fiscal resources between the States) acts to smooth regional cycles. Vertical transfers are pro cyclical and not based on moving averages </w:t>
      </w:r>
      <w:r w:rsidR="009D6331" w:rsidRPr="009D6331">
        <w:rPr>
          <w:szCs w:val="24"/>
        </w:rPr>
        <w:t>(Blöchliger 2014, p. 14)</w:t>
      </w:r>
      <w:r>
        <w:t>.</w:t>
      </w:r>
    </w:p>
    <w:p w14:paraId="7954C3CB" w14:textId="77777777" w:rsidR="00F05DC7" w:rsidRPr="005366ED" w:rsidRDefault="00F05DC7" w:rsidP="00A3786D">
      <w:pPr>
        <w:pStyle w:val="Heading3"/>
      </w:pPr>
      <w:r w:rsidRPr="005366ED">
        <w:t>Institutional arrangements for fiscal equalisation</w:t>
      </w:r>
    </w:p>
    <w:p w14:paraId="7954C3CC" w14:textId="25ED91EE" w:rsidR="00F05DC7" w:rsidRPr="00C801B8" w:rsidRDefault="00F05DC7" w:rsidP="00A3786D">
      <w:pPr>
        <w:spacing w:before="240" w:line="300" w:lineRule="atLeast"/>
        <w:jc w:val="both"/>
        <w:rPr>
          <w:szCs w:val="20"/>
        </w:rPr>
      </w:pPr>
      <w:r w:rsidRPr="00C801B8">
        <w:rPr>
          <w:szCs w:val="20"/>
        </w:rPr>
        <w:t xml:space="preserve">Institutional arrangements for fiscal equalisation vary markedly across countries. </w:t>
      </w:r>
      <w:r>
        <w:rPr>
          <w:szCs w:val="20"/>
        </w:rPr>
        <w:t xml:space="preserve">A </w:t>
      </w:r>
      <w:r w:rsidRPr="00C801B8">
        <w:rPr>
          <w:szCs w:val="20"/>
        </w:rPr>
        <w:t>countr</w:t>
      </w:r>
      <w:r>
        <w:rPr>
          <w:szCs w:val="20"/>
        </w:rPr>
        <w:t>y’s approach</w:t>
      </w:r>
      <w:r w:rsidRPr="00C801B8">
        <w:rPr>
          <w:szCs w:val="20"/>
        </w:rPr>
        <w:t xml:space="preserve"> is often constrained by factors such as the inherent scope and nature of </w:t>
      </w:r>
      <w:r>
        <w:rPr>
          <w:szCs w:val="20"/>
        </w:rPr>
        <w:t>its</w:t>
      </w:r>
      <w:r w:rsidRPr="00C801B8">
        <w:rPr>
          <w:szCs w:val="20"/>
        </w:rPr>
        <w:t xml:space="preserve"> intergovernmental fiscal relations,</w:t>
      </w:r>
      <w:r>
        <w:rPr>
          <w:szCs w:val="20"/>
        </w:rPr>
        <w:t xml:space="preserve"> existing</w:t>
      </w:r>
      <w:r w:rsidRPr="00C801B8">
        <w:rPr>
          <w:szCs w:val="20"/>
        </w:rPr>
        <w:t xml:space="preserve"> institutional arrangements, and administrative capacity of central (and local) institutions </w:t>
      </w:r>
      <w:r w:rsidR="009D6331" w:rsidRPr="009D6331">
        <w:t>(Boex and Martinez-Vazquez 2004, p. 7)</w:t>
      </w:r>
      <w:r>
        <w:rPr>
          <w:szCs w:val="20"/>
        </w:rPr>
        <w:t>. That said, t</w:t>
      </w:r>
      <w:r w:rsidRPr="00C801B8">
        <w:rPr>
          <w:szCs w:val="20"/>
        </w:rPr>
        <w:t xml:space="preserve">he diverse </w:t>
      </w:r>
      <w:r>
        <w:rPr>
          <w:szCs w:val="20"/>
        </w:rPr>
        <w:t xml:space="preserve">institutional </w:t>
      </w:r>
      <w:r w:rsidRPr="00C801B8">
        <w:rPr>
          <w:szCs w:val="20"/>
        </w:rPr>
        <w:t>arrangements</w:t>
      </w:r>
      <w:r>
        <w:rPr>
          <w:szCs w:val="20"/>
        </w:rPr>
        <w:t xml:space="preserve"> for fiscal equalisation</w:t>
      </w:r>
      <w:r w:rsidRPr="00C801B8">
        <w:rPr>
          <w:szCs w:val="20"/>
        </w:rPr>
        <w:t xml:space="preserve"> can be classified into four stylised models</w:t>
      </w:r>
      <w:r>
        <w:rPr>
          <w:szCs w:val="20"/>
        </w:rPr>
        <w:t>.</w:t>
      </w:r>
    </w:p>
    <w:p w14:paraId="7954C3CD" w14:textId="2F197156" w:rsidR="00F05DC7" w:rsidRPr="000E0EBA" w:rsidRDefault="00F05DC7" w:rsidP="007C35AE">
      <w:pPr>
        <w:pStyle w:val="ListNumber"/>
        <w:numPr>
          <w:ilvl w:val="0"/>
          <w:numId w:val="24"/>
        </w:numPr>
        <w:rPr>
          <w:spacing w:val="-2"/>
        </w:rPr>
      </w:pPr>
      <w:r w:rsidRPr="000E0EBA">
        <w:rPr>
          <w:spacing w:val="-2"/>
        </w:rPr>
        <w:t>A central/national government ministry/agency (for example, Italy, Poland, Switzerland)</w:t>
      </w:r>
      <w:r w:rsidR="000E0EBA" w:rsidRPr="000E0EBA">
        <w:rPr>
          <w:spacing w:val="-2"/>
        </w:rPr>
        <w:t>.</w:t>
      </w:r>
    </w:p>
    <w:p w14:paraId="7954C3CE" w14:textId="7E1DCD73" w:rsidR="00F05DC7" w:rsidRPr="00C801B8" w:rsidRDefault="00F05DC7" w:rsidP="00A3786D">
      <w:pPr>
        <w:pStyle w:val="ListNumber"/>
      </w:pPr>
      <w:r>
        <w:t>T</w:t>
      </w:r>
      <w:r w:rsidRPr="00C801B8">
        <w:t>he national legislature (for example, Brazil)</w:t>
      </w:r>
      <w:r w:rsidR="000E0EBA">
        <w:t>.</w:t>
      </w:r>
    </w:p>
    <w:p w14:paraId="7954C3CF" w14:textId="585FB37B" w:rsidR="00F05DC7" w:rsidRPr="00C801B8" w:rsidRDefault="00F05DC7" w:rsidP="00A3786D">
      <w:pPr>
        <w:pStyle w:val="ListNumber"/>
      </w:pPr>
      <w:r>
        <w:t>I</w:t>
      </w:r>
      <w:r w:rsidRPr="00C801B8">
        <w:t>ntergovernmental forums</w:t>
      </w:r>
      <w:r>
        <w:t>,</w:t>
      </w:r>
      <w:r w:rsidRPr="00C801B8">
        <w:t xml:space="preserve"> including intergovernmental</w:t>
      </w:r>
      <w:r w:rsidRPr="00C801B8">
        <w:noBreakHyphen/>
        <w:t>cum</w:t>
      </w:r>
      <w:r w:rsidRPr="00C801B8">
        <w:noBreakHyphen/>
        <w:t>civil</w:t>
      </w:r>
      <w:r w:rsidRPr="00C801B8">
        <w:noBreakHyphen/>
        <w:t>society forums</w:t>
      </w:r>
      <w:r>
        <w:t xml:space="preserve"> </w:t>
      </w:r>
      <w:r w:rsidRPr="00C801B8">
        <w:t>(for example, Canada, Germany)</w:t>
      </w:r>
      <w:r w:rsidR="000E0EBA">
        <w:t>.</w:t>
      </w:r>
    </w:p>
    <w:p w14:paraId="7954C3D0" w14:textId="523D8104" w:rsidR="00F05DC7" w:rsidRDefault="00F05DC7" w:rsidP="00A3786D">
      <w:pPr>
        <w:pStyle w:val="ListNumber"/>
      </w:pPr>
      <w:r>
        <w:t>A</w:t>
      </w:r>
      <w:r w:rsidRPr="00C801B8">
        <w:t>n independent agency (grants commission) reporting either to the executive or the legislature on a permanent or periodic basis (for example, Australia</w:t>
      </w:r>
      <w:r>
        <w:t>, India</w:t>
      </w:r>
      <w:r w:rsidRPr="00C801B8">
        <w:t>)</w:t>
      </w:r>
      <w:r>
        <w:t xml:space="preserve"> </w:t>
      </w:r>
      <w:r w:rsidR="009D6331" w:rsidRPr="009D6331">
        <w:rPr>
          <w:szCs w:val="24"/>
        </w:rPr>
        <w:t>(Shah 2005, pp. 2–6)</w:t>
      </w:r>
      <w:r>
        <w:t>.</w:t>
      </w:r>
    </w:p>
    <w:p w14:paraId="7954C3D1" w14:textId="76470FC6" w:rsidR="00F05DC7" w:rsidRDefault="00F05DC7" w:rsidP="00A3786D">
      <w:pPr>
        <w:pStyle w:val="Heading2"/>
      </w:pPr>
      <w:bookmarkStart w:id="128" w:name="_Toc513637753"/>
      <w:r>
        <w:t>E.</w:t>
      </w:r>
      <w:r>
        <w:rPr>
          <w:noProof/>
        </w:rPr>
        <w:t>2</w:t>
      </w:r>
      <w:r>
        <w:tab/>
        <w:t>Lessons from international experience</w:t>
      </w:r>
      <w:bookmarkEnd w:id="128"/>
    </w:p>
    <w:p w14:paraId="7954C3D2" w14:textId="77777777" w:rsidR="00F05DC7" w:rsidRDefault="00F05DC7" w:rsidP="00A3786D">
      <w:pPr>
        <w:pStyle w:val="BodyText"/>
      </w:pPr>
      <w:r>
        <w:t>Horizontal equalisation arrangements in other countries are inextricably linked to their particular distribution of authority to collect taxes, legal and constitutional allocation of responsibilities for the provision of public services, and to federal–state government agreements to provide other funding. A review of OECD experience found:</w:t>
      </w:r>
    </w:p>
    <w:p w14:paraId="7954C3D3" w14:textId="50D97A95" w:rsidR="00F05DC7" w:rsidRPr="0091240D" w:rsidRDefault="00F05DC7" w:rsidP="00A3786D">
      <w:pPr>
        <w:pStyle w:val="Quote"/>
        <w:spacing w:before="100" w:after="120"/>
      </w:pPr>
      <w:r>
        <w:t>Fiscal equalisation is also tremendously country specific. Fiscal equalisation is shaped by the wider institutional framework such as size, number and geographical distribution of sub</w:t>
      </w:r>
      <w:r>
        <w:noBreakHyphen/>
        <w:t>central governments, the responsibilities and fiscal resources allocated to each jurisdiction, or the mechanics of power sharing between the central and the sub</w:t>
      </w:r>
      <w:r>
        <w:noBreakHyphen/>
        <w:t>central level</w:t>
      </w:r>
      <w:r w:rsidRPr="0091240D">
        <w:t>.</w:t>
      </w:r>
      <w:r>
        <w:t xml:space="preserve"> … The wealth of explicit and implicit, statutory and common, equalisation arrangements makes it hard to find a common baseline and reduces the body of generalised policy analysis applicable to all countries alike.</w:t>
      </w:r>
      <w:r w:rsidRPr="0091240D">
        <w:t xml:space="preserve"> </w:t>
      </w:r>
      <w:r w:rsidR="009D6331" w:rsidRPr="009D6331">
        <w:rPr>
          <w:szCs w:val="24"/>
        </w:rPr>
        <w:t>(Blöchliger et al. 2007, p. 5)</w:t>
      </w:r>
    </w:p>
    <w:p w14:paraId="7954C3D4" w14:textId="77777777" w:rsidR="00F05DC7" w:rsidRDefault="00F05DC7" w:rsidP="00A3786D">
      <w:pPr>
        <w:pStyle w:val="BodyText"/>
      </w:pPr>
      <w:r>
        <w:t>The country</w:t>
      </w:r>
      <w:r>
        <w:rPr>
          <w:rFonts w:ascii="Arial" w:hAnsi="Arial" w:cs="Arial"/>
        </w:rPr>
        <w:noBreakHyphen/>
      </w:r>
      <w:r>
        <w:t>specific nature of equalisation arrangements means the applicability of those schemes to Australia (with its own unique institutional framework, responsibility for providing public services, fiscal capacities and societal values) is somewhat limited. Nonetheless, a number of important lessons can be distilled from the international experience.</w:t>
      </w:r>
    </w:p>
    <w:p w14:paraId="7954C3D5" w14:textId="77777777" w:rsidR="00F05DC7" w:rsidRPr="00334AC3" w:rsidRDefault="00F05DC7" w:rsidP="00A3786D">
      <w:pPr>
        <w:pStyle w:val="Heading3"/>
      </w:pPr>
      <w:r>
        <w:lastRenderedPageBreak/>
        <w:t xml:space="preserve">Equalisation </w:t>
      </w:r>
      <w:r w:rsidRPr="00334AC3">
        <w:t xml:space="preserve">can create </w:t>
      </w:r>
      <w:r>
        <w:t>perverse incentives</w:t>
      </w:r>
    </w:p>
    <w:p w14:paraId="7954C3D6" w14:textId="672D15C9" w:rsidR="00F05DC7" w:rsidRDefault="00F05DC7" w:rsidP="00A3786D">
      <w:pPr>
        <w:pStyle w:val="BodyText"/>
      </w:pPr>
      <w:r>
        <w:t>A characteristic of equalisation systems is that an increase in own</w:t>
      </w:r>
      <w:r>
        <w:noBreakHyphen/>
        <w:t>source revenue for a sub</w:t>
      </w:r>
      <w:r>
        <w:noBreakHyphen/>
        <w:t xml:space="preserve">central government will result in lower equalisation payments to that State. </w:t>
      </w:r>
      <w:r w:rsidRPr="000C30D5">
        <w:t xml:space="preserve">The </w:t>
      </w:r>
      <w:r>
        <w:t>magnitude of this loss in</w:t>
      </w:r>
      <w:r w:rsidRPr="000C30D5">
        <w:t xml:space="preserve"> </w:t>
      </w:r>
      <w:r>
        <w:t xml:space="preserve">funding for </w:t>
      </w:r>
      <w:r w:rsidRPr="000C30D5">
        <w:t>a sub</w:t>
      </w:r>
      <w:r w:rsidRPr="000C30D5">
        <w:noBreakHyphen/>
        <w:t xml:space="preserve">central government varies considerably across countries, and can range from zero to 100 per cent </w:t>
      </w:r>
      <w:r w:rsidR="009D6331" w:rsidRPr="009D6331">
        <w:rPr>
          <w:szCs w:val="24"/>
        </w:rPr>
        <w:t>(OECD 2013, pp. 106–107)</w:t>
      </w:r>
      <w:r w:rsidRPr="000C30D5">
        <w:t xml:space="preserve">. </w:t>
      </w:r>
      <w:r>
        <w:t>For example, in Austria, States</w:t>
      </w:r>
      <w:r w:rsidRPr="000C30D5">
        <w:t xml:space="preserve"> with below</w:t>
      </w:r>
      <w:r w:rsidRPr="000C30D5">
        <w:noBreakHyphen/>
        <w:t>average fiscal capacity lose</w:t>
      </w:r>
      <w:r>
        <w:t xml:space="preserve"> up to</w:t>
      </w:r>
      <w:r w:rsidRPr="000C30D5">
        <w:t xml:space="preserve"> 88 per cent of funds generated from </w:t>
      </w:r>
      <w:r>
        <w:t xml:space="preserve">an </w:t>
      </w:r>
      <w:r w:rsidRPr="000C30D5">
        <w:t xml:space="preserve">increase in own source revenue, </w:t>
      </w:r>
      <w:r>
        <w:t>while</w:t>
      </w:r>
      <w:r w:rsidRPr="000C30D5">
        <w:t xml:space="preserve"> in Canada</w:t>
      </w:r>
      <w:r>
        <w:t>,</w:t>
      </w:r>
      <w:r w:rsidRPr="000C30D5">
        <w:t xml:space="preserve"> provinces with below</w:t>
      </w:r>
      <w:r w:rsidRPr="000C30D5">
        <w:noBreakHyphen/>
        <w:t>average fisc</w:t>
      </w:r>
      <w:r>
        <w:t>al capacity lose between 70–100 </w:t>
      </w:r>
      <w:r w:rsidRPr="000C30D5">
        <w:t>per cent</w:t>
      </w:r>
      <w:r>
        <w:t xml:space="preserve"> of additional own source revenue. </w:t>
      </w:r>
    </w:p>
    <w:p w14:paraId="7954C3D7" w14:textId="6CE45919" w:rsidR="00F05DC7" w:rsidRDefault="00F05DC7" w:rsidP="00A3786D">
      <w:pPr>
        <w:pStyle w:val="BodyText"/>
      </w:pPr>
      <w:r w:rsidRPr="000C30D5">
        <w:t xml:space="preserve">OECD experience provides evidence that </w:t>
      </w:r>
      <w:r>
        <w:t xml:space="preserve">these </w:t>
      </w:r>
      <w:r w:rsidRPr="000C30D5">
        <w:t>distortions</w:t>
      </w:r>
      <w:r>
        <w:t xml:space="preserve"> </w:t>
      </w:r>
      <w:r w:rsidRPr="000C30D5">
        <w:t>can reduce the incentive for sub</w:t>
      </w:r>
      <w:r w:rsidRPr="000C30D5">
        <w:noBreakHyphen/>
        <w:t xml:space="preserve">central governments to increase their fiscal base and pursue regional growth. OECD country studies, for example, indicate that </w:t>
      </w:r>
      <w:r>
        <w:t>high offset rates</w:t>
      </w:r>
      <w:r w:rsidRPr="000C30D5">
        <w:t xml:space="preserve"> associated with interstate fi</w:t>
      </w:r>
      <w:r>
        <w:t>scal equalisation in Germany have</w:t>
      </w:r>
      <w:r w:rsidRPr="000C30D5">
        <w:t xml:space="preserve"> a negative impact on </w:t>
      </w:r>
      <w:r>
        <w:t>S</w:t>
      </w:r>
      <w:r w:rsidRPr="000C30D5">
        <w:t xml:space="preserve">tates’ tax revenue </w:t>
      </w:r>
      <w:r w:rsidRPr="00F861E2">
        <w:t xml:space="preserve">collection efforts </w:t>
      </w:r>
      <w:r w:rsidR="009D6331" w:rsidRPr="009D6331">
        <w:rPr>
          <w:szCs w:val="24"/>
        </w:rPr>
        <w:t>(OECD 2006, p. 61)</w:t>
      </w:r>
      <w:r w:rsidRPr="00F861E2">
        <w:t xml:space="preserve">. Other studies suggest equalisation produces disincentives for regional governments to develop their tax bases </w:t>
      </w:r>
      <w:r w:rsidR="009D6331" w:rsidRPr="009D6331">
        <w:rPr>
          <w:szCs w:val="24"/>
        </w:rPr>
        <w:t>(Wurzel 2003, p. 14)</w:t>
      </w:r>
      <w:r w:rsidRPr="00F861E2">
        <w:t>.</w:t>
      </w:r>
      <w:r w:rsidRPr="00282527">
        <w:rPr>
          <w:rStyle w:val="FootnoteReference"/>
        </w:rPr>
        <w:footnoteReference w:id="31"/>
      </w:r>
      <w:r w:rsidRPr="00F861E2">
        <w:t xml:space="preserve"> </w:t>
      </w:r>
      <w:r>
        <w:t>As noted by Shah, similar adverse incentives are present in Australia (however unlike Canada and Austria, high equalisation offset rates primarily apply to States with above average fiscal capacity) (chapter 3):</w:t>
      </w:r>
    </w:p>
    <w:p w14:paraId="7954C3D8" w14:textId="77777777" w:rsidR="00F05DC7" w:rsidRDefault="00F05DC7" w:rsidP="00A3786D">
      <w:pPr>
        <w:pStyle w:val="Quote"/>
      </w:pPr>
      <w:r>
        <w:t>Equalisation creates significant adverse incentives for expansion in tax base and/or tax rate by the dominant base states as equalisation offsets confiscate most of additional revenues from such expansion. (Shah, sub. DR103, p. 4)</w:t>
      </w:r>
    </w:p>
    <w:p w14:paraId="7954C3D9" w14:textId="77777777" w:rsidR="00F05DC7" w:rsidRDefault="00F05DC7" w:rsidP="00A3786D">
      <w:pPr>
        <w:pStyle w:val="Heading3"/>
      </w:pPr>
      <w:r>
        <w:t>The need to take account of broader conditional transfers</w:t>
      </w:r>
    </w:p>
    <w:p w14:paraId="7954C3DA" w14:textId="6EA5120D" w:rsidR="00F05DC7" w:rsidRDefault="00F05DC7" w:rsidP="00A3786D">
      <w:pPr>
        <w:pStyle w:val="BodyText"/>
      </w:pPr>
      <w:r>
        <w:t>In a number of OECD countries, the equalisation system operates within a broader landscape of tied (or conditional) transfers to sub</w:t>
      </w:r>
      <w:r>
        <w:noBreakHyphen/>
        <w:t xml:space="preserve">central governments (discussed in the Australian context in chapter 9). As such, the design of the equalisation system (and potential improvements to it) should not be looked at in isolation from this broader fiscal system </w:t>
      </w:r>
      <w:r w:rsidR="009D6331" w:rsidRPr="009D6331">
        <w:rPr>
          <w:szCs w:val="24"/>
        </w:rPr>
        <w:t>(Shah 2006, p. 48)</w:t>
      </w:r>
      <w:r>
        <w:t>. Indeed, in some countries, the broader landscape has been an explicit consideration. For example, Canada, Germany and Finland compensate for different expenditure needs through separate conditional transfers in order to keep the fiscal equalisation system simple, objective and transparent (Shah, pers. comm., 19 July 2017).</w:t>
      </w:r>
    </w:p>
    <w:p w14:paraId="7954C3DB" w14:textId="174599D6" w:rsidR="00F05DC7" w:rsidRDefault="00F05DC7" w:rsidP="00A3786D">
      <w:pPr>
        <w:pStyle w:val="BodyText"/>
      </w:pPr>
      <w:r>
        <w:t>Linked to this is the view that the broader fiscal system (and particularly tied payments to sub</w:t>
      </w:r>
      <w:r>
        <w:noBreakHyphen/>
        <w:t>central governments)</w:t>
      </w:r>
      <w:r w:rsidRPr="00282E14">
        <w:t xml:space="preserve"> </w:t>
      </w:r>
      <w:r>
        <w:t>should be incorporated into any</w:t>
      </w:r>
      <w:r w:rsidRPr="00282E14">
        <w:t xml:space="preserve"> </w:t>
      </w:r>
      <w:r>
        <w:t>examination of inter</w:t>
      </w:r>
      <w:r>
        <w:noBreakHyphen/>
        <w:t xml:space="preserve">jurisdictional </w:t>
      </w:r>
      <w:r>
        <w:lastRenderedPageBreak/>
        <w:t xml:space="preserve">fiscal equity and fiscal efficiency </w:t>
      </w:r>
      <w:r w:rsidR="009D6331" w:rsidRPr="009D6331">
        <w:rPr>
          <w:szCs w:val="24"/>
        </w:rPr>
        <w:t>(Shah 2012, p. 27; pers. comm., 19 July 2017)</w:t>
      </w:r>
      <w:r>
        <w:t>. This is the approach taken in Australia where, for example, elements of National Specific Purpose Payments and National Partnership Payments are considered when calculating States’ relativities (discussed further in chapter 2 and appendix B).</w:t>
      </w:r>
    </w:p>
    <w:p w14:paraId="7954C3DC" w14:textId="77777777" w:rsidR="00F05DC7" w:rsidRPr="0012596D" w:rsidRDefault="00F05DC7" w:rsidP="00A3786D">
      <w:pPr>
        <w:pStyle w:val="Heading3"/>
      </w:pPr>
      <w:r>
        <w:t>Providing autonomy to States through equalisation payments</w:t>
      </w:r>
    </w:p>
    <w:p w14:paraId="7954C3DD" w14:textId="77777777" w:rsidR="00F05DC7" w:rsidRDefault="00F05DC7" w:rsidP="00A3786D">
      <w:pPr>
        <w:pStyle w:val="BodyText"/>
      </w:pPr>
      <w:r>
        <w:t>In some OECD countries, equalisation transfers are conditional upon funds being spent in a particular area. This results in sub</w:t>
      </w:r>
      <w:r>
        <w:noBreakHyphen/>
        <w:t xml:space="preserve">central governments delivering the services, but doing so under the central government’s direction. </w:t>
      </w:r>
    </w:p>
    <w:p w14:paraId="7954C3DE" w14:textId="05D0048C" w:rsidR="00F05DC7" w:rsidRDefault="00F05DC7" w:rsidP="00A3786D">
      <w:pPr>
        <w:pStyle w:val="BodyText"/>
      </w:pPr>
      <w:r>
        <w:t xml:space="preserve">These tied arrangements raise a number of concerns </w:t>
      </w:r>
      <w:r w:rsidR="009D6331" w:rsidRPr="009D6331">
        <w:rPr>
          <w:szCs w:val="24"/>
        </w:rPr>
        <w:t>(OECD 2013, p. 110)</w:t>
      </w:r>
      <w:r>
        <w:t>. First, equalisation transfers are intended to provide sub</w:t>
      </w:r>
      <w:r>
        <w:noBreakHyphen/>
        <w:t>central governments with the fiscal capacity to meet some standard of service provision if they choose</w:t>
      </w:r>
      <w:r w:rsidRPr="00742D2D">
        <w:t xml:space="preserve"> </w:t>
      </w:r>
      <w:r>
        <w:t>to do so, but do not compel them to do so. Tied transfers contradict the notion of sub</w:t>
      </w:r>
      <w:r>
        <w:noBreakHyphen/>
        <w:t xml:space="preserve">central government autonomy. </w:t>
      </w:r>
    </w:p>
    <w:p w14:paraId="7954C3DF" w14:textId="77777777" w:rsidR="00F05DC7" w:rsidRDefault="00F05DC7" w:rsidP="00A3786D">
      <w:pPr>
        <w:pStyle w:val="BodyText"/>
      </w:pPr>
      <w:r>
        <w:t>While some OECD countries (such as Switzerland) provide tied equalisation transfers, the majority of countries avoid the practice. In Germany, transfers designed to address ‘special burdens’ in fiscally weak States are not tied to a specific purpose. Similarly, in Canada, Territorial funding (which is designed to address the unique cost disadvantages faced by the Territories) is untied. Second, tied transfers can generate significant administrative burdens and compliance costs for central and sub</w:t>
      </w:r>
      <w:r>
        <w:noBreakHyphen/>
        <w:t>central governments.</w:t>
      </w:r>
    </w:p>
    <w:p w14:paraId="7954C3E0" w14:textId="77777777" w:rsidR="00F05DC7" w:rsidRDefault="00F05DC7" w:rsidP="00A3786D">
      <w:pPr>
        <w:pStyle w:val="BodyText"/>
        <w:keepNext/>
      </w:pPr>
      <w:r>
        <w:t>OECD experience suggests that conditional transfers are not necessarily the best way to achieve desired outcomes:</w:t>
      </w:r>
    </w:p>
    <w:p w14:paraId="7954C3E1" w14:textId="6034ECB2" w:rsidR="00F05DC7" w:rsidRDefault="00F05DC7" w:rsidP="00A3786D">
      <w:pPr>
        <w:pStyle w:val="Quote"/>
      </w:pPr>
      <w:r>
        <w:t xml:space="preserve">If a central government is to retain control over the proper use of equalisation funds, it can do so more effectively through appropriate public service regulation — by, for example, setting minimum standards or using output and performance indicators. It should leave the operation and management of fiscal resources to the discretion of local and regional governments. </w:t>
      </w:r>
      <w:r w:rsidR="009D6331" w:rsidRPr="009D6331">
        <w:rPr>
          <w:szCs w:val="24"/>
        </w:rPr>
        <w:t>(OECD 2013, p. 110)</w:t>
      </w:r>
    </w:p>
    <w:p w14:paraId="7954C3E2" w14:textId="77777777" w:rsidR="00F05DC7" w:rsidRDefault="00F05DC7" w:rsidP="00A3786D">
      <w:pPr>
        <w:pStyle w:val="BodyText"/>
      </w:pPr>
      <w:r>
        <w:t xml:space="preserve">The issue of tied versus untied equalisation payments and the appropriate balance between the two is discussed in chapter 2 and </w:t>
      </w:r>
      <w:r w:rsidRPr="00462706">
        <w:t>chapter </w:t>
      </w:r>
      <w:r>
        <w:t>9.</w:t>
      </w:r>
    </w:p>
    <w:p w14:paraId="7954C3E3" w14:textId="77777777" w:rsidR="00F05DC7" w:rsidRDefault="00F05DC7" w:rsidP="00A3786D">
      <w:pPr>
        <w:pStyle w:val="Heading3"/>
      </w:pPr>
      <w:r>
        <w:t>The importance of independent governance arrangements</w:t>
      </w:r>
    </w:p>
    <w:p w14:paraId="7954C3E4" w14:textId="096F6788" w:rsidR="00F05DC7" w:rsidRDefault="00F05DC7" w:rsidP="00A3786D">
      <w:pPr>
        <w:pStyle w:val="BodyText"/>
      </w:pPr>
      <w:r>
        <w:t>T</w:t>
      </w:r>
      <w:r w:rsidRPr="00C801B8">
        <w:t>he</w:t>
      </w:r>
      <w:r>
        <w:t xml:space="preserve"> desirable institutional</w:t>
      </w:r>
      <w:r w:rsidRPr="00C801B8">
        <w:t xml:space="preserve"> arrangement </w:t>
      </w:r>
      <w:r>
        <w:t>will depend upon the features of the broader equalisation landscape</w:t>
      </w:r>
      <w:r w:rsidRPr="00C801B8">
        <w:t xml:space="preserve"> </w:t>
      </w:r>
      <w:r>
        <w:t xml:space="preserve">in a country </w:t>
      </w:r>
      <w:r w:rsidR="009D6331" w:rsidRPr="009D6331">
        <w:rPr>
          <w:szCs w:val="24"/>
        </w:rPr>
        <w:t>(Boadway and Shah 2007, p. 293)</w:t>
      </w:r>
      <w:r>
        <w:t xml:space="preserve">. However, </w:t>
      </w:r>
      <w:r w:rsidRPr="00C801B8">
        <w:t xml:space="preserve">OECD experience suggests that, particularly for countries that operate </w:t>
      </w:r>
      <w:r w:rsidRPr="00EF2C64">
        <w:rPr>
          <w:i/>
        </w:rPr>
        <w:t>cost</w:t>
      </w:r>
      <w:r w:rsidRPr="00C801B8">
        <w:t xml:space="preserve"> equalisation arrangements, an independent agency leaves less room for political bargaining and allows the allocation of equalisation </w:t>
      </w:r>
      <w:r>
        <w:t>revenue</w:t>
      </w:r>
      <w:r w:rsidRPr="00C801B8">
        <w:t xml:space="preserve"> to occur as a technical exercise </w:t>
      </w:r>
      <w:r w:rsidR="009D6331" w:rsidRPr="009D6331">
        <w:rPr>
          <w:szCs w:val="24"/>
        </w:rPr>
        <w:t>(Blöchliger et al. 2007, p. 25)</w:t>
      </w:r>
      <w:r w:rsidRPr="00C801B8">
        <w:t xml:space="preserve">. This is </w:t>
      </w:r>
      <w:r>
        <w:t>in the context of a</w:t>
      </w:r>
      <w:r w:rsidRPr="00C801B8">
        <w:t xml:space="preserve"> growing body of literature </w:t>
      </w:r>
      <w:r>
        <w:t xml:space="preserve">that </w:t>
      </w:r>
      <w:r w:rsidRPr="00C801B8">
        <w:t>highlight</w:t>
      </w:r>
      <w:r>
        <w:t>s</w:t>
      </w:r>
      <w:r w:rsidRPr="00C801B8">
        <w:t xml:space="preserve"> the role of political </w:t>
      </w:r>
      <w:r w:rsidRPr="00C801B8">
        <w:lastRenderedPageBreak/>
        <w:t xml:space="preserve">factors in distorting equalisation policy </w:t>
      </w:r>
      <w:r w:rsidR="009D6331" w:rsidRPr="009D6331">
        <w:rPr>
          <w:szCs w:val="24"/>
        </w:rPr>
        <w:t>(Khemani 2007, p. 464)</w:t>
      </w:r>
      <w:r w:rsidRPr="00C801B8">
        <w:t xml:space="preserve">. Studies of UK equalisation arrangements also endorse the independent agency model </w:t>
      </w:r>
      <w:r w:rsidR="009D6331" w:rsidRPr="009D6331">
        <w:rPr>
          <w:szCs w:val="24"/>
        </w:rPr>
        <w:t>(McLean 2004, pp. 34–37)</w:t>
      </w:r>
      <w:r w:rsidRPr="00C801B8">
        <w:t>.</w:t>
      </w:r>
      <w:r>
        <w:t xml:space="preserve"> </w:t>
      </w:r>
    </w:p>
    <w:p w14:paraId="7954C3E5" w14:textId="6AC54A81" w:rsidR="00F05DC7" w:rsidRPr="000E0EBA" w:rsidRDefault="00F05DC7" w:rsidP="00A3786D">
      <w:pPr>
        <w:pStyle w:val="BodyText"/>
        <w:rPr>
          <w:spacing w:val="-2"/>
        </w:rPr>
      </w:pPr>
      <w:r w:rsidRPr="000E0EBA">
        <w:rPr>
          <w:spacing w:val="-2"/>
        </w:rPr>
        <w:t xml:space="preserve">That said, it has also been suggested that, in some instances, an independent agency can produce other issues, such as mission creep, incentives for complexity, and issues with public oversight </w:t>
      </w:r>
      <w:r w:rsidR="009D6331" w:rsidRPr="000E0EBA">
        <w:rPr>
          <w:spacing w:val="-2"/>
          <w:szCs w:val="24"/>
        </w:rPr>
        <w:t>(Shah 2005, pp. 12–13)</w:t>
      </w:r>
      <w:r w:rsidRPr="000E0EBA">
        <w:rPr>
          <w:spacing w:val="-2"/>
        </w:rPr>
        <w:t>. Further, Blöchliger and Charbit note that intergovernmental forums provide simple and feasible alternatives, that minimise transaction costs:</w:t>
      </w:r>
    </w:p>
    <w:p w14:paraId="7954C3E6" w14:textId="649DEF07" w:rsidR="00F05DC7" w:rsidRPr="00596726" w:rsidRDefault="00F05DC7" w:rsidP="00A3786D">
      <w:pPr>
        <w:pStyle w:val="Quote"/>
      </w:pPr>
      <w:r>
        <w:t>An agency brings a principal</w:t>
      </w:r>
      <w:r>
        <w:noBreakHyphen/>
        <w:t>agency</w:t>
      </w:r>
      <w:r>
        <w:noBreakHyphen/>
        <w:t xml:space="preserve">problem: the agency might have an interest to make its work more complex than necessary so as to ensure its existence and to enlarge the scope of its work. Moreover, it might lead to an increase in transaction costs. </w:t>
      </w:r>
      <w:r w:rsidR="009D6331" w:rsidRPr="009D6331">
        <w:rPr>
          <w:szCs w:val="24"/>
        </w:rPr>
        <w:t>(2008, p. 14)</w:t>
      </w:r>
    </w:p>
    <w:p w14:paraId="7954C3E7" w14:textId="77777777" w:rsidR="00F05DC7" w:rsidRDefault="00F05DC7" w:rsidP="00A3786D">
      <w:pPr>
        <w:pStyle w:val="BodyText"/>
      </w:pPr>
      <w:r>
        <w:t>As noted by participants to this inquiry, changes to equalisation arrangements require political buy</w:t>
      </w:r>
      <w:r>
        <w:noBreakHyphen/>
        <w:t>in by sub</w:t>
      </w:r>
      <w:r>
        <w:noBreakHyphen/>
        <w:t>central governments. Thus, a</w:t>
      </w:r>
      <w:r w:rsidRPr="00462706">
        <w:t xml:space="preserve"> balance is required between an independent</w:t>
      </w:r>
      <w:r>
        <w:t xml:space="preserve"> agency and political ownership (Shah, sub. DR103, p. 2). The role of the CGC in Australia is discussed in chapter 9.</w:t>
      </w:r>
    </w:p>
    <w:p w14:paraId="7954C3E8" w14:textId="77777777" w:rsidR="00F05DC7" w:rsidRDefault="00F05DC7" w:rsidP="00A3786D">
      <w:pPr>
        <w:pStyle w:val="Heading3"/>
      </w:pPr>
      <w:r>
        <w:t>Achieving societal consensus should be at the heart of equalisation arrangements</w:t>
      </w:r>
    </w:p>
    <w:p w14:paraId="7954C3E9" w14:textId="77777777" w:rsidR="00F05DC7" w:rsidRPr="003F0290" w:rsidRDefault="00F05DC7" w:rsidP="00A3786D">
      <w:pPr>
        <w:spacing w:before="240" w:line="300" w:lineRule="atLeast"/>
        <w:jc w:val="both"/>
        <w:rPr>
          <w:szCs w:val="20"/>
        </w:rPr>
      </w:pPr>
      <w:r w:rsidRPr="003F0290">
        <w:rPr>
          <w:szCs w:val="20"/>
        </w:rPr>
        <w:t>The current debate in Australia about whether the distribution of GST revenues is ‘fair’ or ‘equitable’ mirrors the debate in other countries where fiscal equalisation is part of the intergovernmental landscape. As an OECD working paper on fiscal federalism has noted:</w:t>
      </w:r>
    </w:p>
    <w:p w14:paraId="7954C3EA" w14:textId="5C4B480D" w:rsidR="00F05DC7" w:rsidRPr="00515310" w:rsidRDefault="00F05DC7" w:rsidP="00A3786D">
      <w:pPr>
        <w:pStyle w:val="Quote"/>
      </w:pPr>
      <w:r w:rsidRPr="00515310">
        <w:t xml:space="preserve">The stakes of jurisdictions with high tax revenue and low cost of public services are almost inevitably opposed to those jurisdictions with low tax revenue and high public service cost. </w:t>
      </w:r>
      <w:r w:rsidR="009D6331" w:rsidRPr="009D6331">
        <w:rPr>
          <w:szCs w:val="24"/>
        </w:rPr>
        <w:t>(Blöchliger et al. 2007, p. 5)</w:t>
      </w:r>
    </w:p>
    <w:p w14:paraId="7954C3EB" w14:textId="0D5A0DD9" w:rsidR="00F05DC7" w:rsidRDefault="00F05DC7" w:rsidP="00A3786D">
      <w:pPr>
        <w:spacing w:before="240" w:line="300" w:lineRule="atLeast"/>
        <w:jc w:val="both"/>
        <w:rPr>
          <w:szCs w:val="20"/>
        </w:rPr>
      </w:pPr>
      <w:r w:rsidRPr="003F0290">
        <w:rPr>
          <w:szCs w:val="20"/>
        </w:rPr>
        <w:t>Accordingly, any process of change is unlikely to be decided on the basis of the benefits and costs of alternatives to improve fiscal equalisation outcomes, but rather by lengthy processes to achieve political acceptance by sub</w:t>
      </w:r>
      <w:r w:rsidRPr="003F0290">
        <w:rPr>
          <w:szCs w:val="20"/>
        </w:rPr>
        <w:noBreakHyphen/>
        <w:t>central governments</w:t>
      </w:r>
      <w:r w:rsidRPr="00870CAF">
        <w:t xml:space="preserve"> </w:t>
      </w:r>
      <w:r w:rsidR="009D6331" w:rsidRPr="009D6331">
        <w:t>(Blöchliger et al. 2007, p. 5)</w:t>
      </w:r>
      <w:r w:rsidRPr="003F0290">
        <w:rPr>
          <w:szCs w:val="20"/>
        </w:rPr>
        <w:t>.</w:t>
      </w:r>
    </w:p>
    <w:p w14:paraId="7954C3EC" w14:textId="77777777" w:rsidR="00F05DC7" w:rsidRPr="00C14469" w:rsidRDefault="00F05DC7" w:rsidP="00A3786D">
      <w:pPr>
        <w:spacing w:before="240" w:line="300" w:lineRule="atLeast"/>
        <w:jc w:val="both"/>
        <w:rPr>
          <w:szCs w:val="20"/>
        </w:rPr>
      </w:pPr>
      <w:r w:rsidRPr="00623058">
        <w:rPr>
          <w:szCs w:val="20"/>
        </w:rPr>
        <w:t xml:space="preserve">These lessons indicate the value of informing and educating stakeholders about the merits of any change to the </w:t>
      </w:r>
      <w:r>
        <w:rPr>
          <w:szCs w:val="20"/>
        </w:rPr>
        <w:t>equalisation system</w:t>
      </w:r>
      <w:r w:rsidRPr="00623058">
        <w:rPr>
          <w:szCs w:val="20"/>
        </w:rPr>
        <w:t>, to help ensure that changes are enduring. This theme is</w:t>
      </w:r>
      <w:r>
        <w:rPr>
          <w:szCs w:val="20"/>
        </w:rPr>
        <w:t xml:space="preserve"> developed further in chapter 6.</w:t>
      </w:r>
    </w:p>
    <w:p w14:paraId="7954C3ED" w14:textId="77777777" w:rsidR="00F05DC7" w:rsidRDefault="00F05DC7" w:rsidP="00F05DC7">
      <w:pPr>
        <w:sectPr w:rsidR="00F05DC7" w:rsidSect="00F05DC7">
          <w:headerReference w:type="even" r:id="rId197"/>
          <w:headerReference w:type="default" r:id="rId198"/>
          <w:footerReference w:type="even" r:id="rId199"/>
          <w:footerReference w:type="default" r:id="rId200"/>
          <w:type w:val="oddPage"/>
          <w:pgSz w:w="11907" w:h="16840" w:code="9"/>
          <w:pgMar w:top="1985" w:right="1304" w:bottom="1247" w:left="1814" w:header="1701" w:footer="397" w:gutter="0"/>
          <w:pgNumType w:chapSep="period"/>
          <w:cols w:space="720"/>
          <w:docGrid w:linePitch="326"/>
        </w:sectPr>
      </w:pPr>
    </w:p>
    <w:p w14:paraId="7954C3EE" w14:textId="0DD7F378" w:rsidR="00F05DC7" w:rsidRDefault="00F05DC7" w:rsidP="00460F2D">
      <w:pPr>
        <w:pStyle w:val="Heading1"/>
      </w:pPr>
      <w:bookmarkStart w:id="129" w:name="_Toc513637754"/>
      <w:r>
        <w:lastRenderedPageBreak/>
        <w:t>F</w:t>
      </w:r>
      <w:r>
        <w:tab/>
        <w:t>Transition analysis</w:t>
      </w:r>
      <w:bookmarkEnd w:id="129"/>
    </w:p>
    <w:p w14:paraId="7954C3EF" w14:textId="77777777" w:rsidR="00F05DC7" w:rsidRDefault="00F05DC7" w:rsidP="00A3786D">
      <w:pPr>
        <w:pStyle w:val="BodyText"/>
      </w:pPr>
      <w:r>
        <w:t xml:space="preserve">This appendix provides detail on the quantitative analysis that has guided the Commission’s assessment of the transition options for moving to a new equalisation benchmark — equalising to the average fiscal capacity of States (chapter 9). The transition options are outlined in section F.1 along with some additional information on the transition principles outlined in chapter 9. The quantitative analysis is detailed in section F.2 which includes the projection methodology, inputs and assumptions for the Commission’s ‘best estimate’ of GST payments over the transition period. Results are presented in section F.3. An annex is presented in section F.A where alternative scenarios for future GST payments are explored. </w:t>
      </w:r>
    </w:p>
    <w:p w14:paraId="7954C3F0" w14:textId="46832661" w:rsidR="00F05DC7" w:rsidRDefault="00F05DC7" w:rsidP="00A3786D">
      <w:pPr>
        <w:pStyle w:val="Heading2"/>
      </w:pPr>
      <w:bookmarkStart w:id="130" w:name="_Toc513637755"/>
      <w:r>
        <w:t>F.</w:t>
      </w:r>
      <w:r>
        <w:rPr>
          <w:noProof/>
        </w:rPr>
        <w:t>1</w:t>
      </w:r>
      <w:r>
        <w:tab/>
        <w:t>Transition options and principles</w:t>
      </w:r>
      <w:bookmarkEnd w:id="130"/>
      <w:r>
        <w:t xml:space="preserve"> </w:t>
      </w:r>
    </w:p>
    <w:p w14:paraId="7954C3F1" w14:textId="77777777" w:rsidR="00F05DC7" w:rsidRDefault="00F05DC7" w:rsidP="00A3786D">
      <w:pPr>
        <w:pStyle w:val="BodyText"/>
      </w:pPr>
      <w:r>
        <w:t xml:space="preserve">The </w:t>
      </w:r>
      <w:r w:rsidRPr="000815C8">
        <w:t>Commission has considered two possible transition periods, both starting in 2019</w:t>
      </w:r>
      <w:r>
        <w:noBreakHyphen/>
      </w:r>
      <w:r w:rsidRPr="000815C8">
        <w:t>20</w:t>
      </w:r>
      <w:r>
        <w:t xml:space="preserve"> — a four year transition and an eight year transition (figure F.1). Under both options, relativities are calculated using a weighted average of the relativities that would apply under the current benchmark and equalisation to the average of all States (ETA), with weights increased by 25 percentage points per year until 2022</w:t>
      </w:r>
      <w:r>
        <w:noBreakHyphen/>
        <w:t>23 (for the four year transition) and 12.5 percentage points per year until 2026–2027 (for the eight year transition).</w:t>
      </w:r>
    </w:p>
    <w:p w14:paraId="7954C3F2"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3F4" w14:textId="77777777" w:rsidTr="00A3786D">
        <w:trPr>
          <w:tblHeader/>
        </w:trPr>
        <w:tc>
          <w:tcPr>
            <w:tcW w:w="5000" w:type="pct"/>
            <w:tcBorders>
              <w:top w:val="single" w:sz="6" w:space="0" w:color="78A22F"/>
              <w:left w:val="nil"/>
              <w:bottom w:val="nil"/>
              <w:right w:val="nil"/>
            </w:tcBorders>
            <w:shd w:val="clear" w:color="auto" w:fill="auto"/>
          </w:tcPr>
          <w:p w14:paraId="7954C3F3" w14:textId="7A34CC33" w:rsidR="00F05DC7" w:rsidRPr="00176D3F" w:rsidRDefault="00F05DC7" w:rsidP="00A3786D">
            <w:pPr>
              <w:pStyle w:val="FigureTitle"/>
            </w:pPr>
            <w:r w:rsidRPr="00784A05">
              <w:rPr>
                <w:b w:val="0"/>
              </w:rPr>
              <w:t xml:space="preserve">Figure </w:t>
            </w:r>
            <w:r>
              <w:rPr>
                <w:b w:val="0"/>
              </w:rPr>
              <w:t>F.</w:t>
            </w:r>
            <w:r>
              <w:rPr>
                <w:b w:val="0"/>
                <w:noProof/>
              </w:rPr>
              <w:t>1</w:t>
            </w:r>
            <w:r>
              <w:tab/>
              <w:t>Key dates for transition</w:t>
            </w:r>
          </w:p>
        </w:tc>
      </w:tr>
      <w:tr w:rsidR="00F05DC7" w14:paraId="7954C3F8"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05DC7" w:rsidRPr="00B1465D" w14:paraId="7954C3F6" w14:textId="77777777" w:rsidTr="00A3786D">
              <w:trPr>
                <w:tblHeader/>
                <w:jc w:val="center"/>
              </w:trPr>
              <w:tc>
                <w:tcPr>
                  <w:tcW w:w="5000" w:type="pct"/>
                  <w:tcBorders>
                    <w:top w:val="nil"/>
                    <w:bottom w:val="nil"/>
                  </w:tcBorders>
                </w:tcPr>
                <w:p w14:paraId="7954C3F5" w14:textId="77777777" w:rsidR="00F05DC7" w:rsidRPr="00B1465D" w:rsidRDefault="00F05DC7" w:rsidP="00A3786D">
                  <w:pPr>
                    <w:pStyle w:val="Figure"/>
                    <w:spacing w:before="60" w:after="60"/>
                    <w:rPr>
                      <w:rFonts w:ascii="Arial" w:hAnsi="Arial" w:cs="Arial"/>
                      <w:sz w:val="18"/>
                      <w:szCs w:val="18"/>
                    </w:rPr>
                  </w:pPr>
                  <w:r w:rsidRPr="00FA75E8">
                    <w:rPr>
                      <w:rFonts w:ascii="Arial" w:hAnsi="Arial" w:cs="Arial"/>
                      <w:noProof/>
                      <w:sz w:val="18"/>
                      <w:szCs w:val="18"/>
                    </w:rPr>
                    <w:drawing>
                      <wp:inline distT="0" distB="0" distL="0" distR="0" wp14:anchorId="7954D675" wp14:editId="7954D676">
                        <wp:extent cx="5151120" cy="1851660"/>
                        <wp:effectExtent l="0" t="0" r="0" b="0"/>
                        <wp:docPr id="123" name="Picture 123" descr="The Commission has assessed two transition periods, both starting in 2019-20. Under both options, GST relativities are calculated using a weighted average of the relativities that would apply under the current approach and ETA, with the weight on ETA increased by 25 percentage points per year until 2022 -23 (for the four year transition), and by 12.5 percentage points per year until 2027–2028 (for the eight year tran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51120" cy="1851660"/>
                                </a:xfrm>
                                <a:prstGeom prst="rect">
                                  <a:avLst/>
                                </a:prstGeom>
                                <a:noFill/>
                                <a:ln>
                                  <a:noFill/>
                                </a:ln>
                              </pic:spPr>
                            </pic:pic>
                          </a:graphicData>
                        </a:graphic>
                      </wp:inline>
                    </w:drawing>
                  </w:r>
                </w:p>
              </w:tc>
            </w:tr>
          </w:tbl>
          <w:p w14:paraId="7954C3F7" w14:textId="77777777" w:rsidR="00F05DC7" w:rsidRDefault="00F05DC7" w:rsidP="00A3786D">
            <w:pPr>
              <w:pStyle w:val="Figure"/>
            </w:pPr>
          </w:p>
        </w:tc>
      </w:tr>
      <w:tr w:rsidR="00F05DC7" w14:paraId="7954C3FA" w14:textId="77777777" w:rsidTr="00A3786D">
        <w:tc>
          <w:tcPr>
            <w:tcW w:w="5000" w:type="pct"/>
            <w:tcBorders>
              <w:top w:val="nil"/>
              <w:left w:val="nil"/>
              <w:bottom w:val="single" w:sz="6" w:space="0" w:color="78A22F"/>
              <w:right w:val="nil"/>
            </w:tcBorders>
            <w:shd w:val="clear" w:color="auto" w:fill="auto"/>
          </w:tcPr>
          <w:p w14:paraId="7954C3F9" w14:textId="77777777" w:rsidR="00F05DC7" w:rsidRDefault="00F05DC7" w:rsidP="00A3786D">
            <w:pPr>
              <w:pStyle w:val="Figurespace"/>
            </w:pPr>
          </w:p>
        </w:tc>
      </w:tr>
      <w:tr w:rsidR="00F05DC7" w:rsidRPr="000863A5" w14:paraId="7954C3FC" w14:textId="77777777" w:rsidTr="00A3786D">
        <w:tc>
          <w:tcPr>
            <w:tcW w:w="5000" w:type="pct"/>
            <w:tcBorders>
              <w:top w:val="single" w:sz="6" w:space="0" w:color="78A22F"/>
              <w:left w:val="nil"/>
              <w:bottom w:val="nil"/>
              <w:right w:val="nil"/>
            </w:tcBorders>
          </w:tcPr>
          <w:p w14:paraId="7954C3FB" w14:textId="77777777" w:rsidR="00F05DC7" w:rsidRPr="00626D32" w:rsidRDefault="00F05DC7" w:rsidP="00A3786D">
            <w:pPr>
              <w:pStyle w:val="BoxSpaceBelow"/>
            </w:pPr>
          </w:p>
        </w:tc>
      </w:tr>
    </w:tbl>
    <w:p w14:paraId="7954C3FD" w14:textId="77777777" w:rsidR="00F05DC7" w:rsidRDefault="00F05DC7" w:rsidP="00A3786D">
      <w:pPr>
        <w:pStyle w:val="Heading3"/>
      </w:pPr>
      <w:r>
        <w:lastRenderedPageBreak/>
        <w:t>Principles for transition to a revised HFE benchmark</w:t>
      </w:r>
    </w:p>
    <w:p w14:paraId="7954C3FE" w14:textId="77777777" w:rsidR="00F05DC7" w:rsidRDefault="00F05DC7" w:rsidP="00A3786D">
      <w:pPr>
        <w:pStyle w:val="BodyText"/>
      </w:pPr>
      <w:r>
        <w:t xml:space="preserve">Assessing the impact of a transition path is difficult due </w:t>
      </w:r>
      <w:r w:rsidRPr="008476FD">
        <w:t xml:space="preserve">to the challenges associated with estimating States’ future </w:t>
      </w:r>
      <w:r>
        <w:t>GST payments</w:t>
      </w:r>
      <w:r w:rsidRPr="008476FD">
        <w:t xml:space="preserve">. </w:t>
      </w:r>
      <w:r>
        <w:t>Choosing a transition path based on clear principles can assist in managing some of this uncertainty, and improves transparency by explicitly stating the grounds upon which a transition path was assessed. In chapter 9, the Commission identified three principles to guide its selection of a transition path. A transition path should:</w:t>
      </w:r>
    </w:p>
    <w:p w14:paraId="7954C3FF" w14:textId="77777777" w:rsidR="00F05DC7" w:rsidRPr="00FD774B" w:rsidRDefault="00F05DC7" w:rsidP="00A3786D">
      <w:pPr>
        <w:pStyle w:val="ListBullet"/>
      </w:pPr>
      <w:r w:rsidRPr="00FD774B">
        <w:rPr>
          <w:rStyle w:val="BodyTextChar"/>
        </w:rPr>
        <w:t xml:space="preserve">be manageable </w:t>
      </w:r>
      <w:r>
        <w:rPr>
          <w:rStyle w:val="BodyTextChar"/>
        </w:rPr>
        <w:t xml:space="preserve">(from a budget perspective) </w:t>
      </w:r>
      <w:r w:rsidRPr="00FD774B">
        <w:rPr>
          <w:rStyle w:val="BodyTextChar"/>
        </w:rPr>
        <w:t xml:space="preserve">for the States </w:t>
      </w:r>
    </w:p>
    <w:p w14:paraId="7954C400" w14:textId="77777777" w:rsidR="00F05DC7" w:rsidRPr="00FD774B" w:rsidRDefault="00F05DC7" w:rsidP="00A3786D">
      <w:pPr>
        <w:pStyle w:val="ListBullet"/>
      </w:pPr>
      <w:r w:rsidRPr="00FD774B">
        <w:t xml:space="preserve">be fiscally sustainable for all Governments </w:t>
      </w:r>
    </w:p>
    <w:p w14:paraId="7954C401" w14:textId="77777777" w:rsidR="00F05DC7" w:rsidRPr="00FD774B" w:rsidRDefault="00F05DC7" w:rsidP="00A3786D">
      <w:pPr>
        <w:pStyle w:val="ListBullet"/>
      </w:pPr>
      <w:r w:rsidRPr="00FD774B">
        <w:t xml:space="preserve">deliver the benefits of reform in a timely manner. </w:t>
      </w:r>
    </w:p>
    <w:p w14:paraId="7954C402" w14:textId="77777777" w:rsidR="00F05DC7" w:rsidRDefault="00F05DC7" w:rsidP="00A3786D">
      <w:pPr>
        <w:pStyle w:val="BodyText"/>
      </w:pPr>
      <w:r>
        <w:t>These principles are not detailed here but some additional information on how to interpret the first principle — manageability for the States — in the context of the transition analysis and results is provided in box F.1.</w:t>
      </w:r>
    </w:p>
    <w:p w14:paraId="7954C403" w14:textId="3AB9BD6F" w:rsidR="00F05DC7" w:rsidRDefault="00F05DC7" w:rsidP="00A3786D">
      <w:pPr>
        <w:pStyle w:val="Heading2"/>
      </w:pPr>
      <w:bookmarkStart w:id="131" w:name="_Toc513637756"/>
      <w:r>
        <w:t>F.</w:t>
      </w:r>
      <w:r>
        <w:rPr>
          <w:noProof/>
        </w:rPr>
        <w:t>2</w:t>
      </w:r>
      <w:r>
        <w:tab/>
        <w:t>Assessment methodology, inputs and assumptions</w:t>
      </w:r>
      <w:bookmarkEnd w:id="131"/>
    </w:p>
    <w:p w14:paraId="7954C404" w14:textId="77777777" w:rsidR="00F05DC7" w:rsidRDefault="00F05DC7" w:rsidP="00A3786D">
      <w:pPr>
        <w:pStyle w:val="BodyText"/>
      </w:pPr>
      <w:r>
        <w:t xml:space="preserve">There are three components relevant to estimating GST payments to the States. These are: States’ relative fiscal capacities (GST relativities), population growth, and the size of the GST pool (box F.2). </w:t>
      </w:r>
    </w:p>
    <w:p w14:paraId="7954C405" w14:textId="77777777" w:rsidR="00F05DC7" w:rsidRDefault="00F05DC7" w:rsidP="00A3786D">
      <w:pPr>
        <w:pStyle w:val="BodyText"/>
      </w:pPr>
      <w:r>
        <w:t>The Commission has consulted with each State Treasury and the Commonwealth Treasury on the best way to estimate the components of GST payments.</w:t>
      </w:r>
      <w:r w:rsidRPr="00092F4D">
        <w:t xml:space="preserve"> </w:t>
      </w:r>
      <w:r>
        <w:t>Their inputs and feedback have informed the Commission’s ‘best estimate’ of future GST payments to the States. This best estimate is based on estimates of future relative fiscal capacities, State populations and GST pool growth either provided to the Commission by State Treasuries or available in the 2017</w:t>
      </w:r>
      <w:r>
        <w:noBreakHyphen/>
        <w:t xml:space="preserve">18 Commonwealth Mid-Year Economic and Fiscal Outlook (MYEFO) update. For the purposes of the analysis presented here, the Commission has used projected relativities under the current methodology (equalisation to the strongest state) as a measure of States’ relative fiscal capacities. </w:t>
      </w:r>
    </w:p>
    <w:p w14:paraId="7954C406" w14:textId="77777777" w:rsidR="00F05DC7" w:rsidRDefault="00F05DC7" w:rsidP="00A3786D">
      <w:pPr>
        <w:pStyle w:val="BodyText"/>
      </w:pPr>
      <w:r>
        <w:t xml:space="preserve">State Treasuries are best placed to make projections of their GST relativities as they have the most knowledge about their State’s fiscal circumstances and how these may change in the future. However, </w:t>
      </w:r>
      <w:r w:rsidRPr="005E2BD3">
        <w:t>economic variables do not always evolve as State and Commonwealth Treasuries expect and it is difficult to accurately predict how fiscal capacities will develop</w:t>
      </w:r>
      <w:r>
        <w:t xml:space="preserve"> or be impacted</w:t>
      </w:r>
      <w:r w:rsidRPr="005E2BD3">
        <w:t xml:space="preserve"> over the long term.</w:t>
      </w:r>
      <w:r w:rsidRPr="005E2BD3" w:rsidDel="003C3385">
        <w:t xml:space="preserve"> </w:t>
      </w:r>
      <w:r>
        <w:t>Estimating State fiscal capacities (and GST relativities) in particular is a complex task as it requires estimates of a range of uncertain variables, such as revenues and expenditures, for each State. For example, an external shock to</w:t>
      </w:r>
      <w:r w:rsidDel="003870F0">
        <w:t xml:space="preserve"> </w:t>
      </w:r>
      <w:r>
        <w:t>a State’s fiscal capacity, such as from a natural disaster, could affect both the revenue a State receives (as some business activity may be lower) and the expenditures it needs to make (such as reconstruction of public assets).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408" w14:textId="77777777" w:rsidTr="00A3786D">
        <w:trPr>
          <w:tblHeader/>
        </w:trPr>
        <w:tc>
          <w:tcPr>
            <w:tcW w:w="5000" w:type="pct"/>
            <w:tcBorders>
              <w:top w:val="single" w:sz="6" w:space="0" w:color="78A22F"/>
              <w:left w:val="nil"/>
              <w:bottom w:val="nil"/>
              <w:right w:val="nil"/>
            </w:tcBorders>
            <w:shd w:val="clear" w:color="auto" w:fill="F2F2F2"/>
          </w:tcPr>
          <w:p w14:paraId="7954C407" w14:textId="2E5CDC23" w:rsidR="00F05DC7" w:rsidRDefault="00F05DC7" w:rsidP="00A3786D">
            <w:pPr>
              <w:pStyle w:val="BoxTitle"/>
            </w:pPr>
            <w:r>
              <w:rPr>
                <w:b w:val="0"/>
              </w:rPr>
              <w:lastRenderedPageBreak/>
              <w:t>Box F.</w:t>
            </w:r>
            <w:r>
              <w:rPr>
                <w:b w:val="0"/>
                <w:noProof/>
              </w:rPr>
              <w:t>1</w:t>
            </w:r>
            <w:r>
              <w:tab/>
            </w:r>
            <w:r w:rsidRPr="00BA7532">
              <w:t xml:space="preserve">A permanent change in revenue requires </w:t>
            </w:r>
            <w:r>
              <w:t>lasting</w:t>
            </w:r>
            <w:r w:rsidRPr="00BA7532">
              <w:t xml:space="preserve"> reforms</w:t>
            </w:r>
          </w:p>
        </w:tc>
      </w:tr>
      <w:tr w:rsidR="00F05DC7" w14:paraId="7954C40C" w14:textId="77777777" w:rsidTr="00A3786D">
        <w:tc>
          <w:tcPr>
            <w:tcW w:w="5000" w:type="pct"/>
            <w:tcBorders>
              <w:top w:val="nil"/>
              <w:left w:val="nil"/>
              <w:bottom w:val="nil"/>
              <w:right w:val="nil"/>
            </w:tcBorders>
            <w:shd w:val="clear" w:color="auto" w:fill="F2F2F2"/>
          </w:tcPr>
          <w:p w14:paraId="7954C409" w14:textId="77777777" w:rsidR="00F05DC7" w:rsidRPr="00BA7532" w:rsidRDefault="00F05DC7" w:rsidP="00A3786D">
            <w:pPr>
              <w:pStyle w:val="Box"/>
            </w:pPr>
            <w:r w:rsidRPr="008A30AD">
              <w:t>From a budget management perspective, it is important to differentiate between two sources of variation in expenditures and revenues. Some variations are temporary, occur on both the upside and downside, and</w:t>
            </w:r>
            <w:r>
              <w:t xml:space="preserve"> if symmetric</w:t>
            </w:r>
            <w:r w:rsidRPr="008A30AD">
              <w:t xml:space="preserve"> will cancel out over the economic cycle. Other variations are due to permanent shifts in the revenue raising ability or expenditure commitments of </w:t>
            </w:r>
            <w:r w:rsidRPr="00BA7532">
              <w:t>the State. The size of a variation in revenues or expenditures that a State can manage, and the tools for dealing with it, will depend on which of these two types of variation has occurred.</w:t>
            </w:r>
          </w:p>
          <w:p w14:paraId="7954C40A" w14:textId="77777777" w:rsidR="00F05DC7" w:rsidRDefault="00F05DC7" w:rsidP="00A3786D">
            <w:pPr>
              <w:pStyle w:val="Box"/>
            </w:pPr>
            <w:r>
              <w:t>Temporary variations in a State’s GST payments are relatively common. These forecasting errors happen on both the upside (for example, if a weaker than expected State economy results in lower assessed revenues) and on the downside (vice</w:t>
            </w:r>
            <w:r>
              <w:noBreakHyphen/>
              <w:t>versa). But over the medium term these sorts of variations can even out, and GST payments will fluctuate around an average amount (figure below). Managing such temporary variations in GST payments is a routine part of budget management. States use a range of tools to smooth out these fluctuations, such as borrowing or lending, or imposing temporary budget levies.</w:t>
            </w:r>
          </w:p>
          <w:p w14:paraId="7954C40B" w14:textId="77777777" w:rsidR="00F05DC7" w:rsidRDefault="00F05DC7" w:rsidP="00A3786D">
            <w:pPr>
              <w:pStyle w:val="Box"/>
            </w:pPr>
            <w:r w:rsidRPr="00B05168">
              <w:rPr>
                <w:noProof/>
              </w:rPr>
              <w:drawing>
                <wp:inline distT="0" distB="0" distL="0" distR="0" wp14:anchorId="7954D677" wp14:editId="7954D678">
                  <wp:extent cx="5466825" cy="1583703"/>
                  <wp:effectExtent l="0" t="0" r="635" b="0"/>
                  <wp:docPr id="124" name="Picture 124" descr="This figure shows a stylised example of a State’s per capita GST payments fluctuating around an averag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76904" cy="1586623"/>
                          </a:xfrm>
                          <a:prstGeom prst="rect">
                            <a:avLst/>
                          </a:prstGeom>
                          <a:noFill/>
                          <a:ln>
                            <a:noFill/>
                          </a:ln>
                        </pic:spPr>
                      </pic:pic>
                    </a:graphicData>
                  </a:graphic>
                </wp:inline>
              </w:drawing>
            </w:r>
            <w:r w:rsidRPr="008A30AD">
              <w:t xml:space="preserve">GST payments can also vary (relative to what was expected) due to a permanent shift in the average GST payment the State will receive. In these cases the average GST payment is trending upwards or downwards over time. This could be for several reasons. For example, an unexpected but permanent </w:t>
            </w:r>
            <w:r>
              <w:t>increase</w:t>
            </w:r>
            <w:r w:rsidRPr="008A30AD">
              <w:t xml:space="preserve"> in </w:t>
            </w:r>
            <w:r>
              <w:t>a State’s population share</w:t>
            </w:r>
            <w:r w:rsidRPr="008A30AD">
              <w:t xml:space="preserve"> could result in GST payments to the </w:t>
            </w:r>
            <w:r>
              <w:t>other S</w:t>
            </w:r>
            <w:r w:rsidRPr="008A30AD">
              <w:t>tates being permanently lower than expected (</w:t>
            </w:r>
            <w:r>
              <w:t>figure below</w:t>
            </w:r>
            <w:r w:rsidRPr="008A30AD">
              <w:t xml:space="preserve">). Changing the equalisation </w:t>
            </w:r>
            <w:r>
              <w:t>benchmark</w:t>
            </w:r>
            <w:r w:rsidRPr="008A30AD">
              <w:t xml:space="preserve"> would also change the average amount of GST a State receives</w:t>
            </w:r>
            <w:r>
              <w:t>, all other things being equal</w:t>
            </w:r>
            <w:r w:rsidRPr="008A30AD">
              <w:t>.</w:t>
            </w:r>
            <w:r w:rsidRPr="00686552">
              <w:rPr>
                <w:noProof/>
              </w:rPr>
              <w:drawing>
                <wp:inline distT="0" distB="0" distL="0" distR="0" wp14:anchorId="7954D679" wp14:editId="7954D67A">
                  <wp:extent cx="5448935" cy="2121031"/>
                  <wp:effectExtent l="0" t="0" r="0" b="0"/>
                  <wp:docPr id="125" name="Picture 125" descr="This figure shows a stylised example of the difference between expected and actual GST payment in a scenario where a State experience a permanent and unexpected decrease in GST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455253" cy="2123490"/>
                          </a:xfrm>
                          <a:prstGeom prst="rect">
                            <a:avLst/>
                          </a:prstGeom>
                          <a:noFill/>
                          <a:ln>
                            <a:noFill/>
                          </a:ln>
                        </pic:spPr>
                      </pic:pic>
                    </a:graphicData>
                  </a:graphic>
                </wp:inline>
              </w:drawing>
            </w:r>
            <w:r w:rsidRPr="008A30AD">
              <w:t>The tools available to States to manage a permanent change in their GST payments are different to the tools used to manage temporary fluctuations. In particular, debt is a less sustainable tool for managing a decrease and more lasting solutions may need to be found. For example, States may need to improve the efficiency of service delivery (so that the same services can be provided using less revenue).</w:t>
            </w:r>
          </w:p>
        </w:tc>
      </w:tr>
      <w:tr w:rsidR="00F05DC7" w14:paraId="7954C40E" w14:textId="77777777" w:rsidTr="00A3786D">
        <w:tc>
          <w:tcPr>
            <w:tcW w:w="5000" w:type="pct"/>
            <w:tcBorders>
              <w:top w:val="nil"/>
              <w:left w:val="nil"/>
              <w:bottom w:val="single" w:sz="6" w:space="0" w:color="78A22F"/>
              <w:right w:val="nil"/>
            </w:tcBorders>
            <w:shd w:val="clear" w:color="auto" w:fill="F2F2F2"/>
          </w:tcPr>
          <w:p w14:paraId="7954C40D" w14:textId="77777777" w:rsidR="00F05DC7" w:rsidRDefault="00F05DC7" w:rsidP="00A3786D">
            <w:pPr>
              <w:pStyle w:val="Box"/>
              <w:spacing w:before="0" w:line="120" w:lineRule="exact"/>
            </w:pPr>
          </w:p>
        </w:tc>
      </w:tr>
      <w:tr w:rsidR="00F05DC7" w:rsidRPr="000863A5" w14:paraId="7954C410" w14:textId="77777777" w:rsidTr="00A3786D">
        <w:tc>
          <w:tcPr>
            <w:tcW w:w="5000" w:type="pct"/>
            <w:tcBorders>
              <w:top w:val="single" w:sz="6" w:space="0" w:color="78A22F"/>
              <w:left w:val="nil"/>
              <w:bottom w:val="nil"/>
              <w:right w:val="nil"/>
            </w:tcBorders>
          </w:tcPr>
          <w:p w14:paraId="7954C40F" w14:textId="77777777" w:rsidR="00F05DC7" w:rsidRPr="00626D32" w:rsidRDefault="00F05DC7" w:rsidP="00A3786D">
            <w:pPr>
              <w:pStyle w:val="BoxSpaceBelow"/>
            </w:pPr>
          </w:p>
        </w:tc>
      </w:tr>
    </w:tbl>
    <w:p w14:paraId="7954C411" w14:textId="77777777" w:rsidR="00F05DC7" w:rsidRPr="00A57912" w:rsidRDefault="00F05DC7" w:rsidP="005A6B5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413" w14:textId="77777777" w:rsidTr="00A3786D">
        <w:trPr>
          <w:tblHeader/>
        </w:trPr>
        <w:tc>
          <w:tcPr>
            <w:tcW w:w="5000" w:type="pct"/>
            <w:tcBorders>
              <w:top w:val="single" w:sz="6" w:space="0" w:color="78A22F"/>
              <w:left w:val="nil"/>
              <w:bottom w:val="nil"/>
              <w:right w:val="nil"/>
            </w:tcBorders>
            <w:shd w:val="clear" w:color="auto" w:fill="F2F2F2"/>
          </w:tcPr>
          <w:p w14:paraId="7954C412" w14:textId="4AE5015B" w:rsidR="00F05DC7" w:rsidRDefault="00F05DC7" w:rsidP="00A3786D">
            <w:pPr>
              <w:pStyle w:val="BoxTitle"/>
            </w:pPr>
            <w:r>
              <w:rPr>
                <w:b w:val="0"/>
              </w:rPr>
              <w:t>Box F.2</w:t>
            </w:r>
            <w:r>
              <w:tab/>
              <w:t>Three c</w:t>
            </w:r>
            <w:r w:rsidRPr="003357BE">
              <w:t xml:space="preserve">omponents </w:t>
            </w:r>
            <w:r>
              <w:t>to</w:t>
            </w:r>
            <w:r w:rsidRPr="003357BE">
              <w:t xml:space="preserve"> </w:t>
            </w:r>
            <w:r>
              <w:t xml:space="preserve">States’ future </w:t>
            </w:r>
            <w:r w:rsidRPr="003357BE">
              <w:t xml:space="preserve">GST </w:t>
            </w:r>
            <w:r>
              <w:t>payments</w:t>
            </w:r>
          </w:p>
        </w:tc>
      </w:tr>
      <w:tr w:rsidR="00F05DC7" w14:paraId="7954C419" w14:textId="77777777" w:rsidTr="00A3786D">
        <w:tc>
          <w:tcPr>
            <w:tcW w:w="5000" w:type="pct"/>
            <w:tcBorders>
              <w:top w:val="nil"/>
              <w:left w:val="nil"/>
              <w:bottom w:val="nil"/>
              <w:right w:val="nil"/>
            </w:tcBorders>
            <w:shd w:val="clear" w:color="auto" w:fill="F2F2F2"/>
          </w:tcPr>
          <w:p w14:paraId="7954C414" w14:textId="77777777" w:rsidR="00F05DC7" w:rsidRDefault="00F05DC7" w:rsidP="00A3786D">
            <w:pPr>
              <w:pStyle w:val="Box"/>
            </w:pPr>
            <w:r>
              <w:t>F</w:t>
            </w:r>
            <w:r w:rsidRPr="00B922EE">
              <w:t xml:space="preserve">uture GST payments to the States under any equalisation benchmark </w:t>
            </w:r>
            <w:r>
              <w:t>are</w:t>
            </w:r>
            <w:r w:rsidRPr="00B922EE">
              <w:t xml:space="preserve"> uncertain. </w:t>
            </w:r>
            <w:r>
              <w:t>The amount of GST that a State receives will depend on the State’s population share, its GST relativity and the size of the GST pool. Some of these components are estimated as part of State and Commonwealth Treasury budgets.</w:t>
            </w:r>
          </w:p>
          <w:p w14:paraId="7954C415" w14:textId="77777777" w:rsidR="00F05DC7" w:rsidRDefault="00F05DC7" w:rsidP="00A3786D">
            <w:pPr>
              <w:pStyle w:val="Box"/>
            </w:pPr>
            <w:r w:rsidRPr="005D58BA">
              <w:rPr>
                <w:b/>
              </w:rPr>
              <w:t>GST relativities</w:t>
            </w:r>
            <w:r>
              <w:t xml:space="preserve"> are not consistently forecast and can be highly variable, especially when estimated beyond the period where observed data are available. Relativities have the greatest impact on State GST payments and are also the most difficult to forecast. </w:t>
            </w:r>
          </w:p>
          <w:p w14:paraId="7954C416" w14:textId="77777777" w:rsidR="00F05DC7" w:rsidRDefault="00F05DC7" w:rsidP="00A3786D">
            <w:pPr>
              <w:pStyle w:val="Box"/>
            </w:pPr>
            <w:r>
              <w:t>In recent budgets, the Commonwealth Treasury has held GST relativities constant. The ACT and NT Treasuries use the same approach. Other States forecast relativities over the forward estimates using data</w:t>
            </w:r>
            <w:r>
              <w:rPr>
                <w:rFonts w:cs="Arial"/>
              </w:rPr>
              <w:t xml:space="preserve"> from the most up</w:t>
            </w:r>
            <w:r>
              <w:rPr>
                <w:rFonts w:cs="Arial"/>
              </w:rPr>
              <w:noBreakHyphen/>
              <w:t>to</w:t>
            </w:r>
            <w:r>
              <w:rPr>
                <w:rFonts w:cs="Arial"/>
              </w:rPr>
              <w:noBreakHyphen/>
              <w:t>date budget documents for each State, as well as information contained in CGC updates and Commonwealth Treasury budget documents.</w:t>
            </w:r>
            <w:r w:rsidRPr="003F715B">
              <w:rPr>
                <w:rFonts w:cs="Arial"/>
              </w:rPr>
              <w:t xml:space="preserve"> Not all information is </w:t>
            </w:r>
            <w:r>
              <w:rPr>
                <w:rFonts w:cs="Arial"/>
              </w:rPr>
              <w:t xml:space="preserve">available in these documents and so forecasts tend to </w:t>
            </w:r>
            <w:r w:rsidRPr="003F715B">
              <w:rPr>
                <w:rFonts w:cs="Arial"/>
              </w:rPr>
              <w:t>focus on the most material and most volatile budget items</w:t>
            </w:r>
            <w:r>
              <w:rPr>
                <w:rFonts w:cs="Arial"/>
              </w:rPr>
              <w:t>, such as State revenues</w:t>
            </w:r>
            <w:r w:rsidRPr="003F715B">
              <w:rPr>
                <w:rFonts w:cs="Arial"/>
              </w:rPr>
              <w:t>.</w:t>
            </w:r>
            <w:r>
              <w:t xml:space="preserve"> The CGC does not provide GST relativity forecasts.</w:t>
            </w:r>
          </w:p>
          <w:p w14:paraId="7954C417" w14:textId="77777777" w:rsidR="00F05DC7" w:rsidRDefault="00F05DC7" w:rsidP="00A3786D">
            <w:pPr>
              <w:pStyle w:val="Box"/>
            </w:pPr>
            <w:r w:rsidRPr="005D58BA">
              <w:rPr>
                <w:b/>
              </w:rPr>
              <w:t>GST pool</w:t>
            </w:r>
            <w:r w:rsidRPr="005D58BA">
              <w:t xml:space="preserve"> growth i</w:t>
            </w:r>
            <w:r>
              <w:t>s forecast by the Commonwealth Treasury as part of its budget process for the current year and the three</w:t>
            </w:r>
            <w:r>
              <w:noBreakHyphen/>
              <w:t>year forward estimates. These forecasts are based on expected consumption and prices of GST</w:t>
            </w:r>
            <w:r>
              <w:noBreakHyphen/>
              <w:t xml:space="preserve">taxable goods and services. </w:t>
            </w:r>
          </w:p>
          <w:p w14:paraId="7954C418" w14:textId="77777777" w:rsidR="00F05DC7" w:rsidRDefault="00F05DC7" w:rsidP="00A3786D">
            <w:pPr>
              <w:pStyle w:val="Box"/>
            </w:pPr>
            <w:r w:rsidRPr="005D58BA">
              <w:rPr>
                <w:b/>
              </w:rPr>
              <w:t>State population</w:t>
            </w:r>
            <w:r>
              <w:t xml:space="preserve"> growth is also forecast by the Commonwealth Treasury over the same period as the GST pool. It uses the latest demographic data available from the ABS as well as Treasury assumptions on fertility, mortality, net overseas migration and interstate migration. The migration components are volatile and so these are estimated based on a weighted average of the three most recent observed years.</w:t>
            </w:r>
          </w:p>
        </w:tc>
      </w:tr>
      <w:tr w:rsidR="00F05DC7" w14:paraId="7954C41B" w14:textId="77777777" w:rsidTr="00A3786D">
        <w:tc>
          <w:tcPr>
            <w:tcW w:w="5000" w:type="pct"/>
            <w:tcBorders>
              <w:top w:val="nil"/>
              <w:left w:val="nil"/>
              <w:bottom w:val="nil"/>
              <w:right w:val="nil"/>
            </w:tcBorders>
            <w:shd w:val="clear" w:color="auto" w:fill="F2F2F2"/>
          </w:tcPr>
          <w:p w14:paraId="7954C41A" w14:textId="77777777" w:rsidR="00F05DC7" w:rsidRDefault="00F05DC7" w:rsidP="00A3786D">
            <w:pPr>
              <w:pStyle w:val="BoxSource"/>
            </w:pPr>
            <w:r>
              <w:rPr>
                <w:i/>
              </w:rPr>
              <w:t>Source</w:t>
            </w:r>
            <w:r w:rsidRPr="00167F06">
              <w:t>:</w:t>
            </w:r>
            <w:r>
              <w:t xml:space="preserve"> Various State and Commonwealth Treasury budget papers.</w:t>
            </w:r>
          </w:p>
        </w:tc>
      </w:tr>
      <w:tr w:rsidR="00F05DC7" w14:paraId="7954C41D" w14:textId="77777777" w:rsidTr="00A3786D">
        <w:tc>
          <w:tcPr>
            <w:tcW w:w="5000" w:type="pct"/>
            <w:tcBorders>
              <w:top w:val="nil"/>
              <w:left w:val="nil"/>
              <w:bottom w:val="single" w:sz="6" w:space="0" w:color="78A22F"/>
              <w:right w:val="nil"/>
            </w:tcBorders>
            <w:shd w:val="clear" w:color="auto" w:fill="F2F2F2"/>
          </w:tcPr>
          <w:p w14:paraId="7954C41C" w14:textId="77777777" w:rsidR="00F05DC7" w:rsidRDefault="00F05DC7" w:rsidP="00A3786D">
            <w:pPr>
              <w:pStyle w:val="Box"/>
              <w:spacing w:before="0" w:line="120" w:lineRule="exact"/>
            </w:pPr>
          </w:p>
        </w:tc>
      </w:tr>
      <w:tr w:rsidR="00F05DC7" w:rsidRPr="000863A5" w14:paraId="7954C41F" w14:textId="77777777" w:rsidTr="00A3786D">
        <w:tc>
          <w:tcPr>
            <w:tcW w:w="5000" w:type="pct"/>
            <w:tcBorders>
              <w:top w:val="single" w:sz="6" w:space="0" w:color="78A22F"/>
              <w:left w:val="nil"/>
              <w:bottom w:val="nil"/>
              <w:right w:val="nil"/>
            </w:tcBorders>
          </w:tcPr>
          <w:p w14:paraId="7954C41E" w14:textId="77777777" w:rsidR="00F05DC7" w:rsidRPr="00626D32" w:rsidRDefault="00F05DC7" w:rsidP="00A3786D">
            <w:pPr>
              <w:pStyle w:val="BoxSpaceBelow"/>
            </w:pPr>
          </w:p>
        </w:tc>
      </w:tr>
    </w:tbl>
    <w:p w14:paraId="7954C420" w14:textId="77777777" w:rsidR="00F05DC7" w:rsidRDefault="00F05DC7" w:rsidP="00A3786D">
      <w:pPr>
        <w:pStyle w:val="Heading3"/>
      </w:pPr>
      <w:r>
        <w:t xml:space="preserve">Projecting State fiscal capacities </w:t>
      </w:r>
    </w:p>
    <w:p w14:paraId="7954C421" w14:textId="77777777" w:rsidR="00F05DC7" w:rsidRDefault="00F05DC7">
      <w:pPr>
        <w:pStyle w:val="BodyText"/>
      </w:pPr>
      <w:r>
        <w:t>E</w:t>
      </w:r>
      <w:r w:rsidRPr="004737CE">
        <w:t>xpectations of future GST relativities</w:t>
      </w:r>
      <w:r>
        <w:t xml:space="preserve"> (based on the Commonwealth Grants Commission’s (CGC) current methodology)</w:t>
      </w:r>
      <w:r w:rsidRPr="004737CE">
        <w:t xml:space="preserve"> have been supplied to the Commi</w:t>
      </w:r>
      <w:r>
        <w:t>ssion by some State Treasuries</w:t>
      </w:r>
      <w:r w:rsidRPr="004737CE">
        <w:t xml:space="preserve"> on a confidential basis. An average of these estimates </w:t>
      </w:r>
      <w:r>
        <w:t>formed the Commission’s best estimate of States’ relative fiscal capacities over the projection period</w:t>
      </w:r>
      <w:r w:rsidRPr="00282527">
        <w:rPr>
          <w:rStyle w:val="FootnoteReference"/>
        </w:rPr>
        <w:footnoteReference w:id="32"/>
      </w:r>
      <w:r>
        <w:t xml:space="preserve"> (box F.3, table F.1, figure F.2)</w:t>
      </w:r>
      <w:r w:rsidRPr="004737CE">
        <w:t>.</w:t>
      </w:r>
      <w:r>
        <w:t xml:space="preserve"> </w:t>
      </w:r>
    </w:p>
    <w:p w14:paraId="7954C422" w14:textId="77777777" w:rsidR="00F05DC7" w:rsidRDefault="00F05DC7" w:rsidP="00A3786D">
      <w:pPr>
        <w:pStyle w:val="BodyText"/>
      </w:pPr>
      <w:r>
        <w:t>Compared to the current year, all participating State Treasuries expected relativities (based on the current methodology) to rise significantly for Western Australia and the Northern Territory in 2019</w:t>
      </w:r>
      <w:r>
        <w:noBreakHyphen/>
        <w:t>20 (figure F.2). Individual State Treasury forecasts were not unanimous on the direction of changes for other States, although the differences were typically small. The consensus forecast was for relativities (based on the current methodology) in all other States to remain at about their current levels or slightly decrease.</w:t>
      </w:r>
    </w:p>
    <w:p w14:paraId="7954C423"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425" w14:textId="77777777" w:rsidTr="00A3786D">
        <w:trPr>
          <w:tblHeader/>
        </w:trPr>
        <w:tc>
          <w:tcPr>
            <w:tcW w:w="5000" w:type="pct"/>
            <w:tcBorders>
              <w:top w:val="single" w:sz="6" w:space="0" w:color="78A22F"/>
              <w:left w:val="nil"/>
              <w:bottom w:val="nil"/>
              <w:right w:val="nil"/>
            </w:tcBorders>
            <w:shd w:val="clear" w:color="auto" w:fill="F2F2F2"/>
          </w:tcPr>
          <w:p w14:paraId="7954C424" w14:textId="1F5E30F4" w:rsidR="00F05DC7" w:rsidRDefault="00F05DC7" w:rsidP="00A3786D">
            <w:pPr>
              <w:pStyle w:val="BoxTitle"/>
            </w:pPr>
            <w:r>
              <w:rPr>
                <w:b w:val="0"/>
              </w:rPr>
              <w:t>Box F.3</w:t>
            </w:r>
            <w:r>
              <w:tab/>
              <w:t>A best estimate was found by averaging relativity forecasts</w:t>
            </w:r>
          </w:p>
        </w:tc>
      </w:tr>
      <w:tr w:rsidR="00F05DC7" w14:paraId="7954C42A" w14:textId="77777777" w:rsidTr="00A3786D">
        <w:tc>
          <w:tcPr>
            <w:tcW w:w="5000" w:type="pct"/>
            <w:tcBorders>
              <w:top w:val="nil"/>
              <w:left w:val="nil"/>
              <w:bottom w:val="nil"/>
              <w:right w:val="nil"/>
            </w:tcBorders>
            <w:shd w:val="clear" w:color="auto" w:fill="F2F2F2"/>
          </w:tcPr>
          <w:p w14:paraId="7954C426" w14:textId="77777777" w:rsidR="00F05DC7" w:rsidRDefault="00F05DC7" w:rsidP="00A3786D">
            <w:pPr>
              <w:pStyle w:val="Box"/>
            </w:pPr>
            <w:r>
              <w:t>The ‘best estimate’ projection of</w:t>
            </w:r>
            <w:r w:rsidRPr="00C80687">
              <w:t xml:space="preserve"> </w:t>
            </w:r>
            <w:r>
              <w:t>the</w:t>
            </w:r>
            <w:r w:rsidRPr="00C80687">
              <w:t xml:space="preserve"> relative fiscal capacities</w:t>
            </w:r>
            <w:r>
              <w:t xml:space="preserve"> of the States</w:t>
            </w:r>
            <w:r w:rsidRPr="00C80687">
              <w:t xml:space="preserve"> was based on an average of the </w:t>
            </w:r>
            <w:r>
              <w:t>forecast</w:t>
            </w:r>
            <w:r w:rsidRPr="00C80687">
              <w:t xml:space="preserve"> GST relativity estimates (based on the current equalisation benchmark) provided by contributing State Treasuries</w:t>
            </w:r>
            <w:r>
              <w:t>. State Treasuries are best placed to make estimates of their relative fiscal capacities as they have the most knowledge about State fiscal circumstances and how they may change in the future. An average was taken to create a consensus forecast, and to maintain the confidentiality of individual State’s estimates.</w:t>
            </w:r>
          </w:p>
          <w:p w14:paraId="7954C427" w14:textId="77777777" w:rsidR="00F05DC7" w:rsidRDefault="00F05DC7" w:rsidP="00A3786D">
            <w:pPr>
              <w:pStyle w:val="Box"/>
            </w:pPr>
            <w:r>
              <w:rPr>
                <w:color w:val="000000" w:themeColor="text1"/>
              </w:rPr>
              <w:t xml:space="preserve">Treasury Departments had differing views on the averaging approach for GST relativities. Some supported the approach on the basis that it can help reduce bias in underlying assumptions. Those that were critical noted that some jurisdictions simply assume GST relativities remain at their current levels over the projection period and including these estimates as part of an average could increase the forecast error rate. The Commission therefore excluded these forecasts from its best estimate. </w:t>
            </w:r>
          </w:p>
          <w:p w14:paraId="7954C428" w14:textId="77777777" w:rsidR="00F05DC7" w:rsidRDefault="00F05DC7" w:rsidP="00A3786D">
            <w:pPr>
              <w:pStyle w:val="Box"/>
            </w:pPr>
            <w:r>
              <w:t>Another issue raised was that a</w:t>
            </w:r>
            <w:r w:rsidRPr="00816B5E">
              <w:t xml:space="preserve">veraging the relativity forecasts of each State may give a slightly different number for </w:t>
            </w:r>
            <w:r>
              <w:t>State relativities</w:t>
            </w:r>
            <w:r w:rsidRPr="00816B5E">
              <w:t xml:space="preserve"> than averaging the components that underpin each State’s relativity calculation</w:t>
            </w:r>
            <w:r>
              <w:t>. One situation where this could occur is if States</w:t>
            </w:r>
            <w:r w:rsidRPr="00816B5E">
              <w:t xml:space="preserve"> have </w:t>
            </w:r>
            <w:r>
              <w:t>projected</w:t>
            </w:r>
            <w:r w:rsidRPr="00816B5E">
              <w:t xml:space="preserve"> different GST pool sizes</w:t>
            </w:r>
            <w:r>
              <w:t xml:space="preserve"> in a given year</w:t>
            </w:r>
            <w:r w:rsidRPr="00816B5E">
              <w:t xml:space="preserve">. </w:t>
            </w:r>
            <w:r>
              <w:t>B</w:t>
            </w:r>
            <w:r w:rsidRPr="00816B5E">
              <w:t>ecause</w:t>
            </w:r>
            <w:r>
              <w:t xml:space="preserve"> the GST formula must balance, </w:t>
            </w:r>
            <w:r w:rsidRPr="00816B5E">
              <w:t xml:space="preserve">a State that assumes a larger GST pool also requires the level of GST components to be ‘more extreme’ </w:t>
            </w:r>
            <w:r>
              <w:t xml:space="preserve">(higher in the case of assessed expenses, investment and net lending, or lower in the case of revenue, Special Purpose Payments and National Partnership Payments) </w:t>
            </w:r>
            <w:r w:rsidRPr="00816B5E">
              <w:t>relative to other States’ estimates</w:t>
            </w:r>
            <w:r>
              <w:t>.</w:t>
            </w:r>
            <w:r w:rsidRPr="00816B5E">
              <w:t xml:space="preserve"> </w:t>
            </w:r>
            <w:r>
              <w:t xml:space="preserve">This means that an average based on GST components could produce a different result to an average based on relativities. </w:t>
            </w:r>
          </w:p>
          <w:p w14:paraId="7954C429" w14:textId="77777777" w:rsidR="00F05DC7" w:rsidRDefault="00F05DC7" w:rsidP="00A3786D">
            <w:pPr>
              <w:pStyle w:val="Box"/>
            </w:pPr>
            <w:r>
              <w:t>However, t</w:t>
            </w:r>
            <w:r w:rsidRPr="00816B5E">
              <w:t>he difference between relativities produced by these two averaging approaches is small, especially if</w:t>
            </w:r>
            <w:r>
              <w:t xml:space="preserve"> States’</w:t>
            </w:r>
            <w:r w:rsidRPr="00816B5E">
              <w:t xml:space="preserve"> forecasts of GST pool s</w:t>
            </w:r>
            <w:r>
              <w:t>ize are broadly similar. States</w:t>
            </w:r>
            <w:r w:rsidRPr="00816B5E">
              <w:t xml:space="preserve"> did not provide the Commission with</w:t>
            </w:r>
            <w:r>
              <w:t xml:space="preserve"> their</w:t>
            </w:r>
            <w:r w:rsidRPr="00816B5E">
              <w:t xml:space="preserve"> estimates of the components of GST that underpin their calculation</w:t>
            </w:r>
            <w:r>
              <w:t>s</w:t>
            </w:r>
            <w:r w:rsidRPr="00816B5E">
              <w:t xml:space="preserve"> </w:t>
            </w:r>
            <w:r>
              <w:t xml:space="preserve">and so </w:t>
            </w:r>
            <w:r w:rsidRPr="00816B5E">
              <w:t xml:space="preserve">an average of </w:t>
            </w:r>
            <w:r>
              <w:t>application</w:t>
            </w:r>
            <w:r w:rsidRPr="00816B5E">
              <w:t xml:space="preserve"> </w:t>
            </w:r>
            <w:r>
              <w:t xml:space="preserve">year </w:t>
            </w:r>
            <w:r w:rsidRPr="00816B5E">
              <w:t>relativities was used</w:t>
            </w:r>
            <w:r>
              <w:t xml:space="preserve"> for the analysis</w:t>
            </w:r>
            <w:r w:rsidRPr="00816B5E">
              <w:t>.</w:t>
            </w:r>
            <w:r>
              <w:t xml:space="preserve"> </w:t>
            </w:r>
          </w:p>
        </w:tc>
      </w:tr>
      <w:tr w:rsidR="00F05DC7" w14:paraId="7954C42C" w14:textId="77777777" w:rsidTr="00A3786D">
        <w:tc>
          <w:tcPr>
            <w:tcW w:w="5000" w:type="pct"/>
            <w:tcBorders>
              <w:top w:val="nil"/>
              <w:left w:val="nil"/>
              <w:bottom w:val="single" w:sz="6" w:space="0" w:color="78A22F"/>
              <w:right w:val="nil"/>
            </w:tcBorders>
            <w:shd w:val="clear" w:color="auto" w:fill="F2F2F2"/>
          </w:tcPr>
          <w:p w14:paraId="7954C42B" w14:textId="77777777" w:rsidR="00F05DC7" w:rsidRDefault="00F05DC7">
            <w:pPr>
              <w:pStyle w:val="Box"/>
              <w:spacing w:before="0" w:line="120" w:lineRule="exact"/>
            </w:pPr>
          </w:p>
        </w:tc>
      </w:tr>
      <w:tr w:rsidR="00F05DC7" w:rsidRPr="000863A5" w14:paraId="7954C42E" w14:textId="77777777" w:rsidTr="00A3786D">
        <w:tc>
          <w:tcPr>
            <w:tcW w:w="5000" w:type="pct"/>
            <w:tcBorders>
              <w:top w:val="single" w:sz="6" w:space="0" w:color="78A22F"/>
              <w:left w:val="nil"/>
              <w:bottom w:val="nil"/>
              <w:right w:val="nil"/>
            </w:tcBorders>
          </w:tcPr>
          <w:p w14:paraId="7954C42D" w14:textId="77777777" w:rsidR="00F05DC7" w:rsidRPr="00626D32" w:rsidRDefault="00F05DC7" w:rsidP="00A3786D">
            <w:pPr>
              <w:pStyle w:val="BoxSpaceBelow"/>
            </w:pPr>
          </w:p>
        </w:tc>
      </w:tr>
    </w:tbl>
    <w:p w14:paraId="7954C42F" w14:textId="77777777" w:rsidR="00F05DC7" w:rsidRDefault="00F05DC7" w:rsidP="00DD25D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431" w14:textId="77777777" w:rsidTr="00A3786D">
        <w:trPr>
          <w:tblHeader/>
        </w:trPr>
        <w:tc>
          <w:tcPr>
            <w:tcW w:w="5000" w:type="pct"/>
            <w:tcBorders>
              <w:top w:val="single" w:sz="6" w:space="0" w:color="78A22F"/>
              <w:left w:val="nil"/>
              <w:bottom w:val="nil"/>
              <w:right w:val="nil"/>
            </w:tcBorders>
            <w:shd w:val="clear" w:color="auto" w:fill="auto"/>
          </w:tcPr>
          <w:p w14:paraId="7954C430" w14:textId="12838A78" w:rsidR="00F05DC7" w:rsidRPr="00784A05" w:rsidRDefault="00F05DC7" w:rsidP="00A3786D">
            <w:pPr>
              <w:pStyle w:val="TableTitle"/>
            </w:pPr>
            <w:r>
              <w:rPr>
                <w:b w:val="0"/>
              </w:rPr>
              <w:t>Table F.</w:t>
            </w:r>
            <w:r>
              <w:rPr>
                <w:b w:val="0"/>
                <w:noProof/>
              </w:rPr>
              <w:t>1</w:t>
            </w:r>
            <w:r>
              <w:tab/>
              <w:t xml:space="preserve">Current benchmark: projected State </w:t>
            </w:r>
            <w:r w:rsidDel="00826411">
              <w:t>relativities</w:t>
            </w:r>
          </w:p>
        </w:tc>
      </w:tr>
      <w:tr w:rsidR="00F05DC7" w14:paraId="7954C49B"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14:paraId="7954C43B"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432" w14:textId="77777777" w:rsidR="00F05DC7" w:rsidRDefault="00F05DC7" w:rsidP="00A3786D">
                  <w:pPr>
                    <w:pStyle w:val="TableColumnHeading"/>
                    <w:jc w:val="left"/>
                  </w:pPr>
                </w:p>
              </w:tc>
              <w:tc>
                <w:tcPr>
                  <w:tcW w:w="557" w:type="pct"/>
                  <w:tcBorders>
                    <w:top w:val="single" w:sz="6" w:space="0" w:color="BFBFBF"/>
                    <w:bottom w:val="single" w:sz="6" w:space="0" w:color="BFBFBF"/>
                  </w:tcBorders>
                </w:tcPr>
                <w:p w14:paraId="7954C433" w14:textId="77777777" w:rsidR="00F05DC7" w:rsidRDefault="00F05DC7" w:rsidP="00A3786D">
                  <w:pPr>
                    <w:pStyle w:val="TableColumnHeading"/>
                  </w:pPr>
                  <w:r>
                    <w:t>NSW</w:t>
                  </w:r>
                </w:p>
              </w:tc>
              <w:tc>
                <w:tcPr>
                  <w:tcW w:w="557" w:type="pct"/>
                  <w:tcBorders>
                    <w:top w:val="single" w:sz="6" w:space="0" w:color="BFBFBF"/>
                    <w:bottom w:val="single" w:sz="6" w:space="0" w:color="BFBFBF"/>
                  </w:tcBorders>
                </w:tcPr>
                <w:p w14:paraId="7954C434" w14:textId="77777777" w:rsidR="00F05DC7" w:rsidRDefault="00F05DC7" w:rsidP="00A3786D">
                  <w:pPr>
                    <w:pStyle w:val="TableColumnHeading"/>
                  </w:pPr>
                  <w:r>
                    <w:t>Vic</w:t>
                  </w:r>
                </w:p>
              </w:tc>
              <w:tc>
                <w:tcPr>
                  <w:tcW w:w="556" w:type="pct"/>
                  <w:tcBorders>
                    <w:top w:val="single" w:sz="6" w:space="0" w:color="BFBFBF"/>
                    <w:bottom w:val="single" w:sz="6" w:space="0" w:color="BFBFBF"/>
                  </w:tcBorders>
                </w:tcPr>
                <w:p w14:paraId="7954C435" w14:textId="77777777" w:rsidR="00F05DC7" w:rsidRDefault="00F05DC7" w:rsidP="00A3786D">
                  <w:pPr>
                    <w:pStyle w:val="TableColumnHeading"/>
                  </w:pPr>
                  <w:r>
                    <w:t>Qld</w:t>
                  </w:r>
                </w:p>
              </w:tc>
              <w:tc>
                <w:tcPr>
                  <w:tcW w:w="556" w:type="pct"/>
                  <w:tcBorders>
                    <w:top w:val="single" w:sz="6" w:space="0" w:color="BFBFBF"/>
                    <w:bottom w:val="single" w:sz="6" w:space="0" w:color="BFBFBF"/>
                  </w:tcBorders>
                </w:tcPr>
                <w:p w14:paraId="7954C436" w14:textId="77777777" w:rsidR="00F05DC7" w:rsidRDefault="00F05DC7" w:rsidP="00A3786D">
                  <w:pPr>
                    <w:pStyle w:val="TableColumnHeading"/>
                  </w:pPr>
                  <w:r>
                    <w:t>WA</w:t>
                  </w:r>
                </w:p>
              </w:tc>
              <w:tc>
                <w:tcPr>
                  <w:tcW w:w="555" w:type="pct"/>
                  <w:tcBorders>
                    <w:top w:val="single" w:sz="6" w:space="0" w:color="BFBFBF"/>
                    <w:bottom w:val="single" w:sz="6" w:space="0" w:color="BFBFBF"/>
                  </w:tcBorders>
                </w:tcPr>
                <w:p w14:paraId="7954C437" w14:textId="77777777" w:rsidR="00F05DC7" w:rsidRDefault="00F05DC7" w:rsidP="00A3786D">
                  <w:pPr>
                    <w:pStyle w:val="TableColumnHeading"/>
                  </w:pPr>
                  <w:r>
                    <w:t>SA</w:t>
                  </w:r>
                </w:p>
              </w:tc>
              <w:tc>
                <w:tcPr>
                  <w:tcW w:w="555" w:type="pct"/>
                  <w:tcBorders>
                    <w:top w:val="single" w:sz="6" w:space="0" w:color="BFBFBF"/>
                    <w:bottom w:val="single" w:sz="6" w:space="0" w:color="BFBFBF"/>
                  </w:tcBorders>
                </w:tcPr>
                <w:p w14:paraId="7954C438" w14:textId="77777777" w:rsidR="00F05DC7" w:rsidRDefault="00F05DC7" w:rsidP="00A3786D">
                  <w:pPr>
                    <w:pStyle w:val="TableColumnHeading"/>
                  </w:pPr>
                  <w:r>
                    <w:t>Tas</w:t>
                  </w:r>
                </w:p>
              </w:tc>
              <w:tc>
                <w:tcPr>
                  <w:tcW w:w="555" w:type="pct"/>
                  <w:tcBorders>
                    <w:top w:val="single" w:sz="6" w:space="0" w:color="BFBFBF"/>
                    <w:bottom w:val="single" w:sz="6" w:space="0" w:color="BFBFBF"/>
                  </w:tcBorders>
                  <w:shd w:val="clear" w:color="auto" w:fill="auto"/>
                  <w:tcMar>
                    <w:top w:w="28" w:type="dxa"/>
                  </w:tcMar>
                </w:tcPr>
                <w:p w14:paraId="7954C439" w14:textId="77777777" w:rsidR="00F05DC7" w:rsidRDefault="00F05DC7" w:rsidP="00A3786D">
                  <w:pPr>
                    <w:pStyle w:val="TableColumnHeading"/>
                  </w:pPr>
                  <w:r>
                    <w:t>ACT</w:t>
                  </w:r>
                </w:p>
              </w:tc>
              <w:tc>
                <w:tcPr>
                  <w:tcW w:w="553" w:type="pct"/>
                  <w:tcBorders>
                    <w:top w:val="single" w:sz="6" w:space="0" w:color="BFBFBF"/>
                    <w:bottom w:val="single" w:sz="6" w:space="0" w:color="BFBFBF"/>
                  </w:tcBorders>
                  <w:shd w:val="clear" w:color="auto" w:fill="auto"/>
                  <w:tcMar>
                    <w:top w:w="28" w:type="dxa"/>
                  </w:tcMar>
                </w:tcPr>
                <w:p w14:paraId="7954C43A" w14:textId="77777777" w:rsidR="00F05DC7" w:rsidRDefault="00F05DC7" w:rsidP="00A3786D">
                  <w:pPr>
                    <w:pStyle w:val="TableColumnHeading"/>
                    <w:ind w:right="28"/>
                  </w:pPr>
                  <w:r>
                    <w:t>NT</w:t>
                  </w:r>
                </w:p>
              </w:tc>
            </w:tr>
            <w:tr w:rsidR="00F05DC7" w14:paraId="7954C43D" w14:textId="77777777" w:rsidTr="00A3786D">
              <w:tc>
                <w:tcPr>
                  <w:tcW w:w="5000" w:type="pct"/>
                  <w:gridSpan w:val="9"/>
                  <w:tcBorders>
                    <w:top w:val="single" w:sz="6" w:space="0" w:color="BFBFBF"/>
                  </w:tcBorders>
                </w:tcPr>
                <w:p w14:paraId="7954C43C" w14:textId="77777777" w:rsidR="00F05DC7" w:rsidRPr="003F29B4" w:rsidRDefault="00F05DC7" w:rsidP="00A3786D">
                  <w:pPr>
                    <w:pStyle w:val="TableUnitsRow"/>
                    <w:jc w:val="left"/>
                    <w:rPr>
                      <w:rFonts w:asciiTheme="minorHAnsi" w:hAnsiTheme="minorHAnsi" w:cstheme="minorHAnsi"/>
                      <w:szCs w:val="18"/>
                    </w:rPr>
                  </w:pPr>
                  <w:r>
                    <w:rPr>
                      <w:rFonts w:asciiTheme="minorHAnsi" w:hAnsiTheme="minorHAnsi" w:cstheme="minorHAnsi"/>
                      <w:szCs w:val="18"/>
                    </w:rPr>
                    <w:t xml:space="preserve">CGC 2018 recommended relativities </w:t>
                  </w:r>
                </w:p>
              </w:tc>
            </w:tr>
            <w:tr w:rsidR="00F05DC7" w14:paraId="7954C447" w14:textId="77777777" w:rsidTr="00A3786D">
              <w:tc>
                <w:tcPr>
                  <w:tcW w:w="556" w:type="pct"/>
                </w:tcPr>
                <w:p w14:paraId="7954C43E" w14:textId="77777777" w:rsidR="00F05DC7" w:rsidRDefault="00F05DC7" w:rsidP="00A3786D">
                  <w:pPr>
                    <w:pStyle w:val="TableUnitsRow"/>
                    <w:jc w:val="left"/>
                    <w:rPr>
                      <w:rFonts w:asciiTheme="minorHAnsi" w:hAnsiTheme="minorHAnsi" w:cstheme="minorHAnsi"/>
                      <w:szCs w:val="18"/>
                    </w:rPr>
                  </w:pPr>
                  <w:r w:rsidRPr="003F29B4">
                    <w:rPr>
                      <w:rFonts w:asciiTheme="minorHAnsi" w:hAnsiTheme="minorHAnsi" w:cstheme="minorHAnsi"/>
                      <w:szCs w:val="18"/>
                    </w:rPr>
                    <w:t>2018</w:t>
                  </w:r>
                  <w:r>
                    <w:rPr>
                      <w:rFonts w:asciiTheme="minorHAnsi" w:hAnsiTheme="minorHAnsi" w:cstheme="minorHAnsi"/>
                      <w:szCs w:val="18"/>
                    </w:rPr>
                    <w:noBreakHyphen/>
                  </w:r>
                  <w:r w:rsidRPr="003F29B4">
                    <w:rPr>
                      <w:rFonts w:asciiTheme="minorHAnsi" w:hAnsiTheme="minorHAnsi" w:cstheme="minorHAnsi"/>
                      <w:szCs w:val="18"/>
                    </w:rPr>
                    <w:t>19</w:t>
                  </w:r>
                </w:p>
              </w:tc>
              <w:tc>
                <w:tcPr>
                  <w:tcW w:w="557" w:type="pct"/>
                  <w:tcBorders>
                    <w:top w:val="nil"/>
                    <w:left w:val="nil"/>
                    <w:bottom w:val="nil"/>
                    <w:right w:val="nil"/>
                  </w:tcBorders>
                  <w:shd w:val="clear" w:color="auto" w:fill="auto"/>
                  <w:vAlign w:val="bottom"/>
                </w:tcPr>
                <w:p w14:paraId="7954C43F"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0.86</w:t>
                  </w:r>
                </w:p>
              </w:tc>
              <w:tc>
                <w:tcPr>
                  <w:tcW w:w="557" w:type="pct"/>
                  <w:tcBorders>
                    <w:top w:val="nil"/>
                    <w:left w:val="nil"/>
                    <w:bottom w:val="nil"/>
                    <w:right w:val="nil"/>
                  </w:tcBorders>
                  <w:shd w:val="clear" w:color="auto" w:fill="auto"/>
                  <w:vAlign w:val="bottom"/>
                </w:tcPr>
                <w:p w14:paraId="7954C440"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0.99</w:t>
                  </w:r>
                </w:p>
              </w:tc>
              <w:tc>
                <w:tcPr>
                  <w:tcW w:w="556" w:type="pct"/>
                  <w:tcBorders>
                    <w:top w:val="nil"/>
                    <w:left w:val="nil"/>
                    <w:bottom w:val="nil"/>
                    <w:right w:val="nil"/>
                  </w:tcBorders>
                  <w:shd w:val="clear" w:color="auto" w:fill="auto"/>
                  <w:vAlign w:val="bottom"/>
                </w:tcPr>
                <w:p w14:paraId="7954C441"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1.10</w:t>
                  </w:r>
                </w:p>
              </w:tc>
              <w:tc>
                <w:tcPr>
                  <w:tcW w:w="556" w:type="pct"/>
                  <w:tcBorders>
                    <w:top w:val="nil"/>
                    <w:left w:val="nil"/>
                    <w:bottom w:val="nil"/>
                    <w:right w:val="nil"/>
                  </w:tcBorders>
                  <w:shd w:val="clear" w:color="auto" w:fill="auto"/>
                  <w:vAlign w:val="bottom"/>
                </w:tcPr>
                <w:p w14:paraId="7954C442"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0.47</w:t>
                  </w:r>
                </w:p>
              </w:tc>
              <w:tc>
                <w:tcPr>
                  <w:tcW w:w="555" w:type="pct"/>
                  <w:tcBorders>
                    <w:top w:val="nil"/>
                    <w:left w:val="nil"/>
                    <w:bottom w:val="nil"/>
                    <w:right w:val="nil"/>
                  </w:tcBorders>
                  <w:shd w:val="clear" w:color="auto" w:fill="auto"/>
                  <w:vAlign w:val="bottom"/>
                </w:tcPr>
                <w:p w14:paraId="7954C443"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1.48</w:t>
                  </w:r>
                </w:p>
              </w:tc>
              <w:tc>
                <w:tcPr>
                  <w:tcW w:w="555" w:type="pct"/>
                  <w:tcBorders>
                    <w:top w:val="nil"/>
                    <w:left w:val="nil"/>
                    <w:bottom w:val="nil"/>
                    <w:right w:val="nil"/>
                  </w:tcBorders>
                  <w:shd w:val="clear" w:color="auto" w:fill="auto"/>
                  <w:vAlign w:val="bottom"/>
                </w:tcPr>
                <w:p w14:paraId="7954C444"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1.77</w:t>
                  </w:r>
                </w:p>
              </w:tc>
              <w:tc>
                <w:tcPr>
                  <w:tcW w:w="555" w:type="pct"/>
                  <w:tcBorders>
                    <w:top w:val="nil"/>
                    <w:left w:val="nil"/>
                    <w:bottom w:val="nil"/>
                    <w:right w:val="nil"/>
                  </w:tcBorders>
                  <w:shd w:val="clear" w:color="auto" w:fill="auto"/>
                  <w:vAlign w:val="bottom"/>
                </w:tcPr>
                <w:p w14:paraId="7954C445"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1.18</w:t>
                  </w:r>
                </w:p>
              </w:tc>
              <w:tc>
                <w:tcPr>
                  <w:tcW w:w="553" w:type="pct"/>
                  <w:tcBorders>
                    <w:top w:val="nil"/>
                    <w:left w:val="nil"/>
                    <w:bottom w:val="nil"/>
                    <w:right w:val="nil"/>
                  </w:tcBorders>
                  <w:shd w:val="clear" w:color="auto" w:fill="auto"/>
                  <w:vAlign w:val="bottom"/>
                </w:tcPr>
                <w:p w14:paraId="7954C446" w14:textId="77777777" w:rsidR="00F05DC7" w:rsidRDefault="00F05DC7" w:rsidP="00A3786D">
                  <w:pPr>
                    <w:pStyle w:val="TableUnitsRow"/>
                    <w:ind w:right="28"/>
                    <w:rPr>
                      <w:rFonts w:asciiTheme="minorHAnsi" w:hAnsiTheme="minorHAnsi" w:cstheme="minorHAnsi"/>
                      <w:color w:val="000000"/>
                      <w:szCs w:val="18"/>
                    </w:rPr>
                  </w:pPr>
                  <w:r w:rsidRPr="00953FF1">
                    <w:rPr>
                      <w:rFonts w:asciiTheme="minorHAnsi" w:hAnsiTheme="minorHAnsi" w:cstheme="minorHAnsi"/>
                      <w:color w:val="000000"/>
                      <w:szCs w:val="18"/>
                    </w:rPr>
                    <w:t>4.26</w:t>
                  </w:r>
                </w:p>
              </w:tc>
            </w:tr>
            <w:tr w:rsidR="00F05DC7" w14:paraId="7954C449" w14:textId="77777777" w:rsidTr="00A3786D">
              <w:tc>
                <w:tcPr>
                  <w:tcW w:w="5000" w:type="pct"/>
                  <w:gridSpan w:val="9"/>
                  <w:tcBorders>
                    <w:top w:val="single" w:sz="6" w:space="0" w:color="BFBFBF"/>
                  </w:tcBorders>
                </w:tcPr>
                <w:p w14:paraId="7954C448" w14:textId="77777777" w:rsidR="00F05DC7" w:rsidRPr="001E2ED9" w:rsidRDefault="00F05DC7" w:rsidP="00A3786D">
                  <w:pPr>
                    <w:pStyle w:val="TableUnitsRow"/>
                    <w:jc w:val="left"/>
                    <w:rPr>
                      <w:rFonts w:asciiTheme="minorHAnsi" w:hAnsiTheme="minorHAnsi" w:cstheme="minorHAnsi"/>
                      <w:szCs w:val="18"/>
                    </w:rPr>
                  </w:pPr>
                  <w:r>
                    <w:rPr>
                      <w:rFonts w:asciiTheme="minorHAnsi" w:hAnsiTheme="minorHAnsi" w:cstheme="minorHAnsi"/>
                      <w:szCs w:val="18"/>
                    </w:rPr>
                    <w:t>Best estimate relativities — current equalisation benchmark</w:t>
                  </w:r>
                </w:p>
              </w:tc>
            </w:tr>
            <w:tr w:rsidR="00F05DC7" w14:paraId="7954C453" w14:textId="77777777" w:rsidTr="00A3786D">
              <w:tc>
                <w:tcPr>
                  <w:tcW w:w="556" w:type="pct"/>
                </w:tcPr>
                <w:p w14:paraId="7954C44A" w14:textId="77777777" w:rsidR="00F05DC7" w:rsidRPr="003F29B4" w:rsidRDefault="00F05DC7" w:rsidP="00A3786D">
                  <w:pPr>
                    <w:pStyle w:val="TableBodyText"/>
                    <w:jc w:val="left"/>
                    <w:rPr>
                      <w:rFonts w:asciiTheme="minorHAnsi" w:hAnsiTheme="minorHAnsi" w:cstheme="minorHAnsi"/>
                      <w:szCs w:val="18"/>
                    </w:rPr>
                  </w:pPr>
                  <w:r w:rsidRPr="003F29B4">
                    <w:rPr>
                      <w:rFonts w:asciiTheme="minorHAnsi" w:hAnsiTheme="minorHAnsi" w:cstheme="minorHAnsi"/>
                      <w:szCs w:val="18"/>
                    </w:rPr>
                    <w:t>2019</w:t>
                  </w:r>
                  <w:r>
                    <w:rPr>
                      <w:rFonts w:asciiTheme="minorHAnsi" w:hAnsiTheme="minorHAnsi" w:cstheme="minorHAnsi"/>
                      <w:szCs w:val="18"/>
                    </w:rPr>
                    <w:noBreakHyphen/>
                  </w:r>
                  <w:r w:rsidRPr="003F29B4">
                    <w:rPr>
                      <w:rFonts w:asciiTheme="minorHAnsi" w:hAnsiTheme="minorHAnsi" w:cstheme="minorHAnsi"/>
                      <w:szCs w:val="18"/>
                    </w:rPr>
                    <w:t>20</w:t>
                  </w:r>
                </w:p>
              </w:tc>
              <w:tc>
                <w:tcPr>
                  <w:tcW w:w="557" w:type="pct"/>
                  <w:tcBorders>
                    <w:top w:val="nil"/>
                    <w:left w:val="nil"/>
                    <w:bottom w:val="nil"/>
                    <w:right w:val="nil"/>
                  </w:tcBorders>
                  <w:shd w:val="clear" w:color="auto" w:fill="auto"/>
                  <w:vAlign w:val="bottom"/>
                </w:tcPr>
                <w:p w14:paraId="7954C44B"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0.82</w:t>
                  </w:r>
                </w:p>
              </w:tc>
              <w:tc>
                <w:tcPr>
                  <w:tcW w:w="557" w:type="pct"/>
                  <w:tcBorders>
                    <w:top w:val="nil"/>
                    <w:left w:val="nil"/>
                    <w:bottom w:val="nil"/>
                    <w:right w:val="nil"/>
                  </w:tcBorders>
                  <w:shd w:val="clear" w:color="auto" w:fill="auto"/>
                  <w:vAlign w:val="bottom"/>
                </w:tcPr>
                <w:p w14:paraId="7954C44C"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0.96</w:t>
                  </w:r>
                </w:p>
              </w:tc>
              <w:tc>
                <w:tcPr>
                  <w:tcW w:w="556" w:type="pct"/>
                  <w:tcBorders>
                    <w:top w:val="nil"/>
                    <w:left w:val="nil"/>
                    <w:bottom w:val="nil"/>
                    <w:right w:val="nil"/>
                  </w:tcBorders>
                  <w:shd w:val="clear" w:color="auto" w:fill="auto"/>
                  <w:vAlign w:val="bottom"/>
                </w:tcPr>
                <w:p w14:paraId="7954C44D"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1.12</w:t>
                  </w:r>
                </w:p>
              </w:tc>
              <w:tc>
                <w:tcPr>
                  <w:tcW w:w="556" w:type="pct"/>
                  <w:tcBorders>
                    <w:top w:val="nil"/>
                    <w:left w:val="nil"/>
                    <w:bottom w:val="nil"/>
                    <w:right w:val="nil"/>
                  </w:tcBorders>
                  <w:shd w:val="clear" w:color="auto" w:fill="auto"/>
                  <w:vAlign w:val="bottom"/>
                </w:tcPr>
                <w:p w14:paraId="7954C44E"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0.59</w:t>
                  </w:r>
                </w:p>
              </w:tc>
              <w:tc>
                <w:tcPr>
                  <w:tcW w:w="555" w:type="pct"/>
                  <w:tcBorders>
                    <w:top w:val="nil"/>
                    <w:left w:val="nil"/>
                    <w:bottom w:val="nil"/>
                    <w:right w:val="nil"/>
                  </w:tcBorders>
                  <w:shd w:val="clear" w:color="auto" w:fill="auto"/>
                  <w:vAlign w:val="bottom"/>
                </w:tcPr>
                <w:p w14:paraId="7954C44F"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1.43</w:t>
                  </w:r>
                </w:p>
              </w:tc>
              <w:tc>
                <w:tcPr>
                  <w:tcW w:w="555" w:type="pct"/>
                  <w:tcBorders>
                    <w:top w:val="nil"/>
                    <w:left w:val="nil"/>
                    <w:bottom w:val="nil"/>
                    <w:right w:val="nil"/>
                  </w:tcBorders>
                  <w:shd w:val="clear" w:color="auto" w:fill="auto"/>
                  <w:vAlign w:val="bottom"/>
                </w:tcPr>
                <w:p w14:paraId="7954C450"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1.81</w:t>
                  </w:r>
                </w:p>
              </w:tc>
              <w:tc>
                <w:tcPr>
                  <w:tcW w:w="555" w:type="pct"/>
                  <w:tcBorders>
                    <w:top w:val="nil"/>
                    <w:left w:val="nil"/>
                    <w:bottom w:val="nil"/>
                    <w:right w:val="nil"/>
                  </w:tcBorders>
                  <w:shd w:val="clear" w:color="auto" w:fill="auto"/>
                  <w:vAlign w:val="bottom"/>
                </w:tcPr>
                <w:p w14:paraId="7954C451"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1.19</w:t>
                  </w:r>
                </w:p>
              </w:tc>
              <w:tc>
                <w:tcPr>
                  <w:tcW w:w="553" w:type="pct"/>
                  <w:tcBorders>
                    <w:top w:val="nil"/>
                    <w:left w:val="nil"/>
                    <w:bottom w:val="nil"/>
                    <w:right w:val="nil"/>
                  </w:tcBorders>
                  <w:shd w:val="clear" w:color="auto" w:fill="auto"/>
                  <w:vAlign w:val="bottom"/>
                </w:tcPr>
                <w:p w14:paraId="7954C452" w14:textId="77777777" w:rsidR="00F05DC7" w:rsidRPr="003F29B4" w:rsidRDefault="00F05DC7" w:rsidP="00A3786D">
                  <w:pPr>
                    <w:pStyle w:val="TableBodyText"/>
                    <w:ind w:right="28"/>
                    <w:rPr>
                      <w:rFonts w:asciiTheme="minorHAnsi" w:hAnsiTheme="minorHAnsi" w:cstheme="minorHAnsi"/>
                      <w:szCs w:val="18"/>
                    </w:rPr>
                  </w:pPr>
                  <w:r w:rsidRPr="003F29B4">
                    <w:rPr>
                      <w:rFonts w:asciiTheme="minorHAnsi" w:hAnsiTheme="minorHAnsi" w:cstheme="minorHAnsi"/>
                      <w:color w:val="000000"/>
                      <w:szCs w:val="18"/>
                    </w:rPr>
                    <w:t>4.55</w:t>
                  </w:r>
                </w:p>
              </w:tc>
            </w:tr>
            <w:tr w:rsidR="00F05DC7" w14:paraId="7954C45D" w14:textId="77777777" w:rsidTr="00A3786D">
              <w:tc>
                <w:tcPr>
                  <w:tcW w:w="556" w:type="pct"/>
                </w:tcPr>
                <w:p w14:paraId="7954C454" w14:textId="77777777" w:rsidR="00F05DC7" w:rsidRPr="003F29B4" w:rsidRDefault="00F05DC7" w:rsidP="00A3786D">
                  <w:pPr>
                    <w:pStyle w:val="TableBodyText"/>
                    <w:jc w:val="left"/>
                    <w:rPr>
                      <w:rFonts w:asciiTheme="minorHAnsi" w:hAnsiTheme="minorHAnsi" w:cstheme="minorHAnsi"/>
                      <w:szCs w:val="18"/>
                    </w:rPr>
                  </w:pPr>
                  <w:r w:rsidRPr="003F29B4">
                    <w:rPr>
                      <w:rFonts w:asciiTheme="minorHAnsi" w:hAnsiTheme="minorHAnsi" w:cstheme="minorHAnsi"/>
                      <w:szCs w:val="18"/>
                    </w:rPr>
                    <w:t>2020</w:t>
                  </w:r>
                  <w:r>
                    <w:rPr>
                      <w:rFonts w:asciiTheme="minorHAnsi" w:hAnsiTheme="minorHAnsi" w:cstheme="minorHAnsi"/>
                      <w:szCs w:val="18"/>
                    </w:rPr>
                    <w:noBreakHyphen/>
                  </w:r>
                  <w:r w:rsidRPr="003F29B4">
                    <w:rPr>
                      <w:rFonts w:asciiTheme="minorHAnsi" w:hAnsiTheme="minorHAnsi" w:cstheme="minorHAnsi"/>
                      <w:szCs w:val="18"/>
                    </w:rPr>
                    <w:t>21</w:t>
                  </w:r>
                </w:p>
              </w:tc>
              <w:tc>
                <w:tcPr>
                  <w:tcW w:w="557" w:type="pct"/>
                  <w:tcBorders>
                    <w:top w:val="nil"/>
                    <w:left w:val="nil"/>
                    <w:bottom w:val="nil"/>
                    <w:right w:val="nil"/>
                  </w:tcBorders>
                  <w:shd w:val="clear" w:color="auto" w:fill="auto"/>
                  <w:vAlign w:val="bottom"/>
                </w:tcPr>
                <w:p w14:paraId="7954C455"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0.82</w:t>
                  </w:r>
                </w:p>
              </w:tc>
              <w:tc>
                <w:tcPr>
                  <w:tcW w:w="557" w:type="pct"/>
                  <w:tcBorders>
                    <w:top w:val="nil"/>
                    <w:left w:val="nil"/>
                    <w:bottom w:val="nil"/>
                    <w:right w:val="nil"/>
                  </w:tcBorders>
                  <w:shd w:val="clear" w:color="auto" w:fill="auto"/>
                  <w:vAlign w:val="bottom"/>
                </w:tcPr>
                <w:p w14:paraId="7954C456"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0.95</w:t>
                  </w:r>
                </w:p>
              </w:tc>
              <w:tc>
                <w:tcPr>
                  <w:tcW w:w="556" w:type="pct"/>
                  <w:tcBorders>
                    <w:top w:val="nil"/>
                    <w:left w:val="nil"/>
                    <w:bottom w:val="nil"/>
                    <w:right w:val="nil"/>
                  </w:tcBorders>
                  <w:shd w:val="clear" w:color="auto" w:fill="auto"/>
                  <w:vAlign w:val="bottom"/>
                </w:tcPr>
                <w:p w14:paraId="7954C457"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1.12</w:t>
                  </w:r>
                </w:p>
              </w:tc>
              <w:tc>
                <w:tcPr>
                  <w:tcW w:w="556" w:type="pct"/>
                  <w:tcBorders>
                    <w:top w:val="nil"/>
                    <w:left w:val="nil"/>
                    <w:bottom w:val="nil"/>
                    <w:right w:val="nil"/>
                  </w:tcBorders>
                  <w:shd w:val="clear" w:color="auto" w:fill="auto"/>
                  <w:vAlign w:val="bottom"/>
                </w:tcPr>
                <w:p w14:paraId="7954C458"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0.62</w:t>
                  </w:r>
                </w:p>
              </w:tc>
              <w:tc>
                <w:tcPr>
                  <w:tcW w:w="555" w:type="pct"/>
                  <w:tcBorders>
                    <w:top w:val="nil"/>
                    <w:left w:val="nil"/>
                    <w:bottom w:val="nil"/>
                    <w:right w:val="nil"/>
                  </w:tcBorders>
                  <w:shd w:val="clear" w:color="auto" w:fill="auto"/>
                  <w:vAlign w:val="bottom"/>
                </w:tcPr>
                <w:p w14:paraId="7954C459"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1.43</w:t>
                  </w:r>
                </w:p>
              </w:tc>
              <w:tc>
                <w:tcPr>
                  <w:tcW w:w="555" w:type="pct"/>
                  <w:tcBorders>
                    <w:top w:val="nil"/>
                    <w:left w:val="nil"/>
                    <w:bottom w:val="nil"/>
                    <w:right w:val="nil"/>
                  </w:tcBorders>
                  <w:shd w:val="clear" w:color="auto" w:fill="auto"/>
                  <w:vAlign w:val="bottom"/>
                </w:tcPr>
                <w:p w14:paraId="7954C45A"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1.80</w:t>
                  </w:r>
                </w:p>
              </w:tc>
              <w:tc>
                <w:tcPr>
                  <w:tcW w:w="555" w:type="pct"/>
                  <w:tcBorders>
                    <w:top w:val="nil"/>
                    <w:left w:val="nil"/>
                    <w:bottom w:val="nil"/>
                    <w:right w:val="nil"/>
                  </w:tcBorders>
                  <w:shd w:val="clear" w:color="auto" w:fill="auto"/>
                  <w:vAlign w:val="bottom"/>
                </w:tcPr>
                <w:p w14:paraId="7954C45B"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1.18</w:t>
                  </w:r>
                </w:p>
              </w:tc>
              <w:tc>
                <w:tcPr>
                  <w:tcW w:w="553" w:type="pct"/>
                  <w:tcBorders>
                    <w:top w:val="nil"/>
                    <w:left w:val="nil"/>
                    <w:bottom w:val="nil"/>
                    <w:right w:val="nil"/>
                  </w:tcBorders>
                  <w:shd w:val="clear" w:color="auto" w:fill="auto"/>
                  <w:vAlign w:val="bottom"/>
                </w:tcPr>
                <w:p w14:paraId="7954C45C" w14:textId="77777777" w:rsidR="00F05DC7" w:rsidRPr="003F29B4" w:rsidRDefault="00F05DC7" w:rsidP="00A3786D">
                  <w:pPr>
                    <w:pStyle w:val="TableBodyText"/>
                    <w:ind w:right="28"/>
                    <w:rPr>
                      <w:rFonts w:asciiTheme="minorHAnsi" w:hAnsiTheme="minorHAnsi" w:cstheme="minorHAnsi"/>
                      <w:szCs w:val="18"/>
                    </w:rPr>
                  </w:pPr>
                  <w:r w:rsidRPr="003F29B4">
                    <w:rPr>
                      <w:rFonts w:asciiTheme="minorHAnsi" w:hAnsiTheme="minorHAnsi" w:cstheme="minorHAnsi"/>
                      <w:color w:val="000000"/>
                      <w:szCs w:val="18"/>
                    </w:rPr>
                    <w:t>4.75</w:t>
                  </w:r>
                </w:p>
              </w:tc>
            </w:tr>
            <w:tr w:rsidR="00F05DC7" w14:paraId="7954C467" w14:textId="77777777" w:rsidTr="00A3786D">
              <w:tc>
                <w:tcPr>
                  <w:tcW w:w="556" w:type="pct"/>
                </w:tcPr>
                <w:p w14:paraId="7954C45E" w14:textId="77777777" w:rsidR="00F05DC7" w:rsidRPr="003F29B4" w:rsidRDefault="00F05DC7" w:rsidP="00A3786D">
                  <w:pPr>
                    <w:pStyle w:val="TableBodyText"/>
                    <w:jc w:val="left"/>
                    <w:rPr>
                      <w:rFonts w:asciiTheme="minorHAnsi" w:hAnsiTheme="minorHAnsi" w:cstheme="minorHAnsi"/>
                      <w:szCs w:val="18"/>
                    </w:rPr>
                  </w:pPr>
                  <w:r w:rsidRPr="003F29B4">
                    <w:rPr>
                      <w:rFonts w:asciiTheme="minorHAnsi" w:hAnsiTheme="minorHAnsi" w:cstheme="minorHAnsi"/>
                      <w:szCs w:val="18"/>
                    </w:rPr>
                    <w:t>2021</w:t>
                  </w:r>
                  <w:r>
                    <w:rPr>
                      <w:rFonts w:asciiTheme="minorHAnsi" w:hAnsiTheme="minorHAnsi" w:cstheme="minorHAnsi"/>
                      <w:szCs w:val="18"/>
                    </w:rPr>
                    <w:noBreakHyphen/>
                  </w:r>
                  <w:r w:rsidRPr="003F29B4">
                    <w:rPr>
                      <w:rFonts w:asciiTheme="minorHAnsi" w:hAnsiTheme="minorHAnsi" w:cstheme="minorHAnsi"/>
                      <w:szCs w:val="18"/>
                    </w:rPr>
                    <w:t>22</w:t>
                  </w:r>
                </w:p>
              </w:tc>
              <w:tc>
                <w:tcPr>
                  <w:tcW w:w="557" w:type="pct"/>
                  <w:tcBorders>
                    <w:top w:val="nil"/>
                    <w:left w:val="nil"/>
                    <w:bottom w:val="nil"/>
                    <w:right w:val="nil"/>
                  </w:tcBorders>
                  <w:shd w:val="clear" w:color="auto" w:fill="auto"/>
                  <w:vAlign w:val="bottom"/>
                </w:tcPr>
                <w:p w14:paraId="7954C45F"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0.82</w:t>
                  </w:r>
                </w:p>
              </w:tc>
              <w:tc>
                <w:tcPr>
                  <w:tcW w:w="557" w:type="pct"/>
                  <w:tcBorders>
                    <w:top w:val="nil"/>
                    <w:left w:val="nil"/>
                    <w:bottom w:val="nil"/>
                    <w:right w:val="nil"/>
                  </w:tcBorders>
                  <w:shd w:val="clear" w:color="auto" w:fill="auto"/>
                  <w:vAlign w:val="bottom"/>
                </w:tcPr>
                <w:p w14:paraId="7954C460"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0.94</w:t>
                  </w:r>
                </w:p>
              </w:tc>
              <w:tc>
                <w:tcPr>
                  <w:tcW w:w="556" w:type="pct"/>
                  <w:tcBorders>
                    <w:top w:val="nil"/>
                    <w:left w:val="nil"/>
                    <w:bottom w:val="nil"/>
                    <w:right w:val="nil"/>
                  </w:tcBorders>
                  <w:shd w:val="clear" w:color="auto" w:fill="auto"/>
                  <w:vAlign w:val="bottom"/>
                </w:tcPr>
                <w:p w14:paraId="7954C461"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1.14</w:t>
                  </w:r>
                </w:p>
              </w:tc>
              <w:tc>
                <w:tcPr>
                  <w:tcW w:w="556" w:type="pct"/>
                  <w:tcBorders>
                    <w:top w:val="nil"/>
                    <w:left w:val="nil"/>
                    <w:bottom w:val="nil"/>
                    <w:right w:val="nil"/>
                  </w:tcBorders>
                  <w:shd w:val="clear" w:color="auto" w:fill="auto"/>
                  <w:vAlign w:val="bottom"/>
                </w:tcPr>
                <w:p w14:paraId="7954C462"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0.63</w:t>
                  </w:r>
                </w:p>
              </w:tc>
              <w:tc>
                <w:tcPr>
                  <w:tcW w:w="555" w:type="pct"/>
                  <w:tcBorders>
                    <w:top w:val="nil"/>
                    <w:left w:val="nil"/>
                    <w:bottom w:val="nil"/>
                    <w:right w:val="nil"/>
                  </w:tcBorders>
                  <w:shd w:val="clear" w:color="auto" w:fill="auto"/>
                  <w:vAlign w:val="bottom"/>
                </w:tcPr>
                <w:p w14:paraId="7954C463"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1.42</w:t>
                  </w:r>
                </w:p>
              </w:tc>
              <w:tc>
                <w:tcPr>
                  <w:tcW w:w="555" w:type="pct"/>
                  <w:tcBorders>
                    <w:top w:val="nil"/>
                    <w:left w:val="nil"/>
                    <w:bottom w:val="nil"/>
                    <w:right w:val="nil"/>
                  </w:tcBorders>
                  <w:shd w:val="clear" w:color="auto" w:fill="auto"/>
                  <w:vAlign w:val="bottom"/>
                </w:tcPr>
                <w:p w14:paraId="7954C464"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1.78</w:t>
                  </w:r>
                </w:p>
              </w:tc>
              <w:tc>
                <w:tcPr>
                  <w:tcW w:w="555" w:type="pct"/>
                  <w:tcBorders>
                    <w:top w:val="nil"/>
                    <w:left w:val="nil"/>
                    <w:bottom w:val="nil"/>
                    <w:right w:val="nil"/>
                  </w:tcBorders>
                  <w:shd w:val="clear" w:color="auto" w:fill="auto"/>
                  <w:vAlign w:val="bottom"/>
                </w:tcPr>
                <w:p w14:paraId="7954C465"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1.16</w:t>
                  </w:r>
                </w:p>
              </w:tc>
              <w:tc>
                <w:tcPr>
                  <w:tcW w:w="553" w:type="pct"/>
                  <w:tcBorders>
                    <w:top w:val="nil"/>
                    <w:left w:val="nil"/>
                    <w:bottom w:val="nil"/>
                    <w:right w:val="nil"/>
                  </w:tcBorders>
                  <w:shd w:val="clear" w:color="auto" w:fill="auto"/>
                  <w:vAlign w:val="bottom"/>
                </w:tcPr>
                <w:p w14:paraId="7954C466" w14:textId="77777777" w:rsidR="00F05DC7" w:rsidRPr="003F29B4" w:rsidRDefault="00F05DC7" w:rsidP="00A3786D">
                  <w:pPr>
                    <w:pStyle w:val="TableBodyText"/>
                    <w:ind w:right="28"/>
                    <w:rPr>
                      <w:rFonts w:asciiTheme="minorHAnsi" w:hAnsiTheme="minorHAnsi" w:cstheme="minorHAnsi"/>
                      <w:szCs w:val="18"/>
                    </w:rPr>
                  </w:pPr>
                  <w:r w:rsidRPr="003F29B4">
                    <w:rPr>
                      <w:rFonts w:asciiTheme="minorHAnsi" w:hAnsiTheme="minorHAnsi" w:cstheme="minorHAnsi"/>
                      <w:color w:val="000000"/>
                      <w:szCs w:val="18"/>
                    </w:rPr>
                    <w:t>4.67</w:t>
                  </w:r>
                </w:p>
              </w:tc>
            </w:tr>
            <w:tr w:rsidR="00F05DC7" w14:paraId="7954C471" w14:textId="77777777" w:rsidTr="00A3786D">
              <w:tc>
                <w:tcPr>
                  <w:tcW w:w="556" w:type="pct"/>
                </w:tcPr>
                <w:p w14:paraId="7954C468" w14:textId="77777777" w:rsidR="00F05DC7" w:rsidRPr="003F29B4" w:rsidRDefault="00F05DC7" w:rsidP="00A3786D">
                  <w:pPr>
                    <w:pStyle w:val="TableBodyText"/>
                    <w:jc w:val="left"/>
                    <w:rPr>
                      <w:rFonts w:asciiTheme="minorHAnsi" w:hAnsiTheme="minorHAnsi" w:cstheme="minorHAnsi"/>
                      <w:szCs w:val="18"/>
                    </w:rPr>
                  </w:pPr>
                  <w:r w:rsidRPr="003F29B4">
                    <w:rPr>
                      <w:rFonts w:asciiTheme="minorHAnsi" w:hAnsiTheme="minorHAnsi" w:cstheme="minorHAnsi"/>
                      <w:szCs w:val="18"/>
                    </w:rPr>
                    <w:t>2022</w:t>
                  </w:r>
                  <w:r>
                    <w:rPr>
                      <w:rFonts w:asciiTheme="minorHAnsi" w:hAnsiTheme="minorHAnsi" w:cstheme="minorHAnsi"/>
                      <w:szCs w:val="18"/>
                    </w:rPr>
                    <w:noBreakHyphen/>
                  </w:r>
                  <w:r w:rsidRPr="003F29B4">
                    <w:rPr>
                      <w:rFonts w:asciiTheme="minorHAnsi" w:hAnsiTheme="minorHAnsi" w:cstheme="minorHAnsi"/>
                      <w:szCs w:val="18"/>
                    </w:rPr>
                    <w:t>23</w:t>
                  </w:r>
                </w:p>
              </w:tc>
              <w:tc>
                <w:tcPr>
                  <w:tcW w:w="557" w:type="pct"/>
                  <w:tcBorders>
                    <w:top w:val="nil"/>
                    <w:left w:val="nil"/>
                    <w:bottom w:val="nil"/>
                    <w:right w:val="nil"/>
                  </w:tcBorders>
                  <w:shd w:val="clear" w:color="auto" w:fill="auto"/>
                  <w:vAlign w:val="bottom"/>
                </w:tcPr>
                <w:p w14:paraId="7954C469"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0.81</w:t>
                  </w:r>
                </w:p>
              </w:tc>
              <w:tc>
                <w:tcPr>
                  <w:tcW w:w="557" w:type="pct"/>
                  <w:tcBorders>
                    <w:top w:val="nil"/>
                    <w:left w:val="nil"/>
                    <w:bottom w:val="nil"/>
                    <w:right w:val="nil"/>
                  </w:tcBorders>
                  <w:shd w:val="clear" w:color="auto" w:fill="auto"/>
                  <w:vAlign w:val="bottom"/>
                </w:tcPr>
                <w:p w14:paraId="7954C46A"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0.93</w:t>
                  </w:r>
                </w:p>
              </w:tc>
              <w:tc>
                <w:tcPr>
                  <w:tcW w:w="556" w:type="pct"/>
                  <w:tcBorders>
                    <w:top w:val="nil"/>
                    <w:left w:val="nil"/>
                    <w:bottom w:val="nil"/>
                    <w:right w:val="nil"/>
                  </w:tcBorders>
                  <w:shd w:val="clear" w:color="auto" w:fill="auto"/>
                  <w:vAlign w:val="bottom"/>
                </w:tcPr>
                <w:p w14:paraId="7954C46B"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1.15</w:t>
                  </w:r>
                </w:p>
              </w:tc>
              <w:tc>
                <w:tcPr>
                  <w:tcW w:w="556" w:type="pct"/>
                  <w:tcBorders>
                    <w:top w:val="nil"/>
                    <w:left w:val="nil"/>
                    <w:bottom w:val="nil"/>
                    <w:right w:val="nil"/>
                  </w:tcBorders>
                  <w:shd w:val="clear" w:color="auto" w:fill="auto"/>
                  <w:vAlign w:val="bottom"/>
                </w:tcPr>
                <w:p w14:paraId="7954C46C"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0.66</w:t>
                  </w:r>
                </w:p>
              </w:tc>
              <w:tc>
                <w:tcPr>
                  <w:tcW w:w="555" w:type="pct"/>
                  <w:tcBorders>
                    <w:top w:val="nil"/>
                    <w:left w:val="nil"/>
                    <w:bottom w:val="nil"/>
                    <w:right w:val="nil"/>
                  </w:tcBorders>
                  <w:shd w:val="clear" w:color="auto" w:fill="auto"/>
                  <w:vAlign w:val="bottom"/>
                </w:tcPr>
                <w:p w14:paraId="7954C46D"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1.40</w:t>
                  </w:r>
                </w:p>
              </w:tc>
              <w:tc>
                <w:tcPr>
                  <w:tcW w:w="555" w:type="pct"/>
                  <w:tcBorders>
                    <w:top w:val="nil"/>
                    <w:left w:val="nil"/>
                    <w:bottom w:val="nil"/>
                    <w:right w:val="nil"/>
                  </w:tcBorders>
                  <w:shd w:val="clear" w:color="auto" w:fill="auto"/>
                  <w:vAlign w:val="bottom"/>
                </w:tcPr>
                <w:p w14:paraId="7954C46E"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1.75</w:t>
                  </w:r>
                </w:p>
              </w:tc>
              <w:tc>
                <w:tcPr>
                  <w:tcW w:w="555" w:type="pct"/>
                  <w:tcBorders>
                    <w:top w:val="nil"/>
                    <w:left w:val="nil"/>
                    <w:bottom w:val="nil"/>
                    <w:right w:val="nil"/>
                  </w:tcBorders>
                  <w:shd w:val="clear" w:color="auto" w:fill="auto"/>
                  <w:vAlign w:val="bottom"/>
                </w:tcPr>
                <w:p w14:paraId="7954C46F"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1.15</w:t>
                  </w:r>
                </w:p>
              </w:tc>
              <w:tc>
                <w:tcPr>
                  <w:tcW w:w="553" w:type="pct"/>
                  <w:tcBorders>
                    <w:top w:val="nil"/>
                    <w:left w:val="nil"/>
                    <w:bottom w:val="nil"/>
                    <w:right w:val="nil"/>
                  </w:tcBorders>
                  <w:shd w:val="clear" w:color="auto" w:fill="auto"/>
                  <w:vAlign w:val="bottom"/>
                </w:tcPr>
                <w:p w14:paraId="7954C470" w14:textId="77777777" w:rsidR="00F05DC7" w:rsidRPr="003F29B4" w:rsidRDefault="00F05DC7" w:rsidP="00A3786D">
                  <w:pPr>
                    <w:pStyle w:val="TableBodyText"/>
                    <w:ind w:right="28"/>
                    <w:rPr>
                      <w:rFonts w:asciiTheme="minorHAnsi" w:hAnsiTheme="minorHAnsi" w:cstheme="minorHAnsi"/>
                      <w:szCs w:val="18"/>
                    </w:rPr>
                  </w:pPr>
                  <w:r w:rsidRPr="003F29B4">
                    <w:rPr>
                      <w:rFonts w:asciiTheme="minorHAnsi" w:hAnsiTheme="minorHAnsi" w:cstheme="minorHAnsi"/>
                      <w:color w:val="000000"/>
                      <w:szCs w:val="18"/>
                    </w:rPr>
                    <w:t>4.84</w:t>
                  </w:r>
                </w:p>
              </w:tc>
            </w:tr>
            <w:tr w:rsidR="00F05DC7" w14:paraId="7954C47B" w14:textId="77777777" w:rsidTr="00A3786D">
              <w:tc>
                <w:tcPr>
                  <w:tcW w:w="556" w:type="pct"/>
                </w:tcPr>
                <w:p w14:paraId="7954C472" w14:textId="77777777" w:rsidR="00F05DC7" w:rsidRPr="003F29B4" w:rsidRDefault="00F05DC7" w:rsidP="00A3786D">
                  <w:pPr>
                    <w:pStyle w:val="TableBodyText"/>
                    <w:jc w:val="left"/>
                    <w:rPr>
                      <w:rFonts w:asciiTheme="minorHAnsi" w:hAnsiTheme="minorHAnsi" w:cstheme="minorHAnsi"/>
                      <w:szCs w:val="18"/>
                    </w:rPr>
                  </w:pPr>
                  <w:r w:rsidRPr="003F29B4">
                    <w:rPr>
                      <w:rFonts w:asciiTheme="minorHAnsi" w:hAnsiTheme="minorHAnsi" w:cstheme="minorHAnsi"/>
                      <w:szCs w:val="18"/>
                    </w:rPr>
                    <w:t>2023</w:t>
                  </w:r>
                  <w:r>
                    <w:rPr>
                      <w:rFonts w:asciiTheme="minorHAnsi" w:hAnsiTheme="minorHAnsi" w:cstheme="minorHAnsi"/>
                      <w:szCs w:val="18"/>
                    </w:rPr>
                    <w:noBreakHyphen/>
                  </w:r>
                  <w:r w:rsidRPr="003F29B4">
                    <w:rPr>
                      <w:rFonts w:asciiTheme="minorHAnsi" w:hAnsiTheme="minorHAnsi" w:cstheme="minorHAnsi"/>
                      <w:szCs w:val="18"/>
                    </w:rPr>
                    <w:t>24</w:t>
                  </w:r>
                </w:p>
              </w:tc>
              <w:tc>
                <w:tcPr>
                  <w:tcW w:w="557" w:type="pct"/>
                  <w:tcBorders>
                    <w:top w:val="nil"/>
                    <w:left w:val="nil"/>
                    <w:bottom w:val="nil"/>
                    <w:right w:val="nil"/>
                  </w:tcBorders>
                  <w:shd w:val="clear" w:color="auto" w:fill="auto"/>
                  <w:vAlign w:val="bottom"/>
                </w:tcPr>
                <w:p w14:paraId="7954C473"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0.81</w:t>
                  </w:r>
                </w:p>
              </w:tc>
              <w:tc>
                <w:tcPr>
                  <w:tcW w:w="557" w:type="pct"/>
                  <w:tcBorders>
                    <w:top w:val="nil"/>
                    <w:left w:val="nil"/>
                    <w:bottom w:val="nil"/>
                    <w:right w:val="nil"/>
                  </w:tcBorders>
                  <w:shd w:val="clear" w:color="auto" w:fill="auto"/>
                  <w:vAlign w:val="bottom"/>
                </w:tcPr>
                <w:p w14:paraId="7954C474"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0.93</w:t>
                  </w:r>
                </w:p>
              </w:tc>
              <w:tc>
                <w:tcPr>
                  <w:tcW w:w="556" w:type="pct"/>
                  <w:tcBorders>
                    <w:top w:val="nil"/>
                    <w:left w:val="nil"/>
                    <w:bottom w:val="nil"/>
                    <w:right w:val="nil"/>
                  </w:tcBorders>
                  <w:shd w:val="clear" w:color="auto" w:fill="auto"/>
                  <w:vAlign w:val="bottom"/>
                </w:tcPr>
                <w:p w14:paraId="7954C475"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1.14</w:t>
                  </w:r>
                </w:p>
              </w:tc>
              <w:tc>
                <w:tcPr>
                  <w:tcW w:w="556" w:type="pct"/>
                  <w:tcBorders>
                    <w:top w:val="nil"/>
                    <w:left w:val="nil"/>
                    <w:bottom w:val="nil"/>
                    <w:right w:val="nil"/>
                  </w:tcBorders>
                  <w:shd w:val="clear" w:color="auto" w:fill="auto"/>
                  <w:vAlign w:val="bottom"/>
                </w:tcPr>
                <w:p w14:paraId="7954C476"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0.70</w:t>
                  </w:r>
                </w:p>
              </w:tc>
              <w:tc>
                <w:tcPr>
                  <w:tcW w:w="555" w:type="pct"/>
                  <w:tcBorders>
                    <w:top w:val="nil"/>
                    <w:left w:val="nil"/>
                    <w:bottom w:val="nil"/>
                    <w:right w:val="nil"/>
                  </w:tcBorders>
                  <w:shd w:val="clear" w:color="auto" w:fill="auto"/>
                  <w:vAlign w:val="bottom"/>
                </w:tcPr>
                <w:p w14:paraId="7954C477"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1.39</w:t>
                  </w:r>
                </w:p>
              </w:tc>
              <w:tc>
                <w:tcPr>
                  <w:tcW w:w="555" w:type="pct"/>
                  <w:tcBorders>
                    <w:top w:val="nil"/>
                    <w:left w:val="nil"/>
                    <w:bottom w:val="nil"/>
                    <w:right w:val="nil"/>
                  </w:tcBorders>
                  <w:shd w:val="clear" w:color="auto" w:fill="auto"/>
                  <w:vAlign w:val="bottom"/>
                </w:tcPr>
                <w:p w14:paraId="7954C478"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1.75</w:t>
                  </w:r>
                </w:p>
              </w:tc>
              <w:tc>
                <w:tcPr>
                  <w:tcW w:w="555" w:type="pct"/>
                  <w:tcBorders>
                    <w:top w:val="nil"/>
                    <w:left w:val="nil"/>
                    <w:bottom w:val="nil"/>
                    <w:right w:val="nil"/>
                  </w:tcBorders>
                  <w:shd w:val="clear" w:color="auto" w:fill="auto"/>
                  <w:vAlign w:val="bottom"/>
                </w:tcPr>
                <w:p w14:paraId="7954C479"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1.16</w:t>
                  </w:r>
                </w:p>
              </w:tc>
              <w:tc>
                <w:tcPr>
                  <w:tcW w:w="553" w:type="pct"/>
                  <w:tcBorders>
                    <w:top w:val="nil"/>
                    <w:left w:val="nil"/>
                    <w:bottom w:val="nil"/>
                    <w:right w:val="nil"/>
                  </w:tcBorders>
                  <w:shd w:val="clear" w:color="auto" w:fill="auto"/>
                  <w:vAlign w:val="bottom"/>
                </w:tcPr>
                <w:p w14:paraId="7954C47A" w14:textId="77777777" w:rsidR="00F05DC7" w:rsidRPr="003F29B4" w:rsidRDefault="00F05DC7" w:rsidP="00A3786D">
                  <w:pPr>
                    <w:pStyle w:val="TableBodyText"/>
                    <w:ind w:right="28"/>
                    <w:rPr>
                      <w:rFonts w:asciiTheme="minorHAnsi" w:hAnsiTheme="minorHAnsi" w:cstheme="minorHAnsi"/>
                      <w:szCs w:val="18"/>
                    </w:rPr>
                  </w:pPr>
                  <w:r w:rsidRPr="003F29B4">
                    <w:rPr>
                      <w:rFonts w:asciiTheme="minorHAnsi" w:hAnsiTheme="minorHAnsi" w:cstheme="minorHAnsi"/>
                      <w:color w:val="000000"/>
                      <w:szCs w:val="18"/>
                    </w:rPr>
                    <w:t>4.86</w:t>
                  </w:r>
                </w:p>
              </w:tc>
            </w:tr>
            <w:tr w:rsidR="00F05DC7" w14:paraId="7954C485" w14:textId="77777777" w:rsidTr="00A3786D">
              <w:tc>
                <w:tcPr>
                  <w:tcW w:w="556" w:type="pct"/>
                </w:tcPr>
                <w:p w14:paraId="7954C47C" w14:textId="77777777" w:rsidR="00F05DC7" w:rsidRPr="003F29B4" w:rsidRDefault="00F05DC7" w:rsidP="00A3786D">
                  <w:pPr>
                    <w:pStyle w:val="TableBodyText"/>
                    <w:jc w:val="left"/>
                    <w:rPr>
                      <w:rFonts w:asciiTheme="minorHAnsi" w:hAnsiTheme="minorHAnsi" w:cstheme="minorHAnsi"/>
                      <w:szCs w:val="18"/>
                    </w:rPr>
                  </w:pPr>
                  <w:r w:rsidRPr="003F29B4">
                    <w:rPr>
                      <w:rFonts w:asciiTheme="minorHAnsi" w:hAnsiTheme="minorHAnsi" w:cstheme="minorHAnsi"/>
                      <w:szCs w:val="18"/>
                    </w:rPr>
                    <w:t>2024</w:t>
                  </w:r>
                  <w:r>
                    <w:rPr>
                      <w:rFonts w:asciiTheme="minorHAnsi" w:hAnsiTheme="minorHAnsi" w:cstheme="minorHAnsi"/>
                      <w:szCs w:val="18"/>
                    </w:rPr>
                    <w:noBreakHyphen/>
                  </w:r>
                  <w:r w:rsidRPr="003F29B4">
                    <w:rPr>
                      <w:rFonts w:asciiTheme="minorHAnsi" w:hAnsiTheme="minorHAnsi" w:cstheme="minorHAnsi"/>
                      <w:szCs w:val="18"/>
                    </w:rPr>
                    <w:t>25</w:t>
                  </w:r>
                </w:p>
              </w:tc>
              <w:tc>
                <w:tcPr>
                  <w:tcW w:w="557" w:type="pct"/>
                  <w:tcBorders>
                    <w:top w:val="nil"/>
                    <w:left w:val="nil"/>
                    <w:bottom w:val="nil"/>
                    <w:right w:val="nil"/>
                  </w:tcBorders>
                  <w:shd w:val="clear" w:color="auto" w:fill="auto"/>
                  <w:vAlign w:val="bottom"/>
                </w:tcPr>
                <w:p w14:paraId="7954C47D"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0.82</w:t>
                  </w:r>
                </w:p>
              </w:tc>
              <w:tc>
                <w:tcPr>
                  <w:tcW w:w="557" w:type="pct"/>
                  <w:tcBorders>
                    <w:top w:val="nil"/>
                    <w:left w:val="nil"/>
                    <w:bottom w:val="nil"/>
                    <w:right w:val="nil"/>
                  </w:tcBorders>
                  <w:shd w:val="clear" w:color="auto" w:fill="auto"/>
                  <w:vAlign w:val="bottom"/>
                </w:tcPr>
                <w:p w14:paraId="7954C47E"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0.92</w:t>
                  </w:r>
                </w:p>
              </w:tc>
              <w:tc>
                <w:tcPr>
                  <w:tcW w:w="556" w:type="pct"/>
                  <w:tcBorders>
                    <w:top w:val="nil"/>
                    <w:left w:val="nil"/>
                    <w:bottom w:val="nil"/>
                    <w:right w:val="nil"/>
                  </w:tcBorders>
                  <w:shd w:val="clear" w:color="auto" w:fill="auto"/>
                  <w:vAlign w:val="bottom"/>
                </w:tcPr>
                <w:p w14:paraId="7954C47F"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1.12</w:t>
                  </w:r>
                </w:p>
              </w:tc>
              <w:tc>
                <w:tcPr>
                  <w:tcW w:w="556" w:type="pct"/>
                  <w:tcBorders>
                    <w:top w:val="nil"/>
                    <w:left w:val="nil"/>
                    <w:bottom w:val="nil"/>
                    <w:right w:val="nil"/>
                  </w:tcBorders>
                  <w:shd w:val="clear" w:color="auto" w:fill="auto"/>
                  <w:vAlign w:val="bottom"/>
                </w:tcPr>
                <w:p w14:paraId="7954C480"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0.73</w:t>
                  </w:r>
                </w:p>
              </w:tc>
              <w:tc>
                <w:tcPr>
                  <w:tcW w:w="555" w:type="pct"/>
                  <w:tcBorders>
                    <w:top w:val="nil"/>
                    <w:left w:val="nil"/>
                    <w:bottom w:val="nil"/>
                    <w:right w:val="nil"/>
                  </w:tcBorders>
                  <w:shd w:val="clear" w:color="auto" w:fill="auto"/>
                  <w:vAlign w:val="bottom"/>
                </w:tcPr>
                <w:p w14:paraId="7954C481"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1.39</w:t>
                  </w:r>
                </w:p>
              </w:tc>
              <w:tc>
                <w:tcPr>
                  <w:tcW w:w="555" w:type="pct"/>
                  <w:tcBorders>
                    <w:top w:val="nil"/>
                    <w:left w:val="nil"/>
                    <w:bottom w:val="nil"/>
                    <w:right w:val="nil"/>
                  </w:tcBorders>
                  <w:shd w:val="clear" w:color="auto" w:fill="auto"/>
                  <w:vAlign w:val="bottom"/>
                </w:tcPr>
                <w:p w14:paraId="7954C482"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1.75</w:t>
                  </w:r>
                </w:p>
              </w:tc>
              <w:tc>
                <w:tcPr>
                  <w:tcW w:w="555" w:type="pct"/>
                  <w:tcBorders>
                    <w:top w:val="nil"/>
                    <w:left w:val="nil"/>
                    <w:bottom w:val="nil"/>
                    <w:right w:val="nil"/>
                  </w:tcBorders>
                  <w:shd w:val="clear" w:color="auto" w:fill="auto"/>
                  <w:vAlign w:val="bottom"/>
                </w:tcPr>
                <w:p w14:paraId="7954C483"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1.16</w:t>
                  </w:r>
                </w:p>
              </w:tc>
              <w:tc>
                <w:tcPr>
                  <w:tcW w:w="553" w:type="pct"/>
                  <w:tcBorders>
                    <w:top w:val="nil"/>
                    <w:left w:val="nil"/>
                    <w:bottom w:val="nil"/>
                    <w:right w:val="nil"/>
                  </w:tcBorders>
                  <w:shd w:val="clear" w:color="auto" w:fill="auto"/>
                  <w:vAlign w:val="bottom"/>
                </w:tcPr>
                <w:p w14:paraId="7954C484" w14:textId="77777777" w:rsidR="00F05DC7" w:rsidRPr="003F29B4" w:rsidRDefault="00F05DC7" w:rsidP="00A3786D">
                  <w:pPr>
                    <w:pStyle w:val="TableBodyText"/>
                    <w:ind w:right="28"/>
                    <w:rPr>
                      <w:rFonts w:asciiTheme="minorHAnsi" w:hAnsiTheme="minorHAnsi" w:cstheme="minorHAnsi"/>
                      <w:szCs w:val="18"/>
                    </w:rPr>
                  </w:pPr>
                  <w:r w:rsidRPr="003F29B4">
                    <w:rPr>
                      <w:rFonts w:asciiTheme="minorHAnsi" w:hAnsiTheme="minorHAnsi" w:cstheme="minorHAnsi"/>
                      <w:color w:val="000000"/>
                      <w:szCs w:val="18"/>
                    </w:rPr>
                    <w:t>4.88</w:t>
                  </w:r>
                </w:p>
              </w:tc>
            </w:tr>
            <w:tr w:rsidR="00F05DC7" w14:paraId="7954C48F" w14:textId="77777777" w:rsidTr="00A3786D">
              <w:tc>
                <w:tcPr>
                  <w:tcW w:w="556" w:type="pct"/>
                </w:tcPr>
                <w:p w14:paraId="7954C486" w14:textId="77777777" w:rsidR="00F05DC7" w:rsidRPr="003F29B4" w:rsidRDefault="00F05DC7" w:rsidP="00A3786D">
                  <w:pPr>
                    <w:pStyle w:val="TableBodyText"/>
                    <w:jc w:val="left"/>
                    <w:rPr>
                      <w:rFonts w:asciiTheme="minorHAnsi" w:hAnsiTheme="minorHAnsi" w:cstheme="minorHAnsi"/>
                      <w:szCs w:val="18"/>
                    </w:rPr>
                  </w:pPr>
                  <w:r w:rsidRPr="003F29B4">
                    <w:rPr>
                      <w:rFonts w:asciiTheme="minorHAnsi" w:hAnsiTheme="minorHAnsi" w:cstheme="minorHAnsi"/>
                      <w:szCs w:val="18"/>
                    </w:rPr>
                    <w:t>2025</w:t>
                  </w:r>
                  <w:r>
                    <w:rPr>
                      <w:rFonts w:asciiTheme="minorHAnsi" w:hAnsiTheme="minorHAnsi" w:cstheme="minorHAnsi"/>
                      <w:szCs w:val="18"/>
                    </w:rPr>
                    <w:noBreakHyphen/>
                  </w:r>
                  <w:r w:rsidRPr="003F29B4">
                    <w:rPr>
                      <w:rFonts w:asciiTheme="minorHAnsi" w:hAnsiTheme="minorHAnsi" w:cstheme="minorHAnsi"/>
                      <w:szCs w:val="18"/>
                    </w:rPr>
                    <w:t>26</w:t>
                  </w:r>
                </w:p>
              </w:tc>
              <w:tc>
                <w:tcPr>
                  <w:tcW w:w="557" w:type="pct"/>
                  <w:tcBorders>
                    <w:top w:val="nil"/>
                    <w:left w:val="nil"/>
                    <w:bottom w:val="nil"/>
                    <w:right w:val="nil"/>
                  </w:tcBorders>
                  <w:shd w:val="clear" w:color="auto" w:fill="auto"/>
                  <w:vAlign w:val="bottom"/>
                </w:tcPr>
                <w:p w14:paraId="7954C487"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0.82</w:t>
                  </w:r>
                </w:p>
              </w:tc>
              <w:tc>
                <w:tcPr>
                  <w:tcW w:w="557" w:type="pct"/>
                  <w:tcBorders>
                    <w:top w:val="nil"/>
                    <w:left w:val="nil"/>
                    <w:bottom w:val="nil"/>
                    <w:right w:val="nil"/>
                  </w:tcBorders>
                  <w:shd w:val="clear" w:color="auto" w:fill="auto"/>
                  <w:vAlign w:val="bottom"/>
                </w:tcPr>
                <w:p w14:paraId="7954C488"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0.91</w:t>
                  </w:r>
                </w:p>
              </w:tc>
              <w:tc>
                <w:tcPr>
                  <w:tcW w:w="556" w:type="pct"/>
                  <w:tcBorders>
                    <w:top w:val="nil"/>
                    <w:left w:val="nil"/>
                    <w:bottom w:val="nil"/>
                    <w:right w:val="nil"/>
                  </w:tcBorders>
                  <w:shd w:val="clear" w:color="auto" w:fill="auto"/>
                  <w:vAlign w:val="bottom"/>
                </w:tcPr>
                <w:p w14:paraId="7954C489"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1.12</w:t>
                  </w:r>
                </w:p>
              </w:tc>
              <w:tc>
                <w:tcPr>
                  <w:tcW w:w="556" w:type="pct"/>
                  <w:tcBorders>
                    <w:top w:val="nil"/>
                    <w:left w:val="nil"/>
                    <w:bottom w:val="nil"/>
                    <w:right w:val="nil"/>
                  </w:tcBorders>
                  <w:shd w:val="clear" w:color="auto" w:fill="auto"/>
                  <w:vAlign w:val="bottom"/>
                </w:tcPr>
                <w:p w14:paraId="7954C48A"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0.75</w:t>
                  </w:r>
                </w:p>
              </w:tc>
              <w:tc>
                <w:tcPr>
                  <w:tcW w:w="555" w:type="pct"/>
                  <w:tcBorders>
                    <w:top w:val="nil"/>
                    <w:left w:val="nil"/>
                    <w:bottom w:val="nil"/>
                    <w:right w:val="nil"/>
                  </w:tcBorders>
                  <w:shd w:val="clear" w:color="auto" w:fill="auto"/>
                  <w:vAlign w:val="bottom"/>
                </w:tcPr>
                <w:p w14:paraId="7954C48B"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1.39</w:t>
                  </w:r>
                </w:p>
              </w:tc>
              <w:tc>
                <w:tcPr>
                  <w:tcW w:w="555" w:type="pct"/>
                  <w:tcBorders>
                    <w:top w:val="nil"/>
                    <w:left w:val="nil"/>
                    <w:bottom w:val="nil"/>
                    <w:right w:val="nil"/>
                  </w:tcBorders>
                  <w:shd w:val="clear" w:color="auto" w:fill="auto"/>
                  <w:vAlign w:val="bottom"/>
                </w:tcPr>
                <w:p w14:paraId="7954C48C"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1.75</w:t>
                  </w:r>
                </w:p>
              </w:tc>
              <w:tc>
                <w:tcPr>
                  <w:tcW w:w="555" w:type="pct"/>
                  <w:tcBorders>
                    <w:top w:val="nil"/>
                    <w:left w:val="nil"/>
                    <w:bottom w:val="nil"/>
                    <w:right w:val="nil"/>
                  </w:tcBorders>
                  <w:shd w:val="clear" w:color="auto" w:fill="auto"/>
                  <w:vAlign w:val="bottom"/>
                </w:tcPr>
                <w:p w14:paraId="7954C48D"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1.17</w:t>
                  </w:r>
                </w:p>
              </w:tc>
              <w:tc>
                <w:tcPr>
                  <w:tcW w:w="553" w:type="pct"/>
                  <w:tcBorders>
                    <w:top w:val="nil"/>
                    <w:left w:val="nil"/>
                    <w:bottom w:val="nil"/>
                    <w:right w:val="nil"/>
                  </w:tcBorders>
                  <w:shd w:val="clear" w:color="auto" w:fill="auto"/>
                  <w:vAlign w:val="bottom"/>
                </w:tcPr>
                <w:p w14:paraId="7954C48E" w14:textId="77777777" w:rsidR="00F05DC7" w:rsidRPr="003F29B4" w:rsidRDefault="00F05DC7" w:rsidP="00A3786D">
                  <w:pPr>
                    <w:pStyle w:val="TableBodyText"/>
                    <w:ind w:right="28"/>
                    <w:rPr>
                      <w:rFonts w:asciiTheme="minorHAnsi" w:hAnsiTheme="minorHAnsi" w:cstheme="minorHAnsi"/>
                      <w:szCs w:val="18"/>
                    </w:rPr>
                  </w:pPr>
                  <w:r w:rsidRPr="003F29B4">
                    <w:rPr>
                      <w:rFonts w:asciiTheme="minorHAnsi" w:hAnsiTheme="minorHAnsi" w:cstheme="minorHAnsi"/>
                      <w:color w:val="000000"/>
                      <w:szCs w:val="18"/>
                    </w:rPr>
                    <w:t>4.90</w:t>
                  </w:r>
                </w:p>
              </w:tc>
            </w:tr>
            <w:tr w:rsidR="00F05DC7" w14:paraId="7954C499" w14:textId="77777777" w:rsidTr="00A3786D">
              <w:tc>
                <w:tcPr>
                  <w:tcW w:w="556" w:type="pct"/>
                  <w:tcBorders>
                    <w:bottom w:val="single" w:sz="6" w:space="0" w:color="D9D9D9" w:themeColor="background1" w:themeShade="D9"/>
                  </w:tcBorders>
                </w:tcPr>
                <w:p w14:paraId="7954C490" w14:textId="77777777" w:rsidR="00F05DC7" w:rsidRPr="003F29B4" w:rsidRDefault="00F05DC7" w:rsidP="00A3786D">
                  <w:pPr>
                    <w:pStyle w:val="TableBodyText"/>
                    <w:jc w:val="left"/>
                    <w:rPr>
                      <w:rFonts w:asciiTheme="minorHAnsi" w:hAnsiTheme="minorHAnsi" w:cstheme="minorHAnsi"/>
                      <w:szCs w:val="18"/>
                    </w:rPr>
                  </w:pPr>
                  <w:r w:rsidRPr="003F29B4">
                    <w:rPr>
                      <w:rFonts w:asciiTheme="minorHAnsi" w:hAnsiTheme="minorHAnsi" w:cstheme="minorHAnsi"/>
                      <w:szCs w:val="18"/>
                    </w:rPr>
                    <w:t>2026</w:t>
                  </w:r>
                  <w:r>
                    <w:rPr>
                      <w:rFonts w:asciiTheme="minorHAnsi" w:hAnsiTheme="minorHAnsi" w:cstheme="minorHAnsi"/>
                      <w:szCs w:val="18"/>
                    </w:rPr>
                    <w:noBreakHyphen/>
                  </w:r>
                  <w:r w:rsidRPr="003F29B4">
                    <w:rPr>
                      <w:rFonts w:asciiTheme="minorHAnsi" w:hAnsiTheme="minorHAnsi" w:cstheme="minorHAnsi"/>
                      <w:szCs w:val="18"/>
                    </w:rPr>
                    <w:t>27</w:t>
                  </w:r>
                </w:p>
              </w:tc>
              <w:tc>
                <w:tcPr>
                  <w:tcW w:w="557" w:type="pct"/>
                  <w:tcBorders>
                    <w:top w:val="nil"/>
                    <w:left w:val="nil"/>
                    <w:bottom w:val="single" w:sz="6" w:space="0" w:color="D9D9D9" w:themeColor="background1" w:themeShade="D9"/>
                    <w:right w:val="nil"/>
                  </w:tcBorders>
                  <w:shd w:val="clear" w:color="auto" w:fill="auto"/>
                  <w:vAlign w:val="bottom"/>
                </w:tcPr>
                <w:p w14:paraId="7954C491"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0.83</w:t>
                  </w:r>
                </w:p>
              </w:tc>
              <w:tc>
                <w:tcPr>
                  <w:tcW w:w="557" w:type="pct"/>
                  <w:tcBorders>
                    <w:top w:val="nil"/>
                    <w:left w:val="nil"/>
                    <w:bottom w:val="single" w:sz="6" w:space="0" w:color="D9D9D9" w:themeColor="background1" w:themeShade="D9"/>
                    <w:right w:val="nil"/>
                  </w:tcBorders>
                  <w:shd w:val="clear" w:color="auto" w:fill="auto"/>
                  <w:vAlign w:val="bottom"/>
                </w:tcPr>
                <w:p w14:paraId="7954C492"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0.91</w:t>
                  </w:r>
                </w:p>
              </w:tc>
              <w:tc>
                <w:tcPr>
                  <w:tcW w:w="556" w:type="pct"/>
                  <w:tcBorders>
                    <w:top w:val="nil"/>
                    <w:left w:val="nil"/>
                    <w:bottom w:val="single" w:sz="6" w:space="0" w:color="D9D9D9" w:themeColor="background1" w:themeShade="D9"/>
                    <w:right w:val="nil"/>
                  </w:tcBorders>
                  <w:shd w:val="clear" w:color="auto" w:fill="auto"/>
                  <w:vAlign w:val="bottom"/>
                </w:tcPr>
                <w:p w14:paraId="7954C493"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1.11</w:t>
                  </w:r>
                </w:p>
              </w:tc>
              <w:tc>
                <w:tcPr>
                  <w:tcW w:w="556" w:type="pct"/>
                  <w:tcBorders>
                    <w:top w:val="nil"/>
                    <w:left w:val="nil"/>
                    <w:bottom w:val="single" w:sz="6" w:space="0" w:color="D9D9D9" w:themeColor="background1" w:themeShade="D9"/>
                    <w:right w:val="nil"/>
                  </w:tcBorders>
                  <w:shd w:val="clear" w:color="auto" w:fill="auto"/>
                  <w:vAlign w:val="bottom"/>
                </w:tcPr>
                <w:p w14:paraId="7954C494"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0.76</w:t>
                  </w:r>
                </w:p>
              </w:tc>
              <w:tc>
                <w:tcPr>
                  <w:tcW w:w="555" w:type="pct"/>
                  <w:tcBorders>
                    <w:top w:val="nil"/>
                    <w:left w:val="nil"/>
                    <w:bottom w:val="single" w:sz="6" w:space="0" w:color="D9D9D9" w:themeColor="background1" w:themeShade="D9"/>
                    <w:right w:val="nil"/>
                  </w:tcBorders>
                  <w:shd w:val="clear" w:color="auto" w:fill="auto"/>
                  <w:vAlign w:val="bottom"/>
                </w:tcPr>
                <w:p w14:paraId="7954C495"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1.38</w:t>
                  </w:r>
                </w:p>
              </w:tc>
              <w:tc>
                <w:tcPr>
                  <w:tcW w:w="555" w:type="pct"/>
                  <w:tcBorders>
                    <w:top w:val="nil"/>
                    <w:left w:val="nil"/>
                    <w:bottom w:val="single" w:sz="6" w:space="0" w:color="D9D9D9" w:themeColor="background1" w:themeShade="D9"/>
                    <w:right w:val="nil"/>
                  </w:tcBorders>
                  <w:shd w:val="clear" w:color="auto" w:fill="auto"/>
                  <w:vAlign w:val="bottom"/>
                </w:tcPr>
                <w:p w14:paraId="7954C496"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1.75</w:t>
                  </w:r>
                </w:p>
              </w:tc>
              <w:tc>
                <w:tcPr>
                  <w:tcW w:w="555" w:type="pct"/>
                  <w:tcBorders>
                    <w:top w:val="nil"/>
                    <w:left w:val="nil"/>
                    <w:bottom w:val="single" w:sz="6" w:space="0" w:color="D9D9D9" w:themeColor="background1" w:themeShade="D9"/>
                    <w:right w:val="nil"/>
                  </w:tcBorders>
                  <w:shd w:val="clear" w:color="auto" w:fill="auto"/>
                  <w:vAlign w:val="bottom"/>
                </w:tcPr>
                <w:p w14:paraId="7954C497" w14:textId="77777777" w:rsidR="00F05DC7" w:rsidRPr="003F29B4" w:rsidRDefault="00F05DC7" w:rsidP="00A3786D">
                  <w:pPr>
                    <w:pStyle w:val="TableBodyText"/>
                    <w:rPr>
                      <w:rFonts w:asciiTheme="minorHAnsi" w:hAnsiTheme="minorHAnsi" w:cstheme="minorHAnsi"/>
                      <w:szCs w:val="18"/>
                    </w:rPr>
                  </w:pPr>
                  <w:r w:rsidRPr="003F29B4">
                    <w:rPr>
                      <w:rFonts w:asciiTheme="minorHAnsi" w:hAnsiTheme="minorHAnsi" w:cstheme="minorHAnsi"/>
                      <w:color w:val="000000"/>
                      <w:szCs w:val="18"/>
                    </w:rPr>
                    <w:t>1.18</w:t>
                  </w:r>
                </w:p>
              </w:tc>
              <w:tc>
                <w:tcPr>
                  <w:tcW w:w="553" w:type="pct"/>
                  <w:tcBorders>
                    <w:top w:val="nil"/>
                    <w:left w:val="nil"/>
                    <w:bottom w:val="single" w:sz="6" w:space="0" w:color="D9D9D9" w:themeColor="background1" w:themeShade="D9"/>
                    <w:right w:val="nil"/>
                  </w:tcBorders>
                  <w:shd w:val="clear" w:color="auto" w:fill="auto"/>
                  <w:vAlign w:val="bottom"/>
                </w:tcPr>
                <w:p w14:paraId="7954C498" w14:textId="77777777" w:rsidR="00F05DC7" w:rsidRPr="003F29B4" w:rsidRDefault="00F05DC7" w:rsidP="00A3786D">
                  <w:pPr>
                    <w:pStyle w:val="TableBodyText"/>
                    <w:ind w:right="28"/>
                    <w:rPr>
                      <w:rFonts w:asciiTheme="minorHAnsi" w:hAnsiTheme="minorHAnsi" w:cstheme="minorHAnsi"/>
                      <w:szCs w:val="18"/>
                    </w:rPr>
                  </w:pPr>
                  <w:r w:rsidRPr="003F29B4">
                    <w:rPr>
                      <w:rFonts w:asciiTheme="minorHAnsi" w:hAnsiTheme="minorHAnsi" w:cstheme="minorHAnsi"/>
                      <w:color w:val="000000"/>
                      <w:szCs w:val="18"/>
                    </w:rPr>
                    <w:t>4.91</w:t>
                  </w:r>
                </w:p>
              </w:tc>
            </w:tr>
          </w:tbl>
          <w:p w14:paraId="7954C49A" w14:textId="77777777" w:rsidR="00F05DC7" w:rsidRDefault="00F05DC7" w:rsidP="00A3786D">
            <w:pPr>
              <w:pStyle w:val="Box"/>
            </w:pPr>
          </w:p>
        </w:tc>
      </w:tr>
      <w:tr w:rsidR="00F05DC7" w14:paraId="7954C49D" w14:textId="77777777" w:rsidTr="00A3786D">
        <w:tc>
          <w:tcPr>
            <w:tcW w:w="5000" w:type="pct"/>
            <w:tcBorders>
              <w:top w:val="nil"/>
              <w:left w:val="nil"/>
              <w:bottom w:val="nil"/>
              <w:right w:val="nil"/>
            </w:tcBorders>
            <w:shd w:val="clear" w:color="auto" w:fill="auto"/>
          </w:tcPr>
          <w:p w14:paraId="7954C49C" w14:textId="24529F91" w:rsidR="00F05DC7" w:rsidRDefault="00F05DC7">
            <w:pPr>
              <w:pStyle w:val="Source"/>
            </w:pPr>
            <w:r>
              <w:rPr>
                <w:i/>
              </w:rPr>
              <w:t>Sources</w:t>
            </w:r>
            <w:r w:rsidRPr="00167F06">
              <w:t>:</w:t>
            </w:r>
            <w:r>
              <w:t xml:space="preserve"> CGC </w:t>
            </w:r>
            <w:r w:rsidR="009D6331" w:rsidRPr="009D6331">
              <w:rPr>
                <w:rFonts w:cs="Arial"/>
              </w:rPr>
              <w:t>(2018g)</w:t>
            </w:r>
            <w:r w:rsidR="002E1D11">
              <w:t>;</w:t>
            </w:r>
            <w:r w:rsidRPr="00167F06">
              <w:t xml:space="preserve"> </w:t>
            </w:r>
            <w:r>
              <w:t>Productivity Commission estimates based on data provided by State Treasuries (confidential).</w:t>
            </w:r>
          </w:p>
        </w:tc>
      </w:tr>
      <w:tr w:rsidR="00F05DC7" w14:paraId="7954C49F" w14:textId="77777777" w:rsidTr="00A3786D">
        <w:tc>
          <w:tcPr>
            <w:tcW w:w="5000" w:type="pct"/>
            <w:tcBorders>
              <w:top w:val="nil"/>
              <w:left w:val="nil"/>
              <w:bottom w:val="single" w:sz="6" w:space="0" w:color="78A22F"/>
              <w:right w:val="nil"/>
            </w:tcBorders>
            <w:shd w:val="clear" w:color="auto" w:fill="auto"/>
          </w:tcPr>
          <w:p w14:paraId="7954C49E" w14:textId="77777777" w:rsidR="00F05DC7" w:rsidRDefault="00F05DC7" w:rsidP="00A3786D">
            <w:pPr>
              <w:pStyle w:val="Box"/>
              <w:spacing w:before="0" w:line="120" w:lineRule="exact"/>
            </w:pPr>
          </w:p>
        </w:tc>
      </w:tr>
      <w:tr w:rsidR="00F05DC7" w:rsidRPr="000863A5" w14:paraId="7954C4A1" w14:textId="77777777" w:rsidTr="00A3786D">
        <w:tc>
          <w:tcPr>
            <w:tcW w:w="5000" w:type="pct"/>
            <w:tcBorders>
              <w:top w:val="single" w:sz="6" w:space="0" w:color="78A22F"/>
              <w:left w:val="nil"/>
              <w:bottom w:val="nil"/>
              <w:right w:val="nil"/>
            </w:tcBorders>
          </w:tcPr>
          <w:p w14:paraId="7954C4A0" w14:textId="77777777" w:rsidR="00F05DC7" w:rsidRPr="00626D32" w:rsidRDefault="00F05DC7" w:rsidP="00A3786D">
            <w:pPr>
              <w:pStyle w:val="BoxSpaceBelow"/>
            </w:pPr>
          </w:p>
        </w:tc>
      </w:tr>
    </w:tbl>
    <w:p w14:paraId="7954C4A2"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4A5" w14:textId="77777777" w:rsidTr="00A3786D">
        <w:trPr>
          <w:tblHeader/>
        </w:trPr>
        <w:tc>
          <w:tcPr>
            <w:tcW w:w="5000" w:type="pct"/>
            <w:tcBorders>
              <w:top w:val="single" w:sz="6" w:space="0" w:color="78A22F"/>
              <w:left w:val="nil"/>
              <w:bottom w:val="nil"/>
              <w:right w:val="nil"/>
            </w:tcBorders>
            <w:shd w:val="clear" w:color="auto" w:fill="auto"/>
          </w:tcPr>
          <w:p w14:paraId="7954C4A3" w14:textId="2451C37E" w:rsidR="00F05DC7" w:rsidRDefault="00F05DC7" w:rsidP="00A3786D">
            <w:pPr>
              <w:pStyle w:val="FigureTitle"/>
            </w:pPr>
            <w:r w:rsidRPr="00784A05">
              <w:rPr>
                <w:b w:val="0"/>
              </w:rPr>
              <w:t xml:space="preserve">Figure </w:t>
            </w:r>
            <w:r>
              <w:rPr>
                <w:b w:val="0"/>
              </w:rPr>
              <w:t>F.2</w:t>
            </w:r>
            <w:r>
              <w:tab/>
              <w:t>Current benchmark: historical and projected State relativities</w:t>
            </w:r>
          </w:p>
          <w:p w14:paraId="7954C4A4" w14:textId="77777777" w:rsidR="00F05DC7" w:rsidRPr="00176D3F" w:rsidRDefault="00F05DC7" w:rsidP="00A3786D">
            <w:pPr>
              <w:pStyle w:val="Subtitle"/>
            </w:pPr>
            <w:r>
              <w:t>Best estimate scenario, 2000</w:t>
            </w:r>
            <w:r>
              <w:noBreakHyphen/>
              <w:t>01 to 2026</w:t>
            </w:r>
            <w:r>
              <w:noBreakHyphen/>
              <w:t>27</w:t>
            </w:r>
          </w:p>
        </w:tc>
      </w:tr>
      <w:tr w:rsidR="00F05DC7" w14:paraId="7954C4A9"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C4A7" w14:textId="77777777" w:rsidTr="00A3786D">
              <w:trPr>
                <w:tblHeader/>
                <w:jc w:val="center"/>
              </w:trPr>
              <w:tc>
                <w:tcPr>
                  <w:tcW w:w="5000" w:type="pct"/>
                  <w:tcBorders>
                    <w:top w:val="nil"/>
                    <w:bottom w:val="nil"/>
                  </w:tcBorders>
                </w:tcPr>
                <w:p w14:paraId="7954C4A6" w14:textId="77777777" w:rsidR="00F05DC7" w:rsidRPr="00B1465D" w:rsidRDefault="00F05DC7" w:rsidP="00A3786D">
                  <w:pPr>
                    <w:pStyle w:val="Figure"/>
                    <w:spacing w:before="60" w:after="60"/>
                    <w:rPr>
                      <w:rFonts w:ascii="Arial" w:hAnsi="Arial" w:cs="Arial"/>
                      <w:sz w:val="18"/>
                      <w:szCs w:val="18"/>
                    </w:rPr>
                  </w:pPr>
                  <w:r w:rsidRPr="000A2150">
                    <w:rPr>
                      <w:rFonts w:ascii="Arial" w:hAnsi="Arial" w:cs="Arial"/>
                      <w:noProof/>
                      <w:sz w:val="18"/>
                      <w:szCs w:val="18"/>
                    </w:rPr>
                    <w:drawing>
                      <wp:inline distT="0" distB="0" distL="0" distR="0" wp14:anchorId="7954D67B" wp14:editId="7954D67C">
                        <wp:extent cx="5401559" cy="7041515"/>
                        <wp:effectExtent l="0" t="0" r="8890" b="6985"/>
                        <wp:docPr id="126" name="Picture 126" descr="This figure shows historical (2000 to 2018) relativities and projected (2019 to 2027) GST relativities under the current methodology. Historical trends are: New South Wales’ and Victoria’s relativities staying broadly constant at about 0.9; Queensland’s relativity varying from about 1 in 2000, down to a low of about 0.9 in 2008/, and up to a high of about 1.2 in 2017; Western Australia’s relativity varying considerably from a high of about 1 between 2000 and 2004, before decreasing to a low of about 0.3 in 2016/17; South Australia’s relativity steadily increasing from about 1.18 in 2000 to about 1.5 in 2018; Tasmania’s relativity steadily increasing from about 1.5 in 2000 to about 1.8 in 2018; the ACT’s relativity show high volatility but around a central mean of about 1.5; and the NT’s relativity varying considerably between about 4 in 2000 to a high of about 5.6 in 2015 and back down to 4.25 in 2018. &#10;For projections, New South Wales’ relativity is projected to trend downwards to about 0.81 in 2021 before stabilising, Victoria’s is projected to peak at about 0.98 in 2019 before trending down to 0.90 in 2026, Queensland’s is projected to trend upwards to about 1.15 by 2022 before trending back down to about 1.1 by 2026, Western Australia’s is projected to climb steadily over the period from its current level of about 0.47 to about 0.45 by 2026, South Australia’s is projected to gradually decline to about 1.4 by 2026, Tasmania’s is projected to stay at about 1.75 over the period, the ACT’s is projected to decline to about 1.15 in 2022 before climbing back up to about 1.2, and the NT’s is projected to climb steadily from its current level up to a high of about 4.9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03839" cy="7044487"/>
                                </a:xfrm>
                                <a:prstGeom prst="rect">
                                  <a:avLst/>
                                </a:prstGeom>
                                <a:noFill/>
                                <a:ln>
                                  <a:noFill/>
                                </a:ln>
                              </pic:spPr>
                            </pic:pic>
                          </a:graphicData>
                        </a:graphic>
                      </wp:inline>
                    </w:drawing>
                  </w:r>
                </w:p>
              </w:tc>
            </w:tr>
          </w:tbl>
          <w:p w14:paraId="7954C4A8" w14:textId="77777777" w:rsidR="00F05DC7" w:rsidRDefault="00F05DC7" w:rsidP="00A3786D">
            <w:pPr>
              <w:pStyle w:val="Figure"/>
            </w:pPr>
          </w:p>
        </w:tc>
      </w:tr>
      <w:tr w:rsidR="00F05DC7" w:rsidRPr="00176D3F" w14:paraId="7954C4AB" w14:textId="77777777" w:rsidTr="00A3786D">
        <w:tc>
          <w:tcPr>
            <w:tcW w:w="5000" w:type="pct"/>
            <w:tcBorders>
              <w:top w:val="nil"/>
              <w:left w:val="nil"/>
              <w:bottom w:val="nil"/>
              <w:right w:val="nil"/>
            </w:tcBorders>
            <w:shd w:val="clear" w:color="auto" w:fill="auto"/>
          </w:tcPr>
          <w:p w14:paraId="7954C4AA" w14:textId="1B88BC40" w:rsidR="00F05DC7" w:rsidRPr="00176D3F" w:rsidRDefault="00F05DC7" w:rsidP="00A3786D">
            <w:pPr>
              <w:pStyle w:val="Source"/>
            </w:pPr>
            <w:r>
              <w:rPr>
                <w:i/>
              </w:rPr>
              <w:t>S</w:t>
            </w:r>
            <w:r w:rsidRPr="00784A05">
              <w:rPr>
                <w:i/>
              </w:rPr>
              <w:t>ource</w:t>
            </w:r>
            <w:r>
              <w:rPr>
                <w:i/>
              </w:rPr>
              <w:t>s</w:t>
            </w:r>
            <w:r w:rsidRPr="00176D3F">
              <w:t xml:space="preserve">: </w:t>
            </w:r>
            <w:r>
              <w:t xml:space="preserve">CGC </w:t>
            </w:r>
            <w:r w:rsidR="009D6331" w:rsidRPr="009D6331">
              <w:rPr>
                <w:rFonts w:cs="Arial"/>
              </w:rPr>
              <w:t>(2018g)</w:t>
            </w:r>
            <w:r w:rsidR="002E1D11">
              <w:t>;</w:t>
            </w:r>
            <w:r>
              <w:t xml:space="preserve"> table F.1.</w:t>
            </w:r>
          </w:p>
        </w:tc>
      </w:tr>
      <w:tr w:rsidR="00F05DC7" w14:paraId="7954C4AD" w14:textId="77777777" w:rsidTr="00A3786D">
        <w:tc>
          <w:tcPr>
            <w:tcW w:w="5000" w:type="pct"/>
            <w:tcBorders>
              <w:top w:val="nil"/>
              <w:left w:val="nil"/>
              <w:bottom w:val="single" w:sz="6" w:space="0" w:color="78A22F"/>
              <w:right w:val="nil"/>
            </w:tcBorders>
            <w:shd w:val="clear" w:color="auto" w:fill="auto"/>
          </w:tcPr>
          <w:p w14:paraId="7954C4AC" w14:textId="77777777" w:rsidR="00F05DC7" w:rsidRDefault="00F05DC7" w:rsidP="00A3786D">
            <w:pPr>
              <w:pStyle w:val="Figurespace"/>
            </w:pPr>
          </w:p>
        </w:tc>
      </w:tr>
      <w:tr w:rsidR="00F05DC7" w:rsidRPr="000863A5" w14:paraId="7954C4AF" w14:textId="77777777" w:rsidTr="00A3786D">
        <w:tc>
          <w:tcPr>
            <w:tcW w:w="5000" w:type="pct"/>
            <w:tcBorders>
              <w:top w:val="single" w:sz="6" w:space="0" w:color="78A22F"/>
              <w:left w:val="nil"/>
              <w:bottom w:val="nil"/>
              <w:right w:val="nil"/>
            </w:tcBorders>
          </w:tcPr>
          <w:p w14:paraId="7954C4AE" w14:textId="77777777" w:rsidR="00F05DC7" w:rsidRPr="00626D32" w:rsidRDefault="00F05DC7" w:rsidP="00A3786D">
            <w:pPr>
              <w:pStyle w:val="BoxSpaceBelow"/>
            </w:pPr>
          </w:p>
        </w:tc>
      </w:tr>
    </w:tbl>
    <w:p w14:paraId="7954C4B1" w14:textId="77777777" w:rsidR="00F05DC7" w:rsidRDefault="00F05DC7" w:rsidP="00A3786D">
      <w:pPr>
        <w:pStyle w:val="Heading3"/>
      </w:pPr>
      <w:r>
        <w:lastRenderedPageBreak/>
        <w:t>Projecting State populations and GST pool growth</w:t>
      </w:r>
    </w:p>
    <w:p w14:paraId="7954C4B2" w14:textId="7193957C" w:rsidR="00F05DC7" w:rsidRPr="00DD25DE" w:rsidRDefault="00F05DC7" w:rsidP="00A3786D">
      <w:pPr>
        <w:pStyle w:val="BodyText"/>
      </w:pPr>
      <w:r w:rsidRPr="00B748BC">
        <w:t>The average annual growth rate of GST revenue since it was introduced has been approximately 6</w:t>
      </w:r>
      <w:r>
        <w:t> </w:t>
      </w:r>
      <w:r w:rsidRPr="00B748BC">
        <w:t>per cent (in nominal terms)</w:t>
      </w:r>
      <w:r>
        <w:t>,</w:t>
      </w:r>
      <w:r w:rsidRPr="00B748BC">
        <w:t xml:space="preserve"> although this has varied year to year with </w:t>
      </w:r>
      <w:r>
        <w:t xml:space="preserve">overall consumption growth and </w:t>
      </w:r>
      <w:r w:rsidRPr="00B748BC">
        <w:t>consumption patterns on GST</w:t>
      </w:r>
      <w:r>
        <w:noBreakHyphen/>
      </w:r>
      <w:r w:rsidRPr="00B748BC">
        <w:t>taxable goods</w:t>
      </w:r>
      <w:r>
        <w:t xml:space="preserve"> and services</w:t>
      </w:r>
      <w:r w:rsidRPr="00B748BC">
        <w:t xml:space="preserve">. GST pool growth is expected to slow in the coming years. The Commonwealth Treasury has estimated annual GST pool growth over the </w:t>
      </w:r>
      <w:r>
        <w:t>period to 2020</w:t>
      </w:r>
      <w:r>
        <w:noBreakHyphen/>
        <w:t>21</w:t>
      </w:r>
      <w:r w:rsidRPr="00B748BC">
        <w:t xml:space="preserve"> to be </w:t>
      </w:r>
      <w:r>
        <w:t>about</w:t>
      </w:r>
      <w:r w:rsidRPr="00B748BC">
        <w:t xml:space="preserve"> 5</w:t>
      </w:r>
      <w:r>
        <w:t> </w:t>
      </w:r>
      <w:r w:rsidRPr="00B748BC">
        <w:t>per cent (nominal)</w:t>
      </w:r>
      <w:r>
        <w:t xml:space="preserve"> </w:t>
      </w:r>
      <w:r w:rsidR="009D6331" w:rsidRPr="009D6331">
        <w:rPr>
          <w:szCs w:val="24"/>
        </w:rPr>
        <w:t>(Commonwealth of Australia 2017e)</w:t>
      </w:r>
      <w:r w:rsidRPr="00DD25DE">
        <w:t>.</w:t>
      </w:r>
    </w:p>
    <w:p w14:paraId="7954C4B3" w14:textId="44743E0C" w:rsidR="00F05DC7" w:rsidRDefault="00F05DC7" w:rsidP="00A3786D">
      <w:pPr>
        <w:pStyle w:val="BodyText"/>
      </w:pPr>
      <w:r w:rsidRPr="00B748BC">
        <w:t xml:space="preserve">For the period beyond </w:t>
      </w:r>
      <w:r>
        <w:t>2020</w:t>
      </w:r>
      <w:r>
        <w:noBreakHyphen/>
        <w:t>21</w:t>
      </w:r>
      <w:r w:rsidRPr="00B748BC">
        <w:t xml:space="preserve">, </w:t>
      </w:r>
      <w:r>
        <w:t xml:space="preserve">the Commission has </w:t>
      </w:r>
      <w:r w:rsidRPr="00B748BC">
        <w:t>assume</w:t>
      </w:r>
      <w:r>
        <w:t>d</w:t>
      </w:r>
      <w:r w:rsidRPr="00B748BC">
        <w:t xml:space="preserve"> that the nominal GST pool grows at a rate of 5.25</w:t>
      </w:r>
      <w:r>
        <w:t> </w:t>
      </w:r>
      <w:r w:rsidRPr="00B748BC">
        <w:t xml:space="preserve">per cent per </w:t>
      </w:r>
      <w:r>
        <w:t>year</w:t>
      </w:r>
      <w:r w:rsidRPr="00B748BC">
        <w:t>. This is based on the assumption that the economy — and the GST pool — grows at its long</w:t>
      </w:r>
      <w:r>
        <w:noBreakHyphen/>
      </w:r>
      <w:r w:rsidRPr="00B748BC">
        <w:t>run potential growth rate (2.75</w:t>
      </w:r>
      <w:r>
        <w:t> </w:t>
      </w:r>
      <w:r w:rsidRPr="00B748BC">
        <w:t>per cent real growth plus 2.5</w:t>
      </w:r>
      <w:r>
        <w:t> </w:t>
      </w:r>
      <w:r w:rsidRPr="00B748BC">
        <w:t>per cent inflation) past</w:t>
      </w:r>
      <w:r>
        <w:t xml:space="preserve"> the forward</w:t>
      </w:r>
      <w:r>
        <w:noBreakHyphen/>
        <w:t xml:space="preserve">estimates </w:t>
      </w:r>
      <w:r w:rsidRPr="004E7140">
        <w:t xml:space="preserve">and that the </w:t>
      </w:r>
      <w:r>
        <w:t xml:space="preserve">share of </w:t>
      </w:r>
      <w:r w:rsidRPr="004E7140">
        <w:t>GST</w:t>
      </w:r>
      <w:r>
        <w:noBreakHyphen/>
      </w:r>
      <w:r w:rsidRPr="004E7140">
        <w:t xml:space="preserve">taxable goods </w:t>
      </w:r>
      <w:r>
        <w:t xml:space="preserve">in </w:t>
      </w:r>
      <w:r w:rsidRPr="004E7140">
        <w:t>total expenditure remains constant</w:t>
      </w:r>
      <w:r>
        <w:t xml:space="preserve"> </w:t>
      </w:r>
      <w:r w:rsidR="009D6331" w:rsidRPr="009D6331">
        <w:rPr>
          <w:szCs w:val="24"/>
        </w:rPr>
        <w:t>(Commonwealth of Australia 2017e, p. 21)</w:t>
      </w:r>
      <w:r>
        <w:t xml:space="preserve"> (figure F.3</w:t>
      </w:r>
      <w:r w:rsidRPr="00B748BC">
        <w:t>).</w:t>
      </w:r>
      <w:r>
        <w:t xml:space="preserve"> </w:t>
      </w:r>
    </w:p>
    <w:p w14:paraId="7954C4B4"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4B7" w14:textId="77777777" w:rsidTr="00A3786D">
        <w:trPr>
          <w:tblHeader/>
        </w:trPr>
        <w:tc>
          <w:tcPr>
            <w:tcW w:w="5000" w:type="pct"/>
            <w:tcBorders>
              <w:top w:val="single" w:sz="6" w:space="0" w:color="78A22F"/>
              <w:left w:val="nil"/>
              <w:bottom w:val="nil"/>
              <w:right w:val="nil"/>
            </w:tcBorders>
            <w:shd w:val="clear" w:color="auto" w:fill="auto"/>
          </w:tcPr>
          <w:p w14:paraId="7954C4B5" w14:textId="1DE2A0EC" w:rsidR="00F05DC7" w:rsidRDefault="00F05DC7" w:rsidP="00A3786D">
            <w:pPr>
              <w:pStyle w:val="FigureTitle"/>
            </w:pPr>
            <w:r w:rsidRPr="00784A05">
              <w:rPr>
                <w:b w:val="0"/>
              </w:rPr>
              <w:t xml:space="preserve">Figure </w:t>
            </w:r>
            <w:r>
              <w:rPr>
                <w:b w:val="0"/>
              </w:rPr>
              <w:t>F.3</w:t>
            </w:r>
            <w:r>
              <w:tab/>
              <w:t>Historical and projected GST pool growth</w:t>
            </w:r>
          </w:p>
          <w:p w14:paraId="7954C4B6" w14:textId="77777777" w:rsidR="00F05DC7" w:rsidRPr="00176D3F" w:rsidRDefault="00F05DC7" w:rsidP="00A3786D">
            <w:pPr>
              <w:pStyle w:val="Subtitle"/>
            </w:pPr>
            <w:r>
              <w:t>$ billions (nominal), best estimate, 2000</w:t>
            </w:r>
            <w:r>
              <w:noBreakHyphen/>
              <w:t>01 to 2026</w:t>
            </w:r>
            <w:r>
              <w:noBreakHyphen/>
              <w:t xml:space="preserve">27 </w:t>
            </w:r>
          </w:p>
        </w:tc>
      </w:tr>
      <w:tr w:rsidR="00F05DC7" w14:paraId="7954C4BB"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C4B9" w14:textId="77777777" w:rsidTr="00A3786D">
              <w:trPr>
                <w:tblHeader/>
                <w:jc w:val="center"/>
              </w:trPr>
              <w:tc>
                <w:tcPr>
                  <w:tcW w:w="5000" w:type="pct"/>
                  <w:tcBorders>
                    <w:top w:val="nil"/>
                    <w:bottom w:val="nil"/>
                  </w:tcBorders>
                </w:tcPr>
                <w:p w14:paraId="7954C4B8" w14:textId="7A68783B" w:rsidR="00F05DC7" w:rsidRPr="00B1465D" w:rsidRDefault="008E45CA" w:rsidP="00A3786D">
                  <w:pPr>
                    <w:pStyle w:val="Figure"/>
                    <w:spacing w:before="60" w:after="60"/>
                    <w:rPr>
                      <w:rFonts w:ascii="Arial" w:hAnsi="Arial" w:cs="Arial"/>
                      <w:sz w:val="18"/>
                      <w:szCs w:val="18"/>
                    </w:rPr>
                  </w:pPr>
                  <w:r w:rsidRPr="008E45CA">
                    <w:rPr>
                      <w:rFonts w:ascii="Arial" w:hAnsi="Arial" w:cs="Arial"/>
                      <w:noProof/>
                      <w:sz w:val="18"/>
                      <w:szCs w:val="18"/>
                    </w:rPr>
                    <w:drawing>
                      <wp:inline distT="0" distB="0" distL="0" distR="0" wp14:anchorId="7375492D" wp14:editId="4D7AC871">
                        <wp:extent cx="5415280" cy="3942715"/>
                        <wp:effectExtent l="0" t="0" r="0" b="0"/>
                        <wp:docPr id="24" name="Picture 24" descr="This figure shows the historical and projected GST pool growth between 2000-01 and 2026-27 in nominal terms. The average annual growth rate of GST revenue since it was introduced has been approximately 6 per cent (in nominal terms), although this has varied year to year. GST pool growth is expected to slow in the coming years. This figure shows annual GST pool growth over the period to 2020 21 to be about 5 per cent. For the period beyond, GST pool growth is projected to be about 5.25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15280" cy="3942715"/>
                                </a:xfrm>
                                <a:prstGeom prst="rect">
                                  <a:avLst/>
                                </a:prstGeom>
                                <a:noFill/>
                                <a:ln>
                                  <a:noFill/>
                                </a:ln>
                              </pic:spPr>
                            </pic:pic>
                          </a:graphicData>
                        </a:graphic>
                      </wp:inline>
                    </w:drawing>
                  </w:r>
                </w:p>
              </w:tc>
            </w:tr>
          </w:tbl>
          <w:p w14:paraId="7954C4BA" w14:textId="77777777" w:rsidR="00F05DC7" w:rsidRDefault="00F05DC7" w:rsidP="00A3786D">
            <w:pPr>
              <w:pStyle w:val="Figure"/>
            </w:pPr>
          </w:p>
        </w:tc>
      </w:tr>
      <w:tr w:rsidR="00F05DC7" w:rsidRPr="00176D3F" w14:paraId="7954C4BD" w14:textId="77777777" w:rsidTr="00A3786D">
        <w:tc>
          <w:tcPr>
            <w:tcW w:w="5000" w:type="pct"/>
            <w:tcBorders>
              <w:top w:val="nil"/>
              <w:left w:val="nil"/>
              <w:bottom w:val="nil"/>
              <w:right w:val="nil"/>
            </w:tcBorders>
            <w:shd w:val="clear" w:color="auto" w:fill="auto"/>
          </w:tcPr>
          <w:p w14:paraId="7954C4BC" w14:textId="77777777" w:rsidR="00F05DC7" w:rsidRPr="00176D3F" w:rsidRDefault="00F05DC7" w:rsidP="00A3786D">
            <w:pPr>
              <w:pStyle w:val="Source"/>
            </w:pPr>
            <w:r>
              <w:rPr>
                <w:i/>
              </w:rPr>
              <w:t>S</w:t>
            </w:r>
            <w:r w:rsidRPr="00784A05">
              <w:rPr>
                <w:i/>
              </w:rPr>
              <w:t>ource</w:t>
            </w:r>
            <w:r w:rsidRPr="00176D3F">
              <w:t xml:space="preserve">: </w:t>
            </w:r>
            <w:r w:rsidRPr="00222646">
              <w:t>Productivity Commission estimates based on Commonwealth Treasury budget documents.</w:t>
            </w:r>
          </w:p>
        </w:tc>
      </w:tr>
      <w:tr w:rsidR="00F05DC7" w14:paraId="7954C4BF" w14:textId="77777777" w:rsidTr="00A3786D">
        <w:tc>
          <w:tcPr>
            <w:tcW w:w="5000" w:type="pct"/>
            <w:tcBorders>
              <w:top w:val="nil"/>
              <w:left w:val="nil"/>
              <w:bottom w:val="single" w:sz="6" w:space="0" w:color="78A22F"/>
              <w:right w:val="nil"/>
            </w:tcBorders>
            <w:shd w:val="clear" w:color="auto" w:fill="auto"/>
          </w:tcPr>
          <w:p w14:paraId="7954C4BE" w14:textId="77777777" w:rsidR="00F05DC7" w:rsidRDefault="00F05DC7" w:rsidP="00A3786D">
            <w:pPr>
              <w:pStyle w:val="Figurespace"/>
            </w:pPr>
          </w:p>
        </w:tc>
      </w:tr>
      <w:tr w:rsidR="00F05DC7" w:rsidRPr="000863A5" w14:paraId="7954C4C1" w14:textId="77777777" w:rsidTr="00A3786D">
        <w:tc>
          <w:tcPr>
            <w:tcW w:w="5000" w:type="pct"/>
            <w:tcBorders>
              <w:top w:val="single" w:sz="6" w:space="0" w:color="78A22F"/>
              <w:left w:val="nil"/>
              <w:bottom w:val="nil"/>
              <w:right w:val="nil"/>
            </w:tcBorders>
          </w:tcPr>
          <w:p w14:paraId="7954C4C0" w14:textId="77777777" w:rsidR="00F05DC7" w:rsidRPr="00626D32" w:rsidRDefault="00F05DC7" w:rsidP="00A3786D">
            <w:pPr>
              <w:pStyle w:val="BoxSpaceBelow"/>
            </w:pPr>
          </w:p>
        </w:tc>
      </w:tr>
    </w:tbl>
    <w:p w14:paraId="7954C4C2" w14:textId="77777777" w:rsidR="00F05DC7" w:rsidRPr="00437224" w:rsidRDefault="00F05DC7" w:rsidP="00A3786D">
      <w:pPr>
        <w:pStyle w:val="BodyText"/>
      </w:pPr>
      <w:r w:rsidRPr="00437224">
        <w:t xml:space="preserve">The Commonwealth Treasury has </w:t>
      </w:r>
      <w:r>
        <w:t xml:space="preserve">also </w:t>
      </w:r>
      <w:r w:rsidRPr="00437224">
        <w:t xml:space="preserve">estimated annual total population growth to average </w:t>
      </w:r>
      <w:r>
        <w:t>about</w:t>
      </w:r>
      <w:r w:rsidRPr="00437224">
        <w:t xml:space="preserve"> 1.5</w:t>
      </w:r>
      <w:r>
        <w:t> </w:t>
      </w:r>
      <w:r w:rsidRPr="00437224">
        <w:t xml:space="preserve">per cent over the forward estimates, with different growth rates for each State. The </w:t>
      </w:r>
      <w:r w:rsidRPr="00437224">
        <w:lastRenderedPageBreak/>
        <w:t>Commission used the final year</w:t>
      </w:r>
      <w:r>
        <w:t xml:space="preserve"> (2020</w:t>
      </w:r>
      <w:r>
        <w:noBreakHyphen/>
        <w:t>21)</w:t>
      </w:r>
      <w:r w:rsidRPr="00437224">
        <w:t xml:space="preserve"> of</w:t>
      </w:r>
      <w:r>
        <w:t xml:space="preserve"> </w:t>
      </w:r>
      <w:r w:rsidRPr="00437224">
        <w:t xml:space="preserve">MYEFO estimates to project each State’s population growth for the period beyond </w:t>
      </w:r>
      <w:r>
        <w:t>2020</w:t>
      </w:r>
      <w:r>
        <w:noBreakHyphen/>
        <w:t>21</w:t>
      </w:r>
      <w:r w:rsidRPr="00437224">
        <w:t xml:space="preserve"> (</w:t>
      </w:r>
      <w:r>
        <w:t>table F.2)</w:t>
      </w:r>
      <w:r w:rsidRPr="00437224">
        <w:t xml:space="preserve">. </w:t>
      </w:r>
    </w:p>
    <w:p w14:paraId="7954C4C3"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4C6" w14:textId="77777777" w:rsidTr="00A3786D">
        <w:trPr>
          <w:tblHeader/>
        </w:trPr>
        <w:tc>
          <w:tcPr>
            <w:tcW w:w="5000" w:type="pct"/>
            <w:tcBorders>
              <w:top w:val="single" w:sz="6" w:space="0" w:color="78A22F"/>
              <w:left w:val="nil"/>
              <w:bottom w:val="nil"/>
              <w:right w:val="nil"/>
            </w:tcBorders>
            <w:shd w:val="clear" w:color="auto" w:fill="auto"/>
          </w:tcPr>
          <w:p w14:paraId="7954C4C4" w14:textId="2C311C14" w:rsidR="00F05DC7" w:rsidRDefault="00F05DC7" w:rsidP="00A3786D">
            <w:pPr>
              <w:pStyle w:val="TableTitle"/>
            </w:pPr>
            <w:r>
              <w:rPr>
                <w:b w:val="0"/>
              </w:rPr>
              <w:t>Table F.2</w:t>
            </w:r>
            <w:r>
              <w:tab/>
              <w:t>Projections of State population growth rates</w:t>
            </w:r>
          </w:p>
          <w:p w14:paraId="7954C4C5" w14:textId="77777777" w:rsidR="00F05DC7" w:rsidRPr="00784A05" w:rsidRDefault="00F05DC7" w:rsidP="00A3786D">
            <w:pPr>
              <w:pStyle w:val="Subtitle"/>
            </w:pPr>
            <w:r>
              <w:t>2018</w:t>
            </w:r>
            <w:r>
              <w:noBreakHyphen/>
              <w:t>19 to 2026</w:t>
            </w:r>
            <w:r>
              <w:noBreakHyphen/>
              <w:t>27, per cent per year</w:t>
            </w:r>
          </w:p>
        </w:tc>
      </w:tr>
      <w:tr w:rsidR="00F05DC7" w14:paraId="7954C538" w14:textId="77777777" w:rsidTr="00A3786D">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53"/>
              <w:gridCol w:w="853"/>
              <w:gridCol w:w="852"/>
              <w:gridCol w:w="852"/>
              <w:gridCol w:w="852"/>
              <w:gridCol w:w="852"/>
              <w:gridCol w:w="852"/>
              <w:gridCol w:w="849"/>
              <w:gridCol w:w="845"/>
              <w:gridCol w:w="845"/>
            </w:tblGrid>
            <w:tr w:rsidR="00F05DC7" w14:paraId="7954C4D1" w14:textId="77777777" w:rsidTr="00A3786D">
              <w:trPr>
                <w:tblHeader/>
              </w:trPr>
              <w:tc>
                <w:tcPr>
                  <w:tcW w:w="501" w:type="pct"/>
                  <w:tcBorders>
                    <w:top w:val="single" w:sz="6" w:space="0" w:color="D9D9D9" w:themeColor="background1" w:themeShade="D9"/>
                    <w:bottom w:val="single" w:sz="6" w:space="0" w:color="BFBFBF"/>
                  </w:tcBorders>
                  <w:shd w:val="clear" w:color="auto" w:fill="auto"/>
                  <w:tcMar>
                    <w:top w:w="28" w:type="dxa"/>
                  </w:tcMar>
                </w:tcPr>
                <w:p w14:paraId="7954C4C7" w14:textId="77777777" w:rsidR="00F05DC7" w:rsidRPr="006B266C" w:rsidRDefault="00F05DC7" w:rsidP="00A3786D">
                  <w:pPr>
                    <w:pStyle w:val="TableColumnHeading"/>
                    <w:jc w:val="left"/>
                    <w:rPr>
                      <w:rFonts w:asciiTheme="minorHAnsi" w:hAnsiTheme="minorHAnsi" w:cstheme="minorHAnsi"/>
                      <w:szCs w:val="18"/>
                    </w:rPr>
                  </w:pPr>
                </w:p>
              </w:tc>
              <w:tc>
                <w:tcPr>
                  <w:tcW w:w="501" w:type="pct"/>
                  <w:tcBorders>
                    <w:top w:val="single" w:sz="6" w:space="0" w:color="D9D9D9" w:themeColor="background1" w:themeShade="D9"/>
                    <w:left w:val="nil"/>
                    <w:bottom w:val="single" w:sz="4" w:space="0" w:color="auto"/>
                    <w:right w:val="nil"/>
                  </w:tcBorders>
                  <w:shd w:val="clear" w:color="auto" w:fill="auto"/>
                  <w:vAlign w:val="bottom"/>
                </w:tcPr>
                <w:p w14:paraId="7954C4C8" w14:textId="77777777" w:rsidR="00F05DC7" w:rsidRPr="006B266C" w:rsidRDefault="00F05DC7" w:rsidP="00A3786D">
                  <w:pPr>
                    <w:pStyle w:val="TableColumnHeading"/>
                    <w:rPr>
                      <w:rFonts w:asciiTheme="minorHAnsi" w:hAnsiTheme="minorHAnsi" w:cstheme="minorHAnsi"/>
                      <w:szCs w:val="18"/>
                    </w:rPr>
                  </w:pPr>
                  <w:r w:rsidRPr="006B266C">
                    <w:rPr>
                      <w:rFonts w:asciiTheme="minorHAnsi" w:hAnsiTheme="minorHAnsi" w:cstheme="minorHAnsi"/>
                      <w:bCs/>
                      <w:szCs w:val="18"/>
                    </w:rPr>
                    <w:t>NSW</w:t>
                  </w:r>
                </w:p>
              </w:tc>
              <w:tc>
                <w:tcPr>
                  <w:tcW w:w="501" w:type="pct"/>
                  <w:tcBorders>
                    <w:top w:val="single" w:sz="6" w:space="0" w:color="D9D9D9" w:themeColor="background1" w:themeShade="D9"/>
                    <w:left w:val="nil"/>
                    <w:bottom w:val="single" w:sz="4" w:space="0" w:color="auto"/>
                    <w:right w:val="nil"/>
                  </w:tcBorders>
                  <w:shd w:val="clear" w:color="auto" w:fill="auto"/>
                  <w:vAlign w:val="bottom"/>
                </w:tcPr>
                <w:p w14:paraId="7954C4C9" w14:textId="77777777" w:rsidR="00F05DC7" w:rsidRPr="006B266C" w:rsidRDefault="00F05DC7" w:rsidP="00A3786D">
                  <w:pPr>
                    <w:pStyle w:val="TableColumnHeading"/>
                    <w:rPr>
                      <w:rFonts w:asciiTheme="minorHAnsi" w:hAnsiTheme="minorHAnsi" w:cstheme="minorHAnsi"/>
                      <w:szCs w:val="18"/>
                    </w:rPr>
                  </w:pPr>
                  <w:r w:rsidRPr="006B266C">
                    <w:rPr>
                      <w:rFonts w:asciiTheme="minorHAnsi" w:hAnsiTheme="minorHAnsi" w:cstheme="minorHAnsi"/>
                      <w:bCs/>
                      <w:szCs w:val="18"/>
                    </w:rPr>
                    <w:t>Vic</w:t>
                  </w:r>
                </w:p>
              </w:tc>
              <w:tc>
                <w:tcPr>
                  <w:tcW w:w="501" w:type="pct"/>
                  <w:tcBorders>
                    <w:top w:val="single" w:sz="6" w:space="0" w:color="D9D9D9" w:themeColor="background1" w:themeShade="D9"/>
                    <w:left w:val="nil"/>
                    <w:bottom w:val="single" w:sz="4" w:space="0" w:color="auto"/>
                    <w:right w:val="nil"/>
                  </w:tcBorders>
                  <w:shd w:val="clear" w:color="auto" w:fill="auto"/>
                  <w:vAlign w:val="bottom"/>
                </w:tcPr>
                <w:p w14:paraId="7954C4CA" w14:textId="77777777" w:rsidR="00F05DC7" w:rsidRPr="006B266C" w:rsidRDefault="00F05DC7" w:rsidP="00A3786D">
                  <w:pPr>
                    <w:pStyle w:val="TableColumnHeading"/>
                    <w:rPr>
                      <w:rFonts w:asciiTheme="minorHAnsi" w:hAnsiTheme="minorHAnsi" w:cstheme="minorHAnsi"/>
                      <w:szCs w:val="18"/>
                    </w:rPr>
                  </w:pPr>
                  <w:r w:rsidRPr="006B266C">
                    <w:rPr>
                      <w:rFonts w:asciiTheme="minorHAnsi" w:hAnsiTheme="minorHAnsi" w:cstheme="minorHAnsi"/>
                      <w:bCs/>
                      <w:szCs w:val="18"/>
                    </w:rPr>
                    <w:t>Qld</w:t>
                  </w:r>
                </w:p>
              </w:tc>
              <w:tc>
                <w:tcPr>
                  <w:tcW w:w="501" w:type="pct"/>
                  <w:tcBorders>
                    <w:top w:val="single" w:sz="6" w:space="0" w:color="D9D9D9" w:themeColor="background1" w:themeShade="D9"/>
                    <w:left w:val="nil"/>
                    <w:bottom w:val="single" w:sz="4" w:space="0" w:color="auto"/>
                    <w:right w:val="nil"/>
                  </w:tcBorders>
                  <w:shd w:val="clear" w:color="auto" w:fill="auto"/>
                  <w:vAlign w:val="bottom"/>
                </w:tcPr>
                <w:p w14:paraId="7954C4CB" w14:textId="77777777" w:rsidR="00F05DC7" w:rsidRPr="006B266C" w:rsidRDefault="00F05DC7" w:rsidP="00A3786D">
                  <w:pPr>
                    <w:pStyle w:val="TableColumnHeading"/>
                    <w:rPr>
                      <w:rFonts w:asciiTheme="minorHAnsi" w:hAnsiTheme="minorHAnsi" w:cstheme="minorHAnsi"/>
                      <w:szCs w:val="18"/>
                    </w:rPr>
                  </w:pPr>
                  <w:r w:rsidRPr="006B266C">
                    <w:rPr>
                      <w:rFonts w:asciiTheme="minorHAnsi" w:hAnsiTheme="minorHAnsi" w:cstheme="minorHAnsi"/>
                      <w:bCs/>
                      <w:szCs w:val="18"/>
                    </w:rPr>
                    <w:t>WA</w:t>
                  </w:r>
                </w:p>
              </w:tc>
              <w:tc>
                <w:tcPr>
                  <w:tcW w:w="501" w:type="pct"/>
                  <w:tcBorders>
                    <w:top w:val="single" w:sz="6" w:space="0" w:color="D9D9D9" w:themeColor="background1" w:themeShade="D9"/>
                    <w:left w:val="nil"/>
                    <w:bottom w:val="single" w:sz="4" w:space="0" w:color="auto"/>
                    <w:right w:val="nil"/>
                  </w:tcBorders>
                  <w:shd w:val="clear" w:color="auto" w:fill="auto"/>
                  <w:vAlign w:val="bottom"/>
                </w:tcPr>
                <w:p w14:paraId="7954C4CC" w14:textId="77777777" w:rsidR="00F05DC7" w:rsidRPr="006B266C" w:rsidRDefault="00F05DC7" w:rsidP="00A3786D">
                  <w:pPr>
                    <w:pStyle w:val="TableColumnHeading"/>
                    <w:rPr>
                      <w:rFonts w:asciiTheme="minorHAnsi" w:hAnsiTheme="minorHAnsi" w:cstheme="minorHAnsi"/>
                      <w:szCs w:val="18"/>
                    </w:rPr>
                  </w:pPr>
                  <w:r w:rsidRPr="006B266C">
                    <w:rPr>
                      <w:rFonts w:asciiTheme="minorHAnsi" w:hAnsiTheme="minorHAnsi" w:cstheme="minorHAnsi"/>
                      <w:bCs/>
                      <w:szCs w:val="18"/>
                    </w:rPr>
                    <w:t>SA</w:t>
                  </w:r>
                </w:p>
              </w:tc>
              <w:tc>
                <w:tcPr>
                  <w:tcW w:w="501" w:type="pct"/>
                  <w:tcBorders>
                    <w:top w:val="single" w:sz="6" w:space="0" w:color="D9D9D9" w:themeColor="background1" w:themeShade="D9"/>
                    <w:left w:val="nil"/>
                    <w:bottom w:val="single" w:sz="4" w:space="0" w:color="auto"/>
                    <w:right w:val="nil"/>
                  </w:tcBorders>
                  <w:shd w:val="clear" w:color="auto" w:fill="auto"/>
                  <w:tcMar>
                    <w:top w:w="28" w:type="dxa"/>
                  </w:tcMar>
                  <w:vAlign w:val="bottom"/>
                </w:tcPr>
                <w:p w14:paraId="7954C4CD" w14:textId="77777777" w:rsidR="00F05DC7" w:rsidRPr="006B266C" w:rsidRDefault="00F05DC7" w:rsidP="00A3786D">
                  <w:pPr>
                    <w:pStyle w:val="TableColumnHeading"/>
                    <w:rPr>
                      <w:rFonts w:asciiTheme="minorHAnsi" w:hAnsiTheme="minorHAnsi" w:cstheme="minorHAnsi"/>
                      <w:szCs w:val="18"/>
                    </w:rPr>
                  </w:pPr>
                  <w:r w:rsidRPr="006B266C">
                    <w:rPr>
                      <w:rFonts w:asciiTheme="minorHAnsi" w:hAnsiTheme="minorHAnsi" w:cstheme="minorHAnsi"/>
                      <w:bCs/>
                      <w:szCs w:val="18"/>
                    </w:rPr>
                    <w:t>Tas</w:t>
                  </w:r>
                </w:p>
              </w:tc>
              <w:tc>
                <w:tcPr>
                  <w:tcW w:w="499" w:type="pct"/>
                  <w:tcBorders>
                    <w:top w:val="single" w:sz="6" w:space="0" w:color="D9D9D9" w:themeColor="background1" w:themeShade="D9"/>
                    <w:left w:val="nil"/>
                    <w:bottom w:val="single" w:sz="4" w:space="0" w:color="auto"/>
                    <w:right w:val="nil"/>
                  </w:tcBorders>
                  <w:shd w:val="clear" w:color="auto" w:fill="auto"/>
                  <w:tcMar>
                    <w:top w:w="28" w:type="dxa"/>
                  </w:tcMar>
                  <w:vAlign w:val="bottom"/>
                </w:tcPr>
                <w:p w14:paraId="7954C4CE" w14:textId="77777777" w:rsidR="00F05DC7" w:rsidRPr="006B266C" w:rsidRDefault="00F05DC7" w:rsidP="00A3786D">
                  <w:pPr>
                    <w:pStyle w:val="TableColumnHeading"/>
                    <w:ind w:right="28"/>
                    <w:rPr>
                      <w:rFonts w:asciiTheme="minorHAnsi" w:hAnsiTheme="minorHAnsi" w:cstheme="minorHAnsi"/>
                      <w:szCs w:val="18"/>
                    </w:rPr>
                  </w:pPr>
                  <w:r w:rsidRPr="006B266C">
                    <w:rPr>
                      <w:rFonts w:asciiTheme="minorHAnsi" w:hAnsiTheme="minorHAnsi" w:cstheme="minorHAnsi"/>
                      <w:bCs/>
                      <w:szCs w:val="18"/>
                    </w:rPr>
                    <w:t>ACT</w:t>
                  </w:r>
                </w:p>
              </w:tc>
              <w:tc>
                <w:tcPr>
                  <w:tcW w:w="497" w:type="pct"/>
                  <w:tcBorders>
                    <w:top w:val="single" w:sz="6" w:space="0" w:color="D9D9D9" w:themeColor="background1" w:themeShade="D9"/>
                    <w:left w:val="nil"/>
                    <w:bottom w:val="single" w:sz="4" w:space="0" w:color="auto"/>
                    <w:right w:val="nil"/>
                  </w:tcBorders>
                  <w:shd w:val="clear" w:color="auto" w:fill="auto"/>
                  <w:vAlign w:val="bottom"/>
                </w:tcPr>
                <w:p w14:paraId="7954C4CF" w14:textId="77777777" w:rsidR="00F05DC7" w:rsidRPr="006B266C" w:rsidRDefault="00F05DC7" w:rsidP="00A3786D">
                  <w:pPr>
                    <w:pStyle w:val="TableColumnHeading"/>
                    <w:ind w:right="28"/>
                    <w:rPr>
                      <w:rFonts w:asciiTheme="minorHAnsi" w:hAnsiTheme="minorHAnsi" w:cstheme="minorHAnsi"/>
                      <w:szCs w:val="18"/>
                    </w:rPr>
                  </w:pPr>
                  <w:r w:rsidRPr="006B266C">
                    <w:rPr>
                      <w:rFonts w:asciiTheme="minorHAnsi" w:hAnsiTheme="minorHAnsi" w:cstheme="minorHAnsi"/>
                      <w:bCs/>
                      <w:szCs w:val="18"/>
                    </w:rPr>
                    <w:t>NT</w:t>
                  </w:r>
                </w:p>
              </w:tc>
              <w:tc>
                <w:tcPr>
                  <w:tcW w:w="497" w:type="pct"/>
                  <w:tcBorders>
                    <w:top w:val="single" w:sz="6" w:space="0" w:color="D9D9D9" w:themeColor="background1" w:themeShade="D9"/>
                    <w:left w:val="nil"/>
                    <w:bottom w:val="single" w:sz="4" w:space="0" w:color="auto"/>
                  </w:tcBorders>
                  <w:shd w:val="clear" w:color="auto" w:fill="auto"/>
                  <w:vAlign w:val="bottom"/>
                </w:tcPr>
                <w:p w14:paraId="7954C4D0" w14:textId="77777777" w:rsidR="00F05DC7" w:rsidRPr="006B266C" w:rsidRDefault="00F05DC7" w:rsidP="00A3786D">
                  <w:pPr>
                    <w:pStyle w:val="TableColumnHeading"/>
                    <w:ind w:right="28"/>
                    <w:rPr>
                      <w:rFonts w:asciiTheme="minorHAnsi" w:hAnsiTheme="minorHAnsi" w:cstheme="minorHAnsi"/>
                      <w:szCs w:val="18"/>
                    </w:rPr>
                  </w:pPr>
                  <w:r>
                    <w:rPr>
                      <w:rFonts w:asciiTheme="minorHAnsi" w:hAnsiTheme="minorHAnsi" w:cstheme="minorHAnsi"/>
                      <w:bCs/>
                      <w:szCs w:val="18"/>
                    </w:rPr>
                    <w:t>Total</w:t>
                  </w:r>
                </w:p>
              </w:tc>
            </w:tr>
            <w:tr w:rsidR="00F05DC7" w14:paraId="7954C4D3" w14:textId="77777777" w:rsidTr="00A3786D">
              <w:tc>
                <w:tcPr>
                  <w:tcW w:w="5000" w:type="pct"/>
                  <w:gridSpan w:val="10"/>
                  <w:tcBorders>
                    <w:top w:val="single" w:sz="6" w:space="0" w:color="BFBFBF"/>
                  </w:tcBorders>
                </w:tcPr>
                <w:p w14:paraId="7954C4D2" w14:textId="77777777" w:rsidR="00F05DC7" w:rsidRPr="008E0D62" w:rsidRDefault="00F05DC7" w:rsidP="00A3786D">
                  <w:pPr>
                    <w:pStyle w:val="TableUnitsRow"/>
                    <w:ind w:right="28"/>
                    <w:jc w:val="left"/>
                    <w:rPr>
                      <w:rFonts w:asciiTheme="minorHAnsi" w:hAnsiTheme="minorHAnsi" w:cstheme="minorHAnsi"/>
                      <w:szCs w:val="18"/>
                    </w:rPr>
                  </w:pPr>
                  <w:r w:rsidRPr="008E0D62">
                    <w:rPr>
                      <w:rFonts w:asciiTheme="minorHAnsi" w:hAnsiTheme="minorHAnsi" w:cstheme="minorHAnsi"/>
                      <w:szCs w:val="18"/>
                    </w:rPr>
                    <w:t>Best estimate (based on Commonwealth MYEFO)</w:t>
                  </w:r>
                </w:p>
              </w:tc>
            </w:tr>
            <w:tr w:rsidR="00F05DC7" w14:paraId="7954C4DE" w14:textId="77777777" w:rsidTr="00A3786D">
              <w:tc>
                <w:tcPr>
                  <w:tcW w:w="501" w:type="pct"/>
                  <w:vAlign w:val="bottom"/>
                </w:tcPr>
                <w:p w14:paraId="7954C4D4" w14:textId="77777777" w:rsidR="00F05DC7" w:rsidRPr="00670F76" w:rsidRDefault="00F05DC7" w:rsidP="00A3786D">
                  <w:pPr>
                    <w:pStyle w:val="TableBodyText"/>
                    <w:jc w:val="left"/>
                    <w:rPr>
                      <w:rFonts w:asciiTheme="minorHAnsi" w:hAnsiTheme="minorHAnsi" w:cstheme="minorHAnsi"/>
                      <w:szCs w:val="18"/>
                    </w:rPr>
                  </w:pPr>
                  <w:r w:rsidRPr="00670F76">
                    <w:rPr>
                      <w:rFonts w:asciiTheme="minorHAnsi" w:hAnsiTheme="minorHAnsi" w:cstheme="minorHAnsi"/>
                      <w:szCs w:val="18"/>
                    </w:rPr>
                    <w:t>2018</w:t>
                  </w:r>
                  <w:r>
                    <w:rPr>
                      <w:rFonts w:asciiTheme="minorHAnsi" w:hAnsiTheme="minorHAnsi" w:cstheme="minorHAnsi"/>
                      <w:szCs w:val="18"/>
                    </w:rPr>
                    <w:noBreakHyphen/>
                  </w:r>
                  <w:r w:rsidRPr="00670F76">
                    <w:rPr>
                      <w:rFonts w:asciiTheme="minorHAnsi" w:hAnsiTheme="minorHAnsi" w:cstheme="minorHAnsi"/>
                      <w:szCs w:val="18"/>
                    </w:rPr>
                    <w:t>19</w:t>
                  </w:r>
                </w:p>
              </w:tc>
              <w:tc>
                <w:tcPr>
                  <w:tcW w:w="501" w:type="pct"/>
                  <w:tcBorders>
                    <w:top w:val="nil"/>
                    <w:left w:val="nil"/>
                    <w:bottom w:val="nil"/>
                    <w:right w:val="nil"/>
                  </w:tcBorders>
                  <w:shd w:val="clear" w:color="auto" w:fill="auto"/>
                  <w:vAlign w:val="bottom"/>
                </w:tcPr>
                <w:p w14:paraId="7954C4D5"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1.51</w:t>
                  </w:r>
                </w:p>
              </w:tc>
              <w:tc>
                <w:tcPr>
                  <w:tcW w:w="501" w:type="pct"/>
                  <w:tcBorders>
                    <w:top w:val="nil"/>
                    <w:left w:val="nil"/>
                    <w:bottom w:val="nil"/>
                    <w:right w:val="nil"/>
                  </w:tcBorders>
                  <w:shd w:val="clear" w:color="auto" w:fill="auto"/>
                  <w:vAlign w:val="bottom"/>
                </w:tcPr>
                <w:p w14:paraId="7954C4D6"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2.03</w:t>
                  </w:r>
                </w:p>
              </w:tc>
              <w:tc>
                <w:tcPr>
                  <w:tcW w:w="501" w:type="pct"/>
                  <w:tcBorders>
                    <w:top w:val="nil"/>
                    <w:left w:val="nil"/>
                    <w:bottom w:val="nil"/>
                    <w:right w:val="nil"/>
                  </w:tcBorders>
                  <w:shd w:val="clear" w:color="auto" w:fill="auto"/>
                  <w:vAlign w:val="bottom"/>
                </w:tcPr>
                <w:p w14:paraId="7954C4D7"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1.41</w:t>
                  </w:r>
                </w:p>
              </w:tc>
              <w:tc>
                <w:tcPr>
                  <w:tcW w:w="501" w:type="pct"/>
                  <w:tcBorders>
                    <w:top w:val="nil"/>
                    <w:left w:val="nil"/>
                    <w:bottom w:val="nil"/>
                    <w:right w:val="nil"/>
                  </w:tcBorders>
                  <w:shd w:val="clear" w:color="auto" w:fill="auto"/>
                  <w:vAlign w:val="bottom"/>
                </w:tcPr>
                <w:p w14:paraId="7954C4D8"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1.06</w:t>
                  </w:r>
                </w:p>
              </w:tc>
              <w:tc>
                <w:tcPr>
                  <w:tcW w:w="501" w:type="pct"/>
                  <w:tcBorders>
                    <w:top w:val="nil"/>
                    <w:left w:val="nil"/>
                    <w:bottom w:val="nil"/>
                    <w:right w:val="nil"/>
                  </w:tcBorders>
                  <w:shd w:val="clear" w:color="auto" w:fill="auto"/>
                  <w:vAlign w:val="bottom"/>
                </w:tcPr>
                <w:p w14:paraId="7954C4D9"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0.70</w:t>
                  </w:r>
                </w:p>
              </w:tc>
              <w:tc>
                <w:tcPr>
                  <w:tcW w:w="501" w:type="pct"/>
                  <w:tcBorders>
                    <w:top w:val="nil"/>
                    <w:left w:val="nil"/>
                    <w:bottom w:val="nil"/>
                    <w:right w:val="nil"/>
                  </w:tcBorders>
                  <w:shd w:val="clear" w:color="auto" w:fill="auto"/>
                  <w:vAlign w:val="bottom"/>
                </w:tcPr>
                <w:p w14:paraId="7954C4DA"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0.54</w:t>
                  </w:r>
                </w:p>
              </w:tc>
              <w:tc>
                <w:tcPr>
                  <w:tcW w:w="499" w:type="pct"/>
                  <w:tcBorders>
                    <w:top w:val="nil"/>
                    <w:left w:val="nil"/>
                    <w:bottom w:val="nil"/>
                    <w:right w:val="nil"/>
                  </w:tcBorders>
                  <w:shd w:val="clear" w:color="auto" w:fill="auto"/>
                  <w:vAlign w:val="bottom"/>
                </w:tcPr>
                <w:p w14:paraId="7954C4DB"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1.51</w:t>
                  </w:r>
                </w:p>
              </w:tc>
              <w:tc>
                <w:tcPr>
                  <w:tcW w:w="497" w:type="pct"/>
                  <w:tcBorders>
                    <w:top w:val="nil"/>
                    <w:left w:val="nil"/>
                    <w:bottom w:val="nil"/>
                    <w:right w:val="nil"/>
                  </w:tcBorders>
                  <w:shd w:val="clear" w:color="auto" w:fill="auto"/>
                  <w:vAlign w:val="bottom"/>
                </w:tcPr>
                <w:p w14:paraId="7954C4DC"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0.28</w:t>
                  </w:r>
                </w:p>
              </w:tc>
              <w:tc>
                <w:tcPr>
                  <w:tcW w:w="497" w:type="pct"/>
                  <w:tcBorders>
                    <w:top w:val="nil"/>
                    <w:left w:val="nil"/>
                    <w:bottom w:val="nil"/>
                    <w:right w:val="nil"/>
                  </w:tcBorders>
                  <w:shd w:val="clear" w:color="auto" w:fill="auto"/>
                  <w:vAlign w:val="bottom"/>
                </w:tcPr>
                <w:p w14:paraId="7954C4DD"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1.49</w:t>
                  </w:r>
                </w:p>
              </w:tc>
            </w:tr>
            <w:tr w:rsidR="00F05DC7" w14:paraId="7954C4E9" w14:textId="77777777" w:rsidTr="00A3786D">
              <w:tc>
                <w:tcPr>
                  <w:tcW w:w="501" w:type="pct"/>
                  <w:vAlign w:val="bottom"/>
                </w:tcPr>
                <w:p w14:paraId="7954C4DF" w14:textId="77777777" w:rsidR="00F05DC7" w:rsidRPr="00670F76" w:rsidRDefault="00F05DC7" w:rsidP="00A3786D">
                  <w:pPr>
                    <w:pStyle w:val="TableBodyText"/>
                    <w:jc w:val="left"/>
                    <w:rPr>
                      <w:rFonts w:asciiTheme="minorHAnsi" w:hAnsiTheme="minorHAnsi" w:cstheme="minorHAnsi"/>
                      <w:szCs w:val="18"/>
                    </w:rPr>
                  </w:pPr>
                  <w:r w:rsidRPr="00670F76">
                    <w:rPr>
                      <w:rFonts w:asciiTheme="minorHAnsi" w:hAnsiTheme="minorHAnsi" w:cstheme="minorHAnsi"/>
                      <w:szCs w:val="18"/>
                    </w:rPr>
                    <w:t>2019</w:t>
                  </w:r>
                  <w:r>
                    <w:rPr>
                      <w:rFonts w:asciiTheme="minorHAnsi" w:hAnsiTheme="minorHAnsi" w:cstheme="minorHAnsi"/>
                      <w:szCs w:val="18"/>
                    </w:rPr>
                    <w:noBreakHyphen/>
                  </w:r>
                  <w:r w:rsidRPr="00670F76">
                    <w:rPr>
                      <w:rFonts w:asciiTheme="minorHAnsi" w:hAnsiTheme="minorHAnsi" w:cstheme="minorHAnsi"/>
                      <w:szCs w:val="18"/>
                    </w:rPr>
                    <w:t>20</w:t>
                  </w:r>
                </w:p>
              </w:tc>
              <w:tc>
                <w:tcPr>
                  <w:tcW w:w="501" w:type="pct"/>
                  <w:tcBorders>
                    <w:top w:val="nil"/>
                    <w:left w:val="nil"/>
                    <w:bottom w:val="nil"/>
                    <w:right w:val="nil"/>
                  </w:tcBorders>
                  <w:shd w:val="clear" w:color="auto" w:fill="auto"/>
                  <w:vAlign w:val="bottom"/>
                </w:tcPr>
                <w:p w14:paraId="7954C4E0"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1.55</w:t>
                  </w:r>
                </w:p>
              </w:tc>
              <w:tc>
                <w:tcPr>
                  <w:tcW w:w="501" w:type="pct"/>
                  <w:tcBorders>
                    <w:top w:val="nil"/>
                    <w:left w:val="nil"/>
                    <w:bottom w:val="nil"/>
                    <w:right w:val="nil"/>
                  </w:tcBorders>
                  <w:shd w:val="clear" w:color="auto" w:fill="auto"/>
                  <w:vAlign w:val="bottom"/>
                </w:tcPr>
                <w:p w14:paraId="7954C4E1"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2.06</w:t>
                  </w:r>
                </w:p>
              </w:tc>
              <w:tc>
                <w:tcPr>
                  <w:tcW w:w="501" w:type="pct"/>
                  <w:tcBorders>
                    <w:top w:val="nil"/>
                    <w:left w:val="nil"/>
                    <w:bottom w:val="nil"/>
                    <w:right w:val="nil"/>
                  </w:tcBorders>
                  <w:shd w:val="clear" w:color="auto" w:fill="auto"/>
                  <w:vAlign w:val="bottom"/>
                </w:tcPr>
                <w:p w14:paraId="7954C4E2"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1.42</w:t>
                  </w:r>
                </w:p>
              </w:tc>
              <w:tc>
                <w:tcPr>
                  <w:tcW w:w="501" w:type="pct"/>
                  <w:tcBorders>
                    <w:top w:val="nil"/>
                    <w:left w:val="nil"/>
                    <w:bottom w:val="nil"/>
                    <w:right w:val="nil"/>
                  </w:tcBorders>
                  <w:shd w:val="clear" w:color="auto" w:fill="auto"/>
                  <w:vAlign w:val="bottom"/>
                </w:tcPr>
                <w:p w14:paraId="7954C4E3"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1.07</w:t>
                  </w:r>
                </w:p>
              </w:tc>
              <w:tc>
                <w:tcPr>
                  <w:tcW w:w="501" w:type="pct"/>
                  <w:tcBorders>
                    <w:top w:val="nil"/>
                    <w:left w:val="nil"/>
                    <w:bottom w:val="nil"/>
                    <w:right w:val="nil"/>
                  </w:tcBorders>
                  <w:shd w:val="clear" w:color="auto" w:fill="auto"/>
                  <w:vAlign w:val="bottom"/>
                </w:tcPr>
                <w:p w14:paraId="7954C4E4"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0.73</w:t>
                  </w:r>
                </w:p>
              </w:tc>
              <w:tc>
                <w:tcPr>
                  <w:tcW w:w="501" w:type="pct"/>
                  <w:tcBorders>
                    <w:top w:val="nil"/>
                    <w:left w:val="nil"/>
                    <w:bottom w:val="nil"/>
                    <w:right w:val="nil"/>
                  </w:tcBorders>
                  <w:shd w:val="clear" w:color="auto" w:fill="auto"/>
                  <w:vAlign w:val="bottom"/>
                </w:tcPr>
                <w:p w14:paraId="7954C4E5"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0.55</w:t>
                  </w:r>
                </w:p>
              </w:tc>
              <w:tc>
                <w:tcPr>
                  <w:tcW w:w="499" w:type="pct"/>
                  <w:tcBorders>
                    <w:top w:val="nil"/>
                    <w:left w:val="nil"/>
                    <w:bottom w:val="nil"/>
                    <w:right w:val="nil"/>
                  </w:tcBorders>
                  <w:shd w:val="clear" w:color="auto" w:fill="auto"/>
                  <w:vAlign w:val="bottom"/>
                </w:tcPr>
                <w:p w14:paraId="7954C4E6"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1.52</w:t>
                  </w:r>
                </w:p>
              </w:tc>
              <w:tc>
                <w:tcPr>
                  <w:tcW w:w="497" w:type="pct"/>
                  <w:tcBorders>
                    <w:top w:val="nil"/>
                    <w:left w:val="nil"/>
                    <w:bottom w:val="nil"/>
                    <w:right w:val="nil"/>
                  </w:tcBorders>
                  <w:shd w:val="clear" w:color="auto" w:fill="auto"/>
                  <w:vAlign w:val="bottom"/>
                </w:tcPr>
                <w:p w14:paraId="7954C4E7"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0.28</w:t>
                  </w:r>
                </w:p>
              </w:tc>
              <w:tc>
                <w:tcPr>
                  <w:tcW w:w="497" w:type="pct"/>
                  <w:tcBorders>
                    <w:top w:val="nil"/>
                    <w:left w:val="nil"/>
                    <w:bottom w:val="nil"/>
                    <w:right w:val="nil"/>
                  </w:tcBorders>
                  <w:shd w:val="clear" w:color="auto" w:fill="auto"/>
                  <w:vAlign w:val="bottom"/>
                </w:tcPr>
                <w:p w14:paraId="7954C4E8"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1.52</w:t>
                  </w:r>
                </w:p>
              </w:tc>
            </w:tr>
            <w:tr w:rsidR="00F05DC7" w14:paraId="7954C4F4" w14:textId="77777777" w:rsidTr="00A3786D">
              <w:tc>
                <w:tcPr>
                  <w:tcW w:w="501" w:type="pct"/>
                  <w:vAlign w:val="bottom"/>
                </w:tcPr>
                <w:p w14:paraId="7954C4EA" w14:textId="77777777" w:rsidR="00F05DC7" w:rsidRPr="00670F76" w:rsidRDefault="00F05DC7" w:rsidP="00A3786D">
                  <w:pPr>
                    <w:pStyle w:val="TableBodyText"/>
                    <w:jc w:val="left"/>
                    <w:rPr>
                      <w:rFonts w:asciiTheme="minorHAnsi" w:hAnsiTheme="minorHAnsi" w:cstheme="minorHAnsi"/>
                      <w:szCs w:val="18"/>
                    </w:rPr>
                  </w:pPr>
                  <w:r w:rsidRPr="00670F76">
                    <w:rPr>
                      <w:rFonts w:asciiTheme="minorHAnsi" w:hAnsiTheme="minorHAnsi" w:cstheme="minorHAnsi"/>
                      <w:szCs w:val="18"/>
                    </w:rPr>
                    <w:t>2020</w:t>
                  </w:r>
                  <w:r>
                    <w:rPr>
                      <w:rFonts w:asciiTheme="minorHAnsi" w:hAnsiTheme="minorHAnsi" w:cstheme="minorHAnsi"/>
                      <w:szCs w:val="18"/>
                    </w:rPr>
                    <w:noBreakHyphen/>
                  </w:r>
                  <w:r w:rsidRPr="00670F76">
                    <w:rPr>
                      <w:rFonts w:asciiTheme="minorHAnsi" w:hAnsiTheme="minorHAnsi" w:cstheme="minorHAnsi"/>
                      <w:szCs w:val="18"/>
                    </w:rPr>
                    <w:t>21</w:t>
                  </w:r>
                </w:p>
              </w:tc>
              <w:tc>
                <w:tcPr>
                  <w:tcW w:w="501" w:type="pct"/>
                  <w:tcBorders>
                    <w:top w:val="nil"/>
                    <w:left w:val="nil"/>
                    <w:bottom w:val="nil"/>
                    <w:right w:val="nil"/>
                  </w:tcBorders>
                  <w:shd w:val="clear" w:color="auto" w:fill="auto"/>
                  <w:vAlign w:val="bottom"/>
                </w:tcPr>
                <w:p w14:paraId="7954C4EB"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1.58</w:t>
                  </w:r>
                </w:p>
              </w:tc>
              <w:tc>
                <w:tcPr>
                  <w:tcW w:w="501" w:type="pct"/>
                  <w:tcBorders>
                    <w:top w:val="nil"/>
                    <w:left w:val="nil"/>
                    <w:bottom w:val="nil"/>
                    <w:right w:val="nil"/>
                  </w:tcBorders>
                  <w:shd w:val="clear" w:color="auto" w:fill="auto"/>
                  <w:vAlign w:val="bottom"/>
                </w:tcPr>
                <w:p w14:paraId="7954C4EC"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2.08</w:t>
                  </w:r>
                </w:p>
              </w:tc>
              <w:tc>
                <w:tcPr>
                  <w:tcW w:w="501" w:type="pct"/>
                  <w:tcBorders>
                    <w:top w:val="nil"/>
                    <w:left w:val="nil"/>
                    <w:bottom w:val="nil"/>
                    <w:right w:val="nil"/>
                  </w:tcBorders>
                  <w:shd w:val="clear" w:color="auto" w:fill="auto"/>
                  <w:vAlign w:val="bottom"/>
                </w:tcPr>
                <w:p w14:paraId="7954C4ED"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1.43</w:t>
                  </w:r>
                </w:p>
              </w:tc>
              <w:tc>
                <w:tcPr>
                  <w:tcW w:w="501" w:type="pct"/>
                  <w:tcBorders>
                    <w:top w:val="nil"/>
                    <w:left w:val="nil"/>
                    <w:bottom w:val="nil"/>
                    <w:right w:val="nil"/>
                  </w:tcBorders>
                  <w:shd w:val="clear" w:color="auto" w:fill="auto"/>
                  <w:vAlign w:val="bottom"/>
                </w:tcPr>
                <w:p w14:paraId="7954C4EE"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1.08</w:t>
                  </w:r>
                </w:p>
              </w:tc>
              <w:tc>
                <w:tcPr>
                  <w:tcW w:w="501" w:type="pct"/>
                  <w:tcBorders>
                    <w:top w:val="nil"/>
                    <w:left w:val="nil"/>
                    <w:bottom w:val="nil"/>
                    <w:right w:val="nil"/>
                  </w:tcBorders>
                  <w:shd w:val="clear" w:color="auto" w:fill="auto"/>
                  <w:vAlign w:val="bottom"/>
                </w:tcPr>
                <w:p w14:paraId="7954C4EF"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0.75</w:t>
                  </w:r>
                </w:p>
              </w:tc>
              <w:tc>
                <w:tcPr>
                  <w:tcW w:w="501" w:type="pct"/>
                  <w:tcBorders>
                    <w:top w:val="nil"/>
                    <w:left w:val="nil"/>
                    <w:bottom w:val="nil"/>
                    <w:right w:val="nil"/>
                  </w:tcBorders>
                  <w:shd w:val="clear" w:color="auto" w:fill="auto"/>
                  <w:vAlign w:val="bottom"/>
                </w:tcPr>
                <w:p w14:paraId="7954C4F0"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0.56</w:t>
                  </w:r>
                </w:p>
              </w:tc>
              <w:tc>
                <w:tcPr>
                  <w:tcW w:w="499" w:type="pct"/>
                  <w:tcBorders>
                    <w:top w:val="nil"/>
                    <w:left w:val="nil"/>
                    <w:bottom w:val="nil"/>
                    <w:right w:val="nil"/>
                  </w:tcBorders>
                  <w:shd w:val="clear" w:color="auto" w:fill="auto"/>
                  <w:vAlign w:val="bottom"/>
                </w:tcPr>
                <w:p w14:paraId="7954C4F1"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1.52</w:t>
                  </w:r>
                </w:p>
              </w:tc>
              <w:tc>
                <w:tcPr>
                  <w:tcW w:w="497" w:type="pct"/>
                  <w:tcBorders>
                    <w:top w:val="nil"/>
                    <w:left w:val="nil"/>
                    <w:bottom w:val="nil"/>
                    <w:right w:val="nil"/>
                  </w:tcBorders>
                  <w:shd w:val="clear" w:color="auto" w:fill="auto"/>
                  <w:vAlign w:val="bottom"/>
                </w:tcPr>
                <w:p w14:paraId="7954C4F2"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0.28</w:t>
                  </w:r>
                </w:p>
              </w:tc>
              <w:tc>
                <w:tcPr>
                  <w:tcW w:w="497" w:type="pct"/>
                  <w:tcBorders>
                    <w:top w:val="nil"/>
                    <w:left w:val="nil"/>
                    <w:bottom w:val="nil"/>
                    <w:right w:val="nil"/>
                  </w:tcBorders>
                  <w:shd w:val="clear" w:color="auto" w:fill="auto"/>
                  <w:vAlign w:val="bottom"/>
                </w:tcPr>
                <w:p w14:paraId="7954C4F3"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1.53</w:t>
                  </w:r>
                </w:p>
              </w:tc>
            </w:tr>
            <w:tr w:rsidR="00F05DC7" w14:paraId="7954C4FF" w14:textId="77777777" w:rsidTr="00A3786D">
              <w:tc>
                <w:tcPr>
                  <w:tcW w:w="501" w:type="pct"/>
                  <w:vAlign w:val="bottom"/>
                </w:tcPr>
                <w:p w14:paraId="7954C4F5" w14:textId="77777777" w:rsidR="00F05DC7" w:rsidRPr="00670F76" w:rsidRDefault="00F05DC7" w:rsidP="00A3786D">
                  <w:pPr>
                    <w:pStyle w:val="TableBodyText"/>
                    <w:jc w:val="left"/>
                    <w:rPr>
                      <w:rFonts w:asciiTheme="minorHAnsi" w:hAnsiTheme="minorHAnsi" w:cstheme="minorHAnsi"/>
                      <w:szCs w:val="18"/>
                    </w:rPr>
                  </w:pPr>
                  <w:r w:rsidRPr="00670F76">
                    <w:rPr>
                      <w:rFonts w:asciiTheme="minorHAnsi" w:hAnsiTheme="minorHAnsi" w:cstheme="minorHAnsi"/>
                      <w:szCs w:val="18"/>
                    </w:rPr>
                    <w:t>2021</w:t>
                  </w:r>
                  <w:r>
                    <w:rPr>
                      <w:rFonts w:asciiTheme="minorHAnsi" w:hAnsiTheme="minorHAnsi" w:cstheme="minorHAnsi"/>
                      <w:szCs w:val="18"/>
                    </w:rPr>
                    <w:noBreakHyphen/>
                  </w:r>
                  <w:r w:rsidRPr="00670F76">
                    <w:rPr>
                      <w:rFonts w:asciiTheme="minorHAnsi" w:hAnsiTheme="minorHAnsi" w:cstheme="minorHAnsi"/>
                      <w:szCs w:val="18"/>
                    </w:rPr>
                    <w:t>22</w:t>
                  </w:r>
                </w:p>
              </w:tc>
              <w:tc>
                <w:tcPr>
                  <w:tcW w:w="501" w:type="pct"/>
                  <w:tcBorders>
                    <w:top w:val="nil"/>
                    <w:left w:val="nil"/>
                    <w:bottom w:val="nil"/>
                    <w:right w:val="nil"/>
                  </w:tcBorders>
                  <w:shd w:val="clear" w:color="auto" w:fill="auto"/>
                  <w:vAlign w:val="bottom"/>
                </w:tcPr>
                <w:p w14:paraId="7954C4F6"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1.58</w:t>
                  </w:r>
                </w:p>
              </w:tc>
              <w:tc>
                <w:tcPr>
                  <w:tcW w:w="501" w:type="pct"/>
                  <w:tcBorders>
                    <w:top w:val="nil"/>
                    <w:left w:val="nil"/>
                    <w:bottom w:val="nil"/>
                    <w:right w:val="nil"/>
                  </w:tcBorders>
                  <w:shd w:val="clear" w:color="auto" w:fill="auto"/>
                  <w:vAlign w:val="bottom"/>
                </w:tcPr>
                <w:p w14:paraId="7954C4F7"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2.08</w:t>
                  </w:r>
                </w:p>
              </w:tc>
              <w:tc>
                <w:tcPr>
                  <w:tcW w:w="501" w:type="pct"/>
                  <w:tcBorders>
                    <w:top w:val="nil"/>
                    <w:left w:val="nil"/>
                    <w:bottom w:val="nil"/>
                    <w:right w:val="nil"/>
                  </w:tcBorders>
                  <w:shd w:val="clear" w:color="auto" w:fill="auto"/>
                  <w:vAlign w:val="bottom"/>
                </w:tcPr>
                <w:p w14:paraId="7954C4F8"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1.43</w:t>
                  </w:r>
                </w:p>
              </w:tc>
              <w:tc>
                <w:tcPr>
                  <w:tcW w:w="501" w:type="pct"/>
                  <w:tcBorders>
                    <w:top w:val="nil"/>
                    <w:left w:val="nil"/>
                    <w:bottom w:val="nil"/>
                    <w:right w:val="nil"/>
                  </w:tcBorders>
                  <w:shd w:val="clear" w:color="auto" w:fill="auto"/>
                  <w:vAlign w:val="bottom"/>
                </w:tcPr>
                <w:p w14:paraId="7954C4F9"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1.08</w:t>
                  </w:r>
                </w:p>
              </w:tc>
              <w:tc>
                <w:tcPr>
                  <w:tcW w:w="501" w:type="pct"/>
                  <w:tcBorders>
                    <w:top w:val="nil"/>
                    <w:left w:val="nil"/>
                    <w:bottom w:val="nil"/>
                    <w:right w:val="nil"/>
                  </w:tcBorders>
                  <w:shd w:val="clear" w:color="auto" w:fill="auto"/>
                  <w:vAlign w:val="bottom"/>
                </w:tcPr>
                <w:p w14:paraId="7954C4FA"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0.75</w:t>
                  </w:r>
                </w:p>
              </w:tc>
              <w:tc>
                <w:tcPr>
                  <w:tcW w:w="501" w:type="pct"/>
                  <w:tcBorders>
                    <w:top w:val="nil"/>
                    <w:left w:val="nil"/>
                    <w:bottom w:val="nil"/>
                    <w:right w:val="nil"/>
                  </w:tcBorders>
                  <w:shd w:val="clear" w:color="auto" w:fill="auto"/>
                  <w:vAlign w:val="bottom"/>
                </w:tcPr>
                <w:p w14:paraId="7954C4FB"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0.56</w:t>
                  </w:r>
                </w:p>
              </w:tc>
              <w:tc>
                <w:tcPr>
                  <w:tcW w:w="499" w:type="pct"/>
                  <w:tcBorders>
                    <w:top w:val="nil"/>
                    <w:left w:val="nil"/>
                    <w:bottom w:val="nil"/>
                    <w:right w:val="nil"/>
                  </w:tcBorders>
                  <w:shd w:val="clear" w:color="auto" w:fill="auto"/>
                  <w:vAlign w:val="bottom"/>
                </w:tcPr>
                <w:p w14:paraId="7954C4FC"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1.52</w:t>
                  </w:r>
                </w:p>
              </w:tc>
              <w:tc>
                <w:tcPr>
                  <w:tcW w:w="497" w:type="pct"/>
                  <w:tcBorders>
                    <w:top w:val="nil"/>
                    <w:left w:val="nil"/>
                    <w:bottom w:val="nil"/>
                    <w:right w:val="nil"/>
                  </w:tcBorders>
                  <w:shd w:val="clear" w:color="auto" w:fill="auto"/>
                  <w:vAlign w:val="bottom"/>
                </w:tcPr>
                <w:p w14:paraId="7954C4FD"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0.28</w:t>
                  </w:r>
                </w:p>
              </w:tc>
              <w:tc>
                <w:tcPr>
                  <w:tcW w:w="497" w:type="pct"/>
                  <w:tcBorders>
                    <w:top w:val="nil"/>
                    <w:left w:val="nil"/>
                    <w:bottom w:val="nil"/>
                    <w:right w:val="nil"/>
                  </w:tcBorders>
                  <w:shd w:val="clear" w:color="auto" w:fill="auto"/>
                  <w:vAlign w:val="bottom"/>
                </w:tcPr>
                <w:p w14:paraId="7954C4FE"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1.53</w:t>
                  </w:r>
                </w:p>
              </w:tc>
            </w:tr>
            <w:tr w:rsidR="00F05DC7" w14:paraId="7954C50A" w14:textId="77777777" w:rsidTr="00A3786D">
              <w:tc>
                <w:tcPr>
                  <w:tcW w:w="501" w:type="pct"/>
                </w:tcPr>
                <w:p w14:paraId="7954C500" w14:textId="77777777" w:rsidR="00F05DC7" w:rsidRPr="00670F76" w:rsidRDefault="00F05DC7" w:rsidP="00A3786D">
                  <w:pPr>
                    <w:pStyle w:val="TableBodyText"/>
                    <w:jc w:val="left"/>
                    <w:rPr>
                      <w:rFonts w:asciiTheme="minorHAnsi" w:hAnsiTheme="minorHAnsi" w:cstheme="minorHAnsi"/>
                      <w:szCs w:val="18"/>
                    </w:rPr>
                  </w:pPr>
                  <w:r w:rsidRPr="00670F76">
                    <w:rPr>
                      <w:rFonts w:asciiTheme="minorHAnsi" w:hAnsiTheme="minorHAnsi" w:cstheme="minorHAnsi"/>
                      <w:szCs w:val="18"/>
                    </w:rPr>
                    <w:t>2022</w:t>
                  </w:r>
                  <w:r>
                    <w:rPr>
                      <w:rFonts w:asciiTheme="minorHAnsi" w:hAnsiTheme="minorHAnsi" w:cstheme="minorHAnsi"/>
                      <w:szCs w:val="18"/>
                    </w:rPr>
                    <w:noBreakHyphen/>
                  </w:r>
                  <w:r w:rsidRPr="00670F76">
                    <w:rPr>
                      <w:rFonts w:asciiTheme="minorHAnsi" w:hAnsiTheme="minorHAnsi" w:cstheme="minorHAnsi"/>
                      <w:szCs w:val="18"/>
                    </w:rPr>
                    <w:t>23</w:t>
                  </w:r>
                </w:p>
              </w:tc>
              <w:tc>
                <w:tcPr>
                  <w:tcW w:w="501" w:type="pct"/>
                  <w:tcBorders>
                    <w:top w:val="nil"/>
                    <w:left w:val="nil"/>
                    <w:bottom w:val="nil"/>
                    <w:right w:val="nil"/>
                  </w:tcBorders>
                  <w:shd w:val="clear" w:color="auto" w:fill="auto"/>
                  <w:vAlign w:val="bottom"/>
                </w:tcPr>
                <w:p w14:paraId="7954C501"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1.58</w:t>
                  </w:r>
                </w:p>
              </w:tc>
              <w:tc>
                <w:tcPr>
                  <w:tcW w:w="501" w:type="pct"/>
                  <w:tcBorders>
                    <w:top w:val="nil"/>
                    <w:left w:val="nil"/>
                    <w:bottom w:val="nil"/>
                    <w:right w:val="nil"/>
                  </w:tcBorders>
                  <w:shd w:val="clear" w:color="auto" w:fill="auto"/>
                  <w:vAlign w:val="bottom"/>
                </w:tcPr>
                <w:p w14:paraId="7954C502"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2.08</w:t>
                  </w:r>
                </w:p>
              </w:tc>
              <w:tc>
                <w:tcPr>
                  <w:tcW w:w="501" w:type="pct"/>
                  <w:tcBorders>
                    <w:top w:val="nil"/>
                    <w:left w:val="nil"/>
                    <w:bottom w:val="nil"/>
                    <w:right w:val="nil"/>
                  </w:tcBorders>
                  <w:shd w:val="clear" w:color="auto" w:fill="auto"/>
                  <w:vAlign w:val="bottom"/>
                </w:tcPr>
                <w:p w14:paraId="7954C503"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1.43</w:t>
                  </w:r>
                </w:p>
              </w:tc>
              <w:tc>
                <w:tcPr>
                  <w:tcW w:w="501" w:type="pct"/>
                  <w:tcBorders>
                    <w:top w:val="nil"/>
                    <w:left w:val="nil"/>
                    <w:bottom w:val="nil"/>
                    <w:right w:val="nil"/>
                  </w:tcBorders>
                  <w:shd w:val="clear" w:color="auto" w:fill="auto"/>
                  <w:vAlign w:val="bottom"/>
                </w:tcPr>
                <w:p w14:paraId="7954C504"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1.08</w:t>
                  </w:r>
                </w:p>
              </w:tc>
              <w:tc>
                <w:tcPr>
                  <w:tcW w:w="501" w:type="pct"/>
                  <w:tcBorders>
                    <w:top w:val="nil"/>
                    <w:left w:val="nil"/>
                    <w:bottom w:val="nil"/>
                    <w:right w:val="nil"/>
                  </w:tcBorders>
                  <w:shd w:val="clear" w:color="auto" w:fill="auto"/>
                  <w:vAlign w:val="bottom"/>
                </w:tcPr>
                <w:p w14:paraId="7954C505"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0.75</w:t>
                  </w:r>
                </w:p>
              </w:tc>
              <w:tc>
                <w:tcPr>
                  <w:tcW w:w="501" w:type="pct"/>
                  <w:tcBorders>
                    <w:top w:val="nil"/>
                    <w:left w:val="nil"/>
                    <w:bottom w:val="nil"/>
                    <w:right w:val="nil"/>
                  </w:tcBorders>
                  <w:shd w:val="clear" w:color="auto" w:fill="auto"/>
                  <w:vAlign w:val="bottom"/>
                </w:tcPr>
                <w:p w14:paraId="7954C506"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0.56</w:t>
                  </w:r>
                </w:p>
              </w:tc>
              <w:tc>
                <w:tcPr>
                  <w:tcW w:w="499" w:type="pct"/>
                  <w:tcBorders>
                    <w:top w:val="nil"/>
                    <w:left w:val="nil"/>
                    <w:bottom w:val="nil"/>
                    <w:right w:val="nil"/>
                  </w:tcBorders>
                  <w:shd w:val="clear" w:color="auto" w:fill="auto"/>
                  <w:vAlign w:val="bottom"/>
                </w:tcPr>
                <w:p w14:paraId="7954C507"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1.52</w:t>
                  </w:r>
                </w:p>
              </w:tc>
              <w:tc>
                <w:tcPr>
                  <w:tcW w:w="497" w:type="pct"/>
                  <w:tcBorders>
                    <w:top w:val="nil"/>
                    <w:left w:val="nil"/>
                    <w:bottom w:val="nil"/>
                    <w:right w:val="nil"/>
                  </w:tcBorders>
                  <w:shd w:val="clear" w:color="auto" w:fill="auto"/>
                  <w:vAlign w:val="bottom"/>
                </w:tcPr>
                <w:p w14:paraId="7954C508"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0.28</w:t>
                  </w:r>
                </w:p>
              </w:tc>
              <w:tc>
                <w:tcPr>
                  <w:tcW w:w="497" w:type="pct"/>
                  <w:tcBorders>
                    <w:top w:val="nil"/>
                    <w:left w:val="nil"/>
                    <w:bottom w:val="nil"/>
                    <w:right w:val="nil"/>
                  </w:tcBorders>
                  <w:shd w:val="clear" w:color="auto" w:fill="auto"/>
                  <w:vAlign w:val="bottom"/>
                </w:tcPr>
                <w:p w14:paraId="7954C509"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1.54</w:t>
                  </w:r>
                </w:p>
              </w:tc>
            </w:tr>
            <w:tr w:rsidR="00F05DC7" w14:paraId="7954C515" w14:textId="77777777" w:rsidTr="00A3786D">
              <w:tc>
                <w:tcPr>
                  <w:tcW w:w="501" w:type="pct"/>
                </w:tcPr>
                <w:p w14:paraId="7954C50B" w14:textId="77777777" w:rsidR="00F05DC7" w:rsidRPr="00670F76" w:rsidRDefault="00F05DC7" w:rsidP="00A3786D">
                  <w:pPr>
                    <w:pStyle w:val="TableBodyText"/>
                    <w:jc w:val="left"/>
                    <w:rPr>
                      <w:rFonts w:asciiTheme="minorHAnsi" w:hAnsiTheme="minorHAnsi" w:cstheme="minorHAnsi"/>
                      <w:szCs w:val="18"/>
                    </w:rPr>
                  </w:pPr>
                  <w:r w:rsidRPr="00670F76">
                    <w:rPr>
                      <w:rFonts w:asciiTheme="minorHAnsi" w:hAnsiTheme="minorHAnsi" w:cstheme="minorHAnsi"/>
                      <w:szCs w:val="18"/>
                    </w:rPr>
                    <w:t>2023</w:t>
                  </w:r>
                  <w:r>
                    <w:rPr>
                      <w:rFonts w:asciiTheme="minorHAnsi" w:hAnsiTheme="minorHAnsi" w:cstheme="minorHAnsi"/>
                      <w:szCs w:val="18"/>
                    </w:rPr>
                    <w:noBreakHyphen/>
                  </w:r>
                  <w:r w:rsidRPr="00670F76">
                    <w:rPr>
                      <w:rFonts w:asciiTheme="minorHAnsi" w:hAnsiTheme="minorHAnsi" w:cstheme="minorHAnsi"/>
                      <w:szCs w:val="18"/>
                    </w:rPr>
                    <w:t>24</w:t>
                  </w:r>
                </w:p>
              </w:tc>
              <w:tc>
                <w:tcPr>
                  <w:tcW w:w="501" w:type="pct"/>
                  <w:tcBorders>
                    <w:top w:val="nil"/>
                    <w:left w:val="nil"/>
                    <w:bottom w:val="nil"/>
                    <w:right w:val="nil"/>
                  </w:tcBorders>
                  <w:shd w:val="clear" w:color="auto" w:fill="auto"/>
                  <w:vAlign w:val="bottom"/>
                </w:tcPr>
                <w:p w14:paraId="7954C50C"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1.58</w:t>
                  </w:r>
                </w:p>
              </w:tc>
              <w:tc>
                <w:tcPr>
                  <w:tcW w:w="501" w:type="pct"/>
                  <w:tcBorders>
                    <w:top w:val="nil"/>
                    <w:left w:val="nil"/>
                    <w:bottom w:val="nil"/>
                    <w:right w:val="nil"/>
                  </w:tcBorders>
                  <w:shd w:val="clear" w:color="auto" w:fill="auto"/>
                  <w:vAlign w:val="bottom"/>
                </w:tcPr>
                <w:p w14:paraId="7954C50D"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2.08</w:t>
                  </w:r>
                </w:p>
              </w:tc>
              <w:tc>
                <w:tcPr>
                  <w:tcW w:w="501" w:type="pct"/>
                  <w:tcBorders>
                    <w:top w:val="nil"/>
                    <w:left w:val="nil"/>
                    <w:bottom w:val="nil"/>
                    <w:right w:val="nil"/>
                  </w:tcBorders>
                  <w:shd w:val="clear" w:color="auto" w:fill="auto"/>
                  <w:vAlign w:val="bottom"/>
                </w:tcPr>
                <w:p w14:paraId="7954C50E"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1.43</w:t>
                  </w:r>
                </w:p>
              </w:tc>
              <w:tc>
                <w:tcPr>
                  <w:tcW w:w="501" w:type="pct"/>
                  <w:tcBorders>
                    <w:top w:val="nil"/>
                    <w:left w:val="nil"/>
                    <w:bottom w:val="nil"/>
                    <w:right w:val="nil"/>
                  </w:tcBorders>
                  <w:shd w:val="clear" w:color="auto" w:fill="auto"/>
                  <w:vAlign w:val="bottom"/>
                </w:tcPr>
                <w:p w14:paraId="7954C50F"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1.08</w:t>
                  </w:r>
                </w:p>
              </w:tc>
              <w:tc>
                <w:tcPr>
                  <w:tcW w:w="501" w:type="pct"/>
                  <w:tcBorders>
                    <w:top w:val="nil"/>
                    <w:left w:val="nil"/>
                    <w:bottom w:val="nil"/>
                    <w:right w:val="nil"/>
                  </w:tcBorders>
                  <w:shd w:val="clear" w:color="auto" w:fill="auto"/>
                  <w:vAlign w:val="bottom"/>
                </w:tcPr>
                <w:p w14:paraId="7954C510"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0.75</w:t>
                  </w:r>
                </w:p>
              </w:tc>
              <w:tc>
                <w:tcPr>
                  <w:tcW w:w="501" w:type="pct"/>
                  <w:tcBorders>
                    <w:top w:val="nil"/>
                    <w:left w:val="nil"/>
                    <w:bottom w:val="nil"/>
                    <w:right w:val="nil"/>
                  </w:tcBorders>
                  <w:shd w:val="clear" w:color="auto" w:fill="auto"/>
                  <w:vAlign w:val="bottom"/>
                </w:tcPr>
                <w:p w14:paraId="7954C511"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0.56</w:t>
                  </w:r>
                </w:p>
              </w:tc>
              <w:tc>
                <w:tcPr>
                  <w:tcW w:w="499" w:type="pct"/>
                  <w:tcBorders>
                    <w:top w:val="nil"/>
                    <w:left w:val="nil"/>
                    <w:bottom w:val="nil"/>
                    <w:right w:val="nil"/>
                  </w:tcBorders>
                  <w:shd w:val="clear" w:color="auto" w:fill="auto"/>
                  <w:vAlign w:val="bottom"/>
                </w:tcPr>
                <w:p w14:paraId="7954C512"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1.52</w:t>
                  </w:r>
                </w:p>
              </w:tc>
              <w:tc>
                <w:tcPr>
                  <w:tcW w:w="497" w:type="pct"/>
                  <w:tcBorders>
                    <w:top w:val="nil"/>
                    <w:left w:val="nil"/>
                    <w:bottom w:val="nil"/>
                    <w:right w:val="nil"/>
                  </w:tcBorders>
                  <w:shd w:val="clear" w:color="auto" w:fill="auto"/>
                  <w:vAlign w:val="bottom"/>
                </w:tcPr>
                <w:p w14:paraId="7954C513"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0.28</w:t>
                  </w:r>
                </w:p>
              </w:tc>
              <w:tc>
                <w:tcPr>
                  <w:tcW w:w="497" w:type="pct"/>
                  <w:tcBorders>
                    <w:top w:val="nil"/>
                    <w:left w:val="nil"/>
                    <w:bottom w:val="nil"/>
                    <w:right w:val="nil"/>
                  </w:tcBorders>
                  <w:shd w:val="clear" w:color="auto" w:fill="auto"/>
                  <w:vAlign w:val="bottom"/>
                </w:tcPr>
                <w:p w14:paraId="7954C514"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1.54</w:t>
                  </w:r>
                </w:p>
              </w:tc>
            </w:tr>
            <w:tr w:rsidR="00F05DC7" w14:paraId="7954C520" w14:textId="77777777" w:rsidTr="00A3786D">
              <w:tc>
                <w:tcPr>
                  <w:tcW w:w="501" w:type="pct"/>
                </w:tcPr>
                <w:p w14:paraId="7954C516" w14:textId="77777777" w:rsidR="00F05DC7" w:rsidRPr="00670F76" w:rsidRDefault="00F05DC7" w:rsidP="00A3786D">
                  <w:pPr>
                    <w:pStyle w:val="TableBodyText"/>
                    <w:jc w:val="left"/>
                    <w:rPr>
                      <w:rFonts w:asciiTheme="minorHAnsi" w:hAnsiTheme="minorHAnsi" w:cstheme="minorHAnsi"/>
                      <w:szCs w:val="18"/>
                    </w:rPr>
                  </w:pPr>
                  <w:r w:rsidRPr="00670F76">
                    <w:rPr>
                      <w:rFonts w:asciiTheme="minorHAnsi" w:hAnsiTheme="minorHAnsi" w:cstheme="minorHAnsi"/>
                      <w:szCs w:val="18"/>
                    </w:rPr>
                    <w:t>2024</w:t>
                  </w:r>
                  <w:r>
                    <w:rPr>
                      <w:rFonts w:asciiTheme="minorHAnsi" w:hAnsiTheme="minorHAnsi" w:cstheme="minorHAnsi"/>
                      <w:szCs w:val="18"/>
                    </w:rPr>
                    <w:noBreakHyphen/>
                  </w:r>
                  <w:r w:rsidRPr="00670F76">
                    <w:rPr>
                      <w:rFonts w:asciiTheme="minorHAnsi" w:hAnsiTheme="minorHAnsi" w:cstheme="minorHAnsi"/>
                      <w:szCs w:val="18"/>
                    </w:rPr>
                    <w:t>25</w:t>
                  </w:r>
                </w:p>
              </w:tc>
              <w:tc>
                <w:tcPr>
                  <w:tcW w:w="501" w:type="pct"/>
                  <w:tcBorders>
                    <w:top w:val="nil"/>
                    <w:left w:val="nil"/>
                    <w:bottom w:val="nil"/>
                    <w:right w:val="nil"/>
                  </w:tcBorders>
                  <w:shd w:val="clear" w:color="auto" w:fill="auto"/>
                  <w:vAlign w:val="bottom"/>
                </w:tcPr>
                <w:p w14:paraId="7954C517"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1.58</w:t>
                  </w:r>
                </w:p>
              </w:tc>
              <w:tc>
                <w:tcPr>
                  <w:tcW w:w="501" w:type="pct"/>
                  <w:tcBorders>
                    <w:top w:val="nil"/>
                    <w:left w:val="nil"/>
                    <w:bottom w:val="nil"/>
                    <w:right w:val="nil"/>
                  </w:tcBorders>
                  <w:shd w:val="clear" w:color="auto" w:fill="auto"/>
                  <w:vAlign w:val="bottom"/>
                </w:tcPr>
                <w:p w14:paraId="7954C518"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2.08</w:t>
                  </w:r>
                </w:p>
              </w:tc>
              <w:tc>
                <w:tcPr>
                  <w:tcW w:w="501" w:type="pct"/>
                  <w:tcBorders>
                    <w:top w:val="nil"/>
                    <w:left w:val="nil"/>
                    <w:bottom w:val="nil"/>
                    <w:right w:val="nil"/>
                  </w:tcBorders>
                  <w:shd w:val="clear" w:color="auto" w:fill="auto"/>
                  <w:vAlign w:val="bottom"/>
                </w:tcPr>
                <w:p w14:paraId="7954C519"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1.43</w:t>
                  </w:r>
                </w:p>
              </w:tc>
              <w:tc>
                <w:tcPr>
                  <w:tcW w:w="501" w:type="pct"/>
                  <w:tcBorders>
                    <w:top w:val="nil"/>
                    <w:left w:val="nil"/>
                    <w:bottom w:val="nil"/>
                    <w:right w:val="nil"/>
                  </w:tcBorders>
                  <w:shd w:val="clear" w:color="auto" w:fill="auto"/>
                  <w:vAlign w:val="bottom"/>
                </w:tcPr>
                <w:p w14:paraId="7954C51A"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1.08</w:t>
                  </w:r>
                </w:p>
              </w:tc>
              <w:tc>
                <w:tcPr>
                  <w:tcW w:w="501" w:type="pct"/>
                  <w:tcBorders>
                    <w:top w:val="nil"/>
                    <w:left w:val="nil"/>
                    <w:bottom w:val="nil"/>
                    <w:right w:val="nil"/>
                  </w:tcBorders>
                  <w:shd w:val="clear" w:color="auto" w:fill="auto"/>
                  <w:vAlign w:val="bottom"/>
                </w:tcPr>
                <w:p w14:paraId="7954C51B"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0.75</w:t>
                  </w:r>
                </w:p>
              </w:tc>
              <w:tc>
                <w:tcPr>
                  <w:tcW w:w="501" w:type="pct"/>
                  <w:tcBorders>
                    <w:top w:val="nil"/>
                    <w:left w:val="nil"/>
                    <w:bottom w:val="nil"/>
                    <w:right w:val="nil"/>
                  </w:tcBorders>
                  <w:shd w:val="clear" w:color="auto" w:fill="auto"/>
                  <w:vAlign w:val="bottom"/>
                </w:tcPr>
                <w:p w14:paraId="7954C51C"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0.56</w:t>
                  </w:r>
                </w:p>
              </w:tc>
              <w:tc>
                <w:tcPr>
                  <w:tcW w:w="499" w:type="pct"/>
                  <w:tcBorders>
                    <w:top w:val="nil"/>
                    <w:left w:val="nil"/>
                    <w:bottom w:val="nil"/>
                    <w:right w:val="nil"/>
                  </w:tcBorders>
                  <w:shd w:val="clear" w:color="auto" w:fill="auto"/>
                  <w:vAlign w:val="bottom"/>
                </w:tcPr>
                <w:p w14:paraId="7954C51D"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1.52</w:t>
                  </w:r>
                </w:p>
              </w:tc>
              <w:tc>
                <w:tcPr>
                  <w:tcW w:w="497" w:type="pct"/>
                  <w:tcBorders>
                    <w:top w:val="nil"/>
                    <w:left w:val="nil"/>
                    <w:bottom w:val="nil"/>
                    <w:right w:val="nil"/>
                  </w:tcBorders>
                  <w:shd w:val="clear" w:color="auto" w:fill="auto"/>
                  <w:vAlign w:val="bottom"/>
                </w:tcPr>
                <w:p w14:paraId="7954C51E"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0.28</w:t>
                  </w:r>
                </w:p>
              </w:tc>
              <w:tc>
                <w:tcPr>
                  <w:tcW w:w="497" w:type="pct"/>
                  <w:tcBorders>
                    <w:top w:val="nil"/>
                    <w:left w:val="nil"/>
                    <w:bottom w:val="nil"/>
                    <w:right w:val="nil"/>
                  </w:tcBorders>
                  <w:shd w:val="clear" w:color="auto" w:fill="auto"/>
                  <w:vAlign w:val="bottom"/>
                </w:tcPr>
                <w:p w14:paraId="7954C51F"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1.54</w:t>
                  </w:r>
                </w:p>
              </w:tc>
            </w:tr>
            <w:tr w:rsidR="00F05DC7" w14:paraId="7954C52B" w14:textId="77777777" w:rsidTr="00A3786D">
              <w:tc>
                <w:tcPr>
                  <w:tcW w:w="501" w:type="pct"/>
                </w:tcPr>
                <w:p w14:paraId="7954C521" w14:textId="77777777" w:rsidR="00F05DC7" w:rsidRPr="00670F76" w:rsidRDefault="00F05DC7" w:rsidP="00A3786D">
                  <w:pPr>
                    <w:pStyle w:val="TableBodyText"/>
                    <w:jc w:val="left"/>
                    <w:rPr>
                      <w:rFonts w:asciiTheme="minorHAnsi" w:hAnsiTheme="minorHAnsi" w:cstheme="minorHAnsi"/>
                      <w:szCs w:val="18"/>
                    </w:rPr>
                  </w:pPr>
                  <w:r w:rsidRPr="00670F76">
                    <w:rPr>
                      <w:rFonts w:asciiTheme="minorHAnsi" w:hAnsiTheme="minorHAnsi" w:cstheme="minorHAnsi"/>
                      <w:szCs w:val="18"/>
                    </w:rPr>
                    <w:t>2025</w:t>
                  </w:r>
                  <w:r>
                    <w:rPr>
                      <w:rFonts w:asciiTheme="minorHAnsi" w:hAnsiTheme="minorHAnsi" w:cstheme="minorHAnsi"/>
                      <w:szCs w:val="18"/>
                    </w:rPr>
                    <w:noBreakHyphen/>
                  </w:r>
                  <w:r w:rsidRPr="00670F76">
                    <w:rPr>
                      <w:rFonts w:asciiTheme="minorHAnsi" w:hAnsiTheme="minorHAnsi" w:cstheme="minorHAnsi"/>
                      <w:szCs w:val="18"/>
                    </w:rPr>
                    <w:t>26</w:t>
                  </w:r>
                </w:p>
              </w:tc>
              <w:tc>
                <w:tcPr>
                  <w:tcW w:w="501" w:type="pct"/>
                  <w:tcBorders>
                    <w:top w:val="nil"/>
                    <w:left w:val="nil"/>
                    <w:bottom w:val="nil"/>
                    <w:right w:val="nil"/>
                  </w:tcBorders>
                  <w:shd w:val="clear" w:color="auto" w:fill="auto"/>
                  <w:vAlign w:val="bottom"/>
                </w:tcPr>
                <w:p w14:paraId="7954C522"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1.58</w:t>
                  </w:r>
                </w:p>
              </w:tc>
              <w:tc>
                <w:tcPr>
                  <w:tcW w:w="501" w:type="pct"/>
                  <w:tcBorders>
                    <w:top w:val="nil"/>
                    <w:left w:val="nil"/>
                    <w:bottom w:val="nil"/>
                    <w:right w:val="nil"/>
                  </w:tcBorders>
                  <w:shd w:val="clear" w:color="auto" w:fill="auto"/>
                  <w:vAlign w:val="bottom"/>
                </w:tcPr>
                <w:p w14:paraId="7954C523"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2.08</w:t>
                  </w:r>
                </w:p>
              </w:tc>
              <w:tc>
                <w:tcPr>
                  <w:tcW w:w="501" w:type="pct"/>
                  <w:tcBorders>
                    <w:top w:val="nil"/>
                    <w:left w:val="nil"/>
                    <w:bottom w:val="nil"/>
                    <w:right w:val="nil"/>
                  </w:tcBorders>
                  <w:shd w:val="clear" w:color="auto" w:fill="auto"/>
                  <w:vAlign w:val="bottom"/>
                </w:tcPr>
                <w:p w14:paraId="7954C524"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1.43</w:t>
                  </w:r>
                </w:p>
              </w:tc>
              <w:tc>
                <w:tcPr>
                  <w:tcW w:w="501" w:type="pct"/>
                  <w:tcBorders>
                    <w:top w:val="nil"/>
                    <w:left w:val="nil"/>
                    <w:bottom w:val="nil"/>
                    <w:right w:val="nil"/>
                  </w:tcBorders>
                  <w:shd w:val="clear" w:color="auto" w:fill="auto"/>
                  <w:vAlign w:val="bottom"/>
                </w:tcPr>
                <w:p w14:paraId="7954C525"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1.08</w:t>
                  </w:r>
                </w:p>
              </w:tc>
              <w:tc>
                <w:tcPr>
                  <w:tcW w:w="501" w:type="pct"/>
                  <w:tcBorders>
                    <w:top w:val="nil"/>
                    <w:left w:val="nil"/>
                    <w:bottom w:val="nil"/>
                    <w:right w:val="nil"/>
                  </w:tcBorders>
                  <w:shd w:val="clear" w:color="auto" w:fill="auto"/>
                  <w:vAlign w:val="bottom"/>
                </w:tcPr>
                <w:p w14:paraId="7954C526"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0.75</w:t>
                  </w:r>
                </w:p>
              </w:tc>
              <w:tc>
                <w:tcPr>
                  <w:tcW w:w="501" w:type="pct"/>
                  <w:tcBorders>
                    <w:top w:val="nil"/>
                    <w:left w:val="nil"/>
                    <w:bottom w:val="nil"/>
                    <w:right w:val="nil"/>
                  </w:tcBorders>
                  <w:shd w:val="clear" w:color="auto" w:fill="auto"/>
                  <w:vAlign w:val="bottom"/>
                </w:tcPr>
                <w:p w14:paraId="7954C527"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0.56</w:t>
                  </w:r>
                </w:p>
              </w:tc>
              <w:tc>
                <w:tcPr>
                  <w:tcW w:w="499" w:type="pct"/>
                  <w:tcBorders>
                    <w:top w:val="nil"/>
                    <w:left w:val="nil"/>
                    <w:bottom w:val="nil"/>
                    <w:right w:val="nil"/>
                  </w:tcBorders>
                  <w:shd w:val="clear" w:color="auto" w:fill="auto"/>
                  <w:vAlign w:val="bottom"/>
                </w:tcPr>
                <w:p w14:paraId="7954C528"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1.52</w:t>
                  </w:r>
                </w:p>
              </w:tc>
              <w:tc>
                <w:tcPr>
                  <w:tcW w:w="497" w:type="pct"/>
                  <w:tcBorders>
                    <w:top w:val="nil"/>
                    <w:left w:val="nil"/>
                    <w:bottom w:val="nil"/>
                    <w:right w:val="nil"/>
                  </w:tcBorders>
                  <w:shd w:val="clear" w:color="auto" w:fill="auto"/>
                  <w:vAlign w:val="bottom"/>
                </w:tcPr>
                <w:p w14:paraId="7954C529"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0.28</w:t>
                  </w:r>
                </w:p>
              </w:tc>
              <w:tc>
                <w:tcPr>
                  <w:tcW w:w="497" w:type="pct"/>
                  <w:tcBorders>
                    <w:top w:val="nil"/>
                    <w:left w:val="nil"/>
                    <w:bottom w:val="nil"/>
                    <w:right w:val="nil"/>
                  </w:tcBorders>
                  <w:shd w:val="clear" w:color="auto" w:fill="auto"/>
                  <w:vAlign w:val="bottom"/>
                </w:tcPr>
                <w:p w14:paraId="7954C52A"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1.54</w:t>
                  </w:r>
                </w:p>
              </w:tc>
            </w:tr>
            <w:tr w:rsidR="00F05DC7" w14:paraId="7954C536" w14:textId="77777777" w:rsidTr="00A3786D">
              <w:tc>
                <w:tcPr>
                  <w:tcW w:w="501" w:type="pct"/>
                  <w:tcBorders>
                    <w:bottom w:val="single" w:sz="6" w:space="0" w:color="D9D9D9" w:themeColor="background1" w:themeShade="D9"/>
                  </w:tcBorders>
                </w:tcPr>
                <w:p w14:paraId="7954C52C" w14:textId="77777777" w:rsidR="00F05DC7" w:rsidRPr="00670F76" w:rsidRDefault="00F05DC7" w:rsidP="00A3786D">
                  <w:pPr>
                    <w:pStyle w:val="TableBodyText"/>
                    <w:jc w:val="left"/>
                    <w:rPr>
                      <w:rFonts w:asciiTheme="minorHAnsi" w:hAnsiTheme="minorHAnsi" w:cstheme="minorHAnsi"/>
                      <w:szCs w:val="18"/>
                    </w:rPr>
                  </w:pPr>
                  <w:r w:rsidRPr="00670F76">
                    <w:rPr>
                      <w:rFonts w:asciiTheme="minorHAnsi" w:hAnsiTheme="minorHAnsi" w:cstheme="minorHAnsi"/>
                      <w:szCs w:val="18"/>
                    </w:rPr>
                    <w:t>2026</w:t>
                  </w:r>
                  <w:r>
                    <w:rPr>
                      <w:rFonts w:asciiTheme="minorHAnsi" w:hAnsiTheme="minorHAnsi" w:cstheme="minorHAnsi"/>
                      <w:szCs w:val="18"/>
                    </w:rPr>
                    <w:noBreakHyphen/>
                  </w:r>
                  <w:r w:rsidRPr="00670F76">
                    <w:rPr>
                      <w:rFonts w:asciiTheme="minorHAnsi" w:hAnsiTheme="minorHAnsi" w:cstheme="minorHAnsi"/>
                      <w:szCs w:val="18"/>
                    </w:rPr>
                    <w:t>27</w:t>
                  </w:r>
                </w:p>
              </w:tc>
              <w:tc>
                <w:tcPr>
                  <w:tcW w:w="501" w:type="pct"/>
                  <w:tcBorders>
                    <w:top w:val="nil"/>
                    <w:left w:val="nil"/>
                    <w:bottom w:val="single" w:sz="6" w:space="0" w:color="D9D9D9" w:themeColor="background1" w:themeShade="D9"/>
                    <w:right w:val="nil"/>
                  </w:tcBorders>
                  <w:shd w:val="clear" w:color="auto" w:fill="auto"/>
                  <w:vAlign w:val="bottom"/>
                </w:tcPr>
                <w:p w14:paraId="7954C52D"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1.58</w:t>
                  </w:r>
                </w:p>
              </w:tc>
              <w:tc>
                <w:tcPr>
                  <w:tcW w:w="501" w:type="pct"/>
                  <w:tcBorders>
                    <w:top w:val="nil"/>
                    <w:left w:val="nil"/>
                    <w:bottom w:val="single" w:sz="6" w:space="0" w:color="D9D9D9" w:themeColor="background1" w:themeShade="D9"/>
                    <w:right w:val="nil"/>
                  </w:tcBorders>
                  <w:shd w:val="clear" w:color="auto" w:fill="auto"/>
                  <w:vAlign w:val="bottom"/>
                </w:tcPr>
                <w:p w14:paraId="7954C52E"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2.08</w:t>
                  </w:r>
                </w:p>
              </w:tc>
              <w:tc>
                <w:tcPr>
                  <w:tcW w:w="501" w:type="pct"/>
                  <w:tcBorders>
                    <w:top w:val="nil"/>
                    <w:left w:val="nil"/>
                    <w:bottom w:val="single" w:sz="6" w:space="0" w:color="D9D9D9" w:themeColor="background1" w:themeShade="D9"/>
                    <w:right w:val="nil"/>
                  </w:tcBorders>
                  <w:shd w:val="clear" w:color="auto" w:fill="auto"/>
                  <w:vAlign w:val="bottom"/>
                </w:tcPr>
                <w:p w14:paraId="7954C52F"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1.43</w:t>
                  </w:r>
                </w:p>
              </w:tc>
              <w:tc>
                <w:tcPr>
                  <w:tcW w:w="501" w:type="pct"/>
                  <w:tcBorders>
                    <w:top w:val="nil"/>
                    <w:left w:val="nil"/>
                    <w:bottom w:val="single" w:sz="6" w:space="0" w:color="D9D9D9" w:themeColor="background1" w:themeShade="D9"/>
                    <w:right w:val="nil"/>
                  </w:tcBorders>
                  <w:shd w:val="clear" w:color="auto" w:fill="auto"/>
                  <w:vAlign w:val="bottom"/>
                </w:tcPr>
                <w:p w14:paraId="7954C530"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1.08</w:t>
                  </w:r>
                </w:p>
              </w:tc>
              <w:tc>
                <w:tcPr>
                  <w:tcW w:w="501" w:type="pct"/>
                  <w:tcBorders>
                    <w:top w:val="nil"/>
                    <w:left w:val="nil"/>
                    <w:bottom w:val="single" w:sz="6" w:space="0" w:color="D9D9D9" w:themeColor="background1" w:themeShade="D9"/>
                    <w:right w:val="nil"/>
                  </w:tcBorders>
                  <w:shd w:val="clear" w:color="auto" w:fill="auto"/>
                  <w:vAlign w:val="bottom"/>
                </w:tcPr>
                <w:p w14:paraId="7954C531"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0.75</w:t>
                  </w:r>
                </w:p>
              </w:tc>
              <w:tc>
                <w:tcPr>
                  <w:tcW w:w="501" w:type="pct"/>
                  <w:tcBorders>
                    <w:top w:val="nil"/>
                    <w:left w:val="nil"/>
                    <w:bottom w:val="single" w:sz="6" w:space="0" w:color="D9D9D9" w:themeColor="background1" w:themeShade="D9"/>
                    <w:right w:val="nil"/>
                  </w:tcBorders>
                  <w:shd w:val="clear" w:color="auto" w:fill="auto"/>
                  <w:vAlign w:val="bottom"/>
                </w:tcPr>
                <w:p w14:paraId="7954C532" w14:textId="77777777" w:rsidR="00F05DC7" w:rsidRPr="00670F76" w:rsidRDefault="00F05DC7" w:rsidP="00A3786D">
                  <w:pPr>
                    <w:pStyle w:val="TableBodyText"/>
                    <w:rPr>
                      <w:rFonts w:asciiTheme="minorHAnsi" w:hAnsiTheme="minorHAnsi" w:cstheme="minorHAnsi"/>
                      <w:szCs w:val="18"/>
                    </w:rPr>
                  </w:pPr>
                  <w:r w:rsidRPr="00670F76">
                    <w:rPr>
                      <w:rFonts w:asciiTheme="minorHAnsi" w:hAnsiTheme="minorHAnsi" w:cstheme="minorHAnsi"/>
                      <w:color w:val="000000"/>
                      <w:szCs w:val="18"/>
                    </w:rPr>
                    <w:t>0.56</w:t>
                  </w:r>
                </w:p>
              </w:tc>
              <w:tc>
                <w:tcPr>
                  <w:tcW w:w="499" w:type="pct"/>
                  <w:tcBorders>
                    <w:top w:val="nil"/>
                    <w:left w:val="nil"/>
                    <w:bottom w:val="single" w:sz="6" w:space="0" w:color="D9D9D9" w:themeColor="background1" w:themeShade="D9"/>
                    <w:right w:val="nil"/>
                  </w:tcBorders>
                  <w:shd w:val="clear" w:color="auto" w:fill="auto"/>
                  <w:vAlign w:val="bottom"/>
                </w:tcPr>
                <w:p w14:paraId="7954C533"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1.52</w:t>
                  </w:r>
                </w:p>
              </w:tc>
              <w:tc>
                <w:tcPr>
                  <w:tcW w:w="497" w:type="pct"/>
                  <w:tcBorders>
                    <w:top w:val="nil"/>
                    <w:left w:val="nil"/>
                    <w:bottom w:val="single" w:sz="6" w:space="0" w:color="D9D9D9" w:themeColor="background1" w:themeShade="D9"/>
                    <w:right w:val="nil"/>
                  </w:tcBorders>
                  <w:shd w:val="clear" w:color="auto" w:fill="auto"/>
                  <w:vAlign w:val="bottom"/>
                </w:tcPr>
                <w:p w14:paraId="7954C534"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0.28</w:t>
                  </w:r>
                </w:p>
              </w:tc>
              <w:tc>
                <w:tcPr>
                  <w:tcW w:w="497" w:type="pct"/>
                  <w:tcBorders>
                    <w:top w:val="nil"/>
                    <w:left w:val="nil"/>
                    <w:bottom w:val="single" w:sz="6" w:space="0" w:color="D9D9D9" w:themeColor="background1" w:themeShade="D9"/>
                    <w:right w:val="nil"/>
                  </w:tcBorders>
                  <w:shd w:val="clear" w:color="auto" w:fill="auto"/>
                  <w:vAlign w:val="bottom"/>
                </w:tcPr>
                <w:p w14:paraId="7954C535" w14:textId="77777777" w:rsidR="00F05DC7" w:rsidRPr="00670F76" w:rsidRDefault="00F05DC7" w:rsidP="00A3786D">
                  <w:pPr>
                    <w:pStyle w:val="TableBodyText"/>
                    <w:ind w:right="28"/>
                    <w:rPr>
                      <w:rFonts w:asciiTheme="minorHAnsi" w:hAnsiTheme="minorHAnsi" w:cstheme="minorHAnsi"/>
                      <w:szCs w:val="18"/>
                    </w:rPr>
                  </w:pPr>
                  <w:r w:rsidRPr="00670F76">
                    <w:rPr>
                      <w:rFonts w:asciiTheme="minorHAnsi" w:hAnsiTheme="minorHAnsi" w:cstheme="minorHAnsi"/>
                      <w:color w:val="000000"/>
                      <w:szCs w:val="18"/>
                    </w:rPr>
                    <w:t>1.54</w:t>
                  </w:r>
                </w:p>
              </w:tc>
            </w:tr>
          </w:tbl>
          <w:p w14:paraId="7954C537" w14:textId="77777777" w:rsidR="00F05DC7" w:rsidRDefault="00F05DC7" w:rsidP="00A3786D">
            <w:pPr>
              <w:pStyle w:val="Box"/>
            </w:pPr>
          </w:p>
        </w:tc>
      </w:tr>
      <w:tr w:rsidR="00F05DC7" w14:paraId="7954C53A" w14:textId="77777777" w:rsidTr="00A3786D">
        <w:tc>
          <w:tcPr>
            <w:tcW w:w="5000" w:type="pct"/>
            <w:tcBorders>
              <w:top w:val="nil"/>
              <w:left w:val="nil"/>
              <w:bottom w:val="nil"/>
              <w:right w:val="nil"/>
            </w:tcBorders>
            <w:shd w:val="clear" w:color="auto" w:fill="auto"/>
          </w:tcPr>
          <w:p w14:paraId="7954C539" w14:textId="39A8C40A" w:rsidR="00F05DC7" w:rsidRDefault="00F05DC7" w:rsidP="00A3786D">
            <w:pPr>
              <w:pStyle w:val="Source"/>
            </w:pPr>
            <w:r>
              <w:rPr>
                <w:i/>
              </w:rPr>
              <w:t>Source</w:t>
            </w:r>
            <w:r w:rsidRPr="00167F06">
              <w:t xml:space="preserve">: </w:t>
            </w:r>
            <w:r>
              <w:t xml:space="preserve">Productivity Commission estimates based on Commonwealth of Australia </w:t>
            </w:r>
            <w:r w:rsidR="009D6331" w:rsidRPr="009D6331">
              <w:rPr>
                <w:rFonts w:cs="Arial"/>
              </w:rPr>
              <w:t>(2017e)</w:t>
            </w:r>
            <w:r>
              <w:t>.</w:t>
            </w:r>
          </w:p>
        </w:tc>
      </w:tr>
      <w:tr w:rsidR="00F05DC7" w14:paraId="7954C53C" w14:textId="77777777" w:rsidTr="00A3786D">
        <w:tc>
          <w:tcPr>
            <w:tcW w:w="5000" w:type="pct"/>
            <w:tcBorders>
              <w:top w:val="nil"/>
              <w:left w:val="nil"/>
              <w:bottom w:val="single" w:sz="6" w:space="0" w:color="78A22F"/>
              <w:right w:val="nil"/>
            </w:tcBorders>
            <w:shd w:val="clear" w:color="auto" w:fill="auto"/>
          </w:tcPr>
          <w:p w14:paraId="7954C53B" w14:textId="77777777" w:rsidR="00F05DC7" w:rsidRDefault="00F05DC7" w:rsidP="00A3786D">
            <w:pPr>
              <w:pStyle w:val="Box"/>
              <w:spacing w:before="0" w:line="120" w:lineRule="exact"/>
            </w:pPr>
          </w:p>
        </w:tc>
      </w:tr>
      <w:tr w:rsidR="00F05DC7" w:rsidRPr="000863A5" w14:paraId="7954C53E" w14:textId="77777777" w:rsidTr="00A3786D">
        <w:tc>
          <w:tcPr>
            <w:tcW w:w="5000" w:type="pct"/>
            <w:tcBorders>
              <w:top w:val="single" w:sz="6" w:space="0" w:color="78A22F"/>
              <w:left w:val="nil"/>
              <w:bottom w:val="nil"/>
              <w:right w:val="nil"/>
            </w:tcBorders>
          </w:tcPr>
          <w:p w14:paraId="7954C53D" w14:textId="77777777" w:rsidR="00F05DC7" w:rsidRPr="00626D32" w:rsidRDefault="00F05DC7" w:rsidP="00A3786D">
            <w:pPr>
              <w:pStyle w:val="BoxSpaceBelow"/>
            </w:pPr>
          </w:p>
        </w:tc>
      </w:tr>
    </w:tbl>
    <w:p w14:paraId="7954C53F" w14:textId="77777777" w:rsidR="00F05DC7" w:rsidRDefault="00F05DC7" w:rsidP="00A3786D">
      <w:pPr>
        <w:pStyle w:val="Heading3"/>
      </w:pPr>
      <w:r>
        <w:t xml:space="preserve">Projecting growth in State revenue </w:t>
      </w:r>
    </w:p>
    <w:p w14:paraId="7954C540" w14:textId="087A2C90" w:rsidR="00F05DC7" w:rsidRDefault="00F05DC7" w:rsidP="00A3786D">
      <w:pPr>
        <w:pStyle w:val="BodyText"/>
      </w:pPr>
      <w:r w:rsidRPr="00437224">
        <w:t>State Governments currently provide estimates of future State revenue to 202</w:t>
      </w:r>
      <w:r>
        <w:t>0</w:t>
      </w:r>
      <w:r>
        <w:noBreakHyphen/>
      </w:r>
      <w:r w:rsidRPr="00437224">
        <w:t>2</w:t>
      </w:r>
      <w:r>
        <w:t>1</w:t>
      </w:r>
      <w:r w:rsidRPr="00437224">
        <w:t xml:space="preserve"> (the end of budget year 2017</w:t>
      </w:r>
      <w:r>
        <w:noBreakHyphen/>
      </w:r>
      <w:r w:rsidRPr="00437224">
        <w:t>18 forward estimates). To estimate revenue for the period 20</w:t>
      </w:r>
      <w:r>
        <w:t>21</w:t>
      </w:r>
      <w:r>
        <w:noBreakHyphen/>
      </w:r>
      <w:r w:rsidRPr="00437224">
        <w:t>22 to 20</w:t>
      </w:r>
      <w:r>
        <w:t>26</w:t>
      </w:r>
      <w:r>
        <w:noBreakHyphen/>
      </w:r>
      <w:r w:rsidRPr="00437224">
        <w:t>2</w:t>
      </w:r>
      <w:r>
        <w:t>7</w:t>
      </w:r>
      <w:r w:rsidRPr="00437224">
        <w:t xml:space="preserve">, the Commission </w:t>
      </w:r>
      <w:r>
        <w:t>projected</w:t>
      </w:r>
      <w:r w:rsidRPr="00437224">
        <w:t xml:space="preserve"> </w:t>
      </w:r>
      <w:r>
        <w:t>a linear trend of non</w:t>
      </w:r>
      <w:r>
        <w:noBreakHyphen/>
        <w:t>GST revenue from 2008</w:t>
      </w:r>
      <w:r>
        <w:noBreakHyphen/>
        <w:t>09 to 2020</w:t>
      </w:r>
      <w:r>
        <w:noBreakHyphen/>
        <w:t xml:space="preserve">21 for each State. Data was sourced from the ABS </w:t>
      </w:r>
      <w:r w:rsidR="009D6331" w:rsidRPr="009D6331">
        <w:t>(2017d)</w:t>
      </w:r>
      <w:r>
        <w:t xml:space="preserve"> (State total revenue for the general government sector) and the budget estimates contained in each State Treasury’s mid</w:t>
      </w:r>
      <w:r>
        <w:noBreakHyphen/>
        <w:t>year (2017</w:t>
      </w:r>
      <w:r>
        <w:noBreakHyphen/>
        <w:t xml:space="preserve">18) budget update. </w:t>
      </w:r>
    </w:p>
    <w:p w14:paraId="7954C541" w14:textId="77777777" w:rsidR="00F05DC7" w:rsidRDefault="00F05DC7" w:rsidP="00A3786D">
      <w:pPr>
        <w:pStyle w:val="BodyText"/>
      </w:pPr>
      <w:r>
        <w:t>Projected GST payments in each year (based on the Commission’s best estimate) were then added to projected non</w:t>
      </w:r>
      <w:r>
        <w:noBreakHyphen/>
        <w:t>GST revenue to give total projected revenue for each State (figure F.4).</w:t>
      </w:r>
    </w:p>
    <w:p w14:paraId="7954C542"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545" w14:textId="77777777" w:rsidTr="00A3786D">
        <w:trPr>
          <w:tblHeader/>
        </w:trPr>
        <w:tc>
          <w:tcPr>
            <w:tcW w:w="5000" w:type="pct"/>
            <w:tcBorders>
              <w:top w:val="single" w:sz="6" w:space="0" w:color="78A22F"/>
              <w:left w:val="nil"/>
              <w:bottom w:val="nil"/>
              <w:right w:val="nil"/>
            </w:tcBorders>
            <w:shd w:val="clear" w:color="auto" w:fill="auto"/>
          </w:tcPr>
          <w:p w14:paraId="7954C543" w14:textId="5A0AF653" w:rsidR="00F05DC7" w:rsidRDefault="00F05DC7" w:rsidP="00A3786D">
            <w:pPr>
              <w:pStyle w:val="FigureTitle"/>
            </w:pPr>
            <w:r w:rsidRPr="00784A05">
              <w:rPr>
                <w:b w:val="0"/>
              </w:rPr>
              <w:t xml:space="preserve">Figure </w:t>
            </w:r>
            <w:r>
              <w:rPr>
                <w:b w:val="0"/>
              </w:rPr>
              <w:t>F.4</w:t>
            </w:r>
            <w:r>
              <w:tab/>
              <w:t>Projected State revenue</w:t>
            </w:r>
          </w:p>
          <w:p w14:paraId="7954C544" w14:textId="77777777" w:rsidR="00F05DC7" w:rsidRPr="00176D3F" w:rsidRDefault="00F05DC7" w:rsidP="00A3786D">
            <w:pPr>
              <w:pStyle w:val="Subtitle"/>
            </w:pPr>
            <w:r>
              <w:t>Historical and projected revenues, 2008</w:t>
            </w:r>
            <w:r>
              <w:noBreakHyphen/>
              <w:t>09 to 2026</w:t>
            </w:r>
            <w:r>
              <w:noBreakHyphen/>
              <w:t>27</w:t>
            </w:r>
          </w:p>
        </w:tc>
      </w:tr>
      <w:tr w:rsidR="00F05DC7" w14:paraId="7954C54C"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C54A" w14:textId="77777777" w:rsidTr="00A3786D">
              <w:trPr>
                <w:tblHeader/>
                <w:jc w:val="center"/>
              </w:trPr>
              <w:tc>
                <w:tcPr>
                  <w:tcW w:w="5000" w:type="pct"/>
                  <w:tcBorders>
                    <w:top w:val="nil"/>
                    <w:bottom w:val="nil"/>
                  </w:tcBorders>
                </w:tcPr>
                <w:p w14:paraId="7954C549" w14:textId="0812537F" w:rsidR="00F05DC7" w:rsidRPr="00B1465D" w:rsidRDefault="008E45CA" w:rsidP="00A3786D">
                  <w:pPr>
                    <w:pStyle w:val="Figure"/>
                    <w:tabs>
                      <w:tab w:val="left" w:pos="653"/>
                    </w:tabs>
                    <w:spacing w:before="60" w:after="60"/>
                    <w:jc w:val="left"/>
                    <w:rPr>
                      <w:rFonts w:ascii="Arial" w:hAnsi="Arial" w:cs="Arial"/>
                      <w:sz w:val="18"/>
                      <w:szCs w:val="18"/>
                    </w:rPr>
                  </w:pPr>
                  <w:r w:rsidRPr="008E45CA">
                    <w:rPr>
                      <w:rFonts w:ascii="Arial" w:hAnsi="Arial" w:cs="Arial"/>
                      <w:noProof/>
                      <w:sz w:val="18"/>
                      <w:szCs w:val="18"/>
                    </w:rPr>
                    <w:drawing>
                      <wp:inline distT="0" distB="0" distL="0" distR="0" wp14:anchorId="6790CECC" wp14:editId="6C40C612">
                        <wp:extent cx="5438775" cy="5902259"/>
                        <wp:effectExtent l="0" t="0" r="0" b="0"/>
                        <wp:docPr id="25" name="Picture 25" descr="This figure shows historical and projected State revenue over the period 2008-09 to 2026-27. In all States revenues are predicted to increase at their post-GFC linear trend.&#10;By 2026 State revenue is expected to be about $106.1 billion in New South Wales, $90 billion in Victoria, $72.7 billion in Queensland, $41.4 billion Western Australia, $23.4 billion in South Australia, $7.2 billion in Tasmania, $7.5 billion in ACT and $7.3 billion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t="600"/>
                                <a:stretch/>
                              </pic:blipFill>
                              <pic:spPr bwMode="auto">
                                <a:xfrm>
                                  <a:off x="0" y="0"/>
                                  <a:ext cx="5438775" cy="59022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4C54B" w14:textId="77777777" w:rsidR="00F05DC7" w:rsidRDefault="00F05DC7" w:rsidP="00A3786D">
            <w:pPr>
              <w:pStyle w:val="Figure"/>
            </w:pPr>
          </w:p>
        </w:tc>
      </w:tr>
      <w:tr w:rsidR="00F05DC7" w:rsidRPr="00176D3F" w14:paraId="7954C54E" w14:textId="77777777" w:rsidTr="00A3786D">
        <w:tc>
          <w:tcPr>
            <w:tcW w:w="5000" w:type="pct"/>
            <w:tcBorders>
              <w:top w:val="nil"/>
              <w:left w:val="nil"/>
              <w:bottom w:val="nil"/>
              <w:right w:val="nil"/>
            </w:tcBorders>
            <w:shd w:val="clear" w:color="auto" w:fill="auto"/>
          </w:tcPr>
          <w:p w14:paraId="7954C54D" w14:textId="77777777" w:rsidR="00F05DC7" w:rsidRPr="00176D3F" w:rsidRDefault="00F05DC7" w:rsidP="00A3786D">
            <w:pPr>
              <w:pStyle w:val="Source"/>
            </w:pPr>
            <w:r>
              <w:rPr>
                <w:i/>
              </w:rPr>
              <w:t>S</w:t>
            </w:r>
            <w:r w:rsidRPr="00784A05">
              <w:rPr>
                <w:i/>
              </w:rPr>
              <w:t>ource</w:t>
            </w:r>
            <w:r>
              <w:rPr>
                <w:i/>
              </w:rPr>
              <w:t>s</w:t>
            </w:r>
            <w:r w:rsidRPr="00176D3F">
              <w:t>:</w:t>
            </w:r>
            <w:r>
              <w:t xml:space="preserve"> Productivity Commission estimates based on ABS, </w:t>
            </w:r>
            <w:r w:rsidRPr="008E0D62">
              <w:rPr>
                <w:i/>
              </w:rPr>
              <w:t>Government Finance Statistics, Australia, 2015</w:t>
            </w:r>
            <w:r w:rsidRPr="008E0D62">
              <w:rPr>
                <w:i/>
              </w:rPr>
              <w:noBreakHyphen/>
              <w:t>16</w:t>
            </w:r>
            <w:r w:rsidRPr="00F577AD">
              <w:t>, Cat. No. 5512.0</w:t>
            </w:r>
            <w:r>
              <w:t xml:space="preserve"> and various State budget papers. </w:t>
            </w:r>
          </w:p>
        </w:tc>
      </w:tr>
      <w:tr w:rsidR="00F05DC7" w14:paraId="7954C550" w14:textId="77777777" w:rsidTr="00A3786D">
        <w:tc>
          <w:tcPr>
            <w:tcW w:w="5000" w:type="pct"/>
            <w:tcBorders>
              <w:top w:val="nil"/>
              <w:left w:val="nil"/>
              <w:bottom w:val="single" w:sz="6" w:space="0" w:color="78A22F"/>
              <w:right w:val="nil"/>
            </w:tcBorders>
            <w:shd w:val="clear" w:color="auto" w:fill="auto"/>
          </w:tcPr>
          <w:p w14:paraId="7954C54F" w14:textId="77777777" w:rsidR="00F05DC7" w:rsidRDefault="00F05DC7" w:rsidP="00A3786D">
            <w:pPr>
              <w:pStyle w:val="Figurespace"/>
            </w:pPr>
          </w:p>
        </w:tc>
      </w:tr>
      <w:tr w:rsidR="00F05DC7" w:rsidRPr="000863A5" w14:paraId="7954C552" w14:textId="77777777" w:rsidTr="00A3786D">
        <w:tc>
          <w:tcPr>
            <w:tcW w:w="5000" w:type="pct"/>
            <w:tcBorders>
              <w:top w:val="single" w:sz="6" w:space="0" w:color="78A22F"/>
              <w:left w:val="nil"/>
              <w:bottom w:val="nil"/>
              <w:right w:val="nil"/>
            </w:tcBorders>
          </w:tcPr>
          <w:p w14:paraId="7954C551" w14:textId="77777777" w:rsidR="00F05DC7" w:rsidRPr="00626D32" w:rsidRDefault="00F05DC7" w:rsidP="00A3786D">
            <w:pPr>
              <w:pStyle w:val="BoxSpaceBelow"/>
            </w:pPr>
          </w:p>
        </w:tc>
      </w:tr>
    </w:tbl>
    <w:p w14:paraId="7954C553" w14:textId="4F0D2A54" w:rsidR="00F05DC7" w:rsidRDefault="00F05DC7" w:rsidP="00A3786D">
      <w:pPr>
        <w:pStyle w:val="Heading2"/>
      </w:pPr>
      <w:bookmarkStart w:id="132" w:name="_Toc513637757"/>
      <w:r>
        <w:t>F.3</w:t>
      </w:r>
      <w:r>
        <w:tab/>
        <w:t>Transition results</w:t>
      </w:r>
      <w:bookmarkEnd w:id="132"/>
    </w:p>
    <w:p w14:paraId="7954C554" w14:textId="77777777" w:rsidR="00F05DC7" w:rsidRDefault="00F05DC7" w:rsidP="00A3786D">
      <w:pPr>
        <w:pStyle w:val="BodyText"/>
      </w:pPr>
      <w:r>
        <w:t>An immediate transition to ETA in 2019</w:t>
      </w:r>
      <w:r>
        <w:noBreakHyphen/>
        <w:t xml:space="preserve">20 would result in Western Australia’s projected relativity increasing from 0.59 to 0.89, and New South Wales’ projected relativity increasing from 0.82 to 0.89 (figure F.5, table F.3). In all other States, projected relativities would be </w:t>
      </w:r>
      <w:r>
        <w:lastRenderedPageBreak/>
        <w:t>lower under ETA than under the current benchmark. However,</w:t>
      </w:r>
      <w:r w:rsidRPr="008F2E1F" w:rsidDel="008B3EB4">
        <w:t xml:space="preserve"> i</w:t>
      </w:r>
      <w:r w:rsidRPr="008F2E1F">
        <w:t>mmediate implementation</w:t>
      </w:r>
      <w:r>
        <w:t xml:space="preserve"> of ETA</w:t>
      </w:r>
      <w:r w:rsidRPr="008F2E1F">
        <w:t xml:space="preserve"> is not feasible</w:t>
      </w:r>
      <w:r>
        <w:t>, as s</w:t>
      </w:r>
      <w:r w:rsidRPr="008F2E1F">
        <w:t>ome States will need</w:t>
      </w:r>
      <w:r>
        <w:t xml:space="preserve"> time</w:t>
      </w:r>
      <w:r w:rsidRPr="008F2E1F">
        <w:t xml:space="preserve"> to adjust</w:t>
      </w:r>
      <w:r>
        <w:t xml:space="preserve"> their budgets</w:t>
      </w:r>
      <w:r w:rsidRPr="008F2E1F">
        <w:t xml:space="preserve"> </w:t>
      </w:r>
      <w:r>
        <w:t>as</w:t>
      </w:r>
      <w:r w:rsidRPr="008F2E1F">
        <w:t xml:space="preserve"> their GST payments</w:t>
      </w:r>
      <w:r>
        <w:t xml:space="preserve"> change due to the new equalisation benchmark. </w:t>
      </w:r>
    </w:p>
    <w:p w14:paraId="7954C555"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558" w14:textId="77777777" w:rsidTr="00A3786D">
        <w:trPr>
          <w:tblHeader/>
        </w:trPr>
        <w:tc>
          <w:tcPr>
            <w:tcW w:w="5000" w:type="pct"/>
            <w:tcBorders>
              <w:top w:val="single" w:sz="6" w:space="0" w:color="78A22F"/>
              <w:left w:val="nil"/>
              <w:bottom w:val="nil"/>
              <w:right w:val="nil"/>
            </w:tcBorders>
            <w:shd w:val="clear" w:color="auto" w:fill="auto"/>
          </w:tcPr>
          <w:p w14:paraId="7954C556" w14:textId="1C3EED70" w:rsidR="00F05DC7" w:rsidRDefault="00F05DC7" w:rsidP="00A3786D">
            <w:pPr>
              <w:pStyle w:val="FigureTitle"/>
            </w:pPr>
            <w:r w:rsidRPr="00784A05">
              <w:rPr>
                <w:b w:val="0"/>
              </w:rPr>
              <w:t xml:space="preserve">Figure </w:t>
            </w:r>
            <w:r>
              <w:rPr>
                <w:b w:val="0"/>
              </w:rPr>
              <w:t>F.5</w:t>
            </w:r>
            <w:r>
              <w:tab/>
              <w:t xml:space="preserve">Immediate implementation of ETA in 2019-20: historical and projected </w:t>
            </w:r>
            <w:r w:rsidRPr="005E2BD3" w:rsidDel="00B60076">
              <w:t xml:space="preserve">State </w:t>
            </w:r>
            <w:r>
              <w:t>relativities</w:t>
            </w:r>
          </w:p>
          <w:p w14:paraId="7954C557" w14:textId="77777777" w:rsidR="00F05DC7" w:rsidRPr="00176D3F" w:rsidRDefault="00F05DC7" w:rsidP="00A3786D">
            <w:pPr>
              <w:pStyle w:val="Subtitle"/>
            </w:pPr>
            <w:r>
              <w:t>Best estimate scenario, 2000</w:t>
            </w:r>
            <w:r>
              <w:noBreakHyphen/>
              <w:t>01 to 2026</w:t>
            </w:r>
            <w:r>
              <w:noBreakHyphen/>
              <w:t>27</w:t>
            </w:r>
          </w:p>
        </w:tc>
      </w:tr>
      <w:tr w:rsidR="00F05DC7" w14:paraId="7954C55C"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C55A" w14:textId="77777777" w:rsidTr="00A3786D">
              <w:trPr>
                <w:tblHeader/>
                <w:jc w:val="center"/>
              </w:trPr>
              <w:tc>
                <w:tcPr>
                  <w:tcW w:w="5000" w:type="pct"/>
                  <w:tcBorders>
                    <w:top w:val="nil"/>
                    <w:bottom w:val="nil"/>
                  </w:tcBorders>
                </w:tcPr>
                <w:p w14:paraId="7954C559" w14:textId="77777777" w:rsidR="00F05DC7" w:rsidRPr="00B1465D" w:rsidRDefault="00F05DC7" w:rsidP="00A3786D">
                  <w:pPr>
                    <w:pStyle w:val="Figure"/>
                    <w:spacing w:before="60" w:after="60"/>
                    <w:rPr>
                      <w:rFonts w:ascii="Arial" w:hAnsi="Arial" w:cs="Arial"/>
                      <w:sz w:val="18"/>
                      <w:szCs w:val="18"/>
                    </w:rPr>
                  </w:pPr>
                  <w:r w:rsidRPr="006E4F86">
                    <w:rPr>
                      <w:rFonts w:ascii="Arial" w:hAnsi="Arial" w:cs="Arial"/>
                      <w:noProof/>
                      <w:sz w:val="18"/>
                      <w:szCs w:val="18"/>
                    </w:rPr>
                    <w:drawing>
                      <wp:inline distT="0" distB="0" distL="0" distR="0" wp14:anchorId="7954D68F" wp14:editId="7954D690">
                        <wp:extent cx="5468447" cy="3327662"/>
                        <wp:effectExtent l="0" t="0" r="0" b="6350"/>
                        <wp:docPr id="232" name="Picture 232" descr="This figure shows historical (2000 to 2018) relativities and projected (2019 to 2027) GST relativities under immediate implementation of ETA in 2019-20. Historical trends are: New South Wales’ and Victoria’s relativities staying broadly constant at about 0.9; Queensland’s relativity varying from about 1 in 2000, down to a low of about 0.9 in 2008/, and up to a high of about 1.2 in 2017; Western Australia’s relativity varying considerably from a high of about 1 between 2000 and 2004, before decreasing to a low of about 0.3 in 2016/17; South Australia’s relativity steadily increasing from about 1.18 in 2000 to about 1.5 in 2018; Tasmania’s relativity steadily increasing from about 1.5 in 2000 to about 1.8 in 2018; the ACT’s relativity show high volatility but around a central mean of about 1.5; and the NT’s relativity varying considerably between about 4 in 2000 to a high of about 5.6 in 2015 and back down to 4.25 in 2018. &#10;For projections with an immediate implementation, New South Wales’ relativity is projected to trend slightly upward  to about 0.9 in 2024 before stabilising, Victoria’s is projected to peak at about 0.98 in 2019 before trending down to 0.90 in 2026, Queensland’s is projected to trend down gradually to about 1.01 by 2026, Western Australia’s is projected to climb rapidly from to 0.9 by 2019-2020 before stabilising, South Australia’s is projected to gradually decline from about 1.47 to 1.29 by 2026-27,  Tasmania’s is projected to decline gradually from 1.76 to 1.66 by 2026-2027, the ACT is projected to decline to about 1.08 by 2026-27, the NT’s is projected to climb steadily from its current level up to a high of about 4.84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470872" cy="3329138"/>
                                </a:xfrm>
                                <a:prstGeom prst="rect">
                                  <a:avLst/>
                                </a:prstGeom>
                                <a:noFill/>
                                <a:ln>
                                  <a:noFill/>
                                </a:ln>
                              </pic:spPr>
                            </pic:pic>
                          </a:graphicData>
                        </a:graphic>
                      </wp:inline>
                    </w:drawing>
                  </w:r>
                </w:p>
              </w:tc>
            </w:tr>
          </w:tbl>
          <w:p w14:paraId="7954C55B" w14:textId="77777777" w:rsidR="00F05DC7" w:rsidRDefault="00F05DC7" w:rsidP="00A3786D">
            <w:pPr>
              <w:pStyle w:val="Figure"/>
            </w:pPr>
          </w:p>
        </w:tc>
      </w:tr>
      <w:tr w:rsidR="00F05DC7" w:rsidRPr="00176D3F" w14:paraId="7954C55E" w14:textId="77777777" w:rsidTr="00A3786D">
        <w:tc>
          <w:tcPr>
            <w:tcW w:w="5000" w:type="pct"/>
            <w:tcBorders>
              <w:top w:val="nil"/>
              <w:left w:val="nil"/>
              <w:bottom w:val="nil"/>
              <w:right w:val="nil"/>
            </w:tcBorders>
            <w:shd w:val="clear" w:color="auto" w:fill="auto"/>
          </w:tcPr>
          <w:p w14:paraId="7954C55D" w14:textId="7517A886" w:rsidR="00F05DC7" w:rsidRPr="00176D3F" w:rsidRDefault="00F05DC7" w:rsidP="00A3786D">
            <w:pPr>
              <w:pStyle w:val="Source"/>
            </w:pPr>
            <w:r>
              <w:rPr>
                <w:i/>
              </w:rPr>
              <w:t>S</w:t>
            </w:r>
            <w:r w:rsidRPr="00784A05">
              <w:rPr>
                <w:i/>
              </w:rPr>
              <w:t>ource</w:t>
            </w:r>
            <w:r>
              <w:rPr>
                <w:i/>
              </w:rPr>
              <w:t>s</w:t>
            </w:r>
            <w:r w:rsidRPr="00176D3F">
              <w:t xml:space="preserve">: </w:t>
            </w:r>
            <w:r>
              <w:t xml:space="preserve">CGC </w:t>
            </w:r>
            <w:r w:rsidR="009D6331" w:rsidRPr="009D6331">
              <w:rPr>
                <w:rFonts w:cs="Arial"/>
              </w:rPr>
              <w:t>(2018g)</w:t>
            </w:r>
            <w:r>
              <w:t>, table F.3.</w:t>
            </w:r>
          </w:p>
        </w:tc>
      </w:tr>
      <w:tr w:rsidR="00F05DC7" w14:paraId="7954C560" w14:textId="77777777" w:rsidTr="00A3786D">
        <w:tc>
          <w:tcPr>
            <w:tcW w:w="5000" w:type="pct"/>
            <w:tcBorders>
              <w:top w:val="nil"/>
              <w:left w:val="nil"/>
              <w:bottom w:val="single" w:sz="6" w:space="0" w:color="78A22F"/>
              <w:right w:val="nil"/>
            </w:tcBorders>
            <w:shd w:val="clear" w:color="auto" w:fill="auto"/>
          </w:tcPr>
          <w:p w14:paraId="7954C55F" w14:textId="77777777" w:rsidR="00F05DC7" w:rsidRDefault="00F05DC7" w:rsidP="00A3786D">
            <w:pPr>
              <w:pStyle w:val="Figurespace"/>
            </w:pPr>
          </w:p>
        </w:tc>
      </w:tr>
      <w:tr w:rsidR="00F05DC7" w:rsidRPr="000863A5" w14:paraId="7954C562" w14:textId="77777777" w:rsidTr="00A3786D">
        <w:tc>
          <w:tcPr>
            <w:tcW w:w="5000" w:type="pct"/>
            <w:tcBorders>
              <w:top w:val="single" w:sz="6" w:space="0" w:color="78A22F"/>
              <w:left w:val="nil"/>
              <w:bottom w:val="nil"/>
              <w:right w:val="nil"/>
            </w:tcBorders>
          </w:tcPr>
          <w:p w14:paraId="7954C561" w14:textId="77777777" w:rsidR="00F05DC7" w:rsidRPr="00626D32" w:rsidRDefault="00F05DC7" w:rsidP="00A3786D">
            <w:pPr>
              <w:pStyle w:val="BoxSpaceBelow"/>
            </w:pPr>
          </w:p>
        </w:tc>
      </w:tr>
    </w:tbl>
    <w:p w14:paraId="7954C563"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565" w14:textId="77777777" w:rsidTr="00A3786D">
        <w:trPr>
          <w:tblHeader/>
        </w:trPr>
        <w:tc>
          <w:tcPr>
            <w:tcW w:w="5000" w:type="pct"/>
            <w:tcBorders>
              <w:top w:val="single" w:sz="6" w:space="0" w:color="78A22F"/>
              <w:left w:val="nil"/>
              <w:bottom w:val="nil"/>
              <w:right w:val="nil"/>
            </w:tcBorders>
            <w:shd w:val="clear" w:color="auto" w:fill="auto"/>
          </w:tcPr>
          <w:p w14:paraId="7954C564" w14:textId="138F85B6" w:rsidR="00F05DC7" w:rsidRPr="00784A05" w:rsidRDefault="00F05DC7" w:rsidP="00A3786D">
            <w:pPr>
              <w:pStyle w:val="TableTitle"/>
            </w:pPr>
            <w:r>
              <w:rPr>
                <w:b w:val="0"/>
              </w:rPr>
              <w:t>Table F.3</w:t>
            </w:r>
            <w:r>
              <w:tab/>
              <w:t>Immediate implementation of ETA in 2019-20: projected State relativities</w:t>
            </w:r>
            <w:r w:rsidDel="00A45112">
              <w:t xml:space="preserve"> </w:t>
            </w:r>
          </w:p>
        </w:tc>
      </w:tr>
      <w:tr w:rsidR="00F05DC7" w14:paraId="7954C5C3"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745DE7" w14:paraId="7954C56F"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566" w14:textId="77777777" w:rsidR="00F05DC7" w:rsidRPr="00745DE7" w:rsidRDefault="00F05DC7" w:rsidP="00A3786D">
                  <w:pPr>
                    <w:pStyle w:val="TableColumnHeading"/>
                    <w:jc w:val="left"/>
                    <w:rPr>
                      <w:rFonts w:asciiTheme="minorHAnsi" w:hAnsiTheme="minorHAnsi" w:cstheme="minorHAnsi"/>
                      <w:szCs w:val="18"/>
                    </w:rPr>
                  </w:pPr>
                </w:p>
              </w:tc>
              <w:tc>
                <w:tcPr>
                  <w:tcW w:w="557" w:type="pct"/>
                  <w:tcBorders>
                    <w:top w:val="single" w:sz="6" w:space="0" w:color="BFBFBF"/>
                    <w:bottom w:val="single" w:sz="6" w:space="0" w:color="BFBFBF"/>
                  </w:tcBorders>
                </w:tcPr>
                <w:p w14:paraId="7954C567" w14:textId="77777777" w:rsidR="00F05DC7" w:rsidRPr="00745DE7" w:rsidRDefault="00F05DC7" w:rsidP="00A3786D">
                  <w:pPr>
                    <w:pStyle w:val="TableColumnHeading"/>
                    <w:rPr>
                      <w:rFonts w:asciiTheme="minorHAnsi" w:hAnsiTheme="minorHAnsi" w:cstheme="minorHAnsi"/>
                      <w:szCs w:val="18"/>
                    </w:rPr>
                  </w:pPr>
                  <w:r w:rsidRPr="00745DE7">
                    <w:rPr>
                      <w:rFonts w:asciiTheme="minorHAnsi" w:hAnsiTheme="minorHAnsi" w:cstheme="minorHAnsi"/>
                      <w:szCs w:val="18"/>
                    </w:rPr>
                    <w:t>NSW</w:t>
                  </w:r>
                </w:p>
              </w:tc>
              <w:tc>
                <w:tcPr>
                  <w:tcW w:w="557" w:type="pct"/>
                  <w:tcBorders>
                    <w:top w:val="single" w:sz="6" w:space="0" w:color="BFBFBF"/>
                    <w:bottom w:val="single" w:sz="6" w:space="0" w:color="BFBFBF"/>
                  </w:tcBorders>
                </w:tcPr>
                <w:p w14:paraId="7954C568" w14:textId="77777777" w:rsidR="00F05DC7" w:rsidRPr="00745DE7" w:rsidRDefault="00F05DC7" w:rsidP="00A3786D">
                  <w:pPr>
                    <w:pStyle w:val="TableColumnHeading"/>
                    <w:rPr>
                      <w:rFonts w:asciiTheme="minorHAnsi" w:hAnsiTheme="minorHAnsi" w:cstheme="minorHAnsi"/>
                      <w:szCs w:val="18"/>
                    </w:rPr>
                  </w:pPr>
                  <w:r w:rsidRPr="00745DE7">
                    <w:rPr>
                      <w:rFonts w:asciiTheme="minorHAnsi" w:hAnsiTheme="minorHAnsi" w:cstheme="minorHAnsi"/>
                      <w:szCs w:val="18"/>
                    </w:rPr>
                    <w:t>Vic</w:t>
                  </w:r>
                </w:p>
              </w:tc>
              <w:tc>
                <w:tcPr>
                  <w:tcW w:w="556" w:type="pct"/>
                  <w:tcBorders>
                    <w:top w:val="single" w:sz="6" w:space="0" w:color="BFBFBF"/>
                    <w:bottom w:val="single" w:sz="6" w:space="0" w:color="BFBFBF"/>
                  </w:tcBorders>
                </w:tcPr>
                <w:p w14:paraId="7954C569" w14:textId="77777777" w:rsidR="00F05DC7" w:rsidRPr="00745DE7" w:rsidRDefault="00F05DC7" w:rsidP="00A3786D">
                  <w:pPr>
                    <w:pStyle w:val="TableColumnHeading"/>
                    <w:rPr>
                      <w:rFonts w:asciiTheme="minorHAnsi" w:hAnsiTheme="minorHAnsi" w:cstheme="minorHAnsi"/>
                      <w:szCs w:val="18"/>
                    </w:rPr>
                  </w:pPr>
                  <w:r w:rsidRPr="00745DE7">
                    <w:rPr>
                      <w:rFonts w:asciiTheme="minorHAnsi" w:hAnsiTheme="minorHAnsi" w:cstheme="minorHAnsi"/>
                      <w:szCs w:val="18"/>
                    </w:rPr>
                    <w:t>Qld</w:t>
                  </w:r>
                </w:p>
              </w:tc>
              <w:tc>
                <w:tcPr>
                  <w:tcW w:w="556" w:type="pct"/>
                  <w:tcBorders>
                    <w:top w:val="single" w:sz="6" w:space="0" w:color="BFBFBF"/>
                    <w:bottom w:val="single" w:sz="6" w:space="0" w:color="BFBFBF"/>
                  </w:tcBorders>
                </w:tcPr>
                <w:p w14:paraId="7954C56A" w14:textId="77777777" w:rsidR="00F05DC7" w:rsidRPr="00745DE7" w:rsidRDefault="00F05DC7" w:rsidP="00A3786D">
                  <w:pPr>
                    <w:pStyle w:val="TableColumnHeading"/>
                    <w:rPr>
                      <w:rFonts w:asciiTheme="minorHAnsi" w:hAnsiTheme="minorHAnsi" w:cstheme="minorHAnsi"/>
                      <w:szCs w:val="18"/>
                    </w:rPr>
                  </w:pPr>
                  <w:r w:rsidRPr="00745DE7">
                    <w:rPr>
                      <w:rFonts w:asciiTheme="minorHAnsi" w:hAnsiTheme="minorHAnsi" w:cstheme="minorHAnsi"/>
                      <w:szCs w:val="18"/>
                    </w:rPr>
                    <w:t>WA</w:t>
                  </w:r>
                </w:p>
              </w:tc>
              <w:tc>
                <w:tcPr>
                  <w:tcW w:w="555" w:type="pct"/>
                  <w:tcBorders>
                    <w:top w:val="single" w:sz="6" w:space="0" w:color="BFBFBF"/>
                    <w:bottom w:val="single" w:sz="6" w:space="0" w:color="BFBFBF"/>
                  </w:tcBorders>
                </w:tcPr>
                <w:p w14:paraId="7954C56B" w14:textId="77777777" w:rsidR="00F05DC7" w:rsidRPr="00745DE7" w:rsidRDefault="00F05DC7" w:rsidP="00A3786D">
                  <w:pPr>
                    <w:pStyle w:val="TableColumnHeading"/>
                    <w:rPr>
                      <w:rFonts w:asciiTheme="minorHAnsi" w:hAnsiTheme="minorHAnsi" w:cstheme="minorHAnsi"/>
                      <w:szCs w:val="18"/>
                    </w:rPr>
                  </w:pPr>
                  <w:r w:rsidRPr="00745DE7">
                    <w:rPr>
                      <w:rFonts w:asciiTheme="minorHAnsi" w:hAnsiTheme="minorHAnsi" w:cstheme="minorHAnsi"/>
                      <w:szCs w:val="18"/>
                    </w:rPr>
                    <w:t>SA</w:t>
                  </w:r>
                </w:p>
              </w:tc>
              <w:tc>
                <w:tcPr>
                  <w:tcW w:w="555" w:type="pct"/>
                  <w:tcBorders>
                    <w:top w:val="single" w:sz="6" w:space="0" w:color="BFBFBF"/>
                    <w:bottom w:val="single" w:sz="6" w:space="0" w:color="BFBFBF"/>
                  </w:tcBorders>
                </w:tcPr>
                <w:p w14:paraId="7954C56C" w14:textId="77777777" w:rsidR="00F05DC7" w:rsidRPr="00745DE7" w:rsidRDefault="00F05DC7" w:rsidP="00A3786D">
                  <w:pPr>
                    <w:pStyle w:val="TableColumnHeading"/>
                    <w:rPr>
                      <w:rFonts w:asciiTheme="minorHAnsi" w:hAnsiTheme="minorHAnsi" w:cstheme="minorHAnsi"/>
                      <w:szCs w:val="18"/>
                    </w:rPr>
                  </w:pPr>
                  <w:r w:rsidRPr="00745DE7">
                    <w:rPr>
                      <w:rFonts w:asciiTheme="minorHAnsi" w:hAnsiTheme="minorHAnsi" w:cstheme="minorHAnsi"/>
                      <w:szCs w:val="18"/>
                    </w:rPr>
                    <w:t>Tas</w:t>
                  </w:r>
                </w:p>
              </w:tc>
              <w:tc>
                <w:tcPr>
                  <w:tcW w:w="555" w:type="pct"/>
                  <w:tcBorders>
                    <w:top w:val="single" w:sz="6" w:space="0" w:color="BFBFBF"/>
                    <w:bottom w:val="single" w:sz="6" w:space="0" w:color="BFBFBF"/>
                  </w:tcBorders>
                  <w:shd w:val="clear" w:color="auto" w:fill="auto"/>
                  <w:tcMar>
                    <w:top w:w="28" w:type="dxa"/>
                  </w:tcMar>
                </w:tcPr>
                <w:p w14:paraId="7954C56D" w14:textId="77777777" w:rsidR="00F05DC7" w:rsidRPr="00745DE7" w:rsidRDefault="00F05DC7" w:rsidP="00A3786D">
                  <w:pPr>
                    <w:pStyle w:val="TableColumnHeading"/>
                    <w:rPr>
                      <w:rFonts w:asciiTheme="minorHAnsi" w:hAnsiTheme="minorHAnsi" w:cstheme="minorHAnsi"/>
                      <w:szCs w:val="18"/>
                    </w:rPr>
                  </w:pPr>
                  <w:r w:rsidRPr="00745DE7">
                    <w:rPr>
                      <w:rFonts w:asciiTheme="minorHAnsi" w:hAnsiTheme="minorHAnsi" w:cstheme="minorHAnsi"/>
                      <w:szCs w:val="18"/>
                    </w:rPr>
                    <w:t>ACT</w:t>
                  </w:r>
                </w:p>
              </w:tc>
              <w:tc>
                <w:tcPr>
                  <w:tcW w:w="553" w:type="pct"/>
                  <w:tcBorders>
                    <w:top w:val="single" w:sz="6" w:space="0" w:color="BFBFBF"/>
                    <w:bottom w:val="single" w:sz="6" w:space="0" w:color="BFBFBF"/>
                  </w:tcBorders>
                  <w:shd w:val="clear" w:color="auto" w:fill="auto"/>
                  <w:tcMar>
                    <w:top w:w="28" w:type="dxa"/>
                  </w:tcMar>
                </w:tcPr>
                <w:p w14:paraId="7954C56E" w14:textId="77777777" w:rsidR="00F05DC7" w:rsidRPr="00745DE7" w:rsidRDefault="00F05DC7" w:rsidP="00A3786D">
                  <w:pPr>
                    <w:pStyle w:val="TableColumnHeading"/>
                    <w:ind w:right="28"/>
                    <w:rPr>
                      <w:rFonts w:asciiTheme="minorHAnsi" w:hAnsiTheme="minorHAnsi" w:cstheme="minorHAnsi"/>
                      <w:szCs w:val="18"/>
                    </w:rPr>
                  </w:pPr>
                  <w:r w:rsidRPr="00745DE7">
                    <w:rPr>
                      <w:rFonts w:asciiTheme="minorHAnsi" w:hAnsiTheme="minorHAnsi" w:cstheme="minorHAnsi"/>
                      <w:szCs w:val="18"/>
                    </w:rPr>
                    <w:t>NT</w:t>
                  </w:r>
                </w:p>
              </w:tc>
            </w:tr>
            <w:tr w:rsidR="00F05DC7" w:rsidRPr="00745DE7" w14:paraId="7954C571" w14:textId="77777777" w:rsidTr="00A3786D">
              <w:tc>
                <w:tcPr>
                  <w:tcW w:w="5000" w:type="pct"/>
                  <w:gridSpan w:val="9"/>
                  <w:tcBorders>
                    <w:top w:val="single" w:sz="6" w:space="0" w:color="BFBFBF"/>
                  </w:tcBorders>
                </w:tcPr>
                <w:p w14:paraId="7954C570" w14:textId="77777777" w:rsidR="00F05DC7" w:rsidRPr="00745DE7" w:rsidRDefault="00F05DC7" w:rsidP="00A3786D">
                  <w:pPr>
                    <w:pStyle w:val="TableUnitsRow"/>
                    <w:jc w:val="left"/>
                    <w:rPr>
                      <w:rFonts w:asciiTheme="minorHAnsi" w:hAnsiTheme="minorHAnsi" w:cstheme="minorHAnsi"/>
                      <w:szCs w:val="18"/>
                    </w:rPr>
                  </w:pPr>
                  <w:r w:rsidRPr="00745DE7">
                    <w:rPr>
                      <w:rFonts w:asciiTheme="minorHAnsi" w:hAnsiTheme="minorHAnsi" w:cstheme="minorHAnsi"/>
                      <w:szCs w:val="18"/>
                    </w:rPr>
                    <w:t xml:space="preserve">Best estimate relativities </w:t>
                  </w:r>
                  <w:r>
                    <w:rPr>
                      <w:rFonts w:asciiTheme="minorHAnsi" w:hAnsiTheme="minorHAnsi" w:cstheme="minorHAnsi"/>
                      <w:szCs w:val="18"/>
                    </w:rPr>
                    <w:t>—</w:t>
                  </w:r>
                  <w:r w:rsidRPr="00745DE7">
                    <w:rPr>
                      <w:rFonts w:asciiTheme="minorHAnsi" w:hAnsiTheme="minorHAnsi" w:cstheme="minorHAnsi"/>
                      <w:szCs w:val="18"/>
                    </w:rPr>
                    <w:t xml:space="preserve"> immediate implementation of ETA</w:t>
                  </w:r>
                </w:p>
              </w:tc>
            </w:tr>
            <w:tr w:rsidR="00F05DC7" w:rsidRPr="00745DE7" w14:paraId="7954C57B" w14:textId="77777777" w:rsidTr="00A3786D">
              <w:tc>
                <w:tcPr>
                  <w:tcW w:w="556" w:type="pct"/>
                </w:tcPr>
                <w:p w14:paraId="7954C572" w14:textId="77777777" w:rsidR="00F05DC7" w:rsidRPr="00745DE7" w:rsidRDefault="00F05DC7" w:rsidP="00A3786D">
                  <w:pPr>
                    <w:pStyle w:val="TableBodyText"/>
                    <w:jc w:val="left"/>
                    <w:rPr>
                      <w:rFonts w:asciiTheme="minorHAnsi" w:hAnsiTheme="minorHAnsi" w:cstheme="minorHAnsi"/>
                      <w:szCs w:val="18"/>
                    </w:rPr>
                  </w:pPr>
                  <w:r w:rsidRPr="00745DE7">
                    <w:rPr>
                      <w:rFonts w:asciiTheme="minorHAnsi" w:hAnsiTheme="minorHAnsi" w:cstheme="minorHAnsi"/>
                      <w:szCs w:val="18"/>
                    </w:rPr>
                    <w:t>2019</w:t>
                  </w:r>
                  <w:r w:rsidRPr="00745DE7">
                    <w:rPr>
                      <w:rFonts w:asciiTheme="minorHAnsi" w:hAnsiTheme="minorHAnsi" w:cstheme="minorHAnsi"/>
                      <w:szCs w:val="18"/>
                    </w:rPr>
                    <w:noBreakHyphen/>
                    <w:t>20</w:t>
                  </w:r>
                </w:p>
              </w:tc>
              <w:tc>
                <w:tcPr>
                  <w:tcW w:w="557" w:type="pct"/>
                  <w:tcBorders>
                    <w:top w:val="nil"/>
                    <w:left w:val="nil"/>
                    <w:bottom w:val="nil"/>
                    <w:right w:val="nil"/>
                  </w:tcBorders>
                  <w:shd w:val="clear" w:color="auto" w:fill="auto"/>
                  <w:vAlign w:val="bottom"/>
                </w:tcPr>
                <w:p w14:paraId="7954C573"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7" w:type="pct"/>
                  <w:tcBorders>
                    <w:top w:val="nil"/>
                    <w:left w:val="nil"/>
                    <w:bottom w:val="nil"/>
                    <w:right w:val="nil"/>
                  </w:tcBorders>
                  <w:shd w:val="clear" w:color="auto" w:fill="auto"/>
                  <w:vAlign w:val="bottom"/>
                </w:tcPr>
                <w:p w14:paraId="7954C574"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6" w:type="pct"/>
                  <w:tcBorders>
                    <w:top w:val="nil"/>
                    <w:left w:val="nil"/>
                    <w:bottom w:val="nil"/>
                    <w:right w:val="nil"/>
                  </w:tcBorders>
                  <w:shd w:val="clear" w:color="auto" w:fill="auto"/>
                  <w:vAlign w:val="bottom"/>
                </w:tcPr>
                <w:p w14:paraId="7954C575"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1.01</w:t>
                  </w:r>
                </w:p>
              </w:tc>
              <w:tc>
                <w:tcPr>
                  <w:tcW w:w="556" w:type="pct"/>
                  <w:tcBorders>
                    <w:top w:val="nil"/>
                    <w:left w:val="nil"/>
                    <w:bottom w:val="nil"/>
                    <w:right w:val="nil"/>
                  </w:tcBorders>
                  <w:shd w:val="clear" w:color="auto" w:fill="auto"/>
                  <w:vAlign w:val="bottom"/>
                </w:tcPr>
                <w:p w14:paraId="7954C576"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5" w:type="pct"/>
                  <w:tcBorders>
                    <w:top w:val="nil"/>
                    <w:left w:val="nil"/>
                    <w:bottom w:val="nil"/>
                    <w:right w:val="nil"/>
                  </w:tcBorders>
                  <w:shd w:val="clear" w:color="auto" w:fill="auto"/>
                  <w:vAlign w:val="bottom"/>
                </w:tcPr>
                <w:p w14:paraId="7954C577"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1.32</w:t>
                  </w:r>
                </w:p>
              </w:tc>
              <w:tc>
                <w:tcPr>
                  <w:tcW w:w="555" w:type="pct"/>
                  <w:tcBorders>
                    <w:top w:val="nil"/>
                    <w:left w:val="nil"/>
                    <w:bottom w:val="nil"/>
                    <w:right w:val="nil"/>
                  </w:tcBorders>
                  <w:shd w:val="clear" w:color="auto" w:fill="auto"/>
                  <w:vAlign w:val="bottom"/>
                </w:tcPr>
                <w:p w14:paraId="7954C578"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1.71</w:t>
                  </w:r>
                </w:p>
              </w:tc>
              <w:tc>
                <w:tcPr>
                  <w:tcW w:w="555" w:type="pct"/>
                  <w:tcBorders>
                    <w:top w:val="nil"/>
                    <w:left w:val="nil"/>
                    <w:bottom w:val="nil"/>
                    <w:right w:val="nil"/>
                  </w:tcBorders>
                  <w:shd w:val="clear" w:color="auto" w:fill="auto"/>
                  <w:vAlign w:val="bottom"/>
                </w:tcPr>
                <w:p w14:paraId="7954C579"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1.09</w:t>
                  </w:r>
                </w:p>
              </w:tc>
              <w:tc>
                <w:tcPr>
                  <w:tcW w:w="553" w:type="pct"/>
                  <w:tcBorders>
                    <w:top w:val="nil"/>
                    <w:left w:val="nil"/>
                    <w:bottom w:val="nil"/>
                    <w:right w:val="nil"/>
                  </w:tcBorders>
                  <w:shd w:val="clear" w:color="auto" w:fill="auto"/>
                  <w:vAlign w:val="bottom"/>
                </w:tcPr>
                <w:p w14:paraId="7954C57A" w14:textId="77777777" w:rsidR="00F05DC7" w:rsidRPr="00745DE7" w:rsidRDefault="00F05DC7" w:rsidP="00A3786D">
                  <w:pPr>
                    <w:pStyle w:val="TableBodyText"/>
                    <w:ind w:right="28"/>
                    <w:rPr>
                      <w:rFonts w:asciiTheme="minorHAnsi" w:hAnsiTheme="minorHAnsi" w:cstheme="minorHAnsi"/>
                      <w:szCs w:val="18"/>
                    </w:rPr>
                  </w:pPr>
                  <w:r w:rsidRPr="00745DE7">
                    <w:rPr>
                      <w:rFonts w:asciiTheme="minorHAnsi" w:hAnsiTheme="minorHAnsi" w:cstheme="minorHAnsi"/>
                      <w:color w:val="000000"/>
                      <w:szCs w:val="18"/>
                    </w:rPr>
                    <w:t xml:space="preserve">4.45 </w:t>
                  </w:r>
                </w:p>
              </w:tc>
            </w:tr>
            <w:tr w:rsidR="00F05DC7" w:rsidRPr="00745DE7" w14:paraId="7954C585" w14:textId="77777777" w:rsidTr="00A3786D">
              <w:tc>
                <w:tcPr>
                  <w:tcW w:w="556" w:type="pct"/>
                </w:tcPr>
                <w:p w14:paraId="7954C57C" w14:textId="77777777" w:rsidR="00F05DC7" w:rsidRPr="00745DE7" w:rsidRDefault="00F05DC7" w:rsidP="00A3786D">
                  <w:pPr>
                    <w:pStyle w:val="TableBodyText"/>
                    <w:jc w:val="left"/>
                    <w:rPr>
                      <w:rFonts w:asciiTheme="minorHAnsi" w:hAnsiTheme="minorHAnsi" w:cstheme="minorHAnsi"/>
                      <w:szCs w:val="18"/>
                    </w:rPr>
                  </w:pPr>
                  <w:r w:rsidRPr="00745DE7">
                    <w:rPr>
                      <w:rFonts w:asciiTheme="minorHAnsi" w:hAnsiTheme="minorHAnsi" w:cstheme="minorHAnsi"/>
                      <w:szCs w:val="18"/>
                    </w:rPr>
                    <w:t>2020</w:t>
                  </w:r>
                  <w:r w:rsidRPr="00745DE7">
                    <w:rPr>
                      <w:rFonts w:asciiTheme="minorHAnsi" w:hAnsiTheme="minorHAnsi" w:cstheme="minorHAnsi"/>
                      <w:szCs w:val="18"/>
                    </w:rPr>
                    <w:noBreakHyphen/>
                    <w:t>21</w:t>
                  </w:r>
                </w:p>
              </w:tc>
              <w:tc>
                <w:tcPr>
                  <w:tcW w:w="557" w:type="pct"/>
                  <w:tcBorders>
                    <w:top w:val="nil"/>
                    <w:left w:val="nil"/>
                    <w:bottom w:val="nil"/>
                    <w:right w:val="nil"/>
                  </w:tcBorders>
                  <w:shd w:val="clear" w:color="auto" w:fill="auto"/>
                  <w:vAlign w:val="bottom"/>
                </w:tcPr>
                <w:p w14:paraId="7954C57D"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7" w:type="pct"/>
                  <w:tcBorders>
                    <w:top w:val="nil"/>
                    <w:left w:val="nil"/>
                    <w:bottom w:val="nil"/>
                    <w:right w:val="nil"/>
                  </w:tcBorders>
                  <w:shd w:val="clear" w:color="auto" w:fill="auto"/>
                  <w:vAlign w:val="bottom"/>
                </w:tcPr>
                <w:p w14:paraId="7954C57E"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6" w:type="pct"/>
                  <w:tcBorders>
                    <w:top w:val="nil"/>
                    <w:left w:val="nil"/>
                    <w:bottom w:val="nil"/>
                    <w:right w:val="nil"/>
                  </w:tcBorders>
                  <w:shd w:val="clear" w:color="auto" w:fill="auto"/>
                  <w:vAlign w:val="bottom"/>
                </w:tcPr>
                <w:p w14:paraId="7954C57F"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1.01</w:t>
                  </w:r>
                </w:p>
              </w:tc>
              <w:tc>
                <w:tcPr>
                  <w:tcW w:w="556" w:type="pct"/>
                  <w:tcBorders>
                    <w:top w:val="nil"/>
                    <w:left w:val="nil"/>
                    <w:bottom w:val="nil"/>
                    <w:right w:val="nil"/>
                  </w:tcBorders>
                  <w:shd w:val="clear" w:color="auto" w:fill="auto"/>
                  <w:vAlign w:val="bottom"/>
                </w:tcPr>
                <w:p w14:paraId="7954C580"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5" w:type="pct"/>
                  <w:tcBorders>
                    <w:top w:val="nil"/>
                    <w:left w:val="nil"/>
                    <w:bottom w:val="nil"/>
                    <w:right w:val="nil"/>
                  </w:tcBorders>
                  <w:shd w:val="clear" w:color="auto" w:fill="auto"/>
                  <w:vAlign w:val="bottom"/>
                </w:tcPr>
                <w:p w14:paraId="7954C581"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1.32</w:t>
                  </w:r>
                </w:p>
              </w:tc>
              <w:tc>
                <w:tcPr>
                  <w:tcW w:w="555" w:type="pct"/>
                  <w:tcBorders>
                    <w:top w:val="nil"/>
                    <w:left w:val="nil"/>
                    <w:bottom w:val="nil"/>
                    <w:right w:val="nil"/>
                  </w:tcBorders>
                  <w:shd w:val="clear" w:color="auto" w:fill="auto"/>
                  <w:vAlign w:val="bottom"/>
                </w:tcPr>
                <w:p w14:paraId="7954C582"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1.69</w:t>
                  </w:r>
                </w:p>
              </w:tc>
              <w:tc>
                <w:tcPr>
                  <w:tcW w:w="555" w:type="pct"/>
                  <w:tcBorders>
                    <w:top w:val="nil"/>
                    <w:left w:val="nil"/>
                    <w:bottom w:val="nil"/>
                    <w:right w:val="nil"/>
                  </w:tcBorders>
                  <w:shd w:val="clear" w:color="auto" w:fill="auto"/>
                  <w:vAlign w:val="bottom"/>
                </w:tcPr>
                <w:p w14:paraId="7954C583"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1.07</w:t>
                  </w:r>
                </w:p>
              </w:tc>
              <w:tc>
                <w:tcPr>
                  <w:tcW w:w="553" w:type="pct"/>
                  <w:tcBorders>
                    <w:top w:val="nil"/>
                    <w:left w:val="nil"/>
                    <w:bottom w:val="nil"/>
                    <w:right w:val="nil"/>
                  </w:tcBorders>
                  <w:shd w:val="clear" w:color="auto" w:fill="auto"/>
                  <w:vAlign w:val="bottom"/>
                </w:tcPr>
                <w:p w14:paraId="7954C584" w14:textId="77777777" w:rsidR="00F05DC7" w:rsidRPr="00745DE7" w:rsidRDefault="00F05DC7" w:rsidP="00A3786D">
                  <w:pPr>
                    <w:pStyle w:val="TableBodyText"/>
                    <w:ind w:right="28"/>
                    <w:rPr>
                      <w:rFonts w:asciiTheme="minorHAnsi" w:hAnsiTheme="minorHAnsi" w:cstheme="minorHAnsi"/>
                      <w:szCs w:val="18"/>
                    </w:rPr>
                  </w:pPr>
                  <w:r w:rsidRPr="00745DE7">
                    <w:rPr>
                      <w:rFonts w:asciiTheme="minorHAnsi" w:hAnsiTheme="minorHAnsi" w:cstheme="minorHAnsi"/>
                      <w:color w:val="000000"/>
                      <w:szCs w:val="18"/>
                    </w:rPr>
                    <w:t xml:space="preserve">4.65 </w:t>
                  </w:r>
                </w:p>
              </w:tc>
            </w:tr>
            <w:tr w:rsidR="00F05DC7" w:rsidRPr="00745DE7" w14:paraId="7954C58F" w14:textId="77777777" w:rsidTr="00A3786D">
              <w:tc>
                <w:tcPr>
                  <w:tcW w:w="556" w:type="pct"/>
                </w:tcPr>
                <w:p w14:paraId="7954C586" w14:textId="77777777" w:rsidR="00F05DC7" w:rsidRPr="00745DE7" w:rsidRDefault="00F05DC7" w:rsidP="00A3786D">
                  <w:pPr>
                    <w:pStyle w:val="TableBodyText"/>
                    <w:jc w:val="left"/>
                    <w:rPr>
                      <w:rFonts w:asciiTheme="minorHAnsi" w:hAnsiTheme="minorHAnsi" w:cstheme="minorHAnsi"/>
                      <w:szCs w:val="18"/>
                    </w:rPr>
                  </w:pPr>
                  <w:r w:rsidRPr="00745DE7">
                    <w:rPr>
                      <w:rFonts w:asciiTheme="minorHAnsi" w:hAnsiTheme="minorHAnsi" w:cstheme="minorHAnsi"/>
                      <w:szCs w:val="18"/>
                    </w:rPr>
                    <w:t>2021</w:t>
                  </w:r>
                  <w:r w:rsidRPr="00745DE7">
                    <w:rPr>
                      <w:rFonts w:asciiTheme="minorHAnsi" w:hAnsiTheme="minorHAnsi" w:cstheme="minorHAnsi"/>
                      <w:szCs w:val="18"/>
                    </w:rPr>
                    <w:noBreakHyphen/>
                    <w:t>22</w:t>
                  </w:r>
                </w:p>
              </w:tc>
              <w:tc>
                <w:tcPr>
                  <w:tcW w:w="557" w:type="pct"/>
                  <w:tcBorders>
                    <w:top w:val="nil"/>
                    <w:left w:val="nil"/>
                    <w:bottom w:val="nil"/>
                    <w:right w:val="nil"/>
                  </w:tcBorders>
                  <w:shd w:val="clear" w:color="auto" w:fill="auto"/>
                  <w:vAlign w:val="bottom"/>
                </w:tcPr>
                <w:p w14:paraId="7954C587"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7" w:type="pct"/>
                  <w:tcBorders>
                    <w:top w:val="nil"/>
                    <w:left w:val="nil"/>
                    <w:bottom w:val="nil"/>
                    <w:right w:val="nil"/>
                  </w:tcBorders>
                  <w:shd w:val="clear" w:color="auto" w:fill="auto"/>
                  <w:vAlign w:val="bottom"/>
                </w:tcPr>
                <w:p w14:paraId="7954C588"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6" w:type="pct"/>
                  <w:tcBorders>
                    <w:top w:val="nil"/>
                    <w:left w:val="nil"/>
                    <w:bottom w:val="nil"/>
                    <w:right w:val="nil"/>
                  </w:tcBorders>
                  <w:shd w:val="clear" w:color="auto" w:fill="auto"/>
                  <w:vAlign w:val="bottom"/>
                </w:tcPr>
                <w:p w14:paraId="7954C589"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1.03</w:t>
                  </w:r>
                </w:p>
              </w:tc>
              <w:tc>
                <w:tcPr>
                  <w:tcW w:w="556" w:type="pct"/>
                  <w:tcBorders>
                    <w:top w:val="nil"/>
                    <w:left w:val="nil"/>
                    <w:bottom w:val="nil"/>
                    <w:right w:val="nil"/>
                  </w:tcBorders>
                  <w:shd w:val="clear" w:color="auto" w:fill="auto"/>
                  <w:vAlign w:val="bottom"/>
                </w:tcPr>
                <w:p w14:paraId="7954C58A"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5" w:type="pct"/>
                  <w:tcBorders>
                    <w:top w:val="nil"/>
                    <w:left w:val="nil"/>
                    <w:bottom w:val="nil"/>
                    <w:right w:val="nil"/>
                  </w:tcBorders>
                  <w:shd w:val="clear" w:color="auto" w:fill="auto"/>
                  <w:vAlign w:val="bottom"/>
                </w:tcPr>
                <w:p w14:paraId="7954C58B"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1.31</w:t>
                  </w:r>
                </w:p>
              </w:tc>
              <w:tc>
                <w:tcPr>
                  <w:tcW w:w="555" w:type="pct"/>
                  <w:tcBorders>
                    <w:top w:val="nil"/>
                    <w:left w:val="nil"/>
                    <w:bottom w:val="nil"/>
                    <w:right w:val="nil"/>
                  </w:tcBorders>
                  <w:shd w:val="clear" w:color="auto" w:fill="auto"/>
                  <w:vAlign w:val="bottom"/>
                </w:tcPr>
                <w:p w14:paraId="7954C58C"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1.67</w:t>
                  </w:r>
                </w:p>
              </w:tc>
              <w:tc>
                <w:tcPr>
                  <w:tcW w:w="555" w:type="pct"/>
                  <w:tcBorders>
                    <w:top w:val="nil"/>
                    <w:left w:val="nil"/>
                    <w:bottom w:val="nil"/>
                    <w:right w:val="nil"/>
                  </w:tcBorders>
                  <w:shd w:val="clear" w:color="auto" w:fill="auto"/>
                  <w:vAlign w:val="bottom"/>
                </w:tcPr>
                <w:p w14:paraId="7954C58D"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1.05</w:t>
                  </w:r>
                </w:p>
              </w:tc>
              <w:tc>
                <w:tcPr>
                  <w:tcW w:w="553" w:type="pct"/>
                  <w:tcBorders>
                    <w:top w:val="nil"/>
                    <w:left w:val="nil"/>
                    <w:bottom w:val="nil"/>
                    <w:right w:val="nil"/>
                  </w:tcBorders>
                  <w:shd w:val="clear" w:color="auto" w:fill="auto"/>
                  <w:vAlign w:val="bottom"/>
                </w:tcPr>
                <w:p w14:paraId="7954C58E" w14:textId="77777777" w:rsidR="00F05DC7" w:rsidRPr="00745DE7" w:rsidRDefault="00F05DC7" w:rsidP="00A3786D">
                  <w:pPr>
                    <w:pStyle w:val="TableBodyText"/>
                    <w:ind w:right="28"/>
                    <w:rPr>
                      <w:rFonts w:asciiTheme="minorHAnsi" w:hAnsiTheme="minorHAnsi" w:cstheme="minorHAnsi"/>
                      <w:szCs w:val="18"/>
                    </w:rPr>
                  </w:pPr>
                  <w:r w:rsidRPr="00745DE7">
                    <w:rPr>
                      <w:rFonts w:asciiTheme="minorHAnsi" w:hAnsiTheme="minorHAnsi" w:cstheme="minorHAnsi"/>
                      <w:color w:val="000000"/>
                      <w:szCs w:val="18"/>
                    </w:rPr>
                    <w:t xml:space="preserve">4.57 </w:t>
                  </w:r>
                </w:p>
              </w:tc>
            </w:tr>
            <w:tr w:rsidR="00F05DC7" w:rsidRPr="00745DE7" w14:paraId="7954C599" w14:textId="77777777" w:rsidTr="00A3786D">
              <w:tc>
                <w:tcPr>
                  <w:tcW w:w="556" w:type="pct"/>
                </w:tcPr>
                <w:p w14:paraId="7954C590" w14:textId="77777777" w:rsidR="00F05DC7" w:rsidRPr="00745DE7" w:rsidRDefault="00F05DC7" w:rsidP="00A3786D">
                  <w:pPr>
                    <w:pStyle w:val="TableBodyText"/>
                    <w:jc w:val="left"/>
                    <w:rPr>
                      <w:rFonts w:asciiTheme="minorHAnsi" w:hAnsiTheme="minorHAnsi" w:cstheme="minorHAnsi"/>
                      <w:szCs w:val="18"/>
                    </w:rPr>
                  </w:pPr>
                  <w:r w:rsidRPr="00745DE7">
                    <w:rPr>
                      <w:rFonts w:asciiTheme="minorHAnsi" w:hAnsiTheme="minorHAnsi" w:cstheme="minorHAnsi"/>
                      <w:szCs w:val="18"/>
                    </w:rPr>
                    <w:t>2022</w:t>
                  </w:r>
                  <w:r w:rsidRPr="00745DE7">
                    <w:rPr>
                      <w:rFonts w:asciiTheme="minorHAnsi" w:hAnsiTheme="minorHAnsi" w:cstheme="minorHAnsi"/>
                      <w:szCs w:val="18"/>
                    </w:rPr>
                    <w:noBreakHyphen/>
                    <w:t>23</w:t>
                  </w:r>
                </w:p>
              </w:tc>
              <w:tc>
                <w:tcPr>
                  <w:tcW w:w="557" w:type="pct"/>
                  <w:tcBorders>
                    <w:top w:val="nil"/>
                    <w:left w:val="nil"/>
                    <w:bottom w:val="nil"/>
                    <w:right w:val="nil"/>
                  </w:tcBorders>
                  <w:shd w:val="clear" w:color="auto" w:fill="auto"/>
                  <w:vAlign w:val="bottom"/>
                </w:tcPr>
                <w:p w14:paraId="7954C591"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7" w:type="pct"/>
                  <w:tcBorders>
                    <w:top w:val="nil"/>
                    <w:left w:val="nil"/>
                    <w:bottom w:val="nil"/>
                    <w:right w:val="nil"/>
                  </w:tcBorders>
                  <w:shd w:val="clear" w:color="auto" w:fill="auto"/>
                  <w:vAlign w:val="bottom"/>
                </w:tcPr>
                <w:p w14:paraId="7954C592"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6" w:type="pct"/>
                  <w:tcBorders>
                    <w:top w:val="nil"/>
                    <w:left w:val="nil"/>
                    <w:bottom w:val="nil"/>
                    <w:right w:val="nil"/>
                  </w:tcBorders>
                  <w:shd w:val="clear" w:color="auto" w:fill="auto"/>
                  <w:vAlign w:val="bottom"/>
                </w:tcPr>
                <w:p w14:paraId="7954C593"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1.04</w:t>
                  </w:r>
                </w:p>
              </w:tc>
              <w:tc>
                <w:tcPr>
                  <w:tcW w:w="556" w:type="pct"/>
                  <w:tcBorders>
                    <w:top w:val="nil"/>
                    <w:left w:val="nil"/>
                    <w:bottom w:val="nil"/>
                    <w:right w:val="nil"/>
                  </w:tcBorders>
                  <w:shd w:val="clear" w:color="auto" w:fill="auto"/>
                  <w:vAlign w:val="bottom"/>
                </w:tcPr>
                <w:p w14:paraId="7954C594"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5" w:type="pct"/>
                  <w:tcBorders>
                    <w:top w:val="nil"/>
                    <w:left w:val="nil"/>
                    <w:bottom w:val="nil"/>
                    <w:right w:val="nil"/>
                  </w:tcBorders>
                  <w:shd w:val="clear" w:color="auto" w:fill="auto"/>
                  <w:vAlign w:val="bottom"/>
                </w:tcPr>
                <w:p w14:paraId="7954C595"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1.29</w:t>
                  </w:r>
                </w:p>
              </w:tc>
              <w:tc>
                <w:tcPr>
                  <w:tcW w:w="555" w:type="pct"/>
                  <w:tcBorders>
                    <w:top w:val="nil"/>
                    <w:left w:val="nil"/>
                    <w:bottom w:val="nil"/>
                    <w:right w:val="nil"/>
                  </w:tcBorders>
                  <w:shd w:val="clear" w:color="auto" w:fill="auto"/>
                  <w:vAlign w:val="bottom"/>
                </w:tcPr>
                <w:p w14:paraId="7954C596"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1.64</w:t>
                  </w:r>
                </w:p>
              </w:tc>
              <w:tc>
                <w:tcPr>
                  <w:tcW w:w="555" w:type="pct"/>
                  <w:tcBorders>
                    <w:top w:val="nil"/>
                    <w:left w:val="nil"/>
                    <w:bottom w:val="nil"/>
                    <w:right w:val="nil"/>
                  </w:tcBorders>
                  <w:shd w:val="clear" w:color="auto" w:fill="auto"/>
                  <w:vAlign w:val="bottom"/>
                </w:tcPr>
                <w:p w14:paraId="7954C597"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1.04</w:t>
                  </w:r>
                </w:p>
              </w:tc>
              <w:tc>
                <w:tcPr>
                  <w:tcW w:w="553" w:type="pct"/>
                  <w:tcBorders>
                    <w:top w:val="nil"/>
                    <w:left w:val="nil"/>
                    <w:bottom w:val="nil"/>
                    <w:right w:val="nil"/>
                  </w:tcBorders>
                  <w:shd w:val="clear" w:color="auto" w:fill="auto"/>
                  <w:vAlign w:val="bottom"/>
                </w:tcPr>
                <w:p w14:paraId="7954C598" w14:textId="77777777" w:rsidR="00F05DC7" w:rsidRPr="00745DE7" w:rsidRDefault="00F05DC7" w:rsidP="00A3786D">
                  <w:pPr>
                    <w:pStyle w:val="TableBodyText"/>
                    <w:ind w:right="28"/>
                    <w:rPr>
                      <w:rFonts w:asciiTheme="minorHAnsi" w:hAnsiTheme="minorHAnsi" w:cstheme="minorHAnsi"/>
                      <w:szCs w:val="18"/>
                    </w:rPr>
                  </w:pPr>
                  <w:r w:rsidRPr="00745DE7">
                    <w:rPr>
                      <w:rFonts w:asciiTheme="minorHAnsi" w:hAnsiTheme="minorHAnsi" w:cstheme="minorHAnsi"/>
                      <w:color w:val="000000"/>
                      <w:szCs w:val="18"/>
                    </w:rPr>
                    <w:t xml:space="preserve">4.74 </w:t>
                  </w:r>
                </w:p>
              </w:tc>
            </w:tr>
            <w:tr w:rsidR="00F05DC7" w:rsidRPr="00745DE7" w14:paraId="7954C5A3" w14:textId="77777777" w:rsidTr="00A3786D">
              <w:tc>
                <w:tcPr>
                  <w:tcW w:w="556" w:type="pct"/>
                </w:tcPr>
                <w:p w14:paraId="7954C59A" w14:textId="77777777" w:rsidR="00F05DC7" w:rsidRPr="00745DE7" w:rsidRDefault="00F05DC7" w:rsidP="00A3786D">
                  <w:pPr>
                    <w:pStyle w:val="TableBodyText"/>
                    <w:jc w:val="left"/>
                    <w:rPr>
                      <w:rFonts w:asciiTheme="minorHAnsi" w:hAnsiTheme="minorHAnsi" w:cstheme="minorHAnsi"/>
                      <w:szCs w:val="18"/>
                    </w:rPr>
                  </w:pPr>
                  <w:r w:rsidRPr="00745DE7">
                    <w:rPr>
                      <w:rFonts w:asciiTheme="minorHAnsi" w:hAnsiTheme="minorHAnsi" w:cstheme="minorHAnsi"/>
                      <w:szCs w:val="18"/>
                    </w:rPr>
                    <w:t>2023</w:t>
                  </w:r>
                  <w:r w:rsidRPr="00745DE7">
                    <w:rPr>
                      <w:rFonts w:asciiTheme="minorHAnsi" w:hAnsiTheme="minorHAnsi" w:cstheme="minorHAnsi"/>
                      <w:szCs w:val="18"/>
                    </w:rPr>
                    <w:noBreakHyphen/>
                    <w:t>24</w:t>
                  </w:r>
                </w:p>
              </w:tc>
              <w:tc>
                <w:tcPr>
                  <w:tcW w:w="557" w:type="pct"/>
                  <w:tcBorders>
                    <w:top w:val="nil"/>
                    <w:left w:val="nil"/>
                    <w:bottom w:val="nil"/>
                    <w:right w:val="nil"/>
                  </w:tcBorders>
                  <w:shd w:val="clear" w:color="auto" w:fill="auto"/>
                  <w:vAlign w:val="bottom"/>
                </w:tcPr>
                <w:p w14:paraId="7954C59B"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7" w:type="pct"/>
                  <w:tcBorders>
                    <w:top w:val="nil"/>
                    <w:left w:val="nil"/>
                    <w:bottom w:val="nil"/>
                    <w:right w:val="nil"/>
                  </w:tcBorders>
                  <w:shd w:val="clear" w:color="auto" w:fill="auto"/>
                  <w:vAlign w:val="bottom"/>
                </w:tcPr>
                <w:p w14:paraId="7954C59C"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6" w:type="pct"/>
                  <w:tcBorders>
                    <w:top w:val="nil"/>
                    <w:left w:val="nil"/>
                    <w:bottom w:val="nil"/>
                    <w:right w:val="nil"/>
                  </w:tcBorders>
                  <w:shd w:val="clear" w:color="auto" w:fill="auto"/>
                  <w:vAlign w:val="bottom"/>
                </w:tcPr>
                <w:p w14:paraId="7954C59D"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1.03</w:t>
                  </w:r>
                </w:p>
              </w:tc>
              <w:tc>
                <w:tcPr>
                  <w:tcW w:w="556" w:type="pct"/>
                  <w:tcBorders>
                    <w:top w:val="nil"/>
                    <w:left w:val="nil"/>
                    <w:bottom w:val="nil"/>
                    <w:right w:val="nil"/>
                  </w:tcBorders>
                  <w:shd w:val="clear" w:color="auto" w:fill="auto"/>
                  <w:vAlign w:val="bottom"/>
                </w:tcPr>
                <w:p w14:paraId="7954C59E"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0.89</w:t>
                  </w:r>
                </w:p>
              </w:tc>
              <w:tc>
                <w:tcPr>
                  <w:tcW w:w="555" w:type="pct"/>
                  <w:tcBorders>
                    <w:top w:val="nil"/>
                    <w:left w:val="nil"/>
                    <w:bottom w:val="nil"/>
                    <w:right w:val="nil"/>
                  </w:tcBorders>
                  <w:shd w:val="clear" w:color="auto" w:fill="auto"/>
                  <w:vAlign w:val="bottom"/>
                </w:tcPr>
                <w:p w14:paraId="7954C59F"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1.29</w:t>
                  </w:r>
                </w:p>
              </w:tc>
              <w:tc>
                <w:tcPr>
                  <w:tcW w:w="555" w:type="pct"/>
                  <w:tcBorders>
                    <w:top w:val="nil"/>
                    <w:left w:val="nil"/>
                    <w:bottom w:val="nil"/>
                    <w:right w:val="nil"/>
                  </w:tcBorders>
                  <w:shd w:val="clear" w:color="auto" w:fill="auto"/>
                  <w:vAlign w:val="bottom"/>
                </w:tcPr>
                <w:p w14:paraId="7954C5A0"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1.65</w:t>
                  </w:r>
                </w:p>
              </w:tc>
              <w:tc>
                <w:tcPr>
                  <w:tcW w:w="555" w:type="pct"/>
                  <w:tcBorders>
                    <w:top w:val="nil"/>
                    <w:left w:val="nil"/>
                    <w:bottom w:val="nil"/>
                    <w:right w:val="nil"/>
                  </w:tcBorders>
                  <w:shd w:val="clear" w:color="auto" w:fill="auto"/>
                  <w:vAlign w:val="bottom"/>
                </w:tcPr>
                <w:p w14:paraId="7954C5A1"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1.05</w:t>
                  </w:r>
                </w:p>
              </w:tc>
              <w:tc>
                <w:tcPr>
                  <w:tcW w:w="553" w:type="pct"/>
                  <w:tcBorders>
                    <w:top w:val="nil"/>
                    <w:left w:val="nil"/>
                    <w:bottom w:val="nil"/>
                    <w:right w:val="nil"/>
                  </w:tcBorders>
                  <w:shd w:val="clear" w:color="auto" w:fill="auto"/>
                  <w:vAlign w:val="bottom"/>
                </w:tcPr>
                <w:p w14:paraId="7954C5A2" w14:textId="77777777" w:rsidR="00F05DC7" w:rsidRPr="00745DE7" w:rsidRDefault="00F05DC7" w:rsidP="00A3786D">
                  <w:pPr>
                    <w:pStyle w:val="TableBodyText"/>
                    <w:ind w:right="28"/>
                    <w:rPr>
                      <w:rFonts w:asciiTheme="minorHAnsi" w:hAnsiTheme="minorHAnsi" w:cstheme="minorHAnsi"/>
                      <w:szCs w:val="18"/>
                    </w:rPr>
                  </w:pPr>
                  <w:r w:rsidRPr="00745DE7">
                    <w:rPr>
                      <w:rFonts w:asciiTheme="minorHAnsi" w:hAnsiTheme="minorHAnsi" w:cstheme="minorHAnsi"/>
                      <w:color w:val="000000"/>
                      <w:szCs w:val="18"/>
                    </w:rPr>
                    <w:t xml:space="preserve">4.77 </w:t>
                  </w:r>
                </w:p>
              </w:tc>
            </w:tr>
            <w:tr w:rsidR="00F05DC7" w:rsidRPr="00745DE7" w14:paraId="7954C5AD" w14:textId="77777777" w:rsidTr="00A3786D">
              <w:tc>
                <w:tcPr>
                  <w:tcW w:w="556" w:type="pct"/>
                </w:tcPr>
                <w:p w14:paraId="7954C5A4" w14:textId="77777777" w:rsidR="00F05DC7" w:rsidRPr="00745DE7" w:rsidRDefault="00F05DC7" w:rsidP="00A3786D">
                  <w:pPr>
                    <w:pStyle w:val="TableBodyText"/>
                    <w:jc w:val="left"/>
                    <w:rPr>
                      <w:rFonts w:asciiTheme="minorHAnsi" w:hAnsiTheme="minorHAnsi" w:cstheme="minorHAnsi"/>
                      <w:szCs w:val="18"/>
                    </w:rPr>
                  </w:pPr>
                  <w:r w:rsidRPr="00745DE7">
                    <w:rPr>
                      <w:rFonts w:asciiTheme="minorHAnsi" w:hAnsiTheme="minorHAnsi" w:cstheme="minorHAnsi"/>
                      <w:szCs w:val="18"/>
                    </w:rPr>
                    <w:t>2024</w:t>
                  </w:r>
                  <w:r w:rsidRPr="00745DE7">
                    <w:rPr>
                      <w:rFonts w:asciiTheme="minorHAnsi" w:hAnsiTheme="minorHAnsi" w:cstheme="minorHAnsi"/>
                      <w:szCs w:val="18"/>
                    </w:rPr>
                    <w:noBreakHyphen/>
                    <w:t>25</w:t>
                  </w:r>
                </w:p>
              </w:tc>
              <w:tc>
                <w:tcPr>
                  <w:tcW w:w="557" w:type="pct"/>
                  <w:tcBorders>
                    <w:top w:val="nil"/>
                    <w:left w:val="nil"/>
                    <w:bottom w:val="nil"/>
                    <w:right w:val="nil"/>
                  </w:tcBorders>
                  <w:shd w:val="clear" w:color="auto" w:fill="auto"/>
                  <w:vAlign w:val="bottom"/>
                </w:tcPr>
                <w:p w14:paraId="7954C5A5"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0.90</w:t>
                  </w:r>
                </w:p>
              </w:tc>
              <w:tc>
                <w:tcPr>
                  <w:tcW w:w="557" w:type="pct"/>
                  <w:tcBorders>
                    <w:top w:val="nil"/>
                    <w:left w:val="nil"/>
                    <w:bottom w:val="nil"/>
                    <w:right w:val="nil"/>
                  </w:tcBorders>
                  <w:shd w:val="clear" w:color="auto" w:fill="auto"/>
                  <w:vAlign w:val="bottom"/>
                </w:tcPr>
                <w:p w14:paraId="7954C5A6"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0.90</w:t>
                  </w:r>
                </w:p>
              </w:tc>
              <w:tc>
                <w:tcPr>
                  <w:tcW w:w="556" w:type="pct"/>
                  <w:tcBorders>
                    <w:top w:val="nil"/>
                    <w:left w:val="nil"/>
                    <w:bottom w:val="nil"/>
                    <w:right w:val="nil"/>
                  </w:tcBorders>
                  <w:shd w:val="clear" w:color="auto" w:fill="auto"/>
                  <w:vAlign w:val="bottom"/>
                </w:tcPr>
                <w:p w14:paraId="7954C5A7"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1.02</w:t>
                  </w:r>
                </w:p>
              </w:tc>
              <w:tc>
                <w:tcPr>
                  <w:tcW w:w="556" w:type="pct"/>
                  <w:tcBorders>
                    <w:top w:val="nil"/>
                    <w:left w:val="nil"/>
                    <w:bottom w:val="nil"/>
                    <w:right w:val="nil"/>
                  </w:tcBorders>
                  <w:shd w:val="clear" w:color="auto" w:fill="auto"/>
                  <w:vAlign w:val="bottom"/>
                </w:tcPr>
                <w:p w14:paraId="7954C5A8"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0.90</w:t>
                  </w:r>
                </w:p>
              </w:tc>
              <w:tc>
                <w:tcPr>
                  <w:tcW w:w="555" w:type="pct"/>
                  <w:tcBorders>
                    <w:top w:val="nil"/>
                    <w:left w:val="nil"/>
                    <w:bottom w:val="nil"/>
                    <w:right w:val="nil"/>
                  </w:tcBorders>
                  <w:shd w:val="clear" w:color="auto" w:fill="auto"/>
                  <w:vAlign w:val="bottom"/>
                </w:tcPr>
                <w:p w14:paraId="7954C5A9"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1.29</w:t>
                  </w:r>
                </w:p>
              </w:tc>
              <w:tc>
                <w:tcPr>
                  <w:tcW w:w="555" w:type="pct"/>
                  <w:tcBorders>
                    <w:top w:val="nil"/>
                    <w:left w:val="nil"/>
                    <w:bottom w:val="nil"/>
                    <w:right w:val="nil"/>
                  </w:tcBorders>
                  <w:shd w:val="clear" w:color="auto" w:fill="auto"/>
                  <w:vAlign w:val="bottom"/>
                </w:tcPr>
                <w:p w14:paraId="7954C5AA"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1.65</w:t>
                  </w:r>
                </w:p>
              </w:tc>
              <w:tc>
                <w:tcPr>
                  <w:tcW w:w="555" w:type="pct"/>
                  <w:tcBorders>
                    <w:top w:val="nil"/>
                    <w:left w:val="nil"/>
                    <w:bottom w:val="nil"/>
                    <w:right w:val="nil"/>
                  </w:tcBorders>
                  <w:shd w:val="clear" w:color="auto" w:fill="auto"/>
                  <w:vAlign w:val="bottom"/>
                </w:tcPr>
                <w:p w14:paraId="7954C5AB"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1.06</w:t>
                  </w:r>
                </w:p>
              </w:tc>
              <w:tc>
                <w:tcPr>
                  <w:tcW w:w="553" w:type="pct"/>
                  <w:tcBorders>
                    <w:top w:val="nil"/>
                    <w:left w:val="nil"/>
                    <w:bottom w:val="nil"/>
                    <w:right w:val="nil"/>
                  </w:tcBorders>
                  <w:shd w:val="clear" w:color="auto" w:fill="auto"/>
                  <w:vAlign w:val="bottom"/>
                </w:tcPr>
                <w:p w14:paraId="7954C5AC" w14:textId="77777777" w:rsidR="00F05DC7" w:rsidRPr="00745DE7" w:rsidRDefault="00F05DC7" w:rsidP="00A3786D">
                  <w:pPr>
                    <w:pStyle w:val="TableBodyText"/>
                    <w:ind w:right="28"/>
                    <w:rPr>
                      <w:rFonts w:asciiTheme="minorHAnsi" w:hAnsiTheme="minorHAnsi" w:cstheme="minorHAnsi"/>
                      <w:szCs w:val="18"/>
                    </w:rPr>
                  </w:pPr>
                  <w:r w:rsidRPr="00745DE7">
                    <w:rPr>
                      <w:rFonts w:asciiTheme="minorHAnsi" w:hAnsiTheme="minorHAnsi" w:cstheme="minorHAnsi"/>
                      <w:color w:val="000000"/>
                      <w:szCs w:val="18"/>
                    </w:rPr>
                    <w:t xml:space="preserve">4.79 </w:t>
                  </w:r>
                </w:p>
              </w:tc>
            </w:tr>
            <w:tr w:rsidR="00F05DC7" w:rsidRPr="00745DE7" w14:paraId="7954C5B7" w14:textId="77777777" w:rsidTr="00A3786D">
              <w:tc>
                <w:tcPr>
                  <w:tcW w:w="556" w:type="pct"/>
                </w:tcPr>
                <w:p w14:paraId="7954C5AE" w14:textId="77777777" w:rsidR="00F05DC7" w:rsidRPr="00745DE7" w:rsidRDefault="00F05DC7" w:rsidP="00A3786D">
                  <w:pPr>
                    <w:pStyle w:val="TableBodyText"/>
                    <w:jc w:val="left"/>
                    <w:rPr>
                      <w:rFonts w:asciiTheme="minorHAnsi" w:hAnsiTheme="minorHAnsi" w:cstheme="minorHAnsi"/>
                      <w:szCs w:val="18"/>
                    </w:rPr>
                  </w:pPr>
                  <w:r w:rsidRPr="00745DE7">
                    <w:rPr>
                      <w:rFonts w:asciiTheme="minorHAnsi" w:hAnsiTheme="minorHAnsi" w:cstheme="minorHAnsi"/>
                      <w:szCs w:val="18"/>
                    </w:rPr>
                    <w:t>2025</w:t>
                  </w:r>
                  <w:r w:rsidRPr="00745DE7">
                    <w:rPr>
                      <w:rFonts w:asciiTheme="minorHAnsi" w:hAnsiTheme="minorHAnsi" w:cstheme="minorHAnsi"/>
                      <w:szCs w:val="18"/>
                    </w:rPr>
                    <w:noBreakHyphen/>
                    <w:t>26</w:t>
                  </w:r>
                </w:p>
              </w:tc>
              <w:tc>
                <w:tcPr>
                  <w:tcW w:w="557" w:type="pct"/>
                  <w:tcBorders>
                    <w:top w:val="nil"/>
                    <w:left w:val="nil"/>
                    <w:bottom w:val="nil"/>
                    <w:right w:val="nil"/>
                  </w:tcBorders>
                  <w:shd w:val="clear" w:color="auto" w:fill="auto"/>
                  <w:vAlign w:val="bottom"/>
                </w:tcPr>
                <w:p w14:paraId="7954C5AF"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0.90</w:t>
                  </w:r>
                </w:p>
              </w:tc>
              <w:tc>
                <w:tcPr>
                  <w:tcW w:w="557" w:type="pct"/>
                  <w:tcBorders>
                    <w:top w:val="nil"/>
                    <w:left w:val="nil"/>
                    <w:bottom w:val="nil"/>
                    <w:right w:val="nil"/>
                  </w:tcBorders>
                  <w:shd w:val="clear" w:color="auto" w:fill="auto"/>
                  <w:vAlign w:val="bottom"/>
                </w:tcPr>
                <w:p w14:paraId="7954C5B0"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0.90</w:t>
                  </w:r>
                </w:p>
              </w:tc>
              <w:tc>
                <w:tcPr>
                  <w:tcW w:w="556" w:type="pct"/>
                  <w:tcBorders>
                    <w:top w:val="nil"/>
                    <w:left w:val="nil"/>
                    <w:bottom w:val="nil"/>
                    <w:right w:val="nil"/>
                  </w:tcBorders>
                  <w:shd w:val="clear" w:color="auto" w:fill="auto"/>
                  <w:vAlign w:val="bottom"/>
                </w:tcPr>
                <w:p w14:paraId="7954C5B1"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1.02</w:t>
                  </w:r>
                </w:p>
              </w:tc>
              <w:tc>
                <w:tcPr>
                  <w:tcW w:w="556" w:type="pct"/>
                  <w:tcBorders>
                    <w:top w:val="nil"/>
                    <w:left w:val="nil"/>
                    <w:bottom w:val="nil"/>
                    <w:right w:val="nil"/>
                  </w:tcBorders>
                  <w:shd w:val="clear" w:color="auto" w:fill="auto"/>
                  <w:vAlign w:val="bottom"/>
                </w:tcPr>
                <w:p w14:paraId="7954C5B2"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0.90</w:t>
                  </w:r>
                </w:p>
              </w:tc>
              <w:tc>
                <w:tcPr>
                  <w:tcW w:w="555" w:type="pct"/>
                  <w:tcBorders>
                    <w:top w:val="nil"/>
                    <w:left w:val="nil"/>
                    <w:bottom w:val="nil"/>
                    <w:right w:val="nil"/>
                  </w:tcBorders>
                  <w:shd w:val="clear" w:color="auto" w:fill="auto"/>
                  <w:vAlign w:val="bottom"/>
                </w:tcPr>
                <w:p w14:paraId="7954C5B3"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1.29</w:t>
                  </w:r>
                </w:p>
              </w:tc>
              <w:tc>
                <w:tcPr>
                  <w:tcW w:w="555" w:type="pct"/>
                  <w:tcBorders>
                    <w:top w:val="nil"/>
                    <w:left w:val="nil"/>
                    <w:bottom w:val="nil"/>
                    <w:right w:val="nil"/>
                  </w:tcBorders>
                  <w:shd w:val="clear" w:color="auto" w:fill="auto"/>
                  <w:vAlign w:val="bottom"/>
                </w:tcPr>
                <w:p w14:paraId="7954C5B4"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1.66</w:t>
                  </w:r>
                </w:p>
              </w:tc>
              <w:tc>
                <w:tcPr>
                  <w:tcW w:w="555" w:type="pct"/>
                  <w:tcBorders>
                    <w:top w:val="nil"/>
                    <w:left w:val="nil"/>
                    <w:bottom w:val="nil"/>
                    <w:right w:val="nil"/>
                  </w:tcBorders>
                  <w:shd w:val="clear" w:color="auto" w:fill="auto"/>
                  <w:vAlign w:val="bottom"/>
                </w:tcPr>
                <w:p w14:paraId="7954C5B5"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1.07</w:t>
                  </w:r>
                </w:p>
              </w:tc>
              <w:tc>
                <w:tcPr>
                  <w:tcW w:w="553" w:type="pct"/>
                  <w:tcBorders>
                    <w:top w:val="nil"/>
                    <w:left w:val="nil"/>
                    <w:bottom w:val="nil"/>
                    <w:right w:val="nil"/>
                  </w:tcBorders>
                  <w:shd w:val="clear" w:color="auto" w:fill="auto"/>
                  <w:vAlign w:val="bottom"/>
                </w:tcPr>
                <w:p w14:paraId="7954C5B6" w14:textId="77777777" w:rsidR="00F05DC7" w:rsidRPr="00745DE7" w:rsidRDefault="00F05DC7" w:rsidP="00A3786D">
                  <w:pPr>
                    <w:pStyle w:val="TableBodyText"/>
                    <w:ind w:right="28"/>
                    <w:rPr>
                      <w:rFonts w:asciiTheme="minorHAnsi" w:hAnsiTheme="minorHAnsi" w:cstheme="minorHAnsi"/>
                      <w:szCs w:val="18"/>
                    </w:rPr>
                  </w:pPr>
                  <w:r w:rsidRPr="00745DE7">
                    <w:rPr>
                      <w:rFonts w:asciiTheme="minorHAnsi" w:hAnsiTheme="minorHAnsi" w:cstheme="minorHAnsi"/>
                      <w:color w:val="000000"/>
                      <w:szCs w:val="18"/>
                    </w:rPr>
                    <w:t xml:space="preserve">4.82 </w:t>
                  </w:r>
                </w:p>
              </w:tc>
            </w:tr>
            <w:tr w:rsidR="00F05DC7" w:rsidRPr="00745DE7" w14:paraId="7954C5C1" w14:textId="77777777" w:rsidTr="00A3786D">
              <w:tc>
                <w:tcPr>
                  <w:tcW w:w="556" w:type="pct"/>
                  <w:tcBorders>
                    <w:bottom w:val="single" w:sz="6" w:space="0" w:color="D9D9D9" w:themeColor="background1" w:themeShade="D9"/>
                  </w:tcBorders>
                </w:tcPr>
                <w:p w14:paraId="7954C5B8" w14:textId="77777777" w:rsidR="00F05DC7" w:rsidRPr="00745DE7" w:rsidRDefault="00F05DC7" w:rsidP="00A3786D">
                  <w:pPr>
                    <w:pStyle w:val="TableBodyText"/>
                    <w:jc w:val="left"/>
                    <w:rPr>
                      <w:rFonts w:asciiTheme="minorHAnsi" w:hAnsiTheme="minorHAnsi" w:cstheme="minorHAnsi"/>
                      <w:szCs w:val="18"/>
                    </w:rPr>
                  </w:pPr>
                  <w:r w:rsidRPr="00745DE7">
                    <w:rPr>
                      <w:rFonts w:asciiTheme="minorHAnsi" w:hAnsiTheme="minorHAnsi" w:cstheme="minorHAnsi"/>
                      <w:szCs w:val="18"/>
                    </w:rPr>
                    <w:t>2026</w:t>
                  </w:r>
                  <w:r w:rsidRPr="00745DE7">
                    <w:rPr>
                      <w:rFonts w:asciiTheme="minorHAnsi" w:hAnsiTheme="minorHAnsi" w:cstheme="minorHAnsi"/>
                      <w:szCs w:val="18"/>
                    </w:rPr>
                    <w:noBreakHyphen/>
                    <w:t>27</w:t>
                  </w:r>
                </w:p>
              </w:tc>
              <w:tc>
                <w:tcPr>
                  <w:tcW w:w="557" w:type="pct"/>
                  <w:tcBorders>
                    <w:top w:val="nil"/>
                    <w:left w:val="nil"/>
                    <w:bottom w:val="single" w:sz="6" w:space="0" w:color="D9D9D9" w:themeColor="background1" w:themeShade="D9"/>
                    <w:right w:val="nil"/>
                  </w:tcBorders>
                  <w:shd w:val="clear" w:color="auto" w:fill="auto"/>
                  <w:vAlign w:val="bottom"/>
                </w:tcPr>
                <w:p w14:paraId="7954C5B9"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0.90</w:t>
                  </w:r>
                </w:p>
              </w:tc>
              <w:tc>
                <w:tcPr>
                  <w:tcW w:w="557" w:type="pct"/>
                  <w:tcBorders>
                    <w:top w:val="nil"/>
                    <w:left w:val="nil"/>
                    <w:bottom w:val="single" w:sz="6" w:space="0" w:color="D9D9D9" w:themeColor="background1" w:themeShade="D9"/>
                    <w:right w:val="nil"/>
                  </w:tcBorders>
                  <w:shd w:val="clear" w:color="auto" w:fill="auto"/>
                  <w:vAlign w:val="bottom"/>
                </w:tcPr>
                <w:p w14:paraId="7954C5BA"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0.90</w:t>
                  </w:r>
                </w:p>
              </w:tc>
              <w:tc>
                <w:tcPr>
                  <w:tcW w:w="556" w:type="pct"/>
                  <w:tcBorders>
                    <w:top w:val="nil"/>
                    <w:left w:val="nil"/>
                    <w:bottom w:val="single" w:sz="6" w:space="0" w:color="D9D9D9" w:themeColor="background1" w:themeShade="D9"/>
                    <w:right w:val="nil"/>
                  </w:tcBorders>
                  <w:shd w:val="clear" w:color="auto" w:fill="auto"/>
                  <w:vAlign w:val="bottom"/>
                </w:tcPr>
                <w:p w14:paraId="7954C5BB"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1.01</w:t>
                  </w:r>
                </w:p>
              </w:tc>
              <w:tc>
                <w:tcPr>
                  <w:tcW w:w="556" w:type="pct"/>
                  <w:tcBorders>
                    <w:top w:val="nil"/>
                    <w:left w:val="nil"/>
                    <w:bottom w:val="single" w:sz="6" w:space="0" w:color="D9D9D9" w:themeColor="background1" w:themeShade="D9"/>
                    <w:right w:val="nil"/>
                  </w:tcBorders>
                  <w:shd w:val="clear" w:color="auto" w:fill="auto"/>
                  <w:vAlign w:val="bottom"/>
                </w:tcPr>
                <w:p w14:paraId="7954C5BC"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0.90</w:t>
                  </w:r>
                </w:p>
              </w:tc>
              <w:tc>
                <w:tcPr>
                  <w:tcW w:w="555" w:type="pct"/>
                  <w:tcBorders>
                    <w:top w:val="nil"/>
                    <w:left w:val="nil"/>
                    <w:bottom w:val="single" w:sz="6" w:space="0" w:color="D9D9D9" w:themeColor="background1" w:themeShade="D9"/>
                    <w:right w:val="nil"/>
                  </w:tcBorders>
                  <w:shd w:val="clear" w:color="auto" w:fill="auto"/>
                  <w:vAlign w:val="bottom"/>
                </w:tcPr>
                <w:p w14:paraId="7954C5BD"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1.29</w:t>
                  </w:r>
                </w:p>
              </w:tc>
              <w:tc>
                <w:tcPr>
                  <w:tcW w:w="555" w:type="pct"/>
                  <w:tcBorders>
                    <w:top w:val="nil"/>
                    <w:left w:val="nil"/>
                    <w:bottom w:val="single" w:sz="6" w:space="0" w:color="D9D9D9" w:themeColor="background1" w:themeShade="D9"/>
                    <w:right w:val="nil"/>
                  </w:tcBorders>
                  <w:shd w:val="clear" w:color="auto" w:fill="auto"/>
                  <w:vAlign w:val="bottom"/>
                </w:tcPr>
                <w:p w14:paraId="7954C5BE"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1.66</w:t>
                  </w:r>
                </w:p>
              </w:tc>
              <w:tc>
                <w:tcPr>
                  <w:tcW w:w="555" w:type="pct"/>
                  <w:tcBorders>
                    <w:top w:val="nil"/>
                    <w:left w:val="nil"/>
                    <w:bottom w:val="single" w:sz="6" w:space="0" w:color="D9D9D9" w:themeColor="background1" w:themeShade="D9"/>
                    <w:right w:val="nil"/>
                  </w:tcBorders>
                  <w:shd w:val="clear" w:color="auto" w:fill="auto"/>
                  <w:vAlign w:val="bottom"/>
                </w:tcPr>
                <w:p w14:paraId="7954C5BF" w14:textId="77777777" w:rsidR="00F05DC7" w:rsidRPr="00745DE7" w:rsidRDefault="00F05DC7" w:rsidP="00A3786D">
                  <w:pPr>
                    <w:pStyle w:val="TableBodyText"/>
                    <w:rPr>
                      <w:rFonts w:asciiTheme="minorHAnsi" w:hAnsiTheme="minorHAnsi" w:cstheme="minorHAnsi"/>
                      <w:szCs w:val="18"/>
                    </w:rPr>
                  </w:pPr>
                  <w:r w:rsidRPr="00745DE7">
                    <w:rPr>
                      <w:rFonts w:asciiTheme="minorHAnsi" w:hAnsiTheme="minorHAnsi" w:cstheme="minorHAnsi"/>
                      <w:color w:val="000000"/>
                      <w:szCs w:val="18"/>
                    </w:rPr>
                    <w:t>1.08</w:t>
                  </w:r>
                </w:p>
              </w:tc>
              <w:tc>
                <w:tcPr>
                  <w:tcW w:w="553" w:type="pct"/>
                  <w:tcBorders>
                    <w:top w:val="nil"/>
                    <w:left w:val="nil"/>
                    <w:bottom w:val="single" w:sz="6" w:space="0" w:color="D9D9D9" w:themeColor="background1" w:themeShade="D9"/>
                    <w:right w:val="nil"/>
                  </w:tcBorders>
                  <w:shd w:val="clear" w:color="auto" w:fill="auto"/>
                  <w:vAlign w:val="bottom"/>
                </w:tcPr>
                <w:p w14:paraId="7954C5C0" w14:textId="77777777" w:rsidR="00F05DC7" w:rsidRPr="00745DE7" w:rsidRDefault="00F05DC7" w:rsidP="00A3786D">
                  <w:pPr>
                    <w:pStyle w:val="TableBodyText"/>
                    <w:ind w:right="28"/>
                    <w:rPr>
                      <w:rFonts w:asciiTheme="minorHAnsi" w:hAnsiTheme="minorHAnsi" w:cstheme="minorHAnsi"/>
                      <w:szCs w:val="18"/>
                    </w:rPr>
                  </w:pPr>
                  <w:r w:rsidRPr="00745DE7">
                    <w:rPr>
                      <w:rFonts w:asciiTheme="minorHAnsi" w:hAnsiTheme="minorHAnsi" w:cstheme="minorHAnsi"/>
                      <w:color w:val="000000"/>
                      <w:szCs w:val="18"/>
                    </w:rPr>
                    <w:t>4.84</w:t>
                  </w:r>
                </w:p>
              </w:tc>
            </w:tr>
          </w:tbl>
          <w:p w14:paraId="7954C5C2" w14:textId="77777777" w:rsidR="00F05DC7" w:rsidRDefault="00F05DC7" w:rsidP="00A3786D">
            <w:pPr>
              <w:pStyle w:val="Box"/>
            </w:pPr>
          </w:p>
        </w:tc>
      </w:tr>
      <w:tr w:rsidR="00F05DC7" w14:paraId="7954C5C5" w14:textId="77777777" w:rsidTr="00A3786D">
        <w:tc>
          <w:tcPr>
            <w:tcW w:w="5000" w:type="pct"/>
            <w:tcBorders>
              <w:top w:val="nil"/>
              <w:left w:val="nil"/>
              <w:bottom w:val="nil"/>
              <w:right w:val="nil"/>
            </w:tcBorders>
            <w:shd w:val="clear" w:color="auto" w:fill="auto"/>
          </w:tcPr>
          <w:p w14:paraId="7954C5C4" w14:textId="77777777" w:rsidR="00F05DC7" w:rsidRDefault="00F05DC7" w:rsidP="00A3786D">
            <w:pPr>
              <w:pStyle w:val="Source"/>
            </w:pPr>
            <w:r>
              <w:rPr>
                <w:i/>
              </w:rPr>
              <w:t>Source</w:t>
            </w:r>
            <w:r w:rsidRPr="00167F06">
              <w:t xml:space="preserve">: </w:t>
            </w:r>
            <w:r>
              <w:t>Productivity Commission estimates based on data provided by State Treasuries (confidential).</w:t>
            </w:r>
          </w:p>
        </w:tc>
      </w:tr>
      <w:tr w:rsidR="00F05DC7" w14:paraId="7954C5C7" w14:textId="77777777" w:rsidTr="00A3786D">
        <w:tc>
          <w:tcPr>
            <w:tcW w:w="5000" w:type="pct"/>
            <w:tcBorders>
              <w:top w:val="nil"/>
              <w:left w:val="nil"/>
              <w:bottom w:val="single" w:sz="6" w:space="0" w:color="78A22F"/>
              <w:right w:val="nil"/>
            </w:tcBorders>
            <w:shd w:val="clear" w:color="auto" w:fill="auto"/>
          </w:tcPr>
          <w:p w14:paraId="7954C5C6" w14:textId="77777777" w:rsidR="00F05DC7" w:rsidRDefault="00F05DC7" w:rsidP="00A3786D">
            <w:pPr>
              <w:pStyle w:val="Box"/>
              <w:spacing w:before="0" w:line="120" w:lineRule="exact"/>
            </w:pPr>
          </w:p>
        </w:tc>
      </w:tr>
      <w:tr w:rsidR="00F05DC7" w:rsidRPr="000863A5" w14:paraId="7954C5C9" w14:textId="77777777" w:rsidTr="00A3786D">
        <w:tc>
          <w:tcPr>
            <w:tcW w:w="5000" w:type="pct"/>
            <w:tcBorders>
              <w:top w:val="single" w:sz="6" w:space="0" w:color="78A22F"/>
              <w:left w:val="nil"/>
              <w:bottom w:val="nil"/>
              <w:right w:val="nil"/>
            </w:tcBorders>
          </w:tcPr>
          <w:p w14:paraId="7954C5C8" w14:textId="77777777" w:rsidR="00F05DC7" w:rsidRPr="00626D32" w:rsidRDefault="00F05DC7" w:rsidP="00A3786D">
            <w:pPr>
              <w:pStyle w:val="BoxSpaceBelow"/>
            </w:pPr>
          </w:p>
        </w:tc>
      </w:tr>
    </w:tbl>
    <w:p w14:paraId="7954C5CA" w14:textId="77777777" w:rsidR="00F05DC7" w:rsidRDefault="00F05DC7" w:rsidP="00A3786D">
      <w:pPr>
        <w:pStyle w:val="Heading3"/>
      </w:pPr>
      <w:r>
        <w:lastRenderedPageBreak/>
        <w:t>GST impacts under the ‘best estimate’ scenario</w:t>
      </w:r>
    </w:p>
    <w:p w14:paraId="7954C5CB" w14:textId="77777777" w:rsidR="00F05DC7" w:rsidRDefault="00F05DC7" w:rsidP="00A3786D">
      <w:pPr>
        <w:pStyle w:val="BodyText"/>
      </w:pPr>
      <w:r>
        <w:t xml:space="preserve">The effect of the transition is to gradually spread the GST impacts of the change to ETA over four or eight years. </w:t>
      </w:r>
    </w:p>
    <w:p w14:paraId="7954C5CC" w14:textId="77777777" w:rsidR="00F05DC7" w:rsidRDefault="00F05DC7" w:rsidP="00A3786D">
      <w:pPr>
        <w:pStyle w:val="BodyText"/>
      </w:pPr>
      <w:r>
        <w:t>For the four and eight year transition periods, the following information is presented:</w:t>
      </w:r>
    </w:p>
    <w:p w14:paraId="7954C5CD" w14:textId="77777777" w:rsidR="00F05DC7" w:rsidRDefault="00F05DC7" w:rsidP="00A3786D">
      <w:pPr>
        <w:pStyle w:val="ListBullet"/>
      </w:pPr>
      <w:r>
        <w:t>the projected relativities for each State</w:t>
      </w:r>
    </w:p>
    <w:p w14:paraId="7954C5CE" w14:textId="77777777" w:rsidR="00F05DC7" w:rsidRPr="00B573A6" w:rsidRDefault="00F05DC7" w:rsidP="00A3786D">
      <w:pPr>
        <w:pStyle w:val="ListBullet"/>
        <w:rPr>
          <w:rFonts w:ascii="Arial" w:hAnsi="Arial"/>
          <w:sz w:val="20"/>
        </w:rPr>
      </w:pPr>
      <w:r w:rsidRPr="00C040CD">
        <w:t>the</w:t>
      </w:r>
      <w:r>
        <w:t xml:space="preserve"> total change in each State’s annual </w:t>
      </w:r>
      <w:r w:rsidRPr="00C040CD">
        <w:t>GST</w:t>
      </w:r>
      <w:r>
        <w:t xml:space="preserve"> payment due to the new equalisation benchmark</w:t>
      </w:r>
      <w:r w:rsidRPr="001C5B87">
        <w:t xml:space="preserve"> </w:t>
      </w:r>
      <w:r>
        <w:t xml:space="preserve">as a proportion of total State revenue, in </w:t>
      </w:r>
      <w:r w:rsidRPr="00C040CD">
        <w:t>dollars per capita</w:t>
      </w:r>
      <w:r>
        <w:t xml:space="preserve"> and in millions of dollars</w:t>
      </w:r>
    </w:p>
    <w:p w14:paraId="7954C5CF" w14:textId="77777777" w:rsidR="00F05DC7" w:rsidRDefault="00F05DC7" w:rsidP="00A3786D">
      <w:pPr>
        <w:pStyle w:val="ListBullet"/>
      </w:pPr>
      <w:r w:rsidRPr="00B573A6">
        <w:t>the year</w:t>
      </w:r>
      <w:r w:rsidRPr="00B573A6">
        <w:noBreakHyphen/>
      </w:r>
      <w:r>
        <w:t>on</w:t>
      </w:r>
      <w:r w:rsidRPr="00B573A6">
        <w:noBreakHyphen/>
        <w:t xml:space="preserve">year change in GST payments due to the new equalisation </w:t>
      </w:r>
      <w:r>
        <w:t xml:space="preserve">benchmark </w:t>
      </w:r>
      <w:r w:rsidRPr="00B573A6">
        <w:t>as a proportion of total State revenue, in dollars per capita and in millions of dollars. This provides an indicator of the effect on State budget management as it shows the incremental adjustment States w</w:t>
      </w:r>
      <w:r>
        <w:t>ould</w:t>
      </w:r>
      <w:r w:rsidRPr="00B573A6">
        <w:t xml:space="preserve"> need to make each year.</w:t>
      </w:r>
    </w:p>
    <w:p w14:paraId="7954C5D0" w14:textId="77777777" w:rsidR="00F05DC7" w:rsidRDefault="00F05DC7" w:rsidP="00A3786D">
      <w:pPr>
        <w:pStyle w:val="Heading4"/>
      </w:pPr>
      <w:r>
        <w:t>Relativities converge towards their ETA levels over the</w:t>
      </w:r>
      <w:r w:rsidDel="009E4C83">
        <w:t xml:space="preserve"> </w:t>
      </w:r>
      <w:r>
        <w:t xml:space="preserve">transition period </w:t>
      </w:r>
    </w:p>
    <w:p w14:paraId="7954C5D1" w14:textId="77777777" w:rsidR="00F05DC7" w:rsidRDefault="00F05DC7">
      <w:pPr>
        <w:pStyle w:val="BodyText"/>
      </w:pPr>
      <w:r>
        <w:t>A gradual transition to ETA means that each State’s relativity converges from its current level to what it would be under ETA (by 2022</w:t>
      </w:r>
      <w:r>
        <w:noBreakHyphen/>
        <w:t>23 for the four year transition, and by 2026</w:t>
      </w:r>
      <w:r>
        <w:noBreakHyphen/>
        <w:t>27 for the eight year transition)</w:t>
      </w:r>
      <w:r w:rsidDel="00545736">
        <w:t xml:space="preserve"> </w:t>
      </w:r>
      <w:r>
        <w:t>(figure F.6, table F.4). For the four year transition, once relativities reach their ETA levels they are projected to</w:t>
      </w:r>
      <w:r w:rsidDel="009E4C83">
        <w:t xml:space="preserve"> </w:t>
      </w:r>
      <w:r>
        <w:t>remain at about those levels until 2026</w:t>
      </w:r>
      <w:r>
        <w:noBreakHyphen/>
        <w:t xml:space="preserve">27. Relativities in the fiscally strong States (currently New South Wales, Victoria and Western Australia) are projected to be the same (as States above the new equalisation benchmark will receive the same GST payment per capita). </w:t>
      </w:r>
    </w:p>
    <w:p w14:paraId="7954C5D2"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5D5" w14:textId="77777777" w:rsidTr="00A3786D">
        <w:trPr>
          <w:tblHeader/>
        </w:trPr>
        <w:tc>
          <w:tcPr>
            <w:tcW w:w="5000" w:type="pct"/>
            <w:tcBorders>
              <w:top w:val="single" w:sz="6" w:space="0" w:color="78A22F"/>
              <w:left w:val="nil"/>
              <w:bottom w:val="nil"/>
              <w:right w:val="nil"/>
            </w:tcBorders>
            <w:shd w:val="clear" w:color="auto" w:fill="auto"/>
          </w:tcPr>
          <w:p w14:paraId="7954C5D3" w14:textId="2EE516D9" w:rsidR="00F05DC7" w:rsidRDefault="00F05DC7" w:rsidP="00A3786D">
            <w:pPr>
              <w:pStyle w:val="FigureTitle"/>
            </w:pPr>
            <w:r w:rsidRPr="00784A05">
              <w:rPr>
                <w:b w:val="0"/>
              </w:rPr>
              <w:t xml:space="preserve">Figure </w:t>
            </w:r>
            <w:r>
              <w:rPr>
                <w:b w:val="0"/>
              </w:rPr>
              <w:t>F.6</w:t>
            </w:r>
            <w:r>
              <w:tab/>
              <w:t>Four year and eight year transition to ETA: historical and projected State relativities</w:t>
            </w:r>
          </w:p>
          <w:p w14:paraId="7954C5D4" w14:textId="77777777" w:rsidR="00F05DC7" w:rsidRPr="00176D3F" w:rsidRDefault="00F05DC7" w:rsidP="00A3786D">
            <w:pPr>
              <w:pStyle w:val="Subtitle"/>
            </w:pPr>
            <w:r>
              <w:t>Best estimate scenario, 2000</w:t>
            </w:r>
            <w:r>
              <w:noBreakHyphen/>
              <w:t>01 to 2026</w:t>
            </w:r>
            <w:r>
              <w:noBreakHyphen/>
              <w:t>27</w:t>
            </w:r>
          </w:p>
        </w:tc>
      </w:tr>
      <w:tr w:rsidR="00F05DC7" w14:paraId="7954C5DD"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C5D8" w14:textId="77777777" w:rsidTr="00A3786D">
              <w:trPr>
                <w:trHeight w:val="223"/>
                <w:tblHeader/>
                <w:jc w:val="center"/>
              </w:trPr>
              <w:tc>
                <w:tcPr>
                  <w:tcW w:w="5000" w:type="pct"/>
                  <w:tcBorders>
                    <w:top w:val="nil"/>
                    <w:bottom w:val="nil"/>
                  </w:tcBorders>
                </w:tcPr>
                <w:p w14:paraId="7954C5D6" w14:textId="77777777" w:rsidR="00F05DC7" w:rsidRDefault="00F05DC7" w:rsidP="00A3786D">
                  <w:pPr>
                    <w:pStyle w:val="Figure"/>
                    <w:spacing w:before="60" w:after="60"/>
                    <w:rPr>
                      <w:rFonts w:ascii="Arial" w:hAnsi="Arial" w:cs="Arial"/>
                      <w:noProof/>
                      <w:sz w:val="18"/>
                      <w:szCs w:val="18"/>
                    </w:rPr>
                  </w:pPr>
                  <w:r>
                    <w:rPr>
                      <w:rFonts w:ascii="Arial" w:hAnsi="Arial" w:cs="Arial"/>
                      <w:sz w:val="18"/>
                      <w:szCs w:val="18"/>
                    </w:rPr>
                    <w:t xml:space="preserve">Four year transition </w:t>
                  </w:r>
                </w:p>
                <w:p w14:paraId="7954C5D7" w14:textId="77777777" w:rsidR="00F05DC7" w:rsidRPr="00B1465D" w:rsidRDefault="00F05DC7" w:rsidP="00A3786D">
                  <w:pPr>
                    <w:pStyle w:val="Figure"/>
                    <w:spacing w:before="60" w:after="60"/>
                    <w:rPr>
                      <w:rFonts w:ascii="Arial" w:hAnsi="Arial" w:cs="Arial"/>
                      <w:sz w:val="18"/>
                      <w:szCs w:val="18"/>
                    </w:rPr>
                  </w:pPr>
                  <w:r w:rsidRPr="00C4697C">
                    <w:rPr>
                      <w:rFonts w:ascii="Arial" w:hAnsi="Arial" w:cs="Arial"/>
                      <w:noProof/>
                      <w:sz w:val="18"/>
                      <w:szCs w:val="18"/>
                    </w:rPr>
                    <w:drawing>
                      <wp:inline distT="0" distB="0" distL="0" distR="0" wp14:anchorId="7954D691" wp14:editId="7954D692">
                        <wp:extent cx="5486400" cy="3411855"/>
                        <wp:effectExtent l="0" t="0" r="0" b="0"/>
                        <wp:docPr id="233" name="Picture 233" descr="Under a four-year transition to equalisation to the average, each State’s relativity would move from its current level to what it would be under the new benchmark by 2022-23. Once the relativities reach equalisation to the average levels, they remain at roughly the same levels until 2026-27, the end of the projection period. This process entails increases in the relativities of New South Wales and Western Australia, as well as the Northern Territory, and declines for all other Sta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486838" cy="3412127"/>
                                </a:xfrm>
                                <a:prstGeom prst="rect">
                                  <a:avLst/>
                                </a:prstGeom>
                                <a:noFill/>
                                <a:ln>
                                  <a:noFill/>
                                </a:ln>
                              </pic:spPr>
                            </pic:pic>
                          </a:graphicData>
                        </a:graphic>
                      </wp:inline>
                    </w:drawing>
                  </w:r>
                </w:p>
              </w:tc>
            </w:tr>
            <w:tr w:rsidR="00F05DC7" w:rsidRPr="00B1465D" w14:paraId="7954C5DB" w14:textId="77777777" w:rsidTr="00A3786D">
              <w:trPr>
                <w:trHeight w:val="222"/>
                <w:tblHeader/>
                <w:jc w:val="center"/>
              </w:trPr>
              <w:tc>
                <w:tcPr>
                  <w:tcW w:w="5000" w:type="pct"/>
                  <w:tcBorders>
                    <w:top w:val="nil"/>
                    <w:bottom w:val="nil"/>
                  </w:tcBorders>
                </w:tcPr>
                <w:p w14:paraId="7954C5D9" w14:textId="77777777" w:rsidR="00F05DC7" w:rsidRDefault="00F05DC7" w:rsidP="00A3786D">
                  <w:pPr>
                    <w:pStyle w:val="Figure"/>
                    <w:spacing w:before="60" w:after="60"/>
                    <w:rPr>
                      <w:rFonts w:ascii="Arial" w:hAnsi="Arial" w:cs="Arial"/>
                      <w:sz w:val="18"/>
                      <w:szCs w:val="18"/>
                    </w:rPr>
                  </w:pPr>
                  <w:r>
                    <w:rPr>
                      <w:rFonts w:ascii="Arial" w:hAnsi="Arial" w:cs="Arial"/>
                      <w:sz w:val="18"/>
                      <w:szCs w:val="18"/>
                    </w:rPr>
                    <w:t>Eight year transition</w:t>
                  </w:r>
                </w:p>
                <w:p w14:paraId="7954C5DA" w14:textId="77777777" w:rsidR="00F05DC7" w:rsidRPr="00B1465D" w:rsidRDefault="00F05DC7" w:rsidP="00A3786D">
                  <w:pPr>
                    <w:pStyle w:val="Figure"/>
                    <w:spacing w:before="60" w:after="60"/>
                    <w:rPr>
                      <w:rFonts w:ascii="Arial" w:hAnsi="Arial" w:cs="Arial"/>
                      <w:sz w:val="18"/>
                      <w:szCs w:val="18"/>
                    </w:rPr>
                  </w:pPr>
                  <w:r w:rsidRPr="00532E18">
                    <w:rPr>
                      <w:rFonts w:ascii="Arial" w:hAnsi="Arial" w:cs="Arial"/>
                      <w:noProof/>
                      <w:sz w:val="18"/>
                      <w:szCs w:val="18"/>
                    </w:rPr>
                    <w:drawing>
                      <wp:inline distT="0" distB="0" distL="0" distR="0" wp14:anchorId="7954D693" wp14:editId="7954D694">
                        <wp:extent cx="5448693" cy="3362066"/>
                        <wp:effectExtent l="0" t="0" r="0" b="0"/>
                        <wp:docPr id="237" name="Picture 237" descr="Under an eight year transition, relativities reach their equalisation to the average levels by 2026-27. The relativities of New South Wales and Western Australia — as well as the Northern Territory — increase, while those for the other States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51397" cy="3363734"/>
                                </a:xfrm>
                                <a:prstGeom prst="rect">
                                  <a:avLst/>
                                </a:prstGeom>
                                <a:noFill/>
                                <a:ln>
                                  <a:noFill/>
                                </a:ln>
                              </pic:spPr>
                            </pic:pic>
                          </a:graphicData>
                        </a:graphic>
                      </wp:inline>
                    </w:drawing>
                  </w:r>
                </w:p>
              </w:tc>
            </w:tr>
          </w:tbl>
          <w:p w14:paraId="7954C5DC" w14:textId="77777777" w:rsidR="00F05DC7" w:rsidRDefault="00F05DC7" w:rsidP="00A3786D">
            <w:pPr>
              <w:pStyle w:val="Figure"/>
            </w:pPr>
          </w:p>
        </w:tc>
      </w:tr>
      <w:tr w:rsidR="00F05DC7" w:rsidRPr="00176D3F" w14:paraId="7954C5DF" w14:textId="77777777" w:rsidTr="00A3786D">
        <w:tc>
          <w:tcPr>
            <w:tcW w:w="5000" w:type="pct"/>
            <w:tcBorders>
              <w:top w:val="nil"/>
              <w:left w:val="nil"/>
              <w:bottom w:val="nil"/>
              <w:right w:val="nil"/>
            </w:tcBorders>
            <w:shd w:val="clear" w:color="auto" w:fill="auto"/>
          </w:tcPr>
          <w:p w14:paraId="7954C5DE" w14:textId="5921ACD0" w:rsidR="00F05DC7" w:rsidRPr="00176D3F" w:rsidRDefault="00F05DC7" w:rsidP="00A3786D">
            <w:pPr>
              <w:pStyle w:val="Subtitle"/>
              <w:keepNext w:val="0"/>
              <w:spacing w:before="80" w:after="0" w:line="220" w:lineRule="exact"/>
              <w:ind w:left="0"/>
              <w:jc w:val="both"/>
            </w:pPr>
            <w:r>
              <w:rPr>
                <w:i/>
              </w:rPr>
              <w:t>S</w:t>
            </w:r>
            <w:r w:rsidRPr="00784A05">
              <w:rPr>
                <w:i/>
              </w:rPr>
              <w:t>ource</w:t>
            </w:r>
            <w:r>
              <w:rPr>
                <w:i/>
              </w:rPr>
              <w:t>s</w:t>
            </w:r>
            <w:r w:rsidRPr="00176D3F">
              <w:t xml:space="preserve">: </w:t>
            </w:r>
            <w:r>
              <w:t xml:space="preserve">CGC </w:t>
            </w:r>
            <w:r w:rsidR="009D6331" w:rsidRPr="009D6331">
              <w:rPr>
                <w:rFonts w:cs="Arial"/>
              </w:rPr>
              <w:t>(2018g)</w:t>
            </w:r>
            <w:r>
              <w:t>; table F.4.</w:t>
            </w:r>
          </w:p>
        </w:tc>
      </w:tr>
      <w:tr w:rsidR="00F05DC7" w14:paraId="7954C5E1" w14:textId="77777777" w:rsidTr="00A3786D">
        <w:tc>
          <w:tcPr>
            <w:tcW w:w="5000" w:type="pct"/>
            <w:tcBorders>
              <w:top w:val="nil"/>
              <w:left w:val="nil"/>
              <w:bottom w:val="single" w:sz="6" w:space="0" w:color="78A22F"/>
              <w:right w:val="nil"/>
            </w:tcBorders>
            <w:shd w:val="clear" w:color="auto" w:fill="auto"/>
          </w:tcPr>
          <w:p w14:paraId="7954C5E0" w14:textId="77777777" w:rsidR="00F05DC7" w:rsidRDefault="00F05DC7" w:rsidP="00A3786D">
            <w:pPr>
              <w:pStyle w:val="Figurespace"/>
            </w:pPr>
          </w:p>
        </w:tc>
      </w:tr>
      <w:tr w:rsidR="00F05DC7" w:rsidRPr="000863A5" w14:paraId="7954C5E3" w14:textId="77777777" w:rsidTr="00A3786D">
        <w:tc>
          <w:tcPr>
            <w:tcW w:w="5000" w:type="pct"/>
            <w:tcBorders>
              <w:top w:val="single" w:sz="6" w:space="0" w:color="78A22F"/>
              <w:left w:val="nil"/>
              <w:bottom w:val="nil"/>
              <w:right w:val="nil"/>
            </w:tcBorders>
          </w:tcPr>
          <w:p w14:paraId="7954C5E2" w14:textId="77777777" w:rsidR="00F05DC7" w:rsidRPr="00626D32" w:rsidRDefault="00F05DC7" w:rsidP="00A3786D">
            <w:pPr>
              <w:pStyle w:val="BoxSpaceBelow"/>
            </w:pPr>
          </w:p>
        </w:tc>
      </w:tr>
    </w:tbl>
    <w:p w14:paraId="7954C5E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5E7" w14:textId="77777777" w:rsidTr="00A3786D">
        <w:trPr>
          <w:tblHeader/>
        </w:trPr>
        <w:tc>
          <w:tcPr>
            <w:tcW w:w="5000" w:type="pct"/>
            <w:tcBorders>
              <w:top w:val="single" w:sz="6" w:space="0" w:color="78A22F"/>
              <w:left w:val="nil"/>
              <w:bottom w:val="nil"/>
              <w:right w:val="nil"/>
            </w:tcBorders>
            <w:shd w:val="clear" w:color="auto" w:fill="auto"/>
          </w:tcPr>
          <w:p w14:paraId="7954C5E5" w14:textId="1152F0E4" w:rsidR="00F05DC7" w:rsidRDefault="00F05DC7" w:rsidP="00A3786D">
            <w:pPr>
              <w:pStyle w:val="TableTitle"/>
            </w:pPr>
            <w:r>
              <w:rPr>
                <w:b w:val="0"/>
              </w:rPr>
              <w:t>Table F.4</w:t>
            </w:r>
            <w:r>
              <w:tab/>
              <w:t>Gradual transition to ETA: projected State relativities</w:t>
            </w:r>
          </w:p>
          <w:p w14:paraId="7954C5E6" w14:textId="77777777" w:rsidR="00F05DC7" w:rsidRPr="00784A05" w:rsidRDefault="00F05DC7" w:rsidP="00A3786D">
            <w:pPr>
              <w:pStyle w:val="TableBodyText"/>
              <w:spacing w:after="80" w:line="200" w:lineRule="exact"/>
              <w:ind w:left="1474" w:right="0"/>
              <w:jc w:val="left"/>
            </w:pPr>
            <w:r>
              <w:t>Best estimate scenario, four year and eight year transition</w:t>
            </w:r>
          </w:p>
        </w:tc>
      </w:tr>
      <w:tr w:rsidR="00F05DC7" w14:paraId="7954C697"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14:paraId="7954C5F1"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5E8" w14:textId="77777777" w:rsidR="00F05DC7" w:rsidRDefault="00F05DC7" w:rsidP="00A3786D">
                  <w:pPr>
                    <w:pStyle w:val="TableColumnHeading"/>
                    <w:jc w:val="left"/>
                  </w:pPr>
                </w:p>
              </w:tc>
              <w:tc>
                <w:tcPr>
                  <w:tcW w:w="557" w:type="pct"/>
                  <w:tcBorders>
                    <w:top w:val="single" w:sz="6" w:space="0" w:color="BFBFBF"/>
                    <w:bottom w:val="single" w:sz="6" w:space="0" w:color="BFBFBF"/>
                  </w:tcBorders>
                </w:tcPr>
                <w:p w14:paraId="7954C5E9" w14:textId="77777777" w:rsidR="00F05DC7" w:rsidRDefault="00F05DC7" w:rsidP="00A3786D">
                  <w:pPr>
                    <w:pStyle w:val="TableColumnHeading"/>
                  </w:pPr>
                  <w:r>
                    <w:t>NSW</w:t>
                  </w:r>
                </w:p>
              </w:tc>
              <w:tc>
                <w:tcPr>
                  <w:tcW w:w="557" w:type="pct"/>
                  <w:tcBorders>
                    <w:top w:val="single" w:sz="6" w:space="0" w:color="BFBFBF"/>
                    <w:bottom w:val="single" w:sz="6" w:space="0" w:color="BFBFBF"/>
                  </w:tcBorders>
                </w:tcPr>
                <w:p w14:paraId="7954C5EA" w14:textId="77777777" w:rsidR="00F05DC7" w:rsidRDefault="00F05DC7" w:rsidP="00A3786D">
                  <w:pPr>
                    <w:pStyle w:val="TableColumnHeading"/>
                  </w:pPr>
                  <w:r>
                    <w:t>Vic</w:t>
                  </w:r>
                </w:p>
              </w:tc>
              <w:tc>
                <w:tcPr>
                  <w:tcW w:w="556" w:type="pct"/>
                  <w:tcBorders>
                    <w:top w:val="single" w:sz="6" w:space="0" w:color="BFBFBF"/>
                    <w:bottom w:val="single" w:sz="6" w:space="0" w:color="BFBFBF"/>
                  </w:tcBorders>
                </w:tcPr>
                <w:p w14:paraId="7954C5EB" w14:textId="77777777" w:rsidR="00F05DC7" w:rsidRDefault="00F05DC7" w:rsidP="00A3786D">
                  <w:pPr>
                    <w:pStyle w:val="TableColumnHeading"/>
                  </w:pPr>
                  <w:r>
                    <w:t>Qld</w:t>
                  </w:r>
                </w:p>
              </w:tc>
              <w:tc>
                <w:tcPr>
                  <w:tcW w:w="556" w:type="pct"/>
                  <w:tcBorders>
                    <w:top w:val="single" w:sz="6" w:space="0" w:color="BFBFBF"/>
                    <w:bottom w:val="single" w:sz="6" w:space="0" w:color="BFBFBF"/>
                  </w:tcBorders>
                </w:tcPr>
                <w:p w14:paraId="7954C5EC" w14:textId="77777777" w:rsidR="00F05DC7" w:rsidRDefault="00F05DC7" w:rsidP="00A3786D">
                  <w:pPr>
                    <w:pStyle w:val="TableColumnHeading"/>
                  </w:pPr>
                  <w:r>
                    <w:t>WA</w:t>
                  </w:r>
                </w:p>
              </w:tc>
              <w:tc>
                <w:tcPr>
                  <w:tcW w:w="555" w:type="pct"/>
                  <w:tcBorders>
                    <w:top w:val="single" w:sz="6" w:space="0" w:color="BFBFBF"/>
                    <w:bottom w:val="single" w:sz="6" w:space="0" w:color="BFBFBF"/>
                  </w:tcBorders>
                </w:tcPr>
                <w:p w14:paraId="7954C5ED" w14:textId="77777777" w:rsidR="00F05DC7" w:rsidRDefault="00F05DC7" w:rsidP="00A3786D">
                  <w:pPr>
                    <w:pStyle w:val="TableColumnHeading"/>
                  </w:pPr>
                  <w:r>
                    <w:t>SA</w:t>
                  </w:r>
                </w:p>
              </w:tc>
              <w:tc>
                <w:tcPr>
                  <w:tcW w:w="555" w:type="pct"/>
                  <w:tcBorders>
                    <w:top w:val="single" w:sz="6" w:space="0" w:color="BFBFBF"/>
                    <w:bottom w:val="single" w:sz="6" w:space="0" w:color="BFBFBF"/>
                  </w:tcBorders>
                </w:tcPr>
                <w:p w14:paraId="7954C5EE" w14:textId="77777777" w:rsidR="00F05DC7" w:rsidRDefault="00F05DC7" w:rsidP="00A3786D">
                  <w:pPr>
                    <w:pStyle w:val="TableColumnHeading"/>
                  </w:pPr>
                  <w:r>
                    <w:t>Tas</w:t>
                  </w:r>
                </w:p>
              </w:tc>
              <w:tc>
                <w:tcPr>
                  <w:tcW w:w="555" w:type="pct"/>
                  <w:tcBorders>
                    <w:top w:val="single" w:sz="6" w:space="0" w:color="BFBFBF"/>
                    <w:bottom w:val="single" w:sz="6" w:space="0" w:color="BFBFBF"/>
                  </w:tcBorders>
                  <w:shd w:val="clear" w:color="auto" w:fill="auto"/>
                  <w:tcMar>
                    <w:top w:w="28" w:type="dxa"/>
                  </w:tcMar>
                </w:tcPr>
                <w:p w14:paraId="7954C5EF" w14:textId="77777777" w:rsidR="00F05DC7" w:rsidRDefault="00F05DC7" w:rsidP="00A3786D">
                  <w:pPr>
                    <w:pStyle w:val="TableColumnHeading"/>
                  </w:pPr>
                  <w:r>
                    <w:t>ACT</w:t>
                  </w:r>
                </w:p>
              </w:tc>
              <w:tc>
                <w:tcPr>
                  <w:tcW w:w="553" w:type="pct"/>
                  <w:tcBorders>
                    <w:top w:val="single" w:sz="6" w:space="0" w:color="BFBFBF"/>
                    <w:bottom w:val="single" w:sz="6" w:space="0" w:color="BFBFBF"/>
                  </w:tcBorders>
                  <w:shd w:val="clear" w:color="auto" w:fill="auto"/>
                  <w:tcMar>
                    <w:top w:w="28" w:type="dxa"/>
                  </w:tcMar>
                </w:tcPr>
                <w:p w14:paraId="7954C5F0" w14:textId="77777777" w:rsidR="00F05DC7" w:rsidRDefault="00F05DC7" w:rsidP="00A3786D">
                  <w:pPr>
                    <w:pStyle w:val="TableColumnHeading"/>
                    <w:ind w:right="28"/>
                  </w:pPr>
                  <w:r>
                    <w:t>NT</w:t>
                  </w:r>
                </w:p>
              </w:tc>
            </w:tr>
            <w:tr w:rsidR="00F05DC7" w:rsidRPr="00B573A6" w14:paraId="7954C5F3" w14:textId="77777777" w:rsidTr="002E1D11">
              <w:tc>
                <w:tcPr>
                  <w:tcW w:w="5000" w:type="pct"/>
                  <w:gridSpan w:val="9"/>
                  <w:tcBorders>
                    <w:top w:val="single" w:sz="6" w:space="0" w:color="BFBFBF"/>
                  </w:tcBorders>
                  <w:shd w:val="clear" w:color="auto" w:fill="F2F2F2" w:themeFill="background1" w:themeFillShade="F2"/>
                </w:tcPr>
                <w:p w14:paraId="7954C5F2" w14:textId="77777777" w:rsidR="00F05DC7" w:rsidRPr="00B573A6" w:rsidRDefault="00F05DC7" w:rsidP="00A3786D">
                  <w:pPr>
                    <w:pStyle w:val="TableUnitsRow"/>
                    <w:jc w:val="left"/>
                    <w:rPr>
                      <w:rFonts w:cs="Arial"/>
                      <w:szCs w:val="18"/>
                    </w:rPr>
                  </w:pPr>
                  <w:r w:rsidRPr="00B573A6">
                    <w:rPr>
                      <w:rFonts w:cs="Arial"/>
                      <w:szCs w:val="18"/>
                    </w:rPr>
                    <w:t xml:space="preserve">Best estimate relativities </w:t>
                  </w:r>
                  <w:r>
                    <w:rPr>
                      <w:rFonts w:cs="Arial"/>
                      <w:szCs w:val="18"/>
                    </w:rPr>
                    <w:t>—</w:t>
                  </w:r>
                  <w:r w:rsidRPr="00B573A6">
                    <w:rPr>
                      <w:rFonts w:cs="Arial"/>
                      <w:szCs w:val="18"/>
                    </w:rPr>
                    <w:t xml:space="preserve"> four year transition </w:t>
                  </w:r>
                  <w:r>
                    <w:rPr>
                      <w:rFonts w:cs="Arial"/>
                      <w:szCs w:val="18"/>
                    </w:rPr>
                    <w:t>to ETA</w:t>
                  </w:r>
                </w:p>
              </w:tc>
            </w:tr>
            <w:tr w:rsidR="00F05DC7" w:rsidRPr="00B573A6" w14:paraId="7954C5FD" w14:textId="77777777" w:rsidTr="00A3786D">
              <w:tc>
                <w:tcPr>
                  <w:tcW w:w="556" w:type="pct"/>
                </w:tcPr>
                <w:p w14:paraId="7954C5F4" w14:textId="77777777" w:rsidR="00F05DC7" w:rsidRPr="00B573A6" w:rsidRDefault="00F05DC7" w:rsidP="00A3786D">
                  <w:pPr>
                    <w:pStyle w:val="TableBodyText"/>
                    <w:jc w:val="left"/>
                    <w:rPr>
                      <w:rFonts w:cs="Arial"/>
                      <w:szCs w:val="18"/>
                    </w:rPr>
                  </w:pPr>
                  <w:r w:rsidRPr="00B573A6">
                    <w:rPr>
                      <w:rFonts w:cs="Arial"/>
                      <w:szCs w:val="18"/>
                    </w:rPr>
                    <w:t>2019</w:t>
                  </w:r>
                  <w:r w:rsidRPr="00B573A6">
                    <w:rPr>
                      <w:rFonts w:cs="Arial"/>
                      <w:szCs w:val="18"/>
                    </w:rPr>
                    <w:noBreakHyphen/>
                    <w:t>20</w:t>
                  </w:r>
                </w:p>
              </w:tc>
              <w:tc>
                <w:tcPr>
                  <w:tcW w:w="557" w:type="pct"/>
                  <w:tcBorders>
                    <w:top w:val="nil"/>
                    <w:left w:val="nil"/>
                    <w:bottom w:val="nil"/>
                    <w:right w:val="nil"/>
                  </w:tcBorders>
                  <w:shd w:val="clear" w:color="auto" w:fill="auto"/>
                  <w:vAlign w:val="bottom"/>
                </w:tcPr>
                <w:p w14:paraId="7954C5F5" w14:textId="77777777" w:rsidR="00F05DC7" w:rsidRPr="00B573A6" w:rsidRDefault="00F05DC7" w:rsidP="00A3786D">
                  <w:pPr>
                    <w:pStyle w:val="TableBodyText"/>
                    <w:rPr>
                      <w:rFonts w:cs="Arial"/>
                      <w:szCs w:val="18"/>
                    </w:rPr>
                  </w:pPr>
                  <w:r w:rsidRPr="00B573A6">
                    <w:rPr>
                      <w:rFonts w:cs="Arial"/>
                      <w:color w:val="000000"/>
                      <w:szCs w:val="18"/>
                    </w:rPr>
                    <w:t>0.84</w:t>
                  </w:r>
                </w:p>
              </w:tc>
              <w:tc>
                <w:tcPr>
                  <w:tcW w:w="557" w:type="pct"/>
                  <w:tcBorders>
                    <w:top w:val="nil"/>
                    <w:left w:val="nil"/>
                    <w:bottom w:val="nil"/>
                    <w:right w:val="nil"/>
                  </w:tcBorders>
                  <w:shd w:val="clear" w:color="auto" w:fill="auto"/>
                  <w:vAlign w:val="bottom"/>
                </w:tcPr>
                <w:p w14:paraId="7954C5F6" w14:textId="77777777" w:rsidR="00F05DC7" w:rsidRPr="00B573A6" w:rsidRDefault="00F05DC7" w:rsidP="00A3786D">
                  <w:pPr>
                    <w:pStyle w:val="TableBodyText"/>
                    <w:rPr>
                      <w:rFonts w:cs="Arial"/>
                      <w:szCs w:val="18"/>
                    </w:rPr>
                  </w:pPr>
                  <w:r w:rsidRPr="00B573A6">
                    <w:rPr>
                      <w:rFonts w:cs="Arial"/>
                      <w:color w:val="000000"/>
                      <w:szCs w:val="18"/>
                    </w:rPr>
                    <w:t>0.94</w:t>
                  </w:r>
                </w:p>
              </w:tc>
              <w:tc>
                <w:tcPr>
                  <w:tcW w:w="556" w:type="pct"/>
                  <w:tcBorders>
                    <w:top w:val="nil"/>
                    <w:left w:val="nil"/>
                    <w:bottom w:val="nil"/>
                    <w:right w:val="nil"/>
                  </w:tcBorders>
                  <w:shd w:val="clear" w:color="auto" w:fill="auto"/>
                  <w:vAlign w:val="bottom"/>
                </w:tcPr>
                <w:p w14:paraId="7954C5F7" w14:textId="77777777" w:rsidR="00F05DC7" w:rsidRPr="00B573A6" w:rsidRDefault="00F05DC7" w:rsidP="00A3786D">
                  <w:pPr>
                    <w:pStyle w:val="TableBodyText"/>
                    <w:rPr>
                      <w:rFonts w:cs="Arial"/>
                      <w:szCs w:val="18"/>
                    </w:rPr>
                  </w:pPr>
                  <w:r w:rsidRPr="00B573A6">
                    <w:rPr>
                      <w:rFonts w:cs="Arial"/>
                      <w:color w:val="000000"/>
                      <w:szCs w:val="18"/>
                    </w:rPr>
                    <w:t>1.10</w:t>
                  </w:r>
                </w:p>
              </w:tc>
              <w:tc>
                <w:tcPr>
                  <w:tcW w:w="556" w:type="pct"/>
                  <w:tcBorders>
                    <w:top w:val="nil"/>
                    <w:left w:val="nil"/>
                    <w:bottom w:val="nil"/>
                    <w:right w:val="nil"/>
                  </w:tcBorders>
                  <w:shd w:val="clear" w:color="auto" w:fill="auto"/>
                  <w:vAlign w:val="bottom"/>
                </w:tcPr>
                <w:p w14:paraId="7954C5F8" w14:textId="77777777" w:rsidR="00F05DC7" w:rsidRPr="00B573A6" w:rsidRDefault="00F05DC7" w:rsidP="00A3786D">
                  <w:pPr>
                    <w:pStyle w:val="TableBodyText"/>
                    <w:rPr>
                      <w:rFonts w:cs="Arial"/>
                      <w:szCs w:val="18"/>
                    </w:rPr>
                  </w:pPr>
                  <w:r w:rsidRPr="00B573A6">
                    <w:rPr>
                      <w:rFonts w:cs="Arial"/>
                      <w:color w:val="000000"/>
                      <w:szCs w:val="18"/>
                    </w:rPr>
                    <w:t>0.66</w:t>
                  </w:r>
                </w:p>
              </w:tc>
              <w:tc>
                <w:tcPr>
                  <w:tcW w:w="555" w:type="pct"/>
                  <w:tcBorders>
                    <w:top w:val="nil"/>
                    <w:left w:val="nil"/>
                    <w:bottom w:val="nil"/>
                    <w:right w:val="nil"/>
                  </w:tcBorders>
                  <w:shd w:val="clear" w:color="auto" w:fill="auto"/>
                  <w:vAlign w:val="bottom"/>
                </w:tcPr>
                <w:p w14:paraId="7954C5F9" w14:textId="77777777" w:rsidR="00F05DC7" w:rsidRPr="00B573A6" w:rsidRDefault="00F05DC7" w:rsidP="00A3786D">
                  <w:pPr>
                    <w:pStyle w:val="TableBodyText"/>
                    <w:rPr>
                      <w:rFonts w:cs="Arial"/>
                      <w:szCs w:val="18"/>
                    </w:rPr>
                  </w:pPr>
                  <w:r w:rsidRPr="00B573A6">
                    <w:rPr>
                      <w:rFonts w:cs="Arial"/>
                      <w:color w:val="000000"/>
                      <w:szCs w:val="18"/>
                    </w:rPr>
                    <w:t>1.40</w:t>
                  </w:r>
                </w:p>
              </w:tc>
              <w:tc>
                <w:tcPr>
                  <w:tcW w:w="555" w:type="pct"/>
                  <w:tcBorders>
                    <w:top w:val="nil"/>
                    <w:left w:val="nil"/>
                    <w:bottom w:val="nil"/>
                    <w:right w:val="nil"/>
                  </w:tcBorders>
                  <w:shd w:val="clear" w:color="auto" w:fill="auto"/>
                  <w:vAlign w:val="bottom"/>
                </w:tcPr>
                <w:p w14:paraId="7954C5FA" w14:textId="77777777" w:rsidR="00F05DC7" w:rsidRPr="00B573A6" w:rsidRDefault="00F05DC7" w:rsidP="00A3786D">
                  <w:pPr>
                    <w:pStyle w:val="TableBodyText"/>
                    <w:rPr>
                      <w:rFonts w:cs="Arial"/>
                      <w:szCs w:val="18"/>
                    </w:rPr>
                  </w:pPr>
                  <w:r w:rsidRPr="00B573A6">
                    <w:rPr>
                      <w:rFonts w:cs="Arial"/>
                      <w:color w:val="000000"/>
                      <w:szCs w:val="18"/>
                    </w:rPr>
                    <w:t>1.79</w:t>
                  </w:r>
                </w:p>
              </w:tc>
              <w:tc>
                <w:tcPr>
                  <w:tcW w:w="555" w:type="pct"/>
                  <w:tcBorders>
                    <w:top w:val="nil"/>
                    <w:left w:val="nil"/>
                    <w:bottom w:val="nil"/>
                    <w:right w:val="nil"/>
                  </w:tcBorders>
                  <w:shd w:val="clear" w:color="auto" w:fill="auto"/>
                  <w:vAlign w:val="bottom"/>
                </w:tcPr>
                <w:p w14:paraId="7954C5FB" w14:textId="77777777" w:rsidR="00F05DC7" w:rsidRPr="00B573A6" w:rsidRDefault="00F05DC7" w:rsidP="00A3786D">
                  <w:pPr>
                    <w:pStyle w:val="TableBodyText"/>
                    <w:rPr>
                      <w:rFonts w:cs="Arial"/>
                      <w:szCs w:val="18"/>
                    </w:rPr>
                  </w:pPr>
                  <w:r w:rsidRPr="00B573A6">
                    <w:rPr>
                      <w:rFonts w:cs="Arial"/>
                      <w:color w:val="000000"/>
                      <w:szCs w:val="18"/>
                    </w:rPr>
                    <w:t>1.17</w:t>
                  </w:r>
                </w:p>
              </w:tc>
              <w:tc>
                <w:tcPr>
                  <w:tcW w:w="553" w:type="pct"/>
                  <w:tcBorders>
                    <w:top w:val="nil"/>
                    <w:left w:val="nil"/>
                    <w:bottom w:val="nil"/>
                    <w:right w:val="nil"/>
                  </w:tcBorders>
                  <w:shd w:val="clear" w:color="auto" w:fill="auto"/>
                  <w:vAlign w:val="bottom"/>
                </w:tcPr>
                <w:p w14:paraId="7954C5FC" w14:textId="77777777" w:rsidR="00F05DC7" w:rsidRPr="00B573A6" w:rsidRDefault="00F05DC7" w:rsidP="00A3786D">
                  <w:pPr>
                    <w:pStyle w:val="TableBodyText"/>
                    <w:ind w:right="28"/>
                    <w:rPr>
                      <w:rFonts w:cs="Arial"/>
                      <w:szCs w:val="18"/>
                    </w:rPr>
                  </w:pPr>
                  <w:r w:rsidRPr="00B573A6">
                    <w:rPr>
                      <w:rFonts w:cs="Arial"/>
                      <w:color w:val="000000"/>
                      <w:szCs w:val="18"/>
                    </w:rPr>
                    <w:t>4.53</w:t>
                  </w:r>
                </w:p>
              </w:tc>
            </w:tr>
            <w:tr w:rsidR="00F05DC7" w:rsidRPr="00B573A6" w14:paraId="7954C607" w14:textId="77777777" w:rsidTr="00A3786D">
              <w:tc>
                <w:tcPr>
                  <w:tcW w:w="556" w:type="pct"/>
                </w:tcPr>
                <w:p w14:paraId="7954C5FE" w14:textId="77777777" w:rsidR="00F05DC7" w:rsidRPr="00B573A6" w:rsidRDefault="00F05DC7" w:rsidP="00A3786D">
                  <w:pPr>
                    <w:pStyle w:val="TableBodyText"/>
                    <w:jc w:val="left"/>
                    <w:rPr>
                      <w:rFonts w:cs="Arial"/>
                      <w:szCs w:val="18"/>
                    </w:rPr>
                  </w:pPr>
                  <w:r w:rsidRPr="00B573A6">
                    <w:rPr>
                      <w:rFonts w:cs="Arial"/>
                      <w:szCs w:val="18"/>
                    </w:rPr>
                    <w:t>2020</w:t>
                  </w:r>
                  <w:r w:rsidRPr="00B573A6">
                    <w:rPr>
                      <w:rFonts w:cs="Arial"/>
                      <w:szCs w:val="18"/>
                    </w:rPr>
                    <w:noBreakHyphen/>
                    <w:t>21</w:t>
                  </w:r>
                </w:p>
              </w:tc>
              <w:tc>
                <w:tcPr>
                  <w:tcW w:w="557" w:type="pct"/>
                  <w:tcBorders>
                    <w:top w:val="nil"/>
                    <w:left w:val="nil"/>
                    <w:bottom w:val="nil"/>
                    <w:right w:val="nil"/>
                  </w:tcBorders>
                  <w:shd w:val="clear" w:color="auto" w:fill="auto"/>
                  <w:vAlign w:val="bottom"/>
                </w:tcPr>
                <w:p w14:paraId="7954C5FF" w14:textId="77777777" w:rsidR="00F05DC7" w:rsidRPr="00B573A6" w:rsidRDefault="00F05DC7" w:rsidP="00A3786D">
                  <w:pPr>
                    <w:pStyle w:val="TableBodyText"/>
                    <w:rPr>
                      <w:rFonts w:cs="Arial"/>
                      <w:szCs w:val="18"/>
                    </w:rPr>
                  </w:pPr>
                  <w:r w:rsidRPr="00B573A6">
                    <w:rPr>
                      <w:rFonts w:cs="Arial"/>
                      <w:color w:val="000000"/>
                      <w:szCs w:val="18"/>
                    </w:rPr>
                    <w:t>0.85</w:t>
                  </w:r>
                </w:p>
              </w:tc>
              <w:tc>
                <w:tcPr>
                  <w:tcW w:w="557" w:type="pct"/>
                  <w:tcBorders>
                    <w:top w:val="nil"/>
                    <w:left w:val="nil"/>
                    <w:bottom w:val="nil"/>
                    <w:right w:val="nil"/>
                  </w:tcBorders>
                  <w:shd w:val="clear" w:color="auto" w:fill="auto"/>
                  <w:vAlign w:val="bottom"/>
                </w:tcPr>
                <w:p w14:paraId="7954C600" w14:textId="77777777" w:rsidR="00F05DC7" w:rsidRPr="00B573A6" w:rsidRDefault="00F05DC7" w:rsidP="00A3786D">
                  <w:pPr>
                    <w:pStyle w:val="TableBodyText"/>
                    <w:rPr>
                      <w:rFonts w:cs="Arial"/>
                      <w:szCs w:val="18"/>
                    </w:rPr>
                  </w:pPr>
                  <w:r w:rsidRPr="00B573A6">
                    <w:rPr>
                      <w:rFonts w:cs="Arial"/>
                      <w:color w:val="000000"/>
                      <w:szCs w:val="18"/>
                    </w:rPr>
                    <w:t>0.92</w:t>
                  </w:r>
                </w:p>
              </w:tc>
              <w:tc>
                <w:tcPr>
                  <w:tcW w:w="556" w:type="pct"/>
                  <w:tcBorders>
                    <w:top w:val="nil"/>
                    <w:left w:val="nil"/>
                    <w:bottom w:val="nil"/>
                    <w:right w:val="nil"/>
                  </w:tcBorders>
                  <w:shd w:val="clear" w:color="auto" w:fill="auto"/>
                  <w:vAlign w:val="bottom"/>
                </w:tcPr>
                <w:p w14:paraId="7954C601" w14:textId="77777777" w:rsidR="00F05DC7" w:rsidRPr="00B573A6" w:rsidRDefault="00F05DC7" w:rsidP="00A3786D">
                  <w:pPr>
                    <w:pStyle w:val="TableBodyText"/>
                    <w:rPr>
                      <w:rFonts w:cs="Arial"/>
                      <w:szCs w:val="18"/>
                    </w:rPr>
                  </w:pPr>
                  <w:r w:rsidRPr="00B573A6">
                    <w:rPr>
                      <w:rFonts w:cs="Arial"/>
                      <w:color w:val="000000"/>
                      <w:szCs w:val="18"/>
                    </w:rPr>
                    <w:t>1.07</w:t>
                  </w:r>
                </w:p>
              </w:tc>
              <w:tc>
                <w:tcPr>
                  <w:tcW w:w="556" w:type="pct"/>
                  <w:tcBorders>
                    <w:top w:val="nil"/>
                    <w:left w:val="nil"/>
                    <w:bottom w:val="nil"/>
                    <w:right w:val="nil"/>
                  </w:tcBorders>
                  <w:shd w:val="clear" w:color="auto" w:fill="auto"/>
                  <w:vAlign w:val="bottom"/>
                </w:tcPr>
                <w:p w14:paraId="7954C602" w14:textId="77777777" w:rsidR="00F05DC7" w:rsidRPr="00B573A6" w:rsidRDefault="00F05DC7" w:rsidP="00A3786D">
                  <w:pPr>
                    <w:pStyle w:val="TableBodyText"/>
                    <w:rPr>
                      <w:rFonts w:cs="Arial"/>
                      <w:szCs w:val="18"/>
                    </w:rPr>
                  </w:pPr>
                  <w:r w:rsidRPr="00B573A6">
                    <w:rPr>
                      <w:rFonts w:cs="Arial"/>
                      <w:color w:val="000000"/>
                      <w:szCs w:val="18"/>
                    </w:rPr>
                    <w:t>0.76</w:t>
                  </w:r>
                </w:p>
              </w:tc>
              <w:tc>
                <w:tcPr>
                  <w:tcW w:w="555" w:type="pct"/>
                  <w:tcBorders>
                    <w:top w:val="nil"/>
                    <w:left w:val="nil"/>
                    <w:bottom w:val="nil"/>
                    <w:right w:val="nil"/>
                  </w:tcBorders>
                  <w:shd w:val="clear" w:color="auto" w:fill="auto"/>
                  <w:vAlign w:val="bottom"/>
                </w:tcPr>
                <w:p w14:paraId="7954C603" w14:textId="77777777" w:rsidR="00F05DC7" w:rsidRPr="00B573A6" w:rsidRDefault="00F05DC7" w:rsidP="00A3786D">
                  <w:pPr>
                    <w:pStyle w:val="TableBodyText"/>
                    <w:rPr>
                      <w:rFonts w:cs="Arial"/>
                      <w:szCs w:val="18"/>
                    </w:rPr>
                  </w:pPr>
                  <w:r w:rsidRPr="00B573A6">
                    <w:rPr>
                      <w:rFonts w:cs="Arial"/>
                      <w:color w:val="000000"/>
                      <w:szCs w:val="18"/>
                    </w:rPr>
                    <w:t>1.38</w:t>
                  </w:r>
                </w:p>
              </w:tc>
              <w:tc>
                <w:tcPr>
                  <w:tcW w:w="555" w:type="pct"/>
                  <w:tcBorders>
                    <w:top w:val="nil"/>
                    <w:left w:val="nil"/>
                    <w:bottom w:val="nil"/>
                    <w:right w:val="nil"/>
                  </w:tcBorders>
                  <w:shd w:val="clear" w:color="auto" w:fill="auto"/>
                  <w:vAlign w:val="bottom"/>
                </w:tcPr>
                <w:p w14:paraId="7954C604" w14:textId="77777777" w:rsidR="00F05DC7" w:rsidRPr="00B573A6" w:rsidRDefault="00F05DC7" w:rsidP="00A3786D">
                  <w:pPr>
                    <w:pStyle w:val="TableBodyText"/>
                    <w:rPr>
                      <w:rFonts w:cs="Arial"/>
                      <w:szCs w:val="18"/>
                    </w:rPr>
                  </w:pPr>
                  <w:r w:rsidRPr="00B573A6">
                    <w:rPr>
                      <w:rFonts w:cs="Arial"/>
                      <w:color w:val="000000"/>
                      <w:szCs w:val="18"/>
                    </w:rPr>
                    <w:t>1.75</w:t>
                  </w:r>
                </w:p>
              </w:tc>
              <w:tc>
                <w:tcPr>
                  <w:tcW w:w="555" w:type="pct"/>
                  <w:tcBorders>
                    <w:top w:val="nil"/>
                    <w:left w:val="nil"/>
                    <w:bottom w:val="nil"/>
                    <w:right w:val="nil"/>
                  </w:tcBorders>
                  <w:shd w:val="clear" w:color="auto" w:fill="auto"/>
                  <w:vAlign w:val="bottom"/>
                </w:tcPr>
                <w:p w14:paraId="7954C605" w14:textId="77777777" w:rsidR="00F05DC7" w:rsidRPr="00B573A6" w:rsidRDefault="00F05DC7" w:rsidP="00A3786D">
                  <w:pPr>
                    <w:pStyle w:val="TableBodyText"/>
                    <w:rPr>
                      <w:rFonts w:cs="Arial"/>
                      <w:szCs w:val="18"/>
                    </w:rPr>
                  </w:pPr>
                  <w:r w:rsidRPr="00B573A6">
                    <w:rPr>
                      <w:rFonts w:cs="Arial"/>
                      <w:color w:val="000000"/>
                      <w:szCs w:val="18"/>
                    </w:rPr>
                    <w:t>1.13</w:t>
                  </w:r>
                </w:p>
              </w:tc>
              <w:tc>
                <w:tcPr>
                  <w:tcW w:w="553" w:type="pct"/>
                  <w:tcBorders>
                    <w:top w:val="nil"/>
                    <w:left w:val="nil"/>
                    <w:bottom w:val="nil"/>
                    <w:right w:val="nil"/>
                  </w:tcBorders>
                  <w:shd w:val="clear" w:color="auto" w:fill="auto"/>
                  <w:vAlign w:val="bottom"/>
                </w:tcPr>
                <w:p w14:paraId="7954C606" w14:textId="77777777" w:rsidR="00F05DC7" w:rsidRPr="00B573A6" w:rsidRDefault="00F05DC7" w:rsidP="00A3786D">
                  <w:pPr>
                    <w:pStyle w:val="TableBodyText"/>
                    <w:ind w:right="28"/>
                    <w:rPr>
                      <w:rFonts w:cs="Arial"/>
                      <w:szCs w:val="18"/>
                    </w:rPr>
                  </w:pPr>
                  <w:r w:rsidRPr="00B573A6">
                    <w:rPr>
                      <w:rFonts w:cs="Arial"/>
                      <w:color w:val="000000"/>
                      <w:szCs w:val="18"/>
                    </w:rPr>
                    <w:t>4.71</w:t>
                  </w:r>
                </w:p>
              </w:tc>
            </w:tr>
            <w:tr w:rsidR="00F05DC7" w:rsidRPr="00B573A6" w14:paraId="7954C611" w14:textId="77777777" w:rsidTr="00A3786D">
              <w:tc>
                <w:tcPr>
                  <w:tcW w:w="556" w:type="pct"/>
                </w:tcPr>
                <w:p w14:paraId="7954C608" w14:textId="77777777" w:rsidR="00F05DC7" w:rsidRPr="00B573A6" w:rsidRDefault="00F05DC7" w:rsidP="00A3786D">
                  <w:pPr>
                    <w:pStyle w:val="TableBodyText"/>
                    <w:jc w:val="left"/>
                    <w:rPr>
                      <w:rFonts w:cs="Arial"/>
                      <w:szCs w:val="18"/>
                    </w:rPr>
                  </w:pPr>
                  <w:r w:rsidRPr="00B573A6">
                    <w:rPr>
                      <w:rFonts w:cs="Arial"/>
                      <w:szCs w:val="18"/>
                    </w:rPr>
                    <w:t>2021</w:t>
                  </w:r>
                  <w:r w:rsidRPr="00B573A6">
                    <w:rPr>
                      <w:rFonts w:cs="Arial"/>
                      <w:szCs w:val="18"/>
                    </w:rPr>
                    <w:noBreakHyphen/>
                    <w:t>22</w:t>
                  </w:r>
                </w:p>
              </w:tc>
              <w:tc>
                <w:tcPr>
                  <w:tcW w:w="557" w:type="pct"/>
                  <w:tcBorders>
                    <w:top w:val="nil"/>
                    <w:left w:val="nil"/>
                    <w:bottom w:val="nil"/>
                    <w:right w:val="nil"/>
                  </w:tcBorders>
                  <w:shd w:val="clear" w:color="auto" w:fill="auto"/>
                  <w:vAlign w:val="bottom"/>
                </w:tcPr>
                <w:p w14:paraId="7954C609" w14:textId="77777777" w:rsidR="00F05DC7" w:rsidRPr="00B573A6" w:rsidRDefault="00F05DC7" w:rsidP="00A3786D">
                  <w:pPr>
                    <w:pStyle w:val="TableBodyText"/>
                    <w:rPr>
                      <w:rFonts w:cs="Arial"/>
                      <w:szCs w:val="18"/>
                    </w:rPr>
                  </w:pPr>
                  <w:r w:rsidRPr="00B573A6">
                    <w:rPr>
                      <w:rFonts w:cs="Arial"/>
                      <w:color w:val="000000"/>
                      <w:szCs w:val="18"/>
                    </w:rPr>
                    <w:t>0.87</w:t>
                  </w:r>
                </w:p>
              </w:tc>
              <w:tc>
                <w:tcPr>
                  <w:tcW w:w="557" w:type="pct"/>
                  <w:tcBorders>
                    <w:top w:val="nil"/>
                    <w:left w:val="nil"/>
                    <w:bottom w:val="nil"/>
                    <w:right w:val="nil"/>
                  </w:tcBorders>
                  <w:shd w:val="clear" w:color="auto" w:fill="auto"/>
                  <w:vAlign w:val="bottom"/>
                </w:tcPr>
                <w:p w14:paraId="7954C60A" w14:textId="77777777" w:rsidR="00F05DC7" w:rsidRPr="00B573A6" w:rsidRDefault="00F05DC7" w:rsidP="00A3786D">
                  <w:pPr>
                    <w:pStyle w:val="TableBodyText"/>
                    <w:rPr>
                      <w:rFonts w:cs="Arial"/>
                      <w:szCs w:val="18"/>
                    </w:rPr>
                  </w:pPr>
                  <w:r w:rsidRPr="00B573A6">
                    <w:rPr>
                      <w:rFonts w:cs="Arial"/>
                      <w:color w:val="000000"/>
                      <w:szCs w:val="18"/>
                    </w:rPr>
                    <w:t>0.90</w:t>
                  </w:r>
                </w:p>
              </w:tc>
              <w:tc>
                <w:tcPr>
                  <w:tcW w:w="556" w:type="pct"/>
                  <w:tcBorders>
                    <w:top w:val="nil"/>
                    <w:left w:val="nil"/>
                    <w:bottom w:val="nil"/>
                    <w:right w:val="nil"/>
                  </w:tcBorders>
                  <w:shd w:val="clear" w:color="auto" w:fill="auto"/>
                  <w:vAlign w:val="bottom"/>
                </w:tcPr>
                <w:p w14:paraId="7954C60B" w14:textId="77777777" w:rsidR="00F05DC7" w:rsidRPr="00B573A6" w:rsidRDefault="00F05DC7" w:rsidP="00A3786D">
                  <w:pPr>
                    <w:pStyle w:val="TableBodyText"/>
                    <w:rPr>
                      <w:rFonts w:cs="Arial"/>
                      <w:szCs w:val="18"/>
                    </w:rPr>
                  </w:pPr>
                  <w:r w:rsidRPr="00B573A6">
                    <w:rPr>
                      <w:rFonts w:cs="Arial"/>
                      <w:color w:val="000000"/>
                      <w:szCs w:val="18"/>
                    </w:rPr>
                    <w:t>1.06</w:t>
                  </w:r>
                </w:p>
              </w:tc>
              <w:tc>
                <w:tcPr>
                  <w:tcW w:w="556" w:type="pct"/>
                  <w:tcBorders>
                    <w:top w:val="nil"/>
                    <w:left w:val="nil"/>
                    <w:bottom w:val="nil"/>
                    <w:right w:val="nil"/>
                  </w:tcBorders>
                  <w:shd w:val="clear" w:color="auto" w:fill="auto"/>
                  <w:vAlign w:val="bottom"/>
                </w:tcPr>
                <w:p w14:paraId="7954C60C" w14:textId="77777777" w:rsidR="00F05DC7" w:rsidRPr="00B573A6" w:rsidRDefault="00F05DC7" w:rsidP="00A3786D">
                  <w:pPr>
                    <w:pStyle w:val="TableBodyText"/>
                    <w:rPr>
                      <w:rFonts w:cs="Arial"/>
                      <w:szCs w:val="18"/>
                    </w:rPr>
                  </w:pPr>
                  <w:r w:rsidRPr="00B573A6">
                    <w:rPr>
                      <w:rFonts w:cs="Arial"/>
                      <w:color w:val="000000"/>
                      <w:szCs w:val="18"/>
                    </w:rPr>
                    <w:t>0.83</w:t>
                  </w:r>
                </w:p>
              </w:tc>
              <w:tc>
                <w:tcPr>
                  <w:tcW w:w="555" w:type="pct"/>
                  <w:tcBorders>
                    <w:top w:val="nil"/>
                    <w:left w:val="nil"/>
                    <w:bottom w:val="nil"/>
                    <w:right w:val="nil"/>
                  </w:tcBorders>
                  <w:shd w:val="clear" w:color="auto" w:fill="auto"/>
                  <w:vAlign w:val="bottom"/>
                </w:tcPr>
                <w:p w14:paraId="7954C60D" w14:textId="77777777" w:rsidR="00F05DC7" w:rsidRPr="00B573A6" w:rsidRDefault="00F05DC7" w:rsidP="00A3786D">
                  <w:pPr>
                    <w:pStyle w:val="TableBodyText"/>
                    <w:rPr>
                      <w:rFonts w:cs="Arial"/>
                      <w:szCs w:val="18"/>
                    </w:rPr>
                  </w:pPr>
                  <w:r w:rsidRPr="00B573A6">
                    <w:rPr>
                      <w:rFonts w:cs="Arial"/>
                      <w:color w:val="000000"/>
                      <w:szCs w:val="18"/>
                    </w:rPr>
                    <w:t>1.34</w:t>
                  </w:r>
                </w:p>
              </w:tc>
              <w:tc>
                <w:tcPr>
                  <w:tcW w:w="555" w:type="pct"/>
                  <w:tcBorders>
                    <w:top w:val="nil"/>
                    <w:left w:val="nil"/>
                    <w:bottom w:val="nil"/>
                    <w:right w:val="nil"/>
                  </w:tcBorders>
                  <w:shd w:val="clear" w:color="auto" w:fill="auto"/>
                  <w:vAlign w:val="bottom"/>
                </w:tcPr>
                <w:p w14:paraId="7954C60E" w14:textId="77777777" w:rsidR="00F05DC7" w:rsidRPr="00B573A6" w:rsidRDefault="00F05DC7" w:rsidP="00A3786D">
                  <w:pPr>
                    <w:pStyle w:val="TableBodyText"/>
                    <w:rPr>
                      <w:rFonts w:cs="Arial"/>
                      <w:szCs w:val="18"/>
                    </w:rPr>
                  </w:pPr>
                  <w:r w:rsidRPr="00B573A6">
                    <w:rPr>
                      <w:rFonts w:cs="Arial"/>
                      <w:color w:val="000000"/>
                      <w:szCs w:val="18"/>
                    </w:rPr>
                    <w:t>1.70</w:t>
                  </w:r>
                </w:p>
              </w:tc>
              <w:tc>
                <w:tcPr>
                  <w:tcW w:w="555" w:type="pct"/>
                  <w:tcBorders>
                    <w:top w:val="nil"/>
                    <w:left w:val="nil"/>
                    <w:bottom w:val="nil"/>
                    <w:right w:val="nil"/>
                  </w:tcBorders>
                  <w:shd w:val="clear" w:color="auto" w:fill="auto"/>
                  <w:vAlign w:val="bottom"/>
                </w:tcPr>
                <w:p w14:paraId="7954C60F" w14:textId="77777777" w:rsidR="00F05DC7" w:rsidRPr="00B573A6" w:rsidRDefault="00F05DC7" w:rsidP="00A3786D">
                  <w:pPr>
                    <w:pStyle w:val="TableBodyText"/>
                    <w:rPr>
                      <w:rFonts w:cs="Arial"/>
                      <w:szCs w:val="18"/>
                    </w:rPr>
                  </w:pPr>
                  <w:r w:rsidRPr="00B573A6">
                    <w:rPr>
                      <w:rFonts w:cs="Arial"/>
                      <w:color w:val="000000"/>
                      <w:szCs w:val="18"/>
                    </w:rPr>
                    <w:t>1.08</w:t>
                  </w:r>
                </w:p>
              </w:tc>
              <w:tc>
                <w:tcPr>
                  <w:tcW w:w="553" w:type="pct"/>
                  <w:tcBorders>
                    <w:top w:val="nil"/>
                    <w:left w:val="nil"/>
                    <w:bottom w:val="nil"/>
                    <w:right w:val="nil"/>
                  </w:tcBorders>
                  <w:shd w:val="clear" w:color="auto" w:fill="auto"/>
                  <w:vAlign w:val="bottom"/>
                </w:tcPr>
                <w:p w14:paraId="7954C610" w14:textId="77777777" w:rsidR="00F05DC7" w:rsidRPr="00B573A6" w:rsidRDefault="00F05DC7" w:rsidP="00A3786D">
                  <w:pPr>
                    <w:pStyle w:val="TableBodyText"/>
                    <w:ind w:right="28"/>
                    <w:rPr>
                      <w:rFonts w:cs="Arial"/>
                      <w:szCs w:val="18"/>
                    </w:rPr>
                  </w:pPr>
                  <w:r w:rsidRPr="00B573A6">
                    <w:rPr>
                      <w:rFonts w:cs="Arial"/>
                      <w:color w:val="000000"/>
                      <w:szCs w:val="18"/>
                    </w:rPr>
                    <w:t>4.60</w:t>
                  </w:r>
                </w:p>
              </w:tc>
            </w:tr>
            <w:tr w:rsidR="00F05DC7" w:rsidRPr="00B573A6" w14:paraId="7954C61B" w14:textId="77777777" w:rsidTr="00A3786D">
              <w:tc>
                <w:tcPr>
                  <w:tcW w:w="556" w:type="pct"/>
                </w:tcPr>
                <w:p w14:paraId="7954C612" w14:textId="77777777" w:rsidR="00F05DC7" w:rsidRPr="00B573A6" w:rsidRDefault="00F05DC7" w:rsidP="00A3786D">
                  <w:pPr>
                    <w:pStyle w:val="TableBodyText"/>
                    <w:jc w:val="left"/>
                    <w:rPr>
                      <w:rFonts w:cs="Arial"/>
                      <w:szCs w:val="18"/>
                    </w:rPr>
                  </w:pPr>
                  <w:r w:rsidRPr="00B573A6">
                    <w:rPr>
                      <w:rFonts w:cs="Arial"/>
                      <w:szCs w:val="18"/>
                    </w:rPr>
                    <w:t>2022</w:t>
                  </w:r>
                  <w:r w:rsidRPr="00B573A6">
                    <w:rPr>
                      <w:rFonts w:cs="Arial"/>
                      <w:szCs w:val="18"/>
                    </w:rPr>
                    <w:noBreakHyphen/>
                    <w:t>23</w:t>
                  </w:r>
                </w:p>
              </w:tc>
              <w:tc>
                <w:tcPr>
                  <w:tcW w:w="557" w:type="pct"/>
                  <w:tcBorders>
                    <w:top w:val="nil"/>
                    <w:left w:val="nil"/>
                    <w:bottom w:val="nil"/>
                    <w:right w:val="nil"/>
                  </w:tcBorders>
                  <w:shd w:val="clear" w:color="auto" w:fill="auto"/>
                  <w:vAlign w:val="bottom"/>
                </w:tcPr>
                <w:p w14:paraId="7954C613" w14:textId="77777777" w:rsidR="00F05DC7" w:rsidRPr="00B573A6" w:rsidRDefault="00F05DC7" w:rsidP="00A3786D">
                  <w:pPr>
                    <w:pStyle w:val="TableBodyText"/>
                    <w:rPr>
                      <w:rFonts w:cs="Arial"/>
                      <w:szCs w:val="18"/>
                    </w:rPr>
                  </w:pPr>
                  <w:r w:rsidRPr="00B573A6">
                    <w:rPr>
                      <w:rFonts w:cs="Arial"/>
                      <w:color w:val="000000"/>
                      <w:szCs w:val="18"/>
                    </w:rPr>
                    <w:t>0.89</w:t>
                  </w:r>
                </w:p>
              </w:tc>
              <w:tc>
                <w:tcPr>
                  <w:tcW w:w="557" w:type="pct"/>
                  <w:tcBorders>
                    <w:top w:val="nil"/>
                    <w:left w:val="nil"/>
                    <w:bottom w:val="nil"/>
                    <w:right w:val="nil"/>
                  </w:tcBorders>
                  <w:shd w:val="clear" w:color="auto" w:fill="auto"/>
                  <w:vAlign w:val="bottom"/>
                </w:tcPr>
                <w:p w14:paraId="7954C614" w14:textId="77777777" w:rsidR="00F05DC7" w:rsidRPr="00B573A6" w:rsidRDefault="00F05DC7" w:rsidP="00A3786D">
                  <w:pPr>
                    <w:pStyle w:val="TableBodyText"/>
                    <w:rPr>
                      <w:rFonts w:cs="Arial"/>
                      <w:szCs w:val="18"/>
                    </w:rPr>
                  </w:pPr>
                  <w:r w:rsidRPr="00B573A6">
                    <w:rPr>
                      <w:rFonts w:cs="Arial"/>
                      <w:color w:val="000000"/>
                      <w:szCs w:val="18"/>
                    </w:rPr>
                    <w:t>0.89</w:t>
                  </w:r>
                </w:p>
              </w:tc>
              <w:tc>
                <w:tcPr>
                  <w:tcW w:w="556" w:type="pct"/>
                  <w:tcBorders>
                    <w:top w:val="nil"/>
                    <w:left w:val="nil"/>
                    <w:bottom w:val="nil"/>
                    <w:right w:val="nil"/>
                  </w:tcBorders>
                  <w:shd w:val="clear" w:color="auto" w:fill="auto"/>
                  <w:vAlign w:val="bottom"/>
                </w:tcPr>
                <w:p w14:paraId="7954C615" w14:textId="77777777" w:rsidR="00F05DC7" w:rsidRPr="00B573A6" w:rsidRDefault="00F05DC7" w:rsidP="00A3786D">
                  <w:pPr>
                    <w:pStyle w:val="TableBodyText"/>
                    <w:rPr>
                      <w:rFonts w:cs="Arial"/>
                      <w:szCs w:val="18"/>
                    </w:rPr>
                  </w:pPr>
                  <w:r w:rsidRPr="00B573A6">
                    <w:rPr>
                      <w:rFonts w:cs="Arial"/>
                      <w:color w:val="000000"/>
                      <w:szCs w:val="18"/>
                    </w:rPr>
                    <w:t>1.04</w:t>
                  </w:r>
                </w:p>
              </w:tc>
              <w:tc>
                <w:tcPr>
                  <w:tcW w:w="556" w:type="pct"/>
                  <w:tcBorders>
                    <w:top w:val="nil"/>
                    <w:left w:val="nil"/>
                    <w:bottom w:val="nil"/>
                    <w:right w:val="nil"/>
                  </w:tcBorders>
                  <w:shd w:val="clear" w:color="auto" w:fill="auto"/>
                  <w:vAlign w:val="bottom"/>
                </w:tcPr>
                <w:p w14:paraId="7954C616" w14:textId="77777777" w:rsidR="00F05DC7" w:rsidRPr="00B573A6" w:rsidRDefault="00F05DC7" w:rsidP="00A3786D">
                  <w:pPr>
                    <w:pStyle w:val="TableBodyText"/>
                    <w:rPr>
                      <w:rFonts w:cs="Arial"/>
                      <w:szCs w:val="18"/>
                    </w:rPr>
                  </w:pPr>
                  <w:r w:rsidRPr="00B573A6">
                    <w:rPr>
                      <w:rFonts w:cs="Arial"/>
                      <w:color w:val="000000"/>
                      <w:szCs w:val="18"/>
                    </w:rPr>
                    <w:t>0.89</w:t>
                  </w:r>
                </w:p>
              </w:tc>
              <w:tc>
                <w:tcPr>
                  <w:tcW w:w="555" w:type="pct"/>
                  <w:tcBorders>
                    <w:top w:val="nil"/>
                    <w:left w:val="nil"/>
                    <w:bottom w:val="nil"/>
                    <w:right w:val="nil"/>
                  </w:tcBorders>
                  <w:shd w:val="clear" w:color="auto" w:fill="auto"/>
                  <w:vAlign w:val="bottom"/>
                </w:tcPr>
                <w:p w14:paraId="7954C617" w14:textId="77777777" w:rsidR="00F05DC7" w:rsidRPr="00B573A6" w:rsidRDefault="00F05DC7" w:rsidP="00A3786D">
                  <w:pPr>
                    <w:pStyle w:val="TableBodyText"/>
                    <w:rPr>
                      <w:rFonts w:cs="Arial"/>
                      <w:szCs w:val="18"/>
                    </w:rPr>
                  </w:pPr>
                  <w:r w:rsidRPr="00B573A6">
                    <w:rPr>
                      <w:rFonts w:cs="Arial"/>
                      <w:color w:val="000000"/>
                      <w:szCs w:val="18"/>
                    </w:rPr>
                    <w:t>1.29</w:t>
                  </w:r>
                </w:p>
              </w:tc>
              <w:tc>
                <w:tcPr>
                  <w:tcW w:w="555" w:type="pct"/>
                  <w:tcBorders>
                    <w:top w:val="nil"/>
                    <w:left w:val="nil"/>
                    <w:bottom w:val="nil"/>
                    <w:right w:val="nil"/>
                  </w:tcBorders>
                  <w:shd w:val="clear" w:color="auto" w:fill="auto"/>
                  <w:vAlign w:val="bottom"/>
                </w:tcPr>
                <w:p w14:paraId="7954C618" w14:textId="77777777" w:rsidR="00F05DC7" w:rsidRPr="00B573A6" w:rsidRDefault="00F05DC7" w:rsidP="00A3786D">
                  <w:pPr>
                    <w:pStyle w:val="TableBodyText"/>
                    <w:rPr>
                      <w:rFonts w:cs="Arial"/>
                      <w:szCs w:val="18"/>
                    </w:rPr>
                  </w:pPr>
                  <w:r w:rsidRPr="00B573A6">
                    <w:rPr>
                      <w:rFonts w:cs="Arial"/>
                      <w:color w:val="000000"/>
                      <w:szCs w:val="18"/>
                    </w:rPr>
                    <w:t>1.64</w:t>
                  </w:r>
                </w:p>
              </w:tc>
              <w:tc>
                <w:tcPr>
                  <w:tcW w:w="555" w:type="pct"/>
                  <w:tcBorders>
                    <w:top w:val="nil"/>
                    <w:left w:val="nil"/>
                    <w:bottom w:val="nil"/>
                    <w:right w:val="nil"/>
                  </w:tcBorders>
                  <w:shd w:val="clear" w:color="auto" w:fill="auto"/>
                  <w:vAlign w:val="bottom"/>
                </w:tcPr>
                <w:p w14:paraId="7954C619" w14:textId="77777777" w:rsidR="00F05DC7" w:rsidRPr="00B573A6" w:rsidRDefault="00F05DC7" w:rsidP="00A3786D">
                  <w:pPr>
                    <w:pStyle w:val="TableBodyText"/>
                    <w:rPr>
                      <w:rFonts w:cs="Arial"/>
                      <w:szCs w:val="18"/>
                    </w:rPr>
                  </w:pPr>
                  <w:r w:rsidRPr="00B573A6">
                    <w:rPr>
                      <w:rFonts w:cs="Arial"/>
                      <w:color w:val="000000"/>
                      <w:szCs w:val="18"/>
                    </w:rPr>
                    <w:t>1.04</w:t>
                  </w:r>
                </w:p>
              </w:tc>
              <w:tc>
                <w:tcPr>
                  <w:tcW w:w="553" w:type="pct"/>
                  <w:tcBorders>
                    <w:top w:val="nil"/>
                    <w:left w:val="nil"/>
                    <w:bottom w:val="nil"/>
                    <w:right w:val="nil"/>
                  </w:tcBorders>
                  <w:shd w:val="clear" w:color="auto" w:fill="auto"/>
                  <w:vAlign w:val="bottom"/>
                </w:tcPr>
                <w:p w14:paraId="7954C61A" w14:textId="77777777" w:rsidR="00F05DC7" w:rsidRPr="00B573A6" w:rsidRDefault="00F05DC7" w:rsidP="00A3786D">
                  <w:pPr>
                    <w:pStyle w:val="TableBodyText"/>
                    <w:ind w:right="28"/>
                    <w:rPr>
                      <w:rFonts w:cs="Arial"/>
                      <w:szCs w:val="18"/>
                    </w:rPr>
                  </w:pPr>
                  <w:r w:rsidRPr="00B573A6">
                    <w:rPr>
                      <w:rFonts w:cs="Arial"/>
                      <w:color w:val="000000"/>
                      <w:szCs w:val="18"/>
                    </w:rPr>
                    <w:t>4.74</w:t>
                  </w:r>
                </w:p>
              </w:tc>
            </w:tr>
            <w:tr w:rsidR="00F05DC7" w:rsidRPr="00B573A6" w14:paraId="7954C625" w14:textId="77777777" w:rsidTr="00A3786D">
              <w:tc>
                <w:tcPr>
                  <w:tcW w:w="556" w:type="pct"/>
                </w:tcPr>
                <w:p w14:paraId="7954C61C" w14:textId="77777777" w:rsidR="00F05DC7" w:rsidRPr="00B573A6" w:rsidRDefault="00F05DC7" w:rsidP="00A3786D">
                  <w:pPr>
                    <w:pStyle w:val="TableBodyText"/>
                    <w:jc w:val="left"/>
                    <w:rPr>
                      <w:rFonts w:cs="Arial"/>
                      <w:szCs w:val="18"/>
                    </w:rPr>
                  </w:pPr>
                  <w:r w:rsidRPr="00B573A6">
                    <w:rPr>
                      <w:rFonts w:cs="Arial"/>
                      <w:szCs w:val="18"/>
                    </w:rPr>
                    <w:t>2023</w:t>
                  </w:r>
                  <w:r w:rsidRPr="00B573A6">
                    <w:rPr>
                      <w:rFonts w:cs="Arial"/>
                      <w:szCs w:val="18"/>
                    </w:rPr>
                    <w:noBreakHyphen/>
                    <w:t>24</w:t>
                  </w:r>
                </w:p>
              </w:tc>
              <w:tc>
                <w:tcPr>
                  <w:tcW w:w="557" w:type="pct"/>
                  <w:tcBorders>
                    <w:top w:val="nil"/>
                    <w:left w:val="nil"/>
                    <w:bottom w:val="nil"/>
                    <w:right w:val="nil"/>
                  </w:tcBorders>
                  <w:shd w:val="clear" w:color="auto" w:fill="auto"/>
                  <w:vAlign w:val="bottom"/>
                </w:tcPr>
                <w:p w14:paraId="7954C61D" w14:textId="77777777" w:rsidR="00F05DC7" w:rsidRPr="00B573A6" w:rsidRDefault="00F05DC7" w:rsidP="00A3786D">
                  <w:pPr>
                    <w:pStyle w:val="TableBodyText"/>
                    <w:rPr>
                      <w:rFonts w:cs="Arial"/>
                      <w:szCs w:val="18"/>
                    </w:rPr>
                  </w:pPr>
                  <w:r w:rsidRPr="00B573A6">
                    <w:rPr>
                      <w:rFonts w:cs="Arial"/>
                      <w:color w:val="000000"/>
                      <w:szCs w:val="18"/>
                    </w:rPr>
                    <w:t>0.89</w:t>
                  </w:r>
                </w:p>
              </w:tc>
              <w:tc>
                <w:tcPr>
                  <w:tcW w:w="557" w:type="pct"/>
                  <w:tcBorders>
                    <w:top w:val="nil"/>
                    <w:left w:val="nil"/>
                    <w:bottom w:val="nil"/>
                    <w:right w:val="nil"/>
                  </w:tcBorders>
                  <w:shd w:val="clear" w:color="auto" w:fill="auto"/>
                  <w:vAlign w:val="bottom"/>
                </w:tcPr>
                <w:p w14:paraId="7954C61E" w14:textId="77777777" w:rsidR="00F05DC7" w:rsidRPr="00B573A6" w:rsidRDefault="00F05DC7" w:rsidP="00A3786D">
                  <w:pPr>
                    <w:pStyle w:val="TableBodyText"/>
                    <w:rPr>
                      <w:rFonts w:cs="Arial"/>
                      <w:szCs w:val="18"/>
                    </w:rPr>
                  </w:pPr>
                  <w:r w:rsidRPr="00B573A6">
                    <w:rPr>
                      <w:rFonts w:cs="Arial"/>
                      <w:color w:val="000000"/>
                      <w:szCs w:val="18"/>
                    </w:rPr>
                    <w:t>0.89</w:t>
                  </w:r>
                </w:p>
              </w:tc>
              <w:tc>
                <w:tcPr>
                  <w:tcW w:w="556" w:type="pct"/>
                  <w:tcBorders>
                    <w:top w:val="nil"/>
                    <w:left w:val="nil"/>
                    <w:bottom w:val="nil"/>
                    <w:right w:val="nil"/>
                  </w:tcBorders>
                  <w:shd w:val="clear" w:color="auto" w:fill="auto"/>
                  <w:vAlign w:val="bottom"/>
                </w:tcPr>
                <w:p w14:paraId="7954C61F" w14:textId="77777777" w:rsidR="00F05DC7" w:rsidRPr="00B573A6" w:rsidRDefault="00F05DC7" w:rsidP="00A3786D">
                  <w:pPr>
                    <w:pStyle w:val="TableBodyText"/>
                    <w:rPr>
                      <w:rFonts w:cs="Arial"/>
                      <w:szCs w:val="18"/>
                    </w:rPr>
                  </w:pPr>
                  <w:r w:rsidRPr="00B573A6">
                    <w:rPr>
                      <w:rFonts w:cs="Arial"/>
                      <w:color w:val="000000"/>
                      <w:szCs w:val="18"/>
                    </w:rPr>
                    <w:t>1.03</w:t>
                  </w:r>
                </w:p>
              </w:tc>
              <w:tc>
                <w:tcPr>
                  <w:tcW w:w="556" w:type="pct"/>
                  <w:tcBorders>
                    <w:top w:val="nil"/>
                    <w:left w:val="nil"/>
                    <w:bottom w:val="nil"/>
                    <w:right w:val="nil"/>
                  </w:tcBorders>
                  <w:shd w:val="clear" w:color="auto" w:fill="auto"/>
                  <w:vAlign w:val="bottom"/>
                </w:tcPr>
                <w:p w14:paraId="7954C620" w14:textId="77777777" w:rsidR="00F05DC7" w:rsidRPr="00B573A6" w:rsidRDefault="00F05DC7" w:rsidP="00A3786D">
                  <w:pPr>
                    <w:pStyle w:val="TableBodyText"/>
                    <w:rPr>
                      <w:rFonts w:cs="Arial"/>
                      <w:szCs w:val="18"/>
                    </w:rPr>
                  </w:pPr>
                  <w:r w:rsidRPr="00B573A6">
                    <w:rPr>
                      <w:rFonts w:cs="Arial"/>
                      <w:color w:val="000000"/>
                      <w:szCs w:val="18"/>
                    </w:rPr>
                    <w:t>0.89</w:t>
                  </w:r>
                </w:p>
              </w:tc>
              <w:tc>
                <w:tcPr>
                  <w:tcW w:w="555" w:type="pct"/>
                  <w:tcBorders>
                    <w:top w:val="nil"/>
                    <w:left w:val="nil"/>
                    <w:bottom w:val="nil"/>
                    <w:right w:val="nil"/>
                  </w:tcBorders>
                  <w:shd w:val="clear" w:color="auto" w:fill="auto"/>
                  <w:vAlign w:val="bottom"/>
                </w:tcPr>
                <w:p w14:paraId="7954C621" w14:textId="77777777" w:rsidR="00F05DC7" w:rsidRPr="00B573A6" w:rsidRDefault="00F05DC7" w:rsidP="00A3786D">
                  <w:pPr>
                    <w:pStyle w:val="TableBodyText"/>
                    <w:rPr>
                      <w:rFonts w:cs="Arial"/>
                      <w:szCs w:val="18"/>
                    </w:rPr>
                  </w:pPr>
                  <w:r w:rsidRPr="00B573A6">
                    <w:rPr>
                      <w:rFonts w:cs="Arial"/>
                      <w:color w:val="000000"/>
                      <w:szCs w:val="18"/>
                    </w:rPr>
                    <w:t>1.29</w:t>
                  </w:r>
                </w:p>
              </w:tc>
              <w:tc>
                <w:tcPr>
                  <w:tcW w:w="555" w:type="pct"/>
                  <w:tcBorders>
                    <w:top w:val="nil"/>
                    <w:left w:val="nil"/>
                    <w:bottom w:val="nil"/>
                    <w:right w:val="nil"/>
                  </w:tcBorders>
                  <w:shd w:val="clear" w:color="auto" w:fill="auto"/>
                  <w:vAlign w:val="bottom"/>
                </w:tcPr>
                <w:p w14:paraId="7954C622" w14:textId="77777777" w:rsidR="00F05DC7" w:rsidRPr="00B573A6" w:rsidRDefault="00F05DC7" w:rsidP="00A3786D">
                  <w:pPr>
                    <w:pStyle w:val="TableBodyText"/>
                    <w:rPr>
                      <w:rFonts w:cs="Arial"/>
                      <w:szCs w:val="18"/>
                    </w:rPr>
                  </w:pPr>
                  <w:r w:rsidRPr="00B573A6">
                    <w:rPr>
                      <w:rFonts w:cs="Arial"/>
                      <w:color w:val="000000"/>
                      <w:szCs w:val="18"/>
                    </w:rPr>
                    <w:t>1.65</w:t>
                  </w:r>
                </w:p>
              </w:tc>
              <w:tc>
                <w:tcPr>
                  <w:tcW w:w="555" w:type="pct"/>
                  <w:tcBorders>
                    <w:top w:val="nil"/>
                    <w:left w:val="nil"/>
                    <w:bottom w:val="nil"/>
                    <w:right w:val="nil"/>
                  </w:tcBorders>
                  <w:shd w:val="clear" w:color="auto" w:fill="auto"/>
                  <w:vAlign w:val="bottom"/>
                </w:tcPr>
                <w:p w14:paraId="7954C623" w14:textId="77777777" w:rsidR="00F05DC7" w:rsidRPr="00B573A6" w:rsidRDefault="00F05DC7" w:rsidP="00A3786D">
                  <w:pPr>
                    <w:pStyle w:val="TableBodyText"/>
                    <w:rPr>
                      <w:rFonts w:cs="Arial"/>
                      <w:szCs w:val="18"/>
                    </w:rPr>
                  </w:pPr>
                  <w:r w:rsidRPr="00B573A6">
                    <w:rPr>
                      <w:rFonts w:cs="Arial"/>
                      <w:color w:val="000000"/>
                      <w:szCs w:val="18"/>
                    </w:rPr>
                    <w:t>1.05</w:t>
                  </w:r>
                </w:p>
              </w:tc>
              <w:tc>
                <w:tcPr>
                  <w:tcW w:w="553" w:type="pct"/>
                  <w:tcBorders>
                    <w:top w:val="nil"/>
                    <w:left w:val="nil"/>
                    <w:bottom w:val="nil"/>
                    <w:right w:val="nil"/>
                  </w:tcBorders>
                  <w:shd w:val="clear" w:color="auto" w:fill="auto"/>
                  <w:vAlign w:val="bottom"/>
                </w:tcPr>
                <w:p w14:paraId="7954C624" w14:textId="77777777" w:rsidR="00F05DC7" w:rsidRPr="00B573A6" w:rsidRDefault="00F05DC7" w:rsidP="00A3786D">
                  <w:pPr>
                    <w:pStyle w:val="TableBodyText"/>
                    <w:ind w:right="28"/>
                    <w:rPr>
                      <w:rFonts w:cs="Arial"/>
                      <w:szCs w:val="18"/>
                    </w:rPr>
                  </w:pPr>
                  <w:r w:rsidRPr="00B573A6">
                    <w:rPr>
                      <w:rFonts w:cs="Arial"/>
                      <w:color w:val="000000"/>
                      <w:szCs w:val="18"/>
                    </w:rPr>
                    <w:t>4.77</w:t>
                  </w:r>
                </w:p>
              </w:tc>
            </w:tr>
            <w:tr w:rsidR="00F05DC7" w:rsidRPr="00B573A6" w14:paraId="7954C62F" w14:textId="77777777" w:rsidTr="00A3786D">
              <w:tc>
                <w:tcPr>
                  <w:tcW w:w="556" w:type="pct"/>
                </w:tcPr>
                <w:p w14:paraId="7954C626" w14:textId="77777777" w:rsidR="00F05DC7" w:rsidRPr="00B573A6" w:rsidRDefault="00F05DC7" w:rsidP="00A3786D">
                  <w:pPr>
                    <w:pStyle w:val="TableBodyText"/>
                    <w:jc w:val="left"/>
                    <w:rPr>
                      <w:rFonts w:cs="Arial"/>
                      <w:szCs w:val="18"/>
                    </w:rPr>
                  </w:pPr>
                  <w:r w:rsidRPr="00B573A6">
                    <w:rPr>
                      <w:rFonts w:cs="Arial"/>
                      <w:szCs w:val="18"/>
                    </w:rPr>
                    <w:t>2024</w:t>
                  </w:r>
                  <w:r w:rsidRPr="00B573A6">
                    <w:rPr>
                      <w:rFonts w:cs="Arial"/>
                      <w:szCs w:val="18"/>
                    </w:rPr>
                    <w:noBreakHyphen/>
                    <w:t>25</w:t>
                  </w:r>
                </w:p>
              </w:tc>
              <w:tc>
                <w:tcPr>
                  <w:tcW w:w="557" w:type="pct"/>
                  <w:tcBorders>
                    <w:top w:val="nil"/>
                    <w:left w:val="nil"/>
                    <w:bottom w:val="nil"/>
                    <w:right w:val="nil"/>
                  </w:tcBorders>
                  <w:shd w:val="clear" w:color="auto" w:fill="auto"/>
                  <w:vAlign w:val="bottom"/>
                </w:tcPr>
                <w:p w14:paraId="7954C627" w14:textId="77777777" w:rsidR="00F05DC7" w:rsidRPr="00B573A6" w:rsidRDefault="00F05DC7" w:rsidP="00A3786D">
                  <w:pPr>
                    <w:pStyle w:val="TableBodyText"/>
                    <w:rPr>
                      <w:rFonts w:cs="Arial"/>
                      <w:szCs w:val="18"/>
                    </w:rPr>
                  </w:pPr>
                  <w:r w:rsidRPr="00B573A6">
                    <w:rPr>
                      <w:rFonts w:cs="Arial"/>
                      <w:color w:val="000000"/>
                      <w:szCs w:val="18"/>
                    </w:rPr>
                    <w:t>0.90</w:t>
                  </w:r>
                </w:p>
              </w:tc>
              <w:tc>
                <w:tcPr>
                  <w:tcW w:w="557" w:type="pct"/>
                  <w:tcBorders>
                    <w:top w:val="nil"/>
                    <w:left w:val="nil"/>
                    <w:bottom w:val="nil"/>
                    <w:right w:val="nil"/>
                  </w:tcBorders>
                  <w:shd w:val="clear" w:color="auto" w:fill="auto"/>
                  <w:vAlign w:val="bottom"/>
                </w:tcPr>
                <w:p w14:paraId="7954C628" w14:textId="77777777" w:rsidR="00F05DC7" w:rsidRPr="00B573A6" w:rsidRDefault="00F05DC7" w:rsidP="00A3786D">
                  <w:pPr>
                    <w:pStyle w:val="TableBodyText"/>
                    <w:rPr>
                      <w:rFonts w:cs="Arial"/>
                      <w:szCs w:val="18"/>
                    </w:rPr>
                  </w:pPr>
                  <w:r w:rsidRPr="00B573A6">
                    <w:rPr>
                      <w:rFonts w:cs="Arial"/>
                      <w:color w:val="000000"/>
                      <w:szCs w:val="18"/>
                    </w:rPr>
                    <w:t>0.90</w:t>
                  </w:r>
                </w:p>
              </w:tc>
              <w:tc>
                <w:tcPr>
                  <w:tcW w:w="556" w:type="pct"/>
                  <w:tcBorders>
                    <w:top w:val="nil"/>
                    <w:left w:val="nil"/>
                    <w:bottom w:val="nil"/>
                    <w:right w:val="nil"/>
                  </w:tcBorders>
                  <w:shd w:val="clear" w:color="auto" w:fill="auto"/>
                  <w:vAlign w:val="bottom"/>
                </w:tcPr>
                <w:p w14:paraId="7954C629" w14:textId="77777777" w:rsidR="00F05DC7" w:rsidRPr="00B573A6" w:rsidRDefault="00F05DC7" w:rsidP="00A3786D">
                  <w:pPr>
                    <w:pStyle w:val="TableBodyText"/>
                    <w:rPr>
                      <w:rFonts w:cs="Arial"/>
                      <w:szCs w:val="18"/>
                    </w:rPr>
                  </w:pPr>
                  <w:r w:rsidRPr="00B573A6">
                    <w:rPr>
                      <w:rFonts w:cs="Arial"/>
                      <w:color w:val="000000"/>
                      <w:szCs w:val="18"/>
                    </w:rPr>
                    <w:t>1.02</w:t>
                  </w:r>
                </w:p>
              </w:tc>
              <w:tc>
                <w:tcPr>
                  <w:tcW w:w="556" w:type="pct"/>
                  <w:tcBorders>
                    <w:top w:val="nil"/>
                    <w:left w:val="nil"/>
                    <w:bottom w:val="nil"/>
                    <w:right w:val="nil"/>
                  </w:tcBorders>
                  <w:shd w:val="clear" w:color="auto" w:fill="auto"/>
                  <w:vAlign w:val="bottom"/>
                </w:tcPr>
                <w:p w14:paraId="7954C62A" w14:textId="77777777" w:rsidR="00F05DC7" w:rsidRPr="00B573A6" w:rsidRDefault="00F05DC7" w:rsidP="00A3786D">
                  <w:pPr>
                    <w:pStyle w:val="TableBodyText"/>
                    <w:rPr>
                      <w:rFonts w:cs="Arial"/>
                      <w:szCs w:val="18"/>
                    </w:rPr>
                  </w:pPr>
                  <w:r w:rsidRPr="00B573A6">
                    <w:rPr>
                      <w:rFonts w:cs="Arial"/>
                      <w:color w:val="000000"/>
                      <w:szCs w:val="18"/>
                    </w:rPr>
                    <w:t>0.90</w:t>
                  </w:r>
                </w:p>
              </w:tc>
              <w:tc>
                <w:tcPr>
                  <w:tcW w:w="555" w:type="pct"/>
                  <w:tcBorders>
                    <w:top w:val="nil"/>
                    <w:left w:val="nil"/>
                    <w:bottom w:val="nil"/>
                    <w:right w:val="nil"/>
                  </w:tcBorders>
                  <w:shd w:val="clear" w:color="auto" w:fill="auto"/>
                  <w:vAlign w:val="bottom"/>
                </w:tcPr>
                <w:p w14:paraId="7954C62B" w14:textId="77777777" w:rsidR="00F05DC7" w:rsidRPr="00B573A6" w:rsidRDefault="00F05DC7" w:rsidP="00A3786D">
                  <w:pPr>
                    <w:pStyle w:val="TableBodyText"/>
                    <w:rPr>
                      <w:rFonts w:cs="Arial"/>
                      <w:szCs w:val="18"/>
                    </w:rPr>
                  </w:pPr>
                  <w:r w:rsidRPr="00B573A6">
                    <w:rPr>
                      <w:rFonts w:cs="Arial"/>
                      <w:color w:val="000000"/>
                      <w:szCs w:val="18"/>
                    </w:rPr>
                    <w:t>1.29</w:t>
                  </w:r>
                </w:p>
              </w:tc>
              <w:tc>
                <w:tcPr>
                  <w:tcW w:w="555" w:type="pct"/>
                  <w:tcBorders>
                    <w:top w:val="nil"/>
                    <w:left w:val="nil"/>
                    <w:bottom w:val="nil"/>
                    <w:right w:val="nil"/>
                  </w:tcBorders>
                  <w:shd w:val="clear" w:color="auto" w:fill="auto"/>
                  <w:vAlign w:val="bottom"/>
                </w:tcPr>
                <w:p w14:paraId="7954C62C" w14:textId="77777777" w:rsidR="00F05DC7" w:rsidRPr="00B573A6" w:rsidRDefault="00F05DC7" w:rsidP="00A3786D">
                  <w:pPr>
                    <w:pStyle w:val="TableBodyText"/>
                    <w:rPr>
                      <w:rFonts w:cs="Arial"/>
                      <w:szCs w:val="18"/>
                    </w:rPr>
                  </w:pPr>
                  <w:r w:rsidRPr="00B573A6">
                    <w:rPr>
                      <w:rFonts w:cs="Arial"/>
                      <w:color w:val="000000"/>
                      <w:szCs w:val="18"/>
                    </w:rPr>
                    <w:t>1.65</w:t>
                  </w:r>
                </w:p>
              </w:tc>
              <w:tc>
                <w:tcPr>
                  <w:tcW w:w="555" w:type="pct"/>
                  <w:tcBorders>
                    <w:top w:val="nil"/>
                    <w:left w:val="nil"/>
                    <w:bottom w:val="nil"/>
                    <w:right w:val="nil"/>
                  </w:tcBorders>
                  <w:shd w:val="clear" w:color="auto" w:fill="auto"/>
                  <w:vAlign w:val="bottom"/>
                </w:tcPr>
                <w:p w14:paraId="7954C62D" w14:textId="77777777" w:rsidR="00F05DC7" w:rsidRPr="00B573A6" w:rsidRDefault="00F05DC7" w:rsidP="00A3786D">
                  <w:pPr>
                    <w:pStyle w:val="TableBodyText"/>
                    <w:rPr>
                      <w:rFonts w:cs="Arial"/>
                      <w:szCs w:val="18"/>
                    </w:rPr>
                  </w:pPr>
                  <w:r w:rsidRPr="00B573A6">
                    <w:rPr>
                      <w:rFonts w:cs="Arial"/>
                      <w:color w:val="000000"/>
                      <w:szCs w:val="18"/>
                    </w:rPr>
                    <w:t>1.06</w:t>
                  </w:r>
                </w:p>
              </w:tc>
              <w:tc>
                <w:tcPr>
                  <w:tcW w:w="553" w:type="pct"/>
                  <w:tcBorders>
                    <w:top w:val="nil"/>
                    <w:left w:val="nil"/>
                    <w:bottom w:val="nil"/>
                    <w:right w:val="nil"/>
                  </w:tcBorders>
                  <w:shd w:val="clear" w:color="auto" w:fill="auto"/>
                  <w:vAlign w:val="bottom"/>
                </w:tcPr>
                <w:p w14:paraId="7954C62E" w14:textId="77777777" w:rsidR="00F05DC7" w:rsidRPr="00B573A6" w:rsidRDefault="00F05DC7" w:rsidP="00A3786D">
                  <w:pPr>
                    <w:pStyle w:val="TableBodyText"/>
                    <w:ind w:right="28"/>
                    <w:rPr>
                      <w:rFonts w:cs="Arial"/>
                      <w:szCs w:val="18"/>
                    </w:rPr>
                  </w:pPr>
                  <w:r w:rsidRPr="00B573A6">
                    <w:rPr>
                      <w:rFonts w:cs="Arial"/>
                      <w:color w:val="000000"/>
                      <w:szCs w:val="18"/>
                    </w:rPr>
                    <w:t>4.79</w:t>
                  </w:r>
                </w:p>
              </w:tc>
            </w:tr>
            <w:tr w:rsidR="00F05DC7" w:rsidRPr="00B573A6" w14:paraId="7954C639" w14:textId="77777777" w:rsidTr="00A3786D">
              <w:tc>
                <w:tcPr>
                  <w:tcW w:w="556" w:type="pct"/>
                </w:tcPr>
                <w:p w14:paraId="7954C630" w14:textId="77777777" w:rsidR="00F05DC7" w:rsidRPr="00B573A6" w:rsidRDefault="00F05DC7" w:rsidP="00A3786D">
                  <w:pPr>
                    <w:pStyle w:val="TableBodyText"/>
                    <w:jc w:val="left"/>
                    <w:rPr>
                      <w:rFonts w:cs="Arial"/>
                      <w:szCs w:val="18"/>
                    </w:rPr>
                  </w:pPr>
                  <w:r w:rsidRPr="00B573A6">
                    <w:rPr>
                      <w:rFonts w:cs="Arial"/>
                      <w:szCs w:val="18"/>
                    </w:rPr>
                    <w:t>2025</w:t>
                  </w:r>
                  <w:r w:rsidRPr="00B573A6">
                    <w:rPr>
                      <w:rFonts w:cs="Arial"/>
                      <w:szCs w:val="18"/>
                    </w:rPr>
                    <w:noBreakHyphen/>
                    <w:t>26</w:t>
                  </w:r>
                </w:p>
              </w:tc>
              <w:tc>
                <w:tcPr>
                  <w:tcW w:w="557" w:type="pct"/>
                  <w:tcBorders>
                    <w:top w:val="nil"/>
                    <w:left w:val="nil"/>
                    <w:bottom w:val="nil"/>
                    <w:right w:val="nil"/>
                  </w:tcBorders>
                  <w:shd w:val="clear" w:color="auto" w:fill="auto"/>
                  <w:vAlign w:val="bottom"/>
                </w:tcPr>
                <w:p w14:paraId="7954C631" w14:textId="77777777" w:rsidR="00F05DC7" w:rsidRPr="00B573A6" w:rsidRDefault="00F05DC7" w:rsidP="00A3786D">
                  <w:pPr>
                    <w:pStyle w:val="TableBodyText"/>
                    <w:rPr>
                      <w:rFonts w:cs="Arial"/>
                      <w:szCs w:val="18"/>
                    </w:rPr>
                  </w:pPr>
                  <w:r w:rsidRPr="00B573A6">
                    <w:rPr>
                      <w:rFonts w:cs="Arial"/>
                      <w:color w:val="000000"/>
                      <w:szCs w:val="18"/>
                    </w:rPr>
                    <w:t>0.90</w:t>
                  </w:r>
                </w:p>
              </w:tc>
              <w:tc>
                <w:tcPr>
                  <w:tcW w:w="557" w:type="pct"/>
                  <w:tcBorders>
                    <w:top w:val="nil"/>
                    <w:left w:val="nil"/>
                    <w:bottom w:val="nil"/>
                    <w:right w:val="nil"/>
                  </w:tcBorders>
                  <w:shd w:val="clear" w:color="auto" w:fill="auto"/>
                  <w:vAlign w:val="bottom"/>
                </w:tcPr>
                <w:p w14:paraId="7954C632" w14:textId="77777777" w:rsidR="00F05DC7" w:rsidRPr="00B573A6" w:rsidRDefault="00F05DC7" w:rsidP="00A3786D">
                  <w:pPr>
                    <w:pStyle w:val="TableBodyText"/>
                    <w:rPr>
                      <w:rFonts w:cs="Arial"/>
                      <w:szCs w:val="18"/>
                    </w:rPr>
                  </w:pPr>
                  <w:r w:rsidRPr="00B573A6">
                    <w:rPr>
                      <w:rFonts w:cs="Arial"/>
                      <w:color w:val="000000"/>
                      <w:szCs w:val="18"/>
                    </w:rPr>
                    <w:t>0.90</w:t>
                  </w:r>
                </w:p>
              </w:tc>
              <w:tc>
                <w:tcPr>
                  <w:tcW w:w="556" w:type="pct"/>
                  <w:tcBorders>
                    <w:top w:val="nil"/>
                    <w:left w:val="nil"/>
                    <w:bottom w:val="nil"/>
                    <w:right w:val="nil"/>
                  </w:tcBorders>
                  <w:shd w:val="clear" w:color="auto" w:fill="auto"/>
                  <w:vAlign w:val="bottom"/>
                </w:tcPr>
                <w:p w14:paraId="7954C633" w14:textId="77777777" w:rsidR="00F05DC7" w:rsidRPr="00B573A6" w:rsidRDefault="00F05DC7" w:rsidP="00A3786D">
                  <w:pPr>
                    <w:pStyle w:val="TableBodyText"/>
                    <w:rPr>
                      <w:rFonts w:cs="Arial"/>
                      <w:szCs w:val="18"/>
                    </w:rPr>
                  </w:pPr>
                  <w:r w:rsidRPr="00B573A6">
                    <w:rPr>
                      <w:rFonts w:cs="Arial"/>
                      <w:color w:val="000000"/>
                      <w:szCs w:val="18"/>
                    </w:rPr>
                    <w:t>1.02</w:t>
                  </w:r>
                </w:p>
              </w:tc>
              <w:tc>
                <w:tcPr>
                  <w:tcW w:w="556" w:type="pct"/>
                  <w:tcBorders>
                    <w:top w:val="nil"/>
                    <w:left w:val="nil"/>
                    <w:bottom w:val="nil"/>
                    <w:right w:val="nil"/>
                  </w:tcBorders>
                  <w:shd w:val="clear" w:color="auto" w:fill="auto"/>
                  <w:vAlign w:val="bottom"/>
                </w:tcPr>
                <w:p w14:paraId="7954C634" w14:textId="77777777" w:rsidR="00F05DC7" w:rsidRPr="00B573A6" w:rsidRDefault="00F05DC7" w:rsidP="00A3786D">
                  <w:pPr>
                    <w:pStyle w:val="TableBodyText"/>
                    <w:rPr>
                      <w:rFonts w:cs="Arial"/>
                      <w:szCs w:val="18"/>
                    </w:rPr>
                  </w:pPr>
                  <w:r w:rsidRPr="00B573A6">
                    <w:rPr>
                      <w:rFonts w:cs="Arial"/>
                      <w:color w:val="000000"/>
                      <w:szCs w:val="18"/>
                    </w:rPr>
                    <w:t>0.90</w:t>
                  </w:r>
                </w:p>
              </w:tc>
              <w:tc>
                <w:tcPr>
                  <w:tcW w:w="555" w:type="pct"/>
                  <w:tcBorders>
                    <w:top w:val="nil"/>
                    <w:left w:val="nil"/>
                    <w:bottom w:val="nil"/>
                    <w:right w:val="nil"/>
                  </w:tcBorders>
                  <w:shd w:val="clear" w:color="auto" w:fill="auto"/>
                  <w:vAlign w:val="bottom"/>
                </w:tcPr>
                <w:p w14:paraId="7954C635" w14:textId="77777777" w:rsidR="00F05DC7" w:rsidRPr="00B573A6" w:rsidRDefault="00F05DC7" w:rsidP="00A3786D">
                  <w:pPr>
                    <w:pStyle w:val="TableBodyText"/>
                    <w:rPr>
                      <w:rFonts w:cs="Arial"/>
                      <w:szCs w:val="18"/>
                    </w:rPr>
                  </w:pPr>
                  <w:r w:rsidRPr="00B573A6">
                    <w:rPr>
                      <w:rFonts w:cs="Arial"/>
                      <w:color w:val="000000"/>
                      <w:szCs w:val="18"/>
                    </w:rPr>
                    <w:t>1.29</w:t>
                  </w:r>
                </w:p>
              </w:tc>
              <w:tc>
                <w:tcPr>
                  <w:tcW w:w="555" w:type="pct"/>
                  <w:tcBorders>
                    <w:top w:val="nil"/>
                    <w:left w:val="nil"/>
                    <w:bottom w:val="nil"/>
                    <w:right w:val="nil"/>
                  </w:tcBorders>
                  <w:shd w:val="clear" w:color="auto" w:fill="auto"/>
                  <w:vAlign w:val="bottom"/>
                </w:tcPr>
                <w:p w14:paraId="7954C636" w14:textId="77777777" w:rsidR="00F05DC7" w:rsidRPr="00B573A6" w:rsidRDefault="00F05DC7" w:rsidP="00A3786D">
                  <w:pPr>
                    <w:pStyle w:val="TableBodyText"/>
                    <w:rPr>
                      <w:rFonts w:cs="Arial"/>
                      <w:szCs w:val="18"/>
                    </w:rPr>
                  </w:pPr>
                  <w:r w:rsidRPr="00B573A6">
                    <w:rPr>
                      <w:rFonts w:cs="Arial"/>
                      <w:color w:val="000000"/>
                      <w:szCs w:val="18"/>
                    </w:rPr>
                    <w:t>1.66</w:t>
                  </w:r>
                </w:p>
              </w:tc>
              <w:tc>
                <w:tcPr>
                  <w:tcW w:w="555" w:type="pct"/>
                  <w:tcBorders>
                    <w:top w:val="nil"/>
                    <w:left w:val="nil"/>
                    <w:bottom w:val="nil"/>
                    <w:right w:val="nil"/>
                  </w:tcBorders>
                  <w:shd w:val="clear" w:color="auto" w:fill="auto"/>
                  <w:vAlign w:val="bottom"/>
                </w:tcPr>
                <w:p w14:paraId="7954C637" w14:textId="77777777" w:rsidR="00F05DC7" w:rsidRPr="00B573A6" w:rsidRDefault="00F05DC7" w:rsidP="00A3786D">
                  <w:pPr>
                    <w:pStyle w:val="TableBodyText"/>
                    <w:rPr>
                      <w:rFonts w:cs="Arial"/>
                      <w:szCs w:val="18"/>
                    </w:rPr>
                  </w:pPr>
                  <w:r w:rsidRPr="00B573A6">
                    <w:rPr>
                      <w:rFonts w:cs="Arial"/>
                      <w:color w:val="000000"/>
                      <w:szCs w:val="18"/>
                    </w:rPr>
                    <w:t>1.07</w:t>
                  </w:r>
                </w:p>
              </w:tc>
              <w:tc>
                <w:tcPr>
                  <w:tcW w:w="553" w:type="pct"/>
                  <w:tcBorders>
                    <w:top w:val="nil"/>
                    <w:left w:val="nil"/>
                    <w:bottom w:val="nil"/>
                    <w:right w:val="nil"/>
                  </w:tcBorders>
                  <w:shd w:val="clear" w:color="auto" w:fill="auto"/>
                  <w:vAlign w:val="bottom"/>
                </w:tcPr>
                <w:p w14:paraId="7954C638" w14:textId="77777777" w:rsidR="00F05DC7" w:rsidRPr="00B573A6" w:rsidRDefault="00F05DC7" w:rsidP="00A3786D">
                  <w:pPr>
                    <w:pStyle w:val="TableBodyText"/>
                    <w:ind w:right="28"/>
                    <w:rPr>
                      <w:rFonts w:cs="Arial"/>
                      <w:szCs w:val="18"/>
                    </w:rPr>
                  </w:pPr>
                  <w:r w:rsidRPr="00B573A6">
                    <w:rPr>
                      <w:rFonts w:cs="Arial"/>
                      <w:color w:val="000000"/>
                      <w:szCs w:val="18"/>
                    </w:rPr>
                    <w:t>4.82</w:t>
                  </w:r>
                </w:p>
              </w:tc>
            </w:tr>
            <w:tr w:rsidR="00F05DC7" w:rsidRPr="00B573A6" w14:paraId="7954C643" w14:textId="77777777" w:rsidTr="00A3786D">
              <w:tc>
                <w:tcPr>
                  <w:tcW w:w="556" w:type="pct"/>
                </w:tcPr>
                <w:p w14:paraId="7954C63A" w14:textId="77777777" w:rsidR="00F05DC7" w:rsidRPr="00B573A6" w:rsidRDefault="00F05DC7" w:rsidP="00A3786D">
                  <w:pPr>
                    <w:pStyle w:val="TableBodyText"/>
                    <w:jc w:val="left"/>
                    <w:rPr>
                      <w:rFonts w:cs="Arial"/>
                      <w:szCs w:val="18"/>
                    </w:rPr>
                  </w:pPr>
                  <w:r w:rsidRPr="00B573A6">
                    <w:rPr>
                      <w:rFonts w:cs="Arial"/>
                      <w:szCs w:val="18"/>
                    </w:rPr>
                    <w:t>2026</w:t>
                  </w:r>
                  <w:r w:rsidRPr="00B573A6">
                    <w:rPr>
                      <w:rFonts w:cs="Arial"/>
                      <w:szCs w:val="18"/>
                    </w:rPr>
                    <w:noBreakHyphen/>
                    <w:t>27</w:t>
                  </w:r>
                </w:p>
              </w:tc>
              <w:tc>
                <w:tcPr>
                  <w:tcW w:w="557" w:type="pct"/>
                  <w:tcBorders>
                    <w:top w:val="nil"/>
                    <w:left w:val="nil"/>
                    <w:bottom w:val="nil"/>
                    <w:right w:val="nil"/>
                  </w:tcBorders>
                  <w:shd w:val="clear" w:color="auto" w:fill="auto"/>
                  <w:vAlign w:val="bottom"/>
                </w:tcPr>
                <w:p w14:paraId="7954C63B" w14:textId="77777777" w:rsidR="00F05DC7" w:rsidRPr="00B573A6" w:rsidRDefault="00F05DC7" w:rsidP="00A3786D">
                  <w:pPr>
                    <w:pStyle w:val="TableBodyText"/>
                    <w:rPr>
                      <w:rFonts w:cs="Arial"/>
                      <w:szCs w:val="18"/>
                    </w:rPr>
                  </w:pPr>
                  <w:r w:rsidRPr="00B573A6">
                    <w:rPr>
                      <w:rFonts w:cs="Arial"/>
                      <w:color w:val="000000"/>
                      <w:szCs w:val="18"/>
                    </w:rPr>
                    <w:t>0.90</w:t>
                  </w:r>
                </w:p>
              </w:tc>
              <w:tc>
                <w:tcPr>
                  <w:tcW w:w="557" w:type="pct"/>
                  <w:tcBorders>
                    <w:top w:val="nil"/>
                    <w:left w:val="nil"/>
                    <w:bottom w:val="nil"/>
                    <w:right w:val="nil"/>
                  </w:tcBorders>
                  <w:shd w:val="clear" w:color="auto" w:fill="auto"/>
                  <w:vAlign w:val="bottom"/>
                </w:tcPr>
                <w:p w14:paraId="7954C63C" w14:textId="77777777" w:rsidR="00F05DC7" w:rsidRPr="00B573A6" w:rsidRDefault="00F05DC7" w:rsidP="00A3786D">
                  <w:pPr>
                    <w:pStyle w:val="TableBodyText"/>
                    <w:rPr>
                      <w:rFonts w:cs="Arial"/>
                      <w:szCs w:val="18"/>
                    </w:rPr>
                  </w:pPr>
                  <w:r w:rsidRPr="00B573A6">
                    <w:rPr>
                      <w:rFonts w:cs="Arial"/>
                      <w:color w:val="000000"/>
                      <w:szCs w:val="18"/>
                    </w:rPr>
                    <w:t>0.90</w:t>
                  </w:r>
                </w:p>
              </w:tc>
              <w:tc>
                <w:tcPr>
                  <w:tcW w:w="556" w:type="pct"/>
                  <w:tcBorders>
                    <w:top w:val="nil"/>
                    <w:left w:val="nil"/>
                    <w:bottom w:val="nil"/>
                    <w:right w:val="nil"/>
                  </w:tcBorders>
                  <w:shd w:val="clear" w:color="auto" w:fill="auto"/>
                  <w:vAlign w:val="bottom"/>
                </w:tcPr>
                <w:p w14:paraId="7954C63D" w14:textId="77777777" w:rsidR="00F05DC7" w:rsidRPr="00B573A6" w:rsidRDefault="00F05DC7" w:rsidP="00A3786D">
                  <w:pPr>
                    <w:pStyle w:val="TableBodyText"/>
                    <w:rPr>
                      <w:rFonts w:cs="Arial"/>
                      <w:szCs w:val="18"/>
                    </w:rPr>
                  </w:pPr>
                  <w:r w:rsidRPr="00B573A6">
                    <w:rPr>
                      <w:rFonts w:cs="Arial"/>
                      <w:color w:val="000000"/>
                      <w:szCs w:val="18"/>
                    </w:rPr>
                    <w:t>1.01</w:t>
                  </w:r>
                </w:p>
              </w:tc>
              <w:tc>
                <w:tcPr>
                  <w:tcW w:w="556" w:type="pct"/>
                  <w:tcBorders>
                    <w:top w:val="nil"/>
                    <w:left w:val="nil"/>
                    <w:bottom w:val="nil"/>
                    <w:right w:val="nil"/>
                  </w:tcBorders>
                  <w:shd w:val="clear" w:color="auto" w:fill="auto"/>
                  <w:vAlign w:val="bottom"/>
                </w:tcPr>
                <w:p w14:paraId="7954C63E" w14:textId="77777777" w:rsidR="00F05DC7" w:rsidRPr="00B573A6" w:rsidRDefault="00F05DC7" w:rsidP="00A3786D">
                  <w:pPr>
                    <w:pStyle w:val="TableBodyText"/>
                    <w:rPr>
                      <w:rFonts w:cs="Arial"/>
                      <w:szCs w:val="18"/>
                    </w:rPr>
                  </w:pPr>
                  <w:r w:rsidRPr="00B573A6">
                    <w:rPr>
                      <w:rFonts w:cs="Arial"/>
                      <w:color w:val="000000"/>
                      <w:szCs w:val="18"/>
                    </w:rPr>
                    <w:t>0.90</w:t>
                  </w:r>
                </w:p>
              </w:tc>
              <w:tc>
                <w:tcPr>
                  <w:tcW w:w="555" w:type="pct"/>
                  <w:tcBorders>
                    <w:top w:val="nil"/>
                    <w:left w:val="nil"/>
                    <w:bottom w:val="nil"/>
                    <w:right w:val="nil"/>
                  </w:tcBorders>
                  <w:shd w:val="clear" w:color="auto" w:fill="auto"/>
                  <w:vAlign w:val="bottom"/>
                </w:tcPr>
                <w:p w14:paraId="7954C63F" w14:textId="77777777" w:rsidR="00F05DC7" w:rsidRPr="00B573A6" w:rsidRDefault="00F05DC7" w:rsidP="00A3786D">
                  <w:pPr>
                    <w:pStyle w:val="TableBodyText"/>
                    <w:rPr>
                      <w:rFonts w:cs="Arial"/>
                      <w:szCs w:val="18"/>
                    </w:rPr>
                  </w:pPr>
                  <w:r w:rsidRPr="00B573A6">
                    <w:rPr>
                      <w:rFonts w:cs="Arial"/>
                      <w:color w:val="000000"/>
                      <w:szCs w:val="18"/>
                    </w:rPr>
                    <w:t>1.29</w:t>
                  </w:r>
                </w:p>
              </w:tc>
              <w:tc>
                <w:tcPr>
                  <w:tcW w:w="555" w:type="pct"/>
                  <w:tcBorders>
                    <w:top w:val="nil"/>
                    <w:left w:val="nil"/>
                    <w:bottom w:val="nil"/>
                    <w:right w:val="nil"/>
                  </w:tcBorders>
                  <w:shd w:val="clear" w:color="auto" w:fill="auto"/>
                  <w:vAlign w:val="bottom"/>
                </w:tcPr>
                <w:p w14:paraId="7954C640" w14:textId="77777777" w:rsidR="00F05DC7" w:rsidRPr="00B573A6" w:rsidRDefault="00F05DC7" w:rsidP="00A3786D">
                  <w:pPr>
                    <w:pStyle w:val="TableBodyText"/>
                    <w:rPr>
                      <w:rFonts w:cs="Arial"/>
                      <w:szCs w:val="18"/>
                    </w:rPr>
                  </w:pPr>
                  <w:r w:rsidRPr="00B573A6">
                    <w:rPr>
                      <w:rFonts w:cs="Arial"/>
                      <w:color w:val="000000"/>
                      <w:szCs w:val="18"/>
                    </w:rPr>
                    <w:t>1.66</w:t>
                  </w:r>
                </w:p>
              </w:tc>
              <w:tc>
                <w:tcPr>
                  <w:tcW w:w="555" w:type="pct"/>
                  <w:tcBorders>
                    <w:top w:val="nil"/>
                    <w:left w:val="nil"/>
                    <w:bottom w:val="nil"/>
                    <w:right w:val="nil"/>
                  </w:tcBorders>
                  <w:shd w:val="clear" w:color="auto" w:fill="auto"/>
                  <w:vAlign w:val="bottom"/>
                </w:tcPr>
                <w:p w14:paraId="7954C641" w14:textId="77777777" w:rsidR="00F05DC7" w:rsidRPr="00B573A6" w:rsidRDefault="00F05DC7" w:rsidP="00A3786D">
                  <w:pPr>
                    <w:pStyle w:val="TableBodyText"/>
                    <w:rPr>
                      <w:rFonts w:cs="Arial"/>
                      <w:szCs w:val="18"/>
                    </w:rPr>
                  </w:pPr>
                  <w:r w:rsidRPr="00B573A6">
                    <w:rPr>
                      <w:rFonts w:cs="Arial"/>
                      <w:color w:val="000000"/>
                      <w:szCs w:val="18"/>
                    </w:rPr>
                    <w:t>1.08</w:t>
                  </w:r>
                </w:p>
              </w:tc>
              <w:tc>
                <w:tcPr>
                  <w:tcW w:w="553" w:type="pct"/>
                  <w:tcBorders>
                    <w:top w:val="nil"/>
                    <w:left w:val="nil"/>
                    <w:bottom w:val="nil"/>
                    <w:right w:val="nil"/>
                  </w:tcBorders>
                  <w:shd w:val="clear" w:color="auto" w:fill="auto"/>
                  <w:vAlign w:val="bottom"/>
                </w:tcPr>
                <w:p w14:paraId="7954C642" w14:textId="77777777" w:rsidR="00F05DC7" w:rsidRPr="00B573A6" w:rsidRDefault="00F05DC7" w:rsidP="00A3786D">
                  <w:pPr>
                    <w:pStyle w:val="TableBodyText"/>
                    <w:ind w:right="28"/>
                    <w:rPr>
                      <w:rFonts w:cs="Arial"/>
                      <w:szCs w:val="18"/>
                    </w:rPr>
                  </w:pPr>
                  <w:r w:rsidRPr="00B573A6">
                    <w:rPr>
                      <w:rFonts w:cs="Arial"/>
                      <w:color w:val="000000"/>
                      <w:szCs w:val="18"/>
                    </w:rPr>
                    <w:t>4.84</w:t>
                  </w:r>
                </w:p>
              </w:tc>
            </w:tr>
            <w:tr w:rsidR="00F05DC7" w:rsidRPr="00B573A6" w14:paraId="7954C645" w14:textId="77777777" w:rsidTr="002E1D11">
              <w:tc>
                <w:tcPr>
                  <w:tcW w:w="5000" w:type="pct"/>
                  <w:gridSpan w:val="9"/>
                  <w:shd w:val="clear" w:color="auto" w:fill="F2F2F2" w:themeFill="background1" w:themeFillShade="F2"/>
                </w:tcPr>
                <w:p w14:paraId="7954C644" w14:textId="77777777" w:rsidR="00F05DC7" w:rsidRPr="00B573A6" w:rsidRDefault="00F05DC7" w:rsidP="00A3786D">
                  <w:pPr>
                    <w:pStyle w:val="TableBodyText"/>
                    <w:ind w:right="28"/>
                    <w:jc w:val="left"/>
                    <w:rPr>
                      <w:rFonts w:cs="Arial"/>
                      <w:szCs w:val="18"/>
                    </w:rPr>
                  </w:pPr>
                  <w:r w:rsidRPr="00B573A6">
                    <w:rPr>
                      <w:rFonts w:cs="Arial"/>
                      <w:szCs w:val="18"/>
                    </w:rPr>
                    <w:t xml:space="preserve">Best estimate relativities </w:t>
                  </w:r>
                  <w:r>
                    <w:rPr>
                      <w:rFonts w:cs="Arial"/>
                      <w:szCs w:val="18"/>
                    </w:rPr>
                    <w:t>—</w:t>
                  </w:r>
                  <w:r w:rsidRPr="00B573A6">
                    <w:rPr>
                      <w:rFonts w:cs="Arial"/>
                      <w:szCs w:val="18"/>
                    </w:rPr>
                    <w:t xml:space="preserve"> eight year transition</w:t>
                  </w:r>
                  <w:r>
                    <w:rPr>
                      <w:rFonts w:cs="Arial"/>
                      <w:szCs w:val="18"/>
                    </w:rPr>
                    <w:t xml:space="preserve"> to ETA</w:t>
                  </w:r>
                </w:p>
              </w:tc>
            </w:tr>
            <w:tr w:rsidR="00F05DC7" w:rsidRPr="00B573A6" w14:paraId="7954C64F" w14:textId="77777777" w:rsidTr="00A3786D">
              <w:tc>
                <w:tcPr>
                  <w:tcW w:w="556" w:type="pct"/>
                </w:tcPr>
                <w:p w14:paraId="7954C646" w14:textId="77777777" w:rsidR="00F05DC7" w:rsidRPr="00B573A6" w:rsidRDefault="00F05DC7" w:rsidP="00A3786D">
                  <w:pPr>
                    <w:pStyle w:val="TableBodyText"/>
                    <w:jc w:val="left"/>
                    <w:rPr>
                      <w:rFonts w:cs="Arial"/>
                      <w:szCs w:val="18"/>
                    </w:rPr>
                  </w:pPr>
                  <w:r w:rsidRPr="00B573A6">
                    <w:rPr>
                      <w:rFonts w:cs="Arial"/>
                      <w:szCs w:val="18"/>
                    </w:rPr>
                    <w:t>2019</w:t>
                  </w:r>
                  <w:r w:rsidRPr="00B573A6">
                    <w:rPr>
                      <w:rFonts w:cs="Arial"/>
                      <w:szCs w:val="18"/>
                    </w:rPr>
                    <w:noBreakHyphen/>
                    <w:t>20</w:t>
                  </w:r>
                </w:p>
              </w:tc>
              <w:tc>
                <w:tcPr>
                  <w:tcW w:w="557" w:type="pct"/>
                  <w:tcBorders>
                    <w:top w:val="nil"/>
                    <w:left w:val="nil"/>
                    <w:bottom w:val="nil"/>
                    <w:right w:val="nil"/>
                  </w:tcBorders>
                  <w:shd w:val="clear" w:color="auto" w:fill="auto"/>
                  <w:vAlign w:val="center"/>
                </w:tcPr>
                <w:p w14:paraId="7954C647" w14:textId="77777777" w:rsidR="00F05DC7" w:rsidRPr="00B573A6" w:rsidRDefault="00F05DC7" w:rsidP="00A3786D">
                  <w:pPr>
                    <w:pStyle w:val="TableBodyText"/>
                    <w:rPr>
                      <w:rFonts w:cs="Arial"/>
                      <w:szCs w:val="18"/>
                    </w:rPr>
                  </w:pPr>
                  <w:r w:rsidRPr="00B573A6">
                    <w:rPr>
                      <w:rFonts w:cs="Arial"/>
                      <w:color w:val="000000"/>
                      <w:szCs w:val="18"/>
                    </w:rPr>
                    <w:t>0.83</w:t>
                  </w:r>
                </w:p>
              </w:tc>
              <w:tc>
                <w:tcPr>
                  <w:tcW w:w="557" w:type="pct"/>
                  <w:tcBorders>
                    <w:top w:val="nil"/>
                    <w:left w:val="nil"/>
                    <w:bottom w:val="nil"/>
                    <w:right w:val="nil"/>
                  </w:tcBorders>
                  <w:shd w:val="clear" w:color="auto" w:fill="auto"/>
                  <w:vAlign w:val="center"/>
                </w:tcPr>
                <w:p w14:paraId="7954C648" w14:textId="77777777" w:rsidR="00F05DC7" w:rsidRPr="00B573A6" w:rsidRDefault="00F05DC7" w:rsidP="00A3786D">
                  <w:pPr>
                    <w:pStyle w:val="TableBodyText"/>
                    <w:rPr>
                      <w:rFonts w:cs="Arial"/>
                      <w:szCs w:val="18"/>
                    </w:rPr>
                  </w:pPr>
                  <w:r w:rsidRPr="00B573A6">
                    <w:rPr>
                      <w:rFonts w:cs="Arial"/>
                      <w:color w:val="000000"/>
                      <w:szCs w:val="18"/>
                    </w:rPr>
                    <w:t>0.95</w:t>
                  </w:r>
                </w:p>
              </w:tc>
              <w:tc>
                <w:tcPr>
                  <w:tcW w:w="556" w:type="pct"/>
                  <w:tcBorders>
                    <w:top w:val="nil"/>
                    <w:left w:val="nil"/>
                    <w:bottom w:val="nil"/>
                    <w:right w:val="nil"/>
                  </w:tcBorders>
                  <w:shd w:val="clear" w:color="auto" w:fill="auto"/>
                  <w:vAlign w:val="center"/>
                </w:tcPr>
                <w:p w14:paraId="7954C649" w14:textId="77777777" w:rsidR="00F05DC7" w:rsidRPr="00B573A6" w:rsidRDefault="00F05DC7" w:rsidP="00A3786D">
                  <w:pPr>
                    <w:pStyle w:val="TableBodyText"/>
                    <w:rPr>
                      <w:rFonts w:cs="Arial"/>
                      <w:szCs w:val="18"/>
                    </w:rPr>
                  </w:pPr>
                  <w:r w:rsidRPr="00B573A6">
                    <w:rPr>
                      <w:rFonts w:cs="Arial"/>
                      <w:color w:val="000000"/>
                      <w:szCs w:val="18"/>
                    </w:rPr>
                    <w:t>1.11</w:t>
                  </w:r>
                </w:p>
              </w:tc>
              <w:tc>
                <w:tcPr>
                  <w:tcW w:w="556" w:type="pct"/>
                  <w:tcBorders>
                    <w:top w:val="nil"/>
                    <w:left w:val="nil"/>
                    <w:bottom w:val="nil"/>
                    <w:right w:val="nil"/>
                  </w:tcBorders>
                  <w:shd w:val="clear" w:color="auto" w:fill="auto"/>
                  <w:vAlign w:val="center"/>
                </w:tcPr>
                <w:p w14:paraId="7954C64A" w14:textId="77777777" w:rsidR="00F05DC7" w:rsidRPr="00B573A6" w:rsidRDefault="00F05DC7" w:rsidP="00A3786D">
                  <w:pPr>
                    <w:pStyle w:val="TableBodyText"/>
                    <w:rPr>
                      <w:rFonts w:cs="Arial"/>
                      <w:szCs w:val="18"/>
                    </w:rPr>
                  </w:pPr>
                  <w:r w:rsidRPr="00B573A6">
                    <w:rPr>
                      <w:rFonts w:cs="Arial"/>
                      <w:color w:val="000000"/>
                      <w:szCs w:val="18"/>
                    </w:rPr>
                    <w:t>0.63</w:t>
                  </w:r>
                </w:p>
              </w:tc>
              <w:tc>
                <w:tcPr>
                  <w:tcW w:w="555" w:type="pct"/>
                  <w:tcBorders>
                    <w:top w:val="nil"/>
                    <w:left w:val="nil"/>
                    <w:bottom w:val="nil"/>
                    <w:right w:val="nil"/>
                  </w:tcBorders>
                  <w:shd w:val="clear" w:color="auto" w:fill="auto"/>
                  <w:vAlign w:val="center"/>
                </w:tcPr>
                <w:p w14:paraId="7954C64B" w14:textId="77777777" w:rsidR="00F05DC7" w:rsidRPr="00B573A6" w:rsidRDefault="00F05DC7" w:rsidP="00A3786D">
                  <w:pPr>
                    <w:pStyle w:val="TableBodyText"/>
                    <w:rPr>
                      <w:rFonts w:cs="Arial"/>
                      <w:szCs w:val="18"/>
                    </w:rPr>
                  </w:pPr>
                  <w:r w:rsidRPr="00B573A6">
                    <w:rPr>
                      <w:rFonts w:cs="Arial"/>
                      <w:color w:val="000000"/>
                      <w:szCs w:val="18"/>
                    </w:rPr>
                    <w:t>1.42</w:t>
                  </w:r>
                </w:p>
              </w:tc>
              <w:tc>
                <w:tcPr>
                  <w:tcW w:w="555" w:type="pct"/>
                  <w:tcBorders>
                    <w:top w:val="nil"/>
                    <w:left w:val="nil"/>
                    <w:bottom w:val="nil"/>
                    <w:right w:val="nil"/>
                  </w:tcBorders>
                  <w:shd w:val="clear" w:color="auto" w:fill="auto"/>
                  <w:vAlign w:val="center"/>
                </w:tcPr>
                <w:p w14:paraId="7954C64C" w14:textId="77777777" w:rsidR="00F05DC7" w:rsidRPr="00B573A6" w:rsidRDefault="00F05DC7" w:rsidP="00A3786D">
                  <w:pPr>
                    <w:pStyle w:val="TableBodyText"/>
                    <w:rPr>
                      <w:rFonts w:cs="Arial"/>
                      <w:szCs w:val="18"/>
                    </w:rPr>
                  </w:pPr>
                  <w:r w:rsidRPr="00B573A6">
                    <w:rPr>
                      <w:rFonts w:cs="Arial"/>
                      <w:color w:val="000000"/>
                      <w:szCs w:val="18"/>
                    </w:rPr>
                    <w:t>1.80</w:t>
                  </w:r>
                </w:p>
              </w:tc>
              <w:tc>
                <w:tcPr>
                  <w:tcW w:w="555" w:type="pct"/>
                  <w:tcBorders>
                    <w:top w:val="nil"/>
                    <w:left w:val="nil"/>
                    <w:bottom w:val="nil"/>
                    <w:right w:val="nil"/>
                  </w:tcBorders>
                  <w:shd w:val="clear" w:color="auto" w:fill="auto"/>
                  <w:vAlign w:val="center"/>
                </w:tcPr>
                <w:p w14:paraId="7954C64D" w14:textId="77777777" w:rsidR="00F05DC7" w:rsidRPr="00B573A6" w:rsidRDefault="00F05DC7" w:rsidP="00A3786D">
                  <w:pPr>
                    <w:pStyle w:val="TableBodyText"/>
                    <w:rPr>
                      <w:rFonts w:cs="Arial"/>
                      <w:szCs w:val="18"/>
                    </w:rPr>
                  </w:pPr>
                  <w:r w:rsidRPr="00B573A6">
                    <w:rPr>
                      <w:rFonts w:cs="Arial"/>
                      <w:color w:val="000000"/>
                      <w:szCs w:val="18"/>
                    </w:rPr>
                    <w:t>1.18</w:t>
                  </w:r>
                </w:p>
              </w:tc>
              <w:tc>
                <w:tcPr>
                  <w:tcW w:w="553" w:type="pct"/>
                  <w:tcBorders>
                    <w:top w:val="nil"/>
                    <w:left w:val="nil"/>
                    <w:bottom w:val="nil"/>
                    <w:right w:val="nil"/>
                  </w:tcBorders>
                  <w:shd w:val="clear" w:color="auto" w:fill="auto"/>
                  <w:vAlign w:val="center"/>
                </w:tcPr>
                <w:p w14:paraId="7954C64E" w14:textId="77777777" w:rsidR="00F05DC7" w:rsidRPr="00B573A6" w:rsidRDefault="00F05DC7" w:rsidP="00A3786D">
                  <w:pPr>
                    <w:pStyle w:val="TableBodyText"/>
                    <w:ind w:right="28"/>
                    <w:rPr>
                      <w:rFonts w:cs="Arial"/>
                      <w:szCs w:val="18"/>
                    </w:rPr>
                  </w:pPr>
                  <w:r w:rsidRPr="00B573A6">
                    <w:rPr>
                      <w:rFonts w:cs="Arial"/>
                      <w:color w:val="000000"/>
                      <w:szCs w:val="18"/>
                    </w:rPr>
                    <w:t>4.54</w:t>
                  </w:r>
                </w:p>
              </w:tc>
            </w:tr>
            <w:tr w:rsidR="00F05DC7" w:rsidRPr="00B573A6" w14:paraId="7954C659" w14:textId="77777777" w:rsidTr="00A3786D">
              <w:tc>
                <w:tcPr>
                  <w:tcW w:w="556" w:type="pct"/>
                </w:tcPr>
                <w:p w14:paraId="7954C650" w14:textId="77777777" w:rsidR="00F05DC7" w:rsidRPr="00B573A6" w:rsidRDefault="00F05DC7" w:rsidP="00A3786D">
                  <w:pPr>
                    <w:pStyle w:val="TableBodyText"/>
                    <w:jc w:val="left"/>
                    <w:rPr>
                      <w:rFonts w:cs="Arial"/>
                      <w:szCs w:val="18"/>
                    </w:rPr>
                  </w:pPr>
                  <w:r w:rsidRPr="00B573A6">
                    <w:rPr>
                      <w:rFonts w:cs="Arial"/>
                      <w:szCs w:val="18"/>
                    </w:rPr>
                    <w:t>2020</w:t>
                  </w:r>
                  <w:r w:rsidRPr="00B573A6">
                    <w:rPr>
                      <w:rFonts w:cs="Arial"/>
                      <w:szCs w:val="18"/>
                    </w:rPr>
                    <w:noBreakHyphen/>
                    <w:t>21</w:t>
                  </w:r>
                </w:p>
              </w:tc>
              <w:tc>
                <w:tcPr>
                  <w:tcW w:w="557" w:type="pct"/>
                  <w:tcBorders>
                    <w:top w:val="nil"/>
                    <w:left w:val="nil"/>
                    <w:bottom w:val="nil"/>
                    <w:right w:val="nil"/>
                  </w:tcBorders>
                  <w:shd w:val="clear" w:color="auto" w:fill="auto"/>
                  <w:vAlign w:val="center"/>
                </w:tcPr>
                <w:p w14:paraId="7954C651" w14:textId="77777777" w:rsidR="00F05DC7" w:rsidRPr="00B573A6" w:rsidRDefault="00F05DC7" w:rsidP="00A3786D">
                  <w:pPr>
                    <w:pStyle w:val="TableBodyText"/>
                    <w:rPr>
                      <w:rFonts w:cs="Arial"/>
                      <w:szCs w:val="18"/>
                    </w:rPr>
                  </w:pPr>
                  <w:r w:rsidRPr="00B573A6">
                    <w:rPr>
                      <w:rFonts w:cs="Arial"/>
                      <w:color w:val="000000"/>
                      <w:szCs w:val="18"/>
                    </w:rPr>
                    <w:t>0.84</w:t>
                  </w:r>
                </w:p>
              </w:tc>
              <w:tc>
                <w:tcPr>
                  <w:tcW w:w="557" w:type="pct"/>
                  <w:tcBorders>
                    <w:top w:val="nil"/>
                    <w:left w:val="nil"/>
                    <w:bottom w:val="nil"/>
                    <w:right w:val="nil"/>
                  </w:tcBorders>
                  <w:shd w:val="clear" w:color="auto" w:fill="auto"/>
                  <w:vAlign w:val="center"/>
                </w:tcPr>
                <w:p w14:paraId="7954C652" w14:textId="77777777" w:rsidR="00F05DC7" w:rsidRPr="00B573A6" w:rsidRDefault="00F05DC7" w:rsidP="00A3786D">
                  <w:pPr>
                    <w:pStyle w:val="TableBodyText"/>
                    <w:rPr>
                      <w:rFonts w:cs="Arial"/>
                      <w:szCs w:val="18"/>
                    </w:rPr>
                  </w:pPr>
                  <w:r w:rsidRPr="00B573A6">
                    <w:rPr>
                      <w:rFonts w:cs="Arial"/>
                      <w:color w:val="000000"/>
                      <w:szCs w:val="18"/>
                    </w:rPr>
                    <w:t>0.94</w:t>
                  </w:r>
                </w:p>
              </w:tc>
              <w:tc>
                <w:tcPr>
                  <w:tcW w:w="556" w:type="pct"/>
                  <w:tcBorders>
                    <w:top w:val="nil"/>
                    <w:left w:val="nil"/>
                    <w:bottom w:val="nil"/>
                    <w:right w:val="nil"/>
                  </w:tcBorders>
                  <w:shd w:val="clear" w:color="auto" w:fill="auto"/>
                  <w:vAlign w:val="center"/>
                </w:tcPr>
                <w:p w14:paraId="7954C653" w14:textId="77777777" w:rsidR="00F05DC7" w:rsidRPr="00B573A6" w:rsidRDefault="00F05DC7" w:rsidP="00A3786D">
                  <w:pPr>
                    <w:pStyle w:val="TableBodyText"/>
                    <w:rPr>
                      <w:rFonts w:cs="Arial"/>
                      <w:szCs w:val="18"/>
                    </w:rPr>
                  </w:pPr>
                  <w:r w:rsidRPr="00B573A6">
                    <w:rPr>
                      <w:rFonts w:cs="Arial"/>
                      <w:color w:val="000000"/>
                      <w:szCs w:val="18"/>
                    </w:rPr>
                    <w:t>1.10</w:t>
                  </w:r>
                </w:p>
              </w:tc>
              <w:tc>
                <w:tcPr>
                  <w:tcW w:w="556" w:type="pct"/>
                  <w:tcBorders>
                    <w:top w:val="nil"/>
                    <w:left w:val="nil"/>
                    <w:bottom w:val="nil"/>
                    <w:right w:val="nil"/>
                  </w:tcBorders>
                  <w:shd w:val="clear" w:color="auto" w:fill="auto"/>
                  <w:vAlign w:val="center"/>
                </w:tcPr>
                <w:p w14:paraId="7954C654" w14:textId="77777777" w:rsidR="00F05DC7" w:rsidRPr="00B573A6" w:rsidRDefault="00F05DC7" w:rsidP="00A3786D">
                  <w:pPr>
                    <w:pStyle w:val="TableBodyText"/>
                    <w:rPr>
                      <w:rFonts w:cs="Arial"/>
                      <w:szCs w:val="18"/>
                    </w:rPr>
                  </w:pPr>
                  <w:r w:rsidRPr="00B573A6">
                    <w:rPr>
                      <w:rFonts w:cs="Arial"/>
                      <w:color w:val="000000"/>
                      <w:szCs w:val="18"/>
                    </w:rPr>
                    <w:t>0.69</w:t>
                  </w:r>
                </w:p>
              </w:tc>
              <w:tc>
                <w:tcPr>
                  <w:tcW w:w="555" w:type="pct"/>
                  <w:tcBorders>
                    <w:top w:val="nil"/>
                    <w:left w:val="nil"/>
                    <w:bottom w:val="nil"/>
                    <w:right w:val="nil"/>
                  </w:tcBorders>
                  <w:shd w:val="clear" w:color="auto" w:fill="auto"/>
                  <w:vAlign w:val="center"/>
                </w:tcPr>
                <w:p w14:paraId="7954C655" w14:textId="77777777" w:rsidR="00F05DC7" w:rsidRPr="00B573A6" w:rsidRDefault="00F05DC7" w:rsidP="00A3786D">
                  <w:pPr>
                    <w:pStyle w:val="TableBodyText"/>
                    <w:rPr>
                      <w:rFonts w:cs="Arial"/>
                      <w:szCs w:val="18"/>
                    </w:rPr>
                  </w:pPr>
                  <w:r w:rsidRPr="00B573A6">
                    <w:rPr>
                      <w:rFonts w:cs="Arial"/>
                      <w:color w:val="000000"/>
                      <w:szCs w:val="18"/>
                    </w:rPr>
                    <w:t>1.40</w:t>
                  </w:r>
                </w:p>
              </w:tc>
              <w:tc>
                <w:tcPr>
                  <w:tcW w:w="555" w:type="pct"/>
                  <w:tcBorders>
                    <w:top w:val="nil"/>
                    <w:left w:val="nil"/>
                    <w:bottom w:val="nil"/>
                    <w:right w:val="nil"/>
                  </w:tcBorders>
                  <w:shd w:val="clear" w:color="auto" w:fill="auto"/>
                  <w:vAlign w:val="center"/>
                </w:tcPr>
                <w:p w14:paraId="7954C656" w14:textId="77777777" w:rsidR="00F05DC7" w:rsidRPr="00B573A6" w:rsidRDefault="00F05DC7" w:rsidP="00A3786D">
                  <w:pPr>
                    <w:pStyle w:val="TableBodyText"/>
                    <w:rPr>
                      <w:rFonts w:cs="Arial"/>
                      <w:szCs w:val="18"/>
                    </w:rPr>
                  </w:pPr>
                  <w:r w:rsidRPr="00B573A6">
                    <w:rPr>
                      <w:rFonts w:cs="Arial"/>
                      <w:color w:val="000000"/>
                      <w:szCs w:val="18"/>
                    </w:rPr>
                    <w:t>1.77</w:t>
                  </w:r>
                </w:p>
              </w:tc>
              <w:tc>
                <w:tcPr>
                  <w:tcW w:w="555" w:type="pct"/>
                  <w:tcBorders>
                    <w:top w:val="nil"/>
                    <w:left w:val="nil"/>
                    <w:bottom w:val="nil"/>
                    <w:right w:val="nil"/>
                  </w:tcBorders>
                  <w:shd w:val="clear" w:color="auto" w:fill="auto"/>
                  <w:vAlign w:val="center"/>
                </w:tcPr>
                <w:p w14:paraId="7954C657" w14:textId="77777777" w:rsidR="00F05DC7" w:rsidRPr="00B573A6" w:rsidRDefault="00F05DC7" w:rsidP="00A3786D">
                  <w:pPr>
                    <w:pStyle w:val="TableBodyText"/>
                    <w:rPr>
                      <w:rFonts w:cs="Arial"/>
                      <w:szCs w:val="18"/>
                    </w:rPr>
                  </w:pPr>
                  <w:r w:rsidRPr="00B573A6">
                    <w:rPr>
                      <w:rFonts w:cs="Arial"/>
                      <w:color w:val="000000"/>
                      <w:szCs w:val="18"/>
                    </w:rPr>
                    <w:t>1.16</w:t>
                  </w:r>
                </w:p>
              </w:tc>
              <w:tc>
                <w:tcPr>
                  <w:tcW w:w="553" w:type="pct"/>
                  <w:tcBorders>
                    <w:top w:val="nil"/>
                    <w:left w:val="nil"/>
                    <w:bottom w:val="nil"/>
                    <w:right w:val="nil"/>
                  </w:tcBorders>
                  <w:shd w:val="clear" w:color="auto" w:fill="auto"/>
                  <w:vAlign w:val="center"/>
                </w:tcPr>
                <w:p w14:paraId="7954C658" w14:textId="77777777" w:rsidR="00F05DC7" w:rsidRPr="00B573A6" w:rsidRDefault="00F05DC7" w:rsidP="00A3786D">
                  <w:pPr>
                    <w:pStyle w:val="TableBodyText"/>
                    <w:ind w:right="28"/>
                    <w:rPr>
                      <w:rFonts w:cs="Arial"/>
                      <w:szCs w:val="18"/>
                    </w:rPr>
                  </w:pPr>
                  <w:r w:rsidRPr="00B573A6">
                    <w:rPr>
                      <w:rFonts w:cs="Arial"/>
                      <w:color w:val="000000"/>
                      <w:szCs w:val="18"/>
                    </w:rPr>
                    <w:t>4.74</w:t>
                  </w:r>
                </w:p>
              </w:tc>
            </w:tr>
            <w:tr w:rsidR="00F05DC7" w:rsidRPr="00B573A6" w14:paraId="7954C663" w14:textId="77777777" w:rsidTr="00A3786D">
              <w:tc>
                <w:tcPr>
                  <w:tcW w:w="556" w:type="pct"/>
                </w:tcPr>
                <w:p w14:paraId="7954C65A" w14:textId="77777777" w:rsidR="00F05DC7" w:rsidRPr="00B573A6" w:rsidRDefault="00F05DC7" w:rsidP="00A3786D">
                  <w:pPr>
                    <w:pStyle w:val="TableBodyText"/>
                    <w:jc w:val="left"/>
                    <w:rPr>
                      <w:rFonts w:cs="Arial"/>
                      <w:szCs w:val="18"/>
                    </w:rPr>
                  </w:pPr>
                  <w:r w:rsidRPr="00B573A6">
                    <w:rPr>
                      <w:rFonts w:cs="Arial"/>
                      <w:szCs w:val="18"/>
                    </w:rPr>
                    <w:t>2021</w:t>
                  </w:r>
                  <w:r w:rsidRPr="00B573A6">
                    <w:rPr>
                      <w:rFonts w:cs="Arial"/>
                      <w:szCs w:val="18"/>
                    </w:rPr>
                    <w:noBreakHyphen/>
                    <w:t>22</w:t>
                  </w:r>
                </w:p>
              </w:tc>
              <w:tc>
                <w:tcPr>
                  <w:tcW w:w="557" w:type="pct"/>
                  <w:tcBorders>
                    <w:top w:val="nil"/>
                    <w:left w:val="nil"/>
                    <w:bottom w:val="nil"/>
                    <w:right w:val="nil"/>
                  </w:tcBorders>
                  <w:shd w:val="clear" w:color="auto" w:fill="auto"/>
                  <w:vAlign w:val="center"/>
                </w:tcPr>
                <w:p w14:paraId="7954C65B" w14:textId="77777777" w:rsidR="00F05DC7" w:rsidRPr="00B573A6" w:rsidRDefault="00F05DC7" w:rsidP="00A3786D">
                  <w:pPr>
                    <w:pStyle w:val="TableBodyText"/>
                    <w:rPr>
                      <w:rFonts w:cs="Arial"/>
                      <w:szCs w:val="18"/>
                    </w:rPr>
                  </w:pPr>
                  <w:r w:rsidRPr="00B573A6">
                    <w:rPr>
                      <w:rFonts w:cs="Arial"/>
                      <w:color w:val="000000"/>
                      <w:szCs w:val="18"/>
                    </w:rPr>
                    <w:t>0.85</w:t>
                  </w:r>
                </w:p>
              </w:tc>
              <w:tc>
                <w:tcPr>
                  <w:tcW w:w="557" w:type="pct"/>
                  <w:tcBorders>
                    <w:top w:val="nil"/>
                    <w:left w:val="nil"/>
                    <w:bottom w:val="nil"/>
                    <w:right w:val="nil"/>
                  </w:tcBorders>
                  <w:shd w:val="clear" w:color="auto" w:fill="auto"/>
                  <w:vAlign w:val="center"/>
                </w:tcPr>
                <w:p w14:paraId="7954C65C" w14:textId="77777777" w:rsidR="00F05DC7" w:rsidRPr="00B573A6" w:rsidRDefault="00F05DC7" w:rsidP="00A3786D">
                  <w:pPr>
                    <w:pStyle w:val="TableBodyText"/>
                    <w:rPr>
                      <w:rFonts w:cs="Arial"/>
                      <w:szCs w:val="18"/>
                    </w:rPr>
                  </w:pPr>
                  <w:r w:rsidRPr="00B573A6">
                    <w:rPr>
                      <w:rFonts w:cs="Arial"/>
                      <w:color w:val="000000"/>
                      <w:szCs w:val="18"/>
                    </w:rPr>
                    <w:t>0.92</w:t>
                  </w:r>
                </w:p>
              </w:tc>
              <w:tc>
                <w:tcPr>
                  <w:tcW w:w="556" w:type="pct"/>
                  <w:tcBorders>
                    <w:top w:val="nil"/>
                    <w:left w:val="nil"/>
                    <w:bottom w:val="nil"/>
                    <w:right w:val="nil"/>
                  </w:tcBorders>
                  <w:shd w:val="clear" w:color="auto" w:fill="auto"/>
                  <w:vAlign w:val="center"/>
                </w:tcPr>
                <w:p w14:paraId="7954C65D" w14:textId="77777777" w:rsidR="00F05DC7" w:rsidRPr="00B573A6" w:rsidRDefault="00F05DC7" w:rsidP="00A3786D">
                  <w:pPr>
                    <w:pStyle w:val="TableBodyText"/>
                    <w:rPr>
                      <w:rFonts w:cs="Arial"/>
                      <w:szCs w:val="18"/>
                    </w:rPr>
                  </w:pPr>
                  <w:r w:rsidRPr="00B573A6">
                    <w:rPr>
                      <w:rFonts w:cs="Arial"/>
                      <w:color w:val="000000"/>
                      <w:szCs w:val="18"/>
                    </w:rPr>
                    <w:t>1.10</w:t>
                  </w:r>
                </w:p>
              </w:tc>
              <w:tc>
                <w:tcPr>
                  <w:tcW w:w="556" w:type="pct"/>
                  <w:tcBorders>
                    <w:top w:val="nil"/>
                    <w:left w:val="nil"/>
                    <w:bottom w:val="nil"/>
                    <w:right w:val="nil"/>
                  </w:tcBorders>
                  <w:shd w:val="clear" w:color="auto" w:fill="auto"/>
                  <w:vAlign w:val="center"/>
                </w:tcPr>
                <w:p w14:paraId="7954C65E" w14:textId="77777777" w:rsidR="00F05DC7" w:rsidRPr="00B573A6" w:rsidRDefault="00F05DC7" w:rsidP="00A3786D">
                  <w:pPr>
                    <w:pStyle w:val="TableBodyText"/>
                    <w:rPr>
                      <w:rFonts w:cs="Arial"/>
                      <w:szCs w:val="18"/>
                    </w:rPr>
                  </w:pPr>
                  <w:r w:rsidRPr="00B573A6">
                    <w:rPr>
                      <w:rFonts w:cs="Arial"/>
                      <w:color w:val="000000"/>
                      <w:szCs w:val="18"/>
                    </w:rPr>
                    <w:t>0.73</w:t>
                  </w:r>
                </w:p>
              </w:tc>
              <w:tc>
                <w:tcPr>
                  <w:tcW w:w="555" w:type="pct"/>
                  <w:tcBorders>
                    <w:top w:val="nil"/>
                    <w:left w:val="nil"/>
                    <w:bottom w:val="nil"/>
                    <w:right w:val="nil"/>
                  </w:tcBorders>
                  <w:shd w:val="clear" w:color="auto" w:fill="auto"/>
                  <w:vAlign w:val="center"/>
                </w:tcPr>
                <w:p w14:paraId="7954C65F" w14:textId="77777777" w:rsidR="00F05DC7" w:rsidRPr="00B573A6" w:rsidRDefault="00F05DC7" w:rsidP="00A3786D">
                  <w:pPr>
                    <w:pStyle w:val="TableBodyText"/>
                    <w:rPr>
                      <w:rFonts w:cs="Arial"/>
                      <w:szCs w:val="18"/>
                    </w:rPr>
                  </w:pPr>
                  <w:r w:rsidRPr="00B573A6">
                    <w:rPr>
                      <w:rFonts w:cs="Arial"/>
                      <w:color w:val="000000"/>
                      <w:szCs w:val="18"/>
                    </w:rPr>
                    <w:t>1.38</w:t>
                  </w:r>
                </w:p>
              </w:tc>
              <w:tc>
                <w:tcPr>
                  <w:tcW w:w="555" w:type="pct"/>
                  <w:tcBorders>
                    <w:top w:val="nil"/>
                    <w:left w:val="nil"/>
                    <w:bottom w:val="nil"/>
                    <w:right w:val="nil"/>
                  </w:tcBorders>
                  <w:shd w:val="clear" w:color="auto" w:fill="auto"/>
                  <w:vAlign w:val="center"/>
                </w:tcPr>
                <w:p w14:paraId="7954C660" w14:textId="77777777" w:rsidR="00F05DC7" w:rsidRPr="00B573A6" w:rsidRDefault="00F05DC7" w:rsidP="00A3786D">
                  <w:pPr>
                    <w:pStyle w:val="TableBodyText"/>
                    <w:rPr>
                      <w:rFonts w:cs="Arial"/>
                      <w:szCs w:val="18"/>
                    </w:rPr>
                  </w:pPr>
                  <w:r w:rsidRPr="00B573A6">
                    <w:rPr>
                      <w:rFonts w:cs="Arial"/>
                      <w:color w:val="000000"/>
                      <w:szCs w:val="18"/>
                    </w:rPr>
                    <w:t>1.74</w:t>
                  </w:r>
                </w:p>
              </w:tc>
              <w:tc>
                <w:tcPr>
                  <w:tcW w:w="555" w:type="pct"/>
                  <w:tcBorders>
                    <w:top w:val="nil"/>
                    <w:left w:val="nil"/>
                    <w:bottom w:val="nil"/>
                    <w:right w:val="nil"/>
                  </w:tcBorders>
                  <w:shd w:val="clear" w:color="auto" w:fill="auto"/>
                  <w:vAlign w:val="center"/>
                </w:tcPr>
                <w:p w14:paraId="7954C661" w14:textId="77777777" w:rsidR="00F05DC7" w:rsidRPr="00B573A6" w:rsidRDefault="00F05DC7" w:rsidP="00A3786D">
                  <w:pPr>
                    <w:pStyle w:val="TableBodyText"/>
                    <w:rPr>
                      <w:rFonts w:cs="Arial"/>
                      <w:szCs w:val="18"/>
                    </w:rPr>
                  </w:pPr>
                  <w:r w:rsidRPr="00B573A6">
                    <w:rPr>
                      <w:rFonts w:cs="Arial"/>
                      <w:color w:val="000000"/>
                      <w:szCs w:val="18"/>
                    </w:rPr>
                    <w:t>1.12</w:t>
                  </w:r>
                </w:p>
              </w:tc>
              <w:tc>
                <w:tcPr>
                  <w:tcW w:w="553" w:type="pct"/>
                  <w:tcBorders>
                    <w:top w:val="nil"/>
                    <w:left w:val="nil"/>
                    <w:bottom w:val="nil"/>
                    <w:right w:val="nil"/>
                  </w:tcBorders>
                  <w:shd w:val="clear" w:color="auto" w:fill="auto"/>
                  <w:vAlign w:val="center"/>
                </w:tcPr>
                <w:p w14:paraId="7954C662" w14:textId="77777777" w:rsidR="00F05DC7" w:rsidRPr="00B573A6" w:rsidRDefault="00F05DC7" w:rsidP="00A3786D">
                  <w:pPr>
                    <w:pStyle w:val="TableBodyText"/>
                    <w:ind w:right="28"/>
                    <w:rPr>
                      <w:rFonts w:cs="Arial"/>
                      <w:szCs w:val="18"/>
                    </w:rPr>
                  </w:pPr>
                  <w:r w:rsidRPr="00B573A6">
                    <w:rPr>
                      <w:rFonts w:cs="Arial"/>
                      <w:color w:val="000000"/>
                      <w:szCs w:val="18"/>
                    </w:rPr>
                    <w:t>4.64</w:t>
                  </w:r>
                </w:p>
              </w:tc>
            </w:tr>
            <w:tr w:rsidR="00F05DC7" w:rsidRPr="00B573A6" w14:paraId="7954C66D" w14:textId="77777777" w:rsidTr="00A3786D">
              <w:tc>
                <w:tcPr>
                  <w:tcW w:w="556" w:type="pct"/>
                </w:tcPr>
                <w:p w14:paraId="7954C664" w14:textId="77777777" w:rsidR="00F05DC7" w:rsidRPr="00B573A6" w:rsidRDefault="00F05DC7" w:rsidP="00A3786D">
                  <w:pPr>
                    <w:pStyle w:val="TableBodyText"/>
                    <w:jc w:val="left"/>
                    <w:rPr>
                      <w:rFonts w:cs="Arial"/>
                      <w:szCs w:val="18"/>
                    </w:rPr>
                  </w:pPr>
                  <w:r w:rsidRPr="00B573A6">
                    <w:rPr>
                      <w:rFonts w:cs="Arial"/>
                      <w:szCs w:val="18"/>
                    </w:rPr>
                    <w:t>2022</w:t>
                  </w:r>
                  <w:r w:rsidRPr="00B573A6">
                    <w:rPr>
                      <w:rFonts w:cs="Arial"/>
                      <w:szCs w:val="18"/>
                    </w:rPr>
                    <w:noBreakHyphen/>
                    <w:t>23</w:t>
                  </w:r>
                </w:p>
              </w:tc>
              <w:tc>
                <w:tcPr>
                  <w:tcW w:w="557" w:type="pct"/>
                  <w:tcBorders>
                    <w:top w:val="nil"/>
                    <w:left w:val="nil"/>
                    <w:bottom w:val="nil"/>
                    <w:right w:val="nil"/>
                  </w:tcBorders>
                  <w:shd w:val="clear" w:color="auto" w:fill="auto"/>
                  <w:vAlign w:val="center"/>
                </w:tcPr>
                <w:p w14:paraId="7954C665" w14:textId="77777777" w:rsidR="00F05DC7" w:rsidRPr="00B573A6" w:rsidRDefault="00F05DC7" w:rsidP="00A3786D">
                  <w:pPr>
                    <w:pStyle w:val="TableBodyText"/>
                    <w:rPr>
                      <w:rFonts w:cs="Arial"/>
                      <w:szCs w:val="18"/>
                    </w:rPr>
                  </w:pPr>
                  <w:r w:rsidRPr="00B573A6">
                    <w:rPr>
                      <w:rFonts w:cs="Arial"/>
                      <w:color w:val="000000"/>
                      <w:szCs w:val="18"/>
                    </w:rPr>
                    <w:t>0.85</w:t>
                  </w:r>
                </w:p>
              </w:tc>
              <w:tc>
                <w:tcPr>
                  <w:tcW w:w="557" w:type="pct"/>
                  <w:tcBorders>
                    <w:top w:val="nil"/>
                    <w:left w:val="nil"/>
                    <w:bottom w:val="nil"/>
                    <w:right w:val="nil"/>
                  </w:tcBorders>
                  <w:shd w:val="clear" w:color="auto" w:fill="auto"/>
                  <w:vAlign w:val="center"/>
                </w:tcPr>
                <w:p w14:paraId="7954C666" w14:textId="77777777" w:rsidR="00F05DC7" w:rsidRPr="00B573A6" w:rsidRDefault="00F05DC7" w:rsidP="00A3786D">
                  <w:pPr>
                    <w:pStyle w:val="TableBodyText"/>
                    <w:rPr>
                      <w:rFonts w:cs="Arial"/>
                      <w:szCs w:val="18"/>
                    </w:rPr>
                  </w:pPr>
                  <w:r w:rsidRPr="00B573A6">
                    <w:rPr>
                      <w:rFonts w:cs="Arial"/>
                      <w:color w:val="000000"/>
                      <w:szCs w:val="18"/>
                    </w:rPr>
                    <w:t>0.91</w:t>
                  </w:r>
                </w:p>
              </w:tc>
              <w:tc>
                <w:tcPr>
                  <w:tcW w:w="556" w:type="pct"/>
                  <w:tcBorders>
                    <w:top w:val="nil"/>
                    <w:left w:val="nil"/>
                    <w:bottom w:val="nil"/>
                    <w:right w:val="nil"/>
                  </w:tcBorders>
                  <w:shd w:val="clear" w:color="auto" w:fill="auto"/>
                  <w:vAlign w:val="center"/>
                </w:tcPr>
                <w:p w14:paraId="7954C667" w14:textId="77777777" w:rsidR="00F05DC7" w:rsidRPr="00B573A6" w:rsidRDefault="00F05DC7" w:rsidP="00A3786D">
                  <w:pPr>
                    <w:pStyle w:val="TableBodyText"/>
                    <w:rPr>
                      <w:rFonts w:cs="Arial"/>
                      <w:szCs w:val="18"/>
                    </w:rPr>
                  </w:pPr>
                  <w:r w:rsidRPr="00B573A6">
                    <w:rPr>
                      <w:rFonts w:cs="Arial"/>
                      <w:color w:val="000000"/>
                      <w:szCs w:val="18"/>
                    </w:rPr>
                    <w:t>1.10</w:t>
                  </w:r>
                </w:p>
              </w:tc>
              <w:tc>
                <w:tcPr>
                  <w:tcW w:w="556" w:type="pct"/>
                  <w:tcBorders>
                    <w:top w:val="nil"/>
                    <w:left w:val="nil"/>
                    <w:bottom w:val="nil"/>
                    <w:right w:val="nil"/>
                  </w:tcBorders>
                  <w:shd w:val="clear" w:color="auto" w:fill="auto"/>
                  <w:vAlign w:val="center"/>
                </w:tcPr>
                <w:p w14:paraId="7954C668" w14:textId="77777777" w:rsidR="00F05DC7" w:rsidRPr="00B573A6" w:rsidRDefault="00F05DC7" w:rsidP="00A3786D">
                  <w:pPr>
                    <w:pStyle w:val="TableBodyText"/>
                    <w:rPr>
                      <w:rFonts w:cs="Arial"/>
                      <w:szCs w:val="18"/>
                    </w:rPr>
                  </w:pPr>
                  <w:r w:rsidRPr="00B573A6">
                    <w:rPr>
                      <w:rFonts w:cs="Arial"/>
                      <w:color w:val="000000"/>
                      <w:szCs w:val="18"/>
                    </w:rPr>
                    <w:t>0.78</w:t>
                  </w:r>
                </w:p>
              </w:tc>
              <w:tc>
                <w:tcPr>
                  <w:tcW w:w="555" w:type="pct"/>
                  <w:tcBorders>
                    <w:top w:val="nil"/>
                    <w:left w:val="nil"/>
                    <w:bottom w:val="nil"/>
                    <w:right w:val="nil"/>
                  </w:tcBorders>
                  <w:shd w:val="clear" w:color="auto" w:fill="auto"/>
                  <w:vAlign w:val="center"/>
                </w:tcPr>
                <w:p w14:paraId="7954C669" w14:textId="77777777" w:rsidR="00F05DC7" w:rsidRPr="00B573A6" w:rsidRDefault="00F05DC7" w:rsidP="00A3786D">
                  <w:pPr>
                    <w:pStyle w:val="TableBodyText"/>
                    <w:rPr>
                      <w:rFonts w:cs="Arial"/>
                      <w:szCs w:val="18"/>
                    </w:rPr>
                  </w:pPr>
                  <w:r w:rsidRPr="00B573A6">
                    <w:rPr>
                      <w:rFonts w:cs="Arial"/>
                      <w:color w:val="000000"/>
                      <w:szCs w:val="18"/>
                    </w:rPr>
                    <w:t>1.34</w:t>
                  </w:r>
                </w:p>
              </w:tc>
              <w:tc>
                <w:tcPr>
                  <w:tcW w:w="555" w:type="pct"/>
                  <w:tcBorders>
                    <w:top w:val="nil"/>
                    <w:left w:val="nil"/>
                    <w:bottom w:val="nil"/>
                    <w:right w:val="nil"/>
                  </w:tcBorders>
                  <w:shd w:val="clear" w:color="auto" w:fill="auto"/>
                  <w:vAlign w:val="center"/>
                </w:tcPr>
                <w:p w14:paraId="7954C66A" w14:textId="77777777" w:rsidR="00F05DC7" w:rsidRPr="00B573A6" w:rsidRDefault="00F05DC7" w:rsidP="00A3786D">
                  <w:pPr>
                    <w:pStyle w:val="TableBodyText"/>
                    <w:rPr>
                      <w:rFonts w:cs="Arial"/>
                      <w:szCs w:val="18"/>
                    </w:rPr>
                  </w:pPr>
                  <w:r w:rsidRPr="00B573A6">
                    <w:rPr>
                      <w:rFonts w:cs="Arial"/>
                      <w:color w:val="000000"/>
                      <w:szCs w:val="18"/>
                    </w:rPr>
                    <w:t>1.70</w:t>
                  </w:r>
                </w:p>
              </w:tc>
              <w:tc>
                <w:tcPr>
                  <w:tcW w:w="555" w:type="pct"/>
                  <w:tcBorders>
                    <w:top w:val="nil"/>
                    <w:left w:val="nil"/>
                    <w:bottom w:val="nil"/>
                    <w:right w:val="nil"/>
                  </w:tcBorders>
                  <w:shd w:val="clear" w:color="auto" w:fill="auto"/>
                  <w:vAlign w:val="center"/>
                </w:tcPr>
                <w:p w14:paraId="7954C66B" w14:textId="77777777" w:rsidR="00F05DC7" w:rsidRPr="00B573A6" w:rsidRDefault="00F05DC7" w:rsidP="00A3786D">
                  <w:pPr>
                    <w:pStyle w:val="TableBodyText"/>
                    <w:rPr>
                      <w:rFonts w:cs="Arial"/>
                      <w:szCs w:val="18"/>
                    </w:rPr>
                  </w:pPr>
                  <w:r w:rsidRPr="00B573A6">
                    <w:rPr>
                      <w:rFonts w:cs="Arial"/>
                      <w:color w:val="000000"/>
                      <w:szCs w:val="18"/>
                    </w:rPr>
                    <w:t>1.10</w:t>
                  </w:r>
                </w:p>
              </w:tc>
              <w:tc>
                <w:tcPr>
                  <w:tcW w:w="553" w:type="pct"/>
                  <w:tcBorders>
                    <w:top w:val="nil"/>
                    <w:left w:val="nil"/>
                    <w:bottom w:val="nil"/>
                    <w:right w:val="nil"/>
                  </w:tcBorders>
                  <w:shd w:val="clear" w:color="auto" w:fill="auto"/>
                  <w:vAlign w:val="center"/>
                </w:tcPr>
                <w:p w14:paraId="7954C66C" w14:textId="77777777" w:rsidR="00F05DC7" w:rsidRPr="00B573A6" w:rsidRDefault="00F05DC7" w:rsidP="00A3786D">
                  <w:pPr>
                    <w:pStyle w:val="TableBodyText"/>
                    <w:ind w:right="28"/>
                    <w:rPr>
                      <w:rFonts w:cs="Arial"/>
                      <w:szCs w:val="18"/>
                    </w:rPr>
                  </w:pPr>
                  <w:r w:rsidRPr="00B573A6">
                    <w:rPr>
                      <w:rFonts w:cs="Arial"/>
                      <w:color w:val="000000"/>
                      <w:szCs w:val="18"/>
                    </w:rPr>
                    <w:t>4.80</w:t>
                  </w:r>
                </w:p>
              </w:tc>
            </w:tr>
            <w:tr w:rsidR="00F05DC7" w:rsidRPr="00B573A6" w14:paraId="7954C677" w14:textId="77777777" w:rsidTr="00A3786D">
              <w:tc>
                <w:tcPr>
                  <w:tcW w:w="556" w:type="pct"/>
                </w:tcPr>
                <w:p w14:paraId="7954C66E" w14:textId="77777777" w:rsidR="00F05DC7" w:rsidRPr="00B573A6" w:rsidRDefault="00F05DC7" w:rsidP="00A3786D">
                  <w:pPr>
                    <w:pStyle w:val="TableBodyText"/>
                    <w:jc w:val="left"/>
                    <w:rPr>
                      <w:rFonts w:cs="Arial"/>
                      <w:szCs w:val="18"/>
                    </w:rPr>
                  </w:pPr>
                  <w:r w:rsidRPr="00B573A6">
                    <w:rPr>
                      <w:rFonts w:cs="Arial"/>
                      <w:szCs w:val="18"/>
                    </w:rPr>
                    <w:t>2023</w:t>
                  </w:r>
                  <w:r w:rsidRPr="00B573A6">
                    <w:rPr>
                      <w:rFonts w:cs="Arial"/>
                      <w:szCs w:val="18"/>
                    </w:rPr>
                    <w:noBreakHyphen/>
                    <w:t>24</w:t>
                  </w:r>
                </w:p>
              </w:tc>
              <w:tc>
                <w:tcPr>
                  <w:tcW w:w="557" w:type="pct"/>
                  <w:tcBorders>
                    <w:top w:val="nil"/>
                    <w:left w:val="nil"/>
                    <w:bottom w:val="nil"/>
                    <w:right w:val="nil"/>
                  </w:tcBorders>
                  <w:shd w:val="clear" w:color="auto" w:fill="auto"/>
                  <w:vAlign w:val="center"/>
                </w:tcPr>
                <w:p w14:paraId="7954C66F" w14:textId="77777777" w:rsidR="00F05DC7" w:rsidRPr="00B573A6" w:rsidRDefault="00F05DC7" w:rsidP="00A3786D">
                  <w:pPr>
                    <w:pStyle w:val="TableBodyText"/>
                    <w:rPr>
                      <w:rFonts w:cs="Arial"/>
                      <w:szCs w:val="18"/>
                    </w:rPr>
                  </w:pPr>
                  <w:r w:rsidRPr="00B573A6">
                    <w:rPr>
                      <w:rFonts w:cs="Arial"/>
                      <w:color w:val="000000"/>
                      <w:szCs w:val="18"/>
                    </w:rPr>
                    <w:t>0.86</w:t>
                  </w:r>
                </w:p>
              </w:tc>
              <w:tc>
                <w:tcPr>
                  <w:tcW w:w="557" w:type="pct"/>
                  <w:tcBorders>
                    <w:top w:val="nil"/>
                    <w:left w:val="nil"/>
                    <w:bottom w:val="nil"/>
                    <w:right w:val="nil"/>
                  </w:tcBorders>
                  <w:shd w:val="clear" w:color="auto" w:fill="auto"/>
                  <w:vAlign w:val="center"/>
                </w:tcPr>
                <w:p w14:paraId="7954C670" w14:textId="77777777" w:rsidR="00F05DC7" w:rsidRPr="00B573A6" w:rsidRDefault="00F05DC7" w:rsidP="00A3786D">
                  <w:pPr>
                    <w:pStyle w:val="TableBodyText"/>
                    <w:rPr>
                      <w:rFonts w:cs="Arial"/>
                      <w:szCs w:val="18"/>
                    </w:rPr>
                  </w:pPr>
                  <w:r w:rsidRPr="00B573A6">
                    <w:rPr>
                      <w:rFonts w:cs="Arial"/>
                      <w:color w:val="000000"/>
                      <w:szCs w:val="18"/>
                    </w:rPr>
                    <w:t>0.91</w:t>
                  </w:r>
                </w:p>
              </w:tc>
              <w:tc>
                <w:tcPr>
                  <w:tcW w:w="556" w:type="pct"/>
                  <w:tcBorders>
                    <w:top w:val="nil"/>
                    <w:left w:val="nil"/>
                    <w:bottom w:val="nil"/>
                    <w:right w:val="nil"/>
                  </w:tcBorders>
                  <w:shd w:val="clear" w:color="auto" w:fill="auto"/>
                  <w:vAlign w:val="center"/>
                </w:tcPr>
                <w:p w14:paraId="7954C671" w14:textId="77777777" w:rsidR="00F05DC7" w:rsidRPr="00B573A6" w:rsidRDefault="00F05DC7" w:rsidP="00A3786D">
                  <w:pPr>
                    <w:pStyle w:val="TableBodyText"/>
                    <w:rPr>
                      <w:rFonts w:cs="Arial"/>
                      <w:szCs w:val="18"/>
                    </w:rPr>
                  </w:pPr>
                  <w:r w:rsidRPr="00B573A6">
                    <w:rPr>
                      <w:rFonts w:cs="Arial"/>
                      <w:color w:val="000000"/>
                      <w:szCs w:val="18"/>
                    </w:rPr>
                    <w:t>1.07</w:t>
                  </w:r>
                </w:p>
              </w:tc>
              <w:tc>
                <w:tcPr>
                  <w:tcW w:w="556" w:type="pct"/>
                  <w:tcBorders>
                    <w:top w:val="nil"/>
                    <w:left w:val="nil"/>
                    <w:bottom w:val="nil"/>
                    <w:right w:val="nil"/>
                  </w:tcBorders>
                  <w:shd w:val="clear" w:color="auto" w:fill="auto"/>
                  <w:vAlign w:val="center"/>
                </w:tcPr>
                <w:p w14:paraId="7954C672" w14:textId="77777777" w:rsidR="00F05DC7" w:rsidRPr="00B573A6" w:rsidRDefault="00F05DC7" w:rsidP="00A3786D">
                  <w:pPr>
                    <w:pStyle w:val="TableBodyText"/>
                    <w:rPr>
                      <w:rFonts w:cs="Arial"/>
                      <w:szCs w:val="18"/>
                    </w:rPr>
                  </w:pPr>
                  <w:r w:rsidRPr="00B573A6">
                    <w:rPr>
                      <w:rFonts w:cs="Arial"/>
                      <w:color w:val="000000"/>
                      <w:szCs w:val="18"/>
                    </w:rPr>
                    <w:t>0.82</w:t>
                  </w:r>
                </w:p>
              </w:tc>
              <w:tc>
                <w:tcPr>
                  <w:tcW w:w="555" w:type="pct"/>
                  <w:tcBorders>
                    <w:top w:val="nil"/>
                    <w:left w:val="nil"/>
                    <w:bottom w:val="nil"/>
                    <w:right w:val="nil"/>
                  </w:tcBorders>
                  <w:shd w:val="clear" w:color="auto" w:fill="auto"/>
                  <w:vAlign w:val="center"/>
                </w:tcPr>
                <w:p w14:paraId="7954C673" w14:textId="77777777" w:rsidR="00F05DC7" w:rsidRPr="00B573A6" w:rsidRDefault="00F05DC7" w:rsidP="00A3786D">
                  <w:pPr>
                    <w:pStyle w:val="TableBodyText"/>
                    <w:rPr>
                      <w:rFonts w:cs="Arial"/>
                      <w:szCs w:val="18"/>
                    </w:rPr>
                  </w:pPr>
                  <w:r w:rsidRPr="00B573A6">
                    <w:rPr>
                      <w:rFonts w:cs="Arial"/>
                      <w:color w:val="000000"/>
                      <w:szCs w:val="18"/>
                    </w:rPr>
                    <w:t>1.33</w:t>
                  </w:r>
                </w:p>
              </w:tc>
              <w:tc>
                <w:tcPr>
                  <w:tcW w:w="555" w:type="pct"/>
                  <w:tcBorders>
                    <w:top w:val="nil"/>
                    <w:left w:val="nil"/>
                    <w:bottom w:val="nil"/>
                    <w:right w:val="nil"/>
                  </w:tcBorders>
                  <w:shd w:val="clear" w:color="auto" w:fill="auto"/>
                  <w:vAlign w:val="center"/>
                </w:tcPr>
                <w:p w14:paraId="7954C674" w14:textId="77777777" w:rsidR="00F05DC7" w:rsidRPr="00B573A6" w:rsidRDefault="00F05DC7" w:rsidP="00A3786D">
                  <w:pPr>
                    <w:pStyle w:val="TableBodyText"/>
                    <w:rPr>
                      <w:rFonts w:cs="Arial"/>
                      <w:szCs w:val="18"/>
                    </w:rPr>
                  </w:pPr>
                  <w:r w:rsidRPr="00B573A6">
                    <w:rPr>
                      <w:rFonts w:cs="Arial"/>
                      <w:color w:val="000000"/>
                      <w:szCs w:val="18"/>
                    </w:rPr>
                    <w:t>1.69</w:t>
                  </w:r>
                </w:p>
              </w:tc>
              <w:tc>
                <w:tcPr>
                  <w:tcW w:w="555" w:type="pct"/>
                  <w:tcBorders>
                    <w:top w:val="nil"/>
                    <w:left w:val="nil"/>
                    <w:bottom w:val="nil"/>
                    <w:right w:val="nil"/>
                  </w:tcBorders>
                  <w:shd w:val="clear" w:color="auto" w:fill="auto"/>
                  <w:vAlign w:val="center"/>
                </w:tcPr>
                <w:p w14:paraId="7954C675" w14:textId="77777777" w:rsidR="00F05DC7" w:rsidRPr="00B573A6" w:rsidRDefault="00F05DC7" w:rsidP="00A3786D">
                  <w:pPr>
                    <w:pStyle w:val="TableBodyText"/>
                    <w:rPr>
                      <w:rFonts w:cs="Arial"/>
                      <w:szCs w:val="18"/>
                    </w:rPr>
                  </w:pPr>
                  <w:r w:rsidRPr="00B573A6">
                    <w:rPr>
                      <w:rFonts w:cs="Arial"/>
                      <w:color w:val="000000"/>
                      <w:szCs w:val="18"/>
                    </w:rPr>
                    <w:t>1.09</w:t>
                  </w:r>
                </w:p>
              </w:tc>
              <w:tc>
                <w:tcPr>
                  <w:tcW w:w="553" w:type="pct"/>
                  <w:tcBorders>
                    <w:top w:val="nil"/>
                    <w:left w:val="nil"/>
                    <w:bottom w:val="nil"/>
                    <w:right w:val="nil"/>
                  </w:tcBorders>
                  <w:shd w:val="clear" w:color="auto" w:fill="auto"/>
                  <w:vAlign w:val="center"/>
                </w:tcPr>
                <w:p w14:paraId="7954C676" w14:textId="77777777" w:rsidR="00F05DC7" w:rsidRPr="00B573A6" w:rsidRDefault="00F05DC7" w:rsidP="00A3786D">
                  <w:pPr>
                    <w:pStyle w:val="TableBodyText"/>
                    <w:ind w:right="28"/>
                    <w:rPr>
                      <w:rFonts w:cs="Arial"/>
                      <w:szCs w:val="18"/>
                    </w:rPr>
                  </w:pPr>
                  <w:r w:rsidRPr="00B573A6">
                    <w:rPr>
                      <w:rFonts w:cs="Arial"/>
                      <w:color w:val="000000"/>
                      <w:szCs w:val="18"/>
                    </w:rPr>
                    <w:t>4.81</w:t>
                  </w:r>
                </w:p>
              </w:tc>
            </w:tr>
            <w:tr w:rsidR="00F05DC7" w:rsidRPr="00B573A6" w14:paraId="7954C681" w14:textId="77777777" w:rsidTr="00A3786D">
              <w:tc>
                <w:tcPr>
                  <w:tcW w:w="556" w:type="pct"/>
                </w:tcPr>
                <w:p w14:paraId="7954C678" w14:textId="77777777" w:rsidR="00F05DC7" w:rsidRPr="00B573A6" w:rsidRDefault="00F05DC7" w:rsidP="00A3786D">
                  <w:pPr>
                    <w:pStyle w:val="TableBodyText"/>
                    <w:jc w:val="left"/>
                    <w:rPr>
                      <w:rFonts w:cs="Arial"/>
                      <w:szCs w:val="18"/>
                    </w:rPr>
                  </w:pPr>
                  <w:r w:rsidRPr="00B573A6">
                    <w:rPr>
                      <w:rFonts w:cs="Arial"/>
                      <w:szCs w:val="18"/>
                    </w:rPr>
                    <w:t>2024</w:t>
                  </w:r>
                  <w:r w:rsidRPr="00B573A6">
                    <w:rPr>
                      <w:rFonts w:cs="Arial"/>
                      <w:szCs w:val="18"/>
                    </w:rPr>
                    <w:noBreakHyphen/>
                    <w:t>25</w:t>
                  </w:r>
                </w:p>
              </w:tc>
              <w:tc>
                <w:tcPr>
                  <w:tcW w:w="557" w:type="pct"/>
                  <w:tcBorders>
                    <w:top w:val="nil"/>
                    <w:left w:val="nil"/>
                    <w:bottom w:val="nil"/>
                    <w:right w:val="nil"/>
                  </w:tcBorders>
                  <w:shd w:val="clear" w:color="auto" w:fill="auto"/>
                  <w:vAlign w:val="center"/>
                </w:tcPr>
                <w:p w14:paraId="7954C679" w14:textId="77777777" w:rsidR="00F05DC7" w:rsidRPr="00B573A6" w:rsidRDefault="00F05DC7" w:rsidP="00A3786D">
                  <w:pPr>
                    <w:pStyle w:val="TableBodyText"/>
                    <w:rPr>
                      <w:rFonts w:cs="Arial"/>
                      <w:szCs w:val="18"/>
                    </w:rPr>
                  </w:pPr>
                  <w:r w:rsidRPr="00B573A6">
                    <w:rPr>
                      <w:rFonts w:cs="Arial"/>
                      <w:color w:val="000000"/>
                      <w:szCs w:val="18"/>
                    </w:rPr>
                    <w:t>0.88</w:t>
                  </w:r>
                </w:p>
              </w:tc>
              <w:tc>
                <w:tcPr>
                  <w:tcW w:w="557" w:type="pct"/>
                  <w:tcBorders>
                    <w:top w:val="nil"/>
                    <w:left w:val="nil"/>
                    <w:bottom w:val="nil"/>
                    <w:right w:val="nil"/>
                  </w:tcBorders>
                  <w:shd w:val="clear" w:color="auto" w:fill="auto"/>
                  <w:vAlign w:val="center"/>
                </w:tcPr>
                <w:p w14:paraId="7954C67A" w14:textId="77777777" w:rsidR="00F05DC7" w:rsidRPr="00B573A6" w:rsidRDefault="00F05DC7" w:rsidP="00A3786D">
                  <w:pPr>
                    <w:pStyle w:val="TableBodyText"/>
                    <w:rPr>
                      <w:rFonts w:cs="Arial"/>
                      <w:szCs w:val="18"/>
                    </w:rPr>
                  </w:pPr>
                  <w:r w:rsidRPr="00B573A6">
                    <w:rPr>
                      <w:rFonts w:cs="Arial"/>
                      <w:color w:val="000000"/>
                      <w:szCs w:val="18"/>
                    </w:rPr>
                    <w:t>0.90</w:t>
                  </w:r>
                </w:p>
              </w:tc>
              <w:tc>
                <w:tcPr>
                  <w:tcW w:w="556" w:type="pct"/>
                  <w:tcBorders>
                    <w:top w:val="nil"/>
                    <w:left w:val="nil"/>
                    <w:bottom w:val="nil"/>
                    <w:right w:val="nil"/>
                  </w:tcBorders>
                  <w:shd w:val="clear" w:color="auto" w:fill="auto"/>
                  <w:vAlign w:val="center"/>
                </w:tcPr>
                <w:p w14:paraId="7954C67B" w14:textId="77777777" w:rsidR="00F05DC7" w:rsidRPr="00B573A6" w:rsidRDefault="00F05DC7" w:rsidP="00A3786D">
                  <w:pPr>
                    <w:pStyle w:val="TableBodyText"/>
                    <w:rPr>
                      <w:rFonts w:cs="Arial"/>
                      <w:szCs w:val="18"/>
                    </w:rPr>
                  </w:pPr>
                  <w:r w:rsidRPr="00B573A6">
                    <w:rPr>
                      <w:rFonts w:cs="Arial"/>
                      <w:color w:val="000000"/>
                      <w:szCs w:val="18"/>
                    </w:rPr>
                    <w:t>1.05</w:t>
                  </w:r>
                </w:p>
              </w:tc>
              <w:tc>
                <w:tcPr>
                  <w:tcW w:w="556" w:type="pct"/>
                  <w:tcBorders>
                    <w:top w:val="nil"/>
                    <w:left w:val="nil"/>
                    <w:bottom w:val="nil"/>
                    <w:right w:val="nil"/>
                  </w:tcBorders>
                  <w:shd w:val="clear" w:color="auto" w:fill="auto"/>
                  <w:vAlign w:val="center"/>
                </w:tcPr>
                <w:p w14:paraId="7954C67C" w14:textId="77777777" w:rsidR="00F05DC7" w:rsidRPr="00B573A6" w:rsidRDefault="00F05DC7" w:rsidP="00A3786D">
                  <w:pPr>
                    <w:pStyle w:val="TableBodyText"/>
                    <w:rPr>
                      <w:rFonts w:cs="Arial"/>
                      <w:szCs w:val="18"/>
                    </w:rPr>
                  </w:pPr>
                  <w:r w:rsidRPr="00B573A6">
                    <w:rPr>
                      <w:rFonts w:cs="Arial"/>
                      <w:color w:val="000000"/>
                      <w:szCs w:val="18"/>
                    </w:rPr>
                    <w:t>0.85</w:t>
                  </w:r>
                </w:p>
              </w:tc>
              <w:tc>
                <w:tcPr>
                  <w:tcW w:w="555" w:type="pct"/>
                  <w:tcBorders>
                    <w:top w:val="nil"/>
                    <w:left w:val="nil"/>
                    <w:bottom w:val="nil"/>
                    <w:right w:val="nil"/>
                  </w:tcBorders>
                  <w:shd w:val="clear" w:color="auto" w:fill="auto"/>
                  <w:vAlign w:val="center"/>
                </w:tcPr>
                <w:p w14:paraId="7954C67D" w14:textId="77777777" w:rsidR="00F05DC7" w:rsidRPr="00B573A6" w:rsidRDefault="00F05DC7" w:rsidP="00A3786D">
                  <w:pPr>
                    <w:pStyle w:val="TableBodyText"/>
                    <w:rPr>
                      <w:rFonts w:cs="Arial"/>
                      <w:szCs w:val="18"/>
                    </w:rPr>
                  </w:pPr>
                  <w:r w:rsidRPr="00B573A6">
                    <w:rPr>
                      <w:rFonts w:cs="Arial"/>
                      <w:color w:val="000000"/>
                      <w:szCs w:val="18"/>
                    </w:rPr>
                    <w:t>1.32</w:t>
                  </w:r>
                </w:p>
              </w:tc>
              <w:tc>
                <w:tcPr>
                  <w:tcW w:w="555" w:type="pct"/>
                  <w:tcBorders>
                    <w:top w:val="nil"/>
                    <w:left w:val="nil"/>
                    <w:bottom w:val="nil"/>
                    <w:right w:val="nil"/>
                  </w:tcBorders>
                  <w:shd w:val="clear" w:color="auto" w:fill="auto"/>
                  <w:vAlign w:val="center"/>
                </w:tcPr>
                <w:p w14:paraId="7954C67E" w14:textId="77777777" w:rsidR="00F05DC7" w:rsidRPr="00B573A6" w:rsidRDefault="00F05DC7" w:rsidP="00A3786D">
                  <w:pPr>
                    <w:pStyle w:val="TableBodyText"/>
                    <w:rPr>
                      <w:rFonts w:cs="Arial"/>
                      <w:szCs w:val="18"/>
                    </w:rPr>
                  </w:pPr>
                  <w:r w:rsidRPr="00B573A6">
                    <w:rPr>
                      <w:rFonts w:cs="Arial"/>
                      <w:color w:val="000000"/>
                      <w:szCs w:val="18"/>
                    </w:rPr>
                    <w:t>1.68</w:t>
                  </w:r>
                </w:p>
              </w:tc>
              <w:tc>
                <w:tcPr>
                  <w:tcW w:w="555" w:type="pct"/>
                  <w:tcBorders>
                    <w:top w:val="nil"/>
                    <w:left w:val="nil"/>
                    <w:bottom w:val="nil"/>
                    <w:right w:val="nil"/>
                  </w:tcBorders>
                  <w:shd w:val="clear" w:color="auto" w:fill="auto"/>
                  <w:vAlign w:val="center"/>
                </w:tcPr>
                <w:p w14:paraId="7954C67F" w14:textId="77777777" w:rsidR="00F05DC7" w:rsidRPr="00B573A6" w:rsidRDefault="00F05DC7" w:rsidP="00A3786D">
                  <w:pPr>
                    <w:pStyle w:val="TableBodyText"/>
                    <w:rPr>
                      <w:rFonts w:cs="Arial"/>
                      <w:szCs w:val="18"/>
                    </w:rPr>
                  </w:pPr>
                  <w:r w:rsidRPr="00B573A6">
                    <w:rPr>
                      <w:rFonts w:cs="Arial"/>
                      <w:color w:val="000000"/>
                      <w:szCs w:val="18"/>
                    </w:rPr>
                    <w:t>1.09</w:t>
                  </w:r>
                </w:p>
              </w:tc>
              <w:tc>
                <w:tcPr>
                  <w:tcW w:w="553" w:type="pct"/>
                  <w:tcBorders>
                    <w:top w:val="nil"/>
                    <w:left w:val="nil"/>
                    <w:bottom w:val="nil"/>
                    <w:right w:val="nil"/>
                  </w:tcBorders>
                  <w:shd w:val="clear" w:color="auto" w:fill="auto"/>
                  <w:vAlign w:val="center"/>
                </w:tcPr>
                <w:p w14:paraId="7954C680" w14:textId="77777777" w:rsidR="00F05DC7" w:rsidRPr="00B573A6" w:rsidRDefault="00F05DC7" w:rsidP="00A3786D">
                  <w:pPr>
                    <w:pStyle w:val="TableBodyText"/>
                    <w:ind w:right="28"/>
                    <w:rPr>
                      <w:rFonts w:cs="Arial"/>
                      <w:szCs w:val="18"/>
                    </w:rPr>
                  </w:pPr>
                  <w:r w:rsidRPr="00B573A6">
                    <w:rPr>
                      <w:rFonts w:cs="Arial"/>
                      <w:color w:val="000000"/>
                      <w:szCs w:val="18"/>
                    </w:rPr>
                    <w:t>4.82</w:t>
                  </w:r>
                </w:p>
              </w:tc>
            </w:tr>
            <w:tr w:rsidR="00F05DC7" w:rsidRPr="00B573A6" w14:paraId="7954C68B" w14:textId="77777777" w:rsidTr="00A3786D">
              <w:tc>
                <w:tcPr>
                  <w:tcW w:w="556" w:type="pct"/>
                </w:tcPr>
                <w:p w14:paraId="7954C682" w14:textId="77777777" w:rsidR="00F05DC7" w:rsidRPr="00B573A6" w:rsidRDefault="00F05DC7" w:rsidP="00A3786D">
                  <w:pPr>
                    <w:pStyle w:val="TableBodyText"/>
                    <w:jc w:val="left"/>
                    <w:rPr>
                      <w:rFonts w:cs="Arial"/>
                      <w:szCs w:val="18"/>
                    </w:rPr>
                  </w:pPr>
                  <w:r w:rsidRPr="00B573A6">
                    <w:rPr>
                      <w:rFonts w:cs="Arial"/>
                      <w:szCs w:val="18"/>
                    </w:rPr>
                    <w:t>2025</w:t>
                  </w:r>
                  <w:r w:rsidRPr="00B573A6">
                    <w:rPr>
                      <w:rFonts w:cs="Arial"/>
                      <w:szCs w:val="18"/>
                    </w:rPr>
                    <w:noBreakHyphen/>
                    <w:t>26</w:t>
                  </w:r>
                </w:p>
              </w:tc>
              <w:tc>
                <w:tcPr>
                  <w:tcW w:w="557" w:type="pct"/>
                  <w:tcBorders>
                    <w:top w:val="nil"/>
                    <w:left w:val="nil"/>
                    <w:bottom w:val="nil"/>
                    <w:right w:val="nil"/>
                  </w:tcBorders>
                  <w:shd w:val="clear" w:color="auto" w:fill="auto"/>
                  <w:vAlign w:val="center"/>
                </w:tcPr>
                <w:p w14:paraId="7954C683" w14:textId="77777777" w:rsidR="00F05DC7" w:rsidRPr="00B573A6" w:rsidRDefault="00F05DC7" w:rsidP="00A3786D">
                  <w:pPr>
                    <w:pStyle w:val="TableBodyText"/>
                    <w:rPr>
                      <w:rFonts w:cs="Arial"/>
                      <w:szCs w:val="18"/>
                    </w:rPr>
                  </w:pPr>
                  <w:r w:rsidRPr="00B573A6">
                    <w:rPr>
                      <w:rFonts w:cs="Arial"/>
                      <w:color w:val="000000"/>
                      <w:szCs w:val="18"/>
                    </w:rPr>
                    <w:t>0.89</w:t>
                  </w:r>
                </w:p>
              </w:tc>
              <w:tc>
                <w:tcPr>
                  <w:tcW w:w="557" w:type="pct"/>
                  <w:tcBorders>
                    <w:top w:val="nil"/>
                    <w:left w:val="nil"/>
                    <w:bottom w:val="nil"/>
                    <w:right w:val="nil"/>
                  </w:tcBorders>
                  <w:shd w:val="clear" w:color="auto" w:fill="auto"/>
                  <w:vAlign w:val="center"/>
                </w:tcPr>
                <w:p w14:paraId="7954C684" w14:textId="77777777" w:rsidR="00F05DC7" w:rsidRPr="00B573A6" w:rsidRDefault="00F05DC7" w:rsidP="00A3786D">
                  <w:pPr>
                    <w:pStyle w:val="TableBodyText"/>
                    <w:rPr>
                      <w:rFonts w:cs="Arial"/>
                      <w:szCs w:val="18"/>
                    </w:rPr>
                  </w:pPr>
                  <w:r w:rsidRPr="00B573A6">
                    <w:rPr>
                      <w:rFonts w:cs="Arial"/>
                      <w:color w:val="000000"/>
                      <w:szCs w:val="18"/>
                    </w:rPr>
                    <w:t>0.90</w:t>
                  </w:r>
                </w:p>
              </w:tc>
              <w:tc>
                <w:tcPr>
                  <w:tcW w:w="556" w:type="pct"/>
                  <w:tcBorders>
                    <w:top w:val="nil"/>
                    <w:left w:val="nil"/>
                    <w:bottom w:val="nil"/>
                    <w:right w:val="nil"/>
                  </w:tcBorders>
                  <w:shd w:val="clear" w:color="auto" w:fill="auto"/>
                  <w:vAlign w:val="center"/>
                </w:tcPr>
                <w:p w14:paraId="7954C685" w14:textId="77777777" w:rsidR="00F05DC7" w:rsidRPr="00B573A6" w:rsidRDefault="00F05DC7" w:rsidP="00A3786D">
                  <w:pPr>
                    <w:pStyle w:val="TableBodyText"/>
                    <w:rPr>
                      <w:rFonts w:cs="Arial"/>
                      <w:szCs w:val="18"/>
                    </w:rPr>
                  </w:pPr>
                  <w:r w:rsidRPr="00B573A6">
                    <w:rPr>
                      <w:rFonts w:cs="Arial"/>
                      <w:color w:val="000000"/>
                      <w:szCs w:val="18"/>
                    </w:rPr>
                    <w:t>1.03</w:t>
                  </w:r>
                </w:p>
              </w:tc>
              <w:tc>
                <w:tcPr>
                  <w:tcW w:w="556" w:type="pct"/>
                  <w:tcBorders>
                    <w:top w:val="nil"/>
                    <w:left w:val="nil"/>
                    <w:bottom w:val="nil"/>
                    <w:right w:val="nil"/>
                  </w:tcBorders>
                  <w:shd w:val="clear" w:color="auto" w:fill="auto"/>
                  <w:vAlign w:val="center"/>
                </w:tcPr>
                <w:p w14:paraId="7954C686" w14:textId="77777777" w:rsidR="00F05DC7" w:rsidRPr="00B573A6" w:rsidRDefault="00F05DC7" w:rsidP="00A3786D">
                  <w:pPr>
                    <w:pStyle w:val="TableBodyText"/>
                    <w:rPr>
                      <w:rFonts w:cs="Arial"/>
                      <w:szCs w:val="18"/>
                    </w:rPr>
                  </w:pPr>
                  <w:r w:rsidRPr="00B573A6">
                    <w:rPr>
                      <w:rFonts w:cs="Arial"/>
                      <w:color w:val="000000"/>
                      <w:szCs w:val="18"/>
                    </w:rPr>
                    <w:t>0.88</w:t>
                  </w:r>
                </w:p>
              </w:tc>
              <w:tc>
                <w:tcPr>
                  <w:tcW w:w="555" w:type="pct"/>
                  <w:tcBorders>
                    <w:top w:val="nil"/>
                    <w:left w:val="nil"/>
                    <w:bottom w:val="nil"/>
                    <w:right w:val="nil"/>
                  </w:tcBorders>
                  <w:shd w:val="clear" w:color="auto" w:fill="auto"/>
                  <w:vAlign w:val="center"/>
                </w:tcPr>
                <w:p w14:paraId="7954C687" w14:textId="77777777" w:rsidR="00F05DC7" w:rsidRPr="00B573A6" w:rsidRDefault="00F05DC7" w:rsidP="00A3786D">
                  <w:pPr>
                    <w:pStyle w:val="TableBodyText"/>
                    <w:rPr>
                      <w:rFonts w:cs="Arial"/>
                      <w:szCs w:val="18"/>
                    </w:rPr>
                  </w:pPr>
                  <w:r w:rsidRPr="00B573A6">
                    <w:rPr>
                      <w:rFonts w:cs="Arial"/>
                      <w:color w:val="000000"/>
                      <w:szCs w:val="18"/>
                    </w:rPr>
                    <w:t>1.30</w:t>
                  </w:r>
                </w:p>
              </w:tc>
              <w:tc>
                <w:tcPr>
                  <w:tcW w:w="555" w:type="pct"/>
                  <w:tcBorders>
                    <w:top w:val="nil"/>
                    <w:left w:val="nil"/>
                    <w:bottom w:val="nil"/>
                    <w:right w:val="nil"/>
                  </w:tcBorders>
                  <w:shd w:val="clear" w:color="auto" w:fill="auto"/>
                  <w:vAlign w:val="center"/>
                </w:tcPr>
                <w:p w14:paraId="7954C688" w14:textId="77777777" w:rsidR="00F05DC7" w:rsidRPr="00B573A6" w:rsidRDefault="00F05DC7" w:rsidP="00A3786D">
                  <w:pPr>
                    <w:pStyle w:val="TableBodyText"/>
                    <w:rPr>
                      <w:rFonts w:cs="Arial"/>
                      <w:szCs w:val="18"/>
                    </w:rPr>
                  </w:pPr>
                  <w:r w:rsidRPr="00B573A6">
                    <w:rPr>
                      <w:rFonts w:cs="Arial"/>
                      <w:color w:val="000000"/>
                      <w:szCs w:val="18"/>
                    </w:rPr>
                    <w:t>1.67</w:t>
                  </w:r>
                </w:p>
              </w:tc>
              <w:tc>
                <w:tcPr>
                  <w:tcW w:w="555" w:type="pct"/>
                  <w:tcBorders>
                    <w:top w:val="nil"/>
                    <w:left w:val="nil"/>
                    <w:bottom w:val="nil"/>
                    <w:right w:val="nil"/>
                  </w:tcBorders>
                  <w:shd w:val="clear" w:color="auto" w:fill="auto"/>
                  <w:vAlign w:val="center"/>
                </w:tcPr>
                <w:p w14:paraId="7954C689" w14:textId="77777777" w:rsidR="00F05DC7" w:rsidRPr="00B573A6" w:rsidRDefault="00F05DC7" w:rsidP="00A3786D">
                  <w:pPr>
                    <w:pStyle w:val="TableBodyText"/>
                    <w:rPr>
                      <w:rFonts w:cs="Arial"/>
                      <w:szCs w:val="18"/>
                    </w:rPr>
                  </w:pPr>
                  <w:r w:rsidRPr="00B573A6">
                    <w:rPr>
                      <w:rFonts w:cs="Arial"/>
                      <w:color w:val="000000"/>
                      <w:szCs w:val="18"/>
                    </w:rPr>
                    <w:t>1.09</w:t>
                  </w:r>
                </w:p>
              </w:tc>
              <w:tc>
                <w:tcPr>
                  <w:tcW w:w="553" w:type="pct"/>
                  <w:tcBorders>
                    <w:top w:val="nil"/>
                    <w:left w:val="nil"/>
                    <w:bottom w:val="nil"/>
                    <w:right w:val="nil"/>
                  </w:tcBorders>
                  <w:shd w:val="clear" w:color="auto" w:fill="auto"/>
                  <w:vAlign w:val="center"/>
                </w:tcPr>
                <w:p w14:paraId="7954C68A" w14:textId="77777777" w:rsidR="00F05DC7" w:rsidRPr="00B573A6" w:rsidRDefault="00F05DC7" w:rsidP="00A3786D">
                  <w:pPr>
                    <w:pStyle w:val="TableBodyText"/>
                    <w:ind w:right="28"/>
                    <w:rPr>
                      <w:rFonts w:cs="Arial"/>
                      <w:szCs w:val="18"/>
                    </w:rPr>
                  </w:pPr>
                  <w:r w:rsidRPr="00B573A6">
                    <w:rPr>
                      <w:rFonts w:cs="Arial"/>
                      <w:color w:val="000000"/>
                      <w:szCs w:val="18"/>
                    </w:rPr>
                    <w:t>4.83</w:t>
                  </w:r>
                </w:p>
              </w:tc>
            </w:tr>
            <w:tr w:rsidR="00F05DC7" w:rsidRPr="00B573A6" w14:paraId="7954C695" w14:textId="77777777" w:rsidTr="00A3786D">
              <w:tc>
                <w:tcPr>
                  <w:tcW w:w="556" w:type="pct"/>
                  <w:tcBorders>
                    <w:bottom w:val="single" w:sz="6" w:space="0" w:color="D9D9D9" w:themeColor="background1" w:themeShade="D9"/>
                  </w:tcBorders>
                </w:tcPr>
                <w:p w14:paraId="7954C68C" w14:textId="77777777" w:rsidR="00F05DC7" w:rsidRPr="00B573A6" w:rsidRDefault="00F05DC7" w:rsidP="00A3786D">
                  <w:pPr>
                    <w:pStyle w:val="TableBodyText"/>
                    <w:jc w:val="left"/>
                    <w:rPr>
                      <w:rFonts w:cs="Arial"/>
                      <w:szCs w:val="18"/>
                    </w:rPr>
                  </w:pPr>
                  <w:r w:rsidRPr="00B573A6">
                    <w:rPr>
                      <w:rFonts w:cs="Arial"/>
                      <w:szCs w:val="18"/>
                    </w:rPr>
                    <w:t>2026</w:t>
                  </w:r>
                  <w:r w:rsidRPr="00B573A6">
                    <w:rPr>
                      <w:rFonts w:cs="Arial"/>
                      <w:szCs w:val="18"/>
                    </w:rPr>
                    <w:noBreakHyphen/>
                    <w:t>27</w:t>
                  </w:r>
                </w:p>
              </w:tc>
              <w:tc>
                <w:tcPr>
                  <w:tcW w:w="557" w:type="pct"/>
                  <w:tcBorders>
                    <w:top w:val="nil"/>
                    <w:left w:val="nil"/>
                    <w:bottom w:val="single" w:sz="6" w:space="0" w:color="D9D9D9" w:themeColor="background1" w:themeShade="D9"/>
                    <w:right w:val="nil"/>
                  </w:tcBorders>
                  <w:shd w:val="clear" w:color="auto" w:fill="auto"/>
                  <w:vAlign w:val="center"/>
                </w:tcPr>
                <w:p w14:paraId="7954C68D" w14:textId="77777777" w:rsidR="00F05DC7" w:rsidRPr="00B573A6" w:rsidRDefault="00F05DC7" w:rsidP="00A3786D">
                  <w:pPr>
                    <w:pStyle w:val="TableBodyText"/>
                    <w:rPr>
                      <w:rFonts w:cs="Arial"/>
                      <w:szCs w:val="18"/>
                    </w:rPr>
                  </w:pPr>
                  <w:r w:rsidRPr="00B573A6">
                    <w:rPr>
                      <w:rFonts w:cs="Arial"/>
                      <w:color w:val="000000"/>
                      <w:szCs w:val="18"/>
                    </w:rPr>
                    <w:t>0.90</w:t>
                  </w:r>
                </w:p>
              </w:tc>
              <w:tc>
                <w:tcPr>
                  <w:tcW w:w="557" w:type="pct"/>
                  <w:tcBorders>
                    <w:top w:val="nil"/>
                    <w:left w:val="nil"/>
                    <w:bottom w:val="single" w:sz="6" w:space="0" w:color="D9D9D9" w:themeColor="background1" w:themeShade="D9"/>
                    <w:right w:val="nil"/>
                  </w:tcBorders>
                  <w:shd w:val="clear" w:color="auto" w:fill="auto"/>
                  <w:vAlign w:val="center"/>
                </w:tcPr>
                <w:p w14:paraId="7954C68E" w14:textId="77777777" w:rsidR="00F05DC7" w:rsidRPr="00B573A6" w:rsidRDefault="00F05DC7" w:rsidP="00A3786D">
                  <w:pPr>
                    <w:pStyle w:val="TableBodyText"/>
                    <w:rPr>
                      <w:rFonts w:cs="Arial"/>
                      <w:szCs w:val="18"/>
                    </w:rPr>
                  </w:pPr>
                  <w:r w:rsidRPr="00B573A6">
                    <w:rPr>
                      <w:rFonts w:cs="Arial"/>
                      <w:color w:val="000000"/>
                      <w:szCs w:val="18"/>
                    </w:rPr>
                    <w:t>0.90</w:t>
                  </w:r>
                </w:p>
              </w:tc>
              <w:tc>
                <w:tcPr>
                  <w:tcW w:w="556" w:type="pct"/>
                  <w:tcBorders>
                    <w:top w:val="nil"/>
                    <w:left w:val="nil"/>
                    <w:bottom w:val="single" w:sz="6" w:space="0" w:color="D9D9D9" w:themeColor="background1" w:themeShade="D9"/>
                    <w:right w:val="nil"/>
                  </w:tcBorders>
                  <w:shd w:val="clear" w:color="auto" w:fill="auto"/>
                  <w:vAlign w:val="center"/>
                </w:tcPr>
                <w:p w14:paraId="7954C68F" w14:textId="77777777" w:rsidR="00F05DC7" w:rsidRPr="00B573A6" w:rsidRDefault="00F05DC7" w:rsidP="00A3786D">
                  <w:pPr>
                    <w:pStyle w:val="TableBodyText"/>
                    <w:rPr>
                      <w:rFonts w:cs="Arial"/>
                      <w:szCs w:val="18"/>
                    </w:rPr>
                  </w:pPr>
                  <w:r w:rsidRPr="00B573A6">
                    <w:rPr>
                      <w:rFonts w:cs="Arial"/>
                      <w:color w:val="000000"/>
                      <w:szCs w:val="18"/>
                    </w:rPr>
                    <w:t>1.01</w:t>
                  </w:r>
                </w:p>
              </w:tc>
              <w:tc>
                <w:tcPr>
                  <w:tcW w:w="556" w:type="pct"/>
                  <w:tcBorders>
                    <w:top w:val="nil"/>
                    <w:left w:val="nil"/>
                    <w:bottom w:val="single" w:sz="6" w:space="0" w:color="D9D9D9" w:themeColor="background1" w:themeShade="D9"/>
                    <w:right w:val="nil"/>
                  </w:tcBorders>
                  <w:shd w:val="clear" w:color="auto" w:fill="auto"/>
                  <w:vAlign w:val="center"/>
                </w:tcPr>
                <w:p w14:paraId="7954C690" w14:textId="77777777" w:rsidR="00F05DC7" w:rsidRPr="00B573A6" w:rsidRDefault="00F05DC7" w:rsidP="00A3786D">
                  <w:pPr>
                    <w:pStyle w:val="TableBodyText"/>
                    <w:rPr>
                      <w:rFonts w:cs="Arial"/>
                      <w:szCs w:val="18"/>
                    </w:rPr>
                  </w:pPr>
                  <w:r w:rsidRPr="00B573A6">
                    <w:rPr>
                      <w:rFonts w:cs="Arial"/>
                      <w:color w:val="000000"/>
                      <w:szCs w:val="18"/>
                    </w:rPr>
                    <w:t>0.90</w:t>
                  </w:r>
                </w:p>
              </w:tc>
              <w:tc>
                <w:tcPr>
                  <w:tcW w:w="555" w:type="pct"/>
                  <w:tcBorders>
                    <w:top w:val="nil"/>
                    <w:left w:val="nil"/>
                    <w:bottom w:val="single" w:sz="6" w:space="0" w:color="D9D9D9" w:themeColor="background1" w:themeShade="D9"/>
                    <w:right w:val="nil"/>
                  </w:tcBorders>
                  <w:shd w:val="clear" w:color="auto" w:fill="auto"/>
                  <w:vAlign w:val="center"/>
                </w:tcPr>
                <w:p w14:paraId="7954C691" w14:textId="77777777" w:rsidR="00F05DC7" w:rsidRPr="00B573A6" w:rsidRDefault="00F05DC7" w:rsidP="00A3786D">
                  <w:pPr>
                    <w:pStyle w:val="TableBodyText"/>
                    <w:rPr>
                      <w:rFonts w:cs="Arial"/>
                      <w:szCs w:val="18"/>
                    </w:rPr>
                  </w:pPr>
                  <w:r w:rsidRPr="00B573A6">
                    <w:rPr>
                      <w:rFonts w:cs="Arial"/>
                      <w:color w:val="000000"/>
                      <w:szCs w:val="18"/>
                    </w:rPr>
                    <w:t>1.29</w:t>
                  </w:r>
                </w:p>
              </w:tc>
              <w:tc>
                <w:tcPr>
                  <w:tcW w:w="555" w:type="pct"/>
                  <w:tcBorders>
                    <w:top w:val="nil"/>
                    <w:left w:val="nil"/>
                    <w:bottom w:val="single" w:sz="6" w:space="0" w:color="D9D9D9" w:themeColor="background1" w:themeShade="D9"/>
                    <w:right w:val="nil"/>
                  </w:tcBorders>
                  <w:shd w:val="clear" w:color="auto" w:fill="auto"/>
                  <w:vAlign w:val="center"/>
                </w:tcPr>
                <w:p w14:paraId="7954C692" w14:textId="77777777" w:rsidR="00F05DC7" w:rsidRPr="00B573A6" w:rsidRDefault="00F05DC7" w:rsidP="00A3786D">
                  <w:pPr>
                    <w:pStyle w:val="TableBodyText"/>
                    <w:rPr>
                      <w:rFonts w:cs="Arial"/>
                      <w:szCs w:val="18"/>
                    </w:rPr>
                  </w:pPr>
                  <w:r w:rsidRPr="00B573A6">
                    <w:rPr>
                      <w:rFonts w:cs="Arial"/>
                      <w:color w:val="000000"/>
                      <w:szCs w:val="18"/>
                    </w:rPr>
                    <w:t>1.66</w:t>
                  </w:r>
                </w:p>
              </w:tc>
              <w:tc>
                <w:tcPr>
                  <w:tcW w:w="555" w:type="pct"/>
                  <w:tcBorders>
                    <w:top w:val="nil"/>
                    <w:left w:val="nil"/>
                    <w:bottom w:val="single" w:sz="6" w:space="0" w:color="D9D9D9" w:themeColor="background1" w:themeShade="D9"/>
                    <w:right w:val="nil"/>
                  </w:tcBorders>
                  <w:shd w:val="clear" w:color="auto" w:fill="auto"/>
                  <w:vAlign w:val="center"/>
                </w:tcPr>
                <w:p w14:paraId="7954C693" w14:textId="77777777" w:rsidR="00F05DC7" w:rsidRPr="00B573A6" w:rsidRDefault="00F05DC7" w:rsidP="00A3786D">
                  <w:pPr>
                    <w:pStyle w:val="TableBodyText"/>
                    <w:rPr>
                      <w:rFonts w:cs="Arial"/>
                      <w:szCs w:val="18"/>
                    </w:rPr>
                  </w:pPr>
                  <w:r w:rsidRPr="00B573A6">
                    <w:rPr>
                      <w:rFonts w:cs="Arial"/>
                      <w:color w:val="000000"/>
                      <w:szCs w:val="18"/>
                    </w:rPr>
                    <w:t>1.08</w:t>
                  </w:r>
                </w:p>
              </w:tc>
              <w:tc>
                <w:tcPr>
                  <w:tcW w:w="553" w:type="pct"/>
                  <w:tcBorders>
                    <w:top w:val="nil"/>
                    <w:left w:val="nil"/>
                    <w:bottom w:val="single" w:sz="6" w:space="0" w:color="D9D9D9" w:themeColor="background1" w:themeShade="D9"/>
                    <w:right w:val="nil"/>
                  </w:tcBorders>
                  <w:shd w:val="clear" w:color="auto" w:fill="auto"/>
                  <w:vAlign w:val="center"/>
                </w:tcPr>
                <w:p w14:paraId="7954C694" w14:textId="77777777" w:rsidR="00F05DC7" w:rsidRPr="00B573A6" w:rsidRDefault="00F05DC7" w:rsidP="00A3786D">
                  <w:pPr>
                    <w:pStyle w:val="TableBodyText"/>
                    <w:ind w:right="28"/>
                    <w:rPr>
                      <w:rFonts w:cs="Arial"/>
                      <w:szCs w:val="18"/>
                    </w:rPr>
                  </w:pPr>
                  <w:r w:rsidRPr="00B573A6">
                    <w:rPr>
                      <w:rFonts w:cs="Arial"/>
                      <w:color w:val="000000"/>
                      <w:szCs w:val="18"/>
                    </w:rPr>
                    <w:t>4.84</w:t>
                  </w:r>
                </w:p>
              </w:tc>
            </w:tr>
          </w:tbl>
          <w:p w14:paraId="7954C696" w14:textId="77777777" w:rsidR="00F05DC7" w:rsidRDefault="00F05DC7" w:rsidP="00A3786D">
            <w:pPr>
              <w:pStyle w:val="Box"/>
            </w:pPr>
          </w:p>
        </w:tc>
      </w:tr>
      <w:tr w:rsidR="00F05DC7" w14:paraId="7954C699" w14:textId="77777777" w:rsidTr="00A3786D">
        <w:tc>
          <w:tcPr>
            <w:tcW w:w="5000" w:type="pct"/>
            <w:tcBorders>
              <w:top w:val="nil"/>
              <w:left w:val="nil"/>
              <w:bottom w:val="nil"/>
              <w:right w:val="nil"/>
            </w:tcBorders>
            <w:shd w:val="clear" w:color="auto" w:fill="auto"/>
          </w:tcPr>
          <w:p w14:paraId="7954C698" w14:textId="77777777" w:rsidR="00F05DC7" w:rsidRDefault="00F05DC7" w:rsidP="00A3786D">
            <w:pPr>
              <w:pStyle w:val="Source"/>
            </w:pPr>
            <w:r>
              <w:rPr>
                <w:i/>
              </w:rPr>
              <w:t>Source</w:t>
            </w:r>
            <w:r w:rsidRPr="00167F06">
              <w:t xml:space="preserve">: </w:t>
            </w:r>
            <w:r>
              <w:t>Productivity Commission estimates based on data provided by State Treasuries (confidential).</w:t>
            </w:r>
          </w:p>
        </w:tc>
      </w:tr>
      <w:tr w:rsidR="00F05DC7" w14:paraId="7954C69B" w14:textId="77777777" w:rsidTr="00A3786D">
        <w:tc>
          <w:tcPr>
            <w:tcW w:w="5000" w:type="pct"/>
            <w:tcBorders>
              <w:top w:val="nil"/>
              <w:left w:val="nil"/>
              <w:bottom w:val="single" w:sz="6" w:space="0" w:color="78A22F"/>
              <w:right w:val="nil"/>
            </w:tcBorders>
            <w:shd w:val="clear" w:color="auto" w:fill="auto"/>
          </w:tcPr>
          <w:p w14:paraId="7954C69A" w14:textId="77777777" w:rsidR="00F05DC7" w:rsidRDefault="00F05DC7" w:rsidP="00A3786D">
            <w:pPr>
              <w:pStyle w:val="Box"/>
              <w:spacing w:before="0" w:line="120" w:lineRule="exact"/>
            </w:pPr>
          </w:p>
        </w:tc>
      </w:tr>
      <w:tr w:rsidR="00F05DC7" w:rsidRPr="000863A5" w14:paraId="7954C69D" w14:textId="77777777" w:rsidTr="00A3786D">
        <w:tc>
          <w:tcPr>
            <w:tcW w:w="5000" w:type="pct"/>
            <w:tcBorders>
              <w:top w:val="single" w:sz="6" w:space="0" w:color="78A22F"/>
              <w:left w:val="nil"/>
              <w:bottom w:val="nil"/>
              <w:right w:val="nil"/>
            </w:tcBorders>
          </w:tcPr>
          <w:p w14:paraId="7954C69C" w14:textId="77777777" w:rsidR="00F05DC7" w:rsidRPr="00626D32" w:rsidRDefault="00F05DC7" w:rsidP="00A3786D">
            <w:pPr>
              <w:pStyle w:val="BoxSpaceBelow"/>
            </w:pPr>
          </w:p>
        </w:tc>
      </w:tr>
    </w:tbl>
    <w:p w14:paraId="7954C69E" w14:textId="77777777" w:rsidR="00F05DC7" w:rsidRDefault="00F05DC7" w:rsidP="00A3786D">
      <w:pPr>
        <w:pStyle w:val="Heading4"/>
      </w:pPr>
      <w:r>
        <w:t>GST payments are projected to be higher in New South Wales and Western Australia over the forward estimates</w:t>
      </w:r>
    </w:p>
    <w:p w14:paraId="7954C69F" w14:textId="77777777" w:rsidR="00F05DC7" w:rsidRDefault="00F05DC7" w:rsidP="00A3786D">
      <w:pPr>
        <w:pStyle w:val="BodyText"/>
      </w:pPr>
      <w:r>
        <w:t>In the first year of the transition (2019</w:t>
      </w:r>
      <w:r>
        <w:noBreakHyphen/>
        <w:t>20), GST payments are projected to be higher in New South Wales and Western Australia, and lower than currently expected in each of the other States. With a four year transition, the change in GST payments in the first year ranges from (table F.5, figure F.7, figure F.8):</w:t>
      </w:r>
    </w:p>
    <w:p w14:paraId="7954C6A0" w14:textId="77777777" w:rsidR="00F05DC7" w:rsidRDefault="00F05DC7" w:rsidP="00A3786D">
      <w:pPr>
        <w:pStyle w:val="ListBullet"/>
      </w:pPr>
      <w:r>
        <w:t>as a proportion of State revenue, an increase of about 1.8 per cent (in Western Australia) to a decrease of about 0.7 per cent (in South Australia)</w:t>
      </w:r>
    </w:p>
    <w:p w14:paraId="7954C6A1" w14:textId="77777777" w:rsidR="00F05DC7" w:rsidRDefault="00F05DC7" w:rsidP="00A3786D">
      <w:pPr>
        <w:pStyle w:val="ListBullet"/>
      </w:pPr>
      <w:r>
        <w:t>in per capita terms, an increase of $204 (in Western Australia) to a decrease of $73 (in Queensland, South Australia, Tasmania, the ACT and the NT)</w:t>
      </w:r>
    </w:p>
    <w:p w14:paraId="7954C6A2" w14:textId="77777777" w:rsidR="00F05DC7" w:rsidRDefault="00F05DC7" w:rsidP="00A3786D">
      <w:pPr>
        <w:pStyle w:val="ListBullet"/>
      </w:pPr>
      <w:r>
        <w:t>an increase of $540 million (in Western Australia) to a decrease of $372 million (in Queensland).</w:t>
      </w:r>
    </w:p>
    <w:p w14:paraId="7954C6A3" w14:textId="77777777" w:rsidR="00F05DC7" w:rsidRDefault="00F05DC7" w:rsidP="00A3786D">
      <w:pPr>
        <w:pStyle w:val="BodyText"/>
      </w:pPr>
      <w:r>
        <w:t xml:space="preserve">With an eight year transition, these figures are halved (table F.6). </w:t>
      </w:r>
    </w:p>
    <w:p w14:paraId="7954C6A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6A7" w14:textId="77777777" w:rsidTr="00A3786D">
        <w:trPr>
          <w:tblHeader/>
        </w:trPr>
        <w:tc>
          <w:tcPr>
            <w:tcW w:w="5000" w:type="pct"/>
            <w:tcBorders>
              <w:top w:val="single" w:sz="6" w:space="0" w:color="78A22F"/>
              <w:left w:val="nil"/>
              <w:bottom w:val="nil"/>
              <w:right w:val="nil"/>
            </w:tcBorders>
            <w:shd w:val="clear" w:color="auto" w:fill="auto"/>
          </w:tcPr>
          <w:p w14:paraId="7954C6A5" w14:textId="36674045" w:rsidR="00F05DC7" w:rsidRDefault="00F05DC7" w:rsidP="00A3786D">
            <w:pPr>
              <w:pStyle w:val="TableTitle"/>
            </w:pPr>
            <w:r>
              <w:rPr>
                <w:b w:val="0"/>
              </w:rPr>
              <w:t>Table F.5</w:t>
            </w:r>
            <w:r>
              <w:tab/>
              <w:t>Four year transition to ETA: projected c</w:t>
            </w:r>
            <w:r w:rsidRPr="00920444">
              <w:t>hange</w:t>
            </w:r>
            <w:r>
              <w:t xml:space="preserve"> in</w:t>
            </w:r>
            <w:r w:rsidRPr="00920444">
              <w:t xml:space="preserve"> GST payment</w:t>
            </w:r>
            <w:r>
              <w:t>s due to change in the equalisation benchmark</w:t>
            </w:r>
          </w:p>
          <w:p w14:paraId="7954C6A6" w14:textId="77777777" w:rsidR="00F05DC7" w:rsidRPr="00784A05" w:rsidRDefault="00F05DC7" w:rsidP="00A3786D">
            <w:pPr>
              <w:pStyle w:val="Subtitle"/>
            </w:pPr>
            <w:r>
              <w:t>Relative to current benchmark, ‘Best estimate’ scenario</w:t>
            </w:r>
          </w:p>
        </w:tc>
      </w:tr>
      <w:tr w:rsidR="00F05DC7" w14:paraId="7954C7A9"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C6B1"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6A8"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C6A9"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C6AA"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C6AB"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C6AC"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C6AD"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C6AE"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C6AF"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C6B0"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C6B3" w14:textId="77777777" w:rsidTr="00A3786D">
              <w:tc>
                <w:tcPr>
                  <w:tcW w:w="5000" w:type="pct"/>
                  <w:gridSpan w:val="9"/>
                  <w:tcBorders>
                    <w:top w:val="single" w:sz="6" w:space="0" w:color="BFBFBF"/>
                  </w:tcBorders>
                  <w:shd w:val="clear" w:color="auto" w:fill="F2F2F2" w:themeFill="background1" w:themeFillShade="F2"/>
                </w:tcPr>
                <w:p w14:paraId="7954C6B2"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C6BD" w14:textId="77777777" w:rsidTr="00A3786D">
              <w:tc>
                <w:tcPr>
                  <w:tcW w:w="556" w:type="pct"/>
                  <w:vAlign w:val="bottom"/>
                </w:tcPr>
                <w:p w14:paraId="7954C6B4"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C6B5" w14:textId="77777777" w:rsidR="00F05DC7" w:rsidRPr="00A75ED1" w:rsidRDefault="00F05DC7" w:rsidP="00A3786D">
                  <w:pPr>
                    <w:pStyle w:val="TableBodyText"/>
                    <w:rPr>
                      <w:rFonts w:cs="Arial"/>
                      <w:szCs w:val="18"/>
                    </w:rPr>
                  </w:pPr>
                  <w:r w:rsidRPr="00A75ED1">
                    <w:rPr>
                      <w:rFonts w:cs="Arial"/>
                      <w:color w:val="000000"/>
                      <w:szCs w:val="18"/>
                    </w:rPr>
                    <w:t>351</w:t>
                  </w:r>
                </w:p>
              </w:tc>
              <w:tc>
                <w:tcPr>
                  <w:tcW w:w="557" w:type="pct"/>
                  <w:tcBorders>
                    <w:top w:val="nil"/>
                    <w:left w:val="nil"/>
                    <w:bottom w:val="nil"/>
                    <w:right w:val="nil"/>
                  </w:tcBorders>
                  <w:shd w:val="clear" w:color="auto" w:fill="auto"/>
                  <w:vAlign w:val="bottom"/>
                </w:tcPr>
                <w:p w14:paraId="7954C6B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303</w:t>
                  </w:r>
                </w:p>
              </w:tc>
              <w:tc>
                <w:tcPr>
                  <w:tcW w:w="556" w:type="pct"/>
                  <w:tcBorders>
                    <w:top w:val="nil"/>
                    <w:left w:val="nil"/>
                    <w:bottom w:val="nil"/>
                    <w:right w:val="nil"/>
                  </w:tcBorders>
                  <w:shd w:val="clear" w:color="auto" w:fill="auto"/>
                  <w:vAlign w:val="bottom"/>
                </w:tcPr>
                <w:p w14:paraId="7954C6B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372</w:t>
                  </w:r>
                </w:p>
              </w:tc>
              <w:tc>
                <w:tcPr>
                  <w:tcW w:w="556" w:type="pct"/>
                  <w:tcBorders>
                    <w:top w:val="nil"/>
                    <w:left w:val="nil"/>
                    <w:bottom w:val="nil"/>
                    <w:right w:val="nil"/>
                  </w:tcBorders>
                  <w:shd w:val="clear" w:color="auto" w:fill="auto"/>
                  <w:vAlign w:val="bottom"/>
                </w:tcPr>
                <w:p w14:paraId="7954C6B8" w14:textId="77777777" w:rsidR="00F05DC7" w:rsidRPr="00A75ED1" w:rsidRDefault="00F05DC7" w:rsidP="00A3786D">
                  <w:pPr>
                    <w:pStyle w:val="TableBodyText"/>
                    <w:rPr>
                      <w:rFonts w:cs="Arial"/>
                      <w:szCs w:val="18"/>
                    </w:rPr>
                  </w:pPr>
                  <w:r w:rsidRPr="00A75ED1">
                    <w:rPr>
                      <w:rFonts w:cs="Arial"/>
                      <w:color w:val="000000"/>
                      <w:szCs w:val="18"/>
                    </w:rPr>
                    <w:t>540</w:t>
                  </w:r>
                </w:p>
              </w:tc>
              <w:tc>
                <w:tcPr>
                  <w:tcW w:w="555" w:type="pct"/>
                  <w:tcBorders>
                    <w:top w:val="nil"/>
                    <w:left w:val="nil"/>
                    <w:bottom w:val="nil"/>
                    <w:right w:val="nil"/>
                  </w:tcBorders>
                  <w:shd w:val="clear" w:color="auto" w:fill="auto"/>
                  <w:vAlign w:val="bottom"/>
                </w:tcPr>
                <w:p w14:paraId="7954C6B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128</w:t>
                  </w:r>
                </w:p>
              </w:tc>
              <w:tc>
                <w:tcPr>
                  <w:tcW w:w="555" w:type="pct"/>
                  <w:tcBorders>
                    <w:top w:val="nil"/>
                    <w:left w:val="nil"/>
                    <w:bottom w:val="nil"/>
                    <w:right w:val="nil"/>
                  </w:tcBorders>
                  <w:shd w:val="clear" w:color="auto" w:fill="auto"/>
                  <w:vAlign w:val="bottom"/>
                </w:tcPr>
                <w:p w14:paraId="7954C6B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39</w:t>
                  </w:r>
                </w:p>
              </w:tc>
              <w:tc>
                <w:tcPr>
                  <w:tcW w:w="555" w:type="pct"/>
                  <w:tcBorders>
                    <w:top w:val="nil"/>
                    <w:left w:val="nil"/>
                    <w:bottom w:val="nil"/>
                    <w:right w:val="nil"/>
                  </w:tcBorders>
                  <w:shd w:val="clear" w:color="auto" w:fill="auto"/>
                  <w:vAlign w:val="bottom"/>
                </w:tcPr>
                <w:p w14:paraId="7954C6B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w:t>
                  </w:r>
                </w:p>
              </w:tc>
              <w:tc>
                <w:tcPr>
                  <w:tcW w:w="553" w:type="pct"/>
                  <w:tcBorders>
                    <w:top w:val="nil"/>
                    <w:left w:val="nil"/>
                    <w:bottom w:val="nil"/>
                    <w:right w:val="nil"/>
                  </w:tcBorders>
                  <w:shd w:val="clear" w:color="auto" w:fill="auto"/>
                  <w:vAlign w:val="bottom"/>
                </w:tcPr>
                <w:p w14:paraId="7954C6B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w:t>
                  </w:r>
                </w:p>
              </w:tc>
            </w:tr>
            <w:tr w:rsidR="00F05DC7" w:rsidRPr="00A75ED1" w14:paraId="7954C6C7" w14:textId="77777777" w:rsidTr="00A3786D">
              <w:tc>
                <w:tcPr>
                  <w:tcW w:w="556" w:type="pct"/>
                  <w:vAlign w:val="bottom"/>
                </w:tcPr>
                <w:p w14:paraId="7954C6BE"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C6BF" w14:textId="77777777" w:rsidR="00F05DC7" w:rsidRPr="00A75ED1" w:rsidRDefault="00F05DC7" w:rsidP="00A3786D">
                  <w:pPr>
                    <w:pStyle w:val="TableBodyText"/>
                    <w:rPr>
                      <w:rFonts w:cs="Arial"/>
                      <w:szCs w:val="18"/>
                    </w:rPr>
                  </w:pPr>
                  <w:r w:rsidRPr="00A75ED1">
                    <w:rPr>
                      <w:rFonts w:cs="Arial"/>
                      <w:color w:val="000000"/>
                      <w:szCs w:val="18"/>
                    </w:rPr>
                    <w:t>818</w:t>
                  </w:r>
                </w:p>
              </w:tc>
              <w:tc>
                <w:tcPr>
                  <w:tcW w:w="557" w:type="pct"/>
                  <w:tcBorders>
                    <w:top w:val="nil"/>
                    <w:left w:val="nil"/>
                    <w:bottom w:val="nil"/>
                    <w:right w:val="nil"/>
                  </w:tcBorders>
                  <w:shd w:val="clear" w:color="auto" w:fill="auto"/>
                  <w:vAlign w:val="bottom"/>
                </w:tcPr>
                <w:p w14:paraId="7954C6C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573</w:t>
                  </w:r>
                </w:p>
              </w:tc>
              <w:tc>
                <w:tcPr>
                  <w:tcW w:w="556" w:type="pct"/>
                  <w:tcBorders>
                    <w:top w:val="nil"/>
                    <w:left w:val="nil"/>
                    <w:bottom w:val="nil"/>
                    <w:right w:val="nil"/>
                  </w:tcBorders>
                  <w:shd w:val="clear" w:color="auto" w:fill="auto"/>
                  <w:vAlign w:val="bottom"/>
                </w:tcPr>
                <w:p w14:paraId="7954C6C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788</w:t>
                  </w:r>
                </w:p>
              </w:tc>
              <w:tc>
                <w:tcPr>
                  <w:tcW w:w="556" w:type="pct"/>
                  <w:tcBorders>
                    <w:top w:val="nil"/>
                    <w:left w:val="nil"/>
                    <w:bottom w:val="nil"/>
                    <w:right w:val="nil"/>
                  </w:tcBorders>
                  <w:shd w:val="clear" w:color="auto" w:fill="auto"/>
                  <w:vAlign w:val="bottom"/>
                </w:tcPr>
                <w:p w14:paraId="7954C6C2" w14:textId="77777777" w:rsidR="00F05DC7" w:rsidRPr="00A75ED1" w:rsidRDefault="00F05DC7" w:rsidP="00A3786D">
                  <w:pPr>
                    <w:pStyle w:val="TableBodyText"/>
                    <w:rPr>
                      <w:rFonts w:cs="Arial"/>
                      <w:szCs w:val="18"/>
                    </w:rPr>
                  </w:pPr>
                  <w:r w:rsidRPr="00A75ED1">
                    <w:rPr>
                      <w:rFonts w:cs="Arial"/>
                      <w:color w:val="000000"/>
                      <w:szCs w:val="18"/>
                    </w:rPr>
                    <w:t>997</w:t>
                  </w:r>
                </w:p>
              </w:tc>
              <w:tc>
                <w:tcPr>
                  <w:tcW w:w="555" w:type="pct"/>
                  <w:tcBorders>
                    <w:top w:val="nil"/>
                    <w:left w:val="nil"/>
                    <w:bottom w:val="nil"/>
                    <w:right w:val="nil"/>
                  </w:tcBorders>
                  <w:shd w:val="clear" w:color="auto" w:fill="auto"/>
                  <w:vAlign w:val="bottom"/>
                </w:tcPr>
                <w:p w14:paraId="7954C6C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270</w:t>
                  </w:r>
                </w:p>
              </w:tc>
              <w:tc>
                <w:tcPr>
                  <w:tcW w:w="555" w:type="pct"/>
                  <w:tcBorders>
                    <w:top w:val="nil"/>
                    <w:left w:val="nil"/>
                    <w:bottom w:val="nil"/>
                    <w:right w:val="nil"/>
                  </w:tcBorders>
                  <w:shd w:val="clear" w:color="auto" w:fill="auto"/>
                  <w:vAlign w:val="bottom"/>
                </w:tcPr>
                <w:p w14:paraId="7954C6C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81</w:t>
                  </w:r>
                </w:p>
              </w:tc>
              <w:tc>
                <w:tcPr>
                  <w:tcW w:w="555" w:type="pct"/>
                  <w:tcBorders>
                    <w:top w:val="nil"/>
                    <w:left w:val="nil"/>
                    <w:bottom w:val="nil"/>
                    <w:right w:val="nil"/>
                  </w:tcBorders>
                  <w:shd w:val="clear" w:color="auto" w:fill="auto"/>
                  <w:vAlign w:val="bottom"/>
                </w:tcPr>
                <w:p w14:paraId="7954C6C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c>
                <w:tcPr>
                  <w:tcW w:w="553" w:type="pct"/>
                  <w:tcBorders>
                    <w:top w:val="nil"/>
                    <w:left w:val="nil"/>
                    <w:bottom w:val="nil"/>
                    <w:right w:val="nil"/>
                  </w:tcBorders>
                  <w:shd w:val="clear" w:color="auto" w:fill="auto"/>
                  <w:vAlign w:val="bottom"/>
                </w:tcPr>
                <w:p w14:paraId="7954C6C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38</w:t>
                  </w:r>
                </w:p>
              </w:tc>
            </w:tr>
            <w:tr w:rsidR="00F05DC7" w:rsidRPr="00A75ED1" w14:paraId="7954C6D1" w14:textId="77777777" w:rsidTr="00A3786D">
              <w:tc>
                <w:tcPr>
                  <w:tcW w:w="556" w:type="pct"/>
                  <w:vAlign w:val="bottom"/>
                </w:tcPr>
                <w:p w14:paraId="7954C6C8"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C6C9" w14:textId="77777777" w:rsidR="00F05DC7" w:rsidRPr="00A75ED1" w:rsidRDefault="00F05DC7" w:rsidP="00A3786D">
                  <w:pPr>
                    <w:pStyle w:val="TableBodyText"/>
                    <w:rPr>
                      <w:rFonts w:cs="Arial"/>
                      <w:szCs w:val="18"/>
                    </w:rPr>
                  </w:pPr>
                  <w:r w:rsidRPr="00A75ED1">
                    <w:rPr>
                      <w:rFonts w:cs="Arial"/>
                      <w:color w:val="000000"/>
                      <w:szCs w:val="18"/>
                    </w:rPr>
                    <w:t>1267</w:t>
                  </w:r>
                </w:p>
              </w:tc>
              <w:tc>
                <w:tcPr>
                  <w:tcW w:w="557" w:type="pct"/>
                  <w:tcBorders>
                    <w:top w:val="nil"/>
                    <w:left w:val="nil"/>
                    <w:bottom w:val="nil"/>
                    <w:right w:val="nil"/>
                  </w:tcBorders>
                  <w:shd w:val="clear" w:color="auto" w:fill="auto"/>
                  <w:vAlign w:val="bottom"/>
                </w:tcPr>
                <w:p w14:paraId="7954C6C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814</w:t>
                  </w:r>
                </w:p>
              </w:tc>
              <w:tc>
                <w:tcPr>
                  <w:tcW w:w="556" w:type="pct"/>
                  <w:tcBorders>
                    <w:top w:val="nil"/>
                    <w:left w:val="nil"/>
                    <w:bottom w:val="nil"/>
                    <w:right w:val="nil"/>
                  </w:tcBorders>
                  <w:shd w:val="clear" w:color="auto" w:fill="auto"/>
                  <w:vAlign w:val="bottom"/>
                </w:tcPr>
                <w:p w14:paraId="7954C6C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1243</w:t>
                  </w:r>
                </w:p>
              </w:tc>
              <w:tc>
                <w:tcPr>
                  <w:tcW w:w="556" w:type="pct"/>
                  <w:tcBorders>
                    <w:top w:val="nil"/>
                    <w:left w:val="nil"/>
                    <w:bottom w:val="nil"/>
                    <w:right w:val="nil"/>
                  </w:tcBorders>
                  <w:shd w:val="clear" w:color="auto" w:fill="auto"/>
                  <w:vAlign w:val="bottom"/>
                </w:tcPr>
                <w:p w14:paraId="7954C6CC" w14:textId="77777777" w:rsidR="00F05DC7" w:rsidRPr="00A75ED1" w:rsidRDefault="00F05DC7" w:rsidP="00A3786D">
                  <w:pPr>
                    <w:pStyle w:val="TableBodyText"/>
                    <w:rPr>
                      <w:rFonts w:cs="Arial"/>
                      <w:szCs w:val="18"/>
                    </w:rPr>
                  </w:pPr>
                  <w:r w:rsidRPr="00A75ED1">
                    <w:rPr>
                      <w:rFonts w:cs="Arial"/>
                      <w:color w:val="000000"/>
                      <w:szCs w:val="18"/>
                    </w:rPr>
                    <w:t>1502</w:t>
                  </w:r>
                </w:p>
              </w:tc>
              <w:tc>
                <w:tcPr>
                  <w:tcW w:w="555" w:type="pct"/>
                  <w:tcBorders>
                    <w:top w:val="nil"/>
                    <w:left w:val="nil"/>
                    <w:bottom w:val="nil"/>
                    <w:right w:val="nil"/>
                  </w:tcBorders>
                  <w:shd w:val="clear" w:color="auto" w:fill="auto"/>
                  <w:vAlign w:val="bottom"/>
                </w:tcPr>
                <w:p w14:paraId="7954C6C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422</w:t>
                  </w:r>
                </w:p>
              </w:tc>
              <w:tc>
                <w:tcPr>
                  <w:tcW w:w="555" w:type="pct"/>
                  <w:tcBorders>
                    <w:top w:val="nil"/>
                    <w:left w:val="nil"/>
                    <w:bottom w:val="nil"/>
                    <w:right w:val="nil"/>
                  </w:tcBorders>
                  <w:shd w:val="clear" w:color="auto" w:fill="auto"/>
                  <w:vAlign w:val="bottom"/>
                </w:tcPr>
                <w:p w14:paraId="7954C6C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127</w:t>
                  </w:r>
                </w:p>
              </w:tc>
              <w:tc>
                <w:tcPr>
                  <w:tcW w:w="555" w:type="pct"/>
                  <w:tcBorders>
                    <w:top w:val="nil"/>
                    <w:left w:val="nil"/>
                    <w:bottom w:val="nil"/>
                    <w:right w:val="nil"/>
                  </w:tcBorders>
                  <w:shd w:val="clear" w:color="auto" w:fill="auto"/>
                  <w:vAlign w:val="bottom"/>
                </w:tcPr>
                <w:p w14:paraId="7954C6C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104</w:t>
                  </w:r>
                </w:p>
              </w:tc>
              <w:tc>
                <w:tcPr>
                  <w:tcW w:w="553" w:type="pct"/>
                  <w:tcBorders>
                    <w:top w:val="nil"/>
                    <w:left w:val="nil"/>
                    <w:bottom w:val="nil"/>
                    <w:right w:val="nil"/>
                  </w:tcBorders>
                  <w:shd w:val="clear" w:color="auto" w:fill="auto"/>
                  <w:vAlign w:val="bottom"/>
                </w:tcPr>
                <w:p w14:paraId="7954C6D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59</w:t>
                  </w:r>
                </w:p>
              </w:tc>
            </w:tr>
            <w:tr w:rsidR="00F05DC7" w:rsidRPr="00A75ED1" w14:paraId="7954C6DB" w14:textId="77777777" w:rsidTr="00A3786D">
              <w:tc>
                <w:tcPr>
                  <w:tcW w:w="556" w:type="pct"/>
                </w:tcPr>
                <w:p w14:paraId="7954C6D2"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C6D3" w14:textId="77777777" w:rsidR="00F05DC7" w:rsidRPr="00A75ED1" w:rsidRDefault="00F05DC7" w:rsidP="00A3786D">
                  <w:pPr>
                    <w:pStyle w:val="TableBodyText"/>
                    <w:rPr>
                      <w:rFonts w:cs="Arial"/>
                      <w:szCs w:val="18"/>
                    </w:rPr>
                  </w:pPr>
                  <w:r w:rsidRPr="00A75ED1">
                    <w:rPr>
                      <w:rFonts w:cs="Arial"/>
                      <w:color w:val="000000"/>
                      <w:szCs w:val="18"/>
                    </w:rPr>
                    <w:t>1900</w:t>
                  </w:r>
                </w:p>
              </w:tc>
              <w:tc>
                <w:tcPr>
                  <w:tcW w:w="557" w:type="pct"/>
                  <w:tcBorders>
                    <w:top w:val="nil"/>
                    <w:left w:val="nil"/>
                    <w:bottom w:val="nil"/>
                    <w:right w:val="nil"/>
                  </w:tcBorders>
                  <w:shd w:val="clear" w:color="auto" w:fill="auto"/>
                  <w:vAlign w:val="bottom"/>
                </w:tcPr>
                <w:p w14:paraId="7954C6D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976</w:t>
                  </w:r>
                </w:p>
              </w:tc>
              <w:tc>
                <w:tcPr>
                  <w:tcW w:w="556" w:type="pct"/>
                  <w:tcBorders>
                    <w:top w:val="nil"/>
                    <w:left w:val="nil"/>
                    <w:bottom w:val="nil"/>
                    <w:right w:val="nil"/>
                  </w:tcBorders>
                  <w:shd w:val="clear" w:color="auto" w:fill="auto"/>
                  <w:vAlign w:val="bottom"/>
                </w:tcPr>
                <w:p w14:paraId="7954C6D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1767</w:t>
                  </w:r>
                </w:p>
              </w:tc>
              <w:tc>
                <w:tcPr>
                  <w:tcW w:w="556" w:type="pct"/>
                  <w:tcBorders>
                    <w:top w:val="nil"/>
                    <w:left w:val="nil"/>
                    <w:bottom w:val="nil"/>
                    <w:right w:val="nil"/>
                  </w:tcBorders>
                  <w:shd w:val="clear" w:color="auto" w:fill="auto"/>
                  <w:vAlign w:val="bottom"/>
                </w:tcPr>
                <w:p w14:paraId="7954C6D6" w14:textId="77777777" w:rsidR="00F05DC7" w:rsidRPr="00A75ED1" w:rsidRDefault="00F05DC7" w:rsidP="00A3786D">
                  <w:pPr>
                    <w:pStyle w:val="TableBodyText"/>
                    <w:rPr>
                      <w:rFonts w:cs="Arial"/>
                      <w:szCs w:val="18"/>
                    </w:rPr>
                  </w:pPr>
                  <w:r w:rsidRPr="00A75ED1">
                    <w:rPr>
                      <w:rFonts w:cs="Arial"/>
                      <w:color w:val="000000"/>
                      <w:szCs w:val="18"/>
                    </w:rPr>
                    <w:t>1849</w:t>
                  </w:r>
                </w:p>
              </w:tc>
              <w:tc>
                <w:tcPr>
                  <w:tcW w:w="555" w:type="pct"/>
                  <w:tcBorders>
                    <w:top w:val="nil"/>
                    <w:left w:val="nil"/>
                    <w:bottom w:val="nil"/>
                    <w:right w:val="nil"/>
                  </w:tcBorders>
                  <w:shd w:val="clear" w:color="auto" w:fill="auto"/>
                  <w:vAlign w:val="bottom"/>
                </w:tcPr>
                <w:p w14:paraId="7954C6D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596</w:t>
                  </w:r>
                </w:p>
              </w:tc>
              <w:tc>
                <w:tcPr>
                  <w:tcW w:w="555" w:type="pct"/>
                  <w:tcBorders>
                    <w:top w:val="nil"/>
                    <w:left w:val="nil"/>
                    <w:bottom w:val="nil"/>
                    <w:right w:val="nil"/>
                  </w:tcBorders>
                  <w:shd w:val="clear" w:color="auto" w:fill="auto"/>
                  <w:vAlign w:val="bottom"/>
                </w:tcPr>
                <w:p w14:paraId="7954C6D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178</w:t>
                  </w:r>
                </w:p>
              </w:tc>
              <w:tc>
                <w:tcPr>
                  <w:tcW w:w="555" w:type="pct"/>
                  <w:tcBorders>
                    <w:top w:val="nil"/>
                    <w:left w:val="nil"/>
                    <w:bottom w:val="nil"/>
                    <w:right w:val="nil"/>
                  </w:tcBorders>
                  <w:shd w:val="clear" w:color="auto" w:fill="auto"/>
                  <w:vAlign w:val="bottom"/>
                </w:tcPr>
                <w:p w14:paraId="7954C6D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148</w:t>
                  </w:r>
                </w:p>
              </w:tc>
              <w:tc>
                <w:tcPr>
                  <w:tcW w:w="553" w:type="pct"/>
                  <w:tcBorders>
                    <w:top w:val="nil"/>
                    <w:left w:val="nil"/>
                    <w:bottom w:val="nil"/>
                    <w:right w:val="nil"/>
                  </w:tcBorders>
                  <w:shd w:val="clear" w:color="auto" w:fill="auto"/>
                  <w:vAlign w:val="bottom"/>
                </w:tcPr>
                <w:p w14:paraId="7954C6D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83</w:t>
                  </w:r>
                </w:p>
              </w:tc>
            </w:tr>
            <w:tr w:rsidR="00F05DC7" w:rsidRPr="00A75ED1" w14:paraId="7954C6E5" w14:textId="77777777" w:rsidTr="00A3786D">
              <w:tc>
                <w:tcPr>
                  <w:tcW w:w="556" w:type="pct"/>
                </w:tcPr>
                <w:p w14:paraId="7954C6DC"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6DD" w14:textId="77777777" w:rsidR="00F05DC7" w:rsidRPr="00A75ED1" w:rsidRDefault="00F05DC7" w:rsidP="00A3786D">
                  <w:pPr>
                    <w:pStyle w:val="TableBodyText"/>
                    <w:rPr>
                      <w:rFonts w:cs="Arial"/>
                      <w:szCs w:val="18"/>
                    </w:rPr>
                  </w:pPr>
                  <w:r w:rsidRPr="00A75ED1">
                    <w:rPr>
                      <w:rFonts w:cs="Arial"/>
                      <w:color w:val="000000"/>
                      <w:szCs w:val="18"/>
                    </w:rPr>
                    <w:t>2022</w:t>
                  </w:r>
                </w:p>
              </w:tc>
              <w:tc>
                <w:tcPr>
                  <w:tcW w:w="557" w:type="pct"/>
                  <w:tcBorders>
                    <w:top w:val="nil"/>
                    <w:left w:val="nil"/>
                    <w:bottom w:val="nil"/>
                    <w:right w:val="nil"/>
                  </w:tcBorders>
                  <w:shd w:val="clear" w:color="auto" w:fill="auto"/>
                  <w:vAlign w:val="bottom"/>
                </w:tcPr>
                <w:p w14:paraId="7954C6D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831</w:t>
                  </w:r>
                </w:p>
              </w:tc>
              <w:tc>
                <w:tcPr>
                  <w:tcW w:w="556" w:type="pct"/>
                  <w:tcBorders>
                    <w:top w:val="nil"/>
                    <w:left w:val="nil"/>
                    <w:bottom w:val="nil"/>
                    <w:right w:val="nil"/>
                  </w:tcBorders>
                  <w:shd w:val="clear" w:color="auto" w:fill="auto"/>
                  <w:vAlign w:val="bottom"/>
                </w:tcPr>
                <w:p w14:paraId="7954C6D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1799</w:t>
                  </w:r>
                </w:p>
              </w:tc>
              <w:tc>
                <w:tcPr>
                  <w:tcW w:w="556" w:type="pct"/>
                  <w:tcBorders>
                    <w:top w:val="nil"/>
                    <w:left w:val="nil"/>
                    <w:bottom w:val="nil"/>
                    <w:right w:val="nil"/>
                  </w:tcBorders>
                  <w:shd w:val="clear" w:color="auto" w:fill="auto"/>
                  <w:vAlign w:val="bottom"/>
                </w:tcPr>
                <w:p w14:paraId="7954C6E0" w14:textId="77777777" w:rsidR="00F05DC7" w:rsidRPr="00A75ED1" w:rsidRDefault="00F05DC7" w:rsidP="00A3786D">
                  <w:pPr>
                    <w:pStyle w:val="TableBodyText"/>
                    <w:rPr>
                      <w:rFonts w:cs="Arial"/>
                      <w:szCs w:val="18"/>
                    </w:rPr>
                  </w:pPr>
                  <w:r w:rsidRPr="00A75ED1">
                    <w:rPr>
                      <w:rFonts w:cs="Arial"/>
                      <w:color w:val="000000"/>
                      <w:szCs w:val="18"/>
                    </w:rPr>
                    <w:t>1624</w:t>
                  </w:r>
                </w:p>
              </w:tc>
              <w:tc>
                <w:tcPr>
                  <w:tcW w:w="555" w:type="pct"/>
                  <w:tcBorders>
                    <w:top w:val="nil"/>
                    <w:left w:val="nil"/>
                    <w:bottom w:val="nil"/>
                    <w:right w:val="nil"/>
                  </w:tcBorders>
                  <w:shd w:val="clear" w:color="auto" w:fill="auto"/>
                  <w:vAlign w:val="bottom"/>
                </w:tcPr>
                <w:p w14:paraId="7954C6E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603</w:t>
                  </w:r>
                </w:p>
              </w:tc>
              <w:tc>
                <w:tcPr>
                  <w:tcW w:w="555" w:type="pct"/>
                  <w:tcBorders>
                    <w:top w:val="nil"/>
                    <w:left w:val="nil"/>
                    <w:bottom w:val="nil"/>
                    <w:right w:val="nil"/>
                  </w:tcBorders>
                  <w:shd w:val="clear" w:color="auto" w:fill="auto"/>
                  <w:vAlign w:val="bottom"/>
                </w:tcPr>
                <w:p w14:paraId="7954C6E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180</w:t>
                  </w:r>
                </w:p>
              </w:tc>
              <w:tc>
                <w:tcPr>
                  <w:tcW w:w="555" w:type="pct"/>
                  <w:tcBorders>
                    <w:top w:val="nil"/>
                    <w:left w:val="nil"/>
                    <w:bottom w:val="nil"/>
                    <w:right w:val="nil"/>
                  </w:tcBorders>
                  <w:shd w:val="clear" w:color="auto" w:fill="auto"/>
                  <w:vAlign w:val="bottom"/>
                </w:tcPr>
                <w:p w14:paraId="7954C6E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151</w:t>
                  </w:r>
                </w:p>
              </w:tc>
              <w:tc>
                <w:tcPr>
                  <w:tcW w:w="553" w:type="pct"/>
                  <w:tcBorders>
                    <w:top w:val="nil"/>
                    <w:left w:val="nil"/>
                    <w:bottom w:val="nil"/>
                    <w:right w:val="nil"/>
                  </w:tcBorders>
                  <w:shd w:val="clear" w:color="auto" w:fill="auto"/>
                  <w:vAlign w:val="bottom"/>
                </w:tcPr>
                <w:p w14:paraId="7954C6E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83</w:t>
                  </w:r>
                </w:p>
              </w:tc>
            </w:tr>
            <w:tr w:rsidR="00F05DC7" w:rsidRPr="00A75ED1" w14:paraId="7954C6EF" w14:textId="77777777" w:rsidTr="00A3786D">
              <w:tc>
                <w:tcPr>
                  <w:tcW w:w="556" w:type="pct"/>
                </w:tcPr>
                <w:p w14:paraId="7954C6E6"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6E7" w14:textId="77777777" w:rsidR="00F05DC7" w:rsidRPr="00A75ED1" w:rsidRDefault="00F05DC7" w:rsidP="00A3786D">
                  <w:pPr>
                    <w:pStyle w:val="TableBodyText"/>
                    <w:rPr>
                      <w:rFonts w:cs="Arial"/>
                      <w:szCs w:val="18"/>
                    </w:rPr>
                  </w:pPr>
                  <w:r w:rsidRPr="00A75ED1">
                    <w:rPr>
                      <w:rFonts w:cs="Arial"/>
                      <w:color w:val="000000"/>
                      <w:szCs w:val="18"/>
                    </w:rPr>
                    <w:t>2070</w:t>
                  </w:r>
                </w:p>
              </w:tc>
              <w:tc>
                <w:tcPr>
                  <w:tcW w:w="557" w:type="pct"/>
                  <w:tcBorders>
                    <w:top w:val="nil"/>
                    <w:left w:val="nil"/>
                    <w:bottom w:val="nil"/>
                    <w:right w:val="nil"/>
                  </w:tcBorders>
                  <w:shd w:val="clear" w:color="auto" w:fill="auto"/>
                  <w:vAlign w:val="bottom"/>
                </w:tcPr>
                <w:p w14:paraId="7954C6E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676</w:t>
                  </w:r>
                </w:p>
              </w:tc>
              <w:tc>
                <w:tcPr>
                  <w:tcW w:w="556" w:type="pct"/>
                  <w:tcBorders>
                    <w:top w:val="nil"/>
                    <w:left w:val="nil"/>
                    <w:bottom w:val="nil"/>
                    <w:right w:val="nil"/>
                  </w:tcBorders>
                  <w:shd w:val="clear" w:color="auto" w:fill="auto"/>
                  <w:vAlign w:val="bottom"/>
                </w:tcPr>
                <w:p w14:paraId="7954C6E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1842</w:t>
                  </w:r>
                </w:p>
              </w:tc>
              <w:tc>
                <w:tcPr>
                  <w:tcW w:w="556" w:type="pct"/>
                  <w:tcBorders>
                    <w:top w:val="nil"/>
                    <w:left w:val="nil"/>
                    <w:bottom w:val="nil"/>
                    <w:right w:val="nil"/>
                  </w:tcBorders>
                  <w:shd w:val="clear" w:color="auto" w:fill="auto"/>
                  <w:vAlign w:val="bottom"/>
                </w:tcPr>
                <w:p w14:paraId="7954C6EA" w14:textId="77777777" w:rsidR="00F05DC7" w:rsidRPr="00A75ED1" w:rsidRDefault="00F05DC7" w:rsidP="00A3786D">
                  <w:pPr>
                    <w:pStyle w:val="TableBodyText"/>
                    <w:rPr>
                      <w:rFonts w:cs="Arial"/>
                      <w:szCs w:val="18"/>
                    </w:rPr>
                  </w:pPr>
                  <w:r w:rsidRPr="00A75ED1">
                    <w:rPr>
                      <w:rFonts w:cs="Arial"/>
                      <w:color w:val="000000"/>
                      <w:szCs w:val="18"/>
                    </w:rPr>
                    <w:t>1483</w:t>
                  </w:r>
                </w:p>
              </w:tc>
              <w:tc>
                <w:tcPr>
                  <w:tcW w:w="555" w:type="pct"/>
                  <w:tcBorders>
                    <w:top w:val="nil"/>
                    <w:left w:val="nil"/>
                    <w:bottom w:val="nil"/>
                    <w:right w:val="nil"/>
                  </w:tcBorders>
                  <w:shd w:val="clear" w:color="auto" w:fill="auto"/>
                  <w:vAlign w:val="bottom"/>
                </w:tcPr>
                <w:p w14:paraId="7954C6E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613</w:t>
                  </w:r>
                </w:p>
              </w:tc>
              <w:tc>
                <w:tcPr>
                  <w:tcW w:w="555" w:type="pct"/>
                  <w:tcBorders>
                    <w:top w:val="nil"/>
                    <w:left w:val="nil"/>
                    <w:bottom w:val="nil"/>
                    <w:right w:val="nil"/>
                  </w:tcBorders>
                  <w:shd w:val="clear" w:color="auto" w:fill="auto"/>
                  <w:vAlign w:val="bottom"/>
                </w:tcPr>
                <w:p w14:paraId="7954C6E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183</w:t>
                  </w:r>
                </w:p>
              </w:tc>
              <w:tc>
                <w:tcPr>
                  <w:tcW w:w="555" w:type="pct"/>
                  <w:tcBorders>
                    <w:top w:val="nil"/>
                    <w:left w:val="nil"/>
                    <w:bottom w:val="nil"/>
                    <w:right w:val="nil"/>
                  </w:tcBorders>
                  <w:shd w:val="clear" w:color="auto" w:fill="auto"/>
                  <w:vAlign w:val="bottom"/>
                </w:tcPr>
                <w:p w14:paraId="7954C6E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154</w:t>
                  </w:r>
                </w:p>
              </w:tc>
              <w:tc>
                <w:tcPr>
                  <w:tcW w:w="553" w:type="pct"/>
                  <w:tcBorders>
                    <w:top w:val="nil"/>
                    <w:left w:val="nil"/>
                    <w:bottom w:val="nil"/>
                    <w:right w:val="nil"/>
                  </w:tcBorders>
                  <w:shd w:val="clear" w:color="auto" w:fill="auto"/>
                  <w:vAlign w:val="bottom"/>
                </w:tcPr>
                <w:p w14:paraId="7954C6E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84</w:t>
                  </w:r>
                </w:p>
              </w:tc>
            </w:tr>
            <w:tr w:rsidR="00F05DC7" w:rsidRPr="00A75ED1" w14:paraId="7954C6F9" w14:textId="77777777" w:rsidTr="00A3786D">
              <w:tc>
                <w:tcPr>
                  <w:tcW w:w="556" w:type="pct"/>
                </w:tcPr>
                <w:p w14:paraId="7954C6F0"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6F1" w14:textId="77777777" w:rsidR="00F05DC7" w:rsidRPr="00A75ED1" w:rsidRDefault="00F05DC7" w:rsidP="00A3786D">
                  <w:pPr>
                    <w:pStyle w:val="TableBodyText"/>
                    <w:rPr>
                      <w:rFonts w:cs="Arial"/>
                      <w:szCs w:val="18"/>
                    </w:rPr>
                  </w:pPr>
                  <w:r w:rsidRPr="00A75ED1">
                    <w:rPr>
                      <w:rFonts w:cs="Arial"/>
                      <w:color w:val="000000"/>
                      <w:szCs w:val="18"/>
                    </w:rPr>
                    <w:t>2111</w:t>
                  </w:r>
                </w:p>
              </w:tc>
              <w:tc>
                <w:tcPr>
                  <w:tcW w:w="557" w:type="pct"/>
                  <w:tcBorders>
                    <w:top w:val="nil"/>
                    <w:left w:val="nil"/>
                    <w:bottom w:val="nil"/>
                    <w:right w:val="nil"/>
                  </w:tcBorders>
                  <w:shd w:val="clear" w:color="auto" w:fill="auto"/>
                  <w:vAlign w:val="bottom"/>
                </w:tcPr>
                <w:p w14:paraId="7954C6F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479</w:t>
                  </w:r>
                </w:p>
              </w:tc>
              <w:tc>
                <w:tcPr>
                  <w:tcW w:w="556" w:type="pct"/>
                  <w:tcBorders>
                    <w:top w:val="nil"/>
                    <w:left w:val="nil"/>
                    <w:bottom w:val="nil"/>
                    <w:right w:val="nil"/>
                  </w:tcBorders>
                  <w:shd w:val="clear" w:color="auto" w:fill="auto"/>
                  <w:vAlign w:val="bottom"/>
                </w:tcPr>
                <w:p w14:paraId="7954C6F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1898</w:t>
                  </w:r>
                </w:p>
              </w:tc>
              <w:tc>
                <w:tcPr>
                  <w:tcW w:w="556" w:type="pct"/>
                  <w:tcBorders>
                    <w:top w:val="nil"/>
                    <w:left w:val="nil"/>
                    <w:bottom w:val="nil"/>
                    <w:right w:val="nil"/>
                  </w:tcBorders>
                  <w:shd w:val="clear" w:color="auto" w:fill="auto"/>
                  <w:vAlign w:val="bottom"/>
                </w:tcPr>
                <w:p w14:paraId="7954C6F4" w14:textId="77777777" w:rsidR="00F05DC7" w:rsidRPr="00A75ED1" w:rsidRDefault="00F05DC7" w:rsidP="00A3786D">
                  <w:pPr>
                    <w:pStyle w:val="TableBodyText"/>
                    <w:rPr>
                      <w:rFonts w:cs="Arial"/>
                      <w:szCs w:val="18"/>
                    </w:rPr>
                  </w:pPr>
                  <w:r w:rsidRPr="00A75ED1">
                    <w:rPr>
                      <w:rFonts w:cs="Arial"/>
                      <w:color w:val="000000"/>
                      <w:szCs w:val="18"/>
                    </w:rPr>
                    <w:t>1326</w:t>
                  </w:r>
                </w:p>
              </w:tc>
              <w:tc>
                <w:tcPr>
                  <w:tcW w:w="555" w:type="pct"/>
                  <w:tcBorders>
                    <w:top w:val="nil"/>
                    <w:left w:val="nil"/>
                    <w:bottom w:val="nil"/>
                    <w:right w:val="nil"/>
                  </w:tcBorders>
                  <w:shd w:val="clear" w:color="auto" w:fill="auto"/>
                  <w:vAlign w:val="bottom"/>
                </w:tcPr>
                <w:p w14:paraId="7954C6F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628</w:t>
                  </w:r>
                </w:p>
              </w:tc>
              <w:tc>
                <w:tcPr>
                  <w:tcW w:w="555" w:type="pct"/>
                  <w:tcBorders>
                    <w:top w:val="nil"/>
                    <w:left w:val="nil"/>
                    <w:bottom w:val="nil"/>
                    <w:right w:val="nil"/>
                  </w:tcBorders>
                  <w:shd w:val="clear" w:color="auto" w:fill="auto"/>
                  <w:vAlign w:val="bottom"/>
                </w:tcPr>
                <w:p w14:paraId="7954C6F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187</w:t>
                  </w:r>
                </w:p>
              </w:tc>
              <w:tc>
                <w:tcPr>
                  <w:tcW w:w="555" w:type="pct"/>
                  <w:tcBorders>
                    <w:top w:val="nil"/>
                    <w:left w:val="nil"/>
                    <w:bottom w:val="nil"/>
                    <w:right w:val="nil"/>
                  </w:tcBorders>
                  <w:shd w:val="clear" w:color="auto" w:fill="auto"/>
                  <w:vAlign w:val="bottom"/>
                </w:tcPr>
                <w:p w14:paraId="7954C6F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159</w:t>
                  </w:r>
                </w:p>
              </w:tc>
              <w:tc>
                <w:tcPr>
                  <w:tcW w:w="553" w:type="pct"/>
                  <w:tcBorders>
                    <w:top w:val="nil"/>
                    <w:left w:val="nil"/>
                    <w:bottom w:val="nil"/>
                    <w:right w:val="nil"/>
                  </w:tcBorders>
                  <w:shd w:val="clear" w:color="auto" w:fill="auto"/>
                  <w:vAlign w:val="bottom"/>
                </w:tcPr>
                <w:p w14:paraId="7954C6F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86</w:t>
                  </w:r>
                </w:p>
              </w:tc>
            </w:tr>
            <w:tr w:rsidR="00F05DC7" w:rsidRPr="00A75ED1" w14:paraId="7954C703" w14:textId="77777777" w:rsidTr="002341D7">
              <w:tc>
                <w:tcPr>
                  <w:tcW w:w="556" w:type="pct"/>
                </w:tcPr>
                <w:p w14:paraId="7954C6FA"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C6FB" w14:textId="77777777" w:rsidR="00F05DC7" w:rsidRPr="00A75ED1" w:rsidRDefault="00F05DC7" w:rsidP="00A3786D">
                  <w:pPr>
                    <w:pStyle w:val="TableBodyText"/>
                    <w:rPr>
                      <w:rFonts w:cs="Arial"/>
                      <w:szCs w:val="18"/>
                    </w:rPr>
                  </w:pPr>
                  <w:r w:rsidRPr="00A75ED1">
                    <w:rPr>
                      <w:rFonts w:cs="Arial"/>
                      <w:color w:val="000000"/>
                      <w:szCs w:val="18"/>
                    </w:rPr>
                    <w:t>2079</w:t>
                  </w:r>
                </w:p>
              </w:tc>
              <w:tc>
                <w:tcPr>
                  <w:tcW w:w="557" w:type="pct"/>
                  <w:tcBorders>
                    <w:top w:val="nil"/>
                    <w:left w:val="nil"/>
                    <w:right w:val="nil"/>
                  </w:tcBorders>
                  <w:shd w:val="clear" w:color="auto" w:fill="auto"/>
                  <w:vAlign w:val="bottom"/>
                </w:tcPr>
                <w:p w14:paraId="7954C6F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317</w:t>
                  </w:r>
                </w:p>
              </w:tc>
              <w:tc>
                <w:tcPr>
                  <w:tcW w:w="556" w:type="pct"/>
                  <w:tcBorders>
                    <w:top w:val="nil"/>
                    <w:left w:val="nil"/>
                    <w:right w:val="nil"/>
                  </w:tcBorders>
                  <w:shd w:val="clear" w:color="auto" w:fill="auto"/>
                  <w:vAlign w:val="bottom"/>
                </w:tcPr>
                <w:p w14:paraId="7954C6F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1961</w:t>
                  </w:r>
                </w:p>
              </w:tc>
              <w:tc>
                <w:tcPr>
                  <w:tcW w:w="556" w:type="pct"/>
                  <w:tcBorders>
                    <w:top w:val="nil"/>
                    <w:left w:val="nil"/>
                    <w:right w:val="nil"/>
                  </w:tcBorders>
                  <w:shd w:val="clear" w:color="auto" w:fill="auto"/>
                  <w:vAlign w:val="bottom"/>
                </w:tcPr>
                <w:p w14:paraId="7954C6FE" w14:textId="77777777" w:rsidR="00F05DC7" w:rsidRPr="00A75ED1" w:rsidRDefault="00F05DC7" w:rsidP="00A3786D">
                  <w:pPr>
                    <w:pStyle w:val="TableBodyText"/>
                    <w:rPr>
                      <w:rFonts w:cs="Arial"/>
                      <w:szCs w:val="18"/>
                    </w:rPr>
                  </w:pPr>
                  <w:r w:rsidRPr="00A75ED1">
                    <w:rPr>
                      <w:rFonts w:cs="Arial"/>
                      <w:color w:val="000000"/>
                      <w:szCs w:val="18"/>
                    </w:rPr>
                    <w:t>1287</w:t>
                  </w:r>
                </w:p>
              </w:tc>
              <w:tc>
                <w:tcPr>
                  <w:tcW w:w="555" w:type="pct"/>
                  <w:tcBorders>
                    <w:top w:val="nil"/>
                    <w:left w:val="nil"/>
                    <w:right w:val="nil"/>
                  </w:tcBorders>
                  <w:shd w:val="clear" w:color="auto" w:fill="auto"/>
                  <w:vAlign w:val="bottom"/>
                </w:tcPr>
                <w:p w14:paraId="7954C6F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644</w:t>
                  </w:r>
                </w:p>
              </w:tc>
              <w:tc>
                <w:tcPr>
                  <w:tcW w:w="555" w:type="pct"/>
                  <w:tcBorders>
                    <w:top w:val="nil"/>
                    <w:left w:val="nil"/>
                    <w:right w:val="nil"/>
                  </w:tcBorders>
                  <w:shd w:val="clear" w:color="auto" w:fill="auto"/>
                  <w:vAlign w:val="bottom"/>
                </w:tcPr>
                <w:p w14:paraId="7954C70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191</w:t>
                  </w:r>
                </w:p>
              </w:tc>
              <w:tc>
                <w:tcPr>
                  <w:tcW w:w="555" w:type="pct"/>
                  <w:tcBorders>
                    <w:top w:val="nil"/>
                    <w:left w:val="nil"/>
                    <w:right w:val="nil"/>
                  </w:tcBorders>
                  <w:shd w:val="clear" w:color="auto" w:fill="auto"/>
                  <w:vAlign w:val="bottom"/>
                </w:tcPr>
                <w:p w14:paraId="7954C70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165</w:t>
                  </w:r>
                </w:p>
              </w:tc>
              <w:tc>
                <w:tcPr>
                  <w:tcW w:w="553" w:type="pct"/>
                  <w:tcBorders>
                    <w:top w:val="nil"/>
                    <w:left w:val="nil"/>
                    <w:right w:val="nil"/>
                  </w:tcBorders>
                  <w:shd w:val="clear" w:color="auto" w:fill="auto"/>
                  <w:vAlign w:val="bottom"/>
                </w:tcPr>
                <w:p w14:paraId="7954C70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88</w:t>
                  </w:r>
                </w:p>
              </w:tc>
            </w:tr>
            <w:tr w:rsidR="00F05DC7" w:rsidRPr="00A75ED1" w14:paraId="7954C705" w14:textId="77777777" w:rsidTr="002341D7">
              <w:tc>
                <w:tcPr>
                  <w:tcW w:w="5000" w:type="pct"/>
                  <w:gridSpan w:val="9"/>
                  <w:shd w:val="clear" w:color="auto" w:fill="F2F2F2" w:themeFill="background1" w:themeFillShade="F2"/>
                </w:tcPr>
                <w:p w14:paraId="7954C704"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C70F" w14:textId="77777777" w:rsidTr="00A3786D">
              <w:tc>
                <w:tcPr>
                  <w:tcW w:w="556" w:type="pct"/>
                  <w:vAlign w:val="bottom"/>
                </w:tcPr>
                <w:p w14:paraId="7954C706"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C707" w14:textId="77777777" w:rsidR="00F05DC7" w:rsidRPr="00A75ED1" w:rsidRDefault="00F05DC7" w:rsidP="00A3786D">
                  <w:pPr>
                    <w:pStyle w:val="TableBodyText"/>
                    <w:rPr>
                      <w:rFonts w:cs="Arial"/>
                      <w:szCs w:val="18"/>
                    </w:rPr>
                  </w:pPr>
                  <w:r w:rsidRPr="00A75ED1">
                    <w:rPr>
                      <w:rFonts w:cs="Arial"/>
                      <w:color w:val="000000"/>
                      <w:szCs w:val="18"/>
                    </w:rPr>
                    <w:t>43</w:t>
                  </w:r>
                </w:p>
              </w:tc>
              <w:tc>
                <w:tcPr>
                  <w:tcW w:w="557" w:type="pct"/>
                  <w:tcBorders>
                    <w:top w:val="nil"/>
                    <w:left w:val="nil"/>
                    <w:bottom w:val="nil"/>
                    <w:right w:val="nil"/>
                  </w:tcBorders>
                  <w:shd w:val="clear" w:color="auto" w:fill="auto"/>
                  <w:vAlign w:val="bottom"/>
                </w:tcPr>
                <w:p w14:paraId="7954C70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46</w:t>
                  </w:r>
                </w:p>
              </w:tc>
              <w:tc>
                <w:tcPr>
                  <w:tcW w:w="556" w:type="pct"/>
                  <w:tcBorders>
                    <w:top w:val="nil"/>
                    <w:left w:val="nil"/>
                    <w:bottom w:val="nil"/>
                    <w:right w:val="nil"/>
                  </w:tcBorders>
                  <w:shd w:val="clear" w:color="auto" w:fill="auto"/>
                  <w:vAlign w:val="bottom"/>
                </w:tcPr>
                <w:p w14:paraId="7954C70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73</w:t>
                  </w:r>
                </w:p>
              </w:tc>
              <w:tc>
                <w:tcPr>
                  <w:tcW w:w="556" w:type="pct"/>
                  <w:tcBorders>
                    <w:top w:val="nil"/>
                    <w:left w:val="nil"/>
                    <w:bottom w:val="nil"/>
                    <w:right w:val="nil"/>
                  </w:tcBorders>
                  <w:shd w:val="clear" w:color="auto" w:fill="auto"/>
                  <w:vAlign w:val="bottom"/>
                </w:tcPr>
                <w:p w14:paraId="7954C70A" w14:textId="77777777" w:rsidR="00F05DC7" w:rsidRPr="00A75ED1" w:rsidRDefault="00F05DC7" w:rsidP="00A3786D">
                  <w:pPr>
                    <w:pStyle w:val="TableBodyText"/>
                    <w:rPr>
                      <w:rFonts w:cs="Arial"/>
                      <w:szCs w:val="18"/>
                    </w:rPr>
                  </w:pPr>
                  <w:r w:rsidRPr="00A75ED1">
                    <w:rPr>
                      <w:rFonts w:cs="Arial"/>
                      <w:color w:val="000000"/>
                      <w:szCs w:val="18"/>
                    </w:rPr>
                    <w:t>204</w:t>
                  </w:r>
                </w:p>
              </w:tc>
              <w:tc>
                <w:tcPr>
                  <w:tcW w:w="555" w:type="pct"/>
                  <w:tcBorders>
                    <w:top w:val="nil"/>
                    <w:left w:val="nil"/>
                    <w:bottom w:val="nil"/>
                    <w:right w:val="nil"/>
                  </w:tcBorders>
                  <w:shd w:val="clear" w:color="auto" w:fill="auto"/>
                  <w:vAlign w:val="bottom"/>
                </w:tcPr>
                <w:p w14:paraId="7954C70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73</w:t>
                  </w:r>
                </w:p>
              </w:tc>
              <w:tc>
                <w:tcPr>
                  <w:tcW w:w="555" w:type="pct"/>
                  <w:tcBorders>
                    <w:top w:val="nil"/>
                    <w:left w:val="nil"/>
                    <w:bottom w:val="nil"/>
                    <w:right w:val="nil"/>
                  </w:tcBorders>
                  <w:shd w:val="clear" w:color="auto" w:fill="auto"/>
                  <w:vAlign w:val="bottom"/>
                </w:tcPr>
                <w:p w14:paraId="7954C70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73</w:t>
                  </w:r>
                </w:p>
              </w:tc>
              <w:tc>
                <w:tcPr>
                  <w:tcW w:w="555" w:type="pct"/>
                  <w:tcBorders>
                    <w:top w:val="nil"/>
                    <w:left w:val="nil"/>
                    <w:bottom w:val="nil"/>
                    <w:right w:val="nil"/>
                  </w:tcBorders>
                  <w:shd w:val="clear" w:color="auto" w:fill="auto"/>
                  <w:vAlign w:val="bottom"/>
                </w:tcPr>
                <w:p w14:paraId="7954C70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73</w:t>
                  </w:r>
                </w:p>
              </w:tc>
              <w:tc>
                <w:tcPr>
                  <w:tcW w:w="553" w:type="pct"/>
                  <w:tcBorders>
                    <w:top w:val="nil"/>
                    <w:left w:val="nil"/>
                    <w:bottom w:val="nil"/>
                    <w:right w:val="nil"/>
                  </w:tcBorders>
                  <w:shd w:val="clear" w:color="auto" w:fill="auto"/>
                  <w:vAlign w:val="bottom"/>
                </w:tcPr>
                <w:p w14:paraId="7954C70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73</w:t>
                  </w:r>
                </w:p>
              </w:tc>
            </w:tr>
            <w:tr w:rsidR="00F05DC7" w:rsidRPr="00A75ED1" w14:paraId="7954C719" w14:textId="77777777" w:rsidTr="00A3786D">
              <w:tc>
                <w:tcPr>
                  <w:tcW w:w="556" w:type="pct"/>
                  <w:vAlign w:val="bottom"/>
                </w:tcPr>
                <w:p w14:paraId="7954C710"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C711" w14:textId="77777777" w:rsidR="00F05DC7" w:rsidRPr="00A75ED1" w:rsidRDefault="00F05DC7" w:rsidP="00A3786D">
                  <w:pPr>
                    <w:pStyle w:val="TableBodyText"/>
                    <w:rPr>
                      <w:rFonts w:cs="Arial"/>
                      <w:szCs w:val="18"/>
                    </w:rPr>
                  </w:pPr>
                  <w:r w:rsidRPr="00A75ED1">
                    <w:rPr>
                      <w:rFonts w:cs="Arial"/>
                      <w:color w:val="000000"/>
                      <w:szCs w:val="18"/>
                    </w:rPr>
                    <w:t>99</w:t>
                  </w:r>
                </w:p>
              </w:tc>
              <w:tc>
                <w:tcPr>
                  <w:tcW w:w="557" w:type="pct"/>
                  <w:tcBorders>
                    <w:top w:val="nil"/>
                    <w:left w:val="nil"/>
                    <w:bottom w:val="nil"/>
                    <w:right w:val="nil"/>
                  </w:tcBorders>
                  <w:shd w:val="clear" w:color="auto" w:fill="auto"/>
                  <w:vAlign w:val="bottom"/>
                </w:tcPr>
                <w:p w14:paraId="7954C71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85</w:t>
                  </w:r>
                </w:p>
              </w:tc>
              <w:tc>
                <w:tcPr>
                  <w:tcW w:w="556" w:type="pct"/>
                  <w:tcBorders>
                    <w:top w:val="nil"/>
                    <w:left w:val="nil"/>
                    <w:bottom w:val="nil"/>
                    <w:right w:val="nil"/>
                  </w:tcBorders>
                  <w:shd w:val="clear" w:color="auto" w:fill="auto"/>
                  <w:vAlign w:val="bottom"/>
                </w:tcPr>
                <w:p w14:paraId="7954C71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153</w:t>
                  </w:r>
                </w:p>
              </w:tc>
              <w:tc>
                <w:tcPr>
                  <w:tcW w:w="556" w:type="pct"/>
                  <w:tcBorders>
                    <w:top w:val="nil"/>
                    <w:left w:val="nil"/>
                    <w:bottom w:val="nil"/>
                    <w:right w:val="nil"/>
                  </w:tcBorders>
                  <w:shd w:val="clear" w:color="auto" w:fill="auto"/>
                  <w:vAlign w:val="bottom"/>
                </w:tcPr>
                <w:p w14:paraId="7954C714" w14:textId="77777777" w:rsidR="00F05DC7" w:rsidRPr="00A75ED1" w:rsidRDefault="00F05DC7" w:rsidP="00A3786D">
                  <w:pPr>
                    <w:pStyle w:val="TableBodyText"/>
                    <w:rPr>
                      <w:rFonts w:cs="Arial"/>
                      <w:szCs w:val="18"/>
                    </w:rPr>
                  </w:pPr>
                  <w:r w:rsidRPr="00A75ED1">
                    <w:rPr>
                      <w:rFonts w:cs="Arial"/>
                      <w:color w:val="000000"/>
                      <w:szCs w:val="18"/>
                    </w:rPr>
                    <w:t>372</w:t>
                  </w:r>
                </w:p>
              </w:tc>
              <w:tc>
                <w:tcPr>
                  <w:tcW w:w="555" w:type="pct"/>
                  <w:tcBorders>
                    <w:top w:val="nil"/>
                    <w:left w:val="nil"/>
                    <w:bottom w:val="nil"/>
                    <w:right w:val="nil"/>
                  </w:tcBorders>
                  <w:shd w:val="clear" w:color="auto" w:fill="auto"/>
                  <w:vAlign w:val="bottom"/>
                </w:tcPr>
                <w:p w14:paraId="7954C71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153</w:t>
                  </w:r>
                </w:p>
              </w:tc>
              <w:tc>
                <w:tcPr>
                  <w:tcW w:w="555" w:type="pct"/>
                  <w:tcBorders>
                    <w:top w:val="nil"/>
                    <w:left w:val="nil"/>
                    <w:bottom w:val="nil"/>
                    <w:right w:val="nil"/>
                  </w:tcBorders>
                  <w:shd w:val="clear" w:color="auto" w:fill="auto"/>
                  <w:vAlign w:val="bottom"/>
                </w:tcPr>
                <w:p w14:paraId="7954C71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153</w:t>
                  </w:r>
                </w:p>
              </w:tc>
              <w:tc>
                <w:tcPr>
                  <w:tcW w:w="555" w:type="pct"/>
                  <w:tcBorders>
                    <w:top w:val="nil"/>
                    <w:left w:val="nil"/>
                    <w:bottom w:val="nil"/>
                    <w:right w:val="nil"/>
                  </w:tcBorders>
                  <w:shd w:val="clear" w:color="auto" w:fill="auto"/>
                  <w:vAlign w:val="bottom"/>
                </w:tcPr>
                <w:p w14:paraId="7954C71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153</w:t>
                  </w:r>
                </w:p>
              </w:tc>
              <w:tc>
                <w:tcPr>
                  <w:tcW w:w="553" w:type="pct"/>
                  <w:tcBorders>
                    <w:top w:val="nil"/>
                    <w:left w:val="nil"/>
                    <w:bottom w:val="nil"/>
                    <w:right w:val="nil"/>
                  </w:tcBorders>
                  <w:shd w:val="clear" w:color="auto" w:fill="auto"/>
                  <w:vAlign w:val="bottom"/>
                </w:tcPr>
                <w:p w14:paraId="7954C71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153</w:t>
                  </w:r>
                </w:p>
              </w:tc>
            </w:tr>
            <w:tr w:rsidR="00F05DC7" w:rsidRPr="00A75ED1" w14:paraId="7954C723" w14:textId="77777777" w:rsidTr="00A3786D">
              <w:tc>
                <w:tcPr>
                  <w:tcW w:w="556" w:type="pct"/>
                  <w:vAlign w:val="bottom"/>
                </w:tcPr>
                <w:p w14:paraId="7954C71A"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C71B" w14:textId="77777777" w:rsidR="00F05DC7" w:rsidRPr="00A75ED1" w:rsidRDefault="00F05DC7" w:rsidP="00A3786D">
                  <w:pPr>
                    <w:pStyle w:val="TableBodyText"/>
                    <w:rPr>
                      <w:rFonts w:cs="Arial"/>
                      <w:szCs w:val="18"/>
                    </w:rPr>
                  </w:pPr>
                  <w:r w:rsidRPr="00A75ED1">
                    <w:rPr>
                      <w:rFonts w:cs="Arial"/>
                      <w:color w:val="000000"/>
                      <w:szCs w:val="18"/>
                    </w:rPr>
                    <w:t>151</w:t>
                  </w:r>
                </w:p>
              </w:tc>
              <w:tc>
                <w:tcPr>
                  <w:tcW w:w="557" w:type="pct"/>
                  <w:tcBorders>
                    <w:top w:val="nil"/>
                    <w:left w:val="nil"/>
                    <w:bottom w:val="nil"/>
                    <w:right w:val="nil"/>
                  </w:tcBorders>
                  <w:shd w:val="clear" w:color="auto" w:fill="auto"/>
                  <w:vAlign w:val="bottom"/>
                </w:tcPr>
                <w:p w14:paraId="7954C71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118</w:t>
                  </w:r>
                </w:p>
              </w:tc>
              <w:tc>
                <w:tcPr>
                  <w:tcW w:w="556" w:type="pct"/>
                  <w:tcBorders>
                    <w:top w:val="nil"/>
                    <w:left w:val="nil"/>
                    <w:bottom w:val="nil"/>
                    <w:right w:val="nil"/>
                  </w:tcBorders>
                  <w:shd w:val="clear" w:color="auto" w:fill="auto"/>
                  <w:vAlign w:val="bottom"/>
                </w:tcPr>
                <w:p w14:paraId="7954C71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237</w:t>
                  </w:r>
                </w:p>
              </w:tc>
              <w:tc>
                <w:tcPr>
                  <w:tcW w:w="556" w:type="pct"/>
                  <w:tcBorders>
                    <w:top w:val="nil"/>
                    <w:left w:val="nil"/>
                    <w:bottom w:val="nil"/>
                    <w:right w:val="nil"/>
                  </w:tcBorders>
                  <w:shd w:val="clear" w:color="auto" w:fill="auto"/>
                  <w:vAlign w:val="bottom"/>
                </w:tcPr>
                <w:p w14:paraId="7954C71E" w14:textId="77777777" w:rsidR="00F05DC7" w:rsidRPr="00A75ED1" w:rsidRDefault="00F05DC7" w:rsidP="00A3786D">
                  <w:pPr>
                    <w:pStyle w:val="TableBodyText"/>
                    <w:rPr>
                      <w:rFonts w:cs="Arial"/>
                      <w:szCs w:val="18"/>
                    </w:rPr>
                  </w:pPr>
                  <w:r w:rsidRPr="00A75ED1">
                    <w:rPr>
                      <w:rFonts w:cs="Arial"/>
                      <w:color w:val="000000"/>
                      <w:szCs w:val="18"/>
                    </w:rPr>
                    <w:t>555</w:t>
                  </w:r>
                </w:p>
              </w:tc>
              <w:tc>
                <w:tcPr>
                  <w:tcW w:w="555" w:type="pct"/>
                  <w:tcBorders>
                    <w:top w:val="nil"/>
                    <w:left w:val="nil"/>
                    <w:bottom w:val="nil"/>
                    <w:right w:val="nil"/>
                  </w:tcBorders>
                  <w:shd w:val="clear" w:color="auto" w:fill="auto"/>
                  <w:vAlign w:val="bottom"/>
                </w:tcPr>
                <w:p w14:paraId="7954C71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237</w:t>
                  </w:r>
                </w:p>
              </w:tc>
              <w:tc>
                <w:tcPr>
                  <w:tcW w:w="555" w:type="pct"/>
                  <w:tcBorders>
                    <w:top w:val="nil"/>
                    <w:left w:val="nil"/>
                    <w:bottom w:val="nil"/>
                    <w:right w:val="nil"/>
                  </w:tcBorders>
                  <w:shd w:val="clear" w:color="auto" w:fill="auto"/>
                  <w:vAlign w:val="bottom"/>
                </w:tcPr>
                <w:p w14:paraId="7954C72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237</w:t>
                  </w:r>
                </w:p>
              </w:tc>
              <w:tc>
                <w:tcPr>
                  <w:tcW w:w="555" w:type="pct"/>
                  <w:tcBorders>
                    <w:top w:val="nil"/>
                    <w:left w:val="nil"/>
                    <w:bottom w:val="nil"/>
                    <w:right w:val="nil"/>
                  </w:tcBorders>
                  <w:shd w:val="clear" w:color="auto" w:fill="auto"/>
                  <w:vAlign w:val="bottom"/>
                </w:tcPr>
                <w:p w14:paraId="7954C72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237</w:t>
                  </w:r>
                </w:p>
              </w:tc>
              <w:tc>
                <w:tcPr>
                  <w:tcW w:w="553" w:type="pct"/>
                  <w:tcBorders>
                    <w:top w:val="nil"/>
                    <w:left w:val="nil"/>
                    <w:bottom w:val="nil"/>
                    <w:right w:val="nil"/>
                  </w:tcBorders>
                  <w:shd w:val="clear" w:color="auto" w:fill="auto"/>
                  <w:vAlign w:val="bottom"/>
                </w:tcPr>
                <w:p w14:paraId="7954C72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237</w:t>
                  </w:r>
                </w:p>
              </w:tc>
            </w:tr>
            <w:tr w:rsidR="00F05DC7" w:rsidRPr="00A75ED1" w14:paraId="7954C72D" w14:textId="77777777" w:rsidTr="00A3786D">
              <w:tc>
                <w:tcPr>
                  <w:tcW w:w="556" w:type="pct"/>
                </w:tcPr>
                <w:p w14:paraId="7954C724"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C725" w14:textId="77777777" w:rsidR="00F05DC7" w:rsidRPr="00A75ED1" w:rsidRDefault="00F05DC7" w:rsidP="00A3786D">
                  <w:pPr>
                    <w:pStyle w:val="TableBodyText"/>
                    <w:rPr>
                      <w:rFonts w:cs="Arial"/>
                      <w:szCs w:val="18"/>
                    </w:rPr>
                  </w:pPr>
                  <w:r w:rsidRPr="00A75ED1">
                    <w:rPr>
                      <w:rFonts w:cs="Arial"/>
                      <w:color w:val="000000"/>
                      <w:szCs w:val="18"/>
                    </w:rPr>
                    <w:t>222</w:t>
                  </w:r>
                </w:p>
              </w:tc>
              <w:tc>
                <w:tcPr>
                  <w:tcW w:w="557" w:type="pct"/>
                  <w:tcBorders>
                    <w:top w:val="nil"/>
                    <w:left w:val="nil"/>
                    <w:bottom w:val="nil"/>
                    <w:right w:val="nil"/>
                  </w:tcBorders>
                  <w:shd w:val="clear" w:color="auto" w:fill="auto"/>
                  <w:vAlign w:val="bottom"/>
                </w:tcPr>
                <w:p w14:paraId="7954C72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138</w:t>
                  </w:r>
                </w:p>
              </w:tc>
              <w:tc>
                <w:tcPr>
                  <w:tcW w:w="556" w:type="pct"/>
                  <w:tcBorders>
                    <w:top w:val="nil"/>
                    <w:left w:val="nil"/>
                    <w:bottom w:val="nil"/>
                    <w:right w:val="nil"/>
                  </w:tcBorders>
                  <w:shd w:val="clear" w:color="auto" w:fill="auto"/>
                  <w:vAlign w:val="bottom"/>
                </w:tcPr>
                <w:p w14:paraId="7954C72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c>
                <w:tcPr>
                  <w:tcW w:w="556" w:type="pct"/>
                  <w:tcBorders>
                    <w:top w:val="nil"/>
                    <w:left w:val="nil"/>
                    <w:bottom w:val="nil"/>
                    <w:right w:val="nil"/>
                  </w:tcBorders>
                  <w:shd w:val="clear" w:color="auto" w:fill="auto"/>
                  <w:vAlign w:val="bottom"/>
                </w:tcPr>
                <w:p w14:paraId="7954C728" w14:textId="77777777" w:rsidR="00F05DC7" w:rsidRPr="00A75ED1" w:rsidRDefault="00F05DC7" w:rsidP="00A3786D">
                  <w:pPr>
                    <w:pStyle w:val="TableBodyText"/>
                    <w:rPr>
                      <w:rFonts w:cs="Arial"/>
                      <w:szCs w:val="18"/>
                    </w:rPr>
                  </w:pPr>
                  <w:r w:rsidRPr="00A75ED1">
                    <w:rPr>
                      <w:rFonts w:cs="Arial"/>
                      <w:color w:val="000000"/>
                      <w:szCs w:val="18"/>
                    </w:rPr>
                    <w:t>676</w:t>
                  </w:r>
                </w:p>
              </w:tc>
              <w:tc>
                <w:tcPr>
                  <w:tcW w:w="555" w:type="pct"/>
                  <w:tcBorders>
                    <w:top w:val="nil"/>
                    <w:left w:val="nil"/>
                    <w:bottom w:val="nil"/>
                    <w:right w:val="nil"/>
                  </w:tcBorders>
                  <w:shd w:val="clear" w:color="auto" w:fill="auto"/>
                  <w:vAlign w:val="bottom"/>
                </w:tcPr>
                <w:p w14:paraId="7954C72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c>
                <w:tcPr>
                  <w:tcW w:w="555" w:type="pct"/>
                  <w:tcBorders>
                    <w:top w:val="nil"/>
                    <w:left w:val="nil"/>
                    <w:bottom w:val="nil"/>
                    <w:right w:val="nil"/>
                  </w:tcBorders>
                  <w:shd w:val="clear" w:color="auto" w:fill="auto"/>
                  <w:vAlign w:val="bottom"/>
                </w:tcPr>
                <w:p w14:paraId="7954C72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c>
                <w:tcPr>
                  <w:tcW w:w="555" w:type="pct"/>
                  <w:tcBorders>
                    <w:top w:val="nil"/>
                    <w:left w:val="nil"/>
                    <w:bottom w:val="nil"/>
                    <w:right w:val="nil"/>
                  </w:tcBorders>
                  <w:shd w:val="clear" w:color="auto" w:fill="auto"/>
                  <w:vAlign w:val="bottom"/>
                </w:tcPr>
                <w:p w14:paraId="7954C72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c>
                <w:tcPr>
                  <w:tcW w:w="553" w:type="pct"/>
                  <w:tcBorders>
                    <w:top w:val="nil"/>
                    <w:left w:val="nil"/>
                    <w:bottom w:val="nil"/>
                    <w:right w:val="nil"/>
                  </w:tcBorders>
                  <w:shd w:val="clear" w:color="auto" w:fill="auto"/>
                  <w:vAlign w:val="bottom"/>
                </w:tcPr>
                <w:p w14:paraId="7954C72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r>
            <w:tr w:rsidR="00F05DC7" w:rsidRPr="00A75ED1" w14:paraId="7954C737" w14:textId="77777777" w:rsidTr="00A3786D">
              <w:tc>
                <w:tcPr>
                  <w:tcW w:w="556" w:type="pct"/>
                </w:tcPr>
                <w:p w14:paraId="7954C72E"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72F" w14:textId="77777777" w:rsidR="00F05DC7" w:rsidRPr="00A75ED1" w:rsidRDefault="00F05DC7" w:rsidP="00A3786D">
                  <w:pPr>
                    <w:pStyle w:val="TableBodyText"/>
                    <w:rPr>
                      <w:rFonts w:cs="Arial"/>
                      <w:szCs w:val="18"/>
                    </w:rPr>
                  </w:pPr>
                  <w:r w:rsidRPr="00A75ED1">
                    <w:rPr>
                      <w:rFonts w:cs="Arial"/>
                      <w:color w:val="000000"/>
                      <w:szCs w:val="18"/>
                    </w:rPr>
                    <w:t>233</w:t>
                  </w:r>
                </w:p>
              </w:tc>
              <w:tc>
                <w:tcPr>
                  <w:tcW w:w="557" w:type="pct"/>
                  <w:tcBorders>
                    <w:top w:val="nil"/>
                    <w:left w:val="nil"/>
                    <w:bottom w:val="nil"/>
                    <w:right w:val="nil"/>
                  </w:tcBorders>
                  <w:shd w:val="clear" w:color="auto" w:fill="auto"/>
                  <w:vAlign w:val="bottom"/>
                </w:tcPr>
                <w:p w14:paraId="7954C73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115</w:t>
                  </w:r>
                </w:p>
              </w:tc>
              <w:tc>
                <w:tcPr>
                  <w:tcW w:w="556" w:type="pct"/>
                  <w:tcBorders>
                    <w:top w:val="nil"/>
                    <w:left w:val="nil"/>
                    <w:bottom w:val="nil"/>
                    <w:right w:val="nil"/>
                  </w:tcBorders>
                  <w:shd w:val="clear" w:color="auto" w:fill="auto"/>
                  <w:vAlign w:val="bottom"/>
                </w:tcPr>
                <w:p w14:paraId="7954C73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334</w:t>
                  </w:r>
                </w:p>
              </w:tc>
              <w:tc>
                <w:tcPr>
                  <w:tcW w:w="556" w:type="pct"/>
                  <w:tcBorders>
                    <w:top w:val="nil"/>
                    <w:left w:val="nil"/>
                    <w:bottom w:val="nil"/>
                    <w:right w:val="nil"/>
                  </w:tcBorders>
                  <w:shd w:val="clear" w:color="auto" w:fill="auto"/>
                  <w:vAlign w:val="bottom"/>
                </w:tcPr>
                <w:p w14:paraId="7954C732" w14:textId="77777777" w:rsidR="00F05DC7" w:rsidRPr="00A75ED1" w:rsidRDefault="00F05DC7" w:rsidP="00A3786D">
                  <w:pPr>
                    <w:pStyle w:val="TableBodyText"/>
                    <w:rPr>
                      <w:rFonts w:cs="Arial"/>
                      <w:szCs w:val="18"/>
                    </w:rPr>
                  </w:pPr>
                  <w:r w:rsidRPr="00A75ED1">
                    <w:rPr>
                      <w:rFonts w:cs="Arial"/>
                      <w:color w:val="000000"/>
                      <w:szCs w:val="18"/>
                    </w:rPr>
                    <w:t>587</w:t>
                  </w:r>
                </w:p>
              </w:tc>
              <w:tc>
                <w:tcPr>
                  <w:tcW w:w="555" w:type="pct"/>
                  <w:tcBorders>
                    <w:top w:val="nil"/>
                    <w:left w:val="nil"/>
                    <w:bottom w:val="nil"/>
                    <w:right w:val="nil"/>
                  </w:tcBorders>
                  <w:shd w:val="clear" w:color="auto" w:fill="auto"/>
                  <w:vAlign w:val="bottom"/>
                </w:tcPr>
                <w:p w14:paraId="7954C73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334</w:t>
                  </w:r>
                </w:p>
              </w:tc>
              <w:tc>
                <w:tcPr>
                  <w:tcW w:w="555" w:type="pct"/>
                  <w:tcBorders>
                    <w:top w:val="nil"/>
                    <w:left w:val="nil"/>
                    <w:bottom w:val="nil"/>
                    <w:right w:val="nil"/>
                  </w:tcBorders>
                  <w:shd w:val="clear" w:color="auto" w:fill="auto"/>
                  <w:vAlign w:val="bottom"/>
                </w:tcPr>
                <w:p w14:paraId="7954C73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334</w:t>
                  </w:r>
                </w:p>
              </w:tc>
              <w:tc>
                <w:tcPr>
                  <w:tcW w:w="555" w:type="pct"/>
                  <w:tcBorders>
                    <w:top w:val="nil"/>
                    <w:left w:val="nil"/>
                    <w:bottom w:val="nil"/>
                    <w:right w:val="nil"/>
                  </w:tcBorders>
                  <w:shd w:val="clear" w:color="auto" w:fill="auto"/>
                  <w:vAlign w:val="bottom"/>
                </w:tcPr>
                <w:p w14:paraId="7954C73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334</w:t>
                  </w:r>
                </w:p>
              </w:tc>
              <w:tc>
                <w:tcPr>
                  <w:tcW w:w="553" w:type="pct"/>
                  <w:tcBorders>
                    <w:top w:val="nil"/>
                    <w:left w:val="nil"/>
                    <w:bottom w:val="nil"/>
                    <w:right w:val="nil"/>
                  </w:tcBorders>
                  <w:shd w:val="clear" w:color="auto" w:fill="auto"/>
                  <w:vAlign w:val="bottom"/>
                </w:tcPr>
                <w:p w14:paraId="7954C73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334</w:t>
                  </w:r>
                </w:p>
              </w:tc>
            </w:tr>
            <w:tr w:rsidR="00F05DC7" w:rsidRPr="00A75ED1" w14:paraId="7954C741" w14:textId="77777777" w:rsidTr="00A3786D">
              <w:tc>
                <w:tcPr>
                  <w:tcW w:w="556" w:type="pct"/>
                </w:tcPr>
                <w:p w14:paraId="7954C738"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739" w14:textId="77777777" w:rsidR="00F05DC7" w:rsidRPr="00A75ED1" w:rsidRDefault="00F05DC7" w:rsidP="00A3786D">
                  <w:pPr>
                    <w:pStyle w:val="TableBodyText"/>
                    <w:rPr>
                      <w:rFonts w:cs="Arial"/>
                      <w:szCs w:val="18"/>
                    </w:rPr>
                  </w:pPr>
                  <w:r w:rsidRPr="00A75ED1">
                    <w:rPr>
                      <w:rFonts w:cs="Arial"/>
                      <w:color w:val="000000"/>
                      <w:szCs w:val="18"/>
                    </w:rPr>
                    <w:t>235</w:t>
                  </w:r>
                </w:p>
              </w:tc>
              <w:tc>
                <w:tcPr>
                  <w:tcW w:w="557" w:type="pct"/>
                  <w:tcBorders>
                    <w:top w:val="nil"/>
                    <w:left w:val="nil"/>
                    <w:bottom w:val="nil"/>
                    <w:right w:val="nil"/>
                  </w:tcBorders>
                  <w:shd w:val="clear" w:color="auto" w:fill="auto"/>
                  <w:vAlign w:val="bottom"/>
                </w:tcPr>
                <w:p w14:paraId="7954C73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92</w:t>
                  </w:r>
                </w:p>
              </w:tc>
              <w:tc>
                <w:tcPr>
                  <w:tcW w:w="556" w:type="pct"/>
                  <w:tcBorders>
                    <w:top w:val="nil"/>
                    <w:left w:val="nil"/>
                    <w:bottom w:val="nil"/>
                    <w:right w:val="nil"/>
                  </w:tcBorders>
                  <w:shd w:val="clear" w:color="auto" w:fill="auto"/>
                  <w:vAlign w:val="bottom"/>
                </w:tcPr>
                <w:p w14:paraId="7954C73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337</w:t>
                  </w:r>
                </w:p>
              </w:tc>
              <w:tc>
                <w:tcPr>
                  <w:tcW w:w="556" w:type="pct"/>
                  <w:tcBorders>
                    <w:top w:val="nil"/>
                    <w:left w:val="nil"/>
                    <w:bottom w:val="nil"/>
                    <w:right w:val="nil"/>
                  </w:tcBorders>
                  <w:shd w:val="clear" w:color="auto" w:fill="auto"/>
                  <w:vAlign w:val="bottom"/>
                </w:tcPr>
                <w:p w14:paraId="7954C73C" w14:textId="77777777" w:rsidR="00F05DC7" w:rsidRPr="00A75ED1" w:rsidRDefault="00F05DC7" w:rsidP="00A3786D">
                  <w:pPr>
                    <w:pStyle w:val="TableBodyText"/>
                    <w:rPr>
                      <w:rFonts w:cs="Arial"/>
                      <w:szCs w:val="18"/>
                    </w:rPr>
                  </w:pPr>
                  <w:r w:rsidRPr="00A75ED1">
                    <w:rPr>
                      <w:rFonts w:cs="Arial"/>
                      <w:color w:val="000000"/>
                      <w:szCs w:val="18"/>
                    </w:rPr>
                    <w:t>530</w:t>
                  </w:r>
                </w:p>
              </w:tc>
              <w:tc>
                <w:tcPr>
                  <w:tcW w:w="555" w:type="pct"/>
                  <w:tcBorders>
                    <w:top w:val="nil"/>
                    <w:left w:val="nil"/>
                    <w:bottom w:val="nil"/>
                    <w:right w:val="nil"/>
                  </w:tcBorders>
                  <w:shd w:val="clear" w:color="auto" w:fill="auto"/>
                  <w:vAlign w:val="bottom"/>
                </w:tcPr>
                <w:p w14:paraId="7954C73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337</w:t>
                  </w:r>
                </w:p>
              </w:tc>
              <w:tc>
                <w:tcPr>
                  <w:tcW w:w="555" w:type="pct"/>
                  <w:tcBorders>
                    <w:top w:val="nil"/>
                    <w:left w:val="nil"/>
                    <w:bottom w:val="nil"/>
                    <w:right w:val="nil"/>
                  </w:tcBorders>
                  <w:shd w:val="clear" w:color="auto" w:fill="auto"/>
                  <w:vAlign w:val="bottom"/>
                </w:tcPr>
                <w:p w14:paraId="7954C73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337</w:t>
                  </w:r>
                </w:p>
              </w:tc>
              <w:tc>
                <w:tcPr>
                  <w:tcW w:w="555" w:type="pct"/>
                  <w:tcBorders>
                    <w:top w:val="nil"/>
                    <w:left w:val="nil"/>
                    <w:bottom w:val="nil"/>
                    <w:right w:val="nil"/>
                  </w:tcBorders>
                  <w:shd w:val="clear" w:color="auto" w:fill="auto"/>
                  <w:vAlign w:val="bottom"/>
                </w:tcPr>
                <w:p w14:paraId="7954C73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337</w:t>
                  </w:r>
                </w:p>
              </w:tc>
              <w:tc>
                <w:tcPr>
                  <w:tcW w:w="553" w:type="pct"/>
                  <w:tcBorders>
                    <w:top w:val="nil"/>
                    <w:left w:val="nil"/>
                    <w:bottom w:val="nil"/>
                    <w:right w:val="nil"/>
                  </w:tcBorders>
                  <w:shd w:val="clear" w:color="auto" w:fill="auto"/>
                  <w:vAlign w:val="bottom"/>
                </w:tcPr>
                <w:p w14:paraId="7954C74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337</w:t>
                  </w:r>
                </w:p>
              </w:tc>
            </w:tr>
            <w:tr w:rsidR="00F05DC7" w:rsidRPr="00A75ED1" w14:paraId="7954C74B" w14:textId="77777777" w:rsidTr="00A3786D">
              <w:tc>
                <w:tcPr>
                  <w:tcW w:w="556" w:type="pct"/>
                </w:tcPr>
                <w:p w14:paraId="7954C742"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743" w14:textId="77777777" w:rsidR="00F05DC7" w:rsidRPr="00A75ED1" w:rsidRDefault="00F05DC7" w:rsidP="00A3786D">
                  <w:pPr>
                    <w:pStyle w:val="TableBodyText"/>
                    <w:rPr>
                      <w:rFonts w:cs="Arial"/>
                      <w:szCs w:val="18"/>
                    </w:rPr>
                  </w:pPr>
                  <w:r w:rsidRPr="00A75ED1">
                    <w:rPr>
                      <w:rFonts w:cs="Arial"/>
                      <w:color w:val="000000"/>
                      <w:szCs w:val="18"/>
                    </w:rPr>
                    <w:t>236</w:t>
                  </w:r>
                </w:p>
              </w:tc>
              <w:tc>
                <w:tcPr>
                  <w:tcW w:w="557" w:type="pct"/>
                  <w:tcBorders>
                    <w:top w:val="nil"/>
                    <w:left w:val="nil"/>
                    <w:bottom w:val="nil"/>
                    <w:right w:val="nil"/>
                  </w:tcBorders>
                  <w:shd w:val="clear" w:color="auto" w:fill="auto"/>
                  <w:vAlign w:val="bottom"/>
                </w:tcPr>
                <w:p w14:paraId="7954C74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64</w:t>
                  </w:r>
                </w:p>
              </w:tc>
              <w:tc>
                <w:tcPr>
                  <w:tcW w:w="556" w:type="pct"/>
                  <w:tcBorders>
                    <w:top w:val="nil"/>
                    <w:left w:val="nil"/>
                    <w:bottom w:val="nil"/>
                    <w:right w:val="nil"/>
                  </w:tcBorders>
                  <w:shd w:val="clear" w:color="auto" w:fill="auto"/>
                  <w:vAlign w:val="bottom"/>
                </w:tcPr>
                <w:p w14:paraId="7954C74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342</w:t>
                  </w:r>
                </w:p>
              </w:tc>
              <w:tc>
                <w:tcPr>
                  <w:tcW w:w="556" w:type="pct"/>
                  <w:tcBorders>
                    <w:top w:val="nil"/>
                    <w:left w:val="nil"/>
                    <w:bottom w:val="nil"/>
                    <w:right w:val="nil"/>
                  </w:tcBorders>
                  <w:shd w:val="clear" w:color="auto" w:fill="auto"/>
                  <w:vAlign w:val="bottom"/>
                </w:tcPr>
                <w:p w14:paraId="7954C746" w14:textId="77777777" w:rsidR="00F05DC7" w:rsidRPr="00A75ED1" w:rsidRDefault="00F05DC7" w:rsidP="00A3786D">
                  <w:pPr>
                    <w:pStyle w:val="TableBodyText"/>
                    <w:rPr>
                      <w:rFonts w:cs="Arial"/>
                      <w:szCs w:val="18"/>
                    </w:rPr>
                  </w:pPr>
                  <w:r w:rsidRPr="00A75ED1">
                    <w:rPr>
                      <w:rFonts w:cs="Arial"/>
                      <w:color w:val="000000"/>
                      <w:szCs w:val="18"/>
                    </w:rPr>
                    <w:t>469</w:t>
                  </w:r>
                </w:p>
              </w:tc>
              <w:tc>
                <w:tcPr>
                  <w:tcW w:w="555" w:type="pct"/>
                  <w:tcBorders>
                    <w:top w:val="nil"/>
                    <w:left w:val="nil"/>
                    <w:bottom w:val="nil"/>
                    <w:right w:val="nil"/>
                  </w:tcBorders>
                  <w:shd w:val="clear" w:color="auto" w:fill="auto"/>
                  <w:vAlign w:val="bottom"/>
                </w:tcPr>
                <w:p w14:paraId="7954C74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342</w:t>
                  </w:r>
                </w:p>
              </w:tc>
              <w:tc>
                <w:tcPr>
                  <w:tcW w:w="555" w:type="pct"/>
                  <w:tcBorders>
                    <w:top w:val="nil"/>
                    <w:left w:val="nil"/>
                    <w:bottom w:val="nil"/>
                    <w:right w:val="nil"/>
                  </w:tcBorders>
                  <w:shd w:val="clear" w:color="auto" w:fill="auto"/>
                  <w:vAlign w:val="bottom"/>
                </w:tcPr>
                <w:p w14:paraId="7954C74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342</w:t>
                  </w:r>
                </w:p>
              </w:tc>
              <w:tc>
                <w:tcPr>
                  <w:tcW w:w="555" w:type="pct"/>
                  <w:tcBorders>
                    <w:top w:val="nil"/>
                    <w:left w:val="nil"/>
                    <w:bottom w:val="nil"/>
                    <w:right w:val="nil"/>
                  </w:tcBorders>
                  <w:shd w:val="clear" w:color="auto" w:fill="auto"/>
                  <w:vAlign w:val="bottom"/>
                </w:tcPr>
                <w:p w14:paraId="7954C74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342</w:t>
                  </w:r>
                </w:p>
              </w:tc>
              <w:tc>
                <w:tcPr>
                  <w:tcW w:w="553" w:type="pct"/>
                  <w:tcBorders>
                    <w:top w:val="nil"/>
                    <w:left w:val="nil"/>
                    <w:bottom w:val="nil"/>
                    <w:right w:val="nil"/>
                  </w:tcBorders>
                  <w:shd w:val="clear" w:color="auto" w:fill="auto"/>
                  <w:vAlign w:val="bottom"/>
                </w:tcPr>
                <w:p w14:paraId="7954C74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342</w:t>
                  </w:r>
                </w:p>
              </w:tc>
            </w:tr>
            <w:tr w:rsidR="00F05DC7" w:rsidRPr="00A75ED1" w14:paraId="7954C755" w14:textId="77777777" w:rsidTr="002341D7">
              <w:tc>
                <w:tcPr>
                  <w:tcW w:w="556" w:type="pct"/>
                </w:tcPr>
                <w:p w14:paraId="7954C74C"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C74D" w14:textId="77777777" w:rsidR="00F05DC7" w:rsidRPr="00A75ED1" w:rsidRDefault="00F05DC7" w:rsidP="00A3786D">
                  <w:pPr>
                    <w:pStyle w:val="TableBodyText"/>
                    <w:rPr>
                      <w:rFonts w:cs="Arial"/>
                      <w:szCs w:val="18"/>
                    </w:rPr>
                  </w:pPr>
                  <w:r w:rsidRPr="00A75ED1">
                    <w:rPr>
                      <w:rFonts w:cs="Arial"/>
                      <w:color w:val="000000"/>
                      <w:szCs w:val="18"/>
                    </w:rPr>
                    <w:t>229</w:t>
                  </w:r>
                </w:p>
              </w:tc>
              <w:tc>
                <w:tcPr>
                  <w:tcW w:w="557" w:type="pct"/>
                  <w:tcBorders>
                    <w:top w:val="nil"/>
                    <w:left w:val="nil"/>
                    <w:right w:val="nil"/>
                  </w:tcBorders>
                  <w:shd w:val="clear" w:color="auto" w:fill="auto"/>
                  <w:vAlign w:val="bottom"/>
                </w:tcPr>
                <w:p w14:paraId="7954C74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41</w:t>
                  </w:r>
                </w:p>
              </w:tc>
              <w:tc>
                <w:tcPr>
                  <w:tcW w:w="556" w:type="pct"/>
                  <w:tcBorders>
                    <w:top w:val="nil"/>
                    <w:left w:val="nil"/>
                    <w:right w:val="nil"/>
                  </w:tcBorders>
                  <w:shd w:val="clear" w:color="auto" w:fill="auto"/>
                  <w:vAlign w:val="bottom"/>
                </w:tcPr>
                <w:p w14:paraId="7954C74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349</w:t>
                  </w:r>
                </w:p>
              </w:tc>
              <w:tc>
                <w:tcPr>
                  <w:tcW w:w="556" w:type="pct"/>
                  <w:tcBorders>
                    <w:top w:val="nil"/>
                    <w:left w:val="nil"/>
                    <w:right w:val="nil"/>
                  </w:tcBorders>
                  <w:shd w:val="clear" w:color="auto" w:fill="auto"/>
                  <w:vAlign w:val="bottom"/>
                </w:tcPr>
                <w:p w14:paraId="7954C750" w14:textId="77777777" w:rsidR="00F05DC7" w:rsidRPr="00A75ED1" w:rsidRDefault="00F05DC7" w:rsidP="00A3786D">
                  <w:pPr>
                    <w:pStyle w:val="TableBodyText"/>
                    <w:rPr>
                      <w:rFonts w:cs="Arial"/>
                      <w:szCs w:val="18"/>
                    </w:rPr>
                  </w:pPr>
                  <w:r w:rsidRPr="00A75ED1">
                    <w:rPr>
                      <w:rFonts w:cs="Arial"/>
                      <w:color w:val="000000"/>
                      <w:szCs w:val="18"/>
                    </w:rPr>
                    <w:t>451</w:t>
                  </w:r>
                </w:p>
              </w:tc>
              <w:tc>
                <w:tcPr>
                  <w:tcW w:w="555" w:type="pct"/>
                  <w:tcBorders>
                    <w:top w:val="nil"/>
                    <w:left w:val="nil"/>
                    <w:right w:val="nil"/>
                  </w:tcBorders>
                  <w:shd w:val="clear" w:color="auto" w:fill="auto"/>
                  <w:vAlign w:val="bottom"/>
                </w:tcPr>
                <w:p w14:paraId="7954C75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349</w:t>
                  </w:r>
                </w:p>
              </w:tc>
              <w:tc>
                <w:tcPr>
                  <w:tcW w:w="555" w:type="pct"/>
                  <w:tcBorders>
                    <w:top w:val="nil"/>
                    <w:left w:val="nil"/>
                    <w:right w:val="nil"/>
                  </w:tcBorders>
                  <w:shd w:val="clear" w:color="auto" w:fill="auto"/>
                  <w:vAlign w:val="bottom"/>
                </w:tcPr>
                <w:p w14:paraId="7954C75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349</w:t>
                  </w:r>
                </w:p>
              </w:tc>
              <w:tc>
                <w:tcPr>
                  <w:tcW w:w="555" w:type="pct"/>
                  <w:tcBorders>
                    <w:top w:val="nil"/>
                    <w:left w:val="nil"/>
                    <w:right w:val="nil"/>
                  </w:tcBorders>
                  <w:shd w:val="clear" w:color="auto" w:fill="auto"/>
                  <w:vAlign w:val="bottom"/>
                </w:tcPr>
                <w:p w14:paraId="7954C75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349</w:t>
                  </w:r>
                </w:p>
              </w:tc>
              <w:tc>
                <w:tcPr>
                  <w:tcW w:w="553" w:type="pct"/>
                  <w:tcBorders>
                    <w:top w:val="nil"/>
                    <w:left w:val="nil"/>
                    <w:right w:val="nil"/>
                  </w:tcBorders>
                  <w:shd w:val="clear" w:color="auto" w:fill="auto"/>
                  <w:vAlign w:val="bottom"/>
                </w:tcPr>
                <w:p w14:paraId="7954C75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349</w:t>
                  </w:r>
                </w:p>
              </w:tc>
            </w:tr>
            <w:tr w:rsidR="00F05DC7" w:rsidRPr="00A75ED1" w14:paraId="7954C757" w14:textId="77777777" w:rsidTr="002341D7">
              <w:tc>
                <w:tcPr>
                  <w:tcW w:w="5000" w:type="pct"/>
                  <w:gridSpan w:val="9"/>
                  <w:shd w:val="clear" w:color="auto" w:fill="F2F2F2" w:themeFill="background1" w:themeFillShade="F2"/>
                </w:tcPr>
                <w:p w14:paraId="7954C756"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C761" w14:textId="77777777" w:rsidTr="00A3786D">
              <w:tc>
                <w:tcPr>
                  <w:tcW w:w="556" w:type="pct"/>
                  <w:vAlign w:val="bottom"/>
                </w:tcPr>
                <w:p w14:paraId="7954C758"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C759"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0.42</w:t>
                  </w:r>
                </w:p>
              </w:tc>
              <w:tc>
                <w:tcPr>
                  <w:tcW w:w="557" w:type="pct"/>
                  <w:tcBorders>
                    <w:top w:val="nil"/>
                    <w:left w:val="nil"/>
                    <w:bottom w:val="nil"/>
                    <w:right w:val="nil"/>
                  </w:tcBorders>
                  <w:shd w:val="clear" w:color="auto" w:fill="auto"/>
                  <w:vAlign w:val="bottom"/>
                </w:tcPr>
                <w:p w14:paraId="7954C75A"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0.44</w:t>
                  </w:r>
                </w:p>
              </w:tc>
              <w:tc>
                <w:tcPr>
                  <w:tcW w:w="556" w:type="pct"/>
                  <w:tcBorders>
                    <w:top w:val="nil"/>
                    <w:left w:val="nil"/>
                    <w:bottom w:val="nil"/>
                    <w:right w:val="nil"/>
                  </w:tcBorders>
                  <w:shd w:val="clear" w:color="auto" w:fill="auto"/>
                  <w:vAlign w:val="bottom"/>
                </w:tcPr>
                <w:p w14:paraId="7954C75B"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0.64</w:t>
                  </w:r>
                </w:p>
              </w:tc>
              <w:tc>
                <w:tcPr>
                  <w:tcW w:w="556" w:type="pct"/>
                  <w:tcBorders>
                    <w:top w:val="nil"/>
                    <w:left w:val="nil"/>
                    <w:bottom w:val="nil"/>
                    <w:right w:val="nil"/>
                  </w:tcBorders>
                  <w:shd w:val="clear" w:color="auto" w:fill="auto"/>
                  <w:vAlign w:val="bottom"/>
                </w:tcPr>
                <w:p w14:paraId="7954C75C"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1.76</w:t>
                  </w:r>
                </w:p>
              </w:tc>
              <w:tc>
                <w:tcPr>
                  <w:tcW w:w="555" w:type="pct"/>
                  <w:tcBorders>
                    <w:top w:val="nil"/>
                    <w:left w:val="nil"/>
                    <w:bottom w:val="nil"/>
                    <w:right w:val="nil"/>
                  </w:tcBorders>
                  <w:shd w:val="clear" w:color="auto" w:fill="auto"/>
                  <w:vAlign w:val="bottom"/>
                </w:tcPr>
                <w:p w14:paraId="7954C75D"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0.65</w:t>
                  </w:r>
                </w:p>
              </w:tc>
              <w:tc>
                <w:tcPr>
                  <w:tcW w:w="555" w:type="pct"/>
                  <w:tcBorders>
                    <w:top w:val="nil"/>
                    <w:left w:val="nil"/>
                    <w:bottom w:val="nil"/>
                    <w:right w:val="nil"/>
                  </w:tcBorders>
                  <w:shd w:val="clear" w:color="auto" w:fill="auto"/>
                  <w:vAlign w:val="bottom"/>
                </w:tcPr>
                <w:p w14:paraId="7954C75E"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0.64</w:t>
                  </w:r>
                </w:p>
              </w:tc>
              <w:tc>
                <w:tcPr>
                  <w:tcW w:w="555" w:type="pct"/>
                  <w:tcBorders>
                    <w:top w:val="nil"/>
                    <w:left w:val="nil"/>
                    <w:bottom w:val="nil"/>
                    <w:right w:val="nil"/>
                  </w:tcBorders>
                  <w:shd w:val="clear" w:color="auto" w:fill="auto"/>
                  <w:vAlign w:val="bottom"/>
                </w:tcPr>
                <w:p w14:paraId="7954C75F"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0.53</w:t>
                  </w:r>
                </w:p>
              </w:tc>
              <w:tc>
                <w:tcPr>
                  <w:tcW w:w="553" w:type="pct"/>
                  <w:tcBorders>
                    <w:top w:val="nil"/>
                    <w:left w:val="nil"/>
                    <w:bottom w:val="nil"/>
                    <w:right w:val="nil"/>
                  </w:tcBorders>
                  <w:shd w:val="clear" w:color="auto" w:fill="auto"/>
                  <w:vAlign w:val="bottom"/>
                </w:tcPr>
                <w:p w14:paraId="7954C760"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0.33</w:t>
                  </w:r>
                </w:p>
              </w:tc>
            </w:tr>
            <w:tr w:rsidR="00F05DC7" w:rsidRPr="00A75ED1" w14:paraId="7954C76B" w14:textId="77777777" w:rsidTr="00A3786D">
              <w:tc>
                <w:tcPr>
                  <w:tcW w:w="556" w:type="pct"/>
                  <w:vAlign w:val="bottom"/>
                </w:tcPr>
                <w:p w14:paraId="7954C762"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C763"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0.97</w:t>
                  </w:r>
                </w:p>
              </w:tc>
              <w:tc>
                <w:tcPr>
                  <w:tcW w:w="557" w:type="pct"/>
                  <w:tcBorders>
                    <w:top w:val="nil"/>
                    <w:left w:val="nil"/>
                    <w:bottom w:val="nil"/>
                    <w:right w:val="nil"/>
                  </w:tcBorders>
                  <w:shd w:val="clear" w:color="auto" w:fill="auto"/>
                  <w:vAlign w:val="bottom"/>
                </w:tcPr>
                <w:p w14:paraId="7954C764"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0.80</w:t>
                  </w:r>
                </w:p>
              </w:tc>
              <w:tc>
                <w:tcPr>
                  <w:tcW w:w="556" w:type="pct"/>
                  <w:tcBorders>
                    <w:top w:val="nil"/>
                    <w:left w:val="nil"/>
                    <w:bottom w:val="nil"/>
                    <w:right w:val="nil"/>
                  </w:tcBorders>
                  <w:shd w:val="clear" w:color="auto" w:fill="auto"/>
                  <w:vAlign w:val="bottom"/>
                </w:tcPr>
                <w:p w14:paraId="7954C765"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1.33</w:t>
                  </w:r>
                </w:p>
              </w:tc>
              <w:tc>
                <w:tcPr>
                  <w:tcW w:w="556" w:type="pct"/>
                  <w:tcBorders>
                    <w:top w:val="nil"/>
                    <w:left w:val="nil"/>
                    <w:bottom w:val="nil"/>
                    <w:right w:val="nil"/>
                  </w:tcBorders>
                  <w:shd w:val="clear" w:color="auto" w:fill="auto"/>
                  <w:vAlign w:val="bottom"/>
                </w:tcPr>
                <w:p w14:paraId="7954C766"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3.03</w:t>
                  </w:r>
                </w:p>
              </w:tc>
              <w:tc>
                <w:tcPr>
                  <w:tcW w:w="555" w:type="pct"/>
                  <w:tcBorders>
                    <w:top w:val="nil"/>
                    <w:left w:val="nil"/>
                    <w:bottom w:val="nil"/>
                    <w:right w:val="nil"/>
                  </w:tcBorders>
                  <w:shd w:val="clear" w:color="auto" w:fill="auto"/>
                  <w:vAlign w:val="bottom"/>
                </w:tcPr>
                <w:p w14:paraId="7954C767"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1.33</w:t>
                  </w:r>
                </w:p>
              </w:tc>
              <w:tc>
                <w:tcPr>
                  <w:tcW w:w="555" w:type="pct"/>
                  <w:tcBorders>
                    <w:top w:val="nil"/>
                    <w:left w:val="nil"/>
                    <w:bottom w:val="nil"/>
                    <w:right w:val="nil"/>
                  </w:tcBorders>
                  <w:shd w:val="clear" w:color="auto" w:fill="auto"/>
                  <w:vAlign w:val="bottom"/>
                </w:tcPr>
                <w:p w14:paraId="7954C768"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1.34</w:t>
                  </w:r>
                </w:p>
              </w:tc>
              <w:tc>
                <w:tcPr>
                  <w:tcW w:w="555" w:type="pct"/>
                  <w:tcBorders>
                    <w:top w:val="nil"/>
                    <w:left w:val="nil"/>
                    <w:bottom w:val="nil"/>
                    <w:right w:val="nil"/>
                  </w:tcBorders>
                  <w:shd w:val="clear" w:color="auto" w:fill="auto"/>
                  <w:vAlign w:val="bottom"/>
                </w:tcPr>
                <w:p w14:paraId="7954C769"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1.06</w:t>
                  </w:r>
                </w:p>
              </w:tc>
              <w:tc>
                <w:tcPr>
                  <w:tcW w:w="553" w:type="pct"/>
                  <w:tcBorders>
                    <w:top w:val="nil"/>
                    <w:left w:val="nil"/>
                    <w:bottom w:val="nil"/>
                    <w:right w:val="nil"/>
                  </w:tcBorders>
                  <w:shd w:val="clear" w:color="auto" w:fill="auto"/>
                  <w:vAlign w:val="bottom"/>
                </w:tcPr>
                <w:p w14:paraId="7954C76A"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0.68</w:t>
                  </w:r>
                </w:p>
              </w:tc>
            </w:tr>
            <w:tr w:rsidR="00F05DC7" w:rsidRPr="00A75ED1" w14:paraId="7954C775" w14:textId="77777777" w:rsidTr="00A3786D">
              <w:tc>
                <w:tcPr>
                  <w:tcW w:w="556" w:type="pct"/>
                  <w:vAlign w:val="bottom"/>
                </w:tcPr>
                <w:p w14:paraId="7954C76C"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C76D"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1.42</w:t>
                  </w:r>
                </w:p>
              </w:tc>
              <w:tc>
                <w:tcPr>
                  <w:tcW w:w="557" w:type="pct"/>
                  <w:tcBorders>
                    <w:top w:val="nil"/>
                    <w:left w:val="nil"/>
                    <w:bottom w:val="nil"/>
                    <w:right w:val="nil"/>
                  </w:tcBorders>
                  <w:shd w:val="clear" w:color="auto" w:fill="auto"/>
                  <w:vAlign w:val="bottom"/>
                </w:tcPr>
                <w:p w14:paraId="7954C76E"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1.09</w:t>
                  </w:r>
                </w:p>
              </w:tc>
              <w:tc>
                <w:tcPr>
                  <w:tcW w:w="556" w:type="pct"/>
                  <w:tcBorders>
                    <w:top w:val="nil"/>
                    <w:left w:val="nil"/>
                    <w:bottom w:val="nil"/>
                    <w:right w:val="nil"/>
                  </w:tcBorders>
                  <w:shd w:val="clear" w:color="auto" w:fill="auto"/>
                  <w:vAlign w:val="bottom"/>
                </w:tcPr>
                <w:p w14:paraId="7954C76F"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1.99</w:t>
                  </w:r>
                </w:p>
              </w:tc>
              <w:tc>
                <w:tcPr>
                  <w:tcW w:w="556" w:type="pct"/>
                  <w:tcBorders>
                    <w:top w:val="nil"/>
                    <w:left w:val="nil"/>
                    <w:bottom w:val="nil"/>
                    <w:right w:val="nil"/>
                  </w:tcBorders>
                  <w:shd w:val="clear" w:color="auto" w:fill="auto"/>
                  <w:vAlign w:val="bottom"/>
                </w:tcPr>
                <w:p w14:paraId="7954C770"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4.36</w:t>
                  </w:r>
                </w:p>
              </w:tc>
              <w:tc>
                <w:tcPr>
                  <w:tcW w:w="555" w:type="pct"/>
                  <w:tcBorders>
                    <w:top w:val="nil"/>
                    <w:left w:val="nil"/>
                    <w:bottom w:val="nil"/>
                    <w:right w:val="nil"/>
                  </w:tcBorders>
                  <w:shd w:val="clear" w:color="auto" w:fill="auto"/>
                  <w:vAlign w:val="bottom"/>
                </w:tcPr>
                <w:p w14:paraId="7954C771"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2.04</w:t>
                  </w:r>
                </w:p>
              </w:tc>
              <w:tc>
                <w:tcPr>
                  <w:tcW w:w="555" w:type="pct"/>
                  <w:tcBorders>
                    <w:top w:val="nil"/>
                    <w:left w:val="nil"/>
                    <w:bottom w:val="nil"/>
                    <w:right w:val="nil"/>
                  </w:tcBorders>
                  <w:shd w:val="clear" w:color="auto" w:fill="auto"/>
                  <w:vAlign w:val="bottom"/>
                </w:tcPr>
                <w:p w14:paraId="7954C772"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1.99</w:t>
                  </w:r>
                </w:p>
              </w:tc>
              <w:tc>
                <w:tcPr>
                  <w:tcW w:w="555" w:type="pct"/>
                  <w:tcBorders>
                    <w:top w:val="nil"/>
                    <w:left w:val="nil"/>
                    <w:bottom w:val="nil"/>
                    <w:right w:val="nil"/>
                  </w:tcBorders>
                  <w:shd w:val="clear" w:color="auto" w:fill="auto"/>
                  <w:vAlign w:val="bottom"/>
                </w:tcPr>
                <w:p w14:paraId="7954C773"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1.65</w:t>
                  </w:r>
                </w:p>
              </w:tc>
              <w:tc>
                <w:tcPr>
                  <w:tcW w:w="553" w:type="pct"/>
                  <w:tcBorders>
                    <w:top w:val="nil"/>
                    <w:left w:val="nil"/>
                    <w:bottom w:val="nil"/>
                    <w:right w:val="nil"/>
                  </w:tcBorders>
                  <w:shd w:val="clear" w:color="auto" w:fill="auto"/>
                  <w:vAlign w:val="bottom"/>
                </w:tcPr>
                <w:p w14:paraId="7954C774"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0.96</w:t>
                  </w:r>
                </w:p>
              </w:tc>
            </w:tr>
            <w:tr w:rsidR="00F05DC7" w:rsidRPr="00A75ED1" w14:paraId="7954C77F" w14:textId="77777777" w:rsidTr="00A3786D">
              <w:tc>
                <w:tcPr>
                  <w:tcW w:w="556" w:type="pct"/>
                </w:tcPr>
                <w:p w14:paraId="7954C776"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C777"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2.05</w:t>
                  </w:r>
                </w:p>
              </w:tc>
              <w:tc>
                <w:tcPr>
                  <w:tcW w:w="557" w:type="pct"/>
                  <w:tcBorders>
                    <w:top w:val="nil"/>
                    <w:left w:val="nil"/>
                    <w:bottom w:val="nil"/>
                    <w:right w:val="nil"/>
                  </w:tcBorders>
                  <w:shd w:val="clear" w:color="auto" w:fill="auto"/>
                  <w:vAlign w:val="bottom"/>
                </w:tcPr>
                <w:p w14:paraId="7954C778"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1.25</w:t>
                  </w:r>
                </w:p>
              </w:tc>
              <w:tc>
                <w:tcPr>
                  <w:tcW w:w="556" w:type="pct"/>
                  <w:tcBorders>
                    <w:top w:val="nil"/>
                    <w:left w:val="nil"/>
                    <w:bottom w:val="nil"/>
                    <w:right w:val="nil"/>
                  </w:tcBorders>
                  <w:shd w:val="clear" w:color="auto" w:fill="auto"/>
                  <w:vAlign w:val="bottom"/>
                </w:tcPr>
                <w:p w14:paraId="7954C779"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2.72</w:t>
                  </w:r>
                </w:p>
              </w:tc>
              <w:tc>
                <w:tcPr>
                  <w:tcW w:w="556" w:type="pct"/>
                  <w:tcBorders>
                    <w:top w:val="nil"/>
                    <w:left w:val="nil"/>
                    <w:bottom w:val="nil"/>
                    <w:right w:val="nil"/>
                  </w:tcBorders>
                  <w:shd w:val="clear" w:color="auto" w:fill="auto"/>
                  <w:vAlign w:val="bottom"/>
                </w:tcPr>
                <w:p w14:paraId="7954C77A"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5.17</w:t>
                  </w:r>
                </w:p>
              </w:tc>
              <w:tc>
                <w:tcPr>
                  <w:tcW w:w="555" w:type="pct"/>
                  <w:tcBorders>
                    <w:top w:val="nil"/>
                    <w:left w:val="nil"/>
                    <w:bottom w:val="nil"/>
                    <w:right w:val="nil"/>
                  </w:tcBorders>
                  <w:shd w:val="clear" w:color="auto" w:fill="auto"/>
                  <w:vAlign w:val="bottom"/>
                </w:tcPr>
                <w:p w14:paraId="7954C77B"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2.83</w:t>
                  </w:r>
                </w:p>
              </w:tc>
              <w:tc>
                <w:tcPr>
                  <w:tcW w:w="555" w:type="pct"/>
                  <w:tcBorders>
                    <w:top w:val="nil"/>
                    <w:left w:val="nil"/>
                    <w:bottom w:val="nil"/>
                    <w:right w:val="nil"/>
                  </w:tcBorders>
                  <w:shd w:val="clear" w:color="auto" w:fill="auto"/>
                  <w:vAlign w:val="bottom"/>
                </w:tcPr>
                <w:p w14:paraId="7954C77C"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2.75</w:t>
                  </w:r>
                </w:p>
              </w:tc>
              <w:tc>
                <w:tcPr>
                  <w:tcW w:w="555" w:type="pct"/>
                  <w:tcBorders>
                    <w:top w:val="nil"/>
                    <w:left w:val="nil"/>
                    <w:bottom w:val="nil"/>
                    <w:right w:val="nil"/>
                  </w:tcBorders>
                  <w:shd w:val="clear" w:color="auto" w:fill="auto"/>
                  <w:vAlign w:val="bottom"/>
                </w:tcPr>
                <w:p w14:paraId="7954C77D"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2.26</w:t>
                  </w:r>
                </w:p>
              </w:tc>
              <w:tc>
                <w:tcPr>
                  <w:tcW w:w="553" w:type="pct"/>
                  <w:tcBorders>
                    <w:top w:val="nil"/>
                    <w:left w:val="nil"/>
                    <w:bottom w:val="nil"/>
                    <w:right w:val="nil"/>
                  </w:tcBorders>
                  <w:shd w:val="clear" w:color="auto" w:fill="auto"/>
                  <w:vAlign w:val="bottom"/>
                </w:tcPr>
                <w:p w14:paraId="7954C77E"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1.29</w:t>
                  </w:r>
                </w:p>
              </w:tc>
            </w:tr>
            <w:tr w:rsidR="00F05DC7" w:rsidRPr="00A75ED1" w14:paraId="7954C789" w14:textId="77777777" w:rsidTr="00A3786D">
              <w:tc>
                <w:tcPr>
                  <w:tcW w:w="556" w:type="pct"/>
                </w:tcPr>
                <w:p w14:paraId="7954C780"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781"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2.11</w:t>
                  </w:r>
                </w:p>
              </w:tc>
              <w:tc>
                <w:tcPr>
                  <w:tcW w:w="557" w:type="pct"/>
                  <w:tcBorders>
                    <w:top w:val="nil"/>
                    <w:left w:val="nil"/>
                    <w:bottom w:val="nil"/>
                    <w:right w:val="nil"/>
                  </w:tcBorders>
                  <w:shd w:val="clear" w:color="auto" w:fill="auto"/>
                  <w:vAlign w:val="bottom"/>
                </w:tcPr>
                <w:p w14:paraId="7954C782"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1.03</w:t>
                  </w:r>
                </w:p>
              </w:tc>
              <w:tc>
                <w:tcPr>
                  <w:tcW w:w="556" w:type="pct"/>
                  <w:tcBorders>
                    <w:top w:val="nil"/>
                    <w:left w:val="nil"/>
                    <w:bottom w:val="nil"/>
                    <w:right w:val="nil"/>
                  </w:tcBorders>
                  <w:shd w:val="clear" w:color="auto" w:fill="auto"/>
                  <w:vAlign w:val="bottom"/>
                </w:tcPr>
                <w:p w14:paraId="7954C783"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2.70</w:t>
                  </w:r>
                </w:p>
              </w:tc>
              <w:tc>
                <w:tcPr>
                  <w:tcW w:w="556" w:type="pct"/>
                  <w:tcBorders>
                    <w:top w:val="nil"/>
                    <w:left w:val="nil"/>
                    <w:bottom w:val="nil"/>
                    <w:right w:val="nil"/>
                  </w:tcBorders>
                  <w:shd w:val="clear" w:color="auto" w:fill="auto"/>
                  <w:vAlign w:val="bottom"/>
                </w:tcPr>
                <w:p w14:paraId="7954C784"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4.36</w:t>
                  </w:r>
                </w:p>
              </w:tc>
              <w:tc>
                <w:tcPr>
                  <w:tcW w:w="555" w:type="pct"/>
                  <w:tcBorders>
                    <w:top w:val="nil"/>
                    <w:left w:val="nil"/>
                    <w:bottom w:val="nil"/>
                    <w:right w:val="nil"/>
                  </w:tcBorders>
                  <w:shd w:val="clear" w:color="auto" w:fill="auto"/>
                  <w:vAlign w:val="bottom"/>
                </w:tcPr>
                <w:p w14:paraId="7954C785"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2.78</w:t>
                  </w:r>
                </w:p>
              </w:tc>
              <w:tc>
                <w:tcPr>
                  <w:tcW w:w="555" w:type="pct"/>
                  <w:tcBorders>
                    <w:top w:val="nil"/>
                    <w:left w:val="nil"/>
                    <w:bottom w:val="nil"/>
                    <w:right w:val="nil"/>
                  </w:tcBorders>
                  <w:shd w:val="clear" w:color="auto" w:fill="auto"/>
                  <w:vAlign w:val="bottom"/>
                </w:tcPr>
                <w:p w14:paraId="7954C786"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2.70</w:t>
                  </w:r>
                </w:p>
              </w:tc>
              <w:tc>
                <w:tcPr>
                  <w:tcW w:w="555" w:type="pct"/>
                  <w:tcBorders>
                    <w:top w:val="nil"/>
                    <w:left w:val="nil"/>
                    <w:bottom w:val="nil"/>
                    <w:right w:val="nil"/>
                  </w:tcBorders>
                  <w:shd w:val="clear" w:color="auto" w:fill="auto"/>
                  <w:vAlign w:val="bottom"/>
                </w:tcPr>
                <w:p w14:paraId="7954C787"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2.21</w:t>
                  </w:r>
                </w:p>
              </w:tc>
              <w:tc>
                <w:tcPr>
                  <w:tcW w:w="553" w:type="pct"/>
                  <w:tcBorders>
                    <w:top w:val="nil"/>
                    <w:left w:val="nil"/>
                    <w:bottom w:val="nil"/>
                    <w:right w:val="nil"/>
                  </w:tcBorders>
                  <w:shd w:val="clear" w:color="auto" w:fill="auto"/>
                  <w:vAlign w:val="bottom"/>
                </w:tcPr>
                <w:p w14:paraId="7954C788"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1.25</w:t>
                  </w:r>
                </w:p>
              </w:tc>
            </w:tr>
            <w:tr w:rsidR="00F05DC7" w:rsidRPr="00A75ED1" w14:paraId="7954C793" w14:textId="77777777" w:rsidTr="00A3786D">
              <w:tc>
                <w:tcPr>
                  <w:tcW w:w="556" w:type="pct"/>
                </w:tcPr>
                <w:p w14:paraId="7954C78A"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78B"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2.09</w:t>
                  </w:r>
                </w:p>
              </w:tc>
              <w:tc>
                <w:tcPr>
                  <w:tcW w:w="557" w:type="pct"/>
                  <w:tcBorders>
                    <w:top w:val="nil"/>
                    <w:left w:val="nil"/>
                    <w:bottom w:val="nil"/>
                    <w:right w:val="nil"/>
                  </w:tcBorders>
                  <w:shd w:val="clear" w:color="auto" w:fill="auto"/>
                  <w:vAlign w:val="bottom"/>
                </w:tcPr>
                <w:p w14:paraId="7954C78C"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0.81</w:t>
                  </w:r>
                </w:p>
              </w:tc>
              <w:tc>
                <w:tcPr>
                  <w:tcW w:w="556" w:type="pct"/>
                  <w:tcBorders>
                    <w:top w:val="nil"/>
                    <w:left w:val="nil"/>
                    <w:bottom w:val="nil"/>
                    <w:right w:val="nil"/>
                  </w:tcBorders>
                  <w:shd w:val="clear" w:color="auto" w:fill="auto"/>
                  <w:vAlign w:val="bottom"/>
                </w:tcPr>
                <w:p w14:paraId="7954C78D"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2.68</w:t>
                  </w:r>
                </w:p>
              </w:tc>
              <w:tc>
                <w:tcPr>
                  <w:tcW w:w="556" w:type="pct"/>
                  <w:tcBorders>
                    <w:top w:val="nil"/>
                    <w:left w:val="nil"/>
                    <w:bottom w:val="nil"/>
                    <w:right w:val="nil"/>
                  </w:tcBorders>
                  <w:shd w:val="clear" w:color="auto" w:fill="auto"/>
                  <w:vAlign w:val="bottom"/>
                </w:tcPr>
                <w:p w14:paraId="7954C78E"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3.84</w:t>
                  </w:r>
                </w:p>
              </w:tc>
              <w:tc>
                <w:tcPr>
                  <w:tcW w:w="555" w:type="pct"/>
                  <w:tcBorders>
                    <w:top w:val="nil"/>
                    <w:left w:val="nil"/>
                    <w:bottom w:val="nil"/>
                    <w:right w:val="nil"/>
                  </w:tcBorders>
                  <w:shd w:val="clear" w:color="auto" w:fill="auto"/>
                  <w:vAlign w:val="bottom"/>
                </w:tcPr>
                <w:p w14:paraId="7954C78F"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2.76</w:t>
                  </w:r>
                </w:p>
              </w:tc>
              <w:tc>
                <w:tcPr>
                  <w:tcW w:w="555" w:type="pct"/>
                  <w:tcBorders>
                    <w:top w:val="nil"/>
                    <w:left w:val="nil"/>
                    <w:bottom w:val="nil"/>
                    <w:right w:val="nil"/>
                  </w:tcBorders>
                  <w:shd w:val="clear" w:color="auto" w:fill="auto"/>
                  <w:vAlign w:val="bottom"/>
                </w:tcPr>
                <w:p w14:paraId="7954C790"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2.66</w:t>
                  </w:r>
                </w:p>
              </w:tc>
              <w:tc>
                <w:tcPr>
                  <w:tcW w:w="555" w:type="pct"/>
                  <w:tcBorders>
                    <w:top w:val="nil"/>
                    <w:left w:val="nil"/>
                    <w:bottom w:val="nil"/>
                    <w:right w:val="nil"/>
                  </w:tcBorders>
                  <w:shd w:val="clear" w:color="auto" w:fill="auto"/>
                  <w:vAlign w:val="bottom"/>
                </w:tcPr>
                <w:p w14:paraId="7954C791"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2.18</w:t>
                  </w:r>
                </w:p>
              </w:tc>
              <w:tc>
                <w:tcPr>
                  <w:tcW w:w="553" w:type="pct"/>
                  <w:tcBorders>
                    <w:top w:val="nil"/>
                    <w:left w:val="nil"/>
                    <w:bottom w:val="nil"/>
                    <w:right w:val="nil"/>
                  </w:tcBorders>
                  <w:shd w:val="clear" w:color="auto" w:fill="auto"/>
                  <w:vAlign w:val="bottom"/>
                </w:tcPr>
                <w:p w14:paraId="7954C792"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1.23</w:t>
                  </w:r>
                </w:p>
              </w:tc>
            </w:tr>
            <w:tr w:rsidR="00F05DC7" w:rsidRPr="00A75ED1" w14:paraId="7954C79D" w14:textId="77777777" w:rsidTr="00A3786D">
              <w:tc>
                <w:tcPr>
                  <w:tcW w:w="556" w:type="pct"/>
                </w:tcPr>
                <w:p w14:paraId="7954C794"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795"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2.06</w:t>
                  </w:r>
                </w:p>
              </w:tc>
              <w:tc>
                <w:tcPr>
                  <w:tcW w:w="557" w:type="pct"/>
                  <w:tcBorders>
                    <w:top w:val="nil"/>
                    <w:left w:val="nil"/>
                    <w:bottom w:val="nil"/>
                    <w:right w:val="nil"/>
                  </w:tcBorders>
                  <w:shd w:val="clear" w:color="auto" w:fill="auto"/>
                  <w:vAlign w:val="bottom"/>
                </w:tcPr>
                <w:p w14:paraId="7954C796"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0.55</w:t>
                  </w:r>
                </w:p>
              </w:tc>
              <w:tc>
                <w:tcPr>
                  <w:tcW w:w="556" w:type="pct"/>
                  <w:tcBorders>
                    <w:top w:val="nil"/>
                    <w:left w:val="nil"/>
                    <w:bottom w:val="nil"/>
                    <w:right w:val="nil"/>
                  </w:tcBorders>
                  <w:shd w:val="clear" w:color="auto" w:fill="auto"/>
                  <w:vAlign w:val="bottom"/>
                </w:tcPr>
                <w:p w14:paraId="7954C797"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2.69</w:t>
                  </w:r>
                </w:p>
              </w:tc>
              <w:tc>
                <w:tcPr>
                  <w:tcW w:w="556" w:type="pct"/>
                  <w:tcBorders>
                    <w:top w:val="nil"/>
                    <w:left w:val="nil"/>
                    <w:bottom w:val="nil"/>
                    <w:right w:val="nil"/>
                  </w:tcBorders>
                  <w:shd w:val="clear" w:color="auto" w:fill="auto"/>
                  <w:vAlign w:val="bottom"/>
                </w:tcPr>
                <w:p w14:paraId="7954C798"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3.31</w:t>
                  </w:r>
                </w:p>
              </w:tc>
              <w:tc>
                <w:tcPr>
                  <w:tcW w:w="555" w:type="pct"/>
                  <w:tcBorders>
                    <w:top w:val="nil"/>
                    <w:left w:val="nil"/>
                    <w:bottom w:val="nil"/>
                    <w:right w:val="nil"/>
                  </w:tcBorders>
                  <w:shd w:val="clear" w:color="auto" w:fill="auto"/>
                  <w:vAlign w:val="bottom"/>
                </w:tcPr>
                <w:p w14:paraId="7954C799"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2.75</w:t>
                  </w:r>
                </w:p>
              </w:tc>
              <w:tc>
                <w:tcPr>
                  <w:tcW w:w="555" w:type="pct"/>
                  <w:tcBorders>
                    <w:top w:val="nil"/>
                    <w:left w:val="nil"/>
                    <w:bottom w:val="nil"/>
                    <w:right w:val="nil"/>
                  </w:tcBorders>
                  <w:shd w:val="clear" w:color="auto" w:fill="auto"/>
                  <w:vAlign w:val="bottom"/>
                </w:tcPr>
                <w:p w14:paraId="7954C79A"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2.65</w:t>
                  </w:r>
                </w:p>
              </w:tc>
              <w:tc>
                <w:tcPr>
                  <w:tcW w:w="555" w:type="pct"/>
                  <w:tcBorders>
                    <w:top w:val="nil"/>
                    <w:left w:val="nil"/>
                    <w:bottom w:val="nil"/>
                    <w:right w:val="nil"/>
                  </w:tcBorders>
                  <w:shd w:val="clear" w:color="auto" w:fill="auto"/>
                  <w:vAlign w:val="bottom"/>
                </w:tcPr>
                <w:p w14:paraId="7954C79B"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2.17</w:t>
                  </w:r>
                </w:p>
              </w:tc>
              <w:tc>
                <w:tcPr>
                  <w:tcW w:w="553" w:type="pct"/>
                  <w:tcBorders>
                    <w:top w:val="nil"/>
                    <w:left w:val="nil"/>
                    <w:bottom w:val="nil"/>
                    <w:right w:val="nil"/>
                  </w:tcBorders>
                  <w:shd w:val="clear" w:color="auto" w:fill="auto"/>
                  <w:vAlign w:val="bottom"/>
                </w:tcPr>
                <w:p w14:paraId="7954C79C"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1.22</w:t>
                  </w:r>
                </w:p>
              </w:tc>
            </w:tr>
            <w:tr w:rsidR="00F05DC7" w:rsidRPr="00A75ED1" w14:paraId="7954C7A7" w14:textId="77777777" w:rsidTr="00A3786D">
              <w:tc>
                <w:tcPr>
                  <w:tcW w:w="556" w:type="pct"/>
                  <w:tcBorders>
                    <w:bottom w:val="single" w:sz="6" w:space="0" w:color="D9D9D9" w:themeColor="background1" w:themeShade="D9"/>
                  </w:tcBorders>
                </w:tcPr>
                <w:p w14:paraId="7954C79E"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bottom w:val="single" w:sz="6" w:space="0" w:color="D9D9D9" w:themeColor="background1" w:themeShade="D9"/>
                    <w:right w:val="nil"/>
                  </w:tcBorders>
                  <w:shd w:val="clear" w:color="auto" w:fill="auto"/>
                  <w:vAlign w:val="bottom"/>
                </w:tcPr>
                <w:p w14:paraId="7954C79F"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1.96</w:t>
                  </w:r>
                </w:p>
              </w:tc>
              <w:tc>
                <w:tcPr>
                  <w:tcW w:w="557" w:type="pct"/>
                  <w:tcBorders>
                    <w:top w:val="nil"/>
                    <w:left w:val="nil"/>
                    <w:bottom w:val="single" w:sz="6" w:space="0" w:color="D9D9D9" w:themeColor="background1" w:themeShade="D9"/>
                    <w:right w:val="nil"/>
                  </w:tcBorders>
                  <w:shd w:val="clear" w:color="auto" w:fill="auto"/>
                  <w:vAlign w:val="bottom"/>
                </w:tcPr>
                <w:p w14:paraId="7954C7A0"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0.35</w:t>
                  </w:r>
                </w:p>
              </w:tc>
              <w:tc>
                <w:tcPr>
                  <w:tcW w:w="556" w:type="pct"/>
                  <w:tcBorders>
                    <w:top w:val="nil"/>
                    <w:left w:val="nil"/>
                    <w:bottom w:val="single" w:sz="6" w:space="0" w:color="D9D9D9" w:themeColor="background1" w:themeShade="D9"/>
                    <w:right w:val="nil"/>
                  </w:tcBorders>
                  <w:shd w:val="clear" w:color="auto" w:fill="auto"/>
                  <w:vAlign w:val="bottom"/>
                </w:tcPr>
                <w:p w14:paraId="7954C7A1"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2.70</w:t>
                  </w:r>
                </w:p>
              </w:tc>
              <w:tc>
                <w:tcPr>
                  <w:tcW w:w="556" w:type="pct"/>
                  <w:tcBorders>
                    <w:top w:val="nil"/>
                    <w:left w:val="nil"/>
                    <w:bottom w:val="single" w:sz="6" w:space="0" w:color="D9D9D9" w:themeColor="background1" w:themeShade="D9"/>
                    <w:right w:val="nil"/>
                  </w:tcBorders>
                  <w:shd w:val="clear" w:color="auto" w:fill="auto"/>
                  <w:vAlign w:val="bottom"/>
                </w:tcPr>
                <w:p w14:paraId="7954C7A2" w14:textId="77777777" w:rsidR="00F05DC7" w:rsidRPr="00911F46" w:rsidRDefault="00F05DC7" w:rsidP="00A3786D">
                  <w:pPr>
                    <w:pStyle w:val="TableBodyText"/>
                    <w:rPr>
                      <w:rFonts w:asciiTheme="minorHAnsi" w:hAnsiTheme="minorHAnsi" w:cstheme="minorHAnsi"/>
                      <w:szCs w:val="18"/>
                    </w:rPr>
                  </w:pPr>
                  <w:r w:rsidRPr="00911F46">
                    <w:rPr>
                      <w:rFonts w:asciiTheme="minorHAnsi" w:hAnsiTheme="minorHAnsi" w:cstheme="minorHAnsi"/>
                      <w:color w:val="000000"/>
                      <w:szCs w:val="18"/>
                    </w:rPr>
                    <w:t>3.11</w:t>
                  </w:r>
                </w:p>
              </w:tc>
              <w:tc>
                <w:tcPr>
                  <w:tcW w:w="555" w:type="pct"/>
                  <w:tcBorders>
                    <w:top w:val="nil"/>
                    <w:left w:val="nil"/>
                    <w:bottom w:val="single" w:sz="6" w:space="0" w:color="D9D9D9" w:themeColor="background1" w:themeShade="D9"/>
                    <w:right w:val="nil"/>
                  </w:tcBorders>
                  <w:shd w:val="clear" w:color="auto" w:fill="auto"/>
                  <w:vAlign w:val="bottom"/>
                </w:tcPr>
                <w:p w14:paraId="7954C7A3"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2.75</w:t>
                  </w:r>
                </w:p>
              </w:tc>
              <w:tc>
                <w:tcPr>
                  <w:tcW w:w="555" w:type="pct"/>
                  <w:tcBorders>
                    <w:top w:val="nil"/>
                    <w:left w:val="nil"/>
                    <w:bottom w:val="single" w:sz="6" w:space="0" w:color="D9D9D9" w:themeColor="background1" w:themeShade="D9"/>
                    <w:right w:val="nil"/>
                  </w:tcBorders>
                  <w:shd w:val="clear" w:color="auto" w:fill="auto"/>
                  <w:vAlign w:val="bottom"/>
                </w:tcPr>
                <w:p w14:paraId="7954C7A4"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2.64</w:t>
                  </w:r>
                </w:p>
              </w:tc>
              <w:tc>
                <w:tcPr>
                  <w:tcW w:w="555" w:type="pct"/>
                  <w:tcBorders>
                    <w:top w:val="nil"/>
                    <w:left w:val="nil"/>
                    <w:bottom w:val="single" w:sz="6" w:space="0" w:color="D9D9D9" w:themeColor="background1" w:themeShade="D9"/>
                    <w:right w:val="nil"/>
                  </w:tcBorders>
                  <w:shd w:val="clear" w:color="auto" w:fill="auto"/>
                  <w:vAlign w:val="bottom"/>
                </w:tcPr>
                <w:p w14:paraId="7954C7A5"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2.16</w:t>
                  </w:r>
                </w:p>
              </w:tc>
              <w:tc>
                <w:tcPr>
                  <w:tcW w:w="553" w:type="pct"/>
                  <w:tcBorders>
                    <w:top w:val="nil"/>
                    <w:left w:val="nil"/>
                    <w:bottom w:val="single" w:sz="6" w:space="0" w:color="D9D9D9" w:themeColor="background1" w:themeShade="D9"/>
                    <w:right w:val="nil"/>
                  </w:tcBorders>
                  <w:shd w:val="clear" w:color="auto" w:fill="auto"/>
                  <w:vAlign w:val="bottom"/>
                </w:tcPr>
                <w:p w14:paraId="7954C7A6" w14:textId="77777777" w:rsidR="00F05DC7" w:rsidRPr="00911F46" w:rsidRDefault="00F05DC7" w:rsidP="00A3786D">
                  <w:pPr>
                    <w:pStyle w:val="TableBodyText"/>
                    <w:rPr>
                      <w:rFonts w:asciiTheme="minorHAnsi" w:hAnsiTheme="minorHAnsi" w:cstheme="minorHAnsi"/>
                      <w:szCs w:val="18"/>
                    </w:rPr>
                  </w:pPr>
                  <w:r>
                    <w:rPr>
                      <w:rFonts w:asciiTheme="minorHAnsi" w:hAnsiTheme="minorHAnsi" w:cstheme="minorHAnsi"/>
                      <w:color w:val="000000"/>
                      <w:szCs w:val="18"/>
                    </w:rPr>
                    <w:noBreakHyphen/>
                  </w:r>
                  <w:r w:rsidRPr="00911F46">
                    <w:rPr>
                      <w:rFonts w:asciiTheme="minorHAnsi" w:hAnsiTheme="minorHAnsi" w:cstheme="minorHAnsi"/>
                      <w:color w:val="000000"/>
                      <w:szCs w:val="18"/>
                    </w:rPr>
                    <w:t>1.20</w:t>
                  </w:r>
                </w:p>
              </w:tc>
            </w:tr>
          </w:tbl>
          <w:p w14:paraId="7954C7A8" w14:textId="77777777" w:rsidR="00F05DC7" w:rsidRDefault="00F05DC7" w:rsidP="00A3786D">
            <w:pPr>
              <w:pStyle w:val="Box"/>
            </w:pPr>
          </w:p>
        </w:tc>
      </w:tr>
      <w:tr w:rsidR="00F05DC7" w14:paraId="7954C7AB" w14:textId="77777777" w:rsidTr="00A3786D">
        <w:tc>
          <w:tcPr>
            <w:tcW w:w="5000" w:type="pct"/>
            <w:tcBorders>
              <w:top w:val="nil"/>
              <w:left w:val="nil"/>
              <w:bottom w:val="nil"/>
              <w:right w:val="nil"/>
            </w:tcBorders>
            <w:shd w:val="clear" w:color="auto" w:fill="auto"/>
          </w:tcPr>
          <w:p w14:paraId="7954C7AA" w14:textId="77777777" w:rsidR="00F05DC7" w:rsidRDefault="00F05DC7" w:rsidP="00A3786D">
            <w:pPr>
              <w:pStyle w:val="Source"/>
            </w:pPr>
            <w:r w:rsidRPr="003763F7">
              <w:rPr>
                <w:i/>
              </w:rPr>
              <w:t>Source</w:t>
            </w:r>
            <w:r w:rsidRPr="00676CAE">
              <w:t>:</w:t>
            </w:r>
            <w:r w:rsidRPr="003763F7">
              <w:rPr>
                <w:i/>
              </w:rPr>
              <w:t xml:space="preserve"> </w:t>
            </w:r>
            <w:r w:rsidRPr="00676CAE">
              <w:t>Productivity Commission estimates.</w:t>
            </w:r>
            <w:r>
              <w:rPr>
                <w:i/>
              </w:rPr>
              <w:t xml:space="preserve"> </w:t>
            </w:r>
          </w:p>
        </w:tc>
      </w:tr>
      <w:tr w:rsidR="00F05DC7" w14:paraId="7954C7AD" w14:textId="77777777" w:rsidTr="00A3786D">
        <w:tc>
          <w:tcPr>
            <w:tcW w:w="5000" w:type="pct"/>
            <w:tcBorders>
              <w:top w:val="nil"/>
              <w:left w:val="nil"/>
              <w:bottom w:val="single" w:sz="6" w:space="0" w:color="78A22F"/>
              <w:right w:val="nil"/>
            </w:tcBorders>
            <w:shd w:val="clear" w:color="auto" w:fill="auto"/>
          </w:tcPr>
          <w:p w14:paraId="7954C7AC" w14:textId="77777777" w:rsidR="00F05DC7" w:rsidRDefault="00F05DC7" w:rsidP="00A3786D">
            <w:pPr>
              <w:pStyle w:val="Box"/>
              <w:spacing w:before="0" w:line="120" w:lineRule="exact"/>
            </w:pPr>
          </w:p>
        </w:tc>
      </w:tr>
      <w:tr w:rsidR="00F05DC7" w:rsidRPr="000863A5" w14:paraId="7954C7AF" w14:textId="77777777" w:rsidTr="00A3786D">
        <w:tc>
          <w:tcPr>
            <w:tcW w:w="5000" w:type="pct"/>
            <w:tcBorders>
              <w:top w:val="single" w:sz="6" w:space="0" w:color="78A22F"/>
              <w:left w:val="nil"/>
              <w:bottom w:val="nil"/>
              <w:right w:val="nil"/>
            </w:tcBorders>
          </w:tcPr>
          <w:p w14:paraId="7954C7AE" w14:textId="77777777" w:rsidR="00F05DC7" w:rsidRPr="00626D32" w:rsidRDefault="00F05DC7" w:rsidP="00A3786D">
            <w:pPr>
              <w:pStyle w:val="BoxSpaceBelow"/>
            </w:pPr>
          </w:p>
        </w:tc>
      </w:tr>
    </w:tbl>
    <w:p w14:paraId="7954C7B0" w14:textId="77777777" w:rsidR="00F05DC7" w:rsidRDefault="00F05DC7" w:rsidP="00A3786D">
      <w:pPr>
        <w:pStyle w:val="BodyText"/>
      </w:pPr>
      <w:r>
        <w:t>By the end of the four year transition (in 2022</w:t>
      </w:r>
      <w:r>
        <w:noBreakHyphen/>
        <w:t>23), the change in GST payments ranges from (table F.5, figure F.7, figure F.8):</w:t>
      </w:r>
    </w:p>
    <w:p w14:paraId="7954C7B1" w14:textId="77777777" w:rsidR="00F05DC7" w:rsidRDefault="00F05DC7" w:rsidP="00A3786D">
      <w:pPr>
        <w:pStyle w:val="ListBullet"/>
      </w:pPr>
      <w:r>
        <w:t>as a proportion of State revenue, an increase of about 5.2 per cent (in Western Australia) to a decrease of about 2.8 per cent (in South Australia)</w:t>
      </w:r>
    </w:p>
    <w:p w14:paraId="7954C7B2" w14:textId="77777777" w:rsidR="00F05DC7" w:rsidRDefault="00F05DC7" w:rsidP="00A3786D">
      <w:pPr>
        <w:pStyle w:val="ListBullet"/>
      </w:pPr>
      <w:r>
        <w:t>in per capita terms, an increase of $676 per capita (in Western Australia) to a decrease of $333 per capita (in Queensland, South Australia, Tasmania, the ACT and the NT)</w:t>
      </w:r>
    </w:p>
    <w:p w14:paraId="7954C7B3" w14:textId="77777777" w:rsidR="00F05DC7" w:rsidRDefault="00F05DC7" w:rsidP="00A3786D">
      <w:pPr>
        <w:pStyle w:val="ListBullet"/>
      </w:pPr>
      <w:r>
        <w:t>an increase of $1900 million (in New South Wales) to a decrease of $1767 million (in Queensland).</w:t>
      </w:r>
    </w:p>
    <w:p w14:paraId="7954C7B4" w14:textId="77777777" w:rsidR="00F05DC7" w:rsidRDefault="00F05DC7" w:rsidP="00A3786D">
      <w:pPr>
        <w:pStyle w:val="BodyText"/>
      </w:pPr>
      <w:r>
        <w:t>With an eight year transition these figures are halved (table F.6).</w:t>
      </w:r>
    </w:p>
    <w:p w14:paraId="7954C7B5"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7B8" w14:textId="77777777" w:rsidTr="00A3786D">
        <w:trPr>
          <w:tblHeader/>
        </w:trPr>
        <w:tc>
          <w:tcPr>
            <w:tcW w:w="5000" w:type="pct"/>
            <w:tcBorders>
              <w:top w:val="single" w:sz="6" w:space="0" w:color="78A22F"/>
              <w:left w:val="nil"/>
              <w:bottom w:val="nil"/>
              <w:right w:val="nil"/>
            </w:tcBorders>
            <w:shd w:val="clear" w:color="auto" w:fill="auto"/>
          </w:tcPr>
          <w:p w14:paraId="7954C7B6" w14:textId="01C27333" w:rsidR="00F05DC7" w:rsidRDefault="00F05DC7" w:rsidP="00A3786D">
            <w:pPr>
              <w:pStyle w:val="TableTitle"/>
            </w:pPr>
            <w:r>
              <w:rPr>
                <w:b w:val="0"/>
              </w:rPr>
              <w:t>Table F.6</w:t>
            </w:r>
            <w:r>
              <w:tab/>
              <w:t>Eight year transition to ETA: projected c</w:t>
            </w:r>
            <w:r w:rsidRPr="00920444">
              <w:t>hange</w:t>
            </w:r>
            <w:r>
              <w:t xml:space="preserve"> in</w:t>
            </w:r>
            <w:r w:rsidRPr="00920444">
              <w:t xml:space="preserve"> GST payment</w:t>
            </w:r>
            <w:r>
              <w:t>s due to change in the equalisation benchmark</w:t>
            </w:r>
          </w:p>
          <w:p w14:paraId="7954C7B7" w14:textId="77777777" w:rsidR="00F05DC7" w:rsidRPr="00784A05" w:rsidRDefault="00F05DC7">
            <w:pPr>
              <w:pStyle w:val="Subtitle"/>
            </w:pPr>
            <w:r>
              <w:t>Relative to current benchmark, ‘Best estimate’ scenario</w:t>
            </w:r>
          </w:p>
        </w:tc>
      </w:tr>
      <w:tr w:rsidR="00F05DC7" w14:paraId="7954C8BA"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C7C2"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7B9"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C7BA"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C7BB"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C7BC"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C7BD"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C7BE"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C7BF"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C7C0"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C7C1"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C7C4" w14:textId="77777777" w:rsidTr="00A3786D">
              <w:tc>
                <w:tcPr>
                  <w:tcW w:w="5000" w:type="pct"/>
                  <w:gridSpan w:val="9"/>
                  <w:tcBorders>
                    <w:top w:val="single" w:sz="6" w:space="0" w:color="BFBFBF"/>
                  </w:tcBorders>
                  <w:shd w:val="clear" w:color="auto" w:fill="F2F2F2" w:themeFill="background1" w:themeFillShade="F2"/>
                </w:tcPr>
                <w:p w14:paraId="7954C7C3"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C7CE" w14:textId="77777777" w:rsidTr="00A3786D">
              <w:tc>
                <w:tcPr>
                  <w:tcW w:w="556" w:type="pct"/>
                  <w:shd w:val="clear" w:color="auto" w:fill="auto"/>
                  <w:vAlign w:val="bottom"/>
                </w:tcPr>
                <w:p w14:paraId="7954C7C5"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C7C6" w14:textId="77777777" w:rsidR="00F05DC7" w:rsidRPr="00A75ED1" w:rsidRDefault="00F05DC7" w:rsidP="00A3786D">
                  <w:pPr>
                    <w:pStyle w:val="TableBodyText"/>
                    <w:rPr>
                      <w:rFonts w:cs="Arial"/>
                      <w:szCs w:val="18"/>
                    </w:rPr>
                  </w:pPr>
                  <w:r w:rsidRPr="00A75ED1">
                    <w:t>175</w:t>
                  </w:r>
                </w:p>
              </w:tc>
              <w:tc>
                <w:tcPr>
                  <w:tcW w:w="557" w:type="pct"/>
                  <w:tcBorders>
                    <w:top w:val="nil"/>
                    <w:left w:val="nil"/>
                    <w:bottom w:val="nil"/>
                    <w:right w:val="nil"/>
                  </w:tcBorders>
                  <w:shd w:val="clear" w:color="auto" w:fill="auto"/>
                  <w:vAlign w:val="bottom"/>
                </w:tcPr>
                <w:p w14:paraId="7954C7C7" w14:textId="77777777" w:rsidR="00F05DC7" w:rsidRPr="00A75ED1" w:rsidRDefault="00F05DC7" w:rsidP="00A3786D">
                  <w:pPr>
                    <w:pStyle w:val="TableBodyText"/>
                    <w:rPr>
                      <w:rFonts w:cs="Arial"/>
                      <w:szCs w:val="18"/>
                    </w:rPr>
                  </w:pPr>
                  <w:r>
                    <w:noBreakHyphen/>
                  </w:r>
                  <w:r w:rsidRPr="00A75ED1">
                    <w:t>151</w:t>
                  </w:r>
                </w:p>
              </w:tc>
              <w:tc>
                <w:tcPr>
                  <w:tcW w:w="556" w:type="pct"/>
                  <w:tcBorders>
                    <w:top w:val="nil"/>
                    <w:left w:val="nil"/>
                    <w:bottom w:val="nil"/>
                    <w:right w:val="nil"/>
                  </w:tcBorders>
                  <w:shd w:val="clear" w:color="auto" w:fill="auto"/>
                  <w:vAlign w:val="bottom"/>
                </w:tcPr>
                <w:p w14:paraId="7954C7C8" w14:textId="77777777" w:rsidR="00F05DC7" w:rsidRPr="00A75ED1" w:rsidRDefault="00F05DC7" w:rsidP="00A3786D">
                  <w:pPr>
                    <w:pStyle w:val="TableBodyText"/>
                    <w:rPr>
                      <w:rFonts w:cs="Arial"/>
                      <w:szCs w:val="18"/>
                    </w:rPr>
                  </w:pPr>
                  <w:r>
                    <w:noBreakHyphen/>
                  </w:r>
                  <w:r w:rsidRPr="00A75ED1">
                    <w:t>186</w:t>
                  </w:r>
                </w:p>
              </w:tc>
              <w:tc>
                <w:tcPr>
                  <w:tcW w:w="556" w:type="pct"/>
                  <w:tcBorders>
                    <w:top w:val="nil"/>
                    <w:left w:val="nil"/>
                    <w:bottom w:val="nil"/>
                    <w:right w:val="nil"/>
                  </w:tcBorders>
                  <w:shd w:val="clear" w:color="auto" w:fill="auto"/>
                  <w:vAlign w:val="bottom"/>
                </w:tcPr>
                <w:p w14:paraId="7954C7C9" w14:textId="77777777" w:rsidR="00F05DC7" w:rsidRPr="00A75ED1" w:rsidRDefault="00F05DC7" w:rsidP="00A3786D">
                  <w:pPr>
                    <w:pStyle w:val="TableBodyText"/>
                    <w:rPr>
                      <w:rFonts w:cs="Arial"/>
                      <w:szCs w:val="18"/>
                    </w:rPr>
                  </w:pPr>
                  <w:r w:rsidRPr="00A75ED1">
                    <w:t>270</w:t>
                  </w:r>
                </w:p>
              </w:tc>
              <w:tc>
                <w:tcPr>
                  <w:tcW w:w="555" w:type="pct"/>
                  <w:tcBorders>
                    <w:top w:val="nil"/>
                    <w:left w:val="nil"/>
                    <w:bottom w:val="nil"/>
                    <w:right w:val="nil"/>
                  </w:tcBorders>
                  <w:shd w:val="clear" w:color="auto" w:fill="auto"/>
                  <w:vAlign w:val="bottom"/>
                </w:tcPr>
                <w:p w14:paraId="7954C7CA" w14:textId="77777777" w:rsidR="00F05DC7" w:rsidRPr="00A75ED1" w:rsidRDefault="00F05DC7" w:rsidP="00A3786D">
                  <w:pPr>
                    <w:pStyle w:val="TableBodyText"/>
                    <w:rPr>
                      <w:rFonts w:cs="Arial"/>
                      <w:szCs w:val="18"/>
                    </w:rPr>
                  </w:pPr>
                  <w:r>
                    <w:noBreakHyphen/>
                  </w:r>
                  <w:r w:rsidRPr="00A75ED1">
                    <w:t>64</w:t>
                  </w:r>
                </w:p>
              </w:tc>
              <w:tc>
                <w:tcPr>
                  <w:tcW w:w="555" w:type="pct"/>
                  <w:tcBorders>
                    <w:top w:val="nil"/>
                    <w:left w:val="nil"/>
                    <w:bottom w:val="nil"/>
                    <w:right w:val="nil"/>
                  </w:tcBorders>
                  <w:shd w:val="clear" w:color="auto" w:fill="auto"/>
                  <w:vAlign w:val="bottom"/>
                </w:tcPr>
                <w:p w14:paraId="7954C7CB" w14:textId="77777777" w:rsidR="00F05DC7" w:rsidRPr="00A75ED1" w:rsidRDefault="00F05DC7" w:rsidP="00A3786D">
                  <w:pPr>
                    <w:pStyle w:val="TableBodyText"/>
                    <w:rPr>
                      <w:rFonts w:cs="Arial"/>
                      <w:szCs w:val="18"/>
                    </w:rPr>
                  </w:pPr>
                  <w:r>
                    <w:noBreakHyphen/>
                  </w:r>
                  <w:r w:rsidRPr="00A75ED1">
                    <w:t>19</w:t>
                  </w:r>
                </w:p>
              </w:tc>
              <w:tc>
                <w:tcPr>
                  <w:tcW w:w="555" w:type="pct"/>
                  <w:tcBorders>
                    <w:top w:val="nil"/>
                    <w:left w:val="nil"/>
                    <w:bottom w:val="nil"/>
                    <w:right w:val="nil"/>
                  </w:tcBorders>
                  <w:shd w:val="clear" w:color="auto" w:fill="auto"/>
                  <w:vAlign w:val="bottom"/>
                </w:tcPr>
                <w:p w14:paraId="7954C7CC" w14:textId="77777777" w:rsidR="00F05DC7" w:rsidRPr="00A75ED1" w:rsidRDefault="00F05DC7" w:rsidP="00A3786D">
                  <w:pPr>
                    <w:pStyle w:val="TableBodyText"/>
                    <w:rPr>
                      <w:rFonts w:cs="Arial"/>
                      <w:szCs w:val="18"/>
                    </w:rPr>
                  </w:pPr>
                  <w:r>
                    <w:noBreakHyphen/>
                  </w:r>
                  <w:r w:rsidRPr="00A75ED1">
                    <w:t>16</w:t>
                  </w:r>
                </w:p>
              </w:tc>
              <w:tc>
                <w:tcPr>
                  <w:tcW w:w="553" w:type="pct"/>
                  <w:tcBorders>
                    <w:top w:val="nil"/>
                    <w:left w:val="nil"/>
                    <w:bottom w:val="nil"/>
                    <w:right w:val="nil"/>
                  </w:tcBorders>
                  <w:shd w:val="clear" w:color="auto" w:fill="auto"/>
                  <w:vAlign w:val="bottom"/>
                </w:tcPr>
                <w:p w14:paraId="7954C7CD" w14:textId="77777777" w:rsidR="00F05DC7" w:rsidRPr="00A75ED1" w:rsidRDefault="00F05DC7" w:rsidP="00A3786D">
                  <w:pPr>
                    <w:pStyle w:val="TableBodyText"/>
                    <w:rPr>
                      <w:rFonts w:cs="Arial"/>
                      <w:szCs w:val="18"/>
                    </w:rPr>
                  </w:pPr>
                  <w:r>
                    <w:noBreakHyphen/>
                  </w:r>
                  <w:r w:rsidRPr="00A75ED1">
                    <w:t>9</w:t>
                  </w:r>
                </w:p>
              </w:tc>
            </w:tr>
            <w:tr w:rsidR="00F05DC7" w:rsidRPr="00A75ED1" w14:paraId="7954C7D8" w14:textId="77777777" w:rsidTr="00A3786D">
              <w:tc>
                <w:tcPr>
                  <w:tcW w:w="556" w:type="pct"/>
                  <w:shd w:val="clear" w:color="auto" w:fill="auto"/>
                  <w:vAlign w:val="bottom"/>
                </w:tcPr>
                <w:p w14:paraId="7954C7CF"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C7D0" w14:textId="77777777" w:rsidR="00F05DC7" w:rsidRPr="00A75ED1" w:rsidRDefault="00F05DC7" w:rsidP="00A3786D">
                  <w:pPr>
                    <w:pStyle w:val="TableBodyText"/>
                    <w:rPr>
                      <w:rFonts w:cs="Arial"/>
                      <w:szCs w:val="18"/>
                    </w:rPr>
                  </w:pPr>
                  <w:r w:rsidRPr="00A75ED1">
                    <w:t>409</w:t>
                  </w:r>
                </w:p>
              </w:tc>
              <w:tc>
                <w:tcPr>
                  <w:tcW w:w="557" w:type="pct"/>
                  <w:tcBorders>
                    <w:top w:val="nil"/>
                    <w:left w:val="nil"/>
                    <w:bottom w:val="nil"/>
                    <w:right w:val="nil"/>
                  </w:tcBorders>
                  <w:shd w:val="clear" w:color="auto" w:fill="auto"/>
                  <w:vAlign w:val="bottom"/>
                </w:tcPr>
                <w:p w14:paraId="7954C7D1" w14:textId="77777777" w:rsidR="00F05DC7" w:rsidRPr="00A75ED1" w:rsidRDefault="00F05DC7" w:rsidP="00A3786D">
                  <w:pPr>
                    <w:pStyle w:val="TableBodyText"/>
                    <w:rPr>
                      <w:rFonts w:cs="Arial"/>
                      <w:szCs w:val="18"/>
                    </w:rPr>
                  </w:pPr>
                  <w:r>
                    <w:noBreakHyphen/>
                  </w:r>
                  <w:r w:rsidRPr="00A75ED1">
                    <w:t>286</w:t>
                  </w:r>
                </w:p>
              </w:tc>
              <w:tc>
                <w:tcPr>
                  <w:tcW w:w="556" w:type="pct"/>
                  <w:tcBorders>
                    <w:top w:val="nil"/>
                    <w:left w:val="nil"/>
                    <w:bottom w:val="nil"/>
                    <w:right w:val="nil"/>
                  </w:tcBorders>
                  <w:shd w:val="clear" w:color="auto" w:fill="auto"/>
                  <w:vAlign w:val="bottom"/>
                </w:tcPr>
                <w:p w14:paraId="7954C7D2" w14:textId="77777777" w:rsidR="00F05DC7" w:rsidRPr="00A75ED1" w:rsidRDefault="00F05DC7" w:rsidP="00A3786D">
                  <w:pPr>
                    <w:pStyle w:val="TableBodyText"/>
                    <w:rPr>
                      <w:rFonts w:cs="Arial"/>
                      <w:szCs w:val="18"/>
                    </w:rPr>
                  </w:pPr>
                  <w:r>
                    <w:noBreakHyphen/>
                  </w:r>
                  <w:r w:rsidRPr="00A75ED1">
                    <w:t>394</w:t>
                  </w:r>
                </w:p>
              </w:tc>
              <w:tc>
                <w:tcPr>
                  <w:tcW w:w="556" w:type="pct"/>
                  <w:tcBorders>
                    <w:top w:val="nil"/>
                    <w:left w:val="nil"/>
                    <w:bottom w:val="nil"/>
                    <w:right w:val="nil"/>
                  </w:tcBorders>
                  <w:shd w:val="clear" w:color="auto" w:fill="auto"/>
                  <w:vAlign w:val="bottom"/>
                </w:tcPr>
                <w:p w14:paraId="7954C7D3" w14:textId="77777777" w:rsidR="00F05DC7" w:rsidRPr="00A75ED1" w:rsidRDefault="00F05DC7" w:rsidP="00A3786D">
                  <w:pPr>
                    <w:pStyle w:val="TableBodyText"/>
                    <w:rPr>
                      <w:rFonts w:cs="Arial"/>
                      <w:szCs w:val="18"/>
                    </w:rPr>
                  </w:pPr>
                  <w:r w:rsidRPr="00A75ED1">
                    <w:t>498</w:t>
                  </w:r>
                </w:p>
              </w:tc>
              <w:tc>
                <w:tcPr>
                  <w:tcW w:w="555" w:type="pct"/>
                  <w:tcBorders>
                    <w:top w:val="nil"/>
                    <w:left w:val="nil"/>
                    <w:bottom w:val="nil"/>
                    <w:right w:val="nil"/>
                  </w:tcBorders>
                  <w:shd w:val="clear" w:color="auto" w:fill="auto"/>
                  <w:vAlign w:val="bottom"/>
                </w:tcPr>
                <w:p w14:paraId="7954C7D4" w14:textId="77777777" w:rsidR="00F05DC7" w:rsidRPr="00A75ED1" w:rsidRDefault="00F05DC7" w:rsidP="00A3786D">
                  <w:pPr>
                    <w:pStyle w:val="TableBodyText"/>
                    <w:rPr>
                      <w:rFonts w:cs="Arial"/>
                      <w:szCs w:val="18"/>
                    </w:rPr>
                  </w:pPr>
                  <w:r>
                    <w:noBreakHyphen/>
                  </w:r>
                  <w:r w:rsidRPr="00A75ED1">
                    <w:t>135</w:t>
                  </w:r>
                </w:p>
              </w:tc>
              <w:tc>
                <w:tcPr>
                  <w:tcW w:w="555" w:type="pct"/>
                  <w:tcBorders>
                    <w:top w:val="nil"/>
                    <w:left w:val="nil"/>
                    <w:bottom w:val="nil"/>
                    <w:right w:val="nil"/>
                  </w:tcBorders>
                  <w:shd w:val="clear" w:color="auto" w:fill="auto"/>
                  <w:vAlign w:val="bottom"/>
                </w:tcPr>
                <w:p w14:paraId="7954C7D5" w14:textId="77777777" w:rsidR="00F05DC7" w:rsidRPr="00A75ED1" w:rsidRDefault="00F05DC7" w:rsidP="00A3786D">
                  <w:pPr>
                    <w:pStyle w:val="TableBodyText"/>
                    <w:rPr>
                      <w:rFonts w:cs="Arial"/>
                      <w:szCs w:val="18"/>
                    </w:rPr>
                  </w:pPr>
                  <w:r>
                    <w:noBreakHyphen/>
                  </w:r>
                  <w:r w:rsidRPr="00A75ED1">
                    <w:t>40</w:t>
                  </w:r>
                </w:p>
              </w:tc>
              <w:tc>
                <w:tcPr>
                  <w:tcW w:w="555" w:type="pct"/>
                  <w:tcBorders>
                    <w:top w:val="nil"/>
                    <w:left w:val="nil"/>
                    <w:bottom w:val="nil"/>
                    <w:right w:val="nil"/>
                  </w:tcBorders>
                  <w:shd w:val="clear" w:color="auto" w:fill="auto"/>
                  <w:vAlign w:val="bottom"/>
                </w:tcPr>
                <w:p w14:paraId="7954C7D6" w14:textId="77777777" w:rsidR="00F05DC7" w:rsidRPr="00A75ED1" w:rsidRDefault="00F05DC7" w:rsidP="00A3786D">
                  <w:pPr>
                    <w:pStyle w:val="TableBodyText"/>
                    <w:rPr>
                      <w:rFonts w:cs="Arial"/>
                      <w:szCs w:val="18"/>
                    </w:rPr>
                  </w:pPr>
                  <w:r>
                    <w:noBreakHyphen/>
                  </w:r>
                  <w:r w:rsidRPr="00A75ED1">
                    <w:t>33</w:t>
                  </w:r>
                </w:p>
              </w:tc>
              <w:tc>
                <w:tcPr>
                  <w:tcW w:w="553" w:type="pct"/>
                  <w:tcBorders>
                    <w:top w:val="nil"/>
                    <w:left w:val="nil"/>
                    <w:bottom w:val="nil"/>
                    <w:right w:val="nil"/>
                  </w:tcBorders>
                  <w:shd w:val="clear" w:color="auto" w:fill="auto"/>
                  <w:vAlign w:val="bottom"/>
                </w:tcPr>
                <w:p w14:paraId="7954C7D7" w14:textId="77777777" w:rsidR="00F05DC7" w:rsidRPr="00A75ED1" w:rsidRDefault="00F05DC7" w:rsidP="00A3786D">
                  <w:pPr>
                    <w:pStyle w:val="TableBodyText"/>
                    <w:rPr>
                      <w:rFonts w:cs="Arial"/>
                      <w:szCs w:val="18"/>
                    </w:rPr>
                  </w:pPr>
                  <w:r>
                    <w:noBreakHyphen/>
                  </w:r>
                  <w:r w:rsidRPr="00A75ED1">
                    <w:t>19</w:t>
                  </w:r>
                </w:p>
              </w:tc>
            </w:tr>
            <w:tr w:rsidR="00F05DC7" w:rsidRPr="00A75ED1" w14:paraId="7954C7E2" w14:textId="77777777" w:rsidTr="00A3786D">
              <w:tc>
                <w:tcPr>
                  <w:tcW w:w="556" w:type="pct"/>
                  <w:shd w:val="clear" w:color="auto" w:fill="auto"/>
                  <w:vAlign w:val="bottom"/>
                </w:tcPr>
                <w:p w14:paraId="7954C7D9"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C7DA" w14:textId="77777777" w:rsidR="00F05DC7" w:rsidRPr="00A75ED1" w:rsidRDefault="00F05DC7" w:rsidP="00A3786D">
                  <w:pPr>
                    <w:pStyle w:val="TableBodyText"/>
                    <w:rPr>
                      <w:rFonts w:cs="Arial"/>
                      <w:szCs w:val="18"/>
                    </w:rPr>
                  </w:pPr>
                  <w:r w:rsidRPr="00A75ED1">
                    <w:t>633</w:t>
                  </w:r>
                </w:p>
              </w:tc>
              <w:tc>
                <w:tcPr>
                  <w:tcW w:w="557" w:type="pct"/>
                  <w:tcBorders>
                    <w:top w:val="nil"/>
                    <w:left w:val="nil"/>
                    <w:bottom w:val="nil"/>
                    <w:right w:val="nil"/>
                  </w:tcBorders>
                  <w:shd w:val="clear" w:color="auto" w:fill="auto"/>
                  <w:vAlign w:val="bottom"/>
                </w:tcPr>
                <w:p w14:paraId="7954C7DB" w14:textId="77777777" w:rsidR="00F05DC7" w:rsidRPr="00A75ED1" w:rsidRDefault="00F05DC7" w:rsidP="00A3786D">
                  <w:pPr>
                    <w:pStyle w:val="TableBodyText"/>
                    <w:rPr>
                      <w:rFonts w:cs="Arial"/>
                      <w:szCs w:val="18"/>
                    </w:rPr>
                  </w:pPr>
                  <w:r>
                    <w:noBreakHyphen/>
                  </w:r>
                  <w:r w:rsidRPr="00A75ED1">
                    <w:t>407</w:t>
                  </w:r>
                </w:p>
              </w:tc>
              <w:tc>
                <w:tcPr>
                  <w:tcW w:w="556" w:type="pct"/>
                  <w:tcBorders>
                    <w:top w:val="nil"/>
                    <w:left w:val="nil"/>
                    <w:bottom w:val="nil"/>
                    <w:right w:val="nil"/>
                  </w:tcBorders>
                  <w:shd w:val="clear" w:color="auto" w:fill="auto"/>
                  <w:vAlign w:val="bottom"/>
                </w:tcPr>
                <w:p w14:paraId="7954C7DC" w14:textId="77777777" w:rsidR="00F05DC7" w:rsidRPr="00A75ED1" w:rsidRDefault="00F05DC7" w:rsidP="00A3786D">
                  <w:pPr>
                    <w:pStyle w:val="TableBodyText"/>
                    <w:rPr>
                      <w:rFonts w:cs="Arial"/>
                      <w:szCs w:val="18"/>
                    </w:rPr>
                  </w:pPr>
                  <w:r>
                    <w:noBreakHyphen/>
                  </w:r>
                  <w:r w:rsidRPr="00A75ED1">
                    <w:t>622</w:t>
                  </w:r>
                </w:p>
              </w:tc>
              <w:tc>
                <w:tcPr>
                  <w:tcW w:w="556" w:type="pct"/>
                  <w:tcBorders>
                    <w:top w:val="nil"/>
                    <w:left w:val="nil"/>
                    <w:bottom w:val="nil"/>
                    <w:right w:val="nil"/>
                  </w:tcBorders>
                  <w:shd w:val="clear" w:color="auto" w:fill="auto"/>
                  <w:vAlign w:val="bottom"/>
                </w:tcPr>
                <w:p w14:paraId="7954C7DD" w14:textId="77777777" w:rsidR="00F05DC7" w:rsidRPr="00A75ED1" w:rsidRDefault="00F05DC7" w:rsidP="00A3786D">
                  <w:pPr>
                    <w:pStyle w:val="TableBodyText"/>
                    <w:rPr>
                      <w:rFonts w:cs="Arial"/>
                      <w:szCs w:val="18"/>
                    </w:rPr>
                  </w:pPr>
                  <w:r w:rsidRPr="00A75ED1">
                    <w:t>751</w:t>
                  </w:r>
                </w:p>
              </w:tc>
              <w:tc>
                <w:tcPr>
                  <w:tcW w:w="555" w:type="pct"/>
                  <w:tcBorders>
                    <w:top w:val="nil"/>
                    <w:left w:val="nil"/>
                    <w:bottom w:val="nil"/>
                    <w:right w:val="nil"/>
                  </w:tcBorders>
                  <w:shd w:val="clear" w:color="auto" w:fill="auto"/>
                  <w:vAlign w:val="bottom"/>
                </w:tcPr>
                <w:p w14:paraId="7954C7DE" w14:textId="77777777" w:rsidR="00F05DC7" w:rsidRPr="00A75ED1" w:rsidRDefault="00F05DC7" w:rsidP="00A3786D">
                  <w:pPr>
                    <w:pStyle w:val="TableBodyText"/>
                    <w:rPr>
                      <w:rFonts w:cs="Arial"/>
                      <w:szCs w:val="18"/>
                    </w:rPr>
                  </w:pPr>
                  <w:r>
                    <w:noBreakHyphen/>
                  </w:r>
                  <w:r w:rsidRPr="00A75ED1">
                    <w:t>211</w:t>
                  </w:r>
                </w:p>
              </w:tc>
              <w:tc>
                <w:tcPr>
                  <w:tcW w:w="555" w:type="pct"/>
                  <w:tcBorders>
                    <w:top w:val="nil"/>
                    <w:left w:val="nil"/>
                    <w:bottom w:val="nil"/>
                    <w:right w:val="nil"/>
                  </w:tcBorders>
                  <w:shd w:val="clear" w:color="auto" w:fill="auto"/>
                  <w:vAlign w:val="bottom"/>
                </w:tcPr>
                <w:p w14:paraId="7954C7DF" w14:textId="77777777" w:rsidR="00F05DC7" w:rsidRPr="00A75ED1" w:rsidRDefault="00F05DC7" w:rsidP="00A3786D">
                  <w:pPr>
                    <w:pStyle w:val="TableBodyText"/>
                    <w:rPr>
                      <w:rFonts w:cs="Arial"/>
                      <w:szCs w:val="18"/>
                    </w:rPr>
                  </w:pPr>
                  <w:r>
                    <w:noBreakHyphen/>
                  </w:r>
                  <w:r w:rsidRPr="00A75ED1">
                    <w:t>63</w:t>
                  </w:r>
                </w:p>
              </w:tc>
              <w:tc>
                <w:tcPr>
                  <w:tcW w:w="555" w:type="pct"/>
                  <w:tcBorders>
                    <w:top w:val="nil"/>
                    <w:left w:val="nil"/>
                    <w:bottom w:val="nil"/>
                    <w:right w:val="nil"/>
                  </w:tcBorders>
                  <w:shd w:val="clear" w:color="auto" w:fill="auto"/>
                  <w:vAlign w:val="bottom"/>
                </w:tcPr>
                <w:p w14:paraId="7954C7E0" w14:textId="77777777" w:rsidR="00F05DC7" w:rsidRPr="00A75ED1" w:rsidRDefault="00F05DC7" w:rsidP="00A3786D">
                  <w:pPr>
                    <w:pStyle w:val="TableBodyText"/>
                    <w:rPr>
                      <w:rFonts w:cs="Arial"/>
                      <w:szCs w:val="18"/>
                    </w:rPr>
                  </w:pPr>
                  <w:r>
                    <w:noBreakHyphen/>
                  </w:r>
                  <w:r w:rsidRPr="00A75ED1">
                    <w:t>52</w:t>
                  </w:r>
                </w:p>
              </w:tc>
              <w:tc>
                <w:tcPr>
                  <w:tcW w:w="553" w:type="pct"/>
                  <w:tcBorders>
                    <w:top w:val="nil"/>
                    <w:left w:val="nil"/>
                    <w:bottom w:val="nil"/>
                    <w:right w:val="nil"/>
                  </w:tcBorders>
                  <w:shd w:val="clear" w:color="auto" w:fill="auto"/>
                  <w:vAlign w:val="bottom"/>
                </w:tcPr>
                <w:p w14:paraId="7954C7E1" w14:textId="77777777" w:rsidR="00F05DC7" w:rsidRPr="00A75ED1" w:rsidRDefault="00F05DC7" w:rsidP="00A3786D">
                  <w:pPr>
                    <w:pStyle w:val="TableBodyText"/>
                    <w:rPr>
                      <w:rFonts w:cs="Arial"/>
                      <w:szCs w:val="18"/>
                    </w:rPr>
                  </w:pPr>
                  <w:r>
                    <w:noBreakHyphen/>
                  </w:r>
                  <w:r w:rsidRPr="00A75ED1">
                    <w:t>29</w:t>
                  </w:r>
                </w:p>
              </w:tc>
            </w:tr>
            <w:tr w:rsidR="00F05DC7" w:rsidRPr="00A75ED1" w14:paraId="7954C7EC" w14:textId="77777777" w:rsidTr="00A3786D">
              <w:tc>
                <w:tcPr>
                  <w:tcW w:w="556" w:type="pct"/>
                  <w:shd w:val="clear" w:color="auto" w:fill="auto"/>
                </w:tcPr>
                <w:p w14:paraId="7954C7E3"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C7E4" w14:textId="77777777" w:rsidR="00F05DC7" w:rsidRPr="00A75ED1" w:rsidRDefault="00F05DC7" w:rsidP="00A3786D">
                  <w:pPr>
                    <w:pStyle w:val="TableBodyText"/>
                    <w:rPr>
                      <w:rFonts w:cs="Arial"/>
                      <w:szCs w:val="18"/>
                    </w:rPr>
                  </w:pPr>
                  <w:r w:rsidRPr="00A75ED1">
                    <w:t>950</w:t>
                  </w:r>
                </w:p>
              </w:tc>
              <w:tc>
                <w:tcPr>
                  <w:tcW w:w="557" w:type="pct"/>
                  <w:tcBorders>
                    <w:top w:val="nil"/>
                    <w:left w:val="nil"/>
                    <w:bottom w:val="nil"/>
                    <w:right w:val="nil"/>
                  </w:tcBorders>
                  <w:shd w:val="clear" w:color="auto" w:fill="auto"/>
                  <w:vAlign w:val="bottom"/>
                </w:tcPr>
                <w:p w14:paraId="7954C7E5" w14:textId="77777777" w:rsidR="00F05DC7" w:rsidRPr="00A75ED1" w:rsidRDefault="00F05DC7" w:rsidP="00A3786D">
                  <w:pPr>
                    <w:pStyle w:val="TableBodyText"/>
                    <w:rPr>
                      <w:rFonts w:cs="Arial"/>
                      <w:szCs w:val="18"/>
                    </w:rPr>
                  </w:pPr>
                  <w:r>
                    <w:noBreakHyphen/>
                  </w:r>
                  <w:r w:rsidRPr="00A75ED1">
                    <w:t>488</w:t>
                  </w:r>
                </w:p>
              </w:tc>
              <w:tc>
                <w:tcPr>
                  <w:tcW w:w="556" w:type="pct"/>
                  <w:tcBorders>
                    <w:top w:val="nil"/>
                    <w:left w:val="nil"/>
                    <w:bottom w:val="nil"/>
                    <w:right w:val="nil"/>
                  </w:tcBorders>
                  <w:shd w:val="clear" w:color="auto" w:fill="auto"/>
                  <w:vAlign w:val="bottom"/>
                </w:tcPr>
                <w:p w14:paraId="7954C7E6" w14:textId="77777777" w:rsidR="00F05DC7" w:rsidRPr="00A75ED1" w:rsidRDefault="00F05DC7" w:rsidP="00A3786D">
                  <w:pPr>
                    <w:pStyle w:val="TableBodyText"/>
                    <w:rPr>
                      <w:rFonts w:cs="Arial"/>
                      <w:szCs w:val="18"/>
                    </w:rPr>
                  </w:pPr>
                  <w:r>
                    <w:noBreakHyphen/>
                  </w:r>
                  <w:r w:rsidRPr="00A75ED1">
                    <w:t>884</w:t>
                  </w:r>
                </w:p>
              </w:tc>
              <w:tc>
                <w:tcPr>
                  <w:tcW w:w="556" w:type="pct"/>
                  <w:tcBorders>
                    <w:top w:val="nil"/>
                    <w:left w:val="nil"/>
                    <w:bottom w:val="nil"/>
                    <w:right w:val="nil"/>
                  </w:tcBorders>
                  <w:shd w:val="clear" w:color="auto" w:fill="auto"/>
                  <w:vAlign w:val="bottom"/>
                </w:tcPr>
                <w:p w14:paraId="7954C7E7" w14:textId="77777777" w:rsidR="00F05DC7" w:rsidRPr="00A75ED1" w:rsidRDefault="00F05DC7" w:rsidP="00A3786D">
                  <w:pPr>
                    <w:pStyle w:val="TableBodyText"/>
                    <w:rPr>
                      <w:rFonts w:cs="Arial"/>
                      <w:szCs w:val="18"/>
                    </w:rPr>
                  </w:pPr>
                  <w:r w:rsidRPr="00A75ED1">
                    <w:t>925</w:t>
                  </w:r>
                </w:p>
              </w:tc>
              <w:tc>
                <w:tcPr>
                  <w:tcW w:w="555" w:type="pct"/>
                  <w:tcBorders>
                    <w:top w:val="nil"/>
                    <w:left w:val="nil"/>
                    <w:bottom w:val="nil"/>
                    <w:right w:val="nil"/>
                  </w:tcBorders>
                  <w:shd w:val="clear" w:color="auto" w:fill="auto"/>
                  <w:vAlign w:val="bottom"/>
                </w:tcPr>
                <w:p w14:paraId="7954C7E8" w14:textId="77777777" w:rsidR="00F05DC7" w:rsidRPr="00A75ED1" w:rsidRDefault="00F05DC7" w:rsidP="00A3786D">
                  <w:pPr>
                    <w:pStyle w:val="TableBodyText"/>
                    <w:rPr>
                      <w:rFonts w:cs="Arial"/>
                      <w:szCs w:val="18"/>
                    </w:rPr>
                  </w:pPr>
                  <w:r>
                    <w:noBreakHyphen/>
                  </w:r>
                  <w:r w:rsidRPr="00A75ED1">
                    <w:t>298</w:t>
                  </w:r>
                </w:p>
              </w:tc>
              <w:tc>
                <w:tcPr>
                  <w:tcW w:w="555" w:type="pct"/>
                  <w:tcBorders>
                    <w:top w:val="nil"/>
                    <w:left w:val="nil"/>
                    <w:bottom w:val="nil"/>
                    <w:right w:val="nil"/>
                  </w:tcBorders>
                  <w:shd w:val="clear" w:color="auto" w:fill="auto"/>
                  <w:vAlign w:val="bottom"/>
                </w:tcPr>
                <w:p w14:paraId="7954C7E9" w14:textId="77777777" w:rsidR="00F05DC7" w:rsidRPr="00A75ED1" w:rsidRDefault="00F05DC7" w:rsidP="00A3786D">
                  <w:pPr>
                    <w:pStyle w:val="TableBodyText"/>
                    <w:rPr>
                      <w:rFonts w:cs="Arial"/>
                      <w:szCs w:val="18"/>
                    </w:rPr>
                  </w:pPr>
                  <w:r>
                    <w:noBreakHyphen/>
                  </w:r>
                  <w:r w:rsidRPr="00A75ED1">
                    <w:t>89</w:t>
                  </w:r>
                </w:p>
              </w:tc>
              <w:tc>
                <w:tcPr>
                  <w:tcW w:w="555" w:type="pct"/>
                  <w:tcBorders>
                    <w:top w:val="nil"/>
                    <w:left w:val="nil"/>
                    <w:bottom w:val="nil"/>
                    <w:right w:val="nil"/>
                  </w:tcBorders>
                  <w:shd w:val="clear" w:color="auto" w:fill="auto"/>
                  <w:vAlign w:val="bottom"/>
                </w:tcPr>
                <w:p w14:paraId="7954C7EA" w14:textId="77777777" w:rsidR="00F05DC7" w:rsidRPr="00A75ED1" w:rsidRDefault="00F05DC7" w:rsidP="00A3786D">
                  <w:pPr>
                    <w:pStyle w:val="TableBodyText"/>
                    <w:rPr>
                      <w:rFonts w:cs="Arial"/>
                      <w:szCs w:val="18"/>
                    </w:rPr>
                  </w:pPr>
                  <w:r>
                    <w:noBreakHyphen/>
                  </w:r>
                  <w:r w:rsidRPr="00A75ED1">
                    <w:t>74</w:t>
                  </w:r>
                </w:p>
              </w:tc>
              <w:tc>
                <w:tcPr>
                  <w:tcW w:w="553" w:type="pct"/>
                  <w:tcBorders>
                    <w:top w:val="nil"/>
                    <w:left w:val="nil"/>
                    <w:bottom w:val="nil"/>
                    <w:right w:val="nil"/>
                  </w:tcBorders>
                  <w:shd w:val="clear" w:color="auto" w:fill="auto"/>
                  <w:vAlign w:val="bottom"/>
                </w:tcPr>
                <w:p w14:paraId="7954C7EB" w14:textId="77777777" w:rsidR="00F05DC7" w:rsidRPr="00A75ED1" w:rsidRDefault="00F05DC7" w:rsidP="00A3786D">
                  <w:pPr>
                    <w:pStyle w:val="TableBodyText"/>
                    <w:rPr>
                      <w:rFonts w:cs="Arial"/>
                      <w:szCs w:val="18"/>
                    </w:rPr>
                  </w:pPr>
                  <w:r>
                    <w:noBreakHyphen/>
                  </w:r>
                  <w:r w:rsidRPr="00A75ED1">
                    <w:t>41</w:t>
                  </w:r>
                </w:p>
              </w:tc>
            </w:tr>
            <w:tr w:rsidR="00F05DC7" w:rsidRPr="00A75ED1" w14:paraId="7954C7F6" w14:textId="77777777" w:rsidTr="00A3786D">
              <w:tc>
                <w:tcPr>
                  <w:tcW w:w="556" w:type="pct"/>
                  <w:shd w:val="clear" w:color="auto" w:fill="auto"/>
                </w:tcPr>
                <w:p w14:paraId="7954C7ED"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7EE" w14:textId="77777777" w:rsidR="00F05DC7" w:rsidRPr="00A75ED1" w:rsidRDefault="00F05DC7" w:rsidP="00A3786D">
                  <w:pPr>
                    <w:pStyle w:val="TableBodyText"/>
                    <w:rPr>
                      <w:rFonts w:cs="Arial"/>
                      <w:szCs w:val="18"/>
                    </w:rPr>
                  </w:pPr>
                  <w:r w:rsidRPr="00A75ED1">
                    <w:t>1264</w:t>
                  </w:r>
                </w:p>
              </w:tc>
              <w:tc>
                <w:tcPr>
                  <w:tcW w:w="557" w:type="pct"/>
                  <w:tcBorders>
                    <w:top w:val="nil"/>
                    <w:left w:val="nil"/>
                    <w:bottom w:val="nil"/>
                    <w:right w:val="nil"/>
                  </w:tcBorders>
                  <w:shd w:val="clear" w:color="auto" w:fill="auto"/>
                  <w:vAlign w:val="bottom"/>
                </w:tcPr>
                <w:p w14:paraId="7954C7EF" w14:textId="77777777" w:rsidR="00F05DC7" w:rsidRPr="00A75ED1" w:rsidRDefault="00F05DC7" w:rsidP="00A3786D">
                  <w:pPr>
                    <w:pStyle w:val="TableBodyText"/>
                    <w:rPr>
                      <w:rFonts w:cs="Arial"/>
                      <w:szCs w:val="18"/>
                    </w:rPr>
                  </w:pPr>
                  <w:r>
                    <w:noBreakHyphen/>
                  </w:r>
                  <w:r w:rsidRPr="00A75ED1">
                    <w:t>519</w:t>
                  </w:r>
                </w:p>
              </w:tc>
              <w:tc>
                <w:tcPr>
                  <w:tcW w:w="556" w:type="pct"/>
                  <w:tcBorders>
                    <w:top w:val="nil"/>
                    <w:left w:val="nil"/>
                    <w:bottom w:val="nil"/>
                    <w:right w:val="nil"/>
                  </w:tcBorders>
                  <w:shd w:val="clear" w:color="auto" w:fill="auto"/>
                  <w:vAlign w:val="bottom"/>
                </w:tcPr>
                <w:p w14:paraId="7954C7F0" w14:textId="77777777" w:rsidR="00F05DC7" w:rsidRPr="00A75ED1" w:rsidRDefault="00F05DC7" w:rsidP="00A3786D">
                  <w:pPr>
                    <w:pStyle w:val="TableBodyText"/>
                    <w:rPr>
                      <w:rFonts w:cs="Arial"/>
                      <w:szCs w:val="18"/>
                    </w:rPr>
                  </w:pPr>
                  <w:r>
                    <w:noBreakHyphen/>
                  </w:r>
                  <w:r w:rsidRPr="00A75ED1">
                    <w:t>1124</w:t>
                  </w:r>
                </w:p>
              </w:tc>
              <w:tc>
                <w:tcPr>
                  <w:tcW w:w="556" w:type="pct"/>
                  <w:tcBorders>
                    <w:top w:val="nil"/>
                    <w:left w:val="nil"/>
                    <w:bottom w:val="nil"/>
                    <w:right w:val="nil"/>
                  </w:tcBorders>
                  <w:shd w:val="clear" w:color="auto" w:fill="auto"/>
                  <w:vAlign w:val="bottom"/>
                </w:tcPr>
                <w:p w14:paraId="7954C7F1" w14:textId="77777777" w:rsidR="00F05DC7" w:rsidRPr="00A75ED1" w:rsidRDefault="00F05DC7" w:rsidP="00A3786D">
                  <w:pPr>
                    <w:pStyle w:val="TableBodyText"/>
                    <w:rPr>
                      <w:rFonts w:cs="Arial"/>
                      <w:szCs w:val="18"/>
                    </w:rPr>
                  </w:pPr>
                  <w:r w:rsidRPr="00A75ED1">
                    <w:t>1015</w:t>
                  </w:r>
                </w:p>
              </w:tc>
              <w:tc>
                <w:tcPr>
                  <w:tcW w:w="555" w:type="pct"/>
                  <w:tcBorders>
                    <w:top w:val="nil"/>
                    <w:left w:val="nil"/>
                    <w:bottom w:val="nil"/>
                    <w:right w:val="nil"/>
                  </w:tcBorders>
                  <w:shd w:val="clear" w:color="auto" w:fill="auto"/>
                  <w:vAlign w:val="bottom"/>
                </w:tcPr>
                <w:p w14:paraId="7954C7F2" w14:textId="77777777" w:rsidR="00F05DC7" w:rsidRPr="00A75ED1" w:rsidRDefault="00F05DC7" w:rsidP="00A3786D">
                  <w:pPr>
                    <w:pStyle w:val="TableBodyText"/>
                    <w:rPr>
                      <w:rFonts w:cs="Arial"/>
                      <w:szCs w:val="18"/>
                    </w:rPr>
                  </w:pPr>
                  <w:r>
                    <w:noBreakHyphen/>
                  </w:r>
                  <w:r w:rsidRPr="00A75ED1">
                    <w:t>377</w:t>
                  </w:r>
                </w:p>
              </w:tc>
              <w:tc>
                <w:tcPr>
                  <w:tcW w:w="555" w:type="pct"/>
                  <w:tcBorders>
                    <w:top w:val="nil"/>
                    <w:left w:val="nil"/>
                    <w:bottom w:val="nil"/>
                    <w:right w:val="nil"/>
                  </w:tcBorders>
                  <w:shd w:val="clear" w:color="auto" w:fill="auto"/>
                  <w:vAlign w:val="bottom"/>
                </w:tcPr>
                <w:p w14:paraId="7954C7F3" w14:textId="77777777" w:rsidR="00F05DC7" w:rsidRPr="00A75ED1" w:rsidRDefault="00F05DC7" w:rsidP="00A3786D">
                  <w:pPr>
                    <w:pStyle w:val="TableBodyText"/>
                    <w:rPr>
                      <w:rFonts w:cs="Arial"/>
                      <w:szCs w:val="18"/>
                    </w:rPr>
                  </w:pPr>
                  <w:r>
                    <w:noBreakHyphen/>
                  </w:r>
                  <w:r w:rsidRPr="00A75ED1">
                    <w:t>112</w:t>
                  </w:r>
                </w:p>
              </w:tc>
              <w:tc>
                <w:tcPr>
                  <w:tcW w:w="555" w:type="pct"/>
                  <w:tcBorders>
                    <w:top w:val="nil"/>
                    <w:left w:val="nil"/>
                    <w:bottom w:val="nil"/>
                    <w:right w:val="nil"/>
                  </w:tcBorders>
                  <w:shd w:val="clear" w:color="auto" w:fill="auto"/>
                  <w:vAlign w:val="bottom"/>
                </w:tcPr>
                <w:p w14:paraId="7954C7F4" w14:textId="77777777" w:rsidR="00F05DC7" w:rsidRPr="00A75ED1" w:rsidRDefault="00F05DC7" w:rsidP="00A3786D">
                  <w:pPr>
                    <w:pStyle w:val="TableBodyText"/>
                    <w:rPr>
                      <w:rFonts w:cs="Arial"/>
                      <w:szCs w:val="18"/>
                    </w:rPr>
                  </w:pPr>
                  <w:r>
                    <w:noBreakHyphen/>
                  </w:r>
                  <w:r w:rsidRPr="00A75ED1">
                    <w:t>94</w:t>
                  </w:r>
                </w:p>
              </w:tc>
              <w:tc>
                <w:tcPr>
                  <w:tcW w:w="553" w:type="pct"/>
                  <w:tcBorders>
                    <w:top w:val="nil"/>
                    <w:left w:val="nil"/>
                    <w:bottom w:val="nil"/>
                    <w:right w:val="nil"/>
                  </w:tcBorders>
                  <w:shd w:val="clear" w:color="auto" w:fill="auto"/>
                  <w:vAlign w:val="bottom"/>
                </w:tcPr>
                <w:p w14:paraId="7954C7F5" w14:textId="77777777" w:rsidR="00F05DC7" w:rsidRPr="00A75ED1" w:rsidRDefault="00F05DC7" w:rsidP="00A3786D">
                  <w:pPr>
                    <w:pStyle w:val="TableBodyText"/>
                    <w:rPr>
                      <w:rFonts w:cs="Arial"/>
                      <w:szCs w:val="18"/>
                    </w:rPr>
                  </w:pPr>
                  <w:r>
                    <w:noBreakHyphen/>
                  </w:r>
                  <w:r w:rsidRPr="00A75ED1">
                    <w:t>52</w:t>
                  </w:r>
                </w:p>
              </w:tc>
            </w:tr>
            <w:tr w:rsidR="00F05DC7" w:rsidRPr="00A75ED1" w14:paraId="7954C800" w14:textId="77777777" w:rsidTr="00A3786D">
              <w:tc>
                <w:tcPr>
                  <w:tcW w:w="556" w:type="pct"/>
                  <w:shd w:val="clear" w:color="auto" w:fill="auto"/>
                </w:tcPr>
                <w:p w14:paraId="7954C7F7"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7F8" w14:textId="77777777" w:rsidR="00F05DC7" w:rsidRPr="00A75ED1" w:rsidRDefault="00F05DC7" w:rsidP="00A3786D">
                  <w:pPr>
                    <w:pStyle w:val="TableBodyText"/>
                    <w:rPr>
                      <w:rFonts w:cs="Arial"/>
                      <w:szCs w:val="18"/>
                    </w:rPr>
                  </w:pPr>
                  <w:r w:rsidRPr="00A75ED1">
                    <w:t>1553</w:t>
                  </w:r>
                </w:p>
              </w:tc>
              <w:tc>
                <w:tcPr>
                  <w:tcW w:w="557" w:type="pct"/>
                  <w:tcBorders>
                    <w:top w:val="nil"/>
                    <w:left w:val="nil"/>
                    <w:bottom w:val="nil"/>
                    <w:right w:val="nil"/>
                  </w:tcBorders>
                  <w:shd w:val="clear" w:color="auto" w:fill="auto"/>
                  <w:vAlign w:val="bottom"/>
                </w:tcPr>
                <w:p w14:paraId="7954C7F9" w14:textId="77777777" w:rsidR="00F05DC7" w:rsidRPr="00A75ED1" w:rsidRDefault="00F05DC7" w:rsidP="00A3786D">
                  <w:pPr>
                    <w:pStyle w:val="TableBodyText"/>
                    <w:rPr>
                      <w:rFonts w:cs="Arial"/>
                      <w:szCs w:val="18"/>
                    </w:rPr>
                  </w:pPr>
                  <w:r>
                    <w:noBreakHyphen/>
                  </w:r>
                  <w:r w:rsidRPr="00A75ED1">
                    <w:t>507</w:t>
                  </w:r>
                </w:p>
              </w:tc>
              <w:tc>
                <w:tcPr>
                  <w:tcW w:w="556" w:type="pct"/>
                  <w:tcBorders>
                    <w:top w:val="nil"/>
                    <w:left w:val="nil"/>
                    <w:bottom w:val="nil"/>
                    <w:right w:val="nil"/>
                  </w:tcBorders>
                  <w:shd w:val="clear" w:color="auto" w:fill="auto"/>
                  <w:vAlign w:val="bottom"/>
                </w:tcPr>
                <w:p w14:paraId="7954C7FA" w14:textId="77777777" w:rsidR="00F05DC7" w:rsidRPr="00A75ED1" w:rsidRDefault="00F05DC7" w:rsidP="00A3786D">
                  <w:pPr>
                    <w:pStyle w:val="TableBodyText"/>
                    <w:rPr>
                      <w:rFonts w:cs="Arial"/>
                      <w:szCs w:val="18"/>
                    </w:rPr>
                  </w:pPr>
                  <w:r>
                    <w:noBreakHyphen/>
                  </w:r>
                  <w:r w:rsidRPr="00A75ED1">
                    <w:t>1382</w:t>
                  </w:r>
                </w:p>
              </w:tc>
              <w:tc>
                <w:tcPr>
                  <w:tcW w:w="556" w:type="pct"/>
                  <w:tcBorders>
                    <w:top w:val="nil"/>
                    <w:left w:val="nil"/>
                    <w:bottom w:val="nil"/>
                    <w:right w:val="nil"/>
                  </w:tcBorders>
                  <w:shd w:val="clear" w:color="auto" w:fill="auto"/>
                  <w:vAlign w:val="bottom"/>
                </w:tcPr>
                <w:p w14:paraId="7954C7FB" w14:textId="77777777" w:rsidR="00F05DC7" w:rsidRPr="00A75ED1" w:rsidRDefault="00F05DC7" w:rsidP="00A3786D">
                  <w:pPr>
                    <w:pStyle w:val="TableBodyText"/>
                    <w:rPr>
                      <w:rFonts w:cs="Arial"/>
                      <w:szCs w:val="18"/>
                    </w:rPr>
                  </w:pPr>
                  <w:r w:rsidRPr="00A75ED1">
                    <w:t>1112</w:t>
                  </w:r>
                </w:p>
              </w:tc>
              <w:tc>
                <w:tcPr>
                  <w:tcW w:w="555" w:type="pct"/>
                  <w:tcBorders>
                    <w:top w:val="nil"/>
                    <w:left w:val="nil"/>
                    <w:bottom w:val="nil"/>
                    <w:right w:val="nil"/>
                  </w:tcBorders>
                  <w:shd w:val="clear" w:color="auto" w:fill="auto"/>
                  <w:vAlign w:val="bottom"/>
                </w:tcPr>
                <w:p w14:paraId="7954C7FC" w14:textId="77777777" w:rsidR="00F05DC7" w:rsidRPr="00A75ED1" w:rsidRDefault="00F05DC7" w:rsidP="00A3786D">
                  <w:pPr>
                    <w:pStyle w:val="TableBodyText"/>
                    <w:rPr>
                      <w:rFonts w:cs="Arial"/>
                      <w:szCs w:val="18"/>
                    </w:rPr>
                  </w:pPr>
                  <w:r>
                    <w:noBreakHyphen/>
                  </w:r>
                  <w:r w:rsidRPr="00A75ED1">
                    <w:t>460</w:t>
                  </w:r>
                </w:p>
              </w:tc>
              <w:tc>
                <w:tcPr>
                  <w:tcW w:w="555" w:type="pct"/>
                  <w:tcBorders>
                    <w:top w:val="nil"/>
                    <w:left w:val="nil"/>
                    <w:bottom w:val="nil"/>
                    <w:right w:val="nil"/>
                  </w:tcBorders>
                  <w:shd w:val="clear" w:color="auto" w:fill="auto"/>
                  <w:vAlign w:val="bottom"/>
                </w:tcPr>
                <w:p w14:paraId="7954C7FD" w14:textId="77777777" w:rsidR="00F05DC7" w:rsidRPr="00A75ED1" w:rsidRDefault="00F05DC7" w:rsidP="00A3786D">
                  <w:pPr>
                    <w:pStyle w:val="TableBodyText"/>
                    <w:rPr>
                      <w:rFonts w:cs="Arial"/>
                      <w:szCs w:val="18"/>
                    </w:rPr>
                  </w:pPr>
                  <w:r>
                    <w:noBreakHyphen/>
                  </w:r>
                  <w:r w:rsidRPr="00A75ED1">
                    <w:t>137</w:t>
                  </w:r>
                </w:p>
              </w:tc>
              <w:tc>
                <w:tcPr>
                  <w:tcW w:w="555" w:type="pct"/>
                  <w:tcBorders>
                    <w:top w:val="nil"/>
                    <w:left w:val="nil"/>
                    <w:bottom w:val="nil"/>
                    <w:right w:val="nil"/>
                  </w:tcBorders>
                  <w:shd w:val="clear" w:color="auto" w:fill="auto"/>
                  <w:vAlign w:val="bottom"/>
                </w:tcPr>
                <w:p w14:paraId="7954C7FE" w14:textId="77777777" w:rsidR="00F05DC7" w:rsidRPr="00A75ED1" w:rsidRDefault="00F05DC7" w:rsidP="00A3786D">
                  <w:pPr>
                    <w:pStyle w:val="TableBodyText"/>
                    <w:rPr>
                      <w:rFonts w:cs="Arial"/>
                      <w:szCs w:val="18"/>
                    </w:rPr>
                  </w:pPr>
                  <w:r>
                    <w:noBreakHyphen/>
                  </w:r>
                  <w:r w:rsidRPr="00A75ED1">
                    <w:t>116</w:t>
                  </w:r>
                </w:p>
              </w:tc>
              <w:tc>
                <w:tcPr>
                  <w:tcW w:w="553" w:type="pct"/>
                  <w:tcBorders>
                    <w:top w:val="nil"/>
                    <w:left w:val="nil"/>
                    <w:bottom w:val="nil"/>
                    <w:right w:val="nil"/>
                  </w:tcBorders>
                  <w:shd w:val="clear" w:color="auto" w:fill="auto"/>
                  <w:vAlign w:val="bottom"/>
                </w:tcPr>
                <w:p w14:paraId="7954C7FF" w14:textId="77777777" w:rsidR="00F05DC7" w:rsidRPr="00A75ED1" w:rsidRDefault="00F05DC7" w:rsidP="00A3786D">
                  <w:pPr>
                    <w:pStyle w:val="TableBodyText"/>
                    <w:rPr>
                      <w:rFonts w:cs="Arial"/>
                      <w:szCs w:val="18"/>
                    </w:rPr>
                  </w:pPr>
                  <w:r>
                    <w:noBreakHyphen/>
                  </w:r>
                  <w:r w:rsidRPr="00A75ED1">
                    <w:t>63</w:t>
                  </w:r>
                </w:p>
              </w:tc>
            </w:tr>
            <w:tr w:rsidR="00F05DC7" w:rsidRPr="00A75ED1" w14:paraId="7954C80A" w14:textId="77777777" w:rsidTr="00A3786D">
              <w:tc>
                <w:tcPr>
                  <w:tcW w:w="556" w:type="pct"/>
                  <w:shd w:val="clear" w:color="auto" w:fill="auto"/>
                </w:tcPr>
                <w:p w14:paraId="7954C801"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802" w14:textId="77777777" w:rsidR="00F05DC7" w:rsidRPr="00A75ED1" w:rsidRDefault="00F05DC7" w:rsidP="00A3786D">
                  <w:pPr>
                    <w:pStyle w:val="TableBodyText"/>
                    <w:rPr>
                      <w:rFonts w:cs="Arial"/>
                      <w:szCs w:val="18"/>
                    </w:rPr>
                  </w:pPr>
                  <w:r w:rsidRPr="00A75ED1">
                    <w:t>1847</w:t>
                  </w:r>
                </w:p>
              </w:tc>
              <w:tc>
                <w:tcPr>
                  <w:tcW w:w="557" w:type="pct"/>
                  <w:tcBorders>
                    <w:top w:val="nil"/>
                    <w:left w:val="nil"/>
                    <w:bottom w:val="nil"/>
                    <w:right w:val="nil"/>
                  </w:tcBorders>
                  <w:shd w:val="clear" w:color="auto" w:fill="auto"/>
                  <w:vAlign w:val="bottom"/>
                </w:tcPr>
                <w:p w14:paraId="7954C803" w14:textId="77777777" w:rsidR="00F05DC7" w:rsidRPr="00A75ED1" w:rsidRDefault="00F05DC7" w:rsidP="00A3786D">
                  <w:pPr>
                    <w:pStyle w:val="TableBodyText"/>
                    <w:rPr>
                      <w:rFonts w:cs="Arial"/>
                      <w:szCs w:val="18"/>
                    </w:rPr>
                  </w:pPr>
                  <w:r>
                    <w:noBreakHyphen/>
                  </w:r>
                  <w:r w:rsidRPr="00A75ED1">
                    <w:t>419</w:t>
                  </w:r>
                </w:p>
              </w:tc>
              <w:tc>
                <w:tcPr>
                  <w:tcW w:w="556" w:type="pct"/>
                  <w:tcBorders>
                    <w:top w:val="nil"/>
                    <w:left w:val="nil"/>
                    <w:bottom w:val="nil"/>
                    <w:right w:val="nil"/>
                  </w:tcBorders>
                  <w:shd w:val="clear" w:color="auto" w:fill="auto"/>
                  <w:vAlign w:val="bottom"/>
                </w:tcPr>
                <w:p w14:paraId="7954C804" w14:textId="77777777" w:rsidR="00F05DC7" w:rsidRPr="00A75ED1" w:rsidRDefault="00F05DC7" w:rsidP="00A3786D">
                  <w:pPr>
                    <w:pStyle w:val="TableBodyText"/>
                    <w:rPr>
                      <w:rFonts w:cs="Arial"/>
                      <w:szCs w:val="18"/>
                    </w:rPr>
                  </w:pPr>
                  <w:r>
                    <w:noBreakHyphen/>
                  </w:r>
                  <w:r w:rsidRPr="00A75ED1">
                    <w:t>1661</w:t>
                  </w:r>
                </w:p>
              </w:tc>
              <w:tc>
                <w:tcPr>
                  <w:tcW w:w="556" w:type="pct"/>
                  <w:tcBorders>
                    <w:top w:val="nil"/>
                    <w:left w:val="nil"/>
                    <w:bottom w:val="nil"/>
                    <w:right w:val="nil"/>
                  </w:tcBorders>
                  <w:shd w:val="clear" w:color="auto" w:fill="auto"/>
                  <w:vAlign w:val="bottom"/>
                </w:tcPr>
                <w:p w14:paraId="7954C805" w14:textId="77777777" w:rsidR="00F05DC7" w:rsidRPr="00A75ED1" w:rsidRDefault="00F05DC7" w:rsidP="00A3786D">
                  <w:pPr>
                    <w:pStyle w:val="TableBodyText"/>
                    <w:rPr>
                      <w:rFonts w:cs="Arial"/>
                      <w:szCs w:val="18"/>
                    </w:rPr>
                  </w:pPr>
                  <w:r w:rsidRPr="00A75ED1">
                    <w:t>1160</w:t>
                  </w:r>
                </w:p>
              </w:tc>
              <w:tc>
                <w:tcPr>
                  <w:tcW w:w="555" w:type="pct"/>
                  <w:tcBorders>
                    <w:top w:val="nil"/>
                    <w:left w:val="nil"/>
                    <w:bottom w:val="nil"/>
                    <w:right w:val="nil"/>
                  </w:tcBorders>
                  <w:shd w:val="clear" w:color="auto" w:fill="auto"/>
                  <w:vAlign w:val="bottom"/>
                </w:tcPr>
                <w:p w14:paraId="7954C806" w14:textId="77777777" w:rsidR="00F05DC7" w:rsidRPr="00A75ED1" w:rsidRDefault="00F05DC7" w:rsidP="00A3786D">
                  <w:pPr>
                    <w:pStyle w:val="TableBodyText"/>
                    <w:rPr>
                      <w:rFonts w:cs="Arial"/>
                      <w:szCs w:val="18"/>
                    </w:rPr>
                  </w:pPr>
                  <w:r>
                    <w:noBreakHyphen/>
                  </w:r>
                  <w:r w:rsidRPr="00A75ED1">
                    <w:t>549</w:t>
                  </w:r>
                </w:p>
              </w:tc>
              <w:tc>
                <w:tcPr>
                  <w:tcW w:w="555" w:type="pct"/>
                  <w:tcBorders>
                    <w:top w:val="nil"/>
                    <w:left w:val="nil"/>
                    <w:bottom w:val="nil"/>
                    <w:right w:val="nil"/>
                  </w:tcBorders>
                  <w:shd w:val="clear" w:color="auto" w:fill="auto"/>
                  <w:vAlign w:val="bottom"/>
                </w:tcPr>
                <w:p w14:paraId="7954C807" w14:textId="77777777" w:rsidR="00F05DC7" w:rsidRPr="00A75ED1" w:rsidRDefault="00F05DC7" w:rsidP="00A3786D">
                  <w:pPr>
                    <w:pStyle w:val="TableBodyText"/>
                    <w:rPr>
                      <w:rFonts w:cs="Arial"/>
                      <w:szCs w:val="18"/>
                    </w:rPr>
                  </w:pPr>
                  <w:r>
                    <w:noBreakHyphen/>
                  </w:r>
                  <w:r w:rsidRPr="00A75ED1">
                    <w:t>163</w:t>
                  </w:r>
                </w:p>
              </w:tc>
              <w:tc>
                <w:tcPr>
                  <w:tcW w:w="555" w:type="pct"/>
                  <w:tcBorders>
                    <w:top w:val="nil"/>
                    <w:left w:val="nil"/>
                    <w:bottom w:val="nil"/>
                    <w:right w:val="nil"/>
                  </w:tcBorders>
                  <w:shd w:val="clear" w:color="auto" w:fill="auto"/>
                  <w:vAlign w:val="bottom"/>
                </w:tcPr>
                <w:p w14:paraId="7954C808" w14:textId="77777777" w:rsidR="00F05DC7" w:rsidRPr="00A75ED1" w:rsidRDefault="00F05DC7" w:rsidP="00A3786D">
                  <w:pPr>
                    <w:pStyle w:val="TableBodyText"/>
                    <w:rPr>
                      <w:rFonts w:cs="Arial"/>
                      <w:szCs w:val="18"/>
                    </w:rPr>
                  </w:pPr>
                  <w:r>
                    <w:noBreakHyphen/>
                  </w:r>
                  <w:r w:rsidRPr="00A75ED1">
                    <w:t>139</w:t>
                  </w:r>
                </w:p>
              </w:tc>
              <w:tc>
                <w:tcPr>
                  <w:tcW w:w="553" w:type="pct"/>
                  <w:tcBorders>
                    <w:top w:val="nil"/>
                    <w:left w:val="nil"/>
                    <w:bottom w:val="nil"/>
                    <w:right w:val="nil"/>
                  </w:tcBorders>
                  <w:shd w:val="clear" w:color="auto" w:fill="auto"/>
                  <w:vAlign w:val="bottom"/>
                </w:tcPr>
                <w:p w14:paraId="7954C809" w14:textId="77777777" w:rsidR="00F05DC7" w:rsidRPr="00A75ED1" w:rsidRDefault="00F05DC7" w:rsidP="00A3786D">
                  <w:pPr>
                    <w:pStyle w:val="TableBodyText"/>
                    <w:rPr>
                      <w:rFonts w:cs="Arial"/>
                      <w:szCs w:val="18"/>
                    </w:rPr>
                  </w:pPr>
                  <w:r>
                    <w:noBreakHyphen/>
                  </w:r>
                  <w:r w:rsidRPr="00A75ED1">
                    <w:t>75</w:t>
                  </w:r>
                </w:p>
              </w:tc>
            </w:tr>
            <w:tr w:rsidR="00F05DC7" w:rsidRPr="00A75ED1" w14:paraId="7954C814" w14:textId="77777777" w:rsidTr="002341D7">
              <w:tc>
                <w:tcPr>
                  <w:tcW w:w="556" w:type="pct"/>
                  <w:shd w:val="clear" w:color="auto" w:fill="auto"/>
                </w:tcPr>
                <w:p w14:paraId="7954C80B"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C80C" w14:textId="77777777" w:rsidR="00F05DC7" w:rsidRPr="00A75ED1" w:rsidRDefault="00F05DC7" w:rsidP="00A3786D">
                  <w:pPr>
                    <w:pStyle w:val="TableBodyText"/>
                    <w:rPr>
                      <w:rFonts w:cs="Arial"/>
                      <w:szCs w:val="18"/>
                    </w:rPr>
                  </w:pPr>
                  <w:r w:rsidRPr="00A75ED1">
                    <w:t>2079</w:t>
                  </w:r>
                </w:p>
              </w:tc>
              <w:tc>
                <w:tcPr>
                  <w:tcW w:w="557" w:type="pct"/>
                  <w:tcBorders>
                    <w:top w:val="nil"/>
                    <w:left w:val="nil"/>
                    <w:right w:val="nil"/>
                  </w:tcBorders>
                  <w:shd w:val="clear" w:color="auto" w:fill="auto"/>
                  <w:vAlign w:val="bottom"/>
                </w:tcPr>
                <w:p w14:paraId="7954C80D" w14:textId="77777777" w:rsidR="00F05DC7" w:rsidRPr="00A75ED1" w:rsidRDefault="00F05DC7" w:rsidP="00A3786D">
                  <w:pPr>
                    <w:pStyle w:val="TableBodyText"/>
                    <w:rPr>
                      <w:rFonts w:cs="Arial"/>
                      <w:szCs w:val="18"/>
                    </w:rPr>
                  </w:pPr>
                  <w:r>
                    <w:noBreakHyphen/>
                  </w:r>
                  <w:r w:rsidRPr="00A75ED1">
                    <w:t>317</w:t>
                  </w:r>
                </w:p>
              </w:tc>
              <w:tc>
                <w:tcPr>
                  <w:tcW w:w="556" w:type="pct"/>
                  <w:tcBorders>
                    <w:top w:val="nil"/>
                    <w:left w:val="nil"/>
                    <w:right w:val="nil"/>
                  </w:tcBorders>
                  <w:shd w:val="clear" w:color="auto" w:fill="auto"/>
                  <w:vAlign w:val="bottom"/>
                </w:tcPr>
                <w:p w14:paraId="7954C80E" w14:textId="77777777" w:rsidR="00F05DC7" w:rsidRPr="00A75ED1" w:rsidRDefault="00F05DC7" w:rsidP="00A3786D">
                  <w:pPr>
                    <w:pStyle w:val="TableBodyText"/>
                    <w:rPr>
                      <w:rFonts w:cs="Arial"/>
                      <w:szCs w:val="18"/>
                    </w:rPr>
                  </w:pPr>
                  <w:r>
                    <w:noBreakHyphen/>
                  </w:r>
                  <w:r w:rsidRPr="00A75ED1">
                    <w:t>1961</w:t>
                  </w:r>
                </w:p>
              </w:tc>
              <w:tc>
                <w:tcPr>
                  <w:tcW w:w="556" w:type="pct"/>
                  <w:tcBorders>
                    <w:top w:val="nil"/>
                    <w:left w:val="nil"/>
                    <w:right w:val="nil"/>
                  </w:tcBorders>
                  <w:shd w:val="clear" w:color="auto" w:fill="auto"/>
                  <w:vAlign w:val="bottom"/>
                </w:tcPr>
                <w:p w14:paraId="7954C80F" w14:textId="77777777" w:rsidR="00F05DC7" w:rsidRPr="00A75ED1" w:rsidRDefault="00F05DC7" w:rsidP="00A3786D">
                  <w:pPr>
                    <w:pStyle w:val="TableBodyText"/>
                    <w:rPr>
                      <w:rFonts w:cs="Arial"/>
                      <w:szCs w:val="18"/>
                    </w:rPr>
                  </w:pPr>
                  <w:r w:rsidRPr="00A75ED1">
                    <w:t>1287</w:t>
                  </w:r>
                </w:p>
              </w:tc>
              <w:tc>
                <w:tcPr>
                  <w:tcW w:w="555" w:type="pct"/>
                  <w:tcBorders>
                    <w:top w:val="nil"/>
                    <w:left w:val="nil"/>
                    <w:right w:val="nil"/>
                  </w:tcBorders>
                  <w:shd w:val="clear" w:color="auto" w:fill="auto"/>
                  <w:vAlign w:val="bottom"/>
                </w:tcPr>
                <w:p w14:paraId="7954C810" w14:textId="77777777" w:rsidR="00F05DC7" w:rsidRPr="00A75ED1" w:rsidRDefault="00F05DC7" w:rsidP="00A3786D">
                  <w:pPr>
                    <w:pStyle w:val="TableBodyText"/>
                    <w:rPr>
                      <w:rFonts w:cs="Arial"/>
                      <w:szCs w:val="18"/>
                    </w:rPr>
                  </w:pPr>
                  <w:r>
                    <w:noBreakHyphen/>
                  </w:r>
                  <w:r w:rsidRPr="00A75ED1">
                    <w:t>644</w:t>
                  </w:r>
                </w:p>
              </w:tc>
              <w:tc>
                <w:tcPr>
                  <w:tcW w:w="555" w:type="pct"/>
                  <w:tcBorders>
                    <w:top w:val="nil"/>
                    <w:left w:val="nil"/>
                    <w:right w:val="nil"/>
                  </w:tcBorders>
                  <w:shd w:val="clear" w:color="auto" w:fill="auto"/>
                  <w:vAlign w:val="bottom"/>
                </w:tcPr>
                <w:p w14:paraId="7954C811" w14:textId="77777777" w:rsidR="00F05DC7" w:rsidRPr="00A75ED1" w:rsidRDefault="00F05DC7" w:rsidP="00A3786D">
                  <w:pPr>
                    <w:pStyle w:val="TableBodyText"/>
                    <w:rPr>
                      <w:rFonts w:cs="Arial"/>
                      <w:szCs w:val="18"/>
                    </w:rPr>
                  </w:pPr>
                  <w:r>
                    <w:noBreakHyphen/>
                  </w:r>
                  <w:r w:rsidRPr="00A75ED1">
                    <w:t>191</w:t>
                  </w:r>
                </w:p>
              </w:tc>
              <w:tc>
                <w:tcPr>
                  <w:tcW w:w="555" w:type="pct"/>
                  <w:tcBorders>
                    <w:top w:val="nil"/>
                    <w:left w:val="nil"/>
                    <w:right w:val="nil"/>
                  </w:tcBorders>
                  <w:shd w:val="clear" w:color="auto" w:fill="auto"/>
                  <w:vAlign w:val="bottom"/>
                </w:tcPr>
                <w:p w14:paraId="7954C812" w14:textId="77777777" w:rsidR="00F05DC7" w:rsidRPr="00A75ED1" w:rsidRDefault="00F05DC7" w:rsidP="00A3786D">
                  <w:pPr>
                    <w:pStyle w:val="TableBodyText"/>
                    <w:rPr>
                      <w:rFonts w:cs="Arial"/>
                      <w:szCs w:val="18"/>
                    </w:rPr>
                  </w:pPr>
                  <w:r>
                    <w:noBreakHyphen/>
                  </w:r>
                  <w:r w:rsidRPr="00A75ED1">
                    <w:t>165</w:t>
                  </w:r>
                </w:p>
              </w:tc>
              <w:tc>
                <w:tcPr>
                  <w:tcW w:w="553" w:type="pct"/>
                  <w:tcBorders>
                    <w:top w:val="nil"/>
                    <w:left w:val="nil"/>
                    <w:right w:val="nil"/>
                  </w:tcBorders>
                  <w:shd w:val="clear" w:color="auto" w:fill="auto"/>
                  <w:vAlign w:val="bottom"/>
                </w:tcPr>
                <w:p w14:paraId="7954C813" w14:textId="77777777" w:rsidR="00F05DC7" w:rsidRPr="00A75ED1" w:rsidRDefault="00F05DC7" w:rsidP="00A3786D">
                  <w:pPr>
                    <w:pStyle w:val="TableBodyText"/>
                    <w:rPr>
                      <w:rFonts w:cs="Arial"/>
                      <w:szCs w:val="18"/>
                    </w:rPr>
                  </w:pPr>
                  <w:r>
                    <w:noBreakHyphen/>
                  </w:r>
                  <w:r w:rsidRPr="00A75ED1">
                    <w:t>88</w:t>
                  </w:r>
                </w:p>
              </w:tc>
            </w:tr>
            <w:tr w:rsidR="00F05DC7" w:rsidRPr="00A75ED1" w14:paraId="7954C816" w14:textId="77777777" w:rsidTr="002341D7">
              <w:tc>
                <w:tcPr>
                  <w:tcW w:w="5000" w:type="pct"/>
                  <w:gridSpan w:val="9"/>
                  <w:shd w:val="clear" w:color="auto" w:fill="F2F2F2" w:themeFill="background1" w:themeFillShade="F2"/>
                </w:tcPr>
                <w:p w14:paraId="7954C815"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C820" w14:textId="77777777" w:rsidTr="00A3786D">
              <w:tc>
                <w:tcPr>
                  <w:tcW w:w="556" w:type="pct"/>
                  <w:vAlign w:val="bottom"/>
                </w:tcPr>
                <w:p w14:paraId="7954C817"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C818" w14:textId="77777777" w:rsidR="00F05DC7" w:rsidRPr="00A75ED1" w:rsidRDefault="00F05DC7" w:rsidP="00A3786D">
                  <w:pPr>
                    <w:pStyle w:val="TableBodyText"/>
                    <w:rPr>
                      <w:rFonts w:cs="Arial"/>
                      <w:szCs w:val="18"/>
                    </w:rPr>
                  </w:pPr>
                  <w:r w:rsidRPr="00A75ED1">
                    <w:t>21</w:t>
                  </w:r>
                </w:p>
              </w:tc>
              <w:tc>
                <w:tcPr>
                  <w:tcW w:w="557" w:type="pct"/>
                  <w:tcBorders>
                    <w:top w:val="nil"/>
                    <w:left w:val="nil"/>
                    <w:bottom w:val="nil"/>
                    <w:right w:val="nil"/>
                  </w:tcBorders>
                  <w:shd w:val="clear" w:color="auto" w:fill="auto"/>
                  <w:vAlign w:val="bottom"/>
                </w:tcPr>
                <w:p w14:paraId="7954C819" w14:textId="77777777" w:rsidR="00F05DC7" w:rsidRPr="00A75ED1" w:rsidRDefault="00F05DC7" w:rsidP="00A3786D">
                  <w:pPr>
                    <w:pStyle w:val="TableBodyText"/>
                    <w:rPr>
                      <w:rFonts w:cs="Arial"/>
                      <w:szCs w:val="18"/>
                    </w:rPr>
                  </w:pPr>
                  <w:r>
                    <w:noBreakHyphen/>
                  </w:r>
                  <w:r w:rsidRPr="00A75ED1">
                    <w:t>23</w:t>
                  </w:r>
                </w:p>
              </w:tc>
              <w:tc>
                <w:tcPr>
                  <w:tcW w:w="556" w:type="pct"/>
                  <w:tcBorders>
                    <w:top w:val="nil"/>
                    <w:left w:val="nil"/>
                    <w:bottom w:val="nil"/>
                    <w:right w:val="nil"/>
                  </w:tcBorders>
                  <w:shd w:val="clear" w:color="auto" w:fill="auto"/>
                  <w:vAlign w:val="bottom"/>
                </w:tcPr>
                <w:p w14:paraId="7954C81A" w14:textId="77777777" w:rsidR="00F05DC7" w:rsidRPr="00A75ED1" w:rsidRDefault="00F05DC7" w:rsidP="00A3786D">
                  <w:pPr>
                    <w:pStyle w:val="TableBodyText"/>
                    <w:rPr>
                      <w:rFonts w:cs="Arial"/>
                      <w:szCs w:val="18"/>
                    </w:rPr>
                  </w:pPr>
                  <w:r>
                    <w:noBreakHyphen/>
                  </w:r>
                  <w:r w:rsidRPr="00A75ED1">
                    <w:t>36</w:t>
                  </w:r>
                </w:p>
              </w:tc>
              <w:tc>
                <w:tcPr>
                  <w:tcW w:w="556" w:type="pct"/>
                  <w:tcBorders>
                    <w:top w:val="nil"/>
                    <w:left w:val="nil"/>
                    <w:bottom w:val="nil"/>
                    <w:right w:val="nil"/>
                  </w:tcBorders>
                  <w:shd w:val="clear" w:color="auto" w:fill="auto"/>
                  <w:vAlign w:val="bottom"/>
                </w:tcPr>
                <w:p w14:paraId="7954C81B" w14:textId="77777777" w:rsidR="00F05DC7" w:rsidRPr="00A75ED1" w:rsidRDefault="00F05DC7" w:rsidP="00A3786D">
                  <w:pPr>
                    <w:pStyle w:val="TableBodyText"/>
                    <w:rPr>
                      <w:rFonts w:cs="Arial"/>
                      <w:szCs w:val="18"/>
                    </w:rPr>
                  </w:pPr>
                  <w:r w:rsidRPr="00A75ED1">
                    <w:t>102</w:t>
                  </w:r>
                </w:p>
              </w:tc>
              <w:tc>
                <w:tcPr>
                  <w:tcW w:w="555" w:type="pct"/>
                  <w:tcBorders>
                    <w:top w:val="nil"/>
                    <w:left w:val="nil"/>
                    <w:bottom w:val="nil"/>
                    <w:right w:val="nil"/>
                  </w:tcBorders>
                  <w:shd w:val="clear" w:color="auto" w:fill="auto"/>
                  <w:vAlign w:val="bottom"/>
                </w:tcPr>
                <w:p w14:paraId="7954C81C" w14:textId="77777777" w:rsidR="00F05DC7" w:rsidRPr="00A75ED1" w:rsidRDefault="00F05DC7" w:rsidP="00A3786D">
                  <w:pPr>
                    <w:pStyle w:val="TableBodyText"/>
                    <w:rPr>
                      <w:rFonts w:cs="Arial"/>
                      <w:szCs w:val="18"/>
                    </w:rPr>
                  </w:pPr>
                  <w:r>
                    <w:noBreakHyphen/>
                  </w:r>
                  <w:r w:rsidRPr="00A75ED1">
                    <w:t>36</w:t>
                  </w:r>
                </w:p>
              </w:tc>
              <w:tc>
                <w:tcPr>
                  <w:tcW w:w="555" w:type="pct"/>
                  <w:tcBorders>
                    <w:top w:val="nil"/>
                    <w:left w:val="nil"/>
                    <w:bottom w:val="nil"/>
                    <w:right w:val="nil"/>
                  </w:tcBorders>
                  <w:shd w:val="clear" w:color="auto" w:fill="auto"/>
                  <w:vAlign w:val="bottom"/>
                </w:tcPr>
                <w:p w14:paraId="7954C81D" w14:textId="77777777" w:rsidR="00F05DC7" w:rsidRPr="00A75ED1" w:rsidRDefault="00F05DC7" w:rsidP="00A3786D">
                  <w:pPr>
                    <w:pStyle w:val="TableBodyText"/>
                    <w:rPr>
                      <w:rFonts w:cs="Arial"/>
                      <w:szCs w:val="18"/>
                    </w:rPr>
                  </w:pPr>
                  <w:r>
                    <w:noBreakHyphen/>
                  </w:r>
                  <w:r w:rsidRPr="00A75ED1">
                    <w:t>36</w:t>
                  </w:r>
                </w:p>
              </w:tc>
              <w:tc>
                <w:tcPr>
                  <w:tcW w:w="555" w:type="pct"/>
                  <w:tcBorders>
                    <w:top w:val="nil"/>
                    <w:left w:val="nil"/>
                    <w:bottom w:val="nil"/>
                    <w:right w:val="nil"/>
                  </w:tcBorders>
                  <w:shd w:val="clear" w:color="auto" w:fill="auto"/>
                  <w:vAlign w:val="bottom"/>
                </w:tcPr>
                <w:p w14:paraId="7954C81E" w14:textId="77777777" w:rsidR="00F05DC7" w:rsidRPr="00A75ED1" w:rsidRDefault="00F05DC7" w:rsidP="00A3786D">
                  <w:pPr>
                    <w:pStyle w:val="TableBodyText"/>
                    <w:rPr>
                      <w:rFonts w:cs="Arial"/>
                      <w:szCs w:val="18"/>
                    </w:rPr>
                  </w:pPr>
                  <w:r>
                    <w:noBreakHyphen/>
                  </w:r>
                  <w:r w:rsidRPr="00A75ED1">
                    <w:t>36</w:t>
                  </w:r>
                </w:p>
              </w:tc>
              <w:tc>
                <w:tcPr>
                  <w:tcW w:w="553" w:type="pct"/>
                  <w:tcBorders>
                    <w:top w:val="nil"/>
                    <w:left w:val="nil"/>
                    <w:bottom w:val="nil"/>
                    <w:right w:val="nil"/>
                  </w:tcBorders>
                  <w:shd w:val="clear" w:color="auto" w:fill="auto"/>
                  <w:vAlign w:val="bottom"/>
                </w:tcPr>
                <w:p w14:paraId="7954C81F" w14:textId="77777777" w:rsidR="00F05DC7" w:rsidRPr="00A75ED1" w:rsidRDefault="00F05DC7" w:rsidP="00A3786D">
                  <w:pPr>
                    <w:pStyle w:val="TableBodyText"/>
                    <w:rPr>
                      <w:rFonts w:cs="Arial"/>
                      <w:szCs w:val="18"/>
                    </w:rPr>
                  </w:pPr>
                  <w:r>
                    <w:noBreakHyphen/>
                  </w:r>
                  <w:r w:rsidRPr="00A75ED1">
                    <w:t>36</w:t>
                  </w:r>
                </w:p>
              </w:tc>
            </w:tr>
            <w:tr w:rsidR="00F05DC7" w:rsidRPr="00A75ED1" w14:paraId="7954C82A" w14:textId="77777777" w:rsidTr="00A3786D">
              <w:tc>
                <w:tcPr>
                  <w:tcW w:w="556" w:type="pct"/>
                  <w:vAlign w:val="bottom"/>
                </w:tcPr>
                <w:p w14:paraId="7954C821"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C822" w14:textId="77777777" w:rsidR="00F05DC7" w:rsidRPr="00A75ED1" w:rsidRDefault="00F05DC7" w:rsidP="00A3786D">
                  <w:pPr>
                    <w:pStyle w:val="TableBodyText"/>
                    <w:rPr>
                      <w:rFonts w:cs="Arial"/>
                      <w:szCs w:val="18"/>
                    </w:rPr>
                  </w:pPr>
                  <w:r w:rsidRPr="00A75ED1">
                    <w:t>49</w:t>
                  </w:r>
                </w:p>
              </w:tc>
              <w:tc>
                <w:tcPr>
                  <w:tcW w:w="557" w:type="pct"/>
                  <w:tcBorders>
                    <w:top w:val="nil"/>
                    <w:left w:val="nil"/>
                    <w:bottom w:val="nil"/>
                    <w:right w:val="nil"/>
                  </w:tcBorders>
                  <w:shd w:val="clear" w:color="auto" w:fill="auto"/>
                  <w:vAlign w:val="bottom"/>
                </w:tcPr>
                <w:p w14:paraId="7954C823" w14:textId="77777777" w:rsidR="00F05DC7" w:rsidRPr="00A75ED1" w:rsidRDefault="00F05DC7" w:rsidP="00A3786D">
                  <w:pPr>
                    <w:pStyle w:val="TableBodyText"/>
                    <w:rPr>
                      <w:rFonts w:cs="Arial"/>
                      <w:szCs w:val="18"/>
                    </w:rPr>
                  </w:pPr>
                  <w:r>
                    <w:noBreakHyphen/>
                  </w:r>
                  <w:r w:rsidRPr="00A75ED1">
                    <w:t>42</w:t>
                  </w:r>
                </w:p>
              </w:tc>
              <w:tc>
                <w:tcPr>
                  <w:tcW w:w="556" w:type="pct"/>
                  <w:tcBorders>
                    <w:top w:val="nil"/>
                    <w:left w:val="nil"/>
                    <w:bottom w:val="nil"/>
                    <w:right w:val="nil"/>
                  </w:tcBorders>
                  <w:shd w:val="clear" w:color="auto" w:fill="auto"/>
                  <w:vAlign w:val="bottom"/>
                </w:tcPr>
                <w:p w14:paraId="7954C824" w14:textId="77777777" w:rsidR="00F05DC7" w:rsidRPr="00A75ED1" w:rsidRDefault="00F05DC7" w:rsidP="00A3786D">
                  <w:pPr>
                    <w:pStyle w:val="TableBodyText"/>
                    <w:rPr>
                      <w:rFonts w:cs="Arial"/>
                      <w:szCs w:val="18"/>
                    </w:rPr>
                  </w:pPr>
                  <w:r>
                    <w:noBreakHyphen/>
                  </w:r>
                  <w:r w:rsidRPr="00A75ED1">
                    <w:t>76</w:t>
                  </w:r>
                </w:p>
              </w:tc>
              <w:tc>
                <w:tcPr>
                  <w:tcW w:w="556" w:type="pct"/>
                  <w:tcBorders>
                    <w:top w:val="nil"/>
                    <w:left w:val="nil"/>
                    <w:bottom w:val="nil"/>
                    <w:right w:val="nil"/>
                  </w:tcBorders>
                  <w:shd w:val="clear" w:color="auto" w:fill="auto"/>
                  <w:vAlign w:val="bottom"/>
                </w:tcPr>
                <w:p w14:paraId="7954C825" w14:textId="77777777" w:rsidR="00F05DC7" w:rsidRPr="00A75ED1" w:rsidRDefault="00F05DC7" w:rsidP="00A3786D">
                  <w:pPr>
                    <w:pStyle w:val="TableBodyText"/>
                    <w:rPr>
                      <w:rFonts w:cs="Arial"/>
                      <w:szCs w:val="18"/>
                    </w:rPr>
                  </w:pPr>
                  <w:r w:rsidRPr="00A75ED1">
                    <w:t>186</w:t>
                  </w:r>
                </w:p>
              </w:tc>
              <w:tc>
                <w:tcPr>
                  <w:tcW w:w="555" w:type="pct"/>
                  <w:tcBorders>
                    <w:top w:val="nil"/>
                    <w:left w:val="nil"/>
                    <w:bottom w:val="nil"/>
                    <w:right w:val="nil"/>
                  </w:tcBorders>
                  <w:shd w:val="clear" w:color="auto" w:fill="auto"/>
                  <w:vAlign w:val="bottom"/>
                </w:tcPr>
                <w:p w14:paraId="7954C826" w14:textId="77777777" w:rsidR="00F05DC7" w:rsidRPr="00A75ED1" w:rsidRDefault="00F05DC7" w:rsidP="00A3786D">
                  <w:pPr>
                    <w:pStyle w:val="TableBodyText"/>
                    <w:rPr>
                      <w:rFonts w:cs="Arial"/>
                      <w:szCs w:val="18"/>
                    </w:rPr>
                  </w:pPr>
                  <w:r>
                    <w:noBreakHyphen/>
                  </w:r>
                  <w:r w:rsidRPr="00A75ED1">
                    <w:t>76</w:t>
                  </w:r>
                </w:p>
              </w:tc>
              <w:tc>
                <w:tcPr>
                  <w:tcW w:w="555" w:type="pct"/>
                  <w:tcBorders>
                    <w:top w:val="nil"/>
                    <w:left w:val="nil"/>
                    <w:bottom w:val="nil"/>
                    <w:right w:val="nil"/>
                  </w:tcBorders>
                  <w:shd w:val="clear" w:color="auto" w:fill="auto"/>
                  <w:vAlign w:val="bottom"/>
                </w:tcPr>
                <w:p w14:paraId="7954C827" w14:textId="77777777" w:rsidR="00F05DC7" w:rsidRPr="00A75ED1" w:rsidRDefault="00F05DC7" w:rsidP="00A3786D">
                  <w:pPr>
                    <w:pStyle w:val="TableBodyText"/>
                    <w:rPr>
                      <w:rFonts w:cs="Arial"/>
                      <w:szCs w:val="18"/>
                    </w:rPr>
                  </w:pPr>
                  <w:r>
                    <w:noBreakHyphen/>
                  </w:r>
                  <w:r w:rsidRPr="00A75ED1">
                    <w:t>76</w:t>
                  </w:r>
                </w:p>
              </w:tc>
              <w:tc>
                <w:tcPr>
                  <w:tcW w:w="555" w:type="pct"/>
                  <w:tcBorders>
                    <w:top w:val="nil"/>
                    <w:left w:val="nil"/>
                    <w:bottom w:val="nil"/>
                    <w:right w:val="nil"/>
                  </w:tcBorders>
                  <w:shd w:val="clear" w:color="auto" w:fill="auto"/>
                  <w:vAlign w:val="bottom"/>
                </w:tcPr>
                <w:p w14:paraId="7954C828" w14:textId="77777777" w:rsidR="00F05DC7" w:rsidRPr="00A75ED1" w:rsidRDefault="00F05DC7" w:rsidP="00A3786D">
                  <w:pPr>
                    <w:pStyle w:val="TableBodyText"/>
                    <w:rPr>
                      <w:rFonts w:cs="Arial"/>
                      <w:szCs w:val="18"/>
                    </w:rPr>
                  </w:pPr>
                  <w:r>
                    <w:noBreakHyphen/>
                  </w:r>
                  <w:r w:rsidRPr="00A75ED1">
                    <w:t>76</w:t>
                  </w:r>
                </w:p>
              </w:tc>
              <w:tc>
                <w:tcPr>
                  <w:tcW w:w="553" w:type="pct"/>
                  <w:tcBorders>
                    <w:top w:val="nil"/>
                    <w:left w:val="nil"/>
                    <w:bottom w:val="nil"/>
                    <w:right w:val="nil"/>
                  </w:tcBorders>
                  <w:shd w:val="clear" w:color="auto" w:fill="auto"/>
                  <w:vAlign w:val="bottom"/>
                </w:tcPr>
                <w:p w14:paraId="7954C829" w14:textId="77777777" w:rsidR="00F05DC7" w:rsidRPr="00A75ED1" w:rsidRDefault="00F05DC7" w:rsidP="00A3786D">
                  <w:pPr>
                    <w:pStyle w:val="TableBodyText"/>
                    <w:rPr>
                      <w:rFonts w:cs="Arial"/>
                      <w:szCs w:val="18"/>
                    </w:rPr>
                  </w:pPr>
                  <w:r>
                    <w:noBreakHyphen/>
                  </w:r>
                  <w:r w:rsidRPr="00A75ED1">
                    <w:t>76</w:t>
                  </w:r>
                </w:p>
              </w:tc>
            </w:tr>
            <w:tr w:rsidR="00F05DC7" w:rsidRPr="00A75ED1" w14:paraId="7954C834" w14:textId="77777777" w:rsidTr="00A3786D">
              <w:tc>
                <w:tcPr>
                  <w:tcW w:w="556" w:type="pct"/>
                  <w:vAlign w:val="bottom"/>
                </w:tcPr>
                <w:p w14:paraId="7954C82B"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C82C" w14:textId="77777777" w:rsidR="00F05DC7" w:rsidRPr="00A75ED1" w:rsidRDefault="00F05DC7" w:rsidP="00A3786D">
                  <w:pPr>
                    <w:pStyle w:val="TableBodyText"/>
                    <w:rPr>
                      <w:rFonts w:cs="Arial"/>
                      <w:szCs w:val="18"/>
                    </w:rPr>
                  </w:pPr>
                  <w:r w:rsidRPr="00A75ED1">
                    <w:t>75</w:t>
                  </w:r>
                </w:p>
              </w:tc>
              <w:tc>
                <w:tcPr>
                  <w:tcW w:w="557" w:type="pct"/>
                  <w:tcBorders>
                    <w:top w:val="nil"/>
                    <w:left w:val="nil"/>
                    <w:bottom w:val="nil"/>
                    <w:right w:val="nil"/>
                  </w:tcBorders>
                  <w:shd w:val="clear" w:color="auto" w:fill="auto"/>
                  <w:vAlign w:val="bottom"/>
                </w:tcPr>
                <w:p w14:paraId="7954C82D" w14:textId="77777777" w:rsidR="00F05DC7" w:rsidRPr="00A75ED1" w:rsidRDefault="00F05DC7" w:rsidP="00A3786D">
                  <w:pPr>
                    <w:pStyle w:val="TableBodyText"/>
                    <w:rPr>
                      <w:rFonts w:cs="Arial"/>
                      <w:szCs w:val="18"/>
                    </w:rPr>
                  </w:pPr>
                  <w:r>
                    <w:noBreakHyphen/>
                  </w:r>
                  <w:r w:rsidRPr="00A75ED1">
                    <w:t>59</w:t>
                  </w:r>
                </w:p>
              </w:tc>
              <w:tc>
                <w:tcPr>
                  <w:tcW w:w="556" w:type="pct"/>
                  <w:tcBorders>
                    <w:top w:val="nil"/>
                    <w:left w:val="nil"/>
                    <w:bottom w:val="nil"/>
                    <w:right w:val="nil"/>
                  </w:tcBorders>
                  <w:shd w:val="clear" w:color="auto" w:fill="auto"/>
                  <w:vAlign w:val="bottom"/>
                </w:tcPr>
                <w:p w14:paraId="7954C82E" w14:textId="77777777" w:rsidR="00F05DC7" w:rsidRPr="00A75ED1" w:rsidRDefault="00F05DC7" w:rsidP="00A3786D">
                  <w:pPr>
                    <w:pStyle w:val="TableBodyText"/>
                    <w:rPr>
                      <w:rFonts w:cs="Arial"/>
                      <w:szCs w:val="18"/>
                    </w:rPr>
                  </w:pPr>
                  <w:r>
                    <w:noBreakHyphen/>
                  </w:r>
                  <w:r w:rsidRPr="00A75ED1">
                    <w:t>119</w:t>
                  </w:r>
                </w:p>
              </w:tc>
              <w:tc>
                <w:tcPr>
                  <w:tcW w:w="556" w:type="pct"/>
                  <w:tcBorders>
                    <w:top w:val="nil"/>
                    <w:left w:val="nil"/>
                    <w:bottom w:val="nil"/>
                    <w:right w:val="nil"/>
                  </w:tcBorders>
                  <w:shd w:val="clear" w:color="auto" w:fill="auto"/>
                  <w:vAlign w:val="bottom"/>
                </w:tcPr>
                <w:p w14:paraId="7954C82F" w14:textId="77777777" w:rsidR="00F05DC7" w:rsidRPr="00A75ED1" w:rsidRDefault="00F05DC7" w:rsidP="00A3786D">
                  <w:pPr>
                    <w:pStyle w:val="TableBodyText"/>
                    <w:rPr>
                      <w:rFonts w:cs="Arial"/>
                      <w:szCs w:val="18"/>
                    </w:rPr>
                  </w:pPr>
                  <w:r w:rsidRPr="00A75ED1">
                    <w:t>278</w:t>
                  </w:r>
                </w:p>
              </w:tc>
              <w:tc>
                <w:tcPr>
                  <w:tcW w:w="555" w:type="pct"/>
                  <w:tcBorders>
                    <w:top w:val="nil"/>
                    <w:left w:val="nil"/>
                    <w:bottom w:val="nil"/>
                    <w:right w:val="nil"/>
                  </w:tcBorders>
                  <w:shd w:val="clear" w:color="auto" w:fill="auto"/>
                  <w:vAlign w:val="bottom"/>
                </w:tcPr>
                <w:p w14:paraId="7954C830" w14:textId="77777777" w:rsidR="00F05DC7" w:rsidRPr="00A75ED1" w:rsidRDefault="00F05DC7" w:rsidP="00A3786D">
                  <w:pPr>
                    <w:pStyle w:val="TableBodyText"/>
                    <w:rPr>
                      <w:rFonts w:cs="Arial"/>
                      <w:szCs w:val="18"/>
                    </w:rPr>
                  </w:pPr>
                  <w:r>
                    <w:noBreakHyphen/>
                  </w:r>
                  <w:r w:rsidRPr="00A75ED1">
                    <w:t>119</w:t>
                  </w:r>
                </w:p>
              </w:tc>
              <w:tc>
                <w:tcPr>
                  <w:tcW w:w="555" w:type="pct"/>
                  <w:tcBorders>
                    <w:top w:val="nil"/>
                    <w:left w:val="nil"/>
                    <w:bottom w:val="nil"/>
                    <w:right w:val="nil"/>
                  </w:tcBorders>
                  <w:shd w:val="clear" w:color="auto" w:fill="auto"/>
                  <w:vAlign w:val="bottom"/>
                </w:tcPr>
                <w:p w14:paraId="7954C831" w14:textId="77777777" w:rsidR="00F05DC7" w:rsidRPr="00A75ED1" w:rsidRDefault="00F05DC7" w:rsidP="00A3786D">
                  <w:pPr>
                    <w:pStyle w:val="TableBodyText"/>
                    <w:rPr>
                      <w:rFonts w:cs="Arial"/>
                      <w:szCs w:val="18"/>
                    </w:rPr>
                  </w:pPr>
                  <w:r>
                    <w:noBreakHyphen/>
                  </w:r>
                  <w:r w:rsidRPr="00A75ED1">
                    <w:t>119</w:t>
                  </w:r>
                </w:p>
              </w:tc>
              <w:tc>
                <w:tcPr>
                  <w:tcW w:w="555" w:type="pct"/>
                  <w:tcBorders>
                    <w:top w:val="nil"/>
                    <w:left w:val="nil"/>
                    <w:bottom w:val="nil"/>
                    <w:right w:val="nil"/>
                  </w:tcBorders>
                  <w:shd w:val="clear" w:color="auto" w:fill="auto"/>
                  <w:vAlign w:val="bottom"/>
                </w:tcPr>
                <w:p w14:paraId="7954C832" w14:textId="77777777" w:rsidR="00F05DC7" w:rsidRPr="00A75ED1" w:rsidRDefault="00F05DC7" w:rsidP="00A3786D">
                  <w:pPr>
                    <w:pStyle w:val="TableBodyText"/>
                    <w:rPr>
                      <w:rFonts w:cs="Arial"/>
                      <w:szCs w:val="18"/>
                    </w:rPr>
                  </w:pPr>
                  <w:r>
                    <w:noBreakHyphen/>
                  </w:r>
                  <w:r w:rsidRPr="00A75ED1">
                    <w:t>119</w:t>
                  </w:r>
                </w:p>
              </w:tc>
              <w:tc>
                <w:tcPr>
                  <w:tcW w:w="553" w:type="pct"/>
                  <w:tcBorders>
                    <w:top w:val="nil"/>
                    <w:left w:val="nil"/>
                    <w:bottom w:val="nil"/>
                    <w:right w:val="nil"/>
                  </w:tcBorders>
                  <w:shd w:val="clear" w:color="auto" w:fill="auto"/>
                  <w:vAlign w:val="bottom"/>
                </w:tcPr>
                <w:p w14:paraId="7954C833" w14:textId="77777777" w:rsidR="00F05DC7" w:rsidRPr="00A75ED1" w:rsidRDefault="00F05DC7" w:rsidP="00A3786D">
                  <w:pPr>
                    <w:pStyle w:val="TableBodyText"/>
                    <w:rPr>
                      <w:rFonts w:cs="Arial"/>
                      <w:szCs w:val="18"/>
                    </w:rPr>
                  </w:pPr>
                  <w:r>
                    <w:noBreakHyphen/>
                  </w:r>
                  <w:r w:rsidRPr="00A75ED1">
                    <w:t>119</w:t>
                  </w:r>
                </w:p>
              </w:tc>
            </w:tr>
            <w:tr w:rsidR="00F05DC7" w:rsidRPr="00A75ED1" w14:paraId="7954C83E" w14:textId="77777777" w:rsidTr="00A3786D">
              <w:tc>
                <w:tcPr>
                  <w:tcW w:w="556" w:type="pct"/>
                </w:tcPr>
                <w:p w14:paraId="7954C835"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C836" w14:textId="77777777" w:rsidR="00F05DC7" w:rsidRPr="00A75ED1" w:rsidRDefault="00F05DC7" w:rsidP="00A3786D">
                  <w:pPr>
                    <w:pStyle w:val="TableBodyText"/>
                    <w:rPr>
                      <w:rFonts w:cs="Arial"/>
                      <w:szCs w:val="18"/>
                    </w:rPr>
                  </w:pPr>
                  <w:r w:rsidRPr="00A75ED1">
                    <w:t>111</w:t>
                  </w:r>
                </w:p>
              </w:tc>
              <w:tc>
                <w:tcPr>
                  <w:tcW w:w="557" w:type="pct"/>
                  <w:tcBorders>
                    <w:top w:val="nil"/>
                    <w:left w:val="nil"/>
                    <w:bottom w:val="nil"/>
                    <w:right w:val="nil"/>
                  </w:tcBorders>
                  <w:shd w:val="clear" w:color="auto" w:fill="auto"/>
                  <w:vAlign w:val="bottom"/>
                </w:tcPr>
                <w:p w14:paraId="7954C837" w14:textId="77777777" w:rsidR="00F05DC7" w:rsidRPr="00A75ED1" w:rsidRDefault="00F05DC7" w:rsidP="00A3786D">
                  <w:pPr>
                    <w:pStyle w:val="TableBodyText"/>
                    <w:rPr>
                      <w:rFonts w:cs="Arial"/>
                      <w:szCs w:val="18"/>
                    </w:rPr>
                  </w:pPr>
                  <w:r>
                    <w:noBreakHyphen/>
                  </w:r>
                  <w:r w:rsidRPr="00A75ED1">
                    <w:t>69</w:t>
                  </w:r>
                </w:p>
              </w:tc>
              <w:tc>
                <w:tcPr>
                  <w:tcW w:w="556" w:type="pct"/>
                  <w:tcBorders>
                    <w:top w:val="nil"/>
                    <w:left w:val="nil"/>
                    <w:bottom w:val="nil"/>
                    <w:right w:val="nil"/>
                  </w:tcBorders>
                  <w:shd w:val="clear" w:color="auto" w:fill="auto"/>
                  <w:vAlign w:val="bottom"/>
                </w:tcPr>
                <w:p w14:paraId="7954C838" w14:textId="77777777" w:rsidR="00F05DC7" w:rsidRPr="00A75ED1" w:rsidRDefault="00F05DC7" w:rsidP="00A3786D">
                  <w:pPr>
                    <w:pStyle w:val="TableBodyText"/>
                    <w:rPr>
                      <w:rFonts w:cs="Arial"/>
                      <w:szCs w:val="18"/>
                    </w:rPr>
                  </w:pPr>
                  <w:r>
                    <w:noBreakHyphen/>
                  </w:r>
                  <w:r w:rsidRPr="00A75ED1">
                    <w:t>166</w:t>
                  </w:r>
                </w:p>
              </w:tc>
              <w:tc>
                <w:tcPr>
                  <w:tcW w:w="556" w:type="pct"/>
                  <w:tcBorders>
                    <w:top w:val="nil"/>
                    <w:left w:val="nil"/>
                    <w:bottom w:val="nil"/>
                    <w:right w:val="nil"/>
                  </w:tcBorders>
                  <w:shd w:val="clear" w:color="auto" w:fill="auto"/>
                  <w:vAlign w:val="bottom"/>
                </w:tcPr>
                <w:p w14:paraId="7954C839" w14:textId="77777777" w:rsidR="00F05DC7" w:rsidRPr="00A75ED1" w:rsidRDefault="00F05DC7" w:rsidP="00A3786D">
                  <w:pPr>
                    <w:pStyle w:val="TableBodyText"/>
                    <w:rPr>
                      <w:rFonts w:cs="Arial"/>
                      <w:szCs w:val="18"/>
                    </w:rPr>
                  </w:pPr>
                  <w:r w:rsidRPr="00A75ED1">
                    <w:t>338</w:t>
                  </w:r>
                </w:p>
              </w:tc>
              <w:tc>
                <w:tcPr>
                  <w:tcW w:w="555" w:type="pct"/>
                  <w:tcBorders>
                    <w:top w:val="nil"/>
                    <w:left w:val="nil"/>
                    <w:bottom w:val="nil"/>
                    <w:right w:val="nil"/>
                  </w:tcBorders>
                  <w:shd w:val="clear" w:color="auto" w:fill="auto"/>
                  <w:vAlign w:val="bottom"/>
                </w:tcPr>
                <w:p w14:paraId="7954C83A" w14:textId="77777777" w:rsidR="00F05DC7" w:rsidRPr="00A75ED1" w:rsidRDefault="00F05DC7" w:rsidP="00A3786D">
                  <w:pPr>
                    <w:pStyle w:val="TableBodyText"/>
                    <w:rPr>
                      <w:rFonts w:cs="Arial"/>
                      <w:szCs w:val="18"/>
                    </w:rPr>
                  </w:pPr>
                  <w:r>
                    <w:noBreakHyphen/>
                  </w:r>
                  <w:r w:rsidRPr="00A75ED1">
                    <w:t>166</w:t>
                  </w:r>
                </w:p>
              </w:tc>
              <w:tc>
                <w:tcPr>
                  <w:tcW w:w="555" w:type="pct"/>
                  <w:tcBorders>
                    <w:top w:val="nil"/>
                    <w:left w:val="nil"/>
                    <w:bottom w:val="nil"/>
                    <w:right w:val="nil"/>
                  </w:tcBorders>
                  <w:shd w:val="clear" w:color="auto" w:fill="auto"/>
                  <w:vAlign w:val="bottom"/>
                </w:tcPr>
                <w:p w14:paraId="7954C83B" w14:textId="77777777" w:rsidR="00F05DC7" w:rsidRPr="00A75ED1" w:rsidRDefault="00F05DC7" w:rsidP="00A3786D">
                  <w:pPr>
                    <w:pStyle w:val="TableBodyText"/>
                    <w:rPr>
                      <w:rFonts w:cs="Arial"/>
                      <w:szCs w:val="18"/>
                    </w:rPr>
                  </w:pPr>
                  <w:r>
                    <w:noBreakHyphen/>
                  </w:r>
                  <w:r w:rsidRPr="00A75ED1">
                    <w:t>166</w:t>
                  </w:r>
                </w:p>
              </w:tc>
              <w:tc>
                <w:tcPr>
                  <w:tcW w:w="555" w:type="pct"/>
                  <w:tcBorders>
                    <w:top w:val="nil"/>
                    <w:left w:val="nil"/>
                    <w:bottom w:val="nil"/>
                    <w:right w:val="nil"/>
                  </w:tcBorders>
                  <w:shd w:val="clear" w:color="auto" w:fill="auto"/>
                  <w:vAlign w:val="bottom"/>
                </w:tcPr>
                <w:p w14:paraId="7954C83C" w14:textId="77777777" w:rsidR="00F05DC7" w:rsidRPr="00A75ED1" w:rsidRDefault="00F05DC7" w:rsidP="00A3786D">
                  <w:pPr>
                    <w:pStyle w:val="TableBodyText"/>
                    <w:rPr>
                      <w:rFonts w:cs="Arial"/>
                      <w:szCs w:val="18"/>
                    </w:rPr>
                  </w:pPr>
                  <w:r>
                    <w:noBreakHyphen/>
                  </w:r>
                  <w:r w:rsidRPr="00A75ED1">
                    <w:t>166</w:t>
                  </w:r>
                </w:p>
              </w:tc>
              <w:tc>
                <w:tcPr>
                  <w:tcW w:w="553" w:type="pct"/>
                  <w:tcBorders>
                    <w:top w:val="nil"/>
                    <w:left w:val="nil"/>
                    <w:bottom w:val="nil"/>
                    <w:right w:val="nil"/>
                  </w:tcBorders>
                  <w:shd w:val="clear" w:color="auto" w:fill="auto"/>
                  <w:vAlign w:val="bottom"/>
                </w:tcPr>
                <w:p w14:paraId="7954C83D" w14:textId="77777777" w:rsidR="00F05DC7" w:rsidRPr="00A75ED1" w:rsidRDefault="00F05DC7" w:rsidP="00A3786D">
                  <w:pPr>
                    <w:pStyle w:val="TableBodyText"/>
                    <w:rPr>
                      <w:rFonts w:cs="Arial"/>
                      <w:szCs w:val="18"/>
                    </w:rPr>
                  </w:pPr>
                  <w:r>
                    <w:noBreakHyphen/>
                  </w:r>
                  <w:r w:rsidRPr="00A75ED1">
                    <w:t>166</w:t>
                  </w:r>
                </w:p>
              </w:tc>
            </w:tr>
            <w:tr w:rsidR="00F05DC7" w:rsidRPr="00A75ED1" w14:paraId="7954C848" w14:textId="77777777" w:rsidTr="00A3786D">
              <w:tc>
                <w:tcPr>
                  <w:tcW w:w="556" w:type="pct"/>
                </w:tcPr>
                <w:p w14:paraId="7954C83F"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840" w14:textId="77777777" w:rsidR="00F05DC7" w:rsidRPr="00A75ED1" w:rsidRDefault="00F05DC7" w:rsidP="00A3786D">
                  <w:pPr>
                    <w:pStyle w:val="TableBodyText"/>
                    <w:rPr>
                      <w:rFonts w:cs="Arial"/>
                      <w:szCs w:val="18"/>
                    </w:rPr>
                  </w:pPr>
                  <w:r w:rsidRPr="00A75ED1">
                    <w:t>146</w:t>
                  </w:r>
                </w:p>
              </w:tc>
              <w:tc>
                <w:tcPr>
                  <w:tcW w:w="557" w:type="pct"/>
                  <w:tcBorders>
                    <w:top w:val="nil"/>
                    <w:left w:val="nil"/>
                    <w:bottom w:val="nil"/>
                    <w:right w:val="nil"/>
                  </w:tcBorders>
                  <w:shd w:val="clear" w:color="auto" w:fill="auto"/>
                  <w:vAlign w:val="bottom"/>
                </w:tcPr>
                <w:p w14:paraId="7954C841" w14:textId="77777777" w:rsidR="00F05DC7" w:rsidRPr="00A75ED1" w:rsidRDefault="00F05DC7" w:rsidP="00A3786D">
                  <w:pPr>
                    <w:pStyle w:val="TableBodyText"/>
                    <w:rPr>
                      <w:rFonts w:cs="Arial"/>
                      <w:szCs w:val="18"/>
                    </w:rPr>
                  </w:pPr>
                  <w:r>
                    <w:noBreakHyphen/>
                  </w:r>
                  <w:r w:rsidRPr="00A75ED1">
                    <w:t>72</w:t>
                  </w:r>
                </w:p>
              </w:tc>
              <w:tc>
                <w:tcPr>
                  <w:tcW w:w="556" w:type="pct"/>
                  <w:tcBorders>
                    <w:top w:val="nil"/>
                    <w:left w:val="nil"/>
                    <w:bottom w:val="nil"/>
                    <w:right w:val="nil"/>
                  </w:tcBorders>
                  <w:shd w:val="clear" w:color="auto" w:fill="auto"/>
                  <w:vAlign w:val="bottom"/>
                </w:tcPr>
                <w:p w14:paraId="7954C842" w14:textId="77777777" w:rsidR="00F05DC7" w:rsidRPr="00A75ED1" w:rsidRDefault="00F05DC7" w:rsidP="00A3786D">
                  <w:pPr>
                    <w:pStyle w:val="TableBodyText"/>
                    <w:rPr>
                      <w:rFonts w:cs="Arial"/>
                      <w:szCs w:val="18"/>
                    </w:rPr>
                  </w:pPr>
                  <w:r>
                    <w:noBreakHyphen/>
                  </w:r>
                  <w:r w:rsidRPr="00A75ED1">
                    <w:t>209</w:t>
                  </w:r>
                </w:p>
              </w:tc>
              <w:tc>
                <w:tcPr>
                  <w:tcW w:w="556" w:type="pct"/>
                  <w:tcBorders>
                    <w:top w:val="nil"/>
                    <w:left w:val="nil"/>
                    <w:bottom w:val="nil"/>
                    <w:right w:val="nil"/>
                  </w:tcBorders>
                  <w:shd w:val="clear" w:color="auto" w:fill="auto"/>
                  <w:vAlign w:val="bottom"/>
                </w:tcPr>
                <w:p w14:paraId="7954C843" w14:textId="77777777" w:rsidR="00F05DC7" w:rsidRPr="00A75ED1" w:rsidRDefault="00F05DC7" w:rsidP="00A3786D">
                  <w:pPr>
                    <w:pStyle w:val="TableBodyText"/>
                    <w:rPr>
                      <w:rFonts w:cs="Arial"/>
                      <w:szCs w:val="18"/>
                    </w:rPr>
                  </w:pPr>
                  <w:r w:rsidRPr="00A75ED1">
                    <w:t>367</w:t>
                  </w:r>
                </w:p>
              </w:tc>
              <w:tc>
                <w:tcPr>
                  <w:tcW w:w="555" w:type="pct"/>
                  <w:tcBorders>
                    <w:top w:val="nil"/>
                    <w:left w:val="nil"/>
                    <w:bottom w:val="nil"/>
                    <w:right w:val="nil"/>
                  </w:tcBorders>
                  <w:shd w:val="clear" w:color="auto" w:fill="auto"/>
                  <w:vAlign w:val="bottom"/>
                </w:tcPr>
                <w:p w14:paraId="7954C844" w14:textId="77777777" w:rsidR="00F05DC7" w:rsidRPr="00A75ED1" w:rsidRDefault="00F05DC7" w:rsidP="00A3786D">
                  <w:pPr>
                    <w:pStyle w:val="TableBodyText"/>
                    <w:rPr>
                      <w:rFonts w:cs="Arial"/>
                      <w:szCs w:val="18"/>
                    </w:rPr>
                  </w:pPr>
                  <w:r>
                    <w:noBreakHyphen/>
                  </w:r>
                  <w:r w:rsidRPr="00A75ED1">
                    <w:t>209</w:t>
                  </w:r>
                </w:p>
              </w:tc>
              <w:tc>
                <w:tcPr>
                  <w:tcW w:w="555" w:type="pct"/>
                  <w:tcBorders>
                    <w:top w:val="nil"/>
                    <w:left w:val="nil"/>
                    <w:bottom w:val="nil"/>
                    <w:right w:val="nil"/>
                  </w:tcBorders>
                  <w:shd w:val="clear" w:color="auto" w:fill="auto"/>
                  <w:vAlign w:val="bottom"/>
                </w:tcPr>
                <w:p w14:paraId="7954C845" w14:textId="77777777" w:rsidR="00F05DC7" w:rsidRPr="00A75ED1" w:rsidRDefault="00F05DC7" w:rsidP="00A3786D">
                  <w:pPr>
                    <w:pStyle w:val="TableBodyText"/>
                    <w:rPr>
                      <w:rFonts w:cs="Arial"/>
                      <w:szCs w:val="18"/>
                    </w:rPr>
                  </w:pPr>
                  <w:r>
                    <w:noBreakHyphen/>
                  </w:r>
                  <w:r w:rsidRPr="00A75ED1">
                    <w:t>209</w:t>
                  </w:r>
                </w:p>
              </w:tc>
              <w:tc>
                <w:tcPr>
                  <w:tcW w:w="555" w:type="pct"/>
                  <w:tcBorders>
                    <w:top w:val="nil"/>
                    <w:left w:val="nil"/>
                    <w:bottom w:val="nil"/>
                    <w:right w:val="nil"/>
                  </w:tcBorders>
                  <w:shd w:val="clear" w:color="auto" w:fill="auto"/>
                  <w:vAlign w:val="bottom"/>
                </w:tcPr>
                <w:p w14:paraId="7954C846" w14:textId="77777777" w:rsidR="00F05DC7" w:rsidRPr="00A75ED1" w:rsidRDefault="00F05DC7" w:rsidP="00A3786D">
                  <w:pPr>
                    <w:pStyle w:val="TableBodyText"/>
                    <w:rPr>
                      <w:rFonts w:cs="Arial"/>
                      <w:szCs w:val="18"/>
                    </w:rPr>
                  </w:pPr>
                  <w:r>
                    <w:noBreakHyphen/>
                  </w:r>
                  <w:r w:rsidRPr="00A75ED1">
                    <w:t>209</w:t>
                  </w:r>
                </w:p>
              </w:tc>
              <w:tc>
                <w:tcPr>
                  <w:tcW w:w="553" w:type="pct"/>
                  <w:tcBorders>
                    <w:top w:val="nil"/>
                    <w:left w:val="nil"/>
                    <w:bottom w:val="nil"/>
                    <w:right w:val="nil"/>
                  </w:tcBorders>
                  <w:shd w:val="clear" w:color="auto" w:fill="auto"/>
                  <w:vAlign w:val="bottom"/>
                </w:tcPr>
                <w:p w14:paraId="7954C847" w14:textId="77777777" w:rsidR="00F05DC7" w:rsidRPr="00A75ED1" w:rsidRDefault="00F05DC7" w:rsidP="00A3786D">
                  <w:pPr>
                    <w:pStyle w:val="TableBodyText"/>
                    <w:rPr>
                      <w:rFonts w:cs="Arial"/>
                      <w:szCs w:val="18"/>
                    </w:rPr>
                  </w:pPr>
                  <w:r>
                    <w:noBreakHyphen/>
                  </w:r>
                  <w:r w:rsidRPr="00A75ED1">
                    <w:t>209</w:t>
                  </w:r>
                </w:p>
              </w:tc>
            </w:tr>
            <w:tr w:rsidR="00F05DC7" w:rsidRPr="00A75ED1" w14:paraId="7954C852" w14:textId="77777777" w:rsidTr="00A3786D">
              <w:tc>
                <w:tcPr>
                  <w:tcW w:w="556" w:type="pct"/>
                </w:tcPr>
                <w:p w14:paraId="7954C849"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84A" w14:textId="77777777" w:rsidR="00F05DC7" w:rsidRPr="00A75ED1" w:rsidRDefault="00F05DC7" w:rsidP="00A3786D">
                  <w:pPr>
                    <w:pStyle w:val="TableBodyText"/>
                    <w:rPr>
                      <w:rFonts w:cs="Arial"/>
                      <w:szCs w:val="18"/>
                    </w:rPr>
                  </w:pPr>
                  <w:r w:rsidRPr="00A75ED1">
                    <w:t>176</w:t>
                  </w:r>
                </w:p>
              </w:tc>
              <w:tc>
                <w:tcPr>
                  <w:tcW w:w="557" w:type="pct"/>
                  <w:tcBorders>
                    <w:top w:val="nil"/>
                    <w:left w:val="nil"/>
                    <w:bottom w:val="nil"/>
                    <w:right w:val="nil"/>
                  </w:tcBorders>
                  <w:shd w:val="clear" w:color="auto" w:fill="auto"/>
                  <w:vAlign w:val="bottom"/>
                </w:tcPr>
                <w:p w14:paraId="7954C84B" w14:textId="77777777" w:rsidR="00F05DC7" w:rsidRPr="00A75ED1" w:rsidRDefault="00F05DC7" w:rsidP="00A3786D">
                  <w:pPr>
                    <w:pStyle w:val="TableBodyText"/>
                    <w:rPr>
                      <w:rFonts w:cs="Arial"/>
                      <w:szCs w:val="18"/>
                    </w:rPr>
                  </w:pPr>
                  <w:r>
                    <w:noBreakHyphen/>
                  </w:r>
                  <w:r w:rsidRPr="00A75ED1">
                    <w:t>69</w:t>
                  </w:r>
                </w:p>
              </w:tc>
              <w:tc>
                <w:tcPr>
                  <w:tcW w:w="556" w:type="pct"/>
                  <w:tcBorders>
                    <w:top w:val="nil"/>
                    <w:left w:val="nil"/>
                    <w:bottom w:val="nil"/>
                    <w:right w:val="nil"/>
                  </w:tcBorders>
                  <w:shd w:val="clear" w:color="auto" w:fill="auto"/>
                  <w:vAlign w:val="bottom"/>
                </w:tcPr>
                <w:p w14:paraId="7954C84C" w14:textId="77777777" w:rsidR="00F05DC7" w:rsidRPr="00A75ED1" w:rsidRDefault="00F05DC7" w:rsidP="00A3786D">
                  <w:pPr>
                    <w:pStyle w:val="TableBodyText"/>
                    <w:rPr>
                      <w:rFonts w:cs="Arial"/>
                      <w:szCs w:val="18"/>
                    </w:rPr>
                  </w:pPr>
                  <w:r>
                    <w:noBreakHyphen/>
                  </w:r>
                  <w:r w:rsidRPr="00A75ED1">
                    <w:t>253</w:t>
                  </w:r>
                </w:p>
              </w:tc>
              <w:tc>
                <w:tcPr>
                  <w:tcW w:w="556" w:type="pct"/>
                  <w:tcBorders>
                    <w:top w:val="nil"/>
                    <w:left w:val="nil"/>
                    <w:bottom w:val="nil"/>
                    <w:right w:val="nil"/>
                  </w:tcBorders>
                  <w:shd w:val="clear" w:color="auto" w:fill="auto"/>
                  <w:vAlign w:val="bottom"/>
                </w:tcPr>
                <w:p w14:paraId="7954C84D" w14:textId="77777777" w:rsidR="00F05DC7" w:rsidRPr="00A75ED1" w:rsidRDefault="00F05DC7" w:rsidP="00A3786D">
                  <w:pPr>
                    <w:pStyle w:val="TableBodyText"/>
                    <w:rPr>
                      <w:rFonts w:cs="Arial"/>
                      <w:szCs w:val="18"/>
                    </w:rPr>
                  </w:pPr>
                  <w:r w:rsidRPr="00A75ED1">
                    <w:t>398</w:t>
                  </w:r>
                </w:p>
              </w:tc>
              <w:tc>
                <w:tcPr>
                  <w:tcW w:w="555" w:type="pct"/>
                  <w:tcBorders>
                    <w:top w:val="nil"/>
                    <w:left w:val="nil"/>
                    <w:bottom w:val="nil"/>
                    <w:right w:val="nil"/>
                  </w:tcBorders>
                  <w:shd w:val="clear" w:color="auto" w:fill="auto"/>
                  <w:vAlign w:val="bottom"/>
                </w:tcPr>
                <w:p w14:paraId="7954C84E" w14:textId="77777777" w:rsidR="00F05DC7" w:rsidRPr="00A75ED1" w:rsidRDefault="00F05DC7" w:rsidP="00A3786D">
                  <w:pPr>
                    <w:pStyle w:val="TableBodyText"/>
                    <w:rPr>
                      <w:rFonts w:cs="Arial"/>
                      <w:szCs w:val="18"/>
                    </w:rPr>
                  </w:pPr>
                  <w:r>
                    <w:noBreakHyphen/>
                  </w:r>
                  <w:r w:rsidRPr="00A75ED1">
                    <w:t>253</w:t>
                  </w:r>
                </w:p>
              </w:tc>
              <w:tc>
                <w:tcPr>
                  <w:tcW w:w="555" w:type="pct"/>
                  <w:tcBorders>
                    <w:top w:val="nil"/>
                    <w:left w:val="nil"/>
                    <w:bottom w:val="nil"/>
                    <w:right w:val="nil"/>
                  </w:tcBorders>
                  <w:shd w:val="clear" w:color="auto" w:fill="auto"/>
                  <w:vAlign w:val="bottom"/>
                </w:tcPr>
                <w:p w14:paraId="7954C84F" w14:textId="77777777" w:rsidR="00F05DC7" w:rsidRPr="00A75ED1" w:rsidRDefault="00F05DC7" w:rsidP="00A3786D">
                  <w:pPr>
                    <w:pStyle w:val="TableBodyText"/>
                    <w:rPr>
                      <w:rFonts w:cs="Arial"/>
                      <w:szCs w:val="18"/>
                    </w:rPr>
                  </w:pPr>
                  <w:r>
                    <w:noBreakHyphen/>
                  </w:r>
                  <w:r w:rsidRPr="00A75ED1">
                    <w:t>253</w:t>
                  </w:r>
                </w:p>
              </w:tc>
              <w:tc>
                <w:tcPr>
                  <w:tcW w:w="555" w:type="pct"/>
                  <w:tcBorders>
                    <w:top w:val="nil"/>
                    <w:left w:val="nil"/>
                    <w:bottom w:val="nil"/>
                    <w:right w:val="nil"/>
                  </w:tcBorders>
                  <w:shd w:val="clear" w:color="auto" w:fill="auto"/>
                  <w:vAlign w:val="bottom"/>
                </w:tcPr>
                <w:p w14:paraId="7954C850" w14:textId="77777777" w:rsidR="00F05DC7" w:rsidRPr="00A75ED1" w:rsidRDefault="00F05DC7" w:rsidP="00A3786D">
                  <w:pPr>
                    <w:pStyle w:val="TableBodyText"/>
                    <w:rPr>
                      <w:rFonts w:cs="Arial"/>
                      <w:szCs w:val="18"/>
                    </w:rPr>
                  </w:pPr>
                  <w:r>
                    <w:noBreakHyphen/>
                  </w:r>
                  <w:r w:rsidRPr="00A75ED1">
                    <w:t>253</w:t>
                  </w:r>
                </w:p>
              </w:tc>
              <w:tc>
                <w:tcPr>
                  <w:tcW w:w="553" w:type="pct"/>
                  <w:tcBorders>
                    <w:top w:val="nil"/>
                    <w:left w:val="nil"/>
                    <w:bottom w:val="nil"/>
                    <w:right w:val="nil"/>
                  </w:tcBorders>
                  <w:shd w:val="clear" w:color="auto" w:fill="auto"/>
                  <w:vAlign w:val="bottom"/>
                </w:tcPr>
                <w:p w14:paraId="7954C851" w14:textId="77777777" w:rsidR="00F05DC7" w:rsidRPr="00A75ED1" w:rsidRDefault="00F05DC7" w:rsidP="00A3786D">
                  <w:pPr>
                    <w:pStyle w:val="TableBodyText"/>
                    <w:rPr>
                      <w:rFonts w:cs="Arial"/>
                      <w:szCs w:val="18"/>
                    </w:rPr>
                  </w:pPr>
                  <w:r>
                    <w:noBreakHyphen/>
                  </w:r>
                  <w:r w:rsidRPr="00A75ED1">
                    <w:t>253</w:t>
                  </w:r>
                </w:p>
              </w:tc>
            </w:tr>
            <w:tr w:rsidR="00F05DC7" w:rsidRPr="00A75ED1" w14:paraId="7954C85C" w14:textId="77777777" w:rsidTr="00A3786D">
              <w:tc>
                <w:tcPr>
                  <w:tcW w:w="556" w:type="pct"/>
                </w:tcPr>
                <w:p w14:paraId="7954C853"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854" w14:textId="77777777" w:rsidR="00F05DC7" w:rsidRPr="00A75ED1" w:rsidRDefault="00F05DC7" w:rsidP="00A3786D">
                  <w:pPr>
                    <w:pStyle w:val="TableBodyText"/>
                    <w:rPr>
                      <w:rFonts w:cs="Arial"/>
                      <w:szCs w:val="18"/>
                    </w:rPr>
                  </w:pPr>
                  <w:r w:rsidRPr="00A75ED1">
                    <w:t>206</w:t>
                  </w:r>
                </w:p>
              </w:tc>
              <w:tc>
                <w:tcPr>
                  <w:tcW w:w="557" w:type="pct"/>
                  <w:tcBorders>
                    <w:top w:val="nil"/>
                    <w:left w:val="nil"/>
                    <w:bottom w:val="nil"/>
                    <w:right w:val="nil"/>
                  </w:tcBorders>
                  <w:shd w:val="clear" w:color="auto" w:fill="auto"/>
                  <w:vAlign w:val="bottom"/>
                </w:tcPr>
                <w:p w14:paraId="7954C855" w14:textId="77777777" w:rsidR="00F05DC7" w:rsidRPr="00A75ED1" w:rsidRDefault="00F05DC7" w:rsidP="00A3786D">
                  <w:pPr>
                    <w:pStyle w:val="TableBodyText"/>
                    <w:rPr>
                      <w:rFonts w:cs="Arial"/>
                      <w:szCs w:val="18"/>
                    </w:rPr>
                  </w:pPr>
                  <w:r>
                    <w:noBreakHyphen/>
                  </w:r>
                  <w:r w:rsidRPr="00A75ED1">
                    <w:t>56</w:t>
                  </w:r>
                </w:p>
              </w:tc>
              <w:tc>
                <w:tcPr>
                  <w:tcW w:w="556" w:type="pct"/>
                  <w:tcBorders>
                    <w:top w:val="nil"/>
                    <w:left w:val="nil"/>
                    <w:bottom w:val="nil"/>
                    <w:right w:val="nil"/>
                  </w:tcBorders>
                  <w:shd w:val="clear" w:color="auto" w:fill="auto"/>
                  <w:vAlign w:val="bottom"/>
                </w:tcPr>
                <w:p w14:paraId="7954C856" w14:textId="77777777" w:rsidR="00F05DC7" w:rsidRPr="00A75ED1" w:rsidRDefault="00F05DC7" w:rsidP="00A3786D">
                  <w:pPr>
                    <w:pStyle w:val="TableBodyText"/>
                    <w:rPr>
                      <w:rFonts w:cs="Arial"/>
                      <w:szCs w:val="18"/>
                    </w:rPr>
                  </w:pPr>
                  <w:r>
                    <w:noBreakHyphen/>
                  </w:r>
                  <w:r w:rsidRPr="00A75ED1">
                    <w:t>300</w:t>
                  </w:r>
                </w:p>
              </w:tc>
              <w:tc>
                <w:tcPr>
                  <w:tcW w:w="556" w:type="pct"/>
                  <w:tcBorders>
                    <w:top w:val="nil"/>
                    <w:left w:val="nil"/>
                    <w:bottom w:val="nil"/>
                    <w:right w:val="nil"/>
                  </w:tcBorders>
                  <w:shd w:val="clear" w:color="auto" w:fill="auto"/>
                  <w:vAlign w:val="bottom"/>
                </w:tcPr>
                <w:p w14:paraId="7954C857" w14:textId="77777777" w:rsidR="00F05DC7" w:rsidRPr="00A75ED1" w:rsidRDefault="00F05DC7" w:rsidP="00A3786D">
                  <w:pPr>
                    <w:pStyle w:val="TableBodyText"/>
                    <w:rPr>
                      <w:rFonts w:cs="Arial"/>
                      <w:szCs w:val="18"/>
                    </w:rPr>
                  </w:pPr>
                  <w:r w:rsidRPr="00A75ED1">
                    <w:t>411</w:t>
                  </w:r>
                </w:p>
              </w:tc>
              <w:tc>
                <w:tcPr>
                  <w:tcW w:w="555" w:type="pct"/>
                  <w:tcBorders>
                    <w:top w:val="nil"/>
                    <w:left w:val="nil"/>
                    <w:bottom w:val="nil"/>
                    <w:right w:val="nil"/>
                  </w:tcBorders>
                  <w:shd w:val="clear" w:color="auto" w:fill="auto"/>
                  <w:vAlign w:val="bottom"/>
                </w:tcPr>
                <w:p w14:paraId="7954C858" w14:textId="77777777" w:rsidR="00F05DC7" w:rsidRPr="00A75ED1" w:rsidRDefault="00F05DC7" w:rsidP="00A3786D">
                  <w:pPr>
                    <w:pStyle w:val="TableBodyText"/>
                    <w:rPr>
                      <w:rFonts w:cs="Arial"/>
                      <w:szCs w:val="18"/>
                    </w:rPr>
                  </w:pPr>
                  <w:r>
                    <w:noBreakHyphen/>
                  </w:r>
                  <w:r w:rsidRPr="00A75ED1">
                    <w:t>300</w:t>
                  </w:r>
                </w:p>
              </w:tc>
              <w:tc>
                <w:tcPr>
                  <w:tcW w:w="555" w:type="pct"/>
                  <w:tcBorders>
                    <w:top w:val="nil"/>
                    <w:left w:val="nil"/>
                    <w:bottom w:val="nil"/>
                    <w:right w:val="nil"/>
                  </w:tcBorders>
                  <w:shd w:val="clear" w:color="auto" w:fill="auto"/>
                  <w:vAlign w:val="bottom"/>
                </w:tcPr>
                <w:p w14:paraId="7954C859" w14:textId="77777777" w:rsidR="00F05DC7" w:rsidRPr="00A75ED1" w:rsidRDefault="00F05DC7" w:rsidP="00A3786D">
                  <w:pPr>
                    <w:pStyle w:val="TableBodyText"/>
                    <w:rPr>
                      <w:rFonts w:cs="Arial"/>
                      <w:szCs w:val="18"/>
                    </w:rPr>
                  </w:pPr>
                  <w:r>
                    <w:noBreakHyphen/>
                  </w:r>
                  <w:r w:rsidRPr="00A75ED1">
                    <w:t>300</w:t>
                  </w:r>
                </w:p>
              </w:tc>
              <w:tc>
                <w:tcPr>
                  <w:tcW w:w="555" w:type="pct"/>
                  <w:tcBorders>
                    <w:top w:val="nil"/>
                    <w:left w:val="nil"/>
                    <w:bottom w:val="nil"/>
                    <w:right w:val="nil"/>
                  </w:tcBorders>
                  <w:shd w:val="clear" w:color="auto" w:fill="auto"/>
                  <w:vAlign w:val="bottom"/>
                </w:tcPr>
                <w:p w14:paraId="7954C85A" w14:textId="77777777" w:rsidR="00F05DC7" w:rsidRPr="00A75ED1" w:rsidRDefault="00F05DC7" w:rsidP="00A3786D">
                  <w:pPr>
                    <w:pStyle w:val="TableBodyText"/>
                    <w:rPr>
                      <w:rFonts w:cs="Arial"/>
                      <w:szCs w:val="18"/>
                    </w:rPr>
                  </w:pPr>
                  <w:r>
                    <w:noBreakHyphen/>
                  </w:r>
                  <w:r w:rsidRPr="00A75ED1">
                    <w:t>300</w:t>
                  </w:r>
                </w:p>
              </w:tc>
              <w:tc>
                <w:tcPr>
                  <w:tcW w:w="553" w:type="pct"/>
                  <w:tcBorders>
                    <w:top w:val="nil"/>
                    <w:left w:val="nil"/>
                    <w:bottom w:val="nil"/>
                    <w:right w:val="nil"/>
                  </w:tcBorders>
                  <w:shd w:val="clear" w:color="auto" w:fill="auto"/>
                  <w:vAlign w:val="bottom"/>
                </w:tcPr>
                <w:p w14:paraId="7954C85B" w14:textId="77777777" w:rsidR="00F05DC7" w:rsidRPr="00A75ED1" w:rsidRDefault="00F05DC7" w:rsidP="00A3786D">
                  <w:pPr>
                    <w:pStyle w:val="TableBodyText"/>
                    <w:rPr>
                      <w:rFonts w:cs="Arial"/>
                      <w:szCs w:val="18"/>
                    </w:rPr>
                  </w:pPr>
                  <w:r>
                    <w:noBreakHyphen/>
                  </w:r>
                  <w:r w:rsidRPr="00A75ED1">
                    <w:t>300</w:t>
                  </w:r>
                </w:p>
              </w:tc>
            </w:tr>
            <w:tr w:rsidR="00F05DC7" w:rsidRPr="00A75ED1" w14:paraId="7954C866" w14:textId="77777777" w:rsidTr="002341D7">
              <w:tc>
                <w:tcPr>
                  <w:tcW w:w="556" w:type="pct"/>
                </w:tcPr>
                <w:p w14:paraId="7954C85D"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C85E" w14:textId="77777777" w:rsidR="00F05DC7" w:rsidRPr="00A75ED1" w:rsidRDefault="00F05DC7" w:rsidP="00A3786D">
                  <w:pPr>
                    <w:pStyle w:val="TableBodyText"/>
                    <w:rPr>
                      <w:rFonts w:cs="Arial"/>
                      <w:szCs w:val="18"/>
                    </w:rPr>
                  </w:pPr>
                  <w:r w:rsidRPr="00A75ED1">
                    <w:t>229</w:t>
                  </w:r>
                </w:p>
              </w:tc>
              <w:tc>
                <w:tcPr>
                  <w:tcW w:w="557" w:type="pct"/>
                  <w:tcBorders>
                    <w:top w:val="nil"/>
                    <w:left w:val="nil"/>
                    <w:right w:val="nil"/>
                  </w:tcBorders>
                  <w:shd w:val="clear" w:color="auto" w:fill="auto"/>
                  <w:vAlign w:val="bottom"/>
                </w:tcPr>
                <w:p w14:paraId="7954C85F" w14:textId="77777777" w:rsidR="00F05DC7" w:rsidRPr="00A75ED1" w:rsidRDefault="00F05DC7" w:rsidP="00A3786D">
                  <w:pPr>
                    <w:pStyle w:val="TableBodyText"/>
                    <w:rPr>
                      <w:rFonts w:cs="Arial"/>
                      <w:szCs w:val="18"/>
                    </w:rPr>
                  </w:pPr>
                  <w:r>
                    <w:noBreakHyphen/>
                  </w:r>
                  <w:r w:rsidRPr="00A75ED1">
                    <w:t>41</w:t>
                  </w:r>
                </w:p>
              </w:tc>
              <w:tc>
                <w:tcPr>
                  <w:tcW w:w="556" w:type="pct"/>
                  <w:tcBorders>
                    <w:top w:val="nil"/>
                    <w:left w:val="nil"/>
                    <w:right w:val="nil"/>
                  </w:tcBorders>
                  <w:shd w:val="clear" w:color="auto" w:fill="auto"/>
                  <w:vAlign w:val="bottom"/>
                </w:tcPr>
                <w:p w14:paraId="7954C860" w14:textId="77777777" w:rsidR="00F05DC7" w:rsidRPr="00A75ED1" w:rsidRDefault="00F05DC7" w:rsidP="00A3786D">
                  <w:pPr>
                    <w:pStyle w:val="TableBodyText"/>
                    <w:rPr>
                      <w:rFonts w:cs="Arial"/>
                      <w:szCs w:val="18"/>
                    </w:rPr>
                  </w:pPr>
                  <w:r>
                    <w:noBreakHyphen/>
                  </w:r>
                  <w:r w:rsidRPr="00A75ED1">
                    <w:t>349</w:t>
                  </w:r>
                </w:p>
              </w:tc>
              <w:tc>
                <w:tcPr>
                  <w:tcW w:w="556" w:type="pct"/>
                  <w:tcBorders>
                    <w:top w:val="nil"/>
                    <w:left w:val="nil"/>
                    <w:right w:val="nil"/>
                  </w:tcBorders>
                  <w:shd w:val="clear" w:color="auto" w:fill="auto"/>
                  <w:vAlign w:val="bottom"/>
                </w:tcPr>
                <w:p w14:paraId="7954C861" w14:textId="77777777" w:rsidR="00F05DC7" w:rsidRPr="00A75ED1" w:rsidRDefault="00F05DC7" w:rsidP="00A3786D">
                  <w:pPr>
                    <w:pStyle w:val="TableBodyText"/>
                    <w:rPr>
                      <w:rFonts w:cs="Arial"/>
                      <w:szCs w:val="18"/>
                    </w:rPr>
                  </w:pPr>
                  <w:r w:rsidRPr="00A75ED1">
                    <w:t>451</w:t>
                  </w:r>
                </w:p>
              </w:tc>
              <w:tc>
                <w:tcPr>
                  <w:tcW w:w="555" w:type="pct"/>
                  <w:tcBorders>
                    <w:top w:val="nil"/>
                    <w:left w:val="nil"/>
                    <w:right w:val="nil"/>
                  </w:tcBorders>
                  <w:shd w:val="clear" w:color="auto" w:fill="auto"/>
                  <w:vAlign w:val="bottom"/>
                </w:tcPr>
                <w:p w14:paraId="7954C862" w14:textId="77777777" w:rsidR="00F05DC7" w:rsidRPr="00A75ED1" w:rsidRDefault="00F05DC7" w:rsidP="00A3786D">
                  <w:pPr>
                    <w:pStyle w:val="TableBodyText"/>
                    <w:rPr>
                      <w:rFonts w:cs="Arial"/>
                      <w:szCs w:val="18"/>
                    </w:rPr>
                  </w:pPr>
                  <w:r>
                    <w:noBreakHyphen/>
                  </w:r>
                  <w:r w:rsidRPr="00A75ED1">
                    <w:t>349</w:t>
                  </w:r>
                </w:p>
              </w:tc>
              <w:tc>
                <w:tcPr>
                  <w:tcW w:w="555" w:type="pct"/>
                  <w:tcBorders>
                    <w:top w:val="nil"/>
                    <w:left w:val="nil"/>
                    <w:right w:val="nil"/>
                  </w:tcBorders>
                  <w:shd w:val="clear" w:color="auto" w:fill="auto"/>
                  <w:vAlign w:val="bottom"/>
                </w:tcPr>
                <w:p w14:paraId="7954C863" w14:textId="77777777" w:rsidR="00F05DC7" w:rsidRPr="00A75ED1" w:rsidRDefault="00F05DC7" w:rsidP="00A3786D">
                  <w:pPr>
                    <w:pStyle w:val="TableBodyText"/>
                    <w:rPr>
                      <w:rFonts w:cs="Arial"/>
                      <w:szCs w:val="18"/>
                    </w:rPr>
                  </w:pPr>
                  <w:r>
                    <w:noBreakHyphen/>
                  </w:r>
                  <w:r w:rsidRPr="00A75ED1">
                    <w:t>349</w:t>
                  </w:r>
                </w:p>
              </w:tc>
              <w:tc>
                <w:tcPr>
                  <w:tcW w:w="555" w:type="pct"/>
                  <w:tcBorders>
                    <w:top w:val="nil"/>
                    <w:left w:val="nil"/>
                    <w:right w:val="nil"/>
                  </w:tcBorders>
                  <w:shd w:val="clear" w:color="auto" w:fill="auto"/>
                  <w:vAlign w:val="bottom"/>
                </w:tcPr>
                <w:p w14:paraId="7954C864" w14:textId="77777777" w:rsidR="00F05DC7" w:rsidRPr="00A75ED1" w:rsidRDefault="00F05DC7" w:rsidP="00A3786D">
                  <w:pPr>
                    <w:pStyle w:val="TableBodyText"/>
                    <w:rPr>
                      <w:rFonts w:cs="Arial"/>
                      <w:szCs w:val="18"/>
                    </w:rPr>
                  </w:pPr>
                  <w:r>
                    <w:noBreakHyphen/>
                  </w:r>
                  <w:r w:rsidRPr="00A75ED1">
                    <w:t>349</w:t>
                  </w:r>
                </w:p>
              </w:tc>
              <w:tc>
                <w:tcPr>
                  <w:tcW w:w="553" w:type="pct"/>
                  <w:tcBorders>
                    <w:top w:val="nil"/>
                    <w:left w:val="nil"/>
                    <w:right w:val="nil"/>
                  </w:tcBorders>
                  <w:shd w:val="clear" w:color="auto" w:fill="auto"/>
                  <w:vAlign w:val="bottom"/>
                </w:tcPr>
                <w:p w14:paraId="7954C865" w14:textId="77777777" w:rsidR="00F05DC7" w:rsidRPr="00A75ED1" w:rsidRDefault="00F05DC7" w:rsidP="00A3786D">
                  <w:pPr>
                    <w:pStyle w:val="TableBodyText"/>
                    <w:rPr>
                      <w:rFonts w:cs="Arial"/>
                      <w:szCs w:val="18"/>
                    </w:rPr>
                  </w:pPr>
                  <w:r>
                    <w:noBreakHyphen/>
                  </w:r>
                  <w:r w:rsidRPr="00A75ED1">
                    <w:t>349</w:t>
                  </w:r>
                </w:p>
              </w:tc>
            </w:tr>
            <w:tr w:rsidR="00F05DC7" w:rsidRPr="00A75ED1" w14:paraId="7954C868" w14:textId="77777777" w:rsidTr="002341D7">
              <w:tc>
                <w:tcPr>
                  <w:tcW w:w="5000" w:type="pct"/>
                  <w:gridSpan w:val="9"/>
                  <w:shd w:val="clear" w:color="auto" w:fill="F2F2F2" w:themeFill="background1" w:themeFillShade="F2"/>
                </w:tcPr>
                <w:p w14:paraId="7954C867"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C872" w14:textId="77777777" w:rsidTr="00A3786D">
              <w:tc>
                <w:tcPr>
                  <w:tcW w:w="556" w:type="pct"/>
                  <w:vAlign w:val="bottom"/>
                </w:tcPr>
                <w:p w14:paraId="7954C869"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C86A" w14:textId="77777777" w:rsidR="00F05DC7" w:rsidRPr="00911F46" w:rsidRDefault="00F05DC7" w:rsidP="00A3786D">
                  <w:pPr>
                    <w:pStyle w:val="TableBodyText"/>
                    <w:rPr>
                      <w:rFonts w:cs="Arial"/>
                      <w:szCs w:val="18"/>
                    </w:rPr>
                  </w:pPr>
                  <w:r w:rsidRPr="00911F46">
                    <w:rPr>
                      <w:rFonts w:cs="Arial"/>
                      <w:color w:val="000000"/>
                      <w:szCs w:val="18"/>
                    </w:rPr>
                    <w:t>0.21</w:t>
                  </w:r>
                </w:p>
              </w:tc>
              <w:tc>
                <w:tcPr>
                  <w:tcW w:w="557" w:type="pct"/>
                  <w:tcBorders>
                    <w:top w:val="nil"/>
                    <w:left w:val="nil"/>
                    <w:bottom w:val="nil"/>
                    <w:right w:val="nil"/>
                  </w:tcBorders>
                  <w:shd w:val="clear" w:color="auto" w:fill="auto"/>
                  <w:vAlign w:val="bottom"/>
                </w:tcPr>
                <w:p w14:paraId="7954C86B"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0.22</w:t>
                  </w:r>
                </w:p>
              </w:tc>
              <w:tc>
                <w:tcPr>
                  <w:tcW w:w="556" w:type="pct"/>
                  <w:tcBorders>
                    <w:top w:val="nil"/>
                    <w:left w:val="nil"/>
                    <w:bottom w:val="nil"/>
                    <w:right w:val="nil"/>
                  </w:tcBorders>
                  <w:shd w:val="clear" w:color="auto" w:fill="auto"/>
                  <w:vAlign w:val="bottom"/>
                </w:tcPr>
                <w:p w14:paraId="7954C86C"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0.32</w:t>
                  </w:r>
                </w:p>
              </w:tc>
              <w:tc>
                <w:tcPr>
                  <w:tcW w:w="556" w:type="pct"/>
                  <w:tcBorders>
                    <w:top w:val="nil"/>
                    <w:left w:val="nil"/>
                    <w:bottom w:val="nil"/>
                    <w:right w:val="nil"/>
                  </w:tcBorders>
                  <w:shd w:val="clear" w:color="auto" w:fill="auto"/>
                  <w:vAlign w:val="bottom"/>
                </w:tcPr>
                <w:p w14:paraId="7954C86D" w14:textId="77777777" w:rsidR="00F05DC7" w:rsidRPr="00911F46" w:rsidRDefault="00F05DC7" w:rsidP="00A3786D">
                  <w:pPr>
                    <w:pStyle w:val="TableBodyText"/>
                    <w:rPr>
                      <w:rFonts w:cs="Arial"/>
                      <w:szCs w:val="18"/>
                    </w:rPr>
                  </w:pPr>
                  <w:r w:rsidRPr="00911F46">
                    <w:rPr>
                      <w:rFonts w:cs="Arial"/>
                      <w:color w:val="000000"/>
                      <w:szCs w:val="18"/>
                    </w:rPr>
                    <w:t>0.88</w:t>
                  </w:r>
                </w:p>
              </w:tc>
              <w:tc>
                <w:tcPr>
                  <w:tcW w:w="555" w:type="pct"/>
                  <w:tcBorders>
                    <w:top w:val="nil"/>
                    <w:left w:val="nil"/>
                    <w:bottom w:val="nil"/>
                    <w:right w:val="nil"/>
                  </w:tcBorders>
                  <w:shd w:val="clear" w:color="auto" w:fill="auto"/>
                  <w:vAlign w:val="bottom"/>
                </w:tcPr>
                <w:p w14:paraId="7954C86E"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0.33</w:t>
                  </w:r>
                </w:p>
              </w:tc>
              <w:tc>
                <w:tcPr>
                  <w:tcW w:w="555" w:type="pct"/>
                  <w:tcBorders>
                    <w:top w:val="nil"/>
                    <w:left w:val="nil"/>
                    <w:bottom w:val="nil"/>
                    <w:right w:val="nil"/>
                  </w:tcBorders>
                  <w:shd w:val="clear" w:color="auto" w:fill="auto"/>
                  <w:vAlign w:val="bottom"/>
                </w:tcPr>
                <w:p w14:paraId="7954C86F"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0.32</w:t>
                  </w:r>
                </w:p>
              </w:tc>
              <w:tc>
                <w:tcPr>
                  <w:tcW w:w="555" w:type="pct"/>
                  <w:tcBorders>
                    <w:top w:val="nil"/>
                    <w:left w:val="nil"/>
                    <w:bottom w:val="nil"/>
                    <w:right w:val="nil"/>
                  </w:tcBorders>
                  <w:shd w:val="clear" w:color="auto" w:fill="auto"/>
                  <w:vAlign w:val="bottom"/>
                </w:tcPr>
                <w:p w14:paraId="7954C870"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0.26</w:t>
                  </w:r>
                </w:p>
              </w:tc>
              <w:tc>
                <w:tcPr>
                  <w:tcW w:w="553" w:type="pct"/>
                  <w:tcBorders>
                    <w:top w:val="nil"/>
                    <w:left w:val="nil"/>
                    <w:bottom w:val="nil"/>
                    <w:right w:val="nil"/>
                  </w:tcBorders>
                  <w:shd w:val="clear" w:color="auto" w:fill="auto"/>
                  <w:vAlign w:val="bottom"/>
                </w:tcPr>
                <w:p w14:paraId="7954C871"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0.16</w:t>
                  </w:r>
                </w:p>
              </w:tc>
            </w:tr>
            <w:tr w:rsidR="00F05DC7" w:rsidRPr="00A75ED1" w14:paraId="7954C87C" w14:textId="77777777" w:rsidTr="00A3786D">
              <w:tc>
                <w:tcPr>
                  <w:tcW w:w="556" w:type="pct"/>
                  <w:vAlign w:val="bottom"/>
                </w:tcPr>
                <w:p w14:paraId="7954C873"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C874" w14:textId="77777777" w:rsidR="00F05DC7" w:rsidRPr="00911F46" w:rsidRDefault="00F05DC7" w:rsidP="00A3786D">
                  <w:pPr>
                    <w:pStyle w:val="TableBodyText"/>
                    <w:rPr>
                      <w:rFonts w:cs="Arial"/>
                      <w:szCs w:val="18"/>
                    </w:rPr>
                  </w:pPr>
                  <w:r w:rsidRPr="00911F46">
                    <w:rPr>
                      <w:rFonts w:cs="Arial"/>
                      <w:color w:val="000000"/>
                      <w:szCs w:val="18"/>
                    </w:rPr>
                    <w:t>0.48</w:t>
                  </w:r>
                </w:p>
              </w:tc>
              <w:tc>
                <w:tcPr>
                  <w:tcW w:w="557" w:type="pct"/>
                  <w:tcBorders>
                    <w:top w:val="nil"/>
                    <w:left w:val="nil"/>
                    <w:bottom w:val="nil"/>
                    <w:right w:val="nil"/>
                  </w:tcBorders>
                  <w:shd w:val="clear" w:color="auto" w:fill="auto"/>
                  <w:vAlign w:val="bottom"/>
                </w:tcPr>
                <w:p w14:paraId="7954C875"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0.40</w:t>
                  </w:r>
                </w:p>
              </w:tc>
              <w:tc>
                <w:tcPr>
                  <w:tcW w:w="556" w:type="pct"/>
                  <w:tcBorders>
                    <w:top w:val="nil"/>
                    <w:left w:val="nil"/>
                    <w:bottom w:val="nil"/>
                    <w:right w:val="nil"/>
                  </w:tcBorders>
                  <w:shd w:val="clear" w:color="auto" w:fill="auto"/>
                  <w:vAlign w:val="bottom"/>
                </w:tcPr>
                <w:p w14:paraId="7954C876"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0.66</w:t>
                  </w:r>
                </w:p>
              </w:tc>
              <w:tc>
                <w:tcPr>
                  <w:tcW w:w="556" w:type="pct"/>
                  <w:tcBorders>
                    <w:top w:val="nil"/>
                    <w:left w:val="nil"/>
                    <w:bottom w:val="nil"/>
                    <w:right w:val="nil"/>
                  </w:tcBorders>
                  <w:shd w:val="clear" w:color="auto" w:fill="auto"/>
                  <w:vAlign w:val="bottom"/>
                </w:tcPr>
                <w:p w14:paraId="7954C877" w14:textId="77777777" w:rsidR="00F05DC7" w:rsidRPr="00911F46" w:rsidRDefault="00F05DC7" w:rsidP="00A3786D">
                  <w:pPr>
                    <w:pStyle w:val="TableBodyText"/>
                    <w:rPr>
                      <w:rFonts w:cs="Arial"/>
                      <w:szCs w:val="18"/>
                    </w:rPr>
                  </w:pPr>
                  <w:r w:rsidRPr="00911F46">
                    <w:rPr>
                      <w:rFonts w:cs="Arial"/>
                      <w:color w:val="000000"/>
                      <w:szCs w:val="18"/>
                    </w:rPr>
                    <w:t>1.51</w:t>
                  </w:r>
                </w:p>
              </w:tc>
              <w:tc>
                <w:tcPr>
                  <w:tcW w:w="555" w:type="pct"/>
                  <w:tcBorders>
                    <w:top w:val="nil"/>
                    <w:left w:val="nil"/>
                    <w:bottom w:val="nil"/>
                    <w:right w:val="nil"/>
                  </w:tcBorders>
                  <w:shd w:val="clear" w:color="auto" w:fill="auto"/>
                  <w:vAlign w:val="bottom"/>
                </w:tcPr>
                <w:p w14:paraId="7954C878"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0.67</w:t>
                  </w:r>
                </w:p>
              </w:tc>
              <w:tc>
                <w:tcPr>
                  <w:tcW w:w="555" w:type="pct"/>
                  <w:tcBorders>
                    <w:top w:val="nil"/>
                    <w:left w:val="nil"/>
                    <w:bottom w:val="nil"/>
                    <w:right w:val="nil"/>
                  </w:tcBorders>
                  <w:shd w:val="clear" w:color="auto" w:fill="auto"/>
                  <w:vAlign w:val="bottom"/>
                </w:tcPr>
                <w:p w14:paraId="7954C879"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0.67</w:t>
                  </w:r>
                </w:p>
              </w:tc>
              <w:tc>
                <w:tcPr>
                  <w:tcW w:w="555" w:type="pct"/>
                  <w:tcBorders>
                    <w:top w:val="nil"/>
                    <w:left w:val="nil"/>
                    <w:bottom w:val="nil"/>
                    <w:right w:val="nil"/>
                  </w:tcBorders>
                  <w:shd w:val="clear" w:color="auto" w:fill="auto"/>
                  <w:vAlign w:val="bottom"/>
                </w:tcPr>
                <w:p w14:paraId="7954C87A"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0.53</w:t>
                  </w:r>
                </w:p>
              </w:tc>
              <w:tc>
                <w:tcPr>
                  <w:tcW w:w="553" w:type="pct"/>
                  <w:tcBorders>
                    <w:top w:val="nil"/>
                    <w:left w:val="nil"/>
                    <w:bottom w:val="nil"/>
                    <w:right w:val="nil"/>
                  </w:tcBorders>
                  <w:shd w:val="clear" w:color="auto" w:fill="auto"/>
                  <w:vAlign w:val="bottom"/>
                </w:tcPr>
                <w:p w14:paraId="7954C87B"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0.34</w:t>
                  </w:r>
                </w:p>
              </w:tc>
            </w:tr>
            <w:tr w:rsidR="00F05DC7" w:rsidRPr="00A75ED1" w14:paraId="7954C886" w14:textId="77777777" w:rsidTr="00A3786D">
              <w:tc>
                <w:tcPr>
                  <w:tcW w:w="556" w:type="pct"/>
                  <w:vAlign w:val="bottom"/>
                </w:tcPr>
                <w:p w14:paraId="7954C87D"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C87E" w14:textId="77777777" w:rsidR="00F05DC7" w:rsidRPr="00911F46" w:rsidRDefault="00F05DC7" w:rsidP="00A3786D">
                  <w:pPr>
                    <w:pStyle w:val="TableBodyText"/>
                    <w:rPr>
                      <w:rFonts w:cs="Arial"/>
                      <w:szCs w:val="18"/>
                    </w:rPr>
                  </w:pPr>
                  <w:r w:rsidRPr="00911F46">
                    <w:rPr>
                      <w:rFonts w:cs="Arial"/>
                      <w:color w:val="000000"/>
                      <w:szCs w:val="18"/>
                    </w:rPr>
                    <w:t>0.71</w:t>
                  </w:r>
                </w:p>
              </w:tc>
              <w:tc>
                <w:tcPr>
                  <w:tcW w:w="557" w:type="pct"/>
                  <w:tcBorders>
                    <w:top w:val="nil"/>
                    <w:left w:val="nil"/>
                    <w:bottom w:val="nil"/>
                    <w:right w:val="nil"/>
                  </w:tcBorders>
                  <w:shd w:val="clear" w:color="auto" w:fill="auto"/>
                  <w:vAlign w:val="bottom"/>
                </w:tcPr>
                <w:p w14:paraId="7954C87F"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0.54</w:t>
                  </w:r>
                </w:p>
              </w:tc>
              <w:tc>
                <w:tcPr>
                  <w:tcW w:w="556" w:type="pct"/>
                  <w:tcBorders>
                    <w:top w:val="nil"/>
                    <w:left w:val="nil"/>
                    <w:bottom w:val="nil"/>
                    <w:right w:val="nil"/>
                  </w:tcBorders>
                  <w:shd w:val="clear" w:color="auto" w:fill="auto"/>
                  <w:vAlign w:val="bottom"/>
                </w:tcPr>
                <w:p w14:paraId="7954C880"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0.99</w:t>
                  </w:r>
                </w:p>
              </w:tc>
              <w:tc>
                <w:tcPr>
                  <w:tcW w:w="556" w:type="pct"/>
                  <w:tcBorders>
                    <w:top w:val="nil"/>
                    <w:left w:val="nil"/>
                    <w:bottom w:val="nil"/>
                    <w:right w:val="nil"/>
                  </w:tcBorders>
                  <w:shd w:val="clear" w:color="auto" w:fill="auto"/>
                  <w:vAlign w:val="bottom"/>
                </w:tcPr>
                <w:p w14:paraId="7954C881" w14:textId="77777777" w:rsidR="00F05DC7" w:rsidRPr="00911F46" w:rsidRDefault="00F05DC7" w:rsidP="00A3786D">
                  <w:pPr>
                    <w:pStyle w:val="TableBodyText"/>
                    <w:rPr>
                      <w:rFonts w:cs="Arial"/>
                      <w:szCs w:val="18"/>
                    </w:rPr>
                  </w:pPr>
                  <w:r w:rsidRPr="00911F46">
                    <w:rPr>
                      <w:rFonts w:cs="Arial"/>
                      <w:color w:val="000000"/>
                      <w:szCs w:val="18"/>
                    </w:rPr>
                    <w:t>2.18</w:t>
                  </w:r>
                </w:p>
              </w:tc>
              <w:tc>
                <w:tcPr>
                  <w:tcW w:w="555" w:type="pct"/>
                  <w:tcBorders>
                    <w:top w:val="nil"/>
                    <w:left w:val="nil"/>
                    <w:bottom w:val="nil"/>
                    <w:right w:val="nil"/>
                  </w:tcBorders>
                  <w:shd w:val="clear" w:color="auto" w:fill="auto"/>
                  <w:vAlign w:val="bottom"/>
                </w:tcPr>
                <w:p w14:paraId="7954C882"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1.02</w:t>
                  </w:r>
                </w:p>
              </w:tc>
              <w:tc>
                <w:tcPr>
                  <w:tcW w:w="555" w:type="pct"/>
                  <w:tcBorders>
                    <w:top w:val="nil"/>
                    <w:left w:val="nil"/>
                    <w:bottom w:val="nil"/>
                    <w:right w:val="nil"/>
                  </w:tcBorders>
                  <w:shd w:val="clear" w:color="auto" w:fill="auto"/>
                  <w:vAlign w:val="bottom"/>
                </w:tcPr>
                <w:p w14:paraId="7954C883"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1.00</w:t>
                  </w:r>
                </w:p>
              </w:tc>
              <w:tc>
                <w:tcPr>
                  <w:tcW w:w="555" w:type="pct"/>
                  <w:tcBorders>
                    <w:top w:val="nil"/>
                    <w:left w:val="nil"/>
                    <w:bottom w:val="nil"/>
                    <w:right w:val="nil"/>
                  </w:tcBorders>
                  <w:shd w:val="clear" w:color="auto" w:fill="auto"/>
                  <w:vAlign w:val="bottom"/>
                </w:tcPr>
                <w:p w14:paraId="7954C884"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0.82</w:t>
                  </w:r>
                </w:p>
              </w:tc>
              <w:tc>
                <w:tcPr>
                  <w:tcW w:w="553" w:type="pct"/>
                  <w:tcBorders>
                    <w:top w:val="nil"/>
                    <w:left w:val="nil"/>
                    <w:bottom w:val="nil"/>
                    <w:right w:val="nil"/>
                  </w:tcBorders>
                  <w:shd w:val="clear" w:color="auto" w:fill="auto"/>
                  <w:vAlign w:val="bottom"/>
                </w:tcPr>
                <w:p w14:paraId="7954C885"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0.48</w:t>
                  </w:r>
                </w:p>
              </w:tc>
            </w:tr>
            <w:tr w:rsidR="00F05DC7" w:rsidRPr="00A75ED1" w14:paraId="7954C890" w14:textId="77777777" w:rsidTr="00A3786D">
              <w:tc>
                <w:tcPr>
                  <w:tcW w:w="556" w:type="pct"/>
                </w:tcPr>
                <w:p w14:paraId="7954C887"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C888" w14:textId="77777777" w:rsidR="00F05DC7" w:rsidRPr="00911F46" w:rsidRDefault="00F05DC7" w:rsidP="00A3786D">
                  <w:pPr>
                    <w:pStyle w:val="TableBodyText"/>
                    <w:rPr>
                      <w:rFonts w:cs="Arial"/>
                      <w:szCs w:val="18"/>
                    </w:rPr>
                  </w:pPr>
                  <w:r w:rsidRPr="00911F46">
                    <w:rPr>
                      <w:rFonts w:cs="Arial"/>
                      <w:color w:val="000000"/>
                      <w:szCs w:val="18"/>
                    </w:rPr>
                    <w:t>1.03</w:t>
                  </w:r>
                </w:p>
              </w:tc>
              <w:tc>
                <w:tcPr>
                  <w:tcW w:w="557" w:type="pct"/>
                  <w:tcBorders>
                    <w:top w:val="nil"/>
                    <w:left w:val="nil"/>
                    <w:bottom w:val="nil"/>
                    <w:right w:val="nil"/>
                  </w:tcBorders>
                  <w:shd w:val="clear" w:color="auto" w:fill="auto"/>
                  <w:vAlign w:val="bottom"/>
                </w:tcPr>
                <w:p w14:paraId="7954C889"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0.63</w:t>
                  </w:r>
                </w:p>
              </w:tc>
              <w:tc>
                <w:tcPr>
                  <w:tcW w:w="556" w:type="pct"/>
                  <w:tcBorders>
                    <w:top w:val="nil"/>
                    <w:left w:val="nil"/>
                    <w:bottom w:val="nil"/>
                    <w:right w:val="nil"/>
                  </w:tcBorders>
                  <w:shd w:val="clear" w:color="auto" w:fill="auto"/>
                  <w:vAlign w:val="bottom"/>
                </w:tcPr>
                <w:p w14:paraId="7954C88A"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1.36</w:t>
                  </w:r>
                </w:p>
              </w:tc>
              <w:tc>
                <w:tcPr>
                  <w:tcW w:w="556" w:type="pct"/>
                  <w:tcBorders>
                    <w:top w:val="nil"/>
                    <w:left w:val="nil"/>
                    <w:bottom w:val="nil"/>
                    <w:right w:val="nil"/>
                  </w:tcBorders>
                  <w:shd w:val="clear" w:color="auto" w:fill="auto"/>
                  <w:vAlign w:val="bottom"/>
                </w:tcPr>
                <w:p w14:paraId="7954C88B" w14:textId="77777777" w:rsidR="00F05DC7" w:rsidRPr="00911F46" w:rsidRDefault="00F05DC7" w:rsidP="00A3786D">
                  <w:pPr>
                    <w:pStyle w:val="TableBodyText"/>
                    <w:rPr>
                      <w:rFonts w:cs="Arial"/>
                      <w:szCs w:val="18"/>
                    </w:rPr>
                  </w:pPr>
                  <w:r w:rsidRPr="00911F46">
                    <w:rPr>
                      <w:rFonts w:cs="Arial"/>
                      <w:color w:val="000000"/>
                      <w:szCs w:val="18"/>
                    </w:rPr>
                    <w:t>2.58</w:t>
                  </w:r>
                </w:p>
              </w:tc>
              <w:tc>
                <w:tcPr>
                  <w:tcW w:w="555" w:type="pct"/>
                  <w:tcBorders>
                    <w:top w:val="nil"/>
                    <w:left w:val="nil"/>
                    <w:bottom w:val="nil"/>
                    <w:right w:val="nil"/>
                  </w:tcBorders>
                  <w:shd w:val="clear" w:color="auto" w:fill="auto"/>
                  <w:vAlign w:val="bottom"/>
                </w:tcPr>
                <w:p w14:paraId="7954C88C"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1.41</w:t>
                  </w:r>
                </w:p>
              </w:tc>
              <w:tc>
                <w:tcPr>
                  <w:tcW w:w="555" w:type="pct"/>
                  <w:tcBorders>
                    <w:top w:val="nil"/>
                    <w:left w:val="nil"/>
                    <w:bottom w:val="nil"/>
                    <w:right w:val="nil"/>
                  </w:tcBorders>
                  <w:shd w:val="clear" w:color="auto" w:fill="auto"/>
                  <w:vAlign w:val="bottom"/>
                </w:tcPr>
                <w:p w14:paraId="7954C88D"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1.37</w:t>
                  </w:r>
                </w:p>
              </w:tc>
              <w:tc>
                <w:tcPr>
                  <w:tcW w:w="555" w:type="pct"/>
                  <w:tcBorders>
                    <w:top w:val="nil"/>
                    <w:left w:val="nil"/>
                    <w:bottom w:val="nil"/>
                    <w:right w:val="nil"/>
                  </w:tcBorders>
                  <w:shd w:val="clear" w:color="auto" w:fill="auto"/>
                  <w:vAlign w:val="bottom"/>
                </w:tcPr>
                <w:p w14:paraId="7954C88E"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1.13</w:t>
                  </w:r>
                </w:p>
              </w:tc>
              <w:tc>
                <w:tcPr>
                  <w:tcW w:w="553" w:type="pct"/>
                  <w:tcBorders>
                    <w:top w:val="nil"/>
                    <w:left w:val="nil"/>
                    <w:bottom w:val="nil"/>
                    <w:right w:val="nil"/>
                  </w:tcBorders>
                  <w:shd w:val="clear" w:color="auto" w:fill="auto"/>
                  <w:vAlign w:val="bottom"/>
                </w:tcPr>
                <w:p w14:paraId="7954C88F"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0.64</w:t>
                  </w:r>
                </w:p>
              </w:tc>
            </w:tr>
            <w:tr w:rsidR="00F05DC7" w:rsidRPr="00A75ED1" w14:paraId="7954C89A" w14:textId="77777777" w:rsidTr="00A3786D">
              <w:tc>
                <w:tcPr>
                  <w:tcW w:w="556" w:type="pct"/>
                </w:tcPr>
                <w:p w14:paraId="7954C891"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892" w14:textId="77777777" w:rsidR="00F05DC7" w:rsidRPr="00911F46" w:rsidRDefault="00F05DC7" w:rsidP="00A3786D">
                  <w:pPr>
                    <w:pStyle w:val="TableBodyText"/>
                    <w:rPr>
                      <w:rFonts w:cs="Arial"/>
                      <w:szCs w:val="18"/>
                    </w:rPr>
                  </w:pPr>
                  <w:r w:rsidRPr="00911F46">
                    <w:rPr>
                      <w:rFonts w:cs="Arial"/>
                      <w:color w:val="000000"/>
                      <w:szCs w:val="18"/>
                    </w:rPr>
                    <w:t>1.32</w:t>
                  </w:r>
                </w:p>
              </w:tc>
              <w:tc>
                <w:tcPr>
                  <w:tcW w:w="557" w:type="pct"/>
                  <w:tcBorders>
                    <w:top w:val="nil"/>
                    <w:left w:val="nil"/>
                    <w:bottom w:val="nil"/>
                    <w:right w:val="nil"/>
                  </w:tcBorders>
                  <w:shd w:val="clear" w:color="auto" w:fill="auto"/>
                  <w:vAlign w:val="bottom"/>
                </w:tcPr>
                <w:p w14:paraId="7954C893"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0.64</w:t>
                  </w:r>
                </w:p>
              </w:tc>
              <w:tc>
                <w:tcPr>
                  <w:tcW w:w="556" w:type="pct"/>
                  <w:tcBorders>
                    <w:top w:val="nil"/>
                    <w:left w:val="nil"/>
                    <w:bottom w:val="nil"/>
                    <w:right w:val="nil"/>
                  </w:tcBorders>
                  <w:shd w:val="clear" w:color="auto" w:fill="auto"/>
                  <w:vAlign w:val="bottom"/>
                </w:tcPr>
                <w:p w14:paraId="7954C894"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1.69</w:t>
                  </w:r>
                </w:p>
              </w:tc>
              <w:tc>
                <w:tcPr>
                  <w:tcW w:w="556" w:type="pct"/>
                  <w:tcBorders>
                    <w:top w:val="nil"/>
                    <w:left w:val="nil"/>
                    <w:bottom w:val="nil"/>
                    <w:right w:val="nil"/>
                  </w:tcBorders>
                  <w:shd w:val="clear" w:color="auto" w:fill="auto"/>
                  <w:vAlign w:val="bottom"/>
                </w:tcPr>
                <w:p w14:paraId="7954C895" w14:textId="77777777" w:rsidR="00F05DC7" w:rsidRPr="00911F46" w:rsidRDefault="00F05DC7" w:rsidP="00A3786D">
                  <w:pPr>
                    <w:pStyle w:val="TableBodyText"/>
                    <w:rPr>
                      <w:rFonts w:cs="Arial"/>
                      <w:szCs w:val="18"/>
                    </w:rPr>
                  </w:pPr>
                  <w:r w:rsidRPr="00911F46">
                    <w:rPr>
                      <w:rFonts w:cs="Arial"/>
                      <w:color w:val="000000"/>
                      <w:szCs w:val="18"/>
                    </w:rPr>
                    <w:t>2.72</w:t>
                  </w:r>
                </w:p>
              </w:tc>
              <w:tc>
                <w:tcPr>
                  <w:tcW w:w="555" w:type="pct"/>
                  <w:tcBorders>
                    <w:top w:val="nil"/>
                    <w:left w:val="nil"/>
                    <w:bottom w:val="nil"/>
                    <w:right w:val="nil"/>
                  </w:tcBorders>
                  <w:shd w:val="clear" w:color="auto" w:fill="auto"/>
                  <w:vAlign w:val="bottom"/>
                </w:tcPr>
                <w:p w14:paraId="7954C896"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1.74</w:t>
                  </w:r>
                </w:p>
              </w:tc>
              <w:tc>
                <w:tcPr>
                  <w:tcW w:w="555" w:type="pct"/>
                  <w:tcBorders>
                    <w:top w:val="nil"/>
                    <w:left w:val="nil"/>
                    <w:bottom w:val="nil"/>
                    <w:right w:val="nil"/>
                  </w:tcBorders>
                  <w:shd w:val="clear" w:color="auto" w:fill="auto"/>
                  <w:vAlign w:val="bottom"/>
                </w:tcPr>
                <w:p w14:paraId="7954C897"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1.69</w:t>
                  </w:r>
                </w:p>
              </w:tc>
              <w:tc>
                <w:tcPr>
                  <w:tcW w:w="555" w:type="pct"/>
                  <w:tcBorders>
                    <w:top w:val="nil"/>
                    <w:left w:val="nil"/>
                    <w:bottom w:val="nil"/>
                    <w:right w:val="nil"/>
                  </w:tcBorders>
                  <w:shd w:val="clear" w:color="auto" w:fill="auto"/>
                  <w:vAlign w:val="bottom"/>
                </w:tcPr>
                <w:p w14:paraId="7954C898"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1.38</w:t>
                  </w:r>
                </w:p>
              </w:tc>
              <w:tc>
                <w:tcPr>
                  <w:tcW w:w="553" w:type="pct"/>
                  <w:tcBorders>
                    <w:top w:val="nil"/>
                    <w:left w:val="nil"/>
                    <w:bottom w:val="nil"/>
                    <w:right w:val="nil"/>
                  </w:tcBorders>
                  <w:shd w:val="clear" w:color="auto" w:fill="auto"/>
                  <w:vAlign w:val="bottom"/>
                </w:tcPr>
                <w:p w14:paraId="7954C899"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0.78</w:t>
                  </w:r>
                </w:p>
              </w:tc>
            </w:tr>
            <w:tr w:rsidR="00F05DC7" w:rsidRPr="00A75ED1" w14:paraId="7954C8A4" w14:textId="77777777" w:rsidTr="00A3786D">
              <w:tc>
                <w:tcPr>
                  <w:tcW w:w="556" w:type="pct"/>
                </w:tcPr>
                <w:p w14:paraId="7954C89B"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89C" w14:textId="77777777" w:rsidR="00F05DC7" w:rsidRPr="00911F46" w:rsidRDefault="00F05DC7" w:rsidP="00A3786D">
                  <w:pPr>
                    <w:pStyle w:val="TableBodyText"/>
                    <w:rPr>
                      <w:rFonts w:cs="Arial"/>
                      <w:szCs w:val="18"/>
                    </w:rPr>
                  </w:pPr>
                  <w:r w:rsidRPr="00911F46">
                    <w:rPr>
                      <w:rFonts w:cs="Arial"/>
                      <w:color w:val="000000"/>
                      <w:szCs w:val="18"/>
                    </w:rPr>
                    <w:t>1.57</w:t>
                  </w:r>
                </w:p>
              </w:tc>
              <w:tc>
                <w:tcPr>
                  <w:tcW w:w="557" w:type="pct"/>
                  <w:tcBorders>
                    <w:top w:val="nil"/>
                    <w:left w:val="nil"/>
                    <w:bottom w:val="nil"/>
                    <w:right w:val="nil"/>
                  </w:tcBorders>
                  <w:shd w:val="clear" w:color="auto" w:fill="auto"/>
                  <w:vAlign w:val="bottom"/>
                </w:tcPr>
                <w:p w14:paraId="7954C89D"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0.60</w:t>
                  </w:r>
                </w:p>
              </w:tc>
              <w:tc>
                <w:tcPr>
                  <w:tcW w:w="556" w:type="pct"/>
                  <w:tcBorders>
                    <w:top w:val="nil"/>
                    <w:left w:val="nil"/>
                    <w:bottom w:val="nil"/>
                    <w:right w:val="nil"/>
                  </w:tcBorders>
                  <w:shd w:val="clear" w:color="auto" w:fill="auto"/>
                  <w:vAlign w:val="bottom"/>
                </w:tcPr>
                <w:p w14:paraId="7954C89E"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2.01</w:t>
                  </w:r>
                </w:p>
              </w:tc>
              <w:tc>
                <w:tcPr>
                  <w:tcW w:w="556" w:type="pct"/>
                  <w:tcBorders>
                    <w:top w:val="nil"/>
                    <w:left w:val="nil"/>
                    <w:bottom w:val="nil"/>
                    <w:right w:val="nil"/>
                  </w:tcBorders>
                  <w:shd w:val="clear" w:color="auto" w:fill="auto"/>
                  <w:vAlign w:val="bottom"/>
                </w:tcPr>
                <w:p w14:paraId="7954C89F" w14:textId="77777777" w:rsidR="00F05DC7" w:rsidRPr="00911F46" w:rsidRDefault="00F05DC7" w:rsidP="00A3786D">
                  <w:pPr>
                    <w:pStyle w:val="TableBodyText"/>
                    <w:rPr>
                      <w:rFonts w:cs="Arial"/>
                      <w:szCs w:val="18"/>
                    </w:rPr>
                  </w:pPr>
                  <w:r w:rsidRPr="00911F46">
                    <w:rPr>
                      <w:rFonts w:cs="Arial"/>
                      <w:color w:val="000000"/>
                      <w:szCs w:val="18"/>
                    </w:rPr>
                    <w:t>2.88</w:t>
                  </w:r>
                </w:p>
              </w:tc>
              <w:tc>
                <w:tcPr>
                  <w:tcW w:w="555" w:type="pct"/>
                  <w:tcBorders>
                    <w:top w:val="nil"/>
                    <w:left w:val="nil"/>
                    <w:bottom w:val="nil"/>
                    <w:right w:val="nil"/>
                  </w:tcBorders>
                  <w:shd w:val="clear" w:color="auto" w:fill="auto"/>
                  <w:vAlign w:val="bottom"/>
                </w:tcPr>
                <w:p w14:paraId="7954C8A0"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2.07</w:t>
                  </w:r>
                </w:p>
              </w:tc>
              <w:tc>
                <w:tcPr>
                  <w:tcW w:w="555" w:type="pct"/>
                  <w:tcBorders>
                    <w:top w:val="nil"/>
                    <w:left w:val="nil"/>
                    <w:bottom w:val="nil"/>
                    <w:right w:val="nil"/>
                  </w:tcBorders>
                  <w:shd w:val="clear" w:color="auto" w:fill="auto"/>
                  <w:vAlign w:val="bottom"/>
                </w:tcPr>
                <w:p w14:paraId="7954C8A1"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2.00</w:t>
                  </w:r>
                </w:p>
              </w:tc>
              <w:tc>
                <w:tcPr>
                  <w:tcW w:w="555" w:type="pct"/>
                  <w:tcBorders>
                    <w:top w:val="nil"/>
                    <w:left w:val="nil"/>
                    <w:bottom w:val="nil"/>
                    <w:right w:val="nil"/>
                  </w:tcBorders>
                  <w:shd w:val="clear" w:color="auto" w:fill="auto"/>
                  <w:vAlign w:val="bottom"/>
                </w:tcPr>
                <w:p w14:paraId="7954C8A2"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1.64</w:t>
                  </w:r>
                </w:p>
              </w:tc>
              <w:tc>
                <w:tcPr>
                  <w:tcW w:w="553" w:type="pct"/>
                  <w:tcBorders>
                    <w:top w:val="nil"/>
                    <w:left w:val="nil"/>
                    <w:bottom w:val="nil"/>
                    <w:right w:val="nil"/>
                  </w:tcBorders>
                  <w:shd w:val="clear" w:color="auto" w:fill="auto"/>
                  <w:vAlign w:val="bottom"/>
                </w:tcPr>
                <w:p w14:paraId="7954C8A3"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0.92</w:t>
                  </w:r>
                </w:p>
              </w:tc>
            </w:tr>
            <w:tr w:rsidR="00F05DC7" w:rsidRPr="00A75ED1" w14:paraId="7954C8AE" w14:textId="77777777" w:rsidTr="00A3786D">
              <w:tc>
                <w:tcPr>
                  <w:tcW w:w="556" w:type="pct"/>
                </w:tcPr>
                <w:p w14:paraId="7954C8A5"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8A6" w14:textId="77777777" w:rsidR="00F05DC7" w:rsidRPr="00911F46" w:rsidRDefault="00F05DC7" w:rsidP="00A3786D">
                  <w:pPr>
                    <w:pStyle w:val="TableBodyText"/>
                    <w:rPr>
                      <w:rFonts w:cs="Arial"/>
                      <w:szCs w:val="18"/>
                    </w:rPr>
                  </w:pPr>
                  <w:r w:rsidRPr="00911F46">
                    <w:rPr>
                      <w:rFonts w:cs="Arial"/>
                      <w:color w:val="000000"/>
                      <w:szCs w:val="18"/>
                    </w:rPr>
                    <w:t>1.80</w:t>
                  </w:r>
                </w:p>
              </w:tc>
              <w:tc>
                <w:tcPr>
                  <w:tcW w:w="557" w:type="pct"/>
                  <w:tcBorders>
                    <w:top w:val="nil"/>
                    <w:left w:val="nil"/>
                    <w:bottom w:val="nil"/>
                    <w:right w:val="nil"/>
                  </w:tcBorders>
                  <w:shd w:val="clear" w:color="auto" w:fill="auto"/>
                  <w:vAlign w:val="bottom"/>
                </w:tcPr>
                <w:p w14:paraId="7954C8A7"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0.48</w:t>
                  </w:r>
                </w:p>
              </w:tc>
              <w:tc>
                <w:tcPr>
                  <w:tcW w:w="556" w:type="pct"/>
                  <w:tcBorders>
                    <w:top w:val="nil"/>
                    <w:left w:val="nil"/>
                    <w:bottom w:val="nil"/>
                    <w:right w:val="nil"/>
                  </w:tcBorders>
                  <w:shd w:val="clear" w:color="auto" w:fill="auto"/>
                  <w:vAlign w:val="bottom"/>
                </w:tcPr>
                <w:p w14:paraId="7954C8A8"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2.35</w:t>
                  </w:r>
                </w:p>
              </w:tc>
              <w:tc>
                <w:tcPr>
                  <w:tcW w:w="556" w:type="pct"/>
                  <w:tcBorders>
                    <w:top w:val="nil"/>
                    <w:left w:val="nil"/>
                    <w:bottom w:val="nil"/>
                    <w:right w:val="nil"/>
                  </w:tcBorders>
                  <w:shd w:val="clear" w:color="auto" w:fill="auto"/>
                  <w:vAlign w:val="bottom"/>
                </w:tcPr>
                <w:p w14:paraId="7954C8A9" w14:textId="77777777" w:rsidR="00F05DC7" w:rsidRPr="00911F46" w:rsidRDefault="00F05DC7" w:rsidP="00A3786D">
                  <w:pPr>
                    <w:pStyle w:val="TableBodyText"/>
                    <w:rPr>
                      <w:rFonts w:cs="Arial"/>
                      <w:szCs w:val="18"/>
                    </w:rPr>
                  </w:pPr>
                  <w:r w:rsidRPr="00911F46">
                    <w:rPr>
                      <w:rFonts w:cs="Arial"/>
                      <w:color w:val="000000"/>
                      <w:szCs w:val="18"/>
                    </w:rPr>
                    <w:t>2.90</w:t>
                  </w:r>
                </w:p>
              </w:tc>
              <w:tc>
                <w:tcPr>
                  <w:tcW w:w="555" w:type="pct"/>
                  <w:tcBorders>
                    <w:top w:val="nil"/>
                    <w:left w:val="nil"/>
                    <w:bottom w:val="nil"/>
                    <w:right w:val="nil"/>
                  </w:tcBorders>
                  <w:shd w:val="clear" w:color="auto" w:fill="auto"/>
                  <w:vAlign w:val="bottom"/>
                </w:tcPr>
                <w:p w14:paraId="7954C8AA"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2.41</w:t>
                  </w:r>
                </w:p>
              </w:tc>
              <w:tc>
                <w:tcPr>
                  <w:tcW w:w="555" w:type="pct"/>
                  <w:tcBorders>
                    <w:top w:val="nil"/>
                    <w:left w:val="nil"/>
                    <w:bottom w:val="nil"/>
                    <w:right w:val="nil"/>
                  </w:tcBorders>
                  <w:shd w:val="clear" w:color="auto" w:fill="auto"/>
                  <w:vAlign w:val="bottom"/>
                </w:tcPr>
                <w:p w14:paraId="7954C8AB"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2.32</w:t>
                  </w:r>
                </w:p>
              </w:tc>
              <w:tc>
                <w:tcPr>
                  <w:tcW w:w="555" w:type="pct"/>
                  <w:tcBorders>
                    <w:top w:val="nil"/>
                    <w:left w:val="nil"/>
                    <w:bottom w:val="nil"/>
                    <w:right w:val="nil"/>
                  </w:tcBorders>
                  <w:shd w:val="clear" w:color="auto" w:fill="auto"/>
                  <w:vAlign w:val="bottom"/>
                </w:tcPr>
                <w:p w14:paraId="7954C8AC"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1.90</w:t>
                  </w:r>
                </w:p>
              </w:tc>
              <w:tc>
                <w:tcPr>
                  <w:tcW w:w="553" w:type="pct"/>
                  <w:tcBorders>
                    <w:top w:val="nil"/>
                    <w:left w:val="nil"/>
                    <w:bottom w:val="nil"/>
                    <w:right w:val="nil"/>
                  </w:tcBorders>
                  <w:shd w:val="clear" w:color="auto" w:fill="auto"/>
                  <w:vAlign w:val="bottom"/>
                </w:tcPr>
                <w:p w14:paraId="7954C8AD"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1.06</w:t>
                  </w:r>
                </w:p>
              </w:tc>
            </w:tr>
            <w:tr w:rsidR="00F05DC7" w:rsidRPr="00A75ED1" w14:paraId="7954C8B8" w14:textId="77777777" w:rsidTr="00A3786D">
              <w:tc>
                <w:tcPr>
                  <w:tcW w:w="556" w:type="pct"/>
                  <w:tcBorders>
                    <w:bottom w:val="single" w:sz="6" w:space="0" w:color="D9D9D9" w:themeColor="background1" w:themeShade="D9"/>
                  </w:tcBorders>
                </w:tcPr>
                <w:p w14:paraId="7954C8AF"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bottom w:val="single" w:sz="6" w:space="0" w:color="D9D9D9" w:themeColor="background1" w:themeShade="D9"/>
                    <w:right w:val="nil"/>
                  </w:tcBorders>
                  <w:shd w:val="clear" w:color="auto" w:fill="auto"/>
                  <w:vAlign w:val="bottom"/>
                </w:tcPr>
                <w:p w14:paraId="7954C8B0" w14:textId="77777777" w:rsidR="00F05DC7" w:rsidRPr="00911F46" w:rsidRDefault="00F05DC7" w:rsidP="00A3786D">
                  <w:pPr>
                    <w:pStyle w:val="TableBodyText"/>
                    <w:rPr>
                      <w:rFonts w:cs="Arial"/>
                      <w:szCs w:val="18"/>
                    </w:rPr>
                  </w:pPr>
                  <w:r w:rsidRPr="00911F46">
                    <w:rPr>
                      <w:rFonts w:cs="Arial"/>
                      <w:color w:val="000000"/>
                      <w:szCs w:val="18"/>
                    </w:rPr>
                    <w:t>1.96</w:t>
                  </w:r>
                </w:p>
              </w:tc>
              <w:tc>
                <w:tcPr>
                  <w:tcW w:w="557" w:type="pct"/>
                  <w:tcBorders>
                    <w:top w:val="nil"/>
                    <w:left w:val="nil"/>
                    <w:bottom w:val="single" w:sz="6" w:space="0" w:color="D9D9D9" w:themeColor="background1" w:themeShade="D9"/>
                    <w:right w:val="nil"/>
                  </w:tcBorders>
                  <w:shd w:val="clear" w:color="auto" w:fill="auto"/>
                  <w:vAlign w:val="bottom"/>
                </w:tcPr>
                <w:p w14:paraId="7954C8B1"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0.35</w:t>
                  </w:r>
                </w:p>
              </w:tc>
              <w:tc>
                <w:tcPr>
                  <w:tcW w:w="556" w:type="pct"/>
                  <w:tcBorders>
                    <w:top w:val="nil"/>
                    <w:left w:val="nil"/>
                    <w:bottom w:val="single" w:sz="6" w:space="0" w:color="D9D9D9" w:themeColor="background1" w:themeShade="D9"/>
                    <w:right w:val="nil"/>
                  </w:tcBorders>
                  <w:shd w:val="clear" w:color="auto" w:fill="auto"/>
                  <w:vAlign w:val="bottom"/>
                </w:tcPr>
                <w:p w14:paraId="7954C8B2"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2.70</w:t>
                  </w:r>
                </w:p>
              </w:tc>
              <w:tc>
                <w:tcPr>
                  <w:tcW w:w="556" w:type="pct"/>
                  <w:tcBorders>
                    <w:top w:val="nil"/>
                    <w:left w:val="nil"/>
                    <w:bottom w:val="single" w:sz="6" w:space="0" w:color="D9D9D9" w:themeColor="background1" w:themeShade="D9"/>
                    <w:right w:val="nil"/>
                  </w:tcBorders>
                  <w:shd w:val="clear" w:color="auto" w:fill="auto"/>
                  <w:vAlign w:val="bottom"/>
                </w:tcPr>
                <w:p w14:paraId="7954C8B3" w14:textId="77777777" w:rsidR="00F05DC7" w:rsidRPr="00911F46" w:rsidRDefault="00F05DC7" w:rsidP="00A3786D">
                  <w:pPr>
                    <w:pStyle w:val="TableBodyText"/>
                    <w:rPr>
                      <w:rFonts w:cs="Arial"/>
                      <w:szCs w:val="18"/>
                    </w:rPr>
                  </w:pPr>
                  <w:r w:rsidRPr="00911F46">
                    <w:rPr>
                      <w:rFonts w:cs="Arial"/>
                      <w:color w:val="000000"/>
                      <w:szCs w:val="18"/>
                    </w:rPr>
                    <w:t>3.11</w:t>
                  </w:r>
                </w:p>
              </w:tc>
              <w:tc>
                <w:tcPr>
                  <w:tcW w:w="555" w:type="pct"/>
                  <w:tcBorders>
                    <w:top w:val="nil"/>
                    <w:left w:val="nil"/>
                    <w:bottom w:val="single" w:sz="6" w:space="0" w:color="D9D9D9" w:themeColor="background1" w:themeShade="D9"/>
                    <w:right w:val="nil"/>
                  </w:tcBorders>
                  <w:shd w:val="clear" w:color="auto" w:fill="auto"/>
                  <w:vAlign w:val="bottom"/>
                </w:tcPr>
                <w:p w14:paraId="7954C8B4"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2.75</w:t>
                  </w:r>
                </w:p>
              </w:tc>
              <w:tc>
                <w:tcPr>
                  <w:tcW w:w="555" w:type="pct"/>
                  <w:tcBorders>
                    <w:top w:val="nil"/>
                    <w:left w:val="nil"/>
                    <w:bottom w:val="single" w:sz="6" w:space="0" w:color="D9D9D9" w:themeColor="background1" w:themeShade="D9"/>
                    <w:right w:val="nil"/>
                  </w:tcBorders>
                  <w:shd w:val="clear" w:color="auto" w:fill="auto"/>
                  <w:vAlign w:val="bottom"/>
                </w:tcPr>
                <w:p w14:paraId="7954C8B5"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2.64</w:t>
                  </w:r>
                </w:p>
              </w:tc>
              <w:tc>
                <w:tcPr>
                  <w:tcW w:w="555" w:type="pct"/>
                  <w:tcBorders>
                    <w:top w:val="nil"/>
                    <w:left w:val="nil"/>
                    <w:bottom w:val="single" w:sz="6" w:space="0" w:color="D9D9D9" w:themeColor="background1" w:themeShade="D9"/>
                    <w:right w:val="nil"/>
                  </w:tcBorders>
                  <w:shd w:val="clear" w:color="auto" w:fill="auto"/>
                  <w:vAlign w:val="bottom"/>
                </w:tcPr>
                <w:p w14:paraId="7954C8B6"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2.16</w:t>
                  </w:r>
                </w:p>
              </w:tc>
              <w:tc>
                <w:tcPr>
                  <w:tcW w:w="553" w:type="pct"/>
                  <w:tcBorders>
                    <w:top w:val="nil"/>
                    <w:left w:val="nil"/>
                    <w:bottom w:val="single" w:sz="6" w:space="0" w:color="D9D9D9" w:themeColor="background1" w:themeShade="D9"/>
                    <w:right w:val="nil"/>
                  </w:tcBorders>
                  <w:shd w:val="clear" w:color="auto" w:fill="auto"/>
                  <w:vAlign w:val="bottom"/>
                </w:tcPr>
                <w:p w14:paraId="7954C8B7"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1.20</w:t>
                  </w:r>
                </w:p>
              </w:tc>
            </w:tr>
          </w:tbl>
          <w:p w14:paraId="7954C8B9" w14:textId="77777777" w:rsidR="00F05DC7" w:rsidRDefault="00F05DC7" w:rsidP="00A3786D">
            <w:pPr>
              <w:pStyle w:val="Box"/>
            </w:pPr>
          </w:p>
        </w:tc>
      </w:tr>
      <w:tr w:rsidR="00F05DC7" w14:paraId="7954C8BC" w14:textId="77777777" w:rsidTr="00A3786D">
        <w:tc>
          <w:tcPr>
            <w:tcW w:w="5000" w:type="pct"/>
            <w:tcBorders>
              <w:top w:val="nil"/>
              <w:left w:val="nil"/>
              <w:bottom w:val="nil"/>
              <w:right w:val="nil"/>
            </w:tcBorders>
            <w:shd w:val="clear" w:color="auto" w:fill="auto"/>
          </w:tcPr>
          <w:p w14:paraId="7954C8BB" w14:textId="77777777" w:rsidR="00F05DC7" w:rsidRDefault="00F05DC7" w:rsidP="00A3786D">
            <w:pPr>
              <w:pStyle w:val="Source"/>
            </w:pPr>
            <w:r>
              <w:rPr>
                <w:i/>
              </w:rPr>
              <w:t>Source</w:t>
            </w:r>
            <w:r w:rsidRPr="00167F06">
              <w:t>:</w:t>
            </w:r>
            <w:r>
              <w:t xml:space="preserve"> </w:t>
            </w:r>
            <w:r w:rsidRPr="00B72C6A">
              <w:t xml:space="preserve">Productivity </w:t>
            </w:r>
            <w:r w:rsidRPr="00676CAE">
              <w:t>Commission estimates.</w:t>
            </w:r>
            <w:r>
              <w:rPr>
                <w:i/>
              </w:rPr>
              <w:t xml:space="preserve"> </w:t>
            </w:r>
          </w:p>
        </w:tc>
      </w:tr>
      <w:tr w:rsidR="00F05DC7" w14:paraId="7954C8BE" w14:textId="77777777" w:rsidTr="00A3786D">
        <w:tc>
          <w:tcPr>
            <w:tcW w:w="5000" w:type="pct"/>
            <w:tcBorders>
              <w:top w:val="nil"/>
              <w:left w:val="nil"/>
              <w:bottom w:val="single" w:sz="6" w:space="0" w:color="78A22F"/>
              <w:right w:val="nil"/>
            </w:tcBorders>
            <w:shd w:val="clear" w:color="auto" w:fill="auto"/>
          </w:tcPr>
          <w:p w14:paraId="7954C8BD" w14:textId="77777777" w:rsidR="00F05DC7" w:rsidRDefault="00F05DC7" w:rsidP="00A3786D">
            <w:pPr>
              <w:pStyle w:val="Box"/>
              <w:spacing w:before="0" w:line="120" w:lineRule="exact"/>
            </w:pPr>
          </w:p>
        </w:tc>
      </w:tr>
      <w:tr w:rsidR="00F05DC7" w:rsidRPr="000863A5" w14:paraId="7954C8C0" w14:textId="77777777" w:rsidTr="00A3786D">
        <w:tc>
          <w:tcPr>
            <w:tcW w:w="5000" w:type="pct"/>
            <w:tcBorders>
              <w:top w:val="single" w:sz="6" w:space="0" w:color="78A22F"/>
              <w:left w:val="nil"/>
              <w:bottom w:val="nil"/>
              <w:right w:val="nil"/>
            </w:tcBorders>
          </w:tcPr>
          <w:p w14:paraId="7954C8BF" w14:textId="77777777" w:rsidR="00F05DC7" w:rsidRPr="00626D32" w:rsidRDefault="00F05DC7" w:rsidP="00A3786D">
            <w:pPr>
              <w:pStyle w:val="BoxSpaceBelow"/>
            </w:pPr>
          </w:p>
        </w:tc>
      </w:tr>
    </w:tbl>
    <w:p w14:paraId="7954C8C1"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8C4" w14:textId="77777777" w:rsidTr="00A3786D">
        <w:trPr>
          <w:tblHeader/>
        </w:trPr>
        <w:tc>
          <w:tcPr>
            <w:tcW w:w="5000" w:type="pct"/>
            <w:tcBorders>
              <w:top w:val="single" w:sz="6" w:space="0" w:color="78A22F"/>
              <w:left w:val="nil"/>
              <w:bottom w:val="nil"/>
              <w:right w:val="nil"/>
            </w:tcBorders>
            <w:shd w:val="clear" w:color="auto" w:fill="auto"/>
          </w:tcPr>
          <w:p w14:paraId="7954C8C2" w14:textId="77777777" w:rsidR="00F05DC7" w:rsidRDefault="00F05DC7" w:rsidP="00A3786D">
            <w:pPr>
              <w:pStyle w:val="FigureTitle"/>
            </w:pPr>
            <w:r w:rsidRPr="00784A05">
              <w:rPr>
                <w:b w:val="0"/>
              </w:rPr>
              <w:t xml:space="preserve">Figure </w:t>
            </w:r>
            <w:r>
              <w:rPr>
                <w:b w:val="0"/>
              </w:rPr>
              <w:t>F.7</w:t>
            </w:r>
            <w:r>
              <w:tab/>
              <w:t xml:space="preserve">Two transition paths to phase the GST impacts over time </w:t>
            </w:r>
          </w:p>
          <w:p w14:paraId="7954C8C3" w14:textId="77777777" w:rsidR="00F05DC7" w:rsidRPr="00176D3F" w:rsidRDefault="00F05DC7" w:rsidP="00A3786D">
            <w:pPr>
              <w:pStyle w:val="Subtitle"/>
            </w:pPr>
            <w:r>
              <w:t>Transitioning to ETA: change in GST payments (relative to current benchmark) as a share of State revenue, best estimate scenario, 2019</w:t>
            </w:r>
            <w:r>
              <w:noBreakHyphen/>
              <w:t>20 to 2026</w:t>
            </w:r>
            <w:r>
              <w:noBreakHyphen/>
              <w:t>27</w:t>
            </w:r>
          </w:p>
        </w:tc>
      </w:tr>
      <w:tr w:rsidR="00F05DC7" w14:paraId="7954C8CE" w14:textId="77777777" w:rsidTr="00A3786D">
        <w:tc>
          <w:tcPr>
            <w:tcW w:w="5000" w:type="pct"/>
            <w:tcBorders>
              <w:top w:val="nil"/>
              <w:left w:val="nil"/>
              <w:bottom w:val="nil"/>
              <w:right w:val="nil"/>
            </w:tcBorders>
            <w:shd w:val="clear" w:color="auto" w:fill="auto"/>
            <w:tcMar>
              <w:top w:w="28" w:type="dxa"/>
              <w:bottom w:w="28" w:type="dxa"/>
            </w:tcMar>
          </w:tcPr>
          <w:p w14:paraId="7954C8CD" w14:textId="2A616D45" w:rsidR="00F05DC7" w:rsidRPr="00980DCD" w:rsidRDefault="008C3DEF" w:rsidP="00980DCD">
            <w:pPr>
              <w:pStyle w:val="Figure"/>
              <w:spacing w:before="60" w:after="60"/>
              <w:rPr>
                <w:rFonts w:ascii="Arial" w:hAnsi="Arial" w:cs="Arial"/>
                <w:sz w:val="18"/>
                <w:szCs w:val="18"/>
              </w:rPr>
            </w:pPr>
            <w:r w:rsidRPr="008C3DEF">
              <w:rPr>
                <w:rFonts w:ascii="Arial" w:hAnsi="Arial" w:cs="Arial"/>
                <w:noProof/>
                <w:sz w:val="18"/>
                <w:szCs w:val="18"/>
              </w:rPr>
              <w:drawing>
                <wp:inline distT="0" distB="0" distL="0" distR="0" wp14:anchorId="0400A0BA" wp14:editId="0BE83DCF">
                  <wp:extent cx="5272645" cy="7163398"/>
                  <wp:effectExtent l="0" t="0" r="4445" b="0"/>
                  <wp:docPr id="26" name="Picture 26" descr="Under a four year transition to equalising to the average, New South Wales experiences a gain in GST payments of just over 2 per cent of State revenue by 2022-23. Under an eight year transition, the revenue gains are spread over a longer time period, reaching a maximum of nearly 2 per cent by 2026-27.&#10;For Victoria, the largest reduction in its GST payments (relative to what it would have received under the current benchmark) with a four transition occurs in 2022-23, when GST payments as a proportion of State revenue fall by about 1.25 per cent. GST payments steadily trend back upwards. With an eight year transition, the largest decline is 0.64 per cent of State revenue.&#10;Queensland’s revenue declines under a four year transition by a maximum of about 2.7 per cent of total State revenue in 2022-23. The maximum decline under an eight year transition is about the same (in 2026-27).&#10;Under a four year transition, Western Australia experiences an maximum increase in their GST payments of about 5.2 per cent of total State revenue in 2022-23, before decreasing to a gain of about 3.1 per cent in 2026-27. For an eight year transition, the maximum gain is 3.1 per cent in 2026-27.&#10;South Australia, Tasmania and the ACT all experience a similar reduction in their GST payments. Under a four year transition they decrease by about 2.8 per cent of total State revenue by 2022-23, and stay at about that proportion lower until 2026-27. With an eight year transition GST payments trend steadily downwards until 2026-27, where they are projected to be about 2.8 per cent lower as a proportion of State revenue. &#10;Under a four year transition, GST payments to the Northern Territory decrease by about 1.3 per cent of total State revenue by 2022-23, and stay at about that proportion lower until 2026-27. With an eight year transition GST payments trend steadily downwards until 2026-27, where they are projected to be about 1.2 per cent lower as a proportion of State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r="1816"/>
                          <a:stretch/>
                        </pic:blipFill>
                        <pic:spPr bwMode="auto">
                          <a:xfrm>
                            <a:off x="0" y="0"/>
                            <a:ext cx="5279619" cy="7172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5DC7" w:rsidRPr="00176D3F" w14:paraId="7954C8D0" w14:textId="77777777" w:rsidTr="00A3786D">
        <w:tc>
          <w:tcPr>
            <w:tcW w:w="5000" w:type="pct"/>
            <w:tcBorders>
              <w:top w:val="nil"/>
              <w:left w:val="nil"/>
              <w:bottom w:val="nil"/>
              <w:right w:val="nil"/>
            </w:tcBorders>
            <w:shd w:val="clear" w:color="auto" w:fill="auto"/>
          </w:tcPr>
          <w:p w14:paraId="7954C8CF" w14:textId="77777777" w:rsidR="00F05DC7" w:rsidRPr="00176D3F" w:rsidRDefault="00F05DC7" w:rsidP="00A3786D">
            <w:pPr>
              <w:pStyle w:val="Source"/>
            </w:pPr>
            <w:r>
              <w:rPr>
                <w:i/>
              </w:rPr>
              <w:t>S</w:t>
            </w:r>
            <w:r w:rsidRPr="00784A05">
              <w:rPr>
                <w:i/>
              </w:rPr>
              <w:t>ource</w:t>
            </w:r>
            <w:r w:rsidRPr="00176D3F">
              <w:t xml:space="preserve">: </w:t>
            </w:r>
            <w:r w:rsidRPr="00B72C6A">
              <w:t>P</w:t>
            </w:r>
            <w:r w:rsidRPr="00DF0A9F">
              <w:t xml:space="preserve">roductivity </w:t>
            </w:r>
            <w:r w:rsidRPr="00FE3820">
              <w:t>Commission estimates</w:t>
            </w:r>
            <w:r>
              <w:t>.</w:t>
            </w:r>
          </w:p>
        </w:tc>
      </w:tr>
      <w:tr w:rsidR="00F05DC7" w14:paraId="7954C8D2" w14:textId="77777777" w:rsidTr="00A3786D">
        <w:tc>
          <w:tcPr>
            <w:tcW w:w="5000" w:type="pct"/>
            <w:tcBorders>
              <w:top w:val="nil"/>
              <w:left w:val="nil"/>
              <w:bottom w:val="single" w:sz="6" w:space="0" w:color="78A22F"/>
              <w:right w:val="nil"/>
            </w:tcBorders>
            <w:shd w:val="clear" w:color="auto" w:fill="auto"/>
          </w:tcPr>
          <w:p w14:paraId="7954C8D1" w14:textId="77777777" w:rsidR="00F05DC7" w:rsidRDefault="00F05DC7" w:rsidP="00A3786D">
            <w:pPr>
              <w:pStyle w:val="Figurespace"/>
            </w:pPr>
          </w:p>
        </w:tc>
      </w:tr>
      <w:tr w:rsidR="00F05DC7" w:rsidRPr="000863A5" w14:paraId="7954C8D4" w14:textId="77777777" w:rsidTr="00A3786D">
        <w:tc>
          <w:tcPr>
            <w:tcW w:w="5000" w:type="pct"/>
            <w:tcBorders>
              <w:top w:val="single" w:sz="6" w:space="0" w:color="78A22F"/>
              <w:left w:val="nil"/>
              <w:bottom w:val="nil"/>
              <w:right w:val="nil"/>
            </w:tcBorders>
          </w:tcPr>
          <w:p w14:paraId="7954C8D3" w14:textId="77777777" w:rsidR="00F05DC7" w:rsidRPr="00626D32" w:rsidRDefault="00F05DC7" w:rsidP="00A3786D">
            <w:pPr>
              <w:pStyle w:val="BoxSpaceBelow"/>
            </w:pPr>
          </w:p>
        </w:tc>
      </w:tr>
    </w:tbl>
    <w:p w14:paraId="7954C8D5"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8D8" w14:textId="77777777" w:rsidTr="00A3786D">
        <w:trPr>
          <w:tblHeader/>
        </w:trPr>
        <w:tc>
          <w:tcPr>
            <w:tcW w:w="5000" w:type="pct"/>
            <w:tcBorders>
              <w:top w:val="single" w:sz="6" w:space="0" w:color="78A22F"/>
              <w:left w:val="nil"/>
              <w:bottom w:val="nil"/>
              <w:right w:val="nil"/>
            </w:tcBorders>
            <w:shd w:val="clear" w:color="auto" w:fill="auto"/>
          </w:tcPr>
          <w:p w14:paraId="7954C8D6" w14:textId="77777777" w:rsidR="00F05DC7" w:rsidRDefault="00F05DC7" w:rsidP="00A3786D">
            <w:pPr>
              <w:pStyle w:val="FigureTitle"/>
            </w:pPr>
            <w:r w:rsidRPr="00784A05">
              <w:rPr>
                <w:b w:val="0"/>
              </w:rPr>
              <w:t xml:space="preserve">Figure </w:t>
            </w:r>
            <w:r>
              <w:rPr>
                <w:b w:val="0"/>
              </w:rPr>
              <w:t>F.8</w:t>
            </w:r>
            <w:r>
              <w:tab/>
              <w:t>Transitioning to ETA: change in GST payments</w:t>
            </w:r>
          </w:p>
          <w:p w14:paraId="7954C8D7" w14:textId="77777777" w:rsidR="00F05DC7" w:rsidRPr="00176D3F" w:rsidRDefault="00F05DC7" w:rsidP="00A3786D">
            <w:pPr>
              <w:pStyle w:val="Subtitle"/>
            </w:pPr>
            <w:r>
              <w:t>Transitioning to ETA: change in GST payments (relative to the current benchmark), best estimate scenario, 2019</w:t>
            </w:r>
            <w:r>
              <w:noBreakHyphen/>
              <w:t>20 to 2026</w:t>
            </w:r>
            <w:r>
              <w:noBreakHyphen/>
              <w:t>27</w:t>
            </w:r>
            <w:r w:rsidDel="00826411">
              <w:t xml:space="preserve"> </w:t>
            </w:r>
          </w:p>
        </w:tc>
      </w:tr>
      <w:tr w:rsidR="00F05DC7" w14:paraId="7954C8E0" w14:textId="77777777" w:rsidTr="00A378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05DC7" w:rsidRPr="00B1465D" w14:paraId="7954C8DA" w14:textId="77777777" w:rsidTr="00A3786D">
              <w:trPr>
                <w:trHeight w:val="223"/>
                <w:tblHeader/>
                <w:jc w:val="center"/>
              </w:trPr>
              <w:tc>
                <w:tcPr>
                  <w:tcW w:w="5000" w:type="pct"/>
                  <w:tcBorders>
                    <w:top w:val="nil"/>
                    <w:bottom w:val="nil"/>
                  </w:tcBorders>
                </w:tcPr>
                <w:p w14:paraId="7954C8D9" w14:textId="77777777" w:rsidR="00F05DC7" w:rsidRPr="00B1465D" w:rsidRDefault="00F05DC7" w:rsidP="00A3786D">
                  <w:pPr>
                    <w:pStyle w:val="Figure"/>
                    <w:spacing w:before="60" w:after="60"/>
                    <w:rPr>
                      <w:rFonts w:ascii="Arial" w:hAnsi="Arial" w:cs="Arial"/>
                      <w:sz w:val="18"/>
                      <w:szCs w:val="18"/>
                    </w:rPr>
                  </w:pPr>
                  <w:r w:rsidRPr="00DB415B">
                    <w:rPr>
                      <w:rFonts w:ascii="Arial" w:hAnsi="Arial" w:cs="Arial"/>
                      <w:noProof/>
                      <w:sz w:val="18"/>
                      <w:szCs w:val="18"/>
                    </w:rPr>
                    <w:drawing>
                      <wp:inline distT="0" distB="0" distL="0" distR="0" wp14:anchorId="7954D6A3" wp14:editId="7954D6A4">
                        <wp:extent cx="5448935" cy="2469515"/>
                        <wp:effectExtent l="0" t="0" r="0" b="6985"/>
                        <wp:docPr id="234" name="Picture 234" descr="This figure shows the change in GST payments in millions of dollars to the larger States under a transition to equalising to the average, relative to the current benchmark. New South Wales and Western Australia experience an increase in GST payments (a maximum of about $2100 million in New South Wales in 2025-26 and about $1850 million in Western Australia in 2022-23). Victoria and Queensland experience a reduction in GST payments (a maximum of about $975 million in Victoria in 2022-23 and a maximum of about $1960 million in Queensland in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48935" cy="2469515"/>
                                </a:xfrm>
                                <a:prstGeom prst="rect">
                                  <a:avLst/>
                                </a:prstGeom>
                                <a:noFill/>
                                <a:ln>
                                  <a:noFill/>
                                </a:ln>
                              </pic:spPr>
                            </pic:pic>
                          </a:graphicData>
                        </a:graphic>
                      </wp:inline>
                    </w:drawing>
                  </w:r>
                </w:p>
              </w:tc>
            </w:tr>
            <w:tr w:rsidR="00F05DC7" w:rsidRPr="00B1465D" w14:paraId="7954C8DC" w14:textId="77777777" w:rsidTr="00A3786D">
              <w:trPr>
                <w:trHeight w:val="223"/>
                <w:tblHeader/>
                <w:jc w:val="center"/>
              </w:trPr>
              <w:tc>
                <w:tcPr>
                  <w:tcW w:w="5000" w:type="pct"/>
                  <w:tcBorders>
                    <w:top w:val="nil"/>
                    <w:bottom w:val="nil"/>
                  </w:tcBorders>
                </w:tcPr>
                <w:p w14:paraId="7954C8DB" w14:textId="77777777" w:rsidR="00F05DC7" w:rsidRPr="00B1465D" w:rsidRDefault="00F05DC7" w:rsidP="00A3786D">
                  <w:pPr>
                    <w:pStyle w:val="Figure"/>
                    <w:spacing w:before="60" w:after="60"/>
                    <w:rPr>
                      <w:rFonts w:ascii="Arial" w:hAnsi="Arial" w:cs="Arial"/>
                      <w:sz w:val="18"/>
                      <w:szCs w:val="18"/>
                    </w:rPr>
                  </w:pPr>
                  <w:r w:rsidRPr="00DB415B">
                    <w:rPr>
                      <w:rFonts w:ascii="Arial" w:hAnsi="Arial" w:cs="Arial"/>
                      <w:noProof/>
                      <w:sz w:val="18"/>
                      <w:szCs w:val="18"/>
                    </w:rPr>
                    <w:drawing>
                      <wp:inline distT="0" distB="0" distL="0" distR="0" wp14:anchorId="7954D6A5" wp14:editId="7954D6A6">
                        <wp:extent cx="5429885" cy="2356485"/>
                        <wp:effectExtent l="0" t="0" r="0" b="5715"/>
                        <wp:docPr id="235" name="Picture 235" descr="This figure shows the change in GST payments in millions of dollars to the smaller States under a transition to equalising to the average, relative to the current benchmark. Each of the South Australia, Tasmania, the ACT and the NT experience a reduction in their payments under both transition paths over the projection period. The largest reductions are of about $640 million (South Australia), $190 million (Tasmania), $165 million (the ACT) and $88 million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429885" cy="2356485"/>
                                </a:xfrm>
                                <a:prstGeom prst="rect">
                                  <a:avLst/>
                                </a:prstGeom>
                                <a:noFill/>
                                <a:ln>
                                  <a:noFill/>
                                </a:ln>
                              </pic:spPr>
                            </pic:pic>
                          </a:graphicData>
                        </a:graphic>
                      </wp:inline>
                    </w:drawing>
                  </w:r>
                </w:p>
              </w:tc>
            </w:tr>
            <w:tr w:rsidR="00F05DC7" w:rsidRPr="00B1465D" w14:paraId="7954C8DE" w14:textId="77777777" w:rsidTr="00A3786D">
              <w:trPr>
                <w:trHeight w:val="222"/>
                <w:tblHeader/>
                <w:jc w:val="center"/>
              </w:trPr>
              <w:tc>
                <w:tcPr>
                  <w:tcW w:w="5000" w:type="pct"/>
                  <w:tcBorders>
                    <w:top w:val="nil"/>
                    <w:bottom w:val="nil"/>
                  </w:tcBorders>
                </w:tcPr>
                <w:p w14:paraId="7954C8DD" w14:textId="77777777" w:rsidR="00F05DC7" w:rsidRPr="00B1465D" w:rsidRDefault="00F05DC7" w:rsidP="00A3786D">
                  <w:pPr>
                    <w:pStyle w:val="Figure"/>
                    <w:spacing w:before="60" w:after="60"/>
                    <w:rPr>
                      <w:rFonts w:ascii="Arial" w:hAnsi="Arial" w:cs="Arial"/>
                      <w:sz w:val="18"/>
                      <w:szCs w:val="18"/>
                    </w:rPr>
                  </w:pPr>
                  <w:r w:rsidRPr="00DB415B">
                    <w:rPr>
                      <w:rFonts w:ascii="Arial" w:hAnsi="Arial" w:cs="Arial"/>
                      <w:noProof/>
                      <w:sz w:val="18"/>
                      <w:szCs w:val="18"/>
                    </w:rPr>
                    <w:drawing>
                      <wp:inline distT="0" distB="0" distL="0" distR="0" wp14:anchorId="7954D6A7" wp14:editId="7954D6A8">
                        <wp:extent cx="5392420" cy="2186940"/>
                        <wp:effectExtent l="0" t="0" r="0" b="3810"/>
                        <wp:docPr id="236" name="Picture 236" descr="New South Wales and Western Australia experience an increase in GST payments per capita under a transition to equalising to the average. &#10;Under the four year transition, GST payments to Western Australia increase by about $200 per capita in 2019-12, increasing to about $675 per capita by 2022-23. With an eight year transition these figures are halved over this period. Beyond 2022-23, GST payments decrease by about $450 per capita in 2026-27 &#10;Under the four year transition, GST payments to New South wales increase by about $40 per capita in 2019-12, increasing to about $220 per capita by 2022-23. With an eight year transition these figures are halved. The increase in GST payments is about $230 in 2026-27.&#10;Victoria undergoes a reduction in GST payments per capita. This reduction fluctuates between about $40 and $140 per capita over the projection period (with an eight year transition these figures are halved). &#10;The remaining States (Queensland, South Australia Tasmania, the ACT and the NT) all have a reduction in their GST payments of about $70 per capita in 2019-20, increasing to a reduction of about $330 by 2022-23. For an eight year transition these figures are halved. The reduction in GST payments to these States is about $350 by 2026-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392420" cy="2186940"/>
                                </a:xfrm>
                                <a:prstGeom prst="rect">
                                  <a:avLst/>
                                </a:prstGeom>
                                <a:noFill/>
                                <a:ln>
                                  <a:noFill/>
                                </a:ln>
                              </pic:spPr>
                            </pic:pic>
                          </a:graphicData>
                        </a:graphic>
                      </wp:inline>
                    </w:drawing>
                  </w:r>
                </w:p>
              </w:tc>
            </w:tr>
          </w:tbl>
          <w:p w14:paraId="7954C8DF" w14:textId="77777777" w:rsidR="00F05DC7" w:rsidRDefault="00F05DC7" w:rsidP="00A3786D">
            <w:pPr>
              <w:pStyle w:val="Figure"/>
            </w:pPr>
          </w:p>
        </w:tc>
      </w:tr>
      <w:tr w:rsidR="00F05DC7" w:rsidRPr="00176D3F" w14:paraId="7954C8E2" w14:textId="77777777" w:rsidTr="00A3786D">
        <w:tc>
          <w:tcPr>
            <w:tcW w:w="5000" w:type="pct"/>
            <w:tcBorders>
              <w:top w:val="nil"/>
              <w:left w:val="nil"/>
              <w:bottom w:val="nil"/>
              <w:right w:val="nil"/>
            </w:tcBorders>
            <w:shd w:val="clear" w:color="auto" w:fill="auto"/>
          </w:tcPr>
          <w:p w14:paraId="7954C8E1" w14:textId="77777777" w:rsidR="00F05DC7" w:rsidRPr="00176D3F" w:rsidRDefault="00F05DC7" w:rsidP="00A3786D">
            <w:pPr>
              <w:pStyle w:val="Source"/>
            </w:pPr>
            <w:r>
              <w:rPr>
                <w:i/>
              </w:rPr>
              <w:t>S</w:t>
            </w:r>
            <w:r w:rsidRPr="00784A05">
              <w:rPr>
                <w:i/>
              </w:rPr>
              <w:t>ource</w:t>
            </w:r>
            <w:r w:rsidRPr="00176D3F">
              <w:t xml:space="preserve">: </w:t>
            </w:r>
            <w:r>
              <w:t xml:space="preserve">Productivity Commission estimates. </w:t>
            </w:r>
          </w:p>
        </w:tc>
      </w:tr>
      <w:tr w:rsidR="00F05DC7" w14:paraId="7954C8E4" w14:textId="77777777" w:rsidTr="00A3786D">
        <w:tc>
          <w:tcPr>
            <w:tcW w:w="5000" w:type="pct"/>
            <w:tcBorders>
              <w:top w:val="nil"/>
              <w:left w:val="nil"/>
              <w:bottom w:val="single" w:sz="6" w:space="0" w:color="78A22F"/>
              <w:right w:val="nil"/>
            </w:tcBorders>
            <w:shd w:val="clear" w:color="auto" w:fill="auto"/>
          </w:tcPr>
          <w:p w14:paraId="7954C8E3" w14:textId="77777777" w:rsidR="00F05DC7" w:rsidRDefault="00F05DC7" w:rsidP="00A3786D">
            <w:pPr>
              <w:pStyle w:val="Figurespace"/>
            </w:pPr>
          </w:p>
        </w:tc>
      </w:tr>
      <w:tr w:rsidR="00F05DC7" w:rsidRPr="000863A5" w14:paraId="7954C8E6" w14:textId="77777777" w:rsidTr="00A3786D">
        <w:tc>
          <w:tcPr>
            <w:tcW w:w="5000" w:type="pct"/>
            <w:tcBorders>
              <w:top w:val="single" w:sz="6" w:space="0" w:color="78A22F"/>
              <w:left w:val="nil"/>
              <w:bottom w:val="nil"/>
              <w:right w:val="nil"/>
            </w:tcBorders>
          </w:tcPr>
          <w:p w14:paraId="7954C8E5" w14:textId="77777777" w:rsidR="00F05DC7" w:rsidRPr="00626D32" w:rsidRDefault="00F05DC7" w:rsidP="00A3786D">
            <w:pPr>
              <w:pStyle w:val="BoxSpaceBelow"/>
            </w:pPr>
          </w:p>
        </w:tc>
      </w:tr>
    </w:tbl>
    <w:p w14:paraId="7954C8E7" w14:textId="77777777" w:rsidR="00F05DC7" w:rsidRDefault="00F05DC7" w:rsidP="00A3786D">
      <w:pPr>
        <w:pStyle w:val="Heading4"/>
      </w:pPr>
      <w:r>
        <w:lastRenderedPageBreak/>
        <w:t>The year</w:t>
      </w:r>
      <w:r>
        <w:noBreakHyphen/>
        <w:t>on</w:t>
      </w:r>
      <w:r>
        <w:noBreakHyphen/>
        <w:t>year changes in GST payments are judged to be manageable</w:t>
      </w:r>
    </w:p>
    <w:p w14:paraId="7954C8E8" w14:textId="77777777" w:rsidR="00F05DC7" w:rsidRDefault="00F05DC7" w:rsidP="00A3786D">
      <w:pPr>
        <w:pStyle w:val="BodyText"/>
      </w:pPr>
      <w:r>
        <w:t>The year</w:t>
      </w:r>
      <w:r>
        <w:noBreakHyphen/>
        <w:t>on</w:t>
      </w:r>
      <w:r>
        <w:noBreakHyphen/>
        <w:t>year change in GST payments (due to the change in the benchmark) shows the amount to be adjusted in any given year. In the first year (2019</w:t>
      </w:r>
      <w:r>
        <w:noBreakHyphen/>
        <w:t>20) of the four year transition, the year</w:t>
      </w:r>
      <w:r>
        <w:noBreakHyphen/>
        <w:t>on</w:t>
      </w:r>
      <w:r>
        <w:noBreakHyphen/>
        <w:t>year change in GST payments ranges from (table F.7, figure F.9):</w:t>
      </w:r>
    </w:p>
    <w:p w14:paraId="7954C8E9" w14:textId="77777777" w:rsidR="00F05DC7" w:rsidRDefault="00F05DC7" w:rsidP="00A3786D">
      <w:pPr>
        <w:pStyle w:val="ListBullet"/>
      </w:pPr>
      <w:r>
        <w:t xml:space="preserve">as a proportion of State revenue, an increase of about 1.8 per cent (in Western Australia) to a decrease of about 0.7 per cent (in South Australia) </w:t>
      </w:r>
    </w:p>
    <w:p w14:paraId="7954C8EA" w14:textId="77777777" w:rsidR="00F05DC7" w:rsidRDefault="00F05DC7" w:rsidP="00A3786D">
      <w:pPr>
        <w:pStyle w:val="ListBullet"/>
      </w:pPr>
      <w:r>
        <w:t xml:space="preserve">in per capita terms, an increase of $204 per capita (in Western Australia) to a decrease of $73 per capita (in Queensland, South Australia, Tasmania, the ACT and the NT) </w:t>
      </w:r>
    </w:p>
    <w:p w14:paraId="7954C8EB" w14:textId="77777777" w:rsidR="00F05DC7" w:rsidRDefault="00F05DC7" w:rsidP="00A3786D">
      <w:pPr>
        <w:pStyle w:val="ListBullet"/>
      </w:pPr>
      <w:r>
        <w:t>an increase of $540 million (in Western Australia) to a decrease of $372 million (in Queensland).</w:t>
      </w:r>
    </w:p>
    <w:p w14:paraId="7954C8EC" w14:textId="59859816" w:rsidR="00F05DC7" w:rsidRPr="000E0EBA" w:rsidRDefault="00F05DC7" w:rsidP="00A3786D">
      <w:pPr>
        <w:pStyle w:val="BodyText"/>
        <w:rPr>
          <w:spacing w:val="-2"/>
        </w:rPr>
      </w:pPr>
      <w:r w:rsidRPr="000E0EBA">
        <w:rPr>
          <w:spacing w:val="-2"/>
        </w:rPr>
        <w:t>With an eight year transition, these figures are halved (table F.8). By the end of the four year transition (in 2022</w:t>
      </w:r>
      <w:r w:rsidRPr="000E0EBA">
        <w:rPr>
          <w:spacing w:val="-2"/>
        </w:rPr>
        <w:noBreakHyphen/>
        <w:t>23), year</w:t>
      </w:r>
      <w:r w:rsidRPr="000E0EBA">
        <w:rPr>
          <w:spacing w:val="-2"/>
        </w:rPr>
        <w:noBreakHyphen/>
        <w:t>on</w:t>
      </w:r>
      <w:r w:rsidRPr="000E0EBA">
        <w:rPr>
          <w:spacing w:val="-2"/>
        </w:rPr>
        <w:noBreakHyphen/>
        <w:t>year changes in GST payments range from (table F.7, figure</w:t>
      </w:r>
      <w:r w:rsidR="000E0EBA">
        <w:rPr>
          <w:spacing w:val="-2"/>
        </w:rPr>
        <w:t> </w:t>
      </w:r>
      <w:r w:rsidRPr="000E0EBA">
        <w:rPr>
          <w:spacing w:val="-2"/>
        </w:rPr>
        <w:t>F.9):</w:t>
      </w:r>
    </w:p>
    <w:p w14:paraId="7954C8ED" w14:textId="77777777" w:rsidR="00F05DC7" w:rsidRDefault="00F05DC7" w:rsidP="00A3786D">
      <w:pPr>
        <w:pStyle w:val="ListBullet"/>
      </w:pPr>
      <w:r>
        <w:t xml:space="preserve">as a proportion of State revenue, an increase of 1.0 per cent (in Western Australia) to a decrease of 0.8 per cent (in South Australia). </w:t>
      </w:r>
    </w:p>
    <w:p w14:paraId="7954C8EE" w14:textId="77777777" w:rsidR="00F05DC7" w:rsidRDefault="00F05DC7" w:rsidP="00A3786D">
      <w:pPr>
        <w:pStyle w:val="ListBullet"/>
      </w:pPr>
      <w:r>
        <w:t xml:space="preserve">in per capita terms, an increase of $127 per capita (Western Australia) to a decrease of $99 per capita (in Queensland and the ACT) </w:t>
      </w:r>
    </w:p>
    <w:p w14:paraId="7954C8EF" w14:textId="77777777" w:rsidR="00F05DC7" w:rsidRDefault="00F05DC7" w:rsidP="00A3786D">
      <w:pPr>
        <w:pStyle w:val="ListBullet"/>
      </w:pPr>
      <w:r>
        <w:t>an increase of $633 million (New South Wales) to a decrease of $524 million (Queensland).</w:t>
      </w:r>
    </w:p>
    <w:p w14:paraId="7954C8F0" w14:textId="77777777" w:rsidR="00F05DC7" w:rsidRDefault="00F05DC7" w:rsidP="00A3786D">
      <w:pPr>
        <w:pStyle w:val="BodyText"/>
      </w:pPr>
      <w:r>
        <w:t>With an eight year transition these figures are halved (table F.8).</w:t>
      </w:r>
      <w:r w:rsidRPr="000379B1">
        <w:t xml:space="preserve"> </w:t>
      </w:r>
    </w:p>
    <w:p w14:paraId="7954C8F1" w14:textId="77777777" w:rsidR="00F05DC7" w:rsidRDefault="00F05DC7" w:rsidP="00A3786D">
      <w:pPr>
        <w:pStyle w:val="BodyText"/>
      </w:pPr>
      <w:r>
        <w:t xml:space="preserve">In no year does any </w:t>
      </w:r>
      <w:r w:rsidRPr="005E2BD3">
        <w:t xml:space="preserve">State experience a reduction in its GST payments </w:t>
      </w:r>
      <w:r>
        <w:t xml:space="preserve">from the previous year </w:t>
      </w:r>
      <w:r w:rsidRPr="005E2BD3">
        <w:t xml:space="preserve">of more than </w:t>
      </w:r>
      <w:r>
        <w:t xml:space="preserve">about </w:t>
      </w:r>
      <w:r w:rsidRPr="005E2BD3">
        <w:t>0.8</w:t>
      </w:r>
      <w:r>
        <w:t> </w:t>
      </w:r>
      <w:r w:rsidRPr="005E2BD3">
        <w:t>per cent</w:t>
      </w:r>
      <w:r>
        <w:t xml:space="preserve"> with a four year transition, or about 0.4 per cent with an eight year transition.</w:t>
      </w:r>
    </w:p>
    <w:p w14:paraId="7954C8F2"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8F5" w14:textId="77777777" w:rsidTr="00A3786D">
        <w:trPr>
          <w:tblHeader/>
        </w:trPr>
        <w:tc>
          <w:tcPr>
            <w:tcW w:w="5000" w:type="pct"/>
            <w:tcBorders>
              <w:top w:val="single" w:sz="6" w:space="0" w:color="78A22F"/>
              <w:left w:val="nil"/>
              <w:bottom w:val="nil"/>
              <w:right w:val="nil"/>
            </w:tcBorders>
            <w:shd w:val="clear" w:color="auto" w:fill="auto"/>
          </w:tcPr>
          <w:p w14:paraId="7954C8F3" w14:textId="32DF7DF4" w:rsidR="00F05DC7" w:rsidRDefault="00F05DC7" w:rsidP="00A3786D">
            <w:pPr>
              <w:pStyle w:val="TableTitle"/>
            </w:pPr>
            <w:r>
              <w:rPr>
                <w:b w:val="0"/>
              </w:rPr>
              <w:t>Table F.7</w:t>
            </w:r>
            <w:r>
              <w:tab/>
              <w:t xml:space="preserve">Four year transition to ETA: yearly budget adjustment due to change in the equalisation benchmark </w:t>
            </w:r>
          </w:p>
          <w:p w14:paraId="7954C8F4" w14:textId="77777777" w:rsidR="00F05DC7" w:rsidRPr="00784A05" w:rsidRDefault="00F05DC7">
            <w:pPr>
              <w:pStyle w:val="Subtitle"/>
            </w:pPr>
            <w:r>
              <w:t>Year-on-year change (incremental change from previous year) in GST payments (relative to the current benchmark), best estimate scenario</w:t>
            </w:r>
          </w:p>
        </w:tc>
      </w:tr>
      <w:tr w:rsidR="00F05DC7" w14:paraId="7954C9F7"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C8FF"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8F6"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C8F7"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C8F8"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C8F9"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C8FA"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C8FB"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C8FC"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C8FD"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C8FE"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C901" w14:textId="77777777" w:rsidTr="00A3786D">
              <w:tc>
                <w:tcPr>
                  <w:tcW w:w="5000" w:type="pct"/>
                  <w:gridSpan w:val="9"/>
                  <w:tcBorders>
                    <w:top w:val="single" w:sz="6" w:space="0" w:color="BFBFBF"/>
                  </w:tcBorders>
                  <w:shd w:val="clear" w:color="auto" w:fill="F2F2F2" w:themeFill="background1" w:themeFillShade="F2"/>
                </w:tcPr>
                <w:p w14:paraId="7954C900"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C90B" w14:textId="77777777" w:rsidTr="00A3786D">
              <w:tc>
                <w:tcPr>
                  <w:tcW w:w="556" w:type="pct"/>
                  <w:vAlign w:val="bottom"/>
                </w:tcPr>
                <w:p w14:paraId="7954C902"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C903" w14:textId="77777777" w:rsidR="00F05DC7" w:rsidRPr="00A75ED1" w:rsidRDefault="00F05DC7" w:rsidP="00A3786D">
                  <w:pPr>
                    <w:pStyle w:val="TableBodyText"/>
                    <w:rPr>
                      <w:rFonts w:cs="Arial"/>
                      <w:szCs w:val="18"/>
                    </w:rPr>
                  </w:pPr>
                  <w:r w:rsidRPr="00A75ED1">
                    <w:rPr>
                      <w:rFonts w:cs="Arial"/>
                      <w:color w:val="000000"/>
                      <w:szCs w:val="18"/>
                    </w:rPr>
                    <w:t>351</w:t>
                  </w:r>
                </w:p>
              </w:tc>
              <w:tc>
                <w:tcPr>
                  <w:tcW w:w="557" w:type="pct"/>
                  <w:tcBorders>
                    <w:top w:val="nil"/>
                    <w:left w:val="nil"/>
                    <w:bottom w:val="nil"/>
                    <w:right w:val="nil"/>
                  </w:tcBorders>
                  <w:shd w:val="clear" w:color="auto" w:fill="FFFFFF" w:themeFill="background1"/>
                  <w:vAlign w:val="bottom"/>
                </w:tcPr>
                <w:p w14:paraId="7954C90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303</w:t>
                  </w:r>
                </w:p>
              </w:tc>
              <w:tc>
                <w:tcPr>
                  <w:tcW w:w="556" w:type="pct"/>
                  <w:tcBorders>
                    <w:top w:val="nil"/>
                    <w:left w:val="nil"/>
                    <w:bottom w:val="nil"/>
                    <w:right w:val="nil"/>
                  </w:tcBorders>
                  <w:shd w:val="clear" w:color="auto" w:fill="FFFFFF" w:themeFill="background1"/>
                  <w:vAlign w:val="bottom"/>
                </w:tcPr>
                <w:p w14:paraId="7954C90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372</w:t>
                  </w:r>
                </w:p>
              </w:tc>
              <w:tc>
                <w:tcPr>
                  <w:tcW w:w="556" w:type="pct"/>
                  <w:tcBorders>
                    <w:top w:val="nil"/>
                    <w:left w:val="nil"/>
                    <w:bottom w:val="nil"/>
                    <w:right w:val="nil"/>
                  </w:tcBorders>
                  <w:shd w:val="clear" w:color="auto" w:fill="FFFFFF" w:themeFill="background1"/>
                  <w:vAlign w:val="bottom"/>
                </w:tcPr>
                <w:p w14:paraId="7954C906" w14:textId="77777777" w:rsidR="00F05DC7" w:rsidRPr="00A75ED1" w:rsidRDefault="00F05DC7" w:rsidP="00A3786D">
                  <w:pPr>
                    <w:pStyle w:val="TableBodyText"/>
                    <w:rPr>
                      <w:rFonts w:cs="Arial"/>
                      <w:szCs w:val="18"/>
                    </w:rPr>
                  </w:pPr>
                  <w:r w:rsidRPr="00A75ED1">
                    <w:rPr>
                      <w:rFonts w:cs="Arial"/>
                      <w:color w:val="000000"/>
                      <w:szCs w:val="18"/>
                    </w:rPr>
                    <w:t>540</w:t>
                  </w:r>
                </w:p>
              </w:tc>
              <w:tc>
                <w:tcPr>
                  <w:tcW w:w="555" w:type="pct"/>
                  <w:tcBorders>
                    <w:top w:val="nil"/>
                    <w:left w:val="nil"/>
                    <w:bottom w:val="nil"/>
                    <w:right w:val="nil"/>
                  </w:tcBorders>
                  <w:shd w:val="clear" w:color="auto" w:fill="FFFFFF" w:themeFill="background1"/>
                  <w:vAlign w:val="bottom"/>
                </w:tcPr>
                <w:p w14:paraId="7954C90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128</w:t>
                  </w:r>
                </w:p>
              </w:tc>
              <w:tc>
                <w:tcPr>
                  <w:tcW w:w="555" w:type="pct"/>
                  <w:tcBorders>
                    <w:top w:val="nil"/>
                    <w:left w:val="nil"/>
                    <w:bottom w:val="nil"/>
                    <w:right w:val="nil"/>
                  </w:tcBorders>
                  <w:shd w:val="clear" w:color="auto" w:fill="FFFFFF" w:themeFill="background1"/>
                  <w:vAlign w:val="bottom"/>
                </w:tcPr>
                <w:p w14:paraId="7954C90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39</w:t>
                  </w:r>
                </w:p>
              </w:tc>
              <w:tc>
                <w:tcPr>
                  <w:tcW w:w="555" w:type="pct"/>
                  <w:tcBorders>
                    <w:top w:val="nil"/>
                    <w:left w:val="nil"/>
                    <w:bottom w:val="nil"/>
                    <w:right w:val="nil"/>
                  </w:tcBorders>
                  <w:shd w:val="clear" w:color="auto" w:fill="FFFFFF" w:themeFill="background1"/>
                  <w:vAlign w:val="bottom"/>
                </w:tcPr>
                <w:p w14:paraId="7954C90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w:t>
                  </w:r>
                </w:p>
              </w:tc>
              <w:tc>
                <w:tcPr>
                  <w:tcW w:w="553" w:type="pct"/>
                  <w:tcBorders>
                    <w:top w:val="nil"/>
                    <w:left w:val="nil"/>
                    <w:bottom w:val="nil"/>
                    <w:right w:val="nil"/>
                  </w:tcBorders>
                  <w:shd w:val="clear" w:color="auto" w:fill="FFFFFF" w:themeFill="background1"/>
                  <w:vAlign w:val="bottom"/>
                </w:tcPr>
                <w:p w14:paraId="7954C90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w:t>
                  </w:r>
                </w:p>
              </w:tc>
            </w:tr>
            <w:tr w:rsidR="00F05DC7" w:rsidRPr="00A75ED1" w14:paraId="7954C915" w14:textId="77777777" w:rsidTr="00A3786D">
              <w:tc>
                <w:tcPr>
                  <w:tcW w:w="556" w:type="pct"/>
                  <w:vAlign w:val="bottom"/>
                </w:tcPr>
                <w:p w14:paraId="7954C90C"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C90D" w14:textId="77777777" w:rsidR="00F05DC7" w:rsidRPr="00A75ED1" w:rsidRDefault="00F05DC7" w:rsidP="00A3786D">
                  <w:pPr>
                    <w:pStyle w:val="TableBodyText"/>
                    <w:rPr>
                      <w:rFonts w:cs="Arial"/>
                      <w:szCs w:val="18"/>
                    </w:rPr>
                  </w:pPr>
                  <w:r w:rsidRPr="00A75ED1">
                    <w:rPr>
                      <w:rFonts w:cs="Arial"/>
                      <w:color w:val="000000"/>
                      <w:szCs w:val="18"/>
                    </w:rPr>
                    <w:t>468</w:t>
                  </w:r>
                </w:p>
              </w:tc>
              <w:tc>
                <w:tcPr>
                  <w:tcW w:w="557" w:type="pct"/>
                  <w:tcBorders>
                    <w:top w:val="nil"/>
                    <w:left w:val="nil"/>
                    <w:bottom w:val="nil"/>
                    <w:right w:val="nil"/>
                  </w:tcBorders>
                  <w:shd w:val="clear" w:color="auto" w:fill="FFFFFF" w:themeFill="background1"/>
                  <w:vAlign w:val="bottom"/>
                </w:tcPr>
                <w:p w14:paraId="7954C90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270</w:t>
                  </w:r>
                </w:p>
              </w:tc>
              <w:tc>
                <w:tcPr>
                  <w:tcW w:w="556" w:type="pct"/>
                  <w:tcBorders>
                    <w:top w:val="nil"/>
                    <w:left w:val="nil"/>
                    <w:bottom w:val="nil"/>
                    <w:right w:val="nil"/>
                  </w:tcBorders>
                  <w:shd w:val="clear" w:color="auto" w:fill="FFFFFF" w:themeFill="background1"/>
                  <w:vAlign w:val="bottom"/>
                </w:tcPr>
                <w:p w14:paraId="7954C90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417</w:t>
                  </w:r>
                </w:p>
              </w:tc>
              <w:tc>
                <w:tcPr>
                  <w:tcW w:w="556" w:type="pct"/>
                  <w:tcBorders>
                    <w:top w:val="nil"/>
                    <w:left w:val="nil"/>
                    <w:bottom w:val="nil"/>
                    <w:right w:val="nil"/>
                  </w:tcBorders>
                  <w:shd w:val="clear" w:color="auto" w:fill="FFFFFF" w:themeFill="background1"/>
                  <w:vAlign w:val="bottom"/>
                </w:tcPr>
                <w:p w14:paraId="7954C910" w14:textId="77777777" w:rsidR="00F05DC7" w:rsidRPr="00A75ED1" w:rsidRDefault="00F05DC7" w:rsidP="00A3786D">
                  <w:pPr>
                    <w:pStyle w:val="TableBodyText"/>
                    <w:rPr>
                      <w:rFonts w:cs="Arial"/>
                      <w:szCs w:val="18"/>
                    </w:rPr>
                  </w:pPr>
                  <w:r w:rsidRPr="00A75ED1">
                    <w:rPr>
                      <w:rFonts w:cs="Arial"/>
                      <w:color w:val="000000"/>
                      <w:szCs w:val="18"/>
                    </w:rPr>
                    <w:t>457</w:t>
                  </w:r>
                </w:p>
              </w:tc>
              <w:tc>
                <w:tcPr>
                  <w:tcW w:w="555" w:type="pct"/>
                  <w:tcBorders>
                    <w:top w:val="nil"/>
                    <w:left w:val="nil"/>
                    <w:bottom w:val="nil"/>
                    <w:right w:val="nil"/>
                  </w:tcBorders>
                  <w:shd w:val="clear" w:color="auto" w:fill="FFFFFF" w:themeFill="background1"/>
                  <w:vAlign w:val="bottom"/>
                </w:tcPr>
                <w:p w14:paraId="7954C91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142</w:t>
                  </w:r>
                </w:p>
              </w:tc>
              <w:tc>
                <w:tcPr>
                  <w:tcW w:w="555" w:type="pct"/>
                  <w:tcBorders>
                    <w:top w:val="nil"/>
                    <w:left w:val="nil"/>
                    <w:bottom w:val="nil"/>
                    <w:right w:val="nil"/>
                  </w:tcBorders>
                  <w:shd w:val="clear" w:color="auto" w:fill="FFFFFF" w:themeFill="background1"/>
                  <w:vAlign w:val="bottom"/>
                </w:tcPr>
                <w:p w14:paraId="7954C91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42</w:t>
                  </w:r>
                </w:p>
              </w:tc>
              <w:tc>
                <w:tcPr>
                  <w:tcW w:w="555" w:type="pct"/>
                  <w:tcBorders>
                    <w:top w:val="nil"/>
                    <w:left w:val="nil"/>
                    <w:bottom w:val="nil"/>
                    <w:right w:val="nil"/>
                  </w:tcBorders>
                  <w:shd w:val="clear" w:color="auto" w:fill="FFFFFF" w:themeFill="background1"/>
                  <w:vAlign w:val="bottom"/>
                </w:tcPr>
                <w:p w14:paraId="7954C91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w:t>
                  </w:r>
                </w:p>
              </w:tc>
              <w:tc>
                <w:tcPr>
                  <w:tcW w:w="553" w:type="pct"/>
                  <w:tcBorders>
                    <w:top w:val="nil"/>
                    <w:left w:val="nil"/>
                    <w:bottom w:val="nil"/>
                    <w:right w:val="nil"/>
                  </w:tcBorders>
                  <w:shd w:val="clear" w:color="auto" w:fill="FFFFFF" w:themeFill="background1"/>
                  <w:vAlign w:val="bottom"/>
                </w:tcPr>
                <w:p w14:paraId="7954C91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w:t>
                  </w:r>
                </w:p>
              </w:tc>
            </w:tr>
            <w:tr w:rsidR="00F05DC7" w:rsidRPr="00A75ED1" w14:paraId="7954C91F" w14:textId="77777777" w:rsidTr="00A3786D">
              <w:tc>
                <w:tcPr>
                  <w:tcW w:w="556" w:type="pct"/>
                  <w:vAlign w:val="bottom"/>
                </w:tcPr>
                <w:p w14:paraId="7954C916"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C917" w14:textId="77777777" w:rsidR="00F05DC7" w:rsidRPr="00A75ED1" w:rsidRDefault="00F05DC7" w:rsidP="00A3786D">
                  <w:pPr>
                    <w:pStyle w:val="TableBodyText"/>
                    <w:rPr>
                      <w:rFonts w:cs="Arial"/>
                      <w:szCs w:val="18"/>
                    </w:rPr>
                  </w:pPr>
                  <w:r w:rsidRPr="00A75ED1">
                    <w:rPr>
                      <w:rFonts w:cs="Arial"/>
                      <w:color w:val="000000"/>
                      <w:szCs w:val="18"/>
                    </w:rPr>
                    <w:t>448</w:t>
                  </w:r>
                </w:p>
              </w:tc>
              <w:tc>
                <w:tcPr>
                  <w:tcW w:w="557" w:type="pct"/>
                  <w:tcBorders>
                    <w:top w:val="nil"/>
                    <w:left w:val="nil"/>
                    <w:bottom w:val="nil"/>
                    <w:right w:val="nil"/>
                  </w:tcBorders>
                  <w:shd w:val="clear" w:color="auto" w:fill="FFFFFF" w:themeFill="background1"/>
                  <w:vAlign w:val="bottom"/>
                </w:tcPr>
                <w:p w14:paraId="7954C91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242</w:t>
                  </w:r>
                </w:p>
              </w:tc>
              <w:tc>
                <w:tcPr>
                  <w:tcW w:w="556" w:type="pct"/>
                  <w:tcBorders>
                    <w:top w:val="nil"/>
                    <w:left w:val="nil"/>
                    <w:bottom w:val="nil"/>
                    <w:right w:val="nil"/>
                  </w:tcBorders>
                  <w:shd w:val="clear" w:color="auto" w:fill="FFFFFF" w:themeFill="background1"/>
                  <w:vAlign w:val="bottom"/>
                </w:tcPr>
                <w:p w14:paraId="7954C91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455</w:t>
                  </w:r>
                </w:p>
              </w:tc>
              <w:tc>
                <w:tcPr>
                  <w:tcW w:w="556" w:type="pct"/>
                  <w:tcBorders>
                    <w:top w:val="nil"/>
                    <w:left w:val="nil"/>
                    <w:bottom w:val="nil"/>
                    <w:right w:val="nil"/>
                  </w:tcBorders>
                  <w:shd w:val="clear" w:color="auto" w:fill="FFFFFF" w:themeFill="background1"/>
                  <w:vAlign w:val="bottom"/>
                </w:tcPr>
                <w:p w14:paraId="7954C91A" w14:textId="77777777" w:rsidR="00F05DC7" w:rsidRPr="00A75ED1" w:rsidRDefault="00F05DC7" w:rsidP="00A3786D">
                  <w:pPr>
                    <w:pStyle w:val="TableBodyText"/>
                    <w:rPr>
                      <w:rFonts w:cs="Arial"/>
                      <w:szCs w:val="18"/>
                    </w:rPr>
                  </w:pPr>
                  <w:r w:rsidRPr="00A75ED1">
                    <w:rPr>
                      <w:rFonts w:cs="Arial"/>
                      <w:color w:val="000000"/>
                      <w:szCs w:val="18"/>
                    </w:rPr>
                    <w:t>506</w:t>
                  </w:r>
                </w:p>
              </w:tc>
              <w:tc>
                <w:tcPr>
                  <w:tcW w:w="555" w:type="pct"/>
                  <w:tcBorders>
                    <w:top w:val="nil"/>
                    <w:left w:val="nil"/>
                    <w:bottom w:val="nil"/>
                    <w:right w:val="nil"/>
                  </w:tcBorders>
                  <w:shd w:val="clear" w:color="auto" w:fill="FFFFFF" w:themeFill="background1"/>
                  <w:vAlign w:val="bottom"/>
                </w:tcPr>
                <w:p w14:paraId="7954C91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153</w:t>
                  </w:r>
                </w:p>
              </w:tc>
              <w:tc>
                <w:tcPr>
                  <w:tcW w:w="555" w:type="pct"/>
                  <w:tcBorders>
                    <w:top w:val="nil"/>
                    <w:left w:val="nil"/>
                    <w:bottom w:val="nil"/>
                    <w:right w:val="nil"/>
                  </w:tcBorders>
                  <w:shd w:val="clear" w:color="auto" w:fill="FFFFFF" w:themeFill="background1"/>
                  <w:vAlign w:val="bottom"/>
                </w:tcPr>
                <w:p w14:paraId="7954C91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46</w:t>
                  </w:r>
                </w:p>
              </w:tc>
              <w:tc>
                <w:tcPr>
                  <w:tcW w:w="555" w:type="pct"/>
                  <w:tcBorders>
                    <w:top w:val="nil"/>
                    <w:left w:val="nil"/>
                    <w:bottom w:val="nil"/>
                    <w:right w:val="nil"/>
                  </w:tcBorders>
                  <w:shd w:val="clear" w:color="auto" w:fill="FFFFFF" w:themeFill="background1"/>
                  <w:vAlign w:val="bottom"/>
                </w:tcPr>
                <w:p w14:paraId="7954C91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38</w:t>
                  </w:r>
                </w:p>
              </w:tc>
              <w:tc>
                <w:tcPr>
                  <w:tcW w:w="553" w:type="pct"/>
                  <w:tcBorders>
                    <w:top w:val="nil"/>
                    <w:left w:val="nil"/>
                    <w:bottom w:val="nil"/>
                    <w:right w:val="nil"/>
                  </w:tcBorders>
                  <w:shd w:val="clear" w:color="auto" w:fill="FFFFFF" w:themeFill="background1"/>
                  <w:vAlign w:val="bottom"/>
                </w:tcPr>
                <w:p w14:paraId="7954C91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21</w:t>
                  </w:r>
                </w:p>
              </w:tc>
            </w:tr>
            <w:tr w:rsidR="00F05DC7" w:rsidRPr="00A75ED1" w14:paraId="7954C929" w14:textId="77777777" w:rsidTr="00A3786D">
              <w:tc>
                <w:tcPr>
                  <w:tcW w:w="556" w:type="pct"/>
                </w:tcPr>
                <w:p w14:paraId="7954C920"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C921" w14:textId="77777777" w:rsidR="00F05DC7" w:rsidRPr="00A75ED1" w:rsidRDefault="00F05DC7" w:rsidP="00A3786D">
                  <w:pPr>
                    <w:pStyle w:val="TableBodyText"/>
                    <w:rPr>
                      <w:rFonts w:cs="Arial"/>
                      <w:szCs w:val="18"/>
                    </w:rPr>
                  </w:pPr>
                  <w:r w:rsidRPr="00A75ED1">
                    <w:rPr>
                      <w:rFonts w:cs="Arial"/>
                      <w:color w:val="000000"/>
                      <w:szCs w:val="18"/>
                    </w:rPr>
                    <w:t>633</w:t>
                  </w:r>
                </w:p>
              </w:tc>
              <w:tc>
                <w:tcPr>
                  <w:tcW w:w="557" w:type="pct"/>
                  <w:tcBorders>
                    <w:top w:val="nil"/>
                    <w:left w:val="nil"/>
                    <w:bottom w:val="nil"/>
                    <w:right w:val="nil"/>
                  </w:tcBorders>
                  <w:shd w:val="clear" w:color="auto" w:fill="FFFFFF" w:themeFill="background1"/>
                  <w:vAlign w:val="bottom"/>
                </w:tcPr>
                <w:p w14:paraId="7954C92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162</w:t>
                  </w:r>
                </w:p>
              </w:tc>
              <w:tc>
                <w:tcPr>
                  <w:tcW w:w="556" w:type="pct"/>
                  <w:tcBorders>
                    <w:top w:val="nil"/>
                    <w:left w:val="nil"/>
                    <w:bottom w:val="nil"/>
                    <w:right w:val="nil"/>
                  </w:tcBorders>
                  <w:shd w:val="clear" w:color="auto" w:fill="FFFFFF" w:themeFill="background1"/>
                  <w:vAlign w:val="bottom"/>
                </w:tcPr>
                <w:p w14:paraId="7954C92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524</w:t>
                  </w:r>
                </w:p>
              </w:tc>
              <w:tc>
                <w:tcPr>
                  <w:tcW w:w="556" w:type="pct"/>
                  <w:tcBorders>
                    <w:top w:val="nil"/>
                    <w:left w:val="nil"/>
                    <w:bottom w:val="nil"/>
                    <w:right w:val="nil"/>
                  </w:tcBorders>
                  <w:shd w:val="clear" w:color="auto" w:fill="FFFFFF" w:themeFill="background1"/>
                  <w:vAlign w:val="bottom"/>
                </w:tcPr>
                <w:p w14:paraId="7954C924" w14:textId="77777777" w:rsidR="00F05DC7" w:rsidRPr="00A75ED1" w:rsidRDefault="00F05DC7" w:rsidP="00A3786D">
                  <w:pPr>
                    <w:pStyle w:val="TableBodyText"/>
                    <w:rPr>
                      <w:rFonts w:cs="Arial"/>
                      <w:szCs w:val="18"/>
                    </w:rPr>
                  </w:pPr>
                  <w:r w:rsidRPr="00A75ED1">
                    <w:rPr>
                      <w:rFonts w:cs="Arial"/>
                      <w:color w:val="000000"/>
                      <w:szCs w:val="18"/>
                    </w:rPr>
                    <w:t>347</w:t>
                  </w:r>
                </w:p>
              </w:tc>
              <w:tc>
                <w:tcPr>
                  <w:tcW w:w="555" w:type="pct"/>
                  <w:tcBorders>
                    <w:top w:val="nil"/>
                    <w:left w:val="nil"/>
                    <w:bottom w:val="nil"/>
                    <w:right w:val="nil"/>
                  </w:tcBorders>
                  <w:shd w:val="clear" w:color="auto" w:fill="FFFFFF" w:themeFill="background1"/>
                  <w:vAlign w:val="bottom"/>
                </w:tcPr>
                <w:p w14:paraId="7954C92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174</w:t>
                  </w:r>
                </w:p>
              </w:tc>
              <w:tc>
                <w:tcPr>
                  <w:tcW w:w="555" w:type="pct"/>
                  <w:tcBorders>
                    <w:top w:val="nil"/>
                    <w:left w:val="nil"/>
                    <w:bottom w:val="nil"/>
                    <w:right w:val="nil"/>
                  </w:tcBorders>
                  <w:shd w:val="clear" w:color="auto" w:fill="FFFFFF" w:themeFill="background1"/>
                  <w:vAlign w:val="bottom"/>
                </w:tcPr>
                <w:p w14:paraId="7954C92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52</w:t>
                  </w:r>
                </w:p>
              </w:tc>
              <w:tc>
                <w:tcPr>
                  <w:tcW w:w="555" w:type="pct"/>
                  <w:tcBorders>
                    <w:top w:val="nil"/>
                    <w:left w:val="nil"/>
                    <w:bottom w:val="nil"/>
                    <w:right w:val="nil"/>
                  </w:tcBorders>
                  <w:shd w:val="clear" w:color="auto" w:fill="FFFFFF" w:themeFill="background1"/>
                  <w:vAlign w:val="bottom"/>
                </w:tcPr>
                <w:p w14:paraId="7954C92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44</w:t>
                  </w:r>
                </w:p>
              </w:tc>
              <w:tc>
                <w:tcPr>
                  <w:tcW w:w="553" w:type="pct"/>
                  <w:tcBorders>
                    <w:top w:val="nil"/>
                    <w:left w:val="nil"/>
                    <w:bottom w:val="nil"/>
                    <w:right w:val="nil"/>
                  </w:tcBorders>
                  <w:shd w:val="clear" w:color="auto" w:fill="FFFFFF" w:themeFill="background1"/>
                  <w:vAlign w:val="bottom"/>
                </w:tcPr>
                <w:p w14:paraId="7954C92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w:t>
                  </w:r>
                </w:p>
              </w:tc>
            </w:tr>
            <w:tr w:rsidR="00F05DC7" w:rsidRPr="00A75ED1" w14:paraId="7954C933" w14:textId="77777777" w:rsidTr="00A3786D">
              <w:tc>
                <w:tcPr>
                  <w:tcW w:w="556" w:type="pct"/>
                </w:tcPr>
                <w:p w14:paraId="7954C92A"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FFFFFF" w:themeFill="background1"/>
                  <w:vAlign w:val="bottom"/>
                </w:tcPr>
                <w:p w14:paraId="7954C92B" w14:textId="77777777" w:rsidR="00F05DC7" w:rsidRPr="00A75ED1" w:rsidRDefault="00F05DC7" w:rsidP="00A3786D">
                  <w:pPr>
                    <w:pStyle w:val="TableBodyText"/>
                    <w:rPr>
                      <w:rFonts w:cs="Arial"/>
                      <w:szCs w:val="18"/>
                    </w:rPr>
                  </w:pPr>
                  <w:r w:rsidRPr="00A75ED1">
                    <w:rPr>
                      <w:rFonts w:cs="Arial"/>
                      <w:color w:val="000000"/>
                      <w:szCs w:val="18"/>
                    </w:rPr>
                    <w:t>122</w:t>
                  </w:r>
                </w:p>
              </w:tc>
              <w:tc>
                <w:tcPr>
                  <w:tcW w:w="557" w:type="pct"/>
                  <w:tcBorders>
                    <w:top w:val="nil"/>
                    <w:left w:val="nil"/>
                    <w:bottom w:val="nil"/>
                    <w:right w:val="nil"/>
                  </w:tcBorders>
                  <w:shd w:val="clear" w:color="auto" w:fill="FFFFFF" w:themeFill="background1"/>
                  <w:vAlign w:val="bottom"/>
                </w:tcPr>
                <w:p w14:paraId="7954C92C" w14:textId="77777777" w:rsidR="00F05DC7" w:rsidRPr="00A75ED1" w:rsidRDefault="00F05DC7" w:rsidP="00A3786D">
                  <w:pPr>
                    <w:pStyle w:val="TableBodyText"/>
                    <w:rPr>
                      <w:rFonts w:cs="Arial"/>
                      <w:szCs w:val="18"/>
                    </w:rPr>
                  </w:pPr>
                  <w:r w:rsidRPr="00A75ED1">
                    <w:rPr>
                      <w:rFonts w:cs="Arial"/>
                      <w:color w:val="000000"/>
                      <w:szCs w:val="18"/>
                    </w:rPr>
                    <w:t>145</w:t>
                  </w:r>
                </w:p>
              </w:tc>
              <w:tc>
                <w:tcPr>
                  <w:tcW w:w="556" w:type="pct"/>
                  <w:tcBorders>
                    <w:top w:val="nil"/>
                    <w:left w:val="nil"/>
                    <w:bottom w:val="nil"/>
                    <w:right w:val="nil"/>
                  </w:tcBorders>
                  <w:shd w:val="clear" w:color="auto" w:fill="FFFFFF" w:themeFill="background1"/>
                  <w:vAlign w:val="bottom"/>
                </w:tcPr>
                <w:p w14:paraId="7954C92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w:t>
                  </w:r>
                </w:p>
              </w:tc>
              <w:tc>
                <w:tcPr>
                  <w:tcW w:w="556" w:type="pct"/>
                  <w:tcBorders>
                    <w:top w:val="nil"/>
                    <w:left w:val="nil"/>
                    <w:bottom w:val="nil"/>
                    <w:right w:val="nil"/>
                  </w:tcBorders>
                  <w:shd w:val="clear" w:color="auto" w:fill="FFFFFF" w:themeFill="background1"/>
                  <w:vAlign w:val="bottom"/>
                </w:tcPr>
                <w:p w14:paraId="7954C92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225</w:t>
                  </w:r>
                </w:p>
              </w:tc>
              <w:tc>
                <w:tcPr>
                  <w:tcW w:w="555" w:type="pct"/>
                  <w:tcBorders>
                    <w:top w:val="nil"/>
                    <w:left w:val="nil"/>
                    <w:bottom w:val="nil"/>
                    <w:right w:val="nil"/>
                  </w:tcBorders>
                  <w:shd w:val="clear" w:color="auto" w:fill="FFFFFF" w:themeFill="background1"/>
                  <w:vAlign w:val="bottom"/>
                </w:tcPr>
                <w:p w14:paraId="7954C92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w:t>
                  </w:r>
                </w:p>
              </w:tc>
              <w:tc>
                <w:tcPr>
                  <w:tcW w:w="555" w:type="pct"/>
                  <w:tcBorders>
                    <w:top w:val="nil"/>
                    <w:left w:val="nil"/>
                    <w:bottom w:val="nil"/>
                    <w:right w:val="nil"/>
                  </w:tcBorders>
                  <w:shd w:val="clear" w:color="auto" w:fill="FFFFFF" w:themeFill="background1"/>
                  <w:vAlign w:val="bottom"/>
                </w:tcPr>
                <w:p w14:paraId="7954C93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w:t>
                  </w:r>
                </w:p>
              </w:tc>
              <w:tc>
                <w:tcPr>
                  <w:tcW w:w="555" w:type="pct"/>
                  <w:tcBorders>
                    <w:top w:val="nil"/>
                    <w:left w:val="nil"/>
                    <w:bottom w:val="nil"/>
                    <w:right w:val="nil"/>
                  </w:tcBorders>
                  <w:shd w:val="clear" w:color="auto" w:fill="FFFFFF" w:themeFill="background1"/>
                  <w:vAlign w:val="bottom"/>
                </w:tcPr>
                <w:p w14:paraId="7954C93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w:t>
                  </w:r>
                </w:p>
              </w:tc>
              <w:tc>
                <w:tcPr>
                  <w:tcW w:w="553" w:type="pct"/>
                  <w:tcBorders>
                    <w:top w:val="nil"/>
                    <w:left w:val="nil"/>
                    <w:bottom w:val="nil"/>
                    <w:right w:val="nil"/>
                  </w:tcBorders>
                  <w:shd w:val="clear" w:color="auto" w:fill="FFFFFF" w:themeFill="background1"/>
                  <w:vAlign w:val="bottom"/>
                </w:tcPr>
                <w:p w14:paraId="7954C93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w:t>
                  </w:r>
                </w:p>
              </w:tc>
            </w:tr>
            <w:tr w:rsidR="00F05DC7" w:rsidRPr="00A75ED1" w14:paraId="7954C93D" w14:textId="77777777" w:rsidTr="00A3786D">
              <w:tc>
                <w:tcPr>
                  <w:tcW w:w="556" w:type="pct"/>
                </w:tcPr>
                <w:p w14:paraId="7954C934"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000000" w:fill="FFFFFF"/>
                  <w:vAlign w:val="bottom"/>
                </w:tcPr>
                <w:p w14:paraId="7954C935" w14:textId="77777777" w:rsidR="00F05DC7" w:rsidRPr="00A75ED1" w:rsidRDefault="00F05DC7" w:rsidP="00A3786D">
                  <w:pPr>
                    <w:pStyle w:val="TableBodyText"/>
                    <w:rPr>
                      <w:rFonts w:cs="Arial"/>
                      <w:szCs w:val="18"/>
                    </w:rPr>
                  </w:pPr>
                  <w:r w:rsidRPr="00A75ED1">
                    <w:rPr>
                      <w:rFonts w:cs="Arial"/>
                      <w:color w:val="000000"/>
                      <w:szCs w:val="18"/>
                    </w:rPr>
                    <w:t>48</w:t>
                  </w:r>
                </w:p>
              </w:tc>
              <w:tc>
                <w:tcPr>
                  <w:tcW w:w="557" w:type="pct"/>
                  <w:tcBorders>
                    <w:top w:val="nil"/>
                    <w:left w:val="nil"/>
                    <w:bottom w:val="nil"/>
                    <w:right w:val="nil"/>
                  </w:tcBorders>
                  <w:shd w:val="clear" w:color="000000" w:fill="FFFFFF"/>
                  <w:vAlign w:val="bottom"/>
                </w:tcPr>
                <w:p w14:paraId="7954C936" w14:textId="77777777" w:rsidR="00F05DC7" w:rsidRPr="00A75ED1" w:rsidRDefault="00F05DC7" w:rsidP="00A3786D">
                  <w:pPr>
                    <w:pStyle w:val="TableBodyText"/>
                    <w:rPr>
                      <w:rFonts w:cs="Arial"/>
                      <w:szCs w:val="18"/>
                    </w:rPr>
                  </w:pPr>
                  <w:r w:rsidRPr="00A75ED1">
                    <w:rPr>
                      <w:rFonts w:cs="Arial"/>
                      <w:color w:val="000000"/>
                      <w:szCs w:val="18"/>
                    </w:rPr>
                    <w:t>155</w:t>
                  </w:r>
                </w:p>
              </w:tc>
              <w:tc>
                <w:tcPr>
                  <w:tcW w:w="556" w:type="pct"/>
                  <w:tcBorders>
                    <w:top w:val="nil"/>
                    <w:left w:val="nil"/>
                    <w:bottom w:val="nil"/>
                    <w:right w:val="nil"/>
                  </w:tcBorders>
                  <w:shd w:val="clear" w:color="000000" w:fill="FFFFFF"/>
                  <w:vAlign w:val="bottom"/>
                </w:tcPr>
                <w:p w14:paraId="7954C93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43</w:t>
                  </w:r>
                </w:p>
              </w:tc>
              <w:tc>
                <w:tcPr>
                  <w:tcW w:w="556" w:type="pct"/>
                  <w:tcBorders>
                    <w:top w:val="nil"/>
                    <w:left w:val="nil"/>
                    <w:bottom w:val="nil"/>
                    <w:right w:val="nil"/>
                  </w:tcBorders>
                  <w:shd w:val="clear" w:color="000000" w:fill="FFFFFF"/>
                  <w:vAlign w:val="bottom"/>
                </w:tcPr>
                <w:p w14:paraId="7954C93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142</w:t>
                  </w:r>
                </w:p>
              </w:tc>
              <w:tc>
                <w:tcPr>
                  <w:tcW w:w="555" w:type="pct"/>
                  <w:tcBorders>
                    <w:top w:val="nil"/>
                    <w:left w:val="nil"/>
                    <w:bottom w:val="nil"/>
                    <w:right w:val="nil"/>
                  </w:tcBorders>
                  <w:shd w:val="clear" w:color="000000" w:fill="FFFFFF"/>
                  <w:vAlign w:val="bottom"/>
                </w:tcPr>
                <w:p w14:paraId="7954C93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w:t>
                  </w:r>
                </w:p>
              </w:tc>
              <w:tc>
                <w:tcPr>
                  <w:tcW w:w="555" w:type="pct"/>
                  <w:tcBorders>
                    <w:top w:val="nil"/>
                    <w:left w:val="nil"/>
                    <w:bottom w:val="nil"/>
                    <w:right w:val="nil"/>
                  </w:tcBorders>
                  <w:shd w:val="clear" w:color="000000" w:fill="FFFFFF"/>
                  <w:vAlign w:val="bottom"/>
                </w:tcPr>
                <w:p w14:paraId="7954C93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w:t>
                  </w:r>
                </w:p>
              </w:tc>
              <w:tc>
                <w:tcPr>
                  <w:tcW w:w="555" w:type="pct"/>
                  <w:tcBorders>
                    <w:top w:val="nil"/>
                    <w:left w:val="nil"/>
                    <w:bottom w:val="nil"/>
                    <w:right w:val="nil"/>
                  </w:tcBorders>
                  <w:shd w:val="clear" w:color="000000" w:fill="FFFFFF"/>
                  <w:vAlign w:val="bottom"/>
                </w:tcPr>
                <w:p w14:paraId="7954C93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w:t>
                  </w:r>
                </w:p>
              </w:tc>
              <w:tc>
                <w:tcPr>
                  <w:tcW w:w="553" w:type="pct"/>
                  <w:tcBorders>
                    <w:top w:val="nil"/>
                    <w:left w:val="nil"/>
                    <w:bottom w:val="nil"/>
                    <w:right w:val="nil"/>
                  </w:tcBorders>
                  <w:shd w:val="clear" w:color="000000" w:fill="FFFFFF"/>
                  <w:vAlign w:val="bottom"/>
                </w:tcPr>
                <w:p w14:paraId="7954C93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w:t>
                  </w:r>
                </w:p>
              </w:tc>
            </w:tr>
            <w:tr w:rsidR="00F05DC7" w:rsidRPr="00A75ED1" w14:paraId="7954C947" w14:textId="77777777" w:rsidTr="00A3786D">
              <w:tc>
                <w:tcPr>
                  <w:tcW w:w="556" w:type="pct"/>
                </w:tcPr>
                <w:p w14:paraId="7954C93E"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000000" w:fill="FFFFFF"/>
                  <w:vAlign w:val="bottom"/>
                </w:tcPr>
                <w:p w14:paraId="7954C93F" w14:textId="77777777" w:rsidR="00F05DC7" w:rsidRPr="00A75ED1" w:rsidRDefault="00F05DC7" w:rsidP="00A3786D">
                  <w:pPr>
                    <w:pStyle w:val="TableBodyText"/>
                    <w:rPr>
                      <w:rFonts w:cs="Arial"/>
                      <w:szCs w:val="18"/>
                    </w:rPr>
                  </w:pPr>
                  <w:r w:rsidRPr="00A75ED1">
                    <w:rPr>
                      <w:rFonts w:cs="Arial"/>
                      <w:color w:val="000000"/>
                      <w:szCs w:val="18"/>
                    </w:rPr>
                    <w:t>41</w:t>
                  </w:r>
                </w:p>
              </w:tc>
              <w:tc>
                <w:tcPr>
                  <w:tcW w:w="557" w:type="pct"/>
                  <w:tcBorders>
                    <w:top w:val="nil"/>
                    <w:left w:val="nil"/>
                    <w:bottom w:val="nil"/>
                    <w:right w:val="nil"/>
                  </w:tcBorders>
                  <w:shd w:val="clear" w:color="000000" w:fill="FFFFFF"/>
                  <w:vAlign w:val="bottom"/>
                </w:tcPr>
                <w:p w14:paraId="7954C940" w14:textId="77777777" w:rsidR="00F05DC7" w:rsidRPr="00A75ED1" w:rsidRDefault="00F05DC7" w:rsidP="00A3786D">
                  <w:pPr>
                    <w:pStyle w:val="TableBodyText"/>
                    <w:rPr>
                      <w:rFonts w:cs="Arial"/>
                      <w:szCs w:val="18"/>
                    </w:rPr>
                  </w:pPr>
                  <w:r w:rsidRPr="00A75ED1">
                    <w:rPr>
                      <w:rFonts w:cs="Arial"/>
                      <w:color w:val="000000"/>
                      <w:szCs w:val="18"/>
                    </w:rPr>
                    <w:t>197</w:t>
                  </w:r>
                </w:p>
              </w:tc>
              <w:tc>
                <w:tcPr>
                  <w:tcW w:w="556" w:type="pct"/>
                  <w:tcBorders>
                    <w:top w:val="nil"/>
                    <w:left w:val="nil"/>
                    <w:bottom w:val="nil"/>
                    <w:right w:val="nil"/>
                  </w:tcBorders>
                  <w:shd w:val="clear" w:color="000000" w:fill="FFFFFF"/>
                  <w:vAlign w:val="bottom"/>
                </w:tcPr>
                <w:p w14:paraId="7954C94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56</w:t>
                  </w:r>
                </w:p>
              </w:tc>
              <w:tc>
                <w:tcPr>
                  <w:tcW w:w="556" w:type="pct"/>
                  <w:tcBorders>
                    <w:top w:val="nil"/>
                    <w:left w:val="nil"/>
                    <w:bottom w:val="nil"/>
                    <w:right w:val="nil"/>
                  </w:tcBorders>
                  <w:shd w:val="clear" w:color="000000" w:fill="FFFFFF"/>
                  <w:vAlign w:val="bottom"/>
                </w:tcPr>
                <w:p w14:paraId="7954C94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156</w:t>
                  </w:r>
                </w:p>
              </w:tc>
              <w:tc>
                <w:tcPr>
                  <w:tcW w:w="555" w:type="pct"/>
                  <w:tcBorders>
                    <w:top w:val="nil"/>
                    <w:left w:val="nil"/>
                    <w:bottom w:val="nil"/>
                    <w:right w:val="nil"/>
                  </w:tcBorders>
                  <w:shd w:val="clear" w:color="000000" w:fill="FFFFFF"/>
                  <w:vAlign w:val="bottom"/>
                </w:tcPr>
                <w:p w14:paraId="7954C94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w:t>
                  </w:r>
                </w:p>
              </w:tc>
              <w:tc>
                <w:tcPr>
                  <w:tcW w:w="555" w:type="pct"/>
                  <w:tcBorders>
                    <w:top w:val="nil"/>
                    <w:left w:val="nil"/>
                    <w:bottom w:val="nil"/>
                    <w:right w:val="nil"/>
                  </w:tcBorders>
                  <w:shd w:val="clear" w:color="000000" w:fill="FFFFFF"/>
                  <w:vAlign w:val="bottom"/>
                </w:tcPr>
                <w:p w14:paraId="7954C94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w:t>
                  </w:r>
                </w:p>
              </w:tc>
              <w:tc>
                <w:tcPr>
                  <w:tcW w:w="555" w:type="pct"/>
                  <w:tcBorders>
                    <w:top w:val="nil"/>
                    <w:left w:val="nil"/>
                    <w:bottom w:val="nil"/>
                    <w:right w:val="nil"/>
                  </w:tcBorders>
                  <w:shd w:val="clear" w:color="000000" w:fill="FFFFFF"/>
                  <w:vAlign w:val="bottom"/>
                </w:tcPr>
                <w:p w14:paraId="7954C94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w:t>
                  </w:r>
                </w:p>
              </w:tc>
              <w:tc>
                <w:tcPr>
                  <w:tcW w:w="553" w:type="pct"/>
                  <w:tcBorders>
                    <w:top w:val="nil"/>
                    <w:left w:val="nil"/>
                    <w:bottom w:val="nil"/>
                    <w:right w:val="nil"/>
                  </w:tcBorders>
                  <w:shd w:val="clear" w:color="000000" w:fill="FFFFFF"/>
                  <w:vAlign w:val="bottom"/>
                </w:tcPr>
                <w:p w14:paraId="7954C94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w:t>
                  </w:r>
                </w:p>
              </w:tc>
            </w:tr>
            <w:tr w:rsidR="00F05DC7" w:rsidRPr="00A75ED1" w14:paraId="7954C951" w14:textId="77777777" w:rsidTr="002341D7">
              <w:tc>
                <w:tcPr>
                  <w:tcW w:w="556" w:type="pct"/>
                </w:tcPr>
                <w:p w14:paraId="7954C948"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000000" w:fill="FFFFFF"/>
                  <w:vAlign w:val="bottom"/>
                </w:tcPr>
                <w:p w14:paraId="7954C94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32</w:t>
                  </w:r>
                </w:p>
              </w:tc>
              <w:tc>
                <w:tcPr>
                  <w:tcW w:w="557" w:type="pct"/>
                  <w:tcBorders>
                    <w:top w:val="nil"/>
                    <w:left w:val="nil"/>
                    <w:right w:val="nil"/>
                  </w:tcBorders>
                  <w:shd w:val="clear" w:color="000000" w:fill="FFFFFF"/>
                  <w:vAlign w:val="bottom"/>
                </w:tcPr>
                <w:p w14:paraId="7954C94A" w14:textId="77777777" w:rsidR="00F05DC7" w:rsidRPr="00A75ED1" w:rsidRDefault="00F05DC7" w:rsidP="00A3786D">
                  <w:pPr>
                    <w:pStyle w:val="TableBodyText"/>
                    <w:rPr>
                      <w:rFonts w:cs="Arial"/>
                      <w:szCs w:val="18"/>
                    </w:rPr>
                  </w:pPr>
                  <w:r w:rsidRPr="00A75ED1">
                    <w:rPr>
                      <w:rFonts w:cs="Arial"/>
                      <w:color w:val="000000"/>
                      <w:szCs w:val="18"/>
                    </w:rPr>
                    <w:t>162</w:t>
                  </w:r>
                </w:p>
              </w:tc>
              <w:tc>
                <w:tcPr>
                  <w:tcW w:w="556" w:type="pct"/>
                  <w:tcBorders>
                    <w:top w:val="nil"/>
                    <w:left w:val="nil"/>
                    <w:right w:val="nil"/>
                  </w:tcBorders>
                  <w:shd w:val="clear" w:color="000000" w:fill="FFFFFF"/>
                  <w:vAlign w:val="bottom"/>
                </w:tcPr>
                <w:p w14:paraId="7954C94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63</w:t>
                  </w:r>
                </w:p>
              </w:tc>
              <w:tc>
                <w:tcPr>
                  <w:tcW w:w="556" w:type="pct"/>
                  <w:tcBorders>
                    <w:top w:val="nil"/>
                    <w:left w:val="nil"/>
                    <w:right w:val="nil"/>
                  </w:tcBorders>
                  <w:shd w:val="clear" w:color="000000" w:fill="FFFFFF"/>
                  <w:vAlign w:val="bottom"/>
                </w:tcPr>
                <w:p w14:paraId="7954C94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39</w:t>
                  </w:r>
                </w:p>
              </w:tc>
              <w:tc>
                <w:tcPr>
                  <w:tcW w:w="555" w:type="pct"/>
                  <w:tcBorders>
                    <w:top w:val="nil"/>
                    <w:left w:val="nil"/>
                    <w:right w:val="nil"/>
                  </w:tcBorders>
                  <w:shd w:val="clear" w:color="000000" w:fill="FFFFFF"/>
                  <w:vAlign w:val="bottom"/>
                </w:tcPr>
                <w:p w14:paraId="7954C94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w:t>
                  </w:r>
                </w:p>
              </w:tc>
              <w:tc>
                <w:tcPr>
                  <w:tcW w:w="555" w:type="pct"/>
                  <w:tcBorders>
                    <w:top w:val="nil"/>
                    <w:left w:val="nil"/>
                    <w:right w:val="nil"/>
                  </w:tcBorders>
                  <w:shd w:val="clear" w:color="000000" w:fill="FFFFFF"/>
                  <w:vAlign w:val="bottom"/>
                </w:tcPr>
                <w:p w14:paraId="7954C94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w:t>
                  </w:r>
                </w:p>
              </w:tc>
              <w:tc>
                <w:tcPr>
                  <w:tcW w:w="555" w:type="pct"/>
                  <w:tcBorders>
                    <w:top w:val="nil"/>
                    <w:left w:val="nil"/>
                    <w:right w:val="nil"/>
                  </w:tcBorders>
                  <w:shd w:val="clear" w:color="000000" w:fill="FFFFFF"/>
                  <w:vAlign w:val="bottom"/>
                </w:tcPr>
                <w:p w14:paraId="7954C94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w:t>
                  </w:r>
                </w:p>
              </w:tc>
              <w:tc>
                <w:tcPr>
                  <w:tcW w:w="553" w:type="pct"/>
                  <w:tcBorders>
                    <w:top w:val="nil"/>
                    <w:left w:val="nil"/>
                    <w:right w:val="nil"/>
                  </w:tcBorders>
                  <w:shd w:val="clear" w:color="000000" w:fill="FFFFFF"/>
                  <w:vAlign w:val="bottom"/>
                </w:tcPr>
                <w:p w14:paraId="7954C95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w:t>
                  </w:r>
                </w:p>
              </w:tc>
            </w:tr>
            <w:tr w:rsidR="00F05DC7" w:rsidRPr="00A75ED1" w14:paraId="7954C953" w14:textId="77777777" w:rsidTr="002341D7">
              <w:tc>
                <w:tcPr>
                  <w:tcW w:w="5000" w:type="pct"/>
                  <w:gridSpan w:val="9"/>
                  <w:shd w:val="clear" w:color="auto" w:fill="F2F2F2" w:themeFill="background1" w:themeFillShade="F2"/>
                </w:tcPr>
                <w:p w14:paraId="7954C952"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C95D" w14:textId="77777777" w:rsidTr="00A3786D">
              <w:tc>
                <w:tcPr>
                  <w:tcW w:w="556" w:type="pct"/>
                  <w:vAlign w:val="bottom"/>
                </w:tcPr>
                <w:p w14:paraId="7954C954" w14:textId="77777777" w:rsidR="00F05DC7" w:rsidRPr="007F5A12" w:rsidRDefault="00F05DC7" w:rsidP="00A3786D">
                  <w:pPr>
                    <w:pStyle w:val="TableBodyText"/>
                  </w:pPr>
                  <w:r w:rsidRPr="007F5A12">
                    <w:t>2019</w:t>
                  </w:r>
                  <w:r w:rsidRPr="007F5A12">
                    <w:noBreakHyphen/>
                    <w:t>20</w:t>
                  </w:r>
                </w:p>
              </w:tc>
              <w:tc>
                <w:tcPr>
                  <w:tcW w:w="557" w:type="pct"/>
                  <w:tcBorders>
                    <w:top w:val="nil"/>
                    <w:left w:val="nil"/>
                    <w:bottom w:val="nil"/>
                    <w:right w:val="nil"/>
                  </w:tcBorders>
                  <w:shd w:val="clear" w:color="auto" w:fill="auto"/>
                  <w:vAlign w:val="bottom"/>
                </w:tcPr>
                <w:p w14:paraId="7954C955" w14:textId="77777777" w:rsidR="00F05DC7" w:rsidRPr="007F5A12" w:rsidRDefault="00F05DC7" w:rsidP="00A3786D">
                  <w:pPr>
                    <w:pStyle w:val="TableBodyText"/>
                  </w:pPr>
                  <w:r w:rsidRPr="007F5A12">
                    <w:rPr>
                      <w:color w:val="000000"/>
                    </w:rPr>
                    <w:t>43</w:t>
                  </w:r>
                </w:p>
              </w:tc>
              <w:tc>
                <w:tcPr>
                  <w:tcW w:w="557" w:type="pct"/>
                  <w:tcBorders>
                    <w:top w:val="nil"/>
                    <w:left w:val="nil"/>
                    <w:bottom w:val="nil"/>
                    <w:right w:val="nil"/>
                  </w:tcBorders>
                  <w:shd w:val="clear" w:color="auto" w:fill="auto"/>
                  <w:vAlign w:val="bottom"/>
                </w:tcPr>
                <w:p w14:paraId="7954C956" w14:textId="77777777" w:rsidR="00F05DC7" w:rsidRPr="007F5A12" w:rsidRDefault="00F05DC7" w:rsidP="00A3786D">
                  <w:pPr>
                    <w:pStyle w:val="TableBodyText"/>
                  </w:pPr>
                  <w:r>
                    <w:rPr>
                      <w:color w:val="000000"/>
                    </w:rPr>
                    <w:noBreakHyphen/>
                  </w:r>
                  <w:r w:rsidRPr="007F5A12">
                    <w:rPr>
                      <w:color w:val="000000"/>
                    </w:rPr>
                    <w:t>46</w:t>
                  </w:r>
                </w:p>
              </w:tc>
              <w:tc>
                <w:tcPr>
                  <w:tcW w:w="556" w:type="pct"/>
                  <w:tcBorders>
                    <w:top w:val="nil"/>
                    <w:left w:val="nil"/>
                    <w:bottom w:val="nil"/>
                    <w:right w:val="nil"/>
                  </w:tcBorders>
                  <w:shd w:val="clear" w:color="auto" w:fill="auto"/>
                  <w:vAlign w:val="bottom"/>
                </w:tcPr>
                <w:p w14:paraId="7954C957" w14:textId="77777777" w:rsidR="00F05DC7" w:rsidRPr="007F5A12" w:rsidRDefault="00F05DC7" w:rsidP="00A3786D">
                  <w:pPr>
                    <w:pStyle w:val="TableBodyText"/>
                  </w:pPr>
                  <w:r w:rsidRPr="007F5A12">
                    <w:rPr>
                      <w:color w:val="000000"/>
                    </w:rPr>
                    <w:t>-73</w:t>
                  </w:r>
                </w:p>
              </w:tc>
              <w:tc>
                <w:tcPr>
                  <w:tcW w:w="556" w:type="pct"/>
                  <w:tcBorders>
                    <w:top w:val="nil"/>
                    <w:left w:val="nil"/>
                    <w:bottom w:val="nil"/>
                    <w:right w:val="nil"/>
                  </w:tcBorders>
                  <w:shd w:val="clear" w:color="auto" w:fill="auto"/>
                  <w:vAlign w:val="bottom"/>
                </w:tcPr>
                <w:p w14:paraId="7954C958" w14:textId="77777777" w:rsidR="00F05DC7" w:rsidRPr="007F5A12" w:rsidRDefault="00F05DC7" w:rsidP="00A3786D">
                  <w:pPr>
                    <w:pStyle w:val="TableBodyText"/>
                  </w:pPr>
                  <w:r w:rsidRPr="007F5A12">
                    <w:rPr>
                      <w:color w:val="000000"/>
                    </w:rPr>
                    <w:t>204</w:t>
                  </w:r>
                </w:p>
              </w:tc>
              <w:tc>
                <w:tcPr>
                  <w:tcW w:w="555" w:type="pct"/>
                  <w:tcBorders>
                    <w:top w:val="nil"/>
                    <w:left w:val="nil"/>
                    <w:bottom w:val="nil"/>
                    <w:right w:val="nil"/>
                  </w:tcBorders>
                  <w:shd w:val="clear" w:color="auto" w:fill="auto"/>
                  <w:vAlign w:val="bottom"/>
                </w:tcPr>
                <w:p w14:paraId="7954C959" w14:textId="77777777" w:rsidR="00F05DC7" w:rsidRPr="007F5A12" w:rsidRDefault="00F05DC7" w:rsidP="00A3786D">
                  <w:pPr>
                    <w:pStyle w:val="TableBodyText"/>
                  </w:pPr>
                  <w:r w:rsidRPr="007F5A12">
                    <w:rPr>
                      <w:color w:val="000000"/>
                    </w:rPr>
                    <w:t>-73</w:t>
                  </w:r>
                </w:p>
              </w:tc>
              <w:tc>
                <w:tcPr>
                  <w:tcW w:w="555" w:type="pct"/>
                  <w:tcBorders>
                    <w:top w:val="nil"/>
                    <w:left w:val="nil"/>
                    <w:bottom w:val="nil"/>
                    <w:right w:val="nil"/>
                  </w:tcBorders>
                  <w:shd w:val="clear" w:color="auto" w:fill="auto"/>
                  <w:vAlign w:val="bottom"/>
                </w:tcPr>
                <w:p w14:paraId="7954C95A" w14:textId="77777777" w:rsidR="00F05DC7" w:rsidRPr="007F5A12" w:rsidRDefault="00F05DC7" w:rsidP="00A3786D">
                  <w:pPr>
                    <w:pStyle w:val="TableBodyText"/>
                  </w:pPr>
                  <w:r w:rsidRPr="007F5A12">
                    <w:rPr>
                      <w:color w:val="000000"/>
                    </w:rPr>
                    <w:t>-73</w:t>
                  </w:r>
                </w:p>
              </w:tc>
              <w:tc>
                <w:tcPr>
                  <w:tcW w:w="555" w:type="pct"/>
                  <w:tcBorders>
                    <w:top w:val="nil"/>
                    <w:left w:val="nil"/>
                    <w:bottom w:val="nil"/>
                    <w:right w:val="nil"/>
                  </w:tcBorders>
                  <w:shd w:val="clear" w:color="auto" w:fill="auto"/>
                  <w:vAlign w:val="bottom"/>
                </w:tcPr>
                <w:p w14:paraId="7954C95B" w14:textId="77777777" w:rsidR="00F05DC7" w:rsidRPr="007F5A12" w:rsidRDefault="00F05DC7" w:rsidP="00A3786D">
                  <w:pPr>
                    <w:pStyle w:val="TableBodyText"/>
                  </w:pPr>
                  <w:r w:rsidRPr="007F5A12">
                    <w:rPr>
                      <w:color w:val="000000"/>
                    </w:rPr>
                    <w:t>-73</w:t>
                  </w:r>
                </w:p>
              </w:tc>
              <w:tc>
                <w:tcPr>
                  <w:tcW w:w="553" w:type="pct"/>
                  <w:tcBorders>
                    <w:top w:val="nil"/>
                    <w:left w:val="nil"/>
                    <w:bottom w:val="nil"/>
                    <w:right w:val="nil"/>
                  </w:tcBorders>
                  <w:shd w:val="clear" w:color="auto" w:fill="auto"/>
                  <w:vAlign w:val="bottom"/>
                </w:tcPr>
                <w:p w14:paraId="7954C95C" w14:textId="77777777" w:rsidR="00F05DC7" w:rsidRPr="007F5A12" w:rsidRDefault="00F05DC7" w:rsidP="00A3786D">
                  <w:pPr>
                    <w:pStyle w:val="TableBodyText"/>
                  </w:pPr>
                  <w:r w:rsidRPr="007F5A12">
                    <w:rPr>
                      <w:color w:val="000000"/>
                    </w:rPr>
                    <w:t>-73</w:t>
                  </w:r>
                </w:p>
              </w:tc>
            </w:tr>
            <w:tr w:rsidR="00F05DC7" w:rsidRPr="00A75ED1" w14:paraId="7954C967" w14:textId="77777777" w:rsidTr="00A3786D">
              <w:tc>
                <w:tcPr>
                  <w:tcW w:w="556" w:type="pct"/>
                  <w:vAlign w:val="bottom"/>
                </w:tcPr>
                <w:p w14:paraId="7954C95E" w14:textId="77777777" w:rsidR="00F05DC7" w:rsidRPr="007F5A12" w:rsidRDefault="00F05DC7" w:rsidP="00A3786D">
                  <w:pPr>
                    <w:pStyle w:val="TableBodyText"/>
                  </w:pPr>
                  <w:r w:rsidRPr="007F5A12">
                    <w:t>2020</w:t>
                  </w:r>
                  <w:r w:rsidRPr="007F5A12">
                    <w:noBreakHyphen/>
                    <w:t>21</w:t>
                  </w:r>
                </w:p>
              </w:tc>
              <w:tc>
                <w:tcPr>
                  <w:tcW w:w="557" w:type="pct"/>
                  <w:tcBorders>
                    <w:top w:val="nil"/>
                    <w:left w:val="nil"/>
                    <w:bottom w:val="nil"/>
                    <w:right w:val="nil"/>
                  </w:tcBorders>
                  <w:shd w:val="clear" w:color="auto" w:fill="auto"/>
                  <w:vAlign w:val="bottom"/>
                </w:tcPr>
                <w:p w14:paraId="7954C95F" w14:textId="77777777" w:rsidR="00F05DC7" w:rsidRPr="007F5A12" w:rsidRDefault="00F05DC7" w:rsidP="00A3786D">
                  <w:pPr>
                    <w:pStyle w:val="TableBodyText"/>
                  </w:pPr>
                  <w:r w:rsidRPr="007F5A12">
                    <w:rPr>
                      <w:color w:val="000000"/>
                    </w:rPr>
                    <w:t>56</w:t>
                  </w:r>
                </w:p>
              </w:tc>
              <w:tc>
                <w:tcPr>
                  <w:tcW w:w="557" w:type="pct"/>
                  <w:tcBorders>
                    <w:top w:val="nil"/>
                    <w:left w:val="nil"/>
                    <w:bottom w:val="nil"/>
                    <w:right w:val="nil"/>
                  </w:tcBorders>
                  <w:shd w:val="clear" w:color="auto" w:fill="auto"/>
                  <w:vAlign w:val="bottom"/>
                </w:tcPr>
                <w:p w14:paraId="7954C960" w14:textId="77777777" w:rsidR="00F05DC7" w:rsidRPr="007F5A12" w:rsidRDefault="00F05DC7" w:rsidP="00A3786D">
                  <w:pPr>
                    <w:pStyle w:val="TableBodyText"/>
                  </w:pPr>
                  <w:r w:rsidRPr="007F5A12">
                    <w:rPr>
                      <w:color w:val="000000"/>
                    </w:rPr>
                    <w:t>-40</w:t>
                  </w:r>
                </w:p>
              </w:tc>
              <w:tc>
                <w:tcPr>
                  <w:tcW w:w="556" w:type="pct"/>
                  <w:tcBorders>
                    <w:top w:val="nil"/>
                    <w:left w:val="nil"/>
                    <w:bottom w:val="nil"/>
                    <w:right w:val="nil"/>
                  </w:tcBorders>
                  <w:shd w:val="clear" w:color="auto" w:fill="auto"/>
                  <w:vAlign w:val="bottom"/>
                </w:tcPr>
                <w:p w14:paraId="7954C961" w14:textId="77777777" w:rsidR="00F05DC7" w:rsidRPr="007F5A12" w:rsidRDefault="00F05DC7" w:rsidP="00A3786D">
                  <w:pPr>
                    <w:pStyle w:val="TableBodyText"/>
                  </w:pPr>
                  <w:r w:rsidRPr="007F5A12">
                    <w:rPr>
                      <w:color w:val="000000"/>
                    </w:rPr>
                    <w:t>-81</w:t>
                  </w:r>
                </w:p>
              </w:tc>
              <w:tc>
                <w:tcPr>
                  <w:tcW w:w="556" w:type="pct"/>
                  <w:tcBorders>
                    <w:top w:val="nil"/>
                    <w:left w:val="nil"/>
                    <w:bottom w:val="nil"/>
                    <w:right w:val="nil"/>
                  </w:tcBorders>
                  <w:shd w:val="clear" w:color="auto" w:fill="auto"/>
                  <w:vAlign w:val="bottom"/>
                </w:tcPr>
                <w:p w14:paraId="7954C962" w14:textId="77777777" w:rsidR="00F05DC7" w:rsidRPr="007F5A12" w:rsidRDefault="00F05DC7" w:rsidP="00A3786D">
                  <w:pPr>
                    <w:pStyle w:val="TableBodyText"/>
                  </w:pPr>
                  <w:r w:rsidRPr="007F5A12">
                    <w:rPr>
                      <w:color w:val="000000"/>
                    </w:rPr>
                    <w:t>171</w:t>
                  </w:r>
                </w:p>
              </w:tc>
              <w:tc>
                <w:tcPr>
                  <w:tcW w:w="555" w:type="pct"/>
                  <w:tcBorders>
                    <w:top w:val="nil"/>
                    <w:left w:val="nil"/>
                    <w:bottom w:val="nil"/>
                    <w:right w:val="nil"/>
                  </w:tcBorders>
                  <w:shd w:val="clear" w:color="auto" w:fill="auto"/>
                  <w:vAlign w:val="bottom"/>
                </w:tcPr>
                <w:p w14:paraId="7954C963" w14:textId="77777777" w:rsidR="00F05DC7" w:rsidRPr="007F5A12" w:rsidRDefault="00F05DC7" w:rsidP="00A3786D">
                  <w:pPr>
                    <w:pStyle w:val="TableBodyText"/>
                  </w:pPr>
                  <w:r w:rsidRPr="007F5A12">
                    <w:rPr>
                      <w:color w:val="000000"/>
                    </w:rPr>
                    <w:t>-80</w:t>
                  </w:r>
                </w:p>
              </w:tc>
              <w:tc>
                <w:tcPr>
                  <w:tcW w:w="555" w:type="pct"/>
                  <w:tcBorders>
                    <w:top w:val="nil"/>
                    <w:left w:val="nil"/>
                    <w:bottom w:val="nil"/>
                    <w:right w:val="nil"/>
                  </w:tcBorders>
                  <w:shd w:val="clear" w:color="auto" w:fill="auto"/>
                  <w:vAlign w:val="bottom"/>
                </w:tcPr>
                <w:p w14:paraId="7954C964" w14:textId="77777777" w:rsidR="00F05DC7" w:rsidRPr="007F5A12" w:rsidRDefault="00F05DC7" w:rsidP="00A3786D">
                  <w:pPr>
                    <w:pStyle w:val="TableBodyText"/>
                  </w:pPr>
                  <w:r w:rsidRPr="007F5A12">
                    <w:rPr>
                      <w:color w:val="000000"/>
                    </w:rPr>
                    <w:t>-80</w:t>
                  </w:r>
                </w:p>
              </w:tc>
              <w:tc>
                <w:tcPr>
                  <w:tcW w:w="555" w:type="pct"/>
                  <w:tcBorders>
                    <w:top w:val="nil"/>
                    <w:left w:val="nil"/>
                    <w:bottom w:val="nil"/>
                    <w:right w:val="nil"/>
                  </w:tcBorders>
                  <w:shd w:val="clear" w:color="auto" w:fill="auto"/>
                  <w:vAlign w:val="bottom"/>
                </w:tcPr>
                <w:p w14:paraId="7954C965" w14:textId="77777777" w:rsidR="00F05DC7" w:rsidRPr="007F5A12" w:rsidRDefault="00F05DC7" w:rsidP="00A3786D">
                  <w:pPr>
                    <w:pStyle w:val="TableBodyText"/>
                  </w:pPr>
                  <w:r w:rsidRPr="007F5A12">
                    <w:rPr>
                      <w:color w:val="000000"/>
                    </w:rPr>
                    <w:t>-81</w:t>
                  </w:r>
                </w:p>
              </w:tc>
              <w:tc>
                <w:tcPr>
                  <w:tcW w:w="553" w:type="pct"/>
                  <w:tcBorders>
                    <w:top w:val="nil"/>
                    <w:left w:val="nil"/>
                    <w:bottom w:val="nil"/>
                    <w:right w:val="nil"/>
                  </w:tcBorders>
                  <w:shd w:val="clear" w:color="auto" w:fill="auto"/>
                  <w:vAlign w:val="bottom"/>
                </w:tcPr>
                <w:p w14:paraId="7954C966" w14:textId="77777777" w:rsidR="00F05DC7" w:rsidRPr="007F5A12" w:rsidRDefault="00F05DC7" w:rsidP="00A3786D">
                  <w:pPr>
                    <w:pStyle w:val="TableBodyText"/>
                  </w:pPr>
                  <w:r w:rsidRPr="007F5A12">
                    <w:rPr>
                      <w:color w:val="000000"/>
                    </w:rPr>
                    <w:t>-80</w:t>
                  </w:r>
                </w:p>
              </w:tc>
            </w:tr>
            <w:tr w:rsidR="00F05DC7" w:rsidRPr="00A75ED1" w14:paraId="7954C971" w14:textId="77777777" w:rsidTr="00A3786D">
              <w:tc>
                <w:tcPr>
                  <w:tcW w:w="556" w:type="pct"/>
                  <w:vAlign w:val="bottom"/>
                </w:tcPr>
                <w:p w14:paraId="7954C968" w14:textId="77777777" w:rsidR="00F05DC7" w:rsidRPr="007F5A12" w:rsidRDefault="00F05DC7" w:rsidP="00A3786D">
                  <w:pPr>
                    <w:pStyle w:val="TableBodyText"/>
                  </w:pPr>
                  <w:r w:rsidRPr="007F5A12">
                    <w:t>2021</w:t>
                  </w:r>
                  <w:r w:rsidRPr="007F5A12">
                    <w:noBreakHyphen/>
                    <w:t>22</w:t>
                  </w:r>
                </w:p>
              </w:tc>
              <w:tc>
                <w:tcPr>
                  <w:tcW w:w="557" w:type="pct"/>
                  <w:tcBorders>
                    <w:top w:val="nil"/>
                    <w:left w:val="nil"/>
                    <w:bottom w:val="nil"/>
                    <w:right w:val="nil"/>
                  </w:tcBorders>
                  <w:shd w:val="clear" w:color="auto" w:fill="auto"/>
                  <w:vAlign w:val="bottom"/>
                </w:tcPr>
                <w:p w14:paraId="7954C969" w14:textId="77777777" w:rsidR="00F05DC7" w:rsidRPr="007F5A12" w:rsidRDefault="00F05DC7" w:rsidP="00A3786D">
                  <w:pPr>
                    <w:pStyle w:val="TableBodyText"/>
                  </w:pPr>
                  <w:r w:rsidRPr="007F5A12">
                    <w:rPr>
                      <w:color w:val="000000"/>
                    </w:rPr>
                    <w:t>53</w:t>
                  </w:r>
                </w:p>
              </w:tc>
              <w:tc>
                <w:tcPr>
                  <w:tcW w:w="557" w:type="pct"/>
                  <w:tcBorders>
                    <w:top w:val="nil"/>
                    <w:left w:val="nil"/>
                    <w:bottom w:val="nil"/>
                    <w:right w:val="nil"/>
                  </w:tcBorders>
                  <w:shd w:val="clear" w:color="auto" w:fill="auto"/>
                  <w:vAlign w:val="bottom"/>
                </w:tcPr>
                <w:p w14:paraId="7954C96A" w14:textId="77777777" w:rsidR="00F05DC7" w:rsidRPr="007F5A12" w:rsidRDefault="00F05DC7" w:rsidP="00A3786D">
                  <w:pPr>
                    <w:pStyle w:val="TableBodyText"/>
                  </w:pPr>
                  <w:r w:rsidRPr="007F5A12">
                    <w:rPr>
                      <w:color w:val="000000"/>
                    </w:rPr>
                    <w:t>-35</w:t>
                  </w:r>
                </w:p>
              </w:tc>
              <w:tc>
                <w:tcPr>
                  <w:tcW w:w="556" w:type="pct"/>
                  <w:tcBorders>
                    <w:top w:val="nil"/>
                    <w:left w:val="nil"/>
                    <w:bottom w:val="nil"/>
                    <w:right w:val="nil"/>
                  </w:tcBorders>
                  <w:shd w:val="clear" w:color="auto" w:fill="auto"/>
                  <w:vAlign w:val="bottom"/>
                </w:tcPr>
                <w:p w14:paraId="7954C96B" w14:textId="77777777" w:rsidR="00F05DC7" w:rsidRPr="007F5A12" w:rsidRDefault="00F05DC7" w:rsidP="00A3786D">
                  <w:pPr>
                    <w:pStyle w:val="TableBodyText"/>
                  </w:pPr>
                  <w:r w:rsidRPr="007F5A12">
                    <w:rPr>
                      <w:color w:val="000000"/>
                    </w:rPr>
                    <w:t>-87</w:t>
                  </w:r>
                </w:p>
              </w:tc>
              <w:tc>
                <w:tcPr>
                  <w:tcW w:w="556" w:type="pct"/>
                  <w:tcBorders>
                    <w:top w:val="nil"/>
                    <w:left w:val="nil"/>
                    <w:bottom w:val="nil"/>
                    <w:right w:val="nil"/>
                  </w:tcBorders>
                  <w:shd w:val="clear" w:color="auto" w:fill="auto"/>
                  <w:vAlign w:val="bottom"/>
                </w:tcPr>
                <w:p w14:paraId="7954C96C" w14:textId="77777777" w:rsidR="00F05DC7" w:rsidRPr="007F5A12" w:rsidRDefault="00F05DC7" w:rsidP="00A3786D">
                  <w:pPr>
                    <w:pStyle w:val="TableBodyText"/>
                  </w:pPr>
                  <w:r w:rsidRPr="007F5A12">
                    <w:rPr>
                      <w:color w:val="000000"/>
                    </w:rPr>
                    <w:t>187</w:t>
                  </w:r>
                </w:p>
              </w:tc>
              <w:tc>
                <w:tcPr>
                  <w:tcW w:w="555" w:type="pct"/>
                  <w:tcBorders>
                    <w:top w:val="nil"/>
                    <w:left w:val="nil"/>
                    <w:bottom w:val="nil"/>
                    <w:right w:val="nil"/>
                  </w:tcBorders>
                  <w:shd w:val="clear" w:color="auto" w:fill="auto"/>
                  <w:vAlign w:val="bottom"/>
                </w:tcPr>
                <w:p w14:paraId="7954C96D" w14:textId="77777777" w:rsidR="00F05DC7" w:rsidRPr="007F5A12" w:rsidRDefault="00F05DC7" w:rsidP="00A3786D">
                  <w:pPr>
                    <w:pStyle w:val="TableBodyText"/>
                  </w:pPr>
                  <w:r w:rsidRPr="007F5A12">
                    <w:rPr>
                      <w:color w:val="000000"/>
                    </w:rPr>
                    <w:t>-86</w:t>
                  </w:r>
                </w:p>
              </w:tc>
              <w:tc>
                <w:tcPr>
                  <w:tcW w:w="555" w:type="pct"/>
                  <w:tcBorders>
                    <w:top w:val="nil"/>
                    <w:left w:val="nil"/>
                    <w:bottom w:val="nil"/>
                    <w:right w:val="nil"/>
                  </w:tcBorders>
                  <w:shd w:val="clear" w:color="auto" w:fill="auto"/>
                  <w:vAlign w:val="bottom"/>
                </w:tcPr>
                <w:p w14:paraId="7954C96E" w14:textId="77777777" w:rsidR="00F05DC7" w:rsidRPr="007F5A12" w:rsidRDefault="00F05DC7" w:rsidP="00A3786D">
                  <w:pPr>
                    <w:pStyle w:val="TableBodyText"/>
                  </w:pPr>
                  <w:r w:rsidRPr="007F5A12">
                    <w:rPr>
                      <w:color w:val="000000"/>
                    </w:rPr>
                    <w:t>-85</w:t>
                  </w:r>
                </w:p>
              </w:tc>
              <w:tc>
                <w:tcPr>
                  <w:tcW w:w="555" w:type="pct"/>
                  <w:tcBorders>
                    <w:top w:val="nil"/>
                    <w:left w:val="nil"/>
                    <w:bottom w:val="nil"/>
                    <w:right w:val="nil"/>
                  </w:tcBorders>
                  <w:shd w:val="clear" w:color="auto" w:fill="auto"/>
                  <w:vAlign w:val="bottom"/>
                </w:tcPr>
                <w:p w14:paraId="7954C96F" w14:textId="77777777" w:rsidR="00F05DC7" w:rsidRPr="007F5A12" w:rsidRDefault="00F05DC7" w:rsidP="00A3786D">
                  <w:pPr>
                    <w:pStyle w:val="TableBodyText"/>
                  </w:pPr>
                  <w:r w:rsidRPr="007F5A12">
                    <w:rPr>
                      <w:color w:val="000000"/>
                    </w:rPr>
                    <w:t>-87</w:t>
                  </w:r>
                </w:p>
              </w:tc>
              <w:tc>
                <w:tcPr>
                  <w:tcW w:w="553" w:type="pct"/>
                  <w:tcBorders>
                    <w:top w:val="nil"/>
                    <w:left w:val="nil"/>
                    <w:bottom w:val="nil"/>
                    <w:right w:val="nil"/>
                  </w:tcBorders>
                  <w:shd w:val="clear" w:color="auto" w:fill="auto"/>
                  <w:vAlign w:val="bottom"/>
                </w:tcPr>
                <w:p w14:paraId="7954C970" w14:textId="77777777" w:rsidR="00F05DC7" w:rsidRPr="007F5A12" w:rsidRDefault="00F05DC7" w:rsidP="00A3786D">
                  <w:pPr>
                    <w:pStyle w:val="TableBodyText"/>
                  </w:pPr>
                  <w:r w:rsidRPr="007F5A12">
                    <w:rPr>
                      <w:color w:val="000000"/>
                    </w:rPr>
                    <w:t>-85</w:t>
                  </w:r>
                </w:p>
              </w:tc>
            </w:tr>
            <w:tr w:rsidR="00F05DC7" w:rsidRPr="00A75ED1" w14:paraId="7954C97B" w14:textId="77777777" w:rsidTr="00A3786D">
              <w:tc>
                <w:tcPr>
                  <w:tcW w:w="556" w:type="pct"/>
                </w:tcPr>
                <w:p w14:paraId="7954C972" w14:textId="77777777" w:rsidR="00F05DC7" w:rsidRPr="007F5A12" w:rsidRDefault="00F05DC7" w:rsidP="00A3786D">
                  <w:pPr>
                    <w:pStyle w:val="TableBodyText"/>
                  </w:pPr>
                  <w:r w:rsidRPr="007F5A12">
                    <w:t>2022</w:t>
                  </w:r>
                  <w:r w:rsidRPr="007F5A12">
                    <w:noBreakHyphen/>
                    <w:t>23</w:t>
                  </w:r>
                </w:p>
              </w:tc>
              <w:tc>
                <w:tcPr>
                  <w:tcW w:w="557" w:type="pct"/>
                  <w:tcBorders>
                    <w:top w:val="nil"/>
                    <w:left w:val="nil"/>
                    <w:bottom w:val="nil"/>
                    <w:right w:val="nil"/>
                  </w:tcBorders>
                  <w:shd w:val="clear" w:color="auto" w:fill="auto"/>
                  <w:vAlign w:val="bottom"/>
                </w:tcPr>
                <w:p w14:paraId="7954C973" w14:textId="77777777" w:rsidR="00F05DC7" w:rsidRPr="007F5A12" w:rsidRDefault="00F05DC7" w:rsidP="00A3786D">
                  <w:pPr>
                    <w:pStyle w:val="TableBodyText"/>
                  </w:pPr>
                  <w:r w:rsidRPr="007F5A12">
                    <w:rPr>
                      <w:color w:val="000000"/>
                    </w:rPr>
                    <w:t>74</w:t>
                  </w:r>
                </w:p>
              </w:tc>
              <w:tc>
                <w:tcPr>
                  <w:tcW w:w="557" w:type="pct"/>
                  <w:tcBorders>
                    <w:top w:val="nil"/>
                    <w:left w:val="nil"/>
                    <w:bottom w:val="nil"/>
                    <w:right w:val="nil"/>
                  </w:tcBorders>
                  <w:shd w:val="clear" w:color="auto" w:fill="auto"/>
                  <w:vAlign w:val="bottom"/>
                </w:tcPr>
                <w:p w14:paraId="7954C974" w14:textId="77777777" w:rsidR="00F05DC7" w:rsidRPr="007F5A12" w:rsidRDefault="00F05DC7" w:rsidP="00A3786D">
                  <w:pPr>
                    <w:pStyle w:val="TableBodyText"/>
                  </w:pPr>
                  <w:r w:rsidRPr="007F5A12">
                    <w:rPr>
                      <w:color w:val="000000"/>
                    </w:rPr>
                    <w:t>-23</w:t>
                  </w:r>
                </w:p>
              </w:tc>
              <w:tc>
                <w:tcPr>
                  <w:tcW w:w="556" w:type="pct"/>
                  <w:tcBorders>
                    <w:top w:val="nil"/>
                    <w:left w:val="nil"/>
                    <w:bottom w:val="nil"/>
                    <w:right w:val="nil"/>
                  </w:tcBorders>
                  <w:shd w:val="clear" w:color="auto" w:fill="auto"/>
                  <w:vAlign w:val="bottom"/>
                </w:tcPr>
                <w:p w14:paraId="7954C975" w14:textId="77777777" w:rsidR="00F05DC7" w:rsidRPr="007F5A12" w:rsidRDefault="00F05DC7" w:rsidP="00A3786D">
                  <w:pPr>
                    <w:pStyle w:val="TableBodyText"/>
                  </w:pPr>
                  <w:r w:rsidRPr="007F5A12">
                    <w:rPr>
                      <w:color w:val="000000"/>
                    </w:rPr>
                    <w:t>-99</w:t>
                  </w:r>
                </w:p>
              </w:tc>
              <w:tc>
                <w:tcPr>
                  <w:tcW w:w="556" w:type="pct"/>
                  <w:tcBorders>
                    <w:top w:val="nil"/>
                    <w:left w:val="nil"/>
                    <w:bottom w:val="nil"/>
                    <w:right w:val="nil"/>
                  </w:tcBorders>
                  <w:shd w:val="clear" w:color="auto" w:fill="auto"/>
                  <w:vAlign w:val="bottom"/>
                </w:tcPr>
                <w:p w14:paraId="7954C976" w14:textId="77777777" w:rsidR="00F05DC7" w:rsidRPr="007F5A12" w:rsidRDefault="00F05DC7" w:rsidP="00A3786D">
                  <w:pPr>
                    <w:pStyle w:val="TableBodyText"/>
                  </w:pPr>
                  <w:r w:rsidRPr="007F5A12">
                    <w:rPr>
                      <w:color w:val="000000"/>
                    </w:rPr>
                    <w:t>127</w:t>
                  </w:r>
                </w:p>
              </w:tc>
              <w:tc>
                <w:tcPr>
                  <w:tcW w:w="555" w:type="pct"/>
                  <w:tcBorders>
                    <w:top w:val="nil"/>
                    <w:left w:val="nil"/>
                    <w:bottom w:val="nil"/>
                    <w:right w:val="nil"/>
                  </w:tcBorders>
                  <w:shd w:val="clear" w:color="auto" w:fill="auto"/>
                  <w:vAlign w:val="bottom"/>
                </w:tcPr>
                <w:p w14:paraId="7954C977" w14:textId="77777777" w:rsidR="00F05DC7" w:rsidRPr="007F5A12" w:rsidRDefault="00F05DC7" w:rsidP="00A3786D">
                  <w:pPr>
                    <w:pStyle w:val="TableBodyText"/>
                  </w:pPr>
                  <w:r w:rsidRPr="007F5A12">
                    <w:rPr>
                      <w:color w:val="000000"/>
                    </w:rPr>
                    <w:t>-97</w:t>
                  </w:r>
                </w:p>
              </w:tc>
              <w:tc>
                <w:tcPr>
                  <w:tcW w:w="555" w:type="pct"/>
                  <w:tcBorders>
                    <w:top w:val="nil"/>
                    <w:left w:val="nil"/>
                    <w:bottom w:val="nil"/>
                    <w:right w:val="nil"/>
                  </w:tcBorders>
                  <w:shd w:val="clear" w:color="auto" w:fill="auto"/>
                  <w:vAlign w:val="bottom"/>
                </w:tcPr>
                <w:p w14:paraId="7954C978" w14:textId="77777777" w:rsidR="00F05DC7" w:rsidRPr="007F5A12" w:rsidRDefault="00F05DC7" w:rsidP="00A3786D">
                  <w:pPr>
                    <w:pStyle w:val="TableBodyText"/>
                  </w:pPr>
                  <w:r w:rsidRPr="007F5A12">
                    <w:rPr>
                      <w:color w:val="000000"/>
                    </w:rPr>
                    <w:t>-97</w:t>
                  </w:r>
                </w:p>
              </w:tc>
              <w:tc>
                <w:tcPr>
                  <w:tcW w:w="555" w:type="pct"/>
                  <w:tcBorders>
                    <w:top w:val="nil"/>
                    <w:left w:val="nil"/>
                    <w:bottom w:val="nil"/>
                    <w:right w:val="nil"/>
                  </w:tcBorders>
                  <w:shd w:val="clear" w:color="auto" w:fill="auto"/>
                  <w:vAlign w:val="bottom"/>
                </w:tcPr>
                <w:p w14:paraId="7954C979" w14:textId="77777777" w:rsidR="00F05DC7" w:rsidRPr="007F5A12" w:rsidRDefault="00F05DC7" w:rsidP="00A3786D">
                  <w:pPr>
                    <w:pStyle w:val="TableBodyText"/>
                  </w:pPr>
                  <w:r w:rsidRPr="007F5A12">
                    <w:rPr>
                      <w:color w:val="000000"/>
                    </w:rPr>
                    <w:t>-99</w:t>
                  </w:r>
                </w:p>
              </w:tc>
              <w:tc>
                <w:tcPr>
                  <w:tcW w:w="553" w:type="pct"/>
                  <w:tcBorders>
                    <w:top w:val="nil"/>
                    <w:left w:val="nil"/>
                    <w:bottom w:val="nil"/>
                    <w:right w:val="nil"/>
                  </w:tcBorders>
                  <w:shd w:val="clear" w:color="auto" w:fill="auto"/>
                  <w:vAlign w:val="bottom"/>
                </w:tcPr>
                <w:p w14:paraId="7954C97A" w14:textId="77777777" w:rsidR="00F05DC7" w:rsidRPr="007F5A12" w:rsidRDefault="00F05DC7" w:rsidP="00A3786D">
                  <w:pPr>
                    <w:pStyle w:val="TableBodyText"/>
                  </w:pPr>
                  <w:r w:rsidRPr="007F5A12">
                    <w:rPr>
                      <w:color w:val="000000"/>
                    </w:rPr>
                    <w:t>-96</w:t>
                  </w:r>
                </w:p>
              </w:tc>
            </w:tr>
            <w:tr w:rsidR="00F05DC7" w:rsidRPr="00A75ED1" w14:paraId="7954C985" w14:textId="77777777" w:rsidTr="00A3786D">
              <w:tc>
                <w:tcPr>
                  <w:tcW w:w="556" w:type="pct"/>
                </w:tcPr>
                <w:p w14:paraId="7954C97C" w14:textId="77777777" w:rsidR="00F05DC7" w:rsidRPr="007F5A12" w:rsidRDefault="00F05DC7" w:rsidP="00A3786D">
                  <w:pPr>
                    <w:pStyle w:val="TableBodyText"/>
                  </w:pPr>
                  <w:r w:rsidRPr="007F5A12">
                    <w:t>2023</w:t>
                  </w:r>
                  <w:r w:rsidRPr="007F5A12">
                    <w:noBreakHyphen/>
                    <w:t>24</w:t>
                  </w:r>
                </w:p>
              </w:tc>
              <w:tc>
                <w:tcPr>
                  <w:tcW w:w="557" w:type="pct"/>
                  <w:tcBorders>
                    <w:top w:val="nil"/>
                    <w:left w:val="nil"/>
                    <w:bottom w:val="nil"/>
                    <w:right w:val="nil"/>
                  </w:tcBorders>
                  <w:shd w:val="clear" w:color="auto" w:fill="auto"/>
                  <w:vAlign w:val="bottom"/>
                </w:tcPr>
                <w:p w14:paraId="7954C97D" w14:textId="77777777" w:rsidR="00F05DC7" w:rsidRPr="007F5A12" w:rsidRDefault="00F05DC7" w:rsidP="00A3786D">
                  <w:pPr>
                    <w:pStyle w:val="TableBodyText"/>
                  </w:pPr>
                  <w:r w:rsidRPr="007F5A12">
                    <w:rPr>
                      <w:color w:val="000000"/>
                    </w:rPr>
                    <w:t>14</w:t>
                  </w:r>
                </w:p>
              </w:tc>
              <w:tc>
                <w:tcPr>
                  <w:tcW w:w="557" w:type="pct"/>
                  <w:tcBorders>
                    <w:top w:val="nil"/>
                    <w:left w:val="nil"/>
                    <w:bottom w:val="nil"/>
                    <w:right w:val="nil"/>
                  </w:tcBorders>
                  <w:shd w:val="clear" w:color="auto" w:fill="auto"/>
                  <w:vAlign w:val="bottom"/>
                </w:tcPr>
                <w:p w14:paraId="7954C97E" w14:textId="77777777" w:rsidR="00F05DC7" w:rsidRPr="007F5A12" w:rsidRDefault="00F05DC7" w:rsidP="00A3786D">
                  <w:pPr>
                    <w:pStyle w:val="TableBodyText"/>
                  </w:pPr>
                  <w:r w:rsidRPr="007F5A12">
                    <w:rPr>
                      <w:color w:val="000000"/>
                    </w:rPr>
                    <w:t>20</w:t>
                  </w:r>
                </w:p>
              </w:tc>
              <w:tc>
                <w:tcPr>
                  <w:tcW w:w="556" w:type="pct"/>
                  <w:tcBorders>
                    <w:top w:val="nil"/>
                    <w:left w:val="nil"/>
                    <w:bottom w:val="nil"/>
                    <w:right w:val="nil"/>
                  </w:tcBorders>
                  <w:shd w:val="clear" w:color="auto" w:fill="auto"/>
                  <w:vAlign w:val="bottom"/>
                </w:tcPr>
                <w:p w14:paraId="7954C97F" w14:textId="77777777" w:rsidR="00F05DC7" w:rsidRPr="007F5A12" w:rsidRDefault="00F05DC7" w:rsidP="00A3786D">
                  <w:pPr>
                    <w:pStyle w:val="TableBodyText"/>
                  </w:pPr>
                  <w:r w:rsidRPr="007F5A12">
                    <w:rPr>
                      <w:color w:val="000000"/>
                    </w:rPr>
                    <w:t>-6</w:t>
                  </w:r>
                </w:p>
              </w:tc>
              <w:tc>
                <w:tcPr>
                  <w:tcW w:w="556" w:type="pct"/>
                  <w:tcBorders>
                    <w:top w:val="nil"/>
                    <w:left w:val="nil"/>
                    <w:bottom w:val="nil"/>
                    <w:right w:val="nil"/>
                  </w:tcBorders>
                  <w:shd w:val="clear" w:color="auto" w:fill="auto"/>
                  <w:vAlign w:val="bottom"/>
                </w:tcPr>
                <w:p w14:paraId="7954C980" w14:textId="77777777" w:rsidR="00F05DC7" w:rsidRPr="007F5A12" w:rsidRDefault="00F05DC7" w:rsidP="00A3786D">
                  <w:pPr>
                    <w:pStyle w:val="TableBodyText"/>
                  </w:pPr>
                  <w:r w:rsidRPr="007F5A12">
                    <w:rPr>
                      <w:color w:val="000000"/>
                    </w:rPr>
                    <w:t>-81</w:t>
                  </w:r>
                </w:p>
              </w:tc>
              <w:tc>
                <w:tcPr>
                  <w:tcW w:w="555" w:type="pct"/>
                  <w:tcBorders>
                    <w:top w:val="nil"/>
                    <w:left w:val="nil"/>
                    <w:bottom w:val="nil"/>
                    <w:right w:val="nil"/>
                  </w:tcBorders>
                  <w:shd w:val="clear" w:color="auto" w:fill="auto"/>
                  <w:vAlign w:val="bottom"/>
                </w:tcPr>
                <w:p w14:paraId="7954C981" w14:textId="77777777" w:rsidR="00F05DC7" w:rsidRPr="007F5A12" w:rsidRDefault="00F05DC7" w:rsidP="00A3786D">
                  <w:pPr>
                    <w:pStyle w:val="TableBodyText"/>
                  </w:pPr>
                  <w:r w:rsidRPr="007F5A12">
                    <w:rPr>
                      <w:color w:val="000000"/>
                    </w:rPr>
                    <w:t>-4</w:t>
                  </w:r>
                </w:p>
              </w:tc>
              <w:tc>
                <w:tcPr>
                  <w:tcW w:w="555" w:type="pct"/>
                  <w:tcBorders>
                    <w:top w:val="nil"/>
                    <w:left w:val="nil"/>
                    <w:bottom w:val="nil"/>
                    <w:right w:val="nil"/>
                  </w:tcBorders>
                  <w:shd w:val="clear" w:color="auto" w:fill="auto"/>
                  <w:vAlign w:val="bottom"/>
                </w:tcPr>
                <w:p w14:paraId="7954C982" w14:textId="77777777" w:rsidR="00F05DC7" w:rsidRPr="007F5A12" w:rsidRDefault="00F05DC7" w:rsidP="00A3786D">
                  <w:pPr>
                    <w:pStyle w:val="TableBodyText"/>
                  </w:pPr>
                  <w:r w:rsidRPr="007F5A12">
                    <w:rPr>
                      <w:color w:val="000000"/>
                    </w:rPr>
                    <w:t>-3</w:t>
                  </w:r>
                </w:p>
              </w:tc>
              <w:tc>
                <w:tcPr>
                  <w:tcW w:w="555" w:type="pct"/>
                  <w:tcBorders>
                    <w:top w:val="nil"/>
                    <w:left w:val="nil"/>
                    <w:bottom w:val="nil"/>
                    <w:right w:val="nil"/>
                  </w:tcBorders>
                  <w:shd w:val="clear" w:color="auto" w:fill="auto"/>
                  <w:vAlign w:val="bottom"/>
                </w:tcPr>
                <w:p w14:paraId="7954C983" w14:textId="77777777" w:rsidR="00F05DC7" w:rsidRPr="007F5A12" w:rsidRDefault="00F05DC7" w:rsidP="00A3786D">
                  <w:pPr>
                    <w:pStyle w:val="TableBodyText"/>
                  </w:pPr>
                  <w:r w:rsidRPr="007F5A12">
                    <w:rPr>
                      <w:color w:val="000000"/>
                    </w:rPr>
                    <w:t>-6</w:t>
                  </w:r>
                </w:p>
              </w:tc>
              <w:tc>
                <w:tcPr>
                  <w:tcW w:w="553" w:type="pct"/>
                  <w:tcBorders>
                    <w:top w:val="nil"/>
                    <w:left w:val="nil"/>
                    <w:bottom w:val="nil"/>
                    <w:right w:val="nil"/>
                  </w:tcBorders>
                  <w:shd w:val="clear" w:color="auto" w:fill="auto"/>
                  <w:vAlign w:val="bottom"/>
                </w:tcPr>
                <w:p w14:paraId="7954C984" w14:textId="77777777" w:rsidR="00F05DC7" w:rsidRPr="007F5A12" w:rsidRDefault="00F05DC7" w:rsidP="00A3786D">
                  <w:pPr>
                    <w:pStyle w:val="TableBodyText"/>
                  </w:pPr>
                  <w:r w:rsidRPr="007F5A12">
                    <w:rPr>
                      <w:color w:val="000000"/>
                    </w:rPr>
                    <w:t>-2</w:t>
                  </w:r>
                </w:p>
              </w:tc>
            </w:tr>
            <w:tr w:rsidR="00F05DC7" w:rsidRPr="00A75ED1" w14:paraId="7954C98F" w14:textId="77777777" w:rsidTr="00A3786D">
              <w:tc>
                <w:tcPr>
                  <w:tcW w:w="556" w:type="pct"/>
                </w:tcPr>
                <w:p w14:paraId="7954C986" w14:textId="77777777" w:rsidR="00F05DC7" w:rsidRPr="007F5A12" w:rsidRDefault="00F05DC7" w:rsidP="00A3786D">
                  <w:pPr>
                    <w:pStyle w:val="TableBodyText"/>
                  </w:pPr>
                  <w:r w:rsidRPr="007F5A12">
                    <w:t>2024</w:t>
                  </w:r>
                  <w:r w:rsidRPr="007F5A12">
                    <w:noBreakHyphen/>
                    <w:t>25</w:t>
                  </w:r>
                </w:p>
              </w:tc>
              <w:tc>
                <w:tcPr>
                  <w:tcW w:w="557" w:type="pct"/>
                  <w:tcBorders>
                    <w:top w:val="nil"/>
                    <w:left w:val="nil"/>
                    <w:bottom w:val="nil"/>
                    <w:right w:val="nil"/>
                  </w:tcBorders>
                  <w:shd w:val="clear" w:color="auto" w:fill="auto"/>
                  <w:vAlign w:val="bottom"/>
                </w:tcPr>
                <w:p w14:paraId="7954C987" w14:textId="77777777" w:rsidR="00F05DC7" w:rsidRPr="007F5A12" w:rsidRDefault="00F05DC7" w:rsidP="00A3786D">
                  <w:pPr>
                    <w:pStyle w:val="TableBodyText"/>
                  </w:pPr>
                  <w:r w:rsidRPr="007F5A12">
                    <w:rPr>
                      <w:color w:val="000000"/>
                    </w:rPr>
                    <w:t>5</w:t>
                  </w:r>
                </w:p>
              </w:tc>
              <w:tc>
                <w:tcPr>
                  <w:tcW w:w="557" w:type="pct"/>
                  <w:tcBorders>
                    <w:top w:val="nil"/>
                    <w:left w:val="nil"/>
                    <w:bottom w:val="nil"/>
                    <w:right w:val="nil"/>
                  </w:tcBorders>
                  <w:shd w:val="clear" w:color="auto" w:fill="auto"/>
                  <w:vAlign w:val="bottom"/>
                </w:tcPr>
                <w:p w14:paraId="7954C988" w14:textId="77777777" w:rsidR="00F05DC7" w:rsidRPr="007F5A12" w:rsidRDefault="00F05DC7" w:rsidP="00A3786D">
                  <w:pPr>
                    <w:pStyle w:val="TableBodyText"/>
                  </w:pPr>
                  <w:r w:rsidRPr="007F5A12">
                    <w:rPr>
                      <w:color w:val="000000"/>
                    </w:rPr>
                    <w:t>21</w:t>
                  </w:r>
                </w:p>
              </w:tc>
              <w:tc>
                <w:tcPr>
                  <w:tcW w:w="556" w:type="pct"/>
                  <w:tcBorders>
                    <w:top w:val="nil"/>
                    <w:left w:val="nil"/>
                    <w:bottom w:val="nil"/>
                    <w:right w:val="nil"/>
                  </w:tcBorders>
                  <w:shd w:val="clear" w:color="auto" w:fill="auto"/>
                  <w:vAlign w:val="bottom"/>
                </w:tcPr>
                <w:p w14:paraId="7954C989" w14:textId="77777777" w:rsidR="00F05DC7" w:rsidRPr="007F5A12" w:rsidRDefault="00F05DC7" w:rsidP="00A3786D">
                  <w:pPr>
                    <w:pStyle w:val="TableBodyText"/>
                  </w:pPr>
                  <w:r w:rsidRPr="007F5A12">
                    <w:rPr>
                      <w:color w:val="000000"/>
                    </w:rPr>
                    <w:t>-8</w:t>
                  </w:r>
                </w:p>
              </w:tc>
              <w:tc>
                <w:tcPr>
                  <w:tcW w:w="556" w:type="pct"/>
                  <w:tcBorders>
                    <w:top w:val="nil"/>
                    <w:left w:val="nil"/>
                    <w:bottom w:val="nil"/>
                    <w:right w:val="nil"/>
                  </w:tcBorders>
                  <w:shd w:val="clear" w:color="auto" w:fill="auto"/>
                  <w:vAlign w:val="bottom"/>
                </w:tcPr>
                <w:p w14:paraId="7954C98A" w14:textId="77777777" w:rsidR="00F05DC7" w:rsidRPr="007F5A12" w:rsidRDefault="00F05DC7" w:rsidP="00A3786D">
                  <w:pPr>
                    <w:pStyle w:val="TableBodyText"/>
                  </w:pPr>
                  <w:r w:rsidRPr="007F5A12">
                    <w:rPr>
                      <w:color w:val="000000"/>
                    </w:rPr>
                    <w:t>-51</w:t>
                  </w:r>
                </w:p>
              </w:tc>
              <w:tc>
                <w:tcPr>
                  <w:tcW w:w="555" w:type="pct"/>
                  <w:tcBorders>
                    <w:top w:val="nil"/>
                    <w:left w:val="nil"/>
                    <w:bottom w:val="nil"/>
                    <w:right w:val="nil"/>
                  </w:tcBorders>
                  <w:shd w:val="clear" w:color="auto" w:fill="auto"/>
                  <w:vAlign w:val="bottom"/>
                </w:tcPr>
                <w:p w14:paraId="7954C98B" w14:textId="77777777" w:rsidR="00F05DC7" w:rsidRPr="007F5A12" w:rsidRDefault="00F05DC7" w:rsidP="00A3786D">
                  <w:pPr>
                    <w:pStyle w:val="TableBodyText"/>
                  </w:pPr>
                  <w:r w:rsidRPr="007F5A12">
                    <w:rPr>
                      <w:color w:val="000000"/>
                    </w:rPr>
                    <w:t>-6</w:t>
                  </w:r>
                </w:p>
              </w:tc>
              <w:tc>
                <w:tcPr>
                  <w:tcW w:w="555" w:type="pct"/>
                  <w:tcBorders>
                    <w:top w:val="nil"/>
                    <w:left w:val="nil"/>
                    <w:bottom w:val="nil"/>
                    <w:right w:val="nil"/>
                  </w:tcBorders>
                  <w:shd w:val="clear" w:color="auto" w:fill="auto"/>
                  <w:vAlign w:val="bottom"/>
                </w:tcPr>
                <w:p w14:paraId="7954C98C" w14:textId="77777777" w:rsidR="00F05DC7" w:rsidRPr="007F5A12" w:rsidRDefault="00F05DC7" w:rsidP="00A3786D">
                  <w:pPr>
                    <w:pStyle w:val="TableBodyText"/>
                  </w:pPr>
                  <w:r w:rsidRPr="007F5A12">
                    <w:rPr>
                      <w:color w:val="000000"/>
                    </w:rPr>
                    <w:t>-5</w:t>
                  </w:r>
                </w:p>
              </w:tc>
              <w:tc>
                <w:tcPr>
                  <w:tcW w:w="555" w:type="pct"/>
                  <w:tcBorders>
                    <w:top w:val="nil"/>
                    <w:left w:val="nil"/>
                    <w:bottom w:val="nil"/>
                    <w:right w:val="nil"/>
                  </w:tcBorders>
                  <w:shd w:val="clear" w:color="auto" w:fill="auto"/>
                  <w:vAlign w:val="bottom"/>
                </w:tcPr>
                <w:p w14:paraId="7954C98D" w14:textId="77777777" w:rsidR="00F05DC7" w:rsidRPr="007F5A12" w:rsidRDefault="00F05DC7" w:rsidP="00A3786D">
                  <w:pPr>
                    <w:pStyle w:val="TableBodyText"/>
                  </w:pPr>
                  <w:r w:rsidRPr="007F5A12">
                    <w:rPr>
                      <w:color w:val="000000"/>
                    </w:rPr>
                    <w:t>-8</w:t>
                  </w:r>
                </w:p>
              </w:tc>
              <w:tc>
                <w:tcPr>
                  <w:tcW w:w="553" w:type="pct"/>
                  <w:tcBorders>
                    <w:top w:val="nil"/>
                    <w:left w:val="nil"/>
                    <w:bottom w:val="nil"/>
                    <w:right w:val="nil"/>
                  </w:tcBorders>
                  <w:shd w:val="clear" w:color="auto" w:fill="auto"/>
                  <w:vAlign w:val="bottom"/>
                </w:tcPr>
                <w:p w14:paraId="7954C98E" w14:textId="77777777" w:rsidR="00F05DC7" w:rsidRPr="007F5A12" w:rsidRDefault="00F05DC7" w:rsidP="00A3786D">
                  <w:pPr>
                    <w:pStyle w:val="TableBodyText"/>
                  </w:pPr>
                  <w:r w:rsidRPr="007F5A12">
                    <w:rPr>
                      <w:color w:val="000000"/>
                    </w:rPr>
                    <w:t>-4</w:t>
                  </w:r>
                </w:p>
              </w:tc>
            </w:tr>
            <w:tr w:rsidR="00F05DC7" w:rsidRPr="00A75ED1" w14:paraId="7954C999" w14:textId="77777777" w:rsidTr="00A3786D">
              <w:tc>
                <w:tcPr>
                  <w:tcW w:w="556" w:type="pct"/>
                </w:tcPr>
                <w:p w14:paraId="7954C990" w14:textId="77777777" w:rsidR="00F05DC7" w:rsidRPr="007F5A12" w:rsidRDefault="00F05DC7" w:rsidP="00A3786D">
                  <w:pPr>
                    <w:pStyle w:val="TableBodyText"/>
                  </w:pPr>
                  <w:r w:rsidRPr="007F5A12">
                    <w:t>2025</w:t>
                  </w:r>
                  <w:r w:rsidRPr="007F5A12">
                    <w:noBreakHyphen/>
                    <w:t>26</w:t>
                  </w:r>
                </w:p>
              </w:tc>
              <w:tc>
                <w:tcPr>
                  <w:tcW w:w="557" w:type="pct"/>
                  <w:tcBorders>
                    <w:top w:val="nil"/>
                    <w:left w:val="nil"/>
                    <w:bottom w:val="nil"/>
                    <w:right w:val="nil"/>
                  </w:tcBorders>
                  <w:shd w:val="clear" w:color="auto" w:fill="auto"/>
                  <w:vAlign w:val="bottom"/>
                </w:tcPr>
                <w:p w14:paraId="7954C991" w14:textId="77777777" w:rsidR="00F05DC7" w:rsidRPr="007F5A12" w:rsidRDefault="00F05DC7" w:rsidP="00A3786D">
                  <w:pPr>
                    <w:pStyle w:val="TableBodyText"/>
                  </w:pPr>
                  <w:r w:rsidRPr="007F5A12">
                    <w:rPr>
                      <w:color w:val="000000"/>
                    </w:rPr>
                    <w:t>5</w:t>
                  </w:r>
                </w:p>
              </w:tc>
              <w:tc>
                <w:tcPr>
                  <w:tcW w:w="557" w:type="pct"/>
                  <w:tcBorders>
                    <w:top w:val="nil"/>
                    <w:left w:val="nil"/>
                    <w:bottom w:val="nil"/>
                    <w:right w:val="nil"/>
                  </w:tcBorders>
                  <w:shd w:val="clear" w:color="auto" w:fill="auto"/>
                  <w:vAlign w:val="bottom"/>
                </w:tcPr>
                <w:p w14:paraId="7954C992" w14:textId="77777777" w:rsidR="00F05DC7" w:rsidRPr="007F5A12" w:rsidRDefault="00F05DC7" w:rsidP="00A3786D">
                  <w:pPr>
                    <w:pStyle w:val="TableBodyText"/>
                  </w:pPr>
                  <w:r w:rsidRPr="007F5A12">
                    <w:rPr>
                      <w:color w:val="000000"/>
                    </w:rPr>
                    <w:t>26</w:t>
                  </w:r>
                </w:p>
              </w:tc>
              <w:tc>
                <w:tcPr>
                  <w:tcW w:w="556" w:type="pct"/>
                  <w:tcBorders>
                    <w:top w:val="nil"/>
                    <w:left w:val="nil"/>
                    <w:bottom w:val="nil"/>
                    <w:right w:val="nil"/>
                  </w:tcBorders>
                  <w:shd w:val="clear" w:color="auto" w:fill="auto"/>
                  <w:vAlign w:val="bottom"/>
                </w:tcPr>
                <w:p w14:paraId="7954C993" w14:textId="77777777" w:rsidR="00F05DC7" w:rsidRPr="007F5A12" w:rsidRDefault="00F05DC7" w:rsidP="00A3786D">
                  <w:pPr>
                    <w:pStyle w:val="TableBodyText"/>
                  </w:pPr>
                  <w:r w:rsidRPr="007F5A12">
                    <w:rPr>
                      <w:color w:val="000000"/>
                    </w:rPr>
                    <w:t>-10</w:t>
                  </w:r>
                </w:p>
              </w:tc>
              <w:tc>
                <w:tcPr>
                  <w:tcW w:w="556" w:type="pct"/>
                  <w:tcBorders>
                    <w:top w:val="nil"/>
                    <w:left w:val="nil"/>
                    <w:bottom w:val="nil"/>
                    <w:right w:val="nil"/>
                  </w:tcBorders>
                  <w:shd w:val="clear" w:color="auto" w:fill="auto"/>
                  <w:vAlign w:val="bottom"/>
                </w:tcPr>
                <w:p w14:paraId="7954C994" w14:textId="77777777" w:rsidR="00F05DC7" w:rsidRPr="007F5A12" w:rsidRDefault="00F05DC7" w:rsidP="00A3786D">
                  <w:pPr>
                    <w:pStyle w:val="TableBodyText"/>
                  </w:pPr>
                  <w:r w:rsidRPr="007F5A12">
                    <w:rPr>
                      <w:color w:val="000000"/>
                    </w:rPr>
                    <w:t>-55</w:t>
                  </w:r>
                </w:p>
              </w:tc>
              <w:tc>
                <w:tcPr>
                  <w:tcW w:w="555" w:type="pct"/>
                  <w:tcBorders>
                    <w:top w:val="nil"/>
                    <w:left w:val="nil"/>
                    <w:bottom w:val="nil"/>
                    <w:right w:val="nil"/>
                  </w:tcBorders>
                  <w:shd w:val="clear" w:color="auto" w:fill="auto"/>
                  <w:vAlign w:val="bottom"/>
                </w:tcPr>
                <w:p w14:paraId="7954C995" w14:textId="77777777" w:rsidR="00F05DC7" w:rsidRPr="007F5A12" w:rsidRDefault="00F05DC7" w:rsidP="00A3786D">
                  <w:pPr>
                    <w:pStyle w:val="TableBodyText"/>
                  </w:pPr>
                  <w:r w:rsidRPr="007F5A12">
                    <w:rPr>
                      <w:color w:val="000000"/>
                    </w:rPr>
                    <w:t>-8</w:t>
                  </w:r>
                </w:p>
              </w:tc>
              <w:tc>
                <w:tcPr>
                  <w:tcW w:w="555" w:type="pct"/>
                  <w:tcBorders>
                    <w:top w:val="nil"/>
                    <w:left w:val="nil"/>
                    <w:bottom w:val="nil"/>
                    <w:right w:val="nil"/>
                  </w:tcBorders>
                  <w:shd w:val="clear" w:color="auto" w:fill="auto"/>
                  <w:vAlign w:val="bottom"/>
                </w:tcPr>
                <w:p w14:paraId="7954C996" w14:textId="77777777" w:rsidR="00F05DC7" w:rsidRPr="007F5A12" w:rsidRDefault="00F05DC7" w:rsidP="00A3786D">
                  <w:pPr>
                    <w:pStyle w:val="TableBodyText"/>
                  </w:pPr>
                  <w:r w:rsidRPr="007F5A12">
                    <w:rPr>
                      <w:color w:val="000000"/>
                    </w:rPr>
                    <w:t>-7</w:t>
                  </w:r>
                </w:p>
              </w:tc>
              <w:tc>
                <w:tcPr>
                  <w:tcW w:w="555" w:type="pct"/>
                  <w:tcBorders>
                    <w:top w:val="nil"/>
                    <w:left w:val="nil"/>
                    <w:bottom w:val="nil"/>
                    <w:right w:val="nil"/>
                  </w:tcBorders>
                  <w:shd w:val="clear" w:color="auto" w:fill="auto"/>
                  <w:vAlign w:val="bottom"/>
                </w:tcPr>
                <w:p w14:paraId="7954C997" w14:textId="77777777" w:rsidR="00F05DC7" w:rsidRPr="007F5A12" w:rsidRDefault="00F05DC7" w:rsidP="00A3786D">
                  <w:pPr>
                    <w:pStyle w:val="TableBodyText"/>
                  </w:pPr>
                  <w:r w:rsidRPr="007F5A12">
                    <w:rPr>
                      <w:color w:val="000000"/>
                    </w:rPr>
                    <w:t>-10</w:t>
                  </w:r>
                </w:p>
              </w:tc>
              <w:tc>
                <w:tcPr>
                  <w:tcW w:w="553" w:type="pct"/>
                  <w:tcBorders>
                    <w:top w:val="nil"/>
                    <w:left w:val="nil"/>
                    <w:bottom w:val="nil"/>
                    <w:right w:val="nil"/>
                  </w:tcBorders>
                  <w:shd w:val="clear" w:color="auto" w:fill="auto"/>
                  <w:vAlign w:val="bottom"/>
                </w:tcPr>
                <w:p w14:paraId="7954C998" w14:textId="77777777" w:rsidR="00F05DC7" w:rsidRPr="007F5A12" w:rsidRDefault="00F05DC7" w:rsidP="00A3786D">
                  <w:pPr>
                    <w:pStyle w:val="TableBodyText"/>
                  </w:pPr>
                  <w:r w:rsidRPr="007F5A12">
                    <w:rPr>
                      <w:color w:val="000000"/>
                    </w:rPr>
                    <w:t>-6</w:t>
                  </w:r>
                </w:p>
              </w:tc>
            </w:tr>
            <w:tr w:rsidR="00F05DC7" w:rsidRPr="00A75ED1" w14:paraId="7954C9A3" w14:textId="77777777" w:rsidTr="002341D7">
              <w:tc>
                <w:tcPr>
                  <w:tcW w:w="556" w:type="pct"/>
                </w:tcPr>
                <w:p w14:paraId="7954C99A" w14:textId="77777777" w:rsidR="00F05DC7" w:rsidRPr="007F5A12" w:rsidRDefault="00F05DC7" w:rsidP="00A3786D">
                  <w:pPr>
                    <w:pStyle w:val="TableBodyText"/>
                  </w:pPr>
                  <w:r w:rsidRPr="007F5A12">
                    <w:t>2026</w:t>
                  </w:r>
                  <w:r w:rsidRPr="007F5A12">
                    <w:noBreakHyphen/>
                    <w:t>27</w:t>
                  </w:r>
                </w:p>
              </w:tc>
              <w:tc>
                <w:tcPr>
                  <w:tcW w:w="557" w:type="pct"/>
                  <w:tcBorders>
                    <w:top w:val="nil"/>
                    <w:left w:val="nil"/>
                    <w:right w:val="nil"/>
                  </w:tcBorders>
                  <w:shd w:val="clear" w:color="auto" w:fill="auto"/>
                  <w:vAlign w:val="bottom"/>
                </w:tcPr>
                <w:p w14:paraId="7954C99B" w14:textId="77777777" w:rsidR="00F05DC7" w:rsidRPr="007F5A12" w:rsidRDefault="00F05DC7" w:rsidP="00A3786D">
                  <w:pPr>
                    <w:pStyle w:val="TableBodyText"/>
                  </w:pPr>
                  <w:r w:rsidRPr="007F5A12">
                    <w:rPr>
                      <w:color w:val="000000"/>
                    </w:rPr>
                    <w:t>-4</w:t>
                  </w:r>
                </w:p>
              </w:tc>
              <w:tc>
                <w:tcPr>
                  <w:tcW w:w="557" w:type="pct"/>
                  <w:tcBorders>
                    <w:top w:val="nil"/>
                    <w:left w:val="nil"/>
                    <w:right w:val="nil"/>
                  </w:tcBorders>
                  <w:shd w:val="clear" w:color="auto" w:fill="auto"/>
                  <w:vAlign w:val="bottom"/>
                </w:tcPr>
                <w:p w14:paraId="7954C99C" w14:textId="77777777" w:rsidR="00F05DC7" w:rsidRPr="007F5A12" w:rsidRDefault="00F05DC7" w:rsidP="00A3786D">
                  <w:pPr>
                    <w:pStyle w:val="TableBodyText"/>
                  </w:pPr>
                  <w:r w:rsidRPr="007F5A12">
                    <w:rPr>
                      <w:color w:val="000000"/>
                    </w:rPr>
                    <w:t>21</w:t>
                  </w:r>
                </w:p>
              </w:tc>
              <w:tc>
                <w:tcPr>
                  <w:tcW w:w="556" w:type="pct"/>
                  <w:tcBorders>
                    <w:top w:val="nil"/>
                    <w:left w:val="nil"/>
                    <w:right w:val="nil"/>
                  </w:tcBorders>
                  <w:shd w:val="clear" w:color="auto" w:fill="auto"/>
                  <w:vAlign w:val="bottom"/>
                </w:tcPr>
                <w:p w14:paraId="7954C99D" w14:textId="77777777" w:rsidR="00F05DC7" w:rsidRPr="007F5A12" w:rsidRDefault="00F05DC7" w:rsidP="00A3786D">
                  <w:pPr>
                    <w:pStyle w:val="TableBodyText"/>
                  </w:pPr>
                  <w:r w:rsidRPr="007F5A12">
                    <w:rPr>
                      <w:color w:val="000000"/>
                    </w:rPr>
                    <w:t>-11</w:t>
                  </w:r>
                </w:p>
              </w:tc>
              <w:tc>
                <w:tcPr>
                  <w:tcW w:w="556" w:type="pct"/>
                  <w:tcBorders>
                    <w:top w:val="nil"/>
                    <w:left w:val="nil"/>
                    <w:right w:val="nil"/>
                  </w:tcBorders>
                  <w:shd w:val="clear" w:color="auto" w:fill="auto"/>
                  <w:vAlign w:val="bottom"/>
                </w:tcPr>
                <w:p w14:paraId="7954C99E" w14:textId="77777777" w:rsidR="00F05DC7" w:rsidRPr="007F5A12" w:rsidRDefault="00F05DC7" w:rsidP="00A3786D">
                  <w:pPr>
                    <w:pStyle w:val="TableBodyText"/>
                  </w:pPr>
                  <w:r w:rsidRPr="007F5A12">
                    <w:rPr>
                      <w:color w:val="000000"/>
                    </w:rPr>
                    <w:t>-14</w:t>
                  </w:r>
                </w:p>
              </w:tc>
              <w:tc>
                <w:tcPr>
                  <w:tcW w:w="555" w:type="pct"/>
                  <w:tcBorders>
                    <w:top w:val="nil"/>
                    <w:left w:val="nil"/>
                    <w:right w:val="nil"/>
                  </w:tcBorders>
                  <w:shd w:val="clear" w:color="auto" w:fill="auto"/>
                  <w:vAlign w:val="bottom"/>
                </w:tcPr>
                <w:p w14:paraId="7954C99F" w14:textId="77777777" w:rsidR="00F05DC7" w:rsidRPr="007F5A12" w:rsidRDefault="00F05DC7" w:rsidP="00A3786D">
                  <w:pPr>
                    <w:pStyle w:val="TableBodyText"/>
                  </w:pPr>
                  <w:r w:rsidRPr="007F5A12">
                    <w:rPr>
                      <w:color w:val="000000"/>
                    </w:rPr>
                    <w:t>-9</w:t>
                  </w:r>
                </w:p>
              </w:tc>
              <w:tc>
                <w:tcPr>
                  <w:tcW w:w="555" w:type="pct"/>
                  <w:tcBorders>
                    <w:top w:val="nil"/>
                    <w:left w:val="nil"/>
                    <w:right w:val="nil"/>
                  </w:tcBorders>
                  <w:shd w:val="clear" w:color="auto" w:fill="auto"/>
                  <w:vAlign w:val="bottom"/>
                </w:tcPr>
                <w:p w14:paraId="7954C9A0" w14:textId="77777777" w:rsidR="00F05DC7" w:rsidRPr="007F5A12" w:rsidRDefault="00F05DC7" w:rsidP="00A3786D">
                  <w:pPr>
                    <w:pStyle w:val="TableBodyText"/>
                  </w:pPr>
                  <w:r w:rsidRPr="007F5A12">
                    <w:rPr>
                      <w:color w:val="000000"/>
                    </w:rPr>
                    <w:t>-8</w:t>
                  </w:r>
                </w:p>
              </w:tc>
              <w:tc>
                <w:tcPr>
                  <w:tcW w:w="555" w:type="pct"/>
                  <w:tcBorders>
                    <w:top w:val="nil"/>
                    <w:left w:val="nil"/>
                    <w:right w:val="nil"/>
                  </w:tcBorders>
                  <w:shd w:val="clear" w:color="auto" w:fill="auto"/>
                  <w:vAlign w:val="bottom"/>
                </w:tcPr>
                <w:p w14:paraId="7954C9A1" w14:textId="77777777" w:rsidR="00F05DC7" w:rsidRPr="007F5A12" w:rsidRDefault="00F05DC7" w:rsidP="00A3786D">
                  <w:pPr>
                    <w:pStyle w:val="TableBodyText"/>
                  </w:pPr>
                  <w:r w:rsidRPr="007F5A12">
                    <w:rPr>
                      <w:color w:val="000000"/>
                    </w:rPr>
                    <w:t>-11</w:t>
                  </w:r>
                </w:p>
              </w:tc>
              <w:tc>
                <w:tcPr>
                  <w:tcW w:w="553" w:type="pct"/>
                  <w:tcBorders>
                    <w:top w:val="nil"/>
                    <w:left w:val="nil"/>
                    <w:right w:val="nil"/>
                  </w:tcBorders>
                  <w:shd w:val="clear" w:color="auto" w:fill="auto"/>
                  <w:vAlign w:val="bottom"/>
                </w:tcPr>
                <w:p w14:paraId="7954C9A2" w14:textId="77777777" w:rsidR="00F05DC7" w:rsidRPr="007F5A12" w:rsidRDefault="00F05DC7" w:rsidP="00A3786D">
                  <w:pPr>
                    <w:pStyle w:val="TableBodyText"/>
                  </w:pPr>
                  <w:r w:rsidRPr="007F5A12">
                    <w:rPr>
                      <w:color w:val="000000"/>
                    </w:rPr>
                    <w:t>-7</w:t>
                  </w:r>
                </w:p>
              </w:tc>
            </w:tr>
            <w:tr w:rsidR="00F05DC7" w:rsidRPr="00A75ED1" w14:paraId="7954C9A5" w14:textId="77777777" w:rsidTr="002341D7">
              <w:tc>
                <w:tcPr>
                  <w:tcW w:w="5000" w:type="pct"/>
                  <w:gridSpan w:val="9"/>
                  <w:shd w:val="clear" w:color="auto" w:fill="F2F2F2" w:themeFill="background1" w:themeFillShade="F2"/>
                </w:tcPr>
                <w:p w14:paraId="7954C9A4"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C9AF" w14:textId="77777777" w:rsidTr="00A3786D">
              <w:tc>
                <w:tcPr>
                  <w:tcW w:w="556" w:type="pct"/>
                  <w:shd w:val="clear" w:color="auto" w:fill="auto"/>
                  <w:vAlign w:val="bottom"/>
                </w:tcPr>
                <w:p w14:paraId="7954C9A6" w14:textId="77777777" w:rsidR="00F05DC7" w:rsidRPr="00911F46" w:rsidRDefault="00F05DC7" w:rsidP="00A3786D">
                  <w:pPr>
                    <w:pStyle w:val="TableBodyText"/>
                  </w:pPr>
                  <w:r w:rsidRPr="00911F46">
                    <w:t>2019</w:t>
                  </w:r>
                  <w:r>
                    <w:noBreakHyphen/>
                  </w:r>
                  <w:r w:rsidRPr="00911F46">
                    <w:t>20</w:t>
                  </w:r>
                </w:p>
              </w:tc>
              <w:tc>
                <w:tcPr>
                  <w:tcW w:w="557" w:type="pct"/>
                  <w:tcBorders>
                    <w:top w:val="nil"/>
                    <w:left w:val="nil"/>
                    <w:bottom w:val="nil"/>
                    <w:right w:val="nil"/>
                  </w:tcBorders>
                  <w:shd w:val="clear" w:color="auto" w:fill="auto"/>
                  <w:vAlign w:val="bottom"/>
                </w:tcPr>
                <w:p w14:paraId="7954C9A7" w14:textId="77777777" w:rsidR="00F05DC7" w:rsidRPr="00911F46" w:rsidRDefault="00F05DC7" w:rsidP="00A3786D">
                  <w:pPr>
                    <w:pStyle w:val="TableBodyText"/>
                  </w:pPr>
                  <w:r w:rsidRPr="00911F46">
                    <w:rPr>
                      <w:color w:val="000000"/>
                    </w:rPr>
                    <w:t>0.42</w:t>
                  </w:r>
                </w:p>
              </w:tc>
              <w:tc>
                <w:tcPr>
                  <w:tcW w:w="557" w:type="pct"/>
                  <w:tcBorders>
                    <w:top w:val="nil"/>
                    <w:left w:val="nil"/>
                    <w:bottom w:val="nil"/>
                    <w:right w:val="nil"/>
                  </w:tcBorders>
                  <w:shd w:val="clear" w:color="auto" w:fill="auto"/>
                  <w:vAlign w:val="bottom"/>
                </w:tcPr>
                <w:p w14:paraId="7954C9A8" w14:textId="77777777" w:rsidR="00F05DC7" w:rsidRPr="00911F46" w:rsidRDefault="00F05DC7" w:rsidP="00A3786D">
                  <w:pPr>
                    <w:pStyle w:val="TableBodyText"/>
                  </w:pPr>
                  <w:r>
                    <w:rPr>
                      <w:color w:val="000000"/>
                    </w:rPr>
                    <w:noBreakHyphen/>
                  </w:r>
                  <w:r w:rsidRPr="00911F46">
                    <w:rPr>
                      <w:color w:val="000000"/>
                    </w:rPr>
                    <w:t>0.44</w:t>
                  </w:r>
                </w:p>
              </w:tc>
              <w:tc>
                <w:tcPr>
                  <w:tcW w:w="556" w:type="pct"/>
                  <w:tcBorders>
                    <w:top w:val="nil"/>
                    <w:left w:val="nil"/>
                    <w:bottom w:val="nil"/>
                    <w:right w:val="nil"/>
                  </w:tcBorders>
                  <w:shd w:val="clear" w:color="auto" w:fill="auto"/>
                  <w:vAlign w:val="bottom"/>
                </w:tcPr>
                <w:p w14:paraId="7954C9A9" w14:textId="77777777" w:rsidR="00F05DC7" w:rsidRPr="00911F46" w:rsidRDefault="00F05DC7" w:rsidP="00A3786D">
                  <w:pPr>
                    <w:pStyle w:val="TableBodyText"/>
                  </w:pPr>
                  <w:r>
                    <w:rPr>
                      <w:color w:val="000000"/>
                    </w:rPr>
                    <w:noBreakHyphen/>
                  </w:r>
                  <w:r w:rsidRPr="00911F46">
                    <w:rPr>
                      <w:color w:val="000000"/>
                    </w:rPr>
                    <w:t>0.64</w:t>
                  </w:r>
                </w:p>
              </w:tc>
              <w:tc>
                <w:tcPr>
                  <w:tcW w:w="556" w:type="pct"/>
                  <w:tcBorders>
                    <w:top w:val="nil"/>
                    <w:left w:val="nil"/>
                    <w:bottom w:val="nil"/>
                    <w:right w:val="nil"/>
                  </w:tcBorders>
                  <w:shd w:val="clear" w:color="auto" w:fill="auto"/>
                  <w:vAlign w:val="bottom"/>
                </w:tcPr>
                <w:p w14:paraId="7954C9AA" w14:textId="77777777" w:rsidR="00F05DC7" w:rsidRPr="00911F46" w:rsidRDefault="00F05DC7" w:rsidP="00A3786D">
                  <w:pPr>
                    <w:pStyle w:val="TableBodyText"/>
                  </w:pPr>
                  <w:r w:rsidRPr="00911F46">
                    <w:rPr>
                      <w:color w:val="000000"/>
                    </w:rPr>
                    <w:t>1.76</w:t>
                  </w:r>
                </w:p>
              </w:tc>
              <w:tc>
                <w:tcPr>
                  <w:tcW w:w="555" w:type="pct"/>
                  <w:tcBorders>
                    <w:top w:val="nil"/>
                    <w:left w:val="nil"/>
                    <w:bottom w:val="nil"/>
                    <w:right w:val="nil"/>
                  </w:tcBorders>
                  <w:shd w:val="clear" w:color="auto" w:fill="auto"/>
                  <w:vAlign w:val="bottom"/>
                </w:tcPr>
                <w:p w14:paraId="7954C9AB" w14:textId="77777777" w:rsidR="00F05DC7" w:rsidRPr="00911F46" w:rsidRDefault="00F05DC7" w:rsidP="00A3786D">
                  <w:pPr>
                    <w:pStyle w:val="TableBodyText"/>
                  </w:pPr>
                  <w:r>
                    <w:rPr>
                      <w:color w:val="000000"/>
                    </w:rPr>
                    <w:noBreakHyphen/>
                  </w:r>
                  <w:r w:rsidRPr="00911F46">
                    <w:rPr>
                      <w:color w:val="000000"/>
                    </w:rPr>
                    <w:t>0.65</w:t>
                  </w:r>
                </w:p>
              </w:tc>
              <w:tc>
                <w:tcPr>
                  <w:tcW w:w="555" w:type="pct"/>
                  <w:tcBorders>
                    <w:top w:val="nil"/>
                    <w:left w:val="nil"/>
                    <w:bottom w:val="nil"/>
                    <w:right w:val="nil"/>
                  </w:tcBorders>
                  <w:shd w:val="clear" w:color="auto" w:fill="auto"/>
                  <w:vAlign w:val="bottom"/>
                </w:tcPr>
                <w:p w14:paraId="7954C9AC" w14:textId="77777777" w:rsidR="00F05DC7" w:rsidRPr="00911F46" w:rsidRDefault="00F05DC7" w:rsidP="00A3786D">
                  <w:pPr>
                    <w:pStyle w:val="TableBodyText"/>
                  </w:pPr>
                  <w:r>
                    <w:rPr>
                      <w:color w:val="000000"/>
                    </w:rPr>
                    <w:noBreakHyphen/>
                  </w:r>
                  <w:r w:rsidRPr="00911F46">
                    <w:rPr>
                      <w:color w:val="000000"/>
                    </w:rPr>
                    <w:t>0.64</w:t>
                  </w:r>
                </w:p>
              </w:tc>
              <w:tc>
                <w:tcPr>
                  <w:tcW w:w="555" w:type="pct"/>
                  <w:tcBorders>
                    <w:top w:val="nil"/>
                    <w:left w:val="nil"/>
                    <w:bottom w:val="nil"/>
                    <w:right w:val="nil"/>
                  </w:tcBorders>
                  <w:shd w:val="clear" w:color="auto" w:fill="auto"/>
                  <w:vAlign w:val="bottom"/>
                </w:tcPr>
                <w:p w14:paraId="7954C9AD" w14:textId="77777777" w:rsidR="00F05DC7" w:rsidRPr="00911F46" w:rsidRDefault="00F05DC7" w:rsidP="00A3786D">
                  <w:pPr>
                    <w:pStyle w:val="TableBodyText"/>
                  </w:pPr>
                  <w:r>
                    <w:rPr>
                      <w:color w:val="000000"/>
                    </w:rPr>
                    <w:noBreakHyphen/>
                  </w:r>
                  <w:r w:rsidRPr="00911F46">
                    <w:rPr>
                      <w:color w:val="000000"/>
                    </w:rPr>
                    <w:t>0.53</w:t>
                  </w:r>
                </w:p>
              </w:tc>
              <w:tc>
                <w:tcPr>
                  <w:tcW w:w="553" w:type="pct"/>
                  <w:tcBorders>
                    <w:top w:val="nil"/>
                    <w:left w:val="nil"/>
                    <w:bottom w:val="nil"/>
                    <w:right w:val="nil"/>
                  </w:tcBorders>
                  <w:shd w:val="clear" w:color="auto" w:fill="auto"/>
                  <w:vAlign w:val="bottom"/>
                </w:tcPr>
                <w:p w14:paraId="7954C9AE" w14:textId="77777777" w:rsidR="00F05DC7" w:rsidRPr="00911F46" w:rsidRDefault="00F05DC7" w:rsidP="00A3786D">
                  <w:pPr>
                    <w:pStyle w:val="TableBodyText"/>
                  </w:pPr>
                  <w:r>
                    <w:rPr>
                      <w:color w:val="000000"/>
                    </w:rPr>
                    <w:noBreakHyphen/>
                  </w:r>
                  <w:r w:rsidRPr="00911F46">
                    <w:rPr>
                      <w:color w:val="000000"/>
                    </w:rPr>
                    <w:t>0.33</w:t>
                  </w:r>
                </w:p>
              </w:tc>
            </w:tr>
            <w:tr w:rsidR="00F05DC7" w:rsidRPr="00A75ED1" w14:paraId="7954C9B9" w14:textId="77777777" w:rsidTr="00A3786D">
              <w:tc>
                <w:tcPr>
                  <w:tcW w:w="556" w:type="pct"/>
                  <w:shd w:val="clear" w:color="auto" w:fill="auto"/>
                  <w:vAlign w:val="bottom"/>
                </w:tcPr>
                <w:p w14:paraId="7954C9B0" w14:textId="77777777" w:rsidR="00F05DC7" w:rsidRPr="00911F46" w:rsidRDefault="00F05DC7" w:rsidP="00A3786D">
                  <w:pPr>
                    <w:pStyle w:val="TableBodyText"/>
                  </w:pPr>
                  <w:r w:rsidRPr="00911F46">
                    <w:t>2020</w:t>
                  </w:r>
                  <w:r>
                    <w:noBreakHyphen/>
                  </w:r>
                  <w:r w:rsidRPr="00911F46">
                    <w:t>21</w:t>
                  </w:r>
                </w:p>
              </w:tc>
              <w:tc>
                <w:tcPr>
                  <w:tcW w:w="557" w:type="pct"/>
                  <w:tcBorders>
                    <w:top w:val="nil"/>
                    <w:left w:val="nil"/>
                    <w:bottom w:val="nil"/>
                    <w:right w:val="nil"/>
                  </w:tcBorders>
                  <w:shd w:val="clear" w:color="auto" w:fill="auto"/>
                  <w:vAlign w:val="bottom"/>
                </w:tcPr>
                <w:p w14:paraId="7954C9B1" w14:textId="77777777" w:rsidR="00F05DC7" w:rsidRPr="00911F46" w:rsidRDefault="00F05DC7" w:rsidP="00A3786D">
                  <w:pPr>
                    <w:pStyle w:val="TableBodyText"/>
                  </w:pPr>
                  <w:r w:rsidRPr="00911F46">
                    <w:rPr>
                      <w:color w:val="000000"/>
                    </w:rPr>
                    <w:t>0.55</w:t>
                  </w:r>
                </w:p>
              </w:tc>
              <w:tc>
                <w:tcPr>
                  <w:tcW w:w="557" w:type="pct"/>
                  <w:tcBorders>
                    <w:top w:val="nil"/>
                    <w:left w:val="nil"/>
                    <w:bottom w:val="nil"/>
                    <w:right w:val="nil"/>
                  </w:tcBorders>
                  <w:shd w:val="clear" w:color="auto" w:fill="auto"/>
                  <w:vAlign w:val="bottom"/>
                </w:tcPr>
                <w:p w14:paraId="7954C9B2" w14:textId="77777777" w:rsidR="00F05DC7" w:rsidRPr="00911F46" w:rsidRDefault="00F05DC7" w:rsidP="00A3786D">
                  <w:pPr>
                    <w:pStyle w:val="TableBodyText"/>
                  </w:pPr>
                  <w:r>
                    <w:rPr>
                      <w:color w:val="000000"/>
                    </w:rPr>
                    <w:noBreakHyphen/>
                  </w:r>
                  <w:r w:rsidRPr="00911F46">
                    <w:rPr>
                      <w:color w:val="000000"/>
                    </w:rPr>
                    <w:t>0.38</w:t>
                  </w:r>
                </w:p>
              </w:tc>
              <w:tc>
                <w:tcPr>
                  <w:tcW w:w="556" w:type="pct"/>
                  <w:tcBorders>
                    <w:top w:val="nil"/>
                    <w:left w:val="nil"/>
                    <w:bottom w:val="nil"/>
                    <w:right w:val="nil"/>
                  </w:tcBorders>
                  <w:shd w:val="clear" w:color="auto" w:fill="auto"/>
                  <w:vAlign w:val="bottom"/>
                </w:tcPr>
                <w:p w14:paraId="7954C9B3" w14:textId="77777777" w:rsidR="00F05DC7" w:rsidRPr="00911F46" w:rsidRDefault="00F05DC7" w:rsidP="00A3786D">
                  <w:pPr>
                    <w:pStyle w:val="TableBodyText"/>
                  </w:pPr>
                  <w:r>
                    <w:rPr>
                      <w:color w:val="000000"/>
                    </w:rPr>
                    <w:noBreakHyphen/>
                  </w:r>
                  <w:r w:rsidRPr="00911F46">
                    <w:rPr>
                      <w:color w:val="000000"/>
                    </w:rPr>
                    <w:t>0.70</w:t>
                  </w:r>
                </w:p>
              </w:tc>
              <w:tc>
                <w:tcPr>
                  <w:tcW w:w="556" w:type="pct"/>
                  <w:tcBorders>
                    <w:top w:val="nil"/>
                    <w:left w:val="nil"/>
                    <w:bottom w:val="nil"/>
                    <w:right w:val="nil"/>
                  </w:tcBorders>
                  <w:shd w:val="clear" w:color="auto" w:fill="auto"/>
                  <w:vAlign w:val="bottom"/>
                </w:tcPr>
                <w:p w14:paraId="7954C9B4" w14:textId="77777777" w:rsidR="00F05DC7" w:rsidRPr="00911F46" w:rsidRDefault="00F05DC7" w:rsidP="00A3786D">
                  <w:pPr>
                    <w:pStyle w:val="TableBodyText"/>
                  </w:pPr>
                  <w:r w:rsidRPr="00911F46">
                    <w:rPr>
                      <w:color w:val="000000"/>
                    </w:rPr>
                    <w:t>1.39</w:t>
                  </w:r>
                </w:p>
              </w:tc>
              <w:tc>
                <w:tcPr>
                  <w:tcW w:w="555" w:type="pct"/>
                  <w:tcBorders>
                    <w:top w:val="nil"/>
                    <w:left w:val="nil"/>
                    <w:bottom w:val="nil"/>
                    <w:right w:val="nil"/>
                  </w:tcBorders>
                  <w:shd w:val="clear" w:color="auto" w:fill="auto"/>
                  <w:vAlign w:val="bottom"/>
                </w:tcPr>
                <w:p w14:paraId="7954C9B5" w14:textId="77777777" w:rsidR="00F05DC7" w:rsidRPr="00911F46" w:rsidRDefault="00F05DC7" w:rsidP="00A3786D">
                  <w:pPr>
                    <w:pStyle w:val="TableBodyText"/>
                  </w:pPr>
                  <w:r>
                    <w:rPr>
                      <w:color w:val="000000"/>
                    </w:rPr>
                    <w:noBreakHyphen/>
                  </w:r>
                  <w:r w:rsidRPr="00911F46">
                    <w:rPr>
                      <w:color w:val="000000"/>
                    </w:rPr>
                    <w:t>0.70</w:t>
                  </w:r>
                </w:p>
              </w:tc>
              <w:tc>
                <w:tcPr>
                  <w:tcW w:w="555" w:type="pct"/>
                  <w:tcBorders>
                    <w:top w:val="nil"/>
                    <w:left w:val="nil"/>
                    <w:bottom w:val="nil"/>
                    <w:right w:val="nil"/>
                  </w:tcBorders>
                  <w:shd w:val="clear" w:color="auto" w:fill="auto"/>
                  <w:vAlign w:val="bottom"/>
                </w:tcPr>
                <w:p w14:paraId="7954C9B6" w14:textId="77777777" w:rsidR="00F05DC7" w:rsidRPr="00911F46" w:rsidRDefault="00F05DC7" w:rsidP="00A3786D">
                  <w:pPr>
                    <w:pStyle w:val="TableBodyText"/>
                  </w:pPr>
                  <w:r>
                    <w:rPr>
                      <w:color w:val="000000"/>
                    </w:rPr>
                    <w:noBreakHyphen/>
                  </w:r>
                  <w:r w:rsidRPr="00911F46">
                    <w:rPr>
                      <w:color w:val="000000"/>
                    </w:rPr>
                    <w:t>0.70</w:t>
                  </w:r>
                </w:p>
              </w:tc>
              <w:tc>
                <w:tcPr>
                  <w:tcW w:w="555" w:type="pct"/>
                  <w:tcBorders>
                    <w:top w:val="nil"/>
                    <w:left w:val="nil"/>
                    <w:bottom w:val="nil"/>
                    <w:right w:val="nil"/>
                  </w:tcBorders>
                  <w:shd w:val="clear" w:color="auto" w:fill="auto"/>
                  <w:vAlign w:val="bottom"/>
                </w:tcPr>
                <w:p w14:paraId="7954C9B7" w14:textId="77777777" w:rsidR="00F05DC7" w:rsidRPr="00911F46" w:rsidRDefault="00F05DC7" w:rsidP="00A3786D">
                  <w:pPr>
                    <w:pStyle w:val="TableBodyText"/>
                  </w:pPr>
                  <w:r>
                    <w:rPr>
                      <w:color w:val="000000"/>
                    </w:rPr>
                    <w:noBreakHyphen/>
                  </w:r>
                  <w:r w:rsidRPr="00911F46">
                    <w:rPr>
                      <w:color w:val="000000"/>
                    </w:rPr>
                    <w:t>0.56</w:t>
                  </w:r>
                </w:p>
              </w:tc>
              <w:tc>
                <w:tcPr>
                  <w:tcW w:w="553" w:type="pct"/>
                  <w:tcBorders>
                    <w:top w:val="nil"/>
                    <w:left w:val="nil"/>
                    <w:bottom w:val="nil"/>
                    <w:right w:val="nil"/>
                  </w:tcBorders>
                  <w:shd w:val="clear" w:color="auto" w:fill="auto"/>
                  <w:vAlign w:val="bottom"/>
                </w:tcPr>
                <w:p w14:paraId="7954C9B8" w14:textId="77777777" w:rsidR="00F05DC7" w:rsidRPr="00911F46" w:rsidRDefault="00F05DC7" w:rsidP="00A3786D">
                  <w:pPr>
                    <w:pStyle w:val="TableBodyText"/>
                  </w:pPr>
                  <w:r>
                    <w:rPr>
                      <w:color w:val="000000"/>
                    </w:rPr>
                    <w:noBreakHyphen/>
                  </w:r>
                  <w:r w:rsidRPr="00911F46">
                    <w:rPr>
                      <w:color w:val="000000"/>
                    </w:rPr>
                    <w:t>0.35</w:t>
                  </w:r>
                </w:p>
              </w:tc>
            </w:tr>
            <w:tr w:rsidR="00F05DC7" w:rsidRPr="00A75ED1" w14:paraId="7954C9C3" w14:textId="77777777" w:rsidTr="00A3786D">
              <w:tc>
                <w:tcPr>
                  <w:tcW w:w="556" w:type="pct"/>
                  <w:shd w:val="clear" w:color="auto" w:fill="auto"/>
                  <w:vAlign w:val="bottom"/>
                </w:tcPr>
                <w:p w14:paraId="7954C9BA" w14:textId="77777777" w:rsidR="00F05DC7" w:rsidRPr="00911F46" w:rsidRDefault="00F05DC7" w:rsidP="00A3786D">
                  <w:pPr>
                    <w:pStyle w:val="TableBodyText"/>
                  </w:pPr>
                  <w:r w:rsidRPr="00911F46">
                    <w:t>2021</w:t>
                  </w:r>
                  <w:r>
                    <w:noBreakHyphen/>
                  </w:r>
                  <w:r w:rsidRPr="00911F46">
                    <w:t>22</w:t>
                  </w:r>
                </w:p>
              </w:tc>
              <w:tc>
                <w:tcPr>
                  <w:tcW w:w="557" w:type="pct"/>
                  <w:tcBorders>
                    <w:top w:val="nil"/>
                    <w:left w:val="nil"/>
                    <w:bottom w:val="nil"/>
                    <w:right w:val="nil"/>
                  </w:tcBorders>
                  <w:shd w:val="clear" w:color="auto" w:fill="auto"/>
                  <w:vAlign w:val="bottom"/>
                </w:tcPr>
                <w:p w14:paraId="7954C9BB" w14:textId="77777777" w:rsidR="00F05DC7" w:rsidRPr="00911F46" w:rsidRDefault="00F05DC7" w:rsidP="00A3786D">
                  <w:pPr>
                    <w:pStyle w:val="TableBodyText"/>
                  </w:pPr>
                  <w:r w:rsidRPr="00911F46">
                    <w:rPr>
                      <w:color w:val="000000"/>
                    </w:rPr>
                    <w:t>0.50</w:t>
                  </w:r>
                </w:p>
              </w:tc>
              <w:tc>
                <w:tcPr>
                  <w:tcW w:w="557" w:type="pct"/>
                  <w:tcBorders>
                    <w:top w:val="nil"/>
                    <w:left w:val="nil"/>
                    <w:bottom w:val="nil"/>
                    <w:right w:val="nil"/>
                  </w:tcBorders>
                  <w:shd w:val="clear" w:color="auto" w:fill="auto"/>
                  <w:vAlign w:val="bottom"/>
                </w:tcPr>
                <w:p w14:paraId="7954C9BC" w14:textId="77777777" w:rsidR="00F05DC7" w:rsidRPr="00911F46" w:rsidRDefault="00F05DC7" w:rsidP="00A3786D">
                  <w:pPr>
                    <w:pStyle w:val="TableBodyText"/>
                  </w:pPr>
                  <w:r>
                    <w:rPr>
                      <w:color w:val="000000"/>
                    </w:rPr>
                    <w:noBreakHyphen/>
                  </w:r>
                  <w:r w:rsidRPr="00911F46">
                    <w:rPr>
                      <w:color w:val="000000"/>
                    </w:rPr>
                    <w:t>0.32</w:t>
                  </w:r>
                </w:p>
              </w:tc>
              <w:tc>
                <w:tcPr>
                  <w:tcW w:w="556" w:type="pct"/>
                  <w:tcBorders>
                    <w:top w:val="nil"/>
                    <w:left w:val="nil"/>
                    <w:bottom w:val="nil"/>
                    <w:right w:val="nil"/>
                  </w:tcBorders>
                  <w:shd w:val="clear" w:color="auto" w:fill="auto"/>
                  <w:vAlign w:val="bottom"/>
                </w:tcPr>
                <w:p w14:paraId="7954C9BD" w14:textId="77777777" w:rsidR="00F05DC7" w:rsidRPr="00911F46" w:rsidRDefault="00F05DC7" w:rsidP="00A3786D">
                  <w:pPr>
                    <w:pStyle w:val="TableBodyText"/>
                  </w:pPr>
                  <w:r>
                    <w:rPr>
                      <w:color w:val="000000"/>
                    </w:rPr>
                    <w:noBreakHyphen/>
                  </w:r>
                  <w:r w:rsidRPr="00911F46">
                    <w:rPr>
                      <w:color w:val="000000"/>
                    </w:rPr>
                    <w:t>0.73</w:t>
                  </w:r>
                </w:p>
              </w:tc>
              <w:tc>
                <w:tcPr>
                  <w:tcW w:w="556" w:type="pct"/>
                  <w:tcBorders>
                    <w:top w:val="nil"/>
                    <w:left w:val="nil"/>
                    <w:bottom w:val="nil"/>
                    <w:right w:val="nil"/>
                  </w:tcBorders>
                  <w:shd w:val="clear" w:color="auto" w:fill="auto"/>
                  <w:vAlign w:val="bottom"/>
                </w:tcPr>
                <w:p w14:paraId="7954C9BE" w14:textId="77777777" w:rsidR="00F05DC7" w:rsidRPr="00911F46" w:rsidRDefault="00F05DC7" w:rsidP="00A3786D">
                  <w:pPr>
                    <w:pStyle w:val="TableBodyText"/>
                  </w:pPr>
                  <w:r w:rsidRPr="00911F46">
                    <w:rPr>
                      <w:color w:val="000000"/>
                    </w:rPr>
                    <w:t>1.47</w:t>
                  </w:r>
                </w:p>
              </w:tc>
              <w:tc>
                <w:tcPr>
                  <w:tcW w:w="555" w:type="pct"/>
                  <w:tcBorders>
                    <w:top w:val="nil"/>
                    <w:left w:val="nil"/>
                    <w:bottom w:val="nil"/>
                    <w:right w:val="nil"/>
                  </w:tcBorders>
                  <w:shd w:val="clear" w:color="auto" w:fill="auto"/>
                  <w:vAlign w:val="bottom"/>
                </w:tcPr>
                <w:p w14:paraId="7954C9BF" w14:textId="77777777" w:rsidR="00F05DC7" w:rsidRPr="00911F46" w:rsidRDefault="00F05DC7" w:rsidP="00A3786D">
                  <w:pPr>
                    <w:pStyle w:val="TableBodyText"/>
                  </w:pPr>
                  <w:r>
                    <w:rPr>
                      <w:color w:val="000000"/>
                    </w:rPr>
                    <w:noBreakHyphen/>
                  </w:r>
                  <w:r w:rsidRPr="00911F46">
                    <w:rPr>
                      <w:color w:val="000000"/>
                    </w:rPr>
                    <w:t>0.74</w:t>
                  </w:r>
                </w:p>
              </w:tc>
              <w:tc>
                <w:tcPr>
                  <w:tcW w:w="555" w:type="pct"/>
                  <w:tcBorders>
                    <w:top w:val="nil"/>
                    <w:left w:val="nil"/>
                    <w:bottom w:val="nil"/>
                    <w:right w:val="nil"/>
                  </w:tcBorders>
                  <w:shd w:val="clear" w:color="auto" w:fill="auto"/>
                  <w:vAlign w:val="bottom"/>
                </w:tcPr>
                <w:p w14:paraId="7954C9C0" w14:textId="77777777" w:rsidR="00F05DC7" w:rsidRPr="00911F46" w:rsidRDefault="00F05DC7" w:rsidP="00A3786D">
                  <w:pPr>
                    <w:pStyle w:val="TableBodyText"/>
                  </w:pPr>
                  <w:r>
                    <w:rPr>
                      <w:color w:val="000000"/>
                    </w:rPr>
                    <w:noBreakHyphen/>
                  </w:r>
                  <w:r w:rsidRPr="00911F46">
                    <w:rPr>
                      <w:color w:val="000000"/>
                    </w:rPr>
                    <w:t>0.72</w:t>
                  </w:r>
                </w:p>
              </w:tc>
              <w:tc>
                <w:tcPr>
                  <w:tcW w:w="555" w:type="pct"/>
                  <w:tcBorders>
                    <w:top w:val="nil"/>
                    <w:left w:val="nil"/>
                    <w:bottom w:val="nil"/>
                    <w:right w:val="nil"/>
                  </w:tcBorders>
                  <w:shd w:val="clear" w:color="auto" w:fill="auto"/>
                  <w:vAlign w:val="bottom"/>
                </w:tcPr>
                <w:p w14:paraId="7954C9C1" w14:textId="77777777" w:rsidR="00F05DC7" w:rsidRPr="00911F46" w:rsidRDefault="00F05DC7" w:rsidP="00A3786D">
                  <w:pPr>
                    <w:pStyle w:val="TableBodyText"/>
                  </w:pPr>
                  <w:r>
                    <w:rPr>
                      <w:color w:val="000000"/>
                    </w:rPr>
                    <w:noBreakHyphen/>
                  </w:r>
                  <w:r w:rsidRPr="00911F46">
                    <w:rPr>
                      <w:color w:val="000000"/>
                    </w:rPr>
                    <w:t>0.60</w:t>
                  </w:r>
                </w:p>
              </w:tc>
              <w:tc>
                <w:tcPr>
                  <w:tcW w:w="553" w:type="pct"/>
                  <w:tcBorders>
                    <w:top w:val="nil"/>
                    <w:left w:val="nil"/>
                    <w:bottom w:val="nil"/>
                    <w:right w:val="nil"/>
                  </w:tcBorders>
                  <w:shd w:val="clear" w:color="auto" w:fill="auto"/>
                  <w:vAlign w:val="bottom"/>
                </w:tcPr>
                <w:p w14:paraId="7954C9C2" w14:textId="77777777" w:rsidR="00F05DC7" w:rsidRPr="00911F46" w:rsidRDefault="00F05DC7" w:rsidP="00A3786D">
                  <w:pPr>
                    <w:pStyle w:val="TableBodyText"/>
                  </w:pPr>
                  <w:r>
                    <w:rPr>
                      <w:color w:val="000000"/>
                    </w:rPr>
                    <w:noBreakHyphen/>
                  </w:r>
                  <w:r w:rsidRPr="00911F46">
                    <w:rPr>
                      <w:color w:val="000000"/>
                    </w:rPr>
                    <w:t>0.34</w:t>
                  </w:r>
                </w:p>
              </w:tc>
            </w:tr>
            <w:tr w:rsidR="00F05DC7" w:rsidRPr="00A75ED1" w14:paraId="7954C9CD" w14:textId="77777777" w:rsidTr="00A3786D">
              <w:tc>
                <w:tcPr>
                  <w:tcW w:w="556" w:type="pct"/>
                  <w:shd w:val="clear" w:color="auto" w:fill="auto"/>
                </w:tcPr>
                <w:p w14:paraId="7954C9C4" w14:textId="77777777" w:rsidR="00F05DC7" w:rsidRPr="00911F46" w:rsidRDefault="00F05DC7" w:rsidP="00A3786D">
                  <w:pPr>
                    <w:pStyle w:val="TableBodyText"/>
                  </w:pPr>
                  <w:r w:rsidRPr="00911F46">
                    <w:t>2022</w:t>
                  </w:r>
                  <w:r>
                    <w:noBreakHyphen/>
                  </w:r>
                  <w:r w:rsidRPr="00911F46">
                    <w:t>23</w:t>
                  </w:r>
                </w:p>
              </w:tc>
              <w:tc>
                <w:tcPr>
                  <w:tcW w:w="557" w:type="pct"/>
                  <w:tcBorders>
                    <w:top w:val="nil"/>
                    <w:left w:val="nil"/>
                    <w:bottom w:val="nil"/>
                    <w:right w:val="nil"/>
                  </w:tcBorders>
                  <w:shd w:val="clear" w:color="auto" w:fill="auto"/>
                  <w:vAlign w:val="bottom"/>
                </w:tcPr>
                <w:p w14:paraId="7954C9C5" w14:textId="77777777" w:rsidR="00F05DC7" w:rsidRPr="00911F46" w:rsidRDefault="00F05DC7" w:rsidP="00A3786D">
                  <w:pPr>
                    <w:pStyle w:val="TableBodyText"/>
                  </w:pPr>
                  <w:r w:rsidRPr="00911F46">
                    <w:rPr>
                      <w:color w:val="000000"/>
                    </w:rPr>
                    <w:t>0.68</w:t>
                  </w:r>
                </w:p>
              </w:tc>
              <w:tc>
                <w:tcPr>
                  <w:tcW w:w="557" w:type="pct"/>
                  <w:tcBorders>
                    <w:top w:val="nil"/>
                    <w:left w:val="nil"/>
                    <w:bottom w:val="nil"/>
                    <w:right w:val="nil"/>
                  </w:tcBorders>
                  <w:shd w:val="clear" w:color="auto" w:fill="auto"/>
                  <w:vAlign w:val="bottom"/>
                </w:tcPr>
                <w:p w14:paraId="7954C9C6" w14:textId="77777777" w:rsidR="00F05DC7" w:rsidRPr="00911F46" w:rsidRDefault="00F05DC7" w:rsidP="00A3786D">
                  <w:pPr>
                    <w:pStyle w:val="TableBodyText"/>
                  </w:pPr>
                  <w:r>
                    <w:rPr>
                      <w:color w:val="000000"/>
                    </w:rPr>
                    <w:noBreakHyphen/>
                  </w:r>
                  <w:r w:rsidRPr="00911F46">
                    <w:rPr>
                      <w:color w:val="000000"/>
                    </w:rPr>
                    <w:t>0.21</w:t>
                  </w:r>
                </w:p>
              </w:tc>
              <w:tc>
                <w:tcPr>
                  <w:tcW w:w="556" w:type="pct"/>
                  <w:tcBorders>
                    <w:top w:val="nil"/>
                    <w:left w:val="nil"/>
                    <w:bottom w:val="nil"/>
                    <w:right w:val="nil"/>
                  </w:tcBorders>
                  <w:shd w:val="clear" w:color="auto" w:fill="auto"/>
                  <w:vAlign w:val="bottom"/>
                </w:tcPr>
                <w:p w14:paraId="7954C9C7" w14:textId="77777777" w:rsidR="00F05DC7" w:rsidRPr="00911F46" w:rsidRDefault="00F05DC7" w:rsidP="00A3786D">
                  <w:pPr>
                    <w:pStyle w:val="TableBodyText"/>
                  </w:pPr>
                  <w:r>
                    <w:rPr>
                      <w:color w:val="000000"/>
                    </w:rPr>
                    <w:noBreakHyphen/>
                  </w:r>
                  <w:r w:rsidRPr="00911F46">
                    <w:rPr>
                      <w:color w:val="000000"/>
                    </w:rPr>
                    <w:t>0.81</w:t>
                  </w:r>
                </w:p>
              </w:tc>
              <w:tc>
                <w:tcPr>
                  <w:tcW w:w="556" w:type="pct"/>
                  <w:tcBorders>
                    <w:top w:val="nil"/>
                    <w:left w:val="nil"/>
                    <w:bottom w:val="nil"/>
                    <w:right w:val="nil"/>
                  </w:tcBorders>
                  <w:shd w:val="clear" w:color="auto" w:fill="auto"/>
                  <w:vAlign w:val="bottom"/>
                </w:tcPr>
                <w:p w14:paraId="7954C9C8" w14:textId="77777777" w:rsidR="00F05DC7" w:rsidRPr="00911F46" w:rsidRDefault="00F05DC7" w:rsidP="00A3786D">
                  <w:pPr>
                    <w:pStyle w:val="TableBodyText"/>
                  </w:pPr>
                  <w:r w:rsidRPr="00911F46">
                    <w:rPr>
                      <w:color w:val="000000"/>
                    </w:rPr>
                    <w:t>0.97</w:t>
                  </w:r>
                </w:p>
              </w:tc>
              <w:tc>
                <w:tcPr>
                  <w:tcW w:w="555" w:type="pct"/>
                  <w:tcBorders>
                    <w:top w:val="nil"/>
                    <w:left w:val="nil"/>
                    <w:bottom w:val="nil"/>
                    <w:right w:val="nil"/>
                  </w:tcBorders>
                  <w:shd w:val="clear" w:color="auto" w:fill="auto"/>
                  <w:vAlign w:val="bottom"/>
                </w:tcPr>
                <w:p w14:paraId="7954C9C9" w14:textId="77777777" w:rsidR="00F05DC7" w:rsidRPr="00911F46" w:rsidRDefault="00F05DC7" w:rsidP="00A3786D">
                  <w:pPr>
                    <w:pStyle w:val="TableBodyText"/>
                  </w:pPr>
                  <w:r>
                    <w:rPr>
                      <w:color w:val="000000"/>
                    </w:rPr>
                    <w:noBreakHyphen/>
                  </w:r>
                  <w:r w:rsidRPr="00911F46">
                    <w:rPr>
                      <w:color w:val="000000"/>
                    </w:rPr>
                    <w:t>0.82</w:t>
                  </w:r>
                </w:p>
              </w:tc>
              <w:tc>
                <w:tcPr>
                  <w:tcW w:w="555" w:type="pct"/>
                  <w:tcBorders>
                    <w:top w:val="nil"/>
                    <w:left w:val="nil"/>
                    <w:bottom w:val="nil"/>
                    <w:right w:val="nil"/>
                  </w:tcBorders>
                  <w:shd w:val="clear" w:color="auto" w:fill="auto"/>
                  <w:vAlign w:val="bottom"/>
                </w:tcPr>
                <w:p w14:paraId="7954C9CA" w14:textId="77777777" w:rsidR="00F05DC7" w:rsidRPr="00911F46" w:rsidRDefault="00F05DC7" w:rsidP="00A3786D">
                  <w:pPr>
                    <w:pStyle w:val="TableBodyText"/>
                  </w:pPr>
                  <w:r>
                    <w:rPr>
                      <w:color w:val="000000"/>
                    </w:rPr>
                    <w:noBreakHyphen/>
                  </w:r>
                  <w:r w:rsidRPr="00911F46">
                    <w:rPr>
                      <w:color w:val="000000"/>
                    </w:rPr>
                    <w:t>0.80</w:t>
                  </w:r>
                </w:p>
              </w:tc>
              <w:tc>
                <w:tcPr>
                  <w:tcW w:w="555" w:type="pct"/>
                  <w:tcBorders>
                    <w:top w:val="nil"/>
                    <w:left w:val="nil"/>
                    <w:bottom w:val="nil"/>
                    <w:right w:val="nil"/>
                  </w:tcBorders>
                  <w:shd w:val="clear" w:color="auto" w:fill="auto"/>
                  <w:vAlign w:val="bottom"/>
                </w:tcPr>
                <w:p w14:paraId="7954C9CB" w14:textId="77777777" w:rsidR="00F05DC7" w:rsidRPr="00911F46" w:rsidRDefault="00F05DC7" w:rsidP="00A3786D">
                  <w:pPr>
                    <w:pStyle w:val="TableBodyText"/>
                  </w:pPr>
                  <w:r>
                    <w:rPr>
                      <w:color w:val="000000"/>
                    </w:rPr>
                    <w:noBreakHyphen/>
                  </w:r>
                  <w:r w:rsidRPr="00911F46">
                    <w:rPr>
                      <w:color w:val="000000"/>
                    </w:rPr>
                    <w:t>0.67</w:t>
                  </w:r>
                </w:p>
              </w:tc>
              <w:tc>
                <w:tcPr>
                  <w:tcW w:w="553" w:type="pct"/>
                  <w:tcBorders>
                    <w:top w:val="nil"/>
                    <w:left w:val="nil"/>
                    <w:bottom w:val="nil"/>
                    <w:right w:val="nil"/>
                  </w:tcBorders>
                  <w:shd w:val="clear" w:color="auto" w:fill="auto"/>
                  <w:vAlign w:val="bottom"/>
                </w:tcPr>
                <w:p w14:paraId="7954C9CC" w14:textId="77777777" w:rsidR="00F05DC7" w:rsidRPr="00911F46" w:rsidRDefault="00F05DC7" w:rsidP="00A3786D">
                  <w:pPr>
                    <w:pStyle w:val="TableBodyText"/>
                  </w:pPr>
                  <w:r>
                    <w:rPr>
                      <w:color w:val="000000"/>
                    </w:rPr>
                    <w:noBreakHyphen/>
                  </w:r>
                  <w:r w:rsidRPr="00911F46">
                    <w:rPr>
                      <w:color w:val="000000"/>
                    </w:rPr>
                    <w:t>0.37</w:t>
                  </w:r>
                </w:p>
              </w:tc>
            </w:tr>
            <w:tr w:rsidR="00F05DC7" w:rsidRPr="00A75ED1" w14:paraId="7954C9D7" w14:textId="77777777" w:rsidTr="00A3786D">
              <w:tc>
                <w:tcPr>
                  <w:tcW w:w="556" w:type="pct"/>
                  <w:shd w:val="clear" w:color="auto" w:fill="auto"/>
                </w:tcPr>
                <w:p w14:paraId="7954C9CE" w14:textId="77777777" w:rsidR="00F05DC7" w:rsidRPr="00911F46" w:rsidRDefault="00F05DC7" w:rsidP="00A3786D">
                  <w:pPr>
                    <w:pStyle w:val="TableBodyText"/>
                  </w:pPr>
                  <w:r w:rsidRPr="00911F46">
                    <w:t>2023</w:t>
                  </w:r>
                  <w:r>
                    <w:noBreakHyphen/>
                  </w:r>
                  <w:r w:rsidRPr="00911F46">
                    <w:t>24</w:t>
                  </w:r>
                </w:p>
              </w:tc>
              <w:tc>
                <w:tcPr>
                  <w:tcW w:w="557" w:type="pct"/>
                  <w:tcBorders>
                    <w:top w:val="nil"/>
                    <w:left w:val="nil"/>
                    <w:bottom w:val="nil"/>
                    <w:right w:val="nil"/>
                  </w:tcBorders>
                  <w:shd w:val="clear" w:color="auto" w:fill="auto"/>
                  <w:vAlign w:val="bottom"/>
                </w:tcPr>
                <w:p w14:paraId="7954C9CF" w14:textId="77777777" w:rsidR="00F05DC7" w:rsidRPr="00911F46" w:rsidRDefault="00F05DC7" w:rsidP="00A3786D">
                  <w:pPr>
                    <w:pStyle w:val="TableBodyText"/>
                  </w:pPr>
                  <w:r w:rsidRPr="00911F46">
                    <w:rPr>
                      <w:color w:val="000000"/>
                    </w:rPr>
                    <w:t>0.13</w:t>
                  </w:r>
                </w:p>
              </w:tc>
              <w:tc>
                <w:tcPr>
                  <w:tcW w:w="557" w:type="pct"/>
                  <w:tcBorders>
                    <w:top w:val="nil"/>
                    <w:left w:val="nil"/>
                    <w:bottom w:val="nil"/>
                    <w:right w:val="nil"/>
                  </w:tcBorders>
                  <w:shd w:val="clear" w:color="auto" w:fill="auto"/>
                  <w:vAlign w:val="bottom"/>
                </w:tcPr>
                <w:p w14:paraId="7954C9D0" w14:textId="77777777" w:rsidR="00F05DC7" w:rsidRPr="00911F46" w:rsidRDefault="00F05DC7" w:rsidP="00A3786D">
                  <w:pPr>
                    <w:pStyle w:val="TableBodyText"/>
                  </w:pPr>
                  <w:r w:rsidRPr="00911F46">
                    <w:rPr>
                      <w:color w:val="000000"/>
                    </w:rPr>
                    <w:t>0.18</w:t>
                  </w:r>
                </w:p>
              </w:tc>
              <w:tc>
                <w:tcPr>
                  <w:tcW w:w="556" w:type="pct"/>
                  <w:tcBorders>
                    <w:top w:val="nil"/>
                    <w:left w:val="nil"/>
                    <w:bottom w:val="nil"/>
                    <w:right w:val="nil"/>
                  </w:tcBorders>
                  <w:shd w:val="clear" w:color="auto" w:fill="auto"/>
                  <w:vAlign w:val="bottom"/>
                </w:tcPr>
                <w:p w14:paraId="7954C9D1" w14:textId="77777777" w:rsidR="00F05DC7" w:rsidRPr="00911F46" w:rsidRDefault="00F05DC7" w:rsidP="00A3786D">
                  <w:pPr>
                    <w:pStyle w:val="TableBodyText"/>
                  </w:pPr>
                  <w:r>
                    <w:rPr>
                      <w:color w:val="000000"/>
                    </w:rPr>
                    <w:noBreakHyphen/>
                  </w:r>
                  <w:r w:rsidRPr="00911F46">
                    <w:rPr>
                      <w:color w:val="000000"/>
                    </w:rPr>
                    <w:t>0.05</w:t>
                  </w:r>
                </w:p>
              </w:tc>
              <w:tc>
                <w:tcPr>
                  <w:tcW w:w="556" w:type="pct"/>
                  <w:tcBorders>
                    <w:top w:val="nil"/>
                    <w:left w:val="nil"/>
                    <w:bottom w:val="nil"/>
                    <w:right w:val="nil"/>
                  </w:tcBorders>
                  <w:shd w:val="clear" w:color="auto" w:fill="auto"/>
                  <w:vAlign w:val="bottom"/>
                </w:tcPr>
                <w:p w14:paraId="7954C9D2" w14:textId="77777777" w:rsidR="00F05DC7" w:rsidRPr="00911F46" w:rsidRDefault="00F05DC7" w:rsidP="00A3786D">
                  <w:pPr>
                    <w:pStyle w:val="TableBodyText"/>
                  </w:pPr>
                  <w:r>
                    <w:rPr>
                      <w:color w:val="000000"/>
                    </w:rPr>
                    <w:noBreakHyphen/>
                  </w:r>
                  <w:r w:rsidRPr="00911F46">
                    <w:rPr>
                      <w:color w:val="000000"/>
                    </w:rPr>
                    <w:t>0.60</w:t>
                  </w:r>
                </w:p>
              </w:tc>
              <w:tc>
                <w:tcPr>
                  <w:tcW w:w="555" w:type="pct"/>
                  <w:tcBorders>
                    <w:top w:val="nil"/>
                    <w:left w:val="nil"/>
                    <w:bottom w:val="nil"/>
                    <w:right w:val="nil"/>
                  </w:tcBorders>
                  <w:shd w:val="clear" w:color="auto" w:fill="auto"/>
                  <w:vAlign w:val="bottom"/>
                </w:tcPr>
                <w:p w14:paraId="7954C9D3" w14:textId="77777777" w:rsidR="00F05DC7" w:rsidRPr="00911F46" w:rsidRDefault="00F05DC7" w:rsidP="00A3786D">
                  <w:pPr>
                    <w:pStyle w:val="TableBodyText"/>
                  </w:pPr>
                  <w:r>
                    <w:rPr>
                      <w:color w:val="000000"/>
                    </w:rPr>
                    <w:noBreakHyphen/>
                  </w:r>
                  <w:r w:rsidRPr="00911F46">
                    <w:rPr>
                      <w:color w:val="000000"/>
                    </w:rPr>
                    <w:t>0.03</w:t>
                  </w:r>
                </w:p>
              </w:tc>
              <w:tc>
                <w:tcPr>
                  <w:tcW w:w="555" w:type="pct"/>
                  <w:tcBorders>
                    <w:top w:val="nil"/>
                    <w:left w:val="nil"/>
                    <w:bottom w:val="nil"/>
                    <w:right w:val="nil"/>
                  </w:tcBorders>
                  <w:shd w:val="clear" w:color="auto" w:fill="auto"/>
                  <w:vAlign w:val="bottom"/>
                </w:tcPr>
                <w:p w14:paraId="7954C9D4" w14:textId="77777777" w:rsidR="00F05DC7" w:rsidRPr="00911F46" w:rsidRDefault="00F05DC7" w:rsidP="00A3786D">
                  <w:pPr>
                    <w:pStyle w:val="TableBodyText"/>
                  </w:pPr>
                  <w:r>
                    <w:rPr>
                      <w:color w:val="000000"/>
                    </w:rPr>
                    <w:noBreakHyphen/>
                  </w:r>
                  <w:r w:rsidRPr="00911F46">
                    <w:rPr>
                      <w:color w:val="000000"/>
                    </w:rPr>
                    <w:t>0.02</w:t>
                  </w:r>
                </w:p>
              </w:tc>
              <w:tc>
                <w:tcPr>
                  <w:tcW w:w="555" w:type="pct"/>
                  <w:tcBorders>
                    <w:top w:val="nil"/>
                    <w:left w:val="nil"/>
                    <w:bottom w:val="nil"/>
                    <w:right w:val="nil"/>
                  </w:tcBorders>
                  <w:shd w:val="clear" w:color="auto" w:fill="auto"/>
                  <w:vAlign w:val="bottom"/>
                </w:tcPr>
                <w:p w14:paraId="7954C9D5" w14:textId="77777777" w:rsidR="00F05DC7" w:rsidRPr="00911F46" w:rsidRDefault="00F05DC7" w:rsidP="00A3786D">
                  <w:pPr>
                    <w:pStyle w:val="TableBodyText"/>
                  </w:pPr>
                  <w:r>
                    <w:rPr>
                      <w:color w:val="000000"/>
                    </w:rPr>
                    <w:noBreakHyphen/>
                  </w:r>
                  <w:r w:rsidRPr="00911F46">
                    <w:rPr>
                      <w:color w:val="000000"/>
                    </w:rPr>
                    <w:t>0.04</w:t>
                  </w:r>
                </w:p>
              </w:tc>
              <w:tc>
                <w:tcPr>
                  <w:tcW w:w="553" w:type="pct"/>
                  <w:tcBorders>
                    <w:top w:val="nil"/>
                    <w:left w:val="nil"/>
                    <w:bottom w:val="nil"/>
                    <w:right w:val="nil"/>
                  </w:tcBorders>
                  <w:shd w:val="clear" w:color="auto" w:fill="auto"/>
                  <w:vAlign w:val="bottom"/>
                </w:tcPr>
                <w:p w14:paraId="7954C9D6" w14:textId="77777777" w:rsidR="00F05DC7" w:rsidRPr="00911F46" w:rsidRDefault="00F05DC7" w:rsidP="00A3786D">
                  <w:pPr>
                    <w:pStyle w:val="TableBodyText"/>
                  </w:pPr>
                  <w:r>
                    <w:rPr>
                      <w:color w:val="000000"/>
                    </w:rPr>
                    <w:noBreakHyphen/>
                  </w:r>
                  <w:r w:rsidRPr="00911F46">
                    <w:rPr>
                      <w:color w:val="000000"/>
                    </w:rPr>
                    <w:t>0.01</w:t>
                  </w:r>
                </w:p>
              </w:tc>
            </w:tr>
            <w:tr w:rsidR="00F05DC7" w:rsidRPr="00A75ED1" w14:paraId="7954C9E1" w14:textId="77777777" w:rsidTr="00A3786D">
              <w:tc>
                <w:tcPr>
                  <w:tcW w:w="556" w:type="pct"/>
                  <w:shd w:val="clear" w:color="auto" w:fill="auto"/>
                </w:tcPr>
                <w:p w14:paraId="7954C9D8" w14:textId="77777777" w:rsidR="00F05DC7" w:rsidRPr="00911F46" w:rsidRDefault="00F05DC7" w:rsidP="00A3786D">
                  <w:pPr>
                    <w:pStyle w:val="TableBodyText"/>
                  </w:pPr>
                  <w:r w:rsidRPr="00911F46">
                    <w:t>2024</w:t>
                  </w:r>
                  <w:r>
                    <w:noBreakHyphen/>
                  </w:r>
                  <w:r w:rsidRPr="00911F46">
                    <w:t>25</w:t>
                  </w:r>
                </w:p>
              </w:tc>
              <w:tc>
                <w:tcPr>
                  <w:tcW w:w="557" w:type="pct"/>
                  <w:tcBorders>
                    <w:top w:val="nil"/>
                    <w:left w:val="nil"/>
                    <w:bottom w:val="nil"/>
                    <w:right w:val="nil"/>
                  </w:tcBorders>
                  <w:shd w:val="clear" w:color="auto" w:fill="auto"/>
                  <w:vAlign w:val="bottom"/>
                </w:tcPr>
                <w:p w14:paraId="7954C9D9" w14:textId="77777777" w:rsidR="00F05DC7" w:rsidRPr="00911F46" w:rsidRDefault="00F05DC7" w:rsidP="00A3786D">
                  <w:pPr>
                    <w:pStyle w:val="TableBodyText"/>
                  </w:pPr>
                  <w:r w:rsidRPr="00911F46">
                    <w:rPr>
                      <w:color w:val="000000"/>
                    </w:rPr>
                    <w:t>0.05</w:t>
                  </w:r>
                </w:p>
              </w:tc>
              <w:tc>
                <w:tcPr>
                  <w:tcW w:w="557" w:type="pct"/>
                  <w:tcBorders>
                    <w:top w:val="nil"/>
                    <w:left w:val="nil"/>
                    <w:bottom w:val="nil"/>
                    <w:right w:val="nil"/>
                  </w:tcBorders>
                  <w:shd w:val="clear" w:color="auto" w:fill="auto"/>
                  <w:vAlign w:val="bottom"/>
                </w:tcPr>
                <w:p w14:paraId="7954C9DA" w14:textId="77777777" w:rsidR="00F05DC7" w:rsidRPr="00911F46" w:rsidRDefault="00F05DC7" w:rsidP="00A3786D">
                  <w:pPr>
                    <w:pStyle w:val="TableBodyText"/>
                  </w:pPr>
                  <w:r w:rsidRPr="00911F46">
                    <w:rPr>
                      <w:color w:val="000000"/>
                    </w:rPr>
                    <w:t>0.19</w:t>
                  </w:r>
                </w:p>
              </w:tc>
              <w:tc>
                <w:tcPr>
                  <w:tcW w:w="556" w:type="pct"/>
                  <w:tcBorders>
                    <w:top w:val="nil"/>
                    <w:left w:val="nil"/>
                    <w:bottom w:val="nil"/>
                    <w:right w:val="nil"/>
                  </w:tcBorders>
                  <w:shd w:val="clear" w:color="auto" w:fill="auto"/>
                  <w:vAlign w:val="bottom"/>
                </w:tcPr>
                <w:p w14:paraId="7954C9DB" w14:textId="77777777" w:rsidR="00F05DC7" w:rsidRPr="00911F46" w:rsidRDefault="00F05DC7" w:rsidP="00A3786D">
                  <w:pPr>
                    <w:pStyle w:val="TableBodyText"/>
                  </w:pPr>
                  <w:r>
                    <w:rPr>
                      <w:color w:val="000000"/>
                    </w:rPr>
                    <w:noBreakHyphen/>
                  </w:r>
                  <w:r w:rsidRPr="00911F46">
                    <w:rPr>
                      <w:color w:val="000000"/>
                    </w:rPr>
                    <w:t>0.06</w:t>
                  </w:r>
                </w:p>
              </w:tc>
              <w:tc>
                <w:tcPr>
                  <w:tcW w:w="556" w:type="pct"/>
                  <w:tcBorders>
                    <w:top w:val="nil"/>
                    <w:left w:val="nil"/>
                    <w:bottom w:val="nil"/>
                    <w:right w:val="nil"/>
                  </w:tcBorders>
                  <w:shd w:val="clear" w:color="auto" w:fill="auto"/>
                  <w:vAlign w:val="bottom"/>
                </w:tcPr>
                <w:p w14:paraId="7954C9DC" w14:textId="77777777" w:rsidR="00F05DC7" w:rsidRPr="00911F46" w:rsidRDefault="00F05DC7" w:rsidP="00A3786D">
                  <w:pPr>
                    <w:pStyle w:val="TableBodyText"/>
                  </w:pPr>
                  <w:r>
                    <w:rPr>
                      <w:color w:val="000000"/>
                    </w:rPr>
                    <w:noBreakHyphen/>
                  </w:r>
                  <w:r w:rsidRPr="00911F46">
                    <w:rPr>
                      <w:color w:val="000000"/>
                    </w:rPr>
                    <w:t>0.37</w:t>
                  </w:r>
                </w:p>
              </w:tc>
              <w:tc>
                <w:tcPr>
                  <w:tcW w:w="555" w:type="pct"/>
                  <w:tcBorders>
                    <w:top w:val="nil"/>
                    <w:left w:val="nil"/>
                    <w:bottom w:val="nil"/>
                    <w:right w:val="nil"/>
                  </w:tcBorders>
                  <w:shd w:val="clear" w:color="auto" w:fill="auto"/>
                  <w:vAlign w:val="bottom"/>
                </w:tcPr>
                <w:p w14:paraId="7954C9DD" w14:textId="77777777" w:rsidR="00F05DC7" w:rsidRPr="00911F46" w:rsidRDefault="00F05DC7" w:rsidP="00A3786D">
                  <w:pPr>
                    <w:pStyle w:val="TableBodyText"/>
                  </w:pPr>
                  <w:r>
                    <w:rPr>
                      <w:color w:val="000000"/>
                    </w:rPr>
                    <w:noBreakHyphen/>
                  </w:r>
                  <w:r w:rsidRPr="00911F46">
                    <w:rPr>
                      <w:color w:val="000000"/>
                    </w:rPr>
                    <w:t>0.05</w:t>
                  </w:r>
                </w:p>
              </w:tc>
              <w:tc>
                <w:tcPr>
                  <w:tcW w:w="555" w:type="pct"/>
                  <w:tcBorders>
                    <w:top w:val="nil"/>
                    <w:left w:val="nil"/>
                    <w:bottom w:val="nil"/>
                    <w:right w:val="nil"/>
                  </w:tcBorders>
                  <w:shd w:val="clear" w:color="auto" w:fill="auto"/>
                  <w:vAlign w:val="bottom"/>
                </w:tcPr>
                <w:p w14:paraId="7954C9DE" w14:textId="77777777" w:rsidR="00F05DC7" w:rsidRPr="00911F46" w:rsidRDefault="00F05DC7" w:rsidP="00A3786D">
                  <w:pPr>
                    <w:pStyle w:val="TableBodyText"/>
                  </w:pPr>
                  <w:r>
                    <w:rPr>
                      <w:color w:val="000000"/>
                    </w:rPr>
                    <w:noBreakHyphen/>
                  </w:r>
                  <w:r w:rsidRPr="00911F46">
                    <w:rPr>
                      <w:color w:val="000000"/>
                    </w:rPr>
                    <w:t>0.04</w:t>
                  </w:r>
                </w:p>
              </w:tc>
              <w:tc>
                <w:tcPr>
                  <w:tcW w:w="555" w:type="pct"/>
                  <w:tcBorders>
                    <w:top w:val="nil"/>
                    <w:left w:val="nil"/>
                    <w:bottom w:val="nil"/>
                    <w:right w:val="nil"/>
                  </w:tcBorders>
                  <w:shd w:val="clear" w:color="auto" w:fill="auto"/>
                  <w:vAlign w:val="bottom"/>
                </w:tcPr>
                <w:p w14:paraId="7954C9DF" w14:textId="77777777" w:rsidR="00F05DC7" w:rsidRPr="00911F46" w:rsidRDefault="00F05DC7" w:rsidP="00A3786D">
                  <w:pPr>
                    <w:pStyle w:val="TableBodyText"/>
                  </w:pPr>
                  <w:r>
                    <w:rPr>
                      <w:color w:val="000000"/>
                    </w:rPr>
                    <w:noBreakHyphen/>
                  </w:r>
                  <w:r w:rsidRPr="00911F46">
                    <w:rPr>
                      <w:color w:val="000000"/>
                    </w:rPr>
                    <w:t>0.05</w:t>
                  </w:r>
                </w:p>
              </w:tc>
              <w:tc>
                <w:tcPr>
                  <w:tcW w:w="553" w:type="pct"/>
                  <w:tcBorders>
                    <w:top w:val="nil"/>
                    <w:left w:val="nil"/>
                    <w:bottom w:val="nil"/>
                    <w:right w:val="nil"/>
                  </w:tcBorders>
                  <w:shd w:val="clear" w:color="auto" w:fill="auto"/>
                  <w:vAlign w:val="bottom"/>
                </w:tcPr>
                <w:p w14:paraId="7954C9E0" w14:textId="77777777" w:rsidR="00F05DC7" w:rsidRPr="00911F46" w:rsidRDefault="00F05DC7" w:rsidP="00A3786D">
                  <w:pPr>
                    <w:pStyle w:val="TableBodyText"/>
                  </w:pPr>
                  <w:r>
                    <w:rPr>
                      <w:color w:val="000000"/>
                    </w:rPr>
                    <w:noBreakHyphen/>
                  </w:r>
                  <w:r w:rsidRPr="00911F46">
                    <w:rPr>
                      <w:color w:val="000000"/>
                    </w:rPr>
                    <w:t>0.02</w:t>
                  </w:r>
                </w:p>
              </w:tc>
            </w:tr>
            <w:tr w:rsidR="00F05DC7" w:rsidRPr="00A75ED1" w14:paraId="7954C9EB" w14:textId="77777777" w:rsidTr="00A3786D">
              <w:tc>
                <w:tcPr>
                  <w:tcW w:w="556" w:type="pct"/>
                  <w:shd w:val="clear" w:color="auto" w:fill="auto"/>
                </w:tcPr>
                <w:p w14:paraId="7954C9E2" w14:textId="77777777" w:rsidR="00F05DC7" w:rsidRPr="00911F46" w:rsidRDefault="00F05DC7" w:rsidP="00A3786D">
                  <w:pPr>
                    <w:pStyle w:val="TableBodyText"/>
                  </w:pPr>
                  <w:r w:rsidRPr="00911F46">
                    <w:t>2025</w:t>
                  </w:r>
                  <w:r>
                    <w:noBreakHyphen/>
                  </w:r>
                  <w:r w:rsidRPr="00911F46">
                    <w:t>26</w:t>
                  </w:r>
                </w:p>
              </w:tc>
              <w:tc>
                <w:tcPr>
                  <w:tcW w:w="557" w:type="pct"/>
                  <w:tcBorders>
                    <w:top w:val="nil"/>
                    <w:left w:val="nil"/>
                    <w:bottom w:val="nil"/>
                    <w:right w:val="nil"/>
                  </w:tcBorders>
                  <w:shd w:val="clear" w:color="auto" w:fill="auto"/>
                  <w:vAlign w:val="bottom"/>
                </w:tcPr>
                <w:p w14:paraId="7954C9E3" w14:textId="77777777" w:rsidR="00F05DC7" w:rsidRPr="00911F46" w:rsidRDefault="00F05DC7" w:rsidP="00A3786D">
                  <w:pPr>
                    <w:pStyle w:val="TableBodyText"/>
                  </w:pPr>
                  <w:r w:rsidRPr="00911F46">
                    <w:rPr>
                      <w:color w:val="000000"/>
                    </w:rPr>
                    <w:t>0.04</w:t>
                  </w:r>
                </w:p>
              </w:tc>
              <w:tc>
                <w:tcPr>
                  <w:tcW w:w="557" w:type="pct"/>
                  <w:tcBorders>
                    <w:top w:val="nil"/>
                    <w:left w:val="nil"/>
                    <w:bottom w:val="nil"/>
                    <w:right w:val="nil"/>
                  </w:tcBorders>
                  <w:shd w:val="clear" w:color="auto" w:fill="auto"/>
                  <w:vAlign w:val="bottom"/>
                </w:tcPr>
                <w:p w14:paraId="7954C9E4" w14:textId="77777777" w:rsidR="00F05DC7" w:rsidRPr="00911F46" w:rsidRDefault="00F05DC7" w:rsidP="00A3786D">
                  <w:pPr>
                    <w:pStyle w:val="TableBodyText"/>
                  </w:pPr>
                  <w:r w:rsidRPr="00911F46">
                    <w:rPr>
                      <w:color w:val="000000"/>
                    </w:rPr>
                    <w:t>0.23</w:t>
                  </w:r>
                </w:p>
              </w:tc>
              <w:tc>
                <w:tcPr>
                  <w:tcW w:w="556" w:type="pct"/>
                  <w:tcBorders>
                    <w:top w:val="nil"/>
                    <w:left w:val="nil"/>
                    <w:bottom w:val="nil"/>
                    <w:right w:val="nil"/>
                  </w:tcBorders>
                  <w:shd w:val="clear" w:color="auto" w:fill="auto"/>
                  <w:vAlign w:val="bottom"/>
                </w:tcPr>
                <w:p w14:paraId="7954C9E5" w14:textId="77777777" w:rsidR="00F05DC7" w:rsidRPr="00911F46" w:rsidRDefault="00F05DC7" w:rsidP="00A3786D">
                  <w:pPr>
                    <w:pStyle w:val="TableBodyText"/>
                  </w:pPr>
                  <w:r>
                    <w:rPr>
                      <w:color w:val="000000"/>
                    </w:rPr>
                    <w:noBreakHyphen/>
                  </w:r>
                  <w:r w:rsidRPr="00911F46">
                    <w:rPr>
                      <w:color w:val="000000"/>
                    </w:rPr>
                    <w:t>0.08</w:t>
                  </w:r>
                </w:p>
              </w:tc>
              <w:tc>
                <w:tcPr>
                  <w:tcW w:w="556" w:type="pct"/>
                  <w:tcBorders>
                    <w:top w:val="nil"/>
                    <w:left w:val="nil"/>
                    <w:bottom w:val="nil"/>
                    <w:right w:val="nil"/>
                  </w:tcBorders>
                  <w:shd w:val="clear" w:color="auto" w:fill="auto"/>
                  <w:vAlign w:val="bottom"/>
                </w:tcPr>
                <w:p w14:paraId="7954C9E6" w14:textId="77777777" w:rsidR="00F05DC7" w:rsidRPr="00911F46" w:rsidRDefault="00F05DC7" w:rsidP="00A3786D">
                  <w:pPr>
                    <w:pStyle w:val="TableBodyText"/>
                  </w:pPr>
                  <w:r>
                    <w:rPr>
                      <w:color w:val="000000"/>
                    </w:rPr>
                    <w:noBreakHyphen/>
                  </w:r>
                  <w:r w:rsidRPr="00911F46">
                    <w:rPr>
                      <w:color w:val="000000"/>
                    </w:rPr>
                    <w:t>0.39</w:t>
                  </w:r>
                </w:p>
              </w:tc>
              <w:tc>
                <w:tcPr>
                  <w:tcW w:w="555" w:type="pct"/>
                  <w:tcBorders>
                    <w:top w:val="nil"/>
                    <w:left w:val="nil"/>
                    <w:bottom w:val="nil"/>
                    <w:right w:val="nil"/>
                  </w:tcBorders>
                  <w:shd w:val="clear" w:color="auto" w:fill="auto"/>
                  <w:vAlign w:val="bottom"/>
                </w:tcPr>
                <w:p w14:paraId="7954C9E7" w14:textId="77777777" w:rsidR="00F05DC7" w:rsidRPr="00911F46" w:rsidRDefault="00F05DC7" w:rsidP="00A3786D">
                  <w:pPr>
                    <w:pStyle w:val="TableBodyText"/>
                  </w:pPr>
                  <w:r>
                    <w:rPr>
                      <w:color w:val="000000"/>
                    </w:rPr>
                    <w:noBreakHyphen/>
                  </w:r>
                  <w:r w:rsidRPr="00911F46">
                    <w:rPr>
                      <w:color w:val="000000"/>
                    </w:rPr>
                    <w:t>0.06</w:t>
                  </w:r>
                </w:p>
              </w:tc>
              <w:tc>
                <w:tcPr>
                  <w:tcW w:w="555" w:type="pct"/>
                  <w:tcBorders>
                    <w:top w:val="nil"/>
                    <w:left w:val="nil"/>
                    <w:bottom w:val="nil"/>
                    <w:right w:val="nil"/>
                  </w:tcBorders>
                  <w:shd w:val="clear" w:color="auto" w:fill="auto"/>
                  <w:vAlign w:val="bottom"/>
                </w:tcPr>
                <w:p w14:paraId="7954C9E8" w14:textId="77777777" w:rsidR="00F05DC7" w:rsidRPr="00911F46" w:rsidRDefault="00F05DC7" w:rsidP="00A3786D">
                  <w:pPr>
                    <w:pStyle w:val="TableBodyText"/>
                  </w:pPr>
                  <w:r>
                    <w:rPr>
                      <w:color w:val="000000"/>
                    </w:rPr>
                    <w:noBreakHyphen/>
                  </w:r>
                  <w:r w:rsidRPr="00911F46">
                    <w:rPr>
                      <w:color w:val="000000"/>
                    </w:rPr>
                    <w:t>0.06</w:t>
                  </w:r>
                </w:p>
              </w:tc>
              <w:tc>
                <w:tcPr>
                  <w:tcW w:w="555" w:type="pct"/>
                  <w:tcBorders>
                    <w:top w:val="nil"/>
                    <w:left w:val="nil"/>
                    <w:bottom w:val="nil"/>
                    <w:right w:val="nil"/>
                  </w:tcBorders>
                  <w:shd w:val="clear" w:color="auto" w:fill="auto"/>
                  <w:vAlign w:val="bottom"/>
                </w:tcPr>
                <w:p w14:paraId="7954C9E9" w14:textId="77777777" w:rsidR="00F05DC7" w:rsidRPr="00911F46" w:rsidRDefault="00F05DC7" w:rsidP="00A3786D">
                  <w:pPr>
                    <w:pStyle w:val="TableBodyText"/>
                  </w:pPr>
                  <w:r>
                    <w:rPr>
                      <w:color w:val="000000"/>
                    </w:rPr>
                    <w:noBreakHyphen/>
                  </w:r>
                  <w:r w:rsidRPr="00911F46">
                    <w:rPr>
                      <w:color w:val="000000"/>
                    </w:rPr>
                    <w:t>0.07</w:t>
                  </w:r>
                </w:p>
              </w:tc>
              <w:tc>
                <w:tcPr>
                  <w:tcW w:w="553" w:type="pct"/>
                  <w:tcBorders>
                    <w:top w:val="nil"/>
                    <w:left w:val="nil"/>
                    <w:bottom w:val="nil"/>
                    <w:right w:val="nil"/>
                  </w:tcBorders>
                  <w:shd w:val="clear" w:color="auto" w:fill="auto"/>
                  <w:vAlign w:val="bottom"/>
                </w:tcPr>
                <w:p w14:paraId="7954C9EA" w14:textId="77777777" w:rsidR="00F05DC7" w:rsidRPr="00911F46" w:rsidRDefault="00F05DC7" w:rsidP="00A3786D">
                  <w:pPr>
                    <w:pStyle w:val="TableBodyText"/>
                  </w:pPr>
                  <w:r>
                    <w:rPr>
                      <w:color w:val="000000"/>
                    </w:rPr>
                    <w:noBreakHyphen/>
                  </w:r>
                  <w:r w:rsidRPr="00911F46">
                    <w:rPr>
                      <w:color w:val="000000"/>
                    </w:rPr>
                    <w:t>0.02</w:t>
                  </w:r>
                </w:p>
              </w:tc>
            </w:tr>
            <w:tr w:rsidR="00F05DC7" w:rsidRPr="00A75ED1" w14:paraId="7954C9F5" w14:textId="77777777" w:rsidTr="00A3786D">
              <w:tc>
                <w:tcPr>
                  <w:tcW w:w="556" w:type="pct"/>
                  <w:tcBorders>
                    <w:bottom w:val="single" w:sz="6" w:space="0" w:color="D9D9D9" w:themeColor="background1" w:themeShade="D9"/>
                  </w:tcBorders>
                  <w:shd w:val="clear" w:color="auto" w:fill="auto"/>
                </w:tcPr>
                <w:p w14:paraId="7954C9EC" w14:textId="77777777" w:rsidR="00F05DC7" w:rsidRPr="00911F46" w:rsidRDefault="00F05DC7" w:rsidP="00A3786D">
                  <w:pPr>
                    <w:pStyle w:val="TableBodyText"/>
                  </w:pPr>
                  <w:r w:rsidRPr="00911F46">
                    <w:t>2026</w:t>
                  </w:r>
                  <w:r>
                    <w:noBreakHyphen/>
                  </w:r>
                  <w:r w:rsidRPr="00911F46">
                    <w:t>27</w:t>
                  </w:r>
                </w:p>
              </w:tc>
              <w:tc>
                <w:tcPr>
                  <w:tcW w:w="557" w:type="pct"/>
                  <w:tcBorders>
                    <w:top w:val="nil"/>
                    <w:left w:val="nil"/>
                    <w:bottom w:val="single" w:sz="6" w:space="0" w:color="D9D9D9" w:themeColor="background1" w:themeShade="D9"/>
                    <w:right w:val="nil"/>
                  </w:tcBorders>
                  <w:shd w:val="clear" w:color="auto" w:fill="auto"/>
                  <w:vAlign w:val="bottom"/>
                </w:tcPr>
                <w:p w14:paraId="7954C9ED" w14:textId="77777777" w:rsidR="00F05DC7" w:rsidRPr="00911F46" w:rsidRDefault="00F05DC7" w:rsidP="00A3786D">
                  <w:pPr>
                    <w:pStyle w:val="TableBodyText"/>
                  </w:pPr>
                  <w:r>
                    <w:rPr>
                      <w:color w:val="000000"/>
                    </w:rPr>
                    <w:noBreakHyphen/>
                  </w:r>
                  <w:r w:rsidRPr="00911F46">
                    <w:rPr>
                      <w:color w:val="000000"/>
                    </w:rPr>
                    <w:t>0.03</w:t>
                  </w:r>
                </w:p>
              </w:tc>
              <w:tc>
                <w:tcPr>
                  <w:tcW w:w="557" w:type="pct"/>
                  <w:tcBorders>
                    <w:top w:val="nil"/>
                    <w:left w:val="nil"/>
                    <w:bottom w:val="single" w:sz="6" w:space="0" w:color="D9D9D9" w:themeColor="background1" w:themeShade="D9"/>
                    <w:right w:val="nil"/>
                  </w:tcBorders>
                  <w:shd w:val="clear" w:color="auto" w:fill="auto"/>
                  <w:vAlign w:val="bottom"/>
                </w:tcPr>
                <w:p w14:paraId="7954C9EE" w14:textId="77777777" w:rsidR="00F05DC7" w:rsidRPr="00911F46" w:rsidRDefault="00F05DC7" w:rsidP="00A3786D">
                  <w:pPr>
                    <w:pStyle w:val="TableBodyText"/>
                  </w:pPr>
                  <w:r w:rsidRPr="00911F46">
                    <w:rPr>
                      <w:color w:val="000000"/>
                    </w:rPr>
                    <w:t>0.18</w:t>
                  </w:r>
                </w:p>
              </w:tc>
              <w:tc>
                <w:tcPr>
                  <w:tcW w:w="556" w:type="pct"/>
                  <w:tcBorders>
                    <w:top w:val="nil"/>
                    <w:left w:val="nil"/>
                    <w:bottom w:val="single" w:sz="6" w:space="0" w:color="D9D9D9" w:themeColor="background1" w:themeShade="D9"/>
                    <w:right w:val="nil"/>
                  </w:tcBorders>
                  <w:shd w:val="clear" w:color="auto" w:fill="auto"/>
                  <w:vAlign w:val="bottom"/>
                </w:tcPr>
                <w:p w14:paraId="7954C9EF" w14:textId="77777777" w:rsidR="00F05DC7" w:rsidRPr="00911F46" w:rsidRDefault="00F05DC7" w:rsidP="00A3786D">
                  <w:pPr>
                    <w:pStyle w:val="TableBodyText"/>
                  </w:pPr>
                  <w:r>
                    <w:rPr>
                      <w:color w:val="000000"/>
                    </w:rPr>
                    <w:noBreakHyphen/>
                  </w:r>
                  <w:r w:rsidRPr="00911F46">
                    <w:rPr>
                      <w:color w:val="000000"/>
                    </w:rPr>
                    <w:t>0.09</w:t>
                  </w:r>
                </w:p>
              </w:tc>
              <w:tc>
                <w:tcPr>
                  <w:tcW w:w="556" w:type="pct"/>
                  <w:tcBorders>
                    <w:top w:val="nil"/>
                    <w:left w:val="nil"/>
                    <w:bottom w:val="single" w:sz="6" w:space="0" w:color="D9D9D9" w:themeColor="background1" w:themeShade="D9"/>
                    <w:right w:val="nil"/>
                  </w:tcBorders>
                  <w:shd w:val="clear" w:color="auto" w:fill="auto"/>
                  <w:vAlign w:val="bottom"/>
                </w:tcPr>
                <w:p w14:paraId="7954C9F0" w14:textId="77777777" w:rsidR="00F05DC7" w:rsidRPr="00911F46" w:rsidRDefault="00F05DC7" w:rsidP="00A3786D">
                  <w:pPr>
                    <w:pStyle w:val="TableBodyText"/>
                  </w:pPr>
                  <w:r>
                    <w:rPr>
                      <w:color w:val="000000"/>
                    </w:rPr>
                    <w:noBreakHyphen/>
                  </w:r>
                  <w:r w:rsidRPr="00911F46">
                    <w:rPr>
                      <w:color w:val="000000"/>
                    </w:rPr>
                    <w:t>0.09</w:t>
                  </w:r>
                </w:p>
              </w:tc>
              <w:tc>
                <w:tcPr>
                  <w:tcW w:w="555" w:type="pct"/>
                  <w:tcBorders>
                    <w:top w:val="nil"/>
                    <w:left w:val="nil"/>
                    <w:bottom w:val="single" w:sz="6" w:space="0" w:color="D9D9D9" w:themeColor="background1" w:themeShade="D9"/>
                    <w:right w:val="nil"/>
                  </w:tcBorders>
                  <w:shd w:val="clear" w:color="auto" w:fill="auto"/>
                  <w:vAlign w:val="bottom"/>
                </w:tcPr>
                <w:p w14:paraId="7954C9F1" w14:textId="77777777" w:rsidR="00F05DC7" w:rsidRPr="00911F46" w:rsidRDefault="00F05DC7" w:rsidP="00A3786D">
                  <w:pPr>
                    <w:pStyle w:val="TableBodyText"/>
                  </w:pPr>
                  <w:r>
                    <w:rPr>
                      <w:color w:val="000000"/>
                    </w:rPr>
                    <w:noBreakHyphen/>
                  </w:r>
                  <w:r w:rsidRPr="00911F46">
                    <w:rPr>
                      <w:color w:val="000000"/>
                    </w:rPr>
                    <w:t>0.07</w:t>
                  </w:r>
                </w:p>
              </w:tc>
              <w:tc>
                <w:tcPr>
                  <w:tcW w:w="555" w:type="pct"/>
                  <w:tcBorders>
                    <w:top w:val="nil"/>
                    <w:left w:val="nil"/>
                    <w:bottom w:val="single" w:sz="6" w:space="0" w:color="D9D9D9" w:themeColor="background1" w:themeShade="D9"/>
                    <w:right w:val="nil"/>
                  </w:tcBorders>
                  <w:shd w:val="clear" w:color="auto" w:fill="auto"/>
                  <w:vAlign w:val="bottom"/>
                </w:tcPr>
                <w:p w14:paraId="7954C9F2" w14:textId="77777777" w:rsidR="00F05DC7" w:rsidRPr="00911F46" w:rsidRDefault="00F05DC7" w:rsidP="00A3786D">
                  <w:pPr>
                    <w:pStyle w:val="TableBodyText"/>
                  </w:pPr>
                  <w:r>
                    <w:rPr>
                      <w:color w:val="000000"/>
                    </w:rPr>
                    <w:noBreakHyphen/>
                  </w:r>
                  <w:r w:rsidRPr="00911F46">
                    <w:rPr>
                      <w:color w:val="000000"/>
                    </w:rPr>
                    <w:t>0.06</w:t>
                  </w:r>
                </w:p>
              </w:tc>
              <w:tc>
                <w:tcPr>
                  <w:tcW w:w="555" w:type="pct"/>
                  <w:tcBorders>
                    <w:top w:val="nil"/>
                    <w:left w:val="nil"/>
                    <w:bottom w:val="single" w:sz="6" w:space="0" w:color="D9D9D9" w:themeColor="background1" w:themeShade="D9"/>
                    <w:right w:val="nil"/>
                  </w:tcBorders>
                  <w:shd w:val="clear" w:color="auto" w:fill="auto"/>
                  <w:vAlign w:val="bottom"/>
                </w:tcPr>
                <w:p w14:paraId="7954C9F3" w14:textId="77777777" w:rsidR="00F05DC7" w:rsidRPr="00911F46" w:rsidRDefault="00F05DC7" w:rsidP="00A3786D">
                  <w:pPr>
                    <w:pStyle w:val="TableBodyText"/>
                  </w:pPr>
                  <w:r>
                    <w:rPr>
                      <w:color w:val="000000"/>
                    </w:rPr>
                    <w:noBreakHyphen/>
                  </w:r>
                  <w:r w:rsidRPr="00911F46">
                    <w:rPr>
                      <w:color w:val="000000"/>
                    </w:rPr>
                    <w:t>0.07</w:t>
                  </w:r>
                </w:p>
              </w:tc>
              <w:tc>
                <w:tcPr>
                  <w:tcW w:w="553" w:type="pct"/>
                  <w:tcBorders>
                    <w:top w:val="nil"/>
                    <w:left w:val="nil"/>
                    <w:bottom w:val="single" w:sz="6" w:space="0" w:color="D9D9D9" w:themeColor="background1" w:themeShade="D9"/>
                    <w:right w:val="nil"/>
                  </w:tcBorders>
                  <w:shd w:val="clear" w:color="auto" w:fill="auto"/>
                  <w:vAlign w:val="bottom"/>
                </w:tcPr>
                <w:p w14:paraId="7954C9F4" w14:textId="77777777" w:rsidR="00F05DC7" w:rsidRPr="00911F46" w:rsidRDefault="00F05DC7" w:rsidP="00A3786D">
                  <w:pPr>
                    <w:pStyle w:val="TableBodyText"/>
                  </w:pPr>
                  <w:r>
                    <w:rPr>
                      <w:color w:val="000000"/>
                    </w:rPr>
                    <w:noBreakHyphen/>
                  </w:r>
                  <w:r w:rsidRPr="00911F46">
                    <w:rPr>
                      <w:color w:val="000000"/>
                    </w:rPr>
                    <w:t>0.03</w:t>
                  </w:r>
                </w:p>
              </w:tc>
            </w:tr>
          </w:tbl>
          <w:p w14:paraId="7954C9F6" w14:textId="77777777" w:rsidR="00F05DC7" w:rsidRDefault="00F05DC7" w:rsidP="00A3786D">
            <w:pPr>
              <w:pStyle w:val="Box"/>
            </w:pPr>
          </w:p>
        </w:tc>
      </w:tr>
      <w:tr w:rsidR="00F05DC7" w14:paraId="7954C9F9" w14:textId="77777777" w:rsidTr="00A3786D">
        <w:tc>
          <w:tcPr>
            <w:tcW w:w="5000" w:type="pct"/>
            <w:tcBorders>
              <w:top w:val="nil"/>
              <w:left w:val="nil"/>
              <w:bottom w:val="nil"/>
              <w:right w:val="nil"/>
            </w:tcBorders>
            <w:shd w:val="clear" w:color="auto" w:fill="auto"/>
          </w:tcPr>
          <w:p w14:paraId="7954C9F8" w14:textId="77777777" w:rsidR="00F05DC7" w:rsidRDefault="00F05DC7" w:rsidP="00A3786D">
            <w:pPr>
              <w:pStyle w:val="Source"/>
            </w:pPr>
            <w:r w:rsidRPr="00355172">
              <w:rPr>
                <w:i/>
              </w:rPr>
              <w:t>Source</w:t>
            </w:r>
            <w:r w:rsidRPr="00676CAE">
              <w:t>:</w:t>
            </w:r>
            <w:r w:rsidRPr="00355172">
              <w:rPr>
                <w:i/>
              </w:rPr>
              <w:t xml:space="preserve"> </w:t>
            </w:r>
            <w:r w:rsidRPr="00676CAE">
              <w:t>Productivity Commission estimates.</w:t>
            </w:r>
            <w:r>
              <w:rPr>
                <w:i/>
              </w:rPr>
              <w:t xml:space="preserve"> </w:t>
            </w:r>
          </w:p>
        </w:tc>
      </w:tr>
      <w:tr w:rsidR="00F05DC7" w14:paraId="7954C9FB" w14:textId="77777777" w:rsidTr="00A3786D">
        <w:tc>
          <w:tcPr>
            <w:tcW w:w="5000" w:type="pct"/>
            <w:tcBorders>
              <w:top w:val="nil"/>
              <w:left w:val="nil"/>
              <w:bottom w:val="single" w:sz="6" w:space="0" w:color="78A22F"/>
              <w:right w:val="nil"/>
            </w:tcBorders>
            <w:shd w:val="clear" w:color="auto" w:fill="auto"/>
          </w:tcPr>
          <w:p w14:paraId="7954C9FA" w14:textId="77777777" w:rsidR="00F05DC7" w:rsidRDefault="00F05DC7" w:rsidP="00A3786D">
            <w:pPr>
              <w:pStyle w:val="Box"/>
              <w:spacing w:before="0" w:line="120" w:lineRule="exact"/>
            </w:pPr>
          </w:p>
        </w:tc>
      </w:tr>
      <w:tr w:rsidR="00F05DC7" w:rsidRPr="000863A5" w14:paraId="7954C9FD" w14:textId="77777777" w:rsidTr="00A3786D">
        <w:tc>
          <w:tcPr>
            <w:tcW w:w="5000" w:type="pct"/>
            <w:tcBorders>
              <w:top w:val="single" w:sz="6" w:space="0" w:color="78A22F"/>
              <w:left w:val="nil"/>
              <w:bottom w:val="nil"/>
              <w:right w:val="nil"/>
            </w:tcBorders>
          </w:tcPr>
          <w:p w14:paraId="7954C9FC" w14:textId="77777777" w:rsidR="00F05DC7" w:rsidRPr="00626D32" w:rsidRDefault="00F05DC7" w:rsidP="00A3786D">
            <w:pPr>
              <w:pStyle w:val="BoxSpaceBelow"/>
            </w:pPr>
          </w:p>
        </w:tc>
      </w:tr>
    </w:tbl>
    <w:p w14:paraId="7954C9FE"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A01" w14:textId="77777777" w:rsidTr="00A3786D">
        <w:trPr>
          <w:tblHeader/>
        </w:trPr>
        <w:tc>
          <w:tcPr>
            <w:tcW w:w="5000" w:type="pct"/>
            <w:tcBorders>
              <w:top w:val="single" w:sz="6" w:space="0" w:color="78A22F"/>
              <w:left w:val="nil"/>
              <w:bottom w:val="nil"/>
              <w:right w:val="nil"/>
            </w:tcBorders>
            <w:shd w:val="clear" w:color="auto" w:fill="auto"/>
          </w:tcPr>
          <w:p w14:paraId="7954C9FF" w14:textId="6DBAC489" w:rsidR="00F05DC7" w:rsidRDefault="00F05DC7" w:rsidP="00A3786D">
            <w:pPr>
              <w:pStyle w:val="TableTitle"/>
            </w:pPr>
            <w:r>
              <w:rPr>
                <w:b w:val="0"/>
              </w:rPr>
              <w:t>Table F.8</w:t>
            </w:r>
            <w:r>
              <w:tab/>
              <w:t>Eight year transition to ETA: yearly budget adjustment due to change in the equalisation benchmark</w:t>
            </w:r>
            <w:r w:rsidDel="00A30E11">
              <w:t xml:space="preserve"> </w:t>
            </w:r>
          </w:p>
          <w:p w14:paraId="7954CA00" w14:textId="77777777" w:rsidR="00F05DC7" w:rsidRPr="00784A05" w:rsidRDefault="00F05DC7" w:rsidP="00A3786D">
            <w:pPr>
              <w:pStyle w:val="Subtitle"/>
            </w:pPr>
            <w:r>
              <w:t>Year-on-year change (incremental change from previous year) in GST payments (relative to the current benchmark), best estimate scenario</w:t>
            </w:r>
          </w:p>
        </w:tc>
      </w:tr>
      <w:tr w:rsidR="00F05DC7" w14:paraId="7954CB03" w14:textId="77777777" w:rsidTr="00A3786D">
        <w:tc>
          <w:tcPr>
            <w:tcW w:w="5000" w:type="pct"/>
            <w:tcBorders>
              <w:top w:val="nil"/>
              <w:left w:val="nil"/>
              <w:bottom w:val="single" w:sz="6" w:space="0" w:color="D9D9D9" w:themeColor="background1" w:themeShade="D9"/>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CA0B"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A02"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CA03"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CA04"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CA05"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CA06"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CA07"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CA08"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CA09"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CA0A"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CA0D" w14:textId="77777777" w:rsidTr="00A3786D">
              <w:tc>
                <w:tcPr>
                  <w:tcW w:w="5000" w:type="pct"/>
                  <w:gridSpan w:val="9"/>
                  <w:tcBorders>
                    <w:top w:val="single" w:sz="6" w:space="0" w:color="BFBFBF"/>
                  </w:tcBorders>
                  <w:shd w:val="clear" w:color="auto" w:fill="F2F2F2" w:themeFill="background1" w:themeFillShade="F2"/>
                </w:tcPr>
                <w:p w14:paraId="7954CA0C"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CA17" w14:textId="77777777" w:rsidTr="00A3786D">
              <w:tc>
                <w:tcPr>
                  <w:tcW w:w="556" w:type="pct"/>
                  <w:vAlign w:val="bottom"/>
                </w:tcPr>
                <w:p w14:paraId="7954CA0E"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CA0F" w14:textId="77777777" w:rsidR="00F05DC7" w:rsidRPr="00A75ED1" w:rsidRDefault="00F05DC7" w:rsidP="00A3786D">
                  <w:pPr>
                    <w:pStyle w:val="TableBodyText"/>
                    <w:rPr>
                      <w:rFonts w:cs="Arial"/>
                      <w:szCs w:val="18"/>
                    </w:rPr>
                  </w:pPr>
                  <w:r w:rsidRPr="00A75ED1">
                    <w:rPr>
                      <w:rFonts w:cs="Arial"/>
                      <w:color w:val="000000"/>
                      <w:szCs w:val="18"/>
                    </w:rPr>
                    <w:t>175</w:t>
                  </w:r>
                </w:p>
              </w:tc>
              <w:tc>
                <w:tcPr>
                  <w:tcW w:w="557" w:type="pct"/>
                  <w:tcBorders>
                    <w:top w:val="nil"/>
                    <w:left w:val="nil"/>
                    <w:bottom w:val="nil"/>
                    <w:right w:val="nil"/>
                  </w:tcBorders>
                  <w:shd w:val="clear" w:color="auto" w:fill="FFFFFF" w:themeFill="background1"/>
                  <w:vAlign w:val="bottom"/>
                </w:tcPr>
                <w:p w14:paraId="7954CA1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151</w:t>
                  </w:r>
                </w:p>
              </w:tc>
              <w:tc>
                <w:tcPr>
                  <w:tcW w:w="556" w:type="pct"/>
                  <w:tcBorders>
                    <w:top w:val="nil"/>
                    <w:left w:val="nil"/>
                    <w:bottom w:val="nil"/>
                    <w:right w:val="nil"/>
                  </w:tcBorders>
                  <w:shd w:val="clear" w:color="auto" w:fill="FFFFFF" w:themeFill="background1"/>
                  <w:vAlign w:val="bottom"/>
                </w:tcPr>
                <w:p w14:paraId="7954CA1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186</w:t>
                  </w:r>
                </w:p>
              </w:tc>
              <w:tc>
                <w:tcPr>
                  <w:tcW w:w="556" w:type="pct"/>
                  <w:tcBorders>
                    <w:top w:val="nil"/>
                    <w:left w:val="nil"/>
                    <w:bottom w:val="nil"/>
                    <w:right w:val="nil"/>
                  </w:tcBorders>
                  <w:shd w:val="clear" w:color="auto" w:fill="FFFFFF" w:themeFill="background1"/>
                  <w:vAlign w:val="bottom"/>
                </w:tcPr>
                <w:p w14:paraId="7954CA12" w14:textId="77777777" w:rsidR="00F05DC7" w:rsidRPr="00A75ED1" w:rsidRDefault="00F05DC7" w:rsidP="00A3786D">
                  <w:pPr>
                    <w:pStyle w:val="TableBodyText"/>
                    <w:rPr>
                      <w:rFonts w:cs="Arial"/>
                      <w:szCs w:val="18"/>
                    </w:rPr>
                  </w:pPr>
                  <w:r w:rsidRPr="00A75ED1">
                    <w:rPr>
                      <w:rFonts w:cs="Arial"/>
                      <w:color w:val="000000"/>
                      <w:szCs w:val="18"/>
                    </w:rPr>
                    <w:t>270</w:t>
                  </w:r>
                </w:p>
              </w:tc>
              <w:tc>
                <w:tcPr>
                  <w:tcW w:w="555" w:type="pct"/>
                  <w:tcBorders>
                    <w:top w:val="nil"/>
                    <w:left w:val="nil"/>
                    <w:bottom w:val="nil"/>
                    <w:right w:val="nil"/>
                  </w:tcBorders>
                  <w:shd w:val="clear" w:color="auto" w:fill="FFFFFF" w:themeFill="background1"/>
                  <w:vAlign w:val="bottom"/>
                </w:tcPr>
                <w:p w14:paraId="7954CA1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64</w:t>
                  </w:r>
                </w:p>
              </w:tc>
              <w:tc>
                <w:tcPr>
                  <w:tcW w:w="555" w:type="pct"/>
                  <w:tcBorders>
                    <w:top w:val="nil"/>
                    <w:left w:val="nil"/>
                    <w:bottom w:val="nil"/>
                    <w:right w:val="nil"/>
                  </w:tcBorders>
                  <w:shd w:val="clear" w:color="auto" w:fill="FFFFFF" w:themeFill="background1"/>
                  <w:vAlign w:val="bottom"/>
                </w:tcPr>
                <w:p w14:paraId="7954CA1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w:t>
                  </w:r>
                </w:p>
              </w:tc>
              <w:tc>
                <w:tcPr>
                  <w:tcW w:w="555" w:type="pct"/>
                  <w:tcBorders>
                    <w:top w:val="nil"/>
                    <w:left w:val="nil"/>
                    <w:bottom w:val="nil"/>
                    <w:right w:val="nil"/>
                  </w:tcBorders>
                  <w:shd w:val="clear" w:color="auto" w:fill="FFFFFF" w:themeFill="background1"/>
                  <w:vAlign w:val="bottom"/>
                </w:tcPr>
                <w:p w14:paraId="7954CA1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w:t>
                  </w:r>
                </w:p>
              </w:tc>
              <w:tc>
                <w:tcPr>
                  <w:tcW w:w="553" w:type="pct"/>
                  <w:tcBorders>
                    <w:top w:val="nil"/>
                    <w:left w:val="nil"/>
                    <w:bottom w:val="nil"/>
                    <w:right w:val="nil"/>
                  </w:tcBorders>
                  <w:shd w:val="clear" w:color="auto" w:fill="FFFFFF" w:themeFill="background1"/>
                  <w:vAlign w:val="bottom"/>
                </w:tcPr>
                <w:p w14:paraId="7954CA1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9 </w:t>
                  </w:r>
                </w:p>
              </w:tc>
            </w:tr>
            <w:tr w:rsidR="00F05DC7" w:rsidRPr="00A75ED1" w14:paraId="7954CA21" w14:textId="77777777" w:rsidTr="00A3786D">
              <w:tc>
                <w:tcPr>
                  <w:tcW w:w="556" w:type="pct"/>
                  <w:vAlign w:val="bottom"/>
                </w:tcPr>
                <w:p w14:paraId="7954CA18"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CA19" w14:textId="77777777" w:rsidR="00F05DC7" w:rsidRPr="00A75ED1" w:rsidRDefault="00F05DC7" w:rsidP="00A3786D">
                  <w:pPr>
                    <w:pStyle w:val="TableBodyText"/>
                    <w:rPr>
                      <w:rFonts w:cs="Arial"/>
                      <w:szCs w:val="18"/>
                    </w:rPr>
                  </w:pPr>
                  <w:r w:rsidRPr="00A75ED1">
                    <w:rPr>
                      <w:rFonts w:cs="Arial"/>
                      <w:color w:val="000000"/>
                      <w:szCs w:val="18"/>
                    </w:rPr>
                    <w:t>234</w:t>
                  </w:r>
                </w:p>
              </w:tc>
              <w:tc>
                <w:tcPr>
                  <w:tcW w:w="557" w:type="pct"/>
                  <w:tcBorders>
                    <w:top w:val="nil"/>
                    <w:left w:val="nil"/>
                    <w:bottom w:val="nil"/>
                    <w:right w:val="nil"/>
                  </w:tcBorders>
                  <w:shd w:val="clear" w:color="auto" w:fill="FFFFFF" w:themeFill="background1"/>
                  <w:vAlign w:val="bottom"/>
                </w:tcPr>
                <w:p w14:paraId="7954CA1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135</w:t>
                  </w:r>
                </w:p>
              </w:tc>
              <w:tc>
                <w:tcPr>
                  <w:tcW w:w="556" w:type="pct"/>
                  <w:tcBorders>
                    <w:top w:val="nil"/>
                    <w:left w:val="nil"/>
                    <w:bottom w:val="nil"/>
                    <w:right w:val="nil"/>
                  </w:tcBorders>
                  <w:shd w:val="clear" w:color="auto" w:fill="FFFFFF" w:themeFill="background1"/>
                  <w:vAlign w:val="bottom"/>
                </w:tcPr>
                <w:p w14:paraId="7954CA1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208</w:t>
                  </w:r>
                </w:p>
              </w:tc>
              <w:tc>
                <w:tcPr>
                  <w:tcW w:w="556" w:type="pct"/>
                  <w:tcBorders>
                    <w:top w:val="nil"/>
                    <w:left w:val="nil"/>
                    <w:bottom w:val="nil"/>
                    <w:right w:val="nil"/>
                  </w:tcBorders>
                  <w:shd w:val="clear" w:color="auto" w:fill="FFFFFF" w:themeFill="background1"/>
                  <w:vAlign w:val="bottom"/>
                </w:tcPr>
                <w:p w14:paraId="7954CA1C" w14:textId="77777777" w:rsidR="00F05DC7" w:rsidRPr="00A75ED1" w:rsidRDefault="00F05DC7" w:rsidP="00A3786D">
                  <w:pPr>
                    <w:pStyle w:val="TableBodyText"/>
                    <w:rPr>
                      <w:rFonts w:cs="Arial"/>
                      <w:szCs w:val="18"/>
                    </w:rPr>
                  </w:pPr>
                  <w:r w:rsidRPr="00A75ED1">
                    <w:rPr>
                      <w:rFonts w:cs="Arial"/>
                      <w:color w:val="000000"/>
                      <w:szCs w:val="18"/>
                    </w:rPr>
                    <w:t>229</w:t>
                  </w:r>
                </w:p>
              </w:tc>
              <w:tc>
                <w:tcPr>
                  <w:tcW w:w="555" w:type="pct"/>
                  <w:tcBorders>
                    <w:top w:val="nil"/>
                    <w:left w:val="nil"/>
                    <w:bottom w:val="nil"/>
                    <w:right w:val="nil"/>
                  </w:tcBorders>
                  <w:shd w:val="clear" w:color="auto" w:fill="FFFFFF" w:themeFill="background1"/>
                  <w:vAlign w:val="bottom"/>
                </w:tcPr>
                <w:p w14:paraId="7954CA1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71</w:t>
                  </w:r>
                </w:p>
              </w:tc>
              <w:tc>
                <w:tcPr>
                  <w:tcW w:w="555" w:type="pct"/>
                  <w:tcBorders>
                    <w:top w:val="nil"/>
                    <w:left w:val="nil"/>
                    <w:bottom w:val="nil"/>
                    <w:right w:val="nil"/>
                  </w:tcBorders>
                  <w:shd w:val="clear" w:color="auto" w:fill="FFFFFF" w:themeFill="background1"/>
                  <w:vAlign w:val="bottom"/>
                </w:tcPr>
                <w:p w14:paraId="7954CA1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21</w:t>
                  </w:r>
                </w:p>
              </w:tc>
              <w:tc>
                <w:tcPr>
                  <w:tcW w:w="555" w:type="pct"/>
                  <w:tcBorders>
                    <w:top w:val="nil"/>
                    <w:left w:val="nil"/>
                    <w:bottom w:val="nil"/>
                    <w:right w:val="nil"/>
                  </w:tcBorders>
                  <w:shd w:val="clear" w:color="auto" w:fill="FFFFFF" w:themeFill="background1"/>
                  <w:vAlign w:val="bottom"/>
                </w:tcPr>
                <w:p w14:paraId="7954CA1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w:t>
                  </w:r>
                </w:p>
              </w:tc>
              <w:tc>
                <w:tcPr>
                  <w:tcW w:w="553" w:type="pct"/>
                  <w:tcBorders>
                    <w:top w:val="nil"/>
                    <w:left w:val="nil"/>
                    <w:bottom w:val="nil"/>
                    <w:right w:val="nil"/>
                  </w:tcBorders>
                  <w:shd w:val="clear" w:color="auto" w:fill="FFFFFF" w:themeFill="background1"/>
                  <w:vAlign w:val="bottom"/>
                </w:tcPr>
                <w:p w14:paraId="7954CA2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10 </w:t>
                  </w:r>
                </w:p>
              </w:tc>
            </w:tr>
            <w:tr w:rsidR="00F05DC7" w:rsidRPr="00A75ED1" w14:paraId="7954CA2B" w14:textId="77777777" w:rsidTr="00A3786D">
              <w:tc>
                <w:tcPr>
                  <w:tcW w:w="556" w:type="pct"/>
                  <w:vAlign w:val="bottom"/>
                </w:tcPr>
                <w:p w14:paraId="7954CA22"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CA23" w14:textId="77777777" w:rsidR="00F05DC7" w:rsidRPr="00A75ED1" w:rsidRDefault="00F05DC7" w:rsidP="00A3786D">
                  <w:pPr>
                    <w:pStyle w:val="TableBodyText"/>
                    <w:rPr>
                      <w:rFonts w:cs="Arial"/>
                      <w:szCs w:val="18"/>
                    </w:rPr>
                  </w:pPr>
                  <w:r w:rsidRPr="00A75ED1">
                    <w:rPr>
                      <w:rFonts w:cs="Arial"/>
                      <w:color w:val="000000"/>
                      <w:szCs w:val="18"/>
                    </w:rPr>
                    <w:t>224</w:t>
                  </w:r>
                </w:p>
              </w:tc>
              <w:tc>
                <w:tcPr>
                  <w:tcW w:w="557" w:type="pct"/>
                  <w:tcBorders>
                    <w:top w:val="nil"/>
                    <w:left w:val="nil"/>
                    <w:bottom w:val="nil"/>
                    <w:right w:val="nil"/>
                  </w:tcBorders>
                  <w:shd w:val="clear" w:color="auto" w:fill="FFFFFF" w:themeFill="background1"/>
                  <w:vAlign w:val="bottom"/>
                </w:tcPr>
                <w:p w14:paraId="7954CA2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121</w:t>
                  </w:r>
                </w:p>
              </w:tc>
              <w:tc>
                <w:tcPr>
                  <w:tcW w:w="556" w:type="pct"/>
                  <w:tcBorders>
                    <w:top w:val="nil"/>
                    <w:left w:val="nil"/>
                    <w:bottom w:val="nil"/>
                    <w:right w:val="nil"/>
                  </w:tcBorders>
                  <w:shd w:val="clear" w:color="auto" w:fill="FFFFFF" w:themeFill="background1"/>
                  <w:vAlign w:val="bottom"/>
                </w:tcPr>
                <w:p w14:paraId="7954CA2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227</w:t>
                  </w:r>
                </w:p>
              </w:tc>
              <w:tc>
                <w:tcPr>
                  <w:tcW w:w="556" w:type="pct"/>
                  <w:tcBorders>
                    <w:top w:val="nil"/>
                    <w:left w:val="nil"/>
                    <w:bottom w:val="nil"/>
                    <w:right w:val="nil"/>
                  </w:tcBorders>
                  <w:shd w:val="clear" w:color="auto" w:fill="FFFFFF" w:themeFill="background1"/>
                  <w:vAlign w:val="bottom"/>
                </w:tcPr>
                <w:p w14:paraId="7954CA26" w14:textId="77777777" w:rsidR="00F05DC7" w:rsidRPr="00A75ED1" w:rsidRDefault="00F05DC7" w:rsidP="00A3786D">
                  <w:pPr>
                    <w:pStyle w:val="TableBodyText"/>
                    <w:rPr>
                      <w:rFonts w:cs="Arial"/>
                      <w:szCs w:val="18"/>
                    </w:rPr>
                  </w:pPr>
                  <w:r w:rsidRPr="00A75ED1">
                    <w:rPr>
                      <w:rFonts w:cs="Arial"/>
                      <w:color w:val="000000"/>
                      <w:szCs w:val="18"/>
                    </w:rPr>
                    <w:t>253</w:t>
                  </w:r>
                </w:p>
              </w:tc>
              <w:tc>
                <w:tcPr>
                  <w:tcW w:w="555" w:type="pct"/>
                  <w:tcBorders>
                    <w:top w:val="nil"/>
                    <w:left w:val="nil"/>
                    <w:bottom w:val="nil"/>
                    <w:right w:val="nil"/>
                  </w:tcBorders>
                  <w:shd w:val="clear" w:color="auto" w:fill="FFFFFF" w:themeFill="background1"/>
                  <w:vAlign w:val="bottom"/>
                </w:tcPr>
                <w:p w14:paraId="7954CA2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76</w:t>
                  </w:r>
                </w:p>
              </w:tc>
              <w:tc>
                <w:tcPr>
                  <w:tcW w:w="555" w:type="pct"/>
                  <w:tcBorders>
                    <w:top w:val="nil"/>
                    <w:left w:val="nil"/>
                    <w:bottom w:val="nil"/>
                    <w:right w:val="nil"/>
                  </w:tcBorders>
                  <w:shd w:val="clear" w:color="auto" w:fill="FFFFFF" w:themeFill="background1"/>
                  <w:vAlign w:val="bottom"/>
                </w:tcPr>
                <w:p w14:paraId="7954CA2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w:t>
                  </w:r>
                </w:p>
              </w:tc>
              <w:tc>
                <w:tcPr>
                  <w:tcW w:w="555" w:type="pct"/>
                  <w:tcBorders>
                    <w:top w:val="nil"/>
                    <w:left w:val="nil"/>
                    <w:bottom w:val="nil"/>
                    <w:right w:val="nil"/>
                  </w:tcBorders>
                  <w:shd w:val="clear" w:color="auto" w:fill="FFFFFF" w:themeFill="background1"/>
                  <w:vAlign w:val="bottom"/>
                </w:tcPr>
                <w:p w14:paraId="7954CA2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w:t>
                  </w:r>
                </w:p>
              </w:tc>
              <w:tc>
                <w:tcPr>
                  <w:tcW w:w="553" w:type="pct"/>
                  <w:tcBorders>
                    <w:top w:val="nil"/>
                    <w:left w:val="nil"/>
                    <w:bottom w:val="nil"/>
                    <w:right w:val="nil"/>
                  </w:tcBorders>
                  <w:shd w:val="clear" w:color="auto" w:fill="FFFFFF" w:themeFill="background1"/>
                  <w:vAlign w:val="bottom"/>
                </w:tcPr>
                <w:p w14:paraId="7954CA2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11 </w:t>
                  </w:r>
                </w:p>
              </w:tc>
            </w:tr>
            <w:tr w:rsidR="00F05DC7" w:rsidRPr="00A75ED1" w14:paraId="7954CA35" w14:textId="77777777" w:rsidTr="00A3786D">
              <w:tc>
                <w:tcPr>
                  <w:tcW w:w="556" w:type="pct"/>
                </w:tcPr>
                <w:p w14:paraId="7954CA2C"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CA2D" w14:textId="77777777" w:rsidR="00F05DC7" w:rsidRPr="00A75ED1" w:rsidRDefault="00F05DC7" w:rsidP="00A3786D">
                  <w:pPr>
                    <w:pStyle w:val="TableBodyText"/>
                    <w:rPr>
                      <w:rFonts w:cs="Arial"/>
                      <w:szCs w:val="18"/>
                    </w:rPr>
                  </w:pPr>
                  <w:r w:rsidRPr="00A75ED1">
                    <w:rPr>
                      <w:rFonts w:cs="Arial"/>
                      <w:color w:val="000000"/>
                      <w:szCs w:val="18"/>
                    </w:rPr>
                    <w:t>316</w:t>
                  </w:r>
                </w:p>
              </w:tc>
              <w:tc>
                <w:tcPr>
                  <w:tcW w:w="557" w:type="pct"/>
                  <w:tcBorders>
                    <w:top w:val="nil"/>
                    <w:left w:val="nil"/>
                    <w:bottom w:val="nil"/>
                    <w:right w:val="nil"/>
                  </w:tcBorders>
                  <w:shd w:val="clear" w:color="auto" w:fill="FFFFFF" w:themeFill="background1"/>
                  <w:vAlign w:val="bottom"/>
                </w:tcPr>
                <w:p w14:paraId="7954CA2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81</w:t>
                  </w:r>
                </w:p>
              </w:tc>
              <w:tc>
                <w:tcPr>
                  <w:tcW w:w="556" w:type="pct"/>
                  <w:tcBorders>
                    <w:top w:val="nil"/>
                    <w:left w:val="nil"/>
                    <w:bottom w:val="nil"/>
                    <w:right w:val="nil"/>
                  </w:tcBorders>
                  <w:shd w:val="clear" w:color="auto" w:fill="FFFFFF" w:themeFill="background1"/>
                  <w:vAlign w:val="bottom"/>
                </w:tcPr>
                <w:p w14:paraId="7954CA2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262</w:t>
                  </w:r>
                </w:p>
              </w:tc>
              <w:tc>
                <w:tcPr>
                  <w:tcW w:w="556" w:type="pct"/>
                  <w:tcBorders>
                    <w:top w:val="nil"/>
                    <w:left w:val="nil"/>
                    <w:bottom w:val="nil"/>
                    <w:right w:val="nil"/>
                  </w:tcBorders>
                  <w:shd w:val="clear" w:color="auto" w:fill="FFFFFF" w:themeFill="background1"/>
                  <w:vAlign w:val="bottom"/>
                </w:tcPr>
                <w:p w14:paraId="7954CA30" w14:textId="77777777" w:rsidR="00F05DC7" w:rsidRPr="00A75ED1" w:rsidRDefault="00F05DC7" w:rsidP="00A3786D">
                  <w:pPr>
                    <w:pStyle w:val="TableBodyText"/>
                    <w:rPr>
                      <w:rFonts w:cs="Arial"/>
                      <w:szCs w:val="18"/>
                    </w:rPr>
                  </w:pPr>
                  <w:r w:rsidRPr="00A75ED1">
                    <w:rPr>
                      <w:rFonts w:cs="Arial"/>
                      <w:color w:val="000000"/>
                      <w:szCs w:val="18"/>
                    </w:rPr>
                    <w:t>173</w:t>
                  </w:r>
                </w:p>
              </w:tc>
              <w:tc>
                <w:tcPr>
                  <w:tcW w:w="555" w:type="pct"/>
                  <w:tcBorders>
                    <w:top w:val="nil"/>
                    <w:left w:val="nil"/>
                    <w:bottom w:val="nil"/>
                    <w:right w:val="nil"/>
                  </w:tcBorders>
                  <w:shd w:val="clear" w:color="auto" w:fill="FFFFFF" w:themeFill="background1"/>
                  <w:vAlign w:val="bottom"/>
                </w:tcPr>
                <w:p w14:paraId="7954CA3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87</w:t>
                  </w:r>
                </w:p>
              </w:tc>
              <w:tc>
                <w:tcPr>
                  <w:tcW w:w="555" w:type="pct"/>
                  <w:tcBorders>
                    <w:top w:val="nil"/>
                    <w:left w:val="nil"/>
                    <w:bottom w:val="nil"/>
                    <w:right w:val="nil"/>
                  </w:tcBorders>
                  <w:shd w:val="clear" w:color="auto" w:fill="FFFFFF" w:themeFill="background1"/>
                  <w:vAlign w:val="bottom"/>
                </w:tcPr>
                <w:p w14:paraId="7954CA3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w:t>
                  </w:r>
                </w:p>
              </w:tc>
              <w:tc>
                <w:tcPr>
                  <w:tcW w:w="555" w:type="pct"/>
                  <w:tcBorders>
                    <w:top w:val="nil"/>
                    <w:left w:val="nil"/>
                    <w:bottom w:val="nil"/>
                    <w:right w:val="nil"/>
                  </w:tcBorders>
                  <w:shd w:val="clear" w:color="auto" w:fill="FFFFFF" w:themeFill="background1"/>
                  <w:vAlign w:val="bottom"/>
                </w:tcPr>
                <w:p w14:paraId="7954CA3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w:t>
                  </w:r>
                </w:p>
              </w:tc>
              <w:tc>
                <w:tcPr>
                  <w:tcW w:w="553" w:type="pct"/>
                  <w:tcBorders>
                    <w:top w:val="nil"/>
                    <w:left w:val="nil"/>
                    <w:bottom w:val="nil"/>
                    <w:right w:val="nil"/>
                  </w:tcBorders>
                  <w:shd w:val="clear" w:color="auto" w:fill="FFFFFF" w:themeFill="background1"/>
                  <w:vAlign w:val="bottom"/>
                </w:tcPr>
                <w:p w14:paraId="7954CA3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12 </w:t>
                  </w:r>
                </w:p>
              </w:tc>
            </w:tr>
            <w:tr w:rsidR="00F05DC7" w:rsidRPr="00A75ED1" w14:paraId="7954CA3F" w14:textId="77777777" w:rsidTr="00A3786D">
              <w:tc>
                <w:tcPr>
                  <w:tcW w:w="556" w:type="pct"/>
                </w:tcPr>
                <w:p w14:paraId="7954CA36"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FFFFFF" w:themeFill="background1"/>
                  <w:vAlign w:val="bottom"/>
                </w:tcPr>
                <w:p w14:paraId="7954CA37" w14:textId="77777777" w:rsidR="00F05DC7" w:rsidRPr="00A75ED1" w:rsidRDefault="00F05DC7" w:rsidP="00A3786D">
                  <w:pPr>
                    <w:pStyle w:val="TableBodyText"/>
                    <w:rPr>
                      <w:rFonts w:cs="Arial"/>
                      <w:szCs w:val="18"/>
                    </w:rPr>
                  </w:pPr>
                  <w:r w:rsidRPr="00A75ED1">
                    <w:rPr>
                      <w:rFonts w:cs="Arial"/>
                      <w:color w:val="000000"/>
                      <w:szCs w:val="18"/>
                    </w:rPr>
                    <w:t>314</w:t>
                  </w:r>
                </w:p>
              </w:tc>
              <w:tc>
                <w:tcPr>
                  <w:tcW w:w="557" w:type="pct"/>
                  <w:tcBorders>
                    <w:top w:val="nil"/>
                    <w:left w:val="nil"/>
                    <w:bottom w:val="nil"/>
                    <w:right w:val="nil"/>
                  </w:tcBorders>
                  <w:shd w:val="clear" w:color="auto" w:fill="FFFFFF" w:themeFill="background1"/>
                  <w:vAlign w:val="bottom"/>
                </w:tcPr>
                <w:p w14:paraId="7954CA3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w:t>
                  </w:r>
                </w:p>
              </w:tc>
              <w:tc>
                <w:tcPr>
                  <w:tcW w:w="556" w:type="pct"/>
                  <w:tcBorders>
                    <w:top w:val="nil"/>
                    <w:left w:val="nil"/>
                    <w:bottom w:val="nil"/>
                    <w:right w:val="nil"/>
                  </w:tcBorders>
                  <w:shd w:val="clear" w:color="auto" w:fill="FFFFFF" w:themeFill="background1"/>
                  <w:vAlign w:val="bottom"/>
                </w:tcPr>
                <w:p w14:paraId="7954CA3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240</w:t>
                  </w:r>
                </w:p>
              </w:tc>
              <w:tc>
                <w:tcPr>
                  <w:tcW w:w="556" w:type="pct"/>
                  <w:tcBorders>
                    <w:top w:val="nil"/>
                    <w:left w:val="nil"/>
                    <w:bottom w:val="nil"/>
                    <w:right w:val="nil"/>
                  </w:tcBorders>
                  <w:shd w:val="clear" w:color="auto" w:fill="FFFFFF" w:themeFill="background1"/>
                  <w:vAlign w:val="bottom"/>
                </w:tcPr>
                <w:p w14:paraId="7954CA3A" w14:textId="77777777" w:rsidR="00F05DC7" w:rsidRPr="00A75ED1" w:rsidRDefault="00F05DC7" w:rsidP="00A3786D">
                  <w:pPr>
                    <w:pStyle w:val="TableBodyText"/>
                    <w:rPr>
                      <w:rFonts w:cs="Arial"/>
                      <w:szCs w:val="18"/>
                    </w:rPr>
                  </w:pPr>
                  <w:r w:rsidRPr="00A75ED1">
                    <w:rPr>
                      <w:rFonts w:cs="Arial"/>
                      <w:color w:val="000000"/>
                      <w:szCs w:val="18"/>
                    </w:rPr>
                    <w:t>91</w:t>
                  </w:r>
                </w:p>
              </w:tc>
              <w:tc>
                <w:tcPr>
                  <w:tcW w:w="555" w:type="pct"/>
                  <w:tcBorders>
                    <w:top w:val="nil"/>
                    <w:left w:val="nil"/>
                    <w:bottom w:val="nil"/>
                    <w:right w:val="nil"/>
                  </w:tcBorders>
                  <w:shd w:val="clear" w:color="auto" w:fill="FFFFFF" w:themeFill="background1"/>
                  <w:vAlign w:val="bottom"/>
                </w:tcPr>
                <w:p w14:paraId="7954CA3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79</w:t>
                  </w:r>
                </w:p>
              </w:tc>
              <w:tc>
                <w:tcPr>
                  <w:tcW w:w="555" w:type="pct"/>
                  <w:tcBorders>
                    <w:top w:val="nil"/>
                    <w:left w:val="nil"/>
                    <w:bottom w:val="nil"/>
                    <w:right w:val="nil"/>
                  </w:tcBorders>
                  <w:shd w:val="clear" w:color="auto" w:fill="FFFFFF" w:themeFill="background1"/>
                  <w:vAlign w:val="bottom"/>
                </w:tcPr>
                <w:p w14:paraId="7954CA3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w:t>
                  </w:r>
                </w:p>
              </w:tc>
              <w:tc>
                <w:tcPr>
                  <w:tcW w:w="555" w:type="pct"/>
                  <w:tcBorders>
                    <w:top w:val="nil"/>
                    <w:left w:val="nil"/>
                    <w:bottom w:val="nil"/>
                    <w:right w:val="nil"/>
                  </w:tcBorders>
                  <w:shd w:val="clear" w:color="auto" w:fill="FFFFFF" w:themeFill="background1"/>
                  <w:vAlign w:val="bottom"/>
                </w:tcPr>
                <w:p w14:paraId="7954CA3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w:t>
                  </w:r>
                </w:p>
              </w:tc>
              <w:tc>
                <w:tcPr>
                  <w:tcW w:w="553" w:type="pct"/>
                  <w:tcBorders>
                    <w:top w:val="nil"/>
                    <w:left w:val="nil"/>
                    <w:bottom w:val="nil"/>
                    <w:right w:val="nil"/>
                  </w:tcBorders>
                  <w:shd w:val="clear" w:color="auto" w:fill="FFFFFF" w:themeFill="background1"/>
                  <w:vAlign w:val="bottom"/>
                </w:tcPr>
                <w:p w14:paraId="7954CA3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11 </w:t>
                  </w:r>
                </w:p>
              </w:tc>
            </w:tr>
            <w:tr w:rsidR="00F05DC7" w:rsidRPr="00A75ED1" w14:paraId="7954CA49" w14:textId="77777777" w:rsidTr="00A3786D">
              <w:tc>
                <w:tcPr>
                  <w:tcW w:w="556" w:type="pct"/>
                </w:tcPr>
                <w:p w14:paraId="7954CA40"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000000" w:fill="FFFFFF"/>
                  <w:vAlign w:val="bottom"/>
                </w:tcPr>
                <w:p w14:paraId="7954CA41" w14:textId="77777777" w:rsidR="00F05DC7" w:rsidRPr="00A75ED1" w:rsidRDefault="00F05DC7" w:rsidP="00A3786D">
                  <w:pPr>
                    <w:pStyle w:val="TableBodyText"/>
                    <w:rPr>
                      <w:rFonts w:cs="Arial"/>
                      <w:szCs w:val="18"/>
                    </w:rPr>
                  </w:pPr>
                  <w:r w:rsidRPr="00A75ED1">
                    <w:rPr>
                      <w:rFonts w:cs="Arial"/>
                      <w:color w:val="000000"/>
                      <w:szCs w:val="18"/>
                    </w:rPr>
                    <w:t>289</w:t>
                  </w:r>
                </w:p>
              </w:tc>
              <w:tc>
                <w:tcPr>
                  <w:tcW w:w="557" w:type="pct"/>
                  <w:tcBorders>
                    <w:top w:val="nil"/>
                    <w:left w:val="nil"/>
                    <w:bottom w:val="nil"/>
                    <w:right w:val="nil"/>
                  </w:tcBorders>
                  <w:shd w:val="clear" w:color="000000" w:fill="FFFFFF"/>
                  <w:vAlign w:val="bottom"/>
                </w:tcPr>
                <w:p w14:paraId="7954CA42" w14:textId="77777777" w:rsidR="00F05DC7" w:rsidRPr="00A75ED1" w:rsidRDefault="00F05DC7" w:rsidP="00A3786D">
                  <w:pPr>
                    <w:pStyle w:val="TableBodyText"/>
                    <w:rPr>
                      <w:rFonts w:cs="Arial"/>
                      <w:szCs w:val="18"/>
                    </w:rPr>
                  </w:pPr>
                  <w:r w:rsidRPr="00A75ED1">
                    <w:rPr>
                      <w:rFonts w:cs="Arial"/>
                      <w:color w:val="000000"/>
                      <w:szCs w:val="18"/>
                    </w:rPr>
                    <w:t>13</w:t>
                  </w:r>
                </w:p>
              </w:tc>
              <w:tc>
                <w:tcPr>
                  <w:tcW w:w="556" w:type="pct"/>
                  <w:tcBorders>
                    <w:top w:val="nil"/>
                    <w:left w:val="nil"/>
                    <w:bottom w:val="nil"/>
                    <w:right w:val="nil"/>
                  </w:tcBorders>
                  <w:shd w:val="clear" w:color="000000" w:fill="FFFFFF"/>
                  <w:vAlign w:val="bottom"/>
                </w:tcPr>
                <w:p w14:paraId="7954CA4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257</w:t>
                  </w:r>
                </w:p>
              </w:tc>
              <w:tc>
                <w:tcPr>
                  <w:tcW w:w="556" w:type="pct"/>
                  <w:tcBorders>
                    <w:top w:val="nil"/>
                    <w:left w:val="nil"/>
                    <w:bottom w:val="nil"/>
                    <w:right w:val="nil"/>
                  </w:tcBorders>
                  <w:shd w:val="clear" w:color="000000" w:fill="FFFFFF"/>
                  <w:vAlign w:val="bottom"/>
                </w:tcPr>
                <w:p w14:paraId="7954CA44" w14:textId="77777777" w:rsidR="00F05DC7" w:rsidRPr="00A75ED1" w:rsidRDefault="00F05DC7" w:rsidP="00A3786D">
                  <w:pPr>
                    <w:pStyle w:val="TableBodyText"/>
                    <w:rPr>
                      <w:rFonts w:cs="Arial"/>
                      <w:szCs w:val="18"/>
                    </w:rPr>
                  </w:pPr>
                  <w:r w:rsidRPr="00A75ED1">
                    <w:rPr>
                      <w:rFonts w:cs="Arial"/>
                      <w:color w:val="000000"/>
                      <w:szCs w:val="18"/>
                    </w:rPr>
                    <w:t>97</w:t>
                  </w:r>
                </w:p>
              </w:tc>
              <w:tc>
                <w:tcPr>
                  <w:tcW w:w="555" w:type="pct"/>
                  <w:tcBorders>
                    <w:top w:val="nil"/>
                    <w:left w:val="nil"/>
                    <w:bottom w:val="nil"/>
                    <w:right w:val="nil"/>
                  </w:tcBorders>
                  <w:shd w:val="clear" w:color="000000" w:fill="FFFFFF"/>
                  <w:vAlign w:val="bottom"/>
                </w:tcPr>
                <w:p w14:paraId="7954CA4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83</w:t>
                  </w:r>
                </w:p>
              </w:tc>
              <w:tc>
                <w:tcPr>
                  <w:tcW w:w="555" w:type="pct"/>
                  <w:tcBorders>
                    <w:top w:val="nil"/>
                    <w:left w:val="nil"/>
                    <w:bottom w:val="nil"/>
                    <w:right w:val="nil"/>
                  </w:tcBorders>
                  <w:shd w:val="clear" w:color="000000" w:fill="FFFFFF"/>
                  <w:vAlign w:val="bottom"/>
                </w:tcPr>
                <w:p w14:paraId="7954CA4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w:t>
                  </w:r>
                </w:p>
              </w:tc>
              <w:tc>
                <w:tcPr>
                  <w:tcW w:w="555" w:type="pct"/>
                  <w:tcBorders>
                    <w:top w:val="nil"/>
                    <w:left w:val="nil"/>
                    <w:bottom w:val="nil"/>
                    <w:right w:val="nil"/>
                  </w:tcBorders>
                  <w:shd w:val="clear" w:color="000000" w:fill="FFFFFF"/>
                  <w:vAlign w:val="bottom"/>
                </w:tcPr>
                <w:p w14:paraId="7954CA4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w:t>
                  </w:r>
                </w:p>
              </w:tc>
              <w:tc>
                <w:tcPr>
                  <w:tcW w:w="553" w:type="pct"/>
                  <w:tcBorders>
                    <w:top w:val="nil"/>
                    <w:left w:val="nil"/>
                    <w:bottom w:val="nil"/>
                    <w:right w:val="nil"/>
                  </w:tcBorders>
                  <w:shd w:val="clear" w:color="000000" w:fill="FFFFFF"/>
                  <w:vAlign w:val="bottom"/>
                </w:tcPr>
                <w:p w14:paraId="7954CA4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11 </w:t>
                  </w:r>
                </w:p>
              </w:tc>
            </w:tr>
            <w:tr w:rsidR="00F05DC7" w:rsidRPr="00A75ED1" w14:paraId="7954CA53" w14:textId="77777777" w:rsidTr="00A3786D">
              <w:tc>
                <w:tcPr>
                  <w:tcW w:w="556" w:type="pct"/>
                </w:tcPr>
                <w:p w14:paraId="7954CA4A"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000000" w:fill="FFFFFF"/>
                  <w:vAlign w:val="bottom"/>
                </w:tcPr>
                <w:p w14:paraId="7954CA4B" w14:textId="77777777" w:rsidR="00F05DC7" w:rsidRPr="00A75ED1" w:rsidRDefault="00F05DC7" w:rsidP="00A3786D">
                  <w:pPr>
                    <w:pStyle w:val="TableBodyText"/>
                    <w:rPr>
                      <w:rFonts w:cs="Arial"/>
                      <w:szCs w:val="18"/>
                    </w:rPr>
                  </w:pPr>
                  <w:r w:rsidRPr="00A75ED1">
                    <w:rPr>
                      <w:rFonts w:cs="Arial"/>
                      <w:color w:val="000000"/>
                      <w:szCs w:val="18"/>
                    </w:rPr>
                    <w:t>295</w:t>
                  </w:r>
                </w:p>
              </w:tc>
              <w:tc>
                <w:tcPr>
                  <w:tcW w:w="557" w:type="pct"/>
                  <w:tcBorders>
                    <w:top w:val="nil"/>
                    <w:left w:val="nil"/>
                    <w:bottom w:val="nil"/>
                    <w:right w:val="nil"/>
                  </w:tcBorders>
                  <w:shd w:val="clear" w:color="000000" w:fill="FFFFFF"/>
                  <w:vAlign w:val="bottom"/>
                </w:tcPr>
                <w:p w14:paraId="7954CA4C" w14:textId="77777777" w:rsidR="00F05DC7" w:rsidRPr="00A75ED1" w:rsidRDefault="00F05DC7" w:rsidP="00A3786D">
                  <w:pPr>
                    <w:pStyle w:val="TableBodyText"/>
                    <w:rPr>
                      <w:rFonts w:cs="Arial"/>
                      <w:szCs w:val="18"/>
                    </w:rPr>
                  </w:pPr>
                  <w:r w:rsidRPr="00A75ED1">
                    <w:rPr>
                      <w:rFonts w:cs="Arial"/>
                      <w:color w:val="000000"/>
                      <w:szCs w:val="18"/>
                    </w:rPr>
                    <w:t>88</w:t>
                  </w:r>
                </w:p>
              </w:tc>
              <w:tc>
                <w:tcPr>
                  <w:tcW w:w="556" w:type="pct"/>
                  <w:tcBorders>
                    <w:top w:val="nil"/>
                    <w:left w:val="nil"/>
                    <w:bottom w:val="nil"/>
                    <w:right w:val="nil"/>
                  </w:tcBorders>
                  <w:shd w:val="clear" w:color="000000" w:fill="FFFFFF"/>
                  <w:vAlign w:val="bottom"/>
                </w:tcPr>
                <w:p w14:paraId="7954CA4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280</w:t>
                  </w:r>
                </w:p>
              </w:tc>
              <w:tc>
                <w:tcPr>
                  <w:tcW w:w="556" w:type="pct"/>
                  <w:tcBorders>
                    <w:top w:val="nil"/>
                    <w:left w:val="nil"/>
                    <w:bottom w:val="nil"/>
                    <w:right w:val="nil"/>
                  </w:tcBorders>
                  <w:shd w:val="clear" w:color="000000" w:fill="FFFFFF"/>
                  <w:vAlign w:val="bottom"/>
                </w:tcPr>
                <w:p w14:paraId="7954CA4E" w14:textId="77777777" w:rsidR="00F05DC7" w:rsidRPr="00A75ED1" w:rsidRDefault="00F05DC7" w:rsidP="00A3786D">
                  <w:pPr>
                    <w:pStyle w:val="TableBodyText"/>
                    <w:rPr>
                      <w:rFonts w:cs="Arial"/>
                      <w:szCs w:val="18"/>
                    </w:rPr>
                  </w:pPr>
                  <w:r w:rsidRPr="00A75ED1">
                    <w:rPr>
                      <w:rFonts w:cs="Arial"/>
                      <w:color w:val="000000"/>
                      <w:szCs w:val="18"/>
                    </w:rPr>
                    <w:t>48</w:t>
                  </w:r>
                </w:p>
              </w:tc>
              <w:tc>
                <w:tcPr>
                  <w:tcW w:w="555" w:type="pct"/>
                  <w:tcBorders>
                    <w:top w:val="nil"/>
                    <w:left w:val="nil"/>
                    <w:bottom w:val="nil"/>
                    <w:right w:val="nil"/>
                  </w:tcBorders>
                  <w:shd w:val="clear" w:color="000000" w:fill="FFFFFF"/>
                  <w:vAlign w:val="bottom"/>
                </w:tcPr>
                <w:p w14:paraId="7954CA4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89</w:t>
                  </w:r>
                </w:p>
              </w:tc>
              <w:tc>
                <w:tcPr>
                  <w:tcW w:w="555" w:type="pct"/>
                  <w:tcBorders>
                    <w:top w:val="nil"/>
                    <w:left w:val="nil"/>
                    <w:bottom w:val="nil"/>
                    <w:right w:val="nil"/>
                  </w:tcBorders>
                  <w:shd w:val="clear" w:color="000000" w:fill="FFFFFF"/>
                  <w:vAlign w:val="bottom"/>
                </w:tcPr>
                <w:p w14:paraId="7954CA5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w:t>
                  </w:r>
                </w:p>
              </w:tc>
              <w:tc>
                <w:tcPr>
                  <w:tcW w:w="555" w:type="pct"/>
                  <w:tcBorders>
                    <w:top w:val="nil"/>
                    <w:left w:val="nil"/>
                    <w:bottom w:val="nil"/>
                    <w:right w:val="nil"/>
                  </w:tcBorders>
                  <w:shd w:val="clear" w:color="000000" w:fill="FFFFFF"/>
                  <w:vAlign w:val="bottom"/>
                </w:tcPr>
                <w:p w14:paraId="7954CA5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w:t>
                  </w:r>
                </w:p>
              </w:tc>
              <w:tc>
                <w:tcPr>
                  <w:tcW w:w="553" w:type="pct"/>
                  <w:tcBorders>
                    <w:top w:val="nil"/>
                    <w:left w:val="nil"/>
                    <w:bottom w:val="nil"/>
                    <w:right w:val="nil"/>
                  </w:tcBorders>
                  <w:shd w:val="clear" w:color="000000" w:fill="FFFFFF"/>
                  <w:vAlign w:val="bottom"/>
                </w:tcPr>
                <w:p w14:paraId="7954CA5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12 </w:t>
                  </w:r>
                </w:p>
              </w:tc>
            </w:tr>
            <w:tr w:rsidR="00F05DC7" w:rsidRPr="00A75ED1" w14:paraId="7954CA5D" w14:textId="77777777" w:rsidTr="002341D7">
              <w:tc>
                <w:tcPr>
                  <w:tcW w:w="556" w:type="pct"/>
                </w:tcPr>
                <w:p w14:paraId="7954CA54"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000000" w:fill="FFFFFF"/>
                  <w:vAlign w:val="bottom"/>
                </w:tcPr>
                <w:p w14:paraId="7954CA55" w14:textId="77777777" w:rsidR="00F05DC7" w:rsidRPr="00A75ED1" w:rsidRDefault="00F05DC7" w:rsidP="00A3786D">
                  <w:pPr>
                    <w:pStyle w:val="TableBodyText"/>
                    <w:rPr>
                      <w:rFonts w:cs="Arial"/>
                      <w:szCs w:val="18"/>
                    </w:rPr>
                  </w:pPr>
                  <w:r w:rsidRPr="00A75ED1">
                    <w:rPr>
                      <w:rFonts w:cs="Arial"/>
                      <w:color w:val="000000"/>
                      <w:szCs w:val="18"/>
                    </w:rPr>
                    <w:t>232</w:t>
                  </w:r>
                </w:p>
              </w:tc>
              <w:tc>
                <w:tcPr>
                  <w:tcW w:w="557" w:type="pct"/>
                  <w:tcBorders>
                    <w:top w:val="nil"/>
                    <w:left w:val="nil"/>
                    <w:right w:val="nil"/>
                  </w:tcBorders>
                  <w:shd w:val="clear" w:color="000000" w:fill="FFFFFF"/>
                  <w:vAlign w:val="bottom"/>
                </w:tcPr>
                <w:p w14:paraId="7954CA56" w14:textId="77777777" w:rsidR="00F05DC7" w:rsidRPr="00A75ED1" w:rsidRDefault="00F05DC7" w:rsidP="00A3786D">
                  <w:pPr>
                    <w:pStyle w:val="TableBodyText"/>
                    <w:rPr>
                      <w:rFonts w:cs="Arial"/>
                      <w:szCs w:val="18"/>
                    </w:rPr>
                  </w:pPr>
                  <w:r w:rsidRPr="00A75ED1">
                    <w:rPr>
                      <w:rFonts w:cs="Arial"/>
                      <w:color w:val="000000"/>
                      <w:szCs w:val="18"/>
                    </w:rPr>
                    <w:t>102</w:t>
                  </w:r>
                </w:p>
              </w:tc>
              <w:tc>
                <w:tcPr>
                  <w:tcW w:w="556" w:type="pct"/>
                  <w:tcBorders>
                    <w:top w:val="nil"/>
                    <w:left w:val="nil"/>
                    <w:right w:val="nil"/>
                  </w:tcBorders>
                  <w:shd w:val="clear" w:color="000000" w:fill="FFFFFF"/>
                  <w:vAlign w:val="bottom"/>
                </w:tcPr>
                <w:p w14:paraId="7954CA5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300</w:t>
                  </w:r>
                </w:p>
              </w:tc>
              <w:tc>
                <w:tcPr>
                  <w:tcW w:w="556" w:type="pct"/>
                  <w:tcBorders>
                    <w:top w:val="nil"/>
                    <w:left w:val="nil"/>
                    <w:right w:val="nil"/>
                  </w:tcBorders>
                  <w:shd w:val="clear" w:color="000000" w:fill="FFFFFF"/>
                  <w:vAlign w:val="bottom"/>
                </w:tcPr>
                <w:p w14:paraId="7954CA58" w14:textId="77777777" w:rsidR="00F05DC7" w:rsidRPr="00A75ED1" w:rsidRDefault="00F05DC7" w:rsidP="00A3786D">
                  <w:pPr>
                    <w:pStyle w:val="TableBodyText"/>
                    <w:rPr>
                      <w:rFonts w:cs="Arial"/>
                      <w:szCs w:val="18"/>
                    </w:rPr>
                  </w:pPr>
                  <w:r w:rsidRPr="00A75ED1">
                    <w:rPr>
                      <w:rFonts w:cs="Arial"/>
                      <w:color w:val="000000"/>
                      <w:szCs w:val="18"/>
                    </w:rPr>
                    <w:t>127</w:t>
                  </w:r>
                </w:p>
              </w:tc>
              <w:tc>
                <w:tcPr>
                  <w:tcW w:w="555" w:type="pct"/>
                  <w:tcBorders>
                    <w:top w:val="nil"/>
                    <w:left w:val="nil"/>
                    <w:right w:val="nil"/>
                  </w:tcBorders>
                  <w:shd w:val="clear" w:color="000000" w:fill="FFFFFF"/>
                  <w:vAlign w:val="bottom"/>
                </w:tcPr>
                <w:p w14:paraId="7954CA5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95</w:t>
                  </w:r>
                </w:p>
              </w:tc>
              <w:tc>
                <w:tcPr>
                  <w:tcW w:w="555" w:type="pct"/>
                  <w:tcBorders>
                    <w:top w:val="nil"/>
                    <w:left w:val="nil"/>
                    <w:right w:val="nil"/>
                  </w:tcBorders>
                  <w:shd w:val="clear" w:color="000000" w:fill="FFFFFF"/>
                  <w:vAlign w:val="bottom"/>
                </w:tcPr>
                <w:p w14:paraId="7954CA5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28</w:t>
                  </w:r>
                </w:p>
              </w:tc>
              <w:tc>
                <w:tcPr>
                  <w:tcW w:w="555" w:type="pct"/>
                  <w:tcBorders>
                    <w:top w:val="nil"/>
                    <w:left w:val="nil"/>
                    <w:right w:val="nil"/>
                  </w:tcBorders>
                  <w:shd w:val="clear" w:color="000000" w:fill="FFFFFF"/>
                  <w:vAlign w:val="bottom"/>
                </w:tcPr>
                <w:p w14:paraId="7954CA5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w:t>
                  </w:r>
                </w:p>
              </w:tc>
              <w:tc>
                <w:tcPr>
                  <w:tcW w:w="553" w:type="pct"/>
                  <w:tcBorders>
                    <w:top w:val="nil"/>
                    <w:left w:val="nil"/>
                    <w:right w:val="nil"/>
                  </w:tcBorders>
                  <w:shd w:val="clear" w:color="000000" w:fill="FFFFFF"/>
                  <w:vAlign w:val="bottom"/>
                </w:tcPr>
                <w:p w14:paraId="7954CA5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w:t>
                  </w:r>
                </w:p>
              </w:tc>
            </w:tr>
            <w:tr w:rsidR="00F05DC7" w:rsidRPr="00A75ED1" w14:paraId="7954CA5F" w14:textId="77777777" w:rsidTr="002341D7">
              <w:tc>
                <w:tcPr>
                  <w:tcW w:w="5000" w:type="pct"/>
                  <w:gridSpan w:val="9"/>
                  <w:shd w:val="clear" w:color="auto" w:fill="F2F2F2" w:themeFill="background1" w:themeFillShade="F2"/>
                </w:tcPr>
                <w:p w14:paraId="7954CA5E"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CA69" w14:textId="77777777" w:rsidTr="00A3786D">
              <w:tc>
                <w:tcPr>
                  <w:tcW w:w="556" w:type="pct"/>
                  <w:vAlign w:val="bottom"/>
                </w:tcPr>
                <w:p w14:paraId="7954CA60" w14:textId="77777777" w:rsidR="00F05DC7" w:rsidRPr="007F5A12" w:rsidRDefault="00F05DC7" w:rsidP="00A3786D">
                  <w:pPr>
                    <w:pStyle w:val="TableBodyText"/>
                    <w:rPr>
                      <w:rFonts w:cs="Arial"/>
                      <w:szCs w:val="18"/>
                    </w:rPr>
                  </w:pPr>
                  <w:r w:rsidRPr="007F5A12">
                    <w:rPr>
                      <w:rFonts w:cs="Arial"/>
                      <w:szCs w:val="18"/>
                    </w:rPr>
                    <w:t>2019</w:t>
                  </w:r>
                  <w:r w:rsidRPr="007F5A12">
                    <w:rPr>
                      <w:rFonts w:cs="Arial"/>
                      <w:szCs w:val="18"/>
                    </w:rPr>
                    <w:noBreakHyphen/>
                    <w:t>20</w:t>
                  </w:r>
                </w:p>
              </w:tc>
              <w:tc>
                <w:tcPr>
                  <w:tcW w:w="557" w:type="pct"/>
                  <w:tcBorders>
                    <w:top w:val="nil"/>
                    <w:left w:val="nil"/>
                    <w:bottom w:val="nil"/>
                    <w:right w:val="nil"/>
                  </w:tcBorders>
                  <w:shd w:val="clear" w:color="auto" w:fill="auto"/>
                  <w:vAlign w:val="bottom"/>
                </w:tcPr>
                <w:p w14:paraId="7954CA61" w14:textId="77777777" w:rsidR="00F05DC7" w:rsidRPr="007F5A12" w:rsidRDefault="00F05DC7" w:rsidP="00A3786D">
                  <w:pPr>
                    <w:pStyle w:val="TableBodyText"/>
                    <w:rPr>
                      <w:rFonts w:cs="Arial"/>
                      <w:szCs w:val="18"/>
                    </w:rPr>
                  </w:pPr>
                  <w:r w:rsidRPr="007F5A12">
                    <w:rPr>
                      <w:rFonts w:cs="Arial"/>
                      <w:color w:val="000000"/>
                      <w:szCs w:val="18"/>
                    </w:rPr>
                    <w:t>21</w:t>
                  </w:r>
                </w:p>
              </w:tc>
              <w:tc>
                <w:tcPr>
                  <w:tcW w:w="557" w:type="pct"/>
                  <w:tcBorders>
                    <w:top w:val="nil"/>
                    <w:left w:val="nil"/>
                    <w:bottom w:val="nil"/>
                    <w:right w:val="nil"/>
                  </w:tcBorders>
                  <w:shd w:val="clear" w:color="auto" w:fill="auto"/>
                  <w:vAlign w:val="bottom"/>
                </w:tcPr>
                <w:p w14:paraId="7954CA62" w14:textId="77777777" w:rsidR="00F05DC7" w:rsidRPr="007F5A12" w:rsidRDefault="00F05DC7" w:rsidP="00A3786D">
                  <w:pPr>
                    <w:pStyle w:val="TableBodyText"/>
                    <w:rPr>
                      <w:rFonts w:cs="Arial"/>
                      <w:szCs w:val="18"/>
                    </w:rPr>
                  </w:pPr>
                  <w:r w:rsidRPr="007F5A12">
                    <w:rPr>
                      <w:rFonts w:cs="Arial"/>
                      <w:color w:val="000000"/>
                      <w:szCs w:val="18"/>
                    </w:rPr>
                    <w:t>-23</w:t>
                  </w:r>
                </w:p>
              </w:tc>
              <w:tc>
                <w:tcPr>
                  <w:tcW w:w="556" w:type="pct"/>
                  <w:tcBorders>
                    <w:top w:val="nil"/>
                    <w:left w:val="nil"/>
                    <w:bottom w:val="nil"/>
                    <w:right w:val="nil"/>
                  </w:tcBorders>
                  <w:shd w:val="clear" w:color="auto" w:fill="auto"/>
                  <w:vAlign w:val="bottom"/>
                </w:tcPr>
                <w:p w14:paraId="7954CA63" w14:textId="77777777" w:rsidR="00F05DC7" w:rsidRPr="007F5A12" w:rsidRDefault="00F05DC7" w:rsidP="00A3786D">
                  <w:pPr>
                    <w:pStyle w:val="TableBodyText"/>
                    <w:rPr>
                      <w:rFonts w:cs="Arial"/>
                      <w:szCs w:val="18"/>
                    </w:rPr>
                  </w:pPr>
                  <w:r w:rsidRPr="007F5A12">
                    <w:rPr>
                      <w:rFonts w:cs="Arial"/>
                      <w:color w:val="000000"/>
                      <w:szCs w:val="18"/>
                    </w:rPr>
                    <w:t>-36</w:t>
                  </w:r>
                </w:p>
              </w:tc>
              <w:tc>
                <w:tcPr>
                  <w:tcW w:w="556" w:type="pct"/>
                  <w:tcBorders>
                    <w:top w:val="nil"/>
                    <w:left w:val="nil"/>
                    <w:bottom w:val="nil"/>
                    <w:right w:val="nil"/>
                  </w:tcBorders>
                  <w:shd w:val="clear" w:color="auto" w:fill="auto"/>
                  <w:vAlign w:val="bottom"/>
                </w:tcPr>
                <w:p w14:paraId="7954CA64" w14:textId="77777777" w:rsidR="00F05DC7" w:rsidRPr="007F5A12" w:rsidRDefault="00F05DC7" w:rsidP="00A3786D">
                  <w:pPr>
                    <w:pStyle w:val="TableBodyText"/>
                    <w:rPr>
                      <w:rFonts w:cs="Arial"/>
                      <w:szCs w:val="18"/>
                    </w:rPr>
                  </w:pPr>
                  <w:r w:rsidRPr="007F5A12">
                    <w:rPr>
                      <w:rFonts w:cs="Arial"/>
                      <w:color w:val="000000"/>
                      <w:szCs w:val="18"/>
                    </w:rPr>
                    <w:t>102</w:t>
                  </w:r>
                </w:p>
              </w:tc>
              <w:tc>
                <w:tcPr>
                  <w:tcW w:w="555" w:type="pct"/>
                  <w:tcBorders>
                    <w:top w:val="nil"/>
                    <w:left w:val="nil"/>
                    <w:bottom w:val="nil"/>
                    <w:right w:val="nil"/>
                  </w:tcBorders>
                  <w:shd w:val="clear" w:color="auto" w:fill="auto"/>
                  <w:vAlign w:val="bottom"/>
                </w:tcPr>
                <w:p w14:paraId="7954CA65" w14:textId="77777777" w:rsidR="00F05DC7" w:rsidRPr="007F5A12" w:rsidRDefault="00F05DC7" w:rsidP="00A3786D">
                  <w:pPr>
                    <w:pStyle w:val="TableBodyText"/>
                    <w:rPr>
                      <w:rFonts w:cs="Arial"/>
                      <w:szCs w:val="18"/>
                    </w:rPr>
                  </w:pPr>
                  <w:r w:rsidRPr="007F5A12">
                    <w:rPr>
                      <w:rFonts w:cs="Arial"/>
                      <w:color w:val="000000"/>
                      <w:szCs w:val="18"/>
                    </w:rPr>
                    <w:t>-36</w:t>
                  </w:r>
                </w:p>
              </w:tc>
              <w:tc>
                <w:tcPr>
                  <w:tcW w:w="555" w:type="pct"/>
                  <w:tcBorders>
                    <w:top w:val="nil"/>
                    <w:left w:val="nil"/>
                    <w:bottom w:val="nil"/>
                    <w:right w:val="nil"/>
                  </w:tcBorders>
                  <w:shd w:val="clear" w:color="auto" w:fill="auto"/>
                  <w:vAlign w:val="bottom"/>
                </w:tcPr>
                <w:p w14:paraId="7954CA66" w14:textId="77777777" w:rsidR="00F05DC7" w:rsidRPr="007F5A12" w:rsidRDefault="00F05DC7" w:rsidP="00A3786D">
                  <w:pPr>
                    <w:pStyle w:val="TableBodyText"/>
                    <w:rPr>
                      <w:rFonts w:cs="Arial"/>
                      <w:szCs w:val="18"/>
                    </w:rPr>
                  </w:pPr>
                  <w:r w:rsidRPr="007F5A12">
                    <w:rPr>
                      <w:rFonts w:cs="Arial"/>
                      <w:color w:val="000000"/>
                      <w:szCs w:val="18"/>
                    </w:rPr>
                    <w:t>-36</w:t>
                  </w:r>
                </w:p>
              </w:tc>
              <w:tc>
                <w:tcPr>
                  <w:tcW w:w="555" w:type="pct"/>
                  <w:tcBorders>
                    <w:top w:val="nil"/>
                    <w:left w:val="nil"/>
                    <w:bottom w:val="nil"/>
                    <w:right w:val="nil"/>
                  </w:tcBorders>
                  <w:shd w:val="clear" w:color="auto" w:fill="auto"/>
                  <w:vAlign w:val="bottom"/>
                </w:tcPr>
                <w:p w14:paraId="7954CA67" w14:textId="77777777" w:rsidR="00F05DC7" w:rsidRPr="007F5A12" w:rsidRDefault="00F05DC7" w:rsidP="00A3786D">
                  <w:pPr>
                    <w:pStyle w:val="TableBodyText"/>
                    <w:rPr>
                      <w:rFonts w:cs="Arial"/>
                      <w:szCs w:val="18"/>
                    </w:rPr>
                  </w:pPr>
                  <w:r w:rsidRPr="007F5A12">
                    <w:rPr>
                      <w:rFonts w:cs="Arial"/>
                      <w:color w:val="000000"/>
                      <w:szCs w:val="18"/>
                    </w:rPr>
                    <w:t>-36</w:t>
                  </w:r>
                </w:p>
              </w:tc>
              <w:tc>
                <w:tcPr>
                  <w:tcW w:w="553" w:type="pct"/>
                  <w:tcBorders>
                    <w:top w:val="nil"/>
                    <w:left w:val="nil"/>
                    <w:bottom w:val="nil"/>
                    <w:right w:val="nil"/>
                  </w:tcBorders>
                  <w:shd w:val="clear" w:color="auto" w:fill="auto"/>
                  <w:vAlign w:val="bottom"/>
                </w:tcPr>
                <w:p w14:paraId="7954CA68" w14:textId="77777777" w:rsidR="00F05DC7" w:rsidRPr="007F5A12" w:rsidRDefault="00F05DC7" w:rsidP="00A3786D">
                  <w:pPr>
                    <w:pStyle w:val="TableBodyText"/>
                    <w:rPr>
                      <w:rFonts w:cs="Arial"/>
                      <w:szCs w:val="18"/>
                    </w:rPr>
                  </w:pPr>
                  <w:r w:rsidRPr="007F5A12">
                    <w:rPr>
                      <w:rFonts w:cs="Arial"/>
                      <w:color w:val="000000"/>
                      <w:szCs w:val="18"/>
                    </w:rPr>
                    <w:t>-36</w:t>
                  </w:r>
                </w:p>
              </w:tc>
            </w:tr>
            <w:tr w:rsidR="00F05DC7" w:rsidRPr="00A75ED1" w14:paraId="7954CA73" w14:textId="77777777" w:rsidTr="00A3786D">
              <w:tc>
                <w:tcPr>
                  <w:tcW w:w="556" w:type="pct"/>
                  <w:vAlign w:val="bottom"/>
                </w:tcPr>
                <w:p w14:paraId="7954CA6A" w14:textId="77777777" w:rsidR="00F05DC7" w:rsidRPr="007F5A12" w:rsidRDefault="00F05DC7" w:rsidP="00A3786D">
                  <w:pPr>
                    <w:pStyle w:val="TableBodyText"/>
                    <w:rPr>
                      <w:rFonts w:cs="Arial"/>
                      <w:szCs w:val="18"/>
                    </w:rPr>
                  </w:pPr>
                  <w:r w:rsidRPr="007F5A12">
                    <w:rPr>
                      <w:rFonts w:cs="Arial"/>
                      <w:szCs w:val="18"/>
                    </w:rPr>
                    <w:t>2020</w:t>
                  </w:r>
                  <w:r w:rsidRPr="007F5A12">
                    <w:rPr>
                      <w:rFonts w:cs="Arial"/>
                      <w:szCs w:val="18"/>
                    </w:rPr>
                    <w:noBreakHyphen/>
                    <w:t>21</w:t>
                  </w:r>
                </w:p>
              </w:tc>
              <w:tc>
                <w:tcPr>
                  <w:tcW w:w="557" w:type="pct"/>
                  <w:tcBorders>
                    <w:top w:val="nil"/>
                    <w:left w:val="nil"/>
                    <w:bottom w:val="nil"/>
                    <w:right w:val="nil"/>
                  </w:tcBorders>
                  <w:shd w:val="clear" w:color="auto" w:fill="auto"/>
                  <w:vAlign w:val="bottom"/>
                </w:tcPr>
                <w:p w14:paraId="7954CA6B" w14:textId="77777777" w:rsidR="00F05DC7" w:rsidRPr="007F5A12" w:rsidRDefault="00F05DC7" w:rsidP="00A3786D">
                  <w:pPr>
                    <w:pStyle w:val="TableBodyText"/>
                    <w:rPr>
                      <w:rFonts w:cs="Arial"/>
                      <w:szCs w:val="18"/>
                    </w:rPr>
                  </w:pPr>
                  <w:r w:rsidRPr="007F5A12">
                    <w:rPr>
                      <w:rFonts w:cs="Arial"/>
                      <w:color w:val="000000"/>
                      <w:szCs w:val="18"/>
                    </w:rPr>
                    <w:t>28</w:t>
                  </w:r>
                </w:p>
              </w:tc>
              <w:tc>
                <w:tcPr>
                  <w:tcW w:w="557" w:type="pct"/>
                  <w:tcBorders>
                    <w:top w:val="nil"/>
                    <w:left w:val="nil"/>
                    <w:bottom w:val="nil"/>
                    <w:right w:val="nil"/>
                  </w:tcBorders>
                  <w:shd w:val="clear" w:color="auto" w:fill="auto"/>
                  <w:vAlign w:val="bottom"/>
                </w:tcPr>
                <w:p w14:paraId="7954CA6C" w14:textId="77777777" w:rsidR="00F05DC7" w:rsidRPr="007F5A12" w:rsidRDefault="00F05DC7" w:rsidP="00A3786D">
                  <w:pPr>
                    <w:pStyle w:val="TableBodyText"/>
                    <w:rPr>
                      <w:rFonts w:cs="Arial"/>
                      <w:szCs w:val="18"/>
                    </w:rPr>
                  </w:pPr>
                  <w:r w:rsidRPr="007F5A12">
                    <w:rPr>
                      <w:rFonts w:cs="Arial"/>
                      <w:color w:val="000000"/>
                      <w:szCs w:val="18"/>
                    </w:rPr>
                    <w:t>-20</w:t>
                  </w:r>
                </w:p>
              </w:tc>
              <w:tc>
                <w:tcPr>
                  <w:tcW w:w="556" w:type="pct"/>
                  <w:tcBorders>
                    <w:top w:val="nil"/>
                    <w:left w:val="nil"/>
                    <w:bottom w:val="nil"/>
                    <w:right w:val="nil"/>
                  </w:tcBorders>
                  <w:shd w:val="clear" w:color="auto" w:fill="auto"/>
                  <w:vAlign w:val="bottom"/>
                </w:tcPr>
                <w:p w14:paraId="7954CA6D" w14:textId="77777777" w:rsidR="00F05DC7" w:rsidRPr="007F5A12" w:rsidRDefault="00F05DC7" w:rsidP="00A3786D">
                  <w:pPr>
                    <w:pStyle w:val="TableBodyText"/>
                    <w:rPr>
                      <w:rFonts w:cs="Arial"/>
                      <w:szCs w:val="18"/>
                    </w:rPr>
                  </w:pPr>
                  <w:r w:rsidRPr="007F5A12">
                    <w:rPr>
                      <w:rFonts w:cs="Arial"/>
                      <w:color w:val="000000"/>
                      <w:szCs w:val="18"/>
                    </w:rPr>
                    <w:t>-40</w:t>
                  </w:r>
                </w:p>
              </w:tc>
              <w:tc>
                <w:tcPr>
                  <w:tcW w:w="556" w:type="pct"/>
                  <w:tcBorders>
                    <w:top w:val="nil"/>
                    <w:left w:val="nil"/>
                    <w:bottom w:val="nil"/>
                    <w:right w:val="nil"/>
                  </w:tcBorders>
                  <w:shd w:val="clear" w:color="auto" w:fill="auto"/>
                  <w:vAlign w:val="bottom"/>
                </w:tcPr>
                <w:p w14:paraId="7954CA6E" w14:textId="77777777" w:rsidR="00F05DC7" w:rsidRPr="007F5A12" w:rsidRDefault="00F05DC7" w:rsidP="00A3786D">
                  <w:pPr>
                    <w:pStyle w:val="TableBodyText"/>
                    <w:rPr>
                      <w:rFonts w:cs="Arial"/>
                      <w:szCs w:val="18"/>
                    </w:rPr>
                  </w:pPr>
                  <w:r w:rsidRPr="007F5A12">
                    <w:rPr>
                      <w:rFonts w:cs="Arial"/>
                      <w:color w:val="000000"/>
                      <w:szCs w:val="18"/>
                    </w:rPr>
                    <w:t>85</w:t>
                  </w:r>
                </w:p>
              </w:tc>
              <w:tc>
                <w:tcPr>
                  <w:tcW w:w="555" w:type="pct"/>
                  <w:tcBorders>
                    <w:top w:val="nil"/>
                    <w:left w:val="nil"/>
                    <w:bottom w:val="nil"/>
                    <w:right w:val="nil"/>
                  </w:tcBorders>
                  <w:shd w:val="clear" w:color="auto" w:fill="auto"/>
                  <w:vAlign w:val="bottom"/>
                </w:tcPr>
                <w:p w14:paraId="7954CA6F" w14:textId="77777777" w:rsidR="00F05DC7" w:rsidRPr="007F5A12" w:rsidRDefault="00F05DC7" w:rsidP="00A3786D">
                  <w:pPr>
                    <w:pStyle w:val="TableBodyText"/>
                    <w:rPr>
                      <w:rFonts w:cs="Arial"/>
                      <w:szCs w:val="18"/>
                    </w:rPr>
                  </w:pPr>
                  <w:r w:rsidRPr="007F5A12">
                    <w:rPr>
                      <w:rFonts w:cs="Arial"/>
                      <w:color w:val="000000"/>
                      <w:szCs w:val="18"/>
                    </w:rPr>
                    <w:t>-40</w:t>
                  </w:r>
                </w:p>
              </w:tc>
              <w:tc>
                <w:tcPr>
                  <w:tcW w:w="555" w:type="pct"/>
                  <w:tcBorders>
                    <w:top w:val="nil"/>
                    <w:left w:val="nil"/>
                    <w:bottom w:val="nil"/>
                    <w:right w:val="nil"/>
                  </w:tcBorders>
                  <w:shd w:val="clear" w:color="auto" w:fill="auto"/>
                  <w:vAlign w:val="bottom"/>
                </w:tcPr>
                <w:p w14:paraId="7954CA70" w14:textId="77777777" w:rsidR="00F05DC7" w:rsidRPr="007F5A12" w:rsidRDefault="00F05DC7" w:rsidP="00A3786D">
                  <w:pPr>
                    <w:pStyle w:val="TableBodyText"/>
                    <w:rPr>
                      <w:rFonts w:cs="Arial"/>
                      <w:szCs w:val="18"/>
                    </w:rPr>
                  </w:pPr>
                  <w:r w:rsidRPr="007F5A12">
                    <w:rPr>
                      <w:rFonts w:cs="Arial"/>
                      <w:color w:val="000000"/>
                      <w:szCs w:val="18"/>
                    </w:rPr>
                    <w:t>-40</w:t>
                  </w:r>
                </w:p>
              </w:tc>
              <w:tc>
                <w:tcPr>
                  <w:tcW w:w="555" w:type="pct"/>
                  <w:tcBorders>
                    <w:top w:val="nil"/>
                    <w:left w:val="nil"/>
                    <w:bottom w:val="nil"/>
                    <w:right w:val="nil"/>
                  </w:tcBorders>
                  <w:shd w:val="clear" w:color="auto" w:fill="auto"/>
                  <w:vAlign w:val="bottom"/>
                </w:tcPr>
                <w:p w14:paraId="7954CA71" w14:textId="77777777" w:rsidR="00F05DC7" w:rsidRPr="007F5A12" w:rsidRDefault="00F05DC7" w:rsidP="00A3786D">
                  <w:pPr>
                    <w:pStyle w:val="TableBodyText"/>
                    <w:rPr>
                      <w:rFonts w:cs="Arial"/>
                      <w:szCs w:val="18"/>
                    </w:rPr>
                  </w:pPr>
                  <w:r w:rsidRPr="007F5A12">
                    <w:rPr>
                      <w:rFonts w:cs="Arial"/>
                      <w:color w:val="000000"/>
                      <w:szCs w:val="18"/>
                    </w:rPr>
                    <w:t>-40</w:t>
                  </w:r>
                </w:p>
              </w:tc>
              <w:tc>
                <w:tcPr>
                  <w:tcW w:w="553" w:type="pct"/>
                  <w:tcBorders>
                    <w:top w:val="nil"/>
                    <w:left w:val="nil"/>
                    <w:bottom w:val="nil"/>
                    <w:right w:val="nil"/>
                  </w:tcBorders>
                  <w:shd w:val="clear" w:color="auto" w:fill="auto"/>
                  <w:vAlign w:val="bottom"/>
                </w:tcPr>
                <w:p w14:paraId="7954CA72" w14:textId="77777777" w:rsidR="00F05DC7" w:rsidRPr="007F5A12" w:rsidRDefault="00F05DC7" w:rsidP="00A3786D">
                  <w:pPr>
                    <w:pStyle w:val="TableBodyText"/>
                    <w:rPr>
                      <w:rFonts w:cs="Arial"/>
                      <w:szCs w:val="18"/>
                    </w:rPr>
                  </w:pPr>
                  <w:r w:rsidRPr="007F5A12">
                    <w:rPr>
                      <w:rFonts w:cs="Arial"/>
                      <w:color w:val="000000"/>
                      <w:szCs w:val="18"/>
                    </w:rPr>
                    <w:t>-40</w:t>
                  </w:r>
                </w:p>
              </w:tc>
            </w:tr>
            <w:tr w:rsidR="00F05DC7" w:rsidRPr="00A75ED1" w14:paraId="7954CA7D" w14:textId="77777777" w:rsidTr="00A3786D">
              <w:tc>
                <w:tcPr>
                  <w:tcW w:w="556" w:type="pct"/>
                  <w:vAlign w:val="bottom"/>
                </w:tcPr>
                <w:p w14:paraId="7954CA74" w14:textId="77777777" w:rsidR="00F05DC7" w:rsidRPr="007F5A12" w:rsidRDefault="00F05DC7" w:rsidP="00A3786D">
                  <w:pPr>
                    <w:pStyle w:val="TableBodyText"/>
                    <w:rPr>
                      <w:rFonts w:cs="Arial"/>
                      <w:szCs w:val="18"/>
                    </w:rPr>
                  </w:pPr>
                  <w:r w:rsidRPr="007F5A12">
                    <w:rPr>
                      <w:rFonts w:cs="Arial"/>
                      <w:szCs w:val="18"/>
                    </w:rPr>
                    <w:t>2021</w:t>
                  </w:r>
                  <w:r w:rsidRPr="007F5A12">
                    <w:rPr>
                      <w:rFonts w:cs="Arial"/>
                      <w:szCs w:val="18"/>
                    </w:rPr>
                    <w:noBreakHyphen/>
                    <w:t>22</w:t>
                  </w:r>
                </w:p>
              </w:tc>
              <w:tc>
                <w:tcPr>
                  <w:tcW w:w="557" w:type="pct"/>
                  <w:tcBorders>
                    <w:top w:val="nil"/>
                    <w:left w:val="nil"/>
                    <w:bottom w:val="nil"/>
                    <w:right w:val="nil"/>
                  </w:tcBorders>
                  <w:shd w:val="clear" w:color="auto" w:fill="auto"/>
                  <w:vAlign w:val="bottom"/>
                </w:tcPr>
                <w:p w14:paraId="7954CA75" w14:textId="77777777" w:rsidR="00F05DC7" w:rsidRPr="007F5A12" w:rsidRDefault="00F05DC7" w:rsidP="00A3786D">
                  <w:pPr>
                    <w:pStyle w:val="TableBodyText"/>
                    <w:rPr>
                      <w:rFonts w:cs="Arial"/>
                      <w:szCs w:val="18"/>
                    </w:rPr>
                  </w:pPr>
                  <w:r w:rsidRPr="007F5A12">
                    <w:rPr>
                      <w:rFonts w:cs="Arial"/>
                      <w:color w:val="000000"/>
                      <w:szCs w:val="18"/>
                    </w:rPr>
                    <w:t>27</w:t>
                  </w:r>
                </w:p>
              </w:tc>
              <w:tc>
                <w:tcPr>
                  <w:tcW w:w="557" w:type="pct"/>
                  <w:tcBorders>
                    <w:top w:val="nil"/>
                    <w:left w:val="nil"/>
                    <w:bottom w:val="nil"/>
                    <w:right w:val="nil"/>
                  </w:tcBorders>
                  <w:shd w:val="clear" w:color="auto" w:fill="auto"/>
                  <w:vAlign w:val="bottom"/>
                </w:tcPr>
                <w:p w14:paraId="7954CA76" w14:textId="77777777" w:rsidR="00F05DC7" w:rsidRPr="007F5A12" w:rsidRDefault="00F05DC7" w:rsidP="00A3786D">
                  <w:pPr>
                    <w:pStyle w:val="TableBodyText"/>
                    <w:rPr>
                      <w:rFonts w:cs="Arial"/>
                      <w:szCs w:val="18"/>
                    </w:rPr>
                  </w:pPr>
                  <w:r w:rsidRPr="007F5A12">
                    <w:rPr>
                      <w:rFonts w:cs="Arial"/>
                      <w:color w:val="000000"/>
                      <w:szCs w:val="18"/>
                    </w:rPr>
                    <w:t>-18</w:t>
                  </w:r>
                </w:p>
              </w:tc>
              <w:tc>
                <w:tcPr>
                  <w:tcW w:w="556" w:type="pct"/>
                  <w:tcBorders>
                    <w:top w:val="nil"/>
                    <w:left w:val="nil"/>
                    <w:bottom w:val="nil"/>
                    <w:right w:val="nil"/>
                  </w:tcBorders>
                  <w:shd w:val="clear" w:color="auto" w:fill="auto"/>
                  <w:vAlign w:val="bottom"/>
                </w:tcPr>
                <w:p w14:paraId="7954CA77" w14:textId="77777777" w:rsidR="00F05DC7" w:rsidRPr="007F5A12" w:rsidRDefault="00F05DC7" w:rsidP="00A3786D">
                  <w:pPr>
                    <w:pStyle w:val="TableBodyText"/>
                    <w:rPr>
                      <w:rFonts w:cs="Arial"/>
                      <w:szCs w:val="18"/>
                    </w:rPr>
                  </w:pPr>
                  <w:r w:rsidRPr="007F5A12">
                    <w:rPr>
                      <w:rFonts w:cs="Arial"/>
                      <w:color w:val="000000"/>
                      <w:szCs w:val="18"/>
                    </w:rPr>
                    <w:t>-43</w:t>
                  </w:r>
                </w:p>
              </w:tc>
              <w:tc>
                <w:tcPr>
                  <w:tcW w:w="556" w:type="pct"/>
                  <w:tcBorders>
                    <w:top w:val="nil"/>
                    <w:left w:val="nil"/>
                    <w:bottom w:val="nil"/>
                    <w:right w:val="nil"/>
                  </w:tcBorders>
                  <w:shd w:val="clear" w:color="auto" w:fill="auto"/>
                  <w:vAlign w:val="bottom"/>
                </w:tcPr>
                <w:p w14:paraId="7954CA78" w14:textId="77777777" w:rsidR="00F05DC7" w:rsidRPr="007F5A12" w:rsidRDefault="00F05DC7" w:rsidP="00A3786D">
                  <w:pPr>
                    <w:pStyle w:val="TableBodyText"/>
                    <w:rPr>
                      <w:rFonts w:cs="Arial"/>
                      <w:szCs w:val="18"/>
                    </w:rPr>
                  </w:pPr>
                  <w:r w:rsidRPr="007F5A12">
                    <w:rPr>
                      <w:rFonts w:cs="Arial"/>
                      <w:color w:val="000000"/>
                      <w:szCs w:val="18"/>
                    </w:rPr>
                    <w:t>93</w:t>
                  </w:r>
                </w:p>
              </w:tc>
              <w:tc>
                <w:tcPr>
                  <w:tcW w:w="555" w:type="pct"/>
                  <w:tcBorders>
                    <w:top w:val="nil"/>
                    <w:left w:val="nil"/>
                    <w:bottom w:val="nil"/>
                    <w:right w:val="nil"/>
                  </w:tcBorders>
                  <w:shd w:val="clear" w:color="auto" w:fill="auto"/>
                  <w:vAlign w:val="bottom"/>
                </w:tcPr>
                <w:p w14:paraId="7954CA79" w14:textId="77777777" w:rsidR="00F05DC7" w:rsidRPr="007F5A12" w:rsidRDefault="00F05DC7" w:rsidP="00A3786D">
                  <w:pPr>
                    <w:pStyle w:val="TableBodyText"/>
                    <w:rPr>
                      <w:rFonts w:cs="Arial"/>
                      <w:szCs w:val="18"/>
                    </w:rPr>
                  </w:pPr>
                  <w:r w:rsidRPr="007F5A12">
                    <w:rPr>
                      <w:rFonts w:cs="Arial"/>
                      <w:color w:val="000000"/>
                      <w:szCs w:val="18"/>
                    </w:rPr>
                    <w:t>-43</w:t>
                  </w:r>
                </w:p>
              </w:tc>
              <w:tc>
                <w:tcPr>
                  <w:tcW w:w="555" w:type="pct"/>
                  <w:tcBorders>
                    <w:top w:val="nil"/>
                    <w:left w:val="nil"/>
                    <w:bottom w:val="nil"/>
                    <w:right w:val="nil"/>
                  </w:tcBorders>
                  <w:shd w:val="clear" w:color="auto" w:fill="auto"/>
                  <w:vAlign w:val="bottom"/>
                </w:tcPr>
                <w:p w14:paraId="7954CA7A" w14:textId="77777777" w:rsidR="00F05DC7" w:rsidRPr="007F5A12" w:rsidRDefault="00F05DC7" w:rsidP="00A3786D">
                  <w:pPr>
                    <w:pStyle w:val="TableBodyText"/>
                    <w:rPr>
                      <w:rFonts w:cs="Arial"/>
                      <w:szCs w:val="18"/>
                    </w:rPr>
                  </w:pPr>
                  <w:r w:rsidRPr="007F5A12">
                    <w:rPr>
                      <w:rFonts w:cs="Arial"/>
                      <w:color w:val="000000"/>
                      <w:szCs w:val="18"/>
                    </w:rPr>
                    <w:t>-43</w:t>
                  </w:r>
                </w:p>
              </w:tc>
              <w:tc>
                <w:tcPr>
                  <w:tcW w:w="555" w:type="pct"/>
                  <w:tcBorders>
                    <w:top w:val="nil"/>
                    <w:left w:val="nil"/>
                    <w:bottom w:val="nil"/>
                    <w:right w:val="nil"/>
                  </w:tcBorders>
                  <w:shd w:val="clear" w:color="auto" w:fill="auto"/>
                  <w:vAlign w:val="bottom"/>
                </w:tcPr>
                <w:p w14:paraId="7954CA7B" w14:textId="77777777" w:rsidR="00F05DC7" w:rsidRPr="007F5A12" w:rsidRDefault="00F05DC7" w:rsidP="00A3786D">
                  <w:pPr>
                    <w:pStyle w:val="TableBodyText"/>
                    <w:rPr>
                      <w:rFonts w:cs="Arial"/>
                      <w:szCs w:val="18"/>
                    </w:rPr>
                  </w:pPr>
                  <w:r w:rsidRPr="007F5A12">
                    <w:rPr>
                      <w:rFonts w:cs="Arial"/>
                      <w:color w:val="000000"/>
                      <w:szCs w:val="18"/>
                    </w:rPr>
                    <w:t>-43</w:t>
                  </w:r>
                </w:p>
              </w:tc>
              <w:tc>
                <w:tcPr>
                  <w:tcW w:w="553" w:type="pct"/>
                  <w:tcBorders>
                    <w:top w:val="nil"/>
                    <w:left w:val="nil"/>
                    <w:bottom w:val="nil"/>
                    <w:right w:val="nil"/>
                  </w:tcBorders>
                  <w:shd w:val="clear" w:color="auto" w:fill="auto"/>
                  <w:vAlign w:val="bottom"/>
                </w:tcPr>
                <w:p w14:paraId="7954CA7C" w14:textId="77777777" w:rsidR="00F05DC7" w:rsidRPr="007F5A12" w:rsidRDefault="00F05DC7" w:rsidP="00A3786D">
                  <w:pPr>
                    <w:pStyle w:val="TableBodyText"/>
                    <w:rPr>
                      <w:rFonts w:cs="Arial"/>
                      <w:szCs w:val="18"/>
                    </w:rPr>
                  </w:pPr>
                  <w:r w:rsidRPr="007F5A12">
                    <w:rPr>
                      <w:rFonts w:cs="Arial"/>
                      <w:color w:val="000000"/>
                      <w:szCs w:val="18"/>
                    </w:rPr>
                    <w:t>-43</w:t>
                  </w:r>
                </w:p>
              </w:tc>
            </w:tr>
            <w:tr w:rsidR="00F05DC7" w:rsidRPr="00A75ED1" w14:paraId="7954CA87" w14:textId="77777777" w:rsidTr="00A3786D">
              <w:tc>
                <w:tcPr>
                  <w:tcW w:w="556" w:type="pct"/>
                </w:tcPr>
                <w:p w14:paraId="7954CA7E" w14:textId="77777777" w:rsidR="00F05DC7" w:rsidRPr="007F5A12" w:rsidRDefault="00F05DC7" w:rsidP="00A3786D">
                  <w:pPr>
                    <w:pStyle w:val="TableBodyText"/>
                    <w:rPr>
                      <w:rFonts w:cs="Arial"/>
                      <w:szCs w:val="18"/>
                    </w:rPr>
                  </w:pPr>
                  <w:r w:rsidRPr="007F5A12">
                    <w:rPr>
                      <w:rFonts w:cs="Arial"/>
                      <w:szCs w:val="18"/>
                    </w:rPr>
                    <w:t>2022</w:t>
                  </w:r>
                  <w:r w:rsidRPr="007F5A12">
                    <w:rPr>
                      <w:rFonts w:cs="Arial"/>
                      <w:szCs w:val="18"/>
                    </w:rPr>
                    <w:noBreakHyphen/>
                    <w:t>23</w:t>
                  </w:r>
                </w:p>
              </w:tc>
              <w:tc>
                <w:tcPr>
                  <w:tcW w:w="557" w:type="pct"/>
                  <w:tcBorders>
                    <w:top w:val="nil"/>
                    <w:left w:val="nil"/>
                    <w:bottom w:val="nil"/>
                    <w:right w:val="nil"/>
                  </w:tcBorders>
                  <w:shd w:val="clear" w:color="auto" w:fill="auto"/>
                  <w:vAlign w:val="bottom"/>
                </w:tcPr>
                <w:p w14:paraId="7954CA7F" w14:textId="77777777" w:rsidR="00F05DC7" w:rsidRPr="007F5A12" w:rsidRDefault="00F05DC7" w:rsidP="00A3786D">
                  <w:pPr>
                    <w:pStyle w:val="TableBodyText"/>
                    <w:rPr>
                      <w:rFonts w:cs="Arial"/>
                      <w:szCs w:val="18"/>
                    </w:rPr>
                  </w:pPr>
                  <w:r w:rsidRPr="007F5A12">
                    <w:rPr>
                      <w:rFonts w:cs="Arial"/>
                      <w:color w:val="000000"/>
                      <w:szCs w:val="18"/>
                    </w:rPr>
                    <w:t>37</w:t>
                  </w:r>
                </w:p>
              </w:tc>
              <w:tc>
                <w:tcPr>
                  <w:tcW w:w="557" w:type="pct"/>
                  <w:tcBorders>
                    <w:top w:val="nil"/>
                    <w:left w:val="nil"/>
                    <w:bottom w:val="nil"/>
                    <w:right w:val="nil"/>
                  </w:tcBorders>
                  <w:shd w:val="clear" w:color="auto" w:fill="auto"/>
                  <w:vAlign w:val="bottom"/>
                </w:tcPr>
                <w:p w14:paraId="7954CA80" w14:textId="77777777" w:rsidR="00F05DC7" w:rsidRPr="007F5A12" w:rsidRDefault="00F05DC7" w:rsidP="00A3786D">
                  <w:pPr>
                    <w:pStyle w:val="TableBodyText"/>
                    <w:rPr>
                      <w:rFonts w:cs="Arial"/>
                      <w:szCs w:val="18"/>
                    </w:rPr>
                  </w:pPr>
                  <w:r w:rsidRPr="007F5A12">
                    <w:rPr>
                      <w:rFonts w:cs="Arial"/>
                      <w:color w:val="000000"/>
                      <w:szCs w:val="18"/>
                    </w:rPr>
                    <w:t>-11</w:t>
                  </w:r>
                </w:p>
              </w:tc>
              <w:tc>
                <w:tcPr>
                  <w:tcW w:w="556" w:type="pct"/>
                  <w:tcBorders>
                    <w:top w:val="nil"/>
                    <w:left w:val="nil"/>
                    <w:bottom w:val="nil"/>
                    <w:right w:val="nil"/>
                  </w:tcBorders>
                  <w:shd w:val="clear" w:color="auto" w:fill="auto"/>
                  <w:vAlign w:val="bottom"/>
                </w:tcPr>
                <w:p w14:paraId="7954CA81" w14:textId="77777777" w:rsidR="00F05DC7" w:rsidRPr="007F5A12" w:rsidRDefault="00F05DC7" w:rsidP="00A3786D">
                  <w:pPr>
                    <w:pStyle w:val="TableBodyText"/>
                    <w:rPr>
                      <w:rFonts w:cs="Arial"/>
                      <w:szCs w:val="18"/>
                    </w:rPr>
                  </w:pPr>
                  <w:r w:rsidRPr="007F5A12">
                    <w:rPr>
                      <w:rFonts w:cs="Arial"/>
                      <w:color w:val="000000"/>
                      <w:szCs w:val="18"/>
                    </w:rPr>
                    <w:t>-49</w:t>
                  </w:r>
                </w:p>
              </w:tc>
              <w:tc>
                <w:tcPr>
                  <w:tcW w:w="556" w:type="pct"/>
                  <w:tcBorders>
                    <w:top w:val="nil"/>
                    <w:left w:val="nil"/>
                    <w:bottom w:val="nil"/>
                    <w:right w:val="nil"/>
                  </w:tcBorders>
                  <w:shd w:val="clear" w:color="auto" w:fill="auto"/>
                  <w:vAlign w:val="bottom"/>
                </w:tcPr>
                <w:p w14:paraId="7954CA82" w14:textId="77777777" w:rsidR="00F05DC7" w:rsidRPr="007F5A12" w:rsidRDefault="00F05DC7" w:rsidP="00A3786D">
                  <w:pPr>
                    <w:pStyle w:val="TableBodyText"/>
                    <w:rPr>
                      <w:rFonts w:cs="Arial"/>
                      <w:szCs w:val="18"/>
                    </w:rPr>
                  </w:pPr>
                  <w:r w:rsidRPr="007F5A12">
                    <w:rPr>
                      <w:rFonts w:cs="Arial"/>
                      <w:color w:val="000000"/>
                      <w:szCs w:val="18"/>
                    </w:rPr>
                    <w:t>63</w:t>
                  </w:r>
                </w:p>
              </w:tc>
              <w:tc>
                <w:tcPr>
                  <w:tcW w:w="555" w:type="pct"/>
                  <w:tcBorders>
                    <w:top w:val="nil"/>
                    <w:left w:val="nil"/>
                    <w:bottom w:val="nil"/>
                    <w:right w:val="nil"/>
                  </w:tcBorders>
                  <w:shd w:val="clear" w:color="auto" w:fill="auto"/>
                  <w:vAlign w:val="bottom"/>
                </w:tcPr>
                <w:p w14:paraId="7954CA83" w14:textId="77777777" w:rsidR="00F05DC7" w:rsidRPr="007F5A12" w:rsidRDefault="00F05DC7" w:rsidP="00A3786D">
                  <w:pPr>
                    <w:pStyle w:val="TableBodyText"/>
                    <w:rPr>
                      <w:rFonts w:cs="Arial"/>
                      <w:szCs w:val="18"/>
                    </w:rPr>
                  </w:pPr>
                  <w:r w:rsidRPr="007F5A12">
                    <w:rPr>
                      <w:rFonts w:cs="Arial"/>
                      <w:color w:val="000000"/>
                      <w:szCs w:val="18"/>
                    </w:rPr>
                    <w:t>-49</w:t>
                  </w:r>
                </w:p>
              </w:tc>
              <w:tc>
                <w:tcPr>
                  <w:tcW w:w="555" w:type="pct"/>
                  <w:tcBorders>
                    <w:top w:val="nil"/>
                    <w:left w:val="nil"/>
                    <w:bottom w:val="nil"/>
                    <w:right w:val="nil"/>
                  </w:tcBorders>
                  <w:shd w:val="clear" w:color="auto" w:fill="auto"/>
                  <w:vAlign w:val="bottom"/>
                </w:tcPr>
                <w:p w14:paraId="7954CA84" w14:textId="77777777" w:rsidR="00F05DC7" w:rsidRPr="007F5A12" w:rsidRDefault="00F05DC7" w:rsidP="00A3786D">
                  <w:pPr>
                    <w:pStyle w:val="TableBodyText"/>
                    <w:rPr>
                      <w:rFonts w:cs="Arial"/>
                      <w:szCs w:val="18"/>
                    </w:rPr>
                  </w:pPr>
                  <w:r w:rsidRPr="007F5A12">
                    <w:rPr>
                      <w:rFonts w:cs="Arial"/>
                      <w:color w:val="000000"/>
                      <w:szCs w:val="18"/>
                    </w:rPr>
                    <w:t>-48</w:t>
                  </w:r>
                </w:p>
              </w:tc>
              <w:tc>
                <w:tcPr>
                  <w:tcW w:w="555" w:type="pct"/>
                  <w:tcBorders>
                    <w:top w:val="nil"/>
                    <w:left w:val="nil"/>
                    <w:bottom w:val="nil"/>
                    <w:right w:val="nil"/>
                  </w:tcBorders>
                  <w:shd w:val="clear" w:color="auto" w:fill="auto"/>
                  <w:vAlign w:val="bottom"/>
                </w:tcPr>
                <w:p w14:paraId="7954CA85" w14:textId="77777777" w:rsidR="00F05DC7" w:rsidRPr="007F5A12" w:rsidRDefault="00F05DC7" w:rsidP="00A3786D">
                  <w:pPr>
                    <w:pStyle w:val="TableBodyText"/>
                    <w:rPr>
                      <w:rFonts w:cs="Arial"/>
                      <w:szCs w:val="18"/>
                    </w:rPr>
                  </w:pPr>
                  <w:r w:rsidRPr="007F5A12">
                    <w:rPr>
                      <w:rFonts w:cs="Arial"/>
                      <w:color w:val="000000"/>
                      <w:szCs w:val="18"/>
                    </w:rPr>
                    <w:t>-49</w:t>
                  </w:r>
                </w:p>
              </w:tc>
              <w:tc>
                <w:tcPr>
                  <w:tcW w:w="553" w:type="pct"/>
                  <w:tcBorders>
                    <w:top w:val="nil"/>
                    <w:left w:val="nil"/>
                    <w:bottom w:val="nil"/>
                    <w:right w:val="nil"/>
                  </w:tcBorders>
                  <w:shd w:val="clear" w:color="auto" w:fill="auto"/>
                  <w:vAlign w:val="bottom"/>
                </w:tcPr>
                <w:p w14:paraId="7954CA86" w14:textId="77777777" w:rsidR="00F05DC7" w:rsidRPr="007F5A12" w:rsidRDefault="00F05DC7" w:rsidP="00A3786D">
                  <w:pPr>
                    <w:pStyle w:val="TableBodyText"/>
                    <w:rPr>
                      <w:rFonts w:cs="Arial"/>
                      <w:szCs w:val="18"/>
                    </w:rPr>
                  </w:pPr>
                  <w:r w:rsidRPr="007F5A12">
                    <w:rPr>
                      <w:rFonts w:cs="Arial"/>
                      <w:color w:val="000000"/>
                      <w:szCs w:val="18"/>
                    </w:rPr>
                    <w:t>-48</w:t>
                  </w:r>
                </w:p>
              </w:tc>
            </w:tr>
            <w:tr w:rsidR="00F05DC7" w:rsidRPr="00A75ED1" w14:paraId="7954CA91" w14:textId="77777777" w:rsidTr="00A3786D">
              <w:tc>
                <w:tcPr>
                  <w:tcW w:w="556" w:type="pct"/>
                </w:tcPr>
                <w:p w14:paraId="7954CA88" w14:textId="77777777" w:rsidR="00F05DC7" w:rsidRPr="007F5A12" w:rsidRDefault="00F05DC7" w:rsidP="00A3786D">
                  <w:pPr>
                    <w:pStyle w:val="TableBodyText"/>
                    <w:rPr>
                      <w:rFonts w:cs="Arial"/>
                      <w:szCs w:val="18"/>
                    </w:rPr>
                  </w:pPr>
                  <w:r w:rsidRPr="007F5A12">
                    <w:rPr>
                      <w:rFonts w:cs="Arial"/>
                      <w:szCs w:val="18"/>
                    </w:rPr>
                    <w:t>2023</w:t>
                  </w:r>
                  <w:r w:rsidRPr="007F5A12">
                    <w:rPr>
                      <w:rFonts w:cs="Arial"/>
                      <w:szCs w:val="18"/>
                    </w:rPr>
                    <w:noBreakHyphen/>
                    <w:t>24</w:t>
                  </w:r>
                </w:p>
              </w:tc>
              <w:tc>
                <w:tcPr>
                  <w:tcW w:w="557" w:type="pct"/>
                  <w:tcBorders>
                    <w:top w:val="nil"/>
                    <w:left w:val="nil"/>
                    <w:bottom w:val="nil"/>
                    <w:right w:val="nil"/>
                  </w:tcBorders>
                  <w:shd w:val="clear" w:color="auto" w:fill="auto"/>
                  <w:vAlign w:val="bottom"/>
                </w:tcPr>
                <w:p w14:paraId="7954CA89" w14:textId="77777777" w:rsidR="00F05DC7" w:rsidRPr="007F5A12" w:rsidRDefault="00F05DC7" w:rsidP="00A3786D">
                  <w:pPr>
                    <w:pStyle w:val="TableBodyText"/>
                    <w:rPr>
                      <w:rFonts w:cs="Arial"/>
                      <w:szCs w:val="18"/>
                    </w:rPr>
                  </w:pPr>
                  <w:r w:rsidRPr="007F5A12">
                    <w:rPr>
                      <w:rFonts w:cs="Arial"/>
                      <w:color w:val="000000"/>
                      <w:szCs w:val="18"/>
                    </w:rPr>
                    <w:t>36</w:t>
                  </w:r>
                </w:p>
              </w:tc>
              <w:tc>
                <w:tcPr>
                  <w:tcW w:w="557" w:type="pct"/>
                  <w:tcBorders>
                    <w:top w:val="nil"/>
                    <w:left w:val="nil"/>
                    <w:bottom w:val="nil"/>
                    <w:right w:val="nil"/>
                  </w:tcBorders>
                  <w:shd w:val="clear" w:color="auto" w:fill="auto"/>
                  <w:vAlign w:val="bottom"/>
                </w:tcPr>
                <w:p w14:paraId="7954CA8A" w14:textId="77777777" w:rsidR="00F05DC7" w:rsidRPr="007F5A12" w:rsidRDefault="00F05DC7" w:rsidP="00A3786D">
                  <w:pPr>
                    <w:pStyle w:val="TableBodyText"/>
                    <w:rPr>
                      <w:rFonts w:cs="Arial"/>
                      <w:szCs w:val="18"/>
                    </w:rPr>
                  </w:pPr>
                  <w:r w:rsidRPr="007F5A12">
                    <w:rPr>
                      <w:rFonts w:cs="Arial"/>
                      <w:color w:val="000000"/>
                      <w:szCs w:val="18"/>
                    </w:rPr>
                    <w:t>-4</w:t>
                  </w:r>
                </w:p>
              </w:tc>
              <w:tc>
                <w:tcPr>
                  <w:tcW w:w="556" w:type="pct"/>
                  <w:tcBorders>
                    <w:top w:val="nil"/>
                    <w:left w:val="nil"/>
                    <w:bottom w:val="nil"/>
                    <w:right w:val="nil"/>
                  </w:tcBorders>
                  <w:shd w:val="clear" w:color="auto" w:fill="auto"/>
                  <w:vAlign w:val="bottom"/>
                </w:tcPr>
                <w:p w14:paraId="7954CA8B" w14:textId="77777777" w:rsidR="00F05DC7" w:rsidRPr="007F5A12" w:rsidRDefault="00F05DC7" w:rsidP="00A3786D">
                  <w:pPr>
                    <w:pStyle w:val="TableBodyText"/>
                    <w:rPr>
                      <w:rFonts w:cs="Arial"/>
                      <w:szCs w:val="18"/>
                    </w:rPr>
                  </w:pPr>
                  <w:r w:rsidRPr="007F5A12">
                    <w:rPr>
                      <w:rFonts w:cs="Arial"/>
                      <w:color w:val="000000"/>
                      <w:szCs w:val="18"/>
                    </w:rPr>
                    <w:t>-45</w:t>
                  </w:r>
                </w:p>
              </w:tc>
              <w:tc>
                <w:tcPr>
                  <w:tcW w:w="556" w:type="pct"/>
                  <w:tcBorders>
                    <w:top w:val="nil"/>
                    <w:left w:val="nil"/>
                    <w:bottom w:val="nil"/>
                    <w:right w:val="nil"/>
                  </w:tcBorders>
                  <w:shd w:val="clear" w:color="auto" w:fill="auto"/>
                  <w:vAlign w:val="bottom"/>
                </w:tcPr>
                <w:p w14:paraId="7954CA8C" w14:textId="77777777" w:rsidR="00F05DC7" w:rsidRPr="007F5A12" w:rsidRDefault="00F05DC7" w:rsidP="00A3786D">
                  <w:pPr>
                    <w:pStyle w:val="TableBodyText"/>
                    <w:rPr>
                      <w:rFonts w:cs="Arial"/>
                      <w:szCs w:val="18"/>
                    </w:rPr>
                  </w:pPr>
                  <w:r w:rsidRPr="007F5A12">
                    <w:rPr>
                      <w:rFonts w:cs="Arial"/>
                      <w:color w:val="000000"/>
                      <w:szCs w:val="18"/>
                    </w:rPr>
                    <w:t>33</w:t>
                  </w:r>
                </w:p>
              </w:tc>
              <w:tc>
                <w:tcPr>
                  <w:tcW w:w="555" w:type="pct"/>
                  <w:tcBorders>
                    <w:top w:val="nil"/>
                    <w:left w:val="nil"/>
                    <w:bottom w:val="nil"/>
                    <w:right w:val="nil"/>
                  </w:tcBorders>
                  <w:shd w:val="clear" w:color="auto" w:fill="auto"/>
                  <w:vAlign w:val="bottom"/>
                </w:tcPr>
                <w:p w14:paraId="7954CA8D" w14:textId="77777777" w:rsidR="00F05DC7" w:rsidRPr="007F5A12" w:rsidRDefault="00F05DC7" w:rsidP="00A3786D">
                  <w:pPr>
                    <w:pStyle w:val="TableBodyText"/>
                    <w:rPr>
                      <w:rFonts w:cs="Arial"/>
                      <w:szCs w:val="18"/>
                    </w:rPr>
                  </w:pPr>
                  <w:r w:rsidRPr="007F5A12">
                    <w:rPr>
                      <w:rFonts w:cs="Arial"/>
                      <w:color w:val="000000"/>
                      <w:szCs w:val="18"/>
                    </w:rPr>
                    <w:t>-44</w:t>
                  </w:r>
                </w:p>
              </w:tc>
              <w:tc>
                <w:tcPr>
                  <w:tcW w:w="555" w:type="pct"/>
                  <w:tcBorders>
                    <w:top w:val="nil"/>
                    <w:left w:val="nil"/>
                    <w:bottom w:val="nil"/>
                    <w:right w:val="nil"/>
                  </w:tcBorders>
                  <w:shd w:val="clear" w:color="auto" w:fill="auto"/>
                  <w:vAlign w:val="bottom"/>
                </w:tcPr>
                <w:p w14:paraId="7954CA8E" w14:textId="77777777" w:rsidR="00F05DC7" w:rsidRPr="007F5A12" w:rsidRDefault="00F05DC7" w:rsidP="00A3786D">
                  <w:pPr>
                    <w:pStyle w:val="TableBodyText"/>
                    <w:rPr>
                      <w:rFonts w:cs="Arial"/>
                      <w:szCs w:val="18"/>
                    </w:rPr>
                  </w:pPr>
                  <w:r w:rsidRPr="007F5A12">
                    <w:rPr>
                      <w:rFonts w:cs="Arial"/>
                      <w:color w:val="000000"/>
                      <w:szCs w:val="18"/>
                    </w:rPr>
                    <w:t>-43</w:t>
                  </w:r>
                </w:p>
              </w:tc>
              <w:tc>
                <w:tcPr>
                  <w:tcW w:w="555" w:type="pct"/>
                  <w:tcBorders>
                    <w:top w:val="nil"/>
                    <w:left w:val="nil"/>
                    <w:bottom w:val="nil"/>
                    <w:right w:val="nil"/>
                  </w:tcBorders>
                  <w:shd w:val="clear" w:color="auto" w:fill="auto"/>
                  <w:vAlign w:val="bottom"/>
                </w:tcPr>
                <w:p w14:paraId="7954CA8F" w14:textId="77777777" w:rsidR="00F05DC7" w:rsidRPr="007F5A12" w:rsidRDefault="00F05DC7" w:rsidP="00A3786D">
                  <w:pPr>
                    <w:pStyle w:val="TableBodyText"/>
                    <w:rPr>
                      <w:rFonts w:cs="Arial"/>
                      <w:szCs w:val="18"/>
                    </w:rPr>
                  </w:pPr>
                  <w:r w:rsidRPr="007F5A12">
                    <w:rPr>
                      <w:rFonts w:cs="Arial"/>
                      <w:color w:val="000000"/>
                      <w:szCs w:val="18"/>
                    </w:rPr>
                    <w:t>-45</w:t>
                  </w:r>
                </w:p>
              </w:tc>
              <w:tc>
                <w:tcPr>
                  <w:tcW w:w="553" w:type="pct"/>
                  <w:tcBorders>
                    <w:top w:val="nil"/>
                    <w:left w:val="nil"/>
                    <w:bottom w:val="nil"/>
                    <w:right w:val="nil"/>
                  </w:tcBorders>
                  <w:shd w:val="clear" w:color="auto" w:fill="auto"/>
                  <w:vAlign w:val="bottom"/>
                </w:tcPr>
                <w:p w14:paraId="7954CA90" w14:textId="77777777" w:rsidR="00F05DC7" w:rsidRPr="007F5A12" w:rsidRDefault="00F05DC7" w:rsidP="00A3786D">
                  <w:pPr>
                    <w:pStyle w:val="TableBodyText"/>
                    <w:rPr>
                      <w:rFonts w:cs="Arial"/>
                      <w:szCs w:val="18"/>
                    </w:rPr>
                  </w:pPr>
                  <w:r w:rsidRPr="007F5A12">
                    <w:rPr>
                      <w:rFonts w:cs="Arial"/>
                      <w:color w:val="000000"/>
                      <w:szCs w:val="18"/>
                    </w:rPr>
                    <w:t>-43</w:t>
                  </w:r>
                </w:p>
              </w:tc>
            </w:tr>
            <w:tr w:rsidR="00F05DC7" w:rsidRPr="00A75ED1" w14:paraId="7954CA9B" w14:textId="77777777" w:rsidTr="00A3786D">
              <w:tc>
                <w:tcPr>
                  <w:tcW w:w="556" w:type="pct"/>
                </w:tcPr>
                <w:p w14:paraId="7954CA92" w14:textId="77777777" w:rsidR="00F05DC7" w:rsidRPr="007F5A12" w:rsidRDefault="00F05DC7" w:rsidP="00A3786D">
                  <w:pPr>
                    <w:pStyle w:val="TableBodyText"/>
                    <w:rPr>
                      <w:rFonts w:cs="Arial"/>
                      <w:szCs w:val="18"/>
                    </w:rPr>
                  </w:pPr>
                  <w:r w:rsidRPr="007F5A12">
                    <w:rPr>
                      <w:rFonts w:cs="Arial"/>
                      <w:szCs w:val="18"/>
                    </w:rPr>
                    <w:t>2024</w:t>
                  </w:r>
                  <w:r w:rsidRPr="007F5A12">
                    <w:rPr>
                      <w:rFonts w:cs="Arial"/>
                      <w:szCs w:val="18"/>
                    </w:rPr>
                    <w:noBreakHyphen/>
                    <w:t>25</w:t>
                  </w:r>
                </w:p>
              </w:tc>
              <w:tc>
                <w:tcPr>
                  <w:tcW w:w="557" w:type="pct"/>
                  <w:tcBorders>
                    <w:top w:val="nil"/>
                    <w:left w:val="nil"/>
                    <w:bottom w:val="nil"/>
                    <w:right w:val="nil"/>
                  </w:tcBorders>
                  <w:shd w:val="clear" w:color="auto" w:fill="auto"/>
                  <w:vAlign w:val="bottom"/>
                </w:tcPr>
                <w:p w14:paraId="7954CA93" w14:textId="77777777" w:rsidR="00F05DC7" w:rsidRPr="007F5A12" w:rsidRDefault="00F05DC7" w:rsidP="00A3786D">
                  <w:pPr>
                    <w:pStyle w:val="TableBodyText"/>
                    <w:rPr>
                      <w:rFonts w:cs="Arial"/>
                      <w:szCs w:val="18"/>
                    </w:rPr>
                  </w:pPr>
                  <w:r w:rsidRPr="007F5A12">
                    <w:rPr>
                      <w:rFonts w:cs="Arial"/>
                      <w:color w:val="000000"/>
                      <w:szCs w:val="18"/>
                    </w:rPr>
                    <w:t>33</w:t>
                  </w:r>
                </w:p>
              </w:tc>
              <w:tc>
                <w:tcPr>
                  <w:tcW w:w="557" w:type="pct"/>
                  <w:tcBorders>
                    <w:top w:val="nil"/>
                    <w:left w:val="nil"/>
                    <w:bottom w:val="nil"/>
                    <w:right w:val="nil"/>
                  </w:tcBorders>
                  <w:shd w:val="clear" w:color="auto" w:fill="auto"/>
                  <w:vAlign w:val="bottom"/>
                </w:tcPr>
                <w:p w14:paraId="7954CA94" w14:textId="77777777" w:rsidR="00F05DC7" w:rsidRPr="007F5A12" w:rsidRDefault="00F05DC7" w:rsidP="00A3786D">
                  <w:pPr>
                    <w:pStyle w:val="TableBodyText"/>
                    <w:rPr>
                      <w:rFonts w:cs="Arial"/>
                      <w:szCs w:val="18"/>
                    </w:rPr>
                  </w:pPr>
                  <w:r w:rsidRPr="007F5A12">
                    <w:rPr>
                      <w:rFonts w:cs="Arial"/>
                      <w:color w:val="000000"/>
                      <w:szCs w:val="18"/>
                    </w:rPr>
                    <w:t>2</w:t>
                  </w:r>
                </w:p>
              </w:tc>
              <w:tc>
                <w:tcPr>
                  <w:tcW w:w="556" w:type="pct"/>
                  <w:tcBorders>
                    <w:top w:val="nil"/>
                    <w:left w:val="nil"/>
                    <w:bottom w:val="nil"/>
                    <w:right w:val="nil"/>
                  </w:tcBorders>
                  <w:shd w:val="clear" w:color="auto" w:fill="auto"/>
                  <w:vAlign w:val="bottom"/>
                </w:tcPr>
                <w:p w14:paraId="7954CA95" w14:textId="77777777" w:rsidR="00F05DC7" w:rsidRPr="007F5A12" w:rsidRDefault="00F05DC7" w:rsidP="00A3786D">
                  <w:pPr>
                    <w:pStyle w:val="TableBodyText"/>
                    <w:rPr>
                      <w:rFonts w:cs="Arial"/>
                      <w:szCs w:val="18"/>
                    </w:rPr>
                  </w:pPr>
                  <w:r w:rsidRPr="007F5A12">
                    <w:rPr>
                      <w:rFonts w:cs="Arial"/>
                      <w:color w:val="000000"/>
                      <w:szCs w:val="18"/>
                    </w:rPr>
                    <w:t>-47</w:t>
                  </w:r>
                </w:p>
              </w:tc>
              <w:tc>
                <w:tcPr>
                  <w:tcW w:w="556" w:type="pct"/>
                  <w:tcBorders>
                    <w:top w:val="nil"/>
                    <w:left w:val="nil"/>
                    <w:bottom w:val="nil"/>
                    <w:right w:val="nil"/>
                  </w:tcBorders>
                  <w:shd w:val="clear" w:color="auto" w:fill="auto"/>
                  <w:vAlign w:val="bottom"/>
                </w:tcPr>
                <w:p w14:paraId="7954CA96" w14:textId="77777777" w:rsidR="00F05DC7" w:rsidRPr="007F5A12" w:rsidRDefault="00F05DC7" w:rsidP="00A3786D">
                  <w:pPr>
                    <w:pStyle w:val="TableBodyText"/>
                    <w:rPr>
                      <w:rFonts w:cs="Arial"/>
                      <w:szCs w:val="18"/>
                    </w:rPr>
                  </w:pPr>
                  <w:r w:rsidRPr="007F5A12">
                    <w:rPr>
                      <w:rFonts w:cs="Arial"/>
                      <w:color w:val="000000"/>
                      <w:szCs w:val="18"/>
                    </w:rPr>
                    <w:t>35</w:t>
                  </w:r>
                </w:p>
              </w:tc>
              <w:tc>
                <w:tcPr>
                  <w:tcW w:w="555" w:type="pct"/>
                  <w:tcBorders>
                    <w:top w:val="nil"/>
                    <w:left w:val="nil"/>
                    <w:bottom w:val="nil"/>
                    <w:right w:val="nil"/>
                  </w:tcBorders>
                  <w:shd w:val="clear" w:color="auto" w:fill="auto"/>
                  <w:vAlign w:val="bottom"/>
                </w:tcPr>
                <w:p w14:paraId="7954CA97" w14:textId="77777777" w:rsidR="00F05DC7" w:rsidRPr="007F5A12" w:rsidRDefault="00F05DC7" w:rsidP="00A3786D">
                  <w:pPr>
                    <w:pStyle w:val="TableBodyText"/>
                    <w:rPr>
                      <w:rFonts w:cs="Arial"/>
                      <w:szCs w:val="18"/>
                    </w:rPr>
                  </w:pPr>
                  <w:r w:rsidRPr="007F5A12">
                    <w:rPr>
                      <w:rFonts w:cs="Arial"/>
                      <w:color w:val="000000"/>
                      <w:szCs w:val="18"/>
                    </w:rPr>
                    <w:t>-46</w:t>
                  </w:r>
                </w:p>
              </w:tc>
              <w:tc>
                <w:tcPr>
                  <w:tcW w:w="555" w:type="pct"/>
                  <w:tcBorders>
                    <w:top w:val="nil"/>
                    <w:left w:val="nil"/>
                    <w:bottom w:val="nil"/>
                    <w:right w:val="nil"/>
                  </w:tcBorders>
                  <w:shd w:val="clear" w:color="auto" w:fill="auto"/>
                  <w:vAlign w:val="bottom"/>
                </w:tcPr>
                <w:p w14:paraId="7954CA98" w14:textId="77777777" w:rsidR="00F05DC7" w:rsidRPr="007F5A12" w:rsidRDefault="00F05DC7" w:rsidP="00A3786D">
                  <w:pPr>
                    <w:pStyle w:val="TableBodyText"/>
                    <w:rPr>
                      <w:rFonts w:cs="Arial"/>
                      <w:szCs w:val="18"/>
                    </w:rPr>
                  </w:pPr>
                  <w:r w:rsidRPr="007F5A12">
                    <w:rPr>
                      <w:rFonts w:cs="Arial"/>
                      <w:color w:val="000000"/>
                      <w:szCs w:val="18"/>
                    </w:rPr>
                    <w:t>-45</w:t>
                  </w:r>
                </w:p>
              </w:tc>
              <w:tc>
                <w:tcPr>
                  <w:tcW w:w="555" w:type="pct"/>
                  <w:tcBorders>
                    <w:top w:val="nil"/>
                    <w:left w:val="nil"/>
                    <w:bottom w:val="nil"/>
                    <w:right w:val="nil"/>
                  </w:tcBorders>
                  <w:shd w:val="clear" w:color="auto" w:fill="auto"/>
                  <w:vAlign w:val="bottom"/>
                </w:tcPr>
                <w:p w14:paraId="7954CA99" w14:textId="77777777" w:rsidR="00F05DC7" w:rsidRPr="007F5A12" w:rsidRDefault="00F05DC7" w:rsidP="00A3786D">
                  <w:pPr>
                    <w:pStyle w:val="TableBodyText"/>
                    <w:rPr>
                      <w:rFonts w:cs="Arial"/>
                      <w:szCs w:val="18"/>
                    </w:rPr>
                  </w:pPr>
                  <w:r w:rsidRPr="007F5A12">
                    <w:rPr>
                      <w:rFonts w:cs="Arial"/>
                      <w:color w:val="000000"/>
                      <w:szCs w:val="18"/>
                    </w:rPr>
                    <w:t>-47</w:t>
                  </w:r>
                </w:p>
              </w:tc>
              <w:tc>
                <w:tcPr>
                  <w:tcW w:w="553" w:type="pct"/>
                  <w:tcBorders>
                    <w:top w:val="nil"/>
                    <w:left w:val="nil"/>
                    <w:bottom w:val="nil"/>
                    <w:right w:val="nil"/>
                  </w:tcBorders>
                  <w:shd w:val="clear" w:color="auto" w:fill="auto"/>
                  <w:vAlign w:val="bottom"/>
                </w:tcPr>
                <w:p w14:paraId="7954CA9A" w14:textId="77777777" w:rsidR="00F05DC7" w:rsidRPr="007F5A12" w:rsidRDefault="00F05DC7" w:rsidP="00A3786D">
                  <w:pPr>
                    <w:pStyle w:val="TableBodyText"/>
                    <w:rPr>
                      <w:rFonts w:cs="Arial"/>
                      <w:szCs w:val="18"/>
                    </w:rPr>
                  </w:pPr>
                  <w:r w:rsidRPr="007F5A12">
                    <w:rPr>
                      <w:rFonts w:cs="Arial"/>
                      <w:color w:val="000000"/>
                      <w:szCs w:val="18"/>
                    </w:rPr>
                    <w:t>-45</w:t>
                  </w:r>
                </w:p>
              </w:tc>
            </w:tr>
            <w:tr w:rsidR="00F05DC7" w:rsidRPr="00A75ED1" w14:paraId="7954CAA5" w14:textId="77777777" w:rsidTr="00A3786D">
              <w:tc>
                <w:tcPr>
                  <w:tcW w:w="556" w:type="pct"/>
                </w:tcPr>
                <w:p w14:paraId="7954CA9C" w14:textId="77777777" w:rsidR="00F05DC7" w:rsidRPr="007F5A12" w:rsidRDefault="00F05DC7" w:rsidP="00A3786D">
                  <w:pPr>
                    <w:pStyle w:val="TableBodyText"/>
                    <w:rPr>
                      <w:rFonts w:cs="Arial"/>
                      <w:szCs w:val="18"/>
                    </w:rPr>
                  </w:pPr>
                  <w:r w:rsidRPr="007F5A12">
                    <w:rPr>
                      <w:rFonts w:cs="Arial"/>
                      <w:szCs w:val="18"/>
                    </w:rPr>
                    <w:t>2025</w:t>
                  </w:r>
                  <w:r w:rsidRPr="007F5A12">
                    <w:rPr>
                      <w:rFonts w:cs="Arial"/>
                      <w:szCs w:val="18"/>
                    </w:rPr>
                    <w:noBreakHyphen/>
                    <w:t>26</w:t>
                  </w:r>
                </w:p>
              </w:tc>
              <w:tc>
                <w:tcPr>
                  <w:tcW w:w="557" w:type="pct"/>
                  <w:tcBorders>
                    <w:top w:val="nil"/>
                    <w:left w:val="nil"/>
                    <w:bottom w:val="nil"/>
                    <w:right w:val="nil"/>
                  </w:tcBorders>
                  <w:shd w:val="clear" w:color="auto" w:fill="auto"/>
                  <w:vAlign w:val="bottom"/>
                </w:tcPr>
                <w:p w14:paraId="7954CA9D" w14:textId="77777777" w:rsidR="00F05DC7" w:rsidRPr="007F5A12" w:rsidRDefault="00F05DC7" w:rsidP="00A3786D">
                  <w:pPr>
                    <w:pStyle w:val="TableBodyText"/>
                    <w:rPr>
                      <w:rFonts w:cs="Arial"/>
                      <w:szCs w:val="18"/>
                    </w:rPr>
                  </w:pPr>
                  <w:r w:rsidRPr="007F5A12">
                    <w:rPr>
                      <w:rFonts w:cs="Arial"/>
                      <w:color w:val="000000"/>
                      <w:szCs w:val="18"/>
                    </w:rPr>
                    <w:t>33</w:t>
                  </w:r>
                </w:p>
              </w:tc>
              <w:tc>
                <w:tcPr>
                  <w:tcW w:w="557" w:type="pct"/>
                  <w:tcBorders>
                    <w:top w:val="nil"/>
                    <w:left w:val="nil"/>
                    <w:bottom w:val="nil"/>
                    <w:right w:val="nil"/>
                  </w:tcBorders>
                  <w:shd w:val="clear" w:color="auto" w:fill="auto"/>
                  <w:vAlign w:val="bottom"/>
                </w:tcPr>
                <w:p w14:paraId="7954CA9E" w14:textId="77777777" w:rsidR="00F05DC7" w:rsidRPr="007F5A12" w:rsidRDefault="00F05DC7" w:rsidP="00A3786D">
                  <w:pPr>
                    <w:pStyle w:val="TableBodyText"/>
                    <w:rPr>
                      <w:rFonts w:cs="Arial"/>
                      <w:szCs w:val="18"/>
                    </w:rPr>
                  </w:pPr>
                  <w:r w:rsidRPr="007F5A12">
                    <w:rPr>
                      <w:rFonts w:cs="Arial"/>
                      <w:color w:val="000000"/>
                      <w:szCs w:val="18"/>
                    </w:rPr>
                    <w:t>12</w:t>
                  </w:r>
                </w:p>
              </w:tc>
              <w:tc>
                <w:tcPr>
                  <w:tcW w:w="556" w:type="pct"/>
                  <w:tcBorders>
                    <w:top w:val="nil"/>
                    <w:left w:val="nil"/>
                    <w:bottom w:val="nil"/>
                    <w:right w:val="nil"/>
                  </w:tcBorders>
                  <w:shd w:val="clear" w:color="auto" w:fill="auto"/>
                  <w:vAlign w:val="bottom"/>
                </w:tcPr>
                <w:p w14:paraId="7954CA9F" w14:textId="77777777" w:rsidR="00F05DC7" w:rsidRPr="007F5A12" w:rsidRDefault="00F05DC7" w:rsidP="00A3786D">
                  <w:pPr>
                    <w:pStyle w:val="TableBodyText"/>
                    <w:rPr>
                      <w:rFonts w:cs="Arial"/>
                      <w:szCs w:val="18"/>
                    </w:rPr>
                  </w:pPr>
                  <w:r w:rsidRPr="007F5A12">
                    <w:rPr>
                      <w:rFonts w:cs="Arial"/>
                      <w:color w:val="000000"/>
                      <w:szCs w:val="18"/>
                    </w:rPr>
                    <w:t>-50</w:t>
                  </w:r>
                </w:p>
              </w:tc>
              <w:tc>
                <w:tcPr>
                  <w:tcW w:w="556" w:type="pct"/>
                  <w:tcBorders>
                    <w:top w:val="nil"/>
                    <w:left w:val="nil"/>
                    <w:bottom w:val="nil"/>
                    <w:right w:val="nil"/>
                  </w:tcBorders>
                  <w:shd w:val="clear" w:color="auto" w:fill="auto"/>
                  <w:vAlign w:val="bottom"/>
                </w:tcPr>
                <w:p w14:paraId="7954CAA0" w14:textId="77777777" w:rsidR="00F05DC7" w:rsidRPr="007F5A12" w:rsidRDefault="00F05DC7" w:rsidP="00A3786D">
                  <w:pPr>
                    <w:pStyle w:val="TableBodyText"/>
                    <w:rPr>
                      <w:rFonts w:cs="Arial"/>
                      <w:szCs w:val="18"/>
                    </w:rPr>
                  </w:pPr>
                  <w:r w:rsidRPr="007F5A12">
                    <w:rPr>
                      <w:rFonts w:cs="Arial"/>
                      <w:color w:val="000000"/>
                      <w:szCs w:val="18"/>
                    </w:rPr>
                    <w:t>17</w:t>
                  </w:r>
                </w:p>
              </w:tc>
              <w:tc>
                <w:tcPr>
                  <w:tcW w:w="555" w:type="pct"/>
                  <w:tcBorders>
                    <w:top w:val="nil"/>
                    <w:left w:val="nil"/>
                    <w:bottom w:val="nil"/>
                    <w:right w:val="nil"/>
                  </w:tcBorders>
                  <w:shd w:val="clear" w:color="auto" w:fill="auto"/>
                  <w:vAlign w:val="bottom"/>
                </w:tcPr>
                <w:p w14:paraId="7954CAA1" w14:textId="77777777" w:rsidR="00F05DC7" w:rsidRPr="007F5A12" w:rsidRDefault="00F05DC7" w:rsidP="00A3786D">
                  <w:pPr>
                    <w:pStyle w:val="TableBodyText"/>
                    <w:rPr>
                      <w:rFonts w:cs="Arial"/>
                      <w:szCs w:val="18"/>
                    </w:rPr>
                  </w:pPr>
                  <w:r w:rsidRPr="007F5A12">
                    <w:rPr>
                      <w:rFonts w:cs="Arial"/>
                      <w:color w:val="000000"/>
                      <w:szCs w:val="18"/>
                    </w:rPr>
                    <w:t>-49</w:t>
                  </w:r>
                </w:p>
              </w:tc>
              <w:tc>
                <w:tcPr>
                  <w:tcW w:w="555" w:type="pct"/>
                  <w:tcBorders>
                    <w:top w:val="nil"/>
                    <w:left w:val="nil"/>
                    <w:bottom w:val="nil"/>
                    <w:right w:val="nil"/>
                  </w:tcBorders>
                  <w:shd w:val="clear" w:color="auto" w:fill="auto"/>
                  <w:vAlign w:val="bottom"/>
                </w:tcPr>
                <w:p w14:paraId="7954CAA2" w14:textId="77777777" w:rsidR="00F05DC7" w:rsidRPr="007F5A12" w:rsidRDefault="00F05DC7" w:rsidP="00A3786D">
                  <w:pPr>
                    <w:pStyle w:val="TableBodyText"/>
                    <w:rPr>
                      <w:rFonts w:cs="Arial"/>
                      <w:szCs w:val="18"/>
                    </w:rPr>
                  </w:pPr>
                  <w:r w:rsidRPr="007F5A12">
                    <w:rPr>
                      <w:rFonts w:cs="Arial"/>
                      <w:color w:val="000000"/>
                      <w:szCs w:val="18"/>
                    </w:rPr>
                    <w:t>-48</w:t>
                  </w:r>
                </w:p>
              </w:tc>
              <w:tc>
                <w:tcPr>
                  <w:tcW w:w="555" w:type="pct"/>
                  <w:tcBorders>
                    <w:top w:val="nil"/>
                    <w:left w:val="nil"/>
                    <w:bottom w:val="nil"/>
                    <w:right w:val="nil"/>
                  </w:tcBorders>
                  <w:shd w:val="clear" w:color="auto" w:fill="auto"/>
                  <w:vAlign w:val="bottom"/>
                </w:tcPr>
                <w:p w14:paraId="7954CAA3" w14:textId="77777777" w:rsidR="00F05DC7" w:rsidRPr="007F5A12" w:rsidRDefault="00F05DC7" w:rsidP="00A3786D">
                  <w:pPr>
                    <w:pStyle w:val="TableBodyText"/>
                    <w:rPr>
                      <w:rFonts w:cs="Arial"/>
                      <w:szCs w:val="18"/>
                    </w:rPr>
                  </w:pPr>
                  <w:r w:rsidRPr="007F5A12">
                    <w:rPr>
                      <w:rFonts w:cs="Arial"/>
                      <w:color w:val="000000"/>
                      <w:szCs w:val="18"/>
                    </w:rPr>
                    <w:t>-51</w:t>
                  </w:r>
                </w:p>
              </w:tc>
              <w:tc>
                <w:tcPr>
                  <w:tcW w:w="553" w:type="pct"/>
                  <w:tcBorders>
                    <w:top w:val="nil"/>
                    <w:left w:val="nil"/>
                    <w:bottom w:val="nil"/>
                    <w:right w:val="nil"/>
                  </w:tcBorders>
                  <w:shd w:val="clear" w:color="auto" w:fill="auto"/>
                  <w:vAlign w:val="bottom"/>
                </w:tcPr>
                <w:p w14:paraId="7954CAA4" w14:textId="77777777" w:rsidR="00F05DC7" w:rsidRPr="007F5A12" w:rsidRDefault="00F05DC7" w:rsidP="00A3786D">
                  <w:pPr>
                    <w:pStyle w:val="TableBodyText"/>
                    <w:rPr>
                      <w:rFonts w:cs="Arial"/>
                      <w:szCs w:val="18"/>
                    </w:rPr>
                  </w:pPr>
                  <w:r w:rsidRPr="007F5A12">
                    <w:rPr>
                      <w:rFonts w:cs="Arial"/>
                      <w:color w:val="000000"/>
                      <w:szCs w:val="18"/>
                    </w:rPr>
                    <w:t>-48</w:t>
                  </w:r>
                </w:p>
              </w:tc>
            </w:tr>
            <w:tr w:rsidR="00F05DC7" w:rsidRPr="00A75ED1" w14:paraId="7954CAAF" w14:textId="77777777" w:rsidTr="002341D7">
              <w:tc>
                <w:tcPr>
                  <w:tcW w:w="556" w:type="pct"/>
                </w:tcPr>
                <w:p w14:paraId="7954CAA6" w14:textId="77777777" w:rsidR="00F05DC7" w:rsidRPr="007F5A12" w:rsidRDefault="00F05DC7" w:rsidP="00A3786D">
                  <w:pPr>
                    <w:pStyle w:val="TableBodyText"/>
                    <w:rPr>
                      <w:rFonts w:cs="Arial"/>
                      <w:szCs w:val="18"/>
                    </w:rPr>
                  </w:pPr>
                  <w:r w:rsidRPr="007F5A12">
                    <w:rPr>
                      <w:rFonts w:cs="Arial"/>
                      <w:szCs w:val="18"/>
                    </w:rPr>
                    <w:t>2026</w:t>
                  </w:r>
                  <w:r w:rsidRPr="007F5A12">
                    <w:rPr>
                      <w:rFonts w:cs="Arial"/>
                      <w:szCs w:val="18"/>
                    </w:rPr>
                    <w:noBreakHyphen/>
                    <w:t>27</w:t>
                  </w:r>
                </w:p>
              </w:tc>
              <w:tc>
                <w:tcPr>
                  <w:tcW w:w="557" w:type="pct"/>
                  <w:tcBorders>
                    <w:top w:val="nil"/>
                    <w:left w:val="nil"/>
                    <w:right w:val="nil"/>
                  </w:tcBorders>
                  <w:shd w:val="clear" w:color="auto" w:fill="auto"/>
                  <w:vAlign w:val="bottom"/>
                </w:tcPr>
                <w:p w14:paraId="7954CAA7" w14:textId="77777777" w:rsidR="00F05DC7" w:rsidRPr="007F5A12" w:rsidRDefault="00F05DC7" w:rsidP="00A3786D">
                  <w:pPr>
                    <w:pStyle w:val="TableBodyText"/>
                    <w:rPr>
                      <w:rFonts w:cs="Arial"/>
                      <w:szCs w:val="18"/>
                    </w:rPr>
                  </w:pPr>
                  <w:r w:rsidRPr="007F5A12">
                    <w:rPr>
                      <w:rFonts w:cs="Arial"/>
                      <w:color w:val="000000"/>
                      <w:szCs w:val="18"/>
                    </w:rPr>
                    <w:t>26</w:t>
                  </w:r>
                </w:p>
              </w:tc>
              <w:tc>
                <w:tcPr>
                  <w:tcW w:w="557" w:type="pct"/>
                  <w:tcBorders>
                    <w:top w:val="nil"/>
                    <w:left w:val="nil"/>
                    <w:right w:val="nil"/>
                  </w:tcBorders>
                  <w:shd w:val="clear" w:color="auto" w:fill="auto"/>
                  <w:vAlign w:val="bottom"/>
                </w:tcPr>
                <w:p w14:paraId="7954CAA8" w14:textId="77777777" w:rsidR="00F05DC7" w:rsidRPr="007F5A12" w:rsidRDefault="00F05DC7" w:rsidP="00A3786D">
                  <w:pPr>
                    <w:pStyle w:val="TableBodyText"/>
                    <w:rPr>
                      <w:rFonts w:cs="Arial"/>
                      <w:szCs w:val="18"/>
                    </w:rPr>
                  </w:pPr>
                  <w:r w:rsidRPr="007F5A12">
                    <w:rPr>
                      <w:rFonts w:cs="Arial"/>
                      <w:color w:val="000000"/>
                      <w:szCs w:val="18"/>
                    </w:rPr>
                    <w:t>13</w:t>
                  </w:r>
                </w:p>
              </w:tc>
              <w:tc>
                <w:tcPr>
                  <w:tcW w:w="556" w:type="pct"/>
                  <w:tcBorders>
                    <w:top w:val="nil"/>
                    <w:left w:val="nil"/>
                    <w:right w:val="nil"/>
                  </w:tcBorders>
                  <w:shd w:val="clear" w:color="auto" w:fill="auto"/>
                  <w:vAlign w:val="bottom"/>
                </w:tcPr>
                <w:p w14:paraId="7954CAA9" w14:textId="77777777" w:rsidR="00F05DC7" w:rsidRPr="007F5A12" w:rsidRDefault="00F05DC7" w:rsidP="00A3786D">
                  <w:pPr>
                    <w:pStyle w:val="TableBodyText"/>
                    <w:rPr>
                      <w:rFonts w:cs="Arial"/>
                      <w:szCs w:val="18"/>
                    </w:rPr>
                  </w:pPr>
                  <w:r w:rsidRPr="007F5A12">
                    <w:rPr>
                      <w:rFonts w:cs="Arial"/>
                      <w:color w:val="000000"/>
                      <w:szCs w:val="18"/>
                    </w:rPr>
                    <w:t>-53</w:t>
                  </w:r>
                </w:p>
              </w:tc>
              <w:tc>
                <w:tcPr>
                  <w:tcW w:w="556" w:type="pct"/>
                  <w:tcBorders>
                    <w:top w:val="nil"/>
                    <w:left w:val="nil"/>
                    <w:right w:val="nil"/>
                  </w:tcBorders>
                  <w:shd w:val="clear" w:color="auto" w:fill="auto"/>
                  <w:vAlign w:val="bottom"/>
                </w:tcPr>
                <w:p w14:paraId="7954CAAA" w14:textId="77777777" w:rsidR="00F05DC7" w:rsidRPr="007F5A12" w:rsidRDefault="00F05DC7" w:rsidP="00A3786D">
                  <w:pPr>
                    <w:pStyle w:val="TableBodyText"/>
                    <w:rPr>
                      <w:rFonts w:cs="Arial"/>
                      <w:szCs w:val="18"/>
                    </w:rPr>
                  </w:pPr>
                  <w:r w:rsidRPr="007F5A12">
                    <w:rPr>
                      <w:rFonts w:cs="Arial"/>
                      <w:color w:val="000000"/>
                      <w:szCs w:val="18"/>
                    </w:rPr>
                    <w:t>44</w:t>
                  </w:r>
                </w:p>
              </w:tc>
              <w:tc>
                <w:tcPr>
                  <w:tcW w:w="555" w:type="pct"/>
                  <w:tcBorders>
                    <w:top w:val="nil"/>
                    <w:left w:val="nil"/>
                    <w:right w:val="nil"/>
                  </w:tcBorders>
                  <w:shd w:val="clear" w:color="auto" w:fill="auto"/>
                  <w:vAlign w:val="bottom"/>
                </w:tcPr>
                <w:p w14:paraId="7954CAAB" w14:textId="77777777" w:rsidR="00F05DC7" w:rsidRPr="007F5A12" w:rsidRDefault="00F05DC7" w:rsidP="00A3786D">
                  <w:pPr>
                    <w:pStyle w:val="TableBodyText"/>
                    <w:rPr>
                      <w:rFonts w:cs="Arial"/>
                      <w:szCs w:val="18"/>
                    </w:rPr>
                  </w:pPr>
                  <w:r w:rsidRPr="007F5A12">
                    <w:rPr>
                      <w:rFonts w:cs="Arial"/>
                      <w:color w:val="000000"/>
                      <w:szCs w:val="18"/>
                    </w:rPr>
                    <w:t>-51</w:t>
                  </w:r>
                </w:p>
              </w:tc>
              <w:tc>
                <w:tcPr>
                  <w:tcW w:w="555" w:type="pct"/>
                  <w:tcBorders>
                    <w:top w:val="nil"/>
                    <w:left w:val="nil"/>
                    <w:right w:val="nil"/>
                  </w:tcBorders>
                  <w:shd w:val="clear" w:color="auto" w:fill="auto"/>
                  <w:vAlign w:val="bottom"/>
                </w:tcPr>
                <w:p w14:paraId="7954CAAC" w14:textId="77777777" w:rsidR="00F05DC7" w:rsidRPr="007F5A12" w:rsidRDefault="00F05DC7" w:rsidP="00A3786D">
                  <w:pPr>
                    <w:pStyle w:val="TableBodyText"/>
                    <w:rPr>
                      <w:rFonts w:cs="Arial"/>
                      <w:szCs w:val="18"/>
                    </w:rPr>
                  </w:pPr>
                  <w:r w:rsidRPr="007F5A12">
                    <w:rPr>
                      <w:rFonts w:cs="Arial"/>
                      <w:color w:val="000000"/>
                      <w:szCs w:val="18"/>
                    </w:rPr>
                    <w:t>-51</w:t>
                  </w:r>
                </w:p>
              </w:tc>
              <w:tc>
                <w:tcPr>
                  <w:tcW w:w="555" w:type="pct"/>
                  <w:tcBorders>
                    <w:top w:val="nil"/>
                    <w:left w:val="nil"/>
                    <w:right w:val="nil"/>
                  </w:tcBorders>
                  <w:shd w:val="clear" w:color="auto" w:fill="auto"/>
                  <w:vAlign w:val="bottom"/>
                </w:tcPr>
                <w:p w14:paraId="7954CAAD" w14:textId="77777777" w:rsidR="00F05DC7" w:rsidRPr="007F5A12" w:rsidRDefault="00F05DC7" w:rsidP="00A3786D">
                  <w:pPr>
                    <w:pStyle w:val="TableBodyText"/>
                    <w:rPr>
                      <w:rFonts w:cs="Arial"/>
                      <w:szCs w:val="18"/>
                    </w:rPr>
                  </w:pPr>
                  <w:r w:rsidRPr="007F5A12">
                    <w:rPr>
                      <w:rFonts w:cs="Arial"/>
                      <w:color w:val="000000"/>
                      <w:szCs w:val="18"/>
                    </w:rPr>
                    <w:t>-54</w:t>
                  </w:r>
                </w:p>
              </w:tc>
              <w:tc>
                <w:tcPr>
                  <w:tcW w:w="553" w:type="pct"/>
                  <w:tcBorders>
                    <w:top w:val="nil"/>
                    <w:left w:val="nil"/>
                    <w:right w:val="nil"/>
                  </w:tcBorders>
                  <w:shd w:val="clear" w:color="auto" w:fill="auto"/>
                  <w:vAlign w:val="bottom"/>
                </w:tcPr>
                <w:p w14:paraId="7954CAAE" w14:textId="77777777" w:rsidR="00F05DC7" w:rsidRPr="007F5A12" w:rsidRDefault="00F05DC7" w:rsidP="00A3786D">
                  <w:pPr>
                    <w:pStyle w:val="TableBodyText"/>
                    <w:rPr>
                      <w:rFonts w:cs="Arial"/>
                      <w:szCs w:val="18"/>
                    </w:rPr>
                  </w:pPr>
                  <w:r w:rsidRPr="007F5A12">
                    <w:rPr>
                      <w:rFonts w:cs="Arial"/>
                      <w:color w:val="000000"/>
                      <w:szCs w:val="18"/>
                    </w:rPr>
                    <w:t>-50</w:t>
                  </w:r>
                </w:p>
              </w:tc>
            </w:tr>
            <w:tr w:rsidR="00F05DC7" w:rsidRPr="00A75ED1" w14:paraId="7954CAB1" w14:textId="77777777" w:rsidTr="002341D7">
              <w:tc>
                <w:tcPr>
                  <w:tcW w:w="5000" w:type="pct"/>
                  <w:gridSpan w:val="9"/>
                  <w:shd w:val="clear" w:color="auto" w:fill="F2F2F2" w:themeFill="background1" w:themeFillShade="F2"/>
                </w:tcPr>
                <w:p w14:paraId="7954CAB0"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CABB" w14:textId="77777777" w:rsidTr="00A3786D">
              <w:tc>
                <w:tcPr>
                  <w:tcW w:w="556" w:type="pct"/>
                  <w:shd w:val="clear" w:color="auto" w:fill="auto"/>
                  <w:vAlign w:val="bottom"/>
                </w:tcPr>
                <w:p w14:paraId="7954CAB2" w14:textId="77777777" w:rsidR="00F05DC7" w:rsidRPr="00911F46" w:rsidRDefault="00F05DC7" w:rsidP="00A3786D">
                  <w:pPr>
                    <w:pStyle w:val="TableBodyText"/>
                  </w:pPr>
                  <w:r w:rsidRPr="00911F46">
                    <w:t>2019</w:t>
                  </w:r>
                  <w:r>
                    <w:noBreakHyphen/>
                  </w:r>
                  <w:r w:rsidRPr="00911F46">
                    <w:t>20</w:t>
                  </w:r>
                </w:p>
              </w:tc>
              <w:tc>
                <w:tcPr>
                  <w:tcW w:w="557" w:type="pct"/>
                  <w:tcBorders>
                    <w:top w:val="nil"/>
                    <w:left w:val="nil"/>
                    <w:bottom w:val="nil"/>
                    <w:right w:val="nil"/>
                  </w:tcBorders>
                  <w:shd w:val="clear" w:color="auto" w:fill="auto"/>
                  <w:vAlign w:val="bottom"/>
                </w:tcPr>
                <w:p w14:paraId="7954CAB3" w14:textId="77777777" w:rsidR="00F05DC7" w:rsidRPr="00911F46" w:rsidRDefault="00F05DC7" w:rsidP="00A3786D">
                  <w:pPr>
                    <w:pStyle w:val="TableBodyText"/>
                  </w:pPr>
                  <w:r w:rsidRPr="00911F46">
                    <w:rPr>
                      <w:color w:val="000000"/>
                    </w:rPr>
                    <w:t>0.21</w:t>
                  </w:r>
                </w:p>
              </w:tc>
              <w:tc>
                <w:tcPr>
                  <w:tcW w:w="557" w:type="pct"/>
                  <w:tcBorders>
                    <w:top w:val="nil"/>
                    <w:left w:val="nil"/>
                    <w:bottom w:val="nil"/>
                    <w:right w:val="nil"/>
                  </w:tcBorders>
                  <w:shd w:val="clear" w:color="auto" w:fill="auto"/>
                  <w:vAlign w:val="bottom"/>
                </w:tcPr>
                <w:p w14:paraId="7954CAB4" w14:textId="77777777" w:rsidR="00F05DC7" w:rsidRPr="00911F46" w:rsidRDefault="00F05DC7" w:rsidP="00A3786D">
                  <w:pPr>
                    <w:pStyle w:val="TableBodyText"/>
                  </w:pPr>
                  <w:r>
                    <w:rPr>
                      <w:color w:val="000000"/>
                    </w:rPr>
                    <w:noBreakHyphen/>
                  </w:r>
                  <w:r w:rsidRPr="00911F46">
                    <w:rPr>
                      <w:color w:val="000000"/>
                    </w:rPr>
                    <w:t>0.22</w:t>
                  </w:r>
                </w:p>
              </w:tc>
              <w:tc>
                <w:tcPr>
                  <w:tcW w:w="556" w:type="pct"/>
                  <w:tcBorders>
                    <w:top w:val="nil"/>
                    <w:left w:val="nil"/>
                    <w:bottom w:val="nil"/>
                    <w:right w:val="nil"/>
                  </w:tcBorders>
                  <w:shd w:val="clear" w:color="auto" w:fill="auto"/>
                  <w:vAlign w:val="bottom"/>
                </w:tcPr>
                <w:p w14:paraId="7954CAB5" w14:textId="77777777" w:rsidR="00F05DC7" w:rsidRPr="00911F46" w:rsidRDefault="00F05DC7" w:rsidP="00A3786D">
                  <w:pPr>
                    <w:pStyle w:val="TableBodyText"/>
                  </w:pPr>
                  <w:r>
                    <w:rPr>
                      <w:color w:val="000000"/>
                    </w:rPr>
                    <w:noBreakHyphen/>
                  </w:r>
                  <w:r w:rsidRPr="00911F46">
                    <w:rPr>
                      <w:color w:val="000000"/>
                    </w:rPr>
                    <w:t>0.32</w:t>
                  </w:r>
                </w:p>
              </w:tc>
              <w:tc>
                <w:tcPr>
                  <w:tcW w:w="556" w:type="pct"/>
                  <w:tcBorders>
                    <w:top w:val="nil"/>
                    <w:left w:val="nil"/>
                    <w:bottom w:val="nil"/>
                    <w:right w:val="nil"/>
                  </w:tcBorders>
                  <w:shd w:val="clear" w:color="auto" w:fill="auto"/>
                  <w:vAlign w:val="bottom"/>
                </w:tcPr>
                <w:p w14:paraId="7954CAB6" w14:textId="77777777" w:rsidR="00F05DC7" w:rsidRPr="00911F46" w:rsidRDefault="00F05DC7" w:rsidP="00A3786D">
                  <w:pPr>
                    <w:pStyle w:val="TableBodyText"/>
                  </w:pPr>
                  <w:r w:rsidRPr="00911F46">
                    <w:rPr>
                      <w:color w:val="000000"/>
                    </w:rPr>
                    <w:t>0.88</w:t>
                  </w:r>
                </w:p>
              </w:tc>
              <w:tc>
                <w:tcPr>
                  <w:tcW w:w="555" w:type="pct"/>
                  <w:tcBorders>
                    <w:top w:val="nil"/>
                    <w:left w:val="nil"/>
                    <w:bottom w:val="nil"/>
                    <w:right w:val="nil"/>
                  </w:tcBorders>
                  <w:shd w:val="clear" w:color="auto" w:fill="auto"/>
                  <w:vAlign w:val="bottom"/>
                </w:tcPr>
                <w:p w14:paraId="7954CAB7" w14:textId="77777777" w:rsidR="00F05DC7" w:rsidRPr="00911F46" w:rsidRDefault="00F05DC7" w:rsidP="00A3786D">
                  <w:pPr>
                    <w:pStyle w:val="TableBodyText"/>
                  </w:pPr>
                  <w:r>
                    <w:rPr>
                      <w:color w:val="000000"/>
                    </w:rPr>
                    <w:noBreakHyphen/>
                  </w:r>
                  <w:r w:rsidRPr="00911F46">
                    <w:rPr>
                      <w:color w:val="000000"/>
                    </w:rPr>
                    <w:t>0.33</w:t>
                  </w:r>
                </w:p>
              </w:tc>
              <w:tc>
                <w:tcPr>
                  <w:tcW w:w="555" w:type="pct"/>
                  <w:tcBorders>
                    <w:top w:val="nil"/>
                    <w:left w:val="nil"/>
                    <w:bottom w:val="nil"/>
                    <w:right w:val="nil"/>
                  </w:tcBorders>
                  <w:shd w:val="clear" w:color="auto" w:fill="auto"/>
                  <w:vAlign w:val="bottom"/>
                </w:tcPr>
                <w:p w14:paraId="7954CAB8" w14:textId="77777777" w:rsidR="00F05DC7" w:rsidRPr="00911F46" w:rsidRDefault="00F05DC7" w:rsidP="00A3786D">
                  <w:pPr>
                    <w:pStyle w:val="TableBodyText"/>
                  </w:pPr>
                  <w:r>
                    <w:rPr>
                      <w:color w:val="000000"/>
                    </w:rPr>
                    <w:noBreakHyphen/>
                  </w:r>
                  <w:r w:rsidRPr="00911F46">
                    <w:rPr>
                      <w:color w:val="000000"/>
                    </w:rPr>
                    <w:t>0.32</w:t>
                  </w:r>
                </w:p>
              </w:tc>
              <w:tc>
                <w:tcPr>
                  <w:tcW w:w="555" w:type="pct"/>
                  <w:tcBorders>
                    <w:top w:val="nil"/>
                    <w:left w:val="nil"/>
                    <w:bottom w:val="nil"/>
                    <w:right w:val="nil"/>
                  </w:tcBorders>
                  <w:shd w:val="clear" w:color="auto" w:fill="auto"/>
                  <w:vAlign w:val="bottom"/>
                </w:tcPr>
                <w:p w14:paraId="7954CAB9" w14:textId="77777777" w:rsidR="00F05DC7" w:rsidRPr="00911F46" w:rsidRDefault="00F05DC7" w:rsidP="00A3786D">
                  <w:pPr>
                    <w:pStyle w:val="TableBodyText"/>
                  </w:pPr>
                  <w:r>
                    <w:rPr>
                      <w:color w:val="000000"/>
                    </w:rPr>
                    <w:noBreakHyphen/>
                  </w:r>
                  <w:r w:rsidRPr="00911F46">
                    <w:rPr>
                      <w:color w:val="000000"/>
                    </w:rPr>
                    <w:t>0.26</w:t>
                  </w:r>
                </w:p>
              </w:tc>
              <w:tc>
                <w:tcPr>
                  <w:tcW w:w="553" w:type="pct"/>
                  <w:tcBorders>
                    <w:top w:val="nil"/>
                    <w:left w:val="nil"/>
                    <w:bottom w:val="nil"/>
                    <w:right w:val="nil"/>
                  </w:tcBorders>
                  <w:shd w:val="clear" w:color="auto" w:fill="auto"/>
                  <w:vAlign w:val="bottom"/>
                </w:tcPr>
                <w:p w14:paraId="7954CABA" w14:textId="77777777" w:rsidR="00F05DC7" w:rsidRPr="00911F46" w:rsidRDefault="00F05DC7" w:rsidP="00A3786D">
                  <w:pPr>
                    <w:pStyle w:val="TableBodyText"/>
                  </w:pPr>
                  <w:r>
                    <w:rPr>
                      <w:color w:val="000000"/>
                    </w:rPr>
                    <w:noBreakHyphen/>
                  </w:r>
                  <w:r w:rsidRPr="00911F46">
                    <w:rPr>
                      <w:color w:val="000000"/>
                    </w:rPr>
                    <w:t>0.16</w:t>
                  </w:r>
                </w:p>
              </w:tc>
            </w:tr>
            <w:tr w:rsidR="00F05DC7" w:rsidRPr="00A75ED1" w14:paraId="7954CAC5" w14:textId="77777777" w:rsidTr="00A3786D">
              <w:tc>
                <w:tcPr>
                  <w:tcW w:w="556" w:type="pct"/>
                  <w:shd w:val="clear" w:color="auto" w:fill="auto"/>
                  <w:vAlign w:val="bottom"/>
                </w:tcPr>
                <w:p w14:paraId="7954CABC" w14:textId="77777777" w:rsidR="00F05DC7" w:rsidRPr="00911F46" w:rsidRDefault="00F05DC7" w:rsidP="00A3786D">
                  <w:pPr>
                    <w:pStyle w:val="TableBodyText"/>
                  </w:pPr>
                  <w:r w:rsidRPr="00911F46">
                    <w:t>2020</w:t>
                  </w:r>
                  <w:r>
                    <w:noBreakHyphen/>
                  </w:r>
                  <w:r w:rsidRPr="00911F46">
                    <w:t>21</w:t>
                  </w:r>
                </w:p>
              </w:tc>
              <w:tc>
                <w:tcPr>
                  <w:tcW w:w="557" w:type="pct"/>
                  <w:tcBorders>
                    <w:top w:val="nil"/>
                    <w:left w:val="nil"/>
                    <w:bottom w:val="nil"/>
                    <w:right w:val="nil"/>
                  </w:tcBorders>
                  <w:shd w:val="clear" w:color="auto" w:fill="auto"/>
                  <w:vAlign w:val="bottom"/>
                </w:tcPr>
                <w:p w14:paraId="7954CABD" w14:textId="77777777" w:rsidR="00F05DC7" w:rsidRPr="00911F46" w:rsidRDefault="00F05DC7" w:rsidP="00A3786D">
                  <w:pPr>
                    <w:pStyle w:val="TableBodyText"/>
                  </w:pPr>
                  <w:r w:rsidRPr="00911F46">
                    <w:rPr>
                      <w:color w:val="000000"/>
                    </w:rPr>
                    <w:t>0.28</w:t>
                  </w:r>
                </w:p>
              </w:tc>
              <w:tc>
                <w:tcPr>
                  <w:tcW w:w="557" w:type="pct"/>
                  <w:tcBorders>
                    <w:top w:val="nil"/>
                    <w:left w:val="nil"/>
                    <w:bottom w:val="nil"/>
                    <w:right w:val="nil"/>
                  </w:tcBorders>
                  <w:shd w:val="clear" w:color="auto" w:fill="auto"/>
                  <w:vAlign w:val="bottom"/>
                </w:tcPr>
                <w:p w14:paraId="7954CABE" w14:textId="77777777" w:rsidR="00F05DC7" w:rsidRPr="00911F46" w:rsidRDefault="00F05DC7" w:rsidP="00A3786D">
                  <w:pPr>
                    <w:pStyle w:val="TableBodyText"/>
                  </w:pPr>
                  <w:r>
                    <w:rPr>
                      <w:color w:val="000000"/>
                    </w:rPr>
                    <w:noBreakHyphen/>
                  </w:r>
                  <w:r w:rsidRPr="00911F46">
                    <w:rPr>
                      <w:color w:val="000000"/>
                    </w:rPr>
                    <w:t>0.19</w:t>
                  </w:r>
                </w:p>
              </w:tc>
              <w:tc>
                <w:tcPr>
                  <w:tcW w:w="556" w:type="pct"/>
                  <w:tcBorders>
                    <w:top w:val="nil"/>
                    <w:left w:val="nil"/>
                    <w:bottom w:val="nil"/>
                    <w:right w:val="nil"/>
                  </w:tcBorders>
                  <w:shd w:val="clear" w:color="auto" w:fill="auto"/>
                  <w:vAlign w:val="bottom"/>
                </w:tcPr>
                <w:p w14:paraId="7954CABF" w14:textId="77777777" w:rsidR="00F05DC7" w:rsidRPr="00911F46" w:rsidRDefault="00F05DC7" w:rsidP="00A3786D">
                  <w:pPr>
                    <w:pStyle w:val="TableBodyText"/>
                  </w:pPr>
                  <w:r>
                    <w:rPr>
                      <w:color w:val="000000"/>
                    </w:rPr>
                    <w:noBreakHyphen/>
                  </w:r>
                  <w:r w:rsidRPr="00911F46">
                    <w:rPr>
                      <w:color w:val="000000"/>
                    </w:rPr>
                    <w:t>0.35</w:t>
                  </w:r>
                </w:p>
              </w:tc>
              <w:tc>
                <w:tcPr>
                  <w:tcW w:w="556" w:type="pct"/>
                  <w:tcBorders>
                    <w:top w:val="nil"/>
                    <w:left w:val="nil"/>
                    <w:bottom w:val="nil"/>
                    <w:right w:val="nil"/>
                  </w:tcBorders>
                  <w:shd w:val="clear" w:color="auto" w:fill="auto"/>
                  <w:vAlign w:val="bottom"/>
                </w:tcPr>
                <w:p w14:paraId="7954CAC0" w14:textId="77777777" w:rsidR="00F05DC7" w:rsidRPr="00911F46" w:rsidRDefault="00F05DC7" w:rsidP="00A3786D">
                  <w:pPr>
                    <w:pStyle w:val="TableBodyText"/>
                  </w:pPr>
                  <w:r w:rsidRPr="00911F46">
                    <w:rPr>
                      <w:color w:val="000000"/>
                    </w:rPr>
                    <w:t>0.69</w:t>
                  </w:r>
                </w:p>
              </w:tc>
              <w:tc>
                <w:tcPr>
                  <w:tcW w:w="555" w:type="pct"/>
                  <w:tcBorders>
                    <w:top w:val="nil"/>
                    <w:left w:val="nil"/>
                    <w:bottom w:val="nil"/>
                    <w:right w:val="nil"/>
                  </w:tcBorders>
                  <w:shd w:val="clear" w:color="auto" w:fill="auto"/>
                  <w:vAlign w:val="bottom"/>
                </w:tcPr>
                <w:p w14:paraId="7954CAC1" w14:textId="77777777" w:rsidR="00F05DC7" w:rsidRPr="00911F46" w:rsidRDefault="00F05DC7" w:rsidP="00A3786D">
                  <w:pPr>
                    <w:pStyle w:val="TableBodyText"/>
                  </w:pPr>
                  <w:r>
                    <w:rPr>
                      <w:color w:val="000000"/>
                    </w:rPr>
                    <w:noBreakHyphen/>
                  </w:r>
                  <w:r w:rsidRPr="00911F46">
                    <w:rPr>
                      <w:color w:val="000000"/>
                    </w:rPr>
                    <w:t>0.35</w:t>
                  </w:r>
                </w:p>
              </w:tc>
              <w:tc>
                <w:tcPr>
                  <w:tcW w:w="555" w:type="pct"/>
                  <w:tcBorders>
                    <w:top w:val="nil"/>
                    <w:left w:val="nil"/>
                    <w:bottom w:val="nil"/>
                    <w:right w:val="nil"/>
                  </w:tcBorders>
                  <w:shd w:val="clear" w:color="auto" w:fill="auto"/>
                  <w:vAlign w:val="bottom"/>
                </w:tcPr>
                <w:p w14:paraId="7954CAC2" w14:textId="77777777" w:rsidR="00F05DC7" w:rsidRPr="00911F46" w:rsidRDefault="00F05DC7" w:rsidP="00A3786D">
                  <w:pPr>
                    <w:pStyle w:val="TableBodyText"/>
                  </w:pPr>
                  <w:r>
                    <w:rPr>
                      <w:color w:val="000000"/>
                    </w:rPr>
                    <w:noBreakHyphen/>
                  </w:r>
                  <w:r w:rsidRPr="00911F46">
                    <w:rPr>
                      <w:color w:val="000000"/>
                    </w:rPr>
                    <w:t>0.35</w:t>
                  </w:r>
                </w:p>
              </w:tc>
              <w:tc>
                <w:tcPr>
                  <w:tcW w:w="555" w:type="pct"/>
                  <w:tcBorders>
                    <w:top w:val="nil"/>
                    <w:left w:val="nil"/>
                    <w:bottom w:val="nil"/>
                    <w:right w:val="nil"/>
                  </w:tcBorders>
                  <w:shd w:val="clear" w:color="auto" w:fill="auto"/>
                  <w:vAlign w:val="bottom"/>
                </w:tcPr>
                <w:p w14:paraId="7954CAC3" w14:textId="77777777" w:rsidR="00F05DC7" w:rsidRPr="00911F46" w:rsidRDefault="00F05DC7" w:rsidP="00A3786D">
                  <w:pPr>
                    <w:pStyle w:val="TableBodyText"/>
                  </w:pPr>
                  <w:r>
                    <w:rPr>
                      <w:color w:val="000000"/>
                    </w:rPr>
                    <w:noBreakHyphen/>
                  </w:r>
                  <w:r w:rsidRPr="00911F46">
                    <w:rPr>
                      <w:color w:val="000000"/>
                    </w:rPr>
                    <w:t>0.28</w:t>
                  </w:r>
                </w:p>
              </w:tc>
              <w:tc>
                <w:tcPr>
                  <w:tcW w:w="553" w:type="pct"/>
                  <w:tcBorders>
                    <w:top w:val="nil"/>
                    <w:left w:val="nil"/>
                    <w:bottom w:val="nil"/>
                    <w:right w:val="nil"/>
                  </w:tcBorders>
                  <w:shd w:val="clear" w:color="auto" w:fill="auto"/>
                  <w:vAlign w:val="bottom"/>
                </w:tcPr>
                <w:p w14:paraId="7954CAC4" w14:textId="77777777" w:rsidR="00F05DC7" w:rsidRPr="00911F46" w:rsidRDefault="00F05DC7" w:rsidP="00A3786D">
                  <w:pPr>
                    <w:pStyle w:val="TableBodyText"/>
                  </w:pPr>
                  <w:r>
                    <w:rPr>
                      <w:color w:val="000000"/>
                    </w:rPr>
                    <w:noBreakHyphen/>
                  </w:r>
                  <w:r w:rsidRPr="00911F46">
                    <w:rPr>
                      <w:color w:val="000000"/>
                    </w:rPr>
                    <w:t>0.18</w:t>
                  </w:r>
                </w:p>
              </w:tc>
            </w:tr>
            <w:tr w:rsidR="00F05DC7" w:rsidRPr="00A75ED1" w14:paraId="7954CACF" w14:textId="77777777" w:rsidTr="00A3786D">
              <w:tc>
                <w:tcPr>
                  <w:tcW w:w="556" w:type="pct"/>
                  <w:shd w:val="clear" w:color="auto" w:fill="auto"/>
                  <w:vAlign w:val="bottom"/>
                </w:tcPr>
                <w:p w14:paraId="7954CAC6" w14:textId="77777777" w:rsidR="00F05DC7" w:rsidRPr="00911F46" w:rsidRDefault="00F05DC7" w:rsidP="00A3786D">
                  <w:pPr>
                    <w:pStyle w:val="TableBodyText"/>
                  </w:pPr>
                  <w:r w:rsidRPr="00911F46">
                    <w:t>2021</w:t>
                  </w:r>
                  <w:r>
                    <w:noBreakHyphen/>
                  </w:r>
                  <w:r w:rsidRPr="00911F46">
                    <w:t>22</w:t>
                  </w:r>
                </w:p>
              </w:tc>
              <w:tc>
                <w:tcPr>
                  <w:tcW w:w="557" w:type="pct"/>
                  <w:tcBorders>
                    <w:top w:val="nil"/>
                    <w:left w:val="nil"/>
                    <w:bottom w:val="nil"/>
                    <w:right w:val="nil"/>
                  </w:tcBorders>
                  <w:shd w:val="clear" w:color="auto" w:fill="auto"/>
                  <w:vAlign w:val="bottom"/>
                </w:tcPr>
                <w:p w14:paraId="7954CAC7" w14:textId="77777777" w:rsidR="00F05DC7" w:rsidRPr="00911F46" w:rsidRDefault="00F05DC7" w:rsidP="00A3786D">
                  <w:pPr>
                    <w:pStyle w:val="TableBodyText"/>
                  </w:pPr>
                  <w:r w:rsidRPr="00911F46">
                    <w:rPr>
                      <w:color w:val="000000"/>
                    </w:rPr>
                    <w:t>0.25</w:t>
                  </w:r>
                </w:p>
              </w:tc>
              <w:tc>
                <w:tcPr>
                  <w:tcW w:w="557" w:type="pct"/>
                  <w:tcBorders>
                    <w:top w:val="nil"/>
                    <w:left w:val="nil"/>
                    <w:bottom w:val="nil"/>
                    <w:right w:val="nil"/>
                  </w:tcBorders>
                  <w:shd w:val="clear" w:color="auto" w:fill="auto"/>
                  <w:vAlign w:val="bottom"/>
                </w:tcPr>
                <w:p w14:paraId="7954CAC8" w14:textId="77777777" w:rsidR="00F05DC7" w:rsidRPr="00911F46" w:rsidRDefault="00F05DC7" w:rsidP="00A3786D">
                  <w:pPr>
                    <w:pStyle w:val="TableBodyText"/>
                  </w:pPr>
                  <w:r>
                    <w:rPr>
                      <w:color w:val="000000"/>
                    </w:rPr>
                    <w:noBreakHyphen/>
                  </w:r>
                  <w:r w:rsidRPr="00911F46">
                    <w:rPr>
                      <w:color w:val="000000"/>
                    </w:rPr>
                    <w:t>0.16</w:t>
                  </w:r>
                </w:p>
              </w:tc>
              <w:tc>
                <w:tcPr>
                  <w:tcW w:w="556" w:type="pct"/>
                  <w:tcBorders>
                    <w:top w:val="nil"/>
                    <w:left w:val="nil"/>
                    <w:bottom w:val="nil"/>
                    <w:right w:val="nil"/>
                  </w:tcBorders>
                  <w:shd w:val="clear" w:color="auto" w:fill="auto"/>
                  <w:vAlign w:val="bottom"/>
                </w:tcPr>
                <w:p w14:paraId="7954CAC9" w14:textId="77777777" w:rsidR="00F05DC7" w:rsidRPr="00911F46" w:rsidRDefault="00F05DC7" w:rsidP="00A3786D">
                  <w:pPr>
                    <w:pStyle w:val="TableBodyText"/>
                  </w:pPr>
                  <w:r>
                    <w:rPr>
                      <w:color w:val="000000"/>
                    </w:rPr>
                    <w:noBreakHyphen/>
                  </w:r>
                  <w:r w:rsidRPr="00911F46">
                    <w:rPr>
                      <w:color w:val="000000"/>
                    </w:rPr>
                    <w:t>0.36</w:t>
                  </w:r>
                </w:p>
              </w:tc>
              <w:tc>
                <w:tcPr>
                  <w:tcW w:w="556" w:type="pct"/>
                  <w:tcBorders>
                    <w:top w:val="nil"/>
                    <w:left w:val="nil"/>
                    <w:bottom w:val="nil"/>
                    <w:right w:val="nil"/>
                  </w:tcBorders>
                  <w:shd w:val="clear" w:color="auto" w:fill="auto"/>
                  <w:vAlign w:val="bottom"/>
                </w:tcPr>
                <w:p w14:paraId="7954CACA" w14:textId="77777777" w:rsidR="00F05DC7" w:rsidRPr="00911F46" w:rsidRDefault="00F05DC7" w:rsidP="00A3786D">
                  <w:pPr>
                    <w:pStyle w:val="TableBodyText"/>
                  </w:pPr>
                  <w:r w:rsidRPr="00911F46">
                    <w:rPr>
                      <w:color w:val="000000"/>
                    </w:rPr>
                    <w:t>0.73</w:t>
                  </w:r>
                </w:p>
              </w:tc>
              <w:tc>
                <w:tcPr>
                  <w:tcW w:w="555" w:type="pct"/>
                  <w:tcBorders>
                    <w:top w:val="nil"/>
                    <w:left w:val="nil"/>
                    <w:bottom w:val="nil"/>
                    <w:right w:val="nil"/>
                  </w:tcBorders>
                  <w:shd w:val="clear" w:color="auto" w:fill="auto"/>
                  <w:vAlign w:val="bottom"/>
                </w:tcPr>
                <w:p w14:paraId="7954CACB" w14:textId="77777777" w:rsidR="00F05DC7" w:rsidRPr="00911F46" w:rsidRDefault="00F05DC7" w:rsidP="00A3786D">
                  <w:pPr>
                    <w:pStyle w:val="TableBodyText"/>
                  </w:pPr>
                  <w:r>
                    <w:rPr>
                      <w:color w:val="000000"/>
                    </w:rPr>
                    <w:noBreakHyphen/>
                  </w:r>
                  <w:r w:rsidRPr="00911F46">
                    <w:rPr>
                      <w:color w:val="000000"/>
                    </w:rPr>
                    <w:t>0.37</w:t>
                  </w:r>
                </w:p>
              </w:tc>
              <w:tc>
                <w:tcPr>
                  <w:tcW w:w="555" w:type="pct"/>
                  <w:tcBorders>
                    <w:top w:val="nil"/>
                    <w:left w:val="nil"/>
                    <w:bottom w:val="nil"/>
                    <w:right w:val="nil"/>
                  </w:tcBorders>
                  <w:shd w:val="clear" w:color="auto" w:fill="auto"/>
                  <w:vAlign w:val="bottom"/>
                </w:tcPr>
                <w:p w14:paraId="7954CACC" w14:textId="77777777" w:rsidR="00F05DC7" w:rsidRPr="00911F46" w:rsidRDefault="00F05DC7" w:rsidP="00A3786D">
                  <w:pPr>
                    <w:pStyle w:val="TableBodyText"/>
                  </w:pPr>
                  <w:r>
                    <w:rPr>
                      <w:color w:val="000000"/>
                    </w:rPr>
                    <w:noBreakHyphen/>
                  </w:r>
                  <w:r w:rsidRPr="00911F46">
                    <w:rPr>
                      <w:color w:val="000000"/>
                    </w:rPr>
                    <w:t>0.36</w:t>
                  </w:r>
                </w:p>
              </w:tc>
              <w:tc>
                <w:tcPr>
                  <w:tcW w:w="555" w:type="pct"/>
                  <w:tcBorders>
                    <w:top w:val="nil"/>
                    <w:left w:val="nil"/>
                    <w:bottom w:val="nil"/>
                    <w:right w:val="nil"/>
                  </w:tcBorders>
                  <w:shd w:val="clear" w:color="auto" w:fill="auto"/>
                  <w:vAlign w:val="bottom"/>
                </w:tcPr>
                <w:p w14:paraId="7954CACD" w14:textId="77777777" w:rsidR="00F05DC7" w:rsidRPr="00911F46" w:rsidRDefault="00F05DC7" w:rsidP="00A3786D">
                  <w:pPr>
                    <w:pStyle w:val="TableBodyText"/>
                  </w:pPr>
                  <w:r>
                    <w:rPr>
                      <w:color w:val="000000"/>
                    </w:rPr>
                    <w:noBreakHyphen/>
                  </w:r>
                  <w:r w:rsidRPr="00911F46">
                    <w:rPr>
                      <w:color w:val="000000"/>
                    </w:rPr>
                    <w:t>0.30</w:t>
                  </w:r>
                </w:p>
              </w:tc>
              <w:tc>
                <w:tcPr>
                  <w:tcW w:w="553" w:type="pct"/>
                  <w:tcBorders>
                    <w:top w:val="nil"/>
                    <w:left w:val="nil"/>
                    <w:bottom w:val="nil"/>
                    <w:right w:val="nil"/>
                  </w:tcBorders>
                  <w:shd w:val="clear" w:color="auto" w:fill="auto"/>
                  <w:vAlign w:val="bottom"/>
                </w:tcPr>
                <w:p w14:paraId="7954CACE" w14:textId="77777777" w:rsidR="00F05DC7" w:rsidRPr="00911F46" w:rsidRDefault="00F05DC7" w:rsidP="00A3786D">
                  <w:pPr>
                    <w:pStyle w:val="TableBodyText"/>
                  </w:pPr>
                  <w:r>
                    <w:rPr>
                      <w:color w:val="000000"/>
                    </w:rPr>
                    <w:noBreakHyphen/>
                  </w:r>
                  <w:r w:rsidRPr="00911F46">
                    <w:rPr>
                      <w:color w:val="000000"/>
                    </w:rPr>
                    <w:t>0.17</w:t>
                  </w:r>
                </w:p>
              </w:tc>
            </w:tr>
            <w:tr w:rsidR="00F05DC7" w:rsidRPr="00A75ED1" w14:paraId="7954CAD9" w14:textId="77777777" w:rsidTr="00A3786D">
              <w:tc>
                <w:tcPr>
                  <w:tcW w:w="556" w:type="pct"/>
                  <w:shd w:val="clear" w:color="auto" w:fill="auto"/>
                </w:tcPr>
                <w:p w14:paraId="7954CAD0" w14:textId="77777777" w:rsidR="00F05DC7" w:rsidRPr="00911F46" w:rsidRDefault="00F05DC7" w:rsidP="00A3786D">
                  <w:pPr>
                    <w:pStyle w:val="TableBodyText"/>
                  </w:pPr>
                  <w:r w:rsidRPr="00911F46">
                    <w:t>2022</w:t>
                  </w:r>
                  <w:r>
                    <w:noBreakHyphen/>
                  </w:r>
                  <w:r w:rsidRPr="00911F46">
                    <w:t>23</w:t>
                  </w:r>
                </w:p>
              </w:tc>
              <w:tc>
                <w:tcPr>
                  <w:tcW w:w="557" w:type="pct"/>
                  <w:tcBorders>
                    <w:top w:val="nil"/>
                    <w:left w:val="nil"/>
                    <w:bottom w:val="nil"/>
                    <w:right w:val="nil"/>
                  </w:tcBorders>
                  <w:shd w:val="clear" w:color="auto" w:fill="auto"/>
                  <w:vAlign w:val="bottom"/>
                </w:tcPr>
                <w:p w14:paraId="7954CAD1" w14:textId="77777777" w:rsidR="00F05DC7" w:rsidRPr="00911F46" w:rsidRDefault="00F05DC7" w:rsidP="00A3786D">
                  <w:pPr>
                    <w:pStyle w:val="TableBodyText"/>
                  </w:pPr>
                  <w:r w:rsidRPr="00911F46">
                    <w:rPr>
                      <w:color w:val="000000"/>
                    </w:rPr>
                    <w:t>0.34</w:t>
                  </w:r>
                </w:p>
              </w:tc>
              <w:tc>
                <w:tcPr>
                  <w:tcW w:w="557" w:type="pct"/>
                  <w:tcBorders>
                    <w:top w:val="nil"/>
                    <w:left w:val="nil"/>
                    <w:bottom w:val="nil"/>
                    <w:right w:val="nil"/>
                  </w:tcBorders>
                  <w:shd w:val="clear" w:color="auto" w:fill="auto"/>
                  <w:vAlign w:val="bottom"/>
                </w:tcPr>
                <w:p w14:paraId="7954CAD2" w14:textId="77777777" w:rsidR="00F05DC7" w:rsidRPr="00911F46" w:rsidRDefault="00F05DC7" w:rsidP="00A3786D">
                  <w:pPr>
                    <w:pStyle w:val="TableBodyText"/>
                  </w:pPr>
                  <w:r>
                    <w:rPr>
                      <w:color w:val="000000"/>
                    </w:rPr>
                    <w:noBreakHyphen/>
                  </w:r>
                  <w:r w:rsidRPr="00911F46">
                    <w:rPr>
                      <w:color w:val="000000"/>
                    </w:rPr>
                    <w:t>0.10</w:t>
                  </w:r>
                </w:p>
              </w:tc>
              <w:tc>
                <w:tcPr>
                  <w:tcW w:w="556" w:type="pct"/>
                  <w:tcBorders>
                    <w:top w:val="nil"/>
                    <w:left w:val="nil"/>
                    <w:bottom w:val="nil"/>
                    <w:right w:val="nil"/>
                  </w:tcBorders>
                  <w:shd w:val="clear" w:color="auto" w:fill="auto"/>
                  <w:vAlign w:val="bottom"/>
                </w:tcPr>
                <w:p w14:paraId="7954CAD3" w14:textId="77777777" w:rsidR="00F05DC7" w:rsidRPr="00911F46" w:rsidRDefault="00F05DC7" w:rsidP="00A3786D">
                  <w:pPr>
                    <w:pStyle w:val="TableBodyText"/>
                  </w:pPr>
                  <w:r>
                    <w:rPr>
                      <w:color w:val="000000"/>
                    </w:rPr>
                    <w:noBreakHyphen/>
                  </w:r>
                  <w:r w:rsidRPr="00911F46">
                    <w:rPr>
                      <w:color w:val="000000"/>
                    </w:rPr>
                    <w:t>0.40</w:t>
                  </w:r>
                </w:p>
              </w:tc>
              <w:tc>
                <w:tcPr>
                  <w:tcW w:w="556" w:type="pct"/>
                  <w:tcBorders>
                    <w:top w:val="nil"/>
                    <w:left w:val="nil"/>
                    <w:bottom w:val="nil"/>
                    <w:right w:val="nil"/>
                  </w:tcBorders>
                  <w:shd w:val="clear" w:color="auto" w:fill="auto"/>
                  <w:vAlign w:val="bottom"/>
                </w:tcPr>
                <w:p w14:paraId="7954CAD4" w14:textId="77777777" w:rsidR="00F05DC7" w:rsidRPr="00911F46" w:rsidRDefault="00F05DC7" w:rsidP="00A3786D">
                  <w:pPr>
                    <w:pStyle w:val="TableBodyText"/>
                  </w:pPr>
                  <w:r w:rsidRPr="00911F46">
                    <w:rPr>
                      <w:color w:val="000000"/>
                    </w:rPr>
                    <w:t>0.48</w:t>
                  </w:r>
                </w:p>
              </w:tc>
              <w:tc>
                <w:tcPr>
                  <w:tcW w:w="555" w:type="pct"/>
                  <w:tcBorders>
                    <w:top w:val="nil"/>
                    <w:left w:val="nil"/>
                    <w:bottom w:val="nil"/>
                    <w:right w:val="nil"/>
                  </w:tcBorders>
                  <w:shd w:val="clear" w:color="auto" w:fill="auto"/>
                  <w:vAlign w:val="bottom"/>
                </w:tcPr>
                <w:p w14:paraId="7954CAD5" w14:textId="77777777" w:rsidR="00F05DC7" w:rsidRPr="00911F46" w:rsidRDefault="00F05DC7" w:rsidP="00A3786D">
                  <w:pPr>
                    <w:pStyle w:val="TableBodyText"/>
                  </w:pPr>
                  <w:r>
                    <w:rPr>
                      <w:color w:val="000000"/>
                    </w:rPr>
                    <w:noBreakHyphen/>
                  </w:r>
                  <w:r w:rsidRPr="00911F46">
                    <w:rPr>
                      <w:color w:val="000000"/>
                    </w:rPr>
                    <w:t>0.41</w:t>
                  </w:r>
                </w:p>
              </w:tc>
              <w:tc>
                <w:tcPr>
                  <w:tcW w:w="555" w:type="pct"/>
                  <w:tcBorders>
                    <w:top w:val="nil"/>
                    <w:left w:val="nil"/>
                    <w:bottom w:val="nil"/>
                    <w:right w:val="nil"/>
                  </w:tcBorders>
                  <w:shd w:val="clear" w:color="auto" w:fill="auto"/>
                  <w:vAlign w:val="bottom"/>
                </w:tcPr>
                <w:p w14:paraId="7954CAD6" w14:textId="77777777" w:rsidR="00F05DC7" w:rsidRPr="00911F46" w:rsidRDefault="00F05DC7" w:rsidP="00A3786D">
                  <w:pPr>
                    <w:pStyle w:val="TableBodyText"/>
                  </w:pPr>
                  <w:r>
                    <w:rPr>
                      <w:color w:val="000000"/>
                    </w:rPr>
                    <w:noBreakHyphen/>
                  </w:r>
                  <w:r w:rsidRPr="00911F46">
                    <w:rPr>
                      <w:color w:val="000000"/>
                    </w:rPr>
                    <w:t>0.40</w:t>
                  </w:r>
                </w:p>
              </w:tc>
              <w:tc>
                <w:tcPr>
                  <w:tcW w:w="555" w:type="pct"/>
                  <w:tcBorders>
                    <w:top w:val="nil"/>
                    <w:left w:val="nil"/>
                    <w:bottom w:val="nil"/>
                    <w:right w:val="nil"/>
                  </w:tcBorders>
                  <w:shd w:val="clear" w:color="auto" w:fill="auto"/>
                  <w:vAlign w:val="bottom"/>
                </w:tcPr>
                <w:p w14:paraId="7954CAD7" w14:textId="77777777" w:rsidR="00F05DC7" w:rsidRPr="00911F46" w:rsidRDefault="00F05DC7" w:rsidP="00A3786D">
                  <w:pPr>
                    <w:pStyle w:val="TableBodyText"/>
                  </w:pPr>
                  <w:r>
                    <w:rPr>
                      <w:color w:val="000000"/>
                    </w:rPr>
                    <w:noBreakHyphen/>
                  </w:r>
                  <w:r w:rsidRPr="00911F46">
                    <w:rPr>
                      <w:color w:val="000000"/>
                    </w:rPr>
                    <w:t>0.34</w:t>
                  </w:r>
                </w:p>
              </w:tc>
              <w:tc>
                <w:tcPr>
                  <w:tcW w:w="553" w:type="pct"/>
                  <w:tcBorders>
                    <w:top w:val="nil"/>
                    <w:left w:val="nil"/>
                    <w:bottom w:val="nil"/>
                    <w:right w:val="nil"/>
                  </w:tcBorders>
                  <w:shd w:val="clear" w:color="auto" w:fill="auto"/>
                  <w:vAlign w:val="bottom"/>
                </w:tcPr>
                <w:p w14:paraId="7954CAD8" w14:textId="77777777" w:rsidR="00F05DC7" w:rsidRPr="00911F46" w:rsidRDefault="00F05DC7" w:rsidP="00A3786D">
                  <w:pPr>
                    <w:pStyle w:val="TableBodyText"/>
                  </w:pPr>
                  <w:r>
                    <w:rPr>
                      <w:color w:val="000000"/>
                    </w:rPr>
                    <w:noBreakHyphen/>
                  </w:r>
                  <w:r w:rsidRPr="00911F46">
                    <w:rPr>
                      <w:color w:val="000000"/>
                    </w:rPr>
                    <w:t>0.19</w:t>
                  </w:r>
                </w:p>
              </w:tc>
            </w:tr>
            <w:tr w:rsidR="00F05DC7" w:rsidRPr="00A75ED1" w14:paraId="7954CAE3" w14:textId="77777777" w:rsidTr="00A3786D">
              <w:tc>
                <w:tcPr>
                  <w:tcW w:w="556" w:type="pct"/>
                  <w:shd w:val="clear" w:color="auto" w:fill="auto"/>
                </w:tcPr>
                <w:p w14:paraId="7954CADA" w14:textId="77777777" w:rsidR="00F05DC7" w:rsidRPr="00911F46" w:rsidRDefault="00F05DC7" w:rsidP="00A3786D">
                  <w:pPr>
                    <w:pStyle w:val="TableBodyText"/>
                  </w:pPr>
                  <w:r w:rsidRPr="00911F46">
                    <w:t>2023</w:t>
                  </w:r>
                  <w:r>
                    <w:noBreakHyphen/>
                  </w:r>
                  <w:r w:rsidRPr="00911F46">
                    <w:t>24</w:t>
                  </w:r>
                </w:p>
              </w:tc>
              <w:tc>
                <w:tcPr>
                  <w:tcW w:w="557" w:type="pct"/>
                  <w:tcBorders>
                    <w:top w:val="nil"/>
                    <w:left w:val="nil"/>
                    <w:bottom w:val="nil"/>
                    <w:right w:val="nil"/>
                  </w:tcBorders>
                  <w:shd w:val="clear" w:color="auto" w:fill="auto"/>
                  <w:vAlign w:val="bottom"/>
                </w:tcPr>
                <w:p w14:paraId="7954CADB" w14:textId="77777777" w:rsidR="00F05DC7" w:rsidRPr="00911F46" w:rsidRDefault="00F05DC7" w:rsidP="00A3786D">
                  <w:pPr>
                    <w:pStyle w:val="TableBodyText"/>
                  </w:pPr>
                  <w:r w:rsidRPr="00911F46">
                    <w:rPr>
                      <w:color w:val="000000"/>
                    </w:rPr>
                    <w:t>0.33</w:t>
                  </w:r>
                </w:p>
              </w:tc>
              <w:tc>
                <w:tcPr>
                  <w:tcW w:w="557" w:type="pct"/>
                  <w:tcBorders>
                    <w:top w:val="nil"/>
                    <w:left w:val="nil"/>
                    <w:bottom w:val="nil"/>
                    <w:right w:val="nil"/>
                  </w:tcBorders>
                  <w:shd w:val="clear" w:color="auto" w:fill="auto"/>
                  <w:vAlign w:val="bottom"/>
                </w:tcPr>
                <w:p w14:paraId="7954CADC" w14:textId="77777777" w:rsidR="00F05DC7" w:rsidRPr="00911F46" w:rsidRDefault="00F05DC7" w:rsidP="00A3786D">
                  <w:pPr>
                    <w:pStyle w:val="TableBodyText"/>
                  </w:pPr>
                  <w:r>
                    <w:rPr>
                      <w:color w:val="000000"/>
                    </w:rPr>
                    <w:noBreakHyphen/>
                  </w:r>
                  <w:r w:rsidRPr="00911F46">
                    <w:rPr>
                      <w:color w:val="000000"/>
                    </w:rPr>
                    <w:t>0.04</w:t>
                  </w:r>
                </w:p>
              </w:tc>
              <w:tc>
                <w:tcPr>
                  <w:tcW w:w="556" w:type="pct"/>
                  <w:tcBorders>
                    <w:top w:val="nil"/>
                    <w:left w:val="nil"/>
                    <w:bottom w:val="nil"/>
                    <w:right w:val="nil"/>
                  </w:tcBorders>
                  <w:shd w:val="clear" w:color="auto" w:fill="auto"/>
                  <w:vAlign w:val="bottom"/>
                </w:tcPr>
                <w:p w14:paraId="7954CADD" w14:textId="77777777" w:rsidR="00F05DC7" w:rsidRPr="00911F46" w:rsidRDefault="00F05DC7" w:rsidP="00A3786D">
                  <w:pPr>
                    <w:pStyle w:val="TableBodyText"/>
                  </w:pPr>
                  <w:r>
                    <w:rPr>
                      <w:color w:val="000000"/>
                    </w:rPr>
                    <w:noBreakHyphen/>
                  </w:r>
                  <w:r w:rsidRPr="00911F46">
                    <w:rPr>
                      <w:color w:val="000000"/>
                    </w:rPr>
                    <w:t>0.36</w:t>
                  </w:r>
                </w:p>
              </w:tc>
              <w:tc>
                <w:tcPr>
                  <w:tcW w:w="556" w:type="pct"/>
                  <w:tcBorders>
                    <w:top w:val="nil"/>
                    <w:left w:val="nil"/>
                    <w:bottom w:val="nil"/>
                    <w:right w:val="nil"/>
                  </w:tcBorders>
                  <w:shd w:val="clear" w:color="auto" w:fill="auto"/>
                  <w:vAlign w:val="bottom"/>
                </w:tcPr>
                <w:p w14:paraId="7954CADE" w14:textId="77777777" w:rsidR="00F05DC7" w:rsidRPr="00911F46" w:rsidRDefault="00F05DC7" w:rsidP="00A3786D">
                  <w:pPr>
                    <w:pStyle w:val="TableBodyText"/>
                  </w:pPr>
                  <w:r w:rsidRPr="00911F46">
                    <w:rPr>
                      <w:color w:val="000000"/>
                    </w:rPr>
                    <w:t>0.24</w:t>
                  </w:r>
                </w:p>
              </w:tc>
              <w:tc>
                <w:tcPr>
                  <w:tcW w:w="555" w:type="pct"/>
                  <w:tcBorders>
                    <w:top w:val="nil"/>
                    <w:left w:val="nil"/>
                    <w:bottom w:val="nil"/>
                    <w:right w:val="nil"/>
                  </w:tcBorders>
                  <w:shd w:val="clear" w:color="auto" w:fill="auto"/>
                  <w:vAlign w:val="bottom"/>
                </w:tcPr>
                <w:p w14:paraId="7954CADF" w14:textId="77777777" w:rsidR="00F05DC7" w:rsidRPr="00911F46" w:rsidRDefault="00F05DC7" w:rsidP="00A3786D">
                  <w:pPr>
                    <w:pStyle w:val="TableBodyText"/>
                  </w:pPr>
                  <w:r>
                    <w:rPr>
                      <w:color w:val="000000"/>
                    </w:rPr>
                    <w:noBreakHyphen/>
                  </w:r>
                  <w:r w:rsidRPr="00911F46">
                    <w:rPr>
                      <w:color w:val="000000"/>
                    </w:rPr>
                    <w:t>0.36</w:t>
                  </w:r>
                </w:p>
              </w:tc>
              <w:tc>
                <w:tcPr>
                  <w:tcW w:w="555" w:type="pct"/>
                  <w:tcBorders>
                    <w:top w:val="nil"/>
                    <w:left w:val="nil"/>
                    <w:bottom w:val="nil"/>
                    <w:right w:val="nil"/>
                  </w:tcBorders>
                  <w:shd w:val="clear" w:color="auto" w:fill="auto"/>
                  <w:vAlign w:val="bottom"/>
                </w:tcPr>
                <w:p w14:paraId="7954CAE0" w14:textId="77777777" w:rsidR="00F05DC7" w:rsidRPr="00911F46" w:rsidRDefault="00F05DC7" w:rsidP="00A3786D">
                  <w:pPr>
                    <w:pStyle w:val="TableBodyText"/>
                  </w:pPr>
                  <w:r>
                    <w:rPr>
                      <w:color w:val="000000"/>
                    </w:rPr>
                    <w:noBreakHyphen/>
                  </w:r>
                  <w:r w:rsidRPr="00911F46">
                    <w:rPr>
                      <w:color w:val="000000"/>
                    </w:rPr>
                    <w:t>0.35</w:t>
                  </w:r>
                </w:p>
              </w:tc>
              <w:tc>
                <w:tcPr>
                  <w:tcW w:w="555" w:type="pct"/>
                  <w:tcBorders>
                    <w:top w:val="nil"/>
                    <w:left w:val="nil"/>
                    <w:bottom w:val="nil"/>
                    <w:right w:val="nil"/>
                  </w:tcBorders>
                  <w:shd w:val="clear" w:color="auto" w:fill="auto"/>
                  <w:vAlign w:val="bottom"/>
                </w:tcPr>
                <w:p w14:paraId="7954CAE1" w14:textId="77777777" w:rsidR="00F05DC7" w:rsidRPr="00911F46" w:rsidRDefault="00F05DC7" w:rsidP="00A3786D">
                  <w:pPr>
                    <w:pStyle w:val="TableBodyText"/>
                  </w:pPr>
                  <w:r>
                    <w:rPr>
                      <w:color w:val="000000"/>
                    </w:rPr>
                    <w:noBreakHyphen/>
                  </w:r>
                  <w:r w:rsidRPr="00911F46">
                    <w:rPr>
                      <w:color w:val="000000"/>
                    </w:rPr>
                    <w:t>0.30</w:t>
                  </w:r>
                </w:p>
              </w:tc>
              <w:tc>
                <w:tcPr>
                  <w:tcW w:w="553" w:type="pct"/>
                  <w:tcBorders>
                    <w:top w:val="nil"/>
                    <w:left w:val="nil"/>
                    <w:bottom w:val="nil"/>
                    <w:right w:val="nil"/>
                  </w:tcBorders>
                  <w:shd w:val="clear" w:color="auto" w:fill="auto"/>
                  <w:vAlign w:val="bottom"/>
                </w:tcPr>
                <w:p w14:paraId="7954CAE2" w14:textId="77777777" w:rsidR="00F05DC7" w:rsidRPr="00911F46" w:rsidRDefault="00F05DC7" w:rsidP="00A3786D">
                  <w:pPr>
                    <w:pStyle w:val="TableBodyText"/>
                  </w:pPr>
                  <w:r>
                    <w:rPr>
                      <w:color w:val="000000"/>
                    </w:rPr>
                    <w:noBreakHyphen/>
                  </w:r>
                  <w:r w:rsidRPr="00911F46">
                    <w:rPr>
                      <w:color w:val="000000"/>
                    </w:rPr>
                    <w:t>0.16</w:t>
                  </w:r>
                </w:p>
              </w:tc>
            </w:tr>
            <w:tr w:rsidR="00F05DC7" w:rsidRPr="00A75ED1" w14:paraId="7954CAED" w14:textId="77777777" w:rsidTr="00A3786D">
              <w:tc>
                <w:tcPr>
                  <w:tcW w:w="556" w:type="pct"/>
                  <w:shd w:val="clear" w:color="auto" w:fill="auto"/>
                </w:tcPr>
                <w:p w14:paraId="7954CAE4" w14:textId="77777777" w:rsidR="00F05DC7" w:rsidRPr="00911F46" w:rsidRDefault="00F05DC7" w:rsidP="00A3786D">
                  <w:pPr>
                    <w:pStyle w:val="TableBodyText"/>
                  </w:pPr>
                  <w:r w:rsidRPr="00911F46">
                    <w:t>2024</w:t>
                  </w:r>
                  <w:r>
                    <w:noBreakHyphen/>
                  </w:r>
                  <w:r w:rsidRPr="00911F46">
                    <w:t>25</w:t>
                  </w:r>
                </w:p>
              </w:tc>
              <w:tc>
                <w:tcPr>
                  <w:tcW w:w="557" w:type="pct"/>
                  <w:tcBorders>
                    <w:top w:val="nil"/>
                    <w:left w:val="nil"/>
                    <w:bottom w:val="nil"/>
                    <w:right w:val="nil"/>
                  </w:tcBorders>
                  <w:shd w:val="clear" w:color="auto" w:fill="auto"/>
                  <w:vAlign w:val="bottom"/>
                </w:tcPr>
                <w:p w14:paraId="7954CAE5" w14:textId="77777777" w:rsidR="00F05DC7" w:rsidRPr="00911F46" w:rsidRDefault="00F05DC7" w:rsidP="00A3786D">
                  <w:pPr>
                    <w:pStyle w:val="TableBodyText"/>
                  </w:pPr>
                  <w:r w:rsidRPr="00911F46">
                    <w:rPr>
                      <w:color w:val="000000"/>
                    </w:rPr>
                    <w:t>0.29</w:t>
                  </w:r>
                </w:p>
              </w:tc>
              <w:tc>
                <w:tcPr>
                  <w:tcW w:w="557" w:type="pct"/>
                  <w:tcBorders>
                    <w:top w:val="nil"/>
                    <w:left w:val="nil"/>
                    <w:bottom w:val="nil"/>
                    <w:right w:val="nil"/>
                  </w:tcBorders>
                  <w:shd w:val="clear" w:color="auto" w:fill="auto"/>
                  <w:vAlign w:val="bottom"/>
                </w:tcPr>
                <w:p w14:paraId="7954CAE6" w14:textId="77777777" w:rsidR="00F05DC7" w:rsidRPr="00911F46" w:rsidRDefault="00F05DC7" w:rsidP="00A3786D">
                  <w:pPr>
                    <w:pStyle w:val="TableBodyText"/>
                  </w:pPr>
                  <w:r w:rsidRPr="00911F46">
                    <w:rPr>
                      <w:color w:val="000000"/>
                    </w:rPr>
                    <w:t>0.02</w:t>
                  </w:r>
                </w:p>
              </w:tc>
              <w:tc>
                <w:tcPr>
                  <w:tcW w:w="556" w:type="pct"/>
                  <w:tcBorders>
                    <w:top w:val="nil"/>
                    <w:left w:val="nil"/>
                    <w:bottom w:val="nil"/>
                    <w:right w:val="nil"/>
                  </w:tcBorders>
                  <w:shd w:val="clear" w:color="auto" w:fill="auto"/>
                  <w:vAlign w:val="bottom"/>
                </w:tcPr>
                <w:p w14:paraId="7954CAE7" w14:textId="77777777" w:rsidR="00F05DC7" w:rsidRPr="00911F46" w:rsidRDefault="00F05DC7" w:rsidP="00A3786D">
                  <w:pPr>
                    <w:pStyle w:val="TableBodyText"/>
                  </w:pPr>
                  <w:r>
                    <w:rPr>
                      <w:color w:val="000000"/>
                    </w:rPr>
                    <w:noBreakHyphen/>
                  </w:r>
                  <w:r w:rsidRPr="00911F46">
                    <w:rPr>
                      <w:color w:val="000000"/>
                    </w:rPr>
                    <w:t>0.37</w:t>
                  </w:r>
                </w:p>
              </w:tc>
              <w:tc>
                <w:tcPr>
                  <w:tcW w:w="556" w:type="pct"/>
                  <w:tcBorders>
                    <w:top w:val="nil"/>
                    <w:left w:val="nil"/>
                    <w:bottom w:val="nil"/>
                    <w:right w:val="nil"/>
                  </w:tcBorders>
                  <w:shd w:val="clear" w:color="auto" w:fill="auto"/>
                  <w:vAlign w:val="bottom"/>
                </w:tcPr>
                <w:p w14:paraId="7954CAE8" w14:textId="77777777" w:rsidR="00F05DC7" w:rsidRPr="00911F46" w:rsidRDefault="00F05DC7" w:rsidP="00A3786D">
                  <w:pPr>
                    <w:pStyle w:val="TableBodyText"/>
                  </w:pPr>
                  <w:r w:rsidRPr="00911F46">
                    <w:rPr>
                      <w:color w:val="000000"/>
                    </w:rPr>
                    <w:t>0.25</w:t>
                  </w:r>
                </w:p>
              </w:tc>
              <w:tc>
                <w:tcPr>
                  <w:tcW w:w="555" w:type="pct"/>
                  <w:tcBorders>
                    <w:top w:val="nil"/>
                    <w:left w:val="nil"/>
                    <w:bottom w:val="nil"/>
                    <w:right w:val="nil"/>
                  </w:tcBorders>
                  <w:shd w:val="clear" w:color="auto" w:fill="auto"/>
                  <w:vAlign w:val="bottom"/>
                </w:tcPr>
                <w:p w14:paraId="7954CAE9" w14:textId="77777777" w:rsidR="00F05DC7" w:rsidRPr="00911F46" w:rsidRDefault="00F05DC7" w:rsidP="00A3786D">
                  <w:pPr>
                    <w:pStyle w:val="TableBodyText"/>
                  </w:pPr>
                  <w:r>
                    <w:rPr>
                      <w:color w:val="000000"/>
                    </w:rPr>
                    <w:noBreakHyphen/>
                  </w:r>
                  <w:r w:rsidRPr="00911F46">
                    <w:rPr>
                      <w:color w:val="000000"/>
                    </w:rPr>
                    <w:t>0.37</w:t>
                  </w:r>
                </w:p>
              </w:tc>
              <w:tc>
                <w:tcPr>
                  <w:tcW w:w="555" w:type="pct"/>
                  <w:tcBorders>
                    <w:top w:val="nil"/>
                    <w:left w:val="nil"/>
                    <w:bottom w:val="nil"/>
                    <w:right w:val="nil"/>
                  </w:tcBorders>
                  <w:shd w:val="clear" w:color="auto" w:fill="auto"/>
                  <w:vAlign w:val="bottom"/>
                </w:tcPr>
                <w:p w14:paraId="7954CAEA" w14:textId="77777777" w:rsidR="00F05DC7" w:rsidRPr="00911F46" w:rsidRDefault="00F05DC7" w:rsidP="00A3786D">
                  <w:pPr>
                    <w:pStyle w:val="TableBodyText"/>
                  </w:pPr>
                  <w:r>
                    <w:rPr>
                      <w:color w:val="000000"/>
                    </w:rPr>
                    <w:noBreakHyphen/>
                  </w:r>
                  <w:r w:rsidRPr="00911F46">
                    <w:rPr>
                      <w:color w:val="000000"/>
                    </w:rPr>
                    <w:t>0.36</w:t>
                  </w:r>
                </w:p>
              </w:tc>
              <w:tc>
                <w:tcPr>
                  <w:tcW w:w="555" w:type="pct"/>
                  <w:tcBorders>
                    <w:top w:val="nil"/>
                    <w:left w:val="nil"/>
                    <w:bottom w:val="nil"/>
                    <w:right w:val="nil"/>
                  </w:tcBorders>
                  <w:shd w:val="clear" w:color="auto" w:fill="auto"/>
                  <w:vAlign w:val="bottom"/>
                </w:tcPr>
                <w:p w14:paraId="7954CAEB" w14:textId="77777777" w:rsidR="00F05DC7" w:rsidRPr="00911F46" w:rsidRDefault="00F05DC7" w:rsidP="00A3786D">
                  <w:pPr>
                    <w:pStyle w:val="TableBodyText"/>
                  </w:pPr>
                  <w:r>
                    <w:rPr>
                      <w:color w:val="000000"/>
                    </w:rPr>
                    <w:noBreakHyphen/>
                  </w:r>
                  <w:r w:rsidRPr="00911F46">
                    <w:rPr>
                      <w:color w:val="000000"/>
                    </w:rPr>
                    <w:t>0.31</w:t>
                  </w:r>
                </w:p>
              </w:tc>
              <w:tc>
                <w:tcPr>
                  <w:tcW w:w="553" w:type="pct"/>
                  <w:tcBorders>
                    <w:top w:val="nil"/>
                    <w:left w:val="nil"/>
                    <w:bottom w:val="nil"/>
                    <w:right w:val="nil"/>
                  </w:tcBorders>
                  <w:shd w:val="clear" w:color="auto" w:fill="auto"/>
                  <w:vAlign w:val="bottom"/>
                </w:tcPr>
                <w:p w14:paraId="7954CAEC" w14:textId="77777777" w:rsidR="00F05DC7" w:rsidRPr="00911F46" w:rsidRDefault="00F05DC7" w:rsidP="00A3786D">
                  <w:pPr>
                    <w:pStyle w:val="TableBodyText"/>
                  </w:pPr>
                  <w:r>
                    <w:rPr>
                      <w:color w:val="000000"/>
                    </w:rPr>
                    <w:noBreakHyphen/>
                  </w:r>
                  <w:r w:rsidRPr="00911F46">
                    <w:rPr>
                      <w:color w:val="000000"/>
                    </w:rPr>
                    <w:t>0.16</w:t>
                  </w:r>
                </w:p>
              </w:tc>
            </w:tr>
            <w:tr w:rsidR="00F05DC7" w:rsidRPr="00A75ED1" w14:paraId="7954CAF7" w14:textId="77777777" w:rsidTr="00A3786D">
              <w:tc>
                <w:tcPr>
                  <w:tcW w:w="556" w:type="pct"/>
                  <w:shd w:val="clear" w:color="auto" w:fill="auto"/>
                </w:tcPr>
                <w:p w14:paraId="7954CAEE" w14:textId="77777777" w:rsidR="00F05DC7" w:rsidRPr="00911F46" w:rsidRDefault="00F05DC7" w:rsidP="00A3786D">
                  <w:pPr>
                    <w:pStyle w:val="TableBodyText"/>
                  </w:pPr>
                  <w:r w:rsidRPr="00911F46">
                    <w:t>2025</w:t>
                  </w:r>
                  <w:r>
                    <w:noBreakHyphen/>
                  </w:r>
                  <w:r w:rsidRPr="00911F46">
                    <w:t>26</w:t>
                  </w:r>
                </w:p>
              </w:tc>
              <w:tc>
                <w:tcPr>
                  <w:tcW w:w="557" w:type="pct"/>
                  <w:tcBorders>
                    <w:top w:val="nil"/>
                    <w:left w:val="nil"/>
                    <w:bottom w:val="nil"/>
                    <w:right w:val="nil"/>
                  </w:tcBorders>
                  <w:shd w:val="clear" w:color="auto" w:fill="auto"/>
                  <w:vAlign w:val="bottom"/>
                </w:tcPr>
                <w:p w14:paraId="7954CAEF" w14:textId="77777777" w:rsidR="00F05DC7" w:rsidRPr="00911F46" w:rsidRDefault="00F05DC7" w:rsidP="00A3786D">
                  <w:pPr>
                    <w:pStyle w:val="TableBodyText"/>
                  </w:pPr>
                  <w:r w:rsidRPr="00911F46">
                    <w:rPr>
                      <w:color w:val="000000"/>
                    </w:rPr>
                    <w:t>0.29</w:t>
                  </w:r>
                </w:p>
              </w:tc>
              <w:tc>
                <w:tcPr>
                  <w:tcW w:w="557" w:type="pct"/>
                  <w:tcBorders>
                    <w:top w:val="nil"/>
                    <w:left w:val="nil"/>
                    <w:bottom w:val="nil"/>
                    <w:right w:val="nil"/>
                  </w:tcBorders>
                  <w:shd w:val="clear" w:color="auto" w:fill="auto"/>
                  <w:vAlign w:val="bottom"/>
                </w:tcPr>
                <w:p w14:paraId="7954CAF0" w14:textId="77777777" w:rsidR="00F05DC7" w:rsidRPr="00911F46" w:rsidRDefault="00F05DC7" w:rsidP="00A3786D">
                  <w:pPr>
                    <w:pStyle w:val="TableBodyText"/>
                  </w:pPr>
                  <w:r w:rsidRPr="00911F46">
                    <w:rPr>
                      <w:color w:val="000000"/>
                    </w:rPr>
                    <w:t>0.10</w:t>
                  </w:r>
                </w:p>
              </w:tc>
              <w:tc>
                <w:tcPr>
                  <w:tcW w:w="556" w:type="pct"/>
                  <w:tcBorders>
                    <w:top w:val="nil"/>
                    <w:left w:val="nil"/>
                    <w:bottom w:val="nil"/>
                    <w:right w:val="nil"/>
                  </w:tcBorders>
                  <w:shd w:val="clear" w:color="auto" w:fill="auto"/>
                  <w:vAlign w:val="bottom"/>
                </w:tcPr>
                <w:p w14:paraId="7954CAF1" w14:textId="77777777" w:rsidR="00F05DC7" w:rsidRPr="00911F46" w:rsidRDefault="00F05DC7" w:rsidP="00A3786D">
                  <w:pPr>
                    <w:pStyle w:val="TableBodyText"/>
                  </w:pPr>
                  <w:r>
                    <w:rPr>
                      <w:color w:val="000000"/>
                    </w:rPr>
                    <w:noBreakHyphen/>
                  </w:r>
                  <w:r w:rsidRPr="00911F46">
                    <w:rPr>
                      <w:color w:val="000000"/>
                    </w:rPr>
                    <w:t>0.40</w:t>
                  </w:r>
                </w:p>
              </w:tc>
              <w:tc>
                <w:tcPr>
                  <w:tcW w:w="556" w:type="pct"/>
                  <w:tcBorders>
                    <w:top w:val="nil"/>
                    <w:left w:val="nil"/>
                    <w:bottom w:val="nil"/>
                    <w:right w:val="nil"/>
                  </w:tcBorders>
                  <w:shd w:val="clear" w:color="auto" w:fill="auto"/>
                  <w:vAlign w:val="bottom"/>
                </w:tcPr>
                <w:p w14:paraId="7954CAF2" w14:textId="77777777" w:rsidR="00F05DC7" w:rsidRPr="00911F46" w:rsidRDefault="00F05DC7" w:rsidP="00A3786D">
                  <w:pPr>
                    <w:pStyle w:val="TableBodyText"/>
                  </w:pPr>
                  <w:r w:rsidRPr="00911F46">
                    <w:rPr>
                      <w:color w:val="000000"/>
                    </w:rPr>
                    <w:t>0.12</w:t>
                  </w:r>
                </w:p>
              </w:tc>
              <w:tc>
                <w:tcPr>
                  <w:tcW w:w="555" w:type="pct"/>
                  <w:tcBorders>
                    <w:top w:val="nil"/>
                    <w:left w:val="nil"/>
                    <w:bottom w:val="nil"/>
                    <w:right w:val="nil"/>
                  </w:tcBorders>
                  <w:shd w:val="clear" w:color="auto" w:fill="auto"/>
                  <w:vAlign w:val="bottom"/>
                </w:tcPr>
                <w:p w14:paraId="7954CAF3" w14:textId="77777777" w:rsidR="00F05DC7" w:rsidRPr="00911F46" w:rsidRDefault="00F05DC7" w:rsidP="00A3786D">
                  <w:pPr>
                    <w:pStyle w:val="TableBodyText"/>
                  </w:pPr>
                  <w:r>
                    <w:rPr>
                      <w:color w:val="000000"/>
                    </w:rPr>
                    <w:noBreakHyphen/>
                  </w:r>
                  <w:r w:rsidRPr="00911F46">
                    <w:rPr>
                      <w:color w:val="000000"/>
                    </w:rPr>
                    <w:t>0.39</w:t>
                  </w:r>
                </w:p>
              </w:tc>
              <w:tc>
                <w:tcPr>
                  <w:tcW w:w="555" w:type="pct"/>
                  <w:tcBorders>
                    <w:top w:val="nil"/>
                    <w:left w:val="nil"/>
                    <w:bottom w:val="nil"/>
                    <w:right w:val="nil"/>
                  </w:tcBorders>
                  <w:shd w:val="clear" w:color="auto" w:fill="auto"/>
                  <w:vAlign w:val="bottom"/>
                </w:tcPr>
                <w:p w14:paraId="7954CAF4" w14:textId="77777777" w:rsidR="00F05DC7" w:rsidRPr="00911F46" w:rsidRDefault="00F05DC7" w:rsidP="00A3786D">
                  <w:pPr>
                    <w:pStyle w:val="TableBodyText"/>
                  </w:pPr>
                  <w:r>
                    <w:rPr>
                      <w:color w:val="000000"/>
                    </w:rPr>
                    <w:noBreakHyphen/>
                  </w:r>
                  <w:r w:rsidRPr="00911F46">
                    <w:rPr>
                      <w:color w:val="000000"/>
                    </w:rPr>
                    <w:t>0.37</w:t>
                  </w:r>
                </w:p>
              </w:tc>
              <w:tc>
                <w:tcPr>
                  <w:tcW w:w="555" w:type="pct"/>
                  <w:tcBorders>
                    <w:top w:val="nil"/>
                    <w:left w:val="nil"/>
                    <w:bottom w:val="nil"/>
                    <w:right w:val="nil"/>
                  </w:tcBorders>
                  <w:shd w:val="clear" w:color="auto" w:fill="auto"/>
                  <w:vAlign w:val="bottom"/>
                </w:tcPr>
                <w:p w14:paraId="7954CAF5" w14:textId="77777777" w:rsidR="00F05DC7" w:rsidRPr="00911F46" w:rsidRDefault="00F05DC7" w:rsidP="00A3786D">
                  <w:pPr>
                    <w:pStyle w:val="TableBodyText"/>
                  </w:pPr>
                  <w:r>
                    <w:rPr>
                      <w:color w:val="000000"/>
                    </w:rPr>
                    <w:noBreakHyphen/>
                  </w:r>
                  <w:r w:rsidRPr="00911F46">
                    <w:rPr>
                      <w:color w:val="000000"/>
                    </w:rPr>
                    <w:t>0.32</w:t>
                  </w:r>
                </w:p>
              </w:tc>
              <w:tc>
                <w:tcPr>
                  <w:tcW w:w="553" w:type="pct"/>
                  <w:tcBorders>
                    <w:top w:val="nil"/>
                    <w:left w:val="nil"/>
                    <w:bottom w:val="nil"/>
                    <w:right w:val="nil"/>
                  </w:tcBorders>
                  <w:shd w:val="clear" w:color="auto" w:fill="auto"/>
                  <w:vAlign w:val="bottom"/>
                </w:tcPr>
                <w:p w14:paraId="7954CAF6" w14:textId="77777777" w:rsidR="00F05DC7" w:rsidRPr="00911F46" w:rsidRDefault="00F05DC7" w:rsidP="00A3786D">
                  <w:pPr>
                    <w:pStyle w:val="TableBodyText"/>
                  </w:pPr>
                  <w:r>
                    <w:rPr>
                      <w:color w:val="000000"/>
                    </w:rPr>
                    <w:noBreakHyphen/>
                  </w:r>
                  <w:r w:rsidRPr="00911F46">
                    <w:rPr>
                      <w:color w:val="000000"/>
                    </w:rPr>
                    <w:t>0.17</w:t>
                  </w:r>
                </w:p>
              </w:tc>
            </w:tr>
            <w:tr w:rsidR="00F05DC7" w:rsidRPr="00A75ED1" w14:paraId="7954CB01" w14:textId="77777777" w:rsidTr="00A3786D">
              <w:tc>
                <w:tcPr>
                  <w:tcW w:w="556" w:type="pct"/>
                  <w:shd w:val="clear" w:color="auto" w:fill="auto"/>
                </w:tcPr>
                <w:p w14:paraId="7954CAF8" w14:textId="77777777" w:rsidR="00F05DC7" w:rsidRPr="00911F46" w:rsidRDefault="00F05DC7" w:rsidP="00A3786D">
                  <w:pPr>
                    <w:pStyle w:val="TableBodyText"/>
                  </w:pPr>
                  <w:r w:rsidRPr="00911F46">
                    <w:t>2026</w:t>
                  </w:r>
                  <w:r>
                    <w:noBreakHyphen/>
                  </w:r>
                  <w:r w:rsidRPr="00911F46">
                    <w:t>27</w:t>
                  </w:r>
                </w:p>
              </w:tc>
              <w:tc>
                <w:tcPr>
                  <w:tcW w:w="557" w:type="pct"/>
                  <w:tcBorders>
                    <w:top w:val="nil"/>
                    <w:left w:val="nil"/>
                    <w:bottom w:val="nil"/>
                    <w:right w:val="nil"/>
                  </w:tcBorders>
                  <w:shd w:val="clear" w:color="auto" w:fill="auto"/>
                  <w:vAlign w:val="bottom"/>
                </w:tcPr>
                <w:p w14:paraId="7954CAF9" w14:textId="77777777" w:rsidR="00F05DC7" w:rsidRPr="00911F46" w:rsidRDefault="00F05DC7" w:rsidP="00A3786D">
                  <w:pPr>
                    <w:pStyle w:val="TableBodyText"/>
                  </w:pPr>
                  <w:r w:rsidRPr="00911F46">
                    <w:rPr>
                      <w:color w:val="000000"/>
                    </w:rPr>
                    <w:t>0.22</w:t>
                  </w:r>
                </w:p>
              </w:tc>
              <w:tc>
                <w:tcPr>
                  <w:tcW w:w="557" w:type="pct"/>
                  <w:tcBorders>
                    <w:top w:val="nil"/>
                    <w:left w:val="nil"/>
                    <w:bottom w:val="nil"/>
                    <w:right w:val="nil"/>
                  </w:tcBorders>
                  <w:shd w:val="clear" w:color="auto" w:fill="auto"/>
                  <w:vAlign w:val="bottom"/>
                </w:tcPr>
                <w:p w14:paraId="7954CAFA" w14:textId="77777777" w:rsidR="00F05DC7" w:rsidRPr="00911F46" w:rsidRDefault="00F05DC7" w:rsidP="00A3786D">
                  <w:pPr>
                    <w:pStyle w:val="TableBodyText"/>
                  </w:pPr>
                  <w:r w:rsidRPr="00911F46">
                    <w:rPr>
                      <w:color w:val="000000"/>
                    </w:rPr>
                    <w:t>0.11</w:t>
                  </w:r>
                </w:p>
              </w:tc>
              <w:tc>
                <w:tcPr>
                  <w:tcW w:w="556" w:type="pct"/>
                  <w:tcBorders>
                    <w:top w:val="nil"/>
                    <w:left w:val="nil"/>
                    <w:bottom w:val="nil"/>
                    <w:right w:val="nil"/>
                  </w:tcBorders>
                  <w:shd w:val="clear" w:color="auto" w:fill="auto"/>
                  <w:vAlign w:val="bottom"/>
                </w:tcPr>
                <w:p w14:paraId="7954CAFB" w14:textId="77777777" w:rsidR="00F05DC7" w:rsidRPr="00911F46" w:rsidRDefault="00F05DC7" w:rsidP="00A3786D">
                  <w:pPr>
                    <w:pStyle w:val="TableBodyText"/>
                  </w:pPr>
                  <w:r>
                    <w:rPr>
                      <w:color w:val="000000"/>
                    </w:rPr>
                    <w:noBreakHyphen/>
                  </w:r>
                  <w:r w:rsidRPr="00911F46">
                    <w:rPr>
                      <w:color w:val="000000"/>
                    </w:rPr>
                    <w:t>0.41</w:t>
                  </w:r>
                </w:p>
              </w:tc>
              <w:tc>
                <w:tcPr>
                  <w:tcW w:w="556" w:type="pct"/>
                  <w:tcBorders>
                    <w:top w:val="nil"/>
                    <w:left w:val="nil"/>
                    <w:bottom w:val="nil"/>
                    <w:right w:val="nil"/>
                  </w:tcBorders>
                  <w:shd w:val="clear" w:color="auto" w:fill="auto"/>
                  <w:vAlign w:val="bottom"/>
                </w:tcPr>
                <w:p w14:paraId="7954CAFC" w14:textId="77777777" w:rsidR="00F05DC7" w:rsidRPr="00911F46" w:rsidRDefault="00F05DC7" w:rsidP="00A3786D">
                  <w:pPr>
                    <w:pStyle w:val="TableBodyText"/>
                  </w:pPr>
                  <w:r w:rsidRPr="00911F46">
                    <w:rPr>
                      <w:color w:val="000000"/>
                    </w:rPr>
                    <w:t>0.31</w:t>
                  </w:r>
                </w:p>
              </w:tc>
              <w:tc>
                <w:tcPr>
                  <w:tcW w:w="555" w:type="pct"/>
                  <w:tcBorders>
                    <w:top w:val="nil"/>
                    <w:left w:val="nil"/>
                    <w:bottom w:val="nil"/>
                    <w:right w:val="nil"/>
                  </w:tcBorders>
                  <w:shd w:val="clear" w:color="auto" w:fill="auto"/>
                  <w:vAlign w:val="bottom"/>
                </w:tcPr>
                <w:p w14:paraId="7954CAFD" w14:textId="77777777" w:rsidR="00F05DC7" w:rsidRPr="00911F46" w:rsidRDefault="00F05DC7" w:rsidP="00A3786D">
                  <w:pPr>
                    <w:pStyle w:val="TableBodyText"/>
                  </w:pPr>
                  <w:r>
                    <w:rPr>
                      <w:color w:val="000000"/>
                    </w:rPr>
                    <w:noBreakHyphen/>
                  </w:r>
                  <w:r w:rsidRPr="00911F46">
                    <w:rPr>
                      <w:color w:val="000000"/>
                    </w:rPr>
                    <w:t>0.41</w:t>
                  </w:r>
                </w:p>
              </w:tc>
              <w:tc>
                <w:tcPr>
                  <w:tcW w:w="555" w:type="pct"/>
                  <w:tcBorders>
                    <w:top w:val="nil"/>
                    <w:left w:val="nil"/>
                    <w:bottom w:val="nil"/>
                    <w:right w:val="nil"/>
                  </w:tcBorders>
                  <w:shd w:val="clear" w:color="auto" w:fill="auto"/>
                  <w:vAlign w:val="bottom"/>
                </w:tcPr>
                <w:p w14:paraId="7954CAFE" w14:textId="77777777" w:rsidR="00F05DC7" w:rsidRPr="00911F46" w:rsidRDefault="00F05DC7" w:rsidP="00A3786D">
                  <w:pPr>
                    <w:pStyle w:val="TableBodyText"/>
                  </w:pPr>
                  <w:r>
                    <w:rPr>
                      <w:color w:val="000000"/>
                    </w:rPr>
                    <w:noBreakHyphen/>
                  </w:r>
                  <w:r w:rsidRPr="00911F46">
                    <w:rPr>
                      <w:color w:val="000000"/>
                    </w:rPr>
                    <w:t>0.38</w:t>
                  </w:r>
                </w:p>
              </w:tc>
              <w:tc>
                <w:tcPr>
                  <w:tcW w:w="555" w:type="pct"/>
                  <w:tcBorders>
                    <w:top w:val="nil"/>
                    <w:left w:val="nil"/>
                    <w:bottom w:val="nil"/>
                    <w:right w:val="nil"/>
                  </w:tcBorders>
                  <w:shd w:val="clear" w:color="auto" w:fill="auto"/>
                  <w:vAlign w:val="bottom"/>
                </w:tcPr>
                <w:p w14:paraId="7954CAFF" w14:textId="77777777" w:rsidR="00F05DC7" w:rsidRPr="00911F46" w:rsidRDefault="00F05DC7" w:rsidP="00A3786D">
                  <w:pPr>
                    <w:pStyle w:val="TableBodyText"/>
                  </w:pPr>
                  <w:r>
                    <w:rPr>
                      <w:color w:val="000000"/>
                    </w:rPr>
                    <w:noBreakHyphen/>
                  </w:r>
                  <w:r w:rsidRPr="00911F46">
                    <w:rPr>
                      <w:color w:val="000000"/>
                    </w:rPr>
                    <w:t>0.33</w:t>
                  </w:r>
                </w:p>
              </w:tc>
              <w:tc>
                <w:tcPr>
                  <w:tcW w:w="553" w:type="pct"/>
                  <w:tcBorders>
                    <w:top w:val="nil"/>
                    <w:left w:val="nil"/>
                    <w:bottom w:val="nil"/>
                    <w:right w:val="nil"/>
                  </w:tcBorders>
                  <w:shd w:val="clear" w:color="auto" w:fill="auto"/>
                  <w:vAlign w:val="bottom"/>
                </w:tcPr>
                <w:p w14:paraId="7954CB00" w14:textId="77777777" w:rsidR="00F05DC7" w:rsidRPr="00911F46" w:rsidRDefault="00F05DC7" w:rsidP="00A3786D">
                  <w:pPr>
                    <w:pStyle w:val="TableBodyText"/>
                  </w:pPr>
                  <w:r>
                    <w:rPr>
                      <w:color w:val="000000"/>
                    </w:rPr>
                    <w:noBreakHyphen/>
                  </w:r>
                  <w:r w:rsidRPr="00911F46">
                    <w:rPr>
                      <w:color w:val="000000"/>
                    </w:rPr>
                    <w:t>0.17</w:t>
                  </w:r>
                </w:p>
              </w:tc>
            </w:tr>
          </w:tbl>
          <w:p w14:paraId="7954CB02" w14:textId="77777777" w:rsidR="00F05DC7" w:rsidRPr="006C0046" w:rsidRDefault="00F05DC7" w:rsidP="00A3786D">
            <w:pPr>
              <w:pStyle w:val="Box"/>
              <w:rPr>
                <w:rFonts w:asciiTheme="minorHAnsi" w:hAnsiTheme="minorHAnsi" w:cstheme="minorHAnsi"/>
                <w:sz w:val="18"/>
                <w:szCs w:val="18"/>
              </w:rPr>
            </w:pPr>
          </w:p>
        </w:tc>
      </w:tr>
      <w:tr w:rsidR="00F05DC7" w14:paraId="7954CB05" w14:textId="77777777" w:rsidTr="00A3786D">
        <w:tc>
          <w:tcPr>
            <w:tcW w:w="5000" w:type="pct"/>
            <w:tcBorders>
              <w:top w:val="single" w:sz="6" w:space="0" w:color="D9D9D9" w:themeColor="background1" w:themeShade="D9"/>
              <w:left w:val="nil"/>
              <w:bottom w:val="nil"/>
              <w:right w:val="nil"/>
            </w:tcBorders>
            <w:shd w:val="clear" w:color="auto" w:fill="auto"/>
          </w:tcPr>
          <w:p w14:paraId="7954CB04" w14:textId="77777777" w:rsidR="00F05DC7" w:rsidRDefault="00F05DC7" w:rsidP="00A3786D">
            <w:pPr>
              <w:pStyle w:val="Source"/>
            </w:pPr>
            <w:r w:rsidRPr="00355172">
              <w:rPr>
                <w:i/>
              </w:rPr>
              <w:t>Source</w:t>
            </w:r>
            <w:r w:rsidRPr="00676CAE">
              <w:t>:</w:t>
            </w:r>
            <w:r w:rsidRPr="00355172">
              <w:rPr>
                <w:i/>
              </w:rPr>
              <w:t xml:space="preserve"> </w:t>
            </w:r>
            <w:r w:rsidRPr="00676CAE">
              <w:t>Productivity Commission estimates</w:t>
            </w:r>
            <w:r w:rsidRPr="003763F7">
              <w:rPr>
                <w:i/>
              </w:rPr>
              <w:t>.</w:t>
            </w:r>
            <w:r>
              <w:rPr>
                <w:i/>
              </w:rPr>
              <w:t xml:space="preserve"> </w:t>
            </w:r>
          </w:p>
        </w:tc>
      </w:tr>
      <w:tr w:rsidR="00F05DC7" w14:paraId="7954CB07" w14:textId="77777777" w:rsidTr="00A3786D">
        <w:tc>
          <w:tcPr>
            <w:tcW w:w="5000" w:type="pct"/>
            <w:tcBorders>
              <w:top w:val="nil"/>
              <w:left w:val="nil"/>
              <w:bottom w:val="single" w:sz="6" w:space="0" w:color="78A22F"/>
              <w:right w:val="nil"/>
            </w:tcBorders>
            <w:shd w:val="clear" w:color="auto" w:fill="auto"/>
          </w:tcPr>
          <w:p w14:paraId="7954CB06" w14:textId="77777777" w:rsidR="00F05DC7" w:rsidRDefault="00F05DC7" w:rsidP="00A3786D">
            <w:pPr>
              <w:pStyle w:val="Box"/>
              <w:spacing w:before="0" w:line="120" w:lineRule="exact"/>
            </w:pPr>
          </w:p>
        </w:tc>
      </w:tr>
      <w:tr w:rsidR="00F05DC7" w:rsidRPr="000863A5" w14:paraId="7954CB09" w14:textId="77777777" w:rsidTr="00A3786D">
        <w:tc>
          <w:tcPr>
            <w:tcW w:w="5000" w:type="pct"/>
            <w:tcBorders>
              <w:top w:val="single" w:sz="6" w:space="0" w:color="78A22F"/>
              <w:left w:val="nil"/>
              <w:bottom w:val="nil"/>
              <w:right w:val="nil"/>
            </w:tcBorders>
          </w:tcPr>
          <w:p w14:paraId="7954CB08" w14:textId="77777777" w:rsidR="00F05DC7" w:rsidRPr="00626D32" w:rsidRDefault="00F05DC7" w:rsidP="00A3786D">
            <w:pPr>
              <w:pStyle w:val="BoxSpaceBelow"/>
            </w:pPr>
          </w:p>
        </w:tc>
      </w:tr>
    </w:tbl>
    <w:p w14:paraId="7954CB0A"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B0D" w14:textId="77777777" w:rsidTr="00A3786D">
        <w:trPr>
          <w:tblHeader/>
        </w:trPr>
        <w:tc>
          <w:tcPr>
            <w:tcW w:w="5000" w:type="pct"/>
            <w:tcBorders>
              <w:top w:val="single" w:sz="6" w:space="0" w:color="78A22F"/>
              <w:left w:val="nil"/>
              <w:bottom w:val="nil"/>
              <w:right w:val="nil"/>
            </w:tcBorders>
            <w:shd w:val="clear" w:color="auto" w:fill="auto"/>
          </w:tcPr>
          <w:p w14:paraId="7954CB0B" w14:textId="77777777" w:rsidR="00F05DC7" w:rsidRDefault="00F05DC7" w:rsidP="00A3786D">
            <w:pPr>
              <w:pStyle w:val="FigureTitle"/>
            </w:pPr>
            <w:r w:rsidRPr="00784A05">
              <w:rPr>
                <w:b w:val="0"/>
              </w:rPr>
              <w:t xml:space="preserve">Figure </w:t>
            </w:r>
            <w:r>
              <w:rPr>
                <w:b w:val="0"/>
              </w:rPr>
              <w:t>F.9</w:t>
            </w:r>
            <w:r>
              <w:tab/>
              <w:t xml:space="preserve">Transitioning to ETA: the year-on-year impacts on State budgets are likely to prove manageable </w:t>
            </w:r>
          </w:p>
          <w:p w14:paraId="7954CB0C" w14:textId="77777777" w:rsidR="00F05DC7" w:rsidRPr="00176D3F" w:rsidRDefault="00F05DC7" w:rsidP="00A3786D">
            <w:pPr>
              <w:pStyle w:val="Subtitle"/>
            </w:pPr>
            <w:r>
              <w:t>Year</w:t>
            </w:r>
            <w:r>
              <w:noBreakHyphen/>
              <w:t>on</w:t>
            </w:r>
            <w:r>
              <w:noBreakHyphen/>
              <w:t>year change (incremental change from previous year) in GST payments (relative to the current benchmark) as a share of State revenue, best estimate scenario, 2019</w:t>
            </w:r>
            <w:r>
              <w:noBreakHyphen/>
              <w:t>20 to 2026-27</w:t>
            </w:r>
          </w:p>
        </w:tc>
      </w:tr>
      <w:tr w:rsidR="00F05DC7" w14:paraId="7954CB17" w14:textId="77777777" w:rsidTr="00A3786D">
        <w:tc>
          <w:tcPr>
            <w:tcW w:w="5000" w:type="pct"/>
            <w:tcBorders>
              <w:top w:val="nil"/>
              <w:left w:val="nil"/>
              <w:bottom w:val="nil"/>
              <w:right w:val="nil"/>
            </w:tcBorders>
            <w:shd w:val="clear" w:color="auto" w:fill="auto"/>
            <w:tcMar>
              <w:top w:w="28" w:type="dxa"/>
              <w:bottom w:w="28" w:type="dxa"/>
            </w:tcMar>
          </w:tcPr>
          <w:p w14:paraId="7954CB16" w14:textId="2A5657CA" w:rsidR="00F05DC7" w:rsidRDefault="00BB3BF5" w:rsidP="00A3786D">
            <w:pPr>
              <w:pStyle w:val="Figure"/>
            </w:pPr>
            <w:r w:rsidRPr="00BB3BF5">
              <w:rPr>
                <w:noProof/>
              </w:rPr>
              <w:drawing>
                <wp:inline distT="0" distB="0" distL="0" distR="0" wp14:anchorId="0F32B9A6" wp14:editId="316E0096">
                  <wp:extent cx="5260769" cy="6947535"/>
                  <wp:effectExtent l="0" t="0" r="0" b="5715"/>
                  <wp:docPr id="224" name="Picture 224" descr="Under a four year transition to equalising to the average, New South Wales experiences year on year changes in GST payments of about 0.5 per cent of total State revenue over the period 2022-23. Under an eight year transition, the year on year change in GST payments remain flat at about 0.25 per cent over the projection period.&#10;For Victoria, the largest year on year change in GST payments under a four transition occurs in 2019-20 (a reduction of 0.42 per cent of total State revenue). The reduction in subsequent years is slightly less. With an eight year transition, the largest decline occurs in 2019-2020 (0.2 per cent) before increasing gradually and returning to a positive value of around 2024-25.&#10;For Queensland, the largest year on year change in GST payments under a four transition occurs in 2022-23 (a reduction of 0.81 per cent of total State revenue). With an eight year transition, the year on year change in GST payments remains constant at about negative 0.35 per cent.&#10;For Western Australia the largest year on year change in GST payments under a four year transition occurs in 2019-2020 (an increase of 1.76 per cent of total State revenue). With an eight year transition path the largest increase occurs in 2019-20 (about 0.8 per cent) before gradually declining to an increase of about 0.31 per cent by 2026-27.&#10;South Australia, Tasmania and the ACT all experience a similar year-on-year reduction in their GST payments. Under a four year transition , the year on year decrease in GST payments is about 0.7 per cent of total State revenue in 2019-20, increasing to a reduction of about 0.8 per cent of total State revenue in 2022-23. With an eight year transition, the year on year decrease in GST payments remains broadly constant at about 0.3 per cet.&#10;For the Northern Territory the largest year on year change in GST payments under a four year transition occurs in 2022-23 (a reduction of 0.37 per cent of total State revenue). With an eight year transition, the year on year reduction in GST payments remains broadly constant at about 0.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264955" cy="6953064"/>
                          </a:xfrm>
                          <a:prstGeom prst="rect">
                            <a:avLst/>
                          </a:prstGeom>
                          <a:noFill/>
                          <a:ln>
                            <a:noFill/>
                          </a:ln>
                        </pic:spPr>
                      </pic:pic>
                    </a:graphicData>
                  </a:graphic>
                </wp:inline>
              </w:drawing>
            </w:r>
          </w:p>
        </w:tc>
      </w:tr>
      <w:tr w:rsidR="00F05DC7" w:rsidRPr="00176D3F" w14:paraId="7954CB19" w14:textId="77777777" w:rsidTr="00A3786D">
        <w:tc>
          <w:tcPr>
            <w:tcW w:w="5000" w:type="pct"/>
            <w:tcBorders>
              <w:top w:val="nil"/>
              <w:left w:val="nil"/>
              <w:bottom w:val="nil"/>
              <w:right w:val="nil"/>
            </w:tcBorders>
            <w:shd w:val="clear" w:color="auto" w:fill="auto"/>
          </w:tcPr>
          <w:p w14:paraId="7954CB18" w14:textId="77777777" w:rsidR="00F05DC7" w:rsidRPr="00176D3F" w:rsidRDefault="00F05DC7" w:rsidP="00A3786D">
            <w:pPr>
              <w:pStyle w:val="Source"/>
            </w:pPr>
            <w:r>
              <w:rPr>
                <w:i/>
              </w:rPr>
              <w:t>S</w:t>
            </w:r>
            <w:r w:rsidRPr="00784A05">
              <w:rPr>
                <w:i/>
              </w:rPr>
              <w:t>ource</w:t>
            </w:r>
            <w:r w:rsidRPr="00176D3F">
              <w:t xml:space="preserve">: </w:t>
            </w:r>
            <w:r w:rsidRPr="00DF0A9F">
              <w:t xml:space="preserve">Productivity </w:t>
            </w:r>
            <w:r w:rsidRPr="00676CAE">
              <w:t>Commission estimates</w:t>
            </w:r>
            <w:r>
              <w:rPr>
                <w:i/>
              </w:rPr>
              <w:t>.</w:t>
            </w:r>
          </w:p>
        </w:tc>
      </w:tr>
      <w:tr w:rsidR="00F05DC7" w14:paraId="7954CB1B" w14:textId="77777777" w:rsidTr="00A3786D">
        <w:tc>
          <w:tcPr>
            <w:tcW w:w="5000" w:type="pct"/>
            <w:tcBorders>
              <w:top w:val="nil"/>
              <w:left w:val="nil"/>
              <w:bottom w:val="single" w:sz="6" w:space="0" w:color="78A22F"/>
              <w:right w:val="nil"/>
            </w:tcBorders>
            <w:shd w:val="clear" w:color="auto" w:fill="auto"/>
          </w:tcPr>
          <w:p w14:paraId="7954CB1A" w14:textId="77777777" w:rsidR="00F05DC7" w:rsidRDefault="00F05DC7" w:rsidP="00A3786D">
            <w:pPr>
              <w:pStyle w:val="Figurespace"/>
            </w:pPr>
          </w:p>
        </w:tc>
      </w:tr>
      <w:tr w:rsidR="00F05DC7" w:rsidRPr="000863A5" w14:paraId="7954CB1D" w14:textId="77777777" w:rsidTr="00A3786D">
        <w:tc>
          <w:tcPr>
            <w:tcW w:w="5000" w:type="pct"/>
            <w:tcBorders>
              <w:top w:val="single" w:sz="6" w:space="0" w:color="78A22F"/>
              <w:left w:val="nil"/>
              <w:bottom w:val="nil"/>
              <w:right w:val="nil"/>
            </w:tcBorders>
          </w:tcPr>
          <w:p w14:paraId="7954CB1C" w14:textId="77777777" w:rsidR="00F05DC7" w:rsidRPr="00626D32" w:rsidRDefault="00F05DC7" w:rsidP="00A3786D">
            <w:pPr>
              <w:pStyle w:val="BoxSpaceBelow"/>
            </w:pPr>
          </w:p>
        </w:tc>
      </w:tr>
    </w:tbl>
    <w:p w14:paraId="7954CB1E" w14:textId="572EB27B" w:rsidR="00F05DC7" w:rsidRDefault="00F05DC7" w:rsidP="00A3786D">
      <w:pPr>
        <w:pStyle w:val="Heading2"/>
      </w:pPr>
      <w:bookmarkStart w:id="133" w:name="_Toc513637758"/>
      <w:r>
        <w:lastRenderedPageBreak/>
        <w:t>F.A</w:t>
      </w:r>
      <w:r>
        <w:tab/>
        <w:t>Annex: Alternative scenarios for future GST payments</w:t>
      </w:r>
      <w:bookmarkEnd w:id="133"/>
      <w:r>
        <w:t xml:space="preserve"> </w:t>
      </w:r>
    </w:p>
    <w:p w14:paraId="7954CB1F" w14:textId="77777777" w:rsidR="00F05DC7" w:rsidRDefault="00F05DC7" w:rsidP="00A3786D">
      <w:pPr>
        <w:pStyle w:val="BodyText"/>
      </w:pPr>
      <w:r w:rsidRPr="00855B4C">
        <w:t xml:space="preserve">In addition to the best estimate projections, the Commission has </w:t>
      </w:r>
      <w:r>
        <w:t>examined</w:t>
      </w:r>
      <w:r w:rsidRPr="00855B4C">
        <w:t xml:space="preserve"> some possible alternative scenarios for future GST payments</w:t>
      </w:r>
      <w:r>
        <w:t>.</w:t>
      </w:r>
      <w:r w:rsidRPr="00855B4C">
        <w:t xml:space="preserve"> These alternative scenarios assume that relative fiscal capacities return to their 1</w:t>
      </w:r>
      <w:r>
        <w:t>9</w:t>
      </w:r>
      <w:r w:rsidRPr="00855B4C">
        <w:t xml:space="preserve"> year averages in the first period after the forward estimates (2023</w:t>
      </w:r>
      <w:r w:rsidRPr="00855B4C">
        <w:noBreakHyphen/>
        <w:t>24), and that relative fiscal capacities remain at their 2018</w:t>
      </w:r>
      <w:r w:rsidRPr="00855B4C">
        <w:noBreakHyphen/>
        <w:t>19 level</w:t>
      </w:r>
      <w:r>
        <w:t>s</w:t>
      </w:r>
      <w:r w:rsidRPr="00855B4C">
        <w:t xml:space="preserve"> for the projection period (box F.</w:t>
      </w:r>
      <w:r>
        <w:t>A1</w:t>
      </w:r>
      <w:r w:rsidRPr="00855B4C">
        <w:t xml:space="preserve">). </w:t>
      </w:r>
    </w:p>
    <w:p w14:paraId="7954CB20" w14:textId="77777777" w:rsidR="00F05DC7" w:rsidRDefault="00F05DC7" w:rsidP="00A3786D">
      <w:pPr>
        <w:pStyle w:val="BodyText"/>
      </w:pPr>
      <w:r>
        <w:t>Budget management o</w:t>
      </w:r>
      <w:r w:rsidRPr="00855B4C">
        <w:t>utcomes under these alternative scenarios were broadly in line with the best estimate results, and in no year</w:t>
      </w:r>
      <w:r w:rsidRPr="00855B4C" w:rsidDel="00912F0A">
        <w:t xml:space="preserve"> </w:t>
      </w:r>
      <w:r w:rsidRPr="00855B4C">
        <w:t>did any State experience a reduction in its GST payments from one year to the next of more than about 0.8</w:t>
      </w:r>
      <w:r>
        <w:t> </w:t>
      </w:r>
      <w:r w:rsidRPr="00855B4C">
        <w:t>per cent (with a four year transition), or about 0.5 per</w:t>
      </w:r>
      <w:r>
        <w:t> </w:t>
      </w:r>
      <w:r w:rsidRPr="00855B4C">
        <w:t xml:space="preserve">cent (with an eight year transition). </w:t>
      </w:r>
    </w:p>
    <w:p w14:paraId="7954CB21" w14:textId="77777777" w:rsidR="00F05DC7" w:rsidRDefault="00F05DC7" w:rsidP="00A3786D">
      <w:pPr>
        <w:pStyle w:val="BodyText"/>
      </w:pPr>
      <w:r w:rsidRPr="00855B4C">
        <w:t>The results are presented in tables F.</w:t>
      </w:r>
      <w:r>
        <w:t xml:space="preserve">A1 </w:t>
      </w:r>
      <w:r>
        <w:softHyphen/>
        <w:t>to</w:t>
      </w:r>
      <w:r w:rsidRPr="00855B4C">
        <w:t xml:space="preserve"> F.</w:t>
      </w:r>
      <w:r>
        <w:t xml:space="preserve">A8. Where there were material differences to the best estimate scenario, these were generally the largest for the fiscally strongest States </w:t>
      </w:r>
      <w:r w:rsidRPr="00855B4C">
        <w:t>(New South Wales</w:t>
      </w:r>
      <w:r>
        <w:t>,</w:t>
      </w:r>
      <w:r w:rsidRPr="00855B4C" w:rsidDel="00A247B8">
        <w:t xml:space="preserve"> </w:t>
      </w:r>
      <w:r w:rsidRPr="00855B4C">
        <w:t>Victoria and Western Australia</w:t>
      </w:r>
      <w:r>
        <w:t>).</w:t>
      </w:r>
      <w:r w:rsidRPr="00855B4C">
        <w:t xml:space="preserve"> </w:t>
      </w:r>
    </w:p>
    <w:p w14:paraId="7954CB22" w14:textId="77777777" w:rsidR="00F05DC7" w:rsidRDefault="00F05DC7" w:rsidP="00A3786D">
      <w:pPr>
        <w:pStyle w:val="ListBullet"/>
      </w:pPr>
      <w:r>
        <w:t>When relative fiscal capacities were assumed to return to their long run trend, GST payments for Victoria and New South Wales were projected to be broadly similar to what they would receive under the current benchmark. This is compared to a projected increase in GST payments under the best estimate for New South Wales, and a projected decrease in GST payments under the best estimate for Victoria.</w:t>
      </w:r>
    </w:p>
    <w:p w14:paraId="7954CB23" w14:textId="77777777" w:rsidR="00F05DC7" w:rsidRDefault="00F05DC7" w:rsidP="00A3786D">
      <w:pPr>
        <w:pStyle w:val="ListBullet"/>
      </w:pPr>
      <w:r>
        <w:t>When relative fiscal capacities were assumed to stay at their current levels, GST payments to Western Australia were projected to increase by more under the ‘best estimate’ scenario ($3463 million in 2022</w:t>
      </w:r>
      <w:r>
        <w:noBreakHyphen/>
        <w:t>23, compared with $1849 million,</w:t>
      </w:r>
      <w:r w:rsidRPr="00D548FB">
        <w:t xml:space="preserve"> </w:t>
      </w:r>
      <w:r>
        <w:t xml:space="preserve">with a four year transition). </w:t>
      </w:r>
    </w:p>
    <w:p w14:paraId="7954CB24" w14:textId="77777777" w:rsidR="00F05DC7" w:rsidRDefault="00F05DC7" w:rsidP="00A3786D">
      <w:pPr>
        <w:pStyle w:val="ListBullet"/>
      </w:pPr>
      <w:r>
        <w:t>When relative fiscal capacities were assumed to return to their long run trend, the reduction in GST payments in each of Queensland, South Australia, Tasmania, the ACT and the NT was smaller compared to the ‘best estimate’ case.</w:t>
      </w:r>
    </w:p>
    <w:p w14:paraId="7954CB25" w14:textId="77777777" w:rsidR="00F05DC7" w:rsidRDefault="00F05D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B27" w14:textId="77777777" w:rsidTr="00A3786D">
        <w:trPr>
          <w:tblHeader/>
        </w:trPr>
        <w:tc>
          <w:tcPr>
            <w:tcW w:w="5000" w:type="pct"/>
            <w:tcBorders>
              <w:top w:val="single" w:sz="6" w:space="0" w:color="78A22F"/>
              <w:left w:val="nil"/>
              <w:bottom w:val="nil"/>
              <w:right w:val="nil"/>
            </w:tcBorders>
            <w:shd w:val="clear" w:color="auto" w:fill="F2F2F2"/>
          </w:tcPr>
          <w:p w14:paraId="7954CB26" w14:textId="37990A1F" w:rsidR="00F05DC7" w:rsidRDefault="00F05DC7" w:rsidP="00A3786D">
            <w:pPr>
              <w:pStyle w:val="BoxTitle"/>
            </w:pPr>
            <w:r>
              <w:rPr>
                <w:b w:val="0"/>
              </w:rPr>
              <w:t>Box F.A1</w:t>
            </w:r>
            <w:r>
              <w:tab/>
              <w:t>Beyond ‘best estimate’ projections: a</w:t>
            </w:r>
            <w:r w:rsidRPr="005E2BD3">
              <w:t>lternative scenarios for future GST payments</w:t>
            </w:r>
          </w:p>
        </w:tc>
      </w:tr>
      <w:tr w:rsidR="00F05DC7" w14:paraId="7954CBE8" w14:textId="77777777" w:rsidTr="00A3786D">
        <w:tc>
          <w:tcPr>
            <w:tcW w:w="5000" w:type="pct"/>
            <w:tcBorders>
              <w:top w:val="nil"/>
              <w:left w:val="nil"/>
              <w:bottom w:val="nil"/>
              <w:right w:val="nil"/>
            </w:tcBorders>
            <w:shd w:val="clear" w:color="auto" w:fill="F2F2F2"/>
          </w:tcPr>
          <w:p w14:paraId="7954CB28" w14:textId="77777777" w:rsidR="00F05DC7" w:rsidRDefault="00F05DC7" w:rsidP="00A3786D">
            <w:pPr>
              <w:pStyle w:val="Box"/>
            </w:pPr>
            <w:r>
              <w:t>The Commission initially assessed two alternative methods for projecting each of: relative fiscal capacities, population growth rates, and the size of the GST pool.</w:t>
            </w:r>
          </w:p>
          <w:p w14:paraId="7954CB29" w14:textId="77777777" w:rsidR="00F05DC7" w:rsidRDefault="00F05DC7" w:rsidP="00A3786D">
            <w:pPr>
              <w:pStyle w:val="BoxListBullet"/>
              <w:spacing w:line="240" w:lineRule="atLeast"/>
            </w:pPr>
            <w:r>
              <w:t>Future relative fiscal capacities were projected using a ‘long</w:t>
            </w:r>
            <w:r>
              <w:noBreakHyphen/>
              <w:t>run trend’ method where relative fiscal capacities (measured by GST relativities) return to their 19 year average (2000-01 to 2018-19) in the first year after the forward estimates (2023</w:t>
            </w:r>
            <w:r>
              <w:noBreakHyphen/>
              <w:t>24), and a ‘business as usual’ method where fiscal capacities remain at their 2018</w:t>
            </w:r>
            <w:r>
              <w:noBreakHyphen/>
              <w:t xml:space="preserve">19 levels for the projection period (table). </w:t>
            </w:r>
          </w:p>
          <w:p w14:paraId="7954CB2A" w14:textId="77777777" w:rsidR="00F05DC7" w:rsidRDefault="00F05DC7" w:rsidP="00A3786D">
            <w:pPr>
              <w:pStyle w:val="BoxListBullet"/>
              <w:spacing w:line="240" w:lineRule="atLeast"/>
            </w:pPr>
            <w:r>
              <w:t>Population growth was projected by assuming that State population growth rates move from their current rates to either the 10</w:t>
            </w:r>
            <w:r>
              <w:noBreakHyphen/>
              <w:t>year average growth rate (2007</w:t>
            </w:r>
            <w:r>
              <w:noBreakHyphen/>
              <w:t>08 to 2017</w:t>
            </w:r>
            <w:r>
              <w:noBreakHyphen/>
              <w:t>18), or 10-year linear trend at the end of the forward estimates, and grow at that rate thereafter.</w:t>
            </w:r>
          </w:p>
          <w:p w14:paraId="7954CB2B" w14:textId="77777777" w:rsidR="00F05DC7" w:rsidRPr="00545736" w:rsidRDefault="00F05DC7" w:rsidP="00A3786D">
            <w:pPr>
              <w:pStyle w:val="BoxListBullet"/>
              <w:spacing w:line="240" w:lineRule="atLeast"/>
              <w:rPr>
                <w:rFonts w:ascii="Times New Roman" w:hAnsi="Times New Roman"/>
                <w:sz w:val="24"/>
                <w:szCs w:val="24"/>
              </w:rPr>
            </w:pPr>
            <w:r>
              <w:t>GST pool growth beyond the forward estimates was projected using a high</w:t>
            </w:r>
            <w:r>
              <w:noBreakHyphen/>
              <w:t>growth estimate, where the GST pool grows at 0.5 percentage points above the ‘best estimate’ (which is 5.25 per cent), and a low</w:t>
            </w:r>
            <w:r>
              <w:noBreakHyphen/>
              <w:t>growth estimate, where the GST pool grows at 1.0 percentage points below the ‘best estimate’. The larger range on the downside reflects the possibility that the trend in consumption towards GST exempt goods will continue beyond the forward estimates.</w:t>
            </w:r>
          </w:p>
          <w:p w14:paraId="7954CB2C" w14:textId="77777777" w:rsidR="00F05DC7" w:rsidRPr="00545736" w:rsidRDefault="00F05DC7" w:rsidP="00A6188E">
            <w:pPr>
              <w:pStyle w:val="Box"/>
              <w:spacing w:after="80"/>
              <w:rPr>
                <w:b/>
              </w:rPr>
            </w:pPr>
            <w:r w:rsidRPr="00545736">
              <w:rPr>
                <w:b/>
              </w:rPr>
              <w:t>Current benchmark: projected State relativities</w:t>
            </w:r>
            <w:r>
              <w:rPr>
                <w:b/>
              </w:rPr>
              <w:t xml:space="preserve"> under two alternative scenarios</w:t>
            </w:r>
          </w:p>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14:paraId="7954CB36"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B2D" w14:textId="77777777" w:rsidR="00F05DC7" w:rsidRDefault="00F05DC7" w:rsidP="00A3786D">
                  <w:pPr>
                    <w:pStyle w:val="TableColumnHeading"/>
                    <w:jc w:val="left"/>
                  </w:pPr>
                </w:p>
              </w:tc>
              <w:tc>
                <w:tcPr>
                  <w:tcW w:w="557" w:type="pct"/>
                  <w:tcBorders>
                    <w:top w:val="single" w:sz="6" w:space="0" w:color="BFBFBF"/>
                    <w:bottom w:val="single" w:sz="6" w:space="0" w:color="BFBFBF"/>
                  </w:tcBorders>
                </w:tcPr>
                <w:p w14:paraId="7954CB2E" w14:textId="77777777" w:rsidR="00F05DC7" w:rsidRDefault="00F05DC7" w:rsidP="00A3786D">
                  <w:pPr>
                    <w:pStyle w:val="TableColumnHeading"/>
                  </w:pPr>
                  <w:r>
                    <w:t>NSW</w:t>
                  </w:r>
                </w:p>
              </w:tc>
              <w:tc>
                <w:tcPr>
                  <w:tcW w:w="557" w:type="pct"/>
                  <w:tcBorders>
                    <w:top w:val="single" w:sz="6" w:space="0" w:color="BFBFBF"/>
                    <w:bottom w:val="single" w:sz="6" w:space="0" w:color="BFBFBF"/>
                  </w:tcBorders>
                </w:tcPr>
                <w:p w14:paraId="7954CB2F" w14:textId="77777777" w:rsidR="00F05DC7" w:rsidRDefault="00F05DC7" w:rsidP="00A3786D">
                  <w:pPr>
                    <w:pStyle w:val="TableColumnHeading"/>
                  </w:pPr>
                  <w:r>
                    <w:t>Vic</w:t>
                  </w:r>
                </w:p>
              </w:tc>
              <w:tc>
                <w:tcPr>
                  <w:tcW w:w="556" w:type="pct"/>
                  <w:tcBorders>
                    <w:top w:val="single" w:sz="6" w:space="0" w:color="BFBFBF"/>
                    <w:bottom w:val="single" w:sz="6" w:space="0" w:color="BFBFBF"/>
                  </w:tcBorders>
                </w:tcPr>
                <w:p w14:paraId="7954CB30" w14:textId="77777777" w:rsidR="00F05DC7" w:rsidRDefault="00F05DC7" w:rsidP="00A3786D">
                  <w:pPr>
                    <w:pStyle w:val="TableColumnHeading"/>
                  </w:pPr>
                  <w:r>
                    <w:t>Qld</w:t>
                  </w:r>
                </w:p>
              </w:tc>
              <w:tc>
                <w:tcPr>
                  <w:tcW w:w="556" w:type="pct"/>
                  <w:tcBorders>
                    <w:top w:val="single" w:sz="6" w:space="0" w:color="BFBFBF"/>
                    <w:bottom w:val="single" w:sz="6" w:space="0" w:color="BFBFBF"/>
                  </w:tcBorders>
                </w:tcPr>
                <w:p w14:paraId="7954CB31" w14:textId="77777777" w:rsidR="00F05DC7" w:rsidRDefault="00F05DC7" w:rsidP="00A3786D">
                  <w:pPr>
                    <w:pStyle w:val="TableColumnHeading"/>
                  </w:pPr>
                  <w:r>
                    <w:t>WA</w:t>
                  </w:r>
                </w:p>
              </w:tc>
              <w:tc>
                <w:tcPr>
                  <w:tcW w:w="555" w:type="pct"/>
                  <w:tcBorders>
                    <w:top w:val="single" w:sz="6" w:space="0" w:color="BFBFBF"/>
                    <w:bottom w:val="single" w:sz="6" w:space="0" w:color="BFBFBF"/>
                  </w:tcBorders>
                </w:tcPr>
                <w:p w14:paraId="7954CB32" w14:textId="77777777" w:rsidR="00F05DC7" w:rsidRDefault="00F05DC7" w:rsidP="00A3786D">
                  <w:pPr>
                    <w:pStyle w:val="TableColumnHeading"/>
                  </w:pPr>
                  <w:r>
                    <w:t>SA</w:t>
                  </w:r>
                </w:p>
              </w:tc>
              <w:tc>
                <w:tcPr>
                  <w:tcW w:w="555" w:type="pct"/>
                  <w:tcBorders>
                    <w:top w:val="single" w:sz="6" w:space="0" w:color="BFBFBF"/>
                    <w:bottom w:val="single" w:sz="6" w:space="0" w:color="BFBFBF"/>
                  </w:tcBorders>
                </w:tcPr>
                <w:p w14:paraId="7954CB33" w14:textId="77777777" w:rsidR="00F05DC7" w:rsidRDefault="00F05DC7" w:rsidP="00A3786D">
                  <w:pPr>
                    <w:pStyle w:val="TableColumnHeading"/>
                  </w:pPr>
                  <w:r>
                    <w:t>Tas</w:t>
                  </w:r>
                </w:p>
              </w:tc>
              <w:tc>
                <w:tcPr>
                  <w:tcW w:w="555" w:type="pct"/>
                  <w:tcBorders>
                    <w:top w:val="single" w:sz="6" w:space="0" w:color="BFBFBF"/>
                    <w:bottom w:val="single" w:sz="6" w:space="0" w:color="BFBFBF"/>
                  </w:tcBorders>
                  <w:shd w:val="clear" w:color="auto" w:fill="auto"/>
                  <w:tcMar>
                    <w:top w:w="28" w:type="dxa"/>
                  </w:tcMar>
                </w:tcPr>
                <w:p w14:paraId="7954CB34" w14:textId="77777777" w:rsidR="00F05DC7" w:rsidRDefault="00F05DC7" w:rsidP="00A3786D">
                  <w:pPr>
                    <w:pStyle w:val="TableColumnHeading"/>
                  </w:pPr>
                  <w:r>
                    <w:t>ACT</w:t>
                  </w:r>
                </w:p>
              </w:tc>
              <w:tc>
                <w:tcPr>
                  <w:tcW w:w="553" w:type="pct"/>
                  <w:tcBorders>
                    <w:top w:val="single" w:sz="6" w:space="0" w:color="BFBFBF"/>
                    <w:bottom w:val="single" w:sz="6" w:space="0" w:color="BFBFBF"/>
                  </w:tcBorders>
                  <w:shd w:val="clear" w:color="auto" w:fill="auto"/>
                  <w:tcMar>
                    <w:top w:w="28" w:type="dxa"/>
                  </w:tcMar>
                </w:tcPr>
                <w:p w14:paraId="7954CB35" w14:textId="77777777" w:rsidR="00F05DC7" w:rsidRDefault="00F05DC7" w:rsidP="00A3786D">
                  <w:pPr>
                    <w:pStyle w:val="TableColumnHeading"/>
                    <w:ind w:right="28"/>
                  </w:pPr>
                  <w:r>
                    <w:t>NT</w:t>
                  </w:r>
                </w:p>
              </w:tc>
            </w:tr>
            <w:tr w:rsidR="00F05DC7" w14:paraId="7954CB38" w14:textId="77777777" w:rsidTr="00A3786D">
              <w:tc>
                <w:tcPr>
                  <w:tcW w:w="5000" w:type="pct"/>
                  <w:gridSpan w:val="9"/>
                  <w:tcBorders>
                    <w:top w:val="single" w:sz="6" w:space="0" w:color="BFBFBF"/>
                  </w:tcBorders>
                </w:tcPr>
                <w:p w14:paraId="7954CB37" w14:textId="77777777" w:rsidR="00F05DC7" w:rsidRPr="003F29B4" w:rsidRDefault="00F05DC7" w:rsidP="00A3786D">
                  <w:pPr>
                    <w:pStyle w:val="TableUnitsRow"/>
                    <w:jc w:val="left"/>
                    <w:rPr>
                      <w:rFonts w:asciiTheme="minorHAnsi" w:hAnsiTheme="minorHAnsi" w:cstheme="minorHAnsi"/>
                      <w:szCs w:val="18"/>
                    </w:rPr>
                  </w:pPr>
                  <w:r>
                    <w:rPr>
                      <w:rFonts w:asciiTheme="minorHAnsi" w:hAnsiTheme="minorHAnsi" w:cstheme="minorHAnsi"/>
                      <w:szCs w:val="18"/>
                    </w:rPr>
                    <w:t xml:space="preserve">CGC 2018 recommended relativities </w:t>
                  </w:r>
                </w:p>
              </w:tc>
            </w:tr>
            <w:tr w:rsidR="00F05DC7" w14:paraId="7954CB42" w14:textId="77777777" w:rsidTr="00A3786D">
              <w:tc>
                <w:tcPr>
                  <w:tcW w:w="556" w:type="pct"/>
                  <w:tcBorders>
                    <w:top w:val="single" w:sz="6" w:space="0" w:color="D9D9D9" w:themeColor="background1" w:themeShade="D9"/>
                    <w:bottom w:val="single" w:sz="6" w:space="0" w:color="D9D9D9" w:themeColor="background1" w:themeShade="D9"/>
                  </w:tcBorders>
                </w:tcPr>
                <w:p w14:paraId="7954CB39" w14:textId="77777777" w:rsidR="00F05DC7" w:rsidRDefault="00F05DC7" w:rsidP="00A3786D">
                  <w:pPr>
                    <w:pStyle w:val="TableUnitsRow"/>
                    <w:jc w:val="left"/>
                    <w:rPr>
                      <w:rFonts w:asciiTheme="minorHAnsi" w:hAnsiTheme="minorHAnsi" w:cstheme="minorHAnsi"/>
                      <w:szCs w:val="18"/>
                    </w:rPr>
                  </w:pPr>
                  <w:r w:rsidRPr="003F29B4">
                    <w:rPr>
                      <w:rFonts w:asciiTheme="minorHAnsi" w:hAnsiTheme="minorHAnsi" w:cstheme="minorHAnsi"/>
                      <w:szCs w:val="18"/>
                    </w:rPr>
                    <w:t>2018</w:t>
                  </w:r>
                  <w:r>
                    <w:rPr>
                      <w:rFonts w:asciiTheme="minorHAnsi" w:hAnsiTheme="minorHAnsi" w:cstheme="minorHAnsi"/>
                      <w:szCs w:val="18"/>
                    </w:rPr>
                    <w:noBreakHyphen/>
                  </w:r>
                  <w:r w:rsidRPr="003F29B4">
                    <w:rPr>
                      <w:rFonts w:asciiTheme="minorHAnsi" w:hAnsiTheme="minorHAnsi" w:cstheme="minorHAnsi"/>
                      <w:szCs w:val="18"/>
                    </w:rPr>
                    <w:t>19</w:t>
                  </w:r>
                </w:p>
              </w:tc>
              <w:tc>
                <w:tcPr>
                  <w:tcW w:w="557" w:type="pct"/>
                  <w:tcBorders>
                    <w:top w:val="single" w:sz="6" w:space="0" w:color="D9D9D9" w:themeColor="background1" w:themeShade="D9"/>
                    <w:left w:val="nil"/>
                    <w:bottom w:val="single" w:sz="6" w:space="0" w:color="D9D9D9" w:themeColor="background1" w:themeShade="D9"/>
                    <w:right w:val="nil"/>
                  </w:tcBorders>
                  <w:shd w:val="clear" w:color="auto" w:fill="auto"/>
                  <w:vAlign w:val="bottom"/>
                </w:tcPr>
                <w:p w14:paraId="7954CB3A"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0.86</w:t>
                  </w:r>
                </w:p>
              </w:tc>
              <w:tc>
                <w:tcPr>
                  <w:tcW w:w="557" w:type="pct"/>
                  <w:tcBorders>
                    <w:top w:val="single" w:sz="6" w:space="0" w:color="D9D9D9" w:themeColor="background1" w:themeShade="D9"/>
                    <w:left w:val="nil"/>
                    <w:bottom w:val="single" w:sz="6" w:space="0" w:color="D9D9D9" w:themeColor="background1" w:themeShade="D9"/>
                    <w:right w:val="nil"/>
                  </w:tcBorders>
                  <w:shd w:val="clear" w:color="auto" w:fill="auto"/>
                  <w:vAlign w:val="bottom"/>
                </w:tcPr>
                <w:p w14:paraId="7954CB3B"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0.99</w:t>
                  </w:r>
                </w:p>
              </w:tc>
              <w:tc>
                <w:tcPr>
                  <w:tcW w:w="556" w:type="pct"/>
                  <w:tcBorders>
                    <w:top w:val="single" w:sz="6" w:space="0" w:color="D9D9D9" w:themeColor="background1" w:themeShade="D9"/>
                    <w:left w:val="nil"/>
                    <w:bottom w:val="single" w:sz="6" w:space="0" w:color="D9D9D9" w:themeColor="background1" w:themeShade="D9"/>
                    <w:right w:val="nil"/>
                  </w:tcBorders>
                  <w:shd w:val="clear" w:color="auto" w:fill="auto"/>
                  <w:vAlign w:val="bottom"/>
                </w:tcPr>
                <w:p w14:paraId="7954CB3C"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1.10</w:t>
                  </w:r>
                </w:p>
              </w:tc>
              <w:tc>
                <w:tcPr>
                  <w:tcW w:w="556" w:type="pct"/>
                  <w:tcBorders>
                    <w:top w:val="single" w:sz="6" w:space="0" w:color="D9D9D9" w:themeColor="background1" w:themeShade="D9"/>
                    <w:left w:val="nil"/>
                    <w:bottom w:val="single" w:sz="6" w:space="0" w:color="D9D9D9" w:themeColor="background1" w:themeShade="D9"/>
                    <w:right w:val="nil"/>
                  </w:tcBorders>
                  <w:shd w:val="clear" w:color="auto" w:fill="auto"/>
                  <w:vAlign w:val="bottom"/>
                </w:tcPr>
                <w:p w14:paraId="7954CB3D"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0.47</w:t>
                  </w:r>
                </w:p>
              </w:tc>
              <w:tc>
                <w:tcPr>
                  <w:tcW w:w="555" w:type="pct"/>
                  <w:tcBorders>
                    <w:top w:val="single" w:sz="6" w:space="0" w:color="D9D9D9" w:themeColor="background1" w:themeShade="D9"/>
                    <w:left w:val="nil"/>
                    <w:bottom w:val="single" w:sz="6" w:space="0" w:color="D9D9D9" w:themeColor="background1" w:themeShade="D9"/>
                    <w:right w:val="nil"/>
                  </w:tcBorders>
                  <w:shd w:val="clear" w:color="auto" w:fill="auto"/>
                  <w:vAlign w:val="bottom"/>
                </w:tcPr>
                <w:p w14:paraId="7954CB3E"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1.48</w:t>
                  </w:r>
                </w:p>
              </w:tc>
              <w:tc>
                <w:tcPr>
                  <w:tcW w:w="555" w:type="pct"/>
                  <w:tcBorders>
                    <w:top w:val="single" w:sz="6" w:space="0" w:color="D9D9D9" w:themeColor="background1" w:themeShade="D9"/>
                    <w:left w:val="nil"/>
                    <w:bottom w:val="single" w:sz="6" w:space="0" w:color="D9D9D9" w:themeColor="background1" w:themeShade="D9"/>
                    <w:right w:val="nil"/>
                  </w:tcBorders>
                  <w:shd w:val="clear" w:color="auto" w:fill="auto"/>
                  <w:vAlign w:val="bottom"/>
                </w:tcPr>
                <w:p w14:paraId="7954CB3F"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1.77</w:t>
                  </w:r>
                </w:p>
              </w:tc>
              <w:tc>
                <w:tcPr>
                  <w:tcW w:w="555" w:type="pct"/>
                  <w:tcBorders>
                    <w:top w:val="single" w:sz="6" w:space="0" w:color="D9D9D9" w:themeColor="background1" w:themeShade="D9"/>
                    <w:left w:val="nil"/>
                    <w:bottom w:val="single" w:sz="6" w:space="0" w:color="D9D9D9" w:themeColor="background1" w:themeShade="D9"/>
                    <w:right w:val="nil"/>
                  </w:tcBorders>
                  <w:shd w:val="clear" w:color="auto" w:fill="auto"/>
                  <w:vAlign w:val="bottom"/>
                </w:tcPr>
                <w:p w14:paraId="7954CB40" w14:textId="77777777" w:rsidR="00F05DC7" w:rsidRPr="00953FF1" w:rsidRDefault="00F05DC7" w:rsidP="00A3786D">
                  <w:pPr>
                    <w:pStyle w:val="TableUnitsRow"/>
                    <w:rPr>
                      <w:rFonts w:asciiTheme="minorHAnsi" w:hAnsiTheme="minorHAnsi" w:cstheme="minorHAnsi"/>
                      <w:color w:val="000000"/>
                      <w:szCs w:val="18"/>
                    </w:rPr>
                  </w:pPr>
                  <w:r w:rsidRPr="00953FF1">
                    <w:rPr>
                      <w:rFonts w:asciiTheme="minorHAnsi" w:hAnsiTheme="minorHAnsi" w:cstheme="minorHAnsi"/>
                      <w:color w:val="000000"/>
                      <w:szCs w:val="18"/>
                    </w:rPr>
                    <w:t>1.18</w:t>
                  </w:r>
                </w:p>
              </w:tc>
              <w:tc>
                <w:tcPr>
                  <w:tcW w:w="553" w:type="pct"/>
                  <w:tcBorders>
                    <w:top w:val="single" w:sz="6" w:space="0" w:color="D9D9D9" w:themeColor="background1" w:themeShade="D9"/>
                    <w:left w:val="nil"/>
                    <w:bottom w:val="nil"/>
                    <w:right w:val="nil"/>
                  </w:tcBorders>
                  <w:shd w:val="clear" w:color="auto" w:fill="auto"/>
                  <w:vAlign w:val="bottom"/>
                </w:tcPr>
                <w:p w14:paraId="7954CB41" w14:textId="77777777" w:rsidR="00F05DC7" w:rsidRDefault="00F05DC7" w:rsidP="00A3786D">
                  <w:pPr>
                    <w:pStyle w:val="TableUnitsRow"/>
                    <w:ind w:right="28"/>
                    <w:rPr>
                      <w:rFonts w:asciiTheme="minorHAnsi" w:hAnsiTheme="minorHAnsi" w:cstheme="minorHAnsi"/>
                      <w:color w:val="000000"/>
                      <w:szCs w:val="18"/>
                    </w:rPr>
                  </w:pPr>
                  <w:r w:rsidRPr="00953FF1">
                    <w:rPr>
                      <w:rFonts w:asciiTheme="minorHAnsi" w:hAnsiTheme="minorHAnsi" w:cstheme="minorHAnsi"/>
                      <w:color w:val="000000"/>
                      <w:szCs w:val="18"/>
                    </w:rPr>
                    <w:t>4.26</w:t>
                  </w:r>
                </w:p>
              </w:tc>
            </w:tr>
            <w:tr w:rsidR="00F05DC7" w14:paraId="7954CB44" w14:textId="77777777" w:rsidTr="00A3786D">
              <w:tc>
                <w:tcPr>
                  <w:tcW w:w="5000" w:type="pct"/>
                  <w:gridSpan w:val="9"/>
                  <w:tcBorders>
                    <w:top w:val="single" w:sz="6" w:space="0" w:color="D9D9D9" w:themeColor="background1" w:themeShade="D9"/>
                  </w:tcBorders>
                </w:tcPr>
                <w:p w14:paraId="7954CB43" w14:textId="77777777" w:rsidR="00F05DC7" w:rsidRDefault="00F05DC7" w:rsidP="00A3786D">
                  <w:pPr>
                    <w:pStyle w:val="TableBodyText"/>
                    <w:ind w:right="28"/>
                    <w:jc w:val="left"/>
                  </w:pPr>
                  <w:r>
                    <w:t>Relative fiscal capacities return to long-run trend</w:t>
                  </w:r>
                </w:p>
              </w:tc>
            </w:tr>
            <w:tr w:rsidR="00F05DC7" w14:paraId="7954CB4E" w14:textId="77777777" w:rsidTr="00A3786D">
              <w:tc>
                <w:tcPr>
                  <w:tcW w:w="556" w:type="pct"/>
                  <w:tcBorders>
                    <w:top w:val="single" w:sz="6" w:space="0" w:color="D9D9D9" w:themeColor="background1" w:themeShade="D9"/>
                  </w:tcBorders>
                </w:tcPr>
                <w:p w14:paraId="7954CB45" w14:textId="77777777" w:rsidR="00F05DC7" w:rsidRDefault="00F05DC7" w:rsidP="00A3786D">
                  <w:pPr>
                    <w:pStyle w:val="TableBodyText"/>
                    <w:jc w:val="left"/>
                  </w:pPr>
                  <w:r w:rsidRPr="00D07850">
                    <w:rPr>
                      <w:rFonts w:asciiTheme="minorHAnsi" w:hAnsiTheme="minorHAnsi" w:cstheme="minorHAnsi"/>
                      <w:szCs w:val="18"/>
                    </w:rPr>
                    <w:t>2019</w:t>
                  </w:r>
                  <w:r>
                    <w:rPr>
                      <w:rFonts w:asciiTheme="minorHAnsi" w:hAnsiTheme="minorHAnsi" w:cstheme="minorHAnsi"/>
                      <w:szCs w:val="18"/>
                    </w:rPr>
                    <w:noBreakHyphen/>
                  </w:r>
                  <w:r w:rsidRPr="00D07850">
                    <w:rPr>
                      <w:rFonts w:asciiTheme="minorHAnsi" w:hAnsiTheme="minorHAnsi" w:cstheme="minorHAnsi"/>
                      <w:szCs w:val="18"/>
                    </w:rPr>
                    <w:t>20</w:t>
                  </w:r>
                </w:p>
              </w:tc>
              <w:tc>
                <w:tcPr>
                  <w:tcW w:w="557" w:type="pct"/>
                  <w:tcBorders>
                    <w:top w:val="single" w:sz="6" w:space="0" w:color="D9D9D9" w:themeColor="background1" w:themeShade="D9"/>
                    <w:left w:val="nil"/>
                    <w:bottom w:val="nil"/>
                    <w:right w:val="nil"/>
                  </w:tcBorders>
                  <w:shd w:val="clear" w:color="auto" w:fill="auto"/>
                  <w:vAlign w:val="bottom"/>
                </w:tcPr>
                <w:p w14:paraId="7954CB46"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0.87</w:t>
                  </w:r>
                </w:p>
              </w:tc>
              <w:tc>
                <w:tcPr>
                  <w:tcW w:w="557" w:type="pct"/>
                  <w:tcBorders>
                    <w:top w:val="nil"/>
                    <w:left w:val="nil"/>
                    <w:bottom w:val="nil"/>
                    <w:right w:val="nil"/>
                  </w:tcBorders>
                  <w:shd w:val="clear" w:color="auto" w:fill="auto"/>
                  <w:vAlign w:val="bottom"/>
                </w:tcPr>
                <w:p w14:paraId="7954CB47"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0.97</w:t>
                  </w:r>
                </w:p>
              </w:tc>
              <w:tc>
                <w:tcPr>
                  <w:tcW w:w="556" w:type="pct"/>
                  <w:tcBorders>
                    <w:top w:val="nil"/>
                    <w:left w:val="nil"/>
                    <w:bottom w:val="nil"/>
                    <w:right w:val="nil"/>
                  </w:tcBorders>
                  <w:shd w:val="clear" w:color="auto" w:fill="auto"/>
                  <w:vAlign w:val="bottom"/>
                </w:tcPr>
                <w:p w14:paraId="7954CB48"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1.08</w:t>
                  </w:r>
                </w:p>
              </w:tc>
              <w:tc>
                <w:tcPr>
                  <w:tcW w:w="556" w:type="pct"/>
                  <w:tcBorders>
                    <w:top w:val="nil"/>
                    <w:left w:val="nil"/>
                    <w:bottom w:val="nil"/>
                    <w:right w:val="nil"/>
                  </w:tcBorders>
                  <w:shd w:val="clear" w:color="auto" w:fill="auto"/>
                  <w:vAlign w:val="bottom"/>
                </w:tcPr>
                <w:p w14:paraId="7954CB49"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0.52</w:t>
                  </w:r>
                </w:p>
              </w:tc>
              <w:tc>
                <w:tcPr>
                  <w:tcW w:w="555" w:type="pct"/>
                  <w:tcBorders>
                    <w:top w:val="nil"/>
                    <w:left w:val="nil"/>
                    <w:bottom w:val="nil"/>
                    <w:right w:val="nil"/>
                  </w:tcBorders>
                  <w:shd w:val="clear" w:color="auto" w:fill="auto"/>
                  <w:vAlign w:val="bottom"/>
                </w:tcPr>
                <w:p w14:paraId="7954CB4A"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1.44</w:t>
                  </w:r>
                </w:p>
              </w:tc>
              <w:tc>
                <w:tcPr>
                  <w:tcW w:w="555" w:type="pct"/>
                  <w:tcBorders>
                    <w:top w:val="nil"/>
                    <w:left w:val="nil"/>
                    <w:bottom w:val="nil"/>
                    <w:right w:val="nil"/>
                  </w:tcBorders>
                  <w:shd w:val="clear" w:color="auto" w:fill="auto"/>
                  <w:vAlign w:val="bottom"/>
                </w:tcPr>
                <w:p w14:paraId="7954CB4B"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1.74</w:t>
                  </w:r>
                </w:p>
              </w:tc>
              <w:tc>
                <w:tcPr>
                  <w:tcW w:w="555" w:type="pct"/>
                  <w:tcBorders>
                    <w:top w:val="nil"/>
                    <w:left w:val="nil"/>
                    <w:bottom w:val="nil"/>
                    <w:right w:val="nil"/>
                  </w:tcBorders>
                  <w:shd w:val="clear" w:color="auto" w:fill="auto"/>
                  <w:vAlign w:val="bottom"/>
                </w:tcPr>
                <w:p w14:paraId="7954CB4C"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1.18</w:t>
                  </w:r>
                </w:p>
              </w:tc>
              <w:tc>
                <w:tcPr>
                  <w:tcW w:w="553" w:type="pct"/>
                  <w:tcBorders>
                    <w:top w:val="nil"/>
                    <w:left w:val="nil"/>
                    <w:bottom w:val="nil"/>
                    <w:right w:val="nil"/>
                  </w:tcBorders>
                  <w:shd w:val="clear" w:color="auto" w:fill="auto"/>
                  <w:vAlign w:val="bottom"/>
                </w:tcPr>
                <w:p w14:paraId="7954CB4D"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4.36</w:t>
                  </w:r>
                </w:p>
              </w:tc>
            </w:tr>
            <w:tr w:rsidR="00F05DC7" w14:paraId="7954CB58" w14:textId="77777777" w:rsidTr="00A3786D">
              <w:tc>
                <w:tcPr>
                  <w:tcW w:w="556" w:type="pct"/>
                </w:tcPr>
                <w:p w14:paraId="7954CB4F" w14:textId="77777777" w:rsidR="00F05DC7" w:rsidRDefault="00F05DC7" w:rsidP="00A3786D">
                  <w:pPr>
                    <w:pStyle w:val="TableBodyText"/>
                    <w:jc w:val="left"/>
                  </w:pPr>
                  <w:r w:rsidRPr="00D07850">
                    <w:rPr>
                      <w:rFonts w:asciiTheme="minorHAnsi" w:hAnsiTheme="minorHAnsi" w:cstheme="minorHAnsi"/>
                      <w:szCs w:val="18"/>
                    </w:rPr>
                    <w:t>2020</w:t>
                  </w:r>
                  <w:r>
                    <w:rPr>
                      <w:rFonts w:asciiTheme="minorHAnsi" w:hAnsiTheme="minorHAnsi" w:cstheme="minorHAnsi"/>
                      <w:szCs w:val="18"/>
                    </w:rPr>
                    <w:noBreakHyphen/>
                  </w:r>
                  <w:r w:rsidRPr="00D07850">
                    <w:rPr>
                      <w:rFonts w:asciiTheme="minorHAnsi" w:hAnsiTheme="minorHAnsi" w:cstheme="minorHAnsi"/>
                      <w:szCs w:val="18"/>
                    </w:rPr>
                    <w:t>21</w:t>
                  </w:r>
                </w:p>
              </w:tc>
              <w:tc>
                <w:tcPr>
                  <w:tcW w:w="557" w:type="pct"/>
                  <w:tcBorders>
                    <w:top w:val="nil"/>
                    <w:left w:val="nil"/>
                    <w:bottom w:val="nil"/>
                    <w:right w:val="nil"/>
                  </w:tcBorders>
                  <w:shd w:val="clear" w:color="auto" w:fill="auto"/>
                  <w:vAlign w:val="bottom"/>
                </w:tcPr>
                <w:p w14:paraId="7954CB50"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0.88</w:t>
                  </w:r>
                </w:p>
              </w:tc>
              <w:tc>
                <w:tcPr>
                  <w:tcW w:w="557" w:type="pct"/>
                  <w:tcBorders>
                    <w:top w:val="nil"/>
                    <w:left w:val="nil"/>
                    <w:bottom w:val="nil"/>
                    <w:right w:val="nil"/>
                  </w:tcBorders>
                  <w:shd w:val="clear" w:color="auto" w:fill="auto"/>
                  <w:vAlign w:val="bottom"/>
                </w:tcPr>
                <w:p w14:paraId="7954CB51"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0.95</w:t>
                  </w:r>
                </w:p>
              </w:tc>
              <w:tc>
                <w:tcPr>
                  <w:tcW w:w="556" w:type="pct"/>
                  <w:tcBorders>
                    <w:top w:val="nil"/>
                    <w:left w:val="nil"/>
                    <w:bottom w:val="nil"/>
                    <w:right w:val="nil"/>
                  </w:tcBorders>
                  <w:shd w:val="clear" w:color="auto" w:fill="auto"/>
                  <w:vAlign w:val="bottom"/>
                </w:tcPr>
                <w:p w14:paraId="7954CB52"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1.07</w:t>
                  </w:r>
                </w:p>
              </w:tc>
              <w:tc>
                <w:tcPr>
                  <w:tcW w:w="556" w:type="pct"/>
                  <w:tcBorders>
                    <w:top w:val="nil"/>
                    <w:left w:val="nil"/>
                    <w:bottom w:val="nil"/>
                    <w:right w:val="nil"/>
                  </w:tcBorders>
                  <w:shd w:val="clear" w:color="auto" w:fill="auto"/>
                  <w:vAlign w:val="bottom"/>
                </w:tcPr>
                <w:p w14:paraId="7954CB53"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0.57</w:t>
                  </w:r>
                </w:p>
              </w:tc>
              <w:tc>
                <w:tcPr>
                  <w:tcW w:w="555" w:type="pct"/>
                  <w:tcBorders>
                    <w:top w:val="nil"/>
                    <w:left w:val="nil"/>
                    <w:bottom w:val="nil"/>
                    <w:right w:val="nil"/>
                  </w:tcBorders>
                  <w:shd w:val="clear" w:color="auto" w:fill="auto"/>
                  <w:vAlign w:val="bottom"/>
                </w:tcPr>
                <w:p w14:paraId="7954CB54"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1.39</w:t>
                  </w:r>
                </w:p>
              </w:tc>
              <w:tc>
                <w:tcPr>
                  <w:tcW w:w="555" w:type="pct"/>
                  <w:tcBorders>
                    <w:top w:val="nil"/>
                    <w:left w:val="nil"/>
                    <w:bottom w:val="nil"/>
                    <w:right w:val="nil"/>
                  </w:tcBorders>
                  <w:shd w:val="clear" w:color="auto" w:fill="auto"/>
                  <w:vAlign w:val="bottom"/>
                </w:tcPr>
                <w:p w14:paraId="7954CB55"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1.71</w:t>
                  </w:r>
                </w:p>
              </w:tc>
              <w:tc>
                <w:tcPr>
                  <w:tcW w:w="555" w:type="pct"/>
                  <w:tcBorders>
                    <w:top w:val="nil"/>
                    <w:left w:val="nil"/>
                    <w:bottom w:val="nil"/>
                    <w:right w:val="nil"/>
                  </w:tcBorders>
                  <w:shd w:val="clear" w:color="auto" w:fill="auto"/>
                  <w:vAlign w:val="bottom"/>
                </w:tcPr>
                <w:p w14:paraId="7954CB56"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1.17</w:t>
                  </w:r>
                </w:p>
              </w:tc>
              <w:tc>
                <w:tcPr>
                  <w:tcW w:w="553" w:type="pct"/>
                  <w:tcBorders>
                    <w:top w:val="nil"/>
                    <w:left w:val="nil"/>
                    <w:bottom w:val="nil"/>
                    <w:right w:val="nil"/>
                  </w:tcBorders>
                  <w:shd w:val="clear" w:color="auto" w:fill="auto"/>
                  <w:vAlign w:val="bottom"/>
                </w:tcPr>
                <w:p w14:paraId="7954CB57"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4.46</w:t>
                  </w:r>
                </w:p>
              </w:tc>
            </w:tr>
            <w:tr w:rsidR="00F05DC7" w14:paraId="7954CB62" w14:textId="77777777" w:rsidTr="00A3786D">
              <w:tc>
                <w:tcPr>
                  <w:tcW w:w="556" w:type="pct"/>
                </w:tcPr>
                <w:p w14:paraId="7954CB59" w14:textId="77777777" w:rsidR="00F05DC7" w:rsidRDefault="00F05DC7" w:rsidP="00A3786D">
                  <w:pPr>
                    <w:pStyle w:val="TableBodyText"/>
                    <w:jc w:val="left"/>
                  </w:pPr>
                  <w:r w:rsidRPr="00D07850">
                    <w:rPr>
                      <w:rFonts w:asciiTheme="minorHAnsi" w:hAnsiTheme="minorHAnsi" w:cstheme="minorHAnsi"/>
                      <w:szCs w:val="18"/>
                    </w:rPr>
                    <w:t>2021</w:t>
                  </w:r>
                  <w:r>
                    <w:rPr>
                      <w:rFonts w:asciiTheme="minorHAnsi" w:hAnsiTheme="minorHAnsi" w:cstheme="minorHAnsi"/>
                      <w:szCs w:val="18"/>
                    </w:rPr>
                    <w:noBreakHyphen/>
                  </w:r>
                  <w:r w:rsidRPr="00D07850">
                    <w:rPr>
                      <w:rFonts w:asciiTheme="minorHAnsi" w:hAnsiTheme="minorHAnsi" w:cstheme="minorHAnsi"/>
                      <w:szCs w:val="18"/>
                    </w:rPr>
                    <w:t>22</w:t>
                  </w:r>
                </w:p>
              </w:tc>
              <w:tc>
                <w:tcPr>
                  <w:tcW w:w="557" w:type="pct"/>
                  <w:tcBorders>
                    <w:top w:val="nil"/>
                    <w:left w:val="nil"/>
                    <w:bottom w:val="nil"/>
                    <w:right w:val="nil"/>
                  </w:tcBorders>
                  <w:shd w:val="clear" w:color="auto" w:fill="auto"/>
                  <w:vAlign w:val="bottom"/>
                </w:tcPr>
                <w:p w14:paraId="7954CB5A"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0.89</w:t>
                  </w:r>
                </w:p>
              </w:tc>
              <w:tc>
                <w:tcPr>
                  <w:tcW w:w="557" w:type="pct"/>
                  <w:tcBorders>
                    <w:top w:val="nil"/>
                    <w:left w:val="nil"/>
                    <w:bottom w:val="nil"/>
                    <w:right w:val="nil"/>
                  </w:tcBorders>
                  <w:shd w:val="clear" w:color="auto" w:fill="auto"/>
                  <w:vAlign w:val="bottom"/>
                </w:tcPr>
                <w:p w14:paraId="7954CB5B"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0.94</w:t>
                  </w:r>
                </w:p>
              </w:tc>
              <w:tc>
                <w:tcPr>
                  <w:tcW w:w="556" w:type="pct"/>
                  <w:tcBorders>
                    <w:top w:val="nil"/>
                    <w:left w:val="nil"/>
                    <w:bottom w:val="nil"/>
                    <w:right w:val="nil"/>
                  </w:tcBorders>
                  <w:shd w:val="clear" w:color="auto" w:fill="auto"/>
                  <w:vAlign w:val="bottom"/>
                </w:tcPr>
                <w:p w14:paraId="7954CB5C"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1.06</w:t>
                  </w:r>
                </w:p>
              </w:tc>
              <w:tc>
                <w:tcPr>
                  <w:tcW w:w="556" w:type="pct"/>
                  <w:tcBorders>
                    <w:top w:val="nil"/>
                    <w:left w:val="nil"/>
                    <w:bottom w:val="nil"/>
                    <w:right w:val="nil"/>
                  </w:tcBorders>
                  <w:shd w:val="clear" w:color="auto" w:fill="auto"/>
                  <w:vAlign w:val="bottom"/>
                </w:tcPr>
                <w:p w14:paraId="7954CB5D"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0.62</w:t>
                  </w:r>
                </w:p>
              </w:tc>
              <w:tc>
                <w:tcPr>
                  <w:tcW w:w="555" w:type="pct"/>
                  <w:tcBorders>
                    <w:top w:val="nil"/>
                    <w:left w:val="nil"/>
                    <w:bottom w:val="nil"/>
                    <w:right w:val="nil"/>
                  </w:tcBorders>
                  <w:shd w:val="clear" w:color="auto" w:fill="auto"/>
                  <w:vAlign w:val="bottom"/>
                </w:tcPr>
                <w:p w14:paraId="7954CB5E"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1.35</w:t>
                  </w:r>
                </w:p>
              </w:tc>
              <w:tc>
                <w:tcPr>
                  <w:tcW w:w="555" w:type="pct"/>
                  <w:tcBorders>
                    <w:top w:val="nil"/>
                    <w:left w:val="nil"/>
                    <w:bottom w:val="nil"/>
                    <w:right w:val="nil"/>
                  </w:tcBorders>
                  <w:shd w:val="clear" w:color="auto" w:fill="auto"/>
                  <w:vAlign w:val="bottom"/>
                </w:tcPr>
                <w:p w14:paraId="7954CB5F"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1.68</w:t>
                  </w:r>
                </w:p>
              </w:tc>
              <w:tc>
                <w:tcPr>
                  <w:tcW w:w="555" w:type="pct"/>
                  <w:tcBorders>
                    <w:top w:val="nil"/>
                    <w:left w:val="nil"/>
                    <w:bottom w:val="nil"/>
                    <w:right w:val="nil"/>
                  </w:tcBorders>
                  <w:shd w:val="clear" w:color="auto" w:fill="auto"/>
                  <w:vAlign w:val="bottom"/>
                </w:tcPr>
                <w:p w14:paraId="7954CB60"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1.17</w:t>
                  </w:r>
                </w:p>
              </w:tc>
              <w:tc>
                <w:tcPr>
                  <w:tcW w:w="553" w:type="pct"/>
                  <w:tcBorders>
                    <w:top w:val="nil"/>
                    <w:left w:val="nil"/>
                    <w:bottom w:val="nil"/>
                    <w:right w:val="nil"/>
                  </w:tcBorders>
                  <w:shd w:val="clear" w:color="auto" w:fill="auto"/>
                  <w:vAlign w:val="bottom"/>
                </w:tcPr>
                <w:p w14:paraId="7954CB61"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4.56</w:t>
                  </w:r>
                </w:p>
              </w:tc>
            </w:tr>
            <w:tr w:rsidR="00F05DC7" w14:paraId="7954CB6C" w14:textId="77777777" w:rsidTr="00A3786D">
              <w:tc>
                <w:tcPr>
                  <w:tcW w:w="556" w:type="pct"/>
                </w:tcPr>
                <w:p w14:paraId="7954CB63" w14:textId="77777777" w:rsidR="00F05DC7" w:rsidRDefault="00F05DC7" w:rsidP="00A3786D">
                  <w:pPr>
                    <w:pStyle w:val="TableBodyText"/>
                    <w:jc w:val="left"/>
                  </w:pPr>
                  <w:r w:rsidRPr="00D07850">
                    <w:rPr>
                      <w:rFonts w:asciiTheme="minorHAnsi" w:hAnsiTheme="minorHAnsi" w:cstheme="minorHAnsi"/>
                      <w:szCs w:val="18"/>
                    </w:rPr>
                    <w:t>2022</w:t>
                  </w:r>
                  <w:r>
                    <w:rPr>
                      <w:rFonts w:asciiTheme="minorHAnsi" w:hAnsiTheme="minorHAnsi" w:cstheme="minorHAnsi"/>
                      <w:szCs w:val="18"/>
                    </w:rPr>
                    <w:noBreakHyphen/>
                  </w:r>
                  <w:r w:rsidRPr="00D07850">
                    <w:rPr>
                      <w:rFonts w:asciiTheme="minorHAnsi" w:hAnsiTheme="minorHAnsi" w:cstheme="minorHAnsi"/>
                      <w:szCs w:val="18"/>
                    </w:rPr>
                    <w:t>23</w:t>
                  </w:r>
                </w:p>
              </w:tc>
              <w:tc>
                <w:tcPr>
                  <w:tcW w:w="557" w:type="pct"/>
                  <w:tcBorders>
                    <w:top w:val="nil"/>
                    <w:left w:val="nil"/>
                    <w:bottom w:val="nil"/>
                    <w:right w:val="nil"/>
                  </w:tcBorders>
                  <w:shd w:val="clear" w:color="auto" w:fill="auto"/>
                  <w:vAlign w:val="bottom"/>
                </w:tcPr>
                <w:p w14:paraId="7954CB64"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0.90</w:t>
                  </w:r>
                </w:p>
              </w:tc>
              <w:tc>
                <w:tcPr>
                  <w:tcW w:w="557" w:type="pct"/>
                  <w:tcBorders>
                    <w:top w:val="nil"/>
                    <w:left w:val="nil"/>
                    <w:bottom w:val="nil"/>
                    <w:right w:val="nil"/>
                  </w:tcBorders>
                  <w:shd w:val="clear" w:color="auto" w:fill="auto"/>
                  <w:vAlign w:val="bottom"/>
                </w:tcPr>
                <w:p w14:paraId="7954CB65"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0.92</w:t>
                  </w:r>
                </w:p>
              </w:tc>
              <w:tc>
                <w:tcPr>
                  <w:tcW w:w="556" w:type="pct"/>
                  <w:tcBorders>
                    <w:top w:val="nil"/>
                    <w:left w:val="nil"/>
                    <w:bottom w:val="nil"/>
                    <w:right w:val="nil"/>
                  </w:tcBorders>
                  <w:shd w:val="clear" w:color="auto" w:fill="auto"/>
                  <w:vAlign w:val="bottom"/>
                </w:tcPr>
                <w:p w14:paraId="7954CB66"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1.04</w:t>
                  </w:r>
                </w:p>
              </w:tc>
              <w:tc>
                <w:tcPr>
                  <w:tcW w:w="556" w:type="pct"/>
                  <w:tcBorders>
                    <w:top w:val="nil"/>
                    <w:left w:val="nil"/>
                    <w:bottom w:val="nil"/>
                    <w:right w:val="nil"/>
                  </w:tcBorders>
                  <w:shd w:val="clear" w:color="auto" w:fill="auto"/>
                  <w:vAlign w:val="bottom"/>
                </w:tcPr>
                <w:p w14:paraId="7954CB67"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0.67</w:t>
                  </w:r>
                </w:p>
              </w:tc>
              <w:tc>
                <w:tcPr>
                  <w:tcW w:w="555" w:type="pct"/>
                  <w:tcBorders>
                    <w:top w:val="nil"/>
                    <w:left w:val="nil"/>
                    <w:bottom w:val="nil"/>
                    <w:right w:val="nil"/>
                  </w:tcBorders>
                  <w:shd w:val="clear" w:color="auto" w:fill="auto"/>
                  <w:vAlign w:val="bottom"/>
                </w:tcPr>
                <w:p w14:paraId="7954CB68"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1.31</w:t>
                  </w:r>
                </w:p>
              </w:tc>
              <w:tc>
                <w:tcPr>
                  <w:tcW w:w="555" w:type="pct"/>
                  <w:tcBorders>
                    <w:top w:val="nil"/>
                    <w:left w:val="nil"/>
                    <w:bottom w:val="nil"/>
                    <w:right w:val="nil"/>
                  </w:tcBorders>
                  <w:shd w:val="clear" w:color="auto" w:fill="auto"/>
                  <w:vAlign w:val="bottom"/>
                </w:tcPr>
                <w:p w14:paraId="7954CB69"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1.65</w:t>
                  </w:r>
                </w:p>
              </w:tc>
              <w:tc>
                <w:tcPr>
                  <w:tcW w:w="555" w:type="pct"/>
                  <w:tcBorders>
                    <w:top w:val="nil"/>
                    <w:left w:val="nil"/>
                    <w:bottom w:val="nil"/>
                    <w:right w:val="nil"/>
                  </w:tcBorders>
                  <w:shd w:val="clear" w:color="auto" w:fill="auto"/>
                  <w:vAlign w:val="bottom"/>
                </w:tcPr>
                <w:p w14:paraId="7954CB6A"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1.17</w:t>
                  </w:r>
                </w:p>
              </w:tc>
              <w:tc>
                <w:tcPr>
                  <w:tcW w:w="553" w:type="pct"/>
                  <w:tcBorders>
                    <w:top w:val="nil"/>
                    <w:left w:val="nil"/>
                    <w:bottom w:val="nil"/>
                    <w:right w:val="nil"/>
                  </w:tcBorders>
                  <w:shd w:val="clear" w:color="auto" w:fill="auto"/>
                  <w:vAlign w:val="bottom"/>
                </w:tcPr>
                <w:p w14:paraId="7954CB6B"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4.66</w:t>
                  </w:r>
                </w:p>
              </w:tc>
            </w:tr>
            <w:tr w:rsidR="00F05DC7" w14:paraId="7954CB76" w14:textId="77777777" w:rsidTr="00A3786D">
              <w:tc>
                <w:tcPr>
                  <w:tcW w:w="556" w:type="pct"/>
                </w:tcPr>
                <w:p w14:paraId="7954CB6D" w14:textId="77777777" w:rsidR="00F05DC7" w:rsidRDefault="00F05DC7" w:rsidP="00A3786D">
                  <w:pPr>
                    <w:pStyle w:val="TableBodyText"/>
                    <w:jc w:val="left"/>
                  </w:pPr>
                  <w:r w:rsidRPr="00D07850">
                    <w:rPr>
                      <w:rFonts w:asciiTheme="minorHAnsi" w:hAnsiTheme="minorHAnsi" w:cstheme="minorHAnsi"/>
                      <w:szCs w:val="18"/>
                    </w:rPr>
                    <w:t>2023</w:t>
                  </w:r>
                  <w:r>
                    <w:rPr>
                      <w:rFonts w:asciiTheme="minorHAnsi" w:hAnsiTheme="minorHAnsi" w:cstheme="minorHAnsi"/>
                      <w:szCs w:val="18"/>
                    </w:rPr>
                    <w:noBreakHyphen/>
                  </w:r>
                  <w:r w:rsidRPr="00D07850">
                    <w:rPr>
                      <w:rFonts w:asciiTheme="minorHAnsi" w:hAnsiTheme="minorHAnsi" w:cstheme="minorHAnsi"/>
                      <w:szCs w:val="18"/>
                    </w:rPr>
                    <w:t>24</w:t>
                  </w:r>
                </w:p>
              </w:tc>
              <w:tc>
                <w:tcPr>
                  <w:tcW w:w="557" w:type="pct"/>
                  <w:tcBorders>
                    <w:top w:val="nil"/>
                    <w:left w:val="nil"/>
                    <w:bottom w:val="nil"/>
                    <w:right w:val="nil"/>
                  </w:tcBorders>
                  <w:shd w:val="clear" w:color="auto" w:fill="auto"/>
                  <w:vAlign w:val="bottom"/>
                </w:tcPr>
                <w:p w14:paraId="7954CB6E"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0.91</w:t>
                  </w:r>
                </w:p>
              </w:tc>
              <w:tc>
                <w:tcPr>
                  <w:tcW w:w="557" w:type="pct"/>
                  <w:tcBorders>
                    <w:top w:val="nil"/>
                    <w:left w:val="nil"/>
                    <w:bottom w:val="nil"/>
                    <w:right w:val="nil"/>
                  </w:tcBorders>
                  <w:shd w:val="clear" w:color="auto" w:fill="auto"/>
                  <w:vAlign w:val="bottom"/>
                </w:tcPr>
                <w:p w14:paraId="7954CB6F"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0.90</w:t>
                  </w:r>
                </w:p>
              </w:tc>
              <w:tc>
                <w:tcPr>
                  <w:tcW w:w="556" w:type="pct"/>
                  <w:tcBorders>
                    <w:top w:val="nil"/>
                    <w:left w:val="nil"/>
                    <w:bottom w:val="nil"/>
                    <w:right w:val="nil"/>
                  </w:tcBorders>
                  <w:shd w:val="clear" w:color="auto" w:fill="auto"/>
                  <w:vAlign w:val="bottom"/>
                </w:tcPr>
                <w:p w14:paraId="7954CB70"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1.03</w:t>
                  </w:r>
                </w:p>
              </w:tc>
              <w:tc>
                <w:tcPr>
                  <w:tcW w:w="556" w:type="pct"/>
                  <w:tcBorders>
                    <w:top w:val="nil"/>
                    <w:left w:val="nil"/>
                    <w:bottom w:val="nil"/>
                    <w:right w:val="nil"/>
                  </w:tcBorders>
                  <w:shd w:val="clear" w:color="auto" w:fill="auto"/>
                  <w:vAlign w:val="bottom"/>
                </w:tcPr>
                <w:p w14:paraId="7954CB71"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0.72</w:t>
                  </w:r>
                </w:p>
              </w:tc>
              <w:tc>
                <w:tcPr>
                  <w:tcW w:w="555" w:type="pct"/>
                  <w:tcBorders>
                    <w:top w:val="nil"/>
                    <w:left w:val="nil"/>
                    <w:bottom w:val="nil"/>
                    <w:right w:val="nil"/>
                  </w:tcBorders>
                  <w:shd w:val="clear" w:color="auto" w:fill="auto"/>
                  <w:vAlign w:val="bottom"/>
                </w:tcPr>
                <w:p w14:paraId="7954CB72"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1.27</w:t>
                  </w:r>
                </w:p>
              </w:tc>
              <w:tc>
                <w:tcPr>
                  <w:tcW w:w="555" w:type="pct"/>
                  <w:tcBorders>
                    <w:top w:val="nil"/>
                    <w:left w:val="nil"/>
                    <w:bottom w:val="nil"/>
                    <w:right w:val="nil"/>
                  </w:tcBorders>
                  <w:shd w:val="clear" w:color="auto" w:fill="auto"/>
                  <w:vAlign w:val="bottom"/>
                </w:tcPr>
                <w:p w14:paraId="7954CB73"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1.62</w:t>
                  </w:r>
                </w:p>
              </w:tc>
              <w:tc>
                <w:tcPr>
                  <w:tcW w:w="555" w:type="pct"/>
                  <w:tcBorders>
                    <w:top w:val="nil"/>
                    <w:left w:val="nil"/>
                    <w:bottom w:val="nil"/>
                    <w:right w:val="nil"/>
                  </w:tcBorders>
                  <w:shd w:val="clear" w:color="auto" w:fill="auto"/>
                  <w:vAlign w:val="bottom"/>
                </w:tcPr>
                <w:p w14:paraId="7954CB74"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1.17</w:t>
                  </w:r>
                </w:p>
              </w:tc>
              <w:tc>
                <w:tcPr>
                  <w:tcW w:w="553" w:type="pct"/>
                  <w:tcBorders>
                    <w:top w:val="nil"/>
                    <w:left w:val="nil"/>
                    <w:bottom w:val="nil"/>
                    <w:right w:val="nil"/>
                  </w:tcBorders>
                  <w:shd w:val="clear" w:color="auto" w:fill="auto"/>
                  <w:vAlign w:val="bottom"/>
                </w:tcPr>
                <w:p w14:paraId="7954CB75"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4.76</w:t>
                  </w:r>
                </w:p>
              </w:tc>
            </w:tr>
            <w:tr w:rsidR="00F05DC7" w14:paraId="7954CB80" w14:textId="77777777" w:rsidTr="00A3786D">
              <w:tc>
                <w:tcPr>
                  <w:tcW w:w="556" w:type="pct"/>
                </w:tcPr>
                <w:p w14:paraId="7954CB77" w14:textId="77777777" w:rsidR="00F05DC7" w:rsidRDefault="00F05DC7" w:rsidP="00A3786D">
                  <w:pPr>
                    <w:pStyle w:val="TableBodyText"/>
                    <w:jc w:val="left"/>
                  </w:pPr>
                  <w:r w:rsidRPr="00D07850">
                    <w:rPr>
                      <w:rFonts w:asciiTheme="minorHAnsi" w:hAnsiTheme="minorHAnsi" w:cstheme="minorHAnsi"/>
                      <w:szCs w:val="18"/>
                    </w:rPr>
                    <w:t>2024</w:t>
                  </w:r>
                  <w:r>
                    <w:rPr>
                      <w:rFonts w:asciiTheme="minorHAnsi" w:hAnsiTheme="minorHAnsi" w:cstheme="minorHAnsi"/>
                      <w:szCs w:val="18"/>
                    </w:rPr>
                    <w:noBreakHyphen/>
                  </w:r>
                  <w:r w:rsidRPr="00D07850">
                    <w:rPr>
                      <w:rFonts w:asciiTheme="minorHAnsi" w:hAnsiTheme="minorHAnsi" w:cstheme="minorHAnsi"/>
                      <w:szCs w:val="18"/>
                    </w:rPr>
                    <w:t>25</w:t>
                  </w:r>
                </w:p>
              </w:tc>
              <w:tc>
                <w:tcPr>
                  <w:tcW w:w="557" w:type="pct"/>
                  <w:tcBorders>
                    <w:top w:val="nil"/>
                    <w:left w:val="nil"/>
                    <w:bottom w:val="nil"/>
                    <w:right w:val="nil"/>
                  </w:tcBorders>
                  <w:shd w:val="clear" w:color="auto" w:fill="auto"/>
                  <w:vAlign w:val="bottom"/>
                </w:tcPr>
                <w:p w14:paraId="7954CB78"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0.91</w:t>
                  </w:r>
                </w:p>
              </w:tc>
              <w:tc>
                <w:tcPr>
                  <w:tcW w:w="557" w:type="pct"/>
                  <w:tcBorders>
                    <w:top w:val="nil"/>
                    <w:left w:val="nil"/>
                    <w:bottom w:val="nil"/>
                    <w:right w:val="nil"/>
                  </w:tcBorders>
                  <w:shd w:val="clear" w:color="auto" w:fill="auto"/>
                  <w:vAlign w:val="bottom"/>
                </w:tcPr>
                <w:p w14:paraId="7954CB79"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0.90</w:t>
                  </w:r>
                </w:p>
              </w:tc>
              <w:tc>
                <w:tcPr>
                  <w:tcW w:w="556" w:type="pct"/>
                  <w:tcBorders>
                    <w:top w:val="nil"/>
                    <w:left w:val="nil"/>
                    <w:bottom w:val="nil"/>
                    <w:right w:val="nil"/>
                  </w:tcBorders>
                  <w:shd w:val="clear" w:color="auto" w:fill="auto"/>
                  <w:vAlign w:val="bottom"/>
                </w:tcPr>
                <w:p w14:paraId="7954CB7A"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1.03</w:t>
                  </w:r>
                </w:p>
              </w:tc>
              <w:tc>
                <w:tcPr>
                  <w:tcW w:w="556" w:type="pct"/>
                  <w:tcBorders>
                    <w:top w:val="nil"/>
                    <w:left w:val="nil"/>
                    <w:bottom w:val="nil"/>
                    <w:right w:val="nil"/>
                  </w:tcBorders>
                  <w:shd w:val="clear" w:color="auto" w:fill="auto"/>
                  <w:vAlign w:val="bottom"/>
                </w:tcPr>
                <w:p w14:paraId="7954CB7B"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0.72</w:t>
                  </w:r>
                </w:p>
              </w:tc>
              <w:tc>
                <w:tcPr>
                  <w:tcW w:w="555" w:type="pct"/>
                  <w:tcBorders>
                    <w:top w:val="nil"/>
                    <w:left w:val="nil"/>
                    <w:bottom w:val="nil"/>
                    <w:right w:val="nil"/>
                  </w:tcBorders>
                  <w:shd w:val="clear" w:color="auto" w:fill="auto"/>
                  <w:vAlign w:val="bottom"/>
                </w:tcPr>
                <w:p w14:paraId="7954CB7C"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1.27</w:t>
                  </w:r>
                </w:p>
              </w:tc>
              <w:tc>
                <w:tcPr>
                  <w:tcW w:w="555" w:type="pct"/>
                  <w:tcBorders>
                    <w:top w:val="nil"/>
                    <w:left w:val="nil"/>
                    <w:bottom w:val="nil"/>
                    <w:right w:val="nil"/>
                  </w:tcBorders>
                  <w:shd w:val="clear" w:color="auto" w:fill="auto"/>
                  <w:vAlign w:val="bottom"/>
                </w:tcPr>
                <w:p w14:paraId="7954CB7D"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1.62</w:t>
                  </w:r>
                </w:p>
              </w:tc>
              <w:tc>
                <w:tcPr>
                  <w:tcW w:w="555" w:type="pct"/>
                  <w:tcBorders>
                    <w:top w:val="nil"/>
                    <w:left w:val="nil"/>
                    <w:bottom w:val="nil"/>
                    <w:right w:val="nil"/>
                  </w:tcBorders>
                  <w:shd w:val="clear" w:color="auto" w:fill="auto"/>
                  <w:vAlign w:val="bottom"/>
                </w:tcPr>
                <w:p w14:paraId="7954CB7E"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1.17</w:t>
                  </w:r>
                </w:p>
              </w:tc>
              <w:tc>
                <w:tcPr>
                  <w:tcW w:w="553" w:type="pct"/>
                  <w:tcBorders>
                    <w:top w:val="nil"/>
                    <w:left w:val="nil"/>
                    <w:bottom w:val="nil"/>
                    <w:right w:val="nil"/>
                  </w:tcBorders>
                  <w:shd w:val="clear" w:color="auto" w:fill="auto"/>
                  <w:vAlign w:val="bottom"/>
                </w:tcPr>
                <w:p w14:paraId="7954CB7F"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4.76</w:t>
                  </w:r>
                </w:p>
              </w:tc>
            </w:tr>
            <w:tr w:rsidR="00F05DC7" w14:paraId="7954CB8A" w14:textId="77777777" w:rsidTr="00A3786D">
              <w:tc>
                <w:tcPr>
                  <w:tcW w:w="556" w:type="pct"/>
                </w:tcPr>
                <w:p w14:paraId="7954CB81" w14:textId="77777777" w:rsidR="00F05DC7" w:rsidRDefault="00F05DC7" w:rsidP="00A3786D">
                  <w:pPr>
                    <w:pStyle w:val="TableBodyText"/>
                    <w:jc w:val="left"/>
                  </w:pPr>
                  <w:r w:rsidRPr="00D07850">
                    <w:rPr>
                      <w:rFonts w:asciiTheme="minorHAnsi" w:hAnsiTheme="minorHAnsi" w:cstheme="minorHAnsi"/>
                      <w:szCs w:val="18"/>
                    </w:rPr>
                    <w:t>2025</w:t>
                  </w:r>
                  <w:r>
                    <w:rPr>
                      <w:rFonts w:asciiTheme="minorHAnsi" w:hAnsiTheme="minorHAnsi" w:cstheme="minorHAnsi"/>
                      <w:szCs w:val="18"/>
                    </w:rPr>
                    <w:noBreakHyphen/>
                  </w:r>
                  <w:r w:rsidRPr="00D07850">
                    <w:rPr>
                      <w:rFonts w:asciiTheme="minorHAnsi" w:hAnsiTheme="minorHAnsi" w:cstheme="minorHAnsi"/>
                      <w:szCs w:val="18"/>
                    </w:rPr>
                    <w:t>26</w:t>
                  </w:r>
                </w:p>
              </w:tc>
              <w:tc>
                <w:tcPr>
                  <w:tcW w:w="557" w:type="pct"/>
                  <w:tcBorders>
                    <w:top w:val="nil"/>
                    <w:left w:val="nil"/>
                    <w:bottom w:val="nil"/>
                    <w:right w:val="nil"/>
                  </w:tcBorders>
                  <w:shd w:val="clear" w:color="auto" w:fill="auto"/>
                  <w:vAlign w:val="bottom"/>
                </w:tcPr>
                <w:p w14:paraId="7954CB82"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0.91</w:t>
                  </w:r>
                </w:p>
              </w:tc>
              <w:tc>
                <w:tcPr>
                  <w:tcW w:w="557" w:type="pct"/>
                  <w:tcBorders>
                    <w:top w:val="nil"/>
                    <w:left w:val="nil"/>
                    <w:bottom w:val="nil"/>
                    <w:right w:val="nil"/>
                  </w:tcBorders>
                  <w:shd w:val="clear" w:color="auto" w:fill="auto"/>
                  <w:vAlign w:val="bottom"/>
                </w:tcPr>
                <w:p w14:paraId="7954CB83"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0.90</w:t>
                  </w:r>
                </w:p>
              </w:tc>
              <w:tc>
                <w:tcPr>
                  <w:tcW w:w="556" w:type="pct"/>
                  <w:tcBorders>
                    <w:top w:val="nil"/>
                    <w:left w:val="nil"/>
                    <w:bottom w:val="nil"/>
                    <w:right w:val="nil"/>
                  </w:tcBorders>
                  <w:shd w:val="clear" w:color="auto" w:fill="auto"/>
                  <w:vAlign w:val="bottom"/>
                </w:tcPr>
                <w:p w14:paraId="7954CB84"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1.03</w:t>
                  </w:r>
                </w:p>
              </w:tc>
              <w:tc>
                <w:tcPr>
                  <w:tcW w:w="556" w:type="pct"/>
                  <w:tcBorders>
                    <w:top w:val="nil"/>
                    <w:left w:val="nil"/>
                    <w:bottom w:val="nil"/>
                    <w:right w:val="nil"/>
                  </w:tcBorders>
                  <w:shd w:val="clear" w:color="auto" w:fill="auto"/>
                  <w:vAlign w:val="bottom"/>
                </w:tcPr>
                <w:p w14:paraId="7954CB85"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0.72</w:t>
                  </w:r>
                </w:p>
              </w:tc>
              <w:tc>
                <w:tcPr>
                  <w:tcW w:w="555" w:type="pct"/>
                  <w:tcBorders>
                    <w:top w:val="nil"/>
                    <w:left w:val="nil"/>
                    <w:bottom w:val="nil"/>
                    <w:right w:val="nil"/>
                  </w:tcBorders>
                  <w:shd w:val="clear" w:color="auto" w:fill="auto"/>
                  <w:vAlign w:val="bottom"/>
                </w:tcPr>
                <w:p w14:paraId="7954CB86"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1.27</w:t>
                  </w:r>
                </w:p>
              </w:tc>
              <w:tc>
                <w:tcPr>
                  <w:tcW w:w="555" w:type="pct"/>
                  <w:tcBorders>
                    <w:top w:val="nil"/>
                    <w:left w:val="nil"/>
                    <w:bottom w:val="nil"/>
                    <w:right w:val="nil"/>
                  </w:tcBorders>
                  <w:shd w:val="clear" w:color="auto" w:fill="auto"/>
                  <w:vAlign w:val="bottom"/>
                </w:tcPr>
                <w:p w14:paraId="7954CB87"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1.62</w:t>
                  </w:r>
                </w:p>
              </w:tc>
              <w:tc>
                <w:tcPr>
                  <w:tcW w:w="555" w:type="pct"/>
                  <w:tcBorders>
                    <w:top w:val="nil"/>
                    <w:left w:val="nil"/>
                    <w:bottom w:val="nil"/>
                    <w:right w:val="nil"/>
                  </w:tcBorders>
                  <w:shd w:val="clear" w:color="auto" w:fill="auto"/>
                  <w:vAlign w:val="bottom"/>
                </w:tcPr>
                <w:p w14:paraId="7954CB88"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1.17</w:t>
                  </w:r>
                </w:p>
              </w:tc>
              <w:tc>
                <w:tcPr>
                  <w:tcW w:w="553" w:type="pct"/>
                  <w:tcBorders>
                    <w:top w:val="nil"/>
                    <w:left w:val="nil"/>
                    <w:bottom w:val="nil"/>
                    <w:right w:val="nil"/>
                  </w:tcBorders>
                  <w:shd w:val="clear" w:color="auto" w:fill="auto"/>
                  <w:vAlign w:val="bottom"/>
                </w:tcPr>
                <w:p w14:paraId="7954CB89"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4.76</w:t>
                  </w:r>
                </w:p>
              </w:tc>
            </w:tr>
            <w:tr w:rsidR="00F05DC7" w14:paraId="7954CB94" w14:textId="77777777" w:rsidTr="00A3786D">
              <w:tc>
                <w:tcPr>
                  <w:tcW w:w="556" w:type="pct"/>
                  <w:tcBorders>
                    <w:bottom w:val="single" w:sz="6" w:space="0" w:color="D9D9D9" w:themeColor="background1" w:themeShade="D9"/>
                  </w:tcBorders>
                </w:tcPr>
                <w:p w14:paraId="7954CB8B" w14:textId="77777777" w:rsidR="00F05DC7" w:rsidRDefault="00F05DC7" w:rsidP="00A3786D">
                  <w:pPr>
                    <w:pStyle w:val="TableBodyText"/>
                    <w:jc w:val="left"/>
                  </w:pPr>
                  <w:r w:rsidRPr="00D07850">
                    <w:rPr>
                      <w:rFonts w:asciiTheme="minorHAnsi" w:hAnsiTheme="minorHAnsi" w:cstheme="minorHAnsi"/>
                      <w:szCs w:val="18"/>
                    </w:rPr>
                    <w:t>2026</w:t>
                  </w:r>
                  <w:r>
                    <w:rPr>
                      <w:rFonts w:asciiTheme="minorHAnsi" w:hAnsiTheme="minorHAnsi" w:cstheme="minorHAnsi"/>
                      <w:szCs w:val="18"/>
                    </w:rPr>
                    <w:noBreakHyphen/>
                  </w:r>
                  <w:r w:rsidRPr="00D07850">
                    <w:rPr>
                      <w:rFonts w:asciiTheme="minorHAnsi" w:hAnsiTheme="minorHAnsi" w:cstheme="minorHAnsi"/>
                      <w:szCs w:val="18"/>
                    </w:rPr>
                    <w:t>27</w:t>
                  </w:r>
                </w:p>
              </w:tc>
              <w:tc>
                <w:tcPr>
                  <w:tcW w:w="557" w:type="pct"/>
                  <w:tcBorders>
                    <w:top w:val="nil"/>
                    <w:left w:val="nil"/>
                    <w:bottom w:val="single" w:sz="6" w:space="0" w:color="D9D9D9" w:themeColor="background1" w:themeShade="D9"/>
                    <w:right w:val="nil"/>
                  </w:tcBorders>
                  <w:shd w:val="clear" w:color="auto" w:fill="auto"/>
                  <w:vAlign w:val="bottom"/>
                </w:tcPr>
                <w:p w14:paraId="7954CB8C"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0.91</w:t>
                  </w:r>
                </w:p>
              </w:tc>
              <w:tc>
                <w:tcPr>
                  <w:tcW w:w="557" w:type="pct"/>
                  <w:tcBorders>
                    <w:top w:val="nil"/>
                    <w:left w:val="nil"/>
                    <w:bottom w:val="single" w:sz="6" w:space="0" w:color="D9D9D9" w:themeColor="background1" w:themeShade="D9"/>
                    <w:right w:val="nil"/>
                  </w:tcBorders>
                  <w:shd w:val="clear" w:color="auto" w:fill="auto"/>
                  <w:vAlign w:val="bottom"/>
                </w:tcPr>
                <w:p w14:paraId="7954CB8D"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0.90</w:t>
                  </w:r>
                </w:p>
              </w:tc>
              <w:tc>
                <w:tcPr>
                  <w:tcW w:w="556" w:type="pct"/>
                  <w:tcBorders>
                    <w:top w:val="nil"/>
                    <w:left w:val="nil"/>
                    <w:bottom w:val="single" w:sz="6" w:space="0" w:color="D9D9D9" w:themeColor="background1" w:themeShade="D9"/>
                    <w:right w:val="nil"/>
                  </w:tcBorders>
                  <w:shd w:val="clear" w:color="auto" w:fill="auto"/>
                  <w:vAlign w:val="bottom"/>
                </w:tcPr>
                <w:p w14:paraId="7954CB8E"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1.03</w:t>
                  </w:r>
                </w:p>
              </w:tc>
              <w:tc>
                <w:tcPr>
                  <w:tcW w:w="556" w:type="pct"/>
                  <w:tcBorders>
                    <w:top w:val="nil"/>
                    <w:left w:val="nil"/>
                    <w:bottom w:val="single" w:sz="6" w:space="0" w:color="D9D9D9" w:themeColor="background1" w:themeShade="D9"/>
                    <w:right w:val="nil"/>
                  </w:tcBorders>
                  <w:shd w:val="clear" w:color="auto" w:fill="auto"/>
                  <w:vAlign w:val="bottom"/>
                </w:tcPr>
                <w:p w14:paraId="7954CB8F"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0.72</w:t>
                  </w:r>
                </w:p>
              </w:tc>
              <w:tc>
                <w:tcPr>
                  <w:tcW w:w="555" w:type="pct"/>
                  <w:tcBorders>
                    <w:top w:val="nil"/>
                    <w:left w:val="nil"/>
                    <w:bottom w:val="single" w:sz="6" w:space="0" w:color="D9D9D9" w:themeColor="background1" w:themeShade="D9"/>
                    <w:right w:val="nil"/>
                  </w:tcBorders>
                  <w:shd w:val="clear" w:color="auto" w:fill="auto"/>
                  <w:vAlign w:val="bottom"/>
                </w:tcPr>
                <w:p w14:paraId="7954CB90"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1.27</w:t>
                  </w:r>
                </w:p>
              </w:tc>
              <w:tc>
                <w:tcPr>
                  <w:tcW w:w="555" w:type="pct"/>
                  <w:tcBorders>
                    <w:top w:val="nil"/>
                    <w:left w:val="nil"/>
                    <w:bottom w:val="single" w:sz="6" w:space="0" w:color="D9D9D9" w:themeColor="background1" w:themeShade="D9"/>
                    <w:right w:val="nil"/>
                  </w:tcBorders>
                  <w:shd w:val="clear" w:color="auto" w:fill="auto"/>
                  <w:vAlign w:val="bottom"/>
                </w:tcPr>
                <w:p w14:paraId="7954CB91"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1.62</w:t>
                  </w:r>
                </w:p>
              </w:tc>
              <w:tc>
                <w:tcPr>
                  <w:tcW w:w="555" w:type="pct"/>
                  <w:tcBorders>
                    <w:top w:val="nil"/>
                    <w:left w:val="nil"/>
                    <w:bottom w:val="single" w:sz="6" w:space="0" w:color="D9D9D9" w:themeColor="background1" w:themeShade="D9"/>
                    <w:right w:val="nil"/>
                  </w:tcBorders>
                  <w:shd w:val="clear" w:color="auto" w:fill="auto"/>
                  <w:vAlign w:val="bottom"/>
                </w:tcPr>
                <w:p w14:paraId="7954CB92"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1.17</w:t>
                  </w:r>
                </w:p>
              </w:tc>
              <w:tc>
                <w:tcPr>
                  <w:tcW w:w="553" w:type="pct"/>
                  <w:tcBorders>
                    <w:top w:val="nil"/>
                    <w:left w:val="nil"/>
                    <w:bottom w:val="nil"/>
                    <w:right w:val="nil"/>
                  </w:tcBorders>
                  <w:shd w:val="clear" w:color="auto" w:fill="auto"/>
                  <w:vAlign w:val="bottom"/>
                </w:tcPr>
                <w:p w14:paraId="7954CB93"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4.76</w:t>
                  </w:r>
                </w:p>
              </w:tc>
            </w:tr>
            <w:tr w:rsidR="00F05DC7" w14:paraId="7954CB96" w14:textId="77777777" w:rsidTr="00A3786D">
              <w:tc>
                <w:tcPr>
                  <w:tcW w:w="5000" w:type="pct"/>
                  <w:gridSpan w:val="9"/>
                  <w:tcBorders>
                    <w:top w:val="single" w:sz="6" w:space="0" w:color="D9D9D9" w:themeColor="background1" w:themeShade="D9"/>
                  </w:tcBorders>
                </w:tcPr>
                <w:p w14:paraId="7954CB95" w14:textId="77777777" w:rsidR="00F05DC7" w:rsidRDefault="00F05DC7" w:rsidP="00A3786D">
                  <w:pPr>
                    <w:pStyle w:val="TableBodyText"/>
                    <w:ind w:right="28"/>
                    <w:jc w:val="left"/>
                  </w:pPr>
                  <w:r>
                    <w:t>Relative fiscal capacities stay at current levels</w:t>
                  </w:r>
                </w:p>
              </w:tc>
            </w:tr>
            <w:tr w:rsidR="00F05DC7" w14:paraId="7954CBA0" w14:textId="77777777" w:rsidTr="00A3786D">
              <w:tc>
                <w:tcPr>
                  <w:tcW w:w="556" w:type="pct"/>
                  <w:tcBorders>
                    <w:top w:val="single" w:sz="6" w:space="0" w:color="D9D9D9" w:themeColor="background1" w:themeShade="D9"/>
                  </w:tcBorders>
                </w:tcPr>
                <w:p w14:paraId="7954CB97" w14:textId="77777777" w:rsidR="00F05DC7" w:rsidRDefault="00F05DC7" w:rsidP="00A3786D">
                  <w:pPr>
                    <w:pStyle w:val="TableBodyText"/>
                    <w:jc w:val="left"/>
                  </w:pPr>
                  <w:r w:rsidRPr="00D07850">
                    <w:rPr>
                      <w:rFonts w:asciiTheme="minorHAnsi" w:hAnsiTheme="minorHAnsi" w:cstheme="minorHAnsi"/>
                      <w:szCs w:val="18"/>
                    </w:rPr>
                    <w:t>2019</w:t>
                  </w:r>
                  <w:r>
                    <w:rPr>
                      <w:rFonts w:asciiTheme="minorHAnsi" w:hAnsiTheme="minorHAnsi" w:cstheme="minorHAnsi"/>
                      <w:szCs w:val="18"/>
                    </w:rPr>
                    <w:noBreakHyphen/>
                  </w:r>
                  <w:r w:rsidRPr="00D07850">
                    <w:rPr>
                      <w:rFonts w:asciiTheme="minorHAnsi" w:hAnsiTheme="minorHAnsi" w:cstheme="minorHAnsi"/>
                      <w:szCs w:val="18"/>
                    </w:rPr>
                    <w:t>20</w:t>
                  </w:r>
                </w:p>
              </w:tc>
              <w:tc>
                <w:tcPr>
                  <w:tcW w:w="557" w:type="pct"/>
                  <w:tcBorders>
                    <w:top w:val="single" w:sz="6" w:space="0" w:color="D9D9D9" w:themeColor="background1" w:themeShade="D9"/>
                    <w:left w:val="nil"/>
                    <w:bottom w:val="nil"/>
                    <w:right w:val="nil"/>
                  </w:tcBorders>
                  <w:shd w:val="clear" w:color="auto" w:fill="auto"/>
                  <w:vAlign w:val="bottom"/>
                </w:tcPr>
                <w:p w14:paraId="7954CB98"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0.86</w:t>
                  </w:r>
                </w:p>
              </w:tc>
              <w:tc>
                <w:tcPr>
                  <w:tcW w:w="557" w:type="pct"/>
                  <w:tcBorders>
                    <w:top w:val="single" w:sz="6" w:space="0" w:color="D9D9D9" w:themeColor="background1" w:themeShade="D9"/>
                    <w:left w:val="nil"/>
                    <w:bottom w:val="nil"/>
                    <w:right w:val="nil"/>
                  </w:tcBorders>
                  <w:shd w:val="clear" w:color="auto" w:fill="auto"/>
                  <w:vAlign w:val="bottom"/>
                </w:tcPr>
                <w:p w14:paraId="7954CB99"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0.99</w:t>
                  </w:r>
                </w:p>
              </w:tc>
              <w:tc>
                <w:tcPr>
                  <w:tcW w:w="556" w:type="pct"/>
                  <w:tcBorders>
                    <w:top w:val="single" w:sz="6" w:space="0" w:color="D9D9D9" w:themeColor="background1" w:themeShade="D9"/>
                    <w:left w:val="nil"/>
                    <w:bottom w:val="nil"/>
                    <w:right w:val="nil"/>
                  </w:tcBorders>
                  <w:shd w:val="clear" w:color="auto" w:fill="auto"/>
                  <w:vAlign w:val="bottom"/>
                </w:tcPr>
                <w:p w14:paraId="7954CB9A"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1.10</w:t>
                  </w:r>
                </w:p>
              </w:tc>
              <w:tc>
                <w:tcPr>
                  <w:tcW w:w="556" w:type="pct"/>
                  <w:tcBorders>
                    <w:top w:val="single" w:sz="6" w:space="0" w:color="D9D9D9" w:themeColor="background1" w:themeShade="D9"/>
                    <w:left w:val="nil"/>
                    <w:bottom w:val="nil"/>
                    <w:right w:val="nil"/>
                  </w:tcBorders>
                  <w:shd w:val="clear" w:color="auto" w:fill="auto"/>
                  <w:vAlign w:val="bottom"/>
                </w:tcPr>
                <w:p w14:paraId="7954CB9B"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0.47</w:t>
                  </w:r>
                </w:p>
              </w:tc>
              <w:tc>
                <w:tcPr>
                  <w:tcW w:w="555" w:type="pct"/>
                  <w:tcBorders>
                    <w:top w:val="single" w:sz="6" w:space="0" w:color="D9D9D9" w:themeColor="background1" w:themeShade="D9"/>
                    <w:left w:val="nil"/>
                    <w:bottom w:val="nil"/>
                    <w:right w:val="nil"/>
                  </w:tcBorders>
                  <w:shd w:val="clear" w:color="auto" w:fill="auto"/>
                  <w:vAlign w:val="bottom"/>
                </w:tcPr>
                <w:p w14:paraId="7954CB9C"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1.48</w:t>
                  </w:r>
                </w:p>
              </w:tc>
              <w:tc>
                <w:tcPr>
                  <w:tcW w:w="555" w:type="pct"/>
                  <w:tcBorders>
                    <w:top w:val="single" w:sz="6" w:space="0" w:color="D9D9D9" w:themeColor="background1" w:themeShade="D9"/>
                    <w:left w:val="nil"/>
                    <w:bottom w:val="nil"/>
                    <w:right w:val="nil"/>
                  </w:tcBorders>
                  <w:shd w:val="clear" w:color="auto" w:fill="auto"/>
                  <w:vAlign w:val="bottom"/>
                </w:tcPr>
                <w:p w14:paraId="7954CB9D"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1.77</w:t>
                  </w:r>
                </w:p>
              </w:tc>
              <w:tc>
                <w:tcPr>
                  <w:tcW w:w="555" w:type="pct"/>
                  <w:tcBorders>
                    <w:top w:val="single" w:sz="6" w:space="0" w:color="D9D9D9" w:themeColor="background1" w:themeShade="D9"/>
                    <w:left w:val="nil"/>
                    <w:bottom w:val="nil"/>
                    <w:right w:val="nil"/>
                  </w:tcBorders>
                  <w:shd w:val="clear" w:color="auto" w:fill="auto"/>
                  <w:vAlign w:val="bottom"/>
                </w:tcPr>
                <w:p w14:paraId="7954CB9E"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1.18</w:t>
                  </w:r>
                </w:p>
              </w:tc>
              <w:tc>
                <w:tcPr>
                  <w:tcW w:w="553" w:type="pct"/>
                  <w:tcBorders>
                    <w:top w:val="single" w:sz="6" w:space="0" w:color="D9D9D9" w:themeColor="background1" w:themeShade="D9"/>
                    <w:left w:val="nil"/>
                    <w:bottom w:val="nil"/>
                    <w:right w:val="nil"/>
                  </w:tcBorders>
                  <w:shd w:val="clear" w:color="auto" w:fill="auto"/>
                  <w:vAlign w:val="bottom"/>
                </w:tcPr>
                <w:p w14:paraId="7954CB9F"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4.26</w:t>
                  </w:r>
                </w:p>
              </w:tc>
            </w:tr>
            <w:tr w:rsidR="00F05DC7" w14:paraId="7954CBAA" w14:textId="77777777" w:rsidTr="00A3786D">
              <w:tc>
                <w:tcPr>
                  <w:tcW w:w="556" w:type="pct"/>
                </w:tcPr>
                <w:p w14:paraId="7954CBA1" w14:textId="77777777" w:rsidR="00F05DC7" w:rsidRDefault="00F05DC7" w:rsidP="00A3786D">
                  <w:pPr>
                    <w:pStyle w:val="TableBodyText"/>
                    <w:jc w:val="left"/>
                  </w:pPr>
                  <w:r w:rsidRPr="00D07850">
                    <w:rPr>
                      <w:rFonts w:asciiTheme="minorHAnsi" w:hAnsiTheme="minorHAnsi" w:cstheme="minorHAnsi"/>
                      <w:szCs w:val="18"/>
                    </w:rPr>
                    <w:t>2020</w:t>
                  </w:r>
                  <w:r>
                    <w:rPr>
                      <w:rFonts w:asciiTheme="minorHAnsi" w:hAnsiTheme="minorHAnsi" w:cstheme="minorHAnsi"/>
                      <w:szCs w:val="18"/>
                    </w:rPr>
                    <w:noBreakHyphen/>
                  </w:r>
                  <w:r w:rsidRPr="00D07850">
                    <w:rPr>
                      <w:rFonts w:asciiTheme="minorHAnsi" w:hAnsiTheme="minorHAnsi" w:cstheme="minorHAnsi"/>
                      <w:szCs w:val="18"/>
                    </w:rPr>
                    <w:t>21</w:t>
                  </w:r>
                </w:p>
              </w:tc>
              <w:tc>
                <w:tcPr>
                  <w:tcW w:w="557" w:type="pct"/>
                  <w:tcBorders>
                    <w:top w:val="nil"/>
                    <w:left w:val="nil"/>
                    <w:bottom w:val="nil"/>
                    <w:right w:val="nil"/>
                  </w:tcBorders>
                  <w:shd w:val="clear" w:color="auto" w:fill="auto"/>
                  <w:vAlign w:val="bottom"/>
                </w:tcPr>
                <w:p w14:paraId="7954CBA2"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0.86</w:t>
                  </w:r>
                </w:p>
              </w:tc>
              <w:tc>
                <w:tcPr>
                  <w:tcW w:w="557" w:type="pct"/>
                  <w:tcBorders>
                    <w:top w:val="nil"/>
                    <w:left w:val="nil"/>
                    <w:bottom w:val="nil"/>
                    <w:right w:val="nil"/>
                  </w:tcBorders>
                  <w:shd w:val="clear" w:color="auto" w:fill="auto"/>
                  <w:vAlign w:val="bottom"/>
                </w:tcPr>
                <w:p w14:paraId="7954CBA3"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0.99</w:t>
                  </w:r>
                </w:p>
              </w:tc>
              <w:tc>
                <w:tcPr>
                  <w:tcW w:w="556" w:type="pct"/>
                  <w:tcBorders>
                    <w:top w:val="nil"/>
                    <w:left w:val="nil"/>
                    <w:bottom w:val="nil"/>
                    <w:right w:val="nil"/>
                  </w:tcBorders>
                  <w:shd w:val="clear" w:color="auto" w:fill="auto"/>
                  <w:vAlign w:val="bottom"/>
                </w:tcPr>
                <w:p w14:paraId="7954CBA4"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1.10</w:t>
                  </w:r>
                </w:p>
              </w:tc>
              <w:tc>
                <w:tcPr>
                  <w:tcW w:w="556" w:type="pct"/>
                  <w:tcBorders>
                    <w:top w:val="nil"/>
                    <w:left w:val="nil"/>
                    <w:bottom w:val="nil"/>
                    <w:right w:val="nil"/>
                  </w:tcBorders>
                  <w:shd w:val="clear" w:color="auto" w:fill="auto"/>
                  <w:vAlign w:val="bottom"/>
                </w:tcPr>
                <w:p w14:paraId="7954CBA5"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0.47</w:t>
                  </w:r>
                </w:p>
              </w:tc>
              <w:tc>
                <w:tcPr>
                  <w:tcW w:w="555" w:type="pct"/>
                  <w:tcBorders>
                    <w:top w:val="nil"/>
                    <w:left w:val="nil"/>
                    <w:bottom w:val="nil"/>
                    <w:right w:val="nil"/>
                  </w:tcBorders>
                  <w:shd w:val="clear" w:color="auto" w:fill="auto"/>
                  <w:vAlign w:val="bottom"/>
                </w:tcPr>
                <w:p w14:paraId="7954CBA6"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1.48</w:t>
                  </w:r>
                </w:p>
              </w:tc>
              <w:tc>
                <w:tcPr>
                  <w:tcW w:w="555" w:type="pct"/>
                  <w:tcBorders>
                    <w:top w:val="nil"/>
                    <w:left w:val="nil"/>
                    <w:bottom w:val="nil"/>
                    <w:right w:val="nil"/>
                  </w:tcBorders>
                  <w:shd w:val="clear" w:color="auto" w:fill="auto"/>
                  <w:vAlign w:val="bottom"/>
                </w:tcPr>
                <w:p w14:paraId="7954CBA7"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1.77</w:t>
                  </w:r>
                </w:p>
              </w:tc>
              <w:tc>
                <w:tcPr>
                  <w:tcW w:w="555" w:type="pct"/>
                  <w:tcBorders>
                    <w:top w:val="nil"/>
                    <w:left w:val="nil"/>
                    <w:bottom w:val="nil"/>
                    <w:right w:val="nil"/>
                  </w:tcBorders>
                  <w:shd w:val="clear" w:color="auto" w:fill="auto"/>
                  <w:vAlign w:val="bottom"/>
                </w:tcPr>
                <w:p w14:paraId="7954CBA8"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1.18</w:t>
                  </w:r>
                </w:p>
              </w:tc>
              <w:tc>
                <w:tcPr>
                  <w:tcW w:w="553" w:type="pct"/>
                  <w:tcBorders>
                    <w:top w:val="nil"/>
                    <w:left w:val="nil"/>
                    <w:bottom w:val="nil"/>
                    <w:right w:val="nil"/>
                  </w:tcBorders>
                  <w:shd w:val="clear" w:color="auto" w:fill="auto"/>
                  <w:vAlign w:val="bottom"/>
                </w:tcPr>
                <w:p w14:paraId="7954CBA9"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4.26</w:t>
                  </w:r>
                </w:p>
              </w:tc>
            </w:tr>
            <w:tr w:rsidR="00F05DC7" w14:paraId="7954CBB4" w14:textId="77777777" w:rsidTr="00A3786D">
              <w:tc>
                <w:tcPr>
                  <w:tcW w:w="556" w:type="pct"/>
                </w:tcPr>
                <w:p w14:paraId="7954CBAB" w14:textId="77777777" w:rsidR="00F05DC7" w:rsidRDefault="00F05DC7" w:rsidP="00A3786D">
                  <w:pPr>
                    <w:pStyle w:val="TableBodyText"/>
                    <w:jc w:val="left"/>
                  </w:pPr>
                  <w:r w:rsidRPr="00D07850">
                    <w:rPr>
                      <w:rFonts w:asciiTheme="minorHAnsi" w:hAnsiTheme="minorHAnsi" w:cstheme="minorHAnsi"/>
                      <w:szCs w:val="18"/>
                    </w:rPr>
                    <w:t>2021</w:t>
                  </w:r>
                  <w:r>
                    <w:rPr>
                      <w:rFonts w:asciiTheme="minorHAnsi" w:hAnsiTheme="minorHAnsi" w:cstheme="minorHAnsi"/>
                      <w:szCs w:val="18"/>
                    </w:rPr>
                    <w:noBreakHyphen/>
                  </w:r>
                  <w:r w:rsidRPr="00D07850">
                    <w:rPr>
                      <w:rFonts w:asciiTheme="minorHAnsi" w:hAnsiTheme="minorHAnsi" w:cstheme="minorHAnsi"/>
                      <w:szCs w:val="18"/>
                    </w:rPr>
                    <w:t>22</w:t>
                  </w:r>
                </w:p>
              </w:tc>
              <w:tc>
                <w:tcPr>
                  <w:tcW w:w="557" w:type="pct"/>
                  <w:tcBorders>
                    <w:top w:val="nil"/>
                    <w:left w:val="nil"/>
                    <w:bottom w:val="nil"/>
                    <w:right w:val="nil"/>
                  </w:tcBorders>
                  <w:shd w:val="clear" w:color="auto" w:fill="auto"/>
                  <w:vAlign w:val="bottom"/>
                </w:tcPr>
                <w:p w14:paraId="7954CBAC"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0.86</w:t>
                  </w:r>
                </w:p>
              </w:tc>
              <w:tc>
                <w:tcPr>
                  <w:tcW w:w="557" w:type="pct"/>
                  <w:tcBorders>
                    <w:top w:val="nil"/>
                    <w:left w:val="nil"/>
                    <w:bottom w:val="nil"/>
                    <w:right w:val="nil"/>
                  </w:tcBorders>
                  <w:shd w:val="clear" w:color="auto" w:fill="auto"/>
                  <w:vAlign w:val="bottom"/>
                </w:tcPr>
                <w:p w14:paraId="7954CBAD"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0.99</w:t>
                  </w:r>
                </w:p>
              </w:tc>
              <w:tc>
                <w:tcPr>
                  <w:tcW w:w="556" w:type="pct"/>
                  <w:tcBorders>
                    <w:top w:val="nil"/>
                    <w:left w:val="nil"/>
                    <w:bottom w:val="nil"/>
                    <w:right w:val="nil"/>
                  </w:tcBorders>
                  <w:shd w:val="clear" w:color="auto" w:fill="auto"/>
                  <w:vAlign w:val="bottom"/>
                </w:tcPr>
                <w:p w14:paraId="7954CBAE"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1.10</w:t>
                  </w:r>
                </w:p>
              </w:tc>
              <w:tc>
                <w:tcPr>
                  <w:tcW w:w="556" w:type="pct"/>
                  <w:tcBorders>
                    <w:top w:val="nil"/>
                    <w:left w:val="nil"/>
                    <w:bottom w:val="nil"/>
                    <w:right w:val="nil"/>
                  </w:tcBorders>
                  <w:shd w:val="clear" w:color="auto" w:fill="auto"/>
                  <w:vAlign w:val="bottom"/>
                </w:tcPr>
                <w:p w14:paraId="7954CBAF"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0.47</w:t>
                  </w:r>
                </w:p>
              </w:tc>
              <w:tc>
                <w:tcPr>
                  <w:tcW w:w="555" w:type="pct"/>
                  <w:tcBorders>
                    <w:top w:val="nil"/>
                    <w:left w:val="nil"/>
                    <w:bottom w:val="nil"/>
                    <w:right w:val="nil"/>
                  </w:tcBorders>
                  <w:shd w:val="clear" w:color="auto" w:fill="auto"/>
                  <w:vAlign w:val="bottom"/>
                </w:tcPr>
                <w:p w14:paraId="7954CBB0"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1.48</w:t>
                  </w:r>
                </w:p>
              </w:tc>
              <w:tc>
                <w:tcPr>
                  <w:tcW w:w="555" w:type="pct"/>
                  <w:tcBorders>
                    <w:top w:val="nil"/>
                    <w:left w:val="nil"/>
                    <w:bottom w:val="nil"/>
                    <w:right w:val="nil"/>
                  </w:tcBorders>
                  <w:shd w:val="clear" w:color="auto" w:fill="auto"/>
                  <w:vAlign w:val="bottom"/>
                </w:tcPr>
                <w:p w14:paraId="7954CBB1"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1.77</w:t>
                  </w:r>
                </w:p>
              </w:tc>
              <w:tc>
                <w:tcPr>
                  <w:tcW w:w="555" w:type="pct"/>
                  <w:tcBorders>
                    <w:top w:val="nil"/>
                    <w:left w:val="nil"/>
                    <w:bottom w:val="nil"/>
                    <w:right w:val="nil"/>
                  </w:tcBorders>
                  <w:shd w:val="clear" w:color="auto" w:fill="auto"/>
                  <w:vAlign w:val="bottom"/>
                </w:tcPr>
                <w:p w14:paraId="7954CBB2"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1.18</w:t>
                  </w:r>
                </w:p>
              </w:tc>
              <w:tc>
                <w:tcPr>
                  <w:tcW w:w="553" w:type="pct"/>
                  <w:tcBorders>
                    <w:top w:val="nil"/>
                    <w:left w:val="nil"/>
                    <w:bottom w:val="nil"/>
                    <w:right w:val="nil"/>
                  </w:tcBorders>
                  <w:shd w:val="clear" w:color="auto" w:fill="auto"/>
                  <w:vAlign w:val="bottom"/>
                </w:tcPr>
                <w:p w14:paraId="7954CBB3"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4.26</w:t>
                  </w:r>
                </w:p>
              </w:tc>
            </w:tr>
            <w:tr w:rsidR="00F05DC7" w14:paraId="7954CBBE" w14:textId="77777777" w:rsidTr="00A3786D">
              <w:tc>
                <w:tcPr>
                  <w:tcW w:w="556" w:type="pct"/>
                </w:tcPr>
                <w:p w14:paraId="7954CBB5" w14:textId="77777777" w:rsidR="00F05DC7" w:rsidRDefault="00F05DC7" w:rsidP="00A3786D">
                  <w:pPr>
                    <w:pStyle w:val="TableBodyText"/>
                    <w:jc w:val="left"/>
                  </w:pPr>
                  <w:r w:rsidRPr="00D07850">
                    <w:rPr>
                      <w:rFonts w:asciiTheme="minorHAnsi" w:hAnsiTheme="minorHAnsi" w:cstheme="minorHAnsi"/>
                      <w:szCs w:val="18"/>
                    </w:rPr>
                    <w:t>2022</w:t>
                  </w:r>
                  <w:r>
                    <w:rPr>
                      <w:rFonts w:asciiTheme="minorHAnsi" w:hAnsiTheme="minorHAnsi" w:cstheme="minorHAnsi"/>
                      <w:szCs w:val="18"/>
                    </w:rPr>
                    <w:noBreakHyphen/>
                  </w:r>
                  <w:r w:rsidRPr="00D07850">
                    <w:rPr>
                      <w:rFonts w:asciiTheme="minorHAnsi" w:hAnsiTheme="minorHAnsi" w:cstheme="minorHAnsi"/>
                      <w:szCs w:val="18"/>
                    </w:rPr>
                    <w:t>23</w:t>
                  </w:r>
                </w:p>
              </w:tc>
              <w:tc>
                <w:tcPr>
                  <w:tcW w:w="557" w:type="pct"/>
                  <w:tcBorders>
                    <w:top w:val="nil"/>
                    <w:left w:val="nil"/>
                    <w:bottom w:val="nil"/>
                    <w:right w:val="nil"/>
                  </w:tcBorders>
                  <w:shd w:val="clear" w:color="auto" w:fill="auto"/>
                  <w:vAlign w:val="bottom"/>
                </w:tcPr>
                <w:p w14:paraId="7954CBB6"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0.86</w:t>
                  </w:r>
                </w:p>
              </w:tc>
              <w:tc>
                <w:tcPr>
                  <w:tcW w:w="557" w:type="pct"/>
                  <w:tcBorders>
                    <w:top w:val="nil"/>
                    <w:left w:val="nil"/>
                    <w:bottom w:val="nil"/>
                    <w:right w:val="nil"/>
                  </w:tcBorders>
                  <w:shd w:val="clear" w:color="auto" w:fill="auto"/>
                  <w:vAlign w:val="bottom"/>
                </w:tcPr>
                <w:p w14:paraId="7954CBB7"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0.99</w:t>
                  </w:r>
                </w:p>
              </w:tc>
              <w:tc>
                <w:tcPr>
                  <w:tcW w:w="556" w:type="pct"/>
                  <w:tcBorders>
                    <w:top w:val="nil"/>
                    <w:left w:val="nil"/>
                    <w:bottom w:val="nil"/>
                    <w:right w:val="nil"/>
                  </w:tcBorders>
                  <w:shd w:val="clear" w:color="auto" w:fill="auto"/>
                  <w:vAlign w:val="bottom"/>
                </w:tcPr>
                <w:p w14:paraId="7954CBB8"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1.10</w:t>
                  </w:r>
                </w:p>
              </w:tc>
              <w:tc>
                <w:tcPr>
                  <w:tcW w:w="556" w:type="pct"/>
                  <w:tcBorders>
                    <w:top w:val="nil"/>
                    <w:left w:val="nil"/>
                    <w:bottom w:val="nil"/>
                    <w:right w:val="nil"/>
                  </w:tcBorders>
                  <w:shd w:val="clear" w:color="auto" w:fill="auto"/>
                  <w:vAlign w:val="bottom"/>
                </w:tcPr>
                <w:p w14:paraId="7954CBB9"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0.47</w:t>
                  </w:r>
                </w:p>
              </w:tc>
              <w:tc>
                <w:tcPr>
                  <w:tcW w:w="555" w:type="pct"/>
                  <w:tcBorders>
                    <w:top w:val="nil"/>
                    <w:left w:val="nil"/>
                    <w:bottom w:val="nil"/>
                    <w:right w:val="nil"/>
                  </w:tcBorders>
                  <w:shd w:val="clear" w:color="auto" w:fill="auto"/>
                  <w:vAlign w:val="bottom"/>
                </w:tcPr>
                <w:p w14:paraId="7954CBBA"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1.48</w:t>
                  </w:r>
                </w:p>
              </w:tc>
              <w:tc>
                <w:tcPr>
                  <w:tcW w:w="555" w:type="pct"/>
                  <w:tcBorders>
                    <w:top w:val="nil"/>
                    <w:left w:val="nil"/>
                    <w:bottom w:val="nil"/>
                    <w:right w:val="nil"/>
                  </w:tcBorders>
                  <w:shd w:val="clear" w:color="auto" w:fill="auto"/>
                  <w:vAlign w:val="bottom"/>
                </w:tcPr>
                <w:p w14:paraId="7954CBBB"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1.77</w:t>
                  </w:r>
                </w:p>
              </w:tc>
              <w:tc>
                <w:tcPr>
                  <w:tcW w:w="555" w:type="pct"/>
                  <w:tcBorders>
                    <w:top w:val="nil"/>
                    <w:left w:val="nil"/>
                    <w:bottom w:val="nil"/>
                    <w:right w:val="nil"/>
                  </w:tcBorders>
                  <w:shd w:val="clear" w:color="auto" w:fill="auto"/>
                  <w:vAlign w:val="bottom"/>
                </w:tcPr>
                <w:p w14:paraId="7954CBBC"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1.18</w:t>
                  </w:r>
                </w:p>
              </w:tc>
              <w:tc>
                <w:tcPr>
                  <w:tcW w:w="553" w:type="pct"/>
                  <w:tcBorders>
                    <w:top w:val="nil"/>
                    <w:left w:val="nil"/>
                    <w:bottom w:val="nil"/>
                    <w:right w:val="nil"/>
                  </w:tcBorders>
                  <w:shd w:val="clear" w:color="auto" w:fill="auto"/>
                  <w:vAlign w:val="bottom"/>
                </w:tcPr>
                <w:p w14:paraId="7954CBBD"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4.26</w:t>
                  </w:r>
                </w:p>
              </w:tc>
            </w:tr>
            <w:tr w:rsidR="00F05DC7" w14:paraId="7954CBC8" w14:textId="77777777" w:rsidTr="00A3786D">
              <w:tc>
                <w:tcPr>
                  <w:tcW w:w="556" w:type="pct"/>
                </w:tcPr>
                <w:p w14:paraId="7954CBBF" w14:textId="77777777" w:rsidR="00F05DC7" w:rsidRDefault="00F05DC7" w:rsidP="00A3786D">
                  <w:pPr>
                    <w:pStyle w:val="TableBodyText"/>
                    <w:jc w:val="left"/>
                  </w:pPr>
                  <w:r w:rsidRPr="00D07850">
                    <w:rPr>
                      <w:rFonts w:asciiTheme="minorHAnsi" w:hAnsiTheme="minorHAnsi" w:cstheme="minorHAnsi"/>
                      <w:szCs w:val="18"/>
                    </w:rPr>
                    <w:t>2023</w:t>
                  </w:r>
                  <w:r>
                    <w:rPr>
                      <w:rFonts w:asciiTheme="minorHAnsi" w:hAnsiTheme="minorHAnsi" w:cstheme="minorHAnsi"/>
                      <w:szCs w:val="18"/>
                    </w:rPr>
                    <w:noBreakHyphen/>
                  </w:r>
                  <w:r w:rsidRPr="00D07850">
                    <w:rPr>
                      <w:rFonts w:asciiTheme="minorHAnsi" w:hAnsiTheme="minorHAnsi" w:cstheme="minorHAnsi"/>
                      <w:szCs w:val="18"/>
                    </w:rPr>
                    <w:t>24</w:t>
                  </w:r>
                </w:p>
              </w:tc>
              <w:tc>
                <w:tcPr>
                  <w:tcW w:w="557" w:type="pct"/>
                  <w:tcBorders>
                    <w:top w:val="nil"/>
                    <w:left w:val="nil"/>
                    <w:bottom w:val="nil"/>
                    <w:right w:val="nil"/>
                  </w:tcBorders>
                  <w:shd w:val="clear" w:color="auto" w:fill="auto"/>
                  <w:vAlign w:val="bottom"/>
                </w:tcPr>
                <w:p w14:paraId="7954CBC0"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0.86</w:t>
                  </w:r>
                </w:p>
              </w:tc>
              <w:tc>
                <w:tcPr>
                  <w:tcW w:w="557" w:type="pct"/>
                  <w:tcBorders>
                    <w:top w:val="nil"/>
                    <w:left w:val="nil"/>
                    <w:bottom w:val="nil"/>
                    <w:right w:val="nil"/>
                  </w:tcBorders>
                  <w:shd w:val="clear" w:color="auto" w:fill="auto"/>
                  <w:vAlign w:val="bottom"/>
                </w:tcPr>
                <w:p w14:paraId="7954CBC1"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0.99</w:t>
                  </w:r>
                </w:p>
              </w:tc>
              <w:tc>
                <w:tcPr>
                  <w:tcW w:w="556" w:type="pct"/>
                  <w:tcBorders>
                    <w:top w:val="nil"/>
                    <w:left w:val="nil"/>
                    <w:bottom w:val="nil"/>
                    <w:right w:val="nil"/>
                  </w:tcBorders>
                  <w:shd w:val="clear" w:color="auto" w:fill="auto"/>
                  <w:vAlign w:val="bottom"/>
                </w:tcPr>
                <w:p w14:paraId="7954CBC2"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1.10</w:t>
                  </w:r>
                </w:p>
              </w:tc>
              <w:tc>
                <w:tcPr>
                  <w:tcW w:w="556" w:type="pct"/>
                  <w:tcBorders>
                    <w:top w:val="nil"/>
                    <w:left w:val="nil"/>
                    <w:bottom w:val="nil"/>
                    <w:right w:val="nil"/>
                  </w:tcBorders>
                  <w:shd w:val="clear" w:color="auto" w:fill="auto"/>
                  <w:vAlign w:val="bottom"/>
                </w:tcPr>
                <w:p w14:paraId="7954CBC3"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0.47</w:t>
                  </w:r>
                </w:p>
              </w:tc>
              <w:tc>
                <w:tcPr>
                  <w:tcW w:w="555" w:type="pct"/>
                  <w:tcBorders>
                    <w:top w:val="nil"/>
                    <w:left w:val="nil"/>
                    <w:bottom w:val="nil"/>
                    <w:right w:val="nil"/>
                  </w:tcBorders>
                  <w:shd w:val="clear" w:color="auto" w:fill="auto"/>
                  <w:vAlign w:val="bottom"/>
                </w:tcPr>
                <w:p w14:paraId="7954CBC4"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1.48</w:t>
                  </w:r>
                </w:p>
              </w:tc>
              <w:tc>
                <w:tcPr>
                  <w:tcW w:w="555" w:type="pct"/>
                  <w:tcBorders>
                    <w:top w:val="nil"/>
                    <w:left w:val="nil"/>
                    <w:bottom w:val="nil"/>
                    <w:right w:val="nil"/>
                  </w:tcBorders>
                  <w:shd w:val="clear" w:color="auto" w:fill="auto"/>
                  <w:vAlign w:val="bottom"/>
                </w:tcPr>
                <w:p w14:paraId="7954CBC5"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1.77</w:t>
                  </w:r>
                </w:p>
              </w:tc>
              <w:tc>
                <w:tcPr>
                  <w:tcW w:w="555" w:type="pct"/>
                  <w:tcBorders>
                    <w:top w:val="nil"/>
                    <w:left w:val="nil"/>
                    <w:bottom w:val="nil"/>
                    <w:right w:val="nil"/>
                  </w:tcBorders>
                  <w:shd w:val="clear" w:color="auto" w:fill="auto"/>
                  <w:vAlign w:val="bottom"/>
                </w:tcPr>
                <w:p w14:paraId="7954CBC6"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1.18</w:t>
                  </w:r>
                </w:p>
              </w:tc>
              <w:tc>
                <w:tcPr>
                  <w:tcW w:w="553" w:type="pct"/>
                  <w:tcBorders>
                    <w:top w:val="nil"/>
                    <w:left w:val="nil"/>
                    <w:bottom w:val="nil"/>
                    <w:right w:val="nil"/>
                  </w:tcBorders>
                  <w:shd w:val="clear" w:color="auto" w:fill="auto"/>
                  <w:vAlign w:val="bottom"/>
                </w:tcPr>
                <w:p w14:paraId="7954CBC7"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4.26</w:t>
                  </w:r>
                </w:p>
              </w:tc>
            </w:tr>
            <w:tr w:rsidR="00F05DC7" w14:paraId="7954CBD2" w14:textId="77777777" w:rsidTr="00A3786D">
              <w:tc>
                <w:tcPr>
                  <w:tcW w:w="556" w:type="pct"/>
                </w:tcPr>
                <w:p w14:paraId="7954CBC9" w14:textId="77777777" w:rsidR="00F05DC7" w:rsidRDefault="00F05DC7" w:rsidP="00A3786D">
                  <w:pPr>
                    <w:pStyle w:val="TableBodyText"/>
                    <w:jc w:val="left"/>
                  </w:pPr>
                  <w:r w:rsidRPr="00D07850">
                    <w:rPr>
                      <w:rFonts w:asciiTheme="minorHAnsi" w:hAnsiTheme="minorHAnsi" w:cstheme="minorHAnsi"/>
                      <w:szCs w:val="18"/>
                    </w:rPr>
                    <w:t>2024</w:t>
                  </w:r>
                  <w:r>
                    <w:rPr>
                      <w:rFonts w:asciiTheme="minorHAnsi" w:hAnsiTheme="minorHAnsi" w:cstheme="minorHAnsi"/>
                      <w:szCs w:val="18"/>
                    </w:rPr>
                    <w:noBreakHyphen/>
                  </w:r>
                  <w:r w:rsidRPr="00D07850">
                    <w:rPr>
                      <w:rFonts w:asciiTheme="minorHAnsi" w:hAnsiTheme="minorHAnsi" w:cstheme="minorHAnsi"/>
                      <w:szCs w:val="18"/>
                    </w:rPr>
                    <w:t>25</w:t>
                  </w:r>
                </w:p>
              </w:tc>
              <w:tc>
                <w:tcPr>
                  <w:tcW w:w="557" w:type="pct"/>
                  <w:tcBorders>
                    <w:top w:val="nil"/>
                    <w:left w:val="nil"/>
                    <w:bottom w:val="nil"/>
                    <w:right w:val="nil"/>
                  </w:tcBorders>
                  <w:shd w:val="clear" w:color="auto" w:fill="auto"/>
                  <w:vAlign w:val="bottom"/>
                </w:tcPr>
                <w:p w14:paraId="7954CBCA"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0.86</w:t>
                  </w:r>
                </w:p>
              </w:tc>
              <w:tc>
                <w:tcPr>
                  <w:tcW w:w="557" w:type="pct"/>
                  <w:tcBorders>
                    <w:top w:val="nil"/>
                    <w:left w:val="nil"/>
                    <w:bottom w:val="nil"/>
                    <w:right w:val="nil"/>
                  </w:tcBorders>
                  <w:shd w:val="clear" w:color="auto" w:fill="auto"/>
                  <w:vAlign w:val="bottom"/>
                </w:tcPr>
                <w:p w14:paraId="7954CBCB"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0.99</w:t>
                  </w:r>
                </w:p>
              </w:tc>
              <w:tc>
                <w:tcPr>
                  <w:tcW w:w="556" w:type="pct"/>
                  <w:tcBorders>
                    <w:top w:val="nil"/>
                    <w:left w:val="nil"/>
                    <w:bottom w:val="nil"/>
                    <w:right w:val="nil"/>
                  </w:tcBorders>
                  <w:shd w:val="clear" w:color="auto" w:fill="auto"/>
                  <w:vAlign w:val="bottom"/>
                </w:tcPr>
                <w:p w14:paraId="7954CBCC"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1.10</w:t>
                  </w:r>
                </w:p>
              </w:tc>
              <w:tc>
                <w:tcPr>
                  <w:tcW w:w="556" w:type="pct"/>
                  <w:tcBorders>
                    <w:top w:val="nil"/>
                    <w:left w:val="nil"/>
                    <w:bottom w:val="nil"/>
                    <w:right w:val="nil"/>
                  </w:tcBorders>
                  <w:shd w:val="clear" w:color="auto" w:fill="auto"/>
                  <w:vAlign w:val="bottom"/>
                </w:tcPr>
                <w:p w14:paraId="7954CBCD"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0.47</w:t>
                  </w:r>
                </w:p>
              </w:tc>
              <w:tc>
                <w:tcPr>
                  <w:tcW w:w="555" w:type="pct"/>
                  <w:tcBorders>
                    <w:top w:val="nil"/>
                    <w:left w:val="nil"/>
                    <w:bottom w:val="nil"/>
                    <w:right w:val="nil"/>
                  </w:tcBorders>
                  <w:shd w:val="clear" w:color="auto" w:fill="auto"/>
                  <w:vAlign w:val="bottom"/>
                </w:tcPr>
                <w:p w14:paraId="7954CBCE"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1.48</w:t>
                  </w:r>
                </w:p>
              </w:tc>
              <w:tc>
                <w:tcPr>
                  <w:tcW w:w="555" w:type="pct"/>
                  <w:tcBorders>
                    <w:top w:val="nil"/>
                    <w:left w:val="nil"/>
                    <w:bottom w:val="nil"/>
                    <w:right w:val="nil"/>
                  </w:tcBorders>
                  <w:shd w:val="clear" w:color="auto" w:fill="auto"/>
                  <w:vAlign w:val="bottom"/>
                </w:tcPr>
                <w:p w14:paraId="7954CBCF"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1.77</w:t>
                  </w:r>
                </w:p>
              </w:tc>
              <w:tc>
                <w:tcPr>
                  <w:tcW w:w="555" w:type="pct"/>
                  <w:tcBorders>
                    <w:top w:val="nil"/>
                    <w:left w:val="nil"/>
                    <w:bottom w:val="nil"/>
                    <w:right w:val="nil"/>
                  </w:tcBorders>
                  <w:shd w:val="clear" w:color="auto" w:fill="auto"/>
                  <w:vAlign w:val="bottom"/>
                </w:tcPr>
                <w:p w14:paraId="7954CBD0"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1.18</w:t>
                  </w:r>
                </w:p>
              </w:tc>
              <w:tc>
                <w:tcPr>
                  <w:tcW w:w="553" w:type="pct"/>
                  <w:tcBorders>
                    <w:top w:val="nil"/>
                    <w:left w:val="nil"/>
                    <w:bottom w:val="nil"/>
                    <w:right w:val="nil"/>
                  </w:tcBorders>
                  <w:shd w:val="clear" w:color="auto" w:fill="auto"/>
                  <w:vAlign w:val="bottom"/>
                </w:tcPr>
                <w:p w14:paraId="7954CBD1"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4.26</w:t>
                  </w:r>
                </w:p>
              </w:tc>
            </w:tr>
            <w:tr w:rsidR="00F05DC7" w14:paraId="7954CBDC" w14:textId="77777777" w:rsidTr="000E0EBA">
              <w:tc>
                <w:tcPr>
                  <w:tcW w:w="556" w:type="pct"/>
                </w:tcPr>
                <w:p w14:paraId="7954CBD3" w14:textId="77777777" w:rsidR="00F05DC7" w:rsidRDefault="00F05DC7" w:rsidP="00A3786D">
                  <w:pPr>
                    <w:pStyle w:val="TableBodyText"/>
                    <w:jc w:val="left"/>
                  </w:pPr>
                  <w:r w:rsidRPr="00D07850">
                    <w:rPr>
                      <w:rFonts w:asciiTheme="minorHAnsi" w:hAnsiTheme="minorHAnsi" w:cstheme="minorHAnsi"/>
                      <w:szCs w:val="18"/>
                    </w:rPr>
                    <w:t>2025</w:t>
                  </w:r>
                  <w:r>
                    <w:rPr>
                      <w:rFonts w:asciiTheme="minorHAnsi" w:hAnsiTheme="minorHAnsi" w:cstheme="minorHAnsi"/>
                      <w:szCs w:val="18"/>
                    </w:rPr>
                    <w:noBreakHyphen/>
                  </w:r>
                  <w:r w:rsidRPr="00D07850">
                    <w:rPr>
                      <w:rFonts w:asciiTheme="minorHAnsi" w:hAnsiTheme="minorHAnsi" w:cstheme="minorHAnsi"/>
                      <w:szCs w:val="18"/>
                    </w:rPr>
                    <w:t>26</w:t>
                  </w:r>
                </w:p>
              </w:tc>
              <w:tc>
                <w:tcPr>
                  <w:tcW w:w="557" w:type="pct"/>
                  <w:tcBorders>
                    <w:top w:val="nil"/>
                    <w:left w:val="nil"/>
                    <w:right w:val="nil"/>
                  </w:tcBorders>
                  <w:shd w:val="clear" w:color="auto" w:fill="auto"/>
                  <w:vAlign w:val="bottom"/>
                </w:tcPr>
                <w:p w14:paraId="7954CBD4"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0.86</w:t>
                  </w:r>
                </w:p>
              </w:tc>
              <w:tc>
                <w:tcPr>
                  <w:tcW w:w="557" w:type="pct"/>
                  <w:tcBorders>
                    <w:top w:val="nil"/>
                    <w:left w:val="nil"/>
                    <w:right w:val="nil"/>
                  </w:tcBorders>
                  <w:shd w:val="clear" w:color="auto" w:fill="auto"/>
                  <w:vAlign w:val="bottom"/>
                </w:tcPr>
                <w:p w14:paraId="7954CBD5"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0.99</w:t>
                  </w:r>
                </w:p>
              </w:tc>
              <w:tc>
                <w:tcPr>
                  <w:tcW w:w="556" w:type="pct"/>
                  <w:tcBorders>
                    <w:top w:val="nil"/>
                    <w:left w:val="nil"/>
                    <w:right w:val="nil"/>
                  </w:tcBorders>
                  <w:shd w:val="clear" w:color="auto" w:fill="auto"/>
                  <w:vAlign w:val="bottom"/>
                </w:tcPr>
                <w:p w14:paraId="7954CBD6"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1.10</w:t>
                  </w:r>
                </w:p>
              </w:tc>
              <w:tc>
                <w:tcPr>
                  <w:tcW w:w="556" w:type="pct"/>
                  <w:tcBorders>
                    <w:top w:val="nil"/>
                    <w:left w:val="nil"/>
                    <w:right w:val="nil"/>
                  </w:tcBorders>
                  <w:shd w:val="clear" w:color="auto" w:fill="auto"/>
                  <w:vAlign w:val="bottom"/>
                </w:tcPr>
                <w:p w14:paraId="7954CBD7"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0.47</w:t>
                  </w:r>
                </w:p>
              </w:tc>
              <w:tc>
                <w:tcPr>
                  <w:tcW w:w="555" w:type="pct"/>
                  <w:tcBorders>
                    <w:top w:val="nil"/>
                    <w:left w:val="nil"/>
                    <w:right w:val="nil"/>
                  </w:tcBorders>
                  <w:shd w:val="clear" w:color="auto" w:fill="auto"/>
                  <w:vAlign w:val="bottom"/>
                </w:tcPr>
                <w:p w14:paraId="7954CBD8"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1.48</w:t>
                  </w:r>
                </w:p>
              </w:tc>
              <w:tc>
                <w:tcPr>
                  <w:tcW w:w="555" w:type="pct"/>
                  <w:tcBorders>
                    <w:top w:val="nil"/>
                    <w:left w:val="nil"/>
                    <w:right w:val="nil"/>
                  </w:tcBorders>
                  <w:shd w:val="clear" w:color="auto" w:fill="auto"/>
                  <w:vAlign w:val="bottom"/>
                </w:tcPr>
                <w:p w14:paraId="7954CBD9"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1.77</w:t>
                  </w:r>
                </w:p>
              </w:tc>
              <w:tc>
                <w:tcPr>
                  <w:tcW w:w="555" w:type="pct"/>
                  <w:tcBorders>
                    <w:top w:val="nil"/>
                    <w:left w:val="nil"/>
                    <w:right w:val="nil"/>
                  </w:tcBorders>
                  <w:shd w:val="clear" w:color="auto" w:fill="auto"/>
                  <w:vAlign w:val="bottom"/>
                </w:tcPr>
                <w:p w14:paraId="7954CBDA"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1.18</w:t>
                  </w:r>
                </w:p>
              </w:tc>
              <w:tc>
                <w:tcPr>
                  <w:tcW w:w="553" w:type="pct"/>
                  <w:tcBorders>
                    <w:top w:val="nil"/>
                    <w:left w:val="nil"/>
                    <w:right w:val="nil"/>
                  </w:tcBorders>
                  <w:shd w:val="clear" w:color="auto" w:fill="auto"/>
                  <w:vAlign w:val="bottom"/>
                </w:tcPr>
                <w:p w14:paraId="7954CBDB"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4.26</w:t>
                  </w:r>
                </w:p>
              </w:tc>
            </w:tr>
            <w:tr w:rsidR="00F05DC7" w14:paraId="7954CBE6" w14:textId="77777777" w:rsidTr="000E0EBA">
              <w:tc>
                <w:tcPr>
                  <w:tcW w:w="556" w:type="pct"/>
                  <w:tcBorders>
                    <w:bottom w:val="single" w:sz="4" w:space="0" w:color="BFBFBF"/>
                  </w:tcBorders>
                  <w:shd w:val="clear" w:color="auto" w:fill="auto"/>
                </w:tcPr>
                <w:p w14:paraId="7954CBDD" w14:textId="77777777" w:rsidR="00F05DC7" w:rsidRDefault="00F05DC7" w:rsidP="00A3786D">
                  <w:pPr>
                    <w:pStyle w:val="TableBodyText"/>
                    <w:jc w:val="left"/>
                  </w:pPr>
                  <w:r w:rsidRPr="00D07850">
                    <w:rPr>
                      <w:rFonts w:asciiTheme="minorHAnsi" w:hAnsiTheme="minorHAnsi" w:cstheme="minorHAnsi"/>
                      <w:szCs w:val="18"/>
                    </w:rPr>
                    <w:t>2026</w:t>
                  </w:r>
                  <w:r>
                    <w:rPr>
                      <w:rFonts w:asciiTheme="minorHAnsi" w:hAnsiTheme="minorHAnsi" w:cstheme="minorHAnsi"/>
                      <w:szCs w:val="18"/>
                    </w:rPr>
                    <w:noBreakHyphen/>
                  </w:r>
                  <w:r w:rsidRPr="00D07850">
                    <w:rPr>
                      <w:rFonts w:asciiTheme="minorHAnsi" w:hAnsiTheme="minorHAnsi" w:cstheme="minorHAnsi"/>
                      <w:szCs w:val="18"/>
                    </w:rPr>
                    <w:t>27</w:t>
                  </w:r>
                </w:p>
              </w:tc>
              <w:tc>
                <w:tcPr>
                  <w:tcW w:w="557" w:type="pct"/>
                  <w:tcBorders>
                    <w:top w:val="nil"/>
                    <w:left w:val="nil"/>
                    <w:bottom w:val="single" w:sz="4" w:space="0" w:color="BFBFBF"/>
                    <w:right w:val="nil"/>
                  </w:tcBorders>
                  <w:shd w:val="clear" w:color="auto" w:fill="auto"/>
                  <w:vAlign w:val="bottom"/>
                </w:tcPr>
                <w:p w14:paraId="7954CBDE"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0.86</w:t>
                  </w:r>
                </w:p>
              </w:tc>
              <w:tc>
                <w:tcPr>
                  <w:tcW w:w="557" w:type="pct"/>
                  <w:tcBorders>
                    <w:top w:val="nil"/>
                    <w:left w:val="nil"/>
                    <w:bottom w:val="single" w:sz="4" w:space="0" w:color="BFBFBF"/>
                    <w:right w:val="nil"/>
                  </w:tcBorders>
                  <w:shd w:val="clear" w:color="auto" w:fill="auto"/>
                  <w:vAlign w:val="bottom"/>
                </w:tcPr>
                <w:p w14:paraId="7954CBDF"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0.99</w:t>
                  </w:r>
                </w:p>
              </w:tc>
              <w:tc>
                <w:tcPr>
                  <w:tcW w:w="556" w:type="pct"/>
                  <w:tcBorders>
                    <w:top w:val="nil"/>
                    <w:left w:val="nil"/>
                    <w:bottom w:val="single" w:sz="4" w:space="0" w:color="BFBFBF"/>
                    <w:right w:val="nil"/>
                  </w:tcBorders>
                  <w:shd w:val="clear" w:color="auto" w:fill="auto"/>
                  <w:vAlign w:val="bottom"/>
                </w:tcPr>
                <w:p w14:paraId="7954CBE0"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1.10</w:t>
                  </w:r>
                </w:p>
              </w:tc>
              <w:tc>
                <w:tcPr>
                  <w:tcW w:w="556" w:type="pct"/>
                  <w:tcBorders>
                    <w:top w:val="nil"/>
                    <w:left w:val="nil"/>
                    <w:bottom w:val="single" w:sz="4" w:space="0" w:color="BFBFBF"/>
                    <w:right w:val="nil"/>
                  </w:tcBorders>
                  <w:shd w:val="clear" w:color="auto" w:fill="auto"/>
                  <w:vAlign w:val="bottom"/>
                </w:tcPr>
                <w:p w14:paraId="7954CBE1"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0.47</w:t>
                  </w:r>
                </w:p>
              </w:tc>
              <w:tc>
                <w:tcPr>
                  <w:tcW w:w="555" w:type="pct"/>
                  <w:tcBorders>
                    <w:top w:val="nil"/>
                    <w:left w:val="nil"/>
                    <w:bottom w:val="single" w:sz="4" w:space="0" w:color="BFBFBF"/>
                    <w:right w:val="nil"/>
                  </w:tcBorders>
                  <w:shd w:val="clear" w:color="auto" w:fill="auto"/>
                  <w:vAlign w:val="bottom"/>
                </w:tcPr>
                <w:p w14:paraId="7954CBE2"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1.48</w:t>
                  </w:r>
                </w:p>
              </w:tc>
              <w:tc>
                <w:tcPr>
                  <w:tcW w:w="555" w:type="pct"/>
                  <w:tcBorders>
                    <w:top w:val="nil"/>
                    <w:left w:val="nil"/>
                    <w:bottom w:val="single" w:sz="4" w:space="0" w:color="BFBFBF"/>
                    <w:right w:val="nil"/>
                  </w:tcBorders>
                  <w:shd w:val="clear" w:color="auto" w:fill="auto"/>
                  <w:vAlign w:val="bottom"/>
                </w:tcPr>
                <w:p w14:paraId="7954CBE3"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1.77</w:t>
                  </w:r>
                </w:p>
              </w:tc>
              <w:tc>
                <w:tcPr>
                  <w:tcW w:w="555" w:type="pct"/>
                  <w:tcBorders>
                    <w:top w:val="nil"/>
                    <w:left w:val="nil"/>
                    <w:bottom w:val="single" w:sz="4" w:space="0" w:color="BFBFBF"/>
                    <w:right w:val="nil"/>
                  </w:tcBorders>
                  <w:shd w:val="clear" w:color="auto" w:fill="auto"/>
                  <w:vAlign w:val="bottom"/>
                </w:tcPr>
                <w:p w14:paraId="7954CBE4" w14:textId="77777777" w:rsidR="00F05DC7" w:rsidRPr="00222C95" w:rsidRDefault="00F05DC7" w:rsidP="00A3786D">
                  <w:pPr>
                    <w:pStyle w:val="TableBodyText"/>
                    <w:rPr>
                      <w:rFonts w:asciiTheme="minorHAnsi" w:hAnsiTheme="minorHAnsi" w:cstheme="minorHAnsi"/>
                      <w:szCs w:val="18"/>
                    </w:rPr>
                  </w:pPr>
                  <w:r w:rsidRPr="00222C95">
                    <w:rPr>
                      <w:rFonts w:asciiTheme="minorHAnsi" w:hAnsiTheme="minorHAnsi" w:cstheme="minorHAnsi"/>
                      <w:color w:val="000000"/>
                      <w:szCs w:val="18"/>
                    </w:rPr>
                    <w:t>1.18</w:t>
                  </w:r>
                </w:p>
              </w:tc>
              <w:tc>
                <w:tcPr>
                  <w:tcW w:w="553" w:type="pct"/>
                  <w:tcBorders>
                    <w:top w:val="nil"/>
                    <w:left w:val="nil"/>
                    <w:bottom w:val="single" w:sz="4" w:space="0" w:color="BFBFBF"/>
                    <w:right w:val="nil"/>
                  </w:tcBorders>
                  <w:shd w:val="clear" w:color="auto" w:fill="auto"/>
                  <w:vAlign w:val="bottom"/>
                </w:tcPr>
                <w:p w14:paraId="7954CBE5" w14:textId="77777777" w:rsidR="00F05DC7" w:rsidRPr="00222C95" w:rsidRDefault="00F05DC7" w:rsidP="00A3786D">
                  <w:pPr>
                    <w:pStyle w:val="TableBodyText"/>
                    <w:ind w:right="28"/>
                    <w:rPr>
                      <w:rFonts w:asciiTheme="minorHAnsi" w:hAnsiTheme="minorHAnsi" w:cstheme="minorHAnsi"/>
                      <w:szCs w:val="18"/>
                    </w:rPr>
                  </w:pPr>
                  <w:r w:rsidRPr="00222C95">
                    <w:rPr>
                      <w:rFonts w:asciiTheme="minorHAnsi" w:hAnsiTheme="minorHAnsi" w:cstheme="minorHAnsi"/>
                      <w:color w:val="000000"/>
                      <w:szCs w:val="18"/>
                    </w:rPr>
                    <w:t>4.26</w:t>
                  </w:r>
                </w:p>
              </w:tc>
            </w:tr>
          </w:tbl>
          <w:p w14:paraId="7954CBE7" w14:textId="77777777" w:rsidR="00F05DC7" w:rsidRPr="000E0EBA" w:rsidRDefault="00F05DC7" w:rsidP="00A3786D">
            <w:pPr>
              <w:pStyle w:val="Box"/>
              <w:rPr>
                <w:spacing w:val="-2"/>
              </w:rPr>
            </w:pPr>
            <w:r w:rsidRPr="000E0EBA">
              <w:rPr>
                <w:spacing w:val="-2"/>
              </w:rPr>
              <w:t xml:space="preserve">While alternative projections of State populations and GST pool growth rates have a direct effect on the </w:t>
            </w:r>
            <w:r w:rsidRPr="000E0EBA">
              <w:rPr>
                <w:i/>
                <w:spacing w:val="-2"/>
              </w:rPr>
              <w:t>level</w:t>
            </w:r>
            <w:r w:rsidRPr="000E0EBA">
              <w:rPr>
                <w:spacing w:val="-2"/>
              </w:rPr>
              <w:t xml:space="preserve"> of GST payments, they have only a minor influence on the </w:t>
            </w:r>
            <w:r w:rsidRPr="000E0EBA">
              <w:rPr>
                <w:i/>
                <w:spacing w:val="-2"/>
              </w:rPr>
              <w:t>change</w:t>
            </w:r>
            <w:r w:rsidRPr="000E0EBA">
              <w:rPr>
                <w:spacing w:val="-2"/>
              </w:rPr>
              <w:t xml:space="preserve"> in GST payments due to a change in the equalisation benchmark. By contrast, alternative estimates for State fiscal capacities have a material influence. The Commission sought to illustrate how its proposal to change the equalisation benchmark could broadly impact on State budgets over time. As such, only alternative scenarios for State fiscal capacities were included in the analysis (tables F.A1 – F.A8).</w:t>
            </w:r>
          </w:p>
        </w:tc>
      </w:tr>
      <w:tr w:rsidR="00F05DC7" w14:paraId="7954CBEA" w14:textId="77777777" w:rsidTr="00A3786D">
        <w:tc>
          <w:tcPr>
            <w:tcW w:w="5000" w:type="pct"/>
            <w:tcBorders>
              <w:top w:val="nil"/>
              <w:left w:val="nil"/>
              <w:bottom w:val="single" w:sz="6" w:space="0" w:color="78A22F"/>
              <w:right w:val="nil"/>
            </w:tcBorders>
            <w:shd w:val="clear" w:color="auto" w:fill="F2F2F2"/>
          </w:tcPr>
          <w:p w14:paraId="7954CBE9" w14:textId="77777777" w:rsidR="00F05DC7" w:rsidRDefault="00F05DC7">
            <w:pPr>
              <w:pStyle w:val="Box"/>
              <w:spacing w:before="0" w:line="120" w:lineRule="exact"/>
            </w:pPr>
          </w:p>
        </w:tc>
      </w:tr>
      <w:tr w:rsidR="00F05DC7" w:rsidRPr="000863A5" w14:paraId="7954CBEC" w14:textId="77777777" w:rsidTr="00A3786D">
        <w:tc>
          <w:tcPr>
            <w:tcW w:w="5000" w:type="pct"/>
            <w:tcBorders>
              <w:top w:val="single" w:sz="6" w:space="0" w:color="78A22F"/>
              <w:left w:val="nil"/>
              <w:bottom w:val="nil"/>
              <w:right w:val="nil"/>
            </w:tcBorders>
          </w:tcPr>
          <w:p w14:paraId="7954CBEB" w14:textId="77777777" w:rsidR="00F05DC7" w:rsidRPr="00626D32" w:rsidRDefault="00F05DC7" w:rsidP="00A3786D">
            <w:pPr>
              <w:pStyle w:val="BoxSpaceBelow"/>
            </w:pPr>
          </w:p>
        </w:tc>
      </w:tr>
    </w:tbl>
    <w:p w14:paraId="7954CBED"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BF0" w14:textId="77777777" w:rsidTr="00A3786D">
        <w:trPr>
          <w:tblHeader/>
        </w:trPr>
        <w:tc>
          <w:tcPr>
            <w:tcW w:w="5000" w:type="pct"/>
            <w:tcBorders>
              <w:top w:val="single" w:sz="6" w:space="0" w:color="78A22F"/>
              <w:left w:val="nil"/>
              <w:bottom w:val="nil"/>
              <w:right w:val="nil"/>
            </w:tcBorders>
            <w:shd w:val="clear" w:color="auto" w:fill="auto"/>
          </w:tcPr>
          <w:p w14:paraId="7954CBEE" w14:textId="77777777" w:rsidR="00F05DC7" w:rsidRDefault="00F05DC7" w:rsidP="00A3786D">
            <w:pPr>
              <w:pStyle w:val="FigureTitle"/>
            </w:pPr>
            <w:r w:rsidRPr="00784A05">
              <w:rPr>
                <w:b w:val="0"/>
              </w:rPr>
              <w:t xml:space="preserve">Figure </w:t>
            </w:r>
            <w:r>
              <w:rPr>
                <w:b w:val="0"/>
              </w:rPr>
              <w:t>F.A1</w:t>
            </w:r>
            <w:r>
              <w:tab/>
              <w:t>Four year transition to ETA: alternative scenarios produce similar outcomes to the ‘best estimate’ for most States</w:t>
            </w:r>
          </w:p>
          <w:p w14:paraId="7954CBEF" w14:textId="77777777" w:rsidR="00F05DC7" w:rsidRPr="00176D3F" w:rsidRDefault="00F05DC7" w:rsidP="00A3786D">
            <w:pPr>
              <w:pStyle w:val="Subtitle"/>
            </w:pPr>
            <w:r>
              <w:t>Change in GST payments (relative to the current benchmark) as a share of State revenue under the best estimate and two alternative scenarios, four year transition, 2019</w:t>
            </w:r>
            <w:r>
              <w:noBreakHyphen/>
              <w:t>20 to 2026-27</w:t>
            </w:r>
          </w:p>
        </w:tc>
      </w:tr>
      <w:tr w:rsidR="00F05DC7" w14:paraId="7954CBFA" w14:textId="77777777" w:rsidTr="00A3786D">
        <w:tc>
          <w:tcPr>
            <w:tcW w:w="5000" w:type="pct"/>
            <w:tcBorders>
              <w:top w:val="nil"/>
              <w:left w:val="nil"/>
              <w:bottom w:val="nil"/>
              <w:right w:val="nil"/>
            </w:tcBorders>
            <w:shd w:val="clear" w:color="auto" w:fill="auto"/>
            <w:tcMar>
              <w:top w:w="28" w:type="dxa"/>
              <w:bottom w:w="28" w:type="dxa"/>
            </w:tcMar>
          </w:tcPr>
          <w:p w14:paraId="7954CBF9" w14:textId="1FDEE2E0" w:rsidR="00F05DC7" w:rsidRDefault="003F7547" w:rsidP="00A3786D">
            <w:pPr>
              <w:pStyle w:val="Figure"/>
            </w:pPr>
            <w:r w:rsidRPr="003F7547">
              <w:rPr>
                <w:noProof/>
              </w:rPr>
              <w:drawing>
                <wp:inline distT="0" distB="0" distL="0" distR="0" wp14:anchorId="4CC8B43E" wp14:editId="1F4BB654">
                  <wp:extent cx="5112000" cy="6915153"/>
                  <wp:effectExtent l="0" t="0" r="0" b="0"/>
                  <wp:docPr id="20" name="Picture 20" descr="This figure shows the change in GST payments under a four year transition to ETA (relative to the current benchmark) as a share of State revenue when using best estimate relativities, long term relativities and current relativities. Results are presented over the period 2019-20 to 2026-27.&#10;For New South Wales the change in GST payments is largest when using the best estimate relativities. In 2023-24 the change in GST payments is predicted to be 2.11 per cent of total State revenue. The change is predicted to be smallest when using long term relativities. (0.35 per cent in 2021-22)&#10;For Victoria the change in GST payments is strictly negative when using the current and best estimate relativities. The largest reduction is predicted to occur in 2026-27 (2.66 per cent of total State revenue) when using current relativities. When using long term relativities the change in GST payments is predicted to be remain positive at 0.38 per cent from 2023-24 onwards.&#10;For Queensland there is less variance in the predicted change in GST payments under the three scenarios. In all cases the change is negative, and the reduction is largest in 2023-24 (2.72 per cent of total State revenue) when using best estimates.&#10;For Western Australia the change in GST payments is largest when using current relativities. With these estimates the change in GST payments is projected to be 10.87 per cent of total State revenue in 2026-27. The change is predicted to be smallest when using the best estimates (3.11 per cent in 2026-27).&#10;For South Australia, Tasmania, the Australian Capital Territory and the Northern Territory the difference between the projected change in GST payments under the three scenarios is small. For South Australia, Tasmania, the Australian Capital Territory the largest reduction occurs when using the best estimates. In 2026-27 the projected decrease in GST payments is 2.75 per cent of total State revenue, 2.64 per cent of total State revenue and 2.16 per cent of total State revenue respectively. In the Northern Territory the largest reduction occurs when using current relativities (in 2026-27 the decrease in GST payments is projected to be negative 1.28 per cent of total State reven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112000" cy="6915153"/>
                          </a:xfrm>
                          <a:prstGeom prst="rect">
                            <a:avLst/>
                          </a:prstGeom>
                          <a:noFill/>
                          <a:ln>
                            <a:noFill/>
                          </a:ln>
                        </pic:spPr>
                      </pic:pic>
                    </a:graphicData>
                  </a:graphic>
                </wp:inline>
              </w:drawing>
            </w:r>
          </w:p>
        </w:tc>
      </w:tr>
      <w:tr w:rsidR="00F05DC7" w:rsidRPr="00176D3F" w14:paraId="7954CBFC" w14:textId="77777777" w:rsidTr="00A3786D">
        <w:tc>
          <w:tcPr>
            <w:tcW w:w="5000" w:type="pct"/>
            <w:tcBorders>
              <w:top w:val="nil"/>
              <w:left w:val="nil"/>
              <w:bottom w:val="nil"/>
              <w:right w:val="nil"/>
            </w:tcBorders>
            <w:shd w:val="clear" w:color="auto" w:fill="auto"/>
          </w:tcPr>
          <w:p w14:paraId="7954CBFB" w14:textId="77777777" w:rsidR="00F05DC7" w:rsidRPr="00176D3F" w:rsidRDefault="00F05DC7" w:rsidP="00A3786D">
            <w:pPr>
              <w:pStyle w:val="Source"/>
            </w:pPr>
            <w:r>
              <w:rPr>
                <w:i/>
              </w:rPr>
              <w:t>S</w:t>
            </w:r>
            <w:r w:rsidRPr="00784A05">
              <w:rPr>
                <w:i/>
              </w:rPr>
              <w:t>ource</w:t>
            </w:r>
            <w:r w:rsidRPr="00176D3F">
              <w:t xml:space="preserve">: </w:t>
            </w:r>
            <w:r w:rsidRPr="00DF0A9F">
              <w:t xml:space="preserve">Productivity </w:t>
            </w:r>
            <w:r w:rsidRPr="00676CAE">
              <w:t>Commission estimates</w:t>
            </w:r>
            <w:r>
              <w:t>.</w:t>
            </w:r>
          </w:p>
        </w:tc>
      </w:tr>
      <w:tr w:rsidR="00F05DC7" w14:paraId="7954CBFE" w14:textId="77777777" w:rsidTr="00A3786D">
        <w:tc>
          <w:tcPr>
            <w:tcW w:w="5000" w:type="pct"/>
            <w:tcBorders>
              <w:top w:val="nil"/>
              <w:left w:val="nil"/>
              <w:bottom w:val="single" w:sz="6" w:space="0" w:color="78A22F"/>
              <w:right w:val="nil"/>
            </w:tcBorders>
            <w:shd w:val="clear" w:color="auto" w:fill="auto"/>
          </w:tcPr>
          <w:p w14:paraId="7954CBFD" w14:textId="77777777" w:rsidR="00F05DC7" w:rsidRDefault="00F05DC7" w:rsidP="00A3786D">
            <w:pPr>
              <w:pStyle w:val="Figurespace"/>
            </w:pPr>
          </w:p>
        </w:tc>
      </w:tr>
      <w:tr w:rsidR="00F05DC7" w:rsidRPr="000863A5" w14:paraId="7954CC00" w14:textId="77777777" w:rsidTr="00A3786D">
        <w:tc>
          <w:tcPr>
            <w:tcW w:w="5000" w:type="pct"/>
            <w:tcBorders>
              <w:top w:val="single" w:sz="6" w:space="0" w:color="78A22F"/>
              <w:left w:val="nil"/>
              <w:bottom w:val="nil"/>
              <w:right w:val="nil"/>
            </w:tcBorders>
          </w:tcPr>
          <w:p w14:paraId="7954CBFF" w14:textId="77777777" w:rsidR="00F05DC7" w:rsidRPr="00626D32" w:rsidRDefault="00F05DC7" w:rsidP="00A3786D">
            <w:pPr>
              <w:pStyle w:val="BoxSpaceBelow"/>
            </w:pPr>
          </w:p>
        </w:tc>
      </w:tr>
    </w:tbl>
    <w:p w14:paraId="7954CC01" w14:textId="77777777" w:rsidR="00F05DC7" w:rsidRDefault="00F05DC7" w:rsidP="00A378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05DC7" w14:paraId="7954CC04" w14:textId="77777777" w:rsidTr="00A3786D">
        <w:trPr>
          <w:tblHeader/>
        </w:trPr>
        <w:tc>
          <w:tcPr>
            <w:tcW w:w="5000" w:type="pct"/>
            <w:tcBorders>
              <w:top w:val="single" w:sz="6" w:space="0" w:color="78A22F"/>
              <w:left w:val="nil"/>
              <w:bottom w:val="nil"/>
              <w:right w:val="nil"/>
            </w:tcBorders>
            <w:shd w:val="clear" w:color="auto" w:fill="auto"/>
          </w:tcPr>
          <w:p w14:paraId="7954CC02" w14:textId="77777777" w:rsidR="00F05DC7" w:rsidRDefault="00F05DC7" w:rsidP="00A3786D">
            <w:pPr>
              <w:pStyle w:val="FigureTitle"/>
            </w:pPr>
            <w:r w:rsidRPr="00784A05">
              <w:rPr>
                <w:b w:val="0"/>
              </w:rPr>
              <w:t xml:space="preserve">Figure </w:t>
            </w:r>
            <w:r>
              <w:rPr>
                <w:b w:val="0"/>
              </w:rPr>
              <w:t>F.A2</w:t>
            </w:r>
            <w:r>
              <w:tab/>
              <w:t>Eight year transition to ETA: alternative scenarios produce similar outcomes to the ‘best estimate’ for most States</w:t>
            </w:r>
          </w:p>
          <w:p w14:paraId="7954CC03" w14:textId="77777777" w:rsidR="00F05DC7" w:rsidRPr="00176D3F" w:rsidRDefault="00F05DC7" w:rsidP="00A3786D">
            <w:pPr>
              <w:pStyle w:val="Subtitle"/>
            </w:pPr>
            <w:r>
              <w:t>Change in GST payments (relative to the current benchmark) as a share of State revenue under the best estimate and two alternative scenarios, eight year transition, 2019</w:t>
            </w:r>
            <w:r>
              <w:noBreakHyphen/>
              <w:t>20 to 2026-27</w:t>
            </w:r>
          </w:p>
        </w:tc>
      </w:tr>
      <w:tr w:rsidR="00F05DC7" w14:paraId="7954CC0E" w14:textId="77777777" w:rsidTr="00A3786D">
        <w:tc>
          <w:tcPr>
            <w:tcW w:w="5000" w:type="pct"/>
            <w:tcBorders>
              <w:top w:val="nil"/>
              <w:left w:val="nil"/>
              <w:bottom w:val="nil"/>
              <w:right w:val="nil"/>
            </w:tcBorders>
            <w:shd w:val="clear" w:color="auto" w:fill="auto"/>
            <w:tcMar>
              <w:top w:w="28" w:type="dxa"/>
              <w:bottom w:w="28" w:type="dxa"/>
            </w:tcMar>
          </w:tcPr>
          <w:p w14:paraId="7954CC0D" w14:textId="4C52B24D" w:rsidR="00F05DC7" w:rsidRDefault="007F3724" w:rsidP="00A3786D">
            <w:pPr>
              <w:pStyle w:val="Figure"/>
            </w:pPr>
            <w:r w:rsidRPr="007F3724">
              <w:rPr>
                <w:noProof/>
              </w:rPr>
              <w:drawing>
                <wp:inline distT="0" distB="0" distL="0" distR="0" wp14:anchorId="3AB21E3E" wp14:editId="0F30B0E6">
                  <wp:extent cx="5004000" cy="6958437"/>
                  <wp:effectExtent l="0" t="0" r="6350" b="0"/>
                  <wp:docPr id="19" name="Picture 19" descr="This figure replicates figure F.A.1 but shows the change in GST payments under a eight year transition to ETA &#10;For New South Wales the change in GST payments is largest when using the best estimate relativities. The maximum increase in GST payments was in 2026-27, when it was projected to be 1.96 per cent of total State revenue. The change in GST payments is projected to be smallest when using long term relativities (0.04 per cent in 2021-22).&#10;For Victoria the change in GST payments is negative when using the current and best estimate relativities. The largest reduction is projected to occur in 2026-27 (2.65 per cent of total State revenue) when using current relativities. When using long term relativities the change in GST payments is predicted to be positive from 2023-24 onwards. The largest increase is predicted to occur in 2026-27 (0.38 per cent).&#10;For Queensland there is significantly less variance in the predicted change in GST payments under the three scenarios (relative to New South Wales and Victoria). In all three scenarios the change is negative. The reduction is largest in 2026-27 (negative 2.7 per cent of total State revenue) when using best estimates.&#10;For Western Australia there is significant variance in the predicted change in GST payments under the three scenarios (relative to the other States). The change in GST payments is largest when using current relativities (10.87 per cent of total State revenue in 2026-27). The change is predicted to be smallest when using best estimates (3.11 per cent in 2026-27)&#10;For South Australia, Tasmania, the Australian Capital Territory and the Northern Territory the variance in the change in GST payments under the three scenarios is small (similar to Queensland). For South Australia, Tasmania, the Australian Capital Territory the largest reduction occurs when using the best estimates. In 2026-27 the predicted decrease in GST payments is 2.75 per cent of total State revenue, 2.64 per cent of total State revenue and 2.16 per cent of total State revenue, respectively. In the Northern Territory the largest reduction occurs when using current relativities (1.28 per cent in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004000" cy="6958437"/>
                          </a:xfrm>
                          <a:prstGeom prst="rect">
                            <a:avLst/>
                          </a:prstGeom>
                          <a:noFill/>
                          <a:ln>
                            <a:noFill/>
                          </a:ln>
                        </pic:spPr>
                      </pic:pic>
                    </a:graphicData>
                  </a:graphic>
                </wp:inline>
              </w:drawing>
            </w:r>
          </w:p>
        </w:tc>
      </w:tr>
      <w:tr w:rsidR="00F05DC7" w:rsidRPr="00176D3F" w14:paraId="7954CC10" w14:textId="77777777" w:rsidTr="00A3786D">
        <w:tc>
          <w:tcPr>
            <w:tcW w:w="5000" w:type="pct"/>
            <w:tcBorders>
              <w:top w:val="nil"/>
              <w:left w:val="nil"/>
              <w:bottom w:val="nil"/>
              <w:right w:val="nil"/>
            </w:tcBorders>
            <w:shd w:val="clear" w:color="auto" w:fill="auto"/>
          </w:tcPr>
          <w:p w14:paraId="7954CC0F" w14:textId="77777777" w:rsidR="00F05DC7" w:rsidRPr="00176D3F" w:rsidRDefault="00F05DC7" w:rsidP="00A3786D">
            <w:pPr>
              <w:pStyle w:val="Source"/>
            </w:pPr>
            <w:r>
              <w:rPr>
                <w:i/>
              </w:rPr>
              <w:t>S</w:t>
            </w:r>
            <w:r w:rsidRPr="00784A05">
              <w:rPr>
                <w:i/>
              </w:rPr>
              <w:t>ource</w:t>
            </w:r>
            <w:r w:rsidRPr="00176D3F">
              <w:t xml:space="preserve">: </w:t>
            </w:r>
            <w:r w:rsidRPr="00DF0A9F">
              <w:t xml:space="preserve">Productivity </w:t>
            </w:r>
            <w:r w:rsidRPr="00676CAE">
              <w:t>Commission estimates</w:t>
            </w:r>
            <w:r>
              <w:t>.</w:t>
            </w:r>
          </w:p>
        </w:tc>
      </w:tr>
      <w:tr w:rsidR="00F05DC7" w14:paraId="7954CC12" w14:textId="77777777" w:rsidTr="00A3786D">
        <w:tc>
          <w:tcPr>
            <w:tcW w:w="5000" w:type="pct"/>
            <w:tcBorders>
              <w:top w:val="nil"/>
              <w:left w:val="nil"/>
              <w:bottom w:val="single" w:sz="6" w:space="0" w:color="78A22F"/>
              <w:right w:val="nil"/>
            </w:tcBorders>
            <w:shd w:val="clear" w:color="auto" w:fill="auto"/>
          </w:tcPr>
          <w:p w14:paraId="7954CC11" w14:textId="77777777" w:rsidR="00F05DC7" w:rsidRDefault="00F05DC7" w:rsidP="00A3786D">
            <w:pPr>
              <w:pStyle w:val="Figurespace"/>
            </w:pPr>
          </w:p>
        </w:tc>
      </w:tr>
      <w:tr w:rsidR="00F05DC7" w:rsidRPr="000863A5" w14:paraId="7954CC14" w14:textId="77777777" w:rsidTr="00A3786D">
        <w:tc>
          <w:tcPr>
            <w:tcW w:w="5000" w:type="pct"/>
            <w:tcBorders>
              <w:top w:val="single" w:sz="6" w:space="0" w:color="78A22F"/>
              <w:left w:val="nil"/>
              <w:bottom w:val="nil"/>
              <w:right w:val="nil"/>
            </w:tcBorders>
          </w:tcPr>
          <w:p w14:paraId="7954CC13" w14:textId="77777777" w:rsidR="00F05DC7" w:rsidRPr="00626D32" w:rsidRDefault="00F05DC7" w:rsidP="00A3786D">
            <w:pPr>
              <w:pStyle w:val="BoxSpaceBelow"/>
            </w:pPr>
          </w:p>
        </w:tc>
      </w:tr>
    </w:tbl>
    <w:p w14:paraId="7954CC15" w14:textId="77777777" w:rsidR="00F05DC7" w:rsidRDefault="00F05DC7" w:rsidP="00A3786D">
      <w:pPr>
        <w:pStyle w:val="Heading3"/>
      </w:pPr>
      <w:r>
        <w:lastRenderedPageBreak/>
        <w:t>Tables of results: relative fiscal capacities returning to long run trend</w:t>
      </w:r>
    </w:p>
    <w:p w14:paraId="7954CC16" w14:textId="77777777" w:rsidR="00F05DC7" w:rsidRDefault="00F05DC7" w:rsidP="00A3786D">
      <w:pPr>
        <w:pStyle w:val="BodyText"/>
      </w:pPr>
      <w:r>
        <w:t>The following tables present results of the transition to ETA using an alternative scenario for future relative State fiscal capacities. This scenario assumes that relativities return to their ‘long run trend’ (using a 19 year average) in the first period after the end of the forward estimates (2023</w:t>
      </w:r>
      <w:r>
        <w:noBreakHyphen/>
        <w:t>24) (box F.A1).</w:t>
      </w:r>
    </w:p>
    <w:p w14:paraId="7954CC17" w14:textId="77777777" w:rsidR="00F05DC7" w:rsidRDefault="00F05DC7" w:rsidP="007F372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C1A" w14:textId="77777777" w:rsidTr="00A3786D">
        <w:trPr>
          <w:tblHeader/>
        </w:trPr>
        <w:tc>
          <w:tcPr>
            <w:tcW w:w="5000" w:type="pct"/>
            <w:tcBorders>
              <w:top w:val="single" w:sz="6" w:space="0" w:color="78A22F"/>
              <w:left w:val="nil"/>
              <w:bottom w:val="nil"/>
              <w:right w:val="nil"/>
            </w:tcBorders>
            <w:shd w:val="clear" w:color="auto" w:fill="auto"/>
          </w:tcPr>
          <w:p w14:paraId="7954CC18" w14:textId="66E5AABA" w:rsidR="00F05DC7" w:rsidRDefault="00F05DC7" w:rsidP="00A3786D">
            <w:pPr>
              <w:pStyle w:val="TableTitle"/>
            </w:pPr>
            <w:r>
              <w:rPr>
                <w:b w:val="0"/>
              </w:rPr>
              <w:t>Table F.A1</w:t>
            </w:r>
            <w:r>
              <w:tab/>
              <w:t>Alternative scenario (long run trend): projected c</w:t>
            </w:r>
            <w:r w:rsidRPr="00920444">
              <w:t>hange</w:t>
            </w:r>
            <w:r>
              <w:t xml:space="preserve"> in</w:t>
            </w:r>
            <w:r w:rsidRPr="00920444">
              <w:t xml:space="preserve"> GST </w:t>
            </w:r>
            <w:r>
              <w:t xml:space="preserve">due to change in the benchmark to ETA </w:t>
            </w:r>
          </w:p>
          <w:p w14:paraId="7954CC19" w14:textId="77777777" w:rsidR="00F05DC7" w:rsidRPr="00784A05" w:rsidRDefault="00F05DC7" w:rsidP="00A3786D">
            <w:pPr>
              <w:pStyle w:val="Subtitle"/>
            </w:pPr>
            <w:r>
              <w:t>Four year transition</w:t>
            </w:r>
          </w:p>
        </w:tc>
      </w:tr>
      <w:tr w:rsidR="00F05DC7" w14:paraId="7954CD1C"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CC24"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C1B"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CC1C"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CC1D"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CC1E"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CC1F"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CC20"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CC21"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CC22"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CC23"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CC26" w14:textId="77777777" w:rsidTr="00A3786D">
              <w:tc>
                <w:tcPr>
                  <w:tcW w:w="5000" w:type="pct"/>
                  <w:gridSpan w:val="9"/>
                  <w:tcBorders>
                    <w:top w:val="single" w:sz="6" w:space="0" w:color="BFBFBF"/>
                  </w:tcBorders>
                  <w:shd w:val="clear" w:color="auto" w:fill="F2F2F2" w:themeFill="background1" w:themeFillShade="F2"/>
                </w:tcPr>
                <w:p w14:paraId="7954CC25"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CC30" w14:textId="77777777" w:rsidTr="00A3786D">
              <w:tc>
                <w:tcPr>
                  <w:tcW w:w="556" w:type="pct"/>
                  <w:vAlign w:val="bottom"/>
                </w:tcPr>
                <w:p w14:paraId="7954CC27"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CC28" w14:textId="77777777" w:rsidR="00F05DC7" w:rsidRPr="00A75ED1" w:rsidRDefault="00F05DC7" w:rsidP="00A3786D">
                  <w:pPr>
                    <w:pStyle w:val="TableBodyText"/>
                    <w:rPr>
                      <w:rFonts w:cs="Arial"/>
                      <w:szCs w:val="18"/>
                    </w:rPr>
                  </w:pPr>
                  <w:r w:rsidRPr="00A75ED1">
                    <w:rPr>
                      <w:rFonts w:cs="Arial"/>
                      <w:color w:val="000000"/>
                      <w:szCs w:val="18"/>
                    </w:rPr>
                    <w:t>177</w:t>
                  </w:r>
                </w:p>
              </w:tc>
              <w:tc>
                <w:tcPr>
                  <w:tcW w:w="557" w:type="pct"/>
                  <w:tcBorders>
                    <w:top w:val="nil"/>
                    <w:left w:val="nil"/>
                    <w:bottom w:val="nil"/>
                    <w:right w:val="nil"/>
                  </w:tcBorders>
                  <w:shd w:val="clear" w:color="auto" w:fill="auto"/>
                  <w:vAlign w:val="bottom"/>
                </w:tcPr>
                <w:p w14:paraId="7954CC2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315</w:t>
                  </w:r>
                </w:p>
              </w:tc>
              <w:tc>
                <w:tcPr>
                  <w:tcW w:w="556" w:type="pct"/>
                  <w:tcBorders>
                    <w:top w:val="nil"/>
                    <w:left w:val="nil"/>
                    <w:bottom w:val="nil"/>
                    <w:right w:val="nil"/>
                  </w:tcBorders>
                  <w:shd w:val="clear" w:color="auto" w:fill="auto"/>
                  <w:vAlign w:val="bottom"/>
                </w:tcPr>
                <w:p w14:paraId="7954CC2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336</w:t>
                  </w:r>
                </w:p>
              </w:tc>
              <w:tc>
                <w:tcPr>
                  <w:tcW w:w="556" w:type="pct"/>
                  <w:tcBorders>
                    <w:top w:val="nil"/>
                    <w:left w:val="nil"/>
                    <w:bottom w:val="nil"/>
                    <w:right w:val="nil"/>
                  </w:tcBorders>
                  <w:shd w:val="clear" w:color="auto" w:fill="auto"/>
                  <w:vAlign w:val="bottom"/>
                </w:tcPr>
                <w:p w14:paraId="7954CC2B" w14:textId="77777777" w:rsidR="00F05DC7" w:rsidRPr="00A75ED1" w:rsidRDefault="00F05DC7" w:rsidP="00A3786D">
                  <w:pPr>
                    <w:pStyle w:val="TableBodyText"/>
                    <w:rPr>
                      <w:rFonts w:cs="Arial"/>
                      <w:szCs w:val="18"/>
                    </w:rPr>
                  </w:pPr>
                  <w:r w:rsidRPr="00A75ED1">
                    <w:rPr>
                      <w:rFonts w:cs="Arial"/>
                      <w:color w:val="000000"/>
                      <w:szCs w:val="18"/>
                    </w:rPr>
                    <w:t>669</w:t>
                  </w:r>
                </w:p>
              </w:tc>
              <w:tc>
                <w:tcPr>
                  <w:tcW w:w="555" w:type="pct"/>
                  <w:tcBorders>
                    <w:top w:val="nil"/>
                    <w:left w:val="nil"/>
                    <w:bottom w:val="nil"/>
                    <w:right w:val="nil"/>
                  </w:tcBorders>
                  <w:shd w:val="clear" w:color="auto" w:fill="auto"/>
                  <w:vAlign w:val="bottom"/>
                </w:tcPr>
                <w:p w14:paraId="7954CC2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116</w:t>
                  </w:r>
                </w:p>
              </w:tc>
              <w:tc>
                <w:tcPr>
                  <w:tcW w:w="555" w:type="pct"/>
                  <w:tcBorders>
                    <w:top w:val="nil"/>
                    <w:left w:val="nil"/>
                    <w:bottom w:val="nil"/>
                    <w:right w:val="nil"/>
                  </w:tcBorders>
                  <w:shd w:val="clear" w:color="auto" w:fill="auto"/>
                  <w:vAlign w:val="bottom"/>
                </w:tcPr>
                <w:p w14:paraId="7954CC2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w:t>
                  </w:r>
                </w:p>
              </w:tc>
              <w:tc>
                <w:tcPr>
                  <w:tcW w:w="555" w:type="pct"/>
                  <w:tcBorders>
                    <w:top w:val="nil"/>
                    <w:left w:val="nil"/>
                    <w:bottom w:val="nil"/>
                    <w:right w:val="nil"/>
                  </w:tcBorders>
                  <w:shd w:val="clear" w:color="auto" w:fill="auto"/>
                  <w:vAlign w:val="bottom"/>
                </w:tcPr>
                <w:p w14:paraId="7954CC2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28</w:t>
                  </w:r>
                </w:p>
              </w:tc>
              <w:tc>
                <w:tcPr>
                  <w:tcW w:w="553" w:type="pct"/>
                  <w:tcBorders>
                    <w:top w:val="nil"/>
                    <w:left w:val="nil"/>
                    <w:bottom w:val="nil"/>
                    <w:right w:val="nil"/>
                  </w:tcBorders>
                  <w:shd w:val="clear" w:color="auto" w:fill="auto"/>
                  <w:vAlign w:val="bottom"/>
                </w:tcPr>
                <w:p w14:paraId="7954CC2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16 </w:t>
                  </w:r>
                </w:p>
              </w:tc>
            </w:tr>
            <w:tr w:rsidR="00F05DC7" w:rsidRPr="00A75ED1" w14:paraId="7954CC3A" w14:textId="77777777" w:rsidTr="00A3786D">
              <w:tc>
                <w:tcPr>
                  <w:tcW w:w="556" w:type="pct"/>
                  <w:vAlign w:val="bottom"/>
                </w:tcPr>
                <w:p w14:paraId="7954CC31"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CC32" w14:textId="77777777" w:rsidR="00F05DC7" w:rsidRPr="00A75ED1" w:rsidRDefault="00F05DC7" w:rsidP="00A3786D">
                  <w:pPr>
                    <w:pStyle w:val="TableBodyText"/>
                    <w:rPr>
                      <w:rFonts w:cs="Arial"/>
                      <w:szCs w:val="18"/>
                    </w:rPr>
                  </w:pPr>
                  <w:r w:rsidRPr="00A75ED1">
                    <w:rPr>
                      <w:rFonts w:cs="Arial"/>
                      <w:color w:val="000000"/>
                      <w:szCs w:val="18"/>
                    </w:rPr>
                    <w:t>288</w:t>
                  </w:r>
                </w:p>
              </w:tc>
              <w:tc>
                <w:tcPr>
                  <w:tcW w:w="557" w:type="pct"/>
                  <w:tcBorders>
                    <w:top w:val="nil"/>
                    <w:left w:val="nil"/>
                    <w:bottom w:val="nil"/>
                    <w:right w:val="nil"/>
                  </w:tcBorders>
                  <w:shd w:val="clear" w:color="auto" w:fill="auto"/>
                  <w:vAlign w:val="bottom"/>
                </w:tcPr>
                <w:p w14:paraId="7954CC3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467</w:t>
                  </w:r>
                </w:p>
              </w:tc>
              <w:tc>
                <w:tcPr>
                  <w:tcW w:w="556" w:type="pct"/>
                  <w:tcBorders>
                    <w:top w:val="nil"/>
                    <w:left w:val="nil"/>
                    <w:bottom w:val="nil"/>
                    <w:right w:val="nil"/>
                  </w:tcBorders>
                  <w:shd w:val="clear" w:color="auto" w:fill="auto"/>
                  <w:vAlign w:val="bottom"/>
                </w:tcPr>
                <w:p w14:paraId="7954CC3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668</w:t>
                  </w:r>
                </w:p>
              </w:tc>
              <w:tc>
                <w:tcPr>
                  <w:tcW w:w="556" w:type="pct"/>
                  <w:tcBorders>
                    <w:top w:val="nil"/>
                    <w:left w:val="nil"/>
                    <w:bottom w:val="nil"/>
                    <w:right w:val="nil"/>
                  </w:tcBorders>
                  <w:shd w:val="clear" w:color="auto" w:fill="auto"/>
                  <w:vAlign w:val="bottom"/>
                </w:tcPr>
                <w:p w14:paraId="7954CC35" w14:textId="77777777" w:rsidR="00F05DC7" w:rsidRPr="00A75ED1" w:rsidRDefault="00F05DC7" w:rsidP="00A3786D">
                  <w:pPr>
                    <w:pStyle w:val="TableBodyText"/>
                    <w:rPr>
                      <w:rFonts w:cs="Arial"/>
                      <w:szCs w:val="18"/>
                    </w:rPr>
                  </w:pPr>
                  <w:r w:rsidRPr="00A75ED1">
                    <w:rPr>
                      <w:rFonts w:cs="Arial"/>
                      <w:color w:val="000000"/>
                      <w:szCs w:val="18"/>
                    </w:rPr>
                    <w:t>1233</w:t>
                  </w:r>
                </w:p>
              </w:tc>
              <w:tc>
                <w:tcPr>
                  <w:tcW w:w="555" w:type="pct"/>
                  <w:tcBorders>
                    <w:top w:val="nil"/>
                    <w:left w:val="nil"/>
                    <w:bottom w:val="nil"/>
                    <w:right w:val="nil"/>
                  </w:tcBorders>
                  <w:shd w:val="clear" w:color="auto" w:fill="auto"/>
                  <w:vAlign w:val="bottom"/>
                </w:tcPr>
                <w:p w14:paraId="7954CC3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229</w:t>
                  </w:r>
                </w:p>
              </w:tc>
              <w:tc>
                <w:tcPr>
                  <w:tcW w:w="555" w:type="pct"/>
                  <w:tcBorders>
                    <w:top w:val="nil"/>
                    <w:left w:val="nil"/>
                    <w:bottom w:val="nil"/>
                    <w:right w:val="nil"/>
                  </w:tcBorders>
                  <w:shd w:val="clear" w:color="auto" w:fill="auto"/>
                  <w:vAlign w:val="bottom"/>
                </w:tcPr>
                <w:p w14:paraId="7954CC3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69</w:t>
                  </w:r>
                </w:p>
              </w:tc>
              <w:tc>
                <w:tcPr>
                  <w:tcW w:w="555" w:type="pct"/>
                  <w:tcBorders>
                    <w:top w:val="nil"/>
                    <w:left w:val="nil"/>
                    <w:bottom w:val="nil"/>
                    <w:right w:val="nil"/>
                  </w:tcBorders>
                  <w:shd w:val="clear" w:color="auto" w:fill="auto"/>
                  <w:vAlign w:val="bottom"/>
                </w:tcPr>
                <w:p w14:paraId="7954CC3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56</w:t>
                  </w:r>
                </w:p>
              </w:tc>
              <w:tc>
                <w:tcPr>
                  <w:tcW w:w="553" w:type="pct"/>
                  <w:tcBorders>
                    <w:top w:val="nil"/>
                    <w:left w:val="nil"/>
                    <w:bottom w:val="nil"/>
                    <w:right w:val="nil"/>
                  </w:tcBorders>
                  <w:shd w:val="clear" w:color="auto" w:fill="auto"/>
                  <w:vAlign w:val="bottom"/>
                </w:tcPr>
                <w:p w14:paraId="7954CC3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32 </w:t>
                  </w:r>
                </w:p>
              </w:tc>
            </w:tr>
            <w:tr w:rsidR="00F05DC7" w:rsidRPr="00A75ED1" w14:paraId="7954CC44" w14:textId="77777777" w:rsidTr="00A3786D">
              <w:tc>
                <w:tcPr>
                  <w:tcW w:w="556" w:type="pct"/>
                  <w:vAlign w:val="bottom"/>
                </w:tcPr>
                <w:p w14:paraId="7954CC3B"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CC3C" w14:textId="77777777" w:rsidR="00F05DC7" w:rsidRPr="00A75ED1" w:rsidRDefault="00F05DC7" w:rsidP="00A3786D">
                  <w:pPr>
                    <w:pStyle w:val="TableBodyText"/>
                    <w:rPr>
                      <w:rFonts w:cs="Arial"/>
                      <w:szCs w:val="18"/>
                    </w:rPr>
                  </w:pPr>
                  <w:r w:rsidRPr="00A75ED1">
                    <w:rPr>
                      <w:rFonts w:cs="Arial"/>
                      <w:color w:val="000000"/>
                      <w:szCs w:val="18"/>
                    </w:rPr>
                    <w:t>319</w:t>
                  </w:r>
                </w:p>
              </w:tc>
              <w:tc>
                <w:tcPr>
                  <w:tcW w:w="557" w:type="pct"/>
                  <w:tcBorders>
                    <w:top w:val="nil"/>
                    <w:left w:val="nil"/>
                    <w:bottom w:val="nil"/>
                    <w:right w:val="nil"/>
                  </w:tcBorders>
                  <w:shd w:val="clear" w:color="auto" w:fill="auto"/>
                  <w:vAlign w:val="bottom"/>
                </w:tcPr>
                <w:p w14:paraId="7954CC3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425</w:t>
                  </w:r>
                </w:p>
              </w:tc>
              <w:tc>
                <w:tcPr>
                  <w:tcW w:w="556" w:type="pct"/>
                  <w:tcBorders>
                    <w:top w:val="nil"/>
                    <w:left w:val="nil"/>
                    <w:bottom w:val="nil"/>
                    <w:right w:val="nil"/>
                  </w:tcBorders>
                  <w:shd w:val="clear" w:color="auto" w:fill="auto"/>
                  <w:vAlign w:val="bottom"/>
                </w:tcPr>
                <w:p w14:paraId="7954CC3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993</w:t>
                  </w:r>
                </w:p>
              </w:tc>
              <w:tc>
                <w:tcPr>
                  <w:tcW w:w="556" w:type="pct"/>
                  <w:tcBorders>
                    <w:top w:val="nil"/>
                    <w:left w:val="nil"/>
                    <w:bottom w:val="nil"/>
                    <w:right w:val="nil"/>
                  </w:tcBorders>
                  <w:shd w:val="clear" w:color="auto" w:fill="auto"/>
                  <w:vAlign w:val="bottom"/>
                </w:tcPr>
                <w:p w14:paraId="7954CC3F" w14:textId="77777777" w:rsidR="00F05DC7" w:rsidRPr="00A75ED1" w:rsidRDefault="00F05DC7" w:rsidP="00A3786D">
                  <w:pPr>
                    <w:pStyle w:val="TableBodyText"/>
                    <w:rPr>
                      <w:rFonts w:cs="Arial"/>
                      <w:szCs w:val="18"/>
                    </w:rPr>
                  </w:pPr>
                  <w:r w:rsidRPr="00A75ED1">
                    <w:rPr>
                      <w:rFonts w:cs="Arial"/>
                      <w:color w:val="000000"/>
                      <w:szCs w:val="18"/>
                    </w:rPr>
                    <w:t>1668</w:t>
                  </w:r>
                </w:p>
              </w:tc>
              <w:tc>
                <w:tcPr>
                  <w:tcW w:w="555" w:type="pct"/>
                  <w:tcBorders>
                    <w:top w:val="nil"/>
                    <w:left w:val="nil"/>
                    <w:bottom w:val="nil"/>
                    <w:right w:val="nil"/>
                  </w:tcBorders>
                  <w:shd w:val="clear" w:color="auto" w:fill="auto"/>
                  <w:vAlign w:val="bottom"/>
                </w:tcPr>
                <w:p w14:paraId="7954CC4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337</w:t>
                  </w:r>
                </w:p>
              </w:tc>
              <w:tc>
                <w:tcPr>
                  <w:tcW w:w="555" w:type="pct"/>
                  <w:tcBorders>
                    <w:top w:val="nil"/>
                    <w:left w:val="nil"/>
                    <w:bottom w:val="nil"/>
                    <w:right w:val="nil"/>
                  </w:tcBorders>
                  <w:shd w:val="clear" w:color="auto" w:fill="auto"/>
                  <w:vAlign w:val="bottom"/>
                </w:tcPr>
                <w:p w14:paraId="7954CC4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101</w:t>
                  </w:r>
                </w:p>
              </w:tc>
              <w:tc>
                <w:tcPr>
                  <w:tcW w:w="555" w:type="pct"/>
                  <w:tcBorders>
                    <w:top w:val="nil"/>
                    <w:left w:val="nil"/>
                    <w:bottom w:val="nil"/>
                    <w:right w:val="nil"/>
                  </w:tcBorders>
                  <w:shd w:val="clear" w:color="auto" w:fill="auto"/>
                  <w:vAlign w:val="bottom"/>
                </w:tcPr>
                <w:p w14:paraId="7954CC4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83</w:t>
                  </w:r>
                </w:p>
              </w:tc>
              <w:tc>
                <w:tcPr>
                  <w:tcW w:w="553" w:type="pct"/>
                  <w:tcBorders>
                    <w:top w:val="nil"/>
                    <w:left w:val="nil"/>
                    <w:bottom w:val="nil"/>
                    <w:right w:val="nil"/>
                  </w:tcBorders>
                  <w:shd w:val="clear" w:color="auto" w:fill="auto"/>
                  <w:vAlign w:val="bottom"/>
                </w:tcPr>
                <w:p w14:paraId="7954CC4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47 </w:t>
                  </w:r>
                </w:p>
              </w:tc>
            </w:tr>
            <w:tr w:rsidR="00F05DC7" w:rsidRPr="00A75ED1" w14:paraId="7954CC4E" w14:textId="77777777" w:rsidTr="00A3786D">
              <w:tc>
                <w:tcPr>
                  <w:tcW w:w="556" w:type="pct"/>
                </w:tcPr>
                <w:p w14:paraId="7954CC45"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CC46" w14:textId="77777777" w:rsidR="00F05DC7" w:rsidRPr="00A75ED1" w:rsidRDefault="00F05DC7" w:rsidP="00A3786D">
                  <w:pPr>
                    <w:pStyle w:val="TableBodyText"/>
                    <w:rPr>
                      <w:rFonts w:cs="Arial"/>
                      <w:szCs w:val="18"/>
                    </w:rPr>
                  </w:pPr>
                  <w:r w:rsidRPr="00A75ED1">
                    <w:rPr>
                      <w:rFonts w:cs="Arial"/>
                      <w:color w:val="000000"/>
                      <w:szCs w:val="18"/>
                    </w:rPr>
                    <w:t>254</w:t>
                  </w:r>
                </w:p>
              </w:tc>
              <w:tc>
                <w:tcPr>
                  <w:tcW w:w="557" w:type="pct"/>
                  <w:tcBorders>
                    <w:top w:val="nil"/>
                    <w:left w:val="nil"/>
                    <w:bottom w:val="nil"/>
                    <w:right w:val="nil"/>
                  </w:tcBorders>
                  <w:shd w:val="clear" w:color="auto" w:fill="auto"/>
                  <w:vAlign w:val="bottom"/>
                </w:tcPr>
                <w:p w14:paraId="7954CC4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154</w:t>
                  </w:r>
                </w:p>
              </w:tc>
              <w:tc>
                <w:tcPr>
                  <w:tcW w:w="556" w:type="pct"/>
                  <w:tcBorders>
                    <w:top w:val="nil"/>
                    <w:left w:val="nil"/>
                    <w:bottom w:val="nil"/>
                    <w:right w:val="nil"/>
                  </w:tcBorders>
                  <w:shd w:val="clear" w:color="auto" w:fill="auto"/>
                  <w:vAlign w:val="bottom"/>
                </w:tcPr>
                <w:p w14:paraId="7954CC4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1308</w:t>
                  </w:r>
                </w:p>
              </w:tc>
              <w:tc>
                <w:tcPr>
                  <w:tcW w:w="556" w:type="pct"/>
                  <w:tcBorders>
                    <w:top w:val="nil"/>
                    <w:left w:val="nil"/>
                    <w:bottom w:val="nil"/>
                    <w:right w:val="nil"/>
                  </w:tcBorders>
                  <w:shd w:val="clear" w:color="auto" w:fill="auto"/>
                  <w:vAlign w:val="bottom"/>
                </w:tcPr>
                <w:p w14:paraId="7954CC49" w14:textId="77777777" w:rsidR="00F05DC7" w:rsidRPr="00A75ED1" w:rsidRDefault="00F05DC7" w:rsidP="00A3786D">
                  <w:pPr>
                    <w:pStyle w:val="TableBodyText"/>
                    <w:rPr>
                      <w:rFonts w:cs="Arial"/>
                      <w:szCs w:val="18"/>
                    </w:rPr>
                  </w:pPr>
                  <w:r w:rsidRPr="00A75ED1">
                    <w:rPr>
                      <w:rFonts w:cs="Arial"/>
                      <w:color w:val="000000"/>
                      <w:szCs w:val="18"/>
                    </w:rPr>
                    <w:t>1952</w:t>
                  </w:r>
                </w:p>
              </w:tc>
              <w:tc>
                <w:tcPr>
                  <w:tcW w:w="555" w:type="pct"/>
                  <w:tcBorders>
                    <w:top w:val="nil"/>
                    <w:left w:val="nil"/>
                    <w:bottom w:val="nil"/>
                    <w:right w:val="nil"/>
                  </w:tcBorders>
                  <w:shd w:val="clear" w:color="auto" w:fill="auto"/>
                  <w:vAlign w:val="bottom"/>
                </w:tcPr>
                <w:p w14:paraId="7954CC4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441</w:t>
                  </w:r>
                </w:p>
              </w:tc>
              <w:tc>
                <w:tcPr>
                  <w:tcW w:w="555" w:type="pct"/>
                  <w:tcBorders>
                    <w:top w:val="nil"/>
                    <w:left w:val="nil"/>
                    <w:bottom w:val="nil"/>
                    <w:right w:val="nil"/>
                  </w:tcBorders>
                  <w:shd w:val="clear" w:color="auto" w:fill="auto"/>
                  <w:vAlign w:val="bottom"/>
                </w:tcPr>
                <w:p w14:paraId="7954CC4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132</w:t>
                  </w:r>
                </w:p>
              </w:tc>
              <w:tc>
                <w:tcPr>
                  <w:tcW w:w="555" w:type="pct"/>
                  <w:tcBorders>
                    <w:top w:val="nil"/>
                    <w:left w:val="nil"/>
                    <w:bottom w:val="nil"/>
                    <w:right w:val="nil"/>
                  </w:tcBorders>
                  <w:shd w:val="clear" w:color="auto" w:fill="auto"/>
                  <w:vAlign w:val="bottom"/>
                </w:tcPr>
                <w:p w14:paraId="7954CC4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109</w:t>
                  </w:r>
                </w:p>
              </w:tc>
              <w:tc>
                <w:tcPr>
                  <w:tcW w:w="553" w:type="pct"/>
                  <w:tcBorders>
                    <w:top w:val="nil"/>
                    <w:left w:val="nil"/>
                    <w:bottom w:val="nil"/>
                    <w:right w:val="nil"/>
                  </w:tcBorders>
                  <w:shd w:val="clear" w:color="auto" w:fill="auto"/>
                  <w:vAlign w:val="bottom"/>
                </w:tcPr>
                <w:p w14:paraId="7954CC4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61 </w:t>
                  </w:r>
                </w:p>
              </w:tc>
            </w:tr>
            <w:tr w:rsidR="00F05DC7" w:rsidRPr="00A75ED1" w14:paraId="7954CC58" w14:textId="77777777" w:rsidTr="00A3786D">
              <w:tc>
                <w:tcPr>
                  <w:tcW w:w="556" w:type="pct"/>
                </w:tcPr>
                <w:p w14:paraId="7954CC4F"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C50" w14:textId="77777777" w:rsidR="00F05DC7" w:rsidRPr="00A75ED1" w:rsidRDefault="00F05DC7" w:rsidP="00A3786D">
                  <w:pPr>
                    <w:pStyle w:val="TableBodyText"/>
                    <w:rPr>
                      <w:rFonts w:cs="Arial"/>
                      <w:szCs w:val="18"/>
                    </w:rPr>
                  </w:pPr>
                  <w:r w:rsidRPr="00A75ED1">
                    <w:rPr>
                      <w:rFonts w:cs="Arial"/>
                      <w:color w:val="000000"/>
                      <w:szCs w:val="18"/>
                    </w:rPr>
                    <w:t>60</w:t>
                  </w:r>
                </w:p>
              </w:tc>
              <w:tc>
                <w:tcPr>
                  <w:tcW w:w="557" w:type="pct"/>
                  <w:tcBorders>
                    <w:top w:val="nil"/>
                    <w:left w:val="nil"/>
                    <w:bottom w:val="nil"/>
                    <w:right w:val="nil"/>
                  </w:tcBorders>
                  <w:shd w:val="clear" w:color="auto" w:fill="auto"/>
                  <w:vAlign w:val="bottom"/>
                </w:tcPr>
                <w:p w14:paraId="7954CC51" w14:textId="77777777" w:rsidR="00F05DC7" w:rsidRPr="00A75ED1" w:rsidRDefault="00F05DC7" w:rsidP="00A3786D">
                  <w:pPr>
                    <w:pStyle w:val="TableBodyText"/>
                    <w:rPr>
                      <w:rFonts w:cs="Arial"/>
                      <w:szCs w:val="18"/>
                    </w:rPr>
                  </w:pPr>
                  <w:r w:rsidRPr="00A75ED1">
                    <w:rPr>
                      <w:rFonts w:cs="Arial"/>
                      <w:color w:val="000000"/>
                      <w:szCs w:val="18"/>
                    </w:rPr>
                    <w:t>307</w:t>
                  </w:r>
                </w:p>
              </w:tc>
              <w:tc>
                <w:tcPr>
                  <w:tcW w:w="556" w:type="pct"/>
                  <w:tcBorders>
                    <w:top w:val="nil"/>
                    <w:left w:val="nil"/>
                    <w:bottom w:val="nil"/>
                    <w:right w:val="nil"/>
                  </w:tcBorders>
                  <w:shd w:val="clear" w:color="auto" w:fill="auto"/>
                  <w:vAlign w:val="bottom"/>
                </w:tcPr>
                <w:p w14:paraId="7954CC5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1287</w:t>
                  </w:r>
                </w:p>
              </w:tc>
              <w:tc>
                <w:tcPr>
                  <w:tcW w:w="556" w:type="pct"/>
                  <w:tcBorders>
                    <w:top w:val="nil"/>
                    <w:left w:val="nil"/>
                    <w:bottom w:val="nil"/>
                    <w:right w:val="nil"/>
                  </w:tcBorders>
                  <w:shd w:val="clear" w:color="auto" w:fill="auto"/>
                  <w:vAlign w:val="bottom"/>
                </w:tcPr>
                <w:p w14:paraId="7954CC53" w14:textId="77777777" w:rsidR="00F05DC7" w:rsidRPr="00A75ED1" w:rsidRDefault="00F05DC7" w:rsidP="00A3786D">
                  <w:pPr>
                    <w:pStyle w:val="TableBodyText"/>
                    <w:rPr>
                      <w:rFonts w:cs="Arial"/>
                      <w:szCs w:val="18"/>
                    </w:rPr>
                  </w:pPr>
                  <w:r w:rsidRPr="00A75ED1">
                    <w:rPr>
                      <w:rFonts w:cs="Arial"/>
                      <w:color w:val="000000"/>
                      <w:szCs w:val="18"/>
                    </w:rPr>
                    <w:t>1647</w:t>
                  </w:r>
                </w:p>
              </w:tc>
              <w:tc>
                <w:tcPr>
                  <w:tcW w:w="555" w:type="pct"/>
                  <w:tcBorders>
                    <w:top w:val="nil"/>
                    <w:left w:val="nil"/>
                    <w:bottom w:val="nil"/>
                    <w:right w:val="nil"/>
                  </w:tcBorders>
                  <w:shd w:val="clear" w:color="auto" w:fill="auto"/>
                  <w:vAlign w:val="bottom"/>
                </w:tcPr>
                <w:p w14:paraId="7954CC5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431</w:t>
                  </w:r>
                </w:p>
              </w:tc>
              <w:tc>
                <w:tcPr>
                  <w:tcW w:w="555" w:type="pct"/>
                  <w:tcBorders>
                    <w:top w:val="nil"/>
                    <w:left w:val="nil"/>
                    <w:bottom w:val="nil"/>
                    <w:right w:val="nil"/>
                  </w:tcBorders>
                  <w:shd w:val="clear" w:color="auto" w:fill="auto"/>
                  <w:vAlign w:val="bottom"/>
                </w:tcPr>
                <w:p w14:paraId="7954CC5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129</w:t>
                  </w:r>
                </w:p>
              </w:tc>
              <w:tc>
                <w:tcPr>
                  <w:tcW w:w="555" w:type="pct"/>
                  <w:tcBorders>
                    <w:top w:val="nil"/>
                    <w:left w:val="nil"/>
                    <w:bottom w:val="nil"/>
                    <w:right w:val="nil"/>
                  </w:tcBorders>
                  <w:shd w:val="clear" w:color="auto" w:fill="auto"/>
                  <w:vAlign w:val="bottom"/>
                </w:tcPr>
                <w:p w14:paraId="7954CC5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108</w:t>
                  </w:r>
                </w:p>
              </w:tc>
              <w:tc>
                <w:tcPr>
                  <w:tcW w:w="553" w:type="pct"/>
                  <w:tcBorders>
                    <w:top w:val="nil"/>
                    <w:left w:val="nil"/>
                    <w:bottom w:val="nil"/>
                    <w:right w:val="nil"/>
                  </w:tcBorders>
                  <w:shd w:val="clear" w:color="auto" w:fill="auto"/>
                  <w:vAlign w:val="bottom"/>
                </w:tcPr>
                <w:p w14:paraId="7954CC5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60 </w:t>
                  </w:r>
                </w:p>
              </w:tc>
            </w:tr>
            <w:tr w:rsidR="00F05DC7" w:rsidRPr="00A75ED1" w14:paraId="7954CC62" w14:textId="77777777" w:rsidTr="00A3786D">
              <w:tc>
                <w:tcPr>
                  <w:tcW w:w="556" w:type="pct"/>
                </w:tcPr>
                <w:p w14:paraId="7954CC59"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C5A" w14:textId="77777777" w:rsidR="00F05DC7" w:rsidRPr="00A75ED1" w:rsidRDefault="00F05DC7" w:rsidP="00A3786D">
                  <w:pPr>
                    <w:pStyle w:val="TableBodyText"/>
                    <w:rPr>
                      <w:rFonts w:cs="Arial"/>
                      <w:szCs w:val="18"/>
                    </w:rPr>
                  </w:pPr>
                  <w:r w:rsidRPr="00A75ED1">
                    <w:rPr>
                      <w:rFonts w:cs="Arial"/>
                      <w:color w:val="000000"/>
                      <w:szCs w:val="18"/>
                    </w:rPr>
                    <w:t>57</w:t>
                  </w:r>
                </w:p>
              </w:tc>
              <w:tc>
                <w:tcPr>
                  <w:tcW w:w="557" w:type="pct"/>
                  <w:tcBorders>
                    <w:top w:val="nil"/>
                    <w:left w:val="nil"/>
                    <w:bottom w:val="nil"/>
                    <w:right w:val="nil"/>
                  </w:tcBorders>
                  <w:shd w:val="clear" w:color="auto" w:fill="auto"/>
                  <w:vAlign w:val="bottom"/>
                </w:tcPr>
                <w:p w14:paraId="7954CC5B" w14:textId="77777777" w:rsidR="00F05DC7" w:rsidRPr="00A75ED1" w:rsidRDefault="00F05DC7" w:rsidP="00A3786D">
                  <w:pPr>
                    <w:pStyle w:val="TableBodyText"/>
                    <w:rPr>
                      <w:rFonts w:cs="Arial"/>
                      <w:szCs w:val="18"/>
                    </w:rPr>
                  </w:pPr>
                  <w:r w:rsidRPr="00A75ED1">
                    <w:rPr>
                      <w:rFonts w:cs="Arial"/>
                      <w:color w:val="000000"/>
                      <w:szCs w:val="18"/>
                    </w:rPr>
                    <w:t>319</w:t>
                  </w:r>
                </w:p>
              </w:tc>
              <w:tc>
                <w:tcPr>
                  <w:tcW w:w="556" w:type="pct"/>
                  <w:tcBorders>
                    <w:top w:val="nil"/>
                    <w:left w:val="nil"/>
                    <w:bottom w:val="nil"/>
                    <w:right w:val="nil"/>
                  </w:tcBorders>
                  <w:shd w:val="clear" w:color="auto" w:fill="auto"/>
                  <w:vAlign w:val="bottom"/>
                </w:tcPr>
                <w:p w14:paraId="7954CC5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1345</w:t>
                  </w:r>
                </w:p>
              </w:tc>
              <w:tc>
                <w:tcPr>
                  <w:tcW w:w="556" w:type="pct"/>
                  <w:tcBorders>
                    <w:top w:val="nil"/>
                    <w:left w:val="nil"/>
                    <w:bottom w:val="nil"/>
                    <w:right w:val="nil"/>
                  </w:tcBorders>
                  <w:shd w:val="clear" w:color="auto" w:fill="auto"/>
                  <w:vAlign w:val="bottom"/>
                </w:tcPr>
                <w:p w14:paraId="7954CC5D" w14:textId="77777777" w:rsidR="00F05DC7" w:rsidRPr="00A75ED1" w:rsidRDefault="00F05DC7" w:rsidP="00A3786D">
                  <w:pPr>
                    <w:pStyle w:val="TableBodyText"/>
                    <w:rPr>
                      <w:rFonts w:cs="Arial"/>
                      <w:szCs w:val="18"/>
                    </w:rPr>
                  </w:pPr>
                  <w:r w:rsidRPr="00A75ED1">
                    <w:rPr>
                      <w:rFonts w:cs="Arial"/>
                      <w:color w:val="000000"/>
                      <w:szCs w:val="18"/>
                    </w:rPr>
                    <w:t>1725</w:t>
                  </w:r>
                </w:p>
              </w:tc>
              <w:tc>
                <w:tcPr>
                  <w:tcW w:w="555" w:type="pct"/>
                  <w:tcBorders>
                    <w:top w:val="nil"/>
                    <w:left w:val="nil"/>
                    <w:bottom w:val="nil"/>
                    <w:right w:val="nil"/>
                  </w:tcBorders>
                  <w:shd w:val="clear" w:color="auto" w:fill="auto"/>
                  <w:vAlign w:val="bottom"/>
                </w:tcPr>
                <w:p w14:paraId="7954CC5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448</w:t>
                  </w:r>
                </w:p>
              </w:tc>
              <w:tc>
                <w:tcPr>
                  <w:tcW w:w="555" w:type="pct"/>
                  <w:tcBorders>
                    <w:top w:val="nil"/>
                    <w:left w:val="nil"/>
                    <w:bottom w:val="nil"/>
                    <w:right w:val="nil"/>
                  </w:tcBorders>
                  <w:shd w:val="clear" w:color="auto" w:fill="auto"/>
                  <w:vAlign w:val="bottom"/>
                </w:tcPr>
                <w:p w14:paraId="7954CC5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133</w:t>
                  </w:r>
                </w:p>
              </w:tc>
              <w:tc>
                <w:tcPr>
                  <w:tcW w:w="555" w:type="pct"/>
                  <w:tcBorders>
                    <w:top w:val="nil"/>
                    <w:left w:val="nil"/>
                    <w:bottom w:val="nil"/>
                    <w:right w:val="nil"/>
                  </w:tcBorders>
                  <w:shd w:val="clear" w:color="auto" w:fill="auto"/>
                  <w:vAlign w:val="bottom"/>
                </w:tcPr>
                <w:p w14:paraId="7954CC6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113</w:t>
                  </w:r>
                </w:p>
              </w:tc>
              <w:tc>
                <w:tcPr>
                  <w:tcW w:w="553" w:type="pct"/>
                  <w:tcBorders>
                    <w:top w:val="nil"/>
                    <w:left w:val="nil"/>
                    <w:bottom w:val="nil"/>
                    <w:right w:val="nil"/>
                  </w:tcBorders>
                  <w:shd w:val="clear" w:color="auto" w:fill="auto"/>
                  <w:vAlign w:val="bottom"/>
                </w:tcPr>
                <w:p w14:paraId="7954CC6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62 </w:t>
                  </w:r>
                </w:p>
              </w:tc>
            </w:tr>
            <w:tr w:rsidR="00F05DC7" w:rsidRPr="00A75ED1" w14:paraId="7954CC6C" w14:textId="77777777" w:rsidTr="00A3786D">
              <w:tc>
                <w:tcPr>
                  <w:tcW w:w="556" w:type="pct"/>
                </w:tcPr>
                <w:p w14:paraId="7954CC63"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C64" w14:textId="77777777" w:rsidR="00F05DC7" w:rsidRPr="00A75ED1" w:rsidRDefault="00F05DC7" w:rsidP="00A3786D">
                  <w:pPr>
                    <w:pStyle w:val="TableBodyText"/>
                    <w:rPr>
                      <w:rFonts w:cs="Arial"/>
                      <w:szCs w:val="18"/>
                    </w:rPr>
                  </w:pPr>
                  <w:r w:rsidRPr="00A75ED1">
                    <w:rPr>
                      <w:rFonts w:cs="Arial"/>
                      <w:color w:val="000000"/>
                      <w:szCs w:val="18"/>
                    </w:rPr>
                    <w:t>53</w:t>
                  </w:r>
                </w:p>
              </w:tc>
              <w:tc>
                <w:tcPr>
                  <w:tcW w:w="557" w:type="pct"/>
                  <w:tcBorders>
                    <w:top w:val="nil"/>
                    <w:left w:val="nil"/>
                    <w:bottom w:val="nil"/>
                    <w:right w:val="nil"/>
                  </w:tcBorders>
                  <w:shd w:val="clear" w:color="auto" w:fill="auto"/>
                  <w:vAlign w:val="bottom"/>
                </w:tcPr>
                <w:p w14:paraId="7954CC65" w14:textId="77777777" w:rsidR="00F05DC7" w:rsidRPr="00A75ED1" w:rsidRDefault="00F05DC7" w:rsidP="00A3786D">
                  <w:pPr>
                    <w:pStyle w:val="TableBodyText"/>
                    <w:rPr>
                      <w:rFonts w:cs="Arial"/>
                      <w:szCs w:val="18"/>
                    </w:rPr>
                  </w:pPr>
                  <w:r w:rsidRPr="00A75ED1">
                    <w:rPr>
                      <w:rFonts w:cs="Arial"/>
                      <w:color w:val="000000"/>
                      <w:szCs w:val="18"/>
                    </w:rPr>
                    <w:t>332</w:t>
                  </w:r>
                </w:p>
              </w:tc>
              <w:tc>
                <w:tcPr>
                  <w:tcW w:w="556" w:type="pct"/>
                  <w:tcBorders>
                    <w:top w:val="nil"/>
                    <w:left w:val="nil"/>
                    <w:bottom w:val="nil"/>
                    <w:right w:val="nil"/>
                  </w:tcBorders>
                  <w:shd w:val="clear" w:color="auto" w:fill="auto"/>
                  <w:vAlign w:val="bottom"/>
                </w:tcPr>
                <w:p w14:paraId="7954CC6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1406</w:t>
                  </w:r>
                </w:p>
              </w:tc>
              <w:tc>
                <w:tcPr>
                  <w:tcW w:w="556" w:type="pct"/>
                  <w:tcBorders>
                    <w:top w:val="nil"/>
                    <w:left w:val="nil"/>
                    <w:bottom w:val="nil"/>
                    <w:right w:val="nil"/>
                  </w:tcBorders>
                  <w:shd w:val="clear" w:color="auto" w:fill="auto"/>
                  <w:vAlign w:val="bottom"/>
                </w:tcPr>
                <w:p w14:paraId="7954CC67" w14:textId="77777777" w:rsidR="00F05DC7" w:rsidRPr="00A75ED1" w:rsidRDefault="00F05DC7" w:rsidP="00A3786D">
                  <w:pPr>
                    <w:pStyle w:val="TableBodyText"/>
                    <w:rPr>
                      <w:rFonts w:cs="Arial"/>
                      <w:szCs w:val="18"/>
                    </w:rPr>
                  </w:pPr>
                  <w:r w:rsidRPr="00A75ED1">
                    <w:rPr>
                      <w:rFonts w:cs="Arial"/>
                      <w:color w:val="000000"/>
                      <w:szCs w:val="18"/>
                    </w:rPr>
                    <w:t>1806</w:t>
                  </w:r>
                </w:p>
              </w:tc>
              <w:tc>
                <w:tcPr>
                  <w:tcW w:w="555" w:type="pct"/>
                  <w:tcBorders>
                    <w:top w:val="nil"/>
                    <w:left w:val="nil"/>
                    <w:bottom w:val="nil"/>
                    <w:right w:val="nil"/>
                  </w:tcBorders>
                  <w:shd w:val="clear" w:color="auto" w:fill="auto"/>
                  <w:vAlign w:val="bottom"/>
                </w:tcPr>
                <w:p w14:paraId="7954CC6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465</w:t>
                  </w:r>
                </w:p>
              </w:tc>
              <w:tc>
                <w:tcPr>
                  <w:tcW w:w="555" w:type="pct"/>
                  <w:tcBorders>
                    <w:top w:val="nil"/>
                    <w:left w:val="nil"/>
                    <w:bottom w:val="nil"/>
                    <w:right w:val="nil"/>
                  </w:tcBorders>
                  <w:shd w:val="clear" w:color="auto" w:fill="auto"/>
                  <w:vAlign w:val="bottom"/>
                </w:tcPr>
                <w:p w14:paraId="7954CC6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138</w:t>
                  </w:r>
                </w:p>
              </w:tc>
              <w:tc>
                <w:tcPr>
                  <w:tcW w:w="555" w:type="pct"/>
                  <w:tcBorders>
                    <w:top w:val="nil"/>
                    <w:left w:val="nil"/>
                    <w:bottom w:val="nil"/>
                    <w:right w:val="nil"/>
                  </w:tcBorders>
                  <w:shd w:val="clear" w:color="auto" w:fill="auto"/>
                  <w:vAlign w:val="bottom"/>
                </w:tcPr>
                <w:p w14:paraId="7954CC6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118</w:t>
                  </w:r>
                </w:p>
              </w:tc>
              <w:tc>
                <w:tcPr>
                  <w:tcW w:w="553" w:type="pct"/>
                  <w:tcBorders>
                    <w:top w:val="nil"/>
                    <w:left w:val="nil"/>
                    <w:bottom w:val="nil"/>
                    <w:right w:val="nil"/>
                  </w:tcBorders>
                  <w:shd w:val="clear" w:color="auto" w:fill="auto"/>
                  <w:vAlign w:val="bottom"/>
                </w:tcPr>
                <w:p w14:paraId="7954CC6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64 </w:t>
                  </w:r>
                </w:p>
              </w:tc>
            </w:tr>
            <w:tr w:rsidR="00F05DC7" w:rsidRPr="00A75ED1" w14:paraId="7954CC76" w14:textId="77777777" w:rsidTr="002341D7">
              <w:tc>
                <w:tcPr>
                  <w:tcW w:w="556" w:type="pct"/>
                </w:tcPr>
                <w:p w14:paraId="7954CC6D"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CC6E" w14:textId="77777777" w:rsidR="00F05DC7" w:rsidRPr="00A75ED1" w:rsidRDefault="00F05DC7" w:rsidP="00A3786D">
                  <w:pPr>
                    <w:pStyle w:val="TableBodyText"/>
                    <w:rPr>
                      <w:rFonts w:cs="Arial"/>
                      <w:szCs w:val="18"/>
                    </w:rPr>
                  </w:pPr>
                  <w:r w:rsidRPr="00A75ED1">
                    <w:rPr>
                      <w:rFonts w:cs="Arial"/>
                      <w:color w:val="000000"/>
                      <w:szCs w:val="18"/>
                    </w:rPr>
                    <w:t>48</w:t>
                  </w:r>
                </w:p>
              </w:tc>
              <w:tc>
                <w:tcPr>
                  <w:tcW w:w="557" w:type="pct"/>
                  <w:tcBorders>
                    <w:top w:val="nil"/>
                    <w:left w:val="nil"/>
                    <w:right w:val="nil"/>
                  </w:tcBorders>
                  <w:shd w:val="clear" w:color="auto" w:fill="auto"/>
                  <w:vAlign w:val="bottom"/>
                </w:tcPr>
                <w:p w14:paraId="7954CC6F" w14:textId="77777777" w:rsidR="00F05DC7" w:rsidRPr="00A75ED1" w:rsidRDefault="00F05DC7" w:rsidP="00A3786D">
                  <w:pPr>
                    <w:pStyle w:val="TableBodyText"/>
                    <w:rPr>
                      <w:rFonts w:cs="Arial"/>
                      <w:szCs w:val="18"/>
                    </w:rPr>
                  </w:pPr>
                  <w:r w:rsidRPr="00A75ED1">
                    <w:rPr>
                      <w:rFonts w:cs="Arial"/>
                      <w:color w:val="000000"/>
                      <w:szCs w:val="18"/>
                    </w:rPr>
                    <w:t>346</w:t>
                  </w:r>
                </w:p>
              </w:tc>
              <w:tc>
                <w:tcPr>
                  <w:tcW w:w="556" w:type="pct"/>
                  <w:tcBorders>
                    <w:top w:val="nil"/>
                    <w:left w:val="nil"/>
                    <w:right w:val="nil"/>
                  </w:tcBorders>
                  <w:shd w:val="clear" w:color="auto" w:fill="auto"/>
                  <w:vAlign w:val="bottom"/>
                </w:tcPr>
                <w:p w14:paraId="7954CC7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1470</w:t>
                  </w:r>
                </w:p>
              </w:tc>
              <w:tc>
                <w:tcPr>
                  <w:tcW w:w="556" w:type="pct"/>
                  <w:tcBorders>
                    <w:top w:val="nil"/>
                    <w:left w:val="nil"/>
                    <w:right w:val="nil"/>
                  </w:tcBorders>
                  <w:shd w:val="clear" w:color="auto" w:fill="auto"/>
                  <w:vAlign w:val="bottom"/>
                </w:tcPr>
                <w:p w14:paraId="7954CC71" w14:textId="77777777" w:rsidR="00F05DC7" w:rsidRPr="00A75ED1" w:rsidRDefault="00F05DC7" w:rsidP="00A3786D">
                  <w:pPr>
                    <w:pStyle w:val="TableBodyText"/>
                    <w:rPr>
                      <w:rFonts w:cs="Arial"/>
                      <w:szCs w:val="18"/>
                    </w:rPr>
                  </w:pPr>
                  <w:r w:rsidRPr="00A75ED1">
                    <w:rPr>
                      <w:rFonts w:cs="Arial"/>
                      <w:color w:val="000000"/>
                      <w:szCs w:val="18"/>
                    </w:rPr>
                    <w:t>1892</w:t>
                  </w:r>
                </w:p>
              </w:tc>
              <w:tc>
                <w:tcPr>
                  <w:tcW w:w="555" w:type="pct"/>
                  <w:tcBorders>
                    <w:top w:val="nil"/>
                    <w:left w:val="nil"/>
                    <w:right w:val="nil"/>
                  </w:tcBorders>
                  <w:shd w:val="clear" w:color="auto" w:fill="auto"/>
                  <w:vAlign w:val="bottom"/>
                </w:tcPr>
                <w:p w14:paraId="7954CC7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483</w:t>
                  </w:r>
                </w:p>
              </w:tc>
              <w:tc>
                <w:tcPr>
                  <w:tcW w:w="555" w:type="pct"/>
                  <w:tcBorders>
                    <w:top w:val="nil"/>
                    <w:left w:val="nil"/>
                    <w:right w:val="nil"/>
                  </w:tcBorders>
                  <w:shd w:val="clear" w:color="auto" w:fill="auto"/>
                  <w:vAlign w:val="bottom"/>
                </w:tcPr>
                <w:p w14:paraId="7954CC7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143</w:t>
                  </w:r>
                </w:p>
              </w:tc>
              <w:tc>
                <w:tcPr>
                  <w:tcW w:w="555" w:type="pct"/>
                  <w:tcBorders>
                    <w:top w:val="nil"/>
                    <w:left w:val="nil"/>
                    <w:right w:val="nil"/>
                  </w:tcBorders>
                  <w:shd w:val="clear" w:color="auto" w:fill="auto"/>
                  <w:vAlign w:val="bottom"/>
                </w:tcPr>
                <w:p w14:paraId="7954CC7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124</w:t>
                  </w:r>
                </w:p>
              </w:tc>
              <w:tc>
                <w:tcPr>
                  <w:tcW w:w="553" w:type="pct"/>
                  <w:tcBorders>
                    <w:top w:val="nil"/>
                    <w:left w:val="nil"/>
                    <w:right w:val="nil"/>
                  </w:tcBorders>
                  <w:shd w:val="clear" w:color="auto" w:fill="auto"/>
                  <w:vAlign w:val="bottom"/>
                </w:tcPr>
                <w:p w14:paraId="7954CC7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r>
            <w:tr w:rsidR="00F05DC7" w:rsidRPr="00A75ED1" w14:paraId="7954CC78" w14:textId="77777777" w:rsidTr="002341D7">
              <w:tc>
                <w:tcPr>
                  <w:tcW w:w="5000" w:type="pct"/>
                  <w:gridSpan w:val="9"/>
                  <w:shd w:val="clear" w:color="auto" w:fill="F2F2F2" w:themeFill="background1" w:themeFillShade="F2"/>
                </w:tcPr>
                <w:p w14:paraId="7954CC77"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CC82" w14:textId="77777777" w:rsidTr="00A3786D">
              <w:tc>
                <w:tcPr>
                  <w:tcW w:w="556" w:type="pct"/>
                  <w:vAlign w:val="bottom"/>
                </w:tcPr>
                <w:p w14:paraId="7954CC79"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CC7A" w14:textId="77777777" w:rsidR="00F05DC7" w:rsidRPr="00A75ED1" w:rsidRDefault="00F05DC7" w:rsidP="00A3786D">
                  <w:pPr>
                    <w:pStyle w:val="TableBodyText"/>
                    <w:rPr>
                      <w:rFonts w:cs="Arial"/>
                      <w:szCs w:val="18"/>
                    </w:rPr>
                  </w:pPr>
                  <w:r w:rsidRPr="00A75ED1">
                    <w:rPr>
                      <w:rFonts w:cs="Arial"/>
                      <w:color w:val="000000"/>
                      <w:szCs w:val="18"/>
                    </w:rPr>
                    <w:t>22</w:t>
                  </w:r>
                </w:p>
              </w:tc>
              <w:tc>
                <w:tcPr>
                  <w:tcW w:w="557" w:type="pct"/>
                  <w:tcBorders>
                    <w:top w:val="nil"/>
                    <w:left w:val="nil"/>
                    <w:bottom w:val="nil"/>
                    <w:right w:val="nil"/>
                  </w:tcBorders>
                  <w:shd w:val="clear" w:color="auto" w:fill="FFFFFF" w:themeFill="background1"/>
                  <w:vAlign w:val="bottom"/>
                </w:tcPr>
                <w:p w14:paraId="7954CC7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47</w:t>
                  </w:r>
                </w:p>
              </w:tc>
              <w:tc>
                <w:tcPr>
                  <w:tcW w:w="556" w:type="pct"/>
                  <w:tcBorders>
                    <w:top w:val="nil"/>
                    <w:left w:val="nil"/>
                    <w:bottom w:val="nil"/>
                    <w:right w:val="nil"/>
                  </w:tcBorders>
                  <w:shd w:val="clear" w:color="auto" w:fill="FFFFFF" w:themeFill="background1"/>
                  <w:vAlign w:val="bottom"/>
                </w:tcPr>
                <w:p w14:paraId="7954CC7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c>
                <w:tcPr>
                  <w:tcW w:w="556" w:type="pct"/>
                  <w:tcBorders>
                    <w:top w:val="nil"/>
                    <w:left w:val="nil"/>
                    <w:bottom w:val="nil"/>
                    <w:right w:val="nil"/>
                  </w:tcBorders>
                  <w:shd w:val="clear" w:color="auto" w:fill="FFFFFF" w:themeFill="background1"/>
                  <w:vAlign w:val="bottom"/>
                </w:tcPr>
                <w:p w14:paraId="7954CC7D" w14:textId="77777777" w:rsidR="00F05DC7" w:rsidRPr="00A75ED1" w:rsidRDefault="00F05DC7" w:rsidP="00A3786D">
                  <w:pPr>
                    <w:pStyle w:val="TableBodyText"/>
                    <w:rPr>
                      <w:rFonts w:cs="Arial"/>
                      <w:szCs w:val="18"/>
                    </w:rPr>
                  </w:pPr>
                  <w:r w:rsidRPr="00A75ED1">
                    <w:rPr>
                      <w:rFonts w:cs="Arial"/>
                      <w:color w:val="000000"/>
                      <w:szCs w:val="18"/>
                    </w:rPr>
                    <w:t>252</w:t>
                  </w:r>
                </w:p>
              </w:tc>
              <w:tc>
                <w:tcPr>
                  <w:tcW w:w="555" w:type="pct"/>
                  <w:tcBorders>
                    <w:top w:val="nil"/>
                    <w:left w:val="nil"/>
                    <w:bottom w:val="nil"/>
                    <w:right w:val="nil"/>
                  </w:tcBorders>
                  <w:shd w:val="clear" w:color="auto" w:fill="FFFFFF" w:themeFill="background1"/>
                  <w:vAlign w:val="bottom"/>
                </w:tcPr>
                <w:p w14:paraId="7954CC7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c>
                <w:tcPr>
                  <w:tcW w:w="555" w:type="pct"/>
                  <w:tcBorders>
                    <w:top w:val="nil"/>
                    <w:left w:val="nil"/>
                    <w:bottom w:val="nil"/>
                    <w:right w:val="nil"/>
                  </w:tcBorders>
                  <w:shd w:val="clear" w:color="auto" w:fill="FFFFFF" w:themeFill="background1"/>
                  <w:vAlign w:val="bottom"/>
                </w:tcPr>
                <w:p w14:paraId="7954CC7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c>
                <w:tcPr>
                  <w:tcW w:w="555" w:type="pct"/>
                  <w:tcBorders>
                    <w:top w:val="nil"/>
                    <w:left w:val="nil"/>
                    <w:bottom w:val="nil"/>
                    <w:right w:val="nil"/>
                  </w:tcBorders>
                  <w:shd w:val="clear" w:color="auto" w:fill="FFFFFF" w:themeFill="background1"/>
                  <w:vAlign w:val="bottom"/>
                </w:tcPr>
                <w:p w14:paraId="7954CC8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c>
                <w:tcPr>
                  <w:tcW w:w="553" w:type="pct"/>
                  <w:tcBorders>
                    <w:top w:val="nil"/>
                    <w:left w:val="nil"/>
                    <w:bottom w:val="nil"/>
                    <w:right w:val="nil"/>
                  </w:tcBorders>
                  <w:shd w:val="clear" w:color="auto" w:fill="FFFFFF" w:themeFill="background1"/>
                  <w:vAlign w:val="bottom"/>
                </w:tcPr>
                <w:p w14:paraId="7954CC8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r>
            <w:tr w:rsidR="00F05DC7" w:rsidRPr="00A75ED1" w14:paraId="7954CC8C" w14:textId="77777777" w:rsidTr="00A3786D">
              <w:tc>
                <w:tcPr>
                  <w:tcW w:w="556" w:type="pct"/>
                  <w:vAlign w:val="bottom"/>
                </w:tcPr>
                <w:p w14:paraId="7954CC83"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CC84" w14:textId="77777777" w:rsidR="00F05DC7" w:rsidRPr="00A75ED1" w:rsidRDefault="00F05DC7" w:rsidP="00A3786D">
                  <w:pPr>
                    <w:pStyle w:val="TableBodyText"/>
                    <w:rPr>
                      <w:rFonts w:cs="Arial"/>
                      <w:szCs w:val="18"/>
                    </w:rPr>
                  </w:pPr>
                  <w:r w:rsidRPr="00A75ED1">
                    <w:rPr>
                      <w:rFonts w:cs="Arial"/>
                      <w:color w:val="000000"/>
                      <w:szCs w:val="18"/>
                    </w:rPr>
                    <w:t>35</w:t>
                  </w:r>
                </w:p>
              </w:tc>
              <w:tc>
                <w:tcPr>
                  <w:tcW w:w="557" w:type="pct"/>
                  <w:tcBorders>
                    <w:top w:val="nil"/>
                    <w:left w:val="nil"/>
                    <w:bottom w:val="nil"/>
                    <w:right w:val="nil"/>
                  </w:tcBorders>
                  <w:shd w:val="clear" w:color="auto" w:fill="FFFFFF" w:themeFill="background1"/>
                  <w:vAlign w:val="bottom"/>
                </w:tcPr>
                <w:p w14:paraId="7954CC8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69</w:t>
                  </w:r>
                </w:p>
              </w:tc>
              <w:tc>
                <w:tcPr>
                  <w:tcW w:w="556" w:type="pct"/>
                  <w:tcBorders>
                    <w:top w:val="nil"/>
                    <w:left w:val="nil"/>
                    <w:bottom w:val="nil"/>
                    <w:right w:val="nil"/>
                  </w:tcBorders>
                  <w:shd w:val="clear" w:color="auto" w:fill="FFFFFF" w:themeFill="background1"/>
                  <w:vAlign w:val="bottom"/>
                </w:tcPr>
                <w:p w14:paraId="7954CC8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129</w:t>
                  </w:r>
                </w:p>
              </w:tc>
              <w:tc>
                <w:tcPr>
                  <w:tcW w:w="556" w:type="pct"/>
                  <w:tcBorders>
                    <w:top w:val="nil"/>
                    <w:left w:val="nil"/>
                    <w:bottom w:val="nil"/>
                    <w:right w:val="nil"/>
                  </w:tcBorders>
                  <w:shd w:val="clear" w:color="auto" w:fill="FFFFFF" w:themeFill="background1"/>
                  <w:vAlign w:val="bottom"/>
                </w:tcPr>
                <w:p w14:paraId="7954CC87" w14:textId="77777777" w:rsidR="00F05DC7" w:rsidRPr="00A75ED1" w:rsidRDefault="00F05DC7" w:rsidP="00A3786D">
                  <w:pPr>
                    <w:pStyle w:val="TableBodyText"/>
                    <w:rPr>
                      <w:rFonts w:cs="Arial"/>
                      <w:szCs w:val="18"/>
                    </w:rPr>
                  </w:pPr>
                  <w:r w:rsidRPr="00A75ED1">
                    <w:rPr>
                      <w:rFonts w:cs="Arial"/>
                      <w:color w:val="000000"/>
                      <w:szCs w:val="18"/>
                    </w:rPr>
                    <w:t>460</w:t>
                  </w:r>
                </w:p>
              </w:tc>
              <w:tc>
                <w:tcPr>
                  <w:tcW w:w="555" w:type="pct"/>
                  <w:tcBorders>
                    <w:top w:val="nil"/>
                    <w:left w:val="nil"/>
                    <w:bottom w:val="nil"/>
                    <w:right w:val="nil"/>
                  </w:tcBorders>
                  <w:shd w:val="clear" w:color="auto" w:fill="FFFFFF" w:themeFill="background1"/>
                  <w:vAlign w:val="bottom"/>
                </w:tcPr>
                <w:p w14:paraId="7954CC8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129</w:t>
                  </w:r>
                </w:p>
              </w:tc>
              <w:tc>
                <w:tcPr>
                  <w:tcW w:w="555" w:type="pct"/>
                  <w:tcBorders>
                    <w:top w:val="nil"/>
                    <w:left w:val="nil"/>
                    <w:bottom w:val="nil"/>
                    <w:right w:val="nil"/>
                  </w:tcBorders>
                  <w:shd w:val="clear" w:color="auto" w:fill="FFFFFF" w:themeFill="background1"/>
                  <w:vAlign w:val="bottom"/>
                </w:tcPr>
                <w:p w14:paraId="7954CC8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129</w:t>
                  </w:r>
                </w:p>
              </w:tc>
              <w:tc>
                <w:tcPr>
                  <w:tcW w:w="555" w:type="pct"/>
                  <w:tcBorders>
                    <w:top w:val="nil"/>
                    <w:left w:val="nil"/>
                    <w:bottom w:val="nil"/>
                    <w:right w:val="nil"/>
                  </w:tcBorders>
                  <w:shd w:val="clear" w:color="auto" w:fill="FFFFFF" w:themeFill="background1"/>
                  <w:vAlign w:val="bottom"/>
                </w:tcPr>
                <w:p w14:paraId="7954CC8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129</w:t>
                  </w:r>
                </w:p>
              </w:tc>
              <w:tc>
                <w:tcPr>
                  <w:tcW w:w="553" w:type="pct"/>
                  <w:tcBorders>
                    <w:top w:val="nil"/>
                    <w:left w:val="nil"/>
                    <w:bottom w:val="nil"/>
                    <w:right w:val="nil"/>
                  </w:tcBorders>
                  <w:shd w:val="clear" w:color="auto" w:fill="FFFFFF" w:themeFill="background1"/>
                  <w:vAlign w:val="bottom"/>
                </w:tcPr>
                <w:p w14:paraId="7954CC8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129</w:t>
                  </w:r>
                </w:p>
              </w:tc>
            </w:tr>
            <w:tr w:rsidR="00F05DC7" w:rsidRPr="00A75ED1" w14:paraId="7954CC96" w14:textId="77777777" w:rsidTr="00A3786D">
              <w:tc>
                <w:tcPr>
                  <w:tcW w:w="556" w:type="pct"/>
                  <w:vAlign w:val="bottom"/>
                </w:tcPr>
                <w:p w14:paraId="7954CC8D"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CC8E" w14:textId="77777777" w:rsidR="00F05DC7" w:rsidRPr="00A75ED1" w:rsidRDefault="00F05DC7" w:rsidP="00A3786D">
                  <w:pPr>
                    <w:pStyle w:val="TableBodyText"/>
                    <w:rPr>
                      <w:rFonts w:cs="Arial"/>
                      <w:szCs w:val="18"/>
                    </w:rPr>
                  </w:pPr>
                  <w:r w:rsidRPr="00A75ED1">
                    <w:rPr>
                      <w:rFonts w:cs="Arial"/>
                      <w:color w:val="000000"/>
                      <w:szCs w:val="18"/>
                    </w:rPr>
                    <w:t>38</w:t>
                  </w:r>
                </w:p>
              </w:tc>
              <w:tc>
                <w:tcPr>
                  <w:tcW w:w="557" w:type="pct"/>
                  <w:tcBorders>
                    <w:top w:val="nil"/>
                    <w:left w:val="nil"/>
                    <w:bottom w:val="nil"/>
                    <w:right w:val="nil"/>
                  </w:tcBorders>
                  <w:shd w:val="clear" w:color="auto" w:fill="FFFFFF" w:themeFill="background1"/>
                  <w:vAlign w:val="bottom"/>
                </w:tcPr>
                <w:p w14:paraId="7954CC8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62</w:t>
                  </w:r>
                </w:p>
              </w:tc>
              <w:tc>
                <w:tcPr>
                  <w:tcW w:w="556" w:type="pct"/>
                  <w:tcBorders>
                    <w:top w:val="nil"/>
                    <w:left w:val="nil"/>
                    <w:bottom w:val="nil"/>
                    <w:right w:val="nil"/>
                  </w:tcBorders>
                  <w:shd w:val="clear" w:color="auto" w:fill="FFFFFF" w:themeFill="background1"/>
                  <w:vAlign w:val="bottom"/>
                </w:tcPr>
                <w:p w14:paraId="7954CC9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190</w:t>
                  </w:r>
                </w:p>
              </w:tc>
              <w:tc>
                <w:tcPr>
                  <w:tcW w:w="556" w:type="pct"/>
                  <w:tcBorders>
                    <w:top w:val="nil"/>
                    <w:left w:val="nil"/>
                    <w:bottom w:val="nil"/>
                    <w:right w:val="nil"/>
                  </w:tcBorders>
                  <w:shd w:val="clear" w:color="auto" w:fill="FFFFFF" w:themeFill="background1"/>
                  <w:vAlign w:val="bottom"/>
                </w:tcPr>
                <w:p w14:paraId="7954CC91" w14:textId="77777777" w:rsidR="00F05DC7" w:rsidRPr="00A75ED1" w:rsidRDefault="00F05DC7" w:rsidP="00A3786D">
                  <w:pPr>
                    <w:pStyle w:val="TableBodyText"/>
                    <w:rPr>
                      <w:rFonts w:cs="Arial"/>
                      <w:szCs w:val="18"/>
                    </w:rPr>
                  </w:pPr>
                  <w:r w:rsidRPr="00A75ED1">
                    <w:rPr>
                      <w:rFonts w:cs="Arial"/>
                      <w:color w:val="000000"/>
                      <w:szCs w:val="18"/>
                    </w:rPr>
                    <w:t>616</w:t>
                  </w:r>
                </w:p>
              </w:tc>
              <w:tc>
                <w:tcPr>
                  <w:tcW w:w="555" w:type="pct"/>
                  <w:tcBorders>
                    <w:top w:val="nil"/>
                    <w:left w:val="nil"/>
                    <w:bottom w:val="nil"/>
                    <w:right w:val="nil"/>
                  </w:tcBorders>
                  <w:shd w:val="clear" w:color="auto" w:fill="FFFFFF" w:themeFill="background1"/>
                  <w:vAlign w:val="bottom"/>
                </w:tcPr>
                <w:p w14:paraId="7954CC9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190</w:t>
                  </w:r>
                </w:p>
              </w:tc>
              <w:tc>
                <w:tcPr>
                  <w:tcW w:w="555" w:type="pct"/>
                  <w:tcBorders>
                    <w:top w:val="nil"/>
                    <w:left w:val="nil"/>
                    <w:bottom w:val="nil"/>
                    <w:right w:val="nil"/>
                  </w:tcBorders>
                  <w:shd w:val="clear" w:color="auto" w:fill="FFFFFF" w:themeFill="background1"/>
                  <w:vAlign w:val="bottom"/>
                </w:tcPr>
                <w:p w14:paraId="7954CC9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190</w:t>
                  </w:r>
                </w:p>
              </w:tc>
              <w:tc>
                <w:tcPr>
                  <w:tcW w:w="555" w:type="pct"/>
                  <w:tcBorders>
                    <w:top w:val="nil"/>
                    <w:left w:val="nil"/>
                    <w:bottom w:val="nil"/>
                    <w:right w:val="nil"/>
                  </w:tcBorders>
                  <w:shd w:val="clear" w:color="auto" w:fill="FFFFFF" w:themeFill="background1"/>
                  <w:vAlign w:val="bottom"/>
                </w:tcPr>
                <w:p w14:paraId="7954CC9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190</w:t>
                  </w:r>
                </w:p>
              </w:tc>
              <w:tc>
                <w:tcPr>
                  <w:tcW w:w="553" w:type="pct"/>
                  <w:tcBorders>
                    <w:top w:val="nil"/>
                    <w:left w:val="nil"/>
                    <w:bottom w:val="nil"/>
                    <w:right w:val="nil"/>
                  </w:tcBorders>
                  <w:shd w:val="clear" w:color="auto" w:fill="FFFFFF" w:themeFill="background1"/>
                  <w:vAlign w:val="bottom"/>
                </w:tcPr>
                <w:p w14:paraId="7954CC9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190</w:t>
                  </w:r>
                </w:p>
              </w:tc>
            </w:tr>
            <w:tr w:rsidR="00F05DC7" w:rsidRPr="00A75ED1" w14:paraId="7954CCA0" w14:textId="77777777" w:rsidTr="00A3786D">
              <w:tc>
                <w:tcPr>
                  <w:tcW w:w="556" w:type="pct"/>
                </w:tcPr>
                <w:p w14:paraId="7954CC97"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CC98" w14:textId="77777777" w:rsidR="00F05DC7" w:rsidRPr="00A75ED1" w:rsidRDefault="00F05DC7" w:rsidP="00A3786D">
                  <w:pPr>
                    <w:pStyle w:val="TableBodyText"/>
                    <w:rPr>
                      <w:rFonts w:cs="Arial"/>
                      <w:szCs w:val="18"/>
                    </w:rPr>
                  </w:pPr>
                  <w:r w:rsidRPr="00A75ED1">
                    <w:rPr>
                      <w:rFonts w:cs="Arial"/>
                      <w:color w:val="000000"/>
                      <w:szCs w:val="18"/>
                    </w:rPr>
                    <w:t>30</w:t>
                  </w:r>
                </w:p>
              </w:tc>
              <w:tc>
                <w:tcPr>
                  <w:tcW w:w="557" w:type="pct"/>
                  <w:tcBorders>
                    <w:top w:val="nil"/>
                    <w:left w:val="nil"/>
                    <w:bottom w:val="nil"/>
                    <w:right w:val="nil"/>
                  </w:tcBorders>
                  <w:shd w:val="clear" w:color="auto" w:fill="FFFFFF" w:themeFill="background1"/>
                  <w:vAlign w:val="bottom"/>
                </w:tcPr>
                <w:p w14:paraId="7954CC9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w:t>
                  </w:r>
                </w:p>
              </w:tc>
              <w:tc>
                <w:tcPr>
                  <w:tcW w:w="556" w:type="pct"/>
                  <w:tcBorders>
                    <w:top w:val="nil"/>
                    <w:left w:val="nil"/>
                    <w:bottom w:val="nil"/>
                    <w:right w:val="nil"/>
                  </w:tcBorders>
                  <w:shd w:val="clear" w:color="auto" w:fill="FFFFFF" w:themeFill="background1"/>
                  <w:vAlign w:val="bottom"/>
                </w:tcPr>
                <w:p w14:paraId="7954CC9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c>
                <w:tcPr>
                  <w:tcW w:w="556" w:type="pct"/>
                  <w:tcBorders>
                    <w:top w:val="nil"/>
                    <w:left w:val="nil"/>
                    <w:bottom w:val="nil"/>
                    <w:right w:val="nil"/>
                  </w:tcBorders>
                  <w:shd w:val="clear" w:color="auto" w:fill="FFFFFF" w:themeFill="background1"/>
                  <w:vAlign w:val="bottom"/>
                </w:tcPr>
                <w:p w14:paraId="7954CC9B" w14:textId="77777777" w:rsidR="00F05DC7" w:rsidRPr="00A75ED1" w:rsidRDefault="00F05DC7" w:rsidP="00A3786D">
                  <w:pPr>
                    <w:pStyle w:val="TableBodyText"/>
                    <w:rPr>
                      <w:rFonts w:cs="Arial"/>
                      <w:szCs w:val="18"/>
                    </w:rPr>
                  </w:pPr>
                  <w:r w:rsidRPr="00A75ED1">
                    <w:rPr>
                      <w:rFonts w:cs="Arial"/>
                      <w:color w:val="000000"/>
                      <w:szCs w:val="18"/>
                    </w:rPr>
                    <w:t>713</w:t>
                  </w:r>
                </w:p>
              </w:tc>
              <w:tc>
                <w:tcPr>
                  <w:tcW w:w="555" w:type="pct"/>
                  <w:tcBorders>
                    <w:top w:val="nil"/>
                    <w:left w:val="nil"/>
                    <w:bottom w:val="nil"/>
                    <w:right w:val="nil"/>
                  </w:tcBorders>
                  <w:shd w:val="clear" w:color="auto" w:fill="FFFFFF" w:themeFill="background1"/>
                  <w:vAlign w:val="bottom"/>
                </w:tcPr>
                <w:p w14:paraId="7954CC9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c>
                <w:tcPr>
                  <w:tcW w:w="555" w:type="pct"/>
                  <w:tcBorders>
                    <w:top w:val="nil"/>
                    <w:left w:val="nil"/>
                    <w:bottom w:val="nil"/>
                    <w:right w:val="nil"/>
                  </w:tcBorders>
                  <w:shd w:val="clear" w:color="auto" w:fill="FFFFFF" w:themeFill="background1"/>
                  <w:vAlign w:val="bottom"/>
                </w:tcPr>
                <w:p w14:paraId="7954CC9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c>
                <w:tcPr>
                  <w:tcW w:w="555" w:type="pct"/>
                  <w:tcBorders>
                    <w:top w:val="nil"/>
                    <w:left w:val="nil"/>
                    <w:bottom w:val="nil"/>
                    <w:right w:val="nil"/>
                  </w:tcBorders>
                  <w:shd w:val="clear" w:color="auto" w:fill="FFFFFF" w:themeFill="background1"/>
                  <w:vAlign w:val="bottom"/>
                </w:tcPr>
                <w:p w14:paraId="7954CC9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c>
                <w:tcPr>
                  <w:tcW w:w="553" w:type="pct"/>
                  <w:tcBorders>
                    <w:top w:val="nil"/>
                    <w:left w:val="nil"/>
                    <w:bottom w:val="nil"/>
                    <w:right w:val="nil"/>
                  </w:tcBorders>
                  <w:shd w:val="clear" w:color="auto" w:fill="FFFFFF" w:themeFill="background1"/>
                  <w:vAlign w:val="bottom"/>
                </w:tcPr>
                <w:p w14:paraId="7954CC9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r>
            <w:tr w:rsidR="00F05DC7" w:rsidRPr="00A75ED1" w14:paraId="7954CCAA" w14:textId="77777777" w:rsidTr="00A3786D">
              <w:tc>
                <w:tcPr>
                  <w:tcW w:w="556" w:type="pct"/>
                </w:tcPr>
                <w:p w14:paraId="7954CCA1"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CA2" w14:textId="77777777" w:rsidR="00F05DC7" w:rsidRPr="00A75ED1" w:rsidRDefault="00F05DC7" w:rsidP="00A3786D">
                  <w:pPr>
                    <w:pStyle w:val="TableBodyText"/>
                    <w:rPr>
                      <w:rFonts w:cs="Arial"/>
                      <w:szCs w:val="18"/>
                    </w:rPr>
                  </w:pPr>
                  <w:r w:rsidRPr="00A75ED1">
                    <w:rPr>
                      <w:rFonts w:cs="Arial"/>
                      <w:color w:val="000000"/>
                      <w:szCs w:val="18"/>
                    </w:rPr>
                    <w:t>7</w:t>
                  </w:r>
                </w:p>
              </w:tc>
              <w:tc>
                <w:tcPr>
                  <w:tcW w:w="557" w:type="pct"/>
                  <w:tcBorders>
                    <w:top w:val="nil"/>
                    <w:left w:val="nil"/>
                    <w:bottom w:val="nil"/>
                    <w:right w:val="nil"/>
                  </w:tcBorders>
                  <w:shd w:val="clear" w:color="auto" w:fill="auto"/>
                  <w:vAlign w:val="bottom"/>
                </w:tcPr>
                <w:p w14:paraId="7954CCA3" w14:textId="77777777" w:rsidR="00F05DC7" w:rsidRPr="00A75ED1" w:rsidRDefault="00F05DC7" w:rsidP="00A3786D">
                  <w:pPr>
                    <w:pStyle w:val="TableBodyText"/>
                    <w:rPr>
                      <w:rFonts w:cs="Arial"/>
                      <w:szCs w:val="18"/>
                    </w:rPr>
                  </w:pPr>
                  <w:r w:rsidRPr="00A75ED1">
                    <w:rPr>
                      <w:rFonts w:cs="Arial"/>
                      <w:color w:val="000000"/>
                      <w:szCs w:val="18"/>
                    </w:rPr>
                    <w:t>43</w:t>
                  </w:r>
                </w:p>
              </w:tc>
              <w:tc>
                <w:tcPr>
                  <w:tcW w:w="556" w:type="pct"/>
                  <w:tcBorders>
                    <w:top w:val="nil"/>
                    <w:left w:val="nil"/>
                    <w:bottom w:val="nil"/>
                    <w:right w:val="nil"/>
                  </w:tcBorders>
                  <w:shd w:val="clear" w:color="auto" w:fill="auto"/>
                  <w:vAlign w:val="bottom"/>
                </w:tcPr>
                <w:p w14:paraId="7954CCA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239</w:t>
                  </w:r>
                </w:p>
              </w:tc>
              <w:tc>
                <w:tcPr>
                  <w:tcW w:w="556" w:type="pct"/>
                  <w:tcBorders>
                    <w:top w:val="nil"/>
                    <w:left w:val="nil"/>
                    <w:bottom w:val="nil"/>
                    <w:right w:val="nil"/>
                  </w:tcBorders>
                  <w:shd w:val="clear" w:color="auto" w:fill="auto"/>
                  <w:vAlign w:val="bottom"/>
                </w:tcPr>
                <w:p w14:paraId="7954CCA5" w14:textId="77777777" w:rsidR="00F05DC7" w:rsidRPr="00A75ED1" w:rsidRDefault="00F05DC7" w:rsidP="00A3786D">
                  <w:pPr>
                    <w:pStyle w:val="TableBodyText"/>
                    <w:rPr>
                      <w:rFonts w:cs="Arial"/>
                      <w:szCs w:val="18"/>
                    </w:rPr>
                  </w:pPr>
                  <w:r w:rsidRPr="00A75ED1">
                    <w:rPr>
                      <w:rFonts w:cs="Arial"/>
                      <w:color w:val="000000"/>
                      <w:szCs w:val="18"/>
                    </w:rPr>
                    <w:t>596</w:t>
                  </w:r>
                </w:p>
              </w:tc>
              <w:tc>
                <w:tcPr>
                  <w:tcW w:w="555" w:type="pct"/>
                  <w:tcBorders>
                    <w:top w:val="nil"/>
                    <w:left w:val="nil"/>
                    <w:bottom w:val="nil"/>
                    <w:right w:val="nil"/>
                  </w:tcBorders>
                  <w:shd w:val="clear" w:color="auto" w:fill="auto"/>
                  <w:vAlign w:val="bottom"/>
                </w:tcPr>
                <w:p w14:paraId="7954CCA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239</w:t>
                  </w:r>
                </w:p>
              </w:tc>
              <w:tc>
                <w:tcPr>
                  <w:tcW w:w="555" w:type="pct"/>
                  <w:tcBorders>
                    <w:top w:val="nil"/>
                    <w:left w:val="nil"/>
                    <w:bottom w:val="nil"/>
                    <w:right w:val="nil"/>
                  </w:tcBorders>
                  <w:shd w:val="clear" w:color="auto" w:fill="auto"/>
                  <w:vAlign w:val="bottom"/>
                </w:tcPr>
                <w:p w14:paraId="7954CCA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239</w:t>
                  </w:r>
                </w:p>
              </w:tc>
              <w:tc>
                <w:tcPr>
                  <w:tcW w:w="555" w:type="pct"/>
                  <w:tcBorders>
                    <w:top w:val="nil"/>
                    <w:left w:val="nil"/>
                    <w:bottom w:val="nil"/>
                    <w:right w:val="nil"/>
                  </w:tcBorders>
                  <w:shd w:val="clear" w:color="auto" w:fill="auto"/>
                  <w:vAlign w:val="bottom"/>
                </w:tcPr>
                <w:p w14:paraId="7954CCA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239</w:t>
                  </w:r>
                </w:p>
              </w:tc>
              <w:tc>
                <w:tcPr>
                  <w:tcW w:w="553" w:type="pct"/>
                  <w:tcBorders>
                    <w:top w:val="nil"/>
                    <w:left w:val="nil"/>
                    <w:bottom w:val="nil"/>
                    <w:right w:val="nil"/>
                  </w:tcBorders>
                  <w:shd w:val="clear" w:color="auto" w:fill="auto"/>
                  <w:vAlign w:val="bottom"/>
                </w:tcPr>
                <w:p w14:paraId="7954CCA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239</w:t>
                  </w:r>
                </w:p>
              </w:tc>
            </w:tr>
            <w:tr w:rsidR="00F05DC7" w:rsidRPr="00A75ED1" w14:paraId="7954CCB4" w14:textId="77777777" w:rsidTr="00A3786D">
              <w:tc>
                <w:tcPr>
                  <w:tcW w:w="556" w:type="pct"/>
                </w:tcPr>
                <w:p w14:paraId="7954CCAB"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CAC" w14:textId="77777777" w:rsidR="00F05DC7" w:rsidRPr="00A75ED1" w:rsidRDefault="00F05DC7" w:rsidP="00A3786D">
                  <w:pPr>
                    <w:pStyle w:val="TableBodyText"/>
                    <w:rPr>
                      <w:rFonts w:cs="Arial"/>
                      <w:szCs w:val="18"/>
                    </w:rPr>
                  </w:pPr>
                  <w:r w:rsidRPr="00A75ED1">
                    <w:rPr>
                      <w:rFonts w:cs="Arial"/>
                      <w:color w:val="000000"/>
                      <w:szCs w:val="18"/>
                    </w:rPr>
                    <w:t>6</w:t>
                  </w:r>
                </w:p>
              </w:tc>
              <w:tc>
                <w:tcPr>
                  <w:tcW w:w="557" w:type="pct"/>
                  <w:tcBorders>
                    <w:top w:val="nil"/>
                    <w:left w:val="nil"/>
                    <w:bottom w:val="nil"/>
                    <w:right w:val="nil"/>
                  </w:tcBorders>
                  <w:shd w:val="clear" w:color="auto" w:fill="auto"/>
                  <w:vAlign w:val="bottom"/>
                </w:tcPr>
                <w:p w14:paraId="7954CCAD" w14:textId="77777777" w:rsidR="00F05DC7" w:rsidRPr="00A75ED1" w:rsidRDefault="00F05DC7" w:rsidP="00A3786D">
                  <w:pPr>
                    <w:pStyle w:val="TableBodyText"/>
                    <w:rPr>
                      <w:rFonts w:cs="Arial"/>
                      <w:szCs w:val="18"/>
                    </w:rPr>
                  </w:pPr>
                  <w:r w:rsidRPr="00A75ED1">
                    <w:rPr>
                      <w:rFonts w:cs="Arial"/>
                      <w:color w:val="000000"/>
                      <w:szCs w:val="18"/>
                    </w:rPr>
                    <w:t>43</w:t>
                  </w:r>
                </w:p>
              </w:tc>
              <w:tc>
                <w:tcPr>
                  <w:tcW w:w="556" w:type="pct"/>
                  <w:tcBorders>
                    <w:top w:val="nil"/>
                    <w:left w:val="nil"/>
                    <w:bottom w:val="nil"/>
                    <w:right w:val="nil"/>
                  </w:tcBorders>
                  <w:shd w:val="clear" w:color="auto" w:fill="auto"/>
                  <w:vAlign w:val="bottom"/>
                </w:tcPr>
                <w:p w14:paraId="7954CCA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c>
                <w:tcPr>
                  <w:tcW w:w="556" w:type="pct"/>
                  <w:tcBorders>
                    <w:top w:val="nil"/>
                    <w:left w:val="nil"/>
                    <w:bottom w:val="nil"/>
                    <w:right w:val="nil"/>
                  </w:tcBorders>
                  <w:shd w:val="clear" w:color="auto" w:fill="auto"/>
                  <w:vAlign w:val="bottom"/>
                </w:tcPr>
                <w:p w14:paraId="7954CCAF" w14:textId="77777777" w:rsidR="00F05DC7" w:rsidRPr="00A75ED1" w:rsidRDefault="00F05DC7" w:rsidP="00A3786D">
                  <w:pPr>
                    <w:pStyle w:val="TableBodyText"/>
                    <w:rPr>
                      <w:rFonts w:cs="Arial"/>
                      <w:szCs w:val="18"/>
                    </w:rPr>
                  </w:pPr>
                  <w:r w:rsidRPr="00A75ED1">
                    <w:rPr>
                      <w:rFonts w:cs="Arial"/>
                      <w:color w:val="000000"/>
                      <w:szCs w:val="18"/>
                    </w:rPr>
                    <w:t>617</w:t>
                  </w:r>
                </w:p>
              </w:tc>
              <w:tc>
                <w:tcPr>
                  <w:tcW w:w="555" w:type="pct"/>
                  <w:tcBorders>
                    <w:top w:val="nil"/>
                    <w:left w:val="nil"/>
                    <w:bottom w:val="nil"/>
                    <w:right w:val="nil"/>
                  </w:tcBorders>
                  <w:shd w:val="clear" w:color="auto" w:fill="auto"/>
                  <w:vAlign w:val="bottom"/>
                </w:tcPr>
                <w:p w14:paraId="7954CCB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c>
                <w:tcPr>
                  <w:tcW w:w="555" w:type="pct"/>
                  <w:tcBorders>
                    <w:top w:val="nil"/>
                    <w:left w:val="nil"/>
                    <w:bottom w:val="nil"/>
                    <w:right w:val="nil"/>
                  </w:tcBorders>
                  <w:shd w:val="clear" w:color="auto" w:fill="auto"/>
                  <w:vAlign w:val="bottom"/>
                </w:tcPr>
                <w:p w14:paraId="7954CCB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c>
                <w:tcPr>
                  <w:tcW w:w="555" w:type="pct"/>
                  <w:tcBorders>
                    <w:top w:val="nil"/>
                    <w:left w:val="nil"/>
                    <w:bottom w:val="nil"/>
                    <w:right w:val="nil"/>
                  </w:tcBorders>
                  <w:shd w:val="clear" w:color="auto" w:fill="auto"/>
                  <w:vAlign w:val="bottom"/>
                </w:tcPr>
                <w:p w14:paraId="7954CCB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c>
                <w:tcPr>
                  <w:tcW w:w="553" w:type="pct"/>
                  <w:tcBorders>
                    <w:top w:val="nil"/>
                    <w:left w:val="nil"/>
                    <w:bottom w:val="nil"/>
                    <w:right w:val="nil"/>
                  </w:tcBorders>
                  <w:shd w:val="clear" w:color="auto" w:fill="auto"/>
                  <w:vAlign w:val="bottom"/>
                </w:tcPr>
                <w:p w14:paraId="7954CCB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246</w:t>
                  </w:r>
                </w:p>
              </w:tc>
            </w:tr>
            <w:tr w:rsidR="00F05DC7" w:rsidRPr="00A75ED1" w14:paraId="7954CCBE" w14:textId="77777777" w:rsidTr="00A3786D">
              <w:tc>
                <w:tcPr>
                  <w:tcW w:w="556" w:type="pct"/>
                </w:tcPr>
                <w:p w14:paraId="7954CCB5"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CB6" w14:textId="77777777" w:rsidR="00F05DC7" w:rsidRPr="00A75ED1" w:rsidRDefault="00F05DC7" w:rsidP="00A3786D">
                  <w:pPr>
                    <w:pStyle w:val="TableBodyText"/>
                    <w:rPr>
                      <w:rFonts w:cs="Arial"/>
                      <w:szCs w:val="18"/>
                    </w:rPr>
                  </w:pPr>
                  <w:r w:rsidRPr="00A75ED1">
                    <w:rPr>
                      <w:rFonts w:cs="Arial"/>
                      <w:color w:val="000000"/>
                      <w:szCs w:val="18"/>
                    </w:rPr>
                    <w:t>6</w:t>
                  </w:r>
                </w:p>
              </w:tc>
              <w:tc>
                <w:tcPr>
                  <w:tcW w:w="557" w:type="pct"/>
                  <w:tcBorders>
                    <w:top w:val="nil"/>
                    <w:left w:val="nil"/>
                    <w:bottom w:val="nil"/>
                    <w:right w:val="nil"/>
                  </w:tcBorders>
                  <w:shd w:val="clear" w:color="auto" w:fill="auto"/>
                  <w:vAlign w:val="bottom"/>
                </w:tcPr>
                <w:p w14:paraId="7954CCB7" w14:textId="77777777" w:rsidR="00F05DC7" w:rsidRPr="00A75ED1" w:rsidRDefault="00F05DC7" w:rsidP="00A3786D">
                  <w:pPr>
                    <w:pStyle w:val="TableBodyText"/>
                    <w:rPr>
                      <w:rFonts w:cs="Arial"/>
                      <w:szCs w:val="18"/>
                    </w:rPr>
                  </w:pPr>
                  <w:r w:rsidRPr="00A75ED1">
                    <w:rPr>
                      <w:rFonts w:cs="Arial"/>
                      <w:color w:val="000000"/>
                      <w:szCs w:val="18"/>
                    </w:rPr>
                    <w:t>44</w:t>
                  </w:r>
                </w:p>
              </w:tc>
              <w:tc>
                <w:tcPr>
                  <w:tcW w:w="556" w:type="pct"/>
                  <w:tcBorders>
                    <w:top w:val="nil"/>
                    <w:left w:val="nil"/>
                    <w:bottom w:val="nil"/>
                    <w:right w:val="nil"/>
                  </w:tcBorders>
                  <w:shd w:val="clear" w:color="auto" w:fill="auto"/>
                  <w:vAlign w:val="bottom"/>
                </w:tcPr>
                <w:p w14:paraId="7954CCB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254</w:t>
                  </w:r>
                </w:p>
              </w:tc>
              <w:tc>
                <w:tcPr>
                  <w:tcW w:w="556" w:type="pct"/>
                  <w:tcBorders>
                    <w:top w:val="nil"/>
                    <w:left w:val="nil"/>
                    <w:bottom w:val="nil"/>
                    <w:right w:val="nil"/>
                  </w:tcBorders>
                  <w:shd w:val="clear" w:color="auto" w:fill="auto"/>
                  <w:vAlign w:val="bottom"/>
                </w:tcPr>
                <w:p w14:paraId="7954CCB9" w14:textId="77777777" w:rsidR="00F05DC7" w:rsidRPr="00A75ED1" w:rsidRDefault="00F05DC7" w:rsidP="00A3786D">
                  <w:pPr>
                    <w:pStyle w:val="TableBodyText"/>
                    <w:rPr>
                      <w:rFonts w:cs="Arial"/>
                      <w:szCs w:val="18"/>
                    </w:rPr>
                  </w:pPr>
                  <w:r w:rsidRPr="00A75ED1">
                    <w:rPr>
                      <w:rFonts w:cs="Arial"/>
                      <w:color w:val="000000"/>
                      <w:szCs w:val="18"/>
                    </w:rPr>
                    <w:t>639</w:t>
                  </w:r>
                </w:p>
              </w:tc>
              <w:tc>
                <w:tcPr>
                  <w:tcW w:w="555" w:type="pct"/>
                  <w:tcBorders>
                    <w:top w:val="nil"/>
                    <w:left w:val="nil"/>
                    <w:bottom w:val="nil"/>
                    <w:right w:val="nil"/>
                  </w:tcBorders>
                  <w:shd w:val="clear" w:color="auto" w:fill="auto"/>
                  <w:vAlign w:val="bottom"/>
                </w:tcPr>
                <w:p w14:paraId="7954CCB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254</w:t>
                  </w:r>
                </w:p>
              </w:tc>
              <w:tc>
                <w:tcPr>
                  <w:tcW w:w="555" w:type="pct"/>
                  <w:tcBorders>
                    <w:top w:val="nil"/>
                    <w:left w:val="nil"/>
                    <w:bottom w:val="nil"/>
                    <w:right w:val="nil"/>
                  </w:tcBorders>
                  <w:shd w:val="clear" w:color="auto" w:fill="auto"/>
                  <w:vAlign w:val="bottom"/>
                </w:tcPr>
                <w:p w14:paraId="7954CCB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254</w:t>
                  </w:r>
                </w:p>
              </w:tc>
              <w:tc>
                <w:tcPr>
                  <w:tcW w:w="555" w:type="pct"/>
                  <w:tcBorders>
                    <w:top w:val="nil"/>
                    <w:left w:val="nil"/>
                    <w:bottom w:val="nil"/>
                    <w:right w:val="nil"/>
                  </w:tcBorders>
                  <w:shd w:val="clear" w:color="auto" w:fill="auto"/>
                  <w:vAlign w:val="bottom"/>
                </w:tcPr>
                <w:p w14:paraId="7954CCB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254</w:t>
                  </w:r>
                </w:p>
              </w:tc>
              <w:tc>
                <w:tcPr>
                  <w:tcW w:w="553" w:type="pct"/>
                  <w:tcBorders>
                    <w:top w:val="nil"/>
                    <w:left w:val="nil"/>
                    <w:bottom w:val="nil"/>
                    <w:right w:val="nil"/>
                  </w:tcBorders>
                  <w:shd w:val="clear" w:color="auto" w:fill="auto"/>
                  <w:vAlign w:val="bottom"/>
                </w:tcPr>
                <w:p w14:paraId="7954CCB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254</w:t>
                  </w:r>
                </w:p>
              </w:tc>
            </w:tr>
            <w:tr w:rsidR="00F05DC7" w:rsidRPr="00A75ED1" w14:paraId="7954CCC8" w14:textId="77777777" w:rsidTr="002341D7">
              <w:tc>
                <w:tcPr>
                  <w:tcW w:w="556" w:type="pct"/>
                </w:tcPr>
                <w:p w14:paraId="7954CCBF"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CCC0" w14:textId="77777777" w:rsidR="00F05DC7" w:rsidRPr="00A75ED1" w:rsidRDefault="00F05DC7" w:rsidP="00A3786D">
                  <w:pPr>
                    <w:pStyle w:val="TableBodyText"/>
                    <w:rPr>
                      <w:rFonts w:cs="Arial"/>
                      <w:szCs w:val="18"/>
                    </w:rPr>
                  </w:pPr>
                  <w:r w:rsidRPr="00A75ED1">
                    <w:rPr>
                      <w:rFonts w:cs="Arial"/>
                      <w:color w:val="000000"/>
                      <w:szCs w:val="18"/>
                    </w:rPr>
                    <w:t>5</w:t>
                  </w:r>
                </w:p>
              </w:tc>
              <w:tc>
                <w:tcPr>
                  <w:tcW w:w="557" w:type="pct"/>
                  <w:tcBorders>
                    <w:top w:val="nil"/>
                    <w:left w:val="nil"/>
                    <w:right w:val="nil"/>
                  </w:tcBorders>
                  <w:shd w:val="clear" w:color="auto" w:fill="auto"/>
                  <w:vAlign w:val="bottom"/>
                </w:tcPr>
                <w:p w14:paraId="7954CCC1" w14:textId="77777777" w:rsidR="00F05DC7" w:rsidRPr="00A75ED1" w:rsidRDefault="00F05DC7" w:rsidP="00A3786D">
                  <w:pPr>
                    <w:pStyle w:val="TableBodyText"/>
                    <w:rPr>
                      <w:rFonts w:cs="Arial"/>
                      <w:szCs w:val="18"/>
                    </w:rPr>
                  </w:pPr>
                  <w:r w:rsidRPr="00A75ED1">
                    <w:rPr>
                      <w:rFonts w:cs="Arial"/>
                      <w:color w:val="000000"/>
                      <w:szCs w:val="18"/>
                    </w:rPr>
                    <w:t>45</w:t>
                  </w:r>
                </w:p>
              </w:tc>
              <w:tc>
                <w:tcPr>
                  <w:tcW w:w="556" w:type="pct"/>
                  <w:tcBorders>
                    <w:top w:val="nil"/>
                    <w:left w:val="nil"/>
                    <w:right w:val="nil"/>
                  </w:tcBorders>
                  <w:shd w:val="clear" w:color="auto" w:fill="auto"/>
                  <w:vAlign w:val="bottom"/>
                </w:tcPr>
                <w:p w14:paraId="7954CCC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c>
                <w:tcPr>
                  <w:tcW w:w="556" w:type="pct"/>
                  <w:tcBorders>
                    <w:top w:val="nil"/>
                    <w:left w:val="nil"/>
                    <w:right w:val="nil"/>
                  </w:tcBorders>
                  <w:shd w:val="clear" w:color="auto" w:fill="auto"/>
                  <w:vAlign w:val="bottom"/>
                </w:tcPr>
                <w:p w14:paraId="7954CCC3" w14:textId="77777777" w:rsidR="00F05DC7" w:rsidRPr="00A75ED1" w:rsidRDefault="00F05DC7" w:rsidP="00A3786D">
                  <w:pPr>
                    <w:pStyle w:val="TableBodyText"/>
                    <w:rPr>
                      <w:rFonts w:cs="Arial"/>
                      <w:szCs w:val="18"/>
                    </w:rPr>
                  </w:pPr>
                  <w:r w:rsidRPr="00A75ED1">
                    <w:rPr>
                      <w:rFonts w:cs="Arial"/>
                      <w:color w:val="000000"/>
                      <w:szCs w:val="18"/>
                    </w:rPr>
                    <w:t>662</w:t>
                  </w:r>
                </w:p>
              </w:tc>
              <w:tc>
                <w:tcPr>
                  <w:tcW w:w="555" w:type="pct"/>
                  <w:tcBorders>
                    <w:top w:val="nil"/>
                    <w:left w:val="nil"/>
                    <w:right w:val="nil"/>
                  </w:tcBorders>
                  <w:shd w:val="clear" w:color="auto" w:fill="auto"/>
                  <w:vAlign w:val="bottom"/>
                </w:tcPr>
                <w:p w14:paraId="7954CCC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c>
                <w:tcPr>
                  <w:tcW w:w="555" w:type="pct"/>
                  <w:tcBorders>
                    <w:top w:val="nil"/>
                    <w:left w:val="nil"/>
                    <w:right w:val="nil"/>
                  </w:tcBorders>
                  <w:shd w:val="clear" w:color="auto" w:fill="auto"/>
                  <w:vAlign w:val="bottom"/>
                </w:tcPr>
                <w:p w14:paraId="7954CCC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c>
                <w:tcPr>
                  <w:tcW w:w="555" w:type="pct"/>
                  <w:tcBorders>
                    <w:top w:val="nil"/>
                    <w:left w:val="nil"/>
                    <w:right w:val="nil"/>
                  </w:tcBorders>
                  <w:shd w:val="clear" w:color="auto" w:fill="auto"/>
                  <w:vAlign w:val="bottom"/>
                </w:tcPr>
                <w:p w14:paraId="7954CCC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c>
                <w:tcPr>
                  <w:tcW w:w="553" w:type="pct"/>
                  <w:tcBorders>
                    <w:top w:val="nil"/>
                    <w:left w:val="nil"/>
                    <w:right w:val="nil"/>
                  </w:tcBorders>
                  <w:shd w:val="clear" w:color="auto" w:fill="auto"/>
                  <w:vAlign w:val="bottom"/>
                </w:tcPr>
                <w:p w14:paraId="7954CCC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r>
            <w:tr w:rsidR="00F05DC7" w:rsidRPr="00A75ED1" w14:paraId="7954CCCA" w14:textId="77777777" w:rsidTr="002341D7">
              <w:tc>
                <w:tcPr>
                  <w:tcW w:w="5000" w:type="pct"/>
                  <w:gridSpan w:val="9"/>
                  <w:shd w:val="clear" w:color="auto" w:fill="F2F2F2" w:themeFill="background1" w:themeFillShade="F2"/>
                </w:tcPr>
                <w:p w14:paraId="7954CCC9"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CCD4" w14:textId="77777777" w:rsidTr="00A3786D">
              <w:tc>
                <w:tcPr>
                  <w:tcW w:w="556" w:type="pct"/>
                  <w:shd w:val="clear" w:color="auto" w:fill="auto"/>
                  <w:vAlign w:val="bottom"/>
                </w:tcPr>
                <w:p w14:paraId="7954CCCB" w14:textId="77777777" w:rsidR="00F05DC7" w:rsidRPr="00911F46" w:rsidRDefault="00F05DC7" w:rsidP="00A3786D">
                  <w:pPr>
                    <w:pStyle w:val="TableBodyText"/>
                  </w:pPr>
                  <w:r w:rsidRPr="00911F46">
                    <w:t>2019</w:t>
                  </w:r>
                  <w:r>
                    <w:noBreakHyphen/>
                  </w:r>
                  <w:r w:rsidRPr="00911F46">
                    <w:t>20</w:t>
                  </w:r>
                </w:p>
              </w:tc>
              <w:tc>
                <w:tcPr>
                  <w:tcW w:w="557" w:type="pct"/>
                  <w:tcBorders>
                    <w:top w:val="nil"/>
                    <w:left w:val="nil"/>
                    <w:bottom w:val="nil"/>
                    <w:right w:val="nil"/>
                  </w:tcBorders>
                  <w:shd w:val="clear" w:color="auto" w:fill="auto"/>
                  <w:vAlign w:val="bottom"/>
                </w:tcPr>
                <w:p w14:paraId="7954CCCC" w14:textId="77777777" w:rsidR="00F05DC7" w:rsidRPr="00911F46" w:rsidRDefault="00F05DC7" w:rsidP="00A3786D">
                  <w:pPr>
                    <w:pStyle w:val="TableBodyText"/>
                  </w:pPr>
                  <w:r w:rsidRPr="00911F46">
                    <w:rPr>
                      <w:color w:val="000000"/>
                    </w:rPr>
                    <w:t>0.21</w:t>
                  </w:r>
                </w:p>
              </w:tc>
              <w:tc>
                <w:tcPr>
                  <w:tcW w:w="557" w:type="pct"/>
                  <w:tcBorders>
                    <w:top w:val="nil"/>
                    <w:left w:val="nil"/>
                    <w:bottom w:val="nil"/>
                    <w:right w:val="nil"/>
                  </w:tcBorders>
                  <w:shd w:val="clear" w:color="auto" w:fill="auto"/>
                  <w:vAlign w:val="bottom"/>
                </w:tcPr>
                <w:p w14:paraId="7954CCCD" w14:textId="77777777" w:rsidR="00F05DC7" w:rsidRPr="00911F46" w:rsidRDefault="00F05DC7" w:rsidP="00A3786D">
                  <w:pPr>
                    <w:pStyle w:val="TableBodyText"/>
                  </w:pPr>
                  <w:r>
                    <w:rPr>
                      <w:color w:val="000000"/>
                    </w:rPr>
                    <w:noBreakHyphen/>
                  </w:r>
                  <w:r w:rsidRPr="00911F46">
                    <w:rPr>
                      <w:color w:val="000000"/>
                    </w:rPr>
                    <w:t>0.45</w:t>
                  </w:r>
                </w:p>
              </w:tc>
              <w:tc>
                <w:tcPr>
                  <w:tcW w:w="556" w:type="pct"/>
                  <w:tcBorders>
                    <w:top w:val="nil"/>
                    <w:left w:val="nil"/>
                    <w:bottom w:val="nil"/>
                    <w:right w:val="nil"/>
                  </w:tcBorders>
                  <w:shd w:val="clear" w:color="auto" w:fill="auto"/>
                  <w:vAlign w:val="bottom"/>
                </w:tcPr>
                <w:p w14:paraId="7954CCCE" w14:textId="77777777" w:rsidR="00F05DC7" w:rsidRPr="00911F46" w:rsidRDefault="00F05DC7" w:rsidP="00A3786D">
                  <w:pPr>
                    <w:pStyle w:val="TableBodyText"/>
                  </w:pPr>
                  <w:r>
                    <w:rPr>
                      <w:color w:val="000000"/>
                    </w:rPr>
                    <w:noBreakHyphen/>
                  </w:r>
                  <w:r w:rsidRPr="00911F46">
                    <w:rPr>
                      <w:color w:val="000000"/>
                    </w:rPr>
                    <w:t>0.59</w:t>
                  </w:r>
                </w:p>
              </w:tc>
              <w:tc>
                <w:tcPr>
                  <w:tcW w:w="556" w:type="pct"/>
                  <w:tcBorders>
                    <w:top w:val="nil"/>
                    <w:left w:val="nil"/>
                    <w:bottom w:val="nil"/>
                    <w:right w:val="nil"/>
                  </w:tcBorders>
                  <w:shd w:val="clear" w:color="auto" w:fill="auto"/>
                  <w:vAlign w:val="bottom"/>
                </w:tcPr>
                <w:p w14:paraId="7954CCCF" w14:textId="77777777" w:rsidR="00F05DC7" w:rsidRPr="00911F46" w:rsidRDefault="00F05DC7" w:rsidP="00A3786D">
                  <w:pPr>
                    <w:pStyle w:val="TableBodyText"/>
                  </w:pPr>
                  <w:r w:rsidRPr="00911F46">
                    <w:rPr>
                      <w:color w:val="000000"/>
                    </w:rPr>
                    <w:t>2.21</w:t>
                  </w:r>
                </w:p>
              </w:tc>
              <w:tc>
                <w:tcPr>
                  <w:tcW w:w="555" w:type="pct"/>
                  <w:tcBorders>
                    <w:top w:val="nil"/>
                    <w:left w:val="nil"/>
                    <w:bottom w:val="nil"/>
                    <w:right w:val="nil"/>
                  </w:tcBorders>
                  <w:shd w:val="clear" w:color="auto" w:fill="auto"/>
                  <w:vAlign w:val="bottom"/>
                </w:tcPr>
                <w:p w14:paraId="7954CCD0" w14:textId="77777777" w:rsidR="00F05DC7" w:rsidRPr="00911F46" w:rsidRDefault="00F05DC7" w:rsidP="00A3786D">
                  <w:pPr>
                    <w:pStyle w:val="TableBodyText"/>
                  </w:pPr>
                  <w:r>
                    <w:rPr>
                      <w:color w:val="000000"/>
                    </w:rPr>
                    <w:noBreakHyphen/>
                  </w:r>
                  <w:r w:rsidRPr="00911F46">
                    <w:rPr>
                      <w:color w:val="000000"/>
                    </w:rPr>
                    <w:t>0.59</w:t>
                  </w:r>
                </w:p>
              </w:tc>
              <w:tc>
                <w:tcPr>
                  <w:tcW w:w="555" w:type="pct"/>
                  <w:tcBorders>
                    <w:top w:val="nil"/>
                    <w:left w:val="nil"/>
                    <w:bottom w:val="nil"/>
                    <w:right w:val="nil"/>
                  </w:tcBorders>
                  <w:shd w:val="clear" w:color="auto" w:fill="auto"/>
                  <w:vAlign w:val="bottom"/>
                </w:tcPr>
                <w:p w14:paraId="7954CCD1" w14:textId="77777777" w:rsidR="00F05DC7" w:rsidRPr="00911F46" w:rsidRDefault="00F05DC7" w:rsidP="00A3786D">
                  <w:pPr>
                    <w:pStyle w:val="TableBodyText"/>
                  </w:pPr>
                  <w:r>
                    <w:rPr>
                      <w:color w:val="000000"/>
                    </w:rPr>
                    <w:noBreakHyphen/>
                  </w:r>
                  <w:r w:rsidRPr="00911F46">
                    <w:rPr>
                      <w:color w:val="000000"/>
                    </w:rPr>
                    <w:t>0.59</w:t>
                  </w:r>
                </w:p>
              </w:tc>
              <w:tc>
                <w:tcPr>
                  <w:tcW w:w="555" w:type="pct"/>
                  <w:tcBorders>
                    <w:top w:val="nil"/>
                    <w:left w:val="nil"/>
                    <w:bottom w:val="nil"/>
                    <w:right w:val="nil"/>
                  </w:tcBorders>
                  <w:shd w:val="clear" w:color="auto" w:fill="auto"/>
                  <w:vAlign w:val="bottom"/>
                </w:tcPr>
                <w:p w14:paraId="7954CCD2" w14:textId="77777777" w:rsidR="00F05DC7" w:rsidRPr="00911F46" w:rsidRDefault="00F05DC7" w:rsidP="00A3786D">
                  <w:pPr>
                    <w:pStyle w:val="TableBodyText"/>
                  </w:pPr>
                  <w:r>
                    <w:rPr>
                      <w:color w:val="000000"/>
                    </w:rPr>
                    <w:noBreakHyphen/>
                  </w:r>
                  <w:r w:rsidRPr="00911F46">
                    <w:rPr>
                      <w:color w:val="000000"/>
                    </w:rPr>
                    <w:t>0.48</w:t>
                  </w:r>
                </w:p>
              </w:tc>
              <w:tc>
                <w:tcPr>
                  <w:tcW w:w="553" w:type="pct"/>
                  <w:tcBorders>
                    <w:top w:val="nil"/>
                    <w:left w:val="nil"/>
                    <w:bottom w:val="nil"/>
                    <w:right w:val="nil"/>
                  </w:tcBorders>
                  <w:shd w:val="clear" w:color="auto" w:fill="auto"/>
                  <w:vAlign w:val="bottom"/>
                </w:tcPr>
                <w:p w14:paraId="7954CCD3" w14:textId="77777777" w:rsidR="00F05DC7" w:rsidRPr="00911F46" w:rsidRDefault="00F05DC7" w:rsidP="00A3786D">
                  <w:pPr>
                    <w:pStyle w:val="TableBodyText"/>
                  </w:pPr>
                  <w:r>
                    <w:rPr>
                      <w:color w:val="000000"/>
                    </w:rPr>
                    <w:noBreakHyphen/>
                  </w:r>
                  <w:r w:rsidRPr="00911F46">
                    <w:rPr>
                      <w:color w:val="000000"/>
                    </w:rPr>
                    <w:t>0.30</w:t>
                  </w:r>
                </w:p>
              </w:tc>
            </w:tr>
            <w:tr w:rsidR="00F05DC7" w:rsidRPr="00A75ED1" w14:paraId="7954CCDE" w14:textId="77777777" w:rsidTr="00A3786D">
              <w:tc>
                <w:tcPr>
                  <w:tcW w:w="556" w:type="pct"/>
                  <w:shd w:val="clear" w:color="auto" w:fill="auto"/>
                  <w:vAlign w:val="bottom"/>
                </w:tcPr>
                <w:p w14:paraId="7954CCD5" w14:textId="77777777" w:rsidR="00F05DC7" w:rsidRPr="00911F46" w:rsidRDefault="00F05DC7" w:rsidP="00A3786D">
                  <w:pPr>
                    <w:pStyle w:val="TableBodyText"/>
                  </w:pPr>
                  <w:r w:rsidRPr="00911F46">
                    <w:t>2020</w:t>
                  </w:r>
                  <w:r>
                    <w:noBreakHyphen/>
                  </w:r>
                  <w:r w:rsidRPr="00911F46">
                    <w:t>21</w:t>
                  </w:r>
                </w:p>
              </w:tc>
              <w:tc>
                <w:tcPr>
                  <w:tcW w:w="557" w:type="pct"/>
                  <w:tcBorders>
                    <w:top w:val="nil"/>
                    <w:left w:val="nil"/>
                    <w:bottom w:val="nil"/>
                    <w:right w:val="nil"/>
                  </w:tcBorders>
                  <w:shd w:val="clear" w:color="auto" w:fill="auto"/>
                  <w:vAlign w:val="bottom"/>
                </w:tcPr>
                <w:p w14:paraId="7954CCD6" w14:textId="77777777" w:rsidR="00F05DC7" w:rsidRPr="00911F46" w:rsidRDefault="00F05DC7" w:rsidP="00A3786D">
                  <w:pPr>
                    <w:pStyle w:val="TableBodyText"/>
                  </w:pPr>
                  <w:r w:rsidRPr="00911F46">
                    <w:rPr>
                      <w:color w:val="000000"/>
                    </w:rPr>
                    <w:t>0.33</w:t>
                  </w:r>
                </w:p>
              </w:tc>
              <w:tc>
                <w:tcPr>
                  <w:tcW w:w="557" w:type="pct"/>
                  <w:tcBorders>
                    <w:top w:val="nil"/>
                    <w:left w:val="nil"/>
                    <w:bottom w:val="nil"/>
                    <w:right w:val="nil"/>
                  </w:tcBorders>
                  <w:shd w:val="clear" w:color="auto" w:fill="auto"/>
                  <w:vAlign w:val="bottom"/>
                </w:tcPr>
                <w:p w14:paraId="7954CCD7" w14:textId="77777777" w:rsidR="00F05DC7" w:rsidRPr="00911F46" w:rsidRDefault="00F05DC7" w:rsidP="00A3786D">
                  <w:pPr>
                    <w:pStyle w:val="TableBodyText"/>
                  </w:pPr>
                  <w:r>
                    <w:rPr>
                      <w:color w:val="000000"/>
                    </w:rPr>
                    <w:noBreakHyphen/>
                  </w:r>
                  <w:r w:rsidRPr="00911F46">
                    <w:rPr>
                      <w:color w:val="000000"/>
                    </w:rPr>
                    <w:t>0.65</w:t>
                  </w:r>
                </w:p>
              </w:tc>
              <w:tc>
                <w:tcPr>
                  <w:tcW w:w="556" w:type="pct"/>
                  <w:tcBorders>
                    <w:top w:val="nil"/>
                    <w:left w:val="nil"/>
                    <w:bottom w:val="nil"/>
                    <w:right w:val="nil"/>
                  </w:tcBorders>
                  <w:shd w:val="clear" w:color="auto" w:fill="auto"/>
                  <w:vAlign w:val="bottom"/>
                </w:tcPr>
                <w:p w14:paraId="7954CCD8" w14:textId="77777777" w:rsidR="00F05DC7" w:rsidRPr="00911F46" w:rsidRDefault="00F05DC7" w:rsidP="00A3786D">
                  <w:pPr>
                    <w:pStyle w:val="TableBodyText"/>
                  </w:pPr>
                  <w:r>
                    <w:rPr>
                      <w:color w:val="000000"/>
                    </w:rPr>
                    <w:noBreakHyphen/>
                  </w:r>
                  <w:r w:rsidRPr="00911F46">
                    <w:rPr>
                      <w:color w:val="000000"/>
                    </w:rPr>
                    <w:t>1.14</w:t>
                  </w:r>
                </w:p>
              </w:tc>
              <w:tc>
                <w:tcPr>
                  <w:tcW w:w="556" w:type="pct"/>
                  <w:tcBorders>
                    <w:top w:val="nil"/>
                    <w:left w:val="nil"/>
                    <w:bottom w:val="nil"/>
                    <w:right w:val="nil"/>
                  </w:tcBorders>
                  <w:shd w:val="clear" w:color="auto" w:fill="auto"/>
                  <w:vAlign w:val="bottom"/>
                </w:tcPr>
                <w:p w14:paraId="7954CCD9" w14:textId="77777777" w:rsidR="00F05DC7" w:rsidRPr="00911F46" w:rsidRDefault="00F05DC7" w:rsidP="00A3786D">
                  <w:pPr>
                    <w:pStyle w:val="TableBodyText"/>
                  </w:pPr>
                  <w:r w:rsidRPr="00911F46">
                    <w:rPr>
                      <w:color w:val="000000"/>
                    </w:rPr>
                    <w:t>3.78</w:t>
                  </w:r>
                </w:p>
              </w:tc>
              <w:tc>
                <w:tcPr>
                  <w:tcW w:w="555" w:type="pct"/>
                  <w:tcBorders>
                    <w:top w:val="nil"/>
                    <w:left w:val="nil"/>
                    <w:bottom w:val="nil"/>
                    <w:right w:val="nil"/>
                  </w:tcBorders>
                  <w:shd w:val="clear" w:color="auto" w:fill="auto"/>
                  <w:vAlign w:val="bottom"/>
                </w:tcPr>
                <w:p w14:paraId="7954CCDA" w14:textId="77777777" w:rsidR="00F05DC7" w:rsidRPr="00911F46" w:rsidRDefault="00F05DC7" w:rsidP="00A3786D">
                  <w:pPr>
                    <w:pStyle w:val="TableBodyText"/>
                  </w:pPr>
                  <w:r>
                    <w:rPr>
                      <w:color w:val="000000"/>
                    </w:rPr>
                    <w:noBreakHyphen/>
                  </w:r>
                  <w:r w:rsidRPr="00911F46">
                    <w:rPr>
                      <w:color w:val="000000"/>
                    </w:rPr>
                    <w:t>1.14</w:t>
                  </w:r>
                </w:p>
              </w:tc>
              <w:tc>
                <w:tcPr>
                  <w:tcW w:w="555" w:type="pct"/>
                  <w:tcBorders>
                    <w:top w:val="nil"/>
                    <w:left w:val="nil"/>
                    <w:bottom w:val="nil"/>
                    <w:right w:val="nil"/>
                  </w:tcBorders>
                  <w:shd w:val="clear" w:color="auto" w:fill="auto"/>
                  <w:vAlign w:val="bottom"/>
                </w:tcPr>
                <w:p w14:paraId="7954CCDB" w14:textId="77777777" w:rsidR="00F05DC7" w:rsidRPr="00911F46" w:rsidRDefault="00F05DC7" w:rsidP="00A3786D">
                  <w:pPr>
                    <w:pStyle w:val="TableBodyText"/>
                  </w:pPr>
                  <w:r>
                    <w:rPr>
                      <w:color w:val="000000"/>
                    </w:rPr>
                    <w:noBreakHyphen/>
                  </w:r>
                  <w:r w:rsidRPr="00911F46">
                    <w:rPr>
                      <w:color w:val="000000"/>
                    </w:rPr>
                    <w:t>1.16</w:t>
                  </w:r>
                </w:p>
              </w:tc>
              <w:tc>
                <w:tcPr>
                  <w:tcW w:w="555" w:type="pct"/>
                  <w:tcBorders>
                    <w:top w:val="nil"/>
                    <w:left w:val="nil"/>
                    <w:bottom w:val="nil"/>
                    <w:right w:val="nil"/>
                  </w:tcBorders>
                  <w:shd w:val="clear" w:color="auto" w:fill="auto"/>
                  <w:vAlign w:val="bottom"/>
                </w:tcPr>
                <w:p w14:paraId="7954CCDC" w14:textId="77777777" w:rsidR="00F05DC7" w:rsidRPr="00911F46" w:rsidRDefault="00F05DC7" w:rsidP="00A3786D">
                  <w:pPr>
                    <w:pStyle w:val="TableBodyText"/>
                  </w:pPr>
                  <w:r>
                    <w:rPr>
                      <w:color w:val="000000"/>
                    </w:rPr>
                    <w:noBreakHyphen/>
                  </w:r>
                  <w:r w:rsidRPr="00911F46">
                    <w:rPr>
                      <w:color w:val="000000"/>
                    </w:rPr>
                    <w:t>0.90</w:t>
                  </w:r>
                </w:p>
              </w:tc>
              <w:tc>
                <w:tcPr>
                  <w:tcW w:w="553" w:type="pct"/>
                  <w:tcBorders>
                    <w:top w:val="nil"/>
                    <w:left w:val="nil"/>
                    <w:bottom w:val="nil"/>
                    <w:right w:val="nil"/>
                  </w:tcBorders>
                  <w:shd w:val="clear" w:color="auto" w:fill="auto"/>
                  <w:vAlign w:val="bottom"/>
                </w:tcPr>
                <w:p w14:paraId="7954CCDD" w14:textId="77777777" w:rsidR="00F05DC7" w:rsidRPr="00911F46" w:rsidRDefault="00F05DC7" w:rsidP="00A3786D">
                  <w:pPr>
                    <w:pStyle w:val="TableBodyText"/>
                  </w:pPr>
                  <w:r>
                    <w:rPr>
                      <w:color w:val="000000"/>
                    </w:rPr>
                    <w:noBreakHyphen/>
                  </w:r>
                  <w:r w:rsidRPr="00911F46">
                    <w:rPr>
                      <w:color w:val="000000"/>
                    </w:rPr>
                    <w:t>0.59</w:t>
                  </w:r>
                </w:p>
              </w:tc>
            </w:tr>
            <w:tr w:rsidR="00F05DC7" w:rsidRPr="00A75ED1" w14:paraId="7954CCE8" w14:textId="77777777" w:rsidTr="00A3786D">
              <w:tc>
                <w:tcPr>
                  <w:tcW w:w="556" w:type="pct"/>
                  <w:shd w:val="clear" w:color="auto" w:fill="auto"/>
                  <w:vAlign w:val="bottom"/>
                </w:tcPr>
                <w:p w14:paraId="7954CCDF" w14:textId="77777777" w:rsidR="00F05DC7" w:rsidRPr="00911F46" w:rsidRDefault="00F05DC7" w:rsidP="00A3786D">
                  <w:pPr>
                    <w:pStyle w:val="TableBodyText"/>
                  </w:pPr>
                  <w:r w:rsidRPr="00911F46">
                    <w:t>2021</w:t>
                  </w:r>
                  <w:r>
                    <w:noBreakHyphen/>
                  </w:r>
                  <w:r w:rsidRPr="00911F46">
                    <w:t>22</w:t>
                  </w:r>
                </w:p>
              </w:tc>
              <w:tc>
                <w:tcPr>
                  <w:tcW w:w="557" w:type="pct"/>
                  <w:tcBorders>
                    <w:top w:val="nil"/>
                    <w:left w:val="nil"/>
                    <w:bottom w:val="nil"/>
                    <w:right w:val="nil"/>
                  </w:tcBorders>
                  <w:shd w:val="clear" w:color="auto" w:fill="auto"/>
                  <w:vAlign w:val="bottom"/>
                </w:tcPr>
                <w:p w14:paraId="7954CCE0" w14:textId="77777777" w:rsidR="00F05DC7" w:rsidRPr="00911F46" w:rsidRDefault="00F05DC7" w:rsidP="00A3786D">
                  <w:pPr>
                    <w:pStyle w:val="TableBodyText"/>
                  </w:pPr>
                  <w:r w:rsidRPr="00911F46">
                    <w:rPr>
                      <w:color w:val="000000"/>
                    </w:rPr>
                    <w:t>0.35</w:t>
                  </w:r>
                </w:p>
              </w:tc>
              <w:tc>
                <w:tcPr>
                  <w:tcW w:w="557" w:type="pct"/>
                  <w:tcBorders>
                    <w:top w:val="nil"/>
                    <w:left w:val="nil"/>
                    <w:bottom w:val="nil"/>
                    <w:right w:val="nil"/>
                  </w:tcBorders>
                  <w:shd w:val="clear" w:color="auto" w:fill="auto"/>
                  <w:vAlign w:val="bottom"/>
                </w:tcPr>
                <w:p w14:paraId="7954CCE1" w14:textId="77777777" w:rsidR="00F05DC7" w:rsidRPr="00911F46" w:rsidRDefault="00F05DC7" w:rsidP="00A3786D">
                  <w:pPr>
                    <w:pStyle w:val="TableBodyText"/>
                  </w:pPr>
                  <w:r>
                    <w:rPr>
                      <w:color w:val="000000"/>
                    </w:rPr>
                    <w:noBreakHyphen/>
                  </w:r>
                  <w:r w:rsidRPr="00911F46">
                    <w:rPr>
                      <w:color w:val="000000"/>
                    </w:rPr>
                    <w:t>0.57</w:t>
                  </w:r>
                </w:p>
              </w:tc>
              <w:tc>
                <w:tcPr>
                  <w:tcW w:w="556" w:type="pct"/>
                  <w:tcBorders>
                    <w:top w:val="nil"/>
                    <w:left w:val="nil"/>
                    <w:bottom w:val="nil"/>
                    <w:right w:val="nil"/>
                  </w:tcBorders>
                  <w:shd w:val="clear" w:color="auto" w:fill="auto"/>
                  <w:vAlign w:val="bottom"/>
                </w:tcPr>
                <w:p w14:paraId="7954CCE2" w14:textId="77777777" w:rsidR="00F05DC7" w:rsidRPr="00911F46" w:rsidRDefault="00F05DC7" w:rsidP="00A3786D">
                  <w:pPr>
                    <w:pStyle w:val="TableBodyText"/>
                  </w:pPr>
                  <w:r>
                    <w:rPr>
                      <w:color w:val="000000"/>
                    </w:rPr>
                    <w:noBreakHyphen/>
                  </w:r>
                  <w:r w:rsidRPr="00911F46">
                    <w:rPr>
                      <w:color w:val="000000"/>
                    </w:rPr>
                    <w:t>1.62</w:t>
                  </w:r>
                </w:p>
              </w:tc>
              <w:tc>
                <w:tcPr>
                  <w:tcW w:w="556" w:type="pct"/>
                  <w:tcBorders>
                    <w:top w:val="nil"/>
                    <w:left w:val="nil"/>
                    <w:bottom w:val="nil"/>
                    <w:right w:val="nil"/>
                  </w:tcBorders>
                  <w:shd w:val="clear" w:color="auto" w:fill="auto"/>
                  <w:vAlign w:val="bottom"/>
                </w:tcPr>
                <w:p w14:paraId="7954CCE3" w14:textId="77777777" w:rsidR="00F05DC7" w:rsidRPr="00911F46" w:rsidRDefault="00F05DC7" w:rsidP="00A3786D">
                  <w:pPr>
                    <w:pStyle w:val="TableBodyText"/>
                  </w:pPr>
                  <w:r w:rsidRPr="00911F46">
                    <w:rPr>
                      <w:color w:val="000000"/>
                    </w:rPr>
                    <w:t>4.85</w:t>
                  </w:r>
                </w:p>
              </w:tc>
              <w:tc>
                <w:tcPr>
                  <w:tcW w:w="555" w:type="pct"/>
                  <w:tcBorders>
                    <w:top w:val="nil"/>
                    <w:left w:val="nil"/>
                    <w:bottom w:val="nil"/>
                    <w:right w:val="nil"/>
                  </w:tcBorders>
                  <w:shd w:val="clear" w:color="auto" w:fill="auto"/>
                  <w:vAlign w:val="bottom"/>
                </w:tcPr>
                <w:p w14:paraId="7954CCE4" w14:textId="77777777" w:rsidR="00F05DC7" w:rsidRPr="00911F46" w:rsidRDefault="00F05DC7" w:rsidP="00A3786D">
                  <w:pPr>
                    <w:pStyle w:val="TableBodyText"/>
                  </w:pPr>
                  <w:r>
                    <w:rPr>
                      <w:color w:val="000000"/>
                    </w:rPr>
                    <w:noBreakHyphen/>
                  </w:r>
                  <w:r w:rsidRPr="00911F46">
                    <w:rPr>
                      <w:color w:val="000000"/>
                    </w:rPr>
                    <w:t>1.66</w:t>
                  </w:r>
                </w:p>
              </w:tc>
              <w:tc>
                <w:tcPr>
                  <w:tcW w:w="555" w:type="pct"/>
                  <w:tcBorders>
                    <w:top w:val="nil"/>
                    <w:left w:val="nil"/>
                    <w:bottom w:val="nil"/>
                    <w:right w:val="nil"/>
                  </w:tcBorders>
                  <w:shd w:val="clear" w:color="auto" w:fill="auto"/>
                  <w:vAlign w:val="bottom"/>
                </w:tcPr>
                <w:p w14:paraId="7954CCE5" w14:textId="77777777" w:rsidR="00F05DC7" w:rsidRPr="00911F46" w:rsidRDefault="00F05DC7" w:rsidP="00A3786D">
                  <w:pPr>
                    <w:pStyle w:val="TableBodyText"/>
                  </w:pPr>
                  <w:r>
                    <w:rPr>
                      <w:color w:val="000000"/>
                    </w:rPr>
                    <w:noBreakHyphen/>
                  </w:r>
                  <w:r w:rsidRPr="00911F46">
                    <w:rPr>
                      <w:color w:val="000000"/>
                    </w:rPr>
                    <w:t>1.63</w:t>
                  </w:r>
                </w:p>
              </w:tc>
              <w:tc>
                <w:tcPr>
                  <w:tcW w:w="555" w:type="pct"/>
                  <w:tcBorders>
                    <w:top w:val="nil"/>
                    <w:left w:val="nil"/>
                    <w:bottom w:val="nil"/>
                    <w:right w:val="nil"/>
                  </w:tcBorders>
                  <w:shd w:val="clear" w:color="auto" w:fill="auto"/>
                  <w:vAlign w:val="bottom"/>
                </w:tcPr>
                <w:p w14:paraId="7954CCE6" w14:textId="77777777" w:rsidR="00F05DC7" w:rsidRPr="00911F46" w:rsidRDefault="00F05DC7" w:rsidP="00A3786D">
                  <w:pPr>
                    <w:pStyle w:val="TableBodyText"/>
                  </w:pPr>
                  <w:r>
                    <w:rPr>
                      <w:color w:val="000000"/>
                    </w:rPr>
                    <w:noBreakHyphen/>
                  </w:r>
                  <w:r w:rsidRPr="00911F46">
                    <w:rPr>
                      <w:color w:val="000000"/>
                    </w:rPr>
                    <w:t>1.31</w:t>
                  </w:r>
                </w:p>
              </w:tc>
              <w:tc>
                <w:tcPr>
                  <w:tcW w:w="553" w:type="pct"/>
                  <w:tcBorders>
                    <w:top w:val="nil"/>
                    <w:left w:val="nil"/>
                    <w:bottom w:val="nil"/>
                    <w:right w:val="nil"/>
                  </w:tcBorders>
                  <w:shd w:val="clear" w:color="auto" w:fill="auto"/>
                  <w:vAlign w:val="bottom"/>
                </w:tcPr>
                <w:p w14:paraId="7954CCE7" w14:textId="77777777" w:rsidR="00F05DC7" w:rsidRPr="00911F46" w:rsidRDefault="00F05DC7" w:rsidP="00A3786D">
                  <w:pPr>
                    <w:pStyle w:val="TableBodyText"/>
                  </w:pPr>
                  <w:r>
                    <w:rPr>
                      <w:color w:val="000000"/>
                    </w:rPr>
                    <w:noBreakHyphen/>
                  </w:r>
                  <w:r w:rsidRPr="00911F46">
                    <w:rPr>
                      <w:color w:val="000000"/>
                    </w:rPr>
                    <w:t>0.78</w:t>
                  </w:r>
                </w:p>
              </w:tc>
            </w:tr>
            <w:tr w:rsidR="00F05DC7" w:rsidRPr="00A75ED1" w14:paraId="7954CCF2" w14:textId="77777777" w:rsidTr="00A3786D">
              <w:tc>
                <w:tcPr>
                  <w:tcW w:w="556" w:type="pct"/>
                  <w:shd w:val="clear" w:color="auto" w:fill="auto"/>
                </w:tcPr>
                <w:p w14:paraId="7954CCE9" w14:textId="77777777" w:rsidR="00F05DC7" w:rsidRPr="00911F46" w:rsidRDefault="00F05DC7" w:rsidP="00A3786D">
                  <w:pPr>
                    <w:pStyle w:val="TableBodyText"/>
                  </w:pPr>
                  <w:r w:rsidRPr="00911F46">
                    <w:t>2022</w:t>
                  </w:r>
                  <w:r>
                    <w:noBreakHyphen/>
                  </w:r>
                  <w:r w:rsidRPr="00911F46">
                    <w:t>23</w:t>
                  </w:r>
                </w:p>
              </w:tc>
              <w:tc>
                <w:tcPr>
                  <w:tcW w:w="557" w:type="pct"/>
                  <w:tcBorders>
                    <w:top w:val="nil"/>
                    <w:left w:val="nil"/>
                    <w:bottom w:val="nil"/>
                    <w:right w:val="nil"/>
                  </w:tcBorders>
                  <w:shd w:val="clear" w:color="auto" w:fill="auto"/>
                  <w:vAlign w:val="bottom"/>
                </w:tcPr>
                <w:p w14:paraId="7954CCEA" w14:textId="77777777" w:rsidR="00F05DC7" w:rsidRPr="00911F46" w:rsidRDefault="00F05DC7" w:rsidP="00A3786D">
                  <w:pPr>
                    <w:pStyle w:val="TableBodyText"/>
                  </w:pPr>
                  <w:r w:rsidRPr="00911F46">
                    <w:rPr>
                      <w:color w:val="000000"/>
                    </w:rPr>
                    <w:t>0.27</w:t>
                  </w:r>
                </w:p>
              </w:tc>
              <w:tc>
                <w:tcPr>
                  <w:tcW w:w="557" w:type="pct"/>
                  <w:tcBorders>
                    <w:top w:val="nil"/>
                    <w:left w:val="nil"/>
                    <w:bottom w:val="nil"/>
                    <w:right w:val="nil"/>
                  </w:tcBorders>
                  <w:shd w:val="clear" w:color="auto" w:fill="auto"/>
                  <w:vAlign w:val="bottom"/>
                </w:tcPr>
                <w:p w14:paraId="7954CCEB" w14:textId="77777777" w:rsidR="00F05DC7" w:rsidRPr="00911F46" w:rsidRDefault="00F05DC7" w:rsidP="00A3786D">
                  <w:pPr>
                    <w:pStyle w:val="TableBodyText"/>
                  </w:pPr>
                  <w:r>
                    <w:rPr>
                      <w:color w:val="000000"/>
                    </w:rPr>
                    <w:noBreakHyphen/>
                  </w:r>
                  <w:r w:rsidRPr="00911F46">
                    <w:rPr>
                      <w:color w:val="000000"/>
                    </w:rPr>
                    <w:t>0.20</w:t>
                  </w:r>
                </w:p>
              </w:tc>
              <w:tc>
                <w:tcPr>
                  <w:tcW w:w="556" w:type="pct"/>
                  <w:tcBorders>
                    <w:top w:val="nil"/>
                    <w:left w:val="nil"/>
                    <w:bottom w:val="nil"/>
                    <w:right w:val="nil"/>
                  </w:tcBorders>
                  <w:shd w:val="clear" w:color="auto" w:fill="auto"/>
                  <w:vAlign w:val="bottom"/>
                </w:tcPr>
                <w:p w14:paraId="7954CCEC" w14:textId="77777777" w:rsidR="00F05DC7" w:rsidRPr="00911F46" w:rsidRDefault="00F05DC7" w:rsidP="00A3786D">
                  <w:pPr>
                    <w:pStyle w:val="TableBodyText"/>
                  </w:pPr>
                  <w:r>
                    <w:rPr>
                      <w:color w:val="000000"/>
                    </w:rPr>
                    <w:noBreakHyphen/>
                  </w:r>
                  <w:r w:rsidRPr="00911F46">
                    <w:rPr>
                      <w:color w:val="000000"/>
                    </w:rPr>
                    <w:t>2.07</w:t>
                  </w:r>
                </w:p>
              </w:tc>
              <w:tc>
                <w:tcPr>
                  <w:tcW w:w="556" w:type="pct"/>
                  <w:tcBorders>
                    <w:top w:val="nil"/>
                    <w:left w:val="nil"/>
                    <w:bottom w:val="nil"/>
                    <w:right w:val="nil"/>
                  </w:tcBorders>
                  <w:shd w:val="clear" w:color="auto" w:fill="auto"/>
                  <w:vAlign w:val="bottom"/>
                </w:tcPr>
                <w:p w14:paraId="7954CCED" w14:textId="77777777" w:rsidR="00F05DC7" w:rsidRPr="00911F46" w:rsidRDefault="00F05DC7" w:rsidP="00A3786D">
                  <w:pPr>
                    <w:pStyle w:val="TableBodyText"/>
                  </w:pPr>
                  <w:r w:rsidRPr="00911F46">
                    <w:rPr>
                      <w:color w:val="000000"/>
                    </w:rPr>
                    <w:t>5.43</w:t>
                  </w:r>
                </w:p>
              </w:tc>
              <w:tc>
                <w:tcPr>
                  <w:tcW w:w="555" w:type="pct"/>
                  <w:tcBorders>
                    <w:top w:val="nil"/>
                    <w:left w:val="nil"/>
                    <w:bottom w:val="nil"/>
                    <w:right w:val="nil"/>
                  </w:tcBorders>
                  <w:shd w:val="clear" w:color="auto" w:fill="auto"/>
                  <w:vAlign w:val="bottom"/>
                </w:tcPr>
                <w:p w14:paraId="7954CCEE" w14:textId="77777777" w:rsidR="00F05DC7" w:rsidRPr="00911F46" w:rsidRDefault="00F05DC7" w:rsidP="00A3786D">
                  <w:pPr>
                    <w:pStyle w:val="TableBodyText"/>
                  </w:pPr>
                  <w:r>
                    <w:rPr>
                      <w:color w:val="000000"/>
                    </w:rPr>
                    <w:noBreakHyphen/>
                  </w:r>
                  <w:r w:rsidRPr="00911F46">
                    <w:rPr>
                      <w:color w:val="000000"/>
                    </w:rPr>
                    <w:t>2.13</w:t>
                  </w:r>
                </w:p>
              </w:tc>
              <w:tc>
                <w:tcPr>
                  <w:tcW w:w="555" w:type="pct"/>
                  <w:tcBorders>
                    <w:top w:val="nil"/>
                    <w:left w:val="nil"/>
                    <w:bottom w:val="nil"/>
                    <w:right w:val="nil"/>
                  </w:tcBorders>
                  <w:shd w:val="clear" w:color="auto" w:fill="auto"/>
                  <w:vAlign w:val="bottom"/>
                </w:tcPr>
                <w:p w14:paraId="7954CCEF" w14:textId="77777777" w:rsidR="00F05DC7" w:rsidRPr="00911F46" w:rsidRDefault="00F05DC7" w:rsidP="00A3786D">
                  <w:pPr>
                    <w:pStyle w:val="TableBodyText"/>
                  </w:pPr>
                  <w:r>
                    <w:rPr>
                      <w:color w:val="000000"/>
                    </w:rPr>
                    <w:noBreakHyphen/>
                  </w:r>
                  <w:r w:rsidRPr="00911F46">
                    <w:rPr>
                      <w:color w:val="000000"/>
                    </w:rPr>
                    <w:t>2.08</w:t>
                  </w:r>
                </w:p>
              </w:tc>
              <w:tc>
                <w:tcPr>
                  <w:tcW w:w="555" w:type="pct"/>
                  <w:tcBorders>
                    <w:top w:val="nil"/>
                    <w:left w:val="nil"/>
                    <w:bottom w:val="nil"/>
                    <w:right w:val="nil"/>
                  </w:tcBorders>
                  <w:shd w:val="clear" w:color="auto" w:fill="auto"/>
                  <w:vAlign w:val="bottom"/>
                </w:tcPr>
                <w:p w14:paraId="7954CCF0" w14:textId="77777777" w:rsidR="00F05DC7" w:rsidRPr="00911F46" w:rsidRDefault="00F05DC7" w:rsidP="00A3786D">
                  <w:pPr>
                    <w:pStyle w:val="TableBodyText"/>
                  </w:pPr>
                  <w:r>
                    <w:rPr>
                      <w:color w:val="000000"/>
                    </w:rPr>
                    <w:noBreakHyphen/>
                  </w:r>
                  <w:r w:rsidRPr="00911F46">
                    <w:rPr>
                      <w:color w:val="000000"/>
                    </w:rPr>
                    <w:t>1.66</w:t>
                  </w:r>
                </w:p>
              </w:tc>
              <w:tc>
                <w:tcPr>
                  <w:tcW w:w="553" w:type="pct"/>
                  <w:tcBorders>
                    <w:top w:val="nil"/>
                    <w:left w:val="nil"/>
                    <w:bottom w:val="nil"/>
                    <w:right w:val="nil"/>
                  </w:tcBorders>
                  <w:shd w:val="clear" w:color="auto" w:fill="auto"/>
                  <w:vAlign w:val="bottom"/>
                </w:tcPr>
                <w:p w14:paraId="7954CCF1" w14:textId="77777777" w:rsidR="00F05DC7" w:rsidRPr="00911F46" w:rsidRDefault="00F05DC7" w:rsidP="00A3786D">
                  <w:pPr>
                    <w:pStyle w:val="TableBodyText"/>
                  </w:pPr>
                  <w:r>
                    <w:rPr>
                      <w:color w:val="000000"/>
                    </w:rPr>
                    <w:noBreakHyphen/>
                  </w:r>
                  <w:r w:rsidRPr="00911F46">
                    <w:rPr>
                      <w:color w:val="000000"/>
                    </w:rPr>
                    <w:t>0.97</w:t>
                  </w:r>
                </w:p>
              </w:tc>
            </w:tr>
            <w:tr w:rsidR="00F05DC7" w:rsidRPr="00A75ED1" w14:paraId="7954CCFC" w14:textId="77777777" w:rsidTr="00A3786D">
              <w:tc>
                <w:tcPr>
                  <w:tcW w:w="556" w:type="pct"/>
                  <w:shd w:val="clear" w:color="auto" w:fill="auto"/>
                </w:tcPr>
                <w:p w14:paraId="7954CCF3" w14:textId="77777777" w:rsidR="00F05DC7" w:rsidRPr="00911F46" w:rsidRDefault="00F05DC7" w:rsidP="00A3786D">
                  <w:pPr>
                    <w:pStyle w:val="TableBodyText"/>
                  </w:pPr>
                  <w:r w:rsidRPr="00911F46">
                    <w:t>2023</w:t>
                  </w:r>
                  <w:r>
                    <w:noBreakHyphen/>
                  </w:r>
                  <w:r w:rsidRPr="00911F46">
                    <w:t>24</w:t>
                  </w:r>
                </w:p>
              </w:tc>
              <w:tc>
                <w:tcPr>
                  <w:tcW w:w="557" w:type="pct"/>
                  <w:tcBorders>
                    <w:top w:val="nil"/>
                    <w:left w:val="nil"/>
                    <w:bottom w:val="nil"/>
                    <w:right w:val="nil"/>
                  </w:tcBorders>
                  <w:shd w:val="clear" w:color="auto" w:fill="auto"/>
                  <w:vAlign w:val="bottom"/>
                </w:tcPr>
                <w:p w14:paraId="7954CCF4" w14:textId="77777777" w:rsidR="00F05DC7" w:rsidRPr="00911F46" w:rsidRDefault="00F05DC7" w:rsidP="00A3786D">
                  <w:pPr>
                    <w:pStyle w:val="TableBodyText"/>
                  </w:pPr>
                  <w:r w:rsidRPr="00911F46">
                    <w:rPr>
                      <w:color w:val="000000"/>
                    </w:rPr>
                    <w:t>0.06</w:t>
                  </w:r>
                </w:p>
              </w:tc>
              <w:tc>
                <w:tcPr>
                  <w:tcW w:w="557" w:type="pct"/>
                  <w:tcBorders>
                    <w:top w:val="nil"/>
                    <w:left w:val="nil"/>
                    <w:bottom w:val="nil"/>
                    <w:right w:val="nil"/>
                  </w:tcBorders>
                  <w:shd w:val="clear" w:color="auto" w:fill="auto"/>
                  <w:vAlign w:val="bottom"/>
                </w:tcPr>
                <w:p w14:paraId="7954CCF5" w14:textId="77777777" w:rsidR="00F05DC7" w:rsidRPr="00911F46" w:rsidRDefault="00F05DC7" w:rsidP="00A3786D">
                  <w:pPr>
                    <w:pStyle w:val="TableBodyText"/>
                  </w:pPr>
                  <w:r w:rsidRPr="00911F46">
                    <w:rPr>
                      <w:color w:val="000000"/>
                    </w:rPr>
                    <w:t>0.38</w:t>
                  </w:r>
                </w:p>
              </w:tc>
              <w:tc>
                <w:tcPr>
                  <w:tcW w:w="556" w:type="pct"/>
                  <w:tcBorders>
                    <w:top w:val="nil"/>
                    <w:left w:val="nil"/>
                    <w:bottom w:val="nil"/>
                    <w:right w:val="nil"/>
                  </w:tcBorders>
                  <w:shd w:val="clear" w:color="auto" w:fill="auto"/>
                  <w:vAlign w:val="bottom"/>
                </w:tcPr>
                <w:p w14:paraId="7954CCF6" w14:textId="77777777" w:rsidR="00F05DC7" w:rsidRPr="00911F46" w:rsidRDefault="00F05DC7" w:rsidP="00A3786D">
                  <w:pPr>
                    <w:pStyle w:val="TableBodyText"/>
                  </w:pPr>
                  <w:r>
                    <w:rPr>
                      <w:color w:val="000000"/>
                    </w:rPr>
                    <w:noBreakHyphen/>
                  </w:r>
                  <w:r w:rsidRPr="00911F46">
                    <w:rPr>
                      <w:color w:val="000000"/>
                    </w:rPr>
                    <w:t>1.98</w:t>
                  </w:r>
                </w:p>
              </w:tc>
              <w:tc>
                <w:tcPr>
                  <w:tcW w:w="556" w:type="pct"/>
                  <w:tcBorders>
                    <w:top w:val="nil"/>
                    <w:left w:val="nil"/>
                    <w:bottom w:val="nil"/>
                    <w:right w:val="nil"/>
                  </w:tcBorders>
                  <w:shd w:val="clear" w:color="auto" w:fill="auto"/>
                  <w:vAlign w:val="bottom"/>
                </w:tcPr>
                <w:p w14:paraId="7954CCF7" w14:textId="77777777" w:rsidR="00F05DC7" w:rsidRPr="00911F46" w:rsidRDefault="00F05DC7" w:rsidP="00A3786D">
                  <w:pPr>
                    <w:pStyle w:val="TableBodyText"/>
                  </w:pPr>
                  <w:r w:rsidRPr="00911F46">
                    <w:rPr>
                      <w:color w:val="000000"/>
                    </w:rPr>
                    <w:t>4.39</w:t>
                  </w:r>
                </w:p>
              </w:tc>
              <w:tc>
                <w:tcPr>
                  <w:tcW w:w="555" w:type="pct"/>
                  <w:tcBorders>
                    <w:top w:val="nil"/>
                    <w:left w:val="nil"/>
                    <w:bottom w:val="nil"/>
                    <w:right w:val="nil"/>
                  </w:tcBorders>
                  <w:shd w:val="clear" w:color="auto" w:fill="auto"/>
                  <w:vAlign w:val="bottom"/>
                </w:tcPr>
                <w:p w14:paraId="7954CCF8" w14:textId="77777777" w:rsidR="00F05DC7" w:rsidRPr="00911F46" w:rsidRDefault="00F05DC7" w:rsidP="00A3786D">
                  <w:pPr>
                    <w:pStyle w:val="TableBodyText"/>
                  </w:pPr>
                  <w:r>
                    <w:rPr>
                      <w:color w:val="000000"/>
                    </w:rPr>
                    <w:noBreakHyphen/>
                  </w:r>
                  <w:r w:rsidRPr="00911F46">
                    <w:rPr>
                      <w:color w:val="000000"/>
                    </w:rPr>
                    <w:t>2.05</w:t>
                  </w:r>
                </w:p>
              </w:tc>
              <w:tc>
                <w:tcPr>
                  <w:tcW w:w="555" w:type="pct"/>
                  <w:tcBorders>
                    <w:top w:val="nil"/>
                    <w:left w:val="nil"/>
                    <w:bottom w:val="nil"/>
                    <w:right w:val="nil"/>
                  </w:tcBorders>
                  <w:shd w:val="clear" w:color="auto" w:fill="auto"/>
                  <w:vAlign w:val="bottom"/>
                </w:tcPr>
                <w:p w14:paraId="7954CCF9" w14:textId="77777777" w:rsidR="00F05DC7" w:rsidRPr="00911F46" w:rsidRDefault="00F05DC7" w:rsidP="00A3786D">
                  <w:pPr>
                    <w:pStyle w:val="TableBodyText"/>
                  </w:pPr>
                  <w:r>
                    <w:rPr>
                      <w:color w:val="000000"/>
                    </w:rPr>
                    <w:noBreakHyphen/>
                  </w:r>
                  <w:r w:rsidRPr="00911F46">
                    <w:rPr>
                      <w:color w:val="000000"/>
                    </w:rPr>
                    <w:t>1.99</w:t>
                  </w:r>
                </w:p>
              </w:tc>
              <w:tc>
                <w:tcPr>
                  <w:tcW w:w="555" w:type="pct"/>
                  <w:tcBorders>
                    <w:top w:val="nil"/>
                    <w:left w:val="nil"/>
                    <w:bottom w:val="nil"/>
                    <w:right w:val="nil"/>
                  </w:tcBorders>
                  <w:shd w:val="clear" w:color="auto" w:fill="auto"/>
                  <w:vAlign w:val="bottom"/>
                </w:tcPr>
                <w:p w14:paraId="7954CCFA" w14:textId="77777777" w:rsidR="00F05DC7" w:rsidRPr="00911F46" w:rsidRDefault="00F05DC7" w:rsidP="00A3786D">
                  <w:pPr>
                    <w:pStyle w:val="TableBodyText"/>
                  </w:pPr>
                  <w:r>
                    <w:rPr>
                      <w:color w:val="000000"/>
                    </w:rPr>
                    <w:noBreakHyphen/>
                  </w:r>
                  <w:r w:rsidRPr="00911F46">
                    <w:rPr>
                      <w:color w:val="000000"/>
                    </w:rPr>
                    <w:t>1.58</w:t>
                  </w:r>
                </w:p>
              </w:tc>
              <w:tc>
                <w:tcPr>
                  <w:tcW w:w="553" w:type="pct"/>
                  <w:tcBorders>
                    <w:top w:val="nil"/>
                    <w:left w:val="nil"/>
                    <w:bottom w:val="nil"/>
                    <w:right w:val="nil"/>
                  </w:tcBorders>
                  <w:shd w:val="clear" w:color="auto" w:fill="auto"/>
                  <w:vAlign w:val="bottom"/>
                </w:tcPr>
                <w:p w14:paraId="7954CCFB" w14:textId="77777777" w:rsidR="00F05DC7" w:rsidRPr="00911F46" w:rsidRDefault="00F05DC7" w:rsidP="00A3786D">
                  <w:pPr>
                    <w:pStyle w:val="TableBodyText"/>
                  </w:pPr>
                  <w:r>
                    <w:rPr>
                      <w:color w:val="000000"/>
                    </w:rPr>
                    <w:noBreakHyphen/>
                  </w:r>
                  <w:r w:rsidRPr="00911F46">
                    <w:rPr>
                      <w:color w:val="000000"/>
                    </w:rPr>
                    <w:t>0.91</w:t>
                  </w:r>
                </w:p>
              </w:tc>
            </w:tr>
            <w:tr w:rsidR="00F05DC7" w:rsidRPr="00A75ED1" w14:paraId="7954CD06" w14:textId="77777777" w:rsidTr="00A3786D">
              <w:tc>
                <w:tcPr>
                  <w:tcW w:w="556" w:type="pct"/>
                  <w:shd w:val="clear" w:color="auto" w:fill="auto"/>
                </w:tcPr>
                <w:p w14:paraId="7954CCFD" w14:textId="77777777" w:rsidR="00F05DC7" w:rsidRPr="00911F46" w:rsidRDefault="00F05DC7" w:rsidP="00A3786D">
                  <w:pPr>
                    <w:pStyle w:val="TableBodyText"/>
                  </w:pPr>
                  <w:r w:rsidRPr="00911F46">
                    <w:t>2024</w:t>
                  </w:r>
                  <w:r>
                    <w:noBreakHyphen/>
                  </w:r>
                  <w:r w:rsidRPr="00911F46">
                    <w:t>25</w:t>
                  </w:r>
                </w:p>
              </w:tc>
              <w:tc>
                <w:tcPr>
                  <w:tcW w:w="557" w:type="pct"/>
                  <w:tcBorders>
                    <w:top w:val="nil"/>
                    <w:left w:val="nil"/>
                    <w:bottom w:val="nil"/>
                    <w:right w:val="nil"/>
                  </w:tcBorders>
                  <w:shd w:val="clear" w:color="auto" w:fill="auto"/>
                  <w:vAlign w:val="bottom"/>
                </w:tcPr>
                <w:p w14:paraId="7954CCFE" w14:textId="77777777" w:rsidR="00F05DC7" w:rsidRPr="00911F46" w:rsidRDefault="00F05DC7" w:rsidP="00A3786D">
                  <w:pPr>
                    <w:pStyle w:val="TableBodyText"/>
                  </w:pPr>
                  <w:r w:rsidRPr="00911F46">
                    <w:rPr>
                      <w:color w:val="000000"/>
                    </w:rPr>
                    <w:t>0.06</w:t>
                  </w:r>
                </w:p>
              </w:tc>
              <w:tc>
                <w:tcPr>
                  <w:tcW w:w="557" w:type="pct"/>
                  <w:tcBorders>
                    <w:top w:val="nil"/>
                    <w:left w:val="nil"/>
                    <w:bottom w:val="nil"/>
                    <w:right w:val="nil"/>
                  </w:tcBorders>
                  <w:shd w:val="clear" w:color="auto" w:fill="auto"/>
                  <w:vAlign w:val="bottom"/>
                </w:tcPr>
                <w:p w14:paraId="7954CCFF" w14:textId="77777777" w:rsidR="00F05DC7" w:rsidRPr="00911F46" w:rsidRDefault="00F05DC7" w:rsidP="00A3786D">
                  <w:pPr>
                    <w:pStyle w:val="TableBodyText"/>
                  </w:pPr>
                  <w:r w:rsidRPr="00911F46">
                    <w:rPr>
                      <w:color w:val="000000"/>
                    </w:rPr>
                    <w:t>0.38</w:t>
                  </w:r>
                </w:p>
              </w:tc>
              <w:tc>
                <w:tcPr>
                  <w:tcW w:w="556" w:type="pct"/>
                  <w:tcBorders>
                    <w:top w:val="nil"/>
                    <w:left w:val="nil"/>
                    <w:bottom w:val="nil"/>
                    <w:right w:val="nil"/>
                  </w:tcBorders>
                  <w:shd w:val="clear" w:color="auto" w:fill="auto"/>
                  <w:vAlign w:val="bottom"/>
                </w:tcPr>
                <w:p w14:paraId="7954CD00" w14:textId="77777777" w:rsidR="00F05DC7" w:rsidRPr="00911F46" w:rsidRDefault="00F05DC7" w:rsidP="00A3786D">
                  <w:pPr>
                    <w:pStyle w:val="TableBodyText"/>
                  </w:pPr>
                  <w:r>
                    <w:rPr>
                      <w:color w:val="000000"/>
                    </w:rPr>
                    <w:noBreakHyphen/>
                  </w:r>
                  <w:r w:rsidRPr="00911F46">
                    <w:rPr>
                      <w:color w:val="000000"/>
                    </w:rPr>
                    <w:t>2.01</w:t>
                  </w:r>
                </w:p>
              </w:tc>
              <w:tc>
                <w:tcPr>
                  <w:tcW w:w="556" w:type="pct"/>
                  <w:tcBorders>
                    <w:top w:val="nil"/>
                    <w:left w:val="nil"/>
                    <w:bottom w:val="nil"/>
                    <w:right w:val="nil"/>
                  </w:tcBorders>
                  <w:shd w:val="clear" w:color="auto" w:fill="auto"/>
                  <w:vAlign w:val="bottom"/>
                </w:tcPr>
                <w:p w14:paraId="7954CD01" w14:textId="77777777" w:rsidR="00F05DC7" w:rsidRPr="00911F46" w:rsidRDefault="00F05DC7" w:rsidP="00A3786D">
                  <w:pPr>
                    <w:pStyle w:val="TableBodyText"/>
                  </w:pPr>
                  <w:r w:rsidRPr="00911F46">
                    <w:rPr>
                      <w:color w:val="000000"/>
                    </w:rPr>
                    <w:t>4.46</w:t>
                  </w:r>
                </w:p>
              </w:tc>
              <w:tc>
                <w:tcPr>
                  <w:tcW w:w="555" w:type="pct"/>
                  <w:tcBorders>
                    <w:top w:val="nil"/>
                    <w:left w:val="nil"/>
                    <w:bottom w:val="nil"/>
                    <w:right w:val="nil"/>
                  </w:tcBorders>
                  <w:shd w:val="clear" w:color="auto" w:fill="auto"/>
                  <w:vAlign w:val="bottom"/>
                </w:tcPr>
                <w:p w14:paraId="7954CD02" w14:textId="77777777" w:rsidR="00F05DC7" w:rsidRPr="00911F46" w:rsidRDefault="00F05DC7" w:rsidP="00A3786D">
                  <w:pPr>
                    <w:pStyle w:val="TableBodyText"/>
                  </w:pPr>
                  <w:r>
                    <w:rPr>
                      <w:color w:val="000000"/>
                    </w:rPr>
                    <w:noBreakHyphen/>
                  </w:r>
                  <w:r w:rsidRPr="00911F46">
                    <w:rPr>
                      <w:color w:val="000000"/>
                    </w:rPr>
                    <w:t>2.08</w:t>
                  </w:r>
                </w:p>
              </w:tc>
              <w:tc>
                <w:tcPr>
                  <w:tcW w:w="555" w:type="pct"/>
                  <w:tcBorders>
                    <w:top w:val="nil"/>
                    <w:left w:val="nil"/>
                    <w:bottom w:val="nil"/>
                    <w:right w:val="nil"/>
                  </w:tcBorders>
                  <w:shd w:val="clear" w:color="auto" w:fill="auto"/>
                  <w:vAlign w:val="bottom"/>
                </w:tcPr>
                <w:p w14:paraId="7954CD03" w14:textId="77777777" w:rsidR="00F05DC7" w:rsidRPr="00911F46" w:rsidRDefault="00F05DC7" w:rsidP="00A3786D">
                  <w:pPr>
                    <w:pStyle w:val="TableBodyText"/>
                  </w:pPr>
                  <w:r>
                    <w:rPr>
                      <w:color w:val="000000"/>
                    </w:rPr>
                    <w:noBreakHyphen/>
                  </w:r>
                  <w:r w:rsidRPr="00911F46">
                    <w:rPr>
                      <w:color w:val="000000"/>
                    </w:rPr>
                    <w:t>2.01</w:t>
                  </w:r>
                </w:p>
              </w:tc>
              <w:tc>
                <w:tcPr>
                  <w:tcW w:w="555" w:type="pct"/>
                  <w:tcBorders>
                    <w:top w:val="nil"/>
                    <w:left w:val="nil"/>
                    <w:bottom w:val="nil"/>
                    <w:right w:val="nil"/>
                  </w:tcBorders>
                  <w:shd w:val="clear" w:color="auto" w:fill="auto"/>
                  <w:vAlign w:val="bottom"/>
                </w:tcPr>
                <w:p w14:paraId="7954CD04" w14:textId="77777777" w:rsidR="00F05DC7" w:rsidRPr="00911F46" w:rsidRDefault="00F05DC7" w:rsidP="00A3786D">
                  <w:pPr>
                    <w:pStyle w:val="TableBodyText"/>
                  </w:pPr>
                  <w:r>
                    <w:rPr>
                      <w:color w:val="000000"/>
                    </w:rPr>
                    <w:noBreakHyphen/>
                  </w:r>
                  <w:r w:rsidRPr="00911F46">
                    <w:rPr>
                      <w:color w:val="000000"/>
                    </w:rPr>
                    <w:t>1.59</w:t>
                  </w:r>
                </w:p>
              </w:tc>
              <w:tc>
                <w:tcPr>
                  <w:tcW w:w="553" w:type="pct"/>
                  <w:tcBorders>
                    <w:top w:val="nil"/>
                    <w:left w:val="nil"/>
                    <w:bottom w:val="nil"/>
                    <w:right w:val="nil"/>
                  </w:tcBorders>
                  <w:shd w:val="clear" w:color="auto" w:fill="auto"/>
                  <w:vAlign w:val="bottom"/>
                </w:tcPr>
                <w:p w14:paraId="7954CD05" w14:textId="77777777" w:rsidR="00F05DC7" w:rsidRPr="00911F46" w:rsidRDefault="00F05DC7" w:rsidP="00A3786D">
                  <w:pPr>
                    <w:pStyle w:val="TableBodyText"/>
                  </w:pPr>
                  <w:r>
                    <w:rPr>
                      <w:color w:val="000000"/>
                    </w:rPr>
                    <w:noBreakHyphen/>
                  </w:r>
                  <w:r w:rsidRPr="00911F46">
                    <w:rPr>
                      <w:color w:val="000000"/>
                    </w:rPr>
                    <w:t>0.91</w:t>
                  </w:r>
                </w:p>
              </w:tc>
            </w:tr>
            <w:tr w:rsidR="00F05DC7" w:rsidRPr="00A75ED1" w14:paraId="7954CD10" w14:textId="77777777" w:rsidTr="00A3786D">
              <w:tc>
                <w:tcPr>
                  <w:tcW w:w="556" w:type="pct"/>
                  <w:shd w:val="clear" w:color="auto" w:fill="auto"/>
                </w:tcPr>
                <w:p w14:paraId="7954CD07" w14:textId="77777777" w:rsidR="00F05DC7" w:rsidRPr="00911F46" w:rsidRDefault="00F05DC7" w:rsidP="00A3786D">
                  <w:pPr>
                    <w:pStyle w:val="TableBodyText"/>
                  </w:pPr>
                  <w:r w:rsidRPr="00911F46">
                    <w:t>2025</w:t>
                  </w:r>
                  <w:r>
                    <w:noBreakHyphen/>
                  </w:r>
                  <w:r w:rsidRPr="00911F46">
                    <w:t>26</w:t>
                  </w:r>
                </w:p>
              </w:tc>
              <w:tc>
                <w:tcPr>
                  <w:tcW w:w="557" w:type="pct"/>
                  <w:tcBorders>
                    <w:top w:val="nil"/>
                    <w:left w:val="nil"/>
                    <w:bottom w:val="nil"/>
                    <w:right w:val="nil"/>
                  </w:tcBorders>
                  <w:shd w:val="clear" w:color="auto" w:fill="auto"/>
                  <w:vAlign w:val="bottom"/>
                </w:tcPr>
                <w:p w14:paraId="7954CD08" w14:textId="77777777" w:rsidR="00F05DC7" w:rsidRPr="00911F46" w:rsidRDefault="00F05DC7" w:rsidP="00A3786D">
                  <w:pPr>
                    <w:pStyle w:val="TableBodyText"/>
                  </w:pPr>
                  <w:r w:rsidRPr="00911F46">
                    <w:rPr>
                      <w:color w:val="000000"/>
                    </w:rPr>
                    <w:t>0.05</w:t>
                  </w:r>
                </w:p>
              </w:tc>
              <w:tc>
                <w:tcPr>
                  <w:tcW w:w="557" w:type="pct"/>
                  <w:tcBorders>
                    <w:top w:val="nil"/>
                    <w:left w:val="nil"/>
                    <w:bottom w:val="nil"/>
                    <w:right w:val="nil"/>
                  </w:tcBorders>
                  <w:shd w:val="clear" w:color="auto" w:fill="auto"/>
                  <w:vAlign w:val="bottom"/>
                </w:tcPr>
                <w:p w14:paraId="7954CD09" w14:textId="77777777" w:rsidR="00F05DC7" w:rsidRPr="00911F46" w:rsidRDefault="00F05DC7" w:rsidP="00A3786D">
                  <w:pPr>
                    <w:pStyle w:val="TableBodyText"/>
                  </w:pPr>
                  <w:r w:rsidRPr="00911F46">
                    <w:rPr>
                      <w:color w:val="000000"/>
                    </w:rPr>
                    <w:t>0.38</w:t>
                  </w:r>
                </w:p>
              </w:tc>
              <w:tc>
                <w:tcPr>
                  <w:tcW w:w="556" w:type="pct"/>
                  <w:tcBorders>
                    <w:top w:val="nil"/>
                    <w:left w:val="nil"/>
                    <w:bottom w:val="nil"/>
                    <w:right w:val="nil"/>
                  </w:tcBorders>
                  <w:shd w:val="clear" w:color="auto" w:fill="auto"/>
                  <w:vAlign w:val="bottom"/>
                </w:tcPr>
                <w:p w14:paraId="7954CD0A" w14:textId="77777777" w:rsidR="00F05DC7" w:rsidRPr="00911F46" w:rsidRDefault="00F05DC7" w:rsidP="00A3786D">
                  <w:pPr>
                    <w:pStyle w:val="TableBodyText"/>
                  </w:pPr>
                  <w:r>
                    <w:rPr>
                      <w:color w:val="000000"/>
                    </w:rPr>
                    <w:noBreakHyphen/>
                  </w:r>
                  <w:r w:rsidRPr="00911F46">
                    <w:rPr>
                      <w:color w:val="000000"/>
                    </w:rPr>
                    <w:t>2.03</w:t>
                  </w:r>
                </w:p>
              </w:tc>
              <w:tc>
                <w:tcPr>
                  <w:tcW w:w="556" w:type="pct"/>
                  <w:tcBorders>
                    <w:top w:val="nil"/>
                    <w:left w:val="nil"/>
                    <w:bottom w:val="nil"/>
                    <w:right w:val="nil"/>
                  </w:tcBorders>
                  <w:shd w:val="clear" w:color="auto" w:fill="auto"/>
                  <w:vAlign w:val="bottom"/>
                </w:tcPr>
                <w:p w14:paraId="7954CD0B" w14:textId="77777777" w:rsidR="00F05DC7" w:rsidRPr="00911F46" w:rsidRDefault="00F05DC7" w:rsidP="00A3786D">
                  <w:pPr>
                    <w:pStyle w:val="TableBodyText"/>
                  </w:pPr>
                  <w:r w:rsidRPr="00911F46">
                    <w:rPr>
                      <w:color w:val="000000"/>
                    </w:rPr>
                    <w:t>4.53</w:t>
                  </w:r>
                </w:p>
              </w:tc>
              <w:tc>
                <w:tcPr>
                  <w:tcW w:w="555" w:type="pct"/>
                  <w:tcBorders>
                    <w:top w:val="nil"/>
                    <w:left w:val="nil"/>
                    <w:bottom w:val="nil"/>
                    <w:right w:val="nil"/>
                  </w:tcBorders>
                  <w:shd w:val="clear" w:color="auto" w:fill="auto"/>
                  <w:vAlign w:val="bottom"/>
                </w:tcPr>
                <w:p w14:paraId="7954CD0C" w14:textId="77777777" w:rsidR="00F05DC7" w:rsidRPr="00911F46" w:rsidRDefault="00F05DC7" w:rsidP="00A3786D">
                  <w:pPr>
                    <w:pStyle w:val="TableBodyText"/>
                  </w:pPr>
                  <w:r>
                    <w:rPr>
                      <w:color w:val="000000"/>
                    </w:rPr>
                    <w:noBreakHyphen/>
                  </w:r>
                  <w:r w:rsidRPr="00911F46">
                    <w:rPr>
                      <w:color w:val="000000"/>
                    </w:rPr>
                    <w:t>2.10</w:t>
                  </w:r>
                </w:p>
              </w:tc>
              <w:tc>
                <w:tcPr>
                  <w:tcW w:w="555" w:type="pct"/>
                  <w:tcBorders>
                    <w:top w:val="nil"/>
                    <w:left w:val="nil"/>
                    <w:bottom w:val="nil"/>
                    <w:right w:val="nil"/>
                  </w:tcBorders>
                  <w:shd w:val="clear" w:color="auto" w:fill="auto"/>
                  <w:vAlign w:val="bottom"/>
                </w:tcPr>
                <w:p w14:paraId="7954CD0D" w14:textId="77777777" w:rsidR="00F05DC7" w:rsidRPr="00911F46" w:rsidRDefault="00F05DC7" w:rsidP="00A3786D">
                  <w:pPr>
                    <w:pStyle w:val="TableBodyText"/>
                  </w:pPr>
                  <w:r>
                    <w:rPr>
                      <w:color w:val="000000"/>
                    </w:rPr>
                    <w:noBreakHyphen/>
                  </w:r>
                  <w:r w:rsidRPr="00911F46">
                    <w:rPr>
                      <w:color w:val="000000"/>
                    </w:rPr>
                    <w:t>2.03</w:t>
                  </w:r>
                </w:p>
              </w:tc>
              <w:tc>
                <w:tcPr>
                  <w:tcW w:w="555" w:type="pct"/>
                  <w:tcBorders>
                    <w:top w:val="nil"/>
                    <w:left w:val="nil"/>
                    <w:bottom w:val="nil"/>
                    <w:right w:val="nil"/>
                  </w:tcBorders>
                  <w:shd w:val="clear" w:color="auto" w:fill="auto"/>
                  <w:vAlign w:val="bottom"/>
                </w:tcPr>
                <w:p w14:paraId="7954CD0E" w14:textId="77777777" w:rsidR="00F05DC7" w:rsidRPr="00911F46" w:rsidRDefault="00F05DC7" w:rsidP="00A3786D">
                  <w:pPr>
                    <w:pStyle w:val="TableBodyText"/>
                  </w:pPr>
                  <w:r>
                    <w:rPr>
                      <w:color w:val="000000"/>
                    </w:rPr>
                    <w:noBreakHyphen/>
                  </w:r>
                  <w:r w:rsidRPr="00911F46">
                    <w:rPr>
                      <w:color w:val="000000"/>
                    </w:rPr>
                    <w:t>1.61</w:t>
                  </w:r>
                </w:p>
              </w:tc>
              <w:tc>
                <w:tcPr>
                  <w:tcW w:w="553" w:type="pct"/>
                  <w:tcBorders>
                    <w:top w:val="nil"/>
                    <w:left w:val="nil"/>
                    <w:bottom w:val="nil"/>
                    <w:right w:val="nil"/>
                  </w:tcBorders>
                  <w:shd w:val="clear" w:color="auto" w:fill="auto"/>
                  <w:vAlign w:val="bottom"/>
                </w:tcPr>
                <w:p w14:paraId="7954CD0F" w14:textId="77777777" w:rsidR="00F05DC7" w:rsidRPr="00911F46" w:rsidRDefault="00F05DC7" w:rsidP="00A3786D">
                  <w:pPr>
                    <w:pStyle w:val="TableBodyText"/>
                  </w:pPr>
                  <w:r>
                    <w:rPr>
                      <w:color w:val="000000"/>
                    </w:rPr>
                    <w:noBreakHyphen/>
                  </w:r>
                  <w:r w:rsidRPr="00911F46">
                    <w:rPr>
                      <w:color w:val="000000"/>
                    </w:rPr>
                    <w:t>0.91</w:t>
                  </w:r>
                </w:p>
              </w:tc>
            </w:tr>
            <w:tr w:rsidR="00F05DC7" w:rsidRPr="00A75ED1" w14:paraId="7954CD1A" w14:textId="77777777" w:rsidTr="00A3786D">
              <w:tc>
                <w:tcPr>
                  <w:tcW w:w="556" w:type="pct"/>
                  <w:tcBorders>
                    <w:bottom w:val="single" w:sz="6" w:space="0" w:color="D9D9D9" w:themeColor="background1" w:themeShade="D9"/>
                  </w:tcBorders>
                  <w:shd w:val="clear" w:color="auto" w:fill="auto"/>
                </w:tcPr>
                <w:p w14:paraId="7954CD11" w14:textId="77777777" w:rsidR="00F05DC7" w:rsidRPr="00911F46" w:rsidRDefault="00F05DC7" w:rsidP="00A3786D">
                  <w:pPr>
                    <w:pStyle w:val="TableBodyText"/>
                  </w:pPr>
                  <w:r w:rsidRPr="00911F46">
                    <w:t>2026</w:t>
                  </w:r>
                  <w:r>
                    <w:noBreakHyphen/>
                  </w:r>
                  <w:r w:rsidRPr="00911F46">
                    <w:t>27</w:t>
                  </w:r>
                </w:p>
              </w:tc>
              <w:tc>
                <w:tcPr>
                  <w:tcW w:w="557" w:type="pct"/>
                  <w:tcBorders>
                    <w:top w:val="nil"/>
                    <w:left w:val="nil"/>
                    <w:bottom w:val="single" w:sz="6" w:space="0" w:color="D9D9D9" w:themeColor="background1" w:themeShade="D9"/>
                    <w:right w:val="nil"/>
                  </w:tcBorders>
                  <w:shd w:val="clear" w:color="auto" w:fill="auto"/>
                  <w:vAlign w:val="bottom"/>
                </w:tcPr>
                <w:p w14:paraId="7954CD12" w14:textId="77777777" w:rsidR="00F05DC7" w:rsidRPr="00911F46" w:rsidRDefault="00F05DC7" w:rsidP="00A3786D">
                  <w:pPr>
                    <w:pStyle w:val="TableBodyText"/>
                  </w:pPr>
                  <w:r w:rsidRPr="00911F46">
                    <w:rPr>
                      <w:color w:val="000000"/>
                    </w:rPr>
                    <w:t>0.04</w:t>
                  </w:r>
                </w:p>
              </w:tc>
              <w:tc>
                <w:tcPr>
                  <w:tcW w:w="557" w:type="pct"/>
                  <w:tcBorders>
                    <w:top w:val="nil"/>
                    <w:left w:val="nil"/>
                    <w:bottom w:val="single" w:sz="6" w:space="0" w:color="D9D9D9" w:themeColor="background1" w:themeShade="D9"/>
                    <w:right w:val="nil"/>
                  </w:tcBorders>
                  <w:shd w:val="clear" w:color="auto" w:fill="auto"/>
                  <w:vAlign w:val="bottom"/>
                </w:tcPr>
                <w:p w14:paraId="7954CD13" w14:textId="77777777" w:rsidR="00F05DC7" w:rsidRPr="00911F46" w:rsidRDefault="00F05DC7" w:rsidP="00A3786D">
                  <w:pPr>
                    <w:pStyle w:val="TableBodyText"/>
                  </w:pPr>
                  <w:r w:rsidRPr="00911F46">
                    <w:rPr>
                      <w:color w:val="000000"/>
                    </w:rPr>
                    <w:t>0.38</w:t>
                  </w:r>
                </w:p>
              </w:tc>
              <w:tc>
                <w:tcPr>
                  <w:tcW w:w="556" w:type="pct"/>
                  <w:tcBorders>
                    <w:top w:val="nil"/>
                    <w:left w:val="nil"/>
                    <w:bottom w:val="single" w:sz="6" w:space="0" w:color="D9D9D9" w:themeColor="background1" w:themeShade="D9"/>
                    <w:right w:val="nil"/>
                  </w:tcBorders>
                  <w:shd w:val="clear" w:color="auto" w:fill="auto"/>
                  <w:vAlign w:val="bottom"/>
                </w:tcPr>
                <w:p w14:paraId="7954CD14" w14:textId="77777777" w:rsidR="00F05DC7" w:rsidRPr="00911F46" w:rsidRDefault="00F05DC7" w:rsidP="00A3786D">
                  <w:pPr>
                    <w:pStyle w:val="TableBodyText"/>
                  </w:pPr>
                  <w:r>
                    <w:rPr>
                      <w:color w:val="000000"/>
                    </w:rPr>
                    <w:noBreakHyphen/>
                  </w:r>
                  <w:r w:rsidRPr="00911F46">
                    <w:rPr>
                      <w:color w:val="000000"/>
                    </w:rPr>
                    <w:t>2.06</w:t>
                  </w:r>
                </w:p>
              </w:tc>
              <w:tc>
                <w:tcPr>
                  <w:tcW w:w="556" w:type="pct"/>
                  <w:tcBorders>
                    <w:top w:val="nil"/>
                    <w:left w:val="nil"/>
                    <w:bottom w:val="single" w:sz="6" w:space="0" w:color="D9D9D9" w:themeColor="background1" w:themeShade="D9"/>
                    <w:right w:val="nil"/>
                  </w:tcBorders>
                  <w:shd w:val="clear" w:color="auto" w:fill="auto"/>
                  <w:vAlign w:val="bottom"/>
                </w:tcPr>
                <w:p w14:paraId="7954CD15" w14:textId="77777777" w:rsidR="00F05DC7" w:rsidRPr="00911F46" w:rsidRDefault="00F05DC7" w:rsidP="00A3786D">
                  <w:pPr>
                    <w:pStyle w:val="TableBodyText"/>
                  </w:pPr>
                  <w:r w:rsidRPr="00911F46">
                    <w:rPr>
                      <w:color w:val="000000"/>
                    </w:rPr>
                    <w:t>4.61</w:t>
                  </w:r>
                </w:p>
              </w:tc>
              <w:tc>
                <w:tcPr>
                  <w:tcW w:w="555" w:type="pct"/>
                  <w:tcBorders>
                    <w:top w:val="nil"/>
                    <w:left w:val="nil"/>
                    <w:bottom w:val="single" w:sz="6" w:space="0" w:color="D9D9D9" w:themeColor="background1" w:themeShade="D9"/>
                    <w:right w:val="nil"/>
                  </w:tcBorders>
                  <w:shd w:val="clear" w:color="auto" w:fill="auto"/>
                  <w:vAlign w:val="bottom"/>
                </w:tcPr>
                <w:p w14:paraId="7954CD16" w14:textId="77777777" w:rsidR="00F05DC7" w:rsidRPr="00911F46" w:rsidRDefault="00F05DC7" w:rsidP="00A3786D">
                  <w:pPr>
                    <w:pStyle w:val="TableBodyText"/>
                  </w:pPr>
                  <w:r>
                    <w:rPr>
                      <w:color w:val="000000"/>
                    </w:rPr>
                    <w:noBreakHyphen/>
                  </w:r>
                  <w:r w:rsidRPr="00911F46">
                    <w:rPr>
                      <w:color w:val="000000"/>
                    </w:rPr>
                    <w:t>2.12</w:t>
                  </w:r>
                </w:p>
              </w:tc>
              <w:tc>
                <w:tcPr>
                  <w:tcW w:w="555" w:type="pct"/>
                  <w:tcBorders>
                    <w:top w:val="nil"/>
                    <w:left w:val="nil"/>
                    <w:bottom w:val="single" w:sz="6" w:space="0" w:color="D9D9D9" w:themeColor="background1" w:themeShade="D9"/>
                    <w:right w:val="nil"/>
                  </w:tcBorders>
                  <w:shd w:val="clear" w:color="auto" w:fill="auto"/>
                  <w:vAlign w:val="bottom"/>
                </w:tcPr>
                <w:p w14:paraId="7954CD17" w14:textId="77777777" w:rsidR="00F05DC7" w:rsidRPr="00911F46" w:rsidRDefault="00F05DC7" w:rsidP="00A3786D">
                  <w:pPr>
                    <w:pStyle w:val="TableBodyText"/>
                  </w:pPr>
                  <w:r>
                    <w:rPr>
                      <w:color w:val="000000"/>
                    </w:rPr>
                    <w:noBreakHyphen/>
                  </w:r>
                  <w:r w:rsidRPr="00911F46">
                    <w:rPr>
                      <w:color w:val="000000"/>
                    </w:rPr>
                    <w:t>2.05</w:t>
                  </w:r>
                </w:p>
              </w:tc>
              <w:tc>
                <w:tcPr>
                  <w:tcW w:w="555" w:type="pct"/>
                  <w:tcBorders>
                    <w:top w:val="nil"/>
                    <w:left w:val="nil"/>
                    <w:bottom w:val="single" w:sz="6" w:space="0" w:color="D9D9D9" w:themeColor="background1" w:themeShade="D9"/>
                    <w:right w:val="nil"/>
                  </w:tcBorders>
                  <w:shd w:val="clear" w:color="auto" w:fill="auto"/>
                  <w:vAlign w:val="bottom"/>
                </w:tcPr>
                <w:p w14:paraId="7954CD18" w14:textId="77777777" w:rsidR="00F05DC7" w:rsidRPr="00911F46" w:rsidRDefault="00F05DC7" w:rsidP="00A3786D">
                  <w:pPr>
                    <w:pStyle w:val="TableBodyText"/>
                  </w:pPr>
                  <w:r>
                    <w:rPr>
                      <w:color w:val="000000"/>
                    </w:rPr>
                    <w:noBreakHyphen/>
                  </w:r>
                  <w:r w:rsidRPr="00911F46">
                    <w:rPr>
                      <w:color w:val="000000"/>
                    </w:rPr>
                    <w:t>1.62</w:t>
                  </w:r>
                </w:p>
              </w:tc>
              <w:tc>
                <w:tcPr>
                  <w:tcW w:w="553" w:type="pct"/>
                  <w:tcBorders>
                    <w:top w:val="nil"/>
                    <w:left w:val="nil"/>
                    <w:bottom w:val="single" w:sz="6" w:space="0" w:color="D9D9D9" w:themeColor="background1" w:themeShade="D9"/>
                    <w:right w:val="nil"/>
                  </w:tcBorders>
                  <w:shd w:val="clear" w:color="auto" w:fill="auto"/>
                  <w:vAlign w:val="bottom"/>
                </w:tcPr>
                <w:p w14:paraId="7954CD19" w14:textId="77777777" w:rsidR="00F05DC7" w:rsidRPr="00911F46" w:rsidRDefault="00F05DC7" w:rsidP="00A3786D">
                  <w:pPr>
                    <w:pStyle w:val="TableBodyText"/>
                  </w:pPr>
                  <w:r>
                    <w:rPr>
                      <w:color w:val="000000"/>
                    </w:rPr>
                    <w:noBreakHyphen/>
                  </w:r>
                  <w:r w:rsidRPr="00911F46">
                    <w:rPr>
                      <w:color w:val="000000"/>
                    </w:rPr>
                    <w:t>0.92</w:t>
                  </w:r>
                </w:p>
              </w:tc>
            </w:tr>
          </w:tbl>
          <w:p w14:paraId="7954CD1B" w14:textId="77777777" w:rsidR="00F05DC7" w:rsidRPr="006C0046" w:rsidRDefault="00F05DC7" w:rsidP="00A3786D">
            <w:pPr>
              <w:pStyle w:val="Box"/>
              <w:rPr>
                <w:rFonts w:asciiTheme="minorHAnsi" w:hAnsiTheme="minorHAnsi" w:cstheme="minorHAnsi"/>
                <w:sz w:val="18"/>
                <w:szCs w:val="18"/>
              </w:rPr>
            </w:pPr>
          </w:p>
        </w:tc>
      </w:tr>
      <w:tr w:rsidR="00F05DC7" w14:paraId="7954CD1E" w14:textId="77777777" w:rsidTr="00A3786D">
        <w:tc>
          <w:tcPr>
            <w:tcW w:w="5000" w:type="pct"/>
            <w:tcBorders>
              <w:top w:val="nil"/>
              <w:left w:val="nil"/>
              <w:bottom w:val="nil"/>
              <w:right w:val="nil"/>
            </w:tcBorders>
            <w:shd w:val="clear" w:color="auto" w:fill="auto"/>
          </w:tcPr>
          <w:p w14:paraId="7954CD1D" w14:textId="77777777" w:rsidR="00F05DC7" w:rsidRDefault="00F05DC7" w:rsidP="00A3786D">
            <w:pPr>
              <w:pStyle w:val="Source"/>
            </w:pPr>
            <w:r w:rsidRPr="00355172">
              <w:rPr>
                <w:i/>
              </w:rPr>
              <w:t>Source</w:t>
            </w:r>
            <w:r w:rsidRPr="00676CAE">
              <w:t>:</w:t>
            </w:r>
            <w:r w:rsidRPr="00355172">
              <w:rPr>
                <w:i/>
              </w:rPr>
              <w:t xml:space="preserve"> </w:t>
            </w:r>
            <w:r w:rsidRPr="00676CAE">
              <w:t>Productivity Commission estimates.</w:t>
            </w:r>
            <w:r>
              <w:rPr>
                <w:i/>
              </w:rPr>
              <w:t xml:space="preserve"> </w:t>
            </w:r>
          </w:p>
        </w:tc>
      </w:tr>
      <w:tr w:rsidR="00F05DC7" w14:paraId="7954CD20" w14:textId="77777777" w:rsidTr="00A3786D">
        <w:tc>
          <w:tcPr>
            <w:tcW w:w="5000" w:type="pct"/>
            <w:tcBorders>
              <w:top w:val="nil"/>
              <w:left w:val="nil"/>
              <w:bottom w:val="single" w:sz="6" w:space="0" w:color="78A22F"/>
              <w:right w:val="nil"/>
            </w:tcBorders>
            <w:shd w:val="clear" w:color="auto" w:fill="auto"/>
          </w:tcPr>
          <w:p w14:paraId="7954CD1F" w14:textId="77777777" w:rsidR="00F05DC7" w:rsidRDefault="00F05DC7" w:rsidP="00A3786D">
            <w:pPr>
              <w:pStyle w:val="Box"/>
              <w:spacing w:before="0" w:line="120" w:lineRule="exact"/>
            </w:pPr>
          </w:p>
        </w:tc>
      </w:tr>
      <w:tr w:rsidR="00F05DC7" w:rsidRPr="000863A5" w14:paraId="7954CD22" w14:textId="77777777" w:rsidTr="00A3786D">
        <w:tc>
          <w:tcPr>
            <w:tcW w:w="5000" w:type="pct"/>
            <w:tcBorders>
              <w:top w:val="single" w:sz="6" w:space="0" w:color="78A22F"/>
              <w:left w:val="nil"/>
              <w:bottom w:val="nil"/>
              <w:right w:val="nil"/>
            </w:tcBorders>
          </w:tcPr>
          <w:p w14:paraId="7954CD21" w14:textId="77777777" w:rsidR="00F05DC7" w:rsidRPr="00626D32" w:rsidRDefault="00F05DC7" w:rsidP="00A3786D">
            <w:pPr>
              <w:pStyle w:val="BoxSpaceBelow"/>
            </w:pPr>
          </w:p>
        </w:tc>
      </w:tr>
    </w:tbl>
    <w:p w14:paraId="7954CD23"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D26" w14:textId="77777777" w:rsidTr="00A3786D">
        <w:trPr>
          <w:tblHeader/>
        </w:trPr>
        <w:tc>
          <w:tcPr>
            <w:tcW w:w="5000" w:type="pct"/>
            <w:tcBorders>
              <w:top w:val="single" w:sz="6" w:space="0" w:color="78A22F"/>
              <w:left w:val="nil"/>
              <w:bottom w:val="nil"/>
              <w:right w:val="nil"/>
            </w:tcBorders>
            <w:shd w:val="clear" w:color="auto" w:fill="auto"/>
          </w:tcPr>
          <w:p w14:paraId="7954CD24" w14:textId="42B03CC1" w:rsidR="00F05DC7" w:rsidRDefault="00F05DC7" w:rsidP="00A3786D">
            <w:pPr>
              <w:pStyle w:val="TableTitle"/>
            </w:pPr>
            <w:r>
              <w:rPr>
                <w:b w:val="0"/>
              </w:rPr>
              <w:t>Table F.A2</w:t>
            </w:r>
            <w:r>
              <w:tab/>
              <w:t>Alternative scenario (long run trend): projected c</w:t>
            </w:r>
            <w:r w:rsidRPr="00920444">
              <w:t>hange</w:t>
            </w:r>
            <w:r>
              <w:t xml:space="preserve"> in</w:t>
            </w:r>
            <w:r w:rsidRPr="00920444">
              <w:t xml:space="preserve"> GST </w:t>
            </w:r>
            <w:r>
              <w:t xml:space="preserve">due to change in the benchmark to ETA </w:t>
            </w:r>
          </w:p>
          <w:p w14:paraId="7954CD25" w14:textId="77777777" w:rsidR="00F05DC7" w:rsidRPr="00784A05" w:rsidRDefault="00F05DC7" w:rsidP="00A3786D">
            <w:pPr>
              <w:pStyle w:val="Subtitle"/>
            </w:pPr>
            <w:r>
              <w:t>Eight year transition</w:t>
            </w:r>
          </w:p>
        </w:tc>
      </w:tr>
      <w:tr w:rsidR="00F05DC7" w14:paraId="7954CE28"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CD30"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D27"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CD28"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CD29"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CD2A"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CD2B"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CD2C"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CD2D"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CD2E"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CD2F"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CD32" w14:textId="77777777" w:rsidTr="00A3786D">
              <w:tc>
                <w:tcPr>
                  <w:tcW w:w="5000" w:type="pct"/>
                  <w:gridSpan w:val="9"/>
                  <w:tcBorders>
                    <w:top w:val="single" w:sz="6" w:space="0" w:color="BFBFBF"/>
                  </w:tcBorders>
                  <w:shd w:val="clear" w:color="auto" w:fill="F2F2F2" w:themeFill="background1" w:themeFillShade="F2"/>
                </w:tcPr>
                <w:p w14:paraId="7954CD31"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CD3C" w14:textId="77777777" w:rsidTr="00A3786D">
              <w:tc>
                <w:tcPr>
                  <w:tcW w:w="556" w:type="pct"/>
                  <w:vAlign w:val="bottom"/>
                </w:tcPr>
                <w:p w14:paraId="7954CD33"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CD34" w14:textId="77777777" w:rsidR="00F05DC7" w:rsidRPr="00A75ED1" w:rsidRDefault="00F05DC7" w:rsidP="00A3786D">
                  <w:pPr>
                    <w:pStyle w:val="TableBodyText"/>
                    <w:rPr>
                      <w:rFonts w:cs="Arial"/>
                      <w:szCs w:val="18"/>
                    </w:rPr>
                  </w:pPr>
                  <w:r w:rsidRPr="00A75ED1">
                    <w:rPr>
                      <w:rFonts w:cs="Arial"/>
                      <w:color w:val="000000"/>
                      <w:szCs w:val="18"/>
                    </w:rPr>
                    <w:t>88</w:t>
                  </w:r>
                </w:p>
              </w:tc>
              <w:tc>
                <w:tcPr>
                  <w:tcW w:w="557" w:type="pct"/>
                  <w:tcBorders>
                    <w:top w:val="nil"/>
                    <w:left w:val="nil"/>
                    <w:bottom w:val="nil"/>
                    <w:right w:val="nil"/>
                  </w:tcBorders>
                  <w:shd w:val="clear" w:color="auto" w:fill="auto"/>
                  <w:vAlign w:val="bottom"/>
                </w:tcPr>
                <w:p w14:paraId="7954CD3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157</w:t>
                  </w:r>
                </w:p>
              </w:tc>
              <w:tc>
                <w:tcPr>
                  <w:tcW w:w="556" w:type="pct"/>
                  <w:tcBorders>
                    <w:top w:val="nil"/>
                    <w:left w:val="nil"/>
                    <w:bottom w:val="nil"/>
                    <w:right w:val="nil"/>
                  </w:tcBorders>
                  <w:shd w:val="clear" w:color="auto" w:fill="auto"/>
                  <w:vAlign w:val="bottom"/>
                </w:tcPr>
                <w:p w14:paraId="7954CD3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168</w:t>
                  </w:r>
                </w:p>
              </w:tc>
              <w:tc>
                <w:tcPr>
                  <w:tcW w:w="556" w:type="pct"/>
                  <w:tcBorders>
                    <w:top w:val="nil"/>
                    <w:left w:val="nil"/>
                    <w:bottom w:val="nil"/>
                    <w:right w:val="nil"/>
                  </w:tcBorders>
                  <w:shd w:val="clear" w:color="auto" w:fill="auto"/>
                  <w:vAlign w:val="bottom"/>
                </w:tcPr>
                <w:p w14:paraId="7954CD37" w14:textId="77777777" w:rsidR="00F05DC7" w:rsidRPr="00A75ED1" w:rsidRDefault="00F05DC7" w:rsidP="00A3786D">
                  <w:pPr>
                    <w:pStyle w:val="TableBodyText"/>
                    <w:rPr>
                      <w:rFonts w:cs="Arial"/>
                      <w:szCs w:val="18"/>
                    </w:rPr>
                  </w:pPr>
                  <w:r w:rsidRPr="00A75ED1">
                    <w:rPr>
                      <w:rFonts w:cs="Arial"/>
                      <w:color w:val="000000"/>
                      <w:szCs w:val="18"/>
                    </w:rPr>
                    <w:t>334</w:t>
                  </w:r>
                </w:p>
              </w:tc>
              <w:tc>
                <w:tcPr>
                  <w:tcW w:w="555" w:type="pct"/>
                  <w:tcBorders>
                    <w:top w:val="nil"/>
                    <w:left w:val="nil"/>
                    <w:bottom w:val="nil"/>
                    <w:right w:val="nil"/>
                  </w:tcBorders>
                  <w:shd w:val="clear" w:color="auto" w:fill="auto"/>
                  <w:vAlign w:val="bottom"/>
                </w:tcPr>
                <w:p w14:paraId="7954CD3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58</w:t>
                  </w:r>
                </w:p>
              </w:tc>
              <w:tc>
                <w:tcPr>
                  <w:tcW w:w="555" w:type="pct"/>
                  <w:tcBorders>
                    <w:top w:val="nil"/>
                    <w:left w:val="nil"/>
                    <w:bottom w:val="nil"/>
                    <w:right w:val="nil"/>
                  </w:tcBorders>
                  <w:shd w:val="clear" w:color="auto" w:fill="auto"/>
                  <w:vAlign w:val="bottom"/>
                </w:tcPr>
                <w:p w14:paraId="7954CD3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w:t>
                  </w:r>
                </w:p>
              </w:tc>
              <w:tc>
                <w:tcPr>
                  <w:tcW w:w="555" w:type="pct"/>
                  <w:tcBorders>
                    <w:top w:val="nil"/>
                    <w:left w:val="nil"/>
                    <w:bottom w:val="nil"/>
                    <w:right w:val="nil"/>
                  </w:tcBorders>
                  <w:shd w:val="clear" w:color="auto" w:fill="auto"/>
                  <w:vAlign w:val="bottom"/>
                </w:tcPr>
                <w:p w14:paraId="7954CD3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w:t>
                  </w:r>
                </w:p>
              </w:tc>
              <w:tc>
                <w:tcPr>
                  <w:tcW w:w="553" w:type="pct"/>
                  <w:tcBorders>
                    <w:top w:val="nil"/>
                    <w:left w:val="nil"/>
                    <w:bottom w:val="nil"/>
                    <w:right w:val="nil"/>
                  </w:tcBorders>
                  <w:shd w:val="clear" w:color="auto" w:fill="auto"/>
                  <w:vAlign w:val="bottom"/>
                </w:tcPr>
                <w:p w14:paraId="7954CD3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8 </w:t>
                  </w:r>
                </w:p>
              </w:tc>
            </w:tr>
            <w:tr w:rsidR="00F05DC7" w:rsidRPr="00A75ED1" w14:paraId="7954CD46" w14:textId="77777777" w:rsidTr="00A3786D">
              <w:tc>
                <w:tcPr>
                  <w:tcW w:w="556" w:type="pct"/>
                  <w:vAlign w:val="bottom"/>
                </w:tcPr>
                <w:p w14:paraId="7954CD3D"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CD3E" w14:textId="77777777" w:rsidR="00F05DC7" w:rsidRPr="00A75ED1" w:rsidRDefault="00F05DC7" w:rsidP="00A3786D">
                  <w:pPr>
                    <w:pStyle w:val="TableBodyText"/>
                    <w:rPr>
                      <w:rFonts w:cs="Arial"/>
                      <w:szCs w:val="18"/>
                    </w:rPr>
                  </w:pPr>
                  <w:r w:rsidRPr="00A75ED1">
                    <w:rPr>
                      <w:rFonts w:cs="Arial"/>
                      <w:color w:val="000000"/>
                      <w:szCs w:val="18"/>
                    </w:rPr>
                    <w:t>144</w:t>
                  </w:r>
                </w:p>
              </w:tc>
              <w:tc>
                <w:tcPr>
                  <w:tcW w:w="557" w:type="pct"/>
                  <w:tcBorders>
                    <w:top w:val="nil"/>
                    <w:left w:val="nil"/>
                    <w:bottom w:val="nil"/>
                    <w:right w:val="nil"/>
                  </w:tcBorders>
                  <w:shd w:val="clear" w:color="auto" w:fill="auto"/>
                  <w:vAlign w:val="bottom"/>
                </w:tcPr>
                <w:p w14:paraId="7954CD3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234</w:t>
                  </w:r>
                </w:p>
              </w:tc>
              <w:tc>
                <w:tcPr>
                  <w:tcW w:w="556" w:type="pct"/>
                  <w:tcBorders>
                    <w:top w:val="nil"/>
                    <w:left w:val="nil"/>
                    <w:bottom w:val="nil"/>
                    <w:right w:val="nil"/>
                  </w:tcBorders>
                  <w:shd w:val="clear" w:color="auto" w:fill="auto"/>
                  <w:vAlign w:val="bottom"/>
                </w:tcPr>
                <w:p w14:paraId="7954CD4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334</w:t>
                  </w:r>
                </w:p>
              </w:tc>
              <w:tc>
                <w:tcPr>
                  <w:tcW w:w="556" w:type="pct"/>
                  <w:tcBorders>
                    <w:top w:val="nil"/>
                    <w:left w:val="nil"/>
                    <w:bottom w:val="nil"/>
                    <w:right w:val="nil"/>
                  </w:tcBorders>
                  <w:shd w:val="clear" w:color="auto" w:fill="auto"/>
                  <w:vAlign w:val="bottom"/>
                </w:tcPr>
                <w:p w14:paraId="7954CD41" w14:textId="77777777" w:rsidR="00F05DC7" w:rsidRPr="00A75ED1" w:rsidRDefault="00F05DC7" w:rsidP="00A3786D">
                  <w:pPr>
                    <w:pStyle w:val="TableBodyText"/>
                    <w:rPr>
                      <w:rFonts w:cs="Arial"/>
                      <w:szCs w:val="18"/>
                    </w:rPr>
                  </w:pPr>
                  <w:r w:rsidRPr="00A75ED1">
                    <w:rPr>
                      <w:rFonts w:cs="Arial"/>
                      <w:color w:val="000000"/>
                      <w:szCs w:val="18"/>
                    </w:rPr>
                    <w:t>616</w:t>
                  </w:r>
                </w:p>
              </w:tc>
              <w:tc>
                <w:tcPr>
                  <w:tcW w:w="555" w:type="pct"/>
                  <w:tcBorders>
                    <w:top w:val="nil"/>
                    <w:left w:val="nil"/>
                    <w:bottom w:val="nil"/>
                    <w:right w:val="nil"/>
                  </w:tcBorders>
                  <w:shd w:val="clear" w:color="auto" w:fill="auto"/>
                  <w:vAlign w:val="bottom"/>
                </w:tcPr>
                <w:p w14:paraId="7954CD4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114</w:t>
                  </w:r>
                </w:p>
              </w:tc>
              <w:tc>
                <w:tcPr>
                  <w:tcW w:w="555" w:type="pct"/>
                  <w:tcBorders>
                    <w:top w:val="nil"/>
                    <w:left w:val="nil"/>
                    <w:bottom w:val="nil"/>
                    <w:right w:val="nil"/>
                  </w:tcBorders>
                  <w:shd w:val="clear" w:color="auto" w:fill="auto"/>
                  <w:vAlign w:val="bottom"/>
                </w:tcPr>
                <w:p w14:paraId="7954CD4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w:t>
                  </w:r>
                </w:p>
              </w:tc>
              <w:tc>
                <w:tcPr>
                  <w:tcW w:w="555" w:type="pct"/>
                  <w:tcBorders>
                    <w:top w:val="nil"/>
                    <w:left w:val="nil"/>
                    <w:bottom w:val="nil"/>
                    <w:right w:val="nil"/>
                  </w:tcBorders>
                  <w:shd w:val="clear" w:color="auto" w:fill="auto"/>
                  <w:vAlign w:val="bottom"/>
                </w:tcPr>
                <w:p w14:paraId="7954CD4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28</w:t>
                  </w:r>
                </w:p>
              </w:tc>
              <w:tc>
                <w:tcPr>
                  <w:tcW w:w="553" w:type="pct"/>
                  <w:tcBorders>
                    <w:top w:val="nil"/>
                    <w:left w:val="nil"/>
                    <w:bottom w:val="nil"/>
                    <w:right w:val="nil"/>
                  </w:tcBorders>
                  <w:shd w:val="clear" w:color="auto" w:fill="auto"/>
                  <w:vAlign w:val="bottom"/>
                </w:tcPr>
                <w:p w14:paraId="7954CD4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16 </w:t>
                  </w:r>
                </w:p>
              </w:tc>
            </w:tr>
            <w:tr w:rsidR="00F05DC7" w:rsidRPr="00A75ED1" w14:paraId="7954CD50" w14:textId="77777777" w:rsidTr="00A3786D">
              <w:tc>
                <w:tcPr>
                  <w:tcW w:w="556" w:type="pct"/>
                  <w:vAlign w:val="bottom"/>
                </w:tcPr>
                <w:p w14:paraId="7954CD47"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CD48" w14:textId="77777777" w:rsidR="00F05DC7" w:rsidRPr="00A75ED1" w:rsidRDefault="00F05DC7" w:rsidP="00A3786D">
                  <w:pPr>
                    <w:pStyle w:val="TableBodyText"/>
                    <w:rPr>
                      <w:rFonts w:cs="Arial"/>
                      <w:szCs w:val="18"/>
                    </w:rPr>
                  </w:pPr>
                  <w:r w:rsidRPr="00A75ED1">
                    <w:rPr>
                      <w:rFonts w:cs="Arial"/>
                      <w:color w:val="000000"/>
                      <w:szCs w:val="18"/>
                    </w:rPr>
                    <w:t>159</w:t>
                  </w:r>
                </w:p>
              </w:tc>
              <w:tc>
                <w:tcPr>
                  <w:tcW w:w="557" w:type="pct"/>
                  <w:tcBorders>
                    <w:top w:val="nil"/>
                    <w:left w:val="nil"/>
                    <w:bottom w:val="nil"/>
                    <w:right w:val="nil"/>
                  </w:tcBorders>
                  <w:shd w:val="clear" w:color="auto" w:fill="auto"/>
                  <w:vAlign w:val="bottom"/>
                </w:tcPr>
                <w:p w14:paraId="7954CD4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212</w:t>
                  </w:r>
                </w:p>
              </w:tc>
              <w:tc>
                <w:tcPr>
                  <w:tcW w:w="556" w:type="pct"/>
                  <w:tcBorders>
                    <w:top w:val="nil"/>
                    <w:left w:val="nil"/>
                    <w:bottom w:val="nil"/>
                    <w:right w:val="nil"/>
                  </w:tcBorders>
                  <w:shd w:val="clear" w:color="auto" w:fill="auto"/>
                  <w:vAlign w:val="bottom"/>
                </w:tcPr>
                <w:p w14:paraId="7954CD4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497</w:t>
                  </w:r>
                </w:p>
              </w:tc>
              <w:tc>
                <w:tcPr>
                  <w:tcW w:w="556" w:type="pct"/>
                  <w:tcBorders>
                    <w:top w:val="nil"/>
                    <w:left w:val="nil"/>
                    <w:bottom w:val="nil"/>
                    <w:right w:val="nil"/>
                  </w:tcBorders>
                  <w:shd w:val="clear" w:color="auto" w:fill="auto"/>
                  <w:vAlign w:val="bottom"/>
                </w:tcPr>
                <w:p w14:paraId="7954CD4B" w14:textId="77777777" w:rsidR="00F05DC7" w:rsidRPr="00A75ED1" w:rsidRDefault="00F05DC7" w:rsidP="00A3786D">
                  <w:pPr>
                    <w:pStyle w:val="TableBodyText"/>
                    <w:rPr>
                      <w:rFonts w:cs="Arial"/>
                      <w:szCs w:val="18"/>
                    </w:rPr>
                  </w:pPr>
                  <w:r w:rsidRPr="00A75ED1">
                    <w:rPr>
                      <w:rFonts w:cs="Arial"/>
                      <w:color w:val="000000"/>
                      <w:szCs w:val="18"/>
                    </w:rPr>
                    <w:t>834</w:t>
                  </w:r>
                </w:p>
              </w:tc>
              <w:tc>
                <w:tcPr>
                  <w:tcW w:w="555" w:type="pct"/>
                  <w:tcBorders>
                    <w:top w:val="nil"/>
                    <w:left w:val="nil"/>
                    <w:bottom w:val="nil"/>
                    <w:right w:val="nil"/>
                  </w:tcBorders>
                  <w:shd w:val="clear" w:color="auto" w:fill="auto"/>
                  <w:vAlign w:val="bottom"/>
                </w:tcPr>
                <w:p w14:paraId="7954CD4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169</w:t>
                  </w:r>
                </w:p>
              </w:tc>
              <w:tc>
                <w:tcPr>
                  <w:tcW w:w="555" w:type="pct"/>
                  <w:tcBorders>
                    <w:top w:val="nil"/>
                    <w:left w:val="nil"/>
                    <w:bottom w:val="nil"/>
                    <w:right w:val="nil"/>
                  </w:tcBorders>
                  <w:shd w:val="clear" w:color="auto" w:fill="auto"/>
                  <w:vAlign w:val="bottom"/>
                </w:tcPr>
                <w:p w14:paraId="7954CD4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51</w:t>
                  </w:r>
                </w:p>
              </w:tc>
              <w:tc>
                <w:tcPr>
                  <w:tcW w:w="555" w:type="pct"/>
                  <w:tcBorders>
                    <w:top w:val="nil"/>
                    <w:left w:val="nil"/>
                    <w:bottom w:val="nil"/>
                    <w:right w:val="nil"/>
                  </w:tcBorders>
                  <w:shd w:val="clear" w:color="auto" w:fill="auto"/>
                  <w:vAlign w:val="bottom"/>
                </w:tcPr>
                <w:p w14:paraId="7954CD4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42</w:t>
                  </w:r>
                </w:p>
              </w:tc>
              <w:tc>
                <w:tcPr>
                  <w:tcW w:w="553" w:type="pct"/>
                  <w:tcBorders>
                    <w:top w:val="nil"/>
                    <w:left w:val="nil"/>
                    <w:bottom w:val="nil"/>
                    <w:right w:val="nil"/>
                  </w:tcBorders>
                  <w:shd w:val="clear" w:color="auto" w:fill="auto"/>
                  <w:vAlign w:val="bottom"/>
                </w:tcPr>
                <w:p w14:paraId="7954CD4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24 </w:t>
                  </w:r>
                </w:p>
              </w:tc>
            </w:tr>
            <w:tr w:rsidR="00F05DC7" w:rsidRPr="00A75ED1" w14:paraId="7954CD5A" w14:textId="77777777" w:rsidTr="00A3786D">
              <w:tc>
                <w:tcPr>
                  <w:tcW w:w="556" w:type="pct"/>
                </w:tcPr>
                <w:p w14:paraId="7954CD51"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CD52" w14:textId="77777777" w:rsidR="00F05DC7" w:rsidRPr="00A75ED1" w:rsidRDefault="00F05DC7" w:rsidP="00A3786D">
                  <w:pPr>
                    <w:pStyle w:val="TableBodyText"/>
                    <w:rPr>
                      <w:rFonts w:cs="Arial"/>
                      <w:szCs w:val="18"/>
                    </w:rPr>
                  </w:pPr>
                  <w:r w:rsidRPr="00A75ED1">
                    <w:rPr>
                      <w:rFonts w:cs="Arial"/>
                      <w:color w:val="000000"/>
                      <w:szCs w:val="18"/>
                    </w:rPr>
                    <w:t>127</w:t>
                  </w:r>
                </w:p>
              </w:tc>
              <w:tc>
                <w:tcPr>
                  <w:tcW w:w="557" w:type="pct"/>
                  <w:tcBorders>
                    <w:top w:val="nil"/>
                    <w:left w:val="nil"/>
                    <w:bottom w:val="nil"/>
                    <w:right w:val="nil"/>
                  </w:tcBorders>
                  <w:shd w:val="clear" w:color="auto" w:fill="auto"/>
                  <w:vAlign w:val="bottom"/>
                </w:tcPr>
                <w:p w14:paraId="7954CD5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77</w:t>
                  </w:r>
                </w:p>
              </w:tc>
              <w:tc>
                <w:tcPr>
                  <w:tcW w:w="556" w:type="pct"/>
                  <w:tcBorders>
                    <w:top w:val="nil"/>
                    <w:left w:val="nil"/>
                    <w:bottom w:val="nil"/>
                    <w:right w:val="nil"/>
                  </w:tcBorders>
                  <w:shd w:val="clear" w:color="auto" w:fill="auto"/>
                  <w:vAlign w:val="bottom"/>
                </w:tcPr>
                <w:p w14:paraId="7954CD5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654</w:t>
                  </w:r>
                </w:p>
              </w:tc>
              <w:tc>
                <w:tcPr>
                  <w:tcW w:w="556" w:type="pct"/>
                  <w:tcBorders>
                    <w:top w:val="nil"/>
                    <w:left w:val="nil"/>
                    <w:bottom w:val="nil"/>
                    <w:right w:val="nil"/>
                  </w:tcBorders>
                  <w:shd w:val="clear" w:color="auto" w:fill="auto"/>
                  <w:vAlign w:val="bottom"/>
                </w:tcPr>
                <w:p w14:paraId="7954CD55" w14:textId="77777777" w:rsidR="00F05DC7" w:rsidRPr="00A75ED1" w:rsidRDefault="00F05DC7" w:rsidP="00A3786D">
                  <w:pPr>
                    <w:pStyle w:val="TableBodyText"/>
                    <w:rPr>
                      <w:rFonts w:cs="Arial"/>
                      <w:szCs w:val="18"/>
                    </w:rPr>
                  </w:pPr>
                  <w:r w:rsidRPr="00A75ED1">
                    <w:rPr>
                      <w:rFonts w:cs="Arial"/>
                      <w:color w:val="000000"/>
                      <w:szCs w:val="18"/>
                    </w:rPr>
                    <w:t>976</w:t>
                  </w:r>
                </w:p>
              </w:tc>
              <w:tc>
                <w:tcPr>
                  <w:tcW w:w="555" w:type="pct"/>
                  <w:tcBorders>
                    <w:top w:val="nil"/>
                    <w:left w:val="nil"/>
                    <w:bottom w:val="nil"/>
                    <w:right w:val="nil"/>
                  </w:tcBorders>
                  <w:shd w:val="clear" w:color="auto" w:fill="auto"/>
                  <w:vAlign w:val="bottom"/>
                </w:tcPr>
                <w:p w14:paraId="7954CD5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221</w:t>
                  </w:r>
                </w:p>
              </w:tc>
              <w:tc>
                <w:tcPr>
                  <w:tcW w:w="555" w:type="pct"/>
                  <w:tcBorders>
                    <w:top w:val="nil"/>
                    <w:left w:val="nil"/>
                    <w:bottom w:val="nil"/>
                    <w:right w:val="nil"/>
                  </w:tcBorders>
                  <w:shd w:val="clear" w:color="auto" w:fill="auto"/>
                  <w:vAlign w:val="bottom"/>
                </w:tcPr>
                <w:p w14:paraId="7954CD5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c>
                <w:tcPr>
                  <w:tcW w:w="555" w:type="pct"/>
                  <w:tcBorders>
                    <w:top w:val="nil"/>
                    <w:left w:val="nil"/>
                    <w:bottom w:val="nil"/>
                    <w:right w:val="nil"/>
                  </w:tcBorders>
                  <w:shd w:val="clear" w:color="auto" w:fill="auto"/>
                  <w:vAlign w:val="bottom"/>
                </w:tcPr>
                <w:p w14:paraId="7954CD5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55</w:t>
                  </w:r>
                </w:p>
              </w:tc>
              <w:tc>
                <w:tcPr>
                  <w:tcW w:w="553" w:type="pct"/>
                  <w:tcBorders>
                    <w:top w:val="nil"/>
                    <w:left w:val="nil"/>
                    <w:bottom w:val="nil"/>
                    <w:right w:val="nil"/>
                  </w:tcBorders>
                  <w:shd w:val="clear" w:color="auto" w:fill="auto"/>
                  <w:vAlign w:val="bottom"/>
                </w:tcPr>
                <w:p w14:paraId="7954CD5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31 </w:t>
                  </w:r>
                </w:p>
              </w:tc>
            </w:tr>
            <w:tr w:rsidR="00F05DC7" w:rsidRPr="00A75ED1" w14:paraId="7954CD64" w14:textId="77777777" w:rsidTr="00A3786D">
              <w:tc>
                <w:tcPr>
                  <w:tcW w:w="556" w:type="pct"/>
                </w:tcPr>
                <w:p w14:paraId="7954CD5B"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D5C" w14:textId="77777777" w:rsidR="00F05DC7" w:rsidRPr="00A75ED1" w:rsidRDefault="00F05DC7" w:rsidP="00A3786D">
                  <w:pPr>
                    <w:pStyle w:val="TableBodyText"/>
                    <w:rPr>
                      <w:rFonts w:cs="Arial"/>
                      <w:szCs w:val="18"/>
                    </w:rPr>
                  </w:pPr>
                  <w:r w:rsidRPr="00A75ED1">
                    <w:rPr>
                      <w:rFonts w:cs="Arial"/>
                      <w:color w:val="000000"/>
                      <w:szCs w:val="18"/>
                    </w:rPr>
                    <w:t>38</w:t>
                  </w:r>
                </w:p>
              </w:tc>
              <w:tc>
                <w:tcPr>
                  <w:tcW w:w="557" w:type="pct"/>
                  <w:tcBorders>
                    <w:top w:val="nil"/>
                    <w:left w:val="nil"/>
                    <w:bottom w:val="nil"/>
                    <w:right w:val="nil"/>
                  </w:tcBorders>
                  <w:shd w:val="clear" w:color="auto" w:fill="auto"/>
                  <w:vAlign w:val="bottom"/>
                </w:tcPr>
                <w:p w14:paraId="7954CD5D" w14:textId="77777777" w:rsidR="00F05DC7" w:rsidRPr="00A75ED1" w:rsidRDefault="00F05DC7" w:rsidP="00A3786D">
                  <w:pPr>
                    <w:pStyle w:val="TableBodyText"/>
                    <w:rPr>
                      <w:rFonts w:cs="Arial"/>
                      <w:szCs w:val="18"/>
                    </w:rPr>
                  </w:pPr>
                  <w:r w:rsidRPr="00A75ED1">
                    <w:rPr>
                      <w:rFonts w:cs="Arial"/>
                      <w:color w:val="000000"/>
                      <w:szCs w:val="18"/>
                    </w:rPr>
                    <w:t>192</w:t>
                  </w:r>
                </w:p>
              </w:tc>
              <w:tc>
                <w:tcPr>
                  <w:tcW w:w="556" w:type="pct"/>
                  <w:tcBorders>
                    <w:top w:val="nil"/>
                    <w:left w:val="nil"/>
                    <w:bottom w:val="nil"/>
                    <w:right w:val="nil"/>
                  </w:tcBorders>
                  <w:shd w:val="clear" w:color="auto" w:fill="auto"/>
                  <w:vAlign w:val="bottom"/>
                </w:tcPr>
                <w:p w14:paraId="7954CD5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804</w:t>
                  </w:r>
                </w:p>
              </w:tc>
              <w:tc>
                <w:tcPr>
                  <w:tcW w:w="556" w:type="pct"/>
                  <w:tcBorders>
                    <w:top w:val="nil"/>
                    <w:left w:val="nil"/>
                    <w:bottom w:val="nil"/>
                    <w:right w:val="nil"/>
                  </w:tcBorders>
                  <w:shd w:val="clear" w:color="auto" w:fill="auto"/>
                  <w:vAlign w:val="bottom"/>
                </w:tcPr>
                <w:p w14:paraId="7954CD5F" w14:textId="77777777" w:rsidR="00F05DC7" w:rsidRPr="00A75ED1" w:rsidRDefault="00F05DC7" w:rsidP="00A3786D">
                  <w:pPr>
                    <w:pStyle w:val="TableBodyText"/>
                    <w:rPr>
                      <w:rFonts w:cs="Arial"/>
                      <w:szCs w:val="18"/>
                    </w:rPr>
                  </w:pPr>
                  <w:r w:rsidRPr="00A75ED1">
                    <w:rPr>
                      <w:rFonts w:cs="Arial"/>
                      <w:color w:val="000000"/>
                      <w:szCs w:val="18"/>
                    </w:rPr>
                    <w:t>1030</w:t>
                  </w:r>
                </w:p>
              </w:tc>
              <w:tc>
                <w:tcPr>
                  <w:tcW w:w="555" w:type="pct"/>
                  <w:tcBorders>
                    <w:top w:val="nil"/>
                    <w:left w:val="nil"/>
                    <w:bottom w:val="nil"/>
                    <w:right w:val="nil"/>
                  </w:tcBorders>
                  <w:shd w:val="clear" w:color="auto" w:fill="auto"/>
                  <w:vAlign w:val="bottom"/>
                </w:tcPr>
                <w:p w14:paraId="7954CD6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270</w:t>
                  </w:r>
                </w:p>
              </w:tc>
              <w:tc>
                <w:tcPr>
                  <w:tcW w:w="555" w:type="pct"/>
                  <w:tcBorders>
                    <w:top w:val="nil"/>
                    <w:left w:val="nil"/>
                    <w:bottom w:val="nil"/>
                    <w:right w:val="nil"/>
                  </w:tcBorders>
                  <w:shd w:val="clear" w:color="auto" w:fill="auto"/>
                  <w:vAlign w:val="bottom"/>
                </w:tcPr>
                <w:p w14:paraId="7954CD6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80</w:t>
                  </w:r>
                </w:p>
              </w:tc>
              <w:tc>
                <w:tcPr>
                  <w:tcW w:w="555" w:type="pct"/>
                  <w:tcBorders>
                    <w:top w:val="nil"/>
                    <w:left w:val="nil"/>
                    <w:bottom w:val="nil"/>
                    <w:right w:val="nil"/>
                  </w:tcBorders>
                  <w:shd w:val="clear" w:color="auto" w:fill="auto"/>
                  <w:vAlign w:val="bottom"/>
                </w:tcPr>
                <w:p w14:paraId="7954CD6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67</w:t>
                  </w:r>
                </w:p>
              </w:tc>
              <w:tc>
                <w:tcPr>
                  <w:tcW w:w="553" w:type="pct"/>
                  <w:tcBorders>
                    <w:top w:val="nil"/>
                    <w:left w:val="nil"/>
                    <w:bottom w:val="nil"/>
                    <w:right w:val="nil"/>
                  </w:tcBorders>
                  <w:shd w:val="clear" w:color="auto" w:fill="auto"/>
                  <w:vAlign w:val="bottom"/>
                </w:tcPr>
                <w:p w14:paraId="7954CD6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37 </w:t>
                  </w:r>
                </w:p>
              </w:tc>
            </w:tr>
            <w:tr w:rsidR="00F05DC7" w:rsidRPr="00A75ED1" w14:paraId="7954CD6E" w14:textId="77777777" w:rsidTr="00A3786D">
              <w:tc>
                <w:tcPr>
                  <w:tcW w:w="556" w:type="pct"/>
                </w:tcPr>
                <w:p w14:paraId="7954CD65"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D66" w14:textId="77777777" w:rsidR="00F05DC7" w:rsidRPr="00A75ED1" w:rsidRDefault="00F05DC7" w:rsidP="00A3786D">
                  <w:pPr>
                    <w:pStyle w:val="TableBodyText"/>
                    <w:rPr>
                      <w:rFonts w:cs="Arial"/>
                      <w:szCs w:val="18"/>
                    </w:rPr>
                  </w:pPr>
                  <w:r w:rsidRPr="00A75ED1">
                    <w:rPr>
                      <w:rFonts w:cs="Arial"/>
                      <w:color w:val="000000"/>
                      <w:szCs w:val="18"/>
                    </w:rPr>
                    <w:t>43</w:t>
                  </w:r>
                </w:p>
              </w:tc>
              <w:tc>
                <w:tcPr>
                  <w:tcW w:w="557" w:type="pct"/>
                  <w:tcBorders>
                    <w:top w:val="nil"/>
                    <w:left w:val="nil"/>
                    <w:bottom w:val="nil"/>
                    <w:right w:val="nil"/>
                  </w:tcBorders>
                  <w:shd w:val="clear" w:color="auto" w:fill="auto"/>
                  <w:vAlign w:val="bottom"/>
                </w:tcPr>
                <w:p w14:paraId="7954CD67" w14:textId="77777777" w:rsidR="00F05DC7" w:rsidRPr="00A75ED1" w:rsidRDefault="00F05DC7" w:rsidP="00A3786D">
                  <w:pPr>
                    <w:pStyle w:val="TableBodyText"/>
                    <w:rPr>
                      <w:rFonts w:cs="Arial"/>
                      <w:szCs w:val="18"/>
                    </w:rPr>
                  </w:pPr>
                  <w:r w:rsidRPr="00A75ED1">
                    <w:rPr>
                      <w:rFonts w:cs="Arial"/>
                      <w:color w:val="000000"/>
                      <w:szCs w:val="18"/>
                    </w:rPr>
                    <w:t>240</w:t>
                  </w:r>
                </w:p>
              </w:tc>
              <w:tc>
                <w:tcPr>
                  <w:tcW w:w="556" w:type="pct"/>
                  <w:tcBorders>
                    <w:top w:val="nil"/>
                    <w:left w:val="nil"/>
                    <w:bottom w:val="nil"/>
                    <w:right w:val="nil"/>
                  </w:tcBorders>
                  <w:shd w:val="clear" w:color="auto" w:fill="auto"/>
                  <w:vAlign w:val="bottom"/>
                </w:tcPr>
                <w:p w14:paraId="7954CD6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1009</w:t>
                  </w:r>
                </w:p>
              </w:tc>
              <w:tc>
                <w:tcPr>
                  <w:tcW w:w="556" w:type="pct"/>
                  <w:tcBorders>
                    <w:top w:val="nil"/>
                    <w:left w:val="nil"/>
                    <w:bottom w:val="nil"/>
                    <w:right w:val="nil"/>
                  </w:tcBorders>
                  <w:shd w:val="clear" w:color="auto" w:fill="auto"/>
                  <w:vAlign w:val="bottom"/>
                </w:tcPr>
                <w:p w14:paraId="7954CD69" w14:textId="77777777" w:rsidR="00F05DC7" w:rsidRPr="00A75ED1" w:rsidRDefault="00F05DC7" w:rsidP="00A3786D">
                  <w:pPr>
                    <w:pStyle w:val="TableBodyText"/>
                    <w:rPr>
                      <w:rFonts w:cs="Arial"/>
                      <w:szCs w:val="18"/>
                    </w:rPr>
                  </w:pPr>
                  <w:r w:rsidRPr="00A75ED1">
                    <w:rPr>
                      <w:rFonts w:cs="Arial"/>
                      <w:color w:val="000000"/>
                      <w:szCs w:val="18"/>
                    </w:rPr>
                    <w:t>1294</w:t>
                  </w:r>
                </w:p>
              </w:tc>
              <w:tc>
                <w:tcPr>
                  <w:tcW w:w="555" w:type="pct"/>
                  <w:tcBorders>
                    <w:top w:val="nil"/>
                    <w:left w:val="nil"/>
                    <w:bottom w:val="nil"/>
                    <w:right w:val="nil"/>
                  </w:tcBorders>
                  <w:shd w:val="clear" w:color="auto" w:fill="auto"/>
                  <w:vAlign w:val="bottom"/>
                </w:tcPr>
                <w:p w14:paraId="7954CD6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336</w:t>
                  </w:r>
                </w:p>
              </w:tc>
              <w:tc>
                <w:tcPr>
                  <w:tcW w:w="555" w:type="pct"/>
                  <w:tcBorders>
                    <w:top w:val="nil"/>
                    <w:left w:val="nil"/>
                    <w:bottom w:val="nil"/>
                    <w:right w:val="nil"/>
                  </w:tcBorders>
                  <w:shd w:val="clear" w:color="auto" w:fill="auto"/>
                  <w:vAlign w:val="bottom"/>
                </w:tcPr>
                <w:p w14:paraId="7954CD6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100</w:t>
                  </w:r>
                </w:p>
              </w:tc>
              <w:tc>
                <w:tcPr>
                  <w:tcW w:w="555" w:type="pct"/>
                  <w:tcBorders>
                    <w:top w:val="nil"/>
                    <w:left w:val="nil"/>
                    <w:bottom w:val="nil"/>
                    <w:right w:val="nil"/>
                  </w:tcBorders>
                  <w:shd w:val="clear" w:color="auto" w:fill="auto"/>
                  <w:vAlign w:val="bottom"/>
                </w:tcPr>
                <w:p w14:paraId="7954CD6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85</w:t>
                  </w:r>
                </w:p>
              </w:tc>
              <w:tc>
                <w:tcPr>
                  <w:tcW w:w="553" w:type="pct"/>
                  <w:tcBorders>
                    <w:top w:val="nil"/>
                    <w:left w:val="nil"/>
                    <w:bottom w:val="nil"/>
                    <w:right w:val="nil"/>
                  </w:tcBorders>
                  <w:shd w:val="clear" w:color="auto" w:fill="auto"/>
                  <w:vAlign w:val="bottom"/>
                </w:tcPr>
                <w:p w14:paraId="7954CD6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46 </w:t>
                  </w:r>
                </w:p>
              </w:tc>
            </w:tr>
            <w:tr w:rsidR="00F05DC7" w:rsidRPr="00A75ED1" w14:paraId="7954CD78" w14:textId="77777777" w:rsidTr="00A3786D">
              <w:tc>
                <w:tcPr>
                  <w:tcW w:w="556" w:type="pct"/>
                </w:tcPr>
                <w:p w14:paraId="7954CD6F"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D70" w14:textId="77777777" w:rsidR="00F05DC7" w:rsidRPr="00A75ED1" w:rsidRDefault="00F05DC7" w:rsidP="00A3786D">
                  <w:pPr>
                    <w:pStyle w:val="TableBodyText"/>
                    <w:rPr>
                      <w:rFonts w:cs="Arial"/>
                      <w:szCs w:val="18"/>
                    </w:rPr>
                  </w:pPr>
                  <w:r w:rsidRPr="00A75ED1">
                    <w:rPr>
                      <w:rFonts w:cs="Arial"/>
                      <w:color w:val="000000"/>
                      <w:szCs w:val="18"/>
                    </w:rPr>
                    <w:t>46</w:t>
                  </w:r>
                </w:p>
              </w:tc>
              <w:tc>
                <w:tcPr>
                  <w:tcW w:w="557" w:type="pct"/>
                  <w:tcBorders>
                    <w:top w:val="nil"/>
                    <w:left w:val="nil"/>
                    <w:bottom w:val="nil"/>
                    <w:right w:val="nil"/>
                  </w:tcBorders>
                  <w:shd w:val="clear" w:color="auto" w:fill="auto"/>
                  <w:vAlign w:val="bottom"/>
                </w:tcPr>
                <w:p w14:paraId="7954CD71" w14:textId="77777777" w:rsidR="00F05DC7" w:rsidRPr="00A75ED1" w:rsidRDefault="00F05DC7" w:rsidP="00A3786D">
                  <w:pPr>
                    <w:pStyle w:val="TableBodyText"/>
                    <w:rPr>
                      <w:rFonts w:cs="Arial"/>
                      <w:szCs w:val="18"/>
                    </w:rPr>
                  </w:pPr>
                  <w:r w:rsidRPr="00A75ED1">
                    <w:rPr>
                      <w:rFonts w:cs="Arial"/>
                      <w:color w:val="000000"/>
                      <w:szCs w:val="18"/>
                    </w:rPr>
                    <w:t>291</w:t>
                  </w:r>
                </w:p>
              </w:tc>
              <w:tc>
                <w:tcPr>
                  <w:tcW w:w="556" w:type="pct"/>
                  <w:tcBorders>
                    <w:top w:val="nil"/>
                    <w:left w:val="nil"/>
                    <w:bottom w:val="nil"/>
                    <w:right w:val="nil"/>
                  </w:tcBorders>
                  <w:shd w:val="clear" w:color="auto" w:fill="auto"/>
                  <w:vAlign w:val="bottom"/>
                </w:tcPr>
                <w:p w14:paraId="7954CD7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1231</w:t>
                  </w:r>
                </w:p>
              </w:tc>
              <w:tc>
                <w:tcPr>
                  <w:tcW w:w="556" w:type="pct"/>
                  <w:tcBorders>
                    <w:top w:val="nil"/>
                    <w:left w:val="nil"/>
                    <w:bottom w:val="nil"/>
                    <w:right w:val="nil"/>
                  </w:tcBorders>
                  <w:shd w:val="clear" w:color="auto" w:fill="auto"/>
                  <w:vAlign w:val="bottom"/>
                </w:tcPr>
                <w:p w14:paraId="7954CD73" w14:textId="77777777" w:rsidR="00F05DC7" w:rsidRPr="00A75ED1" w:rsidRDefault="00F05DC7" w:rsidP="00A3786D">
                  <w:pPr>
                    <w:pStyle w:val="TableBodyText"/>
                    <w:rPr>
                      <w:rFonts w:cs="Arial"/>
                      <w:szCs w:val="18"/>
                    </w:rPr>
                  </w:pPr>
                  <w:r w:rsidRPr="00A75ED1">
                    <w:rPr>
                      <w:rFonts w:cs="Arial"/>
                      <w:color w:val="000000"/>
                      <w:szCs w:val="18"/>
                    </w:rPr>
                    <w:t>1581</w:t>
                  </w:r>
                </w:p>
              </w:tc>
              <w:tc>
                <w:tcPr>
                  <w:tcW w:w="555" w:type="pct"/>
                  <w:tcBorders>
                    <w:top w:val="nil"/>
                    <w:left w:val="nil"/>
                    <w:bottom w:val="nil"/>
                    <w:right w:val="nil"/>
                  </w:tcBorders>
                  <w:shd w:val="clear" w:color="auto" w:fill="auto"/>
                  <w:vAlign w:val="bottom"/>
                </w:tcPr>
                <w:p w14:paraId="7954CD7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407</w:t>
                  </w:r>
                </w:p>
              </w:tc>
              <w:tc>
                <w:tcPr>
                  <w:tcW w:w="555" w:type="pct"/>
                  <w:tcBorders>
                    <w:top w:val="nil"/>
                    <w:left w:val="nil"/>
                    <w:bottom w:val="nil"/>
                    <w:right w:val="nil"/>
                  </w:tcBorders>
                  <w:shd w:val="clear" w:color="auto" w:fill="auto"/>
                  <w:vAlign w:val="bottom"/>
                </w:tcPr>
                <w:p w14:paraId="7954CD7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121</w:t>
                  </w:r>
                </w:p>
              </w:tc>
              <w:tc>
                <w:tcPr>
                  <w:tcW w:w="555" w:type="pct"/>
                  <w:tcBorders>
                    <w:top w:val="nil"/>
                    <w:left w:val="nil"/>
                    <w:bottom w:val="nil"/>
                    <w:right w:val="nil"/>
                  </w:tcBorders>
                  <w:shd w:val="clear" w:color="auto" w:fill="auto"/>
                  <w:vAlign w:val="bottom"/>
                </w:tcPr>
                <w:p w14:paraId="7954CD7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103</w:t>
                  </w:r>
                </w:p>
              </w:tc>
              <w:tc>
                <w:tcPr>
                  <w:tcW w:w="553" w:type="pct"/>
                  <w:tcBorders>
                    <w:top w:val="nil"/>
                    <w:left w:val="nil"/>
                    <w:bottom w:val="nil"/>
                    <w:right w:val="nil"/>
                  </w:tcBorders>
                  <w:shd w:val="clear" w:color="auto" w:fill="auto"/>
                  <w:vAlign w:val="bottom"/>
                </w:tcPr>
                <w:p w14:paraId="7954CD7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56 </w:t>
                  </w:r>
                </w:p>
              </w:tc>
            </w:tr>
            <w:tr w:rsidR="00F05DC7" w:rsidRPr="00A75ED1" w14:paraId="7954CD82" w14:textId="77777777" w:rsidTr="002341D7">
              <w:tc>
                <w:tcPr>
                  <w:tcW w:w="556" w:type="pct"/>
                </w:tcPr>
                <w:p w14:paraId="7954CD79"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CD7A" w14:textId="77777777" w:rsidR="00F05DC7" w:rsidRPr="00A75ED1" w:rsidRDefault="00F05DC7" w:rsidP="00A3786D">
                  <w:pPr>
                    <w:pStyle w:val="TableBodyText"/>
                    <w:rPr>
                      <w:rFonts w:cs="Arial"/>
                      <w:szCs w:val="18"/>
                    </w:rPr>
                  </w:pPr>
                  <w:r w:rsidRPr="00A75ED1">
                    <w:rPr>
                      <w:rFonts w:cs="Arial"/>
                      <w:color w:val="000000"/>
                      <w:szCs w:val="18"/>
                    </w:rPr>
                    <w:t>48</w:t>
                  </w:r>
                </w:p>
              </w:tc>
              <w:tc>
                <w:tcPr>
                  <w:tcW w:w="557" w:type="pct"/>
                  <w:tcBorders>
                    <w:top w:val="nil"/>
                    <w:left w:val="nil"/>
                    <w:right w:val="nil"/>
                  </w:tcBorders>
                  <w:shd w:val="clear" w:color="auto" w:fill="auto"/>
                  <w:vAlign w:val="bottom"/>
                </w:tcPr>
                <w:p w14:paraId="7954CD7B" w14:textId="77777777" w:rsidR="00F05DC7" w:rsidRPr="00A75ED1" w:rsidRDefault="00F05DC7" w:rsidP="00A3786D">
                  <w:pPr>
                    <w:pStyle w:val="TableBodyText"/>
                    <w:rPr>
                      <w:rFonts w:cs="Arial"/>
                      <w:szCs w:val="18"/>
                    </w:rPr>
                  </w:pPr>
                  <w:r w:rsidRPr="00A75ED1">
                    <w:rPr>
                      <w:rFonts w:cs="Arial"/>
                      <w:color w:val="000000"/>
                      <w:szCs w:val="18"/>
                    </w:rPr>
                    <w:t>346</w:t>
                  </w:r>
                </w:p>
              </w:tc>
              <w:tc>
                <w:tcPr>
                  <w:tcW w:w="556" w:type="pct"/>
                  <w:tcBorders>
                    <w:top w:val="nil"/>
                    <w:left w:val="nil"/>
                    <w:right w:val="nil"/>
                  </w:tcBorders>
                  <w:shd w:val="clear" w:color="auto" w:fill="auto"/>
                  <w:vAlign w:val="bottom"/>
                </w:tcPr>
                <w:p w14:paraId="7954CD7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1470</w:t>
                  </w:r>
                </w:p>
              </w:tc>
              <w:tc>
                <w:tcPr>
                  <w:tcW w:w="556" w:type="pct"/>
                  <w:tcBorders>
                    <w:top w:val="nil"/>
                    <w:left w:val="nil"/>
                    <w:right w:val="nil"/>
                  </w:tcBorders>
                  <w:shd w:val="clear" w:color="auto" w:fill="auto"/>
                  <w:vAlign w:val="bottom"/>
                </w:tcPr>
                <w:p w14:paraId="7954CD7D" w14:textId="77777777" w:rsidR="00F05DC7" w:rsidRPr="00A75ED1" w:rsidRDefault="00F05DC7" w:rsidP="00A3786D">
                  <w:pPr>
                    <w:pStyle w:val="TableBodyText"/>
                    <w:rPr>
                      <w:rFonts w:cs="Arial"/>
                      <w:szCs w:val="18"/>
                    </w:rPr>
                  </w:pPr>
                  <w:r w:rsidRPr="00A75ED1">
                    <w:rPr>
                      <w:rFonts w:cs="Arial"/>
                      <w:color w:val="000000"/>
                      <w:szCs w:val="18"/>
                    </w:rPr>
                    <w:t>1892</w:t>
                  </w:r>
                </w:p>
              </w:tc>
              <w:tc>
                <w:tcPr>
                  <w:tcW w:w="555" w:type="pct"/>
                  <w:tcBorders>
                    <w:top w:val="nil"/>
                    <w:left w:val="nil"/>
                    <w:right w:val="nil"/>
                  </w:tcBorders>
                  <w:shd w:val="clear" w:color="auto" w:fill="auto"/>
                  <w:vAlign w:val="bottom"/>
                </w:tcPr>
                <w:p w14:paraId="7954CD7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483</w:t>
                  </w:r>
                </w:p>
              </w:tc>
              <w:tc>
                <w:tcPr>
                  <w:tcW w:w="555" w:type="pct"/>
                  <w:tcBorders>
                    <w:top w:val="nil"/>
                    <w:left w:val="nil"/>
                    <w:right w:val="nil"/>
                  </w:tcBorders>
                  <w:shd w:val="clear" w:color="auto" w:fill="auto"/>
                  <w:vAlign w:val="bottom"/>
                </w:tcPr>
                <w:p w14:paraId="7954CD7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143</w:t>
                  </w:r>
                </w:p>
              </w:tc>
              <w:tc>
                <w:tcPr>
                  <w:tcW w:w="555" w:type="pct"/>
                  <w:tcBorders>
                    <w:top w:val="nil"/>
                    <w:left w:val="nil"/>
                    <w:right w:val="nil"/>
                  </w:tcBorders>
                  <w:shd w:val="clear" w:color="auto" w:fill="auto"/>
                  <w:vAlign w:val="bottom"/>
                </w:tcPr>
                <w:p w14:paraId="7954CD8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124</w:t>
                  </w:r>
                </w:p>
              </w:tc>
              <w:tc>
                <w:tcPr>
                  <w:tcW w:w="553" w:type="pct"/>
                  <w:tcBorders>
                    <w:top w:val="nil"/>
                    <w:left w:val="nil"/>
                    <w:right w:val="nil"/>
                  </w:tcBorders>
                  <w:shd w:val="clear" w:color="auto" w:fill="auto"/>
                  <w:vAlign w:val="bottom"/>
                </w:tcPr>
                <w:p w14:paraId="7954CD8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r>
            <w:tr w:rsidR="00F05DC7" w:rsidRPr="00A75ED1" w14:paraId="7954CD84" w14:textId="77777777" w:rsidTr="002341D7">
              <w:tc>
                <w:tcPr>
                  <w:tcW w:w="5000" w:type="pct"/>
                  <w:gridSpan w:val="9"/>
                  <w:shd w:val="clear" w:color="auto" w:fill="F2F2F2" w:themeFill="background1" w:themeFillShade="F2"/>
                </w:tcPr>
                <w:p w14:paraId="7954CD83"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CD8E" w14:textId="77777777" w:rsidTr="00A3786D">
              <w:tc>
                <w:tcPr>
                  <w:tcW w:w="556" w:type="pct"/>
                  <w:vAlign w:val="bottom"/>
                </w:tcPr>
                <w:p w14:paraId="7954CD85"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CD86" w14:textId="77777777" w:rsidR="00F05DC7" w:rsidRPr="00A75ED1" w:rsidRDefault="00F05DC7" w:rsidP="00A3786D">
                  <w:pPr>
                    <w:pStyle w:val="TableBodyText"/>
                    <w:rPr>
                      <w:rFonts w:cs="Arial"/>
                      <w:szCs w:val="18"/>
                    </w:rPr>
                  </w:pPr>
                  <w:r w:rsidRPr="00A75ED1">
                    <w:rPr>
                      <w:rFonts w:cs="Arial"/>
                      <w:color w:val="000000"/>
                      <w:szCs w:val="18"/>
                    </w:rPr>
                    <w:t>11</w:t>
                  </w:r>
                </w:p>
              </w:tc>
              <w:tc>
                <w:tcPr>
                  <w:tcW w:w="557" w:type="pct"/>
                  <w:tcBorders>
                    <w:top w:val="nil"/>
                    <w:left w:val="nil"/>
                    <w:bottom w:val="nil"/>
                    <w:right w:val="nil"/>
                  </w:tcBorders>
                  <w:shd w:val="clear" w:color="auto" w:fill="FFFFFF" w:themeFill="background1"/>
                  <w:vAlign w:val="bottom"/>
                </w:tcPr>
                <w:p w14:paraId="7954CD8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w:t>
                  </w:r>
                </w:p>
              </w:tc>
              <w:tc>
                <w:tcPr>
                  <w:tcW w:w="556" w:type="pct"/>
                  <w:tcBorders>
                    <w:top w:val="nil"/>
                    <w:left w:val="nil"/>
                    <w:bottom w:val="nil"/>
                    <w:right w:val="nil"/>
                  </w:tcBorders>
                  <w:shd w:val="clear" w:color="auto" w:fill="FFFFFF" w:themeFill="background1"/>
                  <w:vAlign w:val="bottom"/>
                </w:tcPr>
                <w:p w14:paraId="7954CD8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w:t>
                  </w:r>
                </w:p>
              </w:tc>
              <w:tc>
                <w:tcPr>
                  <w:tcW w:w="556" w:type="pct"/>
                  <w:tcBorders>
                    <w:top w:val="nil"/>
                    <w:left w:val="nil"/>
                    <w:bottom w:val="nil"/>
                    <w:right w:val="nil"/>
                  </w:tcBorders>
                  <w:shd w:val="clear" w:color="auto" w:fill="FFFFFF" w:themeFill="background1"/>
                  <w:vAlign w:val="bottom"/>
                </w:tcPr>
                <w:p w14:paraId="7954CD89" w14:textId="77777777" w:rsidR="00F05DC7" w:rsidRPr="00A75ED1" w:rsidRDefault="00F05DC7" w:rsidP="00A3786D">
                  <w:pPr>
                    <w:pStyle w:val="TableBodyText"/>
                    <w:rPr>
                      <w:rFonts w:cs="Arial"/>
                      <w:szCs w:val="18"/>
                    </w:rPr>
                  </w:pPr>
                  <w:r w:rsidRPr="00A75ED1">
                    <w:rPr>
                      <w:rFonts w:cs="Arial"/>
                      <w:color w:val="000000"/>
                      <w:szCs w:val="18"/>
                    </w:rPr>
                    <w:t>126</w:t>
                  </w:r>
                </w:p>
              </w:tc>
              <w:tc>
                <w:tcPr>
                  <w:tcW w:w="555" w:type="pct"/>
                  <w:tcBorders>
                    <w:top w:val="nil"/>
                    <w:left w:val="nil"/>
                    <w:bottom w:val="nil"/>
                    <w:right w:val="nil"/>
                  </w:tcBorders>
                  <w:shd w:val="clear" w:color="auto" w:fill="FFFFFF" w:themeFill="background1"/>
                  <w:vAlign w:val="bottom"/>
                </w:tcPr>
                <w:p w14:paraId="7954CD8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w:t>
                  </w:r>
                </w:p>
              </w:tc>
              <w:tc>
                <w:tcPr>
                  <w:tcW w:w="555" w:type="pct"/>
                  <w:tcBorders>
                    <w:top w:val="nil"/>
                    <w:left w:val="nil"/>
                    <w:bottom w:val="nil"/>
                    <w:right w:val="nil"/>
                  </w:tcBorders>
                  <w:shd w:val="clear" w:color="auto" w:fill="FFFFFF" w:themeFill="background1"/>
                  <w:vAlign w:val="bottom"/>
                </w:tcPr>
                <w:p w14:paraId="7954CD8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w:t>
                  </w:r>
                </w:p>
              </w:tc>
              <w:tc>
                <w:tcPr>
                  <w:tcW w:w="555" w:type="pct"/>
                  <w:tcBorders>
                    <w:top w:val="nil"/>
                    <w:left w:val="nil"/>
                    <w:bottom w:val="nil"/>
                    <w:right w:val="nil"/>
                  </w:tcBorders>
                  <w:shd w:val="clear" w:color="auto" w:fill="FFFFFF" w:themeFill="background1"/>
                  <w:vAlign w:val="bottom"/>
                </w:tcPr>
                <w:p w14:paraId="7954CD8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w:t>
                  </w:r>
                </w:p>
              </w:tc>
              <w:tc>
                <w:tcPr>
                  <w:tcW w:w="553" w:type="pct"/>
                  <w:tcBorders>
                    <w:top w:val="nil"/>
                    <w:left w:val="nil"/>
                    <w:bottom w:val="nil"/>
                    <w:right w:val="nil"/>
                  </w:tcBorders>
                  <w:shd w:val="clear" w:color="auto" w:fill="FFFFFF" w:themeFill="background1"/>
                  <w:vAlign w:val="bottom"/>
                </w:tcPr>
                <w:p w14:paraId="7954CD8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w:t>
                  </w:r>
                </w:p>
              </w:tc>
            </w:tr>
            <w:tr w:rsidR="00F05DC7" w:rsidRPr="00A75ED1" w14:paraId="7954CD98" w14:textId="77777777" w:rsidTr="00A3786D">
              <w:tc>
                <w:tcPr>
                  <w:tcW w:w="556" w:type="pct"/>
                  <w:vAlign w:val="bottom"/>
                </w:tcPr>
                <w:p w14:paraId="7954CD8F"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CD90" w14:textId="77777777" w:rsidR="00F05DC7" w:rsidRPr="00A75ED1" w:rsidRDefault="00F05DC7" w:rsidP="00A3786D">
                  <w:pPr>
                    <w:pStyle w:val="TableBodyText"/>
                    <w:rPr>
                      <w:rFonts w:cs="Arial"/>
                      <w:szCs w:val="18"/>
                    </w:rPr>
                  </w:pPr>
                  <w:r w:rsidRPr="00A75ED1">
                    <w:rPr>
                      <w:rFonts w:cs="Arial"/>
                      <w:color w:val="000000"/>
                      <w:szCs w:val="18"/>
                    </w:rPr>
                    <w:t>17</w:t>
                  </w:r>
                </w:p>
              </w:tc>
              <w:tc>
                <w:tcPr>
                  <w:tcW w:w="557" w:type="pct"/>
                  <w:tcBorders>
                    <w:top w:val="nil"/>
                    <w:left w:val="nil"/>
                    <w:bottom w:val="nil"/>
                    <w:right w:val="nil"/>
                  </w:tcBorders>
                  <w:shd w:val="clear" w:color="auto" w:fill="FFFFFF" w:themeFill="background1"/>
                  <w:vAlign w:val="bottom"/>
                </w:tcPr>
                <w:p w14:paraId="7954CD9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w:t>
                  </w:r>
                </w:p>
              </w:tc>
              <w:tc>
                <w:tcPr>
                  <w:tcW w:w="556" w:type="pct"/>
                  <w:tcBorders>
                    <w:top w:val="nil"/>
                    <w:left w:val="nil"/>
                    <w:bottom w:val="nil"/>
                    <w:right w:val="nil"/>
                  </w:tcBorders>
                  <w:shd w:val="clear" w:color="auto" w:fill="FFFFFF" w:themeFill="background1"/>
                  <w:vAlign w:val="bottom"/>
                </w:tcPr>
                <w:p w14:paraId="7954CD9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65</w:t>
                  </w:r>
                </w:p>
              </w:tc>
              <w:tc>
                <w:tcPr>
                  <w:tcW w:w="556" w:type="pct"/>
                  <w:tcBorders>
                    <w:top w:val="nil"/>
                    <w:left w:val="nil"/>
                    <w:bottom w:val="nil"/>
                    <w:right w:val="nil"/>
                  </w:tcBorders>
                  <w:shd w:val="clear" w:color="auto" w:fill="FFFFFF" w:themeFill="background1"/>
                  <w:vAlign w:val="bottom"/>
                </w:tcPr>
                <w:p w14:paraId="7954CD93" w14:textId="77777777" w:rsidR="00F05DC7" w:rsidRPr="00A75ED1" w:rsidRDefault="00F05DC7" w:rsidP="00A3786D">
                  <w:pPr>
                    <w:pStyle w:val="TableBodyText"/>
                    <w:rPr>
                      <w:rFonts w:cs="Arial"/>
                      <w:szCs w:val="18"/>
                    </w:rPr>
                  </w:pPr>
                  <w:r w:rsidRPr="00A75ED1">
                    <w:rPr>
                      <w:rFonts w:cs="Arial"/>
                      <w:color w:val="000000"/>
                      <w:szCs w:val="18"/>
                    </w:rPr>
                    <w:t>230</w:t>
                  </w:r>
                </w:p>
              </w:tc>
              <w:tc>
                <w:tcPr>
                  <w:tcW w:w="555" w:type="pct"/>
                  <w:tcBorders>
                    <w:top w:val="nil"/>
                    <w:left w:val="nil"/>
                    <w:bottom w:val="nil"/>
                    <w:right w:val="nil"/>
                  </w:tcBorders>
                  <w:shd w:val="clear" w:color="auto" w:fill="FFFFFF" w:themeFill="background1"/>
                  <w:vAlign w:val="bottom"/>
                </w:tcPr>
                <w:p w14:paraId="7954CD9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65</w:t>
                  </w:r>
                </w:p>
              </w:tc>
              <w:tc>
                <w:tcPr>
                  <w:tcW w:w="555" w:type="pct"/>
                  <w:tcBorders>
                    <w:top w:val="nil"/>
                    <w:left w:val="nil"/>
                    <w:bottom w:val="nil"/>
                    <w:right w:val="nil"/>
                  </w:tcBorders>
                  <w:shd w:val="clear" w:color="auto" w:fill="FFFFFF" w:themeFill="background1"/>
                  <w:vAlign w:val="bottom"/>
                </w:tcPr>
                <w:p w14:paraId="7954CD9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65</w:t>
                  </w:r>
                </w:p>
              </w:tc>
              <w:tc>
                <w:tcPr>
                  <w:tcW w:w="555" w:type="pct"/>
                  <w:tcBorders>
                    <w:top w:val="nil"/>
                    <w:left w:val="nil"/>
                    <w:bottom w:val="nil"/>
                    <w:right w:val="nil"/>
                  </w:tcBorders>
                  <w:shd w:val="clear" w:color="auto" w:fill="FFFFFF" w:themeFill="background1"/>
                  <w:vAlign w:val="bottom"/>
                </w:tcPr>
                <w:p w14:paraId="7954CD9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65</w:t>
                  </w:r>
                </w:p>
              </w:tc>
              <w:tc>
                <w:tcPr>
                  <w:tcW w:w="553" w:type="pct"/>
                  <w:tcBorders>
                    <w:top w:val="nil"/>
                    <w:left w:val="nil"/>
                    <w:bottom w:val="nil"/>
                    <w:right w:val="nil"/>
                  </w:tcBorders>
                  <w:shd w:val="clear" w:color="auto" w:fill="FFFFFF" w:themeFill="background1"/>
                  <w:vAlign w:val="bottom"/>
                </w:tcPr>
                <w:p w14:paraId="7954CD9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65</w:t>
                  </w:r>
                </w:p>
              </w:tc>
            </w:tr>
            <w:tr w:rsidR="00F05DC7" w:rsidRPr="00A75ED1" w14:paraId="7954CDA2" w14:textId="77777777" w:rsidTr="00A3786D">
              <w:tc>
                <w:tcPr>
                  <w:tcW w:w="556" w:type="pct"/>
                  <w:vAlign w:val="bottom"/>
                </w:tcPr>
                <w:p w14:paraId="7954CD99"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CD9A" w14:textId="77777777" w:rsidR="00F05DC7" w:rsidRPr="00A75ED1" w:rsidRDefault="00F05DC7" w:rsidP="00A3786D">
                  <w:pPr>
                    <w:pStyle w:val="TableBodyText"/>
                    <w:rPr>
                      <w:rFonts w:cs="Arial"/>
                      <w:szCs w:val="18"/>
                    </w:rPr>
                  </w:pPr>
                  <w:r w:rsidRPr="00A75ED1">
                    <w:rPr>
                      <w:rFonts w:cs="Arial"/>
                      <w:color w:val="000000"/>
                      <w:szCs w:val="18"/>
                    </w:rPr>
                    <w:t>19</w:t>
                  </w:r>
                </w:p>
              </w:tc>
              <w:tc>
                <w:tcPr>
                  <w:tcW w:w="557" w:type="pct"/>
                  <w:tcBorders>
                    <w:top w:val="nil"/>
                    <w:left w:val="nil"/>
                    <w:bottom w:val="nil"/>
                    <w:right w:val="nil"/>
                  </w:tcBorders>
                  <w:shd w:val="clear" w:color="auto" w:fill="FFFFFF" w:themeFill="background1"/>
                  <w:vAlign w:val="bottom"/>
                </w:tcPr>
                <w:p w14:paraId="7954CD9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w:t>
                  </w:r>
                </w:p>
              </w:tc>
              <w:tc>
                <w:tcPr>
                  <w:tcW w:w="556" w:type="pct"/>
                  <w:tcBorders>
                    <w:top w:val="nil"/>
                    <w:left w:val="nil"/>
                    <w:bottom w:val="nil"/>
                    <w:right w:val="nil"/>
                  </w:tcBorders>
                  <w:shd w:val="clear" w:color="auto" w:fill="FFFFFF" w:themeFill="background1"/>
                  <w:vAlign w:val="bottom"/>
                </w:tcPr>
                <w:p w14:paraId="7954CD9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95</w:t>
                  </w:r>
                </w:p>
              </w:tc>
              <w:tc>
                <w:tcPr>
                  <w:tcW w:w="556" w:type="pct"/>
                  <w:tcBorders>
                    <w:top w:val="nil"/>
                    <w:left w:val="nil"/>
                    <w:bottom w:val="nil"/>
                    <w:right w:val="nil"/>
                  </w:tcBorders>
                  <w:shd w:val="clear" w:color="auto" w:fill="FFFFFF" w:themeFill="background1"/>
                  <w:vAlign w:val="bottom"/>
                </w:tcPr>
                <w:p w14:paraId="7954CD9D" w14:textId="77777777" w:rsidR="00F05DC7" w:rsidRPr="00A75ED1" w:rsidRDefault="00F05DC7" w:rsidP="00A3786D">
                  <w:pPr>
                    <w:pStyle w:val="TableBodyText"/>
                    <w:rPr>
                      <w:rFonts w:cs="Arial"/>
                      <w:szCs w:val="18"/>
                    </w:rPr>
                  </w:pPr>
                  <w:r w:rsidRPr="00A75ED1">
                    <w:rPr>
                      <w:rFonts w:cs="Arial"/>
                      <w:color w:val="000000"/>
                      <w:szCs w:val="18"/>
                    </w:rPr>
                    <w:t>308</w:t>
                  </w:r>
                </w:p>
              </w:tc>
              <w:tc>
                <w:tcPr>
                  <w:tcW w:w="555" w:type="pct"/>
                  <w:tcBorders>
                    <w:top w:val="nil"/>
                    <w:left w:val="nil"/>
                    <w:bottom w:val="nil"/>
                    <w:right w:val="nil"/>
                  </w:tcBorders>
                  <w:shd w:val="clear" w:color="auto" w:fill="FFFFFF" w:themeFill="background1"/>
                  <w:vAlign w:val="bottom"/>
                </w:tcPr>
                <w:p w14:paraId="7954CD9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95</w:t>
                  </w:r>
                </w:p>
              </w:tc>
              <w:tc>
                <w:tcPr>
                  <w:tcW w:w="555" w:type="pct"/>
                  <w:tcBorders>
                    <w:top w:val="nil"/>
                    <w:left w:val="nil"/>
                    <w:bottom w:val="nil"/>
                    <w:right w:val="nil"/>
                  </w:tcBorders>
                  <w:shd w:val="clear" w:color="auto" w:fill="FFFFFF" w:themeFill="background1"/>
                  <w:vAlign w:val="bottom"/>
                </w:tcPr>
                <w:p w14:paraId="7954CD9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95</w:t>
                  </w:r>
                </w:p>
              </w:tc>
              <w:tc>
                <w:tcPr>
                  <w:tcW w:w="555" w:type="pct"/>
                  <w:tcBorders>
                    <w:top w:val="nil"/>
                    <w:left w:val="nil"/>
                    <w:bottom w:val="nil"/>
                    <w:right w:val="nil"/>
                  </w:tcBorders>
                  <w:shd w:val="clear" w:color="auto" w:fill="FFFFFF" w:themeFill="background1"/>
                  <w:vAlign w:val="bottom"/>
                </w:tcPr>
                <w:p w14:paraId="7954CDA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95</w:t>
                  </w:r>
                </w:p>
              </w:tc>
              <w:tc>
                <w:tcPr>
                  <w:tcW w:w="553" w:type="pct"/>
                  <w:tcBorders>
                    <w:top w:val="nil"/>
                    <w:left w:val="nil"/>
                    <w:bottom w:val="nil"/>
                    <w:right w:val="nil"/>
                  </w:tcBorders>
                  <w:shd w:val="clear" w:color="auto" w:fill="FFFFFF" w:themeFill="background1"/>
                  <w:vAlign w:val="bottom"/>
                </w:tcPr>
                <w:p w14:paraId="7954CDA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95</w:t>
                  </w:r>
                </w:p>
              </w:tc>
            </w:tr>
            <w:tr w:rsidR="00F05DC7" w:rsidRPr="00A75ED1" w14:paraId="7954CDAC" w14:textId="77777777" w:rsidTr="00A3786D">
              <w:tc>
                <w:tcPr>
                  <w:tcW w:w="556" w:type="pct"/>
                </w:tcPr>
                <w:p w14:paraId="7954CDA3"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CDA4" w14:textId="77777777" w:rsidR="00F05DC7" w:rsidRPr="00A75ED1" w:rsidRDefault="00F05DC7" w:rsidP="00A3786D">
                  <w:pPr>
                    <w:pStyle w:val="TableBodyText"/>
                    <w:rPr>
                      <w:rFonts w:cs="Arial"/>
                      <w:szCs w:val="18"/>
                    </w:rPr>
                  </w:pPr>
                  <w:r w:rsidRPr="00A75ED1">
                    <w:rPr>
                      <w:rFonts w:cs="Arial"/>
                      <w:color w:val="000000"/>
                      <w:szCs w:val="18"/>
                    </w:rPr>
                    <w:t>15</w:t>
                  </w:r>
                </w:p>
              </w:tc>
              <w:tc>
                <w:tcPr>
                  <w:tcW w:w="557" w:type="pct"/>
                  <w:tcBorders>
                    <w:top w:val="nil"/>
                    <w:left w:val="nil"/>
                    <w:bottom w:val="nil"/>
                    <w:right w:val="nil"/>
                  </w:tcBorders>
                  <w:shd w:val="clear" w:color="auto" w:fill="FFFFFF" w:themeFill="background1"/>
                  <w:vAlign w:val="bottom"/>
                </w:tcPr>
                <w:p w14:paraId="7954CDA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w:t>
                  </w:r>
                </w:p>
              </w:tc>
              <w:tc>
                <w:tcPr>
                  <w:tcW w:w="556" w:type="pct"/>
                  <w:tcBorders>
                    <w:top w:val="nil"/>
                    <w:left w:val="nil"/>
                    <w:bottom w:val="nil"/>
                    <w:right w:val="nil"/>
                  </w:tcBorders>
                  <w:shd w:val="clear" w:color="auto" w:fill="FFFFFF" w:themeFill="background1"/>
                  <w:vAlign w:val="bottom"/>
                </w:tcPr>
                <w:p w14:paraId="7954CDA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123</w:t>
                  </w:r>
                </w:p>
              </w:tc>
              <w:tc>
                <w:tcPr>
                  <w:tcW w:w="556" w:type="pct"/>
                  <w:tcBorders>
                    <w:top w:val="nil"/>
                    <w:left w:val="nil"/>
                    <w:bottom w:val="nil"/>
                    <w:right w:val="nil"/>
                  </w:tcBorders>
                  <w:shd w:val="clear" w:color="auto" w:fill="FFFFFF" w:themeFill="background1"/>
                  <w:vAlign w:val="bottom"/>
                </w:tcPr>
                <w:p w14:paraId="7954CDA7" w14:textId="77777777" w:rsidR="00F05DC7" w:rsidRPr="00A75ED1" w:rsidRDefault="00F05DC7" w:rsidP="00A3786D">
                  <w:pPr>
                    <w:pStyle w:val="TableBodyText"/>
                    <w:rPr>
                      <w:rFonts w:cs="Arial"/>
                      <w:szCs w:val="18"/>
                    </w:rPr>
                  </w:pPr>
                  <w:r w:rsidRPr="00A75ED1">
                    <w:rPr>
                      <w:rFonts w:cs="Arial"/>
                      <w:color w:val="000000"/>
                      <w:szCs w:val="18"/>
                    </w:rPr>
                    <w:t>357</w:t>
                  </w:r>
                </w:p>
              </w:tc>
              <w:tc>
                <w:tcPr>
                  <w:tcW w:w="555" w:type="pct"/>
                  <w:tcBorders>
                    <w:top w:val="nil"/>
                    <w:left w:val="nil"/>
                    <w:bottom w:val="nil"/>
                    <w:right w:val="nil"/>
                  </w:tcBorders>
                  <w:shd w:val="clear" w:color="auto" w:fill="FFFFFF" w:themeFill="background1"/>
                  <w:vAlign w:val="bottom"/>
                </w:tcPr>
                <w:p w14:paraId="7954CDA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123</w:t>
                  </w:r>
                </w:p>
              </w:tc>
              <w:tc>
                <w:tcPr>
                  <w:tcW w:w="555" w:type="pct"/>
                  <w:tcBorders>
                    <w:top w:val="nil"/>
                    <w:left w:val="nil"/>
                    <w:bottom w:val="nil"/>
                    <w:right w:val="nil"/>
                  </w:tcBorders>
                  <w:shd w:val="clear" w:color="auto" w:fill="FFFFFF" w:themeFill="background1"/>
                  <w:vAlign w:val="bottom"/>
                </w:tcPr>
                <w:p w14:paraId="7954CDA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123</w:t>
                  </w:r>
                </w:p>
              </w:tc>
              <w:tc>
                <w:tcPr>
                  <w:tcW w:w="555" w:type="pct"/>
                  <w:tcBorders>
                    <w:top w:val="nil"/>
                    <w:left w:val="nil"/>
                    <w:bottom w:val="nil"/>
                    <w:right w:val="nil"/>
                  </w:tcBorders>
                  <w:shd w:val="clear" w:color="auto" w:fill="FFFFFF" w:themeFill="background1"/>
                  <w:vAlign w:val="bottom"/>
                </w:tcPr>
                <w:p w14:paraId="7954CDA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123</w:t>
                  </w:r>
                </w:p>
              </w:tc>
              <w:tc>
                <w:tcPr>
                  <w:tcW w:w="553" w:type="pct"/>
                  <w:tcBorders>
                    <w:top w:val="nil"/>
                    <w:left w:val="nil"/>
                    <w:bottom w:val="nil"/>
                    <w:right w:val="nil"/>
                  </w:tcBorders>
                  <w:shd w:val="clear" w:color="auto" w:fill="FFFFFF" w:themeFill="background1"/>
                  <w:vAlign w:val="bottom"/>
                </w:tcPr>
                <w:p w14:paraId="7954CDA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123</w:t>
                  </w:r>
                </w:p>
              </w:tc>
            </w:tr>
            <w:tr w:rsidR="00F05DC7" w:rsidRPr="00A75ED1" w14:paraId="7954CDB6" w14:textId="77777777" w:rsidTr="00A3786D">
              <w:tc>
                <w:tcPr>
                  <w:tcW w:w="556" w:type="pct"/>
                </w:tcPr>
                <w:p w14:paraId="7954CDAD"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DAE" w14:textId="77777777" w:rsidR="00F05DC7" w:rsidRPr="00A75ED1" w:rsidRDefault="00F05DC7" w:rsidP="00A3786D">
                  <w:pPr>
                    <w:pStyle w:val="TableBodyText"/>
                    <w:rPr>
                      <w:rFonts w:cs="Arial"/>
                      <w:szCs w:val="18"/>
                    </w:rPr>
                  </w:pPr>
                  <w:r w:rsidRPr="00A75ED1">
                    <w:rPr>
                      <w:rFonts w:cs="Arial"/>
                      <w:color w:val="000000"/>
                      <w:szCs w:val="18"/>
                    </w:rPr>
                    <w:t>4</w:t>
                  </w:r>
                </w:p>
              </w:tc>
              <w:tc>
                <w:tcPr>
                  <w:tcW w:w="557" w:type="pct"/>
                  <w:tcBorders>
                    <w:top w:val="nil"/>
                    <w:left w:val="nil"/>
                    <w:bottom w:val="nil"/>
                    <w:right w:val="nil"/>
                  </w:tcBorders>
                  <w:shd w:val="clear" w:color="auto" w:fill="auto"/>
                  <w:vAlign w:val="bottom"/>
                </w:tcPr>
                <w:p w14:paraId="7954CDAF" w14:textId="77777777" w:rsidR="00F05DC7" w:rsidRPr="00A75ED1" w:rsidRDefault="00F05DC7" w:rsidP="00A3786D">
                  <w:pPr>
                    <w:pStyle w:val="TableBodyText"/>
                    <w:rPr>
                      <w:rFonts w:cs="Arial"/>
                      <w:szCs w:val="18"/>
                    </w:rPr>
                  </w:pPr>
                  <w:r w:rsidRPr="00A75ED1">
                    <w:rPr>
                      <w:rFonts w:cs="Arial"/>
                      <w:color w:val="000000"/>
                      <w:szCs w:val="18"/>
                    </w:rPr>
                    <w:t>27</w:t>
                  </w:r>
                </w:p>
              </w:tc>
              <w:tc>
                <w:tcPr>
                  <w:tcW w:w="556" w:type="pct"/>
                  <w:tcBorders>
                    <w:top w:val="nil"/>
                    <w:left w:val="nil"/>
                    <w:bottom w:val="nil"/>
                    <w:right w:val="nil"/>
                  </w:tcBorders>
                  <w:shd w:val="clear" w:color="auto" w:fill="auto"/>
                  <w:vAlign w:val="bottom"/>
                </w:tcPr>
                <w:p w14:paraId="7954CDB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149</w:t>
                  </w:r>
                </w:p>
              </w:tc>
              <w:tc>
                <w:tcPr>
                  <w:tcW w:w="556" w:type="pct"/>
                  <w:tcBorders>
                    <w:top w:val="nil"/>
                    <w:left w:val="nil"/>
                    <w:bottom w:val="nil"/>
                    <w:right w:val="nil"/>
                  </w:tcBorders>
                  <w:shd w:val="clear" w:color="auto" w:fill="auto"/>
                  <w:vAlign w:val="bottom"/>
                </w:tcPr>
                <w:p w14:paraId="7954CDB1" w14:textId="77777777" w:rsidR="00F05DC7" w:rsidRPr="00A75ED1" w:rsidRDefault="00F05DC7" w:rsidP="00A3786D">
                  <w:pPr>
                    <w:pStyle w:val="TableBodyText"/>
                    <w:rPr>
                      <w:rFonts w:cs="Arial"/>
                      <w:szCs w:val="18"/>
                    </w:rPr>
                  </w:pPr>
                  <w:r w:rsidRPr="00A75ED1">
                    <w:rPr>
                      <w:rFonts w:cs="Arial"/>
                      <w:color w:val="000000"/>
                      <w:szCs w:val="18"/>
                    </w:rPr>
                    <w:t>372</w:t>
                  </w:r>
                </w:p>
              </w:tc>
              <w:tc>
                <w:tcPr>
                  <w:tcW w:w="555" w:type="pct"/>
                  <w:tcBorders>
                    <w:top w:val="nil"/>
                    <w:left w:val="nil"/>
                    <w:bottom w:val="nil"/>
                    <w:right w:val="nil"/>
                  </w:tcBorders>
                  <w:shd w:val="clear" w:color="auto" w:fill="auto"/>
                  <w:vAlign w:val="bottom"/>
                </w:tcPr>
                <w:p w14:paraId="7954CDB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149</w:t>
                  </w:r>
                </w:p>
              </w:tc>
              <w:tc>
                <w:tcPr>
                  <w:tcW w:w="555" w:type="pct"/>
                  <w:tcBorders>
                    <w:top w:val="nil"/>
                    <w:left w:val="nil"/>
                    <w:bottom w:val="nil"/>
                    <w:right w:val="nil"/>
                  </w:tcBorders>
                  <w:shd w:val="clear" w:color="auto" w:fill="auto"/>
                  <w:vAlign w:val="bottom"/>
                </w:tcPr>
                <w:p w14:paraId="7954CDB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149</w:t>
                  </w:r>
                </w:p>
              </w:tc>
              <w:tc>
                <w:tcPr>
                  <w:tcW w:w="555" w:type="pct"/>
                  <w:tcBorders>
                    <w:top w:val="nil"/>
                    <w:left w:val="nil"/>
                    <w:bottom w:val="nil"/>
                    <w:right w:val="nil"/>
                  </w:tcBorders>
                  <w:shd w:val="clear" w:color="auto" w:fill="auto"/>
                  <w:vAlign w:val="bottom"/>
                </w:tcPr>
                <w:p w14:paraId="7954CDB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149</w:t>
                  </w:r>
                </w:p>
              </w:tc>
              <w:tc>
                <w:tcPr>
                  <w:tcW w:w="553" w:type="pct"/>
                  <w:tcBorders>
                    <w:top w:val="nil"/>
                    <w:left w:val="nil"/>
                    <w:bottom w:val="nil"/>
                    <w:right w:val="nil"/>
                  </w:tcBorders>
                  <w:shd w:val="clear" w:color="auto" w:fill="auto"/>
                  <w:vAlign w:val="bottom"/>
                </w:tcPr>
                <w:p w14:paraId="7954CDB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149</w:t>
                  </w:r>
                </w:p>
              </w:tc>
            </w:tr>
            <w:tr w:rsidR="00F05DC7" w:rsidRPr="00A75ED1" w14:paraId="7954CDC0" w14:textId="77777777" w:rsidTr="00A3786D">
              <w:tc>
                <w:tcPr>
                  <w:tcW w:w="556" w:type="pct"/>
                </w:tcPr>
                <w:p w14:paraId="7954CDB7"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DB8" w14:textId="77777777" w:rsidR="00F05DC7" w:rsidRPr="00A75ED1" w:rsidRDefault="00F05DC7" w:rsidP="00A3786D">
                  <w:pPr>
                    <w:pStyle w:val="TableBodyText"/>
                    <w:rPr>
                      <w:rFonts w:cs="Arial"/>
                      <w:szCs w:val="18"/>
                    </w:rPr>
                  </w:pPr>
                  <w:r w:rsidRPr="00A75ED1">
                    <w:rPr>
                      <w:rFonts w:cs="Arial"/>
                      <w:color w:val="000000"/>
                      <w:szCs w:val="18"/>
                    </w:rPr>
                    <w:t>5</w:t>
                  </w:r>
                </w:p>
              </w:tc>
              <w:tc>
                <w:tcPr>
                  <w:tcW w:w="557" w:type="pct"/>
                  <w:tcBorders>
                    <w:top w:val="nil"/>
                    <w:left w:val="nil"/>
                    <w:bottom w:val="nil"/>
                    <w:right w:val="nil"/>
                  </w:tcBorders>
                  <w:shd w:val="clear" w:color="auto" w:fill="auto"/>
                  <w:vAlign w:val="bottom"/>
                </w:tcPr>
                <w:p w14:paraId="7954CDB9" w14:textId="77777777" w:rsidR="00F05DC7" w:rsidRPr="00A75ED1" w:rsidRDefault="00F05DC7" w:rsidP="00A3786D">
                  <w:pPr>
                    <w:pStyle w:val="TableBodyText"/>
                    <w:rPr>
                      <w:rFonts w:cs="Arial"/>
                      <w:szCs w:val="18"/>
                    </w:rPr>
                  </w:pPr>
                  <w:r w:rsidRPr="00A75ED1">
                    <w:rPr>
                      <w:rFonts w:cs="Arial"/>
                      <w:color w:val="000000"/>
                      <w:szCs w:val="18"/>
                    </w:rPr>
                    <w:t>33</w:t>
                  </w:r>
                </w:p>
              </w:tc>
              <w:tc>
                <w:tcPr>
                  <w:tcW w:w="556" w:type="pct"/>
                  <w:tcBorders>
                    <w:top w:val="nil"/>
                    <w:left w:val="nil"/>
                    <w:bottom w:val="nil"/>
                    <w:right w:val="nil"/>
                  </w:tcBorders>
                  <w:shd w:val="clear" w:color="auto" w:fill="auto"/>
                  <w:vAlign w:val="bottom"/>
                </w:tcPr>
                <w:p w14:paraId="7954CDB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185</w:t>
                  </w:r>
                </w:p>
              </w:tc>
              <w:tc>
                <w:tcPr>
                  <w:tcW w:w="556" w:type="pct"/>
                  <w:tcBorders>
                    <w:top w:val="nil"/>
                    <w:left w:val="nil"/>
                    <w:bottom w:val="nil"/>
                    <w:right w:val="nil"/>
                  </w:tcBorders>
                  <w:shd w:val="clear" w:color="auto" w:fill="auto"/>
                  <w:vAlign w:val="bottom"/>
                </w:tcPr>
                <w:p w14:paraId="7954CDBB" w14:textId="77777777" w:rsidR="00F05DC7" w:rsidRPr="00A75ED1" w:rsidRDefault="00F05DC7" w:rsidP="00A3786D">
                  <w:pPr>
                    <w:pStyle w:val="TableBodyText"/>
                    <w:rPr>
                      <w:rFonts w:cs="Arial"/>
                      <w:szCs w:val="18"/>
                    </w:rPr>
                  </w:pPr>
                  <w:r w:rsidRPr="00A75ED1">
                    <w:rPr>
                      <w:rFonts w:cs="Arial"/>
                      <w:color w:val="000000"/>
                      <w:szCs w:val="18"/>
                    </w:rPr>
                    <w:t>463</w:t>
                  </w:r>
                </w:p>
              </w:tc>
              <w:tc>
                <w:tcPr>
                  <w:tcW w:w="555" w:type="pct"/>
                  <w:tcBorders>
                    <w:top w:val="nil"/>
                    <w:left w:val="nil"/>
                    <w:bottom w:val="nil"/>
                    <w:right w:val="nil"/>
                  </w:tcBorders>
                  <w:shd w:val="clear" w:color="auto" w:fill="auto"/>
                  <w:vAlign w:val="bottom"/>
                </w:tcPr>
                <w:p w14:paraId="7954CDB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185</w:t>
                  </w:r>
                </w:p>
              </w:tc>
              <w:tc>
                <w:tcPr>
                  <w:tcW w:w="555" w:type="pct"/>
                  <w:tcBorders>
                    <w:top w:val="nil"/>
                    <w:left w:val="nil"/>
                    <w:bottom w:val="nil"/>
                    <w:right w:val="nil"/>
                  </w:tcBorders>
                  <w:shd w:val="clear" w:color="auto" w:fill="auto"/>
                  <w:vAlign w:val="bottom"/>
                </w:tcPr>
                <w:p w14:paraId="7954CDB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185</w:t>
                  </w:r>
                </w:p>
              </w:tc>
              <w:tc>
                <w:tcPr>
                  <w:tcW w:w="555" w:type="pct"/>
                  <w:tcBorders>
                    <w:top w:val="nil"/>
                    <w:left w:val="nil"/>
                    <w:bottom w:val="nil"/>
                    <w:right w:val="nil"/>
                  </w:tcBorders>
                  <w:shd w:val="clear" w:color="auto" w:fill="auto"/>
                  <w:vAlign w:val="bottom"/>
                </w:tcPr>
                <w:p w14:paraId="7954CDB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185</w:t>
                  </w:r>
                </w:p>
              </w:tc>
              <w:tc>
                <w:tcPr>
                  <w:tcW w:w="553" w:type="pct"/>
                  <w:tcBorders>
                    <w:top w:val="nil"/>
                    <w:left w:val="nil"/>
                    <w:bottom w:val="nil"/>
                    <w:right w:val="nil"/>
                  </w:tcBorders>
                  <w:shd w:val="clear" w:color="auto" w:fill="auto"/>
                  <w:vAlign w:val="bottom"/>
                </w:tcPr>
                <w:p w14:paraId="7954CDB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185</w:t>
                  </w:r>
                </w:p>
              </w:tc>
            </w:tr>
            <w:tr w:rsidR="00F05DC7" w:rsidRPr="00A75ED1" w14:paraId="7954CDCA" w14:textId="77777777" w:rsidTr="00A3786D">
              <w:tc>
                <w:tcPr>
                  <w:tcW w:w="556" w:type="pct"/>
                </w:tcPr>
                <w:p w14:paraId="7954CDC1"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DC2" w14:textId="77777777" w:rsidR="00F05DC7" w:rsidRPr="00A75ED1" w:rsidRDefault="00F05DC7" w:rsidP="00A3786D">
                  <w:pPr>
                    <w:pStyle w:val="TableBodyText"/>
                    <w:rPr>
                      <w:rFonts w:cs="Arial"/>
                      <w:szCs w:val="18"/>
                    </w:rPr>
                  </w:pPr>
                  <w:r w:rsidRPr="00A75ED1">
                    <w:rPr>
                      <w:rFonts w:cs="Arial"/>
                      <w:color w:val="000000"/>
                      <w:szCs w:val="18"/>
                    </w:rPr>
                    <w:t>5</w:t>
                  </w:r>
                </w:p>
              </w:tc>
              <w:tc>
                <w:tcPr>
                  <w:tcW w:w="557" w:type="pct"/>
                  <w:tcBorders>
                    <w:top w:val="nil"/>
                    <w:left w:val="nil"/>
                    <w:bottom w:val="nil"/>
                    <w:right w:val="nil"/>
                  </w:tcBorders>
                  <w:shd w:val="clear" w:color="auto" w:fill="auto"/>
                  <w:vAlign w:val="bottom"/>
                </w:tcPr>
                <w:p w14:paraId="7954CDC3" w14:textId="77777777" w:rsidR="00F05DC7" w:rsidRPr="00A75ED1" w:rsidRDefault="00F05DC7" w:rsidP="00A3786D">
                  <w:pPr>
                    <w:pStyle w:val="TableBodyText"/>
                    <w:rPr>
                      <w:rFonts w:cs="Arial"/>
                      <w:szCs w:val="18"/>
                    </w:rPr>
                  </w:pPr>
                  <w:r w:rsidRPr="00A75ED1">
                    <w:rPr>
                      <w:rFonts w:cs="Arial"/>
                      <w:color w:val="000000"/>
                      <w:szCs w:val="18"/>
                    </w:rPr>
                    <w:t>39</w:t>
                  </w:r>
                </w:p>
              </w:tc>
              <w:tc>
                <w:tcPr>
                  <w:tcW w:w="556" w:type="pct"/>
                  <w:tcBorders>
                    <w:top w:val="nil"/>
                    <w:left w:val="nil"/>
                    <w:bottom w:val="nil"/>
                    <w:right w:val="nil"/>
                  </w:tcBorders>
                  <w:shd w:val="clear" w:color="auto" w:fill="auto"/>
                  <w:vAlign w:val="bottom"/>
                </w:tcPr>
                <w:p w14:paraId="7954CDC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222</w:t>
                  </w:r>
                </w:p>
              </w:tc>
              <w:tc>
                <w:tcPr>
                  <w:tcW w:w="556" w:type="pct"/>
                  <w:tcBorders>
                    <w:top w:val="nil"/>
                    <w:left w:val="nil"/>
                    <w:bottom w:val="nil"/>
                    <w:right w:val="nil"/>
                  </w:tcBorders>
                  <w:shd w:val="clear" w:color="auto" w:fill="auto"/>
                  <w:vAlign w:val="bottom"/>
                </w:tcPr>
                <w:p w14:paraId="7954CDC5" w14:textId="77777777" w:rsidR="00F05DC7" w:rsidRPr="00A75ED1" w:rsidRDefault="00F05DC7" w:rsidP="00A3786D">
                  <w:pPr>
                    <w:pStyle w:val="TableBodyText"/>
                    <w:rPr>
                      <w:rFonts w:cs="Arial"/>
                      <w:szCs w:val="18"/>
                    </w:rPr>
                  </w:pPr>
                  <w:r w:rsidRPr="00A75ED1">
                    <w:rPr>
                      <w:rFonts w:cs="Arial"/>
                      <w:color w:val="000000"/>
                      <w:szCs w:val="18"/>
                    </w:rPr>
                    <w:t>559</w:t>
                  </w:r>
                </w:p>
              </w:tc>
              <w:tc>
                <w:tcPr>
                  <w:tcW w:w="555" w:type="pct"/>
                  <w:tcBorders>
                    <w:top w:val="nil"/>
                    <w:left w:val="nil"/>
                    <w:bottom w:val="nil"/>
                    <w:right w:val="nil"/>
                  </w:tcBorders>
                  <w:shd w:val="clear" w:color="auto" w:fill="auto"/>
                  <w:vAlign w:val="bottom"/>
                </w:tcPr>
                <w:p w14:paraId="7954CDC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222</w:t>
                  </w:r>
                </w:p>
              </w:tc>
              <w:tc>
                <w:tcPr>
                  <w:tcW w:w="555" w:type="pct"/>
                  <w:tcBorders>
                    <w:top w:val="nil"/>
                    <w:left w:val="nil"/>
                    <w:bottom w:val="nil"/>
                    <w:right w:val="nil"/>
                  </w:tcBorders>
                  <w:shd w:val="clear" w:color="auto" w:fill="auto"/>
                  <w:vAlign w:val="bottom"/>
                </w:tcPr>
                <w:p w14:paraId="7954CDC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222</w:t>
                  </w:r>
                </w:p>
              </w:tc>
              <w:tc>
                <w:tcPr>
                  <w:tcW w:w="555" w:type="pct"/>
                  <w:tcBorders>
                    <w:top w:val="nil"/>
                    <w:left w:val="nil"/>
                    <w:bottom w:val="nil"/>
                    <w:right w:val="nil"/>
                  </w:tcBorders>
                  <w:shd w:val="clear" w:color="auto" w:fill="auto"/>
                  <w:vAlign w:val="bottom"/>
                </w:tcPr>
                <w:p w14:paraId="7954CDC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222</w:t>
                  </w:r>
                </w:p>
              </w:tc>
              <w:tc>
                <w:tcPr>
                  <w:tcW w:w="553" w:type="pct"/>
                  <w:tcBorders>
                    <w:top w:val="nil"/>
                    <w:left w:val="nil"/>
                    <w:bottom w:val="nil"/>
                    <w:right w:val="nil"/>
                  </w:tcBorders>
                  <w:shd w:val="clear" w:color="auto" w:fill="auto"/>
                  <w:vAlign w:val="bottom"/>
                </w:tcPr>
                <w:p w14:paraId="7954CDC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222</w:t>
                  </w:r>
                </w:p>
              </w:tc>
            </w:tr>
            <w:tr w:rsidR="00F05DC7" w:rsidRPr="00A75ED1" w14:paraId="7954CDD4" w14:textId="77777777" w:rsidTr="002341D7">
              <w:tc>
                <w:tcPr>
                  <w:tcW w:w="556" w:type="pct"/>
                </w:tcPr>
                <w:p w14:paraId="7954CDCB"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CDCC" w14:textId="77777777" w:rsidR="00F05DC7" w:rsidRPr="00A75ED1" w:rsidRDefault="00F05DC7" w:rsidP="00A3786D">
                  <w:pPr>
                    <w:pStyle w:val="TableBodyText"/>
                    <w:rPr>
                      <w:rFonts w:cs="Arial"/>
                      <w:szCs w:val="18"/>
                    </w:rPr>
                  </w:pPr>
                  <w:r w:rsidRPr="00A75ED1">
                    <w:rPr>
                      <w:rFonts w:cs="Arial"/>
                      <w:color w:val="000000"/>
                      <w:szCs w:val="18"/>
                    </w:rPr>
                    <w:t>5</w:t>
                  </w:r>
                </w:p>
              </w:tc>
              <w:tc>
                <w:tcPr>
                  <w:tcW w:w="557" w:type="pct"/>
                  <w:tcBorders>
                    <w:top w:val="nil"/>
                    <w:left w:val="nil"/>
                    <w:right w:val="nil"/>
                  </w:tcBorders>
                  <w:shd w:val="clear" w:color="auto" w:fill="auto"/>
                  <w:vAlign w:val="bottom"/>
                </w:tcPr>
                <w:p w14:paraId="7954CDCD" w14:textId="77777777" w:rsidR="00F05DC7" w:rsidRPr="00A75ED1" w:rsidRDefault="00F05DC7" w:rsidP="00A3786D">
                  <w:pPr>
                    <w:pStyle w:val="TableBodyText"/>
                    <w:rPr>
                      <w:rFonts w:cs="Arial"/>
                      <w:szCs w:val="18"/>
                    </w:rPr>
                  </w:pPr>
                  <w:r w:rsidRPr="00A75ED1">
                    <w:rPr>
                      <w:rFonts w:cs="Arial"/>
                      <w:color w:val="000000"/>
                      <w:szCs w:val="18"/>
                    </w:rPr>
                    <w:t>45</w:t>
                  </w:r>
                </w:p>
              </w:tc>
              <w:tc>
                <w:tcPr>
                  <w:tcW w:w="556" w:type="pct"/>
                  <w:tcBorders>
                    <w:top w:val="nil"/>
                    <w:left w:val="nil"/>
                    <w:right w:val="nil"/>
                  </w:tcBorders>
                  <w:shd w:val="clear" w:color="auto" w:fill="auto"/>
                  <w:vAlign w:val="bottom"/>
                </w:tcPr>
                <w:p w14:paraId="7954CDC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c>
                <w:tcPr>
                  <w:tcW w:w="556" w:type="pct"/>
                  <w:tcBorders>
                    <w:top w:val="nil"/>
                    <w:left w:val="nil"/>
                    <w:right w:val="nil"/>
                  </w:tcBorders>
                  <w:shd w:val="clear" w:color="auto" w:fill="auto"/>
                  <w:vAlign w:val="bottom"/>
                </w:tcPr>
                <w:p w14:paraId="7954CDCF" w14:textId="77777777" w:rsidR="00F05DC7" w:rsidRPr="00A75ED1" w:rsidRDefault="00F05DC7" w:rsidP="00A3786D">
                  <w:pPr>
                    <w:pStyle w:val="TableBodyText"/>
                    <w:rPr>
                      <w:rFonts w:cs="Arial"/>
                      <w:szCs w:val="18"/>
                    </w:rPr>
                  </w:pPr>
                  <w:r w:rsidRPr="00A75ED1">
                    <w:rPr>
                      <w:rFonts w:cs="Arial"/>
                      <w:color w:val="000000"/>
                      <w:szCs w:val="18"/>
                    </w:rPr>
                    <w:t>662</w:t>
                  </w:r>
                </w:p>
              </w:tc>
              <w:tc>
                <w:tcPr>
                  <w:tcW w:w="555" w:type="pct"/>
                  <w:tcBorders>
                    <w:top w:val="nil"/>
                    <w:left w:val="nil"/>
                    <w:right w:val="nil"/>
                  </w:tcBorders>
                  <w:shd w:val="clear" w:color="auto" w:fill="auto"/>
                  <w:vAlign w:val="bottom"/>
                </w:tcPr>
                <w:p w14:paraId="7954CDD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c>
                <w:tcPr>
                  <w:tcW w:w="555" w:type="pct"/>
                  <w:tcBorders>
                    <w:top w:val="nil"/>
                    <w:left w:val="nil"/>
                    <w:right w:val="nil"/>
                  </w:tcBorders>
                  <w:shd w:val="clear" w:color="auto" w:fill="auto"/>
                  <w:vAlign w:val="bottom"/>
                </w:tcPr>
                <w:p w14:paraId="7954CDD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c>
                <w:tcPr>
                  <w:tcW w:w="555" w:type="pct"/>
                  <w:tcBorders>
                    <w:top w:val="nil"/>
                    <w:left w:val="nil"/>
                    <w:right w:val="nil"/>
                  </w:tcBorders>
                  <w:shd w:val="clear" w:color="auto" w:fill="auto"/>
                  <w:vAlign w:val="bottom"/>
                </w:tcPr>
                <w:p w14:paraId="7954CDD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c>
                <w:tcPr>
                  <w:tcW w:w="553" w:type="pct"/>
                  <w:tcBorders>
                    <w:top w:val="nil"/>
                    <w:left w:val="nil"/>
                    <w:right w:val="nil"/>
                  </w:tcBorders>
                  <w:shd w:val="clear" w:color="auto" w:fill="auto"/>
                  <w:vAlign w:val="bottom"/>
                </w:tcPr>
                <w:p w14:paraId="7954CDD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261</w:t>
                  </w:r>
                </w:p>
              </w:tc>
            </w:tr>
            <w:tr w:rsidR="00F05DC7" w:rsidRPr="00A75ED1" w14:paraId="7954CDD6" w14:textId="77777777" w:rsidTr="002341D7">
              <w:tc>
                <w:tcPr>
                  <w:tcW w:w="5000" w:type="pct"/>
                  <w:gridSpan w:val="9"/>
                  <w:shd w:val="clear" w:color="auto" w:fill="F2F2F2" w:themeFill="background1" w:themeFillShade="F2"/>
                </w:tcPr>
                <w:p w14:paraId="7954CDD5"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CDE0" w14:textId="77777777" w:rsidTr="00A3786D">
              <w:tc>
                <w:tcPr>
                  <w:tcW w:w="556" w:type="pct"/>
                  <w:shd w:val="clear" w:color="auto" w:fill="auto"/>
                  <w:vAlign w:val="bottom"/>
                </w:tcPr>
                <w:p w14:paraId="7954CDD7" w14:textId="77777777" w:rsidR="00F05DC7" w:rsidRPr="00911F46" w:rsidRDefault="00F05DC7" w:rsidP="00A3786D">
                  <w:pPr>
                    <w:pStyle w:val="TableBodyText"/>
                  </w:pPr>
                  <w:r w:rsidRPr="00911F46">
                    <w:t>2019</w:t>
                  </w:r>
                  <w:r>
                    <w:noBreakHyphen/>
                  </w:r>
                  <w:r w:rsidRPr="00911F46">
                    <w:t>20</w:t>
                  </w:r>
                </w:p>
              </w:tc>
              <w:tc>
                <w:tcPr>
                  <w:tcW w:w="557" w:type="pct"/>
                  <w:tcBorders>
                    <w:top w:val="nil"/>
                    <w:left w:val="nil"/>
                    <w:bottom w:val="nil"/>
                    <w:right w:val="nil"/>
                  </w:tcBorders>
                  <w:shd w:val="clear" w:color="auto" w:fill="auto"/>
                  <w:vAlign w:val="bottom"/>
                </w:tcPr>
                <w:p w14:paraId="7954CDD8" w14:textId="77777777" w:rsidR="00F05DC7" w:rsidRPr="00911F46" w:rsidRDefault="00F05DC7" w:rsidP="00A3786D">
                  <w:pPr>
                    <w:pStyle w:val="TableBodyText"/>
                  </w:pPr>
                  <w:r w:rsidRPr="00911F46">
                    <w:rPr>
                      <w:color w:val="000000"/>
                    </w:rPr>
                    <w:t>0.11</w:t>
                  </w:r>
                </w:p>
              </w:tc>
              <w:tc>
                <w:tcPr>
                  <w:tcW w:w="557" w:type="pct"/>
                  <w:tcBorders>
                    <w:top w:val="nil"/>
                    <w:left w:val="nil"/>
                    <w:bottom w:val="nil"/>
                    <w:right w:val="nil"/>
                  </w:tcBorders>
                  <w:shd w:val="clear" w:color="auto" w:fill="auto"/>
                  <w:vAlign w:val="bottom"/>
                </w:tcPr>
                <w:p w14:paraId="7954CDD9" w14:textId="77777777" w:rsidR="00F05DC7" w:rsidRPr="00911F46" w:rsidRDefault="00F05DC7" w:rsidP="00A3786D">
                  <w:pPr>
                    <w:pStyle w:val="TableBodyText"/>
                  </w:pPr>
                  <w:r>
                    <w:rPr>
                      <w:color w:val="000000"/>
                    </w:rPr>
                    <w:noBreakHyphen/>
                  </w:r>
                  <w:r w:rsidRPr="00911F46">
                    <w:rPr>
                      <w:color w:val="000000"/>
                    </w:rPr>
                    <w:t>0.23</w:t>
                  </w:r>
                </w:p>
              </w:tc>
              <w:tc>
                <w:tcPr>
                  <w:tcW w:w="556" w:type="pct"/>
                  <w:tcBorders>
                    <w:top w:val="nil"/>
                    <w:left w:val="nil"/>
                    <w:bottom w:val="nil"/>
                    <w:right w:val="nil"/>
                  </w:tcBorders>
                  <w:shd w:val="clear" w:color="auto" w:fill="auto"/>
                  <w:vAlign w:val="bottom"/>
                </w:tcPr>
                <w:p w14:paraId="7954CDDA" w14:textId="77777777" w:rsidR="00F05DC7" w:rsidRPr="00911F46" w:rsidRDefault="00F05DC7" w:rsidP="00A3786D">
                  <w:pPr>
                    <w:pStyle w:val="TableBodyText"/>
                  </w:pPr>
                  <w:r>
                    <w:rPr>
                      <w:color w:val="000000"/>
                    </w:rPr>
                    <w:noBreakHyphen/>
                  </w:r>
                  <w:r w:rsidRPr="00911F46">
                    <w:rPr>
                      <w:color w:val="000000"/>
                    </w:rPr>
                    <w:t>0.29</w:t>
                  </w:r>
                </w:p>
              </w:tc>
              <w:tc>
                <w:tcPr>
                  <w:tcW w:w="556" w:type="pct"/>
                  <w:tcBorders>
                    <w:top w:val="nil"/>
                    <w:left w:val="nil"/>
                    <w:bottom w:val="nil"/>
                    <w:right w:val="nil"/>
                  </w:tcBorders>
                  <w:shd w:val="clear" w:color="auto" w:fill="auto"/>
                  <w:vAlign w:val="bottom"/>
                </w:tcPr>
                <w:p w14:paraId="7954CDDB" w14:textId="77777777" w:rsidR="00F05DC7" w:rsidRPr="00911F46" w:rsidRDefault="00F05DC7" w:rsidP="00A3786D">
                  <w:pPr>
                    <w:pStyle w:val="TableBodyText"/>
                  </w:pPr>
                  <w:r w:rsidRPr="00911F46">
                    <w:rPr>
                      <w:color w:val="000000"/>
                    </w:rPr>
                    <w:t>1.11</w:t>
                  </w:r>
                </w:p>
              </w:tc>
              <w:tc>
                <w:tcPr>
                  <w:tcW w:w="555" w:type="pct"/>
                  <w:tcBorders>
                    <w:top w:val="nil"/>
                    <w:left w:val="nil"/>
                    <w:bottom w:val="nil"/>
                    <w:right w:val="nil"/>
                  </w:tcBorders>
                  <w:shd w:val="clear" w:color="auto" w:fill="auto"/>
                  <w:vAlign w:val="bottom"/>
                </w:tcPr>
                <w:p w14:paraId="7954CDDC" w14:textId="77777777" w:rsidR="00F05DC7" w:rsidRPr="00911F46" w:rsidRDefault="00F05DC7" w:rsidP="00A3786D">
                  <w:pPr>
                    <w:pStyle w:val="TableBodyText"/>
                  </w:pPr>
                  <w:r>
                    <w:rPr>
                      <w:color w:val="000000"/>
                    </w:rPr>
                    <w:noBreakHyphen/>
                  </w:r>
                  <w:r w:rsidRPr="00911F46">
                    <w:rPr>
                      <w:color w:val="000000"/>
                    </w:rPr>
                    <w:t>0.30</w:t>
                  </w:r>
                </w:p>
              </w:tc>
              <w:tc>
                <w:tcPr>
                  <w:tcW w:w="555" w:type="pct"/>
                  <w:tcBorders>
                    <w:top w:val="nil"/>
                    <w:left w:val="nil"/>
                    <w:bottom w:val="nil"/>
                    <w:right w:val="nil"/>
                  </w:tcBorders>
                  <w:shd w:val="clear" w:color="auto" w:fill="auto"/>
                  <w:vAlign w:val="bottom"/>
                </w:tcPr>
                <w:p w14:paraId="7954CDDD" w14:textId="77777777" w:rsidR="00F05DC7" w:rsidRPr="00911F46" w:rsidRDefault="00F05DC7" w:rsidP="00A3786D">
                  <w:pPr>
                    <w:pStyle w:val="TableBodyText"/>
                  </w:pPr>
                  <w:r>
                    <w:rPr>
                      <w:color w:val="000000"/>
                    </w:rPr>
                    <w:noBreakHyphen/>
                  </w:r>
                  <w:r w:rsidRPr="00911F46">
                    <w:rPr>
                      <w:color w:val="000000"/>
                    </w:rPr>
                    <w:t>0.29</w:t>
                  </w:r>
                </w:p>
              </w:tc>
              <w:tc>
                <w:tcPr>
                  <w:tcW w:w="555" w:type="pct"/>
                  <w:tcBorders>
                    <w:top w:val="nil"/>
                    <w:left w:val="nil"/>
                    <w:bottom w:val="nil"/>
                    <w:right w:val="nil"/>
                  </w:tcBorders>
                  <w:shd w:val="clear" w:color="auto" w:fill="auto"/>
                  <w:vAlign w:val="bottom"/>
                </w:tcPr>
                <w:p w14:paraId="7954CDDE" w14:textId="77777777" w:rsidR="00F05DC7" w:rsidRPr="00911F46" w:rsidRDefault="00F05DC7" w:rsidP="00A3786D">
                  <w:pPr>
                    <w:pStyle w:val="TableBodyText"/>
                  </w:pPr>
                  <w:r>
                    <w:rPr>
                      <w:color w:val="000000"/>
                    </w:rPr>
                    <w:noBreakHyphen/>
                  </w:r>
                  <w:r w:rsidRPr="00911F46">
                    <w:rPr>
                      <w:color w:val="000000"/>
                    </w:rPr>
                    <w:t>0.24</w:t>
                  </w:r>
                </w:p>
              </w:tc>
              <w:tc>
                <w:tcPr>
                  <w:tcW w:w="553" w:type="pct"/>
                  <w:tcBorders>
                    <w:top w:val="nil"/>
                    <w:left w:val="nil"/>
                    <w:bottom w:val="nil"/>
                    <w:right w:val="nil"/>
                  </w:tcBorders>
                  <w:shd w:val="clear" w:color="auto" w:fill="auto"/>
                  <w:vAlign w:val="bottom"/>
                </w:tcPr>
                <w:p w14:paraId="7954CDDF" w14:textId="77777777" w:rsidR="00F05DC7" w:rsidRPr="00911F46" w:rsidRDefault="00F05DC7" w:rsidP="00A3786D">
                  <w:pPr>
                    <w:pStyle w:val="TableBodyText"/>
                  </w:pPr>
                  <w:r>
                    <w:rPr>
                      <w:color w:val="000000"/>
                    </w:rPr>
                    <w:noBreakHyphen/>
                  </w:r>
                  <w:r w:rsidRPr="00911F46">
                    <w:rPr>
                      <w:color w:val="000000"/>
                    </w:rPr>
                    <w:t>0.15</w:t>
                  </w:r>
                </w:p>
              </w:tc>
            </w:tr>
            <w:tr w:rsidR="00F05DC7" w:rsidRPr="00A75ED1" w14:paraId="7954CDEA" w14:textId="77777777" w:rsidTr="00A3786D">
              <w:tc>
                <w:tcPr>
                  <w:tcW w:w="556" w:type="pct"/>
                  <w:shd w:val="clear" w:color="auto" w:fill="auto"/>
                  <w:vAlign w:val="bottom"/>
                </w:tcPr>
                <w:p w14:paraId="7954CDE1" w14:textId="77777777" w:rsidR="00F05DC7" w:rsidRPr="00911F46" w:rsidRDefault="00F05DC7" w:rsidP="00A3786D">
                  <w:pPr>
                    <w:pStyle w:val="TableBodyText"/>
                  </w:pPr>
                  <w:r w:rsidRPr="00911F46">
                    <w:t>2020</w:t>
                  </w:r>
                  <w:r>
                    <w:noBreakHyphen/>
                  </w:r>
                  <w:r w:rsidRPr="00911F46">
                    <w:t>21</w:t>
                  </w:r>
                </w:p>
              </w:tc>
              <w:tc>
                <w:tcPr>
                  <w:tcW w:w="557" w:type="pct"/>
                  <w:tcBorders>
                    <w:top w:val="nil"/>
                    <w:left w:val="nil"/>
                    <w:bottom w:val="nil"/>
                    <w:right w:val="nil"/>
                  </w:tcBorders>
                  <w:shd w:val="clear" w:color="auto" w:fill="auto"/>
                  <w:vAlign w:val="bottom"/>
                </w:tcPr>
                <w:p w14:paraId="7954CDE2" w14:textId="77777777" w:rsidR="00F05DC7" w:rsidRPr="00911F46" w:rsidRDefault="00F05DC7" w:rsidP="00A3786D">
                  <w:pPr>
                    <w:pStyle w:val="TableBodyText"/>
                  </w:pPr>
                  <w:r w:rsidRPr="00911F46">
                    <w:rPr>
                      <w:color w:val="000000"/>
                    </w:rPr>
                    <w:t>0.17</w:t>
                  </w:r>
                </w:p>
              </w:tc>
              <w:tc>
                <w:tcPr>
                  <w:tcW w:w="557" w:type="pct"/>
                  <w:tcBorders>
                    <w:top w:val="nil"/>
                    <w:left w:val="nil"/>
                    <w:bottom w:val="nil"/>
                    <w:right w:val="nil"/>
                  </w:tcBorders>
                  <w:shd w:val="clear" w:color="auto" w:fill="auto"/>
                  <w:vAlign w:val="bottom"/>
                </w:tcPr>
                <w:p w14:paraId="7954CDE3" w14:textId="77777777" w:rsidR="00F05DC7" w:rsidRPr="00911F46" w:rsidRDefault="00F05DC7" w:rsidP="00A3786D">
                  <w:pPr>
                    <w:pStyle w:val="TableBodyText"/>
                  </w:pPr>
                  <w:r>
                    <w:rPr>
                      <w:color w:val="000000"/>
                    </w:rPr>
                    <w:noBreakHyphen/>
                  </w:r>
                  <w:r w:rsidRPr="00911F46">
                    <w:rPr>
                      <w:color w:val="000000"/>
                    </w:rPr>
                    <w:t>0.33</w:t>
                  </w:r>
                </w:p>
              </w:tc>
              <w:tc>
                <w:tcPr>
                  <w:tcW w:w="556" w:type="pct"/>
                  <w:tcBorders>
                    <w:top w:val="nil"/>
                    <w:left w:val="nil"/>
                    <w:bottom w:val="nil"/>
                    <w:right w:val="nil"/>
                  </w:tcBorders>
                  <w:shd w:val="clear" w:color="auto" w:fill="auto"/>
                  <w:vAlign w:val="bottom"/>
                </w:tcPr>
                <w:p w14:paraId="7954CDE4" w14:textId="77777777" w:rsidR="00F05DC7" w:rsidRPr="00911F46" w:rsidRDefault="00F05DC7" w:rsidP="00A3786D">
                  <w:pPr>
                    <w:pStyle w:val="TableBodyText"/>
                  </w:pPr>
                  <w:r>
                    <w:rPr>
                      <w:color w:val="000000"/>
                    </w:rPr>
                    <w:noBreakHyphen/>
                  </w:r>
                  <w:r w:rsidRPr="00911F46">
                    <w:rPr>
                      <w:color w:val="000000"/>
                    </w:rPr>
                    <w:t>0.57</w:t>
                  </w:r>
                </w:p>
              </w:tc>
              <w:tc>
                <w:tcPr>
                  <w:tcW w:w="556" w:type="pct"/>
                  <w:tcBorders>
                    <w:top w:val="nil"/>
                    <w:left w:val="nil"/>
                    <w:bottom w:val="nil"/>
                    <w:right w:val="nil"/>
                  </w:tcBorders>
                  <w:shd w:val="clear" w:color="auto" w:fill="auto"/>
                  <w:vAlign w:val="bottom"/>
                </w:tcPr>
                <w:p w14:paraId="7954CDE5" w14:textId="77777777" w:rsidR="00F05DC7" w:rsidRPr="00911F46" w:rsidRDefault="00F05DC7" w:rsidP="00A3786D">
                  <w:pPr>
                    <w:pStyle w:val="TableBodyText"/>
                  </w:pPr>
                  <w:r w:rsidRPr="00911F46">
                    <w:rPr>
                      <w:color w:val="000000"/>
                    </w:rPr>
                    <w:t>1.89</w:t>
                  </w:r>
                </w:p>
              </w:tc>
              <w:tc>
                <w:tcPr>
                  <w:tcW w:w="555" w:type="pct"/>
                  <w:tcBorders>
                    <w:top w:val="nil"/>
                    <w:left w:val="nil"/>
                    <w:bottom w:val="nil"/>
                    <w:right w:val="nil"/>
                  </w:tcBorders>
                  <w:shd w:val="clear" w:color="auto" w:fill="auto"/>
                  <w:vAlign w:val="bottom"/>
                </w:tcPr>
                <w:p w14:paraId="7954CDE6" w14:textId="77777777" w:rsidR="00F05DC7" w:rsidRPr="00911F46" w:rsidRDefault="00F05DC7" w:rsidP="00A3786D">
                  <w:pPr>
                    <w:pStyle w:val="TableBodyText"/>
                  </w:pPr>
                  <w:r>
                    <w:rPr>
                      <w:color w:val="000000"/>
                    </w:rPr>
                    <w:noBreakHyphen/>
                  </w:r>
                  <w:r w:rsidRPr="00911F46">
                    <w:rPr>
                      <w:color w:val="000000"/>
                    </w:rPr>
                    <w:t>0.57</w:t>
                  </w:r>
                </w:p>
              </w:tc>
              <w:tc>
                <w:tcPr>
                  <w:tcW w:w="555" w:type="pct"/>
                  <w:tcBorders>
                    <w:top w:val="nil"/>
                    <w:left w:val="nil"/>
                    <w:bottom w:val="nil"/>
                    <w:right w:val="nil"/>
                  </w:tcBorders>
                  <w:shd w:val="clear" w:color="auto" w:fill="auto"/>
                  <w:vAlign w:val="bottom"/>
                </w:tcPr>
                <w:p w14:paraId="7954CDE7" w14:textId="77777777" w:rsidR="00F05DC7" w:rsidRPr="00911F46" w:rsidRDefault="00F05DC7" w:rsidP="00A3786D">
                  <w:pPr>
                    <w:pStyle w:val="TableBodyText"/>
                  </w:pPr>
                  <w:r>
                    <w:rPr>
                      <w:color w:val="000000"/>
                    </w:rPr>
                    <w:noBreakHyphen/>
                  </w:r>
                  <w:r w:rsidRPr="00911F46">
                    <w:rPr>
                      <w:color w:val="000000"/>
                    </w:rPr>
                    <w:t>0.58</w:t>
                  </w:r>
                </w:p>
              </w:tc>
              <w:tc>
                <w:tcPr>
                  <w:tcW w:w="555" w:type="pct"/>
                  <w:tcBorders>
                    <w:top w:val="nil"/>
                    <w:left w:val="nil"/>
                    <w:bottom w:val="nil"/>
                    <w:right w:val="nil"/>
                  </w:tcBorders>
                  <w:shd w:val="clear" w:color="auto" w:fill="auto"/>
                  <w:vAlign w:val="bottom"/>
                </w:tcPr>
                <w:p w14:paraId="7954CDE8" w14:textId="77777777" w:rsidR="00F05DC7" w:rsidRPr="00911F46" w:rsidRDefault="00F05DC7" w:rsidP="00A3786D">
                  <w:pPr>
                    <w:pStyle w:val="TableBodyText"/>
                  </w:pPr>
                  <w:r>
                    <w:rPr>
                      <w:color w:val="000000"/>
                    </w:rPr>
                    <w:noBreakHyphen/>
                  </w:r>
                  <w:r w:rsidRPr="00911F46">
                    <w:rPr>
                      <w:color w:val="000000"/>
                    </w:rPr>
                    <w:t>0.45</w:t>
                  </w:r>
                </w:p>
              </w:tc>
              <w:tc>
                <w:tcPr>
                  <w:tcW w:w="553" w:type="pct"/>
                  <w:tcBorders>
                    <w:top w:val="nil"/>
                    <w:left w:val="nil"/>
                    <w:bottom w:val="nil"/>
                    <w:right w:val="nil"/>
                  </w:tcBorders>
                  <w:shd w:val="clear" w:color="auto" w:fill="auto"/>
                  <w:vAlign w:val="bottom"/>
                </w:tcPr>
                <w:p w14:paraId="7954CDE9" w14:textId="77777777" w:rsidR="00F05DC7" w:rsidRPr="00911F46" w:rsidRDefault="00F05DC7" w:rsidP="00A3786D">
                  <w:pPr>
                    <w:pStyle w:val="TableBodyText"/>
                  </w:pPr>
                  <w:r>
                    <w:rPr>
                      <w:color w:val="000000"/>
                    </w:rPr>
                    <w:noBreakHyphen/>
                  </w:r>
                  <w:r w:rsidRPr="00911F46">
                    <w:rPr>
                      <w:color w:val="000000"/>
                    </w:rPr>
                    <w:t>0.30</w:t>
                  </w:r>
                </w:p>
              </w:tc>
            </w:tr>
            <w:tr w:rsidR="00F05DC7" w:rsidRPr="00A75ED1" w14:paraId="7954CDF4" w14:textId="77777777" w:rsidTr="00A3786D">
              <w:tc>
                <w:tcPr>
                  <w:tcW w:w="556" w:type="pct"/>
                  <w:shd w:val="clear" w:color="auto" w:fill="auto"/>
                  <w:vAlign w:val="bottom"/>
                </w:tcPr>
                <w:p w14:paraId="7954CDEB" w14:textId="77777777" w:rsidR="00F05DC7" w:rsidRPr="00911F46" w:rsidRDefault="00F05DC7" w:rsidP="00A3786D">
                  <w:pPr>
                    <w:pStyle w:val="TableBodyText"/>
                  </w:pPr>
                  <w:r w:rsidRPr="00911F46">
                    <w:t>2021</w:t>
                  </w:r>
                  <w:r>
                    <w:noBreakHyphen/>
                  </w:r>
                  <w:r w:rsidRPr="00911F46">
                    <w:t>22</w:t>
                  </w:r>
                </w:p>
              </w:tc>
              <w:tc>
                <w:tcPr>
                  <w:tcW w:w="557" w:type="pct"/>
                  <w:tcBorders>
                    <w:top w:val="nil"/>
                    <w:left w:val="nil"/>
                    <w:bottom w:val="nil"/>
                    <w:right w:val="nil"/>
                  </w:tcBorders>
                  <w:shd w:val="clear" w:color="auto" w:fill="auto"/>
                  <w:vAlign w:val="bottom"/>
                </w:tcPr>
                <w:p w14:paraId="7954CDEC" w14:textId="77777777" w:rsidR="00F05DC7" w:rsidRPr="00911F46" w:rsidRDefault="00F05DC7" w:rsidP="00A3786D">
                  <w:pPr>
                    <w:pStyle w:val="TableBodyText"/>
                  </w:pPr>
                  <w:r w:rsidRPr="00911F46">
                    <w:rPr>
                      <w:color w:val="000000"/>
                    </w:rPr>
                    <w:t>0.17</w:t>
                  </w:r>
                </w:p>
              </w:tc>
              <w:tc>
                <w:tcPr>
                  <w:tcW w:w="557" w:type="pct"/>
                  <w:tcBorders>
                    <w:top w:val="nil"/>
                    <w:left w:val="nil"/>
                    <w:bottom w:val="nil"/>
                    <w:right w:val="nil"/>
                  </w:tcBorders>
                  <w:shd w:val="clear" w:color="auto" w:fill="auto"/>
                  <w:vAlign w:val="bottom"/>
                </w:tcPr>
                <w:p w14:paraId="7954CDED" w14:textId="77777777" w:rsidR="00F05DC7" w:rsidRPr="00911F46" w:rsidRDefault="00F05DC7" w:rsidP="00A3786D">
                  <w:pPr>
                    <w:pStyle w:val="TableBodyText"/>
                  </w:pPr>
                  <w:r>
                    <w:rPr>
                      <w:color w:val="000000"/>
                    </w:rPr>
                    <w:noBreakHyphen/>
                  </w:r>
                  <w:r w:rsidRPr="00911F46">
                    <w:rPr>
                      <w:color w:val="000000"/>
                    </w:rPr>
                    <w:t>0.28</w:t>
                  </w:r>
                </w:p>
              </w:tc>
              <w:tc>
                <w:tcPr>
                  <w:tcW w:w="556" w:type="pct"/>
                  <w:tcBorders>
                    <w:top w:val="nil"/>
                    <w:left w:val="nil"/>
                    <w:bottom w:val="nil"/>
                    <w:right w:val="nil"/>
                  </w:tcBorders>
                  <w:shd w:val="clear" w:color="auto" w:fill="auto"/>
                  <w:vAlign w:val="bottom"/>
                </w:tcPr>
                <w:p w14:paraId="7954CDEE" w14:textId="77777777" w:rsidR="00F05DC7" w:rsidRPr="00911F46" w:rsidRDefault="00F05DC7" w:rsidP="00A3786D">
                  <w:pPr>
                    <w:pStyle w:val="TableBodyText"/>
                  </w:pPr>
                  <w:r>
                    <w:rPr>
                      <w:color w:val="000000"/>
                    </w:rPr>
                    <w:noBreakHyphen/>
                  </w:r>
                  <w:r w:rsidRPr="00911F46">
                    <w:rPr>
                      <w:color w:val="000000"/>
                    </w:rPr>
                    <w:t>0.81</w:t>
                  </w:r>
                </w:p>
              </w:tc>
              <w:tc>
                <w:tcPr>
                  <w:tcW w:w="556" w:type="pct"/>
                  <w:tcBorders>
                    <w:top w:val="nil"/>
                    <w:left w:val="nil"/>
                    <w:bottom w:val="nil"/>
                    <w:right w:val="nil"/>
                  </w:tcBorders>
                  <w:shd w:val="clear" w:color="auto" w:fill="auto"/>
                  <w:vAlign w:val="bottom"/>
                </w:tcPr>
                <w:p w14:paraId="7954CDEF" w14:textId="77777777" w:rsidR="00F05DC7" w:rsidRPr="00911F46" w:rsidRDefault="00F05DC7" w:rsidP="00A3786D">
                  <w:pPr>
                    <w:pStyle w:val="TableBodyText"/>
                  </w:pPr>
                  <w:r w:rsidRPr="00911F46">
                    <w:rPr>
                      <w:color w:val="000000"/>
                    </w:rPr>
                    <w:t>2.42</w:t>
                  </w:r>
                </w:p>
              </w:tc>
              <w:tc>
                <w:tcPr>
                  <w:tcW w:w="555" w:type="pct"/>
                  <w:tcBorders>
                    <w:top w:val="nil"/>
                    <w:left w:val="nil"/>
                    <w:bottom w:val="nil"/>
                    <w:right w:val="nil"/>
                  </w:tcBorders>
                  <w:shd w:val="clear" w:color="auto" w:fill="auto"/>
                  <w:vAlign w:val="bottom"/>
                </w:tcPr>
                <w:p w14:paraId="7954CDF0" w14:textId="77777777" w:rsidR="00F05DC7" w:rsidRPr="00911F46" w:rsidRDefault="00F05DC7" w:rsidP="00A3786D">
                  <w:pPr>
                    <w:pStyle w:val="TableBodyText"/>
                  </w:pPr>
                  <w:r>
                    <w:rPr>
                      <w:color w:val="000000"/>
                    </w:rPr>
                    <w:noBreakHyphen/>
                  </w:r>
                  <w:r w:rsidRPr="00911F46">
                    <w:rPr>
                      <w:color w:val="000000"/>
                    </w:rPr>
                    <w:t>0.83</w:t>
                  </w:r>
                </w:p>
              </w:tc>
              <w:tc>
                <w:tcPr>
                  <w:tcW w:w="555" w:type="pct"/>
                  <w:tcBorders>
                    <w:top w:val="nil"/>
                    <w:left w:val="nil"/>
                    <w:bottom w:val="nil"/>
                    <w:right w:val="nil"/>
                  </w:tcBorders>
                  <w:shd w:val="clear" w:color="auto" w:fill="auto"/>
                  <w:vAlign w:val="bottom"/>
                </w:tcPr>
                <w:p w14:paraId="7954CDF1" w14:textId="77777777" w:rsidR="00F05DC7" w:rsidRPr="00911F46" w:rsidRDefault="00F05DC7" w:rsidP="00A3786D">
                  <w:pPr>
                    <w:pStyle w:val="TableBodyText"/>
                  </w:pPr>
                  <w:r>
                    <w:rPr>
                      <w:color w:val="000000"/>
                    </w:rPr>
                    <w:noBreakHyphen/>
                  </w:r>
                  <w:r w:rsidRPr="00911F46">
                    <w:rPr>
                      <w:color w:val="000000"/>
                    </w:rPr>
                    <w:t>0.81</w:t>
                  </w:r>
                </w:p>
              </w:tc>
              <w:tc>
                <w:tcPr>
                  <w:tcW w:w="555" w:type="pct"/>
                  <w:tcBorders>
                    <w:top w:val="nil"/>
                    <w:left w:val="nil"/>
                    <w:bottom w:val="nil"/>
                    <w:right w:val="nil"/>
                  </w:tcBorders>
                  <w:shd w:val="clear" w:color="auto" w:fill="auto"/>
                  <w:vAlign w:val="bottom"/>
                </w:tcPr>
                <w:p w14:paraId="7954CDF2" w14:textId="77777777" w:rsidR="00F05DC7" w:rsidRPr="00911F46" w:rsidRDefault="00F05DC7" w:rsidP="00A3786D">
                  <w:pPr>
                    <w:pStyle w:val="TableBodyText"/>
                  </w:pPr>
                  <w:r>
                    <w:rPr>
                      <w:color w:val="000000"/>
                    </w:rPr>
                    <w:noBreakHyphen/>
                  </w:r>
                  <w:r w:rsidRPr="00911F46">
                    <w:rPr>
                      <w:color w:val="000000"/>
                    </w:rPr>
                    <w:t>0.66</w:t>
                  </w:r>
                </w:p>
              </w:tc>
              <w:tc>
                <w:tcPr>
                  <w:tcW w:w="553" w:type="pct"/>
                  <w:tcBorders>
                    <w:top w:val="nil"/>
                    <w:left w:val="nil"/>
                    <w:bottom w:val="nil"/>
                    <w:right w:val="nil"/>
                  </w:tcBorders>
                  <w:shd w:val="clear" w:color="auto" w:fill="auto"/>
                  <w:vAlign w:val="bottom"/>
                </w:tcPr>
                <w:p w14:paraId="7954CDF3" w14:textId="77777777" w:rsidR="00F05DC7" w:rsidRPr="00911F46" w:rsidRDefault="00F05DC7" w:rsidP="00A3786D">
                  <w:pPr>
                    <w:pStyle w:val="TableBodyText"/>
                  </w:pPr>
                  <w:r>
                    <w:rPr>
                      <w:color w:val="000000"/>
                    </w:rPr>
                    <w:noBreakHyphen/>
                  </w:r>
                  <w:r w:rsidRPr="00911F46">
                    <w:rPr>
                      <w:color w:val="000000"/>
                    </w:rPr>
                    <w:t>0.39</w:t>
                  </w:r>
                </w:p>
              </w:tc>
            </w:tr>
            <w:tr w:rsidR="00F05DC7" w:rsidRPr="00A75ED1" w14:paraId="7954CDFE" w14:textId="77777777" w:rsidTr="00A3786D">
              <w:tc>
                <w:tcPr>
                  <w:tcW w:w="556" w:type="pct"/>
                  <w:shd w:val="clear" w:color="auto" w:fill="auto"/>
                </w:tcPr>
                <w:p w14:paraId="7954CDF5" w14:textId="77777777" w:rsidR="00F05DC7" w:rsidRPr="00911F46" w:rsidRDefault="00F05DC7" w:rsidP="00A3786D">
                  <w:pPr>
                    <w:pStyle w:val="TableBodyText"/>
                  </w:pPr>
                  <w:r w:rsidRPr="00911F46">
                    <w:t>2022</w:t>
                  </w:r>
                  <w:r>
                    <w:noBreakHyphen/>
                  </w:r>
                  <w:r w:rsidRPr="00911F46">
                    <w:t>23</w:t>
                  </w:r>
                </w:p>
              </w:tc>
              <w:tc>
                <w:tcPr>
                  <w:tcW w:w="557" w:type="pct"/>
                  <w:tcBorders>
                    <w:top w:val="nil"/>
                    <w:left w:val="nil"/>
                    <w:bottom w:val="nil"/>
                    <w:right w:val="nil"/>
                  </w:tcBorders>
                  <w:shd w:val="clear" w:color="auto" w:fill="auto"/>
                  <w:vAlign w:val="bottom"/>
                </w:tcPr>
                <w:p w14:paraId="7954CDF6" w14:textId="77777777" w:rsidR="00F05DC7" w:rsidRPr="00911F46" w:rsidRDefault="00F05DC7" w:rsidP="00A3786D">
                  <w:pPr>
                    <w:pStyle w:val="TableBodyText"/>
                  </w:pPr>
                  <w:r w:rsidRPr="00911F46">
                    <w:rPr>
                      <w:color w:val="000000"/>
                    </w:rPr>
                    <w:t>0.13</w:t>
                  </w:r>
                </w:p>
              </w:tc>
              <w:tc>
                <w:tcPr>
                  <w:tcW w:w="557" w:type="pct"/>
                  <w:tcBorders>
                    <w:top w:val="nil"/>
                    <w:left w:val="nil"/>
                    <w:bottom w:val="nil"/>
                    <w:right w:val="nil"/>
                  </w:tcBorders>
                  <w:shd w:val="clear" w:color="auto" w:fill="auto"/>
                  <w:vAlign w:val="bottom"/>
                </w:tcPr>
                <w:p w14:paraId="7954CDF7" w14:textId="77777777" w:rsidR="00F05DC7" w:rsidRPr="00911F46" w:rsidRDefault="00F05DC7" w:rsidP="00A3786D">
                  <w:pPr>
                    <w:pStyle w:val="TableBodyText"/>
                  </w:pPr>
                  <w:r>
                    <w:rPr>
                      <w:color w:val="000000"/>
                    </w:rPr>
                    <w:noBreakHyphen/>
                  </w:r>
                  <w:r w:rsidRPr="00911F46">
                    <w:rPr>
                      <w:color w:val="000000"/>
                    </w:rPr>
                    <w:t>0.10</w:t>
                  </w:r>
                </w:p>
              </w:tc>
              <w:tc>
                <w:tcPr>
                  <w:tcW w:w="556" w:type="pct"/>
                  <w:tcBorders>
                    <w:top w:val="nil"/>
                    <w:left w:val="nil"/>
                    <w:bottom w:val="nil"/>
                    <w:right w:val="nil"/>
                  </w:tcBorders>
                  <w:shd w:val="clear" w:color="auto" w:fill="auto"/>
                  <w:vAlign w:val="bottom"/>
                </w:tcPr>
                <w:p w14:paraId="7954CDF8" w14:textId="77777777" w:rsidR="00F05DC7" w:rsidRPr="00911F46" w:rsidRDefault="00F05DC7" w:rsidP="00A3786D">
                  <w:pPr>
                    <w:pStyle w:val="TableBodyText"/>
                  </w:pPr>
                  <w:r>
                    <w:rPr>
                      <w:color w:val="000000"/>
                    </w:rPr>
                    <w:noBreakHyphen/>
                  </w:r>
                  <w:r w:rsidRPr="00911F46">
                    <w:rPr>
                      <w:color w:val="000000"/>
                    </w:rPr>
                    <w:t>1.03</w:t>
                  </w:r>
                </w:p>
              </w:tc>
              <w:tc>
                <w:tcPr>
                  <w:tcW w:w="556" w:type="pct"/>
                  <w:tcBorders>
                    <w:top w:val="nil"/>
                    <w:left w:val="nil"/>
                    <w:bottom w:val="nil"/>
                    <w:right w:val="nil"/>
                  </w:tcBorders>
                  <w:shd w:val="clear" w:color="auto" w:fill="auto"/>
                  <w:vAlign w:val="bottom"/>
                </w:tcPr>
                <w:p w14:paraId="7954CDF9" w14:textId="77777777" w:rsidR="00F05DC7" w:rsidRPr="00911F46" w:rsidRDefault="00F05DC7" w:rsidP="00A3786D">
                  <w:pPr>
                    <w:pStyle w:val="TableBodyText"/>
                  </w:pPr>
                  <w:r w:rsidRPr="00911F46">
                    <w:rPr>
                      <w:color w:val="000000"/>
                    </w:rPr>
                    <w:t>2.72</w:t>
                  </w:r>
                </w:p>
              </w:tc>
              <w:tc>
                <w:tcPr>
                  <w:tcW w:w="555" w:type="pct"/>
                  <w:tcBorders>
                    <w:top w:val="nil"/>
                    <w:left w:val="nil"/>
                    <w:bottom w:val="nil"/>
                    <w:right w:val="nil"/>
                  </w:tcBorders>
                  <w:shd w:val="clear" w:color="auto" w:fill="auto"/>
                  <w:vAlign w:val="bottom"/>
                </w:tcPr>
                <w:p w14:paraId="7954CDFA" w14:textId="77777777" w:rsidR="00F05DC7" w:rsidRPr="00911F46" w:rsidRDefault="00F05DC7" w:rsidP="00A3786D">
                  <w:pPr>
                    <w:pStyle w:val="TableBodyText"/>
                  </w:pPr>
                  <w:r>
                    <w:rPr>
                      <w:color w:val="000000"/>
                    </w:rPr>
                    <w:noBreakHyphen/>
                  </w:r>
                  <w:r w:rsidRPr="00911F46">
                    <w:rPr>
                      <w:color w:val="000000"/>
                    </w:rPr>
                    <w:t>1.07</w:t>
                  </w:r>
                </w:p>
              </w:tc>
              <w:tc>
                <w:tcPr>
                  <w:tcW w:w="555" w:type="pct"/>
                  <w:tcBorders>
                    <w:top w:val="nil"/>
                    <w:left w:val="nil"/>
                    <w:bottom w:val="nil"/>
                    <w:right w:val="nil"/>
                  </w:tcBorders>
                  <w:shd w:val="clear" w:color="auto" w:fill="auto"/>
                  <w:vAlign w:val="bottom"/>
                </w:tcPr>
                <w:p w14:paraId="7954CDFB" w14:textId="77777777" w:rsidR="00F05DC7" w:rsidRPr="00911F46" w:rsidRDefault="00F05DC7" w:rsidP="00A3786D">
                  <w:pPr>
                    <w:pStyle w:val="TableBodyText"/>
                  </w:pPr>
                  <w:r>
                    <w:rPr>
                      <w:color w:val="000000"/>
                    </w:rPr>
                    <w:noBreakHyphen/>
                  </w:r>
                  <w:r w:rsidRPr="00911F46">
                    <w:rPr>
                      <w:color w:val="000000"/>
                    </w:rPr>
                    <w:t>1.04</w:t>
                  </w:r>
                </w:p>
              </w:tc>
              <w:tc>
                <w:tcPr>
                  <w:tcW w:w="555" w:type="pct"/>
                  <w:tcBorders>
                    <w:top w:val="nil"/>
                    <w:left w:val="nil"/>
                    <w:bottom w:val="nil"/>
                    <w:right w:val="nil"/>
                  </w:tcBorders>
                  <w:shd w:val="clear" w:color="auto" w:fill="auto"/>
                  <w:vAlign w:val="bottom"/>
                </w:tcPr>
                <w:p w14:paraId="7954CDFC" w14:textId="77777777" w:rsidR="00F05DC7" w:rsidRPr="00911F46" w:rsidRDefault="00F05DC7" w:rsidP="00A3786D">
                  <w:pPr>
                    <w:pStyle w:val="TableBodyText"/>
                  </w:pPr>
                  <w:r>
                    <w:rPr>
                      <w:color w:val="000000"/>
                    </w:rPr>
                    <w:noBreakHyphen/>
                  </w:r>
                  <w:r w:rsidRPr="00911F46">
                    <w:rPr>
                      <w:color w:val="000000"/>
                    </w:rPr>
                    <w:t>0.83</w:t>
                  </w:r>
                </w:p>
              </w:tc>
              <w:tc>
                <w:tcPr>
                  <w:tcW w:w="553" w:type="pct"/>
                  <w:tcBorders>
                    <w:top w:val="nil"/>
                    <w:left w:val="nil"/>
                    <w:bottom w:val="nil"/>
                    <w:right w:val="nil"/>
                  </w:tcBorders>
                  <w:shd w:val="clear" w:color="auto" w:fill="auto"/>
                  <w:vAlign w:val="bottom"/>
                </w:tcPr>
                <w:p w14:paraId="7954CDFD" w14:textId="77777777" w:rsidR="00F05DC7" w:rsidRPr="00911F46" w:rsidRDefault="00F05DC7" w:rsidP="00A3786D">
                  <w:pPr>
                    <w:pStyle w:val="TableBodyText"/>
                  </w:pPr>
                  <w:r>
                    <w:rPr>
                      <w:color w:val="000000"/>
                    </w:rPr>
                    <w:noBreakHyphen/>
                  </w:r>
                  <w:r w:rsidRPr="00911F46">
                    <w:rPr>
                      <w:color w:val="000000"/>
                    </w:rPr>
                    <w:t>0.49</w:t>
                  </w:r>
                </w:p>
              </w:tc>
            </w:tr>
            <w:tr w:rsidR="00F05DC7" w:rsidRPr="00A75ED1" w14:paraId="7954CE08" w14:textId="77777777" w:rsidTr="00A3786D">
              <w:tc>
                <w:tcPr>
                  <w:tcW w:w="556" w:type="pct"/>
                  <w:shd w:val="clear" w:color="auto" w:fill="auto"/>
                </w:tcPr>
                <w:p w14:paraId="7954CDFF" w14:textId="77777777" w:rsidR="00F05DC7" w:rsidRPr="00911F46" w:rsidRDefault="00F05DC7" w:rsidP="00A3786D">
                  <w:pPr>
                    <w:pStyle w:val="TableBodyText"/>
                  </w:pPr>
                  <w:r w:rsidRPr="00911F46">
                    <w:t>2023</w:t>
                  </w:r>
                  <w:r>
                    <w:noBreakHyphen/>
                  </w:r>
                  <w:r w:rsidRPr="00911F46">
                    <w:t>24</w:t>
                  </w:r>
                </w:p>
              </w:tc>
              <w:tc>
                <w:tcPr>
                  <w:tcW w:w="557" w:type="pct"/>
                  <w:tcBorders>
                    <w:top w:val="nil"/>
                    <w:left w:val="nil"/>
                    <w:bottom w:val="nil"/>
                    <w:right w:val="nil"/>
                  </w:tcBorders>
                  <w:shd w:val="clear" w:color="auto" w:fill="auto"/>
                  <w:vAlign w:val="bottom"/>
                </w:tcPr>
                <w:p w14:paraId="7954CE00" w14:textId="77777777" w:rsidR="00F05DC7" w:rsidRPr="00911F46" w:rsidRDefault="00F05DC7" w:rsidP="00A3786D">
                  <w:pPr>
                    <w:pStyle w:val="TableBodyText"/>
                  </w:pPr>
                  <w:r w:rsidRPr="00911F46">
                    <w:rPr>
                      <w:color w:val="000000"/>
                    </w:rPr>
                    <w:t>0.04</w:t>
                  </w:r>
                </w:p>
              </w:tc>
              <w:tc>
                <w:tcPr>
                  <w:tcW w:w="557" w:type="pct"/>
                  <w:tcBorders>
                    <w:top w:val="nil"/>
                    <w:left w:val="nil"/>
                    <w:bottom w:val="nil"/>
                    <w:right w:val="nil"/>
                  </w:tcBorders>
                  <w:shd w:val="clear" w:color="auto" w:fill="auto"/>
                  <w:vAlign w:val="bottom"/>
                </w:tcPr>
                <w:p w14:paraId="7954CE01" w14:textId="77777777" w:rsidR="00F05DC7" w:rsidRPr="00911F46" w:rsidRDefault="00F05DC7" w:rsidP="00A3786D">
                  <w:pPr>
                    <w:pStyle w:val="TableBodyText"/>
                  </w:pPr>
                  <w:r w:rsidRPr="00911F46">
                    <w:rPr>
                      <w:color w:val="000000"/>
                    </w:rPr>
                    <w:t>0.24</w:t>
                  </w:r>
                </w:p>
              </w:tc>
              <w:tc>
                <w:tcPr>
                  <w:tcW w:w="556" w:type="pct"/>
                  <w:tcBorders>
                    <w:top w:val="nil"/>
                    <w:left w:val="nil"/>
                    <w:bottom w:val="nil"/>
                    <w:right w:val="nil"/>
                  </w:tcBorders>
                  <w:shd w:val="clear" w:color="auto" w:fill="auto"/>
                  <w:vAlign w:val="bottom"/>
                </w:tcPr>
                <w:p w14:paraId="7954CE02" w14:textId="77777777" w:rsidR="00F05DC7" w:rsidRPr="00911F46" w:rsidRDefault="00F05DC7" w:rsidP="00A3786D">
                  <w:pPr>
                    <w:pStyle w:val="TableBodyText"/>
                  </w:pPr>
                  <w:r>
                    <w:rPr>
                      <w:color w:val="000000"/>
                    </w:rPr>
                    <w:noBreakHyphen/>
                  </w:r>
                  <w:r w:rsidRPr="00911F46">
                    <w:rPr>
                      <w:color w:val="000000"/>
                    </w:rPr>
                    <w:t>1.24</w:t>
                  </w:r>
                </w:p>
              </w:tc>
              <w:tc>
                <w:tcPr>
                  <w:tcW w:w="556" w:type="pct"/>
                  <w:tcBorders>
                    <w:top w:val="nil"/>
                    <w:left w:val="nil"/>
                    <w:bottom w:val="nil"/>
                    <w:right w:val="nil"/>
                  </w:tcBorders>
                  <w:shd w:val="clear" w:color="auto" w:fill="auto"/>
                  <w:vAlign w:val="bottom"/>
                </w:tcPr>
                <w:p w14:paraId="7954CE03" w14:textId="77777777" w:rsidR="00F05DC7" w:rsidRPr="00911F46" w:rsidRDefault="00F05DC7" w:rsidP="00A3786D">
                  <w:pPr>
                    <w:pStyle w:val="TableBodyText"/>
                  </w:pPr>
                  <w:r w:rsidRPr="00911F46">
                    <w:rPr>
                      <w:color w:val="000000"/>
                    </w:rPr>
                    <w:t>2.75</w:t>
                  </w:r>
                </w:p>
              </w:tc>
              <w:tc>
                <w:tcPr>
                  <w:tcW w:w="555" w:type="pct"/>
                  <w:tcBorders>
                    <w:top w:val="nil"/>
                    <w:left w:val="nil"/>
                    <w:bottom w:val="nil"/>
                    <w:right w:val="nil"/>
                  </w:tcBorders>
                  <w:shd w:val="clear" w:color="auto" w:fill="auto"/>
                  <w:vAlign w:val="bottom"/>
                </w:tcPr>
                <w:p w14:paraId="7954CE04" w14:textId="77777777" w:rsidR="00F05DC7" w:rsidRPr="00911F46" w:rsidRDefault="00F05DC7" w:rsidP="00A3786D">
                  <w:pPr>
                    <w:pStyle w:val="TableBodyText"/>
                  </w:pPr>
                  <w:r>
                    <w:rPr>
                      <w:color w:val="000000"/>
                    </w:rPr>
                    <w:noBreakHyphen/>
                  </w:r>
                  <w:r w:rsidRPr="00911F46">
                    <w:rPr>
                      <w:color w:val="000000"/>
                    </w:rPr>
                    <w:t>1.28</w:t>
                  </w:r>
                </w:p>
              </w:tc>
              <w:tc>
                <w:tcPr>
                  <w:tcW w:w="555" w:type="pct"/>
                  <w:tcBorders>
                    <w:top w:val="nil"/>
                    <w:left w:val="nil"/>
                    <w:bottom w:val="nil"/>
                    <w:right w:val="nil"/>
                  </w:tcBorders>
                  <w:shd w:val="clear" w:color="auto" w:fill="auto"/>
                  <w:vAlign w:val="bottom"/>
                </w:tcPr>
                <w:p w14:paraId="7954CE05" w14:textId="77777777" w:rsidR="00F05DC7" w:rsidRPr="00911F46" w:rsidRDefault="00F05DC7" w:rsidP="00A3786D">
                  <w:pPr>
                    <w:pStyle w:val="TableBodyText"/>
                  </w:pPr>
                  <w:r>
                    <w:rPr>
                      <w:color w:val="000000"/>
                    </w:rPr>
                    <w:noBreakHyphen/>
                  </w:r>
                  <w:r w:rsidRPr="00911F46">
                    <w:rPr>
                      <w:color w:val="000000"/>
                    </w:rPr>
                    <w:t>1.25</w:t>
                  </w:r>
                </w:p>
              </w:tc>
              <w:tc>
                <w:tcPr>
                  <w:tcW w:w="555" w:type="pct"/>
                  <w:tcBorders>
                    <w:top w:val="nil"/>
                    <w:left w:val="nil"/>
                    <w:bottom w:val="nil"/>
                    <w:right w:val="nil"/>
                  </w:tcBorders>
                  <w:shd w:val="clear" w:color="auto" w:fill="auto"/>
                  <w:vAlign w:val="bottom"/>
                </w:tcPr>
                <w:p w14:paraId="7954CE06" w14:textId="77777777" w:rsidR="00F05DC7" w:rsidRPr="00911F46" w:rsidRDefault="00F05DC7" w:rsidP="00A3786D">
                  <w:pPr>
                    <w:pStyle w:val="TableBodyText"/>
                  </w:pPr>
                  <w:r>
                    <w:rPr>
                      <w:color w:val="000000"/>
                    </w:rPr>
                    <w:noBreakHyphen/>
                  </w:r>
                  <w:r w:rsidRPr="00911F46">
                    <w:rPr>
                      <w:color w:val="000000"/>
                    </w:rPr>
                    <w:t>0.99</w:t>
                  </w:r>
                </w:p>
              </w:tc>
              <w:tc>
                <w:tcPr>
                  <w:tcW w:w="553" w:type="pct"/>
                  <w:tcBorders>
                    <w:top w:val="nil"/>
                    <w:left w:val="nil"/>
                    <w:bottom w:val="nil"/>
                    <w:right w:val="nil"/>
                  </w:tcBorders>
                  <w:shd w:val="clear" w:color="auto" w:fill="auto"/>
                  <w:vAlign w:val="bottom"/>
                </w:tcPr>
                <w:p w14:paraId="7954CE07" w14:textId="77777777" w:rsidR="00F05DC7" w:rsidRPr="00911F46" w:rsidRDefault="00F05DC7" w:rsidP="00A3786D">
                  <w:pPr>
                    <w:pStyle w:val="TableBodyText"/>
                  </w:pPr>
                  <w:r>
                    <w:rPr>
                      <w:color w:val="000000"/>
                    </w:rPr>
                    <w:noBreakHyphen/>
                  </w:r>
                  <w:r w:rsidRPr="00911F46">
                    <w:rPr>
                      <w:color w:val="000000"/>
                    </w:rPr>
                    <w:t>0.57</w:t>
                  </w:r>
                </w:p>
              </w:tc>
            </w:tr>
            <w:tr w:rsidR="00F05DC7" w:rsidRPr="00A75ED1" w14:paraId="7954CE12" w14:textId="77777777" w:rsidTr="00A3786D">
              <w:tc>
                <w:tcPr>
                  <w:tcW w:w="556" w:type="pct"/>
                  <w:shd w:val="clear" w:color="auto" w:fill="auto"/>
                </w:tcPr>
                <w:p w14:paraId="7954CE09" w14:textId="77777777" w:rsidR="00F05DC7" w:rsidRPr="00911F46" w:rsidRDefault="00F05DC7" w:rsidP="00A3786D">
                  <w:pPr>
                    <w:pStyle w:val="TableBodyText"/>
                  </w:pPr>
                  <w:r w:rsidRPr="00911F46">
                    <w:t>2024</w:t>
                  </w:r>
                  <w:r>
                    <w:noBreakHyphen/>
                  </w:r>
                  <w:r w:rsidRPr="00911F46">
                    <w:t>25</w:t>
                  </w:r>
                </w:p>
              </w:tc>
              <w:tc>
                <w:tcPr>
                  <w:tcW w:w="557" w:type="pct"/>
                  <w:tcBorders>
                    <w:top w:val="nil"/>
                    <w:left w:val="nil"/>
                    <w:bottom w:val="nil"/>
                    <w:right w:val="nil"/>
                  </w:tcBorders>
                  <w:shd w:val="clear" w:color="auto" w:fill="auto"/>
                  <w:vAlign w:val="bottom"/>
                </w:tcPr>
                <w:p w14:paraId="7954CE0A" w14:textId="77777777" w:rsidR="00F05DC7" w:rsidRPr="00911F46" w:rsidRDefault="00F05DC7" w:rsidP="00A3786D">
                  <w:pPr>
                    <w:pStyle w:val="TableBodyText"/>
                  </w:pPr>
                  <w:r w:rsidRPr="00911F46">
                    <w:rPr>
                      <w:color w:val="000000"/>
                    </w:rPr>
                    <w:t>0.04</w:t>
                  </w:r>
                </w:p>
              </w:tc>
              <w:tc>
                <w:tcPr>
                  <w:tcW w:w="557" w:type="pct"/>
                  <w:tcBorders>
                    <w:top w:val="nil"/>
                    <w:left w:val="nil"/>
                    <w:bottom w:val="nil"/>
                    <w:right w:val="nil"/>
                  </w:tcBorders>
                  <w:shd w:val="clear" w:color="auto" w:fill="auto"/>
                  <w:vAlign w:val="bottom"/>
                </w:tcPr>
                <w:p w14:paraId="7954CE0B" w14:textId="77777777" w:rsidR="00F05DC7" w:rsidRPr="00911F46" w:rsidRDefault="00F05DC7" w:rsidP="00A3786D">
                  <w:pPr>
                    <w:pStyle w:val="TableBodyText"/>
                  </w:pPr>
                  <w:r w:rsidRPr="00911F46">
                    <w:rPr>
                      <w:color w:val="000000"/>
                    </w:rPr>
                    <w:t>0.29</w:t>
                  </w:r>
                </w:p>
              </w:tc>
              <w:tc>
                <w:tcPr>
                  <w:tcW w:w="556" w:type="pct"/>
                  <w:tcBorders>
                    <w:top w:val="nil"/>
                    <w:left w:val="nil"/>
                    <w:bottom w:val="nil"/>
                    <w:right w:val="nil"/>
                  </w:tcBorders>
                  <w:shd w:val="clear" w:color="auto" w:fill="auto"/>
                  <w:vAlign w:val="bottom"/>
                </w:tcPr>
                <w:p w14:paraId="7954CE0C" w14:textId="77777777" w:rsidR="00F05DC7" w:rsidRPr="00911F46" w:rsidRDefault="00F05DC7" w:rsidP="00A3786D">
                  <w:pPr>
                    <w:pStyle w:val="TableBodyText"/>
                  </w:pPr>
                  <w:r>
                    <w:rPr>
                      <w:color w:val="000000"/>
                    </w:rPr>
                    <w:noBreakHyphen/>
                  </w:r>
                  <w:r w:rsidRPr="00911F46">
                    <w:rPr>
                      <w:color w:val="000000"/>
                    </w:rPr>
                    <w:t>1.50</w:t>
                  </w:r>
                </w:p>
              </w:tc>
              <w:tc>
                <w:tcPr>
                  <w:tcW w:w="556" w:type="pct"/>
                  <w:tcBorders>
                    <w:top w:val="nil"/>
                    <w:left w:val="nil"/>
                    <w:bottom w:val="nil"/>
                    <w:right w:val="nil"/>
                  </w:tcBorders>
                  <w:shd w:val="clear" w:color="auto" w:fill="auto"/>
                  <w:vAlign w:val="bottom"/>
                </w:tcPr>
                <w:p w14:paraId="7954CE0D" w14:textId="77777777" w:rsidR="00F05DC7" w:rsidRPr="00911F46" w:rsidRDefault="00F05DC7" w:rsidP="00A3786D">
                  <w:pPr>
                    <w:pStyle w:val="TableBodyText"/>
                  </w:pPr>
                  <w:r w:rsidRPr="00911F46">
                    <w:rPr>
                      <w:color w:val="000000"/>
                    </w:rPr>
                    <w:t>3.35</w:t>
                  </w:r>
                </w:p>
              </w:tc>
              <w:tc>
                <w:tcPr>
                  <w:tcW w:w="555" w:type="pct"/>
                  <w:tcBorders>
                    <w:top w:val="nil"/>
                    <w:left w:val="nil"/>
                    <w:bottom w:val="nil"/>
                    <w:right w:val="nil"/>
                  </w:tcBorders>
                  <w:shd w:val="clear" w:color="auto" w:fill="auto"/>
                  <w:vAlign w:val="bottom"/>
                </w:tcPr>
                <w:p w14:paraId="7954CE0E" w14:textId="77777777" w:rsidR="00F05DC7" w:rsidRPr="00911F46" w:rsidRDefault="00F05DC7" w:rsidP="00A3786D">
                  <w:pPr>
                    <w:pStyle w:val="TableBodyText"/>
                  </w:pPr>
                  <w:r>
                    <w:rPr>
                      <w:color w:val="000000"/>
                    </w:rPr>
                    <w:noBreakHyphen/>
                  </w:r>
                  <w:r w:rsidRPr="00911F46">
                    <w:rPr>
                      <w:color w:val="000000"/>
                    </w:rPr>
                    <w:t>1.56</w:t>
                  </w:r>
                </w:p>
              </w:tc>
              <w:tc>
                <w:tcPr>
                  <w:tcW w:w="555" w:type="pct"/>
                  <w:tcBorders>
                    <w:top w:val="nil"/>
                    <w:left w:val="nil"/>
                    <w:bottom w:val="nil"/>
                    <w:right w:val="nil"/>
                  </w:tcBorders>
                  <w:shd w:val="clear" w:color="auto" w:fill="auto"/>
                  <w:vAlign w:val="bottom"/>
                </w:tcPr>
                <w:p w14:paraId="7954CE0F" w14:textId="77777777" w:rsidR="00F05DC7" w:rsidRPr="00911F46" w:rsidRDefault="00F05DC7" w:rsidP="00A3786D">
                  <w:pPr>
                    <w:pStyle w:val="TableBodyText"/>
                  </w:pPr>
                  <w:r>
                    <w:rPr>
                      <w:color w:val="000000"/>
                    </w:rPr>
                    <w:noBreakHyphen/>
                  </w:r>
                  <w:r w:rsidRPr="00911F46">
                    <w:rPr>
                      <w:color w:val="000000"/>
                    </w:rPr>
                    <w:t>1.51</w:t>
                  </w:r>
                </w:p>
              </w:tc>
              <w:tc>
                <w:tcPr>
                  <w:tcW w:w="555" w:type="pct"/>
                  <w:tcBorders>
                    <w:top w:val="nil"/>
                    <w:left w:val="nil"/>
                    <w:bottom w:val="nil"/>
                    <w:right w:val="nil"/>
                  </w:tcBorders>
                  <w:shd w:val="clear" w:color="auto" w:fill="auto"/>
                  <w:vAlign w:val="bottom"/>
                </w:tcPr>
                <w:p w14:paraId="7954CE10" w14:textId="77777777" w:rsidR="00F05DC7" w:rsidRPr="00911F46" w:rsidRDefault="00F05DC7" w:rsidP="00A3786D">
                  <w:pPr>
                    <w:pStyle w:val="TableBodyText"/>
                  </w:pPr>
                  <w:r>
                    <w:rPr>
                      <w:color w:val="000000"/>
                    </w:rPr>
                    <w:noBreakHyphen/>
                  </w:r>
                  <w:r w:rsidRPr="00911F46">
                    <w:rPr>
                      <w:color w:val="000000"/>
                    </w:rPr>
                    <w:t>1.19</w:t>
                  </w:r>
                </w:p>
              </w:tc>
              <w:tc>
                <w:tcPr>
                  <w:tcW w:w="553" w:type="pct"/>
                  <w:tcBorders>
                    <w:top w:val="nil"/>
                    <w:left w:val="nil"/>
                    <w:bottom w:val="nil"/>
                    <w:right w:val="nil"/>
                  </w:tcBorders>
                  <w:shd w:val="clear" w:color="auto" w:fill="auto"/>
                  <w:vAlign w:val="bottom"/>
                </w:tcPr>
                <w:p w14:paraId="7954CE11" w14:textId="77777777" w:rsidR="00F05DC7" w:rsidRPr="00911F46" w:rsidRDefault="00F05DC7" w:rsidP="00A3786D">
                  <w:pPr>
                    <w:pStyle w:val="TableBodyText"/>
                  </w:pPr>
                  <w:r>
                    <w:rPr>
                      <w:color w:val="000000"/>
                    </w:rPr>
                    <w:noBreakHyphen/>
                  </w:r>
                  <w:r w:rsidRPr="00911F46">
                    <w:rPr>
                      <w:color w:val="000000"/>
                    </w:rPr>
                    <w:t>0.68</w:t>
                  </w:r>
                </w:p>
              </w:tc>
            </w:tr>
            <w:tr w:rsidR="00F05DC7" w:rsidRPr="00A75ED1" w14:paraId="7954CE1C" w14:textId="77777777" w:rsidTr="00A3786D">
              <w:tc>
                <w:tcPr>
                  <w:tcW w:w="556" w:type="pct"/>
                  <w:shd w:val="clear" w:color="auto" w:fill="auto"/>
                </w:tcPr>
                <w:p w14:paraId="7954CE13" w14:textId="77777777" w:rsidR="00F05DC7" w:rsidRPr="00911F46" w:rsidRDefault="00F05DC7" w:rsidP="00A3786D">
                  <w:pPr>
                    <w:pStyle w:val="TableBodyText"/>
                  </w:pPr>
                  <w:r w:rsidRPr="00911F46">
                    <w:t>2025</w:t>
                  </w:r>
                  <w:r>
                    <w:noBreakHyphen/>
                  </w:r>
                  <w:r w:rsidRPr="00911F46">
                    <w:t>26</w:t>
                  </w:r>
                </w:p>
              </w:tc>
              <w:tc>
                <w:tcPr>
                  <w:tcW w:w="557" w:type="pct"/>
                  <w:tcBorders>
                    <w:top w:val="nil"/>
                    <w:left w:val="nil"/>
                    <w:bottom w:val="nil"/>
                    <w:right w:val="nil"/>
                  </w:tcBorders>
                  <w:shd w:val="clear" w:color="auto" w:fill="auto"/>
                  <w:vAlign w:val="bottom"/>
                </w:tcPr>
                <w:p w14:paraId="7954CE14" w14:textId="77777777" w:rsidR="00F05DC7" w:rsidRPr="00911F46" w:rsidRDefault="00F05DC7" w:rsidP="00A3786D">
                  <w:pPr>
                    <w:pStyle w:val="TableBodyText"/>
                  </w:pPr>
                  <w:r w:rsidRPr="00911F46">
                    <w:rPr>
                      <w:color w:val="000000"/>
                    </w:rPr>
                    <w:t>0.04</w:t>
                  </w:r>
                </w:p>
              </w:tc>
              <w:tc>
                <w:tcPr>
                  <w:tcW w:w="557" w:type="pct"/>
                  <w:tcBorders>
                    <w:top w:val="nil"/>
                    <w:left w:val="nil"/>
                    <w:bottom w:val="nil"/>
                    <w:right w:val="nil"/>
                  </w:tcBorders>
                  <w:shd w:val="clear" w:color="auto" w:fill="auto"/>
                  <w:vAlign w:val="bottom"/>
                </w:tcPr>
                <w:p w14:paraId="7954CE15" w14:textId="77777777" w:rsidR="00F05DC7" w:rsidRPr="00911F46" w:rsidRDefault="00F05DC7" w:rsidP="00A3786D">
                  <w:pPr>
                    <w:pStyle w:val="TableBodyText"/>
                  </w:pPr>
                  <w:r w:rsidRPr="00911F46">
                    <w:rPr>
                      <w:color w:val="000000"/>
                    </w:rPr>
                    <w:t>0.34</w:t>
                  </w:r>
                </w:p>
              </w:tc>
              <w:tc>
                <w:tcPr>
                  <w:tcW w:w="556" w:type="pct"/>
                  <w:tcBorders>
                    <w:top w:val="nil"/>
                    <w:left w:val="nil"/>
                    <w:bottom w:val="nil"/>
                    <w:right w:val="nil"/>
                  </w:tcBorders>
                  <w:shd w:val="clear" w:color="auto" w:fill="auto"/>
                  <w:vAlign w:val="bottom"/>
                </w:tcPr>
                <w:p w14:paraId="7954CE16" w14:textId="77777777" w:rsidR="00F05DC7" w:rsidRPr="00911F46" w:rsidRDefault="00F05DC7" w:rsidP="00A3786D">
                  <w:pPr>
                    <w:pStyle w:val="TableBodyText"/>
                  </w:pPr>
                  <w:r>
                    <w:rPr>
                      <w:color w:val="000000"/>
                    </w:rPr>
                    <w:noBreakHyphen/>
                  </w:r>
                  <w:r w:rsidRPr="00911F46">
                    <w:rPr>
                      <w:color w:val="000000"/>
                    </w:rPr>
                    <w:t>1.78</w:t>
                  </w:r>
                </w:p>
              </w:tc>
              <w:tc>
                <w:tcPr>
                  <w:tcW w:w="556" w:type="pct"/>
                  <w:tcBorders>
                    <w:top w:val="nil"/>
                    <w:left w:val="nil"/>
                    <w:bottom w:val="nil"/>
                    <w:right w:val="nil"/>
                  </w:tcBorders>
                  <w:shd w:val="clear" w:color="auto" w:fill="auto"/>
                  <w:vAlign w:val="bottom"/>
                </w:tcPr>
                <w:p w14:paraId="7954CE17" w14:textId="77777777" w:rsidR="00F05DC7" w:rsidRPr="00911F46" w:rsidRDefault="00F05DC7" w:rsidP="00A3786D">
                  <w:pPr>
                    <w:pStyle w:val="TableBodyText"/>
                  </w:pPr>
                  <w:r w:rsidRPr="00911F46">
                    <w:rPr>
                      <w:color w:val="000000"/>
                    </w:rPr>
                    <w:t>3.97</w:t>
                  </w:r>
                </w:p>
              </w:tc>
              <w:tc>
                <w:tcPr>
                  <w:tcW w:w="555" w:type="pct"/>
                  <w:tcBorders>
                    <w:top w:val="nil"/>
                    <w:left w:val="nil"/>
                    <w:bottom w:val="nil"/>
                    <w:right w:val="nil"/>
                  </w:tcBorders>
                  <w:shd w:val="clear" w:color="auto" w:fill="auto"/>
                  <w:vAlign w:val="bottom"/>
                </w:tcPr>
                <w:p w14:paraId="7954CE18" w14:textId="77777777" w:rsidR="00F05DC7" w:rsidRPr="00911F46" w:rsidRDefault="00F05DC7" w:rsidP="00A3786D">
                  <w:pPr>
                    <w:pStyle w:val="TableBodyText"/>
                  </w:pPr>
                  <w:r>
                    <w:rPr>
                      <w:color w:val="000000"/>
                    </w:rPr>
                    <w:noBreakHyphen/>
                  </w:r>
                  <w:r w:rsidRPr="00911F46">
                    <w:rPr>
                      <w:color w:val="000000"/>
                    </w:rPr>
                    <w:t>1.84</w:t>
                  </w:r>
                </w:p>
              </w:tc>
              <w:tc>
                <w:tcPr>
                  <w:tcW w:w="555" w:type="pct"/>
                  <w:tcBorders>
                    <w:top w:val="nil"/>
                    <w:left w:val="nil"/>
                    <w:bottom w:val="nil"/>
                    <w:right w:val="nil"/>
                  </w:tcBorders>
                  <w:shd w:val="clear" w:color="auto" w:fill="auto"/>
                  <w:vAlign w:val="bottom"/>
                </w:tcPr>
                <w:p w14:paraId="7954CE19" w14:textId="77777777" w:rsidR="00F05DC7" w:rsidRPr="00911F46" w:rsidRDefault="00F05DC7" w:rsidP="00A3786D">
                  <w:pPr>
                    <w:pStyle w:val="TableBodyText"/>
                  </w:pPr>
                  <w:r>
                    <w:rPr>
                      <w:color w:val="000000"/>
                    </w:rPr>
                    <w:noBreakHyphen/>
                  </w:r>
                  <w:r w:rsidRPr="00911F46">
                    <w:rPr>
                      <w:color w:val="000000"/>
                    </w:rPr>
                    <w:t>1.77</w:t>
                  </w:r>
                </w:p>
              </w:tc>
              <w:tc>
                <w:tcPr>
                  <w:tcW w:w="555" w:type="pct"/>
                  <w:tcBorders>
                    <w:top w:val="nil"/>
                    <w:left w:val="nil"/>
                    <w:bottom w:val="nil"/>
                    <w:right w:val="nil"/>
                  </w:tcBorders>
                  <w:shd w:val="clear" w:color="auto" w:fill="auto"/>
                  <w:vAlign w:val="bottom"/>
                </w:tcPr>
                <w:p w14:paraId="7954CE1A" w14:textId="77777777" w:rsidR="00F05DC7" w:rsidRPr="00911F46" w:rsidRDefault="00F05DC7" w:rsidP="00A3786D">
                  <w:pPr>
                    <w:pStyle w:val="TableBodyText"/>
                  </w:pPr>
                  <w:r>
                    <w:rPr>
                      <w:color w:val="000000"/>
                    </w:rPr>
                    <w:noBreakHyphen/>
                  </w:r>
                  <w:r w:rsidRPr="00911F46">
                    <w:rPr>
                      <w:color w:val="000000"/>
                    </w:rPr>
                    <w:t>1.40</w:t>
                  </w:r>
                </w:p>
              </w:tc>
              <w:tc>
                <w:tcPr>
                  <w:tcW w:w="553" w:type="pct"/>
                  <w:tcBorders>
                    <w:top w:val="nil"/>
                    <w:left w:val="nil"/>
                    <w:bottom w:val="nil"/>
                    <w:right w:val="nil"/>
                  </w:tcBorders>
                  <w:shd w:val="clear" w:color="auto" w:fill="auto"/>
                  <w:vAlign w:val="bottom"/>
                </w:tcPr>
                <w:p w14:paraId="7954CE1B" w14:textId="77777777" w:rsidR="00F05DC7" w:rsidRPr="00911F46" w:rsidRDefault="00F05DC7" w:rsidP="00A3786D">
                  <w:pPr>
                    <w:pStyle w:val="TableBodyText"/>
                  </w:pPr>
                  <w:r>
                    <w:rPr>
                      <w:color w:val="000000"/>
                    </w:rPr>
                    <w:noBreakHyphen/>
                  </w:r>
                  <w:r w:rsidRPr="00911F46">
                    <w:rPr>
                      <w:color w:val="000000"/>
                    </w:rPr>
                    <w:t>0.80</w:t>
                  </w:r>
                </w:p>
              </w:tc>
            </w:tr>
            <w:tr w:rsidR="00F05DC7" w:rsidRPr="00A75ED1" w14:paraId="7954CE26" w14:textId="77777777" w:rsidTr="00A3786D">
              <w:tc>
                <w:tcPr>
                  <w:tcW w:w="556" w:type="pct"/>
                  <w:tcBorders>
                    <w:bottom w:val="single" w:sz="6" w:space="0" w:color="D9D9D9" w:themeColor="background1" w:themeShade="D9"/>
                  </w:tcBorders>
                  <w:shd w:val="clear" w:color="auto" w:fill="auto"/>
                </w:tcPr>
                <w:p w14:paraId="7954CE1D" w14:textId="77777777" w:rsidR="00F05DC7" w:rsidRPr="00911F46" w:rsidRDefault="00F05DC7" w:rsidP="00A3786D">
                  <w:pPr>
                    <w:pStyle w:val="TableBodyText"/>
                  </w:pPr>
                  <w:r w:rsidRPr="00911F46">
                    <w:t>2026</w:t>
                  </w:r>
                  <w:r>
                    <w:noBreakHyphen/>
                  </w:r>
                  <w:r w:rsidRPr="00911F46">
                    <w:t>27</w:t>
                  </w:r>
                </w:p>
              </w:tc>
              <w:tc>
                <w:tcPr>
                  <w:tcW w:w="557" w:type="pct"/>
                  <w:tcBorders>
                    <w:top w:val="nil"/>
                    <w:left w:val="nil"/>
                    <w:bottom w:val="single" w:sz="6" w:space="0" w:color="D9D9D9" w:themeColor="background1" w:themeShade="D9"/>
                    <w:right w:val="nil"/>
                  </w:tcBorders>
                  <w:shd w:val="clear" w:color="auto" w:fill="auto"/>
                  <w:vAlign w:val="bottom"/>
                </w:tcPr>
                <w:p w14:paraId="7954CE1E" w14:textId="77777777" w:rsidR="00F05DC7" w:rsidRPr="00911F46" w:rsidRDefault="00F05DC7" w:rsidP="00A3786D">
                  <w:pPr>
                    <w:pStyle w:val="TableBodyText"/>
                  </w:pPr>
                  <w:r w:rsidRPr="00911F46">
                    <w:rPr>
                      <w:color w:val="000000"/>
                    </w:rPr>
                    <w:t>0.04</w:t>
                  </w:r>
                </w:p>
              </w:tc>
              <w:tc>
                <w:tcPr>
                  <w:tcW w:w="557" w:type="pct"/>
                  <w:tcBorders>
                    <w:top w:val="nil"/>
                    <w:left w:val="nil"/>
                    <w:bottom w:val="single" w:sz="6" w:space="0" w:color="D9D9D9" w:themeColor="background1" w:themeShade="D9"/>
                    <w:right w:val="nil"/>
                  </w:tcBorders>
                  <w:shd w:val="clear" w:color="auto" w:fill="auto"/>
                  <w:vAlign w:val="bottom"/>
                </w:tcPr>
                <w:p w14:paraId="7954CE1F" w14:textId="77777777" w:rsidR="00F05DC7" w:rsidRPr="00911F46" w:rsidRDefault="00F05DC7" w:rsidP="00A3786D">
                  <w:pPr>
                    <w:pStyle w:val="TableBodyText"/>
                  </w:pPr>
                  <w:r w:rsidRPr="00911F46">
                    <w:rPr>
                      <w:color w:val="000000"/>
                    </w:rPr>
                    <w:t>0.38</w:t>
                  </w:r>
                </w:p>
              </w:tc>
              <w:tc>
                <w:tcPr>
                  <w:tcW w:w="556" w:type="pct"/>
                  <w:tcBorders>
                    <w:top w:val="nil"/>
                    <w:left w:val="nil"/>
                    <w:bottom w:val="single" w:sz="6" w:space="0" w:color="D9D9D9" w:themeColor="background1" w:themeShade="D9"/>
                    <w:right w:val="nil"/>
                  </w:tcBorders>
                  <w:shd w:val="clear" w:color="auto" w:fill="auto"/>
                  <w:vAlign w:val="bottom"/>
                </w:tcPr>
                <w:p w14:paraId="7954CE20" w14:textId="77777777" w:rsidR="00F05DC7" w:rsidRPr="00911F46" w:rsidRDefault="00F05DC7" w:rsidP="00A3786D">
                  <w:pPr>
                    <w:pStyle w:val="TableBodyText"/>
                  </w:pPr>
                  <w:r>
                    <w:rPr>
                      <w:color w:val="000000"/>
                    </w:rPr>
                    <w:noBreakHyphen/>
                  </w:r>
                  <w:r w:rsidRPr="00911F46">
                    <w:rPr>
                      <w:color w:val="000000"/>
                    </w:rPr>
                    <w:t>2.06</w:t>
                  </w:r>
                </w:p>
              </w:tc>
              <w:tc>
                <w:tcPr>
                  <w:tcW w:w="556" w:type="pct"/>
                  <w:tcBorders>
                    <w:top w:val="nil"/>
                    <w:left w:val="nil"/>
                    <w:bottom w:val="single" w:sz="6" w:space="0" w:color="D9D9D9" w:themeColor="background1" w:themeShade="D9"/>
                    <w:right w:val="nil"/>
                  </w:tcBorders>
                  <w:shd w:val="clear" w:color="auto" w:fill="auto"/>
                  <w:vAlign w:val="bottom"/>
                </w:tcPr>
                <w:p w14:paraId="7954CE21" w14:textId="77777777" w:rsidR="00F05DC7" w:rsidRPr="00911F46" w:rsidRDefault="00F05DC7" w:rsidP="00A3786D">
                  <w:pPr>
                    <w:pStyle w:val="TableBodyText"/>
                  </w:pPr>
                  <w:r w:rsidRPr="00911F46">
                    <w:rPr>
                      <w:color w:val="000000"/>
                    </w:rPr>
                    <w:t>4.61</w:t>
                  </w:r>
                </w:p>
              </w:tc>
              <w:tc>
                <w:tcPr>
                  <w:tcW w:w="555" w:type="pct"/>
                  <w:tcBorders>
                    <w:top w:val="nil"/>
                    <w:left w:val="nil"/>
                    <w:bottom w:val="single" w:sz="6" w:space="0" w:color="D9D9D9" w:themeColor="background1" w:themeShade="D9"/>
                    <w:right w:val="nil"/>
                  </w:tcBorders>
                  <w:shd w:val="clear" w:color="auto" w:fill="auto"/>
                  <w:vAlign w:val="bottom"/>
                </w:tcPr>
                <w:p w14:paraId="7954CE22" w14:textId="77777777" w:rsidR="00F05DC7" w:rsidRPr="00911F46" w:rsidRDefault="00F05DC7" w:rsidP="00A3786D">
                  <w:pPr>
                    <w:pStyle w:val="TableBodyText"/>
                  </w:pPr>
                  <w:r>
                    <w:rPr>
                      <w:color w:val="000000"/>
                    </w:rPr>
                    <w:noBreakHyphen/>
                  </w:r>
                  <w:r w:rsidRPr="00911F46">
                    <w:rPr>
                      <w:color w:val="000000"/>
                    </w:rPr>
                    <w:t>2.12</w:t>
                  </w:r>
                </w:p>
              </w:tc>
              <w:tc>
                <w:tcPr>
                  <w:tcW w:w="555" w:type="pct"/>
                  <w:tcBorders>
                    <w:top w:val="nil"/>
                    <w:left w:val="nil"/>
                    <w:bottom w:val="single" w:sz="6" w:space="0" w:color="D9D9D9" w:themeColor="background1" w:themeShade="D9"/>
                    <w:right w:val="nil"/>
                  </w:tcBorders>
                  <w:shd w:val="clear" w:color="auto" w:fill="auto"/>
                  <w:vAlign w:val="bottom"/>
                </w:tcPr>
                <w:p w14:paraId="7954CE23" w14:textId="77777777" w:rsidR="00F05DC7" w:rsidRPr="00911F46" w:rsidRDefault="00F05DC7" w:rsidP="00A3786D">
                  <w:pPr>
                    <w:pStyle w:val="TableBodyText"/>
                  </w:pPr>
                  <w:r>
                    <w:rPr>
                      <w:color w:val="000000"/>
                    </w:rPr>
                    <w:noBreakHyphen/>
                  </w:r>
                  <w:r w:rsidRPr="00911F46">
                    <w:rPr>
                      <w:color w:val="000000"/>
                    </w:rPr>
                    <w:t>2.05</w:t>
                  </w:r>
                </w:p>
              </w:tc>
              <w:tc>
                <w:tcPr>
                  <w:tcW w:w="555" w:type="pct"/>
                  <w:tcBorders>
                    <w:top w:val="nil"/>
                    <w:left w:val="nil"/>
                    <w:bottom w:val="single" w:sz="6" w:space="0" w:color="D9D9D9" w:themeColor="background1" w:themeShade="D9"/>
                    <w:right w:val="nil"/>
                  </w:tcBorders>
                  <w:shd w:val="clear" w:color="auto" w:fill="auto"/>
                  <w:vAlign w:val="bottom"/>
                </w:tcPr>
                <w:p w14:paraId="7954CE24" w14:textId="77777777" w:rsidR="00F05DC7" w:rsidRPr="00911F46" w:rsidRDefault="00F05DC7" w:rsidP="00A3786D">
                  <w:pPr>
                    <w:pStyle w:val="TableBodyText"/>
                  </w:pPr>
                  <w:r>
                    <w:rPr>
                      <w:color w:val="000000"/>
                    </w:rPr>
                    <w:noBreakHyphen/>
                  </w:r>
                  <w:r w:rsidRPr="00911F46">
                    <w:rPr>
                      <w:color w:val="000000"/>
                    </w:rPr>
                    <w:t>1.62</w:t>
                  </w:r>
                </w:p>
              </w:tc>
              <w:tc>
                <w:tcPr>
                  <w:tcW w:w="553" w:type="pct"/>
                  <w:tcBorders>
                    <w:top w:val="nil"/>
                    <w:left w:val="nil"/>
                    <w:bottom w:val="single" w:sz="6" w:space="0" w:color="D9D9D9" w:themeColor="background1" w:themeShade="D9"/>
                    <w:right w:val="nil"/>
                  </w:tcBorders>
                  <w:shd w:val="clear" w:color="auto" w:fill="auto"/>
                  <w:vAlign w:val="bottom"/>
                </w:tcPr>
                <w:p w14:paraId="7954CE25" w14:textId="77777777" w:rsidR="00F05DC7" w:rsidRPr="00911F46" w:rsidRDefault="00F05DC7" w:rsidP="00A3786D">
                  <w:pPr>
                    <w:pStyle w:val="TableBodyText"/>
                  </w:pPr>
                  <w:r>
                    <w:rPr>
                      <w:color w:val="000000"/>
                    </w:rPr>
                    <w:noBreakHyphen/>
                  </w:r>
                  <w:r w:rsidRPr="00911F46">
                    <w:rPr>
                      <w:color w:val="000000"/>
                    </w:rPr>
                    <w:t>0.92</w:t>
                  </w:r>
                </w:p>
              </w:tc>
            </w:tr>
          </w:tbl>
          <w:p w14:paraId="7954CE27" w14:textId="77777777" w:rsidR="00F05DC7" w:rsidRPr="006C0046" w:rsidRDefault="00F05DC7" w:rsidP="00A3786D">
            <w:pPr>
              <w:pStyle w:val="Box"/>
              <w:rPr>
                <w:rFonts w:asciiTheme="minorHAnsi" w:hAnsiTheme="minorHAnsi" w:cstheme="minorHAnsi"/>
                <w:sz w:val="18"/>
                <w:szCs w:val="18"/>
              </w:rPr>
            </w:pPr>
          </w:p>
        </w:tc>
      </w:tr>
      <w:tr w:rsidR="00F05DC7" w14:paraId="7954CE2A" w14:textId="77777777" w:rsidTr="00A3786D">
        <w:tc>
          <w:tcPr>
            <w:tcW w:w="5000" w:type="pct"/>
            <w:tcBorders>
              <w:top w:val="nil"/>
              <w:left w:val="nil"/>
              <w:bottom w:val="nil"/>
              <w:right w:val="nil"/>
            </w:tcBorders>
            <w:shd w:val="clear" w:color="auto" w:fill="auto"/>
          </w:tcPr>
          <w:p w14:paraId="7954CE29" w14:textId="77777777" w:rsidR="00F05DC7" w:rsidRDefault="00F05DC7" w:rsidP="00A3786D">
            <w:pPr>
              <w:pStyle w:val="Source"/>
            </w:pPr>
            <w:r w:rsidRPr="00355172">
              <w:rPr>
                <w:i/>
              </w:rPr>
              <w:t>Source</w:t>
            </w:r>
            <w:r w:rsidRPr="00676CAE">
              <w:t>:</w:t>
            </w:r>
            <w:r w:rsidRPr="00355172">
              <w:rPr>
                <w:i/>
              </w:rPr>
              <w:t xml:space="preserve"> </w:t>
            </w:r>
            <w:r w:rsidRPr="00676CAE">
              <w:t>Productivity Commission estimates.</w:t>
            </w:r>
            <w:r>
              <w:rPr>
                <w:i/>
              </w:rPr>
              <w:t xml:space="preserve"> </w:t>
            </w:r>
          </w:p>
        </w:tc>
      </w:tr>
      <w:tr w:rsidR="00F05DC7" w14:paraId="7954CE2C" w14:textId="77777777" w:rsidTr="00A3786D">
        <w:tc>
          <w:tcPr>
            <w:tcW w:w="5000" w:type="pct"/>
            <w:tcBorders>
              <w:top w:val="nil"/>
              <w:left w:val="nil"/>
              <w:bottom w:val="single" w:sz="6" w:space="0" w:color="78A22F"/>
              <w:right w:val="nil"/>
            </w:tcBorders>
            <w:shd w:val="clear" w:color="auto" w:fill="auto"/>
          </w:tcPr>
          <w:p w14:paraId="7954CE2B" w14:textId="77777777" w:rsidR="00F05DC7" w:rsidRDefault="00F05DC7" w:rsidP="00A3786D">
            <w:pPr>
              <w:pStyle w:val="Box"/>
              <w:spacing w:before="0" w:line="120" w:lineRule="exact"/>
            </w:pPr>
          </w:p>
        </w:tc>
      </w:tr>
      <w:tr w:rsidR="00F05DC7" w:rsidRPr="000863A5" w14:paraId="7954CE2E" w14:textId="77777777" w:rsidTr="00A3786D">
        <w:tc>
          <w:tcPr>
            <w:tcW w:w="5000" w:type="pct"/>
            <w:tcBorders>
              <w:top w:val="single" w:sz="6" w:space="0" w:color="78A22F"/>
              <w:left w:val="nil"/>
              <w:bottom w:val="nil"/>
              <w:right w:val="nil"/>
            </w:tcBorders>
          </w:tcPr>
          <w:p w14:paraId="7954CE2D" w14:textId="77777777" w:rsidR="00F05DC7" w:rsidRPr="00626D32" w:rsidRDefault="00F05DC7" w:rsidP="00A3786D">
            <w:pPr>
              <w:pStyle w:val="BoxSpaceBelow"/>
            </w:pPr>
          </w:p>
        </w:tc>
      </w:tr>
    </w:tbl>
    <w:p w14:paraId="7954CE2F" w14:textId="77777777" w:rsidR="00F05DC7" w:rsidRDefault="00F05DC7" w:rsidP="00A3786D">
      <w:pPr>
        <w:pStyle w:val="BodyText"/>
      </w:pPr>
      <w:r>
        <w:br w:type="page"/>
      </w:r>
    </w:p>
    <w:p w14:paraId="7954CE30"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E33" w14:textId="77777777" w:rsidTr="00A3786D">
        <w:trPr>
          <w:tblHeader/>
        </w:trPr>
        <w:tc>
          <w:tcPr>
            <w:tcW w:w="5000" w:type="pct"/>
            <w:tcBorders>
              <w:top w:val="single" w:sz="6" w:space="0" w:color="78A22F"/>
              <w:left w:val="nil"/>
              <w:bottom w:val="nil"/>
              <w:right w:val="nil"/>
            </w:tcBorders>
            <w:shd w:val="clear" w:color="auto" w:fill="auto"/>
          </w:tcPr>
          <w:p w14:paraId="7954CE31" w14:textId="4FA90E05" w:rsidR="00F05DC7" w:rsidRDefault="00F05DC7" w:rsidP="00A3786D">
            <w:pPr>
              <w:pStyle w:val="TableTitle"/>
            </w:pPr>
            <w:r>
              <w:rPr>
                <w:b w:val="0"/>
              </w:rPr>
              <w:t>Table F.A3</w:t>
            </w:r>
            <w:r>
              <w:tab/>
              <w:t>Alternative scenario (long run trend): yearly budget adjustment due to change to ETA — four year transition</w:t>
            </w:r>
          </w:p>
          <w:p w14:paraId="7954CE32" w14:textId="77777777" w:rsidR="00F05DC7" w:rsidRPr="00784A05" w:rsidRDefault="00F05DC7" w:rsidP="00A3786D">
            <w:pPr>
              <w:pStyle w:val="Subtitle"/>
            </w:pPr>
            <w:r>
              <w:t>Year-on-year change (incremental change from previous year) in GST payments (relative to the current benchmark), four year transition</w:t>
            </w:r>
          </w:p>
        </w:tc>
      </w:tr>
      <w:tr w:rsidR="00F05DC7" w14:paraId="7954CF35"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CE3D"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E34"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CE35"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CE36"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CE37"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CE38"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CE39"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CE3A"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CE3B"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CE3C"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CE3F" w14:textId="77777777" w:rsidTr="00A3786D">
              <w:tc>
                <w:tcPr>
                  <w:tcW w:w="5000" w:type="pct"/>
                  <w:gridSpan w:val="9"/>
                  <w:tcBorders>
                    <w:top w:val="single" w:sz="6" w:space="0" w:color="BFBFBF"/>
                  </w:tcBorders>
                  <w:shd w:val="clear" w:color="auto" w:fill="F2F2F2" w:themeFill="background1" w:themeFillShade="F2"/>
                </w:tcPr>
                <w:p w14:paraId="7954CE3E"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CE49" w14:textId="77777777" w:rsidTr="00A3786D">
              <w:tc>
                <w:tcPr>
                  <w:tcW w:w="556" w:type="pct"/>
                  <w:vAlign w:val="bottom"/>
                </w:tcPr>
                <w:p w14:paraId="7954CE40"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CE41" w14:textId="77777777" w:rsidR="00F05DC7" w:rsidRPr="00A75ED1" w:rsidRDefault="00F05DC7" w:rsidP="00A3786D">
                  <w:pPr>
                    <w:pStyle w:val="TableBodyText"/>
                    <w:rPr>
                      <w:rFonts w:cs="Arial"/>
                      <w:szCs w:val="18"/>
                    </w:rPr>
                  </w:pPr>
                  <w:r w:rsidRPr="00A75ED1">
                    <w:rPr>
                      <w:rFonts w:cs="Arial"/>
                      <w:color w:val="000000"/>
                      <w:szCs w:val="18"/>
                    </w:rPr>
                    <w:t>177</w:t>
                  </w:r>
                </w:p>
              </w:tc>
              <w:tc>
                <w:tcPr>
                  <w:tcW w:w="557" w:type="pct"/>
                  <w:tcBorders>
                    <w:top w:val="nil"/>
                    <w:left w:val="nil"/>
                    <w:bottom w:val="nil"/>
                    <w:right w:val="nil"/>
                  </w:tcBorders>
                  <w:shd w:val="clear" w:color="auto" w:fill="FFFFFF" w:themeFill="background1"/>
                  <w:vAlign w:val="bottom"/>
                </w:tcPr>
                <w:p w14:paraId="7954CE4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315</w:t>
                  </w:r>
                </w:p>
              </w:tc>
              <w:tc>
                <w:tcPr>
                  <w:tcW w:w="556" w:type="pct"/>
                  <w:tcBorders>
                    <w:top w:val="nil"/>
                    <w:left w:val="nil"/>
                    <w:bottom w:val="nil"/>
                    <w:right w:val="nil"/>
                  </w:tcBorders>
                  <w:shd w:val="clear" w:color="auto" w:fill="FFFFFF" w:themeFill="background1"/>
                  <w:vAlign w:val="bottom"/>
                </w:tcPr>
                <w:p w14:paraId="7954CE4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336</w:t>
                  </w:r>
                </w:p>
              </w:tc>
              <w:tc>
                <w:tcPr>
                  <w:tcW w:w="556" w:type="pct"/>
                  <w:tcBorders>
                    <w:top w:val="nil"/>
                    <w:left w:val="nil"/>
                    <w:bottom w:val="nil"/>
                    <w:right w:val="nil"/>
                  </w:tcBorders>
                  <w:shd w:val="clear" w:color="auto" w:fill="FFFFFF" w:themeFill="background1"/>
                  <w:vAlign w:val="bottom"/>
                </w:tcPr>
                <w:p w14:paraId="7954CE44" w14:textId="77777777" w:rsidR="00F05DC7" w:rsidRPr="00A75ED1" w:rsidRDefault="00F05DC7" w:rsidP="00A3786D">
                  <w:pPr>
                    <w:pStyle w:val="TableBodyText"/>
                    <w:rPr>
                      <w:rFonts w:cs="Arial"/>
                      <w:szCs w:val="18"/>
                    </w:rPr>
                  </w:pPr>
                  <w:r w:rsidRPr="00A75ED1">
                    <w:rPr>
                      <w:rFonts w:cs="Arial"/>
                      <w:color w:val="000000"/>
                      <w:szCs w:val="18"/>
                    </w:rPr>
                    <w:t>669</w:t>
                  </w:r>
                </w:p>
              </w:tc>
              <w:tc>
                <w:tcPr>
                  <w:tcW w:w="555" w:type="pct"/>
                  <w:tcBorders>
                    <w:top w:val="nil"/>
                    <w:left w:val="nil"/>
                    <w:bottom w:val="nil"/>
                    <w:right w:val="nil"/>
                  </w:tcBorders>
                  <w:shd w:val="clear" w:color="auto" w:fill="FFFFFF" w:themeFill="background1"/>
                  <w:vAlign w:val="bottom"/>
                </w:tcPr>
                <w:p w14:paraId="7954CE4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116</w:t>
                  </w:r>
                </w:p>
              </w:tc>
              <w:tc>
                <w:tcPr>
                  <w:tcW w:w="555" w:type="pct"/>
                  <w:tcBorders>
                    <w:top w:val="nil"/>
                    <w:left w:val="nil"/>
                    <w:bottom w:val="nil"/>
                    <w:right w:val="nil"/>
                  </w:tcBorders>
                  <w:shd w:val="clear" w:color="auto" w:fill="FFFFFF" w:themeFill="background1"/>
                  <w:vAlign w:val="bottom"/>
                </w:tcPr>
                <w:p w14:paraId="7954CE4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w:t>
                  </w:r>
                </w:p>
              </w:tc>
              <w:tc>
                <w:tcPr>
                  <w:tcW w:w="555" w:type="pct"/>
                  <w:tcBorders>
                    <w:top w:val="nil"/>
                    <w:left w:val="nil"/>
                    <w:bottom w:val="nil"/>
                    <w:right w:val="nil"/>
                  </w:tcBorders>
                  <w:shd w:val="clear" w:color="auto" w:fill="FFFFFF" w:themeFill="background1"/>
                  <w:vAlign w:val="bottom"/>
                </w:tcPr>
                <w:p w14:paraId="7954CE4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28</w:t>
                  </w:r>
                </w:p>
              </w:tc>
              <w:tc>
                <w:tcPr>
                  <w:tcW w:w="553" w:type="pct"/>
                  <w:tcBorders>
                    <w:top w:val="nil"/>
                    <w:left w:val="nil"/>
                    <w:bottom w:val="nil"/>
                    <w:right w:val="nil"/>
                  </w:tcBorders>
                  <w:shd w:val="clear" w:color="auto" w:fill="FFFFFF" w:themeFill="background1"/>
                  <w:vAlign w:val="bottom"/>
                </w:tcPr>
                <w:p w14:paraId="7954CE4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16 </w:t>
                  </w:r>
                </w:p>
              </w:tc>
            </w:tr>
            <w:tr w:rsidR="00F05DC7" w:rsidRPr="00A75ED1" w14:paraId="7954CE53" w14:textId="77777777" w:rsidTr="00A3786D">
              <w:tc>
                <w:tcPr>
                  <w:tcW w:w="556" w:type="pct"/>
                  <w:vAlign w:val="bottom"/>
                </w:tcPr>
                <w:p w14:paraId="7954CE4A"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CE4B" w14:textId="77777777" w:rsidR="00F05DC7" w:rsidRPr="00A75ED1" w:rsidRDefault="00F05DC7" w:rsidP="00A3786D">
                  <w:pPr>
                    <w:pStyle w:val="TableBodyText"/>
                    <w:rPr>
                      <w:rFonts w:cs="Arial"/>
                      <w:szCs w:val="18"/>
                    </w:rPr>
                  </w:pPr>
                  <w:r w:rsidRPr="00A75ED1">
                    <w:rPr>
                      <w:rFonts w:cs="Arial"/>
                      <w:color w:val="000000"/>
                      <w:szCs w:val="18"/>
                    </w:rPr>
                    <w:t>111</w:t>
                  </w:r>
                </w:p>
              </w:tc>
              <w:tc>
                <w:tcPr>
                  <w:tcW w:w="557" w:type="pct"/>
                  <w:tcBorders>
                    <w:top w:val="nil"/>
                    <w:left w:val="nil"/>
                    <w:bottom w:val="nil"/>
                    <w:right w:val="nil"/>
                  </w:tcBorders>
                  <w:shd w:val="clear" w:color="auto" w:fill="FFFFFF" w:themeFill="background1"/>
                  <w:vAlign w:val="bottom"/>
                </w:tcPr>
                <w:p w14:paraId="7954CE4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152</w:t>
                  </w:r>
                </w:p>
              </w:tc>
              <w:tc>
                <w:tcPr>
                  <w:tcW w:w="556" w:type="pct"/>
                  <w:tcBorders>
                    <w:top w:val="nil"/>
                    <w:left w:val="nil"/>
                    <w:bottom w:val="nil"/>
                    <w:right w:val="nil"/>
                  </w:tcBorders>
                  <w:shd w:val="clear" w:color="auto" w:fill="FFFFFF" w:themeFill="background1"/>
                  <w:vAlign w:val="bottom"/>
                </w:tcPr>
                <w:p w14:paraId="7954CE4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332</w:t>
                  </w:r>
                </w:p>
              </w:tc>
              <w:tc>
                <w:tcPr>
                  <w:tcW w:w="556" w:type="pct"/>
                  <w:tcBorders>
                    <w:top w:val="nil"/>
                    <w:left w:val="nil"/>
                    <w:bottom w:val="nil"/>
                    <w:right w:val="nil"/>
                  </w:tcBorders>
                  <w:shd w:val="clear" w:color="auto" w:fill="FFFFFF" w:themeFill="background1"/>
                  <w:vAlign w:val="bottom"/>
                </w:tcPr>
                <w:p w14:paraId="7954CE4E" w14:textId="77777777" w:rsidR="00F05DC7" w:rsidRPr="00A75ED1" w:rsidRDefault="00F05DC7" w:rsidP="00A3786D">
                  <w:pPr>
                    <w:pStyle w:val="TableBodyText"/>
                    <w:rPr>
                      <w:rFonts w:cs="Arial"/>
                      <w:szCs w:val="18"/>
                    </w:rPr>
                  </w:pPr>
                  <w:r w:rsidRPr="00A75ED1">
                    <w:rPr>
                      <w:rFonts w:cs="Arial"/>
                      <w:color w:val="000000"/>
                      <w:szCs w:val="18"/>
                    </w:rPr>
                    <w:t>564</w:t>
                  </w:r>
                </w:p>
              </w:tc>
              <w:tc>
                <w:tcPr>
                  <w:tcW w:w="555" w:type="pct"/>
                  <w:tcBorders>
                    <w:top w:val="nil"/>
                    <w:left w:val="nil"/>
                    <w:bottom w:val="nil"/>
                    <w:right w:val="nil"/>
                  </w:tcBorders>
                  <w:shd w:val="clear" w:color="auto" w:fill="FFFFFF" w:themeFill="background1"/>
                  <w:vAlign w:val="bottom"/>
                </w:tcPr>
                <w:p w14:paraId="7954CE4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113</w:t>
                  </w:r>
                </w:p>
              </w:tc>
              <w:tc>
                <w:tcPr>
                  <w:tcW w:w="555" w:type="pct"/>
                  <w:tcBorders>
                    <w:top w:val="nil"/>
                    <w:left w:val="nil"/>
                    <w:bottom w:val="nil"/>
                    <w:right w:val="nil"/>
                  </w:tcBorders>
                  <w:shd w:val="clear" w:color="auto" w:fill="FFFFFF" w:themeFill="background1"/>
                  <w:vAlign w:val="bottom"/>
                </w:tcPr>
                <w:p w14:paraId="7954CE5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w:t>
                  </w:r>
                </w:p>
              </w:tc>
              <w:tc>
                <w:tcPr>
                  <w:tcW w:w="555" w:type="pct"/>
                  <w:tcBorders>
                    <w:top w:val="nil"/>
                    <w:left w:val="nil"/>
                    <w:bottom w:val="nil"/>
                    <w:right w:val="nil"/>
                  </w:tcBorders>
                  <w:shd w:val="clear" w:color="auto" w:fill="FFFFFF" w:themeFill="background1"/>
                  <w:vAlign w:val="bottom"/>
                </w:tcPr>
                <w:p w14:paraId="7954CE5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28</w:t>
                  </w:r>
                </w:p>
              </w:tc>
              <w:tc>
                <w:tcPr>
                  <w:tcW w:w="553" w:type="pct"/>
                  <w:tcBorders>
                    <w:top w:val="nil"/>
                    <w:left w:val="nil"/>
                    <w:bottom w:val="nil"/>
                    <w:right w:val="nil"/>
                  </w:tcBorders>
                  <w:shd w:val="clear" w:color="auto" w:fill="FFFFFF" w:themeFill="background1"/>
                  <w:vAlign w:val="bottom"/>
                </w:tcPr>
                <w:p w14:paraId="7954CE5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16 </w:t>
                  </w:r>
                </w:p>
              </w:tc>
            </w:tr>
            <w:tr w:rsidR="00F05DC7" w:rsidRPr="00A75ED1" w14:paraId="7954CE5D" w14:textId="77777777" w:rsidTr="00A3786D">
              <w:tc>
                <w:tcPr>
                  <w:tcW w:w="556" w:type="pct"/>
                  <w:vAlign w:val="bottom"/>
                </w:tcPr>
                <w:p w14:paraId="7954CE54"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CE55" w14:textId="77777777" w:rsidR="00F05DC7" w:rsidRPr="00A75ED1" w:rsidRDefault="00F05DC7" w:rsidP="00A3786D">
                  <w:pPr>
                    <w:pStyle w:val="TableBodyText"/>
                    <w:rPr>
                      <w:rFonts w:cs="Arial"/>
                      <w:szCs w:val="18"/>
                    </w:rPr>
                  </w:pPr>
                  <w:r w:rsidRPr="00A75ED1">
                    <w:rPr>
                      <w:rFonts w:cs="Arial"/>
                      <w:color w:val="000000"/>
                      <w:szCs w:val="18"/>
                    </w:rPr>
                    <w:t>31</w:t>
                  </w:r>
                </w:p>
              </w:tc>
              <w:tc>
                <w:tcPr>
                  <w:tcW w:w="557" w:type="pct"/>
                  <w:tcBorders>
                    <w:top w:val="nil"/>
                    <w:left w:val="nil"/>
                    <w:bottom w:val="nil"/>
                    <w:right w:val="nil"/>
                  </w:tcBorders>
                  <w:shd w:val="clear" w:color="auto" w:fill="FFFFFF" w:themeFill="background1"/>
                  <w:vAlign w:val="bottom"/>
                </w:tcPr>
                <w:p w14:paraId="7954CE56" w14:textId="77777777" w:rsidR="00F05DC7" w:rsidRPr="00A75ED1" w:rsidRDefault="00F05DC7" w:rsidP="00A3786D">
                  <w:pPr>
                    <w:pStyle w:val="TableBodyText"/>
                    <w:rPr>
                      <w:rFonts w:cs="Arial"/>
                      <w:szCs w:val="18"/>
                    </w:rPr>
                  </w:pPr>
                  <w:r w:rsidRPr="00A75ED1">
                    <w:rPr>
                      <w:rFonts w:cs="Arial"/>
                      <w:color w:val="000000"/>
                      <w:szCs w:val="18"/>
                    </w:rPr>
                    <w:t>42</w:t>
                  </w:r>
                </w:p>
              </w:tc>
              <w:tc>
                <w:tcPr>
                  <w:tcW w:w="556" w:type="pct"/>
                  <w:tcBorders>
                    <w:top w:val="nil"/>
                    <w:left w:val="nil"/>
                    <w:bottom w:val="nil"/>
                    <w:right w:val="nil"/>
                  </w:tcBorders>
                  <w:shd w:val="clear" w:color="auto" w:fill="FFFFFF" w:themeFill="background1"/>
                  <w:vAlign w:val="bottom"/>
                </w:tcPr>
                <w:p w14:paraId="7954CE5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325</w:t>
                  </w:r>
                </w:p>
              </w:tc>
              <w:tc>
                <w:tcPr>
                  <w:tcW w:w="556" w:type="pct"/>
                  <w:tcBorders>
                    <w:top w:val="nil"/>
                    <w:left w:val="nil"/>
                    <w:bottom w:val="nil"/>
                    <w:right w:val="nil"/>
                  </w:tcBorders>
                  <w:shd w:val="clear" w:color="auto" w:fill="FFFFFF" w:themeFill="background1"/>
                  <w:vAlign w:val="bottom"/>
                </w:tcPr>
                <w:p w14:paraId="7954CE58" w14:textId="77777777" w:rsidR="00F05DC7" w:rsidRPr="00A75ED1" w:rsidRDefault="00F05DC7" w:rsidP="00A3786D">
                  <w:pPr>
                    <w:pStyle w:val="TableBodyText"/>
                    <w:rPr>
                      <w:rFonts w:cs="Arial"/>
                      <w:szCs w:val="18"/>
                    </w:rPr>
                  </w:pPr>
                  <w:r w:rsidRPr="00A75ED1">
                    <w:rPr>
                      <w:rFonts w:cs="Arial"/>
                      <w:color w:val="000000"/>
                      <w:szCs w:val="18"/>
                    </w:rPr>
                    <w:t>435</w:t>
                  </w:r>
                </w:p>
              </w:tc>
              <w:tc>
                <w:tcPr>
                  <w:tcW w:w="555" w:type="pct"/>
                  <w:tcBorders>
                    <w:top w:val="nil"/>
                    <w:left w:val="nil"/>
                    <w:bottom w:val="nil"/>
                    <w:right w:val="nil"/>
                  </w:tcBorders>
                  <w:shd w:val="clear" w:color="auto" w:fill="FFFFFF" w:themeFill="background1"/>
                  <w:vAlign w:val="bottom"/>
                </w:tcPr>
                <w:p w14:paraId="7954CE5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109</w:t>
                  </w:r>
                </w:p>
              </w:tc>
              <w:tc>
                <w:tcPr>
                  <w:tcW w:w="555" w:type="pct"/>
                  <w:tcBorders>
                    <w:top w:val="nil"/>
                    <w:left w:val="nil"/>
                    <w:bottom w:val="nil"/>
                    <w:right w:val="nil"/>
                  </w:tcBorders>
                  <w:shd w:val="clear" w:color="auto" w:fill="FFFFFF" w:themeFill="background1"/>
                  <w:vAlign w:val="bottom"/>
                </w:tcPr>
                <w:p w14:paraId="7954CE5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32</w:t>
                  </w:r>
                </w:p>
              </w:tc>
              <w:tc>
                <w:tcPr>
                  <w:tcW w:w="555" w:type="pct"/>
                  <w:tcBorders>
                    <w:top w:val="nil"/>
                    <w:left w:val="nil"/>
                    <w:bottom w:val="nil"/>
                    <w:right w:val="nil"/>
                  </w:tcBorders>
                  <w:shd w:val="clear" w:color="auto" w:fill="FFFFFF" w:themeFill="background1"/>
                  <w:vAlign w:val="bottom"/>
                </w:tcPr>
                <w:p w14:paraId="7954CE5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27</w:t>
                  </w:r>
                </w:p>
              </w:tc>
              <w:tc>
                <w:tcPr>
                  <w:tcW w:w="553" w:type="pct"/>
                  <w:tcBorders>
                    <w:top w:val="nil"/>
                    <w:left w:val="nil"/>
                    <w:bottom w:val="nil"/>
                    <w:right w:val="nil"/>
                  </w:tcBorders>
                  <w:shd w:val="clear" w:color="auto" w:fill="FFFFFF" w:themeFill="background1"/>
                  <w:vAlign w:val="bottom"/>
                </w:tcPr>
                <w:p w14:paraId="7954CE5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15 </w:t>
                  </w:r>
                </w:p>
              </w:tc>
            </w:tr>
            <w:tr w:rsidR="00F05DC7" w:rsidRPr="00A75ED1" w14:paraId="7954CE67" w14:textId="77777777" w:rsidTr="00A3786D">
              <w:tc>
                <w:tcPr>
                  <w:tcW w:w="556" w:type="pct"/>
                </w:tcPr>
                <w:p w14:paraId="7954CE5E"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CE5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65</w:t>
                  </w:r>
                </w:p>
              </w:tc>
              <w:tc>
                <w:tcPr>
                  <w:tcW w:w="557" w:type="pct"/>
                  <w:tcBorders>
                    <w:top w:val="nil"/>
                    <w:left w:val="nil"/>
                    <w:bottom w:val="nil"/>
                    <w:right w:val="nil"/>
                  </w:tcBorders>
                  <w:shd w:val="clear" w:color="auto" w:fill="FFFFFF" w:themeFill="background1"/>
                  <w:vAlign w:val="bottom"/>
                </w:tcPr>
                <w:p w14:paraId="7954CE60" w14:textId="77777777" w:rsidR="00F05DC7" w:rsidRPr="00A75ED1" w:rsidRDefault="00F05DC7" w:rsidP="00A3786D">
                  <w:pPr>
                    <w:pStyle w:val="TableBodyText"/>
                    <w:rPr>
                      <w:rFonts w:cs="Arial"/>
                      <w:szCs w:val="18"/>
                    </w:rPr>
                  </w:pPr>
                  <w:r w:rsidRPr="00A75ED1">
                    <w:rPr>
                      <w:rFonts w:cs="Arial"/>
                      <w:color w:val="000000"/>
                      <w:szCs w:val="18"/>
                    </w:rPr>
                    <w:t>271</w:t>
                  </w:r>
                </w:p>
              </w:tc>
              <w:tc>
                <w:tcPr>
                  <w:tcW w:w="556" w:type="pct"/>
                  <w:tcBorders>
                    <w:top w:val="nil"/>
                    <w:left w:val="nil"/>
                    <w:bottom w:val="nil"/>
                    <w:right w:val="nil"/>
                  </w:tcBorders>
                  <w:shd w:val="clear" w:color="auto" w:fill="FFFFFF" w:themeFill="background1"/>
                  <w:vAlign w:val="bottom"/>
                </w:tcPr>
                <w:p w14:paraId="7954CE6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315</w:t>
                  </w:r>
                </w:p>
              </w:tc>
              <w:tc>
                <w:tcPr>
                  <w:tcW w:w="556" w:type="pct"/>
                  <w:tcBorders>
                    <w:top w:val="nil"/>
                    <w:left w:val="nil"/>
                    <w:bottom w:val="nil"/>
                    <w:right w:val="nil"/>
                  </w:tcBorders>
                  <w:shd w:val="clear" w:color="auto" w:fill="FFFFFF" w:themeFill="background1"/>
                  <w:vAlign w:val="bottom"/>
                </w:tcPr>
                <w:p w14:paraId="7954CE62" w14:textId="77777777" w:rsidR="00F05DC7" w:rsidRPr="00A75ED1" w:rsidRDefault="00F05DC7" w:rsidP="00A3786D">
                  <w:pPr>
                    <w:pStyle w:val="TableBodyText"/>
                    <w:rPr>
                      <w:rFonts w:cs="Arial"/>
                      <w:szCs w:val="18"/>
                    </w:rPr>
                  </w:pPr>
                  <w:r w:rsidRPr="00A75ED1">
                    <w:rPr>
                      <w:rFonts w:cs="Arial"/>
                      <w:color w:val="000000"/>
                      <w:szCs w:val="18"/>
                    </w:rPr>
                    <w:t>284</w:t>
                  </w:r>
                </w:p>
              </w:tc>
              <w:tc>
                <w:tcPr>
                  <w:tcW w:w="555" w:type="pct"/>
                  <w:tcBorders>
                    <w:top w:val="nil"/>
                    <w:left w:val="nil"/>
                    <w:bottom w:val="nil"/>
                    <w:right w:val="nil"/>
                  </w:tcBorders>
                  <w:shd w:val="clear" w:color="auto" w:fill="FFFFFF" w:themeFill="background1"/>
                  <w:vAlign w:val="bottom"/>
                </w:tcPr>
                <w:p w14:paraId="7954CE6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104</w:t>
                  </w:r>
                </w:p>
              </w:tc>
              <w:tc>
                <w:tcPr>
                  <w:tcW w:w="555" w:type="pct"/>
                  <w:tcBorders>
                    <w:top w:val="nil"/>
                    <w:left w:val="nil"/>
                    <w:bottom w:val="nil"/>
                    <w:right w:val="nil"/>
                  </w:tcBorders>
                  <w:shd w:val="clear" w:color="auto" w:fill="FFFFFF" w:themeFill="background1"/>
                  <w:vAlign w:val="bottom"/>
                </w:tcPr>
                <w:p w14:paraId="7954CE6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w:t>
                  </w:r>
                </w:p>
              </w:tc>
              <w:tc>
                <w:tcPr>
                  <w:tcW w:w="555" w:type="pct"/>
                  <w:tcBorders>
                    <w:top w:val="nil"/>
                    <w:left w:val="nil"/>
                    <w:bottom w:val="nil"/>
                    <w:right w:val="nil"/>
                  </w:tcBorders>
                  <w:shd w:val="clear" w:color="auto" w:fill="FFFFFF" w:themeFill="background1"/>
                  <w:vAlign w:val="bottom"/>
                </w:tcPr>
                <w:p w14:paraId="7954CE6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w:t>
                  </w:r>
                </w:p>
              </w:tc>
              <w:tc>
                <w:tcPr>
                  <w:tcW w:w="553" w:type="pct"/>
                  <w:tcBorders>
                    <w:top w:val="nil"/>
                    <w:left w:val="nil"/>
                    <w:bottom w:val="nil"/>
                    <w:right w:val="nil"/>
                  </w:tcBorders>
                  <w:shd w:val="clear" w:color="auto" w:fill="FFFFFF" w:themeFill="background1"/>
                  <w:vAlign w:val="bottom"/>
                </w:tcPr>
                <w:p w14:paraId="7954CE6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14 </w:t>
                  </w:r>
                </w:p>
              </w:tc>
            </w:tr>
            <w:tr w:rsidR="00F05DC7" w:rsidRPr="00A75ED1" w14:paraId="7954CE71" w14:textId="77777777" w:rsidTr="00A3786D">
              <w:tc>
                <w:tcPr>
                  <w:tcW w:w="556" w:type="pct"/>
                </w:tcPr>
                <w:p w14:paraId="7954CE68"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000000" w:fill="FFFFFF"/>
                  <w:vAlign w:val="bottom"/>
                </w:tcPr>
                <w:p w14:paraId="7954CE6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194</w:t>
                  </w:r>
                </w:p>
              </w:tc>
              <w:tc>
                <w:tcPr>
                  <w:tcW w:w="557" w:type="pct"/>
                  <w:tcBorders>
                    <w:top w:val="nil"/>
                    <w:left w:val="nil"/>
                    <w:bottom w:val="nil"/>
                    <w:right w:val="nil"/>
                  </w:tcBorders>
                  <w:shd w:val="clear" w:color="000000" w:fill="FFFFFF"/>
                  <w:vAlign w:val="bottom"/>
                </w:tcPr>
                <w:p w14:paraId="7954CE6A" w14:textId="77777777" w:rsidR="00F05DC7" w:rsidRPr="00A75ED1" w:rsidRDefault="00F05DC7" w:rsidP="00A3786D">
                  <w:pPr>
                    <w:pStyle w:val="TableBodyText"/>
                    <w:rPr>
                      <w:rFonts w:cs="Arial"/>
                      <w:szCs w:val="18"/>
                    </w:rPr>
                  </w:pPr>
                  <w:r w:rsidRPr="00A75ED1">
                    <w:rPr>
                      <w:rFonts w:cs="Arial"/>
                      <w:color w:val="000000"/>
                      <w:szCs w:val="18"/>
                    </w:rPr>
                    <w:t>461</w:t>
                  </w:r>
                </w:p>
              </w:tc>
              <w:tc>
                <w:tcPr>
                  <w:tcW w:w="556" w:type="pct"/>
                  <w:tcBorders>
                    <w:top w:val="nil"/>
                    <w:left w:val="nil"/>
                    <w:bottom w:val="nil"/>
                    <w:right w:val="nil"/>
                  </w:tcBorders>
                  <w:shd w:val="clear" w:color="000000" w:fill="FFFFFF"/>
                  <w:vAlign w:val="bottom"/>
                </w:tcPr>
                <w:p w14:paraId="7954CE6B" w14:textId="77777777" w:rsidR="00F05DC7" w:rsidRPr="00A75ED1" w:rsidRDefault="00F05DC7" w:rsidP="00A3786D">
                  <w:pPr>
                    <w:pStyle w:val="TableBodyText"/>
                    <w:rPr>
                      <w:rFonts w:cs="Arial"/>
                      <w:szCs w:val="18"/>
                    </w:rPr>
                  </w:pPr>
                  <w:r w:rsidRPr="00A75ED1">
                    <w:rPr>
                      <w:rFonts w:cs="Arial"/>
                      <w:color w:val="000000"/>
                      <w:szCs w:val="18"/>
                    </w:rPr>
                    <w:t>21</w:t>
                  </w:r>
                </w:p>
              </w:tc>
              <w:tc>
                <w:tcPr>
                  <w:tcW w:w="556" w:type="pct"/>
                  <w:tcBorders>
                    <w:top w:val="nil"/>
                    <w:left w:val="nil"/>
                    <w:bottom w:val="nil"/>
                    <w:right w:val="nil"/>
                  </w:tcBorders>
                  <w:shd w:val="clear" w:color="000000" w:fill="FFFFFF"/>
                  <w:vAlign w:val="bottom"/>
                </w:tcPr>
                <w:p w14:paraId="7954CE6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305</w:t>
                  </w:r>
                </w:p>
              </w:tc>
              <w:tc>
                <w:tcPr>
                  <w:tcW w:w="555" w:type="pct"/>
                  <w:tcBorders>
                    <w:top w:val="nil"/>
                    <w:left w:val="nil"/>
                    <w:bottom w:val="nil"/>
                    <w:right w:val="nil"/>
                  </w:tcBorders>
                  <w:shd w:val="clear" w:color="000000" w:fill="FFFFFF"/>
                  <w:vAlign w:val="bottom"/>
                </w:tcPr>
                <w:p w14:paraId="7954CE6D" w14:textId="77777777" w:rsidR="00F05DC7" w:rsidRPr="00A75ED1" w:rsidRDefault="00F05DC7" w:rsidP="00A3786D">
                  <w:pPr>
                    <w:pStyle w:val="TableBodyText"/>
                    <w:rPr>
                      <w:rFonts w:cs="Arial"/>
                      <w:szCs w:val="18"/>
                    </w:rPr>
                  </w:pPr>
                  <w:r w:rsidRPr="00A75ED1">
                    <w:rPr>
                      <w:rFonts w:cs="Arial"/>
                      <w:color w:val="000000"/>
                      <w:szCs w:val="18"/>
                    </w:rPr>
                    <w:t>10</w:t>
                  </w:r>
                </w:p>
              </w:tc>
              <w:tc>
                <w:tcPr>
                  <w:tcW w:w="555" w:type="pct"/>
                  <w:tcBorders>
                    <w:top w:val="nil"/>
                    <w:left w:val="nil"/>
                    <w:bottom w:val="nil"/>
                    <w:right w:val="nil"/>
                  </w:tcBorders>
                  <w:shd w:val="clear" w:color="000000" w:fill="FFFFFF"/>
                  <w:vAlign w:val="bottom"/>
                </w:tcPr>
                <w:p w14:paraId="7954CE6E" w14:textId="77777777" w:rsidR="00F05DC7" w:rsidRPr="00A75ED1" w:rsidRDefault="00F05DC7" w:rsidP="00A3786D">
                  <w:pPr>
                    <w:pStyle w:val="TableBodyText"/>
                    <w:rPr>
                      <w:rFonts w:cs="Arial"/>
                      <w:szCs w:val="18"/>
                    </w:rPr>
                  </w:pPr>
                  <w:r w:rsidRPr="00A75ED1">
                    <w:rPr>
                      <w:rFonts w:cs="Arial"/>
                      <w:color w:val="000000"/>
                      <w:szCs w:val="18"/>
                    </w:rPr>
                    <w:t>3</w:t>
                  </w:r>
                </w:p>
              </w:tc>
              <w:tc>
                <w:tcPr>
                  <w:tcW w:w="555" w:type="pct"/>
                  <w:tcBorders>
                    <w:top w:val="nil"/>
                    <w:left w:val="nil"/>
                    <w:bottom w:val="nil"/>
                    <w:right w:val="nil"/>
                  </w:tcBorders>
                  <w:shd w:val="clear" w:color="000000" w:fill="FFFFFF"/>
                  <w:vAlign w:val="bottom"/>
                </w:tcPr>
                <w:p w14:paraId="7954CE6F" w14:textId="77777777" w:rsidR="00F05DC7" w:rsidRPr="00A75ED1" w:rsidRDefault="00F05DC7" w:rsidP="00A3786D">
                  <w:pPr>
                    <w:pStyle w:val="TableBodyText"/>
                    <w:rPr>
                      <w:rFonts w:cs="Arial"/>
                      <w:szCs w:val="18"/>
                    </w:rPr>
                  </w:pPr>
                  <w:r w:rsidRPr="00A75ED1">
                    <w:rPr>
                      <w:rFonts w:cs="Arial"/>
                      <w:color w:val="000000"/>
                      <w:szCs w:val="18"/>
                    </w:rPr>
                    <w:t>2</w:t>
                  </w:r>
                </w:p>
              </w:tc>
              <w:tc>
                <w:tcPr>
                  <w:tcW w:w="553" w:type="pct"/>
                  <w:tcBorders>
                    <w:top w:val="nil"/>
                    <w:left w:val="nil"/>
                    <w:bottom w:val="nil"/>
                    <w:right w:val="nil"/>
                  </w:tcBorders>
                  <w:shd w:val="clear" w:color="000000" w:fill="FFFFFF"/>
                  <w:vAlign w:val="bottom"/>
                </w:tcPr>
                <w:p w14:paraId="7954CE70" w14:textId="77777777" w:rsidR="00F05DC7" w:rsidRPr="00A75ED1" w:rsidRDefault="00F05DC7" w:rsidP="00A3786D">
                  <w:pPr>
                    <w:pStyle w:val="TableBodyText"/>
                    <w:rPr>
                      <w:rFonts w:cs="Arial"/>
                      <w:szCs w:val="18"/>
                    </w:rPr>
                  </w:pPr>
                  <w:r w:rsidRPr="00A75ED1">
                    <w:rPr>
                      <w:rFonts w:cs="Arial"/>
                      <w:color w:val="000000"/>
                      <w:szCs w:val="18"/>
                    </w:rPr>
                    <w:t xml:space="preserve">2 </w:t>
                  </w:r>
                </w:p>
              </w:tc>
            </w:tr>
            <w:tr w:rsidR="00F05DC7" w:rsidRPr="00A75ED1" w14:paraId="7954CE7B" w14:textId="77777777" w:rsidTr="00A3786D">
              <w:tc>
                <w:tcPr>
                  <w:tcW w:w="556" w:type="pct"/>
                </w:tcPr>
                <w:p w14:paraId="7954CE72"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000000" w:fill="FFFFFF"/>
                  <w:vAlign w:val="bottom"/>
                </w:tcPr>
                <w:p w14:paraId="7954CE7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w:t>
                  </w:r>
                </w:p>
              </w:tc>
              <w:tc>
                <w:tcPr>
                  <w:tcW w:w="557" w:type="pct"/>
                  <w:tcBorders>
                    <w:top w:val="nil"/>
                    <w:left w:val="nil"/>
                    <w:bottom w:val="nil"/>
                    <w:right w:val="nil"/>
                  </w:tcBorders>
                  <w:shd w:val="clear" w:color="000000" w:fill="FFFFFF"/>
                  <w:vAlign w:val="bottom"/>
                </w:tcPr>
                <w:p w14:paraId="7954CE74" w14:textId="77777777" w:rsidR="00F05DC7" w:rsidRPr="00A75ED1" w:rsidRDefault="00F05DC7" w:rsidP="00A3786D">
                  <w:pPr>
                    <w:pStyle w:val="TableBodyText"/>
                    <w:rPr>
                      <w:rFonts w:cs="Arial"/>
                      <w:szCs w:val="18"/>
                    </w:rPr>
                  </w:pPr>
                  <w:r w:rsidRPr="00A75ED1">
                    <w:rPr>
                      <w:rFonts w:cs="Arial"/>
                      <w:color w:val="000000"/>
                      <w:szCs w:val="18"/>
                    </w:rPr>
                    <w:t>12</w:t>
                  </w:r>
                </w:p>
              </w:tc>
              <w:tc>
                <w:tcPr>
                  <w:tcW w:w="556" w:type="pct"/>
                  <w:tcBorders>
                    <w:top w:val="nil"/>
                    <w:left w:val="nil"/>
                    <w:bottom w:val="nil"/>
                    <w:right w:val="nil"/>
                  </w:tcBorders>
                  <w:shd w:val="clear" w:color="000000" w:fill="FFFFFF"/>
                  <w:vAlign w:val="bottom"/>
                </w:tcPr>
                <w:p w14:paraId="7954CE7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58</w:t>
                  </w:r>
                </w:p>
              </w:tc>
              <w:tc>
                <w:tcPr>
                  <w:tcW w:w="556" w:type="pct"/>
                  <w:tcBorders>
                    <w:top w:val="nil"/>
                    <w:left w:val="nil"/>
                    <w:bottom w:val="nil"/>
                    <w:right w:val="nil"/>
                  </w:tcBorders>
                  <w:shd w:val="clear" w:color="000000" w:fill="FFFFFF"/>
                  <w:vAlign w:val="bottom"/>
                </w:tcPr>
                <w:p w14:paraId="7954CE76" w14:textId="77777777" w:rsidR="00F05DC7" w:rsidRPr="00A75ED1" w:rsidRDefault="00F05DC7" w:rsidP="00A3786D">
                  <w:pPr>
                    <w:pStyle w:val="TableBodyText"/>
                    <w:rPr>
                      <w:rFonts w:cs="Arial"/>
                      <w:szCs w:val="18"/>
                    </w:rPr>
                  </w:pPr>
                  <w:r w:rsidRPr="00A75ED1">
                    <w:rPr>
                      <w:rFonts w:cs="Arial"/>
                      <w:color w:val="000000"/>
                      <w:szCs w:val="18"/>
                    </w:rPr>
                    <w:t>78</w:t>
                  </w:r>
                </w:p>
              </w:tc>
              <w:tc>
                <w:tcPr>
                  <w:tcW w:w="555" w:type="pct"/>
                  <w:tcBorders>
                    <w:top w:val="nil"/>
                    <w:left w:val="nil"/>
                    <w:bottom w:val="nil"/>
                    <w:right w:val="nil"/>
                  </w:tcBorders>
                  <w:shd w:val="clear" w:color="000000" w:fill="FFFFFF"/>
                  <w:vAlign w:val="bottom"/>
                </w:tcPr>
                <w:p w14:paraId="7954CE7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w:t>
                  </w:r>
                </w:p>
              </w:tc>
              <w:tc>
                <w:tcPr>
                  <w:tcW w:w="555" w:type="pct"/>
                  <w:tcBorders>
                    <w:top w:val="nil"/>
                    <w:left w:val="nil"/>
                    <w:bottom w:val="nil"/>
                    <w:right w:val="nil"/>
                  </w:tcBorders>
                  <w:shd w:val="clear" w:color="000000" w:fill="FFFFFF"/>
                  <w:vAlign w:val="bottom"/>
                </w:tcPr>
                <w:p w14:paraId="7954CE7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w:t>
                  </w:r>
                </w:p>
              </w:tc>
              <w:tc>
                <w:tcPr>
                  <w:tcW w:w="555" w:type="pct"/>
                  <w:tcBorders>
                    <w:top w:val="nil"/>
                    <w:left w:val="nil"/>
                    <w:bottom w:val="nil"/>
                    <w:right w:val="nil"/>
                  </w:tcBorders>
                  <w:shd w:val="clear" w:color="000000" w:fill="FFFFFF"/>
                  <w:vAlign w:val="bottom"/>
                </w:tcPr>
                <w:p w14:paraId="7954CE7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w:t>
                  </w:r>
                </w:p>
              </w:tc>
              <w:tc>
                <w:tcPr>
                  <w:tcW w:w="553" w:type="pct"/>
                  <w:tcBorders>
                    <w:top w:val="nil"/>
                    <w:left w:val="nil"/>
                    <w:bottom w:val="nil"/>
                    <w:right w:val="nil"/>
                  </w:tcBorders>
                  <w:shd w:val="clear" w:color="000000" w:fill="FFFFFF"/>
                  <w:vAlign w:val="bottom"/>
                </w:tcPr>
                <w:p w14:paraId="7954CE7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2 </w:t>
                  </w:r>
                </w:p>
              </w:tc>
            </w:tr>
            <w:tr w:rsidR="00F05DC7" w:rsidRPr="00A75ED1" w14:paraId="7954CE85" w14:textId="77777777" w:rsidTr="00A3786D">
              <w:tc>
                <w:tcPr>
                  <w:tcW w:w="556" w:type="pct"/>
                </w:tcPr>
                <w:p w14:paraId="7954CE7C"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000000" w:fill="FFFFFF"/>
                  <w:vAlign w:val="bottom"/>
                </w:tcPr>
                <w:p w14:paraId="7954CE7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w:t>
                  </w:r>
                </w:p>
              </w:tc>
              <w:tc>
                <w:tcPr>
                  <w:tcW w:w="557" w:type="pct"/>
                  <w:tcBorders>
                    <w:top w:val="nil"/>
                    <w:left w:val="nil"/>
                    <w:bottom w:val="nil"/>
                    <w:right w:val="nil"/>
                  </w:tcBorders>
                  <w:shd w:val="clear" w:color="000000" w:fill="FFFFFF"/>
                  <w:vAlign w:val="bottom"/>
                </w:tcPr>
                <w:p w14:paraId="7954CE7E" w14:textId="77777777" w:rsidR="00F05DC7" w:rsidRPr="00A75ED1" w:rsidRDefault="00F05DC7" w:rsidP="00A3786D">
                  <w:pPr>
                    <w:pStyle w:val="TableBodyText"/>
                    <w:rPr>
                      <w:rFonts w:cs="Arial"/>
                      <w:szCs w:val="18"/>
                    </w:rPr>
                  </w:pPr>
                  <w:r w:rsidRPr="00A75ED1">
                    <w:rPr>
                      <w:rFonts w:cs="Arial"/>
                      <w:color w:val="000000"/>
                      <w:szCs w:val="18"/>
                    </w:rPr>
                    <w:t>13</w:t>
                  </w:r>
                </w:p>
              </w:tc>
              <w:tc>
                <w:tcPr>
                  <w:tcW w:w="556" w:type="pct"/>
                  <w:tcBorders>
                    <w:top w:val="nil"/>
                    <w:left w:val="nil"/>
                    <w:bottom w:val="nil"/>
                    <w:right w:val="nil"/>
                  </w:tcBorders>
                  <w:shd w:val="clear" w:color="000000" w:fill="FFFFFF"/>
                  <w:vAlign w:val="bottom"/>
                </w:tcPr>
                <w:p w14:paraId="7954CE7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61</w:t>
                  </w:r>
                </w:p>
              </w:tc>
              <w:tc>
                <w:tcPr>
                  <w:tcW w:w="556" w:type="pct"/>
                  <w:tcBorders>
                    <w:top w:val="nil"/>
                    <w:left w:val="nil"/>
                    <w:bottom w:val="nil"/>
                    <w:right w:val="nil"/>
                  </w:tcBorders>
                  <w:shd w:val="clear" w:color="000000" w:fill="FFFFFF"/>
                  <w:vAlign w:val="bottom"/>
                </w:tcPr>
                <w:p w14:paraId="7954CE80" w14:textId="77777777" w:rsidR="00F05DC7" w:rsidRPr="00A75ED1" w:rsidRDefault="00F05DC7" w:rsidP="00A3786D">
                  <w:pPr>
                    <w:pStyle w:val="TableBodyText"/>
                    <w:rPr>
                      <w:rFonts w:cs="Arial"/>
                      <w:szCs w:val="18"/>
                    </w:rPr>
                  </w:pPr>
                  <w:r w:rsidRPr="00A75ED1">
                    <w:rPr>
                      <w:rFonts w:cs="Arial"/>
                      <w:color w:val="000000"/>
                      <w:szCs w:val="18"/>
                    </w:rPr>
                    <w:t>81</w:t>
                  </w:r>
                </w:p>
              </w:tc>
              <w:tc>
                <w:tcPr>
                  <w:tcW w:w="555" w:type="pct"/>
                  <w:tcBorders>
                    <w:top w:val="nil"/>
                    <w:left w:val="nil"/>
                    <w:bottom w:val="nil"/>
                    <w:right w:val="nil"/>
                  </w:tcBorders>
                  <w:shd w:val="clear" w:color="000000" w:fill="FFFFFF"/>
                  <w:vAlign w:val="bottom"/>
                </w:tcPr>
                <w:p w14:paraId="7954CE8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w:t>
                  </w:r>
                </w:p>
              </w:tc>
              <w:tc>
                <w:tcPr>
                  <w:tcW w:w="555" w:type="pct"/>
                  <w:tcBorders>
                    <w:top w:val="nil"/>
                    <w:left w:val="nil"/>
                    <w:bottom w:val="nil"/>
                    <w:right w:val="nil"/>
                  </w:tcBorders>
                  <w:shd w:val="clear" w:color="000000" w:fill="FFFFFF"/>
                  <w:vAlign w:val="bottom"/>
                </w:tcPr>
                <w:p w14:paraId="7954CE8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w:t>
                  </w:r>
                </w:p>
              </w:tc>
              <w:tc>
                <w:tcPr>
                  <w:tcW w:w="555" w:type="pct"/>
                  <w:tcBorders>
                    <w:top w:val="nil"/>
                    <w:left w:val="nil"/>
                    <w:bottom w:val="nil"/>
                    <w:right w:val="nil"/>
                  </w:tcBorders>
                  <w:shd w:val="clear" w:color="000000" w:fill="FFFFFF"/>
                  <w:vAlign w:val="bottom"/>
                </w:tcPr>
                <w:p w14:paraId="7954CE8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w:t>
                  </w:r>
                </w:p>
              </w:tc>
              <w:tc>
                <w:tcPr>
                  <w:tcW w:w="553" w:type="pct"/>
                  <w:tcBorders>
                    <w:top w:val="nil"/>
                    <w:left w:val="nil"/>
                    <w:bottom w:val="nil"/>
                    <w:right w:val="nil"/>
                  </w:tcBorders>
                  <w:shd w:val="clear" w:color="000000" w:fill="FFFFFF"/>
                  <w:vAlign w:val="bottom"/>
                </w:tcPr>
                <w:p w14:paraId="7954CE8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2 </w:t>
                  </w:r>
                </w:p>
              </w:tc>
            </w:tr>
            <w:tr w:rsidR="00F05DC7" w:rsidRPr="00A75ED1" w14:paraId="7954CE8F" w14:textId="77777777" w:rsidTr="002341D7">
              <w:tc>
                <w:tcPr>
                  <w:tcW w:w="556" w:type="pct"/>
                </w:tcPr>
                <w:p w14:paraId="7954CE86"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000000" w:fill="FFFFFF"/>
                  <w:vAlign w:val="bottom"/>
                </w:tcPr>
                <w:p w14:paraId="7954CE8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w:t>
                  </w:r>
                </w:p>
              </w:tc>
              <w:tc>
                <w:tcPr>
                  <w:tcW w:w="557" w:type="pct"/>
                  <w:tcBorders>
                    <w:top w:val="nil"/>
                    <w:left w:val="nil"/>
                    <w:right w:val="nil"/>
                  </w:tcBorders>
                  <w:shd w:val="clear" w:color="000000" w:fill="FFFFFF"/>
                  <w:vAlign w:val="bottom"/>
                </w:tcPr>
                <w:p w14:paraId="7954CE88" w14:textId="77777777" w:rsidR="00F05DC7" w:rsidRPr="00A75ED1" w:rsidRDefault="00F05DC7" w:rsidP="00A3786D">
                  <w:pPr>
                    <w:pStyle w:val="TableBodyText"/>
                    <w:rPr>
                      <w:rFonts w:cs="Arial"/>
                      <w:szCs w:val="18"/>
                    </w:rPr>
                  </w:pPr>
                  <w:r w:rsidRPr="00A75ED1">
                    <w:rPr>
                      <w:rFonts w:cs="Arial"/>
                      <w:color w:val="000000"/>
                      <w:szCs w:val="18"/>
                    </w:rPr>
                    <w:t>14</w:t>
                  </w:r>
                </w:p>
              </w:tc>
              <w:tc>
                <w:tcPr>
                  <w:tcW w:w="556" w:type="pct"/>
                  <w:tcBorders>
                    <w:top w:val="nil"/>
                    <w:left w:val="nil"/>
                    <w:right w:val="nil"/>
                  </w:tcBorders>
                  <w:shd w:val="clear" w:color="000000" w:fill="FFFFFF"/>
                  <w:vAlign w:val="bottom"/>
                </w:tcPr>
                <w:p w14:paraId="7954CE8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64</w:t>
                  </w:r>
                </w:p>
              </w:tc>
              <w:tc>
                <w:tcPr>
                  <w:tcW w:w="556" w:type="pct"/>
                  <w:tcBorders>
                    <w:top w:val="nil"/>
                    <w:left w:val="nil"/>
                    <w:right w:val="nil"/>
                  </w:tcBorders>
                  <w:shd w:val="clear" w:color="000000" w:fill="FFFFFF"/>
                  <w:vAlign w:val="bottom"/>
                </w:tcPr>
                <w:p w14:paraId="7954CE8A" w14:textId="77777777" w:rsidR="00F05DC7" w:rsidRPr="00A75ED1" w:rsidRDefault="00F05DC7" w:rsidP="00A3786D">
                  <w:pPr>
                    <w:pStyle w:val="TableBodyText"/>
                    <w:rPr>
                      <w:rFonts w:cs="Arial"/>
                      <w:szCs w:val="18"/>
                    </w:rPr>
                  </w:pPr>
                  <w:r w:rsidRPr="00A75ED1">
                    <w:rPr>
                      <w:rFonts w:cs="Arial"/>
                      <w:color w:val="000000"/>
                      <w:szCs w:val="18"/>
                    </w:rPr>
                    <w:t>85</w:t>
                  </w:r>
                </w:p>
              </w:tc>
              <w:tc>
                <w:tcPr>
                  <w:tcW w:w="555" w:type="pct"/>
                  <w:tcBorders>
                    <w:top w:val="nil"/>
                    <w:left w:val="nil"/>
                    <w:right w:val="nil"/>
                  </w:tcBorders>
                  <w:shd w:val="clear" w:color="000000" w:fill="FFFFFF"/>
                  <w:vAlign w:val="bottom"/>
                </w:tcPr>
                <w:p w14:paraId="7954CE8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w:t>
                  </w:r>
                </w:p>
              </w:tc>
              <w:tc>
                <w:tcPr>
                  <w:tcW w:w="555" w:type="pct"/>
                  <w:tcBorders>
                    <w:top w:val="nil"/>
                    <w:left w:val="nil"/>
                    <w:right w:val="nil"/>
                  </w:tcBorders>
                  <w:shd w:val="clear" w:color="000000" w:fill="FFFFFF"/>
                  <w:vAlign w:val="bottom"/>
                </w:tcPr>
                <w:p w14:paraId="7954CE8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w:t>
                  </w:r>
                </w:p>
              </w:tc>
              <w:tc>
                <w:tcPr>
                  <w:tcW w:w="555" w:type="pct"/>
                  <w:tcBorders>
                    <w:top w:val="nil"/>
                    <w:left w:val="nil"/>
                    <w:right w:val="nil"/>
                  </w:tcBorders>
                  <w:shd w:val="clear" w:color="000000" w:fill="FFFFFF"/>
                  <w:vAlign w:val="bottom"/>
                </w:tcPr>
                <w:p w14:paraId="7954CE8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w:t>
                  </w:r>
                </w:p>
              </w:tc>
              <w:tc>
                <w:tcPr>
                  <w:tcW w:w="553" w:type="pct"/>
                  <w:tcBorders>
                    <w:top w:val="nil"/>
                    <w:left w:val="nil"/>
                    <w:right w:val="nil"/>
                  </w:tcBorders>
                  <w:shd w:val="clear" w:color="000000" w:fill="FFFFFF"/>
                  <w:vAlign w:val="bottom"/>
                </w:tcPr>
                <w:p w14:paraId="7954CE8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w:t>
                  </w:r>
                </w:p>
              </w:tc>
            </w:tr>
            <w:tr w:rsidR="00F05DC7" w:rsidRPr="00A75ED1" w14:paraId="7954CE91" w14:textId="77777777" w:rsidTr="002341D7">
              <w:tc>
                <w:tcPr>
                  <w:tcW w:w="5000" w:type="pct"/>
                  <w:gridSpan w:val="9"/>
                  <w:shd w:val="clear" w:color="auto" w:fill="F2F2F2" w:themeFill="background1" w:themeFillShade="F2"/>
                </w:tcPr>
                <w:p w14:paraId="7954CE90"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CE9B" w14:textId="77777777" w:rsidTr="00A3786D">
              <w:tc>
                <w:tcPr>
                  <w:tcW w:w="556" w:type="pct"/>
                  <w:vAlign w:val="bottom"/>
                </w:tcPr>
                <w:p w14:paraId="7954CE92" w14:textId="77777777" w:rsidR="00F05DC7" w:rsidRPr="00027F36" w:rsidRDefault="00F05DC7" w:rsidP="00A3786D">
                  <w:pPr>
                    <w:pStyle w:val="TableBodyText"/>
                    <w:rPr>
                      <w:rFonts w:cs="Arial"/>
                      <w:szCs w:val="18"/>
                    </w:rPr>
                  </w:pPr>
                  <w:r w:rsidRPr="00027F36">
                    <w:rPr>
                      <w:rFonts w:cs="Arial"/>
                      <w:szCs w:val="18"/>
                    </w:rPr>
                    <w:t>2019</w:t>
                  </w:r>
                  <w:r w:rsidRPr="00027F36">
                    <w:rPr>
                      <w:rFonts w:cs="Arial"/>
                      <w:szCs w:val="18"/>
                    </w:rPr>
                    <w:noBreakHyphen/>
                    <w:t>20</w:t>
                  </w:r>
                </w:p>
              </w:tc>
              <w:tc>
                <w:tcPr>
                  <w:tcW w:w="557" w:type="pct"/>
                  <w:tcBorders>
                    <w:top w:val="nil"/>
                    <w:left w:val="nil"/>
                    <w:bottom w:val="nil"/>
                    <w:right w:val="nil"/>
                  </w:tcBorders>
                  <w:shd w:val="clear" w:color="auto" w:fill="auto"/>
                  <w:vAlign w:val="bottom"/>
                </w:tcPr>
                <w:p w14:paraId="7954CE93" w14:textId="77777777" w:rsidR="00F05DC7" w:rsidRPr="00027F36" w:rsidRDefault="00F05DC7" w:rsidP="00A3786D">
                  <w:pPr>
                    <w:pStyle w:val="TableBodyText"/>
                    <w:rPr>
                      <w:rFonts w:cs="Arial"/>
                      <w:szCs w:val="18"/>
                    </w:rPr>
                  </w:pPr>
                  <w:r w:rsidRPr="00027F36">
                    <w:rPr>
                      <w:rFonts w:cs="Arial"/>
                      <w:color w:val="000000"/>
                      <w:szCs w:val="18"/>
                    </w:rPr>
                    <w:t>22</w:t>
                  </w:r>
                </w:p>
              </w:tc>
              <w:tc>
                <w:tcPr>
                  <w:tcW w:w="557" w:type="pct"/>
                  <w:tcBorders>
                    <w:top w:val="nil"/>
                    <w:left w:val="nil"/>
                    <w:bottom w:val="nil"/>
                    <w:right w:val="nil"/>
                  </w:tcBorders>
                  <w:shd w:val="clear" w:color="auto" w:fill="auto"/>
                  <w:vAlign w:val="bottom"/>
                </w:tcPr>
                <w:p w14:paraId="7954CE94" w14:textId="77777777" w:rsidR="00F05DC7" w:rsidRPr="00027F36" w:rsidRDefault="00F05DC7" w:rsidP="00A3786D">
                  <w:pPr>
                    <w:pStyle w:val="TableBodyText"/>
                    <w:rPr>
                      <w:rFonts w:cs="Arial"/>
                      <w:szCs w:val="18"/>
                    </w:rPr>
                  </w:pPr>
                  <w:r w:rsidRPr="00027F36">
                    <w:rPr>
                      <w:rFonts w:cs="Arial"/>
                      <w:color w:val="000000"/>
                      <w:szCs w:val="18"/>
                    </w:rPr>
                    <w:t>-47</w:t>
                  </w:r>
                </w:p>
              </w:tc>
              <w:tc>
                <w:tcPr>
                  <w:tcW w:w="556" w:type="pct"/>
                  <w:tcBorders>
                    <w:top w:val="nil"/>
                    <w:left w:val="nil"/>
                    <w:bottom w:val="nil"/>
                    <w:right w:val="nil"/>
                  </w:tcBorders>
                  <w:shd w:val="clear" w:color="auto" w:fill="auto"/>
                  <w:vAlign w:val="bottom"/>
                </w:tcPr>
                <w:p w14:paraId="7954CE95" w14:textId="77777777" w:rsidR="00F05DC7" w:rsidRPr="00027F36" w:rsidRDefault="00F05DC7" w:rsidP="00A3786D">
                  <w:pPr>
                    <w:pStyle w:val="TableBodyText"/>
                    <w:rPr>
                      <w:rFonts w:cs="Arial"/>
                      <w:szCs w:val="18"/>
                    </w:rPr>
                  </w:pPr>
                  <w:r w:rsidRPr="00027F36">
                    <w:rPr>
                      <w:rFonts w:cs="Arial"/>
                      <w:color w:val="000000"/>
                      <w:szCs w:val="18"/>
                    </w:rPr>
                    <w:t>-66</w:t>
                  </w:r>
                </w:p>
              </w:tc>
              <w:tc>
                <w:tcPr>
                  <w:tcW w:w="556" w:type="pct"/>
                  <w:tcBorders>
                    <w:top w:val="nil"/>
                    <w:left w:val="nil"/>
                    <w:bottom w:val="nil"/>
                    <w:right w:val="nil"/>
                  </w:tcBorders>
                  <w:shd w:val="clear" w:color="auto" w:fill="auto"/>
                  <w:vAlign w:val="bottom"/>
                </w:tcPr>
                <w:p w14:paraId="7954CE96" w14:textId="77777777" w:rsidR="00F05DC7" w:rsidRPr="00027F36" w:rsidRDefault="00F05DC7" w:rsidP="00A3786D">
                  <w:pPr>
                    <w:pStyle w:val="TableBodyText"/>
                    <w:rPr>
                      <w:rFonts w:cs="Arial"/>
                      <w:szCs w:val="18"/>
                    </w:rPr>
                  </w:pPr>
                  <w:r w:rsidRPr="00027F36">
                    <w:rPr>
                      <w:rFonts w:cs="Arial"/>
                      <w:color w:val="000000"/>
                      <w:szCs w:val="18"/>
                    </w:rPr>
                    <w:t>252</w:t>
                  </w:r>
                </w:p>
              </w:tc>
              <w:tc>
                <w:tcPr>
                  <w:tcW w:w="555" w:type="pct"/>
                  <w:tcBorders>
                    <w:top w:val="nil"/>
                    <w:left w:val="nil"/>
                    <w:bottom w:val="nil"/>
                    <w:right w:val="nil"/>
                  </w:tcBorders>
                  <w:shd w:val="clear" w:color="auto" w:fill="auto"/>
                  <w:vAlign w:val="bottom"/>
                </w:tcPr>
                <w:p w14:paraId="7954CE97" w14:textId="77777777" w:rsidR="00F05DC7" w:rsidRPr="00027F36" w:rsidRDefault="00F05DC7" w:rsidP="00A3786D">
                  <w:pPr>
                    <w:pStyle w:val="TableBodyText"/>
                    <w:rPr>
                      <w:rFonts w:cs="Arial"/>
                      <w:szCs w:val="18"/>
                    </w:rPr>
                  </w:pPr>
                  <w:r w:rsidRPr="00027F36">
                    <w:rPr>
                      <w:rFonts w:cs="Arial"/>
                      <w:color w:val="000000"/>
                      <w:szCs w:val="18"/>
                    </w:rPr>
                    <w:t>-66</w:t>
                  </w:r>
                </w:p>
              </w:tc>
              <w:tc>
                <w:tcPr>
                  <w:tcW w:w="555" w:type="pct"/>
                  <w:tcBorders>
                    <w:top w:val="nil"/>
                    <w:left w:val="nil"/>
                    <w:bottom w:val="nil"/>
                    <w:right w:val="nil"/>
                  </w:tcBorders>
                  <w:shd w:val="clear" w:color="auto" w:fill="auto"/>
                  <w:vAlign w:val="bottom"/>
                </w:tcPr>
                <w:p w14:paraId="7954CE98" w14:textId="77777777" w:rsidR="00F05DC7" w:rsidRPr="00027F36" w:rsidRDefault="00F05DC7" w:rsidP="00A3786D">
                  <w:pPr>
                    <w:pStyle w:val="TableBodyText"/>
                    <w:rPr>
                      <w:rFonts w:cs="Arial"/>
                      <w:szCs w:val="18"/>
                    </w:rPr>
                  </w:pPr>
                  <w:r w:rsidRPr="00027F36">
                    <w:rPr>
                      <w:rFonts w:cs="Arial"/>
                      <w:color w:val="000000"/>
                      <w:szCs w:val="18"/>
                    </w:rPr>
                    <w:t>-66</w:t>
                  </w:r>
                </w:p>
              </w:tc>
              <w:tc>
                <w:tcPr>
                  <w:tcW w:w="555" w:type="pct"/>
                  <w:tcBorders>
                    <w:top w:val="nil"/>
                    <w:left w:val="nil"/>
                    <w:bottom w:val="nil"/>
                    <w:right w:val="nil"/>
                  </w:tcBorders>
                  <w:shd w:val="clear" w:color="auto" w:fill="auto"/>
                  <w:vAlign w:val="bottom"/>
                </w:tcPr>
                <w:p w14:paraId="7954CE99" w14:textId="77777777" w:rsidR="00F05DC7" w:rsidRPr="00027F36" w:rsidRDefault="00F05DC7" w:rsidP="00A3786D">
                  <w:pPr>
                    <w:pStyle w:val="TableBodyText"/>
                    <w:rPr>
                      <w:rFonts w:cs="Arial"/>
                      <w:szCs w:val="18"/>
                    </w:rPr>
                  </w:pPr>
                  <w:r w:rsidRPr="00027F36">
                    <w:rPr>
                      <w:rFonts w:cs="Arial"/>
                      <w:color w:val="000000"/>
                      <w:szCs w:val="18"/>
                    </w:rPr>
                    <w:t>-66</w:t>
                  </w:r>
                </w:p>
              </w:tc>
              <w:tc>
                <w:tcPr>
                  <w:tcW w:w="553" w:type="pct"/>
                  <w:tcBorders>
                    <w:top w:val="nil"/>
                    <w:left w:val="nil"/>
                    <w:bottom w:val="nil"/>
                    <w:right w:val="nil"/>
                  </w:tcBorders>
                  <w:shd w:val="clear" w:color="auto" w:fill="auto"/>
                  <w:vAlign w:val="bottom"/>
                </w:tcPr>
                <w:p w14:paraId="7954CE9A" w14:textId="77777777" w:rsidR="00F05DC7" w:rsidRPr="00027F36" w:rsidRDefault="00F05DC7" w:rsidP="00A3786D">
                  <w:pPr>
                    <w:pStyle w:val="TableBodyText"/>
                    <w:rPr>
                      <w:rFonts w:cs="Arial"/>
                      <w:szCs w:val="18"/>
                    </w:rPr>
                  </w:pPr>
                  <w:r w:rsidRPr="00027F36">
                    <w:rPr>
                      <w:rFonts w:cs="Arial"/>
                      <w:color w:val="000000"/>
                      <w:szCs w:val="18"/>
                    </w:rPr>
                    <w:t>-66</w:t>
                  </w:r>
                </w:p>
              </w:tc>
            </w:tr>
            <w:tr w:rsidR="00F05DC7" w:rsidRPr="00A75ED1" w14:paraId="7954CEA5" w14:textId="77777777" w:rsidTr="00A3786D">
              <w:tc>
                <w:tcPr>
                  <w:tcW w:w="556" w:type="pct"/>
                  <w:vAlign w:val="bottom"/>
                </w:tcPr>
                <w:p w14:paraId="7954CE9C" w14:textId="77777777" w:rsidR="00F05DC7" w:rsidRPr="00027F36" w:rsidRDefault="00F05DC7" w:rsidP="00A3786D">
                  <w:pPr>
                    <w:pStyle w:val="TableBodyText"/>
                    <w:rPr>
                      <w:rFonts w:cs="Arial"/>
                      <w:szCs w:val="18"/>
                    </w:rPr>
                  </w:pPr>
                  <w:r w:rsidRPr="00027F36">
                    <w:rPr>
                      <w:rFonts w:cs="Arial"/>
                      <w:szCs w:val="18"/>
                    </w:rPr>
                    <w:t>2020</w:t>
                  </w:r>
                  <w:r w:rsidRPr="00027F36">
                    <w:rPr>
                      <w:rFonts w:cs="Arial"/>
                      <w:szCs w:val="18"/>
                    </w:rPr>
                    <w:noBreakHyphen/>
                    <w:t>21</w:t>
                  </w:r>
                </w:p>
              </w:tc>
              <w:tc>
                <w:tcPr>
                  <w:tcW w:w="557" w:type="pct"/>
                  <w:tcBorders>
                    <w:top w:val="nil"/>
                    <w:left w:val="nil"/>
                    <w:bottom w:val="nil"/>
                    <w:right w:val="nil"/>
                  </w:tcBorders>
                  <w:shd w:val="clear" w:color="auto" w:fill="auto"/>
                  <w:vAlign w:val="bottom"/>
                </w:tcPr>
                <w:p w14:paraId="7954CE9D" w14:textId="77777777" w:rsidR="00F05DC7" w:rsidRPr="00027F36" w:rsidRDefault="00F05DC7" w:rsidP="00A3786D">
                  <w:pPr>
                    <w:pStyle w:val="TableBodyText"/>
                    <w:rPr>
                      <w:rFonts w:cs="Arial"/>
                      <w:szCs w:val="18"/>
                    </w:rPr>
                  </w:pPr>
                  <w:r w:rsidRPr="00027F36">
                    <w:rPr>
                      <w:rFonts w:cs="Arial"/>
                      <w:color w:val="000000"/>
                      <w:szCs w:val="18"/>
                    </w:rPr>
                    <w:t>13</w:t>
                  </w:r>
                </w:p>
              </w:tc>
              <w:tc>
                <w:tcPr>
                  <w:tcW w:w="557" w:type="pct"/>
                  <w:tcBorders>
                    <w:top w:val="nil"/>
                    <w:left w:val="nil"/>
                    <w:bottom w:val="nil"/>
                    <w:right w:val="nil"/>
                  </w:tcBorders>
                  <w:shd w:val="clear" w:color="auto" w:fill="auto"/>
                  <w:vAlign w:val="bottom"/>
                </w:tcPr>
                <w:p w14:paraId="7954CE9E" w14:textId="77777777" w:rsidR="00F05DC7" w:rsidRPr="00027F36" w:rsidRDefault="00F05DC7" w:rsidP="00A3786D">
                  <w:pPr>
                    <w:pStyle w:val="TableBodyText"/>
                    <w:rPr>
                      <w:rFonts w:cs="Arial"/>
                      <w:szCs w:val="18"/>
                    </w:rPr>
                  </w:pPr>
                  <w:r w:rsidRPr="00027F36">
                    <w:rPr>
                      <w:rFonts w:cs="Arial"/>
                      <w:color w:val="000000"/>
                      <w:szCs w:val="18"/>
                    </w:rPr>
                    <w:t>-22</w:t>
                  </w:r>
                </w:p>
              </w:tc>
              <w:tc>
                <w:tcPr>
                  <w:tcW w:w="556" w:type="pct"/>
                  <w:tcBorders>
                    <w:top w:val="nil"/>
                    <w:left w:val="nil"/>
                    <w:bottom w:val="nil"/>
                    <w:right w:val="nil"/>
                  </w:tcBorders>
                  <w:shd w:val="clear" w:color="auto" w:fill="auto"/>
                  <w:vAlign w:val="bottom"/>
                </w:tcPr>
                <w:p w14:paraId="7954CE9F" w14:textId="77777777" w:rsidR="00F05DC7" w:rsidRPr="00027F36" w:rsidRDefault="00F05DC7" w:rsidP="00A3786D">
                  <w:pPr>
                    <w:pStyle w:val="TableBodyText"/>
                    <w:rPr>
                      <w:rFonts w:cs="Arial"/>
                      <w:szCs w:val="18"/>
                    </w:rPr>
                  </w:pPr>
                  <w:r w:rsidRPr="00027F36">
                    <w:rPr>
                      <w:rFonts w:cs="Arial"/>
                      <w:color w:val="000000"/>
                      <w:szCs w:val="18"/>
                    </w:rPr>
                    <w:t>-64</w:t>
                  </w:r>
                </w:p>
              </w:tc>
              <w:tc>
                <w:tcPr>
                  <w:tcW w:w="556" w:type="pct"/>
                  <w:tcBorders>
                    <w:top w:val="nil"/>
                    <w:left w:val="nil"/>
                    <w:bottom w:val="nil"/>
                    <w:right w:val="nil"/>
                  </w:tcBorders>
                  <w:shd w:val="clear" w:color="auto" w:fill="auto"/>
                  <w:vAlign w:val="bottom"/>
                </w:tcPr>
                <w:p w14:paraId="7954CEA0" w14:textId="77777777" w:rsidR="00F05DC7" w:rsidRPr="00027F36" w:rsidRDefault="00F05DC7" w:rsidP="00A3786D">
                  <w:pPr>
                    <w:pStyle w:val="TableBodyText"/>
                    <w:rPr>
                      <w:rFonts w:cs="Arial"/>
                      <w:szCs w:val="18"/>
                    </w:rPr>
                  </w:pPr>
                  <w:r w:rsidRPr="00027F36">
                    <w:rPr>
                      <w:rFonts w:cs="Arial"/>
                      <w:color w:val="000000"/>
                      <w:szCs w:val="18"/>
                    </w:rPr>
                    <w:t>210</w:t>
                  </w:r>
                </w:p>
              </w:tc>
              <w:tc>
                <w:tcPr>
                  <w:tcW w:w="555" w:type="pct"/>
                  <w:tcBorders>
                    <w:top w:val="nil"/>
                    <w:left w:val="nil"/>
                    <w:bottom w:val="nil"/>
                    <w:right w:val="nil"/>
                  </w:tcBorders>
                  <w:shd w:val="clear" w:color="auto" w:fill="auto"/>
                  <w:vAlign w:val="bottom"/>
                </w:tcPr>
                <w:p w14:paraId="7954CEA1" w14:textId="77777777" w:rsidR="00F05DC7" w:rsidRPr="00027F36" w:rsidRDefault="00F05DC7" w:rsidP="00A3786D">
                  <w:pPr>
                    <w:pStyle w:val="TableBodyText"/>
                    <w:rPr>
                      <w:rFonts w:cs="Arial"/>
                      <w:szCs w:val="18"/>
                    </w:rPr>
                  </w:pPr>
                  <w:r w:rsidRPr="00027F36">
                    <w:rPr>
                      <w:rFonts w:cs="Arial"/>
                      <w:color w:val="000000"/>
                      <w:szCs w:val="18"/>
                    </w:rPr>
                    <w:t>-64</w:t>
                  </w:r>
                </w:p>
              </w:tc>
              <w:tc>
                <w:tcPr>
                  <w:tcW w:w="555" w:type="pct"/>
                  <w:tcBorders>
                    <w:top w:val="nil"/>
                    <w:left w:val="nil"/>
                    <w:bottom w:val="nil"/>
                    <w:right w:val="nil"/>
                  </w:tcBorders>
                  <w:shd w:val="clear" w:color="auto" w:fill="auto"/>
                  <w:vAlign w:val="bottom"/>
                </w:tcPr>
                <w:p w14:paraId="7954CEA2" w14:textId="77777777" w:rsidR="00F05DC7" w:rsidRPr="00027F36" w:rsidRDefault="00F05DC7" w:rsidP="00A3786D">
                  <w:pPr>
                    <w:pStyle w:val="TableBodyText"/>
                    <w:rPr>
                      <w:rFonts w:cs="Arial"/>
                      <w:szCs w:val="18"/>
                    </w:rPr>
                  </w:pPr>
                  <w:r w:rsidRPr="00027F36">
                    <w:rPr>
                      <w:rFonts w:cs="Arial"/>
                      <w:color w:val="000000"/>
                      <w:szCs w:val="18"/>
                    </w:rPr>
                    <w:t>-64</w:t>
                  </w:r>
                </w:p>
              </w:tc>
              <w:tc>
                <w:tcPr>
                  <w:tcW w:w="555" w:type="pct"/>
                  <w:tcBorders>
                    <w:top w:val="nil"/>
                    <w:left w:val="nil"/>
                    <w:bottom w:val="nil"/>
                    <w:right w:val="nil"/>
                  </w:tcBorders>
                  <w:shd w:val="clear" w:color="auto" w:fill="auto"/>
                  <w:vAlign w:val="bottom"/>
                </w:tcPr>
                <w:p w14:paraId="7954CEA3" w14:textId="77777777" w:rsidR="00F05DC7" w:rsidRPr="00027F36" w:rsidRDefault="00F05DC7" w:rsidP="00A3786D">
                  <w:pPr>
                    <w:pStyle w:val="TableBodyText"/>
                    <w:rPr>
                      <w:rFonts w:cs="Arial"/>
                      <w:szCs w:val="18"/>
                    </w:rPr>
                  </w:pPr>
                  <w:r w:rsidRPr="00027F36">
                    <w:rPr>
                      <w:rFonts w:cs="Arial"/>
                      <w:color w:val="000000"/>
                      <w:szCs w:val="18"/>
                    </w:rPr>
                    <w:t>-64</w:t>
                  </w:r>
                </w:p>
              </w:tc>
              <w:tc>
                <w:tcPr>
                  <w:tcW w:w="553" w:type="pct"/>
                  <w:tcBorders>
                    <w:top w:val="nil"/>
                    <w:left w:val="nil"/>
                    <w:bottom w:val="nil"/>
                    <w:right w:val="nil"/>
                  </w:tcBorders>
                  <w:shd w:val="clear" w:color="auto" w:fill="auto"/>
                  <w:vAlign w:val="bottom"/>
                </w:tcPr>
                <w:p w14:paraId="7954CEA4" w14:textId="77777777" w:rsidR="00F05DC7" w:rsidRPr="00027F36" w:rsidRDefault="00F05DC7" w:rsidP="00A3786D">
                  <w:pPr>
                    <w:pStyle w:val="TableBodyText"/>
                    <w:rPr>
                      <w:rFonts w:cs="Arial"/>
                      <w:szCs w:val="18"/>
                    </w:rPr>
                  </w:pPr>
                  <w:r w:rsidRPr="00027F36">
                    <w:rPr>
                      <w:rFonts w:cs="Arial"/>
                      <w:color w:val="000000"/>
                      <w:szCs w:val="18"/>
                    </w:rPr>
                    <w:t>-64</w:t>
                  </w:r>
                </w:p>
              </w:tc>
            </w:tr>
            <w:tr w:rsidR="00F05DC7" w:rsidRPr="00A75ED1" w14:paraId="7954CEAF" w14:textId="77777777" w:rsidTr="00A3786D">
              <w:tc>
                <w:tcPr>
                  <w:tcW w:w="556" w:type="pct"/>
                  <w:vAlign w:val="bottom"/>
                </w:tcPr>
                <w:p w14:paraId="7954CEA6" w14:textId="77777777" w:rsidR="00F05DC7" w:rsidRPr="00027F36" w:rsidRDefault="00F05DC7" w:rsidP="00A3786D">
                  <w:pPr>
                    <w:pStyle w:val="TableBodyText"/>
                    <w:rPr>
                      <w:rFonts w:cs="Arial"/>
                      <w:szCs w:val="18"/>
                    </w:rPr>
                  </w:pPr>
                  <w:r w:rsidRPr="00027F36">
                    <w:rPr>
                      <w:rFonts w:cs="Arial"/>
                      <w:szCs w:val="18"/>
                    </w:rPr>
                    <w:t>2021</w:t>
                  </w:r>
                  <w:r w:rsidRPr="00027F36">
                    <w:rPr>
                      <w:rFonts w:cs="Arial"/>
                      <w:szCs w:val="18"/>
                    </w:rPr>
                    <w:noBreakHyphen/>
                    <w:t>22</w:t>
                  </w:r>
                </w:p>
              </w:tc>
              <w:tc>
                <w:tcPr>
                  <w:tcW w:w="557" w:type="pct"/>
                  <w:tcBorders>
                    <w:top w:val="nil"/>
                    <w:left w:val="nil"/>
                    <w:bottom w:val="nil"/>
                    <w:right w:val="nil"/>
                  </w:tcBorders>
                  <w:shd w:val="clear" w:color="auto" w:fill="auto"/>
                  <w:vAlign w:val="bottom"/>
                </w:tcPr>
                <w:p w14:paraId="7954CEA7" w14:textId="77777777" w:rsidR="00F05DC7" w:rsidRPr="00027F36" w:rsidRDefault="00F05DC7" w:rsidP="00A3786D">
                  <w:pPr>
                    <w:pStyle w:val="TableBodyText"/>
                    <w:rPr>
                      <w:rFonts w:cs="Arial"/>
                      <w:szCs w:val="18"/>
                    </w:rPr>
                  </w:pPr>
                  <w:r w:rsidRPr="00027F36">
                    <w:rPr>
                      <w:rFonts w:cs="Arial"/>
                      <w:color w:val="000000"/>
                      <w:szCs w:val="18"/>
                    </w:rPr>
                    <w:t>4</w:t>
                  </w:r>
                </w:p>
              </w:tc>
              <w:tc>
                <w:tcPr>
                  <w:tcW w:w="557" w:type="pct"/>
                  <w:tcBorders>
                    <w:top w:val="nil"/>
                    <w:left w:val="nil"/>
                    <w:bottom w:val="nil"/>
                    <w:right w:val="nil"/>
                  </w:tcBorders>
                  <w:shd w:val="clear" w:color="auto" w:fill="auto"/>
                  <w:vAlign w:val="bottom"/>
                </w:tcPr>
                <w:p w14:paraId="7954CEA8" w14:textId="77777777" w:rsidR="00F05DC7" w:rsidRPr="00027F36" w:rsidRDefault="00F05DC7" w:rsidP="00A3786D">
                  <w:pPr>
                    <w:pStyle w:val="TableBodyText"/>
                    <w:rPr>
                      <w:rFonts w:cs="Arial"/>
                      <w:szCs w:val="18"/>
                    </w:rPr>
                  </w:pPr>
                  <w:r w:rsidRPr="00027F36">
                    <w:rPr>
                      <w:rFonts w:cs="Arial"/>
                      <w:color w:val="000000"/>
                      <w:szCs w:val="18"/>
                    </w:rPr>
                    <w:t>6</w:t>
                  </w:r>
                </w:p>
              </w:tc>
              <w:tc>
                <w:tcPr>
                  <w:tcW w:w="556" w:type="pct"/>
                  <w:tcBorders>
                    <w:top w:val="nil"/>
                    <w:left w:val="nil"/>
                    <w:bottom w:val="nil"/>
                    <w:right w:val="nil"/>
                  </w:tcBorders>
                  <w:shd w:val="clear" w:color="auto" w:fill="auto"/>
                  <w:vAlign w:val="bottom"/>
                </w:tcPr>
                <w:p w14:paraId="7954CEA9" w14:textId="77777777" w:rsidR="00F05DC7" w:rsidRPr="00027F36" w:rsidRDefault="00F05DC7" w:rsidP="00A3786D">
                  <w:pPr>
                    <w:pStyle w:val="TableBodyText"/>
                    <w:rPr>
                      <w:rFonts w:cs="Arial"/>
                      <w:szCs w:val="18"/>
                    </w:rPr>
                  </w:pPr>
                  <w:r w:rsidRPr="00027F36">
                    <w:rPr>
                      <w:rFonts w:cs="Arial"/>
                      <w:color w:val="000000"/>
                      <w:szCs w:val="18"/>
                    </w:rPr>
                    <w:t>-62</w:t>
                  </w:r>
                </w:p>
              </w:tc>
              <w:tc>
                <w:tcPr>
                  <w:tcW w:w="556" w:type="pct"/>
                  <w:tcBorders>
                    <w:top w:val="nil"/>
                    <w:left w:val="nil"/>
                    <w:bottom w:val="nil"/>
                    <w:right w:val="nil"/>
                  </w:tcBorders>
                  <w:shd w:val="clear" w:color="auto" w:fill="auto"/>
                  <w:vAlign w:val="bottom"/>
                </w:tcPr>
                <w:p w14:paraId="7954CEAA" w14:textId="77777777" w:rsidR="00F05DC7" w:rsidRPr="00027F36" w:rsidRDefault="00F05DC7" w:rsidP="00A3786D">
                  <w:pPr>
                    <w:pStyle w:val="TableBodyText"/>
                    <w:rPr>
                      <w:rFonts w:cs="Arial"/>
                      <w:szCs w:val="18"/>
                    </w:rPr>
                  </w:pPr>
                  <w:r w:rsidRPr="00027F36">
                    <w:rPr>
                      <w:rFonts w:cs="Arial"/>
                      <w:color w:val="000000"/>
                      <w:szCs w:val="18"/>
                    </w:rPr>
                    <w:t>161</w:t>
                  </w:r>
                </w:p>
              </w:tc>
              <w:tc>
                <w:tcPr>
                  <w:tcW w:w="555" w:type="pct"/>
                  <w:tcBorders>
                    <w:top w:val="nil"/>
                    <w:left w:val="nil"/>
                    <w:bottom w:val="nil"/>
                    <w:right w:val="nil"/>
                  </w:tcBorders>
                  <w:shd w:val="clear" w:color="auto" w:fill="auto"/>
                  <w:vAlign w:val="bottom"/>
                </w:tcPr>
                <w:p w14:paraId="7954CEAB" w14:textId="77777777" w:rsidR="00F05DC7" w:rsidRPr="00027F36" w:rsidRDefault="00F05DC7" w:rsidP="00A3786D">
                  <w:pPr>
                    <w:pStyle w:val="TableBodyText"/>
                    <w:rPr>
                      <w:rFonts w:cs="Arial"/>
                      <w:szCs w:val="18"/>
                    </w:rPr>
                  </w:pPr>
                  <w:r w:rsidRPr="00027F36">
                    <w:rPr>
                      <w:rFonts w:cs="Arial"/>
                      <w:color w:val="000000"/>
                      <w:szCs w:val="18"/>
                    </w:rPr>
                    <w:t>-61</w:t>
                  </w:r>
                </w:p>
              </w:tc>
              <w:tc>
                <w:tcPr>
                  <w:tcW w:w="555" w:type="pct"/>
                  <w:tcBorders>
                    <w:top w:val="nil"/>
                    <w:left w:val="nil"/>
                    <w:bottom w:val="nil"/>
                    <w:right w:val="nil"/>
                  </w:tcBorders>
                  <w:shd w:val="clear" w:color="auto" w:fill="auto"/>
                  <w:vAlign w:val="bottom"/>
                </w:tcPr>
                <w:p w14:paraId="7954CEAC" w14:textId="77777777" w:rsidR="00F05DC7" w:rsidRPr="00027F36" w:rsidRDefault="00F05DC7" w:rsidP="00A3786D">
                  <w:pPr>
                    <w:pStyle w:val="TableBodyText"/>
                    <w:rPr>
                      <w:rFonts w:cs="Arial"/>
                      <w:szCs w:val="18"/>
                    </w:rPr>
                  </w:pPr>
                  <w:r w:rsidRPr="00027F36">
                    <w:rPr>
                      <w:rFonts w:cs="Arial"/>
                      <w:color w:val="000000"/>
                      <w:szCs w:val="18"/>
                    </w:rPr>
                    <w:t>-61</w:t>
                  </w:r>
                </w:p>
              </w:tc>
              <w:tc>
                <w:tcPr>
                  <w:tcW w:w="555" w:type="pct"/>
                  <w:tcBorders>
                    <w:top w:val="nil"/>
                    <w:left w:val="nil"/>
                    <w:bottom w:val="nil"/>
                    <w:right w:val="nil"/>
                  </w:tcBorders>
                  <w:shd w:val="clear" w:color="auto" w:fill="auto"/>
                  <w:vAlign w:val="bottom"/>
                </w:tcPr>
                <w:p w14:paraId="7954CEAD" w14:textId="77777777" w:rsidR="00F05DC7" w:rsidRPr="00027F36" w:rsidRDefault="00F05DC7" w:rsidP="00A3786D">
                  <w:pPr>
                    <w:pStyle w:val="TableBodyText"/>
                    <w:rPr>
                      <w:rFonts w:cs="Arial"/>
                      <w:szCs w:val="18"/>
                    </w:rPr>
                  </w:pPr>
                  <w:r w:rsidRPr="00027F36">
                    <w:rPr>
                      <w:rFonts w:cs="Arial"/>
                      <w:color w:val="000000"/>
                      <w:szCs w:val="18"/>
                    </w:rPr>
                    <w:t>-62</w:t>
                  </w:r>
                </w:p>
              </w:tc>
              <w:tc>
                <w:tcPr>
                  <w:tcW w:w="553" w:type="pct"/>
                  <w:tcBorders>
                    <w:top w:val="nil"/>
                    <w:left w:val="nil"/>
                    <w:bottom w:val="nil"/>
                    <w:right w:val="nil"/>
                  </w:tcBorders>
                  <w:shd w:val="clear" w:color="auto" w:fill="auto"/>
                  <w:vAlign w:val="bottom"/>
                </w:tcPr>
                <w:p w14:paraId="7954CEAE" w14:textId="77777777" w:rsidR="00F05DC7" w:rsidRPr="00027F36" w:rsidRDefault="00F05DC7" w:rsidP="00A3786D">
                  <w:pPr>
                    <w:pStyle w:val="TableBodyText"/>
                    <w:rPr>
                      <w:rFonts w:cs="Arial"/>
                      <w:szCs w:val="18"/>
                    </w:rPr>
                  </w:pPr>
                  <w:r w:rsidRPr="00027F36">
                    <w:rPr>
                      <w:rFonts w:cs="Arial"/>
                      <w:color w:val="000000"/>
                      <w:szCs w:val="18"/>
                    </w:rPr>
                    <w:t>-61</w:t>
                  </w:r>
                </w:p>
              </w:tc>
            </w:tr>
            <w:tr w:rsidR="00F05DC7" w:rsidRPr="00A75ED1" w14:paraId="7954CEB9" w14:textId="77777777" w:rsidTr="00A3786D">
              <w:tc>
                <w:tcPr>
                  <w:tcW w:w="556" w:type="pct"/>
                </w:tcPr>
                <w:p w14:paraId="7954CEB0" w14:textId="77777777" w:rsidR="00F05DC7" w:rsidRPr="00027F36" w:rsidRDefault="00F05DC7" w:rsidP="00A3786D">
                  <w:pPr>
                    <w:pStyle w:val="TableBodyText"/>
                    <w:rPr>
                      <w:rFonts w:cs="Arial"/>
                      <w:szCs w:val="18"/>
                    </w:rPr>
                  </w:pPr>
                  <w:r w:rsidRPr="00027F36">
                    <w:rPr>
                      <w:rFonts w:cs="Arial"/>
                      <w:szCs w:val="18"/>
                    </w:rPr>
                    <w:t>2022</w:t>
                  </w:r>
                  <w:r w:rsidRPr="00027F36">
                    <w:rPr>
                      <w:rFonts w:cs="Arial"/>
                      <w:szCs w:val="18"/>
                    </w:rPr>
                    <w:noBreakHyphen/>
                    <w:t>23</w:t>
                  </w:r>
                </w:p>
              </w:tc>
              <w:tc>
                <w:tcPr>
                  <w:tcW w:w="557" w:type="pct"/>
                  <w:tcBorders>
                    <w:top w:val="nil"/>
                    <w:left w:val="nil"/>
                    <w:bottom w:val="nil"/>
                    <w:right w:val="nil"/>
                  </w:tcBorders>
                  <w:shd w:val="clear" w:color="auto" w:fill="auto"/>
                  <w:vAlign w:val="bottom"/>
                </w:tcPr>
                <w:p w14:paraId="7954CEB1" w14:textId="77777777" w:rsidR="00F05DC7" w:rsidRPr="00027F36" w:rsidRDefault="00F05DC7" w:rsidP="00A3786D">
                  <w:pPr>
                    <w:pStyle w:val="TableBodyText"/>
                    <w:rPr>
                      <w:rFonts w:cs="Arial"/>
                      <w:szCs w:val="18"/>
                    </w:rPr>
                  </w:pPr>
                  <w:r w:rsidRPr="00027F36">
                    <w:rPr>
                      <w:rFonts w:cs="Arial"/>
                      <w:color w:val="000000"/>
                      <w:szCs w:val="18"/>
                    </w:rPr>
                    <w:t>-8</w:t>
                  </w:r>
                </w:p>
              </w:tc>
              <w:tc>
                <w:tcPr>
                  <w:tcW w:w="557" w:type="pct"/>
                  <w:tcBorders>
                    <w:top w:val="nil"/>
                    <w:left w:val="nil"/>
                    <w:bottom w:val="nil"/>
                    <w:right w:val="nil"/>
                  </w:tcBorders>
                  <w:shd w:val="clear" w:color="auto" w:fill="auto"/>
                  <w:vAlign w:val="bottom"/>
                </w:tcPr>
                <w:p w14:paraId="7954CEB2" w14:textId="77777777" w:rsidR="00F05DC7" w:rsidRPr="00027F36" w:rsidRDefault="00F05DC7" w:rsidP="00A3786D">
                  <w:pPr>
                    <w:pStyle w:val="TableBodyText"/>
                    <w:rPr>
                      <w:rFonts w:cs="Arial"/>
                      <w:szCs w:val="18"/>
                    </w:rPr>
                  </w:pPr>
                  <w:r w:rsidRPr="00027F36">
                    <w:rPr>
                      <w:rFonts w:cs="Arial"/>
                      <w:color w:val="000000"/>
                      <w:szCs w:val="18"/>
                    </w:rPr>
                    <w:t>38</w:t>
                  </w:r>
                </w:p>
              </w:tc>
              <w:tc>
                <w:tcPr>
                  <w:tcW w:w="556" w:type="pct"/>
                  <w:tcBorders>
                    <w:top w:val="nil"/>
                    <w:left w:val="nil"/>
                    <w:bottom w:val="nil"/>
                    <w:right w:val="nil"/>
                  </w:tcBorders>
                  <w:shd w:val="clear" w:color="auto" w:fill="auto"/>
                  <w:vAlign w:val="bottom"/>
                </w:tcPr>
                <w:p w14:paraId="7954CEB3" w14:textId="77777777" w:rsidR="00F05DC7" w:rsidRPr="00027F36" w:rsidRDefault="00F05DC7" w:rsidP="00A3786D">
                  <w:pPr>
                    <w:pStyle w:val="TableBodyText"/>
                    <w:rPr>
                      <w:rFonts w:cs="Arial"/>
                      <w:szCs w:val="18"/>
                    </w:rPr>
                  </w:pPr>
                  <w:r w:rsidRPr="00027F36">
                    <w:rPr>
                      <w:rFonts w:cs="Arial"/>
                      <w:color w:val="000000"/>
                      <w:szCs w:val="18"/>
                    </w:rPr>
                    <w:t>-59</w:t>
                  </w:r>
                </w:p>
              </w:tc>
              <w:tc>
                <w:tcPr>
                  <w:tcW w:w="556" w:type="pct"/>
                  <w:tcBorders>
                    <w:top w:val="nil"/>
                    <w:left w:val="nil"/>
                    <w:bottom w:val="nil"/>
                    <w:right w:val="nil"/>
                  </w:tcBorders>
                  <w:shd w:val="clear" w:color="auto" w:fill="auto"/>
                  <w:vAlign w:val="bottom"/>
                </w:tcPr>
                <w:p w14:paraId="7954CEB4" w14:textId="77777777" w:rsidR="00F05DC7" w:rsidRPr="00027F36" w:rsidRDefault="00F05DC7" w:rsidP="00A3786D">
                  <w:pPr>
                    <w:pStyle w:val="TableBodyText"/>
                    <w:rPr>
                      <w:rFonts w:cs="Arial"/>
                      <w:szCs w:val="18"/>
                    </w:rPr>
                  </w:pPr>
                  <w:r w:rsidRPr="00027F36">
                    <w:rPr>
                      <w:rFonts w:cs="Arial"/>
                      <w:color w:val="000000"/>
                      <w:szCs w:val="18"/>
                    </w:rPr>
                    <w:t>104</w:t>
                  </w:r>
                </w:p>
              </w:tc>
              <w:tc>
                <w:tcPr>
                  <w:tcW w:w="555" w:type="pct"/>
                  <w:tcBorders>
                    <w:top w:val="nil"/>
                    <w:left w:val="nil"/>
                    <w:bottom w:val="nil"/>
                    <w:right w:val="nil"/>
                  </w:tcBorders>
                  <w:shd w:val="clear" w:color="auto" w:fill="auto"/>
                  <w:vAlign w:val="bottom"/>
                </w:tcPr>
                <w:p w14:paraId="7954CEB5" w14:textId="77777777" w:rsidR="00F05DC7" w:rsidRPr="00027F36" w:rsidRDefault="00F05DC7" w:rsidP="00A3786D">
                  <w:pPr>
                    <w:pStyle w:val="TableBodyText"/>
                    <w:rPr>
                      <w:rFonts w:cs="Arial"/>
                      <w:szCs w:val="18"/>
                    </w:rPr>
                  </w:pPr>
                  <w:r w:rsidRPr="00027F36">
                    <w:rPr>
                      <w:rFonts w:cs="Arial"/>
                      <w:color w:val="000000"/>
                      <w:szCs w:val="18"/>
                    </w:rPr>
                    <w:t>-58</w:t>
                  </w:r>
                </w:p>
              </w:tc>
              <w:tc>
                <w:tcPr>
                  <w:tcW w:w="555" w:type="pct"/>
                  <w:tcBorders>
                    <w:top w:val="nil"/>
                    <w:left w:val="nil"/>
                    <w:bottom w:val="nil"/>
                    <w:right w:val="nil"/>
                  </w:tcBorders>
                  <w:shd w:val="clear" w:color="auto" w:fill="auto"/>
                  <w:vAlign w:val="bottom"/>
                </w:tcPr>
                <w:p w14:paraId="7954CEB6" w14:textId="77777777" w:rsidR="00F05DC7" w:rsidRPr="00027F36" w:rsidRDefault="00F05DC7" w:rsidP="00A3786D">
                  <w:pPr>
                    <w:pStyle w:val="TableBodyText"/>
                    <w:rPr>
                      <w:rFonts w:cs="Arial"/>
                      <w:szCs w:val="18"/>
                    </w:rPr>
                  </w:pPr>
                  <w:r w:rsidRPr="00027F36">
                    <w:rPr>
                      <w:rFonts w:cs="Arial"/>
                      <w:color w:val="000000"/>
                      <w:szCs w:val="18"/>
                    </w:rPr>
                    <w:t>-58</w:t>
                  </w:r>
                </w:p>
              </w:tc>
              <w:tc>
                <w:tcPr>
                  <w:tcW w:w="555" w:type="pct"/>
                  <w:tcBorders>
                    <w:top w:val="nil"/>
                    <w:left w:val="nil"/>
                    <w:bottom w:val="nil"/>
                    <w:right w:val="nil"/>
                  </w:tcBorders>
                  <w:shd w:val="clear" w:color="auto" w:fill="auto"/>
                  <w:vAlign w:val="bottom"/>
                </w:tcPr>
                <w:p w14:paraId="7954CEB7" w14:textId="77777777" w:rsidR="00F05DC7" w:rsidRPr="00027F36" w:rsidRDefault="00F05DC7" w:rsidP="00A3786D">
                  <w:pPr>
                    <w:pStyle w:val="TableBodyText"/>
                    <w:rPr>
                      <w:rFonts w:cs="Arial"/>
                      <w:szCs w:val="18"/>
                    </w:rPr>
                  </w:pPr>
                  <w:r w:rsidRPr="00027F36">
                    <w:rPr>
                      <w:rFonts w:cs="Arial"/>
                      <w:color w:val="000000"/>
                      <w:szCs w:val="18"/>
                    </w:rPr>
                    <w:t>-59</w:t>
                  </w:r>
                </w:p>
              </w:tc>
              <w:tc>
                <w:tcPr>
                  <w:tcW w:w="553" w:type="pct"/>
                  <w:tcBorders>
                    <w:top w:val="nil"/>
                    <w:left w:val="nil"/>
                    <w:bottom w:val="nil"/>
                    <w:right w:val="nil"/>
                  </w:tcBorders>
                  <w:shd w:val="clear" w:color="auto" w:fill="auto"/>
                  <w:vAlign w:val="bottom"/>
                </w:tcPr>
                <w:p w14:paraId="7954CEB8" w14:textId="77777777" w:rsidR="00F05DC7" w:rsidRPr="00027F36" w:rsidRDefault="00F05DC7" w:rsidP="00A3786D">
                  <w:pPr>
                    <w:pStyle w:val="TableBodyText"/>
                    <w:rPr>
                      <w:rFonts w:cs="Arial"/>
                      <w:szCs w:val="18"/>
                    </w:rPr>
                  </w:pPr>
                  <w:r w:rsidRPr="00027F36">
                    <w:rPr>
                      <w:rFonts w:cs="Arial"/>
                      <w:color w:val="000000"/>
                      <w:szCs w:val="18"/>
                    </w:rPr>
                    <w:t>-57</w:t>
                  </w:r>
                </w:p>
              </w:tc>
            </w:tr>
            <w:tr w:rsidR="00F05DC7" w:rsidRPr="00A75ED1" w14:paraId="7954CEC3" w14:textId="77777777" w:rsidTr="00A3786D">
              <w:tc>
                <w:tcPr>
                  <w:tcW w:w="556" w:type="pct"/>
                </w:tcPr>
                <w:p w14:paraId="7954CEBA" w14:textId="77777777" w:rsidR="00F05DC7" w:rsidRPr="00027F36" w:rsidRDefault="00F05DC7" w:rsidP="00A3786D">
                  <w:pPr>
                    <w:pStyle w:val="TableBodyText"/>
                    <w:rPr>
                      <w:rFonts w:cs="Arial"/>
                      <w:szCs w:val="18"/>
                    </w:rPr>
                  </w:pPr>
                  <w:r w:rsidRPr="00027F36">
                    <w:rPr>
                      <w:rFonts w:cs="Arial"/>
                      <w:szCs w:val="18"/>
                    </w:rPr>
                    <w:t>2023</w:t>
                  </w:r>
                  <w:r w:rsidRPr="00027F36">
                    <w:rPr>
                      <w:rFonts w:cs="Arial"/>
                      <w:szCs w:val="18"/>
                    </w:rPr>
                    <w:noBreakHyphen/>
                    <w:t>24</w:t>
                  </w:r>
                </w:p>
              </w:tc>
              <w:tc>
                <w:tcPr>
                  <w:tcW w:w="557" w:type="pct"/>
                  <w:tcBorders>
                    <w:top w:val="nil"/>
                    <w:left w:val="nil"/>
                    <w:bottom w:val="nil"/>
                    <w:right w:val="nil"/>
                  </w:tcBorders>
                  <w:shd w:val="clear" w:color="auto" w:fill="auto"/>
                  <w:vAlign w:val="bottom"/>
                </w:tcPr>
                <w:p w14:paraId="7954CEBB" w14:textId="77777777" w:rsidR="00F05DC7" w:rsidRPr="00027F36" w:rsidRDefault="00F05DC7" w:rsidP="00A3786D">
                  <w:pPr>
                    <w:pStyle w:val="TableBodyText"/>
                    <w:rPr>
                      <w:rFonts w:cs="Arial"/>
                      <w:szCs w:val="18"/>
                    </w:rPr>
                  </w:pPr>
                  <w:r w:rsidRPr="00027F36">
                    <w:rPr>
                      <w:rFonts w:cs="Arial"/>
                      <w:color w:val="000000"/>
                      <w:szCs w:val="18"/>
                    </w:rPr>
                    <w:t>-22</w:t>
                  </w:r>
                </w:p>
              </w:tc>
              <w:tc>
                <w:tcPr>
                  <w:tcW w:w="557" w:type="pct"/>
                  <w:tcBorders>
                    <w:top w:val="nil"/>
                    <w:left w:val="nil"/>
                    <w:bottom w:val="nil"/>
                    <w:right w:val="nil"/>
                  </w:tcBorders>
                  <w:shd w:val="clear" w:color="auto" w:fill="auto"/>
                  <w:vAlign w:val="bottom"/>
                </w:tcPr>
                <w:p w14:paraId="7954CEBC" w14:textId="77777777" w:rsidR="00F05DC7" w:rsidRPr="00027F36" w:rsidRDefault="00F05DC7" w:rsidP="00A3786D">
                  <w:pPr>
                    <w:pStyle w:val="TableBodyText"/>
                    <w:rPr>
                      <w:rFonts w:cs="Arial"/>
                      <w:szCs w:val="18"/>
                    </w:rPr>
                  </w:pPr>
                  <w:r w:rsidRPr="00027F36">
                    <w:rPr>
                      <w:rFonts w:cs="Arial"/>
                      <w:color w:val="000000"/>
                      <w:szCs w:val="18"/>
                    </w:rPr>
                    <w:t>64</w:t>
                  </w:r>
                </w:p>
              </w:tc>
              <w:tc>
                <w:tcPr>
                  <w:tcW w:w="556" w:type="pct"/>
                  <w:tcBorders>
                    <w:top w:val="nil"/>
                    <w:left w:val="nil"/>
                    <w:bottom w:val="nil"/>
                    <w:right w:val="nil"/>
                  </w:tcBorders>
                  <w:shd w:val="clear" w:color="auto" w:fill="auto"/>
                  <w:vAlign w:val="bottom"/>
                </w:tcPr>
                <w:p w14:paraId="7954CEBD" w14:textId="77777777" w:rsidR="00F05DC7" w:rsidRPr="00027F36" w:rsidRDefault="00F05DC7" w:rsidP="00A3786D">
                  <w:pPr>
                    <w:pStyle w:val="TableBodyText"/>
                    <w:rPr>
                      <w:rFonts w:cs="Arial"/>
                      <w:szCs w:val="18"/>
                    </w:rPr>
                  </w:pPr>
                  <w:r w:rsidRPr="00027F36">
                    <w:rPr>
                      <w:rFonts w:cs="Arial"/>
                      <w:color w:val="000000"/>
                      <w:szCs w:val="18"/>
                    </w:rPr>
                    <w:t>4</w:t>
                  </w:r>
                </w:p>
              </w:tc>
              <w:tc>
                <w:tcPr>
                  <w:tcW w:w="556" w:type="pct"/>
                  <w:tcBorders>
                    <w:top w:val="nil"/>
                    <w:left w:val="nil"/>
                    <w:bottom w:val="nil"/>
                    <w:right w:val="nil"/>
                  </w:tcBorders>
                  <w:shd w:val="clear" w:color="auto" w:fill="auto"/>
                  <w:vAlign w:val="bottom"/>
                </w:tcPr>
                <w:p w14:paraId="7954CEBE" w14:textId="77777777" w:rsidR="00F05DC7" w:rsidRPr="00027F36" w:rsidRDefault="00F05DC7" w:rsidP="00A3786D">
                  <w:pPr>
                    <w:pStyle w:val="TableBodyText"/>
                    <w:rPr>
                      <w:rFonts w:cs="Arial"/>
                      <w:szCs w:val="18"/>
                    </w:rPr>
                  </w:pPr>
                  <w:r w:rsidRPr="00027F36">
                    <w:rPr>
                      <w:rFonts w:cs="Arial"/>
                      <w:color w:val="000000"/>
                      <w:szCs w:val="18"/>
                    </w:rPr>
                    <w:t>-110</w:t>
                  </w:r>
                </w:p>
              </w:tc>
              <w:tc>
                <w:tcPr>
                  <w:tcW w:w="555" w:type="pct"/>
                  <w:tcBorders>
                    <w:top w:val="nil"/>
                    <w:left w:val="nil"/>
                    <w:bottom w:val="nil"/>
                    <w:right w:val="nil"/>
                  </w:tcBorders>
                  <w:shd w:val="clear" w:color="auto" w:fill="auto"/>
                  <w:vAlign w:val="bottom"/>
                </w:tcPr>
                <w:p w14:paraId="7954CEBF" w14:textId="77777777" w:rsidR="00F05DC7" w:rsidRPr="00027F36" w:rsidRDefault="00F05DC7" w:rsidP="00A3786D">
                  <w:pPr>
                    <w:pStyle w:val="TableBodyText"/>
                    <w:rPr>
                      <w:rFonts w:cs="Arial"/>
                      <w:szCs w:val="18"/>
                    </w:rPr>
                  </w:pPr>
                  <w:r w:rsidRPr="00027F36">
                    <w:rPr>
                      <w:rFonts w:cs="Arial"/>
                      <w:color w:val="000000"/>
                      <w:szCs w:val="18"/>
                    </w:rPr>
                    <w:t>6</w:t>
                  </w:r>
                </w:p>
              </w:tc>
              <w:tc>
                <w:tcPr>
                  <w:tcW w:w="555" w:type="pct"/>
                  <w:tcBorders>
                    <w:top w:val="nil"/>
                    <w:left w:val="nil"/>
                    <w:bottom w:val="nil"/>
                    <w:right w:val="nil"/>
                  </w:tcBorders>
                  <w:shd w:val="clear" w:color="auto" w:fill="auto"/>
                  <w:vAlign w:val="bottom"/>
                </w:tcPr>
                <w:p w14:paraId="7954CEC0" w14:textId="77777777" w:rsidR="00F05DC7" w:rsidRPr="00027F36" w:rsidRDefault="00F05DC7" w:rsidP="00A3786D">
                  <w:pPr>
                    <w:pStyle w:val="TableBodyText"/>
                    <w:rPr>
                      <w:rFonts w:cs="Arial"/>
                      <w:szCs w:val="18"/>
                    </w:rPr>
                  </w:pPr>
                  <w:r w:rsidRPr="00027F36">
                    <w:rPr>
                      <w:rFonts w:cs="Arial"/>
                      <w:color w:val="000000"/>
                      <w:szCs w:val="18"/>
                    </w:rPr>
                    <w:t>6</w:t>
                  </w:r>
                </w:p>
              </w:tc>
              <w:tc>
                <w:tcPr>
                  <w:tcW w:w="555" w:type="pct"/>
                  <w:tcBorders>
                    <w:top w:val="nil"/>
                    <w:left w:val="nil"/>
                    <w:bottom w:val="nil"/>
                    <w:right w:val="nil"/>
                  </w:tcBorders>
                  <w:shd w:val="clear" w:color="auto" w:fill="auto"/>
                  <w:vAlign w:val="bottom"/>
                </w:tcPr>
                <w:p w14:paraId="7954CEC1" w14:textId="77777777" w:rsidR="00F05DC7" w:rsidRPr="00027F36" w:rsidRDefault="00F05DC7" w:rsidP="00A3786D">
                  <w:pPr>
                    <w:pStyle w:val="TableBodyText"/>
                    <w:rPr>
                      <w:rFonts w:cs="Arial"/>
                      <w:szCs w:val="18"/>
                    </w:rPr>
                  </w:pPr>
                  <w:r w:rsidRPr="00027F36">
                    <w:rPr>
                      <w:rFonts w:cs="Arial"/>
                      <w:color w:val="000000"/>
                      <w:szCs w:val="18"/>
                    </w:rPr>
                    <w:t>4</w:t>
                  </w:r>
                </w:p>
              </w:tc>
              <w:tc>
                <w:tcPr>
                  <w:tcW w:w="553" w:type="pct"/>
                  <w:tcBorders>
                    <w:top w:val="nil"/>
                    <w:left w:val="nil"/>
                    <w:bottom w:val="nil"/>
                    <w:right w:val="nil"/>
                  </w:tcBorders>
                  <w:shd w:val="clear" w:color="auto" w:fill="auto"/>
                  <w:vAlign w:val="bottom"/>
                </w:tcPr>
                <w:p w14:paraId="7954CEC2" w14:textId="77777777" w:rsidR="00F05DC7" w:rsidRPr="00027F36" w:rsidRDefault="00F05DC7" w:rsidP="00A3786D">
                  <w:pPr>
                    <w:pStyle w:val="TableBodyText"/>
                    <w:rPr>
                      <w:rFonts w:cs="Arial"/>
                      <w:szCs w:val="18"/>
                    </w:rPr>
                  </w:pPr>
                  <w:r w:rsidRPr="00027F36">
                    <w:rPr>
                      <w:rFonts w:cs="Arial"/>
                      <w:color w:val="000000"/>
                      <w:szCs w:val="18"/>
                    </w:rPr>
                    <w:t>7</w:t>
                  </w:r>
                </w:p>
              </w:tc>
            </w:tr>
            <w:tr w:rsidR="00F05DC7" w:rsidRPr="00A75ED1" w14:paraId="7954CECD" w14:textId="77777777" w:rsidTr="00A3786D">
              <w:tc>
                <w:tcPr>
                  <w:tcW w:w="556" w:type="pct"/>
                </w:tcPr>
                <w:p w14:paraId="7954CEC4" w14:textId="77777777" w:rsidR="00F05DC7" w:rsidRPr="00027F36" w:rsidRDefault="00F05DC7" w:rsidP="00A3786D">
                  <w:pPr>
                    <w:pStyle w:val="TableBodyText"/>
                    <w:rPr>
                      <w:rFonts w:cs="Arial"/>
                      <w:szCs w:val="18"/>
                    </w:rPr>
                  </w:pPr>
                  <w:r w:rsidRPr="00027F36">
                    <w:rPr>
                      <w:rFonts w:cs="Arial"/>
                      <w:szCs w:val="18"/>
                    </w:rPr>
                    <w:t>2024</w:t>
                  </w:r>
                  <w:r w:rsidRPr="00027F36">
                    <w:rPr>
                      <w:rFonts w:cs="Arial"/>
                      <w:szCs w:val="18"/>
                    </w:rPr>
                    <w:noBreakHyphen/>
                    <w:t>25</w:t>
                  </w:r>
                </w:p>
              </w:tc>
              <w:tc>
                <w:tcPr>
                  <w:tcW w:w="557" w:type="pct"/>
                  <w:tcBorders>
                    <w:top w:val="nil"/>
                    <w:left w:val="nil"/>
                    <w:bottom w:val="nil"/>
                    <w:right w:val="nil"/>
                  </w:tcBorders>
                  <w:shd w:val="clear" w:color="auto" w:fill="auto"/>
                  <w:vAlign w:val="bottom"/>
                </w:tcPr>
                <w:p w14:paraId="7954CEC5" w14:textId="77777777" w:rsidR="00F05DC7" w:rsidRPr="00027F36" w:rsidRDefault="00F05DC7" w:rsidP="00A3786D">
                  <w:pPr>
                    <w:pStyle w:val="TableBodyText"/>
                    <w:rPr>
                      <w:rFonts w:cs="Arial"/>
                      <w:szCs w:val="18"/>
                    </w:rPr>
                  </w:pPr>
                  <w:r w:rsidRPr="00027F36">
                    <w:rPr>
                      <w:rFonts w:cs="Arial"/>
                      <w:color w:val="000000"/>
                      <w:szCs w:val="18"/>
                    </w:rPr>
                    <w:t>0</w:t>
                  </w:r>
                </w:p>
              </w:tc>
              <w:tc>
                <w:tcPr>
                  <w:tcW w:w="557" w:type="pct"/>
                  <w:tcBorders>
                    <w:top w:val="nil"/>
                    <w:left w:val="nil"/>
                    <w:bottom w:val="nil"/>
                    <w:right w:val="nil"/>
                  </w:tcBorders>
                  <w:shd w:val="clear" w:color="auto" w:fill="auto"/>
                  <w:vAlign w:val="bottom"/>
                </w:tcPr>
                <w:p w14:paraId="7954CEC6" w14:textId="77777777" w:rsidR="00F05DC7" w:rsidRPr="00027F36" w:rsidRDefault="00F05DC7" w:rsidP="00A3786D">
                  <w:pPr>
                    <w:pStyle w:val="TableBodyText"/>
                    <w:rPr>
                      <w:rFonts w:cs="Arial"/>
                      <w:szCs w:val="18"/>
                    </w:rPr>
                  </w:pPr>
                  <w:r w:rsidRPr="00027F36">
                    <w:rPr>
                      <w:rFonts w:cs="Arial"/>
                      <w:color w:val="000000"/>
                      <w:szCs w:val="18"/>
                    </w:rPr>
                    <w:t>2</w:t>
                  </w:r>
                </w:p>
              </w:tc>
              <w:tc>
                <w:tcPr>
                  <w:tcW w:w="556" w:type="pct"/>
                  <w:tcBorders>
                    <w:top w:val="nil"/>
                    <w:left w:val="nil"/>
                    <w:bottom w:val="nil"/>
                    <w:right w:val="nil"/>
                  </w:tcBorders>
                  <w:shd w:val="clear" w:color="auto" w:fill="auto"/>
                  <w:vAlign w:val="bottom"/>
                </w:tcPr>
                <w:p w14:paraId="7954CEC7" w14:textId="77777777" w:rsidR="00F05DC7" w:rsidRPr="00027F36" w:rsidRDefault="00F05DC7" w:rsidP="00A3786D">
                  <w:pPr>
                    <w:pStyle w:val="TableBodyText"/>
                    <w:rPr>
                      <w:rFonts w:cs="Arial"/>
                      <w:szCs w:val="18"/>
                    </w:rPr>
                  </w:pPr>
                  <w:r w:rsidRPr="00027F36">
                    <w:rPr>
                      <w:rFonts w:cs="Arial"/>
                      <w:color w:val="000000"/>
                      <w:szCs w:val="18"/>
                    </w:rPr>
                    <w:t>-11</w:t>
                  </w:r>
                </w:p>
              </w:tc>
              <w:tc>
                <w:tcPr>
                  <w:tcW w:w="556" w:type="pct"/>
                  <w:tcBorders>
                    <w:top w:val="nil"/>
                    <w:left w:val="nil"/>
                    <w:bottom w:val="nil"/>
                    <w:right w:val="nil"/>
                  </w:tcBorders>
                  <w:shd w:val="clear" w:color="auto" w:fill="auto"/>
                  <w:vAlign w:val="bottom"/>
                </w:tcPr>
                <w:p w14:paraId="7954CEC8" w14:textId="77777777" w:rsidR="00F05DC7" w:rsidRPr="00027F36" w:rsidRDefault="00F05DC7" w:rsidP="00A3786D">
                  <w:pPr>
                    <w:pStyle w:val="TableBodyText"/>
                    <w:rPr>
                      <w:rFonts w:cs="Arial"/>
                      <w:szCs w:val="18"/>
                    </w:rPr>
                  </w:pPr>
                  <w:r w:rsidRPr="00027F36">
                    <w:rPr>
                      <w:rFonts w:cs="Arial"/>
                      <w:color w:val="000000"/>
                      <w:szCs w:val="18"/>
                    </w:rPr>
                    <w:t>28</w:t>
                  </w:r>
                </w:p>
              </w:tc>
              <w:tc>
                <w:tcPr>
                  <w:tcW w:w="555" w:type="pct"/>
                  <w:tcBorders>
                    <w:top w:val="nil"/>
                    <w:left w:val="nil"/>
                    <w:bottom w:val="nil"/>
                    <w:right w:val="nil"/>
                  </w:tcBorders>
                  <w:shd w:val="clear" w:color="auto" w:fill="auto"/>
                  <w:vAlign w:val="bottom"/>
                </w:tcPr>
                <w:p w14:paraId="7954CEC9" w14:textId="77777777" w:rsidR="00F05DC7" w:rsidRPr="00027F36" w:rsidRDefault="00F05DC7" w:rsidP="00A3786D">
                  <w:pPr>
                    <w:pStyle w:val="TableBodyText"/>
                    <w:rPr>
                      <w:rFonts w:cs="Arial"/>
                      <w:szCs w:val="18"/>
                    </w:rPr>
                  </w:pPr>
                  <w:r w:rsidRPr="00027F36">
                    <w:rPr>
                      <w:rFonts w:cs="Arial"/>
                      <w:color w:val="000000"/>
                      <w:szCs w:val="18"/>
                    </w:rPr>
                    <w:t>-9</w:t>
                  </w:r>
                </w:p>
              </w:tc>
              <w:tc>
                <w:tcPr>
                  <w:tcW w:w="555" w:type="pct"/>
                  <w:tcBorders>
                    <w:top w:val="nil"/>
                    <w:left w:val="nil"/>
                    <w:bottom w:val="nil"/>
                    <w:right w:val="nil"/>
                  </w:tcBorders>
                  <w:shd w:val="clear" w:color="auto" w:fill="auto"/>
                  <w:vAlign w:val="bottom"/>
                </w:tcPr>
                <w:p w14:paraId="7954CECA" w14:textId="77777777" w:rsidR="00F05DC7" w:rsidRPr="00027F36" w:rsidRDefault="00F05DC7" w:rsidP="00A3786D">
                  <w:pPr>
                    <w:pStyle w:val="TableBodyText"/>
                    <w:rPr>
                      <w:rFonts w:cs="Arial"/>
                      <w:szCs w:val="18"/>
                    </w:rPr>
                  </w:pPr>
                  <w:r w:rsidRPr="00027F36">
                    <w:rPr>
                      <w:rFonts w:cs="Arial"/>
                      <w:color w:val="000000"/>
                      <w:szCs w:val="18"/>
                    </w:rPr>
                    <w:t>-9</w:t>
                  </w:r>
                </w:p>
              </w:tc>
              <w:tc>
                <w:tcPr>
                  <w:tcW w:w="555" w:type="pct"/>
                  <w:tcBorders>
                    <w:top w:val="nil"/>
                    <w:left w:val="nil"/>
                    <w:bottom w:val="nil"/>
                    <w:right w:val="nil"/>
                  </w:tcBorders>
                  <w:shd w:val="clear" w:color="auto" w:fill="auto"/>
                  <w:vAlign w:val="bottom"/>
                </w:tcPr>
                <w:p w14:paraId="7954CECB" w14:textId="77777777" w:rsidR="00F05DC7" w:rsidRPr="00027F36" w:rsidRDefault="00F05DC7" w:rsidP="00A3786D">
                  <w:pPr>
                    <w:pStyle w:val="TableBodyText"/>
                    <w:rPr>
                      <w:rFonts w:cs="Arial"/>
                      <w:szCs w:val="18"/>
                    </w:rPr>
                  </w:pPr>
                  <w:r w:rsidRPr="00027F36">
                    <w:rPr>
                      <w:rFonts w:cs="Arial"/>
                      <w:color w:val="000000"/>
                      <w:szCs w:val="18"/>
                    </w:rPr>
                    <w:t>-11</w:t>
                  </w:r>
                </w:p>
              </w:tc>
              <w:tc>
                <w:tcPr>
                  <w:tcW w:w="553" w:type="pct"/>
                  <w:tcBorders>
                    <w:top w:val="nil"/>
                    <w:left w:val="nil"/>
                    <w:bottom w:val="nil"/>
                    <w:right w:val="nil"/>
                  </w:tcBorders>
                  <w:shd w:val="clear" w:color="auto" w:fill="auto"/>
                  <w:vAlign w:val="bottom"/>
                </w:tcPr>
                <w:p w14:paraId="7954CECC" w14:textId="77777777" w:rsidR="00F05DC7" w:rsidRPr="00027F36" w:rsidRDefault="00F05DC7" w:rsidP="00A3786D">
                  <w:pPr>
                    <w:pStyle w:val="TableBodyText"/>
                    <w:rPr>
                      <w:rFonts w:cs="Arial"/>
                      <w:szCs w:val="18"/>
                    </w:rPr>
                  </w:pPr>
                  <w:r w:rsidRPr="00027F36">
                    <w:rPr>
                      <w:rFonts w:cs="Arial"/>
                      <w:color w:val="000000"/>
                      <w:szCs w:val="18"/>
                    </w:rPr>
                    <w:t>-8</w:t>
                  </w:r>
                </w:p>
              </w:tc>
            </w:tr>
            <w:tr w:rsidR="00F05DC7" w:rsidRPr="00A75ED1" w14:paraId="7954CED7" w14:textId="77777777" w:rsidTr="00A3786D">
              <w:tc>
                <w:tcPr>
                  <w:tcW w:w="556" w:type="pct"/>
                </w:tcPr>
                <w:p w14:paraId="7954CECE" w14:textId="77777777" w:rsidR="00F05DC7" w:rsidRPr="00027F36" w:rsidRDefault="00F05DC7" w:rsidP="00A3786D">
                  <w:pPr>
                    <w:pStyle w:val="TableBodyText"/>
                    <w:rPr>
                      <w:rFonts w:cs="Arial"/>
                      <w:szCs w:val="18"/>
                    </w:rPr>
                  </w:pPr>
                  <w:r w:rsidRPr="00027F36">
                    <w:rPr>
                      <w:rFonts w:cs="Arial"/>
                      <w:szCs w:val="18"/>
                    </w:rPr>
                    <w:t>2025</w:t>
                  </w:r>
                  <w:r w:rsidRPr="00027F36">
                    <w:rPr>
                      <w:rFonts w:cs="Arial"/>
                      <w:szCs w:val="18"/>
                    </w:rPr>
                    <w:noBreakHyphen/>
                    <w:t>26</w:t>
                  </w:r>
                </w:p>
              </w:tc>
              <w:tc>
                <w:tcPr>
                  <w:tcW w:w="557" w:type="pct"/>
                  <w:tcBorders>
                    <w:top w:val="nil"/>
                    <w:left w:val="nil"/>
                    <w:bottom w:val="nil"/>
                    <w:right w:val="nil"/>
                  </w:tcBorders>
                  <w:shd w:val="clear" w:color="auto" w:fill="auto"/>
                  <w:vAlign w:val="bottom"/>
                </w:tcPr>
                <w:p w14:paraId="7954CECF" w14:textId="77777777" w:rsidR="00F05DC7" w:rsidRPr="00027F36" w:rsidRDefault="00F05DC7" w:rsidP="00A3786D">
                  <w:pPr>
                    <w:pStyle w:val="TableBodyText"/>
                    <w:rPr>
                      <w:rFonts w:cs="Arial"/>
                      <w:szCs w:val="18"/>
                    </w:rPr>
                  </w:pPr>
                  <w:r w:rsidRPr="00027F36">
                    <w:rPr>
                      <w:rFonts w:cs="Arial"/>
                      <w:color w:val="000000"/>
                      <w:szCs w:val="18"/>
                    </w:rPr>
                    <w:t>0</w:t>
                  </w:r>
                </w:p>
              </w:tc>
              <w:tc>
                <w:tcPr>
                  <w:tcW w:w="557" w:type="pct"/>
                  <w:tcBorders>
                    <w:top w:val="nil"/>
                    <w:left w:val="nil"/>
                    <w:bottom w:val="nil"/>
                    <w:right w:val="nil"/>
                  </w:tcBorders>
                  <w:shd w:val="clear" w:color="auto" w:fill="auto"/>
                  <w:vAlign w:val="bottom"/>
                </w:tcPr>
                <w:p w14:paraId="7954CED0" w14:textId="77777777" w:rsidR="00F05DC7" w:rsidRPr="00027F36" w:rsidRDefault="00F05DC7" w:rsidP="00A3786D">
                  <w:pPr>
                    <w:pStyle w:val="TableBodyText"/>
                    <w:rPr>
                      <w:rFonts w:cs="Arial"/>
                      <w:szCs w:val="18"/>
                    </w:rPr>
                  </w:pPr>
                  <w:r w:rsidRPr="00027F36">
                    <w:rPr>
                      <w:rFonts w:cs="Arial"/>
                      <w:color w:val="000000"/>
                      <w:szCs w:val="18"/>
                    </w:rPr>
                    <w:t>2</w:t>
                  </w:r>
                </w:p>
              </w:tc>
              <w:tc>
                <w:tcPr>
                  <w:tcW w:w="556" w:type="pct"/>
                  <w:tcBorders>
                    <w:top w:val="nil"/>
                    <w:left w:val="nil"/>
                    <w:bottom w:val="nil"/>
                    <w:right w:val="nil"/>
                  </w:tcBorders>
                  <w:shd w:val="clear" w:color="auto" w:fill="auto"/>
                  <w:vAlign w:val="bottom"/>
                </w:tcPr>
                <w:p w14:paraId="7954CED1" w14:textId="77777777" w:rsidR="00F05DC7" w:rsidRPr="00027F36" w:rsidRDefault="00F05DC7" w:rsidP="00A3786D">
                  <w:pPr>
                    <w:pStyle w:val="TableBodyText"/>
                    <w:rPr>
                      <w:rFonts w:cs="Arial"/>
                      <w:szCs w:val="18"/>
                    </w:rPr>
                  </w:pPr>
                  <w:r w:rsidRPr="00027F36">
                    <w:rPr>
                      <w:rFonts w:cs="Arial"/>
                      <w:color w:val="000000"/>
                      <w:szCs w:val="18"/>
                    </w:rPr>
                    <w:t>-11</w:t>
                  </w:r>
                </w:p>
              </w:tc>
              <w:tc>
                <w:tcPr>
                  <w:tcW w:w="556" w:type="pct"/>
                  <w:tcBorders>
                    <w:top w:val="nil"/>
                    <w:left w:val="nil"/>
                    <w:bottom w:val="nil"/>
                    <w:right w:val="nil"/>
                  </w:tcBorders>
                  <w:shd w:val="clear" w:color="auto" w:fill="auto"/>
                  <w:vAlign w:val="bottom"/>
                </w:tcPr>
                <w:p w14:paraId="7954CED2" w14:textId="77777777" w:rsidR="00F05DC7" w:rsidRPr="00027F36" w:rsidRDefault="00F05DC7" w:rsidP="00A3786D">
                  <w:pPr>
                    <w:pStyle w:val="TableBodyText"/>
                    <w:rPr>
                      <w:rFonts w:cs="Arial"/>
                      <w:szCs w:val="18"/>
                    </w:rPr>
                  </w:pPr>
                  <w:r w:rsidRPr="00027F36">
                    <w:rPr>
                      <w:rFonts w:cs="Arial"/>
                      <w:color w:val="000000"/>
                      <w:szCs w:val="18"/>
                    </w:rPr>
                    <w:t>29</w:t>
                  </w:r>
                </w:p>
              </w:tc>
              <w:tc>
                <w:tcPr>
                  <w:tcW w:w="555" w:type="pct"/>
                  <w:tcBorders>
                    <w:top w:val="nil"/>
                    <w:left w:val="nil"/>
                    <w:bottom w:val="nil"/>
                    <w:right w:val="nil"/>
                  </w:tcBorders>
                  <w:shd w:val="clear" w:color="auto" w:fill="auto"/>
                  <w:vAlign w:val="bottom"/>
                </w:tcPr>
                <w:p w14:paraId="7954CED3" w14:textId="77777777" w:rsidR="00F05DC7" w:rsidRPr="00027F36" w:rsidRDefault="00F05DC7" w:rsidP="00A3786D">
                  <w:pPr>
                    <w:pStyle w:val="TableBodyText"/>
                    <w:rPr>
                      <w:rFonts w:cs="Arial"/>
                      <w:szCs w:val="18"/>
                    </w:rPr>
                  </w:pPr>
                  <w:r w:rsidRPr="00027F36">
                    <w:rPr>
                      <w:rFonts w:cs="Arial"/>
                      <w:color w:val="000000"/>
                      <w:szCs w:val="18"/>
                    </w:rPr>
                    <w:t>-9</w:t>
                  </w:r>
                </w:p>
              </w:tc>
              <w:tc>
                <w:tcPr>
                  <w:tcW w:w="555" w:type="pct"/>
                  <w:tcBorders>
                    <w:top w:val="nil"/>
                    <w:left w:val="nil"/>
                    <w:bottom w:val="nil"/>
                    <w:right w:val="nil"/>
                  </w:tcBorders>
                  <w:shd w:val="clear" w:color="auto" w:fill="auto"/>
                  <w:vAlign w:val="bottom"/>
                </w:tcPr>
                <w:p w14:paraId="7954CED4" w14:textId="77777777" w:rsidR="00F05DC7" w:rsidRPr="00027F36" w:rsidRDefault="00F05DC7" w:rsidP="00A3786D">
                  <w:pPr>
                    <w:pStyle w:val="TableBodyText"/>
                    <w:rPr>
                      <w:rFonts w:cs="Arial"/>
                      <w:szCs w:val="18"/>
                    </w:rPr>
                  </w:pPr>
                  <w:r w:rsidRPr="00027F36">
                    <w:rPr>
                      <w:rFonts w:cs="Arial"/>
                      <w:color w:val="000000"/>
                      <w:szCs w:val="18"/>
                    </w:rPr>
                    <w:t>-9</w:t>
                  </w:r>
                </w:p>
              </w:tc>
              <w:tc>
                <w:tcPr>
                  <w:tcW w:w="555" w:type="pct"/>
                  <w:tcBorders>
                    <w:top w:val="nil"/>
                    <w:left w:val="nil"/>
                    <w:bottom w:val="nil"/>
                    <w:right w:val="nil"/>
                  </w:tcBorders>
                  <w:shd w:val="clear" w:color="auto" w:fill="auto"/>
                  <w:vAlign w:val="bottom"/>
                </w:tcPr>
                <w:p w14:paraId="7954CED5" w14:textId="77777777" w:rsidR="00F05DC7" w:rsidRPr="00027F36" w:rsidRDefault="00F05DC7" w:rsidP="00A3786D">
                  <w:pPr>
                    <w:pStyle w:val="TableBodyText"/>
                    <w:rPr>
                      <w:rFonts w:cs="Arial"/>
                      <w:szCs w:val="18"/>
                    </w:rPr>
                  </w:pPr>
                  <w:r w:rsidRPr="00027F36">
                    <w:rPr>
                      <w:rFonts w:cs="Arial"/>
                      <w:color w:val="000000"/>
                      <w:szCs w:val="18"/>
                    </w:rPr>
                    <w:t>-11</w:t>
                  </w:r>
                </w:p>
              </w:tc>
              <w:tc>
                <w:tcPr>
                  <w:tcW w:w="553" w:type="pct"/>
                  <w:tcBorders>
                    <w:top w:val="nil"/>
                    <w:left w:val="nil"/>
                    <w:bottom w:val="nil"/>
                    <w:right w:val="nil"/>
                  </w:tcBorders>
                  <w:shd w:val="clear" w:color="auto" w:fill="auto"/>
                  <w:vAlign w:val="bottom"/>
                </w:tcPr>
                <w:p w14:paraId="7954CED6" w14:textId="77777777" w:rsidR="00F05DC7" w:rsidRPr="00027F36" w:rsidRDefault="00F05DC7" w:rsidP="00A3786D">
                  <w:pPr>
                    <w:pStyle w:val="TableBodyText"/>
                    <w:rPr>
                      <w:rFonts w:cs="Arial"/>
                      <w:szCs w:val="18"/>
                    </w:rPr>
                  </w:pPr>
                  <w:r w:rsidRPr="00027F36">
                    <w:rPr>
                      <w:rFonts w:cs="Arial"/>
                      <w:color w:val="000000"/>
                      <w:szCs w:val="18"/>
                    </w:rPr>
                    <w:t>-8</w:t>
                  </w:r>
                </w:p>
              </w:tc>
            </w:tr>
            <w:tr w:rsidR="00F05DC7" w:rsidRPr="00A75ED1" w14:paraId="7954CEE1" w14:textId="77777777" w:rsidTr="002341D7">
              <w:tc>
                <w:tcPr>
                  <w:tcW w:w="556" w:type="pct"/>
                </w:tcPr>
                <w:p w14:paraId="7954CED8" w14:textId="77777777" w:rsidR="00F05DC7" w:rsidRPr="00027F36" w:rsidRDefault="00F05DC7" w:rsidP="00A3786D">
                  <w:pPr>
                    <w:pStyle w:val="TableBodyText"/>
                    <w:rPr>
                      <w:rFonts w:cs="Arial"/>
                      <w:szCs w:val="18"/>
                    </w:rPr>
                  </w:pPr>
                  <w:r w:rsidRPr="00027F36">
                    <w:rPr>
                      <w:rFonts w:cs="Arial"/>
                      <w:szCs w:val="18"/>
                    </w:rPr>
                    <w:t>2026</w:t>
                  </w:r>
                  <w:r w:rsidRPr="00027F36">
                    <w:rPr>
                      <w:rFonts w:cs="Arial"/>
                      <w:szCs w:val="18"/>
                    </w:rPr>
                    <w:noBreakHyphen/>
                    <w:t>27</w:t>
                  </w:r>
                </w:p>
              </w:tc>
              <w:tc>
                <w:tcPr>
                  <w:tcW w:w="557" w:type="pct"/>
                  <w:tcBorders>
                    <w:top w:val="nil"/>
                    <w:left w:val="nil"/>
                    <w:right w:val="nil"/>
                  </w:tcBorders>
                  <w:shd w:val="clear" w:color="auto" w:fill="auto"/>
                  <w:vAlign w:val="bottom"/>
                </w:tcPr>
                <w:p w14:paraId="7954CED9" w14:textId="77777777" w:rsidR="00F05DC7" w:rsidRPr="00027F36" w:rsidRDefault="00F05DC7" w:rsidP="00A3786D">
                  <w:pPr>
                    <w:pStyle w:val="TableBodyText"/>
                    <w:rPr>
                      <w:rFonts w:cs="Arial"/>
                      <w:szCs w:val="18"/>
                    </w:rPr>
                  </w:pPr>
                  <w:r w:rsidRPr="00027F36">
                    <w:rPr>
                      <w:rFonts w:cs="Arial"/>
                      <w:color w:val="000000"/>
                      <w:szCs w:val="18"/>
                    </w:rPr>
                    <w:t>0</w:t>
                  </w:r>
                </w:p>
              </w:tc>
              <w:tc>
                <w:tcPr>
                  <w:tcW w:w="557" w:type="pct"/>
                  <w:tcBorders>
                    <w:top w:val="nil"/>
                    <w:left w:val="nil"/>
                    <w:right w:val="nil"/>
                  </w:tcBorders>
                  <w:shd w:val="clear" w:color="auto" w:fill="auto"/>
                  <w:vAlign w:val="bottom"/>
                </w:tcPr>
                <w:p w14:paraId="7954CEDA" w14:textId="77777777" w:rsidR="00F05DC7" w:rsidRPr="00027F36" w:rsidRDefault="00F05DC7" w:rsidP="00A3786D">
                  <w:pPr>
                    <w:pStyle w:val="TableBodyText"/>
                    <w:rPr>
                      <w:rFonts w:cs="Arial"/>
                      <w:szCs w:val="18"/>
                    </w:rPr>
                  </w:pPr>
                  <w:r w:rsidRPr="00027F36">
                    <w:rPr>
                      <w:rFonts w:cs="Arial"/>
                      <w:color w:val="000000"/>
                      <w:szCs w:val="18"/>
                    </w:rPr>
                    <w:t>2</w:t>
                  </w:r>
                </w:p>
              </w:tc>
              <w:tc>
                <w:tcPr>
                  <w:tcW w:w="556" w:type="pct"/>
                  <w:tcBorders>
                    <w:top w:val="nil"/>
                    <w:left w:val="nil"/>
                    <w:right w:val="nil"/>
                  </w:tcBorders>
                  <w:shd w:val="clear" w:color="auto" w:fill="auto"/>
                  <w:vAlign w:val="bottom"/>
                </w:tcPr>
                <w:p w14:paraId="7954CEDB" w14:textId="77777777" w:rsidR="00F05DC7" w:rsidRPr="00027F36" w:rsidRDefault="00F05DC7" w:rsidP="00A3786D">
                  <w:pPr>
                    <w:pStyle w:val="TableBodyText"/>
                    <w:rPr>
                      <w:rFonts w:cs="Arial"/>
                      <w:szCs w:val="18"/>
                    </w:rPr>
                  </w:pPr>
                  <w:r w:rsidRPr="00027F36">
                    <w:rPr>
                      <w:rFonts w:cs="Arial"/>
                      <w:color w:val="000000"/>
                      <w:szCs w:val="18"/>
                    </w:rPr>
                    <w:t>-11</w:t>
                  </w:r>
                </w:p>
              </w:tc>
              <w:tc>
                <w:tcPr>
                  <w:tcW w:w="556" w:type="pct"/>
                  <w:tcBorders>
                    <w:top w:val="nil"/>
                    <w:left w:val="nil"/>
                    <w:right w:val="nil"/>
                  </w:tcBorders>
                  <w:shd w:val="clear" w:color="auto" w:fill="auto"/>
                  <w:vAlign w:val="bottom"/>
                </w:tcPr>
                <w:p w14:paraId="7954CEDC" w14:textId="77777777" w:rsidR="00F05DC7" w:rsidRPr="00027F36" w:rsidRDefault="00F05DC7" w:rsidP="00A3786D">
                  <w:pPr>
                    <w:pStyle w:val="TableBodyText"/>
                    <w:rPr>
                      <w:rFonts w:cs="Arial"/>
                      <w:szCs w:val="18"/>
                    </w:rPr>
                  </w:pPr>
                  <w:r w:rsidRPr="00027F36">
                    <w:rPr>
                      <w:rFonts w:cs="Arial"/>
                      <w:color w:val="000000"/>
                      <w:szCs w:val="18"/>
                    </w:rPr>
                    <w:t>30</w:t>
                  </w:r>
                </w:p>
              </w:tc>
              <w:tc>
                <w:tcPr>
                  <w:tcW w:w="555" w:type="pct"/>
                  <w:tcBorders>
                    <w:top w:val="nil"/>
                    <w:left w:val="nil"/>
                    <w:right w:val="nil"/>
                  </w:tcBorders>
                  <w:shd w:val="clear" w:color="auto" w:fill="auto"/>
                  <w:vAlign w:val="bottom"/>
                </w:tcPr>
                <w:p w14:paraId="7954CEDD" w14:textId="77777777" w:rsidR="00F05DC7" w:rsidRPr="00027F36" w:rsidRDefault="00F05DC7" w:rsidP="00A3786D">
                  <w:pPr>
                    <w:pStyle w:val="TableBodyText"/>
                    <w:rPr>
                      <w:rFonts w:cs="Arial"/>
                      <w:szCs w:val="18"/>
                    </w:rPr>
                  </w:pPr>
                  <w:r w:rsidRPr="00027F36">
                    <w:rPr>
                      <w:rFonts w:cs="Arial"/>
                      <w:color w:val="000000"/>
                      <w:szCs w:val="18"/>
                    </w:rPr>
                    <w:t>-10</w:t>
                  </w:r>
                </w:p>
              </w:tc>
              <w:tc>
                <w:tcPr>
                  <w:tcW w:w="555" w:type="pct"/>
                  <w:tcBorders>
                    <w:top w:val="nil"/>
                    <w:left w:val="nil"/>
                    <w:right w:val="nil"/>
                  </w:tcBorders>
                  <w:shd w:val="clear" w:color="auto" w:fill="auto"/>
                  <w:vAlign w:val="bottom"/>
                </w:tcPr>
                <w:p w14:paraId="7954CEDE" w14:textId="77777777" w:rsidR="00F05DC7" w:rsidRPr="00027F36" w:rsidRDefault="00F05DC7" w:rsidP="00A3786D">
                  <w:pPr>
                    <w:pStyle w:val="TableBodyText"/>
                    <w:rPr>
                      <w:rFonts w:cs="Arial"/>
                      <w:szCs w:val="18"/>
                    </w:rPr>
                  </w:pPr>
                  <w:r w:rsidRPr="00027F36">
                    <w:rPr>
                      <w:rFonts w:cs="Arial"/>
                      <w:color w:val="000000"/>
                      <w:szCs w:val="18"/>
                    </w:rPr>
                    <w:t>-9</w:t>
                  </w:r>
                </w:p>
              </w:tc>
              <w:tc>
                <w:tcPr>
                  <w:tcW w:w="555" w:type="pct"/>
                  <w:tcBorders>
                    <w:top w:val="nil"/>
                    <w:left w:val="nil"/>
                    <w:right w:val="nil"/>
                  </w:tcBorders>
                  <w:shd w:val="clear" w:color="auto" w:fill="auto"/>
                  <w:vAlign w:val="bottom"/>
                </w:tcPr>
                <w:p w14:paraId="7954CEDF" w14:textId="77777777" w:rsidR="00F05DC7" w:rsidRPr="00027F36" w:rsidRDefault="00F05DC7" w:rsidP="00A3786D">
                  <w:pPr>
                    <w:pStyle w:val="TableBodyText"/>
                    <w:rPr>
                      <w:rFonts w:cs="Arial"/>
                      <w:szCs w:val="18"/>
                    </w:rPr>
                  </w:pPr>
                  <w:r w:rsidRPr="00027F36">
                    <w:rPr>
                      <w:rFonts w:cs="Arial"/>
                      <w:color w:val="000000"/>
                      <w:szCs w:val="18"/>
                    </w:rPr>
                    <w:t>-12</w:t>
                  </w:r>
                </w:p>
              </w:tc>
              <w:tc>
                <w:tcPr>
                  <w:tcW w:w="553" w:type="pct"/>
                  <w:tcBorders>
                    <w:top w:val="nil"/>
                    <w:left w:val="nil"/>
                    <w:right w:val="nil"/>
                  </w:tcBorders>
                  <w:shd w:val="clear" w:color="auto" w:fill="auto"/>
                  <w:vAlign w:val="bottom"/>
                </w:tcPr>
                <w:p w14:paraId="7954CEE0" w14:textId="77777777" w:rsidR="00F05DC7" w:rsidRPr="00027F36" w:rsidRDefault="00F05DC7" w:rsidP="00A3786D">
                  <w:pPr>
                    <w:pStyle w:val="TableBodyText"/>
                    <w:rPr>
                      <w:rFonts w:cs="Arial"/>
                      <w:szCs w:val="18"/>
                    </w:rPr>
                  </w:pPr>
                  <w:r w:rsidRPr="00027F36">
                    <w:rPr>
                      <w:rFonts w:cs="Arial"/>
                      <w:color w:val="000000"/>
                      <w:szCs w:val="18"/>
                    </w:rPr>
                    <w:t>-8</w:t>
                  </w:r>
                </w:p>
              </w:tc>
            </w:tr>
            <w:tr w:rsidR="00F05DC7" w:rsidRPr="00A75ED1" w14:paraId="7954CEE3" w14:textId="77777777" w:rsidTr="002341D7">
              <w:tc>
                <w:tcPr>
                  <w:tcW w:w="5000" w:type="pct"/>
                  <w:gridSpan w:val="9"/>
                  <w:shd w:val="clear" w:color="auto" w:fill="F2F2F2" w:themeFill="background1" w:themeFillShade="F2"/>
                </w:tcPr>
                <w:p w14:paraId="7954CEE2"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CEED" w14:textId="77777777" w:rsidTr="00A3786D">
              <w:tc>
                <w:tcPr>
                  <w:tcW w:w="556" w:type="pct"/>
                  <w:shd w:val="clear" w:color="auto" w:fill="auto"/>
                  <w:vAlign w:val="bottom"/>
                </w:tcPr>
                <w:p w14:paraId="7954CEE4" w14:textId="77777777" w:rsidR="00F05DC7" w:rsidRPr="00911F46" w:rsidRDefault="00F05DC7" w:rsidP="00A3786D">
                  <w:pPr>
                    <w:pStyle w:val="TableBodyText"/>
                  </w:pPr>
                  <w:r w:rsidRPr="00911F46">
                    <w:t>2019</w:t>
                  </w:r>
                  <w:r>
                    <w:noBreakHyphen/>
                  </w:r>
                  <w:r w:rsidRPr="00911F46">
                    <w:t>20</w:t>
                  </w:r>
                </w:p>
              </w:tc>
              <w:tc>
                <w:tcPr>
                  <w:tcW w:w="557" w:type="pct"/>
                  <w:tcBorders>
                    <w:top w:val="nil"/>
                    <w:left w:val="nil"/>
                    <w:bottom w:val="nil"/>
                    <w:right w:val="nil"/>
                  </w:tcBorders>
                  <w:shd w:val="clear" w:color="auto" w:fill="auto"/>
                  <w:vAlign w:val="bottom"/>
                </w:tcPr>
                <w:p w14:paraId="7954CEE5" w14:textId="77777777" w:rsidR="00F05DC7" w:rsidRPr="00911F46" w:rsidRDefault="00F05DC7" w:rsidP="00A3786D">
                  <w:pPr>
                    <w:pStyle w:val="TableBodyText"/>
                  </w:pPr>
                  <w:r w:rsidRPr="00911F46">
                    <w:rPr>
                      <w:color w:val="000000"/>
                    </w:rPr>
                    <w:t>0.21</w:t>
                  </w:r>
                </w:p>
              </w:tc>
              <w:tc>
                <w:tcPr>
                  <w:tcW w:w="557" w:type="pct"/>
                  <w:tcBorders>
                    <w:top w:val="nil"/>
                    <w:left w:val="nil"/>
                    <w:bottom w:val="nil"/>
                    <w:right w:val="nil"/>
                  </w:tcBorders>
                  <w:shd w:val="clear" w:color="auto" w:fill="auto"/>
                  <w:vAlign w:val="bottom"/>
                </w:tcPr>
                <w:p w14:paraId="7954CEE6" w14:textId="77777777" w:rsidR="00F05DC7" w:rsidRPr="00911F46" w:rsidRDefault="00F05DC7" w:rsidP="00A3786D">
                  <w:pPr>
                    <w:pStyle w:val="TableBodyText"/>
                  </w:pPr>
                  <w:r>
                    <w:rPr>
                      <w:color w:val="000000"/>
                    </w:rPr>
                    <w:noBreakHyphen/>
                  </w:r>
                  <w:r w:rsidRPr="00911F46">
                    <w:rPr>
                      <w:color w:val="000000"/>
                    </w:rPr>
                    <w:t>0.45</w:t>
                  </w:r>
                </w:p>
              </w:tc>
              <w:tc>
                <w:tcPr>
                  <w:tcW w:w="556" w:type="pct"/>
                  <w:tcBorders>
                    <w:top w:val="nil"/>
                    <w:left w:val="nil"/>
                    <w:bottom w:val="nil"/>
                    <w:right w:val="nil"/>
                  </w:tcBorders>
                  <w:shd w:val="clear" w:color="auto" w:fill="auto"/>
                  <w:vAlign w:val="bottom"/>
                </w:tcPr>
                <w:p w14:paraId="7954CEE7" w14:textId="77777777" w:rsidR="00F05DC7" w:rsidRPr="00911F46" w:rsidRDefault="00F05DC7" w:rsidP="00A3786D">
                  <w:pPr>
                    <w:pStyle w:val="TableBodyText"/>
                  </w:pPr>
                  <w:r>
                    <w:rPr>
                      <w:color w:val="000000"/>
                    </w:rPr>
                    <w:noBreakHyphen/>
                  </w:r>
                  <w:r w:rsidRPr="00911F46">
                    <w:rPr>
                      <w:color w:val="000000"/>
                    </w:rPr>
                    <w:t>0.59</w:t>
                  </w:r>
                </w:p>
              </w:tc>
              <w:tc>
                <w:tcPr>
                  <w:tcW w:w="556" w:type="pct"/>
                  <w:tcBorders>
                    <w:top w:val="nil"/>
                    <w:left w:val="nil"/>
                    <w:bottom w:val="nil"/>
                    <w:right w:val="nil"/>
                  </w:tcBorders>
                  <w:shd w:val="clear" w:color="auto" w:fill="auto"/>
                  <w:vAlign w:val="bottom"/>
                </w:tcPr>
                <w:p w14:paraId="7954CEE8" w14:textId="77777777" w:rsidR="00F05DC7" w:rsidRPr="00911F46" w:rsidRDefault="00F05DC7" w:rsidP="00A3786D">
                  <w:pPr>
                    <w:pStyle w:val="TableBodyText"/>
                  </w:pPr>
                  <w:r w:rsidRPr="00911F46">
                    <w:rPr>
                      <w:color w:val="000000"/>
                    </w:rPr>
                    <w:t>2.21</w:t>
                  </w:r>
                </w:p>
              </w:tc>
              <w:tc>
                <w:tcPr>
                  <w:tcW w:w="555" w:type="pct"/>
                  <w:tcBorders>
                    <w:top w:val="nil"/>
                    <w:left w:val="nil"/>
                    <w:bottom w:val="nil"/>
                    <w:right w:val="nil"/>
                  </w:tcBorders>
                  <w:shd w:val="clear" w:color="auto" w:fill="auto"/>
                  <w:vAlign w:val="bottom"/>
                </w:tcPr>
                <w:p w14:paraId="7954CEE9" w14:textId="77777777" w:rsidR="00F05DC7" w:rsidRPr="00911F46" w:rsidRDefault="00F05DC7" w:rsidP="00A3786D">
                  <w:pPr>
                    <w:pStyle w:val="TableBodyText"/>
                  </w:pPr>
                  <w:r>
                    <w:rPr>
                      <w:color w:val="000000"/>
                    </w:rPr>
                    <w:noBreakHyphen/>
                  </w:r>
                  <w:r w:rsidRPr="00911F46">
                    <w:rPr>
                      <w:color w:val="000000"/>
                    </w:rPr>
                    <w:t>0.59</w:t>
                  </w:r>
                </w:p>
              </w:tc>
              <w:tc>
                <w:tcPr>
                  <w:tcW w:w="555" w:type="pct"/>
                  <w:tcBorders>
                    <w:top w:val="nil"/>
                    <w:left w:val="nil"/>
                    <w:bottom w:val="nil"/>
                    <w:right w:val="nil"/>
                  </w:tcBorders>
                  <w:shd w:val="clear" w:color="auto" w:fill="auto"/>
                  <w:vAlign w:val="bottom"/>
                </w:tcPr>
                <w:p w14:paraId="7954CEEA" w14:textId="77777777" w:rsidR="00F05DC7" w:rsidRPr="00911F46" w:rsidRDefault="00F05DC7" w:rsidP="00A3786D">
                  <w:pPr>
                    <w:pStyle w:val="TableBodyText"/>
                  </w:pPr>
                  <w:r>
                    <w:rPr>
                      <w:color w:val="000000"/>
                    </w:rPr>
                    <w:noBreakHyphen/>
                  </w:r>
                  <w:r w:rsidRPr="00911F46">
                    <w:rPr>
                      <w:color w:val="000000"/>
                    </w:rPr>
                    <w:t>0.59</w:t>
                  </w:r>
                </w:p>
              </w:tc>
              <w:tc>
                <w:tcPr>
                  <w:tcW w:w="555" w:type="pct"/>
                  <w:tcBorders>
                    <w:top w:val="nil"/>
                    <w:left w:val="nil"/>
                    <w:bottom w:val="nil"/>
                    <w:right w:val="nil"/>
                  </w:tcBorders>
                  <w:shd w:val="clear" w:color="auto" w:fill="auto"/>
                  <w:vAlign w:val="bottom"/>
                </w:tcPr>
                <w:p w14:paraId="7954CEEB" w14:textId="77777777" w:rsidR="00F05DC7" w:rsidRPr="00911F46" w:rsidRDefault="00F05DC7" w:rsidP="00A3786D">
                  <w:pPr>
                    <w:pStyle w:val="TableBodyText"/>
                  </w:pPr>
                  <w:r>
                    <w:rPr>
                      <w:color w:val="000000"/>
                    </w:rPr>
                    <w:noBreakHyphen/>
                  </w:r>
                  <w:r w:rsidRPr="00911F46">
                    <w:rPr>
                      <w:color w:val="000000"/>
                    </w:rPr>
                    <w:t>0.48</w:t>
                  </w:r>
                </w:p>
              </w:tc>
              <w:tc>
                <w:tcPr>
                  <w:tcW w:w="553" w:type="pct"/>
                  <w:tcBorders>
                    <w:top w:val="nil"/>
                    <w:left w:val="nil"/>
                    <w:bottom w:val="nil"/>
                    <w:right w:val="nil"/>
                  </w:tcBorders>
                  <w:shd w:val="clear" w:color="auto" w:fill="auto"/>
                  <w:vAlign w:val="bottom"/>
                </w:tcPr>
                <w:p w14:paraId="7954CEEC" w14:textId="77777777" w:rsidR="00F05DC7" w:rsidRPr="00911F46" w:rsidRDefault="00F05DC7" w:rsidP="00A3786D">
                  <w:pPr>
                    <w:pStyle w:val="TableBodyText"/>
                  </w:pPr>
                  <w:r>
                    <w:rPr>
                      <w:color w:val="000000"/>
                    </w:rPr>
                    <w:noBreakHyphen/>
                  </w:r>
                  <w:r w:rsidRPr="00911F46">
                    <w:rPr>
                      <w:color w:val="000000"/>
                    </w:rPr>
                    <w:t>0.30</w:t>
                  </w:r>
                </w:p>
              </w:tc>
            </w:tr>
            <w:tr w:rsidR="00F05DC7" w:rsidRPr="00A75ED1" w14:paraId="7954CEF7" w14:textId="77777777" w:rsidTr="00A3786D">
              <w:tc>
                <w:tcPr>
                  <w:tcW w:w="556" w:type="pct"/>
                  <w:shd w:val="clear" w:color="auto" w:fill="auto"/>
                  <w:vAlign w:val="bottom"/>
                </w:tcPr>
                <w:p w14:paraId="7954CEEE" w14:textId="77777777" w:rsidR="00F05DC7" w:rsidRPr="00911F46" w:rsidRDefault="00F05DC7" w:rsidP="00A3786D">
                  <w:pPr>
                    <w:pStyle w:val="TableBodyText"/>
                  </w:pPr>
                  <w:r w:rsidRPr="00911F46">
                    <w:t>2020</w:t>
                  </w:r>
                  <w:r>
                    <w:noBreakHyphen/>
                  </w:r>
                  <w:r w:rsidRPr="00911F46">
                    <w:t>21</w:t>
                  </w:r>
                </w:p>
              </w:tc>
              <w:tc>
                <w:tcPr>
                  <w:tcW w:w="557" w:type="pct"/>
                  <w:tcBorders>
                    <w:top w:val="nil"/>
                    <w:left w:val="nil"/>
                    <w:bottom w:val="nil"/>
                    <w:right w:val="nil"/>
                  </w:tcBorders>
                  <w:shd w:val="clear" w:color="auto" w:fill="auto"/>
                  <w:vAlign w:val="bottom"/>
                </w:tcPr>
                <w:p w14:paraId="7954CEEF" w14:textId="77777777" w:rsidR="00F05DC7" w:rsidRPr="00911F46" w:rsidRDefault="00F05DC7" w:rsidP="00A3786D">
                  <w:pPr>
                    <w:pStyle w:val="TableBodyText"/>
                  </w:pPr>
                  <w:r w:rsidRPr="00911F46">
                    <w:rPr>
                      <w:color w:val="000000"/>
                    </w:rPr>
                    <w:t>0.13</w:t>
                  </w:r>
                </w:p>
              </w:tc>
              <w:tc>
                <w:tcPr>
                  <w:tcW w:w="557" w:type="pct"/>
                  <w:tcBorders>
                    <w:top w:val="nil"/>
                    <w:left w:val="nil"/>
                    <w:bottom w:val="nil"/>
                    <w:right w:val="nil"/>
                  </w:tcBorders>
                  <w:shd w:val="clear" w:color="auto" w:fill="auto"/>
                  <w:vAlign w:val="bottom"/>
                </w:tcPr>
                <w:p w14:paraId="7954CEF0" w14:textId="77777777" w:rsidR="00F05DC7" w:rsidRPr="00911F46" w:rsidRDefault="00F05DC7" w:rsidP="00A3786D">
                  <w:pPr>
                    <w:pStyle w:val="TableBodyText"/>
                  </w:pPr>
                  <w:r>
                    <w:rPr>
                      <w:color w:val="000000"/>
                    </w:rPr>
                    <w:noBreakHyphen/>
                  </w:r>
                  <w:r w:rsidRPr="00911F46">
                    <w:rPr>
                      <w:color w:val="000000"/>
                    </w:rPr>
                    <w:t>0.21</w:t>
                  </w:r>
                </w:p>
              </w:tc>
              <w:tc>
                <w:tcPr>
                  <w:tcW w:w="556" w:type="pct"/>
                  <w:tcBorders>
                    <w:top w:val="nil"/>
                    <w:left w:val="nil"/>
                    <w:bottom w:val="nil"/>
                    <w:right w:val="nil"/>
                  </w:tcBorders>
                  <w:shd w:val="clear" w:color="auto" w:fill="auto"/>
                  <w:vAlign w:val="bottom"/>
                </w:tcPr>
                <w:p w14:paraId="7954CEF1" w14:textId="77777777" w:rsidR="00F05DC7" w:rsidRPr="00911F46" w:rsidRDefault="00F05DC7" w:rsidP="00A3786D">
                  <w:pPr>
                    <w:pStyle w:val="TableBodyText"/>
                  </w:pPr>
                  <w:r>
                    <w:rPr>
                      <w:color w:val="000000"/>
                    </w:rPr>
                    <w:noBreakHyphen/>
                  </w:r>
                  <w:r w:rsidRPr="00911F46">
                    <w:rPr>
                      <w:color w:val="000000"/>
                    </w:rPr>
                    <w:t>0.57</w:t>
                  </w:r>
                </w:p>
              </w:tc>
              <w:tc>
                <w:tcPr>
                  <w:tcW w:w="556" w:type="pct"/>
                  <w:tcBorders>
                    <w:top w:val="nil"/>
                    <w:left w:val="nil"/>
                    <w:bottom w:val="nil"/>
                    <w:right w:val="nil"/>
                  </w:tcBorders>
                  <w:shd w:val="clear" w:color="auto" w:fill="auto"/>
                  <w:vAlign w:val="bottom"/>
                </w:tcPr>
                <w:p w14:paraId="7954CEF2" w14:textId="77777777" w:rsidR="00F05DC7" w:rsidRPr="00911F46" w:rsidRDefault="00F05DC7" w:rsidP="00A3786D">
                  <w:pPr>
                    <w:pStyle w:val="TableBodyText"/>
                  </w:pPr>
                  <w:r w:rsidRPr="00911F46">
                    <w:rPr>
                      <w:color w:val="000000"/>
                    </w:rPr>
                    <w:t>1.73</w:t>
                  </w:r>
                </w:p>
              </w:tc>
              <w:tc>
                <w:tcPr>
                  <w:tcW w:w="555" w:type="pct"/>
                  <w:tcBorders>
                    <w:top w:val="nil"/>
                    <w:left w:val="nil"/>
                    <w:bottom w:val="nil"/>
                    <w:right w:val="nil"/>
                  </w:tcBorders>
                  <w:shd w:val="clear" w:color="auto" w:fill="auto"/>
                  <w:vAlign w:val="bottom"/>
                </w:tcPr>
                <w:p w14:paraId="7954CEF3" w14:textId="77777777" w:rsidR="00F05DC7" w:rsidRPr="00911F46" w:rsidRDefault="00F05DC7" w:rsidP="00A3786D">
                  <w:pPr>
                    <w:pStyle w:val="TableBodyText"/>
                  </w:pPr>
                  <w:r>
                    <w:rPr>
                      <w:color w:val="000000"/>
                    </w:rPr>
                    <w:noBreakHyphen/>
                  </w:r>
                  <w:r w:rsidRPr="00911F46">
                    <w:rPr>
                      <w:color w:val="000000"/>
                    </w:rPr>
                    <w:t>0.56</w:t>
                  </w:r>
                </w:p>
              </w:tc>
              <w:tc>
                <w:tcPr>
                  <w:tcW w:w="555" w:type="pct"/>
                  <w:tcBorders>
                    <w:top w:val="nil"/>
                    <w:left w:val="nil"/>
                    <w:bottom w:val="nil"/>
                    <w:right w:val="nil"/>
                  </w:tcBorders>
                  <w:shd w:val="clear" w:color="auto" w:fill="auto"/>
                  <w:vAlign w:val="bottom"/>
                </w:tcPr>
                <w:p w14:paraId="7954CEF4" w14:textId="77777777" w:rsidR="00F05DC7" w:rsidRPr="00911F46" w:rsidRDefault="00F05DC7" w:rsidP="00A3786D">
                  <w:pPr>
                    <w:pStyle w:val="TableBodyText"/>
                  </w:pPr>
                  <w:r>
                    <w:rPr>
                      <w:color w:val="000000"/>
                    </w:rPr>
                    <w:noBreakHyphen/>
                  </w:r>
                  <w:r w:rsidRPr="00911F46">
                    <w:rPr>
                      <w:color w:val="000000"/>
                    </w:rPr>
                    <w:t>0.57</w:t>
                  </w:r>
                </w:p>
              </w:tc>
              <w:tc>
                <w:tcPr>
                  <w:tcW w:w="555" w:type="pct"/>
                  <w:tcBorders>
                    <w:top w:val="nil"/>
                    <w:left w:val="nil"/>
                    <w:bottom w:val="nil"/>
                    <w:right w:val="nil"/>
                  </w:tcBorders>
                  <w:shd w:val="clear" w:color="auto" w:fill="auto"/>
                  <w:vAlign w:val="bottom"/>
                </w:tcPr>
                <w:p w14:paraId="7954CEF5" w14:textId="77777777" w:rsidR="00F05DC7" w:rsidRPr="00911F46" w:rsidRDefault="00F05DC7" w:rsidP="00A3786D">
                  <w:pPr>
                    <w:pStyle w:val="TableBodyText"/>
                  </w:pPr>
                  <w:r>
                    <w:rPr>
                      <w:color w:val="000000"/>
                    </w:rPr>
                    <w:noBreakHyphen/>
                  </w:r>
                  <w:r w:rsidRPr="00911F46">
                    <w:rPr>
                      <w:color w:val="000000"/>
                    </w:rPr>
                    <w:t>0.45</w:t>
                  </w:r>
                </w:p>
              </w:tc>
              <w:tc>
                <w:tcPr>
                  <w:tcW w:w="553" w:type="pct"/>
                  <w:tcBorders>
                    <w:top w:val="nil"/>
                    <w:left w:val="nil"/>
                    <w:bottom w:val="nil"/>
                    <w:right w:val="nil"/>
                  </w:tcBorders>
                  <w:shd w:val="clear" w:color="auto" w:fill="auto"/>
                  <w:vAlign w:val="bottom"/>
                </w:tcPr>
                <w:p w14:paraId="7954CEF6" w14:textId="77777777" w:rsidR="00F05DC7" w:rsidRPr="00911F46" w:rsidRDefault="00F05DC7" w:rsidP="00A3786D">
                  <w:pPr>
                    <w:pStyle w:val="TableBodyText"/>
                  </w:pPr>
                  <w:r>
                    <w:rPr>
                      <w:color w:val="000000"/>
                    </w:rPr>
                    <w:noBreakHyphen/>
                  </w:r>
                  <w:r w:rsidRPr="00911F46">
                    <w:rPr>
                      <w:color w:val="000000"/>
                    </w:rPr>
                    <w:t>0.29</w:t>
                  </w:r>
                </w:p>
              </w:tc>
            </w:tr>
            <w:tr w:rsidR="00F05DC7" w:rsidRPr="00A75ED1" w14:paraId="7954CF01" w14:textId="77777777" w:rsidTr="00A3786D">
              <w:tc>
                <w:tcPr>
                  <w:tcW w:w="556" w:type="pct"/>
                  <w:shd w:val="clear" w:color="auto" w:fill="auto"/>
                  <w:vAlign w:val="bottom"/>
                </w:tcPr>
                <w:p w14:paraId="7954CEF8" w14:textId="77777777" w:rsidR="00F05DC7" w:rsidRPr="00911F46" w:rsidRDefault="00F05DC7" w:rsidP="00A3786D">
                  <w:pPr>
                    <w:pStyle w:val="TableBodyText"/>
                  </w:pPr>
                  <w:r w:rsidRPr="00911F46">
                    <w:t>2021</w:t>
                  </w:r>
                  <w:r>
                    <w:noBreakHyphen/>
                  </w:r>
                  <w:r w:rsidRPr="00911F46">
                    <w:t>22</w:t>
                  </w:r>
                </w:p>
              </w:tc>
              <w:tc>
                <w:tcPr>
                  <w:tcW w:w="557" w:type="pct"/>
                  <w:tcBorders>
                    <w:top w:val="nil"/>
                    <w:left w:val="nil"/>
                    <w:bottom w:val="nil"/>
                    <w:right w:val="nil"/>
                  </w:tcBorders>
                  <w:shd w:val="clear" w:color="auto" w:fill="auto"/>
                  <w:vAlign w:val="bottom"/>
                </w:tcPr>
                <w:p w14:paraId="7954CEF9" w14:textId="77777777" w:rsidR="00F05DC7" w:rsidRPr="00911F46" w:rsidRDefault="00F05DC7" w:rsidP="00A3786D">
                  <w:pPr>
                    <w:pStyle w:val="TableBodyText"/>
                  </w:pPr>
                  <w:r w:rsidRPr="00911F46">
                    <w:rPr>
                      <w:color w:val="000000"/>
                    </w:rPr>
                    <w:t>0.03</w:t>
                  </w:r>
                </w:p>
              </w:tc>
              <w:tc>
                <w:tcPr>
                  <w:tcW w:w="557" w:type="pct"/>
                  <w:tcBorders>
                    <w:top w:val="nil"/>
                    <w:left w:val="nil"/>
                    <w:bottom w:val="nil"/>
                    <w:right w:val="nil"/>
                  </w:tcBorders>
                  <w:shd w:val="clear" w:color="auto" w:fill="auto"/>
                  <w:vAlign w:val="bottom"/>
                </w:tcPr>
                <w:p w14:paraId="7954CEFA" w14:textId="77777777" w:rsidR="00F05DC7" w:rsidRPr="00911F46" w:rsidRDefault="00F05DC7" w:rsidP="00A3786D">
                  <w:pPr>
                    <w:pStyle w:val="TableBodyText"/>
                  </w:pPr>
                  <w:r w:rsidRPr="00911F46">
                    <w:rPr>
                      <w:color w:val="000000"/>
                    </w:rPr>
                    <w:t>0.06</w:t>
                  </w:r>
                </w:p>
              </w:tc>
              <w:tc>
                <w:tcPr>
                  <w:tcW w:w="556" w:type="pct"/>
                  <w:tcBorders>
                    <w:top w:val="nil"/>
                    <w:left w:val="nil"/>
                    <w:bottom w:val="nil"/>
                    <w:right w:val="nil"/>
                  </w:tcBorders>
                  <w:shd w:val="clear" w:color="auto" w:fill="auto"/>
                  <w:vAlign w:val="bottom"/>
                </w:tcPr>
                <w:p w14:paraId="7954CEFB" w14:textId="77777777" w:rsidR="00F05DC7" w:rsidRPr="00911F46" w:rsidRDefault="00F05DC7" w:rsidP="00A3786D">
                  <w:pPr>
                    <w:pStyle w:val="TableBodyText"/>
                  </w:pPr>
                  <w:r>
                    <w:rPr>
                      <w:color w:val="000000"/>
                    </w:rPr>
                    <w:noBreakHyphen/>
                  </w:r>
                  <w:r w:rsidRPr="00911F46">
                    <w:rPr>
                      <w:color w:val="000000"/>
                    </w:rPr>
                    <w:t>0.53</w:t>
                  </w:r>
                </w:p>
              </w:tc>
              <w:tc>
                <w:tcPr>
                  <w:tcW w:w="556" w:type="pct"/>
                  <w:tcBorders>
                    <w:top w:val="nil"/>
                    <w:left w:val="nil"/>
                    <w:bottom w:val="nil"/>
                    <w:right w:val="nil"/>
                  </w:tcBorders>
                  <w:shd w:val="clear" w:color="auto" w:fill="auto"/>
                  <w:vAlign w:val="bottom"/>
                </w:tcPr>
                <w:p w14:paraId="7954CEFC" w14:textId="77777777" w:rsidR="00F05DC7" w:rsidRPr="00911F46" w:rsidRDefault="00F05DC7" w:rsidP="00A3786D">
                  <w:pPr>
                    <w:pStyle w:val="TableBodyText"/>
                  </w:pPr>
                  <w:r w:rsidRPr="00911F46">
                    <w:rPr>
                      <w:color w:val="000000"/>
                    </w:rPr>
                    <w:t>1.26</w:t>
                  </w:r>
                </w:p>
              </w:tc>
              <w:tc>
                <w:tcPr>
                  <w:tcW w:w="555" w:type="pct"/>
                  <w:tcBorders>
                    <w:top w:val="nil"/>
                    <w:left w:val="nil"/>
                    <w:bottom w:val="nil"/>
                    <w:right w:val="nil"/>
                  </w:tcBorders>
                  <w:shd w:val="clear" w:color="auto" w:fill="auto"/>
                  <w:vAlign w:val="bottom"/>
                </w:tcPr>
                <w:p w14:paraId="7954CEFD" w14:textId="77777777" w:rsidR="00F05DC7" w:rsidRPr="00911F46" w:rsidRDefault="00F05DC7" w:rsidP="00A3786D">
                  <w:pPr>
                    <w:pStyle w:val="TableBodyText"/>
                  </w:pPr>
                  <w:r>
                    <w:rPr>
                      <w:color w:val="000000"/>
                    </w:rPr>
                    <w:noBreakHyphen/>
                  </w:r>
                  <w:r w:rsidRPr="00911F46">
                    <w:rPr>
                      <w:color w:val="000000"/>
                    </w:rPr>
                    <w:t>0.53</w:t>
                  </w:r>
                </w:p>
              </w:tc>
              <w:tc>
                <w:tcPr>
                  <w:tcW w:w="555" w:type="pct"/>
                  <w:tcBorders>
                    <w:top w:val="nil"/>
                    <w:left w:val="nil"/>
                    <w:bottom w:val="nil"/>
                    <w:right w:val="nil"/>
                  </w:tcBorders>
                  <w:shd w:val="clear" w:color="auto" w:fill="auto"/>
                  <w:vAlign w:val="bottom"/>
                </w:tcPr>
                <w:p w14:paraId="7954CEFE" w14:textId="77777777" w:rsidR="00F05DC7" w:rsidRPr="00911F46" w:rsidRDefault="00F05DC7" w:rsidP="00A3786D">
                  <w:pPr>
                    <w:pStyle w:val="TableBodyText"/>
                  </w:pPr>
                  <w:r>
                    <w:rPr>
                      <w:color w:val="000000"/>
                    </w:rPr>
                    <w:noBreakHyphen/>
                  </w:r>
                  <w:r w:rsidRPr="00911F46">
                    <w:rPr>
                      <w:color w:val="000000"/>
                    </w:rPr>
                    <w:t>0.52</w:t>
                  </w:r>
                </w:p>
              </w:tc>
              <w:tc>
                <w:tcPr>
                  <w:tcW w:w="555" w:type="pct"/>
                  <w:tcBorders>
                    <w:top w:val="nil"/>
                    <w:left w:val="nil"/>
                    <w:bottom w:val="nil"/>
                    <w:right w:val="nil"/>
                  </w:tcBorders>
                  <w:shd w:val="clear" w:color="auto" w:fill="auto"/>
                  <w:vAlign w:val="bottom"/>
                </w:tcPr>
                <w:p w14:paraId="7954CEFF" w14:textId="77777777" w:rsidR="00F05DC7" w:rsidRPr="00911F46" w:rsidRDefault="00F05DC7" w:rsidP="00A3786D">
                  <w:pPr>
                    <w:pStyle w:val="TableBodyText"/>
                  </w:pPr>
                  <w:r>
                    <w:rPr>
                      <w:color w:val="000000"/>
                    </w:rPr>
                    <w:noBreakHyphen/>
                  </w:r>
                  <w:r w:rsidRPr="00911F46">
                    <w:rPr>
                      <w:color w:val="000000"/>
                    </w:rPr>
                    <w:t>0.43</w:t>
                  </w:r>
                </w:p>
              </w:tc>
              <w:tc>
                <w:tcPr>
                  <w:tcW w:w="553" w:type="pct"/>
                  <w:tcBorders>
                    <w:top w:val="nil"/>
                    <w:left w:val="nil"/>
                    <w:bottom w:val="nil"/>
                    <w:right w:val="nil"/>
                  </w:tcBorders>
                  <w:shd w:val="clear" w:color="auto" w:fill="auto"/>
                  <w:vAlign w:val="bottom"/>
                </w:tcPr>
                <w:p w14:paraId="7954CF00" w14:textId="77777777" w:rsidR="00F05DC7" w:rsidRPr="00911F46" w:rsidRDefault="00F05DC7" w:rsidP="00A3786D">
                  <w:pPr>
                    <w:pStyle w:val="TableBodyText"/>
                  </w:pPr>
                  <w:r>
                    <w:rPr>
                      <w:color w:val="000000"/>
                    </w:rPr>
                    <w:noBreakHyphen/>
                  </w:r>
                  <w:r w:rsidRPr="00911F46">
                    <w:rPr>
                      <w:color w:val="000000"/>
                    </w:rPr>
                    <w:t>0.25</w:t>
                  </w:r>
                </w:p>
              </w:tc>
            </w:tr>
            <w:tr w:rsidR="00F05DC7" w:rsidRPr="00A75ED1" w14:paraId="7954CF0B" w14:textId="77777777" w:rsidTr="00A3786D">
              <w:tc>
                <w:tcPr>
                  <w:tcW w:w="556" w:type="pct"/>
                  <w:shd w:val="clear" w:color="auto" w:fill="auto"/>
                </w:tcPr>
                <w:p w14:paraId="7954CF02" w14:textId="77777777" w:rsidR="00F05DC7" w:rsidRPr="00911F46" w:rsidRDefault="00F05DC7" w:rsidP="00A3786D">
                  <w:pPr>
                    <w:pStyle w:val="TableBodyText"/>
                  </w:pPr>
                  <w:r w:rsidRPr="00911F46">
                    <w:t>2022</w:t>
                  </w:r>
                  <w:r>
                    <w:noBreakHyphen/>
                  </w:r>
                  <w:r w:rsidRPr="00911F46">
                    <w:t>23</w:t>
                  </w:r>
                </w:p>
              </w:tc>
              <w:tc>
                <w:tcPr>
                  <w:tcW w:w="557" w:type="pct"/>
                  <w:tcBorders>
                    <w:top w:val="nil"/>
                    <w:left w:val="nil"/>
                    <w:bottom w:val="nil"/>
                    <w:right w:val="nil"/>
                  </w:tcBorders>
                  <w:shd w:val="clear" w:color="auto" w:fill="auto"/>
                  <w:vAlign w:val="bottom"/>
                </w:tcPr>
                <w:p w14:paraId="7954CF03" w14:textId="77777777" w:rsidR="00F05DC7" w:rsidRPr="00911F46" w:rsidRDefault="00F05DC7" w:rsidP="00A3786D">
                  <w:pPr>
                    <w:pStyle w:val="TableBodyText"/>
                  </w:pPr>
                  <w:r>
                    <w:rPr>
                      <w:color w:val="000000"/>
                    </w:rPr>
                    <w:noBreakHyphen/>
                  </w:r>
                  <w:r w:rsidRPr="00911F46">
                    <w:rPr>
                      <w:color w:val="000000"/>
                    </w:rPr>
                    <w:t>0.07</w:t>
                  </w:r>
                </w:p>
              </w:tc>
              <w:tc>
                <w:tcPr>
                  <w:tcW w:w="557" w:type="pct"/>
                  <w:tcBorders>
                    <w:top w:val="nil"/>
                    <w:left w:val="nil"/>
                    <w:bottom w:val="nil"/>
                    <w:right w:val="nil"/>
                  </w:tcBorders>
                  <w:shd w:val="clear" w:color="auto" w:fill="auto"/>
                  <w:vAlign w:val="bottom"/>
                </w:tcPr>
                <w:p w14:paraId="7954CF04" w14:textId="77777777" w:rsidR="00F05DC7" w:rsidRPr="00911F46" w:rsidRDefault="00F05DC7" w:rsidP="00A3786D">
                  <w:pPr>
                    <w:pStyle w:val="TableBodyText"/>
                  </w:pPr>
                  <w:r w:rsidRPr="00911F46">
                    <w:rPr>
                      <w:color w:val="000000"/>
                    </w:rPr>
                    <w:t>0.35</w:t>
                  </w:r>
                </w:p>
              </w:tc>
              <w:tc>
                <w:tcPr>
                  <w:tcW w:w="556" w:type="pct"/>
                  <w:tcBorders>
                    <w:top w:val="nil"/>
                    <w:left w:val="nil"/>
                    <w:bottom w:val="nil"/>
                    <w:right w:val="nil"/>
                  </w:tcBorders>
                  <w:shd w:val="clear" w:color="auto" w:fill="auto"/>
                  <w:vAlign w:val="bottom"/>
                </w:tcPr>
                <w:p w14:paraId="7954CF05" w14:textId="77777777" w:rsidR="00F05DC7" w:rsidRPr="00911F46" w:rsidRDefault="00F05DC7" w:rsidP="00A3786D">
                  <w:pPr>
                    <w:pStyle w:val="TableBodyText"/>
                  </w:pPr>
                  <w:r>
                    <w:rPr>
                      <w:color w:val="000000"/>
                    </w:rPr>
                    <w:noBreakHyphen/>
                  </w:r>
                  <w:r w:rsidRPr="00911F46">
                    <w:rPr>
                      <w:color w:val="000000"/>
                    </w:rPr>
                    <w:t>0.50</w:t>
                  </w:r>
                </w:p>
              </w:tc>
              <w:tc>
                <w:tcPr>
                  <w:tcW w:w="556" w:type="pct"/>
                  <w:tcBorders>
                    <w:top w:val="nil"/>
                    <w:left w:val="nil"/>
                    <w:bottom w:val="nil"/>
                    <w:right w:val="nil"/>
                  </w:tcBorders>
                  <w:shd w:val="clear" w:color="auto" w:fill="auto"/>
                  <w:vAlign w:val="bottom"/>
                </w:tcPr>
                <w:p w14:paraId="7954CF06" w14:textId="77777777" w:rsidR="00F05DC7" w:rsidRPr="00911F46" w:rsidRDefault="00F05DC7" w:rsidP="00A3786D">
                  <w:pPr>
                    <w:pStyle w:val="TableBodyText"/>
                  </w:pPr>
                  <w:r w:rsidRPr="00911F46">
                    <w:rPr>
                      <w:color w:val="000000"/>
                    </w:rPr>
                    <w:t>0.79</w:t>
                  </w:r>
                </w:p>
              </w:tc>
              <w:tc>
                <w:tcPr>
                  <w:tcW w:w="555" w:type="pct"/>
                  <w:tcBorders>
                    <w:top w:val="nil"/>
                    <w:left w:val="nil"/>
                    <w:bottom w:val="nil"/>
                    <w:right w:val="nil"/>
                  </w:tcBorders>
                  <w:shd w:val="clear" w:color="auto" w:fill="auto"/>
                  <w:vAlign w:val="bottom"/>
                </w:tcPr>
                <w:p w14:paraId="7954CF07" w14:textId="77777777" w:rsidR="00F05DC7" w:rsidRPr="00911F46" w:rsidRDefault="00F05DC7" w:rsidP="00A3786D">
                  <w:pPr>
                    <w:pStyle w:val="TableBodyText"/>
                  </w:pPr>
                  <w:r>
                    <w:rPr>
                      <w:color w:val="000000"/>
                    </w:rPr>
                    <w:noBreakHyphen/>
                  </w:r>
                  <w:r w:rsidRPr="00911F46">
                    <w:rPr>
                      <w:color w:val="000000"/>
                    </w:rPr>
                    <w:t>0.50</w:t>
                  </w:r>
                </w:p>
              </w:tc>
              <w:tc>
                <w:tcPr>
                  <w:tcW w:w="555" w:type="pct"/>
                  <w:tcBorders>
                    <w:top w:val="nil"/>
                    <w:left w:val="nil"/>
                    <w:bottom w:val="nil"/>
                    <w:right w:val="nil"/>
                  </w:tcBorders>
                  <w:shd w:val="clear" w:color="auto" w:fill="auto"/>
                  <w:vAlign w:val="bottom"/>
                </w:tcPr>
                <w:p w14:paraId="7954CF08" w14:textId="77777777" w:rsidR="00F05DC7" w:rsidRPr="00911F46" w:rsidRDefault="00F05DC7" w:rsidP="00A3786D">
                  <w:pPr>
                    <w:pStyle w:val="TableBodyText"/>
                  </w:pPr>
                  <w:r>
                    <w:rPr>
                      <w:color w:val="000000"/>
                    </w:rPr>
                    <w:noBreakHyphen/>
                  </w:r>
                  <w:r w:rsidRPr="00911F46">
                    <w:rPr>
                      <w:color w:val="000000"/>
                    </w:rPr>
                    <w:t>0.49</w:t>
                  </w:r>
                </w:p>
              </w:tc>
              <w:tc>
                <w:tcPr>
                  <w:tcW w:w="555" w:type="pct"/>
                  <w:tcBorders>
                    <w:top w:val="nil"/>
                    <w:left w:val="nil"/>
                    <w:bottom w:val="nil"/>
                    <w:right w:val="nil"/>
                  </w:tcBorders>
                  <w:shd w:val="clear" w:color="auto" w:fill="auto"/>
                  <w:vAlign w:val="bottom"/>
                </w:tcPr>
                <w:p w14:paraId="7954CF09" w14:textId="77777777" w:rsidR="00F05DC7" w:rsidRPr="00911F46" w:rsidRDefault="00F05DC7" w:rsidP="00A3786D">
                  <w:pPr>
                    <w:pStyle w:val="TableBodyText"/>
                  </w:pPr>
                  <w:r>
                    <w:rPr>
                      <w:color w:val="000000"/>
                    </w:rPr>
                    <w:noBreakHyphen/>
                  </w:r>
                  <w:r w:rsidRPr="00911F46">
                    <w:rPr>
                      <w:color w:val="000000"/>
                    </w:rPr>
                    <w:t>0.40</w:t>
                  </w:r>
                </w:p>
              </w:tc>
              <w:tc>
                <w:tcPr>
                  <w:tcW w:w="553" w:type="pct"/>
                  <w:tcBorders>
                    <w:top w:val="nil"/>
                    <w:left w:val="nil"/>
                    <w:bottom w:val="nil"/>
                    <w:right w:val="nil"/>
                  </w:tcBorders>
                  <w:shd w:val="clear" w:color="auto" w:fill="auto"/>
                  <w:vAlign w:val="bottom"/>
                </w:tcPr>
                <w:p w14:paraId="7954CF0A" w14:textId="77777777" w:rsidR="00F05DC7" w:rsidRPr="00911F46" w:rsidRDefault="00F05DC7" w:rsidP="00A3786D">
                  <w:pPr>
                    <w:pStyle w:val="TableBodyText"/>
                  </w:pPr>
                  <w:r>
                    <w:rPr>
                      <w:color w:val="000000"/>
                    </w:rPr>
                    <w:noBreakHyphen/>
                  </w:r>
                  <w:r w:rsidRPr="00911F46">
                    <w:rPr>
                      <w:color w:val="000000"/>
                    </w:rPr>
                    <w:t>0.22</w:t>
                  </w:r>
                </w:p>
              </w:tc>
            </w:tr>
            <w:tr w:rsidR="00F05DC7" w:rsidRPr="00A75ED1" w14:paraId="7954CF15" w14:textId="77777777" w:rsidTr="00A3786D">
              <w:tc>
                <w:tcPr>
                  <w:tcW w:w="556" w:type="pct"/>
                  <w:shd w:val="clear" w:color="auto" w:fill="auto"/>
                </w:tcPr>
                <w:p w14:paraId="7954CF0C" w14:textId="77777777" w:rsidR="00F05DC7" w:rsidRPr="00911F46" w:rsidRDefault="00F05DC7" w:rsidP="00A3786D">
                  <w:pPr>
                    <w:pStyle w:val="TableBodyText"/>
                  </w:pPr>
                  <w:r w:rsidRPr="00911F46">
                    <w:t>2023</w:t>
                  </w:r>
                  <w:r>
                    <w:noBreakHyphen/>
                  </w:r>
                  <w:r w:rsidRPr="00911F46">
                    <w:t>24</w:t>
                  </w:r>
                </w:p>
              </w:tc>
              <w:tc>
                <w:tcPr>
                  <w:tcW w:w="557" w:type="pct"/>
                  <w:tcBorders>
                    <w:top w:val="nil"/>
                    <w:left w:val="nil"/>
                    <w:bottom w:val="nil"/>
                    <w:right w:val="nil"/>
                  </w:tcBorders>
                  <w:shd w:val="clear" w:color="auto" w:fill="auto"/>
                  <w:vAlign w:val="bottom"/>
                </w:tcPr>
                <w:p w14:paraId="7954CF0D" w14:textId="77777777" w:rsidR="00F05DC7" w:rsidRPr="00911F46" w:rsidRDefault="00F05DC7" w:rsidP="00A3786D">
                  <w:pPr>
                    <w:pStyle w:val="TableBodyText"/>
                  </w:pPr>
                  <w:r>
                    <w:rPr>
                      <w:color w:val="000000"/>
                    </w:rPr>
                    <w:noBreakHyphen/>
                  </w:r>
                  <w:r w:rsidRPr="00911F46">
                    <w:rPr>
                      <w:color w:val="000000"/>
                    </w:rPr>
                    <w:t>0.20</w:t>
                  </w:r>
                </w:p>
              </w:tc>
              <w:tc>
                <w:tcPr>
                  <w:tcW w:w="557" w:type="pct"/>
                  <w:tcBorders>
                    <w:top w:val="nil"/>
                    <w:left w:val="nil"/>
                    <w:bottom w:val="nil"/>
                    <w:right w:val="nil"/>
                  </w:tcBorders>
                  <w:shd w:val="clear" w:color="auto" w:fill="auto"/>
                  <w:vAlign w:val="bottom"/>
                </w:tcPr>
                <w:p w14:paraId="7954CF0E" w14:textId="77777777" w:rsidR="00F05DC7" w:rsidRPr="00911F46" w:rsidRDefault="00F05DC7" w:rsidP="00A3786D">
                  <w:pPr>
                    <w:pStyle w:val="TableBodyText"/>
                  </w:pPr>
                  <w:r w:rsidRPr="00911F46">
                    <w:rPr>
                      <w:color w:val="000000"/>
                    </w:rPr>
                    <w:t>0.57</w:t>
                  </w:r>
                </w:p>
              </w:tc>
              <w:tc>
                <w:tcPr>
                  <w:tcW w:w="556" w:type="pct"/>
                  <w:tcBorders>
                    <w:top w:val="nil"/>
                    <w:left w:val="nil"/>
                    <w:bottom w:val="nil"/>
                    <w:right w:val="nil"/>
                  </w:tcBorders>
                  <w:shd w:val="clear" w:color="auto" w:fill="auto"/>
                  <w:vAlign w:val="bottom"/>
                </w:tcPr>
                <w:p w14:paraId="7954CF0F" w14:textId="77777777" w:rsidR="00F05DC7" w:rsidRPr="00911F46" w:rsidRDefault="00F05DC7" w:rsidP="00A3786D">
                  <w:pPr>
                    <w:pStyle w:val="TableBodyText"/>
                  </w:pPr>
                  <w:r w:rsidRPr="00911F46">
                    <w:rPr>
                      <w:color w:val="000000"/>
                    </w:rPr>
                    <w:t>0.03</w:t>
                  </w:r>
                </w:p>
              </w:tc>
              <w:tc>
                <w:tcPr>
                  <w:tcW w:w="556" w:type="pct"/>
                  <w:tcBorders>
                    <w:top w:val="nil"/>
                    <w:left w:val="nil"/>
                    <w:bottom w:val="nil"/>
                    <w:right w:val="nil"/>
                  </w:tcBorders>
                  <w:shd w:val="clear" w:color="auto" w:fill="auto"/>
                  <w:vAlign w:val="bottom"/>
                </w:tcPr>
                <w:p w14:paraId="7954CF10" w14:textId="77777777" w:rsidR="00F05DC7" w:rsidRPr="00911F46" w:rsidRDefault="00F05DC7" w:rsidP="00A3786D">
                  <w:pPr>
                    <w:pStyle w:val="TableBodyText"/>
                  </w:pPr>
                  <w:r>
                    <w:rPr>
                      <w:color w:val="000000"/>
                    </w:rPr>
                    <w:noBreakHyphen/>
                  </w:r>
                  <w:r w:rsidRPr="00911F46">
                    <w:rPr>
                      <w:color w:val="000000"/>
                    </w:rPr>
                    <w:t>0.81</w:t>
                  </w:r>
                </w:p>
              </w:tc>
              <w:tc>
                <w:tcPr>
                  <w:tcW w:w="555" w:type="pct"/>
                  <w:tcBorders>
                    <w:top w:val="nil"/>
                    <w:left w:val="nil"/>
                    <w:bottom w:val="nil"/>
                    <w:right w:val="nil"/>
                  </w:tcBorders>
                  <w:shd w:val="clear" w:color="auto" w:fill="auto"/>
                  <w:vAlign w:val="bottom"/>
                </w:tcPr>
                <w:p w14:paraId="7954CF11" w14:textId="77777777" w:rsidR="00F05DC7" w:rsidRPr="00911F46" w:rsidRDefault="00F05DC7" w:rsidP="00A3786D">
                  <w:pPr>
                    <w:pStyle w:val="TableBodyText"/>
                  </w:pPr>
                  <w:r w:rsidRPr="00911F46">
                    <w:rPr>
                      <w:color w:val="000000"/>
                    </w:rPr>
                    <w:t>0.05</w:t>
                  </w:r>
                </w:p>
              </w:tc>
              <w:tc>
                <w:tcPr>
                  <w:tcW w:w="555" w:type="pct"/>
                  <w:tcBorders>
                    <w:top w:val="nil"/>
                    <w:left w:val="nil"/>
                    <w:bottom w:val="nil"/>
                    <w:right w:val="nil"/>
                  </w:tcBorders>
                  <w:shd w:val="clear" w:color="auto" w:fill="auto"/>
                  <w:vAlign w:val="bottom"/>
                </w:tcPr>
                <w:p w14:paraId="7954CF12" w14:textId="77777777" w:rsidR="00F05DC7" w:rsidRPr="00911F46" w:rsidRDefault="00F05DC7" w:rsidP="00A3786D">
                  <w:pPr>
                    <w:pStyle w:val="TableBodyText"/>
                  </w:pPr>
                  <w:r w:rsidRPr="00911F46">
                    <w:rPr>
                      <w:color w:val="000000"/>
                    </w:rPr>
                    <w:t>0.05</w:t>
                  </w:r>
                </w:p>
              </w:tc>
              <w:tc>
                <w:tcPr>
                  <w:tcW w:w="555" w:type="pct"/>
                  <w:tcBorders>
                    <w:top w:val="nil"/>
                    <w:left w:val="nil"/>
                    <w:bottom w:val="nil"/>
                    <w:right w:val="nil"/>
                  </w:tcBorders>
                  <w:shd w:val="clear" w:color="auto" w:fill="auto"/>
                  <w:vAlign w:val="bottom"/>
                </w:tcPr>
                <w:p w14:paraId="7954CF13" w14:textId="77777777" w:rsidR="00F05DC7" w:rsidRPr="00911F46" w:rsidRDefault="00F05DC7" w:rsidP="00A3786D">
                  <w:pPr>
                    <w:pStyle w:val="TableBodyText"/>
                  </w:pPr>
                  <w:r w:rsidRPr="00911F46">
                    <w:rPr>
                      <w:color w:val="000000"/>
                    </w:rPr>
                    <w:t>0.02</w:t>
                  </w:r>
                </w:p>
              </w:tc>
              <w:tc>
                <w:tcPr>
                  <w:tcW w:w="553" w:type="pct"/>
                  <w:tcBorders>
                    <w:top w:val="nil"/>
                    <w:left w:val="nil"/>
                    <w:bottom w:val="nil"/>
                    <w:right w:val="nil"/>
                  </w:tcBorders>
                  <w:shd w:val="clear" w:color="auto" w:fill="auto"/>
                  <w:vAlign w:val="bottom"/>
                </w:tcPr>
                <w:p w14:paraId="7954CF14" w14:textId="77777777" w:rsidR="00F05DC7" w:rsidRPr="00911F46" w:rsidRDefault="00F05DC7" w:rsidP="00A3786D">
                  <w:pPr>
                    <w:pStyle w:val="TableBodyText"/>
                  </w:pPr>
                  <w:r w:rsidRPr="00911F46">
                    <w:rPr>
                      <w:color w:val="000000"/>
                    </w:rPr>
                    <w:t>0.03</w:t>
                  </w:r>
                </w:p>
              </w:tc>
            </w:tr>
            <w:tr w:rsidR="00F05DC7" w:rsidRPr="00A75ED1" w14:paraId="7954CF1F" w14:textId="77777777" w:rsidTr="00A3786D">
              <w:tc>
                <w:tcPr>
                  <w:tcW w:w="556" w:type="pct"/>
                  <w:shd w:val="clear" w:color="auto" w:fill="auto"/>
                </w:tcPr>
                <w:p w14:paraId="7954CF16" w14:textId="77777777" w:rsidR="00F05DC7" w:rsidRPr="00911F46" w:rsidRDefault="00F05DC7" w:rsidP="00A3786D">
                  <w:pPr>
                    <w:pStyle w:val="TableBodyText"/>
                  </w:pPr>
                  <w:r w:rsidRPr="00911F46">
                    <w:t>2024</w:t>
                  </w:r>
                  <w:r>
                    <w:noBreakHyphen/>
                  </w:r>
                  <w:r w:rsidRPr="00911F46">
                    <w:t>25</w:t>
                  </w:r>
                </w:p>
              </w:tc>
              <w:tc>
                <w:tcPr>
                  <w:tcW w:w="557" w:type="pct"/>
                  <w:tcBorders>
                    <w:top w:val="nil"/>
                    <w:left w:val="nil"/>
                    <w:bottom w:val="nil"/>
                    <w:right w:val="nil"/>
                  </w:tcBorders>
                  <w:shd w:val="clear" w:color="auto" w:fill="auto"/>
                  <w:vAlign w:val="bottom"/>
                </w:tcPr>
                <w:p w14:paraId="7954CF17" w14:textId="77777777" w:rsidR="00F05DC7" w:rsidRPr="00911F46" w:rsidRDefault="00F05DC7" w:rsidP="00A3786D">
                  <w:pPr>
                    <w:pStyle w:val="TableBodyText"/>
                  </w:pPr>
                  <w:r w:rsidRPr="00911F46">
                    <w:rPr>
                      <w:color w:val="000000"/>
                    </w:rPr>
                    <w:t>0.00</w:t>
                  </w:r>
                </w:p>
              </w:tc>
              <w:tc>
                <w:tcPr>
                  <w:tcW w:w="557" w:type="pct"/>
                  <w:tcBorders>
                    <w:top w:val="nil"/>
                    <w:left w:val="nil"/>
                    <w:bottom w:val="nil"/>
                    <w:right w:val="nil"/>
                  </w:tcBorders>
                  <w:shd w:val="clear" w:color="auto" w:fill="auto"/>
                  <w:vAlign w:val="bottom"/>
                </w:tcPr>
                <w:p w14:paraId="7954CF18" w14:textId="77777777" w:rsidR="00F05DC7" w:rsidRPr="00911F46" w:rsidRDefault="00F05DC7" w:rsidP="00A3786D">
                  <w:pPr>
                    <w:pStyle w:val="TableBodyText"/>
                  </w:pPr>
                  <w:r w:rsidRPr="00911F46">
                    <w:rPr>
                      <w:color w:val="000000"/>
                    </w:rPr>
                    <w:t>0.01</w:t>
                  </w:r>
                </w:p>
              </w:tc>
              <w:tc>
                <w:tcPr>
                  <w:tcW w:w="556" w:type="pct"/>
                  <w:tcBorders>
                    <w:top w:val="nil"/>
                    <w:left w:val="nil"/>
                    <w:bottom w:val="nil"/>
                    <w:right w:val="nil"/>
                  </w:tcBorders>
                  <w:shd w:val="clear" w:color="auto" w:fill="auto"/>
                  <w:vAlign w:val="bottom"/>
                </w:tcPr>
                <w:p w14:paraId="7954CF19" w14:textId="77777777" w:rsidR="00F05DC7" w:rsidRPr="00911F46" w:rsidRDefault="00F05DC7" w:rsidP="00A3786D">
                  <w:pPr>
                    <w:pStyle w:val="TableBodyText"/>
                  </w:pPr>
                  <w:r>
                    <w:rPr>
                      <w:color w:val="000000"/>
                    </w:rPr>
                    <w:noBreakHyphen/>
                  </w:r>
                  <w:r w:rsidRPr="00911F46">
                    <w:rPr>
                      <w:color w:val="000000"/>
                    </w:rPr>
                    <w:t>0.09</w:t>
                  </w:r>
                </w:p>
              </w:tc>
              <w:tc>
                <w:tcPr>
                  <w:tcW w:w="556" w:type="pct"/>
                  <w:tcBorders>
                    <w:top w:val="nil"/>
                    <w:left w:val="nil"/>
                    <w:bottom w:val="nil"/>
                    <w:right w:val="nil"/>
                  </w:tcBorders>
                  <w:shd w:val="clear" w:color="auto" w:fill="auto"/>
                  <w:vAlign w:val="bottom"/>
                </w:tcPr>
                <w:p w14:paraId="7954CF1A" w14:textId="77777777" w:rsidR="00F05DC7" w:rsidRPr="00911F46" w:rsidRDefault="00F05DC7" w:rsidP="00A3786D">
                  <w:pPr>
                    <w:pStyle w:val="TableBodyText"/>
                  </w:pPr>
                  <w:r w:rsidRPr="00911F46">
                    <w:rPr>
                      <w:color w:val="000000"/>
                    </w:rPr>
                    <w:t>0.20</w:t>
                  </w:r>
                </w:p>
              </w:tc>
              <w:tc>
                <w:tcPr>
                  <w:tcW w:w="555" w:type="pct"/>
                  <w:tcBorders>
                    <w:top w:val="nil"/>
                    <w:left w:val="nil"/>
                    <w:bottom w:val="nil"/>
                    <w:right w:val="nil"/>
                  </w:tcBorders>
                  <w:shd w:val="clear" w:color="auto" w:fill="auto"/>
                  <w:vAlign w:val="bottom"/>
                </w:tcPr>
                <w:p w14:paraId="7954CF1B" w14:textId="77777777" w:rsidR="00F05DC7" w:rsidRPr="00911F46" w:rsidRDefault="00F05DC7" w:rsidP="00A3786D">
                  <w:pPr>
                    <w:pStyle w:val="TableBodyText"/>
                  </w:pPr>
                  <w:r>
                    <w:rPr>
                      <w:color w:val="000000"/>
                    </w:rPr>
                    <w:noBreakHyphen/>
                  </w:r>
                  <w:r w:rsidRPr="00911F46">
                    <w:rPr>
                      <w:color w:val="000000"/>
                    </w:rPr>
                    <w:t>0.08</w:t>
                  </w:r>
                </w:p>
              </w:tc>
              <w:tc>
                <w:tcPr>
                  <w:tcW w:w="555" w:type="pct"/>
                  <w:tcBorders>
                    <w:top w:val="nil"/>
                    <w:left w:val="nil"/>
                    <w:bottom w:val="nil"/>
                    <w:right w:val="nil"/>
                  </w:tcBorders>
                  <w:shd w:val="clear" w:color="auto" w:fill="auto"/>
                  <w:vAlign w:val="bottom"/>
                </w:tcPr>
                <w:p w14:paraId="7954CF1C" w14:textId="77777777" w:rsidR="00F05DC7" w:rsidRPr="00911F46" w:rsidRDefault="00F05DC7" w:rsidP="00A3786D">
                  <w:pPr>
                    <w:pStyle w:val="TableBodyText"/>
                  </w:pPr>
                  <w:r>
                    <w:rPr>
                      <w:color w:val="000000"/>
                    </w:rPr>
                    <w:noBreakHyphen/>
                  </w:r>
                  <w:r w:rsidRPr="00911F46">
                    <w:rPr>
                      <w:color w:val="000000"/>
                    </w:rPr>
                    <w:t>0.07</w:t>
                  </w:r>
                </w:p>
              </w:tc>
              <w:tc>
                <w:tcPr>
                  <w:tcW w:w="555" w:type="pct"/>
                  <w:tcBorders>
                    <w:top w:val="nil"/>
                    <w:left w:val="nil"/>
                    <w:bottom w:val="nil"/>
                    <w:right w:val="nil"/>
                  </w:tcBorders>
                  <w:shd w:val="clear" w:color="auto" w:fill="auto"/>
                  <w:vAlign w:val="bottom"/>
                </w:tcPr>
                <w:p w14:paraId="7954CF1D" w14:textId="77777777" w:rsidR="00F05DC7" w:rsidRPr="00911F46" w:rsidRDefault="00F05DC7" w:rsidP="00A3786D">
                  <w:pPr>
                    <w:pStyle w:val="TableBodyText"/>
                  </w:pPr>
                  <w:r>
                    <w:rPr>
                      <w:color w:val="000000"/>
                    </w:rPr>
                    <w:noBreakHyphen/>
                  </w:r>
                  <w:r w:rsidRPr="00911F46">
                    <w:rPr>
                      <w:color w:val="000000"/>
                    </w:rPr>
                    <w:t>0.07</w:t>
                  </w:r>
                </w:p>
              </w:tc>
              <w:tc>
                <w:tcPr>
                  <w:tcW w:w="553" w:type="pct"/>
                  <w:tcBorders>
                    <w:top w:val="nil"/>
                    <w:left w:val="nil"/>
                    <w:bottom w:val="nil"/>
                    <w:right w:val="nil"/>
                  </w:tcBorders>
                  <w:shd w:val="clear" w:color="auto" w:fill="auto"/>
                  <w:vAlign w:val="bottom"/>
                </w:tcPr>
                <w:p w14:paraId="7954CF1E" w14:textId="77777777" w:rsidR="00F05DC7" w:rsidRPr="00911F46" w:rsidRDefault="00F05DC7" w:rsidP="00A3786D">
                  <w:pPr>
                    <w:pStyle w:val="TableBodyText"/>
                  </w:pPr>
                  <w:r>
                    <w:rPr>
                      <w:color w:val="000000"/>
                    </w:rPr>
                    <w:noBreakHyphen/>
                  </w:r>
                  <w:r w:rsidRPr="00911F46">
                    <w:rPr>
                      <w:color w:val="000000"/>
                    </w:rPr>
                    <w:t>0.03</w:t>
                  </w:r>
                </w:p>
              </w:tc>
            </w:tr>
            <w:tr w:rsidR="00F05DC7" w:rsidRPr="00A75ED1" w14:paraId="7954CF29" w14:textId="77777777" w:rsidTr="00A3786D">
              <w:tc>
                <w:tcPr>
                  <w:tcW w:w="556" w:type="pct"/>
                  <w:shd w:val="clear" w:color="auto" w:fill="auto"/>
                </w:tcPr>
                <w:p w14:paraId="7954CF20" w14:textId="77777777" w:rsidR="00F05DC7" w:rsidRPr="00911F46" w:rsidRDefault="00F05DC7" w:rsidP="00A3786D">
                  <w:pPr>
                    <w:pStyle w:val="TableBodyText"/>
                  </w:pPr>
                  <w:r w:rsidRPr="00911F46">
                    <w:t>2025</w:t>
                  </w:r>
                  <w:r>
                    <w:noBreakHyphen/>
                  </w:r>
                  <w:r w:rsidRPr="00911F46">
                    <w:t>26</w:t>
                  </w:r>
                </w:p>
              </w:tc>
              <w:tc>
                <w:tcPr>
                  <w:tcW w:w="557" w:type="pct"/>
                  <w:tcBorders>
                    <w:top w:val="nil"/>
                    <w:left w:val="nil"/>
                    <w:bottom w:val="nil"/>
                    <w:right w:val="nil"/>
                  </w:tcBorders>
                  <w:shd w:val="clear" w:color="auto" w:fill="auto"/>
                  <w:vAlign w:val="bottom"/>
                </w:tcPr>
                <w:p w14:paraId="7954CF21" w14:textId="77777777" w:rsidR="00F05DC7" w:rsidRPr="00911F46" w:rsidRDefault="00F05DC7" w:rsidP="00A3786D">
                  <w:pPr>
                    <w:pStyle w:val="TableBodyText"/>
                  </w:pPr>
                  <w:r w:rsidRPr="00911F46">
                    <w:rPr>
                      <w:color w:val="000000"/>
                    </w:rPr>
                    <w:t>0.00</w:t>
                  </w:r>
                </w:p>
              </w:tc>
              <w:tc>
                <w:tcPr>
                  <w:tcW w:w="557" w:type="pct"/>
                  <w:tcBorders>
                    <w:top w:val="nil"/>
                    <w:left w:val="nil"/>
                    <w:bottom w:val="nil"/>
                    <w:right w:val="nil"/>
                  </w:tcBorders>
                  <w:shd w:val="clear" w:color="auto" w:fill="auto"/>
                  <w:vAlign w:val="bottom"/>
                </w:tcPr>
                <w:p w14:paraId="7954CF22" w14:textId="77777777" w:rsidR="00F05DC7" w:rsidRPr="00911F46" w:rsidRDefault="00F05DC7" w:rsidP="00A3786D">
                  <w:pPr>
                    <w:pStyle w:val="TableBodyText"/>
                  </w:pPr>
                  <w:r w:rsidRPr="00911F46">
                    <w:rPr>
                      <w:color w:val="000000"/>
                    </w:rPr>
                    <w:t>0.01</w:t>
                  </w:r>
                </w:p>
              </w:tc>
              <w:tc>
                <w:tcPr>
                  <w:tcW w:w="556" w:type="pct"/>
                  <w:tcBorders>
                    <w:top w:val="nil"/>
                    <w:left w:val="nil"/>
                    <w:bottom w:val="nil"/>
                    <w:right w:val="nil"/>
                  </w:tcBorders>
                  <w:shd w:val="clear" w:color="auto" w:fill="auto"/>
                  <w:vAlign w:val="bottom"/>
                </w:tcPr>
                <w:p w14:paraId="7954CF23" w14:textId="77777777" w:rsidR="00F05DC7" w:rsidRPr="00911F46" w:rsidRDefault="00F05DC7" w:rsidP="00A3786D">
                  <w:pPr>
                    <w:pStyle w:val="TableBodyText"/>
                  </w:pPr>
                  <w:r>
                    <w:rPr>
                      <w:color w:val="000000"/>
                    </w:rPr>
                    <w:noBreakHyphen/>
                  </w:r>
                  <w:r w:rsidRPr="00911F46">
                    <w:rPr>
                      <w:color w:val="000000"/>
                    </w:rPr>
                    <w:t>0.09</w:t>
                  </w:r>
                </w:p>
              </w:tc>
              <w:tc>
                <w:tcPr>
                  <w:tcW w:w="556" w:type="pct"/>
                  <w:tcBorders>
                    <w:top w:val="nil"/>
                    <w:left w:val="nil"/>
                    <w:bottom w:val="nil"/>
                    <w:right w:val="nil"/>
                  </w:tcBorders>
                  <w:shd w:val="clear" w:color="auto" w:fill="auto"/>
                  <w:vAlign w:val="bottom"/>
                </w:tcPr>
                <w:p w14:paraId="7954CF24" w14:textId="77777777" w:rsidR="00F05DC7" w:rsidRPr="00911F46" w:rsidRDefault="00F05DC7" w:rsidP="00A3786D">
                  <w:pPr>
                    <w:pStyle w:val="TableBodyText"/>
                  </w:pPr>
                  <w:r w:rsidRPr="00911F46">
                    <w:rPr>
                      <w:color w:val="000000"/>
                    </w:rPr>
                    <w:t>0.20</w:t>
                  </w:r>
                </w:p>
              </w:tc>
              <w:tc>
                <w:tcPr>
                  <w:tcW w:w="555" w:type="pct"/>
                  <w:tcBorders>
                    <w:top w:val="nil"/>
                    <w:left w:val="nil"/>
                    <w:bottom w:val="nil"/>
                    <w:right w:val="nil"/>
                  </w:tcBorders>
                  <w:shd w:val="clear" w:color="auto" w:fill="auto"/>
                  <w:vAlign w:val="bottom"/>
                </w:tcPr>
                <w:p w14:paraId="7954CF25" w14:textId="77777777" w:rsidR="00F05DC7" w:rsidRPr="00911F46" w:rsidRDefault="00F05DC7" w:rsidP="00A3786D">
                  <w:pPr>
                    <w:pStyle w:val="TableBodyText"/>
                  </w:pPr>
                  <w:r>
                    <w:rPr>
                      <w:color w:val="000000"/>
                    </w:rPr>
                    <w:noBreakHyphen/>
                  </w:r>
                  <w:r w:rsidRPr="00911F46">
                    <w:rPr>
                      <w:color w:val="000000"/>
                    </w:rPr>
                    <w:t>0.08</w:t>
                  </w:r>
                </w:p>
              </w:tc>
              <w:tc>
                <w:tcPr>
                  <w:tcW w:w="555" w:type="pct"/>
                  <w:tcBorders>
                    <w:top w:val="nil"/>
                    <w:left w:val="nil"/>
                    <w:bottom w:val="nil"/>
                    <w:right w:val="nil"/>
                  </w:tcBorders>
                  <w:shd w:val="clear" w:color="auto" w:fill="auto"/>
                  <w:vAlign w:val="bottom"/>
                </w:tcPr>
                <w:p w14:paraId="7954CF26" w14:textId="77777777" w:rsidR="00F05DC7" w:rsidRPr="00911F46" w:rsidRDefault="00F05DC7" w:rsidP="00A3786D">
                  <w:pPr>
                    <w:pStyle w:val="TableBodyText"/>
                  </w:pPr>
                  <w:r>
                    <w:rPr>
                      <w:color w:val="000000"/>
                    </w:rPr>
                    <w:noBreakHyphen/>
                  </w:r>
                  <w:r w:rsidRPr="00911F46">
                    <w:rPr>
                      <w:color w:val="000000"/>
                    </w:rPr>
                    <w:t>0.07</w:t>
                  </w:r>
                </w:p>
              </w:tc>
              <w:tc>
                <w:tcPr>
                  <w:tcW w:w="555" w:type="pct"/>
                  <w:tcBorders>
                    <w:top w:val="nil"/>
                    <w:left w:val="nil"/>
                    <w:bottom w:val="nil"/>
                    <w:right w:val="nil"/>
                  </w:tcBorders>
                  <w:shd w:val="clear" w:color="auto" w:fill="auto"/>
                  <w:vAlign w:val="bottom"/>
                </w:tcPr>
                <w:p w14:paraId="7954CF27" w14:textId="77777777" w:rsidR="00F05DC7" w:rsidRPr="00911F46" w:rsidRDefault="00F05DC7" w:rsidP="00A3786D">
                  <w:pPr>
                    <w:pStyle w:val="TableBodyText"/>
                  </w:pPr>
                  <w:r>
                    <w:rPr>
                      <w:color w:val="000000"/>
                    </w:rPr>
                    <w:noBreakHyphen/>
                  </w:r>
                  <w:r w:rsidRPr="00911F46">
                    <w:rPr>
                      <w:color w:val="000000"/>
                    </w:rPr>
                    <w:t>0.07</w:t>
                  </w:r>
                </w:p>
              </w:tc>
              <w:tc>
                <w:tcPr>
                  <w:tcW w:w="553" w:type="pct"/>
                  <w:tcBorders>
                    <w:top w:val="nil"/>
                    <w:left w:val="nil"/>
                    <w:bottom w:val="nil"/>
                    <w:right w:val="nil"/>
                  </w:tcBorders>
                  <w:shd w:val="clear" w:color="auto" w:fill="auto"/>
                  <w:vAlign w:val="bottom"/>
                </w:tcPr>
                <w:p w14:paraId="7954CF28" w14:textId="77777777" w:rsidR="00F05DC7" w:rsidRPr="00911F46" w:rsidRDefault="00F05DC7" w:rsidP="00A3786D">
                  <w:pPr>
                    <w:pStyle w:val="TableBodyText"/>
                  </w:pPr>
                  <w:r>
                    <w:rPr>
                      <w:color w:val="000000"/>
                    </w:rPr>
                    <w:noBreakHyphen/>
                  </w:r>
                  <w:r w:rsidRPr="00911F46">
                    <w:rPr>
                      <w:color w:val="000000"/>
                    </w:rPr>
                    <w:t>0.03</w:t>
                  </w:r>
                </w:p>
              </w:tc>
            </w:tr>
            <w:tr w:rsidR="00F05DC7" w:rsidRPr="00A75ED1" w14:paraId="7954CF33" w14:textId="77777777" w:rsidTr="00A3786D">
              <w:tc>
                <w:tcPr>
                  <w:tcW w:w="556" w:type="pct"/>
                  <w:tcBorders>
                    <w:bottom w:val="single" w:sz="6" w:space="0" w:color="D9D9D9" w:themeColor="background1" w:themeShade="D9"/>
                  </w:tcBorders>
                  <w:shd w:val="clear" w:color="auto" w:fill="auto"/>
                </w:tcPr>
                <w:p w14:paraId="7954CF2A" w14:textId="77777777" w:rsidR="00F05DC7" w:rsidRPr="00911F46" w:rsidRDefault="00F05DC7" w:rsidP="00A3786D">
                  <w:pPr>
                    <w:pStyle w:val="TableBodyText"/>
                  </w:pPr>
                  <w:r w:rsidRPr="00911F46">
                    <w:t>2026</w:t>
                  </w:r>
                  <w:r>
                    <w:noBreakHyphen/>
                  </w:r>
                  <w:r w:rsidRPr="00911F46">
                    <w:t>27</w:t>
                  </w:r>
                </w:p>
              </w:tc>
              <w:tc>
                <w:tcPr>
                  <w:tcW w:w="557" w:type="pct"/>
                  <w:tcBorders>
                    <w:top w:val="nil"/>
                    <w:left w:val="nil"/>
                    <w:bottom w:val="single" w:sz="6" w:space="0" w:color="D9D9D9" w:themeColor="background1" w:themeShade="D9"/>
                    <w:right w:val="nil"/>
                  </w:tcBorders>
                  <w:shd w:val="clear" w:color="auto" w:fill="auto"/>
                  <w:vAlign w:val="bottom"/>
                </w:tcPr>
                <w:p w14:paraId="7954CF2B" w14:textId="77777777" w:rsidR="00F05DC7" w:rsidRPr="00911F46" w:rsidRDefault="00F05DC7" w:rsidP="00A3786D">
                  <w:pPr>
                    <w:pStyle w:val="TableBodyText"/>
                  </w:pPr>
                  <w:r w:rsidRPr="00911F46">
                    <w:rPr>
                      <w:color w:val="000000"/>
                    </w:rPr>
                    <w:t>0.00</w:t>
                  </w:r>
                </w:p>
              </w:tc>
              <w:tc>
                <w:tcPr>
                  <w:tcW w:w="557" w:type="pct"/>
                  <w:tcBorders>
                    <w:top w:val="nil"/>
                    <w:left w:val="nil"/>
                    <w:bottom w:val="single" w:sz="6" w:space="0" w:color="D9D9D9" w:themeColor="background1" w:themeShade="D9"/>
                    <w:right w:val="nil"/>
                  </w:tcBorders>
                  <w:shd w:val="clear" w:color="auto" w:fill="auto"/>
                  <w:vAlign w:val="bottom"/>
                </w:tcPr>
                <w:p w14:paraId="7954CF2C" w14:textId="77777777" w:rsidR="00F05DC7" w:rsidRPr="00911F46" w:rsidRDefault="00F05DC7" w:rsidP="00A3786D">
                  <w:pPr>
                    <w:pStyle w:val="TableBodyText"/>
                  </w:pPr>
                  <w:r w:rsidRPr="00911F46">
                    <w:rPr>
                      <w:color w:val="000000"/>
                    </w:rPr>
                    <w:t>0.02</w:t>
                  </w:r>
                </w:p>
              </w:tc>
              <w:tc>
                <w:tcPr>
                  <w:tcW w:w="556" w:type="pct"/>
                  <w:tcBorders>
                    <w:top w:val="nil"/>
                    <w:left w:val="nil"/>
                    <w:bottom w:val="single" w:sz="6" w:space="0" w:color="D9D9D9" w:themeColor="background1" w:themeShade="D9"/>
                    <w:right w:val="nil"/>
                  </w:tcBorders>
                  <w:shd w:val="clear" w:color="auto" w:fill="auto"/>
                  <w:vAlign w:val="bottom"/>
                </w:tcPr>
                <w:p w14:paraId="7954CF2D" w14:textId="77777777" w:rsidR="00F05DC7" w:rsidRPr="00911F46" w:rsidRDefault="00F05DC7" w:rsidP="00A3786D">
                  <w:pPr>
                    <w:pStyle w:val="TableBodyText"/>
                  </w:pPr>
                  <w:r>
                    <w:rPr>
                      <w:color w:val="000000"/>
                    </w:rPr>
                    <w:noBreakHyphen/>
                  </w:r>
                  <w:r w:rsidRPr="00911F46">
                    <w:rPr>
                      <w:color w:val="000000"/>
                    </w:rPr>
                    <w:t>0.09</w:t>
                  </w:r>
                </w:p>
              </w:tc>
              <w:tc>
                <w:tcPr>
                  <w:tcW w:w="556" w:type="pct"/>
                  <w:tcBorders>
                    <w:top w:val="nil"/>
                    <w:left w:val="nil"/>
                    <w:bottom w:val="single" w:sz="6" w:space="0" w:color="D9D9D9" w:themeColor="background1" w:themeShade="D9"/>
                    <w:right w:val="nil"/>
                  </w:tcBorders>
                  <w:shd w:val="clear" w:color="auto" w:fill="auto"/>
                  <w:vAlign w:val="bottom"/>
                </w:tcPr>
                <w:p w14:paraId="7954CF2E" w14:textId="77777777" w:rsidR="00F05DC7" w:rsidRPr="00911F46" w:rsidRDefault="00F05DC7" w:rsidP="00A3786D">
                  <w:pPr>
                    <w:pStyle w:val="TableBodyText"/>
                  </w:pPr>
                  <w:r w:rsidRPr="00911F46">
                    <w:rPr>
                      <w:color w:val="000000"/>
                    </w:rPr>
                    <w:t>0.21</w:t>
                  </w:r>
                </w:p>
              </w:tc>
              <w:tc>
                <w:tcPr>
                  <w:tcW w:w="555" w:type="pct"/>
                  <w:tcBorders>
                    <w:top w:val="nil"/>
                    <w:left w:val="nil"/>
                    <w:bottom w:val="single" w:sz="6" w:space="0" w:color="D9D9D9" w:themeColor="background1" w:themeShade="D9"/>
                    <w:right w:val="nil"/>
                  </w:tcBorders>
                  <w:shd w:val="clear" w:color="auto" w:fill="auto"/>
                  <w:vAlign w:val="bottom"/>
                </w:tcPr>
                <w:p w14:paraId="7954CF2F" w14:textId="77777777" w:rsidR="00F05DC7" w:rsidRPr="00911F46" w:rsidRDefault="00F05DC7" w:rsidP="00A3786D">
                  <w:pPr>
                    <w:pStyle w:val="TableBodyText"/>
                  </w:pPr>
                  <w:r>
                    <w:rPr>
                      <w:color w:val="000000"/>
                    </w:rPr>
                    <w:noBreakHyphen/>
                  </w:r>
                  <w:r w:rsidRPr="00911F46">
                    <w:rPr>
                      <w:color w:val="000000"/>
                    </w:rPr>
                    <w:t>0.08</w:t>
                  </w:r>
                </w:p>
              </w:tc>
              <w:tc>
                <w:tcPr>
                  <w:tcW w:w="555" w:type="pct"/>
                  <w:tcBorders>
                    <w:top w:val="nil"/>
                    <w:left w:val="nil"/>
                    <w:bottom w:val="single" w:sz="6" w:space="0" w:color="D9D9D9" w:themeColor="background1" w:themeShade="D9"/>
                    <w:right w:val="nil"/>
                  </w:tcBorders>
                  <w:shd w:val="clear" w:color="auto" w:fill="auto"/>
                  <w:vAlign w:val="bottom"/>
                </w:tcPr>
                <w:p w14:paraId="7954CF30" w14:textId="77777777" w:rsidR="00F05DC7" w:rsidRPr="00911F46" w:rsidRDefault="00F05DC7" w:rsidP="00A3786D">
                  <w:pPr>
                    <w:pStyle w:val="TableBodyText"/>
                  </w:pPr>
                  <w:r>
                    <w:rPr>
                      <w:color w:val="000000"/>
                    </w:rPr>
                    <w:noBreakHyphen/>
                  </w:r>
                  <w:r w:rsidRPr="00911F46">
                    <w:rPr>
                      <w:color w:val="000000"/>
                    </w:rPr>
                    <w:t>0.07</w:t>
                  </w:r>
                </w:p>
              </w:tc>
              <w:tc>
                <w:tcPr>
                  <w:tcW w:w="555" w:type="pct"/>
                  <w:tcBorders>
                    <w:top w:val="nil"/>
                    <w:left w:val="nil"/>
                    <w:bottom w:val="single" w:sz="6" w:space="0" w:color="D9D9D9" w:themeColor="background1" w:themeShade="D9"/>
                    <w:right w:val="nil"/>
                  </w:tcBorders>
                  <w:shd w:val="clear" w:color="auto" w:fill="auto"/>
                  <w:vAlign w:val="bottom"/>
                </w:tcPr>
                <w:p w14:paraId="7954CF31" w14:textId="77777777" w:rsidR="00F05DC7" w:rsidRPr="00911F46" w:rsidRDefault="00F05DC7" w:rsidP="00A3786D">
                  <w:pPr>
                    <w:pStyle w:val="TableBodyText"/>
                  </w:pPr>
                  <w:r>
                    <w:rPr>
                      <w:color w:val="000000"/>
                    </w:rPr>
                    <w:noBreakHyphen/>
                  </w:r>
                  <w:r w:rsidRPr="00911F46">
                    <w:rPr>
                      <w:color w:val="000000"/>
                    </w:rPr>
                    <w:t>0.07</w:t>
                  </w:r>
                </w:p>
              </w:tc>
              <w:tc>
                <w:tcPr>
                  <w:tcW w:w="553" w:type="pct"/>
                  <w:tcBorders>
                    <w:top w:val="nil"/>
                    <w:left w:val="nil"/>
                    <w:bottom w:val="single" w:sz="6" w:space="0" w:color="D9D9D9" w:themeColor="background1" w:themeShade="D9"/>
                    <w:right w:val="nil"/>
                  </w:tcBorders>
                  <w:shd w:val="clear" w:color="auto" w:fill="auto"/>
                  <w:vAlign w:val="bottom"/>
                </w:tcPr>
                <w:p w14:paraId="7954CF32" w14:textId="77777777" w:rsidR="00F05DC7" w:rsidRPr="00911F46" w:rsidRDefault="00F05DC7" w:rsidP="00A3786D">
                  <w:pPr>
                    <w:pStyle w:val="TableBodyText"/>
                  </w:pPr>
                  <w:r>
                    <w:rPr>
                      <w:color w:val="000000"/>
                    </w:rPr>
                    <w:noBreakHyphen/>
                  </w:r>
                  <w:r w:rsidRPr="00911F46">
                    <w:rPr>
                      <w:color w:val="000000"/>
                    </w:rPr>
                    <w:t>0.03</w:t>
                  </w:r>
                </w:p>
              </w:tc>
            </w:tr>
          </w:tbl>
          <w:p w14:paraId="7954CF34" w14:textId="77777777" w:rsidR="00F05DC7" w:rsidRPr="006C0046" w:rsidRDefault="00F05DC7" w:rsidP="00A3786D">
            <w:pPr>
              <w:pStyle w:val="Box"/>
              <w:rPr>
                <w:rFonts w:asciiTheme="minorHAnsi" w:hAnsiTheme="minorHAnsi" w:cstheme="minorHAnsi"/>
                <w:sz w:val="18"/>
                <w:szCs w:val="18"/>
              </w:rPr>
            </w:pPr>
          </w:p>
        </w:tc>
      </w:tr>
      <w:tr w:rsidR="00F05DC7" w14:paraId="7954CF37" w14:textId="77777777" w:rsidTr="00A3786D">
        <w:tc>
          <w:tcPr>
            <w:tcW w:w="5000" w:type="pct"/>
            <w:tcBorders>
              <w:top w:val="nil"/>
              <w:left w:val="nil"/>
              <w:bottom w:val="nil"/>
              <w:right w:val="nil"/>
            </w:tcBorders>
            <w:shd w:val="clear" w:color="auto" w:fill="auto"/>
          </w:tcPr>
          <w:p w14:paraId="7954CF36" w14:textId="77777777" w:rsidR="00F05DC7" w:rsidRDefault="00F05DC7" w:rsidP="00A3786D">
            <w:pPr>
              <w:pStyle w:val="Source"/>
            </w:pPr>
            <w:r w:rsidRPr="00355172">
              <w:rPr>
                <w:i/>
              </w:rPr>
              <w:t>Source</w:t>
            </w:r>
            <w:r w:rsidRPr="00676CAE">
              <w:t>:</w:t>
            </w:r>
            <w:r w:rsidRPr="00355172">
              <w:rPr>
                <w:i/>
              </w:rPr>
              <w:t xml:space="preserve"> </w:t>
            </w:r>
            <w:r w:rsidRPr="00676CAE">
              <w:t>Productivity Commission estimates.</w:t>
            </w:r>
            <w:r>
              <w:rPr>
                <w:i/>
              </w:rPr>
              <w:t xml:space="preserve"> </w:t>
            </w:r>
          </w:p>
        </w:tc>
      </w:tr>
      <w:tr w:rsidR="00F05DC7" w14:paraId="7954CF39" w14:textId="77777777" w:rsidTr="00A3786D">
        <w:tc>
          <w:tcPr>
            <w:tcW w:w="5000" w:type="pct"/>
            <w:tcBorders>
              <w:top w:val="nil"/>
              <w:left w:val="nil"/>
              <w:bottom w:val="single" w:sz="6" w:space="0" w:color="78A22F"/>
              <w:right w:val="nil"/>
            </w:tcBorders>
            <w:shd w:val="clear" w:color="auto" w:fill="auto"/>
          </w:tcPr>
          <w:p w14:paraId="7954CF38" w14:textId="77777777" w:rsidR="00F05DC7" w:rsidRDefault="00F05DC7" w:rsidP="00A3786D">
            <w:pPr>
              <w:pStyle w:val="Box"/>
              <w:spacing w:before="0" w:line="120" w:lineRule="exact"/>
            </w:pPr>
          </w:p>
        </w:tc>
      </w:tr>
      <w:tr w:rsidR="00F05DC7" w:rsidRPr="000863A5" w14:paraId="7954CF3B" w14:textId="77777777" w:rsidTr="00A3786D">
        <w:tc>
          <w:tcPr>
            <w:tcW w:w="5000" w:type="pct"/>
            <w:tcBorders>
              <w:top w:val="single" w:sz="6" w:space="0" w:color="78A22F"/>
              <w:left w:val="nil"/>
              <w:bottom w:val="nil"/>
              <w:right w:val="nil"/>
            </w:tcBorders>
          </w:tcPr>
          <w:p w14:paraId="7954CF3A" w14:textId="77777777" w:rsidR="00F05DC7" w:rsidRPr="00626D32" w:rsidRDefault="00F05DC7" w:rsidP="00A3786D">
            <w:pPr>
              <w:pStyle w:val="BoxSpaceBelow"/>
            </w:pPr>
          </w:p>
        </w:tc>
      </w:tr>
    </w:tbl>
    <w:p w14:paraId="7954CF3C"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CF3F" w14:textId="77777777" w:rsidTr="00A3786D">
        <w:trPr>
          <w:tblHeader/>
        </w:trPr>
        <w:tc>
          <w:tcPr>
            <w:tcW w:w="5000" w:type="pct"/>
            <w:tcBorders>
              <w:top w:val="single" w:sz="6" w:space="0" w:color="78A22F"/>
              <w:left w:val="nil"/>
              <w:bottom w:val="nil"/>
              <w:right w:val="nil"/>
            </w:tcBorders>
            <w:shd w:val="clear" w:color="auto" w:fill="auto"/>
          </w:tcPr>
          <w:p w14:paraId="7954CF3D" w14:textId="108751E7" w:rsidR="00F05DC7" w:rsidRDefault="00F05DC7" w:rsidP="00A3786D">
            <w:pPr>
              <w:pStyle w:val="TableTitle"/>
            </w:pPr>
            <w:r>
              <w:rPr>
                <w:b w:val="0"/>
              </w:rPr>
              <w:t>Table F.A4</w:t>
            </w:r>
            <w:r>
              <w:tab/>
              <w:t>Alternative scenario (long run trend): yearly budget adjustment due to change to ETA — eight year transition</w:t>
            </w:r>
            <w:r w:rsidDel="00E03FB9">
              <w:t xml:space="preserve"> </w:t>
            </w:r>
          </w:p>
          <w:p w14:paraId="7954CF3E" w14:textId="77777777" w:rsidR="00F05DC7" w:rsidRPr="00784A05" w:rsidRDefault="00F05DC7" w:rsidP="00A3786D">
            <w:pPr>
              <w:pStyle w:val="Subtitle"/>
            </w:pPr>
            <w:r>
              <w:t>Year-on-year change (incremental change from previous year) in GST payments (relative to the current benchmark), eight year transition</w:t>
            </w:r>
          </w:p>
        </w:tc>
      </w:tr>
      <w:tr w:rsidR="00F05DC7" w14:paraId="7954D041"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CF49"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CF40"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CF41"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CF42"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CF43"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CF44"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CF45"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CF46"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CF47"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CF48"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CF4B" w14:textId="77777777" w:rsidTr="00A3786D">
              <w:tc>
                <w:tcPr>
                  <w:tcW w:w="5000" w:type="pct"/>
                  <w:gridSpan w:val="9"/>
                  <w:tcBorders>
                    <w:top w:val="single" w:sz="6" w:space="0" w:color="BFBFBF"/>
                  </w:tcBorders>
                  <w:shd w:val="clear" w:color="auto" w:fill="F2F2F2" w:themeFill="background1" w:themeFillShade="F2"/>
                </w:tcPr>
                <w:p w14:paraId="7954CF4A"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CF55" w14:textId="77777777" w:rsidTr="00A3786D">
              <w:tc>
                <w:tcPr>
                  <w:tcW w:w="556" w:type="pct"/>
                  <w:vAlign w:val="bottom"/>
                </w:tcPr>
                <w:p w14:paraId="7954CF4C"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CF4D" w14:textId="77777777" w:rsidR="00F05DC7" w:rsidRPr="00A75ED1" w:rsidRDefault="00F05DC7" w:rsidP="00A3786D">
                  <w:pPr>
                    <w:pStyle w:val="TableBodyText"/>
                    <w:rPr>
                      <w:rFonts w:cs="Arial"/>
                      <w:szCs w:val="18"/>
                    </w:rPr>
                  </w:pPr>
                  <w:r w:rsidRPr="00A75ED1">
                    <w:rPr>
                      <w:rFonts w:cs="Arial"/>
                      <w:color w:val="000000"/>
                      <w:szCs w:val="18"/>
                    </w:rPr>
                    <w:t>88</w:t>
                  </w:r>
                </w:p>
              </w:tc>
              <w:tc>
                <w:tcPr>
                  <w:tcW w:w="557" w:type="pct"/>
                  <w:tcBorders>
                    <w:top w:val="nil"/>
                    <w:left w:val="nil"/>
                    <w:bottom w:val="nil"/>
                    <w:right w:val="nil"/>
                  </w:tcBorders>
                  <w:shd w:val="clear" w:color="auto" w:fill="FFFFFF" w:themeFill="background1"/>
                  <w:vAlign w:val="bottom"/>
                </w:tcPr>
                <w:p w14:paraId="7954CF4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157</w:t>
                  </w:r>
                </w:p>
              </w:tc>
              <w:tc>
                <w:tcPr>
                  <w:tcW w:w="556" w:type="pct"/>
                  <w:tcBorders>
                    <w:top w:val="nil"/>
                    <w:left w:val="nil"/>
                    <w:bottom w:val="nil"/>
                    <w:right w:val="nil"/>
                  </w:tcBorders>
                  <w:shd w:val="clear" w:color="auto" w:fill="FFFFFF" w:themeFill="background1"/>
                  <w:vAlign w:val="bottom"/>
                </w:tcPr>
                <w:p w14:paraId="7954CF4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168</w:t>
                  </w:r>
                </w:p>
              </w:tc>
              <w:tc>
                <w:tcPr>
                  <w:tcW w:w="556" w:type="pct"/>
                  <w:tcBorders>
                    <w:top w:val="nil"/>
                    <w:left w:val="nil"/>
                    <w:bottom w:val="nil"/>
                    <w:right w:val="nil"/>
                  </w:tcBorders>
                  <w:shd w:val="clear" w:color="auto" w:fill="FFFFFF" w:themeFill="background1"/>
                  <w:vAlign w:val="bottom"/>
                </w:tcPr>
                <w:p w14:paraId="7954CF50" w14:textId="77777777" w:rsidR="00F05DC7" w:rsidRPr="00A75ED1" w:rsidRDefault="00F05DC7" w:rsidP="00A3786D">
                  <w:pPr>
                    <w:pStyle w:val="TableBodyText"/>
                    <w:rPr>
                      <w:rFonts w:cs="Arial"/>
                      <w:szCs w:val="18"/>
                    </w:rPr>
                  </w:pPr>
                  <w:r w:rsidRPr="00A75ED1">
                    <w:rPr>
                      <w:rFonts w:cs="Arial"/>
                      <w:color w:val="000000"/>
                      <w:szCs w:val="18"/>
                    </w:rPr>
                    <w:t>334</w:t>
                  </w:r>
                </w:p>
              </w:tc>
              <w:tc>
                <w:tcPr>
                  <w:tcW w:w="555" w:type="pct"/>
                  <w:tcBorders>
                    <w:top w:val="nil"/>
                    <w:left w:val="nil"/>
                    <w:bottom w:val="nil"/>
                    <w:right w:val="nil"/>
                  </w:tcBorders>
                  <w:shd w:val="clear" w:color="auto" w:fill="FFFFFF" w:themeFill="background1"/>
                  <w:vAlign w:val="bottom"/>
                </w:tcPr>
                <w:p w14:paraId="7954CF5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58</w:t>
                  </w:r>
                </w:p>
              </w:tc>
              <w:tc>
                <w:tcPr>
                  <w:tcW w:w="555" w:type="pct"/>
                  <w:tcBorders>
                    <w:top w:val="nil"/>
                    <w:left w:val="nil"/>
                    <w:bottom w:val="nil"/>
                    <w:right w:val="nil"/>
                  </w:tcBorders>
                  <w:shd w:val="clear" w:color="auto" w:fill="FFFFFF" w:themeFill="background1"/>
                  <w:vAlign w:val="bottom"/>
                </w:tcPr>
                <w:p w14:paraId="7954CF5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w:t>
                  </w:r>
                </w:p>
              </w:tc>
              <w:tc>
                <w:tcPr>
                  <w:tcW w:w="555" w:type="pct"/>
                  <w:tcBorders>
                    <w:top w:val="nil"/>
                    <w:left w:val="nil"/>
                    <w:bottom w:val="nil"/>
                    <w:right w:val="nil"/>
                  </w:tcBorders>
                  <w:shd w:val="clear" w:color="auto" w:fill="FFFFFF" w:themeFill="background1"/>
                  <w:vAlign w:val="bottom"/>
                </w:tcPr>
                <w:p w14:paraId="7954CF5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w:t>
                  </w:r>
                </w:p>
              </w:tc>
              <w:tc>
                <w:tcPr>
                  <w:tcW w:w="553" w:type="pct"/>
                  <w:tcBorders>
                    <w:top w:val="nil"/>
                    <w:left w:val="nil"/>
                    <w:bottom w:val="nil"/>
                    <w:right w:val="nil"/>
                  </w:tcBorders>
                  <w:shd w:val="clear" w:color="auto" w:fill="FFFFFF" w:themeFill="background1"/>
                  <w:vAlign w:val="bottom"/>
                </w:tcPr>
                <w:p w14:paraId="7954CF5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w:t>
                  </w:r>
                </w:p>
              </w:tc>
            </w:tr>
            <w:tr w:rsidR="00F05DC7" w:rsidRPr="00A75ED1" w14:paraId="7954CF5F" w14:textId="77777777" w:rsidTr="00A3786D">
              <w:tc>
                <w:tcPr>
                  <w:tcW w:w="556" w:type="pct"/>
                  <w:vAlign w:val="bottom"/>
                </w:tcPr>
                <w:p w14:paraId="7954CF56"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CF57" w14:textId="77777777" w:rsidR="00F05DC7" w:rsidRPr="00A75ED1" w:rsidRDefault="00F05DC7" w:rsidP="00A3786D">
                  <w:pPr>
                    <w:pStyle w:val="TableBodyText"/>
                    <w:rPr>
                      <w:rFonts w:cs="Arial"/>
                      <w:szCs w:val="18"/>
                    </w:rPr>
                  </w:pPr>
                  <w:r w:rsidRPr="00A75ED1">
                    <w:rPr>
                      <w:rFonts w:cs="Arial"/>
                      <w:color w:val="000000"/>
                      <w:szCs w:val="18"/>
                    </w:rPr>
                    <w:t>56</w:t>
                  </w:r>
                </w:p>
              </w:tc>
              <w:tc>
                <w:tcPr>
                  <w:tcW w:w="557" w:type="pct"/>
                  <w:tcBorders>
                    <w:top w:val="nil"/>
                    <w:left w:val="nil"/>
                    <w:bottom w:val="nil"/>
                    <w:right w:val="nil"/>
                  </w:tcBorders>
                  <w:shd w:val="clear" w:color="auto" w:fill="FFFFFF" w:themeFill="background1"/>
                  <w:vAlign w:val="bottom"/>
                </w:tcPr>
                <w:p w14:paraId="7954CF5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76</w:t>
                  </w:r>
                </w:p>
              </w:tc>
              <w:tc>
                <w:tcPr>
                  <w:tcW w:w="556" w:type="pct"/>
                  <w:tcBorders>
                    <w:top w:val="nil"/>
                    <w:left w:val="nil"/>
                    <w:bottom w:val="nil"/>
                    <w:right w:val="nil"/>
                  </w:tcBorders>
                  <w:shd w:val="clear" w:color="auto" w:fill="FFFFFF" w:themeFill="background1"/>
                  <w:vAlign w:val="bottom"/>
                </w:tcPr>
                <w:p w14:paraId="7954CF5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166</w:t>
                  </w:r>
                </w:p>
              </w:tc>
              <w:tc>
                <w:tcPr>
                  <w:tcW w:w="556" w:type="pct"/>
                  <w:tcBorders>
                    <w:top w:val="nil"/>
                    <w:left w:val="nil"/>
                    <w:bottom w:val="nil"/>
                    <w:right w:val="nil"/>
                  </w:tcBorders>
                  <w:shd w:val="clear" w:color="auto" w:fill="FFFFFF" w:themeFill="background1"/>
                  <w:vAlign w:val="bottom"/>
                </w:tcPr>
                <w:p w14:paraId="7954CF5A" w14:textId="77777777" w:rsidR="00F05DC7" w:rsidRPr="00A75ED1" w:rsidRDefault="00F05DC7" w:rsidP="00A3786D">
                  <w:pPr>
                    <w:pStyle w:val="TableBodyText"/>
                    <w:rPr>
                      <w:rFonts w:cs="Arial"/>
                      <w:szCs w:val="18"/>
                    </w:rPr>
                  </w:pPr>
                  <w:r w:rsidRPr="00A75ED1">
                    <w:rPr>
                      <w:rFonts w:cs="Arial"/>
                      <w:color w:val="000000"/>
                      <w:szCs w:val="18"/>
                    </w:rPr>
                    <w:t>282</w:t>
                  </w:r>
                </w:p>
              </w:tc>
              <w:tc>
                <w:tcPr>
                  <w:tcW w:w="555" w:type="pct"/>
                  <w:tcBorders>
                    <w:top w:val="nil"/>
                    <w:left w:val="nil"/>
                    <w:bottom w:val="nil"/>
                    <w:right w:val="nil"/>
                  </w:tcBorders>
                  <w:shd w:val="clear" w:color="auto" w:fill="FFFFFF" w:themeFill="background1"/>
                  <w:vAlign w:val="bottom"/>
                </w:tcPr>
                <w:p w14:paraId="7954CF5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56</w:t>
                  </w:r>
                </w:p>
              </w:tc>
              <w:tc>
                <w:tcPr>
                  <w:tcW w:w="555" w:type="pct"/>
                  <w:tcBorders>
                    <w:top w:val="nil"/>
                    <w:left w:val="nil"/>
                    <w:bottom w:val="nil"/>
                    <w:right w:val="nil"/>
                  </w:tcBorders>
                  <w:shd w:val="clear" w:color="auto" w:fill="FFFFFF" w:themeFill="background1"/>
                  <w:vAlign w:val="bottom"/>
                </w:tcPr>
                <w:p w14:paraId="7954CF5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w:t>
                  </w:r>
                </w:p>
              </w:tc>
              <w:tc>
                <w:tcPr>
                  <w:tcW w:w="555" w:type="pct"/>
                  <w:tcBorders>
                    <w:top w:val="nil"/>
                    <w:left w:val="nil"/>
                    <w:bottom w:val="nil"/>
                    <w:right w:val="nil"/>
                  </w:tcBorders>
                  <w:shd w:val="clear" w:color="auto" w:fill="FFFFFF" w:themeFill="background1"/>
                  <w:vAlign w:val="bottom"/>
                </w:tcPr>
                <w:p w14:paraId="7954CF5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w:t>
                  </w:r>
                </w:p>
              </w:tc>
              <w:tc>
                <w:tcPr>
                  <w:tcW w:w="553" w:type="pct"/>
                  <w:tcBorders>
                    <w:top w:val="nil"/>
                    <w:left w:val="nil"/>
                    <w:bottom w:val="nil"/>
                    <w:right w:val="nil"/>
                  </w:tcBorders>
                  <w:shd w:val="clear" w:color="auto" w:fill="FFFFFF" w:themeFill="background1"/>
                  <w:vAlign w:val="bottom"/>
                </w:tcPr>
                <w:p w14:paraId="7954CF5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w:t>
                  </w:r>
                </w:p>
              </w:tc>
            </w:tr>
            <w:tr w:rsidR="00F05DC7" w:rsidRPr="00A75ED1" w14:paraId="7954CF69" w14:textId="77777777" w:rsidTr="00A3786D">
              <w:tc>
                <w:tcPr>
                  <w:tcW w:w="556" w:type="pct"/>
                  <w:vAlign w:val="bottom"/>
                </w:tcPr>
                <w:p w14:paraId="7954CF60"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CF61" w14:textId="77777777" w:rsidR="00F05DC7" w:rsidRPr="00A75ED1" w:rsidRDefault="00F05DC7" w:rsidP="00A3786D">
                  <w:pPr>
                    <w:pStyle w:val="TableBodyText"/>
                    <w:rPr>
                      <w:rFonts w:cs="Arial"/>
                      <w:szCs w:val="18"/>
                    </w:rPr>
                  </w:pPr>
                  <w:r w:rsidRPr="00A75ED1">
                    <w:rPr>
                      <w:rFonts w:cs="Arial"/>
                      <w:color w:val="000000"/>
                      <w:szCs w:val="18"/>
                    </w:rPr>
                    <w:t>16</w:t>
                  </w:r>
                </w:p>
              </w:tc>
              <w:tc>
                <w:tcPr>
                  <w:tcW w:w="557" w:type="pct"/>
                  <w:tcBorders>
                    <w:top w:val="nil"/>
                    <w:left w:val="nil"/>
                    <w:bottom w:val="nil"/>
                    <w:right w:val="nil"/>
                  </w:tcBorders>
                  <w:shd w:val="clear" w:color="auto" w:fill="FFFFFF" w:themeFill="background1"/>
                  <w:vAlign w:val="bottom"/>
                </w:tcPr>
                <w:p w14:paraId="7954CF62" w14:textId="77777777" w:rsidR="00F05DC7" w:rsidRPr="00A75ED1" w:rsidRDefault="00F05DC7" w:rsidP="00A3786D">
                  <w:pPr>
                    <w:pStyle w:val="TableBodyText"/>
                    <w:rPr>
                      <w:rFonts w:cs="Arial"/>
                      <w:szCs w:val="18"/>
                    </w:rPr>
                  </w:pPr>
                  <w:r w:rsidRPr="00A75ED1">
                    <w:rPr>
                      <w:rFonts w:cs="Arial"/>
                      <w:color w:val="000000"/>
                      <w:szCs w:val="18"/>
                    </w:rPr>
                    <w:t>21</w:t>
                  </w:r>
                </w:p>
              </w:tc>
              <w:tc>
                <w:tcPr>
                  <w:tcW w:w="556" w:type="pct"/>
                  <w:tcBorders>
                    <w:top w:val="nil"/>
                    <w:left w:val="nil"/>
                    <w:bottom w:val="nil"/>
                    <w:right w:val="nil"/>
                  </w:tcBorders>
                  <w:shd w:val="clear" w:color="auto" w:fill="FFFFFF" w:themeFill="background1"/>
                  <w:vAlign w:val="bottom"/>
                </w:tcPr>
                <w:p w14:paraId="7954CF6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162</w:t>
                  </w:r>
                </w:p>
              </w:tc>
              <w:tc>
                <w:tcPr>
                  <w:tcW w:w="556" w:type="pct"/>
                  <w:tcBorders>
                    <w:top w:val="nil"/>
                    <w:left w:val="nil"/>
                    <w:bottom w:val="nil"/>
                    <w:right w:val="nil"/>
                  </w:tcBorders>
                  <w:shd w:val="clear" w:color="auto" w:fill="FFFFFF" w:themeFill="background1"/>
                  <w:vAlign w:val="bottom"/>
                </w:tcPr>
                <w:p w14:paraId="7954CF64" w14:textId="77777777" w:rsidR="00F05DC7" w:rsidRPr="00A75ED1" w:rsidRDefault="00F05DC7" w:rsidP="00A3786D">
                  <w:pPr>
                    <w:pStyle w:val="TableBodyText"/>
                    <w:rPr>
                      <w:rFonts w:cs="Arial"/>
                      <w:szCs w:val="18"/>
                    </w:rPr>
                  </w:pPr>
                  <w:r w:rsidRPr="00A75ED1">
                    <w:rPr>
                      <w:rFonts w:cs="Arial"/>
                      <w:color w:val="000000"/>
                      <w:szCs w:val="18"/>
                    </w:rPr>
                    <w:t>218</w:t>
                  </w:r>
                </w:p>
              </w:tc>
              <w:tc>
                <w:tcPr>
                  <w:tcW w:w="555" w:type="pct"/>
                  <w:tcBorders>
                    <w:top w:val="nil"/>
                    <w:left w:val="nil"/>
                    <w:bottom w:val="nil"/>
                    <w:right w:val="nil"/>
                  </w:tcBorders>
                  <w:shd w:val="clear" w:color="auto" w:fill="FFFFFF" w:themeFill="background1"/>
                  <w:vAlign w:val="bottom"/>
                </w:tcPr>
                <w:p w14:paraId="7954CF6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54</w:t>
                  </w:r>
                </w:p>
              </w:tc>
              <w:tc>
                <w:tcPr>
                  <w:tcW w:w="555" w:type="pct"/>
                  <w:tcBorders>
                    <w:top w:val="nil"/>
                    <w:left w:val="nil"/>
                    <w:bottom w:val="nil"/>
                    <w:right w:val="nil"/>
                  </w:tcBorders>
                  <w:shd w:val="clear" w:color="auto" w:fill="FFFFFF" w:themeFill="background1"/>
                  <w:vAlign w:val="bottom"/>
                </w:tcPr>
                <w:p w14:paraId="7954CF6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w:t>
                  </w:r>
                </w:p>
              </w:tc>
              <w:tc>
                <w:tcPr>
                  <w:tcW w:w="555" w:type="pct"/>
                  <w:tcBorders>
                    <w:top w:val="nil"/>
                    <w:left w:val="nil"/>
                    <w:bottom w:val="nil"/>
                    <w:right w:val="nil"/>
                  </w:tcBorders>
                  <w:shd w:val="clear" w:color="auto" w:fill="FFFFFF" w:themeFill="background1"/>
                  <w:vAlign w:val="bottom"/>
                </w:tcPr>
                <w:p w14:paraId="7954CF6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w:t>
                  </w:r>
                </w:p>
              </w:tc>
              <w:tc>
                <w:tcPr>
                  <w:tcW w:w="553" w:type="pct"/>
                  <w:tcBorders>
                    <w:top w:val="nil"/>
                    <w:left w:val="nil"/>
                    <w:bottom w:val="nil"/>
                    <w:right w:val="nil"/>
                  </w:tcBorders>
                  <w:shd w:val="clear" w:color="auto" w:fill="FFFFFF" w:themeFill="background1"/>
                  <w:vAlign w:val="bottom"/>
                </w:tcPr>
                <w:p w14:paraId="7954CF6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w:t>
                  </w:r>
                </w:p>
              </w:tc>
            </w:tr>
            <w:tr w:rsidR="00F05DC7" w:rsidRPr="00A75ED1" w14:paraId="7954CF73" w14:textId="77777777" w:rsidTr="00A3786D">
              <w:tc>
                <w:tcPr>
                  <w:tcW w:w="556" w:type="pct"/>
                </w:tcPr>
                <w:p w14:paraId="7954CF6A"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CF6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32</w:t>
                  </w:r>
                </w:p>
              </w:tc>
              <w:tc>
                <w:tcPr>
                  <w:tcW w:w="557" w:type="pct"/>
                  <w:tcBorders>
                    <w:top w:val="nil"/>
                    <w:left w:val="nil"/>
                    <w:bottom w:val="nil"/>
                    <w:right w:val="nil"/>
                  </w:tcBorders>
                  <w:shd w:val="clear" w:color="auto" w:fill="FFFFFF" w:themeFill="background1"/>
                  <w:vAlign w:val="bottom"/>
                </w:tcPr>
                <w:p w14:paraId="7954CF6C" w14:textId="77777777" w:rsidR="00F05DC7" w:rsidRPr="00A75ED1" w:rsidRDefault="00F05DC7" w:rsidP="00A3786D">
                  <w:pPr>
                    <w:pStyle w:val="TableBodyText"/>
                    <w:rPr>
                      <w:rFonts w:cs="Arial"/>
                      <w:szCs w:val="18"/>
                    </w:rPr>
                  </w:pPr>
                  <w:r w:rsidRPr="00A75ED1">
                    <w:rPr>
                      <w:rFonts w:cs="Arial"/>
                      <w:color w:val="000000"/>
                      <w:szCs w:val="18"/>
                    </w:rPr>
                    <w:t>135</w:t>
                  </w:r>
                </w:p>
              </w:tc>
              <w:tc>
                <w:tcPr>
                  <w:tcW w:w="556" w:type="pct"/>
                  <w:tcBorders>
                    <w:top w:val="nil"/>
                    <w:left w:val="nil"/>
                    <w:bottom w:val="nil"/>
                    <w:right w:val="nil"/>
                  </w:tcBorders>
                  <w:shd w:val="clear" w:color="auto" w:fill="FFFFFF" w:themeFill="background1"/>
                  <w:vAlign w:val="bottom"/>
                </w:tcPr>
                <w:p w14:paraId="7954CF6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157</w:t>
                  </w:r>
                </w:p>
              </w:tc>
              <w:tc>
                <w:tcPr>
                  <w:tcW w:w="556" w:type="pct"/>
                  <w:tcBorders>
                    <w:top w:val="nil"/>
                    <w:left w:val="nil"/>
                    <w:bottom w:val="nil"/>
                    <w:right w:val="nil"/>
                  </w:tcBorders>
                  <w:shd w:val="clear" w:color="auto" w:fill="FFFFFF" w:themeFill="background1"/>
                  <w:vAlign w:val="bottom"/>
                </w:tcPr>
                <w:p w14:paraId="7954CF6E" w14:textId="77777777" w:rsidR="00F05DC7" w:rsidRPr="00A75ED1" w:rsidRDefault="00F05DC7" w:rsidP="00A3786D">
                  <w:pPr>
                    <w:pStyle w:val="TableBodyText"/>
                    <w:rPr>
                      <w:rFonts w:cs="Arial"/>
                      <w:szCs w:val="18"/>
                    </w:rPr>
                  </w:pPr>
                  <w:r w:rsidRPr="00A75ED1">
                    <w:rPr>
                      <w:rFonts w:cs="Arial"/>
                      <w:color w:val="000000"/>
                      <w:szCs w:val="18"/>
                    </w:rPr>
                    <w:t>142</w:t>
                  </w:r>
                </w:p>
              </w:tc>
              <w:tc>
                <w:tcPr>
                  <w:tcW w:w="555" w:type="pct"/>
                  <w:tcBorders>
                    <w:top w:val="nil"/>
                    <w:left w:val="nil"/>
                    <w:bottom w:val="nil"/>
                    <w:right w:val="nil"/>
                  </w:tcBorders>
                  <w:shd w:val="clear" w:color="auto" w:fill="FFFFFF" w:themeFill="background1"/>
                  <w:vAlign w:val="bottom"/>
                </w:tcPr>
                <w:p w14:paraId="7954CF6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52</w:t>
                  </w:r>
                </w:p>
              </w:tc>
              <w:tc>
                <w:tcPr>
                  <w:tcW w:w="555" w:type="pct"/>
                  <w:tcBorders>
                    <w:top w:val="nil"/>
                    <w:left w:val="nil"/>
                    <w:bottom w:val="nil"/>
                    <w:right w:val="nil"/>
                  </w:tcBorders>
                  <w:shd w:val="clear" w:color="auto" w:fill="FFFFFF" w:themeFill="background1"/>
                  <w:vAlign w:val="bottom"/>
                </w:tcPr>
                <w:p w14:paraId="7954CF7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w:t>
                  </w:r>
                </w:p>
              </w:tc>
              <w:tc>
                <w:tcPr>
                  <w:tcW w:w="555" w:type="pct"/>
                  <w:tcBorders>
                    <w:top w:val="nil"/>
                    <w:left w:val="nil"/>
                    <w:bottom w:val="nil"/>
                    <w:right w:val="nil"/>
                  </w:tcBorders>
                  <w:shd w:val="clear" w:color="auto" w:fill="FFFFFF" w:themeFill="background1"/>
                  <w:vAlign w:val="bottom"/>
                </w:tcPr>
                <w:p w14:paraId="7954CF7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w:t>
                  </w:r>
                </w:p>
              </w:tc>
              <w:tc>
                <w:tcPr>
                  <w:tcW w:w="553" w:type="pct"/>
                  <w:tcBorders>
                    <w:top w:val="nil"/>
                    <w:left w:val="nil"/>
                    <w:bottom w:val="nil"/>
                    <w:right w:val="nil"/>
                  </w:tcBorders>
                  <w:shd w:val="clear" w:color="auto" w:fill="FFFFFF" w:themeFill="background1"/>
                  <w:vAlign w:val="bottom"/>
                </w:tcPr>
                <w:p w14:paraId="7954CF7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w:t>
                  </w:r>
                </w:p>
              </w:tc>
            </w:tr>
            <w:tr w:rsidR="00F05DC7" w:rsidRPr="00A75ED1" w14:paraId="7954CF7D" w14:textId="77777777" w:rsidTr="00A3786D">
              <w:tc>
                <w:tcPr>
                  <w:tcW w:w="556" w:type="pct"/>
                </w:tcPr>
                <w:p w14:paraId="7954CF74"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000000" w:fill="FFFFFF"/>
                  <w:vAlign w:val="bottom"/>
                </w:tcPr>
                <w:p w14:paraId="7954CF7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89</w:t>
                  </w:r>
                </w:p>
              </w:tc>
              <w:tc>
                <w:tcPr>
                  <w:tcW w:w="557" w:type="pct"/>
                  <w:tcBorders>
                    <w:top w:val="nil"/>
                    <w:left w:val="nil"/>
                    <w:bottom w:val="nil"/>
                    <w:right w:val="nil"/>
                  </w:tcBorders>
                  <w:shd w:val="clear" w:color="000000" w:fill="FFFFFF"/>
                  <w:vAlign w:val="bottom"/>
                </w:tcPr>
                <w:p w14:paraId="7954CF76" w14:textId="77777777" w:rsidR="00F05DC7" w:rsidRPr="00A75ED1" w:rsidRDefault="00F05DC7" w:rsidP="00A3786D">
                  <w:pPr>
                    <w:pStyle w:val="TableBodyText"/>
                    <w:rPr>
                      <w:rFonts w:cs="Arial"/>
                      <w:szCs w:val="18"/>
                    </w:rPr>
                  </w:pPr>
                  <w:r w:rsidRPr="00A75ED1">
                    <w:rPr>
                      <w:rFonts w:cs="Arial"/>
                      <w:color w:val="000000"/>
                      <w:szCs w:val="18"/>
                    </w:rPr>
                    <w:t>269</w:t>
                  </w:r>
                </w:p>
              </w:tc>
              <w:tc>
                <w:tcPr>
                  <w:tcW w:w="556" w:type="pct"/>
                  <w:tcBorders>
                    <w:top w:val="nil"/>
                    <w:left w:val="nil"/>
                    <w:bottom w:val="nil"/>
                    <w:right w:val="nil"/>
                  </w:tcBorders>
                  <w:shd w:val="clear" w:color="000000" w:fill="FFFFFF"/>
                  <w:vAlign w:val="bottom"/>
                </w:tcPr>
                <w:p w14:paraId="7954CF7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150</w:t>
                  </w:r>
                </w:p>
              </w:tc>
              <w:tc>
                <w:tcPr>
                  <w:tcW w:w="556" w:type="pct"/>
                  <w:tcBorders>
                    <w:top w:val="nil"/>
                    <w:left w:val="nil"/>
                    <w:bottom w:val="nil"/>
                    <w:right w:val="nil"/>
                  </w:tcBorders>
                  <w:shd w:val="clear" w:color="000000" w:fill="FFFFFF"/>
                  <w:vAlign w:val="bottom"/>
                </w:tcPr>
                <w:p w14:paraId="7954CF78" w14:textId="77777777" w:rsidR="00F05DC7" w:rsidRPr="00A75ED1" w:rsidRDefault="00F05DC7" w:rsidP="00A3786D">
                  <w:pPr>
                    <w:pStyle w:val="TableBodyText"/>
                    <w:rPr>
                      <w:rFonts w:cs="Arial"/>
                      <w:szCs w:val="18"/>
                    </w:rPr>
                  </w:pPr>
                  <w:r w:rsidRPr="00A75ED1">
                    <w:rPr>
                      <w:rFonts w:cs="Arial"/>
                      <w:color w:val="000000"/>
                      <w:szCs w:val="18"/>
                    </w:rPr>
                    <w:t>54</w:t>
                  </w:r>
                </w:p>
              </w:tc>
              <w:tc>
                <w:tcPr>
                  <w:tcW w:w="555" w:type="pct"/>
                  <w:tcBorders>
                    <w:top w:val="nil"/>
                    <w:left w:val="nil"/>
                    <w:bottom w:val="nil"/>
                    <w:right w:val="nil"/>
                  </w:tcBorders>
                  <w:shd w:val="clear" w:color="000000" w:fill="FFFFFF"/>
                  <w:vAlign w:val="bottom"/>
                </w:tcPr>
                <w:p w14:paraId="7954CF7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49</w:t>
                  </w:r>
                </w:p>
              </w:tc>
              <w:tc>
                <w:tcPr>
                  <w:tcW w:w="555" w:type="pct"/>
                  <w:tcBorders>
                    <w:top w:val="nil"/>
                    <w:left w:val="nil"/>
                    <w:bottom w:val="nil"/>
                    <w:right w:val="nil"/>
                  </w:tcBorders>
                  <w:shd w:val="clear" w:color="000000" w:fill="FFFFFF"/>
                  <w:vAlign w:val="bottom"/>
                </w:tcPr>
                <w:p w14:paraId="7954CF7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w:t>
                  </w:r>
                </w:p>
              </w:tc>
              <w:tc>
                <w:tcPr>
                  <w:tcW w:w="555" w:type="pct"/>
                  <w:tcBorders>
                    <w:top w:val="nil"/>
                    <w:left w:val="nil"/>
                    <w:bottom w:val="nil"/>
                    <w:right w:val="nil"/>
                  </w:tcBorders>
                  <w:shd w:val="clear" w:color="000000" w:fill="FFFFFF"/>
                  <w:vAlign w:val="bottom"/>
                </w:tcPr>
                <w:p w14:paraId="7954CF7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w:t>
                  </w:r>
                </w:p>
              </w:tc>
              <w:tc>
                <w:tcPr>
                  <w:tcW w:w="553" w:type="pct"/>
                  <w:tcBorders>
                    <w:top w:val="nil"/>
                    <w:left w:val="nil"/>
                    <w:bottom w:val="nil"/>
                    <w:right w:val="nil"/>
                  </w:tcBorders>
                  <w:shd w:val="clear" w:color="000000" w:fill="FFFFFF"/>
                  <w:vAlign w:val="bottom"/>
                </w:tcPr>
                <w:p w14:paraId="7954CF7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w:t>
                  </w:r>
                </w:p>
              </w:tc>
            </w:tr>
            <w:tr w:rsidR="00F05DC7" w:rsidRPr="00A75ED1" w14:paraId="7954CF87" w14:textId="77777777" w:rsidTr="00A3786D">
              <w:tc>
                <w:tcPr>
                  <w:tcW w:w="556" w:type="pct"/>
                </w:tcPr>
                <w:p w14:paraId="7954CF7E"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000000" w:fill="FFFFFF"/>
                  <w:vAlign w:val="bottom"/>
                </w:tcPr>
                <w:p w14:paraId="7954CF7F" w14:textId="77777777" w:rsidR="00F05DC7" w:rsidRPr="00A75ED1" w:rsidRDefault="00F05DC7" w:rsidP="00A3786D">
                  <w:pPr>
                    <w:pStyle w:val="TableBodyText"/>
                    <w:rPr>
                      <w:rFonts w:cs="Arial"/>
                      <w:szCs w:val="18"/>
                    </w:rPr>
                  </w:pPr>
                  <w:r w:rsidRPr="00A75ED1">
                    <w:rPr>
                      <w:rFonts w:cs="Arial"/>
                      <w:color w:val="000000"/>
                      <w:szCs w:val="18"/>
                    </w:rPr>
                    <w:t>5</w:t>
                  </w:r>
                </w:p>
              </w:tc>
              <w:tc>
                <w:tcPr>
                  <w:tcW w:w="557" w:type="pct"/>
                  <w:tcBorders>
                    <w:top w:val="nil"/>
                    <w:left w:val="nil"/>
                    <w:bottom w:val="nil"/>
                    <w:right w:val="nil"/>
                  </w:tcBorders>
                  <w:shd w:val="clear" w:color="000000" w:fill="FFFFFF"/>
                  <w:vAlign w:val="bottom"/>
                </w:tcPr>
                <w:p w14:paraId="7954CF80" w14:textId="77777777" w:rsidR="00F05DC7" w:rsidRPr="00A75ED1" w:rsidRDefault="00F05DC7" w:rsidP="00A3786D">
                  <w:pPr>
                    <w:pStyle w:val="TableBodyText"/>
                    <w:rPr>
                      <w:rFonts w:cs="Arial"/>
                      <w:szCs w:val="18"/>
                    </w:rPr>
                  </w:pPr>
                  <w:r w:rsidRPr="00A75ED1">
                    <w:rPr>
                      <w:rFonts w:cs="Arial"/>
                      <w:color w:val="000000"/>
                      <w:szCs w:val="18"/>
                    </w:rPr>
                    <w:t>48</w:t>
                  </w:r>
                </w:p>
              </w:tc>
              <w:tc>
                <w:tcPr>
                  <w:tcW w:w="556" w:type="pct"/>
                  <w:tcBorders>
                    <w:top w:val="nil"/>
                    <w:left w:val="nil"/>
                    <w:bottom w:val="nil"/>
                    <w:right w:val="nil"/>
                  </w:tcBorders>
                  <w:shd w:val="clear" w:color="000000" w:fill="FFFFFF"/>
                  <w:vAlign w:val="bottom"/>
                </w:tcPr>
                <w:p w14:paraId="7954CF8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205</w:t>
                  </w:r>
                </w:p>
              </w:tc>
              <w:tc>
                <w:tcPr>
                  <w:tcW w:w="556" w:type="pct"/>
                  <w:tcBorders>
                    <w:top w:val="nil"/>
                    <w:left w:val="nil"/>
                    <w:bottom w:val="nil"/>
                    <w:right w:val="nil"/>
                  </w:tcBorders>
                  <w:shd w:val="clear" w:color="000000" w:fill="FFFFFF"/>
                  <w:vAlign w:val="bottom"/>
                </w:tcPr>
                <w:p w14:paraId="7954CF82" w14:textId="77777777" w:rsidR="00F05DC7" w:rsidRPr="00A75ED1" w:rsidRDefault="00F05DC7" w:rsidP="00A3786D">
                  <w:pPr>
                    <w:pStyle w:val="TableBodyText"/>
                    <w:rPr>
                      <w:rFonts w:cs="Arial"/>
                      <w:szCs w:val="18"/>
                    </w:rPr>
                  </w:pPr>
                  <w:r w:rsidRPr="00A75ED1">
                    <w:rPr>
                      <w:rFonts w:cs="Arial"/>
                      <w:color w:val="000000"/>
                      <w:szCs w:val="18"/>
                    </w:rPr>
                    <w:t>264</w:t>
                  </w:r>
                </w:p>
              </w:tc>
              <w:tc>
                <w:tcPr>
                  <w:tcW w:w="555" w:type="pct"/>
                  <w:tcBorders>
                    <w:top w:val="nil"/>
                    <w:left w:val="nil"/>
                    <w:bottom w:val="nil"/>
                    <w:right w:val="nil"/>
                  </w:tcBorders>
                  <w:shd w:val="clear" w:color="000000" w:fill="FFFFFF"/>
                  <w:vAlign w:val="bottom"/>
                </w:tcPr>
                <w:p w14:paraId="7954CF8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c>
                <w:tcPr>
                  <w:tcW w:w="555" w:type="pct"/>
                  <w:tcBorders>
                    <w:top w:val="nil"/>
                    <w:left w:val="nil"/>
                    <w:bottom w:val="nil"/>
                    <w:right w:val="nil"/>
                  </w:tcBorders>
                  <w:shd w:val="clear" w:color="000000" w:fill="FFFFFF"/>
                  <w:vAlign w:val="bottom"/>
                </w:tcPr>
                <w:p w14:paraId="7954CF8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w:t>
                  </w:r>
                </w:p>
              </w:tc>
              <w:tc>
                <w:tcPr>
                  <w:tcW w:w="555" w:type="pct"/>
                  <w:tcBorders>
                    <w:top w:val="nil"/>
                    <w:left w:val="nil"/>
                    <w:bottom w:val="nil"/>
                    <w:right w:val="nil"/>
                  </w:tcBorders>
                  <w:shd w:val="clear" w:color="000000" w:fill="FFFFFF"/>
                  <w:vAlign w:val="bottom"/>
                </w:tcPr>
                <w:p w14:paraId="7954CF8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w:t>
                  </w:r>
                </w:p>
              </w:tc>
              <w:tc>
                <w:tcPr>
                  <w:tcW w:w="553" w:type="pct"/>
                  <w:tcBorders>
                    <w:top w:val="nil"/>
                    <w:left w:val="nil"/>
                    <w:bottom w:val="nil"/>
                    <w:right w:val="nil"/>
                  </w:tcBorders>
                  <w:shd w:val="clear" w:color="000000" w:fill="FFFFFF"/>
                  <w:vAlign w:val="bottom"/>
                </w:tcPr>
                <w:p w14:paraId="7954CF8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w:t>
                  </w:r>
                </w:p>
              </w:tc>
            </w:tr>
            <w:tr w:rsidR="00F05DC7" w:rsidRPr="00A75ED1" w14:paraId="7954CF91" w14:textId="77777777" w:rsidTr="00A3786D">
              <w:tc>
                <w:tcPr>
                  <w:tcW w:w="556" w:type="pct"/>
                </w:tcPr>
                <w:p w14:paraId="7954CF88"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000000" w:fill="FFFFFF"/>
                  <w:vAlign w:val="bottom"/>
                </w:tcPr>
                <w:p w14:paraId="7954CF89" w14:textId="77777777" w:rsidR="00F05DC7" w:rsidRPr="00A75ED1" w:rsidRDefault="00F05DC7" w:rsidP="00A3786D">
                  <w:pPr>
                    <w:pStyle w:val="TableBodyText"/>
                    <w:rPr>
                      <w:rFonts w:cs="Arial"/>
                      <w:szCs w:val="18"/>
                    </w:rPr>
                  </w:pPr>
                  <w:r w:rsidRPr="00A75ED1">
                    <w:rPr>
                      <w:rFonts w:cs="Arial"/>
                      <w:color w:val="000000"/>
                      <w:szCs w:val="18"/>
                    </w:rPr>
                    <w:t>4</w:t>
                  </w:r>
                </w:p>
              </w:tc>
              <w:tc>
                <w:tcPr>
                  <w:tcW w:w="557" w:type="pct"/>
                  <w:tcBorders>
                    <w:top w:val="nil"/>
                    <w:left w:val="nil"/>
                    <w:bottom w:val="nil"/>
                    <w:right w:val="nil"/>
                  </w:tcBorders>
                  <w:shd w:val="clear" w:color="000000" w:fill="FFFFFF"/>
                  <w:vAlign w:val="bottom"/>
                </w:tcPr>
                <w:p w14:paraId="7954CF8A" w14:textId="77777777" w:rsidR="00F05DC7" w:rsidRPr="00A75ED1" w:rsidRDefault="00F05DC7" w:rsidP="00A3786D">
                  <w:pPr>
                    <w:pStyle w:val="TableBodyText"/>
                    <w:rPr>
                      <w:rFonts w:cs="Arial"/>
                      <w:szCs w:val="18"/>
                    </w:rPr>
                  </w:pPr>
                  <w:r w:rsidRPr="00A75ED1">
                    <w:rPr>
                      <w:rFonts w:cs="Arial"/>
                      <w:color w:val="000000"/>
                      <w:szCs w:val="18"/>
                    </w:rPr>
                    <w:t>51</w:t>
                  </w:r>
                </w:p>
              </w:tc>
              <w:tc>
                <w:tcPr>
                  <w:tcW w:w="556" w:type="pct"/>
                  <w:tcBorders>
                    <w:top w:val="nil"/>
                    <w:left w:val="nil"/>
                    <w:bottom w:val="nil"/>
                    <w:right w:val="nil"/>
                  </w:tcBorders>
                  <w:shd w:val="clear" w:color="000000" w:fill="FFFFFF"/>
                  <w:vAlign w:val="bottom"/>
                </w:tcPr>
                <w:p w14:paraId="7954CF8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222</w:t>
                  </w:r>
                </w:p>
              </w:tc>
              <w:tc>
                <w:tcPr>
                  <w:tcW w:w="556" w:type="pct"/>
                  <w:tcBorders>
                    <w:top w:val="nil"/>
                    <w:left w:val="nil"/>
                    <w:bottom w:val="nil"/>
                    <w:right w:val="nil"/>
                  </w:tcBorders>
                  <w:shd w:val="clear" w:color="000000" w:fill="FFFFFF"/>
                  <w:vAlign w:val="bottom"/>
                </w:tcPr>
                <w:p w14:paraId="7954CF8C" w14:textId="77777777" w:rsidR="00F05DC7" w:rsidRPr="00A75ED1" w:rsidRDefault="00F05DC7" w:rsidP="00A3786D">
                  <w:pPr>
                    <w:pStyle w:val="TableBodyText"/>
                    <w:rPr>
                      <w:rFonts w:cs="Arial"/>
                      <w:szCs w:val="18"/>
                    </w:rPr>
                  </w:pPr>
                  <w:r w:rsidRPr="00A75ED1">
                    <w:rPr>
                      <w:rFonts w:cs="Arial"/>
                      <w:color w:val="000000"/>
                      <w:szCs w:val="18"/>
                    </w:rPr>
                    <w:t>287</w:t>
                  </w:r>
                </w:p>
              </w:tc>
              <w:tc>
                <w:tcPr>
                  <w:tcW w:w="555" w:type="pct"/>
                  <w:tcBorders>
                    <w:top w:val="nil"/>
                    <w:left w:val="nil"/>
                    <w:bottom w:val="nil"/>
                    <w:right w:val="nil"/>
                  </w:tcBorders>
                  <w:shd w:val="clear" w:color="000000" w:fill="FFFFFF"/>
                  <w:vAlign w:val="bottom"/>
                </w:tcPr>
                <w:p w14:paraId="7954CF8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71</w:t>
                  </w:r>
                </w:p>
              </w:tc>
              <w:tc>
                <w:tcPr>
                  <w:tcW w:w="555" w:type="pct"/>
                  <w:tcBorders>
                    <w:top w:val="nil"/>
                    <w:left w:val="nil"/>
                    <w:bottom w:val="nil"/>
                    <w:right w:val="nil"/>
                  </w:tcBorders>
                  <w:shd w:val="clear" w:color="000000" w:fill="FFFFFF"/>
                  <w:vAlign w:val="bottom"/>
                </w:tcPr>
                <w:p w14:paraId="7954CF8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21</w:t>
                  </w:r>
                </w:p>
              </w:tc>
              <w:tc>
                <w:tcPr>
                  <w:tcW w:w="555" w:type="pct"/>
                  <w:tcBorders>
                    <w:top w:val="nil"/>
                    <w:left w:val="nil"/>
                    <w:bottom w:val="nil"/>
                    <w:right w:val="nil"/>
                  </w:tcBorders>
                  <w:shd w:val="clear" w:color="000000" w:fill="FFFFFF"/>
                  <w:vAlign w:val="bottom"/>
                </w:tcPr>
                <w:p w14:paraId="7954CF8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w:t>
                  </w:r>
                </w:p>
              </w:tc>
              <w:tc>
                <w:tcPr>
                  <w:tcW w:w="553" w:type="pct"/>
                  <w:tcBorders>
                    <w:top w:val="nil"/>
                    <w:left w:val="nil"/>
                    <w:bottom w:val="nil"/>
                    <w:right w:val="nil"/>
                  </w:tcBorders>
                  <w:shd w:val="clear" w:color="000000" w:fill="FFFFFF"/>
                  <w:vAlign w:val="bottom"/>
                </w:tcPr>
                <w:p w14:paraId="7954CF9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w:t>
                  </w:r>
                </w:p>
              </w:tc>
            </w:tr>
            <w:tr w:rsidR="00F05DC7" w:rsidRPr="00A75ED1" w14:paraId="7954CF9B" w14:textId="77777777" w:rsidTr="002341D7">
              <w:tc>
                <w:tcPr>
                  <w:tcW w:w="556" w:type="pct"/>
                </w:tcPr>
                <w:p w14:paraId="7954CF92"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000000" w:fill="FFFFFF"/>
                  <w:vAlign w:val="bottom"/>
                </w:tcPr>
                <w:p w14:paraId="7954CF93" w14:textId="77777777" w:rsidR="00F05DC7" w:rsidRPr="00A75ED1" w:rsidRDefault="00F05DC7" w:rsidP="00A3786D">
                  <w:pPr>
                    <w:pStyle w:val="TableBodyText"/>
                    <w:rPr>
                      <w:rFonts w:cs="Arial"/>
                      <w:szCs w:val="18"/>
                    </w:rPr>
                  </w:pPr>
                  <w:r w:rsidRPr="00A75ED1">
                    <w:rPr>
                      <w:rFonts w:cs="Arial"/>
                      <w:color w:val="000000"/>
                      <w:szCs w:val="18"/>
                    </w:rPr>
                    <w:t>2</w:t>
                  </w:r>
                </w:p>
              </w:tc>
              <w:tc>
                <w:tcPr>
                  <w:tcW w:w="557" w:type="pct"/>
                  <w:tcBorders>
                    <w:top w:val="nil"/>
                    <w:left w:val="nil"/>
                    <w:right w:val="nil"/>
                  </w:tcBorders>
                  <w:shd w:val="clear" w:color="000000" w:fill="FFFFFF"/>
                  <w:vAlign w:val="bottom"/>
                </w:tcPr>
                <w:p w14:paraId="7954CF94" w14:textId="77777777" w:rsidR="00F05DC7" w:rsidRPr="00A75ED1" w:rsidRDefault="00F05DC7" w:rsidP="00A3786D">
                  <w:pPr>
                    <w:pStyle w:val="TableBodyText"/>
                    <w:rPr>
                      <w:rFonts w:cs="Arial"/>
                      <w:szCs w:val="18"/>
                    </w:rPr>
                  </w:pPr>
                  <w:r w:rsidRPr="00A75ED1">
                    <w:rPr>
                      <w:rFonts w:cs="Arial"/>
                      <w:color w:val="000000"/>
                      <w:szCs w:val="18"/>
                    </w:rPr>
                    <w:t>55</w:t>
                  </w:r>
                </w:p>
              </w:tc>
              <w:tc>
                <w:tcPr>
                  <w:tcW w:w="556" w:type="pct"/>
                  <w:tcBorders>
                    <w:top w:val="nil"/>
                    <w:left w:val="nil"/>
                    <w:right w:val="nil"/>
                  </w:tcBorders>
                  <w:shd w:val="clear" w:color="000000" w:fill="FFFFFF"/>
                  <w:vAlign w:val="bottom"/>
                </w:tcPr>
                <w:p w14:paraId="7954CF9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240</w:t>
                  </w:r>
                </w:p>
              </w:tc>
              <w:tc>
                <w:tcPr>
                  <w:tcW w:w="556" w:type="pct"/>
                  <w:tcBorders>
                    <w:top w:val="nil"/>
                    <w:left w:val="nil"/>
                    <w:right w:val="nil"/>
                  </w:tcBorders>
                  <w:shd w:val="clear" w:color="000000" w:fill="FFFFFF"/>
                  <w:vAlign w:val="bottom"/>
                </w:tcPr>
                <w:p w14:paraId="7954CF96" w14:textId="77777777" w:rsidR="00F05DC7" w:rsidRPr="00A75ED1" w:rsidRDefault="00F05DC7" w:rsidP="00A3786D">
                  <w:pPr>
                    <w:pStyle w:val="TableBodyText"/>
                    <w:rPr>
                      <w:rFonts w:cs="Arial"/>
                      <w:szCs w:val="18"/>
                    </w:rPr>
                  </w:pPr>
                  <w:r w:rsidRPr="00A75ED1">
                    <w:rPr>
                      <w:rFonts w:cs="Arial"/>
                      <w:color w:val="000000"/>
                      <w:szCs w:val="18"/>
                    </w:rPr>
                    <w:t>311</w:t>
                  </w:r>
                </w:p>
              </w:tc>
              <w:tc>
                <w:tcPr>
                  <w:tcW w:w="555" w:type="pct"/>
                  <w:tcBorders>
                    <w:top w:val="nil"/>
                    <w:left w:val="nil"/>
                    <w:right w:val="nil"/>
                  </w:tcBorders>
                  <w:shd w:val="clear" w:color="000000" w:fill="FFFFFF"/>
                  <w:vAlign w:val="bottom"/>
                </w:tcPr>
                <w:p w14:paraId="7954CF9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76</w:t>
                  </w:r>
                </w:p>
              </w:tc>
              <w:tc>
                <w:tcPr>
                  <w:tcW w:w="555" w:type="pct"/>
                  <w:tcBorders>
                    <w:top w:val="nil"/>
                    <w:left w:val="nil"/>
                    <w:right w:val="nil"/>
                  </w:tcBorders>
                  <w:shd w:val="clear" w:color="000000" w:fill="FFFFFF"/>
                  <w:vAlign w:val="bottom"/>
                </w:tcPr>
                <w:p w14:paraId="7954CF9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w:t>
                  </w:r>
                </w:p>
              </w:tc>
              <w:tc>
                <w:tcPr>
                  <w:tcW w:w="555" w:type="pct"/>
                  <w:tcBorders>
                    <w:top w:val="nil"/>
                    <w:left w:val="nil"/>
                    <w:right w:val="nil"/>
                  </w:tcBorders>
                  <w:shd w:val="clear" w:color="000000" w:fill="FFFFFF"/>
                  <w:vAlign w:val="bottom"/>
                </w:tcPr>
                <w:p w14:paraId="7954CF9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w:t>
                  </w:r>
                </w:p>
              </w:tc>
              <w:tc>
                <w:tcPr>
                  <w:tcW w:w="553" w:type="pct"/>
                  <w:tcBorders>
                    <w:top w:val="nil"/>
                    <w:left w:val="nil"/>
                    <w:right w:val="nil"/>
                  </w:tcBorders>
                  <w:shd w:val="clear" w:color="000000" w:fill="FFFFFF"/>
                  <w:vAlign w:val="bottom"/>
                </w:tcPr>
                <w:p w14:paraId="7954CF9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w:t>
                  </w:r>
                </w:p>
              </w:tc>
            </w:tr>
            <w:tr w:rsidR="00F05DC7" w:rsidRPr="00A75ED1" w14:paraId="7954CF9D" w14:textId="77777777" w:rsidTr="002341D7">
              <w:tc>
                <w:tcPr>
                  <w:tcW w:w="5000" w:type="pct"/>
                  <w:gridSpan w:val="9"/>
                  <w:shd w:val="clear" w:color="auto" w:fill="F2F2F2" w:themeFill="background1" w:themeFillShade="F2"/>
                </w:tcPr>
                <w:p w14:paraId="7954CF9C"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CFA7" w14:textId="77777777" w:rsidTr="00A3786D">
              <w:tc>
                <w:tcPr>
                  <w:tcW w:w="556" w:type="pct"/>
                  <w:vAlign w:val="bottom"/>
                </w:tcPr>
                <w:p w14:paraId="7954CF9E"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CF9F" w14:textId="77777777" w:rsidR="00F05DC7" w:rsidRPr="005128FB" w:rsidRDefault="00F05DC7" w:rsidP="00A3786D">
                  <w:pPr>
                    <w:pStyle w:val="TableBodyText"/>
                    <w:rPr>
                      <w:rFonts w:cs="Arial"/>
                      <w:szCs w:val="18"/>
                    </w:rPr>
                  </w:pPr>
                  <w:r w:rsidRPr="005128FB">
                    <w:rPr>
                      <w:rFonts w:cs="Arial"/>
                      <w:color w:val="000000"/>
                      <w:szCs w:val="18"/>
                    </w:rPr>
                    <w:t>11</w:t>
                  </w:r>
                </w:p>
              </w:tc>
              <w:tc>
                <w:tcPr>
                  <w:tcW w:w="557" w:type="pct"/>
                  <w:tcBorders>
                    <w:top w:val="nil"/>
                    <w:left w:val="nil"/>
                    <w:bottom w:val="nil"/>
                    <w:right w:val="nil"/>
                  </w:tcBorders>
                  <w:shd w:val="clear" w:color="auto" w:fill="auto"/>
                  <w:vAlign w:val="bottom"/>
                </w:tcPr>
                <w:p w14:paraId="7954CFA0" w14:textId="77777777" w:rsidR="00F05DC7" w:rsidRPr="005128FB" w:rsidRDefault="00F05DC7" w:rsidP="00A3786D">
                  <w:pPr>
                    <w:pStyle w:val="TableBodyText"/>
                    <w:rPr>
                      <w:rFonts w:cs="Arial"/>
                      <w:szCs w:val="18"/>
                    </w:rPr>
                  </w:pPr>
                  <w:r w:rsidRPr="005128FB">
                    <w:rPr>
                      <w:rFonts w:cs="Arial"/>
                      <w:color w:val="000000"/>
                      <w:szCs w:val="18"/>
                    </w:rPr>
                    <w:t>-24</w:t>
                  </w:r>
                </w:p>
              </w:tc>
              <w:tc>
                <w:tcPr>
                  <w:tcW w:w="556" w:type="pct"/>
                  <w:tcBorders>
                    <w:top w:val="nil"/>
                    <w:left w:val="nil"/>
                    <w:bottom w:val="nil"/>
                    <w:right w:val="nil"/>
                  </w:tcBorders>
                  <w:shd w:val="clear" w:color="auto" w:fill="auto"/>
                  <w:vAlign w:val="bottom"/>
                </w:tcPr>
                <w:p w14:paraId="7954CFA1" w14:textId="77777777" w:rsidR="00F05DC7" w:rsidRPr="005128FB" w:rsidRDefault="00F05DC7" w:rsidP="00A3786D">
                  <w:pPr>
                    <w:pStyle w:val="TableBodyText"/>
                    <w:rPr>
                      <w:rFonts w:cs="Arial"/>
                      <w:szCs w:val="18"/>
                    </w:rPr>
                  </w:pPr>
                  <w:r w:rsidRPr="005128FB">
                    <w:rPr>
                      <w:rFonts w:cs="Arial"/>
                      <w:color w:val="000000"/>
                      <w:szCs w:val="18"/>
                    </w:rPr>
                    <w:t>-33</w:t>
                  </w:r>
                </w:p>
              </w:tc>
              <w:tc>
                <w:tcPr>
                  <w:tcW w:w="556" w:type="pct"/>
                  <w:tcBorders>
                    <w:top w:val="nil"/>
                    <w:left w:val="nil"/>
                    <w:bottom w:val="nil"/>
                    <w:right w:val="nil"/>
                  </w:tcBorders>
                  <w:shd w:val="clear" w:color="auto" w:fill="auto"/>
                  <w:vAlign w:val="bottom"/>
                </w:tcPr>
                <w:p w14:paraId="7954CFA2" w14:textId="77777777" w:rsidR="00F05DC7" w:rsidRPr="005128FB" w:rsidRDefault="00F05DC7" w:rsidP="00A3786D">
                  <w:pPr>
                    <w:pStyle w:val="TableBodyText"/>
                    <w:rPr>
                      <w:rFonts w:cs="Arial"/>
                      <w:szCs w:val="18"/>
                    </w:rPr>
                  </w:pPr>
                  <w:r w:rsidRPr="005128FB">
                    <w:rPr>
                      <w:rFonts w:cs="Arial"/>
                      <w:color w:val="000000"/>
                      <w:szCs w:val="18"/>
                    </w:rPr>
                    <w:t>126</w:t>
                  </w:r>
                </w:p>
              </w:tc>
              <w:tc>
                <w:tcPr>
                  <w:tcW w:w="555" w:type="pct"/>
                  <w:tcBorders>
                    <w:top w:val="nil"/>
                    <w:left w:val="nil"/>
                    <w:bottom w:val="nil"/>
                    <w:right w:val="nil"/>
                  </w:tcBorders>
                  <w:shd w:val="clear" w:color="auto" w:fill="auto"/>
                  <w:vAlign w:val="bottom"/>
                </w:tcPr>
                <w:p w14:paraId="7954CFA3" w14:textId="77777777" w:rsidR="00F05DC7" w:rsidRPr="005128FB" w:rsidRDefault="00F05DC7" w:rsidP="00A3786D">
                  <w:pPr>
                    <w:pStyle w:val="TableBodyText"/>
                    <w:rPr>
                      <w:rFonts w:cs="Arial"/>
                      <w:szCs w:val="18"/>
                    </w:rPr>
                  </w:pPr>
                  <w:r w:rsidRPr="005128FB">
                    <w:rPr>
                      <w:rFonts w:cs="Arial"/>
                      <w:color w:val="000000"/>
                      <w:szCs w:val="18"/>
                    </w:rPr>
                    <w:t>-33</w:t>
                  </w:r>
                </w:p>
              </w:tc>
              <w:tc>
                <w:tcPr>
                  <w:tcW w:w="555" w:type="pct"/>
                  <w:tcBorders>
                    <w:top w:val="nil"/>
                    <w:left w:val="nil"/>
                    <w:bottom w:val="nil"/>
                    <w:right w:val="nil"/>
                  </w:tcBorders>
                  <w:shd w:val="clear" w:color="auto" w:fill="auto"/>
                  <w:vAlign w:val="bottom"/>
                </w:tcPr>
                <w:p w14:paraId="7954CFA4" w14:textId="77777777" w:rsidR="00F05DC7" w:rsidRPr="005128FB" w:rsidRDefault="00F05DC7" w:rsidP="00A3786D">
                  <w:pPr>
                    <w:pStyle w:val="TableBodyText"/>
                    <w:rPr>
                      <w:rFonts w:cs="Arial"/>
                      <w:szCs w:val="18"/>
                    </w:rPr>
                  </w:pPr>
                  <w:r w:rsidRPr="005128FB">
                    <w:rPr>
                      <w:rFonts w:cs="Arial"/>
                      <w:color w:val="000000"/>
                      <w:szCs w:val="18"/>
                    </w:rPr>
                    <w:t>-33</w:t>
                  </w:r>
                </w:p>
              </w:tc>
              <w:tc>
                <w:tcPr>
                  <w:tcW w:w="555" w:type="pct"/>
                  <w:tcBorders>
                    <w:top w:val="nil"/>
                    <w:left w:val="nil"/>
                    <w:bottom w:val="nil"/>
                    <w:right w:val="nil"/>
                  </w:tcBorders>
                  <w:shd w:val="clear" w:color="auto" w:fill="auto"/>
                  <w:vAlign w:val="bottom"/>
                </w:tcPr>
                <w:p w14:paraId="7954CFA5" w14:textId="77777777" w:rsidR="00F05DC7" w:rsidRPr="005128FB" w:rsidRDefault="00F05DC7" w:rsidP="00A3786D">
                  <w:pPr>
                    <w:pStyle w:val="TableBodyText"/>
                    <w:rPr>
                      <w:rFonts w:cs="Arial"/>
                      <w:szCs w:val="18"/>
                    </w:rPr>
                  </w:pPr>
                  <w:r w:rsidRPr="005128FB">
                    <w:rPr>
                      <w:rFonts w:cs="Arial"/>
                      <w:color w:val="000000"/>
                      <w:szCs w:val="18"/>
                    </w:rPr>
                    <w:t>-33</w:t>
                  </w:r>
                </w:p>
              </w:tc>
              <w:tc>
                <w:tcPr>
                  <w:tcW w:w="553" w:type="pct"/>
                  <w:tcBorders>
                    <w:top w:val="nil"/>
                    <w:left w:val="nil"/>
                    <w:bottom w:val="nil"/>
                    <w:right w:val="nil"/>
                  </w:tcBorders>
                  <w:shd w:val="clear" w:color="auto" w:fill="auto"/>
                  <w:vAlign w:val="bottom"/>
                </w:tcPr>
                <w:p w14:paraId="7954CFA6" w14:textId="77777777" w:rsidR="00F05DC7" w:rsidRPr="005128FB" w:rsidRDefault="00F05DC7" w:rsidP="00A3786D">
                  <w:pPr>
                    <w:pStyle w:val="TableBodyText"/>
                    <w:rPr>
                      <w:rFonts w:cs="Arial"/>
                      <w:szCs w:val="18"/>
                    </w:rPr>
                  </w:pPr>
                  <w:r w:rsidRPr="005128FB">
                    <w:rPr>
                      <w:rFonts w:cs="Arial"/>
                      <w:color w:val="000000"/>
                      <w:szCs w:val="18"/>
                    </w:rPr>
                    <w:t>-33</w:t>
                  </w:r>
                </w:p>
              </w:tc>
            </w:tr>
            <w:tr w:rsidR="00F05DC7" w:rsidRPr="00A75ED1" w14:paraId="7954CFB1" w14:textId="77777777" w:rsidTr="00A3786D">
              <w:tc>
                <w:tcPr>
                  <w:tcW w:w="556" w:type="pct"/>
                  <w:vAlign w:val="bottom"/>
                </w:tcPr>
                <w:p w14:paraId="7954CFA8"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CFA9" w14:textId="77777777" w:rsidR="00F05DC7" w:rsidRPr="005128FB" w:rsidRDefault="00F05DC7" w:rsidP="00A3786D">
                  <w:pPr>
                    <w:pStyle w:val="TableBodyText"/>
                    <w:rPr>
                      <w:rFonts w:cs="Arial"/>
                      <w:szCs w:val="18"/>
                    </w:rPr>
                  </w:pPr>
                  <w:r w:rsidRPr="005128FB">
                    <w:rPr>
                      <w:rFonts w:cs="Arial"/>
                      <w:color w:val="000000"/>
                      <w:szCs w:val="18"/>
                    </w:rPr>
                    <w:t>7</w:t>
                  </w:r>
                </w:p>
              </w:tc>
              <w:tc>
                <w:tcPr>
                  <w:tcW w:w="557" w:type="pct"/>
                  <w:tcBorders>
                    <w:top w:val="nil"/>
                    <w:left w:val="nil"/>
                    <w:bottom w:val="nil"/>
                    <w:right w:val="nil"/>
                  </w:tcBorders>
                  <w:shd w:val="clear" w:color="auto" w:fill="auto"/>
                  <w:vAlign w:val="bottom"/>
                </w:tcPr>
                <w:p w14:paraId="7954CFAA" w14:textId="77777777" w:rsidR="00F05DC7" w:rsidRPr="005128FB" w:rsidRDefault="00F05DC7" w:rsidP="00A3786D">
                  <w:pPr>
                    <w:pStyle w:val="TableBodyText"/>
                    <w:rPr>
                      <w:rFonts w:cs="Arial"/>
                      <w:szCs w:val="18"/>
                    </w:rPr>
                  </w:pPr>
                  <w:r w:rsidRPr="005128FB">
                    <w:rPr>
                      <w:rFonts w:cs="Arial"/>
                      <w:color w:val="000000"/>
                      <w:szCs w:val="18"/>
                    </w:rPr>
                    <w:t>-11</w:t>
                  </w:r>
                </w:p>
              </w:tc>
              <w:tc>
                <w:tcPr>
                  <w:tcW w:w="556" w:type="pct"/>
                  <w:tcBorders>
                    <w:top w:val="nil"/>
                    <w:left w:val="nil"/>
                    <w:bottom w:val="nil"/>
                    <w:right w:val="nil"/>
                  </w:tcBorders>
                  <w:shd w:val="clear" w:color="auto" w:fill="auto"/>
                  <w:vAlign w:val="bottom"/>
                </w:tcPr>
                <w:p w14:paraId="7954CFAB" w14:textId="77777777" w:rsidR="00F05DC7" w:rsidRPr="005128FB" w:rsidRDefault="00F05DC7" w:rsidP="00A3786D">
                  <w:pPr>
                    <w:pStyle w:val="TableBodyText"/>
                    <w:rPr>
                      <w:rFonts w:cs="Arial"/>
                      <w:szCs w:val="18"/>
                    </w:rPr>
                  </w:pPr>
                  <w:r w:rsidRPr="005128FB">
                    <w:rPr>
                      <w:rFonts w:cs="Arial"/>
                      <w:color w:val="000000"/>
                      <w:szCs w:val="18"/>
                    </w:rPr>
                    <w:t>-32</w:t>
                  </w:r>
                </w:p>
              </w:tc>
              <w:tc>
                <w:tcPr>
                  <w:tcW w:w="556" w:type="pct"/>
                  <w:tcBorders>
                    <w:top w:val="nil"/>
                    <w:left w:val="nil"/>
                    <w:bottom w:val="nil"/>
                    <w:right w:val="nil"/>
                  </w:tcBorders>
                  <w:shd w:val="clear" w:color="auto" w:fill="auto"/>
                  <w:vAlign w:val="bottom"/>
                </w:tcPr>
                <w:p w14:paraId="7954CFAC" w14:textId="77777777" w:rsidR="00F05DC7" w:rsidRPr="005128FB" w:rsidRDefault="00F05DC7" w:rsidP="00A3786D">
                  <w:pPr>
                    <w:pStyle w:val="TableBodyText"/>
                    <w:rPr>
                      <w:rFonts w:cs="Arial"/>
                      <w:szCs w:val="18"/>
                    </w:rPr>
                  </w:pPr>
                  <w:r w:rsidRPr="005128FB">
                    <w:rPr>
                      <w:rFonts w:cs="Arial"/>
                      <w:color w:val="000000"/>
                      <w:szCs w:val="18"/>
                    </w:rPr>
                    <w:t>105</w:t>
                  </w:r>
                </w:p>
              </w:tc>
              <w:tc>
                <w:tcPr>
                  <w:tcW w:w="555" w:type="pct"/>
                  <w:tcBorders>
                    <w:top w:val="nil"/>
                    <w:left w:val="nil"/>
                    <w:bottom w:val="nil"/>
                    <w:right w:val="nil"/>
                  </w:tcBorders>
                  <w:shd w:val="clear" w:color="auto" w:fill="auto"/>
                  <w:vAlign w:val="bottom"/>
                </w:tcPr>
                <w:p w14:paraId="7954CFAD" w14:textId="77777777" w:rsidR="00F05DC7" w:rsidRPr="005128FB" w:rsidRDefault="00F05DC7" w:rsidP="00A3786D">
                  <w:pPr>
                    <w:pStyle w:val="TableBodyText"/>
                    <w:rPr>
                      <w:rFonts w:cs="Arial"/>
                      <w:szCs w:val="18"/>
                    </w:rPr>
                  </w:pPr>
                  <w:r w:rsidRPr="005128FB">
                    <w:rPr>
                      <w:rFonts w:cs="Arial"/>
                      <w:color w:val="000000"/>
                      <w:szCs w:val="18"/>
                    </w:rPr>
                    <w:t>-32</w:t>
                  </w:r>
                </w:p>
              </w:tc>
              <w:tc>
                <w:tcPr>
                  <w:tcW w:w="555" w:type="pct"/>
                  <w:tcBorders>
                    <w:top w:val="nil"/>
                    <w:left w:val="nil"/>
                    <w:bottom w:val="nil"/>
                    <w:right w:val="nil"/>
                  </w:tcBorders>
                  <w:shd w:val="clear" w:color="auto" w:fill="auto"/>
                  <w:vAlign w:val="bottom"/>
                </w:tcPr>
                <w:p w14:paraId="7954CFAE" w14:textId="77777777" w:rsidR="00F05DC7" w:rsidRPr="005128FB" w:rsidRDefault="00F05DC7" w:rsidP="00A3786D">
                  <w:pPr>
                    <w:pStyle w:val="TableBodyText"/>
                    <w:rPr>
                      <w:rFonts w:cs="Arial"/>
                      <w:szCs w:val="18"/>
                    </w:rPr>
                  </w:pPr>
                  <w:r w:rsidRPr="005128FB">
                    <w:rPr>
                      <w:rFonts w:cs="Arial"/>
                      <w:color w:val="000000"/>
                      <w:szCs w:val="18"/>
                    </w:rPr>
                    <w:t>-32</w:t>
                  </w:r>
                </w:p>
              </w:tc>
              <w:tc>
                <w:tcPr>
                  <w:tcW w:w="555" w:type="pct"/>
                  <w:tcBorders>
                    <w:top w:val="nil"/>
                    <w:left w:val="nil"/>
                    <w:bottom w:val="nil"/>
                    <w:right w:val="nil"/>
                  </w:tcBorders>
                  <w:shd w:val="clear" w:color="auto" w:fill="auto"/>
                  <w:vAlign w:val="bottom"/>
                </w:tcPr>
                <w:p w14:paraId="7954CFAF" w14:textId="77777777" w:rsidR="00F05DC7" w:rsidRPr="005128FB" w:rsidRDefault="00F05DC7" w:rsidP="00A3786D">
                  <w:pPr>
                    <w:pStyle w:val="TableBodyText"/>
                    <w:rPr>
                      <w:rFonts w:cs="Arial"/>
                      <w:szCs w:val="18"/>
                    </w:rPr>
                  </w:pPr>
                  <w:r w:rsidRPr="005128FB">
                    <w:rPr>
                      <w:rFonts w:cs="Arial"/>
                      <w:color w:val="000000"/>
                      <w:szCs w:val="18"/>
                    </w:rPr>
                    <w:t>-32</w:t>
                  </w:r>
                </w:p>
              </w:tc>
              <w:tc>
                <w:tcPr>
                  <w:tcW w:w="553" w:type="pct"/>
                  <w:tcBorders>
                    <w:top w:val="nil"/>
                    <w:left w:val="nil"/>
                    <w:bottom w:val="nil"/>
                    <w:right w:val="nil"/>
                  </w:tcBorders>
                  <w:shd w:val="clear" w:color="auto" w:fill="auto"/>
                  <w:vAlign w:val="bottom"/>
                </w:tcPr>
                <w:p w14:paraId="7954CFB0" w14:textId="77777777" w:rsidR="00F05DC7" w:rsidRPr="005128FB" w:rsidRDefault="00F05DC7" w:rsidP="00A3786D">
                  <w:pPr>
                    <w:pStyle w:val="TableBodyText"/>
                    <w:rPr>
                      <w:rFonts w:cs="Arial"/>
                      <w:szCs w:val="18"/>
                    </w:rPr>
                  </w:pPr>
                  <w:r w:rsidRPr="005128FB">
                    <w:rPr>
                      <w:rFonts w:cs="Arial"/>
                      <w:color w:val="000000"/>
                      <w:szCs w:val="18"/>
                    </w:rPr>
                    <w:t>-32</w:t>
                  </w:r>
                </w:p>
              </w:tc>
            </w:tr>
            <w:tr w:rsidR="00F05DC7" w:rsidRPr="00A75ED1" w14:paraId="7954CFBB" w14:textId="77777777" w:rsidTr="00A3786D">
              <w:tc>
                <w:tcPr>
                  <w:tcW w:w="556" w:type="pct"/>
                  <w:vAlign w:val="bottom"/>
                </w:tcPr>
                <w:p w14:paraId="7954CFB2"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CFB3" w14:textId="77777777" w:rsidR="00F05DC7" w:rsidRPr="005128FB" w:rsidRDefault="00F05DC7" w:rsidP="00A3786D">
                  <w:pPr>
                    <w:pStyle w:val="TableBodyText"/>
                    <w:rPr>
                      <w:rFonts w:cs="Arial"/>
                      <w:szCs w:val="18"/>
                    </w:rPr>
                  </w:pPr>
                  <w:r w:rsidRPr="005128FB">
                    <w:rPr>
                      <w:rFonts w:cs="Arial"/>
                      <w:color w:val="000000"/>
                      <w:szCs w:val="18"/>
                    </w:rPr>
                    <w:t>2</w:t>
                  </w:r>
                </w:p>
              </w:tc>
              <w:tc>
                <w:tcPr>
                  <w:tcW w:w="557" w:type="pct"/>
                  <w:tcBorders>
                    <w:top w:val="nil"/>
                    <w:left w:val="nil"/>
                    <w:bottom w:val="nil"/>
                    <w:right w:val="nil"/>
                  </w:tcBorders>
                  <w:shd w:val="clear" w:color="auto" w:fill="auto"/>
                  <w:vAlign w:val="bottom"/>
                </w:tcPr>
                <w:p w14:paraId="7954CFB4" w14:textId="77777777" w:rsidR="00F05DC7" w:rsidRPr="005128FB" w:rsidRDefault="00F05DC7" w:rsidP="00A3786D">
                  <w:pPr>
                    <w:pStyle w:val="TableBodyText"/>
                    <w:rPr>
                      <w:rFonts w:cs="Arial"/>
                      <w:szCs w:val="18"/>
                    </w:rPr>
                  </w:pPr>
                  <w:r w:rsidRPr="005128FB">
                    <w:rPr>
                      <w:rFonts w:cs="Arial"/>
                      <w:color w:val="000000"/>
                      <w:szCs w:val="18"/>
                    </w:rPr>
                    <w:t>3</w:t>
                  </w:r>
                </w:p>
              </w:tc>
              <w:tc>
                <w:tcPr>
                  <w:tcW w:w="556" w:type="pct"/>
                  <w:tcBorders>
                    <w:top w:val="nil"/>
                    <w:left w:val="nil"/>
                    <w:bottom w:val="nil"/>
                    <w:right w:val="nil"/>
                  </w:tcBorders>
                  <w:shd w:val="clear" w:color="auto" w:fill="auto"/>
                  <w:vAlign w:val="bottom"/>
                </w:tcPr>
                <w:p w14:paraId="7954CFB5" w14:textId="77777777" w:rsidR="00F05DC7" w:rsidRPr="005128FB" w:rsidRDefault="00F05DC7" w:rsidP="00A3786D">
                  <w:pPr>
                    <w:pStyle w:val="TableBodyText"/>
                    <w:rPr>
                      <w:rFonts w:cs="Arial"/>
                      <w:szCs w:val="18"/>
                    </w:rPr>
                  </w:pPr>
                  <w:r w:rsidRPr="005128FB">
                    <w:rPr>
                      <w:rFonts w:cs="Arial"/>
                      <w:color w:val="000000"/>
                      <w:szCs w:val="18"/>
                    </w:rPr>
                    <w:t>-31</w:t>
                  </w:r>
                </w:p>
              </w:tc>
              <w:tc>
                <w:tcPr>
                  <w:tcW w:w="556" w:type="pct"/>
                  <w:tcBorders>
                    <w:top w:val="nil"/>
                    <w:left w:val="nil"/>
                    <w:bottom w:val="nil"/>
                    <w:right w:val="nil"/>
                  </w:tcBorders>
                  <w:shd w:val="clear" w:color="auto" w:fill="auto"/>
                  <w:vAlign w:val="bottom"/>
                </w:tcPr>
                <w:p w14:paraId="7954CFB6" w14:textId="77777777" w:rsidR="00F05DC7" w:rsidRPr="005128FB" w:rsidRDefault="00F05DC7" w:rsidP="00A3786D">
                  <w:pPr>
                    <w:pStyle w:val="TableBodyText"/>
                    <w:rPr>
                      <w:rFonts w:cs="Arial"/>
                      <w:szCs w:val="18"/>
                    </w:rPr>
                  </w:pPr>
                  <w:r w:rsidRPr="005128FB">
                    <w:rPr>
                      <w:rFonts w:cs="Arial"/>
                      <w:color w:val="000000"/>
                      <w:szCs w:val="18"/>
                    </w:rPr>
                    <w:t>80</w:t>
                  </w:r>
                </w:p>
              </w:tc>
              <w:tc>
                <w:tcPr>
                  <w:tcW w:w="555" w:type="pct"/>
                  <w:tcBorders>
                    <w:top w:val="nil"/>
                    <w:left w:val="nil"/>
                    <w:bottom w:val="nil"/>
                    <w:right w:val="nil"/>
                  </w:tcBorders>
                  <w:shd w:val="clear" w:color="auto" w:fill="auto"/>
                  <w:vAlign w:val="bottom"/>
                </w:tcPr>
                <w:p w14:paraId="7954CFB7" w14:textId="77777777" w:rsidR="00F05DC7" w:rsidRPr="005128FB" w:rsidRDefault="00F05DC7" w:rsidP="00A3786D">
                  <w:pPr>
                    <w:pStyle w:val="TableBodyText"/>
                    <w:rPr>
                      <w:rFonts w:cs="Arial"/>
                      <w:szCs w:val="18"/>
                    </w:rPr>
                  </w:pPr>
                  <w:r w:rsidRPr="005128FB">
                    <w:rPr>
                      <w:rFonts w:cs="Arial"/>
                      <w:color w:val="000000"/>
                      <w:szCs w:val="18"/>
                    </w:rPr>
                    <w:t>-31</w:t>
                  </w:r>
                </w:p>
              </w:tc>
              <w:tc>
                <w:tcPr>
                  <w:tcW w:w="555" w:type="pct"/>
                  <w:tcBorders>
                    <w:top w:val="nil"/>
                    <w:left w:val="nil"/>
                    <w:bottom w:val="nil"/>
                    <w:right w:val="nil"/>
                  </w:tcBorders>
                  <w:shd w:val="clear" w:color="auto" w:fill="auto"/>
                  <w:vAlign w:val="bottom"/>
                </w:tcPr>
                <w:p w14:paraId="7954CFB8" w14:textId="77777777" w:rsidR="00F05DC7" w:rsidRPr="005128FB" w:rsidRDefault="00F05DC7" w:rsidP="00A3786D">
                  <w:pPr>
                    <w:pStyle w:val="TableBodyText"/>
                    <w:rPr>
                      <w:rFonts w:cs="Arial"/>
                      <w:szCs w:val="18"/>
                    </w:rPr>
                  </w:pPr>
                  <w:r w:rsidRPr="005128FB">
                    <w:rPr>
                      <w:rFonts w:cs="Arial"/>
                      <w:color w:val="000000"/>
                      <w:szCs w:val="18"/>
                    </w:rPr>
                    <w:t>-30</w:t>
                  </w:r>
                </w:p>
              </w:tc>
              <w:tc>
                <w:tcPr>
                  <w:tcW w:w="555" w:type="pct"/>
                  <w:tcBorders>
                    <w:top w:val="nil"/>
                    <w:left w:val="nil"/>
                    <w:bottom w:val="nil"/>
                    <w:right w:val="nil"/>
                  </w:tcBorders>
                  <w:shd w:val="clear" w:color="auto" w:fill="auto"/>
                  <w:vAlign w:val="bottom"/>
                </w:tcPr>
                <w:p w14:paraId="7954CFB9" w14:textId="77777777" w:rsidR="00F05DC7" w:rsidRPr="005128FB" w:rsidRDefault="00F05DC7" w:rsidP="00A3786D">
                  <w:pPr>
                    <w:pStyle w:val="TableBodyText"/>
                    <w:rPr>
                      <w:rFonts w:cs="Arial"/>
                      <w:szCs w:val="18"/>
                    </w:rPr>
                  </w:pPr>
                  <w:r w:rsidRPr="005128FB">
                    <w:rPr>
                      <w:rFonts w:cs="Arial"/>
                      <w:color w:val="000000"/>
                      <w:szCs w:val="18"/>
                    </w:rPr>
                    <w:t>-31</w:t>
                  </w:r>
                </w:p>
              </w:tc>
              <w:tc>
                <w:tcPr>
                  <w:tcW w:w="553" w:type="pct"/>
                  <w:tcBorders>
                    <w:top w:val="nil"/>
                    <w:left w:val="nil"/>
                    <w:bottom w:val="nil"/>
                    <w:right w:val="nil"/>
                  </w:tcBorders>
                  <w:shd w:val="clear" w:color="auto" w:fill="auto"/>
                  <w:vAlign w:val="bottom"/>
                </w:tcPr>
                <w:p w14:paraId="7954CFBA" w14:textId="77777777" w:rsidR="00F05DC7" w:rsidRPr="005128FB" w:rsidRDefault="00F05DC7" w:rsidP="00A3786D">
                  <w:pPr>
                    <w:pStyle w:val="TableBodyText"/>
                    <w:rPr>
                      <w:rFonts w:cs="Arial"/>
                      <w:szCs w:val="18"/>
                    </w:rPr>
                  </w:pPr>
                  <w:r w:rsidRPr="005128FB">
                    <w:rPr>
                      <w:rFonts w:cs="Arial"/>
                      <w:color w:val="000000"/>
                      <w:szCs w:val="18"/>
                    </w:rPr>
                    <w:t>-30</w:t>
                  </w:r>
                </w:p>
              </w:tc>
            </w:tr>
            <w:tr w:rsidR="00F05DC7" w:rsidRPr="00A75ED1" w14:paraId="7954CFC5" w14:textId="77777777" w:rsidTr="00A3786D">
              <w:tc>
                <w:tcPr>
                  <w:tcW w:w="556" w:type="pct"/>
                </w:tcPr>
                <w:p w14:paraId="7954CFBC"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CFBD" w14:textId="77777777" w:rsidR="00F05DC7" w:rsidRPr="005128FB" w:rsidRDefault="00F05DC7" w:rsidP="00A3786D">
                  <w:pPr>
                    <w:pStyle w:val="TableBodyText"/>
                    <w:rPr>
                      <w:rFonts w:cs="Arial"/>
                      <w:szCs w:val="18"/>
                    </w:rPr>
                  </w:pPr>
                  <w:r w:rsidRPr="005128FB">
                    <w:rPr>
                      <w:rFonts w:cs="Arial"/>
                      <w:color w:val="000000"/>
                      <w:szCs w:val="18"/>
                    </w:rPr>
                    <w:t>-4</w:t>
                  </w:r>
                </w:p>
              </w:tc>
              <w:tc>
                <w:tcPr>
                  <w:tcW w:w="557" w:type="pct"/>
                  <w:tcBorders>
                    <w:top w:val="nil"/>
                    <w:left w:val="nil"/>
                    <w:bottom w:val="nil"/>
                    <w:right w:val="nil"/>
                  </w:tcBorders>
                  <w:shd w:val="clear" w:color="auto" w:fill="auto"/>
                  <w:vAlign w:val="bottom"/>
                </w:tcPr>
                <w:p w14:paraId="7954CFBE" w14:textId="77777777" w:rsidR="00F05DC7" w:rsidRPr="005128FB" w:rsidRDefault="00F05DC7" w:rsidP="00A3786D">
                  <w:pPr>
                    <w:pStyle w:val="TableBodyText"/>
                    <w:rPr>
                      <w:rFonts w:cs="Arial"/>
                      <w:szCs w:val="18"/>
                    </w:rPr>
                  </w:pPr>
                  <w:r w:rsidRPr="005128FB">
                    <w:rPr>
                      <w:rFonts w:cs="Arial"/>
                      <w:color w:val="000000"/>
                      <w:szCs w:val="18"/>
                    </w:rPr>
                    <w:t>19</w:t>
                  </w:r>
                </w:p>
              </w:tc>
              <w:tc>
                <w:tcPr>
                  <w:tcW w:w="556" w:type="pct"/>
                  <w:tcBorders>
                    <w:top w:val="nil"/>
                    <w:left w:val="nil"/>
                    <w:bottom w:val="nil"/>
                    <w:right w:val="nil"/>
                  </w:tcBorders>
                  <w:shd w:val="clear" w:color="auto" w:fill="auto"/>
                  <w:vAlign w:val="bottom"/>
                </w:tcPr>
                <w:p w14:paraId="7954CFBF" w14:textId="77777777" w:rsidR="00F05DC7" w:rsidRPr="005128FB" w:rsidRDefault="00F05DC7" w:rsidP="00A3786D">
                  <w:pPr>
                    <w:pStyle w:val="TableBodyText"/>
                    <w:rPr>
                      <w:rFonts w:cs="Arial"/>
                      <w:szCs w:val="18"/>
                    </w:rPr>
                  </w:pPr>
                  <w:r w:rsidRPr="005128FB">
                    <w:rPr>
                      <w:rFonts w:cs="Arial"/>
                      <w:color w:val="000000"/>
                      <w:szCs w:val="18"/>
                    </w:rPr>
                    <w:t>-30</w:t>
                  </w:r>
                </w:p>
              </w:tc>
              <w:tc>
                <w:tcPr>
                  <w:tcW w:w="556" w:type="pct"/>
                  <w:tcBorders>
                    <w:top w:val="nil"/>
                    <w:left w:val="nil"/>
                    <w:bottom w:val="nil"/>
                    <w:right w:val="nil"/>
                  </w:tcBorders>
                  <w:shd w:val="clear" w:color="auto" w:fill="auto"/>
                  <w:vAlign w:val="bottom"/>
                </w:tcPr>
                <w:p w14:paraId="7954CFC0" w14:textId="77777777" w:rsidR="00F05DC7" w:rsidRPr="005128FB" w:rsidRDefault="00F05DC7" w:rsidP="00A3786D">
                  <w:pPr>
                    <w:pStyle w:val="TableBodyText"/>
                    <w:rPr>
                      <w:rFonts w:cs="Arial"/>
                      <w:szCs w:val="18"/>
                    </w:rPr>
                  </w:pPr>
                  <w:r w:rsidRPr="005128FB">
                    <w:rPr>
                      <w:rFonts w:cs="Arial"/>
                      <w:color w:val="000000"/>
                      <w:szCs w:val="18"/>
                    </w:rPr>
                    <w:t>52</w:t>
                  </w:r>
                </w:p>
              </w:tc>
              <w:tc>
                <w:tcPr>
                  <w:tcW w:w="555" w:type="pct"/>
                  <w:tcBorders>
                    <w:top w:val="nil"/>
                    <w:left w:val="nil"/>
                    <w:bottom w:val="nil"/>
                    <w:right w:val="nil"/>
                  </w:tcBorders>
                  <w:shd w:val="clear" w:color="auto" w:fill="auto"/>
                  <w:vAlign w:val="bottom"/>
                </w:tcPr>
                <w:p w14:paraId="7954CFC1" w14:textId="77777777" w:rsidR="00F05DC7" w:rsidRPr="005128FB" w:rsidRDefault="00F05DC7" w:rsidP="00A3786D">
                  <w:pPr>
                    <w:pStyle w:val="TableBodyText"/>
                    <w:rPr>
                      <w:rFonts w:cs="Arial"/>
                      <w:szCs w:val="18"/>
                    </w:rPr>
                  </w:pPr>
                  <w:r w:rsidRPr="005128FB">
                    <w:rPr>
                      <w:rFonts w:cs="Arial"/>
                      <w:color w:val="000000"/>
                      <w:szCs w:val="18"/>
                    </w:rPr>
                    <w:t>-29</w:t>
                  </w:r>
                </w:p>
              </w:tc>
              <w:tc>
                <w:tcPr>
                  <w:tcW w:w="555" w:type="pct"/>
                  <w:tcBorders>
                    <w:top w:val="nil"/>
                    <w:left w:val="nil"/>
                    <w:bottom w:val="nil"/>
                    <w:right w:val="nil"/>
                  </w:tcBorders>
                  <w:shd w:val="clear" w:color="auto" w:fill="auto"/>
                  <w:vAlign w:val="bottom"/>
                </w:tcPr>
                <w:p w14:paraId="7954CFC2" w14:textId="77777777" w:rsidR="00F05DC7" w:rsidRPr="005128FB" w:rsidRDefault="00F05DC7" w:rsidP="00A3786D">
                  <w:pPr>
                    <w:pStyle w:val="TableBodyText"/>
                    <w:rPr>
                      <w:rFonts w:cs="Arial"/>
                      <w:szCs w:val="18"/>
                    </w:rPr>
                  </w:pPr>
                  <w:r w:rsidRPr="005128FB">
                    <w:rPr>
                      <w:rFonts w:cs="Arial"/>
                      <w:color w:val="000000"/>
                      <w:szCs w:val="18"/>
                    </w:rPr>
                    <w:t>-29</w:t>
                  </w:r>
                </w:p>
              </w:tc>
              <w:tc>
                <w:tcPr>
                  <w:tcW w:w="555" w:type="pct"/>
                  <w:tcBorders>
                    <w:top w:val="nil"/>
                    <w:left w:val="nil"/>
                    <w:bottom w:val="nil"/>
                    <w:right w:val="nil"/>
                  </w:tcBorders>
                  <w:shd w:val="clear" w:color="auto" w:fill="auto"/>
                  <w:vAlign w:val="bottom"/>
                </w:tcPr>
                <w:p w14:paraId="7954CFC3" w14:textId="77777777" w:rsidR="00F05DC7" w:rsidRPr="005128FB" w:rsidRDefault="00F05DC7" w:rsidP="00A3786D">
                  <w:pPr>
                    <w:pStyle w:val="TableBodyText"/>
                    <w:rPr>
                      <w:rFonts w:cs="Arial"/>
                      <w:szCs w:val="18"/>
                    </w:rPr>
                  </w:pPr>
                  <w:r w:rsidRPr="005128FB">
                    <w:rPr>
                      <w:rFonts w:cs="Arial"/>
                      <w:color w:val="000000"/>
                      <w:szCs w:val="18"/>
                    </w:rPr>
                    <w:t>-30</w:t>
                  </w:r>
                </w:p>
              </w:tc>
              <w:tc>
                <w:tcPr>
                  <w:tcW w:w="553" w:type="pct"/>
                  <w:tcBorders>
                    <w:top w:val="nil"/>
                    <w:left w:val="nil"/>
                    <w:bottom w:val="nil"/>
                    <w:right w:val="nil"/>
                  </w:tcBorders>
                  <w:shd w:val="clear" w:color="auto" w:fill="auto"/>
                  <w:vAlign w:val="bottom"/>
                </w:tcPr>
                <w:p w14:paraId="7954CFC4" w14:textId="77777777" w:rsidR="00F05DC7" w:rsidRPr="005128FB" w:rsidRDefault="00F05DC7" w:rsidP="00A3786D">
                  <w:pPr>
                    <w:pStyle w:val="TableBodyText"/>
                    <w:rPr>
                      <w:rFonts w:cs="Arial"/>
                      <w:szCs w:val="18"/>
                    </w:rPr>
                  </w:pPr>
                  <w:r w:rsidRPr="005128FB">
                    <w:rPr>
                      <w:rFonts w:cs="Arial"/>
                      <w:color w:val="000000"/>
                      <w:szCs w:val="18"/>
                    </w:rPr>
                    <w:t>-29</w:t>
                  </w:r>
                </w:p>
              </w:tc>
            </w:tr>
            <w:tr w:rsidR="00F05DC7" w:rsidRPr="00A75ED1" w14:paraId="7954CFCF" w14:textId="77777777" w:rsidTr="00A3786D">
              <w:tc>
                <w:tcPr>
                  <w:tcW w:w="556" w:type="pct"/>
                </w:tcPr>
                <w:p w14:paraId="7954CFC6"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CFC7" w14:textId="77777777" w:rsidR="00F05DC7" w:rsidRPr="005128FB" w:rsidRDefault="00F05DC7" w:rsidP="00A3786D">
                  <w:pPr>
                    <w:pStyle w:val="TableBodyText"/>
                    <w:rPr>
                      <w:rFonts w:cs="Arial"/>
                      <w:szCs w:val="18"/>
                    </w:rPr>
                  </w:pPr>
                  <w:r w:rsidRPr="005128FB">
                    <w:rPr>
                      <w:rFonts w:cs="Arial"/>
                      <w:color w:val="000000"/>
                      <w:szCs w:val="18"/>
                    </w:rPr>
                    <w:t>-10</w:t>
                  </w:r>
                </w:p>
              </w:tc>
              <w:tc>
                <w:tcPr>
                  <w:tcW w:w="557" w:type="pct"/>
                  <w:tcBorders>
                    <w:top w:val="nil"/>
                    <w:left w:val="nil"/>
                    <w:bottom w:val="nil"/>
                    <w:right w:val="nil"/>
                  </w:tcBorders>
                  <w:shd w:val="clear" w:color="auto" w:fill="auto"/>
                  <w:vAlign w:val="bottom"/>
                </w:tcPr>
                <w:p w14:paraId="7954CFC8" w14:textId="77777777" w:rsidR="00F05DC7" w:rsidRPr="005128FB" w:rsidRDefault="00F05DC7" w:rsidP="00A3786D">
                  <w:pPr>
                    <w:pStyle w:val="TableBodyText"/>
                    <w:rPr>
                      <w:rFonts w:cs="Arial"/>
                      <w:szCs w:val="18"/>
                    </w:rPr>
                  </w:pPr>
                  <w:r w:rsidRPr="005128FB">
                    <w:rPr>
                      <w:rFonts w:cs="Arial"/>
                      <w:color w:val="000000"/>
                      <w:szCs w:val="18"/>
                    </w:rPr>
                    <w:t>37</w:t>
                  </w:r>
                </w:p>
              </w:tc>
              <w:tc>
                <w:tcPr>
                  <w:tcW w:w="556" w:type="pct"/>
                  <w:tcBorders>
                    <w:top w:val="nil"/>
                    <w:left w:val="nil"/>
                    <w:bottom w:val="nil"/>
                    <w:right w:val="nil"/>
                  </w:tcBorders>
                  <w:shd w:val="clear" w:color="auto" w:fill="auto"/>
                  <w:vAlign w:val="bottom"/>
                </w:tcPr>
                <w:p w14:paraId="7954CFC9" w14:textId="77777777" w:rsidR="00F05DC7" w:rsidRPr="005128FB" w:rsidRDefault="00F05DC7" w:rsidP="00A3786D">
                  <w:pPr>
                    <w:pStyle w:val="TableBodyText"/>
                    <w:rPr>
                      <w:rFonts w:cs="Arial"/>
                      <w:szCs w:val="18"/>
                    </w:rPr>
                  </w:pPr>
                  <w:r w:rsidRPr="005128FB">
                    <w:rPr>
                      <w:rFonts w:cs="Arial"/>
                      <w:color w:val="000000"/>
                      <w:szCs w:val="18"/>
                    </w:rPr>
                    <w:t>-28</w:t>
                  </w:r>
                </w:p>
              </w:tc>
              <w:tc>
                <w:tcPr>
                  <w:tcW w:w="556" w:type="pct"/>
                  <w:tcBorders>
                    <w:top w:val="nil"/>
                    <w:left w:val="nil"/>
                    <w:bottom w:val="nil"/>
                    <w:right w:val="nil"/>
                  </w:tcBorders>
                  <w:shd w:val="clear" w:color="auto" w:fill="auto"/>
                  <w:vAlign w:val="bottom"/>
                </w:tcPr>
                <w:p w14:paraId="7954CFCA" w14:textId="77777777" w:rsidR="00F05DC7" w:rsidRPr="005128FB" w:rsidRDefault="00F05DC7" w:rsidP="00A3786D">
                  <w:pPr>
                    <w:pStyle w:val="TableBodyText"/>
                    <w:rPr>
                      <w:rFonts w:cs="Arial"/>
                      <w:szCs w:val="18"/>
                    </w:rPr>
                  </w:pPr>
                  <w:r w:rsidRPr="005128FB">
                    <w:rPr>
                      <w:rFonts w:cs="Arial"/>
                      <w:color w:val="000000"/>
                      <w:szCs w:val="18"/>
                    </w:rPr>
                    <w:t>19</w:t>
                  </w:r>
                </w:p>
              </w:tc>
              <w:tc>
                <w:tcPr>
                  <w:tcW w:w="555" w:type="pct"/>
                  <w:tcBorders>
                    <w:top w:val="nil"/>
                    <w:left w:val="nil"/>
                    <w:bottom w:val="nil"/>
                    <w:right w:val="nil"/>
                  </w:tcBorders>
                  <w:shd w:val="clear" w:color="auto" w:fill="auto"/>
                  <w:vAlign w:val="bottom"/>
                </w:tcPr>
                <w:p w14:paraId="7954CFCB" w14:textId="77777777" w:rsidR="00F05DC7" w:rsidRPr="005128FB" w:rsidRDefault="00F05DC7" w:rsidP="00A3786D">
                  <w:pPr>
                    <w:pStyle w:val="TableBodyText"/>
                    <w:rPr>
                      <w:rFonts w:cs="Arial"/>
                      <w:szCs w:val="18"/>
                    </w:rPr>
                  </w:pPr>
                  <w:r w:rsidRPr="005128FB">
                    <w:rPr>
                      <w:rFonts w:cs="Arial"/>
                      <w:color w:val="000000"/>
                      <w:szCs w:val="18"/>
                    </w:rPr>
                    <w:t>-27</w:t>
                  </w:r>
                </w:p>
              </w:tc>
              <w:tc>
                <w:tcPr>
                  <w:tcW w:w="555" w:type="pct"/>
                  <w:tcBorders>
                    <w:top w:val="nil"/>
                    <w:left w:val="nil"/>
                    <w:bottom w:val="nil"/>
                    <w:right w:val="nil"/>
                  </w:tcBorders>
                  <w:shd w:val="clear" w:color="auto" w:fill="auto"/>
                  <w:vAlign w:val="bottom"/>
                </w:tcPr>
                <w:p w14:paraId="7954CFCC" w14:textId="77777777" w:rsidR="00F05DC7" w:rsidRPr="005128FB" w:rsidRDefault="00F05DC7" w:rsidP="00A3786D">
                  <w:pPr>
                    <w:pStyle w:val="TableBodyText"/>
                    <w:rPr>
                      <w:rFonts w:cs="Arial"/>
                      <w:szCs w:val="18"/>
                    </w:rPr>
                  </w:pPr>
                  <w:r w:rsidRPr="005128FB">
                    <w:rPr>
                      <w:rFonts w:cs="Arial"/>
                      <w:color w:val="000000"/>
                      <w:szCs w:val="18"/>
                    </w:rPr>
                    <w:t>-27</w:t>
                  </w:r>
                </w:p>
              </w:tc>
              <w:tc>
                <w:tcPr>
                  <w:tcW w:w="555" w:type="pct"/>
                  <w:tcBorders>
                    <w:top w:val="nil"/>
                    <w:left w:val="nil"/>
                    <w:bottom w:val="nil"/>
                    <w:right w:val="nil"/>
                  </w:tcBorders>
                  <w:shd w:val="clear" w:color="auto" w:fill="auto"/>
                  <w:vAlign w:val="bottom"/>
                </w:tcPr>
                <w:p w14:paraId="7954CFCD" w14:textId="77777777" w:rsidR="00F05DC7" w:rsidRPr="005128FB" w:rsidRDefault="00F05DC7" w:rsidP="00A3786D">
                  <w:pPr>
                    <w:pStyle w:val="TableBodyText"/>
                    <w:rPr>
                      <w:rFonts w:cs="Arial"/>
                      <w:szCs w:val="18"/>
                    </w:rPr>
                  </w:pPr>
                  <w:r w:rsidRPr="005128FB">
                    <w:rPr>
                      <w:rFonts w:cs="Arial"/>
                      <w:color w:val="000000"/>
                      <w:szCs w:val="18"/>
                    </w:rPr>
                    <w:t>-28</w:t>
                  </w:r>
                </w:p>
              </w:tc>
              <w:tc>
                <w:tcPr>
                  <w:tcW w:w="553" w:type="pct"/>
                  <w:tcBorders>
                    <w:top w:val="nil"/>
                    <w:left w:val="nil"/>
                    <w:bottom w:val="nil"/>
                    <w:right w:val="nil"/>
                  </w:tcBorders>
                  <w:shd w:val="clear" w:color="auto" w:fill="auto"/>
                  <w:vAlign w:val="bottom"/>
                </w:tcPr>
                <w:p w14:paraId="7954CFCE" w14:textId="77777777" w:rsidR="00F05DC7" w:rsidRPr="005128FB" w:rsidRDefault="00F05DC7" w:rsidP="00A3786D">
                  <w:pPr>
                    <w:pStyle w:val="TableBodyText"/>
                    <w:rPr>
                      <w:rFonts w:cs="Arial"/>
                      <w:szCs w:val="18"/>
                    </w:rPr>
                  </w:pPr>
                  <w:r w:rsidRPr="005128FB">
                    <w:rPr>
                      <w:rFonts w:cs="Arial"/>
                      <w:color w:val="000000"/>
                      <w:szCs w:val="18"/>
                    </w:rPr>
                    <w:t>-27</w:t>
                  </w:r>
                </w:p>
              </w:tc>
            </w:tr>
            <w:tr w:rsidR="00F05DC7" w:rsidRPr="00A75ED1" w14:paraId="7954CFD9" w14:textId="77777777" w:rsidTr="00A3786D">
              <w:tc>
                <w:tcPr>
                  <w:tcW w:w="556" w:type="pct"/>
                </w:tcPr>
                <w:p w14:paraId="7954CFD0"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CFD1" w14:textId="77777777" w:rsidR="00F05DC7" w:rsidRPr="005128FB" w:rsidRDefault="00F05DC7" w:rsidP="00A3786D">
                  <w:pPr>
                    <w:pStyle w:val="TableBodyText"/>
                    <w:rPr>
                      <w:rFonts w:cs="Arial"/>
                      <w:szCs w:val="18"/>
                    </w:rPr>
                  </w:pPr>
                  <w:r w:rsidRPr="005128FB">
                    <w:rPr>
                      <w:rFonts w:cs="Arial"/>
                      <w:color w:val="000000"/>
                      <w:szCs w:val="18"/>
                    </w:rPr>
                    <w:t>1</w:t>
                  </w:r>
                </w:p>
              </w:tc>
              <w:tc>
                <w:tcPr>
                  <w:tcW w:w="557" w:type="pct"/>
                  <w:tcBorders>
                    <w:top w:val="nil"/>
                    <w:left w:val="nil"/>
                    <w:bottom w:val="nil"/>
                    <w:right w:val="nil"/>
                  </w:tcBorders>
                  <w:shd w:val="clear" w:color="auto" w:fill="auto"/>
                  <w:vAlign w:val="bottom"/>
                </w:tcPr>
                <w:p w14:paraId="7954CFD2" w14:textId="77777777" w:rsidR="00F05DC7" w:rsidRPr="005128FB" w:rsidRDefault="00F05DC7" w:rsidP="00A3786D">
                  <w:pPr>
                    <w:pStyle w:val="TableBodyText"/>
                    <w:rPr>
                      <w:rFonts w:cs="Arial"/>
                      <w:szCs w:val="18"/>
                    </w:rPr>
                  </w:pPr>
                  <w:r w:rsidRPr="005128FB">
                    <w:rPr>
                      <w:rFonts w:cs="Arial"/>
                      <w:color w:val="000000"/>
                      <w:szCs w:val="18"/>
                    </w:rPr>
                    <w:t>6</w:t>
                  </w:r>
                </w:p>
              </w:tc>
              <w:tc>
                <w:tcPr>
                  <w:tcW w:w="556" w:type="pct"/>
                  <w:tcBorders>
                    <w:top w:val="nil"/>
                    <w:left w:val="nil"/>
                    <w:bottom w:val="nil"/>
                    <w:right w:val="nil"/>
                  </w:tcBorders>
                  <w:shd w:val="clear" w:color="auto" w:fill="auto"/>
                  <w:vAlign w:val="bottom"/>
                </w:tcPr>
                <w:p w14:paraId="7954CFD3" w14:textId="77777777" w:rsidR="00F05DC7" w:rsidRPr="005128FB" w:rsidRDefault="00F05DC7" w:rsidP="00A3786D">
                  <w:pPr>
                    <w:pStyle w:val="TableBodyText"/>
                    <w:rPr>
                      <w:rFonts w:cs="Arial"/>
                      <w:szCs w:val="18"/>
                    </w:rPr>
                  </w:pPr>
                  <w:r w:rsidRPr="005128FB">
                    <w:rPr>
                      <w:rFonts w:cs="Arial"/>
                      <w:color w:val="000000"/>
                      <w:szCs w:val="18"/>
                    </w:rPr>
                    <w:t>-37</w:t>
                  </w:r>
                </w:p>
              </w:tc>
              <w:tc>
                <w:tcPr>
                  <w:tcW w:w="556" w:type="pct"/>
                  <w:tcBorders>
                    <w:top w:val="nil"/>
                    <w:left w:val="nil"/>
                    <w:bottom w:val="nil"/>
                    <w:right w:val="nil"/>
                  </w:tcBorders>
                  <w:shd w:val="clear" w:color="auto" w:fill="auto"/>
                  <w:vAlign w:val="bottom"/>
                </w:tcPr>
                <w:p w14:paraId="7954CFD4" w14:textId="77777777" w:rsidR="00F05DC7" w:rsidRPr="005128FB" w:rsidRDefault="00F05DC7" w:rsidP="00A3786D">
                  <w:pPr>
                    <w:pStyle w:val="TableBodyText"/>
                    <w:rPr>
                      <w:rFonts w:cs="Arial"/>
                      <w:szCs w:val="18"/>
                    </w:rPr>
                  </w:pPr>
                  <w:r w:rsidRPr="005128FB">
                    <w:rPr>
                      <w:rFonts w:cs="Arial"/>
                      <w:color w:val="000000"/>
                      <w:szCs w:val="18"/>
                    </w:rPr>
                    <w:t>95</w:t>
                  </w:r>
                </w:p>
              </w:tc>
              <w:tc>
                <w:tcPr>
                  <w:tcW w:w="555" w:type="pct"/>
                  <w:tcBorders>
                    <w:top w:val="nil"/>
                    <w:left w:val="nil"/>
                    <w:bottom w:val="nil"/>
                    <w:right w:val="nil"/>
                  </w:tcBorders>
                  <w:shd w:val="clear" w:color="auto" w:fill="auto"/>
                  <w:vAlign w:val="bottom"/>
                </w:tcPr>
                <w:p w14:paraId="7954CFD5" w14:textId="77777777" w:rsidR="00F05DC7" w:rsidRPr="005128FB" w:rsidRDefault="00F05DC7" w:rsidP="00A3786D">
                  <w:pPr>
                    <w:pStyle w:val="TableBodyText"/>
                    <w:rPr>
                      <w:rFonts w:cs="Arial"/>
                      <w:szCs w:val="18"/>
                    </w:rPr>
                  </w:pPr>
                  <w:r w:rsidRPr="005128FB">
                    <w:rPr>
                      <w:rFonts w:cs="Arial"/>
                      <w:color w:val="000000"/>
                      <w:szCs w:val="18"/>
                    </w:rPr>
                    <w:t>-36</w:t>
                  </w:r>
                </w:p>
              </w:tc>
              <w:tc>
                <w:tcPr>
                  <w:tcW w:w="555" w:type="pct"/>
                  <w:tcBorders>
                    <w:top w:val="nil"/>
                    <w:left w:val="nil"/>
                    <w:bottom w:val="nil"/>
                    <w:right w:val="nil"/>
                  </w:tcBorders>
                  <w:shd w:val="clear" w:color="auto" w:fill="auto"/>
                  <w:vAlign w:val="bottom"/>
                </w:tcPr>
                <w:p w14:paraId="7954CFD6" w14:textId="77777777" w:rsidR="00F05DC7" w:rsidRPr="005128FB" w:rsidRDefault="00F05DC7" w:rsidP="00A3786D">
                  <w:pPr>
                    <w:pStyle w:val="TableBodyText"/>
                    <w:rPr>
                      <w:rFonts w:cs="Arial"/>
                      <w:szCs w:val="18"/>
                    </w:rPr>
                  </w:pPr>
                  <w:r w:rsidRPr="005128FB">
                    <w:rPr>
                      <w:rFonts w:cs="Arial"/>
                      <w:color w:val="000000"/>
                      <w:szCs w:val="18"/>
                    </w:rPr>
                    <w:t>-36</w:t>
                  </w:r>
                </w:p>
              </w:tc>
              <w:tc>
                <w:tcPr>
                  <w:tcW w:w="555" w:type="pct"/>
                  <w:tcBorders>
                    <w:top w:val="nil"/>
                    <w:left w:val="nil"/>
                    <w:bottom w:val="nil"/>
                    <w:right w:val="nil"/>
                  </w:tcBorders>
                  <w:shd w:val="clear" w:color="auto" w:fill="auto"/>
                  <w:vAlign w:val="bottom"/>
                </w:tcPr>
                <w:p w14:paraId="7954CFD7" w14:textId="77777777" w:rsidR="00F05DC7" w:rsidRPr="005128FB" w:rsidRDefault="00F05DC7" w:rsidP="00A3786D">
                  <w:pPr>
                    <w:pStyle w:val="TableBodyText"/>
                    <w:rPr>
                      <w:rFonts w:cs="Arial"/>
                      <w:szCs w:val="18"/>
                    </w:rPr>
                  </w:pPr>
                  <w:r w:rsidRPr="005128FB">
                    <w:rPr>
                      <w:rFonts w:cs="Arial"/>
                      <w:color w:val="000000"/>
                      <w:szCs w:val="18"/>
                    </w:rPr>
                    <w:t>-38</w:t>
                  </w:r>
                </w:p>
              </w:tc>
              <w:tc>
                <w:tcPr>
                  <w:tcW w:w="553" w:type="pct"/>
                  <w:tcBorders>
                    <w:top w:val="nil"/>
                    <w:left w:val="nil"/>
                    <w:bottom w:val="nil"/>
                    <w:right w:val="nil"/>
                  </w:tcBorders>
                  <w:shd w:val="clear" w:color="auto" w:fill="auto"/>
                  <w:vAlign w:val="bottom"/>
                </w:tcPr>
                <w:p w14:paraId="7954CFD8" w14:textId="77777777" w:rsidR="00F05DC7" w:rsidRPr="005128FB" w:rsidRDefault="00F05DC7" w:rsidP="00A3786D">
                  <w:pPr>
                    <w:pStyle w:val="TableBodyText"/>
                    <w:rPr>
                      <w:rFonts w:cs="Arial"/>
                      <w:szCs w:val="18"/>
                    </w:rPr>
                  </w:pPr>
                  <w:r w:rsidRPr="005128FB">
                    <w:rPr>
                      <w:rFonts w:cs="Arial"/>
                      <w:color w:val="000000"/>
                      <w:szCs w:val="18"/>
                    </w:rPr>
                    <w:t>-36</w:t>
                  </w:r>
                </w:p>
              </w:tc>
            </w:tr>
            <w:tr w:rsidR="00F05DC7" w:rsidRPr="00A75ED1" w14:paraId="7954CFE3" w14:textId="77777777" w:rsidTr="00A3786D">
              <w:tc>
                <w:tcPr>
                  <w:tcW w:w="556" w:type="pct"/>
                </w:tcPr>
                <w:p w14:paraId="7954CFDA"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CFDB" w14:textId="77777777" w:rsidR="00F05DC7" w:rsidRPr="005128FB" w:rsidRDefault="00F05DC7" w:rsidP="00A3786D">
                  <w:pPr>
                    <w:pStyle w:val="TableBodyText"/>
                    <w:rPr>
                      <w:rFonts w:cs="Arial"/>
                      <w:szCs w:val="18"/>
                    </w:rPr>
                  </w:pPr>
                  <w:r w:rsidRPr="005128FB">
                    <w:rPr>
                      <w:rFonts w:cs="Arial"/>
                      <w:color w:val="000000"/>
                      <w:szCs w:val="18"/>
                    </w:rPr>
                    <w:t>0</w:t>
                  </w:r>
                </w:p>
              </w:tc>
              <w:tc>
                <w:tcPr>
                  <w:tcW w:w="557" w:type="pct"/>
                  <w:tcBorders>
                    <w:top w:val="nil"/>
                    <w:left w:val="nil"/>
                    <w:bottom w:val="nil"/>
                    <w:right w:val="nil"/>
                  </w:tcBorders>
                  <w:shd w:val="clear" w:color="auto" w:fill="auto"/>
                  <w:vAlign w:val="bottom"/>
                </w:tcPr>
                <w:p w14:paraId="7954CFDC" w14:textId="77777777" w:rsidR="00F05DC7" w:rsidRPr="005128FB" w:rsidRDefault="00F05DC7" w:rsidP="00A3786D">
                  <w:pPr>
                    <w:pStyle w:val="TableBodyText"/>
                    <w:rPr>
                      <w:rFonts w:cs="Arial"/>
                      <w:szCs w:val="18"/>
                    </w:rPr>
                  </w:pPr>
                  <w:r w:rsidRPr="005128FB">
                    <w:rPr>
                      <w:rFonts w:cs="Arial"/>
                      <w:color w:val="000000"/>
                      <w:szCs w:val="18"/>
                    </w:rPr>
                    <w:t>7</w:t>
                  </w:r>
                </w:p>
              </w:tc>
              <w:tc>
                <w:tcPr>
                  <w:tcW w:w="556" w:type="pct"/>
                  <w:tcBorders>
                    <w:top w:val="nil"/>
                    <w:left w:val="nil"/>
                    <w:bottom w:val="nil"/>
                    <w:right w:val="nil"/>
                  </w:tcBorders>
                  <w:shd w:val="clear" w:color="auto" w:fill="auto"/>
                  <w:vAlign w:val="bottom"/>
                </w:tcPr>
                <w:p w14:paraId="7954CFDD" w14:textId="77777777" w:rsidR="00F05DC7" w:rsidRPr="005128FB" w:rsidRDefault="00F05DC7" w:rsidP="00A3786D">
                  <w:pPr>
                    <w:pStyle w:val="TableBodyText"/>
                    <w:rPr>
                      <w:rFonts w:cs="Arial"/>
                      <w:szCs w:val="18"/>
                    </w:rPr>
                  </w:pPr>
                  <w:r w:rsidRPr="005128FB">
                    <w:rPr>
                      <w:rFonts w:cs="Arial"/>
                      <w:color w:val="000000"/>
                      <w:szCs w:val="18"/>
                    </w:rPr>
                    <w:t>-40</w:t>
                  </w:r>
                </w:p>
              </w:tc>
              <w:tc>
                <w:tcPr>
                  <w:tcW w:w="556" w:type="pct"/>
                  <w:tcBorders>
                    <w:top w:val="nil"/>
                    <w:left w:val="nil"/>
                    <w:bottom w:val="nil"/>
                    <w:right w:val="nil"/>
                  </w:tcBorders>
                  <w:shd w:val="clear" w:color="auto" w:fill="auto"/>
                  <w:vAlign w:val="bottom"/>
                </w:tcPr>
                <w:p w14:paraId="7954CFDE" w14:textId="77777777" w:rsidR="00F05DC7" w:rsidRPr="005128FB" w:rsidRDefault="00F05DC7" w:rsidP="00A3786D">
                  <w:pPr>
                    <w:pStyle w:val="TableBodyText"/>
                    <w:rPr>
                      <w:rFonts w:cs="Arial"/>
                      <w:szCs w:val="18"/>
                    </w:rPr>
                  </w:pPr>
                  <w:r w:rsidRPr="005128FB">
                    <w:rPr>
                      <w:rFonts w:cs="Arial"/>
                      <w:color w:val="000000"/>
                      <w:szCs w:val="18"/>
                    </w:rPr>
                    <w:t>102</w:t>
                  </w:r>
                </w:p>
              </w:tc>
              <w:tc>
                <w:tcPr>
                  <w:tcW w:w="555" w:type="pct"/>
                  <w:tcBorders>
                    <w:top w:val="nil"/>
                    <w:left w:val="nil"/>
                    <w:bottom w:val="nil"/>
                    <w:right w:val="nil"/>
                  </w:tcBorders>
                  <w:shd w:val="clear" w:color="auto" w:fill="auto"/>
                  <w:vAlign w:val="bottom"/>
                </w:tcPr>
                <w:p w14:paraId="7954CFDF" w14:textId="77777777" w:rsidR="00F05DC7" w:rsidRPr="005128FB" w:rsidRDefault="00F05DC7" w:rsidP="00A3786D">
                  <w:pPr>
                    <w:pStyle w:val="TableBodyText"/>
                    <w:rPr>
                      <w:rFonts w:cs="Arial"/>
                      <w:szCs w:val="18"/>
                    </w:rPr>
                  </w:pPr>
                  <w:r w:rsidRPr="005128FB">
                    <w:rPr>
                      <w:rFonts w:cs="Arial"/>
                      <w:color w:val="000000"/>
                      <w:szCs w:val="18"/>
                    </w:rPr>
                    <w:t>-39</w:t>
                  </w:r>
                </w:p>
              </w:tc>
              <w:tc>
                <w:tcPr>
                  <w:tcW w:w="555" w:type="pct"/>
                  <w:tcBorders>
                    <w:top w:val="nil"/>
                    <w:left w:val="nil"/>
                    <w:bottom w:val="nil"/>
                    <w:right w:val="nil"/>
                  </w:tcBorders>
                  <w:shd w:val="clear" w:color="auto" w:fill="auto"/>
                  <w:vAlign w:val="bottom"/>
                </w:tcPr>
                <w:p w14:paraId="7954CFE0" w14:textId="77777777" w:rsidR="00F05DC7" w:rsidRPr="005128FB" w:rsidRDefault="00F05DC7" w:rsidP="00A3786D">
                  <w:pPr>
                    <w:pStyle w:val="TableBodyText"/>
                    <w:rPr>
                      <w:rFonts w:cs="Arial"/>
                      <w:szCs w:val="18"/>
                    </w:rPr>
                  </w:pPr>
                  <w:r w:rsidRPr="005128FB">
                    <w:rPr>
                      <w:rFonts w:cs="Arial"/>
                      <w:color w:val="000000"/>
                      <w:szCs w:val="18"/>
                    </w:rPr>
                    <w:t>-38</w:t>
                  </w:r>
                </w:p>
              </w:tc>
              <w:tc>
                <w:tcPr>
                  <w:tcW w:w="555" w:type="pct"/>
                  <w:tcBorders>
                    <w:top w:val="nil"/>
                    <w:left w:val="nil"/>
                    <w:bottom w:val="nil"/>
                    <w:right w:val="nil"/>
                  </w:tcBorders>
                  <w:shd w:val="clear" w:color="auto" w:fill="auto"/>
                  <w:vAlign w:val="bottom"/>
                </w:tcPr>
                <w:p w14:paraId="7954CFE1" w14:textId="77777777" w:rsidR="00F05DC7" w:rsidRPr="005128FB" w:rsidRDefault="00F05DC7" w:rsidP="00A3786D">
                  <w:pPr>
                    <w:pStyle w:val="TableBodyText"/>
                    <w:rPr>
                      <w:rFonts w:cs="Arial"/>
                      <w:szCs w:val="18"/>
                    </w:rPr>
                  </w:pPr>
                  <w:r w:rsidRPr="005128FB">
                    <w:rPr>
                      <w:rFonts w:cs="Arial"/>
                      <w:color w:val="000000"/>
                      <w:szCs w:val="18"/>
                    </w:rPr>
                    <w:t>-40</w:t>
                  </w:r>
                </w:p>
              </w:tc>
              <w:tc>
                <w:tcPr>
                  <w:tcW w:w="553" w:type="pct"/>
                  <w:tcBorders>
                    <w:top w:val="nil"/>
                    <w:left w:val="nil"/>
                    <w:bottom w:val="nil"/>
                    <w:right w:val="nil"/>
                  </w:tcBorders>
                  <w:shd w:val="clear" w:color="auto" w:fill="auto"/>
                  <w:vAlign w:val="bottom"/>
                </w:tcPr>
                <w:p w14:paraId="7954CFE2" w14:textId="77777777" w:rsidR="00F05DC7" w:rsidRPr="005128FB" w:rsidRDefault="00F05DC7" w:rsidP="00A3786D">
                  <w:pPr>
                    <w:pStyle w:val="TableBodyText"/>
                    <w:rPr>
                      <w:rFonts w:cs="Arial"/>
                      <w:szCs w:val="18"/>
                    </w:rPr>
                  </w:pPr>
                  <w:r w:rsidRPr="005128FB">
                    <w:rPr>
                      <w:rFonts w:cs="Arial"/>
                      <w:color w:val="000000"/>
                      <w:szCs w:val="18"/>
                    </w:rPr>
                    <w:t>-38</w:t>
                  </w:r>
                </w:p>
              </w:tc>
            </w:tr>
            <w:tr w:rsidR="00F05DC7" w:rsidRPr="00A75ED1" w14:paraId="7954CFED" w14:textId="77777777" w:rsidTr="002341D7">
              <w:tc>
                <w:tcPr>
                  <w:tcW w:w="556" w:type="pct"/>
                </w:tcPr>
                <w:p w14:paraId="7954CFE4"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CFE5" w14:textId="77777777" w:rsidR="00F05DC7" w:rsidRPr="005128FB" w:rsidRDefault="00F05DC7" w:rsidP="00A3786D">
                  <w:pPr>
                    <w:pStyle w:val="TableBodyText"/>
                    <w:rPr>
                      <w:rFonts w:cs="Arial"/>
                      <w:szCs w:val="18"/>
                    </w:rPr>
                  </w:pPr>
                  <w:r w:rsidRPr="005128FB">
                    <w:rPr>
                      <w:rFonts w:cs="Arial"/>
                      <w:color w:val="000000"/>
                      <w:szCs w:val="18"/>
                    </w:rPr>
                    <w:t>0</w:t>
                  </w:r>
                </w:p>
              </w:tc>
              <w:tc>
                <w:tcPr>
                  <w:tcW w:w="557" w:type="pct"/>
                  <w:tcBorders>
                    <w:top w:val="nil"/>
                    <w:left w:val="nil"/>
                    <w:right w:val="nil"/>
                  </w:tcBorders>
                  <w:shd w:val="clear" w:color="auto" w:fill="auto"/>
                  <w:vAlign w:val="bottom"/>
                </w:tcPr>
                <w:p w14:paraId="7954CFE6" w14:textId="77777777" w:rsidR="00F05DC7" w:rsidRPr="005128FB" w:rsidRDefault="00F05DC7" w:rsidP="00A3786D">
                  <w:pPr>
                    <w:pStyle w:val="TableBodyText"/>
                    <w:rPr>
                      <w:rFonts w:cs="Arial"/>
                      <w:szCs w:val="18"/>
                    </w:rPr>
                  </w:pPr>
                  <w:r w:rsidRPr="005128FB">
                    <w:rPr>
                      <w:rFonts w:cs="Arial"/>
                      <w:color w:val="000000"/>
                      <w:szCs w:val="18"/>
                    </w:rPr>
                    <w:t>7</w:t>
                  </w:r>
                </w:p>
              </w:tc>
              <w:tc>
                <w:tcPr>
                  <w:tcW w:w="556" w:type="pct"/>
                  <w:tcBorders>
                    <w:top w:val="nil"/>
                    <w:left w:val="nil"/>
                    <w:right w:val="nil"/>
                  </w:tcBorders>
                  <w:shd w:val="clear" w:color="auto" w:fill="auto"/>
                  <w:vAlign w:val="bottom"/>
                </w:tcPr>
                <w:p w14:paraId="7954CFE7" w14:textId="77777777" w:rsidR="00F05DC7" w:rsidRPr="005128FB" w:rsidRDefault="00F05DC7" w:rsidP="00A3786D">
                  <w:pPr>
                    <w:pStyle w:val="TableBodyText"/>
                    <w:rPr>
                      <w:rFonts w:cs="Arial"/>
                      <w:szCs w:val="18"/>
                    </w:rPr>
                  </w:pPr>
                  <w:r w:rsidRPr="005128FB">
                    <w:rPr>
                      <w:rFonts w:cs="Arial"/>
                      <w:color w:val="000000"/>
                      <w:szCs w:val="18"/>
                    </w:rPr>
                    <w:t>-43</w:t>
                  </w:r>
                </w:p>
              </w:tc>
              <w:tc>
                <w:tcPr>
                  <w:tcW w:w="556" w:type="pct"/>
                  <w:tcBorders>
                    <w:top w:val="nil"/>
                    <w:left w:val="nil"/>
                    <w:right w:val="nil"/>
                  </w:tcBorders>
                  <w:shd w:val="clear" w:color="auto" w:fill="auto"/>
                  <w:vAlign w:val="bottom"/>
                </w:tcPr>
                <w:p w14:paraId="7954CFE8" w14:textId="77777777" w:rsidR="00F05DC7" w:rsidRPr="005128FB" w:rsidRDefault="00F05DC7" w:rsidP="00A3786D">
                  <w:pPr>
                    <w:pStyle w:val="TableBodyText"/>
                    <w:rPr>
                      <w:rFonts w:cs="Arial"/>
                      <w:szCs w:val="18"/>
                    </w:rPr>
                  </w:pPr>
                  <w:r w:rsidRPr="005128FB">
                    <w:rPr>
                      <w:rFonts w:cs="Arial"/>
                      <w:color w:val="000000"/>
                      <w:szCs w:val="18"/>
                    </w:rPr>
                    <w:t>109</w:t>
                  </w:r>
                </w:p>
              </w:tc>
              <w:tc>
                <w:tcPr>
                  <w:tcW w:w="555" w:type="pct"/>
                  <w:tcBorders>
                    <w:top w:val="nil"/>
                    <w:left w:val="nil"/>
                    <w:right w:val="nil"/>
                  </w:tcBorders>
                  <w:shd w:val="clear" w:color="auto" w:fill="auto"/>
                  <w:vAlign w:val="bottom"/>
                </w:tcPr>
                <w:p w14:paraId="7954CFE9" w14:textId="77777777" w:rsidR="00F05DC7" w:rsidRPr="005128FB" w:rsidRDefault="00F05DC7" w:rsidP="00A3786D">
                  <w:pPr>
                    <w:pStyle w:val="TableBodyText"/>
                    <w:rPr>
                      <w:rFonts w:cs="Arial"/>
                      <w:szCs w:val="18"/>
                    </w:rPr>
                  </w:pPr>
                  <w:r w:rsidRPr="005128FB">
                    <w:rPr>
                      <w:rFonts w:cs="Arial"/>
                      <w:color w:val="000000"/>
                      <w:szCs w:val="18"/>
                    </w:rPr>
                    <w:t>-41</w:t>
                  </w:r>
                </w:p>
              </w:tc>
              <w:tc>
                <w:tcPr>
                  <w:tcW w:w="555" w:type="pct"/>
                  <w:tcBorders>
                    <w:top w:val="nil"/>
                    <w:left w:val="nil"/>
                    <w:right w:val="nil"/>
                  </w:tcBorders>
                  <w:shd w:val="clear" w:color="auto" w:fill="auto"/>
                  <w:vAlign w:val="bottom"/>
                </w:tcPr>
                <w:p w14:paraId="7954CFEA" w14:textId="77777777" w:rsidR="00F05DC7" w:rsidRPr="005128FB" w:rsidRDefault="00F05DC7" w:rsidP="00A3786D">
                  <w:pPr>
                    <w:pStyle w:val="TableBodyText"/>
                    <w:rPr>
                      <w:rFonts w:cs="Arial"/>
                      <w:szCs w:val="18"/>
                    </w:rPr>
                  </w:pPr>
                  <w:r w:rsidRPr="005128FB">
                    <w:rPr>
                      <w:rFonts w:cs="Arial"/>
                      <w:color w:val="000000"/>
                      <w:szCs w:val="18"/>
                    </w:rPr>
                    <w:t>-41</w:t>
                  </w:r>
                </w:p>
              </w:tc>
              <w:tc>
                <w:tcPr>
                  <w:tcW w:w="555" w:type="pct"/>
                  <w:tcBorders>
                    <w:top w:val="nil"/>
                    <w:left w:val="nil"/>
                    <w:right w:val="nil"/>
                  </w:tcBorders>
                  <w:shd w:val="clear" w:color="auto" w:fill="auto"/>
                  <w:vAlign w:val="bottom"/>
                </w:tcPr>
                <w:p w14:paraId="7954CFEB" w14:textId="77777777" w:rsidR="00F05DC7" w:rsidRPr="005128FB" w:rsidRDefault="00F05DC7" w:rsidP="00A3786D">
                  <w:pPr>
                    <w:pStyle w:val="TableBodyText"/>
                    <w:rPr>
                      <w:rFonts w:cs="Arial"/>
                      <w:szCs w:val="18"/>
                    </w:rPr>
                  </w:pPr>
                  <w:r w:rsidRPr="005128FB">
                    <w:rPr>
                      <w:rFonts w:cs="Arial"/>
                      <w:color w:val="000000"/>
                      <w:szCs w:val="18"/>
                    </w:rPr>
                    <w:t>-43</w:t>
                  </w:r>
                </w:p>
              </w:tc>
              <w:tc>
                <w:tcPr>
                  <w:tcW w:w="553" w:type="pct"/>
                  <w:tcBorders>
                    <w:top w:val="nil"/>
                    <w:left w:val="nil"/>
                    <w:right w:val="nil"/>
                  </w:tcBorders>
                  <w:shd w:val="clear" w:color="auto" w:fill="auto"/>
                  <w:vAlign w:val="bottom"/>
                </w:tcPr>
                <w:p w14:paraId="7954CFEC" w14:textId="77777777" w:rsidR="00F05DC7" w:rsidRPr="005128FB" w:rsidRDefault="00F05DC7" w:rsidP="00A3786D">
                  <w:pPr>
                    <w:pStyle w:val="TableBodyText"/>
                    <w:rPr>
                      <w:rFonts w:cs="Arial"/>
                      <w:szCs w:val="18"/>
                    </w:rPr>
                  </w:pPr>
                  <w:r w:rsidRPr="005128FB">
                    <w:rPr>
                      <w:rFonts w:cs="Arial"/>
                      <w:color w:val="000000"/>
                      <w:szCs w:val="18"/>
                    </w:rPr>
                    <w:t>-40</w:t>
                  </w:r>
                </w:p>
              </w:tc>
            </w:tr>
            <w:tr w:rsidR="00F05DC7" w:rsidRPr="00A75ED1" w14:paraId="7954CFEF" w14:textId="77777777" w:rsidTr="002341D7">
              <w:tc>
                <w:tcPr>
                  <w:tcW w:w="5000" w:type="pct"/>
                  <w:gridSpan w:val="9"/>
                  <w:shd w:val="clear" w:color="auto" w:fill="F2F2F2" w:themeFill="background1" w:themeFillShade="F2"/>
                </w:tcPr>
                <w:p w14:paraId="7954CFEE"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CFF9" w14:textId="77777777" w:rsidTr="00A3786D">
              <w:tc>
                <w:tcPr>
                  <w:tcW w:w="556" w:type="pct"/>
                  <w:shd w:val="clear" w:color="auto" w:fill="auto"/>
                  <w:vAlign w:val="bottom"/>
                </w:tcPr>
                <w:p w14:paraId="7954CFF0" w14:textId="77777777" w:rsidR="00F05DC7" w:rsidRPr="00911F46" w:rsidRDefault="00F05DC7" w:rsidP="00A3786D">
                  <w:pPr>
                    <w:pStyle w:val="TableBodyText"/>
                  </w:pPr>
                  <w:r w:rsidRPr="00911F46">
                    <w:t>2019</w:t>
                  </w:r>
                  <w:r>
                    <w:noBreakHyphen/>
                  </w:r>
                  <w:r w:rsidRPr="00911F46">
                    <w:t>20</w:t>
                  </w:r>
                </w:p>
              </w:tc>
              <w:tc>
                <w:tcPr>
                  <w:tcW w:w="557" w:type="pct"/>
                  <w:tcBorders>
                    <w:top w:val="nil"/>
                    <w:left w:val="nil"/>
                    <w:bottom w:val="nil"/>
                    <w:right w:val="nil"/>
                  </w:tcBorders>
                  <w:shd w:val="clear" w:color="auto" w:fill="auto"/>
                  <w:vAlign w:val="bottom"/>
                </w:tcPr>
                <w:p w14:paraId="7954CFF1" w14:textId="77777777" w:rsidR="00F05DC7" w:rsidRPr="00911F46" w:rsidRDefault="00F05DC7" w:rsidP="00A3786D">
                  <w:pPr>
                    <w:pStyle w:val="TableBodyText"/>
                  </w:pPr>
                  <w:r w:rsidRPr="00911F46">
                    <w:rPr>
                      <w:color w:val="000000"/>
                    </w:rPr>
                    <w:t>0.11</w:t>
                  </w:r>
                </w:p>
              </w:tc>
              <w:tc>
                <w:tcPr>
                  <w:tcW w:w="557" w:type="pct"/>
                  <w:tcBorders>
                    <w:top w:val="nil"/>
                    <w:left w:val="nil"/>
                    <w:bottom w:val="nil"/>
                    <w:right w:val="nil"/>
                  </w:tcBorders>
                  <w:shd w:val="clear" w:color="auto" w:fill="auto"/>
                  <w:vAlign w:val="bottom"/>
                </w:tcPr>
                <w:p w14:paraId="7954CFF2" w14:textId="77777777" w:rsidR="00F05DC7" w:rsidRPr="00911F46" w:rsidRDefault="00F05DC7" w:rsidP="00A3786D">
                  <w:pPr>
                    <w:pStyle w:val="TableBodyText"/>
                  </w:pPr>
                  <w:r>
                    <w:rPr>
                      <w:color w:val="000000"/>
                    </w:rPr>
                    <w:noBreakHyphen/>
                  </w:r>
                  <w:r w:rsidRPr="00911F46">
                    <w:rPr>
                      <w:color w:val="000000"/>
                    </w:rPr>
                    <w:t>0.23</w:t>
                  </w:r>
                </w:p>
              </w:tc>
              <w:tc>
                <w:tcPr>
                  <w:tcW w:w="556" w:type="pct"/>
                  <w:tcBorders>
                    <w:top w:val="nil"/>
                    <w:left w:val="nil"/>
                    <w:bottom w:val="nil"/>
                    <w:right w:val="nil"/>
                  </w:tcBorders>
                  <w:shd w:val="clear" w:color="auto" w:fill="auto"/>
                  <w:vAlign w:val="bottom"/>
                </w:tcPr>
                <w:p w14:paraId="7954CFF3" w14:textId="77777777" w:rsidR="00F05DC7" w:rsidRPr="00911F46" w:rsidRDefault="00F05DC7" w:rsidP="00A3786D">
                  <w:pPr>
                    <w:pStyle w:val="TableBodyText"/>
                  </w:pPr>
                  <w:r>
                    <w:rPr>
                      <w:color w:val="000000"/>
                    </w:rPr>
                    <w:noBreakHyphen/>
                  </w:r>
                  <w:r w:rsidRPr="00911F46">
                    <w:rPr>
                      <w:color w:val="000000"/>
                    </w:rPr>
                    <w:t>0.29</w:t>
                  </w:r>
                </w:p>
              </w:tc>
              <w:tc>
                <w:tcPr>
                  <w:tcW w:w="556" w:type="pct"/>
                  <w:tcBorders>
                    <w:top w:val="nil"/>
                    <w:left w:val="nil"/>
                    <w:bottom w:val="nil"/>
                    <w:right w:val="nil"/>
                  </w:tcBorders>
                  <w:shd w:val="clear" w:color="auto" w:fill="auto"/>
                  <w:vAlign w:val="bottom"/>
                </w:tcPr>
                <w:p w14:paraId="7954CFF4" w14:textId="77777777" w:rsidR="00F05DC7" w:rsidRPr="00911F46" w:rsidRDefault="00F05DC7" w:rsidP="00A3786D">
                  <w:pPr>
                    <w:pStyle w:val="TableBodyText"/>
                  </w:pPr>
                  <w:r w:rsidRPr="00911F46">
                    <w:rPr>
                      <w:color w:val="000000"/>
                    </w:rPr>
                    <w:t>1.11</w:t>
                  </w:r>
                </w:p>
              </w:tc>
              <w:tc>
                <w:tcPr>
                  <w:tcW w:w="555" w:type="pct"/>
                  <w:tcBorders>
                    <w:top w:val="nil"/>
                    <w:left w:val="nil"/>
                    <w:bottom w:val="nil"/>
                    <w:right w:val="nil"/>
                  </w:tcBorders>
                  <w:shd w:val="clear" w:color="auto" w:fill="auto"/>
                  <w:vAlign w:val="bottom"/>
                </w:tcPr>
                <w:p w14:paraId="7954CFF5" w14:textId="77777777" w:rsidR="00F05DC7" w:rsidRPr="00911F46" w:rsidRDefault="00F05DC7" w:rsidP="00A3786D">
                  <w:pPr>
                    <w:pStyle w:val="TableBodyText"/>
                  </w:pPr>
                  <w:r>
                    <w:rPr>
                      <w:color w:val="000000"/>
                    </w:rPr>
                    <w:noBreakHyphen/>
                  </w:r>
                  <w:r w:rsidRPr="00911F46">
                    <w:rPr>
                      <w:color w:val="000000"/>
                    </w:rPr>
                    <w:t>0.30</w:t>
                  </w:r>
                </w:p>
              </w:tc>
              <w:tc>
                <w:tcPr>
                  <w:tcW w:w="555" w:type="pct"/>
                  <w:tcBorders>
                    <w:top w:val="nil"/>
                    <w:left w:val="nil"/>
                    <w:bottom w:val="nil"/>
                    <w:right w:val="nil"/>
                  </w:tcBorders>
                  <w:shd w:val="clear" w:color="auto" w:fill="auto"/>
                  <w:vAlign w:val="bottom"/>
                </w:tcPr>
                <w:p w14:paraId="7954CFF6" w14:textId="77777777" w:rsidR="00F05DC7" w:rsidRPr="00911F46" w:rsidRDefault="00F05DC7" w:rsidP="00A3786D">
                  <w:pPr>
                    <w:pStyle w:val="TableBodyText"/>
                  </w:pPr>
                  <w:r>
                    <w:rPr>
                      <w:color w:val="000000"/>
                    </w:rPr>
                    <w:noBreakHyphen/>
                  </w:r>
                  <w:r w:rsidRPr="00911F46">
                    <w:rPr>
                      <w:color w:val="000000"/>
                    </w:rPr>
                    <w:t>0.29</w:t>
                  </w:r>
                </w:p>
              </w:tc>
              <w:tc>
                <w:tcPr>
                  <w:tcW w:w="555" w:type="pct"/>
                  <w:tcBorders>
                    <w:top w:val="nil"/>
                    <w:left w:val="nil"/>
                    <w:bottom w:val="nil"/>
                    <w:right w:val="nil"/>
                  </w:tcBorders>
                  <w:shd w:val="clear" w:color="auto" w:fill="auto"/>
                  <w:vAlign w:val="bottom"/>
                </w:tcPr>
                <w:p w14:paraId="7954CFF7" w14:textId="77777777" w:rsidR="00F05DC7" w:rsidRPr="00911F46" w:rsidRDefault="00F05DC7" w:rsidP="00A3786D">
                  <w:pPr>
                    <w:pStyle w:val="TableBodyText"/>
                  </w:pPr>
                  <w:r>
                    <w:rPr>
                      <w:color w:val="000000"/>
                    </w:rPr>
                    <w:noBreakHyphen/>
                  </w:r>
                  <w:r w:rsidRPr="00911F46">
                    <w:rPr>
                      <w:color w:val="000000"/>
                    </w:rPr>
                    <w:t>0.24</w:t>
                  </w:r>
                </w:p>
              </w:tc>
              <w:tc>
                <w:tcPr>
                  <w:tcW w:w="553" w:type="pct"/>
                  <w:tcBorders>
                    <w:top w:val="nil"/>
                    <w:left w:val="nil"/>
                    <w:bottom w:val="nil"/>
                    <w:right w:val="nil"/>
                  </w:tcBorders>
                  <w:shd w:val="clear" w:color="auto" w:fill="auto"/>
                  <w:vAlign w:val="bottom"/>
                </w:tcPr>
                <w:p w14:paraId="7954CFF8" w14:textId="77777777" w:rsidR="00F05DC7" w:rsidRPr="00911F46" w:rsidRDefault="00F05DC7" w:rsidP="00A3786D">
                  <w:pPr>
                    <w:pStyle w:val="TableBodyText"/>
                  </w:pPr>
                  <w:r>
                    <w:rPr>
                      <w:color w:val="000000"/>
                    </w:rPr>
                    <w:noBreakHyphen/>
                  </w:r>
                  <w:r w:rsidRPr="00911F46">
                    <w:rPr>
                      <w:color w:val="000000"/>
                    </w:rPr>
                    <w:t>0.15</w:t>
                  </w:r>
                </w:p>
              </w:tc>
            </w:tr>
            <w:tr w:rsidR="00F05DC7" w:rsidRPr="00A75ED1" w14:paraId="7954D003" w14:textId="77777777" w:rsidTr="00A3786D">
              <w:tc>
                <w:tcPr>
                  <w:tcW w:w="556" w:type="pct"/>
                  <w:shd w:val="clear" w:color="auto" w:fill="auto"/>
                  <w:vAlign w:val="bottom"/>
                </w:tcPr>
                <w:p w14:paraId="7954CFFA" w14:textId="77777777" w:rsidR="00F05DC7" w:rsidRPr="00911F46" w:rsidRDefault="00F05DC7" w:rsidP="00A3786D">
                  <w:pPr>
                    <w:pStyle w:val="TableBodyText"/>
                  </w:pPr>
                  <w:r w:rsidRPr="00911F46">
                    <w:t>2020</w:t>
                  </w:r>
                  <w:r>
                    <w:noBreakHyphen/>
                  </w:r>
                  <w:r w:rsidRPr="00911F46">
                    <w:t>21</w:t>
                  </w:r>
                </w:p>
              </w:tc>
              <w:tc>
                <w:tcPr>
                  <w:tcW w:w="557" w:type="pct"/>
                  <w:tcBorders>
                    <w:top w:val="nil"/>
                    <w:left w:val="nil"/>
                    <w:bottom w:val="nil"/>
                    <w:right w:val="nil"/>
                  </w:tcBorders>
                  <w:shd w:val="clear" w:color="auto" w:fill="auto"/>
                  <w:vAlign w:val="bottom"/>
                </w:tcPr>
                <w:p w14:paraId="7954CFFB" w14:textId="77777777" w:rsidR="00F05DC7" w:rsidRPr="00911F46" w:rsidRDefault="00F05DC7" w:rsidP="00A3786D">
                  <w:pPr>
                    <w:pStyle w:val="TableBodyText"/>
                  </w:pPr>
                  <w:r w:rsidRPr="00911F46">
                    <w:rPr>
                      <w:color w:val="000000"/>
                    </w:rPr>
                    <w:t>0.06</w:t>
                  </w:r>
                </w:p>
              </w:tc>
              <w:tc>
                <w:tcPr>
                  <w:tcW w:w="557" w:type="pct"/>
                  <w:tcBorders>
                    <w:top w:val="nil"/>
                    <w:left w:val="nil"/>
                    <w:bottom w:val="nil"/>
                    <w:right w:val="nil"/>
                  </w:tcBorders>
                  <w:shd w:val="clear" w:color="auto" w:fill="auto"/>
                  <w:vAlign w:val="bottom"/>
                </w:tcPr>
                <w:p w14:paraId="7954CFFC" w14:textId="77777777" w:rsidR="00F05DC7" w:rsidRPr="00911F46" w:rsidRDefault="00F05DC7" w:rsidP="00A3786D">
                  <w:pPr>
                    <w:pStyle w:val="TableBodyText"/>
                  </w:pPr>
                  <w:r>
                    <w:rPr>
                      <w:color w:val="000000"/>
                    </w:rPr>
                    <w:noBreakHyphen/>
                  </w:r>
                  <w:r w:rsidRPr="00911F46">
                    <w:rPr>
                      <w:color w:val="000000"/>
                    </w:rPr>
                    <w:t>0.11</w:t>
                  </w:r>
                </w:p>
              </w:tc>
              <w:tc>
                <w:tcPr>
                  <w:tcW w:w="556" w:type="pct"/>
                  <w:tcBorders>
                    <w:top w:val="nil"/>
                    <w:left w:val="nil"/>
                    <w:bottom w:val="nil"/>
                    <w:right w:val="nil"/>
                  </w:tcBorders>
                  <w:shd w:val="clear" w:color="auto" w:fill="auto"/>
                  <w:vAlign w:val="bottom"/>
                </w:tcPr>
                <w:p w14:paraId="7954CFFD" w14:textId="77777777" w:rsidR="00F05DC7" w:rsidRPr="00911F46" w:rsidRDefault="00F05DC7" w:rsidP="00A3786D">
                  <w:pPr>
                    <w:pStyle w:val="TableBodyText"/>
                  </w:pPr>
                  <w:r>
                    <w:rPr>
                      <w:color w:val="000000"/>
                    </w:rPr>
                    <w:noBreakHyphen/>
                  </w:r>
                  <w:r w:rsidRPr="00911F46">
                    <w:rPr>
                      <w:color w:val="000000"/>
                    </w:rPr>
                    <w:t>0.28</w:t>
                  </w:r>
                </w:p>
              </w:tc>
              <w:tc>
                <w:tcPr>
                  <w:tcW w:w="556" w:type="pct"/>
                  <w:tcBorders>
                    <w:top w:val="nil"/>
                    <w:left w:val="nil"/>
                    <w:bottom w:val="nil"/>
                    <w:right w:val="nil"/>
                  </w:tcBorders>
                  <w:shd w:val="clear" w:color="auto" w:fill="auto"/>
                  <w:vAlign w:val="bottom"/>
                </w:tcPr>
                <w:p w14:paraId="7954CFFE" w14:textId="77777777" w:rsidR="00F05DC7" w:rsidRPr="00911F46" w:rsidRDefault="00F05DC7" w:rsidP="00A3786D">
                  <w:pPr>
                    <w:pStyle w:val="TableBodyText"/>
                  </w:pPr>
                  <w:r w:rsidRPr="00911F46">
                    <w:rPr>
                      <w:color w:val="000000"/>
                    </w:rPr>
                    <w:t>0.86</w:t>
                  </w:r>
                </w:p>
              </w:tc>
              <w:tc>
                <w:tcPr>
                  <w:tcW w:w="555" w:type="pct"/>
                  <w:tcBorders>
                    <w:top w:val="nil"/>
                    <w:left w:val="nil"/>
                    <w:bottom w:val="nil"/>
                    <w:right w:val="nil"/>
                  </w:tcBorders>
                  <w:shd w:val="clear" w:color="auto" w:fill="auto"/>
                  <w:vAlign w:val="bottom"/>
                </w:tcPr>
                <w:p w14:paraId="7954CFFF" w14:textId="77777777" w:rsidR="00F05DC7" w:rsidRPr="00911F46" w:rsidRDefault="00F05DC7" w:rsidP="00A3786D">
                  <w:pPr>
                    <w:pStyle w:val="TableBodyText"/>
                  </w:pPr>
                  <w:r>
                    <w:rPr>
                      <w:color w:val="000000"/>
                    </w:rPr>
                    <w:noBreakHyphen/>
                  </w:r>
                  <w:r w:rsidRPr="00911F46">
                    <w:rPr>
                      <w:color w:val="000000"/>
                    </w:rPr>
                    <w:t>0.28</w:t>
                  </w:r>
                </w:p>
              </w:tc>
              <w:tc>
                <w:tcPr>
                  <w:tcW w:w="555" w:type="pct"/>
                  <w:tcBorders>
                    <w:top w:val="nil"/>
                    <w:left w:val="nil"/>
                    <w:bottom w:val="nil"/>
                    <w:right w:val="nil"/>
                  </w:tcBorders>
                  <w:shd w:val="clear" w:color="auto" w:fill="auto"/>
                  <w:vAlign w:val="bottom"/>
                </w:tcPr>
                <w:p w14:paraId="7954D000" w14:textId="77777777" w:rsidR="00F05DC7" w:rsidRPr="00911F46" w:rsidRDefault="00F05DC7" w:rsidP="00A3786D">
                  <w:pPr>
                    <w:pStyle w:val="TableBodyText"/>
                  </w:pPr>
                  <w:r>
                    <w:rPr>
                      <w:color w:val="000000"/>
                    </w:rPr>
                    <w:noBreakHyphen/>
                  </w:r>
                  <w:r w:rsidRPr="00911F46">
                    <w:rPr>
                      <w:color w:val="000000"/>
                    </w:rPr>
                    <w:t>0.29</w:t>
                  </w:r>
                </w:p>
              </w:tc>
              <w:tc>
                <w:tcPr>
                  <w:tcW w:w="555" w:type="pct"/>
                  <w:tcBorders>
                    <w:top w:val="nil"/>
                    <w:left w:val="nil"/>
                    <w:bottom w:val="nil"/>
                    <w:right w:val="nil"/>
                  </w:tcBorders>
                  <w:shd w:val="clear" w:color="auto" w:fill="auto"/>
                  <w:vAlign w:val="bottom"/>
                </w:tcPr>
                <w:p w14:paraId="7954D001" w14:textId="77777777" w:rsidR="00F05DC7" w:rsidRPr="00911F46" w:rsidRDefault="00F05DC7" w:rsidP="00A3786D">
                  <w:pPr>
                    <w:pStyle w:val="TableBodyText"/>
                  </w:pPr>
                  <w:r>
                    <w:rPr>
                      <w:color w:val="000000"/>
                    </w:rPr>
                    <w:noBreakHyphen/>
                  </w:r>
                  <w:r w:rsidRPr="00911F46">
                    <w:rPr>
                      <w:color w:val="000000"/>
                    </w:rPr>
                    <w:t>0.22</w:t>
                  </w:r>
                </w:p>
              </w:tc>
              <w:tc>
                <w:tcPr>
                  <w:tcW w:w="553" w:type="pct"/>
                  <w:tcBorders>
                    <w:top w:val="nil"/>
                    <w:left w:val="nil"/>
                    <w:bottom w:val="nil"/>
                    <w:right w:val="nil"/>
                  </w:tcBorders>
                  <w:shd w:val="clear" w:color="auto" w:fill="auto"/>
                  <w:vAlign w:val="bottom"/>
                </w:tcPr>
                <w:p w14:paraId="7954D002" w14:textId="77777777" w:rsidR="00F05DC7" w:rsidRPr="00911F46" w:rsidRDefault="00F05DC7" w:rsidP="00A3786D">
                  <w:pPr>
                    <w:pStyle w:val="TableBodyText"/>
                  </w:pPr>
                  <w:r>
                    <w:rPr>
                      <w:color w:val="000000"/>
                    </w:rPr>
                    <w:noBreakHyphen/>
                  </w:r>
                  <w:r w:rsidRPr="00911F46">
                    <w:rPr>
                      <w:color w:val="000000"/>
                    </w:rPr>
                    <w:t>0.15</w:t>
                  </w:r>
                </w:p>
              </w:tc>
            </w:tr>
            <w:tr w:rsidR="00F05DC7" w:rsidRPr="00A75ED1" w14:paraId="7954D00D" w14:textId="77777777" w:rsidTr="00A3786D">
              <w:tc>
                <w:tcPr>
                  <w:tcW w:w="556" w:type="pct"/>
                  <w:shd w:val="clear" w:color="auto" w:fill="auto"/>
                  <w:vAlign w:val="bottom"/>
                </w:tcPr>
                <w:p w14:paraId="7954D004" w14:textId="77777777" w:rsidR="00F05DC7" w:rsidRPr="00911F46" w:rsidRDefault="00F05DC7" w:rsidP="00A3786D">
                  <w:pPr>
                    <w:pStyle w:val="TableBodyText"/>
                  </w:pPr>
                  <w:r w:rsidRPr="00911F46">
                    <w:t>2021</w:t>
                  </w:r>
                  <w:r>
                    <w:noBreakHyphen/>
                  </w:r>
                  <w:r w:rsidRPr="00911F46">
                    <w:t>22</w:t>
                  </w:r>
                </w:p>
              </w:tc>
              <w:tc>
                <w:tcPr>
                  <w:tcW w:w="557" w:type="pct"/>
                  <w:tcBorders>
                    <w:top w:val="nil"/>
                    <w:left w:val="nil"/>
                    <w:bottom w:val="nil"/>
                    <w:right w:val="nil"/>
                  </w:tcBorders>
                  <w:shd w:val="clear" w:color="auto" w:fill="auto"/>
                  <w:vAlign w:val="bottom"/>
                </w:tcPr>
                <w:p w14:paraId="7954D005" w14:textId="77777777" w:rsidR="00F05DC7" w:rsidRPr="00911F46" w:rsidRDefault="00F05DC7" w:rsidP="00A3786D">
                  <w:pPr>
                    <w:pStyle w:val="TableBodyText"/>
                  </w:pPr>
                  <w:r w:rsidRPr="00911F46">
                    <w:rPr>
                      <w:color w:val="000000"/>
                    </w:rPr>
                    <w:t>0.02</w:t>
                  </w:r>
                </w:p>
              </w:tc>
              <w:tc>
                <w:tcPr>
                  <w:tcW w:w="557" w:type="pct"/>
                  <w:tcBorders>
                    <w:top w:val="nil"/>
                    <w:left w:val="nil"/>
                    <w:bottom w:val="nil"/>
                    <w:right w:val="nil"/>
                  </w:tcBorders>
                  <w:shd w:val="clear" w:color="auto" w:fill="auto"/>
                  <w:vAlign w:val="bottom"/>
                </w:tcPr>
                <w:p w14:paraId="7954D006" w14:textId="77777777" w:rsidR="00F05DC7" w:rsidRPr="00911F46" w:rsidRDefault="00F05DC7" w:rsidP="00A3786D">
                  <w:pPr>
                    <w:pStyle w:val="TableBodyText"/>
                  </w:pPr>
                  <w:r w:rsidRPr="00911F46">
                    <w:rPr>
                      <w:color w:val="000000"/>
                    </w:rPr>
                    <w:t>0.03</w:t>
                  </w:r>
                </w:p>
              </w:tc>
              <w:tc>
                <w:tcPr>
                  <w:tcW w:w="556" w:type="pct"/>
                  <w:tcBorders>
                    <w:top w:val="nil"/>
                    <w:left w:val="nil"/>
                    <w:bottom w:val="nil"/>
                    <w:right w:val="nil"/>
                  </w:tcBorders>
                  <w:shd w:val="clear" w:color="auto" w:fill="auto"/>
                  <w:vAlign w:val="bottom"/>
                </w:tcPr>
                <w:p w14:paraId="7954D007" w14:textId="77777777" w:rsidR="00F05DC7" w:rsidRPr="00911F46" w:rsidRDefault="00F05DC7" w:rsidP="00A3786D">
                  <w:pPr>
                    <w:pStyle w:val="TableBodyText"/>
                  </w:pPr>
                  <w:r>
                    <w:rPr>
                      <w:color w:val="000000"/>
                    </w:rPr>
                    <w:noBreakHyphen/>
                  </w:r>
                  <w:r w:rsidRPr="00911F46">
                    <w:rPr>
                      <w:color w:val="000000"/>
                    </w:rPr>
                    <w:t>0.26</w:t>
                  </w:r>
                </w:p>
              </w:tc>
              <w:tc>
                <w:tcPr>
                  <w:tcW w:w="556" w:type="pct"/>
                  <w:tcBorders>
                    <w:top w:val="nil"/>
                    <w:left w:val="nil"/>
                    <w:bottom w:val="nil"/>
                    <w:right w:val="nil"/>
                  </w:tcBorders>
                  <w:shd w:val="clear" w:color="auto" w:fill="auto"/>
                  <w:vAlign w:val="bottom"/>
                </w:tcPr>
                <w:p w14:paraId="7954D008" w14:textId="77777777" w:rsidR="00F05DC7" w:rsidRPr="00911F46" w:rsidRDefault="00F05DC7" w:rsidP="00A3786D">
                  <w:pPr>
                    <w:pStyle w:val="TableBodyText"/>
                  </w:pPr>
                  <w:r w:rsidRPr="00911F46">
                    <w:rPr>
                      <w:color w:val="000000"/>
                    </w:rPr>
                    <w:t>0.63</w:t>
                  </w:r>
                </w:p>
              </w:tc>
              <w:tc>
                <w:tcPr>
                  <w:tcW w:w="555" w:type="pct"/>
                  <w:tcBorders>
                    <w:top w:val="nil"/>
                    <w:left w:val="nil"/>
                    <w:bottom w:val="nil"/>
                    <w:right w:val="nil"/>
                  </w:tcBorders>
                  <w:shd w:val="clear" w:color="auto" w:fill="auto"/>
                  <w:vAlign w:val="bottom"/>
                </w:tcPr>
                <w:p w14:paraId="7954D009" w14:textId="77777777" w:rsidR="00F05DC7" w:rsidRPr="00911F46" w:rsidRDefault="00F05DC7" w:rsidP="00A3786D">
                  <w:pPr>
                    <w:pStyle w:val="TableBodyText"/>
                  </w:pPr>
                  <w:r>
                    <w:rPr>
                      <w:color w:val="000000"/>
                    </w:rPr>
                    <w:noBreakHyphen/>
                  </w:r>
                  <w:r w:rsidRPr="00911F46">
                    <w:rPr>
                      <w:color w:val="000000"/>
                    </w:rPr>
                    <w:t>0.27</w:t>
                  </w:r>
                </w:p>
              </w:tc>
              <w:tc>
                <w:tcPr>
                  <w:tcW w:w="555" w:type="pct"/>
                  <w:tcBorders>
                    <w:top w:val="nil"/>
                    <w:left w:val="nil"/>
                    <w:bottom w:val="nil"/>
                    <w:right w:val="nil"/>
                  </w:tcBorders>
                  <w:shd w:val="clear" w:color="auto" w:fill="auto"/>
                  <w:vAlign w:val="bottom"/>
                </w:tcPr>
                <w:p w14:paraId="7954D00A" w14:textId="77777777" w:rsidR="00F05DC7" w:rsidRPr="00911F46" w:rsidRDefault="00F05DC7" w:rsidP="00A3786D">
                  <w:pPr>
                    <w:pStyle w:val="TableBodyText"/>
                  </w:pPr>
                  <w:r>
                    <w:rPr>
                      <w:color w:val="000000"/>
                    </w:rPr>
                    <w:noBreakHyphen/>
                  </w:r>
                  <w:r w:rsidRPr="00911F46">
                    <w:rPr>
                      <w:color w:val="000000"/>
                    </w:rPr>
                    <w:t>0.26</w:t>
                  </w:r>
                </w:p>
              </w:tc>
              <w:tc>
                <w:tcPr>
                  <w:tcW w:w="555" w:type="pct"/>
                  <w:tcBorders>
                    <w:top w:val="nil"/>
                    <w:left w:val="nil"/>
                    <w:bottom w:val="nil"/>
                    <w:right w:val="nil"/>
                  </w:tcBorders>
                  <w:shd w:val="clear" w:color="auto" w:fill="auto"/>
                  <w:vAlign w:val="bottom"/>
                </w:tcPr>
                <w:p w14:paraId="7954D00B" w14:textId="77777777" w:rsidR="00F05DC7" w:rsidRPr="00911F46" w:rsidRDefault="00F05DC7" w:rsidP="00A3786D">
                  <w:pPr>
                    <w:pStyle w:val="TableBodyText"/>
                  </w:pPr>
                  <w:r>
                    <w:rPr>
                      <w:color w:val="000000"/>
                    </w:rPr>
                    <w:noBreakHyphen/>
                  </w:r>
                  <w:r w:rsidRPr="00911F46">
                    <w:rPr>
                      <w:color w:val="000000"/>
                    </w:rPr>
                    <w:t>0.22</w:t>
                  </w:r>
                </w:p>
              </w:tc>
              <w:tc>
                <w:tcPr>
                  <w:tcW w:w="553" w:type="pct"/>
                  <w:tcBorders>
                    <w:top w:val="nil"/>
                    <w:left w:val="nil"/>
                    <w:bottom w:val="nil"/>
                    <w:right w:val="nil"/>
                  </w:tcBorders>
                  <w:shd w:val="clear" w:color="auto" w:fill="auto"/>
                  <w:vAlign w:val="bottom"/>
                </w:tcPr>
                <w:p w14:paraId="7954D00C" w14:textId="77777777" w:rsidR="00F05DC7" w:rsidRPr="00911F46" w:rsidRDefault="00F05DC7" w:rsidP="00A3786D">
                  <w:pPr>
                    <w:pStyle w:val="TableBodyText"/>
                  </w:pPr>
                  <w:r>
                    <w:rPr>
                      <w:color w:val="000000"/>
                    </w:rPr>
                    <w:noBreakHyphen/>
                  </w:r>
                  <w:r w:rsidRPr="00911F46">
                    <w:rPr>
                      <w:color w:val="000000"/>
                    </w:rPr>
                    <w:t>0.12</w:t>
                  </w:r>
                </w:p>
              </w:tc>
            </w:tr>
            <w:tr w:rsidR="00F05DC7" w:rsidRPr="00A75ED1" w14:paraId="7954D017" w14:textId="77777777" w:rsidTr="00A3786D">
              <w:tc>
                <w:tcPr>
                  <w:tcW w:w="556" w:type="pct"/>
                  <w:shd w:val="clear" w:color="auto" w:fill="auto"/>
                </w:tcPr>
                <w:p w14:paraId="7954D00E" w14:textId="77777777" w:rsidR="00F05DC7" w:rsidRPr="00911F46" w:rsidRDefault="00F05DC7" w:rsidP="00A3786D">
                  <w:pPr>
                    <w:pStyle w:val="TableBodyText"/>
                  </w:pPr>
                  <w:r w:rsidRPr="00911F46">
                    <w:t>2022</w:t>
                  </w:r>
                  <w:r>
                    <w:noBreakHyphen/>
                  </w:r>
                  <w:r w:rsidRPr="00911F46">
                    <w:t>23</w:t>
                  </w:r>
                </w:p>
              </w:tc>
              <w:tc>
                <w:tcPr>
                  <w:tcW w:w="557" w:type="pct"/>
                  <w:tcBorders>
                    <w:top w:val="nil"/>
                    <w:left w:val="nil"/>
                    <w:bottom w:val="nil"/>
                    <w:right w:val="nil"/>
                  </w:tcBorders>
                  <w:shd w:val="clear" w:color="auto" w:fill="auto"/>
                  <w:vAlign w:val="bottom"/>
                </w:tcPr>
                <w:p w14:paraId="7954D00F" w14:textId="77777777" w:rsidR="00F05DC7" w:rsidRPr="00911F46" w:rsidRDefault="00F05DC7" w:rsidP="00A3786D">
                  <w:pPr>
                    <w:pStyle w:val="TableBodyText"/>
                  </w:pPr>
                  <w:r>
                    <w:rPr>
                      <w:color w:val="000000"/>
                    </w:rPr>
                    <w:noBreakHyphen/>
                  </w:r>
                  <w:r w:rsidRPr="00911F46">
                    <w:rPr>
                      <w:color w:val="000000"/>
                    </w:rPr>
                    <w:t>0.03</w:t>
                  </w:r>
                </w:p>
              </w:tc>
              <w:tc>
                <w:tcPr>
                  <w:tcW w:w="557" w:type="pct"/>
                  <w:tcBorders>
                    <w:top w:val="nil"/>
                    <w:left w:val="nil"/>
                    <w:bottom w:val="nil"/>
                    <w:right w:val="nil"/>
                  </w:tcBorders>
                  <w:shd w:val="clear" w:color="auto" w:fill="auto"/>
                  <w:vAlign w:val="bottom"/>
                </w:tcPr>
                <w:p w14:paraId="7954D010" w14:textId="77777777" w:rsidR="00F05DC7" w:rsidRPr="00911F46" w:rsidRDefault="00F05DC7" w:rsidP="00A3786D">
                  <w:pPr>
                    <w:pStyle w:val="TableBodyText"/>
                  </w:pPr>
                  <w:r w:rsidRPr="00911F46">
                    <w:rPr>
                      <w:color w:val="000000"/>
                    </w:rPr>
                    <w:t>0.17</w:t>
                  </w:r>
                </w:p>
              </w:tc>
              <w:tc>
                <w:tcPr>
                  <w:tcW w:w="556" w:type="pct"/>
                  <w:tcBorders>
                    <w:top w:val="nil"/>
                    <w:left w:val="nil"/>
                    <w:bottom w:val="nil"/>
                    <w:right w:val="nil"/>
                  </w:tcBorders>
                  <w:shd w:val="clear" w:color="auto" w:fill="auto"/>
                  <w:vAlign w:val="bottom"/>
                </w:tcPr>
                <w:p w14:paraId="7954D011" w14:textId="77777777" w:rsidR="00F05DC7" w:rsidRPr="00911F46" w:rsidRDefault="00F05DC7" w:rsidP="00A3786D">
                  <w:pPr>
                    <w:pStyle w:val="TableBodyText"/>
                  </w:pPr>
                  <w:r>
                    <w:rPr>
                      <w:color w:val="000000"/>
                    </w:rPr>
                    <w:noBreakHyphen/>
                  </w:r>
                  <w:r w:rsidRPr="00911F46">
                    <w:rPr>
                      <w:color w:val="000000"/>
                    </w:rPr>
                    <w:t>0.25</w:t>
                  </w:r>
                </w:p>
              </w:tc>
              <w:tc>
                <w:tcPr>
                  <w:tcW w:w="556" w:type="pct"/>
                  <w:tcBorders>
                    <w:top w:val="nil"/>
                    <w:left w:val="nil"/>
                    <w:bottom w:val="nil"/>
                    <w:right w:val="nil"/>
                  </w:tcBorders>
                  <w:shd w:val="clear" w:color="auto" w:fill="auto"/>
                  <w:vAlign w:val="bottom"/>
                </w:tcPr>
                <w:p w14:paraId="7954D012" w14:textId="77777777" w:rsidR="00F05DC7" w:rsidRPr="00911F46" w:rsidRDefault="00F05DC7" w:rsidP="00A3786D">
                  <w:pPr>
                    <w:pStyle w:val="TableBodyText"/>
                  </w:pPr>
                  <w:r w:rsidRPr="00911F46">
                    <w:rPr>
                      <w:color w:val="000000"/>
                    </w:rPr>
                    <w:t>0.40</w:t>
                  </w:r>
                </w:p>
              </w:tc>
              <w:tc>
                <w:tcPr>
                  <w:tcW w:w="555" w:type="pct"/>
                  <w:tcBorders>
                    <w:top w:val="nil"/>
                    <w:left w:val="nil"/>
                    <w:bottom w:val="nil"/>
                    <w:right w:val="nil"/>
                  </w:tcBorders>
                  <w:shd w:val="clear" w:color="auto" w:fill="auto"/>
                  <w:vAlign w:val="bottom"/>
                </w:tcPr>
                <w:p w14:paraId="7954D013" w14:textId="77777777" w:rsidR="00F05DC7" w:rsidRPr="00911F46" w:rsidRDefault="00F05DC7" w:rsidP="00A3786D">
                  <w:pPr>
                    <w:pStyle w:val="TableBodyText"/>
                  </w:pPr>
                  <w:r>
                    <w:rPr>
                      <w:color w:val="000000"/>
                    </w:rPr>
                    <w:noBreakHyphen/>
                  </w:r>
                  <w:r w:rsidRPr="00911F46">
                    <w:rPr>
                      <w:color w:val="000000"/>
                    </w:rPr>
                    <w:t>0.25</w:t>
                  </w:r>
                </w:p>
              </w:tc>
              <w:tc>
                <w:tcPr>
                  <w:tcW w:w="555" w:type="pct"/>
                  <w:tcBorders>
                    <w:top w:val="nil"/>
                    <w:left w:val="nil"/>
                    <w:bottom w:val="nil"/>
                    <w:right w:val="nil"/>
                  </w:tcBorders>
                  <w:shd w:val="clear" w:color="auto" w:fill="auto"/>
                  <w:vAlign w:val="bottom"/>
                </w:tcPr>
                <w:p w14:paraId="7954D014" w14:textId="77777777" w:rsidR="00F05DC7" w:rsidRPr="00911F46" w:rsidRDefault="00F05DC7" w:rsidP="00A3786D">
                  <w:pPr>
                    <w:pStyle w:val="TableBodyText"/>
                  </w:pPr>
                  <w:r>
                    <w:rPr>
                      <w:color w:val="000000"/>
                    </w:rPr>
                    <w:noBreakHyphen/>
                  </w:r>
                  <w:r w:rsidRPr="00911F46">
                    <w:rPr>
                      <w:color w:val="000000"/>
                    </w:rPr>
                    <w:t>0.24</w:t>
                  </w:r>
                </w:p>
              </w:tc>
              <w:tc>
                <w:tcPr>
                  <w:tcW w:w="555" w:type="pct"/>
                  <w:tcBorders>
                    <w:top w:val="nil"/>
                    <w:left w:val="nil"/>
                    <w:bottom w:val="nil"/>
                    <w:right w:val="nil"/>
                  </w:tcBorders>
                  <w:shd w:val="clear" w:color="auto" w:fill="auto"/>
                  <w:vAlign w:val="bottom"/>
                </w:tcPr>
                <w:p w14:paraId="7954D015" w14:textId="77777777" w:rsidR="00F05DC7" w:rsidRPr="00911F46" w:rsidRDefault="00F05DC7" w:rsidP="00A3786D">
                  <w:pPr>
                    <w:pStyle w:val="TableBodyText"/>
                  </w:pPr>
                  <w:r>
                    <w:rPr>
                      <w:color w:val="000000"/>
                    </w:rPr>
                    <w:noBreakHyphen/>
                  </w:r>
                  <w:r w:rsidRPr="00911F46">
                    <w:rPr>
                      <w:color w:val="000000"/>
                    </w:rPr>
                    <w:t>0.20</w:t>
                  </w:r>
                </w:p>
              </w:tc>
              <w:tc>
                <w:tcPr>
                  <w:tcW w:w="553" w:type="pct"/>
                  <w:tcBorders>
                    <w:top w:val="nil"/>
                    <w:left w:val="nil"/>
                    <w:bottom w:val="nil"/>
                    <w:right w:val="nil"/>
                  </w:tcBorders>
                  <w:shd w:val="clear" w:color="auto" w:fill="auto"/>
                  <w:vAlign w:val="bottom"/>
                </w:tcPr>
                <w:p w14:paraId="7954D016" w14:textId="77777777" w:rsidR="00F05DC7" w:rsidRPr="00911F46" w:rsidRDefault="00F05DC7" w:rsidP="00A3786D">
                  <w:pPr>
                    <w:pStyle w:val="TableBodyText"/>
                  </w:pPr>
                  <w:r>
                    <w:rPr>
                      <w:color w:val="000000"/>
                    </w:rPr>
                    <w:noBreakHyphen/>
                  </w:r>
                  <w:r w:rsidRPr="00911F46">
                    <w:rPr>
                      <w:color w:val="000000"/>
                    </w:rPr>
                    <w:t>0.11</w:t>
                  </w:r>
                </w:p>
              </w:tc>
            </w:tr>
            <w:tr w:rsidR="00F05DC7" w:rsidRPr="00A75ED1" w14:paraId="7954D021" w14:textId="77777777" w:rsidTr="00A3786D">
              <w:tc>
                <w:tcPr>
                  <w:tcW w:w="556" w:type="pct"/>
                  <w:shd w:val="clear" w:color="auto" w:fill="auto"/>
                </w:tcPr>
                <w:p w14:paraId="7954D018" w14:textId="77777777" w:rsidR="00F05DC7" w:rsidRPr="00911F46" w:rsidRDefault="00F05DC7" w:rsidP="00A3786D">
                  <w:pPr>
                    <w:pStyle w:val="TableBodyText"/>
                  </w:pPr>
                  <w:r w:rsidRPr="00911F46">
                    <w:t>2023</w:t>
                  </w:r>
                  <w:r>
                    <w:noBreakHyphen/>
                  </w:r>
                  <w:r w:rsidRPr="00911F46">
                    <w:t>24</w:t>
                  </w:r>
                </w:p>
              </w:tc>
              <w:tc>
                <w:tcPr>
                  <w:tcW w:w="557" w:type="pct"/>
                  <w:tcBorders>
                    <w:top w:val="nil"/>
                    <w:left w:val="nil"/>
                    <w:bottom w:val="nil"/>
                    <w:right w:val="nil"/>
                  </w:tcBorders>
                  <w:shd w:val="clear" w:color="auto" w:fill="auto"/>
                  <w:vAlign w:val="bottom"/>
                </w:tcPr>
                <w:p w14:paraId="7954D019" w14:textId="77777777" w:rsidR="00F05DC7" w:rsidRPr="00911F46" w:rsidRDefault="00F05DC7" w:rsidP="00A3786D">
                  <w:pPr>
                    <w:pStyle w:val="TableBodyText"/>
                  </w:pPr>
                  <w:r>
                    <w:rPr>
                      <w:color w:val="000000"/>
                    </w:rPr>
                    <w:noBreakHyphen/>
                  </w:r>
                  <w:r w:rsidRPr="00911F46">
                    <w:rPr>
                      <w:color w:val="000000"/>
                    </w:rPr>
                    <w:t>0.09</w:t>
                  </w:r>
                </w:p>
              </w:tc>
              <w:tc>
                <w:tcPr>
                  <w:tcW w:w="557" w:type="pct"/>
                  <w:tcBorders>
                    <w:top w:val="nil"/>
                    <w:left w:val="nil"/>
                    <w:bottom w:val="nil"/>
                    <w:right w:val="nil"/>
                  </w:tcBorders>
                  <w:shd w:val="clear" w:color="auto" w:fill="auto"/>
                  <w:vAlign w:val="bottom"/>
                </w:tcPr>
                <w:p w14:paraId="7954D01A" w14:textId="77777777" w:rsidR="00F05DC7" w:rsidRPr="00911F46" w:rsidRDefault="00F05DC7" w:rsidP="00A3786D">
                  <w:pPr>
                    <w:pStyle w:val="TableBodyText"/>
                  </w:pPr>
                  <w:r w:rsidRPr="00911F46">
                    <w:rPr>
                      <w:color w:val="000000"/>
                    </w:rPr>
                    <w:t>0.33</w:t>
                  </w:r>
                </w:p>
              </w:tc>
              <w:tc>
                <w:tcPr>
                  <w:tcW w:w="556" w:type="pct"/>
                  <w:tcBorders>
                    <w:top w:val="nil"/>
                    <w:left w:val="nil"/>
                    <w:bottom w:val="nil"/>
                    <w:right w:val="nil"/>
                  </w:tcBorders>
                  <w:shd w:val="clear" w:color="auto" w:fill="auto"/>
                  <w:vAlign w:val="bottom"/>
                </w:tcPr>
                <w:p w14:paraId="7954D01B" w14:textId="77777777" w:rsidR="00F05DC7" w:rsidRPr="00911F46" w:rsidRDefault="00F05DC7" w:rsidP="00A3786D">
                  <w:pPr>
                    <w:pStyle w:val="TableBodyText"/>
                  </w:pPr>
                  <w:r>
                    <w:rPr>
                      <w:color w:val="000000"/>
                    </w:rPr>
                    <w:noBreakHyphen/>
                  </w:r>
                  <w:r w:rsidRPr="00911F46">
                    <w:rPr>
                      <w:color w:val="000000"/>
                    </w:rPr>
                    <w:t>0.23</w:t>
                  </w:r>
                </w:p>
              </w:tc>
              <w:tc>
                <w:tcPr>
                  <w:tcW w:w="556" w:type="pct"/>
                  <w:tcBorders>
                    <w:top w:val="nil"/>
                    <w:left w:val="nil"/>
                    <w:bottom w:val="nil"/>
                    <w:right w:val="nil"/>
                  </w:tcBorders>
                  <w:shd w:val="clear" w:color="auto" w:fill="auto"/>
                  <w:vAlign w:val="bottom"/>
                </w:tcPr>
                <w:p w14:paraId="7954D01C" w14:textId="77777777" w:rsidR="00F05DC7" w:rsidRPr="00911F46" w:rsidRDefault="00F05DC7" w:rsidP="00A3786D">
                  <w:pPr>
                    <w:pStyle w:val="TableBodyText"/>
                  </w:pPr>
                  <w:r w:rsidRPr="00911F46">
                    <w:rPr>
                      <w:color w:val="000000"/>
                    </w:rPr>
                    <w:t>0.14</w:t>
                  </w:r>
                </w:p>
              </w:tc>
              <w:tc>
                <w:tcPr>
                  <w:tcW w:w="555" w:type="pct"/>
                  <w:tcBorders>
                    <w:top w:val="nil"/>
                    <w:left w:val="nil"/>
                    <w:bottom w:val="nil"/>
                    <w:right w:val="nil"/>
                  </w:tcBorders>
                  <w:shd w:val="clear" w:color="auto" w:fill="auto"/>
                  <w:vAlign w:val="bottom"/>
                </w:tcPr>
                <w:p w14:paraId="7954D01D" w14:textId="77777777" w:rsidR="00F05DC7" w:rsidRPr="00911F46" w:rsidRDefault="00F05DC7" w:rsidP="00A3786D">
                  <w:pPr>
                    <w:pStyle w:val="TableBodyText"/>
                  </w:pPr>
                  <w:r>
                    <w:rPr>
                      <w:color w:val="000000"/>
                    </w:rPr>
                    <w:noBreakHyphen/>
                  </w:r>
                  <w:r w:rsidRPr="00911F46">
                    <w:rPr>
                      <w:color w:val="000000"/>
                    </w:rPr>
                    <w:t>0.23</w:t>
                  </w:r>
                </w:p>
              </w:tc>
              <w:tc>
                <w:tcPr>
                  <w:tcW w:w="555" w:type="pct"/>
                  <w:tcBorders>
                    <w:top w:val="nil"/>
                    <w:left w:val="nil"/>
                    <w:bottom w:val="nil"/>
                    <w:right w:val="nil"/>
                  </w:tcBorders>
                  <w:shd w:val="clear" w:color="auto" w:fill="auto"/>
                  <w:vAlign w:val="bottom"/>
                </w:tcPr>
                <w:p w14:paraId="7954D01E" w14:textId="77777777" w:rsidR="00F05DC7" w:rsidRPr="00911F46" w:rsidRDefault="00F05DC7" w:rsidP="00A3786D">
                  <w:pPr>
                    <w:pStyle w:val="TableBodyText"/>
                  </w:pPr>
                  <w:r>
                    <w:rPr>
                      <w:color w:val="000000"/>
                    </w:rPr>
                    <w:noBreakHyphen/>
                  </w:r>
                  <w:r w:rsidRPr="00911F46">
                    <w:rPr>
                      <w:color w:val="000000"/>
                    </w:rPr>
                    <w:t>0.22</w:t>
                  </w:r>
                </w:p>
              </w:tc>
              <w:tc>
                <w:tcPr>
                  <w:tcW w:w="555" w:type="pct"/>
                  <w:tcBorders>
                    <w:top w:val="nil"/>
                    <w:left w:val="nil"/>
                    <w:bottom w:val="nil"/>
                    <w:right w:val="nil"/>
                  </w:tcBorders>
                  <w:shd w:val="clear" w:color="auto" w:fill="auto"/>
                  <w:vAlign w:val="bottom"/>
                </w:tcPr>
                <w:p w14:paraId="7954D01F" w14:textId="77777777" w:rsidR="00F05DC7" w:rsidRPr="00911F46" w:rsidRDefault="00F05DC7" w:rsidP="00A3786D">
                  <w:pPr>
                    <w:pStyle w:val="TableBodyText"/>
                  </w:pPr>
                  <w:r>
                    <w:rPr>
                      <w:color w:val="000000"/>
                    </w:rPr>
                    <w:noBreakHyphen/>
                  </w:r>
                  <w:r w:rsidRPr="00911F46">
                    <w:rPr>
                      <w:color w:val="000000"/>
                    </w:rPr>
                    <w:t>0.19</w:t>
                  </w:r>
                </w:p>
              </w:tc>
              <w:tc>
                <w:tcPr>
                  <w:tcW w:w="553" w:type="pct"/>
                  <w:tcBorders>
                    <w:top w:val="nil"/>
                    <w:left w:val="nil"/>
                    <w:bottom w:val="nil"/>
                    <w:right w:val="nil"/>
                  </w:tcBorders>
                  <w:shd w:val="clear" w:color="auto" w:fill="auto"/>
                  <w:vAlign w:val="bottom"/>
                </w:tcPr>
                <w:p w14:paraId="7954D020" w14:textId="77777777" w:rsidR="00F05DC7" w:rsidRPr="00911F46" w:rsidRDefault="00F05DC7" w:rsidP="00A3786D">
                  <w:pPr>
                    <w:pStyle w:val="TableBodyText"/>
                  </w:pPr>
                  <w:r>
                    <w:rPr>
                      <w:color w:val="000000"/>
                    </w:rPr>
                    <w:noBreakHyphen/>
                  </w:r>
                  <w:r w:rsidRPr="00911F46">
                    <w:rPr>
                      <w:color w:val="000000"/>
                    </w:rPr>
                    <w:t>0.10</w:t>
                  </w:r>
                </w:p>
              </w:tc>
            </w:tr>
            <w:tr w:rsidR="00F05DC7" w:rsidRPr="00A75ED1" w14:paraId="7954D02B" w14:textId="77777777" w:rsidTr="00A3786D">
              <w:tc>
                <w:tcPr>
                  <w:tcW w:w="556" w:type="pct"/>
                  <w:shd w:val="clear" w:color="auto" w:fill="auto"/>
                </w:tcPr>
                <w:p w14:paraId="7954D022" w14:textId="77777777" w:rsidR="00F05DC7" w:rsidRPr="00911F46" w:rsidRDefault="00F05DC7" w:rsidP="00A3786D">
                  <w:pPr>
                    <w:pStyle w:val="TableBodyText"/>
                  </w:pPr>
                  <w:r w:rsidRPr="00911F46">
                    <w:t>2024</w:t>
                  </w:r>
                  <w:r>
                    <w:noBreakHyphen/>
                  </w:r>
                  <w:r w:rsidRPr="00911F46">
                    <w:t>25</w:t>
                  </w:r>
                </w:p>
              </w:tc>
              <w:tc>
                <w:tcPr>
                  <w:tcW w:w="557" w:type="pct"/>
                  <w:tcBorders>
                    <w:top w:val="nil"/>
                    <w:left w:val="nil"/>
                    <w:bottom w:val="nil"/>
                    <w:right w:val="nil"/>
                  </w:tcBorders>
                  <w:shd w:val="clear" w:color="auto" w:fill="auto"/>
                  <w:vAlign w:val="bottom"/>
                </w:tcPr>
                <w:p w14:paraId="7954D023" w14:textId="77777777" w:rsidR="00F05DC7" w:rsidRPr="00911F46" w:rsidRDefault="00F05DC7" w:rsidP="00A3786D">
                  <w:pPr>
                    <w:pStyle w:val="TableBodyText"/>
                  </w:pPr>
                  <w:r w:rsidRPr="00911F46">
                    <w:rPr>
                      <w:color w:val="000000"/>
                    </w:rPr>
                    <w:t>0.00</w:t>
                  </w:r>
                </w:p>
              </w:tc>
              <w:tc>
                <w:tcPr>
                  <w:tcW w:w="557" w:type="pct"/>
                  <w:tcBorders>
                    <w:top w:val="nil"/>
                    <w:left w:val="nil"/>
                    <w:bottom w:val="nil"/>
                    <w:right w:val="nil"/>
                  </w:tcBorders>
                  <w:shd w:val="clear" w:color="auto" w:fill="auto"/>
                  <w:vAlign w:val="bottom"/>
                </w:tcPr>
                <w:p w14:paraId="7954D024" w14:textId="77777777" w:rsidR="00F05DC7" w:rsidRPr="00911F46" w:rsidRDefault="00F05DC7" w:rsidP="00A3786D">
                  <w:pPr>
                    <w:pStyle w:val="TableBodyText"/>
                  </w:pPr>
                  <w:r w:rsidRPr="00911F46">
                    <w:rPr>
                      <w:color w:val="000000"/>
                    </w:rPr>
                    <w:t>0.06</w:t>
                  </w:r>
                </w:p>
              </w:tc>
              <w:tc>
                <w:tcPr>
                  <w:tcW w:w="556" w:type="pct"/>
                  <w:tcBorders>
                    <w:top w:val="nil"/>
                    <w:left w:val="nil"/>
                    <w:bottom w:val="nil"/>
                    <w:right w:val="nil"/>
                  </w:tcBorders>
                  <w:shd w:val="clear" w:color="auto" w:fill="auto"/>
                  <w:vAlign w:val="bottom"/>
                </w:tcPr>
                <w:p w14:paraId="7954D025" w14:textId="77777777" w:rsidR="00F05DC7" w:rsidRPr="00911F46" w:rsidRDefault="00F05DC7" w:rsidP="00A3786D">
                  <w:pPr>
                    <w:pStyle w:val="TableBodyText"/>
                  </w:pPr>
                  <w:r>
                    <w:rPr>
                      <w:color w:val="000000"/>
                    </w:rPr>
                    <w:noBreakHyphen/>
                  </w:r>
                  <w:r w:rsidRPr="00911F46">
                    <w:rPr>
                      <w:color w:val="000000"/>
                    </w:rPr>
                    <w:t>0.31</w:t>
                  </w:r>
                </w:p>
              </w:tc>
              <w:tc>
                <w:tcPr>
                  <w:tcW w:w="556" w:type="pct"/>
                  <w:tcBorders>
                    <w:top w:val="nil"/>
                    <w:left w:val="nil"/>
                    <w:bottom w:val="nil"/>
                    <w:right w:val="nil"/>
                  </w:tcBorders>
                  <w:shd w:val="clear" w:color="auto" w:fill="auto"/>
                  <w:vAlign w:val="bottom"/>
                </w:tcPr>
                <w:p w14:paraId="7954D026" w14:textId="77777777" w:rsidR="00F05DC7" w:rsidRPr="00911F46" w:rsidRDefault="00F05DC7" w:rsidP="00A3786D">
                  <w:pPr>
                    <w:pStyle w:val="TableBodyText"/>
                  </w:pPr>
                  <w:r w:rsidRPr="00911F46">
                    <w:rPr>
                      <w:color w:val="000000"/>
                    </w:rPr>
                    <w:t>0.68</w:t>
                  </w:r>
                </w:p>
              </w:tc>
              <w:tc>
                <w:tcPr>
                  <w:tcW w:w="555" w:type="pct"/>
                  <w:tcBorders>
                    <w:top w:val="nil"/>
                    <w:left w:val="nil"/>
                    <w:bottom w:val="nil"/>
                    <w:right w:val="nil"/>
                  </w:tcBorders>
                  <w:shd w:val="clear" w:color="auto" w:fill="auto"/>
                  <w:vAlign w:val="bottom"/>
                </w:tcPr>
                <w:p w14:paraId="7954D027" w14:textId="77777777" w:rsidR="00F05DC7" w:rsidRPr="00911F46" w:rsidRDefault="00F05DC7" w:rsidP="00A3786D">
                  <w:pPr>
                    <w:pStyle w:val="TableBodyText"/>
                  </w:pPr>
                  <w:r>
                    <w:rPr>
                      <w:color w:val="000000"/>
                    </w:rPr>
                    <w:noBreakHyphen/>
                  </w:r>
                  <w:r w:rsidRPr="00911F46">
                    <w:rPr>
                      <w:color w:val="000000"/>
                    </w:rPr>
                    <w:t>0.31</w:t>
                  </w:r>
                </w:p>
              </w:tc>
              <w:tc>
                <w:tcPr>
                  <w:tcW w:w="555" w:type="pct"/>
                  <w:tcBorders>
                    <w:top w:val="nil"/>
                    <w:left w:val="nil"/>
                    <w:bottom w:val="nil"/>
                    <w:right w:val="nil"/>
                  </w:tcBorders>
                  <w:shd w:val="clear" w:color="auto" w:fill="auto"/>
                  <w:vAlign w:val="bottom"/>
                </w:tcPr>
                <w:p w14:paraId="7954D028" w14:textId="77777777" w:rsidR="00F05DC7" w:rsidRPr="00911F46" w:rsidRDefault="00F05DC7" w:rsidP="00A3786D">
                  <w:pPr>
                    <w:pStyle w:val="TableBodyText"/>
                  </w:pPr>
                  <w:r>
                    <w:rPr>
                      <w:color w:val="000000"/>
                    </w:rPr>
                    <w:noBreakHyphen/>
                  </w:r>
                  <w:r w:rsidRPr="00911F46">
                    <w:rPr>
                      <w:color w:val="000000"/>
                    </w:rPr>
                    <w:t>0.30</w:t>
                  </w:r>
                </w:p>
              </w:tc>
              <w:tc>
                <w:tcPr>
                  <w:tcW w:w="555" w:type="pct"/>
                  <w:tcBorders>
                    <w:top w:val="nil"/>
                    <w:left w:val="nil"/>
                    <w:bottom w:val="nil"/>
                    <w:right w:val="nil"/>
                  </w:tcBorders>
                  <w:shd w:val="clear" w:color="auto" w:fill="auto"/>
                  <w:vAlign w:val="bottom"/>
                </w:tcPr>
                <w:p w14:paraId="7954D029" w14:textId="77777777" w:rsidR="00F05DC7" w:rsidRPr="00911F46" w:rsidRDefault="00F05DC7" w:rsidP="00A3786D">
                  <w:pPr>
                    <w:pStyle w:val="TableBodyText"/>
                  </w:pPr>
                  <w:r>
                    <w:rPr>
                      <w:color w:val="000000"/>
                    </w:rPr>
                    <w:noBreakHyphen/>
                  </w:r>
                  <w:r w:rsidRPr="00911F46">
                    <w:rPr>
                      <w:color w:val="000000"/>
                    </w:rPr>
                    <w:t>0.24</w:t>
                  </w:r>
                </w:p>
              </w:tc>
              <w:tc>
                <w:tcPr>
                  <w:tcW w:w="553" w:type="pct"/>
                  <w:tcBorders>
                    <w:top w:val="nil"/>
                    <w:left w:val="nil"/>
                    <w:bottom w:val="nil"/>
                    <w:right w:val="nil"/>
                  </w:tcBorders>
                  <w:shd w:val="clear" w:color="auto" w:fill="auto"/>
                  <w:vAlign w:val="bottom"/>
                </w:tcPr>
                <w:p w14:paraId="7954D02A" w14:textId="77777777" w:rsidR="00F05DC7" w:rsidRPr="00911F46" w:rsidRDefault="00F05DC7" w:rsidP="00A3786D">
                  <w:pPr>
                    <w:pStyle w:val="TableBodyText"/>
                  </w:pPr>
                  <w:r>
                    <w:rPr>
                      <w:color w:val="000000"/>
                    </w:rPr>
                    <w:noBreakHyphen/>
                  </w:r>
                  <w:r w:rsidRPr="00911F46">
                    <w:rPr>
                      <w:color w:val="000000"/>
                    </w:rPr>
                    <w:t>0.13</w:t>
                  </w:r>
                </w:p>
              </w:tc>
            </w:tr>
            <w:tr w:rsidR="00F05DC7" w:rsidRPr="00A75ED1" w14:paraId="7954D035" w14:textId="77777777" w:rsidTr="00A3786D">
              <w:tc>
                <w:tcPr>
                  <w:tcW w:w="556" w:type="pct"/>
                  <w:shd w:val="clear" w:color="auto" w:fill="auto"/>
                </w:tcPr>
                <w:p w14:paraId="7954D02C" w14:textId="77777777" w:rsidR="00F05DC7" w:rsidRPr="00911F46" w:rsidRDefault="00F05DC7" w:rsidP="00A3786D">
                  <w:pPr>
                    <w:pStyle w:val="TableBodyText"/>
                  </w:pPr>
                  <w:r w:rsidRPr="00911F46">
                    <w:t>2025</w:t>
                  </w:r>
                  <w:r>
                    <w:noBreakHyphen/>
                  </w:r>
                  <w:r w:rsidRPr="00911F46">
                    <w:t>26</w:t>
                  </w:r>
                </w:p>
              </w:tc>
              <w:tc>
                <w:tcPr>
                  <w:tcW w:w="557" w:type="pct"/>
                  <w:tcBorders>
                    <w:top w:val="nil"/>
                    <w:left w:val="nil"/>
                    <w:bottom w:val="nil"/>
                    <w:right w:val="nil"/>
                  </w:tcBorders>
                  <w:shd w:val="clear" w:color="auto" w:fill="auto"/>
                  <w:vAlign w:val="bottom"/>
                </w:tcPr>
                <w:p w14:paraId="7954D02D" w14:textId="77777777" w:rsidR="00F05DC7" w:rsidRPr="00911F46" w:rsidRDefault="00F05DC7" w:rsidP="00A3786D">
                  <w:pPr>
                    <w:pStyle w:val="TableBodyText"/>
                  </w:pPr>
                  <w:r w:rsidRPr="00911F46">
                    <w:rPr>
                      <w:color w:val="000000"/>
                    </w:rPr>
                    <w:t>0.00</w:t>
                  </w:r>
                </w:p>
              </w:tc>
              <w:tc>
                <w:tcPr>
                  <w:tcW w:w="557" w:type="pct"/>
                  <w:tcBorders>
                    <w:top w:val="nil"/>
                    <w:left w:val="nil"/>
                    <w:bottom w:val="nil"/>
                    <w:right w:val="nil"/>
                  </w:tcBorders>
                  <w:shd w:val="clear" w:color="auto" w:fill="auto"/>
                  <w:vAlign w:val="bottom"/>
                </w:tcPr>
                <w:p w14:paraId="7954D02E" w14:textId="77777777" w:rsidR="00F05DC7" w:rsidRPr="00911F46" w:rsidRDefault="00F05DC7" w:rsidP="00A3786D">
                  <w:pPr>
                    <w:pStyle w:val="TableBodyText"/>
                  </w:pPr>
                  <w:r w:rsidRPr="00911F46">
                    <w:rPr>
                      <w:color w:val="000000"/>
                    </w:rPr>
                    <w:t>0.06</w:t>
                  </w:r>
                </w:p>
              </w:tc>
              <w:tc>
                <w:tcPr>
                  <w:tcW w:w="556" w:type="pct"/>
                  <w:tcBorders>
                    <w:top w:val="nil"/>
                    <w:left w:val="nil"/>
                    <w:bottom w:val="nil"/>
                    <w:right w:val="nil"/>
                  </w:tcBorders>
                  <w:shd w:val="clear" w:color="auto" w:fill="auto"/>
                  <w:vAlign w:val="bottom"/>
                </w:tcPr>
                <w:p w14:paraId="7954D02F" w14:textId="77777777" w:rsidR="00F05DC7" w:rsidRPr="00911F46" w:rsidRDefault="00F05DC7" w:rsidP="00A3786D">
                  <w:pPr>
                    <w:pStyle w:val="TableBodyText"/>
                  </w:pPr>
                  <w:r>
                    <w:rPr>
                      <w:color w:val="000000"/>
                    </w:rPr>
                    <w:noBreakHyphen/>
                  </w:r>
                  <w:r w:rsidRPr="00911F46">
                    <w:rPr>
                      <w:color w:val="000000"/>
                    </w:rPr>
                    <w:t>0.32</w:t>
                  </w:r>
                </w:p>
              </w:tc>
              <w:tc>
                <w:tcPr>
                  <w:tcW w:w="556" w:type="pct"/>
                  <w:tcBorders>
                    <w:top w:val="nil"/>
                    <w:left w:val="nil"/>
                    <w:bottom w:val="nil"/>
                    <w:right w:val="nil"/>
                  </w:tcBorders>
                  <w:shd w:val="clear" w:color="auto" w:fill="auto"/>
                  <w:vAlign w:val="bottom"/>
                </w:tcPr>
                <w:p w14:paraId="7954D030" w14:textId="77777777" w:rsidR="00F05DC7" w:rsidRPr="00911F46" w:rsidRDefault="00F05DC7" w:rsidP="00A3786D">
                  <w:pPr>
                    <w:pStyle w:val="TableBodyText"/>
                  </w:pPr>
                  <w:r w:rsidRPr="00911F46">
                    <w:rPr>
                      <w:color w:val="000000"/>
                    </w:rPr>
                    <w:t>0.72</w:t>
                  </w:r>
                </w:p>
              </w:tc>
              <w:tc>
                <w:tcPr>
                  <w:tcW w:w="555" w:type="pct"/>
                  <w:tcBorders>
                    <w:top w:val="nil"/>
                    <w:left w:val="nil"/>
                    <w:bottom w:val="nil"/>
                    <w:right w:val="nil"/>
                  </w:tcBorders>
                  <w:shd w:val="clear" w:color="auto" w:fill="auto"/>
                  <w:vAlign w:val="bottom"/>
                </w:tcPr>
                <w:p w14:paraId="7954D031" w14:textId="77777777" w:rsidR="00F05DC7" w:rsidRPr="00911F46" w:rsidRDefault="00F05DC7" w:rsidP="00A3786D">
                  <w:pPr>
                    <w:pStyle w:val="TableBodyText"/>
                  </w:pPr>
                  <w:r>
                    <w:rPr>
                      <w:color w:val="000000"/>
                    </w:rPr>
                    <w:noBreakHyphen/>
                  </w:r>
                  <w:r w:rsidRPr="00911F46">
                    <w:rPr>
                      <w:color w:val="000000"/>
                    </w:rPr>
                    <w:t>0.32</w:t>
                  </w:r>
                </w:p>
              </w:tc>
              <w:tc>
                <w:tcPr>
                  <w:tcW w:w="555" w:type="pct"/>
                  <w:tcBorders>
                    <w:top w:val="nil"/>
                    <w:left w:val="nil"/>
                    <w:bottom w:val="nil"/>
                    <w:right w:val="nil"/>
                  </w:tcBorders>
                  <w:shd w:val="clear" w:color="auto" w:fill="auto"/>
                  <w:vAlign w:val="bottom"/>
                </w:tcPr>
                <w:p w14:paraId="7954D032" w14:textId="77777777" w:rsidR="00F05DC7" w:rsidRPr="00911F46" w:rsidRDefault="00F05DC7" w:rsidP="00A3786D">
                  <w:pPr>
                    <w:pStyle w:val="TableBodyText"/>
                  </w:pPr>
                  <w:r>
                    <w:rPr>
                      <w:color w:val="000000"/>
                    </w:rPr>
                    <w:noBreakHyphen/>
                  </w:r>
                  <w:r w:rsidRPr="00911F46">
                    <w:rPr>
                      <w:color w:val="000000"/>
                    </w:rPr>
                    <w:t>0.31</w:t>
                  </w:r>
                </w:p>
              </w:tc>
              <w:tc>
                <w:tcPr>
                  <w:tcW w:w="555" w:type="pct"/>
                  <w:tcBorders>
                    <w:top w:val="nil"/>
                    <w:left w:val="nil"/>
                    <w:bottom w:val="nil"/>
                    <w:right w:val="nil"/>
                  </w:tcBorders>
                  <w:shd w:val="clear" w:color="auto" w:fill="auto"/>
                  <w:vAlign w:val="bottom"/>
                </w:tcPr>
                <w:p w14:paraId="7954D033" w14:textId="77777777" w:rsidR="00F05DC7" w:rsidRPr="00911F46" w:rsidRDefault="00F05DC7" w:rsidP="00A3786D">
                  <w:pPr>
                    <w:pStyle w:val="TableBodyText"/>
                  </w:pPr>
                  <w:r>
                    <w:rPr>
                      <w:color w:val="000000"/>
                    </w:rPr>
                    <w:noBreakHyphen/>
                  </w:r>
                  <w:r w:rsidRPr="00911F46">
                    <w:rPr>
                      <w:color w:val="000000"/>
                    </w:rPr>
                    <w:t>0.25</w:t>
                  </w:r>
                </w:p>
              </w:tc>
              <w:tc>
                <w:tcPr>
                  <w:tcW w:w="553" w:type="pct"/>
                  <w:tcBorders>
                    <w:top w:val="nil"/>
                    <w:left w:val="nil"/>
                    <w:bottom w:val="nil"/>
                    <w:right w:val="nil"/>
                  </w:tcBorders>
                  <w:shd w:val="clear" w:color="auto" w:fill="auto"/>
                  <w:vAlign w:val="bottom"/>
                </w:tcPr>
                <w:p w14:paraId="7954D034" w14:textId="77777777" w:rsidR="00F05DC7" w:rsidRPr="00911F46" w:rsidRDefault="00F05DC7" w:rsidP="00A3786D">
                  <w:pPr>
                    <w:pStyle w:val="TableBodyText"/>
                  </w:pPr>
                  <w:r>
                    <w:rPr>
                      <w:color w:val="000000"/>
                    </w:rPr>
                    <w:noBreakHyphen/>
                  </w:r>
                  <w:r w:rsidRPr="00911F46">
                    <w:rPr>
                      <w:color w:val="000000"/>
                    </w:rPr>
                    <w:t>0.14</w:t>
                  </w:r>
                </w:p>
              </w:tc>
            </w:tr>
            <w:tr w:rsidR="00F05DC7" w:rsidRPr="00A75ED1" w14:paraId="7954D03F" w14:textId="77777777" w:rsidTr="00A3786D">
              <w:tc>
                <w:tcPr>
                  <w:tcW w:w="556" w:type="pct"/>
                  <w:tcBorders>
                    <w:bottom w:val="single" w:sz="6" w:space="0" w:color="D9D9D9" w:themeColor="background1" w:themeShade="D9"/>
                  </w:tcBorders>
                  <w:shd w:val="clear" w:color="auto" w:fill="auto"/>
                </w:tcPr>
                <w:p w14:paraId="7954D036" w14:textId="77777777" w:rsidR="00F05DC7" w:rsidRPr="00911F46" w:rsidRDefault="00F05DC7" w:rsidP="00A3786D">
                  <w:pPr>
                    <w:pStyle w:val="TableBodyText"/>
                  </w:pPr>
                  <w:r w:rsidRPr="00911F46">
                    <w:t>2026</w:t>
                  </w:r>
                  <w:r>
                    <w:noBreakHyphen/>
                  </w:r>
                  <w:r w:rsidRPr="00911F46">
                    <w:t>27</w:t>
                  </w:r>
                </w:p>
              </w:tc>
              <w:tc>
                <w:tcPr>
                  <w:tcW w:w="557" w:type="pct"/>
                  <w:tcBorders>
                    <w:top w:val="nil"/>
                    <w:left w:val="nil"/>
                    <w:bottom w:val="single" w:sz="6" w:space="0" w:color="D9D9D9" w:themeColor="background1" w:themeShade="D9"/>
                    <w:right w:val="nil"/>
                  </w:tcBorders>
                  <w:shd w:val="clear" w:color="auto" w:fill="auto"/>
                  <w:vAlign w:val="bottom"/>
                </w:tcPr>
                <w:p w14:paraId="7954D037" w14:textId="77777777" w:rsidR="00F05DC7" w:rsidRPr="00911F46" w:rsidRDefault="00F05DC7" w:rsidP="00A3786D">
                  <w:pPr>
                    <w:pStyle w:val="TableBodyText"/>
                  </w:pPr>
                  <w:r w:rsidRPr="00911F46">
                    <w:rPr>
                      <w:color w:val="000000"/>
                    </w:rPr>
                    <w:t>0.00</w:t>
                  </w:r>
                </w:p>
              </w:tc>
              <w:tc>
                <w:tcPr>
                  <w:tcW w:w="557" w:type="pct"/>
                  <w:tcBorders>
                    <w:top w:val="nil"/>
                    <w:left w:val="nil"/>
                    <w:bottom w:val="single" w:sz="6" w:space="0" w:color="D9D9D9" w:themeColor="background1" w:themeShade="D9"/>
                    <w:right w:val="nil"/>
                  </w:tcBorders>
                  <w:shd w:val="clear" w:color="auto" w:fill="auto"/>
                  <w:vAlign w:val="bottom"/>
                </w:tcPr>
                <w:p w14:paraId="7954D038" w14:textId="77777777" w:rsidR="00F05DC7" w:rsidRPr="00911F46" w:rsidRDefault="00F05DC7" w:rsidP="00A3786D">
                  <w:pPr>
                    <w:pStyle w:val="TableBodyText"/>
                  </w:pPr>
                  <w:r w:rsidRPr="00911F46">
                    <w:rPr>
                      <w:color w:val="000000"/>
                    </w:rPr>
                    <w:t>0.06</w:t>
                  </w:r>
                </w:p>
              </w:tc>
              <w:tc>
                <w:tcPr>
                  <w:tcW w:w="556" w:type="pct"/>
                  <w:tcBorders>
                    <w:top w:val="nil"/>
                    <w:left w:val="nil"/>
                    <w:bottom w:val="single" w:sz="6" w:space="0" w:color="D9D9D9" w:themeColor="background1" w:themeShade="D9"/>
                    <w:right w:val="nil"/>
                  </w:tcBorders>
                  <w:shd w:val="clear" w:color="auto" w:fill="auto"/>
                  <w:vAlign w:val="bottom"/>
                </w:tcPr>
                <w:p w14:paraId="7954D039" w14:textId="77777777" w:rsidR="00F05DC7" w:rsidRPr="00911F46" w:rsidRDefault="00F05DC7" w:rsidP="00A3786D">
                  <w:pPr>
                    <w:pStyle w:val="TableBodyText"/>
                  </w:pPr>
                  <w:r>
                    <w:rPr>
                      <w:color w:val="000000"/>
                    </w:rPr>
                    <w:noBreakHyphen/>
                  </w:r>
                  <w:r w:rsidRPr="00911F46">
                    <w:rPr>
                      <w:color w:val="000000"/>
                    </w:rPr>
                    <w:t>0.34</w:t>
                  </w:r>
                </w:p>
              </w:tc>
              <w:tc>
                <w:tcPr>
                  <w:tcW w:w="556" w:type="pct"/>
                  <w:tcBorders>
                    <w:top w:val="nil"/>
                    <w:left w:val="nil"/>
                    <w:bottom w:val="single" w:sz="6" w:space="0" w:color="D9D9D9" w:themeColor="background1" w:themeShade="D9"/>
                    <w:right w:val="nil"/>
                  </w:tcBorders>
                  <w:shd w:val="clear" w:color="auto" w:fill="auto"/>
                  <w:vAlign w:val="bottom"/>
                </w:tcPr>
                <w:p w14:paraId="7954D03A" w14:textId="77777777" w:rsidR="00F05DC7" w:rsidRPr="00911F46" w:rsidRDefault="00F05DC7" w:rsidP="00A3786D">
                  <w:pPr>
                    <w:pStyle w:val="TableBodyText"/>
                  </w:pPr>
                  <w:r w:rsidRPr="00911F46">
                    <w:rPr>
                      <w:color w:val="000000"/>
                    </w:rPr>
                    <w:t>0.76</w:t>
                  </w:r>
                </w:p>
              </w:tc>
              <w:tc>
                <w:tcPr>
                  <w:tcW w:w="555" w:type="pct"/>
                  <w:tcBorders>
                    <w:top w:val="nil"/>
                    <w:left w:val="nil"/>
                    <w:bottom w:val="single" w:sz="6" w:space="0" w:color="D9D9D9" w:themeColor="background1" w:themeShade="D9"/>
                    <w:right w:val="nil"/>
                  </w:tcBorders>
                  <w:shd w:val="clear" w:color="auto" w:fill="auto"/>
                  <w:vAlign w:val="bottom"/>
                </w:tcPr>
                <w:p w14:paraId="7954D03B" w14:textId="77777777" w:rsidR="00F05DC7" w:rsidRPr="00911F46" w:rsidRDefault="00F05DC7" w:rsidP="00A3786D">
                  <w:pPr>
                    <w:pStyle w:val="TableBodyText"/>
                  </w:pPr>
                  <w:r>
                    <w:rPr>
                      <w:color w:val="000000"/>
                    </w:rPr>
                    <w:noBreakHyphen/>
                  </w:r>
                  <w:r w:rsidRPr="00911F46">
                    <w:rPr>
                      <w:color w:val="000000"/>
                    </w:rPr>
                    <w:t>0.33</w:t>
                  </w:r>
                </w:p>
              </w:tc>
              <w:tc>
                <w:tcPr>
                  <w:tcW w:w="555" w:type="pct"/>
                  <w:tcBorders>
                    <w:top w:val="nil"/>
                    <w:left w:val="nil"/>
                    <w:bottom w:val="single" w:sz="6" w:space="0" w:color="D9D9D9" w:themeColor="background1" w:themeShade="D9"/>
                    <w:right w:val="nil"/>
                  </w:tcBorders>
                  <w:shd w:val="clear" w:color="auto" w:fill="auto"/>
                  <w:vAlign w:val="bottom"/>
                </w:tcPr>
                <w:p w14:paraId="7954D03C" w14:textId="77777777" w:rsidR="00F05DC7" w:rsidRPr="00911F46" w:rsidRDefault="00F05DC7" w:rsidP="00A3786D">
                  <w:pPr>
                    <w:pStyle w:val="TableBodyText"/>
                  </w:pPr>
                  <w:r>
                    <w:rPr>
                      <w:color w:val="000000"/>
                    </w:rPr>
                    <w:noBreakHyphen/>
                  </w:r>
                  <w:r w:rsidRPr="00911F46">
                    <w:rPr>
                      <w:color w:val="000000"/>
                    </w:rPr>
                    <w:t>0.32</w:t>
                  </w:r>
                </w:p>
              </w:tc>
              <w:tc>
                <w:tcPr>
                  <w:tcW w:w="555" w:type="pct"/>
                  <w:tcBorders>
                    <w:top w:val="nil"/>
                    <w:left w:val="nil"/>
                    <w:bottom w:val="single" w:sz="6" w:space="0" w:color="D9D9D9" w:themeColor="background1" w:themeShade="D9"/>
                    <w:right w:val="nil"/>
                  </w:tcBorders>
                  <w:shd w:val="clear" w:color="auto" w:fill="auto"/>
                  <w:vAlign w:val="bottom"/>
                </w:tcPr>
                <w:p w14:paraId="7954D03D" w14:textId="77777777" w:rsidR="00F05DC7" w:rsidRPr="00911F46" w:rsidRDefault="00F05DC7" w:rsidP="00A3786D">
                  <w:pPr>
                    <w:pStyle w:val="TableBodyText"/>
                  </w:pPr>
                  <w:r>
                    <w:rPr>
                      <w:color w:val="000000"/>
                    </w:rPr>
                    <w:noBreakHyphen/>
                  </w:r>
                  <w:r w:rsidRPr="00911F46">
                    <w:rPr>
                      <w:color w:val="000000"/>
                    </w:rPr>
                    <w:t>0.27</w:t>
                  </w:r>
                </w:p>
              </w:tc>
              <w:tc>
                <w:tcPr>
                  <w:tcW w:w="553" w:type="pct"/>
                  <w:tcBorders>
                    <w:top w:val="nil"/>
                    <w:left w:val="nil"/>
                    <w:bottom w:val="single" w:sz="6" w:space="0" w:color="D9D9D9" w:themeColor="background1" w:themeShade="D9"/>
                    <w:right w:val="nil"/>
                  </w:tcBorders>
                  <w:shd w:val="clear" w:color="auto" w:fill="auto"/>
                  <w:vAlign w:val="bottom"/>
                </w:tcPr>
                <w:p w14:paraId="7954D03E" w14:textId="77777777" w:rsidR="00F05DC7" w:rsidRPr="00911F46" w:rsidRDefault="00F05DC7" w:rsidP="00A3786D">
                  <w:pPr>
                    <w:pStyle w:val="TableBodyText"/>
                  </w:pPr>
                  <w:r>
                    <w:rPr>
                      <w:color w:val="000000"/>
                    </w:rPr>
                    <w:noBreakHyphen/>
                  </w:r>
                  <w:r w:rsidRPr="00911F46">
                    <w:rPr>
                      <w:color w:val="000000"/>
                    </w:rPr>
                    <w:t>0.14</w:t>
                  </w:r>
                </w:p>
              </w:tc>
            </w:tr>
          </w:tbl>
          <w:p w14:paraId="7954D040" w14:textId="77777777" w:rsidR="00F05DC7" w:rsidRPr="006C0046" w:rsidRDefault="00F05DC7" w:rsidP="00A3786D">
            <w:pPr>
              <w:pStyle w:val="Box"/>
              <w:rPr>
                <w:rFonts w:asciiTheme="minorHAnsi" w:hAnsiTheme="minorHAnsi" w:cstheme="minorHAnsi"/>
                <w:sz w:val="18"/>
                <w:szCs w:val="18"/>
              </w:rPr>
            </w:pPr>
          </w:p>
        </w:tc>
      </w:tr>
      <w:tr w:rsidR="00F05DC7" w14:paraId="7954D043" w14:textId="77777777" w:rsidTr="00A3786D">
        <w:tc>
          <w:tcPr>
            <w:tcW w:w="5000" w:type="pct"/>
            <w:tcBorders>
              <w:top w:val="nil"/>
              <w:left w:val="nil"/>
              <w:bottom w:val="nil"/>
              <w:right w:val="nil"/>
            </w:tcBorders>
            <w:shd w:val="clear" w:color="auto" w:fill="auto"/>
          </w:tcPr>
          <w:p w14:paraId="7954D042" w14:textId="77777777" w:rsidR="00F05DC7" w:rsidRDefault="00F05DC7" w:rsidP="00A3786D">
            <w:pPr>
              <w:pStyle w:val="Source"/>
            </w:pPr>
            <w:r w:rsidRPr="00355172">
              <w:rPr>
                <w:i/>
              </w:rPr>
              <w:t>Source</w:t>
            </w:r>
            <w:r w:rsidRPr="00676CAE">
              <w:t>:</w:t>
            </w:r>
            <w:r w:rsidRPr="00355172">
              <w:rPr>
                <w:i/>
              </w:rPr>
              <w:t xml:space="preserve"> </w:t>
            </w:r>
            <w:r w:rsidRPr="00676CAE">
              <w:t>Productivity Commission estimates.</w:t>
            </w:r>
            <w:r>
              <w:rPr>
                <w:i/>
              </w:rPr>
              <w:t xml:space="preserve"> </w:t>
            </w:r>
          </w:p>
        </w:tc>
      </w:tr>
      <w:tr w:rsidR="00F05DC7" w14:paraId="7954D045" w14:textId="77777777" w:rsidTr="00A3786D">
        <w:tc>
          <w:tcPr>
            <w:tcW w:w="5000" w:type="pct"/>
            <w:tcBorders>
              <w:top w:val="nil"/>
              <w:left w:val="nil"/>
              <w:bottom w:val="single" w:sz="6" w:space="0" w:color="78A22F"/>
              <w:right w:val="nil"/>
            </w:tcBorders>
            <w:shd w:val="clear" w:color="auto" w:fill="auto"/>
          </w:tcPr>
          <w:p w14:paraId="7954D044" w14:textId="77777777" w:rsidR="00F05DC7" w:rsidRDefault="00F05DC7" w:rsidP="00A3786D">
            <w:pPr>
              <w:pStyle w:val="Box"/>
              <w:spacing w:before="0" w:line="120" w:lineRule="exact"/>
            </w:pPr>
          </w:p>
        </w:tc>
      </w:tr>
      <w:tr w:rsidR="00F05DC7" w:rsidRPr="000863A5" w14:paraId="7954D047" w14:textId="77777777" w:rsidTr="00A3786D">
        <w:tc>
          <w:tcPr>
            <w:tcW w:w="5000" w:type="pct"/>
            <w:tcBorders>
              <w:top w:val="single" w:sz="6" w:space="0" w:color="78A22F"/>
              <w:left w:val="nil"/>
              <w:bottom w:val="nil"/>
              <w:right w:val="nil"/>
            </w:tcBorders>
          </w:tcPr>
          <w:p w14:paraId="7954D046" w14:textId="77777777" w:rsidR="00F05DC7" w:rsidRPr="00626D32" w:rsidRDefault="00F05DC7" w:rsidP="00A3786D">
            <w:pPr>
              <w:pStyle w:val="BoxSpaceBelow"/>
            </w:pPr>
          </w:p>
        </w:tc>
      </w:tr>
    </w:tbl>
    <w:p w14:paraId="7954D048" w14:textId="77777777" w:rsidR="00F05DC7" w:rsidRDefault="00F05DC7">
      <w:pPr>
        <w:pStyle w:val="BodyText"/>
        <w:rPr>
          <w:rFonts w:ascii="Arial" w:hAnsi="Arial"/>
          <w:sz w:val="26"/>
        </w:rPr>
      </w:pPr>
      <w:r>
        <w:br w:type="page"/>
      </w:r>
    </w:p>
    <w:p w14:paraId="7954D049" w14:textId="77777777" w:rsidR="00F05DC7" w:rsidRDefault="00F05DC7" w:rsidP="00A3786D">
      <w:pPr>
        <w:pStyle w:val="Heading3"/>
      </w:pPr>
      <w:r>
        <w:lastRenderedPageBreak/>
        <w:t>Tables of results: relative fiscal capacities remaining at current levels</w:t>
      </w:r>
    </w:p>
    <w:p w14:paraId="7954D04A" w14:textId="77777777" w:rsidR="00F05DC7" w:rsidRDefault="00F05DC7" w:rsidP="00A3786D">
      <w:pPr>
        <w:pStyle w:val="BodyText"/>
      </w:pPr>
      <w:r>
        <w:t xml:space="preserve">The following tables present results of the transition to ETA using an alternative scenario for future relative State fiscal capacities. This scenario is based on a ‘business as usual’ method where fiscal capacities remain at their 2018-19 levels for the projection period (box F.A1). </w:t>
      </w:r>
    </w:p>
    <w:p w14:paraId="7954D04B"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D04E" w14:textId="77777777" w:rsidTr="00A3786D">
        <w:trPr>
          <w:tblHeader/>
        </w:trPr>
        <w:tc>
          <w:tcPr>
            <w:tcW w:w="5000" w:type="pct"/>
            <w:tcBorders>
              <w:top w:val="single" w:sz="6" w:space="0" w:color="78A22F"/>
              <w:left w:val="nil"/>
              <w:bottom w:val="nil"/>
              <w:right w:val="nil"/>
            </w:tcBorders>
            <w:shd w:val="clear" w:color="auto" w:fill="auto"/>
          </w:tcPr>
          <w:p w14:paraId="7954D04C" w14:textId="6983C2C2" w:rsidR="00F05DC7" w:rsidRDefault="00F05DC7" w:rsidP="00A3786D">
            <w:pPr>
              <w:pStyle w:val="TableTitle"/>
            </w:pPr>
            <w:r>
              <w:rPr>
                <w:b w:val="0"/>
              </w:rPr>
              <w:t>Table F.A5</w:t>
            </w:r>
            <w:r>
              <w:tab/>
              <w:t>Alternative scenario (current fiscal capacities): projected c</w:t>
            </w:r>
            <w:r w:rsidRPr="00920444">
              <w:t>hange</w:t>
            </w:r>
            <w:r>
              <w:t xml:space="preserve"> in</w:t>
            </w:r>
            <w:r w:rsidRPr="00920444">
              <w:t xml:space="preserve"> GST </w:t>
            </w:r>
            <w:r>
              <w:t xml:space="preserve">due to change in the benchmark to ETA </w:t>
            </w:r>
          </w:p>
          <w:p w14:paraId="7954D04D" w14:textId="77777777" w:rsidR="00F05DC7" w:rsidRPr="00784A05" w:rsidRDefault="00F05DC7" w:rsidP="00A3786D">
            <w:pPr>
              <w:pStyle w:val="Subtitle"/>
            </w:pPr>
            <w:r>
              <w:t>Four year transition</w:t>
            </w:r>
          </w:p>
        </w:tc>
      </w:tr>
      <w:tr w:rsidR="00F05DC7" w14:paraId="7954D150"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D058"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D04F"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D050"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D051"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D052"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D053"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D054"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D055"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D056"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D057"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D05A" w14:textId="77777777" w:rsidTr="00A3786D">
              <w:tc>
                <w:tcPr>
                  <w:tcW w:w="5000" w:type="pct"/>
                  <w:gridSpan w:val="9"/>
                  <w:tcBorders>
                    <w:top w:val="single" w:sz="6" w:space="0" w:color="BFBFBF"/>
                  </w:tcBorders>
                  <w:shd w:val="clear" w:color="auto" w:fill="F2F2F2" w:themeFill="background1" w:themeFillShade="F2"/>
                </w:tcPr>
                <w:p w14:paraId="7954D059"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D064" w14:textId="77777777" w:rsidTr="00A3786D">
              <w:tc>
                <w:tcPr>
                  <w:tcW w:w="556" w:type="pct"/>
                  <w:vAlign w:val="bottom"/>
                </w:tcPr>
                <w:p w14:paraId="7954D05B"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D05C" w14:textId="77777777" w:rsidR="00F05DC7" w:rsidRPr="00A75ED1" w:rsidRDefault="00F05DC7" w:rsidP="00A3786D">
                  <w:pPr>
                    <w:pStyle w:val="TableBodyText"/>
                    <w:rPr>
                      <w:rFonts w:cs="Arial"/>
                      <w:szCs w:val="18"/>
                    </w:rPr>
                  </w:pPr>
                  <w:r w:rsidRPr="00A75ED1">
                    <w:rPr>
                      <w:rFonts w:cs="Arial"/>
                      <w:color w:val="000000"/>
                      <w:szCs w:val="18"/>
                    </w:rPr>
                    <w:t>216</w:t>
                  </w:r>
                </w:p>
              </w:tc>
              <w:tc>
                <w:tcPr>
                  <w:tcW w:w="557" w:type="pct"/>
                  <w:tcBorders>
                    <w:top w:val="nil"/>
                    <w:left w:val="nil"/>
                    <w:bottom w:val="nil"/>
                    <w:right w:val="nil"/>
                  </w:tcBorders>
                  <w:shd w:val="clear" w:color="auto" w:fill="auto"/>
                  <w:vAlign w:val="bottom"/>
                </w:tcPr>
                <w:p w14:paraId="7954D05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410</w:t>
                  </w:r>
                </w:p>
              </w:tc>
              <w:tc>
                <w:tcPr>
                  <w:tcW w:w="556" w:type="pct"/>
                  <w:tcBorders>
                    <w:top w:val="nil"/>
                    <w:left w:val="nil"/>
                    <w:bottom w:val="nil"/>
                    <w:right w:val="nil"/>
                  </w:tcBorders>
                  <w:shd w:val="clear" w:color="auto" w:fill="auto"/>
                  <w:vAlign w:val="bottom"/>
                </w:tcPr>
                <w:p w14:paraId="7954D05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353</w:t>
                  </w:r>
                </w:p>
              </w:tc>
              <w:tc>
                <w:tcPr>
                  <w:tcW w:w="556" w:type="pct"/>
                  <w:tcBorders>
                    <w:top w:val="nil"/>
                    <w:left w:val="nil"/>
                    <w:bottom w:val="nil"/>
                    <w:right w:val="nil"/>
                  </w:tcBorders>
                  <w:shd w:val="clear" w:color="auto" w:fill="auto"/>
                  <w:vAlign w:val="bottom"/>
                </w:tcPr>
                <w:p w14:paraId="7954D05F" w14:textId="77777777" w:rsidR="00F05DC7" w:rsidRPr="00A75ED1" w:rsidRDefault="00F05DC7" w:rsidP="00A3786D">
                  <w:pPr>
                    <w:pStyle w:val="TableBodyText"/>
                    <w:rPr>
                      <w:rFonts w:cs="Arial"/>
                      <w:szCs w:val="18"/>
                    </w:rPr>
                  </w:pPr>
                  <w:r w:rsidRPr="00A75ED1">
                    <w:rPr>
                      <w:rFonts w:cs="Arial"/>
                      <w:color w:val="000000"/>
                      <w:szCs w:val="18"/>
                    </w:rPr>
                    <w:t>750</w:t>
                  </w:r>
                </w:p>
              </w:tc>
              <w:tc>
                <w:tcPr>
                  <w:tcW w:w="555" w:type="pct"/>
                  <w:tcBorders>
                    <w:top w:val="nil"/>
                    <w:left w:val="nil"/>
                    <w:bottom w:val="nil"/>
                    <w:right w:val="nil"/>
                  </w:tcBorders>
                  <w:shd w:val="clear" w:color="auto" w:fill="auto"/>
                  <w:vAlign w:val="bottom"/>
                </w:tcPr>
                <w:p w14:paraId="7954D06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121</w:t>
                  </w:r>
                </w:p>
              </w:tc>
              <w:tc>
                <w:tcPr>
                  <w:tcW w:w="555" w:type="pct"/>
                  <w:tcBorders>
                    <w:top w:val="nil"/>
                    <w:left w:val="nil"/>
                    <w:bottom w:val="nil"/>
                    <w:right w:val="nil"/>
                  </w:tcBorders>
                  <w:shd w:val="clear" w:color="auto" w:fill="auto"/>
                  <w:vAlign w:val="bottom"/>
                </w:tcPr>
                <w:p w14:paraId="7954D06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37</w:t>
                  </w:r>
                </w:p>
              </w:tc>
              <w:tc>
                <w:tcPr>
                  <w:tcW w:w="555" w:type="pct"/>
                  <w:tcBorders>
                    <w:top w:val="nil"/>
                    <w:left w:val="nil"/>
                    <w:bottom w:val="nil"/>
                    <w:right w:val="nil"/>
                  </w:tcBorders>
                  <w:shd w:val="clear" w:color="auto" w:fill="auto"/>
                  <w:vAlign w:val="bottom"/>
                </w:tcPr>
                <w:p w14:paraId="7954D06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29</w:t>
                  </w:r>
                </w:p>
              </w:tc>
              <w:tc>
                <w:tcPr>
                  <w:tcW w:w="553" w:type="pct"/>
                  <w:tcBorders>
                    <w:top w:val="nil"/>
                    <w:left w:val="nil"/>
                    <w:bottom w:val="nil"/>
                    <w:right w:val="nil"/>
                  </w:tcBorders>
                  <w:shd w:val="clear" w:color="auto" w:fill="auto"/>
                  <w:vAlign w:val="bottom"/>
                </w:tcPr>
                <w:p w14:paraId="7954D06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17 </w:t>
                  </w:r>
                </w:p>
              </w:tc>
            </w:tr>
            <w:tr w:rsidR="00F05DC7" w:rsidRPr="00A75ED1" w14:paraId="7954D06E" w14:textId="77777777" w:rsidTr="00A3786D">
              <w:tc>
                <w:tcPr>
                  <w:tcW w:w="556" w:type="pct"/>
                  <w:vAlign w:val="bottom"/>
                </w:tcPr>
                <w:p w14:paraId="7954D065"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D066" w14:textId="77777777" w:rsidR="00F05DC7" w:rsidRPr="00A75ED1" w:rsidRDefault="00F05DC7" w:rsidP="00A3786D">
                  <w:pPr>
                    <w:pStyle w:val="TableBodyText"/>
                    <w:rPr>
                      <w:rFonts w:cs="Arial"/>
                      <w:szCs w:val="18"/>
                    </w:rPr>
                  </w:pPr>
                  <w:r w:rsidRPr="00A75ED1">
                    <w:rPr>
                      <w:rFonts w:cs="Arial"/>
                      <w:color w:val="000000"/>
                      <w:szCs w:val="18"/>
                    </w:rPr>
                    <w:t>457</w:t>
                  </w:r>
                </w:p>
              </w:tc>
              <w:tc>
                <w:tcPr>
                  <w:tcW w:w="557" w:type="pct"/>
                  <w:tcBorders>
                    <w:top w:val="nil"/>
                    <w:left w:val="nil"/>
                    <w:bottom w:val="nil"/>
                    <w:right w:val="nil"/>
                  </w:tcBorders>
                  <w:shd w:val="clear" w:color="auto" w:fill="auto"/>
                  <w:vAlign w:val="bottom"/>
                </w:tcPr>
                <w:p w14:paraId="7954D06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868</w:t>
                  </w:r>
                </w:p>
              </w:tc>
              <w:tc>
                <w:tcPr>
                  <w:tcW w:w="556" w:type="pct"/>
                  <w:tcBorders>
                    <w:top w:val="nil"/>
                    <w:left w:val="nil"/>
                    <w:bottom w:val="nil"/>
                    <w:right w:val="nil"/>
                  </w:tcBorders>
                  <w:shd w:val="clear" w:color="auto" w:fill="auto"/>
                  <w:vAlign w:val="bottom"/>
                </w:tcPr>
                <w:p w14:paraId="7954D06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738</w:t>
                  </w:r>
                </w:p>
              </w:tc>
              <w:tc>
                <w:tcPr>
                  <w:tcW w:w="556" w:type="pct"/>
                  <w:tcBorders>
                    <w:top w:val="nil"/>
                    <w:left w:val="nil"/>
                    <w:bottom w:val="nil"/>
                    <w:right w:val="nil"/>
                  </w:tcBorders>
                  <w:shd w:val="clear" w:color="auto" w:fill="auto"/>
                  <w:vAlign w:val="bottom"/>
                </w:tcPr>
                <w:p w14:paraId="7954D069" w14:textId="77777777" w:rsidR="00F05DC7" w:rsidRPr="00A75ED1" w:rsidRDefault="00F05DC7" w:rsidP="00A3786D">
                  <w:pPr>
                    <w:pStyle w:val="TableBodyText"/>
                    <w:rPr>
                      <w:rFonts w:cs="Arial"/>
                      <w:szCs w:val="18"/>
                    </w:rPr>
                  </w:pPr>
                  <w:r w:rsidRPr="00A75ED1">
                    <w:rPr>
                      <w:rFonts w:cs="Arial"/>
                      <w:color w:val="000000"/>
                      <w:szCs w:val="18"/>
                    </w:rPr>
                    <w:t>1575</w:t>
                  </w:r>
                </w:p>
              </w:tc>
              <w:tc>
                <w:tcPr>
                  <w:tcW w:w="555" w:type="pct"/>
                  <w:tcBorders>
                    <w:top w:val="nil"/>
                    <w:left w:val="nil"/>
                    <w:bottom w:val="nil"/>
                    <w:right w:val="nil"/>
                  </w:tcBorders>
                  <w:shd w:val="clear" w:color="auto" w:fill="auto"/>
                  <w:vAlign w:val="bottom"/>
                </w:tcPr>
                <w:p w14:paraId="7954D06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252</w:t>
                  </w:r>
                </w:p>
              </w:tc>
              <w:tc>
                <w:tcPr>
                  <w:tcW w:w="555" w:type="pct"/>
                  <w:tcBorders>
                    <w:top w:val="nil"/>
                    <w:left w:val="nil"/>
                    <w:bottom w:val="nil"/>
                    <w:right w:val="nil"/>
                  </w:tcBorders>
                  <w:shd w:val="clear" w:color="auto" w:fill="auto"/>
                  <w:vAlign w:val="bottom"/>
                </w:tcPr>
                <w:p w14:paraId="7954D06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76</w:t>
                  </w:r>
                </w:p>
              </w:tc>
              <w:tc>
                <w:tcPr>
                  <w:tcW w:w="555" w:type="pct"/>
                  <w:tcBorders>
                    <w:top w:val="nil"/>
                    <w:left w:val="nil"/>
                    <w:bottom w:val="nil"/>
                    <w:right w:val="nil"/>
                  </w:tcBorders>
                  <w:shd w:val="clear" w:color="auto" w:fill="auto"/>
                  <w:vAlign w:val="bottom"/>
                </w:tcPr>
                <w:p w14:paraId="7954D06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62</w:t>
                  </w:r>
                </w:p>
              </w:tc>
              <w:tc>
                <w:tcPr>
                  <w:tcW w:w="553" w:type="pct"/>
                  <w:tcBorders>
                    <w:top w:val="nil"/>
                    <w:left w:val="nil"/>
                    <w:bottom w:val="nil"/>
                    <w:right w:val="nil"/>
                  </w:tcBorders>
                  <w:shd w:val="clear" w:color="auto" w:fill="auto"/>
                  <w:vAlign w:val="bottom"/>
                </w:tcPr>
                <w:p w14:paraId="7954D06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35 </w:t>
                  </w:r>
                </w:p>
              </w:tc>
            </w:tr>
            <w:tr w:rsidR="00F05DC7" w:rsidRPr="00A75ED1" w14:paraId="7954D078" w14:textId="77777777" w:rsidTr="00A3786D">
              <w:tc>
                <w:tcPr>
                  <w:tcW w:w="556" w:type="pct"/>
                  <w:vAlign w:val="bottom"/>
                </w:tcPr>
                <w:p w14:paraId="7954D06F"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D070" w14:textId="77777777" w:rsidR="00F05DC7" w:rsidRPr="00A75ED1" w:rsidRDefault="00F05DC7" w:rsidP="00A3786D">
                  <w:pPr>
                    <w:pStyle w:val="TableBodyText"/>
                    <w:rPr>
                      <w:rFonts w:cs="Arial"/>
                      <w:szCs w:val="18"/>
                    </w:rPr>
                  </w:pPr>
                  <w:r w:rsidRPr="00A75ED1">
                    <w:rPr>
                      <w:rFonts w:cs="Arial"/>
                      <w:color w:val="000000"/>
                      <w:szCs w:val="18"/>
                    </w:rPr>
                    <w:t>722</w:t>
                  </w:r>
                </w:p>
              </w:tc>
              <w:tc>
                <w:tcPr>
                  <w:tcW w:w="557" w:type="pct"/>
                  <w:tcBorders>
                    <w:top w:val="nil"/>
                    <w:left w:val="nil"/>
                    <w:bottom w:val="nil"/>
                    <w:right w:val="nil"/>
                  </w:tcBorders>
                  <w:shd w:val="clear" w:color="auto" w:fill="auto"/>
                  <w:vAlign w:val="bottom"/>
                </w:tcPr>
                <w:p w14:paraId="7954D07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1378</w:t>
                  </w:r>
                </w:p>
              </w:tc>
              <w:tc>
                <w:tcPr>
                  <w:tcW w:w="556" w:type="pct"/>
                  <w:tcBorders>
                    <w:top w:val="nil"/>
                    <w:left w:val="nil"/>
                    <w:bottom w:val="nil"/>
                    <w:right w:val="nil"/>
                  </w:tcBorders>
                  <w:shd w:val="clear" w:color="auto" w:fill="auto"/>
                  <w:vAlign w:val="bottom"/>
                </w:tcPr>
                <w:p w14:paraId="7954D07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1158</w:t>
                  </w:r>
                </w:p>
              </w:tc>
              <w:tc>
                <w:tcPr>
                  <w:tcW w:w="556" w:type="pct"/>
                  <w:tcBorders>
                    <w:top w:val="nil"/>
                    <w:left w:val="nil"/>
                    <w:bottom w:val="nil"/>
                    <w:right w:val="nil"/>
                  </w:tcBorders>
                  <w:shd w:val="clear" w:color="auto" w:fill="auto"/>
                  <w:vAlign w:val="bottom"/>
                </w:tcPr>
                <w:p w14:paraId="7954D073" w14:textId="77777777" w:rsidR="00F05DC7" w:rsidRPr="00A75ED1" w:rsidRDefault="00F05DC7" w:rsidP="00A3786D">
                  <w:pPr>
                    <w:pStyle w:val="TableBodyText"/>
                    <w:rPr>
                      <w:rFonts w:cs="Arial"/>
                      <w:szCs w:val="18"/>
                    </w:rPr>
                  </w:pPr>
                  <w:r w:rsidRPr="00A75ED1">
                    <w:rPr>
                      <w:rFonts w:cs="Arial"/>
                      <w:color w:val="000000"/>
                      <w:szCs w:val="18"/>
                    </w:rPr>
                    <w:t>2477</w:t>
                  </w:r>
                </w:p>
              </w:tc>
              <w:tc>
                <w:tcPr>
                  <w:tcW w:w="555" w:type="pct"/>
                  <w:tcBorders>
                    <w:top w:val="nil"/>
                    <w:left w:val="nil"/>
                    <w:bottom w:val="nil"/>
                    <w:right w:val="nil"/>
                  </w:tcBorders>
                  <w:shd w:val="clear" w:color="auto" w:fill="auto"/>
                  <w:vAlign w:val="bottom"/>
                </w:tcPr>
                <w:p w14:paraId="7954D07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393</w:t>
                  </w:r>
                </w:p>
              </w:tc>
              <w:tc>
                <w:tcPr>
                  <w:tcW w:w="555" w:type="pct"/>
                  <w:tcBorders>
                    <w:top w:val="nil"/>
                    <w:left w:val="nil"/>
                    <w:bottom w:val="nil"/>
                    <w:right w:val="nil"/>
                  </w:tcBorders>
                  <w:shd w:val="clear" w:color="auto" w:fill="auto"/>
                  <w:vAlign w:val="bottom"/>
                </w:tcPr>
                <w:p w14:paraId="7954D07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118</w:t>
                  </w:r>
                </w:p>
              </w:tc>
              <w:tc>
                <w:tcPr>
                  <w:tcW w:w="555" w:type="pct"/>
                  <w:tcBorders>
                    <w:top w:val="nil"/>
                    <w:left w:val="nil"/>
                    <w:bottom w:val="nil"/>
                    <w:right w:val="nil"/>
                  </w:tcBorders>
                  <w:shd w:val="clear" w:color="auto" w:fill="auto"/>
                  <w:vAlign w:val="bottom"/>
                </w:tcPr>
                <w:p w14:paraId="7954D07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97</w:t>
                  </w:r>
                </w:p>
              </w:tc>
              <w:tc>
                <w:tcPr>
                  <w:tcW w:w="553" w:type="pct"/>
                  <w:tcBorders>
                    <w:top w:val="nil"/>
                    <w:left w:val="nil"/>
                    <w:bottom w:val="nil"/>
                    <w:right w:val="nil"/>
                  </w:tcBorders>
                  <w:shd w:val="clear" w:color="auto" w:fill="auto"/>
                  <w:vAlign w:val="bottom"/>
                </w:tcPr>
                <w:p w14:paraId="7954D07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55 </w:t>
                  </w:r>
                </w:p>
              </w:tc>
            </w:tr>
            <w:tr w:rsidR="00F05DC7" w:rsidRPr="00A75ED1" w14:paraId="7954D082" w14:textId="77777777" w:rsidTr="00A3786D">
              <w:tc>
                <w:tcPr>
                  <w:tcW w:w="556" w:type="pct"/>
                </w:tcPr>
                <w:p w14:paraId="7954D079"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D07A" w14:textId="77777777" w:rsidR="00F05DC7" w:rsidRPr="00A75ED1" w:rsidRDefault="00F05DC7" w:rsidP="00A3786D">
                  <w:pPr>
                    <w:pStyle w:val="TableBodyText"/>
                    <w:rPr>
                      <w:rFonts w:cs="Arial"/>
                      <w:szCs w:val="18"/>
                    </w:rPr>
                  </w:pPr>
                  <w:r w:rsidRPr="00A75ED1">
                    <w:rPr>
                      <w:rFonts w:cs="Arial"/>
                      <w:color w:val="000000"/>
                      <w:szCs w:val="18"/>
                    </w:rPr>
                    <w:t>1015</w:t>
                  </w:r>
                </w:p>
              </w:tc>
              <w:tc>
                <w:tcPr>
                  <w:tcW w:w="557" w:type="pct"/>
                  <w:tcBorders>
                    <w:top w:val="nil"/>
                    <w:left w:val="nil"/>
                    <w:bottom w:val="nil"/>
                    <w:right w:val="nil"/>
                  </w:tcBorders>
                  <w:shd w:val="clear" w:color="auto" w:fill="auto"/>
                  <w:vAlign w:val="bottom"/>
                </w:tcPr>
                <w:p w14:paraId="7954D07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1945</w:t>
                  </w:r>
                </w:p>
              </w:tc>
              <w:tc>
                <w:tcPr>
                  <w:tcW w:w="556" w:type="pct"/>
                  <w:tcBorders>
                    <w:top w:val="nil"/>
                    <w:left w:val="nil"/>
                    <w:bottom w:val="nil"/>
                    <w:right w:val="nil"/>
                  </w:tcBorders>
                  <w:shd w:val="clear" w:color="auto" w:fill="auto"/>
                  <w:vAlign w:val="bottom"/>
                </w:tcPr>
                <w:p w14:paraId="7954D07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1615</w:t>
                  </w:r>
                </w:p>
              </w:tc>
              <w:tc>
                <w:tcPr>
                  <w:tcW w:w="556" w:type="pct"/>
                  <w:tcBorders>
                    <w:top w:val="nil"/>
                    <w:left w:val="nil"/>
                    <w:bottom w:val="nil"/>
                    <w:right w:val="nil"/>
                  </w:tcBorders>
                  <w:shd w:val="clear" w:color="auto" w:fill="auto"/>
                  <w:vAlign w:val="bottom"/>
                </w:tcPr>
                <w:p w14:paraId="7954D07D" w14:textId="77777777" w:rsidR="00F05DC7" w:rsidRPr="00A75ED1" w:rsidRDefault="00F05DC7" w:rsidP="00A3786D">
                  <w:pPr>
                    <w:pStyle w:val="TableBodyText"/>
                    <w:rPr>
                      <w:rFonts w:cs="Arial"/>
                      <w:szCs w:val="18"/>
                    </w:rPr>
                  </w:pPr>
                  <w:r w:rsidRPr="00A75ED1">
                    <w:rPr>
                      <w:rFonts w:cs="Arial"/>
                      <w:color w:val="000000"/>
                      <w:szCs w:val="18"/>
                    </w:rPr>
                    <w:t>3463</w:t>
                  </w:r>
                </w:p>
              </w:tc>
              <w:tc>
                <w:tcPr>
                  <w:tcW w:w="555" w:type="pct"/>
                  <w:tcBorders>
                    <w:top w:val="nil"/>
                    <w:left w:val="nil"/>
                    <w:bottom w:val="nil"/>
                    <w:right w:val="nil"/>
                  </w:tcBorders>
                  <w:shd w:val="clear" w:color="auto" w:fill="auto"/>
                  <w:vAlign w:val="bottom"/>
                </w:tcPr>
                <w:p w14:paraId="7954D07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545</w:t>
                  </w:r>
                </w:p>
              </w:tc>
              <w:tc>
                <w:tcPr>
                  <w:tcW w:w="555" w:type="pct"/>
                  <w:tcBorders>
                    <w:top w:val="nil"/>
                    <w:left w:val="nil"/>
                    <w:bottom w:val="nil"/>
                    <w:right w:val="nil"/>
                  </w:tcBorders>
                  <w:shd w:val="clear" w:color="auto" w:fill="auto"/>
                  <w:vAlign w:val="bottom"/>
                </w:tcPr>
                <w:p w14:paraId="7954D07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163</w:t>
                  </w:r>
                </w:p>
              </w:tc>
              <w:tc>
                <w:tcPr>
                  <w:tcW w:w="555" w:type="pct"/>
                  <w:tcBorders>
                    <w:top w:val="nil"/>
                    <w:left w:val="nil"/>
                    <w:bottom w:val="nil"/>
                    <w:right w:val="nil"/>
                  </w:tcBorders>
                  <w:shd w:val="clear" w:color="auto" w:fill="auto"/>
                  <w:vAlign w:val="bottom"/>
                </w:tcPr>
                <w:p w14:paraId="7954D08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135</w:t>
                  </w:r>
                </w:p>
              </w:tc>
              <w:tc>
                <w:tcPr>
                  <w:tcW w:w="553" w:type="pct"/>
                  <w:tcBorders>
                    <w:top w:val="nil"/>
                    <w:left w:val="nil"/>
                    <w:bottom w:val="nil"/>
                    <w:right w:val="nil"/>
                  </w:tcBorders>
                  <w:shd w:val="clear" w:color="auto" w:fill="auto"/>
                  <w:vAlign w:val="bottom"/>
                </w:tcPr>
                <w:p w14:paraId="7954D08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76 </w:t>
                  </w:r>
                </w:p>
              </w:tc>
            </w:tr>
            <w:tr w:rsidR="00F05DC7" w:rsidRPr="00A75ED1" w14:paraId="7954D08C" w14:textId="77777777" w:rsidTr="00A3786D">
              <w:tc>
                <w:tcPr>
                  <w:tcW w:w="556" w:type="pct"/>
                </w:tcPr>
                <w:p w14:paraId="7954D083"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D084" w14:textId="77777777" w:rsidR="00F05DC7" w:rsidRPr="00A75ED1" w:rsidRDefault="00F05DC7" w:rsidP="00A3786D">
                  <w:pPr>
                    <w:pStyle w:val="TableBodyText"/>
                    <w:rPr>
                      <w:rFonts w:cs="Arial"/>
                      <w:szCs w:val="18"/>
                    </w:rPr>
                  </w:pPr>
                  <w:r w:rsidRPr="00A75ED1">
                    <w:rPr>
                      <w:rFonts w:cs="Arial"/>
                      <w:color w:val="000000"/>
                      <w:szCs w:val="18"/>
                    </w:rPr>
                    <w:t>1070</w:t>
                  </w:r>
                </w:p>
              </w:tc>
              <w:tc>
                <w:tcPr>
                  <w:tcW w:w="557" w:type="pct"/>
                  <w:tcBorders>
                    <w:top w:val="nil"/>
                    <w:left w:val="nil"/>
                    <w:bottom w:val="nil"/>
                    <w:right w:val="nil"/>
                  </w:tcBorders>
                  <w:shd w:val="clear" w:color="auto" w:fill="auto"/>
                  <w:vAlign w:val="bottom"/>
                </w:tcPr>
                <w:p w14:paraId="7954D08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2058</w:t>
                  </w:r>
                </w:p>
              </w:tc>
              <w:tc>
                <w:tcPr>
                  <w:tcW w:w="556" w:type="pct"/>
                  <w:tcBorders>
                    <w:top w:val="nil"/>
                    <w:left w:val="nil"/>
                    <w:bottom w:val="nil"/>
                    <w:right w:val="nil"/>
                  </w:tcBorders>
                  <w:shd w:val="clear" w:color="auto" w:fill="auto"/>
                  <w:vAlign w:val="bottom"/>
                </w:tcPr>
                <w:p w14:paraId="7954D08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1688</w:t>
                  </w:r>
                </w:p>
              </w:tc>
              <w:tc>
                <w:tcPr>
                  <w:tcW w:w="556" w:type="pct"/>
                  <w:tcBorders>
                    <w:top w:val="nil"/>
                    <w:left w:val="nil"/>
                    <w:bottom w:val="nil"/>
                    <w:right w:val="nil"/>
                  </w:tcBorders>
                  <w:shd w:val="clear" w:color="auto" w:fill="auto"/>
                  <w:vAlign w:val="bottom"/>
                </w:tcPr>
                <w:p w14:paraId="7954D087" w14:textId="77777777" w:rsidR="00F05DC7" w:rsidRPr="00A75ED1" w:rsidRDefault="00F05DC7" w:rsidP="00A3786D">
                  <w:pPr>
                    <w:pStyle w:val="TableBodyText"/>
                    <w:rPr>
                      <w:rFonts w:cs="Arial"/>
                      <w:szCs w:val="18"/>
                    </w:rPr>
                  </w:pPr>
                  <w:r w:rsidRPr="00A75ED1">
                    <w:rPr>
                      <w:rFonts w:cs="Arial"/>
                      <w:color w:val="000000"/>
                      <w:szCs w:val="18"/>
                    </w:rPr>
                    <w:t>3631</w:t>
                  </w:r>
                </w:p>
              </w:tc>
              <w:tc>
                <w:tcPr>
                  <w:tcW w:w="555" w:type="pct"/>
                  <w:tcBorders>
                    <w:top w:val="nil"/>
                    <w:left w:val="nil"/>
                    <w:bottom w:val="nil"/>
                    <w:right w:val="nil"/>
                  </w:tcBorders>
                  <w:shd w:val="clear" w:color="auto" w:fill="auto"/>
                  <w:vAlign w:val="bottom"/>
                </w:tcPr>
                <w:p w14:paraId="7954D08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566</w:t>
                  </w:r>
                </w:p>
              </w:tc>
              <w:tc>
                <w:tcPr>
                  <w:tcW w:w="555" w:type="pct"/>
                  <w:tcBorders>
                    <w:top w:val="nil"/>
                    <w:left w:val="nil"/>
                    <w:bottom w:val="nil"/>
                    <w:right w:val="nil"/>
                  </w:tcBorders>
                  <w:shd w:val="clear" w:color="auto" w:fill="auto"/>
                  <w:vAlign w:val="bottom"/>
                </w:tcPr>
                <w:p w14:paraId="7954D08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169</w:t>
                  </w:r>
                </w:p>
              </w:tc>
              <w:tc>
                <w:tcPr>
                  <w:tcW w:w="555" w:type="pct"/>
                  <w:tcBorders>
                    <w:top w:val="nil"/>
                    <w:left w:val="nil"/>
                    <w:bottom w:val="nil"/>
                    <w:right w:val="nil"/>
                  </w:tcBorders>
                  <w:shd w:val="clear" w:color="auto" w:fill="auto"/>
                  <w:vAlign w:val="bottom"/>
                </w:tcPr>
                <w:p w14:paraId="7954D08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141</w:t>
                  </w:r>
                </w:p>
              </w:tc>
              <w:tc>
                <w:tcPr>
                  <w:tcW w:w="553" w:type="pct"/>
                  <w:tcBorders>
                    <w:top w:val="nil"/>
                    <w:left w:val="nil"/>
                    <w:bottom w:val="nil"/>
                    <w:right w:val="nil"/>
                  </w:tcBorders>
                  <w:shd w:val="clear" w:color="auto" w:fill="auto"/>
                  <w:vAlign w:val="bottom"/>
                </w:tcPr>
                <w:p w14:paraId="7954D08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78 </w:t>
                  </w:r>
                </w:p>
              </w:tc>
            </w:tr>
            <w:tr w:rsidR="00F05DC7" w:rsidRPr="00A75ED1" w14:paraId="7954D096" w14:textId="77777777" w:rsidTr="00A3786D">
              <w:tc>
                <w:tcPr>
                  <w:tcW w:w="556" w:type="pct"/>
                </w:tcPr>
                <w:p w14:paraId="7954D08D"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D08E" w14:textId="77777777" w:rsidR="00F05DC7" w:rsidRPr="00A75ED1" w:rsidRDefault="00F05DC7" w:rsidP="00A3786D">
                  <w:pPr>
                    <w:pStyle w:val="TableBodyText"/>
                    <w:rPr>
                      <w:rFonts w:cs="Arial"/>
                      <w:szCs w:val="18"/>
                    </w:rPr>
                  </w:pPr>
                  <w:r w:rsidRPr="00A75ED1">
                    <w:rPr>
                      <w:rFonts w:cs="Arial"/>
                      <w:color w:val="000000"/>
                      <w:szCs w:val="18"/>
                    </w:rPr>
                    <w:t>1128</w:t>
                  </w:r>
                </w:p>
              </w:tc>
              <w:tc>
                <w:tcPr>
                  <w:tcW w:w="557" w:type="pct"/>
                  <w:tcBorders>
                    <w:top w:val="nil"/>
                    <w:left w:val="nil"/>
                    <w:bottom w:val="nil"/>
                    <w:right w:val="nil"/>
                  </w:tcBorders>
                  <w:shd w:val="clear" w:color="auto" w:fill="auto"/>
                  <w:vAlign w:val="bottom"/>
                </w:tcPr>
                <w:p w14:paraId="7954D08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2178</w:t>
                  </w:r>
                </w:p>
              </w:tc>
              <w:tc>
                <w:tcPr>
                  <w:tcW w:w="556" w:type="pct"/>
                  <w:tcBorders>
                    <w:top w:val="nil"/>
                    <w:left w:val="nil"/>
                    <w:bottom w:val="nil"/>
                    <w:right w:val="nil"/>
                  </w:tcBorders>
                  <w:shd w:val="clear" w:color="auto" w:fill="auto"/>
                  <w:vAlign w:val="bottom"/>
                </w:tcPr>
                <w:p w14:paraId="7954D09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1765</w:t>
                  </w:r>
                </w:p>
              </w:tc>
              <w:tc>
                <w:tcPr>
                  <w:tcW w:w="556" w:type="pct"/>
                  <w:tcBorders>
                    <w:top w:val="nil"/>
                    <w:left w:val="nil"/>
                    <w:bottom w:val="nil"/>
                    <w:right w:val="nil"/>
                  </w:tcBorders>
                  <w:shd w:val="clear" w:color="auto" w:fill="auto"/>
                  <w:vAlign w:val="bottom"/>
                </w:tcPr>
                <w:p w14:paraId="7954D091" w14:textId="77777777" w:rsidR="00F05DC7" w:rsidRPr="00A75ED1" w:rsidRDefault="00F05DC7" w:rsidP="00A3786D">
                  <w:pPr>
                    <w:pStyle w:val="TableBodyText"/>
                    <w:rPr>
                      <w:rFonts w:cs="Arial"/>
                      <w:szCs w:val="18"/>
                    </w:rPr>
                  </w:pPr>
                  <w:r w:rsidRPr="00A75ED1">
                    <w:rPr>
                      <w:rFonts w:cs="Arial"/>
                      <w:color w:val="000000"/>
                      <w:szCs w:val="18"/>
                    </w:rPr>
                    <w:t>3806</w:t>
                  </w:r>
                </w:p>
              </w:tc>
              <w:tc>
                <w:tcPr>
                  <w:tcW w:w="555" w:type="pct"/>
                  <w:tcBorders>
                    <w:top w:val="nil"/>
                    <w:left w:val="nil"/>
                    <w:bottom w:val="nil"/>
                    <w:right w:val="nil"/>
                  </w:tcBorders>
                  <w:shd w:val="clear" w:color="auto" w:fill="auto"/>
                  <w:vAlign w:val="bottom"/>
                </w:tcPr>
                <w:p w14:paraId="7954D09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587</w:t>
                  </w:r>
                </w:p>
              </w:tc>
              <w:tc>
                <w:tcPr>
                  <w:tcW w:w="555" w:type="pct"/>
                  <w:tcBorders>
                    <w:top w:val="nil"/>
                    <w:left w:val="nil"/>
                    <w:bottom w:val="nil"/>
                    <w:right w:val="nil"/>
                  </w:tcBorders>
                  <w:shd w:val="clear" w:color="auto" w:fill="auto"/>
                  <w:vAlign w:val="bottom"/>
                </w:tcPr>
                <w:p w14:paraId="7954D09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175</w:t>
                  </w:r>
                </w:p>
              </w:tc>
              <w:tc>
                <w:tcPr>
                  <w:tcW w:w="555" w:type="pct"/>
                  <w:tcBorders>
                    <w:top w:val="nil"/>
                    <w:left w:val="nil"/>
                    <w:bottom w:val="nil"/>
                    <w:right w:val="nil"/>
                  </w:tcBorders>
                  <w:shd w:val="clear" w:color="auto" w:fill="auto"/>
                  <w:vAlign w:val="bottom"/>
                </w:tcPr>
                <w:p w14:paraId="7954D09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148</w:t>
                  </w:r>
                </w:p>
              </w:tc>
              <w:tc>
                <w:tcPr>
                  <w:tcW w:w="553" w:type="pct"/>
                  <w:tcBorders>
                    <w:top w:val="nil"/>
                    <w:left w:val="nil"/>
                    <w:bottom w:val="nil"/>
                    <w:right w:val="nil"/>
                  </w:tcBorders>
                  <w:shd w:val="clear" w:color="auto" w:fill="auto"/>
                  <w:vAlign w:val="bottom"/>
                </w:tcPr>
                <w:p w14:paraId="7954D09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81 </w:t>
                  </w:r>
                </w:p>
              </w:tc>
            </w:tr>
            <w:tr w:rsidR="00F05DC7" w:rsidRPr="00A75ED1" w14:paraId="7954D0A0" w14:textId="77777777" w:rsidTr="00A3786D">
              <w:tc>
                <w:tcPr>
                  <w:tcW w:w="556" w:type="pct"/>
                </w:tcPr>
                <w:p w14:paraId="7954D097"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D098" w14:textId="77777777" w:rsidR="00F05DC7" w:rsidRPr="00A75ED1" w:rsidRDefault="00F05DC7" w:rsidP="00A3786D">
                  <w:pPr>
                    <w:pStyle w:val="TableBodyText"/>
                    <w:rPr>
                      <w:rFonts w:cs="Arial"/>
                      <w:szCs w:val="18"/>
                    </w:rPr>
                  </w:pPr>
                  <w:r w:rsidRPr="00A75ED1">
                    <w:rPr>
                      <w:rFonts w:cs="Arial"/>
                      <w:color w:val="000000"/>
                      <w:szCs w:val="18"/>
                    </w:rPr>
                    <w:t>1190</w:t>
                  </w:r>
                </w:p>
              </w:tc>
              <w:tc>
                <w:tcPr>
                  <w:tcW w:w="557" w:type="pct"/>
                  <w:tcBorders>
                    <w:top w:val="nil"/>
                    <w:left w:val="nil"/>
                    <w:bottom w:val="nil"/>
                    <w:right w:val="nil"/>
                  </w:tcBorders>
                  <w:shd w:val="clear" w:color="auto" w:fill="auto"/>
                  <w:vAlign w:val="bottom"/>
                </w:tcPr>
                <w:p w14:paraId="7954D09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2305</w:t>
                  </w:r>
                </w:p>
              </w:tc>
              <w:tc>
                <w:tcPr>
                  <w:tcW w:w="556" w:type="pct"/>
                  <w:tcBorders>
                    <w:top w:val="nil"/>
                    <w:left w:val="nil"/>
                    <w:bottom w:val="nil"/>
                    <w:right w:val="nil"/>
                  </w:tcBorders>
                  <w:shd w:val="clear" w:color="auto" w:fill="auto"/>
                  <w:vAlign w:val="bottom"/>
                </w:tcPr>
                <w:p w14:paraId="7954D09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1845</w:t>
                  </w:r>
                </w:p>
              </w:tc>
              <w:tc>
                <w:tcPr>
                  <w:tcW w:w="556" w:type="pct"/>
                  <w:tcBorders>
                    <w:top w:val="nil"/>
                    <w:left w:val="nil"/>
                    <w:bottom w:val="nil"/>
                    <w:right w:val="nil"/>
                  </w:tcBorders>
                  <w:shd w:val="clear" w:color="auto" w:fill="auto"/>
                  <w:vAlign w:val="bottom"/>
                </w:tcPr>
                <w:p w14:paraId="7954D09B" w14:textId="77777777" w:rsidR="00F05DC7" w:rsidRPr="00A75ED1" w:rsidRDefault="00F05DC7" w:rsidP="00A3786D">
                  <w:pPr>
                    <w:pStyle w:val="TableBodyText"/>
                    <w:rPr>
                      <w:rFonts w:cs="Arial"/>
                      <w:szCs w:val="18"/>
                    </w:rPr>
                  </w:pPr>
                  <w:r w:rsidRPr="00A75ED1">
                    <w:rPr>
                      <w:rFonts w:cs="Arial"/>
                      <w:color w:val="000000"/>
                      <w:szCs w:val="18"/>
                    </w:rPr>
                    <w:t>3990</w:t>
                  </w:r>
                </w:p>
              </w:tc>
              <w:tc>
                <w:tcPr>
                  <w:tcW w:w="555" w:type="pct"/>
                  <w:tcBorders>
                    <w:top w:val="nil"/>
                    <w:left w:val="nil"/>
                    <w:bottom w:val="nil"/>
                    <w:right w:val="nil"/>
                  </w:tcBorders>
                  <w:shd w:val="clear" w:color="auto" w:fill="auto"/>
                  <w:vAlign w:val="bottom"/>
                </w:tcPr>
                <w:p w14:paraId="7954D09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610</w:t>
                  </w:r>
                </w:p>
              </w:tc>
              <w:tc>
                <w:tcPr>
                  <w:tcW w:w="555" w:type="pct"/>
                  <w:tcBorders>
                    <w:top w:val="nil"/>
                    <w:left w:val="nil"/>
                    <w:bottom w:val="nil"/>
                    <w:right w:val="nil"/>
                  </w:tcBorders>
                  <w:shd w:val="clear" w:color="auto" w:fill="auto"/>
                  <w:vAlign w:val="bottom"/>
                </w:tcPr>
                <w:p w14:paraId="7954D09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182</w:t>
                  </w:r>
                </w:p>
              </w:tc>
              <w:tc>
                <w:tcPr>
                  <w:tcW w:w="555" w:type="pct"/>
                  <w:tcBorders>
                    <w:top w:val="nil"/>
                    <w:left w:val="nil"/>
                    <w:bottom w:val="nil"/>
                    <w:right w:val="nil"/>
                  </w:tcBorders>
                  <w:shd w:val="clear" w:color="auto" w:fill="auto"/>
                  <w:vAlign w:val="bottom"/>
                </w:tcPr>
                <w:p w14:paraId="7954D09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155</w:t>
                  </w:r>
                </w:p>
              </w:tc>
              <w:tc>
                <w:tcPr>
                  <w:tcW w:w="553" w:type="pct"/>
                  <w:tcBorders>
                    <w:top w:val="nil"/>
                    <w:left w:val="nil"/>
                    <w:bottom w:val="nil"/>
                    <w:right w:val="nil"/>
                  </w:tcBorders>
                  <w:shd w:val="clear" w:color="auto" w:fill="auto"/>
                  <w:vAlign w:val="bottom"/>
                </w:tcPr>
                <w:p w14:paraId="7954D09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84 </w:t>
                  </w:r>
                </w:p>
              </w:tc>
            </w:tr>
            <w:tr w:rsidR="00F05DC7" w:rsidRPr="00A75ED1" w14:paraId="7954D0AA" w14:textId="77777777" w:rsidTr="002341D7">
              <w:tc>
                <w:tcPr>
                  <w:tcW w:w="556" w:type="pct"/>
                </w:tcPr>
                <w:p w14:paraId="7954D0A1"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D0A2" w14:textId="77777777" w:rsidR="00F05DC7" w:rsidRPr="00A75ED1" w:rsidRDefault="00F05DC7" w:rsidP="00A3786D">
                  <w:pPr>
                    <w:pStyle w:val="TableBodyText"/>
                    <w:rPr>
                      <w:rFonts w:cs="Arial"/>
                      <w:szCs w:val="18"/>
                    </w:rPr>
                  </w:pPr>
                  <w:r w:rsidRPr="00A75ED1">
                    <w:rPr>
                      <w:rFonts w:cs="Arial"/>
                      <w:color w:val="000000"/>
                      <w:szCs w:val="18"/>
                    </w:rPr>
                    <w:t>1255</w:t>
                  </w:r>
                </w:p>
              </w:tc>
              <w:tc>
                <w:tcPr>
                  <w:tcW w:w="557" w:type="pct"/>
                  <w:tcBorders>
                    <w:top w:val="nil"/>
                    <w:left w:val="nil"/>
                    <w:right w:val="nil"/>
                  </w:tcBorders>
                  <w:shd w:val="clear" w:color="auto" w:fill="auto"/>
                  <w:vAlign w:val="bottom"/>
                </w:tcPr>
                <w:p w14:paraId="7954D0A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2439</w:t>
                  </w:r>
                </w:p>
              </w:tc>
              <w:tc>
                <w:tcPr>
                  <w:tcW w:w="556" w:type="pct"/>
                  <w:tcBorders>
                    <w:top w:val="nil"/>
                    <w:left w:val="nil"/>
                    <w:right w:val="nil"/>
                  </w:tcBorders>
                  <w:shd w:val="clear" w:color="auto" w:fill="auto"/>
                  <w:vAlign w:val="bottom"/>
                </w:tcPr>
                <w:p w14:paraId="7954D0A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1929</w:t>
                  </w:r>
                </w:p>
              </w:tc>
              <w:tc>
                <w:tcPr>
                  <w:tcW w:w="556" w:type="pct"/>
                  <w:tcBorders>
                    <w:top w:val="nil"/>
                    <w:left w:val="nil"/>
                    <w:right w:val="nil"/>
                  </w:tcBorders>
                  <w:shd w:val="clear" w:color="auto" w:fill="auto"/>
                  <w:vAlign w:val="bottom"/>
                </w:tcPr>
                <w:p w14:paraId="7954D0A5" w14:textId="77777777" w:rsidR="00F05DC7" w:rsidRPr="00A75ED1" w:rsidRDefault="00F05DC7" w:rsidP="00A3786D">
                  <w:pPr>
                    <w:pStyle w:val="TableBodyText"/>
                    <w:rPr>
                      <w:rFonts w:cs="Arial"/>
                      <w:szCs w:val="18"/>
                    </w:rPr>
                  </w:pPr>
                  <w:r w:rsidRPr="00A75ED1">
                    <w:rPr>
                      <w:rFonts w:cs="Arial"/>
                      <w:color w:val="000000"/>
                      <w:szCs w:val="18"/>
                    </w:rPr>
                    <w:t>4183</w:t>
                  </w:r>
                </w:p>
              </w:tc>
              <w:tc>
                <w:tcPr>
                  <w:tcW w:w="555" w:type="pct"/>
                  <w:tcBorders>
                    <w:top w:val="nil"/>
                    <w:left w:val="nil"/>
                    <w:right w:val="nil"/>
                  </w:tcBorders>
                  <w:shd w:val="clear" w:color="auto" w:fill="auto"/>
                  <w:vAlign w:val="bottom"/>
                </w:tcPr>
                <w:p w14:paraId="7954D0A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633</w:t>
                  </w:r>
                </w:p>
              </w:tc>
              <w:tc>
                <w:tcPr>
                  <w:tcW w:w="555" w:type="pct"/>
                  <w:tcBorders>
                    <w:top w:val="nil"/>
                    <w:left w:val="nil"/>
                    <w:right w:val="nil"/>
                  </w:tcBorders>
                  <w:shd w:val="clear" w:color="auto" w:fill="auto"/>
                  <w:vAlign w:val="bottom"/>
                </w:tcPr>
                <w:p w14:paraId="7954D0A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188</w:t>
                  </w:r>
                </w:p>
              </w:tc>
              <w:tc>
                <w:tcPr>
                  <w:tcW w:w="555" w:type="pct"/>
                  <w:tcBorders>
                    <w:top w:val="nil"/>
                    <w:left w:val="nil"/>
                    <w:right w:val="nil"/>
                  </w:tcBorders>
                  <w:shd w:val="clear" w:color="auto" w:fill="auto"/>
                  <w:vAlign w:val="bottom"/>
                </w:tcPr>
                <w:p w14:paraId="7954D0A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162</w:t>
                  </w:r>
                </w:p>
              </w:tc>
              <w:tc>
                <w:tcPr>
                  <w:tcW w:w="553" w:type="pct"/>
                  <w:tcBorders>
                    <w:top w:val="nil"/>
                    <w:left w:val="nil"/>
                    <w:right w:val="nil"/>
                  </w:tcBorders>
                  <w:shd w:val="clear" w:color="auto" w:fill="auto"/>
                  <w:vAlign w:val="bottom"/>
                </w:tcPr>
                <w:p w14:paraId="7954D0A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86</w:t>
                  </w:r>
                </w:p>
              </w:tc>
            </w:tr>
            <w:tr w:rsidR="00F05DC7" w:rsidRPr="00A75ED1" w14:paraId="7954D0AC" w14:textId="77777777" w:rsidTr="002341D7">
              <w:tc>
                <w:tcPr>
                  <w:tcW w:w="5000" w:type="pct"/>
                  <w:gridSpan w:val="9"/>
                  <w:shd w:val="clear" w:color="auto" w:fill="F2F2F2" w:themeFill="background1" w:themeFillShade="F2"/>
                </w:tcPr>
                <w:p w14:paraId="7954D0AB"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D0B6" w14:textId="77777777" w:rsidTr="00A3786D">
              <w:tc>
                <w:tcPr>
                  <w:tcW w:w="556" w:type="pct"/>
                  <w:vAlign w:val="bottom"/>
                </w:tcPr>
                <w:p w14:paraId="7954D0AD"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D0AE" w14:textId="77777777" w:rsidR="00F05DC7" w:rsidRPr="00A75ED1" w:rsidRDefault="00F05DC7" w:rsidP="00A3786D">
                  <w:pPr>
                    <w:pStyle w:val="TableBodyText"/>
                    <w:rPr>
                      <w:rFonts w:cs="Arial"/>
                      <w:szCs w:val="18"/>
                    </w:rPr>
                  </w:pPr>
                  <w:r w:rsidRPr="00A75ED1">
                    <w:rPr>
                      <w:rFonts w:cs="Arial"/>
                      <w:color w:val="000000"/>
                      <w:szCs w:val="18"/>
                    </w:rPr>
                    <w:t>27</w:t>
                  </w:r>
                </w:p>
              </w:tc>
              <w:tc>
                <w:tcPr>
                  <w:tcW w:w="557" w:type="pct"/>
                  <w:tcBorders>
                    <w:top w:val="nil"/>
                    <w:left w:val="nil"/>
                    <w:bottom w:val="nil"/>
                    <w:right w:val="nil"/>
                  </w:tcBorders>
                  <w:shd w:val="clear" w:color="auto" w:fill="FFFFFF" w:themeFill="background1"/>
                  <w:vAlign w:val="bottom"/>
                </w:tcPr>
                <w:p w14:paraId="7954D0A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62</w:t>
                  </w:r>
                </w:p>
              </w:tc>
              <w:tc>
                <w:tcPr>
                  <w:tcW w:w="556" w:type="pct"/>
                  <w:tcBorders>
                    <w:top w:val="nil"/>
                    <w:left w:val="nil"/>
                    <w:bottom w:val="nil"/>
                    <w:right w:val="nil"/>
                  </w:tcBorders>
                  <w:shd w:val="clear" w:color="auto" w:fill="FFFFFF" w:themeFill="background1"/>
                  <w:vAlign w:val="bottom"/>
                </w:tcPr>
                <w:p w14:paraId="7954D0B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69</w:t>
                  </w:r>
                </w:p>
              </w:tc>
              <w:tc>
                <w:tcPr>
                  <w:tcW w:w="556" w:type="pct"/>
                  <w:tcBorders>
                    <w:top w:val="nil"/>
                    <w:left w:val="nil"/>
                    <w:bottom w:val="nil"/>
                    <w:right w:val="nil"/>
                  </w:tcBorders>
                  <w:shd w:val="clear" w:color="auto" w:fill="FFFFFF" w:themeFill="background1"/>
                  <w:vAlign w:val="bottom"/>
                </w:tcPr>
                <w:p w14:paraId="7954D0B1" w14:textId="77777777" w:rsidR="00F05DC7" w:rsidRPr="00A75ED1" w:rsidRDefault="00F05DC7" w:rsidP="00A3786D">
                  <w:pPr>
                    <w:pStyle w:val="TableBodyText"/>
                    <w:rPr>
                      <w:rFonts w:cs="Arial"/>
                      <w:szCs w:val="18"/>
                    </w:rPr>
                  </w:pPr>
                  <w:r w:rsidRPr="00A75ED1">
                    <w:rPr>
                      <w:rFonts w:cs="Arial"/>
                      <w:color w:val="000000"/>
                      <w:szCs w:val="18"/>
                    </w:rPr>
                    <w:t>283</w:t>
                  </w:r>
                </w:p>
              </w:tc>
              <w:tc>
                <w:tcPr>
                  <w:tcW w:w="555" w:type="pct"/>
                  <w:tcBorders>
                    <w:top w:val="nil"/>
                    <w:left w:val="nil"/>
                    <w:bottom w:val="nil"/>
                    <w:right w:val="nil"/>
                  </w:tcBorders>
                  <w:shd w:val="clear" w:color="auto" w:fill="FFFFFF" w:themeFill="background1"/>
                  <w:vAlign w:val="bottom"/>
                </w:tcPr>
                <w:p w14:paraId="7954D0B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69</w:t>
                  </w:r>
                </w:p>
              </w:tc>
              <w:tc>
                <w:tcPr>
                  <w:tcW w:w="555" w:type="pct"/>
                  <w:tcBorders>
                    <w:top w:val="nil"/>
                    <w:left w:val="nil"/>
                    <w:bottom w:val="nil"/>
                    <w:right w:val="nil"/>
                  </w:tcBorders>
                  <w:shd w:val="clear" w:color="auto" w:fill="FFFFFF" w:themeFill="background1"/>
                  <w:vAlign w:val="bottom"/>
                </w:tcPr>
                <w:p w14:paraId="7954D0B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69</w:t>
                  </w:r>
                </w:p>
              </w:tc>
              <w:tc>
                <w:tcPr>
                  <w:tcW w:w="555" w:type="pct"/>
                  <w:tcBorders>
                    <w:top w:val="nil"/>
                    <w:left w:val="nil"/>
                    <w:bottom w:val="nil"/>
                    <w:right w:val="nil"/>
                  </w:tcBorders>
                  <w:shd w:val="clear" w:color="auto" w:fill="FFFFFF" w:themeFill="background1"/>
                  <w:vAlign w:val="bottom"/>
                </w:tcPr>
                <w:p w14:paraId="7954D0B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69</w:t>
                  </w:r>
                </w:p>
              </w:tc>
              <w:tc>
                <w:tcPr>
                  <w:tcW w:w="553" w:type="pct"/>
                  <w:tcBorders>
                    <w:top w:val="nil"/>
                    <w:left w:val="nil"/>
                    <w:bottom w:val="nil"/>
                    <w:right w:val="nil"/>
                  </w:tcBorders>
                  <w:shd w:val="clear" w:color="auto" w:fill="FFFFFF" w:themeFill="background1"/>
                  <w:vAlign w:val="bottom"/>
                </w:tcPr>
                <w:p w14:paraId="7954D0B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69</w:t>
                  </w:r>
                </w:p>
              </w:tc>
            </w:tr>
            <w:tr w:rsidR="00F05DC7" w:rsidRPr="00A75ED1" w14:paraId="7954D0C0" w14:textId="77777777" w:rsidTr="00A3786D">
              <w:tc>
                <w:tcPr>
                  <w:tcW w:w="556" w:type="pct"/>
                  <w:vAlign w:val="bottom"/>
                </w:tcPr>
                <w:p w14:paraId="7954D0B7"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D0B8" w14:textId="77777777" w:rsidR="00F05DC7" w:rsidRPr="00A75ED1" w:rsidRDefault="00F05DC7" w:rsidP="00A3786D">
                  <w:pPr>
                    <w:pStyle w:val="TableBodyText"/>
                    <w:rPr>
                      <w:rFonts w:cs="Arial"/>
                      <w:szCs w:val="18"/>
                    </w:rPr>
                  </w:pPr>
                  <w:r w:rsidRPr="00A75ED1">
                    <w:rPr>
                      <w:rFonts w:cs="Arial"/>
                      <w:color w:val="000000"/>
                      <w:szCs w:val="18"/>
                    </w:rPr>
                    <w:t>55</w:t>
                  </w:r>
                </w:p>
              </w:tc>
              <w:tc>
                <w:tcPr>
                  <w:tcW w:w="557" w:type="pct"/>
                  <w:tcBorders>
                    <w:top w:val="nil"/>
                    <w:left w:val="nil"/>
                    <w:bottom w:val="nil"/>
                    <w:right w:val="nil"/>
                  </w:tcBorders>
                  <w:shd w:val="clear" w:color="auto" w:fill="FFFFFF" w:themeFill="background1"/>
                  <w:vAlign w:val="bottom"/>
                </w:tcPr>
                <w:p w14:paraId="7954D0B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128</w:t>
                  </w:r>
                </w:p>
              </w:tc>
              <w:tc>
                <w:tcPr>
                  <w:tcW w:w="556" w:type="pct"/>
                  <w:tcBorders>
                    <w:top w:val="nil"/>
                    <w:left w:val="nil"/>
                    <w:bottom w:val="nil"/>
                    <w:right w:val="nil"/>
                  </w:tcBorders>
                  <w:shd w:val="clear" w:color="auto" w:fill="FFFFFF" w:themeFill="background1"/>
                  <w:vAlign w:val="bottom"/>
                </w:tcPr>
                <w:p w14:paraId="7954D0B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143</w:t>
                  </w:r>
                </w:p>
              </w:tc>
              <w:tc>
                <w:tcPr>
                  <w:tcW w:w="556" w:type="pct"/>
                  <w:tcBorders>
                    <w:top w:val="nil"/>
                    <w:left w:val="nil"/>
                    <w:bottom w:val="nil"/>
                    <w:right w:val="nil"/>
                  </w:tcBorders>
                  <w:shd w:val="clear" w:color="auto" w:fill="FFFFFF" w:themeFill="background1"/>
                  <w:vAlign w:val="bottom"/>
                </w:tcPr>
                <w:p w14:paraId="7954D0BB" w14:textId="77777777" w:rsidR="00F05DC7" w:rsidRPr="00A75ED1" w:rsidRDefault="00F05DC7" w:rsidP="00A3786D">
                  <w:pPr>
                    <w:pStyle w:val="TableBodyText"/>
                    <w:rPr>
                      <w:rFonts w:cs="Arial"/>
                      <w:szCs w:val="18"/>
                    </w:rPr>
                  </w:pPr>
                  <w:r w:rsidRPr="00A75ED1">
                    <w:rPr>
                      <w:rFonts w:cs="Arial"/>
                      <w:color w:val="000000"/>
                      <w:szCs w:val="18"/>
                    </w:rPr>
                    <w:t>588</w:t>
                  </w:r>
                </w:p>
              </w:tc>
              <w:tc>
                <w:tcPr>
                  <w:tcW w:w="555" w:type="pct"/>
                  <w:tcBorders>
                    <w:top w:val="nil"/>
                    <w:left w:val="nil"/>
                    <w:bottom w:val="nil"/>
                    <w:right w:val="nil"/>
                  </w:tcBorders>
                  <w:shd w:val="clear" w:color="auto" w:fill="FFFFFF" w:themeFill="background1"/>
                  <w:vAlign w:val="bottom"/>
                </w:tcPr>
                <w:p w14:paraId="7954D0B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143</w:t>
                  </w:r>
                </w:p>
              </w:tc>
              <w:tc>
                <w:tcPr>
                  <w:tcW w:w="555" w:type="pct"/>
                  <w:tcBorders>
                    <w:top w:val="nil"/>
                    <w:left w:val="nil"/>
                    <w:bottom w:val="nil"/>
                    <w:right w:val="nil"/>
                  </w:tcBorders>
                  <w:shd w:val="clear" w:color="auto" w:fill="FFFFFF" w:themeFill="background1"/>
                  <w:vAlign w:val="bottom"/>
                </w:tcPr>
                <w:p w14:paraId="7954D0B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143</w:t>
                  </w:r>
                </w:p>
              </w:tc>
              <w:tc>
                <w:tcPr>
                  <w:tcW w:w="555" w:type="pct"/>
                  <w:tcBorders>
                    <w:top w:val="nil"/>
                    <w:left w:val="nil"/>
                    <w:bottom w:val="nil"/>
                    <w:right w:val="nil"/>
                  </w:tcBorders>
                  <w:shd w:val="clear" w:color="auto" w:fill="FFFFFF" w:themeFill="background1"/>
                  <w:vAlign w:val="bottom"/>
                </w:tcPr>
                <w:p w14:paraId="7954D0B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143</w:t>
                  </w:r>
                </w:p>
              </w:tc>
              <w:tc>
                <w:tcPr>
                  <w:tcW w:w="553" w:type="pct"/>
                  <w:tcBorders>
                    <w:top w:val="nil"/>
                    <w:left w:val="nil"/>
                    <w:bottom w:val="nil"/>
                    <w:right w:val="nil"/>
                  </w:tcBorders>
                  <w:shd w:val="clear" w:color="auto" w:fill="FFFFFF" w:themeFill="background1"/>
                  <w:vAlign w:val="bottom"/>
                </w:tcPr>
                <w:p w14:paraId="7954D0B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143</w:t>
                  </w:r>
                </w:p>
              </w:tc>
            </w:tr>
            <w:tr w:rsidR="00F05DC7" w:rsidRPr="00A75ED1" w14:paraId="7954D0CA" w14:textId="77777777" w:rsidTr="00A3786D">
              <w:tc>
                <w:tcPr>
                  <w:tcW w:w="556" w:type="pct"/>
                  <w:vAlign w:val="bottom"/>
                </w:tcPr>
                <w:p w14:paraId="7954D0C1"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D0C2" w14:textId="77777777" w:rsidR="00F05DC7" w:rsidRPr="00A75ED1" w:rsidRDefault="00F05DC7" w:rsidP="00A3786D">
                  <w:pPr>
                    <w:pStyle w:val="TableBodyText"/>
                    <w:rPr>
                      <w:rFonts w:cs="Arial"/>
                      <w:szCs w:val="18"/>
                    </w:rPr>
                  </w:pPr>
                  <w:r w:rsidRPr="00A75ED1">
                    <w:rPr>
                      <w:rFonts w:cs="Arial"/>
                      <w:color w:val="000000"/>
                      <w:szCs w:val="18"/>
                    </w:rPr>
                    <w:t>86</w:t>
                  </w:r>
                </w:p>
              </w:tc>
              <w:tc>
                <w:tcPr>
                  <w:tcW w:w="557" w:type="pct"/>
                  <w:tcBorders>
                    <w:top w:val="nil"/>
                    <w:left w:val="nil"/>
                    <w:bottom w:val="nil"/>
                    <w:right w:val="nil"/>
                  </w:tcBorders>
                  <w:shd w:val="clear" w:color="auto" w:fill="FFFFFF" w:themeFill="background1"/>
                  <w:vAlign w:val="bottom"/>
                </w:tcPr>
                <w:p w14:paraId="7954D0C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200</w:t>
                  </w:r>
                </w:p>
              </w:tc>
              <w:tc>
                <w:tcPr>
                  <w:tcW w:w="556" w:type="pct"/>
                  <w:tcBorders>
                    <w:top w:val="nil"/>
                    <w:left w:val="nil"/>
                    <w:bottom w:val="nil"/>
                    <w:right w:val="nil"/>
                  </w:tcBorders>
                  <w:shd w:val="clear" w:color="auto" w:fill="FFFFFF" w:themeFill="background1"/>
                  <w:vAlign w:val="bottom"/>
                </w:tcPr>
                <w:p w14:paraId="7954D0C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221</w:t>
                  </w:r>
                </w:p>
              </w:tc>
              <w:tc>
                <w:tcPr>
                  <w:tcW w:w="556" w:type="pct"/>
                  <w:tcBorders>
                    <w:top w:val="nil"/>
                    <w:left w:val="nil"/>
                    <w:bottom w:val="nil"/>
                    <w:right w:val="nil"/>
                  </w:tcBorders>
                  <w:shd w:val="clear" w:color="auto" w:fill="FFFFFF" w:themeFill="background1"/>
                  <w:vAlign w:val="bottom"/>
                </w:tcPr>
                <w:p w14:paraId="7954D0C5" w14:textId="77777777" w:rsidR="00F05DC7" w:rsidRPr="00A75ED1" w:rsidRDefault="00F05DC7" w:rsidP="00A3786D">
                  <w:pPr>
                    <w:pStyle w:val="TableBodyText"/>
                    <w:rPr>
                      <w:rFonts w:cs="Arial"/>
                      <w:szCs w:val="18"/>
                    </w:rPr>
                  </w:pPr>
                  <w:r w:rsidRPr="00A75ED1">
                    <w:rPr>
                      <w:rFonts w:cs="Arial"/>
                      <w:color w:val="000000"/>
                      <w:szCs w:val="18"/>
                    </w:rPr>
                    <w:t>915</w:t>
                  </w:r>
                </w:p>
              </w:tc>
              <w:tc>
                <w:tcPr>
                  <w:tcW w:w="555" w:type="pct"/>
                  <w:tcBorders>
                    <w:top w:val="nil"/>
                    <w:left w:val="nil"/>
                    <w:bottom w:val="nil"/>
                    <w:right w:val="nil"/>
                  </w:tcBorders>
                  <w:shd w:val="clear" w:color="auto" w:fill="FFFFFF" w:themeFill="background1"/>
                  <w:vAlign w:val="bottom"/>
                </w:tcPr>
                <w:p w14:paraId="7954D0C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221</w:t>
                  </w:r>
                </w:p>
              </w:tc>
              <w:tc>
                <w:tcPr>
                  <w:tcW w:w="555" w:type="pct"/>
                  <w:tcBorders>
                    <w:top w:val="nil"/>
                    <w:left w:val="nil"/>
                    <w:bottom w:val="nil"/>
                    <w:right w:val="nil"/>
                  </w:tcBorders>
                  <w:shd w:val="clear" w:color="auto" w:fill="FFFFFF" w:themeFill="background1"/>
                  <w:vAlign w:val="bottom"/>
                </w:tcPr>
                <w:p w14:paraId="7954D0C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221</w:t>
                  </w:r>
                </w:p>
              </w:tc>
              <w:tc>
                <w:tcPr>
                  <w:tcW w:w="555" w:type="pct"/>
                  <w:tcBorders>
                    <w:top w:val="nil"/>
                    <w:left w:val="nil"/>
                    <w:bottom w:val="nil"/>
                    <w:right w:val="nil"/>
                  </w:tcBorders>
                  <w:shd w:val="clear" w:color="auto" w:fill="FFFFFF" w:themeFill="background1"/>
                  <w:vAlign w:val="bottom"/>
                </w:tcPr>
                <w:p w14:paraId="7954D0C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221</w:t>
                  </w:r>
                </w:p>
              </w:tc>
              <w:tc>
                <w:tcPr>
                  <w:tcW w:w="553" w:type="pct"/>
                  <w:tcBorders>
                    <w:top w:val="nil"/>
                    <w:left w:val="nil"/>
                    <w:bottom w:val="nil"/>
                    <w:right w:val="nil"/>
                  </w:tcBorders>
                  <w:shd w:val="clear" w:color="auto" w:fill="FFFFFF" w:themeFill="background1"/>
                  <w:vAlign w:val="bottom"/>
                </w:tcPr>
                <w:p w14:paraId="7954D0C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221</w:t>
                  </w:r>
                </w:p>
              </w:tc>
            </w:tr>
            <w:tr w:rsidR="00F05DC7" w:rsidRPr="00A75ED1" w14:paraId="7954D0D4" w14:textId="77777777" w:rsidTr="00A3786D">
              <w:tc>
                <w:tcPr>
                  <w:tcW w:w="556" w:type="pct"/>
                </w:tcPr>
                <w:p w14:paraId="7954D0CB"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D0CC" w14:textId="77777777" w:rsidR="00F05DC7" w:rsidRPr="00A75ED1" w:rsidRDefault="00F05DC7" w:rsidP="00A3786D">
                  <w:pPr>
                    <w:pStyle w:val="TableBodyText"/>
                    <w:rPr>
                      <w:rFonts w:cs="Arial"/>
                      <w:szCs w:val="18"/>
                    </w:rPr>
                  </w:pPr>
                  <w:r w:rsidRPr="00A75ED1">
                    <w:rPr>
                      <w:rFonts w:cs="Arial"/>
                      <w:color w:val="000000"/>
                      <w:szCs w:val="18"/>
                    </w:rPr>
                    <w:t>119</w:t>
                  </w:r>
                </w:p>
              </w:tc>
              <w:tc>
                <w:tcPr>
                  <w:tcW w:w="557" w:type="pct"/>
                  <w:tcBorders>
                    <w:top w:val="nil"/>
                    <w:left w:val="nil"/>
                    <w:bottom w:val="nil"/>
                    <w:right w:val="nil"/>
                  </w:tcBorders>
                  <w:shd w:val="clear" w:color="auto" w:fill="FFFFFF" w:themeFill="background1"/>
                  <w:vAlign w:val="bottom"/>
                </w:tcPr>
                <w:p w14:paraId="7954D0C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276</w:t>
                  </w:r>
                </w:p>
              </w:tc>
              <w:tc>
                <w:tcPr>
                  <w:tcW w:w="556" w:type="pct"/>
                  <w:tcBorders>
                    <w:top w:val="nil"/>
                    <w:left w:val="nil"/>
                    <w:bottom w:val="nil"/>
                    <w:right w:val="nil"/>
                  </w:tcBorders>
                  <w:shd w:val="clear" w:color="auto" w:fill="FFFFFF" w:themeFill="background1"/>
                  <w:vAlign w:val="bottom"/>
                </w:tcPr>
                <w:p w14:paraId="7954D0C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304</w:t>
                  </w:r>
                </w:p>
              </w:tc>
              <w:tc>
                <w:tcPr>
                  <w:tcW w:w="556" w:type="pct"/>
                  <w:tcBorders>
                    <w:top w:val="nil"/>
                    <w:left w:val="nil"/>
                    <w:bottom w:val="nil"/>
                    <w:right w:val="nil"/>
                  </w:tcBorders>
                  <w:shd w:val="clear" w:color="auto" w:fill="FFFFFF" w:themeFill="background1"/>
                  <w:vAlign w:val="bottom"/>
                </w:tcPr>
                <w:p w14:paraId="7954D0CF" w14:textId="77777777" w:rsidR="00F05DC7" w:rsidRPr="00A75ED1" w:rsidRDefault="00F05DC7" w:rsidP="00A3786D">
                  <w:pPr>
                    <w:pStyle w:val="TableBodyText"/>
                    <w:rPr>
                      <w:rFonts w:cs="Arial"/>
                      <w:szCs w:val="18"/>
                    </w:rPr>
                  </w:pPr>
                  <w:r w:rsidRPr="00A75ED1">
                    <w:rPr>
                      <w:rFonts w:cs="Arial"/>
                      <w:color w:val="000000"/>
                      <w:szCs w:val="18"/>
                    </w:rPr>
                    <w:t>1266</w:t>
                  </w:r>
                </w:p>
              </w:tc>
              <w:tc>
                <w:tcPr>
                  <w:tcW w:w="555" w:type="pct"/>
                  <w:tcBorders>
                    <w:top w:val="nil"/>
                    <w:left w:val="nil"/>
                    <w:bottom w:val="nil"/>
                    <w:right w:val="nil"/>
                  </w:tcBorders>
                  <w:shd w:val="clear" w:color="auto" w:fill="FFFFFF" w:themeFill="background1"/>
                  <w:vAlign w:val="bottom"/>
                </w:tcPr>
                <w:p w14:paraId="7954D0D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304</w:t>
                  </w:r>
                </w:p>
              </w:tc>
              <w:tc>
                <w:tcPr>
                  <w:tcW w:w="555" w:type="pct"/>
                  <w:tcBorders>
                    <w:top w:val="nil"/>
                    <w:left w:val="nil"/>
                    <w:bottom w:val="nil"/>
                    <w:right w:val="nil"/>
                  </w:tcBorders>
                  <w:shd w:val="clear" w:color="auto" w:fill="FFFFFF" w:themeFill="background1"/>
                  <w:vAlign w:val="bottom"/>
                </w:tcPr>
                <w:p w14:paraId="7954D0D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304</w:t>
                  </w:r>
                </w:p>
              </w:tc>
              <w:tc>
                <w:tcPr>
                  <w:tcW w:w="555" w:type="pct"/>
                  <w:tcBorders>
                    <w:top w:val="nil"/>
                    <w:left w:val="nil"/>
                    <w:bottom w:val="nil"/>
                    <w:right w:val="nil"/>
                  </w:tcBorders>
                  <w:shd w:val="clear" w:color="auto" w:fill="FFFFFF" w:themeFill="background1"/>
                  <w:vAlign w:val="bottom"/>
                </w:tcPr>
                <w:p w14:paraId="7954D0D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304</w:t>
                  </w:r>
                </w:p>
              </w:tc>
              <w:tc>
                <w:tcPr>
                  <w:tcW w:w="553" w:type="pct"/>
                  <w:tcBorders>
                    <w:top w:val="nil"/>
                    <w:left w:val="nil"/>
                    <w:bottom w:val="nil"/>
                    <w:right w:val="nil"/>
                  </w:tcBorders>
                  <w:shd w:val="clear" w:color="auto" w:fill="FFFFFF" w:themeFill="background1"/>
                  <w:vAlign w:val="bottom"/>
                </w:tcPr>
                <w:p w14:paraId="7954D0D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304</w:t>
                  </w:r>
                </w:p>
              </w:tc>
            </w:tr>
            <w:tr w:rsidR="00F05DC7" w:rsidRPr="00A75ED1" w14:paraId="7954D0DE" w14:textId="77777777" w:rsidTr="00A3786D">
              <w:tc>
                <w:tcPr>
                  <w:tcW w:w="556" w:type="pct"/>
                </w:tcPr>
                <w:p w14:paraId="7954D0D5"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D0D6" w14:textId="77777777" w:rsidR="00F05DC7" w:rsidRPr="00A75ED1" w:rsidRDefault="00F05DC7" w:rsidP="00A3786D">
                  <w:pPr>
                    <w:pStyle w:val="TableBodyText"/>
                    <w:rPr>
                      <w:rFonts w:cs="Arial"/>
                      <w:szCs w:val="18"/>
                    </w:rPr>
                  </w:pPr>
                  <w:r w:rsidRPr="00A75ED1">
                    <w:rPr>
                      <w:rFonts w:cs="Arial"/>
                      <w:color w:val="000000"/>
                      <w:szCs w:val="18"/>
                    </w:rPr>
                    <w:t>123</w:t>
                  </w:r>
                </w:p>
              </w:tc>
              <w:tc>
                <w:tcPr>
                  <w:tcW w:w="557" w:type="pct"/>
                  <w:tcBorders>
                    <w:top w:val="nil"/>
                    <w:left w:val="nil"/>
                    <w:bottom w:val="nil"/>
                    <w:right w:val="nil"/>
                  </w:tcBorders>
                  <w:shd w:val="clear" w:color="auto" w:fill="auto"/>
                  <w:vAlign w:val="bottom"/>
                </w:tcPr>
                <w:p w14:paraId="7954D0D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286</w:t>
                  </w:r>
                </w:p>
              </w:tc>
              <w:tc>
                <w:tcPr>
                  <w:tcW w:w="556" w:type="pct"/>
                  <w:tcBorders>
                    <w:top w:val="nil"/>
                    <w:left w:val="nil"/>
                    <w:bottom w:val="nil"/>
                    <w:right w:val="nil"/>
                  </w:tcBorders>
                  <w:shd w:val="clear" w:color="auto" w:fill="auto"/>
                  <w:vAlign w:val="bottom"/>
                </w:tcPr>
                <w:p w14:paraId="7954D0D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313</w:t>
                  </w:r>
                </w:p>
              </w:tc>
              <w:tc>
                <w:tcPr>
                  <w:tcW w:w="556" w:type="pct"/>
                  <w:tcBorders>
                    <w:top w:val="nil"/>
                    <w:left w:val="nil"/>
                    <w:bottom w:val="nil"/>
                    <w:right w:val="nil"/>
                  </w:tcBorders>
                  <w:shd w:val="clear" w:color="auto" w:fill="auto"/>
                  <w:vAlign w:val="bottom"/>
                </w:tcPr>
                <w:p w14:paraId="7954D0D9" w14:textId="77777777" w:rsidR="00F05DC7" w:rsidRPr="00A75ED1" w:rsidRDefault="00F05DC7" w:rsidP="00A3786D">
                  <w:pPr>
                    <w:pStyle w:val="TableBodyText"/>
                    <w:rPr>
                      <w:rFonts w:cs="Arial"/>
                      <w:szCs w:val="18"/>
                    </w:rPr>
                  </w:pPr>
                  <w:r w:rsidRPr="00A75ED1">
                    <w:rPr>
                      <w:rFonts w:cs="Arial"/>
                      <w:color w:val="000000"/>
                      <w:szCs w:val="18"/>
                    </w:rPr>
                    <w:t>1313</w:t>
                  </w:r>
                </w:p>
              </w:tc>
              <w:tc>
                <w:tcPr>
                  <w:tcW w:w="555" w:type="pct"/>
                  <w:tcBorders>
                    <w:top w:val="nil"/>
                    <w:left w:val="nil"/>
                    <w:bottom w:val="nil"/>
                    <w:right w:val="nil"/>
                  </w:tcBorders>
                  <w:shd w:val="clear" w:color="auto" w:fill="auto"/>
                  <w:vAlign w:val="bottom"/>
                </w:tcPr>
                <w:p w14:paraId="7954D0D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313</w:t>
                  </w:r>
                </w:p>
              </w:tc>
              <w:tc>
                <w:tcPr>
                  <w:tcW w:w="555" w:type="pct"/>
                  <w:tcBorders>
                    <w:top w:val="nil"/>
                    <w:left w:val="nil"/>
                    <w:bottom w:val="nil"/>
                    <w:right w:val="nil"/>
                  </w:tcBorders>
                  <w:shd w:val="clear" w:color="auto" w:fill="auto"/>
                  <w:vAlign w:val="bottom"/>
                </w:tcPr>
                <w:p w14:paraId="7954D0D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313</w:t>
                  </w:r>
                </w:p>
              </w:tc>
              <w:tc>
                <w:tcPr>
                  <w:tcW w:w="555" w:type="pct"/>
                  <w:tcBorders>
                    <w:top w:val="nil"/>
                    <w:left w:val="nil"/>
                    <w:bottom w:val="nil"/>
                    <w:right w:val="nil"/>
                  </w:tcBorders>
                  <w:shd w:val="clear" w:color="auto" w:fill="auto"/>
                  <w:vAlign w:val="bottom"/>
                </w:tcPr>
                <w:p w14:paraId="7954D0D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313</w:t>
                  </w:r>
                </w:p>
              </w:tc>
              <w:tc>
                <w:tcPr>
                  <w:tcW w:w="553" w:type="pct"/>
                  <w:tcBorders>
                    <w:top w:val="nil"/>
                    <w:left w:val="nil"/>
                    <w:bottom w:val="nil"/>
                    <w:right w:val="nil"/>
                  </w:tcBorders>
                  <w:shd w:val="clear" w:color="auto" w:fill="auto"/>
                  <w:vAlign w:val="bottom"/>
                </w:tcPr>
                <w:p w14:paraId="7954D0D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313</w:t>
                  </w:r>
                </w:p>
              </w:tc>
            </w:tr>
            <w:tr w:rsidR="00F05DC7" w:rsidRPr="00A75ED1" w14:paraId="7954D0E8" w14:textId="77777777" w:rsidTr="00A3786D">
              <w:tc>
                <w:tcPr>
                  <w:tcW w:w="556" w:type="pct"/>
                </w:tcPr>
                <w:p w14:paraId="7954D0DF"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D0E0" w14:textId="77777777" w:rsidR="00F05DC7" w:rsidRPr="00A75ED1" w:rsidRDefault="00F05DC7" w:rsidP="00A3786D">
                  <w:pPr>
                    <w:pStyle w:val="TableBodyText"/>
                    <w:rPr>
                      <w:rFonts w:cs="Arial"/>
                      <w:szCs w:val="18"/>
                    </w:rPr>
                  </w:pPr>
                  <w:r w:rsidRPr="00A75ED1">
                    <w:rPr>
                      <w:rFonts w:cs="Arial"/>
                      <w:color w:val="000000"/>
                      <w:szCs w:val="18"/>
                    </w:rPr>
                    <w:t>128</w:t>
                  </w:r>
                </w:p>
              </w:tc>
              <w:tc>
                <w:tcPr>
                  <w:tcW w:w="557" w:type="pct"/>
                  <w:tcBorders>
                    <w:top w:val="nil"/>
                    <w:left w:val="nil"/>
                    <w:bottom w:val="nil"/>
                    <w:right w:val="nil"/>
                  </w:tcBorders>
                  <w:shd w:val="clear" w:color="auto" w:fill="auto"/>
                  <w:vAlign w:val="bottom"/>
                </w:tcPr>
                <w:p w14:paraId="7954D0E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296</w:t>
                  </w:r>
                </w:p>
              </w:tc>
              <w:tc>
                <w:tcPr>
                  <w:tcW w:w="556" w:type="pct"/>
                  <w:tcBorders>
                    <w:top w:val="nil"/>
                    <w:left w:val="nil"/>
                    <w:bottom w:val="nil"/>
                    <w:right w:val="nil"/>
                  </w:tcBorders>
                  <w:shd w:val="clear" w:color="auto" w:fill="auto"/>
                  <w:vAlign w:val="bottom"/>
                </w:tcPr>
                <w:p w14:paraId="7954D0E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323</w:t>
                  </w:r>
                </w:p>
              </w:tc>
              <w:tc>
                <w:tcPr>
                  <w:tcW w:w="556" w:type="pct"/>
                  <w:tcBorders>
                    <w:top w:val="nil"/>
                    <w:left w:val="nil"/>
                    <w:bottom w:val="nil"/>
                    <w:right w:val="nil"/>
                  </w:tcBorders>
                  <w:shd w:val="clear" w:color="auto" w:fill="auto"/>
                  <w:vAlign w:val="bottom"/>
                </w:tcPr>
                <w:p w14:paraId="7954D0E3" w14:textId="77777777" w:rsidR="00F05DC7" w:rsidRPr="00A75ED1" w:rsidRDefault="00F05DC7" w:rsidP="00A3786D">
                  <w:pPr>
                    <w:pStyle w:val="TableBodyText"/>
                    <w:rPr>
                      <w:rFonts w:cs="Arial"/>
                      <w:szCs w:val="18"/>
                    </w:rPr>
                  </w:pPr>
                  <w:r w:rsidRPr="00A75ED1">
                    <w:rPr>
                      <w:rFonts w:cs="Arial"/>
                      <w:color w:val="000000"/>
                      <w:szCs w:val="18"/>
                    </w:rPr>
                    <w:t>1362</w:t>
                  </w:r>
                </w:p>
              </w:tc>
              <w:tc>
                <w:tcPr>
                  <w:tcW w:w="555" w:type="pct"/>
                  <w:tcBorders>
                    <w:top w:val="nil"/>
                    <w:left w:val="nil"/>
                    <w:bottom w:val="nil"/>
                    <w:right w:val="nil"/>
                  </w:tcBorders>
                  <w:shd w:val="clear" w:color="auto" w:fill="auto"/>
                  <w:vAlign w:val="bottom"/>
                </w:tcPr>
                <w:p w14:paraId="7954D0E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323</w:t>
                  </w:r>
                </w:p>
              </w:tc>
              <w:tc>
                <w:tcPr>
                  <w:tcW w:w="555" w:type="pct"/>
                  <w:tcBorders>
                    <w:top w:val="nil"/>
                    <w:left w:val="nil"/>
                    <w:bottom w:val="nil"/>
                    <w:right w:val="nil"/>
                  </w:tcBorders>
                  <w:shd w:val="clear" w:color="auto" w:fill="auto"/>
                  <w:vAlign w:val="bottom"/>
                </w:tcPr>
                <w:p w14:paraId="7954D0E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323</w:t>
                  </w:r>
                </w:p>
              </w:tc>
              <w:tc>
                <w:tcPr>
                  <w:tcW w:w="555" w:type="pct"/>
                  <w:tcBorders>
                    <w:top w:val="nil"/>
                    <w:left w:val="nil"/>
                    <w:bottom w:val="nil"/>
                    <w:right w:val="nil"/>
                  </w:tcBorders>
                  <w:shd w:val="clear" w:color="auto" w:fill="auto"/>
                  <w:vAlign w:val="bottom"/>
                </w:tcPr>
                <w:p w14:paraId="7954D0E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323</w:t>
                  </w:r>
                </w:p>
              </w:tc>
              <w:tc>
                <w:tcPr>
                  <w:tcW w:w="553" w:type="pct"/>
                  <w:tcBorders>
                    <w:top w:val="nil"/>
                    <w:left w:val="nil"/>
                    <w:bottom w:val="nil"/>
                    <w:right w:val="nil"/>
                  </w:tcBorders>
                  <w:shd w:val="clear" w:color="auto" w:fill="auto"/>
                  <w:vAlign w:val="bottom"/>
                </w:tcPr>
                <w:p w14:paraId="7954D0E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323</w:t>
                  </w:r>
                </w:p>
              </w:tc>
            </w:tr>
            <w:tr w:rsidR="00F05DC7" w:rsidRPr="00A75ED1" w14:paraId="7954D0F2" w14:textId="77777777" w:rsidTr="00A3786D">
              <w:tc>
                <w:tcPr>
                  <w:tcW w:w="556" w:type="pct"/>
                </w:tcPr>
                <w:p w14:paraId="7954D0E9"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D0EA" w14:textId="77777777" w:rsidR="00F05DC7" w:rsidRPr="00A75ED1" w:rsidRDefault="00F05DC7" w:rsidP="00A3786D">
                  <w:pPr>
                    <w:pStyle w:val="TableBodyText"/>
                    <w:rPr>
                      <w:rFonts w:cs="Arial"/>
                      <w:szCs w:val="18"/>
                    </w:rPr>
                  </w:pPr>
                  <w:r w:rsidRPr="00A75ED1">
                    <w:rPr>
                      <w:rFonts w:cs="Arial"/>
                      <w:color w:val="000000"/>
                      <w:szCs w:val="18"/>
                    </w:rPr>
                    <w:t>133</w:t>
                  </w:r>
                </w:p>
              </w:tc>
              <w:tc>
                <w:tcPr>
                  <w:tcW w:w="557" w:type="pct"/>
                  <w:tcBorders>
                    <w:top w:val="nil"/>
                    <w:left w:val="nil"/>
                    <w:bottom w:val="nil"/>
                    <w:right w:val="nil"/>
                  </w:tcBorders>
                  <w:shd w:val="clear" w:color="auto" w:fill="auto"/>
                  <w:vAlign w:val="bottom"/>
                </w:tcPr>
                <w:p w14:paraId="7954D0E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307</w:t>
                  </w:r>
                </w:p>
              </w:tc>
              <w:tc>
                <w:tcPr>
                  <w:tcW w:w="556" w:type="pct"/>
                  <w:tcBorders>
                    <w:top w:val="nil"/>
                    <w:left w:val="nil"/>
                    <w:bottom w:val="nil"/>
                    <w:right w:val="nil"/>
                  </w:tcBorders>
                  <w:shd w:val="clear" w:color="auto" w:fill="auto"/>
                  <w:vAlign w:val="bottom"/>
                </w:tcPr>
                <w:p w14:paraId="7954D0E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c>
                <w:tcPr>
                  <w:tcW w:w="556" w:type="pct"/>
                  <w:tcBorders>
                    <w:top w:val="nil"/>
                    <w:left w:val="nil"/>
                    <w:bottom w:val="nil"/>
                    <w:right w:val="nil"/>
                  </w:tcBorders>
                  <w:shd w:val="clear" w:color="auto" w:fill="auto"/>
                  <w:vAlign w:val="bottom"/>
                </w:tcPr>
                <w:p w14:paraId="7954D0ED" w14:textId="77777777" w:rsidR="00F05DC7" w:rsidRPr="00A75ED1" w:rsidRDefault="00F05DC7" w:rsidP="00A3786D">
                  <w:pPr>
                    <w:pStyle w:val="TableBodyText"/>
                    <w:rPr>
                      <w:rFonts w:cs="Arial"/>
                      <w:szCs w:val="18"/>
                    </w:rPr>
                  </w:pPr>
                  <w:r w:rsidRPr="00A75ED1">
                    <w:rPr>
                      <w:rFonts w:cs="Arial"/>
                      <w:color w:val="000000"/>
                      <w:szCs w:val="18"/>
                    </w:rPr>
                    <w:t>1412</w:t>
                  </w:r>
                </w:p>
              </w:tc>
              <w:tc>
                <w:tcPr>
                  <w:tcW w:w="555" w:type="pct"/>
                  <w:tcBorders>
                    <w:top w:val="nil"/>
                    <w:left w:val="nil"/>
                    <w:bottom w:val="nil"/>
                    <w:right w:val="nil"/>
                  </w:tcBorders>
                  <w:shd w:val="clear" w:color="auto" w:fill="auto"/>
                  <w:vAlign w:val="bottom"/>
                </w:tcPr>
                <w:p w14:paraId="7954D0E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c>
                <w:tcPr>
                  <w:tcW w:w="555" w:type="pct"/>
                  <w:tcBorders>
                    <w:top w:val="nil"/>
                    <w:left w:val="nil"/>
                    <w:bottom w:val="nil"/>
                    <w:right w:val="nil"/>
                  </w:tcBorders>
                  <w:shd w:val="clear" w:color="auto" w:fill="auto"/>
                  <w:vAlign w:val="bottom"/>
                </w:tcPr>
                <w:p w14:paraId="7954D0E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c>
                <w:tcPr>
                  <w:tcW w:w="555" w:type="pct"/>
                  <w:tcBorders>
                    <w:top w:val="nil"/>
                    <w:left w:val="nil"/>
                    <w:bottom w:val="nil"/>
                    <w:right w:val="nil"/>
                  </w:tcBorders>
                  <w:shd w:val="clear" w:color="auto" w:fill="auto"/>
                  <w:vAlign w:val="bottom"/>
                </w:tcPr>
                <w:p w14:paraId="7954D0F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c>
                <w:tcPr>
                  <w:tcW w:w="553" w:type="pct"/>
                  <w:tcBorders>
                    <w:top w:val="nil"/>
                    <w:left w:val="nil"/>
                    <w:bottom w:val="nil"/>
                    <w:right w:val="nil"/>
                  </w:tcBorders>
                  <w:shd w:val="clear" w:color="auto" w:fill="auto"/>
                  <w:vAlign w:val="bottom"/>
                </w:tcPr>
                <w:p w14:paraId="7954D0F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333</w:t>
                  </w:r>
                </w:p>
              </w:tc>
            </w:tr>
            <w:tr w:rsidR="00F05DC7" w:rsidRPr="00A75ED1" w14:paraId="7954D0FC" w14:textId="77777777" w:rsidTr="002341D7">
              <w:tc>
                <w:tcPr>
                  <w:tcW w:w="556" w:type="pct"/>
                </w:tcPr>
                <w:p w14:paraId="7954D0F3"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D0F4" w14:textId="77777777" w:rsidR="00F05DC7" w:rsidRPr="00A75ED1" w:rsidRDefault="00F05DC7" w:rsidP="00A3786D">
                  <w:pPr>
                    <w:pStyle w:val="TableBodyText"/>
                    <w:rPr>
                      <w:rFonts w:cs="Arial"/>
                      <w:szCs w:val="18"/>
                    </w:rPr>
                  </w:pPr>
                  <w:r w:rsidRPr="00A75ED1">
                    <w:rPr>
                      <w:rFonts w:cs="Arial"/>
                      <w:color w:val="000000"/>
                      <w:szCs w:val="18"/>
                    </w:rPr>
                    <w:t>138</w:t>
                  </w:r>
                </w:p>
              </w:tc>
              <w:tc>
                <w:tcPr>
                  <w:tcW w:w="557" w:type="pct"/>
                  <w:tcBorders>
                    <w:top w:val="nil"/>
                    <w:left w:val="nil"/>
                    <w:right w:val="nil"/>
                  </w:tcBorders>
                  <w:shd w:val="clear" w:color="auto" w:fill="auto"/>
                  <w:vAlign w:val="bottom"/>
                </w:tcPr>
                <w:p w14:paraId="7954D0F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319</w:t>
                  </w:r>
                </w:p>
              </w:tc>
              <w:tc>
                <w:tcPr>
                  <w:tcW w:w="556" w:type="pct"/>
                  <w:tcBorders>
                    <w:top w:val="nil"/>
                    <w:left w:val="nil"/>
                    <w:right w:val="nil"/>
                  </w:tcBorders>
                  <w:shd w:val="clear" w:color="auto" w:fill="auto"/>
                  <w:vAlign w:val="bottom"/>
                </w:tcPr>
                <w:p w14:paraId="7954D0F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c>
                <w:tcPr>
                  <w:tcW w:w="556" w:type="pct"/>
                  <w:tcBorders>
                    <w:top w:val="nil"/>
                    <w:left w:val="nil"/>
                    <w:right w:val="nil"/>
                  </w:tcBorders>
                  <w:shd w:val="clear" w:color="auto" w:fill="auto"/>
                  <w:vAlign w:val="bottom"/>
                </w:tcPr>
                <w:p w14:paraId="7954D0F7" w14:textId="77777777" w:rsidR="00F05DC7" w:rsidRPr="00A75ED1" w:rsidRDefault="00F05DC7" w:rsidP="00A3786D">
                  <w:pPr>
                    <w:pStyle w:val="TableBodyText"/>
                    <w:rPr>
                      <w:rFonts w:cs="Arial"/>
                      <w:szCs w:val="18"/>
                    </w:rPr>
                  </w:pPr>
                  <w:r w:rsidRPr="00A75ED1">
                    <w:rPr>
                      <w:rFonts w:cs="Arial"/>
                      <w:color w:val="000000"/>
                      <w:szCs w:val="18"/>
                    </w:rPr>
                    <w:t>1465</w:t>
                  </w:r>
                </w:p>
              </w:tc>
              <w:tc>
                <w:tcPr>
                  <w:tcW w:w="555" w:type="pct"/>
                  <w:tcBorders>
                    <w:top w:val="nil"/>
                    <w:left w:val="nil"/>
                    <w:right w:val="nil"/>
                  </w:tcBorders>
                  <w:shd w:val="clear" w:color="auto" w:fill="auto"/>
                  <w:vAlign w:val="bottom"/>
                </w:tcPr>
                <w:p w14:paraId="7954D0F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c>
                <w:tcPr>
                  <w:tcW w:w="555" w:type="pct"/>
                  <w:tcBorders>
                    <w:top w:val="nil"/>
                    <w:left w:val="nil"/>
                    <w:right w:val="nil"/>
                  </w:tcBorders>
                  <w:shd w:val="clear" w:color="auto" w:fill="auto"/>
                  <w:vAlign w:val="bottom"/>
                </w:tcPr>
                <w:p w14:paraId="7954D0F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c>
                <w:tcPr>
                  <w:tcW w:w="555" w:type="pct"/>
                  <w:tcBorders>
                    <w:top w:val="nil"/>
                    <w:left w:val="nil"/>
                    <w:right w:val="nil"/>
                  </w:tcBorders>
                  <w:shd w:val="clear" w:color="auto" w:fill="auto"/>
                  <w:vAlign w:val="bottom"/>
                </w:tcPr>
                <w:p w14:paraId="7954D0F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c>
                <w:tcPr>
                  <w:tcW w:w="553" w:type="pct"/>
                  <w:tcBorders>
                    <w:top w:val="nil"/>
                    <w:left w:val="nil"/>
                    <w:right w:val="nil"/>
                  </w:tcBorders>
                  <w:shd w:val="clear" w:color="auto" w:fill="auto"/>
                  <w:vAlign w:val="bottom"/>
                </w:tcPr>
                <w:p w14:paraId="7954D0F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r>
            <w:tr w:rsidR="00F05DC7" w:rsidRPr="00A75ED1" w14:paraId="7954D0FE" w14:textId="77777777" w:rsidTr="002341D7">
              <w:tc>
                <w:tcPr>
                  <w:tcW w:w="5000" w:type="pct"/>
                  <w:gridSpan w:val="9"/>
                  <w:shd w:val="clear" w:color="auto" w:fill="F2F2F2" w:themeFill="background1" w:themeFillShade="F2"/>
                </w:tcPr>
                <w:p w14:paraId="7954D0FD"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D108" w14:textId="77777777" w:rsidTr="00A3786D">
              <w:tc>
                <w:tcPr>
                  <w:tcW w:w="556" w:type="pct"/>
                  <w:shd w:val="clear" w:color="auto" w:fill="auto"/>
                  <w:vAlign w:val="bottom"/>
                </w:tcPr>
                <w:p w14:paraId="7954D0FF" w14:textId="77777777" w:rsidR="00F05DC7" w:rsidRPr="00911F46" w:rsidRDefault="00F05DC7" w:rsidP="00A3786D">
                  <w:pPr>
                    <w:pStyle w:val="TableBodyText"/>
                  </w:pPr>
                  <w:r w:rsidRPr="00911F46">
                    <w:t>2019</w:t>
                  </w:r>
                  <w:r>
                    <w:noBreakHyphen/>
                  </w:r>
                  <w:r w:rsidRPr="00911F46">
                    <w:t>20</w:t>
                  </w:r>
                </w:p>
              </w:tc>
              <w:tc>
                <w:tcPr>
                  <w:tcW w:w="557" w:type="pct"/>
                  <w:tcBorders>
                    <w:top w:val="nil"/>
                    <w:left w:val="nil"/>
                    <w:bottom w:val="nil"/>
                    <w:right w:val="nil"/>
                  </w:tcBorders>
                  <w:shd w:val="clear" w:color="auto" w:fill="auto"/>
                  <w:vAlign w:val="bottom"/>
                </w:tcPr>
                <w:p w14:paraId="7954D100" w14:textId="77777777" w:rsidR="00F05DC7" w:rsidRPr="00911F46" w:rsidRDefault="00F05DC7" w:rsidP="00A3786D">
                  <w:pPr>
                    <w:pStyle w:val="TableBodyText"/>
                  </w:pPr>
                  <w:r w:rsidRPr="00911F46">
                    <w:rPr>
                      <w:color w:val="000000"/>
                    </w:rPr>
                    <w:t>0.26</w:t>
                  </w:r>
                </w:p>
              </w:tc>
              <w:tc>
                <w:tcPr>
                  <w:tcW w:w="557" w:type="pct"/>
                  <w:tcBorders>
                    <w:top w:val="nil"/>
                    <w:left w:val="nil"/>
                    <w:bottom w:val="nil"/>
                    <w:right w:val="nil"/>
                  </w:tcBorders>
                  <w:shd w:val="clear" w:color="auto" w:fill="auto"/>
                  <w:vAlign w:val="bottom"/>
                </w:tcPr>
                <w:p w14:paraId="7954D101" w14:textId="77777777" w:rsidR="00F05DC7" w:rsidRPr="00911F46" w:rsidRDefault="00F05DC7" w:rsidP="00A3786D">
                  <w:pPr>
                    <w:pStyle w:val="TableBodyText"/>
                  </w:pPr>
                  <w:r>
                    <w:rPr>
                      <w:color w:val="000000"/>
                    </w:rPr>
                    <w:noBreakHyphen/>
                  </w:r>
                  <w:r w:rsidRPr="00911F46">
                    <w:rPr>
                      <w:color w:val="000000"/>
                    </w:rPr>
                    <w:t>0.59</w:t>
                  </w:r>
                </w:p>
              </w:tc>
              <w:tc>
                <w:tcPr>
                  <w:tcW w:w="556" w:type="pct"/>
                  <w:tcBorders>
                    <w:top w:val="nil"/>
                    <w:left w:val="nil"/>
                    <w:bottom w:val="nil"/>
                    <w:right w:val="nil"/>
                  </w:tcBorders>
                  <w:shd w:val="clear" w:color="auto" w:fill="auto"/>
                  <w:vAlign w:val="bottom"/>
                </w:tcPr>
                <w:p w14:paraId="7954D102" w14:textId="77777777" w:rsidR="00F05DC7" w:rsidRPr="00911F46" w:rsidRDefault="00F05DC7" w:rsidP="00A3786D">
                  <w:pPr>
                    <w:pStyle w:val="TableBodyText"/>
                  </w:pPr>
                  <w:r>
                    <w:rPr>
                      <w:color w:val="000000"/>
                    </w:rPr>
                    <w:noBreakHyphen/>
                  </w:r>
                  <w:r w:rsidRPr="00911F46">
                    <w:rPr>
                      <w:color w:val="000000"/>
                    </w:rPr>
                    <w:t>0.61</w:t>
                  </w:r>
                </w:p>
              </w:tc>
              <w:tc>
                <w:tcPr>
                  <w:tcW w:w="556" w:type="pct"/>
                  <w:tcBorders>
                    <w:top w:val="nil"/>
                    <w:left w:val="nil"/>
                    <w:bottom w:val="nil"/>
                    <w:right w:val="nil"/>
                  </w:tcBorders>
                  <w:shd w:val="clear" w:color="auto" w:fill="auto"/>
                  <w:vAlign w:val="bottom"/>
                </w:tcPr>
                <w:p w14:paraId="7954D103" w14:textId="77777777" w:rsidR="00F05DC7" w:rsidRPr="00911F46" w:rsidRDefault="00F05DC7" w:rsidP="00A3786D">
                  <w:pPr>
                    <w:pStyle w:val="TableBodyText"/>
                  </w:pPr>
                  <w:r w:rsidRPr="00911F46">
                    <w:rPr>
                      <w:color w:val="000000"/>
                    </w:rPr>
                    <w:t>2.51</w:t>
                  </w:r>
                </w:p>
              </w:tc>
              <w:tc>
                <w:tcPr>
                  <w:tcW w:w="555" w:type="pct"/>
                  <w:tcBorders>
                    <w:top w:val="nil"/>
                    <w:left w:val="nil"/>
                    <w:bottom w:val="nil"/>
                    <w:right w:val="nil"/>
                  </w:tcBorders>
                  <w:shd w:val="clear" w:color="auto" w:fill="auto"/>
                  <w:vAlign w:val="bottom"/>
                </w:tcPr>
                <w:p w14:paraId="7954D104" w14:textId="77777777" w:rsidR="00F05DC7" w:rsidRPr="00911F46" w:rsidRDefault="00F05DC7" w:rsidP="00A3786D">
                  <w:pPr>
                    <w:pStyle w:val="TableBodyText"/>
                  </w:pPr>
                  <w:r>
                    <w:rPr>
                      <w:color w:val="000000"/>
                    </w:rPr>
                    <w:noBreakHyphen/>
                  </w:r>
                  <w:r w:rsidRPr="00911F46">
                    <w:rPr>
                      <w:color w:val="000000"/>
                    </w:rPr>
                    <w:t>0.61</w:t>
                  </w:r>
                </w:p>
              </w:tc>
              <w:tc>
                <w:tcPr>
                  <w:tcW w:w="555" w:type="pct"/>
                  <w:tcBorders>
                    <w:top w:val="nil"/>
                    <w:left w:val="nil"/>
                    <w:bottom w:val="nil"/>
                    <w:right w:val="nil"/>
                  </w:tcBorders>
                  <w:shd w:val="clear" w:color="auto" w:fill="auto"/>
                  <w:vAlign w:val="bottom"/>
                </w:tcPr>
                <w:p w14:paraId="7954D105" w14:textId="77777777" w:rsidR="00F05DC7" w:rsidRPr="00911F46" w:rsidRDefault="00F05DC7" w:rsidP="00A3786D">
                  <w:pPr>
                    <w:pStyle w:val="TableBodyText"/>
                  </w:pPr>
                  <w:r>
                    <w:rPr>
                      <w:color w:val="000000"/>
                    </w:rPr>
                    <w:noBreakHyphen/>
                  </w:r>
                  <w:r w:rsidRPr="00911F46">
                    <w:rPr>
                      <w:color w:val="000000"/>
                    </w:rPr>
                    <w:t>0.61</w:t>
                  </w:r>
                </w:p>
              </w:tc>
              <w:tc>
                <w:tcPr>
                  <w:tcW w:w="555" w:type="pct"/>
                  <w:tcBorders>
                    <w:top w:val="nil"/>
                    <w:left w:val="nil"/>
                    <w:bottom w:val="nil"/>
                    <w:right w:val="nil"/>
                  </w:tcBorders>
                  <w:shd w:val="clear" w:color="auto" w:fill="auto"/>
                  <w:vAlign w:val="bottom"/>
                </w:tcPr>
                <w:p w14:paraId="7954D106" w14:textId="77777777" w:rsidR="00F05DC7" w:rsidRPr="00911F46" w:rsidRDefault="00F05DC7" w:rsidP="00A3786D">
                  <w:pPr>
                    <w:pStyle w:val="TableBodyText"/>
                  </w:pPr>
                  <w:r>
                    <w:rPr>
                      <w:color w:val="000000"/>
                    </w:rPr>
                    <w:noBreakHyphen/>
                  </w:r>
                  <w:r w:rsidRPr="00911F46">
                    <w:rPr>
                      <w:color w:val="000000"/>
                    </w:rPr>
                    <w:t>0.50</w:t>
                  </w:r>
                </w:p>
              </w:tc>
              <w:tc>
                <w:tcPr>
                  <w:tcW w:w="553" w:type="pct"/>
                  <w:tcBorders>
                    <w:top w:val="nil"/>
                    <w:left w:val="nil"/>
                    <w:bottom w:val="nil"/>
                    <w:right w:val="nil"/>
                  </w:tcBorders>
                  <w:shd w:val="clear" w:color="auto" w:fill="auto"/>
                  <w:vAlign w:val="bottom"/>
                </w:tcPr>
                <w:p w14:paraId="7954D107" w14:textId="77777777" w:rsidR="00F05DC7" w:rsidRPr="00911F46" w:rsidRDefault="00F05DC7" w:rsidP="00A3786D">
                  <w:pPr>
                    <w:pStyle w:val="TableBodyText"/>
                  </w:pPr>
                  <w:r>
                    <w:rPr>
                      <w:color w:val="000000"/>
                    </w:rPr>
                    <w:noBreakHyphen/>
                  </w:r>
                  <w:r w:rsidRPr="00911F46">
                    <w:rPr>
                      <w:color w:val="000000"/>
                    </w:rPr>
                    <w:t>0.32</w:t>
                  </w:r>
                </w:p>
              </w:tc>
            </w:tr>
            <w:tr w:rsidR="00F05DC7" w:rsidRPr="00A75ED1" w14:paraId="7954D112" w14:textId="77777777" w:rsidTr="00A3786D">
              <w:tc>
                <w:tcPr>
                  <w:tcW w:w="556" w:type="pct"/>
                  <w:shd w:val="clear" w:color="auto" w:fill="auto"/>
                  <w:vAlign w:val="bottom"/>
                </w:tcPr>
                <w:p w14:paraId="7954D109" w14:textId="77777777" w:rsidR="00F05DC7" w:rsidRPr="00911F46" w:rsidRDefault="00F05DC7" w:rsidP="00A3786D">
                  <w:pPr>
                    <w:pStyle w:val="TableBodyText"/>
                  </w:pPr>
                  <w:r w:rsidRPr="00911F46">
                    <w:t>2020</w:t>
                  </w:r>
                  <w:r>
                    <w:noBreakHyphen/>
                  </w:r>
                  <w:r w:rsidRPr="00911F46">
                    <w:t>21</w:t>
                  </w:r>
                </w:p>
              </w:tc>
              <w:tc>
                <w:tcPr>
                  <w:tcW w:w="557" w:type="pct"/>
                  <w:tcBorders>
                    <w:top w:val="nil"/>
                    <w:left w:val="nil"/>
                    <w:bottom w:val="nil"/>
                    <w:right w:val="nil"/>
                  </w:tcBorders>
                  <w:shd w:val="clear" w:color="auto" w:fill="auto"/>
                  <w:vAlign w:val="bottom"/>
                </w:tcPr>
                <w:p w14:paraId="7954D10A" w14:textId="77777777" w:rsidR="00F05DC7" w:rsidRPr="00911F46" w:rsidRDefault="00F05DC7" w:rsidP="00A3786D">
                  <w:pPr>
                    <w:pStyle w:val="TableBodyText"/>
                  </w:pPr>
                  <w:r w:rsidRPr="00911F46">
                    <w:rPr>
                      <w:color w:val="000000"/>
                    </w:rPr>
                    <w:t>0.53</w:t>
                  </w:r>
                </w:p>
              </w:tc>
              <w:tc>
                <w:tcPr>
                  <w:tcW w:w="557" w:type="pct"/>
                  <w:tcBorders>
                    <w:top w:val="nil"/>
                    <w:left w:val="nil"/>
                    <w:bottom w:val="nil"/>
                    <w:right w:val="nil"/>
                  </w:tcBorders>
                  <w:shd w:val="clear" w:color="auto" w:fill="auto"/>
                  <w:vAlign w:val="bottom"/>
                </w:tcPr>
                <w:p w14:paraId="7954D10B" w14:textId="77777777" w:rsidR="00F05DC7" w:rsidRPr="00911F46" w:rsidRDefault="00F05DC7" w:rsidP="00A3786D">
                  <w:pPr>
                    <w:pStyle w:val="TableBodyText"/>
                  </w:pPr>
                  <w:r>
                    <w:rPr>
                      <w:color w:val="000000"/>
                    </w:rPr>
                    <w:noBreakHyphen/>
                  </w:r>
                  <w:r w:rsidRPr="00911F46">
                    <w:rPr>
                      <w:color w:val="000000"/>
                    </w:rPr>
                    <w:t>1.20</w:t>
                  </w:r>
                </w:p>
              </w:tc>
              <w:tc>
                <w:tcPr>
                  <w:tcW w:w="556" w:type="pct"/>
                  <w:tcBorders>
                    <w:top w:val="nil"/>
                    <w:left w:val="nil"/>
                    <w:bottom w:val="nil"/>
                    <w:right w:val="nil"/>
                  </w:tcBorders>
                  <w:shd w:val="clear" w:color="auto" w:fill="auto"/>
                  <w:vAlign w:val="bottom"/>
                </w:tcPr>
                <w:p w14:paraId="7954D10C" w14:textId="77777777" w:rsidR="00F05DC7" w:rsidRPr="00911F46" w:rsidRDefault="00F05DC7" w:rsidP="00A3786D">
                  <w:pPr>
                    <w:pStyle w:val="TableBodyText"/>
                  </w:pPr>
                  <w:r>
                    <w:rPr>
                      <w:color w:val="000000"/>
                    </w:rPr>
                    <w:noBreakHyphen/>
                  </w:r>
                  <w:r w:rsidRPr="00911F46">
                    <w:rPr>
                      <w:color w:val="000000"/>
                    </w:rPr>
                    <w:t>1.25</w:t>
                  </w:r>
                </w:p>
              </w:tc>
              <w:tc>
                <w:tcPr>
                  <w:tcW w:w="556" w:type="pct"/>
                  <w:tcBorders>
                    <w:top w:val="nil"/>
                    <w:left w:val="nil"/>
                    <w:bottom w:val="nil"/>
                    <w:right w:val="nil"/>
                  </w:tcBorders>
                  <w:shd w:val="clear" w:color="auto" w:fill="auto"/>
                  <w:vAlign w:val="bottom"/>
                </w:tcPr>
                <w:p w14:paraId="7954D10D" w14:textId="77777777" w:rsidR="00F05DC7" w:rsidRPr="00911F46" w:rsidRDefault="00F05DC7" w:rsidP="00A3786D">
                  <w:pPr>
                    <w:pStyle w:val="TableBodyText"/>
                  </w:pPr>
                  <w:r w:rsidRPr="00911F46">
                    <w:rPr>
                      <w:color w:val="000000"/>
                    </w:rPr>
                    <w:t>4.95</w:t>
                  </w:r>
                </w:p>
              </w:tc>
              <w:tc>
                <w:tcPr>
                  <w:tcW w:w="555" w:type="pct"/>
                  <w:tcBorders>
                    <w:top w:val="nil"/>
                    <w:left w:val="nil"/>
                    <w:bottom w:val="nil"/>
                    <w:right w:val="nil"/>
                  </w:tcBorders>
                  <w:shd w:val="clear" w:color="auto" w:fill="auto"/>
                  <w:vAlign w:val="bottom"/>
                </w:tcPr>
                <w:p w14:paraId="7954D10E" w14:textId="77777777" w:rsidR="00F05DC7" w:rsidRPr="00911F46" w:rsidRDefault="00F05DC7" w:rsidP="00A3786D">
                  <w:pPr>
                    <w:pStyle w:val="TableBodyText"/>
                  </w:pPr>
                  <w:r>
                    <w:rPr>
                      <w:color w:val="000000"/>
                    </w:rPr>
                    <w:noBreakHyphen/>
                  </w:r>
                  <w:r w:rsidRPr="00911F46">
                    <w:rPr>
                      <w:color w:val="000000"/>
                    </w:rPr>
                    <w:t>1.24</w:t>
                  </w:r>
                </w:p>
              </w:tc>
              <w:tc>
                <w:tcPr>
                  <w:tcW w:w="555" w:type="pct"/>
                  <w:tcBorders>
                    <w:top w:val="nil"/>
                    <w:left w:val="nil"/>
                    <w:bottom w:val="nil"/>
                    <w:right w:val="nil"/>
                  </w:tcBorders>
                  <w:shd w:val="clear" w:color="auto" w:fill="auto"/>
                  <w:vAlign w:val="bottom"/>
                </w:tcPr>
                <w:p w14:paraId="7954D10F" w14:textId="77777777" w:rsidR="00F05DC7" w:rsidRPr="00911F46" w:rsidRDefault="00F05DC7" w:rsidP="00A3786D">
                  <w:pPr>
                    <w:pStyle w:val="TableBodyText"/>
                  </w:pPr>
                  <w:r>
                    <w:rPr>
                      <w:color w:val="000000"/>
                    </w:rPr>
                    <w:noBreakHyphen/>
                  </w:r>
                  <w:r w:rsidRPr="00911F46">
                    <w:rPr>
                      <w:color w:val="000000"/>
                    </w:rPr>
                    <w:t>1.26</w:t>
                  </w:r>
                </w:p>
              </w:tc>
              <w:tc>
                <w:tcPr>
                  <w:tcW w:w="555" w:type="pct"/>
                  <w:tcBorders>
                    <w:top w:val="nil"/>
                    <w:left w:val="nil"/>
                    <w:bottom w:val="nil"/>
                    <w:right w:val="nil"/>
                  </w:tcBorders>
                  <w:shd w:val="clear" w:color="auto" w:fill="auto"/>
                  <w:vAlign w:val="bottom"/>
                </w:tcPr>
                <w:p w14:paraId="7954D110" w14:textId="77777777" w:rsidR="00F05DC7" w:rsidRPr="00911F46" w:rsidRDefault="00F05DC7" w:rsidP="00A3786D">
                  <w:pPr>
                    <w:pStyle w:val="TableBodyText"/>
                  </w:pPr>
                  <w:r>
                    <w:rPr>
                      <w:color w:val="000000"/>
                    </w:rPr>
                    <w:noBreakHyphen/>
                  </w:r>
                  <w:r w:rsidRPr="00911F46">
                    <w:rPr>
                      <w:color w:val="000000"/>
                    </w:rPr>
                    <w:t>1.00</w:t>
                  </w:r>
                </w:p>
              </w:tc>
              <w:tc>
                <w:tcPr>
                  <w:tcW w:w="553" w:type="pct"/>
                  <w:tcBorders>
                    <w:top w:val="nil"/>
                    <w:left w:val="nil"/>
                    <w:bottom w:val="nil"/>
                    <w:right w:val="nil"/>
                  </w:tcBorders>
                  <w:shd w:val="clear" w:color="auto" w:fill="auto"/>
                  <w:vAlign w:val="bottom"/>
                </w:tcPr>
                <w:p w14:paraId="7954D111" w14:textId="77777777" w:rsidR="00F05DC7" w:rsidRPr="00911F46" w:rsidRDefault="00F05DC7" w:rsidP="00A3786D">
                  <w:pPr>
                    <w:pStyle w:val="TableBodyText"/>
                  </w:pPr>
                  <w:r>
                    <w:rPr>
                      <w:color w:val="000000"/>
                    </w:rPr>
                    <w:noBreakHyphen/>
                  </w:r>
                  <w:r w:rsidRPr="00911F46">
                    <w:rPr>
                      <w:color w:val="000000"/>
                    </w:rPr>
                    <w:t>0.67</w:t>
                  </w:r>
                </w:p>
              </w:tc>
            </w:tr>
            <w:tr w:rsidR="00F05DC7" w:rsidRPr="00A75ED1" w14:paraId="7954D11C" w14:textId="77777777" w:rsidTr="00A3786D">
              <w:tc>
                <w:tcPr>
                  <w:tcW w:w="556" w:type="pct"/>
                  <w:shd w:val="clear" w:color="auto" w:fill="auto"/>
                  <w:vAlign w:val="bottom"/>
                </w:tcPr>
                <w:p w14:paraId="7954D113" w14:textId="77777777" w:rsidR="00F05DC7" w:rsidRPr="00911F46" w:rsidRDefault="00F05DC7" w:rsidP="00A3786D">
                  <w:pPr>
                    <w:pStyle w:val="TableBodyText"/>
                  </w:pPr>
                  <w:r w:rsidRPr="00911F46">
                    <w:t>2021</w:t>
                  </w:r>
                  <w:r>
                    <w:noBreakHyphen/>
                  </w:r>
                  <w:r w:rsidRPr="00911F46">
                    <w:t>22</w:t>
                  </w:r>
                </w:p>
              </w:tc>
              <w:tc>
                <w:tcPr>
                  <w:tcW w:w="557" w:type="pct"/>
                  <w:tcBorders>
                    <w:top w:val="nil"/>
                    <w:left w:val="nil"/>
                    <w:bottom w:val="nil"/>
                    <w:right w:val="nil"/>
                  </w:tcBorders>
                  <w:shd w:val="clear" w:color="auto" w:fill="auto"/>
                  <w:vAlign w:val="bottom"/>
                </w:tcPr>
                <w:p w14:paraId="7954D114" w14:textId="77777777" w:rsidR="00F05DC7" w:rsidRPr="00911F46" w:rsidRDefault="00F05DC7" w:rsidP="00A3786D">
                  <w:pPr>
                    <w:pStyle w:val="TableBodyText"/>
                  </w:pPr>
                  <w:r w:rsidRPr="00911F46">
                    <w:rPr>
                      <w:color w:val="000000"/>
                    </w:rPr>
                    <w:t>0.80</w:t>
                  </w:r>
                </w:p>
              </w:tc>
              <w:tc>
                <w:tcPr>
                  <w:tcW w:w="557" w:type="pct"/>
                  <w:tcBorders>
                    <w:top w:val="nil"/>
                    <w:left w:val="nil"/>
                    <w:bottom w:val="nil"/>
                    <w:right w:val="nil"/>
                  </w:tcBorders>
                  <w:shd w:val="clear" w:color="auto" w:fill="auto"/>
                  <w:vAlign w:val="bottom"/>
                </w:tcPr>
                <w:p w14:paraId="7954D115" w14:textId="77777777" w:rsidR="00F05DC7" w:rsidRPr="00911F46" w:rsidRDefault="00F05DC7" w:rsidP="00A3786D">
                  <w:pPr>
                    <w:pStyle w:val="TableBodyText"/>
                  </w:pPr>
                  <w:r>
                    <w:rPr>
                      <w:color w:val="000000"/>
                    </w:rPr>
                    <w:noBreakHyphen/>
                  </w:r>
                  <w:r w:rsidRPr="00911F46">
                    <w:rPr>
                      <w:color w:val="000000"/>
                    </w:rPr>
                    <w:t>1.82</w:t>
                  </w:r>
                </w:p>
              </w:tc>
              <w:tc>
                <w:tcPr>
                  <w:tcW w:w="556" w:type="pct"/>
                  <w:tcBorders>
                    <w:top w:val="nil"/>
                    <w:left w:val="nil"/>
                    <w:bottom w:val="nil"/>
                    <w:right w:val="nil"/>
                  </w:tcBorders>
                  <w:shd w:val="clear" w:color="auto" w:fill="auto"/>
                  <w:vAlign w:val="bottom"/>
                </w:tcPr>
                <w:p w14:paraId="7954D116" w14:textId="77777777" w:rsidR="00F05DC7" w:rsidRPr="00911F46" w:rsidRDefault="00F05DC7" w:rsidP="00A3786D">
                  <w:pPr>
                    <w:pStyle w:val="TableBodyText"/>
                  </w:pPr>
                  <w:r>
                    <w:rPr>
                      <w:color w:val="000000"/>
                    </w:rPr>
                    <w:noBreakHyphen/>
                  </w:r>
                  <w:r w:rsidRPr="00911F46">
                    <w:rPr>
                      <w:color w:val="000000"/>
                    </w:rPr>
                    <w:t>1.87</w:t>
                  </w:r>
                </w:p>
              </w:tc>
              <w:tc>
                <w:tcPr>
                  <w:tcW w:w="556" w:type="pct"/>
                  <w:tcBorders>
                    <w:top w:val="nil"/>
                    <w:left w:val="nil"/>
                    <w:bottom w:val="nil"/>
                    <w:right w:val="nil"/>
                  </w:tcBorders>
                  <w:shd w:val="clear" w:color="auto" w:fill="auto"/>
                  <w:vAlign w:val="bottom"/>
                </w:tcPr>
                <w:p w14:paraId="7954D117" w14:textId="77777777" w:rsidR="00F05DC7" w:rsidRPr="00911F46" w:rsidRDefault="00F05DC7" w:rsidP="00A3786D">
                  <w:pPr>
                    <w:pStyle w:val="TableBodyText"/>
                  </w:pPr>
                  <w:r w:rsidRPr="00911F46">
                    <w:rPr>
                      <w:color w:val="000000"/>
                    </w:rPr>
                    <w:t>7.46</w:t>
                  </w:r>
                </w:p>
              </w:tc>
              <w:tc>
                <w:tcPr>
                  <w:tcW w:w="555" w:type="pct"/>
                  <w:tcBorders>
                    <w:top w:val="nil"/>
                    <w:left w:val="nil"/>
                    <w:bottom w:val="nil"/>
                    <w:right w:val="nil"/>
                  </w:tcBorders>
                  <w:shd w:val="clear" w:color="auto" w:fill="auto"/>
                  <w:vAlign w:val="bottom"/>
                </w:tcPr>
                <w:p w14:paraId="7954D118" w14:textId="77777777" w:rsidR="00F05DC7" w:rsidRPr="00911F46" w:rsidRDefault="00F05DC7" w:rsidP="00A3786D">
                  <w:pPr>
                    <w:pStyle w:val="TableBodyText"/>
                  </w:pPr>
                  <w:r>
                    <w:rPr>
                      <w:color w:val="000000"/>
                    </w:rPr>
                    <w:noBreakHyphen/>
                  </w:r>
                  <w:r w:rsidRPr="00911F46">
                    <w:rPr>
                      <w:color w:val="000000"/>
                    </w:rPr>
                    <w:t>1.88</w:t>
                  </w:r>
                </w:p>
              </w:tc>
              <w:tc>
                <w:tcPr>
                  <w:tcW w:w="555" w:type="pct"/>
                  <w:tcBorders>
                    <w:top w:val="nil"/>
                    <w:left w:val="nil"/>
                    <w:bottom w:val="nil"/>
                    <w:right w:val="nil"/>
                  </w:tcBorders>
                  <w:shd w:val="clear" w:color="auto" w:fill="auto"/>
                  <w:vAlign w:val="bottom"/>
                </w:tcPr>
                <w:p w14:paraId="7954D119" w14:textId="77777777" w:rsidR="00F05DC7" w:rsidRPr="00911F46" w:rsidRDefault="00F05DC7" w:rsidP="00A3786D">
                  <w:pPr>
                    <w:pStyle w:val="TableBodyText"/>
                  </w:pPr>
                  <w:r>
                    <w:rPr>
                      <w:color w:val="000000"/>
                    </w:rPr>
                    <w:noBreakHyphen/>
                  </w:r>
                  <w:r w:rsidRPr="00911F46">
                    <w:rPr>
                      <w:color w:val="000000"/>
                    </w:rPr>
                    <w:t>1.86</w:t>
                  </w:r>
                </w:p>
              </w:tc>
              <w:tc>
                <w:tcPr>
                  <w:tcW w:w="555" w:type="pct"/>
                  <w:tcBorders>
                    <w:top w:val="nil"/>
                    <w:left w:val="nil"/>
                    <w:bottom w:val="nil"/>
                    <w:right w:val="nil"/>
                  </w:tcBorders>
                  <w:shd w:val="clear" w:color="auto" w:fill="auto"/>
                  <w:vAlign w:val="bottom"/>
                </w:tcPr>
                <w:p w14:paraId="7954D11A" w14:textId="77777777" w:rsidR="00F05DC7" w:rsidRPr="00911F46" w:rsidRDefault="00F05DC7" w:rsidP="00A3786D">
                  <w:pPr>
                    <w:pStyle w:val="TableBodyText"/>
                  </w:pPr>
                  <w:r>
                    <w:rPr>
                      <w:color w:val="000000"/>
                    </w:rPr>
                    <w:noBreakHyphen/>
                  </w:r>
                  <w:r w:rsidRPr="00911F46">
                    <w:rPr>
                      <w:color w:val="000000"/>
                    </w:rPr>
                    <w:t>1.53</w:t>
                  </w:r>
                </w:p>
              </w:tc>
              <w:tc>
                <w:tcPr>
                  <w:tcW w:w="553" w:type="pct"/>
                  <w:tcBorders>
                    <w:top w:val="nil"/>
                    <w:left w:val="nil"/>
                    <w:bottom w:val="nil"/>
                    <w:right w:val="nil"/>
                  </w:tcBorders>
                  <w:shd w:val="clear" w:color="auto" w:fill="auto"/>
                  <w:vAlign w:val="bottom"/>
                </w:tcPr>
                <w:p w14:paraId="7954D11B" w14:textId="77777777" w:rsidR="00F05DC7" w:rsidRPr="00911F46" w:rsidRDefault="00F05DC7" w:rsidP="00A3786D">
                  <w:pPr>
                    <w:pStyle w:val="TableBodyText"/>
                  </w:pPr>
                  <w:r>
                    <w:rPr>
                      <w:color w:val="000000"/>
                    </w:rPr>
                    <w:noBreakHyphen/>
                  </w:r>
                  <w:r w:rsidRPr="00911F46">
                    <w:rPr>
                      <w:color w:val="000000"/>
                    </w:rPr>
                    <w:t>0.94</w:t>
                  </w:r>
                </w:p>
              </w:tc>
            </w:tr>
            <w:tr w:rsidR="00F05DC7" w:rsidRPr="00A75ED1" w14:paraId="7954D126" w14:textId="77777777" w:rsidTr="00A3786D">
              <w:tc>
                <w:tcPr>
                  <w:tcW w:w="556" w:type="pct"/>
                  <w:shd w:val="clear" w:color="auto" w:fill="auto"/>
                </w:tcPr>
                <w:p w14:paraId="7954D11D" w14:textId="77777777" w:rsidR="00F05DC7" w:rsidRPr="00911F46" w:rsidRDefault="00F05DC7" w:rsidP="00A3786D">
                  <w:pPr>
                    <w:pStyle w:val="TableBodyText"/>
                  </w:pPr>
                  <w:r w:rsidRPr="00911F46">
                    <w:t>2022</w:t>
                  </w:r>
                  <w:r>
                    <w:noBreakHyphen/>
                  </w:r>
                  <w:r w:rsidRPr="00911F46">
                    <w:t>23</w:t>
                  </w:r>
                </w:p>
              </w:tc>
              <w:tc>
                <w:tcPr>
                  <w:tcW w:w="557" w:type="pct"/>
                  <w:tcBorders>
                    <w:top w:val="nil"/>
                    <w:left w:val="nil"/>
                    <w:bottom w:val="nil"/>
                    <w:right w:val="nil"/>
                  </w:tcBorders>
                  <w:shd w:val="clear" w:color="auto" w:fill="auto"/>
                  <w:vAlign w:val="bottom"/>
                </w:tcPr>
                <w:p w14:paraId="7954D11E" w14:textId="77777777" w:rsidR="00F05DC7" w:rsidRPr="00911F46" w:rsidRDefault="00F05DC7" w:rsidP="00A3786D">
                  <w:pPr>
                    <w:pStyle w:val="TableBodyText"/>
                  </w:pPr>
                  <w:r w:rsidRPr="00911F46">
                    <w:rPr>
                      <w:color w:val="000000"/>
                    </w:rPr>
                    <w:t>1.08</w:t>
                  </w:r>
                </w:p>
              </w:tc>
              <w:tc>
                <w:tcPr>
                  <w:tcW w:w="557" w:type="pct"/>
                  <w:tcBorders>
                    <w:top w:val="nil"/>
                    <w:left w:val="nil"/>
                    <w:bottom w:val="nil"/>
                    <w:right w:val="nil"/>
                  </w:tcBorders>
                  <w:shd w:val="clear" w:color="auto" w:fill="auto"/>
                  <w:vAlign w:val="bottom"/>
                </w:tcPr>
                <w:p w14:paraId="7954D11F" w14:textId="77777777" w:rsidR="00F05DC7" w:rsidRPr="00911F46" w:rsidRDefault="00F05DC7" w:rsidP="00A3786D">
                  <w:pPr>
                    <w:pStyle w:val="TableBodyText"/>
                  </w:pPr>
                  <w:r>
                    <w:rPr>
                      <w:color w:val="000000"/>
                    </w:rPr>
                    <w:noBreakHyphen/>
                  </w:r>
                  <w:r w:rsidRPr="00911F46">
                    <w:rPr>
                      <w:color w:val="000000"/>
                    </w:rPr>
                    <w:t>2.46</w:t>
                  </w:r>
                </w:p>
              </w:tc>
              <w:tc>
                <w:tcPr>
                  <w:tcW w:w="556" w:type="pct"/>
                  <w:tcBorders>
                    <w:top w:val="nil"/>
                    <w:left w:val="nil"/>
                    <w:bottom w:val="nil"/>
                    <w:right w:val="nil"/>
                  </w:tcBorders>
                  <w:shd w:val="clear" w:color="auto" w:fill="auto"/>
                  <w:vAlign w:val="bottom"/>
                </w:tcPr>
                <w:p w14:paraId="7954D120" w14:textId="77777777" w:rsidR="00F05DC7" w:rsidRPr="00911F46" w:rsidRDefault="00F05DC7" w:rsidP="00A3786D">
                  <w:pPr>
                    <w:pStyle w:val="TableBodyText"/>
                  </w:pPr>
                  <w:r>
                    <w:rPr>
                      <w:color w:val="000000"/>
                    </w:rPr>
                    <w:noBreakHyphen/>
                  </w:r>
                  <w:r w:rsidRPr="00911F46">
                    <w:rPr>
                      <w:color w:val="000000"/>
                    </w:rPr>
                    <w:t>2.52</w:t>
                  </w:r>
                </w:p>
              </w:tc>
              <w:tc>
                <w:tcPr>
                  <w:tcW w:w="556" w:type="pct"/>
                  <w:tcBorders>
                    <w:top w:val="nil"/>
                    <w:left w:val="nil"/>
                    <w:bottom w:val="nil"/>
                    <w:right w:val="nil"/>
                  </w:tcBorders>
                  <w:shd w:val="clear" w:color="auto" w:fill="auto"/>
                  <w:vAlign w:val="bottom"/>
                </w:tcPr>
                <w:p w14:paraId="7954D121" w14:textId="77777777" w:rsidR="00F05DC7" w:rsidRPr="00911F46" w:rsidRDefault="00F05DC7" w:rsidP="00A3786D">
                  <w:pPr>
                    <w:pStyle w:val="TableBodyText"/>
                  </w:pPr>
                  <w:r w:rsidRPr="00911F46">
                    <w:rPr>
                      <w:color w:val="000000"/>
                    </w:rPr>
                    <w:t>10.11</w:t>
                  </w:r>
                </w:p>
              </w:tc>
              <w:tc>
                <w:tcPr>
                  <w:tcW w:w="555" w:type="pct"/>
                  <w:tcBorders>
                    <w:top w:val="nil"/>
                    <w:left w:val="nil"/>
                    <w:bottom w:val="nil"/>
                    <w:right w:val="nil"/>
                  </w:tcBorders>
                  <w:shd w:val="clear" w:color="auto" w:fill="auto"/>
                  <w:vAlign w:val="bottom"/>
                </w:tcPr>
                <w:p w14:paraId="7954D122" w14:textId="77777777" w:rsidR="00F05DC7" w:rsidRPr="00911F46" w:rsidRDefault="00F05DC7" w:rsidP="00A3786D">
                  <w:pPr>
                    <w:pStyle w:val="TableBodyText"/>
                  </w:pPr>
                  <w:r>
                    <w:rPr>
                      <w:color w:val="000000"/>
                    </w:rPr>
                    <w:noBreakHyphen/>
                  </w:r>
                  <w:r w:rsidRPr="00911F46">
                    <w:rPr>
                      <w:color w:val="000000"/>
                    </w:rPr>
                    <w:t>2.53</w:t>
                  </w:r>
                </w:p>
              </w:tc>
              <w:tc>
                <w:tcPr>
                  <w:tcW w:w="555" w:type="pct"/>
                  <w:tcBorders>
                    <w:top w:val="nil"/>
                    <w:left w:val="nil"/>
                    <w:bottom w:val="nil"/>
                    <w:right w:val="nil"/>
                  </w:tcBorders>
                  <w:shd w:val="clear" w:color="auto" w:fill="auto"/>
                  <w:vAlign w:val="bottom"/>
                </w:tcPr>
                <w:p w14:paraId="7954D123" w14:textId="77777777" w:rsidR="00F05DC7" w:rsidRPr="00911F46" w:rsidRDefault="00F05DC7" w:rsidP="00A3786D">
                  <w:pPr>
                    <w:pStyle w:val="TableBodyText"/>
                  </w:pPr>
                  <w:r>
                    <w:rPr>
                      <w:color w:val="000000"/>
                    </w:rPr>
                    <w:noBreakHyphen/>
                  </w:r>
                  <w:r w:rsidRPr="00911F46">
                    <w:rPr>
                      <w:color w:val="000000"/>
                    </w:rPr>
                    <w:t>2.50</w:t>
                  </w:r>
                </w:p>
              </w:tc>
              <w:tc>
                <w:tcPr>
                  <w:tcW w:w="555" w:type="pct"/>
                  <w:tcBorders>
                    <w:top w:val="nil"/>
                    <w:left w:val="nil"/>
                    <w:bottom w:val="nil"/>
                    <w:right w:val="nil"/>
                  </w:tcBorders>
                  <w:shd w:val="clear" w:color="auto" w:fill="auto"/>
                  <w:vAlign w:val="bottom"/>
                </w:tcPr>
                <w:p w14:paraId="7954D124" w14:textId="77777777" w:rsidR="00F05DC7" w:rsidRPr="00911F46" w:rsidRDefault="00F05DC7" w:rsidP="00A3786D">
                  <w:pPr>
                    <w:pStyle w:val="TableBodyText"/>
                  </w:pPr>
                  <w:r>
                    <w:rPr>
                      <w:color w:val="000000"/>
                    </w:rPr>
                    <w:noBreakHyphen/>
                  </w:r>
                  <w:r w:rsidRPr="00911F46">
                    <w:rPr>
                      <w:color w:val="000000"/>
                    </w:rPr>
                    <w:t>2.05</w:t>
                  </w:r>
                </w:p>
              </w:tc>
              <w:tc>
                <w:tcPr>
                  <w:tcW w:w="553" w:type="pct"/>
                  <w:tcBorders>
                    <w:top w:val="nil"/>
                    <w:left w:val="nil"/>
                    <w:bottom w:val="nil"/>
                    <w:right w:val="nil"/>
                  </w:tcBorders>
                  <w:shd w:val="clear" w:color="auto" w:fill="auto"/>
                  <w:vAlign w:val="bottom"/>
                </w:tcPr>
                <w:p w14:paraId="7954D125" w14:textId="77777777" w:rsidR="00F05DC7" w:rsidRPr="00911F46" w:rsidRDefault="00F05DC7" w:rsidP="00A3786D">
                  <w:pPr>
                    <w:pStyle w:val="TableBodyText"/>
                  </w:pPr>
                  <w:r>
                    <w:rPr>
                      <w:color w:val="000000"/>
                    </w:rPr>
                    <w:noBreakHyphen/>
                  </w:r>
                  <w:r w:rsidRPr="00911F46">
                    <w:rPr>
                      <w:color w:val="000000"/>
                    </w:rPr>
                    <w:t>1.26</w:t>
                  </w:r>
                </w:p>
              </w:tc>
            </w:tr>
            <w:tr w:rsidR="00F05DC7" w:rsidRPr="00A75ED1" w14:paraId="7954D130" w14:textId="77777777" w:rsidTr="00A3786D">
              <w:tc>
                <w:tcPr>
                  <w:tcW w:w="556" w:type="pct"/>
                  <w:shd w:val="clear" w:color="auto" w:fill="auto"/>
                </w:tcPr>
                <w:p w14:paraId="7954D127" w14:textId="77777777" w:rsidR="00F05DC7" w:rsidRPr="00911F46" w:rsidRDefault="00F05DC7" w:rsidP="00A3786D">
                  <w:pPr>
                    <w:pStyle w:val="TableBodyText"/>
                  </w:pPr>
                  <w:r w:rsidRPr="00911F46">
                    <w:t>2023</w:t>
                  </w:r>
                  <w:r>
                    <w:noBreakHyphen/>
                  </w:r>
                  <w:r w:rsidRPr="00911F46">
                    <w:t>24</w:t>
                  </w:r>
                </w:p>
              </w:tc>
              <w:tc>
                <w:tcPr>
                  <w:tcW w:w="557" w:type="pct"/>
                  <w:tcBorders>
                    <w:top w:val="nil"/>
                    <w:left w:val="nil"/>
                    <w:bottom w:val="nil"/>
                    <w:right w:val="nil"/>
                  </w:tcBorders>
                  <w:shd w:val="clear" w:color="auto" w:fill="auto"/>
                  <w:vAlign w:val="bottom"/>
                </w:tcPr>
                <w:p w14:paraId="7954D128" w14:textId="77777777" w:rsidR="00F05DC7" w:rsidRPr="00911F46" w:rsidRDefault="00F05DC7" w:rsidP="00A3786D">
                  <w:pPr>
                    <w:pStyle w:val="TableBodyText"/>
                  </w:pPr>
                  <w:r w:rsidRPr="00911F46">
                    <w:rPr>
                      <w:color w:val="000000"/>
                    </w:rPr>
                    <w:t>1.10</w:t>
                  </w:r>
                </w:p>
              </w:tc>
              <w:tc>
                <w:tcPr>
                  <w:tcW w:w="557" w:type="pct"/>
                  <w:tcBorders>
                    <w:top w:val="nil"/>
                    <w:left w:val="nil"/>
                    <w:bottom w:val="nil"/>
                    <w:right w:val="nil"/>
                  </w:tcBorders>
                  <w:shd w:val="clear" w:color="auto" w:fill="auto"/>
                  <w:vAlign w:val="bottom"/>
                </w:tcPr>
                <w:p w14:paraId="7954D129" w14:textId="77777777" w:rsidR="00F05DC7" w:rsidRPr="00911F46" w:rsidRDefault="00F05DC7" w:rsidP="00A3786D">
                  <w:pPr>
                    <w:pStyle w:val="TableBodyText"/>
                  </w:pPr>
                  <w:r>
                    <w:rPr>
                      <w:color w:val="000000"/>
                    </w:rPr>
                    <w:noBreakHyphen/>
                  </w:r>
                  <w:r w:rsidRPr="00911F46">
                    <w:rPr>
                      <w:color w:val="000000"/>
                    </w:rPr>
                    <w:t>2.50</w:t>
                  </w:r>
                </w:p>
              </w:tc>
              <w:tc>
                <w:tcPr>
                  <w:tcW w:w="556" w:type="pct"/>
                  <w:tcBorders>
                    <w:top w:val="nil"/>
                    <w:left w:val="nil"/>
                    <w:bottom w:val="nil"/>
                    <w:right w:val="nil"/>
                  </w:tcBorders>
                  <w:shd w:val="clear" w:color="auto" w:fill="auto"/>
                  <w:vAlign w:val="bottom"/>
                </w:tcPr>
                <w:p w14:paraId="7954D12A" w14:textId="77777777" w:rsidR="00F05DC7" w:rsidRPr="00911F46" w:rsidRDefault="00F05DC7" w:rsidP="00A3786D">
                  <w:pPr>
                    <w:pStyle w:val="TableBodyText"/>
                  </w:pPr>
                  <w:r>
                    <w:rPr>
                      <w:color w:val="000000"/>
                    </w:rPr>
                    <w:noBreakHyphen/>
                  </w:r>
                  <w:r w:rsidRPr="00911F46">
                    <w:rPr>
                      <w:color w:val="000000"/>
                    </w:rPr>
                    <w:t>2.56</w:t>
                  </w:r>
                </w:p>
              </w:tc>
              <w:tc>
                <w:tcPr>
                  <w:tcW w:w="556" w:type="pct"/>
                  <w:tcBorders>
                    <w:top w:val="nil"/>
                    <w:left w:val="nil"/>
                    <w:bottom w:val="nil"/>
                    <w:right w:val="nil"/>
                  </w:tcBorders>
                  <w:shd w:val="clear" w:color="auto" w:fill="auto"/>
                  <w:vAlign w:val="bottom"/>
                </w:tcPr>
                <w:p w14:paraId="7954D12B" w14:textId="77777777" w:rsidR="00F05DC7" w:rsidRPr="00911F46" w:rsidRDefault="00F05DC7" w:rsidP="00A3786D">
                  <w:pPr>
                    <w:pStyle w:val="TableBodyText"/>
                  </w:pPr>
                  <w:r w:rsidRPr="00911F46">
                    <w:rPr>
                      <w:color w:val="000000"/>
                    </w:rPr>
                    <w:t>10.28</w:t>
                  </w:r>
                </w:p>
              </w:tc>
              <w:tc>
                <w:tcPr>
                  <w:tcW w:w="555" w:type="pct"/>
                  <w:tcBorders>
                    <w:top w:val="nil"/>
                    <w:left w:val="nil"/>
                    <w:bottom w:val="nil"/>
                    <w:right w:val="nil"/>
                  </w:tcBorders>
                  <w:shd w:val="clear" w:color="auto" w:fill="auto"/>
                  <w:vAlign w:val="bottom"/>
                </w:tcPr>
                <w:p w14:paraId="7954D12C" w14:textId="77777777" w:rsidR="00F05DC7" w:rsidRPr="00911F46" w:rsidRDefault="00F05DC7" w:rsidP="00A3786D">
                  <w:pPr>
                    <w:pStyle w:val="TableBodyText"/>
                  </w:pPr>
                  <w:r>
                    <w:rPr>
                      <w:color w:val="000000"/>
                    </w:rPr>
                    <w:noBreakHyphen/>
                  </w:r>
                  <w:r w:rsidRPr="00911F46">
                    <w:rPr>
                      <w:color w:val="000000"/>
                    </w:rPr>
                    <w:t>2.55</w:t>
                  </w:r>
                </w:p>
              </w:tc>
              <w:tc>
                <w:tcPr>
                  <w:tcW w:w="555" w:type="pct"/>
                  <w:tcBorders>
                    <w:top w:val="nil"/>
                    <w:left w:val="nil"/>
                    <w:bottom w:val="nil"/>
                    <w:right w:val="nil"/>
                  </w:tcBorders>
                  <w:shd w:val="clear" w:color="auto" w:fill="auto"/>
                  <w:vAlign w:val="bottom"/>
                </w:tcPr>
                <w:p w14:paraId="7954D12D" w14:textId="77777777" w:rsidR="00F05DC7" w:rsidRPr="00911F46" w:rsidRDefault="00F05DC7" w:rsidP="00A3786D">
                  <w:pPr>
                    <w:pStyle w:val="TableBodyText"/>
                  </w:pPr>
                  <w:r>
                    <w:rPr>
                      <w:color w:val="000000"/>
                    </w:rPr>
                    <w:noBreakHyphen/>
                  </w:r>
                  <w:r w:rsidRPr="00911F46">
                    <w:rPr>
                      <w:color w:val="000000"/>
                    </w:rPr>
                    <w:t>2.52</w:t>
                  </w:r>
                </w:p>
              </w:tc>
              <w:tc>
                <w:tcPr>
                  <w:tcW w:w="555" w:type="pct"/>
                  <w:tcBorders>
                    <w:top w:val="nil"/>
                    <w:left w:val="nil"/>
                    <w:bottom w:val="nil"/>
                    <w:right w:val="nil"/>
                  </w:tcBorders>
                  <w:shd w:val="clear" w:color="auto" w:fill="auto"/>
                  <w:vAlign w:val="bottom"/>
                </w:tcPr>
                <w:p w14:paraId="7954D12E" w14:textId="77777777" w:rsidR="00F05DC7" w:rsidRPr="00911F46" w:rsidRDefault="00F05DC7" w:rsidP="00A3786D">
                  <w:pPr>
                    <w:pStyle w:val="TableBodyText"/>
                  </w:pPr>
                  <w:r>
                    <w:rPr>
                      <w:color w:val="000000"/>
                    </w:rPr>
                    <w:noBreakHyphen/>
                  </w:r>
                  <w:r w:rsidRPr="00911F46">
                    <w:rPr>
                      <w:color w:val="000000"/>
                    </w:rPr>
                    <w:t>2.07</w:t>
                  </w:r>
                </w:p>
              </w:tc>
              <w:tc>
                <w:tcPr>
                  <w:tcW w:w="553" w:type="pct"/>
                  <w:tcBorders>
                    <w:top w:val="nil"/>
                    <w:left w:val="nil"/>
                    <w:bottom w:val="nil"/>
                    <w:right w:val="nil"/>
                  </w:tcBorders>
                  <w:shd w:val="clear" w:color="auto" w:fill="auto"/>
                  <w:vAlign w:val="bottom"/>
                </w:tcPr>
                <w:p w14:paraId="7954D12F" w14:textId="77777777" w:rsidR="00F05DC7" w:rsidRPr="00911F46" w:rsidRDefault="00F05DC7" w:rsidP="00A3786D">
                  <w:pPr>
                    <w:pStyle w:val="TableBodyText"/>
                  </w:pPr>
                  <w:r>
                    <w:rPr>
                      <w:color w:val="000000"/>
                    </w:rPr>
                    <w:noBreakHyphen/>
                  </w:r>
                  <w:r w:rsidRPr="00911F46">
                    <w:rPr>
                      <w:color w:val="000000"/>
                    </w:rPr>
                    <w:t>1.27</w:t>
                  </w:r>
                </w:p>
              </w:tc>
            </w:tr>
            <w:tr w:rsidR="00F05DC7" w:rsidRPr="00A75ED1" w14:paraId="7954D13A" w14:textId="77777777" w:rsidTr="00A3786D">
              <w:tc>
                <w:tcPr>
                  <w:tcW w:w="556" w:type="pct"/>
                  <w:shd w:val="clear" w:color="auto" w:fill="auto"/>
                </w:tcPr>
                <w:p w14:paraId="7954D131" w14:textId="77777777" w:rsidR="00F05DC7" w:rsidRPr="00911F46" w:rsidRDefault="00F05DC7" w:rsidP="00A3786D">
                  <w:pPr>
                    <w:pStyle w:val="TableBodyText"/>
                  </w:pPr>
                  <w:r w:rsidRPr="00911F46">
                    <w:t>2024</w:t>
                  </w:r>
                  <w:r>
                    <w:noBreakHyphen/>
                  </w:r>
                  <w:r w:rsidRPr="00911F46">
                    <w:t>25</w:t>
                  </w:r>
                </w:p>
              </w:tc>
              <w:tc>
                <w:tcPr>
                  <w:tcW w:w="557" w:type="pct"/>
                  <w:tcBorders>
                    <w:top w:val="nil"/>
                    <w:left w:val="nil"/>
                    <w:bottom w:val="nil"/>
                    <w:right w:val="nil"/>
                  </w:tcBorders>
                  <w:shd w:val="clear" w:color="auto" w:fill="auto"/>
                  <w:vAlign w:val="bottom"/>
                </w:tcPr>
                <w:p w14:paraId="7954D132" w14:textId="77777777" w:rsidR="00F05DC7" w:rsidRPr="00911F46" w:rsidRDefault="00F05DC7" w:rsidP="00A3786D">
                  <w:pPr>
                    <w:pStyle w:val="TableBodyText"/>
                  </w:pPr>
                  <w:r w:rsidRPr="00911F46">
                    <w:rPr>
                      <w:color w:val="000000"/>
                    </w:rPr>
                    <w:t>1.13</w:t>
                  </w:r>
                </w:p>
              </w:tc>
              <w:tc>
                <w:tcPr>
                  <w:tcW w:w="557" w:type="pct"/>
                  <w:tcBorders>
                    <w:top w:val="nil"/>
                    <w:left w:val="nil"/>
                    <w:bottom w:val="nil"/>
                    <w:right w:val="nil"/>
                  </w:tcBorders>
                  <w:shd w:val="clear" w:color="auto" w:fill="auto"/>
                  <w:vAlign w:val="bottom"/>
                </w:tcPr>
                <w:p w14:paraId="7954D133" w14:textId="77777777" w:rsidR="00F05DC7" w:rsidRPr="00911F46" w:rsidRDefault="00F05DC7" w:rsidP="00A3786D">
                  <w:pPr>
                    <w:pStyle w:val="TableBodyText"/>
                  </w:pPr>
                  <w:r>
                    <w:rPr>
                      <w:color w:val="000000"/>
                    </w:rPr>
                    <w:noBreakHyphen/>
                  </w:r>
                  <w:r w:rsidRPr="00911F46">
                    <w:rPr>
                      <w:color w:val="000000"/>
                    </w:rPr>
                    <w:t>2.55</w:t>
                  </w:r>
                </w:p>
              </w:tc>
              <w:tc>
                <w:tcPr>
                  <w:tcW w:w="556" w:type="pct"/>
                  <w:tcBorders>
                    <w:top w:val="nil"/>
                    <w:left w:val="nil"/>
                    <w:bottom w:val="nil"/>
                    <w:right w:val="nil"/>
                  </w:tcBorders>
                  <w:shd w:val="clear" w:color="auto" w:fill="auto"/>
                  <w:vAlign w:val="bottom"/>
                </w:tcPr>
                <w:p w14:paraId="7954D134" w14:textId="77777777" w:rsidR="00F05DC7" w:rsidRPr="00911F46" w:rsidRDefault="00F05DC7" w:rsidP="00A3786D">
                  <w:pPr>
                    <w:pStyle w:val="TableBodyText"/>
                  </w:pPr>
                  <w:r>
                    <w:rPr>
                      <w:color w:val="000000"/>
                    </w:rPr>
                    <w:noBreakHyphen/>
                  </w:r>
                  <w:r w:rsidRPr="00911F46">
                    <w:rPr>
                      <w:color w:val="000000"/>
                    </w:rPr>
                    <w:t>2.59</w:t>
                  </w:r>
                </w:p>
              </w:tc>
              <w:tc>
                <w:tcPr>
                  <w:tcW w:w="556" w:type="pct"/>
                  <w:tcBorders>
                    <w:top w:val="nil"/>
                    <w:left w:val="nil"/>
                    <w:bottom w:val="nil"/>
                    <w:right w:val="nil"/>
                  </w:tcBorders>
                  <w:shd w:val="clear" w:color="auto" w:fill="auto"/>
                  <w:vAlign w:val="bottom"/>
                </w:tcPr>
                <w:p w14:paraId="7954D135" w14:textId="77777777" w:rsidR="00F05DC7" w:rsidRPr="00911F46" w:rsidRDefault="00F05DC7" w:rsidP="00A3786D">
                  <w:pPr>
                    <w:pStyle w:val="TableBodyText"/>
                  </w:pPr>
                  <w:r w:rsidRPr="00911F46">
                    <w:rPr>
                      <w:color w:val="000000"/>
                    </w:rPr>
                    <w:t>10.47</w:t>
                  </w:r>
                </w:p>
              </w:tc>
              <w:tc>
                <w:tcPr>
                  <w:tcW w:w="555" w:type="pct"/>
                  <w:tcBorders>
                    <w:top w:val="nil"/>
                    <w:left w:val="nil"/>
                    <w:bottom w:val="nil"/>
                    <w:right w:val="nil"/>
                  </w:tcBorders>
                  <w:shd w:val="clear" w:color="auto" w:fill="auto"/>
                  <w:vAlign w:val="bottom"/>
                </w:tcPr>
                <w:p w14:paraId="7954D136" w14:textId="77777777" w:rsidR="00F05DC7" w:rsidRPr="00911F46" w:rsidRDefault="00F05DC7" w:rsidP="00A3786D">
                  <w:pPr>
                    <w:pStyle w:val="TableBodyText"/>
                  </w:pPr>
                  <w:r>
                    <w:rPr>
                      <w:color w:val="000000"/>
                    </w:rPr>
                    <w:noBreakHyphen/>
                  </w:r>
                  <w:r w:rsidRPr="00911F46">
                    <w:rPr>
                      <w:color w:val="000000"/>
                    </w:rPr>
                    <w:t>2.58</w:t>
                  </w:r>
                </w:p>
              </w:tc>
              <w:tc>
                <w:tcPr>
                  <w:tcW w:w="555" w:type="pct"/>
                  <w:tcBorders>
                    <w:top w:val="nil"/>
                    <w:left w:val="nil"/>
                    <w:bottom w:val="nil"/>
                    <w:right w:val="nil"/>
                  </w:tcBorders>
                  <w:shd w:val="clear" w:color="auto" w:fill="auto"/>
                  <w:vAlign w:val="bottom"/>
                </w:tcPr>
                <w:p w14:paraId="7954D137" w14:textId="77777777" w:rsidR="00F05DC7" w:rsidRPr="00911F46" w:rsidRDefault="00F05DC7" w:rsidP="00A3786D">
                  <w:pPr>
                    <w:pStyle w:val="TableBodyText"/>
                  </w:pPr>
                  <w:r>
                    <w:rPr>
                      <w:color w:val="000000"/>
                    </w:rPr>
                    <w:noBreakHyphen/>
                  </w:r>
                  <w:r w:rsidRPr="00911F46">
                    <w:rPr>
                      <w:color w:val="000000"/>
                    </w:rPr>
                    <w:t>2.54</w:t>
                  </w:r>
                </w:p>
              </w:tc>
              <w:tc>
                <w:tcPr>
                  <w:tcW w:w="555" w:type="pct"/>
                  <w:tcBorders>
                    <w:top w:val="nil"/>
                    <w:left w:val="nil"/>
                    <w:bottom w:val="nil"/>
                    <w:right w:val="nil"/>
                  </w:tcBorders>
                  <w:shd w:val="clear" w:color="auto" w:fill="auto"/>
                  <w:vAlign w:val="bottom"/>
                </w:tcPr>
                <w:p w14:paraId="7954D138" w14:textId="77777777" w:rsidR="00F05DC7" w:rsidRPr="00911F46" w:rsidRDefault="00F05DC7" w:rsidP="00A3786D">
                  <w:pPr>
                    <w:pStyle w:val="TableBodyText"/>
                  </w:pPr>
                  <w:r>
                    <w:rPr>
                      <w:color w:val="000000"/>
                    </w:rPr>
                    <w:noBreakHyphen/>
                  </w:r>
                  <w:r w:rsidRPr="00911F46">
                    <w:rPr>
                      <w:color w:val="000000"/>
                    </w:rPr>
                    <w:t>2.08</w:t>
                  </w:r>
                </w:p>
              </w:tc>
              <w:tc>
                <w:tcPr>
                  <w:tcW w:w="553" w:type="pct"/>
                  <w:tcBorders>
                    <w:top w:val="nil"/>
                    <w:left w:val="nil"/>
                    <w:bottom w:val="nil"/>
                    <w:right w:val="nil"/>
                  </w:tcBorders>
                  <w:shd w:val="clear" w:color="auto" w:fill="auto"/>
                  <w:vAlign w:val="bottom"/>
                </w:tcPr>
                <w:p w14:paraId="7954D139" w14:textId="77777777" w:rsidR="00F05DC7" w:rsidRPr="00911F46" w:rsidRDefault="00F05DC7" w:rsidP="00A3786D">
                  <w:pPr>
                    <w:pStyle w:val="TableBodyText"/>
                  </w:pPr>
                  <w:r>
                    <w:rPr>
                      <w:color w:val="000000"/>
                    </w:rPr>
                    <w:noBreakHyphen/>
                  </w:r>
                  <w:r w:rsidRPr="00911F46">
                    <w:rPr>
                      <w:color w:val="000000"/>
                    </w:rPr>
                    <w:t>1.27</w:t>
                  </w:r>
                </w:p>
              </w:tc>
            </w:tr>
            <w:tr w:rsidR="00F05DC7" w:rsidRPr="00A75ED1" w14:paraId="7954D144" w14:textId="77777777" w:rsidTr="00A3786D">
              <w:tc>
                <w:tcPr>
                  <w:tcW w:w="556" w:type="pct"/>
                  <w:shd w:val="clear" w:color="auto" w:fill="auto"/>
                </w:tcPr>
                <w:p w14:paraId="7954D13B" w14:textId="77777777" w:rsidR="00F05DC7" w:rsidRPr="00911F46" w:rsidRDefault="00F05DC7" w:rsidP="00A3786D">
                  <w:pPr>
                    <w:pStyle w:val="TableBodyText"/>
                  </w:pPr>
                  <w:r w:rsidRPr="00911F46">
                    <w:t>2025</w:t>
                  </w:r>
                  <w:r>
                    <w:noBreakHyphen/>
                  </w:r>
                  <w:r w:rsidRPr="00911F46">
                    <w:t>26</w:t>
                  </w:r>
                </w:p>
              </w:tc>
              <w:tc>
                <w:tcPr>
                  <w:tcW w:w="557" w:type="pct"/>
                  <w:tcBorders>
                    <w:top w:val="nil"/>
                    <w:left w:val="nil"/>
                    <w:bottom w:val="nil"/>
                    <w:right w:val="nil"/>
                  </w:tcBorders>
                  <w:shd w:val="clear" w:color="auto" w:fill="auto"/>
                  <w:vAlign w:val="bottom"/>
                </w:tcPr>
                <w:p w14:paraId="7954D13C" w14:textId="77777777" w:rsidR="00F05DC7" w:rsidRPr="00911F46" w:rsidRDefault="00F05DC7" w:rsidP="00A3786D">
                  <w:pPr>
                    <w:pStyle w:val="TableBodyText"/>
                  </w:pPr>
                  <w:r w:rsidRPr="00911F46">
                    <w:rPr>
                      <w:color w:val="000000"/>
                    </w:rPr>
                    <w:t>1.15</w:t>
                  </w:r>
                </w:p>
              </w:tc>
              <w:tc>
                <w:tcPr>
                  <w:tcW w:w="557" w:type="pct"/>
                  <w:tcBorders>
                    <w:top w:val="nil"/>
                    <w:left w:val="nil"/>
                    <w:bottom w:val="nil"/>
                    <w:right w:val="nil"/>
                  </w:tcBorders>
                  <w:shd w:val="clear" w:color="auto" w:fill="auto"/>
                  <w:vAlign w:val="bottom"/>
                </w:tcPr>
                <w:p w14:paraId="7954D13D" w14:textId="77777777" w:rsidR="00F05DC7" w:rsidRPr="00911F46" w:rsidRDefault="00F05DC7" w:rsidP="00A3786D">
                  <w:pPr>
                    <w:pStyle w:val="TableBodyText"/>
                  </w:pPr>
                  <w:r>
                    <w:rPr>
                      <w:color w:val="000000"/>
                    </w:rPr>
                    <w:noBreakHyphen/>
                  </w:r>
                  <w:r w:rsidRPr="00911F46">
                    <w:rPr>
                      <w:color w:val="000000"/>
                    </w:rPr>
                    <w:t>2.60</w:t>
                  </w:r>
                </w:p>
              </w:tc>
              <w:tc>
                <w:tcPr>
                  <w:tcW w:w="556" w:type="pct"/>
                  <w:tcBorders>
                    <w:top w:val="nil"/>
                    <w:left w:val="nil"/>
                    <w:bottom w:val="nil"/>
                    <w:right w:val="nil"/>
                  </w:tcBorders>
                  <w:shd w:val="clear" w:color="auto" w:fill="auto"/>
                  <w:vAlign w:val="bottom"/>
                </w:tcPr>
                <w:p w14:paraId="7954D13E" w14:textId="77777777" w:rsidR="00F05DC7" w:rsidRPr="00911F46" w:rsidRDefault="00F05DC7" w:rsidP="00A3786D">
                  <w:pPr>
                    <w:pStyle w:val="TableBodyText"/>
                  </w:pPr>
                  <w:r>
                    <w:rPr>
                      <w:color w:val="000000"/>
                    </w:rPr>
                    <w:noBreakHyphen/>
                  </w:r>
                  <w:r w:rsidRPr="00911F46">
                    <w:rPr>
                      <w:color w:val="000000"/>
                    </w:rPr>
                    <w:t>2.63</w:t>
                  </w:r>
                </w:p>
              </w:tc>
              <w:tc>
                <w:tcPr>
                  <w:tcW w:w="556" w:type="pct"/>
                  <w:tcBorders>
                    <w:top w:val="nil"/>
                    <w:left w:val="nil"/>
                    <w:bottom w:val="nil"/>
                    <w:right w:val="nil"/>
                  </w:tcBorders>
                  <w:shd w:val="clear" w:color="auto" w:fill="auto"/>
                  <w:vAlign w:val="bottom"/>
                </w:tcPr>
                <w:p w14:paraId="7954D13F" w14:textId="77777777" w:rsidR="00F05DC7" w:rsidRPr="00911F46" w:rsidRDefault="00F05DC7" w:rsidP="00A3786D">
                  <w:pPr>
                    <w:pStyle w:val="TableBodyText"/>
                  </w:pPr>
                  <w:r w:rsidRPr="00911F46">
                    <w:rPr>
                      <w:color w:val="000000"/>
                    </w:rPr>
                    <w:t>10.66</w:t>
                  </w:r>
                </w:p>
              </w:tc>
              <w:tc>
                <w:tcPr>
                  <w:tcW w:w="555" w:type="pct"/>
                  <w:tcBorders>
                    <w:top w:val="nil"/>
                    <w:left w:val="nil"/>
                    <w:bottom w:val="nil"/>
                    <w:right w:val="nil"/>
                  </w:tcBorders>
                  <w:shd w:val="clear" w:color="auto" w:fill="auto"/>
                  <w:vAlign w:val="bottom"/>
                </w:tcPr>
                <w:p w14:paraId="7954D140" w14:textId="77777777" w:rsidR="00F05DC7" w:rsidRPr="00911F46" w:rsidRDefault="00F05DC7" w:rsidP="00A3786D">
                  <w:pPr>
                    <w:pStyle w:val="TableBodyText"/>
                  </w:pPr>
                  <w:r>
                    <w:rPr>
                      <w:color w:val="000000"/>
                    </w:rPr>
                    <w:noBreakHyphen/>
                  </w:r>
                  <w:r w:rsidRPr="00911F46">
                    <w:rPr>
                      <w:color w:val="000000"/>
                    </w:rPr>
                    <w:t>2.61</w:t>
                  </w:r>
                </w:p>
              </w:tc>
              <w:tc>
                <w:tcPr>
                  <w:tcW w:w="555" w:type="pct"/>
                  <w:tcBorders>
                    <w:top w:val="nil"/>
                    <w:left w:val="nil"/>
                    <w:bottom w:val="nil"/>
                    <w:right w:val="nil"/>
                  </w:tcBorders>
                  <w:shd w:val="clear" w:color="auto" w:fill="auto"/>
                  <w:vAlign w:val="bottom"/>
                </w:tcPr>
                <w:p w14:paraId="7954D141" w14:textId="77777777" w:rsidR="00F05DC7" w:rsidRPr="00911F46" w:rsidRDefault="00F05DC7" w:rsidP="00A3786D">
                  <w:pPr>
                    <w:pStyle w:val="TableBodyText"/>
                  </w:pPr>
                  <w:r>
                    <w:rPr>
                      <w:color w:val="000000"/>
                    </w:rPr>
                    <w:noBreakHyphen/>
                  </w:r>
                  <w:r w:rsidRPr="00911F46">
                    <w:rPr>
                      <w:color w:val="000000"/>
                    </w:rPr>
                    <w:t>2.56</w:t>
                  </w:r>
                </w:p>
              </w:tc>
              <w:tc>
                <w:tcPr>
                  <w:tcW w:w="555" w:type="pct"/>
                  <w:tcBorders>
                    <w:top w:val="nil"/>
                    <w:left w:val="nil"/>
                    <w:bottom w:val="nil"/>
                    <w:right w:val="nil"/>
                  </w:tcBorders>
                  <w:shd w:val="clear" w:color="auto" w:fill="auto"/>
                  <w:vAlign w:val="bottom"/>
                </w:tcPr>
                <w:p w14:paraId="7954D142" w14:textId="77777777" w:rsidR="00F05DC7" w:rsidRPr="00911F46" w:rsidRDefault="00F05DC7" w:rsidP="00A3786D">
                  <w:pPr>
                    <w:pStyle w:val="TableBodyText"/>
                  </w:pPr>
                  <w:r>
                    <w:rPr>
                      <w:color w:val="000000"/>
                    </w:rPr>
                    <w:noBreakHyphen/>
                  </w:r>
                  <w:r w:rsidRPr="00911F46">
                    <w:rPr>
                      <w:color w:val="000000"/>
                    </w:rPr>
                    <w:t>2.10</w:t>
                  </w:r>
                </w:p>
              </w:tc>
              <w:tc>
                <w:tcPr>
                  <w:tcW w:w="553" w:type="pct"/>
                  <w:tcBorders>
                    <w:top w:val="nil"/>
                    <w:left w:val="nil"/>
                    <w:bottom w:val="nil"/>
                    <w:right w:val="nil"/>
                  </w:tcBorders>
                  <w:shd w:val="clear" w:color="auto" w:fill="auto"/>
                  <w:vAlign w:val="bottom"/>
                </w:tcPr>
                <w:p w14:paraId="7954D143" w14:textId="77777777" w:rsidR="00F05DC7" w:rsidRPr="00911F46" w:rsidRDefault="00F05DC7" w:rsidP="00A3786D">
                  <w:pPr>
                    <w:pStyle w:val="TableBodyText"/>
                  </w:pPr>
                  <w:r>
                    <w:rPr>
                      <w:color w:val="000000"/>
                    </w:rPr>
                    <w:noBreakHyphen/>
                  </w:r>
                  <w:r w:rsidRPr="00911F46">
                    <w:rPr>
                      <w:color w:val="000000"/>
                    </w:rPr>
                    <w:t>1.28</w:t>
                  </w:r>
                </w:p>
              </w:tc>
            </w:tr>
            <w:tr w:rsidR="00F05DC7" w:rsidRPr="00A75ED1" w14:paraId="7954D14E" w14:textId="77777777" w:rsidTr="00A3786D">
              <w:tc>
                <w:tcPr>
                  <w:tcW w:w="556" w:type="pct"/>
                  <w:tcBorders>
                    <w:bottom w:val="single" w:sz="6" w:space="0" w:color="D9D9D9" w:themeColor="background1" w:themeShade="D9"/>
                  </w:tcBorders>
                  <w:shd w:val="clear" w:color="auto" w:fill="auto"/>
                </w:tcPr>
                <w:p w14:paraId="7954D145" w14:textId="77777777" w:rsidR="00F05DC7" w:rsidRPr="00911F46" w:rsidRDefault="00F05DC7" w:rsidP="00A3786D">
                  <w:pPr>
                    <w:pStyle w:val="TableBodyText"/>
                  </w:pPr>
                  <w:r w:rsidRPr="00911F46">
                    <w:t>2026</w:t>
                  </w:r>
                  <w:r>
                    <w:noBreakHyphen/>
                  </w:r>
                  <w:r w:rsidRPr="00911F46">
                    <w:t>27</w:t>
                  </w:r>
                </w:p>
              </w:tc>
              <w:tc>
                <w:tcPr>
                  <w:tcW w:w="557" w:type="pct"/>
                  <w:tcBorders>
                    <w:top w:val="nil"/>
                    <w:left w:val="nil"/>
                    <w:bottom w:val="single" w:sz="6" w:space="0" w:color="D9D9D9" w:themeColor="background1" w:themeShade="D9"/>
                    <w:right w:val="nil"/>
                  </w:tcBorders>
                  <w:shd w:val="clear" w:color="auto" w:fill="auto"/>
                  <w:vAlign w:val="bottom"/>
                </w:tcPr>
                <w:p w14:paraId="7954D146" w14:textId="77777777" w:rsidR="00F05DC7" w:rsidRPr="00911F46" w:rsidRDefault="00F05DC7" w:rsidP="00A3786D">
                  <w:pPr>
                    <w:pStyle w:val="TableBodyText"/>
                  </w:pPr>
                  <w:r w:rsidRPr="00911F46">
                    <w:rPr>
                      <w:color w:val="000000"/>
                    </w:rPr>
                    <w:t>1.17</w:t>
                  </w:r>
                </w:p>
              </w:tc>
              <w:tc>
                <w:tcPr>
                  <w:tcW w:w="557" w:type="pct"/>
                  <w:tcBorders>
                    <w:top w:val="nil"/>
                    <w:left w:val="nil"/>
                    <w:bottom w:val="single" w:sz="6" w:space="0" w:color="D9D9D9" w:themeColor="background1" w:themeShade="D9"/>
                    <w:right w:val="nil"/>
                  </w:tcBorders>
                  <w:shd w:val="clear" w:color="auto" w:fill="auto"/>
                  <w:vAlign w:val="bottom"/>
                </w:tcPr>
                <w:p w14:paraId="7954D147" w14:textId="77777777" w:rsidR="00F05DC7" w:rsidRPr="00911F46" w:rsidRDefault="00F05DC7" w:rsidP="00A3786D">
                  <w:pPr>
                    <w:pStyle w:val="TableBodyText"/>
                  </w:pPr>
                  <w:r>
                    <w:rPr>
                      <w:color w:val="000000"/>
                    </w:rPr>
                    <w:noBreakHyphen/>
                  </w:r>
                  <w:r w:rsidRPr="00911F46">
                    <w:rPr>
                      <w:color w:val="000000"/>
                    </w:rPr>
                    <w:t>2.65</w:t>
                  </w:r>
                </w:p>
              </w:tc>
              <w:tc>
                <w:tcPr>
                  <w:tcW w:w="556" w:type="pct"/>
                  <w:tcBorders>
                    <w:top w:val="nil"/>
                    <w:left w:val="nil"/>
                    <w:bottom w:val="single" w:sz="6" w:space="0" w:color="D9D9D9" w:themeColor="background1" w:themeShade="D9"/>
                    <w:right w:val="nil"/>
                  </w:tcBorders>
                  <w:shd w:val="clear" w:color="auto" w:fill="auto"/>
                  <w:vAlign w:val="bottom"/>
                </w:tcPr>
                <w:p w14:paraId="7954D148" w14:textId="77777777" w:rsidR="00F05DC7" w:rsidRPr="00911F46" w:rsidRDefault="00F05DC7" w:rsidP="00A3786D">
                  <w:pPr>
                    <w:pStyle w:val="TableBodyText"/>
                  </w:pPr>
                  <w:r>
                    <w:rPr>
                      <w:color w:val="000000"/>
                    </w:rPr>
                    <w:noBreakHyphen/>
                  </w:r>
                  <w:r w:rsidRPr="00911F46">
                    <w:rPr>
                      <w:color w:val="000000"/>
                    </w:rPr>
                    <w:t>2.66</w:t>
                  </w:r>
                </w:p>
              </w:tc>
              <w:tc>
                <w:tcPr>
                  <w:tcW w:w="556" w:type="pct"/>
                  <w:tcBorders>
                    <w:top w:val="nil"/>
                    <w:left w:val="nil"/>
                    <w:bottom w:val="single" w:sz="6" w:space="0" w:color="D9D9D9" w:themeColor="background1" w:themeShade="D9"/>
                    <w:right w:val="nil"/>
                  </w:tcBorders>
                  <w:shd w:val="clear" w:color="auto" w:fill="auto"/>
                  <w:vAlign w:val="bottom"/>
                </w:tcPr>
                <w:p w14:paraId="7954D149" w14:textId="77777777" w:rsidR="00F05DC7" w:rsidRPr="00911F46" w:rsidRDefault="00F05DC7" w:rsidP="00A3786D">
                  <w:pPr>
                    <w:pStyle w:val="TableBodyText"/>
                  </w:pPr>
                  <w:r w:rsidRPr="00911F46">
                    <w:rPr>
                      <w:color w:val="000000"/>
                    </w:rPr>
                    <w:t>10.87</w:t>
                  </w:r>
                </w:p>
              </w:tc>
              <w:tc>
                <w:tcPr>
                  <w:tcW w:w="555" w:type="pct"/>
                  <w:tcBorders>
                    <w:top w:val="nil"/>
                    <w:left w:val="nil"/>
                    <w:bottom w:val="single" w:sz="6" w:space="0" w:color="D9D9D9" w:themeColor="background1" w:themeShade="D9"/>
                    <w:right w:val="nil"/>
                  </w:tcBorders>
                  <w:shd w:val="clear" w:color="auto" w:fill="auto"/>
                  <w:vAlign w:val="bottom"/>
                </w:tcPr>
                <w:p w14:paraId="7954D14A" w14:textId="77777777" w:rsidR="00F05DC7" w:rsidRPr="00911F46" w:rsidRDefault="00F05DC7" w:rsidP="00A3786D">
                  <w:pPr>
                    <w:pStyle w:val="TableBodyText"/>
                  </w:pPr>
                  <w:r>
                    <w:rPr>
                      <w:color w:val="000000"/>
                    </w:rPr>
                    <w:noBreakHyphen/>
                  </w:r>
                  <w:r w:rsidRPr="00911F46">
                    <w:rPr>
                      <w:color w:val="000000"/>
                    </w:rPr>
                    <w:t>2.64</w:t>
                  </w:r>
                </w:p>
              </w:tc>
              <w:tc>
                <w:tcPr>
                  <w:tcW w:w="555" w:type="pct"/>
                  <w:tcBorders>
                    <w:top w:val="nil"/>
                    <w:left w:val="nil"/>
                    <w:bottom w:val="single" w:sz="6" w:space="0" w:color="D9D9D9" w:themeColor="background1" w:themeShade="D9"/>
                    <w:right w:val="nil"/>
                  </w:tcBorders>
                  <w:shd w:val="clear" w:color="auto" w:fill="auto"/>
                  <w:vAlign w:val="bottom"/>
                </w:tcPr>
                <w:p w14:paraId="7954D14B" w14:textId="77777777" w:rsidR="00F05DC7" w:rsidRPr="00911F46" w:rsidRDefault="00F05DC7" w:rsidP="00A3786D">
                  <w:pPr>
                    <w:pStyle w:val="TableBodyText"/>
                  </w:pPr>
                  <w:r>
                    <w:rPr>
                      <w:color w:val="000000"/>
                    </w:rPr>
                    <w:noBreakHyphen/>
                  </w:r>
                  <w:r w:rsidRPr="00911F46">
                    <w:rPr>
                      <w:color w:val="000000"/>
                    </w:rPr>
                    <w:t>2.58</w:t>
                  </w:r>
                </w:p>
              </w:tc>
              <w:tc>
                <w:tcPr>
                  <w:tcW w:w="555" w:type="pct"/>
                  <w:tcBorders>
                    <w:top w:val="nil"/>
                    <w:left w:val="nil"/>
                    <w:bottom w:val="single" w:sz="6" w:space="0" w:color="D9D9D9" w:themeColor="background1" w:themeShade="D9"/>
                    <w:right w:val="nil"/>
                  </w:tcBorders>
                  <w:shd w:val="clear" w:color="auto" w:fill="auto"/>
                  <w:vAlign w:val="bottom"/>
                </w:tcPr>
                <w:p w14:paraId="7954D14C" w14:textId="77777777" w:rsidR="00F05DC7" w:rsidRPr="00911F46" w:rsidRDefault="00F05DC7" w:rsidP="00A3786D">
                  <w:pPr>
                    <w:pStyle w:val="TableBodyText"/>
                  </w:pPr>
                  <w:r>
                    <w:rPr>
                      <w:color w:val="000000"/>
                    </w:rPr>
                    <w:noBreakHyphen/>
                  </w:r>
                  <w:r w:rsidRPr="00911F46">
                    <w:rPr>
                      <w:color w:val="000000"/>
                    </w:rPr>
                    <w:t>2.12</w:t>
                  </w:r>
                </w:p>
              </w:tc>
              <w:tc>
                <w:tcPr>
                  <w:tcW w:w="553" w:type="pct"/>
                  <w:tcBorders>
                    <w:top w:val="nil"/>
                    <w:left w:val="nil"/>
                    <w:bottom w:val="single" w:sz="6" w:space="0" w:color="D9D9D9" w:themeColor="background1" w:themeShade="D9"/>
                    <w:right w:val="nil"/>
                  </w:tcBorders>
                  <w:shd w:val="clear" w:color="auto" w:fill="auto"/>
                  <w:vAlign w:val="bottom"/>
                </w:tcPr>
                <w:p w14:paraId="7954D14D" w14:textId="77777777" w:rsidR="00F05DC7" w:rsidRPr="00911F46" w:rsidRDefault="00F05DC7" w:rsidP="00A3786D">
                  <w:pPr>
                    <w:pStyle w:val="TableBodyText"/>
                  </w:pPr>
                  <w:r>
                    <w:rPr>
                      <w:color w:val="000000"/>
                    </w:rPr>
                    <w:noBreakHyphen/>
                  </w:r>
                  <w:r w:rsidRPr="00911F46">
                    <w:rPr>
                      <w:color w:val="000000"/>
                    </w:rPr>
                    <w:t>1.28</w:t>
                  </w:r>
                </w:p>
              </w:tc>
            </w:tr>
          </w:tbl>
          <w:p w14:paraId="7954D14F" w14:textId="77777777" w:rsidR="00F05DC7" w:rsidRPr="006C0046" w:rsidRDefault="00F05DC7" w:rsidP="00A3786D">
            <w:pPr>
              <w:pStyle w:val="Box"/>
              <w:rPr>
                <w:rFonts w:asciiTheme="minorHAnsi" w:hAnsiTheme="minorHAnsi" w:cstheme="minorHAnsi"/>
                <w:sz w:val="18"/>
                <w:szCs w:val="18"/>
              </w:rPr>
            </w:pPr>
          </w:p>
        </w:tc>
      </w:tr>
      <w:tr w:rsidR="00F05DC7" w14:paraId="7954D152" w14:textId="77777777" w:rsidTr="00A3786D">
        <w:tc>
          <w:tcPr>
            <w:tcW w:w="5000" w:type="pct"/>
            <w:tcBorders>
              <w:top w:val="nil"/>
              <w:left w:val="nil"/>
              <w:bottom w:val="nil"/>
              <w:right w:val="nil"/>
            </w:tcBorders>
            <w:shd w:val="clear" w:color="auto" w:fill="auto"/>
          </w:tcPr>
          <w:p w14:paraId="7954D151" w14:textId="77777777" w:rsidR="00F05DC7" w:rsidRDefault="00F05DC7" w:rsidP="00A3786D">
            <w:pPr>
              <w:pStyle w:val="Source"/>
            </w:pPr>
            <w:r w:rsidRPr="00355172">
              <w:rPr>
                <w:i/>
              </w:rPr>
              <w:t>Source</w:t>
            </w:r>
            <w:r w:rsidRPr="00676CAE">
              <w:t>:</w:t>
            </w:r>
            <w:r w:rsidRPr="00355172">
              <w:rPr>
                <w:i/>
              </w:rPr>
              <w:t xml:space="preserve"> </w:t>
            </w:r>
            <w:r w:rsidRPr="00676CAE">
              <w:t>Productivity Commission estimates.</w:t>
            </w:r>
            <w:r>
              <w:rPr>
                <w:i/>
              </w:rPr>
              <w:t xml:space="preserve"> </w:t>
            </w:r>
          </w:p>
        </w:tc>
      </w:tr>
      <w:tr w:rsidR="00F05DC7" w14:paraId="7954D154" w14:textId="77777777" w:rsidTr="00A3786D">
        <w:tc>
          <w:tcPr>
            <w:tcW w:w="5000" w:type="pct"/>
            <w:tcBorders>
              <w:top w:val="nil"/>
              <w:left w:val="nil"/>
              <w:bottom w:val="single" w:sz="6" w:space="0" w:color="78A22F"/>
              <w:right w:val="nil"/>
            </w:tcBorders>
            <w:shd w:val="clear" w:color="auto" w:fill="auto"/>
          </w:tcPr>
          <w:p w14:paraId="7954D153" w14:textId="77777777" w:rsidR="00F05DC7" w:rsidRDefault="00F05DC7" w:rsidP="00A3786D">
            <w:pPr>
              <w:pStyle w:val="Box"/>
              <w:spacing w:before="0" w:line="120" w:lineRule="exact"/>
            </w:pPr>
          </w:p>
        </w:tc>
      </w:tr>
      <w:tr w:rsidR="00F05DC7" w:rsidRPr="000863A5" w14:paraId="7954D156" w14:textId="77777777" w:rsidTr="00A3786D">
        <w:tc>
          <w:tcPr>
            <w:tcW w:w="5000" w:type="pct"/>
            <w:tcBorders>
              <w:top w:val="single" w:sz="6" w:space="0" w:color="78A22F"/>
              <w:left w:val="nil"/>
              <w:bottom w:val="nil"/>
              <w:right w:val="nil"/>
            </w:tcBorders>
          </w:tcPr>
          <w:p w14:paraId="7954D155" w14:textId="77777777" w:rsidR="00F05DC7" w:rsidRPr="00626D32" w:rsidRDefault="00F05DC7" w:rsidP="00A3786D">
            <w:pPr>
              <w:pStyle w:val="BoxSpaceBelow"/>
            </w:pPr>
          </w:p>
        </w:tc>
      </w:tr>
    </w:tbl>
    <w:p w14:paraId="7954D157"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D15A" w14:textId="77777777" w:rsidTr="00A3786D">
        <w:trPr>
          <w:tblHeader/>
        </w:trPr>
        <w:tc>
          <w:tcPr>
            <w:tcW w:w="5000" w:type="pct"/>
            <w:tcBorders>
              <w:top w:val="single" w:sz="6" w:space="0" w:color="78A22F"/>
              <w:left w:val="nil"/>
              <w:bottom w:val="nil"/>
              <w:right w:val="nil"/>
            </w:tcBorders>
            <w:shd w:val="clear" w:color="auto" w:fill="auto"/>
          </w:tcPr>
          <w:p w14:paraId="7954D158" w14:textId="6A6FF4D5" w:rsidR="00F05DC7" w:rsidRDefault="00F05DC7" w:rsidP="00A3786D">
            <w:pPr>
              <w:pStyle w:val="TableTitle"/>
            </w:pPr>
            <w:r>
              <w:rPr>
                <w:b w:val="0"/>
              </w:rPr>
              <w:t>Table F.A6</w:t>
            </w:r>
            <w:r>
              <w:tab/>
              <w:t>Alternative scenario (current fiscal capacities): projected c</w:t>
            </w:r>
            <w:r w:rsidRPr="00920444">
              <w:t>hange</w:t>
            </w:r>
            <w:r>
              <w:t xml:space="preserve"> in</w:t>
            </w:r>
            <w:r w:rsidRPr="00920444">
              <w:t xml:space="preserve"> GST </w:t>
            </w:r>
            <w:r>
              <w:t xml:space="preserve">due to change in the benchmark to ETA </w:t>
            </w:r>
          </w:p>
          <w:p w14:paraId="7954D159" w14:textId="77777777" w:rsidR="00F05DC7" w:rsidRPr="00784A05" w:rsidRDefault="00F05DC7" w:rsidP="00A3786D">
            <w:pPr>
              <w:pStyle w:val="Subtitle"/>
            </w:pPr>
            <w:r>
              <w:t>Eight year transition</w:t>
            </w:r>
          </w:p>
        </w:tc>
      </w:tr>
      <w:tr w:rsidR="00F05DC7" w14:paraId="7954D25C"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D164"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D15B"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D15C"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D15D"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D15E"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D15F"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D160"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D161"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D162"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D163"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D166" w14:textId="77777777" w:rsidTr="00A3786D">
              <w:tc>
                <w:tcPr>
                  <w:tcW w:w="5000" w:type="pct"/>
                  <w:gridSpan w:val="9"/>
                  <w:tcBorders>
                    <w:top w:val="single" w:sz="6" w:space="0" w:color="BFBFBF"/>
                  </w:tcBorders>
                  <w:shd w:val="clear" w:color="auto" w:fill="F2F2F2" w:themeFill="background1" w:themeFillShade="F2"/>
                </w:tcPr>
                <w:p w14:paraId="7954D165"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D170" w14:textId="77777777" w:rsidTr="00A3786D">
              <w:tc>
                <w:tcPr>
                  <w:tcW w:w="556" w:type="pct"/>
                  <w:vAlign w:val="bottom"/>
                </w:tcPr>
                <w:p w14:paraId="7954D167"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auto"/>
                  <w:vAlign w:val="bottom"/>
                </w:tcPr>
                <w:p w14:paraId="7954D168" w14:textId="77777777" w:rsidR="00F05DC7" w:rsidRPr="00A75ED1" w:rsidRDefault="00F05DC7" w:rsidP="00A3786D">
                  <w:pPr>
                    <w:pStyle w:val="TableBodyText"/>
                    <w:rPr>
                      <w:rFonts w:cs="Arial"/>
                      <w:szCs w:val="18"/>
                    </w:rPr>
                  </w:pPr>
                  <w:r w:rsidRPr="00A75ED1">
                    <w:rPr>
                      <w:rFonts w:cs="Arial"/>
                      <w:color w:val="000000"/>
                      <w:szCs w:val="18"/>
                    </w:rPr>
                    <w:t>108</w:t>
                  </w:r>
                </w:p>
              </w:tc>
              <w:tc>
                <w:tcPr>
                  <w:tcW w:w="557" w:type="pct"/>
                  <w:tcBorders>
                    <w:top w:val="nil"/>
                    <w:left w:val="nil"/>
                    <w:bottom w:val="nil"/>
                    <w:right w:val="nil"/>
                  </w:tcBorders>
                  <w:shd w:val="clear" w:color="auto" w:fill="auto"/>
                  <w:vAlign w:val="bottom"/>
                </w:tcPr>
                <w:p w14:paraId="7954D16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205</w:t>
                  </w:r>
                </w:p>
              </w:tc>
              <w:tc>
                <w:tcPr>
                  <w:tcW w:w="556" w:type="pct"/>
                  <w:tcBorders>
                    <w:top w:val="nil"/>
                    <w:left w:val="nil"/>
                    <w:bottom w:val="nil"/>
                    <w:right w:val="nil"/>
                  </w:tcBorders>
                  <w:shd w:val="clear" w:color="auto" w:fill="auto"/>
                  <w:vAlign w:val="bottom"/>
                </w:tcPr>
                <w:p w14:paraId="7954D16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176</w:t>
                  </w:r>
                </w:p>
              </w:tc>
              <w:tc>
                <w:tcPr>
                  <w:tcW w:w="556" w:type="pct"/>
                  <w:tcBorders>
                    <w:top w:val="nil"/>
                    <w:left w:val="nil"/>
                    <w:bottom w:val="nil"/>
                    <w:right w:val="nil"/>
                  </w:tcBorders>
                  <w:shd w:val="clear" w:color="auto" w:fill="auto"/>
                  <w:vAlign w:val="bottom"/>
                </w:tcPr>
                <w:p w14:paraId="7954D16B" w14:textId="77777777" w:rsidR="00F05DC7" w:rsidRPr="00A75ED1" w:rsidRDefault="00F05DC7" w:rsidP="00A3786D">
                  <w:pPr>
                    <w:pStyle w:val="TableBodyText"/>
                    <w:rPr>
                      <w:rFonts w:cs="Arial"/>
                      <w:szCs w:val="18"/>
                    </w:rPr>
                  </w:pPr>
                  <w:r w:rsidRPr="00A75ED1">
                    <w:rPr>
                      <w:rFonts w:cs="Arial"/>
                      <w:color w:val="000000"/>
                      <w:szCs w:val="18"/>
                    </w:rPr>
                    <w:t>375</w:t>
                  </w:r>
                </w:p>
              </w:tc>
              <w:tc>
                <w:tcPr>
                  <w:tcW w:w="555" w:type="pct"/>
                  <w:tcBorders>
                    <w:top w:val="nil"/>
                    <w:left w:val="nil"/>
                    <w:bottom w:val="nil"/>
                    <w:right w:val="nil"/>
                  </w:tcBorders>
                  <w:shd w:val="clear" w:color="auto" w:fill="auto"/>
                  <w:vAlign w:val="bottom"/>
                </w:tcPr>
                <w:p w14:paraId="7954D16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61</w:t>
                  </w:r>
                </w:p>
              </w:tc>
              <w:tc>
                <w:tcPr>
                  <w:tcW w:w="555" w:type="pct"/>
                  <w:tcBorders>
                    <w:top w:val="nil"/>
                    <w:left w:val="nil"/>
                    <w:bottom w:val="nil"/>
                    <w:right w:val="nil"/>
                  </w:tcBorders>
                  <w:shd w:val="clear" w:color="auto" w:fill="auto"/>
                  <w:vAlign w:val="bottom"/>
                </w:tcPr>
                <w:p w14:paraId="7954D16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w:t>
                  </w:r>
                </w:p>
              </w:tc>
              <w:tc>
                <w:tcPr>
                  <w:tcW w:w="555" w:type="pct"/>
                  <w:tcBorders>
                    <w:top w:val="nil"/>
                    <w:left w:val="nil"/>
                    <w:bottom w:val="nil"/>
                    <w:right w:val="nil"/>
                  </w:tcBorders>
                  <w:shd w:val="clear" w:color="auto" w:fill="auto"/>
                  <w:vAlign w:val="bottom"/>
                </w:tcPr>
                <w:p w14:paraId="7954D16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w:t>
                  </w:r>
                </w:p>
              </w:tc>
              <w:tc>
                <w:tcPr>
                  <w:tcW w:w="553" w:type="pct"/>
                  <w:tcBorders>
                    <w:top w:val="nil"/>
                    <w:left w:val="nil"/>
                    <w:bottom w:val="nil"/>
                    <w:right w:val="nil"/>
                  </w:tcBorders>
                  <w:shd w:val="clear" w:color="auto" w:fill="auto"/>
                  <w:vAlign w:val="bottom"/>
                </w:tcPr>
                <w:p w14:paraId="7954D16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9 </w:t>
                  </w:r>
                </w:p>
              </w:tc>
            </w:tr>
            <w:tr w:rsidR="00F05DC7" w:rsidRPr="00A75ED1" w14:paraId="7954D17A" w14:textId="77777777" w:rsidTr="00A3786D">
              <w:tc>
                <w:tcPr>
                  <w:tcW w:w="556" w:type="pct"/>
                  <w:vAlign w:val="bottom"/>
                </w:tcPr>
                <w:p w14:paraId="7954D171"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auto"/>
                  <w:vAlign w:val="bottom"/>
                </w:tcPr>
                <w:p w14:paraId="7954D172" w14:textId="77777777" w:rsidR="00F05DC7" w:rsidRPr="00A75ED1" w:rsidRDefault="00F05DC7" w:rsidP="00A3786D">
                  <w:pPr>
                    <w:pStyle w:val="TableBodyText"/>
                    <w:rPr>
                      <w:rFonts w:cs="Arial"/>
                      <w:szCs w:val="18"/>
                    </w:rPr>
                  </w:pPr>
                  <w:r w:rsidRPr="00A75ED1">
                    <w:rPr>
                      <w:rFonts w:cs="Arial"/>
                      <w:color w:val="000000"/>
                      <w:szCs w:val="18"/>
                    </w:rPr>
                    <w:t>228</w:t>
                  </w:r>
                </w:p>
              </w:tc>
              <w:tc>
                <w:tcPr>
                  <w:tcW w:w="557" w:type="pct"/>
                  <w:tcBorders>
                    <w:top w:val="nil"/>
                    <w:left w:val="nil"/>
                    <w:bottom w:val="nil"/>
                    <w:right w:val="nil"/>
                  </w:tcBorders>
                  <w:shd w:val="clear" w:color="auto" w:fill="auto"/>
                  <w:vAlign w:val="bottom"/>
                </w:tcPr>
                <w:p w14:paraId="7954D17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434</w:t>
                  </w:r>
                </w:p>
              </w:tc>
              <w:tc>
                <w:tcPr>
                  <w:tcW w:w="556" w:type="pct"/>
                  <w:tcBorders>
                    <w:top w:val="nil"/>
                    <w:left w:val="nil"/>
                    <w:bottom w:val="nil"/>
                    <w:right w:val="nil"/>
                  </w:tcBorders>
                  <w:shd w:val="clear" w:color="auto" w:fill="auto"/>
                  <w:vAlign w:val="bottom"/>
                </w:tcPr>
                <w:p w14:paraId="7954D17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369</w:t>
                  </w:r>
                </w:p>
              </w:tc>
              <w:tc>
                <w:tcPr>
                  <w:tcW w:w="556" w:type="pct"/>
                  <w:tcBorders>
                    <w:top w:val="nil"/>
                    <w:left w:val="nil"/>
                    <w:bottom w:val="nil"/>
                    <w:right w:val="nil"/>
                  </w:tcBorders>
                  <w:shd w:val="clear" w:color="auto" w:fill="auto"/>
                  <w:vAlign w:val="bottom"/>
                </w:tcPr>
                <w:p w14:paraId="7954D175" w14:textId="77777777" w:rsidR="00F05DC7" w:rsidRPr="00A75ED1" w:rsidRDefault="00F05DC7" w:rsidP="00A3786D">
                  <w:pPr>
                    <w:pStyle w:val="TableBodyText"/>
                    <w:rPr>
                      <w:rFonts w:cs="Arial"/>
                      <w:szCs w:val="18"/>
                    </w:rPr>
                  </w:pPr>
                  <w:r w:rsidRPr="00A75ED1">
                    <w:rPr>
                      <w:rFonts w:cs="Arial"/>
                      <w:color w:val="000000"/>
                      <w:szCs w:val="18"/>
                    </w:rPr>
                    <w:t>788</w:t>
                  </w:r>
                </w:p>
              </w:tc>
              <w:tc>
                <w:tcPr>
                  <w:tcW w:w="555" w:type="pct"/>
                  <w:tcBorders>
                    <w:top w:val="nil"/>
                    <w:left w:val="nil"/>
                    <w:bottom w:val="nil"/>
                    <w:right w:val="nil"/>
                  </w:tcBorders>
                  <w:shd w:val="clear" w:color="auto" w:fill="auto"/>
                  <w:vAlign w:val="bottom"/>
                </w:tcPr>
                <w:p w14:paraId="7954D17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126</w:t>
                  </w:r>
                </w:p>
              </w:tc>
              <w:tc>
                <w:tcPr>
                  <w:tcW w:w="555" w:type="pct"/>
                  <w:tcBorders>
                    <w:top w:val="nil"/>
                    <w:left w:val="nil"/>
                    <w:bottom w:val="nil"/>
                    <w:right w:val="nil"/>
                  </w:tcBorders>
                  <w:shd w:val="clear" w:color="auto" w:fill="auto"/>
                  <w:vAlign w:val="bottom"/>
                </w:tcPr>
                <w:p w14:paraId="7954D17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38</w:t>
                  </w:r>
                </w:p>
              </w:tc>
              <w:tc>
                <w:tcPr>
                  <w:tcW w:w="555" w:type="pct"/>
                  <w:tcBorders>
                    <w:top w:val="nil"/>
                    <w:left w:val="nil"/>
                    <w:bottom w:val="nil"/>
                    <w:right w:val="nil"/>
                  </w:tcBorders>
                  <w:shd w:val="clear" w:color="auto" w:fill="auto"/>
                  <w:vAlign w:val="bottom"/>
                </w:tcPr>
                <w:p w14:paraId="7954D17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w:t>
                  </w:r>
                </w:p>
              </w:tc>
              <w:tc>
                <w:tcPr>
                  <w:tcW w:w="553" w:type="pct"/>
                  <w:tcBorders>
                    <w:top w:val="nil"/>
                    <w:left w:val="nil"/>
                    <w:bottom w:val="nil"/>
                    <w:right w:val="nil"/>
                  </w:tcBorders>
                  <w:shd w:val="clear" w:color="auto" w:fill="auto"/>
                  <w:vAlign w:val="bottom"/>
                </w:tcPr>
                <w:p w14:paraId="7954D17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18 </w:t>
                  </w:r>
                </w:p>
              </w:tc>
            </w:tr>
            <w:tr w:rsidR="00F05DC7" w:rsidRPr="00A75ED1" w14:paraId="7954D184" w14:textId="77777777" w:rsidTr="00A3786D">
              <w:tc>
                <w:tcPr>
                  <w:tcW w:w="556" w:type="pct"/>
                  <w:vAlign w:val="bottom"/>
                </w:tcPr>
                <w:p w14:paraId="7954D17B"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auto"/>
                  <w:vAlign w:val="bottom"/>
                </w:tcPr>
                <w:p w14:paraId="7954D17C" w14:textId="77777777" w:rsidR="00F05DC7" w:rsidRPr="00A75ED1" w:rsidRDefault="00F05DC7" w:rsidP="00A3786D">
                  <w:pPr>
                    <w:pStyle w:val="TableBodyText"/>
                    <w:rPr>
                      <w:rFonts w:cs="Arial"/>
                      <w:szCs w:val="18"/>
                    </w:rPr>
                  </w:pPr>
                  <w:r w:rsidRPr="00A75ED1">
                    <w:rPr>
                      <w:rFonts w:cs="Arial"/>
                      <w:color w:val="000000"/>
                      <w:szCs w:val="18"/>
                    </w:rPr>
                    <w:t>361</w:t>
                  </w:r>
                </w:p>
              </w:tc>
              <w:tc>
                <w:tcPr>
                  <w:tcW w:w="557" w:type="pct"/>
                  <w:tcBorders>
                    <w:top w:val="nil"/>
                    <w:left w:val="nil"/>
                    <w:bottom w:val="nil"/>
                    <w:right w:val="nil"/>
                  </w:tcBorders>
                  <w:shd w:val="clear" w:color="auto" w:fill="auto"/>
                  <w:vAlign w:val="bottom"/>
                </w:tcPr>
                <w:p w14:paraId="7954D17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689</w:t>
                  </w:r>
                </w:p>
              </w:tc>
              <w:tc>
                <w:tcPr>
                  <w:tcW w:w="556" w:type="pct"/>
                  <w:tcBorders>
                    <w:top w:val="nil"/>
                    <w:left w:val="nil"/>
                    <w:bottom w:val="nil"/>
                    <w:right w:val="nil"/>
                  </w:tcBorders>
                  <w:shd w:val="clear" w:color="auto" w:fill="auto"/>
                  <w:vAlign w:val="bottom"/>
                </w:tcPr>
                <w:p w14:paraId="7954D17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579</w:t>
                  </w:r>
                </w:p>
              </w:tc>
              <w:tc>
                <w:tcPr>
                  <w:tcW w:w="556" w:type="pct"/>
                  <w:tcBorders>
                    <w:top w:val="nil"/>
                    <w:left w:val="nil"/>
                    <w:bottom w:val="nil"/>
                    <w:right w:val="nil"/>
                  </w:tcBorders>
                  <w:shd w:val="clear" w:color="auto" w:fill="auto"/>
                  <w:vAlign w:val="bottom"/>
                </w:tcPr>
                <w:p w14:paraId="7954D17F" w14:textId="77777777" w:rsidR="00F05DC7" w:rsidRPr="00A75ED1" w:rsidRDefault="00F05DC7" w:rsidP="00A3786D">
                  <w:pPr>
                    <w:pStyle w:val="TableBodyText"/>
                    <w:rPr>
                      <w:rFonts w:cs="Arial"/>
                      <w:szCs w:val="18"/>
                    </w:rPr>
                  </w:pPr>
                  <w:r w:rsidRPr="00A75ED1">
                    <w:rPr>
                      <w:rFonts w:cs="Arial"/>
                      <w:color w:val="000000"/>
                      <w:szCs w:val="18"/>
                    </w:rPr>
                    <w:t>1239</w:t>
                  </w:r>
                </w:p>
              </w:tc>
              <w:tc>
                <w:tcPr>
                  <w:tcW w:w="555" w:type="pct"/>
                  <w:tcBorders>
                    <w:top w:val="nil"/>
                    <w:left w:val="nil"/>
                    <w:bottom w:val="nil"/>
                    <w:right w:val="nil"/>
                  </w:tcBorders>
                  <w:shd w:val="clear" w:color="auto" w:fill="auto"/>
                  <w:vAlign w:val="bottom"/>
                </w:tcPr>
                <w:p w14:paraId="7954D18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197</w:t>
                  </w:r>
                </w:p>
              </w:tc>
              <w:tc>
                <w:tcPr>
                  <w:tcW w:w="555" w:type="pct"/>
                  <w:tcBorders>
                    <w:top w:val="nil"/>
                    <w:left w:val="nil"/>
                    <w:bottom w:val="nil"/>
                    <w:right w:val="nil"/>
                  </w:tcBorders>
                  <w:shd w:val="clear" w:color="auto" w:fill="auto"/>
                  <w:vAlign w:val="bottom"/>
                </w:tcPr>
                <w:p w14:paraId="7954D18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59</w:t>
                  </w:r>
                </w:p>
              </w:tc>
              <w:tc>
                <w:tcPr>
                  <w:tcW w:w="555" w:type="pct"/>
                  <w:tcBorders>
                    <w:top w:val="nil"/>
                    <w:left w:val="nil"/>
                    <w:bottom w:val="nil"/>
                    <w:right w:val="nil"/>
                  </w:tcBorders>
                  <w:shd w:val="clear" w:color="auto" w:fill="auto"/>
                  <w:vAlign w:val="bottom"/>
                </w:tcPr>
                <w:p w14:paraId="7954D18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48</w:t>
                  </w:r>
                </w:p>
              </w:tc>
              <w:tc>
                <w:tcPr>
                  <w:tcW w:w="553" w:type="pct"/>
                  <w:tcBorders>
                    <w:top w:val="nil"/>
                    <w:left w:val="nil"/>
                    <w:bottom w:val="nil"/>
                    <w:right w:val="nil"/>
                  </w:tcBorders>
                  <w:shd w:val="clear" w:color="auto" w:fill="auto"/>
                  <w:vAlign w:val="bottom"/>
                </w:tcPr>
                <w:p w14:paraId="7954D18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27 </w:t>
                  </w:r>
                </w:p>
              </w:tc>
            </w:tr>
            <w:tr w:rsidR="00F05DC7" w:rsidRPr="00A75ED1" w14:paraId="7954D18E" w14:textId="77777777" w:rsidTr="00A3786D">
              <w:tc>
                <w:tcPr>
                  <w:tcW w:w="556" w:type="pct"/>
                </w:tcPr>
                <w:p w14:paraId="7954D185"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auto"/>
                  <w:vAlign w:val="bottom"/>
                </w:tcPr>
                <w:p w14:paraId="7954D186" w14:textId="77777777" w:rsidR="00F05DC7" w:rsidRPr="00A75ED1" w:rsidRDefault="00F05DC7" w:rsidP="00A3786D">
                  <w:pPr>
                    <w:pStyle w:val="TableBodyText"/>
                    <w:rPr>
                      <w:rFonts w:cs="Arial"/>
                      <w:szCs w:val="18"/>
                    </w:rPr>
                  </w:pPr>
                  <w:r w:rsidRPr="00A75ED1">
                    <w:rPr>
                      <w:rFonts w:cs="Arial"/>
                      <w:color w:val="000000"/>
                      <w:szCs w:val="18"/>
                    </w:rPr>
                    <w:t>508</w:t>
                  </w:r>
                </w:p>
              </w:tc>
              <w:tc>
                <w:tcPr>
                  <w:tcW w:w="557" w:type="pct"/>
                  <w:tcBorders>
                    <w:top w:val="nil"/>
                    <w:left w:val="nil"/>
                    <w:bottom w:val="nil"/>
                    <w:right w:val="nil"/>
                  </w:tcBorders>
                  <w:shd w:val="clear" w:color="auto" w:fill="auto"/>
                  <w:vAlign w:val="bottom"/>
                </w:tcPr>
                <w:p w14:paraId="7954D18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972</w:t>
                  </w:r>
                </w:p>
              </w:tc>
              <w:tc>
                <w:tcPr>
                  <w:tcW w:w="556" w:type="pct"/>
                  <w:tcBorders>
                    <w:top w:val="nil"/>
                    <w:left w:val="nil"/>
                    <w:bottom w:val="nil"/>
                    <w:right w:val="nil"/>
                  </w:tcBorders>
                  <w:shd w:val="clear" w:color="auto" w:fill="auto"/>
                  <w:vAlign w:val="bottom"/>
                </w:tcPr>
                <w:p w14:paraId="7954D18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807</w:t>
                  </w:r>
                </w:p>
              </w:tc>
              <w:tc>
                <w:tcPr>
                  <w:tcW w:w="556" w:type="pct"/>
                  <w:tcBorders>
                    <w:top w:val="nil"/>
                    <w:left w:val="nil"/>
                    <w:bottom w:val="nil"/>
                    <w:right w:val="nil"/>
                  </w:tcBorders>
                  <w:shd w:val="clear" w:color="auto" w:fill="auto"/>
                  <w:vAlign w:val="bottom"/>
                </w:tcPr>
                <w:p w14:paraId="7954D189" w14:textId="77777777" w:rsidR="00F05DC7" w:rsidRPr="00A75ED1" w:rsidRDefault="00F05DC7" w:rsidP="00A3786D">
                  <w:pPr>
                    <w:pStyle w:val="TableBodyText"/>
                    <w:rPr>
                      <w:rFonts w:cs="Arial"/>
                      <w:szCs w:val="18"/>
                    </w:rPr>
                  </w:pPr>
                  <w:r w:rsidRPr="00A75ED1">
                    <w:rPr>
                      <w:rFonts w:cs="Arial"/>
                      <w:color w:val="000000"/>
                      <w:szCs w:val="18"/>
                    </w:rPr>
                    <w:t>1731</w:t>
                  </w:r>
                </w:p>
              </w:tc>
              <w:tc>
                <w:tcPr>
                  <w:tcW w:w="555" w:type="pct"/>
                  <w:tcBorders>
                    <w:top w:val="nil"/>
                    <w:left w:val="nil"/>
                    <w:bottom w:val="nil"/>
                    <w:right w:val="nil"/>
                  </w:tcBorders>
                  <w:shd w:val="clear" w:color="auto" w:fill="auto"/>
                  <w:vAlign w:val="bottom"/>
                </w:tcPr>
                <w:p w14:paraId="7954D18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272</w:t>
                  </w:r>
                </w:p>
              </w:tc>
              <w:tc>
                <w:tcPr>
                  <w:tcW w:w="555" w:type="pct"/>
                  <w:tcBorders>
                    <w:top w:val="nil"/>
                    <w:left w:val="nil"/>
                    <w:bottom w:val="nil"/>
                    <w:right w:val="nil"/>
                  </w:tcBorders>
                  <w:shd w:val="clear" w:color="auto" w:fill="auto"/>
                  <w:vAlign w:val="bottom"/>
                </w:tcPr>
                <w:p w14:paraId="7954D18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81</w:t>
                  </w:r>
                </w:p>
              </w:tc>
              <w:tc>
                <w:tcPr>
                  <w:tcW w:w="555" w:type="pct"/>
                  <w:tcBorders>
                    <w:top w:val="nil"/>
                    <w:left w:val="nil"/>
                    <w:bottom w:val="nil"/>
                    <w:right w:val="nil"/>
                  </w:tcBorders>
                  <w:shd w:val="clear" w:color="auto" w:fill="auto"/>
                  <w:vAlign w:val="bottom"/>
                </w:tcPr>
                <w:p w14:paraId="7954D18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68</w:t>
                  </w:r>
                </w:p>
              </w:tc>
              <w:tc>
                <w:tcPr>
                  <w:tcW w:w="553" w:type="pct"/>
                  <w:tcBorders>
                    <w:top w:val="nil"/>
                    <w:left w:val="nil"/>
                    <w:bottom w:val="nil"/>
                    <w:right w:val="nil"/>
                  </w:tcBorders>
                  <w:shd w:val="clear" w:color="auto" w:fill="auto"/>
                  <w:vAlign w:val="bottom"/>
                </w:tcPr>
                <w:p w14:paraId="7954D18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38 </w:t>
                  </w:r>
                </w:p>
              </w:tc>
            </w:tr>
            <w:tr w:rsidR="00F05DC7" w:rsidRPr="00A75ED1" w14:paraId="7954D198" w14:textId="77777777" w:rsidTr="00A3786D">
              <w:tc>
                <w:tcPr>
                  <w:tcW w:w="556" w:type="pct"/>
                </w:tcPr>
                <w:p w14:paraId="7954D18F"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D190" w14:textId="77777777" w:rsidR="00F05DC7" w:rsidRPr="00A75ED1" w:rsidRDefault="00F05DC7" w:rsidP="00A3786D">
                  <w:pPr>
                    <w:pStyle w:val="TableBodyText"/>
                    <w:rPr>
                      <w:rFonts w:cs="Arial"/>
                      <w:szCs w:val="18"/>
                    </w:rPr>
                  </w:pPr>
                  <w:r w:rsidRPr="00A75ED1">
                    <w:rPr>
                      <w:rFonts w:cs="Arial"/>
                      <w:color w:val="000000"/>
                      <w:szCs w:val="18"/>
                    </w:rPr>
                    <w:t>669</w:t>
                  </w:r>
                </w:p>
              </w:tc>
              <w:tc>
                <w:tcPr>
                  <w:tcW w:w="557" w:type="pct"/>
                  <w:tcBorders>
                    <w:top w:val="nil"/>
                    <w:left w:val="nil"/>
                    <w:bottom w:val="nil"/>
                    <w:right w:val="nil"/>
                  </w:tcBorders>
                  <w:shd w:val="clear" w:color="auto" w:fill="auto"/>
                  <w:vAlign w:val="bottom"/>
                </w:tcPr>
                <w:p w14:paraId="7954D19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1286</w:t>
                  </w:r>
                </w:p>
              </w:tc>
              <w:tc>
                <w:tcPr>
                  <w:tcW w:w="556" w:type="pct"/>
                  <w:tcBorders>
                    <w:top w:val="nil"/>
                    <w:left w:val="nil"/>
                    <w:bottom w:val="nil"/>
                    <w:right w:val="nil"/>
                  </w:tcBorders>
                  <w:shd w:val="clear" w:color="auto" w:fill="auto"/>
                  <w:vAlign w:val="bottom"/>
                </w:tcPr>
                <w:p w14:paraId="7954D19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1055</w:t>
                  </w:r>
                </w:p>
              </w:tc>
              <w:tc>
                <w:tcPr>
                  <w:tcW w:w="556" w:type="pct"/>
                  <w:tcBorders>
                    <w:top w:val="nil"/>
                    <w:left w:val="nil"/>
                    <w:bottom w:val="nil"/>
                    <w:right w:val="nil"/>
                  </w:tcBorders>
                  <w:shd w:val="clear" w:color="auto" w:fill="auto"/>
                  <w:vAlign w:val="bottom"/>
                </w:tcPr>
                <w:p w14:paraId="7954D193" w14:textId="77777777" w:rsidR="00F05DC7" w:rsidRPr="00A75ED1" w:rsidRDefault="00F05DC7" w:rsidP="00A3786D">
                  <w:pPr>
                    <w:pStyle w:val="TableBodyText"/>
                    <w:rPr>
                      <w:rFonts w:cs="Arial"/>
                      <w:szCs w:val="18"/>
                    </w:rPr>
                  </w:pPr>
                  <w:r w:rsidRPr="00A75ED1">
                    <w:rPr>
                      <w:rFonts w:cs="Arial"/>
                      <w:color w:val="000000"/>
                      <w:szCs w:val="18"/>
                    </w:rPr>
                    <w:t>2269</w:t>
                  </w:r>
                </w:p>
              </w:tc>
              <w:tc>
                <w:tcPr>
                  <w:tcW w:w="555" w:type="pct"/>
                  <w:tcBorders>
                    <w:top w:val="nil"/>
                    <w:left w:val="nil"/>
                    <w:bottom w:val="nil"/>
                    <w:right w:val="nil"/>
                  </w:tcBorders>
                  <w:shd w:val="clear" w:color="auto" w:fill="auto"/>
                  <w:vAlign w:val="bottom"/>
                </w:tcPr>
                <w:p w14:paraId="7954D19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354</w:t>
                  </w:r>
                </w:p>
              </w:tc>
              <w:tc>
                <w:tcPr>
                  <w:tcW w:w="555" w:type="pct"/>
                  <w:tcBorders>
                    <w:top w:val="nil"/>
                    <w:left w:val="nil"/>
                    <w:bottom w:val="nil"/>
                    <w:right w:val="nil"/>
                  </w:tcBorders>
                  <w:shd w:val="clear" w:color="auto" w:fill="auto"/>
                  <w:vAlign w:val="bottom"/>
                </w:tcPr>
                <w:p w14:paraId="7954D19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106</w:t>
                  </w:r>
                </w:p>
              </w:tc>
              <w:tc>
                <w:tcPr>
                  <w:tcW w:w="555" w:type="pct"/>
                  <w:tcBorders>
                    <w:top w:val="nil"/>
                    <w:left w:val="nil"/>
                    <w:bottom w:val="nil"/>
                    <w:right w:val="nil"/>
                  </w:tcBorders>
                  <w:shd w:val="clear" w:color="auto" w:fill="auto"/>
                  <w:vAlign w:val="bottom"/>
                </w:tcPr>
                <w:p w14:paraId="7954D19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88</w:t>
                  </w:r>
                </w:p>
              </w:tc>
              <w:tc>
                <w:tcPr>
                  <w:tcW w:w="553" w:type="pct"/>
                  <w:tcBorders>
                    <w:top w:val="nil"/>
                    <w:left w:val="nil"/>
                    <w:bottom w:val="nil"/>
                    <w:right w:val="nil"/>
                  </w:tcBorders>
                  <w:shd w:val="clear" w:color="auto" w:fill="auto"/>
                  <w:vAlign w:val="bottom"/>
                </w:tcPr>
                <w:p w14:paraId="7954D19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49 </w:t>
                  </w:r>
                </w:p>
              </w:tc>
            </w:tr>
            <w:tr w:rsidR="00F05DC7" w:rsidRPr="00A75ED1" w14:paraId="7954D1A2" w14:textId="77777777" w:rsidTr="00A3786D">
              <w:tc>
                <w:tcPr>
                  <w:tcW w:w="556" w:type="pct"/>
                </w:tcPr>
                <w:p w14:paraId="7954D199"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D19A" w14:textId="77777777" w:rsidR="00F05DC7" w:rsidRPr="00A75ED1" w:rsidRDefault="00F05DC7" w:rsidP="00A3786D">
                  <w:pPr>
                    <w:pStyle w:val="TableBodyText"/>
                    <w:rPr>
                      <w:rFonts w:cs="Arial"/>
                      <w:szCs w:val="18"/>
                    </w:rPr>
                  </w:pPr>
                  <w:r w:rsidRPr="00A75ED1">
                    <w:rPr>
                      <w:rFonts w:cs="Arial"/>
                      <w:color w:val="000000"/>
                      <w:szCs w:val="18"/>
                    </w:rPr>
                    <w:t>846</w:t>
                  </w:r>
                </w:p>
              </w:tc>
              <w:tc>
                <w:tcPr>
                  <w:tcW w:w="557" w:type="pct"/>
                  <w:tcBorders>
                    <w:top w:val="nil"/>
                    <w:left w:val="nil"/>
                    <w:bottom w:val="nil"/>
                    <w:right w:val="nil"/>
                  </w:tcBorders>
                  <w:shd w:val="clear" w:color="auto" w:fill="auto"/>
                  <w:vAlign w:val="bottom"/>
                </w:tcPr>
                <w:p w14:paraId="7954D19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1634</w:t>
                  </w:r>
                </w:p>
              </w:tc>
              <w:tc>
                <w:tcPr>
                  <w:tcW w:w="556" w:type="pct"/>
                  <w:tcBorders>
                    <w:top w:val="nil"/>
                    <w:left w:val="nil"/>
                    <w:bottom w:val="nil"/>
                    <w:right w:val="nil"/>
                  </w:tcBorders>
                  <w:shd w:val="clear" w:color="auto" w:fill="auto"/>
                  <w:vAlign w:val="bottom"/>
                </w:tcPr>
                <w:p w14:paraId="7954D19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1324</w:t>
                  </w:r>
                </w:p>
              </w:tc>
              <w:tc>
                <w:tcPr>
                  <w:tcW w:w="556" w:type="pct"/>
                  <w:tcBorders>
                    <w:top w:val="nil"/>
                    <w:left w:val="nil"/>
                    <w:bottom w:val="nil"/>
                    <w:right w:val="nil"/>
                  </w:tcBorders>
                  <w:shd w:val="clear" w:color="auto" w:fill="auto"/>
                  <w:vAlign w:val="bottom"/>
                </w:tcPr>
                <w:p w14:paraId="7954D19D" w14:textId="77777777" w:rsidR="00F05DC7" w:rsidRPr="00A75ED1" w:rsidRDefault="00F05DC7" w:rsidP="00A3786D">
                  <w:pPr>
                    <w:pStyle w:val="TableBodyText"/>
                    <w:rPr>
                      <w:rFonts w:cs="Arial"/>
                      <w:szCs w:val="18"/>
                    </w:rPr>
                  </w:pPr>
                  <w:r w:rsidRPr="00A75ED1">
                    <w:rPr>
                      <w:rFonts w:cs="Arial"/>
                      <w:color w:val="000000"/>
                      <w:szCs w:val="18"/>
                    </w:rPr>
                    <w:t>2855</w:t>
                  </w:r>
                </w:p>
              </w:tc>
              <w:tc>
                <w:tcPr>
                  <w:tcW w:w="555" w:type="pct"/>
                  <w:tcBorders>
                    <w:top w:val="nil"/>
                    <w:left w:val="nil"/>
                    <w:bottom w:val="nil"/>
                    <w:right w:val="nil"/>
                  </w:tcBorders>
                  <w:shd w:val="clear" w:color="auto" w:fill="auto"/>
                  <w:vAlign w:val="bottom"/>
                </w:tcPr>
                <w:p w14:paraId="7954D19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441</w:t>
                  </w:r>
                </w:p>
              </w:tc>
              <w:tc>
                <w:tcPr>
                  <w:tcW w:w="555" w:type="pct"/>
                  <w:tcBorders>
                    <w:top w:val="nil"/>
                    <w:left w:val="nil"/>
                    <w:bottom w:val="nil"/>
                    <w:right w:val="nil"/>
                  </w:tcBorders>
                  <w:shd w:val="clear" w:color="auto" w:fill="auto"/>
                  <w:vAlign w:val="bottom"/>
                </w:tcPr>
                <w:p w14:paraId="7954D19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131</w:t>
                  </w:r>
                </w:p>
              </w:tc>
              <w:tc>
                <w:tcPr>
                  <w:tcW w:w="555" w:type="pct"/>
                  <w:tcBorders>
                    <w:top w:val="nil"/>
                    <w:left w:val="nil"/>
                    <w:bottom w:val="nil"/>
                    <w:right w:val="nil"/>
                  </w:tcBorders>
                  <w:shd w:val="clear" w:color="auto" w:fill="auto"/>
                  <w:vAlign w:val="bottom"/>
                </w:tcPr>
                <w:p w14:paraId="7954D1A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111</w:t>
                  </w:r>
                </w:p>
              </w:tc>
              <w:tc>
                <w:tcPr>
                  <w:tcW w:w="553" w:type="pct"/>
                  <w:tcBorders>
                    <w:top w:val="nil"/>
                    <w:left w:val="nil"/>
                    <w:bottom w:val="nil"/>
                    <w:right w:val="nil"/>
                  </w:tcBorders>
                  <w:shd w:val="clear" w:color="auto" w:fill="auto"/>
                  <w:vAlign w:val="bottom"/>
                </w:tcPr>
                <w:p w14:paraId="7954D1A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61 </w:t>
                  </w:r>
                </w:p>
              </w:tc>
            </w:tr>
            <w:tr w:rsidR="00F05DC7" w:rsidRPr="00A75ED1" w14:paraId="7954D1AC" w14:textId="77777777" w:rsidTr="00A3786D">
              <w:tc>
                <w:tcPr>
                  <w:tcW w:w="556" w:type="pct"/>
                </w:tcPr>
                <w:p w14:paraId="7954D1A3"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D1A4" w14:textId="77777777" w:rsidR="00F05DC7" w:rsidRPr="00A75ED1" w:rsidRDefault="00F05DC7" w:rsidP="00A3786D">
                  <w:pPr>
                    <w:pStyle w:val="TableBodyText"/>
                    <w:rPr>
                      <w:rFonts w:cs="Arial"/>
                      <w:szCs w:val="18"/>
                    </w:rPr>
                  </w:pPr>
                  <w:r w:rsidRPr="00A75ED1">
                    <w:rPr>
                      <w:rFonts w:cs="Arial"/>
                      <w:color w:val="000000"/>
                      <w:szCs w:val="18"/>
                    </w:rPr>
                    <w:t>1041</w:t>
                  </w:r>
                </w:p>
              </w:tc>
              <w:tc>
                <w:tcPr>
                  <w:tcW w:w="557" w:type="pct"/>
                  <w:tcBorders>
                    <w:top w:val="nil"/>
                    <w:left w:val="nil"/>
                    <w:bottom w:val="nil"/>
                    <w:right w:val="nil"/>
                  </w:tcBorders>
                  <w:shd w:val="clear" w:color="auto" w:fill="auto"/>
                  <w:vAlign w:val="bottom"/>
                </w:tcPr>
                <w:p w14:paraId="7954D1A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2017</w:t>
                  </w:r>
                </w:p>
              </w:tc>
              <w:tc>
                <w:tcPr>
                  <w:tcW w:w="556" w:type="pct"/>
                  <w:tcBorders>
                    <w:top w:val="nil"/>
                    <w:left w:val="nil"/>
                    <w:bottom w:val="nil"/>
                    <w:right w:val="nil"/>
                  </w:tcBorders>
                  <w:shd w:val="clear" w:color="auto" w:fill="auto"/>
                  <w:vAlign w:val="bottom"/>
                </w:tcPr>
                <w:p w14:paraId="7954D1A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1615</w:t>
                  </w:r>
                </w:p>
              </w:tc>
              <w:tc>
                <w:tcPr>
                  <w:tcW w:w="556" w:type="pct"/>
                  <w:tcBorders>
                    <w:top w:val="nil"/>
                    <w:left w:val="nil"/>
                    <w:bottom w:val="nil"/>
                    <w:right w:val="nil"/>
                  </w:tcBorders>
                  <w:shd w:val="clear" w:color="auto" w:fill="auto"/>
                  <w:vAlign w:val="bottom"/>
                </w:tcPr>
                <w:p w14:paraId="7954D1A7" w14:textId="77777777" w:rsidR="00F05DC7" w:rsidRPr="00A75ED1" w:rsidRDefault="00F05DC7" w:rsidP="00A3786D">
                  <w:pPr>
                    <w:pStyle w:val="TableBodyText"/>
                    <w:rPr>
                      <w:rFonts w:cs="Arial"/>
                      <w:szCs w:val="18"/>
                    </w:rPr>
                  </w:pPr>
                  <w:r w:rsidRPr="00A75ED1">
                    <w:rPr>
                      <w:rFonts w:cs="Arial"/>
                      <w:color w:val="000000"/>
                      <w:szCs w:val="18"/>
                    </w:rPr>
                    <w:t>3492</w:t>
                  </w:r>
                </w:p>
              </w:tc>
              <w:tc>
                <w:tcPr>
                  <w:tcW w:w="555" w:type="pct"/>
                  <w:tcBorders>
                    <w:top w:val="nil"/>
                    <w:left w:val="nil"/>
                    <w:bottom w:val="nil"/>
                    <w:right w:val="nil"/>
                  </w:tcBorders>
                  <w:shd w:val="clear" w:color="auto" w:fill="auto"/>
                  <w:vAlign w:val="bottom"/>
                </w:tcPr>
                <w:p w14:paraId="7954D1A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534</w:t>
                  </w:r>
                </w:p>
              </w:tc>
              <w:tc>
                <w:tcPr>
                  <w:tcW w:w="555" w:type="pct"/>
                  <w:tcBorders>
                    <w:top w:val="nil"/>
                    <w:left w:val="nil"/>
                    <w:bottom w:val="nil"/>
                    <w:right w:val="nil"/>
                  </w:tcBorders>
                  <w:shd w:val="clear" w:color="auto" w:fill="auto"/>
                  <w:vAlign w:val="bottom"/>
                </w:tcPr>
                <w:p w14:paraId="7954D1A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159</w:t>
                  </w:r>
                </w:p>
              </w:tc>
              <w:tc>
                <w:tcPr>
                  <w:tcW w:w="555" w:type="pct"/>
                  <w:tcBorders>
                    <w:top w:val="nil"/>
                    <w:left w:val="nil"/>
                    <w:bottom w:val="nil"/>
                    <w:right w:val="nil"/>
                  </w:tcBorders>
                  <w:shd w:val="clear" w:color="auto" w:fill="auto"/>
                  <w:vAlign w:val="bottom"/>
                </w:tcPr>
                <w:p w14:paraId="7954D1A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136</w:t>
                  </w:r>
                </w:p>
              </w:tc>
              <w:tc>
                <w:tcPr>
                  <w:tcW w:w="553" w:type="pct"/>
                  <w:tcBorders>
                    <w:top w:val="nil"/>
                    <w:left w:val="nil"/>
                    <w:bottom w:val="nil"/>
                    <w:right w:val="nil"/>
                  </w:tcBorders>
                  <w:shd w:val="clear" w:color="auto" w:fill="auto"/>
                  <w:vAlign w:val="bottom"/>
                </w:tcPr>
                <w:p w14:paraId="7954D1A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 xml:space="preserve">73 </w:t>
                  </w:r>
                </w:p>
              </w:tc>
            </w:tr>
            <w:tr w:rsidR="00F05DC7" w:rsidRPr="00A75ED1" w14:paraId="7954D1B6" w14:textId="77777777" w:rsidTr="002341D7">
              <w:tc>
                <w:tcPr>
                  <w:tcW w:w="556" w:type="pct"/>
                </w:tcPr>
                <w:p w14:paraId="7954D1AD"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D1AE" w14:textId="77777777" w:rsidR="00F05DC7" w:rsidRPr="00A75ED1" w:rsidRDefault="00F05DC7" w:rsidP="00A3786D">
                  <w:pPr>
                    <w:pStyle w:val="TableBodyText"/>
                    <w:rPr>
                      <w:rFonts w:cs="Arial"/>
                      <w:szCs w:val="18"/>
                    </w:rPr>
                  </w:pPr>
                  <w:r w:rsidRPr="00A75ED1">
                    <w:rPr>
                      <w:rFonts w:cs="Arial"/>
                      <w:color w:val="000000"/>
                      <w:szCs w:val="18"/>
                    </w:rPr>
                    <w:t>1255</w:t>
                  </w:r>
                </w:p>
              </w:tc>
              <w:tc>
                <w:tcPr>
                  <w:tcW w:w="557" w:type="pct"/>
                  <w:tcBorders>
                    <w:top w:val="nil"/>
                    <w:left w:val="nil"/>
                    <w:right w:val="nil"/>
                  </w:tcBorders>
                  <w:shd w:val="clear" w:color="auto" w:fill="auto"/>
                  <w:vAlign w:val="bottom"/>
                </w:tcPr>
                <w:p w14:paraId="7954D1A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2439</w:t>
                  </w:r>
                </w:p>
              </w:tc>
              <w:tc>
                <w:tcPr>
                  <w:tcW w:w="556" w:type="pct"/>
                  <w:tcBorders>
                    <w:top w:val="nil"/>
                    <w:left w:val="nil"/>
                    <w:right w:val="nil"/>
                  </w:tcBorders>
                  <w:shd w:val="clear" w:color="auto" w:fill="auto"/>
                  <w:vAlign w:val="bottom"/>
                </w:tcPr>
                <w:p w14:paraId="7954D1B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1929</w:t>
                  </w:r>
                </w:p>
              </w:tc>
              <w:tc>
                <w:tcPr>
                  <w:tcW w:w="556" w:type="pct"/>
                  <w:tcBorders>
                    <w:top w:val="nil"/>
                    <w:left w:val="nil"/>
                    <w:right w:val="nil"/>
                  </w:tcBorders>
                  <w:shd w:val="clear" w:color="auto" w:fill="auto"/>
                  <w:vAlign w:val="bottom"/>
                </w:tcPr>
                <w:p w14:paraId="7954D1B1" w14:textId="77777777" w:rsidR="00F05DC7" w:rsidRPr="00A75ED1" w:rsidRDefault="00F05DC7" w:rsidP="00A3786D">
                  <w:pPr>
                    <w:pStyle w:val="TableBodyText"/>
                    <w:rPr>
                      <w:rFonts w:cs="Arial"/>
                      <w:szCs w:val="18"/>
                    </w:rPr>
                  </w:pPr>
                  <w:r w:rsidRPr="00A75ED1">
                    <w:rPr>
                      <w:rFonts w:cs="Arial"/>
                      <w:color w:val="000000"/>
                      <w:szCs w:val="18"/>
                    </w:rPr>
                    <w:t>4183</w:t>
                  </w:r>
                </w:p>
              </w:tc>
              <w:tc>
                <w:tcPr>
                  <w:tcW w:w="555" w:type="pct"/>
                  <w:tcBorders>
                    <w:top w:val="nil"/>
                    <w:left w:val="nil"/>
                    <w:right w:val="nil"/>
                  </w:tcBorders>
                  <w:shd w:val="clear" w:color="auto" w:fill="auto"/>
                  <w:vAlign w:val="bottom"/>
                </w:tcPr>
                <w:p w14:paraId="7954D1B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633</w:t>
                  </w:r>
                </w:p>
              </w:tc>
              <w:tc>
                <w:tcPr>
                  <w:tcW w:w="555" w:type="pct"/>
                  <w:tcBorders>
                    <w:top w:val="nil"/>
                    <w:left w:val="nil"/>
                    <w:right w:val="nil"/>
                  </w:tcBorders>
                  <w:shd w:val="clear" w:color="auto" w:fill="auto"/>
                  <w:vAlign w:val="bottom"/>
                </w:tcPr>
                <w:p w14:paraId="7954D1B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188</w:t>
                  </w:r>
                </w:p>
              </w:tc>
              <w:tc>
                <w:tcPr>
                  <w:tcW w:w="555" w:type="pct"/>
                  <w:tcBorders>
                    <w:top w:val="nil"/>
                    <w:left w:val="nil"/>
                    <w:right w:val="nil"/>
                  </w:tcBorders>
                  <w:shd w:val="clear" w:color="auto" w:fill="auto"/>
                  <w:vAlign w:val="bottom"/>
                </w:tcPr>
                <w:p w14:paraId="7954D1B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162</w:t>
                  </w:r>
                </w:p>
              </w:tc>
              <w:tc>
                <w:tcPr>
                  <w:tcW w:w="553" w:type="pct"/>
                  <w:tcBorders>
                    <w:top w:val="nil"/>
                    <w:left w:val="nil"/>
                    <w:right w:val="nil"/>
                  </w:tcBorders>
                  <w:shd w:val="clear" w:color="auto" w:fill="auto"/>
                  <w:vAlign w:val="bottom"/>
                </w:tcPr>
                <w:p w14:paraId="7954D1B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86</w:t>
                  </w:r>
                </w:p>
              </w:tc>
            </w:tr>
            <w:tr w:rsidR="00F05DC7" w:rsidRPr="00A75ED1" w14:paraId="7954D1B8" w14:textId="77777777" w:rsidTr="002341D7">
              <w:tc>
                <w:tcPr>
                  <w:tcW w:w="5000" w:type="pct"/>
                  <w:gridSpan w:val="9"/>
                  <w:shd w:val="clear" w:color="auto" w:fill="F2F2F2" w:themeFill="background1" w:themeFillShade="F2"/>
                </w:tcPr>
                <w:p w14:paraId="7954D1B7"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D1C2" w14:textId="77777777" w:rsidTr="00A3786D">
              <w:tc>
                <w:tcPr>
                  <w:tcW w:w="556" w:type="pct"/>
                  <w:vAlign w:val="bottom"/>
                </w:tcPr>
                <w:p w14:paraId="7954D1B9"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D1BA" w14:textId="77777777" w:rsidR="00F05DC7" w:rsidRPr="00A75ED1" w:rsidRDefault="00F05DC7" w:rsidP="00A3786D">
                  <w:pPr>
                    <w:pStyle w:val="TableBodyText"/>
                    <w:rPr>
                      <w:rFonts w:cs="Arial"/>
                      <w:szCs w:val="18"/>
                    </w:rPr>
                  </w:pPr>
                  <w:r w:rsidRPr="00A75ED1">
                    <w:rPr>
                      <w:rFonts w:cs="Arial"/>
                      <w:color w:val="000000"/>
                      <w:szCs w:val="18"/>
                    </w:rPr>
                    <w:t>13</w:t>
                  </w:r>
                </w:p>
              </w:tc>
              <w:tc>
                <w:tcPr>
                  <w:tcW w:w="557" w:type="pct"/>
                  <w:tcBorders>
                    <w:top w:val="nil"/>
                    <w:left w:val="nil"/>
                    <w:bottom w:val="nil"/>
                    <w:right w:val="nil"/>
                  </w:tcBorders>
                  <w:shd w:val="clear" w:color="auto" w:fill="FFFFFF" w:themeFill="background1"/>
                  <w:vAlign w:val="bottom"/>
                </w:tcPr>
                <w:p w14:paraId="7954D1B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w:t>
                  </w:r>
                </w:p>
              </w:tc>
              <w:tc>
                <w:tcPr>
                  <w:tcW w:w="556" w:type="pct"/>
                  <w:tcBorders>
                    <w:top w:val="nil"/>
                    <w:left w:val="nil"/>
                    <w:bottom w:val="nil"/>
                    <w:right w:val="nil"/>
                  </w:tcBorders>
                  <w:shd w:val="clear" w:color="auto" w:fill="FFFFFF" w:themeFill="background1"/>
                  <w:vAlign w:val="bottom"/>
                </w:tcPr>
                <w:p w14:paraId="7954D1B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w:t>
                  </w:r>
                </w:p>
              </w:tc>
              <w:tc>
                <w:tcPr>
                  <w:tcW w:w="556" w:type="pct"/>
                  <w:tcBorders>
                    <w:top w:val="nil"/>
                    <w:left w:val="nil"/>
                    <w:bottom w:val="nil"/>
                    <w:right w:val="nil"/>
                  </w:tcBorders>
                  <w:shd w:val="clear" w:color="auto" w:fill="FFFFFF" w:themeFill="background1"/>
                  <w:vAlign w:val="bottom"/>
                </w:tcPr>
                <w:p w14:paraId="7954D1BD" w14:textId="77777777" w:rsidR="00F05DC7" w:rsidRPr="00A75ED1" w:rsidRDefault="00F05DC7" w:rsidP="00A3786D">
                  <w:pPr>
                    <w:pStyle w:val="TableBodyText"/>
                    <w:rPr>
                      <w:rFonts w:cs="Arial"/>
                      <w:szCs w:val="18"/>
                    </w:rPr>
                  </w:pPr>
                  <w:r w:rsidRPr="00A75ED1">
                    <w:rPr>
                      <w:rFonts w:cs="Arial"/>
                      <w:color w:val="000000"/>
                      <w:szCs w:val="18"/>
                    </w:rPr>
                    <w:t>142</w:t>
                  </w:r>
                </w:p>
              </w:tc>
              <w:tc>
                <w:tcPr>
                  <w:tcW w:w="555" w:type="pct"/>
                  <w:tcBorders>
                    <w:top w:val="nil"/>
                    <w:left w:val="nil"/>
                    <w:bottom w:val="nil"/>
                    <w:right w:val="nil"/>
                  </w:tcBorders>
                  <w:shd w:val="clear" w:color="auto" w:fill="FFFFFF" w:themeFill="background1"/>
                  <w:vAlign w:val="bottom"/>
                </w:tcPr>
                <w:p w14:paraId="7954D1B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w:t>
                  </w:r>
                </w:p>
              </w:tc>
              <w:tc>
                <w:tcPr>
                  <w:tcW w:w="555" w:type="pct"/>
                  <w:tcBorders>
                    <w:top w:val="nil"/>
                    <w:left w:val="nil"/>
                    <w:bottom w:val="nil"/>
                    <w:right w:val="nil"/>
                  </w:tcBorders>
                  <w:shd w:val="clear" w:color="auto" w:fill="FFFFFF" w:themeFill="background1"/>
                  <w:vAlign w:val="bottom"/>
                </w:tcPr>
                <w:p w14:paraId="7954D1B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w:t>
                  </w:r>
                </w:p>
              </w:tc>
              <w:tc>
                <w:tcPr>
                  <w:tcW w:w="555" w:type="pct"/>
                  <w:tcBorders>
                    <w:top w:val="nil"/>
                    <w:left w:val="nil"/>
                    <w:bottom w:val="nil"/>
                    <w:right w:val="nil"/>
                  </w:tcBorders>
                  <w:shd w:val="clear" w:color="auto" w:fill="FFFFFF" w:themeFill="background1"/>
                  <w:vAlign w:val="bottom"/>
                </w:tcPr>
                <w:p w14:paraId="7954D1C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w:t>
                  </w:r>
                </w:p>
              </w:tc>
              <w:tc>
                <w:tcPr>
                  <w:tcW w:w="553" w:type="pct"/>
                  <w:tcBorders>
                    <w:top w:val="nil"/>
                    <w:left w:val="nil"/>
                    <w:bottom w:val="nil"/>
                    <w:right w:val="nil"/>
                  </w:tcBorders>
                  <w:shd w:val="clear" w:color="auto" w:fill="FFFFFF" w:themeFill="background1"/>
                  <w:vAlign w:val="bottom"/>
                </w:tcPr>
                <w:p w14:paraId="7954D1C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35</w:t>
                  </w:r>
                </w:p>
              </w:tc>
            </w:tr>
            <w:tr w:rsidR="00F05DC7" w:rsidRPr="00A75ED1" w14:paraId="7954D1CC" w14:textId="77777777" w:rsidTr="00A3786D">
              <w:tc>
                <w:tcPr>
                  <w:tcW w:w="556" w:type="pct"/>
                  <w:vAlign w:val="bottom"/>
                </w:tcPr>
                <w:p w14:paraId="7954D1C3"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D1C4" w14:textId="77777777" w:rsidR="00F05DC7" w:rsidRPr="00A75ED1" w:rsidRDefault="00F05DC7" w:rsidP="00A3786D">
                  <w:pPr>
                    <w:pStyle w:val="TableBodyText"/>
                    <w:rPr>
                      <w:rFonts w:cs="Arial"/>
                      <w:szCs w:val="18"/>
                    </w:rPr>
                  </w:pPr>
                  <w:r w:rsidRPr="00A75ED1">
                    <w:rPr>
                      <w:rFonts w:cs="Arial"/>
                      <w:color w:val="000000"/>
                      <w:szCs w:val="18"/>
                    </w:rPr>
                    <w:t>28</w:t>
                  </w:r>
                </w:p>
              </w:tc>
              <w:tc>
                <w:tcPr>
                  <w:tcW w:w="557" w:type="pct"/>
                  <w:tcBorders>
                    <w:top w:val="nil"/>
                    <w:left w:val="nil"/>
                    <w:bottom w:val="nil"/>
                    <w:right w:val="nil"/>
                  </w:tcBorders>
                  <w:shd w:val="clear" w:color="auto" w:fill="FFFFFF" w:themeFill="background1"/>
                  <w:vAlign w:val="bottom"/>
                </w:tcPr>
                <w:p w14:paraId="7954D1C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64</w:t>
                  </w:r>
                </w:p>
              </w:tc>
              <w:tc>
                <w:tcPr>
                  <w:tcW w:w="556" w:type="pct"/>
                  <w:tcBorders>
                    <w:top w:val="nil"/>
                    <w:left w:val="nil"/>
                    <w:bottom w:val="nil"/>
                    <w:right w:val="nil"/>
                  </w:tcBorders>
                  <w:shd w:val="clear" w:color="auto" w:fill="FFFFFF" w:themeFill="background1"/>
                  <w:vAlign w:val="bottom"/>
                </w:tcPr>
                <w:p w14:paraId="7954D1C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71</w:t>
                  </w:r>
                </w:p>
              </w:tc>
              <w:tc>
                <w:tcPr>
                  <w:tcW w:w="556" w:type="pct"/>
                  <w:tcBorders>
                    <w:top w:val="nil"/>
                    <w:left w:val="nil"/>
                    <w:bottom w:val="nil"/>
                    <w:right w:val="nil"/>
                  </w:tcBorders>
                  <w:shd w:val="clear" w:color="auto" w:fill="FFFFFF" w:themeFill="background1"/>
                  <w:vAlign w:val="bottom"/>
                </w:tcPr>
                <w:p w14:paraId="7954D1C7" w14:textId="77777777" w:rsidR="00F05DC7" w:rsidRPr="00A75ED1" w:rsidRDefault="00F05DC7" w:rsidP="00A3786D">
                  <w:pPr>
                    <w:pStyle w:val="TableBodyText"/>
                    <w:rPr>
                      <w:rFonts w:cs="Arial"/>
                      <w:szCs w:val="18"/>
                    </w:rPr>
                  </w:pPr>
                  <w:r w:rsidRPr="00A75ED1">
                    <w:rPr>
                      <w:rFonts w:cs="Arial"/>
                      <w:color w:val="000000"/>
                      <w:szCs w:val="18"/>
                    </w:rPr>
                    <w:t>294</w:t>
                  </w:r>
                </w:p>
              </w:tc>
              <w:tc>
                <w:tcPr>
                  <w:tcW w:w="555" w:type="pct"/>
                  <w:tcBorders>
                    <w:top w:val="nil"/>
                    <w:left w:val="nil"/>
                    <w:bottom w:val="nil"/>
                    <w:right w:val="nil"/>
                  </w:tcBorders>
                  <w:shd w:val="clear" w:color="auto" w:fill="FFFFFF" w:themeFill="background1"/>
                  <w:vAlign w:val="bottom"/>
                </w:tcPr>
                <w:p w14:paraId="7954D1C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71</w:t>
                  </w:r>
                </w:p>
              </w:tc>
              <w:tc>
                <w:tcPr>
                  <w:tcW w:w="555" w:type="pct"/>
                  <w:tcBorders>
                    <w:top w:val="nil"/>
                    <w:left w:val="nil"/>
                    <w:bottom w:val="nil"/>
                    <w:right w:val="nil"/>
                  </w:tcBorders>
                  <w:shd w:val="clear" w:color="auto" w:fill="FFFFFF" w:themeFill="background1"/>
                  <w:vAlign w:val="bottom"/>
                </w:tcPr>
                <w:p w14:paraId="7954D1C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71</w:t>
                  </w:r>
                </w:p>
              </w:tc>
              <w:tc>
                <w:tcPr>
                  <w:tcW w:w="555" w:type="pct"/>
                  <w:tcBorders>
                    <w:top w:val="nil"/>
                    <w:left w:val="nil"/>
                    <w:bottom w:val="nil"/>
                    <w:right w:val="nil"/>
                  </w:tcBorders>
                  <w:shd w:val="clear" w:color="auto" w:fill="FFFFFF" w:themeFill="background1"/>
                  <w:vAlign w:val="bottom"/>
                </w:tcPr>
                <w:p w14:paraId="7954D1C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71</w:t>
                  </w:r>
                </w:p>
              </w:tc>
              <w:tc>
                <w:tcPr>
                  <w:tcW w:w="553" w:type="pct"/>
                  <w:tcBorders>
                    <w:top w:val="nil"/>
                    <w:left w:val="nil"/>
                    <w:bottom w:val="nil"/>
                    <w:right w:val="nil"/>
                  </w:tcBorders>
                  <w:shd w:val="clear" w:color="auto" w:fill="FFFFFF" w:themeFill="background1"/>
                  <w:vAlign w:val="bottom"/>
                </w:tcPr>
                <w:p w14:paraId="7954D1C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71</w:t>
                  </w:r>
                </w:p>
              </w:tc>
            </w:tr>
            <w:tr w:rsidR="00F05DC7" w:rsidRPr="00A75ED1" w14:paraId="7954D1D6" w14:textId="77777777" w:rsidTr="00A3786D">
              <w:tc>
                <w:tcPr>
                  <w:tcW w:w="556" w:type="pct"/>
                  <w:vAlign w:val="bottom"/>
                </w:tcPr>
                <w:p w14:paraId="7954D1CD"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D1CE" w14:textId="77777777" w:rsidR="00F05DC7" w:rsidRPr="00A75ED1" w:rsidRDefault="00F05DC7" w:rsidP="00A3786D">
                  <w:pPr>
                    <w:pStyle w:val="TableBodyText"/>
                    <w:rPr>
                      <w:rFonts w:cs="Arial"/>
                      <w:szCs w:val="18"/>
                    </w:rPr>
                  </w:pPr>
                  <w:r w:rsidRPr="00A75ED1">
                    <w:rPr>
                      <w:rFonts w:cs="Arial"/>
                      <w:color w:val="000000"/>
                      <w:szCs w:val="18"/>
                    </w:rPr>
                    <w:t>43</w:t>
                  </w:r>
                </w:p>
              </w:tc>
              <w:tc>
                <w:tcPr>
                  <w:tcW w:w="557" w:type="pct"/>
                  <w:tcBorders>
                    <w:top w:val="nil"/>
                    <w:left w:val="nil"/>
                    <w:bottom w:val="nil"/>
                    <w:right w:val="nil"/>
                  </w:tcBorders>
                  <w:shd w:val="clear" w:color="auto" w:fill="FFFFFF" w:themeFill="background1"/>
                  <w:vAlign w:val="bottom"/>
                </w:tcPr>
                <w:p w14:paraId="7954D1C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100</w:t>
                  </w:r>
                </w:p>
              </w:tc>
              <w:tc>
                <w:tcPr>
                  <w:tcW w:w="556" w:type="pct"/>
                  <w:tcBorders>
                    <w:top w:val="nil"/>
                    <w:left w:val="nil"/>
                    <w:bottom w:val="nil"/>
                    <w:right w:val="nil"/>
                  </w:tcBorders>
                  <w:shd w:val="clear" w:color="auto" w:fill="FFFFFF" w:themeFill="background1"/>
                  <w:vAlign w:val="bottom"/>
                </w:tcPr>
                <w:p w14:paraId="7954D1D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111</w:t>
                  </w:r>
                </w:p>
              </w:tc>
              <w:tc>
                <w:tcPr>
                  <w:tcW w:w="556" w:type="pct"/>
                  <w:tcBorders>
                    <w:top w:val="nil"/>
                    <w:left w:val="nil"/>
                    <w:bottom w:val="nil"/>
                    <w:right w:val="nil"/>
                  </w:tcBorders>
                  <w:shd w:val="clear" w:color="auto" w:fill="FFFFFF" w:themeFill="background1"/>
                  <w:vAlign w:val="bottom"/>
                </w:tcPr>
                <w:p w14:paraId="7954D1D1" w14:textId="77777777" w:rsidR="00F05DC7" w:rsidRPr="00A75ED1" w:rsidRDefault="00F05DC7" w:rsidP="00A3786D">
                  <w:pPr>
                    <w:pStyle w:val="TableBodyText"/>
                    <w:rPr>
                      <w:rFonts w:cs="Arial"/>
                      <w:szCs w:val="18"/>
                    </w:rPr>
                  </w:pPr>
                  <w:r w:rsidRPr="00A75ED1">
                    <w:rPr>
                      <w:rFonts w:cs="Arial"/>
                      <w:color w:val="000000"/>
                      <w:szCs w:val="18"/>
                    </w:rPr>
                    <w:t>458</w:t>
                  </w:r>
                </w:p>
              </w:tc>
              <w:tc>
                <w:tcPr>
                  <w:tcW w:w="555" w:type="pct"/>
                  <w:tcBorders>
                    <w:top w:val="nil"/>
                    <w:left w:val="nil"/>
                    <w:bottom w:val="nil"/>
                    <w:right w:val="nil"/>
                  </w:tcBorders>
                  <w:shd w:val="clear" w:color="auto" w:fill="FFFFFF" w:themeFill="background1"/>
                  <w:vAlign w:val="bottom"/>
                </w:tcPr>
                <w:p w14:paraId="7954D1D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111</w:t>
                  </w:r>
                </w:p>
              </w:tc>
              <w:tc>
                <w:tcPr>
                  <w:tcW w:w="555" w:type="pct"/>
                  <w:tcBorders>
                    <w:top w:val="nil"/>
                    <w:left w:val="nil"/>
                    <w:bottom w:val="nil"/>
                    <w:right w:val="nil"/>
                  </w:tcBorders>
                  <w:shd w:val="clear" w:color="auto" w:fill="FFFFFF" w:themeFill="background1"/>
                  <w:vAlign w:val="bottom"/>
                </w:tcPr>
                <w:p w14:paraId="7954D1D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111</w:t>
                  </w:r>
                </w:p>
              </w:tc>
              <w:tc>
                <w:tcPr>
                  <w:tcW w:w="555" w:type="pct"/>
                  <w:tcBorders>
                    <w:top w:val="nil"/>
                    <w:left w:val="nil"/>
                    <w:bottom w:val="nil"/>
                    <w:right w:val="nil"/>
                  </w:tcBorders>
                  <w:shd w:val="clear" w:color="auto" w:fill="FFFFFF" w:themeFill="background1"/>
                  <w:vAlign w:val="bottom"/>
                </w:tcPr>
                <w:p w14:paraId="7954D1D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111</w:t>
                  </w:r>
                </w:p>
              </w:tc>
              <w:tc>
                <w:tcPr>
                  <w:tcW w:w="553" w:type="pct"/>
                  <w:tcBorders>
                    <w:top w:val="nil"/>
                    <w:left w:val="nil"/>
                    <w:bottom w:val="nil"/>
                    <w:right w:val="nil"/>
                  </w:tcBorders>
                  <w:shd w:val="clear" w:color="auto" w:fill="FFFFFF" w:themeFill="background1"/>
                  <w:vAlign w:val="bottom"/>
                </w:tcPr>
                <w:p w14:paraId="7954D1D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111</w:t>
                  </w:r>
                </w:p>
              </w:tc>
            </w:tr>
            <w:tr w:rsidR="00F05DC7" w:rsidRPr="00A75ED1" w14:paraId="7954D1E0" w14:textId="77777777" w:rsidTr="00A3786D">
              <w:tc>
                <w:tcPr>
                  <w:tcW w:w="556" w:type="pct"/>
                </w:tcPr>
                <w:p w14:paraId="7954D1D7"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D1D8" w14:textId="77777777" w:rsidR="00F05DC7" w:rsidRPr="00A75ED1" w:rsidRDefault="00F05DC7" w:rsidP="00A3786D">
                  <w:pPr>
                    <w:pStyle w:val="TableBodyText"/>
                    <w:rPr>
                      <w:rFonts w:cs="Arial"/>
                      <w:szCs w:val="18"/>
                    </w:rPr>
                  </w:pPr>
                  <w:r w:rsidRPr="00A75ED1">
                    <w:rPr>
                      <w:rFonts w:cs="Arial"/>
                      <w:color w:val="000000"/>
                      <w:szCs w:val="18"/>
                    </w:rPr>
                    <w:t>59</w:t>
                  </w:r>
                </w:p>
              </w:tc>
              <w:tc>
                <w:tcPr>
                  <w:tcW w:w="557" w:type="pct"/>
                  <w:tcBorders>
                    <w:top w:val="nil"/>
                    <w:left w:val="nil"/>
                    <w:bottom w:val="nil"/>
                    <w:right w:val="nil"/>
                  </w:tcBorders>
                  <w:shd w:val="clear" w:color="auto" w:fill="FFFFFF" w:themeFill="background1"/>
                  <w:vAlign w:val="bottom"/>
                </w:tcPr>
                <w:p w14:paraId="7954D1D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138</w:t>
                  </w:r>
                </w:p>
              </w:tc>
              <w:tc>
                <w:tcPr>
                  <w:tcW w:w="556" w:type="pct"/>
                  <w:tcBorders>
                    <w:top w:val="nil"/>
                    <w:left w:val="nil"/>
                    <w:bottom w:val="nil"/>
                    <w:right w:val="nil"/>
                  </w:tcBorders>
                  <w:shd w:val="clear" w:color="auto" w:fill="FFFFFF" w:themeFill="background1"/>
                  <w:vAlign w:val="bottom"/>
                </w:tcPr>
                <w:p w14:paraId="7954D1D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152</w:t>
                  </w:r>
                </w:p>
              </w:tc>
              <w:tc>
                <w:tcPr>
                  <w:tcW w:w="556" w:type="pct"/>
                  <w:tcBorders>
                    <w:top w:val="nil"/>
                    <w:left w:val="nil"/>
                    <w:bottom w:val="nil"/>
                    <w:right w:val="nil"/>
                  </w:tcBorders>
                  <w:shd w:val="clear" w:color="auto" w:fill="FFFFFF" w:themeFill="background1"/>
                  <w:vAlign w:val="bottom"/>
                </w:tcPr>
                <w:p w14:paraId="7954D1DB" w14:textId="77777777" w:rsidR="00F05DC7" w:rsidRPr="00A75ED1" w:rsidRDefault="00F05DC7" w:rsidP="00A3786D">
                  <w:pPr>
                    <w:pStyle w:val="TableBodyText"/>
                    <w:rPr>
                      <w:rFonts w:cs="Arial"/>
                      <w:szCs w:val="18"/>
                    </w:rPr>
                  </w:pPr>
                  <w:r w:rsidRPr="00A75ED1">
                    <w:rPr>
                      <w:rFonts w:cs="Arial"/>
                      <w:color w:val="000000"/>
                      <w:szCs w:val="18"/>
                    </w:rPr>
                    <w:t>633</w:t>
                  </w:r>
                </w:p>
              </w:tc>
              <w:tc>
                <w:tcPr>
                  <w:tcW w:w="555" w:type="pct"/>
                  <w:tcBorders>
                    <w:top w:val="nil"/>
                    <w:left w:val="nil"/>
                    <w:bottom w:val="nil"/>
                    <w:right w:val="nil"/>
                  </w:tcBorders>
                  <w:shd w:val="clear" w:color="auto" w:fill="FFFFFF" w:themeFill="background1"/>
                  <w:vAlign w:val="bottom"/>
                </w:tcPr>
                <w:p w14:paraId="7954D1D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152</w:t>
                  </w:r>
                </w:p>
              </w:tc>
              <w:tc>
                <w:tcPr>
                  <w:tcW w:w="555" w:type="pct"/>
                  <w:tcBorders>
                    <w:top w:val="nil"/>
                    <w:left w:val="nil"/>
                    <w:bottom w:val="nil"/>
                    <w:right w:val="nil"/>
                  </w:tcBorders>
                  <w:shd w:val="clear" w:color="auto" w:fill="FFFFFF" w:themeFill="background1"/>
                  <w:vAlign w:val="bottom"/>
                </w:tcPr>
                <w:p w14:paraId="7954D1D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152</w:t>
                  </w:r>
                </w:p>
              </w:tc>
              <w:tc>
                <w:tcPr>
                  <w:tcW w:w="555" w:type="pct"/>
                  <w:tcBorders>
                    <w:top w:val="nil"/>
                    <w:left w:val="nil"/>
                    <w:bottom w:val="nil"/>
                    <w:right w:val="nil"/>
                  </w:tcBorders>
                  <w:shd w:val="clear" w:color="auto" w:fill="FFFFFF" w:themeFill="background1"/>
                  <w:vAlign w:val="bottom"/>
                </w:tcPr>
                <w:p w14:paraId="7954D1D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152</w:t>
                  </w:r>
                </w:p>
              </w:tc>
              <w:tc>
                <w:tcPr>
                  <w:tcW w:w="553" w:type="pct"/>
                  <w:tcBorders>
                    <w:top w:val="nil"/>
                    <w:left w:val="nil"/>
                    <w:bottom w:val="nil"/>
                    <w:right w:val="nil"/>
                  </w:tcBorders>
                  <w:shd w:val="clear" w:color="auto" w:fill="FFFFFF" w:themeFill="background1"/>
                  <w:vAlign w:val="bottom"/>
                </w:tcPr>
                <w:p w14:paraId="7954D1D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152</w:t>
                  </w:r>
                </w:p>
              </w:tc>
            </w:tr>
            <w:tr w:rsidR="00F05DC7" w:rsidRPr="00A75ED1" w14:paraId="7954D1EA" w14:textId="77777777" w:rsidTr="00A3786D">
              <w:tc>
                <w:tcPr>
                  <w:tcW w:w="556" w:type="pct"/>
                </w:tcPr>
                <w:p w14:paraId="7954D1E1"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auto" w:fill="auto"/>
                  <w:vAlign w:val="bottom"/>
                </w:tcPr>
                <w:p w14:paraId="7954D1E2" w14:textId="77777777" w:rsidR="00F05DC7" w:rsidRPr="00A75ED1" w:rsidRDefault="00F05DC7" w:rsidP="00A3786D">
                  <w:pPr>
                    <w:pStyle w:val="TableBodyText"/>
                    <w:rPr>
                      <w:rFonts w:cs="Arial"/>
                      <w:szCs w:val="18"/>
                    </w:rPr>
                  </w:pPr>
                  <w:r w:rsidRPr="00A75ED1">
                    <w:rPr>
                      <w:rFonts w:cs="Arial"/>
                      <w:color w:val="000000"/>
                      <w:szCs w:val="18"/>
                    </w:rPr>
                    <w:t>77</w:t>
                  </w:r>
                </w:p>
              </w:tc>
              <w:tc>
                <w:tcPr>
                  <w:tcW w:w="557" w:type="pct"/>
                  <w:tcBorders>
                    <w:top w:val="nil"/>
                    <w:left w:val="nil"/>
                    <w:bottom w:val="nil"/>
                    <w:right w:val="nil"/>
                  </w:tcBorders>
                  <w:shd w:val="clear" w:color="auto" w:fill="auto"/>
                  <w:vAlign w:val="bottom"/>
                </w:tcPr>
                <w:p w14:paraId="7954D1E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179</w:t>
                  </w:r>
                </w:p>
              </w:tc>
              <w:tc>
                <w:tcPr>
                  <w:tcW w:w="556" w:type="pct"/>
                  <w:tcBorders>
                    <w:top w:val="nil"/>
                    <w:left w:val="nil"/>
                    <w:bottom w:val="nil"/>
                    <w:right w:val="nil"/>
                  </w:tcBorders>
                  <w:shd w:val="clear" w:color="auto" w:fill="auto"/>
                  <w:vAlign w:val="bottom"/>
                </w:tcPr>
                <w:p w14:paraId="7954D1E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196</w:t>
                  </w:r>
                </w:p>
              </w:tc>
              <w:tc>
                <w:tcPr>
                  <w:tcW w:w="556" w:type="pct"/>
                  <w:tcBorders>
                    <w:top w:val="nil"/>
                    <w:left w:val="nil"/>
                    <w:bottom w:val="nil"/>
                    <w:right w:val="nil"/>
                  </w:tcBorders>
                  <w:shd w:val="clear" w:color="auto" w:fill="auto"/>
                  <w:vAlign w:val="bottom"/>
                </w:tcPr>
                <w:p w14:paraId="7954D1E5" w14:textId="77777777" w:rsidR="00F05DC7" w:rsidRPr="00A75ED1" w:rsidRDefault="00F05DC7" w:rsidP="00A3786D">
                  <w:pPr>
                    <w:pStyle w:val="TableBodyText"/>
                    <w:rPr>
                      <w:rFonts w:cs="Arial"/>
                      <w:szCs w:val="18"/>
                    </w:rPr>
                  </w:pPr>
                  <w:r w:rsidRPr="00A75ED1">
                    <w:rPr>
                      <w:rFonts w:cs="Arial"/>
                      <w:color w:val="000000"/>
                      <w:szCs w:val="18"/>
                    </w:rPr>
                    <w:t>821</w:t>
                  </w:r>
                </w:p>
              </w:tc>
              <w:tc>
                <w:tcPr>
                  <w:tcW w:w="555" w:type="pct"/>
                  <w:tcBorders>
                    <w:top w:val="nil"/>
                    <w:left w:val="nil"/>
                    <w:bottom w:val="nil"/>
                    <w:right w:val="nil"/>
                  </w:tcBorders>
                  <w:shd w:val="clear" w:color="auto" w:fill="auto"/>
                  <w:vAlign w:val="bottom"/>
                </w:tcPr>
                <w:p w14:paraId="7954D1E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196</w:t>
                  </w:r>
                </w:p>
              </w:tc>
              <w:tc>
                <w:tcPr>
                  <w:tcW w:w="555" w:type="pct"/>
                  <w:tcBorders>
                    <w:top w:val="nil"/>
                    <w:left w:val="nil"/>
                    <w:bottom w:val="nil"/>
                    <w:right w:val="nil"/>
                  </w:tcBorders>
                  <w:shd w:val="clear" w:color="auto" w:fill="auto"/>
                  <w:vAlign w:val="bottom"/>
                </w:tcPr>
                <w:p w14:paraId="7954D1E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196</w:t>
                  </w:r>
                </w:p>
              </w:tc>
              <w:tc>
                <w:tcPr>
                  <w:tcW w:w="555" w:type="pct"/>
                  <w:tcBorders>
                    <w:top w:val="nil"/>
                    <w:left w:val="nil"/>
                    <w:bottom w:val="nil"/>
                    <w:right w:val="nil"/>
                  </w:tcBorders>
                  <w:shd w:val="clear" w:color="auto" w:fill="auto"/>
                  <w:vAlign w:val="bottom"/>
                </w:tcPr>
                <w:p w14:paraId="7954D1E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196</w:t>
                  </w:r>
                </w:p>
              </w:tc>
              <w:tc>
                <w:tcPr>
                  <w:tcW w:w="553" w:type="pct"/>
                  <w:tcBorders>
                    <w:top w:val="nil"/>
                    <w:left w:val="nil"/>
                    <w:bottom w:val="nil"/>
                    <w:right w:val="nil"/>
                  </w:tcBorders>
                  <w:shd w:val="clear" w:color="auto" w:fill="auto"/>
                  <w:vAlign w:val="bottom"/>
                </w:tcPr>
                <w:p w14:paraId="7954D1E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196</w:t>
                  </w:r>
                </w:p>
              </w:tc>
            </w:tr>
            <w:tr w:rsidR="00F05DC7" w:rsidRPr="00A75ED1" w14:paraId="7954D1F4" w14:textId="77777777" w:rsidTr="00A3786D">
              <w:tc>
                <w:tcPr>
                  <w:tcW w:w="556" w:type="pct"/>
                </w:tcPr>
                <w:p w14:paraId="7954D1EB"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auto" w:fill="auto"/>
                  <w:vAlign w:val="bottom"/>
                </w:tcPr>
                <w:p w14:paraId="7954D1EC" w14:textId="77777777" w:rsidR="00F05DC7" w:rsidRPr="00A75ED1" w:rsidRDefault="00F05DC7" w:rsidP="00A3786D">
                  <w:pPr>
                    <w:pStyle w:val="TableBodyText"/>
                    <w:rPr>
                      <w:rFonts w:cs="Arial"/>
                      <w:szCs w:val="18"/>
                    </w:rPr>
                  </w:pPr>
                  <w:r w:rsidRPr="00A75ED1">
                    <w:rPr>
                      <w:rFonts w:cs="Arial"/>
                      <w:color w:val="000000"/>
                      <w:szCs w:val="18"/>
                    </w:rPr>
                    <w:t>96</w:t>
                  </w:r>
                </w:p>
              </w:tc>
              <w:tc>
                <w:tcPr>
                  <w:tcW w:w="557" w:type="pct"/>
                  <w:tcBorders>
                    <w:top w:val="nil"/>
                    <w:left w:val="nil"/>
                    <w:bottom w:val="nil"/>
                    <w:right w:val="nil"/>
                  </w:tcBorders>
                  <w:shd w:val="clear" w:color="auto" w:fill="auto"/>
                  <w:vAlign w:val="bottom"/>
                </w:tcPr>
                <w:p w14:paraId="7954D1E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222</w:t>
                  </w:r>
                </w:p>
              </w:tc>
              <w:tc>
                <w:tcPr>
                  <w:tcW w:w="556" w:type="pct"/>
                  <w:tcBorders>
                    <w:top w:val="nil"/>
                    <w:left w:val="nil"/>
                    <w:bottom w:val="nil"/>
                    <w:right w:val="nil"/>
                  </w:tcBorders>
                  <w:shd w:val="clear" w:color="auto" w:fill="auto"/>
                  <w:vAlign w:val="bottom"/>
                </w:tcPr>
                <w:p w14:paraId="7954D1E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242</w:t>
                  </w:r>
                </w:p>
              </w:tc>
              <w:tc>
                <w:tcPr>
                  <w:tcW w:w="556" w:type="pct"/>
                  <w:tcBorders>
                    <w:top w:val="nil"/>
                    <w:left w:val="nil"/>
                    <w:bottom w:val="nil"/>
                    <w:right w:val="nil"/>
                  </w:tcBorders>
                  <w:shd w:val="clear" w:color="auto" w:fill="auto"/>
                  <w:vAlign w:val="bottom"/>
                </w:tcPr>
                <w:p w14:paraId="7954D1EF" w14:textId="77777777" w:rsidR="00F05DC7" w:rsidRPr="00A75ED1" w:rsidRDefault="00F05DC7" w:rsidP="00A3786D">
                  <w:pPr>
                    <w:pStyle w:val="TableBodyText"/>
                    <w:rPr>
                      <w:rFonts w:cs="Arial"/>
                      <w:szCs w:val="18"/>
                    </w:rPr>
                  </w:pPr>
                  <w:r w:rsidRPr="00A75ED1">
                    <w:rPr>
                      <w:rFonts w:cs="Arial"/>
                      <w:color w:val="000000"/>
                      <w:szCs w:val="18"/>
                    </w:rPr>
                    <w:t>1021</w:t>
                  </w:r>
                </w:p>
              </w:tc>
              <w:tc>
                <w:tcPr>
                  <w:tcW w:w="555" w:type="pct"/>
                  <w:tcBorders>
                    <w:top w:val="nil"/>
                    <w:left w:val="nil"/>
                    <w:bottom w:val="nil"/>
                    <w:right w:val="nil"/>
                  </w:tcBorders>
                  <w:shd w:val="clear" w:color="auto" w:fill="auto"/>
                  <w:vAlign w:val="bottom"/>
                </w:tcPr>
                <w:p w14:paraId="7954D1F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242</w:t>
                  </w:r>
                </w:p>
              </w:tc>
              <w:tc>
                <w:tcPr>
                  <w:tcW w:w="555" w:type="pct"/>
                  <w:tcBorders>
                    <w:top w:val="nil"/>
                    <w:left w:val="nil"/>
                    <w:bottom w:val="nil"/>
                    <w:right w:val="nil"/>
                  </w:tcBorders>
                  <w:shd w:val="clear" w:color="auto" w:fill="auto"/>
                  <w:vAlign w:val="bottom"/>
                </w:tcPr>
                <w:p w14:paraId="7954D1F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242</w:t>
                  </w:r>
                </w:p>
              </w:tc>
              <w:tc>
                <w:tcPr>
                  <w:tcW w:w="555" w:type="pct"/>
                  <w:tcBorders>
                    <w:top w:val="nil"/>
                    <w:left w:val="nil"/>
                    <w:bottom w:val="nil"/>
                    <w:right w:val="nil"/>
                  </w:tcBorders>
                  <w:shd w:val="clear" w:color="auto" w:fill="auto"/>
                  <w:vAlign w:val="bottom"/>
                </w:tcPr>
                <w:p w14:paraId="7954D1F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242</w:t>
                  </w:r>
                </w:p>
              </w:tc>
              <w:tc>
                <w:tcPr>
                  <w:tcW w:w="553" w:type="pct"/>
                  <w:tcBorders>
                    <w:top w:val="nil"/>
                    <w:left w:val="nil"/>
                    <w:bottom w:val="nil"/>
                    <w:right w:val="nil"/>
                  </w:tcBorders>
                  <w:shd w:val="clear" w:color="auto" w:fill="auto"/>
                  <w:vAlign w:val="bottom"/>
                </w:tcPr>
                <w:p w14:paraId="7954D1F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242</w:t>
                  </w:r>
                </w:p>
              </w:tc>
            </w:tr>
            <w:tr w:rsidR="00F05DC7" w:rsidRPr="00A75ED1" w14:paraId="7954D1FE" w14:textId="77777777" w:rsidTr="00A3786D">
              <w:tc>
                <w:tcPr>
                  <w:tcW w:w="556" w:type="pct"/>
                </w:tcPr>
                <w:p w14:paraId="7954D1F5"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auto" w:fill="auto"/>
                  <w:vAlign w:val="bottom"/>
                </w:tcPr>
                <w:p w14:paraId="7954D1F6" w14:textId="77777777" w:rsidR="00F05DC7" w:rsidRPr="00A75ED1" w:rsidRDefault="00F05DC7" w:rsidP="00A3786D">
                  <w:pPr>
                    <w:pStyle w:val="TableBodyText"/>
                    <w:rPr>
                      <w:rFonts w:cs="Arial"/>
                      <w:szCs w:val="18"/>
                    </w:rPr>
                  </w:pPr>
                  <w:r w:rsidRPr="00A75ED1">
                    <w:rPr>
                      <w:rFonts w:cs="Arial"/>
                      <w:color w:val="000000"/>
                      <w:szCs w:val="18"/>
                    </w:rPr>
                    <w:t>116</w:t>
                  </w:r>
                </w:p>
              </w:tc>
              <w:tc>
                <w:tcPr>
                  <w:tcW w:w="557" w:type="pct"/>
                  <w:tcBorders>
                    <w:top w:val="nil"/>
                    <w:left w:val="nil"/>
                    <w:bottom w:val="nil"/>
                    <w:right w:val="nil"/>
                  </w:tcBorders>
                  <w:shd w:val="clear" w:color="auto" w:fill="auto"/>
                  <w:vAlign w:val="bottom"/>
                </w:tcPr>
                <w:p w14:paraId="7954D1F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269</w:t>
                  </w:r>
                </w:p>
              </w:tc>
              <w:tc>
                <w:tcPr>
                  <w:tcW w:w="556" w:type="pct"/>
                  <w:tcBorders>
                    <w:top w:val="nil"/>
                    <w:left w:val="nil"/>
                    <w:bottom w:val="nil"/>
                    <w:right w:val="nil"/>
                  </w:tcBorders>
                  <w:shd w:val="clear" w:color="auto" w:fill="auto"/>
                  <w:vAlign w:val="bottom"/>
                </w:tcPr>
                <w:p w14:paraId="7954D1F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291</w:t>
                  </w:r>
                </w:p>
              </w:tc>
              <w:tc>
                <w:tcPr>
                  <w:tcW w:w="556" w:type="pct"/>
                  <w:tcBorders>
                    <w:top w:val="nil"/>
                    <w:left w:val="nil"/>
                    <w:bottom w:val="nil"/>
                    <w:right w:val="nil"/>
                  </w:tcBorders>
                  <w:shd w:val="clear" w:color="auto" w:fill="auto"/>
                  <w:vAlign w:val="bottom"/>
                </w:tcPr>
                <w:p w14:paraId="7954D1F9" w14:textId="77777777" w:rsidR="00F05DC7" w:rsidRPr="00A75ED1" w:rsidRDefault="00F05DC7" w:rsidP="00A3786D">
                  <w:pPr>
                    <w:pStyle w:val="TableBodyText"/>
                    <w:rPr>
                      <w:rFonts w:cs="Arial"/>
                      <w:szCs w:val="18"/>
                    </w:rPr>
                  </w:pPr>
                  <w:r w:rsidRPr="00A75ED1">
                    <w:rPr>
                      <w:rFonts w:cs="Arial"/>
                      <w:color w:val="000000"/>
                      <w:szCs w:val="18"/>
                    </w:rPr>
                    <w:t>1236</w:t>
                  </w:r>
                </w:p>
              </w:tc>
              <w:tc>
                <w:tcPr>
                  <w:tcW w:w="555" w:type="pct"/>
                  <w:tcBorders>
                    <w:top w:val="nil"/>
                    <w:left w:val="nil"/>
                    <w:bottom w:val="nil"/>
                    <w:right w:val="nil"/>
                  </w:tcBorders>
                  <w:shd w:val="clear" w:color="auto" w:fill="auto"/>
                  <w:vAlign w:val="bottom"/>
                </w:tcPr>
                <w:p w14:paraId="7954D1F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291</w:t>
                  </w:r>
                </w:p>
              </w:tc>
              <w:tc>
                <w:tcPr>
                  <w:tcW w:w="555" w:type="pct"/>
                  <w:tcBorders>
                    <w:top w:val="nil"/>
                    <w:left w:val="nil"/>
                    <w:bottom w:val="nil"/>
                    <w:right w:val="nil"/>
                  </w:tcBorders>
                  <w:shd w:val="clear" w:color="auto" w:fill="auto"/>
                  <w:vAlign w:val="bottom"/>
                </w:tcPr>
                <w:p w14:paraId="7954D1F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291</w:t>
                  </w:r>
                </w:p>
              </w:tc>
              <w:tc>
                <w:tcPr>
                  <w:tcW w:w="555" w:type="pct"/>
                  <w:tcBorders>
                    <w:top w:val="nil"/>
                    <w:left w:val="nil"/>
                    <w:bottom w:val="nil"/>
                    <w:right w:val="nil"/>
                  </w:tcBorders>
                  <w:shd w:val="clear" w:color="auto" w:fill="auto"/>
                  <w:vAlign w:val="bottom"/>
                </w:tcPr>
                <w:p w14:paraId="7954D1F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291</w:t>
                  </w:r>
                </w:p>
              </w:tc>
              <w:tc>
                <w:tcPr>
                  <w:tcW w:w="553" w:type="pct"/>
                  <w:tcBorders>
                    <w:top w:val="nil"/>
                    <w:left w:val="nil"/>
                    <w:bottom w:val="nil"/>
                    <w:right w:val="nil"/>
                  </w:tcBorders>
                  <w:shd w:val="clear" w:color="auto" w:fill="auto"/>
                  <w:vAlign w:val="bottom"/>
                </w:tcPr>
                <w:p w14:paraId="7954D1F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291</w:t>
                  </w:r>
                </w:p>
              </w:tc>
            </w:tr>
            <w:tr w:rsidR="00F05DC7" w:rsidRPr="00A75ED1" w14:paraId="7954D208" w14:textId="77777777" w:rsidTr="002341D7">
              <w:tc>
                <w:tcPr>
                  <w:tcW w:w="556" w:type="pct"/>
                </w:tcPr>
                <w:p w14:paraId="7954D1FF"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auto" w:fill="auto"/>
                  <w:vAlign w:val="bottom"/>
                </w:tcPr>
                <w:p w14:paraId="7954D200" w14:textId="77777777" w:rsidR="00F05DC7" w:rsidRPr="00A75ED1" w:rsidRDefault="00F05DC7" w:rsidP="00A3786D">
                  <w:pPr>
                    <w:pStyle w:val="TableBodyText"/>
                    <w:rPr>
                      <w:rFonts w:cs="Arial"/>
                      <w:szCs w:val="18"/>
                    </w:rPr>
                  </w:pPr>
                  <w:r w:rsidRPr="00A75ED1">
                    <w:rPr>
                      <w:rFonts w:cs="Arial"/>
                      <w:color w:val="000000"/>
                      <w:szCs w:val="18"/>
                    </w:rPr>
                    <w:t>138</w:t>
                  </w:r>
                </w:p>
              </w:tc>
              <w:tc>
                <w:tcPr>
                  <w:tcW w:w="557" w:type="pct"/>
                  <w:tcBorders>
                    <w:top w:val="nil"/>
                    <w:left w:val="nil"/>
                    <w:right w:val="nil"/>
                  </w:tcBorders>
                  <w:shd w:val="clear" w:color="auto" w:fill="auto"/>
                  <w:vAlign w:val="bottom"/>
                </w:tcPr>
                <w:p w14:paraId="7954D20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319</w:t>
                  </w:r>
                </w:p>
              </w:tc>
              <w:tc>
                <w:tcPr>
                  <w:tcW w:w="556" w:type="pct"/>
                  <w:tcBorders>
                    <w:top w:val="nil"/>
                    <w:left w:val="nil"/>
                    <w:right w:val="nil"/>
                  </w:tcBorders>
                  <w:shd w:val="clear" w:color="auto" w:fill="auto"/>
                  <w:vAlign w:val="bottom"/>
                </w:tcPr>
                <w:p w14:paraId="7954D20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c>
                <w:tcPr>
                  <w:tcW w:w="556" w:type="pct"/>
                  <w:tcBorders>
                    <w:top w:val="nil"/>
                    <w:left w:val="nil"/>
                    <w:right w:val="nil"/>
                  </w:tcBorders>
                  <w:shd w:val="clear" w:color="auto" w:fill="auto"/>
                  <w:vAlign w:val="bottom"/>
                </w:tcPr>
                <w:p w14:paraId="7954D203" w14:textId="77777777" w:rsidR="00F05DC7" w:rsidRPr="00A75ED1" w:rsidRDefault="00F05DC7" w:rsidP="00A3786D">
                  <w:pPr>
                    <w:pStyle w:val="TableBodyText"/>
                    <w:rPr>
                      <w:rFonts w:cs="Arial"/>
                      <w:szCs w:val="18"/>
                    </w:rPr>
                  </w:pPr>
                  <w:r w:rsidRPr="00A75ED1">
                    <w:rPr>
                      <w:rFonts w:cs="Arial"/>
                      <w:color w:val="000000"/>
                      <w:szCs w:val="18"/>
                    </w:rPr>
                    <w:t>1465</w:t>
                  </w:r>
                </w:p>
              </w:tc>
              <w:tc>
                <w:tcPr>
                  <w:tcW w:w="555" w:type="pct"/>
                  <w:tcBorders>
                    <w:top w:val="nil"/>
                    <w:left w:val="nil"/>
                    <w:right w:val="nil"/>
                  </w:tcBorders>
                  <w:shd w:val="clear" w:color="auto" w:fill="auto"/>
                  <w:vAlign w:val="bottom"/>
                </w:tcPr>
                <w:p w14:paraId="7954D20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c>
                <w:tcPr>
                  <w:tcW w:w="555" w:type="pct"/>
                  <w:tcBorders>
                    <w:top w:val="nil"/>
                    <w:left w:val="nil"/>
                    <w:right w:val="nil"/>
                  </w:tcBorders>
                  <w:shd w:val="clear" w:color="auto" w:fill="auto"/>
                  <w:vAlign w:val="bottom"/>
                </w:tcPr>
                <w:p w14:paraId="7954D20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c>
                <w:tcPr>
                  <w:tcW w:w="555" w:type="pct"/>
                  <w:tcBorders>
                    <w:top w:val="nil"/>
                    <w:left w:val="nil"/>
                    <w:right w:val="nil"/>
                  </w:tcBorders>
                  <w:shd w:val="clear" w:color="auto" w:fill="auto"/>
                  <w:vAlign w:val="bottom"/>
                </w:tcPr>
                <w:p w14:paraId="7954D20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c>
                <w:tcPr>
                  <w:tcW w:w="553" w:type="pct"/>
                  <w:tcBorders>
                    <w:top w:val="nil"/>
                    <w:left w:val="nil"/>
                    <w:right w:val="nil"/>
                  </w:tcBorders>
                  <w:shd w:val="clear" w:color="auto" w:fill="auto"/>
                  <w:vAlign w:val="bottom"/>
                </w:tcPr>
                <w:p w14:paraId="7954D20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343</w:t>
                  </w:r>
                </w:p>
              </w:tc>
            </w:tr>
            <w:tr w:rsidR="00F05DC7" w:rsidRPr="00A75ED1" w14:paraId="7954D20A" w14:textId="77777777" w:rsidTr="002341D7">
              <w:tc>
                <w:tcPr>
                  <w:tcW w:w="5000" w:type="pct"/>
                  <w:gridSpan w:val="9"/>
                  <w:shd w:val="clear" w:color="auto" w:fill="F2F2F2" w:themeFill="background1" w:themeFillShade="F2"/>
                </w:tcPr>
                <w:p w14:paraId="7954D209"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D214" w14:textId="77777777" w:rsidTr="00A3786D">
              <w:tc>
                <w:tcPr>
                  <w:tcW w:w="556" w:type="pct"/>
                  <w:shd w:val="clear" w:color="auto" w:fill="auto"/>
                  <w:vAlign w:val="bottom"/>
                </w:tcPr>
                <w:p w14:paraId="7954D20B" w14:textId="77777777" w:rsidR="00F05DC7" w:rsidRPr="00911F46" w:rsidRDefault="00F05DC7" w:rsidP="00A3786D">
                  <w:pPr>
                    <w:pStyle w:val="TableBodyText"/>
                  </w:pPr>
                  <w:r w:rsidRPr="00911F46">
                    <w:t>2019</w:t>
                  </w:r>
                  <w:r>
                    <w:noBreakHyphen/>
                  </w:r>
                  <w:r w:rsidRPr="00911F46">
                    <w:t>20</w:t>
                  </w:r>
                </w:p>
              </w:tc>
              <w:tc>
                <w:tcPr>
                  <w:tcW w:w="557" w:type="pct"/>
                  <w:tcBorders>
                    <w:top w:val="nil"/>
                    <w:left w:val="nil"/>
                    <w:bottom w:val="nil"/>
                    <w:right w:val="nil"/>
                  </w:tcBorders>
                  <w:shd w:val="clear" w:color="auto" w:fill="auto"/>
                  <w:vAlign w:val="bottom"/>
                </w:tcPr>
                <w:p w14:paraId="7954D20C" w14:textId="77777777" w:rsidR="00F05DC7" w:rsidRPr="00911F46" w:rsidRDefault="00F05DC7" w:rsidP="00A3786D">
                  <w:pPr>
                    <w:pStyle w:val="TableBodyText"/>
                  </w:pPr>
                  <w:r w:rsidRPr="00911F46">
                    <w:rPr>
                      <w:color w:val="000000"/>
                    </w:rPr>
                    <w:t>0.13</w:t>
                  </w:r>
                </w:p>
              </w:tc>
              <w:tc>
                <w:tcPr>
                  <w:tcW w:w="557" w:type="pct"/>
                  <w:tcBorders>
                    <w:top w:val="nil"/>
                    <w:left w:val="nil"/>
                    <w:bottom w:val="nil"/>
                    <w:right w:val="nil"/>
                  </w:tcBorders>
                  <w:shd w:val="clear" w:color="auto" w:fill="auto"/>
                  <w:vAlign w:val="bottom"/>
                </w:tcPr>
                <w:p w14:paraId="7954D20D" w14:textId="77777777" w:rsidR="00F05DC7" w:rsidRPr="00911F46" w:rsidRDefault="00F05DC7" w:rsidP="00A3786D">
                  <w:pPr>
                    <w:pStyle w:val="TableBodyText"/>
                  </w:pPr>
                  <w:r>
                    <w:rPr>
                      <w:color w:val="000000"/>
                    </w:rPr>
                    <w:noBreakHyphen/>
                  </w:r>
                  <w:r w:rsidRPr="00911F46">
                    <w:rPr>
                      <w:color w:val="000000"/>
                    </w:rPr>
                    <w:t>0.29</w:t>
                  </w:r>
                </w:p>
              </w:tc>
              <w:tc>
                <w:tcPr>
                  <w:tcW w:w="556" w:type="pct"/>
                  <w:tcBorders>
                    <w:top w:val="nil"/>
                    <w:left w:val="nil"/>
                    <w:bottom w:val="nil"/>
                    <w:right w:val="nil"/>
                  </w:tcBorders>
                  <w:shd w:val="clear" w:color="auto" w:fill="auto"/>
                  <w:vAlign w:val="bottom"/>
                </w:tcPr>
                <w:p w14:paraId="7954D20E" w14:textId="77777777" w:rsidR="00F05DC7" w:rsidRPr="00911F46" w:rsidRDefault="00F05DC7" w:rsidP="00A3786D">
                  <w:pPr>
                    <w:pStyle w:val="TableBodyText"/>
                  </w:pPr>
                  <w:r>
                    <w:rPr>
                      <w:color w:val="000000"/>
                    </w:rPr>
                    <w:noBreakHyphen/>
                  </w:r>
                  <w:r w:rsidRPr="00911F46">
                    <w:rPr>
                      <w:color w:val="000000"/>
                    </w:rPr>
                    <w:t>0.31</w:t>
                  </w:r>
                </w:p>
              </w:tc>
              <w:tc>
                <w:tcPr>
                  <w:tcW w:w="556" w:type="pct"/>
                  <w:tcBorders>
                    <w:top w:val="nil"/>
                    <w:left w:val="nil"/>
                    <w:bottom w:val="nil"/>
                    <w:right w:val="nil"/>
                  </w:tcBorders>
                  <w:shd w:val="clear" w:color="auto" w:fill="auto"/>
                  <w:vAlign w:val="bottom"/>
                </w:tcPr>
                <w:p w14:paraId="7954D20F" w14:textId="77777777" w:rsidR="00F05DC7" w:rsidRPr="00911F46" w:rsidRDefault="00F05DC7" w:rsidP="00A3786D">
                  <w:pPr>
                    <w:pStyle w:val="TableBodyText"/>
                  </w:pPr>
                  <w:r w:rsidRPr="00911F46">
                    <w:rPr>
                      <w:color w:val="000000"/>
                    </w:rPr>
                    <w:t>1.26</w:t>
                  </w:r>
                </w:p>
              </w:tc>
              <w:tc>
                <w:tcPr>
                  <w:tcW w:w="555" w:type="pct"/>
                  <w:tcBorders>
                    <w:top w:val="nil"/>
                    <w:left w:val="nil"/>
                    <w:bottom w:val="nil"/>
                    <w:right w:val="nil"/>
                  </w:tcBorders>
                  <w:shd w:val="clear" w:color="auto" w:fill="auto"/>
                  <w:vAlign w:val="bottom"/>
                </w:tcPr>
                <w:p w14:paraId="7954D210" w14:textId="77777777" w:rsidR="00F05DC7" w:rsidRPr="00911F46" w:rsidRDefault="00F05DC7" w:rsidP="00A3786D">
                  <w:pPr>
                    <w:pStyle w:val="TableBodyText"/>
                  </w:pPr>
                  <w:r>
                    <w:rPr>
                      <w:color w:val="000000"/>
                    </w:rPr>
                    <w:noBreakHyphen/>
                  </w:r>
                  <w:r w:rsidRPr="00911F46">
                    <w:rPr>
                      <w:color w:val="000000"/>
                    </w:rPr>
                    <w:t>0.31</w:t>
                  </w:r>
                </w:p>
              </w:tc>
              <w:tc>
                <w:tcPr>
                  <w:tcW w:w="555" w:type="pct"/>
                  <w:tcBorders>
                    <w:top w:val="nil"/>
                    <w:left w:val="nil"/>
                    <w:bottom w:val="nil"/>
                    <w:right w:val="nil"/>
                  </w:tcBorders>
                  <w:shd w:val="clear" w:color="auto" w:fill="auto"/>
                  <w:vAlign w:val="bottom"/>
                </w:tcPr>
                <w:p w14:paraId="7954D211" w14:textId="77777777" w:rsidR="00F05DC7" w:rsidRPr="00911F46" w:rsidRDefault="00F05DC7" w:rsidP="00A3786D">
                  <w:pPr>
                    <w:pStyle w:val="TableBodyText"/>
                  </w:pPr>
                  <w:r>
                    <w:rPr>
                      <w:color w:val="000000"/>
                    </w:rPr>
                    <w:noBreakHyphen/>
                  </w:r>
                  <w:r w:rsidRPr="00911F46">
                    <w:rPr>
                      <w:color w:val="000000"/>
                    </w:rPr>
                    <w:t>0.30</w:t>
                  </w:r>
                </w:p>
              </w:tc>
              <w:tc>
                <w:tcPr>
                  <w:tcW w:w="555" w:type="pct"/>
                  <w:tcBorders>
                    <w:top w:val="nil"/>
                    <w:left w:val="nil"/>
                    <w:bottom w:val="nil"/>
                    <w:right w:val="nil"/>
                  </w:tcBorders>
                  <w:shd w:val="clear" w:color="auto" w:fill="auto"/>
                  <w:vAlign w:val="bottom"/>
                </w:tcPr>
                <w:p w14:paraId="7954D212" w14:textId="77777777" w:rsidR="00F05DC7" w:rsidRPr="00911F46" w:rsidRDefault="00F05DC7" w:rsidP="00A3786D">
                  <w:pPr>
                    <w:pStyle w:val="TableBodyText"/>
                  </w:pPr>
                  <w:r>
                    <w:rPr>
                      <w:color w:val="000000"/>
                    </w:rPr>
                    <w:noBreakHyphen/>
                  </w:r>
                  <w:r w:rsidRPr="00911F46">
                    <w:rPr>
                      <w:color w:val="000000"/>
                    </w:rPr>
                    <w:t>0.25</w:t>
                  </w:r>
                </w:p>
              </w:tc>
              <w:tc>
                <w:tcPr>
                  <w:tcW w:w="553" w:type="pct"/>
                  <w:tcBorders>
                    <w:top w:val="nil"/>
                    <w:left w:val="nil"/>
                    <w:bottom w:val="nil"/>
                    <w:right w:val="nil"/>
                  </w:tcBorders>
                  <w:shd w:val="clear" w:color="auto" w:fill="auto"/>
                  <w:vAlign w:val="bottom"/>
                </w:tcPr>
                <w:p w14:paraId="7954D213" w14:textId="77777777" w:rsidR="00F05DC7" w:rsidRPr="00911F46" w:rsidRDefault="00F05DC7" w:rsidP="00A3786D">
                  <w:pPr>
                    <w:pStyle w:val="TableBodyText"/>
                  </w:pPr>
                  <w:r>
                    <w:rPr>
                      <w:color w:val="000000"/>
                    </w:rPr>
                    <w:noBreakHyphen/>
                  </w:r>
                  <w:r w:rsidRPr="00911F46">
                    <w:rPr>
                      <w:color w:val="000000"/>
                    </w:rPr>
                    <w:t>0.16</w:t>
                  </w:r>
                </w:p>
              </w:tc>
            </w:tr>
            <w:tr w:rsidR="00F05DC7" w:rsidRPr="00A75ED1" w14:paraId="7954D21E" w14:textId="77777777" w:rsidTr="00A3786D">
              <w:tc>
                <w:tcPr>
                  <w:tcW w:w="556" w:type="pct"/>
                  <w:shd w:val="clear" w:color="auto" w:fill="auto"/>
                  <w:vAlign w:val="bottom"/>
                </w:tcPr>
                <w:p w14:paraId="7954D215" w14:textId="77777777" w:rsidR="00F05DC7" w:rsidRPr="00911F46" w:rsidRDefault="00F05DC7" w:rsidP="00A3786D">
                  <w:pPr>
                    <w:pStyle w:val="TableBodyText"/>
                  </w:pPr>
                  <w:r w:rsidRPr="00911F46">
                    <w:t>2020</w:t>
                  </w:r>
                  <w:r>
                    <w:noBreakHyphen/>
                  </w:r>
                  <w:r w:rsidRPr="00911F46">
                    <w:t>21</w:t>
                  </w:r>
                </w:p>
              </w:tc>
              <w:tc>
                <w:tcPr>
                  <w:tcW w:w="557" w:type="pct"/>
                  <w:tcBorders>
                    <w:top w:val="nil"/>
                    <w:left w:val="nil"/>
                    <w:bottom w:val="nil"/>
                    <w:right w:val="nil"/>
                  </w:tcBorders>
                  <w:shd w:val="clear" w:color="auto" w:fill="auto"/>
                  <w:vAlign w:val="bottom"/>
                </w:tcPr>
                <w:p w14:paraId="7954D216" w14:textId="77777777" w:rsidR="00F05DC7" w:rsidRPr="00911F46" w:rsidRDefault="00F05DC7" w:rsidP="00A3786D">
                  <w:pPr>
                    <w:pStyle w:val="TableBodyText"/>
                  </w:pPr>
                  <w:r w:rsidRPr="00911F46">
                    <w:rPr>
                      <w:color w:val="000000"/>
                    </w:rPr>
                    <w:t>0.27</w:t>
                  </w:r>
                </w:p>
              </w:tc>
              <w:tc>
                <w:tcPr>
                  <w:tcW w:w="557" w:type="pct"/>
                  <w:tcBorders>
                    <w:top w:val="nil"/>
                    <w:left w:val="nil"/>
                    <w:bottom w:val="nil"/>
                    <w:right w:val="nil"/>
                  </w:tcBorders>
                  <w:shd w:val="clear" w:color="auto" w:fill="auto"/>
                  <w:vAlign w:val="bottom"/>
                </w:tcPr>
                <w:p w14:paraId="7954D217" w14:textId="77777777" w:rsidR="00F05DC7" w:rsidRPr="00911F46" w:rsidRDefault="00F05DC7" w:rsidP="00A3786D">
                  <w:pPr>
                    <w:pStyle w:val="TableBodyText"/>
                  </w:pPr>
                  <w:r>
                    <w:rPr>
                      <w:color w:val="000000"/>
                    </w:rPr>
                    <w:noBreakHyphen/>
                  </w:r>
                  <w:r w:rsidRPr="00911F46">
                    <w:rPr>
                      <w:color w:val="000000"/>
                    </w:rPr>
                    <w:t>0.60</w:t>
                  </w:r>
                </w:p>
              </w:tc>
              <w:tc>
                <w:tcPr>
                  <w:tcW w:w="556" w:type="pct"/>
                  <w:tcBorders>
                    <w:top w:val="nil"/>
                    <w:left w:val="nil"/>
                    <w:bottom w:val="nil"/>
                    <w:right w:val="nil"/>
                  </w:tcBorders>
                  <w:shd w:val="clear" w:color="auto" w:fill="auto"/>
                  <w:vAlign w:val="bottom"/>
                </w:tcPr>
                <w:p w14:paraId="7954D218" w14:textId="77777777" w:rsidR="00F05DC7" w:rsidRPr="00911F46" w:rsidRDefault="00F05DC7" w:rsidP="00A3786D">
                  <w:pPr>
                    <w:pStyle w:val="TableBodyText"/>
                  </w:pPr>
                  <w:r>
                    <w:rPr>
                      <w:color w:val="000000"/>
                    </w:rPr>
                    <w:noBreakHyphen/>
                  </w:r>
                  <w:r w:rsidRPr="00911F46">
                    <w:rPr>
                      <w:color w:val="000000"/>
                    </w:rPr>
                    <w:t>0.63</w:t>
                  </w:r>
                </w:p>
              </w:tc>
              <w:tc>
                <w:tcPr>
                  <w:tcW w:w="556" w:type="pct"/>
                  <w:tcBorders>
                    <w:top w:val="nil"/>
                    <w:left w:val="nil"/>
                    <w:bottom w:val="nil"/>
                    <w:right w:val="nil"/>
                  </w:tcBorders>
                  <w:shd w:val="clear" w:color="auto" w:fill="auto"/>
                  <w:vAlign w:val="bottom"/>
                </w:tcPr>
                <w:p w14:paraId="7954D219" w14:textId="77777777" w:rsidR="00F05DC7" w:rsidRPr="00911F46" w:rsidRDefault="00F05DC7" w:rsidP="00A3786D">
                  <w:pPr>
                    <w:pStyle w:val="TableBodyText"/>
                  </w:pPr>
                  <w:r w:rsidRPr="00911F46">
                    <w:rPr>
                      <w:color w:val="000000"/>
                    </w:rPr>
                    <w:t>2.47</w:t>
                  </w:r>
                </w:p>
              </w:tc>
              <w:tc>
                <w:tcPr>
                  <w:tcW w:w="555" w:type="pct"/>
                  <w:tcBorders>
                    <w:top w:val="nil"/>
                    <w:left w:val="nil"/>
                    <w:bottom w:val="nil"/>
                    <w:right w:val="nil"/>
                  </w:tcBorders>
                  <w:shd w:val="clear" w:color="auto" w:fill="auto"/>
                  <w:vAlign w:val="bottom"/>
                </w:tcPr>
                <w:p w14:paraId="7954D21A" w14:textId="77777777" w:rsidR="00F05DC7" w:rsidRPr="00911F46" w:rsidRDefault="00F05DC7" w:rsidP="00A3786D">
                  <w:pPr>
                    <w:pStyle w:val="TableBodyText"/>
                  </w:pPr>
                  <w:r>
                    <w:rPr>
                      <w:color w:val="000000"/>
                    </w:rPr>
                    <w:noBreakHyphen/>
                  </w:r>
                  <w:r w:rsidRPr="00911F46">
                    <w:rPr>
                      <w:color w:val="000000"/>
                    </w:rPr>
                    <w:t>0.62</w:t>
                  </w:r>
                </w:p>
              </w:tc>
              <w:tc>
                <w:tcPr>
                  <w:tcW w:w="555" w:type="pct"/>
                  <w:tcBorders>
                    <w:top w:val="nil"/>
                    <w:left w:val="nil"/>
                    <w:bottom w:val="nil"/>
                    <w:right w:val="nil"/>
                  </w:tcBorders>
                  <w:shd w:val="clear" w:color="auto" w:fill="auto"/>
                  <w:vAlign w:val="bottom"/>
                </w:tcPr>
                <w:p w14:paraId="7954D21B" w14:textId="77777777" w:rsidR="00F05DC7" w:rsidRPr="00911F46" w:rsidRDefault="00F05DC7" w:rsidP="00A3786D">
                  <w:pPr>
                    <w:pStyle w:val="TableBodyText"/>
                  </w:pPr>
                  <w:r>
                    <w:rPr>
                      <w:color w:val="000000"/>
                    </w:rPr>
                    <w:noBreakHyphen/>
                  </w:r>
                  <w:r w:rsidRPr="00911F46">
                    <w:rPr>
                      <w:color w:val="000000"/>
                    </w:rPr>
                    <w:t>0.63</w:t>
                  </w:r>
                </w:p>
              </w:tc>
              <w:tc>
                <w:tcPr>
                  <w:tcW w:w="555" w:type="pct"/>
                  <w:tcBorders>
                    <w:top w:val="nil"/>
                    <w:left w:val="nil"/>
                    <w:bottom w:val="nil"/>
                    <w:right w:val="nil"/>
                  </w:tcBorders>
                  <w:shd w:val="clear" w:color="auto" w:fill="auto"/>
                  <w:vAlign w:val="bottom"/>
                </w:tcPr>
                <w:p w14:paraId="7954D21C" w14:textId="77777777" w:rsidR="00F05DC7" w:rsidRPr="00911F46" w:rsidRDefault="00F05DC7" w:rsidP="00A3786D">
                  <w:pPr>
                    <w:pStyle w:val="TableBodyText"/>
                  </w:pPr>
                  <w:r>
                    <w:rPr>
                      <w:color w:val="000000"/>
                    </w:rPr>
                    <w:noBreakHyphen/>
                  </w:r>
                  <w:r w:rsidRPr="00911F46">
                    <w:rPr>
                      <w:color w:val="000000"/>
                    </w:rPr>
                    <w:t>0.50</w:t>
                  </w:r>
                </w:p>
              </w:tc>
              <w:tc>
                <w:tcPr>
                  <w:tcW w:w="553" w:type="pct"/>
                  <w:tcBorders>
                    <w:top w:val="nil"/>
                    <w:left w:val="nil"/>
                    <w:bottom w:val="nil"/>
                    <w:right w:val="nil"/>
                  </w:tcBorders>
                  <w:shd w:val="clear" w:color="auto" w:fill="auto"/>
                  <w:vAlign w:val="bottom"/>
                </w:tcPr>
                <w:p w14:paraId="7954D21D" w14:textId="77777777" w:rsidR="00F05DC7" w:rsidRPr="00911F46" w:rsidRDefault="00F05DC7" w:rsidP="00A3786D">
                  <w:pPr>
                    <w:pStyle w:val="TableBodyText"/>
                  </w:pPr>
                  <w:r>
                    <w:rPr>
                      <w:color w:val="000000"/>
                    </w:rPr>
                    <w:noBreakHyphen/>
                  </w:r>
                  <w:r w:rsidRPr="00911F46">
                    <w:rPr>
                      <w:color w:val="000000"/>
                    </w:rPr>
                    <w:t>0.34</w:t>
                  </w:r>
                </w:p>
              </w:tc>
            </w:tr>
            <w:tr w:rsidR="00F05DC7" w:rsidRPr="00A75ED1" w14:paraId="7954D228" w14:textId="77777777" w:rsidTr="00A3786D">
              <w:tc>
                <w:tcPr>
                  <w:tcW w:w="556" w:type="pct"/>
                  <w:shd w:val="clear" w:color="auto" w:fill="auto"/>
                  <w:vAlign w:val="bottom"/>
                </w:tcPr>
                <w:p w14:paraId="7954D21F" w14:textId="77777777" w:rsidR="00F05DC7" w:rsidRPr="00911F46" w:rsidRDefault="00F05DC7" w:rsidP="00A3786D">
                  <w:pPr>
                    <w:pStyle w:val="TableBodyText"/>
                  </w:pPr>
                  <w:r w:rsidRPr="00911F46">
                    <w:t>2021</w:t>
                  </w:r>
                  <w:r>
                    <w:noBreakHyphen/>
                  </w:r>
                  <w:r w:rsidRPr="00911F46">
                    <w:t>22</w:t>
                  </w:r>
                </w:p>
              </w:tc>
              <w:tc>
                <w:tcPr>
                  <w:tcW w:w="557" w:type="pct"/>
                  <w:tcBorders>
                    <w:top w:val="nil"/>
                    <w:left w:val="nil"/>
                    <w:bottom w:val="nil"/>
                    <w:right w:val="nil"/>
                  </w:tcBorders>
                  <w:shd w:val="clear" w:color="auto" w:fill="auto"/>
                  <w:vAlign w:val="bottom"/>
                </w:tcPr>
                <w:p w14:paraId="7954D220" w14:textId="77777777" w:rsidR="00F05DC7" w:rsidRPr="00911F46" w:rsidRDefault="00F05DC7" w:rsidP="00A3786D">
                  <w:pPr>
                    <w:pStyle w:val="TableBodyText"/>
                  </w:pPr>
                  <w:r w:rsidRPr="00911F46">
                    <w:rPr>
                      <w:color w:val="000000"/>
                    </w:rPr>
                    <w:t>0.40</w:t>
                  </w:r>
                </w:p>
              </w:tc>
              <w:tc>
                <w:tcPr>
                  <w:tcW w:w="557" w:type="pct"/>
                  <w:tcBorders>
                    <w:top w:val="nil"/>
                    <w:left w:val="nil"/>
                    <w:bottom w:val="nil"/>
                    <w:right w:val="nil"/>
                  </w:tcBorders>
                  <w:shd w:val="clear" w:color="auto" w:fill="auto"/>
                  <w:vAlign w:val="bottom"/>
                </w:tcPr>
                <w:p w14:paraId="7954D221" w14:textId="77777777" w:rsidR="00F05DC7" w:rsidRPr="00911F46" w:rsidRDefault="00F05DC7" w:rsidP="00A3786D">
                  <w:pPr>
                    <w:pStyle w:val="TableBodyText"/>
                  </w:pPr>
                  <w:r>
                    <w:rPr>
                      <w:color w:val="000000"/>
                    </w:rPr>
                    <w:noBreakHyphen/>
                  </w:r>
                  <w:r w:rsidRPr="00911F46">
                    <w:rPr>
                      <w:color w:val="000000"/>
                    </w:rPr>
                    <w:t>0.91</w:t>
                  </w:r>
                </w:p>
              </w:tc>
              <w:tc>
                <w:tcPr>
                  <w:tcW w:w="556" w:type="pct"/>
                  <w:tcBorders>
                    <w:top w:val="nil"/>
                    <w:left w:val="nil"/>
                    <w:bottom w:val="nil"/>
                    <w:right w:val="nil"/>
                  </w:tcBorders>
                  <w:shd w:val="clear" w:color="auto" w:fill="auto"/>
                  <w:vAlign w:val="bottom"/>
                </w:tcPr>
                <w:p w14:paraId="7954D222" w14:textId="77777777" w:rsidR="00F05DC7" w:rsidRPr="00911F46" w:rsidRDefault="00F05DC7" w:rsidP="00A3786D">
                  <w:pPr>
                    <w:pStyle w:val="TableBodyText"/>
                  </w:pPr>
                  <w:r>
                    <w:rPr>
                      <w:color w:val="000000"/>
                    </w:rPr>
                    <w:noBreakHyphen/>
                  </w:r>
                  <w:r w:rsidRPr="00911F46">
                    <w:rPr>
                      <w:color w:val="000000"/>
                    </w:rPr>
                    <w:t>0.93</w:t>
                  </w:r>
                </w:p>
              </w:tc>
              <w:tc>
                <w:tcPr>
                  <w:tcW w:w="556" w:type="pct"/>
                  <w:tcBorders>
                    <w:top w:val="nil"/>
                    <w:left w:val="nil"/>
                    <w:bottom w:val="nil"/>
                    <w:right w:val="nil"/>
                  </w:tcBorders>
                  <w:shd w:val="clear" w:color="auto" w:fill="auto"/>
                  <w:vAlign w:val="bottom"/>
                </w:tcPr>
                <w:p w14:paraId="7954D223" w14:textId="77777777" w:rsidR="00F05DC7" w:rsidRPr="00911F46" w:rsidRDefault="00F05DC7" w:rsidP="00A3786D">
                  <w:pPr>
                    <w:pStyle w:val="TableBodyText"/>
                  </w:pPr>
                  <w:r w:rsidRPr="00911F46">
                    <w:rPr>
                      <w:color w:val="000000"/>
                    </w:rPr>
                    <w:t>3.73</w:t>
                  </w:r>
                </w:p>
              </w:tc>
              <w:tc>
                <w:tcPr>
                  <w:tcW w:w="555" w:type="pct"/>
                  <w:tcBorders>
                    <w:top w:val="nil"/>
                    <w:left w:val="nil"/>
                    <w:bottom w:val="nil"/>
                    <w:right w:val="nil"/>
                  </w:tcBorders>
                  <w:shd w:val="clear" w:color="auto" w:fill="auto"/>
                  <w:vAlign w:val="bottom"/>
                </w:tcPr>
                <w:p w14:paraId="7954D224" w14:textId="77777777" w:rsidR="00F05DC7" w:rsidRPr="00911F46" w:rsidRDefault="00F05DC7" w:rsidP="00A3786D">
                  <w:pPr>
                    <w:pStyle w:val="TableBodyText"/>
                  </w:pPr>
                  <w:r>
                    <w:rPr>
                      <w:color w:val="000000"/>
                    </w:rPr>
                    <w:noBreakHyphen/>
                  </w:r>
                  <w:r w:rsidRPr="00911F46">
                    <w:rPr>
                      <w:color w:val="000000"/>
                    </w:rPr>
                    <w:t>0.94</w:t>
                  </w:r>
                </w:p>
              </w:tc>
              <w:tc>
                <w:tcPr>
                  <w:tcW w:w="555" w:type="pct"/>
                  <w:tcBorders>
                    <w:top w:val="nil"/>
                    <w:left w:val="nil"/>
                    <w:bottom w:val="nil"/>
                    <w:right w:val="nil"/>
                  </w:tcBorders>
                  <w:shd w:val="clear" w:color="auto" w:fill="auto"/>
                  <w:vAlign w:val="bottom"/>
                </w:tcPr>
                <w:p w14:paraId="7954D225" w14:textId="77777777" w:rsidR="00F05DC7" w:rsidRPr="00911F46" w:rsidRDefault="00F05DC7" w:rsidP="00A3786D">
                  <w:pPr>
                    <w:pStyle w:val="TableBodyText"/>
                  </w:pPr>
                  <w:r>
                    <w:rPr>
                      <w:color w:val="000000"/>
                    </w:rPr>
                    <w:noBreakHyphen/>
                  </w:r>
                  <w:r w:rsidRPr="00911F46">
                    <w:rPr>
                      <w:color w:val="000000"/>
                    </w:rPr>
                    <w:t>0.93</w:t>
                  </w:r>
                </w:p>
              </w:tc>
              <w:tc>
                <w:tcPr>
                  <w:tcW w:w="555" w:type="pct"/>
                  <w:tcBorders>
                    <w:top w:val="nil"/>
                    <w:left w:val="nil"/>
                    <w:bottom w:val="nil"/>
                    <w:right w:val="nil"/>
                  </w:tcBorders>
                  <w:shd w:val="clear" w:color="auto" w:fill="auto"/>
                  <w:vAlign w:val="bottom"/>
                </w:tcPr>
                <w:p w14:paraId="7954D226" w14:textId="77777777" w:rsidR="00F05DC7" w:rsidRPr="00911F46" w:rsidRDefault="00F05DC7" w:rsidP="00A3786D">
                  <w:pPr>
                    <w:pStyle w:val="TableBodyText"/>
                  </w:pPr>
                  <w:r>
                    <w:rPr>
                      <w:color w:val="000000"/>
                    </w:rPr>
                    <w:noBreakHyphen/>
                  </w:r>
                  <w:r w:rsidRPr="00911F46">
                    <w:rPr>
                      <w:color w:val="000000"/>
                    </w:rPr>
                    <w:t>0.76</w:t>
                  </w:r>
                </w:p>
              </w:tc>
              <w:tc>
                <w:tcPr>
                  <w:tcW w:w="553" w:type="pct"/>
                  <w:tcBorders>
                    <w:top w:val="nil"/>
                    <w:left w:val="nil"/>
                    <w:bottom w:val="nil"/>
                    <w:right w:val="nil"/>
                  </w:tcBorders>
                  <w:shd w:val="clear" w:color="auto" w:fill="auto"/>
                  <w:vAlign w:val="bottom"/>
                </w:tcPr>
                <w:p w14:paraId="7954D227" w14:textId="77777777" w:rsidR="00F05DC7" w:rsidRPr="00911F46" w:rsidRDefault="00F05DC7" w:rsidP="00A3786D">
                  <w:pPr>
                    <w:pStyle w:val="TableBodyText"/>
                  </w:pPr>
                  <w:r>
                    <w:rPr>
                      <w:color w:val="000000"/>
                    </w:rPr>
                    <w:noBreakHyphen/>
                  </w:r>
                  <w:r w:rsidRPr="00911F46">
                    <w:rPr>
                      <w:color w:val="000000"/>
                    </w:rPr>
                    <w:t>0.47</w:t>
                  </w:r>
                </w:p>
              </w:tc>
            </w:tr>
            <w:tr w:rsidR="00F05DC7" w:rsidRPr="00A75ED1" w14:paraId="7954D232" w14:textId="77777777" w:rsidTr="00A3786D">
              <w:tc>
                <w:tcPr>
                  <w:tcW w:w="556" w:type="pct"/>
                  <w:shd w:val="clear" w:color="auto" w:fill="auto"/>
                </w:tcPr>
                <w:p w14:paraId="7954D229" w14:textId="77777777" w:rsidR="00F05DC7" w:rsidRPr="00911F46" w:rsidRDefault="00F05DC7" w:rsidP="00A3786D">
                  <w:pPr>
                    <w:pStyle w:val="TableBodyText"/>
                  </w:pPr>
                  <w:r w:rsidRPr="00911F46">
                    <w:t>2022</w:t>
                  </w:r>
                  <w:r>
                    <w:noBreakHyphen/>
                  </w:r>
                  <w:r w:rsidRPr="00911F46">
                    <w:t>23</w:t>
                  </w:r>
                </w:p>
              </w:tc>
              <w:tc>
                <w:tcPr>
                  <w:tcW w:w="557" w:type="pct"/>
                  <w:tcBorders>
                    <w:top w:val="nil"/>
                    <w:left w:val="nil"/>
                    <w:bottom w:val="nil"/>
                    <w:right w:val="nil"/>
                  </w:tcBorders>
                  <w:shd w:val="clear" w:color="auto" w:fill="auto"/>
                  <w:vAlign w:val="bottom"/>
                </w:tcPr>
                <w:p w14:paraId="7954D22A" w14:textId="77777777" w:rsidR="00F05DC7" w:rsidRPr="00911F46" w:rsidRDefault="00F05DC7" w:rsidP="00A3786D">
                  <w:pPr>
                    <w:pStyle w:val="TableBodyText"/>
                  </w:pPr>
                  <w:r w:rsidRPr="00911F46">
                    <w:rPr>
                      <w:color w:val="000000"/>
                    </w:rPr>
                    <w:t>0.54</w:t>
                  </w:r>
                </w:p>
              </w:tc>
              <w:tc>
                <w:tcPr>
                  <w:tcW w:w="557" w:type="pct"/>
                  <w:tcBorders>
                    <w:top w:val="nil"/>
                    <w:left w:val="nil"/>
                    <w:bottom w:val="nil"/>
                    <w:right w:val="nil"/>
                  </w:tcBorders>
                  <w:shd w:val="clear" w:color="auto" w:fill="auto"/>
                  <w:vAlign w:val="bottom"/>
                </w:tcPr>
                <w:p w14:paraId="7954D22B" w14:textId="77777777" w:rsidR="00F05DC7" w:rsidRPr="00911F46" w:rsidRDefault="00F05DC7" w:rsidP="00A3786D">
                  <w:pPr>
                    <w:pStyle w:val="TableBodyText"/>
                  </w:pPr>
                  <w:r>
                    <w:rPr>
                      <w:color w:val="000000"/>
                    </w:rPr>
                    <w:noBreakHyphen/>
                  </w:r>
                  <w:r w:rsidRPr="00911F46">
                    <w:rPr>
                      <w:color w:val="000000"/>
                    </w:rPr>
                    <w:t>1.23</w:t>
                  </w:r>
                </w:p>
              </w:tc>
              <w:tc>
                <w:tcPr>
                  <w:tcW w:w="556" w:type="pct"/>
                  <w:tcBorders>
                    <w:top w:val="nil"/>
                    <w:left w:val="nil"/>
                    <w:bottom w:val="nil"/>
                    <w:right w:val="nil"/>
                  </w:tcBorders>
                  <w:shd w:val="clear" w:color="auto" w:fill="auto"/>
                  <w:vAlign w:val="bottom"/>
                </w:tcPr>
                <w:p w14:paraId="7954D22C" w14:textId="77777777" w:rsidR="00F05DC7" w:rsidRPr="00911F46" w:rsidRDefault="00F05DC7" w:rsidP="00A3786D">
                  <w:pPr>
                    <w:pStyle w:val="TableBodyText"/>
                  </w:pPr>
                  <w:r>
                    <w:rPr>
                      <w:color w:val="000000"/>
                    </w:rPr>
                    <w:noBreakHyphen/>
                  </w:r>
                  <w:r w:rsidRPr="00911F46">
                    <w:rPr>
                      <w:color w:val="000000"/>
                    </w:rPr>
                    <w:t>1.26</w:t>
                  </w:r>
                </w:p>
              </w:tc>
              <w:tc>
                <w:tcPr>
                  <w:tcW w:w="556" w:type="pct"/>
                  <w:tcBorders>
                    <w:top w:val="nil"/>
                    <w:left w:val="nil"/>
                    <w:bottom w:val="nil"/>
                    <w:right w:val="nil"/>
                  </w:tcBorders>
                  <w:shd w:val="clear" w:color="auto" w:fill="auto"/>
                  <w:vAlign w:val="bottom"/>
                </w:tcPr>
                <w:p w14:paraId="7954D22D" w14:textId="77777777" w:rsidR="00F05DC7" w:rsidRPr="00911F46" w:rsidRDefault="00F05DC7" w:rsidP="00A3786D">
                  <w:pPr>
                    <w:pStyle w:val="TableBodyText"/>
                  </w:pPr>
                  <w:r w:rsidRPr="00911F46">
                    <w:rPr>
                      <w:color w:val="000000"/>
                    </w:rPr>
                    <w:t>5.05</w:t>
                  </w:r>
                </w:p>
              </w:tc>
              <w:tc>
                <w:tcPr>
                  <w:tcW w:w="555" w:type="pct"/>
                  <w:tcBorders>
                    <w:top w:val="nil"/>
                    <w:left w:val="nil"/>
                    <w:bottom w:val="nil"/>
                    <w:right w:val="nil"/>
                  </w:tcBorders>
                  <w:shd w:val="clear" w:color="auto" w:fill="auto"/>
                  <w:vAlign w:val="bottom"/>
                </w:tcPr>
                <w:p w14:paraId="7954D22E" w14:textId="77777777" w:rsidR="00F05DC7" w:rsidRPr="00911F46" w:rsidRDefault="00F05DC7" w:rsidP="00A3786D">
                  <w:pPr>
                    <w:pStyle w:val="TableBodyText"/>
                  </w:pPr>
                  <w:r>
                    <w:rPr>
                      <w:color w:val="000000"/>
                    </w:rPr>
                    <w:noBreakHyphen/>
                  </w:r>
                  <w:r w:rsidRPr="00911F46">
                    <w:rPr>
                      <w:color w:val="000000"/>
                    </w:rPr>
                    <w:t>1.26</w:t>
                  </w:r>
                </w:p>
              </w:tc>
              <w:tc>
                <w:tcPr>
                  <w:tcW w:w="555" w:type="pct"/>
                  <w:tcBorders>
                    <w:top w:val="nil"/>
                    <w:left w:val="nil"/>
                    <w:bottom w:val="nil"/>
                    <w:right w:val="nil"/>
                  </w:tcBorders>
                  <w:shd w:val="clear" w:color="auto" w:fill="auto"/>
                  <w:vAlign w:val="bottom"/>
                </w:tcPr>
                <w:p w14:paraId="7954D22F" w14:textId="77777777" w:rsidR="00F05DC7" w:rsidRPr="00911F46" w:rsidRDefault="00F05DC7" w:rsidP="00A3786D">
                  <w:pPr>
                    <w:pStyle w:val="TableBodyText"/>
                  </w:pPr>
                  <w:r>
                    <w:rPr>
                      <w:color w:val="000000"/>
                    </w:rPr>
                    <w:noBreakHyphen/>
                  </w:r>
                  <w:r w:rsidRPr="00911F46">
                    <w:rPr>
                      <w:color w:val="000000"/>
                    </w:rPr>
                    <w:t>1.25</w:t>
                  </w:r>
                </w:p>
              </w:tc>
              <w:tc>
                <w:tcPr>
                  <w:tcW w:w="555" w:type="pct"/>
                  <w:tcBorders>
                    <w:top w:val="nil"/>
                    <w:left w:val="nil"/>
                    <w:bottom w:val="nil"/>
                    <w:right w:val="nil"/>
                  </w:tcBorders>
                  <w:shd w:val="clear" w:color="auto" w:fill="auto"/>
                  <w:vAlign w:val="bottom"/>
                </w:tcPr>
                <w:p w14:paraId="7954D230" w14:textId="77777777" w:rsidR="00F05DC7" w:rsidRPr="00911F46" w:rsidRDefault="00F05DC7" w:rsidP="00A3786D">
                  <w:pPr>
                    <w:pStyle w:val="TableBodyText"/>
                  </w:pPr>
                  <w:r>
                    <w:rPr>
                      <w:color w:val="000000"/>
                    </w:rPr>
                    <w:noBreakHyphen/>
                  </w:r>
                  <w:r w:rsidRPr="00911F46">
                    <w:rPr>
                      <w:color w:val="000000"/>
                    </w:rPr>
                    <w:t>1.03</w:t>
                  </w:r>
                </w:p>
              </w:tc>
              <w:tc>
                <w:tcPr>
                  <w:tcW w:w="553" w:type="pct"/>
                  <w:tcBorders>
                    <w:top w:val="nil"/>
                    <w:left w:val="nil"/>
                    <w:bottom w:val="nil"/>
                    <w:right w:val="nil"/>
                  </w:tcBorders>
                  <w:shd w:val="clear" w:color="auto" w:fill="auto"/>
                  <w:vAlign w:val="bottom"/>
                </w:tcPr>
                <w:p w14:paraId="7954D231" w14:textId="77777777" w:rsidR="00F05DC7" w:rsidRPr="00911F46" w:rsidRDefault="00F05DC7" w:rsidP="00A3786D">
                  <w:pPr>
                    <w:pStyle w:val="TableBodyText"/>
                  </w:pPr>
                  <w:r>
                    <w:rPr>
                      <w:color w:val="000000"/>
                    </w:rPr>
                    <w:noBreakHyphen/>
                  </w:r>
                  <w:r w:rsidRPr="00911F46">
                    <w:rPr>
                      <w:color w:val="000000"/>
                    </w:rPr>
                    <w:t>0.63</w:t>
                  </w:r>
                </w:p>
              </w:tc>
            </w:tr>
            <w:tr w:rsidR="00F05DC7" w:rsidRPr="00A75ED1" w14:paraId="7954D23C" w14:textId="77777777" w:rsidTr="00A3786D">
              <w:tc>
                <w:tcPr>
                  <w:tcW w:w="556" w:type="pct"/>
                  <w:shd w:val="clear" w:color="auto" w:fill="auto"/>
                </w:tcPr>
                <w:p w14:paraId="7954D233" w14:textId="77777777" w:rsidR="00F05DC7" w:rsidRPr="00911F46" w:rsidRDefault="00F05DC7" w:rsidP="00A3786D">
                  <w:pPr>
                    <w:pStyle w:val="TableBodyText"/>
                  </w:pPr>
                  <w:r w:rsidRPr="00911F46">
                    <w:t>2023</w:t>
                  </w:r>
                  <w:r>
                    <w:noBreakHyphen/>
                  </w:r>
                  <w:r w:rsidRPr="00911F46">
                    <w:t>24</w:t>
                  </w:r>
                </w:p>
              </w:tc>
              <w:tc>
                <w:tcPr>
                  <w:tcW w:w="557" w:type="pct"/>
                  <w:tcBorders>
                    <w:top w:val="nil"/>
                    <w:left w:val="nil"/>
                    <w:bottom w:val="nil"/>
                    <w:right w:val="nil"/>
                  </w:tcBorders>
                  <w:shd w:val="clear" w:color="auto" w:fill="auto"/>
                  <w:vAlign w:val="bottom"/>
                </w:tcPr>
                <w:p w14:paraId="7954D234" w14:textId="77777777" w:rsidR="00F05DC7" w:rsidRPr="00911F46" w:rsidRDefault="00F05DC7" w:rsidP="00A3786D">
                  <w:pPr>
                    <w:pStyle w:val="TableBodyText"/>
                  </w:pPr>
                  <w:r w:rsidRPr="00911F46">
                    <w:rPr>
                      <w:color w:val="000000"/>
                    </w:rPr>
                    <w:t>0.69</w:t>
                  </w:r>
                </w:p>
              </w:tc>
              <w:tc>
                <w:tcPr>
                  <w:tcW w:w="557" w:type="pct"/>
                  <w:tcBorders>
                    <w:top w:val="nil"/>
                    <w:left w:val="nil"/>
                    <w:bottom w:val="nil"/>
                    <w:right w:val="nil"/>
                  </w:tcBorders>
                  <w:shd w:val="clear" w:color="auto" w:fill="auto"/>
                  <w:vAlign w:val="bottom"/>
                </w:tcPr>
                <w:p w14:paraId="7954D235" w14:textId="77777777" w:rsidR="00F05DC7" w:rsidRPr="00911F46" w:rsidRDefault="00F05DC7" w:rsidP="00A3786D">
                  <w:pPr>
                    <w:pStyle w:val="TableBodyText"/>
                  </w:pPr>
                  <w:r>
                    <w:rPr>
                      <w:color w:val="000000"/>
                    </w:rPr>
                    <w:noBreakHyphen/>
                  </w:r>
                  <w:r w:rsidRPr="00911F46">
                    <w:rPr>
                      <w:color w:val="000000"/>
                    </w:rPr>
                    <w:t>1.57</w:t>
                  </w:r>
                </w:p>
              </w:tc>
              <w:tc>
                <w:tcPr>
                  <w:tcW w:w="556" w:type="pct"/>
                  <w:tcBorders>
                    <w:top w:val="nil"/>
                    <w:left w:val="nil"/>
                    <w:bottom w:val="nil"/>
                    <w:right w:val="nil"/>
                  </w:tcBorders>
                  <w:shd w:val="clear" w:color="auto" w:fill="auto"/>
                  <w:vAlign w:val="bottom"/>
                </w:tcPr>
                <w:p w14:paraId="7954D236" w14:textId="77777777" w:rsidR="00F05DC7" w:rsidRPr="00911F46" w:rsidRDefault="00F05DC7" w:rsidP="00A3786D">
                  <w:pPr>
                    <w:pStyle w:val="TableBodyText"/>
                  </w:pPr>
                  <w:r>
                    <w:rPr>
                      <w:color w:val="000000"/>
                    </w:rPr>
                    <w:noBreakHyphen/>
                  </w:r>
                  <w:r w:rsidRPr="00911F46">
                    <w:rPr>
                      <w:color w:val="000000"/>
                    </w:rPr>
                    <w:t>1.60</w:t>
                  </w:r>
                </w:p>
              </w:tc>
              <w:tc>
                <w:tcPr>
                  <w:tcW w:w="556" w:type="pct"/>
                  <w:tcBorders>
                    <w:top w:val="nil"/>
                    <w:left w:val="nil"/>
                    <w:bottom w:val="nil"/>
                    <w:right w:val="nil"/>
                  </w:tcBorders>
                  <w:shd w:val="clear" w:color="auto" w:fill="auto"/>
                  <w:vAlign w:val="bottom"/>
                </w:tcPr>
                <w:p w14:paraId="7954D237" w14:textId="77777777" w:rsidR="00F05DC7" w:rsidRPr="00911F46" w:rsidRDefault="00F05DC7" w:rsidP="00A3786D">
                  <w:pPr>
                    <w:pStyle w:val="TableBodyText"/>
                  </w:pPr>
                  <w:r w:rsidRPr="00911F46">
                    <w:rPr>
                      <w:color w:val="000000"/>
                    </w:rPr>
                    <w:t>6.43</w:t>
                  </w:r>
                </w:p>
              </w:tc>
              <w:tc>
                <w:tcPr>
                  <w:tcW w:w="555" w:type="pct"/>
                  <w:tcBorders>
                    <w:top w:val="nil"/>
                    <w:left w:val="nil"/>
                    <w:bottom w:val="nil"/>
                    <w:right w:val="nil"/>
                  </w:tcBorders>
                  <w:shd w:val="clear" w:color="auto" w:fill="auto"/>
                  <w:vAlign w:val="bottom"/>
                </w:tcPr>
                <w:p w14:paraId="7954D238" w14:textId="77777777" w:rsidR="00F05DC7" w:rsidRPr="00911F46" w:rsidRDefault="00F05DC7" w:rsidP="00A3786D">
                  <w:pPr>
                    <w:pStyle w:val="TableBodyText"/>
                  </w:pPr>
                  <w:r>
                    <w:rPr>
                      <w:color w:val="000000"/>
                    </w:rPr>
                    <w:noBreakHyphen/>
                  </w:r>
                  <w:r w:rsidRPr="00911F46">
                    <w:rPr>
                      <w:color w:val="000000"/>
                    </w:rPr>
                    <w:t>1.60</w:t>
                  </w:r>
                </w:p>
              </w:tc>
              <w:tc>
                <w:tcPr>
                  <w:tcW w:w="555" w:type="pct"/>
                  <w:tcBorders>
                    <w:top w:val="nil"/>
                    <w:left w:val="nil"/>
                    <w:bottom w:val="nil"/>
                    <w:right w:val="nil"/>
                  </w:tcBorders>
                  <w:shd w:val="clear" w:color="auto" w:fill="auto"/>
                  <w:vAlign w:val="bottom"/>
                </w:tcPr>
                <w:p w14:paraId="7954D239" w14:textId="77777777" w:rsidR="00F05DC7" w:rsidRPr="00911F46" w:rsidRDefault="00F05DC7" w:rsidP="00A3786D">
                  <w:pPr>
                    <w:pStyle w:val="TableBodyText"/>
                  </w:pPr>
                  <w:r>
                    <w:rPr>
                      <w:color w:val="000000"/>
                    </w:rPr>
                    <w:noBreakHyphen/>
                  </w:r>
                  <w:r w:rsidRPr="00911F46">
                    <w:rPr>
                      <w:color w:val="000000"/>
                    </w:rPr>
                    <w:t>1.58</w:t>
                  </w:r>
                </w:p>
              </w:tc>
              <w:tc>
                <w:tcPr>
                  <w:tcW w:w="555" w:type="pct"/>
                  <w:tcBorders>
                    <w:top w:val="nil"/>
                    <w:left w:val="nil"/>
                    <w:bottom w:val="nil"/>
                    <w:right w:val="nil"/>
                  </w:tcBorders>
                  <w:shd w:val="clear" w:color="auto" w:fill="auto"/>
                  <w:vAlign w:val="bottom"/>
                </w:tcPr>
                <w:p w14:paraId="7954D23A" w14:textId="77777777" w:rsidR="00F05DC7" w:rsidRPr="00911F46" w:rsidRDefault="00F05DC7" w:rsidP="00A3786D">
                  <w:pPr>
                    <w:pStyle w:val="TableBodyText"/>
                  </w:pPr>
                  <w:r>
                    <w:rPr>
                      <w:color w:val="000000"/>
                    </w:rPr>
                    <w:noBreakHyphen/>
                  </w:r>
                  <w:r w:rsidRPr="00911F46">
                    <w:rPr>
                      <w:color w:val="000000"/>
                    </w:rPr>
                    <w:t>1.29</w:t>
                  </w:r>
                </w:p>
              </w:tc>
              <w:tc>
                <w:tcPr>
                  <w:tcW w:w="553" w:type="pct"/>
                  <w:tcBorders>
                    <w:top w:val="nil"/>
                    <w:left w:val="nil"/>
                    <w:bottom w:val="nil"/>
                    <w:right w:val="nil"/>
                  </w:tcBorders>
                  <w:shd w:val="clear" w:color="auto" w:fill="auto"/>
                  <w:vAlign w:val="bottom"/>
                </w:tcPr>
                <w:p w14:paraId="7954D23B" w14:textId="77777777" w:rsidR="00F05DC7" w:rsidRPr="00911F46" w:rsidRDefault="00F05DC7" w:rsidP="00A3786D">
                  <w:pPr>
                    <w:pStyle w:val="TableBodyText"/>
                  </w:pPr>
                  <w:r>
                    <w:rPr>
                      <w:color w:val="000000"/>
                    </w:rPr>
                    <w:noBreakHyphen/>
                  </w:r>
                  <w:r w:rsidRPr="00911F46">
                    <w:rPr>
                      <w:color w:val="000000"/>
                    </w:rPr>
                    <w:t>0.79</w:t>
                  </w:r>
                </w:p>
              </w:tc>
            </w:tr>
            <w:tr w:rsidR="00F05DC7" w:rsidRPr="00A75ED1" w14:paraId="7954D246" w14:textId="77777777" w:rsidTr="00A3786D">
              <w:tc>
                <w:tcPr>
                  <w:tcW w:w="556" w:type="pct"/>
                  <w:shd w:val="clear" w:color="auto" w:fill="auto"/>
                </w:tcPr>
                <w:p w14:paraId="7954D23D" w14:textId="77777777" w:rsidR="00F05DC7" w:rsidRPr="00911F46" w:rsidRDefault="00F05DC7" w:rsidP="00A3786D">
                  <w:pPr>
                    <w:pStyle w:val="TableBodyText"/>
                  </w:pPr>
                  <w:r w:rsidRPr="00911F46">
                    <w:t>2024</w:t>
                  </w:r>
                  <w:r>
                    <w:noBreakHyphen/>
                  </w:r>
                  <w:r w:rsidRPr="00911F46">
                    <w:t>25</w:t>
                  </w:r>
                </w:p>
              </w:tc>
              <w:tc>
                <w:tcPr>
                  <w:tcW w:w="557" w:type="pct"/>
                  <w:tcBorders>
                    <w:top w:val="nil"/>
                    <w:left w:val="nil"/>
                    <w:bottom w:val="nil"/>
                    <w:right w:val="nil"/>
                  </w:tcBorders>
                  <w:shd w:val="clear" w:color="auto" w:fill="auto"/>
                  <w:vAlign w:val="bottom"/>
                </w:tcPr>
                <w:p w14:paraId="7954D23E" w14:textId="77777777" w:rsidR="00F05DC7" w:rsidRPr="00911F46" w:rsidRDefault="00F05DC7" w:rsidP="00A3786D">
                  <w:pPr>
                    <w:pStyle w:val="TableBodyText"/>
                  </w:pPr>
                  <w:r w:rsidRPr="00911F46">
                    <w:rPr>
                      <w:color w:val="000000"/>
                    </w:rPr>
                    <w:t>0.84</w:t>
                  </w:r>
                </w:p>
              </w:tc>
              <w:tc>
                <w:tcPr>
                  <w:tcW w:w="557" w:type="pct"/>
                  <w:tcBorders>
                    <w:top w:val="nil"/>
                    <w:left w:val="nil"/>
                    <w:bottom w:val="nil"/>
                    <w:right w:val="nil"/>
                  </w:tcBorders>
                  <w:shd w:val="clear" w:color="auto" w:fill="auto"/>
                  <w:vAlign w:val="bottom"/>
                </w:tcPr>
                <w:p w14:paraId="7954D23F" w14:textId="77777777" w:rsidR="00F05DC7" w:rsidRPr="00911F46" w:rsidRDefault="00F05DC7" w:rsidP="00A3786D">
                  <w:pPr>
                    <w:pStyle w:val="TableBodyText"/>
                  </w:pPr>
                  <w:r>
                    <w:rPr>
                      <w:color w:val="000000"/>
                    </w:rPr>
                    <w:noBreakHyphen/>
                  </w:r>
                  <w:r w:rsidRPr="00911F46">
                    <w:rPr>
                      <w:color w:val="000000"/>
                    </w:rPr>
                    <w:t>1.91</w:t>
                  </w:r>
                </w:p>
              </w:tc>
              <w:tc>
                <w:tcPr>
                  <w:tcW w:w="556" w:type="pct"/>
                  <w:tcBorders>
                    <w:top w:val="nil"/>
                    <w:left w:val="nil"/>
                    <w:bottom w:val="nil"/>
                    <w:right w:val="nil"/>
                  </w:tcBorders>
                  <w:shd w:val="clear" w:color="auto" w:fill="auto"/>
                  <w:vAlign w:val="bottom"/>
                </w:tcPr>
                <w:p w14:paraId="7954D240" w14:textId="77777777" w:rsidR="00F05DC7" w:rsidRPr="00911F46" w:rsidRDefault="00F05DC7" w:rsidP="00A3786D">
                  <w:pPr>
                    <w:pStyle w:val="TableBodyText"/>
                  </w:pPr>
                  <w:r>
                    <w:rPr>
                      <w:color w:val="000000"/>
                    </w:rPr>
                    <w:noBreakHyphen/>
                  </w:r>
                  <w:r w:rsidRPr="00911F46">
                    <w:rPr>
                      <w:color w:val="000000"/>
                    </w:rPr>
                    <w:t>1.94</w:t>
                  </w:r>
                </w:p>
              </w:tc>
              <w:tc>
                <w:tcPr>
                  <w:tcW w:w="556" w:type="pct"/>
                  <w:tcBorders>
                    <w:top w:val="nil"/>
                    <w:left w:val="nil"/>
                    <w:bottom w:val="nil"/>
                    <w:right w:val="nil"/>
                  </w:tcBorders>
                  <w:shd w:val="clear" w:color="auto" w:fill="auto"/>
                  <w:vAlign w:val="bottom"/>
                </w:tcPr>
                <w:p w14:paraId="7954D241" w14:textId="77777777" w:rsidR="00F05DC7" w:rsidRPr="00911F46" w:rsidRDefault="00F05DC7" w:rsidP="00A3786D">
                  <w:pPr>
                    <w:pStyle w:val="TableBodyText"/>
                  </w:pPr>
                  <w:r w:rsidRPr="00911F46">
                    <w:rPr>
                      <w:color w:val="000000"/>
                    </w:rPr>
                    <w:t>7.85</w:t>
                  </w:r>
                </w:p>
              </w:tc>
              <w:tc>
                <w:tcPr>
                  <w:tcW w:w="555" w:type="pct"/>
                  <w:tcBorders>
                    <w:top w:val="nil"/>
                    <w:left w:val="nil"/>
                    <w:bottom w:val="nil"/>
                    <w:right w:val="nil"/>
                  </w:tcBorders>
                  <w:shd w:val="clear" w:color="auto" w:fill="auto"/>
                  <w:vAlign w:val="bottom"/>
                </w:tcPr>
                <w:p w14:paraId="7954D242" w14:textId="77777777" w:rsidR="00F05DC7" w:rsidRPr="00911F46" w:rsidRDefault="00F05DC7" w:rsidP="00A3786D">
                  <w:pPr>
                    <w:pStyle w:val="TableBodyText"/>
                  </w:pPr>
                  <w:r>
                    <w:rPr>
                      <w:color w:val="000000"/>
                    </w:rPr>
                    <w:noBreakHyphen/>
                  </w:r>
                  <w:r w:rsidRPr="00911F46">
                    <w:rPr>
                      <w:color w:val="000000"/>
                    </w:rPr>
                    <w:t>1.94</w:t>
                  </w:r>
                </w:p>
              </w:tc>
              <w:tc>
                <w:tcPr>
                  <w:tcW w:w="555" w:type="pct"/>
                  <w:tcBorders>
                    <w:top w:val="nil"/>
                    <w:left w:val="nil"/>
                    <w:bottom w:val="nil"/>
                    <w:right w:val="nil"/>
                  </w:tcBorders>
                  <w:shd w:val="clear" w:color="auto" w:fill="auto"/>
                  <w:vAlign w:val="bottom"/>
                </w:tcPr>
                <w:p w14:paraId="7954D243" w14:textId="77777777" w:rsidR="00F05DC7" w:rsidRPr="00911F46" w:rsidRDefault="00F05DC7" w:rsidP="00A3786D">
                  <w:pPr>
                    <w:pStyle w:val="TableBodyText"/>
                  </w:pPr>
                  <w:r>
                    <w:rPr>
                      <w:color w:val="000000"/>
                    </w:rPr>
                    <w:noBreakHyphen/>
                  </w:r>
                  <w:r w:rsidRPr="00911F46">
                    <w:rPr>
                      <w:color w:val="000000"/>
                    </w:rPr>
                    <w:t>1.91</w:t>
                  </w:r>
                </w:p>
              </w:tc>
              <w:tc>
                <w:tcPr>
                  <w:tcW w:w="555" w:type="pct"/>
                  <w:tcBorders>
                    <w:top w:val="nil"/>
                    <w:left w:val="nil"/>
                    <w:bottom w:val="nil"/>
                    <w:right w:val="nil"/>
                  </w:tcBorders>
                  <w:shd w:val="clear" w:color="auto" w:fill="auto"/>
                  <w:vAlign w:val="bottom"/>
                </w:tcPr>
                <w:p w14:paraId="7954D244" w14:textId="77777777" w:rsidR="00F05DC7" w:rsidRPr="00911F46" w:rsidRDefault="00F05DC7" w:rsidP="00A3786D">
                  <w:pPr>
                    <w:pStyle w:val="TableBodyText"/>
                  </w:pPr>
                  <w:r>
                    <w:rPr>
                      <w:color w:val="000000"/>
                    </w:rPr>
                    <w:noBreakHyphen/>
                  </w:r>
                  <w:r w:rsidRPr="00911F46">
                    <w:rPr>
                      <w:color w:val="000000"/>
                    </w:rPr>
                    <w:t>1.56</w:t>
                  </w:r>
                </w:p>
              </w:tc>
              <w:tc>
                <w:tcPr>
                  <w:tcW w:w="553" w:type="pct"/>
                  <w:tcBorders>
                    <w:top w:val="nil"/>
                    <w:left w:val="nil"/>
                    <w:bottom w:val="nil"/>
                    <w:right w:val="nil"/>
                  </w:tcBorders>
                  <w:shd w:val="clear" w:color="auto" w:fill="auto"/>
                  <w:vAlign w:val="bottom"/>
                </w:tcPr>
                <w:p w14:paraId="7954D245" w14:textId="77777777" w:rsidR="00F05DC7" w:rsidRPr="00911F46" w:rsidRDefault="00F05DC7" w:rsidP="00A3786D">
                  <w:pPr>
                    <w:pStyle w:val="TableBodyText"/>
                  </w:pPr>
                  <w:r>
                    <w:rPr>
                      <w:color w:val="000000"/>
                    </w:rPr>
                    <w:noBreakHyphen/>
                  </w:r>
                  <w:r w:rsidRPr="00911F46">
                    <w:rPr>
                      <w:color w:val="000000"/>
                    </w:rPr>
                    <w:t>0.95</w:t>
                  </w:r>
                </w:p>
              </w:tc>
            </w:tr>
            <w:tr w:rsidR="00F05DC7" w:rsidRPr="00A75ED1" w14:paraId="7954D250" w14:textId="77777777" w:rsidTr="00A3786D">
              <w:tc>
                <w:tcPr>
                  <w:tcW w:w="556" w:type="pct"/>
                  <w:shd w:val="clear" w:color="auto" w:fill="auto"/>
                </w:tcPr>
                <w:p w14:paraId="7954D247" w14:textId="77777777" w:rsidR="00F05DC7" w:rsidRPr="00911F46" w:rsidRDefault="00F05DC7" w:rsidP="00A3786D">
                  <w:pPr>
                    <w:pStyle w:val="TableBodyText"/>
                  </w:pPr>
                  <w:r w:rsidRPr="00911F46">
                    <w:t>2025</w:t>
                  </w:r>
                  <w:r>
                    <w:noBreakHyphen/>
                  </w:r>
                  <w:r w:rsidRPr="00911F46">
                    <w:t>26</w:t>
                  </w:r>
                </w:p>
              </w:tc>
              <w:tc>
                <w:tcPr>
                  <w:tcW w:w="557" w:type="pct"/>
                  <w:tcBorders>
                    <w:top w:val="nil"/>
                    <w:left w:val="nil"/>
                    <w:bottom w:val="nil"/>
                    <w:right w:val="nil"/>
                  </w:tcBorders>
                  <w:shd w:val="clear" w:color="auto" w:fill="auto"/>
                  <w:vAlign w:val="bottom"/>
                </w:tcPr>
                <w:p w14:paraId="7954D248" w14:textId="77777777" w:rsidR="00F05DC7" w:rsidRPr="00911F46" w:rsidRDefault="00F05DC7" w:rsidP="00A3786D">
                  <w:pPr>
                    <w:pStyle w:val="TableBodyText"/>
                  </w:pPr>
                  <w:r w:rsidRPr="00911F46">
                    <w:rPr>
                      <w:color w:val="000000"/>
                    </w:rPr>
                    <w:t>1.01</w:t>
                  </w:r>
                </w:p>
              </w:tc>
              <w:tc>
                <w:tcPr>
                  <w:tcW w:w="557" w:type="pct"/>
                  <w:tcBorders>
                    <w:top w:val="nil"/>
                    <w:left w:val="nil"/>
                    <w:bottom w:val="nil"/>
                    <w:right w:val="nil"/>
                  </w:tcBorders>
                  <w:shd w:val="clear" w:color="auto" w:fill="auto"/>
                  <w:vAlign w:val="bottom"/>
                </w:tcPr>
                <w:p w14:paraId="7954D249" w14:textId="77777777" w:rsidR="00F05DC7" w:rsidRPr="00911F46" w:rsidRDefault="00F05DC7" w:rsidP="00A3786D">
                  <w:pPr>
                    <w:pStyle w:val="TableBodyText"/>
                  </w:pPr>
                  <w:r>
                    <w:rPr>
                      <w:color w:val="000000"/>
                    </w:rPr>
                    <w:noBreakHyphen/>
                  </w:r>
                  <w:r w:rsidRPr="00911F46">
                    <w:rPr>
                      <w:color w:val="000000"/>
                    </w:rPr>
                    <w:t>2.27</w:t>
                  </w:r>
                </w:p>
              </w:tc>
              <w:tc>
                <w:tcPr>
                  <w:tcW w:w="556" w:type="pct"/>
                  <w:tcBorders>
                    <w:top w:val="nil"/>
                    <w:left w:val="nil"/>
                    <w:bottom w:val="nil"/>
                    <w:right w:val="nil"/>
                  </w:tcBorders>
                  <w:shd w:val="clear" w:color="auto" w:fill="auto"/>
                  <w:vAlign w:val="bottom"/>
                </w:tcPr>
                <w:p w14:paraId="7954D24A" w14:textId="77777777" w:rsidR="00F05DC7" w:rsidRPr="00911F46" w:rsidRDefault="00F05DC7" w:rsidP="00A3786D">
                  <w:pPr>
                    <w:pStyle w:val="TableBodyText"/>
                  </w:pPr>
                  <w:r>
                    <w:rPr>
                      <w:color w:val="000000"/>
                    </w:rPr>
                    <w:noBreakHyphen/>
                  </w:r>
                  <w:r w:rsidRPr="00911F46">
                    <w:rPr>
                      <w:color w:val="000000"/>
                    </w:rPr>
                    <w:t>2.30</w:t>
                  </w:r>
                </w:p>
              </w:tc>
              <w:tc>
                <w:tcPr>
                  <w:tcW w:w="556" w:type="pct"/>
                  <w:tcBorders>
                    <w:top w:val="nil"/>
                    <w:left w:val="nil"/>
                    <w:bottom w:val="nil"/>
                    <w:right w:val="nil"/>
                  </w:tcBorders>
                  <w:shd w:val="clear" w:color="auto" w:fill="auto"/>
                  <w:vAlign w:val="bottom"/>
                </w:tcPr>
                <w:p w14:paraId="7954D24B" w14:textId="77777777" w:rsidR="00F05DC7" w:rsidRPr="00911F46" w:rsidRDefault="00F05DC7" w:rsidP="00A3786D">
                  <w:pPr>
                    <w:pStyle w:val="TableBodyText"/>
                  </w:pPr>
                  <w:r w:rsidRPr="00911F46">
                    <w:rPr>
                      <w:color w:val="000000"/>
                    </w:rPr>
                    <w:t>9.33</w:t>
                  </w:r>
                </w:p>
              </w:tc>
              <w:tc>
                <w:tcPr>
                  <w:tcW w:w="555" w:type="pct"/>
                  <w:tcBorders>
                    <w:top w:val="nil"/>
                    <w:left w:val="nil"/>
                    <w:bottom w:val="nil"/>
                    <w:right w:val="nil"/>
                  </w:tcBorders>
                  <w:shd w:val="clear" w:color="auto" w:fill="auto"/>
                  <w:vAlign w:val="bottom"/>
                </w:tcPr>
                <w:p w14:paraId="7954D24C" w14:textId="77777777" w:rsidR="00F05DC7" w:rsidRPr="00911F46" w:rsidRDefault="00F05DC7" w:rsidP="00A3786D">
                  <w:pPr>
                    <w:pStyle w:val="TableBodyText"/>
                  </w:pPr>
                  <w:r>
                    <w:rPr>
                      <w:color w:val="000000"/>
                    </w:rPr>
                    <w:noBreakHyphen/>
                  </w:r>
                  <w:r w:rsidRPr="00911F46">
                    <w:rPr>
                      <w:color w:val="000000"/>
                    </w:rPr>
                    <w:t>2.28</w:t>
                  </w:r>
                </w:p>
              </w:tc>
              <w:tc>
                <w:tcPr>
                  <w:tcW w:w="555" w:type="pct"/>
                  <w:tcBorders>
                    <w:top w:val="nil"/>
                    <w:left w:val="nil"/>
                    <w:bottom w:val="nil"/>
                    <w:right w:val="nil"/>
                  </w:tcBorders>
                  <w:shd w:val="clear" w:color="auto" w:fill="auto"/>
                  <w:vAlign w:val="bottom"/>
                </w:tcPr>
                <w:p w14:paraId="7954D24D" w14:textId="77777777" w:rsidR="00F05DC7" w:rsidRPr="00911F46" w:rsidRDefault="00F05DC7" w:rsidP="00A3786D">
                  <w:pPr>
                    <w:pStyle w:val="TableBodyText"/>
                  </w:pPr>
                  <w:r>
                    <w:rPr>
                      <w:color w:val="000000"/>
                    </w:rPr>
                    <w:noBreakHyphen/>
                  </w:r>
                  <w:r w:rsidRPr="00911F46">
                    <w:rPr>
                      <w:color w:val="000000"/>
                    </w:rPr>
                    <w:t>2.24</w:t>
                  </w:r>
                </w:p>
              </w:tc>
              <w:tc>
                <w:tcPr>
                  <w:tcW w:w="555" w:type="pct"/>
                  <w:tcBorders>
                    <w:top w:val="nil"/>
                    <w:left w:val="nil"/>
                    <w:bottom w:val="nil"/>
                    <w:right w:val="nil"/>
                  </w:tcBorders>
                  <w:shd w:val="clear" w:color="auto" w:fill="auto"/>
                  <w:vAlign w:val="bottom"/>
                </w:tcPr>
                <w:p w14:paraId="7954D24E" w14:textId="77777777" w:rsidR="00F05DC7" w:rsidRPr="00911F46" w:rsidRDefault="00F05DC7" w:rsidP="00A3786D">
                  <w:pPr>
                    <w:pStyle w:val="TableBodyText"/>
                  </w:pPr>
                  <w:r>
                    <w:rPr>
                      <w:color w:val="000000"/>
                    </w:rPr>
                    <w:noBreakHyphen/>
                  </w:r>
                  <w:r w:rsidRPr="00911F46">
                    <w:rPr>
                      <w:color w:val="000000"/>
                    </w:rPr>
                    <w:t>1.84</w:t>
                  </w:r>
                </w:p>
              </w:tc>
              <w:tc>
                <w:tcPr>
                  <w:tcW w:w="553" w:type="pct"/>
                  <w:tcBorders>
                    <w:top w:val="nil"/>
                    <w:left w:val="nil"/>
                    <w:bottom w:val="nil"/>
                    <w:right w:val="nil"/>
                  </w:tcBorders>
                  <w:shd w:val="clear" w:color="auto" w:fill="auto"/>
                  <w:vAlign w:val="bottom"/>
                </w:tcPr>
                <w:p w14:paraId="7954D24F" w14:textId="77777777" w:rsidR="00F05DC7" w:rsidRPr="00911F46" w:rsidRDefault="00F05DC7" w:rsidP="00A3786D">
                  <w:pPr>
                    <w:pStyle w:val="TableBodyText"/>
                  </w:pPr>
                  <w:r>
                    <w:rPr>
                      <w:color w:val="000000"/>
                    </w:rPr>
                    <w:noBreakHyphen/>
                  </w:r>
                  <w:r w:rsidRPr="00911F46">
                    <w:rPr>
                      <w:color w:val="000000"/>
                    </w:rPr>
                    <w:t>1.12</w:t>
                  </w:r>
                </w:p>
              </w:tc>
            </w:tr>
            <w:tr w:rsidR="00F05DC7" w:rsidRPr="00A75ED1" w14:paraId="7954D25A" w14:textId="77777777" w:rsidTr="00A3786D">
              <w:tc>
                <w:tcPr>
                  <w:tcW w:w="556" w:type="pct"/>
                  <w:tcBorders>
                    <w:bottom w:val="single" w:sz="6" w:space="0" w:color="D9D9D9" w:themeColor="background1" w:themeShade="D9"/>
                  </w:tcBorders>
                  <w:shd w:val="clear" w:color="auto" w:fill="auto"/>
                </w:tcPr>
                <w:p w14:paraId="7954D251" w14:textId="77777777" w:rsidR="00F05DC7" w:rsidRPr="00911F46" w:rsidRDefault="00F05DC7" w:rsidP="00A3786D">
                  <w:pPr>
                    <w:pStyle w:val="TableBodyText"/>
                  </w:pPr>
                  <w:r w:rsidRPr="00911F46">
                    <w:t>2026</w:t>
                  </w:r>
                  <w:r>
                    <w:noBreakHyphen/>
                  </w:r>
                  <w:r w:rsidRPr="00911F46">
                    <w:t>27</w:t>
                  </w:r>
                </w:p>
              </w:tc>
              <w:tc>
                <w:tcPr>
                  <w:tcW w:w="557" w:type="pct"/>
                  <w:tcBorders>
                    <w:top w:val="nil"/>
                    <w:left w:val="nil"/>
                    <w:bottom w:val="single" w:sz="6" w:space="0" w:color="D9D9D9" w:themeColor="background1" w:themeShade="D9"/>
                    <w:right w:val="nil"/>
                  </w:tcBorders>
                  <w:shd w:val="clear" w:color="auto" w:fill="auto"/>
                  <w:vAlign w:val="bottom"/>
                </w:tcPr>
                <w:p w14:paraId="7954D252" w14:textId="77777777" w:rsidR="00F05DC7" w:rsidRPr="00911F46" w:rsidRDefault="00F05DC7" w:rsidP="00A3786D">
                  <w:pPr>
                    <w:pStyle w:val="TableBodyText"/>
                  </w:pPr>
                  <w:r w:rsidRPr="00911F46">
                    <w:rPr>
                      <w:color w:val="000000"/>
                    </w:rPr>
                    <w:t>1.17</w:t>
                  </w:r>
                </w:p>
              </w:tc>
              <w:tc>
                <w:tcPr>
                  <w:tcW w:w="557" w:type="pct"/>
                  <w:tcBorders>
                    <w:top w:val="nil"/>
                    <w:left w:val="nil"/>
                    <w:bottom w:val="single" w:sz="6" w:space="0" w:color="D9D9D9" w:themeColor="background1" w:themeShade="D9"/>
                    <w:right w:val="nil"/>
                  </w:tcBorders>
                  <w:shd w:val="clear" w:color="auto" w:fill="auto"/>
                  <w:vAlign w:val="bottom"/>
                </w:tcPr>
                <w:p w14:paraId="7954D253" w14:textId="77777777" w:rsidR="00F05DC7" w:rsidRPr="00911F46" w:rsidRDefault="00F05DC7" w:rsidP="00A3786D">
                  <w:pPr>
                    <w:pStyle w:val="TableBodyText"/>
                  </w:pPr>
                  <w:r>
                    <w:rPr>
                      <w:color w:val="000000"/>
                    </w:rPr>
                    <w:noBreakHyphen/>
                  </w:r>
                  <w:r w:rsidRPr="00911F46">
                    <w:rPr>
                      <w:color w:val="000000"/>
                    </w:rPr>
                    <w:t>2.65</w:t>
                  </w:r>
                </w:p>
              </w:tc>
              <w:tc>
                <w:tcPr>
                  <w:tcW w:w="556" w:type="pct"/>
                  <w:tcBorders>
                    <w:top w:val="nil"/>
                    <w:left w:val="nil"/>
                    <w:bottom w:val="single" w:sz="6" w:space="0" w:color="D9D9D9" w:themeColor="background1" w:themeShade="D9"/>
                    <w:right w:val="nil"/>
                  </w:tcBorders>
                  <w:shd w:val="clear" w:color="auto" w:fill="auto"/>
                  <w:vAlign w:val="bottom"/>
                </w:tcPr>
                <w:p w14:paraId="7954D254" w14:textId="77777777" w:rsidR="00F05DC7" w:rsidRPr="00911F46" w:rsidRDefault="00F05DC7" w:rsidP="00A3786D">
                  <w:pPr>
                    <w:pStyle w:val="TableBodyText"/>
                  </w:pPr>
                  <w:r>
                    <w:rPr>
                      <w:color w:val="000000"/>
                    </w:rPr>
                    <w:noBreakHyphen/>
                  </w:r>
                  <w:r w:rsidRPr="00911F46">
                    <w:rPr>
                      <w:color w:val="000000"/>
                    </w:rPr>
                    <w:t>2.66</w:t>
                  </w:r>
                </w:p>
              </w:tc>
              <w:tc>
                <w:tcPr>
                  <w:tcW w:w="556" w:type="pct"/>
                  <w:tcBorders>
                    <w:top w:val="nil"/>
                    <w:left w:val="nil"/>
                    <w:bottom w:val="single" w:sz="6" w:space="0" w:color="D9D9D9" w:themeColor="background1" w:themeShade="D9"/>
                    <w:right w:val="nil"/>
                  </w:tcBorders>
                  <w:shd w:val="clear" w:color="auto" w:fill="auto"/>
                  <w:vAlign w:val="bottom"/>
                </w:tcPr>
                <w:p w14:paraId="7954D255" w14:textId="77777777" w:rsidR="00F05DC7" w:rsidRPr="00911F46" w:rsidRDefault="00F05DC7" w:rsidP="00A3786D">
                  <w:pPr>
                    <w:pStyle w:val="TableBodyText"/>
                  </w:pPr>
                  <w:r w:rsidRPr="00911F46">
                    <w:rPr>
                      <w:color w:val="000000"/>
                    </w:rPr>
                    <w:t>10.87</w:t>
                  </w:r>
                </w:p>
              </w:tc>
              <w:tc>
                <w:tcPr>
                  <w:tcW w:w="555" w:type="pct"/>
                  <w:tcBorders>
                    <w:top w:val="nil"/>
                    <w:left w:val="nil"/>
                    <w:bottom w:val="single" w:sz="6" w:space="0" w:color="D9D9D9" w:themeColor="background1" w:themeShade="D9"/>
                    <w:right w:val="nil"/>
                  </w:tcBorders>
                  <w:shd w:val="clear" w:color="auto" w:fill="auto"/>
                  <w:vAlign w:val="bottom"/>
                </w:tcPr>
                <w:p w14:paraId="7954D256" w14:textId="77777777" w:rsidR="00F05DC7" w:rsidRPr="00911F46" w:rsidRDefault="00F05DC7" w:rsidP="00A3786D">
                  <w:pPr>
                    <w:pStyle w:val="TableBodyText"/>
                  </w:pPr>
                  <w:r>
                    <w:rPr>
                      <w:color w:val="000000"/>
                    </w:rPr>
                    <w:noBreakHyphen/>
                  </w:r>
                  <w:r w:rsidRPr="00911F46">
                    <w:rPr>
                      <w:color w:val="000000"/>
                    </w:rPr>
                    <w:t>2.64</w:t>
                  </w:r>
                </w:p>
              </w:tc>
              <w:tc>
                <w:tcPr>
                  <w:tcW w:w="555" w:type="pct"/>
                  <w:tcBorders>
                    <w:top w:val="nil"/>
                    <w:left w:val="nil"/>
                    <w:bottom w:val="single" w:sz="6" w:space="0" w:color="D9D9D9" w:themeColor="background1" w:themeShade="D9"/>
                    <w:right w:val="nil"/>
                  </w:tcBorders>
                  <w:shd w:val="clear" w:color="auto" w:fill="auto"/>
                  <w:vAlign w:val="bottom"/>
                </w:tcPr>
                <w:p w14:paraId="7954D257" w14:textId="77777777" w:rsidR="00F05DC7" w:rsidRPr="00911F46" w:rsidRDefault="00F05DC7" w:rsidP="00A3786D">
                  <w:pPr>
                    <w:pStyle w:val="TableBodyText"/>
                  </w:pPr>
                  <w:r>
                    <w:rPr>
                      <w:color w:val="000000"/>
                    </w:rPr>
                    <w:noBreakHyphen/>
                  </w:r>
                  <w:r w:rsidRPr="00911F46">
                    <w:rPr>
                      <w:color w:val="000000"/>
                    </w:rPr>
                    <w:t>2.58</w:t>
                  </w:r>
                </w:p>
              </w:tc>
              <w:tc>
                <w:tcPr>
                  <w:tcW w:w="555" w:type="pct"/>
                  <w:tcBorders>
                    <w:top w:val="nil"/>
                    <w:left w:val="nil"/>
                    <w:bottom w:val="single" w:sz="6" w:space="0" w:color="D9D9D9" w:themeColor="background1" w:themeShade="D9"/>
                    <w:right w:val="nil"/>
                  </w:tcBorders>
                  <w:shd w:val="clear" w:color="auto" w:fill="auto"/>
                  <w:vAlign w:val="bottom"/>
                </w:tcPr>
                <w:p w14:paraId="7954D258" w14:textId="77777777" w:rsidR="00F05DC7" w:rsidRPr="00911F46" w:rsidRDefault="00F05DC7" w:rsidP="00A3786D">
                  <w:pPr>
                    <w:pStyle w:val="TableBodyText"/>
                  </w:pPr>
                  <w:r>
                    <w:rPr>
                      <w:color w:val="000000"/>
                    </w:rPr>
                    <w:noBreakHyphen/>
                  </w:r>
                  <w:r w:rsidRPr="00911F46">
                    <w:rPr>
                      <w:color w:val="000000"/>
                    </w:rPr>
                    <w:t>2.12</w:t>
                  </w:r>
                </w:p>
              </w:tc>
              <w:tc>
                <w:tcPr>
                  <w:tcW w:w="553" w:type="pct"/>
                  <w:tcBorders>
                    <w:top w:val="nil"/>
                    <w:left w:val="nil"/>
                    <w:bottom w:val="single" w:sz="6" w:space="0" w:color="D9D9D9" w:themeColor="background1" w:themeShade="D9"/>
                    <w:right w:val="nil"/>
                  </w:tcBorders>
                  <w:shd w:val="clear" w:color="auto" w:fill="auto"/>
                  <w:vAlign w:val="bottom"/>
                </w:tcPr>
                <w:p w14:paraId="7954D259" w14:textId="77777777" w:rsidR="00F05DC7" w:rsidRPr="00911F46" w:rsidRDefault="00F05DC7" w:rsidP="00A3786D">
                  <w:pPr>
                    <w:pStyle w:val="TableBodyText"/>
                  </w:pPr>
                  <w:r>
                    <w:rPr>
                      <w:color w:val="000000"/>
                    </w:rPr>
                    <w:noBreakHyphen/>
                  </w:r>
                  <w:r w:rsidRPr="00911F46">
                    <w:rPr>
                      <w:color w:val="000000"/>
                    </w:rPr>
                    <w:t>1.28</w:t>
                  </w:r>
                </w:p>
              </w:tc>
            </w:tr>
          </w:tbl>
          <w:p w14:paraId="7954D25B" w14:textId="77777777" w:rsidR="00F05DC7" w:rsidRPr="006C0046" w:rsidRDefault="00F05DC7" w:rsidP="00A3786D">
            <w:pPr>
              <w:pStyle w:val="Box"/>
              <w:rPr>
                <w:rFonts w:asciiTheme="minorHAnsi" w:hAnsiTheme="minorHAnsi" w:cstheme="minorHAnsi"/>
                <w:sz w:val="18"/>
                <w:szCs w:val="18"/>
              </w:rPr>
            </w:pPr>
          </w:p>
        </w:tc>
      </w:tr>
      <w:tr w:rsidR="00F05DC7" w14:paraId="7954D25E" w14:textId="77777777" w:rsidTr="00A3786D">
        <w:tc>
          <w:tcPr>
            <w:tcW w:w="5000" w:type="pct"/>
            <w:tcBorders>
              <w:top w:val="nil"/>
              <w:left w:val="nil"/>
              <w:bottom w:val="nil"/>
              <w:right w:val="nil"/>
            </w:tcBorders>
            <w:shd w:val="clear" w:color="auto" w:fill="auto"/>
          </w:tcPr>
          <w:p w14:paraId="7954D25D" w14:textId="77777777" w:rsidR="00F05DC7" w:rsidRDefault="00F05DC7" w:rsidP="00A3786D">
            <w:pPr>
              <w:pStyle w:val="Source"/>
            </w:pPr>
            <w:r w:rsidRPr="00355172">
              <w:rPr>
                <w:i/>
              </w:rPr>
              <w:t>Source</w:t>
            </w:r>
            <w:r w:rsidRPr="00676CAE">
              <w:t>:</w:t>
            </w:r>
            <w:r w:rsidRPr="00355172">
              <w:rPr>
                <w:i/>
              </w:rPr>
              <w:t xml:space="preserve"> </w:t>
            </w:r>
            <w:r w:rsidRPr="00676CAE">
              <w:t>Productivity Commission estimates.</w:t>
            </w:r>
            <w:r>
              <w:rPr>
                <w:i/>
              </w:rPr>
              <w:t xml:space="preserve"> </w:t>
            </w:r>
          </w:p>
        </w:tc>
      </w:tr>
      <w:tr w:rsidR="00F05DC7" w14:paraId="7954D260" w14:textId="77777777" w:rsidTr="00A3786D">
        <w:tc>
          <w:tcPr>
            <w:tcW w:w="5000" w:type="pct"/>
            <w:tcBorders>
              <w:top w:val="nil"/>
              <w:left w:val="nil"/>
              <w:bottom w:val="single" w:sz="6" w:space="0" w:color="78A22F"/>
              <w:right w:val="nil"/>
            </w:tcBorders>
            <w:shd w:val="clear" w:color="auto" w:fill="auto"/>
          </w:tcPr>
          <w:p w14:paraId="7954D25F" w14:textId="77777777" w:rsidR="00F05DC7" w:rsidRDefault="00F05DC7" w:rsidP="00A3786D">
            <w:pPr>
              <w:pStyle w:val="Box"/>
              <w:spacing w:before="0" w:line="120" w:lineRule="exact"/>
            </w:pPr>
          </w:p>
        </w:tc>
      </w:tr>
      <w:tr w:rsidR="00F05DC7" w:rsidRPr="000863A5" w14:paraId="7954D262" w14:textId="77777777" w:rsidTr="00A3786D">
        <w:tc>
          <w:tcPr>
            <w:tcW w:w="5000" w:type="pct"/>
            <w:tcBorders>
              <w:top w:val="single" w:sz="6" w:space="0" w:color="78A22F"/>
              <w:left w:val="nil"/>
              <w:bottom w:val="nil"/>
              <w:right w:val="nil"/>
            </w:tcBorders>
          </w:tcPr>
          <w:p w14:paraId="7954D261" w14:textId="77777777" w:rsidR="00F05DC7" w:rsidRPr="00626D32" w:rsidRDefault="00F05DC7" w:rsidP="00A3786D">
            <w:pPr>
              <w:pStyle w:val="BoxSpaceBelow"/>
            </w:pPr>
          </w:p>
        </w:tc>
      </w:tr>
    </w:tbl>
    <w:p w14:paraId="7954D263" w14:textId="77777777" w:rsidR="00F05DC7" w:rsidRDefault="00F05DC7" w:rsidP="00A3786D">
      <w:pPr>
        <w:pStyle w:val="BodyText"/>
      </w:pPr>
    </w:p>
    <w:p w14:paraId="7954D264"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D267" w14:textId="77777777" w:rsidTr="00A3786D">
        <w:trPr>
          <w:tblHeader/>
        </w:trPr>
        <w:tc>
          <w:tcPr>
            <w:tcW w:w="5000" w:type="pct"/>
            <w:tcBorders>
              <w:top w:val="single" w:sz="6" w:space="0" w:color="78A22F"/>
              <w:left w:val="nil"/>
              <w:bottom w:val="nil"/>
              <w:right w:val="nil"/>
            </w:tcBorders>
            <w:shd w:val="clear" w:color="auto" w:fill="auto"/>
          </w:tcPr>
          <w:p w14:paraId="7954D265" w14:textId="7248236E" w:rsidR="00F05DC7" w:rsidRDefault="00F05DC7" w:rsidP="00A3786D">
            <w:pPr>
              <w:pStyle w:val="TableTitle"/>
            </w:pPr>
            <w:r>
              <w:rPr>
                <w:b w:val="0"/>
              </w:rPr>
              <w:t>Table F.A7</w:t>
            </w:r>
            <w:r>
              <w:tab/>
              <w:t>Alternative scenario (current fiscal capacities): yearly budget adjustment due to change to ETA — four year transition</w:t>
            </w:r>
          </w:p>
          <w:p w14:paraId="7954D266" w14:textId="77777777" w:rsidR="00F05DC7" w:rsidRPr="00784A05" w:rsidRDefault="00F05DC7" w:rsidP="00A3786D">
            <w:pPr>
              <w:pStyle w:val="Subtitle"/>
            </w:pPr>
            <w:r w:rsidDel="00764598">
              <w:t>Year</w:t>
            </w:r>
            <w:r>
              <w:t>-to-</w:t>
            </w:r>
            <w:r w:rsidDel="00764598">
              <w:t>year c</w:t>
            </w:r>
            <w:r w:rsidRPr="00920444" w:rsidDel="00764598">
              <w:t>hange</w:t>
            </w:r>
            <w:r>
              <w:t xml:space="preserve"> (incremental change from previous year)</w:t>
            </w:r>
            <w:r w:rsidDel="00764598">
              <w:t xml:space="preserve"> in</w:t>
            </w:r>
            <w:r w:rsidRPr="00920444" w:rsidDel="00764598">
              <w:t xml:space="preserve"> GST payment</w:t>
            </w:r>
            <w:r w:rsidDel="00764598">
              <w:t>s</w:t>
            </w:r>
            <w:r>
              <w:t xml:space="preserve"> (relative to the current benchmark)</w:t>
            </w:r>
            <w:r w:rsidDel="00764598">
              <w:t>, four year transition</w:t>
            </w:r>
          </w:p>
        </w:tc>
      </w:tr>
      <w:tr w:rsidR="00F05DC7" w14:paraId="7954D369"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D271" w14:textId="77777777" w:rsidTr="00A3786D">
              <w:trPr>
                <w:tblHeader/>
              </w:trPr>
              <w:tc>
                <w:tcPr>
                  <w:tcW w:w="556" w:type="pct"/>
                  <w:tcBorders>
                    <w:top w:val="single" w:sz="6" w:space="0" w:color="BFBFBF"/>
                    <w:bottom w:val="single" w:sz="6" w:space="0" w:color="BFBFBF"/>
                  </w:tcBorders>
                  <w:shd w:val="clear" w:color="auto" w:fill="auto"/>
                  <w:tcMar>
                    <w:top w:w="28" w:type="dxa"/>
                  </w:tcMar>
                </w:tcPr>
                <w:p w14:paraId="7954D268"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D269"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D26A"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D26B"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D26C"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D26D"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D26E"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D26F"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D270"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D273" w14:textId="77777777" w:rsidTr="00A3786D">
              <w:tc>
                <w:tcPr>
                  <w:tcW w:w="5000" w:type="pct"/>
                  <w:gridSpan w:val="9"/>
                  <w:tcBorders>
                    <w:top w:val="single" w:sz="6" w:space="0" w:color="BFBFBF"/>
                  </w:tcBorders>
                  <w:shd w:val="clear" w:color="auto" w:fill="F2F2F2" w:themeFill="background1" w:themeFillShade="F2"/>
                </w:tcPr>
                <w:p w14:paraId="7954D272"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D27D" w14:textId="77777777" w:rsidTr="00A3786D">
              <w:tc>
                <w:tcPr>
                  <w:tcW w:w="556" w:type="pct"/>
                  <w:vAlign w:val="bottom"/>
                </w:tcPr>
                <w:p w14:paraId="7954D274"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D275" w14:textId="77777777" w:rsidR="00F05DC7" w:rsidRPr="00A75ED1" w:rsidRDefault="00F05DC7" w:rsidP="00A3786D">
                  <w:pPr>
                    <w:pStyle w:val="TableBodyText"/>
                    <w:rPr>
                      <w:rFonts w:cs="Arial"/>
                      <w:szCs w:val="18"/>
                    </w:rPr>
                  </w:pPr>
                  <w:r w:rsidRPr="00A75ED1">
                    <w:t>216</w:t>
                  </w:r>
                </w:p>
              </w:tc>
              <w:tc>
                <w:tcPr>
                  <w:tcW w:w="557" w:type="pct"/>
                  <w:tcBorders>
                    <w:top w:val="nil"/>
                    <w:left w:val="nil"/>
                    <w:bottom w:val="nil"/>
                    <w:right w:val="nil"/>
                  </w:tcBorders>
                  <w:shd w:val="clear" w:color="auto" w:fill="FFFFFF" w:themeFill="background1"/>
                  <w:vAlign w:val="bottom"/>
                </w:tcPr>
                <w:p w14:paraId="7954D276" w14:textId="77777777" w:rsidR="00F05DC7" w:rsidRPr="00A75ED1" w:rsidRDefault="00F05DC7" w:rsidP="00A3786D">
                  <w:pPr>
                    <w:pStyle w:val="TableBodyText"/>
                    <w:rPr>
                      <w:rFonts w:cs="Arial"/>
                      <w:szCs w:val="18"/>
                    </w:rPr>
                  </w:pPr>
                  <w:r>
                    <w:noBreakHyphen/>
                  </w:r>
                  <w:r w:rsidRPr="00A75ED1">
                    <w:t>410</w:t>
                  </w:r>
                </w:p>
              </w:tc>
              <w:tc>
                <w:tcPr>
                  <w:tcW w:w="556" w:type="pct"/>
                  <w:tcBorders>
                    <w:top w:val="nil"/>
                    <w:left w:val="nil"/>
                    <w:bottom w:val="nil"/>
                    <w:right w:val="nil"/>
                  </w:tcBorders>
                  <w:shd w:val="clear" w:color="auto" w:fill="FFFFFF" w:themeFill="background1"/>
                  <w:vAlign w:val="bottom"/>
                </w:tcPr>
                <w:p w14:paraId="7954D277" w14:textId="77777777" w:rsidR="00F05DC7" w:rsidRPr="00A75ED1" w:rsidRDefault="00F05DC7" w:rsidP="00A3786D">
                  <w:pPr>
                    <w:pStyle w:val="TableBodyText"/>
                    <w:rPr>
                      <w:rFonts w:cs="Arial"/>
                      <w:szCs w:val="18"/>
                    </w:rPr>
                  </w:pPr>
                  <w:r>
                    <w:noBreakHyphen/>
                  </w:r>
                  <w:r w:rsidRPr="00A75ED1">
                    <w:t>353</w:t>
                  </w:r>
                </w:p>
              </w:tc>
              <w:tc>
                <w:tcPr>
                  <w:tcW w:w="556" w:type="pct"/>
                  <w:tcBorders>
                    <w:top w:val="nil"/>
                    <w:left w:val="nil"/>
                    <w:bottom w:val="nil"/>
                    <w:right w:val="nil"/>
                  </w:tcBorders>
                  <w:shd w:val="clear" w:color="auto" w:fill="FFFFFF" w:themeFill="background1"/>
                  <w:vAlign w:val="bottom"/>
                </w:tcPr>
                <w:p w14:paraId="7954D278" w14:textId="77777777" w:rsidR="00F05DC7" w:rsidRPr="00A75ED1" w:rsidRDefault="00F05DC7" w:rsidP="00A3786D">
                  <w:pPr>
                    <w:pStyle w:val="TableBodyText"/>
                    <w:rPr>
                      <w:rFonts w:cs="Arial"/>
                      <w:szCs w:val="18"/>
                    </w:rPr>
                  </w:pPr>
                  <w:r w:rsidRPr="00A75ED1">
                    <w:t>750</w:t>
                  </w:r>
                </w:p>
              </w:tc>
              <w:tc>
                <w:tcPr>
                  <w:tcW w:w="555" w:type="pct"/>
                  <w:tcBorders>
                    <w:top w:val="nil"/>
                    <w:left w:val="nil"/>
                    <w:bottom w:val="nil"/>
                    <w:right w:val="nil"/>
                  </w:tcBorders>
                  <w:shd w:val="clear" w:color="auto" w:fill="FFFFFF" w:themeFill="background1"/>
                  <w:vAlign w:val="bottom"/>
                </w:tcPr>
                <w:p w14:paraId="7954D279" w14:textId="77777777" w:rsidR="00F05DC7" w:rsidRPr="00A75ED1" w:rsidRDefault="00F05DC7" w:rsidP="00A3786D">
                  <w:pPr>
                    <w:pStyle w:val="TableBodyText"/>
                    <w:rPr>
                      <w:rFonts w:cs="Arial"/>
                      <w:szCs w:val="18"/>
                    </w:rPr>
                  </w:pPr>
                  <w:r>
                    <w:noBreakHyphen/>
                  </w:r>
                  <w:r w:rsidRPr="00A75ED1">
                    <w:t>121</w:t>
                  </w:r>
                </w:p>
              </w:tc>
              <w:tc>
                <w:tcPr>
                  <w:tcW w:w="555" w:type="pct"/>
                  <w:tcBorders>
                    <w:top w:val="nil"/>
                    <w:left w:val="nil"/>
                    <w:bottom w:val="nil"/>
                    <w:right w:val="nil"/>
                  </w:tcBorders>
                  <w:shd w:val="clear" w:color="auto" w:fill="FFFFFF" w:themeFill="background1"/>
                  <w:vAlign w:val="bottom"/>
                </w:tcPr>
                <w:p w14:paraId="7954D27A" w14:textId="77777777" w:rsidR="00F05DC7" w:rsidRPr="00A75ED1" w:rsidRDefault="00F05DC7" w:rsidP="00A3786D">
                  <w:pPr>
                    <w:pStyle w:val="TableBodyText"/>
                    <w:rPr>
                      <w:rFonts w:cs="Arial"/>
                      <w:szCs w:val="18"/>
                    </w:rPr>
                  </w:pPr>
                  <w:r>
                    <w:noBreakHyphen/>
                  </w:r>
                  <w:r w:rsidRPr="00A75ED1">
                    <w:t>37</w:t>
                  </w:r>
                </w:p>
              </w:tc>
              <w:tc>
                <w:tcPr>
                  <w:tcW w:w="555" w:type="pct"/>
                  <w:tcBorders>
                    <w:top w:val="nil"/>
                    <w:left w:val="nil"/>
                    <w:bottom w:val="nil"/>
                    <w:right w:val="nil"/>
                  </w:tcBorders>
                  <w:shd w:val="clear" w:color="auto" w:fill="FFFFFF" w:themeFill="background1"/>
                  <w:vAlign w:val="bottom"/>
                </w:tcPr>
                <w:p w14:paraId="7954D27B" w14:textId="77777777" w:rsidR="00F05DC7" w:rsidRPr="00A75ED1" w:rsidRDefault="00F05DC7" w:rsidP="00A3786D">
                  <w:pPr>
                    <w:pStyle w:val="TableBodyText"/>
                    <w:rPr>
                      <w:rFonts w:cs="Arial"/>
                      <w:szCs w:val="18"/>
                    </w:rPr>
                  </w:pPr>
                  <w:r>
                    <w:noBreakHyphen/>
                  </w:r>
                  <w:r w:rsidRPr="00A75ED1">
                    <w:t>29</w:t>
                  </w:r>
                </w:p>
              </w:tc>
              <w:tc>
                <w:tcPr>
                  <w:tcW w:w="553" w:type="pct"/>
                  <w:tcBorders>
                    <w:top w:val="nil"/>
                    <w:left w:val="nil"/>
                    <w:bottom w:val="nil"/>
                    <w:right w:val="nil"/>
                  </w:tcBorders>
                  <w:shd w:val="clear" w:color="auto" w:fill="FFFFFF" w:themeFill="background1"/>
                  <w:vAlign w:val="bottom"/>
                </w:tcPr>
                <w:p w14:paraId="7954D27C" w14:textId="77777777" w:rsidR="00F05DC7" w:rsidRPr="00A75ED1" w:rsidRDefault="00F05DC7" w:rsidP="00A3786D">
                  <w:pPr>
                    <w:pStyle w:val="TableBodyText"/>
                    <w:rPr>
                      <w:rFonts w:cs="Arial"/>
                      <w:szCs w:val="18"/>
                    </w:rPr>
                  </w:pPr>
                  <w:r>
                    <w:noBreakHyphen/>
                  </w:r>
                  <w:r w:rsidRPr="00A75ED1">
                    <w:t>17</w:t>
                  </w:r>
                </w:p>
              </w:tc>
            </w:tr>
            <w:tr w:rsidR="00F05DC7" w:rsidRPr="00A75ED1" w14:paraId="7954D287" w14:textId="77777777" w:rsidTr="00A3786D">
              <w:tc>
                <w:tcPr>
                  <w:tcW w:w="556" w:type="pct"/>
                  <w:vAlign w:val="bottom"/>
                </w:tcPr>
                <w:p w14:paraId="7954D27E"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D27F" w14:textId="77777777" w:rsidR="00F05DC7" w:rsidRPr="00A75ED1" w:rsidRDefault="00F05DC7" w:rsidP="00A3786D">
                  <w:pPr>
                    <w:pStyle w:val="TableBodyText"/>
                    <w:rPr>
                      <w:rFonts w:cs="Arial"/>
                      <w:szCs w:val="18"/>
                    </w:rPr>
                  </w:pPr>
                  <w:r w:rsidRPr="00A75ED1">
                    <w:t>240</w:t>
                  </w:r>
                </w:p>
              </w:tc>
              <w:tc>
                <w:tcPr>
                  <w:tcW w:w="557" w:type="pct"/>
                  <w:tcBorders>
                    <w:top w:val="nil"/>
                    <w:left w:val="nil"/>
                    <w:bottom w:val="nil"/>
                    <w:right w:val="nil"/>
                  </w:tcBorders>
                  <w:shd w:val="clear" w:color="auto" w:fill="FFFFFF" w:themeFill="background1"/>
                  <w:vAlign w:val="bottom"/>
                </w:tcPr>
                <w:p w14:paraId="7954D280" w14:textId="77777777" w:rsidR="00F05DC7" w:rsidRPr="00A75ED1" w:rsidRDefault="00F05DC7" w:rsidP="00A3786D">
                  <w:pPr>
                    <w:pStyle w:val="TableBodyText"/>
                    <w:rPr>
                      <w:rFonts w:cs="Arial"/>
                      <w:szCs w:val="18"/>
                    </w:rPr>
                  </w:pPr>
                  <w:r>
                    <w:noBreakHyphen/>
                  </w:r>
                  <w:r w:rsidRPr="00A75ED1">
                    <w:t>458</w:t>
                  </w:r>
                </w:p>
              </w:tc>
              <w:tc>
                <w:tcPr>
                  <w:tcW w:w="556" w:type="pct"/>
                  <w:tcBorders>
                    <w:top w:val="nil"/>
                    <w:left w:val="nil"/>
                    <w:bottom w:val="nil"/>
                    <w:right w:val="nil"/>
                  </w:tcBorders>
                  <w:shd w:val="clear" w:color="auto" w:fill="FFFFFF" w:themeFill="background1"/>
                  <w:vAlign w:val="bottom"/>
                </w:tcPr>
                <w:p w14:paraId="7954D281" w14:textId="77777777" w:rsidR="00F05DC7" w:rsidRPr="00A75ED1" w:rsidRDefault="00F05DC7" w:rsidP="00A3786D">
                  <w:pPr>
                    <w:pStyle w:val="TableBodyText"/>
                    <w:rPr>
                      <w:rFonts w:cs="Arial"/>
                      <w:szCs w:val="18"/>
                    </w:rPr>
                  </w:pPr>
                  <w:r>
                    <w:noBreakHyphen/>
                  </w:r>
                  <w:r w:rsidRPr="00A75ED1">
                    <w:t>386</w:t>
                  </w:r>
                </w:p>
              </w:tc>
              <w:tc>
                <w:tcPr>
                  <w:tcW w:w="556" w:type="pct"/>
                  <w:tcBorders>
                    <w:top w:val="nil"/>
                    <w:left w:val="nil"/>
                    <w:bottom w:val="nil"/>
                    <w:right w:val="nil"/>
                  </w:tcBorders>
                  <w:shd w:val="clear" w:color="auto" w:fill="FFFFFF" w:themeFill="background1"/>
                  <w:vAlign w:val="bottom"/>
                </w:tcPr>
                <w:p w14:paraId="7954D282" w14:textId="77777777" w:rsidR="00F05DC7" w:rsidRPr="00A75ED1" w:rsidRDefault="00F05DC7" w:rsidP="00A3786D">
                  <w:pPr>
                    <w:pStyle w:val="TableBodyText"/>
                    <w:rPr>
                      <w:rFonts w:cs="Arial"/>
                      <w:szCs w:val="18"/>
                    </w:rPr>
                  </w:pPr>
                  <w:r w:rsidRPr="00A75ED1">
                    <w:t>825</w:t>
                  </w:r>
                </w:p>
              </w:tc>
              <w:tc>
                <w:tcPr>
                  <w:tcW w:w="555" w:type="pct"/>
                  <w:tcBorders>
                    <w:top w:val="nil"/>
                    <w:left w:val="nil"/>
                    <w:bottom w:val="nil"/>
                    <w:right w:val="nil"/>
                  </w:tcBorders>
                  <w:shd w:val="clear" w:color="auto" w:fill="FFFFFF" w:themeFill="background1"/>
                  <w:vAlign w:val="bottom"/>
                </w:tcPr>
                <w:p w14:paraId="7954D283" w14:textId="77777777" w:rsidR="00F05DC7" w:rsidRPr="00A75ED1" w:rsidRDefault="00F05DC7" w:rsidP="00A3786D">
                  <w:pPr>
                    <w:pStyle w:val="TableBodyText"/>
                    <w:rPr>
                      <w:rFonts w:cs="Arial"/>
                      <w:szCs w:val="18"/>
                    </w:rPr>
                  </w:pPr>
                  <w:r>
                    <w:noBreakHyphen/>
                  </w:r>
                  <w:r w:rsidRPr="00A75ED1">
                    <w:t>131</w:t>
                  </w:r>
                </w:p>
              </w:tc>
              <w:tc>
                <w:tcPr>
                  <w:tcW w:w="555" w:type="pct"/>
                  <w:tcBorders>
                    <w:top w:val="nil"/>
                    <w:left w:val="nil"/>
                    <w:bottom w:val="nil"/>
                    <w:right w:val="nil"/>
                  </w:tcBorders>
                  <w:shd w:val="clear" w:color="auto" w:fill="FFFFFF" w:themeFill="background1"/>
                  <w:vAlign w:val="bottom"/>
                </w:tcPr>
                <w:p w14:paraId="7954D284" w14:textId="77777777" w:rsidR="00F05DC7" w:rsidRPr="00A75ED1" w:rsidRDefault="00F05DC7" w:rsidP="00A3786D">
                  <w:pPr>
                    <w:pStyle w:val="TableBodyText"/>
                    <w:rPr>
                      <w:rFonts w:cs="Arial"/>
                      <w:szCs w:val="18"/>
                    </w:rPr>
                  </w:pPr>
                  <w:r>
                    <w:noBreakHyphen/>
                  </w:r>
                  <w:r w:rsidRPr="00A75ED1">
                    <w:t>39</w:t>
                  </w:r>
                </w:p>
              </w:tc>
              <w:tc>
                <w:tcPr>
                  <w:tcW w:w="555" w:type="pct"/>
                  <w:tcBorders>
                    <w:top w:val="nil"/>
                    <w:left w:val="nil"/>
                    <w:bottom w:val="nil"/>
                    <w:right w:val="nil"/>
                  </w:tcBorders>
                  <w:shd w:val="clear" w:color="auto" w:fill="FFFFFF" w:themeFill="background1"/>
                  <w:vAlign w:val="bottom"/>
                </w:tcPr>
                <w:p w14:paraId="7954D285" w14:textId="77777777" w:rsidR="00F05DC7" w:rsidRPr="00A75ED1" w:rsidRDefault="00F05DC7" w:rsidP="00A3786D">
                  <w:pPr>
                    <w:pStyle w:val="TableBodyText"/>
                    <w:rPr>
                      <w:rFonts w:cs="Arial"/>
                      <w:szCs w:val="18"/>
                    </w:rPr>
                  </w:pPr>
                  <w:r>
                    <w:noBreakHyphen/>
                  </w:r>
                  <w:r w:rsidRPr="00A75ED1">
                    <w:t>32</w:t>
                  </w:r>
                </w:p>
              </w:tc>
              <w:tc>
                <w:tcPr>
                  <w:tcW w:w="553" w:type="pct"/>
                  <w:tcBorders>
                    <w:top w:val="nil"/>
                    <w:left w:val="nil"/>
                    <w:bottom w:val="nil"/>
                    <w:right w:val="nil"/>
                  </w:tcBorders>
                  <w:shd w:val="clear" w:color="auto" w:fill="FFFFFF" w:themeFill="background1"/>
                  <w:vAlign w:val="bottom"/>
                </w:tcPr>
                <w:p w14:paraId="7954D286" w14:textId="77777777" w:rsidR="00F05DC7" w:rsidRPr="00A75ED1" w:rsidRDefault="00F05DC7" w:rsidP="00A3786D">
                  <w:pPr>
                    <w:pStyle w:val="TableBodyText"/>
                    <w:rPr>
                      <w:rFonts w:cs="Arial"/>
                      <w:szCs w:val="18"/>
                    </w:rPr>
                  </w:pPr>
                  <w:r>
                    <w:noBreakHyphen/>
                  </w:r>
                  <w:r w:rsidRPr="00A75ED1">
                    <w:t>18</w:t>
                  </w:r>
                </w:p>
              </w:tc>
            </w:tr>
            <w:tr w:rsidR="00F05DC7" w:rsidRPr="00A75ED1" w14:paraId="7954D291" w14:textId="77777777" w:rsidTr="00A3786D">
              <w:tc>
                <w:tcPr>
                  <w:tcW w:w="556" w:type="pct"/>
                  <w:vAlign w:val="bottom"/>
                </w:tcPr>
                <w:p w14:paraId="7954D288"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D289" w14:textId="77777777" w:rsidR="00F05DC7" w:rsidRPr="00A75ED1" w:rsidRDefault="00F05DC7" w:rsidP="00A3786D">
                  <w:pPr>
                    <w:pStyle w:val="TableBodyText"/>
                    <w:rPr>
                      <w:rFonts w:cs="Arial"/>
                      <w:szCs w:val="18"/>
                    </w:rPr>
                  </w:pPr>
                  <w:r w:rsidRPr="00A75ED1">
                    <w:t>265</w:t>
                  </w:r>
                </w:p>
              </w:tc>
              <w:tc>
                <w:tcPr>
                  <w:tcW w:w="557" w:type="pct"/>
                  <w:tcBorders>
                    <w:top w:val="nil"/>
                    <w:left w:val="nil"/>
                    <w:bottom w:val="nil"/>
                    <w:right w:val="nil"/>
                  </w:tcBorders>
                  <w:shd w:val="clear" w:color="auto" w:fill="FFFFFF" w:themeFill="background1"/>
                  <w:vAlign w:val="bottom"/>
                </w:tcPr>
                <w:p w14:paraId="7954D28A" w14:textId="77777777" w:rsidR="00F05DC7" w:rsidRPr="00A75ED1" w:rsidRDefault="00F05DC7" w:rsidP="00A3786D">
                  <w:pPr>
                    <w:pStyle w:val="TableBodyText"/>
                    <w:rPr>
                      <w:rFonts w:cs="Arial"/>
                      <w:szCs w:val="18"/>
                    </w:rPr>
                  </w:pPr>
                  <w:r>
                    <w:noBreakHyphen/>
                  </w:r>
                  <w:r w:rsidRPr="00A75ED1">
                    <w:t>510</w:t>
                  </w:r>
                </w:p>
              </w:tc>
              <w:tc>
                <w:tcPr>
                  <w:tcW w:w="556" w:type="pct"/>
                  <w:tcBorders>
                    <w:top w:val="nil"/>
                    <w:left w:val="nil"/>
                    <w:bottom w:val="nil"/>
                    <w:right w:val="nil"/>
                  </w:tcBorders>
                  <w:shd w:val="clear" w:color="auto" w:fill="FFFFFF" w:themeFill="background1"/>
                  <w:vAlign w:val="bottom"/>
                </w:tcPr>
                <w:p w14:paraId="7954D28B" w14:textId="77777777" w:rsidR="00F05DC7" w:rsidRPr="00A75ED1" w:rsidRDefault="00F05DC7" w:rsidP="00A3786D">
                  <w:pPr>
                    <w:pStyle w:val="TableBodyText"/>
                    <w:rPr>
                      <w:rFonts w:cs="Arial"/>
                      <w:szCs w:val="18"/>
                    </w:rPr>
                  </w:pPr>
                  <w:r>
                    <w:noBreakHyphen/>
                  </w:r>
                  <w:r w:rsidRPr="00A75ED1">
                    <w:t>420</w:t>
                  </w:r>
                </w:p>
              </w:tc>
              <w:tc>
                <w:tcPr>
                  <w:tcW w:w="556" w:type="pct"/>
                  <w:tcBorders>
                    <w:top w:val="nil"/>
                    <w:left w:val="nil"/>
                    <w:bottom w:val="nil"/>
                    <w:right w:val="nil"/>
                  </w:tcBorders>
                  <w:shd w:val="clear" w:color="auto" w:fill="FFFFFF" w:themeFill="background1"/>
                  <w:vAlign w:val="bottom"/>
                </w:tcPr>
                <w:p w14:paraId="7954D28C" w14:textId="77777777" w:rsidR="00F05DC7" w:rsidRPr="00A75ED1" w:rsidRDefault="00F05DC7" w:rsidP="00A3786D">
                  <w:pPr>
                    <w:pStyle w:val="TableBodyText"/>
                    <w:rPr>
                      <w:rFonts w:cs="Arial"/>
                      <w:szCs w:val="18"/>
                    </w:rPr>
                  </w:pPr>
                  <w:r w:rsidRPr="00A75ED1">
                    <w:t>902</w:t>
                  </w:r>
                </w:p>
              </w:tc>
              <w:tc>
                <w:tcPr>
                  <w:tcW w:w="555" w:type="pct"/>
                  <w:tcBorders>
                    <w:top w:val="nil"/>
                    <w:left w:val="nil"/>
                    <w:bottom w:val="nil"/>
                    <w:right w:val="nil"/>
                  </w:tcBorders>
                  <w:shd w:val="clear" w:color="auto" w:fill="FFFFFF" w:themeFill="background1"/>
                  <w:vAlign w:val="bottom"/>
                </w:tcPr>
                <w:p w14:paraId="7954D28D" w14:textId="77777777" w:rsidR="00F05DC7" w:rsidRPr="00A75ED1" w:rsidRDefault="00F05DC7" w:rsidP="00A3786D">
                  <w:pPr>
                    <w:pStyle w:val="TableBodyText"/>
                    <w:rPr>
                      <w:rFonts w:cs="Arial"/>
                      <w:szCs w:val="18"/>
                    </w:rPr>
                  </w:pPr>
                  <w:r>
                    <w:noBreakHyphen/>
                  </w:r>
                  <w:r w:rsidRPr="00A75ED1">
                    <w:t>141</w:t>
                  </w:r>
                </w:p>
              </w:tc>
              <w:tc>
                <w:tcPr>
                  <w:tcW w:w="555" w:type="pct"/>
                  <w:tcBorders>
                    <w:top w:val="nil"/>
                    <w:left w:val="nil"/>
                    <w:bottom w:val="nil"/>
                    <w:right w:val="nil"/>
                  </w:tcBorders>
                  <w:shd w:val="clear" w:color="auto" w:fill="FFFFFF" w:themeFill="background1"/>
                  <w:vAlign w:val="bottom"/>
                </w:tcPr>
                <w:p w14:paraId="7954D28E" w14:textId="77777777" w:rsidR="00F05DC7" w:rsidRPr="00A75ED1" w:rsidRDefault="00F05DC7" w:rsidP="00A3786D">
                  <w:pPr>
                    <w:pStyle w:val="TableBodyText"/>
                    <w:rPr>
                      <w:rFonts w:cs="Arial"/>
                      <w:szCs w:val="18"/>
                    </w:rPr>
                  </w:pPr>
                  <w:r>
                    <w:noBreakHyphen/>
                  </w:r>
                  <w:r w:rsidRPr="00A75ED1">
                    <w:t>42</w:t>
                  </w:r>
                </w:p>
              </w:tc>
              <w:tc>
                <w:tcPr>
                  <w:tcW w:w="555" w:type="pct"/>
                  <w:tcBorders>
                    <w:top w:val="nil"/>
                    <w:left w:val="nil"/>
                    <w:bottom w:val="nil"/>
                    <w:right w:val="nil"/>
                  </w:tcBorders>
                  <w:shd w:val="clear" w:color="auto" w:fill="FFFFFF" w:themeFill="background1"/>
                  <w:vAlign w:val="bottom"/>
                </w:tcPr>
                <w:p w14:paraId="7954D28F" w14:textId="77777777" w:rsidR="00F05DC7" w:rsidRPr="00A75ED1" w:rsidRDefault="00F05DC7" w:rsidP="00A3786D">
                  <w:pPr>
                    <w:pStyle w:val="TableBodyText"/>
                    <w:rPr>
                      <w:rFonts w:cs="Arial"/>
                      <w:szCs w:val="18"/>
                    </w:rPr>
                  </w:pPr>
                  <w:r>
                    <w:noBreakHyphen/>
                  </w:r>
                  <w:r w:rsidRPr="00A75ED1">
                    <w:t>35</w:t>
                  </w:r>
                </w:p>
              </w:tc>
              <w:tc>
                <w:tcPr>
                  <w:tcW w:w="553" w:type="pct"/>
                  <w:tcBorders>
                    <w:top w:val="nil"/>
                    <w:left w:val="nil"/>
                    <w:bottom w:val="nil"/>
                    <w:right w:val="nil"/>
                  </w:tcBorders>
                  <w:shd w:val="clear" w:color="auto" w:fill="FFFFFF" w:themeFill="background1"/>
                  <w:vAlign w:val="bottom"/>
                </w:tcPr>
                <w:p w14:paraId="7954D290" w14:textId="77777777" w:rsidR="00F05DC7" w:rsidRPr="00A75ED1" w:rsidRDefault="00F05DC7" w:rsidP="00A3786D">
                  <w:pPr>
                    <w:pStyle w:val="TableBodyText"/>
                    <w:rPr>
                      <w:rFonts w:cs="Arial"/>
                      <w:szCs w:val="18"/>
                    </w:rPr>
                  </w:pPr>
                  <w:r>
                    <w:noBreakHyphen/>
                  </w:r>
                  <w:r w:rsidRPr="00A75ED1">
                    <w:t>20</w:t>
                  </w:r>
                </w:p>
              </w:tc>
            </w:tr>
            <w:tr w:rsidR="00F05DC7" w:rsidRPr="00A75ED1" w14:paraId="7954D29B" w14:textId="77777777" w:rsidTr="00A3786D">
              <w:tc>
                <w:tcPr>
                  <w:tcW w:w="556" w:type="pct"/>
                </w:tcPr>
                <w:p w14:paraId="7954D292"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D293" w14:textId="77777777" w:rsidR="00F05DC7" w:rsidRPr="00A75ED1" w:rsidRDefault="00F05DC7" w:rsidP="00A3786D">
                  <w:pPr>
                    <w:pStyle w:val="TableBodyText"/>
                    <w:rPr>
                      <w:rFonts w:cs="Arial"/>
                      <w:szCs w:val="18"/>
                    </w:rPr>
                  </w:pPr>
                  <w:r w:rsidRPr="00A75ED1">
                    <w:t>293</w:t>
                  </w:r>
                </w:p>
              </w:tc>
              <w:tc>
                <w:tcPr>
                  <w:tcW w:w="557" w:type="pct"/>
                  <w:tcBorders>
                    <w:top w:val="nil"/>
                    <w:left w:val="nil"/>
                    <w:bottom w:val="nil"/>
                    <w:right w:val="nil"/>
                  </w:tcBorders>
                  <w:shd w:val="clear" w:color="auto" w:fill="FFFFFF" w:themeFill="background1"/>
                  <w:vAlign w:val="bottom"/>
                </w:tcPr>
                <w:p w14:paraId="7954D294" w14:textId="77777777" w:rsidR="00F05DC7" w:rsidRPr="00A75ED1" w:rsidRDefault="00F05DC7" w:rsidP="00A3786D">
                  <w:pPr>
                    <w:pStyle w:val="TableBodyText"/>
                    <w:rPr>
                      <w:rFonts w:cs="Arial"/>
                      <w:szCs w:val="18"/>
                    </w:rPr>
                  </w:pPr>
                  <w:r>
                    <w:noBreakHyphen/>
                  </w:r>
                  <w:r w:rsidRPr="00A75ED1">
                    <w:t>567</w:t>
                  </w:r>
                </w:p>
              </w:tc>
              <w:tc>
                <w:tcPr>
                  <w:tcW w:w="556" w:type="pct"/>
                  <w:tcBorders>
                    <w:top w:val="nil"/>
                    <w:left w:val="nil"/>
                    <w:bottom w:val="nil"/>
                    <w:right w:val="nil"/>
                  </w:tcBorders>
                  <w:shd w:val="clear" w:color="auto" w:fill="FFFFFF" w:themeFill="background1"/>
                  <w:vAlign w:val="bottom"/>
                </w:tcPr>
                <w:p w14:paraId="7954D295" w14:textId="77777777" w:rsidR="00F05DC7" w:rsidRPr="00A75ED1" w:rsidRDefault="00F05DC7" w:rsidP="00A3786D">
                  <w:pPr>
                    <w:pStyle w:val="TableBodyText"/>
                    <w:rPr>
                      <w:rFonts w:cs="Arial"/>
                      <w:szCs w:val="18"/>
                    </w:rPr>
                  </w:pPr>
                  <w:r>
                    <w:noBreakHyphen/>
                  </w:r>
                  <w:r w:rsidRPr="00A75ED1">
                    <w:t>456</w:t>
                  </w:r>
                </w:p>
              </w:tc>
              <w:tc>
                <w:tcPr>
                  <w:tcW w:w="556" w:type="pct"/>
                  <w:tcBorders>
                    <w:top w:val="nil"/>
                    <w:left w:val="nil"/>
                    <w:bottom w:val="nil"/>
                    <w:right w:val="nil"/>
                  </w:tcBorders>
                  <w:shd w:val="clear" w:color="auto" w:fill="FFFFFF" w:themeFill="background1"/>
                  <w:vAlign w:val="bottom"/>
                </w:tcPr>
                <w:p w14:paraId="7954D296" w14:textId="77777777" w:rsidR="00F05DC7" w:rsidRPr="00A75ED1" w:rsidRDefault="00F05DC7" w:rsidP="00A3786D">
                  <w:pPr>
                    <w:pStyle w:val="TableBodyText"/>
                    <w:rPr>
                      <w:rFonts w:cs="Arial"/>
                      <w:szCs w:val="18"/>
                    </w:rPr>
                  </w:pPr>
                  <w:r w:rsidRPr="00A75ED1">
                    <w:t>986</w:t>
                  </w:r>
                </w:p>
              </w:tc>
              <w:tc>
                <w:tcPr>
                  <w:tcW w:w="555" w:type="pct"/>
                  <w:tcBorders>
                    <w:top w:val="nil"/>
                    <w:left w:val="nil"/>
                    <w:bottom w:val="nil"/>
                    <w:right w:val="nil"/>
                  </w:tcBorders>
                  <w:shd w:val="clear" w:color="auto" w:fill="FFFFFF" w:themeFill="background1"/>
                  <w:vAlign w:val="bottom"/>
                </w:tcPr>
                <w:p w14:paraId="7954D297" w14:textId="77777777" w:rsidR="00F05DC7" w:rsidRPr="00A75ED1" w:rsidRDefault="00F05DC7" w:rsidP="00A3786D">
                  <w:pPr>
                    <w:pStyle w:val="TableBodyText"/>
                    <w:rPr>
                      <w:rFonts w:cs="Arial"/>
                      <w:szCs w:val="18"/>
                    </w:rPr>
                  </w:pPr>
                  <w:r>
                    <w:noBreakHyphen/>
                  </w:r>
                  <w:r w:rsidRPr="00A75ED1">
                    <w:t>151</w:t>
                  </w:r>
                </w:p>
              </w:tc>
              <w:tc>
                <w:tcPr>
                  <w:tcW w:w="555" w:type="pct"/>
                  <w:tcBorders>
                    <w:top w:val="nil"/>
                    <w:left w:val="nil"/>
                    <w:bottom w:val="nil"/>
                    <w:right w:val="nil"/>
                  </w:tcBorders>
                  <w:shd w:val="clear" w:color="auto" w:fill="FFFFFF" w:themeFill="background1"/>
                  <w:vAlign w:val="bottom"/>
                </w:tcPr>
                <w:p w14:paraId="7954D298" w14:textId="77777777" w:rsidR="00F05DC7" w:rsidRPr="00A75ED1" w:rsidRDefault="00F05DC7" w:rsidP="00A3786D">
                  <w:pPr>
                    <w:pStyle w:val="TableBodyText"/>
                    <w:rPr>
                      <w:rFonts w:cs="Arial"/>
                      <w:szCs w:val="18"/>
                    </w:rPr>
                  </w:pPr>
                  <w:r>
                    <w:noBreakHyphen/>
                  </w:r>
                  <w:r w:rsidRPr="00A75ED1">
                    <w:t>45</w:t>
                  </w:r>
                </w:p>
              </w:tc>
              <w:tc>
                <w:tcPr>
                  <w:tcW w:w="555" w:type="pct"/>
                  <w:tcBorders>
                    <w:top w:val="nil"/>
                    <w:left w:val="nil"/>
                    <w:bottom w:val="nil"/>
                    <w:right w:val="nil"/>
                  </w:tcBorders>
                  <w:shd w:val="clear" w:color="auto" w:fill="FFFFFF" w:themeFill="background1"/>
                  <w:vAlign w:val="bottom"/>
                </w:tcPr>
                <w:p w14:paraId="7954D299" w14:textId="77777777" w:rsidR="00F05DC7" w:rsidRPr="00A75ED1" w:rsidRDefault="00F05DC7" w:rsidP="00A3786D">
                  <w:pPr>
                    <w:pStyle w:val="TableBodyText"/>
                    <w:rPr>
                      <w:rFonts w:cs="Arial"/>
                      <w:szCs w:val="18"/>
                    </w:rPr>
                  </w:pPr>
                  <w:r>
                    <w:noBreakHyphen/>
                  </w:r>
                  <w:r w:rsidRPr="00A75ED1">
                    <w:t>38</w:t>
                  </w:r>
                </w:p>
              </w:tc>
              <w:tc>
                <w:tcPr>
                  <w:tcW w:w="553" w:type="pct"/>
                  <w:tcBorders>
                    <w:top w:val="nil"/>
                    <w:left w:val="nil"/>
                    <w:bottom w:val="nil"/>
                    <w:right w:val="nil"/>
                  </w:tcBorders>
                  <w:shd w:val="clear" w:color="auto" w:fill="FFFFFF" w:themeFill="background1"/>
                  <w:vAlign w:val="bottom"/>
                </w:tcPr>
                <w:p w14:paraId="7954D29A" w14:textId="77777777" w:rsidR="00F05DC7" w:rsidRPr="00A75ED1" w:rsidRDefault="00F05DC7" w:rsidP="00A3786D">
                  <w:pPr>
                    <w:pStyle w:val="TableBodyText"/>
                    <w:rPr>
                      <w:rFonts w:cs="Arial"/>
                      <w:szCs w:val="18"/>
                    </w:rPr>
                  </w:pPr>
                  <w:r>
                    <w:noBreakHyphen/>
                  </w:r>
                  <w:r w:rsidRPr="00A75ED1">
                    <w:t>21</w:t>
                  </w:r>
                </w:p>
              </w:tc>
            </w:tr>
            <w:tr w:rsidR="00F05DC7" w:rsidRPr="00A75ED1" w14:paraId="7954D2A5" w14:textId="77777777" w:rsidTr="00A3786D">
              <w:tc>
                <w:tcPr>
                  <w:tcW w:w="556" w:type="pct"/>
                </w:tcPr>
                <w:p w14:paraId="7954D29C"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000000" w:fill="FFFFFF"/>
                  <w:vAlign w:val="bottom"/>
                </w:tcPr>
                <w:p w14:paraId="7954D29D" w14:textId="77777777" w:rsidR="00F05DC7" w:rsidRPr="00A75ED1" w:rsidRDefault="00F05DC7" w:rsidP="00A3786D">
                  <w:pPr>
                    <w:pStyle w:val="TableBodyText"/>
                    <w:rPr>
                      <w:rFonts w:cs="Arial"/>
                      <w:szCs w:val="18"/>
                    </w:rPr>
                  </w:pPr>
                  <w:r w:rsidRPr="00A75ED1">
                    <w:t>55</w:t>
                  </w:r>
                </w:p>
              </w:tc>
              <w:tc>
                <w:tcPr>
                  <w:tcW w:w="557" w:type="pct"/>
                  <w:tcBorders>
                    <w:top w:val="nil"/>
                    <w:left w:val="nil"/>
                    <w:bottom w:val="nil"/>
                    <w:right w:val="nil"/>
                  </w:tcBorders>
                  <w:shd w:val="clear" w:color="000000" w:fill="FFFFFF"/>
                  <w:vAlign w:val="bottom"/>
                </w:tcPr>
                <w:p w14:paraId="7954D29E" w14:textId="77777777" w:rsidR="00F05DC7" w:rsidRPr="00A75ED1" w:rsidRDefault="00F05DC7" w:rsidP="00A3786D">
                  <w:pPr>
                    <w:pStyle w:val="TableBodyText"/>
                    <w:rPr>
                      <w:rFonts w:cs="Arial"/>
                      <w:szCs w:val="18"/>
                    </w:rPr>
                  </w:pPr>
                  <w:r>
                    <w:noBreakHyphen/>
                  </w:r>
                  <w:r w:rsidRPr="00A75ED1">
                    <w:t>113</w:t>
                  </w:r>
                </w:p>
              </w:tc>
              <w:tc>
                <w:tcPr>
                  <w:tcW w:w="556" w:type="pct"/>
                  <w:tcBorders>
                    <w:top w:val="nil"/>
                    <w:left w:val="nil"/>
                    <w:bottom w:val="nil"/>
                    <w:right w:val="nil"/>
                  </w:tcBorders>
                  <w:shd w:val="clear" w:color="000000" w:fill="FFFFFF"/>
                  <w:vAlign w:val="bottom"/>
                </w:tcPr>
                <w:p w14:paraId="7954D29F" w14:textId="77777777" w:rsidR="00F05DC7" w:rsidRPr="00A75ED1" w:rsidRDefault="00F05DC7" w:rsidP="00A3786D">
                  <w:pPr>
                    <w:pStyle w:val="TableBodyText"/>
                    <w:rPr>
                      <w:rFonts w:cs="Arial"/>
                      <w:szCs w:val="18"/>
                    </w:rPr>
                  </w:pPr>
                  <w:r>
                    <w:noBreakHyphen/>
                  </w:r>
                  <w:r w:rsidRPr="00A75ED1">
                    <w:t>74</w:t>
                  </w:r>
                </w:p>
              </w:tc>
              <w:tc>
                <w:tcPr>
                  <w:tcW w:w="556" w:type="pct"/>
                  <w:tcBorders>
                    <w:top w:val="nil"/>
                    <w:left w:val="nil"/>
                    <w:bottom w:val="nil"/>
                    <w:right w:val="nil"/>
                  </w:tcBorders>
                  <w:shd w:val="clear" w:color="000000" w:fill="FFFFFF"/>
                  <w:vAlign w:val="bottom"/>
                </w:tcPr>
                <w:p w14:paraId="7954D2A0" w14:textId="77777777" w:rsidR="00F05DC7" w:rsidRPr="00A75ED1" w:rsidRDefault="00F05DC7" w:rsidP="00A3786D">
                  <w:pPr>
                    <w:pStyle w:val="TableBodyText"/>
                    <w:rPr>
                      <w:rFonts w:cs="Arial"/>
                      <w:szCs w:val="18"/>
                    </w:rPr>
                  </w:pPr>
                  <w:r w:rsidRPr="00A75ED1">
                    <w:t>168</w:t>
                  </w:r>
                </w:p>
              </w:tc>
              <w:tc>
                <w:tcPr>
                  <w:tcW w:w="555" w:type="pct"/>
                  <w:tcBorders>
                    <w:top w:val="nil"/>
                    <w:left w:val="nil"/>
                    <w:bottom w:val="nil"/>
                    <w:right w:val="nil"/>
                  </w:tcBorders>
                  <w:shd w:val="clear" w:color="000000" w:fill="FFFFFF"/>
                  <w:vAlign w:val="bottom"/>
                </w:tcPr>
                <w:p w14:paraId="7954D2A1" w14:textId="77777777" w:rsidR="00F05DC7" w:rsidRPr="00A75ED1" w:rsidRDefault="00F05DC7" w:rsidP="00A3786D">
                  <w:pPr>
                    <w:pStyle w:val="TableBodyText"/>
                    <w:rPr>
                      <w:rFonts w:cs="Arial"/>
                      <w:szCs w:val="18"/>
                    </w:rPr>
                  </w:pPr>
                  <w:r>
                    <w:noBreakHyphen/>
                  </w:r>
                  <w:r w:rsidRPr="00A75ED1">
                    <w:t>21</w:t>
                  </w:r>
                </w:p>
              </w:tc>
              <w:tc>
                <w:tcPr>
                  <w:tcW w:w="555" w:type="pct"/>
                  <w:tcBorders>
                    <w:top w:val="nil"/>
                    <w:left w:val="nil"/>
                    <w:bottom w:val="nil"/>
                    <w:right w:val="nil"/>
                  </w:tcBorders>
                  <w:shd w:val="clear" w:color="000000" w:fill="FFFFFF"/>
                  <w:vAlign w:val="bottom"/>
                </w:tcPr>
                <w:p w14:paraId="7954D2A2" w14:textId="77777777" w:rsidR="00F05DC7" w:rsidRPr="00A75ED1" w:rsidRDefault="00F05DC7" w:rsidP="00A3786D">
                  <w:pPr>
                    <w:pStyle w:val="TableBodyText"/>
                    <w:rPr>
                      <w:rFonts w:cs="Arial"/>
                      <w:szCs w:val="18"/>
                    </w:rPr>
                  </w:pPr>
                  <w:r>
                    <w:noBreakHyphen/>
                  </w:r>
                  <w:r w:rsidRPr="00A75ED1">
                    <w:t>6</w:t>
                  </w:r>
                </w:p>
              </w:tc>
              <w:tc>
                <w:tcPr>
                  <w:tcW w:w="555" w:type="pct"/>
                  <w:tcBorders>
                    <w:top w:val="nil"/>
                    <w:left w:val="nil"/>
                    <w:bottom w:val="nil"/>
                    <w:right w:val="nil"/>
                  </w:tcBorders>
                  <w:shd w:val="clear" w:color="000000" w:fill="FFFFFF"/>
                  <w:vAlign w:val="bottom"/>
                </w:tcPr>
                <w:p w14:paraId="7954D2A3" w14:textId="77777777" w:rsidR="00F05DC7" w:rsidRPr="00A75ED1" w:rsidRDefault="00F05DC7" w:rsidP="00A3786D">
                  <w:pPr>
                    <w:pStyle w:val="TableBodyText"/>
                    <w:rPr>
                      <w:rFonts w:cs="Arial"/>
                      <w:szCs w:val="18"/>
                    </w:rPr>
                  </w:pPr>
                  <w:r>
                    <w:noBreakHyphen/>
                  </w:r>
                  <w:r w:rsidRPr="00A75ED1">
                    <w:t>6</w:t>
                  </w:r>
                </w:p>
              </w:tc>
              <w:tc>
                <w:tcPr>
                  <w:tcW w:w="553" w:type="pct"/>
                  <w:tcBorders>
                    <w:top w:val="nil"/>
                    <w:left w:val="nil"/>
                    <w:bottom w:val="nil"/>
                    <w:right w:val="nil"/>
                  </w:tcBorders>
                  <w:shd w:val="clear" w:color="000000" w:fill="FFFFFF"/>
                  <w:vAlign w:val="bottom"/>
                </w:tcPr>
                <w:p w14:paraId="7954D2A4" w14:textId="77777777" w:rsidR="00F05DC7" w:rsidRPr="00A75ED1" w:rsidRDefault="00F05DC7" w:rsidP="00A3786D">
                  <w:pPr>
                    <w:pStyle w:val="TableBodyText"/>
                    <w:rPr>
                      <w:rFonts w:cs="Arial"/>
                      <w:szCs w:val="18"/>
                    </w:rPr>
                  </w:pPr>
                  <w:r>
                    <w:noBreakHyphen/>
                  </w:r>
                  <w:r w:rsidRPr="00A75ED1">
                    <w:t>3</w:t>
                  </w:r>
                </w:p>
              </w:tc>
            </w:tr>
            <w:tr w:rsidR="00F05DC7" w:rsidRPr="00A75ED1" w14:paraId="7954D2AF" w14:textId="77777777" w:rsidTr="00A3786D">
              <w:tc>
                <w:tcPr>
                  <w:tcW w:w="556" w:type="pct"/>
                </w:tcPr>
                <w:p w14:paraId="7954D2A6"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000000" w:fill="FFFFFF"/>
                  <w:vAlign w:val="bottom"/>
                </w:tcPr>
                <w:p w14:paraId="7954D2A7" w14:textId="77777777" w:rsidR="00F05DC7" w:rsidRPr="00A75ED1" w:rsidRDefault="00F05DC7" w:rsidP="00A3786D">
                  <w:pPr>
                    <w:pStyle w:val="TableBodyText"/>
                    <w:rPr>
                      <w:rFonts w:cs="Arial"/>
                      <w:szCs w:val="18"/>
                    </w:rPr>
                  </w:pPr>
                  <w:r w:rsidRPr="00A75ED1">
                    <w:t>58</w:t>
                  </w:r>
                </w:p>
              </w:tc>
              <w:tc>
                <w:tcPr>
                  <w:tcW w:w="557" w:type="pct"/>
                  <w:tcBorders>
                    <w:top w:val="nil"/>
                    <w:left w:val="nil"/>
                    <w:bottom w:val="nil"/>
                    <w:right w:val="nil"/>
                  </w:tcBorders>
                  <w:shd w:val="clear" w:color="000000" w:fill="FFFFFF"/>
                  <w:vAlign w:val="bottom"/>
                </w:tcPr>
                <w:p w14:paraId="7954D2A8" w14:textId="77777777" w:rsidR="00F05DC7" w:rsidRPr="00A75ED1" w:rsidRDefault="00F05DC7" w:rsidP="00A3786D">
                  <w:pPr>
                    <w:pStyle w:val="TableBodyText"/>
                    <w:rPr>
                      <w:rFonts w:cs="Arial"/>
                      <w:szCs w:val="18"/>
                    </w:rPr>
                  </w:pPr>
                  <w:r>
                    <w:noBreakHyphen/>
                  </w:r>
                  <w:r w:rsidRPr="00A75ED1">
                    <w:t>120</w:t>
                  </w:r>
                </w:p>
              </w:tc>
              <w:tc>
                <w:tcPr>
                  <w:tcW w:w="556" w:type="pct"/>
                  <w:tcBorders>
                    <w:top w:val="nil"/>
                    <w:left w:val="nil"/>
                    <w:bottom w:val="nil"/>
                    <w:right w:val="nil"/>
                  </w:tcBorders>
                  <w:shd w:val="clear" w:color="000000" w:fill="FFFFFF"/>
                  <w:vAlign w:val="bottom"/>
                </w:tcPr>
                <w:p w14:paraId="7954D2A9" w14:textId="77777777" w:rsidR="00F05DC7" w:rsidRPr="00A75ED1" w:rsidRDefault="00F05DC7" w:rsidP="00A3786D">
                  <w:pPr>
                    <w:pStyle w:val="TableBodyText"/>
                    <w:rPr>
                      <w:rFonts w:cs="Arial"/>
                      <w:szCs w:val="18"/>
                    </w:rPr>
                  </w:pPr>
                  <w:r>
                    <w:noBreakHyphen/>
                  </w:r>
                  <w:r w:rsidRPr="00A75ED1">
                    <w:t>77</w:t>
                  </w:r>
                </w:p>
              </w:tc>
              <w:tc>
                <w:tcPr>
                  <w:tcW w:w="556" w:type="pct"/>
                  <w:tcBorders>
                    <w:top w:val="nil"/>
                    <w:left w:val="nil"/>
                    <w:bottom w:val="nil"/>
                    <w:right w:val="nil"/>
                  </w:tcBorders>
                  <w:shd w:val="clear" w:color="000000" w:fill="FFFFFF"/>
                  <w:vAlign w:val="bottom"/>
                </w:tcPr>
                <w:p w14:paraId="7954D2AA" w14:textId="77777777" w:rsidR="00F05DC7" w:rsidRPr="00A75ED1" w:rsidRDefault="00F05DC7" w:rsidP="00A3786D">
                  <w:pPr>
                    <w:pStyle w:val="TableBodyText"/>
                    <w:rPr>
                      <w:rFonts w:cs="Arial"/>
                      <w:szCs w:val="18"/>
                    </w:rPr>
                  </w:pPr>
                  <w:r w:rsidRPr="00A75ED1">
                    <w:t>176</w:t>
                  </w:r>
                </w:p>
              </w:tc>
              <w:tc>
                <w:tcPr>
                  <w:tcW w:w="555" w:type="pct"/>
                  <w:tcBorders>
                    <w:top w:val="nil"/>
                    <w:left w:val="nil"/>
                    <w:bottom w:val="nil"/>
                    <w:right w:val="nil"/>
                  </w:tcBorders>
                  <w:shd w:val="clear" w:color="000000" w:fill="FFFFFF"/>
                  <w:vAlign w:val="bottom"/>
                </w:tcPr>
                <w:p w14:paraId="7954D2AB" w14:textId="77777777" w:rsidR="00F05DC7" w:rsidRPr="00A75ED1" w:rsidRDefault="00F05DC7" w:rsidP="00A3786D">
                  <w:pPr>
                    <w:pStyle w:val="TableBodyText"/>
                    <w:rPr>
                      <w:rFonts w:cs="Arial"/>
                      <w:szCs w:val="18"/>
                    </w:rPr>
                  </w:pPr>
                  <w:r>
                    <w:noBreakHyphen/>
                  </w:r>
                  <w:r w:rsidRPr="00A75ED1">
                    <w:t>22</w:t>
                  </w:r>
                </w:p>
              </w:tc>
              <w:tc>
                <w:tcPr>
                  <w:tcW w:w="555" w:type="pct"/>
                  <w:tcBorders>
                    <w:top w:val="nil"/>
                    <w:left w:val="nil"/>
                    <w:bottom w:val="nil"/>
                    <w:right w:val="nil"/>
                  </w:tcBorders>
                  <w:shd w:val="clear" w:color="000000" w:fill="FFFFFF"/>
                  <w:vAlign w:val="bottom"/>
                </w:tcPr>
                <w:p w14:paraId="7954D2AC" w14:textId="77777777" w:rsidR="00F05DC7" w:rsidRPr="00A75ED1" w:rsidRDefault="00F05DC7" w:rsidP="00A3786D">
                  <w:pPr>
                    <w:pStyle w:val="TableBodyText"/>
                    <w:rPr>
                      <w:rFonts w:cs="Arial"/>
                      <w:szCs w:val="18"/>
                    </w:rPr>
                  </w:pPr>
                  <w:r>
                    <w:noBreakHyphen/>
                  </w:r>
                  <w:r w:rsidRPr="00A75ED1">
                    <w:t>6</w:t>
                  </w:r>
                </w:p>
              </w:tc>
              <w:tc>
                <w:tcPr>
                  <w:tcW w:w="555" w:type="pct"/>
                  <w:tcBorders>
                    <w:top w:val="nil"/>
                    <w:left w:val="nil"/>
                    <w:bottom w:val="nil"/>
                    <w:right w:val="nil"/>
                  </w:tcBorders>
                  <w:shd w:val="clear" w:color="000000" w:fill="FFFFFF"/>
                  <w:vAlign w:val="bottom"/>
                </w:tcPr>
                <w:p w14:paraId="7954D2AD" w14:textId="77777777" w:rsidR="00F05DC7" w:rsidRPr="00A75ED1" w:rsidRDefault="00F05DC7" w:rsidP="00A3786D">
                  <w:pPr>
                    <w:pStyle w:val="TableBodyText"/>
                    <w:rPr>
                      <w:rFonts w:cs="Arial"/>
                      <w:szCs w:val="18"/>
                    </w:rPr>
                  </w:pPr>
                  <w:r>
                    <w:noBreakHyphen/>
                  </w:r>
                  <w:r w:rsidRPr="00A75ED1">
                    <w:t>7</w:t>
                  </w:r>
                </w:p>
              </w:tc>
              <w:tc>
                <w:tcPr>
                  <w:tcW w:w="553" w:type="pct"/>
                  <w:tcBorders>
                    <w:top w:val="nil"/>
                    <w:left w:val="nil"/>
                    <w:bottom w:val="nil"/>
                    <w:right w:val="nil"/>
                  </w:tcBorders>
                  <w:shd w:val="clear" w:color="000000" w:fill="FFFFFF"/>
                  <w:vAlign w:val="bottom"/>
                </w:tcPr>
                <w:p w14:paraId="7954D2AE" w14:textId="77777777" w:rsidR="00F05DC7" w:rsidRPr="00A75ED1" w:rsidRDefault="00F05DC7" w:rsidP="00A3786D">
                  <w:pPr>
                    <w:pStyle w:val="TableBodyText"/>
                    <w:rPr>
                      <w:rFonts w:cs="Arial"/>
                      <w:szCs w:val="18"/>
                    </w:rPr>
                  </w:pPr>
                  <w:r>
                    <w:noBreakHyphen/>
                  </w:r>
                  <w:r w:rsidRPr="00A75ED1">
                    <w:t>3</w:t>
                  </w:r>
                </w:p>
              </w:tc>
            </w:tr>
            <w:tr w:rsidR="00F05DC7" w:rsidRPr="00A75ED1" w14:paraId="7954D2B9" w14:textId="77777777" w:rsidTr="00A3786D">
              <w:tc>
                <w:tcPr>
                  <w:tcW w:w="556" w:type="pct"/>
                </w:tcPr>
                <w:p w14:paraId="7954D2B0"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000000" w:fill="FFFFFF"/>
                  <w:vAlign w:val="bottom"/>
                </w:tcPr>
                <w:p w14:paraId="7954D2B1" w14:textId="77777777" w:rsidR="00F05DC7" w:rsidRPr="00A75ED1" w:rsidRDefault="00F05DC7" w:rsidP="00A3786D">
                  <w:pPr>
                    <w:pStyle w:val="TableBodyText"/>
                    <w:rPr>
                      <w:rFonts w:cs="Arial"/>
                      <w:szCs w:val="18"/>
                    </w:rPr>
                  </w:pPr>
                  <w:r w:rsidRPr="00A75ED1">
                    <w:t>61</w:t>
                  </w:r>
                </w:p>
              </w:tc>
              <w:tc>
                <w:tcPr>
                  <w:tcW w:w="557" w:type="pct"/>
                  <w:tcBorders>
                    <w:top w:val="nil"/>
                    <w:left w:val="nil"/>
                    <w:bottom w:val="nil"/>
                    <w:right w:val="nil"/>
                  </w:tcBorders>
                  <w:shd w:val="clear" w:color="000000" w:fill="FFFFFF"/>
                  <w:vAlign w:val="bottom"/>
                </w:tcPr>
                <w:p w14:paraId="7954D2B2" w14:textId="77777777" w:rsidR="00F05DC7" w:rsidRPr="00A75ED1" w:rsidRDefault="00F05DC7" w:rsidP="00A3786D">
                  <w:pPr>
                    <w:pStyle w:val="TableBodyText"/>
                    <w:rPr>
                      <w:rFonts w:cs="Arial"/>
                      <w:szCs w:val="18"/>
                    </w:rPr>
                  </w:pPr>
                  <w:r>
                    <w:noBreakHyphen/>
                  </w:r>
                  <w:r w:rsidRPr="00A75ED1">
                    <w:t>127</w:t>
                  </w:r>
                </w:p>
              </w:tc>
              <w:tc>
                <w:tcPr>
                  <w:tcW w:w="556" w:type="pct"/>
                  <w:tcBorders>
                    <w:top w:val="nil"/>
                    <w:left w:val="nil"/>
                    <w:bottom w:val="nil"/>
                    <w:right w:val="nil"/>
                  </w:tcBorders>
                  <w:shd w:val="clear" w:color="000000" w:fill="FFFFFF"/>
                  <w:vAlign w:val="bottom"/>
                </w:tcPr>
                <w:p w14:paraId="7954D2B3" w14:textId="77777777" w:rsidR="00F05DC7" w:rsidRPr="00A75ED1" w:rsidRDefault="00F05DC7" w:rsidP="00A3786D">
                  <w:pPr>
                    <w:pStyle w:val="TableBodyText"/>
                    <w:rPr>
                      <w:rFonts w:cs="Arial"/>
                      <w:szCs w:val="18"/>
                    </w:rPr>
                  </w:pPr>
                  <w:r>
                    <w:noBreakHyphen/>
                  </w:r>
                  <w:r w:rsidRPr="00A75ED1">
                    <w:t>80</w:t>
                  </w:r>
                </w:p>
              </w:tc>
              <w:tc>
                <w:tcPr>
                  <w:tcW w:w="556" w:type="pct"/>
                  <w:tcBorders>
                    <w:top w:val="nil"/>
                    <w:left w:val="nil"/>
                    <w:bottom w:val="nil"/>
                    <w:right w:val="nil"/>
                  </w:tcBorders>
                  <w:shd w:val="clear" w:color="000000" w:fill="FFFFFF"/>
                  <w:vAlign w:val="bottom"/>
                </w:tcPr>
                <w:p w14:paraId="7954D2B4" w14:textId="77777777" w:rsidR="00F05DC7" w:rsidRPr="00A75ED1" w:rsidRDefault="00F05DC7" w:rsidP="00A3786D">
                  <w:pPr>
                    <w:pStyle w:val="TableBodyText"/>
                    <w:rPr>
                      <w:rFonts w:cs="Arial"/>
                      <w:szCs w:val="18"/>
                    </w:rPr>
                  </w:pPr>
                  <w:r w:rsidRPr="00A75ED1">
                    <w:t>184</w:t>
                  </w:r>
                </w:p>
              </w:tc>
              <w:tc>
                <w:tcPr>
                  <w:tcW w:w="555" w:type="pct"/>
                  <w:tcBorders>
                    <w:top w:val="nil"/>
                    <w:left w:val="nil"/>
                    <w:bottom w:val="nil"/>
                    <w:right w:val="nil"/>
                  </w:tcBorders>
                  <w:shd w:val="clear" w:color="000000" w:fill="FFFFFF"/>
                  <w:vAlign w:val="bottom"/>
                </w:tcPr>
                <w:p w14:paraId="7954D2B5" w14:textId="77777777" w:rsidR="00F05DC7" w:rsidRPr="00A75ED1" w:rsidRDefault="00F05DC7" w:rsidP="00A3786D">
                  <w:pPr>
                    <w:pStyle w:val="TableBodyText"/>
                    <w:rPr>
                      <w:rFonts w:cs="Arial"/>
                      <w:szCs w:val="18"/>
                    </w:rPr>
                  </w:pPr>
                  <w:r>
                    <w:noBreakHyphen/>
                  </w:r>
                  <w:r w:rsidRPr="00A75ED1">
                    <w:t>23</w:t>
                  </w:r>
                </w:p>
              </w:tc>
              <w:tc>
                <w:tcPr>
                  <w:tcW w:w="555" w:type="pct"/>
                  <w:tcBorders>
                    <w:top w:val="nil"/>
                    <w:left w:val="nil"/>
                    <w:bottom w:val="nil"/>
                    <w:right w:val="nil"/>
                  </w:tcBorders>
                  <w:shd w:val="clear" w:color="000000" w:fill="FFFFFF"/>
                  <w:vAlign w:val="bottom"/>
                </w:tcPr>
                <w:p w14:paraId="7954D2B6" w14:textId="77777777" w:rsidR="00F05DC7" w:rsidRPr="00A75ED1" w:rsidRDefault="00F05DC7" w:rsidP="00A3786D">
                  <w:pPr>
                    <w:pStyle w:val="TableBodyText"/>
                    <w:rPr>
                      <w:rFonts w:cs="Arial"/>
                      <w:szCs w:val="18"/>
                    </w:rPr>
                  </w:pPr>
                  <w:r>
                    <w:noBreakHyphen/>
                  </w:r>
                  <w:r w:rsidRPr="00A75ED1">
                    <w:t>6</w:t>
                  </w:r>
                </w:p>
              </w:tc>
              <w:tc>
                <w:tcPr>
                  <w:tcW w:w="555" w:type="pct"/>
                  <w:tcBorders>
                    <w:top w:val="nil"/>
                    <w:left w:val="nil"/>
                    <w:bottom w:val="nil"/>
                    <w:right w:val="nil"/>
                  </w:tcBorders>
                  <w:shd w:val="clear" w:color="000000" w:fill="FFFFFF"/>
                  <w:vAlign w:val="bottom"/>
                </w:tcPr>
                <w:p w14:paraId="7954D2B7" w14:textId="77777777" w:rsidR="00F05DC7" w:rsidRPr="00A75ED1" w:rsidRDefault="00F05DC7" w:rsidP="00A3786D">
                  <w:pPr>
                    <w:pStyle w:val="TableBodyText"/>
                    <w:rPr>
                      <w:rFonts w:cs="Arial"/>
                      <w:szCs w:val="18"/>
                    </w:rPr>
                  </w:pPr>
                  <w:r>
                    <w:noBreakHyphen/>
                  </w:r>
                  <w:r w:rsidRPr="00A75ED1">
                    <w:t>7</w:t>
                  </w:r>
                </w:p>
              </w:tc>
              <w:tc>
                <w:tcPr>
                  <w:tcW w:w="553" w:type="pct"/>
                  <w:tcBorders>
                    <w:top w:val="nil"/>
                    <w:left w:val="nil"/>
                    <w:bottom w:val="nil"/>
                    <w:right w:val="nil"/>
                  </w:tcBorders>
                  <w:shd w:val="clear" w:color="000000" w:fill="FFFFFF"/>
                  <w:vAlign w:val="bottom"/>
                </w:tcPr>
                <w:p w14:paraId="7954D2B8" w14:textId="77777777" w:rsidR="00F05DC7" w:rsidRPr="00A75ED1" w:rsidRDefault="00F05DC7" w:rsidP="00A3786D">
                  <w:pPr>
                    <w:pStyle w:val="TableBodyText"/>
                    <w:rPr>
                      <w:rFonts w:cs="Arial"/>
                      <w:szCs w:val="18"/>
                    </w:rPr>
                  </w:pPr>
                  <w:r>
                    <w:noBreakHyphen/>
                  </w:r>
                  <w:r w:rsidRPr="00A75ED1">
                    <w:t>3</w:t>
                  </w:r>
                </w:p>
              </w:tc>
            </w:tr>
            <w:tr w:rsidR="00F05DC7" w:rsidRPr="00A75ED1" w14:paraId="7954D2C3" w14:textId="77777777" w:rsidTr="002341D7">
              <w:tc>
                <w:tcPr>
                  <w:tcW w:w="556" w:type="pct"/>
                </w:tcPr>
                <w:p w14:paraId="7954D2BA"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000000" w:fill="FFFFFF"/>
                  <w:vAlign w:val="bottom"/>
                </w:tcPr>
                <w:p w14:paraId="7954D2BB" w14:textId="77777777" w:rsidR="00F05DC7" w:rsidRPr="00A75ED1" w:rsidRDefault="00F05DC7" w:rsidP="00A3786D">
                  <w:pPr>
                    <w:pStyle w:val="TableBodyText"/>
                    <w:rPr>
                      <w:rFonts w:cs="Arial"/>
                      <w:szCs w:val="18"/>
                    </w:rPr>
                  </w:pPr>
                  <w:r w:rsidRPr="00A75ED1">
                    <w:t>65</w:t>
                  </w:r>
                </w:p>
              </w:tc>
              <w:tc>
                <w:tcPr>
                  <w:tcW w:w="557" w:type="pct"/>
                  <w:tcBorders>
                    <w:top w:val="nil"/>
                    <w:left w:val="nil"/>
                    <w:right w:val="nil"/>
                  </w:tcBorders>
                  <w:shd w:val="clear" w:color="000000" w:fill="FFFFFF"/>
                  <w:vAlign w:val="bottom"/>
                </w:tcPr>
                <w:p w14:paraId="7954D2BC" w14:textId="77777777" w:rsidR="00F05DC7" w:rsidRPr="00A75ED1" w:rsidRDefault="00F05DC7" w:rsidP="00A3786D">
                  <w:pPr>
                    <w:pStyle w:val="TableBodyText"/>
                    <w:rPr>
                      <w:rFonts w:cs="Arial"/>
                      <w:szCs w:val="18"/>
                    </w:rPr>
                  </w:pPr>
                  <w:r>
                    <w:noBreakHyphen/>
                  </w:r>
                  <w:r w:rsidRPr="00A75ED1">
                    <w:t>134</w:t>
                  </w:r>
                </w:p>
              </w:tc>
              <w:tc>
                <w:tcPr>
                  <w:tcW w:w="556" w:type="pct"/>
                  <w:tcBorders>
                    <w:top w:val="nil"/>
                    <w:left w:val="nil"/>
                    <w:right w:val="nil"/>
                  </w:tcBorders>
                  <w:shd w:val="clear" w:color="000000" w:fill="FFFFFF"/>
                  <w:vAlign w:val="bottom"/>
                </w:tcPr>
                <w:p w14:paraId="7954D2BD" w14:textId="77777777" w:rsidR="00F05DC7" w:rsidRPr="00A75ED1" w:rsidRDefault="00F05DC7" w:rsidP="00A3786D">
                  <w:pPr>
                    <w:pStyle w:val="TableBodyText"/>
                    <w:rPr>
                      <w:rFonts w:cs="Arial"/>
                      <w:szCs w:val="18"/>
                    </w:rPr>
                  </w:pPr>
                  <w:r>
                    <w:noBreakHyphen/>
                  </w:r>
                  <w:r w:rsidRPr="00A75ED1">
                    <w:t>84</w:t>
                  </w:r>
                </w:p>
              </w:tc>
              <w:tc>
                <w:tcPr>
                  <w:tcW w:w="556" w:type="pct"/>
                  <w:tcBorders>
                    <w:top w:val="nil"/>
                    <w:left w:val="nil"/>
                    <w:right w:val="nil"/>
                  </w:tcBorders>
                  <w:shd w:val="clear" w:color="000000" w:fill="FFFFFF"/>
                  <w:vAlign w:val="bottom"/>
                </w:tcPr>
                <w:p w14:paraId="7954D2BE" w14:textId="77777777" w:rsidR="00F05DC7" w:rsidRPr="00A75ED1" w:rsidRDefault="00F05DC7" w:rsidP="00A3786D">
                  <w:pPr>
                    <w:pStyle w:val="TableBodyText"/>
                    <w:rPr>
                      <w:rFonts w:cs="Arial"/>
                      <w:szCs w:val="18"/>
                    </w:rPr>
                  </w:pPr>
                  <w:r w:rsidRPr="00A75ED1">
                    <w:t>193</w:t>
                  </w:r>
                </w:p>
              </w:tc>
              <w:tc>
                <w:tcPr>
                  <w:tcW w:w="555" w:type="pct"/>
                  <w:tcBorders>
                    <w:top w:val="nil"/>
                    <w:left w:val="nil"/>
                    <w:right w:val="nil"/>
                  </w:tcBorders>
                  <w:shd w:val="clear" w:color="000000" w:fill="FFFFFF"/>
                  <w:vAlign w:val="bottom"/>
                </w:tcPr>
                <w:p w14:paraId="7954D2BF" w14:textId="77777777" w:rsidR="00F05DC7" w:rsidRPr="00A75ED1" w:rsidRDefault="00F05DC7" w:rsidP="00A3786D">
                  <w:pPr>
                    <w:pStyle w:val="TableBodyText"/>
                    <w:rPr>
                      <w:rFonts w:cs="Arial"/>
                      <w:szCs w:val="18"/>
                    </w:rPr>
                  </w:pPr>
                  <w:r>
                    <w:noBreakHyphen/>
                  </w:r>
                  <w:r w:rsidRPr="00A75ED1">
                    <w:t>23</w:t>
                  </w:r>
                </w:p>
              </w:tc>
              <w:tc>
                <w:tcPr>
                  <w:tcW w:w="555" w:type="pct"/>
                  <w:tcBorders>
                    <w:top w:val="nil"/>
                    <w:left w:val="nil"/>
                    <w:right w:val="nil"/>
                  </w:tcBorders>
                  <w:shd w:val="clear" w:color="000000" w:fill="FFFFFF"/>
                  <w:vAlign w:val="bottom"/>
                </w:tcPr>
                <w:p w14:paraId="7954D2C0" w14:textId="77777777" w:rsidR="00F05DC7" w:rsidRPr="00A75ED1" w:rsidRDefault="00F05DC7" w:rsidP="00A3786D">
                  <w:pPr>
                    <w:pStyle w:val="TableBodyText"/>
                    <w:rPr>
                      <w:rFonts w:cs="Arial"/>
                      <w:szCs w:val="18"/>
                    </w:rPr>
                  </w:pPr>
                  <w:r>
                    <w:noBreakHyphen/>
                  </w:r>
                  <w:r w:rsidRPr="00A75ED1">
                    <w:t>7</w:t>
                  </w:r>
                </w:p>
              </w:tc>
              <w:tc>
                <w:tcPr>
                  <w:tcW w:w="555" w:type="pct"/>
                  <w:tcBorders>
                    <w:top w:val="nil"/>
                    <w:left w:val="nil"/>
                    <w:right w:val="nil"/>
                  </w:tcBorders>
                  <w:shd w:val="clear" w:color="000000" w:fill="FFFFFF"/>
                  <w:vAlign w:val="bottom"/>
                </w:tcPr>
                <w:p w14:paraId="7954D2C1" w14:textId="77777777" w:rsidR="00F05DC7" w:rsidRPr="00A75ED1" w:rsidRDefault="00F05DC7" w:rsidP="00A3786D">
                  <w:pPr>
                    <w:pStyle w:val="TableBodyText"/>
                    <w:rPr>
                      <w:rFonts w:cs="Arial"/>
                      <w:szCs w:val="18"/>
                    </w:rPr>
                  </w:pPr>
                  <w:r>
                    <w:noBreakHyphen/>
                  </w:r>
                  <w:r w:rsidRPr="00A75ED1">
                    <w:t>7</w:t>
                  </w:r>
                </w:p>
              </w:tc>
              <w:tc>
                <w:tcPr>
                  <w:tcW w:w="553" w:type="pct"/>
                  <w:tcBorders>
                    <w:top w:val="nil"/>
                    <w:left w:val="nil"/>
                    <w:right w:val="nil"/>
                  </w:tcBorders>
                  <w:shd w:val="clear" w:color="000000" w:fill="FFFFFF"/>
                  <w:vAlign w:val="bottom"/>
                </w:tcPr>
                <w:p w14:paraId="7954D2C2" w14:textId="77777777" w:rsidR="00F05DC7" w:rsidRPr="00A75ED1" w:rsidRDefault="00F05DC7" w:rsidP="00A3786D">
                  <w:pPr>
                    <w:pStyle w:val="TableBodyText"/>
                    <w:rPr>
                      <w:rFonts w:cs="Arial"/>
                      <w:szCs w:val="18"/>
                    </w:rPr>
                  </w:pPr>
                  <w:r>
                    <w:noBreakHyphen/>
                  </w:r>
                  <w:r w:rsidRPr="00A75ED1">
                    <w:t>3</w:t>
                  </w:r>
                </w:p>
              </w:tc>
            </w:tr>
            <w:tr w:rsidR="00F05DC7" w:rsidRPr="00A75ED1" w14:paraId="7954D2C5" w14:textId="77777777" w:rsidTr="002341D7">
              <w:tc>
                <w:tcPr>
                  <w:tcW w:w="5000" w:type="pct"/>
                  <w:gridSpan w:val="9"/>
                  <w:shd w:val="clear" w:color="auto" w:fill="F2F2F2" w:themeFill="background1" w:themeFillShade="F2"/>
                </w:tcPr>
                <w:p w14:paraId="7954D2C4"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D2CF" w14:textId="77777777" w:rsidTr="00A3786D">
              <w:tc>
                <w:tcPr>
                  <w:tcW w:w="556" w:type="pct"/>
                  <w:vAlign w:val="bottom"/>
                </w:tcPr>
                <w:p w14:paraId="7954D2C6" w14:textId="77777777" w:rsidR="00F05DC7" w:rsidRPr="00027F36" w:rsidRDefault="00F05DC7" w:rsidP="00A3786D">
                  <w:pPr>
                    <w:pStyle w:val="TableBodyText"/>
                    <w:rPr>
                      <w:rFonts w:cs="Arial"/>
                      <w:szCs w:val="18"/>
                    </w:rPr>
                  </w:pPr>
                  <w:r w:rsidRPr="00027F36">
                    <w:rPr>
                      <w:rFonts w:cs="Arial"/>
                      <w:szCs w:val="18"/>
                    </w:rPr>
                    <w:t>2019</w:t>
                  </w:r>
                  <w:r w:rsidRPr="00027F36">
                    <w:rPr>
                      <w:rFonts w:cs="Arial"/>
                      <w:szCs w:val="18"/>
                    </w:rPr>
                    <w:noBreakHyphen/>
                    <w:t>20</w:t>
                  </w:r>
                </w:p>
              </w:tc>
              <w:tc>
                <w:tcPr>
                  <w:tcW w:w="557" w:type="pct"/>
                  <w:tcBorders>
                    <w:top w:val="nil"/>
                    <w:left w:val="nil"/>
                    <w:bottom w:val="nil"/>
                    <w:right w:val="nil"/>
                  </w:tcBorders>
                  <w:shd w:val="clear" w:color="auto" w:fill="auto"/>
                  <w:vAlign w:val="bottom"/>
                </w:tcPr>
                <w:p w14:paraId="7954D2C7" w14:textId="77777777" w:rsidR="00F05DC7" w:rsidRPr="00027F36" w:rsidRDefault="00F05DC7" w:rsidP="00A3786D">
                  <w:pPr>
                    <w:pStyle w:val="TableBodyText"/>
                    <w:rPr>
                      <w:rFonts w:cs="Arial"/>
                      <w:szCs w:val="18"/>
                    </w:rPr>
                  </w:pPr>
                  <w:r w:rsidRPr="00027F36">
                    <w:rPr>
                      <w:rFonts w:cs="Arial"/>
                      <w:color w:val="000000"/>
                      <w:szCs w:val="18"/>
                    </w:rPr>
                    <w:t>27</w:t>
                  </w:r>
                </w:p>
              </w:tc>
              <w:tc>
                <w:tcPr>
                  <w:tcW w:w="557" w:type="pct"/>
                  <w:tcBorders>
                    <w:top w:val="nil"/>
                    <w:left w:val="nil"/>
                    <w:bottom w:val="nil"/>
                    <w:right w:val="nil"/>
                  </w:tcBorders>
                  <w:shd w:val="clear" w:color="auto" w:fill="auto"/>
                  <w:vAlign w:val="bottom"/>
                </w:tcPr>
                <w:p w14:paraId="7954D2C8" w14:textId="77777777" w:rsidR="00F05DC7" w:rsidRPr="00027F36" w:rsidRDefault="00F05DC7" w:rsidP="00A3786D">
                  <w:pPr>
                    <w:pStyle w:val="TableBodyText"/>
                    <w:rPr>
                      <w:rFonts w:cs="Arial"/>
                      <w:szCs w:val="18"/>
                    </w:rPr>
                  </w:pPr>
                  <w:r w:rsidRPr="00027F36">
                    <w:rPr>
                      <w:rFonts w:cs="Arial"/>
                      <w:color w:val="000000"/>
                      <w:szCs w:val="18"/>
                    </w:rPr>
                    <w:t>-62</w:t>
                  </w:r>
                </w:p>
              </w:tc>
              <w:tc>
                <w:tcPr>
                  <w:tcW w:w="556" w:type="pct"/>
                  <w:tcBorders>
                    <w:top w:val="nil"/>
                    <w:left w:val="nil"/>
                    <w:bottom w:val="nil"/>
                    <w:right w:val="nil"/>
                  </w:tcBorders>
                  <w:shd w:val="clear" w:color="auto" w:fill="auto"/>
                  <w:vAlign w:val="bottom"/>
                </w:tcPr>
                <w:p w14:paraId="7954D2C9" w14:textId="77777777" w:rsidR="00F05DC7" w:rsidRPr="00027F36" w:rsidRDefault="00F05DC7" w:rsidP="00A3786D">
                  <w:pPr>
                    <w:pStyle w:val="TableBodyText"/>
                    <w:rPr>
                      <w:rFonts w:cs="Arial"/>
                      <w:szCs w:val="18"/>
                    </w:rPr>
                  </w:pPr>
                  <w:r w:rsidRPr="00027F36">
                    <w:rPr>
                      <w:rFonts w:cs="Arial"/>
                      <w:color w:val="000000"/>
                      <w:szCs w:val="18"/>
                    </w:rPr>
                    <w:t>-69</w:t>
                  </w:r>
                </w:p>
              </w:tc>
              <w:tc>
                <w:tcPr>
                  <w:tcW w:w="556" w:type="pct"/>
                  <w:tcBorders>
                    <w:top w:val="nil"/>
                    <w:left w:val="nil"/>
                    <w:bottom w:val="nil"/>
                    <w:right w:val="nil"/>
                  </w:tcBorders>
                  <w:shd w:val="clear" w:color="auto" w:fill="auto"/>
                  <w:vAlign w:val="bottom"/>
                </w:tcPr>
                <w:p w14:paraId="7954D2CA" w14:textId="77777777" w:rsidR="00F05DC7" w:rsidRPr="00027F36" w:rsidRDefault="00F05DC7" w:rsidP="00A3786D">
                  <w:pPr>
                    <w:pStyle w:val="TableBodyText"/>
                    <w:rPr>
                      <w:rFonts w:cs="Arial"/>
                      <w:szCs w:val="18"/>
                    </w:rPr>
                  </w:pPr>
                  <w:r w:rsidRPr="00027F36">
                    <w:rPr>
                      <w:rFonts w:cs="Arial"/>
                      <w:color w:val="000000"/>
                      <w:szCs w:val="18"/>
                    </w:rPr>
                    <w:t>283</w:t>
                  </w:r>
                </w:p>
              </w:tc>
              <w:tc>
                <w:tcPr>
                  <w:tcW w:w="555" w:type="pct"/>
                  <w:tcBorders>
                    <w:top w:val="nil"/>
                    <w:left w:val="nil"/>
                    <w:bottom w:val="nil"/>
                    <w:right w:val="nil"/>
                  </w:tcBorders>
                  <w:shd w:val="clear" w:color="auto" w:fill="auto"/>
                  <w:vAlign w:val="bottom"/>
                </w:tcPr>
                <w:p w14:paraId="7954D2CB" w14:textId="77777777" w:rsidR="00F05DC7" w:rsidRPr="00027F36" w:rsidRDefault="00F05DC7" w:rsidP="00A3786D">
                  <w:pPr>
                    <w:pStyle w:val="TableBodyText"/>
                    <w:rPr>
                      <w:rFonts w:cs="Arial"/>
                      <w:szCs w:val="18"/>
                    </w:rPr>
                  </w:pPr>
                  <w:r w:rsidRPr="00027F36">
                    <w:rPr>
                      <w:rFonts w:cs="Arial"/>
                      <w:color w:val="000000"/>
                      <w:szCs w:val="18"/>
                    </w:rPr>
                    <w:t>-69</w:t>
                  </w:r>
                </w:p>
              </w:tc>
              <w:tc>
                <w:tcPr>
                  <w:tcW w:w="555" w:type="pct"/>
                  <w:tcBorders>
                    <w:top w:val="nil"/>
                    <w:left w:val="nil"/>
                    <w:bottom w:val="nil"/>
                    <w:right w:val="nil"/>
                  </w:tcBorders>
                  <w:shd w:val="clear" w:color="auto" w:fill="auto"/>
                  <w:vAlign w:val="bottom"/>
                </w:tcPr>
                <w:p w14:paraId="7954D2CC" w14:textId="77777777" w:rsidR="00F05DC7" w:rsidRPr="00027F36" w:rsidRDefault="00F05DC7" w:rsidP="00A3786D">
                  <w:pPr>
                    <w:pStyle w:val="TableBodyText"/>
                    <w:rPr>
                      <w:rFonts w:cs="Arial"/>
                      <w:szCs w:val="18"/>
                    </w:rPr>
                  </w:pPr>
                  <w:r w:rsidRPr="00027F36">
                    <w:rPr>
                      <w:rFonts w:cs="Arial"/>
                      <w:color w:val="000000"/>
                      <w:szCs w:val="18"/>
                    </w:rPr>
                    <w:t>-69</w:t>
                  </w:r>
                </w:p>
              </w:tc>
              <w:tc>
                <w:tcPr>
                  <w:tcW w:w="555" w:type="pct"/>
                  <w:tcBorders>
                    <w:top w:val="nil"/>
                    <w:left w:val="nil"/>
                    <w:bottom w:val="nil"/>
                    <w:right w:val="nil"/>
                  </w:tcBorders>
                  <w:shd w:val="clear" w:color="auto" w:fill="auto"/>
                  <w:vAlign w:val="bottom"/>
                </w:tcPr>
                <w:p w14:paraId="7954D2CD" w14:textId="77777777" w:rsidR="00F05DC7" w:rsidRPr="00027F36" w:rsidRDefault="00F05DC7" w:rsidP="00A3786D">
                  <w:pPr>
                    <w:pStyle w:val="TableBodyText"/>
                    <w:rPr>
                      <w:rFonts w:cs="Arial"/>
                      <w:szCs w:val="18"/>
                    </w:rPr>
                  </w:pPr>
                  <w:r w:rsidRPr="00027F36">
                    <w:rPr>
                      <w:rFonts w:cs="Arial"/>
                      <w:color w:val="000000"/>
                      <w:szCs w:val="18"/>
                    </w:rPr>
                    <w:t>-69</w:t>
                  </w:r>
                </w:p>
              </w:tc>
              <w:tc>
                <w:tcPr>
                  <w:tcW w:w="553" w:type="pct"/>
                  <w:tcBorders>
                    <w:top w:val="nil"/>
                    <w:left w:val="nil"/>
                    <w:bottom w:val="nil"/>
                    <w:right w:val="nil"/>
                  </w:tcBorders>
                  <w:shd w:val="clear" w:color="auto" w:fill="auto"/>
                  <w:vAlign w:val="bottom"/>
                </w:tcPr>
                <w:p w14:paraId="7954D2CE" w14:textId="77777777" w:rsidR="00F05DC7" w:rsidRPr="00027F36" w:rsidRDefault="00F05DC7" w:rsidP="00A3786D">
                  <w:pPr>
                    <w:pStyle w:val="TableBodyText"/>
                    <w:rPr>
                      <w:rFonts w:cs="Arial"/>
                      <w:szCs w:val="18"/>
                    </w:rPr>
                  </w:pPr>
                  <w:r w:rsidRPr="00027F36">
                    <w:rPr>
                      <w:rFonts w:cs="Arial"/>
                      <w:color w:val="000000"/>
                      <w:szCs w:val="18"/>
                    </w:rPr>
                    <w:t>-69</w:t>
                  </w:r>
                </w:p>
              </w:tc>
            </w:tr>
            <w:tr w:rsidR="00F05DC7" w:rsidRPr="00A75ED1" w14:paraId="7954D2D9" w14:textId="77777777" w:rsidTr="00A3786D">
              <w:tc>
                <w:tcPr>
                  <w:tcW w:w="556" w:type="pct"/>
                  <w:vAlign w:val="bottom"/>
                </w:tcPr>
                <w:p w14:paraId="7954D2D0" w14:textId="77777777" w:rsidR="00F05DC7" w:rsidRPr="00027F36" w:rsidRDefault="00F05DC7" w:rsidP="00A3786D">
                  <w:pPr>
                    <w:pStyle w:val="TableBodyText"/>
                    <w:rPr>
                      <w:rFonts w:cs="Arial"/>
                      <w:szCs w:val="18"/>
                    </w:rPr>
                  </w:pPr>
                  <w:r w:rsidRPr="00027F36">
                    <w:rPr>
                      <w:rFonts w:cs="Arial"/>
                      <w:szCs w:val="18"/>
                    </w:rPr>
                    <w:t>2020</w:t>
                  </w:r>
                  <w:r w:rsidRPr="00027F36">
                    <w:rPr>
                      <w:rFonts w:cs="Arial"/>
                      <w:szCs w:val="18"/>
                    </w:rPr>
                    <w:noBreakHyphen/>
                    <w:t>21</w:t>
                  </w:r>
                </w:p>
              </w:tc>
              <w:tc>
                <w:tcPr>
                  <w:tcW w:w="557" w:type="pct"/>
                  <w:tcBorders>
                    <w:top w:val="nil"/>
                    <w:left w:val="nil"/>
                    <w:bottom w:val="nil"/>
                    <w:right w:val="nil"/>
                  </w:tcBorders>
                  <w:shd w:val="clear" w:color="auto" w:fill="auto"/>
                  <w:vAlign w:val="bottom"/>
                </w:tcPr>
                <w:p w14:paraId="7954D2D1" w14:textId="77777777" w:rsidR="00F05DC7" w:rsidRPr="00027F36" w:rsidRDefault="00F05DC7" w:rsidP="00A3786D">
                  <w:pPr>
                    <w:pStyle w:val="TableBodyText"/>
                    <w:rPr>
                      <w:rFonts w:cs="Arial"/>
                      <w:szCs w:val="18"/>
                    </w:rPr>
                  </w:pPr>
                  <w:r w:rsidRPr="00027F36">
                    <w:rPr>
                      <w:rFonts w:cs="Arial"/>
                      <w:color w:val="000000"/>
                      <w:szCs w:val="18"/>
                    </w:rPr>
                    <w:t>29</w:t>
                  </w:r>
                </w:p>
              </w:tc>
              <w:tc>
                <w:tcPr>
                  <w:tcW w:w="557" w:type="pct"/>
                  <w:tcBorders>
                    <w:top w:val="nil"/>
                    <w:left w:val="nil"/>
                    <w:bottom w:val="nil"/>
                    <w:right w:val="nil"/>
                  </w:tcBorders>
                  <w:shd w:val="clear" w:color="auto" w:fill="auto"/>
                  <w:vAlign w:val="bottom"/>
                </w:tcPr>
                <w:p w14:paraId="7954D2D2" w14:textId="77777777" w:rsidR="00F05DC7" w:rsidRPr="00027F36" w:rsidRDefault="00F05DC7" w:rsidP="00A3786D">
                  <w:pPr>
                    <w:pStyle w:val="TableBodyText"/>
                    <w:rPr>
                      <w:rFonts w:cs="Arial"/>
                      <w:szCs w:val="18"/>
                    </w:rPr>
                  </w:pPr>
                  <w:r w:rsidRPr="00027F36">
                    <w:rPr>
                      <w:rFonts w:cs="Arial"/>
                      <w:color w:val="000000"/>
                      <w:szCs w:val="18"/>
                    </w:rPr>
                    <w:t>-68</w:t>
                  </w:r>
                </w:p>
              </w:tc>
              <w:tc>
                <w:tcPr>
                  <w:tcW w:w="556" w:type="pct"/>
                  <w:tcBorders>
                    <w:top w:val="nil"/>
                    <w:left w:val="nil"/>
                    <w:bottom w:val="nil"/>
                    <w:right w:val="nil"/>
                  </w:tcBorders>
                  <w:shd w:val="clear" w:color="auto" w:fill="auto"/>
                  <w:vAlign w:val="bottom"/>
                </w:tcPr>
                <w:p w14:paraId="7954D2D3" w14:textId="77777777" w:rsidR="00F05DC7" w:rsidRPr="00027F36" w:rsidRDefault="00F05DC7" w:rsidP="00A3786D">
                  <w:pPr>
                    <w:pStyle w:val="TableBodyText"/>
                    <w:rPr>
                      <w:rFonts w:cs="Arial"/>
                      <w:szCs w:val="18"/>
                    </w:rPr>
                  </w:pPr>
                  <w:r w:rsidRPr="00027F36">
                    <w:rPr>
                      <w:rFonts w:cs="Arial"/>
                      <w:color w:val="000000"/>
                      <w:szCs w:val="18"/>
                    </w:rPr>
                    <w:t>-75</w:t>
                  </w:r>
                </w:p>
              </w:tc>
              <w:tc>
                <w:tcPr>
                  <w:tcW w:w="556" w:type="pct"/>
                  <w:tcBorders>
                    <w:top w:val="nil"/>
                    <w:left w:val="nil"/>
                    <w:bottom w:val="nil"/>
                    <w:right w:val="nil"/>
                  </w:tcBorders>
                  <w:shd w:val="clear" w:color="auto" w:fill="auto"/>
                  <w:vAlign w:val="bottom"/>
                </w:tcPr>
                <w:p w14:paraId="7954D2D4" w14:textId="77777777" w:rsidR="00F05DC7" w:rsidRPr="00027F36" w:rsidRDefault="00F05DC7" w:rsidP="00A3786D">
                  <w:pPr>
                    <w:pStyle w:val="TableBodyText"/>
                    <w:rPr>
                      <w:rFonts w:cs="Arial"/>
                      <w:szCs w:val="18"/>
                    </w:rPr>
                  </w:pPr>
                  <w:r w:rsidRPr="00027F36">
                    <w:rPr>
                      <w:rFonts w:cs="Arial"/>
                      <w:color w:val="000000"/>
                      <w:szCs w:val="18"/>
                    </w:rPr>
                    <w:t>308</w:t>
                  </w:r>
                </w:p>
              </w:tc>
              <w:tc>
                <w:tcPr>
                  <w:tcW w:w="555" w:type="pct"/>
                  <w:tcBorders>
                    <w:top w:val="nil"/>
                    <w:left w:val="nil"/>
                    <w:bottom w:val="nil"/>
                    <w:right w:val="nil"/>
                  </w:tcBorders>
                  <w:shd w:val="clear" w:color="auto" w:fill="auto"/>
                  <w:vAlign w:val="bottom"/>
                </w:tcPr>
                <w:p w14:paraId="7954D2D5" w14:textId="77777777" w:rsidR="00F05DC7" w:rsidRPr="00027F36" w:rsidRDefault="00F05DC7" w:rsidP="00A3786D">
                  <w:pPr>
                    <w:pStyle w:val="TableBodyText"/>
                    <w:rPr>
                      <w:rFonts w:cs="Arial"/>
                      <w:szCs w:val="18"/>
                    </w:rPr>
                  </w:pPr>
                  <w:r w:rsidRPr="00027F36">
                    <w:rPr>
                      <w:rFonts w:cs="Arial"/>
                      <w:color w:val="000000"/>
                      <w:szCs w:val="18"/>
                    </w:rPr>
                    <w:t>-74</w:t>
                  </w:r>
                </w:p>
              </w:tc>
              <w:tc>
                <w:tcPr>
                  <w:tcW w:w="555" w:type="pct"/>
                  <w:tcBorders>
                    <w:top w:val="nil"/>
                    <w:left w:val="nil"/>
                    <w:bottom w:val="nil"/>
                    <w:right w:val="nil"/>
                  </w:tcBorders>
                  <w:shd w:val="clear" w:color="auto" w:fill="auto"/>
                  <w:vAlign w:val="bottom"/>
                </w:tcPr>
                <w:p w14:paraId="7954D2D6" w14:textId="77777777" w:rsidR="00F05DC7" w:rsidRPr="00027F36" w:rsidRDefault="00F05DC7" w:rsidP="00A3786D">
                  <w:pPr>
                    <w:pStyle w:val="TableBodyText"/>
                    <w:rPr>
                      <w:rFonts w:cs="Arial"/>
                      <w:szCs w:val="18"/>
                    </w:rPr>
                  </w:pPr>
                  <w:r w:rsidRPr="00027F36">
                    <w:rPr>
                      <w:rFonts w:cs="Arial"/>
                      <w:color w:val="000000"/>
                      <w:szCs w:val="18"/>
                    </w:rPr>
                    <w:t>-74</w:t>
                  </w:r>
                </w:p>
              </w:tc>
              <w:tc>
                <w:tcPr>
                  <w:tcW w:w="555" w:type="pct"/>
                  <w:tcBorders>
                    <w:top w:val="nil"/>
                    <w:left w:val="nil"/>
                    <w:bottom w:val="nil"/>
                    <w:right w:val="nil"/>
                  </w:tcBorders>
                  <w:shd w:val="clear" w:color="auto" w:fill="auto"/>
                  <w:vAlign w:val="bottom"/>
                </w:tcPr>
                <w:p w14:paraId="7954D2D7" w14:textId="77777777" w:rsidR="00F05DC7" w:rsidRPr="00027F36" w:rsidRDefault="00F05DC7" w:rsidP="00A3786D">
                  <w:pPr>
                    <w:pStyle w:val="TableBodyText"/>
                    <w:rPr>
                      <w:rFonts w:cs="Arial"/>
                      <w:szCs w:val="18"/>
                    </w:rPr>
                  </w:pPr>
                  <w:r w:rsidRPr="00027F36">
                    <w:rPr>
                      <w:rFonts w:cs="Arial"/>
                      <w:color w:val="000000"/>
                      <w:szCs w:val="18"/>
                    </w:rPr>
                    <w:t>-75</w:t>
                  </w:r>
                </w:p>
              </w:tc>
              <w:tc>
                <w:tcPr>
                  <w:tcW w:w="553" w:type="pct"/>
                  <w:tcBorders>
                    <w:top w:val="nil"/>
                    <w:left w:val="nil"/>
                    <w:bottom w:val="nil"/>
                    <w:right w:val="nil"/>
                  </w:tcBorders>
                  <w:shd w:val="clear" w:color="auto" w:fill="auto"/>
                  <w:vAlign w:val="bottom"/>
                </w:tcPr>
                <w:p w14:paraId="7954D2D8" w14:textId="77777777" w:rsidR="00F05DC7" w:rsidRPr="00027F36" w:rsidRDefault="00F05DC7" w:rsidP="00A3786D">
                  <w:pPr>
                    <w:pStyle w:val="TableBodyText"/>
                    <w:rPr>
                      <w:rFonts w:cs="Arial"/>
                      <w:szCs w:val="18"/>
                    </w:rPr>
                  </w:pPr>
                  <w:r w:rsidRPr="00027F36">
                    <w:rPr>
                      <w:rFonts w:cs="Arial"/>
                      <w:color w:val="000000"/>
                      <w:szCs w:val="18"/>
                    </w:rPr>
                    <w:t>-74</w:t>
                  </w:r>
                </w:p>
              </w:tc>
            </w:tr>
            <w:tr w:rsidR="00F05DC7" w:rsidRPr="00A75ED1" w14:paraId="7954D2E3" w14:textId="77777777" w:rsidTr="00A3786D">
              <w:tc>
                <w:tcPr>
                  <w:tcW w:w="556" w:type="pct"/>
                  <w:vAlign w:val="bottom"/>
                </w:tcPr>
                <w:p w14:paraId="7954D2DA" w14:textId="77777777" w:rsidR="00F05DC7" w:rsidRPr="00027F36" w:rsidRDefault="00F05DC7" w:rsidP="00A3786D">
                  <w:pPr>
                    <w:pStyle w:val="TableBodyText"/>
                    <w:rPr>
                      <w:rFonts w:cs="Arial"/>
                      <w:szCs w:val="18"/>
                    </w:rPr>
                  </w:pPr>
                  <w:r w:rsidRPr="00027F36">
                    <w:rPr>
                      <w:rFonts w:cs="Arial"/>
                      <w:szCs w:val="18"/>
                    </w:rPr>
                    <w:t>2021</w:t>
                  </w:r>
                  <w:r w:rsidRPr="00027F36">
                    <w:rPr>
                      <w:rFonts w:cs="Arial"/>
                      <w:szCs w:val="18"/>
                    </w:rPr>
                    <w:noBreakHyphen/>
                    <w:t>22</w:t>
                  </w:r>
                </w:p>
              </w:tc>
              <w:tc>
                <w:tcPr>
                  <w:tcW w:w="557" w:type="pct"/>
                  <w:tcBorders>
                    <w:top w:val="nil"/>
                    <w:left w:val="nil"/>
                    <w:bottom w:val="nil"/>
                    <w:right w:val="nil"/>
                  </w:tcBorders>
                  <w:shd w:val="clear" w:color="auto" w:fill="auto"/>
                  <w:vAlign w:val="bottom"/>
                </w:tcPr>
                <w:p w14:paraId="7954D2DB" w14:textId="77777777" w:rsidR="00F05DC7" w:rsidRPr="00027F36" w:rsidRDefault="00F05DC7" w:rsidP="00A3786D">
                  <w:pPr>
                    <w:pStyle w:val="TableBodyText"/>
                    <w:rPr>
                      <w:rFonts w:cs="Arial"/>
                      <w:szCs w:val="18"/>
                    </w:rPr>
                  </w:pPr>
                  <w:r w:rsidRPr="00027F36">
                    <w:rPr>
                      <w:rFonts w:cs="Arial"/>
                      <w:color w:val="000000"/>
                      <w:szCs w:val="18"/>
                    </w:rPr>
                    <w:t>32</w:t>
                  </w:r>
                </w:p>
              </w:tc>
              <w:tc>
                <w:tcPr>
                  <w:tcW w:w="557" w:type="pct"/>
                  <w:tcBorders>
                    <w:top w:val="nil"/>
                    <w:left w:val="nil"/>
                    <w:bottom w:val="nil"/>
                    <w:right w:val="nil"/>
                  </w:tcBorders>
                  <w:shd w:val="clear" w:color="auto" w:fill="auto"/>
                  <w:vAlign w:val="bottom"/>
                </w:tcPr>
                <w:p w14:paraId="7954D2DC" w14:textId="77777777" w:rsidR="00F05DC7" w:rsidRPr="00027F36" w:rsidRDefault="00F05DC7" w:rsidP="00A3786D">
                  <w:pPr>
                    <w:pStyle w:val="TableBodyText"/>
                    <w:rPr>
                      <w:rFonts w:cs="Arial"/>
                      <w:szCs w:val="18"/>
                    </w:rPr>
                  </w:pPr>
                  <w:r w:rsidRPr="00027F36">
                    <w:rPr>
                      <w:rFonts w:cs="Arial"/>
                      <w:color w:val="000000"/>
                      <w:szCs w:val="18"/>
                    </w:rPr>
                    <w:t>-74</w:t>
                  </w:r>
                </w:p>
              </w:tc>
              <w:tc>
                <w:tcPr>
                  <w:tcW w:w="556" w:type="pct"/>
                  <w:tcBorders>
                    <w:top w:val="nil"/>
                    <w:left w:val="nil"/>
                    <w:bottom w:val="nil"/>
                    <w:right w:val="nil"/>
                  </w:tcBorders>
                  <w:shd w:val="clear" w:color="auto" w:fill="auto"/>
                  <w:vAlign w:val="bottom"/>
                </w:tcPr>
                <w:p w14:paraId="7954D2DD" w14:textId="77777777" w:rsidR="00F05DC7" w:rsidRPr="00027F36" w:rsidRDefault="00F05DC7" w:rsidP="00A3786D">
                  <w:pPr>
                    <w:pStyle w:val="TableBodyText"/>
                    <w:rPr>
                      <w:rFonts w:cs="Arial"/>
                      <w:szCs w:val="18"/>
                    </w:rPr>
                  </w:pPr>
                  <w:r w:rsidRPr="00027F36">
                    <w:rPr>
                      <w:rFonts w:cs="Arial"/>
                      <w:color w:val="000000"/>
                      <w:szCs w:val="18"/>
                    </w:rPr>
                    <w:t>-80</w:t>
                  </w:r>
                </w:p>
              </w:tc>
              <w:tc>
                <w:tcPr>
                  <w:tcW w:w="556" w:type="pct"/>
                  <w:tcBorders>
                    <w:top w:val="nil"/>
                    <w:left w:val="nil"/>
                    <w:bottom w:val="nil"/>
                    <w:right w:val="nil"/>
                  </w:tcBorders>
                  <w:shd w:val="clear" w:color="auto" w:fill="auto"/>
                  <w:vAlign w:val="bottom"/>
                </w:tcPr>
                <w:p w14:paraId="7954D2DE" w14:textId="77777777" w:rsidR="00F05DC7" w:rsidRPr="00027F36" w:rsidRDefault="00F05DC7" w:rsidP="00A3786D">
                  <w:pPr>
                    <w:pStyle w:val="TableBodyText"/>
                    <w:rPr>
                      <w:rFonts w:cs="Arial"/>
                      <w:szCs w:val="18"/>
                    </w:rPr>
                  </w:pPr>
                  <w:r w:rsidRPr="00027F36">
                    <w:rPr>
                      <w:rFonts w:cs="Arial"/>
                      <w:color w:val="000000"/>
                      <w:szCs w:val="18"/>
                    </w:rPr>
                    <w:t>333</w:t>
                  </w:r>
                </w:p>
              </w:tc>
              <w:tc>
                <w:tcPr>
                  <w:tcW w:w="555" w:type="pct"/>
                  <w:tcBorders>
                    <w:top w:val="nil"/>
                    <w:left w:val="nil"/>
                    <w:bottom w:val="nil"/>
                    <w:right w:val="nil"/>
                  </w:tcBorders>
                  <w:shd w:val="clear" w:color="auto" w:fill="auto"/>
                  <w:vAlign w:val="bottom"/>
                </w:tcPr>
                <w:p w14:paraId="7954D2DF" w14:textId="77777777" w:rsidR="00F05DC7" w:rsidRPr="00027F36" w:rsidRDefault="00F05DC7" w:rsidP="00A3786D">
                  <w:pPr>
                    <w:pStyle w:val="TableBodyText"/>
                    <w:rPr>
                      <w:rFonts w:cs="Arial"/>
                      <w:szCs w:val="18"/>
                    </w:rPr>
                  </w:pPr>
                  <w:r w:rsidRPr="00027F36">
                    <w:rPr>
                      <w:rFonts w:cs="Arial"/>
                      <w:color w:val="000000"/>
                      <w:szCs w:val="18"/>
                    </w:rPr>
                    <w:t>-79</w:t>
                  </w:r>
                </w:p>
              </w:tc>
              <w:tc>
                <w:tcPr>
                  <w:tcW w:w="555" w:type="pct"/>
                  <w:tcBorders>
                    <w:top w:val="nil"/>
                    <w:left w:val="nil"/>
                    <w:bottom w:val="nil"/>
                    <w:right w:val="nil"/>
                  </w:tcBorders>
                  <w:shd w:val="clear" w:color="auto" w:fill="auto"/>
                  <w:vAlign w:val="bottom"/>
                </w:tcPr>
                <w:p w14:paraId="7954D2E0" w14:textId="77777777" w:rsidR="00F05DC7" w:rsidRPr="00027F36" w:rsidRDefault="00F05DC7" w:rsidP="00A3786D">
                  <w:pPr>
                    <w:pStyle w:val="TableBodyText"/>
                    <w:rPr>
                      <w:rFonts w:cs="Arial"/>
                      <w:szCs w:val="18"/>
                    </w:rPr>
                  </w:pPr>
                  <w:r w:rsidRPr="00027F36">
                    <w:rPr>
                      <w:rFonts w:cs="Arial"/>
                      <w:color w:val="000000"/>
                      <w:szCs w:val="18"/>
                    </w:rPr>
                    <w:t>-79</w:t>
                  </w:r>
                </w:p>
              </w:tc>
              <w:tc>
                <w:tcPr>
                  <w:tcW w:w="555" w:type="pct"/>
                  <w:tcBorders>
                    <w:top w:val="nil"/>
                    <w:left w:val="nil"/>
                    <w:bottom w:val="nil"/>
                    <w:right w:val="nil"/>
                  </w:tcBorders>
                  <w:shd w:val="clear" w:color="auto" w:fill="auto"/>
                  <w:vAlign w:val="bottom"/>
                </w:tcPr>
                <w:p w14:paraId="7954D2E1" w14:textId="77777777" w:rsidR="00F05DC7" w:rsidRPr="00027F36" w:rsidRDefault="00F05DC7" w:rsidP="00A3786D">
                  <w:pPr>
                    <w:pStyle w:val="TableBodyText"/>
                    <w:rPr>
                      <w:rFonts w:cs="Arial"/>
                      <w:szCs w:val="18"/>
                    </w:rPr>
                  </w:pPr>
                  <w:r w:rsidRPr="00027F36">
                    <w:rPr>
                      <w:rFonts w:cs="Arial"/>
                      <w:color w:val="000000"/>
                      <w:szCs w:val="18"/>
                    </w:rPr>
                    <w:t>-80</w:t>
                  </w:r>
                </w:p>
              </w:tc>
              <w:tc>
                <w:tcPr>
                  <w:tcW w:w="553" w:type="pct"/>
                  <w:tcBorders>
                    <w:top w:val="nil"/>
                    <w:left w:val="nil"/>
                    <w:bottom w:val="nil"/>
                    <w:right w:val="nil"/>
                  </w:tcBorders>
                  <w:shd w:val="clear" w:color="auto" w:fill="auto"/>
                  <w:vAlign w:val="bottom"/>
                </w:tcPr>
                <w:p w14:paraId="7954D2E2" w14:textId="77777777" w:rsidR="00F05DC7" w:rsidRPr="00027F36" w:rsidRDefault="00F05DC7" w:rsidP="00A3786D">
                  <w:pPr>
                    <w:pStyle w:val="TableBodyText"/>
                    <w:rPr>
                      <w:rFonts w:cs="Arial"/>
                      <w:szCs w:val="18"/>
                    </w:rPr>
                  </w:pPr>
                  <w:r w:rsidRPr="00027F36">
                    <w:rPr>
                      <w:rFonts w:cs="Arial"/>
                      <w:color w:val="000000"/>
                      <w:szCs w:val="18"/>
                    </w:rPr>
                    <w:t>-79</w:t>
                  </w:r>
                </w:p>
              </w:tc>
            </w:tr>
            <w:tr w:rsidR="00F05DC7" w:rsidRPr="00A75ED1" w14:paraId="7954D2ED" w14:textId="77777777" w:rsidTr="00A3786D">
              <w:tc>
                <w:tcPr>
                  <w:tcW w:w="556" w:type="pct"/>
                </w:tcPr>
                <w:p w14:paraId="7954D2E4" w14:textId="77777777" w:rsidR="00F05DC7" w:rsidRPr="00027F36" w:rsidRDefault="00F05DC7" w:rsidP="00A3786D">
                  <w:pPr>
                    <w:pStyle w:val="TableBodyText"/>
                    <w:rPr>
                      <w:rFonts w:cs="Arial"/>
                      <w:szCs w:val="18"/>
                    </w:rPr>
                  </w:pPr>
                  <w:r w:rsidRPr="00027F36">
                    <w:rPr>
                      <w:rFonts w:cs="Arial"/>
                      <w:szCs w:val="18"/>
                    </w:rPr>
                    <w:t>2022</w:t>
                  </w:r>
                  <w:r w:rsidRPr="00027F36">
                    <w:rPr>
                      <w:rFonts w:cs="Arial"/>
                      <w:szCs w:val="18"/>
                    </w:rPr>
                    <w:noBreakHyphen/>
                    <w:t>23</w:t>
                  </w:r>
                </w:p>
              </w:tc>
              <w:tc>
                <w:tcPr>
                  <w:tcW w:w="557" w:type="pct"/>
                  <w:tcBorders>
                    <w:top w:val="nil"/>
                    <w:left w:val="nil"/>
                    <w:bottom w:val="nil"/>
                    <w:right w:val="nil"/>
                  </w:tcBorders>
                  <w:shd w:val="clear" w:color="auto" w:fill="auto"/>
                  <w:vAlign w:val="bottom"/>
                </w:tcPr>
                <w:p w14:paraId="7954D2E5" w14:textId="77777777" w:rsidR="00F05DC7" w:rsidRPr="00027F36" w:rsidRDefault="00F05DC7" w:rsidP="00A3786D">
                  <w:pPr>
                    <w:pStyle w:val="TableBodyText"/>
                    <w:rPr>
                      <w:rFonts w:cs="Arial"/>
                      <w:szCs w:val="18"/>
                    </w:rPr>
                  </w:pPr>
                  <w:r w:rsidRPr="00027F36">
                    <w:rPr>
                      <w:rFonts w:cs="Arial"/>
                      <w:color w:val="000000"/>
                      <w:szCs w:val="18"/>
                    </w:rPr>
                    <w:t>34</w:t>
                  </w:r>
                </w:p>
              </w:tc>
              <w:tc>
                <w:tcPr>
                  <w:tcW w:w="557" w:type="pct"/>
                  <w:tcBorders>
                    <w:top w:val="nil"/>
                    <w:left w:val="nil"/>
                    <w:bottom w:val="nil"/>
                    <w:right w:val="nil"/>
                  </w:tcBorders>
                  <w:shd w:val="clear" w:color="auto" w:fill="auto"/>
                  <w:vAlign w:val="bottom"/>
                </w:tcPr>
                <w:p w14:paraId="7954D2E6" w14:textId="77777777" w:rsidR="00F05DC7" w:rsidRPr="00027F36" w:rsidRDefault="00F05DC7" w:rsidP="00A3786D">
                  <w:pPr>
                    <w:pStyle w:val="TableBodyText"/>
                    <w:rPr>
                      <w:rFonts w:cs="Arial"/>
                      <w:szCs w:val="18"/>
                    </w:rPr>
                  </w:pPr>
                  <w:r w:rsidRPr="00027F36">
                    <w:rPr>
                      <w:rFonts w:cs="Arial"/>
                      <w:color w:val="000000"/>
                      <w:szCs w:val="18"/>
                    </w:rPr>
                    <w:t>-80</w:t>
                  </w:r>
                </w:p>
              </w:tc>
              <w:tc>
                <w:tcPr>
                  <w:tcW w:w="556" w:type="pct"/>
                  <w:tcBorders>
                    <w:top w:val="nil"/>
                    <w:left w:val="nil"/>
                    <w:bottom w:val="nil"/>
                    <w:right w:val="nil"/>
                  </w:tcBorders>
                  <w:shd w:val="clear" w:color="auto" w:fill="auto"/>
                  <w:vAlign w:val="bottom"/>
                </w:tcPr>
                <w:p w14:paraId="7954D2E7" w14:textId="77777777" w:rsidR="00F05DC7" w:rsidRPr="00027F36" w:rsidRDefault="00F05DC7" w:rsidP="00A3786D">
                  <w:pPr>
                    <w:pStyle w:val="TableBodyText"/>
                    <w:rPr>
                      <w:rFonts w:cs="Arial"/>
                      <w:szCs w:val="18"/>
                    </w:rPr>
                  </w:pPr>
                  <w:r w:rsidRPr="00027F36">
                    <w:rPr>
                      <w:rFonts w:cs="Arial"/>
                      <w:color w:val="000000"/>
                      <w:szCs w:val="18"/>
                    </w:rPr>
                    <w:t>-86</w:t>
                  </w:r>
                </w:p>
              </w:tc>
              <w:tc>
                <w:tcPr>
                  <w:tcW w:w="556" w:type="pct"/>
                  <w:tcBorders>
                    <w:top w:val="nil"/>
                    <w:left w:val="nil"/>
                    <w:bottom w:val="nil"/>
                    <w:right w:val="nil"/>
                  </w:tcBorders>
                  <w:shd w:val="clear" w:color="auto" w:fill="auto"/>
                  <w:vAlign w:val="bottom"/>
                </w:tcPr>
                <w:p w14:paraId="7954D2E8" w14:textId="77777777" w:rsidR="00F05DC7" w:rsidRPr="00027F36" w:rsidRDefault="00F05DC7" w:rsidP="00A3786D">
                  <w:pPr>
                    <w:pStyle w:val="TableBodyText"/>
                    <w:rPr>
                      <w:rFonts w:cs="Arial"/>
                      <w:szCs w:val="18"/>
                    </w:rPr>
                  </w:pPr>
                  <w:r w:rsidRPr="00027F36">
                    <w:rPr>
                      <w:rFonts w:cs="Arial"/>
                      <w:color w:val="000000"/>
                      <w:szCs w:val="18"/>
                    </w:rPr>
                    <w:t>360</w:t>
                  </w:r>
                </w:p>
              </w:tc>
              <w:tc>
                <w:tcPr>
                  <w:tcW w:w="555" w:type="pct"/>
                  <w:tcBorders>
                    <w:top w:val="nil"/>
                    <w:left w:val="nil"/>
                    <w:bottom w:val="nil"/>
                    <w:right w:val="nil"/>
                  </w:tcBorders>
                  <w:shd w:val="clear" w:color="auto" w:fill="auto"/>
                  <w:vAlign w:val="bottom"/>
                </w:tcPr>
                <w:p w14:paraId="7954D2E9" w14:textId="77777777" w:rsidR="00F05DC7" w:rsidRPr="00027F36" w:rsidRDefault="00F05DC7" w:rsidP="00A3786D">
                  <w:pPr>
                    <w:pStyle w:val="TableBodyText"/>
                    <w:rPr>
                      <w:rFonts w:cs="Arial"/>
                      <w:szCs w:val="18"/>
                    </w:rPr>
                  </w:pPr>
                  <w:r w:rsidRPr="00027F36">
                    <w:rPr>
                      <w:rFonts w:cs="Arial"/>
                      <w:color w:val="000000"/>
                      <w:szCs w:val="18"/>
                    </w:rPr>
                    <w:t>-84</w:t>
                  </w:r>
                </w:p>
              </w:tc>
              <w:tc>
                <w:tcPr>
                  <w:tcW w:w="555" w:type="pct"/>
                  <w:tcBorders>
                    <w:top w:val="nil"/>
                    <w:left w:val="nil"/>
                    <w:bottom w:val="nil"/>
                    <w:right w:val="nil"/>
                  </w:tcBorders>
                  <w:shd w:val="clear" w:color="auto" w:fill="auto"/>
                  <w:vAlign w:val="bottom"/>
                </w:tcPr>
                <w:p w14:paraId="7954D2EA" w14:textId="77777777" w:rsidR="00F05DC7" w:rsidRPr="00027F36" w:rsidRDefault="00F05DC7" w:rsidP="00A3786D">
                  <w:pPr>
                    <w:pStyle w:val="TableBodyText"/>
                    <w:rPr>
                      <w:rFonts w:cs="Arial"/>
                      <w:szCs w:val="18"/>
                    </w:rPr>
                  </w:pPr>
                  <w:r w:rsidRPr="00027F36">
                    <w:rPr>
                      <w:rFonts w:cs="Arial"/>
                      <w:color w:val="000000"/>
                      <w:szCs w:val="18"/>
                    </w:rPr>
                    <w:t>-84</w:t>
                  </w:r>
                </w:p>
              </w:tc>
              <w:tc>
                <w:tcPr>
                  <w:tcW w:w="555" w:type="pct"/>
                  <w:tcBorders>
                    <w:top w:val="nil"/>
                    <w:left w:val="nil"/>
                    <w:bottom w:val="nil"/>
                    <w:right w:val="nil"/>
                  </w:tcBorders>
                  <w:shd w:val="clear" w:color="auto" w:fill="auto"/>
                  <w:vAlign w:val="bottom"/>
                </w:tcPr>
                <w:p w14:paraId="7954D2EB" w14:textId="77777777" w:rsidR="00F05DC7" w:rsidRPr="00027F36" w:rsidRDefault="00F05DC7" w:rsidP="00A3786D">
                  <w:pPr>
                    <w:pStyle w:val="TableBodyText"/>
                    <w:rPr>
                      <w:rFonts w:cs="Arial"/>
                      <w:szCs w:val="18"/>
                    </w:rPr>
                  </w:pPr>
                  <w:r w:rsidRPr="00027F36">
                    <w:rPr>
                      <w:rFonts w:cs="Arial"/>
                      <w:color w:val="000000"/>
                      <w:szCs w:val="18"/>
                    </w:rPr>
                    <w:t>-86</w:t>
                  </w:r>
                </w:p>
              </w:tc>
              <w:tc>
                <w:tcPr>
                  <w:tcW w:w="553" w:type="pct"/>
                  <w:tcBorders>
                    <w:top w:val="nil"/>
                    <w:left w:val="nil"/>
                    <w:bottom w:val="nil"/>
                    <w:right w:val="nil"/>
                  </w:tcBorders>
                  <w:shd w:val="clear" w:color="auto" w:fill="auto"/>
                  <w:vAlign w:val="bottom"/>
                </w:tcPr>
                <w:p w14:paraId="7954D2EC" w14:textId="77777777" w:rsidR="00F05DC7" w:rsidRPr="00027F36" w:rsidRDefault="00F05DC7" w:rsidP="00A3786D">
                  <w:pPr>
                    <w:pStyle w:val="TableBodyText"/>
                    <w:rPr>
                      <w:rFonts w:cs="Arial"/>
                      <w:szCs w:val="18"/>
                    </w:rPr>
                  </w:pPr>
                  <w:r w:rsidRPr="00027F36">
                    <w:rPr>
                      <w:rFonts w:cs="Arial"/>
                      <w:color w:val="000000"/>
                      <w:szCs w:val="18"/>
                    </w:rPr>
                    <w:t>-83</w:t>
                  </w:r>
                </w:p>
              </w:tc>
            </w:tr>
            <w:tr w:rsidR="00F05DC7" w:rsidRPr="00A75ED1" w14:paraId="7954D2F7" w14:textId="77777777" w:rsidTr="00A3786D">
              <w:tc>
                <w:tcPr>
                  <w:tcW w:w="556" w:type="pct"/>
                </w:tcPr>
                <w:p w14:paraId="7954D2EE" w14:textId="77777777" w:rsidR="00F05DC7" w:rsidRPr="00027F36" w:rsidRDefault="00F05DC7" w:rsidP="00A3786D">
                  <w:pPr>
                    <w:pStyle w:val="TableBodyText"/>
                    <w:rPr>
                      <w:rFonts w:cs="Arial"/>
                      <w:szCs w:val="18"/>
                    </w:rPr>
                  </w:pPr>
                  <w:r w:rsidRPr="00027F36">
                    <w:rPr>
                      <w:rFonts w:cs="Arial"/>
                      <w:szCs w:val="18"/>
                    </w:rPr>
                    <w:t>2023</w:t>
                  </w:r>
                  <w:r w:rsidRPr="00027F36">
                    <w:rPr>
                      <w:rFonts w:cs="Arial"/>
                      <w:szCs w:val="18"/>
                    </w:rPr>
                    <w:noBreakHyphen/>
                    <w:t>24</w:t>
                  </w:r>
                </w:p>
              </w:tc>
              <w:tc>
                <w:tcPr>
                  <w:tcW w:w="557" w:type="pct"/>
                  <w:tcBorders>
                    <w:top w:val="nil"/>
                    <w:left w:val="nil"/>
                    <w:bottom w:val="nil"/>
                    <w:right w:val="nil"/>
                  </w:tcBorders>
                  <w:shd w:val="clear" w:color="auto" w:fill="auto"/>
                  <w:vAlign w:val="bottom"/>
                </w:tcPr>
                <w:p w14:paraId="7954D2EF" w14:textId="77777777" w:rsidR="00F05DC7" w:rsidRPr="00027F36" w:rsidRDefault="00F05DC7" w:rsidP="00A3786D">
                  <w:pPr>
                    <w:pStyle w:val="TableBodyText"/>
                    <w:rPr>
                      <w:rFonts w:cs="Arial"/>
                      <w:szCs w:val="18"/>
                    </w:rPr>
                  </w:pPr>
                  <w:r w:rsidRPr="00027F36">
                    <w:rPr>
                      <w:rFonts w:cs="Arial"/>
                      <w:color w:val="000000"/>
                      <w:szCs w:val="18"/>
                    </w:rPr>
                    <w:t>6</w:t>
                  </w:r>
                </w:p>
              </w:tc>
              <w:tc>
                <w:tcPr>
                  <w:tcW w:w="557" w:type="pct"/>
                  <w:tcBorders>
                    <w:top w:val="nil"/>
                    <w:left w:val="nil"/>
                    <w:bottom w:val="nil"/>
                    <w:right w:val="nil"/>
                  </w:tcBorders>
                  <w:shd w:val="clear" w:color="auto" w:fill="auto"/>
                  <w:vAlign w:val="bottom"/>
                </w:tcPr>
                <w:p w14:paraId="7954D2F0" w14:textId="77777777" w:rsidR="00F05DC7" w:rsidRPr="00027F36" w:rsidRDefault="00F05DC7" w:rsidP="00A3786D">
                  <w:pPr>
                    <w:pStyle w:val="TableBodyText"/>
                    <w:rPr>
                      <w:rFonts w:cs="Arial"/>
                      <w:szCs w:val="18"/>
                    </w:rPr>
                  </w:pPr>
                  <w:r w:rsidRPr="00027F36">
                    <w:rPr>
                      <w:rFonts w:cs="Arial"/>
                      <w:color w:val="000000"/>
                      <w:szCs w:val="18"/>
                    </w:rPr>
                    <w:t>-16</w:t>
                  </w:r>
                </w:p>
              </w:tc>
              <w:tc>
                <w:tcPr>
                  <w:tcW w:w="556" w:type="pct"/>
                  <w:tcBorders>
                    <w:top w:val="nil"/>
                    <w:left w:val="nil"/>
                    <w:bottom w:val="nil"/>
                    <w:right w:val="nil"/>
                  </w:tcBorders>
                  <w:shd w:val="clear" w:color="auto" w:fill="auto"/>
                  <w:vAlign w:val="bottom"/>
                </w:tcPr>
                <w:p w14:paraId="7954D2F1" w14:textId="77777777" w:rsidR="00F05DC7" w:rsidRPr="00027F36" w:rsidRDefault="00F05DC7" w:rsidP="00A3786D">
                  <w:pPr>
                    <w:pStyle w:val="TableBodyText"/>
                    <w:rPr>
                      <w:rFonts w:cs="Arial"/>
                      <w:szCs w:val="18"/>
                    </w:rPr>
                  </w:pPr>
                  <w:r w:rsidRPr="00027F36">
                    <w:rPr>
                      <w:rFonts w:cs="Arial"/>
                      <w:color w:val="000000"/>
                      <w:szCs w:val="18"/>
                    </w:rPr>
                    <w:t>-14</w:t>
                  </w:r>
                </w:p>
              </w:tc>
              <w:tc>
                <w:tcPr>
                  <w:tcW w:w="556" w:type="pct"/>
                  <w:tcBorders>
                    <w:top w:val="nil"/>
                    <w:left w:val="nil"/>
                    <w:bottom w:val="nil"/>
                    <w:right w:val="nil"/>
                  </w:tcBorders>
                  <w:shd w:val="clear" w:color="auto" w:fill="auto"/>
                  <w:vAlign w:val="bottom"/>
                </w:tcPr>
                <w:p w14:paraId="7954D2F2" w14:textId="77777777" w:rsidR="00F05DC7" w:rsidRPr="00027F36" w:rsidRDefault="00F05DC7" w:rsidP="00A3786D">
                  <w:pPr>
                    <w:pStyle w:val="TableBodyText"/>
                    <w:rPr>
                      <w:rFonts w:cs="Arial"/>
                      <w:szCs w:val="18"/>
                    </w:rPr>
                  </w:pPr>
                  <w:r w:rsidRPr="00027F36">
                    <w:rPr>
                      <w:rFonts w:cs="Arial"/>
                      <w:color w:val="000000"/>
                      <w:szCs w:val="18"/>
                    </w:rPr>
                    <w:t>61</w:t>
                  </w:r>
                </w:p>
              </w:tc>
              <w:tc>
                <w:tcPr>
                  <w:tcW w:w="555" w:type="pct"/>
                  <w:tcBorders>
                    <w:top w:val="nil"/>
                    <w:left w:val="nil"/>
                    <w:bottom w:val="nil"/>
                    <w:right w:val="nil"/>
                  </w:tcBorders>
                  <w:shd w:val="clear" w:color="auto" w:fill="auto"/>
                  <w:vAlign w:val="bottom"/>
                </w:tcPr>
                <w:p w14:paraId="7954D2F3" w14:textId="77777777" w:rsidR="00F05DC7" w:rsidRPr="00027F36" w:rsidRDefault="00F05DC7" w:rsidP="00A3786D">
                  <w:pPr>
                    <w:pStyle w:val="TableBodyText"/>
                    <w:rPr>
                      <w:rFonts w:cs="Arial"/>
                      <w:szCs w:val="18"/>
                    </w:rPr>
                  </w:pPr>
                  <w:r w:rsidRPr="00027F36">
                    <w:rPr>
                      <w:rFonts w:cs="Arial"/>
                      <w:color w:val="000000"/>
                      <w:szCs w:val="18"/>
                    </w:rPr>
                    <w:t>-12</w:t>
                  </w:r>
                </w:p>
              </w:tc>
              <w:tc>
                <w:tcPr>
                  <w:tcW w:w="555" w:type="pct"/>
                  <w:tcBorders>
                    <w:top w:val="nil"/>
                    <w:left w:val="nil"/>
                    <w:bottom w:val="nil"/>
                    <w:right w:val="nil"/>
                  </w:tcBorders>
                  <w:shd w:val="clear" w:color="auto" w:fill="auto"/>
                  <w:vAlign w:val="bottom"/>
                </w:tcPr>
                <w:p w14:paraId="7954D2F4" w14:textId="77777777" w:rsidR="00F05DC7" w:rsidRPr="00027F36" w:rsidRDefault="00F05DC7" w:rsidP="00A3786D">
                  <w:pPr>
                    <w:pStyle w:val="TableBodyText"/>
                    <w:rPr>
                      <w:rFonts w:cs="Arial"/>
                      <w:szCs w:val="18"/>
                    </w:rPr>
                  </w:pPr>
                  <w:r w:rsidRPr="00027F36">
                    <w:rPr>
                      <w:rFonts w:cs="Arial"/>
                      <w:color w:val="000000"/>
                      <w:szCs w:val="18"/>
                    </w:rPr>
                    <w:t>-11</w:t>
                  </w:r>
                </w:p>
              </w:tc>
              <w:tc>
                <w:tcPr>
                  <w:tcW w:w="555" w:type="pct"/>
                  <w:tcBorders>
                    <w:top w:val="nil"/>
                    <w:left w:val="nil"/>
                    <w:bottom w:val="nil"/>
                    <w:right w:val="nil"/>
                  </w:tcBorders>
                  <w:shd w:val="clear" w:color="auto" w:fill="auto"/>
                  <w:vAlign w:val="bottom"/>
                </w:tcPr>
                <w:p w14:paraId="7954D2F5" w14:textId="77777777" w:rsidR="00F05DC7" w:rsidRPr="00027F36" w:rsidRDefault="00F05DC7" w:rsidP="00A3786D">
                  <w:pPr>
                    <w:pStyle w:val="TableBodyText"/>
                    <w:rPr>
                      <w:rFonts w:cs="Arial"/>
                      <w:szCs w:val="18"/>
                    </w:rPr>
                  </w:pPr>
                  <w:r w:rsidRPr="00027F36">
                    <w:rPr>
                      <w:rFonts w:cs="Arial"/>
                      <w:color w:val="000000"/>
                      <w:szCs w:val="18"/>
                    </w:rPr>
                    <w:t>-14</w:t>
                  </w:r>
                </w:p>
              </w:tc>
              <w:tc>
                <w:tcPr>
                  <w:tcW w:w="553" w:type="pct"/>
                  <w:tcBorders>
                    <w:top w:val="nil"/>
                    <w:left w:val="nil"/>
                    <w:bottom w:val="nil"/>
                    <w:right w:val="nil"/>
                  </w:tcBorders>
                  <w:shd w:val="clear" w:color="auto" w:fill="auto"/>
                  <w:vAlign w:val="bottom"/>
                </w:tcPr>
                <w:p w14:paraId="7954D2F6" w14:textId="77777777" w:rsidR="00F05DC7" w:rsidRPr="00027F36" w:rsidRDefault="00F05DC7" w:rsidP="00A3786D">
                  <w:pPr>
                    <w:pStyle w:val="TableBodyText"/>
                    <w:rPr>
                      <w:rFonts w:cs="Arial"/>
                      <w:szCs w:val="18"/>
                    </w:rPr>
                  </w:pPr>
                  <w:r w:rsidRPr="00027F36">
                    <w:rPr>
                      <w:rFonts w:cs="Arial"/>
                      <w:color w:val="000000"/>
                      <w:szCs w:val="18"/>
                    </w:rPr>
                    <w:t>-10</w:t>
                  </w:r>
                </w:p>
              </w:tc>
            </w:tr>
            <w:tr w:rsidR="00F05DC7" w:rsidRPr="00A75ED1" w14:paraId="7954D301" w14:textId="77777777" w:rsidTr="00A3786D">
              <w:tc>
                <w:tcPr>
                  <w:tcW w:w="556" w:type="pct"/>
                </w:tcPr>
                <w:p w14:paraId="7954D2F8" w14:textId="77777777" w:rsidR="00F05DC7" w:rsidRPr="00027F36" w:rsidRDefault="00F05DC7" w:rsidP="00A3786D">
                  <w:pPr>
                    <w:pStyle w:val="TableBodyText"/>
                    <w:rPr>
                      <w:rFonts w:cs="Arial"/>
                      <w:szCs w:val="18"/>
                    </w:rPr>
                  </w:pPr>
                  <w:r w:rsidRPr="00027F36">
                    <w:rPr>
                      <w:rFonts w:cs="Arial"/>
                      <w:szCs w:val="18"/>
                    </w:rPr>
                    <w:t>2024</w:t>
                  </w:r>
                  <w:r w:rsidRPr="00027F36">
                    <w:rPr>
                      <w:rFonts w:cs="Arial"/>
                      <w:szCs w:val="18"/>
                    </w:rPr>
                    <w:noBreakHyphen/>
                    <w:t>25</w:t>
                  </w:r>
                </w:p>
              </w:tc>
              <w:tc>
                <w:tcPr>
                  <w:tcW w:w="557" w:type="pct"/>
                  <w:tcBorders>
                    <w:top w:val="nil"/>
                    <w:left w:val="nil"/>
                    <w:bottom w:val="nil"/>
                    <w:right w:val="nil"/>
                  </w:tcBorders>
                  <w:shd w:val="clear" w:color="auto" w:fill="auto"/>
                  <w:vAlign w:val="bottom"/>
                </w:tcPr>
                <w:p w14:paraId="7954D2F9" w14:textId="77777777" w:rsidR="00F05DC7" w:rsidRPr="00027F36" w:rsidRDefault="00F05DC7" w:rsidP="00A3786D">
                  <w:pPr>
                    <w:pStyle w:val="TableBodyText"/>
                    <w:rPr>
                      <w:rFonts w:cs="Arial"/>
                      <w:szCs w:val="18"/>
                    </w:rPr>
                  </w:pPr>
                  <w:r w:rsidRPr="00027F36">
                    <w:rPr>
                      <w:rFonts w:cs="Arial"/>
                      <w:color w:val="000000"/>
                      <w:szCs w:val="18"/>
                    </w:rPr>
                    <w:t>7</w:t>
                  </w:r>
                </w:p>
              </w:tc>
              <w:tc>
                <w:tcPr>
                  <w:tcW w:w="557" w:type="pct"/>
                  <w:tcBorders>
                    <w:top w:val="nil"/>
                    <w:left w:val="nil"/>
                    <w:bottom w:val="nil"/>
                    <w:right w:val="nil"/>
                  </w:tcBorders>
                  <w:shd w:val="clear" w:color="auto" w:fill="auto"/>
                  <w:vAlign w:val="bottom"/>
                </w:tcPr>
                <w:p w14:paraId="7954D2FA" w14:textId="77777777" w:rsidR="00F05DC7" w:rsidRPr="00027F36" w:rsidRDefault="00F05DC7" w:rsidP="00A3786D">
                  <w:pPr>
                    <w:pStyle w:val="TableBodyText"/>
                    <w:rPr>
                      <w:rFonts w:cs="Arial"/>
                      <w:szCs w:val="18"/>
                    </w:rPr>
                  </w:pPr>
                  <w:r w:rsidRPr="00027F36">
                    <w:rPr>
                      <w:rFonts w:cs="Arial"/>
                      <w:color w:val="000000"/>
                      <w:szCs w:val="18"/>
                    </w:rPr>
                    <w:t>-16</w:t>
                  </w:r>
                </w:p>
              </w:tc>
              <w:tc>
                <w:tcPr>
                  <w:tcW w:w="556" w:type="pct"/>
                  <w:tcBorders>
                    <w:top w:val="nil"/>
                    <w:left w:val="nil"/>
                    <w:bottom w:val="nil"/>
                    <w:right w:val="nil"/>
                  </w:tcBorders>
                  <w:shd w:val="clear" w:color="auto" w:fill="auto"/>
                  <w:vAlign w:val="bottom"/>
                </w:tcPr>
                <w:p w14:paraId="7954D2FB" w14:textId="77777777" w:rsidR="00F05DC7" w:rsidRPr="00027F36" w:rsidRDefault="00F05DC7" w:rsidP="00A3786D">
                  <w:pPr>
                    <w:pStyle w:val="TableBodyText"/>
                    <w:rPr>
                      <w:rFonts w:cs="Arial"/>
                      <w:szCs w:val="18"/>
                    </w:rPr>
                  </w:pPr>
                  <w:r w:rsidRPr="00027F36">
                    <w:rPr>
                      <w:rFonts w:cs="Arial"/>
                      <w:color w:val="000000"/>
                      <w:szCs w:val="18"/>
                    </w:rPr>
                    <w:t>-14</w:t>
                  </w:r>
                </w:p>
              </w:tc>
              <w:tc>
                <w:tcPr>
                  <w:tcW w:w="556" w:type="pct"/>
                  <w:tcBorders>
                    <w:top w:val="nil"/>
                    <w:left w:val="nil"/>
                    <w:bottom w:val="nil"/>
                    <w:right w:val="nil"/>
                  </w:tcBorders>
                  <w:shd w:val="clear" w:color="auto" w:fill="auto"/>
                  <w:vAlign w:val="bottom"/>
                </w:tcPr>
                <w:p w14:paraId="7954D2FC" w14:textId="77777777" w:rsidR="00F05DC7" w:rsidRPr="00027F36" w:rsidRDefault="00F05DC7" w:rsidP="00A3786D">
                  <w:pPr>
                    <w:pStyle w:val="TableBodyText"/>
                    <w:rPr>
                      <w:rFonts w:cs="Arial"/>
                      <w:szCs w:val="18"/>
                    </w:rPr>
                  </w:pPr>
                  <w:r w:rsidRPr="00027F36">
                    <w:rPr>
                      <w:rFonts w:cs="Arial"/>
                      <w:color w:val="000000"/>
                      <w:szCs w:val="18"/>
                    </w:rPr>
                    <w:t>63</w:t>
                  </w:r>
                </w:p>
              </w:tc>
              <w:tc>
                <w:tcPr>
                  <w:tcW w:w="555" w:type="pct"/>
                  <w:tcBorders>
                    <w:top w:val="nil"/>
                    <w:left w:val="nil"/>
                    <w:bottom w:val="nil"/>
                    <w:right w:val="nil"/>
                  </w:tcBorders>
                  <w:shd w:val="clear" w:color="auto" w:fill="auto"/>
                  <w:vAlign w:val="bottom"/>
                </w:tcPr>
                <w:p w14:paraId="7954D2FD" w14:textId="77777777" w:rsidR="00F05DC7" w:rsidRPr="00027F36" w:rsidRDefault="00F05DC7" w:rsidP="00A3786D">
                  <w:pPr>
                    <w:pStyle w:val="TableBodyText"/>
                    <w:rPr>
                      <w:rFonts w:cs="Arial"/>
                      <w:szCs w:val="18"/>
                    </w:rPr>
                  </w:pPr>
                  <w:r w:rsidRPr="00027F36">
                    <w:rPr>
                      <w:rFonts w:cs="Arial"/>
                      <w:color w:val="000000"/>
                      <w:szCs w:val="18"/>
                    </w:rPr>
                    <w:t>-12</w:t>
                  </w:r>
                </w:p>
              </w:tc>
              <w:tc>
                <w:tcPr>
                  <w:tcW w:w="555" w:type="pct"/>
                  <w:tcBorders>
                    <w:top w:val="nil"/>
                    <w:left w:val="nil"/>
                    <w:bottom w:val="nil"/>
                    <w:right w:val="nil"/>
                  </w:tcBorders>
                  <w:shd w:val="clear" w:color="auto" w:fill="auto"/>
                  <w:vAlign w:val="bottom"/>
                </w:tcPr>
                <w:p w14:paraId="7954D2FE" w14:textId="77777777" w:rsidR="00F05DC7" w:rsidRPr="00027F36" w:rsidRDefault="00F05DC7" w:rsidP="00A3786D">
                  <w:pPr>
                    <w:pStyle w:val="TableBodyText"/>
                    <w:rPr>
                      <w:rFonts w:cs="Arial"/>
                      <w:szCs w:val="18"/>
                    </w:rPr>
                  </w:pPr>
                  <w:r w:rsidRPr="00027F36">
                    <w:rPr>
                      <w:rFonts w:cs="Arial"/>
                      <w:color w:val="000000"/>
                      <w:szCs w:val="18"/>
                    </w:rPr>
                    <w:t>-11</w:t>
                  </w:r>
                </w:p>
              </w:tc>
              <w:tc>
                <w:tcPr>
                  <w:tcW w:w="555" w:type="pct"/>
                  <w:tcBorders>
                    <w:top w:val="nil"/>
                    <w:left w:val="nil"/>
                    <w:bottom w:val="nil"/>
                    <w:right w:val="nil"/>
                  </w:tcBorders>
                  <w:shd w:val="clear" w:color="auto" w:fill="auto"/>
                  <w:vAlign w:val="bottom"/>
                </w:tcPr>
                <w:p w14:paraId="7954D2FF" w14:textId="77777777" w:rsidR="00F05DC7" w:rsidRPr="00027F36" w:rsidRDefault="00F05DC7" w:rsidP="00A3786D">
                  <w:pPr>
                    <w:pStyle w:val="TableBodyText"/>
                    <w:rPr>
                      <w:rFonts w:cs="Arial"/>
                      <w:szCs w:val="18"/>
                    </w:rPr>
                  </w:pPr>
                  <w:r w:rsidRPr="00027F36">
                    <w:rPr>
                      <w:rFonts w:cs="Arial"/>
                      <w:color w:val="000000"/>
                      <w:szCs w:val="18"/>
                    </w:rPr>
                    <w:t>-14</w:t>
                  </w:r>
                </w:p>
              </w:tc>
              <w:tc>
                <w:tcPr>
                  <w:tcW w:w="553" w:type="pct"/>
                  <w:tcBorders>
                    <w:top w:val="nil"/>
                    <w:left w:val="nil"/>
                    <w:bottom w:val="nil"/>
                    <w:right w:val="nil"/>
                  </w:tcBorders>
                  <w:shd w:val="clear" w:color="auto" w:fill="auto"/>
                  <w:vAlign w:val="bottom"/>
                </w:tcPr>
                <w:p w14:paraId="7954D300" w14:textId="77777777" w:rsidR="00F05DC7" w:rsidRPr="00027F36" w:rsidRDefault="00F05DC7" w:rsidP="00A3786D">
                  <w:pPr>
                    <w:pStyle w:val="TableBodyText"/>
                    <w:rPr>
                      <w:rFonts w:cs="Arial"/>
                      <w:szCs w:val="18"/>
                    </w:rPr>
                  </w:pPr>
                  <w:r w:rsidRPr="00027F36">
                    <w:rPr>
                      <w:rFonts w:cs="Arial"/>
                      <w:color w:val="000000"/>
                      <w:szCs w:val="18"/>
                    </w:rPr>
                    <w:t>-11</w:t>
                  </w:r>
                </w:p>
              </w:tc>
            </w:tr>
            <w:tr w:rsidR="00F05DC7" w:rsidRPr="00A75ED1" w14:paraId="7954D30B" w14:textId="77777777" w:rsidTr="00A3786D">
              <w:tc>
                <w:tcPr>
                  <w:tcW w:w="556" w:type="pct"/>
                </w:tcPr>
                <w:p w14:paraId="7954D302" w14:textId="77777777" w:rsidR="00F05DC7" w:rsidRPr="00027F36" w:rsidRDefault="00F05DC7" w:rsidP="00A3786D">
                  <w:pPr>
                    <w:pStyle w:val="TableBodyText"/>
                    <w:rPr>
                      <w:rFonts w:cs="Arial"/>
                      <w:szCs w:val="18"/>
                    </w:rPr>
                  </w:pPr>
                  <w:r w:rsidRPr="00027F36">
                    <w:rPr>
                      <w:rFonts w:cs="Arial"/>
                      <w:szCs w:val="18"/>
                    </w:rPr>
                    <w:t>2025</w:t>
                  </w:r>
                  <w:r w:rsidRPr="00027F36">
                    <w:rPr>
                      <w:rFonts w:cs="Arial"/>
                      <w:szCs w:val="18"/>
                    </w:rPr>
                    <w:noBreakHyphen/>
                    <w:t>26</w:t>
                  </w:r>
                </w:p>
              </w:tc>
              <w:tc>
                <w:tcPr>
                  <w:tcW w:w="557" w:type="pct"/>
                  <w:tcBorders>
                    <w:top w:val="nil"/>
                    <w:left w:val="nil"/>
                    <w:bottom w:val="nil"/>
                    <w:right w:val="nil"/>
                  </w:tcBorders>
                  <w:shd w:val="clear" w:color="auto" w:fill="auto"/>
                  <w:vAlign w:val="bottom"/>
                </w:tcPr>
                <w:p w14:paraId="7954D303" w14:textId="77777777" w:rsidR="00F05DC7" w:rsidRPr="00027F36" w:rsidRDefault="00F05DC7" w:rsidP="00A3786D">
                  <w:pPr>
                    <w:pStyle w:val="TableBodyText"/>
                    <w:rPr>
                      <w:rFonts w:cs="Arial"/>
                      <w:szCs w:val="18"/>
                    </w:rPr>
                  </w:pPr>
                  <w:r w:rsidRPr="00027F36">
                    <w:rPr>
                      <w:rFonts w:cs="Arial"/>
                      <w:color w:val="000000"/>
                      <w:szCs w:val="18"/>
                    </w:rPr>
                    <w:t>7</w:t>
                  </w:r>
                </w:p>
              </w:tc>
              <w:tc>
                <w:tcPr>
                  <w:tcW w:w="557" w:type="pct"/>
                  <w:tcBorders>
                    <w:top w:val="nil"/>
                    <w:left w:val="nil"/>
                    <w:bottom w:val="nil"/>
                    <w:right w:val="nil"/>
                  </w:tcBorders>
                  <w:shd w:val="clear" w:color="auto" w:fill="auto"/>
                  <w:vAlign w:val="bottom"/>
                </w:tcPr>
                <w:p w14:paraId="7954D304" w14:textId="77777777" w:rsidR="00F05DC7" w:rsidRPr="00027F36" w:rsidRDefault="00F05DC7" w:rsidP="00A3786D">
                  <w:pPr>
                    <w:pStyle w:val="TableBodyText"/>
                    <w:rPr>
                      <w:rFonts w:cs="Arial"/>
                      <w:szCs w:val="18"/>
                    </w:rPr>
                  </w:pPr>
                  <w:r w:rsidRPr="00027F36">
                    <w:rPr>
                      <w:rFonts w:cs="Arial"/>
                      <w:color w:val="000000"/>
                      <w:szCs w:val="18"/>
                    </w:rPr>
                    <w:t>-17</w:t>
                  </w:r>
                </w:p>
              </w:tc>
              <w:tc>
                <w:tcPr>
                  <w:tcW w:w="556" w:type="pct"/>
                  <w:tcBorders>
                    <w:top w:val="nil"/>
                    <w:left w:val="nil"/>
                    <w:bottom w:val="nil"/>
                    <w:right w:val="nil"/>
                  </w:tcBorders>
                  <w:shd w:val="clear" w:color="auto" w:fill="auto"/>
                  <w:vAlign w:val="bottom"/>
                </w:tcPr>
                <w:p w14:paraId="7954D305" w14:textId="77777777" w:rsidR="00F05DC7" w:rsidRPr="00027F36" w:rsidRDefault="00F05DC7" w:rsidP="00A3786D">
                  <w:pPr>
                    <w:pStyle w:val="TableBodyText"/>
                    <w:rPr>
                      <w:rFonts w:cs="Arial"/>
                      <w:szCs w:val="18"/>
                    </w:rPr>
                  </w:pPr>
                  <w:r w:rsidRPr="00027F36">
                    <w:rPr>
                      <w:rFonts w:cs="Arial"/>
                      <w:color w:val="000000"/>
                      <w:szCs w:val="18"/>
                    </w:rPr>
                    <w:t>-14</w:t>
                  </w:r>
                </w:p>
              </w:tc>
              <w:tc>
                <w:tcPr>
                  <w:tcW w:w="556" w:type="pct"/>
                  <w:tcBorders>
                    <w:top w:val="nil"/>
                    <w:left w:val="nil"/>
                    <w:bottom w:val="nil"/>
                    <w:right w:val="nil"/>
                  </w:tcBorders>
                  <w:shd w:val="clear" w:color="auto" w:fill="auto"/>
                  <w:vAlign w:val="bottom"/>
                </w:tcPr>
                <w:p w14:paraId="7954D306" w14:textId="77777777" w:rsidR="00F05DC7" w:rsidRPr="00027F36" w:rsidRDefault="00F05DC7" w:rsidP="00A3786D">
                  <w:pPr>
                    <w:pStyle w:val="TableBodyText"/>
                    <w:rPr>
                      <w:rFonts w:cs="Arial"/>
                      <w:szCs w:val="18"/>
                    </w:rPr>
                  </w:pPr>
                  <w:r w:rsidRPr="00027F36">
                    <w:rPr>
                      <w:rFonts w:cs="Arial"/>
                      <w:color w:val="000000"/>
                      <w:szCs w:val="18"/>
                    </w:rPr>
                    <w:t>65</w:t>
                  </w:r>
                </w:p>
              </w:tc>
              <w:tc>
                <w:tcPr>
                  <w:tcW w:w="555" w:type="pct"/>
                  <w:tcBorders>
                    <w:top w:val="nil"/>
                    <w:left w:val="nil"/>
                    <w:bottom w:val="nil"/>
                    <w:right w:val="nil"/>
                  </w:tcBorders>
                  <w:shd w:val="clear" w:color="auto" w:fill="auto"/>
                  <w:vAlign w:val="bottom"/>
                </w:tcPr>
                <w:p w14:paraId="7954D307" w14:textId="77777777" w:rsidR="00F05DC7" w:rsidRPr="00027F36" w:rsidRDefault="00F05DC7" w:rsidP="00A3786D">
                  <w:pPr>
                    <w:pStyle w:val="TableBodyText"/>
                    <w:rPr>
                      <w:rFonts w:cs="Arial"/>
                      <w:szCs w:val="18"/>
                    </w:rPr>
                  </w:pPr>
                  <w:r w:rsidRPr="00027F36">
                    <w:rPr>
                      <w:rFonts w:cs="Arial"/>
                      <w:color w:val="000000"/>
                      <w:szCs w:val="18"/>
                    </w:rPr>
                    <w:t>-12</w:t>
                  </w:r>
                </w:p>
              </w:tc>
              <w:tc>
                <w:tcPr>
                  <w:tcW w:w="555" w:type="pct"/>
                  <w:tcBorders>
                    <w:top w:val="nil"/>
                    <w:left w:val="nil"/>
                    <w:bottom w:val="nil"/>
                    <w:right w:val="nil"/>
                  </w:tcBorders>
                  <w:shd w:val="clear" w:color="auto" w:fill="auto"/>
                  <w:vAlign w:val="bottom"/>
                </w:tcPr>
                <w:p w14:paraId="7954D308" w14:textId="77777777" w:rsidR="00F05DC7" w:rsidRPr="00027F36" w:rsidRDefault="00F05DC7" w:rsidP="00A3786D">
                  <w:pPr>
                    <w:pStyle w:val="TableBodyText"/>
                    <w:rPr>
                      <w:rFonts w:cs="Arial"/>
                      <w:szCs w:val="18"/>
                    </w:rPr>
                  </w:pPr>
                  <w:r w:rsidRPr="00027F36">
                    <w:rPr>
                      <w:rFonts w:cs="Arial"/>
                      <w:color w:val="000000"/>
                      <w:szCs w:val="18"/>
                    </w:rPr>
                    <w:t>-12</w:t>
                  </w:r>
                </w:p>
              </w:tc>
              <w:tc>
                <w:tcPr>
                  <w:tcW w:w="555" w:type="pct"/>
                  <w:tcBorders>
                    <w:top w:val="nil"/>
                    <w:left w:val="nil"/>
                    <w:bottom w:val="nil"/>
                    <w:right w:val="nil"/>
                  </w:tcBorders>
                  <w:shd w:val="clear" w:color="auto" w:fill="auto"/>
                  <w:vAlign w:val="bottom"/>
                </w:tcPr>
                <w:p w14:paraId="7954D309" w14:textId="77777777" w:rsidR="00F05DC7" w:rsidRPr="00027F36" w:rsidRDefault="00F05DC7" w:rsidP="00A3786D">
                  <w:pPr>
                    <w:pStyle w:val="TableBodyText"/>
                    <w:rPr>
                      <w:rFonts w:cs="Arial"/>
                      <w:szCs w:val="18"/>
                    </w:rPr>
                  </w:pPr>
                  <w:r w:rsidRPr="00027F36">
                    <w:rPr>
                      <w:rFonts w:cs="Arial"/>
                      <w:color w:val="000000"/>
                      <w:szCs w:val="18"/>
                    </w:rPr>
                    <w:t>-15</w:t>
                  </w:r>
                </w:p>
              </w:tc>
              <w:tc>
                <w:tcPr>
                  <w:tcW w:w="553" w:type="pct"/>
                  <w:tcBorders>
                    <w:top w:val="nil"/>
                    <w:left w:val="nil"/>
                    <w:bottom w:val="nil"/>
                    <w:right w:val="nil"/>
                  </w:tcBorders>
                  <w:shd w:val="clear" w:color="auto" w:fill="auto"/>
                  <w:vAlign w:val="bottom"/>
                </w:tcPr>
                <w:p w14:paraId="7954D30A" w14:textId="77777777" w:rsidR="00F05DC7" w:rsidRPr="00027F36" w:rsidRDefault="00F05DC7" w:rsidP="00A3786D">
                  <w:pPr>
                    <w:pStyle w:val="TableBodyText"/>
                    <w:rPr>
                      <w:rFonts w:cs="Arial"/>
                      <w:szCs w:val="18"/>
                    </w:rPr>
                  </w:pPr>
                  <w:r w:rsidRPr="00027F36">
                    <w:rPr>
                      <w:rFonts w:cs="Arial"/>
                      <w:color w:val="000000"/>
                      <w:szCs w:val="18"/>
                    </w:rPr>
                    <w:t>-11</w:t>
                  </w:r>
                </w:p>
              </w:tc>
            </w:tr>
            <w:tr w:rsidR="00F05DC7" w:rsidRPr="00A75ED1" w14:paraId="7954D315" w14:textId="77777777" w:rsidTr="002341D7">
              <w:tc>
                <w:tcPr>
                  <w:tcW w:w="556" w:type="pct"/>
                </w:tcPr>
                <w:p w14:paraId="7954D30C" w14:textId="77777777" w:rsidR="00F05DC7" w:rsidRPr="00027F36" w:rsidRDefault="00F05DC7" w:rsidP="00A3786D">
                  <w:pPr>
                    <w:pStyle w:val="TableBodyText"/>
                    <w:rPr>
                      <w:rFonts w:cs="Arial"/>
                      <w:szCs w:val="18"/>
                    </w:rPr>
                  </w:pPr>
                  <w:r w:rsidRPr="00027F36">
                    <w:rPr>
                      <w:rFonts w:cs="Arial"/>
                      <w:szCs w:val="18"/>
                    </w:rPr>
                    <w:t>2026</w:t>
                  </w:r>
                  <w:r w:rsidRPr="00027F36">
                    <w:rPr>
                      <w:rFonts w:cs="Arial"/>
                      <w:szCs w:val="18"/>
                    </w:rPr>
                    <w:noBreakHyphen/>
                    <w:t>27</w:t>
                  </w:r>
                </w:p>
              </w:tc>
              <w:tc>
                <w:tcPr>
                  <w:tcW w:w="557" w:type="pct"/>
                  <w:tcBorders>
                    <w:top w:val="nil"/>
                    <w:left w:val="nil"/>
                    <w:right w:val="nil"/>
                  </w:tcBorders>
                  <w:shd w:val="clear" w:color="auto" w:fill="auto"/>
                  <w:vAlign w:val="bottom"/>
                </w:tcPr>
                <w:p w14:paraId="7954D30D" w14:textId="77777777" w:rsidR="00F05DC7" w:rsidRPr="00027F36" w:rsidRDefault="00F05DC7" w:rsidP="00A3786D">
                  <w:pPr>
                    <w:pStyle w:val="TableBodyText"/>
                    <w:rPr>
                      <w:rFonts w:cs="Arial"/>
                      <w:szCs w:val="18"/>
                    </w:rPr>
                  </w:pPr>
                  <w:r w:rsidRPr="00027F36">
                    <w:rPr>
                      <w:rFonts w:cs="Arial"/>
                      <w:color w:val="000000"/>
                      <w:szCs w:val="18"/>
                    </w:rPr>
                    <w:t>7</w:t>
                  </w:r>
                </w:p>
              </w:tc>
              <w:tc>
                <w:tcPr>
                  <w:tcW w:w="557" w:type="pct"/>
                  <w:tcBorders>
                    <w:top w:val="nil"/>
                    <w:left w:val="nil"/>
                    <w:right w:val="nil"/>
                  </w:tcBorders>
                  <w:shd w:val="clear" w:color="auto" w:fill="auto"/>
                  <w:vAlign w:val="bottom"/>
                </w:tcPr>
                <w:p w14:paraId="7954D30E" w14:textId="77777777" w:rsidR="00F05DC7" w:rsidRPr="00027F36" w:rsidRDefault="00F05DC7" w:rsidP="00A3786D">
                  <w:pPr>
                    <w:pStyle w:val="TableBodyText"/>
                    <w:rPr>
                      <w:rFonts w:cs="Arial"/>
                      <w:szCs w:val="18"/>
                    </w:rPr>
                  </w:pPr>
                  <w:r w:rsidRPr="00027F36">
                    <w:rPr>
                      <w:rFonts w:cs="Arial"/>
                      <w:color w:val="000000"/>
                      <w:szCs w:val="18"/>
                    </w:rPr>
                    <w:t>-18</w:t>
                  </w:r>
                </w:p>
              </w:tc>
              <w:tc>
                <w:tcPr>
                  <w:tcW w:w="556" w:type="pct"/>
                  <w:tcBorders>
                    <w:top w:val="nil"/>
                    <w:left w:val="nil"/>
                    <w:right w:val="nil"/>
                  </w:tcBorders>
                  <w:shd w:val="clear" w:color="auto" w:fill="auto"/>
                  <w:vAlign w:val="bottom"/>
                </w:tcPr>
                <w:p w14:paraId="7954D30F" w14:textId="77777777" w:rsidR="00F05DC7" w:rsidRPr="00027F36" w:rsidRDefault="00F05DC7" w:rsidP="00A3786D">
                  <w:pPr>
                    <w:pStyle w:val="TableBodyText"/>
                    <w:rPr>
                      <w:rFonts w:cs="Arial"/>
                      <w:szCs w:val="18"/>
                    </w:rPr>
                  </w:pPr>
                  <w:r w:rsidRPr="00027F36">
                    <w:rPr>
                      <w:rFonts w:cs="Arial"/>
                      <w:color w:val="000000"/>
                      <w:szCs w:val="18"/>
                    </w:rPr>
                    <w:t>-15</w:t>
                  </w:r>
                </w:p>
              </w:tc>
              <w:tc>
                <w:tcPr>
                  <w:tcW w:w="556" w:type="pct"/>
                  <w:tcBorders>
                    <w:top w:val="nil"/>
                    <w:left w:val="nil"/>
                    <w:right w:val="nil"/>
                  </w:tcBorders>
                  <w:shd w:val="clear" w:color="auto" w:fill="auto"/>
                  <w:vAlign w:val="bottom"/>
                </w:tcPr>
                <w:p w14:paraId="7954D310" w14:textId="77777777" w:rsidR="00F05DC7" w:rsidRPr="00027F36" w:rsidRDefault="00F05DC7" w:rsidP="00A3786D">
                  <w:pPr>
                    <w:pStyle w:val="TableBodyText"/>
                    <w:rPr>
                      <w:rFonts w:cs="Arial"/>
                      <w:szCs w:val="18"/>
                    </w:rPr>
                  </w:pPr>
                  <w:r w:rsidRPr="00027F36">
                    <w:rPr>
                      <w:rFonts w:cs="Arial"/>
                      <w:color w:val="000000"/>
                      <w:szCs w:val="18"/>
                    </w:rPr>
                    <w:t>68</w:t>
                  </w:r>
                </w:p>
              </w:tc>
              <w:tc>
                <w:tcPr>
                  <w:tcW w:w="555" w:type="pct"/>
                  <w:tcBorders>
                    <w:top w:val="nil"/>
                    <w:left w:val="nil"/>
                    <w:right w:val="nil"/>
                  </w:tcBorders>
                  <w:shd w:val="clear" w:color="auto" w:fill="auto"/>
                  <w:vAlign w:val="bottom"/>
                </w:tcPr>
                <w:p w14:paraId="7954D311" w14:textId="77777777" w:rsidR="00F05DC7" w:rsidRPr="00027F36" w:rsidRDefault="00F05DC7" w:rsidP="00A3786D">
                  <w:pPr>
                    <w:pStyle w:val="TableBodyText"/>
                    <w:rPr>
                      <w:rFonts w:cs="Arial"/>
                      <w:szCs w:val="18"/>
                    </w:rPr>
                  </w:pPr>
                  <w:r w:rsidRPr="00027F36">
                    <w:rPr>
                      <w:rFonts w:cs="Arial"/>
                      <w:color w:val="000000"/>
                      <w:szCs w:val="18"/>
                    </w:rPr>
                    <w:t>-13</w:t>
                  </w:r>
                </w:p>
              </w:tc>
              <w:tc>
                <w:tcPr>
                  <w:tcW w:w="555" w:type="pct"/>
                  <w:tcBorders>
                    <w:top w:val="nil"/>
                    <w:left w:val="nil"/>
                    <w:right w:val="nil"/>
                  </w:tcBorders>
                  <w:shd w:val="clear" w:color="auto" w:fill="auto"/>
                  <w:vAlign w:val="bottom"/>
                </w:tcPr>
                <w:p w14:paraId="7954D312" w14:textId="77777777" w:rsidR="00F05DC7" w:rsidRPr="00027F36" w:rsidRDefault="00F05DC7" w:rsidP="00A3786D">
                  <w:pPr>
                    <w:pStyle w:val="TableBodyText"/>
                    <w:rPr>
                      <w:rFonts w:cs="Arial"/>
                      <w:szCs w:val="18"/>
                    </w:rPr>
                  </w:pPr>
                  <w:r w:rsidRPr="00027F36">
                    <w:rPr>
                      <w:rFonts w:cs="Arial"/>
                      <w:color w:val="000000"/>
                      <w:szCs w:val="18"/>
                    </w:rPr>
                    <w:t>-12</w:t>
                  </w:r>
                </w:p>
              </w:tc>
              <w:tc>
                <w:tcPr>
                  <w:tcW w:w="555" w:type="pct"/>
                  <w:tcBorders>
                    <w:top w:val="nil"/>
                    <w:left w:val="nil"/>
                    <w:right w:val="nil"/>
                  </w:tcBorders>
                  <w:shd w:val="clear" w:color="auto" w:fill="auto"/>
                  <w:vAlign w:val="bottom"/>
                </w:tcPr>
                <w:p w14:paraId="7954D313" w14:textId="77777777" w:rsidR="00F05DC7" w:rsidRPr="00027F36" w:rsidRDefault="00F05DC7" w:rsidP="00A3786D">
                  <w:pPr>
                    <w:pStyle w:val="TableBodyText"/>
                    <w:rPr>
                      <w:rFonts w:cs="Arial"/>
                      <w:szCs w:val="18"/>
                    </w:rPr>
                  </w:pPr>
                  <w:r w:rsidRPr="00027F36">
                    <w:rPr>
                      <w:rFonts w:cs="Arial"/>
                      <w:color w:val="000000"/>
                      <w:szCs w:val="18"/>
                    </w:rPr>
                    <w:t>-15</w:t>
                  </w:r>
                </w:p>
              </w:tc>
              <w:tc>
                <w:tcPr>
                  <w:tcW w:w="553" w:type="pct"/>
                  <w:tcBorders>
                    <w:top w:val="nil"/>
                    <w:left w:val="nil"/>
                    <w:right w:val="nil"/>
                  </w:tcBorders>
                  <w:shd w:val="clear" w:color="auto" w:fill="auto"/>
                  <w:vAlign w:val="bottom"/>
                </w:tcPr>
                <w:p w14:paraId="7954D314" w14:textId="77777777" w:rsidR="00F05DC7" w:rsidRPr="00027F36" w:rsidRDefault="00F05DC7" w:rsidP="00A3786D">
                  <w:pPr>
                    <w:pStyle w:val="TableBodyText"/>
                    <w:rPr>
                      <w:rFonts w:cs="Arial"/>
                      <w:szCs w:val="18"/>
                    </w:rPr>
                  </w:pPr>
                  <w:r w:rsidRPr="00027F36">
                    <w:rPr>
                      <w:rFonts w:cs="Arial"/>
                      <w:color w:val="000000"/>
                      <w:szCs w:val="18"/>
                    </w:rPr>
                    <w:t>-11</w:t>
                  </w:r>
                </w:p>
              </w:tc>
            </w:tr>
            <w:tr w:rsidR="00F05DC7" w:rsidRPr="00A75ED1" w14:paraId="7954D317" w14:textId="77777777" w:rsidTr="002341D7">
              <w:tc>
                <w:tcPr>
                  <w:tcW w:w="5000" w:type="pct"/>
                  <w:gridSpan w:val="9"/>
                  <w:shd w:val="clear" w:color="auto" w:fill="F2F2F2" w:themeFill="background1" w:themeFillShade="F2"/>
                </w:tcPr>
                <w:p w14:paraId="7954D316"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D321" w14:textId="77777777" w:rsidTr="00A3786D">
              <w:tc>
                <w:tcPr>
                  <w:tcW w:w="556" w:type="pct"/>
                  <w:shd w:val="clear" w:color="auto" w:fill="auto"/>
                  <w:vAlign w:val="bottom"/>
                </w:tcPr>
                <w:p w14:paraId="7954D318" w14:textId="77777777" w:rsidR="00F05DC7" w:rsidRPr="00911F46" w:rsidRDefault="00F05DC7" w:rsidP="00A3786D">
                  <w:pPr>
                    <w:pStyle w:val="TableBodyText"/>
                  </w:pPr>
                  <w:r w:rsidRPr="00911F46">
                    <w:t>2019</w:t>
                  </w:r>
                  <w:r>
                    <w:noBreakHyphen/>
                  </w:r>
                  <w:r w:rsidRPr="00911F46">
                    <w:t>20</w:t>
                  </w:r>
                </w:p>
              </w:tc>
              <w:tc>
                <w:tcPr>
                  <w:tcW w:w="557" w:type="pct"/>
                  <w:tcBorders>
                    <w:top w:val="nil"/>
                    <w:left w:val="nil"/>
                    <w:bottom w:val="nil"/>
                    <w:right w:val="nil"/>
                  </w:tcBorders>
                  <w:shd w:val="clear" w:color="auto" w:fill="auto"/>
                  <w:vAlign w:val="bottom"/>
                </w:tcPr>
                <w:p w14:paraId="7954D319" w14:textId="77777777" w:rsidR="00F05DC7" w:rsidRPr="00911F46" w:rsidRDefault="00F05DC7" w:rsidP="00A3786D">
                  <w:pPr>
                    <w:pStyle w:val="TableBodyText"/>
                  </w:pPr>
                  <w:r w:rsidRPr="00911F46">
                    <w:rPr>
                      <w:color w:val="000000"/>
                    </w:rPr>
                    <w:t>0.26</w:t>
                  </w:r>
                </w:p>
              </w:tc>
              <w:tc>
                <w:tcPr>
                  <w:tcW w:w="557" w:type="pct"/>
                  <w:tcBorders>
                    <w:top w:val="nil"/>
                    <w:left w:val="nil"/>
                    <w:bottom w:val="nil"/>
                    <w:right w:val="nil"/>
                  </w:tcBorders>
                  <w:shd w:val="clear" w:color="auto" w:fill="auto"/>
                  <w:vAlign w:val="bottom"/>
                </w:tcPr>
                <w:p w14:paraId="7954D31A" w14:textId="77777777" w:rsidR="00F05DC7" w:rsidRPr="00911F46" w:rsidRDefault="00F05DC7" w:rsidP="00A3786D">
                  <w:pPr>
                    <w:pStyle w:val="TableBodyText"/>
                  </w:pPr>
                  <w:r>
                    <w:rPr>
                      <w:color w:val="000000"/>
                    </w:rPr>
                    <w:noBreakHyphen/>
                  </w:r>
                  <w:r w:rsidRPr="00911F46">
                    <w:rPr>
                      <w:color w:val="000000"/>
                    </w:rPr>
                    <w:t>0.59</w:t>
                  </w:r>
                </w:p>
              </w:tc>
              <w:tc>
                <w:tcPr>
                  <w:tcW w:w="556" w:type="pct"/>
                  <w:tcBorders>
                    <w:top w:val="nil"/>
                    <w:left w:val="nil"/>
                    <w:bottom w:val="nil"/>
                    <w:right w:val="nil"/>
                  </w:tcBorders>
                  <w:shd w:val="clear" w:color="auto" w:fill="auto"/>
                  <w:vAlign w:val="bottom"/>
                </w:tcPr>
                <w:p w14:paraId="7954D31B" w14:textId="77777777" w:rsidR="00F05DC7" w:rsidRPr="00911F46" w:rsidRDefault="00F05DC7" w:rsidP="00A3786D">
                  <w:pPr>
                    <w:pStyle w:val="TableBodyText"/>
                  </w:pPr>
                  <w:r>
                    <w:rPr>
                      <w:color w:val="000000"/>
                    </w:rPr>
                    <w:noBreakHyphen/>
                  </w:r>
                  <w:r w:rsidRPr="00911F46">
                    <w:rPr>
                      <w:color w:val="000000"/>
                    </w:rPr>
                    <w:t>0.61</w:t>
                  </w:r>
                </w:p>
              </w:tc>
              <w:tc>
                <w:tcPr>
                  <w:tcW w:w="556" w:type="pct"/>
                  <w:tcBorders>
                    <w:top w:val="nil"/>
                    <w:left w:val="nil"/>
                    <w:bottom w:val="nil"/>
                    <w:right w:val="nil"/>
                  </w:tcBorders>
                  <w:shd w:val="clear" w:color="auto" w:fill="auto"/>
                  <w:vAlign w:val="bottom"/>
                </w:tcPr>
                <w:p w14:paraId="7954D31C" w14:textId="77777777" w:rsidR="00F05DC7" w:rsidRPr="00911F46" w:rsidRDefault="00F05DC7" w:rsidP="00A3786D">
                  <w:pPr>
                    <w:pStyle w:val="TableBodyText"/>
                  </w:pPr>
                  <w:r w:rsidRPr="00911F46">
                    <w:rPr>
                      <w:color w:val="000000"/>
                    </w:rPr>
                    <w:t>2.51</w:t>
                  </w:r>
                </w:p>
              </w:tc>
              <w:tc>
                <w:tcPr>
                  <w:tcW w:w="555" w:type="pct"/>
                  <w:tcBorders>
                    <w:top w:val="nil"/>
                    <w:left w:val="nil"/>
                    <w:bottom w:val="nil"/>
                    <w:right w:val="nil"/>
                  </w:tcBorders>
                  <w:shd w:val="clear" w:color="auto" w:fill="auto"/>
                  <w:vAlign w:val="bottom"/>
                </w:tcPr>
                <w:p w14:paraId="7954D31D" w14:textId="77777777" w:rsidR="00F05DC7" w:rsidRPr="00911F46" w:rsidRDefault="00F05DC7" w:rsidP="00A3786D">
                  <w:pPr>
                    <w:pStyle w:val="TableBodyText"/>
                  </w:pPr>
                  <w:r>
                    <w:rPr>
                      <w:color w:val="000000"/>
                    </w:rPr>
                    <w:noBreakHyphen/>
                  </w:r>
                  <w:r w:rsidRPr="00911F46">
                    <w:rPr>
                      <w:color w:val="000000"/>
                    </w:rPr>
                    <w:t>0.61</w:t>
                  </w:r>
                </w:p>
              </w:tc>
              <w:tc>
                <w:tcPr>
                  <w:tcW w:w="555" w:type="pct"/>
                  <w:tcBorders>
                    <w:top w:val="nil"/>
                    <w:left w:val="nil"/>
                    <w:bottom w:val="nil"/>
                    <w:right w:val="nil"/>
                  </w:tcBorders>
                  <w:shd w:val="clear" w:color="auto" w:fill="auto"/>
                  <w:vAlign w:val="bottom"/>
                </w:tcPr>
                <w:p w14:paraId="7954D31E" w14:textId="77777777" w:rsidR="00F05DC7" w:rsidRPr="00911F46" w:rsidRDefault="00F05DC7" w:rsidP="00A3786D">
                  <w:pPr>
                    <w:pStyle w:val="TableBodyText"/>
                  </w:pPr>
                  <w:r>
                    <w:rPr>
                      <w:color w:val="000000"/>
                    </w:rPr>
                    <w:noBreakHyphen/>
                  </w:r>
                  <w:r w:rsidRPr="00911F46">
                    <w:rPr>
                      <w:color w:val="000000"/>
                    </w:rPr>
                    <w:t>0.61</w:t>
                  </w:r>
                </w:p>
              </w:tc>
              <w:tc>
                <w:tcPr>
                  <w:tcW w:w="555" w:type="pct"/>
                  <w:tcBorders>
                    <w:top w:val="nil"/>
                    <w:left w:val="nil"/>
                    <w:bottom w:val="nil"/>
                    <w:right w:val="nil"/>
                  </w:tcBorders>
                  <w:shd w:val="clear" w:color="auto" w:fill="auto"/>
                  <w:vAlign w:val="bottom"/>
                </w:tcPr>
                <w:p w14:paraId="7954D31F" w14:textId="77777777" w:rsidR="00F05DC7" w:rsidRPr="00911F46" w:rsidRDefault="00F05DC7" w:rsidP="00A3786D">
                  <w:pPr>
                    <w:pStyle w:val="TableBodyText"/>
                  </w:pPr>
                  <w:r>
                    <w:rPr>
                      <w:color w:val="000000"/>
                    </w:rPr>
                    <w:noBreakHyphen/>
                  </w:r>
                  <w:r w:rsidRPr="00911F46">
                    <w:rPr>
                      <w:color w:val="000000"/>
                    </w:rPr>
                    <w:t>0.50</w:t>
                  </w:r>
                </w:p>
              </w:tc>
              <w:tc>
                <w:tcPr>
                  <w:tcW w:w="553" w:type="pct"/>
                  <w:tcBorders>
                    <w:top w:val="nil"/>
                    <w:left w:val="nil"/>
                    <w:bottom w:val="nil"/>
                    <w:right w:val="nil"/>
                  </w:tcBorders>
                  <w:shd w:val="clear" w:color="auto" w:fill="auto"/>
                  <w:vAlign w:val="bottom"/>
                </w:tcPr>
                <w:p w14:paraId="7954D320" w14:textId="77777777" w:rsidR="00F05DC7" w:rsidRPr="00911F46" w:rsidRDefault="00F05DC7" w:rsidP="00A3786D">
                  <w:pPr>
                    <w:pStyle w:val="TableBodyText"/>
                  </w:pPr>
                  <w:r>
                    <w:rPr>
                      <w:color w:val="000000"/>
                    </w:rPr>
                    <w:noBreakHyphen/>
                  </w:r>
                  <w:r w:rsidRPr="00911F46">
                    <w:rPr>
                      <w:color w:val="000000"/>
                    </w:rPr>
                    <w:t>0.32</w:t>
                  </w:r>
                </w:p>
              </w:tc>
            </w:tr>
            <w:tr w:rsidR="00F05DC7" w:rsidRPr="00A75ED1" w14:paraId="7954D32B" w14:textId="77777777" w:rsidTr="00A3786D">
              <w:tc>
                <w:tcPr>
                  <w:tcW w:w="556" w:type="pct"/>
                  <w:shd w:val="clear" w:color="auto" w:fill="auto"/>
                  <w:vAlign w:val="bottom"/>
                </w:tcPr>
                <w:p w14:paraId="7954D322" w14:textId="77777777" w:rsidR="00F05DC7" w:rsidRPr="00911F46" w:rsidRDefault="00F05DC7" w:rsidP="00A3786D">
                  <w:pPr>
                    <w:pStyle w:val="TableBodyText"/>
                  </w:pPr>
                  <w:r w:rsidRPr="00911F46">
                    <w:t>2020</w:t>
                  </w:r>
                  <w:r>
                    <w:noBreakHyphen/>
                  </w:r>
                  <w:r w:rsidRPr="00911F46">
                    <w:t>21</w:t>
                  </w:r>
                </w:p>
              </w:tc>
              <w:tc>
                <w:tcPr>
                  <w:tcW w:w="557" w:type="pct"/>
                  <w:tcBorders>
                    <w:top w:val="nil"/>
                    <w:left w:val="nil"/>
                    <w:bottom w:val="nil"/>
                    <w:right w:val="nil"/>
                  </w:tcBorders>
                  <w:shd w:val="clear" w:color="auto" w:fill="auto"/>
                  <w:vAlign w:val="bottom"/>
                </w:tcPr>
                <w:p w14:paraId="7954D323" w14:textId="77777777" w:rsidR="00F05DC7" w:rsidRPr="00911F46" w:rsidRDefault="00F05DC7" w:rsidP="00A3786D">
                  <w:pPr>
                    <w:pStyle w:val="TableBodyText"/>
                  </w:pPr>
                  <w:r w:rsidRPr="00911F46">
                    <w:rPr>
                      <w:color w:val="000000"/>
                    </w:rPr>
                    <w:t>0.28</w:t>
                  </w:r>
                </w:p>
              </w:tc>
              <w:tc>
                <w:tcPr>
                  <w:tcW w:w="557" w:type="pct"/>
                  <w:tcBorders>
                    <w:top w:val="nil"/>
                    <w:left w:val="nil"/>
                    <w:bottom w:val="nil"/>
                    <w:right w:val="nil"/>
                  </w:tcBorders>
                  <w:shd w:val="clear" w:color="auto" w:fill="auto"/>
                  <w:vAlign w:val="bottom"/>
                </w:tcPr>
                <w:p w14:paraId="7954D324" w14:textId="77777777" w:rsidR="00F05DC7" w:rsidRPr="00911F46" w:rsidRDefault="00F05DC7" w:rsidP="00A3786D">
                  <w:pPr>
                    <w:pStyle w:val="TableBodyText"/>
                  </w:pPr>
                  <w:r>
                    <w:rPr>
                      <w:color w:val="000000"/>
                    </w:rPr>
                    <w:noBreakHyphen/>
                  </w:r>
                  <w:r w:rsidRPr="00911F46">
                    <w:rPr>
                      <w:color w:val="000000"/>
                    </w:rPr>
                    <w:t>0.63</w:t>
                  </w:r>
                </w:p>
              </w:tc>
              <w:tc>
                <w:tcPr>
                  <w:tcW w:w="556" w:type="pct"/>
                  <w:tcBorders>
                    <w:top w:val="nil"/>
                    <w:left w:val="nil"/>
                    <w:bottom w:val="nil"/>
                    <w:right w:val="nil"/>
                  </w:tcBorders>
                  <w:shd w:val="clear" w:color="auto" w:fill="auto"/>
                  <w:vAlign w:val="bottom"/>
                </w:tcPr>
                <w:p w14:paraId="7954D325" w14:textId="77777777" w:rsidR="00F05DC7" w:rsidRPr="00911F46" w:rsidRDefault="00F05DC7" w:rsidP="00A3786D">
                  <w:pPr>
                    <w:pStyle w:val="TableBodyText"/>
                  </w:pPr>
                  <w:r>
                    <w:rPr>
                      <w:color w:val="000000"/>
                    </w:rPr>
                    <w:noBreakHyphen/>
                  </w:r>
                  <w:r w:rsidRPr="00911F46">
                    <w:rPr>
                      <w:color w:val="000000"/>
                    </w:rPr>
                    <w:t>0.65</w:t>
                  </w:r>
                </w:p>
              </w:tc>
              <w:tc>
                <w:tcPr>
                  <w:tcW w:w="556" w:type="pct"/>
                  <w:tcBorders>
                    <w:top w:val="nil"/>
                    <w:left w:val="nil"/>
                    <w:bottom w:val="nil"/>
                    <w:right w:val="nil"/>
                  </w:tcBorders>
                  <w:shd w:val="clear" w:color="auto" w:fill="auto"/>
                  <w:vAlign w:val="bottom"/>
                </w:tcPr>
                <w:p w14:paraId="7954D326" w14:textId="77777777" w:rsidR="00F05DC7" w:rsidRPr="00911F46" w:rsidRDefault="00F05DC7" w:rsidP="00A3786D">
                  <w:pPr>
                    <w:pStyle w:val="TableBodyText"/>
                  </w:pPr>
                  <w:r w:rsidRPr="00911F46">
                    <w:rPr>
                      <w:color w:val="000000"/>
                    </w:rPr>
                    <w:t>2.59</w:t>
                  </w:r>
                </w:p>
              </w:tc>
              <w:tc>
                <w:tcPr>
                  <w:tcW w:w="555" w:type="pct"/>
                  <w:tcBorders>
                    <w:top w:val="nil"/>
                    <w:left w:val="nil"/>
                    <w:bottom w:val="nil"/>
                    <w:right w:val="nil"/>
                  </w:tcBorders>
                  <w:shd w:val="clear" w:color="auto" w:fill="auto"/>
                  <w:vAlign w:val="bottom"/>
                </w:tcPr>
                <w:p w14:paraId="7954D327" w14:textId="77777777" w:rsidR="00F05DC7" w:rsidRPr="00911F46" w:rsidRDefault="00F05DC7" w:rsidP="00A3786D">
                  <w:pPr>
                    <w:pStyle w:val="TableBodyText"/>
                  </w:pPr>
                  <w:r>
                    <w:rPr>
                      <w:color w:val="000000"/>
                    </w:rPr>
                    <w:noBreakHyphen/>
                  </w:r>
                  <w:r w:rsidRPr="00911F46">
                    <w:rPr>
                      <w:color w:val="000000"/>
                    </w:rPr>
                    <w:t>0.64</w:t>
                  </w:r>
                </w:p>
              </w:tc>
              <w:tc>
                <w:tcPr>
                  <w:tcW w:w="555" w:type="pct"/>
                  <w:tcBorders>
                    <w:top w:val="nil"/>
                    <w:left w:val="nil"/>
                    <w:bottom w:val="nil"/>
                    <w:right w:val="nil"/>
                  </w:tcBorders>
                  <w:shd w:val="clear" w:color="auto" w:fill="auto"/>
                  <w:vAlign w:val="bottom"/>
                </w:tcPr>
                <w:p w14:paraId="7954D328" w14:textId="77777777" w:rsidR="00F05DC7" w:rsidRPr="00911F46" w:rsidRDefault="00F05DC7" w:rsidP="00A3786D">
                  <w:pPr>
                    <w:pStyle w:val="TableBodyText"/>
                  </w:pPr>
                  <w:r>
                    <w:rPr>
                      <w:color w:val="000000"/>
                    </w:rPr>
                    <w:noBreakHyphen/>
                  </w:r>
                  <w:r w:rsidRPr="00911F46">
                    <w:rPr>
                      <w:color w:val="000000"/>
                    </w:rPr>
                    <w:t>0.65</w:t>
                  </w:r>
                </w:p>
              </w:tc>
              <w:tc>
                <w:tcPr>
                  <w:tcW w:w="555" w:type="pct"/>
                  <w:tcBorders>
                    <w:top w:val="nil"/>
                    <w:left w:val="nil"/>
                    <w:bottom w:val="nil"/>
                    <w:right w:val="nil"/>
                  </w:tcBorders>
                  <w:shd w:val="clear" w:color="auto" w:fill="auto"/>
                  <w:vAlign w:val="bottom"/>
                </w:tcPr>
                <w:p w14:paraId="7954D329" w14:textId="77777777" w:rsidR="00F05DC7" w:rsidRPr="00911F46" w:rsidRDefault="00F05DC7" w:rsidP="00A3786D">
                  <w:pPr>
                    <w:pStyle w:val="TableBodyText"/>
                  </w:pPr>
                  <w:r>
                    <w:rPr>
                      <w:color w:val="000000"/>
                    </w:rPr>
                    <w:noBreakHyphen/>
                  </w:r>
                  <w:r w:rsidRPr="00911F46">
                    <w:rPr>
                      <w:color w:val="000000"/>
                    </w:rPr>
                    <w:t>0.52</w:t>
                  </w:r>
                </w:p>
              </w:tc>
              <w:tc>
                <w:tcPr>
                  <w:tcW w:w="553" w:type="pct"/>
                  <w:tcBorders>
                    <w:top w:val="nil"/>
                    <w:left w:val="nil"/>
                    <w:bottom w:val="nil"/>
                    <w:right w:val="nil"/>
                  </w:tcBorders>
                  <w:shd w:val="clear" w:color="auto" w:fill="auto"/>
                  <w:vAlign w:val="bottom"/>
                </w:tcPr>
                <w:p w14:paraId="7954D32A" w14:textId="77777777" w:rsidR="00F05DC7" w:rsidRPr="00911F46" w:rsidRDefault="00F05DC7" w:rsidP="00A3786D">
                  <w:pPr>
                    <w:pStyle w:val="TableBodyText"/>
                  </w:pPr>
                  <w:r>
                    <w:rPr>
                      <w:color w:val="000000"/>
                    </w:rPr>
                    <w:noBreakHyphen/>
                  </w:r>
                  <w:r w:rsidRPr="00911F46">
                    <w:rPr>
                      <w:color w:val="000000"/>
                    </w:rPr>
                    <w:t>0.35</w:t>
                  </w:r>
                </w:p>
              </w:tc>
            </w:tr>
            <w:tr w:rsidR="00F05DC7" w:rsidRPr="00A75ED1" w14:paraId="7954D335" w14:textId="77777777" w:rsidTr="00A3786D">
              <w:tc>
                <w:tcPr>
                  <w:tcW w:w="556" w:type="pct"/>
                  <w:shd w:val="clear" w:color="auto" w:fill="auto"/>
                  <w:vAlign w:val="bottom"/>
                </w:tcPr>
                <w:p w14:paraId="7954D32C" w14:textId="77777777" w:rsidR="00F05DC7" w:rsidRPr="00911F46" w:rsidRDefault="00F05DC7" w:rsidP="00A3786D">
                  <w:pPr>
                    <w:pStyle w:val="TableBodyText"/>
                  </w:pPr>
                  <w:r w:rsidRPr="00911F46">
                    <w:t>2021</w:t>
                  </w:r>
                  <w:r>
                    <w:noBreakHyphen/>
                  </w:r>
                  <w:r w:rsidRPr="00911F46">
                    <w:t>22</w:t>
                  </w:r>
                </w:p>
              </w:tc>
              <w:tc>
                <w:tcPr>
                  <w:tcW w:w="557" w:type="pct"/>
                  <w:tcBorders>
                    <w:top w:val="nil"/>
                    <w:left w:val="nil"/>
                    <w:bottom w:val="nil"/>
                    <w:right w:val="nil"/>
                  </w:tcBorders>
                  <w:shd w:val="clear" w:color="auto" w:fill="auto"/>
                  <w:vAlign w:val="bottom"/>
                </w:tcPr>
                <w:p w14:paraId="7954D32D" w14:textId="77777777" w:rsidR="00F05DC7" w:rsidRPr="00911F46" w:rsidRDefault="00F05DC7" w:rsidP="00A3786D">
                  <w:pPr>
                    <w:pStyle w:val="TableBodyText"/>
                  </w:pPr>
                  <w:r w:rsidRPr="00911F46">
                    <w:rPr>
                      <w:color w:val="000000"/>
                    </w:rPr>
                    <w:t>0.29</w:t>
                  </w:r>
                </w:p>
              </w:tc>
              <w:tc>
                <w:tcPr>
                  <w:tcW w:w="557" w:type="pct"/>
                  <w:tcBorders>
                    <w:top w:val="nil"/>
                    <w:left w:val="nil"/>
                    <w:bottom w:val="nil"/>
                    <w:right w:val="nil"/>
                  </w:tcBorders>
                  <w:shd w:val="clear" w:color="auto" w:fill="auto"/>
                  <w:vAlign w:val="bottom"/>
                </w:tcPr>
                <w:p w14:paraId="7954D32E" w14:textId="77777777" w:rsidR="00F05DC7" w:rsidRPr="00911F46" w:rsidRDefault="00F05DC7" w:rsidP="00A3786D">
                  <w:pPr>
                    <w:pStyle w:val="TableBodyText"/>
                  </w:pPr>
                  <w:r>
                    <w:rPr>
                      <w:color w:val="000000"/>
                    </w:rPr>
                    <w:noBreakHyphen/>
                  </w:r>
                  <w:r w:rsidRPr="00911F46">
                    <w:rPr>
                      <w:color w:val="000000"/>
                    </w:rPr>
                    <w:t>0.67</w:t>
                  </w:r>
                </w:p>
              </w:tc>
              <w:tc>
                <w:tcPr>
                  <w:tcW w:w="556" w:type="pct"/>
                  <w:tcBorders>
                    <w:top w:val="nil"/>
                    <w:left w:val="nil"/>
                    <w:bottom w:val="nil"/>
                    <w:right w:val="nil"/>
                  </w:tcBorders>
                  <w:shd w:val="clear" w:color="auto" w:fill="auto"/>
                  <w:vAlign w:val="bottom"/>
                </w:tcPr>
                <w:p w14:paraId="7954D32F" w14:textId="77777777" w:rsidR="00F05DC7" w:rsidRPr="00911F46" w:rsidRDefault="00F05DC7" w:rsidP="00A3786D">
                  <w:pPr>
                    <w:pStyle w:val="TableBodyText"/>
                  </w:pPr>
                  <w:r>
                    <w:rPr>
                      <w:color w:val="000000"/>
                    </w:rPr>
                    <w:noBreakHyphen/>
                  </w:r>
                  <w:r w:rsidRPr="00911F46">
                    <w:rPr>
                      <w:color w:val="000000"/>
                    </w:rPr>
                    <w:t>0.68</w:t>
                  </w:r>
                </w:p>
              </w:tc>
              <w:tc>
                <w:tcPr>
                  <w:tcW w:w="556" w:type="pct"/>
                  <w:tcBorders>
                    <w:top w:val="nil"/>
                    <w:left w:val="nil"/>
                    <w:bottom w:val="nil"/>
                    <w:right w:val="nil"/>
                  </w:tcBorders>
                  <w:shd w:val="clear" w:color="auto" w:fill="auto"/>
                  <w:vAlign w:val="bottom"/>
                </w:tcPr>
                <w:p w14:paraId="7954D330" w14:textId="77777777" w:rsidR="00F05DC7" w:rsidRPr="00911F46" w:rsidRDefault="00F05DC7" w:rsidP="00A3786D">
                  <w:pPr>
                    <w:pStyle w:val="TableBodyText"/>
                  </w:pPr>
                  <w:r w:rsidRPr="00911F46">
                    <w:rPr>
                      <w:color w:val="000000"/>
                    </w:rPr>
                    <w:t>2.72</w:t>
                  </w:r>
                </w:p>
              </w:tc>
              <w:tc>
                <w:tcPr>
                  <w:tcW w:w="555" w:type="pct"/>
                  <w:tcBorders>
                    <w:top w:val="nil"/>
                    <w:left w:val="nil"/>
                    <w:bottom w:val="nil"/>
                    <w:right w:val="nil"/>
                  </w:tcBorders>
                  <w:shd w:val="clear" w:color="auto" w:fill="auto"/>
                  <w:vAlign w:val="bottom"/>
                </w:tcPr>
                <w:p w14:paraId="7954D331" w14:textId="77777777" w:rsidR="00F05DC7" w:rsidRPr="00911F46" w:rsidRDefault="00F05DC7" w:rsidP="00A3786D">
                  <w:pPr>
                    <w:pStyle w:val="TableBodyText"/>
                  </w:pPr>
                  <w:r>
                    <w:rPr>
                      <w:color w:val="000000"/>
                    </w:rPr>
                    <w:noBreakHyphen/>
                  </w:r>
                  <w:r w:rsidRPr="00911F46">
                    <w:rPr>
                      <w:color w:val="000000"/>
                    </w:rPr>
                    <w:t>0.67</w:t>
                  </w:r>
                </w:p>
              </w:tc>
              <w:tc>
                <w:tcPr>
                  <w:tcW w:w="555" w:type="pct"/>
                  <w:tcBorders>
                    <w:top w:val="nil"/>
                    <w:left w:val="nil"/>
                    <w:bottom w:val="nil"/>
                    <w:right w:val="nil"/>
                  </w:tcBorders>
                  <w:shd w:val="clear" w:color="auto" w:fill="auto"/>
                  <w:vAlign w:val="bottom"/>
                </w:tcPr>
                <w:p w14:paraId="7954D332" w14:textId="77777777" w:rsidR="00F05DC7" w:rsidRPr="00911F46" w:rsidRDefault="00F05DC7" w:rsidP="00A3786D">
                  <w:pPr>
                    <w:pStyle w:val="TableBodyText"/>
                  </w:pPr>
                  <w:r>
                    <w:rPr>
                      <w:color w:val="000000"/>
                    </w:rPr>
                    <w:noBreakHyphen/>
                  </w:r>
                  <w:r w:rsidRPr="00911F46">
                    <w:rPr>
                      <w:color w:val="000000"/>
                    </w:rPr>
                    <w:t>0.66</w:t>
                  </w:r>
                </w:p>
              </w:tc>
              <w:tc>
                <w:tcPr>
                  <w:tcW w:w="555" w:type="pct"/>
                  <w:tcBorders>
                    <w:top w:val="nil"/>
                    <w:left w:val="nil"/>
                    <w:bottom w:val="nil"/>
                    <w:right w:val="nil"/>
                  </w:tcBorders>
                  <w:shd w:val="clear" w:color="auto" w:fill="auto"/>
                  <w:vAlign w:val="bottom"/>
                </w:tcPr>
                <w:p w14:paraId="7954D333" w14:textId="77777777" w:rsidR="00F05DC7" w:rsidRPr="00911F46" w:rsidRDefault="00F05DC7" w:rsidP="00A3786D">
                  <w:pPr>
                    <w:pStyle w:val="TableBodyText"/>
                  </w:pPr>
                  <w:r>
                    <w:rPr>
                      <w:color w:val="000000"/>
                    </w:rPr>
                    <w:noBreakHyphen/>
                  </w:r>
                  <w:r w:rsidRPr="00911F46">
                    <w:rPr>
                      <w:color w:val="000000"/>
                    </w:rPr>
                    <w:t>0.55</w:t>
                  </w:r>
                </w:p>
              </w:tc>
              <w:tc>
                <w:tcPr>
                  <w:tcW w:w="553" w:type="pct"/>
                  <w:tcBorders>
                    <w:top w:val="nil"/>
                    <w:left w:val="nil"/>
                    <w:bottom w:val="nil"/>
                    <w:right w:val="nil"/>
                  </w:tcBorders>
                  <w:shd w:val="clear" w:color="auto" w:fill="auto"/>
                  <w:vAlign w:val="bottom"/>
                </w:tcPr>
                <w:p w14:paraId="7954D334" w14:textId="77777777" w:rsidR="00F05DC7" w:rsidRPr="00911F46" w:rsidRDefault="00F05DC7" w:rsidP="00A3786D">
                  <w:pPr>
                    <w:pStyle w:val="TableBodyText"/>
                  </w:pPr>
                  <w:r>
                    <w:rPr>
                      <w:color w:val="000000"/>
                    </w:rPr>
                    <w:noBreakHyphen/>
                  </w:r>
                  <w:r w:rsidRPr="00911F46">
                    <w:rPr>
                      <w:color w:val="000000"/>
                    </w:rPr>
                    <w:t>0.33</w:t>
                  </w:r>
                </w:p>
              </w:tc>
            </w:tr>
            <w:tr w:rsidR="00F05DC7" w:rsidRPr="00A75ED1" w14:paraId="7954D33F" w14:textId="77777777" w:rsidTr="00A3786D">
              <w:tc>
                <w:tcPr>
                  <w:tcW w:w="556" w:type="pct"/>
                  <w:shd w:val="clear" w:color="auto" w:fill="auto"/>
                </w:tcPr>
                <w:p w14:paraId="7954D336" w14:textId="77777777" w:rsidR="00F05DC7" w:rsidRPr="00911F46" w:rsidRDefault="00F05DC7" w:rsidP="00A3786D">
                  <w:pPr>
                    <w:pStyle w:val="TableBodyText"/>
                  </w:pPr>
                  <w:r w:rsidRPr="00911F46">
                    <w:t>2022</w:t>
                  </w:r>
                  <w:r>
                    <w:noBreakHyphen/>
                  </w:r>
                  <w:r w:rsidRPr="00911F46">
                    <w:t>23</w:t>
                  </w:r>
                </w:p>
              </w:tc>
              <w:tc>
                <w:tcPr>
                  <w:tcW w:w="557" w:type="pct"/>
                  <w:tcBorders>
                    <w:top w:val="nil"/>
                    <w:left w:val="nil"/>
                    <w:bottom w:val="nil"/>
                    <w:right w:val="nil"/>
                  </w:tcBorders>
                  <w:shd w:val="clear" w:color="auto" w:fill="auto"/>
                  <w:vAlign w:val="bottom"/>
                </w:tcPr>
                <w:p w14:paraId="7954D337" w14:textId="77777777" w:rsidR="00F05DC7" w:rsidRPr="00911F46" w:rsidRDefault="00F05DC7" w:rsidP="00A3786D">
                  <w:pPr>
                    <w:pStyle w:val="TableBodyText"/>
                  </w:pPr>
                  <w:r w:rsidRPr="00911F46">
                    <w:rPr>
                      <w:color w:val="000000"/>
                    </w:rPr>
                    <w:t>0.31</w:t>
                  </w:r>
                </w:p>
              </w:tc>
              <w:tc>
                <w:tcPr>
                  <w:tcW w:w="557" w:type="pct"/>
                  <w:tcBorders>
                    <w:top w:val="nil"/>
                    <w:left w:val="nil"/>
                    <w:bottom w:val="nil"/>
                    <w:right w:val="nil"/>
                  </w:tcBorders>
                  <w:shd w:val="clear" w:color="auto" w:fill="auto"/>
                  <w:vAlign w:val="bottom"/>
                </w:tcPr>
                <w:p w14:paraId="7954D338" w14:textId="77777777" w:rsidR="00F05DC7" w:rsidRPr="00911F46" w:rsidRDefault="00F05DC7" w:rsidP="00A3786D">
                  <w:pPr>
                    <w:pStyle w:val="TableBodyText"/>
                  </w:pPr>
                  <w:r>
                    <w:rPr>
                      <w:color w:val="000000"/>
                    </w:rPr>
                    <w:noBreakHyphen/>
                  </w:r>
                  <w:r w:rsidRPr="00911F46">
                    <w:rPr>
                      <w:color w:val="000000"/>
                    </w:rPr>
                    <w:t>0.72</w:t>
                  </w:r>
                </w:p>
              </w:tc>
              <w:tc>
                <w:tcPr>
                  <w:tcW w:w="556" w:type="pct"/>
                  <w:tcBorders>
                    <w:top w:val="nil"/>
                    <w:left w:val="nil"/>
                    <w:bottom w:val="nil"/>
                    <w:right w:val="nil"/>
                  </w:tcBorders>
                  <w:shd w:val="clear" w:color="auto" w:fill="auto"/>
                  <w:vAlign w:val="bottom"/>
                </w:tcPr>
                <w:p w14:paraId="7954D339" w14:textId="77777777" w:rsidR="00F05DC7" w:rsidRPr="00911F46" w:rsidRDefault="00F05DC7" w:rsidP="00A3786D">
                  <w:pPr>
                    <w:pStyle w:val="TableBodyText"/>
                  </w:pPr>
                  <w:r>
                    <w:rPr>
                      <w:color w:val="000000"/>
                    </w:rPr>
                    <w:noBreakHyphen/>
                  </w:r>
                  <w:r w:rsidRPr="00911F46">
                    <w:rPr>
                      <w:color w:val="000000"/>
                    </w:rPr>
                    <w:t>0.71</w:t>
                  </w:r>
                </w:p>
              </w:tc>
              <w:tc>
                <w:tcPr>
                  <w:tcW w:w="556" w:type="pct"/>
                  <w:tcBorders>
                    <w:top w:val="nil"/>
                    <w:left w:val="nil"/>
                    <w:bottom w:val="nil"/>
                    <w:right w:val="nil"/>
                  </w:tcBorders>
                  <w:shd w:val="clear" w:color="auto" w:fill="auto"/>
                  <w:vAlign w:val="bottom"/>
                </w:tcPr>
                <w:p w14:paraId="7954D33A" w14:textId="77777777" w:rsidR="00F05DC7" w:rsidRPr="00911F46" w:rsidRDefault="00F05DC7" w:rsidP="00A3786D">
                  <w:pPr>
                    <w:pStyle w:val="TableBodyText"/>
                  </w:pPr>
                  <w:r w:rsidRPr="00911F46">
                    <w:rPr>
                      <w:color w:val="000000"/>
                    </w:rPr>
                    <w:t>2.88</w:t>
                  </w:r>
                </w:p>
              </w:tc>
              <w:tc>
                <w:tcPr>
                  <w:tcW w:w="555" w:type="pct"/>
                  <w:tcBorders>
                    <w:top w:val="nil"/>
                    <w:left w:val="nil"/>
                    <w:bottom w:val="nil"/>
                    <w:right w:val="nil"/>
                  </w:tcBorders>
                  <w:shd w:val="clear" w:color="auto" w:fill="auto"/>
                  <w:vAlign w:val="bottom"/>
                </w:tcPr>
                <w:p w14:paraId="7954D33B" w14:textId="77777777" w:rsidR="00F05DC7" w:rsidRPr="00911F46" w:rsidRDefault="00F05DC7" w:rsidP="00A3786D">
                  <w:pPr>
                    <w:pStyle w:val="TableBodyText"/>
                  </w:pPr>
                  <w:r>
                    <w:rPr>
                      <w:color w:val="000000"/>
                    </w:rPr>
                    <w:noBreakHyphen/>
                  </w:r>
                  <w:r w:rsidRPr="00911F46">
                    <w:rPr>
                      <w:color w:val="000000"/>
                    </w:rPr>
                    <w:t>0.70</w:t>
                  </w:r>
                </w:p>
              </w:tc>
              <w:tc>
                <w:tcPr>
                  <w:tcW w:w="555" w:type="pct"/>
                  <w:tcBorders>
                    <w:top w:val="nil"/>
                    <w:left w:val="nil"/>
                    <w:bottom w:val="nil"/>
                    <w:right w:val="nil"/>
                  </w:tcBorders>
                  <w:shd w:val="clear" w:color="auto" w:fill="auto"/>
                  <w:vAlign w:val="bottom"/>
                </w:tcPr>
                <w:p w14:paraId="7954D33C" w14:textId="77777777" w:rsidR="00F05DC7" w:rsidRPr="00911F46" w:rsidRDefault="00F05DC7" w:rsidP="00A3786D">
                  <w:pPr>
                    <w:pStyle w:val="TableBodyText"/>
                  </w:pPr>
                  <w:r>
                    <w:rPr>
                      <w:color w:val="000000"/>
                    </w:rPr>
                    <w:noBreakHyphen/>
                  </w:r>
                  <w:r w:rsidRPr="00911F46">
                    <w:rPr>
                      <w:color w:val="000000"/>
                    </w:rPr>
                    <w:t>0.69</w:t>
                  </w:r>
                </w:p>
              </w:tc>
              <w:tc>
                <w:tcPr>
                  <w:tcW w:w="555" w:type="pct"/>
                  <w:tcBorders>
                    <w:top w:val="nil"/>
                    <w:left w:val="nil"/>
                    <w:bottom w:val="nil"/>
                    <w:right w:val="nil"/>
                  </w:tcBorders>
                  <w:shd w:val="clear" w:color="auto" w:fill="auto"/>
                  <w:vAlign w:val="bottom"/>
                </w:tcPr>
                <w:p w14:paraId="7954D33D" w14:textId="77777777" w:rsidR="00F05DC7" w:rsidRPr="00911F46" w:rsidRDefault="00F05DC7" w:rsidP="00A3786D">
                  <w:pPr>
                    <w:pStyle w:val="TableBodyText"/>
                  </w:pPr>
                  <w:r>
                    <w:rPr>
                      <w:color w:val="000000"/>
                    </w:rPr>
                    <w:noBreakHyphen/>
                  </w:r>
                  <w:r w:rsidRPr="00911F46">
                    <w:rPr>
                      <w:color w:val="000000"/>
                    </w:rPr>
                    <w:t>0.58</w:t>
                  </w:r>
                </w:p>
              </w:tc>
              <w:tc>
                <w:tcPr>
                  <w:tcW w:w="553" w:type="pct"/>
                  <w:tcBorders>
                    <w:top w:val="nil"/>
                    <w:left w:val="nil"/>
                    <w:bottom w:val="nil"/>
                    <w:right w:val="nil"/>
                  </w:tcBorders>
                  <w:shd w:val="clear" w:color="auto" w:fill="auto"/>
                  <w:vAlign w:val="bottom"/>
                </w:tcPr>
                <w:p w14:paraId="7954D33E" w14:textId="77777777" w:rsidR="00F05DC7" w:rsidRPr="00911F46" w:rsidRDefault="00F05DC7" w:rsidP="00A3786D">
                  <w:pPr>
                    <w:pStyle w:val="TableBodyText"/>
                  </w:pPr>
                  <w:r>
                    <w:rPr>
                      <w:color w:val="000000"/>
                    </w:rPr>
                    <w:noBreakHyphen/>
                  </w:r>
                  <w:r w:rsidRPr="00911F46">
                    <w:rPr>
                      <w:color w:val="000000"/>
                    </w:rPr>
                    <w:t>0.35</w:t>
                  </w:r>
                </w:p>
              </w:tc>
            </w:tr>
            <w:tr w:rsidR="00F05DC7" w:rsidRPr="00A75ED1" w14:paraId="7954D349" w14:textId="77777777" w:rsidTr="00A3786D">
              <w:tc>
                <w:tcPr>
                  <w:tcW w:w="556" w:type="pct"/>
                  <w:shd w:val="clear" w:color="auto" w:fill="auto"/>
                </w:tcPr>
                <w:p w14:paraId="7954D340" w14:textId="77777777" w:rsidR="00F05DC7" w:rsidRPr="00911F46" w:rsidRDefault="00F05DC7" w:rsidP="00A3786D">
                  <w:pPr>
                    <w:pStyle w:val="TableBodyText"/>
                  </w:pPr>
                  <w:r w:rsidRPr="00911F46">
                    <w:t>2023</w:t>
                  </w:r>
                  <w:r>
                    <w:noBreakHyphen/>
                  </w:r>
                  <w:r w:rsidRPr="00911F46">
                    <w:t>24</w:t>
                  </w:r>
                </w:p>
              </w:tc>
              <w:tc>
                <w:tcPr>
                  <w:tcW w:w="557" w:type="pct"/>
                  <w:tcBorders>
                    <w:top w:val="nil"/>
                    <w:left w:val="nil"/>
                    <w:bottom w:val="nil"/>
                    <w:right w:val="nil"/>
                  </w:tcBorders>
                  <w:shd w:val="clear" w:color="auto" w:fill="auto"/>
                  <w:vAlign w:val="bottom"/>
                </w:tcPr>
                <w:p w14:paraId="7954D341" w14:textId="77777777" w:rsidR="00F05DC7" w:rsidRPr="00911F46" w:rsidRDefault="00F05DC7" w:rsidP="00A3786D">
                  <w:pPr>
                    <w:pStyle w:val="TableBodyText"/>
                  </w:pPr>
                  <w:r w:rsidRPr="00911F46">
                    <w:rPr>
                      <w:color w:val="000000"/>
                    </w:rPr>
                    <w:t>0.06</w:t>
                  </w:r>
                </w:p>
              </w:tc>
              <w:tc>
                <w:tcPr>
                  <w:tcW w:w="557" w:type="pct"/>
                  <w:tcBorders>
                    <w:top w:val="nil"/>
                    <w:left w:val="nil"/>
                    <w:bottom w:val="nil"/>
                    <w:right w:val="nil"/>
                  </w:tcBorders>
                  <w:shd w:val="clear" w:color="auto" w:fill="auto"/>
                  <w:vAlign w:val="bottom"/>
                </w:tcPr>
                <w:p w14:paraId="7954D342" w14:textId="77777777" w:rsidR="00F05DC7" w:rsidRPr="00911F46" w:rsidRDefault="00F05DC7" w:rsidP="00A3786D">
                  <w:pPr>
                    <w:pStyle w:val="TableBodyText"/>
                  </w:pPr>
                  <w:r>
                    <w:rPr>
                      <w:color w:val="000000"/>
                    </w:rPr>
                    <w:noBreakHyphen/>
                  </w:r>
                  <w:r w:rsidRPr="00911F46">
                    <w:rPr>
                      <w:color w:val="000000"/>
                    </w:rPr>
                    <w:t>0.14</w:t>
                  </w:r>
                </w:p>
              </w:tc>
              <w:tc>
                <w:tcPr>
                  <w:tcW w:w="556" w:type="pct"/>
                  <w:tcBorders>
                    <w:top w:val="nil"/>
                    <w:left w:val="nil"/>
                    <w:bottom w:val="nil"/>
                    <w:right w:val="nil"/>
                  </w:tcBorders>
                  <w:shd w:val="clear" w:color="auto" w:fill="auto"/>
                  <w:vAlign w:val="bottom"/>
                </w:tcPr>
                <w:p w14:paraId="7954D343" w14:textId="77777777" w:rsidR="00F05DC7" w:rsidRPr="00911F46" w:rsidRDefault="00F05DC7" w:rsidP="00A3786D">
                  <w:pPr>
                    <w:pStyle w:val="TableBodyText"/>
                  </w:pPr>
                  <w:r>
                    <w:rPr>
                      <w:color w:val="000000"/>
                    </w:rPr>
                    <w:noBreakHyphen/>
                  </w:r>
                  <w:r w:rsidRPr="00911F46">
                    <w:rPr>
                      <w:color w:val="000000"/>
                    </w:rPr>
                    <w:t>0.11</w:t>
                  </w:r>
                </w:p>
              </w:tc>
              <w:tc>
                <w:tcPr>
                  <w:tcW w:w="556" w:type="pct"/>
                  <w:tcBorders>
                    <w:top w:val="nil"/>
                    <w:left w:val="nil"/>
                    <w:bottom w:val="nil"/>
                    <w:right w:val="nil"/>
                  </w:tcBorders>
                  <w:shd w:val="clear" w:color="auto" w:fill="auto"/>
                  <w:vAlign w:val="bottom"/>
                </w:tcPr>
                <w:p w14:paraId="7954D344" w14:textId="77777777" w:rsidR="00F05DC7" w:rsidRPr="00911F46" w:rsidRDefault="00F05DC7" w:rsidP="00A3786D">
                  <w:pPr>
                    <w:pStyle w:val="TableBodyText"/>
                  </w:pPr>
                  <w:r w:rsidRPr="00911F46">
                    <w:rPr>
                      <w:color w:val="000000"/>
                    </w:rPr>
                    <w:t>0.47</w:t>
                  </w:r>
                </w:p>
              </w:tc>
              <w:tc>
                <w:tcPr>
                  <w:tcW w:w="555" w:type="pct"/>
                  <w:tcBorders>
                    <w:top w:val="nil"/>
                    <w:left w:val="nil"/>
                    <w:bottom w:val="nil"/>
                    <w:right w:val="nil"/>
                  </w:tcBorders>
                  <w:shd w:val="clear" w:color="auto" w:fill="auto"/>
                  <w:vAlign w:val="bottom"/>
                </w:tcPr>
                <w:p w14:paraId="7954D345" w14:textId="77777777" w:rsidR="00F05DC7" w:rsidRPr="00911F46" w:rsidRDefault="00F05DC7" w:rsidP="00A3786D">
                  <w:pPr>
                    <w:pStyle w:val="TableBodyText"/>
                  </w:pPr>
                  <w:r>
                    <w:rPr>
                      <w:color w:val="000000"/>
                    </w:rPr>
                    <w:noBreakHyphen/>
                  </w:r>
                  <w:r w:rsidRPr="00911F46">
                    <w:rPr>
                      <w:color w:val="000000"/>
                    </w:rPr>
                    <w:t>0.09</w:t>
                  </w:r>
                </w:p>
              </w:tc>
              <w:tc>
                <w:tcPr>
                  <w:tcW w:w="555" w:type="pct"/>
                  <w:tcBorders>
                    <w:top w:val="nil"/>
                    <w:left w:val="nil"/>
                    <w:bottom w:val="nil"/>
                    <w:right w:val="nil"/>
                  </w:tcBorders>
                  <w:shd w:val="clear" w:color="auto" w:fill="auto"/>
                  <w:vAlign w:val="bottom"/>
                </w:tcPr>
                <w:p w14:paraId="7954D346" w14:textId="77777777" w:rsidR="00F05DC7" w:rsidRPr="00911F46" w:rsidRDefault="00F05DC7" w:rsidP="00A3786D">
                  <w:pPr>
                    <w:pStyle w:val="TableBodyText"/>
                  </w:pPr>
                  <w:r>
                    <w:rPr>
                      <w:color w:val="000000"/>
                    </w:rPr>
                    <w:noBreakHyphen/>
                  </w:r>
                  <w:r w:rsidRPr="00911F46">
                    <w:rPr>
                      <w:color w:val="000000"/>
                    </w:rPr>
                    <w:t>0.09</w:t>
                  </w:r>
                </w:p>
              </w:tc>
              <w:tc>
                <w:tcPr>
                  <w:tcW w:w="555" w:type="pct"/>
                  <w:tcBorders>
                    <w:top w:val="nil"/>
                    <w:left w:val="nil"/>
                    <w:bottom w:val="nil"/>
                    <w:right w:val="nil"/>
                  </w:tcBorders>
                  <w:shd w:val="clear" w:color="auto" w:fill="auto"/>
                  <w:vAlign w:val="bottom"/>
                </w:tcPr>
                <w:p w14:paraId="7954D347" w14:textId="77777777" w:rsidR="00F05DC7" w:rsidRPr="00911F46" w:rsidRDefault="00F05DC7" w:rsidP="00A3786D">
                  <w:pPr>
                    <w:pStyle w:val="TableBodyText"/>
                  </w:pPr>
                  <w:r>
                    <w:rPr>
                      <w:color w:val="000000"/>
                    </w:rPr>
                    <w:noBreakHyphen/>
                  </w:r>
                  <w:r w:rsidRPr="00911F46">
                    <w:rPr>
                      <w:color w:val="000000"/>
                    </w:rPr>
                    <w:t>0.09</w:t>
                  </w:r>
                </w:p>
              </w:tc>
              <w:tc>
                <w:tcPr>
                  <w:tcW w:w="553" w:type="pct"/>
                  <w:tcBorders>
                    <w:top w:val="nil"/>
                    <w:left w:val="nil"/>
                    <w:bottom w:val="nil"/>
                    <w:right w:val="nil"/>
                  </w:tcBorders>
                  <w:shd w:val="clear" w:color="auto" w:fill="auto"/>
                  <w:vAlign w:val="bottom"/>
                </w:tcPr>
                <w:p w14:paraId="7954D348" w14:textId="77777777" w:rsidR="00F05DC7" w:rsidRPr="00911F46" w:rsidRDefault="00F05DC7" w:rsidP="00A3786D">
                  <w:pPr>
                    <w:pStyle w:val="TableBodyText"/>
                  </w:pPr>
                  <w:r>
                    <w:rPr>
                      <w:color w:val="000000"/>
                    </w:rPr>
                    <w:noBreakHyphen/>
                  </w:r>
                  <w:r w:rsidRPr="00911F46">
                    <w:rPr>
                      <w:color w:val="000000"/>
                    </w:rPr>
                    <w:t>0.04</w:t>
                  </w:r>
                </w:p>
              </w:tc>
            </w:tr>
            <w:tr w:rsidR="00F05DC7" w:rsidRPr="00A75ED1" w14:paraId="7954D353" w14:textId="77777777" w:rsidTr="00A3786D">
              <w:tc>
                <w:tcPr>
                  <w:tcW w:w="556" w:type="pct"/>
                  <w:shd w:val="clear" w:color="auto" w:fill="auto"/>
                </w:tcPr>
                <w:p w14:paraId="7954D34A" w14:textId="77777777" w:rsidR="00F05DC7" w:rsidRPr="00911F46" w:rsidRDefault="00F05DC7" w:rsidP="00A3786D">
                  <w:pPr>
                    <w:pStyle w:val="TableBodyText"/>
                  </w:pPr>
                  <w:r w:rsidRPr="00911F46">
                    <w:t>2024</w:t>
                  </w:r>
                  <w:r>
                    <w:noBreakHyphen/>
                  </w:r>
                  <w:r w:rsidRPr="00911F46">
                    <w:t>25</w:t>
                  </w:r>
                </w:p>
              </w:tc>
              <w:tc>
                <w:tcPr>
                  <w:tcW w:w="557" w:type="pct"/>
                  <w:tcBorders>
                    <w:top w:val="nil"/>
                    <w:left w:val="nil"/>
                    <w:bottom w:val="nil"/>
                    <w:right w:val="nil"/>
                  </w:tcBorders>
                  <w:shd w:val="clear" w:color="auto" w:fill="auto"/>
                  <w:vAlign w:val="bottom"/>
                </w:tcPr>
                <w:p w14:paraId="7954D34B" w14:textId="77777777" w:rsidR="00F05DC7" w:rsidRPr="00911F46" w:rsidRDefault="00F05DC7" w:rsidP="00A3786D">
                  <w:pPr>
                    <w:pStyle w:val="TableBodyText"/>
                  </w:pPr>
                  <w:r w:rsidRPr="00911F46">
                    <w:rPr>
                      <w:color w:val="000000"/>
                    </w:rPr>
                    <w:t>0.06</w:t>
                  </w:r>
                </w:p>
              </w:tc>
              <w:tc>
                <w:tcPr>
                  <w:tcW w:w="557" w:type="pct"/>
                  <w:tcBorders>
                    <w:top w:val="nil"/>
                    <w:left w:val="nil"/>
                    <w:bottom w:val="nil"/>
                    <w:right w:val="nil"/>
                  </w:tcBorders>
                  <w:shd w:val="clear" w:color="auto" w:fill="auto"/>
                  <w:vAlign w:val="bottom"/>
                </w:tcPr>
                <w:p w14:paraId="7954D34C" w14:textId="77777777" w:rsidR="00F05DC7" w:rsidRPr="00911F46" w:rsidRDefault="00F05DC7" w:rsidP="00A3786D">
                  <w:pPr>
                    <w:pStyle w:val="TableBodyText"/>
                  </w:pPr>
                  <w:r>
                    <w:rPr>
                      <w:color w:val="000000"/>
                    </w:rPr>
                    <w:noBreakHyphen/>
                  </w:r>
                  <w:r w:rsidRPr="00911F46">
                    <w:rPr>
                      <w:color w:val="000000"/>
                    </w:rPr>
                    <w:t>0.14</w:t>
                  </w:r>
                </w:p>
              </w:tc>
              <w:tc>
                <w:tcPr>
                  <w:tcW w:w="556" w:type="pct"/>
                  <w:tcBorders>
                    <w:top w:val="nil"/>
                    <w:left w:val="nil"/>
                    <w:bottom w:val="nil"/>
                    <w:right w:val="nil"/>
                  </w:tcBorders>
                  <w:shd w:val="clear" w:color="auto" w:fill="auto"/>
                  <w:vAlign w:val="bottom"/>
                </w:tcPr>
                <w:p w14:paraId="7954D34D" w14:textId="77777777" w:rsidR="00F05DC7" w:rsidRPr="00911F46" w:rsidRDefault="00F05DC7" w:rsidP="00A3786D">
                  <w:pPr>
                    <w:pStyle w:val="TableBodyText"/>
                  </w:pPr>
                  <w:r>
                    <w:rPr>
                      <w:color w:val="000000"/>
                    </w:rPr>
                    <w:noBreakHyphen/>
                  </w:r>
                  <w:r w:rsidRPr="00911F46">
                    <w:rPr>
                      <w:color w:val="000000"/>
                    </w:rPr>
                    <w:t>0.11</w:t>
                  </w:r>
                </w:p>
              </w:tc>
              <w:tc>
                <w:tcPr>
                  <w:tcW w:w="556" w:type="pct"/>
                  <w:tcBorders>
                    <w:top w:val="nil"/>
                    <w:left w:val="nil"/>
                    <w:bottom w:val="nil"/>
                    <w:right w:val="nil"/>
                  </w:tcBorders>
                  <w:shd w:val="clear" w:color="auto" w:fill="auto"/>
                  <w:vAlign w:val="bottom"/>
                </w:tcPr>
                <w:p w14:paraId="7954D34E" w14:textId="77777777" w:rsidR="00F05DC7" w:rsidRPr="00911F46" w:rsidRDefault="00F05DC7" w:rsidP="00A3786D">
                  <w:pPr>
                    <w:pStyle w:val="TableBodyText"/>
                  </w:pPr>
                  <w:r w:rsidRPr="00911F46">
                    <w:rPr>
                      <w:color w:val="000000"/>
                    </w:rPr>
                    <w:t>0.48</w:t>
                  </w:r>
                </w:p>
              </w:tc>
              <w:tc>
                <w:tcPr>
                  <w:tcW w:w="555" w:type="pct"/>
                  <w:tcBorders>
                    <w:top w:val="nil"/>
                    <w:left w:val="nil"/>
                    <w:bottom w:val="nil"/>
                    <w:right w:val="nil"/>
                  </w:tcBorders>
                  <w:shd w:val="clear" w:color="auto" w:fill="auto"/>
                  <w:vAlign w:val="bottom"/>
                </w:tcPr>
                <w:p w14:paraId="7954D34F" w14:textId="77777777" w:rsidR="00F05DC7" w:rsidRPr="00911F46" w:rsidRDefault="00F05DC7" w:rsidP="00A3786D">
                  <w:pPr>
                    <w:pStyle w:val="TableBodyText"/>
                  </w:pPr>
                  <w:r>
                    <w:rPr>
                      <w:color w:val="000000"/>
                    </w:rPr>
                    <w:noBreakHyphen/>
                  </w:r>
                  <w:r w:rsidRPr="00911F46">
                    <w:rPr>
                      <w:color w:val="000000"/>
                    </w:rPr>
                    <w:t>0.10</w:t>
                  </w:r>
                </w:p>
              </w:tc>
              <w:tc>
                <w:tcPr>
                  <w:tcW w:w="555" w:type="pct"/>
                  <w:tcBorders>
                    <w:top w:val="nil"/>
                    <w:left w:val="nil"/>
                    <w:bottom w:val="nil"/>
                    <w:right w:val="nil"/>
                  </w:tcBorders>
                  <w:shd w:val="clear" w:color="auto" w:fill="auto"/>
                  <w:vAlign w:val="bottom"/>
                </w:tcPr>
                <w:p w14:paraId="7954D350" w14:textId="77777777" w:rsidR="00F05DC7" w:rsidRPr="00911F46" w:rsidRDefault="00F05DC7" w:rsidP="00A3786D">
                  <w:pPr>
                    <w:pStyle w:val="TableBodyText"/>
                  </w:pPr>
                  <w:r>
                    <w:rPr>
                      <w:color w:val="000000"/>
                    </w:rPr>
                    <w:noBreakHyphen/>
                  </w:r>
                  <w:r w:rsidRPr="00911F46">
                    <w:rPr>
                      <w:color w:val="000000"/>
                    </w:rPr>
                    <w:t>0.09</w:t>
                  </w:r>
                </w:p>
              </w:tc>
              <w:tc>
                <w:tcPr>
                  <w:tcW w:w="555" w:type="pct"/>
                  <w:tcBorders>
                    <w:top w:val="nil"/>
                    <w:left w:val="nil"/>
                    <w:bottom w:val="nil"/>
                    <w:right w:val="nil"/>
                  </w:tcBorders>
                  <w:shd w:val="clear" w:color="auto" w:fill="auto"/>
                  <w:vAlign w:val="bottom"/>
                </w:tcPr>
                <w:p w14:paraId="7954D351" w14:textId="77777777" w:rsidR="00F05DC7" w:rsidRPr="00911F46" w:rsidRDefault="00F05DC7" w:rsidP="00A3786D">
                  <w:pPr>
                    <w:pStyle w:val="TableBodyText"/>
                  </w:pPr>
                  <w:r>
                    <w:rPr>
                      <w:color w:val="000000"/>
                    </w:rPr>
                    <w:noBreakHyphen/>
                  </w:r>
                  <w:r w:rsidRPr="00911F46">
                    <w:rPr>
                      <w:color w:val="000000"/>
                    </w:rPr>
                    <w:t>0.09</w:t>
                  </w:r>
                </w:p>
              </w:tc>
              <w:tc>
                <w:tcPr>
                  <w:tcW w:w="553" w:type="pct"/>
                  <w:tcBorders>
                    <w:top w:val="nil"/>
                    <w:left w:val="nil"/>
                    <w:bottom w:val="nil"/>
                    <w:right w:val="nil"/>
                  </w:tcBorders>
                  <w:shd w:val="clear" w:color="auto" w:fill="auto"/>
                  <w:vAlign w:val="bottom"/>
                </w:tcPr>
                <w:p w14:paraId="7954D352" w14:textId="77777777" w:rsidR="00F05DC7" w:rsidRPr="00911F46" w:rsidRDefault="00F05DC7" w:rsidP="00A3786D">
                  <w:pPr>
                    <w:pStyle w:val="TableBodyText"/>
                  </w:pPr>
                  <w:r>
                    <w:rPr>
                      <w:color w:val="000000"/>
                    </w:rPr>
                    <w:noBreakHyphen/>
                  </w:r>
                  <w:r w:rsidRPr="00911F46">
                    <w:rPr>
                      <w:color w:val="000000"/>
                    </w:rPr>
                    <w:t>0.04</w:t>
                  </w:r>
                </w:p>
              </w:tc>
            </w:tr>
            <w:tr w:rsidR="00F05DC7" w:rsidRPr="00A75ED1" w14:paraId="7954D35D" w14:textId="77777777" w:rsidTr="00A3786D">
              <w:tc>
                <w:tcPr>
                  <w:tcW w:w="556" w:type="pct"/>
                  <w:shd w:val="clear" w:color="auto" w:fill="auto"/>
                </w:tcPr>
                <w:p w14:paraId="7954D354" w14:textId="77777777" w:rsidR="00F05DC7" w:rsidRPr="00911F46" w:rsidRDefault="00F05DC7" w:rsidP="00A3786D">
                  <w:pPr>
                    <w:pStyle w:val="TableBodyText"/>
                  </w:pPr>
                  <w:r w:rsidRPr="00911F46">
                    <w:t>2025</w:t>
                  </w:r>
                  <w:r>
                    <w:noBreakHyphen/>
                  </w:r>
                  <w:r w:rsidRPr="00911F46">
                    <w:t>26</w:t>
                  </w:r>
                </w:p>
              </w:tc>
              <w:tc>
                <w:tcPr>
                  <w:tcW w:w="557" w:type="pct"/>
                  <w:tcBorders>
                    <w:top w:val="nil"/>
                    <w:left w:val="nil"/>
                    <w:bottom w:val="nil"/>
                    <w:right w:val="nil"/>
                  </w:tcBorders>
                  <w:shd w:val="clear" w:color="auto" w:fill="auto"/>
                  <w:vAlign w:val="bottom"/>
                </w:tcPr>
                <w:p w14:paraId="7954D355" w14:textId="77777777" w:rsidR="00F05DC7" w:rsidRPr="00911F46" w:rsidRDefault="00F05DC7" w:rsidP="00A3786D">
                  <w:pPr>
                    <w:pStyle w:val="TableBodyText"/>
                  </w:pPr>
                  <w:r w:rsidRPr="00911F46">
                    <w:rPr>
                      <w:color w:val="000000"/>
                    </w:rPr>
                    <w:t>0.06</w:t>
                  </w:r>
                </w:p>
              </w:tc>
              <w:tc>
                <w:tcPr>
                  <w:tcW w:w="557" w:type="pct"/>
                  <w:tcBorders>
                    <w:top w:val="nil"/>
                    <w:left w:val="nil"/>
                    <w:bottom w:val="nil"/>
                    <w:right w:val="nil"/>
                  </w:tcBorders>
                  <w:shd w:val="clear" w:color="auto" w:fill="auto"/>
                  <w:vAlign w:val="bottom"/>
                </w:tcPr>
                <w:p w14:paraId="7954D356" w14:textId="77777777" w:rsidR="00F05DC7" w:rsidRPr="00911F46" w:rsidRDefault="00F05DC7" w:rsidP="00A3786D">
                  <w:pPr>
                    <w:pStyle w:val="TableBodyText"/>
                  </w:pPr>
                  <w:r>
                    <w:rPr>
                      <w:color w:val="000000"/>
                    </w:rPr>
                    <w:noBreakHyphen/>
                  </w:r>
                  <w:r w:rsidRPr="00911F46">
                    <w:rPr>
                      <w:color w:val="000000"/>
                    </w:rPr>
                    <w:t>0.14</w:t>
                  </w:r>
                </w:p>
              </w:tc>
              <w:tc>
                <w:tcPr>
                  <w:tcW w:w="556" w:type="pct"/>
                  <w:tcBorders>
                    <w:top w:val="nil"/>
                    <w:left w:val="nil"/>
                    <w:bottom w:val="nil"/>
                    <w:right w:val="nil"/>
                  </w:tcBorders>
                  <w:shd w:val="clear" w:color="auto" w:fill="auto"/>
                  <w:vAlign w:val="bottom"/>
                </w:tcPr>
                <w:p w14:paraId="7954D357" w14:textId="77777777" w:rsidR="00F05DC7" w:rsidRPr="00911F46" w:rsidRDefault="00F05DC7" w:rsidP="00A3786D">
                  <w:pPr>
                    <w:pStyle w:val="TableBodyText"/>
                  </w:pPr>
                  <w:r>
                    <w:rPr>
                      <w:color w:val="000000"/>
                    </w:rPr>
                    <w:noBreakHyphen/>
                  </w:r>
                  <w:r w:rsidRPr="00911F46">
                    <w:rPr>
                      <w:color w:val="000000"/>
                    </w:rPr>
                    <w:t>0.11</w:t>
                  </w:r>
                </w:p>
              </w:tc>
              <w:tc>
                <w:tcPr>
                  <w:tcW w:w="556" w:type="pct"/>
                  <w:tcBorders>
                    <w:top w:val="nil"/>
                    <w:left w:val="nil"/>
                    <w:bottom w:val="nil"/>
                    <w:right w:val="nil"/>
                  </w:tcBorders>
                  <w:shd w:val="clear" w:color="auto" w:fill="auto"/>
                  <w:vAlign w:val="bottom"/>
                </w:tcPr>
                <w:p w14:paraId="7954D358" w14:textId="77777777" w:rsidR="00F05DC7" w:rsidRPr="00911F46" w:rsidRDefault="00F05DC7" w:rsidP="00A3786D">
                  <w:pPr>
                    <w:pStyle w:val="TableBodyText"/>
                  </w:pPr>
                  <w:r w:rsidRPr="00911F46">
                    <w:rPr>
                      <w:color w:val="000000"/>
                    </w:rPr>
                    <w:t>0.49</w:t>
                  </w:r>
                </w:p>
              </w:tc>
              <w:tc>
                <w:tcPr>
                  <w:tcW w:w="555" w:type="pct"/>
                  <w:tcBorders>
                    <w:top w:val="nil"/>
                    <w:left w:val="nil"/>
                    <w:bottom w:val="nil"/>
                    <w:right w:val="nil"/>
                  </w:tcBorders>
                  <w:shd w:val="clear" w:color="auto" w:fill="auto"/>
                  <w:vAlign w:val="bottom"/>
                </w:tcPr>
                <w:p w14:paraId="7954D359" w14:textId="77777777" w:rsidR="00F05DC7" w:rsidRPr="00911F46" w:rsidRDefault="00F05DC7" w:rsidP="00A3786D">
                  <w:pPr>
                    <w:pStyle w:val="TableBodyText"/>
                  </w:pPr>
                  <w:r>
                    <w:rPr>
                      <w:color w:val="000000"/>
                    </w:rPr>
                    <w:noBreakHyphen/>
                  </w:r>
                  <w:r w:rsidRPr="00911F46">
                    <w:rPr>
                      <w:color w:val="000000"/>
                    </w:rPr>
                    <w:t>0.10</w:t>
                  </w:r>
                </w:p>
              </w:tc>
              <w:tc>
                <w:tcPr>
                  <w:tcW w:w="555" w:type="pct"/>
                  <w:tcBorders>
                    <w:top w:val="nil"/>
                    <w:left w:val="nil"/>
                    <w:bottom w:val="nil"/>
                    <w:right w:val="nil"/>
                  </w:tcBorders>
                  <w:shd w:val="clear" w:color="auto" w:fill="auto"/>
                  <w:vAlign w:val="bottom"/>
                </w:tcPr>
                <w:p w14:paraId="7954D35A" w14:textId="77777777" w:rsidR="00F05DC7" w:rsidRPr="00911F46" w:rsidRDefault="00F05DC7" w:rsidP="00A3786D">
                  <w:pPr>
                    <w:pStyle w:val="TableBodyText"/>
                  </w:pPr>
                  <w:r>
                    <w:rPr>
                      <w:color w:val="000000"/>
                    </w:rPr>
                    <w:noBreakHyphen/>
                  </w:r>
                  <w:r w:rsidRPr="00911F46">
                    <w:rPr>
                      <w:color w:val="000000"/>
                    </w:rPr>
                    <w:t>0.09</w:t>
                  </w:r>
                </w:p>
              </w:tc>
              <w:tc>
                <w:tcPr>
                  <w:tcW w:w="555" w:type="pct"/>
                  <w:tcBorders>
                    <w:top w:val="nil"/>
                    <w:left w:val="nil"/>
                    <w:bottom w:val="nil"/>
                    <w:right w:val="nil"/>
                  </w:tcBorders>
                  <w:shd w:val="clear" w:color="auto" w:fill="auto"/>
                  <w:vAlign w:val="bottom"/>
                </w:tcPr>
                <w:p w14:paraId="7954D35B" w14:textId="77777777" w:rsidR="00F05DC7" w:rsidRPr="00911F46" w:rsidRDefault="00F05DC7" w:rsidP="00A3786D">
                  <w:pPr>
                    <w:pStyle w:val="TableBodyText"/>
                  </w:pPr>
                  <w:r>
                    <w:rPr>
                      <w:color w:val="000000"/>
                    </w:rPr>
                    <w:noBreakHyphen/>
                  </w:r>
                  <w:r w:rsidRPr="00911F46">
                    <w:rPr>
                      <w:color w:val="000000"/>
                    </w:rPr>
                    <w:t>0.09</w:t>
                  </w:r>
                </w:p>
              </w:tc>
              <w:tc>
                <w:tcPr>
                  <w:tcW w:w="553" w:type="pct"/>
                  <w:tcBorders>
                    <w:top w:val="nil"/>
                    <w:left w:val="nil"/>
                    <w:bottom w:val="nil"/>
                    <w:right w:val="nil"/>
                  </w:tcBorders>
                  <w:shd w:val="clear" w:color="auto" w:fill="auto"/>
                  <w:vAlign w:val="bottom"/>
                </w:tcPr>
                <w:p w14:paraId="7954D35C" w14:textId="77777777" w:rsidR="00F05DC7" w:rsidRPr="00911F46" w:rsidRDefault="00F05DC7" w:rsidP="00A3786D">
                  <w:pPr>
                    <w:pStyle w:val="TableBodyText"/>
                  </w:pPr>
                  <w:r>
                    <w:rPr>
                      <w:color w:val="000000"/>
                    </w:rPr>
                    <w:noBreakHyphen/>
                  </w:r>
                  <w:r w:rsidRPr="00911F46">
                    <w:rPr>
                      <w:color w:val="000000"/>
                    </w:rPr>
                    <w:t>0.04</w:t>
                  </w:r>
                </w:p>
              </w:tc>
            </w:tr>
            <w:tr w:rsidR="00F05DC7" w:rsidRPr="00A75ED1" w14:paraId="7954D367" w14:textId="77777777" w:rsidTr="00A3786D">
              <w:tc>
                <w:tcPr>
                  <w:tcW w:w="556" w:type="pct"/>
                  <w:tcBorders>
                    <w:bottom w:val="single" w:sz="6" w:space="0" w:color="D9D9D9" w:themeColor="background1" w:themeShade="D9"/>
                  </w:tcBorders>
                  <w:shd w:val="clear" w:color="auto" w:fill="auto"/>
                </w:tcPr>
                <w:p w14:paraId="7954D35E" w14:textId="77777777" w:rsidR="00F05DC7" w:rsidRPr="00911F46" w:rsidRDefault="00F05DC7" w:rsidP="00A3786D">
                  <w:pPr>
                    <w:pStyle w:val="TableBodyText"/>
                  </w:pPr>
                  <w:r w:rsidRPr="00911F46">
                    <w:t>2026</w:t>
                  </w:r>
                  <w:r>
                    <w:noBreakHyphen/>
                  </w:r>
                  <w:r w:rsidRPr="00911F46">
                    <w:t>27</w:t>
                  </w:r>
                </w:p>
              </w:tc>
              <w:tc>
                <w:tcPr>
                  <w:tcW w:w="557" w:type="pct"/>
                  <w:tcBorders>
                    <w:top w:val="nil"/>
                    <w:left w:val="nil"/>
                    <w:bottom w:val="single" w:sz="6" w:space="0" w:color="D9D9D9" w:themeColor="background1" w:themeShade="D9"/>
                    <w:right w:val="nil"/>
                  </w:tcBorders>
                  <w:shd w:val="clear" w:color="auto" w:fill="auto"/>
                  <w:vAlign w:val="bottom"/>
                </w:tcPr>
                <w:p w14:paraId="7954D35F" w14:textId="77777777" w:rsidR="00F05DC7" w:rsidRPr="00911F46" w:rsidRDefault="00F05DC7" w:rsidP="00A3786D">
                  <w:pPr>
                    <w:pStyle w:val="TableBodyText"/>
                  </w:pPr>
                  <w:r w:rsidRPr="00911F46">
                    <w:rPr>
                      <w:color w:val="000000"/>
                    </w:rPr>
                    <w:t>0.06</w:t>
                  </w:r>
                </w:p>
              </w:tc>
              <w:tc>
                <w:tcPr>
                  <w:tcW w:w="557" w:type="pct"/>
                  <w:tcBorders>
                    <w:top w:val="nil"/>
                    <w:left w:val="nil"/>
                    <w:bottom w:val="single" w:sz="6" w:space="0" w:color="D9D9D9" w:themeColor="background1" w:themeShade="D9"/>
                    <w:right w:val="nil"/>
                  </w:tcBorders>
                  <w:shd w:val="clear" w:color="auto" w:fill="auto"/>
                  <w:vAlign w:val="bottom"/>
                </w:tcPr>
                <w:p w14:paraId="7954D360" w14:textId="77777777" w:rsidR="00F05DC7" w:rsidRPr="00911F46" w:rsidRDefault="00F05DC7" w:rsidP="00A3786D">
                  <w:pPr>
                    <w:pStyle w:val="TableBodyText"/>
                  </w:pPr>
                  <w:r>
                    <w:rPr>
                      <w:color w:val="000000"/>
                    </w:rPr>
                    <w:noBreakHyphen/>
                  </w:r>
                  <w:r w:rsidRPr="00911F46">
                    <w:rPr>
                      <w:color w:val="000000"/>
                    </w:rPr>
                    <w:t>0.15</w:t>
                  </w:r>
                </w:p>
              </w:tc>
              <w:tc>
                <w:tcPr>
                  <w:tcW w:w="556" w:type="pct"/>
                  <w:tcBorders>
                    <w:top w:val="nil"/>
                    <w:left w:val="nil"/>
                    <w:bottom w:val="single" w:sz="6" w:space="0" w:color="D9D9D9" w:themeColor="background1" w:themeShade="D9"/>
                    <w:right w:val="nil"/>
                  </w:tcBorders>
                  <w:shd w:val="clear" w:color="auto" w:fill="auto"/>
                  <w:vAlign w:val="bottom"/>
                </w:tcPr>
                <w:p w14:paraId="7954D361" w14:textId="77777777" w:rsidR="00F05DC7" w:rsidRPr="00911F46" w:rsidRDefault="00F05DC7" w:rsidP="00A3786D">
                  <w:pPr>
                    <w:pStyle w:val="TableBodyText"/>
                  </w:pPr>
                  <w:r>
                    <w:rPr>
                      <w:color w:val="000000"/>
                    </w:rPr>
                    <w:noBreakHyphen/>
                  </w:r>
                  <w:r w:rsidRPr="00911F46">
                    <w:rPr>
                      <w:color w:val="000000"/>
                    </w:rPr>
                    <w:t>0.12</w:t>
                  </w:r>
                </w:p>
              </w:tc>
              <w:tc>
                <w:tcPr>
                  <w:tcW w:w="556" w:type="pct"/>
                  <w:tcBorders>
                    <w:top w:val="nil"/>
                    <w:left w:val="nil"/>
                    <w:bottom w:val="single" w:sz="6" w:space="0" w:color="D9D9D9" w:themeColor="background1" w:themeShade="D9"/>
                    <w:right w:val="nil"/>
                  </w:tcBorders>
                  <w:shd w:val="clear" w:color="auto" w:fill="auto"/>
                  <w:vAlign w:val="bottom"/>
                </w:tcPr>
                <w:p w14:paraId="7954D362" w14:textId="77777777" w:rsidR="00F05DC7" w:rsidRPr="00911F46" w:rsidRDefault="00F05DC7" w:rsidP="00A3786D">
                  <w:pPr>
                    <w:pStyle w:val="TableBodyText"/>
                  </w:pPr>
                  <w:r w:rsidRPr="00911F46">
                    <w:rPr>
                      <w:color w:val="000000"/>
                    </w:rPr>
                    <w:t>0.50</w:t>
                  </w:r>
                </w:p>
              </w:tc>
              <w:tc>
                <w:tcPr>
                  <w:tcW w:w="555" w:type="pct"/>
                  <w:tcBorders>
                    <w:top w:val="nil"/>
                    <w:left w:val="nil"/>
                    <w:bottom w:val="single" w:sz="6" w:space="0" w:color="D9D9D9" w:themeColor="background1" w:themeShade="D9"/>
                    <w:right w:val="nil"/>
                  </w:tcBorders>
                  <w:shd w:val="clear" w:color="auto" w:fill="auto"/>
                  <w:vAlign w:val="bottom"/>
                </w:tcPr>
                <w:p w14:paraId="7954D363" w14:textId="77777777" w:rsidR="00F05DC7" w:rsidRPr="00911F46" w:rsidRDefault="00F05DC7" w:rsidP="00A3786D">
                  <w:pPr>
                    <w:pStyle w:val="TableBodyText"/>
                  </w:pPr>
                  <w:r>
                    <w:rPr>
                      <w:color w:val="000000"/>
                    </w:rPr>
                    <w:noBreakHyphen/>
                  </w:r>
                  <w:r w:rsidRPr="00911F46">
                    <w:rPr>
                      <w:color w:val="000000"/>
                    </w:rPr>
                    <w:t>0.10</w:t>
                  </w:r>
                </w:p>
              </w:tc>
              <w:tc>
                <w:tcPr>
                  <w:tcW w:w="555" w:type="pct"/>
                  <w:tcBorders>
                    <w:top w:val="nil"/>
                    <w:left w:val="nil"/>
                    <w:bottom w:val="single" w:sz="6" w:space="0" w:color="D9D9D9" w:themeColor="background1" w:themeShade="D9"/>
                    <w:right w:val="nil"/>
                  </w:tcBorders>
                  <w:shd w:val="clear" w:color="auto" w:fill="auto"/>
                  <w:vAlign w:val="bottom"/>
                </w:tcPr>
                <w:p w14:paraId="7954D364" w14:textId="77777777" w:rsidR="00F05DC7" w:rsidRPr="00911F46" w:rsidRDefault="00F05DC7" w:rsidP="00A3786D">
                  <w:pPr>
                    <w:pStyle w:val="TableBodyText"/>
                  </w:pPr>
                  <w:r>
                    <w:rPr>
                      <w:color w:val="000000"/>
                    </w:rPr>
                    <w:noBreakHyphen/>
                  </w:r>
                  <w:r w:rsidRPr="00911F46">
                    <w:rPr>
                      <w:color w:val="000000"/>
                    </w:rPr>
                    <w:t>0.09</w:t>
                  </w:r>
                </w:p>
              </w:tc>
              <w:tc>
                <w:tcPr>
                  <w:tcW w:w="555" w:type="pct"/>
                  <w:tcBorders>
                    <w:top w:val="nil"/>
                    <w:left w:val="nil"/>
                    <w:bottom w:val="single" w:sz="6" w:space="0" w:color="D9D9D9" w:themeColor="background1" w:themeShade="D9"/>
                    <w:right w:val="nil"/>
                  </w:tcBorders>
                  <w:shd w:val="clear" w:color="auto" w:fill="auto"/>
                  <w:vAlign w:val="bottom"/>
                </w:tcPr>
                <w:p w14:paraId="7954D365" w14:textId="77777777" w:rsidR="00F05DC7" w:rsidRPr="00911F46" w:rsidRDefault="00F05DC7" w:rsidP="00A3786D">
                  <w:pPr>
                    <w:pStyle w:val="TableBodyText"/>
                  </w:pPr>
                  <w:r>
                    <w:rPr>
                      <w:color w:val="000000"/>
                    </w:rPr>
                    <w:noBreakHyphen/>
                  </w:r>
                  <w:r w:rsidRPr="00911F46">
                    <w:rPr>
                      <w:color w:val="000000"/>
                    </w:rPr>
                    <w:t>0.09</w:t>
                  </w:r>
                </w:p>
              </w:tc>
              <w:tc>
                <w:tcPr>
                  <w:tcW w:w="553" w:type="pct"/>
                  <w:tcBorders>
                    <w:top w:val="nil"/>
                    <w:left w:val="nil"/>
                    <w:bottom w:val="single" w:sz="6" w:space="0" w:color="D9D9D9" w:themeColor="background1" w:themeShade="D9"/>
                    <w:right w:val="nil"/>
                  </w:tcBorders>
                  <w:shd w:val="clear" w:color="auto" w:fill="auto"/>
                  <w:vAlign w:val="bottom"/>
                </w:tcPr>
                <w:p w14:paraId="7954D366" w14:textId="77777777" w:rsidR="00F05DC7" w:rsidRPr="00911F46" w:rsidRDefault="00F05DC7" w:rsidP="00A3786D">
                  <w:pPr>
                    <w:pStyle w:val="TableBodyText"/>
                  </w:pPr>
                  <w:r>
                    <w:rPr>
                      <w:color w:val="000000"/>
                    </w:rPr>
                    <w:noBreakHyphen/>
                  </w:r>
                  <w:r w:rsidRPr="00911F46">
                    <w:rPr>
                      <w:color w:val="000000"/>
                    </w:rPr>
                    <w:t>0.04</w:t>
                  </w:r>
                </w:p>
              </w:tc>
            </w:tr>
          </w:tbl>
          <w:p w14:paraId="7954D368" w14:textId="77777777" w:rsidR="00F05DC7" w:rsidRPr="006C0046" w:rsidRDefault="00F05DC7" w:rsidP="00A3786D">
            <w:pPr>
              <w:pStyle w:val="Box"/>
              <w:rPr>
                <w:rFonts w:asciiTheme="minorHAnsi" w:hAnsiTheme="minorHAnsi" w:cstheme="minorHAnsi"/>
                <w:sz w:val="18"/>
                <w:szCs w:val="18"/>
              </w:rPr>
            </w:pPr>
          </w:p>
        </w:tc>
      </w:tr>
      <w:tr w:rsidR="00F05DC7" w14:paraId="7954D36B" w14:textId="77777777" w:rsidTr="00A3786D">
        <w:tc>
          <w:tcPr>
            <w:tcW w:w="5000" w:type="pct"/>
            <w:tcBorders>
              <w:top w:val="nil"/>
              <w:left w:val="nil"/>
              <w:bottom w:val="nil"/>
              <w:right w:val="nil"/>
            </w:tcBorders>
            <w:shd w:val="clear" w:color="auto" w:fill="auto"/>
          </w:tcPr>
          <w:p w14:paraId="7954D36A" w14:textId="77777777" w:rsidR="00F05DC7" w:rsidRDefault="00F05DC7" w:rsidP="00A3786D">
            <w:pPr>
              <w:pStyle w:val="Source"/>
            </w:pPr>
            <w:r>
              <w:rPr>
                <w:i/>
              </w:rPr>
              <w:t>Source</w:t>
            </w:r>
            <w:r w:rsidRPr="00167F06">
              <w:t>:</w:t>
            </w:r>
            <w:r>
              <w:t xml:space="preserve"> </w:t>
            </w:r>
            <w:r w:rsidRPr="003A355E">
              <w:t xml:space="preserve">Productivity </w:t>
            </w:r>
            <w:r w:rsidRPr="00676CAE">
              <w:t>Commission estimates.</w:t>
            </w:r>
            <w:r>
              <w:rPr>
                <w:i/>
              </w:rPr>
              <w:t xml:space="preserve"> </w:t>
            </w:r>
          </w:p>
        </w:tc>
      </w:tr>
      <w:tr w:rsidR="00F05DC7" w14:paraId="7954D36D" w14:textId="77777777" w:rsidTr="00A3786D">
        <w:tc>
          <w:tcPr>
            <w:tcW w:w="5000" w:type="pct"/>
            <w:tcBorders>
              <w:top w:val="nil"/>
              <w:left w:val="nil"/>
              <w:bottom w:val="single" w:sz="6" w:space="0" w:color="78A22F"/>
              <w:right w:val="nil"/>
            </w:tcBorders>
            <w:shd w:val="clear" w:color="auto" w:fill="auto"/>
          </w:tcPr>
          <w:p w14:paraId="7954D36C" w14:textId="77777777" w:rsidR="00F05DC7" w:rsidRDefault="00F05DC7" w:rsidP="00A3786D">
            <w:pPr>
              <w:pStyle w:val="Box"/>
              <w:spacing w:before="0" w:line="120" w:lineRule="exact"/>
            </w:pPr>
          </w:p>
        </w:tc>
      </w:tr>
      <w:tr w:rsidR="00F05DC7" w:rsidRPr="000863A5" w14:paraId="7954D36F" w14:textId="77777777" w:rsidTr="00A3786D">
        <w:tc>
          <w:tcPr>
            <w:tcW w:w="5000" w:type="pct"/>
            <w:tcBorders>
              <w:top w:val="single" w:sz="6" w:space="0" w:color="78A22F"/>
              <w:left w:val="nil"/>
              <w:bottom w:val="nil"/>
              <w:right w:val="nil"/>
            </w:tcBorders>
          </w:tcPr>
          <w:p w14:paraId="7954D36E" w14:textId="77777777" w:rsidR="00F05DC7" w:rsidRPr="00626D32" w:rsidRDefault="00F05DC7" w:rsidP="00A3786D">
            <w:pPr>
              <w:pStyle w:val="BoxSpaceBelow"/>
            </w:pPr>
          </w:p>
        </w:tc>
      </w:tr>
    </w:tbl>
    <w:p w14:paraId="7954D370" w14:textId="77777777" w:rsidR="00F05DC7" w:rsidRDefault="00F05DC7" w:rsidP="00A378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05DC7" w14:paraId="7954D373" w14:textId="77777777" w:rsidTr="00A3786D">
        <w:trPr>
          <w:tblHeader/>
        </w:trPr>
        <w:tc>
          <w:tcPr>
            <w:tcW w:w="5000" w:type="pct"/>
            <w:tcBorders>
              <w:top w:val="single" w:sz="6" w:space="0" w:color="78A22F"/>
              <w:left w:val="nil"/>
              <w:bottom w:val="nil"/>
              <w:right w:val="nil"/>
            </w:tcBorders>
            <w:shd w:val="clear" w:color="auto" w:fill="auto"/>
          </w:tcPr>
          <w:p w14:paraId="7954D371" w14:textId="4E9F510E" w:rsidR="00F05DC7" w:rsidRDefault="00F05DC7" w:rsidP="00A3786D">
            <w:pPr>
              <w:pStyle w:val="TableTitle"/>
            </w:pPr>
            <w:r>
              <w:rPr>
                <w:b w:val="0"/>
              </w:rPr>
              <w:t>Table F.A8</w:t>
            </w:r>
            <w:r>
              <w:tab/>
              <w:t>Alternative scenario (current fiscal capacities): yearly budget adjustment due to change to ETA — eight year transition</w:t>
            </w:r>
            <w:r w:rsidDel="00E03FB9">
              <w:t xml:space="preserve"> </w:t>
            </w:r>
          </w:p>
          <w:p w14:paraId="7954D372" w14:textId="77777777" w:rsidR="00F05DC7" w:rsidRPr="00784A05" w:rsidRDefault="00F05DC7" w:rsidP="00A3786D">
            <w:pPr>
              <w:pStyle w:val="Subtitle"/>
            </w:pPr>
            <w:r w:rsidDel="00764598">
              <w:t>Year</w:t>
            </w:r>
            <w:r>
              <w:t>-on-</w:t>
            </w:r>
            <w:r w:rsidDel="00764598">
              <w:t>year c</w:t>
            </w:r>
            <w:r w:rsidRPr="00920444" w:rsidDel="00764598">
              <w:t>hange</w:t>
            </w:r>
            <w:r>
              <w:t xml:space="preserve"> (incremental change from previous year)</w:t>
            </w:r>
            <w:r w:rsidDel="00764598">
              <w:t xml:space="preserve"> in</w:t>
            </w:r>
            <w:r w:rsidRPr="00920444" w:rsidDel="00764598">
              <w:t xml:space="preserve"> GST payment</w:t>
            </w:r>
            <w:r w:rsidDel="00764598">
              <w:t>s</w:t>
            </w:r>
            <w:r>
              <w:t xml:space="preserve"> (relative to the current benchmark)</w:t>
            </w:r>
            <w:r w:rsidDel="00764598">
              <w:t>, eight year transition</w:t>
            </w:r>
          </w:p>
        </w:tc>
      </w:tr>
      <w:tr w:rsidR="00F05DC7" w14:paraId="7954D475" w14:textId="77777777" w:rsidTr="00A378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6"/>
              <w:gridCol w:w="947"/>
              <w:gridCol w:w="947"/>
              <w:gridCol w:w="946"/>
              <w:gridCol w:w="946"/>
              <w:gridCol w:w="944"/>
              <w:gridCol w:w="944"/>
              <w:gridCol w:w="944"/>
              <w:gridCol w:w="941"/>
            </w:tblGrid>
            <w:tr w:rsidR="00F05DC7" w:rsidRPr="00A75ED1" w14:paraId="7954D37D" w14:textId="77777777" w:rsidTr="001113B1">
              <w:trPr>
                <w:tblHeader/>
              </w:trPr>
              <w:tc>
                <w:tcPr>
                  <w:tcW w:w="556" w:type="pct"/>
                  <w:tcBorders>
                    <w:top w:val="single" w:sz="6" w:space="0" w:color="BFBFBF"/>
                    <w:bottom w:val="single" w:sz="6" w:space="0" w:color="BFBFBF"/>
                  </w:tcBorders>
                  <w:shd w:val="clear" w:color="auto" w:fill="auto"/>
                  <w:tcMar>
                    <w:top w:w="28" w:type="dxa"/>
                  </w:tcMar>
                </w:tcPr>
                <w:p w14:paraId="7954D374" w14:textId="77777777" w:rsidR="00F05DC7" w:rsidRPr="00A75ED1" w:rsidRDefault="00F05DC7" w:rsidP="00A3786D">
                  <w:pPr>
                    <w:pStyle w:val="TableColumnHeading"/>
                    <w:jc w:val="left"/>
                    <w:rPr>
                      <w:rFonts w:cs="Arial"/>
                      <w:szCs w:val="18"/>
                    </w:rPr>
                  </w:pPr>
                </w:p>
              </w:tc>
              <w:tc>
                <w:tcPr>
                  <w:tcW w:w="557" w:type="pct"/>
                  <w:tcBorders>
                    <w:top w:val="single" w:sz="6" w:space="0" w:color="BFBFBF"/>
                    <w:bottom w:val="single" w:sz="6" w:space="0" w:color="BFBFBF"/>
                  </w:tcBorders>
                </w:tcPr>
                <w:p w14:paraId="7954D375" w14:textId="77777777" w:rsidR="00F05DC7" w:rsidRPr="00A75ED1" w:rsidRDefault="00F05DC7" w:rsidP="00A3786D">
                  <w:pPr>
                    <w:pStyle w:val="TableColumnHeading"/>
                    <w:rPr>
                      <w:rFonts w:cs="Arial"/>
                      <w:szCs w:val="18"/>
                    </w:rPr>
                  </w:pPr>
                  <w:r w:rsidRPr="00A75ED1">
                    <w:rPr>
                      <w:rFonts w:cs="Arial"/>
                      <w:szCs w:val="18"/>
                    </w:rPr>
                    <w:t>NSW</w:t>
                  </w:r>
                </w:p>
              </w:tc>
              <w:tc>
                <w:tcPr>
                  <w:tcW w:w="557" w:type="pct"/>
                  <w:tcBorders>
                    <w:top w:val="single" w:sz="6" w:space="0" w:color="BFBFBF"/>
                    <w:bottom w:val="single" w:sz="6" w:space="0" w:color="BFBFBF"/>
                  </w:tcBorders>
                </w:tcPr>
                <w:p w14:paraId="7954D376" w14:textId="77777777" w:rsidR="00F05DC7" w:rsidRPr="00A75ED1" w:rsidRDefault="00F05DC7" w:rsidP="00A3786D">
                  <w:pPr>
                    <w:pStyle w:val="TableColumnHeading"/>
                    <w:rPr>
                      <w:rFonts w:cs="Arial"/>
                      <w:szCs w:val="18"/>
                    </w:rPr>
                  </w:pPr>
                  <w:r w:rsidRPr="00A75ED1">
                    <w:rPr>
                      <w:rFonts w:cs="Arial"/>
                      <w:szCs w:val="18"/>
                    </w:rPr>
                    <w:t>Vic</w:t>
                  </w:r>
                </w:p>
              </w:tc>
              <w:tc>
                <w:tcPr>
                  <w:tcW w:w="556" w:type="pct"/>
                  <w:tcBorders>
                    <w:top w:val="single" w:sz="6" w:space="0" w:color="BFBFBF"/>
                    <w:bottom w:val="single" w:sz="6" w:space="0" w:color="BFBFBF"/>
                  </w:tcBorders>
                </w:tcPr>
                <w:p w14:paraId="7954D377" w14:textId="77777777" w:rsidR="00F05DC7" w:rsidRPr="00A75ED1" w:rsidRDefault="00F05DC7" w:rsidP="00A3786D">
                  <w:pPr>
                    <w:pStyle w:val="TableColumnHeading"/>
                    <w:rPr>
                      <w:rFonts w:cs="Arial"/>
                      <w:szCs w:val="18"/>
                    </w:rPr>
                  </w:pPr>
                  <w:r w:rsidRPr="00A75ED1">
                    <w:rPr>
                      <w:rFonts w:cs="Arial"/>
                      <w:szCs w:val="18"/>
                    </w:rPr>
                    <w:t>Qld</w:t>
                  </w:r>
                </w:p>
              </w:tc>
              <w:tc>
                <w:tcPr>
                  <w:tcW w:w="556" w:type="pct"/>
                  <w:tcBorders>
                    <w:top w:val="single" w:sz="6" w:space="0" w:color="BFBFBF"/>
                    <w:bottom w:val="single" w:sz="6" w:space="0" w:color="BFBFBF"/>
                  </w:tcBorders>
                </w:tcPr>
                <w:p w14:paraId="7954D378" w14:textId="77777777" w:rsidR="00F05DC7" w:rsidRPr="00A75ED1" w:rsidRDefault="00F05DC7" w:rsidP="00A3786D">
                  <w:pPr>
                    <w:pStyle w:val="TableColumnHeading"/>
                    <w:rPr>
                      <w:rFonts w:cs="Arial"/>
                      <w:szCs w:val="18"/>
                    </w:rPr>
                  </w:pPr>
                  <w:r w:rsidRPr="00A75ED1">
                    <w:rPr>
                      <w:rFonts w:cs="Arial"/>
                      <w:szCs w:val="18"/>
                    </w:rPr>
                    <w:t>WA</w:t>
                  </w:r>
                </w:p>
              </w:tc>
              <w:tc>
                <w:tcPr>
                  <w:tcW w:w="555" w:type="pct"/>
                  <w:tcBorders>
                    <w:top w:val="single" w:sz="6" w:space="0" w:color="BFBFBF"/>
                    <w:bottom w:val="single" w:sz="6" w:space="0" w:color="BFBFBF"/>
                  </w:tcBorders>
                </w:tcPr>
                <w:p w14:paraId="7954D379" w14:textId="77777777" w:rsidR="00F05DC7" w:rsidRPr="00A75ED1" w:rsidRDefault="00F05DC7" w:rsidP="00A3786D">
                  <w:pPr>
                    <w:pStyle w:val="TableColumnHeading"/>
                    <w:rPr>
                      <w:rFonts w:cs="Arial"/>
                      <w:szCs w:val="18"/>
                    </w:rPr>
                  </w:pPr>
                  <w:r w:rsidRPr="00A75ED1">
                    <w:rPr>
                      <w:rFonts w:cs="Arial"/>
                      <w:szCs w:val="18"/>
                    </w:rPr>
                    <w:t>SA</w:t>
                  </w:r>
                </w:p>
              </w:tc>
              <w:tc>
                <w:tcPr>
                  <w:tcW w:w="555" w:type="pct"/>
                  <w:tcBorders>
                    <w:top w:val="single" w:sz="6" w:space="0" w:color="BFBFBF"/>
                    <w:bottom w:val="single" w:sz="6" w:space="0" w:color="BFBFBF"/>
                  </w:tcBorders>
                </w:tcPr>
                <w:p w14:paraId="7954D37A" w14:textId="77777777" w:rsidR="00F05DC7" w:rsidRPr="00A75ED1" w:rsidRDefault="00F05DC7" w:rsidP="00A3786D">
                  <w:pPr>
                    <w:pStyle w:val="TableColumnHeading"/>
                    <w:rPr>
                      <w:rFonts w:cs="Arial"/>
                      <w:szCs w:val="18"/>
                    </w:rPr>
                  </w:pPr>
                  <w:r w:rsidRPr="00A75ED1">
                    <w:rPr>
                      <w:rFonts w:cs="Arial"/>
                      <w:szCs w:val="18"/>
                    </w:rPr>
                    <w:t>Tas</w:t>
                  </w:r>
                </w:p>
              </w:tc>
              <w:tc>
                <w:tcPr>
                  <w:tcW w:w="555" w:type="pct"/>
                  <w:tcBorders>
                    <w:top w:val="single" w:sz="6" w:space="0" w:color="BFBFBF"/>
                    <w:bottom w:val="single" w:sz="6" w:space="0" w:color="BFBFBF"/>
                  </w:tcBorders>
                  <w:shd w:val="clear" w:color="auto" w:fill="auto"/>
                  <w:tcMar>
                    <w:top w:w="28" w:type="dxa"/>
                  </w:tcMar>
                </w:tcPr>
                <w:p w14:paraId="7954D37B" w14:textId="77777777" w:rsidR="00F05DC7" w:rsidRPr="00A75ED1" w:rsidRDefault="00F05DC7" w:rsidP="00A3786D">
                  <w:pPr>
                    <w:pStyle w:val="TableColumnHeading"/>
                    <w:rPr>
                      <w:rFonts w:cs="Arial"/>
                      <w:szCs w:val="18"/>
                    </w:rPr>
                  </w:pPr>
                  <w:r w:rsidRPr="00A75ED1">
                    <w:rPr>
                      <w:rFonts w:cs="Arial"/>
                      <w:szCs w:val="18"/>
                    </w:rPr>
                    <w:t>ACT</w:t>
                  </w:r>
                </w:p>
              </w:tc>
              <w:tc>
                <w:tcPr>
                  <w:tcW w:w="553" w:type="pct"/>
                  <w:tcBorders>
                    <w:top w:val="single" w:sz="6" w:space="0" w:color="BFBFBF"/>
                    <w:bottom w:val="single" w:sz="6" w:space="0" w:color="BFBFBF"/>
                  </w:tcBorders>
                  <w:shd w:val="clear" w:color="auto" w:fill="auto"/>
                  <w:tcMar>
                    <w:top w:w="28" w:type="dxa"/>
                  </w:tcMar>
                </w:tcPr>
                <w:p w14:paraId="7954D37C" w14:textId="77777777" w:rsidR="00F05DC7" w:rsidRPr="00A75ED1" w:rsidRDefault="00F05DC7" w:rsidP="00A3786D">
                  <w:pPr>
                    <w:pStyle w:val="TableColumnHeading"/>
                    <w:ind w:right="28"/>
                    <w:rPr>
                      <w:rFonts w:cs="Arial"/>
                      <w:szCs w:val="18"/>
                    </w:rPr>
                  </w:pPr>
                  <w:r w:rsidRPr="00A75ED1">
                    <w:rPr>
                      <w:rFonts w:cs="Arial"/>
                      <w:szCs w:val="18"/>
                    </w:rPr>
                    <w:t>NT</w:t>
                  </w:r>
                </w:p>
              </w:tc>
            </w:tr>
            <w:tr w:rsidR="00F05DC7" w:rsidRPr="00A75ED1" w14:paraId="7954D37F" w14:textId="77777777" w:rsidTr="001113B1">
              <w:tc>
                <w:tcPr>
                  <w:tcW w:w="5000" w:type="pct"/>
                  <w:gridSpan w:val="9"/>
                  <w:tcBorders>
                    <w:top w:val="single" w:sz="6" w:space="0" w:color="BFBFBF"/>
                  </w:tcBorders>
                  <w:shd w:val="clear" w:color="auto" w:fill="F2F2F2" w:themeFill="background1" w:themeFillShade="F2"/>
                </w:tcPr>
                <w:p w14:paraId="7954D37E" w14:textId="77777777" w:rsidR="00F05DC7" w:rsidRPr="00A75ED1" w:rsidRDefault="00F05DC7" w:rsidP="00A3786D">
                  <w:pPr>
                    <w:pStyle w:val="TableUnitsRow"/>
                    <w:ind w:right="28"/>
                    <w:jc w:val="left"/>
                    <w:rPr>
                      <w:rFonts w:cs="Arial"/>
                      <w:szCs w:val="18"/>
                    </w:rPr>
                  </w:pPr>
                  <w:r w:rsidRPr="00A75ED1">
                    <w:rPr>
                      <w:rFonts w:cs="Arial"/>
                      <w:szCs w:val="18"/>
                    </w:rPr>
                    <w:t>$ million</w:t>
                  </w:r>
                </w:p>
              </w:tc>
            </w:tr>
            <w:tr w:rsidR="00F05DC7" w:rsidRPr="00A75ED1" w14:paraId="7954D389" w14:textId="77777777" w:rsidTr="001113B1">
              <w:tc>
                <w:tcPr>
                  <w:tcW w:w="556" w:type="pct"/>
                  <w:vAlign w:val="bottom"/>
                </w:tcPr>
                <w:p w14:paraId="7954D380" w14:textId="77777777" w:rsidR="00F05DC7" w:rsidRPr="00A75ED1" w:rsidRDefault="00F05DC7" w:rsidP="00A3786D">
                  <w:pPr>
                    <w:pStyle w:val="TableBodyText"/>
                    <w:rPr>
                      <w:rFonts w:cs="Arial"/>
                      <w:szCs w:val="18"/>
                    </w:rPr>
                  </w:pPr>
                  <w:r w:rsidRPr="00A75ED1">
                    <w:rPr>
                      <w:rFonts w:cs="Arial"/>
                      <w:szCs w:val="18"/>
                    </w:rPr>
                    <w:t>2019</w:t>
                  </w:r>
                  <w:r>
                    <w:rPr>
                      <w:rFonts w:cs="Arial"/>
                      <w:szCs w:val="18"/>
                    </w:rPr>
                    <w:noBreakHyphen/>
                  </w:r>
                  <w:r w:rsidRPr="00A75ED1">
                    <w:rPr>
                      <w:rFonts w:cs="Arial"/>
                      <w:szCs w:val="18"/>
                    </w:rPr>
                    <w:t>20</w:t>
                  </w:r>
                </w:p>
              </w:tc>
              <w:tc>
                <w:tcPr>
                  <w:tcW w:w="557" w:type="pct"/>
                  <w:tcBorders>
                    <w:top w:val="nil"/>
                    <w:left w:val="nil"/>
                    <w:bottom w:val="nil"/>
                    <w:right w:val="nil"/>
                  </w:tcBorders>
                  <w:shd w:val="clear" w:color="auto" w:fill="FFFFFF" w:themeFill="background1"/>
                  <w:vAlign w:val="bottom"/>
                </w:tcPr>
                <w:p w14:paraId="7954D381" w14:textId="77777777" w:rsidR="00F05DC7" w:rsidRPr="00A75ED1" w:rsidRDefault="00F05DC7" w:rsidP="00A3786D">
                  <w:pPr>
                    <w:pStyle w:val="TableBodyText"/>
                    <w:rPr>
                      <w:rFonts w:cs="Arial"/>
                      <w:szCs w:val="18"/>
                    </w:rPr>
                  </w:pPr>
                  <w:r w:rsidRPr="00A75ED1">
                    <w:rPr>
                      <w:rFonts w:cs="Arial"/>
                      <w:color w:val="000000"/>
                      <w:szCs w:val="18"/>
                    </w:rPr>
                    <w:t>108</w:t>
                  </w:r>
                </w:p>
              </w:tc>
              <w:tc>
                <w:tcPr>
                  <w:tcW w:w="557" w:type="pct"/>
                  <w:tcBorders>
                    <w:top w:val="nil"/>
                    <w:left w:val="nil"/>
                    <w:bottom w:val="nil"/>
                    <w:right w:val="nil"/>
                  </w:tcBorders>
                  <w:shd w:val="clear" w:color="auto" w:fill="FFFFFF" w:themeFill="background1"/>
                  <w:vAlign w:val="bottom"/>
                </w:tcPr>
                <w:p w14:paraId="7954D38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205</w:t>
                  </w:r>
                </w:p>
              </w:tc>
              <w:tc>
                <w:tcPr>
                  <w:tcW w:w="556" w:type="pct"/>
                  <w:tcBorders>
                    <w:top w:val="nil"/>
                    <w:left w:val="nil"/>
                    <w:bottom w:val="nil"/>
                    <w:right w:val="nil"/>
                  </w:tcBorders>
                  <w:shd w:val="clear" w:color="auto" w:fill="FFFFFF" w:themeFill="background1"/>
                  <w:vAlign w:val="bottom"/>
                </w:tcPr>
                <w:p w14:paraId="7954D38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176</w:t>
                  </w:r>
                </w:p>
              </w:tc>
              <w:tc>
                <w:tcPr>
                  <w:tcW w:w="556" w:type="pct"/>
                  <w:tcBorders>
                    <w:top w:val="nil"/>
                    <w:left w:val="nil"/>
                    <w:bottom w:val="nil"/>
                    <w:right w:val="nil"/>
                  </w:tcBorders>
                  <w:shd w:val="clear" w:color="auto" w:fill="FFFFFF" w:themeFill="background1"/>
                  <w:vAlign w:val="bottom"/>
                </w:tcPr>
                <w:p w14:paraId="7954D384" w14:textId="77777777" w:rsidR="00F05DC7" w:rsidRPr="00A75ED1" w:rsidRDefault="00F05DC7" w:rsidP="00A3786D">
                  <w:pPr>
                    <w:pStyle w:val="TableBodyText"/>
                    <w:rPr>
                      <w:rFonts w:cs="Arial"/>
                      <w:szCs w:val="18"/>
                    </w:rPr>
                  </w:pPr>
                  <w:r w:rsidRPr="00A75ED1">
                    <w:rPr>
                      <w:rFonts w:cs="Arial"/>
                      <w:color w:val="000000"/>
                      <w:szCs w:val="18"/>
                    </w:rPr>
                    <w:t>375</w:t>
                  </w:r>
                </w:p>
              </w:tc>
              <w:tc>
                <w:tcPr>
                  <w:tcW w:w="555" w:type="pct"/>
                  <w:tcBorders>
                    <w:top w:val="nil"/>
                    <w:left w:val="nil"/>
                    <w:bottom w:val="nil"/>
                    <w:right w:val="nil"/>
                  </w:tcBorders>
                  <w:shd w:val="clear" w:color="auto" w:fill="FFFFFF" w:themeFill="background1"/>
                  <w:vAlign w:val="bottom"/>
                </w:tcPr>
                <w:p w14:paraId="7954D38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61</w:t>
                  </w:r>
                </w:p>
              </w:tc>
              <w:tc>
                <w:tcPr>
                  <w:tcW w:w="555" w:type="pct"/>
                  <w:tcBorders>
                    <w:top w:val="nil"/>
                    <w:left w:val="nil"/>
                    <w:bottom w:val="nil"/>
                    <w:right w:val="nil"/>
                  </w:tcBorders>
                  <w:shd w:val="clear" w:color="auto" w:fill="FFFFFF" w:themeFill="background1"/>
                  <w:vAlign w:val="bottom"/>
                </w:tcPr>
                <w:p w14:paraId="7954D38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w:t>
                  </w:r>
                </w:p>
              </w:tc>
              <w:tc>
                <w:tcPr>
                  <w:tcW w:w="555" w:type="pct"/>
                  <w:tcBorders>
                    <w:top w:val="nil"/>
                    <w:left w:val="nil"/>
                    <w:bottom w:val="nil"/>
                    <w:right w:val="nil"/>
                  </w:tcBorders>
                  <w:shd w:val="clear" w:color="auto" w:fill="FFFFFF" w:themeFill="background1"/>
                  <w:vAlign w:val="bottom"/>
                </w:tcPr>
                <w:p w14:paraId="7954D38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15</w:t>
                  </w:r>
                </w:p>
              </w:tc>
              <w:tc>
                <w:tcPr>
                  <w:tcW w:w="553" w:type="pct"/>
                  <w:tcBorders>
                    <w:top w:val="nil"/>
                    <w:left w:val="nil"/>
                    <w:bottom w:val="nil"/>
                    <w:right w:val="nil"/>
                  </w:tcBorders>
                  <w:shd w:val="clear" w:color="auto" w:fill="FFFFFF" w:themeFill="background1"/>
                  <w:vAlign w:val="bottom"/>
                </w:tcPr>
                <w:p w14:paraId="7954D38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w:t>
                  </w:r>
                </w:p>
              </w:tc>
            </w:tr>
            <w:tr w:rsidR="00F05DC7" w:rsidRPr="00A75ED1" w14:paraId="7954D393" w14:textId="77777777" w:rsidTr="001113B1">
              <w:tc>
                <w:tcPr>
                  <w:tcW w:w="556" w:type="pct"/>
                  <w:vAlign w:val="bottom"/>
                </w:tcPr>
                <w:p w14:paraId="7954D38A" w14:textId="77777777" w:rsidR="00F05DC7" w:rsidRPr="00A75ED1" w:rsidRDefault="00F05DC7" w:rsidP="00A3786D">
                  <w:pPr>
                    <w:pStyle w:val="TableBodyText"/>
                    <w:rPr>
                      <w:rFonts w:cs="Arial"/>
                      <w:szCs w:val="18"/>
                    </w:rPr>
                  </w:pPr>
                  <w:r w:rsidRPr="00A75ED1">
                    <w:rPr>
                      <w:rFonts w:cs="Arial"/>
                      <w:szCs w:val="18"/>
                    </w:rPr>
                    <w:t>2020</w:t>
                  </w:r>
                  <w:r>
                    <w:rPr>
                      <w:rFonts w:cs="Arial"/>
                      <w:szCs w:val="18"/>
                    </w:rPr>
                    <w:noBreakHyphen/>
                  </w:r>
                  <w:r w:rsidRPr="00A75ED1">
                    <w:rPr>
                      <w:rFonts w:cs="Arial"/>
                      <w:szCs w:val="18"/>
                    </w:rPr>
                    <w:t>21</w:t>
                  </w:r>
                </w:p>
              </w:tc>
              <w:tc>
                <w:tcPr>
                  <w:tcW w:w="557" w:type="pct"/>
                  <w:tcBorders>
                    <w:top w:val="nil"/>
                    <w:left w:val="nil"/>
                    <w:bottom w:val="nil"/>
                    <w:right w:val="nil"/>
                  </w:tcBorders>
                  <w:shd w:val="clear" w:color="auto" w:fill="FFFFFF" w:themeFill="background1"/>
                  <w:vAlign w:val="bottom"/>
                </w:tcPr>
                <w:p w14:paraId="7954D38B" w14:textId="77777777" w:rsidR="00F05DC7" w:rsidRPr="00A75ED1" w:rsidRDefault="00F05DC7" w:rsidP="00A3786D">
                  <w:pPr>
                    <w:pStyle w:val="TableBodyText"/>
                    <w:rPr>
                      <w:rFonts w:cs="Arial"/>
                      <w:szCs w:val="18"/>
                    </w:rPr>
                  </w:pPr>
                  <w:r w:rsidRPr="00A75ED1">
                    <w:rPr>
                      <w:rFonts w:cs="Arial"/>
                      <w:color w:val="000000"/>
                      <w:szCs w:val="18"/>
                    </w:rPr>
                    <w:t>120</w:t>
                  </w:r>
                </w:p>
              </w:tc>
              <w:tc>
                <w:tcPr>
                  <w:tcW w:w="557" w:type="pct"/>
                  <w:tcBorders>
                    <w:top w:val="nil"/>
                    <w:left w:val="nil"/>
                    <w:bottom w:val="nil"/>
                    <w:right w:val="nil"/>
                  </w:tcBorders>
                  <w:shd w:val="clear" w:color="auto" w:fill="FFFFFF" w:themeFill="background1"/>
                  <w:vAlign w:val="bottom"/>
                </w:tcPr>
                <w:p w14:paraId="7954D38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229</w:t>
                  </w:r>
                </w:p>
              </w:tc>
              <w:tc>
                <w:tcPr>
                  <w:tcW w:w="556" w:type="pct"/>
                  <w:tcBorders>
                    <w:top w:val="nil"/>
                    <w:left w:val="nil"/>
                    <w:bottom w:val="nil"/>
                    <w:right w:val="nil"/>
                  </w:tcBorders>
                  <w:shd w:val="clear" w:color="auto" w:fill="FFFFFF" w:themeFill="background1"/>
                  <w:vAlign w:val="bottom"/>
                </w:tcPr>
                <w:p w14:paraId="7954D38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193</w:t>
                  </w:r>
                </w:p>
              </w:tc>
              <w:tc>
                <w:tcPr>
                  <w:tcW w:w="556" w:type="pct"/>
                  <w:tcBorders>
                    <w:top w:val="nil"/>
                    <w:left w:val="nil"/>
                    <w:bottom w:val="nil"/>
                    <w:right w:val="nil"/>
                  </w:tcBorders>
                  <w:shd w:val="clear" w:color="auto" w:fill="FFFFFF" w:themeFill="background1"/>
                  <w:vAlign w:val="bottom"/>
                </w:tcPr>
                <w:p w14:paraId="7954D38E" w14:textId="77777777" w:rsidR="00F05DC7" w:rsidRPr="00A75ED1" w:rsidRDefault="00F05DC7" w:rsidP="00A3786D">
                  <w:pPr>
                    <w:pStyle w:val="TableBodyText"/>
                    <w:rPr>
                      <w:rFonts w:cs="Arial"/>
                      <w:szCs w:val="18"/>
                    </w:rPr>
                  </w:pPr>
                  <w:r w:rsidRPr="00A75ED1">
                    <w:rPr>
                      <w:rFonts w:cs="Arial"/>
                      <w:color w:val="000000"/>
                      <w:szCs w:val="18"/>
                    </w:rPr>
                    <w:t>412</w:t>
                  </w:r>
                </w:p>
              </w:tc>
              <w:tc>
                <w:tcPr>
                  <w:tcW w:w="555" w:type="pct"/>
                  <w:tcBorders>
                    <w:top w:val="nil"/>
                    <w:left w:val="nil"/>
                    <w:bottom w:val="nil"/>
                    <w:right w:val="nil"/>
                  </w:tcBorders>
                  <w:shd w:val="clear" w:color="auto" w:fill="FFFFFF" w:themeFill="background1"/>
                  <w:vAlign w:val="bottom"/>
                </w:tcPr>
                <w:p w14:paraId="7954D38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66</w:t>
                  </w:r>
                </w:p>
              </w:tc>
              <w:tc>
                <w:tcPr>
                  <w:tcW w:w="555" w:type="pct"/>
                  <w:tcBorders>
                    <w:top w:val="nil"/>
                    <w:left w:val="nil"/>
                    <w:bottom w:val="nil"/>
                    <w:right w:val="nil"/>
                  </w:tcBorders>
                  <w:shd w:val="clear" w:color="auto" w:fill="FFFFFF" w:themeFill="background1"/>
                  <w:vAlign w:val="bottom"/>
                </w:tcPr>
                <w:p w14:paraId="7954D39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20</w:t>
                  </w:r>
                </w:p>
              </w:tc>
              <w:tc>
                <w:tcPr>
                  <w:tcW w:w="555" w:type="pct"/>
                  <w:tcBorders>
                    <w:top w:val="nil"/>
                    <w:left w:val="nil"/>
                    <w:bottom w:val="nil"/>
                    <w:right w:val="nil"/>
                  </w:tcBorders>
                  <w:shd w:val="clear" w:color="auto" w:fill="FFFFFF" w:themeFill="background1"/>
                  <w:vAlign w:val="bottom"/>
                </w:tcPr>
                <w:p w14:paraId="7954D39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16</w:t>
                  </w:r>
                </w:p>
              </w:tc>
              <w:tc>
                <w:tcPr>
                  <w:tcW w:w="553" w:type="pct"/>
                  <w:tcBorders>
                    <w:top w:val="nil"/>
                    <w:left w:val="nil"/>
                    <w:bottom w:val="nil"/>
                    <w:right w:val="nil"/>
                  </w:tcBorders>
                  <w:shd w:val="clear" w:color="auto" w:fill="FFFFFF" w:themeFill="background1"/>
                  <w:vAlign w:val="bottom"/>
                </w:tcPr>
                <w:p w14:paraId="7954D39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w:t>
                  </w:r>
                </w:p>
              </w:tc>
            </w:tr>
            <w:tr w:rsidR="00F05DC7" w:rsidRPr="00A75ED1" w14:paraId="7954D39D" w14:textId="77777777" w:rsidTr="001113B1">
              <w:tc>
                <w:tcPr>
                  <w:tcW w:w="556" w:type="pct"/>
                  <w:vAlign w:val="bottom"/>
                </w:tcPr>
                <w:p w14:paraId="7954D394" w14:textId="77777777" w:rsidR="00F05DC7" w:rsidRPr="00A75ED1" w:rsidRDefault="00F05DC7" w:rsidP="00A3786D">
                  <w:pPr>
                    <w:pStyle w:val="TableBodyText"/>
                    <w:rPr>
                      <w:rFonts w:cs="Arial"/>
                      <w:szCs w:val="18"/>
                    </w:rPr>
                  </w:pPr>
                  <w:r w:rsidRPr="00A75ED1">
                    <w:rPr>
                      <w:rFonts w:cs="Arial"/>
                      <w:szCs w:val="18"/>
                    </w:rPr>
                    <w:t>2021</w:t>
                  </w:r>
                  <w:r>
                    <w:rPr>
                      <w:rFonts w:cs="Arial"/>
                      <w:szCs w:val="18"/>
                    </w:rPr>
                    <w:noBreakHyphen/>
                  </w:r>
                  <w:r w:rsidRPr="00A75ED1">
                    <w:rPr>
                      <w:rFonts w:cs="Arial"/>
                      <w:szCs w:val="18"/>
                    </w:rPr>
                    <w:t>22</w:t>
                  </w:r>
                </w:p>
              </w:tc>
              <w:tc>
                <w:tcPr>
                  <w:tcW w:w="557" w:type="pct"/>
                  <w:tcBorders>
                    <w:top w:val="nil"/>
                    <w:left w:val="nil"/>
                    <w:bottom w:val="nil"/>
                    <w:right w:val="nil"/>
                  </w:tcBorders>
                  <w:shd w:val="clear" w:color="auto" w:fill="FFFFFF" w:themeFill="background1"/>
                  <w:vAlign w:val="bottom"/>
                </w:tcPr>
                <w:p w14:paraId="7954D395" w14:textId="77777777" w:rsidR="00F05DC7" w:rsidRPr="00A75ED1" w:rsidRDefault="00F05DC7" w:rsidP="00A3786D">
                  <w:pPr>
                    <w:pStyle w:val="TableBodyText"/>
                    <w:rPr>
                      <w:rFonts w:cs="Arial"/>
                      <w:szCs w:val="18"/>
                    </w:rPr>
                  </w:pPr>
                  <w:r w:rsidRPr="00A75ED1">
                    <w:rPr>
                      <w:rFonts w:cs="Arial"/>
                      <w:color w:val="000000"/>
                      <w:szCs w:val="18"/>
                    </w:rPr>
                    <w:t>133</w:t>
                  </w:r>
                </w:p>
              </w:tc>
              <w:tc>
                <w:tcPr>
                  <w:tcW w:w="557" w:type="pct"/>
                  <w:tcBorders>
                    <w:top w:val="nil"/>
                    <w:left w:val="nil"/>
                    <w:bottom w:val="nil"/>
                    <w:right w:val="nil"/>
                  </w:tcBorders>
                  <w:shd w:val="clear" w:color="auto" w:fill="FFFFFF" w:themeFill="background1"/>
                  <w:vAlign w:val="bottom"/>
                </w:tcPr>
                <w:p w14:paraId="7954D39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255</w:t>
                  </w:r>
                </w:p>
              </w:tc>
              <w:tc>
                <w:tcPr>
                  <w:tcW w:w="556" w:type="pct"/>
                  <w:tcBorders>
                    <w:top w:val="nil"/>
                    <w:left w:val="nil"/>
                    <w:bottom w:val="nil"/>
                    <w:right w:val="nil"/>
                  </w:tcBorders>
                  <w:shd w:val="clear" w:color="auto" w:fill="FFFFFF" w:themeFill="background1"/>
                  <w:vAlign w:val="bottom"/>
                </w:tcPr>
                <w:p w14:paraId="7954D39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210</w:t>
                  </w:r>
                </w:p>
              </w:tc>
              <w:tc>
                <w:tcPr>
                  <w:tcW w:w="556" w:type="pct"/>
                  <w:tcBorders>
                    <w:top w:val="nil"/>
                    <w:left w:val="nil"/>
                    <w:bottom w:val="nil"/>
                    <w:right w:val="nil"/>
                  </w:tcBorders>
                  <w:shd w:val="clear" w:color="auto" w:fill="FFFFFF" w:themeFill="background1"/>
                  <w:vAlign w:val="bottom"/>
                </w:tcPr>
                <w:p w14:paraId="7954D398" w14:textId="77777777" w:rsidR="00F05DC7" w:rsidRPr="00A75ED1" w:rsidRDefault="00F05DC7" w:rsidP="00A3786D">
                  <w:pPr>
                    <w:pStyle w:val="TableBodyText"/>
                    <w:rPr>
                      <w:rFonts w:cs="Arial"/>
                      <w:szCs w:val="18"/>
                    </w:rPr>
                  </w:pPr>
                  <w:r w:rsidRPr="00A75ED1">
                    <w:rPr>
                      <w:rFonts w:cs="Arial"/>
                      <w:color w:val="000000"/>
                      <w:szCs w:val="18"/>
                    </w:rPr>
                    <w:t>451</w:t>
                  </w:r>
                </w:p>
              </w:tc>
              <w:tc>
                <w:tcPr>
                  <w:tcW w:w="555" w:type="pct"/>
                  <w:tcBorders>
                    <w:top w:val="nil"/>
                    <w:left w:val="nil"/>
                    <w:bottom w:val="nil"/>
                    <w:right w:val="nil"/>
                  </w:tcBorders>
                  <w:shd w:val="clear" w:color="auto" w:fill="FFFFFF" w:themeFill="background1"/>
                  <w:vAlign w:val="bottom"/>
                </w:tcPr>
                <w:p w14:paraId="7954D39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70</w:t>
                  </w:r>
                </w:p>
              </w:tc>
              <w:tc>
                <w:tcPr>
                  <w:tcW w:w="555" w:type="pct"/>
                  <w:tcBorders>
                    <w:top w:val="nil"/>
                    <w:left w:val="nil"/>
                    <w:bottom w:val="nil"/>
                    <w:right w:val="nil"/>
                  </w:tcBorders>
                  <w:shd w:val="clear" w:color="auto" w:fill="FFFFFF" w:themeFill="background1"/>
                  <w:vAlign w:val="bottom"/>
                </w:tcPr>
                <w:p w14:paraId="7954D39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21</w:t>
                  </w:r>
                </w:p>
              </w:tc>
              <w:tc>
                <w:tcPr>
                  <w:tcW w:w="555" w:type="pct"/>
                  <w:tcBorders>
                    <w:top w:val="nil"/>
                    <w:left w:val="nil"/>
                    <w:bottom w:val="nil"/>
                    <w:right w:val="nil"/>
                  </w:tcBorders>
                  <w:shd w:val="clear" w:color="auto" w:fill="FFFFFF" w:themeFill="background1"/>
                  <w:vAlign w:val="bottom"/>
                </w:tcPr>
                <w:p w14:paraId="7954D39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18</w:t>
                  </w:r>
                </w:p>
              </w:tc>
              <w:tc>
                <w:tcPr>
                  <w:tcW w:w="553" w:type="pct"/>
                  <w:tcBorders>
                    <w:top w:val="nil"/>
                    <w:left w:val="nil"/>
                    <w:bottom w:val="nil"/>
                    <w:right w:val="nil"/>
                  </w:tcBorders>
                  <w:shd w:val="clear" w:color="auto" w:fill="FFFFFF" w:themeFill="background1"/>
                  <w:vAlign w:val="bottom"/>
                </w:tcPr>
                <w:p w14:paraId="7954D39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w:t>
                  </w:r>
                </w:p>
              </w:tc>
            </w:tr>
            <w:tr w:rsidR="00F05DC7" w:rsidRPr="00A75ED1" w14:paraId="7954D3A7" w14:textId="77777777" w:rsidTr="001113B1">
              <w:tc>
                <w:tcPr>
                  <w:tcW w:w="556" w:type="pct"/>
                </w:tcPr>
                <w:p w14:paraId="7954D39E" w14:textId="77777777" w:rsidR="00F05DC7" w:rsidRPr="00A75ED1" w:rsidRDefault="00F05DC7" w:rsidP="00A3786D">
                  <w:pPr>
                    <w:pStyle w:val="TableBodyText"/>
                    <w:rPr>
                      <w:rFonts w:cs="Arial"/>
                      <w:szCs w:val="18"/>
                    </w:rPr>
                  </w:pPr>
                  <w:r w:rsidRPr="00A75ED1">
                    <w:rPr>
                      <w:rFonts w:cs="Arial"/>
                      <w:szCs w:val="18"/>
                    </w:rPr>
                    <w:t>2022</w:t>
                  </w:r>
                  <w:r>
                    <w:rPr>
                      <w:rFonts w:cs="Arial"/>
                      <w:szCs w:val="18"/>
                    </w:rPr>
                    <w:noBreakHyphen/>
                  </w:r>
                  <w:r w:rsidRPr="00A75ED1">
                    <w:rPr>
                      <w:rFonts w:cs="Arial"/>
                      <w:szCs w:val="18"/>
                    </w:rPr>
                    <w:t>23</w:t>
                  </w:r>
                </w:p>
              </w:tc>
              <w:tc>
                <w:tcPr>
                  <w:tcW w:w="557" w:type="pct"/>
                  <w:tcBorders>
                    <w:top w:val="nil"/>
                    <w:left w:val="nil"/>
                    <w:bottom w:val="nil"/>
                    <w:right w:val="nil"/>
                  </w:tcBorders>
                  <w:shd w:val="clear" w:color="auto" w:fill="FFFFFF" w:themeFill="background1"/>
                  <w:vAlign w:val="bottom"/>
                </w:tcPr>
                <w:p w14:paraId="7954D39F" w14:textId="77777777" w:rsidR="00F05DC7" w:rsidRPr="00A75ED1" w:rsidRDefault="00F05DC7" w:rsidP="00A3786D">
                  <w:pPr>
                    <w:pStyle w:val="TableBodyText"/>
                    <w:rPr>
                      <w:rFonts w:cs="Arial"/>
                      <w:szCs w:val="18"/>
                    </w:rPr>
                  </w:pPr>
                  <w:r w:rsidRPr="00A75ED1">
                    <w:rPr>
                      <w:rFonts w:cs="Arial"/>
                      <w:color w:val="000000"/>
                      <w:szCs w:val="18"/>
                    </w:rPr>
                    <w:t>146</w:t>
                  </w:r>
                </w:p>
              </w:tc>
              <w:tc>
                <w:tcPr>
                  <w:tcW w:w="557" w:type="pct"/>
                  <w:tcBorders>
                    <w:top w:val="nil"/>
                    <w:left w:val="nil"/>
                    <w:bottom w:val="nil"/>
                    <w:right w:val="nil"/>
                  </w:tcBorders>
                  <w:shd w:val="clear" w:color="auto" w:fill="FFFFFF" w:themeFill="background1"/>
                  <w:vAlign w:val="bottom"/>
                </w:tcPr>
                <w:p w14:paraId="7954D3A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283</w:t>
                  </w:r>
                </w:p>
              </w:tc>
              <w:tc>
                <w:tcPr>
                  <w:tcW w:w="556" w:type="pct"/>
                  <w:tcBorders>
                    <w:top w:val="nil"/>
                    <w:left w:val="nil"/>
                    <w:bottom w:val="nil"/>
                    <w:right w:val="nil"/>
                  </w:tcBorders>
                  <w:shd w:val="clear" w:color="auto" w:fill="FFFFFF" w:themeFill="background1"/>
                  <w:vAlign w:val="bottom"/>
                </w:tcPr>
                <w:p w14:paraId="7954D3A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228</w:t>
                  </w:r>
                </w:p>
              </w:tc>
              <w:tc>
                <w:tcPr>
                  <w:tcW w:w="556" w:type="pct"/>
                  <w:tcBorders>
                    <w:top w:val="nil"/>
                    <w:left w:val="nil"/>
                    <w:bottom w:val="nil"/>
                    <w:right w:val="nil"/>
                  </w:tcBorders>
                  <w:shd w:val="clear" w:color="auto" w:fill="FFFFFF" w:themeFill="background1"/>
                  <w:vAlign w:val="bottom"/>
                </w:tcPr>
                <w:p w14:paraId="7954D3A2" w14:textId="77777777" w:rsidR="00F05DC7" w:rsidRPr="00A75ED1" w:rsidRDefault="00F05DC7" w:rsidP="00A3786D">
                  <w:pPr>
                    <w:pStyle w:val="TableBodyText"/>
                    <w:rPr>
                      <w:rFonts w:cs="Arial"/>
                      <w:szCs w:val="18"/>
                    </w:rPr>
                  </w:pPr>
                  <w:r w:rsidRPr="00A75ED1">
                    <w:rPr>
                      <w:rFonts w:cs="Arial"/>
                      <w:color w:val="000000"/>
                      <w:szCs w:val="18"/>
                    </w:rPr>
                    <w:t>493</w:t>
                  </w:r>
                </w:p>
              </w:tc>
              <w:tc>
                <w:tcPr>
                  <w:tcW w:w="555" w:type="pct"/>
                  <w:tcBorders>
                    <w:top w:val="nil"/>
                    <w:left w:val="nil"/>
                    <w:bottom w:val="nil"/>
                    <w:right w:val="nil"/>
                  </w:tcBorders>
                  <w:shd w:val="clear" w:color="auto" w:fill="FFFFFF" w:themeFill="background1"/>
                  <w:vAlign w:val="bottom"/>
                </w:tcPr>
                <w:p w14:paraId="7954D3A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76</w:t>
                  </w:r>
                </w:p>
              </w:tc>
              <w:tc>
                <w:tcPr>
                  <w:tcW w:w="555" w:type="pct"/>
                  <w:tcBorders>
                    <w:top w:val="nil"/>
                    <w:left w:val="nil"/>
                    <w:bottom w:val="nil"/>
                    <w:right w:val="nil"/>
                  </w:tcBorders>
                  <w:shd w:val="clear" w:color="auto" w:fill="FFFFFF" w:themeFill="background1"/>
                  <w:vAlign w:val="bottom"/>
                </w:tcPr>
                <w:p w14:paraId="7954D3A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w:t>
                  </w:r>
                </w:p>
              </w:tc>
              <w:tc>
                <w:tcPr>
                  <w:tcW w:w="555" w:type="pct"/>
                  <w:tcBorders>
                    <w:top w:val="nil"/>
                    <w:left w:val="nil"/>
                    <w:bottom w:val="nil"/>
                    <w:right w:val="nil"/>
                  </w:tcBorders>
                  <w:shd w:val="clear" w:color="auto" w:fill="FFFFFF" w:themeFill="background1"/>
                  <w:vAlign w:val="bottom"/>
                </w:tcPr>
                <w:p w14:paraId="7954D3A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19</w:t>
                  </w:r>
                </w:p>
              </w:tc>
              <w:tc>
                <w:tcPr>
                  <w:tcW w:w="553" w:type="pct"/>
                  <w:tcBorders>
                    <w:top w:val="nil"/>
                    <w:left w:val="nil"/>
                    <w:bottom w:val="nil"/>
                    <w:right w:val="nil"/>
                  </w:tcBorders>
                  <w:shd w:val="clear" w:color="auto" w:fill="FFFFFF" w:themeFill="background1"/>
                  <w:vAlign w:val="bottom"/>
                </w:tcPr>
                <w:p w14:paraId="7954D3A6"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w:t>
                  </w:r>
                </w:p>
              </w:tc>
            </w:tr>
            <w:tr w:rsidR="00F05DC7" w:rsidRPr="00A75ED1" w14:paraId="7954D3B1" w14:textId="77777777" w:rsidTr="001113B1">
              <w:tc>
                <w:tcPr>
                  <w:tcW w:w="556" w:type="pct"/>
                </w:tcPr>
                <w:p w14:paraId="7954D3A8" w14:textId="77777777" w:rsidR="00F05DC7" w:rsidRPr="00A75ED1" w:rsidRDefault="00F05DC7" w:rsidP="00A3786D">
                  <w:pPr>
                    <w:pStyle w:val="TableBodyText"/>
                    <w:rPr>
                      <w:rFonts w:cs="Arial"/>
                      <w:szCs w:val="18"/>
                    </w:rPr>
                  </w:pPr>
                  <w:r w:rsidRPr="00A75ED1">
                    <w:rPr>
                      <w:rFonts w:cs="Arial"/>
                      <w:szCs w:val="18"/>
                    </w:rPr>
                    <w:t>2023</w:t>
                  </w:r>
                  <w:r>
                    <w:rPr>
                      <w:rFonts w:cs="Arial"/>
                      <w:szCs w:val="18"/>
                    </w:rPr>
                    <w:noBreakHyphen/>
                  </w:r>
                  <w:r w:rsidRPr="00A75ED1">
                    <w:rPr>
                      <w:rFonts w:cs="Arial"/>
                      <w:szCs w:val="18"/>
                    </w:rPr>
                    <w:t>24</w:t>
                  </w:r>
                </w:p>
              </w:tc>
              <w:tc>
                <w:tcPr>
                  <w:tcW w:w="557" w:type="pct"/>
                  <w:tcBorders>
                    <w:top w:val="nil"/>
                    <w:left w:val="nil"/>
                    <w:bottom w:val="nil"/>
                    <w:right w:val="nil"/>
                  </w:tcBorders>
                  <w:shd w:val="clear" w:color="000000" w:fill="FFFFFF"/>
                  <w:vAlign w:val="bottom"/>
                </w:tcPr>
                <w:p w14:paraId="7954D3A9" w14:textId="77777777" w:rsidR="00F05DC7" w:rsidRPr="00A75ED1" w:rsidRDefault="00F05DC7" w:rsidP="00A3786D">
                  <w:pPr>
                    <w:pStyle w:val="TableBodyText"/>
                    <w:rPr>
                      <w:rFonts w:cs="Arial"/>
                      <w:szCs w:val="18"/>
                    </w:rPr>
                  </w:pPr>
                  <w:r w:rsidRPr="00A75ED1">
                    <w:rPr>
                      <w:rFonts w:cs="Arial"/>
                      <w:color w:val="000000"/>
                      <w:szCs w:val="18"/>
                    </w:rPr>
                    <w:t>161</w:t>
                  </w:r>
                </w:p>
              </w:tc>
              <w:tc>
                <w:tcPr>
                  <w:tcW w:w="557" w:type="pct"/>
                  <w:tcBorders>
                    <w:top w:val="nil"/>
                    <w:left w:val="nil"/>
                    <w:bottom w:val="nil"/>
                    <w:right w:val="nil"/>
                  </w:tcBorders>
                  <w:shd w:val="clear" w:color="000000" w:fill="FFFFFF"/>
                  <w:vAlign w:val="bottom"/>
                </w:tcPr>
                <w:p w14:paraId="7954D3A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314</w:t>
                  </w:r>
                </w:p>
              </w:tc>
              <w:tc>
                <w:tcPr>
                  <w:tcW w:w="556" w:type="pct"/>
                  <w:tcBorders>
                    <w:top w:val="nil"/>
                    <w:left w:val="nil"/>
                    <w:bottom w:val="nil"/>
                    <w:right w:val="nil"/>
                  </w:tcBorders>
                  <w:shd w:val="clear" w:color="000000" w:fill="FFFFFF"/>
                  <w:vAlign w:val="bottom"/>
                </w:tcPr>
                <w:p w14:paraId="7954D3A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248</w:t>
                  </w:r>
                </w:p>
              </w:tc>
              <w:tc>
                <w:tcPr>
                  <w:tcW w:w="556" w:type="pct"/>
                  <w:tcBorders>
                    <w:top w:val="nil"/>
                    <w:left w:val="nil"/>
                    <w:bottom w:val="nil"/>
                    <w:right w:val="nil"/>
                  </w:tcBorders>
                  <w:shd w:val="clear" w:color="000000" w:fill="FFFFFF"/>
                  <w:vAlign w:val="bottom"/>
                </w:tcPr>
                <w:p w14:paraId="7954D3AC" w14:textId="77777777" w:rsidR="00F05DC7" w:rsidRPr="00A75ED1" w:rsidRDefault="00F05DC7" w:rsidP="00A3786D">
                  <w:pPr>
                    <w:pStyle w:val="TableBodyText"/>
                    <w:rPr>
                      <w:rFonts w:cs="Arial"/>
                      <w:szCs w:val="18"/>
                    </w:rPr>
                  </w:pPr>
                  <w:r w:rsidRPr="00A75ED1">
                    <w:rPr>
                      <w:rFonts w:cs="Arial"/>
                      <w:color w:val="000000"/>
                      <w:szCs w:val="18"/>
                    </w:rPr>
                    <w:t>538</w:t>
                  </w:r>
                </w:p>
              </w:tc>
              <w:tc>
                <w:tcPr>
                  <w:tcW w:w="555" w:type="pct"/>
                  <w:tcBorders>
                    <w:top w:val="nil"/>
                    <w:left w:val="nil"/>
                    <w:bottom w:val="nil"/>
                    <w:right w:val="nil"/>
                  </w:tcBorders>
                  <w:shd w:val="clear" w:color="000000" w:fill="FFFFFF"/>
                  <w:vAlign w:val="bottom"/>
                </w:tcPr>
                <w:p w14:paraId="7954D3A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81</w:t>
                  </w:r>
                </w:p>
              </w:tc>
              <w:tc>
                <w:tcPr>
                  <w:tcW w:w="555" w:type="pct"/>
                  <w:tcBorders>
                    <w:top w:val="nil"/>
                    <w:left w:val="nil"/>
                    <w:bottom w:val="nil"/>
                    <w:right w:val="nil"/>
                  </w:tcBorders>
                  <w:shd w:val="clear" w:color="000000" w:fill="FFFFFF"/>
                  <w:vAlign w:val="bottom"/>
                </w:tcPr>
                <w:p w14:paraId="7954D3A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24</w:t>
                  </w:r>
                </w:p>
              </w:tc>
              <w:tc>
                <w:tcPr>
                  <w:tcW w:w="555" w:type="pct"/>
                  <w:tcBorders>
                    <w:top w:val="nil"/>
                    <w:left w:val="nil"/>
                    <w:bottom w:val="nil"/>
                    <w:right w:val="nil"/>
                  </w:tcBorders>
                  <w:shd w:val="clear" w:color="000000" w:fill="FFFFFF"/>
                  <w:vAlign w:val="bottom"/>
                </w:tcPr>
                <w:p w14:paraId="7954D3A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21</w:t>
                  </w:r>
                </w:p>
              </w:tc>
              <w:tc>
                <w:tcPr>
                  <w:tcW w:w="553" w:type="pct"/>
                  <w:tcBorders>
                    <w:top w:val="nil"/>
                    <w:left w:val="nil"/>
                    <w:bottom w:val="nil"/>
                    <w:right w:val="nil"/>
                  </w:tcBorders>
                  <w:shd w:val="clear" w:color="000000" w:fill="FFFFFF"/>
                  <w:vAlign w:val="bottom"/>
                </w:tcPr>
                <w:p w14:paraId="7954D3B0"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11</w:t>
                  </w:r>
                </w:p>
              </w:tc>
            </w:tr>
            <w:tr w:rsidR="00F05DC7" w:rsidRPr="00A75ED1" w14:paraId="7954D3BB" w14:textId="77777777" w:rsidTr="001113B1">
              <w:tc>
                <w:tcPr>
                  <w:tcW w:w="556" w:type="pct"/>
                </w:tcPr>
                <w:p w14:paraId="7954D3B2" w14:textId="77777777" w:rsidR="00F05DC7" w:rsidRPr="00A75ED1" w:rsidRDefault="00F05DC7" w:rsidP="00A3786D">
                  <w:pPr>
                    <w:pStyle w:val="TableBodyText"/>
                    <w:rPr>
                      <w:rFonts w:cs="Arial"/>
                      <w:szCs w:val="18"/>
                    </w:rPr>
                  </w:pPr>
                  <w:r w:rsidRPr="00A75ED1">
                    <w:rPr>
                      <w:rFonts w:cs="Arial"/>
                      <w:szCs w:val="18"/>
                    </w:rPr>
                    <w:t>2024</w:t>
                  </w:r>
                  <w:r>
                    <w:rPr>
                      <w:rFonts w:cs="Arial"/>
                      <w:szCs w:val="18"/>
                    </w:rPr>
                    <w:noBreakHyphen/>
                  </w:r>
                  <w:r w:rsidRPr="00A75ED1">
                    <w:rPr>
                      <w:rFonts w:cs="Arial"/>
                      <w:szCs w:val="18"/>
                    </w:rPr>
                    <w:t>25</w:t>
                  </w:r>
                </w:p>
              </w:tc>
              <w:tc>
                <w:tcPr>
                  <w:tcW w:w="557" w:type="pct"/>
                  <w:tcBorders>
                    <w:top w:val="nil"/>
                    <w:left w:val="nil"/>
                    <w:bottom w:val="nil"/>
                    <w:right w:val="nil"/>
                  </w:tcBorders>
                  <w:shd w:val="clear" w:color="000000" w:fill="FFFFFF"/>
                  <w:vAlign w:val="bottom"/>
                </w:tcPr>
                <w:p w14:paraId="7954D3B3" w14:textId="77777777" w:rsidR="00F05DC7" w:rsidRPr="00A75ED1" w:rsidRDefault="00F05DC7" w:rsidP="00A3786D">
                  <w:pPr>
                    <w:pStyle w:val="TableBodyText"/>
                    <w:rPr>
                      <w:rFonts w:cs="Arial"/>
                      <w:szCs w:val="18"/>
                    </w:rPr>
                  </w:pPr>
                  <w:r w:rsidRPr="00A75ED1">
                    <w:rPr>
                      <w:rFonts w:cs="Arial"/>
                      <w:color w:val="000000"/>
                      <w:szCs w:val="18"/>
                    </w:rPr>
                    <w:t>177</w:t>
                  </w:r>
                </w:p>
              </w:tc>
              <w:tc>
                <w:tcPr>
                  <w:tcW w:w="557" w:type="pct"/>
                  <w:tcBorders>
                    <w:top w:val="nil"/>
                    <w:left w:val="nil"/>
                    <w:bottom w:val="nil"/>
                    <w:right w:val="nil"/>
                  </w:tcBorders>
                  <w:shd w:val="clear" w:color="000000" w:fill="FFFFFF"/>
                  <w:vAlign w:val="bottom"/>
                </w:tcPr>
                <w:p w14:paraId="7954D3B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347</w:t>
                  </w:r>
                </w:p>
              </w:tc>
              <w:tc>
                <w:tcPr>
                  <w:tcW w:w="556" w:type="pct"/>
                  <w:tcBorders>
                    <w:top w:val="nil"/>
                    <w:left w:val="nil"/>
                    <w:bottom w:val="nil"/>
                    <w:right w:val="nil"/>
                  </w:tcBorders>
                  <w:shd w:val="clear" w:color="000000" w:fill="FFFFFF"/>
                  <w:vAlign w:val="bottom"/>
                </w:tcPr>
                <w:p w14:paraId="7954D3B5"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269</w:t>
                  </w:r>
                </w:p>
              </w:tc>
              <w:tc>
                <w:tcPr>
                  <w:tcW w:w="556" w:type="pct"/>
                  <w:tcBorders>
                    <w:top w:val="nil"/>
                    <w:left w:val="nil"/>
                    <w:bottom w:val="nil"/>
                    <w:right w:val="nil"/>
                  </w:tcBorders>
                  <w:shd w:val="clear" w:color="000000" w:fill="FFFFFF"/>
                  <w:vAlign w:val="bottom"/>
                </w:tcPr>
                <w:p w14:paraId="7954D3B6" w14:textId="77777777" w:rsidR="00F05DC7" w:rsidRPr="00A75ED1" w:rsidRDefault="00F05DC7" w:rsidP="00A3786D">
                  <w:pPr>
                    <w:pStyle w:val="TableBodyText"/>
                    <w:rPr>
                      <w:rFonts w:cs="Arial"/>
                      <w:szCs w:val="18"/>
                    </w:rPr>
                  </w:pPr>
                  <w:r w:rsidRPr="00A75ED1">
                    <w:rPr>
                      <w:rFonts w:cs="Arial"/>
                      <w:color w:val="000000"/>
                      <w:szCs w:val="18"/>
                    </w:rPr>
                    <w:t>586</w:t>
                  </w:r>
                </w:p>
              </w:tc>
              <w:tc>
                <w:tcPr>
                  <w:tcW w:w="555" w:type="pct"/>
                  <w:tcBorders>
                    <w:top w:val="nil"/>
                    <w:left w:val="nil"/>
                    <w:bottom w:val="nil"/>
                    <w:right w:val="nil"/>
                  </w:tcBorders>
                  <w:shd w:val="clear" w:color="000000" w:fill="FFFFFF"/>
                  <w:vAlign w:val="bottom"/>
                </w:tcPr>
                <w:p w14:paraId="7954D3B7"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87</w:t>
                  </w:r>
                </w:p>
              </w:tc>
              <w:tc>
                <w:tcPr>
                  <w:tcW w:w="555" w:type="pct"/>
                  <w:tcBorders>
                    <w:top w:val="nil"/>
                    <w:left w:val="nil"/>
                    <w:bottom w:val="nil"/>
                    <w:right w:val="nil"/>
                  </w:tcBorders>
                  <w:shd w:val="clear" w:color="000000" w:fill="FFFFFF"/>
                  <w:vAlign w:val="bottom"/>
                </w:tcPr>
                <w:p w14:paraId="7954D3B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26</w:t>
                  </w:r>
                </w:p>
              </w:tc>
              <w:tc>
                <w:tcPr>
                  <w:tcW w:w="555" w:type="pct"/>
                  <w:tcBorders>
                    <w:top w:val="nil"/>
                    <w:left w:val="nil"/>
                    <w:bottom w:val="nil"/>
                    <w:right w:val="nil"/>
                  </w:tcBorders>
                  <w:shd w:val="clear" w:color="000000" w:fill="FFFFFF"/>
                  <w:vAlign w:val="bottom"/>
                </w:tcPr>
                <w:p w14:paraId="7954D3B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23</w:t>
                  </w:r>
                </w:p>
              </w:tc>
              <w:tc>
                <w:tcPr>
                  <w:tcW w:w="553" w:type="pct"/>
                  <w:tcBorders>
                    <w:top w:val="nil"/>
                    <w:left w:val="nil"/>
                    <w:bottom w:val="nil"/>
                    <w:right w:val="nil"/>
                  </w:tcBorders>
                  <w:shd w:val="clear" w:color="000000" w:fill="FFFFFF"/>
                  <w:vAlign w:val="bottom"/>
                </w:tcPr>
                <w:p w14:paraId="7954D3BA"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w:t>
                  </w:r>
                </w:p>
              </w:tc>
            </w:tr>
            <w:tr w:rsidR="00F05DC7" w:rsidRPr="00A75ED1" w14:paraId="7954D3C5" w14:textId="77777777" w:rsidTr="001113B1">
              <w:tc>
                <w:tcPr>
                  <w:tcW w:w="556" w:type="pct"/>
                </w:tcPr>
                <w:p w14:paraId="7954D3BC" w14:textId="77777777" w:rsidR="00F05DC7" w:rsidRPr="00A75ED1" w:rsidRDefault="00F05DC7" w:rsidP="00A3786D">
                  <w:pPr>
                    <w:pStyle w:val="TableBodyText"/>
                    <w:rPr>
                      <w:rFonts w:cs="Arial"/>
                      <w:szCs w:val="18"/>
                    </w:rPr>
                  </w:pPr>
                  <w:r w:rsidRPr="00A75ED1">
                    <w:rPr>
                      <w:rFonts w:cs="Arial"/>
                      <w:szCs w:val="18"/>
                    </w:rPr>
                    <w:t>2025</w:t>
                  </w:r>
                  <w:r>
                    <w:rPr>
                      <w:rFonts w:cs="Arial"/>
                      <w:szCs w:val="18"/>
                    </w:rPr>
                    <w:noBreakHyphen/>
                  </w:r>
                  <w:r w:rsidRPr="00A75ED1">
                    <w:rPr>
                      <w:rFonts w:cs="Arial"/>
                      <w:szCs w:val="18"/>
                    </w:rPr>
                    <w:t>26</w:t>
                  </w:r>
                </w:p>
              </w:tc>
              <w:tc>
                <w:tcPr>
                  <w:tcW w:w="557" w:type="pct"/>
                  <w:tcBorders>
                    <w:top w:val="nil"/>
                    <w:left w:val="nil"/>
                    <w:bottom w:val="nil"/>
                    <w:right w:val="nil"/>
                  </w:tcBorders>
                  <w:shd w:val="clear" w:color="000000" w:fill="FFFFFF"/>
                  <w:vAlign w:val="bottom"/>
                </w:tcPr>
                <w:p w14:paraId="7954D3BD" w14:textId="77777777" w:rsidR="00F05DC7" w:rsidRPr="00A75ED1" w:rsidRDefault="00F05DC7" w:rsidP="00A3786D">
                  <w:pPr>
                    <w:pStyle w:val="TableBodyText"/>
                    <w:rPr>
                      <w:rFonts w:cs="Arial"/>
                      <w:szCs w:val="18"/>
                    </w:rPr>
                  </w:pPr>
                  <w:r w:rsidRPr="00A75ED1">
                    <w:rPr>
                      <w:rFonts w:cs="Arial"/>
                      <w:color w:val="000000"/>
                      <w:szCs w:val="18"/>
                    </w:rPr>
                    <w:t>195</w:t>
                  </w:r>
                </w:p>
              </w:tc>
              <w:tc>
                <w:tcPr>
                  <w:tcW w:w="557" w:type="pct"/>
                  <w:tcBorders>
                    <w:top w:val="nil"/>
                    <w:left w:val="nil"/>
                    <w:bottom w:val="nil"/>
                    <w:right w:val="nil"/>
                  </w:tcBorders>
                  <w:shd w:val="clear" w:color="000000" w:fill="FFFFFF"/>
                  <w:vAlign w:val="bottom"/>
                </w:tcPr>
                <w:p w14:paraId="7954D3B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383</w:t>
                  </w:r>
                </w:p>
              </w:tc>
              <w:tc>
                <w:tcPr>
                  <w:tcW w:w="556" w:type="pct"/>
                  <w:tcBorders>
                    <w:top w:val="nil"/>
                    <w:left w:val="nil"/>
                    <w:bottom w:val="nil"/>
                    <w:right w:val="nil"/>
                  </w:tcBorders>
                  <w:shd w:val="clear" w:color="000000" w:fill="FFFFFF"/>
                  <w:vAlign w:val="bottom"/>
                </w:tcPr>
                <w:p w14:paraId="7954D3BF"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291</w:t>
                  </w:r>
                </w:p>
              </w:tc>
              <w:tc>
                <w:tcPr>
                  <w:tcW w:w="556" w:type="pct"/>
                  <w:tcBorders>
                    <w:top w:val="nil"/>
                    <w:left w:val="nil"/>
                    <w:bottom w:val="nil"/>
                    <w:right w:val="nil"/>
                  </w:tcBorders>
                  <w:shd w:val="clear" w:color="000000" w:fill="FFFFFF"/>
                  <w:vAlign w:val="bottom"/>
                </w:tcPr>
                <w:p w14:paraId="7954D3C0" w14:textId="77777777" w:rsidR="00F05DC7" w:rsidRPr="00A75ED1" w:rsidRDefault="00F05DC7" w:rsidP="00A3786D">
                  <w:pPr>
                    <w:pStyle w:val="TableBodyText"/>
                    <w:rPr>
                      <w:rFonts w:cs="Arial"/>
                      <w:szCs w:val="18"/>
                    </w:rPr>
                  </w:pPr>
                  <w:r w:rsidRPr="00A75ED1">
                    <w:rPr>
                      <w:rFonts w:cs="Arial"/>
                      <w:color w:val="000000"/>
                      <w:szCs w:val="18"/>
                    </w:rPr>
                    <w:t>637</w:t>
                  </w:r>
                </w:p>
              </w:tc>
              <w:tc>
                <w:tcPr>
                  <w:tcW w:w="555" w:type="pct"/>
                  <w:tcBorders>
                    <w:top w:val="nil"/>
                    <w:left w:val="nil"/>
                    <w:bottom w:val="nil"/>
                    <w:right w:val="nil"/>
                  </w:tcBorders>
                  <w:shd w:val="clear" w:color="000000" w:fill="FFFFFF"/>
                  <w:vAlign w:val="bottom"/>
                </w:tcPr>
                <w:p w14:paraId="7954D3C1"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93</w:t>
                  </w:r>
                </w:p>
              </w:tc>
              <w:tc>
                <w:tcPr>
                  <w:tcW w:w="555" w:type="pct"/>
                  <w:tcBorders>
                    <w:top w:val="nil"/>
                    <w:left w:val="nil"/>
                    <w:bottom w:val="nil"/>
                    <w:right w:val="nil"/>
                  </w:tcBorders>
                  <w:shd w:val="clear" w:color="000000" w:fill="FFFFFF"/>
                  <w:vAlign w:val="bottom"/>
                </w:tcPr>
                <w:p w14:paraId="7954D3C2"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27</w:t>
                  </w:r>
                </w:p>
              </w:tc>
              <w:tc>
                <w:tcPr>
                  <w:tcW w:w="555" w:type="pct"/>
                  <w:tcBorders>
                    <w:top w:val="nil"/>
                    <w:left w:val="nil"/>
                    <w:bottom w:val="nil"/>
                    <w:right w:val="nil"/>
                  </w:tcBorders>
                  <w:shd w:val="clear" w:color="000000" w:fill="FFFFFF"/>
                  <w:vAlign w:val="bottom"/>
                </w:tcPr>
                <w:p w14:paraId="7954D3C3"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25</w:t>
                  </w:r>
                </w:p>
              </w:tc>
              <w:tc>
                <w:tcPr>
                  <w:tcW w:w="553" w:type="pct"/>
                  <w:tcBorders>
                    <w:top w:val="nil"/>
                    <w:left w:val="nil"/>
                    <w:bottom w:val="nil"/>
                    <w:right w:val="nil"/>
                  </w:tcBorders>
                  <w:shd w:val="clear" w:color="000000" w:fill="FFFFFF"/>
                  <w:vAlign w:val="bottom"/>
                </w:tcPr>
                <w:p w14:paraId="7954D3C4"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12</w:t>
                  </w:r>
                </w:p>
              </w:tc>
            </w:tr>
            <w:tr w:rsidR="00F05DC7" w:rsidRPr="00A75ED1" w14:paraId="7954D3CF" w14:textId="77777777" w:rsidTr="001113B1">
              <w:tc>
                <w:tcPr>
                  <w:tcW w:w="556" w:type="pct"/>
                </w:tcPr>
                <w:p w14:paraId="7954D3C6" w14:textId="77777777" w:rsidR="00F05DC7" w:rsidRPr="00A75ED1" w:rsidRDefault="00F05DC7" w:rsidP="00A3786D">
                  <w:pPr>
                    <w:pStyle w:val="TableBodyText"/>
                    <w:rPr>
                      <w:rFonts w:cs="Arial"/>
                      <w:szCs w:val="18"/>
                    </w:rPr>
                  </w:pPr>
                  <w:r w:rsidRPr="00A75ED1">
                    <w:rPr>
                      <w:rFonts w:cs="Arial"/>
                      <w:szCs w:val="18"/>
                    </w:rPr>
                    <w:t>2026</w:t>
                  </w:r>
                  <w:r>
                    <w:rPr>
                      <w:rFonts w:cs="Arial"/>
                      <w:szCs w:val="18"/>
                    </w:rPr>
                    <w:noBreakHyphen/>
                  </w:r>
                  <w:r w:rsidRPr="00A75ED1">
                    <w:rPr>
                      <w:rFonts w:cs="Arial"/>
                      <w:szCs w:val="18"/>
                    </w:rPr>
                    <w:t>27</w:t>
                  </w:r>
                </w:p>
              </w:tc>
              <w:tc>
                <w:tcPr>
                  <w:tcW w:w="557" w:type="pct"/>
                  <w:tcBorders>
                    <w:top w:val="nil"/>
                    <w:left w:val="nil"/>
                    <w:right w:val="nil"/>
                  </w:tcBorders>
                  <w:shd w:val="clear" w:color="000000" w:fill="FFFFFF"/>
                  <w:vAlign w:val="bottom"/>
                </w:tcPr>
                <w:p w14:paraId="7954D3C7" w14:textId="77777777" w:rsidR="00F05DC7" w:rsidRPr="00A75ED1" w:rsidRDefault="00F05DC7" w:rsidP="00A3786D">
                  <w:pPr>
                    <w:pStyle w:val="TableBodyText"/>
                    <w:rPr>
                      <w:rFonts w:cs="Arial"/>
                      <w:szCs w:val="18"/>
                    </w:rPr>
                  </w:pPr>
                  <w:r w:rsidRPr="00A75ED1">
                    <w:rPr>
                      <w:rFonts w:cs="Arial"/>
                      <w:color w:val="000000"/>
                      <w:szCs w:val="18"/>
                    </w:rPr>
                    <w:t>214</w:t>
                  </w:r>
                </w:p>
              </w:tc>
              <w:tc>
                <w:tcPr>
                  <w:tcW w:w="557" w:type="pct"/>
                  <w:tcBorders>
                    <w:top w:val="nil"/>
                    <w:left w:val="nil"/>
                    <w:right w:val="nil"/>
                  </w:tcBorders>
                  <w:shd w:val="clear" w:color="000000" w:fill="FFFFFF"/>
                  <w:vAlign w:val="bottom"/>
                </w:tcPr>
                <w:p w14:paraId="7954D3C8"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422</w:t>
                  </w:r>
                </w:p>
              </w:tc>
              <w:tc>
                <w:tcPr>
                  <w:tcW w:w="556" w:type="pct"/>
                  <w:tcBorders>
                    <w:top w:val="nil"/>
                    <w:left w:val="nil"/>
                    <w:right w:val="nil"/>
                  </w:tcBorders>
                  <w:shd w:val="clear" w:color="000000" w:fill="FFFFFF"/>
                  <w:vAlign w:val="bottom"/>
                </w:tcPr>
                <w:p w14:paraId="7954D3C9"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315</w:t>
                  </w:r>
                </w:p>
              </w:tc>
              <w:tc>
                <w:tcPr>
                  <w:tcW w:w="556" w:type="pct"/>
                  <w:tcBorders>
                    <w:top w:val="nil"/>
                    <w:left w:val="nil"/>
                    <w:right w:val="nil"/>
                  </w:tcBorders>
                  <w:shd w:val="clear" w:color="000000" w:fill="FFFFFF"/>
                  <w:vAlign w:val="bottom"/>
                </w:tcPr>
                <w:p w14:paraId="7954D3CA" w14:textId="77777777" w:rsidR="00F05DC7" w:rsidRPr="00A75ED1" w:rsidRDefault="00F05DC7" w:rsidP="00A3786D">
                  <w:pPr>
                    <w:pStyle w:val="TableBodyText"/>
                    <w:rPr>
                      <w:rFonts w:cs="Arial"/>
                      <w:szCs w:val="18"/>
                    </w:rPr>
                  </w:pPr>
                  <w:r w:rsidRPr="00A75ED1">
                    <w:rPr>
                      <w:rFonts w:cs="Arial"/>
                      <w:color w:val="000000"/>
                      <w:szCs w:val="18"/>
                    </w:rPr>
                    <w:t>692</w:t>
                  </w:r>
                </w:p>
              </w:tc>
              <w:tc>
                <w:tcPr>
                  <w:tcW w:w="555" w:type="pct"/>
                  <w:tcBorders>
                    <w:top w:val="nil"/>
                    <w:left w:val="nil"/>
                    <w:right w:val="nil"/>
                  </w:tcBorders>
                  <w:shd w:val="clear" w:color="000000" w:fill="FFFFFF"/>
                  <w:vAlign w:val="bottom"/>
                </w:tcPr>
                <w:p w14:paraId="7954D3CB"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100</w:t>
                  </w:r>
                </w:p>
              </w:tc>
              <w:tc>
                <w:tcPr>
                  <w:tcW w:w="555" w:type="pct"/>
                  <w:tcBorders>
                    <w:top w:val="nil"/>
                    <w:left w:val="nil"/>
                    <w:right w:val="nil"/>
                  </w:tcBorders>
                  <w:shd w:val="clear" w:color="000000" w:fill="FFFFFF"/>
                  <w:vAlign w:val="bottom"/>
                </w:tcPr>
                <w:p w14:paraId="7954D3CC"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29</w:t>
                  </w:r>
                </w:p>
              </w:tc>
              <w:tc>
                <w:tcPr>
                  <w:tcW w:w="555" w:type="pct"/>
                  <w:tcBorders>
                    <w:top w:val="nil"/>
                    <w:left w:val="nil"/>
                    <w:right w:val="nil"/>
                  </w:tcBorders>
                  <w:shd w:val="clear" w:color="000000" w:fill="FFFFFF"/>
                  <w:vAlign w:val="bottom"/>
                </w:tcPr>
                <w:p w14:paraId="7954D3CD"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27</w:t>
                  </w:r>
                </w:p>
              </w:tc>
              <w:tc>
                <w:tcPr>
                  <w:tcW w:w="553" w:type="pct"/>
                  <w:tcBorders>
                    <w:top w:val="nil"/>
                    <w:left w:val="nil"/>
                    <w:right w:val="nil"/>
                  </w:tcBorders>
                  <w:shd w:val="clear" w:color="000000" w:fill="FFFFFF"/>
                  <w:vAlign w:val="bottom"/>
                </w:tcPr>
                <w:p w14:paraId="7954D3CE" w14:textId="77777777" w:rsidR="00F05DC7" w:rsidRPr="00A75ED1" w:rsidRDefault="00F05DC7" w:rsidP="00A3786D">
                  <w:pPr>
                    <w:pStyle w:val="TableBodyText"/>
                    <w:rPr>
                      <w:rFonts w:cs="Arial"/>
                      <w:szCs w:val="18"/>
                    </w:rPr>
                  </w:pPr>
                  <w:r>
                    <w:rPr>
                      <w:rFonts w:cs="Arial"/>
                      <w:color w:val="000000"/>
                      <w:szCs w:val="18"/>
                    </w:rPr>
                    <w:noBreakHyphen/>
                  </w:r>
                  <w:r w:rsidRPr="00A75ED1">
                    <w:rPr>
                      <w:rFonts w:cs="Arial"/>
                      <w:color w:val="000000"/>
                      <w:szCs w:val="18"/>
                    </w:rPr>
                    <w:t>13</w:t>
                  </w:r>
                </w:p>
              </w:tc>
            </w:tr>
            <w:tr w:rsidR="00F05DC7" w:rsidRPr="00A75ED1" w14:paraId="7954D3D1" w14:textId="77777777" w:rsidTr="001113B1">
              <w:tc>
                <w:tcPr>
                  <w:tcW w:w="5000" w:type="pct"/>
                  <w:gridSpan w:val="9"/>
                  <w:shd w:val="clear" w:color="auto" w:fill="F2F2F2" w:themeFill="background1" w:themeFillShade="F2"/>
                </w:tcPr>
                <w:p w14:paraId="7954D3D0" w14:textId="77777777" w:rsidR="00F05DC7" w:rsidRPr="00A75ED1" w:rsidRDefault="00F05DC7" w:rsidP="00A3786D">
                  <w:pPr>
                    <w:pStyle w:val="TableUnitsRow"/>
                    <w:ind w:right="28"/>
                    <w:jc w:val="left"/>
                    <w:rPr>
                      <w:rFonts w:cs="Arial"/>
                      <w:szCs w:val="18"/>
                    </w:rPr>
                  </w:pPr>
                  <w:r w:rsidRPr="00A75ED1">
                    <w:rPr>
                      <w:rFonts w:cs="Arial"/>
                      <w:szCs w:val="18"/>
                    </w:rPr>
                    <w:t>$ per capita</w:t>
                  </w:r>
                </w:p>
              </w:tc>
            </w:tr>
            <w:tr w:rsidR="00F05DC7" w:rsidRPr="00A75ED1" w14:paraId="7954D3DB" w14:textId="77777777" w:rsidTr="001113B1">
              <w:tc>
                <w:tcPr>
                  <w:tcW w:w="556" w:type="pct"/>
                  <w:vAlign w:val="bottom"/>
                </w:tcPr>
                <w:p w14:paraId="7954D3D2" w14:textId="77777777" w:rsidR="00F05DC7" w:rsidRPr="00027F36" w:rsidRDefault="00F05DC7" w:rsidP="00A3786D">
                  <w:pPr>
                    <w:pStyle w:val="TableBodyText"/>
                    <w:rPr>
                      <w:rFonts w:cs="Arial"/>
                      <w:szCs w:val="18"/>
                    </w:rPr>
                  </w:pPr>
                  <w:r w:rsidRPr="00027F36">
                    <w:rPr>
                      <w:rFonts w:cs="Arial"/>
                      <w:szCs w:val="18"/>
                    </w:rPr>
                    <w:t>2019</w:t>
                  </w:r>
                  <w:r w:rsidRPr="00027F36">
                    <w:rPr>
                      <w:rFonts w:cs="Arial"/>
                      <w:szCs w:val="18"/>
                    </w:rPr>
                    <w:noBreakHyphen/>
                    <w:t>20</w:t>
                  </w:r>
                </w:p>
              </w:tc>
              <w:tc>
                <w:tcPr>
                  <w:tcW w:w="557" w:type="pct"/>
                  <w:tcBorders>
                    <w:top w:val="nil"/>
                    <w:left w:val="nil"/>
                    <w:bottom w:val="nil"/>
                    <w:right w:val="nil"/>
                  </w:tcBorders>
                  <w:shd w:val="clear" w:color="auto" w:fill="auto"/>
                  <w:vAlign w:val="bottom"/>
                </w:tcPr>
                <w:p w14:paraId="7954D3D3" w14:textId="77777777" w:rsidR="00F05DC7" w:rsidRPr="00027F36" w:rsidRDefault="00F05DC7" w:rsidP="00A3786D">
                  <w:pPr>
                    <w:pStyle w:val="TableBodyText"/>
                    <w:rPr>
                      <w:rFonts w:cs="Arial"/>
                      <w:szCs w:val="18"/>
                    </w:rPr>
                  </w:pPr>
                  <w:r w:rsidRPr="00027F36">
                    <w:rPr>
                      <w:rFonts w:cs="Arial"/>
                      <w:color w:val="000000"/>
                      <w:szCs w:val="18"/>
                    </w:rPr>
                    <w:t>13</w:t>
                  </w:r>
                </w:p>
              </w:tc>
              <w:tc>
                <w:tcPr>
                  <w:tcW w:w="557" w:type="pct"/>
                  <w:tcBorders>
                    <w:top w:val="nil"/>
                    <w:left w:val="nil"/>
                    <w:bottom w:val="nil"/>
                    <w:right w:val="nil"/>
                  </w:tcBorders>
                  <w:shd w:val="clear" w:color="auto" w:fill="auto"/>
                  <w:vAlign w:val="bottom"/>
                </w:tcPr>
                <w:p w14:paraId="7954D3D4" w14:textId="77777777" w:rsidR="00F05DC7" w:rsidRPr="00027F36" w:rsidRDefault="00F05DC7" w:rsidP="00A3786D">
                  <w:pPr>
                    <w:pStyle w:val="TableBodyText"/>
                    <w:rPr>
                      <w:rFonts w:cs="Arial"/>
                      <w:szCs w:val="18"/>
                    </w:rPr>
                  </w:pPr>
                  <w:r w:rsidRPr="00027F36">
                    <w:rPr>
                      <w:rFonts w:cs="Arial"/>
                      <w:color w:val="000000"/>
                      <w:szCs w:val="18"/>
                    </w:rPr>
                    <w:t>-31</w:t>
                  </w:r>
                </w:p>
              </w:tc>
              <w:tc>
                <w:tcPr>
                  <w:tcW w:w="556" w:type="pct"/>
                  <w:tcBorders>
                    <w:top w:val="nil"/>
                    <w:left w:val="nil"/>
                    <w:bottom w:val="nil"/>
                    <w:right w:val="nil"/>
                  </w:tcBorders>
                  <w:shd w:val="clear" w:color="auto" w:fill="auto"/>
                  <w:vAlign w:val="bottom"/>
                </w:tcPr>
                <w:p w14:paraId="7954D3D5" w14:textId="77777777" w:rsidR="00F05DC7" w:rsidRPr="00027F36" w:rsidRDefault="00F05DC7" w:rsidP="00A3786D">
                  <w:pPr>
                    <w:pStyle w:val="TableBodyText"/>
                    <w:rPr>
                      <w:rFonts w:cs="Arial"/>
                      <w:szCs w:val="18"/>
                    </w:rPr>
                  </w:pPr>
                  <w:r w:rsidRPr="00027F36">
                    <w:rPr>
                      <w:rFonts w:cs="Arial"/>
                      <w:color w:val="000000"/>
                      <w:szCs w:val="18"/>
                    </w:rPr>
                    <w:t>-35</w:t>
                  </w:r>
                </w:p>
              </w:tc>
              <w:tc>
                <w:tcPr>
                  <w:tcW w:w="556" w:type="pct"/>
                  <w:tcBorders>
                    <w:top w:val="nil"/>
                    <w:left w:val="nil"/>
                    <w:bottom w:val="nil"/>
                    <w:right w:val="nil"/>
                  </w:tcBorders>
                  <w:shd w:val="clear" w:color="auto" w:fill="auto"/>
                  <w:vAlign w:val="bottom"/>
                </w:tcPr>
                <w:p w14:paraId="7954D3D6" w14:textId="77777777" w:rsidR="00F05DC7" w:rsidRPr="00027F36" w:rsidRDefault="00F05DC7" w:rsidP="00A3786D">
                  <w:pPr>
                    <w:pStyle w:val="TableBodyText"/>
                    <w:rPr>
                      <w:rFonts w:cs="Arial"/>
                      <w:szCs w:val="18"/>
                    </w:rPr>
                  </w:pPr>
                  <w:r w:rsidRPr="00027F36">
                    <w:rPr>
                      <w:rFonts w:cs="Arial"/>
                      <w:color w:val="000000"/>
                      <w:szCs w:val="18"/>
                    </w:rPr>
                    <w:t>142</w:t>
                  </w:r>
                </w:p>
              </w:tc>
              <w:tc>
                <w:tcPr>
                  <w:tcW w:w="555" w:type="pct"/>
                  <w:tcBorders>
                    <w:top w:val="nil"/>
                    <w:left w:val="nil"/>
                    <w:bottom w:val="nil"/>
                    <w:right w:val="nil"/>
                  </w:tcBorders>
                  <w:shd w:val="clear" w:color="auto" w:fill="auto"/>
                  <w:vAlign w:val="bottom"/>
                </w:tcPr>
                <w:p w14:paraId="7954D3D7" w14:textId="77777777" w:rsidR="00F05DC7" w:rsidRPr="00027F36" w:rsidRDefault="00F05DC7" w:rsidP="00A3786D">
                  <w:pPr>
                    <w:pStyle w:val="TableBodyText"/>
                    <w:rPr>
                      <w:rFonts w:cs="Arial"/>
                      <w:szCs w:val="18"/>
                    </w:rPr>
                  </w:pPr>
                  <w:r w:rsidRPr="00027F36">
                    <w:rPr>
                      <w:rFonts w:cs="Arial"/>
                      <w:color w:val="000000"/>
                      <w:szCs w:val="18"/>
                    </w:rPr>
                    <w:t>-35</w:t>
                  </w:r>
                </w:p>
              </w:tc>
              <w:tc>
                <w:tcPr>
                  <w:tcW w:w="555" w:type="pct"/>
                  <w:tcBorders>
                    <w:top w:val="nil"/>
                    <w:left w:val="nil"/>
                    <w:bottom w:val="nil"/>
                    <w:right w:val="nil"/>
                  </w:tcBorders>
                  <w:shd w:val="clear" w:color="auto" w:fill="auto"/>
                  <w:vAlign w:val="bottom"/>
                </w:tcPr>
                <w:p w14:paraId="7954D3D8" w14:textId="77777777" w:rsidR="00F05DC7" w:rsidRPr="00027F36" w:rsidRDefault="00F05DC7" w:rsidP="00A3786D">
                  <w:pPr>
                    <w:pStyle w:val="TableBodyText"/>
                    <w:rPr>
                      <w:rFonts w:cs="Arial"/>
                      <w:szCs w:val="18"/>
                    </w:rPr>
                  </w:pPr>
                  <w:r w:rsidRPr="00027F36">
                    <w:rPr>
                      <w:rFonts w:cs="Arial"/>
                      <w:color w:val="000000"/>
                      <w:szCs w:val="18"/>
                    </w:rPr>
                    <w:t>-35</w:t>
                  </w:r>
                </w:p>
              </w:tc>
              <w:tc>
                <w:tcPr>
                  <w:tcW w:w="555" w:type="pct"/>
                  <w:tcBorders>
                    <w:top w:val="nil"/>
                    <w:left w:val="nil"/>
                    <w:bottom w:val="nil"/>
                    <w:right w:val="nil"/>
                  </w:tcBorders>
                  <w:shd w:val="clear" w:color="auto" w:fill="auto"/>
                  <w:vAlign w:val="bottom"/>
                </w:tcPr>
                <w:p w14:paraId="7954D3D9" w14:textId="77777777" w:rsidR="00F05DC7" w:rsidRPr="00027F36" w:rsidRDefault="00F05DC7" w:rsidP="00A3786D">
                  <w:pPr>
                    <w:pStyle w:val="TableBodyText"/>
                    <w:rPr>
                      <w:rFonts w:cs="Arial"/>
                      <w:szCs w:val="18"/>
                    </w:rPr>
                  </w:pPr>
                  <w:r w:rsidRPr="00027F36">
                    <w:rPr>
                      <w:rFonts w:cs="Arial"/>
                      <w:color w:val="000000"/>
                      <w:szCs w:val="18"/>
                    </w:rPr>
                    <w:t>-35</w:t>
                  </w:r>
                </w:p>
              </w:tc>
              <w:tc>
                <w:tcPr>
                  <w:tcW w:w="553" w:type="pct"/>
                  <w:tcBorders>
                    <w:top w:val="nil"/>
                    <w:left w:val="nil"/>
                    <w:bottom w:val="nil"/>
                    <w:right w:val="nil"/>
                  </w:tcBorders>
                  <w:shd w:val="clear" w:color="auto" w:fill="auto"/>
                  <w:vAlign w:val="bottom"/>
                </w:tcPr>
                <w:p w14:paraId="7954D3DA" w14:textId="77777777" w:rsidR="00F05DC7" w:rsidRPr="00027F36" w:rsidRDefault="00F05DC7" w:rsidP="00A3786D">
                  <w:pPr>
                    <w:pStyle w:val="TableBodyText"/>
                    <w:rPr>
                      <w:rFonts w:cs="Arial"/>
                      <w:szCs w:val="18"/>
                    </w:rPr>
                  </w:pPr>
                  <w:r w:rsidRPr="00027F36">
                    <w:rPr>
                      <w:rFonts w:cs="Arial"/>
                      <w:color w:val="000000"/>
                      <w:szCs w:val="18"/>
                    </w:rPr>
                    <w:t>-35</w:t>
                  </w:r>
                </w:p>
              </w:tc>
            </w:tr>
            <w:tr w:rsidR="00F05DC7" w:rsidRPr="00A75ED1" w14:paraId="7954D3E5" w14:textId="77777777" w:rsidTr="001113B1">
              <w:tc>
                <w:tcPr>
                  <w:tcW w:w="556" w:type="pct"/>
                  <w:vAlign w:val="bottom"/>
                </w:tcPr>
                <w:p w14:paraId="7954D3DC" w14:textId="77777777" w:rsidR="00F05DC7" w:rsidRPr="00027F36" w:rsidRDefault="00F05DC7" w:rsidP="00A3786D">
                  <w:pPr>
                    <w:pStyle w:val="TableBodyText"/>
                    <w:rPr>
                      <w:rFonts w:cs="Arial"/>
                      <w:szCs w:val="18"/>
                    </w:rPr>
                  </w:pPr>
                  <w:r w:rsidRPr="00027F36">
                    <w:rPr>
                      <w:rFonts w:cs="Arial"/>
                      <w:szCs w:val="18"/>
                    </w:rPr>
                    <w:t>2020</w:t>
                  </w:r>
                  <w:r w:rsidRPr="00027F36">
                    <w:rPr>
                      <w:rFonts w:cs="Arial"/>
                      <w:szCs w:val="18"/>
                    </w:rPr>
                    <w:noBreakHyphen/>
                    <w:t>21</w:t>
                  </w:r>
                </w:p>
              </w:tc>
              <w:tc>
                <w:tcPr>
                  <w:tcW w:w="557" w:type="pct"/>
                  <w:tcBorders>
                    <w:top w:val="nil"/>
                    <w:left w:val="nil"/>
                    <w:bottom w:val="nil"/>
                    <w:right w:val="nil"/>
                  </w:tcBorders>
                  <w:shd w:val="clear" w:color="auto" w:fill="auto"/>
                  <w:vAlign w:val="bottom"/>
                </w:tcPr>
                <w:p w14:paraId="7954D3DD" w14:textId="77777777" w:rsidR="00F05DC7" w:rsidRPr="00027F36" w:rsidRDefault="00F05DC7" w:rsidP="00A3786D">
                  <w:pPr>
                    <w:pStyle w:val="TableBodyText"/>
                    <w:rPr>
                      <w:rFonts w:cs="Arial"/>
                      <w:szCs w:val="18"/>
                    </w:rPr>
                  </w:pPr>
                  <w:r w:rsidRPr="00027F36">
                    <w:rPr>
                      <w:rFonts w:cs="Arial"/>
                      <w:color w:val="000000"/>
                      <w:szCs w:val="18"/>
                    </w:rPr>
                    <w:t>15</w:t>
                  </w:r>
                </w:p>
              </w:tc>
              <w:tc>
                <w:tcPr>
                  <w:tcW w:w="557" w:type="pct"/>
                  <w:tcBorders>
                    <w:top w:val="nil"/>
                    <w:left w:val="nil"/>
                    <w:bottom w:val="nil"/>
                    <w:right w:val="nil"/>
                  </w:tcBorders>
                  <w:shd w:val="clear" w:color="auto" w:fill="auto"/>
                  <w:vAlign w:val="bottom"/>
                </w:tcPr>
                <w:p w14:paraId="7954D3DE" w14:textId="77777777" w:rsidR="00F05DC7" w:rsidRPr="00027F36" w:rsidRDefault="00F05DC7" w:rsidP="00A3786D">
                  <w:pPr>
                    <w:pStyle w:val="TableBodyText"/>
                    <w:rPr>
                      <w:rFonts w:cs="Arial"/>
                      <w:szCs w:val="18"/>
                    </w:rPr>
                  </w:pPr>
                  <w:r w:rsidRPr="00027F36">
                    <w:rPr>
                      <w:rFonts w:cs="Arial"/>
                      <w:color w:val="000000"/>
                      <w:szCs w:val="18"/>
                    </w:rPr>
                    <w:t>-34</w:t>
                  </w:r>
                </w:p>
              </w:tc>
              <w:tc>
                <w:tcPr>
                  <w:tcW w:w="556" w:type="pct"/>
                  <w:tcBorders>
                    <w:top w:val="nil"/>
                    <w:left w:val="nil"/>
                    <w:bottom w:val="nil"/>
                    <w:right w:val="nil"/>
                  </w:tcBorders>
                  <w:shd w:val="clear" w:color="auto" w:fill="auto"/>
                  <w:vAlign w:val="bottom"/>
                </w:tcPr>
                <w:p w14:paraId="7954D3DF" w14:textId="77777777" w:rsidR="00F05DC7" w:rsidRPr="00027F36" w:rsidRDefault="00F05DC7" w:rsidP="00A3786D">
                  <w:pPr>
                    <w:pStyle w:val="TableBodyText"/>
                    <w:rPr>
                      <w:rFonts w:cs="Arial"/>
                      <w:szCs w:val="18"/>
                    </w:rPr>
                  </w:pPr>
                  <w:r w:rsidRPr="00027F36">
                    <w:rPr>
                      <w:rFonts w:cs="Arial"/>
                      <w:color w:val="000000"/>
                      <w:szCs w:val="18"/>
                    </w:rPr>
                    <w:t>-37</w:t>
                  </w:r>
                </w:p>
              </w:tc>
              <w:tc>
                <w:tcPr>
                  <w:tcW w:w="556" w:type="pct"/>
                  <w:tcBorders>
                    <w:top w:val="nil"/>
                    <w:left w:val="nil"/>
                    <w:bottom w:val="nil"/>
                    <w:right w:val="nil"/>
                  </w:tcBorders>
                  <w:shd w:val="clear" w:color="auto" w:fill="auto"/>
                  <w:vAlign w:val="bottom"/>
                </w:tcPr>
                <w:p w14:paraId="7954D3E0" w14:textId="77777777" w:rsidR="00F05DC7" w:rsidRPr="00027F36" w:rsidRDefault="00F05DC7" w:rsidP="00A3786D">
                  <w:pPr>
                    <w:pStyle w:val="TableBodyText"/>
                    <w:rPr>
                      <w:rFonts w:cs="Arial"/>
                      <w:szCs w:val="18"/>
                    </w:rPr>
                  </w:pPr>
                  <w:r w:rsidRPr="00027F36">
                    <w:rPr>
                      <w:rFonts w:cs="Arial"/>
                      <w:color w:val="000000"/>
                      <w:szCs w:val="18"/>
                    </w:rPr>
                    <w:t>154</w:t>
                  </w:r>
                </w:p>
              </w:tc>
              <w:tc>
                <w:tcPr>
                  <w:tcW w:w="555" w:type="pct"/>
                  <w:tcBorders>
                    <w:top w:val="nil"/>
                    <w:left w:val="nil"/>
                    <w:bottom w:val="nil"/>
                    <w:right w:val="nil"/>
                  </w:tcBorders>
                  <w:shd w:val="clear" w:color="auto" w:fill="auto"/>
                  <w:vAlign w:val="bottom"/>
                </w:tcPr>
                <w:p w14:paraId="7954D3E1" w14:textId="77777777" w:rsidR="00F05DC7" w:rsidRPr="00027F36" w:rsidRDefault="00F05DC7" w:rsidP="00A3786D">
                  <w:pPr>
                    <w:pStyle w:val="TableBodyText"/>
                    <w:rPr>
                      <w:rFonts w:cs="Arial"/>
                      <w:szCs w:val="18"/>
                    </w:rPr>
                  </w:pPr>
                  <w:r w:rsidRPr="00027F36">
                    <w:rPr>
                      <w:rFonts w:cs="Arial"/>
                      <w:color w:val="000000"/>
                      <w:szCs w:val="18"/>
                    </w:rPr>
                    <w:t>-37</w:t>
                  </w:r>
                </w:p>
              </w:tc>
              <w:tc>
                <w:tcPr>
                  <w:tcW w:w="555" w:type="pct"/>
                  <w:tcBorders>
                    <w:top w:val="nil"/>
                    <w:left w:val="nil"/>
                    <w:bottom w:val="nil"/>
                    <w:right w:val="nil"/>
                  </w:tcBorders>
                  <w:shd w:val="clear" w:color="auto" w:fill="auto"/>
                  <w:vAlign w:val="bottom"/>
                </w:tcPr>
                <w:p w14:paraId="7954D3E2" w14:textId="77777777" w:rsidR="00F05DC7" w:rsidRPr="00027F36" w:rsidRDefault="00F05DC7" w:rsidP="00A3786D">
                  <w:pPr>
                    <w:pStyle w:val="TableBodyText"/>
                    <w:rPr>
                      <w:rFonts w:cs="Arial"/>
                      <w:szCs w:val="18"/>
                    </w:rPr>
                  </w:pPr>
                  <w:r w:rsidRPr="00027F36">
                    <w:rPr>
                      <w:rFonts w:cs="Arial"/>
                      <w:color w:val="000000"/>
                      <w:szCs w:val="18"/>
                    </w:rPr>
                    <w:t>-37</w:t>
                  </w:r>
                </w:p>
              </w:tc>
              <w:tc>
                <w:tcPr>
                  <w:tcW w:w="555" w:type="pct"/>
                  <w:tcBorders>
                    <w:top w:val="nil"/>
                    <w:left w:val="nil"/>
                    <w:bottom w:val="nil"/>
                    <w:right w:val="nil"/>
                  </w:tcBorders>
                  <w:shd w:val="clear" w:color="auto" w:fill="auto"/>
                  <w:vAlign w:val="bottom"/>
                </w:tcPr>
                <w:p w14:paraId="7954D3E3" w14:textId="77777777" w:rsidR="00F05DC7" w:rsidRPr="00027F36" w:rsidRDefault="00F05DC7" w:rsidP="00A3786D">
                  <w:pPr>
                    <w:pStyle w:val="TableBodyText"/>
                    <w:rPr>
                      <w:rFonts w:cs="Arial"/>
                      <w:szCs w:val="18"/>
                    </w:rPr>
                  </w:pPr>
                  <w:r w:rsidRPr="00027F36">
                    <w:rPr>
                      <w:rFonts w:cs="Arial"/>
                      <w:color w:val="000000"/>
                      <w:szCs w:val="18"/>
                    </w:rPr>
                    <w:t>-37</w:t>
                  </w:r>
                </w:p>
              </w:tc>
              <w:tc>
                <w:tcPr>
                  <w:tcW w:w="553" w:type="pct"/>
                  <w:tcBorders>
                    <w:top w:val="nil"/>
                    <w:left w:val="nil"/>
                    <w:bottom w:val="nil"/>
                    <w:right w:val="nil"/>
                  </w:tcBorders>
                  <w:shd w:val="clear" w:color="auto" w:fill="auto"/>
                  <w:vAlign w:val="bottom"/>
                </w:tcPr>
                <w:p w14:paraId="7954D3E4" w14:textId="77777777" w:rsidR="00F05DC7" w:rsidRPr="00027F36" w:rsidRDefault="00F05DC7" w:rsidP="00A3786D">
                  <w:pPr>
                    <w:pStyle w:val="TableBodyText"/>
                    <w:rPr>
                      <w:rFonts w:cs="Arial"/>
                      <w:szCs w:val="18"/>
                    </w:rPr>
                  </w:pPr>
                  <w:r w:rsidRPr="00027F36">
                    <w:rPr>
                      <w:rFonts w:cs="Arial"/>
                      <w:color w:val="000000"/>
                      <w:szCs w:val="18"/>
                    </w:rPr>
                    <w:t>-37</w:t>
                  </w:r>
                </w:p>
              </w:tc>
            </w:tr>
            <w:tr w:rsidR="00F05DC7" w:rsidRPr="00A75ED1" w14:paraId="7954D3EF" w14:textId="77777777" w:rsidTr="001113B1">
              <w:tc>
                <w:tcPr>
                  <w:tcW w:w="556" w:type="pct"/>
                  <w:vAlign w:val="bottom"/>
                </w:tcPr>
                <w:p w14:paraId="7954D3E6" w14:textId="77777777" w:rsidR="00F05DC7" w:rsidRPr="00027F36" w:rsidRDefault="00F05DC7" w:rsidP="00A3786D">
                  <w:pPr>
                    <w:pStyle w:val="TableBodyText"/>
                    <w:rPr>
                      <w:rFonts w:cs="Arial"/>
                      <w:szCs w:val="18"/>
                    </w:rPr>
                  </w:pPr>
                  <w:r w:rsidRPr="00027F36">
                    <w:rPr>
                      <w:rFonts w:cs="Arial"/>
                      <w:szCs w:val="18"/>
                    </w:rPr>
                    <w:t>2021</w:t>
                  </w:r>
                  <w:r w:rsidRPr="00027F36">
                    <w:rPr>
                      <w:rFonts w:cs="Arial"/>
                      <w:szCs w:val="18"/>
                    </w:rPr>
                    <w:noBreakHyphen/>
                    <w:t>22</w:t>
                  </w:r>
                </w:p>
              </w:tc>
              <w:tc>
                <w:tcPr>
                  <w:tcW w:w="557" w:type="pct"/>
                  <w:tcBorders>
                    <w:top w:val="nil"/>
                    <w:left w:val="nil"/>
                    <w:bottom w:val="nil"/>
                    <w:right w:val="nil"/>
                  </w:tcBorders>
                  <w:shd w:val="clear" w:color="auto" w:fill="auto"/>
                  <w:vAlign w:val="bottom"/>
                </w:tcPr>
                <w:p w14:paraId="7954D3E7" w14:textId="77777777" w:rsidR="00F05DC7" w:rsidRPr="00027F36" w:rsidRDefault="00F05DC7" w:rsidP="00A3786D">
                  <w:pPr>
                    <w:pStyle w:val="TableBodyText"/>
                    <w:rPr>
                      <w:rFonts w:cs="Arial"/>
                      <w:szCs w:val="18"/>
                    </w:rPr>
                  </w:pPr>
                  <w:r w:rsidRPr="00027F36">
                    <w:rPr>
                      <w:rFonts w:cs="Arial"/>
                      <w:color w:val="000000"/>
                      <w:szCs w:val="18"/>
                    </w:rPr>
                    <w:t>16</w:t>
                  </w:r>
                </w:p>
              </w:tc>
              <w:tc>
                <w:tcPr>
                  <w:tcW w:w="557" w:type="pct"/>
                  <w:tcBorders>
                    <w:top w:val="nil"/>
                    <w:left w:val="nil"/>
                    <w:bottom w:val="nil"/>
                    <w:right w:val="nil"/>
                  </w:tcBorders>
                  <w:shd w:val="clear" w:color="auto" w:fill="auto"/>
                  <w:vAlign w:val="bottom"/>
                </w:tcPr>
                <w:p w14:paraId="7954D3E8" w14:textId="77777777" w:rsidR="00F05DC7" w:rsidRPr="00027F36" w:rsidRDefault="00F05DC7" w:rsidP="00A3786D">
                  <w:pPr>
                    <w:pStyle w:val="TableBodyText"/>
                    <w:rPr>
                      <w:rFonts w:cs="Arial"/>
                      <w:szCs w:val="18"/>
                    </w:rPr>
                  </w:pPr>
                  <w:r w:rsidRPr="00027F36">
                    <w:rPr>
                      <w:rFonts w:cs="Arial"/>
                      <w:color w:val="000000"/>
                      <w:szCs w:val="18"/>
                    </w:rPr>
                    <w:t>-37</w:t>
                  </w:r>
                </w:p>
              </w:tc>
              <w:tc>
                <w:tcPr>
                  <w:tcW w:w="556" w:type="pct"/>
                  <w:tcBorders>
                    <w:top w:val="nil"/>
                    <w:left w:val="nil"/>
                    <w:bottom w:val="nil"/>
                    <w:right w:val="nil"/>
                  </w:tcBorders>
                  <w:shd w:val="clear" w:color="auto" w:fill="auto"/>
                  <w:vAlign w:val="bottom"/>
                </w:tcPr>
                <w:p w14:paraId="7954D3E9" w14:textId="77777777" w:rsidR="00F05DC7" w:rsidRPr="00027F36" w:rsidRDefault="00F05DC7" w:rsidP="00A3786D">
                  <w:pPr>
                    <w:pStyle w:val="TableBodyText"/>
                    <w:rPr>
                      <w:rFonts w:cs="Arial"/>
                      <w:szCs w:val="18"/>
                    </w:rPr>
                  </w:pPr>
                  <w:r w:rsidRPr="00027F36">
                    <w:rPr>
                      <w:rFonts w:cs="Arial"/>
                      <w:color w:val="000000"/>
                      <w:szCs w:val="18"/>
                    </w:rPr>
                    <w:t>-40</w:t>
                  </w:r>
                </w:p>
              </w:tc>
              <w:tc>
                <w:tcPr>
                  <w:tcW w:w="556" w:type="pct"/>
                  <w:tcBorders>
                    <w:top w:val="nil"/>
                    <w:left w:val="nil"/>
                    <w:bottom w:val="nil"/>
                    <w:right w:val="nil"/>
                  </w:tcBorders>
                  <w:shd w:val="clear" w:color="auto" w:fill="auto"/>
                  <w:vAlign w:val="bottom"/>
                </w:tcPr>
                <w:p w14:paraId="7954D3EA" w14:textId="77777777" w:rsidR="00F05DC7" w:rsidRPr="00027F36" w:rsidRDefault="00F05DC7" w:rsidP="00A3786D">
                  <w:pPr>
                    <w:pStyle w:val="TableBodyText"/>
                    <w:rPr>
                      <w:rFonts w:cs="Arial"/>
                      <w:szCs w:val="18"/>
                    </w:rPr>
                  </w:pPr>
                  <w:r w:rsidRPr="00027F36">
                    <w:rPr>
                      <w:rFonts w:cs="Arial"/>
                      <w:color w:val="000000"/>
                      <w:szCs w:val="18"/>
                    </w:rPr>
                    <w:t>167</w:t>
                  </w:r>
                </w:p>
              </w:tc>
              <w:tc>
                <w:tcPr>
                  <w:tcW w:w="555" w:type="pct"/>
                  <w:tcBorders>
                    <w:top w:val="nil"/>
                    <w:left w:val="nil"/>
                    <w:bottom w:val="nil"/>
                    <w:right w:val="nil"/>
                  </w:tcBorders>
                  <w:shd w:val="clear" w:color="auto" w:fill="auto"/>
                  <w:vAlign w:val="bottom"/>
                </w:tcPr>
                <w:p w14:paraId="7954D3EB" w14:textId="77777777" w:rsidR="00F05DC7" w:rsidRPr="00027F36" w:rsidRDefault="00F05DC7" w:rsidP="00A3786D">
                  <w:pPr>
                    <w:pStyle w:val="TableBodyText"/>
                    <w:rPr>
                      <w:rFonts w:cs="Arial"/>
                      <w:szCs w:val="18"/>
                    </w:rPr>
                  </w:pPr>
                  <w:r w:rsidRPr="00027F36">
                    <w:rPr>
                      <w:rFonts w:cs="Arial"/>
                      <w:color w:val="000000"/>
                      <w:szCs w:val="18"/>
                    </w:rPr>
                    <w:t>-40</w:t>
                  </w:r>
                </w:p>
              </w:tc>
              <w:tc>
                <w:tcPr>
                  <w:tcW w:w="555" w:type="pct"/>
                  <w:tcBorders>
                    <w:top w:val="nil"/>
                    <w:left w:val="nil"/>
                    <w:bottom w:val="nil"/>
                    <w:right w:val="nil"/>
                  </w:tcBorders>
                  <w:shd w:val="clear" w:color="auto" w:fill="auto"/>
                  <w:vAlign w:val="bottom"/>
                </w:tcPr>
                <w:p w14:paraId="7954D3EC" w14:textId="77777777" w:rsidR="00F05DC7" w:rsidRPr="00027F36" w:rsidRDefault="00F05DC7" w:rsidP="00A3786D">
                  <w:pPr>
                    <w:pStyle w:val="TableBodyText"/>
                    <w:rPr>
                      <w:rFonts w:cs="Arial"/>
                      <w:szCs w:val="18"/>
                    </w:rPr>
                  </w:pPr>
                  <w:r w:rsidRPr="00027F36">
                    <w:rPr>
                      <w:rFonts w:cs="Arial"/>
                      <w:color w:val="000000"/>
                      <w:szCs w:val="18"/>
                    </w:rPr>
                    <w:t>-39</w:t>
                  </w:r>
                </w:p>
              </w:tc>
              <w:tc>
                <w:tcPr>
                  <w:tcW w:w="555" w:type="pct"/>
                  <w:tcBorders>
                    <w:top w:val="nil"/>
                    <w:left w:val="nil"/>
                    <w:bottom w:val="nil"/>
                    <w:right w:val="nil"/>
                  </w:tcBorders>
                  <w:shd w:val="clear" w:color="auto" w:fill="auto"/>
                  <w:vAlign w:val="bottom"/>
                </w:tcPr>
                <w:p w14:paraId="7954D3ED" w14:textId="77777777" w:rsidR="00F05DC7" w:rsidRPr="00027F36" w:rsidRDefault="00F05DC7" w:rsidP="00A3786D">
                  <w:pPr>
                    <w:pStyle w:val="TableBodyText"/>
                    <w:rPr>
                      <w:rFonts w:cs="Arial"/>
                      <w:szCs w:val="18"/>
                    </w:rPr>
                  </w:pPr>
                  <w:r w:rsidRPr="00027F36">
                    <w:rPr>
                      <w:rFonts w:cs="Arial"/>
                      <w:color w:val="000000"/>
                      <w:szCs w:val="18"/>
                    </w:rPr>
                    <w:t>-40</w:t>
                  </w:r>
                </w:p>
              </w:tc>
              <w:tc>
                <w:tcPr>
                  <w:tcW w:w="553" w:type="pct"/>
                  <w:tcBorders>
                    <w:top w:val="nil"/>
                    <w:left w:val="nil"/>
                    <w:bottom w:val="nil"/>
                    <w:right w:val="nil"/>
                  </w:tcBorders>
                  <w:shd w:val="clear" w:color="auto" w:fill="auto"/>
                  <w:vAlign w:val="bottom"/>
                </w:tcPr>
                <w:p w14:paraId="7954D3EE" w14:textId="77777777" w:rsidR="00F05DC7" w:rsidRPr="00027F36" w:rsidRDefault="00F05DC7" w:rsidP="00A3786D">
                  <w:pPr>
                    <w:pStyle w:val="TableBodyText"/>
                    <w:rPr>
                      <w:rFonts w:cs="Arial"/>
                      <w:szCs w:val="18"/>
                    </w:rPr>
                  </w:pPr>
                  <w:r w:rsidRPr="00027F36">
                    <w:rPr>
                      <w:rFonts w:cs="Arial"/>
                      <w:color w:val="000000"/>
                      <w:szCs w:val="18"/>
                    </w:rPr>
                    <w:t>-39</w:t>
                  </w:r>
                </w:p>
              </w:tc>
            </w:tr>
            <w:tr w:rsidR="00F05DC7" w:rsidRPr="00A75ED1" w14:paraId="7954D3F9" w14:textId="77777777" w:rsidTr="001113B1">
              <w:tc>
                <w:tcPr>
                  <w:tcW w:w="556" w:type="pct"/>
                </w:tcPr>
                <w:p w14:paraId="7954D3F0" w14:textId="77777777" w:rsidR="00F05DC7" w:rsidRPr="00027F36" w:rsidRDefault="00F05DC7" w:rsidP="00A3786D">
                  <w:pPr>
                    <w:pStyle w:val="TableBodyText"/>
                    <w:rPr>
                      <w:rFonts w:cs="Arial"/>
                      <w:szCs w:val="18"/>
                    </w:rPr>
                  </w:pPr>
                  <w:r w:rsidRPr="00027F36">
                    <w:rPr>
                      <w:rFonts w:cs="Arial"/>
                      <w:szCs w:val="18"/>
                    </w:rPr>
                    <w:t>2022</w:t>
                  </w:r>
                  <w:r w:rsidRPr="00027F36">
                    <w:rPr>
                      <w:rFonts w:cs="Arial"/>
                      <w:szCs w:val="18"/>
                    </w:rPr>
                    <w:noBreakHyphen/>
                    <w:t>23</w:t>
                  </w:r>
                </w:p>
              </w:tc>
              <w:tc>
                <w:tcPr>
                  <w:tcW w:w="557" w:type="pct"/>
                  <w:tcBorders>
                    <w:top w:val="nil"/>
                    <w:left w:val="nil"/>
                    <w:bottom w:val="nil"/>
                    <w:right w:val="nil"/>
                  </w:tcBorders>
                  <w:shd w:val="clear" w:color="auto" w:fill="auto"/>
                  <w:vAlign w:val="bottom"/>
                </w:tcPr>
                <w:p w14:paraId="7954D3F1" w14:textId="77777777" w:rsidR="00F05DC7" w:rsidRPr="00027F36" w:rsidRDefault="00F05DC7" w:rsidP="00A3786D">
                  <w:pPr>
                    <w:pStyle w:val="TableBodyText"/>
                    <w:rPr>
                      <w:rFonts w:cs="Arial"/>
                      <w:szCs w:val="18"/>
                    </w:rPr>
                  </w:pPr>
                  <w:r w:rsidRPr="00027F36">
                    <w:rPr>
                      <w:rFonts w:cs="Arial"/>
                      <w:color w:val="000000"/>
                      <w:szCs w:val="18"/>
                    </w:rPr>
                    <w:t>17</w:t>
                  </w:r>
                </w:p>
              </w:tc>
              <w:tc>
                <w:tcPr>
                  <w:tcW w:w="557" w:type="pct"/>
                  <w:tcBorders>
                    <w:top w:val="nil"/>
                    <w:left w:val="nil"/>
                    <w:bottom w:val="nil"/>
                    <w:right w:val="nil"/>
                  </w:tcBorders>
                  <w:shd w:val="clear" w:color="auto" w:fill="auto"/>
                  <w:vAlign w:val="bottom"/>
                </w:tcPr>
                <w:p w14:paraId="7954D3F2" w14:textId="77777777" w:rsidR="00F05DC7" w:rsidRPr="00027F36" w:rsidRDefault="00F05DC7" w:rsidP="00A3786D">
                  <w:pPr>
                    <w:pStyle w:val="TableBodyText"/>
                    <w:rPr>
                      <w:rFonts w:cs="Arial"/>
                      <w:szCs w:val="18"/>
                    </w:rPr>
                  </w:pPr>
                  <w:r w:rsidRPr="00027F36">
                    <w:rPr>
                      <w:rFonts w:cs="Arial"/>
                      <w:color w:val="000000"/>
                      <w:szCs w:val="18"/>
                    </w:rPr>
                    <w:t>-40</w:t>
                  </w:r>
                </w:p>
              </w:tc>
              <w:tc>
                <w:tcPr>
                  <w:tcW w:w="556" w:type="pct"/>
                  <w:tcBorders>
                    <w:top w:val="nil"/>
                    <w:left w:val="nil"/>
                    <w:bottom w:val="nil"/>
                    <w:right w:val="nil"/>
                  </w:tcBorders>
                  <w:shd w:val="clear" w:color="auto" w:fill="auto"/>
                  <w:vAlign w:val="bottom"/>
                </w:tcPr>
                <w:p w14:paraId="7954D3F3" w14:textId="77777777" w:rsidR="00F05DC7" w:rsidRPr="00027F36" w:rsidRDefault="00F05DC7" w:rsidP="00A3786D">
                  <w:pPr>
                    <w:pStyle w:val="TableBodyText"/>
                    <w:rPr>
                      <w:rFonts w:cs="Arial"/>
                      <w:szCs w:val="18"/>
                    </w:rPr>
                  </w:pPr>
                  <w:r w:rsidRPr="00027F36">
                    <w:rPr>
                      <w:rFonts w:cs="Arial"/>
                      <w:color w:val="000000"/>
                      <w:szCs w:val="18"/>
                    </w:rPr>
                    <w:t>-43</w:t>
                  </w:r>
                </w:p>
              </w:tc>
              <w:tc>
                <w:tcPr>
                  <w:tcW w:w="556" w:type="pct"/>
                  <w:tcBorders>
                    <w:top w:val="nil"/>
                    <w:left w:val="nil"/>
                    <w:bottom w:val="nil"/>
                    <w:right w:val="nil"/>
                  </w:tcBorders>
                  <w:shd w:val="clear" w:color="auto" w:fill="auto"/>
                  <w:vAlign w:val="bottom"/>
                </w:tcPr>
                <w:p w14:paraId="7954D3F4" w14:textId="77777777" w:rsidR="00F05DC7" w:rsidRPr="00027F36" w:rsidRDefault="00F05DC7" w:rsidP="00A3786D">
                  <w:pPr>
                    <w:pStyle w:val="TableBodyText"/>
                    <w:rPr>
                      <w:rFonts w:cs="Arial"/>
                      <w:szCs w:val="18"/>
                    </w:rPr>
                  </w:pPr>
                  <w:r w:rsidRPr="00027F36">
                    <w:rPr>
                      <w:rFonts w:cs="Arial"/>
                      <w:color w:val="000000"/>
                      <w:szCs w:val="18"/>
                    </w:rPr>
                    <w:t>180</w:t>
                  </w:r>
                </w:p>
              </w:tc>
              <w:tc>
                <w:tcPr>
                  <w:tcW w:w="555" w:type="pct"/>
                  <w:tcBorders>
                    <w:top w:val="nil"/>
                    <w:left w:val="nil"/>
                    <w:bottom w:val="nil"/>
                    <w:right w:val="nil"/>
                  </w:tcBorders>
                  <w:shd w:val="clear" w:color="auto" w:fill="auto"/>
                  <w:vAlign w:val="bottom"/>
                </w:tcPr>
                <w:p w14:paraId="7954D3F5" w14:textId="77777777" w:rsidR="00F05DC7" w:rsidRPr="00027F36" w:rsidRDefault="00F05DC7" w:rsidP="00A3786D">
                  <w:pPr>
                    <w:pStyle w:val="TableBodyText"/>
                    <w:rPr>
                      <w:rFonts w:cs="Arial"/>
                      <w:szCs w:val="18"/>
                    </w:rPr>
                  </w:pPr>
                  <w:r w:rsidRPr="00027F36">
                    <w:rPr>
                      <w:rFonts w:cs="Arial"/>
                      <w:color w:val="000000"/>
                      <w:szCs w:val="18"/>
                    </w:rPr>
                    <w:t>-42</w:t>
                  </w:r>
                </w:p>
              </w:tc>
              <w:tc>
                <w:tcPr>
                  <w:tcW w:w="555" w:type="pct"/>
                  <w:tcBorders>
                    <w:top w:val="nil"/>
                    <w:left w:val="nil"/>
                    <w:bottom w:val="nil"/>
                    <w:right w:val="nil"/>
                  </w:tcBorders>
                  <w:shd w:val="clear" w:color="auto" w:fill="auto"/>
                  <w:vAlign w:val="bottom"/>
                </w:tcPr>
                <w:p w14:paraId="7954D3F6" w14:textId="77777777" w:rsidR="00F05DC7" w:rsidRPr="00027F36" w:rsidRDefault="00F05DC7" w:rsidP="00A3786D">
                  <w:pPr>
                    <w:pStyle w:val="TableBodyText"/>
                    <w:rPr>
                      <w:rFonts w:cs="Arial"/>
                      <w:szCs w:val="18"/>
                    </w:rPr>
                  </w:pPr>
                  <w:r w:rsidRPr="00027F36">
                    <w:rPr>
                      <w:rFonts w:cs="Arial"/>
                      <w:color w:val="000000"/>
                      <w:szCs w:val="18"/>
                    </w:rPr>
                    <w:t>-42</w:t>
                  </w:r>
                </w:p>
              </w:tc>
              <w:tc>
                <w:tcPr>
                  <w:tcW w:w="555" w:type="pct"/>
                  <w:tcBorders>
                    <w:top w:val="nil"/>
                    <w:left w:val="nil"/>
                    <w:bottom w:val="nil"/>
                    <w:right w:val="nil"/>
                  </w:tcBorders>
                  <w:shd w:val="clear" w:color="auto" w:fill="auto"/>
                  <w:vAlign w:val="bottom"/>
                </w:tcPr>
                <w:p w14:paraId="7954D3F7" w14:textId="77777777" w:rsidR="00F05DC7" w:rsidRPr="00027F36" w:rsidRDefault="00F05DC7" w:rsidP="00A3786D">
                  <w:pPr>
                    <w:pStyle w:val="TableBodyText"/>
                    <w:rPr>
                      <w:rFonts w:cs="Arial"/>
                      <w:szCs w:val="18"/>
                    </w:rPr>
                  </w:pPr>
                  <w:r w:rsidRPr="00027F36">
                    <w:rPr>
                      <w:rFonts w:cs="Arial"/>
                      <w:color w:val="000000"/>
                      <w:szCs w:val="18"/>
                    </w:rPr>
                    <w:t>-43</w:t>
                  </w:r>
                </w:p>
              </w:tc>
              <w:tc>
                <w:tcPr>
                  <w:tcW w:w="553" w:type="pct"/>
                  <w:tcBorders>
                    <w:top w:val="nil"/>
                    <w:left w:val="nil"/>
                    <w:bottom w:val="nil"/>
                    <w:right w:val="nil"/>
                  </w:tcBorders>
                  <w:shd w:val="clear" w:color="auto" w:fill="auto"/>
                  <w:vAlign w:val="bottom"/>
                </w:tcPr>
                <w:p w14:paraId="7954D3F8" w14:textId="77777777" w:rsidR="00F05DC7" w:rsidRPr="00027F36" w:rsidRDefault="00F05DC7" w:rsidP="00A3786D">
                  <w:pPr>
                    <w:pStyle w:val="TableBodyText"/>
                    <w:rPr>
                      <w:rFonts w:cs="Arial"/>
                      <w:szCs w:val="18"/>
                    </w:rPr>
                  </w:pPr>
                  <w:r w:rsidRPr="00027F36">
                    <w:rPr>
                      <w:rFonts w:cs="Arial"/>
                      <w:color w:val="000000"/>
                      <w:szCs w:val="18"/>
                    </w:rPr>
                    <w:t>-42</w:t>
                  </w:r>
                </w:p>
              </w:tc>
            </w:tr>
            <w:tr w:rsidR="00F05DC7" w:rsidRPr="00A75ED1" w14:paraId="7954D403" w14:textId="77777777" w:rsidTr="001113B1">
              <w:tc>
                <w:tcPr>
                  <w:tcW w:w="556" w:type="pct"/>
                </w:tcPr>
                <w:p w14:paraId="7954D3FA" w14:textId="77777777" w:rsidR="00F05DC7" w:rsidRPr="00027F36" w:rsidRDefault="00F05DC7" w:rsidP="00A3786D">
                  <w:pPr>
                    <w:pStyle w:val="TableBodyText"/>
                    <w:rPr>
                      <w:rFonts w:cs="Arial"/>
                      <w:szCs w:val="18"/>
                    </w:rPr>
                  </w:pPr>
                  <w:r w:rsidRPr="00027F36">
                    <w:rPr>
                      <w:rFonts w:cs="Arial"/>
                      <w:szCs w:val="18"/>
                    </w:rPr>
                    <w:t>2023</w:t>
                  </w:r>
                  <w:r w:rsidRPr="00027F36">
                    <w:rPr>
                      <w:rFonts w:cs="Arial"/>
                      <w:szCs w:val="18"/>
                    </w:rPr>
                    <w:noBreakHyphen/>
                    <w:t>24</w:t>
                  </w:r>
                </w:p>
              </w:tc>
              <w:tc>
                <w:tcPr>
                  <w:tcW w:w="557" w:type="pct"/>
                  <w:tcBorders>
                    <w:top w:val="nil"/>
                    <w:left w:val="nil"/>
                    <w:bottom w:val="nil"/>
                    <w:right w:val="nil"/>
                  </w:tcBorders>
                  <w:shd w:val="clear" w:color="auto" w:fill="auto"/>
                  <w:vAlign w:val="bottom"/>
                </w:tcPr>
                <w:p w14:paraId="7954D3FB" w14:textId="77777777" w:rsidR="00F05DC7" w:rsidRPr="00027F36" w:rsidRDefault="00F05DC7" w:rsidP="00A3786D">
                  <w:pPr>
                    <w:pStyle w:val="TableBodyText"/>
                    <w:rPr>
                      <w:rFonts w:cs="Arial"/>
                      <w:szCs w:val="18"/>
                    </w:rPr>
                  </w:pPr>
                  <w:r w:rsidRPr="00027F36">
                    <w:rPr>
                      <w:rFonts w:cs="Arial"/>
                      <w:color w:val="000000"/>
                      <w:szCs w:val="18"/>
                    </w:rPr>
                    <w:t>19</w:t>
                  </w:r>
                </w:p>
              </w:tc>
              <w:tc>
                <w:tcPr>
                  <w:tcW w:w="557" w:type="pct"/>
                  <w:tcBorders>
                    <w:top w:val="nil"/>
                    <w:left w:val="nil"/>
                    <w:bottom w:val="nil"/>
                    <w:right w:val="nil"/>
                  </w:tcBorders>
                  <w:shd w:val="clear" w:color="auto" w:fill="auto"/>
                  <w:vAlign w:val="bottom"/>
                </w:tcPr>
                <w:p w14:paraId="7954D3FC" w14:textId="77777777" w:rsidR="00F05DC7" w:rsidRPr="00027F36" w:rsidRDefault="00F05DC7" w:rsidP="00A3786D">
                  <w:pPr>
                    <w:pStyle w:val="TableBodyText"/>
                    <w:rPr>
                      <w:rFonts w:cs="Arial"/>
                      <w:szCs w:val="18"/>
                    </w:rPr>
                  </w:pPr>
                  <w:r w:rsidRPr="00027F36">
                    <w:rPr>
                      <w:rFonts w:cs="Arial"/>
                      <w:color w:val="000000"/>
                      <w:szCs w:val="18"/>
                    </w:rPr>
                    <w:t>-44</w:t>
                  </w:r>
                </w:p>
              </w:tc>
              <w:tc>
                <w:tcPr>
                  <w:tcW w:w="556" w:type="pct"/>
                  <w:tcBorders>
                    <w:top w:val="nil"/>
                    <w:left w:val="nil"/>
                    <w:bottom w:val="nil"/>
                    <w:right w:val="nil"/>
                  </w:tcBorders>
                  <w:shd w:val="clear" w:color="auto" w:fill="auto"/>
                  <w:vAlign w:val="bottom"/>
                </w:tcPr>
                <w:p w14:paraId="7954D3FD" w14:textId="77777777" w:rsidR="00F05DC7" w:rsidRPr="00027F36" w:rsidRDefault="00F05DC7" w:rsidP="00A3786D">
                  <w:pPr>
                    <w:pStyle w:val="TableBodyText"/>
                    <w:rPr>
                      <w:rFonts w:cs="Arial"/>
                      <w:szCs w:val="18"/>
                    </w:rPr>
                  </w:pPr>
                  <w:r w:rsidRPr="00027F36">
                    <w:rPr>
                      <w:rFonts w:cs="Arial"/>
                      <w:color w:val="000000"/>
                      <w:szCs w:val="18"/>
                    </w:rPr>
                    <w:t>-46</w:t>
                  </w:r>
                </w:p>
              </w:tc>
              <w:tc>
                <w:tcPr>
                  <w:tcW w:w="556" w:type="pct"/>
                  <w:tcBorders>
                    <w:top w:val="nil"/>
                    <w:left w:val="nil"/>
                    <w:bottom w:val="nil"/>
                    <w:right w:val="nil"/>
                  </w:tcBorders>
                  <w:shd w:val="clear" w:color="auto" w:fill="auto"/>
                  <w:vAlign w:val="bottom"/>
                </w:tcPr>
                <w:p w14:paraId="7954D3FE" w14:textId="77777777" w:rsidR="00F05DC7" w:rsidRPr="00027F36" w:rsidRDefault="00F05DC7" w:rsidP="00A3786D">
                  <w:pPr>
                    <w:pStyle w:val="TableBodyText"/>
                    <w:rPr>
                      <w:rFonts w:cs="Arial"/>
                      <w:szCs w:val="18"/>
                    </w:rPr>
                  </w:pPr>
                  <w:r w:rsidRPr="00027F36">
                    <w:rPr>
                      <w:rFonts w:cs="Arial"/>
                      <w:color w:val="000000"/>
                      <w:szCs w:val="18"/>
                    </w:rPr>
                    <w:t>194</w:t>
                  </w:r>
                </w:p>
              </w:tc>
              <w:tc>
                <w:tcPr>
                  <w:tcW w:w="555" w:type="pct"/>
                  <w:tcBorders>
                    <w:top w:val="nil"/>
                    <w:left w:val="nil"/>
                    <w:bottom w:val="nil"/>
                    <w:right w:val="nil"/>
                  </w:tcBorders>
                  <w:shd w:val="clear" w:color="auto" w:fill="auto"/>
                  <w:vAlign w:val="bottom"/>
                </w:tcPr>
                <w:p w14:paraId="7954D3FF" w14:textId="77777777" w:rsidR="00F05DC7" w:rsidRPr="00027F36" w:rsidRDefault="00F05DC7" w:rsidP="00A3786D">
                  <w:pPr>
                    <w:pStyle w:val="TableBodyText"/>
                    <w:rPr>
                      <w:rFonts w:cs="Arial"/>
                      <w:szCs w:val="18"/>
                    </w:rPr>
                  </w:pPr>
                  <w:r w:rsidRPr="00027F36">
                    <w:rPr>
                      <w:rFonts w:cs="Arial"/>
                      <w:color w:val="000000"/>
                      <w:szCs w:val="18"/>
                    </w:rPr>
                    <w:t>-45</w:t>
                  </w:r>
                </w:p>
              </w:tc>
              <w:tc>
                <w:tcPr>
                  <w:tcW w:w="555" w:type="pct"/>
                  <w:tcBorders>
                    <w:top w:val="nil"/>
                    <w:left w:val="nil"/>
                    <w:bottom w:val="nil"/>
                    <w:right w:val="nil"/>
                  </w:tcBorders>
                  <w:shd w:val="clear" w:color="auto" w:fill="auto"/>
                  <w:vAlign w:val="bottom"/>
                </w:tcPr>
                <w:p w14:paraId="7954D400" w14:textId="77777777" w:rsidR="00F05DC7" w:rsidRPr="00027F36" w:rsidRDefault="00F05DC7" w:rsidP="00A3786D">
                  <w:pPr>
                    <w:pStyle w:val="TableBodyText"/>
                    <w:rPr>
                      <w:rFonts w:cs="Arial"/>
                      <w:szCs w:val="18"/>
                    </w:rPr>
                  </w:pPr>
                  <w:r w:rsidRPr="00027F36">
                    <w:rPr>
                      <w:rFonts w:cs="Arial"/>
                      <w:color w:val="000000"/>
                      <w:szCs w:val="18"/>
                    </w:rPr>
                    <w:t>-45</w:t>
                  </w:r>
                </w:p>
              </w:tc>
              <w:tc>
                <w:tcPr>
                  <w:tcW w:w="555" w:type="pct"/>
                  <w:tcBorders>
                    <w:top w:val="nil"/>
                    <w:left w:val="nil"/>
                    <w:bottom w:val="nil"/>
                    <w:right w:val="nil"/>
                  </w:tcBorders>
                  <w:shd w:val="clear" w:color="auto" w:fill="auto"/>
                  <w:vAlign w:val="bottom"/>
                </w:tcPr>
                <w:p w14:paraId="7954D401" w14:textId="77777777" w:rsidR="00F05DC7" w:rsidRPr="00027F36" w:rsidRDefault="00F05DC7" w:rsidP="00A3786D">
                  <w:pPr>
                    <w:pStyle w:val="TableBodyText"/>
                    <w:rPr>
                      <w:rFonts w:cs="Arial"/>
                      <w:szCs w:val="18"/>
                    </w:rPr>
                  </w:pPr>
                  <w:r w:rsidRPr="00027F36">
                    <w:rPr>
                      <w:rFonts w:cs="Arial"/>
                      <w:color w:val="000000"/>
                      <w:szCs w:val="18"/>
                    </w:rPr>
                    <w:t>-46</w:t>
                  </w:r>
                </w:p>
              </w:tc>
              <w:tc>
                <w:tcPr>
                  <w:tcW w:w="553" w:type="pct"/>
                  <w:tcBorders>
                    <w:top w:val="nil"/>
                    <w:left w:val="nil"/>
                    <w:bottom w:val="nil"/>
                    <w:right w:val="nil"/>
                  </w:tcBorders>
                  <w:shd w:val="clear" w:color="auto" w:fill="auto"/>
                  <w:vAlign w:val="bottom"/>
                </w:tcPr>
                <w:p w14:paraId="7954D402" w14:textId="77777777" w:rsidR="00F05DC7" w:rsidRPr="00027F36" w:rsidRDefault="00F05DC7" w:rsidP="00A3786D">
                  <w:pPr>
                    <w:pStyle w:val="TableBodyText"/>
                    <w:rPr>
                      <w:rFonts w:cs="Arial"/>
                      <w:szCs w:val="18"/>
                    </w:rPr>
                  </w:pPr>
                  <w:r w:rsidRPr="00027F36">
                    <w:rPr>
                      <w:rFonts w:cs="Arial"/>
                      <w:color w:val="000000"/>
                      <w:szCs w:val="18"/>
                    </w:rPr>
                    <w:t>-44</w:t>
                  </w:r>
                </w:p>
              </w:tc>
            </w:tr>
            <w:tr w:rsidR="00F05DC7" w:rsidRPr="00A75ED1" w14:paraId="7954D40D" w14:textId="77777777" w:rsidTr="001113B1">
              <w:tc>
                <w:tcPr>
                  <w:tcW w:w="556" w:type="pct"/>
                </w:tcPr>
                <w:p w14:paraId="7954D404" w14:textId="77777777" w:rsidR="00F05DC7" w:rsidRPr="00027F36" w:rsidRDefault="00F05DC7" w:rsidP="00A3786D">
                  <w:pPr>
                    <w:pStyle w:val="TableBodyText"/>
                    <w:rPr>
                      <w:rFonts w:cs="Arial"/>
                      <w:szCs w:val="18"/>
                    </w:rPr>
                  </w:pPr>
                  <w:r w:rsidRPr="00027F36">
                    <w:rPr>
                      <w:rFonts w:cs="Arial"/>
                      <w:szCs w:val="18"/>
                    </w:rPr>
                    <w:t>2024</w:t>
                  </w:r>
                  <w:r w:rsidRPr="00027F36">
                    <w:rPr>
                      <w:rFonts w:cs="Arial"/>
                      <w:szCs w:val="18"/>
                    </w:rPr>
                    <w:noBreakHyphen/>
                    <w:t>25</w:t>
                  </w:r>
                </w:p>
              </w:tc>
              <w:tc>
                <w:tcPr>
                  <w:tcW w:w="557" w:type="pct"/>
                  <w:tcBorders>
                    <w:top w:val="nil"/>
                    <w:left w:val="nil"/>
                    <w:bottom w:val="nil"/>
                    <w:right w:val="nil"/>
                  </w:tcBorders>
                  <w:shd w:val="clear" w:color="auto" w:fill="auto"/>
                  <w:vAlign w:val="bottom"/>
                </w:tcPr>
                <w:p w14:paraId="7954D405" w14:textId="77777777" w:rsidR="00F05DC7" w:rsidRPr="00027F36" w:rsidRDefault="00F05DC7" w:rsidP="00A3786D">
                  <w:pPr>
                    <w:pStyle w:val="TableBodyText"/>
                    <w:rPr>
                      <w:rFonts w:cs="Arial"/>
                      <w:szCs w:val="18"/>
                    </w:rPr>
                  </w:pPr>
                  <w:r w:rsidRPr="00027F36">
                    <w:rPr>
                      <w:rFonts w:cs="Arial"/>
                      <w:color w:val="000000"/>
                      <w:szCs w:val="18"/>
                    </w:rPr>
                    <w:t>20</w:t>
                  </w:r>
                </w:p>
              </w:tc>
              <w:tc>
                <w:tcPr>
                  <w:tcW w:w="557" w:type="pct"/>
                  <w:tcBorders>
                    <w:top w:val="nil"/>
                    <w:left w:val="nil"/>
                    <w:bottom w:val="nil"/>
                    <w:right w:val="nil"/>
                  </w:tcBorders>
                  <w:shd w:val="clear" w:color="auto" w:fill="auto"/>
                  <w:vAlign w:val="bottom"/>
                </w:tcPr>
                <w:p w14:paraId="7954D406" w14:textId="77777777" w:rsidR="00F05DC7" w:rsidRPr="00027F36" w:rsidRDefault="00F05DC7" w:rsidP="00A3786D">
                  <w:pPr>
                    <w:pStyle w:val="TableBodyText"/>
                    <w:rPr>
                      <w:rFonts w:cs="Arial"/>
                      <w:szCs w:val="18"/>
                    </w:rPr>
                  </w:pPr>
                  <w:r w:rsidRPr="00027F36">
                    <w:rPr>
                      <w:rFonts w:cs="Arial"/>
                      <w:color w:val="000000"/>
                      <w:szCs w:val="18"/>
                    </w:rPr>
                    <w:t>-47</w:t>
                  </w:r>
                </w:p>
              </w:tc>
              <w:tc>
                <w:tcPr>
                  <w:tcW w:w="556" w:type="pct"/>
                  <w:tcBorders>
                    <w:top w:val="nil"/>
                    <w:left w:val="nil"/>
                    <w:bottom w:val="nil"/>
                    <w:right w:val="nil"/>
                  </w:tcBorders>
                  <w:shd w:val="clear" w:color="auto" w:fill="auto"/>
                  <w:vAlign w:val="bottom"/>
                </w:tcPr>
                <w:p w14:paraId="7954D407" w14:textId="77777777" w:rsidR="00F05DC7" w:rsidRPr="00027F36" w:rsidRDefault="00F05DC7" w:rsidP="00A3786D">
                  <w:pPr>
                    <w:pStyle w:val="TableBodyText"/>
                    <w:rPr>
                      <w:rFonts w:cs="Arial"/>
                      <w:szCs w:val="18"/>
                    </w:rPr>
                  </w:pPr>
                  <w:r w:rsidRPr="00027F36">
                    <w:rPr>
                      <w:rFonts w:cs="Arial"/>
                      <w:color w:val="000000"/>
                      <w:szCs w:val="18"/>
                    </w:rPr>
                    <w:t>-49</w:t>
                  </w:r>
                </w:p>
              </w:tc>
              <w:tc>
                <w:tcPr>
                  <w:tcW w:w="556" w:type="pct"/>
                  <w:tcBorders>
                    <w:top w:val="nil"/>
                    <w:left w:val="nil"/>
                    <w:bottom w:val="nil"/>
                    <w:right w:val="nil"/>
                  </w:tcBorders>
                  <w:shd w:val="clear" w:color="auto" w:fill="auto"/>
                  <w:vAlign w:val="bottom"/>
                </w:tcPr>
                <w:p w14:paraId="7954D408" w14:textId="77777777" w:rsidR="00F05DC7" w:rsidRPr="00027F36" w:rsidRDefault="00F05DC7" w:rsidP="00A3786D">
                  <w:pPr>
                    <w:pStyle w:val="TableBodyText"/>
                    <w:rPr>
                      <w:rFonts w:cs="Arial"/>
                      <w:szCs w:val="18"/>
                    </w:rPr>
                  </w:pPr>
                  <w:r w:rsidRPr="00027F36">
                    <w:rPr>
                      <w:rFonts w:cs="Arial"/>
                      <w:color w:val="000000"/>
                      <w:szCs w:val="18"/>
                    </w:rPr>
                    <w:t>210</w:t>
                  </w:r>
                </w:p>
              </w:tc>
              <w:tc>
                <w:tcPr>
                  <w:tcW w:w="555" w:type="pct"/>
                  <w:tcBorders>
                    <w:top w:val="nil"/>
                    <w:left w:val="nil"/>
                    <w:bottom w:val="nil"/>
                    <w:right w:val="nil"/>
                  </w:tcBorders>
                  <w:shd w:val="clear" w:color="auto" w:fill="auto"/>
                  <w:vAlign w:val="bottom"/>
                </w:tcPr>
                <w:p w14:paraId="7954D409" w14:textId="77777777" w:rsidR="00F05DC7" w:rsidRPr="00027F36" w:rsidRDefault="00F05DC7" w:rsidP="00A3786D">
                  <w:pPr>
                    <w:pStyle w:val="TableBodyText"/>
                    <w:rPr>
                      <w:rFonts w:cs="Arial"/>
                      <w:szCs w:val="18"/>
                    </w:rPr>
                  </w:pPr>
                  <w:r w:rsidRPr="00027F36">
                    <w:rPr>
                      <w:rFonts w:cs="Arial"/>
                      <w:color w:val="000000"/>
                      <w:szCs w:val="18"/>
                    </w:rPr>
                    <w:t>-48</w:t>
                  </w:r>
                </w:p>
              </w:tc>
              <w:tc>
                <w:tcPr>
                  <w:tcW w:w="555" w:type="pct"/>
                  <w:tcBorders>
                    <w:top w:val="nil"/>
                    <w:left w:val="nil"/>
                    <w:bottom w:val="nil"/>
                    <w:right w:val="nil"/>
                  </w:tcBorders>
                  <w:shd w:val="clear" w:color="auto" w:fill="auto"/>
                  <w:vAlign w:val="bottom"/>
                </w:tcPr>
                <w:p w14:paraId="7954D40A" w14:textId="77777777" w:rsidR="00F05DC7" w:rsidRPr="00027F36" w:rsidRDefault="00F05DC7" w:rsidP="00A3786D">
                  <w:pPr>
                    <w:pStyle w:val="TableBodyText"/>
                    <w:rPr>
                      <w:rFonts w:cs="Arial"/>
                      <w:szCs w:val="18"/>
                    </w:rPr>
                  </w:pPr>
                  <w:r w:rsidRPr="00027F36">
                    <w:rPr>
                      <w:rFonts w:cs="Arial"/>
                      <w:color w:val="000000"/>
                      <w:szCs w:val="18"/>
                    </w:rPr>
                    <w:t>-47</w:t>
                  </w:r>
                </w:p>
              </w:tc>
              <w:tc>
                <w:tcPr>
                  <w:tcW w:w="555" w:type="pct"/>
                  <w:tcBorders>
                    <w:top w:val="nil"/>
                    <w:left w:val="nil"/>
                    <w:bottom w:val="nil"/>
                    <w:right w:val="nil"/>
                  </w:tcBorders>
                  <w:shd w:val="clear" w:color="auto" w:fill="auto"/>
                  <w:vAlign w:val="bottom"/>
                </w:tcPr>
                <w:p w14:paraId="7954D40B" w14:textId="77777777" w:rsidR="00F05DC7" w:rsidRPr="00027F36" w:rsidRDefault="00F05DC7" w:rsidP="00A3786D">
                  <w:pPr>
                    <w:pStyle w:val="TableBodyText"/>
                    <w:rPr>
                      <w:rFonts w:cs="Arial"/>
                      <w:szCs w:val="18"/>
                    </w:rPr>
                  </w:pPr>
                  <w:r w:rsidRPr="00027F36">
                    <w:rPr>
                      <w:rFonts w:cs="Arial"/>
                      <w:color w:val="000000"/>
                      <w:szCs w:val="18"/>
                    </w:rPr>
                    <w:t>-49</w:t>
                  </w:r>
                </w:p>
              </w:tc>
              <w:tc>
                <w:tcPr>
                  <w:tcW w:w="553" w:type="pct"/>
                  <w:tcBorders>
                    <w:top w:val="nil"/>
                    <w:left w:val="nil"/>
                    <w:bottom w:val="nil"/>
                    <w:right w:val="nil"/>
                  </w:tcBorders>
                  <w:shd w:val="clear" w:color="auto" w:fill="auto"/>
                  <w:vAlign w:val="bottom"/>
                </w:tcPr>
                <w:p w14:paraId="7954D40C" w14:textId="77777777" w:rsidR="00F05DC7" w:rsidRPr="00027F36" w:rsidRDefault="00F05DC7" w:rsidP="00A3786D">
                  <w:pPr>
                    <w:pStyle w:val="TableBodyText"/>
                    <w:rPr>
                      <w:rFonts w:cs="Arial"/>
                      <w:szCs w:val="18"/>
                    </w:rPr>
                  </w:pPr>
                  <w:r w:rsidRPr="00027F36">
                    <w:rPr>
                      <w:rFonts w:cs="Arial"/>
                      <w:color w:val="000000"/>
                      <w:szCs w:val="18"/>
                    </w:rPr>
                    <w:t>-47</w:t>
                  </w:r>
                </w:p>
              </w:tc>
            </w:tr>
            <w:tr w:rsidR="00F05DC7" w:rsidRPr="00A75ED1" w14:paraId="7954D417" w14:textId="77777777" w:rsidTr="001113B1">
              <w:tc>
                <w:tcPr>
                  <w:tcW w:w="556" w:type="pct"/>
                </w:tcPr>
                <w:p w14:paraId="7954D40E" w14:textId="77777777" w:rsidR="00F05DC7" w:rsidRPr="00027F36" w:rsidRDefault="00F05DC7" w:rsidP="00A3786D">
                  <w:pPr>
                    <w:pStyle w:val="TableBodyText"/>
                    <w:rPr>
                      <w:rFonts w:cs="Arial"/>
                      <w:szCs w:val="18"/>
                    </w:rPr>
                  </w:pPr>
                  <w:r w:rsidRPr="00027F36">
                    <w:rPr>
                      <w:rFonts w:cs="Arial"/>
                      <w:szCs w:val="18"/>
                    </w:rPr>
                    <w:t>2025</w:t>
                  </w:r>
                  <w:r w:rsidRPr="00027F36">
                    <w:rPr>
                      <w:rFonts w:cs="Arial"/>
                      <w:szCs w:val="18"/>
                    </w:rPr>
                    <w:noBreakHyphen/>
                    <w:t>26</w:t>
                  </w:r>
                </w:p>
              </w:tc>
              <w:tc>
                <w:tcPr>
                  <w:tcW w:w="557" w:type="pct"/>
                  <w:tcBorders>
                    <w:top w:val="nil"/>
                    <w:left w:val="nil"/>
                    <w:bottom w:val="nil"/>
                    <w:right w:val="nil"/>
                  </w:tcBorders>
                  <w:shd w:val="clear" w:color="auto" w:fill="auto"/>
                  <w:vAlign w:val="bottom"/>
                </w:tcPr>
                <w:p w14:paraId="7954D40F" w14:textId="77777777" w:rsidR="00F05DC7" w:rsidRPr="00027F36" w:rsidRDefault="00F05DC7" w:rsidP="00A3786D">
                  <w:pPr>
                    <w:pStyle w:val="TableBodyText"/>
                    <w:rPr>
                      <w:rFonts w:cs="Arial"/>
                      <w:szCs w:val="18"/>
                    </w:rPr>
                  </w:pPr>
                  <w:r w:rsidRPr="00027F36">
                    <w:rPr>
                      <w:rFonts w:cs="Arial"/>
                      <w:color w:val="000000"/>
                      <w:szCs w:val="18"/>
                    </w:rPr>
                    <w:t>22</w:t>
                  </w:r>
                </w:p>
              </w:tc>
              <w:tc>
                <w:tcPr>
                  <w:tcW w:w="557" w:type="pct"/>
                  <w:tcBorders>
                    <w:top w:val="nil"/>
                    <w:left w:val="nil"/>
                    <w:bottom w:val="nil"/>
                    <w:right w:val="nil"/>
                  </w:tcBorders>
                  <w:shd w:val="clear" w:color="auto" w:fill="auto"/>
                  <w:vAlign w:val="bottom"/>
                </w:tcPr>
                <w:p w14:paraId="7954D410" w14:textId="77777777" w:rsidR="00F05DC7" w:rsidRPr="00027F36" w:rsidRDefault="00F05DC7" w:rsidP="00A3786D">
                  <w:pPr>
                    <w:pStyle w:val="TableBodyText"/>
                    <w:rPr>
                      <w:rFonts w:cs="Arial"/>
                      <w:szCs w:val="18"/>
                    </w:rPr>
                  </w:pPr>
                  <w:r w:rsidRPr="00027F36">
                    <w:rPr>
                      <w:rFonts w:cs="Arial"/>
                      <w:color w:val="000000"/>
                      <w:szCs w:val="18"/>
                    </w:rPr>
                    <w:t>-51</w:t>
                  </w:r>
                </w:p>
              </w:tc>
              <w:tc>
                <w:tcPr>
                  <w:tcW w:w="556" w:type="pct"/>
                  <w:tcBorders>
                    <w:top w:val="nil"/>
                    <w:left w:val="nil"/>
                    <w:bottom w:val="nil"/>
                    <w:right w:val="nil"/>
                  </w:tcBorders>
                  <w:shd w:val="clear" w:color="auto" w:fill="auto"/>
                  <w:vAlign w:val="bottom"/>
                </w:tcPr>
                <w:p w14:paraId="7954D411" w14:textId="77777777" w:rsidR="00F05DC7" w:rsidRPr="00027F36" w:rsidRDefault="00F05DC7" w:rsidP="00A3786D">
                  <w:pPr>
                    <w:pStyle w:val="TableBodyText"/>
                    <w:rPr>
                      <w:rFonts w:cs="Arial"/>
                      <w:szCs w:val="18"/>
                    </w:rPr>
                  </w:pPr>
                  <w:r w:rsidRPr="00027F36">
                    <w:rPr>
                      <w:rFonts w:cs="Arial"/>
                      <w:color w:val="000000"/>
                      <w:szCs w:val="18"/>
                    </w:rPr>
                    <w:t>-52</w:t>
                  </w:r>
                </w:p>
              </w:tc>
              <w:tc>
                <w:tcPr>
                  <w:tcW w:w="556" w:type="pct"/>
                  <w:tcBorders>
                    <w:top w:val="nil"/>
                    <w:left w:val="nil"/>
                    <w:bottom w:val="nil"/>
                    <w:right w:val="nil"/>
                  </w:tcBorders>
                  <w:shd w:val="clear" w:color="auto" w:fill="auto"/>
                  <w:vAlign w:val="bottom"/>
                </w:tcPr>
                <w:p w14:paraId="7954D412" w14:textId="77777777" w:rsidR="00F05DC7" w:rsidRPr="00027F36" w:rsidRDefault="00F05DC7" w:rsidP="00A3786D">
                  <w:pPr>
                    <w:pStyle w:val="TableBodyText"/>
                    <w:rPr>
                      <w:rFonts w:cs="Arial"/>
                      <w:szCs w:val="18"/>
                    </w:rPr>
                  </w:pPr>
                  <w:r w:rsidRPr="00027F36">
                    <w:rPr>
                      <w:rFonts w:cs="Arial"/>
                      <w:color w:val="000000"/>
                      <w:szCs w:val="18"/>
                    </w:rPr>
                    <w:t>225</w:t>
                  </w:r>
                </w:p>
              </w:tc>
              <w:tc>
                <w:tcPr>
                  <w:tcW w:w="555" w:type="pct"/>
                  <w:tcBorders>
                    <w:top w:val="nil"/>
                    <w:left w:val="nil"/>
                    <w:bottom w:val="nil"/>
                    <w:right w:val="nil"/>
                  </w:tcBorders>
                  <w:shd w:val="clear" w:color="auto" w:fill="auto"/>
                  <w:vAlign w:val="bottom"/>
                </w:tcPr>
                <w:p w14:paraId="7954D413" w14:textId="77777777" w:rsidR="00F05DC7" w:rsidRPr="00027F36" w:rsidRDefault="00F05DC7" w:rsidP="00A3786D">
                  <w:pPr>
                    <w:pStyle w:val="TableBodyText"/>
                    <w:rPr>
                      <w:rFonts w:cs="Arial"/>
                      <w:szCs w:val="18"/>
                    </w:rPr>
                  </w:pPr>
                  <w:r w:rsidRPr="00027F36">
                    <w:rPr>
                      <w:rFonts w:cs="Arial"/>
                      <w:color w:val="000000"/>
                      <w:szCs w:val="18"/>
                    </w:rPr>
                    <w:t>-51</w:t>
                  </w:r>
                </w:p>
              </w:tc>
              <w:tc>
                <w:tcPr>
                  <w:tcW w:w="555" w:type="pct"/>
                  <w:tcBorders>
                    <w:top w:val="nil"/>
                    <w:left w:val="nil"/>
                    <w:bottom w:val="nil"/>
                    <w:right w:val="nil"/>
                  </w:tcBorders>
                  <w:shd w:val="clear" w:color="auto" w:fill="auto"/>
                  <w:vAlign w:val="bottom"/>
                </w:tcPr>
                <w:p w14:paraId="7954D414" w14:textId="77777777" w:rsidR="00F05DC7" w:rsidRPr="00027F36" w:rsidRDefault="00F05DC7" w:rsidP="00A3786D">
                  <w:pPr>
                    <w:pStyle w:val="TableBodyText"/>
                    <w:rPr>
                      <w:rFonts w:cs="Arial"/>
                      <w:szCs w:val="18"/>
                    </w:rPr>
                  </w:pPr>
                  <w:r w:rsidRPr="00027F36">
                    <w:rPr>
                      <w:rFonts w:cs="Arial"/>
                      <w:color w:val="000000"/>
                      <w:szCs w:val="18"/>
                    </w:rPr>
                    <w:t>-50</w:t>
                  </w:r>
                </w:p>
              </w:tc>
              <w:tc>
                <w:tcPr>
                  <w:tcW w:w="555" w:type="pct"/>
                  <w:tcBorders>
                    <w:top w:val="nil"/>
                    <w:left w:val="nil"/>
                    <w:bottom w:val="nil"/>
                    <w:right w:val="nil"/>
                  </w:tcBorders>
                  <w:shd w:val="clear" w:color="auto" w:fill="auto"/>
                  <w:vAlign w:val="bottom"/>
                </w:tcPr>
                <w:p w14:paraId="7954D415" w14:textId="77777777" w:rsidR="00F05DC7" w:rsidRPr="00027F36" w:rsidRDefault="00F05DC7" w:rsidP="00A3786D">
                  <w:pPr>
                    <w:pStyle w:val="TableBodyText"/>
                    <w:rPr>
                      <w:rFonts w:cs="Arial"/>
                      <w:szCs w:val="18"/>
                    </w:rPr>
                  </w:pPr>
                  <w:r w:rsidRPr="00027F36">
                    <w:rPr>
                      <w:rFonts w:cs="Arial"/>
                      <w:color w:val="000000"/>
                      <w:szCs w:val="18"/>
                    </w:rPr>
                    <w:t>-53</w:t>
                  </w:r>
                </w:p>
              </w:tc>
              <w:tc>
                <w:tcPr>
                  <w:tcW w:w="553" w:type="pct"/>
                  <w:tcBorders>
                    <w:top w:val="nil"/>
                    <w:left w:val="nil"/>
                    <w:bottom w:val="nil"/>
                    <w:right w:val="nil"/>
                  </w:tcBorders>
                  <w:shd w:val="clear" w:color="auto" w:fill="auto"/>
                  <w:vAlign w:val="bottom"/>
                </w:tcPr>
                <w:p w14:paraId="7954D416" w14:textId="77777777" w:rsidR="00F05DC7" w:rsidRPr="00027F36" w:rsidRDefault="00F05DC7" w:rsidP="00A3786D">
                  <w:pPr>
                    <w:pStyle w:val="TableBodyText"/>
                    <w:rPr>
                      <w:rFonts w:cs="Arial"/>
                      <w:szCs w:val="18"/>
                    </w:rPr>
                  </w:pPr>
                  <w:r w:rsidRPr="00027F36">
                    <w:rPr>
                      <w:rFonts w:cs="Arial"/>
                      <w:color w:val="000000"/>
                      <w:szCs w:val="18"/>
                    </w:rPr>
                    <w:t>-50</w:t>
                  </w:r>
                </w:p>
              </w:tc>
            </w:tr>
            <w:tr w:rsidR="00F05DC7" w:rsidRPr="00A75ED1" w14:paraId="7954D421" w14:textId="77777777" w:rsidTr="001113B1">
              <w:tc>
                <w:tcPr>
                  <w:tcW w:w="556" w:type="pct"/>
                </w:tcPr>
                <w:p w14:paraId="7954D418" w14:textId="77777777" w:rsidR="00F05DC7" w:rsidRPr="00027F36" w:rsidRDefault="00F05DC7" w:rsidP="00A3786D">
                  <w:pPr>
                    <w:pStyle w:val="TableBodyText"/>
                    <w:rPr>
                      <w:rFonts w:cs="Arial"/>
                      <w:szCs w:val="18"/>
                    </w:rPr>
                  </w:pPr>
                  <w:r w:rsidRPr="00027F36">
                    <w:rPr>
                      <w:rFonts w:cs="Arial"/>
                      <w:szCs w:val="18"/>
                    </w:rPr>
                    <w:t>2026</w:t>
                  </w:r>
                  <w:r w:rsidRPr="00027F36">
                    <w:rPr>
                      <w:rFonts w:cs="Arial"/>
                      <w:szCs w:val="18"/>
                    </w:rPr>
                    <w:noBreakHyphen/>
                    <w:t>27</w:t>
                  </w:r>
                </w:p>
              </w:tc>
              <w:tc>
                <w:tcPr>
                  <w:tcW w:w="557" w:type="pct"/>
                  <w:tcBorders>
                    <w:top w:val="nil"/>
                    <w:left w:val="nil"/>
                    <w:right w:val="nil"/>
                  </w:tcBorders>
                  <w:shd w:val="clear" w:color="auto" w:fill="auto"/>
                  <w:vAlign w:val="bottom"/>
                </w:tcPr>
                <w:p w14:paraId="7954D419" w14:textId="77777777" w:rsidR="00F05DC7" w:rsidRPr="00027F36" w:rsidRDefault="00F05DC7" w:rsidP="00A3786D">
                  <w:pPr>
                    <w:pStyle w:val="TableBodyText"/>
                    <w:rPr>
                      <w:rFonts w:cs="Arial"/>
                      <w:szCs w:val="18"/>
                    </w:rPr>
                  </w:pPr>
                  <w:r w:rsidRPr="00027F36">
                    <w:rPr>
                      <w:rFonts w:cs="Arial"/>
                      <w:color w:val="000000"/>
                      <w:szCs w:val="18"/>
                    </w:rPr>
                    <w:t>23</w:t>
                  </w:r>
                </w:p>
              </w:tc>
              <w:tc>
                <w:tcPr>
                  <w:tcW w:w="557" w:type="pct"/>
                  <w:tcBorders>
                    <w:top w:val="nil"/>
                    <w:left w:val="nil"/>
                    <w:right w:val="nil"/>
                  </w:tcBorders>
                  <w:shd w:val="clear" w:color="auto" w:fill="auto"/>
                  <w:vAlign w:val="bottom"/>
                </w:tcPr>
                <w:p w14:paraId="7954D41A" w14:textId="77777777" w:rsidR="00F05DC7" w:rsidRPr="00027F36" w:rsidRDefault="00F05DC7" w:rsidP="00A3786D">
                  <w:pPr>
                    <w:pStyle w:val="TableBodyText"/>
                    <w:rPr>
                      <w:rFonts w:cs="Arial"/>
                      <w:szCs w:val="18"/>
                    </w:rPr>
                  </w:pPr>
                  <w:r w:rsidRPr="00027F36">
                    <w:rPr>
                      <w:rFonts w:cs="Arial"/>
                      <w:color w:val="000000"/>
                      <w:szCs w:val="18"/>
                    </w:rPr>
                    <w:t>-55</w:t>
                  </w:r>
                </w:p>
              </w:tc>
              <w:tc>
                <w:tcPr>
                  <w:tcW w:w="556" w:type="pct"/>
                  <w:tcBorders>
                    <w:top w:val="nil"/>
                    <w:left w:val="nil"/>
                    <w:right w:val="nil"/>
                  </w:tcBorders>
                  <w:shd w:val="clear" w:color="auto" w:fill="auto"/>
                  <w:vAlign w:val="bottom"/>
                </w:tcPr>
                <w:p w14:paraId="7954D41B" w14:textId="77777777" w:rsidR="00F05DC7" w:rsidRPr="00027F36" w:rsidRDefault="00F05DC7" w:rsidP="00A3786D">
                  <w:pPr>
                    <w:pStyle w:val="TableBodyText"/>
                    <w:rPr>
                      <w:rFonts w:cs="Arial"/>
                      <w:szCs w:val="18"/>
                    </w:rPr>
                  </w:pPr>
                  <w:r w:rsidRPr="00027F36">
                    <w:rPr>
                      <w:rFonts w:cs="Arial"/>
                      <w:color w:val="000000"/>
                      <w:szCs w:val="18"/>
                    </w:rPr>
                    <w:t>-56</w:t>
                  </w:r>
                </w:p>
              </w:tc>
              <w:tc>
                <w:tcPr>
                  <w:tcW w:w="556" w:type="pct"/>
                  <w:tcBorders>
                    <w:top w:val="nil"/>
                    <w:left w:val="nil"/>
                    <w:right w:val="nil"/>
                  </w:tcBorders>
                  <w:shd w:val="clear" w:color="auto" w:fill="auto"/>
                  <w:vAlign w:val="bottom"/>
                </w:tcPr>
                <w:p w14:paraId="7954D41C" w14:textId="77777777" w:rsidR="00F05DC7" w:rsidRPr="00027F36" w:rsidRDefault="00F05DC7" w:rsidP="00A3786D">
                  <w:pPr>
                    <w:pStyle w:val="TableBodyText"/>
                    <w:rPr>
                      <w:rFonts w:cs="Arial"/>
                      <w:szCs w:val="18"/>
                    </w:rPr>
                  </w:pPr>
                  <w:r w:rsidRPr="00027F36">
                    <w:rPr>
                      <w:rFonts w:cs="Arial"/>
                      <w:color w:val="000000"/>
                      <w:szCs w:val="18"/>
                    </w:rPr>
                    <w:t>242</w:t>
                  </w:r>
                </w:p>
              </w:tc>
              <w:tc>
                <w:tcPr>
                  <w:tcW w:w="555" w:type="pct"/>
                  <w:tcBorders>
                    <w:top w:val="nil"/>
                    <w:left w:val="nil"/>
                    <w:right w:val="nil"/>
                  </w:tcBorders>
                  <w:shd w:val="clear" w:color="auto" w:fill="auto"/>
                  <w:vAlign w:val="bottom"/>
                </w:tcPr>
                <w:p w14:paraId="7954D41D" w14:textId="77777777" w:rsidR="00F05DC7" w:rsidRPr="00027F36" w:rsidRDefault="00F05DC7" w:rsidP="00A3786D">
                  <w:pPr>
                    <w:pStyle w:val="TableBodyText"/>
                    <w:rPr>
                      <w:rFonts w:cs="Arial"/>
                      <w:szCs w:val="18"/>
                    </w:rPr>
                  </w:pPr>
                  <w:r w:rsidRPr="00027F36">
                    <w:rPr>
                      <w:rFonts w:cs="Arial"/>
                      <w:color w:val="000000"/>
                      <w:szCs w:val="18"/>
                    </w:rPr>
                    <w:t>-54</w:t>
                  </w:r>
                </w:p>
              </w:tc>
              <w:tc>
                <w:tcPr>
                  <w:tcW w:w="555" w:type="pct"/>
                  <w:tcBorders>
                    <w:top w:val="nil"/>
                    <w:left w:val="nil"/>
                    <w:right w:val="nil"/>
                  </w:tcBorders>
                  <w:shd w:val="clear" w:color="auto" w:fill="auto"/>
                  <w:vAlign w:val="bottom"/>
                </w:tcPr>
                <w:p w14:paraId="7954D41E" w14:textId="77777777" w:rsidR="00F05DC7" w:rsidRPr="00027F36" w:rsidRDefault="00F05DC7" w:rsidP="00A3786D">
                  <w:pPr>
                    <w:pStyle w:val="TableBodyText"/>
                    <w:rPr>
                      <w:rFonts w:cs="Arial"/>
                      <w:szCs w:val="18"/>
                    </w:rPr>
                  </w:pPr>
                  <w:r w:rsidRPr="00027F36">
                    <w:rPr>
                      <w:rFonts w:cs="Arial"/>
                      <w:color w:val="000000"/>
                      <w:szCs w:val="18"/>
                    </w:rPr>
                    <w:t>-53</w:t>
                  </w:r>
                </w:p>
              </w:tc>
              <w:tc>
                <w:tcPr>
                  <w:tcW w:w="555" w:type="pct"/>
                  <w:tcBorders>
                    <w:top w:val="nil"/>
                    <w:left w:val="nil"/>
                    <w:right w:val="nil"/>
                  </w:tcBorders>
                  <w:shd w:val="clear" w:color="auto" w:fill="auto"/>
                  <w:vAlign w:val="bottom"/>
                </w:tcPr>
                <w:p w14:paraId="7954D41F" w14:textId="77777777" w:rsidR="00F05DC7" w:rsidRPr="00027F36" w:rsidRDefault="00F05DC7" w:rsidP="00A3786D">
                  <w:pPr>
                    <w:pStyle w:val="TableBodyText"/>
                    <w:rPr>
                      <w:rFonts w:cs="Arial"/>
                      <w:szCs w:val="18"/>
                    </w:rPr>
                  </w:pPr>
                  <w:r w:rsidRPr="00027F36">
                    <w:rPr>
                      <w:rFonts w:cs="Arial"/>
                      <w:color w:val="000000"/>
                      <w:szCs w:val="18"/>
                    </w:rPr>
                    <w:t>-56</w:t>
                  </w:r>
                </w:p>
              </w:tc>
              <w:tc>
                <w:tcPr>
                  <w:tcW w:w="553" w:type="pct"/>
                  <w:tcBorders>
                    <w:top w:val="nil"/>
                    <w:left w:val="nil"/>
                    <w:right w:val="nil"/>
                  </w:tcBorders>
                  <w:shd w:val="clear" w:color="auto" w:fill="auto"/>
                  <w:vAlign w:val="bottom"/>
                </w:tcPr>
                <w:p w14:paraId="7954D420" w14:textId="77777777" w:rsidR="00F05DC7" w:rsidRPr="00027F36" w:rsidRDefault="00F05DC7" w:rsidP="00A3786D">
                  <w:pPr>
                    <w:pStyle w:val="TableBodyText"/>
                    <w:rPr>
                      <w:rFonts w:cs="Arial"/>
                      <w:szCs w:val="18"/>
                    </w:rPr>
                  </w:pPr>
                  <w:r w:rsidRPr="00027F36">
                    <w:rPr>
                      <w:rFonts w:cs="Arial"/>
                      <w:color w:val="000000"/>
                      <w:szCs w:val="18"/>
                    </w:rPr>
                    <w:t>-53</w:t>
                  </w:r>
                </w:p>
              </w:tc>
            </w:tr>
            <w:tr w:rsidR="00F05DC7" w:rsidRPr="00A75ED1" w14:paraId="7954D423" w14:textId="77777777" w:rsidTr="001113B1">
              <w:tc>
                <w:tcPr>
                  <w:tcW w:w="5000" w:type="pct"/>
                  <w:gridSpan w:val="9"/>
                  <w:shd w:val="clear" w:color="auto" w:fill="F2F2F2" w:themeFill="background1" w:themeFillShade="F2"/>
                </w:tcPr>
                <w:p w14:paraId="7954D422" w14:textId="77777777" w:rsidR="00F05DC7" w:rsidRPr="00A75ED1" w:rsidRDefault="00F05DC7" w:rsidP="00A3786D">
                  <w:pPr>
                    <w:pStyle w:val="TableUnitsRow"/>
                    <w:ind w:right="28"/>
                    <w:jc w:val="left"/>
                    <w:rPr>
                      <w:rFonts w:cs="Arial"/>
                      <w:szCs w:val="18"/>
                    </w:rPr>
                  </w:pPr>
                  <w:r w:rsidRPr="00A75ED1">
                    <w:rPr>
                      <w:rFonts w:cs="Arial"/>
                      <w:szCs w:val="18"/>
                    </w:rPr>
                    <w:t>Proportion of State revenue (per cent)</w:t>
                  </w:r>
                </w:p>
              </w:tc>
            </w:tr>
            <w:tr w:rsidR="00F05DC7" w:rsidRPr="00A75ED1" w14:paraId="7954D42D" w14:textId="77777777" w:rsidTr="001113B1">
              <w:tc>
                <w:tcPr>
                  <w:tcW w:w="556" w:type="pct"/>
                  <w:shd w:val="clear" w:color="auto" w:fill="auto"/>
                  <w:vAlign w:val="bottom"/>
                </w:tcPr>
                <w:p w14:paraId="7954D424" w14:textId="77777777" w:rsidR="00F05DC7" w:rsidRPr="00911F46" w:rsidRDefault="00F05DC7" w:rsidP="00A3786D">
                  <w:pPr>
                    <w:pStyle w:val="TableBodyText"/>
                    <w:rPr>
                      <w:rFonts w:cs="Arial"/>
                      <w:szCs w:val="18"/>
                    </w:rPr>
                  </w:pPr>
                  <w:r w:rsidRPr="00911F46">
                    <w:rPr>
                      <w:rFonts w:cs="Arial"/>
                      <w:szCs w:val="18"/>
                    </w:rPr>
                    <w:t>2019</w:t>
                  </w:r>
                  <w:r>
                    <w:rPr>
                      <w:rFonts w:cs="Arial"/>
                      <w:szCs w:val="18"/>
                    </w:rPr>
                    <w:noBreakHyphen/>
                  </w:r>
                  <w:r w:rsidRPr="00911F46">
                    <w:rPr>
                      <w:rFonts w:cs="Arial"/>
                      <w:szCs w:val="18"/>
                    </w:rPr>
                    <w:t>20</w:t>
                  </w:r>
                </w:p>
              </w:tc>
              <w:tc>
                <w:tcPr>
                  <w:tcW w:w="557" w:type="pct"/>
                  <w:tcBorders>
                    <w:top w:val="nil"/>
                    <w:left w:val="nil"/>
                    <w:bottom w:val="nil"/>
                    <w:right w:val="nil"/>
                  </w:tcBorders>
                  <w:shd w:val="clear" w:color="auto" w:fill="auto"/>
                  <w:vAlign w:val="bottom"/>
                </w:tcPr>
                <w:p w14:paraId="7954D425" w14:textId="77777777" w:rsidR="00F05DC7" w:rsidRPr="00911F46" w:rsidRDefault="00F05DC7" w:rsidP="00A3786D">
                  <w:pPr>
                    <w:pStyle w:val="TableBodyText"/>
                    <w:rPr>
                      <w:rFonts w:cs="Arial"/>
                      <w:szCs w:val="18"/>
                    </w:rPr>
                  </w:pPr>
                  <w:r w:rsidRPr="00911F46">
                    <w:rPr>
                      <w:rFonts w:cs="Arial"/>
                      <w:color w:val="000000"/>
                      <w:szCs w:val="18"/>
                    </w:rPr>
                    <w:t>0.13</w:t>
                  </w:r>
                </w:p>
              </w:tc>
              <w:tc>
                <w:tcPr>
                  <w:tcW w:w="557" w:type="pct"/>
                  <w:tcBorders>
                    <w:top w:val="nil"/>
                    <w:left w:val="nil"/>
                    <w:bottom w:val="nil"/>
                    <w:right w:val="nil"/>
                  </w:tcBorders>
                  <w:shd w:val="clear" w:color="auto" w:fill="auto"/>
                  <w:vAlign w:val="bottom"/>
                </w:tcPr>
                <w:p w14:paraId="7954D426"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0.29</w:t>
                  </w:r>
                </w:p>
              </w:tc>
              <w:tc>
                <w:tcPr>
                  <w:tcW w:w="556" w:type="pct"/>
                  <w:tcBorders>
                    <w:top w:val="nil"/>
                    <w:left w:val="nil"/>
                    <w:bottom w:val="nil"/>
                    <w:right w:val="nil"/>
                  </w:tcBorders>
                  <w:shd w:val="clear" w:color="auto" w:fill="auto"/>
                  <w:vAlign w:val="bottom"/>
                </w:tcPr>
                <w:p w14:paraId="7954D427"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0.31</w:t>
                  </w:r>
                </w:p>
              </w:tc>
              <w:tc>
                <w:tcPr>
                  <w:tcW w:w="556" w:type="pct"/>
                  <w:tcBorders>
                    <w:top w:val="nil"/>
                    <w:left w:val="nil"/>
                    <w:bottom w:val="nil"/>
                    <w:right w:val="nil"/>
                  </w:tcBorders>
                  <w:shd w:val="clear" w:color="auto" w:fill="auto"/>
                  <w:vAlign w:val="bottom"/>
                </w:tcPr>
                <w:p w14:paraId="7954D428" w14:textId="77777777" w:rsidR="00F05DC7" w:rsidRPr="00911F46" w:rsidRDefault="00F05DC7" w:rsidP="00A3786D">
                  <w:pPr>
                    <w:pStyle w:val="TableBodyText"/>
                    <w:rPr>
                      <w:rFonts w:cs="Arial"/>
                      <w:szCs w:val="18"/>
                    </w:rPr>
                  </w:pPr>
                  <w:r w:rsidRPr="00911F46">
                    <w:rPr>
                      <w:rFonts w:cs="Arial"/>
                      <w:color w:val="000000"/>
                      <w:szCs w:val="18"/>
                    </w:rPr>
                    <w:t>1.26</w:t>
                  </w:r>
                </w:p>
              </w:tc>
              <w:tc>
                <w:tcPr>
                  <w:tcW w:w="555" w:type="pct"/>
                  <w:tcBorders>
                    <w:top w:val="nil"/>
                    <w:left w:val="nil"/>
                    <w:bottom w:val="nil"/>
                    <w:right w:val="nil"/>
                  </w:tcBorders>
                  <w:shd w:val="clear" w:color="auto" w:fill="auto"/>
                  <w:vAlign w:val="bottom"/>
                </w:tcPr>
                <w:p w14:paraId="7954D429"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0.31</w:t>
                  </w:r>
                </w:p>
              </w:tc>
              <w:tc>
                <w:tcPr>
                  <w:tcW w:w="555" w:type="pct"/>
                  <w:tcBorders>
                    <w:top w:val="nil"/>
                    <w:left w:val="nil"/>
                    <w:bottom w:val="nil"/>
                    <w:right w:val="nil"/>
                  </w:tcBorders>
                  <w:shd w:val="clear" w:color="auto" w:fill="auto"/>
                  <w:vAlign w:val="bottom"/>
                </w:tcPr>
                <w:p w14:paraId="7954D42A"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0.30</w:t>
                  </w:r>
                </w:p>
              </w:tc>
              <w:tc>
                <w:tcPr>
                  <w:tcW w:w="555" w:type="pct"/>
                  <w:tcBorders>
                    <w:top w:val="nil"/>
                    <w:left w:val="nil"/>
                    <w:bottom w:val="nil"/>
                    <w:right w:val="nil"/>
                  </w:tcBorders>
                  <w:shd w:val="clear" w:color="auto" w:fill="auto"/>
                  <w:vAlign w:val="bottom"/>
                </w:tcPr>
                <w:p w14:paraId="7954D42B"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0.25</w:t>
                  </w:r>
                </w:p>
              </w:tc>
              <w:tc>
                <w:tcPr>
                  <w:tcW w:w="553" w:type="pct"/>
                  <w:tcBorders>
                    <w:top w:val="nil"/>
                    <w:left w:val="nil"/>
                    <w:bottom w:val="nil"/>
                    <w:right w:val="nil"/>
                  </w:tcBorders>
                  <w:shd w:val="clear" w:color="auto" w:fill="auto"/>
                  <w:vAlign w:val="bottom"/>
                </w:tcPr>
                <w:p w14:paraId="7954D42C"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0.16</w:t>
                  </w:r>
                </w:p>
              </w:tc>
            </w:tr>
            <w:tr w:rsidR="00F05DC7" w:rsidRPr="00A75ED1" w14:paraId="7954D437" w14:textId="77777777" w:rsidTr="001113B1">
              <w:tc>
                <w:tcPr>
                  <w:tcW w:w="556" w:type="pct"/>
                  <w:shd w:val="clear" w:color="auto" w:fill="auto"/>
                  <w:vAlign w:val="bottom"/>
                </w:tcPr>
                <w:p w14:paraId="7954D42E" w14:textId="77777777" w:rsidR="00F05DC7" w:rsidRPr="00911F46" w:rsidRDefault="00F05DC7" w:rsidP="00A3786D">
                  <w:pPr>
                    <w:pStyle w:val="TableBodyText"/>
                    <w:rPr>
                      <w:rFonts w:cs="Arial"/>
                      <w:szCs w:val="18"/>
                    </w:rPr>
                  </w:pPr>
                  <w:r w:rsidRPr="00911F46">
                    <w:rPr>
                      <w:rFonts w:cs="Arial"/>
                      <w:szCs w:val="18"/>
                    </w:rPr>
                    <w:t>2020</w:t>
                  </w:r>
                  <w:r>
                    <w:rPr>
                      <w:rFonts w:cs="Arial"/>
                      <w:szCs w:val="18"/>
                    </w:rPr>
                    <w:noBreakHyphen/>
                  </w:r>
                  <w:r w:rsidRPr="00911F46">
                    <w:rPr>
                      <w:rFonts w:cs="Arial"/>
                      <w:szCs w:val="18"/>
                    </w:rPr>
                    <w:t>21</w:t>
                  </w:r>
                </w:p>
              </w:tc>
              <w:tc>
                <w:tcPr>
                  <w:tcW w:w="557" w:type="pct"/>
                  <w:tcBorders>
                    <w:top w:val="nil"/>
                    <w:left w:val="nil"/>
                    <w:bottom w:val="nil"/>
                    <w:right w:val="nil"/>
                  </w:tcBorders>
                  <w:shd w:val="clear" w:color="auto" w:fill="auto"/>
                  <w:vAlign w:val="bottom"/>
                </w:tcPr>
                <w:p w14:paraId="7954D42F" w14:textId="77777777" w:rsidR="00F05DC7" w:rsidRPr="00911F46" w:rsidRDefault="00F05DC7" w:rsidP="00A3786D">
                  <w:pPr>
                    <w:pStyle w:val="TableBodyText"/>
                    <w:rPr>
                      <w:rFonts w:cs="Arial"/>
                      <w:szCs w:val="18"/>
                    </w:rPr>
                  </w:pPr>
                  <w:r w:rsidRPr="00911F46">
                    <w:rPr>
                      <w:rFonts w:cs="Arial"/>
                      <w:color w:val="000000"/>
                      <w:szCs w:val="18"/>
                    </w:rPr>
                    <w:t>0.14</w:t>
                  </w:r>
                </w:p>
              </w:tc>
              <w:tc>
                <w:tcPr>
                  <w:tcW w:w="557" w:type="pct"/>
                  <w:tcBorders>
                    <w:top w:val="nil"/>
                    <w:left w:val="nil"/>
                    <w:bottom w:val="nil"/>
                    <w:right w:val="nil"/>
                  </w:tcBorders>
                  <w:shd w:val="clear" w:color="auto" w:fill="auto"/>
                  <w:vAlign w:val="bottom"/>
                </w:tcPr>
                <w:p w14:paraId="7954D430"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0.32</w:t>
                  </w:r>
                </w:p>
              </w:tc>
              <w:tc>
                <w:tcPr>
                  <w:tcW w:w="556" w:type="pct"/>
                  <w:tcBorders>
                    <w:top w:val="nil"/>
                    <w:left w:val="nil"/>
                    <w:bottom w:val="nil"/>
                    <w:right w:val="nil"/>
                  </w:tcBorders>
                  <w:shd w:val="clear" w:color="auto" w:fill="auto"/>
                  <w:vAlign w:val="bottom"/>
                </w:tcPr>
                <w:p w14:paraId="7954D431"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0.33</w:t>
                  </w:r>
                </w:p>
              </w:tc>
              <w:tc>
                <w:tcPr>
                  <w:tcW w:w="556" w:type="pct"/>
                  <w:tcBorders>
                    <w:top w:val="nil"/>
                    <w:left w:val="nil"/>
                    <w:bottom w:val="nil"/>
                    <w:right w:val="nil"/>
                  </w:tcBorders>
                  <w:shd w:val="clear" w:color="auto" w:fill="auto"/>
                  <w:vAlign w:val="bottom"/>
                </w:tcPr>
                <w:p w14:paraId="7954D432" w14:textId="77777777" w:rsidR="00F05DC7" w:rsidRPr="00911F46" w:rsidRDefault="00F05DC7" w:rsidP="00A3786D">
                  <w:pPr>
                    <w:pStyle w:val="TableBodyText"/>
                    <w:rPr>
                      <w:rFonts w:cs="Arial"/>
                      <w:szCs w:val="18"/>
                    </w:rPr>
                  </w:pPr>
                  <w:r w:rsidRPr="00911F46">
                    <w:rPr>
                      <w:rFonts w:cs="Arial"/>
                      <w:color w:val="000000"/>
                      <w:szCs w:val="18"/>
                    </w:rPr>
                    <w:t>1.30</w:t>
                  </w:r>
                </w:p>
              </w:tc>
              <w:tc>
                <w:tcPr>
                  <w:tcW w:w="555" w:type="pct"/>
                  <w:tcBorders>
                    <w:top w:val="nil"/>
                    <w:left w:val="nil"/>
                    <w:bottom w:val="nil"/>
                    <w:right w:val="nil"/>
                  </w:tcBorders>
                  <w:shd w:val="clear" w:color="auto" w:fill="auto"/>
                  <w:vAlign w:val="bottom"/>
                </w:tcPr>
                <w:p w14:paraId="7954D433"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0.32</w:t>
                  </w:r>
                </w:p>
              </w:tc>
              <w:tc>
                <w:tcPr>
                  <w:tcW w:w="555" w:type="pct"/>
                  <w:tcBorders>
                    <w:top w:val="nil"/>
                    <w:left w:val="nil"/>
                    <w:bottom w:val="nil"/>
                    <w:right w:val="nil"/>
                  </w:tcBorders>
                  <w:shd w:val="clear" w:color="auto" w:fill="auto"/>
                  <w:vAlign w:val="bottom"/>
                </w:tcPr>
                <w:p w14:paraId="7954D434"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0.33</w:t>
                  </w:r>
                </w:p>
              </w:tc>
              <w:tc>
                <w:tcPr>
                  <w:tcW w:w="555" w:type="pct"/>
                  <w:tcBorders>
                    <w:top w:val="nil"/>
                    <w:left w:val="nil"/>
                    <w:bottom w:val="nil"/>
                    <w:right w:val="nil"/>
                  </w:tcBorders>
                  <w:shd w:val="clear" w:color="auto" w:fill="auto"/>
                  <w:vAlign w:val="bottom"/>
                </w:tcPr>
                <w:p w14:paraId="7954D435"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0.26</w:t>
                  </w:r>
                </w:p>
              </w:tc>
              <w:tc>
                <w:tcPr>
                  <w:tcW w:w="553" w:type="pct"/>
                  <w:tcBorders>
                    <w:top w:val="nil"/>
                    <w:left w:val="nil"/>
                    <w:bottom w:val="nil"/>
                    <w:right w:val="nil"/>
                  </w:tcBorders>
                  <w:shd w:val="clear" w:color="auto" w:fill="auto"/>
                  <w:vAlign w:val="bottom"/>
                </w:tcPr>
                <w:p w14:paraId="7954D436"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0.17</w:t>
                  </w:r>
                </w:p>
              </w:tc>
            </w:tr>
            <w:tr w:rsidR="00F05DC7" w:rsidRPr="00A75ED1" w14:paraId="7954D441" w14:textId="77777777" w:rsidTr="001113B1">
              <w:tc>
                <w:tcPr>
                  <w:tcW w:w="556" w:type="pct"/>
                  <w:shd w:val="clear" w:color="auto" w:fill="auto"/>
                  <w:vAlign w:val="bottom"/>
                </w:tcPr>
                <w:p w14:paraId="7954D438" w14:textId="77777777" w:rsidR="00F05DC7" w:rsidRPr="00911F46" w:rsidRDefault="00F05DC7" w:rsidP="00A3786D">
                  <w:pPr>
                    <w:pStyle w:val="TableBodyText"/>
                    <w:rPr>
                      <w:rFonts w:cs="Arial"/>
                      <w:szCs w:val="18"/>
                    </w:rPr>
                  </w:pPr>
                  <w:r w:rsidRPr="00911F46">
                    <w:rPr>
                      <w:rFonts w:cs="Arial"/>
                      <w:szCs w:val="18"/>
                    </w:rPr>
                    <w:t>2021</w:t>
                  </w:r>
                  <w:r>
                    <w:rPr>
                      <w:rFonts w:cs="Arial"/>
                      <w:szCs w:val="18"/>
                    </w:rPr>
                    <w:noBreakHyphen/>
                  </w:r>
                  <w:r w:rsidRPr="00911F46">
                    <w:rPr>
                      <w:rFonts w:cs="Arial"/>
                      <w:szCs w:val="18"/>
                    </w:rPr>
                    <w:t>22</w:t>
                  </w:r>
                </w:p>
              </w:tc>
              <w:tc>
                <w:tcPr>
                  <w:tcW w:w="557" w:type="pct"/>
                  <w:tcBorders>
                    <w:top w:val="nil"/>
                    <w:left w:val="nil"/>
                    <w:bottom w:val="nil"/>
                    <w:right w:val="nil"/>
                  </w:tcBorders>
                  <w:shd w:val="clear" w:color="auto" w:fill="auto"/>
                  <w:vAlign w:val="bottom"/>
                </w:tcPr>
                <w:p w14:paraId="7954D439" w14:textId="77777777" w:rsidR="00F05DC7" w:rsidRPr="00911F46" w:rsidRDefault="00F05DC7" w:rsidP="00A3786D">
                  <w:pPr>
                    <w:pStyle w:val="TableBodyText"/>
                    <w:rPr>
                      <w:rFonts w:cs="Arial"/>
                      <w:szCs w:val="18"/>
                    </w:rPr>
                  </w:pPr>
                  <w:r w:rsidRPr="00911F46">
                    <w:rPr>
                      <w:rFonts w:cs="Arial"/>
                      <w:color w:val="000000"/>
                      <w:szCs w:val="18"/>
                    </w:rPr>
                    <w:t>0.15</w:t>
                  </w:r>
                </w:p>
              </w:tc>
              <w:tc>
                <w:tcPr>
                  <w:tcW w:w="557" w:type="pct"/>
                  <w:tcBorders>
                    <w:top w:val="nil"/>
                    <w:left w:val="nil"/>
                    <w:bottom w:val="nil"/>
                    <w:right w:val="nil"/>
                  </w:tcBorders>
                  <w:shd w:val="clear" w:color="auto" w:fill="auto"/>
                  <w:vAlign w:val="bottom"/>
                </w:tcPr>
                <w:p w14:paraId="7954D43A"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0.34</w:t>
                  </w:r>
                </w:p>
              </w:tc>
              <w:tc>
                <w:tcPr>
                  <w:tcW w:w="556" w:type="pct"/>
                  <w:tcBorders>
                    <w:top w:val="nil"/>
                    <w:left w:val="nil"/>
                    <w:bottom w:val="nil"/>
                    <w:right w:val="nil"/>
                  </w:tcBorders>
                  <w:shd w:val="clear" w:color="auto" w:fill="auto"/>
                  <w:vAlign w:val="bottom"/>
                </w:tcPr>
                <w:p w14:paraId="7954D43B"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0.34</w:t>
                  </w:r>
                </w:p>
              </w:tc>
              <w:tc>
                <w:tcPr>
                  <w:tcW w:w="556" w:type="pct"/>
                  <w:tcBorders>
                    <w:top w:val="nil"/>
                    <w:left w:val="nil"/>
                    <w:bottom w:val="nil"/>
                    <w:right w:val="nil"/>
                  </w:tcBorders>
                  <w:shd w:val="clear" w:color="auto" w:fill="auto"/>
                  <w:vAlign w:val="bottom"/>
                </w:tcPr>
                <w:p w14:paraId="7954D43C" w14:textId="77777777" w:rsidR="00F05DC7" w:rsidRPr="00911F46" w:rsidRDefault="00F05DC7" w:rsidP="00A3786D">
                  <w:pPr>
                    <w:pStyle w:val="TableBodyText"/>
                    <w:rPr>
                      <w:rFonts w:cs="Arial"/>
                      <w:szCs w:val="18"/>
                    </w:rPr>
                  </w:pPr>
                  <w:r w:rsidRPr="00911F46">
                    <w:rPr>
                      <w:rFonts w:cs="Arial"/>
                      <w:color w:val="000000"/>
                      <w:szCs w:val="18"/>
                    </w:rPr>
                    <w:t>1.36</w:t>
                  </w:r>
                </w:p>
              </w:tc>
              <w:tc>
                <w:tcPr>
                  <w:tcW w:w="555" w:type="pct"/>
                  <w:tcBorders>
                    <w:top w:val="nil"/>
                    <w:left w:val="nil"/>
                    <w:bottom w:val="nil"/>
                    <w:right w:val="nil"/>
                  </w:tcBorders>
                  <w:shd w:val="clear" w:color="auto" w:fill="auto"/>
                  <w:vAlign w:val="bottom"/>
                </w:tcPr>
                <w:p w14:paraId="7954D43D"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0.34</w:t>
                  </w:r>
                </w:p>
              </w:tc>
              <w:tc>
                <w:tcPr>
                  <w:tcW w:w="555" w:type="pct"/>
                  <w:tcBorders>
                    <w:top w:val="nil"/>
                    <w:left w:val="nil"/>
                    <w:bottom w:val="nil"/>
                    <w:right w:val="nil"/>
                  </w:tcBorders>
                  <w:shd w:val="clear" w:color="auto" w:fill="auto"/>
                  <w:vAlign w:val="bottom"/>
                </w:tcPr>
                <w:p w14:paraId="7954D43E"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0.33</w:t>
                  </w:r>
                </w:p>
              </w:tc>
              <w:tc>
                <w:tcPr>
                  <w:tcW w:w="555" w:type="pct"/>
                  <w:tcBorders>
                    <w:top w:val="nil"/>
                    <w:left w:val="nil"/>
                    <w:bottom w:val="nil"/>
                    <w:right w:val="nil"/>
                  </w:tcBorders>
                  <w:shd w:val="clear" w:color="auto" w:fill="auto"/>
                  <w:vAlign w:val="bottom"/>
                </w:tcPr>
                <w:p w14:paraId="7954D43F"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0.28</w:t>
                  </w:r>
                </w:p>
              </w:tc>
              <w:tc>
                <w:tcPr>
                  <w:tcW w:w="553" w:type="pct"/>
                  <w:tcBorders>
                    <w:top w:val="nil"/>
                    <w:left w:val="nil"/>
                    <w:bottom w:val="nil"/>
                    <w:right w:val="nil"/>
                  </w:tcBorders>
                  <w:shd w:val="clear" w:color="auto" w:fill="auto"/>
                  <w:vAlign w:val="bottom"/>
                </w:tcPr>
                <w:p w14:paraId="7954D440"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0.17</w:t>
                  </w:r>
                </w:p>
              </w:tc>
            </w:tr>
            <w:tr w:rsidR="00F05DC7" w:rsidRPr="00A75ED1" w14:paraId="7954D44B" w14:textId="77777777" w:rsidTr="001113B1">
              <w:tc>
                <w:tcPr>
                  <w:tcW w:w="556" w:type="pct"/>
                  <w:shd w:val="clear" w:color="auto" w:fill="auto"/>
                </w:tcPr>
                <w:p w14:paraId="7954D442" w14:textId="77777777" w:rsidR="00F05DC7" w:rsidRPr="00911F46" w:rsidRDefault="00F05DC7" w:rsidP="00A3786D">
                  <w:pPr>
                    <w:pStyle w:val="TableBodyText"/>
                    <w:rPr>
                      <w:rFonts w:cs="Arial"/>
                      <w:szCs w:val="18"/>
                    </w:rPr>
                  </w:pPr>
                  <w:r w:rsidRPr="00911F46">
                    <w:rPr>
                      <w:rFonts w:cs="Arial"/>
                      <w:szCs w:val="18"/>
                    </w:rPr>
                    <w:t>2022</w:t>
                  </w:r>
                  <w:r>
                    <w:rPr>
                      <w:rFonts w:cs="Arial"/>
                      <w:szCs w:val="18"/>
                    </w:rPr>
                    <w:noBreakHyphen/>
                  </w:r>
                  <w:r w:rsidRPr="00911F46">
                    <w:rPr>
                      <w:rFonts w:cs="Arial"/>
                      <w:szCs w:val="18"/>
                    </w:rPr>
                    <w:t>23</w:t>
                  </w:r>
                </w:p>
              </w:tc>
              <w:tc>
                <w:tcPr>
                  <w:tcW w:w="557" w:type="pct"/>
                  <w:tcBorders>
                    <w:top w:val="nil"/>
                    <w:left w:val="nil"/>
                    <w:bottom w:val="nil"/>
                    <w:right w:val="nil"/>
                  </w:tcBorders>
                  <w:shd w:val="clear" w:color="auto" w:fill="auto"/>
                  <w:vAlign w:val="bottom"/>
                </w:tcPr>
                <w:p w14:paraId="7954D443" w14:textId="77777777" w:rsidR="00F05DC7" w:rsidRPr="00911F46" w:rsidRDefault="00F05DC7" w:rsidP="00A3786D">
                  <w:pPr>
                    <w:pStyle w:val="TableBodyText"/>
                    <w:rPr>
                      <w:rFonts w:cs="Arial"/>
                      <w:szCs w:val="18"/>
                    </w:rPr>
                  </w:pPr>
                  <w:r w:rsidRPr="00911F46">
                    <w:rPr>
                      <w:rFonts w:cs="Arial"/>
                      <w:color w:val="000000"/>
                      <w:szCs w:val="18"/>
                    </w:rPr>
                    <w:t>0.16</w:t>
                  </w:r>
                </w:p>
              </w:tc>
              <w:tc>
                <w:tcPr>
                  <w:tcW w:w="557" w:type="pct"/>
                  <w:tcBorders>
                    <w:top w:val="nil"/>
                    <w:left w:val="nil"/>
                    <w:bottom w:val="nil"/>
                    <w:right w:val="nil"/>
                  </w:tcBorders>
                  <w:shd w:val="clear" w:color="auto" w:fill="auto"/>
                  <w:vAlign w:val="bottom"/>
                </w:tcPr>
                <w:p w14:paraId="7954D444"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0.36</w:t>
                  </w:r>
                </w:p>
              </w:tc>
              <w:tc>
                <w:tcPr>
                  <w:tcW w:w="556" w:type="pct"/>
                  <w:tcBorders>
                    <w:top w:val="nil"/>
                    <w:left w:val="nil"/>
                    <w:bottom w:val="nil"/>
                    <w:right w:val="nil"/>
                  </w:tcBorders>
                  <w:shd w:val="clear" w:color="auto" w:fill="auto"/>
                  <w:vAlign w:val="bottom"/>
                </w:tcPr>
                <w:p w14:paraId="7954D445"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0.36</w:t>
                  </w:r>
                </w:p>
              </w:tc>
              <w:tc>
                <w:tcPr>
                  <w:tcW w:w="556" w:type="pct"/>
                  <w:tcBorders>
                    <w:top w:val="nil"/>
                    <w:left w:val="nil"/>
                    <w:bottom w:val="nil"/>
                    <w:right w:val="nil"/>
                  </w:tcBorders>
                  <w:shd w:val="clear" w:color="auto" w:fill="auto"/>
                  <w:vAlign w:val="bottom"/>
                </w:tcPr>
                <w:p w14:paraId="7954D446" w14:textId="77777777" w:rsidR="00F05DC7" w:rsidRPr="00911F46" w:rsidRDefault="00F05DC7" w:rsidP="00A3786D">
                  <w:pPr>
                    <w:pStyle w:val="TableBodyText"/>
                    <w:rPr>
                      <w:rFonts w:cs="Arial"/>
                      <w:szCs w:val="18"/>
                    </w:rPr>
                  </w:pPr>
                  <w:r w:rsidRPr="00911F46">
                    <w:rPr>
                      <w:rFonts w:cs="Arial"/>
                      <w:color w:val="000000"/>
                      <w:szCs w:val="18"/>
                    </w:rPr>
                    <w:t>1.44</w:t>
                  </w:r>
                </w:p>
              </w:tc>
              <w:tc>
                <w:tcPr>
                  <w:tcW w:w="555" w:type="pct"/>
                  <w:tcBorders>
                    <w:top w:val="nil"/>
                    <w:left w:val="nil"/>
                    <w:bottom w:val="nil"/>
                    <w:right w:val="nil"/>
                  </w:tcBorders>
                  <w:shd w:val="clear" w:color="auto" w:fill="auto"/>
                  <w:vAlign w:val="bottom"/>
                </w:tcPr>
                <w:p w14:paraId="7954D447"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0.35</w:t>
                  </w:r>
                </w:p>
              </w:tc>
              <w:tc>
                <w:tcPr>
                  <w:tcW w:w="555" w:type="pct"/>
                  <w:tcBorders>
                    <w:top w:val="nil"/>
                    <w:left w:val="nil"/>
                    <w:bottom w:val="nil"/>
                    <w:right w:val="nil"/>
                  </w:tcBorders>
                  <w:shd w:val="clear" w:color="auto" w:fill="auto"/>
                  <w:vAlign w:val="bottom"/>
                </w:tcPr>
                <w:p w14:paraId="7954D448"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0.35</w:t>
                  </w:r>
                </w:p>
              </w:tc>
              <w:tc>
                <w:tcPr>
                  <w:tcW w:w="555" w:type="pct"/>
                  <w:tcBorders>
                    <w:top w:val="nil"/>
                    <w:left w:val="nil"/>
                    <w:bottom w:val="nil"/>
                    <w:right w:val="nil"/>
                  </w:tcBorders>
                  <w:shd w:val="clear" w:color="auto" w:fill="auto"/>
                  <w:vAlign w:val="bottom"/>
                </w:tcPr>
                <w:p w14:paraId="7954D449"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0.29</w:t>
                  </w:r>
                </w:p>
              </w:tc>
              <w:tc>
                <w:tcPr>
                  <w:tcW w:w="553" w:type="pct"/>
                  <w:tcBorders>
                    <w:top w:val="nil"/>
                    <w:left w:val="nil"/>
                    <w:bottom w:val="nil"/>
                    <w:right w:val="nil"/>
                  </w:tcBorders>
                  <w:shd w:val="clear" w:color="auto" w:fill="auto"/>
                  <w:vAlign w:val="bottom"/>
                </w:tcPr>
                <w:p w14:paraId="7954D44A"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0.17</w:t>
                  </w:r>
                </w:p>
              </w:tc>
            </w:tr>
            <w:tr w:rsidR="00F05DC7" w:rsidRPr="00A75ED1" w14:paraId="7954D455" w14:textId="77777777" w:rsidTr="001113B1">
              <w:tc>
                <w:tcPr>
                  <w:tcW w:w="556" w:type="pct"/>
                  <w:shd w:val="clear" w:color="auto" w:fill="auto"/>
                </w:tcPr>
                <w:p w14:paraId="7954D44C" w14:textId="77777777" w:rsidR="00F05DC7" w:rsidRPr="00911F46" w:rsidRDefault="00F05DC7" w:rsidP="00A3786D">
                  <w:pPr>
                    <w:pStyle w:val="TableBodyText"/>
                    <w:rPr>
                      <w:rFonts w:cs="Arial"/>
                      <w:szCs w:val="18"/>
                    </w:rPr>
                  </w:pPr>
                  <w:r w:rsidRPr="00911F46">
                    <w:rPr>
                      <w:rFonts w:cs="Arial"/>
                      <w:szCs w:val="18"/>
                    </w:rPr>
                    <w:t>2023</w:t>
                  </w:r>
                  <w:r>
                    <w:rPr>
                      <w:rFonts w:cs="Arial"/>
                      <w:szCs w:val="18"/>
                    </w:rPr>
                    <w:noBreakHyphen/>
                  </w:r>
                  <w:r w:rsidRPr="00911F46">
                    <w:rPr>
                      <w:rFonts w:cs="Arial"/>
                      <w:szCs w:val="18"/>
                    </w:rPr>
                    <w:t>24</w:t>
                  </w:r>
                </w:p>
              </w:tc>
              <w:tc>
                <w:tcPr>
                  <w:tcW w:w="557" w:type="pct"/>
                  <w:tcBorders>
                    <w:top w:val="nil"/>
                    <w:left w:val="nil"/>
                    <w:bottom w:val="nil"/>
                    <w:right w:val="nil"/>
                  </w:tcBorders>
                  <w:shd w:val="clear" w:color="auto" w:fill="auto"/>
                  <w:vAlign w:val="bottom"/>
                </w:tcPr>
                <w:p w14:paraId="7954D44D" w14:textId="77777777" w:rsidR="00F05DC7" w:rsidRPr="00911F46" w:rsidRDefault="00F05DC7" w:rsidP="00A3786D">
                  <w:pPr>
                    <w:pStyle w:val="TableBodyText"/>
                    <w:rPr>
                      <w:rFonts w:cs="Arial"/>
                      <w:szCs w:val="18"/>
                    </w:rPr>
                  </w:pPr>
                  <w:r w:rsidRPr="00911F46">
                    <w:rPr>
                      <w:rFonts w:cs="Arial"/>
                      <w:color w:val="000000"/>
                      <w:szCs w:val="18"/>
                    </w:rPr>
                    <w:t>0.17</w:t>
                  </w:r>
                </w:p>
              </w:tc>
              <w:tc>
                <w:tcPr>
                  <w:tcW w:w="557" w:type="pct"/>
                  <w:tcBorders>
                    <w:top w:val="nil"/>
                    <w:left w:val="nil"/>
                    <w:bottom w:val="nil"/>
                    <w:right w:val="nil"/>
                  </w:tcBorders>
                  <w:shd w:val="clear" w:color="auto" w:fill="auto"/>
                  <w:vAlign w:val="bottom"/>
                </w:tcPr>
                <w:p w14:paraId="7954D44E"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0.38</w:t>
                  </w:r>
                </w:p>
              </w:tc>
              <w:tc>
                <w:tcPr>
                  <w:tcW w:w="556" w:type="pct"/>
                  <w:tcBorders>
                    <w:top w:val="nil"/>
                    <w:left w:val="nil"/>
                    <w:bottom w:val="nil"/>
                    <w:right w:val="nil"/>
                  </w:tcBorders>
                  <w:shd w:val="clear" w:color="auto" w:fill="auto"/>
                  <w:vAlign w:val="bottom"/>
                </w:tcPr>
                <w:p w14:paraId="7954D44F"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0.38</w:t>
                  </w:r>
                </w:p>
              </w:tc>
              <w:tc>
                <w:tcPr>
                  <w:tcW w:w="556" w:type="pct"/>
                  <w:tcBorders>
                    <w:top w:val="nil"/>
                    <w:left w:val="nil"/>
                    <w:bottom w:val="nil"/>
                    <w:right w:val="nil"/>
                  </w:tcBorders>
                  <w:shd w:val="clear" w:color="auto" w:fill="auto"/>
                  <w:vAlign w:val="bottom"/>
                </w:tcPr>
                <w:p w14:paraId="7954D450" w14:textId="77777777" w:rsidR="00F05DC7" w:rsidRPr="00911F46" w:rsidRDefault="00F05DC7" w:rsidP="00A3786D">
                  <w:pPr>
                    <w:pStyle w:val="TableBodyText"/>
                    <w:rPr>
                      <w:rFonts w:cs="Arial"/>
                      <w:szCs w:val="18"/>
                    </w:rPr>
                  </w:pPr>
                  <w:r w:rsidRPr="00911F46">
                    <w:rPr>
                      <w:rFonts w:cs="Arial"/>
                      <w:color w:val="000000"/>
                      <w:szCs w:val="18"/>
                    </w:rPr>
                    <w:t>1.52</w:t>
                  </w:r>
                </w:p>
              </w:tc>
              <w:tc>
                <w:tcPr>
                  <w:tcW w:w="555" w:type="pct"/>
                  <w:tcBorders>
                    <w:top w:val="nil"/>
                    <w:left w:val="nil"/>
                    <w:bottom w:val="nil"/>
                    <w:right w:val="nil"/>
                  </w:tcBorders>
                  <w:shd w:val="clear" w:color="auto" w:fill="auto"/>
                  <w:vAlign w:val="bottom"/>
                </w:tcPr>
                <w:p w14:paraId="7954D451"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0.37</w:t>
                  </w:r>
                </w:p>
              </w:tc>
              <w:tc>
                <w:tcPr>
                  <w:tcW w:w="555" w:type="pct"/>
                  <w:tcBorders>
                    <w:top w:val="nil"/>
                    <w:left w:val="nil"/>
                    <w:bottom w:val="nil"/>
                    <w:right w:val="nil"/>
                  </w:tcBorders>
                  <w:shd w:val="clear" w:color="auto" w:fill="auto"/>
                  <w:vAlign w:val="bottom"/>
                </w:tcPr>
                <w:p w14:paraId="7954D452"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0.36</w:t>
                  </w:r>
                </w:p>
              </w:tc>
              <w:tc>
                <w:tcPr>
                  <w:tcW w:w="555" w:type="pct"/>
                  <w:tcBorders>
                    <w:top w:val="nil"/>
                    <w:left w:val="nil"/>
                    <w:bottom w:val="nil"/>
                    <w:right w:val="nil"/>
                  </w:tcBorders>
                  <w:shd w:val="clear" w:color="auto" w:fill="auto"/>
                  <w:vAlign w:val="bottom"/>
                </w:tcPr>
                <w:p w14:paraId="7954D453"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0.30</w:t>
                  </w:r>
                </w:p>
              </w:tc>
              <w:tc>
                <w:tcPr>
                  <w:tcW w:w="553" w:type="pct"/>
                  <w:tcBorders>
                    <w:top w:val="nil"/>
                    <w:left w:val="nil"/>
                    <w:bottom w:val="nil"/>
                    <w:right w:val="nil"/>
                  </w:tcBorders>
                  <w:shd w:val="clear" w:color="auto" w:fill="auto"/>
                  <w:vAlign w:val="bottom"/>
                </w:tcPr>
                <w:p w14:paraId="7954D454"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0.18</w:t>
                  </w:r>
                </w:p>
              </w:tc>
            </w:tr>
            <w:tr w:rsidR="00F05DC7" w:rsidRPr="00A75ED1" w14:paraId="7954D45F" w14:textId="77777777" w:rsidTr="001113B1">
              <w:tc>
                <w:tcPr>
                  <w:tcW w:w="556" w:type="pct"/>
                  <w:shd w:val="clear" w:color="auto" w:fill="auto"/>
                </w:tcPr>
                <w:p w14:paraId="7954D456" w14:textId="77777777" w:rsidR="00F05DC7" w:rsidRPr="00911F46" w:rsidRDefault="00F05DC7" w:rsidP="00A3786D">
                  <w:pPr>
                    <w:pStyle w:val="TableBodyText"/>
                    <w:rPr>
                      <w:rFonts w:cs="Arial"/>
                      <w:szCs w:val="18"/>
                    </w:rPr>
                  </w:pPr>
                  <w:r w:rsidRPr="00911F46">
                    <w:rPr>
                      <w:rFonts w:cs="Arial"/>
                      <w:szCs w:val="18"/>
                    </w:rPr>
                    <w:t>2024</w:t>
                  </w:r>
                  <w:r>
                    <w:rPr>
                      <w:rFonts w:cs="Arial"/>
                      <w:szCs w:val="18"/>
                    </w:rPr>
                    <w:noBreakHyphen/>
                  </w:r>
                  <w:r w:rsidRPr="00911F46">
                    <w:rPr>
                      <w:rFonts w:cs="Arial"/>
                      <w:szCs w:val="18"/>
                    </w:rPr>
                    <w:t>25</w:t>
                  </w:r>
                </w:p>
              </w:tc>
              <w:tc>
                <w:tcPr>
                  <w:tcW w:w="557" w:type="pct"/>
                  <w:tcBorders>
                    <w:top w:val="nil"/>
                    <w:left w:val="nil"/>
                    <w:bottom w:val="nil"/>
                    <w:right w:val="nil"/>
                  </w:tcBorders>
                  <w:shd w:val="clear" w:color="auto" w:fill="auto"/>
                  <w:vAlign w:val="bottom"/>
                </w:tcPr>
                <w:p w14:paraId="7954D457" w14:textId="77777777" w:rsidR="00F05DC7" w:rsidRPr="00911F46" w:rsidRDefault="00F05DC7" w:rsidP="00A3786D">
                  <w:pPr>
                    <w:pStyle w:val="TableBodyText"/>
                    <w:rPr>
                      <w:rFonts w:cs="Arial"/>
                      <w:szCs w:val="18"/>
                    </w:rPr>
                  </w:pPr>
                  <w:r w:rsidRPr="00911F46">
                    <w:rPr>
                      <w:rFonts w:cs="Arial"/>
                      <w:color w:val="000000"/>
                      <w:szCs w:val="18"/>
                    </w:rPr>
                    <w:t>0.18</w:t>
                  </w:r>
                </w:p>
              </w:tc>
              <w:tc>
                <w:tcPr>
                  <w:tcW w:w="557" w:type="pct"/>
                  <w:tcBorders>
                    <w:top w:val="nil"/>
                    <w:left w:val="nil"/>
                    <w:bottom w:val="nil"/>
                    <w:right w:val="nil"/>
                  </w:tcBorders>
                  <w:shd w:val="clear" w:color="auto" w:fill="auto"/>
                  <w:vAlign w:val="bottom"/>
                </w:tcPr>
                <w:p w14:paraId="7954D458"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0.41</w:t>
                  </w:r>
                </w:p>
              </w:tc>
              <w:tc>
                <w:tcPr>
                  <w:tcW w:w="556" w:type="pct"/>
                  <w:tcBorders>
                    <w:top w:val="nil"/>
                    <w:left w:val="nil"/>
                    <w:bottom w:val="nil"/>
                    <w:right w:val="nil"/>
                  </w:tcBorders>
                  <w:shd w:val="clear" w:color="auto" w:fill="auto"/>
                  <w:vAlign w:val="bottom"/>
                </w:tcPr>
                <w:p w14:paraId="7954D459"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0.39</w:t>
                  </w:r>
                </w:p>
              </w:tc>
              <w:tc>
                <w:tcPr>
                  <w:tcW w:w="556" w:type="pct"/>
                  <w:tcBorders>
                    <w:top w:val="nil"/>
                    <w:left w:val="nil"/>
                    <w:bottom w:val="nil"/>
                    <w:right w:val="nil"/>
                  </w:tcBorders>
                  <w:shd w:val="clear" w:color="auto" w:fill="auto"/>
                  <w:vAlign w:val="bottom"/>
                </w:tcPr>
                <w:p w14:paraId="7954D45A" w14:textId="77777777" w:rsidR="00F05DC7" w:rsidRPr="00911F46" w:rsidRDefault="00F05DC7" w:rsidP="00A3786D">
                  <w:pPr>
                    <w:pStyle w:val="TableBodyText"/>
                    <w:rPr>
                      <w:rFonts w:cs="Arial"/>
                      <w:szCs w:val="18"/>
                    </w:rPr>
                  </w:pPr>
                  <w:r w:rsidRPr="00911F46">
                    <w:rPr>
                      <w:rFonts w:cs="Arial"/>
                      <w:color w:val="000000"/>
                      <w:szCs w:val="18"/>
                    </w:rPr>
                    <w:t>1.61</w:t>
                  </w:r>
                </w:p>
              </w:tc>
              <w:tc>
                <w:tcPr>
                  <w:tcW w:w="555" w:type="pct"/>
                  <w:tcBorders>
                    <w:top w:val="nil"/>
                    <w:left w:val="nil"/>
                    <w:bottom w:val="nil"/>
                    <w:right w:val="nil"/>
                  </w:tcBorders>
                  <w:shd w:val="clear" w:color="auto" w:fill="auto"/>
                  <w:vAlign w:val="bottom"/>
                </w:tcPr>
                <w:p w14:paraId="7954D45B"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0.38</w:t>
                  </w:r>
                </w:p>
              </w:tc>
              <w:tc>
                <w:tcPr>
                  <w:tcW w:w="555" w:type="pct"/>
                  <w:tcBorders>
                    <w:top w:val="nil"/>
                    <w:left w:val="nil"/>
                    <w:bottom w:val="nil"/>
                    <w:right w:val="nil"/>
                  </w:tcBorders>
                  <w:shd w:val="clear" w:color="auto" w:fill="auto"/>
                  <w:vAlign w:val="bottom"/>
                </w:tcPr>
                <w:p w14:paraId="7954D45C"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0.37</w:t>
                  </w:r>
                </w:p>
              </w:tc>
              <w:tc>
                <w:tcPr>
                  <w:tcW w:w="555" w:type="pct"/>
                  <w:tcBorders>
                    <w:top w:val="nil"/>
                    <w:left w:val="nil"/>
                    <w:bottom w:val="nil"/>
                    <w:right w:val="nil"/>
                  </w:tcBorders>
                  <w:shd w:val="clear" w:color="auto" w:fill="auto"/>
                  <w:vAlign w:val="bottom"/>
                </w:tcPr>
                <w:p w14:paraId="7954D45D"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0.32</w:t>
                  </w:r>
                </w:p>
              </w:tc>
              <w:tc>
                <w:tcPr>
                  <w:tcW w:w="553" w:type="pct"/>
                  <w:tcBorders>
                    <w:top w:val="nil"/>
                    <w:left w:val="nil"/>
                    <w:bottom w:val="nil"/>
                    <w:right w:val="nil"/>
                  </w:tcBorders>
                  <w:shd w:val="clear" w:color="auto" w:fill="auto"/>
                  <w:vAlign w:val="bottom"/>
                </w:tcPr>
                <w:p w14:paraId="7954D45E"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0.18</w:t>
                  </w:r>
                </w:p>
              </w:tc>
            </w:tr>
            <w:tr w:rsidR="00F05DC7" w:rsidRPr="00A75ED1" w14:paraId="7954D469" w14:textId="77777777" w:rsidTr="001113B1">
              <w:tc>
                <w:tcPr>
                  <w:tcW w:w="556" w:type="pct"/>
                  <w:shd w:val="clear" w:color="auto" w:fill="auto"/>
                </w:tcPr>
                <w:p w14:paraId="7954D460" w14:textId="77777777" w:rsidR="00F05DC7" w:rsidRPr="00911F46" w:rsidRDefault="00F05DC7" w:rsidP="00A3786D">
                  <w:pPr>
                    <w:pStyle w:val="TableBodyText"/>
                    <w:rPr>
                      <w:rFonts w:cs="Arial"/>
                      <w:szCs w:val="18"/>
                    </w:rPr>
                  </w:pPr>
                  <w:r w:rsidRPr="00911F46">
                    <w:rPr>
                      <w:rFonts w:cs="Arial"/>
                      <w:szCs w:val="18"/>
                    </w:rPr>
                    <w:t>2025</w:t>
                  </w:r>
                  <w:r>
                    <w:rPr>
                      <w:rFonts w:cs="Arial"/>
                      <w:szCs w:val="18"/>
                    </w:rPr>
                    <w:noBreakHyphen/>
                  </w:r>
                  <w:r w:rsidRPr="00911F46">
                    <w:rPr>
                      <w:rFonts w:cs="Arial"/>
                      <w:szCs w:val="18"/>
                    </w:rPr>
                    <w:t>26</w:t>
                  </w:r>
                </w:p>
              </w:tc>
              <w:tc>
                <w:tcPr>
                  <w:tcW w:w="557" w:type="pct"/>
                  <w:tcBorders>
                    <w:top w:val="nil"/>
                    <w:left w:val="nil"/>
                    <w:bottom w:val="nil"/>
                    <w:right w:val="nil"/>
                  </w:tcBorders>
                  <w:shd w:val="clear" w:color="auto" w:fill="auto"/>
                  <w:vAlign w:val="bottom"/>
                </w:tcPr>
                <w:p w14:paraId="7954D461" w14:textId="77777777" w:rsidR="00F05DC7" w:rsidRPr="00911F46" w:rsidRDefault="00F05DC7" w:rsidP="00A3786D">
                  <w:pPr>
                    <w:pStyle w:val="TableBodyText"/>
                    <w:rPr>
                      <w:rFonts w:cs="Arial"/>
                      <w:szCs w:val="18"/>
                    </w:rPr>
                  </w:pPr>
                  <w:r w:rsidRPr="00911F46">
                    <w:rPr>
                      <w:rFonts w:cs="Arial"/>
                      <w:color w:val="000000"/>
                      <w:szCs w:val="18"/>
                    </w:rPr>
                    <w:t>0.19</w:t>
                  </w:r>
                </w:p>
              </w:tc>
              <w:tc>
                <w:tcPr>
                  <w:tcW w:w="557" w:type="pct"/>
                  <w:tcBorders>
                    <w:top w:val="nil"/>
                    <w:left w:val="nil"/>
                    <w:bottom w:val="nil"/>
                    <w:right w:val="nil"/>
                  </w:tcBorders>
                  <w:shd w:val="clear" w:color="auto" w:fill="auto"/>
                  <w:vAlign w:val="bottom"/>
                </w:tcPr>
                <w:p w14:paraId="7954D462"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0.43</w:t>
                  </w:r>
                </w:p>
              </w:tc>
              <w:tc>
                <w:tcPr>
                  <w:tcW w:w="556" w:type="pct"/>
                  <w:tcBorders>
                    <w:top w:val="nil"/>
                    <w:left w:val="nil"/>
                    <w:bottom w:val="nil"/>
                    <w:right w:val="nil"/>
                  </w:tcBorders>
                  <w:shd w:val="clear" w:color="auto" w:fill="auto"/>
                  <w:vAlign w:val="bottom"/>
                </w:tcPr>
                <w:p w14:paraId="7954D463"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0.41</w:t>
                  </w:r>
                </w:p>
              </w:tc>
              <w:tc>
                <w:tcPr>
                  <w:tcW w:w="556" w:type="pct"/>
                  <w:tcBorders>
                    <w:top w:val="nil"/>
                    <w:left w:val="nil"/>
                    <w:bottom w:val="nil"/>
                    <w:right w:val="nil"/>
                  </w:tcBorders>
                  <w:shd w:val="clear" w:color="auto" w:fill="auto"/>
                  <w:vAlign w:val="bottom"/>
                </w:tcPr>
                <w:p w14:paraId="7954D464" w14:textId="77777777" w:rsidR="00F05DC7" w:rsidRPr="00911F46" w:rsidRDefault="00F05DC7" w:rsidP="00A3786D">
                  <w:pPr>
                    <w:pStyle w:val="TableBodyText"/>
                    <w:rPr>
                      <w:rFonts w:cs="Arial"/>
                      <w:szCs w:val="18"/>
                    </w:rPr>
                  </w:pPr>
                  <w:r w:rsidRPr="00911F46">
                    <w:rPr>
                      <w:rFonts w:cs="Arial"/>
                      <w:color w:val="000000"/>
                      <w:szCs w:val="18"/>
                    </w:rPr>
                    <w:t>1.70</w:t>
                  </w:r>
                </w:p>
              </w:tc>
              <w:tc>
                <w:tcPr>
                  <w:tcW w:w="555" w:type="pct"/>
                  <w:tcBorders>
                    <w:top w:val="nil"/>
                    <w:left w:val="nil"/>
                    <w:bottom w:val="nil"/>
                    <w:right w:val="nil"/>
                  </w:tcBorders>
                  <w:shd w:val="clear" w:color="auto" w:fill="auto"/>
                  <w:vAlign w:val="bottom"/>
                </w:tcPr>
                <w:p w14:paraId="7954D465"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0.40</w:t>
                  </w:r>
                </w:p>
              </w:tc>
              <w:tc>
                <w:tcPr>
                  <w:tcW w:w="555" w:type="pct"/>
                  <w:tcBorders>
                    <w:top w:val="nil"/>
                    <w:left w:val="nil"/>
                    <w:bottom w:val="nil"/>
                    <w:right w:val="nil"/>
                  </w:tcBorders>
                  <w:shd w:val="clear" w:color="auto" w:fill="auto"/>
                  <w:vAlign w:val="bottom"/>
                </w:tcPr>
                <w:p w14:paraId="7954D466"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0.39</w:t>
                  </w:r>
                </w:p>
              </w:tc>
              <w:tc>
                <w:tcPr>
                  <w:tcW w:w="555" w:type="pct"/>
                  <w:tcBorders>
                    <w:top w:val="nil"/>
                    <w:left w:val="nil"/>
                    <w:bottom w:val="nil"/>
                    <w:right w:val="nil"/>
                  </w:tcBorders>
                  <w:shd w:val="clear" w:color="auto" w:fill="auto"/>
                  <w:vAlign w:val="bottom"/>
                </w:tcPr>
                <w:p w14:paraId="7954D467"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0.33</w:t>
                  </w:r>
                </w:p>
              </w:tc>
              <w:tc>
                <w:tcPr>
                  <w:tcW w:w="553" w:type="pct"/>
                  <w:tcBorders>
                    <w:top w:val="nil"/>
                    <w:left w:val="nil"/>
                    <w:bottom w:val="nil"/>
                    <w:right w:val="nil"/>
                  </w:tcBorders>
                  <w:shd w:val="clear" w:color="auto" w:fill="auto"/>
                  <w:vAlign w:val="bottom"/>
                </w:tcPr>
                <w:p w14:paraId="7954D468"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0.19</w:t>
                  </w:r>
                </w:p>
              </w:tc>
            </w:tr>
            <w:tr w:rsidR="00F05DC7" w:rsidRPr="00A75ED1" w14:paraId="7954D473" w14:textId="77777777" w:rsidTr="001113B1">
              <w:tc>
                <w:tcPr>
                  <w:tcW w:w="556" w:type="pct"/>
                  <w:tcBorders>
                    <w:bottom w:val="single" w:sz="6" w:space="0" w:color="D9D9D9" w:themeColor="background1" w:themeShade="D9"/>
                  </w:tcBorders>
                  <w:shd w:val="clear" w:color="auto" w:fill="auto"/>
                </w:tcPr>
                <w:p w14:paraId="7954D46A" w14:textId="77777777" w:rsidR="00F05DC7" w:rsidRPr="00911F46" w:rsidRDefault="00F05DC7" w:rsidP="00A3786D">
                  <w:pPr>
                    <w:pStyle w:val="TableBodyText"/>
                    <w:rPr>
                      <w:rFonts w:cs="Arial"/>
                      <w:szCs w:val="18"/>
                    </w:rPr>
                  </w:pPr>
                  <w:r w:rsidRPr="00911F46">
                    <w:rPr>
                      <w:rFonts w:cs="Arial"/>
                      <w:szCs w:val="18"/>
                    </w:rPr>
                    <w:t>2026</w:t>
                  </w:r>
                  <w:r>
                    <w:rPr>
                      <w:rFonts w:cs="Arial"/>
                      <w:szCs w:val="18"/>
                    </w:rPr>
                    <w:noBreakHyphen/>
                  </w:r>
                  <w:r w:rsidRPr="00911F46">
                    <w:rPr>
                      <w:rFonts w:cs="Arial"/>
                      <w:szCs w:val="18"/>
                    </w:rPr>
                    <w:t>27</w:t>
                  </w:r>
                </w:p>
              </w:tc>
              <w:tc>
                <w:tcPr>
                  <w:tcW w:w="557" w:type="pct"/>
                  <w:tcBorders>
                    <w:top w:val="nil"/>
                    <w:left w:val="nil"/>
                    <w:bottom w:val="single" w:sz="6" w:space="0" w:color="D9D9D9" w:themeColor="background1" w:themeShade="D9"/>
                    <w:right w:val="nil"/>
                  </w:tcBorders>
                  <w:shd w:val="clear" w:color="auto" w:fill="auto"/>
                  <w:vAlign w:val="bottom"/>
                </w:tcPr>
                <w:p w14:paraId="7954D46B" w14:textId="77777777" w:rsidR="00F05DC7" w:rsidRPr="00911F46" w:rsidRDefault="00F05DC7" w:rsidP="00A3786D">
                  <w:pPr>
                    <w:pStyle w:val="TableBodyText"/>
                    <w:rPr>
                      <w:rFonts w:cs="Arial"/>
                      <w:szCs w:val="18"/>
                    </w:rPr>
                  </w:pPr>
                  <w:r w:rsidRPr="00911F46">
                    <w:rPr>
                      <w:rFonts w:cs="Arial"/>
                      <w:color w:val="000000"/>
                      <w:szCs w:val="18"/>
                    </w:rPr>
                    <w:t>0.20</w:t>
                  </w:r>
                </w:p>
              </w:tc>
              <w:tc>
                <w:tcPr>
                  <w:tcW w:w="557" w:type="pct"/>
                  <w:tcBorders>
                    <w:top w:val="nil"/>
                    <w:left w:val="nil"/>
                    <w:bottom w:val="single" w:sz="6" w:space="0" w:color="D9D9D9" w:themeColor="background1" w:themeShade="D9"/>
                    <w:right w:val="nil"/>
                  </w:tcBorders>
                  <w:shd w:val="clear" w:color="auto" w:fill="auto"/>
                  <w:vAlign w:val="bottom"/>
                </w:tcPr>
                <w:p w14:paraId="7954D46C"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0.46</w:t>
                  </w:r>
                </w:p>
              </w:tc>
              <w:tc>
                <w:tcPr>
                  <w:tcW w:w="556" w:type="pct"/>
                  <w:tcBorders>
                    <w:top w:val="nil"/>
                    <w:left w:val="nil"/>
                    <w:bottom w:val="single" w:sz="6" w:space="0" w:color="D9D9D9" w:themeColor="background1" w:themeShade="D9"/>
                    <w:right w:val="nil"/>
                  </w:tcBorders>
                  <w:shd w:val="clear" w:color="auto" w:fill="auto"/>
                  <w:vAlign w:val="bottom"/>
                </w:tcPr>
                <w:p w14:paraId="7954D46D"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0.43</w:t>
                  </w:r>
                </w:p>
              </w:tc>
              <w:tc>
                <w:tcPr>
                  <w:tcW w:w="556" w:type="pct"/>
                  <w:tcBorders>
                    <w:top w:val="nil"/>
                    <w:left w:val="nil"/>
                    <w:bottom w:val="single" w:sz="6" w:space="0" w:color="D9D9D9" w:themeColor="background1" w:themeShade="D9"/>
                    <w:right w:val="nil"/>
                  </w:tcBorders>
                  <w:shd w:val="clear" w:color="auto" w:fill="auto"/>
                  <w:vAlign w:val="bottom"/>
                </w:tcPr>
                <w:p w14:paraId="7954D46E" w14:textId="77777777" w:rsidR="00F05DC7" w:rsidRPr="00911F46" w:rsidRDefault="00F05DC7" w:rsidP="00A3786D">
                  <w:pPr>
                    <w:pStyle w:val="TableBodyText"/>
                    <w:rPr>
                      <w:rFonts w:cs="Arial"/>
                      <w:szCs w:val="18"/>
                    </w:rPr>
                  </w:pPr>
                  <w:r w:rsidRPr="00911F46">
                    <w:rPr>
                      <w:rFonts w:cs="Arial"/>
                      <w:color w:val="000000"/>
                      <w:szCs w:val="18"/>
                    </w:rPr>
                    <w:t>1.80</w:t>
                  </w:r>
                </w:p>
              </w:tc>
              <w:tc>
                <w:tcPr>
                  <w:tcW w:w="555" w:type="pct"/>
                  <w:tcBorders>
                    <w:top w:val="nil"/>
                    <w:left w:val="nil"/>
                    <w:bottom w:val="single" w:sz="6" w:space="0" w:color="D9D9D9" w:themeColor="background1" w:themeShade="D9"/>
                    <w:right w:val="nil"/>
                  </w:tcBorders>
                  <w:shd w:val="clear" w:color="auto" w:fill="auto"/>
                  <w:vAlign w:val="bottom"/>
                </w:tcPr>
                <w:p w14:paraId="7954D46F"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0.41</w:t>
                  </w:r>
                </w:p>
              </w:tc>
              <w:tc>
                <w:tcPr>
                  <w:tcW w:w="555" w:type="pct"/>
                  <w:tcBorders>
                    <w:top w:val="nil"/>
                    <w:left w:val="nil"/>
                    <w:bottom w:val="single" w:sz="6" w:space="0" w:color="D9D9D9" w:themeColor="background1" w:themeShade="D9"/>
                    <w:right w:val="nil"/>
                  </w:tcBorders>
                  <w:shd w:val="clear" w:color="auto" w:fill="auto"/>
                  <w:vAlign w:val="bottom"/>
                </w:tcPr>
                <w:p w14:paraId="7954D470"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0.40</w:t>
                  </w:r>
                </w:p>
              </w:tc>
              <w:tc>
                <w:tcPr>
                  <w:tcW w:w="555" w:type="pct"/>
                  <w:tcBorders>
                    <w:top w:val="nil"/>
                    <w:left w:val="nil"/>
                    <w:bottom w:val="single" w:sz="6" w:space="0" w:color="D9D9D9" w:themeColor="background1" w:themeShade="D9"/>
                    <w:right w:val="nil"/>
                  </w:tcBorders>
                  <w:shd w:val="clear" w:color="auto" w:fill="auto"/>
                  <w:vAlign w:val="bottom"/>
                </w:tcPr>
                <w:p w14:paraId="7954D471"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0.35</w:t>
                  </w:r>
                </w:p>
              </w:tc>
              <w:tc>
                <w:tcPr>
                  <w:tcW w:w="553" w:type="pct"/>
                  <w:tcBorders>
                    <w:top w:val="nil"/>
                    <w:left w:val="nil"/>
                    <w:bottom w:val="single" w:sz="6" w:space="0" w:color="D9D9D9" w:themeColor="background1" w:themeShade="D9"/>
                    <w:right w:val="nil"/>
                  </w:tcBorders>
                  <w:shd w:val="clear" w:color="auto" w:fill="auto"/>
                  <w:vAlign w:val="bottom"/>
                </w:tcPr>
                <w:p w14:paraId="7954D472" w14:textId="77777777" w:rsidR="00F05DC7" w:rsidRPr="00911F46" w:rsidRDefault="00F05DC7" w:rsidP="00A3786D">
                  <w:pPr>
                    <w:pStyle w:val="TableBodyText"/>
                    <w:rPr>
                      <w:rFonts w:cs="Arial"/>
                      <w:szCs w:val="18"/>
                    </w:rPr>
                  </w:pPr>
                  <w:r>
                    <w:rPr>
                      <w:rFonts w:cs="Arial"/>
                      <w:color w:val="000000"/>
                      <w:szCs w:val="18"/>
                    </w:rPr>
                    <w:noBreakHyphen/>
                  </w:r>
                  <w:r w:rsidRPr="00911F46">
                    <w:rPr>
                      <w:rFonts w:cs="Arial"/>
                      <w:color w:val="000000"/>
                      <w:szCs w:val="18"/>
                    </w:rPr>
                    <w:t>0.20</w:t>
                  </w:r>
                </w:p>
              </w:tc>
            </w:tr>
          </w:tbl>
          <w:p w14:paraId="7954D474" w14:textId="77777777" w:rsidR="00F05DC7" w:rsidRPr="006C0046" w:rsidRDefault="00F05DC7" w:rsidP="00A3786D">
            <w:pPr>
              <w:pStyle w:val="Box"/>
              <w:rPr>
                <w:rFonts w:asciiTheme="minorHAnsi" w:hAnsiTheme="minorHAnsi" w:cstheme="minorHAnsi"/>
                <w:sz w:val="18"/>
                <w:szCs w:val="18"/>
              </w:rPr>
            </w:pPr>
          </w:p>
        </w:tc>
      </w:tr>
      <w:tr w:rsidR="00F05DC7" w14:paraId="7954D477" w14:textId="77777777" w:rsidTr="00A3786D">
        <w:tc>
          <w:tcPr>
            <w:tcW w:w="5000" w:type="pct"/>
            <w:tcBorders>
              <w:top w:val="nil"/>
              <w:left w:val="nil"/>
              <w:bottom w:val="nil"/>
              <w:right w:val="nil"/>
            </w:tcBorders>
            <w:shd w:val="clear" w:color="auto" w:fill="auto"/>
          </w:tcPr>
          <w:p w14:paraId="7954D476" w14:textId="77777777" w:rsidR="00F05DC7" w:rsidRDefault="00F05DC7" w:rsidP="00A3786D">
            <w:pPr>
              <w:pStyle w:val="Source"/>
            </w:pPr>
            <w:r>
              <w:rPr>
                <w:i/>
              </w:rPr>
              <w:t>Source</w:t>
            </w:r>
            <w:r w:rsidRPr="00167F06">
              <w:t>:</w:t>
            </w:r>
            <w:r>
              <w:t xml:space="preserve"> </w:t>
            </w:r>
            <w:r w:rsidRPr="003A355E">
              <w:t xml:space="preserve">Productivity </w:t>
            </w:r>
            <w:r w:rsidRPr="00676CAE">
              <w:t>Commission estimates.</w:t>
            </w:r>
            <w:r>
              <w:rPr>
                <w:i/>
              </w:rPr>
              <w:t xml:space="preserve"> </w:t>
            </w:r>
          </w:p>
        </w:tc>
      </w:tr>
      <w:tr w:rsidR="00F05DC7" w14:paraId="7954D479" w14:textId="77777777" w:rsidTr="00A3786D">
        <w:tc>
          <w:tcPr>
            <w:tcW w:w="5000" w:type="pct"/>
            <w:tcBorders>
              <w:top w:val="nil"/>
              <w:left w:val="nil"/>
              <w:bottom w:val="single" w:sz="6" w:space="0" w:color="78A22F"/>
              <w:right w:val="nil"/>
            </w:tcBorders>
            <w:shd w:val="clear" w:color="auto" w:fill="auto"/>
          </w:tcPr>
          <w:p w14:paraId="7954D478" w14:textId="77777777" w:rsidR="00F05DC7" w:rsidRDefault="00F05DC7" w:rsidP="00A3786D">
            <w:pPr>
              <w:pStyle w:val="Box"/>
              <w:spacing w:before="0" w:line="120" w:lineRule="exact"/>
            </w:pPr>
          </w:p>
        </w:tc>
      </w:tr>
      <w:tr w:rsidR="00F05DC7" w:rsidRPr="000863A5" w14:paraId="7954D47B" w14:textId="77777777" w:rsidTr="00A3786D">
        <w:tc>
          <w:tcPr>
            <w:tcW w:w="5000" w:type="pct"/>
            <w:tcBorders>
              <w:top w:val="single" w:sz="6" w:space="0" w:color="78A22F"/>
              <w:left w:val="nil"/>
              <w:bottom w:val="nil"/>
              <w:right w:val="nil"/>
            </w:tcBorders>
          </w:tcPr>
          <w:p w14:paraId="7954D47A" w14:textId="77777777" w:rsidR="00F05DC7" w:rsidRPr="00626D32" w:rsidRDefault="00F05DC7" w:rsidP="00A3786D">
            <w:pPr>
              <w:pStyle w:val="BoxSpaceBelow"/>
            </w:pPr>
          </w:p>
        </w:tc>
      </w:tr>
    </w:tbl>
    <w:p w14:paraId="7954D47C" w14:textId="77777777" w:rsidR="00F05DC7" w:rsidRDefault="00F05DC7" w:rsidP="00A3786D">
      <w:pPr>
        <w:pStyle w:val="BodyText"/>
      </w:pPr>
    </w:p>
    <w:p w14:paraId="7954D47D" w14:textId="77777777" w:rsidR="00F05DC7" w:rsidRDefault="00F05DC7" w:rsidP="00F05DC7">
      <w:pPr>
        <w:sectPr w:rsidR="00F05DC7" w:rsidSect="00F05DC7">
          <w:headerReference w:type="even" r:id="rId216"/>
          <w:headerReference w:type="default" r:id="rId217"/>
          <w:footerReference w:type="even" r:id="rId218"/>
          <w:footerReference w:type="default" r:id="rId219"/>
          <w:type w:val="oddPage"/>
          <w:pgSz w:w="11907" w:h="16840" w:code="9"/>
          <w:pgMar w:top="1985" w:right="1304" w:bottom="1247" w:left="1814" w:header="1701" w:footer="397" w:gutter="0"/>
          <w:pgNumType w:chapSep="period"/>
          <w:cols w:space="720"/>
          <w:docGrid w:linePitch="326"/>
        </w:sectPr>
      </w:pPr>
    </w:p>
    <w:p w14:paraId="7954D47E" w14:textId="77777777" w:rsidR="00F05DC7" w:rsidRDefault="00F05DC7" w:rsidP="00F05DC7">
      <w:pPr>
        <w:pStyle w:val="Heading1"/>
      </w:pPr>
      <w:bookmarkStart w:id="134" w:name="_Toc513637759"/>
      <w:r>
        <w:lastRenderedPageBreak/>
        <w:t>References</w:t>
      </w:r>
      <w:bookmarkEnd w:id="134"/>
    </w:p>
    <w:p w14:paraId="7954D47F" w14:textId="48EF5077" w:rsidR="009D6331" w:rsidRDefault="009D6331" w:rsidP="00DA18C2">
      <w:pPr>
        <w:pStyle w:val="Reference"/>
      </w:pPr>
      <w:r>
        <w:t xml:space="preserve">ABC News 2015, </w:t>
      </w:r>
      <w:r>
        <w:rPr>
          <w:i/>
          <w:iCs/>
        </w:rPr>
        <w:t>John Howard introduces the GST (2000)</w:t>
      </w:r>
      <w:r>
        <w:t>, http://www.abc.net.au/news/</w:t>
      </w:r>
      <w:r w:rsidR="006606FA">
        <w:br/>
      </w:r>
      <w:r>
        <w:t>2014-05-20/john-howard-introduces-the-gst-2000/5464730 (accessed 18 July 2017).</w:t>
      </w:r>
    </w:p>
    <w:p w14:paraId="7954D480" w14:textId="1A6B57F6" w:rsidR="009D6331" w:rsidRDefault="009D6331" w:rsidP="00DA18C2">
      <w:pPr>
        <w:pStyle w:val="Reference"/>
      </w:pPr>
      <w:r>
        <w:t xml:space="preserve">ABS (Australian Bureau of Statistics) 2017a, </w:t>
      </w:r>
      <w:r>
        <w:rPr>
          <w:i/>
          <w:iCs/>
        </w:rPr>
        <w:t>Australian Demographic Statistics, Dec 2016</w:t>
      </w:r>
      <w:r w:rsidR="0084327B">
        <w:t>, Cat. no., </w:t>
      </w:r>
      <w:r w:rsidR="00C740F0">
        <w:t>3101.0</w:t>
      </w:r>
      <w:r>
        <w:t>.</w:t>
      </w:r>
    </w:p>
    <w:p w14:paraId="7954D481" w14:textId="41A17DA9" w:rsidR="009D6331" w:rsidRDefault="006D0019" w:rsidP="00DA18C2">
      <w:pPr>
        <w:pStyle w:val="Reference"/>
      </w:pPr>
      <w:r>
        <w:t>—— </w:t>
      </w:r>
      <w:r w:rsidR="009D6331">
        <w:t xml:space="preserve">2017b, </w:t>
      </w:r>
      <w:r w:rsidR="009D6331">
        <w:rPr>
          <w:i/>
          <w:iCs/>
        </w:rPr>
        <w:t>Australian National Accounts: State Accounts, 2016-17</w:t>
      </w:r>
      <w:r w:rsidR="0084327B">
        <w:t>, Cat. no., </w:t>
      </w:r>
      <w:r w:rsidR="00C740F0">
        <w:t>5220.0</w:t>
      </w:r>
      <w:r w:rsidR="009D6331">
        <w:t>.</w:t>
      </w:r>
    </w:p>
    <w:p w14:paraId="7954D482" w14:textId="2769B2E4" w:rsidR="009D6331" w:rsidRDefault="006D0019" w:rsidP="0084327B">
      <w:pPr>
        <w:pStyle w:val="Reference"/>
      </w:pPr>
      <w:r>
        <w:t>—— </w:t>
      </w:r>
      <w:r w:rsidR="009D6331">
        <w:t xml:space="preserve">2017c, </w:t>
      </w:r>
      <w:r w:rsidR="009D6331">
        <w:rPr>
          <w:i/>
          <w:iCs/>
        </w:rPr>
        <w:t>Australian System of National Accounts, 2015-16</w:t>
      </w:r>
      <w:r w:rsidR="0084327B">
        <w:t>, Cat. no., </w:t>
      </w:r>
      <w:r w:rsidR="00C740F0">
        <w:t>5204.0</w:t>
      </w:r>
      <w:r w:rsidR="009D6331">
        <w:t>.</w:t>
      </w:r>
    </w:p>
    <w:p w14:paraId="7954D483" w14:textId="77777777" w:rsidR="009D6331" w:rsidRDefault="006D0019" w:rsidP="00DA18C2">
      <w:pPr>
        <w:pStyle w:val="Reference"/>
      </w:pPr>
      <w:r>
        <w:t>—— </w:t>
      </w:r>
      <w:r w:rsidR="009D6331">
        <w:t xml:space="preserve">2017d, </w:t>
      </w:r>
      <w:r w:rsidR="009D6331">
        <w:rPr>
          <w:i/>
          <w:iCs/>
        </w:rPr>
        <w:t>Government Finance Statistics, Australia, 2015-16</w:t>
      </w:r>
      <w:r w:rsidR="009D6331">
        <w:t>, Cat. no., 5512.0, Canberra.</w:t>
      </w:r>
    </w:p>
    <w:p w14:paraId="7954D484" w14:textId="77777777" w:rsidR="009D6331" w:rsidRPr="006606FA" w:rsidRDefault="006D0019" w:rsidP="00DA18C2">
      <w:pPr>
        <w:pStyle w:val="Reference"/>
        <w:rPr>
          <w:spacing w:val="-4"/>
        </w:rPr>
      </w:pPr>
      <w:r w:rsidRPr="006606FA">
        <w:rPr>
          <w:spacing w:val="-4"/>
        </w:rPr>
        <w:t>—— </w:t>
      </w:r>
      <w:r w:rsidR="009D6331" w:rsidRPr="006606FA">
        <w:rPr>
          <w:spacing w:val="-4"/>
        </w:rPr>
        <w:t xml:space="preserve">2018, </w:t>
      </w:r>
      <w:r w:rsidR="009D6331" w:rsidRPr="006606FA">
        <w:rPr>
          <w:i/>
          <w:iCs/>
          <w:spacing w:val="-4"/>
        </w:rPr>
        <w:t>Residential Property Price Indexes: Eight Capital Cities, Dec 2017</w:t>
      </w:r>
      <w:r w:rsidR="009D6331" w:rsidRPr="006606FA">
        <w:rPr>
          <w:spacing w:val="-4"/>
        </w:rPr>
        <w:t>, Cat. no., 6416.0.</w:t>
      </w:r>
    </w:p>
    <w:p w14:paraId="7954D485" w14:textId="77777777" w:rsidR="009D6331" w:rsidRDefault="009D6331" w:rsidP="00DA18C2">
      <w:pPr>
        <w:pStyle w:val="Reference"/>
      </w:pPr>
      <w:r>
        <w:t xml:space="preserve">ACT Government 2017, </w:t>
      </w:r>
      <w:r>
        <w:rPr>
          <w:i/>
          <w:iCs/>
        </w:rPr>
        <w:t>Tax Reform</w:t>
      </w:r>
      <w:r>
        <w:t>, https://www.revenue.act.gov.au/tax-reform (accessed 8 December 2017).</w:t>
      </w:r>
    </w:p>
    <w:p w14:paraId="7954D486" w14:textId="77777777" w:rsidR="009D6331" w:rsidRDefault="009D6331" w:rsidP="00DA18C2">
      <w:pPr>
        <w:pStyle w:val="Reference"/>
      </w:pPr>
      <w:r>
        <w:t xml:space="preserve">Albouy, D. 2012, ‘Evaluating the efficiency and equity of federal fiscal equalization’, </w:t>
      </w:r>
      <w:r>
        <w:rPr>
          <w:i/>
          <w:iCs/>
        </w:rPr>
        <w:t>Journal of Public Economics</w:t>
      </w:r>
      <w:r>
        <w:t>, vol. 96, no. 9–10, pp. 824–839.</w:t>
      </w:r>
    </w:p>
    <w:p w14:paraId="7954D487" w14:textId="77777777" w:rsidR="009D6331" w:rsidRDefault="009D6331" w:rsidP="00DA18C2">
      <w:pPr>
        <w:pStyle w:val="Reference"/>
      </w:pPr>
      <w:r>
        <w:t xml:space="preserve">Allain-Dupré, D. 2017, </w:t>
      </w:r>
      <w:r>
        <w:rPr>
          <w:i/>
          <w:iCs/>
        </w:rPr>
        <w:t>Assigning responsibilities across levels of government: Trends, challenges and guiding principles for policy-makers</w:t>
      </w:r>
      <w:r>
        <w:t>, OECD Working Paper, COM/CTPA/ECO/GOV(2017)3, Fiscal Federalism, OECD, Paris.</w:t>
      </w:r>
    </w:p>
    <w:p w14:paraId="7954D488" w14:textId="77777777" w:rsidR="009D6331" w:rsidRDefault="009D6331" w:rsidP="00DA18C2">
      <w:pPr>
        <w:pStyle w:val="Reference"/>
      </w:pPr>
      <w:r>
        <w:t xml:space="preserve">ANAO (Australian National Audit Office) 2005, </w:t>
      </w:r>
      <w:r>
        <w:rPr>
          <w:i/>
          <w:iCs/>
        </w:rPr>
        <w:t>Payment of Goods and Services Tax to the States and Territories</w:t>
      </w:r>
      <w:r>
        <w:t>, 38 2004-05, Canberra.</w:t>
      </w:r>
    </w:p>
    <w:p w14:paraId="7954D489" w14:textId="77777777" w:rsidR="009D6331" w:rsidRDefault="009D6331" w:rsidP="00DA18C2">
      <w:pPr>
        <w:pStyle w:val="Reference"/>
      </w:pPr>
      <w:r>
        <w:t xml:space="preserve">APRA (Australian Prudential Regulation Authority) 2017, </w:t>
      </w:r>
      <w:r>
        <w:rPr>
          <w:i/>
          <w:iCs/>
        </w:rPr>
        <w:t>Quarterly General Insurance Performance Statistics</w:t>
      </w:r>
      <w:r>
        <w:t>, December 2017, Sydney.</w:t>
      </w:r>
    </w:p>
    <w:p w14:paraId="7954D48A" w14:textId="77777777" w:rsidR="009D6331" w:rsidRDefault="009D6331" w:rsidP="00DA18C2">
      <w:pPr>
        <w:pStyle w:val="Reference"/>
      </w:pPr>
      <w:r>
        <w:t xml:space="preserve">Argy, F. 2006, </w:t>
      </w:r>
      <w:r>
        <w:rPr>
          <w:i/>
          <w:iCs/>
        </w:rPr>
        <w:t>Equality of Opportunity in Australia: Myth and reality</w:t>
      </w:r>
      <w:r>
        <w:t>, The Australia Institute, Canberra, http://www.tai.org.au/node/950 (accessed 11 July 2017).</w:t>
      </w:r>
    </w:p>
    <w:p w14:paraId="7954D48B" w14:textId="1FEEC2E5" w:rsidR="009D6331" w:rsidRDefault="009D6331" w:rsidP="00DA18C2">
      <w:pPr>
        <w:pStyle w:val="Reference"/>
      </w:pPr>
      <w:r>
        <w:t xml:space="preserve">ATO (Australian Taxation Office) 2017, </w:t>
      </w:r>
      <w:r>
        <w:rPr>
          <w:i/>
          <w:iCs/>
        </w:rPr>
        <w:t>Private rulings</w:t>
      </w:r>
      <w:r>
        <w:t>, https://www.ato.gov.au/General/</w:t>
      </w:r>
      <w:r w:rsidR="006606FA">
        <w:br/>
      </w:r>
      <w:r>
        <w:t>ATO-advice-and-guidance/ATO-advice-products-(rulings)/Private-rulings/?default (accessed 13 April 2018).</w:t>
      </w:r>
    </w:p>
    <w:p w14:paraId="5EF6E210" w14:textId="1E4F650D" w:rsidR="008369A3" w:rsidRDefault="009D6331" w:rsidP="00DA18C2">
      <w:pPr>
        <w:pStyle w:val="Reference"/>
      </w:pPr>
      <w:r>
        <w:t xml:space="preserve">Australian Government 2007, </w:t>
      </w:r>
      <w:r>
        <w:rPr>
          <w:i/>
          <w:iCs/>
        </w:rPr>
        <w:t>Appendix B: Guaranteed minimum amount</w:t>
      </w:r>
      <w:r>
        <w:t>, Budget 2007-08, Canberra, http://www.budget.gov.au/2007-08/bp3/ht</w:t>
      </w:r>
      <w:r w:rsidR="006606FA">
        <w:t>ml/bp3_main-09.htm (accessed 16 N</w:t>
      </w:r>
      <w:r>
        <w:t>ovember 2017).</w:t>
      </w:r>
    </w:p>
    <w:p w14:paraId="7954D48D" w14:textId="77777777" w:rsidR="009D6331" w:rsidRDefault="009D6331" w:rsidP="00DA18C2">
      <w:pPr>
        <w:pStyle w:val="Reference"/>
      </w:pPr>
      <w:r>
        <w:t xml:space="preserve">Barnard, A. 1985, </w:t>
      </w:r>
      <w:r>
        <w:rPr>
          <w:i/>
          <w:iCs/>
        </w:rPr>
        <w:t>Australian Government Finances: A Statistical Overview, 1850-1982</w:t>
      </w:r>
      <w:r>
        <w:t>, Working paper, 59, Australian National University Department of Economic History, Canberra.</w:t>
      </w:r>
    </w:p>
    <w:p w14:paraId="7954D48E" w14:textId="1C87C3E6" w:rsidR="009D6331" w:rsidRDefault="009D6331" w:rsidP="00DA18C2">
      <w:pPr>
        <w:pStyle w:val="Reference"/>
      </w:pPr>
      <w:r>
        <w:lastRenderedPageBreak/>
        <w:t xml:space="preserve">BITRE (Bureau of Infrastructure, Transport and Regional Economics) 2017, </w:t>
      </w:r>
      <w:r>
        <w:rPr>
          <w:i/>
          <w:iCs/>
        </w:rPr>
        <w:t>Australian Infrastructure Statistics Yearbook 2017</w:t>
      </w:r>
      <w:r>
        <w:t xml:space="preserve">, </w:t>
      </w:r>
      <w:r w:rsidR="00C740F0" w:rsidRPr="00C740F0">
        <w:t>https://bitre.gov.au/publications/2017</w:t>
      </w:r>
      <w:r w:rsidR="00C740F0">
        <w:t xml:space="preserve"> </w:t>
      </w:r>
      <w:r>
        <w:t>/files/yearbook_2017.pdf (accessed 4 September 2018).</w:t>
      </w:r>
    </w:p>
    <w:p w14:paraId="7954D48F" w14:textId="77777777" w:rsidR="009D6331" w:rsidRDefault="009D6331" w:rsidP="00DA18C2">
      <w:pPr>
        <w:pStyle w:val="Reference"/>
      </w:pPr>
      <w:r>
        <w:t xml:space="preserve">Blöchliger, H. 2014, </w:t>
      </w:r>
      <w:r>
        <w:rPr>
          <w:i/>
          <w:iCs/>
        </w:rPr>
        <w:t>Fiscal Equalisation – a Cross-Country Perspective</w:t>
      </w:r>
      <w:r>
        <w:t>, OECD.</w:t>
      </w:r>
    </w:p>
    <w:p w14:paraId="7954D490" w14:textId="77777777" w:rsidR="009D6331" w:rsidRDefault="009D6331" w:rsidP="00DA18C2">
      <w:pPr>
        <w:pStyle w:val="Reference"/>
      </w:pPr>
      <w:r>
        <w:t xml:space="preserve">Blöchliger, H. and Charbit, C. 2008, </w:t>
      </w:r>
      <w:r>
        <w:rPr>
          <w:i/>
          <w:iCs/>
        </w:rPr>
        <w:t>Fiscal Equalisation</w:t>
      </w:r>
      <w:r>
        <w:t>, Organisation for Economic Co-operation and Development, Paris.</w:t>
      </w:r>
    </w:p>
    <w:p w14:paraId="7954D491" w14:textId="77777777" w:rsidR="009D6331" w:rsidRDefault="009D6331" w:rsidP="00DA18C2">
      <w:pPr>
        <w:pStyle w:val="Reference"/>
      </w:pPr>
      <w:r>
        <w:t xml:space="preserve">Blöchliger, H., Merk, O., Charbit, C. and Mizell, L. 2007, </w:t>
      </w:r>
      <w:r>
        <w:rPr>
          <w:i/>
          <w:iCs/>
        </w:rPr>
        <w:t>Fiscal Equalisation in OECD Countries</w:t>
      </w:r>
      <w:r>
        <w:t>, Working Paper, No. 4, OECD Network on Fiscal Relations Across Levels of Government, Organisation for Economic Co-operation and Development, Paris.</w:t>
      </w:r>
    </w:p>
    <w:p w14:paraId="7954D492" w14:textId="77777777" w:rsidR="009D6331" w:rsidRDefault="009D6331" w:rsidP="00DA18C2">
      <w:pPr>
        <w:pStyle w:val="Reference"/>
      </w:pPr>
      <w:r>
        <w:t xml:space="preserve">Boadway, R. 2004, ‘The theory and practice of equalization’, </w:t>
      </w:r>
      <w:r>
        <w:rPr>
          <w:i/>
          <w:iCs/>
        </w:rPr>
        <w:t>CESifo Economic Studies</w:t>
      </w:r>
      <w:r>
        <w:t>, vol. 50, no. 1, pp. 211–254.</w:t>
      </w:r>
    </w:p>
    <w:p w14:paraId="7954D493" w14:textId="6128AEBE" w:rsidR="009D6331" w:rsidRDefault="00B31650" w:rsidP="00DA18C2">
      <w:pPr>
        <w:pStyle w:val="Reference"/>
      </w:pPr>
      <w:r>
        <w:t>—— </w:t>
      </w:r>
      <w:r w:rsidR="009D6331">
        <w:t xml:space="preserve">2014, ‘Equalization in Canada’, </w:t>
      </w:r>
      <w:r w:rsidR="001A1B54" w:rsidRPr="001A1B54">
        <w:t>http://www.worldbank.org/content/dam/</w:t>
      </w:r>
      <w:r w:rsidR="009D6331">
        <w:t>Worldbank/</w:t>
      </w:r>
      <w:r w:rsidR="006606FA">
        <w:br/>
      </w:r>
      <w:r w:rsidR="009D6331">
        <w:t>Event/ECA/Poland/pl-fiscal-equalization-robin-boadway.pdf (accessed 15 February 2018).</w:t>
      </w:r>
    </w:p>
    <w:p w14:paraId="7954D494" w14:textId="77777777" w:rsidR="009D6331" w:rsidRDefault="009D6331" w:rsidP="00DA18C2">
      <w:pPr>
        <w:pStyle w:val="Reference"/>
      </w:pPr>
      <w:r>
        <w:t xml:space="preserve">—— and Flatters, F. 1982, ‘Efficiency and equalization payments in a federal system of government: A synthesis and extension of recent results’, </w:t>
      </w:r>
      <w:r>
        <w:rPr>
          <w:i/>
          <w:iCs/>
        </w:rPr>
        <w:t>Canadian Journal of Economics</w:t>
      </w:r>
      <w:r>
        <w:t>, vol. 15, no. 4, pp. 613–633.</w:t>
      </w:r>
    </w:p>
    <w:p w14:paraId="7954D495" w14:textId="77777777" w:rsidR="009D6331" w:rsidRDefault="009D6331" w:rsidP="00DA18C2">
      <w:pPr>
        <w:pStyle w:val="Reference"/>
      </w:pPr>
      <w:r>
        <w:t xml:space="preserve">—— and Shah, A. 2007, </w:t>
      </w:r>
      <w:r>
        <w:rPr>
          <w:i/>
          <w:iCs/>
        </w:rPr>
        <w:t>Intergovernmental Fiscal Transfers</w:t>
      </w:r>
      <w:r>
        <w:t>, Public Sector Governance And Accountability Series, World Bank, Washington DC.</w:t>
      </w:r>
    </w:p>
    <w:p w14:paraId="7954D496" w14:textId="77777777" w:rsidR="009D6331" w:rsidRDefault="00B31650" w:rsidP="00DA18C2">
      <w:pPr>
        <w:pStyle w:val="Reference"/>
      </w:pPr>
      <w:r>
        <w:t>—— and —— </w:t>
      </w:r>
      <w:r w:rsidR="009D6331">
        <w:t xml:space="preserve">2009, </w:t>
      </w:r>
      <w:r w:rsidR="009D6331">
        <w:rPr>
          <w:i/>
          <w:iCs/>
        </w:rPr>
        <w:t>Fiscal Federalism: Principles and Practices of Multiorder Governance</w:t>
      </w:r>
      <w:r w:rsidR="009D6331">
        <w:t>, Cambridge University Press.</w:t>
      </w:r>
    </w:p>
    <w:p w14:paraId="7954D497" w14:textId="77777777" w:rsidR="009D6331" w:rsidRDefault="009D6331" w:rsidP="00DA18C2">
      <w:pPr>
        <w:pStyle w:val="Reference"/>
      </w:pPr>
      <w:r>
        <w:t xml:space="preserve">Boex, J. and Martinez-Vazquez, J. 2004, </w:t>
      </w:r>
      <w:r>
        <w:rPr>
          <w:i/>
          <w:iCs/>
        </w:rPr>
        <w:t>Developing the Institutional Framework for Intergovernmental Fiscal Relations in Decentralizing LDTCs</w:t>
      </w:r>
      <w:r>
        <w:t>, Andrew Young School of Policy Studies, Georgia State University.</w:t>
      </w:r>
    </w:p>
    <w:p w14:paraId="7954D498" w14:textId="70C486D6" w:rsidR="009D6331" w:rsidRDefault="009D6331" w:rsidP="00DA18C2">
      <w:pPr>
        <w:pStyle w:val="Reference"/>
      </w:pPr>
      <w:r>
        <w:t xml:space="preserve">Bracks, S. 2000, </w:t>
      </w:r>
      <w:r>
        <w:rPr>
          <w:i/>
          <w:iCs/>
        </w:rPr>
        <w:t>Payroll Tax</w:t>
      </w:r>
      <w:r>
        <w:t xml:space="preserve">, </w:t>
      </w:r>
      <w:r>
        <w:rPr>
          <w:i/>
          <w:iCs/>
        </w:rPr>
        <w:t>First session, fifty-fourth parliament</w:t>
      </w:r>
      <w:r w:rsidR="00BE330D">
        <w:t>,</w:t>
      </w:r>
      <w:r>
        <w:t xml:space="preserve"> Legi</w:t>
      </w:r>
      <w:r w:rsidR="00BE330D">
        <w:t>slative Assembly of Victoria,</w:t>
      </w:r>
      <w:r>
        <w:t> pp.</w:t>
      </w:r>
      <w:r w:rsidR="006606FA">
        <w:t xml:space="preserve"> </w:t>
      </w:r>
      <w:r>
        <w:t>686-707.</w:t>
      </w:r>
    </w:p>
    <w:p w14:paraId="7954D499" w14:textId="77777777" w:rsidR="009D6331" w:rsidRDefault="009D6331" w:rsidP="00DA18C2">
      <w:pPr>
        <w:pStyle w:val="Reference"/>
      </w:pPr>
      <w:r>
        <w:t xml:space="preserve">Brown, A.J. and Hollander, R. 2017, </w:t>
      </w:r>
      <w:r>
        <w:rPr>
          <w:i/>
          <w:iCs/>
        </w:rPr>
        <w:t>Australian Constitutional Values Survey 2017: Results Release 1</w:t>
      </w:r>
      <w:r>
        <w:t>, Centre for Governance and Public Policy (Griffith University), Brisbane.</w:t>
      </w:r>
    </w:p>
    <w:p w14:paraId="7954D49A" w14:textId="77777777" w:rsidR="009D6331" w:rsidRDefault="009D6331" w:rsidP="00DA18C2">
      <w:pPr>
        <w:pStyle w:val="Reference"/>
      </w:pPr>
      <w:r>
        <w:t xml:space="preserve">Brumby, J. 2000, </w:t>
      </w:r>
      <w:r>
        <w:rPr>
          <w:i/>
          <w:iCs/>
        </w:rPr>
        <w:t>Tattersall Consultations (Amendment) Bill</w:t>
      </w:r>
      <w:r w:rsidR="00BE330D">
        <w:t>;</w:t>
      </w:r>
      <w:r>
        <w:t xml:space="preserve"> </w:t>
      </w:r>
      <w:r w:rsidRPr="00BE330D">
        <w:rPr>
          <w:i/>
        </w:rPr>
        <w:t>First session, fifty-fourth parliament</w:t>
      </w:r>
      <w:r>
        <w:t>, pp. 740–742.</w:t>
      </w:r>
    </w:p>
    <w:p w14:paraId="7954D49B" w14:textId="77777777" w:rsidR="009D6331" w:rsidRDefault="009D6331" w:rsidP="00DA18C2">
      <w:pPr>
        <w:pStyle w:val="Reference"/>
      </w:pPr>
      <w:r>
        <w:t xml:space="preserve">——, Carter, B. and Greiner, N. 2012a, </w:t>
      </w:r>
      <w:r>
        <w:rPr>
          <w:i/>
          <w:iCs/>
        </w:rPr>
        <w:t>GST Distribution Review</w:t>
      </w:r>
      <w:r>
        <w:t>, Final Report, Australian Government, Canberra.</w:t>
      </w:r>
    </w:p>
    <w:p w14:paraId="7954D49C" w14:textId="77777777" w:rsidR="009D6331" w:rsidRDefault="00B31650" w:rsidP="00DA18C2">
      <w:pPr>
        <w:pStyle w:val="Reference"/>
      </w:pPr>
      <w:r>
        <w:t>——, —— and —— </w:t>
      </w:r>
      <w:r w:rsidR="009D6331">
        <w:t xml:space="preserve">2012b, </w:t>
      </w:r>
      <w:r w:rsidR="009D6331">
        <w:rPr>
          <w:i/>
          <w:iCs/>
        </w:rPr>
        <w:t>GST Distribution Review: Interim Report</w:t>
      </w:r>
      <w:r w:rsidR="009D6331">
        <w:t>, Australian Government, Canberra.</w:t>
      </w:r>
    </w:p>
    <w:p w14:paraId="7954D49D" w14:textId="77777777" w:rsidR="009D6331" w:rsidRDefault="00B31650" w:rsidP="00DA18C2">
      <w:pPr>
        <w:pStyle w:val="Reference"/>
      </w:pPr>
      <w:r>
        <w:t>——, —— and —— </w:t>
      </w:r>
      <w:r w:rsidR="009D6331">
        <w:t xml:space="preserve">2012c, </w:t>
      </w:r>
      <w:r w:rsidR="009D6331">
        <w:rPr>
          <w:i/>
          <w:iCs/>
        </w:rPr>
        <w:t>GST Distribution Review: Second Interim Report</w:t>
      </w:r>
      <w:r w:rsidR="009D6331">
        <w:t>, Australian Government, Canberra.</w:t>
      </w:r>
    </w:p>
    <w:p w14:paraId="7954D49E" w14:textId="77777777" w:rsidR="009D6331" w:rsidRDefault="009D6331" w:rsidP="00DA18C2">
      <w:pPr>
        <w:pStyle w:val="Reference"/>
      </w:pPr>
      <w:r>
        <w:lastRenderedPageBreak/>
        <w:t xml:space="preserve">Brunori, P. 2016, </w:t>
      </w:r>
      <w:r>
        <w:rPr>
          <w:i/>
          <w:iCs/>
        </w:rPr>
        <w:t>How to Measure Inequality of Opportunity: A Hands-On Guide</w:t>
      </w:r>
      <w:r>
        <w:t>, 04/2016, Life Course Centre Working Paper Series, ARC Centre of Excellence for Children and Families over the Life Course, University of Queensland, Brisbane.</w:t>
      </w:r>
    </w:p>
    <w:p w14:paraId="7954D49F" w14:textId="77777777" w:rsidR="009D6331" w:rsidRDefault="009D6331" w:rsidP="00DA18C2">
      <w:pPr>
        <w:pStyle w:val="Reference"/>
      </w:pPr>
      <w:r>
        <w:t xml:space="preserve">Buchanan, J. 1950, ‘Federalism and fiscal equity’, </w:t>
      </w:r>
      <w:r>
        <w:rPr>
          <w:i/>
          <w:iCs/>
        </w:rPr>
        <w:t>The American Economic Review</w:t>
      </w:r>
      <w:r>
        <w:t>, vol. 40, no. 4, pp. 583–599.</w:t>
      </w:r>
    </w:p>
    <w:p w14:paraId="7954D4A0" w14:textId="77777777" w:rsidR="009D6331" w:rsidRDefault="00B31650" w:rsidP="00DA18C2">
      <w:pPr>
        <w:pStyle w:val="Reference"/>
      </w:pPr>
      <w:r>
        <w:t>—— </w:t>
      </w:r>
      <w:r w:rsidR="009D6331">
        <w:t xml:space="preserve">1952, ‘Federal grants and resource allocation’, </w:t>
      </w:r>
      <w:r w:rsidR="009D6331">
        <w:rPr>
          <w:i/>
          <w:iCs/>
        </w:rPr>
        <w:t>Journal of Political Economy</w:t>
      </w:r>
      <w:r w:rsidR="009D6331">
        <w:t>, vol. 60, no. 3, pp. 208–217.</w:t>
      </w:r>
    </w:p>
    <w:p w14:paraId="7954D4A1" w14:textId="77777777" w:rsidR="009D6331" w:rsidRDefault="009D6331" w:rsidP="00DA18C2">
      <w:pPr>
        <w:pStyle w:val="Reference"/>
      </w:pPr>
      <w:r>
        <w:t xml:space="preserve">—— and Goetz, C. 1972, ‘Efficiency limits of fiscal mobility: An assessment of the Tiebout model’, </w:t>
      </w:r>
      <w:r>
        <w:rPr>
          <w:i/>
          <w:iCs/>
        </w:rPr>
        <w:t>Journal of Public Economics</w:t>
      </w:r>
      <w:r>
        <w:t>, vol. 1, no. 1, pp. 25–43.</w:t>
      </w:r>
    </w:p>
    <w:p w14:paraId="7954D4A2" w14:textId="77777777" w:rsidR="009D6331" w:rsidRDefault="009D6331" w:rsidP="00DA18C2">
      <w:pPr>
        <w:pStyle w:val="Reference"/>
      </w:pPr>
      <w:r>
        <w:t xml:space="preserve">Bucovetsky, S. and Smart, M. 2002, </w:t>
      </w:r>
      <w:r>
        <w:rPr>
          <w:i/>
          <w:iCs/>
        </w:rPr>
        <w:t>The Efficiency Consequences of Local Revenue Equalization: Tax Competition and Tax Distortions</w:t>
      </w:r>
      <w:r>
        <w:t>, CESifo Working Paper No. 767, Ifo Institute for Economic Research, Munich.</w:t>
      </w:r>
    </w:p>
    <w:p w14:paraId="7954D4A3" w14:textId="77777777" w:rsidR="009D6331" w:rsidRDefault="009D6331" w:rsidP="00DA18C2">
      <w:pPr>
        <w:pStyle w:val="Reference"/>
      </w:pPr>
      <w:r>
        <w:t xml:space="preserve">Buettner, T. 2005, </w:t>
      </w:r>
      <w:r>
        <w:rPr>
          <w:i/>
          <w:iCs/>
        </w:rPr>
        <w:t>The Incentive Effect of Fiscal Equalization Transfers on Tax Policy</w:t>
      </w:r>
      <w:r>
        <w:t>, CESifo Working Paper No. 1404, Ifo Institute for Economic Research, Munich.</w:t>
      </w:r>
    </w:p>
    <w:p w14:paraId="7954D4A4" w14:textId="77777777" w:rsidR="009D6331" w:rsidRDefault="009D6331" w:rsidP="00DA18C2">
      <w:pPr>
        <w:pStyle w:val="Reference"/>
      </w:pPr>
      <w:r>
        <w:t xml:space="preserve">CGC (Commonwealth Grants Commission) 1995, </w:t>
      </w:r>
      <w:r>
        <w:rPr>
          <w:i/>
          <w:iCs/>
        </w:rPr>
        <w:t>Equality in Diversity - History of the Commonwealth Grants Commission</w:t>
      </w:r>
      <w:r>
        <w:t>, Second Edition, Commonwealth of Australia, Canberra.</w:t>
      </w:r>
    </w:p>
    <w:p w14:paraId="7954D4A5" w14:textId="77777777" w:rsidR="009D6331" w:rsidRDefault="001A1B54" w:rsidP="00DA18C2">
      <w:pPr>
        <w:pStyle w:val="Reference"/>
      </w:pPr>
      <w:r>
        <w:t>—— </w:t>
      </w:r>
      <w:r w:rsidR="009D6331">
        <w:t xml:space="preserve">2008, </w:t>
      </w:r>
      <w:r w:rsidR="009D6331">
        <w:rPr>
          <w:i/>
          <w:iCs/>
        </w:rPr>
        <w:t>Submission to the Inquiry into Governmental Expenditure on Indigenous Affairs and Social Services in the Northern Territory</w:t>
      </w:r>
      <w:r w:rsidR="009D6331">
        <w:t>, October, Canberra.</w:t>
      </w:r>
    </w:p>
    <w:p w14:paraId="7954D4A6" w14:textId="77777777" w:rsidR="009D6331" w:rsidRDefault="001A1B54" w:rsidP="00DA18C2">
      <w:pPr>
        <w:pStyle w:val="Reference"/>
      </w:pPr>
      <w:r>
        <w:t>—— </w:t>
      </w:r>
      <w:r w:rsidR="009D6331">
        <w:t xml:space="preserve">2009, </w:t>
      </w:r>
      <w:r w:rsidR="009D6331">
        <w:rPr>
          <w:i/>
          <w:iCs/>
        </w:rPr>
        <w:t>The Commonwealth Grants Commission: The Last 25 Years</w:t>
      </w:r>
      <w:r w:rsidR="009D6331">
        <w:t>, Commonwealth of Australia, Canberra.</w:t>
      </w:r>
    </w:p>
    <w:p w14:paraId="7954D4A7" w14:textId="77777777" w:rsidR="009D6331" w:rsidRDefault="001A1B54" w:rsidP="00DA18C2">
      <w:pPr>
        <w:pStyle w:val="Reference"/>
      </w:pPr>
      <w:r>
        <w:t>—— </w:t>
      </w:r>
      <w:r w:rsidR="009D6331">
        <w:t xml:space="preserve">2010, </w:t>
      </w:r>
      <w:r w:rsidR="009D6331">
        <w:rPr>
          <w:i/>
          <w:iCs/>
        </w:rPr>
        <w:t>Volume 1 — Main Report</w:t>
      </w:r>
      <w:r w:rsidR="009D6331">
        <w:t>, Report on GST Revenue Sharing Relativities: 2010 Review, Canberra.</w:t>
      </w:r>
    </w:p>
    <w:p w14:paraId="7954D4A8" w14:textId="77777777" w:rsidR="009D6331" w:rsidRDefault="001A1B54" w:rsidP="00DA18C2">
      <w:pPr>
        <w:pStyle w:val="Reference"/>
      </w:pPr>
      <w:r>
        <w:t>—— </w:t>
      </w:r>
      <w:r w:rsidR="009D6331">
        <w:t xml:space="preserve">2012, </w:t>
      </w:r>
      <w:r w:rsidR="009D6331">
        <w:rPr>
          <w:i/>
          <w:iCs/>
        </w:rPr>
        <w:t>Report on GST Revenue Sharing Relativities: 2012 Update</w:t>
      </w:r>
      <w:r w:rsidR="009D6331">
        <w:t>, Canberra.</w:t>
      </w:r>
    </w:p>
    <w:p w14:paraId="7954D4A9" w14:textId="77777777" w:rsidR="009D6331" w:rsidRDefault="001A1B54" w:rsidP="00DA18C2">
      <w:pPr>
        <w:pStyle w:val="Reference"/>
      </w:pPr>
      <w:r>
        <w:t>—— </w:t>
      </w:r>
      <w:r w:rsidR="009D6331">
        <w:t xml:space="preserve">2013a, </w:t>
      </w:r>
      <w:r w:rsidR="009D6331">
        <w:rPr>
          <w:i/>
          <w:iCs/>
        </w:rPr>
        <w:t xml:space="preserve">2013 Update </w:t>
      </w:r>
      <w:r>
        <w:rPr>
          <w:i/>
          <w:iCs/>
        </w:rPr>
        <w:t>—</w:t>
      </w:r>
      <w:r w:rsidR="009D6331">
        <w:rPr>
          <w:i/>
          <w:iCs/>
        </w:rPr>
        <w:t xml:space="preserve"> Data Supporting the Calculation of Relativities</w:t>
      </w:r>
      <w:r w:rsidR="009D6331">
        <w:t>, https://cgc.gov.au/index.php?option=com_content&amp;view=article&amp;id=230&amp;Itemid=321 (accessed 9 April 2018).</w:t>
      </w:r>
    </w:p>
    <w:p w14:paraId="7954D4AA" w14:textId="77777777" w:rsidR="009D6331" w:rsidRDefault="00AD55D1" w:rsidP="00DA18C2">
      <w:pPr>
        <w:pStyle w:val="Reference"/>
      </w:pPr>
      <w:r>
        <w:t>—— </w:t>
      </w:r>
      <w:r w:rsidR="009D6331">
        <w:t xml:space="preserve">2013b, </w:t>
      </w:r>
      <w:r w:rsidR="009D6331">
        <w:rPr>
          <w:i/>
          <w:iCs/>
        </w:rPr>
        <w:t>2015 Review: Implementation and Methodological Issues</w:t>
      </w:r>
      <w:r w:rsidR="009D6331">
        <w:t>, Staff Discussion Paper 2013-06 S, Canberra.</w:t>
      </w:r>
    </w:p>
    <w:p w14:paraId="7954D4AB" w14:textId="77777777" w:rsidR="009D6331" w:rsidRDefault="00AD55D1" w:rsidP="00DA18C2">
      <w:pPr>
        <w:pStyle w:val="Reference"/>
      </w:pPr>
      <w:r>
        <w:t>—— </w:t>
      </w:r>
      <w:r w:rsidR="009D6331">
        <w:t xml:space="preserve">2013c, </w:t>
      </w:r>
      <w:r w:rsidR="009D6331">
        <w:rPr>
          <w:i/>
          <w:iCs/>
        </w:rPr>
        <w:t>Analysis of Relativities — Difference from EPC</w:t>
      </w:r>
      <w:r w:rsidR="009D6331">
        <w:t>, Data Supporting the Calculation of the Relativities, 2013 Update, Canberra.</w:t>
      </w:r>
    </w:p>
    <w:p w14:paraId="7954D4AC" w14:textId="77777777" w:rsidR="009D6331" w:rsidRDefault="00AD55D1" w:rsidP="00DA18C2">
      <w:pPr>
        <w:pStyle w:val="Reference"/>
      </w:pPr>
      <w:r>
        <w:t>—— </w:t>
      </w:r>
      <w:r w:rsidR="009D6331">
        <w:t xml:space="preserve">2014, </w:t>
      </w:r>
      <w:r w:rsidR="009D6331">
        <w:rPr>
          <w:i/>
          <w:iCs/>
        </w:rPr>
        <w:t>Analysis of Relativities — Difference from EPC</w:t>
      </w:r>
      <w:r w:rsidR="009D6331">
        <w:t>, Data Supporting the Calculation of the Relativities, 2014 Update, Canberra.</w:t>
      </w:r>
    </w:p>
    <w:p w14:paraId="7954D4AD" w14:textId="77777777" w:rsidR="009D6331" w:rsidRDefault="00625937" w:rsidP="00DA18C2">
      <w:pPr>
        <w:pStyle w:val="Reference"/>
      </w:pPr>
      <w:r>
        <w:t>—— </w:t>
      </w:r>
      <w:r w:rsidR="009D6331">
        <w:t xml:space="preserve">2015a, </w:t>
      </w:r>
      <w:r w:rsidR="009D6331">
        <w:rPr>
          <w:i/>
          <w:iCs/>
        </w:rPr>
        <w:t>Advice on the Treatment of Large and Volatile State Revenues</w:t>
      </w:r>
      <w:r w:rsidR="009D6331">
        <w:t>, Letter to Commonwealth Treasurer, 2015 Review, Australian Government, Canberra.</w:t>
      </w:r>
    </w:p>
    <w:p w14:paraId="7954D4AE" w14:textId="77777777" w:rsidR="009D6331" w:rsidRDefault="00625937" w:rsidP="00DA18C2">
      <w:pPr>
        <w:pStyle w:val="Reference"/>
      </w:pPr>
      <w:r>
        <w:t>—— </w:t>
      </w:r>
      <w:r w:rsidR="009D6331">
        <w:t xml:space="preserve">2015b, </w:t>
      </w:r>
      <w:r w:rsidR="009D6331">
        <w:rPr>
          <w:i/>
          <w:iCs/>
        </w:rPr>
        <w:t>Analysis of Relativities — Difference from EPC</w:t>
      </w:r>
      <w:r w:rsidR="009D6331">
        <w:t>, Data Supporting the Calculation of the Relativities, 2015 Update, Canberra.</w:t>
      </w:r>
    </w:p>
    <w:p w14:paraId="7954D4AF" w14:textId="77777777" w:rsidR="009D6331" w:rsidRDefault="00625937" w:rsidP="00DA18C2">
      <w:pPr>
        <w:pStyle w:val="Reference"/>
      </w:pPr>
      <w:r>
        <w:lastRenderedPageBreak/>
        <w:t>—— </w:t>
      </w:r>
      <w:r w:rsidR="009D6331">
        <w:t xml:space="preserve">2015c, </w:t>
      </w:r>
      <w:r w:rsidR="009D6331">
        <w:rPr>
          <w:i/>
          <w:iCs/>
        </w:rPr>
        <w:t>History of the Gambling Assessment</w:t>
      </w:r>
      <w:r w:rsidR="009D6331">
        <w:t>, Information Paper CGC 2015-05, Canberra.</w:t>
      </w:r>
    </w:p>
    <w:p w14:paraId="7954D4B0" w14:textId="77777777" w:rsidR="009D6331" w:rsidRDefault="00625937" w:rsidP="00DA18C2">
      <w:pPr>
        <w:pStyle w:val="Reference"/>
      </w:pPr>
      <w:r>
        <w:t>—— </w:t>
      </w:r>
      <w:r w:rsidR="009D6331">
        <w:t xml:space="preserve">2015d, </w:t>
      </w:r>
      <w:r w:rsidR="009D6331">
        <w:rPr>
          <w:i/>
          <w:iCs/>
        </w:rPr>
        <w:t>History of the Mining Assessment</w:t>
      </w:r>
      <w:r w:rsidR="009D6331">
        <w:t>, Information Paper CGC 2015-07, Canberra.</w:t>
      </w:r>
    </w:p>
    <w:p w14:paraId="7954D4B1" w14:textId="77777777" w:rsidR="009D6331" w:rsidRDefault="00625937" w:rsidP="00DA18C2">
      <w:pPr>
        <w:pStyle w:val="Reference"/>
      </w:pPr>
      <w:r>
        <w:t>—— </w:t>
      </w:r>
      <w:r w:rsidR="009D6331">
        <w:t xml:space="preserve">2015e, </w:t>
      </w:r>
      <w:r w:rsidR="009D6331">
        <w:rPr>
          <w:i/>
          <w:iCs/>
        </w:rPr>
        <w:t>Volume 1 — Main Report</w:t>
      </w:r>
      <w:r w:rsidR="009D6331">
        <w:t>, Report on GST Revenue Sharing Relativities: 2015 Review, Canberra.</w:t>
      </w:r>
    </w:p>
    <w:p w14:paraId="7954D4B2" w14:textId="77777777" w:rsidR="009D6331" w:rsidRDefault="00625937" w:rsidP="00DA18C2">
      <w:pPr>
        <w:pStyle w:val="Reference"/>
      </w:pPr>
      <w:r>
        <w:t>—— </w:t>
      </w:r>
      <w:r w:rsidR="009D6331">
        <w:t xml:space="preserve">2015f, </w:t>
      </w:r>
      <w:r w:rsidR="009D6331">
        <w:rPr>
          <w:i/>
          <w:iCs/>
        </w:rPr>
        <w:t>Volume 2 — Assessments of State Fiscal Capacities</w:t>
      </w:r>
      <w:r w:rsidR="009D6331">
        <w:t>, Report on GST Revenue Sharing Relativities: 2015 Review, Canberra.</w:t>
      </w:r>
    </w:p>
    <w:p w14:paraId="7954D4B3" w14:textId="77777777" w:rsidR="009D6331" w:rsidRDefault="00625937" w:rsidP="00DA18C2">
      <w:pPr>
        <w:pStyle w:val="Reference"/>
      </w:pPr>
      <w:r>
        <w:t>—— </w:t>
      </w:r>
      <w:r w:rsidR="009D6331">
        <w:t xml:space="preserve">2015g, </w:t>
      </w:r>
      <w:r w:rsidR="009D6331">
        <w:rPr>
          <w:i/>
          <w:iCs/>
        </w:rPr>
        <w:t>Volume 2 — Attachments</w:t>
      </w:r>
      <w:r w:rsidR="009D6331">
        <w:t>, Report on GST Revenue Sharing Relativities: 2015 Review, Canberra.</w:t>
      </w:r>
    </w:p>
    <w:p w14:paraId="7954D4B4" w14:textId="77777777" w:rsidR="009D6331" w:rsidRDefault="00625937" w:rsidP="00DA18C2">
      <w:pPr>
        <w:pStyle w:val="Reference"/>
      </w:pPr>
      <w:r>
        <w:t>—— </w:t>
      </w:r>
      <w:r w:rsidR="009D6331">
        <w:t xml:space="preserve">2016a, </w:t>
      </w:r>
      <w:r w:rsidR="009D6331">
        <w:rPr>
          <w:i/>
          <w:iCs/>
        </w:rPr>
        <w:t>Analysis of Relativities — Difference from EPC</w:t>
      </w:r>
      <w:r w:rsidR="009D6331">
        <w:t>, Data Supporting the Calculation of the Relativities, 2016 Update, Canberra.</w:t>
      </w:r>
    </w:p>
    <w:p w14:paraId="7954D4B5" w14:textId="77777777" w:rsidR="009D6331" w:rsidRDefault="00625937" w:rsidP="00DA18C2">
      <w:pPr>
        <w:pStyle w:val="Reference"/>
      </w:pPr>
      <w:r>
        <w:t>—— </w:t>
      </w:r>
      <w:r w:rsidR="009D6331">
        <w:t xml:space="preserve">2016b, </w:t>
      </w:r>
      <w:r w:rsidR="009D6331">
        <w:rPr>
          <w:i/>
          <w:iCs/>
        </w:rPr>
        <w:t>History of Commission Methods</w:t>
      </w:r>
      <w:r w:rsidR="009D6331">
        <w:t>, Information Paper, 2016–03, Canberra.</w:t>
      </w:r>
    </w:p>
    <w:p w14:paraId="7954D4B6" w14:textId="77777777" w:rsidR="009D6331" w:rsidRDefault="00625937" w:rsidP="00DA18C2">
      <w:pPr>
        <w:pStyle w:val="Reference"/>
      </w:pPr>
      <w:r>
        <w:t>—— </w:t>
      </w:r>
      <w:r w:rsidR="009D6331">
        <w:t xml:space="preserve">2016c, </w:t>
      </w:r>
      <w:r w:rsidR="009D6331">
        <w:rPr>
          <w:i/>
          <w:iCs/>
        </w:rPr>
        <w:t>History of Contemporaneity</w:t>
      </w:r>
      <w:r w:rsidR="009D6331">
        <w:t>, 2016–02, Information Paper.</w:t>
      </w:r>
    </w:p>
    <w:p w14:paraId="7954D4B7" w14:textId="77777777" w:rsidR="009D6331" w:rsidRDefault="00625937" w:rsidP="00DA18C2">
      <w:pPr>
        <w:pStyle w:val="Reference"/>
      </w:pPr>
      <w:r>
        <w:t>—— </w:t>
      </w:r>
      <w:r w:rsidR="009D6331">
        <w:t xml:space="preserve">2016d, </w:t>
      </w:r>
      <w:r w:rsidR="009D6331">
        <w:rPr>
          <w:i/>
          <w:iCs/>
        </w:rPr>
        <w:t>Treatment of Commonwealth Payments in the 2016 Update</w:t>
      </w:r>
      <w:r w:rsidR="009D6331">
        <w:t>, Canberra.</w:t>
      </w:r>
    </w:p>
    <w:p w14:paraId="7954D4B8" w14:textId="77777777" w:rsidR="009D6331" w:rsidRDefault="00625937" w:rsidP="00DA18C2">
      <w:pPr>
        <w:pStyle w:val="Reference"/>
      </w:pPr>
      <w:r>
        <w:t>—— </w:t>
      </w:r>
      <w:r w:rsidR="009D6331">
        <w:t xml:space="preserve">2016e, </w:t>
      </w:r>
      <w:r w:rsidR="009D6331">
        <w:rPr>
          <w:i/>
          <w:iCs/>
        </w:rPr>
        <w:t>Trends in Horizontal Fiscal Equalisation</w:t>
      </w:r>
      <w:r w:rsidR="009D6331">
        <w:t>, Information Paper, 2016–01, Canberra.</w:t>
      </w:r>
    </w:p>
    <w:p w14:paraId="7954D4B9" w14:textId="77777777" w:rsidR="009D6331" w:rsidRDefault="00625937" w:rsidP="00DA18C2">
      <w:pPr>
        <w:pStyle w:val="Reference"/>
      </w:pPr>
      <w:r>
        <w:t>—— </w:t>
      </w:r>
      <w:r w:rsidR="009D6331">
        <w:t xml:space="preserve">2016f, </w:t>
      </w:r>
      <w:r w:rsidR="009D6331">
        <w:rPr>
          <w:i/>
          <w:iCs/>
        </w:rPr>
        <w:t xml:space="preserve">U2016 Supporting Documentation </w:t>
      </w:r>
      <w:r>
        <w:rPr>
          <w:i/>
          <w:iCs/>
        </w:rPr>
        <w:t>—</w:t>
      </w:r>
      <w:r w:rsidR="009D6331">
        <w:rPr>
          <w:i/>
          <w:iCs/>
        </w:rPr>
        <w:t xml:space="preserve"> Revenue and Expense Ratois</w:t>
      </w:r>
      <w:r w:rsidR="009D6331">
        <w:t>, https://cgc.gov.au/index.php?option=com_content&amp;view=article&amp;id=248&amp;Itemid=498 (accessed 2 April 2018).</w:t>
      </w:r>
    </w:p>
    <w:p w14:paraId="7954D4BA" w14:textId="77777777" w:rsidR="009D6331" w:rsidRDefault="00625937" w:rsidP="00DA18C2">
      <w:pPr>
        <w:pStyle w:val="Reference"/>
      </w:pPr>
      <w:r>
        <w:t>—— </w:t>
      </w:r>
      <w:r w:rsidR="009D6331">
        <w:t xml:space="preserve">2017a, </w:t>
      </w:r>
      <w:r w:rsidR="009D6331">
        <w:rPr>
          <w:i/>
          <w:iCs/>
        </w:rPr>
        <w:t>Achieving HFE — Other approaches to distributing the GST</w:t>
      </w:r>
      <w:r w:rsidR="009D6331">
        <w:t>, Staff Research Paper 2017-03-S, Canberra.</w:t>
      </w:r>
    </w:p>
    <w:p w14:paraId="7954D4BB" w14:textId="77777777" w:rsidR="009D6331" w:rsidRDefault="00625937" w:rsidP="00DA18C2">
      <w:pPr>
        <w:pStyle w:val="Reference"/>
      </w:pPr>
      <w:r>
        <w:t>—— </w:t>
      </w:r>
      <w:r w:rsidR="009D6331">
        <w:t xml:space="preserve">2017b, </w:t>
      </w:r>
      <w:r w:rsidR="009D6331">
        <w:rPr>
          <w:i/>
          <w:iCs/>
        </w:rPr>
        <w:t>Analysis of Relativities — Difference from EPC</w:t>
      </w:r>
      <w:r w:rsidR="009D6331">
        <w:t>, Data Supporting the Calculation of the Relativities, 2017 Update, Canberra.</w:t>
      </w:r>
    </w:p>
    <w:p w14:paraId="7954D4BC" w14:textId="77777777" w:rsidR="009D6331" w:rsidRDefault="00625937" w:rsidP="00DA18C2">
      <w:pPr>
        <w:pStyle w:val="Reference"/>
      </w:pPr>
      <w:r>
        <w:t>—— </w:t>
      </w:r>
      <w:r w:rsidR="009D6331">
        <w:t xml:space="preserve">2017c, </w:t>
      </w:r>
      <w:r w:rsidR="009D6331">
        <w:rPr>
          <w:i/>
          <w:iCs/>
        </w:rPr>
        <w:t>General Revenue Grants from 1910</w:t>
      </w:r>
      <w:r w:rsidR="009D6331">
        <w:t xml:space="preserve">, </w:t>
      </w:r>
      <w:r w:rsidRPr="00625937">
        <w:t>https://cgc.gov.au/index.php</w:t>
      </w:r>
      <w:r w:rsidR="009D6331">
        <w:t>?</w:t>
      </w:r>
      <w:r>
        <w:t xml:space="preserve"> </w:t>
      </w:r>
      <w:r w:rsidR="009D6331">
        <w:t>option=com_content&amp;view=article&amp;id=199&amp;Itemid=315 (accessed 22 June 2017).</w:t>
      </w:r>
    </w:p>
    <w:p w14:paraId="7954D4BD" w14:textId="77777777" w:rsidR="009D6331" w:rsidRDefault="00625937" w:rsidP="00DA18C2">
      <w:pPr>
        <w:pStyle w:val="Reference"/>
      </w:pPr>
      <w:r>
        <w:t>—— </w:t>
      </w:r>
      <w:r w:rsidR="009D6331">
        <w:t xml:space="preserve">2017d, </w:t>
      </w:r>
      <w:r w:rsidR="009D6331">
        <w:rPr>
          <w:i/>
          <w:iCs/>
        </w:rPr>
        <w:t>New Issues for the 2018 Update</w:t>
      </w:r>
      <w:r w:rsidR="009D6331">
        <w:t>, Staff Discussion Paper 2017-20-S, Canberra.</w:t>
      </w:r>
    </w:p>
    <w:p w14:paraId="7954D4BE" w14:textId="77777777" w:rsidR="009D6331" w:rsidRDefault="00625937" w:rsidP="00DA18C2">
      <w:pPr>
        <w:pStyle w:val="Reference"/>
      </w:pPr>
      <w:r>
        <w:t>—— </w:t>
      </w:r>
      <w:r w:rsidR="009D6331">
        <w:t xml:space="preserve">2017e, </w:t>
      </w:r>
      <w:r w:rsidR="009D6331">
        <w:rPr>
          <w:i/>
          <w:iCs/>
        </w:rPr>
        <w:t>Options for improving contemporaneity</w:t>
      </w:r>
      <w:r w:rsidR="009D6331">
        <w:t>, Staff research paper, 2017–05–S, Canberra.</w:t>
      </w:r>
    </w:p>
    <w:p w14:paraId="7954D4BF" w14:textId="77777777" w:rsidR="009D6331" w:rsidRDefault="00625937" w:rsidP="00DA18C2">
      <w:pPr>
        <w:pStyle w:val="Reference"/>
      </w:pPr>
      <w:r>
        <w:t>—— </w:t>
      </w:r>
      <w:r w:rsidR="009D6331">
        <w:t xml:space="preserve">2017f, </w:t>
      </w:r>
      <w:r w:rsidR="009D6331">
        <w:rPr>
          <w:i/>
          <w:iCs/>
        </w:rPr>
        <w:t>Report on GST Revenue Sharing Relativities: 2017 Update</w:t>
      </w:r>
      <w:r w:rsidR="009D6331">
        <w:t>, Canberra.</w:t>
      </w:r>
    </w:p>
    <w:p w14:paraId="7954D4C0" w14:textId="77777777" w:rsidR="009D6331" w:rsidRDefault="00625937" w:rsidP="00DA18C2">
      <w:pPr>
        <w:pStyle w:val="Reference"/>
      </w:pPr>
      <w:r>
        <w:t>—— </w:t>
      </w:r>
      <w:r w:rsidR="009D6331">
        <w:t xml:space="preserve">2017g, </w:t>
      </w:r>
      <w:r w:rsidR="009D6331">
        <w:rPr>
          <w:i/>
          <w:iCs/>
        </w:rPr>
        <w:t>State Mining Policies</w:t>
      </w:r>
      <w:r w:rsidR="009D6331">
        <w:t>, Staff Research Paper 2017-04-S, Canberra.</w:t>
      </w:r>
    </w:p>
    <w:p w14:paraId="7954D4C1" w14:textId="77777777" w:rsidR="009D6331" w:rsidRDefault="00625937" w:rsidP="00DA18C2">
      <w:pPr>
        <w:pStyle w:val="Reference"/>
      </w:pPr>
      <w:r>
        <w:t>—— </w:t>
      </w:r>
      <w:r w:rsidR="009D6331">
        <w:t xml:space="preserve">2017h, </w:t>
      </w:r>
      <w:r w:rsidR="009D6331">
        <w:rPr>
          <w:i/>
          <w:iCs/>
        </w:rPr>
        <w:t>The GST Distribution Model — A Mathematical Presentation</w:t>
      </w:r>
      <w:r w:rsidR="009D6331">
        <w:t>, 2017 Update Supporting Documentation, Canberra.</w:t>
      </w:r>
    </w:p>
    <w:p w14:paraId="7954D4C2" w14:textId="77777777" w:rsidR="009D6331" w:rsidRDefault="00625937" w:rsidP="00DA18C2">
      <w:pPr>
        <w:pStyle w:val="Reference"/>
      </w:pPr>
      <w:r>
        <w:t>—— </w:t>
      </w:r>
      <w:r w:rsidR="009D6331">
        <w:t xml:space="preserve">2017i, </w:t>
      </w:r>
      <w:r w:rsidR="009D6331">
        <w:rPr>
          <w:i/>
          <w:iCs/>
        </w:rPr>
        <w:t>The Principle of HFE and its Implementation</w:t>
      </w:r>
      <w:r w:rsidR="009D6331">
        <w:t>, Staff Discussion Paper 2017-02-S, Canberra.</w:t>
      </w:r>
    </w:p>
    <w:p w14:paraId="7954D4C3" w14:textId="77777777" w:rsidR="009D6331" w:rsidRDefault="00625937" w:rsidP="00DA18C2">
      <w:pPr>
        <w:pStyle w:val="Reference"/>
      </w:pPr>
      <w:r>
        <w:t>—— </w:t>
      </w:r>
      <w:r w:rsidR="009D6331">
        <w:t xml:space="preserve">2017j, </w:t>
      </w:r>
      <w:r w:rsidR="009D6331">
        <w:rPr>
          <w:i/>
          <w:iCs/>
        </w:rPr>
        <w:t>The Principle of HFE and its Implementation</w:t>
      </w:r>
      <w:r w:rsidR="009D6331">
        <w:t>, Commission Position Paper CGC 2017-21, Canberra.</w:t>
      </w:r>
    </w:p>
    <w:p w14:paraId="7954D4C4" w14:textId="77777777" w:rsidR="009D6331" w:rsidRDefault="00625937" w:rsidP="00DA18C2">
      <w:pPr>
        <w:pStyle w:val="Reference"/>
      </w:pPr>
      <w:r>
        <w:lastRenderedPageBreak/>
        <w:t>—— </w:t>
      </w:r>
      <w:r w:rsidR="009D6331">
        <w:t xml:space="preserve">2017k, </w:t>
      </w:r>
      <w:r w:rsidR="009D6331">
        <w:rPr>
          <w:i/>
          <w:iCs/>
        </w:rPr>
        <w:t>Treatment of Commonwealth Payments in the 2017 Update</w:t>
      </w:r>
      <w:r w:rsidR="009D6331">
        <w:t>, Australian Government, Canberra.</w:t>
      </w:r>
    </w:p>
    <w:p w14:paraId="7954D4C5" w14:textId="77777777" w:rsidR="009D6331" w:rsidRPr="006606FA" w:rsidRDefault="00625937" w:rsidP="00DA18C2">
      <w:pPr>
        <w:pStyle w:val="Reference"/>
        <w:rPr>
          <w:spacing w:val="-4"/>
        </w:rPr>
      </w:pPr>
      <w:r w:rsidRPr="006606FA">
        <w:rPr>
          <w:spacing w:val="-4"/>
        </w:rPr>
        <w:t>—— </w:t>
      </w:r>
      <w:r w:rsidR="009D6331" w:rsidRPr="006606FA">
        <w:rPr>
          <w:spacing w:val="-4"/>
        </w:rPr>
        <w:t xml:space="preserve">2018a, </w:t>
      </w:r>
      <w:r w:rsidR="009D6331" w:rsidRPr="006606FA">
        <w:rPr>
          <w:i/>
          <w:iCs/>
          <w:spacing w:val="-4"/>
        </w:rPr>
        <w:t xml:space="preserve">2018 Supporting Documentation </w:t>
      </w:r>
      <w:r w:rsidRPr="006606FA">
        <w:rPr>
          <w:i/>
          <w:iCs/>
          <w:spacing w:val="-4"/>
        </w:rPr>
        <w:t>—</w:t>
      </w:r>
      <w:r w:rsidR="009D6331" w:rsidRPr="006606FA">
        <w:rPr>
          <w:i/>
          <w:iCs/>
          <w:spacing w:val="-4"/>
        </w:rPr>
        <w:t xml:space="preserve"> Population data</w:t>
      </w:r>
      <w:r w:rsidR="009D6331" w:rsidRPr="006606FA">
        <w:rPr>
          <w:spacing w:val="-4"/>
        </w:rPr>
        <w:t xml:space="preserve">, </w:t>
      </w:r>
      <w:r w:rsidRPr="006606FA">
        <w:rPr>
          <w:spacing w:val="-4"/>
        </w:rPr>
        <w:t xml:space="preserve">https://www.cgc.gov.au </w:t>
      </w:r>
      <w:r w:rsidR="009D6331" w:rsidRPr="006606FA">
        <w:rPr>
          <w:spacing w:val="-4"/>
        </w:rPr>
        <w:t>/index.php?option=com_content&amp;view=article&amp;id=274&amp;Itemid=576 (accessed 20 April 2018).</w:t>
      </w:r>
    </w:p>
    <w:p w14:paraId="7954D4C6" w14:textId="77777777" w:rsidR="009D6331" w:rsidRDefault="00625937" w:rsidP="00DA18C2">
      <w:pPr>
        <w:pStyle w:val="Reference"/>
      </w:pPr>
      <w:r>
        <w:t>—— </w:t>
      </w:r>
      <w:r w:rsidR="009D6331">
        <w:t xml:space="preserve">2018b, </w:t>
      </w:r>
      <w:r w:rsidR="009D6331">
        <w:rPr>
          <w:i/>
          <w:iCs/>
        </w:rPr>
        <w:t xml:space="preserve">2018 Supporting Documentation </w:t>
      </w:r>
      <w:r>
        <w:rPr>
          <w:i/>
          <w:iCs/>
        </w:rPr>
        <w:t>—</w:t>
      </w:r>
      <w:r w:rsidR="009D6331">
        <w:rPr>
          <w:i/>
          <w:iCs/>
        </w:rPr>
        <w:t xml:space="preserve"> The Adjusted Budget Summary</w:t>
      </w:r>
      <w:r w:rsidR="009D6331">
        <w:t>, https://cgc.gov.au/index.php?option=com_content&amp;view=article&amp;id=274&amp;Itemid=576 (accessed 19 April 2018).</w:t>
      </w:r>
    </w:p>
    <w:p w14:paraId="7954D4C7" w14:textId="2E787CC0" w:rsidR="009D6331" w:rsidRDefault="00625937" w:rsidP="00DA18C2">
      <w:pPr>
        <w:pStyle w:val="Reference"/>
      </w:pPr>
      <w:r>
        <w:t>—— </w:t>
      </w:r>
      <w:r w:rsidR="009D6331">
        <w:t xml:space="preserve">2018c, </w:t>
      </w:r>
      <w:r w:rsidR="009D6331">
        <w:rPr>
          <w:i/>
          <w:iCs/>
        </w:rPr>
        <w:t xml:space="preserve">2018 Supporting Documentation </w:t>
      </w:r>
      <w:r w:rsidR="006606FA">
        <w:rPr>
          <w:i/>
          <w:iCs/>
        </w:rPr>
        <w:t xml:space="preserve">— </w:t>
      </w:r>
      <w:r w:rsidR="009D6331">
        <w:rPr>
          <w:i/>
          <w:iCs/>
        </w:rPr>
        <w:t>The Assessed Budget</w:t>
      </w:r>
      <w:r w:rsidR="009D6331">
        <w:t>, https://cgc.gov.au/</w:t>
      </w:r>
      <w:r w:rsidR="006606FA">
        <w:br/>
      </w:r>
      <w:r w:rsidR="009D6331">
        <w:t>index.php?option=com_content&amp;view=article&amp;id=274&amp;Itemid=576 (accessed 9 April 2018).</w:t>
      </w:r>
    </w:p>
    <w:p w14:paraId="7954D4C8" w14:textId="77777777" w:rsidR="009D6331" w:rsidRDefault="00625937" w:rsidP="00DA18C2">
      <w:pPr>
        <w:pStyle w:val="Reference"/>
      </w:pPr>
      <w:r>
        <w:t>—— </w:t>
      </w:r>
      <w:r w:rsidR="009D6331">
        <w:t xml:space="preserve">2018d, </w:t>
      </w:r>
      <w:r w:rsidR="009D6331">
        <w:rPr>
          <w:i/>
          <w:iCs/>
        </w:rPr>
        <w:t>2020 Review: A Broader Assessment Approach</w:t>
      </w:r>
      <w:r w:rsidR="009D6331">
        <w:t>, Staff research paper, April, 2018–02–S.</w:t>
      </w:r>
    </w:p>
    <w:p w14:paraId="7954D4C9" w14:textId="77777777" w:rsidR="009D6331" w:rsidRDefault="00625937" w:rsidP="00DA18C2">
      <w:pPr>
        <w:pStyle w:val="Reference"/>
      </w:pPr>
      <w:r>
        <w:t>—— </w:t>
      </w:r>
      <w:r w:rsidR="009D6331">
        <w:t xml:space="preserve">2018e, </w:t>
      </w:r>
      <w:r w:rsidR="009D6331">
        <w:rPr>
          <w:i/>
          <w:iCs/>
        </w:rPr>
        <w:t>2020 Review: Mining Revenue</w:t>
      </w:r>
      <w:r w:rsidR="009D6331">
        <w:t>, Staff Draft Assessment Paper, April, 2018–01/08–S.</w:t>
      </w:r>
    </w:p>
    <w:p w14:paraId="7954D4CA" w14:textId="77777777" w:rsidR="009D6331" w:rsidRDefault="00625937" w:rsidP="00DA18C2">
      <w:pPr>
        <w:pStyle w:val="Reference"/>
      </w:pPr>
      <w:r>
        <w:t>—— </w:t>
      </w:r>
      <w:r w:rsidR="009D6331">
        <w:t xml:space="preserve">2018f, </w:t>
      </w:r>
      <w:r w:rsidR="009D6331">
        <w:rPr>
          <w:i/>
          <w:iCs/>
        </w:rPr>
        <w:t>Calculation of relativities</w:t>
      </w:r>
      <w:r w:rsidR="009D6331">
        <w:t>, 2018 Update Supporting Documentation, Canberra.</w:t>
      </w:r>
    </w:p>
    <w:p w14:paraId="7954D4CB" w14:textId="77777777" w:rsidR="009D6331" w:rsidRDefault="00625937" w:rsidP="00DA18C2">
      <w:pPr>
        <w:pStyle w:val="Reference"/>
      </w:pPr>
      <w:r>
        <w:t>—— </w:t>
      </w:r>
      <w:r w:rsidR="009D6331">
        <w:t xml:space="preserve">2018g, </w:t>
      </w:r>
      <w:r w:rsidR="009D6331">
        <w:rPr>
          <w:i/>
          <w:iCs/>
        </w:rPr>
        <w:t>Relativities over time</w:t>
      </w:r>
      <w:r w:rsidR="009D6331">
        <w:t>, 2018 Update Supporting Documentation, https://www.cgc.gov.au/index.php?option=com_docman&amp;view=document&amp;Itemid=578&amp;layout=default&amp;alias=1233-9-relativities-over-time-xlsx&amp;category_slug=u2018-data-supporting-relativities (accessed 6 April 2018).</w:t>
      </w:r>
    </w:p>
    <w:p w14:paraId="7954D4CC" w14:textId="77777777" w:rsidR="009D6331" w:rsidRDefault="00625937" w:rsidP="00DA18C2">
      <w:pPr>
        <w:pStyle w:val="Reference"/>
      </w:pPr>
      <w:r>
        <w:t>—— </w:t>
      </w:r>
      <w:r w:rsidR="009D6331">
        <w:t xml:space="preserve">2018h, </w:t>
      </w:r>
      <w:r w:rsidR="009D6331">
        <w:rPr>
          <w:i/>
          <w:iCs/>
        </w:rPr>
        <w:t>Report on GST Revenue Sharing Relativities: 2018 Update</w:t>
      </w:r>
      <w:r w:rsidR="009D6331">
        <w:t>, Canberra.</w:t>
      </w:r>
    </w:p>
    <w:p w14:paraId="7954D4CD" w14:textId="77777777" w:rsidR="009D6331" w:rsidRDefault="00625937" w:rsidP="00DA18C2">
      <w:pPr>
        <w:pStyle w:val="Reference"/>
      </w:pPr>
      <w:r>
        <w:t>—— </w:t>
      </w:r>
      <w:r w:rsidR="009D6331">
        <w:t xml:space="preserve">2018i, </w:t>
      </w:r>
      <w:r w:rsidR="009D6331">
        <w:rPr>
          <w:i/>
          <w:iCs/>
        </w:rPr>
        <w:t>Treatment of Commonwealth payments in the 2018 Update</w:t>
      </w:r>
      <w:r w:rsidR="009D6331">
        <w:t xml:space="preserve">, Australian Government, Canberra, </w:t>
      </w:r>
      <w:r w:rsidR="000F210D" w:rsidRPr="000F210D">
        <w:t>https://cgc.gov.au/index.php?option=com_content&amp;</w:t>
      </w:r>
      <w:r w:rsidR="000F210D">
        <w:t xml:space="preserve"> </w:t>
      </w:r>
      <w:r w:rsidR="009D6331">
        <w:t>view=article&amp;id=274&amp;Itemid=576 (accessed 16 April 2018).</w:t>
      </w:r>
    </w:p>
    <w:p w14:paraId="7954D4CE" w14:textId="77777777" w:rsidR="009D6331" w:rsidRDefault="009D6331" w:rsidP="00DA18C2">
      <w:pPr>
        <w:pStyle w:val="Reference"/>
      </w:pPr>
      <w:r>
        <w:t xml:space="preserve">Chan, F. and Petchey, J. 2016, </w:t>
      </w:r>
      <w:r>
        <w:rPr>
          <w:i/>
          <w:iCs/>
        </w:rPr>
        <w:t>Inter-temporal fiscal equalization and per capita output in a federation</w:t>
      </w:r>
      <w:r>
        <w:t>, Working Papers - The Centre for Research in Applied Economics (CRAE), January, Series in Public Economics, Curtin University, Perth.</w:t>
      </w:r>
    </w:p>
    <w:p w14:paraId="7954D4CF" w14:textId="77777777" w:rsidR="009D6331" w:rsidRDefault="00B31650" w:rsidP="00DA18C2">
      <w:pPr>
        <w:pStyle w:val="Reference"/>
      </w:pPr>
      <w:r>
        <w:t>—— and —— </w:t>
      </w:r>
      <w:r w:rsidR="009D6331">
        <w:t xml:space="preserve">2017, </w:t>
      </w:r>
      <w:r w:rsidR="009D6331">
        <w:rPr>
          <w:i/>
          <w:iCs/>
        </w:rPr>
        <w:t>A note on the relation between fiscal equalization and economic growth</w:t>
      </w:r>
      <w:r w:rsidR="009D6331">
        <w:t>, Munich Personal RePEc Archive, MPRA Paper No. 79156, Curtin University, Perth.</w:t>
      </w:r>
    </w:p>
    <w:p w14:paraId="7954D4D0" w14:textId="77777777" w:rsidR="009D6331" w:rsidRDefault="009D6331" w:rsidP="00DA18C2">
      <w:pPr>
        <w:pStyle w:val="Reference"/>
      </w:pPr>
      <w:r>
        <w:t xml:space="preserve">COAG (Council of Australian Governments) 2009, </w:t>
      </w:r>
      <w:r>
        <w:rPr>
          <w:i/>
          <w:iCs/>
        </w:rPr>
        <w:t>National Partnership Agreement to Deliver a Seamless National Economy</w:t>
      </w:r>
      <w:r>
        <w:t>, Canberra.</w:t>
      </w:r>
    </w:p>
    <w:p w14:paraId="7954D4D1" w14:textId="77777777" w:rsidR="009D6331" w:rsidRDefault="001B156F" w:rsidP="00DA18C2">
      <w:pPr>
        <w:pStyle w:val="Reference"/>
      </w:pPr>
      <w:r>
        <w:t>—— </w:t>
      </w:r>
      <w:r w:rsidR="009D6331">
        <w:t xml:space="preserve">2011, </w:t>
      </w:r>
      <w:r w:rsidR="009D6331">
        <w:rPr>
          <w:i/>
          <w:iCs/>
        </w:rPr>
        <w:t>Intergovernmental Agreement on Federal Financial Relations</w:t>
      </w:r>
      <w:r w:rsidR="009D6331">
        <w:t>, Canberra.</w:t>
      </w:r>
    </w:p>
    <w:p w14:paraId="7954D4D2" w14:textId="77777777" w:rsidR="009D6331" w:rsidRDefault="001B156F" w:rsidP="00DA18C2">
      <w:pPr>
        <w:pStyle w:val="Reference"/>
      </w:pPr>
      <w:r>
        <w:t>—— </w:t>
      </w:r>
      <w:r w:rsidR="009D6331">
        <w:t xml:space="preserve">2012a, </w:t>
      </w:r>
      <w:r w:rsidR="009D6331">
        <w:rPr>
          <w:i/>
          <w:iCs/>
        </w:rPr>
        <w:t>National Partnership Agreement on Rewards for Great Teachers</w:t>
      </w:r>
      <w:r w:rsidR="009D6331">
        <w:t>, Canberra.</w:t>
      </w:r>
    </w:p>
    <w:p w14:paraId="7954D4D3" w14:textId="77777777" w:rsidR="009D6331" w:rsidRDefault="001B156F" w:rsidP="00DA18C2">
      <w:pPr>
        <w:pStyle w:val="Reference"/>
      </w:pPr>
      <w:r>
        <w:t>—— </w:t>
      </w:r>
      <w:r w:rsidR="009D6331">
        <w:t xml:space="preserve">2012b, </w:t>
      </w:r>
      <w:r w:rsidR="009D6331">
        <w:rPr>
          <w:i/>
          <w:iCs/>
        </w:rPr>
        <w:t>Project Agreement for Macquarie Point Railyards Precinct Remediation Project (Superseded)</w:t>
      </w:r>
      <w:r w:rsidR="009D6331">
        <w:t>, An agreement between the Commonwealth of Australia and Tasmania.</w:t>
      </w:r>
    </w:p>
    <w:p w14:paraId="7954D4D4" w14:textId="77777777" w:rsidR="009D6331" w:rsidRDefault="001B156F" w:rsidP="00DA18C2">
      <w:pPr>
        <w:pStyle w:val="Reference"/>
      </w:pPr>
      <w:r>
        <w:t>—— </w:t>
      </w:r>
      <w:r w:rsidR="009D6331">
        <w:t xml:space="preserve">2013, </w:t>
      </w:r>
      <w:r w:rsidR="009D6331">
        <w:rPr>
          <w:i/>
          <w:iCs/>
        </w:rPr>
        <w:t>National Education Reform Agreement</w:t>
      </w:r>
      <w:r w:rsidR="009D6331">
        <w:t>.</w:t>
      </w:r>
    </w:p>
    <w:p w14:paraId="7954D4D5" w14:textId="77777777" w:rsidR="009D6331" w:rsidRDefault="001B156F" w:rsidP="00DA18C2">
      <w:pPr>
        <w:pStyle w:val="Reference"/>
      </w:pPr>
      <w:r>
        <w:lastRenderedPageBreak/>
        <w:t>—— </w:t>
      </w:r>
      <w:r w:rsidR="009D6331">
        <w:t xml:space="preserve">2014, </w:t>
      </w:r>
      <w:r w:rsidR="009D6331">
        <w:rPr>
          <w:i/>
          <w:iCs/>
        </w:rPr>
        <w:t>Project Agreement for Macquarie Point Railyards Precinct Remediation Project</w:t>
      </w:r>
      <w:r w:rsidR="009D6331">
        <w:t>, An agreement between the Commonwealth of Australia and Tasmania.</w:t>
      </w:r>
    </w:p>
    <w:p w14:paraId="7954D4D6" w14:textId="77777777" w:rsidR="009D6331" w:rsidRDefault="001B156F" w:rsidP="00DA18C2">
      <w:pPr>
        <w:pStyle w:val="Reference"/>
      </w:pPr>
      <w:r>
        <w:t>—— </w:t>
      </w:r>
      <w:r w:rsidR="009D6331">
        <w:t xml:space="preserve">2017, </w:t>
      </w:r>
      <w:r w:rsidR="009D6331">
        <w:rPr>
          <w:i/>
          <w:iCs/>
        </w:rPr>
        <w:t>Addendum to the National Health Reform Agreement: Revised Public Hospital Arrangements</w:t>
      </w:r>
      <w:r w:rsidR="009D6331">
        <w:t>, Canberra.</w:t>
      </w:r>
    </w:p>
    <w:p w14:paraId="7954D4D7" w14:textId="77777777" w:rsidR="009D6331" w:rsidRDefault="009D6331" w:rsidP="00DA18C2">
      <w:pPr>
        <w:pStyle w:val="Reference"/>
      </w:pPr>
      <w:r>
        <w:t xml:space="preserve">Commonwealth of Australia 1977, </w:t>
      </w:r>
      <w:r>
        <w:rPr>
          <w:i/>
          <w:iCs/>
        </w:rPr>
        <w:t>Payments to or for the States and Local Government Authorities</w:t>
      </w:r>
      <w:r>
        <w:t>, Budget Paper, No. 7, Australian Government Publishing Service, Canberra.</w:t>
      </w:r>
    </w:p>
    <w:p w14:paraId="7954D4D8" w14:textId="77777777" w:rsidR="009D6331" w:rsidRDefault="00EF6BE2" w:rsidP="00DA18C2">
      <w:pPr>
        <w:pStyle w:val="Reference"/>
      </w:pPr>
      <w:r>
        <w:t>—— </w:t>
      </w:r>
      <w:r w:rsidR="009D6331">
        <w:t xml:space="preserve">1998, </w:t>
      </w:r>
      <w:r w:rsidR="009D6331">
        <w:rPr>
          <w:i/>
          <w:iCs/>
        </w:rPr>
        <w:t>Tax Reform: Not a New Tax, A New Tax System - The Howard Government’s Plan for a New Tax System</w:t>
      </w:r>
      <w:r w:rsidR="009D6331">
        <w:t>, August, Canberra.</w:t>
      </w:r>
    </w:p>
    <w:p w14:paraId="7954D4D9" w14:textId="77777777" w:rsidR="009D6331" w:rsidRDefault="00EF6BE2" w:rsidP="00DA18C2">
      <w:pPr>
        <w:pStyle w:val="Reference"/>
      </w:pPr>
      <w:r>
        <w:t>—— </w:t>
      </w:r>
      <w:r w:rsidR="009D6331">
        <w:t xml:space="preserve">2010, </w:t>
      </w:r>
      <w:r w:rsidR="009D6331">
        <w:rPr>
          <w:i/>
          <w:iCs/>
        </w:rPr>
        <w:t>Australia’s Federal Relations — Budget Paper No. 3</w:t>
      </w:r>
      <w:r w:rsidR="009D6331">
        <w:t>, Budget 2010-11, Canberra.</w:t>
      </w:r>
    </w:p>
    <w:p w14:paraId="6591653A" w14:textId="0D21A192" w:rsidR="008369A3" w:rsidRDefault="008369A3" w:rsidP="00DA18C2">
      <w:pPr>
        <w:pStyle w:val="Reference"/>
      </w:pPr>
      <w:r>
        <w:t xml:space="preserve">—— 2011, </w:t>
      </w:r>
      <w:r>
        <w:rPr>
          <w:i/>
          <w:iCs/>
        </w:rPr>
        <w:t>Submission to the GST Distribution Review (Issues Paper)</w:t>
      </w:r>
      <w:r>
        <w:t>, Australian Government, Canberra.</w:t>
      </w:r>
    </w:p>
    <w:p w14:paraId="7954D4DA" w14:textId="77777777" w:rsidR="009D6331" w:rsidRDefault="00EF6BE2" w:rsidP="00DA18C2">
      <w:pPr>
        <w:pStyle w:val="Reference"/>
      </w:pPr>
      <w:r>
        <w:t>—— </w:t>
      </w:r>
      <w:r w:rsidR="009D6331">
        <w:t xml:space="preserve">2012, </w:t>
      </w:r>
      <w:r w:rsidR="009D6331">
        <w:rPr>
          <w:i/>
          <w:iCs/>
        </w:rPr>
        <w:t>Australia’s Federal Relations — Budget Paper No. 3</w:t>
      </w:r>
      <w:r w:rsidR="009D6331">
        <w:t>, Budget 2012-13, Canberra.</w:t>
      </w:r>
    </w:p>
    <w:p w14:paraId="7954D4DB" w14:textId="77777777" w:rsidR="009D6331" w:rsidRDefault="00EF6BE2" w:rsidP="00DA18C2">
      <w:pPr>
        <w:pStyle w:val="Reference"/>
      </w:pPr>
      <w:r>
        <w:t>—— </w:t>
      </w:r>
      <w:r w:rsidR="009D6331">
        <w:t xml:space="preserve">2013, </w:t>
      </w:r>
      <w:r w:rsidR="009D6331">
        <w:rPr>
          <w:i/>
          <w:iCs/>
        </w:rPr>
        <w:t>Australia’s Federal Relations — Budget Paper No. 3</w:t>
      </w:r>
      <w:r w:rsidR="009D6331">
        <w:t>, Budget 2013-14, Canberra.</w:t>
      </w:r>
    </w:p>
    <w:p w14:paraId="7954D4DC" w14:textId="77777777" w:rsidR="009D6331" w:rsidRDefault="00EF6BE2" w:rsidP="00DA18C2">
      <w:pPr>
        <w:pStyle w:val="Reference"/>
      </w:pPr>
      <w:r>
        <w:t>—— </w:t>
      </w:r>
      <w:r w:rsidR="009D6331">
        <w:t xml:space="preserve">2014a, </w:t>
      </w:r>
      <w:r w:rsidR="009D6331">
        <w:rPr>
          <w:i/>
          <w:iCs/>
        </w:rPr>
        <w:t>Federal Financial Relations — Budget Paper No. 3</w:t>
      </w:r>
      <w:r w:rsidR="009D6331">
        <w:t>, Budget 2014-15, Canberra.</w:t>
      </w:r>
    </w:p>
    <w:p w14:paraId="7954D4DD" w14:textId="77777777" w:rsidR="009D6331" w:rsidRDefault="00EF6BE2" w:rsidP="00DA18C2">
      <w:pPr>
        <w:pStyle w:val="Reference"/>
      </w:pPr>
      <w:r>
        <w:t>—— </w:t>
      </w:r>
      <w:r w:rsidR="009D6331">
        <w:t xml:space="preserve">2014b, </w:t>
      </w:r>
      <w:r w:rsidR="009D6331">
        <w:rPr>
          <w:i/>
          <w:iCs/>
        </w:rPr>
        <w:t>Part 3: Australia’s Federal Relations</w:t>
      </w:r>
      <w:r w:rsidR="009D6331">
        <w:t>, 2013-14 Final Budget Outcome, Canberra.</w:t>
      </w:r>
    </w:p>
    <w:p w14:paraId="7954D4DE" w14:textId="77777777" w:rsidR="009D6331" w:rsidRDefault="00EF6BE2" w:rsidP="00DA18C2">
      <w:pPr>
        <w:pStyle w:val="Reference"/>
      </w:pPr>
      <w:r>
        <w:t>—— </w:t>
      </w:r>
      <w:r w:rsidR="009D6331">
        <w:t xml:space="preserve">2015a, </w:t>
      </w:r>
      <w:r w:rsidR="009D6331">
        <w:rPr>
          <w:i/>
          <w:iCs/>
        </w:rPr>
        <w:t>Federal Financial Relations — Budget Paper No. 3</w:t>
      </w:r>
      <w:r w:rsidR="009D6331">
        <w:t>, Budget 2015-16, Canberra.</w:t>
      </w:r>
    </w:p>
    <w:p w14:paraId="7954D4DF" w14:textId="77777777" w:rsidR="009D6331" w:rsidRDefault="00EF6BE2" w:rsidP="00DA18C2">
      <w:pPr>
        <w:pStyle w:val="Reference"/>
      </w:pPr>
      <w:r>
        <w:t>—— </w:t>
      </w:r>
      <w:r w:rsidR="009D6331">
        <w:t xml:space="preserve">2015b, </w:t>
      </w:r>
      <w:r w:rsidR="009D6331">
        <w:rPr>
          <w:i/>
          <w:iCs/>
        </w:rPr>
        <w:t>Part 3: Australia’s Federal Relations</w:t>
      </w:r>
      <w:r w:rsidR="009D6331">
        <w:t>, 2014-15 Final Budget Outcome, Canberra.</w:t>
      </w:r>
    </w:p>
    <w:p w14:paraId="7954D4E0" w14:textId="77777777" w:rsidR="009D6331" w:rsidRDefault="00EF6BE2" w:rsidP="00DA18C2">
      <w:pPr>
        <w:pStyle w:val="Reference"/>
      </w:pPr>
      <w:r>
        <w:t>—— </w:t>
      </w:r>
      <w:r w:rsidR="009D6331">
        <w:t xml:space="preserve">2016a, </w:t>
      </w:r>
      <w:r w:rsidR="009D6331">
        <w:rPr>
          <w:i/>
          <w:iCs/>
        </w:rPr>
        <w:t>Federal Financial Relations — Budget Paper No. 3</w:t>
      </w:r>
      <w:r w:rsidR="009D6331">
        <w:t>, Budget 2016-17, Canberra.</w:t>
      </w:r>
    </w:p>
    <w:p w14:paraId="7954D4E1" w14:textId="77777777" w:rsidR="009D6331" w:rsidRDefault="00EF6BE2" w:rsidP="00DA18C2">
      <w:pPr>
        <w:pStyle w:val="Reference"/>
      </w:pPr>
      <w:r>
        <w:t>—— </w:t>
      </w:r>
      <w:r w:rsidR="009D6331">
        <w:t xml:space="preserve">2016b, </w:t>
      </w:r>
      <w:r w:rsidR="009D6331">
        <w:rPr>
          <w:i/>
          <w:iCs/>
        </w:rPr>
        <w:t>Part 3: Australia’s Federal Relations</w:t>
      </w:r>
      <w:r w:rsidR="009D6331">
        <w:t>, 2015-16 Final Budget Outcome, Canberra.</w:t>
      </w:r>
    </w:p>
    <w:p w14:paraId="7954D4E2" w14:textId="77777777" w:rsidR="009D6331" w:rsidRDefault="00EF6BE2" w:rsidP="00DA18C2">
      <w:pPr>
        <w:pStyle w:val="Reference"/>
      </w:pPr>
      <w:r>
        <w:t>—— </w:t>
      </w:r>
      <w:r w:rsidR="009D6331">
        <w:t xml:space="preserve">2017a, </w:t>
      </w:r>
      <w:r w:rsidR="009D6331">
        <w:rPr>
          <w:i/>
          <w:iCs/>
        </w:rPr>
        <w:t>Budget Strategy and Outlook — Budget Paper No. 1</w:t>
      </w:r>
      <w:r w:rsidR="009D6331">
        <w:t>, Budget 2017-18, Canberra.</w:t>
      </w:r>
    </w:p>
    <w:p w14:paraId="7954D4E3" w14:textId="77777777" w:rsidR="009D6331" w:rsidRDefault="00EF6BE2" w:rsidP="00DA18C2">
      <w:pPr>
        <w:pStyle w:val="Reference"/>
      </w:pPr>
      <w:r>
        <w:t>—— </w:t>
      </w:r>
      <w:r w:rsidR="009D6331">
        <w:t xml:space="preserve">2017b, </w:t>
      </w:r>
      <w:r w:rsidR="009D6331">
        <w:rPr>
          <w:i/>
          <w:iCs/>
        </w:rPr>
        <w:t>Federal Financial Relations — Budget Paper No. 3</w:t>
      </w:r>
      <w:r w:rsidR="009D6331">
        <w:t>, Budget 2017-18, Canberra.</w:t>
      </w:r>
    </w:p>
    <w:p w14:paraId="7954D4E4" w14:textId="77777777" w:rsidR="009D6331" w:rsidRDefault="00EF6BE2" w:rsidP="00DA18C2">
      <w:pPr>
        <w:pStyle w:val="Reference"/>
      </w:pPr>
      <w:r>
        <w:t>—— </w:t>
      </w:r>
      <w:r w:rsidR="009D6331">
        <w:t xml:space="preserve">2017c, </w:t>
      </w:r>
      <w:r w:rsidR="009D6331">
        <w:rPr>
          <w:i/>
          <w:iCs/>
        </w:rPr>
        <w:t>Final Budget Outcome 2016-17</w:t>
      </w:r>
      <w:r w:rsidR="009D6331">
        <w:t>, September, Canberra.</w:t>
      </w:r>
    </w:p>
    <w:p w14:paraId="7954D4E5" w14:textId="77777777" w:rsidR="009D6331" w:rsidRDefault="00EF6BE2" w:rsidP="00DA18C2">
      <w:pPr>
        <w:pStyle w:val="Reference"/>
      </w:pPr>
      <w:r>
        <w:t>—— </w:t>
      </w:r>
      <w:r w:rsidR="009D6331">
        <w:t xml:space="preserve">2017d, </w:t>
      </w:r>
      <w:r w:rsidR="009D6331">
        <w:rPr>
          <w:i/>
          <w:iCs/>
        </w:rPr>
        <w:t>Guaranteeing the essentials for Australians</w:t>
      </w:r>
      <w:r w:rsidR="009D6331">
        <w:t>, Budget 2017-18, Canberra.</w:t>
      </w:r>
    </w:p>
    <w:p w14:paraId="7954D4E6" w14:textId="77777777" w:rsidR="009D6331" w:rsidRDefault="00EF6BE2" w:rsidP="00DA18C2">
      <w:pPr>
        <w:pStyle w:val="Reference"/>
      </w:pPr>
      <w:r>
        <w:t>—— </w:t>
      </w:r>
      <w:r w:rsidR="009D6331">
        <w:t xml:space="preserve">2017e, </w:t>
      </w:r>
      <w:r w:rsidR="009D6331">
        <w:rPr>
          <w:i/>
          <w:iCs/>
        </w:rPr>
        <w:t>Mid-Year Economic and Fiscal Outlook 2017-18</w:t>
      </w:r>
      <w:r w:rsidR="009D6331">
        <w:t>, December, Canberra.</w:t>
      </w:r>
    </w:p>
    <w:p w14:paraId="7954D4E7" w14:textId="77777777" w:rsidR="009D6331" w:rsidRDefault="00EF6BE2" w:rsidP="00DA18C2">
      <w:pPr>
        <w:pStyle w:val="Reference"/>
      </w:pPr>
      <w:r>
        <w:t>—— </w:t>
      </w:r>
      <w:r w:rsidR="009D6331">
        <w:t xml:space="preserve">2017f, </w:t>
      </w:r>
      <w:r w:rsidR="009D6331">
        <w:rPr>
          <w:i/>
          <w:iCs/>
        </w:rPr>
        <w:t>Part 3: Australia’s Federal Relations</w:t>
      </w:r>
      <w:r w:rsidR="009D6331">
        <w:t>, 2016-17 Final Budget Outcome, Canberra.</w:t>
      </w:r>
    </w:p>
    <w:p w14:paraId="7954D4E8" w14:textId="5F56970F" w:rsidR="009D6331" w:rsidRDefault="009D6331" w:rsidP="00DA18C2">
      <w:pPr>
        <w:pStyle w:val="Reference"/>
      </w:pPr>
      <w:r>
        <w:t xml:space="preserve">Cormann, M., Turnbull, M. and Morrison, S. 2018, </w:t>
      </w:r>
      <w:r>
        <w:rPr>
          <w:i/>
          <w:iCs/>
        </w:rPr>
        <w:t>Federal GST Top Up for WA Hospital Infrastructure</w:t>
      </w:r>
      <w:r>
        <w:t>, 26 April, https://www.financeminister.gov.au/media-release/2018/04/26/</w:t>
      </w:r>
      <w:r w:rsidR="006606FA">
        <w:br/>
      </w:r>
      <w:r>
        <w:t>federal-gst-top-wa-hospital-infrastructure (accessed 27 April 2018).</w:t>
      </w:r>
    </w:p>
    <w:p w14:paraId="7954D4E9" w14:textId="77777777" w:rsidR="009D6331" w:rsidRDefault="009D6331" w:rsidP="00DA18C2">
      <w:pPr>
        <w:pStyle w:val="Reference"/>
      </w:pPr>
      <w:r>
        <w:lastRenderedPageBreak/>
        <w:t xml:space="preserve">Costello, P. (Treasurer) 2006a, </w:t>
      </w:r>
      <w:r>
        <w:rPr>
          <w:i/>
          <w:iCs/>
        </w:rPr>
        <w:t>GST, Single Asian Currency, Payments to States, NSW Advertising, Cole Inquiry — Doorstop Interview, Parliament House, Canberra</w:t>
      </w:r>
      <w:r>
        <w:t>, http://www.petercostello.com.au/transcripts/2006/3146-gst-single-asian-currency-payments-to-states-nsw-advertising-cole-inquiry-doorstop-interview-parliament-house-canberra (accessed 29 August 2017).</w:t>
      </w:r>
    </w:p>
    <w:p w14:paraId="7954D4EA" w14:textId="77777777" w:rsidR="009D6331" w:rsidRDefault="00B31650" w:rsidP="00DA18C2">
      <w:pPr>
        <w:pStyle w:val="Reference"/>
      </w:pPr>
      <w:r>
        <w:t>—— </w:t>
      </w:r>
      <w:r w:rsidR="009D6331">
        <w:t>2006b, ‘Transcript of interview with Leon Byner, 5AA’, Radio, http://ministers.treasury.gov.au/DisplayDocs.aspx?doc=transcripts/2006/023.htm&amp;pageID=&amp;min=phc&amp;Year=2006&amp;DocType=2 (accessed 25 July 2017).</w:t>
      </w:r>
    </w:p>
    <w:p w14:paraId="7954D4EB" w14:textId="77777777" w:rsidR="009D6331" w:rsidRDefault="009D6331" w:rsidP="00DA18C2">
      <w:pPr>
        <w:pStyle w:val="Reference"/>
      </w:pPr>
      <w:r>
        <w:t xml:space="preserve">Courchene, T. 1984, </w:t>
      </w:r>
      <w:r>
        <w:rPr>
          <w:i/>
          <w:iCs/>
        </w:rPr>
        <w:t>Equalisation Payments: Past, Present and Future</w:t>
      </w:r>
      <w:r>
        <w:t>, Ontario Economic Council, Toronto.</w:t>
      </w:r>
    </w:p>
    <w:p w14:paraId="7954D4EC" w14:textId="77777777" w:rsidR="009D6331" w:rsidRDefault="009D6331" w:rsidP="00DA18C2">
      <w:pPr>
        <w:pStyle w:val="Reference"/>
      </w:pPr>
      <w:r>
        <w:t xml:space="preserve">Dahlby, B. and Warren, N. 2003, ‘Fiscal incentive effects of the Australian equalisation system’, </w:t>
      </w:r>
      <w:r>
        <w:rPr>
          <w:i/>
          <w:iCs/>
        </w:rPr>
        <w:t>Economic Record</w:t>
      </w:r>
      <w:r>
        <w:t>, vol. 79, no. 247, pp. 434–445.</w:t>
      </w:r>
    </w:p>
    <w:p w14:paraId="7954D4ED" w14:textId="23F1CFAC" w:rsidR="009D6331" w:rsidRDefault="009D6331" w:rsidP="00DA18C2">
      <w:pPr>
        <w:pStyle w:val="Reference"/>
      </w:pPr>
      <w:r>
        <w:t xml:space="preserve">Dale, T. 2014, </w:t>
      </w:r>
      <w:r>
        <w:rPr>
          <w:i/>
          <w:iCs/>
        </w:rPr>
        <w:t>Distributing GST revenue to the states: Where is the revenue raised and what is a ‘relativity’?</w:t>
      </w:r>
      <w:r>
        <w:t>, Parliament of Australia, https://www.aph.gov.au/About_Parliament/</w:t>
      </w:r>
      <w:r w:rsidR="006606FA">
        <w:br/>
      </w:r>
      <w:r>
        <w:t>Parliamentary_Departments/Parliamentary_Library/FlagPost/2014/July/GST-Relativities-Where-Is-Revenue-Raised (accessed 14 January 2018).</w:t>
      </w:r>
    </w:p>
    <w:p w14:paraId="7954D4EE" w14:textId="77777777" w:rsidR="009D6331" w:rsidRDefault="009D6331" w:rsidP="00DA18C2">
      <w:pPr>
        <w:pStyle w:val="Reference"/>
      </w:pPr>
      <w:r>
        <w:t xml:space="preserve">Daley, J., Wood, D., Parsonage, H. and Coates, B. 2015, </w:t>
      </w:r>
      <w:r>
        <w:rPr>
          <w:i/>
          <w:iCs/>
        </w:rPr>
        <w:t>A GST Reform Package</w:t>
      </w:r>
      <w:r>
        <w:t>, Grattan Institute, Melbourne.</w:t>
      </w:r>
    </w:p>
    <w:p w14:paraId="7954D4EF" w14:textId="77777777" w:rsidR="009D6331" w:rsidRDefault="009D6331" w:rsidP="00DA18C2">
      <w:pPr>
        <w:pStyle w:val="Reference"/>
      </w:pPr>
      <w:r>
        <w:t xml:space="preserve">Davidoff, I. and Leigh, A. 2013, ‘How do stamp duties affect the housing market?’, </w:t>
      </w:r>
      <w:r>
        <w:rPr>
          <w:i/>
          <w:iCs/>
        </w:rPr>
        <w:t>Economic Record</w:t>
      </w:r>
      <w:r>
        <w:t>, vol. 89, no. 286, pp. 396–410.</w:t>
      </w:r>
    </w:p>
    <w:p w14:paraId="7954D4F0" w14:textId="77777777" w:rsidR="009D6331" w:rsidRDefault="009D6331" w:rsidP="00DA18C2">
      <w:pPr>
        <w:pStyle w:val="Reference"/>
      </w:pPr>
      <w:r>
        <w:t xml:space="preserve">Dawson, S. and Johnston, B. 2017, </w:t>
      </w:r>
      <w:r>
        <w:rPr>
          <w:i/>
          <w:iCs/>
        </w:rPr>
        <w:t>McGowan Government Implements Fracking Commitment</w:t>
      </w:r>
      <w:r>
        <w:t>, Media Release, 5 September, Government of Western Australia, www.mediastatements.wa.gov.au/Pages/McGowan/2017/09/McGowan-Government-implements-fracking-commitment.aspx (accessed 6 September 2017).</w:t>
      </w:r>
    </w:p>
    <w:p w14:paraId="7954D4F1" w14:textId="77777777" w:rsidR="009D6331" w:rsidRDefault="009D6331" w:rsidP="00DA18C2">
      <w:pPr>
        <w:pStyle w:val="Reference"/>
      </w:pPr>
      <w:r>
        <w:t xml:space="preserve">Deloitte Access Economics 2014, </w:t>
      </w:r>
      <w:r>
        <w:rPr>
          <w:i/>
          <w:iCs/>
        </w:rPr>
        <w:t>2015–2025 Western Australian Resources Sector Outlook</w:t>
      </w:r>
      <w:r>
        <w:t>, Presentation to Chamber of Minerals and Energy Western Australia, Perth.</w:t>
      </w:r>
    </w:p>
    <w:p w14:paraId="7954D4F2" w14:textId="77777777" w:rsidR="009D6331" w:rsidRDefault="009D6331" w:rsidP="00DA18C2">
      <w:pPr>
        <w:pStyle w:val="Reference"/>
      </w:pPr>
      <w:r>
        <w:t xml:space="preserve">Department of Finance (Canada) 2006, </w:t>
      </w:r>
      <w:r>
        <w:rPr>
          <w:i/>
          <w:iCs/>
        </w:rPr>
        <w:t>Achieving a national purpose: putting equalization back on track: expert panel on equalization and territorial formula financing</w:t>
      </w:r>
      <w:r>
        <w:t>, Department of Finance, Ottawa.</w:t>
      </w:r>
    </w:p>
    <w:p w14:paraId="7954D4F3" w14:textId="0EB8C4DE" w:rsidR="009D6331" w:rsidRDefault="009D6331" w:rsidP="00DA18C2">
      <w:pPr>
        <w:pStyle w:val="Reference"/>
      </w:pPr>
      <w:r>
        <w:t xml:space="preserve">Department of Finance (Canada) 2012, </w:t>
      </w:r>
      <w:r>
        <w:rPr>
          <w:i/>
          <w:iCs/>
        </w:rPr>
        <w:t>Equalization program</w:t>
      </w:r>
      <w:r>
        <w:t>, https://www.fin.gc.ca/</w:t>
      </w:r>
      <w:r w:rsidR="006606FA">
        <w:br/>
      </w:r>
      <w:r>
        <w:t>fedprov/eqp-eng.asp (accessed 22 February 2018).</w:t>
      </w:r>
    </w:p>
    <w:p w14:paraId="7954D4F4" w14:textId="3461D1AC" w:rsidR="009D6331" w:rsidRDefault="00767A38" w:rsidP="00DA18C2">
      <w:pPr>
        <w:pStyle w:val="Reference"/>
      </w:pPr>
      <w:r>
        <w:t xml:space="preserve">—— </w:t>
      </w:r>
      <w:r w:rsidR="009D6331">
        <w:t xml:space="preserve">2017, </w:t>
      </w:r>
      <w:r w:rsidR="009D6331">
        <w:rPr>
          <w:i/>
          <w:iCs/>
        </w:rPr>
        <w:t>Federal support to provinces and territories</w:t>
      </w:r>
      <w:r w:rsidR="009D6331">
        <w:t>, Department of Finance Canada, https://www.fin.gc.ca/fedprov/tff-eng.asp (accessed 22 August 2017).</w:t>
      </w:r>
    </w:p>
    <w:p w14:paraId="7954D4F5" w14:textId="77777777" w:rsidR="009D6331" w:rsidRDefault="009D6331" w:rsidP="00DA18C2">
      <w:pPr>
        <w:pStyle w:val="Reference"/>
      </w:pPr>
      <w:r>
        <w:t xml:space="preserve">DET (Department of Education and Training) 2017a, </w:t>
      </w:r>
      <w:r>
        <w:rPr>
          <w:i/>
          <w:iCs/>
        </w:rPr>
        <w:t>How are Schools Funded in Australia?</w:t>
      </w:r>
      <w:r>
        <w:t>, Quality Schools Fact Sheet, Canberra.</w:t>
      </w:r>
    </w:p>
    <w:p w14:paraId="7954D4F6" w14:textId="77777777" w:rsidR="009D6331" w:rsidRDefault="00EF6BE2" w:rsidP="00DA18C2">
      <w:pPr>
        <w:pStyle w:val="Reference"/>
      </w:pPr>
      <w:r>
        <w:t>—— </w:t>
      </w:r>
      <w:r w:rsidR="009D6331">
        <w:t xml:space="preserve">2017b, </w:t>
      </w:r>
      <w:r w:rsidR="009D6331">
        <w:rPr>
          <w:i/>
          <w:iCs/>
        </w:rPr>
        <w:t>Quality Schools — frequently asked questions</w:t>
      </w:r>
      <w:r w:rsidR="009D6331">
        <w:t xml:space="preserve">, </w:t>
      </w:r>
      <w:r w:rsidRPr="00EF6BE2">
        <w:t>https://www.education.gov.au/</w:t>
      </w:r>
      <w:r>
        <w:t xml:space="preserve"> </w:t>
      </w:r>
      <w:r w:rsidR="009D6331">
        <w:t>quality-schools-frequently-asked-questions (accessed 22 August 2017).</w:t>
      </w:r>
    </w:p>
    <w:p w14:paraId="7954D4F7" w14:textId="77777777" w:rsidR="009D6331" w:rsidRDefault="009D6331" w:rsidP="00DA18C2">
      <w:pPr>
        <w:pStyle w:val="Reference"/>
      </w:pPr>
      <w:r>
        <w:t xml:space="preserve">Deutsche Bundesbank 2014, </w:t>
      </w:r>
      <w:r>
        <w:rPr>
          <w:i/>
          <w:iCs/>
        </w:rPr>
        <w:t>The reform of financial relations in the German federal system</w:t>
      </w:r>
      <w:r>
        <w:t>, September.</w:t>
      </w:r>
    </w:p>
    <w:p w14:paraId="7954D4F8" w14:textId="77777777" w:rsidR="009D6331" w:rsidRDefault="009D6331" w:rsidP="00DA18C2">
      <w:pPr>
        <w:pStyle w:val="Reference"/>
      </w:pPr>
      <w:r>
        <w:lastRenderedPageBreak/>
        <w:t xml:space="preserve">DIRD (Department of Infrastructure and Regional Development) 2017a, </w:t>
      </w:r>
      <w:r>
        <w:rPr>
          <w:i/>
          <w:iCs/>
        </w:rPr>
        <w:t>Financial Assistance Grant to Local Government</w:t>
      </w:r>
      <w:r>
        <w:t>, http://regional.gov.au/local/assistance/ (accessed 9 November 2017).</w:t>
      </w:r>
    </w:p>
    <w:p w14:paraId="7954D4F9" w14:textId="77777777" w:rsidR="009D6331" w:rsidRDefault="00EE445F" w:rsidP="00DA18C2">
      <w:pPr>
        <w:pStyle w:val="Reference"/>
      </w:pPr>
      <w:r>
        <w:t>—— </w:t>
      </w:r>
      <w:r w:rsidR="009D6331">
        <w:t xml:space="preserve">2017b, </w:t>
      </w:r>
      <w:r w:rsidR="009D6331">
        <w:rPr>
          <w:i/>
          <w:iCs/>
        </w:rPr>
        <w:t>Local Government National Report 2014-15</w:t>
      </w:r>
      <w:r w:rsidR="009D6331">
        <w:t>, Commonwealth of Australia, Canberra.</w:t>
      </w:r>
    </w:p>
    <w:p w14:paraId="7954D4FA" w14:textId="77777777" w:rsidR="009D6331" w:rsidRDefault="00EE445F" w:rsidP="00DA18C2">
      <w:pPr>
        <w:pStyle w:val="Reference"/>
      </w:pPr>
      <w:r>
        <w:t>—— </w:t>
      </w:r>
      <w:r w:rsidR="009D6331">
        <w:t xml:space="preserve">2017c, </w:t>
      </w:r>
      <w:r w:rsidR="009D6331">
        <w:rPr>
          <w:i/>
          <w:iCs/>
        </w:rPr>
        <w:t>National principles for the allocation of grants under the Local Government (Financial Assistance) Act 1995</w:t>
      </w:r>
      <w:r w:rsidR="009D6331">
        <w:t>, http://regional.gov.au/local/assistance/national-principles-allocation-of-grants.aspx (accessed 9 November 2017).</w:t>
      </w:r>
    </w:p>
    <w:p w14:paraId="7954D4FB" w14:textId="77777777" w:rsidR="009D6331" w:rsidRDefault="009D6331" w:rsidP="00DA18C2">
      <w:pPr>
        <w:pStyle w:val="Reference"/>
      </w:pPr>
      <w:r>
        <w:t xml:space="preserve">Dixon, P., Picton, M. and Rimmer, M. 2002, ‘Efficiency effects of inter-government financial transfers in Australia’, </w:t>
      </w:r>
      <w:r>
        <w:rPr>
          <w:i/>
          <w:iCs/>
        </w:rPr>
        <w:t>The Australian Economic Review</w:t>
      </w:r>
      <w:r>
        <w:t>, vol. 35, no. 3, pp. 304–315.</w:t>
      </w:r>
    </w:p>
    <w:p w14:paraId="7954D4FC" w14:textId="77777777" w:rsidR="009D6331" w:rsidRDefault="00B31650" w:rsidP="00DA18C2">
      <w:pPr>
        <w:pStyle w:val="Reference"/>
      </w:pPr>
      <w:r>
        <w:t>——, —— and —— </w:t>
      </w:r>
      <w:r w:rsidR="009D6331">
        <w:t xml:space="preserve">2005, ‘Efficiency Effects of changes in Commonwealth grants to the states: A CGE analysis’, </w:t>
      </w:r>
      <w:r w:rsidR="009D6331">
        <w:rPr>
          <w:i/>
          <w:iCs/>
        </w:rPr>
        <w:t>Australian Economic Papers</w:t>
      </w:r>
      <w:r w:rsidR="009D6331">
        <w:t>, vol. 44, no. 1, pp. 82–104.</w:t>
      </w:r>
    </w:p>
    <w:p w14:paraId="7954D4FD" w14:textId="77777777" w:rsidR="009D6331" w:rsidRDefault="009D6331" w:rsidP="00DA18C2">
      <w:pPr>
        <w:pStyle w:val="Reference"/>
      </w:pPr>
      <w:r>
        <w:t xml:space="preserve">DPMC (Department of the Prime Minister and Cabinet) 2015, </w:t>
      </w:r>
      <w:r>
        <w:rPr>
          <w:i/>
          <w:iCs/>
        </w:rPr>
        <w:t>Reform of the Federation: Discussion Paper</w:t>
      </w:r>
      <w:r>
        <w:t>, Canberra.</w:t>
      </w:r>
    </w:p>
    <w:p w14:paraId="7954D4FE" w14:textId="77777777" w:rsidR="009D6331" w:rsidRDefault="009D6331" w:rsidP="00DA18C2">
      <w:pPr>
        <w:pStyle w:val="Reference"/>
      </w:pPr>
      <w:r>
        <w:t xml:space="preserve">Duckett, S.J. 1995, ‘Hospital payment arrangements to encourage efficiency: The case of Victoria, Australia’, </w:t>
      </w:r>
      <w:r>
        <w:rPr>
          <w:i/>
          <w:iCs/>
        </w:rPr>
        <w:t>Health Policy</w:t>
      </w:r>
      <w:r>
        <w:t>, vol. 34, pp. 113–134.</w:t>
      </w:r>
    </w:p>
    <w:p w14:paraId="7954D4FF" w14:textId="77777777" w:rsidR="009D6331" w:rsidRDefault="009D6331" w:rsidP="00DA18C2">
      <w:pPr>
        <w:pStyle w:val="Reference"/>
      </w:pPr>
      <w:r>
        <w:t xml:space="preserve">Edison, R.-C. 2013, </w:t>
      </w:r>
      <w:r>
        <w:rPr>
          <w:i/>
          <w:iCs/>
        </w:rPr>
        <w:t>Canada’s equalization formula</w:t>
      </w:r>
      <w:r>
        <w:t>, Parliment of Canada, https://lop.parl.ca/Content/LOP/ResearchPublications/2008-20-e.htm (accessed 17 February 2018).</w:t>
      </w:r>
    </w:p>
    <w:p w14:paraId="7954D500" w14:textId="77777777" w:rsidR="009D6331" w:rsidRPr="006606FA" w:rsidRDefault="009D6331" w:rsidP="00DA18C2">
      <w:pPr>
        <w:pStyle w:val="Reference"/>
        <w:rPr>
          <w:spacing w:val="-4"/>
        </w:rPr>
      </w:pPr>
      <w:r w:rsidRPr="006606FA">
        <w:rPr>
          <w:spacing w:val="-4"/>
        </w:rPr>
        <w:t xml:space="preserve">Egan, M.R. 1999, </w:t>
      </w:r>
      <w:r w:rsidRPr="006606FA">
        <w:rPr>
          <w:i/>
          <w:iCs/>
          <w:spacing w:val="-4"/>
        </w:rPr>
        <w:t xml:space="preserve">Questions without notice </w:t>
      </w:r>
      <w:r w:rsidR="00F269AA" w:rsidRPr="006606FA">
        <w:rPr>
          <w:i/>
          <w:iCs/>
          <w:spacing w:val="-4"/>
        </w:rPr>
        <w:t>—</w:t>
      </w:r>
      <w:r w:rsidRPr="006606FA">
        <w:rPr>
          <w:i/>
          <w:iCs/>
          <w:spacing w:val="-4"/>
        </w:rPr>
        <w:t xml:space="preserve"> Goods and Services Tax revenue distribution</w:t>
      </w:r>
      <w:r w:rsidRPr="006606FA">
        <w:rPr>
          <w:spacing w:val="-4"/>
        </w:rPr>
        <w:t>,</w:t>
      </w:r>
      <w:r w:rsidR="00F269AA" w:rsidRPr="006606FA">
        <w:rPr>
          <w:i/>
          <w:spacing w:val="-4"/>
        </w:rPr>
        <w:t>;</w:t>
      </w:r>
      <w:r w:rsidRPr="006606FA">
        <w:rPr>
          <w:i/>
          <w:spacing w:val="-4"/>
        </w:rPr>
        <w:t xml:space="preserve"> First session, fifty-second parliament</w:t>
      </w:r>
      <w:r w:rsidRPr="006606FA">
        <w:rPr>
          <w:spacing w:val="-4"/>
        </w:rPr>
        <w:t xml:space="preserve">, </w:t>
      </w:r>
      <w:r w:rsidR="0063283F" w:rsidRPr="006606FA">
        <w:rPr>
          <w:iCs/>
          <w:spacing w:val="-4"/>
        </w:rPr>
        <w:t>Legislative Council of New South Wales</w:t>
      </w:r>
      <w:r w:rsidR="0063283F" w:rsidRPr="006606FA">
        <w:rPr>
          <w:spacing w:val="-4"/>
        </w:rPr>
        <w:t xml:space="preserve">, </w:t>
      </w:r>
      <w:r w:rsidRPr="006606FA">
        <w:rPr>
          <w:spacing w:val="-4"/>
        </w:rPr>
        <w:t>pp. 76–78.</w:t>
      </w:r>
    </w:p>
    <w:p w14:paraId="7954D501" w14:textId="77777777" w:rsidR="009D6331" w:rsidRDefault="009D6331" w:rsidP="00DA18C2">
      <w:pPr>
        <w:pStyle w:val="Reference"/>
      </w:pPr>
      <w:r>
        <w:t xml:space="preserve">Ergas, H. and Pincus, J. 2011, </w:t>
      </w:r>
      <w:r>
        <w:rPr>
          <w:i/>
          <w:iCs/>
        </w:rPr>
        <w:t>Reflections on Fiscal Equalisation in Australia — Submission to the GST Distribution Review (Issues Paper)</w:t>
      </w:r>
      <w:r>
        <w:t>, Canberra.</w:t>
      </w:r>
    </w:p>
    <w:p w14:paraId="7954D502" w14:textId="77777777" w:rsidR="009D6331" w:rsidRDefault="009D6331" w:rsidP="00DA18C2">
      <w:pPr>
        <w:pStyle w:val="Reference"/>
      </w:pPr>
      <w:r>
        <w:t>Eslake, S. 2017a, ‘Inequality, efficiency and Australia’s system of horizontal fiscal equalization’, presented at Workshop on Federal Relations and Tax Reform, Adelaide, August, http://blogs.adelaide.edu.au/economics/files/2017/05/Saul-Eslake_Inequality-Inefficiency-and-HFE-Adelaide.pdf (accessed 9 April 2018).</w:t>
      </w:r>
    </w:p>
    <w:p w14:paraId="7954D503" w14:textId="77777777" w:rsidR="009D6331" w:rsidRDefault="00B31650" w:rsidP="00DA18C2">
      <w:pPr>
        <w:pStyle w:val="Reference"/>
      </w:pPr>
      <w:r>
        <w:t>—— </w:t>
      </w:r>
      <w:r w:rsidR="009D6331">
        <w:t xml:space="preserve">2017b, </w:t>
      </w:r>
      <w:r w:rsidR="009D6331">
        <w:rPr>
          <w:i/>
          <w:iCs/>
        </w:rPr>
        <w:t>WA’s economic mismanagement is not a reason to review how the GST is carved up</w:t>
      </w:r>
      <w:r w:rsidR="009D6331">
        <w:t>, The Conversation, http://theconversation.com/was-economic-mismanagement-is-not-a-reason-to-review-how-the-gst-is-carved-up-76944 (accessed 17 September 2017).</w:t>
      </w:r>
    </w:p>
    <w:p w14:paraId="7954D504" w14:textId="77777777" w:rsidR="009D6331" w:rsidRDefault="009D6331" w:rsidP="00DA18C2">
      <w:pPr>
        <w:pStyle w:val="Reference"/>
      </w:pPr>
      <w:r>
        <w:t>Färber, G. 2013, ‘Fiscal equalisation in Germany: facts, conflicts and perspectives’, Milan, http://www.eupolis.regione.lombardia.it/shared/ccurl/886/668/Farber_Gisela_13.12.13.pdf (accessed 22 August 2017).</w:t>
      </w:r>
    </w:p>
    <w:p w14:paraId="7954D505" w14:textId="77777777" w:rsidR="009D6331" w:rsidRDefault="009D6331" w:rsidP="00DA18C2">
      <w:pPr>
        <w:pStyle w:val="Reference"/>
      </w:pPr>
      <w:r>
        <w:t xml:space="preserve">Federal Department of Finance (Switzerland) 2018, </w:t>
      </w:r>
      <w:r>
        <w:rPr>
          <w:i/>
          <w:iCs/>
        </w:rPr>
        <w:t>National fiscal equalization</w:t>
      </w:r>
      <w:r>
        <w:t>, https://www.efd.admin.ch/efd/en/home/themen/finanzpolitik/national-fiscal-equalization/fb-nationaler-finanzausgleich.html (accessed 24 February 2018).</w:t>
      </w:r>
    </w:p>
    <w:p w14:paraId="7954D506" w14:textId="77777777" w:rsidR="009D6331" w:rsidRDefault="009D6331" w:rsidP="00DA18C2">
      <w:pPr>
        <w:pStyle w:val="Reference"/>
      </w:pPr>
      <w:r>
        <w:lastRenderedPageBreak/>
        <w:t xml:space="preserve">Federal Ministry of Finance (Germany) 2016, </w:t>
      </w:r>
      <w:r>
        <w:rPr>
          <w:i/>
          <w:iCs/>
        </w:rPr>
        <w:t>The Federal Financial Equalisation System in Germany</w:t>
      </w:r>
      <w:r>
        <w:t>, Berlin.</w:t>
      </w:r>
    </w:p>
    <w:p w14:paraId="7954D507" w14:textId="77777777" w:rsidR="009D6331" w:rsidRDefault="00B41EE2" w:rsidP="00DA18C2">
      <w:pPr>
        <w:pStyle w:val="Reference"/>
      </w:pPr>
      <w:r>
        <w:t>—— </w:t>
      </w:r>
      <w:r w:rsidR="009D6331">
        <w:t xml:space="preserve">2017, </w:t>
      </w:r>
      <w:r w:rsidR="009D6331">
        <w:rPr>
          <w:i/>
          <w:iCs/>
        </w:rPr>
        <w:t>Data on the Horizontal Distribution of VAT Revenue, Financial Equalisation Among the Länder, and Supplementary Federal Grants</w:t>
      </w:r>
      <w:r w:rsidR="009D6331">
        <w:t>, Berlin.</w:t>
      </w:r>
    </w:p>
    <w:p w14:paraId="7954D508" w14:textId="77777777" w:rsidR="009D6331" w:rsidRDefault="009D6331" w:rsidP="00DA18C2">
      <w:pPr>
        <w:pStyle w:val="Reference"/>
      </w:pPr>
      <w:r>
        <w:t xml:space="preserve">Feehan, J. 2014, </w:t>
      </w:r>
      <w:r>
        <w:rPr>
          <w:i/>
          <w:iCs/>
        </w:rPr>
        <w:t>Canada’s Equalisation Formula: Peering Inside the Black Box ... and Beyond</w:t>
      </w:r>
      <w:r>
        <w:t>, The School of Public Policy, University of CalGary.</w:t>
      </w:r>
    </w:p>
    <w:p w14:paraId="7954D509" w14:textId="77777777" w:rsidR="009D6331" w:rsidRDefault="009D6331" w:rsidP="00DA18C2">
      <w:pPr>
        <w:pStyle w:val="Reference"/>
      </w:pPr>
      <w:r>
        <w:t xml:space="preserve">Ferede, E. 2014, </w:t>
      </w:r>
      <w:r>
        <w:rPr>
          <w:i/>
          <w:iCs/>
        </w:rPr>
        <w:t>The Incentive Effects of Equalization Grants on Fiscal Policy</w:t>
      </w:r>
      <w:r>
        <w:t>, SPP Research Papers vol. 7 no. 23, School of Public Policy, University of Calgary.</w:t>
      </w:r>
    </w:p>
    <w:p w14:paraId="7954D50A" w14:textId="77777777" w:rsidR="009D6331" w:rsidRDefault="009D6331" w:rsidP="00DA18C2">
      <w:pPr>
        <w:pStyle w:val="Reference"/>
      </w:pPr>
      <w:r>
        <w:t xml:space="preserve">Flatters, F., Henderson, V. and Mieszkowski, P. 1974, ‘Public goods, efficiency, and regional fiscal equalisation’, </w:t>
      </w:r>
      <w:r>
        <w:rPr>
          <w:i/>
          <w:iCs/>
        </w:rPr>
        <w:t>Journal of Public Economics</w:t>
      </w:r>
      <w:r>
        <w:t>, vol. 3, pp. 99–112.</w:t>
      </w:r>
    </w:p>
    <w:p w14:paraId="7954D50B" w14:textId="77777777" w:rsidR="009D6331" w:rsidRDefault="009D6331" w:rsidP="00DA18C2">
      <w:pPr>
        <w:pStyle w:val="Reference"/>
      </w:pPr>
      <w:r>
        <w:t xml:space="preserve">Foley, G. 2013, </w:t>
      </w:r>
      <w:r>
        <w:rPr>
          <w:i/>
          <w:iCs/>
        </w:rPr>
        <w:t>‘Westralia Shall Be Free’ - the Western Australian Secession Referendum in 1933</w:t>
      </w:r>
      <w:r>
        <w:t>, http://www.sro.wa.gov.au/blogs/westralia-shall-be-free-western-australian-secession-referendum-1933 (accessed 5 July 2017).</w:t>
      </w:r>
    </w:p>
    <w:p w14:paraId="7954D50C" w14:textId="77777777" w:rsidR="009D6331" w:rsidRDefault="009D6331" w:rsidP="00DA18C2">
      <w:pPr>
        <w:pStyle w:val="Reference"/>
      </w:pPr>
      <w:r>
        <w:t xml:space="preserve">Garnaut, R. and FitzGerald, V. 2002a, ‘Issues in Commonwealth-State funding’, </w:t>
      </w:r>
      <w:r>
        <w:rPr>
          <w:i/>
          <w:iCs/>
        </w:rPr>
        <w:t>The Australian Economic Review</w:t>
      </w:r>
      <w:r>
        <w:t>, vol. 35, no. 3, pp. 290–300.</w:t>
      </w:r>
    </w:p>
    <w:p w14:paraId="7954D50D" w14:textId="55E67FA1" w:rsidR="009D6331" w:rsidRDefault="00441597" w:rsidP="00DA18C2">
      <w:pPr>
        <w:pStyle w:val="Reference"/>
      </w:pPr>
      <w:r>
        <w:t>——</w:t>
      </w:r>
      <w:r w:rsidR="009D6331">
        <w:t xml:space="preserve"> 2002b, </w:t>
      </w:r>
      <w:r w:rsidR="009D6331">
        <w:rPr>
          <w:i/>
          <w:iCs/>
        </w:rPr>
        <w:t>Review of Commonwealth-State Funding</w:t>
      </w:r>
      <w:r w:rsidR="009D6331">
        <w:t>, Final Report, Melbourne.</w:t>
      </w:r>
    </w:p>
    <w:p w14:paraId="7954D50E" w14:textId="77777777" w:rsidR="009D6331" w:rsidRDefault="009D6331" w:rsidP="00DA18C2">
      <w:pPr>
        <w:pStyle w:val="Reference"/>
      </w:pPr>
      <w:r>
        <w:t xml:space="preserve">Gray, M. 2017, </w:t>
      </w:r>
      <w:r>
        <w:rPr>
          <w:i/>
          <w:iCs/>
        </w:rPr>
        <w:t>Accountability in the Australian Federation</w:t>
      </w:r>
      <w:r>
        <w:t>, Background Paper for the Productivity Commission inquiry into Horizontal Fiscal Equalisation, August, Analytic Outcomes.</w:t>
      </w:r>
    </w:p>
    <w:p w14:paraId="7954D50F" w14:textId="77777777" w:rsidR="009D6331" w:rsidRDefault="009D6331" w:rsidP="00DA18C2">
      <w:pPr>
        <w:pStyle w:val="Reference"/>
      </w:pPr>
      <w:r>
        <w:t xml:space="preserve">Hamill, D.J. 1999, </w:t>
      </w:r>
      <w:r>
        <w:rPr>
          <w:i/>
          <w:iCs/>
        </w:rPr>
        <w:t xml:space="preserve">Ministerial Statement </w:t>
      </w:r>
      <w:r w:rsidR="00874A5F">
        <w:rPr>
          <w:i/>
          <w:iCs/>
        </w:rPr>
        <w:t>—</w:t>
      </w:r>
      <w:r>
        <w:rPr>
          <w:i/>
          <w:iCs/>
        </w:rPr>
        <w:t xml:space="preserve"> Commonwealth Funding</w:t>
      </w:r>
      <w:r>
        <w:t xml:space="preserve">, </w:t>
      </w:r>
      <w:r>
        <w:rPr>
          <w:i/>
          <w:iCs/>
        </w:rPr>
        <w:t>Legislative Assembly of Queensland</w:t>
      </w:r>
      <w:r>
        <w:t>, pp. 97–98.</w:t>
      </w:r>
    </w:p>
    <w:p w14:paraId="7954D510" w14:textId="77777777" w:rsidR="009D6331" w:rsidRDefault="009D6331" w:rsidP="00DA18C2">
      <w:pPr>
        <w:pStyle w:val="Reference"/>
      </w:pPr>
      <w:r>
        <w:t xml:space="preserve">Hamilton, P. 2017, </w:t>
      </w:r>
      <w:r>
        <w:rPr>
          <w:i/>
          <w:iCs/>
        </w:rPr>
        <w:t>Public sector staffing, organisation and efficiencies</w:t>
      </w:r>
      <w:r>
        <w:t>, https://www.aph.gov.au/About_Parliament/Parliamentary_Departments/Parliamentary_Library/pubs/rp/BudgetReview201718/Public_sector_staffing_organisation_and_efficiencies (accessed 19 April 2018).</w:t>
      </w:r>
    </w:p>
    <w:p w14:paraId="7954D511" w14:textId="77777777" w:rsidR="009D6331" w:rsidRDefault="009D6331" w:rsidP="00DA18C2">
      <w:pPr>
        <w:pStyle w:val="Reference"/>
      </w:pPr>
      <w:r>
        <w:t xml:space="preserve">Hancock, J. and Smith, J. 2001, </w:t>
      </w:r>
      <w:r>
        <w:rPr>
          <w:i/>
          <w:iCs/>
        </w:rPr>
        <w:t>Financing the Federation</w:t>
      </w:r>
      <w:r>
        <w:t>, South Australian Centre for Economic Studies, Adelaide University &amp; Flinders University, Adelaide.</w:t>
      </w:r>
    </w:p>
    <w:p w14:paraId="7954D512" w14:textId="77777777" w:rsidR="009D6331" w:rsidRDefault="009D6331" w:rsidP="00DA18C2">
      <w:pPr>
        <w:pStyle w:val="Reference"/>
      </w:pPr>
      <w:r>
        <w:t xml:space="preserve">Harrington, M. 2013, </w:t>
      </w:r>
      <w:r>
        <w:rPr>
          <w:i/>
          <w:iCs/>
        </w:rPr>
        <w:t>Australian Government funding for schools explained: 2013 update</w:t>
      </w:r>
      <w:r>
        <w:t>, Background Notes 2012-13, Parliamentary Library, Parliament of Australia, https://www.aph.gov.au/Parliamentary_Business/Committees/Senate/School_Funding/School_Funding/Report/c03 (accessed 20 March 2018).</w:t>
      </w:r>
    </w:p>
    <w:p w14:paraId="7954D513" w14:textId="77777777" w:rsidR="009D6331" w:rsidRDefault="009D6331" w:rsidP="00DA18C2">
      <w:pPr>
        <w:pStyle w:val="Reference"/>
      </w:pPr>
      <w:r>
        <w:t xml:space="preserve">Henry, K., Harmer, J., Piggott, J., Ridout, H. and Smith, G. 2010a, </w:t>
      </w:r>
      <w:r>
        <w:rPr>
          <w:i/>
          <w:iCs/>
        </w:rPr>
        <w:t>Australia’s Future Tax System — Final Report</w:t>
      </w:r>
      <w:r>
        <w:t>, Australian Government, Canberra.</w:t>
      </w:r>
    </w:p>
    <w:p w14:paraId="7954D514" w14:textId="77777777" w:rsidR="009D6331" w:rsidRDefault="00B31650" w:rsidP="00DA18C2">
      <w:pPr>
        <w:pStyle w:val="Reference"/>
      </w:pPr>
      <w:r>
        <w:t>——, ——, ——, —— and —— </w:t>
      </w:r>
      <w:r w:rsidR="009D6331">
        <w:t xml:space="preserve">2010b, </w:t>
      </w:r>
      <w:r w:rsidR="009D6331">
        <w:rPr>
          <w:i/>
          <w:iCs/>
        </w:rPr>
        <w:t>Australia’s Future Tax System — Final Report: Part Two: Detailed Analysis</w:t>
      </w:r>
      <w:r w:rsidR="009D6331">
        <w:t>, Volume 1, Australian Government, Canberra.</w:t>
      </w:r>
    </w:p>
    <w:p w14:paraId="7954D515" w14:textId="77777777" w:rsidR="009D6331" w:rsidRDefault="009D6331" w:rsidP="00DA18C2">
      <w:pPr>
        <w:pStyle w:val="Reference"/>
      </w:pPr>
      <w:r>
        <w:t xml:space="preserve">Horne, N. 2012, </w:t>
      </w:r>
      <w:r>
        <w:rPr>
          <w:i/>
          <w:iCs/>
        </w:rPr>
        <w:t>The Commonwealth efficiency dividend: an overview</w:t>
      </w:r>
      <w:r>
        <w:t xml:space="preserve">, Parliamentary Library, </w:t>
      </w:r>
      <w:r w:rsidR="00B41EE2" w:rsidRPr="00B41EE2">
        <w:t>https://www.aph.gov.au/About_Parliament/Parliamentary_Departments/</w:t>
      </w:r>
      <w:r w:rsidR="00B41EE2">
        <w:t xml:space="preserve"> </w:t>
      </w:r>
      <w:r>
        <w:t>Parliamentary_Library/pubs/BN/2012-2013/Efficien</w:t>
      </w:r>
      <w:r w:rsidR="00B41EE2">
        <w:t>cyDividend (accessed 30 January </w:t>
      </w:r>
      <w:r>
        <w:t>2018).</w:t>
      </w:r>
    </w:p>
    <w:p w14:paraId="7954D516" w14:textId="77777777" w:rsidR="009D6331" w:rsidRDefault="009D6331" w:rsidP="00DA18C2">
      <w:pPr>
        <w:pStyle w:val="Reference"/>
      </w:pPr>
      <w:r>
        <w:lastRenderedPageBreak/>
        <w:t xml:space="preserve">Independent Economics 2012, </w:t>
      </w:r>
      <w:r>
        <w:rPr>
          <w:i/>
          <w:iCs/>
        </w:rPr>
        <w:t>Horizontal Fiscal Equalisation: Modelling the Welfare and Efficiency Effects</w:t>
      </w:r>
      <w:r>
        <w:t>, report to the South Australian Department of Treasury and Finance, Canberra.</w:t>
      </w:r>
    </w:p>
    <w:p w14:paraId="7954D517" w14:textId="77777777" w:rsidR="009D6331" w:rsidRDefault="00B31650" w:rsidP="00DA18C2">
      <w:pPr>
        <w:pStyle w:val="Reference"/>
      </w:pPr>
      <w:r>
        <w:t>—— </w:t>
      </w:r>
      <w:r w:rsidR="009D6331">
        <w:t xml:space="preserve">2015, </w:t>
      </w:r>
      <w:r w:rsidR="009D6331">
        <w:rPr>
          <w:i/>
          <w:iCs/>
        </w:rPr>
        <w:t>Horizontal Fiscal Equalisation: Modelling Update and Scenarios</w:t>
      </w:r>
      <w:r w:rsidR="009D6331">
        <w:t>, report to the South Australian Department of Treasury and Finance, Canberra.</w:t>
      </w:r>
    </w:p>
    <w:p w14:paraId="7954D518" w14:textId="77777777" w:rsidR="009D6331" w:rsidRDefault="009D6331" w:rsidP="00DA18C2">
      <w:pPr>
        <w:pStyle w:val="Reference"/>
      </w:pPr>
      <w:r>
        <w:t xml:space="preserve">Inman, R.P. 2008, </w:t>
      </w:r>
      <w:r>
        <w:rPr>
          <w:i/>
          <w:iCs/>
        </w:rPr>
        <w:t>The Flypaper Effect</w:t>
      </w:r>
      <w:r>
        <w:t>, Working Paper No. 14579, National Bureau of Economic Research, Cambridge, Massachusetts.</w:t>
      </w:r>
    </w:p>
    <w:p w14:paraId="7954D519" w14:textId="77777777" w:rsidR="009D6331" w:rsidRDefault="009D6331" w:rsidP="00DA18C2">
      <w:pPr>
        <w:pStyle w:val="Reference"/>
      </w:pPr>
      <w:r>
        <w:t xml:space="preserve">James, D. 1997, </w:t>
      </w:r>
      <w:r>
        <w:rPr>
          <w:i/>
          <w:iCs/>
        </w:rPr>
        <w:t>Federalism Up in Smoke? The High Court Decision on State Tobacco Tax</w:t>
      </w:r>
      <w:r>
        <w:t>, Current Issues Brief, No. 1, Parliamentary Library, Canberra.</w:t>
      </w:r>
    </w:p>
    <w:p w14:paraId="7954D51A" w14:textId="77777777" w:rsidR="009D6331" w:rsidRDefault="00B31650" w:rsidP="00DA18C2">
      <w:pPr>
        <w:pStyle w:val="Reference"/>
      </w:pPr>
      <w:r>
        <w:t>—— </w:t>
      </w:r>
      <w:r w:rsidR="009D6331">
        <w:t xml:space="preserve">2001, </w:t>
      </w:r>
      <w:r w:rsidR="009D6331">
        <w:rPr>
          <w:i/>
          <w:iCs/>
        </w:rPr>
        <w:t>Federal-State Financial Relations: the Deakin Prophecy</w:t>
      </w:r>
      <w:r w:rsidR="009D6331">
        <w:t>, Research Paper, No. 17, Department of the Parliamentary Library, Canberra.</w:t>
      </w:r>
    </w:p>
    <w:p w14:paraId="7954D51B" w14:textId="77777777" w:rsidR="009D6331" w:rsidRDefault="009D6331" w:rsidP="00DA18C2">
      <w:pPr>
        <w:pStyle w:val="Reference"/>
      </w:pPr>
      <w:r>
        <w:t xml:space="preserve">Jenkins, H., English, K.-L., Hristova, O. and Blankertz, A. 2017, </w:t>
      </w:r>
      <w:r>
        <w:rPr>
          <w:i/>
          <w:iCs/>
        </w:rPr>
        <w:t>Social mobility and economic success: How social mobility boosts the economy</w:t>
      </w:r>
      <w:r>
        <w:t>, Oxera Consulting and The Sutton Trust, London.</w:t>
      </w:r>
    </w:p>
    <w:p w14:paraId="7954D51C" w14:textId="77777777" w:rsidR="009D6331" w:rsidRDefault="009D6331" w:rsidP="00DA18C2">
      <w:pPr>
        <w:pStyle w:val="Reference"/>
      </w:pPr>
      <w:r>
        <w:t xml:space="preserve">Karkalakos, S. and Kotsogiannis, C. 2005, </w:t>
      </w:r>
      <w:r>
        <w:rPr>
          <w:i/>
          <w:iCs/>
        </w:rPr>
        <w:t>A Spatial Analysis of Provincial Business Income Tax Responses: Evidence from Canada</w:t>
      </w:r>
      <w:r>
        <w:t>, Working Paper, University of Cyprus, Nicosia.</w:t>
      </w:r>
    </w:p>
    <w:p w14:paraId="7954D51D" w14:textId="77777777" w:rsidR="009D6331" w:rsidRPr="00647FCC" w:rsidRDefault="009D6331" w:rsidP="00DA18C2">
      <w:pPr>
        <w:pStyle w:val="Reference"/>
        <w:rPr>
          <w:spacing w:val="-2"/>
        </w:rPr>
      </w:pPr>
      <w:r w:rsidRPr="00647FCC">
        <w:rPr>
          <w:spacing w:val="-2"/>
        </w:rPr>
        <w:t xml:space="preserve">Khemani, S. 2007, ‘The political economy of equalization transfers’, in Martinez-Vazquez, J. and Searle, B. (eds), </w:t>
      </w:r>
      <w:r w:rsidRPr="00647FCC">
        <w:rPr>
          <w:i/>
          <w:iCs/>
          <w:spacing w:val="-2"/>
        </w:rPr>
        <w:t>Fiscal Equalization</w:t>
      </w:r>
      <w:r w:rsidRPr="00647FCC">
        <w:rPr>
          <w:spacing w:val="-2"/>
        </w:rPr>
        <w:t>, Springer, pp. 463–484, http://link.springer.com/chapter/10.1007/978-0-387-48988-9_19 (accessed 14 June 2017).</w:t>
      </w:r>
    </w:p>
    <w:p w14:paraId="7954D51E" w14:textId="77777777" w:rsidR="009D6331" w:rsidRDefault="009D6331" w:rsidP="00DA18C2">
      <w:pPr>
        <w:pStyle w:val="Reference"/>
      </w:pPr>
      <w:r>
        <w:t xml:space="preserve">Koutsogeorgopulou, V. and Tuske, A. 2015, </w:t>
      </w:r>
      <w:r>
        <w:rPr>
          <w:i/>
          <w:iCs/>
        </w:rPr>
        <w:t>Federal-State Relations in Australia</w:t>
      </w:r>
      <w:r>
        <w:t>, Working Paper, No. 1198, OECD.</w:t>
      </w:r>
    </w:p>
    <w:p w14:paraId="7954D51F" w14:textId="77777777" w:rsidR="009D6331" w:rsidRDefault="009D6331" w:rsidP="00DA18C2">
      <w:pPr>
        <w:pStyle w:val="Reference"/>
      </w:pPr>
      <w:r>
        <w:t xml:space="preserve">Krugman, P. 1993, </w:t>
      </w:r>
      <w:r>
        <w:rPr>
          <w:i/>
          <w:iCs/>
        </w:rPr>
        <w:t>Geography and Trade</w:t>
      </w:r>
      <w:r>
        <w:t>, MIT Press, Cambridge, Mass.</w:t>
      </w:r>
    </w:p>
    <w:p w14:paraId="7954D520" w14:textId="77777777" w:rsidR="009D6331" w:rsidRDefault="009D6331" w:rsidP="00DA18C2">
      <w:pPr>
        <w:pStyle w:val="Reference"/>
      </w:pPr>
      <w:r>
        <w:t xml:space="preserve">Langoulant, J. 2018, </w:t>
      </w:r>
      <w:r>
        <w:rPr>
          <w:i/>
          <w:iCs/>
        </w:rPr>
        <w:t>Special Inquiry into Government Programs and Projects — Vol. 1</w:t>
      </w:r>
      <w:r>
        <w:t>, State of Western Australia, Perth.</w:t>
      </w:r>
    </w:p>
    <w:p w14:paraId="7954D521" w14:textId="77777777" w:rsidR="009D6331" w:rsidRDefault="009D6331" w:rsidP="00DA18C2">
      <w:pPr>
        <w:pStyle w:val="Reference"/>
      </w:pPr>
      <w:r>
        <w:t xml:space="preserve">Martinez, A., Rampino, T., Western, M. and Tomaszewski, W. 2017, ‘Estimating the Contribution of Circumstances that Reflect Inequality of Opportunities’, </w:t>
      </w:r>
      <w:r>
        <w:rPr>
          <w:i/>
          <w:iCs/>
        </w:rPr>
        <w:t>Economic Papers</w:t>
      </w:r>
      <w:r>
        <w:t>, vol. 36, no. 4, pp. 380–400.</w:t>
      </w:r>
    </w:p>
    <w:p w14:paraId="7954D522" w14:textId="77777777" w:rsidR="009D6331" w:rsidRDefault="009D6331" w:rsidP="00DA18C2">
      <w:pPr>
        <w:pStyle w:val="Reference"/>
      </w:pPr>
      <w:r>
        <w:t xml:space="preserve">McKinnon, R. 1997, ‘Market-Preserving Fiscal Federalism in the American Monetary Union’, in Blejer, M. and Ter-Minassian, T. (eds), </w:t>
      </w:r>
      <w:r>
        <w:rPr>
          <w:i/>
          <w:iCs/>
        </w:rPr>
        <w:t>Macroeconomic Dimensions of Public Finance Essays in Honour of Vito Tanzi</w:t>
      </w:r>
      <w:r>
        <w:t>, Routledge, New York.</w:t>
      </w:r>
    </w:p>
    <w:p w14:paraId="7954D523" w14:textId="77777777" w:rsidR="009D6331" w:rsidRDefault="009D6331" w:rsidP="00DA18C2">
      <w:pPr>
        <w:pStyle w:val="Reference"/>
      </w:pPr>
      <w:r>
        <w:t xml:space="preserve">McKinnon, S. 2017, </w:t>
      </w:r>
      <w:r>
        <w:rPr>
          <w:i/>
          <w:iCs/>
        </w:rPr>
        <w:t>Royalty on Gold Budget ‘Cash Grab’ Fears</w:t>
      </w:r>
      <w:r>
        <w:t>, 6 September, The West Australian, https://thewest.com.au/business/gold/royalty-on-gold-budget-cash-grab-fears-ng-b88589884z (accessed 7 September 2017).</w:t>
      </w:r>
    </w:p>
    <w:p w14:paraId="7954D524" w14:textId="77777777" w:rsidR="009D6331" w:rsidRDefault="009D6331" w:rsidP="00DA18C2">
      <w:pPr>
        <w:pStyle w:val="Reference"/>
      </w:pPr>
      <w:r>
        <w:t xml:space="preserve">McLean, I. 2004, ‘Fiscal federalism in Australia’, </w:t>
      </w:r>
      <w:r>
        <w:rPr>
          <w:i/>
          <w:iCs/>
        </w:rPr>
        <w:t>Public Administration</w:t>
      </w:r>
      <w:r>
        <w:t>, vol. 82, no. 1, pp. 21–38.</w:t>
      </w:r>
    </w:p>
    <w:p w14:paraId="7954D525" w14:textId="77777777" w:rsidR="009D6331" w:rsidRDefault="009D6331" w:rsidP="00DA18C2">
      <w:pPr>
        <w:pStyle w:val="Reference"/>
      </w:pPr>
      <w:r>
        <w:t xml:space="preserve">Moran, T. 2014, ‘Governments, subsidiarity and saving the Federation’, </w:t>
      </w:r>
      <w:r>
        <w:rPr>
          <w:i/>
          <w:iCs/>
        </w:rPr>
        <w:t>A Federation for the 21st Century</w:t>
      </w:r>
      <w:r>
        <w:t>, CEDA.</w:t>
      </w:r>
    </w:p>
    <w:p w14:paraId="7954D526" w14:textId="77777777" w:rsidR="009D6331" w:rsidRDefault="009D6331" w:rsidP="00DA18C2">
      <w:pPr>
        <w:pStyle w:val="Reference"/>
      </w:pPr>
      <w:r>
        <w:lastRenderedPageBreak/>
        <w:t xml:space="preserve">Morrison, S., Manison, N. and Scullion, N. 2018, </w:t>
      </w:r>
      <w:r>
        <w:rPr>
          <w:i/>
          <w:iCs/>
        </w:rPr>
        <w:t>Media Release: New funding to boost services in the NT</w:t>
      </w:r>
      <w:r>
        <w:t>, 23 April, http://sjm.ministers.treasury.gov.au/media-release/040-2018/ (accessed 24 April 2018).</w:t>
      </w:r>
    </w:p>
    <w:p w14:paraId="7954D527" w14:textId="77777777" w:rsidR="009D6331" w:rsidRDefault="009D6331" w:rsidP="00DA18C2">
      <w:pPr>
        <w:pStyle w:val="Reference"/>
      </w:pPr>
      <w:r>
        <w:t xml:space="preserve">——, Turnbull, M. and Cormann, M. 2016, </w:t>
      </w:r>
      <w:r>
        <w:rPr>
          <w:i/>
          <w:iCs/>
        </w:rPr>
        <w:t>Media Release: Additional Commonwealth Support for Infrastructure Projects in Western Australia</w:t>
      </w:r>
      <w:r>
        <w:t>, 10 April, http://sjm.ministers.treasury.gov.au/media-release/037-2016/ (accessed 18 August 2017).</w:t>
      </w:r>
    </w:p>
    <w:p w14:paraId="7954D528" w14:textId="77777777" w:rsidR="009D6331" w:rsidRDefault="009D6331" w:rsidP="00DA18C2">
      <w:pPr>
        <w:pStyle w:val="Reference"/>
      </w:pPr>
      <w:r>
        <w:t xml:space="preserve">Morrison, S.J. 2016, </w:t>
      </w:r>
      <w:r>
        <w:rPr>
          <w:i/>
          <w:iCs/>
        </w:rPr>
        <w:t>Terms of Reference for the 2016 Update of GST Revenue Sharing Relativities</w:t>
      </w:r>
      <w:r>
        <w:t>, Office of the Treasurer, Canberra.</w:t>
      </w:r>
    </w:p>
    <w:p w14:paraId="7954D529" w14:textId="77777777" w:rsidR="009D6331" w:rsidRDefault="009D6331" w:rsidP="00DA18C2">
      <w:pPr>
        <w:pStyle w:val="Reference"/>
      </w:pPr>
      <w:r>
        <w:t xml:space="preserve">Murphy, C. 2015, </w:t>
      </w:r>
      <w:r>
        <w:rPr>
          <w:i/>
          <w:iCs/>
        </w:rPr>
        <w:t>Fiscal equalisation of Australian states and territories: policy options and welfare maximisation</w:t>
      </w:r>
      <w:r>
        <w:t>, Canberra.</w:t>
      </w:r>
    </w:p>
    <w:p w14:paraId="7954D52A" w14:textId="77777777" w:rsidR="009D6331" w:rsidRDefault="00B31650" w:rsidP="00DA18C2">
      <w:pPr>
        <w:pStyle w:val="Reference"/>
      </w:pPr>
      <w:r>
        <w:t>—— </w:t>
      </w:r>
      <w:r w:rsidR="009D6331">
        <w:t xml:space="preserve">2017, </w:t>
      </w:r>
      <w:r w:rsidR="009D6331">
        <w:rPr>
          <w:i/>
          <w:iCs/>
        </w:rPr>
        <w:t>Optimal Fiscal Equalisation and Its Application to Australia</w:t>
      </w:r>
      <w:r w:rsidR="009D6331">
        <w:t>, ANU ACDE Working Papers in Trade and Development, Working Paper No. 2017/12, Canberra.</w:t>
      </w:r>
    </w:p>
    <w:p w14:paraId="7954D52B" w14:textId="77777777" w:rsidR="009D6331" w:rsidRDefault="009D6331" w:rsidP="00DA18C2">
      <w:pPr>
        <w:pStyle w:val="Reference"/>
      </w:pPr>
      <w:r>
        <w:t xml:space="preserve">Myers, G. 1990, ‘Optimality, free mobility and regional authority in a federation’, </w:t>
      </w:r>
      <w:r>
        <w:rPr>
          <w:i/>
          <w:iCs/>
        </w:rPr>
        <w:t>Journal of Public Economics</w:t>
      </w:r>
      <w:r>
        <w:t>, vol. 43, no. 1, pp. 107–121.</w:t>
      </w:r>
    </w:p>
    <w:p w14:paraId="7954D52C" w14:textId="77777777" w:rsidR="009D6331" w:rsidRDefault="009D6331" w:rsidP="00DA18C2">
      <w:pPr>
        <w:pStyle w:val="Reference"/>
      </w:pPr>
      <w:r>
        <w:t xml:space="preserve">NCOA (National Commission of Audit) 2014, </w:t>
      </w:r>
      <w:r>
        <w:rPr>
          <w:i/>
          <w:iCs/>
        </w:rPr>
        <w:t>Towards Responsible Government: Phase One</w:t>
      </w:r>
      <w:r>
        <w:t>, Canberra.</w:t>
      </w:r>
    </w:p>
    <w:p w14:paraId="7954D52D" w14:textId="77777777" w:rsidR="009D6331" w:rsidRDefault="009D6331" w:rsidP="00DA18C2">
      <w:pPr>
        <w:pStyle w:val="Reference"/>
      </w:pPr>
      <w:r>
        <w:t xml:space="preserve">Northern Territory Government 2017, </w:t>
      </w:r>
      <w:r>
        <w:rPr>
          <w:i/>
          <w:iCs/>
        </w:rPr>
        <w:t>Budget Overview 2017-18</w:t>
      </w:r>
      <w:r>
        <w:t>, Darwin.</w:t>
      </w:r>
    </w:p>
    <w:p w14:paraId="7954D52E" w14:textId="77777777" w:rsidR="009D6331" w:rsidRDefault="009D6331" w:rsidP="00DA18C2">
      <w:pPr>
        <w:pStyle w:val="Reference"/>
      </w:pPr>
      <w:r>
        <w:t xml:space="preserve">NSW Government 2017, </w:t>
      </w:r>
      <w:r>
        <w:rPr>
          <w:i/>
          <w:iCs/>
        </w:rPr>
        <w:t>2017-18 Budget Paper No. 1 - Budget statement</w:t>
      </w:r>
      <w:r>
        <w:t>, Sydney.</w:t>
      </w:r>
    </w:p>
    <w:p w14:paraId="7954D52F" w14:textId="77777777" w:rsidR="009D6331" w:rsidRDefault="009D6331" w:rsidP="00DA18C2">
      <w:pPr>
        <w:pStyle w:val="Reference"/>
      </w:pPr>
      <w:r>
        <w:t xml:space="preserve">NSW Treasury 2018, </w:t>
      </w:r>
      <w:r>
        <w:rPr>
          <w:i/>
          <w:iCs/>
        </w:rPr>
        <w:t>Fire and Emergency Services Levy</w:t>
      </w:r>
      <w:r>
        <w:t xml:space="preserve">, </w:t>
      </w:r>
      <w:r w:rsidR="0034414C" w:rsidRPr="0034414C">
        <w:t>www.treasury.nsw.gov.au/</w:t>
      </w:r>
      <w:r w:rsidR="0034414C">
        <w:t xml:space="preserve"> </w:t>
      </w:r>
      <w:r>
        <w:t>projects-initiatives/fire-and-emergency-services-levy (accessed 8 March 2018).</w:t>
      </w:r>
    </w:p>
    <w:p w14:paraId="7954D530" w14:textId="77777777" w:rsidR="009D6331" w:rsidRDefault="009D6331" w:rsidP="00DA18C2">
      <w:pPr>
        <w:pStyle w:val="Reference"/>
      </w:pPr>
      <w:r>
        <w:t xml:space="preserve">NT Government 2017, </w:t>
      </w:r>
      <w:r>
        <w:rPr>
          <w:i/>
          <w:iCs/>
        </w:rPr>
        <w:t>2017-18 Budget Strategy and Outlook, Budget Paper No. 2</w:t>
      </w:r>
      <w:r>
        <w:t>.</w:t>
      </w:r>
    </w:p>
    <w:p w14:paraId="7954D531" w14:textId="77777777" w:rsidR="009D6331" w:rsidRDefault="009D6331" w:rsidP="00DA18C2">
      <w:pPr>
        <w:pStyle w:val="Reference"/>
      </w:pPr>
      <w:r>
        <w:t xml:space="preserve">O’Connor, A. 2016, </w:t>
      </w:r>
      <w:r>
        <w:rPr>
          <w:i/>
          <w:iCs/>
        </w:rPr>
        <w:t>Brendon Grylls Fires up on Mining Tax, with Plan to Target Commonwealth for More GST</w:t>
      </w:r>
      <w:r>
        <w:t>, 7 November, ABC News, www.abc.net.au/news/2016-11-07/grylls-sets-sights-on-commonwealth-over-gst-carve-up/8002080 (accessed 7 September 2017).</w:t>
      </w:r>
    </w:p>
    <w:p w14:paraId="7954D532" w14:textId="77777777" w:rsidR="009D6331" w:rsidRDefault="009D6331" w:rsidP="00DA18C2">
      <w:pPr>
        <w:pStyle w:val="Reference"/>
      </w:pPr>
      <w:r>
        <w:t xml:space="preserve">OECD (Organisation for Economic Cooperation and Development) 2006, </w:t>
      </w:r>
      <w:r>
        <w:rPr>
          <w:i/>
          <w:iCs/>
        </w:rPr>
        <w:t>Economic Surveys Germany 2006</w:t>
      </w:r>
      <w:r>
        <w:t>, Paris.</w:t>
      </w:r>
    </w:p>
    <w:p w14:paraId="7954D533" w14:textId="77777777" w:rsidR="009D6331" w:rsidRPr="00647FCC" w:rsidRDefault="0034414C" w:rsidP="00DA18C2">
      <w:pPr>
        <w:pStyle w:val="Reference"/>
        <w:rPr>
          <w:spacing w:val="-2"/>
        </w:rPr>
      </w:pPr>
      <w:r w:rsidRPr="00647FCC">
        <w:rPr>
          <w:spacing w:val="-2"/>
        </w:rPr>
        <w:t>—— </w:t>
      </w:r>
      <w:r w:rsidR="009D6331" w:rsidRPr="00647FCC">
        <w:rPr>
          <w:spacing w:val="-2"/>
        </w:rPr>
        <w:t xml:space="preserve">2010, ‘A Family Affair: Intergenerational Social Mobility across OECD Countries’, </w:t>
      </w:r>
      <w:r w:rsidR="009D6331" w:rsidRPr="00647FCC">
        <w:rPr>
          <w:i/>
          <w:iCs/>
          <w:spacing w:val="-2"/>
        </w:rPr>
        <w:t>Economic Policy Reforms: Going for Growth 2010</w:t>
      </w:r>
      <w:r w:rsidR="009D6331" w:rsidRPr="00647FCC">
        <w:rPr>
          <w:spacing w:val="-2"/>
        </w:rPr>
        <w:t>, OECD Publishing, Paris, pp. 181–198.</w:t>
      </w:r>
    </w:p>
    <w:p w14:paraId="7954D534" w14:textId="77777777" w:rsidR="0034414C" w:rsidRDefault="0034414C" w:rsidP="0034414C">
      <w:pPr>
        <w:pStyle w:val="Reference"/>
      </w:pPr>
      <w:r>
        <w:t xml:space="preserve">—— 2012, </w:t>
      </w:r>
      <w:r>
        <w:rPr>
          <w:i/>
          <w:iCs/>
        </w:rPr>
        <w:t>Budgeting levers, strategic agility and the use of performance budgeting in 2011/12</w:t>
      </w:r>
      <w:r>
        <w:t>, Working Party of Senior Budget Officials, GOV/PGC/SBO(2012)10, OECD, Paris.</w:t>
      </w:r>
    </w:p>
    <w:p w14:paraId="7954D535" w14:textId="77777777" w:rsidR="009D6331" w:rsidRDefault="0034414C" w:rsidP="00DA18C2">
      <w:pPr>
        <w:pStyle w:val="Reference"/>
      </w:pPr>
      <w:r>
        <w:t>—— </w:t>
      </w:r>
      <w:r w:rsidR="009D6331">
        <w:t xml:space="preserve">2013, </w:t>
      </w:r>
      <w:r w:rsidR="009D6331">
        <w:rPr>
          <w:i/>
          <w:iCs/>
        </w:rPr>
        <w:t>Fiscal Federalism 2014: Making Decentralisation Work</w:t>
      </w:r>
      <w:r w:rsidR="009D6331">
        <w:t>, Paris.</w:t>
      </w:r>
    </w:p>
    <w:p w14:paraId="7954D536" w14:textId="77777777" w:rsidR="009D6331" w:rsidRDefault="009D6331" w:rsidP="00DA18C2">
      <w:pPr>
        <w:pStyle w:val="Reference"/>
      </w:pPr>
      <w:r>
        <w:t xml:space="preserve">Okun, A. 2015, </w:t>
      </w:r>
      <w:r>
        <w:rPr>
          <w:i/>
          <w:iCs/>
        </w:rPr>
        <w:t>Equality and Efficiency: The Big Tradeoff</w:t>
      </w:r>
      <w:r>
        <w:t>, 2nd edn, Brookings Institution Press, Washington D.C.</w:t>
      </w:r>
    </w:p>
    <w:p w14:paraId="7954D537" w14:textId="77777777" w:rsidR="009D6331" w:rsidRDefault="009D6331" w:rsidP="00DA18C2">
      <w:pPr>
        <w:pStyle w:val="Reference"/>
      </w:pPr>
      <w:r>
        <w:t>Pallas, T. 2017, ‘Federalism - Where to from here?’, Presentation to McKell Institute Victoria.</w:t>
      </w:r>
    </w:p>
    <w:p w14:paraId="7954D538" w14:textId="77777777" w:rsidR="009D6331" w:rsidRDefault="009D6331" w:rsidP="00DA18C2">
      <w:pPr>
        <w:pStyle w:val="Reference"/>
      </w:pPr>
      <w:r>
        <w:lastRenderedPageBreak/>
        <w:t xml:space="preserve">Parker, G. 2013, ‘Howard empathy for WA over GST tumble’, Perth, </w:t>
      </w:r>
      <w:r>
        <w:rPr>
          <w:i/>
          <w:iCs/>
        </w:rPr>
        <w:t>The West Australian</w:t>
      </w:r>
      <w:r>
        <w:t>, 17 May, p. 6.</w:t>
      </w:r>
    </w:p>
    <w:p w14:paraId="7954D539" w14:textId="77777777" w:rsidR="009D6331" w:rsidRDefault="009D6331" w:rsidP="00DA18C2">
      <w:pPr>
        <w:pStyle w:val="Reference"/>
      </w:pPr>
      <w:r>
        <w:t xml:space="preserve">PBO (Parliamentary Budget Office) 2014, </w:t>
      </w:r>
      <w:r>
        <w:rPr>
          <w:i/>
          <w:iCs/>
        </w:rPr>
        <w:t>Trends in Australian Government receipts: 1982–83 to 2012–13</w:t>
      </w:r>
      <w:r>
        <w:t>, 01/2014, Parliament of Australia, Canberra.</w:t>
      </w:r>
    </w:p>
    <w:p w14:paraId="7954D53A" w14:textId="19C2BD17" w:rsidR="009D6331" w:rsidRPr="00647FCC" w:rsidRDefault="0034414C" w:rsidP="00DA18C2">
      <w:pPr>
        <w:pStyle w:val="Reference"/>
        <w:rPr>
          <w:spacing w:val="-4"/>
        </w:rPr>
      </w:pPr>
      <w:r w:rsidRPr="00647FCC">
        <w:rPr>
          <w:spacing w:val="-4"/>
        </w:rPr>
        <w:t>—— </w:t>
      </w:r>
      <w:r w:rsidR="009D6331" w:rsidRPr="00647FCC">
        <w:rPr>
          <w:spacing w:val="-4"/>
        </w:rPr>
        <w:t xml:space="preserve">2017, </w:t>
      </w:r>
      <w:r w:rsidR="009D6331" w:rsidRPr="00647FCC">
        <w:rPr>
          <w:i/>
          <w:iCs/>
          <w:spacing w:val="-4"/>
        </w:rPr>
        <w:t>Establishment, role and legislation</w:t>
      </w:r>
      <w:r w:rsidR="009D6331" w:rsidRPr="00647FCC">
        <w:rPr>
          <w:spacing w:val="-4"/>
        </w:rPr>
        <w:t>, http://www.aph.gov.au/About_Parliament/</w:t>
      </w:r>
      <w:r w:rsidR="00647FCC" w:rsidRPr="00647FCC">
        <w:rPr>
          <w:spacing w:val="-4"/>
        </w:rPr>
        <w:br/>
      </w:r>
      <w:r w:rsidR="009D6331" w:rsidRPr="00647FCC">
        <w:rPr>
          <w:spacing w:val="-4"/>
        </w:rPr>
        <w:t>Parliamentary_Departments/Parliamentary_Budget_Office/role (accessed 15 August 2017).</w:t>
      </w:r>
    </w:p>
    <w:p w14:paraId="7954D53B" w14:textId="1CCCA190" w:rsidR="009D6331" w:rsidRDefault="009D6331" w:rsidP="00DA18C2">
      <w:pPr>
        <w:pStyle w:val="Reference"/>
      </w:pPr>
      <w:r>
        <w:t xml:space="preserve">PC (Productivity Commission) 2004, </w:t>
      </w:r>
      <w:r>
        <w:rPr>
          <w:i/>
          <w:iCs/>
        </w:rPr>
        <w:t>First Home Ownership</w:t>
      </w:r>
      <w:r w:rsidR="00180A85">
        <w:t>, Report no. </w:t>
      </w:r>
      <w:r>
        <w:t>28, Canberra.</w:t>
      </w:r>
    </w:p>
    <w:p w14:paraId="7954D53C" w14:textId="5C85017C" w:rsidR="009D6331" w:rsidRDefault="00B31650" w:rsidP="00DA18C2">
      <w:pPr>
        <w:pStyle w:val="Reference"/>
      </w:pPr>
      <w:r>
        <w:t>—— </w:t>
      </w:r>
      <w:r w:rsidR="009D6331">
        <w:t xml:space="preserve">2005, </w:t>
      </w:r>
      <w:r w:rsidR="009D6331">
        <w:rPr>
          <w:i/>
          <w:iCs/>
        </w:rPr>
        <w:t>Review of National Competition Policy Reforms</w:t>
      </w:r>
      <w:r w:rsidR="00180A85">
        <w:t>, Report no. </w:t>
      </w:r>
      <w:r w:rsidR="009D6331">
        <w:t>33, Canberra.</w:t>
      </w:r>
    </w:p>
    <w:p w14:paraId="7954D53D" w14:textId="77777777" w:rsidR="009D6331" w:rsidRDefault="00B31650" w:rsidP="00DA18C2">
      <w:pPr>
        <w:pStyle w:val="Reference"/>
      </w:pPr>
      <w:r>
        <w:t>—— </w:t>
      </w:r>
      <w:r w:rsidR="009D6331">
        <w:t xml:space="preserve">2008, </w:t>
      </w:r>
      <w:r w:rsidR="009D6331">
        <w:rPr>
          <w:i/>
          <w:iCs/>
        </w:rPr>
        <w:t>Assessing Local Government Revenue Raising Capacity</w:t>
      </w:r>
      <w:r w:rsidR="009D6331">
        <w:t>, Research Report, Canberra.</w:t>
      </w:r>
    </w:p>
    <w:p w14:paraId="7954D53E" w14:textId="77777777" w:rsidR="009D6331" w:rsidRDefault="0034414C" w:rsidP="00DA18C2">
      <w:pPr>
        <w:pStyle w:val="Reference"/>
      </w:pPr>
      <w:r>
        <w:t>—— </w:t>
      </w:r>
      <w:r w:rsidR="009D6331">
        <w:t xml:space="preserve">2014a, </w:t>
      </w:r>
      <w:r w:rsidR="009D6331">
        <w:rPr>
          <w:i/>
          <w:iCs/>
        </w:rPr>
        <w:t>Geographic Labour Mobility</w:t>
      </w:r>
      <w:r w:rsidR="009D6331">
        <w:t>, Research Report, Canberra.</w:t>
      </w:r>
    </w:p>
    <w:p w14:paraId="7954D53F" w14:textId="3552128D" w:rsidR="009D6331" w:rsidRDefault="0034414C" w:rsidP="00DA18C2">
      <w:pPr>
        <w:pStyle w:val="Reference"/>
      </w:pPr>
      <w:r>
        <w:t>—— </w:t>
      </w:r>
      <w:r w:rsidR="009D6331">
        <w:t xml:space="preserve">2014b, </w:t>
      </w:r>
      <w:r w:rsidR="009D6331">
        <w:rPr>
          <w:i/>
          <w:iCs/>
        </w:rPr>
        <w:t>Natural Disaster Funding Arrangements</w:t>
      </w:r>
      <w:r w:rsidR="00180A85">
        <w:t>, Report no. </w:t>
      </w:r>
      <w:r w:rsidR="009D6331">
        <w:t>74, Canberra.</w:t>
      </w:r>
    </w:p>
    <w:p w14:paraId="7954D540" w14:textId="5D9144B1" w:rsidR="009D6331" w:rsidRDefault="00B31650" w:rsidP="00DA18C2">
      <w:pPr>
        <w:pStyle w:val="Reference"/>
      </w:pPr>
      <w:r>
        <w:t>—— </w:t>
      </w:r>
      <w:r w:rsidR="009D6331">
        <w:t xml:space="preserve">2014c, </w:t>
      </w:r>
      <w:r w:rsidR="009D6331">
        <w:rPr>
          <w:i/>
          <w:iCs/>
        </w:rPr>
        <w:t>Public Infrastructure</w:t>
      </w:r>
      <w:r w:rsidR="00180A85">
        <w:t>, Report no. </w:t>
      </w:r>
      <w:r w:rsidR="009D6331">
        <w:t>71, Canberra.</w:t>
      </w:r>
    </w:p>
    <w:p w14:paraId="7954D541" w14:textId="77777777" w:rsidR="009D6331" w:rsidRDefault="0034414C" w:rsidP="00DA18C2">
      <w:pPr>
        <w:pStyle w:val="Reference"/>
      </w:pPr>
      <w:r>
        <w:t>—— </w:t>
      </w:r>
      <w:r w:rsidR="009D6331">
        <w:t xml:space="preserve">2016, </w:t>
      </w:r>
      <w:r w:rsidR="009D6331">
        <w:rPr>
          <w:i/>
          <w:iCs/>
        </w:rPr>
        <w:t>Migrant Intake into Australia</w:t>
      </w:r>
      <w:r w:rsidR="009D6331">
        <w:t>, Inquiry Report No. 77, April, Canberra.</w:t>
      </w:r>
    </w:p>
    <w:p w14:paraId="7954D542" w14:textId="77777777" w:rsidR="009D6331" w:rsidRDefault="0034414C" w:rsidP="00DA18C2">
      <w:pPr>
        <w:pStyle w:val="Reference"/>
      </w:pPr>
      <w:r>
        <w:t>—— </w:t>
      </w:r>
      <w:r w:rsidR="009D6331">
        <w:t xml:space="preserve">2017a, </w:t>
      </w:r>
      <w:r w:rsidR="009D6331">
        <w:rPr>
          <w:i/>
          <w:iCs/>
        </w:rPr>
        <w:t>Commonwealth-State Relations, Shifting the Dial: 5 year Productivity Review</w:t>
      </w:r>
      <w:r w:rsidR="009D6331">
        <w:t>, Supporting paper, August, 14, Productivity Commission.</w:t>
      </w:r>
    </w:p>
    <w:p w14:paraId="7954D543" w14:textId="637D92D4" w:rsidR="009D6331" w:rsidRDefault="0034414C" w:rsidP="00DA18C2">
      <w:pPr>
        <w:pStyle w:val="Reference"/>
      </w:pPr>
      <w:r>
        <w:t>—— </w:t>
      </w:r>
      <w:r w:rsidR="009D6331">
        <w:t xml:space="preserve">2017b, </w:t>
      </w:r>
      <w:r w:rsidR="009D6331">
        <w:rPr>
          <w:i/>
          <w:iCs/>
        </w:rPr>
        <w:t>Data Availability and Use</w:t>
      </w:r>
      <w:r w:rsidR="00180A85">
        <w:t>, Report no. </w:t>
      </w:r>
      <w:r w:rsidR="009D6331">
        <w:t>82, Canberra.</w:t>
      </w:r>
    </w:p>
    <w:p w14:paraId="7954D544" w14:textId="77777777" w:rsidR="009D6331" w:rsidRDefault="00B31650" w:rsidP="00DA18C2">
      <w:pPr>
        <w:pStyle w:val="Reference"/>
      </w:pPr>
      <w:r>
        <w:t>—— </w:t>
      </w:r>
      <w:r w:rsidR="009D6331">
        <w:t xml:space="preserve">2017c, </w:t>
      </w:r>
      <w:r w:rsidR="009D6331">
        <w:rPr>
          <w:i/>
          <w:iCs/>
        </w:rPr>
        <w:t>Local Government, Shifting the Dial: 5 year Productivity Review</w:t>
      </w:r>
      <w:r w:rsidR="009D6331">
        <w:t>, Supporting paper, 16, Canberra.</w:t>
      </w:r>
    </w:p>
    <w:p w14:paraId="7954D545" w14:textId="4F8A23A9" w:rsidR="009D6331" w:rsidRDefault="009D6331" w:rsidP="00DA18C2">
      <w:pPr>
        <w:pStyle w:val="Reference"/>
      </w:pPr>
      <w:r>
        <w:t>——</w:t>
      </w:r>
      <w:r w:rsidR="00B31650">
        <w:t> </w:t>
      </w:r>
      <w:r>
        <w:t xml:space="preserve">2017d, </w:t>
      </w:r>
      <w:r>
        <w:rPr>
          <w:i/>
          <w:iCs/>
        </w:rPr>
        <w:t>Shifting the Dial: 5 Year Productivity Review</w:t>
      </w:r>
      <w:r w:rsidR="00180A85">
        <w:t>, Report no. </w:t>
      </w:r>
      <w:r>
        <w:t>84, Canberra.</w:t>
      </w:r>
    </w:p>
    <w:p w14:paraId="7954D546" w14:textId="77777777" w:rsidR="009D6331" w:rsidRDefault="0034414C" w:rsidP="00DA18C2">
      <w:pPr>
        <w:pStyle w:val="Reference"/>
      </w:pPr>
      <w:r>
        <w:t>—— </w:t>
      </w:r>
      <w:r w:rsidR="009D6331">
        <w:t xml:space="preserve">2017e, </w:t>
      </w:r>
      <w:r w:rsidR="009D6331">
        <w:rPr>
          <w:i/>
          <w:iCs/>
        </w:rPr>
        <w:t>Transitioning Regional Economies</w:t>
      </w:r>
      <w:r w:rsidR="009D6331">
        <w:t>, Initial Report, April, Canberra.</w:t>
      </w:r>
    </w:p>
    <w:p w14:paraId="7954D547" w14:textId="77777777" w:rsidR="009D6331" w:rsidRDefault="0034414C" w:rsidP="00DA18C2">
      <w:pPr>
        <w:pStyle w:val="Reference"/>
      </w:pPr>
      <w:r>
        <w:t>—— </w:t>
      </w:r>
      <w:r w:rsidR="009D6331">
        <w:t xml:space="preserve">2017f, </w:t>
      </w:r>
      <w:r w:rsidR="009D6331">
        <w:rPr>
          <w:i/>
          <w:iCs/>
        </w:rPr>
        <w:t>Transitioning Regional Economies</w:t>
      </w:r>
      <w:r w:rsidR="009D6331">
        <w:t>, Study Report, Canberra.</w:t>
      </w:r>
    </w:p>
    <w:p w14:paraId="7954D548" w14:textId="77777777" w:rsidR="009D6331" w:rsidRDefault="0034414C" w:rsidP="00DA18C2">
      <w:pPr>
        <w:pStyle w:val="Reference"/>
      </w:pPr>
      <w:r>
        <w:t>—— </w:t>
      </w:r>
      <w:r w:rsidR="009D6331">
        <w:t xml:space="preserve">2018, </w:t>
      </w:r>
      <w:r w:rsidR="009D6331">
        <w:rPr>
          <w:i/>
          <w:iCs/>
        </w:rPr>
        <w:t>Competition in the Australian Financial System</w:t>
      </w:r>
      <w:r w:rsidR="009D6331">
        <w:t>, Draft Report, Canberra.</w:t>
      </w:r>
    </w:p>
    <w:p w14:paraId="7954D549" w14:textId="42BFFC4D" w:rsidR="009D6331" w:rsidRDefault="009D6331" w:rsidP="00DA18C2">
      <w:pPr>
        <w:pStyle w:val="Reference"/>
      </w:pPr>
      <w:r>
        <w:t xml:space="preserve">Perrottet, D. 2017, </w:t>
      </w:r>
      <w:r>
        <w:rPr>
          <w:i/>
          <w:iCs/>
        </w:rPr>
        <w:t>Board of Treasurers Meets for the First Time</w:t>
      </w:r>
      <w:r w:rsidR="00180A85">
        <w:t>, Media release, 22 </w:t>
      </w:r>
      <w:r>
        <w:t>November, Adelaide.</w:t>
      </w:r>
    </w:p>
    <w:p w14:paraId="7954D54A" w14:textId="77777777" w:rsidR="009D6331" w:rsidRDefault="009D6331" w:rsidP="00DA18C2">
      <w:pPr>
        <w:pStyle w:val="Reference"/>
      </w:pPr>
      <w:r>
        <w:t xml:space="preserve">Petchey, J.D. 2017, ‘Inter-regional transfers and the induced under-taxation of economic rents’, </w:t>
      </w:r>
      <w:r>
        <w:rPr>
          <w:i/>
          <w:iCs/>
        </w:rPr>
        <w:t>Regional Studies</w:t>
      </w:r>
      <w:r>
        <w:t>, pp. 1–11.</w:t>
      </w:r>
    </w:p>
    <w:p w14:paraId="7954D54B" w14:textId="77777777" w:rsidR="009D6331" w:rsidRDefault="009D6331" w:rsidP="00DA18C2">
      <w:pPr>
        <w:pStyle w:val="Reference"/>
      </w:pPr>
      <w:r>
        <w:t xml:space="preserve">Philipatos, A. 2015, </w:t>
      </w:r>
      <w:r>
        <w:rPr>
          <w:i/>
          <w:iCs/>
        </w:rPr>
        <w:t>Withholding dividends: Better ways to make the public sector efficient</w:t>
      </w:r>
      <w:r>
        <w:t>, Target30, Centre for Independent Studies.</w:t>
      </w:r>
    </w:p>
    <w:p w14:paraId="7954D54C" w14:textId="77777777" w:rsidR="009D6331" w:rsidRDefault="009D6331" w:rsidP="00DA18C2">
      <w:pPr>
        <w:pStyle w:val="Reference"/>
      </w:pPr>
      <w:r>
        <w:t xml:space="preserve">Pincus, J. 2011, </w:t>
      </w:r>
      <w:r>
        <w:rPr>
          <w:i/>
          <w:iCs/>
        </w:rPr>
        <w:t>Examining Horizontal Fiscal Equalisation in Australia</w:t>
      </w:r>
      <w:r>
        <w:t>, Research Paper No. 2011-25, University of Adelaide School of Economics, Adelaide.</w:t>
      </w:r>
    </w:p>
    <w:p w14:paraId="7954D54D" w14:textId="77777777" w:rsidR="009D6331" w:rsidRDefault="009D6331" w:rsidP="00DA18C2">
      <w:pPr>
        <w:pStyle w:val="Reference"/>
      </w:pPr>
      <w:r>
        <w:t xml:space="preserve">Pincus, J. 2012, </w:t>
      </w:r>
      <w:r>
        <w:rPr>
          <w:i/>
          <w:iCs/>
        </w:rPr>
        <w:t>Summary of a Workshop on the GST Distribution held in Canberra 23 July 2012</w:t>
      </w:r>
      <w:r>
        <w:t>, Submission to the Review of GST Distribution (Response to the First and Second Interim Reports), Canberra.</w:t>
      </w:r>
    </w:p>
    <w:p w14:paraId="7954D54E" w14:textId="77777777" w:rsidR="009D6331" w:rsidRDefault="009D6331" w:rsidP="00DA18C2">
      <w:pPr>
        <w:pStyle w:val="Reference"/>
      </w:pPr>
      <w:r>
        <w:t xml:space="preserve">Porter, C. 2011, </w:t>
      </w:r>
      <w:r>
        <w:rPr>
          <w:i/>
          <w:iCs/>
        </w:rPr>
        <w:t>Budget Speech 2011-12</w:t>
      </w:r>
      <w:r>
        <w:t>, Government of Western Australia, Perth.</w:t>
      </w:r>
    </w:p>
    <w:p w14:paraId="7954D54F" w14:textId="77777777" w:rsidR="009D6331" w:rsidRDefault="009D6331" w:rsidP="00DA18C2">
      <w:pPr>
        <w:pStyle w:val="Reference"/>
      </w:pPr>
      <w:r>
        <w:lastRenderedPageBreak/>
        <w:t xml:space="preserve">QGSO (Queensland Government Statistician’s Office) 2016, </w:t>
      </w:r>
      <w:r>
        <w:rPr>
          <w:i/>
          <w:iCs/>
        </w:rPr>
        <w:t>Australian Gambling Statistics: 1989-90 to 2014-15</w:t>
      </w:r>
      <w:r>
        <w:t>, 32nd edition, Brisbane.</w:t>
      </w:r>
    </w:p>
    <w:p w14:paraId="7954D550" w14:textId="77777777" w:rsidR="009D6331" w:rsidRDefault="009D6331" w:rsidP="00DA18C2">
      <w:pPr>
        <w:pStyle w:val="Reference"/>
      </w:pPr>
      <w:r>
        <w:t xml:space="preserve">Queensland Government 2013, </w:t>
      </w:r>
      <w:r>
        <w:rPr>
          <w:i/>
          <w:iCs/>
        </w:rPr>
        <w:t>Budget 2013-14: Queensland’s Natural Disasters</w:t>
      </w:r>
      <w:r>
        <w:t>, Budget Papers, Brisbane.</w:t>
      </w:r>
    </w:p>
    <w:p w14:paraId="7954D551" w14:textId="788CB45A" w:rsidR="009D6331" w:rsidRDefault="00D216A9" w:rsidP="00DA18C2">
      <w:pPr>
        <w:pStyle w:val="Reference"/>
      </w:pPr>
      <w:r>
        <w:t xml:space="preserve">—— </w:t>
      </w:r>
      <w:r w:rsidR="009D6331">
        <w:t xml:space="preserve">2017, </w:t>
      </w:r>
      <w:r w:rsidR="009D6331">
        <w:rPr>
          <w:i/>
          <w:iCs/>
        </w:rPr>
        <w:t>Response to Staff Discussion Paper CGC 2017-02-S: The Principle of HFE and its Implementation</w:t>
      </w:r>
      <w:r w:rsidR="009D6331">
        <w:t>, July.</w:t>
      </w:r>
    </w:p>
    <w:p w14:paraId="7954D552" w14:textId="77777777" w:rsidR="009D6331" w:rsidRDefault="009D6331" w:rsidP="00DA18C2">
      <w:pPr>
        <w:pStyle w:val="Reference"/>
      </w:pPr>
      <w:r>
        <w:t xml:space="preserve">Queensland Treasury 2006, </w:t>
      </w:r>
      <w:r>
        <w:rPr>
          <w:i/>
          <w:iCs/>
        </w:rPr>
        <w:t>Queensland Treasury Response to Commonwealth Grants Commission Issues Paper 2006/03: Architecture of Horizontal Fiscal Equalisation: Principles and Interpretation</w:t>
      </w:r>
      <w:r>
        <w:t>, June, Brisbane.</w:t>
      </w:r>
    </w:p>
    <w:p w14:paraId="7954D553" w14:textId="77777777" w:rsidR="009D6331" w:rsidRDefault="009D6331" w:rsidP="00DA18C2">
      <w:pPr>
        <w:pStyle w:val="Reference"/>
      </w:pPr>
      <w:r>
        <w:t xml:space="preserve">RBA (Reserve Bank of Australia) 2017a, </w:t>
      </w:r>
      <w:r>
        <w:rPr>
          <w:i/>
          <w:iCs/>
        </w:rPr>
        <w:t>Accountability</w:t>
      </w:r>
      <w:r>
        <w:t>, Reserve Bank of Australia, http://www.rba.gov.au/about-rba/accountability.html (accessed 15 August 2017).</w:t>
      </w:r>
    </w:p>
    <w:p w14:paraId="7954D554" w14:textId="5A3EFA73" w:rsidR="009D6331" w:rsidRDefault="00D216A9" w:rsidP="00DA18C2">
      <w:pPr>
        <w:pStyle w:val="Reference"/>
      </w:pPr>
      <w:r>
        <w:t>——</w:t>
      </w:r>
      <w:r w:rsidR="009D6331">
        <w:t xml:space="preserve"> 2017b, </w:t>
      </w:r>
      <w:r w:rsidR="009D6331">
        <w:rPr>
          <w:i/>
          <w:iCs/>
        </w:rPr>
        <w:t xml:space="preserve">Consumer Price Inflation </w:t>
      </w:r>
      <w:r w:rsidR="00647FCC">
        <w:rPr>
          <w:i/>
          <w:iCs/>
        </w:rPr>
        <w:t>—</w:t>
      </w:r>
      <w:r w:rsidR="009D6331">
        <w:rPr>
          <w:i/>
          <w:iCs/>
        </w:rPr>
        <w:t xml:space="preserve"> G1</w:t>
      </w:r>
      <w:r w:rsidR="009D6331">
        <w:t>, http://www.rba.gov.au/statistics/tables/ (accessed 29 August 2017).</w:t>
      </w:r>
    </w:p>
    <w:p w14:paraId="7954D555" w14:textId="77777777" w:rsidR="009D6331" w:rsidRDefault="009D6331" w:rsidP="00DA18C2">
      <w:pPr>
        <w:pStyle w:val="Reference"/>
      </w:pPr>
      <w:r>
        <w:t xml:space="preserve">Reinhardt, S. and Steel, L. 2006, ‘A brief history of Australia’s tax system’, </w:t>
      </w:r>
      <w:r>
        <w:rPr>
          <w:i/>
          <w:iCs/>
        </w:rPr>
        <w:t>Economic Roundup</w:t>
      </w:r>
      <w:r>
        <w:t>, Winter.</w:t>
      </w:r>
    </w:p>
    <w:p w14:paraId="7954D556" w14:textId="77777777" w:rsidR="009D6331" w:rsidRDefault="009D6331" w:rsidP="00DA18C2">
      <w:pPr>
        <w:pStyle w:val="Reference"/>
      </w:pPr>
      <w:r>
        <w:t xml:space="preserve">Roemer, J. 1998, </w:t>
      </w:r>
      <w:r>
        <w:rPr>
          <w:i/>
          <w:iCs/>
        </w:rPr>
        <w:t>Equality of Opportunity</w:t>
      </w:r>
      <w:r>
        <w:t>, Harvard University Press, Cambridge, Massachusetts.</w:t>
      </w:r>
    </w:p>
    <w:p w14:paraId="7954D557" w14:textId="77777777" w:rsidR="009D6331" w:rsidRDefault="009D6331" w:rsidP="00DA18C2">
      <w:pPr>
        <w:pStyle w:val="Reference"/>
      </w:pPr>
      <w:r>
        <w:t xml:space="preserve">Romer, P. 1986, ‘Increasing returns and long-run growth’, </w:t>
      </w:r>
      <w:r>
        <w:rPr>
          <w:i/>
          <w:iCs/>
        </w:rPr>
        <w:t>Journal of Political Economy</w:t>
      </w:r>
      <w:r>
        <w:t>, vol. 94, no. 5, pp. 1002–1037.</w:t>
      </w:r>
    </w:p>
    <w:p w14:paraId="7954D558" w14:textId="77777777" w:rsidR="009D6331" w:rsidRDefault="009D6331" w:rsidP="00DA18C2">
      <w:pPr>
        <w:pStyle w:val="Reference"/>
      </w:pPr>
      <w:r>
        <w:t xml:space="preserve">Ross, C. and Darby, P. 2013, </w:t>
      </w:r>
      <w:r>
        <w:rPr>
          <w:i/>
          <w:iCs/>
        </w:rPr>
        <w:t>Unconventional Gas: Coal Seam Gas, Shale Gas and Tight Gas</w:t>
      </w:r>
      <w:r>
        <w:t>, Research Paper No. 2, Parliamentary Library, Parliament of Victoria, Melbourne.</w:t>
      </w:r>
    </w:p>
    <w:p w14:paraId="7954D559" w14:textId="77777777" w:rsidR="009D6331" w:rsidRDefault="009D6331" w:rsidP="00DA18C2">
      <w:pPr>
        <w:pStyle w:val="Reference"/>
      </w:pPr>
      <w:r>
        <w:t xml:space="preserve">SA Government 2012, </w:t>
      </w:r>
      <w:r>
        <w:rPr>
          <w:i/>
          <w:iCs/>
        </w:rPr>
        <w:t>South Australian Government Response to the GST Distribution Review Interim Reports</w:t>
      </w:r>
      <w:r>
        <w:t>, Adelaide.</w:t>
      </w:r>
    </w:p>
    <w:p w14:paraId="7954D55A" w14:textId="77777777" w:rsidR="009D6331" w:rsidRDefault="009D6331" w:rsidP="00DA18C2">
      <w:pPr>
        <w:pStyle w:val="Reference"/>
      </w:pPr>
      <w:r>
        <w:t xml:space="preserve">SCARC (Senate Community Affairs References Committee) 2014, </w:t>
      </w:r>
      <w:r>
        <w:rPr>
          <w:i/>
          <w:iCs/>
        </w:rPr>
        <w:t>Bridging our growing divide: inequality in Australia</w:t>
      </w:r>
      <w:r>
        <w:t>, Inquiry into the extent of income inequality in Australia, Parliament of Australia, Canberra.</w:t>
      </w:r>
    </w:p>
    <w:p w14:paraId="7954D55B" w14:textId="77777777" w:rsidR="009D6331" w:rsidRDefault="009D6331" w:rsidP="00DA18C2">
      <w:pPr>
        <w:pStyle w:val="Reference"/>
      </w:pPr>
      <w:r>
        <w:t xml:space="preserve">SCRGSP (Steering Committee for the Review of Government Service Provision) 2016, </w:t>
      </w:r>
      <w:r>
        <w:rPr>
          <w:i/>
          <w:iCs/>
        </w:rPr>
        <w:t>Overcoming Indigenous Disadvantage: Key Indicators 2016</w:t>
      </w:r>
      <w:r>
        <w:t>.</w:t>
      </w:r>
    </w:p>
    <w:p w14:paraId="7954D55C" w14:textId="77777777" w:rsidR="009D6331" w:rsidRDefault="009D6331" w:rsidP="00DA18C2">
      <w:pPr>
        <w:pStyle w:val="Reference"/>
      </w:pPr>
      <w:r>
        <w:t xml:space="preserve">Shah, A. 2005, </w:t>
      </w:r>
      <w:r>
        <w:rPr>
          <w:i/>
          <w:iCs/>
        </w:rPr>
        <w:t>A Framework for Evaluating Alternate Institutional Arrangements for Fiscal Equalization Transfers</w:t>
      </w:r>
      <w:r>
        <w:t>, World Bank</w:t>
      </w:r>
      <w:r w:rsidR="005011EB">
        <w:t>, Washing</w:t>
      </w:r>
      <w:r w:rsidR="004E4E06">
        <w:t>ton, D.C</w:t>
      </w:r>
      <w:r>
        <w:t>.</w:t>
      </w:r>
    </w:p>
    <w:p w14:paraId="7954D55D" w14:textId="77777777" w:rsidR="009D6331" w:rsidRDefault="00B31650" w:rsidP="00DA18C2">
      <w:pPr>
        <w:pStyle w:val="Reference"/>
      </w:pPr>
      <w:r>
        <w:t>—— </w:t>
      </w:r>
      <w:r w:rsidR="009D6331">
        <w:t xml:space="preserve">2006, </w:t>
      </w:r>
      <w:r w:rsidR="009D6331">
        <w:rPr>
          <w:i/>
          <w:iCs/>
        </w:rPr>
        <w:t>A Practitioner’s Guide to Intergovernmental Fiscal Transfers</w:t>
      </w:r>
      <w:r w:rsidR="009D6331">
        <w:t>, Policy, Research working paper, WPS 4039, World Bank, Washington, D.C.</w:t>
      </w:r>
    </w:p>
    <w:p w14:paraId="7954D55E" w14:textId="77777777" w:rsidR="009D6331" w:rsidRDefault="00B31650" w:rsidP="00DA18C2">
      <w:pPr>
        <w:pStyle w:val="Reference"/>
      </w:pPr>
      <w:r>
        <w:t>—— </w:t>
      </w:r>
      <w:r w:rsidR="009D6331">
        <w:t>2012, ‘Lessons from Worldwide Practices of Intergovernmental Fiscal Transfers’, http://www.ceeapla.uac.pt/views/economicCrisis/A%20Reconsideration%20of%20Transfer%20Systems%20-%20Shah.pdf (accessed 22 September 2017).</w:t>
      </w:r>
    </w:p>
    <w:p w14:paraId="7954D55F" w14:textId="77777777" w:rsidR="009D6331" w:rsidRDefault="00B31650" w:rsidP="00DA18C2">
      <w:pPr>
        <w:pStyle w:val="Reference"/>
      </w:pPr>
      <w:r>
        <w:t>—— </w:t>
      </w:r>
      <w:r w:rsidR="009D6331">
        <w:t>2014, ‘Principles and the Practice of Fiscal Equalization Transfers with special emphasis on Solidarity or Robin Hood Programs’, Warsaw, Poland.</w:t>
      </w:r>
    </w:p>
    <w:p w14:paraId="7954D560" w14:textId="77777777" w:rsidR="009D6331" w:rsidRDefault="009D6331" w:rsidP="00DA18C2">
      <w:pPr>
        <w:pStyle w:val="Reference"/>
      </w:pPr>
      <w:r>
        <w:lastRenderedPageBreak/>
        <w:t xml:space="preserve">Simpson, R. and Figgis, H. 1998, </w:t>
      </w:r>
      <w:r>
        <w:rPr>
          <w:i/>
          <w:iCs/>
        </w:rPr>
        <w:t>Land Tax in New South Wales</w:t>
      </w:r>
      <w:r>
        <w:t>, Briefing Paper, No. 6/98, NSW Parliamentary Library Research Service, Sydney.</w:t>
      </w:r>
    </w:p>
    <w:p w14:paraId="7954D561" w14:textId="77777777" w:rsidR="009D6331" w:rsidRDefault="009D6331" w:rsidP="00DA18C2">
      <w:pPr>
        <w:pStyle w:val="Reference"/>
      </w:pPr>
      <w:r>
        <w:t xml:space="preserve">Smart, M. 2004, ‘Equalization and stabilization’, </w:t>
      </w:r>
      <w:r>
        <w:rPr>
          <w:i/>
          <w:iCs/>
        </w:rPr>
        <w:t>Canadian Public Policy/Analyse de Politiques</w:t>
      </w:r>
      <w:r>
        <w:t>, pp. 195–208.</w:t>
      </w:r>
    </w:p>
    <w:p w14:paraId="7954D562" w14:textId="77777777" w:rsidR="009D6331" w:rsidRDefault="009D6331" w:rsidP="00DA18C2">
      <w:pPr>
        <w:pStyle w:val="Reference"/>
      </w:pPr>
      <w:r>
        <w:t xml:space="preserve">Smith, J. 2015, </w:t>
      </w:r>
      <w:r>
        <w:rPr>
          <w:i/>
          <w:iCs/>
        </w:rPr>
        <w:t>Australian State income tax during the interwar years - Implications of economic integration for financing social services</w:t>
      </w:r>
      <w:r>
        <w:t>, Presentation to Crawford School of Public Policy conference, 27 April, Australian National University, Canberra.</w:t>
      </w:r>
    </w:p>
    <w:p w14:paraId="7954D563" w14:textId="77777777" w:rsidR="009D6331" w:rsidRDefault="009D6331" w:rsidP="00DA18C2">
      <w:pPr>
        <w:pStyle w:val="Reference"/>
      </w:pPr>
      <w:r>
        <w:t xml:space="preserve">Smith, T. 2014, ‘Roles and responsibilities in the Federation’, </w:t>
      </w:r>
      <w:r>
        <w:rPr>
          <w:i/>
          <w:iCs/>
        </w:rPr>
        <w:t>A Federation for the 21st Century</w:t>
      </w:r>
      <w:r>
        <w:t>, CEDA.</w:t>
      </w:r>
    </w:p>
    <w:p w14:paraId="7954D564" w14:textId="77777777" w:rsidR="009D6331" w:rsidRDefault="009D6331" w:rsidP="00DA18C2">
      <w:pPr>
        <w:pStyle w:val="Reference"/>
      </w:pPr>
      <w:r>
        <w:t xml:space="preserve">Starmans, C., Sheskin, M. and Bloom, P. 2017, ‘Why people prefer unequal societies’, </w:t>
      </w:r>
      <w:r>
        <w:rPr>
          <w:i/>
          <w:iCs/>
        </w:rPr>
        <w:t>Nature Human Behaviour</w:t>
      </w:r>
      <w:r>
        <w:t>, vol. 1, no. 4, pp. 1–7.</w:t>
      </w:r>
    </w:p>
    <w:p w14:paraId="7954D565" w14:textId="6AB0AB6D" w:rsidR="009D6331" w:rsidRDefault="009D6331" w:rsidP="00DA18C2">
      <w:pPr>
        <w:pStyle w:val="Reference"/>
      </w:pPr>
      <w:r>
        <w:t xml:space="preserve">Stewart, M. 2017, ‘Two ideas for renewal of Australia’s fiscal federal democracy’, </w:t>
      </w:r>
      <w:r>
        <w:rPr>
          <w:i/>
          <w:iCs/>
        </w:rPr>
        <w:t>A People’s Federation</w:t>
      </w:r>
      <w:r w:rsidR="002D7A67">
        <w:t>, Federation Press</w:t>
      </w:r>
      <w:r>
        <w:t>.</w:t>
      </w:r>
    </w:p>
    <w:p w14:paraId="7954D566" w14:textId="77777777" w:rsidR="009D6331" w:rsidRDefault="009D6331" w:rsidP="00DA18C2">
      <w:pPr>
        <w:pStyle w:val="Reference"/>
      </w:pPr>
      <w:r>
        <w:t xml:space="preserve">Swan, W. 2013, </w:t>
      </w:r>
      <w:r>
        <w:rPr>
          <w:i/>
          <w:iCs/>
        </w:rPr>
        <w:t>Terms of Reference for the 2015 Methodology Review</w:t>
      </w:r>
      <w:r>
        <w:t>, Office of the Treasurer, Canberra.</w:t>
      </w:r>
    </w:p>
    <w:p w14:paraId="7954D567" w14:textId="77777777" w:rsidR="009D6331" w:rsidRDefault="009D6331" w:rsidP="00DA18C2">
      <w:pPr>
        <w:pStyle w:val="Reference"/>
      </w:pPr>
      <w:r>
        <w:t xml:space="preserve">Tasmanian Government 2017, </w:t>
      </w:r>
      <w:r>
        <w:rPr>
          <w:i/>
          <w:iCs/>
        </w:rPr>
        <w:t>The Budget — Budget Paper No. 1</w:t>
      </w:r>
      <w:r>
        <w:t>, Parliament of Tasmania, Hobart.</w:t>
      </w:r>
    </w:p>
    <w:p w14:paraId="7954D568" w14:textId="77777777" w:rsidR="009D6331" w:rsidRDefault="009D6331" w:rsidP="00DA18C2">
      <w:pPr>
        <w:pStyle w:val="Reference"/>
      </w:pPr>
      <w:r>
        <w:t xml:space="preserve">Tooth, R. 2015, </w:t>
      </w:r>
      <w:r>
        <w:rPr>
          <w:i/>
          <w:iCs/>
        </w:rPr>
        <w:t>Analysis of Demand for Home and Contents Insurance</w:t>
      </w:r>
      <w:r>
        <w:t>, Report to the Insurance Council of Australia, Sapere Research Group, Sydney.</w:t>
      </w:r>
    </w:p>
    <w:p w14:paraId="7954D56A" w14:textId="77777777" w:rsidR="009D6331" w:rsidRDefault="009D6331" w:rsidP="00DA18C2">
      <w:pPr>
        <w:pStyle w:val="Reference"/>
      </w:pPr>
      <w:r>
        <w:t xml:space="preserve">Turnbull, M. and McGowan, M. 2018, </w:t>
      </w:r>
      <w:r>
        <w:rPr>
          <w:i/>
          <w:iCs/>
        </w:rPr>
        <w:t>Media Release: Major jobs and infrastructure boost for Western Australia</w:t>
      </w:r>
      <w:r>
        <w:t>, https://www.pm.gov.au/media/major-jobs-and-infrastructure-boost-western-australia (accessed 7 May 2018).</w:t>
      </w:r>
    </w:p>
    <w:p w14:paraId="7954D56B" w14:textId="77777777" w:rsidR="009D6331" w:rsidRDefault="009D6331" w:rsidP="00DA18C2">
      <w:pPr>
        <w:pStyle w:val="Reference"/>
      </w:pPr>
      <w:r>
        <w:t xml:space="preserve">Twomey, A. 2014, </w:t>
      </w:r>
      <w:r>
        <w:rPr>
          <w:i/>
          <w:iCs/>
        </w:rPr>
        <w:t>Public Money: Federal-State Relations and the Constitutional Limits on Spending Public Money</w:t>
      </w:r>
      <w:r>
        <w:t>, March, Report No. 4, 2014, University of Sydney.</w:t>
      </w:r>
    </w:p>
    <w:p w14:paraId="7954D56C" w14:textId="77777777" w:rsidR="009D6331" w:rsidRDefault="009D6331" w:rsidP="00DA18C2">
      <w:pPr>
        <w:pStyle w:val="Reference"/>
      </w:pPr>
      <w:r>
        <w:t xml:space="preserve">Victorian Government 2011, </w:t>
      </w:r>
      <w:r>
        <w:rPr>
          <w:i/>
          <w:iCs/>
        </w:rPr>
        <w:t>Submission to the GST Distribution Review (Issues Paper)</w:t>
      </w:r>
      <w:r>
        <w:t>, Melbourne.</w:t>
      </w:r>
    </w:p>
    <w:p w14:paraId="7954D56D" w14:textId="77777777" w:rsidR="009D6331" w:rsidRDefault="009D6331" w:rsidP="00DA18C2">
      <w:pPr>
        <w:pStyle w:val="Reference"/>
      </w:pPr>
      <w:r>
        <w:t xml:space="preserve">WA Government 2000, </w:t>
      </w:r>
      <w:r>
        <w:rPr>
          <w:i/>
          <w:iCs/>
        </w:rPr>
        <w:t>Budget Overview 2000-01</w:t>
      </w:r>
      <w:r>
        <w:t>, Perth.</w:t>
      </w:r>
    </w:p>
    <w:p w14:paraId="7954D56E" w14:textId="652F8F02" w:rsidR="009D6331" w:rsidRDefault="00832207" w:rsidP="00DA18C2">
      <w:pPr>
        <w:pStyle w:val="Reference"/>
      </w:pPr>
      <w:r>
        <w:t xml:space="preserve">—— </w:t>
      </w:r>
      <w:r w:rsidR="009D6331">
        <w:t xml:space="preserve">2008, </w:t>
      </w:r>
      <w:r w:rsidR="009D6331">
        <w:rPr>
          <w:i/>
          <w:iCs/>
        </w:rPr>
        <w:t>Annual Report on State Finances 2007-08</w:t>
      </w:r>
      <w:r w:rsidR="009D6331">
        <w:t>, Perth.</w:t>
      </w:r>
    </w:p>
    <w:p w14:paraId="7954D56F" w14:textId="77777777" w:rsidR="009D6331" w:rsidRDefault="00BD52E3" w:rsidP="00DA18C2">
      <w:pPr>
        <w:pStyle w:val="Reference"/>
      </w:pPr>
      <w:r>
        <w:t>—— </w:t>
      </w:r>
      <w:r w:rsidR="009D6331">
        <w:t xml:space="preserve">2011a, </w:t>
      </w:r>
      <w:r w:rsidR="009D6331">
        <w:rPr>
          <w:i/>
          <w:iCs/>
        </w:rPr>
        <w:t>2011-12 Budget — Paper No. 3</w:t>
      </w:r>
      <w:r w:rsidR="009D6331">
        <w:t>, Perth.</w:t>
      </w:r>
    </w:p>
    <w:p w14:paraId="7954D570" w14:textId="77777777" w:rsidR="009D6331" w:rsidRDefault="00BD52E3" w:rsidP="00DA18C2">
      <w:pPr>
        <w:pStyle w:val="Reference"/>
      </w:pPr>
      <w:r>
        <w:t>—— </w:t>
      </w:r>
      <w:r w:rsidR="009D6331">
        <w:t xml:space="preserve">2011b, </w:t>
      </w:r>
      <w:r w:rsidR="009D6331">
        <w:rPr>
          <w:i/>
          <w:iCs/>
        </w:rPr>
        <w:t>Submission to the GST Distribution Review (Issues Paper)</w:t>
      </w:r>
      <w:r w:rsidR="009D6331">
        <w:t>, Perth.</w:t>
      </w:r>
    </w:p>
    <w:p w14:paraId="7954D571" w14:textId="77777777" w:rsidR="009D6331" w:rsidRDefault="00BD52E3" w:rsidP="00DA18C2">
      <w:pPr>
        <w:pStyle w:val="Reference"/>
      </w:pPr>
      <w:r>
        <w:t>—— </w:t>
      </w:r>
      <w:r w:rsidR="009D6331">
        <w:t xml:space="preserve">2013, </w:t>
      </w:r>
      <w:r w:rsidR="009D6331">
        <w:rPr>
          <w:i/>
          <w:iCs/>
        </w:rPr>
        <w:t>Submission to the Commonwealth Grants Commission 2015 Methodology Review (Terms of Reference)</w:t>
      </w:r>
      <w:r w:rsidR="009D6331">
        <w:t>, Perth.</w:t>
      </w:r>
    </w:p>
    <w:p w14:paraId="7954D572" w14:textId="77777777" w:rsidR="009D6331" w:rsidRDefault="00BD52E3" w:rsidP="00DA18C2">
      <w:pPr>
        <w:pStyle w:val="Reference"/>
      </w:pPr>
      <w:r>
        <w:t>—— </w:t>
      </w:r>
      <w:r w:rsidR="009D6331">
        <w:t xml:space="preserve">2014, </w:t>
      </w:r>
      <w:r w:rsidR="009D6331">
        <w:rPr>
          <w:i/>
          <w:iCs/>
        </w:rPr>
        <w:t>Annual Report on State Finances 2013-14</w:t>
      </w:r>
      <w:r w:rsidR="009D6331">
        <w:t>, Perth.</w:t>
      </w:r>
    </w:p>
    <w:p w14:paraId="7954D573" w14:textId="77777777" w:rsidR="009D6331" w:rsidRDefault="00BD52E3" w:rsidP="00DA18C2">
      <w:pPr>
        <w:pStyle w:val="Reference"/>
      </w:pPr>
      <w:r>
        <w:t>—— </w:t>
      </w:r>
      <w:r w:rsidR="009D6331">
        <w:t xml:space="preserve">2017a, </w:t>
      </w:r>
      <w:r w:rsidR="009D6331">
        <w:rPr>
          <w:i/>
          <w:iCs/>
        </w:rPr>
        <w:t>Annual Report on State Finances 2016-17</w:t>
      </w:r>
      <w:r w:rsidR="009D6331">
        <w:t>, Perth.</w:t>
      </w:r>
    </w:p>
    <w:p w14:paraId="7954D574" w14:textId="77777777" w:rsidR="009D6331" w:rsidRDefault="00BD52E3" w:rsidP="00DA18C2">
      <w:pPr>
        <w:pStyle w:val="Reference"/>
      </w:pPr>
      <w:r>
        <w:t>—— </w:t>
      </w:r>
      <w:r w:rsidR="009D6331">
        <w:t xml:space="preserve">2017b, </w:t>
      </w:r>
      <w:r w:rsidR="009D6331">
        <w:rPr>
          <w:i/>
          <w:iCs/>
        </w:rPr>
        <w:t>Western Australia’s Submission to the Commonwealth Grants Commission’s 2020 Methodology Review: The Principle of HFE and its Implementation</w:t>
      </w:r>
      <w:r w:rsidR="009D6331">
        <w:t>, Perth.</w:t>
      </w:r>
    </w:p>
    <w:p w14:paraId="7954D575" w14:textId="77777777" w:rsidR="009D6331" w:rsidRDefault="009D6331" w:rsidP="00DA18C2">
      <w:pPr>
        <w:pStyle w:val="Reference"/>
      </w:pPr>
      <w:r>
        <w:lastRenderedPageBreak/>
        <w:t xml:space="preserve">WA Treasury 1998, </w:t>
      </w:r>
      <w:r>
        <w:rPr>
          <w:i/>
          <w:iCs/>
        </w:rPr>
        <w:t>Revenue sharing or tax base sharing?</w:t>
      </w:r>
      <w:r>
        <w:t>, Discussion Paper, WA Treasury, http://www.treasury.wa.gov.au/uploadedFiles/revenue_sharing_tax_base_sharing.pdf (accessed 2 March 2018).</w:t>
      </w:r>
    </w:p>
    <w:p w14:paraId="7954D576" w14:textId="77777777" w:rsidR="009D6331" w:rsidRDefault="009D6331" w:rsidP="00DA18C2">
      <w:pPr>
        <w:pStyle w:val="Reference"/>
      </w:pPr>
      <w:r>
        <w:t xml:space="preserve">Walsh, C. 2006, </w:t>
      </w:r>
      <w:r>
        <w:rPr>
          <w:i/>
          <w:iCs/>
        </w:rPr>
        <w:t>Competitive Federalism — Wasteful or Welfare Enhancing?</w:t>
      </w:r>
      <w:r>
        <w:t>, Roundtable Proceedings, Productive Reform in a Federal System, Productivity Commission, Canberra.</w:t>
      </w:r>
    </w:p>
    <w:p w14:paraId="7954D577" w14:textId="77777777" w:rsidR="009D6331" w:rsidRDefault="00BD52E3" w:rsidP="00DA18C2">
      <w:pPr>
        <w:pStyle w:val="Reference"/>
      </w:pPr>
      <w:r>
        <w:t>—— </w:t>
      </w:r>
      <w:r w:rsidR="009D6331">
        <w:t xml:space="preserve">2008, ‘Fixing Fiscal Federalism’, </w:t>
      </w:r>
      <w:r w:rsidR="009D6331">
        <w:rPr>
          <w:i/>
          <w:iCs/>
        </w:rPr>
        <w:t>Where To for Australian Federalism?</w:t>
      </w:r>
      <w:r w:rsidR="009D6331">
        <w:t>, Centre for Independent Studies, Sydney.</w:t>
      </w:r>
    </w:p>
    <w:p w14:paraId="7954D578" w14:textId="77777777" w:rsidR="009D6331" w:rsidRDefault="009D6331" w:rsidP="00DA18C2">
      <w:pPr>
        <w:pStyle w:val="Reference"/>
      </w:pPr>
      <w:r>
        <w:t xml:space="preserve">Watson, W. 1986, ‘An estimate of the welfare gain from fiscal equalization’, </w:t>
      </w:r>
      <w:r>
        <w:rPr>
          <w:i/>
          <w:iCs/>
        </w:rPr>
        <w:t>Canadian Journal of Economics</w:t>
      </w:r>
      <w:r>
        <w:t>, vol. 19, no. 2, pp. 298–308.</w:t>
      </w:r>
    </w:p>
    <w:p w14:paraId="7954D579" w14:textId="77777777" w:rsidR="009D6331" w:rsidRDefault="009D6331" w:rsidP="00DA18C2">
      <w:pPr>
        <w:pStyle w:val="Reference"/>
      </w:pPr>
      <w:r>
        <w:t xml:space="preserve">Watt, I. and Anderson, B. 2017, </w:t>
      </w:r>
      <w:r>
        <w:rPr>
          <w:i/>
          <w:iCs/>
        </w:rPr>
        <w:t>Parliamentary Budget Office Review 2016-17: Report of the Independent Review Panel</w:t>
      </w:r>
      <w:r>
        <w:t>, Canberra.</w:t>
      </w:r>
    </w:p>
    <w:p w14:paraId="7954D57A" w14:textId="77777777" w:rsidR="009D6331" w:rsidRDefault="009D6331" w:rsidP="00DA18C2">
      <w:pPr>
        <w:pStyle w:val="Reference"/>
      </w:pPr>
      <w:r>
        <w:t xml:space="preserve">Weingast, B. 2009, ‘Second generation fiscal federalism: The implications of fiscal incentives’, </w:t>
      </w:r>
      <w:r>
        <w:rPr>
          <w:i/>
          <w:iCs/>
        </w:rPr>
        <w:t>Journal of Urban Economics</w:t>
      </w:r>
      <w:r>
        <w:t>, vol. 65, pp. 279–293.</w:t>
      </w:r>
    </w:p>
    <w:p w14:paraId="7954D57B" w14:textId="77777777" w:rsidR="009D6331" w:rsidRDefault="009D6331" w:rsidP="00DA18C2">
      <w:pPr>
        <w:pStyle w:val="Reference"/>
      </w:pPr>
      <w:r>
        <w:t xml:space="preserve">Williams, R. 2012, ‘History of federal-state fiscal relations in Australia: A review of the methodologies used’, </w:t>
      </w:r>
      <w:r>
        <w:rPr>
          <w:i/>
          <w:iCs/>
        </w:rPr>
        <w:t>Australian Economic Review</w:t>
      </w:r>
      <w:r>
        <w:t>, vol. 45, no. 2, pp. 145–157.</w:t>
      </w:r>
    </w:p>
    <w:p w14:paraId="7954D57C" w14:textId="77777777" w:rsidR="009D6331" w:rsidRDefault="009D6331" w:rsidP="00DA18C2">
      <w:pPr>
        <w:pStyle w:val="Reference"/>
      </w:pPr>
      <w:r>
        <w:t xml:space="preserve">Wilson, L.S. 2003, ‘Equalization, efficiency and migration: Watson revisited’, </w:t>
      </w:r>
      <w:r>
        <w:rPr>
          <w:i/>
          <w:iCs/>
        </w:rPr>
        <w:t>Canadian Public Policy</w:t>
      </w:r>
      <w:r>
        <w:t>, vol. 29, no. 4, pp. 385–396.</w:t>
      </w:r>
    </w:p>
    <w:p w14:paraId="7954D57D" w14:textId="77777777" w:rsidR="009D6331" w:rsidRDefault="009D6331" w:rsidP="00DA18C2">
      <w:pPr>
        <w:pStyle w:val="Reference"/>
      </w:pPr>
      <w:r>
        <w:t xml:space="preserve">Wiltshire, K. 2014, ‘Criteria for assigning roles and responsibilities in the Federation’, </w:t>
      </w:r>
      <w:r>
        <w:rPr>
          <w:i/>
          <w:iCs/>
        </w:rPr>
        <w:t>A Federation for the 21st Century</w:t>
      </w:r>
      <w:r>
        <w:t>, CEDA.</w:t>
      </w:r>
    </w:p>
    <w:p w14:paraId="7954D580" w14:textId="50084C03" w:rsidR="00F05DC7" w:rsidRPr="00F05DC7" w:rsidRDefault="009D6331" w:rsidP="00647FCC">
      <w:pPr>
        <w:pStyle w:val="Reference"/>
      </w:pPr>
      <w:r>
        <w:t xml:space="preserve">Wurzel, E. 2003, </w:t>
      </w:r>
      <w:r>
        <w:rPr>
          <w:i/>
          <w:iCs/>
        </w:rPr>
        <w:t>Consolidating Germany’s Finances: Issues in Public Sector Spending Reform</w:t>
      </w:r>
      <w:r>
        <w:t>, OECD Economics Department Working Papers No. 366, OECD.</w:t>
      </w:r>
    </w:p>
    <w:sectPr w:rsidR="00F05DC7" w:rsidRPr="00F05DC7" w:rsidSect="00F05DC7">
      <w:headerReference w:type="even" r:id="rId220"/>
      <w:headerReference w:type="default" r:id="rId221"/>
      <w:footerReference w:type="even" r:id="rId222"/>
      <w:footerReference w:type="default" r:id="rId223"/>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9B276" w14:textId="77777777" w:rsidR="007F3724" w:rsidRDefault="007F3724">
      <w:r>
        <w:separator/>
      </w:r>
    </w:p>
  </w:endnote>
  <w:endnote w:type="continuationSeparator" w:id="0">
    <w:p w14:paraId="5BBE5FC4" w14:textId="77777777" w:rsidR="007F3724" w:rsidRDefault="007F3724">
      <w:r>
        <w:continuationSeparator/>
      </w:r>
    </w:p>
  </w:endnote>
  <w:endnote w:type="continuationNotice" w:id="1">
    <w:p w14:paraId="34769829" w14:textId="77777777" w:rsidR="007F3724" w:rsidRDefault="007F3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Arial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F5CDB" w14:textId="77777777" w:rsidR="007F3724" w:rsidRDefault="007F3724" w:rsidP="006606FA">
    <w:pPr>
      <w:pStyle w:val="FooterEnd"/>
    </w:pPr>
  </w:p>
  <w:p w14:paraId="090A19CD" w14:textId="77777777" w:rsidR="007F3724" w:rsidRDefault="007F3724">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3229BF5D" w14:textId="77777777" w:rsidTr="006606FA">
      <w:trPr>
        <w:trHeight w:hRule="exact" w:val="567"/>
      </w:trPr>
      <w:tc>
        <w:tcPr>
          <w:tcW w:w="510" w:type="dxa"/>
        </w:tcPr>
        <w:p w14:paraId="5FEB9DC7" w14:textId="77777777" w:rsidR="007F3724" w:rsidRDefault="007F3724">
          <w:pPr>
            <w:pStyle w:val="Footer"/>
            <w:ind w:right="360" w:firstLine="360"/>
          </w:pPr>
        </w:p>
      </w:tc>
      <w:tc>
        <w:tcPr>
          <w:tcW w:w="7767" w:type="dxa"/>
        </w:tcPr>
        <w:p w14:paraId="6D10CA1B" w14:textId="77777777" w:rsidR="007F3724" w:rsidRPr="00340511" w:rsidRDefault="007F3724" w:rsidP="006606FA">
          <w:pPr>
            <w:pStyle w:val="Footer"/>
            <w:jc w:val="right"/>
            <w:rPr>
              <w:rFonts w:cs="Arial"/>
            </w:rPr>
          </w:pPr>
          <w:r w:rsidRPr="005C58EB">
            <w:rPr>
              <w:noProof/>
            </w:rPr>
            <w:t>Abbreviations and explanations</w:t>
          </w:r>
        </w:p>
      </w:tc>
      <w:tc>
        <w:tcPr>
          <w:tcW w:w="510" w:type="dxa"/>
        </w:tcPr>
        <w:p w14:paraId="382658CF" w14:textId="77777777" w:rsidR="007F3724" w:rsidRPr="00A24443" w:rsidRDefault="007F372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7E22">
            <w:rPr>
              <w:rStyle w:val="PageNumber"/>
              <w:caps w:val="0"/>
              <w:noProof/>
            </w:rPr>
            <w:t>xi</w:t>
          </w:r>
          <w:r w:rsidRPr="00A24443">
            <w:rPr>
              <w:rStyle w:val="PageNumber"/>
              <w:caps w:val="0"/>
            </w:rPr>
            <w:fldChar w:fldCharType="end"/>
          </w:r>
        </w:p>
      </w:tc>
    </w:tr>
  </w:tbl>
  <w:p w14:paraId="069F152D" w14:textId="77777777" w:rsidR="007F3724" w:rsidRDefault="007F3724">
    <w:pPr>
      <w:pStyle w:val="FooterEnd"/>
    </w:pPr>
  </w:p>
  <w:p w14:paraId="1FFC1047" w14:textId="77777777" w:rsidR="007F3724" w:rsidRDefault="007F3724" w:rsidP="006606FA">
    <w:pPr>
      <w:pStyle w:val="FooterEnd"/>
    </w:pPr>
  </w:p>
  <w:p w14:paraId="24093EB9" w14:textId="77777777" w:rsidR="007F3724" w:rsidRDefault="007F3724" w:rsidP="006606FA">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54B121F3" w14:textId="77777777" w:rsidTr="006606FA">
      <w:trPr>
        <w:trHeight w:hRule="exact" w:val="567"/>
      </w:trPr>
      <w:tc>
        <w:tcPr>
          <w:tcW w:w="510" w:type="dxa"/>
        </w:tcPr>
        <w:p w14:paraId="17791E00" w14:textId="77777777" w:rsidR="007F3724" w:rsidRDefault="007F3724">
          <w:pPr>
            <w:pStyle w:val="Footer"/>
            <w:ind w:right="360" w:firstLine="360"/>
          </w:pPr>
        </w:p>
      </w:tc>
      <w:tc>
        <w:tcPr>
          <w:tcW w:w="7767" w:type="dxa"/>
        </w:tcPr>
        <w:p w14:paraId="1C80A59E" w14:textId="77777777" w:rsidR="007F3724" w:rsidRPr="00340511" w:rsidRDefault="007F3724" w:rsidP="006606FA">
          <w:pPr>
            <w:pStyle w:val="Footer"/>
            <w:jc w:val="right"/>
            <w:rPr>
              <w:rFonts w:cs="Arial"/>
            </w:rPr>
          </w:pPr>
          <w:r>
            <w:rPr>
              <w:noProof/>
            </w:rPr>
            <w:t>GLOSSARY</w:t>
          </w:r>
        </w:p>
      </w:tc>
      <w:tc>
        <w:tcPr>
          <w:tcW w:w="510" w:type="dxa"/>
        </w:tcPr>
        <w:p w14:paraId="0E5E5A0B" w14:textId="77777777" w:rsidR="007F3724" w:rsidRPr="00A24443" w:rsidRDefault="007F372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7E22">
            <w:rPr>
              <w:rStyle w:val="PageNumber"/>
              <w:caps w:val="0"/>
              <w:noProof/>
            </w:rPr>
            <w:t>xiii</w:t>
          </w:r>
          <w:r w:rsidRPr="00A24443">
            <w:rPr>
              <w:rStyle w:val="PageNumber"/>
              <w:caps w:val="0"/>
            </w:rPr>
            <w:fldChar w:fldCharType="end"/>
          </w:r>
        </w:p>
      </w:tc>
    </w:tr>
  </w:tbl>
  <w:p w14:paraId="2A704BD5" w14:textId="77777777" w:rsidR="007F3724" w:rsidRDefault="007F3724">
    <w:pPr>
      <w:pStyle w:val="FooterEnd"/>
    </w:pPr>
  </w:p>
  <w:p w14:paraId="3119FB14" w14:textId="77777777" w:rsidR="007F3724" w:rsidRDefault="007F3724" w:rsidP="006606FA">
    <w:pPr>
      <w:pStyle w:val="FooterEnd"/>
    </w:pPr>
  </w:p>
  <w:p w14:paraId="4CC1F9CB" w14:textId="77777777" w:rsidR="007F3724" w:rsidRDefault="007F3724" w:rsidP="006606FA">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6E2" w14:textId="77777777" w:rsidTr="00F05DC7">
      <w:trPr>
        <w:trHeight w:val="567"/>
      </w:trPr>
      <w:tc>
        <w:tcPr>
          <w:tcW w:w="510" w:type="dxa"/>
          <w:tcBorders>
            <w:top w:val="single" w:sz="4" w:space="0" w:color="auto"/>
          </w:tcBorders>
          <w:shd w:val="clear" w:color="auto" w:fill="auto"/>
        </w:tcPr>
        <w:p w14:paraId="7954D6DF"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28</w:t>
          </w:r>
          <w:r>
            <w:rPr>
              <w:rStyle w:val="PageNumber"/>
            </w:rPr>
            <w:fldChar w:fldCharType="end"/>
          </w:r>
        </w:p>
      </w:tc>
      <w:tc>
        <w:tcPr>
          <w:tcW w:w="7767" w:type="dxa"/>
          <w:tcBorders>
            <w:top w:val="single" w:sz="4" w:space="0" w:color="auto"/>
          </w:tcBorders>
          <w:shd w:val="clear" w:color="auto" w:fill="auto"/>
        </w:tcPr>
        <w:p w14:paraId="7954D6E0" w14:textId="77777777" w:rsidR="007F3724" w:rsidRDefault="007F3724" w:rsidP="00F05DC7">
          <w:pPr>
            <w:pStyle w:val="Footer"/>
          </w:pPr>
          <w:r>
            <w:t>HORIZONTAL FISCAL EQUALISATION</w:t>
          </w:r>
        </w:p>
      </w:tc>
      <w:tc>
        <w:tcPr>
          <w:tcW w:w="510" w:type="dxa"/>
          <w:tcBorders>
            <w:top w:val="single" w:sz="4" w:space="0" w:color="auto"/>
          </w:tcBorders>
          <w:shd w:val="clear" w:color="auto" w:fill="auto"/>
        </w:tcPr>
        <w:p w14:paraId="7954D6E1" w14:textId="77777777" w:rsidR="007F3724" w:rsidRDefault="007F3724" w:rsidP="00F05DC7">
          <w:pPr>
            <w:pStyle w:val="Footer"/>
          </w:pPr>
        </w:p>
      </w:tc>
    </w:tr>
  </w:tbl>
  <w:p w14:paraId="7954D6E3" w14:textId="77777777" w:rsidR="007F3724" w:rsidRPr="00F05DC7" w:rsidRDefault="007F3724" w:rsidP="00F05DC7">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6E7" w14:textId="77777777" w:rsidTr="00F05DC7">
      <w:trPr>
        <w:trHeight w:val="567"/>
      </w:trPr>
      <w:tc>
        <w:tcPr>
          <w:tcW w:w="510" w:type="dxa"/>
          <w:tcBorders>
            <w:top w:val="single" w:sz="4" w:space="0" w:color="auto"/>
          </w:tcBorders>
          <w:shd w:val="clear" w:color="auto" w:fill="auto"/>
        </w:tcPr>
        <w:p w14:paraId="7954D6E4" w14:textId="77777777" w:rsidR="007F3724" w:rsidRDefault="007F3724" w:rsidP="00F05DC7">
          <w:pPr>
            <w:pStyle w:val="Footer"/>
          </w:pPr>
        </w:p>
      </w:tc>
      <w:tc>
        <w:tcPr>
          <w:tcW w:w="7767" w:type="dxa"/>
          <w:tcBorders>
            <w:top w:val="single" w:sz="4" w:space="0" w:color="auto"/>
          </w:tcBorders>
          <w:shd w:val="clear" w:color="auto" w:fill="auto"/>
        </w:tcPr>
        <w:p w14:paraId="7954D6E5" w14:textId="77777777" w:rsidR="007F3724" w:rsidRDefault="007F3724" w:rsidP="00F05DC7">
          <w:pPr>
            <w:pStyle w:val="Footer"/>
            <w:jc w:val="right"/>
          </w:pPr>
          <w:r>
            <w:t>Overview</w:t>
          </w:r>
        </w:p>
      </w:tc>
      <w:tc>
        <w:tcPr>
          <w:tcW w:w="510" w:type="dxa"/>
          <w:tcBorders>
            <w:top w:val="single" w:sz="4" w:space="0" w:color="auto"/>
          </w:tcBorders>
          <w:shd w:val="clear" w:color="auto" w:fill="auto"/>
        </w:tcPr>
        <w:p w14:paraId="7954D6E6"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27</w:t>
          </w:r>
          <w:r>
            <w:rPr>
              <w:rStyle w:val="PageNumber"/>
            </w:rPr>
            <w:fldChar w:fldCharType="end"/>
          </w:r>
        </w:p>
      </w:tc>
    </w:tr>
  </w:tbl>
  <w:p w14:paraId="7954D6E8" w14:textId="77777777" w:rsidR="007F3724" w:rsidRPr="00F05DC7" w:rsidRDefault="007F3724" w:rsidP="00F05DC7">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E209D" w14:textId="77777777" w:rsidR="007F3724" w:rsidRDefault="007F372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6ED"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30</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6EE"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29</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6FA" w14:textId="77777777" w:rsidTr="00F05DC7">
      <w:trPr>
        <w:trHeight w:val="567"/>
      </w:trPr>
      <w:tc>
        <w:tcPr>
          <w:tcW w:w="510" w:type="dxa"/>
          <w:tcBorders>
            <w:top w:val="single" w:sz="4" w:space="0" w:color="auto"/>
          </w:tcBorders>
          <w:shd w:val="clear" w:color="auto" w:fill="auto"/>
        </w:tcPr>
        <w:p w14:paraId="7954D6F7"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36</w:t>
          </w:r>
          <w:r>
            <w:rPr>
              <w:rStyle w:val="PageNumber"/>
            </w:rPr>
            <w:fldChar w:fldCharType="end"/>
          </w:r>
        </w:p>
      </w:tc>
      <w:tc>
        <w:tcPr>
          <w:tcW w:w="7767" w:type="dxa"/>
          <w:tcBorders>
            <w:top w:val="single" w:sz="4" w:space="0" w:color="auto"/>
          </w:tcBorders>
          <w:shd w:val="clear" w:color="auto" w:fill="auto"/>
        </w:tcPr>
        <w:p w14:paraId="7954D6F8" w14:textId="77777777" w:rsidR="007F3724" w:rsidRDefault="007F3724" w:rsidP="00F05DC7">
          <w:pPr>
            <w:pStyle w:val="Footer"/>
          </w:pPr>
          <w:r>
            <w:t>HORIZONTAL FISCAL EQUALISATION</w:t>
          </w:r>
        </w:p>
      </w:tc>
      <w:tc>
        <w:tcPr>
          <w:tcW w:w="510" w:type="dxa"/>
          <w:tcBorders>
            <w:top w:val="single" w:sz="4" w:space="0" w:color="auto"/>
          </w:tcBorders>
          <w:shd w:val="clear" w:color="auto" w:fill="auto"/>
        </w:tcPr>
        <w:p w14:paraId="7954D6F9" w14:textId="77777777" w:rsidR="007F3724" w:rsidRDefault="007F3724" w:rsidP="00F05DC7">
          <w:pPr>
            <w:pStyle w:val="Footer"/>
          </w:pPr>
        </w:p>
      </w:tc>
    </w:tr>
  </w:tbl>
  <w:p w14:paraId="7954D6FB" w14:textId="77777777" w:rsidR="007F3724" w:rsidRPr="00F05DC7" w:rsidRDefault="007F3724" w:rsidP="00F05DC7">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6FF" w14:textId="77777777" w:rsidTr="00F05DC7">
      <w:trPr>
        <w:trHeight w:val="567"/>
      </w:trPr>
      <w:tc>
        <w:tcPr>
          <w:tcW w:w="510" w:type="dxa"/>
          <w:tcBorders>
            <w:top w:val="single" w:sz="4" w:space="0" w:color="auto"/>
          </w:tcBorders>
          <w:shd w:val="clear" w:color="auto" w:fill="auto"/>
        </w:tcPr>
        <w:p w14:paraId="7954D6FC" w14:textId="77777777" w:rsidR="007F3724" w:rsidRDefault="007F3724" w:rsidP="00F05DC7">
          <w:pPr>
            <w:pStyle w:val="Footer"/>
          </w:pPr>
        </w:p>
      </w:tc>
      <w:tc>
        <w:tcPr>
          <w:tcW w:w="7767" w:type="dxa"/>
          <w:tcBorders>
            <w:top w:val="single" w:sz="4" w:space="0" w:color="auto"/>
          </w:tcBorders>
          <w:shd w:val="clear" w:color="auto" w:fill="auto"/>
        </w:tcPr>
        <w:p w14:paraId="7954D6FD" w14:textId="07D2E96F" w:rsidR="007F3724" w:rsidRDefault="007F3724" w:rsidP="00F05DC7">
          <w:pPr>
            <w:pStyle w:val="Footer"/>
            <w:jc w:val="right"/>
          </w:pPr>
          <w:r>
            <w:t>overview</w:t>
          </w:r>
        </w:p>
      </w:tc>
      <w:tc>
        <w:tcPr>
          <w:tcW w:w="510" w:type="dxa"/>
          <w:tcBorders>
            <w:top w:val="single" w:sz="4" w:space="0" w:color="auto"/>
          </w:tcBorders>
          <w:shd w:val="clear" w:color="auto" w:fill="auto"/>
        </w:tcPr>
        <w:p w14:paraId="7954D6FE"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35</w:t>
          </w:r>
          <w:r>
            <w:rPr>
              <w:rStyle w:val="PageNumber"/>
            </w:rPr>
            <w:fldChar w:fldCharType="end"/>
          </w:r>
        </w:p>
      </w:tc>
    </w:tr>
  </w:tbl>
  <w:p w14:paraId="7954D700" w14:textId="77777777" w:rsidR="007F3724" w:rsidRPr="00F05DC7" w:rsidRDefault="007F3724" w:rsidP="00F05DC7">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41110708" w14:textId="77777777" w:rsidTr="005F48ED">
      <w:trPr>
        <w:trHeight w:hRule="exact" w:val="567"/>
      </w:trPr>
      <w:tc>
        <w:tcPr>
          <w:tcW w:w="510" w:type="dxa"/>
        </w:tcPr>
        <w:p w14:paraId="0BE84E1F" w14:textId="77777777" w:rsidR="007F3724" w:rsidRPr="00A24443" w:rsidRDefault="007F3724"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7E22">
            <w:rPr>
              <w:rStyle w:val="PageNumber"/>
              <w:caps w:val="0"/>
              <w:noProof/>
            </w:rPr>
            <w:t>30</w:t>
          </w:r>
          <w:r w:rsidRPr="00A24443">
            <w:rPr>
              <w:rStyle w:val="PageNumber"/>
              <w:caps w:val="0"/>
            </w:rPr>
            <w:fldChar w:fldCharType="end"/>
          </w:r>
        </w:p>
      </w:tc>
      <w:tc>
        <w:tcPr>
          <w:tcW w:w="7767" w:type="dxa"/>
        </w:tcPr>
        <w:p w14:paraId="6A09C583" w14:textId="2959E482" w:rsidR="007F3724" w:rsidRPr="0013739A" w:rsidRDefault="007F3724" w:rsidP="0013739A">
          <w:pPr>
            <w:pStyle w:val="Footer"/>
            <w:rPr>
              <w:rFonts w:cs="Arial"/>
            </w:rPr>
          </w:pPr>
          <w:r>
            <w:t>HORIZONTAL FISCAL EQUALISATION</w:t>
          </w:r>
          <w:bookmarkStart w:id="32" w:name="DraftReportEven"/>
          <w:bookmarkEnd w:id="32"/>
        </w:p>
      </w:tc>
      <w:tc>
        <w:tcPr>
          <w:tcW w:w="510" w:type="dxa"/>
        </w:tcPr>
        <w:p w14:paraId="13EB3305" w14:textId="77777777" w:rsidR="007F3724" w:rsidRDefault="007F3724" w:rsidP="0019293B">
          <w:pPr>
            <w:pStyle w:val="Footer"/>
          </w:pPr>
        </w:p>
      </w:tc>
    </w:tr>
  </w:tbl>
  <w:p w14:paraId="7F959C38" w14:textId="77777777" w:rsidR="007F3724" w:rsidRDefault="007F3724" w:rsidP="00B61355">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E7677" w14:textId="77777777" w:rsidR="007F3724" w:rsidRDefault="007F3724">
    <w:pPr>
      <w:pStyle w:val="FooterEnd"/>
    </w:pPr>
  </w:p>
  <w:p w14:paraId="60436714" w14:textId="77777777" w:rsidR="007F3724" w:rsidRPr="00D01645" w:rsidRDefault="007F3724" w:rsidP="006606FA">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0C" w14:textId="77777777" w:rsidTr="00F05DC7">
      <w:trPr>
        <w:trHeight w:val="567"/>
      </w:trPr>
      <w:tc>
        <w:tcPr>
          <w:tcW w:w="510" w:type="dxa"/>
          <w:tcBorders>
            <w:top w:val="single" w:sz="4" w:space="0" w:color="auto"/>
          </w:tcBorders>
          <w:shd w:val="clear" w:color="auto" w:fill="auto"/>
        </w:tcPr>
        <w:p w14:paraId="7954D709"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44</w:t>
          </w:r>
          <w:r>
            <w:rPr>
              <w:rStyle w:val="PageNumber"/>
            </w:rPr>
            <w:fldChar w:fldCharType="end"/>
          </w:r>
        </w:p>
      </w:tc>
      <w:tc>
        <w:tcPr>
          <w:tcW w:w="7767" w:type="dxa"/>
          <w:tcBorders>
            <w:top w:val="single" w:sz="4" w:space="0" w:color="auto"/>
          </w:tcBorders>
          <w:shd w:val="clear" w:color="auto" w:fill="auto"/>
        </w:tcPr>
        <w:p w14:paraId="7954D70A" w14:textId="77777777" w:rsidR="007F3724" w:rsidRDefault="007F3724" w:rsidP="00F05DC7">
          <w:pPr>
            <w:pStyle w:val="Footer"/>
          </w:pPr>
          <w:r>
            <w:t>HORIZONTAL FISCAL EQUALISATION</w:t>
          </w:r>
        </w:p>
      </w:tc>
      <w:tc>
        <w:tcPr>
          <w:tcW w:w="510" w:type="dxa"/>
          <w:tcBorders>
            <w:top w:val="single" w:sz="4" w:space="0" w:color="auto"/>
          </w:tcBorders>
          <w:shd w:val="clear" w:color="auto" w:fill="auto"/>
        </w:tcPr>
        <w:p w14:paraId="7954D70B" w14:textId="77777777" w:rsidR="007F3724" w:rsidRDefault="007F3724" w:rsidP="00F05DC7">
          <w:pPr>
            <w:pStyle w:val="Footer"/>
          </w:pPr>
        </w:p>
      </w:tc>
    </w:tr>
  </w:tbl>
  <w:p w14:paraId="7954D70D" w14:textId="77777777" w:rsidR="007F3724" w:rsidRPr="00F05DC7" w:rsidRDefault="007F3724" w:rsidP="00F05DC7">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11" w14:textId="77777777" w:rsidTr="00F05DC7">
      <w:trPr>
        <w:trHeight w:val="567"/>
      </w:trPr>
      <w:tc>
        <w:tcPr>
          <w:tcW w:w="510" w:type="dxa"/>
          <w:tcBorders>
            <w:top w:val="single" w:sz="4" w:space="0" w:color="auto"/>
          </w:tcBorders>
          <w:shd w:val="clear" w:color="auto" w:fill="auto"/>
        </w:tcPr>
        <w:p w14:paraId="7954D70E" w14:textId="77777777" w:rsidR="007F3724" w:rsidRDefault="007F3724" w:rsidP="00F05DC7">
          <w:pPr>
            <w:pStyle w:val="Footer"/>
          </w:pPr>
        </w:p>
      </w:tc>
      <w:tc>
        <w:tcPr>
          <w:tcW w:w="7767" w:type="dxa"/>
          <w:tcBorders>
            <w:top w:val="single" w:sz="4" w:space="0" w:color="auto"/>
          </w:tcBorders>
          <w:shd w:val="clear" w:color="auto" w:fill="auto"/>
        </w:tcPr>
        <w:p w14:paraId="7954D70F" w14:textId="77777777" w:rsidR="007F3724" w:rsidRDefault="007F3724" w:rsidP="00F05DC7">
          <w:pPr>
            <w:pStyle w:val="Footer"/>
            <w:jc w:val="right"/>
          </w:pPr>
          <w:r>
            <w:t>Recommendations</w:t>
          </w:r>
        </w:p>
      </w:tc>
      <w:tc>
        <w:tcPr>
          <w:tcW w:w="510" w:type="dxa"/>
          <w:tcBorders>
            <w:top w:val="single" w:sz="4" w:space="0" w:color="auto"/>
          </w:tcBorders>
          <w:shd w:val="clear" w:color="auto" w:fill="auto"/>
        </w:tcPr>
        <w:p w14:paraId="7954D710"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43</w:t>
          </w:r>
          <w:r>
            <w:rPr>
              <w:rStyle w:val="PageNumber"/>
            </w:rPr>
            <w:fldChar w:fldCharType="end"/>
          </w:r>
        </w:p>
      </w:tc>
    </w:tr>
  </w:tbl>
  <w:p w14:paraId="7954D712" w14:textId="77777777" w:rsidR="007F3724" w:rsidRPr="00F05DC7" w:rsidRDefault="007F3724" w:rsidP="00F05DC7">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1E" w14:textId="77777777" w:rsidTr="00F05DC7">
      <w:trPr>
        <w:trHeight w:val="567"/>
      </w:trPr>
      <w:tc>
        <w:tcPr>
          <w:tcW w:w="510" w:type="dxa"/>
          <w:tcBorders>
            <w:top w:val="single" w:sz="4" w:space="0" w:color="auto"/>
          </w:tcBorders>
          <w:shd w:val="clear" w:color="auto" w:fill="auto"/>
        </w:tcPr>
        <w:p w14:paraId="7954D71B"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64</w:t>
          </w:r>
          <w:r>
            <w:rPr>
              <w:rStyle w:val="PageNumber"/>
            </w:rPr>
            <w:fldChar w:fldCharType="end"/>
          </w:r>
        </w:p>
      </w:tc>
      <w:tc>
        <w:tcPr>
          <w:tcW w:w="7767" w:type="dxa"/>
          <w:tcBorders>
            <w:top w:val="single" w:sz="4" w:space="0" w:color="auto"/>
          </w:tcBorders>
          <w:shd w:val="clear" w:color="auto" w:fill="auto"/>
        </w:tcPr>
        <w:p w14:paraId="7954D71C" w14:textId="77777777" w:rsidR="007F3724" w:rsidRDefault="007F3724" w:rsidP="00F05DC7">
          <w:pPr>
            <w:pStyle w:val="Footer"/>
          </w:pPr>
          <w:r>
            <w:t>HORIZONTAL FISCAL EQUALISATION</w:t>
          </w:r>
        </w:p>
      </w:tc>
      <w:tc>
        <w:tcPr>
          <w:tcW w:w="510" w:type="dxa"/>
          <w:tcBorders>
            <w:top w:val="single" w:sz="4" w:space="0" w:color="auto"/>
          </w:tcBorders>
          <w:shd w:val="clear" w:color="auto" w:fill="auto"/>
        </w:tcPr>
        <w:p w14:paraId="7954D71D" w14:textId="77777777" w:rsidR="007F3724" w:rsidRDefault="007F3724" w:rsidP="00F05DC7">
          <w:pPr>
            <w:pStyle w:val="Footer"/>
          </w:pPr>
        </w:p>
      </w:tc>
    </w:tr>
  </w:tbl>
  <w:p w14:paraId="7954D71F" w14:textId="77777777" w:rsidR="007F3724" w:rsidRPr="00F05DC7" w:rsidRDefault="007F3724" w:rsidP="00F05DC7">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23" w14:textId="77777777" w:rsidTr="00F05DC7">
      <w:trPr>
        <w:trHeight w:val="567"/>
      </w:trPr>
      <w:tc>
        <w:tcPr>
          <w:tcW w:w="510" w:type="dxa"/>
          <w:tcBorders>
            <w:top w:val="single" w:sz="4" w:space="0" w:color="auto"/>
          </w:tcBorders>
          <w:shd w:val="clear" w:color="auto" w:fill="auto"/>
        </w:tcPr>
        <w:p w14:paraId="7954D720" w14:textId="77777777" w:rsidR="007F3724" w:rsidRDefault="007F3724" w:rsidP="00F05DC7">
          <w:pPr>
            <w:pStyle w:val="Footer"/>
          </w:pPr>
        </w:p>
      </w:tc>
      <w:tc>
        <w:tcPr>
          <w:tcW w:w="7767" w:type="dxa"/>
          <w:tcBorders>
            <w:top w:val="single" w:sz="4" w:space="0" w:color="auto"/>
          </w:tcBorders>
          <w:shd w:val="clear" w:color="auto" w:fill="auto"/>
        </w:tcPr>
        <w:p w14:paraId="7954D721" w14:textId="77777777" w:rsidR="007F3724" w:rsidRDefault="007F3724" w:rsidP="00F05DC7">
          <w:pPr>
            <w:pStyle w:val="Footer"/>
            <w:jc w:val="right"/>
          </w:pPr>
          <w:r>
            <w:t>ABOUT THIS INQUIRY</w:t>
          </w:r>
        </w:p>
      </w:tc>
      <w:tc>
        <w:tcPr>
          <w:tcW w:w="510" w:type="dxa"/>
          <w:tcBorders>
            <w:top w:val="single" w:sz="4" w:space="0" w:color="auto"/>
          </w:tcBorders>
          <w:shd w:val="clear" w:color="auto" w:fill="auto"/>
        </w:tcPr>
        <w:p w14:paraId="7954D722"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65</w:t>
          </w:r>
          <w:r>
            <w:rPr>
              <w:rStyle w:val="PageNumber"/>
            </w:rPr>
            <w:fldChar w:fldCharType="end"/>
          </w:r>
        </w:p>
      </w:tc>
    </w:tr>
  </w:tbl>
  <w:p w14:paraId="7954D724" w14:textId="77777777" w:rsidR="007F3724" w:rsidRPr="00F05DC7" w:rsidRDefault="007F3724" w:rsidP="00F05DC7">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30" w14:textId="77777777" w:rsidTr="00F05DC7">
      <w:trPr>
        <w:trHeight w:val="567"/>
      </w:trPr>
      <w:tc>
        <w:tcPr>
          <w:tcW w:w="510" w:type="dxa"/>
          <w:tcBorders>
            <w:top w:val="single" w:sz="4" w:space="0" w:color="auto"/>
          </w:tcBorders>
          <w:shd w:val="clear" w:color="auto" w:fill="auto"/>
        </w:tcPr>
        <w:p w14:paraId="7954D72D"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68</w:t>
          </w:r>
          <w:r>
            <w:rPr>
              <w:rStyle w:val="PageNumber"/>
            </w:rPr>
            <w:fldChar w:fldCharType="end"/>
          </w:r>
        </w:p>
      </w:tc>
      <w:tc>
        <w:tcPr>
          <w:tcW w:w="7767" w:type="dxa"/>
          <w:tcBorders>
            <w:top w:val="single" w:sz="4" w:space="0" w:color="auto"/>
          </w:tcBorders>
          <w:shd w:val="clear" w:color="auto" w:fill="auto"/>
        </w:tcPr>
        <w:p w14:paraId="7954D72E" w14:textId="77777777" w:rsidR="007F3724" w:rsidRDefault="007F3724" w:rsidP="00F05DC7">
          <w:pPr>
            <w:pStyle w:val="Footer"/>
          </w:pPr>
          <w:r>
            <w:t>HORIZONTAL FISCAL EQUALISATION</w:t>
          </w:r>
        </w:p>
      </w:tc>
      <w:tc>
        <w:tcPr>
          <w:tcW w:w="510" w:type="dxa"/>
          <w:tcBorders>
            <w:top w:val="single" w:sz="4" w:space="0" w:color="auto"/>
          </w:tcBorders>
          <w:shd w:val="clear" w:color="auto" w:fill="auto"/>
        </w:tcPr>
        <w:p w14:paraId="7954D72F" w14:textId="77777777" w:rsidR="007F3724" w:rsidRDefault="007F3724" w:rsidP="00F05DC7">
          <w:pPr>
            <w:pStyle w:val="Footer"/>
          </w:pPr>
        </w:p>
      </w:tc>
    </w:tr>
  </w:tbl>
  <w:p w14:paraId="7954D731" w14:textId="77777777" w:rsidR="007F3724" w:rsidRPr="00F05DC7" w:rsidRDefault="007F3724" w:rsidP="00F05DC7">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35" w14:textId="77777777" w:rsidTr="00F05DC7">
      <w:trPr>
        <w:trHeight w:val="567"/>
      </w:trPr>
      <w:tc>
        <w:tcPr>
          <w:tcW w:w="510" w:type="dxa"/>
          <w:tcBorders>
            <w:top w:val="single" w:sz="4" w:space="0" w:color="auto"/>
          </w:tcBorders>
          <w:shd w:val="clear" w:color="auto" w:fill="auto"/>
        </w:tcPr>
        <w:p w14:paraId="7954D732" w14:textId="77777777" w:rsidR="007F3724" w:rsidRDefault="007F3724" w:rsidP="00F05DC7">
          <w:pPr>
            <w:pStyle w:val="Footer"/>
          </w:pPr>
        </w:p>
      </w:tc>
      <w:tc>
        <w:tcPr>
          <w:tcW w:w="7767" w:type="dxa"/>
          <w:tcBorders>
            <w:top w:val="single" w:sz="4" w:space="0" w:color="auto"/>
          </w:tcBorders>
          <w:shd w:val="clear" w:color="auto" w:fill="auto"/>
        </w:tcPr>
        <w:p w14:paraId="7954D733" w14:textId="77777777" w:rsidR="007F3724" w:rsidRDefault="007F3724" w:rsidP="00F05DC7">
          <w:pPr>
            <w:pStyle w:val="Footer"/>
            <w:jc w:val="right"/>
          </w:pPr>
          <w:r>
            <w:t>HOW DOES HFE WORK IN AUSTRALIA?</w:t>
          </w:r>
        </w:p>
      </w:tc>
      <w:tc>
        <w:tcPr>
          <w:tcW w:w="510" w:type="dxa"/>
          <w:tcBorders>
            <w:top w:val="single" w:sz="4" w:space="0" w:color="auto"/>
          </w:tcBorders>
          <w:shd w:val="clear" w:color="auto" w:fill="auto"/>
        </w:tcPr>
        <w:p w14:paraId="7954D734"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67</w:t>
          </w:r>
          <w:r>
            <w:rPr>
              <w:rStyle w:val="PageNumber"/>
            </w:rPr>
            <w:fldChar w:fldCharType="end"/>
          </w:r>
        </w:p>
      </w:tc>
    </w:tr>
  </w:tbl>
  <w:p w14:paraId="7954D736" w14:textId="77777777" w:rsidR="007F3724" w:rsidRPr="00F05DC7" w:rsidRDefault="007F3724" w:rsidP="00F05DC7">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739"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72</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73A"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69</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46" w14:textId="77777777" w:rsidTr="00F05DC7">
      <w:trPr>
        <w:trHeight w:val="567"/>
      </w:trPr>
      <w:tc>
        <w:tcPr>
          <w:tcW w:w="510" w:type="dxa"/>
          <w:tcBorders>
            <w:top w:val="single" w:sz="4" w:space="0" w:color="auto"/>
          </w:tcBorders>
          <w:shd w:val="clear" w:color="auto" w:fill="auto"/>
        </w:tcPr>
        <w:p w14:paraId="7954D743"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96</w:t>
          </w:r>
          <w:r>
            <w:rPr>
              <w:rStyle w:val="PageNumber"/>
            </w:rPr>
            <w:fldChar w:fldCharType="end"/>
          </w:r>
        </w:p>
      </w:tc>
      <w:tc>
        <w:tcPr>
          <w:tcW w:w="7767" w:type="dxa"/>
          <w:tcBorders>
            <w:top w:val="single" w:sz="4" w:space="0" w:color="auto"/>
          </w:tcBorders>
          <w:shd w:val="clear" w:color="auto" w:fill="auto"/>
        </w:tcPr>
        <w:p w14:paraId="7954D744"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45" w14:textId="77777777" w:rsidR="007F3724" w:rsidRDefault="007F3724" w:rsidP="00F05DC7">
          <w:pPr>
            <w:pStyle w:val="Footer"/>
            <w:rPr>
              <w:rStyle w:val="PageNumber"/>
              <w:b w:val="0"/>
            </w:rPr>
          </w:pPr>
        </w:p>
      </w:tc>
    </w:tr>
  </w:tbl>
  <w:p w14:paraId="7954D747" w14:textId="77777777" w:rsidR="007F3724" w:rsidRPr="00F05DC7" w:rsidRDefault="007F3724" w:rsidP="00F05DC7">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4B" w14:textId="77777777" w:rsidTr="00F05DC7">
      <w:trPr>
        <w:trHeight w:val="567"/>
      </w:trPr>
      <w:tc>
        <w:tcPr>
          <w:tcW w:w="510" w:type="dxa"/>
          <w:tcBorders>
            <w:top w:val="single" w:sz="4" w:space="0" w:color="auto"/>
          </w:tcBorders>
          <w:shd w:val="clear" w:color="auto" w:fill="auto"/>
        </w:tcPr>
        <w:p w14:paraId="7954D748"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749" w14:textId="77777777" w:rsidR="007F3724" w:rsidRDefault="007F3724" w:rsidP="00F05DC7">
          <w:pPr>
            <w:pStyle w:val="Footer"/>
            <w:jc w:val="right"/>
            <w:rPr>
              <w:rStyle w:val="PageNumber"/>
              <w:b w:val="0"/>
            </w:rPr>
          </w:pPr>
          <w:r>
            <w:rPr>
              <w:rStyle w:val="PageNumber"/>
              <w:b w:val="0"/>
            </w:rPr>
            <w:t>HOW DOES HFE WORK IN AUSTRALIA?</w:t>
          </w:r>
        </w:p>
      </w:tc>
      <w:tc>
        <w:tcPr>
          <w:tcW w:w="510" w:type="dxa"/>
          <w:tcBorders>
            <w:top w:val="single" w:sz="4" w:space="0" w:color="auto"/>
          </w:tcBorders>
          <w:shd w:val="clear" w:color="auto" w:fill="auto"/>
        </w:tcPr>
        <w:p w14:paraId="7954D74A"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97</w:t>
          </w:r>
          <w:r>
            <w:rPr>
              <w:rStyle w:val="PageNumber"/>
            </w:rPr>
            <w:fldChar w:fldCharType="end"/>
          </w:r>
        </w:p>
      </w:tc>
    </w:tr>
  </w:tbl>
  <w:p w14:paraId="7954D74C" w14:textId="77777777" w:rsidR="007F3724" w:rsidRPr="00F05DC7" w:rsidRDefault="007F3724" w:rsidP="00F05DC7">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21CD1B4B" w14:textId="77777777" w:rsidTr="006606FA">
      <w:trPr>
        <w:trHeight w:hRule="exact" w:val="567"/>
      </w:trPr>
      <w:tc>
        <w:tcPr>
          <w:tcW w:w="510" w:type="dxa"/>
        </w:tcPr>
        <w:p w14:paraId="5C7CCECA" w14:textId="77777777" w:rsidR="007F3724" w:rsidRPr="00752FFF" w:rsidRDefault="007F3724" w:rsidP="006606FA">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1C7E22">
            <w:rPr>
              <w:rStyle w:val="PageNumber"/>
              <w:caps w:val="0"/>
              <w:noProof/>
            </w:rPr>
            <w:t>vi</w:t>
          </w:r>
          <w:r w:rsidRPr="00752FFF">
            <w:rPr>
              <w:rStyle w:val="PageNumber"/>
              <w:caps w:val="0"/>
            </w:rPr>
            <w:fldChar w:fldCharType="end"/>
          </w:r>
        </w:p>
      </w:tc>
      <w:tc>
        <w:tcPr>
          <w:tcW w:w="7767" w:type="dxa"/>
        </w:tcPr>
        <w:p w14:paraId="3B160329" w14:textId="77777777" w:rsidR="007F3724" w:rsidRPr="0013739A" w:rsidRDefault="007F3724" w:rsidP="006606FA">
          <w:pPr>
            <w:pStyle w:val="Footer"/>
            <w:rPr>
              <w:rFonts w:cs="Arial"/>
            </w:rPr>
          </w:pPr>
          <w:r w:rsidRPr="00A07354">
            <w:rPr>
              <w:rFonts w:cs="Arial"/>
            </w:rPr>
            <w:t>Horizontal Fiscal Equalisation</w:t>
          </w:r>
        </w:p>
      </w:tc>
      <w:tc>
        <w:tcPr>
          <w:tcW w:w="510" w:type="dxa"/>
        </w:tcPr>
        <w:p w14:paraId="56840553" w14:textId="77777777" w:rsidR="007F3724" w:rsidRDefault="007F3724" w:rsidP="006606FA">
          <w:pPr>
            <w:pStyle w:val="Footer"/>
          </w:pPr>
        </w:p>
      </w:tc>
    </w:tr>
  </w:tbl>
  <w:p w14:paraId="549CD36D" w14:textId="77777777" w:rsidR="007F3724" w:rsidRDefault="007F3724" w:rsidP="006606FA">
    <w:pPr>
      <w:pStyle w:val="FooterEnd"/>
    </w:pPr>
  </w:p>
  <w:p w14:paraId="1F67EBDE" w14:textId="77777777" w:rsidR="007F3724" w:rsidRDefault="007F3724">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58" w14:textId="77777777" w:rsidTr="00F05DC7">
      <w:trPr>
        <w:trHeight w:val="567"/>
      </w:trPr>
      <w:tc>
        <w:tcPr>
          <w:tcW w:w="510" w:type="dxa"/>
          <w:tcBorders>
            <w:top w:val="single" w:sz="4" w:space="0" w:color="auto"/>
          </w:tcBorders>
          <w:shd w:val="clear" w:color="auto" w:fill="auto"/>
        </w:tcPr>
        <w:p w14:paraId="7954D755"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130</w:t>
          </w:r>
          <w:r>
            <w:rPr>
              <w:rStyle w:val="PageNumber"/>
            </w:rPr>
            <w:fldChar w:fldCharType="end"/>
          </w:r>
        </w:p>
      </w:tc>
      <w:tc>
        <w:tcPr>
          <w:tcW w:w="7767" w:type="dxa"/>
          <w:tcBorders>
            <w:top w:val="single" w:sz="4" w:space="0" w:color="auto"/>
          </w:tcBorders>
          <w:shd w:val="clear" w:color="auto" w:fill="auto"/>
        </w:tcPr>
        <w:p w14:paraId="7954D756"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57" w14:textId="77777777" w:rsidR="007F3724" w:rsidRDefault="007F3724" w:rsidP="00F05DC7">
          <w:pPr>
            <w:pStyle w:val="Footer"/>
            <w:rPr>
              <w:rStyle w:val="PageNumber"/>
              <w:b w:val="0"/>
            </w:rPr>
          </w:pPr>
        </w:p>
      </w:tc>
    </w:tr>
  </w:tbl>
  <w:p w14:paraId="7954D759" w14:textId="77777777" w:rsidR="007F3724" w:rsidRPr="00F05DC7" w:rsidRDefault="007F3724" w:rsidP="00F05DC7">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5D" w14:textId="77777777" w:rsidTr="00F05DC7">
      <w:trPr>
        <w:trHeight w:val="567"/>
      </w:trPr>
      <w:tc>
        <w:tcPr>
          <w:tcW w:w="510" w:type="dxa"/>
          <w:tcBorders>
            <w:top w:val="single" w:sz="4" w:space="0" w:color="auto"/>
          </w:tcBorders>
          <w:shd w:val="clear" w:color="auto" w:fill="auto"/>
        </w:tcPr>
        <w:p w14:paraId="7954D75A"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75B" w14:textId="77777777" w:rsidR="007F3724" w:rsidRDefault="007F3724" w:rsidP="00F05DC7">
          <w:pPr>
            <w:pStyle w:val="Footer"/>
            <w:jc w:val="right"/>
            <w:rPr>
              <w:rStyle w:val="PageNumber"/>
              <w:b w:val="0"/>
            </w:rPr>
          </w:pPr>
          <w:r>
            <w:rPr>
              <w:rStyle w:val="PageNumber"/>
              <w:b w:val="0"/>
            </w:rPr>
            <w:t>STATE INCENTIVES</w:t>
          </w:r>
        </w:p>
      </w:tc>
      <w:tc>
        <w:tcPr>
          <w:tcW w:w="510" w:type="dxa"/>
          <w:tcBorders>
            <w:top w:val="single" w:sz="4" w:space="0" w:color="auto"/>
          </w:tcBorders>
          <w:shd w:val="clear" w:color="auto" w:fill="auto"/>
        </w:tcPr>
        <w:p w14:paraId="7954D75C"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129</w:t>
          </w:r>
          <w:r>
            <w:rPr>
              <w:rStyle w:val="PageNumber"/>
            </w:rPr>
            <w:fldChar w:fldCharType="end"/>
          </w:r>
        </w:p>
      </w:tc>
    </w:tr>
  </w:tbl>
  <w:p w14:paraId="7954D75E" w14:textId="77777777" w:rsidR="007F3724" w:rsidRPr="00F05DC7" w:rsidRDefault="007F3724" w:rsidP="00F05DC7">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6A" w14:textId="77777777" w:rsidTr="00F05DC7">
      <w:trPr>
        <w:trHeight w:val="567"/>
      </w:trPr>
      <w:tc>
        <w:tcPr>
          <w:tcW w:w="510" w:type="dxa"/>
          <w:tcBorders>
            <w:top w:val="single" w:sz="4" w:space="0" w:color="auto"/>
          </w:tcBorders>
          <w:shd w:val="clear" w:color="auto" w:fill="auto"/>
        </w:tcPr>
        <w:p w14:paraId="7954D767"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150</w:t>
          </w:r>
          <w:r>
            <w:rPr>
              <w:rStyle w:val="PageNumber"/>
            </w:rPr>
            <w:fldChar w:fldCharType="end"/>
          </w:r>
        </w:p>
      </w:tc>
      <w:tc>
        <w:tcPr>
          <w:tcW w:w="7767" w:type="dxa"/>
          <w:tcBorders>
            <w:top w:val="single" w:sz="4" w:space="0" w:color="auto"/>
          </w:tcBorders>
          <w:shd w:val="clear" w:color="auto" w:fill="auto"/>
        </w:tcPr>
        <w:p w14:paraId="7954D768"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69" w14:textId="77777777" w:rsidR="007F3724" w:rsidRDefault="007F3724" w:rsidP="00F05DC7">
          <w:pPr>
            <w:pStyle w:val="Footer"/>
            <w:rPr>
              <w:rStyle w:val="PageNumber"/>
              <w:b w:val="0"/>
            </w:rPr>
          </w:pPr>
        </w:p>
      </w:tc>
    </w:tr>
  </w:tbl>
  <w:p w14:paraId="7954D76B" w14:textId="77777777" w:rsidR="007F3724" w:rsidRPr="00F05DC7" w:rsidRDefault="007F3724" w:rsidP="00F05DC7">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6F" w14:textId="77777777" w:rsidTr="00F05DC7">
      <w:trPr>
        <w:trHeight w:val="567"/>
      </w:trPr>
      <w:tc>
        <w:tcPr>
          <w:tcW w:w="510" w:type="dxa"/>
          <w:tcBorders>
            <w:top w:val="single" w:sz="4" w:space="0" w:color="auto"/>
          </w:tcBorders>
          <w:shd w:val="clear" w:color="auto" w:fill="auto"/>
        </w:tcPr>
        <w:p w14:paraId="7954D76C"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76D" w14:textId="77777777" w:rsidR="007F3724" w:rsidRDefault="007F3724" w:rsidP="00F05DC7">
          <w:pPr>
            <w:pStyle w:val="Footer"/>
            <w:jc w:val="right"/>
            <w:rPr>
              <w:rStyle w:val="PageNumber"/>
              <w:b w:val="0"/>
            </w:rPr>
          </w:pPr>
          <w:r>
            <w:rPr>
              <w:rStyle w:val="PageNumber"/>
              <w:b w:val="0"/>
            </w:rPr>
            <w:t>BUDGET MANAGEMENT</w:t>
          </w:r>
        </w:p>
      </w:tc>
      <w:tc>
        <w:tcPr>
          <w:tcW w:w="510" w:type="dxa"/>
          <w:tcBorders>
            <w:top w:val="single" w:sz="4" w:space="0" w:color="auto"/>
          </w:tcBorders>
          <w:shd w:val="clear" w:color="auto" w:fill="auto"/>
        </w:tcPr>
        <w:p w14:paraId="7954D76E"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149</w:t>
          </w:r>
          <w:r>
            <w:rPr>
              <w:rStyle w:val="PageNumber"/>
            </w:rPr>
            <w:fldChar w:fldCharType="end"/>
          </w:r>
        </w:p>
      </w:tc>
    </w:tr>
  </w:tbl>
  <w:p w14:paraId="7954D770" w14:textId="77777777" w:rsidR="007F3724" w:rsidRPr="00F05DC7" w:rsidRDefault="007F3724" w:rsidP="00F05DC7">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7C" w14:textId="77777777" w:rsidTr="00F05DC7">
      <w:trPr>
        <w:trHeight w:val="567"/>
      </w:trPr>
      <w:tc>
        <w:tcPr>
          <w:tcW w:w="510" w:type="dxa"/>
          <w:tcBorders>
            <w:top w:val="single" w:sz="4" w:space="0" w:color="auto"/>
          </w:tcBorders>
          <w:shd w:val="clear" w:color="auto" w:fill="auto"/>
        </w:tcPr>
        <w:p w14:paraId="7954D779"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162</w:t>
          </w:r>
          <w:r>
            <w:rPr>
              <w:rStyle w:val="PageNumber"/>
            </w:rPr>
            <w:fldChar w:fldCharType="end"/>
          </w:r>
        </w:p>
      </w:tc>
      <w:tc>
        <w:tcPr>
          <w:tcW w:w="7767" w:type="dxa"/>
          <w:tcBorders>
            <w:top w:val="single" w:sz="4" w:space="0" w:color="auto"/>
          </w:tcBorders>
          <w:shd w:val="clear" w:color="auto" w:fill="auto"/>
        </w:tcPr>
        <w:p w14:paraId="7954D77A"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7B" w14:textId="77777777" w:rsidR="007F3724" w:rsidRDefault="007F3724" w:rsidP="00F05DC7">
          <w:pPr>
            <w:pStyle w:val="Footer"/>
            <w:rPr>
              <w:rStyle w:val="PageNumber"/>
              <w:b w:val="0"/>
            </w:rPr>
          </w:pPr>
        </w:p>
      </w:tc>
    </w:tr>
  </w:tbl>
  <w:p w14:paraId="7954D77D" w14:textId="77777777" w:rsidR="007F3724" w:rsidRPr="00F05DC7" w:rsidRDefault="007F3724" w:rsidP="00F05DC7">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81" w14:textId="77777777" w:rsidTr="00F05DC7">
      <w:trPr>
        <w:trHeight w:val="567"/>
      </w:trPr>
      <w:tc>
        <w:tcPr>
          <w:tcW w:w="510" w:type="dxa"/>
          <w:tcBorders>
            <w:top w:val="single" w:sz="4" w:space="0" w:color="auto"/>
          </w:tcBorders>
          <w:shd w:val="clear" w:color="auto" w:fill="auto"/>
        </w:tcPr>
        <w:p w14:paraId="7954D77E"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77F" w14:textId="77777777" w:rsidR="007F3724" w:rsidRDefault="007F3724" w:rsidP="00F05DC7">
          <w:pPr>
            <w:pStyle w:val="Footer"/>
            <w:jc w:val="right"/>
            <w:rPr>
              <w:rStyle w:val="PageNumber"/>
              <w:b w:val="0"/>
            </w:rPr>
          </w:pPr>
          <w:r>
            <w:rPr>
              <w:rStyle w:val="PageNumber"/>
              <w:b w:val="0"/>
            </w:rPr>
            <w:t>INTERSTATE MIGRATION</w:t>
          </w:r>
        </w:p>
      </w:tc>
      <w:tc>
        <w:tcPr>
          <w:tcW w:w="510" w:type="dxa"/>
          <w:tcBorders>
            <w:top w:val="single" w:sz="4" w:space="0" w:color="auto"/>
          </w:tcBorders>
          <w:shd w:val="clear" w:color="auto" w:fill="auto"/>
        </w:tcPr>
        <w:p w14:paraId="7954D780"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161</w:t>
          </w:r>
          <w:r>
            <w:rPr>
              <w:rStyle w:val="PageNumber"/>
            </w:rPr>
            <w:fldChar w:fldCharType="end"/>
          </w:r>
        </w:p>
      </w:tc>
    </w:tr>
  </w:tbl>
  <w:p w14:paraId="7954D782" w14:textId="77777777" w:rsidR="007F3724" w:rsidRPr="00F05DC7" w:rsidRDefault="007F3724" w:rsidP="00F05DC7">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8E" w14:textId="77777777" w:rsidTr="00F05DC7">
      <w:trPr>
        <w:trHeight w:val="567"/>
      </w:trPr>
      <w:tc>
        <w:tcPr>
          <w:tcW w:w="510" w:type="dxa"/>
          <w:tcBorders>
            <w:top w:val="single" w:sz="4" w:space="0" w:color="auto"/>
          </w:tcBorders>
          <w:shd w:val="clear" w:color="auto" w:fill="auto"/>
        </w:tcPr>
        <w:p w14:paraId="7954D78B"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190</w:t>
          </w:r>
          <w:r>
            <w:rPr>
              <w:rStyle w:val="PageNumber"/>
            </w:rPr>
            <w:fldChar w:fldCharType="end"/>
          </w:r>
        </w:p>
      </w:tc>
      <w:tc>
        <w:tcPr>
          <w:tcW w:w="7767" w:type="dxa"/>
          <w:tcBorders>
            <w:top w:val="single" w:sz="4" w:space="0" w:color="auto"/>
          </w:tcBorders>
          <w:shd w:val="clear" w:color="auto" w:fill="auto"/>
        </w:tcPr>
        <w:p w14:paraId="7954D78C"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8D" w14:textId="77777777" w:rsidR="007F3724" w:rsidRDefault="007F3724" w:rsidP="00F05DC7">
          <w:pPr>
            <w:pStyle w:val="Footer"/>
            <w:rPr>
              <w:rStyle w:val="PageNumber"/>
              <w:b w:val="0"/>
            </w:rPr>
          </w:pPr>
        </w:p>
      </w:tc>
    </w:tr>
  </w:tbl>
  <w:p w14:paraId="7954D78F" w14:textId="77777777" w:rsidR="007F3724" w:rsidRPr="00F05DC7" w:rsidRDefault="007F3724" w:rsidP="00F05DC7">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93" w14:textId="77777777" w:rsidTr="00F05DC7">
      <w:trPr>
        <w:trHeight w:val="567"/>
      </w:trPr>
      <w:tc>
        <w:tcPr>
          <w:tcW w:w="510" w:type="dxa"/>
          <w:tcBorders>
            <w:top w:val="single" w:sz="4" w:space="0" w:color="auto"/>
          </w:tcBorders>
          <w:shd w:val="clear" w:color="auto" w:fill="auto"/>
        </w:tcPr>
        <w:p w14:paraId="7954D790"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791" w14:textId="77777777" w:rsidR="007F3724" w:rsidRDefault="007F3724" w:rsidP="00F05DC7">
          <w:pPr>
            <w:pStyle w:val="Footer"/>
            <w:jc w:val="right"/>
            <w:rPr>
              <w:rStyle w:val="PageNumber"/>
              <w:b w:val="0"/>
            </w:rPr>
          </w:pPr>
          <w:r>
            <w:rPr>
              <w:rStyle w:val="PageNumber"/>
              <w:b w:val="0"/>
            </w:rPr>
            <w:t>SUMMING UP THE NEED FOR CHANGE</w:t>
          </w:r>
        </w:p>
      </w:tc>
      <w:tc>
        <w:tcPr>
          <w:tcW w:w="510" w:type="dxa"/>
          <w:tcBorders>
            <w:top w:val="single" w:sz="4" w:space="0" w:color="auto"/>
          </w:tcBorders>
          <w:shd w:val="clear" w:color="auto" w:fill="auto"/>
        </w:tcPr>
        <w:p w14:paraId="7954D792"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189</w:t>
          </w:r>
          <w:r>
            <w:rPr>
              <w:rStyle w:val="PageNumber"/>
            </w:rPr>
            <w:fldChar w:fldCharType="end"/>
          </w:r>
        </w:p>
      </w:tc>
    </w:tr>
  </w:tbl>
  <w:p w14:paraId="7954D794" w14:textId="77777777" w:rsidR="007F3724" w:rsidRPr="00F05DC7" w:rsidRDefault="007F3724" w:rsidP="00F05DC7">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A0" w14:textId="77777777" w:rsidTr="00F05DC7">
      <w:trPr>
        <w:trHeight w:val="567"/>
      </w:trPr>
      <w:tc>
        <w:tcPr>
          <w:tcW w:w="510" w:type="dxa"/>
          <w:tcBorders>
            <w:top w:val="single" w:sz="4" w:space="0" w:color="auto"/>
          </w:tcBorders>
          <w:shd w:val="clear" w:color="auto" w:fill="auto"/>
        </w:tcPr>
        <w:p w14:paraId="7954D79D"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218</w:t>
          </w:r>
          <w:r>
            <w:rPr>
              <w:rStyle w:val="PageNumber"/>
            </w:rPr>
            <w:fldChar w:fldCharType="end"/>
          </w:r>
        </w:p>
      </w:tc>
      <w:tc>
        <w:tcPr>
          <w:tcW w:w="7767" w:type="dxa"/>
          <w:tcBorders>
            <w:top w:val="single" w:sz="4" w:space="0" w:color="auto"/>
          </w:tcBorders>
          <w:shd w:val="clear" w:color="auto" w:fill="auto"/>
        </w:tcPr>
        <w:p w14:paraId="7954D79E"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9F" w14:textId="77777777" w:rsidR="007F3724" w:rsidRDefault="007F3724" w:rsidP="00F05DC7">
          <w:pPr>
            <w:pStyle w:val="Footer"/>
            <w:rPr>
              <w:rStyle w:val="PageNumber"/>
              <w:b w:val="0"/>
            </w:rPr>
          </w:pPr>
        </w:p>
      </w:tc>
    </w:tr>
  </w:tbl>
  <w:p w14:paraId="7954D7A1" w14:textId="77777777" w:rsidR="007F3724" w:rsidRPr="00F05DC7" w:rsidRDefault="007F3724" w:rsidP="00F05DC7">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A5" w14:textId="77777777" w:rsidTr="00F05DC7">
      <w:trPr>
        <w:trHeight w:val="567"/>
      </w:trPr>
      <w:tc>
        <w:tcPr>
          <w:tcW w:w="510" w:type="dxa"/>
          <w:tcBorders>
            <w:top w:val="single" w:sz="4" w:space="0" w:color="auto"/>
          </w:tcBorders>
          <w:shd w:val="clear" w:color="auto" w:fill="auto"/>
        </w:tcPr>
        <w:p w14:paraId="7954D7A2"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7A3" w14:textId="77777777" w:rsidR="007F3724" w:rsidRDefault="007F3724" w:rsidP="00F05DC7">
          <w:pPr>
            <w:pStyle w:val="Footer"/>
            <w:jc w:val="right"/>
            <w:rPr>
              <w:rStyle w:val="PageNumber"/>
              <w:b w:val="0"/>
            </w:rPr>
          </w:pPr>
          <w:r>
            <w:rPr>
              <w:rStyle w:val="PageNumber"/>
              <w:b w:val="0"/>
            </w:rPr>
            <w:t>BETTER WAYS TO ASSESS FISCAL CAPACITY</w:t>
          </w:r>
        </w:p>
      </w:tc>
      <w:tc>
        <w:tcPr>
          <w:tcW w:w="510" w:type="dxa"/>
          <w:tcBorders>
            <w:top w:val="single" w:sz="4" w:space="0" w:color="auto"/>
          </w:tcBorders>
          <w:shd w:val="clear" w:color="auto" w:fill="auto"/>
        </w:tcPr>
        <w:p w14:paraId="7954D7A4"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219</w:t>
          </w:r>
          <w:r>
            <w:rPr>
              <w:rStyle w:val="PageNumber"/>
            </w:rPr>
            <w:fldChar w:fldCharType="end"/>
          </w:r>
        </w:p>
      </w:tc>
    </w:tr>
  </w:tbl>
  <w:p w14:paraId="7954D7A6" w14:textId="77777777" w:rsidR="007F3724" w:rsidRPr="00F05DC7" w:rsidRDefault="007F3724" w:rsidP="00F05DC7">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329CE3D3" w14:textId="77777777" w:rsidTr="006606FA">
      <w:trPr>
        <w:trHeight w:hRule="exact" w:val="567"/>
      </w:trPr>
      <w:tc>
        <w:tcPr>
          <w:tcW w:w="510" w:type="dxa"/>
        </w:tcPr>
        <w:p w14:paraId="07E6E78B" w14:textId="77777777" w:rsidR="007F3724" w:rsidRDefault="007F3724">
          <w:pPr>
            <w:pStyle w:val="Footer"/>
            <w:ind w:right="360" w:firstLine="360"/>
          </w:pPr>
        </w:p>
      </w:tc>
      <w:tc>
        <w:tcPr>
          <w:tcW w:w="7767" w:type="dxa"/>
        </w:tcPr>
        <w:p w14:paraId="404D85DB" w14:textId="77777777" w:rsidR="007F3724" w:rsidRPr="00752FFF" w:rsidRDefault="007F3724" w:rsidP="006606FA">
          <w:pPr>
            <w:pStyle w:val="Footer"/>
            <w:jc w:val="right"/>
            <w:rPr>
              <w:rFonts w:cs="Arial"/>
            </w:rPr>
          </w:pPr>
          <w:r>
            <w:rPr>
              <w:noProof/>
            </w:rPr>
            <w:t>Terms of reference</w:t>
          </w:r>
        </w:p>
      </w:tc>
      <w:tc>
        <w:tcPr>
          <w:tcW w:w="510" w:type="dxa"/>
        </w:tcPr>
        <w:p w14:paraId="7914EB89" w14:textId="77777777" w:rsidR="007F3724" w:rsidRPr="00A24443" w:rsidRDefault="007F372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7E22">
            <w:rPr>
              <w:rStyle w:val="PageNumber"/>
              <w:caps w:val="0"/>
              <w:noProof/>
            </w:rPr>
            <w:t>v</w:t>
          </w:r>
          <w:r w:rsidRPr="00A24443">
            <w:rPr>
              <w:rStyle w:val="PageNumber"/>
              <w:caps w:val="0"/>
            </w:rPr>
            <w:fldChar w:fldCharType="end"/>
          </w:r>
        </w:p>
      </w:tc>
    </w:tr>
  </w:tbl>
  <w:p w14:paraId="47DCF5A3" w14:textId="77777777" w:rsidR="007F3724" w:rsidRDefault="007F3724">
    <w:pPr>
      <w:pStyle w:val="FooterEnd"/>
    </w:pPr>
  </w:p>
  <w:p w14:paraId="02C83BD8" w14:textId="77777777" w:rsidR="007F3724" w:rsidRPr="00D01645" w:rsidRDefault="007F3724" w:rsidP="006606FA">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B2" w14:textId="77777777" w:rsidTr="00F05DC7">
      <w:trPr>
        <w:trHeight w:val="567"/>
      </w:trPr>
      <w:tc>
        <w:tcPr>
          <w:tcW w:w="510" w:type="dxa"/>
          <w:tcBorders>
            <w:top w:val="single" w:sz="4" w:space="0" w:color="auto"/>
          </w:tcBorders>
          <w:shd w:val="clear" w:color="auto" w:fill="auto"/>
        </w:tcPr>
        <w:p w14:paraId="7954D7AF"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236</w:t>
          </w:r>
          <w:r>
            <w:rPr>
              <w:rStyle w:val="PageNumber"/>
            </w:rPr>
            <w:fldChar w:fldCharType="end"/>
          </w:r>
        </w:p>
      </w:tc>
      <w:tc>
        <w:tcPr>
          <w:tcW w:w="7767" w:type="dxa"/>
          <w:tcBorders>
            <w:top w:val="single" w:sz="4" w:space="0" w:color="auto"/>
          </w:tcBorders>
          <w:shd w:val="clear" w:color="auto" w:fill="auto"/>
        </w:tcPr>
        <w:p w14:paraId="7954D7B0" w14:textId="77777777" w:rsidR="007F3724" w:rsidRDefault="007F3724" w:rsidP="00F05DC7">
          <w:pPr>
            <w:pStyle w:val="Footer"/>
          </w:pPr>
          <w:r>
            <w:t>HORIZONTAL FISCAL EQUALISATION</w:t>
          </w:r>
        </w:p>
      </w:tc>
      <w:tc>
        <w:tcPr>
          <w:tcW w:w="510" w:type="dxa"/>
          <w:tcBorders>
            <w:top w:val="single" w:sz="4" w:space="0" w:color="auto"/>
          </w:tcBorders>
          <w:shd w:val="clear" w:color="auto" w:fill="auto"/>
        </w:tcPr>
        <w:p w14:paraId="7954D7B1" w14:textId="77777777" w:rsidR="007F3724" w:rsidRDefault="007F3724" w:rsidP="00F05DC7">
          <w:pPr>
            <w:pStyle w:val="Footer"/>
          </w:pPr>
        </w:p>
      </w:tc>
    </w:tr>
  </w:tbl>
  <w:p w14:paraId="7954D7B3" w14:textId="77777777" w:rsidR="007F3724" w:rsidRPr="00F05DC7" w:rsidRDefault="007F3724" w:rsidP="00F05DC7">
    <w:pPr>
      <w:pStyle w:val="FooterEnd"/>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B7" w14:textId="77777777" w:rsidTr="00F05DC7">
      <w:trPr>
        <w:trHeight w:val="567"/>
      </w:trPr>
      <w:tc>
        <w:tcPr>
          <w:tcW w:w="510" w:type="dxa"/>
          <w:tcBorders>
            <w:top w:val="single" w:sz="4" w:space="0" w:color="auto"/>
          </w:tcBorders>
          <w:shd w:val="clear" w:color="auto" w:fill="auto"/>
        </w:tcPr>
        <w:p w14:paraId="7954D7B4" w14:textId="77777777" w:rsidR="007F3724" w:rsidRDefault="007F3724" w:rsidP="00F05DC7">
          <w:pPr>
            <w:pStyle w:val="Footer"/>
          </w:pPr>
        </w:p>
      </w:tc>
      <w:tc>
        <w:tcPr>
          <w:tcW w:w="7767" w:type="dxa"/>
          <w:tcBorders>
            <w:top w:val="single" w:sz="4" w:space="0" w:color="auto"/>
          </w:tcBorders>
          <w:shd w:val="clear" w:color="auto" w:fill="auto"/>
        </w:tcPr>
        <w:p w14:paraId="7954D7B5" w14:textId="77777777" w:rsidR="007F3724" w:rsidRDefault="007F3724" w:rsidP="00F05DC7">
          <w:pPr>
            <w:pStyle w:val="Footer"/>
            <w:jc w:val="right"/>
          </w:pPr>
          <w:r>
            <w:t>ALTERNATIVE BENCHMARKS</w:t>
          </w:r>
        </w:p>
      </w:tc>
      <w:tc>
        <w:tcPr>
          <w:tcW w:w="510" w:type="dxa"/>
          <w:tcBorders>
            <w:top w:val="single" w:sz="4" w:space="0" w:color="auto"/>
          </w:tcBorders>
          <w:shd w:val="clear" w:color="auto" w:fill="auto"/>
        </w:tcPr>
        <w:p w14:paraId="7954D7B6"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235</w:t>
          </w:r>
          <w:r>
            <w:rPr>
              <w:rStyle w:val="PageNumber"/>
            </w:rPr>
            <w:fldChar w:fldCharType="end"/>
          </w:r>
        </w:p>
      </w:tc>
    </w:tr>
  </w:tbl>
  <w:p w14:paraId="7954D7B8" w14:textId="77777777" w:rsidR="007F3724" w:rsidRPr="00F05DC7" w:rsidRDefault="007F3724" w:rsidP="00F05DC7">
    <w:pPr>
      <w:pStyle w:val="FooterEnd"/>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7BB"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240</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7BC"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237</w:t>
    </w:r>
    <w:r>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C8" w14:textId="77777777" w:rsidTr="00F05DC7">
      <w:trPr>
        <w:trHeight w:val="567"/>
      </w:trPr>
      <w:tc>
        <w:tcPr>
          <w:tcW w:w="510" w:type="dxa"/>
          <w:tcBorders>
            <w:top w:val="single" w:sz="4" w:space="0" w:color="auto"/>
          </w:tcBorders>
          <w:shd w:val="clear" w:color="auto" w:fill="auto"/>
        </w:tcPr>
        <w:p w14:paraId="7954D7C5"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254</w:t>
          </w:r>
          <w:r>
            <w:rPr>
              <w:rStyle w:val="PageNumber"/>
            </w:rPr>
            <w:fldChar w:fldCharType="end"/>
          </w:r>
        </w:p>
      </w:tc>
      <w:tc>
        <w:tcPr>
          <w:tcW w:w="7767" w:type="dxa"/>
          <w:tcBorders>
            <w:top w:val="single" w:sz="4" w:space="0" w:color="auto"/>
          </w:tcBorders>
          <w:shd w:val="clear" w:color="auto" w:fill="auto"/>
        </w:tcPr>
        <w:p w14:paraId="7954D7C6"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C7" w14:textId="77777777" w:rsidR="007F3724" w:rsidRDefault="007F3724" w:rsidP="00F05DC7">
          <w:pPr>
            <w:pStyle w:val="Footer"/>
            <w:rPr>
              <w:rStyle w:val="PageNumber"/>
              <w:b w:val="0"/>
            </w:rPr>
          </w:pPr>
        </w:p>
      </w:tc>
    </w:tr>
  </w:tbl>
  <w:p w14:paraId="7954D7C9" w14:textId="77777777" w:rsidR="007F3724" w:rsidRPr="00F05DC7" w:rsidRDefault="007F3724" w:rsidP="00F05DC7">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CD" w14:textId="77777777" w:rsidTr="00F05DC7">
      <w:trPr>
        <w:trHeight w:val="567"/>
      </w:trPr>
      <w:tc>
        <w:tcPr>
          <w:tcW w:w="510" w:type="dxa"/>
          <w:tcBorders>
            <w:top w:val="single" w:sz="4" w:space="0" w:color="auto"/>
          </w:tcBorders>
          <w:shd w:val="clear" w:color="auto" w:fill="auto"/>
        </w:tcPr>
        <w:p w14:paraId="7954D7CA"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7CB" w14:textId="77777777" w:rsidR="007F3724" w:rsidRDefault="007F3724" w:rsidP="00F05DC7">
          <w:pPr>
            <w:pStyle w:val="Footer"/>
            <w:jc w:val="right"/>
            <w:rPr>
              <w:rStyle w:val="PageNumber"/>
              <w:b w:val="0"/>
            </w:rPr>
          </w:pPr>
          <w:r>
            <w:rPr>
              <w:rStyle w:val="PageNumber"/>
              <w:b w:val="0"/>
            </w:rPr>
            <w:t>ALTERNATIVE BENCHMARKS</w:t>
          </w:r>
        </w:p>
      </w:tc>
      <w:tc>
        <w:tcPr>
          <w:tcW w:w="510" w:type="dxa"/>
          <w:tcBorders>
            <w:top w:val="single" w:sz="4" w:space="0" w:color="auto"/>
          </w:tcBorders>
          <w:shd w:val="clear" w:color="auto" w:fill="auto"/>
        </w:tcPr>
        <w:p w14:paraId="7954D7CC"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255</w:t>
          </w:r>
          <w:r>
            <w:rPr>
              <w:rStyle w:val="PageNumber"/>
            </w:rPr>
            <w:fldChar w:fldCharType="end"/>
          </w:r>
        </w:p>
      </w:tc>
    </w:tr>
  </w:tbl>
  <w:p w14:paraId="7954D7CE" w14:textId="77777777" w:rsidR="007F3724" w:rsidRPr="00F05DC7" w:rsidRDefault="007F3724" w:rsidP="00F05DC7">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DA" w14:textId="77777777" w:rsidTr="00F05DC7">
      <w:trPr>
        <w:trHeight w:val="567"/>
      </w:trPr>
      <w:tc>
        <w:tcPr>
          <w:tcW w:w="510" w:type="dxa"/>
          <w:tcBorders>
            <w:top w:val="single" w:sz="4" w:space="0" w:color="auto"/>
          </w:tcBorders>
          <w:shd w:val="clear" w:color="auto" w:fill="auto"/>
        </w:tcPr>
        <w:p w14:paraId="7954D7D7"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284</w:t>
          </w:r>
          <w:r>
            <w:rPr>
              <w:rStyle w:val="PageNumber"/>
            </w:rPr>
            <w:fldChar w:fldCharType="end"/>
          </w:r>
        </w:p>
      </w:tc>
      <w:tc>
        <w:tcPr>
          <w:tcW w:w="7767" w:type="dxa"/>
          <w:tcBorders>
            <w:top w:val="single" w:sz="4" w:space="0" w:color="auto"/>
          </w:tcBorders>
          <w:shd w:val="clear" w:color="auto" w:fill="auto"/>
        </w:tcPr>
        <w:p w14:paraId="7954D7D8"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D9" w14:textId="77777777" w:rsidR="007F3724" w:rsidRDefault="007F3724" w:rsidP="00F05DC7">
          <w:pPr>
            <w:pStyle w:val="Footer"/>
            <w:rPr>
              <w:rStyle w:val="PageNumber"/>
              <w:b w:val="0"/>
            </w:rPr>
          </w:pPr>
        </w:p>
      </w:tc>
    </w:tr>
  </w:tbl>
  <w:p w14:paraId="7954D7DB" w14:textId="77777777" w:rsidR="007F3724" w:rsidRPr="00F05DC7" w:rsidRDefault="007F3724" w:rsidP="00F05DC7">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DF" w14:textId="77777777" w:rsidTr="00F05DC7">
      <w:trPr>
        <w:trHeight w:val="567"/>
      </w:trPr>
      <w:tc>
        <w:tcPr>
          <w:tcW w:w="510" w:type="dxa"/>
          <w:tcBorders>
            <w:top w:val="single" w:sz="4" w:space="0" w:color="auto"/>
          </w:tcBorders>
          <w:shd w:val="clear" w:color="auto" w:fill="auto"/>
        </w:tcPr>
        <w:p w14:paraId="7954D7DC"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7DD" w14:textId="77777777" w:rsidR="007F3724" w:rsidRDefault="007F3724" w:rsidP="00F05DC7">
          <w:pPr>
            <w:pStyle w:val="Footer"/>
            <w:jc w:val="right"/>
            <w:rPr>
              <w:rStyle w:val="PageNumber"/>
              <w:b w:val="0"/>
            </w:rPr>
          </w:pPr>
          <w:r>
            <w:rPr>
              <w:rStyle w:val="PageNumber"/>
              <w:b w:val="0"/>
            </w:rPr>
            <w:t>THE WAY AHEAD</w:t>
          </w:r>
        </w:p>
      </w:tc>
      <w:tc>
        <w:tcPr>
          <w:tcW w:w="510" w:type="dxa"/>
          <w:tcBorders>
            <w:top w:val="single" w:sz="4" w:space="0" w:color="auto"/>
          </w:tcBorders>
          <w:shd w:val="clear" w:color="auto" w:fill="auto"/>
        </w:tcPr>
        <w:p w14:paraId="7954D7DE"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283</w:t>
          </w:r>
          <w:r>
            <w:rPr>
              <w:rStyle w:val="PageNumber"/>
            </w:rPr>
            <w:fldChar w:fldCharType="end"/>
          </w:r>
        </w:p>
      </w:tc>
    </w:tr>
  </w:tbl>
  <w:p w14:paraId="7954D7E0" w14:textId="77777777" w:rsidR="007F3724" w:rsidRPr="00F05DC7" w:rsidRDefault="007F3724" w:rsidP="00F05DC7">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EC" w14:textId="77777777" w:rsidTr="00F05DC7">
      <w:trPr>
        <w:trHeight w:val="567"/>
      </w:trPr>
      <w:tc>
        <w:tcPr>
          <w:tcW w:w="510" w:type="dxa"/>
          <w:tcBorders>
            <w:top w:val="single" w:sz="4" w:space="0" w:color="auto"/>
          </w:tcBorders>
          <w:shd w:val="clear" w:color="auto" w:fill="auto"/>
        </w:tcPr>
        <w:p w14:paraId="7954D7E9"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292</w:t>
          </w:r>
          <w:r>
            <w:rPr>
              <w:rStyle w:val="PageNumber"/>
            </w:rPr>
            <w:fldChar w:fldCharType="end"/>
          </w:r>
        </w:p>
      </w:tc>
      <w:tc>
        <w:tcPr>
          <w:tcW w:w="7767" w:type="dxa"/>
          <w:tcBorders>
            <w:top w:val="single" w:sz="4" w:space="0" w:color="auto"/>
          </w:tcBorders>
          <w:shd w:val="clear" w:color="auto" w:fill="auto"/>
        </w:tcPr>
        <w:p w14:paraId="7954D7EA"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EB" w14:textId="77777777" w:rsidR="007F3724" w:rsidRDefault="007F3724" w:rsidP="00F05DC7">
          <w:pPr>
            <w:pStyle w:val="Footer"/>
            <w:rPr>
              <w:rStyle w:val="PageNumber"/>
              <w:b w:val="0"/>
            </w:rPr>
          </w:pPr>
        </w:p>
      </w:tc>
    </w:tr>
  </w:tbl>
  <w:p w14:paraId="7954D7ED" w14:textId="77777777" w:rsidR="007F3724" w:rsidRPr="00F05DC7" w:rsidRDefault="007F3724" w:rsidP="00F05DC7">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F1" w14:textId="77777777" w:rsidTr="00F05DC7">
      <w:trPr>
        <w:trHeight w:val="567"/>
      </w:trPr>
      <w:tc>
        <w:tcPr>
          <w:tcW w:w="510" w:type="dxa"/>
          <w:tcBorders>
            <w:top w:val="single" w:sz="4" w:space="0" w:color="auto"/>
          </w:tcBorders>
          <w:shd w:val="clear" w:color="auto" w:fill="auto"/>
        </w:tcPr>
        <w:p w14:paraId="7954D7EE"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7EF" w14:textId="77777777" w:rsidR="007F3724" w:rsidRDefault="007F3724" w:rsidP="00F05DC7">
          <w:pPr>
            <w:pStyle w:val="Footer"/>
            <w:jc w:val="right"/>
            <w:rPr>
              <w:rStyle w:val="PageNumber"/>
              <w:b w:val="0"/>
            </w:rPr>
          </w:pPr>
          <w:r>
            <w:rPr>
              <w:rStyle w:val="PageNumber"/>
              <w:b w:val="0"/>
            </w:rPr>
            <w:t>PUBLIC CONSULTATION</w:t>
          </w:r>
        </w:p>
      </w:tc>
      <w:tc>
        <w:tcPr>
          <w:tcW w:w="510" w:type="dxa"/>
          <w:tcBorders>
            <w:top w:val="single" w:sz="4" w:space="0" w:color="auto"/>
          </w:tcBorders>
          <w:shd w:val="clear" w:color="auto" w:fill="auto"/>
        </w:tcPr>
        <w:p w14:paraId="7954D7F0"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291</w:t>
          </w:r>
          <w:r>
            <w:rPr>
              <w:rStyle w:val="PageNumber"/>
            </w:rPr>
            <w:fldChar w:fldCharType="end"/>
          </w:r>
        </w:p>
      </w:tc>
    </w:tr>
  </w:tbl>
  <w:p w14:paraId="7954D7F2" w14:textId="77777777" w:rsidR="007F3724" w:rsidRPr="00F05DC7" w:rsidRDefault="007F3724" w:rsidP="00F05DC7">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2544E8F9" w14:textId="77777777" w:rsidTr="006606FA">
      <w:trPr>
        <w:trHeight w:hRule="exact" w:val="567"/>
      </w:trPr>
      <w:tc>
        <w:tcPr>
          <w:tcW w:w="510" w:type="dxa"/>
        </w:tcPr>
        <w:p w14:paraId="00699B6B" w14:textId="77777777" w:rsidR="007F3724" w:rsidRPr="00A24443" w:rsidRDefault="007F3724" w:rsidP="006606F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7E22">
            <w:rPr>
              <w:rStyle w:val="PageNumber"/>
              <w:caps w:val="0"/>
              <w:noProof/>
            </w:rPr>
            <w:t>viii</w:t>
          </w:r>
          <w:r w:rsidRPr="00A24443">
            <w:rPr>
              <w:rStyle w:val="PageNumber"/>
              <w:caps w:val="0"/>
            </w:rPr>
            <w:fldChar w:fldCharType="end"/>
          </w:r>
        </w:p>
      </w:tc>
      <w:tc>
        <w:tcPr>
          <w:tcW w:w="7767" w:type="dxa"/>
        </w:tcPr>
        <w:p w14:paraId="6E7BFC6F" w14:textId="6994B405" w:rsidR="007F3724" w:rsidRPr="0013739A" w:rsidRDefault="007F3724" w:rsidP="006606FA">
          <w:pPr>
            <w:pStyle w:val="Footer"/>
            <w:rPr>
              <w:rFonts w:cs="Arial"/>
            </w:rPr>
          </w:pPr>
          <w:r w:rsidRPr="00341944">
            <w:rPr>
              <w:rFonts w:cs="Arial"/>
            </w:rPr>
            <w:t>Horizontal Fiscal Equalisation</w:t>
          </w:r>
        </w:p>
      </w:tc>
      <w:tc>
        <w:tcPr>
          <w:tcW w:w="510" w:type="dxa"/>
        </w:tcPr>
        <w:p w14:paraId="259020BE" w14:textId="77777777" w:rsidR="007F3724" w:rsidRDefault="007F3724" w:rsidP="006606FA">
          <w:pPr>
            <w:pStyle w:val="Footer"/>
          </w:pPr>
        </w:p>
      </w:tc>
    </w:tr>
  </w:tbl>
  <w:p w14:paraId="5FAA6B07" w14:textId="77777777" w:rsidR="007F3724" w:rsidRDefault="007F3724" w:rsidP="006606FA">
    <w:pPr>
      <w:pStyle w:val="FooterEnd"/>
    </w:pPr>
  </w:p>
  <w:p w14:paraId="27D8CBD4" w14:textId="77777777" w:rsidR="007F3724" w:rsidRDefault="007F3724">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7FE" w14:textId="77777777" w:rsidTr="00F05DC7">
      <w:trPr>
        <w:trHeight w:val="567"/>
      </w:trPr>
      <w:tc>
        <w:tcPr>
          <w:tcW w:w="510" w:type="dxa"/>
          <w:tcBorders>
            <w:top w:val="single" w:sz="4" w:space="0" w:color="auto"/>
          </w:tcBorders>
          <w:shd w:val="clear" w:color="auto" w:fill="auto"/>
        </w:tcPr>
        <w:p w14:paraId="7954D7FB"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302</w:t>
          </w:r>
          <w:r>
            <w:rPr>
              <w:rStyle w:val="PageNumber"/>
            </w:rPr>
            <w:fldChar w:fldCharType="end"/>
          </w:r>
        </w:p>
      </w:tc>
      <w:tc>
        <w:tcPr>
          <w:tcW w:w="7767" w:type="dxa"/>
          <w:tcBorders>
            <w:top w:val="single" w:sz="4" w:space="0" w:color="auto"/>
          </w:tcBorders>
          <w:shd w:val="clear" w:color="auto" w:fill="auto"/>
        </w:tcPr>
        <w:p w14:paraId="7954D7FC"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7FD" w14:textId="77777777" w:rsidR="007F3724" w:rsidRDefault="007F3724" w:rsidP="00F05DC7">
          <w:pPr>
            <w:pStyle w:val="Footer"/>
            <w:rPr>
              <w:rStyle w:val="PageNumber"/>
              <w:b w:val="0"/>
            </w:rPr>
          </w:pPr>
        </w:p>
      </w:tc>
    </w:tr>
  </w:tbl>
  <w:p w14:paraId="7954D7FF" w14:textId="77777777" w:rsidR="007F3724" w:rsidRPr="00F05DC7" w:rsidRDefault="007F3724" w:rsidP="00F05DC7">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03" w14:textId="77777777" w:rsidTr="00F05DC7">
      <w:trPr>
        <w:trHeight w:val="567"/>
      </w:trPr>
      <w:tc>
        <w:tcPr>
          <w:tcW w:w="510" w:type="dxa"/>
          <w:tcBorders>
            <w:top w:val="single" w:sz="4" w:space="0" w:color="auto"/>
          </w:tcBorders>
          <w:shd w:val="clear" w:color="auto" w:fill="auto"/>
        </w:tcPr>
        <w:p w14:paraId="7954D800"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801" w14:textId="77777777" w:rsidR="007F3724" w:rsidRDefault="007F3724" w:rsidP="00F05DC7">
          <w:pPr>
            <w:pStyle w:val="Footer"/>
            <w:jc w:val="right"/>
            <w:rPr>
              <w:rStyle w:val="PageNumber"/>
              <w:b w:val="0"/>
            </w:rPr>
          </w:pPr>
          <w:r>
            <w:rPr>
              <w:rStyle w:val="PageNumber"/>
              <w:b w:val="0"/>
            </w:rPr>
            <w:t>OTHER COMMONWEALTH PAYMENTS</w:t>
          </w:r>
        </w:p>
      </w:tc>
      <w:tc>
        <w:tcPr>
          <w:tcW w:w="510" w:type="dxa"/>
          <w:tcBorders>
            <w:top w:val="single" w:sz="4" w:space="0" w:color="auto"/>
          </w:tcBorders>
          <w:shd w:val="clear" w:color="auto" w:fill="auto"/>
        </w:tcPr>
        <w:p w14:paraId="7954D802"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303</w:t>
          </w:r>
          <w:r>
            <w:rPr>
              <w:rStyle w:val="PageNumber"/>
            </w:rPr>
            <w:fldChar w:fldCharType="end"/>
          </w:r>
        </w:p>
      </w:tc>
    </w:tr>
  </w:tbl>
  <w:p w14:paraId="7954D804" w14:textId="77777777" w:rsidR="007F3724" w:rsidRPr="00F05DC7" w:rsidRDefault="007F3724" w:rsidP="00F05DC7">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10" w14:textId="77777777" w:rsidTr="00F05DC7">
      <w:trPr>
        <w:trHeight w:val="567"/>
      </w:trPr>
      <w:tc>
        <w:tcPr>
          <w:tcW w:w="510" w:type="dxa"/>
          <w:tcBorders>
            <w:top w:val="single" w:sz="4" w:space="0" w:color="auto"/>
          </w:tcBorders>
          <w:shd w:val="clear" w:color="auto" w:fill="auto"/>
        </w:tcPr>
        <w:p w14:paraId="7954D80D"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340</w:t>
          </w:r>
          <w:r>
            <w:rPr>
              <w:rStyle w:val="PageNumber"/>
            </w:rPr>
            <w:fldChar w:fldCharType="end"/>
          </w:r>
        </w:p>
      </w:tc>
      <w:tc>
        <w:tcPr>
          <w:tcW w:w="7767" w:type="dxa"/>
          <w:tcBorders>
            <w:top w:val="single" w:sz="4" w:space="0" w:color="auto"/>
          </w:tcBorders>
          <w:shd w:val="clear" w:color="auto" w:fill="auto"/>
        </w:tcPr>
        <w:p w14:paraId="7954D80E"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80F" w14:textId="77777777" w:rsidR="007F3724" w:rsidRDefault="007F3724" w:rsidP="00F05DC7">
          <w:pPr>
            <w:pStyle w:val="Footer"/>
            <w:rPr>
              <w:rStyle w:val="PageNumber"/>
              <w:b w:val="0"/>
            </w:rPr>
          </w:pPr>
        </w:p>
      </w:tc>
    </w:tr>
  </w:tbl>
  <w:p w14:paraId="7954D811" w14:textId="77777777" w:rsidR="007F3724" w:rsidRPr="00F05DC7" w:rsidRDefault="007F3724" w:rsidP="00F05DC7">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15" w14:textId="77777777" w:rsidTr="00F05DC7">
      <w:trPr>
        <w:trHeight w:val="567"/>
      </w:trPr>
      <w:tc>
        <w:tcPr>
          <w:tcW w:w="510" w:type="dxa"/>
          <w:tcBorders>
            <w:top w:val="single" w:sz="4" w:space="0" w:color="auto"/>
          </w:tcBorders>
          <w:shd w:val="clear" w:color="auto" w:fill="auto"/>
        </w:tcPr>
        <w:p w14:paraId="7954D812"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813" w14:textId="77777777" w:rsidR="007F3724" w:rsidRDefault="007F3724" w:rsidP="00F05DC7">
          <w:pPr>
            <w:pStyle w:val="Footer"/>
            <w:jc w:val="right"/>
            <w:rPr>
              <w:rStyle w:val="PageNumber"/>
              <w:b w:val="0"/>
            </w:rPr>
          </w:pPr>
          <w:r>
            <w:rPr>
              <w:rStyle w:val="PageNumber"/>
              <w:b w:val="0"/>
            </w:rPr>
            <w:t>CALCULATIONS AND CAMEOS</w:t>
          </w:r>
        </w:p>
      </w:tc>
      <w:tc>
        <w:tcPr>
          <w:tcW w:w="510" w:type="dxa"/>
          <w:tcBorders>
            <w:top w:val="single" w:sz="4" w:space="0" w:color="auto"/>
          </w:tcBorders>
          <w:shd w:val="clear" w:color="auto" w:fill="auto"/>
        </w:tcPr>
        <w:p w14:paraId="7954D814"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339</w:t>
          </w:r>
          <w:r>
            <w:rPr>
              <w:rStyle w:val="PageNumber"/>
            </w:rPr>
            <w:fldChar w:fldCharType="end"/>
          </w:r>
        </w:p>
      </w:tc>
    </w:tr>
  </w:tbl>
  <w:p w14:paraId="7954D816" w14:textId="77777777" w:rsidR="007F3724" w:rsidRPr="00F05DC7" w:rsidRDefault="007F3724" w:rsidP="00F05DC7">
    <w:pPr>
      <w:pStyle w:val="FooterEnd"/>
      <w:rPr>
        <w:rStyle w:val="PageNumber"/>
        <w:b w:val="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22" w14:textId="77777777" w:rsidTr="00F05DC7">
      <w:trPr>
        <w:trHeight w:val="567"/>
      </w:trPr>
      <w:tc>
        <w:tcPr>
          <w:tcW w:w="510" w:type="dxa"/>
          <w:tcBorders>
            <w:top w:val="single" w:sz="4" w:space="0" w:color="auto"/>
          </w:tcBorders>
          <w:shd w:val="clear" w:color="auto" w:fill="auto"/>
        </w:tcPr>
        <w:p w14:paraId="7954D81F"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346</w:t>
          </w:r>
          <w:r>
            <w:rPr>
              <w:rStyle w:val="PageNumber"/>
            </w:rPr>
            <w:fldChar w:fldCharType="end"/>
          </w:r>
        </w:p>
      </w:tc>
      <w:tc>
        <w:tcPr>
          <w:tcW w:w="7767" w:type="dxa"/>
          <w:tcBorders>
            <w:top w:val="single" w:sz="4" w:space="0" w:color="auto"/>
          </w:tcBorders>
          <w:shd w:val="clear" w:color="auto" w:fill="auto"/>
        </w:tcPr>
        <w:p w14:paraId="7954D820"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821" w14:textId="77777777" w:rsidR="007F3724" w:rsidRDefault="007F3724" w:rsidP="00F05DC7">
          <w:pPr>
            <w:pStyle w:val="Footer"/>
            <w:rPr>
              <w:rStyle w:val="PageNumber"/>
              <w:b w:val="0"/>
            </w:rPr>
          </w:pPr>
        </w:p>
      </w:tc>
    </w:tr>
  </w:tbl>
  <w:p w14:paraId="7954D823" w14:textId="77777777" w:rsidR="007F3724" w:rsidRPr="00F05DC7" w:rsidRDefault="007F3724" w:rsidP="00F05DC7">
    <w:pPr>
      <w:pStyle w:val="FooterEnd"/>
      <w:rPr>
        <w:rStyle w:val="PageNumber"/>
        <w:b w:val="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27" w14:textId="77777777" w:rsidTr="00F05DC7">
      <w:trPr>
        <w:trHeight w:val="567"/>
      </w:trPr>
      <w:tc>
        <w:tcPr>
          <w:tcW w:w="510" w:type="dxa"/>
          <w:tcBorders>
            <w:top w:val="single" w:sz="4" w:space="0" w:color="auto"/>
          </w:tcBorders>
          <w:shd w:val="clear" w:color="auto" w:fill="auto"/>
        </w:tcPr>
        <w:p w14:paraId="7954D824"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825" w14:textId="77777777" w:rsidR="007F3724" w:rsidRDefault="007F3724" w:rsidP="00F05DC7">
          <w:pPr>
            <w:pStyle w:val="Footer"/>
            <w:jc w:val="right"/>
            <w:rPr>
              <w:rStyle w:val="PageNumber"/>
              <w:b w:val="0"/>
            </w:rPr>
          </w:pPr>
          <w:r>
            <w:rPr>
              <w:rStyle w:val="PageNumber"/>
              <w:b w:val="0"/>
            </w:rPr>
            <w:t>MODELLING</w:t>
          </w:r>
        </w:p>
      </w:tc>
      <w:tc>
        <w:tcPr>
          <w:tcW w:w="510" w:type="dxa"/>
          <w:tcBorders>
            <w:top w:val="single" w:sz="4" w:space="0" w:color="auto"/>
          </w:tcBorders>
          <w:shd w:val="clear" w:color="auto" w:fill="auto"/>
        </w:tcPr>
        <w:p w14:paraId="7954D826"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345</w:t>
          </w:r>
          <w:r>
            <w:rPr>
              <w:rStyle w:val="PageNumber"/>
            </w:rPr>
            <w:fldChar w:fldCharType="end"/>
          </w:r>
        </w:p>
      </w:tc>
    </w:tr>
  </w:tbl>
  <w:p w14:paraId="7954D828" w14:textId="77777777" w:rsidR="007F3724" w:rsidRPr="00F05DC7" w:rsidRDefault="007F3724" w:rsidP="00F05DC7">
    <w:pPr>
      <w:pStyle w:val="FooterEnd"/>
      <w:rPr>
        <w:rStyle w:val="PageNumber"/>
        <w:b w:val="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34" w14:textId="77777777" w:rsidTr="00F05DC7">
      <w:trPr>
        <w:trHeight w:val="567"/>
      </w:trPr>
      <w:tc>
        <w:tcPr>
          <w:tcW w:w="510" w:type="dxa"/>
          <w:tcBorders>
            <w:top w:val="single" w:sz="4" w:space="0" w:color="auto"/>
          </w:tcBorders>
          <w:shd w:val="clear" w:color="auto" w:fill="auto"/>
        </w:tcPr>
        <w:p w14:paraId="7954D831"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358</w:t>
          </w:r>
          <w:r>
            <w:rPr>
              <w:rStyle w:val="PageNumber"/>
            </w:rPr>
            <w:fldChar w:fldCharType="end"/>
          </w:r>
        </w:p>
      </w:tc>
      <w:tc>
        <w:tcPr>
          <w:tcW w:w="7767" w:type="dxa"/>
          <w:tcBorders>
            <w:top w:val="single" w:sz="4" w:space="0" w:color="auto"/>
          </w:tcBorders>
          <w:shd w:val="clear" w:color="auto" w:fill="auto"/>
        </w:tcPr>
        <w:p w14:paraId="7954D832"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833" w14:textId="77777777" w:rsidR="007F3724" w:rsidRDefault="007F3724" w:rsidP="00F05DC7">
          <w:pPr>
            <w:pStyle w:val="Footer"/>
            <w:rPr>
              <w:rStyle w:val="PageNumber"/>
              <w:b w:val="0"/>
            </w:rPr>
          </w:pPr>
        </w:p>
      </w:tc>
    </w:tr>
  </w:tbl>
  <w:p w14:paraId="7954D835" w14:textId="77777777" w:rsidR="007F3724" w:rsidRPr="00F05DC7" w:rsidRDefault="007F3724" w:rsidP="00F05DC7">
    <w:pPr>
      <w:pStyle w:val="FooterEnd"/>
      <w:rPr>
        <w:rStyle w:val="PageNumber"/>
        <w:b w:val="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39" w14:textId="77777777" w:rsidTr="00F05DC7">
      <w:trPr>
        <w:trHeight w:val="567"/>
      </w:trPr>
      <w:tc>
        <w:tcPr>
          <w:tcW w:w="510" w:type="dxa"/>
          <w:tcBorders>
            <w:top w:val="single" w:sz="4" w:space="0" w:color="auto"/>
          </w:tcBorders>
          <w:shd w:val="clear" w:color="auto" w:fill="auto"/>
        </w:tcPr>
        <w:p w14:paraId="7954D836"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837" w14:textId="77777777" w:rsidR="007F3724" w:rsidRDefault="007F3724" w:rsidP="00F05DC7">
          <w:pPr>
            <w:pStyle w:val="Footer"/>
            <w:jc w:val="right"/>
            <w:rPr>
              <w:rStyle w:val="PageNumber"/>
              <w:b w:val="0"/>
            </w:rPr>
          </w:pPr>
          <w:r>
            <w:rPr>
              <w:rStyle w:val="PageNumber"/>
              <w:b w:val="0"/>
            </w:rPr>
            <w:t>EQUALISATION OVERSEAS</w:t>
          </w:r>
        </w:p>
      </w:tc>
      <w:tc>
        <w:tcPr>
          <w:tcW w:w="510" w:type="dxa"/>
          <w:tcBorders>
            <w:top w:val="single" w:sz="4" w:space="0" w:color="auto"/>
          </w:tcBorders>
          <w:shd w:val="clear" w:color="auto" w:fill="auto"/>
        </w:tcPr>
        <w:p w14:paraId="7954D838"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357</w:t>
          </w:r>
          <w:r>
            <w:rPr>
              <w:rStyle w:val="PageNumber"/>
            </w:rPr>
            <w:fldChar w:fldCharType="end"/>
          </w:r>
        </w:p>
      </w:tc>
    </w:tr>
  </w:tbl>
  <w:p w14:paraId="7954D83A" w14:textId="77777777" w:rsidR="007F3724" w:rsidRPr="00F05DC7" w:rsidRDefault="007F3724" w:rsidP="00F05DC7">
    <w:pPr>
      <w:pStyle w:val="FooterEnd"/>
      <w:rPr>
        <w:rStyle w:val="PageNumber"/>
        <w:b w:val="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46" w14:textId="77777777" w:rsidTr="00F05DC7">
      <w:trPr>
        <w:trHeight w:val="567"/>
      </w:trPr>
      <w:tc>
        <w:tcPr>
          <w:tcW w:w="510" w:type="dxa"/>
          <w:tcBorders>
            <w:top w:val="single" w:sz="4" w:space="0" w:color="auto"/>
          </w:tcBorders>
          <w:shd w:val="clear" w:color="auto" w:fill="auto"/>
        </w:tcPr>
        <w:p w14:paraId="7954D843"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390</w:t>
          </w:r>
          <w:r>
            <w:rPr>
              <w:rStyle w:val="PageNumber"/>
            </w:rPr>
            <w:fldChar w:fldCharType="end"/>
          </w:r>
        </w:p>
      </w:tc>
      <w:tc>
        <w:tcPr>
          <w:tcW w:w="7767" w:type="dxa"/>
          <w:tcBorders>
            <w:top w:val="single" w:sz="4" w:space="0" w:color="auto"/>
          </w:tcBorders>
          <w:shd w:val="clear" w:color="auto" w:fill="auto"/>
        </w:tcPr>
        <w:p w14:paraId="7954D844"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845" w14:textId="77777777" w:rsidR="007F3724" w:rsidRDefault="007F3724" w:rsidP="00F05DC7">
          <w:pPr>
            <w:pStyle w:val="Footer"/>
            <w:rPr>
              <w:rStyle w:val="PageNumber"/>
              <w:b w:val="0"/>
            </w:rPr>
          </w:pPr>
        </w:p>
      </w:tc>
    </w:tr>
  </w:tbl>
  <w:p w14:paraId="7954D847" w14:textId="77777777" w:rsidR="007F3724" w:rsidRPr="00F05DC7" w:rsidRDefault="007F3724" w:rsidP="00F05DC7">
    <w:pPr>
      <w:pStyle w:val="FooterEnd"/>
      <w:rPr>
        <w:rStyle w:val="PageNumber"/>
        <w:b w:val="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4B" w14:textId="77777777" w:rsidTr="00F05DC7">
      <w:trPr>
        <w:trHeight w:val="567"/>
      </w:trPr>
      <w:tc>
        <w:tcPr>
          <w:tcW w:w="510" w:type="dxa"/>
          <w:tcBorders>
            <w:top w:val="single" w:sz="4" w:space="0" w:color="auto"/>
          </w:tcBorders>
          <w:shd w:val="clear" w:color="auto" w:fill="auto"/>
        </w:tcPr>
        <w:p w14:paraId="7954D848"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849" w14:textId="77777777" w:rsidR="007F3724" w:rsidRDefault="007F3724" w:rsidP="00F05DC7">
          <w:pPr>
            <w:pStyle w:val="Footer"/>
            <w:jc w:val="right"/>
            <w:rPr>
              <w:rStyle w:val="PageNumber"/>
              <w:b w:val="0"/>
            </w:rPr>
          </w:pPr>
          <w:r>
            <w:rPr>
              <w:rStyle w:val="PageNumber"/>
              <w:b w:val="0"/>
            </w:rPr>
            <w:t>TRANSITION ANALYSIS</w:t>
          </w:r>
        </w:p>
      </w:tc>
      <w:tc>
        <w:tcPr>
          <w:tcW w:w="510" w:type="dxa"/>
          <w:tcBorders>
            <w:top w:val="single" w:sz="4" w:space="0" w:color="auto"/>
          </w:tcBorders>
          <w:shd w:val="clear" w:color="auto" w:fill="auto"/>
        </w:tcPr>
        <w:p w14:paraId="7954D84A"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391</w:t>
          </w:r>
          <w:r>
            <w:rPr>
              <w:rStyle w:val="PageNumber"/>
            </w:rPr>
            <w:fldChar w:fldCharType="end"/>
          </w:r>
        </w:p>
      </w:tc>
    </w:tr>
  </w:tbl>
  <w:p w14:paraId="7954D84C" w14:textId="77777777" w:rsidR="007F3724" w:rsidRPr="00F05DC7" w:rsidRDefault="007F3724" w:rsidP="00F05DC7">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4EF522AF" w14:textId="77777777" w:rsidTr="006606FA">
      <w:trPr>
        <w:trHeight w:hRule="exact" w:val="567"/>
      </w:trPr>
      <w:tc>
        <w:tcPr>
          <w:tcW w:w="510" w:type="dxa"/>
        </w:tcPr>
        <w:p w14:paraId="6286736A" w14:textId="77777777" w:rsidR="007F3724" w:rsidRDefault="007F3724">
          <w:pPr>
            <w:pStyle w:val="Footer"/>
            <w:ind w:right="360" w:firstLine="360"/>
          </w:pPr>
        </w:p>
      </w:tc>
      <w:tc>
        <w:tcPr>
          <w:tcW w:w="7767" w:type="dxa"/>
        </w:tcPr>
        <w:p w14:paraId="5B0697F3" w14:textId="77777777" w:rsidR="007F3724" w:rsidRPr="00BA5B14" w:rsidRDefault="007F3724" w:rsidP="006606FA">
          <w:pPr>
            <w:pStyle w:val="Footer"/>
            <w:jc w:val="right"/>
            <w:rPr>
              <w:rFonts w:cs="Arial"/>
            </w:rPr>
          </w:pPr>
          <w:r>
            <w:rPr>
              <w:noProof/>
            </w:rPr>
            <w:t>Contents</w:t>
          </w:r>
          <w:r>
            <w:rPr>
              <w:rFonts w:cs="Arial"/>
            </w:rPr>
            <w:t xml:space="preserve"> </w:t>
          </w:r>
        </w:p>
      </w:tc>
      <w:tc>
        <w:tcPr>
          <w:tcW w:w="510" w:type="dxa"/>
        </w:tcPr>
        <w:p w14:paraId="27003B71" w14:textId="77777777" w:rsidR="007F3724" w:rsidRPr="007448F7" w:rsidRDefault="007F3724">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C7E22">
            <w:rPr>
              <w:rStyle w:val="PageNumber"/>
              <w:caps w:val="0"/>
              <w:noProof/>
            </w:rPr>
            <w:t>ix</w:t>
          </w:r>
          <w:r w:rsidRPr="007448F7">
            <w:rPr>
              <w:rStyle w:val="PageNumber"/>
              <w:caps w:val="0"/>
            </w:rPr>
            <w:fldChar w:fldCharType="end"/>
          </w:r>
        </w:p>
      </w:tc>
    </w:tr>
  </w:tbl>
  <w:p w14:paraId="2D407C1A" w14:textId="77777777" w:rsidR="007F3724" w:rsidRDefault="007F3724">
    <w:pPr>
      <w:pStyle w:val="FooterEnd"/>
    </w:pPr>
  </w:p>
  <w:p w14:paraId="1DE5B3D6" w14:textId="77777777" w:rsidR="007F3724" w:rsidRDefault="007F3724">
    <w:pPr>
      <w:pStyle w:val="FooterEnd"/>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58" w14:textId="77777777" w:rsidTr="00F05DC7">
      <w:trPr>
        <w:trHeight w:val="567"/>
      </w:trPr>
      <w:tc>
        <w:tcPr>
          <w:tcW w:w="510" w:type="dxa"/>
          <w:tcBorders>
            <w:top w:val="single" w:sz="4" w:space="0" w:color="auto"/>
          </w:tcBorders>
          <w:shd w:val="clear" w:color="auto" w:fill="auto"/>
        </w:tcPr>
        <w:p w14:paraId="7954D855" w14:textId="77777777" w:rsidR="007F3724" w:rsidRPr="00F05DC7" w:rsidRDefault="007F3724" w:rsidP="00F05DC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406</w:t>
          </w:r>
          <w:r>
            <w:rPr>
              <w:rStyle w:val="PageNumber"/>
            </w:rPr>
            <w:fldChar w:fldCharType="end"/>
          </w:r>
        </w:p>
      </w:tc>
      <w:tc>
        <w:tcPr>
          <w:tcW w:w="7767" w:type="dxa"/>
          <w:tcBorders>
            <w:top w:val="single" w:sz="4" w:space="0" w:color="auto"/>
          </w:tcBorders>
          <w:shd w:val="clear" w:color="auto" w:fill="auto"/>
        </w:tcPr>
        <w:p w14:paraId="7954D856" w14:textId="77777777" w:rsidR="007F3724" w:rsidRDefault="007F3724" w:rsidP="00F05DC7">
          <w:pPr>
            <w:pStyle w:val="Footer"/>
            <w:rPr>
              <w:rStyle w:val="PageNumber"/>
              <w:b w:val="0"/>
            </w:rPr>
          </w:pPr>
          <w:r>
            <w:rPr>
              <w:rStyle w:val="PageNumber"/>
              <w:b w:val="0"/>
            </w:rPr>
            <w:t>HORIZONTAL FISCAL EQUALISATION</w:t>
          </w:r>
        </w:p>
      </w:tc>
      <w:tc>
        <w:tcPr>
          <w:tcW w:w="510" w:type="dxa"/>
          <w:tcBorders>
            <w:top w:val="single" w:sz="4" w:space="0" w:color="auto"/>
          </w:tcBorders>
          <w:shd w:val="clear" w:color="auto" w:fill="auto"/>
        </w:tcPr>
        <w:p w14:paraId="7954D857" w14:textId="77777777" w:rsidR="007F3724" w:rsidRDefault="007F3724" w:rsidP="00F05DC7">
          <w:pPr>
            <w:pStyle w:val="Footer"/>
            <w:rPr>
              <w:rStyle w:val="PageNumber"/>
              <w:b w:val="0"/>
            </w:rPr>
          </w:pPr>
        </w:p>
      </w:tc>
    </w:tr>
  </w:tbl>
  <w:p w14:paraId="7954D859" w14:textId="77777777" w:rsidR="007F3724" w:rsidRPr="00F05DC7" w:rsidRDefault="007F3724" w:rsidP="00F05DC7">
    <w:pPr>
      <w:pStyle w:val="FooterEnd"/>
      <w:rPr>
        <w:rStyle w:val="PageNumber"/>
        <w:b w:val="0"/>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3724" w14:paraId="7954D85D" w14:textId="77777777" w:rsidTr="00F05DC7">
      <w:trPr>
        <w:trHeight w:val="567"/>
      </w:trPr>
      <w:tc>
        <w:tcPr>
          <w:tcW w:w="510" w:type="dxa"/>
          <w:tcBorders>
            <w:top w:val="single" w:sz="4" w:space="0" w:color="auto"/>
          </w:tcBorders>
          <w:shd w:val="clear" w:color="auto" w:fill="auto"/>
        </w:tcPr>
        <w:p w14:paraId="7954D85A" w14:textId="77777777" w:rsidR="007F3724" w:rsidRDefault="007F3724" w:rsidP="00F05DC7">
          <w:pPr>
            <w:pStyle w:val="Footer"/>
            <w:rPr>
              <w:rStyle w:val="PageNumber"/>
              <w:b w:val="0"/>
            </w:rPr>
          </w:pPr>
        </w:p>
      </w:tc>
      <w:tc>
        <w:tcPr>
          <w:tcW w:w="7767" w:type="dxa"/>
          <w:tcBorders>
            <w:top w:val="single" w:sz="4" w:space="0" w:color="auto"/>
          </w:tcBorders>
          <w:shd w:val="clear" w:color="auto" w:fill="auto"/>
        </w:tcPr>
        <w:p w14:paraId="7954D85B" w14:textId="77777777" w:rsidR="007F3724" w:rsidRDefault="007F3724" w:rsidP="00F05DC7">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7954D85C" w14:textId="77777777" w:rsidR="007F3724" w:rsidRPr="00F05DC7" w:rsidRDefault="007F3724" w:rsidP="00F05DC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7E22">
            <w:rPr>
              <w:rStyle w:val="PageNumber"/>
              <w:noProof/>
            </w:rPr>
            <w:t>407</w:t>
          </w:r>
          <w:r>
            <w:rPr>
              <w:rStyle w:val="PageNumber"/>
            </w:rPr>
            <w:fldChar w:fldCharType="end"/>
          </w:r>
        </w:p>
      </w:tc>
    </w:tr>
  </w:tbl>
  <w:p w14:paraId="7954D85E" w14:textId="77777777" w:rsidR="007F3724" w:rsidRPr="00F05DC7" w:rsidRDefault="007F3724" w:rsidP="00F05DC7">
    <w:pPr>
      <w:pStyle w:val="FooterEnd"/>
      <w:rPr>
        <w:rStyle w:val="PageNumber"/>
        <w:b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0C5723E1" w14:textId="77777777" w:rsidTr="006606FA">
      <w:trPr>
        <w:trHeight w:hRule="exact" w:val="567"/>
      </w:trPr>
      <w:tc>
        <w:tcPr>
          <w:tcW w:w="510" w:type="dxa"/>
        </w:tcPr>
        <w:p w14:paraId="626FB2A8" w14:textId="77777777" w:rsidR="007F3724" w:rsidRPr="00A24443" w:rsidRDefault="007F3724" w:rsidP="006606F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7E22">
            <w:rPr>
              <w:rStyle w:val="PageNumber"/>
              <w:caps w:val="0"/>
              <w:noProof/>
            </w:rPr>
            <w:t>x</w:t>
          </w:r>
          <w:r w:rsidRPr="00A24443">
            <w:rPr>
              <w:rStyle w:val="PageNumber"/>
              <w:caps w:val="0"/>
            </w:rPr>
            <w:fldChar w:fldCharType="end"/>
          </w:r>
        </w:p>
      </w:tc>
      <w:tc>
        <w:tcPr>
          <w:tcW w:w="7767" w:type="dxa"/>
        </w:tcPr>
        <w:p w14:paraId="7225BB35" w14:textId="77777777" w:rsidR="007F3724" w:rsidRPr="0013739A" w:rsidRDefault="007F3724" w:rsidP="006606FA">
          <w:pPr>
            <w:pStyle w:val="Footer"/>
            <w:rPr>
              <w:rFonts w:cs="Arial"/>
            </w:rPr>
          </w:pPr>
          <w:r w:rsidRPr="00317D05">
            <w:rPr>
              <w:rFonts w:cs="Arial"/>
            </w:rPr>
            <w:t>Horizontal Fiscal Equalisation</w:t>
          </w:r>
        </w:p>
      </w:tc>
      <w:tc>
        <w:tcPr>
          <w:tcW w:w="510" w:type="dxa"/>
        </w:tcPr>
        <w:p w14:paraId="2C8BDAD7" w14:textId="77777777" w:rsidR="007F3724" w:rsidRDefault="007F3724" w:rsidP="006606FA">
          <w:pPr>
            <w:pStyle w:val="Footer"/>
          </w:pPr>
        </w:p>
      </w:tc>
    </w:tr>
  </w:tbl>
  <w:p w14:paraId="060823F1" w14:textId="77777777" w:rsidR="007F3724" w:rsidRDefault="007F3724" w:rsidP="006606FA">
    <w:pPr>
      <w:pStyle w:val="FooterEnd"/>
    </w:pPr>
  </w:p>
  <w:p w14:paraId="015786AF" w14:textId="77777777" w:rsidR="007F3724" w:rsidRDefault="007F3724">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27126174" w14:textId="77777777" w:rsidTr="006606FA">
      <w:trPr>
        <w:trHeight w:hRule="exact" w:val="567"/>
      </w:trPr>
      <w:tc>
        <w:tcPr>
          <w:tcW w:w="510" w:type="dxa"/>
        </w:tcPr>
        <w:p w14:paraId="62411356" w14:textId="77777777" w:rsidR="007F3724" w:rsidRDefault="007F3724">
          <w:pPr>
            <w:pStyle w:val="Footer"/>
            <w:ind w:right="360" w:firstLine="360"/>
          </w:pPr>
        </w:p>
      </w:tc>
      <w:tc>
        <w:tcPr>
          <w:tcW w:w="7767" w:type="dxa"/>
        </w:tcPr>
        <w:p w14:paraId="758FC396" w14:textId="77777777" w:rsidR="007F3724" w:rsidRPr="00A90DAF" w:rsidRDefault="007F3724" w:rsidP="006606FA">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001C7E22">
            <w:rPr>
              <w:noProof/>
            </w:rPr>
            <w:t>Inquiry timeline</w:t>
          </w:r>
          <w:r w:rsidRPr="00A90DAF">
            <w:rPr>
              <w:noProof/>
            </w:rPr>
            <w:fldChar w:fldCharType="end"/>
          </w:r>
        </w:p>
      </w:tc>
      <w:tc>
        <w:tcPr>
          <w:tcW w:w="510" w:type="dxa"/>
        </w:tcPr>
        <w:p w14:paraId="274F44E2" w14:textId="77777777" w:rsidR="007F3724" w:rsidRPr="00A24443" w:rsidRDefault="007F372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xi</w:t>
          </w:r>
          <w:r w:rsidRPr="00A24443">
            <w:rPr>
              <w:rStyle w:val="PageNumber"/>
              <w:caps w:val="0"/>
            </w:rPr>
            <w:fldChar w:fldCharType="end"/>
          </w:r>
        </w:p>
      </w:tc>
    </w:tr>
  </w:tbl>
  <w:p w14:paraId="07316055" w14:textId="77777777" w:rsidR="007F3724" w:rsidRDefault="007F3724">
    <w:pPr>
      <w:pStyle w:val="FooterEnd"/>
    </w:pPr>
  </w:p>
  <w:p w14:paraId="0C495168" w14:textId="77777777" w:rsidR="007F3724" w:rsidRDefault="007F3724">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3724" w14:paraId="04877CE3" w14:textId="77777777" w:rsidTr="006606FA">
      <w:trPr>
        <w:trHeight w:hRule="exact" w:val="567"/>
      </w:trPr>
      <w:tc>
        <w:tcPr>
          <w:tcW w:w="510" w:type="dxa"/>
        </w:tcPr>
        <w:p w14:paraId="07B1835B" w14:textId="77777777" w:rsidR="007F3724" w:rsidRPr="007448F7" w:rsidRDefault="007F3724" w:rsidP="006606FA">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C7E22">
            <w:rPr>
              <w:rStyle w:val="PageNumber"/>
              <w:caps w:val="0"/>
              <w:noProof/>
            </w:rPr>
            <w:t>xii</w:t>
          </w:r>
          <w:r w:rsidRPr="007448F7">
            <w:rPr>
              <w:rStyle w:val="PageNumber"/>
              <w:caps w:val="0"/>
            </w:rPr>
            <w:fldChar w:fldCharType="end"/>
          </w:r>
        </w:p>
      </w:tc>
      <w:tc>
        <w:tcPr>
          <w:tcW w:w="7767" w:type="dxa"/>
        </w:tcPr>
        <w:p w14:paraId="4008F6D3" w14:textId="77777777" w:rsidR="007F3724" w:rsidRPr="0013739A" w:rsidRDefault="007F3724" w:rsidP="006606FA">
          <w:pPr>
            <w:pStyle w:val="Footer"/>
            <w:rPr>
              <w:rFonts w:cs="Arial"/>
            </w:rPr>
          </w:pPr>
          <w:r w:rsidRPr="00317D05">
            <w:rPr>
              <w:rFonts w:cs="Arial"/>
            </w:rPr>
            <w:t>Horizontal Fiscal Equalisation</w:t>
          </w:r>
        </w:p>
      </w:tc>
      <w:tc>
        <w:tcPr>
          <w:tcW w:w="510" w:type="dxa"/>
        </w:tcPr>
        <w:p w14:paraId="32F1E268" w14:textId="77777777" w:rsidR="007F3724" w:rsidRDefault="007F3724" w:rsidP="006606FA">
          <w:pPr>
            <w:pStyle w:val="Footer"/>
          </w:pPr>
        </w:p>
      </w:tc>
    </w:tr>
  </w:tbl>
  <w:p w14:paraId="5CCEC06B" w14:textId="77777777" w:rsidR="007F3724" w:rsidRDefault="007F3724" w:rsidP="006606FA">
    <w:pPr>
      <w:pStyle w:val="FooterEnd"/>
    </w:pPr>
  </w:p>
  <w:p w14:paraId="02B8AC4E" w14:textId="77777777" w:rsidR="007F3724" w:rsidRDefault="007F372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722149" w14:textId="77777777" w:rsidR="007F3724" w:rsidRDefault="007F3724">
      <w:r>
        <w:separator/>
      </w:r>
    </w:p>
  </w:footnote>
  <w:footnote w:type="continuationSeparator" w:id="0">
    <w:p w14:paraId="1CBFBC99" w14:textId="77777777" w:rsidR="007F3724" w:rsidRDefault="007F3724">
      <w:r>
        <w:continuationSeparator/>
      </w:r>
    </w:p>
  </w:footnote>
  <w:footnote w:type="continuationNotice" w:id="1">
    <w:p w14:paraId="29257D1E" w14:textId="77777777" w:rsidR="007F3724" w:rsidRDefault="007F3724"/>
  </w:footnote>
  <w:footnote w:id="2">
    <w:p w14:paraId="7954D85F" w14:textId="076A35DF" w:rsidR="007F3724" w:rsidRDefault="007F3724" w:rsidP="00811099">
      <w:pPr>
        <w:pStyle w:val="FootnoteText"/>
      </w:pPr>
      <w:r w:rsidRPr="00282527">
        <w:rPr>
          <w:rStyle w:val="FootnoteReference"/>
        </w:rPr>
        <w:footnoteRef/>
      </w:r>
      <w:r>
        <w:rPr>
          <w:sz w:val="10"/>
        </w:rPr>
        <w:tab/>
      </w:r>
      <w:r>
        <w:t xml:space="preserve">Conversely, vertical </w:t>
      </w:r>
      <w:r w:rsidRPr="00D4296D">
        <w:t xml:space="preserve">equity refers to </w:t>
      </w:r>
      <w:r>
        <w:t>the redistribution of resources</w:t>
      </w:r>
      <w:r w:rsidRPr="00D4296D">
        <w:t xml:space="preserve"> (such as income or wealth)</w:t>
      </w:r>
      <w:r>
        <w:t xml:space="preserve"> </w:t>
      </w:r>
      <w:r w:rsidRPr="00D4296D">
        <w:t>from those with more to those with less — through, for example, a progressive tax structure and needs-based transfers.</w:t>
      </w:r>
    </w:p>
  </w:footnote>
  <w:footnote w:id="3">
    <w:p w14:paraId="7954D860" w14:textId="19AB1227" w:rsidR="007F3724" w:rsidRDefault="007F3724" w:rsidP="00811099">
      <w:pPr>
        <w:pStyle w:val="FootnoteText"/>
      </w:pPr>
      <w:r w:rsidRPr="00282527">
        <w:rPr>
          <w:rStyle w:val="FootnoteReference"/>
        </w:rPr>
        <w:footnoteRef/>
      </w:r>
      <w:r>
        <w:tab/>
        <w:t xml:space="preserve">Some participants described ‘the funding a State deserves’ as depending on the </w:t>
      </w:r>
      <w:r w:rsidRPr="00852BCF">
        <w:t>amount of GST that is ‘raised’ in that State</w:t>
      </w:r>
      <w:r>
        <w:t xml:space="preserve"> — but as noted earlier, </w:t>
      </w:r>
      <w:r w:rsidRPr="00852BCF">
        <w:t>the concept of derivation does not apply to</w:t>
      </w:r>
      <w:r>
        <w:t xml:space="preserve"> a national tax such as the GST </w:t>
      </w:r>
      <w:r w:rsidRPr="009D6331">
        <w:rPr>
          <w:szCs w:val="24"/>
        </w:rPr>
        <w:t>(NT Government, sub. DR69, p. 6; Dale 2014)</w:t>
      </w:r>
      <w:r>
        <w:t>.</w:t>
      </w:r>
    </w:p>
  </w:footnote>
  <w:footnote w:id="4">
    <w:p w14:paraId="7954D861" w14:textId="172FBDCD" w:rsidR="007F3724" w:rsidRPr="00811099" w:rsidRDefault="007F3724" w:rsidP="00811099">
      <w:pPr>
        <w:pStyle w:val="FootnoteText"/>
        <w:rPr>
          <w:spacing w:val="-4"/>
        </w:rPr>
      </w:pPr>
      <w:r w:rsidRPr="00282527">
        <w:rPr>
          <w:rStyle w:val="FootnoteReference"/>
        </w:rPr>
        <w:footnoteRef/>
      </w:r>
      <w:r>
        <w:rPr>
          <w:spacing w:val="-1"/>
          <w:sz w:val="8"/>
        </w:rPr>
        <w:tab/>
      </w:r>
      <w:r w:rsidRPr="00811099">
        <w:rPr>
          <w:spacing w:val="-4"/>
        </w:rPr>
        <w:t>It is not unusual for funding allocations to be based on a defined level of need. For example, other Commonwealth payments to the States — including schools, disability and health funding — recognise that the needs of different population groups differ significantly, and that the amount of funding required per person to deliver an equivalent outcome will vary. But assessments of need for the purposes of these payments are made at a more granular level than entire States. Participants also saw ‘need’ in different ways — for example, as the difference between States’ fiscal capacities, reflecting the existing CGC objective of full equalisation; or as an externally-determined level of an ‘acceptable’ or ‘minimum’ standard of State public services.</w:t>
      </w:r>
    </w:p>
  </w:footnote>
  <w:footnote w:id="5">
    <w:p w14:paraId="7954D862" w14:textId="77777777" w:rsidR="007F3724" w:rsidRDefault="007F3724">
      <w:pPr>
        <w:pStyle w:val="FootnoteText"/>
      </w:pPr>
      <w:r w:rsidRPr="00282527">
        <w:rPr>
          <w:rStyle w:val="FootnoteReference"/>
        </w:rPr>
        <w:footnoteRef/>
      </w:r>
      <w:r>
        <w:tab/>
        <w:t xml:space="preserve">Under current methodology, a relativity is a number summarising a State’s need for revenue (typically from a given pool of funds), compared to the average. For example, a State with a relativity of 0.8 requires only 80 per cent of the average available revenue on a per capita basis. </w:t>
      </w:r>
    </w:p>
  </w:footnote>
  <w:footnote w:id="6">
    <w:p w14:paraId="7954D863" w14:textId="77777777" w:rsidR="007F3724" w:rsidRDefault="007F3724">
      <w:pPr>
        <w:pStyle w:val="FootnoteText"/>
      </w:pPr>
      <w:r w:rsidRPr="00282527">
        <w:rPr>
          <w:rStyle w:val="FootnoteReference"/>
        </w:rPr>
        <w:footnoteRef/>
      </w:r>
      <w:r>
        <w:tab/>
        <w:t xml:space="preserve">From 2000-01 to 2008-09, the CGC recommended relativities to distribute the pool of GST payments plus Health Care Grants. Since 2009-10, the pool has comprised GST only. </w:t>
      </w:r>
    </w:p>
  </w:footnote>
  <w:footnote w:id="7">
    <w:p w14:paraId="7954D864" w14:textId="2A1365AE" w:rsidR="007F3724" w:rsidRPr="00811099" w:rsidRDefault="007F3724" w:rsidP="00A3786D">
      <w:pPr>
        <w:pStyle w:val="FootnoteText"/>
        <w:rPr>
          <w:spacing w:val="-2"/>
        </w:rPr>
      </w:pPr>
      <w:r w:rsidRPr="00282527">
        <w:rPr>
          <w:rStyle w:val="FootnoteReference"/>
        </w:rPr>
        <w:footnoteRef/>
      </w:r>
      <w:r>
        <w:tab/>
      </w:r>
      <w:r w:rsidRPr="00811099">
        <w:rPr>
          <w:spacing w:val="-2"/>
        </w:rPr>
        <w:t xml:space="preserve">There is a difference between the total amount of GST revenue collected, and that which is distributed to States (the GST pool) due to the fact that some GST revenue accrued during a financial year is not remitted to the ATO by 30 June that year, because it is not due to be paid until Business Activity Statements are lodged the following financial year (this also applies to some GST collected by Commonwealth agencies) and because penalties owed to the ATO (other than general interest charge penalties) are not included in the GST to be paid to the States </w:t>
      </w:r>
      <w:r w:rsidRPr="00811099">
        <w:rPr>
          <w:spacing w:val="-2"/>
          <w:szCs w:val="24"/>
        </w:rPr>
        <w:t>(Commonwealth of Australia 2017c, p. 59)</w:t>
      </w:r>
      <w:r w:rsidRPr="00811099">
        <w:rPr>
          <w:spacing w:val="-2"/>
        </w:rPr>
        <w:t>.</w:t>
      </w:r>
    </w:p>
  </w:footnote>
  <w:footnote w:id="8">
    <w:p w14:paraId="7954D865" w14:textId="77777777" w:rsidR="007F3724" w:rsidRDefault="007F3724">
      <w:pPr>
        <w:pStyle w:val="FootnoteText"/>
      </w:pPr>
      <w:r w:rsidRPr="00282527">
        <w:rPr>
          <w:rStyle w:val="FootnoteReference"/>
        </w:rPr>
        <w:footnoteRef/>
      </w:r>
      <w:r>
        <w:tab/>
        <w:t xml:space="preserve">These figures are not directly comparable because some of the redistribution between States on the mining assessment is offset by redistributions on other assessments (other tax types and expenditures). </w:t>
      </w:r>
    </w:p>
  </w:footnote>
  <w:footnote w:id="9">
    <w:p w14:paraId="7954D866" w14:textId="2F7F2EAA" w:rsidR="007F3724" w:rsidRDefault="007F3724" w:rsidP="00A3786D">
      <w:pPr>
        <w:pStyle w:val="FootnoteText"/>
      </w:pPr>
      <w:r w:rsidRPr="00282527">
        <w:rPr>
          <w:rStyle w:val="FootnoteReference"/>
        </w:rPr>
        <w:footnoteRef/>
      </w:r>
      <w:r>
        <w:tab/>
        <w:t xml:space="preserve">Buchanan and Goetz </w:t>
      </w:r>
      <w:r w:rsidRPr="00D4388E">
        <w:t>(1972)</w:t>
      </w:r>
      <w:r>
        <w:t xml:space="preserve">; Flatters, Henderson and Mieszkowski </w:t>
      </w:r>
      <w:r w:rsidRPr="00D4388E">
        <w:t>(1974)</w:t>
      </w:r>
      <w:r>
        <w:t xml:space="preserve">; Boadway and Flatters </w:t>
      </w:r>
      <w:r w:rsidRPr="000D3BCC">
        <w:t>(1982)</w:t>
      </w:r>
      <w:r>
        <w:t xml:space="preserve">; and </w:t>
      </w:r>
      <w:r w:rsidRPr="00A15A2F">
        <w:t xml:space="preserve">Myers </w:t>
      </w:r>
      <w:r w:rsidRPr="00D4388E">
        <w:t>(1990)</w:t>
      </w:r>
      <w:r>
        <w:t>.</w:t>
      </w:r>
    </w:p>
  </w:footnote>
  <w:footnote w:id="10">
    <w:p w14:paraId="7954D867" w14:textId="77777777" w:rsidR="007F3724" w:rsidRDefault="007F3724" w:rsidP="00A3786D">
      <w:pPr>
        <w:pStyle w:val="FootnoteText"/>
      </w:pPr>
      <w:r w:rsidRPr="00282527">
        <w:rPr>
          <w:rStyle w:val="FootnoteReference"/>
        </w:rPr>
        <w:footnoteRef/>
      </w:r>
      <w:r>
        <w:tab/>
        <w:t xml:space="preserve">There is not a strong evidence base on capital movements </w:t>
      </w:r>
      <w:r w:rsidRPr="006A79D8">
        <w:t>across States</w:t>
      </w:r>
      <w:r>
        <w:t>, so this discussion is essentially about labour movements.</w:t>
      </w:r>
    </w:p>
  </w:footnote>
  <w:footnote w:id="11">
    <w:p w14:paraId="7954D868" w14:textId="77777777" w:rsidR="007F3724" w:rsidRDefault="007F3724" w:rsidP="00A3786D">
      <w:pPr>
        <w:pStyle w:val="FootnoteText"/>
      </w:pPr>
      <w:r w:rsidRPr="00282527">
        <w:rPr>
          <w:rStyle w:val="FootnoteReference"/>
        </w:rPr>
        <w:footnoteRef/>
      </w:r>
      <w:r>
        <w:tab/>
        <w:t xml:space="preserve">Queensland is also regarded </w:t>
      </w:r>
      <w:r w:rsidRPr="00177760">
        <w:t xml:space="preserve">as a retirement destination. The WA Government analysed ABS net interstate migration data to show that, for ages below 60, Queensland was still overwhelmingly the favoured destination for interstate migrants, followed by </w:t>
      </w:r>
      <w:r>
        <w:t xml:space="preserve">Western Australia </w:t>
      </w:r>
      <w:r w:rsidRPr="00177760">
        <w:t>and Victoria (WA Government, sub.</w:t>
      </w:r>
      <w:r>
        <w:t> </w:t>
      </w:r>
      <w:r w:rsidRPr="00177760">
        <w:t>15</w:t>
      </w:r>
      <w:r>
        <w:t>, p. 26</w:t>
      </w:r>
      <w:r w:rsidRPr="00177760">
        <w:t>).</w:t>
      </w:r>
    </w:p>
  </w:footnote>
  <w:footnote w:id="12">
    <w:p w14:paraId="7954D869" w14:textId="33B77A36" w:rsidR="007F3724" w:rsidRPr="00B11BC2" w:rsidRDefault="007F3724" w:rsidP="00A3786D">
      <w:pPr>
        <w:pStyle w:val="FootnoteText"/>
      </w:pPr>
      <w:r w:rsidRPr="00282527">
        <w:rPr>
          <w:rStyle w:val="FootnoteReference"/>
        </w:rPr>
        <w:footnoteRef/>
      </w:r>
      <w:r>
        <w:tab/>
        <w:t>A report by Deloitte Access Economics </w:t>
      </w:r>
      <w:r w:rsidRPr="00C042C7">
        <w:rPr>
          <w:szCs w:val="24"/>
        </w:rPr>
        <w:t>(2014, p. 39)</w:t>
      </w:r>
      <w:r>
        <w:t xml:space="preserve"> estimated that 14 per cent of Western Australia’s FIFO workforce actually lived interstate. During the height of the mining boom, this equated to about 10 000 people living interstate and working in Western Australia. </w:t>
      </w:r>
    </w:p>
  </w:footnote>
  <w:footnote w:id="13">
    <w:p w14:paraId="7954D86A" w14:textId="77777777" w:rsidR="007F3724" w:rsidRDefault="007F3724">
      <w:pPr>
        <w:pStyle w:val="FootnoteText"/>
      </w:pPr>
      <w:r w:rsidRPr="00282527">
        <w:rPr>
          <w:rStyle w:val="FootnoteReference"/>
        </w:rPr>
        <w:footnoteRef/>
      </w:r>
      <w:r>
        <w:tab/>
        <w:t>This reflects a fundamental premise of HFE — that changes in States’ revenue</w:t>
      </w:r>
      <w:r>
        <w:noBreakHyphen/>
        <w:t xml:space="preserve">raising capacity relative to other States, will be equalised. </w:t>
      </w:r>
    </w:p>
  </w:footnote>
  <w:footnote w:id="14">
    <w:p w14:paraId="7954D86B" w14:textId="77777777" w:rsidR="007F3724" w:rsidRDefault="007F3724">
      <w:pPr>
        <w:pStyle w:val="FootnoteText"/>
      </w:pPr>
      <w:r w:rsidRPr="00282527">
        <w:rPr>
          <w:rStyle w:val="FootnoteReference"/>
        </w:rPr>
        <w:footnoteRef/>
      </w:r>
      <w:r>
        <w:tab/>
        <w:t xml:space="preserve">As noted earlier, the current system, while described as equalising to the ‘same’ standard, actually equalises States such that they achieve a </w:t>
      </w:r>
      <w:r w:rsidRPr="00CF6291">
        <w:rPr>
          <w:i/>
        </w:rPr>
        <w:t>comparable</w:t>
      </w:r>
      <w:r>
        <w:t xml:space="preserve"> standard of services.</w:t>
      </w:r>
    </w:p>
  </w:footnote>
  <w:footnote w:id="15">
    <w:p w14:paraId="7954D86C" w14:textId="4AE5E158" w:rsidR="007F3724" w:rsidRDefault="007F3724" w:rsidP="00A3786D">
      <w:pPr>
        <w:pStyle w:val="FootnoteText"/>
      </w:pPr>
      <w:r w:rsidRPr="00282527">
        <w:rPr>
          <w:rStyle w:val="FootnoteReference"/>
        </w:rPr>
        <w:footnoteRef/>
      </w:r>
      <w:r>
        <w:tab/>
        <w:t xml:space="preserve">The Brumby, Carter and Greiner </w:t>
      </w:r>
      <w:r w:rsidRPr="009D6331">
        <w:t>(2012a)</w:t>
      </w:r>
      <w:r w:rsidRPr="004C36C4">
        <w:t xml:space="preserve"> </w:t>
      </w:r>
      <w:r>
        <w:t xml:space="preserve">GST Distribution Review recommended that </w:t>
      </w:r>
      <w:r w:rsidRPr="001C72D7">
        <w:t xml:space="preserve">the CGC engage with governments more broadly, including through an annual public address following the release of the year’s relativities and briefing sessions for parliamentarians and </w:t>
      </w:r>
      <w:r>
        <w:t>S</w:t>
      </w:r>
      <w:r w:rsidRPr="001C72D7">
        <w:t>tate officials.</w:t>
      </w:r>
    </w:p>
  </w:footnote>
  <w:footnote w:id="16">
    <w:p w14:paraId="7954D86D" w14:textId="77777777" w:rsidR="007F3724" w:rsidRDefault="007F3724">
      <w:pPr>
        <w:pStyle w:val="FootnoteText"/>
      </w:pPr>
      <w:r w:rsidRPr="00282527">
        <w:rPr>
          <w:rStyle w:val="FootnoteReference"/>
        </w:rPr>
        <w:footnoteRef/>
      </w:r>
      <w:r>
        <w:tab/>
        <w:t>References to ‘fiscal capacity’ in this chapter refer to States’ fiscal capacities prior to the distribution of GST revenue, unless otherwise stated.</w:t>
      </w:r>
    </w:p>
  </w:footnote>
  <w:footnote w:id="17">
    <w:p w14:paraId="7954D86E" w14:textId="77777777" w:rsidR="007F3724" w:rsidRDefault="007F3724" w:rsidP="00A3786D">
      <w:pPr>
        <w:pStyle w:val="FootnoteText"/>
      </w:pPr>
      <w:r w:rsidRPr="00282527">
        <w:rPr>
          <w:rStyle w:val="FootnoteReference"/>
        </w:rPr>
        <w:footnoteRef/>
      </w:r>
      <w:r>
        <w:tab/>
        <w:t xml:space="preserve">References to State revenue correspond to General Government Revenue (measured on an accruals basis). </w:t>
      </w:r>
    </w:p>
  </w:footnote>
  <w:footnote w:id="18">
    <w:p w14:paraId="7954D86F" w14:textId="77777777" w:rsidR="007F3724" w:rsidRDefault="007F3724" w:rsidP="00A3786D">
      <w:pPr>
        <w:pStyle w:val="FootnoteText"/>
      </w:pPr>
      <w:r w:rsidRPr="00282527">
        <w:rPr>
          <w:rStyle w:val="FootnoteReference"/>
        </w:rPr>
        <w:footnoteRef/>
      </w:r>
      <w:r>
        <w:tab/>
        <w:t xml:space="preserve">States’ actual revenues may differ from assessed revenues, partly depending on revenue-raising effort. It is therefore possible that actual revenue may be above or below assessed revenue. </w:t>
      </w:r>
    </w:p>
  </w:footnote>
  <w:footnote w:id="19">
    <w:p w14:paraId="7954D870" w14:textId="77777777" w:rsidR="007F3724" w:rsidRDefault="007F3724" w:rsidP="00A3786D">
      <w:pPr>
        <w:pStyle w:val="FootnoteText"/>
      </w:pPr>
      <w:r w:rsidRPr="00282527">
        <w:rPr>
          <w:rStyle w:val="FootnoteReference"/>
        </w:rPr>
        <w:footnoteRef/>
      </w:r>
      <w:r>
        <w:tab/>
        <w:t xml:space="preserve">In general, where a State falls below an equalisation benchmark and its fiscal capacity is relevant to the calculation of that benchmark (such as under ETA, where all States’ fiscal capacities are used to derive the benchmark), the State may still experience a small reduction in its disincentives. If a State undertakes reform that strengthens its initial fiscal capacity it will lose GST revenue, because its higher fiscal capacity brings it closer to the equalisation benchmark. This is notwithstanding the fact that the State’s stronger fiscal capacity will increase the equalisation benchmark (likely by a small amount). </w:t>
      </w:r>
    </w:p>
    <w:p w14:paraId="7954D871" w14:textId="77777777" w:rsidR="007F3724" w:rsidRPr="007207B5" w:rsidRDefault="007F3724" w:rsidP="00A3786D">
      <w:pPr>
        <w:pStyle w:val="FootnoteText"/>
        <w:rPr>
          <w:spacing w:val="-2"/>
        </w:rPr>
      </w:pPr>
      <w:r w:rsidRPr="007207B5">
        <w:rPr>
          <w:spacing w:val="-2"/>
        </w:rPr>
        <w:tab/>
        <w:t>Conversely, for States above the benchmark, although only receiving an EPC amount of GST, reform that strengthens their fiscal capacity results in an increase in the benchmark. This means that for a given GST pool, more GST must be used to bring States up to the benchmark, reducing the EPC amount to be received by any State above the benchmark. Hence, there is not a complete reduction in disincentives for States above the benchmark under such alternatives as ETA and equalising to the average of the fiscally strongest States.</w:t>
      </w:r>
    </w:p>
  </w:footnote>
  <w:footnote w:id="20">
    <w:p w14:paraId="7954D873" w14:textId="1D9118D9" w:rsidR="007F3724" w:rsidRDefault="007F3724" w:rsidP="00A3786D">
      <w:pPr>
        <w:pStyle w:val="FootnoteText"/>
      </w:pPr>
      <w:r w:rsidRPr="00282527">
        <w:rPr>
          <w:rStyle w:val="FootnoteReference"/>
        </w:rPr>
        <w:footnoteRef/>
      </w:r>
      <w:r>
        <w:tab/>
        <w:t xml:space="preserve">This involved the calculation of a ‘Guaranteed Minimum Amount’ (GMA). The GMA was equivalent to the amount States would have received under the previous regime. If a State’s share of the GST actually collected was less than the GMA, the Commonwealth would ‘top it up’ with an amount known as Budget Balancing Assistance </w:t>
      </w:r>
      <w:r w:rsidRPr="005101F8">
        <w:rPr>
          <w:szCs w:val="24"/>
        </w:rPr>
        <w:t>(ANAO 2005, p. 15)</w:t>
      </w:r>
      <w:r>
        <w:t xml:space="preserve">. </w:t>
      </w:r>
    </w:p>
  </w:footnote>
  <w:footnote w:id="21">
    <w:p w14:paraId="7954D874" w14:textId="77777777" w:rsidR="007F3724" w:rsidRDefault="007F3724" w:rsidP="00A3786D">
      <w:pPr>
        <w:pStyle w:val="FootnoteText"/>
      </w:pPr>
      <w:r w:rsidRPr="00282527">
        <w:rPr>
          <w:rStyle w:val="FootnoteReference"/>
        </w:rPr>
        <w:footnoteRef/>
      </w:r>
      <w:r>
        <w:tab/>
        <w:t xml:space="preserve">About 98 per cent of the iron ore revenue base is located in Western Australia. As a result any change in the national average iron ore royalty rate is almost entirely driven by changes in Western Australia’s average rate. </w:t>
      </w:r>
    </w:p>
  </w:footnote>
  <w:footnote w:id="22">
    <w:p w14:paraId="7954D875" w14:textId="7C15D917" w:rsidR="007F3724" w:rsidRDefault="007F3724">
      <w:pPr>
        <w:pStyle w:val="FootnoteText"/>
      </w:pPr>
      <w:r w:rsidRPr="00282527">
        <w:rPr>
          <w:rStyle w:val="FootnoteReference"/>
        </w:rPr>
        <w:footnoteRef/>
      </w:r>
      <w:r>
        <w:tab/>
        <w:t xml:space="preserve">This is the lowest elasticity estimate published by the authors. The estimate from their preferred specification is a 3 per cent reduction in transactions due to a 10 per cent increase in the duty rate </w:t>
      </w:r>
      <w:r w:rsidRPr="007D5014">
        <w:rPr>
          <w:szCs w:val="24"/>
        </w:rPr>
        <w:t>(Davidoff and Leigh 2013, p. 403)</w:t>
      </w:r>
      <w:r>
        <w:t>.</w:t>
      </w:r>
    </w:p>
  </w:footnote>
  <w:footnote w:id="23">
    <w:p w14:paraId="7954D876" w14:textId="77777777" w:rsidR="007F3724" w:rsidRDefault="007F3724">
      <w:pPr>
        <w:pStyle w:val="FootnoteText"/>
      </w:pPr>
      <w:r w:rsidRPr="00282527">
        <w:rPr>
          <w:rStyle w:val="FootnoteReference"/>
        </w:rPr>
        <w:footnoteRef/>
      </w:r>
      <w:r>
        <w:tab/>
        <w:t xml:space="preserve">Incorporating a fall in land values following </w:t>
      </w:r>
      <w:r w:rsidRPr="000C175D">
        <w:t xml:space="preserve">the </w:t>
      </w:r>
      <w:r>
        <w:t xml:space="preserve">land tax </w:t>
      </w:r>
      <w:r w:rsidRPr="000C175D">
        <w:t xml:space="preserve">reform </w:t>
      </w:r>
      <w:r>
        <w:t xml:space="preserve">(not including any offsetting increase in values from reducing stamp duty) </w:t>
      </w:r>
      <w:r w:rsidRPr="000C175D">
        <w:t xml:space="preserve">leads to a slightly smaller GST impact for </w:t>
      </w:r>
      <w:r w:rsidRPr="00791D71">
        <w:t xml:space="preserve">States where the land tax change is material (New South Wales and Victoria). </w:t>
      </w:r>
      <w:r w:rsidRPr="000C175D">
        <w:t xml:space="preserve">This fall in land values </w:t>
      </w:r>
      <w:r>
        <w:t>was calculated using</w:t>
      </w:r>
      <w:r w:rsidRPr="000C175D">
        <w:t xml:space="preserve"> simplifying assumptions of a 5 per</w:t>
      </w:r>
      <w:r>
        <w:t> </w:t>
      </w:r>
      <w:r w:rsidRPr="000C175D">
        <w:t>cent discount rate and full capitalisation of</w:t>
      </w:r>
      <w:r>
        <w:t xml:space="preserve"> the tax into perpetuity.</w:t>
      </w:r>
    </w:p>
  </w:footnote>
  <w:footnote w:id="24">
    <w:p w14:paraId="7954D877" w14:textId="77777777" w:rsidR="007F3724" w:rsidRDefault="007F3724">
      <w:pPr>
        <w:pStyle w:val="FootnoteText"/>
      </w:pPr>
      <w:r w:rsidRPr="00282527">
        <w:rPr>
          <w:rStyle w:val="FootnoteReference"/>
        </w:rPr>
        <w:footnoteRef/>
      </w:r>
      <w:r>
        <w:tab/>
        <w:t>Using the total value of dwelling stock as a policy-neutral indicator did not materially affect the results.</w:t>
      </w:r>
    </w:p>
  </w:footnote>
  <w:footnote w:id="25">
    <w:p w14:paraId="7954D878" w14:textId="77777777" w:rsidR="007F3724" w:rsidRDefault="007F3724">
      <w:pPr>
        <w:pStyle w:val="FootnoteText"/>
      </w:pPr>
      <w:r w:rsidRPr="00282527">
        <w:rPr>
          <w:rStyle w:val="FootnoteReference"/>
        </w:rPr>
        <w:footnoteRef/>
      </w:r>
      <w:r>
        <w:tab/>
        <w:t>Deadweight loss analysis calculates the loss in economic efficiency as a result of a move away from the most efficient (‘optimal’) scenario.</w:t>
      </w:r>
    </w:p>
  </w:footnote>
  <w:footnote w:id="26">
    <w:p w14:paraId="7954D879" w14:textId="4909CFFA" w:rsidR="007F3724" w:rsidRDefault="007F3724">
      <w:pPr>
        <w:pStyle w:val="FootnoteText"/>
      </w:pPr>
      <w:r w:rsidRPr="00282527">
        <w:rPr>
          <w:rStyle w:val="FootnoteReference"/>
        </w:rPr>
        <w:footnoteRef/>
      </w:r>
      <w:r>
        <w:tab/>
        <w:t xml:space="preserve">While Murphy used both computable general equilibrium modelling and deadweight loss analysis in his 2015 paper, he reported only the former, noting that the two sets of estimates were ‘broadly similar’ </w:t>
      </w:r>
      <w:r w:rsidRPr="00492A9E">
        <w:rPr>
          <w:szCs w:val="24"/>
        </w:rPr>
        <w:t>(Murphy 2015, p. 21)</w:t>
      </w:r>
      <w:r>
        <w:t>.</w:t>
      </w:r>
    </w:p>
  </w:footnote>
  <w:footnote w:id="27">
    <w:p w14:paraId="7954D87A" w14:textId="09E50B81" w:rsidR="007F3724" w:rsidRDefault="007F3724" w:rsidP="00A3786D">
      <w:pPr>
        <w:pStyle w:val="FootnoteText"/>
      </w:pPr>
      <w:r w:rsidRPr="00282527">
        <w:rPr>
          <w:rStyle w:val="FootnoteReference"/>
        </w:rPr>
        <w:footnoteRef/>
      </w:r>
      <w:r>
        <w:tab/>
        <w:t xml:space="preserve">While equalisation funding is insufficient to pursue full equalisation, the Canadian system still promotes simplicity, objectivity and transparency </w:t>
      </w:r>
      <w:r w:rsidRPr="009D6331">
        <w:rPr>
          <w:szCs w:val="24"/>
        </w:rPr>
        <w:t>(Department of Finance (Canada) 2006)</w:t>
      </w:r>
      <w:r>
        <w:t>.</w:t>
      </w:r>
    </w:p>
  </w:footnote>
  <w:footnote w:id="28">
    <w:p w14:paraId="7954D87B" w14:textId="77777777" w:rsidR="007F3724" w:rsidRDefault="007F3724" w:rsidP="00A3786D">
      <w:pPr>
        <w:pStyle w:val="FootnoteText"/>
      </w:pPr>
      <w:r w:rsidRPr="00282527">
        <w:rPr>
          <w:rStyle w:val="FootnoteReference"/>
        </w:rPr>
        <w:footnoteRef/>
      </w:r>
      <w:r>
        <w:tab/>
      </w:r>
      <w:r w:rsidRPr="002978C0">
        <w:t>States have a constitutional right to 42.5</w:t>
      </w:r>
      <w:r w:rsidRPr="000C30D5">
        <w:t> </w:t>
      </w:r>
      <w:r>
        <w:t>per cent</w:t>
      </w:r>
      <w:r w:rsidRPr="002978C0">
        <w:t xml:space="preserve"> of the income tax, 5</w:t>
      </w:r>
      <w:r>
        <w:t>0 per cent</w:t>
      </w:r>
      <w:r w:rsidRPr="002978C0">
        <w:t xml:space="preserve"> of the corporation tax and</w:t>
      </w:r>
      <w:r>
        <w:t xml:space="preserve"> approximately 45</w:t>
      </w:r>
      <w:r w:rsidRPr="000C30D5">
        <w:t> </w:t>
      </w:r>
      <w:r>
        <w:t>per</w:t>
      </w:r>
      <w:r w:rsidRPr="000C30D5">
        <w:t> </w:t>
      </w:r>
      <w:r>
        <w:t>cent</w:t>
      </w:r>
      <w:r w:rsidRPr="002978C0">
        <w:t xml:space="preserve"> of </w:t>
      </w:r>
      <w:r>
        <w:t>the value added tax.</w:t>
      </w:r>
    </w:p>
  </w:footnote>
  <w:footnote w:id="29">
    <w:p w14:paraId="7954D87C" w14:textId="77777777" w:rsidR="007F3724" w:rsidRDefault="007F3724">
      <w:pPr>
        <w:pStyle w:val="FootnoteText"/>
      </w:pPr>
      <w:r w:rsidRPr="00282527">
        <w:rPr>
          <w:rStyle w:val="FootnoteReference"/>
        </w:rPr>
        <w:footnoteRef/>
      </w:r>
      <w:r>
        <w:tab/>
      </w:r>
      <w:r w:rsidRPr="00F0569A">
        <w:t>Revenue equalisation is the transfer of fiscal resources to reduce differences in a jurisdiction’s per capita revenue raising capacity. Cost equalisation is the transfer of fiscal resources to reduce differences in a jurisdiction’s per capita cost of providing a standard set of public services</w:t>
      </w:r>
    </w:p>
  </w:footnote>
  <w:footnote w:id="30">
    <w:p w14:paraId="7954D87D" w14:textId="77777777" w:rsidR="007F3724" w:rsidRDefault="007F3724" w:rsidP="00A3786D">
      <w:pPr>
        <w:pStyle w:val="FootnoteText"/>
      </w:pPr>
      <w:r w:rsidRPr="00282527">
        <w:rPr>
          <w:rStyle w:val="FootnoteReference"/>
        </w:rPr>
        <w:footnoteRef/>
      </w:r>
      <w:r>
        <w:tab/>
        <w:t>A Cohesion Fund was also introduced in 2008-09 to provide additional financing for infrastructure deficiencies and to ensure that financially weak States were not made worse off in transition to the new equalisation system introduced in 2008.</w:t>
      </w:r>
    </w:p>
  </w:footnote>
  <w:footnote w:id="31">
    <w:p w14:paraId="7954D87E" w14:textId="2BE38E93" w:rsidR="007F3724" w:rsidRDefault="007F3724">
      <w:pPr>
        <w:pStyle w:val="FootnoteText"/>
      </w:pPr>
      <w:r w:rsidRPr="00282527">
        <w:rPr>
          <w:rStyle w:val="FootnoteReference"/>
        </w:rPr>
        <w:footnoteRef/>
      </w:r>
      <w:r>
        <w:tab/>
      </w:r>
      <w:r w:rsidRPr="004E0D30">
        <w:t>Equalisation offset rates can also create a development trap for fiscally weaker sub</w:t>
      </w:r>
      <w:r w:rsidRPr="004E0D30">
        <w:noBreakHyphen/>
        <w:t xml:space="preserve">central governments </w:t>
      </w:r>
      <w:r w:rsidRPr="009D6331">
        <w:rPr>
          <w:szCs w:val="24"/>
        </w:rPr>
        <w:t>(Blöchliger et al. 2007, p. 16)</w:t>
      </w:r>
      <w:r w:rsidRPr="004E0D30">
        <w:t>. This is most likely where equalisation schemes ensure a minimum fiscal capacity to governments whose fiscal capacity falls below a certain threshold. Under those circumstances, jurisdictions would effectively lose 100 per cent of addition</w:t>
      </w:r>
      <w:r>
        <w:t>al</w:t>
      </w:r>
      <w:r w:rsidRPr="004E0D30">
        <w:t xml:space="preserve"> funds for any increase in their revenues up to that threshold — these ‘cliff edge’ effects were present in Germany’s system prior to equalisation reforms in 2005 </w:t>
      </w:r>
      <w:r w:rsidRPr="009D6331">
        <w:rPr>
          <w:szCs w:val="24"/>
        </w:rPr>
        <w:t>(Färber 2013, p. 13)</w:t>
      </w:r>
      <w:r w:rsidRPr="004E0D30">
        <w:t>. In contrast, jurisdictions above that threshold face a smaller equalisation tax rate that can be as low as zero per cent.</w:t>
      </w:r>
    </w:p>
  </w:footnote>
  <w:footnote w:id="32">
    <w:p w14:paraId="7954D87F" w14:textId="77777777" w:rsidR="007F3724" w:rsidRDefault="007F3724">
      <w:pPr>
        <w:pStyle w:val="FootnoteText"/>
      </w:pPr>
      <w:r w:rsidRPr="00282527">
        <w:rPr>
          <w:rStyle w:val="FootnoteReference"/>
        </w:rPr>
        <w:footnoteRef/>
      </w:r>
      <w:r>
        <w:tab/>
        <w:t>When weighted using MYEFO population estimates, the a</w:t>
      </w:r>
      <w:r w:rsidRPr="006C4BF1">
        <w:t>verage of</w:t>
      </w:r>
      <w:r>
        <w:t xml:space="preserve"> projected</w:t>
      </w:r>
      <w:r w:rsidRPr="006C4BF1">
        <w:t xml:space="preserve"> State Tre</w:t>
      </w:r>
      <w:r>
        <w:t xml:space="preserve">asury GST relativities sum to almost one (between about 0.995 and 0.999). This was sufficiently accurate for the illustrative purposes of the transition analysis.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96CFA" w14:textId="77777777" w:rsidR="007F3724" w:rsidRDefault="007F3724" w:rsidP="006606FA">
    <w:pPr>
      <w:pStyle w:val="HeaderEnd"/>
    </w:pPr>
  </w:p>
  <w:p w14:paraId="7C2697AC" w14:textId="77777777" w:rsidR="007F3724" w:rsidRPr="00D01645" w:rsidRDefault="007F3724" w:rsidP="006606FA">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3724" w14:paraId="58617386" w14:textId="77777777">
      <w:tc>
        <w:tcPr>
          <w:tcW w:w="6634" w:type="dxa"/>
          <w:tcBorders>
            <w:top w:val="single" w:sz="6" w:space="0" w:color="auto"/>
          </w:tcBorders>
        </w:tcPr>
        <w:p w14:paraId="5C94CAD3" w14:textId="77777777" w:rsidR="007F3724" w:rsidRDefault="007F3724">
          <w:pPr>
            <w:pStyle w:val="HeaderOdd"/>
          </w:pPr>
        </w:p>
      </w:tc>
      <w:tc>
        <w:tcPr>
          <w:tcW w:w="2155" w:type="dxa"/>
          <w:tcBorders>
            <w:top w:val="single" w:sz="24" w:space="0" w:color="auto"/>
          </w:tcBorders>
        </w:tcPr>
        <w:p w14:paraId="5335F76A" w14:textId="77777777" w:rsidR="007F3724" w:rsidRDefault="007F3724">
          <w:pPr>
            <w:pStyle w:val="HeaderOdd"/>
          </w:pPr>
        </w:p>
      </w:tc>
    </w:tr>
  </w:tbl>
  <w:p w14:paraId="2D99C99A" w14:textId="77777777" w:rsidR="007F3724" w:rsidRDefault="007F3724" w:rsidP="006606FA">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6D9" w14:textId="77777777" w:rsidTr="00F05DC7">
      <w:trPr>
        <w:trHeight w:val="300"/>
      </w:trPr>
      <w:tc>
        <w:tcPr>
          <w:tcW w:w="2154" w:type="dxa"/>
          <w:tcBorders>
            <w:top w:val="single" w:sz="24" w:space="0" w:color="auto"/>
          </w:tcBorders>
          <w:shd w:val="clear" w:color="auto" w:fill="auto"/>
        </w:tcPr>
        <w:p w14:paraId="7954D6D7" w14:textId="77777777" w:rsidR="007F3724" w:rsidRDefault="007F3724" w:rsidP="00F05DC7">
          <w:pPr>
            <w:pStyle w:val="HeaderEven"/>
          </w:pPr>
        </w:p>
      </w:tc>
      <w:tc>
        <w:tcPr>
          <w:tcW w:w="6633" w:type="dxa"/>
          <w:tcBorders>
            <w:top w:val="single" w:sz="6" w:space="0" w:color="auto"/>
          </w:tcBorders>
          <w:shd w:val="clear" w:color="auto" w:fill="auto"/>
        </w:tcPr>
        <w:p w14:paraId="7954D6D8" w14:textId="77777777" w:rsidR="007F3724" w:rsidRDefault="007F3724" w:rsidP="00F05DC7">
          <w:pPr>
            <w:pStyle w:val="HeaderEven"/>
          </w:pPr>
        </w:p>
      </w:tc>
    </w:tr>
  </w:tbl>
  <w:p w14:paraId="7954D6DA" w14:textId="77777777" w:rsidR="007F3724" w:rsidRPr="00F05DC7" w:rsidRDefault="007F3724" w:rsidP="00F05DC7">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6DD" w14:textId="77777777" w:rsidTr="00F05DC7">
      <w:trPr>
        <w:trHeight w:val="300"/>
      </w:trPr>
      <w:tc>
        <w:tcPr>
          <w:tcW w:w="6633" w:type="dxa"/>
          <w:tcBorders>
            <w:top w:val="single" w:sz="6" w:space="0" w:color="auto"/>
          </w:tcBorders>
          <w:shd w:val="clear" w:color="auto" w:fill="auto"/>
        </w:tcPr>
        <w:p w14:paraId="7954D6DB" w14:textId="77777777" w:rsidR="007F3724" w:rsidRDefault="007F3724" w:rsidP="00F05DC7">
          <w:pPr>
            <w:pStyle w:val="HeaderOdd"/>
          </w:pPr>
        </w:p>
      </w:tc>
      <w:tc>
        <w:tcPr>
          <w:tcW w:w="2154" w:type="dxa"/>
          <w:tcBorders>
            <w:top w:val="single" w:sz="24" w:space="0" w:color="auto"/>
          </w:tcBorders>
          <w:shd w:val="clear" w:color="auto" w:fill="auto"/>
        </w:tcPr>
        <w:p w14:paraId="7954D6DC" w14:textId="77777777" w:rsidR="007F3724" w:rsidRDefault="007F3724" w:rsidP="00F05DC7">
          <w:pPr>
            <w:pStyle w:val="HeaderOdd"/>
          </w:pPr>
        </w:p>
      </w:tc>
    </w:tr>
  </w:tbl>
  <w:p w14:paraId="7954D6DE" w14:textId="77777777" w:rsidR="007F3724" w:rsidRPr="00F05DC7" w:rsidRDefault="007F3724" w:rsidP="00F05DC7">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3E087" w14:textId="77777777" w:rsidR="007F3724" w:rsidRDefault="007F372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6EB" w14:textId="77777777" w:rsidR="007F3724" w:rsidRPr="00F05DC7" w:rsidRDefault="007F3724" w:rsidP="00F05DC7">
    <w:pPr>
      <w:pStyle w:val="Header"/>
      <w:spacing w:line="20"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6EC" w14:textId="77777777" w:rsidR="007F3724" w:rsidRPr="00F05DC7" w:rsidRDefault="007F3724" w:rsidP="00F05DC7">
    <w:pPr>
      <w:pStyle w:val="Header"/>
      <w:spacing w:line="20"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6F1" w14:textId="77777777" w:rsidTr="00F05DC7">
      <w:trPr>
        <w:trHeight w:val="300"/>
      </w:trPr>
      <w:tc>
        <w:tcPr>
          <w:tcW w:w="2154" w:type="dxa"/>
          <w:tcBorders>
            <w:top w:val="single" w:sz="24" w:space="0" w:color="auto"/>
          </w:tcBorders>
          <w:shd w:val="clear" w:color="auto" w:fill="auto"/>
        </w:tcPr>
        <w:p w14:paraId="7954D6EF" w14:textId="77777777" w:rsidR="007F3724" w:rsidRDefault="007F3724" w:rsidP="00F05DC7">
          <w:pPr>
            <w:pStyle w:val="HeaderEven"/>
          </w:pPr>
        </w:p>
      </w:tc>
      <w:tc>
        <w:tcPr>
          <w:tcW w:w="6633" w:type="dxa"/>
          <w:tcBorders>
            <w:top w:val="single" w:sz="6" w:space="0" w:color="auto"/>
          </w:tcBorders>
          <w:shd w:val="clear" w:color="auto" w:fill="auto"/>
        </w:tcPr>
        <w:p w14:paraId="7954D6F0" w14:textId="77777777" w:rsidR="007F3724" w:rsidRDefault="007F3724" w:rsidP="00F05DC7">
          <w:pPr>
            <w:pStyle w:val="HeaderEven"/>
          </w:pPr>
        </w:p>
      </w:tc>
    </w:tr>
  </w:tbl>
  <w:p w14:paraId="7954D6F2" w14:textId="77777777" w:rsidR="007F3724" w:rsidRPr="00F05DC7" w:rsidRDefault="007F3724" w:rsidP="00F05DC7">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6F5" w14:textId="77777777" w:rsidTr="00F05DC7">
      <w:trPr>
        <w:trHeight w:val="300"/>
      </w:trPr>
      <w:tc>
        <w:tcPr>
          <w:tcW w:w="6633" w:type="dxa"/>
          <w:tcBorders>
            <w:top w:val="single" w:sz="6" w:space="0" w:color="auto"/>
          </w:tcBorders>
          <w:shd w:val="clear" w:color="auto" w:fill="auto"/>
        </w:tcPr>
        <w:p w14:paraId="7954D6F3" w14:textId="77777777" w:rsidR="007F3724" w:rsidRDefault="007F3724" w:rsidP="00F05DC7">
          <w:pPr>
            <w:pStyle w:val="HeaderOdd"/>
          </w:pPr>
        </w:p>
      </w:tc>
      <w:tc>
        <w:tcPr>
          <w:tcW w:w="2154" w:type="dxa"/>
          <w:tcBorders>
            <w:top w:val="single" w:sz="24" w:space="0" w:color="auto"/>
          </w:tcBorders>
          <w:shd w:val="clear" w:color="auto" w:fill="auto"/>
        </w:tcPr>
        <w:p w14:paraId="7954D6F4" w14:textId="77777777" w:rsidR="007F3724" w:rsidRDefault="007F3724" w:rsidP="00F05DC7">
          <w:pPr>
            <w:pStyle w:val="HeaderOdd"/>
          </w:pPr>
        </w:p>
      </w:tc>
    </w:tr>
  </w:tbl>
  <w:p w14:paraId="7954D6F6" w14:textId="77777777" w:rsidR="007F3724" w:rsidRPr="00F05DC7" w:rsidRDefault="007F3724" w:rsidP="00F05DC7">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3724" w14:paraId="144C8B46" w14:textId="77777777">
      <w:tc>
        <w:tcPr>
          <w:tcW w:w="2155" w:type="dxa"/>
          <w:tcBorders>
            <w:top w:val="single" w:sz="24" w:space="0" w:color="auto"/>
          </w:tcBorders>
        </w:tcPr>
        <w:p w14:paraId="5619F14A" w14:textId="77777777" w:rsidR="007F3724" w:rsidRDefault="007F3724" w:rsidP="0019293B">
          <w:pPr>
            <w:pStyle w:val="HeaderEven"/>
          </w:pPr>
        </w:p>
      </w:tc>
      <w:tc>
        <w:tcPr>
          <w:tcW w:w="6634" w:type="dxa"/>
          <w:tcBorders>
            <w:top w:val="single" w:sz="6" w:space="0" w:color="auto"/>
          </w:tcBorders>
        </w:tcPr>
        <w:p w14:paraId="3C4A9540" w14:textId="77777777" w:rsidR="007F3724" w:rsidRDefault="007F3724" w:rsidP="0019293B">
          <w:pPr>
            <w:pStyle w:val="HeaderEven"/>
          </w:pPr>
        </w:p>
      </w:tc>
    </w:tr>
  </w:tbl>
  <w:p w14:paraId="299BE0ED" w14:textId="77777777" w:rsidR="007F3724" w:rsidRDefault="007F3724" w:rsidP="00B61355">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03" w14:textId="77777777" w:rsidTr="00F05DC7">
      <w:trPr>
        <w:trHeight w:val="300"/>
      </w:trPr>
      <w:tc>
        <w:tcPr>
          <w:tcW w:w="2154" w:type="dxa"/>
          <w:tcBorders>
            <w:top w:val="single" w:sz="24" w:space="0" w:color="auto"/>
          </w:tcBorders>
          <w:shd w:val="clear" w:color="auto" w:fill="auto"/>
        </w:tcPr>
        <w:p w14:paraId="7954D701" w14:textId="77777777" w:rsidR="007F3724" w:rsidRDefault="007F3724" w:rsidP="00F05DC7">
          <w:pPr>
            <w:pStyle w:val="HeaderEven"/>
          </w:pPr>
        </w:p>
      </w:tc>
      <w:tc>
        <w:tcPr>
          <w:tcW w:w="6633" w:type="dxa"/>
          <w:tcBorders>
            <w:top w:val="single" w:sz="6" w:space="0" w:color="auto"/>
          </w:tcBorders>
          <w:shd w:val="clear" w:color="auto" w:fill="auto"/>
        </w:tcPr>
        <w:p w14:paraId="7954D702" w14:textId="77777777" w:rsidR="007F3724" w:rsidRDefault="007F3724" w:rsidP="00F05DC7">
          <w:pPr>
            <w:pStyle w:val="HeaderEven"/>
          </w:pPr>
        </w:p>
      </w:tc>
    </w:tr>
  </w:tbl>
  <w:p w14:paraId="7954D704" w14:textId="77777777" w:rsidR="007F3724" w:rsidRPr="00F05DC7" w:rsidRDefault="007F3724" w:rsidP="00F05DC7">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F3724" w14:paraId="1FF23064" w14:textId="77777777">
      <w:tc>
        <w:tcPr>
          <w:tcW w:w="2155" w:type="dxa"/>
          <w:tcBorders>
            <w:top w:val="single" w:sz="24" w:space="0" w:color="auto"/>
          </w:tcBorders>
        </w:tcPr>
        <w:p w14:paraId="7EFEE370" w14:textId="77777777" w:rsidR="007F3724" w:rsidRDefault="007F3724">
          <w:pPr>
            <w:pStyle w:val="Header"/>
          </w:pPr>
        </w:p>
      </w:tc>
      <w:tc>
        <w:tcPr>
          <w:tcW w:w="6634" w:type="dxa"/>
          <w:tcBorders>
            <w:top w:val="single" w:sz="6" w:space="0" w:color="auto"/>
          </w:tcBorders>
        </w:tcPr>
        <w:p w14:paraId="13683627" w14:textId="77777777" w:rsidR="007F3724" w:rsidRDefault="007F3724">
          <w:pPr>
            <w:pStyle w:val="Header"/>
          </w:pPr>
        </w:p>
      </w:tc>
    </w:tr>
  </w:tbl>
  <w:p w14:paraId="293724FA" w14:textId="77777777" w:rsidR="007F3724" w:rsidRDefault="007F3724">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07" w14:textId="77777777" w:rsidTr="00F05DC7">
      <w:trPr>
        <w:trHeight w:val="300"/>
      </w:trPr>
      <w:tc>
        <w:tcPr>
          <w:tcW w:w="6633" w:type="dxa"/>
          <w:tcBorders>
            <w:top w:val="single" w:sz="6" w:space="0" w:color="auto"/>
          </w:tcBorders>
          <w:shd w:val="clear" w:color="auto" w:fill="auto"/>
        </w:tcPr>
        <w:p w14:paraId="7954D705" w14:textId="77777777" w:rsidR="007F3724" w:rsidRDefault="007F3724" w:rsidP="00F05DC7">
          <w:pPr>
            <w:pStyle w:val="HeaderOdd"/>
          </w:pPr>
        </w:p>
      </w:tc>
      <w:tc>
        <w:tcPr>
          <w:tcW w:w="2154" w:type="dxa"/>
          <w:tcBorders>
            <w:top w:val="single" w:sz="24" w:space="0" w:color="auto"/>
          </w:tcBorders>
          <w:shd w:val="clear" w:color="auto" w:fill="auto"/>
        </w:tcPr>
        <w:p w14:paraId="7954D706" w14:textId="77777777" w:rsidR="007F3724" w:rsidRDefault="007F3724" w:rsidP="00F05DC7">
          <w:pPr>
            <w:pStyle w:val="HeaderOdd"/>
          </w:pPr>
        </w:p>
      </w:tc>
    </w:tr>
  </w:tbl>
  <w:p w14:paraId="7954D708" w14:textId="77777777" w:rsidR="007F3724" w:rsidRPr="00F05DC7" w:rsidRDefault="007F3724" w:rsidP="00F05DC7">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15" w14:textId="77777777" w:rsidTr="00F05DC7">
      <w:trPr>
        <w:trHeight w:val="300"/>
      </w:trPr>
      <w:tc>
        <w:tcPr>
          <w:tcW w:w="2154" w:type="dxa"/>
          <w:tcBorders>
            <w:top w:val="single" w:sz="24" w:space="0" w:color="auto"/>
          </w:tcBorders>
          <w:shd w:val="clear" w:color="auto" w:fill="auto"/>
        </w:tcPr>
        <w:p w14:paraId="7954D713" w14:textId="77777777" w:rsidR="007F3724" w:rsidRDefault="007F3724" w:rsidP="00F05DC7">
          <w:pPr>
            <w:pStyle w:val="HeaderEven"/>
          </w:pPr>
        </w:p>
      </w:tc>
      <w:tc>
        <w:tcPr>
          <w:tcW w:w="6633" w:type="dxa"/>
          <w:tcBorders>
            <w:top w:val="single" w:sz="6" w:space="0" w:color="auto"/>
          </w:tcBorders>
          <w:shd w:val="clear" w:color="auto" w:fill="auto"/>
        </w:tcPr>
        <w:p w14:paraId="7954D714" w14:textId="77777777" w:rsidR="007F3724" w:rsidRDefault="007F3724" w:rsidP="00F05DC7">
          <w:pPr>
            <w:pStyle w:val="HeaderEven"/>
          </w:pPr>
        </w:p>
      </w:tc>
    </w:tr>
  </w:tbl>
  <w:p w14:paraId="7954D716" w14:textId="77777777" w:rsidR="007F3724" w:rsidRPr="00F05DC7" w:rsidRDefault="007F3724" w:rsidP="00F05DC7">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19" w14:textId="77777777" w:rsidTr="00F05DC7">
      <w:trPr>
        <w:trHeight w:val="300"/>
      </w:trPr>
      <w:tc>
        <w:tcPr>
          <w:tcW w:w="6633" w:type="dxa"/>
          <w:tcBorders>
            <w:top w:val="single" w:sz="6" w:space="0" w:color="auto"/>
          </w:tcBorders>
          <w:shd w:val="clear" w:color="auto" w:fill="auto"/>
        </w:tcPr>
        <w:p w14:paraId="7954D717" w14:textId="77777777" w:rsidR="007F3724" w:rsidRDefault="007F3724" w:rsidP="00F05DC7">
          <w:pPr>
            <w:pStyle w:val="HeaderOdd"/>
          </w:pPr>
        </w:p>
      </w:tc>
      <w:tc>
        <w:tcPr>
          <w:tcW w:w="2154" w:type="dxa"/>
          <w:tcBorders>
            <w:top w:val="single" w:sz="24" w:space="0" w:color="auto"/>
          </w:tcBorders>
          <w:shd w:val="clear" w:color="auto" w:fill="auto"/>
        </w:tcPr>
        <w:p w14:paraId="7954D718" w14:textId="77777777" w:rsidR="007F3724" w:rsidRDefault="007F3724" w:rsidP="00F05DC7">
          <w:pPr>
            <w:pStyle w:val="HeaderOdd"/>
          </w:pPr>
        </w:p>
      </w:tc>
    </w:tr>
  </w:tbl>
  <w:p w14:paraId="7954D71A" w14:textId="77777777" w:rsidR="007F3724" w:rsidRPr="00F05DC7" w:rsidRDefault="007F3724" w:rsidP="00F05DC7">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27" w14:textId="77777777" w:rsidTr="00F05DC7">
      <w:trPr>
        <w:trHeight w:val="300"/>
      </w:trPr>
      <w:tc>
        <w:tcPr>
          <w:tcW w:w="2154" w:type="dxa"/>
          <w:tcBorders>
            <w:top w:val="single" w:sz="24" w:space="0" w:color="auto"/>
          </w:tcBorders>
          <w:shd w:val="clear" w:color="auto" w:fill="auto"/>
        </w:tcPr>
        <w:p w14:paraId="7954D725" w14:textId="77777777" w:rsidR="007F3724" w:rsidRDefault="007F3724" w:rsidP="00F05DC7">
          <w:pPr>
            <w:pStyle w:val="HeaderEven"/>
          </w:pPr>
        </w:p>
      </w:tc>
      <w:tc>
        <w:tcPr>
          <w:tcW w:w="6633" w:type="dxa"/>
          <w:tcBorders>
            <w:top w:val="single" w:sz="6" w:space="0" w:color="auto"/>
          </w:tcBorders>
          <w:shd w:val="clear" w:color="auto" w:fill="auto"/>
        </w:tcPr>
        <w:p w14:paraId="7954D726" w14:textId="77777777" w:rsidR="007F3724" w:rsidRDefault="007F3724" w:rsidP="00F05DC7">
          <w:pPr>
            <w:pStyle w:val="HeaderEven"/>
          </w:pPr>
        </w:p>
      </w:tc>
    </w:tr>
  </w:tbl>
  <w:p w14:paraId="7954D728" w14:textId="77777777" w:rsidR="007F3724" w:rsidRPr="00F05DC7" w:rsidRDefault="007F3724" w:rsidP="00F05DC7">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2B" w14:textId="77777777" w:rsidTr="00F05DC7">
      <w:trPr>
        <w:trHeight w:val="300"/>
      </w:trPr>
      <w:tc>
        <w:tcPr>
          <w:tcW w:w="6633" w:type="dxa"/>
          <w:tcBorders>
            <w:top w:val="single" w:sz="6" w:space="0" w:color="auto"/>
          </w:tcBorders>
          <w:shd w:val="clear" w:color="auto" w:fill="auto"/>
        </w:tcPr>
        <w:p w14:paraId="7954D729" w14:textId="77777777" w:rsidR="007F3724" w:rsidRDefault="007F3724" w:rsidP="00F05DC7">
          <w:pPr>
            <w:pStyle w:val="HeaderOdd"/>
          </w:pPr>
        </w:p>
      </w:tc>
      <w:tc>
        <w:tcPr>
          <w:tcW w:w="2154" w:type="dxa"/>
          <w:tcBorders>
            <w:top w:val="single" w:sz="24" w:space="0" w:color="auto"/>
          </w:tcBorders>
          <w:shd w:val="clear" w:color="auto" w:fill="auto"/>
        </w:tcPr>
        <w:p w14:paraId="7954D72A" w14:textId="77777777" w:rsidR="007F3724" w:rsidRDefault="007F3724" w:rsidP="00F05DC7">
          <w:pPr>
            <w:pStyle w:val="HeaderOdd"/>
          </w:pPr>
        </w:p>
      </w:tc>
    </w:tr>
  </w:tbl>
  <w:p w14:paraId="7954D72C" w14:textId="77777777" w:rsidR="007F3724" w:rsidRPr="00F05DC7" w:rsidRDefault="007F3724" w:rsidP="00F05DC7">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737" w14:textId="77777777" w:rsidR="007F3724" w:rsidRPr="00F05DC7" w:rsidRDefault="007F3724" w:rsidP="00F05DC7">
    <w:pPr>
      <w:pStyle w:val="Header"/>
      <w:spacing w:line="20"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738" w14:textId="77777777" w:rsidR="007F3724" w:rsidRPr="00F05DC7" w:rsidRDefault="007F3724" w:rsidP="00F05DC7">
    <w:pPr>
      <w:pStyle w:val="Header"/>
      <w:spacing w:line="2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3D" w14:textId="77777777" w:rsidTr="00F05DC7">
      <w:trPr>
        <w:trHeight w:val="300"/>
      </w:trPr>
      <w:tc>
        <w:tcPr>
          <w:tcW w:w="2154" w:type="dxa"/>
          <w:tcBorders>
            <w:top w:val="single" w:sz="24" w:space="0" w:color="auto"/>
          </w:tcBorders>
          <w:shd w:val="clear" w:color="auto" w:fill="auto"/>
        </w:tcPr>
        <w:p w14:paraId="7954D73B" w14:textId="77777777" w:rsidR="007F3724" w:rsidRDefault="007F3724" w:rsidP="00F05DC7">
          <w:pPr>
            <w:pStyle w:val="HeaderEven"/>
          </w:pPr>
        </w:p>
      </w:tc>
      <w:tc>
        <w:tcPr>
          <w:tcW w:w="6633" w:type="dxa"/>
          <w:tcBorders>
            <w:top w:val="single" w:sz="6" w:space="0" w:color="auto"/>
          </w:tcBorders>
          <w:shd w:val="clear" w:color="auto" w:fill="auto"/>
        </w:tcPr>
        <w:p w14:paraId="7954D73C" w14:textId="77777777" w:rsidR="007F3724" w:rsidRDefault="007F3724" w:rsidP="00F05DC7">
          <w:pPr>
            <w:pStyle w:val="HeaderEven"/>
          </w:pPr>
        </w:p>
      </w:tc>
    </w:tr>
  </w:tbl>
  <w:p w14:paraId="7954D73E" w14:textId="77777777" w:rsidR="007F3724" w:rsidRPr="00F05DC7" w:rsidRDefault="007F3724" w:rsidP="00F05DC7">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41" w14:textId="77777777" w:rsidTr="00F05DC7">
      <w:trPr>
        <w:trHeight w:val="300"/>
      </w:trPr>
      <w:tc>
        <w:tcPr>
          <w:tcW w:w="6633" w:type="dxa"/>
          <w:tcBorders>
            <w:top w:val="single" w:sz="6" w:space="0" w:color="auto"/>
          </w:tcBorders>
          <w:shd w:val="clear" w:color="auto" w:fill="auto"/>
        </w:tcPr>
        <w:p w14:paraId="7954D73F" w14:textId="77777777" w:rsidR="007F3724" w:rsidRDefault="007F3724" w:rsidP="00F05DC7">
          <w:pPr>
            <w:pStyle w:val="HeaderOdd"/>
          </w:pPr>
        </w:p>
      </w:tc>
      <w:tc>
        <w:tcPr>
          <w:tcW w:w="2154" w:type="dxa"/>
          <w:tcBorders>
            <w:top w:val="single" w:sz="24" w:space="0" w:color="auto"/>
          </w:tcBorders>
          <w:shd w:val="clear" w:color="auto" w:fill="auto"/>
        </w:tcPr>
        <w:p w14:paraId="7954D740" w14:textId="77777777" w:rsidR="007F3724" w:rsidRDefault="007F3724" w:rsidP="00F05DC7">
          <w:pPr>
            <w:pStyle w:val="HeaderOdd"/>
          </w:pPr>
        </w:p>
      </w:tc>
    </w:tr>
  </w:tbl>
  <w:p w14:paraId="7954D742" w14:textId="77777777" w:rsidR="007F3724" w:rsidRPr="00F05DC7" w:rsidRDefault="007F3724" w:rsidP="00F05DC7">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4F" w14:textId="77777777" w:rsidTr="00F05DC7">
      <w:trPr>
        <w:trHeight w:val="300"/>
      </w:trPr>
      <w:tc>
        <w:tcPr>
          <w:tcW w:w="2154" w:type="dxa"/>
          <w:tcBorders>
            <w:top w:val="single" w:sz="24" w:space="0" w:color="auto"/>
          </w:tcBorders>
          <w:shd w:val="clear" w:color="auto" w:fill="auto"/>
        </w:tcPr>
        <w:p w14:paraId="7954D74D" w14:textId="77777777" w:rsidR="007F3724" w:rsidRDefault="007F3724" w:rsidP="00F05DC7">
          <w:pPr>
            <w:pStyle w:val="HeaderEven"/>
          </w:pPr>
        </w:p>
      </w:tc>
      <w:tc>
        <w:tcPr>
          <w:tcW w:w="6633" w:type="dxa"/>
          <w:tcBorders>
            <w:top w:val="single" w:sz="6" w:space="0" w:color="auto"/>
          </w:tcBorders>
          <w:shd w:val="clear" w:color="auto" w:fill="auto"/>
        </w:tcPr>
        <w:p w14:paraId="7954D74E" w14:textId="77777777" w:rsidR="007F3724" w:rsidRDefault="007F3724" w:rsidP="00F05DC7">
          <w:pPr>
            <w:pStyle w:val="HeaderEven"/>
          </w:pPr>
        </w:p>
      </w:tc>
    </w:tr>
  </w:tbl>
  <w:p w14:paraId="7954D750" w14:textId="77777777" w:rsidR="007F3724" w:rsidRPr="00F05DC7" w:rsidRDefault="007F3724" w:rsidP="00F05DC7">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3724" w14:paraId="6E3B3456" w14:textId="77777777">
      <w:tc>
        <w:tcPr>
          <w:tcW w:w="6634" w:type="dxa"/>
          <w:tcBorders>
            <w:top w:val="single" w:sz="6" w:space="0" w:color="auto"/>
          </w:tcBorders>
        </w:tcPr>
        <w:p w14:paraId="5E442612" w14:textId="77777777" w:rsidR="007F3724" w:rsidRDefault="007F3724" w:rsidP="006606FA">
          <w:pPr>
            <w:pStyle w:val="HeaderOdd"/>
          </w:pPr>
        </w:p>
      </w:tc>
      <w:tc>
        <w:tcPr>
          <w:tcW w:w="2155" w:type="dxa"/>
          <w:tcBorders>
            <w:top w:val="single" w:sz="24" w:space="0" w:color="auto"/>
          </w:tcBorders>
        </w:tcPr>
        <w:p w14:paraId="7775689D" w14:textId="77777777" w:rsidR="007F3724" w:rsidRDefault="007F3724" w:rsidP="006606FA">
          <w:pPr>
            <w:pStyle w:val="HeaderOdd"/>
          </w:pPr>
        </w:p>
      </w:tc>
    </w:tr>
  </w:tbl>
  <w:p w14:paraId="7053B742" w14:textId="77777777" w:rsidR="007F3724" w:rsidRDefault="007F3724" w:rsidP="006606FA">
    <w:pPr>
      <w:pStyle w:val="HeaderEnd"/>
    </w:pPr>
  </w:p>
  <w:p w14:paraId="56AA4E18" w14:textId="77777777" w:rsidR="007F3724" w:rsidRPr="00D01645" w:rsidRDefault="007F3724" w:rsidP="006606FA">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53" w14:textId="77777777" w:rsidTr="00F05DC7">
      <w:trPr>
        <w:trHeight w:val="300"/>
      </w:trPr>
      <w:tc>
        <w:tcPr>
          <w:tcW w:w="6633" w:type="dxa"/>
          <w:tcBorders>
            <w:top w:val="single" w:sz="6" w:space="0" w:color="auto"/>
          </w:tcBorders>
          <w:shd w:val="clear" w:color="auto" w:fill="auto"/>
        </w:tcPr>
        <w:p w14:paraId="7954D751" w14:textId="77777777" w:rsidR="007F3724" w:rsidRDefault="007F3724" w:rsidP="00F05DC7">
          <w:pPr>
            <w:pStyle w:val="HeaderOdd"/>
          </w:pPr>
        </w:p>
      </w:tc>
      <w:tc>
        <w:tcPr>
          <w:tcW w:w="2154" w:type="dxa"/>
          <w:tcBorders>
            <w:top w:val="single" w:sz="24" w:space="0" w:color="auto"/>
          </w:tcBorders>
          <w:shd w:val="clear" w:color="auto" w:fill="auto"/>
        </w:tcPr>
        <w:p w14:paraId="7954D752" w14:textId="77777777" w:rsidR="007F3724" w:rsidRDefault="007F3724" w:rsidP="00F05DC7">
          <w:pPr>
            <w:pStyle w:val="HeaderOdd"/>
          </w:pPr>
        </w:p>
      </w:tc>
    </w:tr>
  </w:tbl>
  <w:p w14:paraId="7954D754" w14:textId="77777777" w:rsidR="007F3724" w:rsidRPr="00F05DC7" w:rsidRDefault="007F3724" w:rsidP="00F05DC7">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61" w14:textId="77777777" w:rsidTr="00F05DC7">
      <w:trPr>
        <w:trHeight w:val="300"/>
      </w:trPr>
      <w:tc>
        <w:tcPr>
          <w:tcW w:w="2154" w:type="dxa"/>
          <w:tcBorders>
            <w:top w:val="single" w:sz="24" w:space="0" w:color="auto"/>
          </w:tcBorders>
          <w:shd w:val="clear" w:color="auto" w:fill="auto"/>
        </w:tcPr>
        <w:p w14:paraId="7954D75F" w14:textId="77777777" w:rsidR="007F3724" w:rsidRDefault="007F3724" w:rsidP="00F05DC7">
          <w:pPr>
            <w:pStyle w:val="HeaderEven"/>
          </w:pPr>
        </w:p>
      </w:tc>
      <w:tc>
        <w:tcPr>
          <w:tcW w:w="6633" w:type="dxa"/>
          <w:tcBorders>
            <w:top w:val="single" w:sz="6" w:space="0" w:color="auto"/>
          </w:tcBorders>
          <w:shd w:val="clear" w:color="auto" w:fill="auto"/>
        </w:tcPr>
        <w:p w14:paraId="7954D760" w14:textId="77777777" w:rsidR="007F3724" w:rsidRDefault="007F3724" w:rsidP="00F05DC7">
          <w:pPr>
            <w:pStyle w:val="HeaderEven"/>
          </w:pPr>
        </w:p>
      </w:tc>
    </w:tr>
  </w:tbl>
  <w:p w14:paraId="7954D762" w14:textId="77777777" w:rsidR="007F3724" w:rsidRPr="00F05DC7" w:rsidRDefault="007F3724" w:rsidP="00F05DC7">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65" w14:textId="77777777" w:rsidTr="00F05DC7">
      <w:trPr>
        <w:trHeight w:val="300"/>
      </w:trPr>
      <w:tc>
        <w:tcPr>
          <w:tcW w:w="6633" w:type="dxa"/>
          <w:tcBorders>
            <w:top w:val="single" w:sz="6" w:space="0" w:color="auto"/>
          </w:tcBorders>
          <w:shd w:val="clear" w:color="auto" w:fill="auto"/>
        </w:tcPr>
        <w:p w14:paraId="7954D763" w14:textId="77777777" w:rsidR="007F3724" w:rsidRDefault="007F3724" w:rsidP="00F05DC7">
          <w:pPr>
            <w:pStyle w:val="HeaderOdd"/>
          </w:pPr>
        </w:p>
      </w:tc>
      <w:tc>
        <w:tcPr>
          <w:tcW w:w="2154" w:type="dxa"/>
          <w:tcBorders>
            <w:top w:val="single" w:sz="24" w:space="0" w:color="auto"/>
          </w:tcBorders>
          <w:shd w:val="clear" w:color="auto" w:fill="auto"/>
        </w:tcPr>
        <w:p w14:paraId="7954D764" w14:textId="77777777" w:rsidR="007F3724" w:rsidRDefault="007F3724" w:rsidP="00F05DC7">
          <w:pPr>
            <w:pStyle w:val="HeaderOdd"/>
          </w:pPr>
        </w:p>
      </w:tc>
    </w:tr>
  </w:tbl>
  <w:p w14:paraId="7954D766" w14:textId="77777777" w:rsidR="007F3724" w:rsidRPr="00F05DC7" w:rsidRDefault="007F3724" w:rsidP="00F05DC7">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73" w14:textId="77777777" w:rsidTr="00F05DC7">
      <w:trPr>
        <w:trHeight w:val="300"/>
      </w:trPr>
      <w:tc>
        <w:tcPr>
          <w:tcW w:w="2154" w:type="dxa"/>
          <w:tcBorders>
            <w:top w:val="single" w:sz="24" w:space="0" w:color="auto"/>
          </w:tcBorders>
          <w:shd w:val="clear" w:color="auto" w:fill="auto"/>
        </w:tcPr>
        <w:p w14:paraId="7954D771" w14:textId="77777777" w:rsidR="007F3724" w:rsidRDefault="007F3724" w:rsidP="00F05DC7">
          <w:pPr>
            <w:pStyle w:val="HeaderEven"/>
          </w:pPr>
        </w:p>
      </w:tc>
      <w:tc>
        <w:tcPr>
          <w:tcW w:w="6633" w:type="dxa"/>
          <w:tcBorders>
            <w:top w:val="single" w:sz="6" w:space="0" w:color="auto"/>
          </w:tcBorders>
          <w:shd w:val="clear" w:color="auto" w:fill="auto"/>
        </w:tcPr>
        <w:p w14:paraId="7954D772" w14:textId="77777777" w:rsidR="007F3724" w:rsidRDefault="007F3724" w:rsidP="00F05DC7">
          <w:pPr>
            <w:pStyle w:val="HeaderEven"/>
          </w:pPr>
        </w:p>
      </w:tc>
    </w:tr>
  </w:tbl>
  <w:p w14:paraId="7954D774" w14:textId="77777777" w:rsidR="007F3724" w:rsidRPr="00F05DC7" w:rsidRDefault="007F3724" w:rsidP="00F05DC7">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77" w14:textId="77777777" w:rsidTr="00F05DC7">
      <w:trPr>
        <w:trHeight w:val="300"/>
      </w:trPr>
      <w:tc>
        <w:tcPr>
          <w:tcW w:w="6633" w:type="dxa"/>
          <w:tcBorders>
            <w:top w:val="single" w:sz="6" w:space="0" w:color="auto"/>
          </w:tcBorders>
          <w:shd w:val="clear" w:color="auto" w:fill="auto"/>
        </w:tcPr>
        <w:p w14:paraId="7954D775" w14:textId="77777777" w:rsidR="007F3724" w:rsidRDefault="007F3724" w:rsidP="00F05DC7">
          <w:pPr>
            <w:pStyle w:val="HeaderOdd"/>
          </w:pPr>
        </w:p>
      </w:tc>
      <w:tc>
        <w:tcPr>
          <w:tcW w:w="2154" w:type="dxa"/>
          <w:tcBorders>
            <w:top w:val="single" w:sz="24" w:space="0" w:color="auto"/>
          </w:tcBorders>
          <w:shd w:val="clear" w:color="auto" w:fill="auto"/>
        </w:tcPr>
        <w:p w14:paraId="7954D776" w14:textId="77777777" w:rsidR="007F3724" w:rsidRDefault="007F3724" w:rsidP="00F05DC7">
          <w:pPr>
            <w:pStyle w:val="HeaderOdd"/>
          </w:pPr>
        </w:p>
      </w:tc>
    </w:tr>
  </w:tbl>
  <w:p w14:paraId="7954D778" w14:textId="77777777" w:rsidR="007F3724" w:rsidRPr="00F05DC7" w:rsidRDefault="007F3724" w:rsidP="00F05DC7">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85" w14:textId="77777777" w:rsidTr="00F05DC7">
      <w:trPr>
        <w:trHeight w:val="300"/>
      </w:trPr>
      <w:tc>
        <w:tcPr>
          <w:tcW w:w="2154" w:type="dxa"/>
          <w:tcBorders>
            <w:top w:val="single" w:sz="24" w:space="0" w:color="auto"/>
          </w:tcBorders>
          <w:shd w:val="clear" w:color="auto" w:fill="auto"/>
        </w:tcPr>
        <w:p w14:paraId="7954D783" w14:textId="77777777" w:rsidR="007F3724" w:rsidRDefault="007F3724" w:rsidP="00F05DC7">
          <w:pPr>
            <w:pStyle w:val="HeaderEven"/>
          </w:pPr>
        </w:p>
      </w:tc>
      <w:tc>
        <w:tcPr>
          <w:tcW w:w="6633" w:type="dxa"/>
          <w:tcBorders>
            <w:top w:val="single" w:sz="6" w:space="0" w:color="auto"/>
          </w:tcBorders>
          <w:shd w:val="clear" w:color="auto" w:fill="auto"/>
        </w:tcPr>
        <w:p w14:paraId="7954D784" w14:textId="77777777" w:rsidR="007F3724" w:rsidRDefault="007F3724" w:rsidP="00F05DC7">
          <w:pPr>
            <w:pStyle w:val="HeaderEven"/>
          </w:pPr>
        </w:p>
      </w:tc>
    </w:tr>
  </w:tbl>
  <w:p w14:paraId="7954D786" w14:textId="77777777" w:rsidR="007F3724" w:rsidRPr="00F05DC7" w:rsidRDefault="007F3724" w:rsidP="00F05DC7">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89" w14:textId="77777777" w:rsidTr="00F05DC7">
      <w:trPr>
        <w:trHeight w:val="300"/>
      </w:trPr>
      <w:tc>
        <w:tcPr>
          <w:tcW w:w="6633" w:type="dxa"/>
          <w:tcBorders>
            <w:top w:val="single" w:sz="6" w:space="0" w:color="auto"/>
          </w:tcBorders>
          <w:shd w:val="clear" w:color="auto" w:fill="auto"/>
        </w:tcPr>
        <w:p w14:paraId="7954D787" w14:textId="77777777" w:rsidR="007F3724" w:rsidRDefault="007F3724" w:rsidP="00F05DC7">
          <w:pPr>
            <w:pStyle w:val="HeaderOdd"/>
          </w:pPr>
        </w:p>
      </w:tc>
      <w:tc>
        <w:tcPr>
          <w:tcW w:w="2154" w:type="dxa"/>
          <w:tcBorders>
            <w:top w:val="single" w:sz="24" w:space="0" w:color="auto"/>
          </w:tcBorders>
          <w:shd w:val="clear" w:color="auto" w:fill="auto"/>
        </w:tcPr>
        <w:p w14:paraId="7954D788" w14:textId="77777777" w:rsidR="007F3724" w:rsidRDefault="007F3724" w:rsidP="00F05DC7">
          <w:pPr>
            <w:pStyle w:val="HeaderOdd"/>
          </w:pPr>
        </w:p>
      </w:tc>
    </w:tr>
  </w:tbl>
  <w:p w14:paraId="7954D78A" w14:textId="77777777" w:rsidR="007F3724" w:rsidRPr="00F05DC7" w:rsidRDefault="007F3724" w:rsidP="00F05DC7">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97" w14:textId="77777777" w:rsidTr="00F05DC7">
      <w:trPr>
        <w:trHeight w:val="300"/>
      </w:trPr>
      <w:tc>
        <w:tcPr>
          <w:tcW w:w="2154" w:type="dxa"/>
          <w:tcBorders>
            <w:top w:val="single" w:sz="24" w:space="0" w:color="auto"/>
          </w:tcBorders>
          <w:shd w:val="clear" w:color="auto" w:fill="auto"/>
        </w:tcPr>
        <w:p w14:paraId="7954D795" w14:textId="77777777" w:rsidR="007F3724" w:rsidRDefault="007F3724" w:rsidP="00F05DC7">
          <w:pPr>
            <w:pStyle w:val="HeaderEven"/>
          </w:pPr>
        </w:p>
      </w:tc>
      <w:tc>
        <w:tcPr>
          <w:tcW w:w="6633" w:type="dxa"/>
          <w:tcBorders>
            <w:top w:val="single" w:sz="6" w:space="0" w:color="auto"/>
          </w:tcBorders>
          <w:shd w:val="clear" w:color="auto" w:fill="auto"/>
        </w:tcPr>
        <w:p w14:paraId="7954D796" w14:textId="77777777" w:rsidR="007F3724" w:rsidRDefault="007F3724" w:rsidP="00F05DC7">
          <w:pPr>
            <w:pStyle w:val="HeaderEven"/>
          </w:pPr>
        </w:p>
      </w:tc>
    </w:tr>
  </w:tbl>
  <w:p w14:paraId="7954D798" w14:textId="77777777" w:rsidR="007F3724" w:rsidRPr="00F05DC7" w:rsidRDefault="007F3724" w:rsidP="00F05DC7">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9B" w14:textId="77777777" w:rsidTr="00F05DC7">
      <w:trPr>
        <w:trHeight w:val="300"/>
      </w:trPr>
      <w:tc>
        <w:tcPr>
          <w:tcW w:w="6633" w:type="dxa"/>
          <w:tcBorders>
            <w:top w:val="single" w:sz="6" w:space="0" w:color="auto"/>
          </w:tcBorders>
          <w:shd w:val="clear" w:color="auto" w:fill="auto"/>
        </w:tcPr>
        <w:p w14:paraId="7954D799" w14:textId="77777777" w:rsidR="007F3724" w:rsidRDefault="007F3724" w:rsidP="00F05DC7">
          <w:pPr>
            <w:pStyle w:val="HeaderOdd"/>
          </w:pPr>
        </w:p>
      </w:tc>
      <w:tc>
        <w:tcPr>
          <w:tcW w:w="2154" w:type="dxa"/>
          <w:tcBorders>
            <w:top w:val="single" w:sz="24" w:space="0" w:color="auto"/>
          </w:tcBorders>
          <w:shd w:val="clear" w:color="auto" w:fill="auto"/>
        </w:tcPr>
        <w:p w14:paraId="7954D79A" w14:textId="77777777" w:rsidR="007F3724" w:rsidRDefault="007F3724" w:rsidP="00F05DC7">
          <w:pPr>
            <w:pStyle w:val="HeaderOdd"/>
          </w:pPr>
        </w:p>
      </w:tc>
    </w:tr>
  </w:tbl>
  <w:p w14:paraId="7954D79C" w14:textId="77777777" w:rsidR="007F3724" w:rsidRPr="00F05DC7" w:rsidRDefault="007F3724" w:rsidP="00F05DC7">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A9" w14:textId="77777777" w:rsidTr="00F05DC7">
      <w:trPr>
        <w:trHeight w:val="300"/>
      </w:trPr>
      <w:tc>
        <w:tcPr>
          <w:tcW w:w="2154" w:type="dxa"/>
          <w:tcBorders>
            <w:top w:val="single" w:sz="24" w:space="0" w:color="auto"/>
          </w:tcBorders>
          <w:shd w:val="clear" w:color="auto" w:fill="auto"/>
        </w:tcPr>
        <w:p w14:paraId="7954D7A7" w14:textId="77777777" w:rsidR="007F3724" w:rsidRDefault="007F3724" w:rsidP="00F05DC7">
          <w:pPr>
            <w:pStyle w:val="HeaderEven"/>
          </w:pPr>
        </w:p>
      </w:tc>
      <w:tc>
        <w:tcPr>
          <w:tcW w:w="6633" w:type="dxa"/>
          <w:tcBorders>
            <w:top w:val="single" w:sz="6" w:space="0" w:color="auto"/>
          </w:tcBorders>
          <w:shd w:val="clear" w:color="auto" w:fill="auto"/>
        </w:tcPr>
        <w:p w14:paraId="7954D7A8" w14:textId="77777777" w:rsidR="007F3724" w:rsidRDefault="007F3724" w:rsidP="00F05DC7">
          <w:pPr>
            <w:pStyle w:val="HeaderEven"/>
          </w:pPr>
        </w:p>
      </w:tc>
    </w:tr>
  </w:tbl>
  <w:p w14:paraId="7954D7AA" w14:textId="77777777" w:rsidR="007F3724" w:rsidRPr="00F05DC7" w:rsidRDefault="007F3724" w:rsidP="00F05DC7">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F3724" w14:paraId="1E9E1B48" w14:textId="77777777">
      <w:tc>
        <w:tcPr>
          <w:tcW w:w="2155" w:type="dxa"/>
          <w:tcBorders>
            <w:top w:val="single" w:sz="24" w:space="0" w:color="auto"/>
          </w:tcBorders>
        </w:tcPr>
        <w:p w14:paraId="33E409B1" w14:textId="77777777" w:rsidR="007F3724" w:rsidRDefault="007F3724">
          <w:pPr>
            <w:pStyle w:val="Header"/>
          </w:pPr>
        </w:p>
      </w:tc>
      <w:tc>
        <w:tcPr>
          <w:tcW w:w="6634" w:type="dxa"/>
          <w:tcBorders>
            <w:top w:val="single" w:sz="6" w:space="0" w:color="auto"/>
          </w:tcBorders>
        </w:tcPr>
        <w:p w14:paraId="4E5499D3" w14:textId="77777777" w:rsidR="007F3724" w:rsidRDefault="007F3724">
          <w:pPr>
            <w:pStyle w:val="Header"/>
          </w:pPr>
        </w:p>
      </w:tc>
    </w:tr>
  </w:tbl>
  <w:p w14:paraId="328954A7" w14:textId="77777777" w:rsidR="007F3724" w:rsidRDefault="007F3724">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AD" w14:textId="77777777" w:rsidTr="00F05DC7">
      <w:trPr>
        <w:trHeight w:val="300"/>
      </w:trPr>
      <w:tc>
        <w:tcPr>
          <w:tcW w:w="6633" w:type="dxa"/>
          <w:tcBorders>
            <w:top w:val="single" w:sz="6" w:space="0" w:color="auto"/>
          </w:tcBorders>
          <w:shd w:val="clear" w:color="auto" w:fill="auto"/>
        </w:tcPr>
        <w:p w14:paraId="7954D7AB" w14:textId="77777777" w:rsidR="007F3724" w:rsidRDefault="007F3724" w:rsidP="00F05DC7">
          <w:pPr>
            <w:pStyle w:val="HeaderOdd"/>
          </w:pPr>
        </w:p>
      </w:tc>
      <w:tc>
        <w:tcPr>
          <w:tcW w:w="2154" w:type="dxa"/>
          <w:tcBorders>
            <w:top w:val="single" w:sz="24" w:space="0" w:color="auto"/>
          </w:tcBorders>
          <w:shd w:val="clear" w:color="auto" w:fill="auto"/>
        </w:tcPr>
        <w:p w14:paraId="7954D7AC" w14:textId="77777777" w:rsidR="007F3724" w:rsidRDefault="007F3724" w:rsidP="00F05DC7">
          <w:pPr>
            <w:pStyle w:val="HeaderOdd"/>
          </w:pPr>
        </w:p>
      </w:tc>
    </w:tr>
  </w:tbl>
  <w:p w14:paraId="7954D7AE" w14:textId="77777777" w:rsidR="007F3724" w:rsidRPr="00F05DC7" w:rsidRDefault="007F3724" w:rsidP="00F05DC7">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7B9" w14:textId="77777777" w:rsidR="007F3724" w:rsidRPr="00F05DC7" w:rsidRDefault="007F3724" w:rsidP="00F05DC7">
    <w:pPr>
      <w:pStyle w:val="Header"/>
      <w:spacing w:line="2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D7BA" w14:textId="77777777" w:rsidR="007F3724" w:rsidRPr="00F05DC7" w:rsidRDefault="007F3724" w:rsidP="00F05DC7">
    <w:pPr>
      <w:pStyle w:val="Header"/>
      <w:spacing w:line="2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BF" w14:textId="77777777" w:rsidTr="00F05DC7">
      <w:trPr>
        <w:trHeight w:val="300"/>
      </w:trPr>
      <w:tc>
        <w:tcPr>
          <w:tcW w:w="2154" w:type="dxa"/>
          <w:tcBorders>
            <w:top w:val="single" w:sz="24" w:space="0" w:color="auto"/>
          </w:tcBorders>
          <w:shd w:val="clear" w:color="auto" w:fill="auto"/>
        </w:tcPr>
        <w:p w14:paraId="7954D7BD" w14:textId="77777777" w:rsidR="007F3724" w:rsidRDefault="007F3724" w:rsidP="00F05DC7">
          <w:pPr>
            <w:pStyle w:val="HeaderEven"/>
          </w:pPr>
        </w:p>
      </w:tc>
      <w:tc>
        <w:tcPr>
          <w:tcW w:w="6633" w:type="dxa"/>
          <w:tcBorders>
            <w:top w:val="single" w:sz="6" w:space="0" w:color="auto"/>
          </w:tcBorders>
          <w:shd w:val="clear" w:color="auto" w:fill="auto"/>
        </w:tcPr>
        <w:p w14:paraId="7954D7BE" w14:textId="77777777" w:rsidR="007F3724" w:rsidRDefault="007F3724" w:rsidP="00F05DC7">
          <w:pPr>
            <w:pStyle w:val="HeaderEven"/>
          </w:pPr>
        </w:p>
      </w:tc>
    </w:tr>
  </w:tbl>
  <w:p w14:paraId="7954D7C0" w14:textId="77777777" w:rsidR="007F3724" w:rsidRPr="00F05DC7" w:rsidRDefault="007F3724" w:rsidP="00F05DC7">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C3" w14:textId="77777777" w:rsidTr="00F05DC7">
      <w:trPr>
        <w:trHeight w:val="300"/>
      </w:trPr>
      <w:tc>
        <w:tcPr>
          <w:tcW w:w="6633" w:type="dxa"/>
          <w:tcBorders>
            <w:top w:val="single" w:sz="6" w:space="0" w:color="auto"/>
          </w:tcBorders>
          <w:shd w:val="clear" w:color="auto" w:fill="auto"/>
        </w:tcPr>
        <w:p w14:paraId="7954D7C1" w14:textId="77777777" w:rsidR="007F3724" w:rsidRDefault="007F3724" w:rsidP="00F05DC7">
          <w:pPr>
            <w:pStyle w:val="HeaderOdd"/>
          </w:pPr>
        </w:p>
      </w:tc>
      <w:tc>
        <w:tcPr>
          <w:tcW w:w="2154" w:type="dxa"/>
          <w:tcBorders>
            <w:top w:val="single" w:sz="24" w:space="0" w:color="auto"/>
          </w:tcBorders>
          <w:shd w:val="clear" w:color="auto" w:fill="auto"/>
        </w:tcPr>
        <w:p w14:paraId="7954D7C2" w14:textId="77777777" w:rsidR="007F3724" w:rsidRDefault="007F3724" w:rsidP="00F05DC7">
          <w:pPr>
            <w:pStyle w:val="HeaderOdd"/>
          </w:pPr>
        </w:p>
      </w:tc>
    </w:tr>
  </w:tbl>
  <w:p w14:paraId="7954D7C4" w14:textId="77777777" w:rsidR="007F3724" w:rsidRPr="00F05DC7" w:rsidRDefault="007F3724" w:rsidP="00F05DC7">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D1" w14:textId="77777777" w:rsidTr="00F05DC7">
      <w:trPr>
        <w:trHeight w:val="300"/>
      </w:trPr>
      <w:tc>
        <w:tcPr>
          <w:tcW w:w="2154" w:type="dxa"/>
          <w:tcBorders>
            <w:top w:val="single" w:sz="24" w:space="0" w:color="auto"/>
          </w:tcBorders>
          <w:shd w:val="clear" w:color="auto" w:fill="auto"/>
        </w:tcPr>
        <w:p w14:paraId="7954D7CF" w14:textId="77777777" w:rsidR="007F3724" w:rsidRDefault="007F3724" w:rsidP="00F05DC7">
          <w:pPr>
            <w:pStyle w:val="HeaderEven"/>
          </w:pPr>
        </w:p>
      </w:tc>
      <w:tc>
        <w:tcPr>
          <w:tcW w:w="6633" w:type="dxa"/>
          <w:tcBorders>
            <w:top w:val="single" w:sz="6" w:space="0" w:color="auto"/>
          </w:tcBorders>
          <w:shd w:val="clear" w:color="auto" w:fill="auto"/>
        </w:tcPr>
        <w:p w14:paraId="7954D7D0" w14:textId="77777777" w:rsidR="007F3724" w:rsidRDefault="007F3724" w:rsidP="00F05DC7">
          <w:pPr>
            <w:pStyle w:val="HeaderEven"/>
          </w:pPr>
        </w:p>
      </w:tc>
    </w:tr>
  </w:tbl>
  <w:p w14:paraId="7954D7D2" w14:textId="77777777" w:rsidR="007F3724" w:rsidRPr="00F05DC7" w:rsidRDefault="007F3724" w:rsidP="00F05DC7">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D5" w14:textId="77777777" w:rsidTr="00F05DC7">
      <w:trPr>
        <w:trHeight w:val="300"/>
      </w:trPr>
      <w:tc>
        <w:tcPr>
          <w:tcW w:w="6633" w:type="dxa"/>
          <w:tcBorders>
            <w:top w:val="single" w:sz="6" w:space="0" w:color="auto"/>
          </w:tcBorders>
          <w:shd w:val="clear" w:color="auto" w:fill="auto"/>
        </w:tcPr>
        <w:p w14:paraId="7954D7D3" w14:textId="77777777" w:rsidR="007F3724" w:rsidRDefault="007F3724" w:rsidP="00F05DC7">
          <w:pPr>
            <w:pStyle w:val="HeaderOdd"/>
          </w:pPr>
        </w:p>
      </w:tc>
      <w:tc>
        <w:tcPr>
          <w:tcW w:w="2154" w:type="dxa"/>
          <w:tcBorders>
            <w:top w:val="single" w:sz="24" w:space="0" w:color="auto"/>
          </w:tcBorders>
          <w:shd w:val="clear" w:color="auto" w:fill="auto"/>
        </w:tcPr>
        <w:p w14:paraId="7954D7D4" w14:textId="77777777" w:rsidR="007F3724" w:rsidRDefault="007F3724" w:rsidP="00F05DC7">
          <w:pPr>
            <w:pStyle w:val="HeaderOdd"/>
          </w:pPr>
        </w:p>
      </w:tc>
    </w:tr>
  </w:tbl>
  <w:p w14:paraId="7954D7D6" w14:textId="77777777" w:rsidR="007F3724" w:rsidRPr="00F05DC7" w:rsidRDefault="007F3724" w:rsidP="00F05DC7">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E3" w14:textId="77777777" w:rsidTr="00F05DC7">
      <w:trPr>
        <w:trHeight w:val="300"/>
      </w:trPr>
      <w:tc>
        <w:tcPr>
          <w:tcW w:w="2154" w:type="dxa"/>
          <w:tcBorders>
            <w:top w:val="single" w:sz="24" w:space="0" w:color="auto"/>
          </w:tcBorders>
          <w:shd w:val="clear" w:color="auto" w:fill="auto"/>
        </w:tcPr>
        <w:p w14:paraId="7954D7E1" w14:textId="77777777" w:rsidR="007F3724" w:rsidRDefault="007F3724" w:rsidP="00F05DC7">
          <w:pPr>
            <w:pStyle w:val="HeaderEven"/>
          </w:pPr>
        </w:p>
      </w:tc>
      <w:tc>
        <w:tcPr>
          <w:tcW w:w="6633" w:type="dxa"/>
          <w:tcBorders>
            <w:top w:val="single" w:sz="6" w:space="0" w:color="auto"/>
          </w:tcBorders>
          <w:shd w:val="clear" w:color="auto" w:fill="auto"/>
        </w:tcPr>
        <w:p w14:paraId="7954D7E2" w14:textId="77777777" w:rsidR="007F3724" w:rsidRDefault="007F3724" w:rsidP="00F05DC7">
          <w:pPr>
            <w:pStyle w:val="HeaderEven"/>
          </w:pPr>
        </w:p>
      </w:tc>
    </w:tr>
  </w:tbl>
  <w:p w14:paraId="7954D7E4" w14:textId="77777777" w:rsidR="007F3724" w:rsidRPr="00F05DC7" w:rsidRDefault="007F3724" w:rsidP="00F05DC7">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E7" w14:textId="77777777" w:rsidTr="00F05DC7">
      <w:trPr>
        <w:trHeight w:val="300"/>
      </w:trPr>
      <w:tc>
        <w:tcPr>
          <w:tcW w:w="6633" w:type="dxa"/>
          <w:tcBorders>
            <w:top w:val="single" w:sz="6" w:space="0" w:color="auto"/>
          </w:tcBorders>
          <w:shd w:val="clear" w:color="auto" w:fill="auto"/>
        </w:tcPr>
        <w:p w14:paraId="7954D7E5" w14:textId="77777777" w:rsidR="007F3724" w:rsidRDefault="007F3724" w:rsidP="00F05DC7">
          <w:pPr>
            <w:pStyle w:val="HeaderOdd"/>
          </w:pPr>
        </w:p>
      </w:tc>
      <w:tc>
        <w:tcPr>
          <w:tcW w:w="2154" w:type="dxa"/>
          <w:tcBorders>
            <w:top w:val="single" w:sz="24" w:space="0" w:color="auto"/>
          </w:tcBorders>
          <w:shd w:val="clear" w:color="auto" w:fill="auto"/>
        </w:tcPr>
        <w:p w14:paraId="7954D7E6" w14:textId="77777777" w:rsidR="007F3724" w:rsidRDefault="007F3724" w:rsidP="00F05DC7">
          <w:pPr>
            <w:pStyle w:val="HeaderOdd"/>
          </w:pPr>
        </w:p>
      </w:tc>
    </w:tr>
  </w:tbl>
  <w:p w14:paraId="7954D7E8" w14:textId="77777777" w:rsidR="007F3724" w:rsidRPr="00F05DC7" w:rsidRDefault="007F3724" w:rsidP="00F05DC7">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7F5" w14:textId="77777777" w:rsidTr="00F05DC7">
      <w:trPr>
        <w:trHeight w:val="300"/>
      </w:trPr>
      <w:tc>
        <w:tcPr>
          <w:tcW w:w="2154" w:type="dxa"/>
          <w:tcBorders>
            <w:top w:val="single" w:sz="24" w:space="0" w:color="auto"/>
          </w:tcBorders>
          <w:shd w:val="clear" w:color="auto" w:fill="auto"/>
        </w:tcPr>
        <w:p w14:paraId="7954D7F3" w14:textId="77777777" w:rsidR="007F3724" w:rsidRDefault="007F3724" w:rsidP="00F05DC7">
          <w:pPr>
            <w:pStyle w:val="HeaderEven"/>
          </w:pPr>
        </w:p>
      </w:tc>
      <w:tc>
        <w:tcPr>
          <w:tcW w:w="6633" w:type="dxa"/>
          <w:tcBorders>
            <w:top w:val="single" w:sz="6" w:space="0" w:color="auto"/>
          </w:tcBorders>
          <w:shd w:val="clear" w:color="auto" w:fill="auto"/>
        </w:tcPr>
        <w:p w14:paraId="7954D7F4" w14:textId="77777777" w:rsidR="007F3724" w:rsidRDefault="007F3724" w:rsidP="00F05DC7">
          <w:pPr>
            <w:pStyle w:val="HeaderEven"/>
          </w:pPr>
        </w:p>
      </w:tc>
    </w:tr>
  </w:tbl>
  <w:p w14:paraId="7954D7F6" w14:textId="77777777" w:rsidR="007F3724" w:rsidRPr="00F05DC7" w:rsidRDefault="007F3724" w:rsidP="00F05DC7">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3724" w14:paraId="7ABB116F" w14:textId="77777777" w:rsidTr="006606FA">
      <w:tc>
        <w:tcPr>
          <w:tcW w:w="6634" w:type="dxa"/>
          <w:tcBorders>
            <w:top w:val="single" w:sz="6" w:space="0" w:color="auto"/>
          </w:tcBorders>
        </w:tcPr>
        <w:p w14:paraId="4F81945F" w14:textId="77777777" w:rsidR="007F3724" w:rsidRDefault="007F3724" w:rsidP="006606FA">
          <w:pPr>
            <w:pStyle w:val="HeaderOdd"/>
          </w:pPr>
        </w:p>
      </w:tc>
      <w:tc>
        <w:tcPr>
          <w:tcW w:w="2155" w:type="dxa"/>
          <w:tcBorders>
            <w:top w:val="single" w:sz="24" w:space="0" w:color="auto"/>
          </w:tcBorders>
        </w:tcPr>
        <w:p w14:paraId="3925D076" w14:textId="77777777" w:rsidR="007F3724" w:rsidRDefault="007F3724" w:rsidP="006606FA">
          <w:pPr>
            <w:pStyle w:val="HeaderOdd"/>
          </w:pPr>
        </w:p>
      </w:tc>
    </w:tr>
  </w:tbl>
  <w:p w14:paraId="7598D5F8" w14:textId="77777777" w:rsidR="007F3724" w:rsidRPr="005C68FE" w:rsidRDefault="007F3724" w:rsidP="006606FA">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7F9" w14:textId="77777777" w:rsidTr="00F05DC7">
      <w:trPr>
        <w:trHeight w:val="300"/>
      </w:trPr>
      <w:tc>
        <w:tcPr>
          <w:tcW w:w="6633" w:type="dxa"/>
          <w:tcBorders>
            <w:top w:val="single" w:sz="6" w:space="0" w:color="auto"/>
          </w:tcBorders>
          <w:shd w:val="clear" w:color="auto" w:fill="auto"/>
        </w:tcPr>
        <w:p w14:paraId="7954D7F7" w14:textId="77777777" w:rsidR="007F3724" w:rsidRDefault="007F3724" w:rsidP="00F05DC7">
          <w:pPr>
            <w:pStyle w:val="HeaderOdd"/>
          </w:pPr>
        </w:p>
      </w:tc>
      <w:tc>
        <w:tcPr>
          <w:tcW w:w="2154" w:type="dxa"/>
          <w:tcBorders>
            <w:top w:val="single" w:sz="24" w:space="0" w:color="auto"/>
          </w:tcBorders>
          <w:shd w:val="clear" w:color="auto" w:fill="auto"/>
        </w:tcPr>
        <w:p w14:paraId="7954D7F8" w14:textId="77777777" w:rsidR="007F3724" w:rsidRDefault="007F3724" w:rsidP="00F05DC7">
          <w:pPr>
            <w:pStyle w:val="HeaderOdd"/>
          </w:pPr>
        </w:p>
      </w:tc>
    </w:tr>
  </w:tbl>
  <w:p w14:paraId="7954D7FA" w14:textId="77777777" w:rsidR="007F3724" w:rsidRPr="00F05DC7" w:rsidRDefault="007F3724" w:rsidP="00F05DC7">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807" w14:textId="77777777" w:rsidTr="00F05DC7">
      <w:trPr>
        <w:trHeight w:val="300"/>
      </w:trPr>
      <w:tc>
        <w:tcPr>
          <w:tcW w:w="2154" w:type="dxa"/>
          <w:tcBorders>
            <w:top w:val="single" w:sz="24" w:space="0" w:color="auto"/>
          </w:tcBorders>
          <w:shd w:val="clear" w:color="auto" w:fill="auto"/>
        </w:tcPr>
        <w:p w14:paraId="7954D805" w14:textId="77777777" w:rsidR="007F3724" w:rsidRDefault="007F3724" w:rsidP="00F05DC7">
          <w:pPr>
            <w:pStyle w:val="HeaderEven"/>
          </w:pPr>
        </w:p>
      </w:tc>
      <w:tc>
        <w:tcPr>
          <w:tcW w:w="6633" w:type="dxa"/>
          <w:tcBorders>
            <w:top w:val="single" w:sz="6" w:space="0" w:color="auto"/>
          </w:tcBorders>
          <w:shd w:val="clear" w:color="auto" w:fill="auto"/>
        </w:tcPr>
        <w:p w14:paraId="7954D806" w14:textId="77777777" w:rsidR="007F3724" w:rsidRDefault="007F3724" w:rsidP="00F05DC7">
          <w:pPr>
            <w:pStyle w:val="HeaderEven"/>
          </w:pPr>
        </w:p>
      </w:tc>
    </w:tr>
  </w:tbl>
  <w:p w14:paraId="7954D808" w14:textId="77777777" w:rsidR="007F3724" w:rsidRPr="00F05DC7" w:rsidRDefault="007F3724" w:rsidP="00F05DC7">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80B" w14:textId="77777777" w:rsidTr="00F05DC7">
      <w:trPr>
        <w:trHeight w:val="300"/>
      </w:trPr>
      <w:tc>
        <w:tcPr>
          <w:tcW w:w="6633" w:type="dxa"/>
          <w:tcBorders>
            <w:top w:val="single" w:sz="6" w:space="0" w:color="auto"/>
          </w:tcBorders>
          <w:shd w:val="clear" w:color="auto" w:fill="auto"/>
        </w:tcPr>
        <w:p w14:paraId="7954D809" w14:textId="77777777" w:rsidR="007F3724" w:rsidRDefault="007F3724" w:rsidP="00F05DC7">
          <w:pPr>
            <w:pStyle w:val="HeaderOdd"/>
          </w:pPr>
        </w:p>
      </w:tc>
      <w:tc>
        <w:tcPr>
          <w:tcW w:w="2154" w:type="dxa"/>
          <w:tcBorders>
            <w:top w:val="single" w:sz="24" w:space="0" w:color="auto"/>
          </w:tcBorders>
          <w:shd w:val="clear" w:color="auto" w:fill="auto"/>
        </w:tcPr>
        <w:p w14:paraId="7954D80A" w14:textId="77777777" w:rsidR="007F3724" w:rsidRDefault="007F3724" w:rsidP="00F05DC7">
          <w:pPr>
            <w:pStyle w:val="HeaderOdd"/>
          </w:pPr>
        </w:p>
      </w:tc>
    </w:tr>
  </w:tbl>
  <w:p w14:paraId="7954D80C" w14:textId="77777777" w:rsidR="007F3724" w:rsidRPr="00F05DC7" w:rsidRDefault="007F3724" w:rsidP="00F05DC7">
    <w:pPr>
      <w:pStyle w:val="HeaderEnd"/>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819" w14:textId="77777777" w:rsidTr="00F05DC7">
      <w:trPr>
        <w:trHeight w:val="300"/>
      </w:trPr>
      <w:tc>
        <w:tcPr>
          <w:tcW w:w="2154" w:type="dxa"/>
          <w:tcBorders>
            <w:top w:val="single" w:sz="24" w:space="0" w:color="auto"/>
          </w:tcBorders>
          <w:shd w:val="clear" w:color="auto" w:fill="auto"/>
        </w:tcPr>
        <w:p w14:paraId="7954D817" w14:textId="77777777" w:rsidR="007F3724" w:rsidRDefault="007F3724" w:rsidP="00F05DC7">
          <w:pPr>
            <w:pStyle w:val="HeaderEven"/>
          </w:pPr>
        </w:p>
      </w:tc>
      <w:tc>
        <w:tcPr>
          <w:tcW w:w="6633" w:type="dxa"/>
          <w:tcBorders>
            <w:top w:val="single" w:sz="6" w:space="0" w:color="auto"/>
          </w:tcBorders>
          <w:shd w:val="clear" w:color="auto" w:fill="auto"/>
        </w:tcPr>
        <w:p w14:paraId="7954D818" w14:textId="77777777" w:rsidR="007F3724" w:rsidRDefault="007F3724" w:rsidP="00F05DC7">
          <w:pPr>
            <w:pStyle w:val="HeaderEven"/>
          </w:pPr>
        </w:p>
      </w:tc>
    </w:tr>
  </w:tbl>
  <w:p w14:paraId="7954D81A" w14:textId="77777777" w:rsidR="007F3724" w:rsidRPr="00F05DC7" w:rsidRDefault="007F3724" w:rsidP="00F05DC7">
    <w:pPr>
      <w:pStyle w:val="HeaderEnd"/>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81D" w14:textId="77777777" w:rsidTr="00F05DC7">
      <w:trPr>
        <w:trHeight w:val="300"/>
      </w:trPr>
      <w:tc>
        <w:tcPr>
          <w:tcW w:w="6633" w:type="dxa"/>
          <w:tcBorders>
            <w:top w:val="single" w:sz="6" w:space="0" w:color="auto"/>
          </w:tcBorders>
          <w:shd w:val="clear" w:color="auto" w:fill="auto"/>
        </w:tcPr>
        <w:p w14:paraId="7954D81B" w14:textId="77777777" w:rsidR="007F3724" w:rsidRDefault="007F3724" w:rsidP="00F05DC7">
          <w:pPr>
            <w:pStyle w:val="HeaderOdd"/>
          </w:pPr>
        </w:p>
      </w:tc>
      <w:tc>
        <w:tcPr>
          <w:tcW w:w="2154" w:type="dxa"/>
          <w:tcBorders>
            <w:top w:val="single" w:sz="24" w:space="0" w:color="auto"/>
          </w:tcBorders>
          <w:shd w:val="clear" w:color="auto" w:fill="auto"/>
        </w:tcPr>
        <w:p w14:paraId="7954D81C" w14:textId="77777777" w:rsidR="007F3724" w:rsidRDefault="007F3724" w:rsidP="00F05DC7">
          <w:pPr>
            <w:pStyle w:val="HeaderOdd"/>
          </w:pPr>
        </w:p>
      </w:tc>
    </w:tr>
  </w:tbl>
  <w:p w14:paraId="7954D81E" w14:textId="77777777" w:rsidR="007F3724" w:rsidRPr="00F05DC7" w:rsidRDefault="007F3724" w:rsidP="00F05DC7">
    <w:pPr>
      <w:pStyle w:val="HeaderEnd"/>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82B" w14:textId="77777777" w:rsidTr="00F05DC7">
      <w:trPr>
        <w:trHeight w:val="300"/>
      </w:trPr>
      <w:tc>
        <w:tcPr>
          <w:tcW w:w="2154" w:type="dxa"/>
          <w:tcBorders>
            <w:top w:val="single" w:sz="24" w:space="0" w:color="auto"/>
          </w:tcBorders>
          <w:shd w:val="clear" w:color="auto" w:fill="auto"/>
        </w:tcPr>
        <w:p w14:paraId="7954D829" w14:textId="77777777" w:rsidR="007F3724" w:rsidRDefault="007F3724" w:rsidP="00F05DC7">
          <w:pPr>
            <w:pStyle w:val="HeaderEven"/>
          </w:pPr>
        </w:p>
      </w:tc>
      <w:tc>
        <w:tcPr>
          <w:tcW w:w="6633" w:type="dxa"/>
          <w:tcBorders>
            <w:top w:val="single" w:sz="6" w:space="0" w:color="auto"/>
          </w:tcBorders>
          <w:shd w:val="clear" w:color="auto" w:fill="auto"/>
        </w:tcPr>
        <w:p w14:paraId="7954D82A" w14:textId="77777777" w:rsidR="007F3724" w:rsidRDefault="007F3724" w:rsidP="00F05DC7">
          <w:pPr>
            <w:pStyle w:val="HeaderEven"/>
          </w:pPr>
        </w:p>
      </w:tc>
    </w:tr>
  </w:tbl>
  <w:p w14:paraId="7954D82C" w14:textId="77777777" w:rsidR="007F3724" w:rsidRPr="00F05DC7" w:rsidRDefault="007F3724" w:rsidP="00F05DC7">
    <w:pPr>
      <w:pStyle w:val="HeaderEnd"/>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82F" w14:textId="77777777" w:rsidTr="00F05DC7">
      <w:trPr>
        <w:trHeight w:val="300"/>
      </w:trPr>
      <w:tc>
        <w:tcPr>
          <w:tcW w:w="6633" w:type="dxa"/>
          <w:tcBorders>
            <w:top w:val="single" w:sz="6" w:space="0" w:color="auto"/>
          </w:tcBorders>
          <w:shd w:val="clear" w:color="auto" w:fill="auto"/>
        </w:tcPr>
        <w:p w14:paraId="7954D82D" w14:textId="77777777" w:rsidR="007F3724" w:rsidRDefault="007F3724" w:rsidP="00F05DC7">
          <w:pPr>
            <w:pStyle w:val="HeaderOdd"/>
          </w:pPr>
        </w:p>
      </w:tc>
      <w:tc>
        <w:tcPr>
          <w:tcW w:w="2154" w:type="dxa"/>
          <w:tcBorders>
            <w:top w:val="single" w:sz="24" w:space="0" w:color="auto"/>
          </w:tcBorders>
          <w:shd w:val="clear" w:color="auto" w:fill="auto"/>
        </w:tcPr>
        <w:p w14:paraId="7954D82E" w14:textId="77777777" w:rsidR="007F3724" w:rsidRDefault="007F3724" w:rsidP="00F05DC7">
          <w:pPr>
            <w:pStyle w:val="HeaderOdd"/>
          </w:pPr>
        </w:p>
      </w:tc>
    </w:tr>
  </w:tbl>
  <w:p w14:paraId="7954D830" w14:textId="77777777" w:rsidR="007F3724" w:rsidRPr="00F05DC7" w:rsidRDefault="007F3724" w:rsidP="00F05DC7">
    <w:pPr>
      <w:pStyle w:val="HeaderEnd"/>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83D" w14:textId="77777777" w:rsidTr="00F05DC7">
      <w:trPr>
        <w:trHeight w:val="300"/>
      </w:trPr>
      <w:tc>
        <w:tcPr>
          <w:tcW w:w="2154" w:type="dxa"/>
          <w:tcBorders>
            <w:top w:val="single" w:sz="24" w:space="0" w:color="auto"/>
          </w:tcBorders>
          <w:shd w:val="clear" w:color="auto" w:fill="auto"/>
        </w:tcPr>
        <w:p w14:paraId="7954D83B" w14:textId="77777777" w:rsidR="007F3724" w:rsidRDefault="007F3724" w:rsidP="00F05DC7">
          <w:pPr>
            <w:pStyle w:val="HeaderEven"/>
          </w:pPr>
        </w:p>
      </w:tc>
      <w:tc>
        <w:tcPr>
          <w:tcW w:w="6633" w:type="dxa"/>
          <w:tcBorders>
            <w:top w:val="single" w:sz="6" w:space="0" w:color="auto"/>
          </w:tcBorders>
          <w:shd w:val="clear" w:color="auto" w:fill="auto"/>
        </w:tcPr>
        <w:p w14:paraId="7954D83C" w14:textId="77777777" w:rsidR="007F3724" w:rsidRDefault="007F3724" w:rsidP="00F05DC7">
          <w:pPr>
            <w:pStyle w:val="HeaderEven"/>
          </w:pPr>
        </w:p>
      </w:tc>
    </w:tr>
  </w:tbl>
  <w:p w14:paraId="7954D83E" w14:textId="77777777" w:rsidR="007F3724" w:rsidRPr="00F05DC7" w:rsidRDefault="007F3724" w:rsidP="00F05DC7">
    <w:pPr>
      <w:pStyle w:val="HeaderEnd"/>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841" w14:textId="77777777" w:rsidTr="00F05DC7">
      <w:trPr>
        <w:trHeight w:val="300"/>
      </w:trPr>
      <w:tc>
        <w:tcPr>
          <w:tcW w:w="6633" w:type="dxa"/>
          <w:tcBorders>
            <w:top w:val="single" w:sz="6" w:space="0" w:color="auto"/>
          </w:tcBorders>
          <w:shd w:val="clear" w:color="auto" w:fill="auto"/>
        </w:tcPr>
        <w:p w14:paraId="7954D83F" w14:textId="77777777" w:rsidR="007F3724" w:rsidRDefault="007F3724" w:rsidP="00F05DC7">
          <w:pPr>
            <w:pStyle w:val="HeaderOdd"/>
          </w:pPr>
        </w:p>
      </w:tc>
      <w:tc>
        <w:tcPr>
          <w:tcW w:w="2154" w:type="dxa"/>
          <w:tcBorders>
            <w:top w:val="single" w:sz="24" w:space="0" w:color="auto"/>
          </w:tcBorders>
          <w:shd w:val="clear" w:color="auto" w:fill="auto"/>
        </w:tcPr>
        <w:p w14:paraId="7954D840" w14:textId="77777777" w:rsidR="007F3724" w:rsidRDefault="007F3724" w:rsidP="00F05DC7">
          <w:pPr>
            <w:pStyle w:val="HeaderOdd"/>
          </w:pPr>
        </w:p>
      </w:tc>
    </w:tr>
  </w:tbl>
  <w:p w14:paraId="7954D842" w14:textId="77777777" w:rsidR="007F3724" w:rsidRPr="00F05DC7" w:rsidRDefault="007F3724" w:rsidP="00F05DC7">
    <w:pPr>
      <w:pStyle w:val="HeaderEnd"/>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F3724" w14:paraId="7954D84F" w14:textId="77777777" w:rsidTr="00F05DC7">
      <w:trPr>
        <w:trHeight w:val="300"/>
      </w:trPr>
      <w:tc>
        <w:tcPr>
          <w:tcW w:w="2154" w:type="dxa"/>
          <w:tcBorders>
            <w:top w:val="single" w:sz="24" w:space="0" w:color="auto"/>
          </w:tcBorders>
          <w:shd w:val="clear" w:color="auto" w:fill="auto"/>
        </w:tcPr>
        <w:p w14:paraId="7954D84D" w14:textId="77777777" w:rsidR="007F3724" w:rsidRDefault="007F3724" w:rsidP="00F05DC7">
          <w:pPr>
            <w:pStyle w:val="HeaderEven"/>
          </w:pPr>
        </w:p>
      </w:tc>
      <w:tc>
        <w:tcPr>
          <w:tcW w:w="6633" w:type="dxa"/>
          <w:tcBorders>
            <w:top w:val="single" w:sz="6" w:space="0" w:color="auto"/>
          </w:tcBorders>
          <w:shd w:val="clear" w:color="auto" w:fill="auto"/>
        </w:tcPr>
        <w:p w14:paraId="7954D84E" w14:textId="77777777" w:rsidR="007F3724" w:rsidRDefault="007F3724" w:rsidP="00F05DC7">
          <w:pPr>
            <w:pStyle w:val="HeaderEven"/>
          </w:pPr>
        </w:p>
      </w:tc>
    </w:tr>
  </w:tbl>
  <w:p w14:paraId="7954D850" w14:textId="77777777" w:rsidR="007F3724" w:rsidRPr="00F05DC7" w:rsidRDefault="007F3724" w:rsidP="00F05DC7">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3724" w14:paraId="48B251CD" w14:textId="77777777">
      <w:tc>
        <w:tcPr>
          <w:tcW w:w="2155" w:type="dxa"/>
          <w:tcBorders>
            <w:top w:val="single" w:sz="24" w:space="0" w:color="auto"/>
          </w:tcBorders>
        </w:tcPr>
        <w:p w14:paraId="3AB5966A" w14:textId="77777777" w:rsidR="007F3724" w:rsidRDefault="007F3724">
          <w:pPr>
            <w:pStyle w:val="HeaderEven"/>
          </w:pPr>
        </w:p>
      </w:tc>
      <w:tc>
        <w:tcPr>
          <w:tcW w:w="6634" w:type="dxa"/>
          <w:tcBorders>
            <w:top w:val="single" w:sz="6" w:space="0" w:color="auto"/>
          </w:tcBorders>
        </w:tcPr>
        <w:p w14:paraId="63582C8F" w14:textId="77777777" w:rsidR="007F3724" w:rsidRDefault="007F3724">
          <w:pPr>
            <w:pStyle w:val="HeaderEven"/>
          </w:pPr>
        </w:p>
      </w:tc>
    </w:tr>
  </w:tbl>
  <w:p w14:paraId="7BF8F5DE" w14:textId="77777777" w:rsidR="007F3724" w:rsidRDefault="007F3724">
    <w:pPr>
      <w:pStyle w:val="HeaderEnd"/>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3724" w14:paraId="7954D853" w14:textId="77777777" w:rsidTr="00F05DC7">
      <w:trPr>
        <w:trHeight w:val="300"/>
      </w:trPr>
      <w:tc>
        <w:tcPr>
          <w:tcW w:w="6633" w:type="dxa"/>
          <w:tcBorders>
            <w:top w:val="single" w:sz="6" w:space="0" w:color="auto"/>
          </w:tcBorders>
          <w:shd w:val="clear" w:color="auto" w:fill="auto"/>
        </w:tcPr>
        <w:p w14:paraId="7954D851" w14:textId="77777777" w:rsidR="007F3724" w:rsidRDefault="007F3724" w:rsidP="00F05DC7">
          <w:pPr>
            <w:pStyle w:val="HeaderOdd"/>
          </w:pPr>
        </w:p>
      </w:tc>
      <w:tc>
        <w:tcPr>
          <w:tcW w:w="2154" w:type="dxa"/>
          <w:tcBorders>
            <w:top w:val="single" w:sz="24" w:space="0" w:color="auto"/>
          </w:tcBorders>
          <w:shd w:val="clear" w:color="auto" w:fill="auto"/>
        </w:tcPr>
        <w:p w14:paraId="7954D852" w14:textId="77777777" w:rsidR="007F3724" w:rsidRDefault="007F3724" w:rsidP="00F05DC7">
          <w:pPr>
            <w:pStyle w:val="HeaderOdd"/>
          </w:pPr>
        </w:p>
      </w:tc>
    </w:tr>
  </w:tbl>
  <w:p w14:paraId="7954D854" w14:textId="77777777" w:rsidR="007F3724" w:rsidRPr="00F05DC7" w:rsidRDefault="007F3724" w:rsidP="00F05DC7">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3724" w14:paraId="542BEE84" w14:textId="77777777">
      <w:tc>
        <w:tcPr>
          <w:tcW w:w="6634" w:type="dxa"/>
          <w:tcBorders>
            <w:top w:val="single" w:sz="6" w:space="0" w:color="auto"/>
          </w:tcBorders>
        </w:tcPr>
        <w:p w14:paraId="46DAF476" w14:textId="77777777" w:rsidR="007F3724" w:rsidRDefault="007F3724">
          <w:pPr>
            <w:pStyle w:val="HeaderOdd"/>
          </w:pPr>
        </w:p>
      </w:tc>
      <w:tc>
        <w:tcPr>
          <w:tcW w:w="2155" w:type="dxa"/>
          <w:tcBorders>
            <w:top w:val="single" w:sz="24" w:space="0" w:color="auto"/>
            <w:bottom w:val="nil"/>
          </w:tcBorders>
        </w:tcPr>
        <w:p w14:paraId="58E13E9D" w14:textId="77777777" w:rsidR="007F3724" w:rsidRDefault="007F3724">
          <w:pPr>
            <w:pStyle w:val="HeaderOdd"/>
          </w:pPr>
        </w:p>
      </w:tc>
    </w:tr>
  </w:tbl>
  <w:p w14:paraId="346A23DB" w14:textId="77777777" w:rsidR="007F3724" w:rsidRDefault="007F3724">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3724" w14:paraId="45322D07" w14:textId="77777777" w:rsidTr="006606FA">
      <w:tc>
        <w:tcPr>
          <w:tcW w:w="2155" w:type="dxa"/>
          <w:tcBorders>
            <w:top w:val="single" w:sz="24" w:space="0" w:color="auto"/>
          </w:tcBorders>
        </w:tcPr>
        <w:p w14:paraId="5E769DCA" w14:textId="77777777" w:rsidR="007F3724" w:rsidRDefault="007F3724" w:rsidP="006606FA">
          <w:pPr>
            <w:pStyle w:val="HeaderEven"/>
          </w:pPr>
        </w:p>
      </w:tc>
      <w:tc>
        <w:tcPr>
          <w:tcW w:w="6634" w:type="dxa"/>
          <w:tcBorders>
            <w:top w:val="single" w:sz="6" w:space="0" w:color="auto"/>
          </w:tcBorders>
        </w:tcPr>
        <w:p w14:paraId="0790484B" w14:textId="77777777" w:rsidR="007F3724" w:rsidRDefault="007F3724" w:rsidP="006606FA">
          <w:pPr>
            <w:pStyle w:val="HeaderEven"/>
          </w:pPr>
        </w:p>
      </w:tc>
    </w:tr>
  </w:tbl>
  <w:p w14:paraId="30F63FD5" w14:textId="77777777" w:rsidR="007F3724" w:rsidRDefault="007F3724" w:rsidP="006606FA">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3724" w14:paraId="21E667CB" w14:textId="77777777">
      <w:tc>
        <w:tcPr>
          <w:tcW w:w="6634" w:type="dxa"/>
          <w:tcBorders>
            <w:top w:val="single" w:sz="6" w:space="0" w:color="auto"/>
          </w:tcBorders>
        </w:tcPr>
        <w:p w14:paraId="5DBC2629" w14:textId="77777777" w:rsidR="007F3724" w:rsidRDefault="007F3724">
          <w:pPr>
            <w:pStyle w:val="HeaderOdd"/>
          </w:pPr>
        </w:p>
      </w:tc>
      <w:tc>
        <w:tcPr>
          <w:tcW w:w="2155" w:type="dxa"/>
          <w:tcBorders>
            <w:top w:val="single" w:sz="24" w:space="0" w:color="auto"/>
          </w:tcBorders>
        </w:tcPr>
        <w:p w14:paraId="1610E9CF" w14:textId="77777777" w:rsidR="007F3724" w:rsidRDefault="007F3724">
          <w:pPr>
            <w:pStyle w:val="HeaderOdd"/>
          </w:pPr>
        </w:p>
      </w:tc>
    </w:tr>
  </w:tbl>
  <w:p w14:paraId="1F289610" w14:textId="77777777" w:rsidR="007F3724" w:rsidRDefault="007F3724" w:rsidP="006606FA">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950E5B9"/>
    <w:multiLevelType w:val="singleLevel"/>
    <w:tmpl w:val="5950E5B9"/>
    <w:name w:val="Numbered list 15"/>
    <w:lvl w:ilvl="0">
      <w:numFmt w:val="bullet"/>
      <w:lvlText w:val=""/>
      <w:lvlJc w:val="left"/>
      <w:rPr>
        <w:rFonts w:ascii="Symbol" w:hAnsi="Symbol"/>
        <w:sz w:val="18"/>
      </w:rPr>
    </w:lvl>
  </w:abstractNum>
  <w:abstractNum w:abstractNumId="20"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2"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3"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lvl>
    <w:lvl w:ilvl="2">
      <w:start w:val="1"/>
      <w:numFmt w:val="lowerRoman"/>
      <w:lvlText w:val="%3)"/>
      <w:lvlJc w:val="left"/>
      <w:pPr>
        <w:tabs>
          <w:tab w:val="num" w:pos="1953"/>
        </w:tabs>
        <w:ind w:left="1953" w:hanging="360"/>
      </w:pPr>
    </w:lvl>
    <w:lvl w:ilvl="3">
      <w:start w:val="1"/>
      <w:numFmt w:val="decimal"/>
      <w:lvlText w:val="(%4)"/>
      <w:lvlJc w:val="left"/>
      <w:pPr>
        <w:tabs>
          <w:tab w:val="num" w:pos="2313"/>
        </w:tabs>
        <w:ind w:left="2313" w:hanging="360"/>
      </w:pPr>
    </w:lvl>
    <w:lvl w:ilvl="4">
      <w:start w:val="1"/>
      <w:numFmt w:val="lowerLetter"/>
      <w:lvlText w:val="(%5)"/>
      <w:lvlJc w:val="left"/>
      <w:pPr>
        <w:tabs>
          <w:tab w:val="num" w:pos="2673"/>
        </w:tabs>
        <w:ind w:left="2673" w:hanging="360"/>
      </w:pPr>
    </w:lvl>
    <w:lvl w:ilvl="5">
      <w:start w:val="1"/>
      <w:numFmt w:val="lowerRoman"/>
      <w:lvlText w:val="(%6)"/>
      <w:lvlJc w:val="left"/>
      <w:pPr>
        <w:tabs>
          <w:tab w:val="num" w:pos="3033"/>
        </w:tabs>
        <w:ind w:left="3033" w:hanging="360"/>
      </w:pPr>
    </w:lvl>
    <w:lvl w:ilvl="6">
      <w:start w:val="1"/>
      <w:numFmt w:val="decimal"/>
      <w:lvlText w:val="%7."/>
      <w:lvlJc w:val="left"/>
      <w:pPr>
        <w:tabs>
          <w:tab w:val="num" w:pos="3393"/>
        </w:tabs>
        <w:ind w:left="3393" w:hanging="360"/>
      </w:pPr>
    </w:lvl>
    <w:lvl w:ilvl="7">
      <w:start w:val="1"/>
      <w:numFmt w:val="lowerLetter"/>
      <w:lvlText w:val="%8."/>
      <w:lvlJc w:val="left"/>
      <w:pPr>
        <w:tabs>
          <w:tab w:val="num" w:pos="3753"/>
        </w:tabs>
        <w:ind w:left="3753" w:hanging="360"/>
      </w:pPr>
    </w:lvl>
    <w:lvl w:ilvl="8">
      <w:start w:val="1"/>
      <w:numFmt w:val="lowerRoman"/>
      <w:lvlText w:val="%9."/>
      <w:lvlJc w:val="left"/>
      <w:pPr>
        <w:tabs>
          <w:tab w:val="num" w:pos="4113"/>
        </w:tabs>
        <w:ind w:left="4113" w:hanging="360"/>
      </w:pPr>
    </w:lvl>
  </w:abstractNum>
  <w:abstractNum w:abstractNumId="24"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3"/>
  </w:num>
  <w:num w:numId="3">
    <w:abstractNumId w:val="15"/>
  </w:num>
  <w:num w:numId="4">
    <w:abstractNumId w:val="4"/>
  </w:num>
  <w:num w:numId="5">
    <w:abstractNumId w:val="21"/>
  </w:num>
  <w:num w:numId="6">
    <w:abstractNumId w:val="17"/>
  </w:num>
  <w:num w:numId="7">
    <w:abstractNumId w:val="8"/>
  </w:num>
  <w:num w:numId="8">
    <w:abstractNumId w:val="16"/>
  </w:num>
  <w:num w:numId="9">
    <w:abstractNumId w:val="7"/>
  </w:num>
  <w:num w:numId="10">
    <w:abstractNumId w:val="6"/>
  </w:num>
  <w:num w:numId="11">
    <w:abstractNumId w:val="11"/>
  </w:num>
  <w:num w:numId="12">
    <w:abstractNumId w:val="12"/>
  </w:num>
  <w:num w:numId="13">
    <w:abstractNumId w:val="5"/>
  </w:num>
  <w:num w:numId="14">
    <w:abstractNumId w:val="18"/>
  </w:num>
  <w:num w:numId="15">
    <w:abstractNumId w:val="24"/>
  </w:num>
  <w:num w:numId="16">
    <w:abstractNumId w:val="14"/>
  </w:num>
  <w:num w:numId="17">
    <w:abstractNumId w:val="25"/>
  </w:num>
  <w:num w:numId="18">
    <w:abstractNumId w:val="20"/>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7">
    <w:abstractNumId w:val="22"/>
  </w:num>
  <w:num w:numId="28">
    <w:abstractNumId w:val="15"/>
  </w:num>
  <w:num w:numId="29">
    <w:abstractNumId w:val="0"/>
  </w:num>
  <w:num w:numId="30">
    <w:abstractNumId w:val="15"/>
  </w:num>
  <w:num w:numId="31">
    <w:abstractNumId w:val="4"/>
  </w:num>
  <w:num w:numId="32">
    <w:abstractNumId w:val="7"/>
  </w:num>
  <w:num w:numId="3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F05DC7"/>
    <w:rsid w:val="00002CE6"/>
    <w:rsid w:val="00005AF1"/>
    <w:rsid w:val="000117AA"/>
    <w:rsid w:val="000227D5"/>
    <w:rsid w:val="00023841"/>
    <w:rsid w:val="000245AA"/>
    <w:rsid w:val="0003664B"/>
    <w:rsid w:val="0004111F"/>
    <w:rsid w:val="00055077"/>
    <w:rsid w:val="000565B3"/>
    <w:rsid w:val="0007150B"/>
    <w:rsid w:val="00081880"/>
    <w:rsid w:val="000938F5"/>
    <w:rsid w:val="00095663"/>
    <w:rsid w:val="00096E55"/>
    <w:rsid w:val="0009783E"/>
    <w:rsid w:val="000A0252"/>
    <w:rsid w:val="000B1022"/>
    <w:rsid w:val="000B4192"/>
    <w:rsid w:val="000B601B"/>
    <w:rsid w:val="000C207E"/>
    <w:rsid w:val="000C4A9B"/>
    <w:rsid w:val="000C5181"/>
    <w:rsid w:val="000D41E9"/>
    <w:rsid w:val="000D52D9"/>
    <w:rsid w:val="000E0EBA"/>
    <w:rsid w:val="000E5B9F"/>
    <w:rsid w:val="000F0035"/>
    <w:rsid w:val="000F04E7"/>
    <w:rsid w:val="000F060A"/>
    <w:rsid w:val="000F210D"/>
    <w:rsid w:val="000F420B"/>
    <w:rsid w:val="001002DD"/>
    <w:rsid w:val="0010183C"/>
    <w:rsid w:val="00106CE4"/>
    <w:rsid w:val="00110116"/>
    <w:rsid w:val="001113B1"/>
    <w:rsid w:val="00115458"/>
    <w:rsid w:val="00120072"/>
    <w:rsid w:val="00126EB8"/>
    <w:rsid w:val="001274D4"/>
    <w:rsid w:val="001363AA"/>
    <w:rsid w:val="0013739A"/>
    <w:rsid w:val="00142165"/>
    <w:rsid w:val="00145176"/>
    <w:rsid w:val="00162434"/>
    <w:rsid w:val="001636A9"/>
    <w:rsid w:val="001645FC"/>
    <w:rsid w:val="00180A85"/>
    <w:rsid w:val="00183E82"/>
    <w:rsid w:val="001878BB"/>
    <w:rsid w:val="00191AE0"/>
    <w:rsid w:val="0019293B"/>
    <w:rsid w:val="0019426B"/>
    <w:rsid w:val="001A1B54"/>
    <w:rsid w:val="001A6A4B"/>
    <w:rsid w:val="001B156F"/>
    <w:rsid w:val="001C0865"/>
    <w:rsid w:val="001C0AED"/>
    <w:rsid w:val="001C0F93"/>
    <w:rsid w:val="001C3ABA"/>
    <w:rsid w:val="001C5111"/>
    <w:rsid w:val="001C7E22"/>
    <w:rsid w:val="001E7BE8"/>
    <w:rsid w:val="001F0248"/>
    <w:rsid w:val="001F21E4"/>
    <w:rsid w:val="001F3EB3"/>
    <w:rsid w:val="001F4F86"/>
    <w:rsid w:val="00200D2D"/>
    <w:rsid w:val="00202C2C"/>
    <w:rsid w:val="00203050"/>
    <w:rsid w:val="002135AB"/>
    <w:rsid w:val="002144BE"/>
    <w:rsid w:val="00222C80"/>
    <w:rsid w:val="002341D7"/>
    <w:rsid w:val="00242279"/>
    <w:rsid w:val="00243997"/>
    <w:rsid w:val="0024516C"/>
    <w:rsid w:val="00245C82"/>
    <w:rsid w:val="00247C8B"/>
    <w:rsid w:val="00267F5D"/>
    <w:rsid w:val="002724BA"/>
    <w:rsid w:val="002767BB"/>
    <w:rsid w:val="00282527"/>
    <w:rsid w:val="00287346"/>
    <w:rsid w:val="00291B40"/>
    <w:rsid w:val="002B4008"/>
    <w:rsid w:val="002C439F"/>
    <w:rsid w:val="002C6C3D"/>
    <w:rsid w:val="002D01E0"/>
    <w:rsid w:val="002D0C42"/>
    <w:rsid w:val="002D0E8E"/>
    <w:rsid w:val="002D577E"/>
    <w:rsid w:val="002D7A67"/>
    <w:rsid w:val="002E1D11"/>
    <w:rsid w:val="002E6E0C"/>
    <w:rsid w:val="002F2180"/>
    <w:rsid w:val="002F6F8F"/>
    <w:rsid w:val="00301189"/>
    <w:rsid w:val="00301E4A"/>
    <w:rsid w:val="003168B8"/>
    <w:rsid w:val="00320E91"/>
    <w:rsid w:val="00322D64"/>
    <w:rsid w:val="00323E09"/>
    <w:rsid w:val="00333932"/>
    <w:rsid w:val="00341944"/>
    <w:rsid w:val="0034414C"/>
    <w:rsid w:val="00344760"/>
    <w:rsid w:val="003518AA"/>
    <w:rsid w:val="00352165"/>
    <w:rsid w:val="00353182"/>
    <w:rsid w:val="003565D9"/>
    <w:rsid w:val="003602E1"/>
    <w:rsid w:val="0037026F"/>
    <w:rsid w:val="00371240"/>
    <w:rsid w:val="00374731"/>
    <w:rsid w:val="00376E59"/>
    <w:rsid w:val="00377EC1"/>
    <w:rsid w:val="00380340"/>
    <w:rsid w:val="00385AA2"/>
    <w:rsid w:val="003874E1"/>
    <w:rsid w:val="003919F9"/>
    <w:rsid w:val="003920CF"/>
    <w:rsid w:val="003B23C2"/>
    <w:rsid w:val="003B5DBB"/>
    <w:rsid w:val="003C38B5"/>
    <w:rsid w:val="003C4D56"/>
    <w:rsid w:val="003C5D99"/>
    <w:rsid w:val="003D1087"/>
    <w:rsid w:val="003E2F59"/>
    <w:rsid w:val="003E746B"/>
    <w:rsid w:val="003F0789"/>
    <w:rsid w:val="003F68CD"/>
    <w:rsid w:val="003F7547"/>
    <w:rsid w:val="00401882"/>
    <w:rsid w:val="00402031"/>
    <w:rsid w:val="004100C8"/>
    <w:rsid w:val="00411DBD"/>
    <w:rsid w:val="0041223B"/>
    <w:rsid w:val="00412A3E"/>
    <w:rsid w:val="00412ACE"/>
    <w:rsid w:val="004145D2"/>
    <w:rsid w:val="00424BA4"/>
    <w:rsid w:val="00426CB4"/>
    <w:rsid w:val="00431249"/>
    <w:rsid w:val="00434C19"/>
    <w:rsid w:val="00441597"/>
    <w:rsid w:val="00450810"/>
    <w:rsid w:val="00452568"/>
    <w:rsid w:val="004530D7"/>
    <w:rsid w:val="00460F2D"/>
    <w:rsid w:val="00462C59"/>
    <w:rsid w:val="00470737"/>
    <w:rsid w:val="00477144"/>
    <w:rsid w:val="004850C2"/>
    <w:rsid w:val="00491380"/>
    <w:rsid w:val="0049459F"/>
    <w:rsid w:val="0049616F"/>
    <w:rsid w:val="004A38DD"/>
    <w:rsid w:val="004B0531"/>
    <w:rsid w:val="004B43AE"/>
    <w:rsid w:val="004B5669"/>
    <w:rsid w:val="004C30ED"/>
    <w:rsid w:val="004D5675"/>
    <w:rsid w:val="004D6261"/>
    <w:rsid w:val="004E4E06"/>
    <w:rsid w:val="004F4295"/>
    <w:rsid w:val="004F6C34"/>
    <w:rsid w:val="005011EB"/>
    <w:rsid w:val="00513B96"/>
    <w:rsid w:val="00517795"/>
    <w:rsid w:val="00523105"/>
    <w:rsid w:val="00523639"/>
    <w:rsid w:val="00530909"/>
    <w:rsid w:val="00531FE5"/>
    <w:rsid w:val="005402FA"/>
    <w:rsid w:val="0055705F"/>
    <w:rsid w:val="005602D0"/>
    <w:rsid w:val="005729BD"/>
    <w:rsid w:val="00580154"/>
    <w:rsid w:val="00583C39"/>
    <w:rsid w:val="00586A90"/>
    <w:rsid w:val="00587F28"/>
    <w:rsid w:val="005909CF"/>
    <w:rsid w:val="00591E71"/>
    <w:rsid w:val="005A0D41"/>
    <w:rsid w:val="005A6B5D"/>
    <w:rsid w:val="005B38BC"/>
    <w:rsid w:val="005C1D43"/>
    <w:rsid w:val="005C553A"/>
    <w:rsid w:val="005D329F"/>
    <w:rsid w:val="005E3257"/>
    <w:rsid w:val="005F48ED"/>
    <w:rsid w:val="00606E78"/>
    <w:rsid w:val="00607BF1"/>
    <w:rsid w:val="00613C47"/>
    <w:rsid w:val="00620979"/>
    <w:rsid w:val="00623592"/>
    <w:rsid w:val="0062370A"/>
    <w:rsid w:val="00625937"/>
    <w:rsid w:val="00630D4D"/>
    <w:rsid w:val="0063283F"/>
    <w:rsid w:val="00632A74"/>
    <w:rsid w:val="006451BE"/>
    <w:rsid w:val="006476D4"/>
    <w:rsid w:val="00647FCC"/>
    <w:rsid w:val="00654D42"/>
    <w:rsid w:val="006606FA"/>
    <w:rsid w:val="00666E02"/>
    <w:rsid w:val="0066784E"/>
    <w:rsid w:val="00682979"/>
    <w:rsid w:val="00684410"/>
    <w:rsid w:val="006910D3"/>
    <w:rsid w:val="006A4655"/>
    <w:rsid w:val="006B2B3C"/>
    <w:rsid w:val="006C1D81"/>
    <w:rsid w:val="006C2AD3"/>
    <w:rsid w:val="006C4FBC"/>
    <w:rsid w:val="006C50E1"/>
    <w:rsid w:val="006C7038"/>
    <w:rsid w:val="006D0019"/>
    <w:rsid w:val="006D42F9"/>
    <w:rsid w:val="006E73EF"/>
    <w:rsid w:val="006F6A96"/>
    <w:rsid w:val="007079C9"/>
    <w:rsid w:val="00707C52"/>
    <w:rsid w:val="00714D4D"/>
    <w:rsid w:val="007207B5"/>
    <w:rsid w:val="007266D3"/>
    <w:rsid w:val="00732029"/>
    <w:rsid w:val="00746126"/>
    <w:rsid w:val="007531EA"/>
    <w:rsid w:val="00753E2F"/>
    <w:rsid w:val="007604BB"/>
    <w:rsid w:val="00766C2B"/>
    <w:rsid w:val="00767A38"/>
    <w:rsid w:val="00772909"/>
    <w:rsid w:val="00777D07"/>
    <w:rsid w:val="00785232"/>
    <w:rsid w:val="0079701E"/>
    <w:rsid w:val="007A21EB"/>
    <w:rsid w:val="007A30C7"/>
    <w:rsid w:val="007A3793"/>
    <w:rsid w:val="007B1A93"/>
    <w:rsid w:val="007B69E1"/>
    <w:rsid w:val="007C35AE"/>
    <w:rsid w:val="007C36C9"/>
    <w:rsid w:val="007D6401"/>
    <w:rsid w:val="007E01E4"/>
    <w:rsid w:val="007E7A12"/>
    <w:rsid w:val="007F3724"/>
    <w:rsid w:val="007F7107"/>
    <w:rsid w:val="00800D4C"/>
    <w:rsid w:val="0081030F"/>
    <w:rsid w:val="00811099"/>
    <w:rsid w:val="00812F4A"/>
    <w:rsid w:val="0082087D"/>
    <w:rsid w:val="00826018"/>
    <w:rsid w:val="008317AB"/>
    <w:rsid w:val="008317E5"/>
    <w:rsid w:val="00832207"/>
    <w:rsid w:val="00835771"/>
    <w:rsid w:val="008369A3"/>
    <w:rsid w:val="00842933"/>
    <w:rsid w:val="0084327B"/>
    <w:rsid w:val="0085171D"/>
    <w:rsid w:val="00851DC0"/>
    <w:rsid w:val="00854709"/>
    <w:rsid w:val="00855ABD"/>
    <w:rsid w:val="0086082C"/>
    <w:rsid w:val="00864ADC"/>
    <w:rsid w:val="00874A5F"/>
    <w:rsid w:val="00876635"/>
    <w:rsid w:val="00880153"/>
    <w:rsid w:val="008801D0"/>
    <w:rsid w:val="00880F97"/>
    <w:rsid w:val="0088133A"/>
    <w:rsid w:val="008919F9"/>
    <w:rsid w:val="0089285E"/>
    <w:rsid w:val="0089436C"/>
    <w:rsid w:val="008A6C49"/>
    <w:rsid w:val="008B1765"/>
    <w:rsid w:val="008B7FA6"/>
    <w:rsid w:val="008C3DEF"/>
    <w:rsid w:val="008C54FC"/>
    <w:rsid w:val="008D365C"/>
    <w:rsid w:val="008D7622"/>
    <w:rsid w:val="008E45CA"/>
    <w:rsid w:val="009021A6"/>
    <w:rsid w:val="009030BF"/>
    <w:rsid w:val="00903B52"/>
    <w:rsid w:val="0091032F"/>
    <w:rsid w:val="00914368"/>
    <w:rsid w:val="00916125"/>
    <w:rsid w:val="00931076"/>
    <w:rsid w:val="009345D9"/>
    <w:rsid w:val="00934B15"/>
    <w:rsid w:val="00940C87"/>
    <w:rsid w:val="00942B62"/>
    <w:rsid w:val="0095323B"/>
    <w:rsid w:val="0095330A"/>
    <w:rsid w:val="00956A0C"/>
    <w:rsid w:val="00956BD9"/>
    <w:rsid w:val="00962489"/>
    <w:rsid w:val="00967CD3"/>
    <w:rsid w:val="00980DCD"/>
    <w:rsid w:val="00990C2C"/>
    <w:rsid w:val="009A5171"/>
    <w:rsid w:val="009A7248"/>
    <w:rsid w:val="009C5C35"/>
    <w:rsid w:val="009D29AD"/>
    <w:rsid w:val="009D6331"/>
    <w:rsid w:val="009E1844"/>
    <w:rsid w:val="009F0D1B"/>
    <w:rsid w:val="009F5BBD"/>
    <w:rsid w:val="009F696D"/>
    <w:rsid w:val="009F6BC6"/>
    <w:rsid w:val="009F74EF"/>
    <w:rsid w:val="00A02826"/>
    <w:rsid w:val="00A15C30"/>
    <w:rsid w:val="00A15D5A"/>
    <w:rsid w:val="00A16424"/>
    <w:rsid w:val="00A17328"/>
    <w:rsid w:val="00A23A20"/>
    <w:rsid w:val="00A24443"/>
    <w:rsid w:val="00A268B9"/>
    <w:rsid w:val="00A2703A"/>
    <w:rsid w:val="00A30F76"/>
    <w:rsid w:val="00A332C2"/>
    <w:rsid w:val="00A33DFF"/>
    <w:rsid w:val="00A35115"/>
    <w:rsid w:val="00A35193"/>
    <w:rsid w:val="00A36D9A"/>
    <w:rsid w:val="00A3786D"/>
    <w:rsid w:val="00A451DC"/>
    <w:rsid w:val="00A505C1"/>
    <w:rsid w:val="00A554AB"/>
    <w:rsid w:val="00A555DD"/>
    <w:rsid w:val="00A57062"/>
    <w:rsid w:val="00A6188E"/>
    <w:rsid w:val="00A67781"/>
    <w:rsid w:val="00A761F9"/>
    <w:rsid w:val="00A84076"/>
    <w:rsid w:val="00A92B53"/>
    <w:rsid w:val="00A94FA6"/>
    <w:rsid w:val="00AA49A0"/>
    <w:rsid w:val="00AA6710"/>
    <w:rsid w:val="00AA7C86"/>
    <w:rsid w:val="00AB0681"/>
    <w:rsid w:val="00AB3F17"/>
    <w:rsid w:val="00AC3A15"/>
    <w:rsid w:val="00AC3D16"/>
    <w:rsid w:val="00AD01BD"/>
    <w:rsid w:val="00AD2327"/>
    <w:rsid w:val="00AD520B"/>
    <w:rsid w:val="00AD55D1"/>
    <w:rsid w:val="00AE3BCC"/>
    <w:rsid w:val="00B0271B"/>
    <w:rsid w:val="00B07FFB"/>
    <w:rsid w:val="00B12779"/>
    <w:rsid w:val="00B13A1B"/>
    <w:rsid w:val="00B21A43"/>
    <w:rsid w:val="00B25343"/>
    <w:rsid w:val="00B31650"/>
    <w:rsid w:val="00B41EE2"/>
    <w:rsid w:val="00B425C3"/>
    <w:rsid w:val="00B42CD5"/>
    <w:rsid w:val="00B440AD"/>
    <w:rsid w:val="00B479BB"/>
    <w:rsid w:val="00B526FD"/>
    <w:rsid w:val="00B53E7E"/>
    <w:rsid w:val="00B61355"/>
    <w:rsid w:val="00B6342E"/>
    <w:rsid w:val="00B7113F"/>
    <w:rsid w:val="00B90D83"/>
    <w:rsid w:val="00B9210B"/>
    <w:rsid w:val="00B963A4"/>
    <w:rsid w:val="00BA2BCF"/>
    <w:rsid w:val="00BA5B14"/>
    <w:rsid w:val="00BA73B6"/>
    <w:rsid w:val="00BA7E27"/>
    <w:rsid w:val="00BB2603"/>
    <w:rsid w:val="00BB3BF5"/>
    <w:rsid w:val="00BB4FCD"/>
    <w:rsid w:val="00BC04E9"/>
    <w:rsid w:val="00BD13EA"/>
    <w:rsid w:val="00BD52E3"/>
    <w:rsid w:val="00BD5FD6"/>
    <w:rsid w:val="00BE330D"/>
    <w:rsid w:val="00BE3808"/>
    <w:rsid w:val="00BE4196"/>
    <w:rsid w:val="00BF0AE0"/>
    <w:rsid w:val="00C03B88"/>
    <w:rsid w:val="00C062E9"/>
    <w:rsid w:val="00C07B64"/>
    <w:rsid w:val="00C13721"/>
    <w:rsid w:val="00C14FE4"/>
    <w:rsid w:val="00C20F7B"/>
    <w:rsid w:val="00C221DF"/>
    <w:rsid w:val="00C23E56"/>
    <w:rsid w:val="00C27DA1"/>
    <w:rsid w:val="00C3066D"/>
    <w:rsid w:val="00C30FA5"/>
    <w:rsid w:val="00C42E6B"/>
    <w:rsid w:val="00C52416"/>
    <w:rsid w:val="00C543F4"/>
    <w:rsid w:val="00C6291C"/>
    <w:rsid w:val="00C633CB"/>
    <w:rsid w:val="00C65FD8"/>
    <w:rsid w:val="00C664CD"/>
    <w:rsid w:val="00C736B7"/>
    <w:rsid w:val="00C740F0"/>
    <w:rsid w:val="00C81D4A"/>
    <w:rsid w:val="00C8449A"/>
    <w:rsid w:val="00C8762C"/>
    <w:rsid w:val="00C8767A"/>
    <w:rsid w:val="00CA00F9"/>
    <w:rsid w:val="00CA2961"/>
    <w:rsid w:val="00CA616B"/>
    <w:rsid w:val="00CA7FC8"/>
    <w:rsid w:val="00CB068C"/>
    <w:rsid w:val="00CB50D7"/>
    <w:rsid w:val="00CB7177"/>
    <w:rsid w:val="00CB7CED"/>
    <w:rsid w:val="00CC070F"/>
    <w:rsid w:val="00CC1998"/>
    <w:rsid w:val="00CC4946"/>
    <w:rsid w:val="00CC64A1"/>
    <w:rsid w:val="00CC79C0"/>
    <w:rsid w:val="00CD0961"/>
    <w:rsid w:val="00CD35E0"/>
    <w:rsid w:val="00CF0E0D"/>
    <w:rsid w:val="00CF1385"/>
    <w:rsid w:val="00CF26BB"/>
    <w:rsid w:val="00CF3B11"/>
    <w:rsid w:val="00CF57C9"/>
    <w:rsid w:val="00CF7839"/>
    <w:rsid w:val="00D02B3A"/>
    <w:rsid w:val="00D14D04"/>
    <w:rsid w:val="00D20EA0"/>
    <w:rsid w:val="00D216A9"/>
    <w:rsid w:val="00D270A4"/>
    <w:rsid w:val="00D31FE9"/>
    <w:rsid w:val="00D34E1B"/>
    <w:rsid w:val="00D376BA"/>
    <w:rsid w:val="00D434A0"/>
    <w:rsid w:val="00D45634"/>
    <w:rsid w:val="00D50CA3"/>
    <w:rsid w:val="00D53B63"/>
    <w:rsid w:val="00D5568A"/>
    <w:rsid w:val="00D56F34"/>
    <w:rsid w:val="00D63D73"/>
    <w:rsid w:val="00D64452"/>
    <w:rsid w:val="00D66E1E"/>
    <w:rsid w:val="00D70696"/>
    <w:rsid w:val="00D744EA"/>
    <w:rsid w:val="00D75722"/>
    <w:rsid w:val="00D80CF5"/>
    <w:rsid w:val="00D85C4C"/>
    <w:rsid w:val="00D91904"/>
    <w:rsid w:val="00DA18C2"/>
    <w:rsid w:val="00DA5BBA"/>
    <w:rsid w:val="00DB26D2"/>
    <w:rsid w:val="00DB67C9"/>
    <w:rsid w:val="00DC0C95"/>
    <w:rsid w:val="00DC4D27"/>
    <w:rsid w:val="00DC4F0B"/>
    <w:rsid w:val="00DD25DE"/>
    <w:rsid w:val="00DD5ABF"/>
    <w:rsid w:val="00DD6292"/>
    <w:rsid w:val="00DD6580"/>
    <w:rsid w:val="00DD7E18"/>
    <w:rsid w:val="00DE0410"/>
    <w:rsid w:val="00DF31E0"/>
    <w:rsid w:val="00E016B4"/>
    <w:rsid w:val="00E01D58"/>
    <w:rsid w:val="00E01D7F"/>
    <w:rsid w:val="00E05C03"/>
    <w:rsid w:val="00E17C72"/>
    <w:rsid w:val="00E21FC6"/>
    <w:rsid w:val="00E41D08"/>
    <w:rsid w:val="00E431A9"/>
    <w:rsid w:val="00E4458F"/>
    <w:rsid w:val="00E516F8"/>
    <w:rsid w:val="00E55D4A"/>
    <w:rsid w:val="00E669E2"/>
    <w:rsid w:val="00E67ADE"/>
    <w:rsid w:val="00E71403"/>
    <w:rsid w:val="00E752A0"/>
    <w:rsid w:val="00E76135"/>
    <w:rsid w:val="00E82F4F"/>
    <w:rsid w:val="00E864DF"/>
    <w:rsid w:val="00E91703"/>
    <w:rsid w:val="00E97980"/>
    <w:rsid w:val="00EB2CC3"/>
    <w:rsid w:val="00EB6A18"/>
    <w:rsid w:val="00EC2844"/>
    <w:rsid w:val="00EC5500"/>
    <w:rsid w:val="00ED18F8"/>
    <w:rsid w:val="00EE3132"/>
    <w:rsid w:val="00EE445F"/>
    <w:rsid w:val="00EE6EDA"/>
    <w:rsid w:val="00EE778E"/>
    <w:rsid w:val="00EF6719"/>
    <w:rsid w:val="00EF6BE2"/>
    <w:rsid w:val="00EF6C6C"/>
    <w:rsid w:val="00F00F98"/>
    <w:rsid w:val="00F056FC"/>
    <w:rsid w:val="00F05DC7"/>
    <w:rsid w:val="00F0632F"/>
    <w:rsid w:val="00F069AE"/>
    <w:rsid w:val="00F06FF6"/>
    <w:rsid w:val="00F100AE"/>
    <w:rsid w:val="00F10476"/>
    <w:rsid w:val="00F135D8"/>
    <w:rsid w:val="00F269AA"/>
    <w:rsid w:val="00F31299"/>
    <w:rsid w:val="00F3534A"/>
    <w:rsid w:val="00F35BFB"/>
    <w:rsid w:val="00F36ACC"/>
    <w:rsid w:val="00F42CAC"/>
    <w:rsid w:val="00F51609"/>
    <w:rsid w:val="00F55C25"/>
    <w:rsid w:val="00F73727"/>
    <w:rsid w:val="00F766A7"/>
    <w:rsid w:val="00F81006"/>
    <w:rsid w:val="00F82126"/>
    <w:rsid w:val="00F85325"/>
    <w:rsid w:val="00F86D6A"/>
    <w:rsid w:val="00F968DA"/>
    <w:rsid w:val="00FD22B1"/>
    <w:rsid w:val="00FD3172"/>
    <w:rsid w:val="00FD33F1"/>
    <w:rsid w:val="00FD3566"/>
    <w:rsid w:val="00FD4DB8"/>
    <w:rsid w:val="00FE0B74"/>
    <w:rsid w:val="00FE3FAF"/>
    <w:rsid w:val="00FE49C1"/>
    <w:rsid w:val="00FE5397"/>
    <w:rsid w:val="00FF12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95494AD"/>
  <w15:docId w15:val="{200DB4E6-5310-4B5A-A0DE-24EA53746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link w:val="CaptionChar"/>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452568"/>
    <w:pPr>
      <w:numPr>
        <w:numId w:val="30"/>
      </w:numPr>
      <w:spacing w:before="120"/>
    </w:pPr>
  </w:style>
  <w:style w:type="paragraph" w:styleId="ListBullet2">
    <w:name w:val="List Bullet 2"/>
    <w:basedOn w:val="BodyText"/>
    <w:rsid w:val="00452568"/>
    <w:pPr>
      <w:numPr>
        <w:numId w:val="31"/>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452568"/>
    <w:pPr>
      <w:numPr>
        <w:numId w:val="32"/>
      </w:numPr>
      <w:spacing w:before="120"/>
    </w:pPr>
  </w:style>
  <w:style w:type="paragraph" w:styleId="ListNumber2">
    <w:name w:val="List Number 2"/>
    <w:basedOn w:val="ListNumber"/>
    <w:rsid w:val="00864ADC"/>
    <w:pPr>
      <w:numPr>
        <w:numId w:val="0"/>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link w:val="TableColumnHeadingChar"/>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F05DC7"/>
    <w:rPr>
      <w:rFonts w:ascii="Arial" w:hAnsi="Arial"/>
      <w:b/>
      <w:sz w:val="18"/>
    </w:rPr>
  </w:style>
  <w:style w:type="character" w:customStyle="1" w:styleId="Heading1Char">
    <w:name w:val="Heading 1 Char"/>
    <w:basedOn w:val="DefaultParagraphFont"/>
    <w:link w:val="Heading1"/>
    <w:rsid w:val="00F05DC7"/>
    <w:rPr>
      <w:sz w:val="52"/>
    </w:rPr>
  </w:style>
  <w:style w:type="character" w:customStyle="1" w:styleId="Heading2Char">
    <w:name w:val="Heading 2 Char"/>
    <w:basedOn w:val="DefaultParagraphFont"/>
    <w:link w:val="Heading2"/>
    <w:rsid w:val="00F05DC7"/>
    <w:rPr>
      <w:rFonts w:ascii="Arial" w:hAnsi="Arial"/>
      <w:b/>
      <w:sz w:val="32"/>
    </w:rPr>
  </w:style>
  <w:style w:type="character" w:customStyle="1" w:styleId="Heading3Char">
    <w:name w:val="Heading 3 Char"/>
    <w:basedOn w:val="DefaultParagraphFont"/>
    <w:link w:val="Heading3"/>
    <w:rsid w:val="00F05DC7"/>
    <w:rPr>
      <w:rFonts w:ascii="Arial" w:hAnsi="Arial"/>
      <w:b/>
      <w:sz w:val="26"/>
    </w:rPr>
  </w:style>
  <w:style w:type="character" w:customStyle="1" w:styleId="Heading4Char">
    <w:name w:val="Heading 4 Char"/>
    <w:basedOn w:val="DefaultParagraphFont"/>
    <w:link w:val="Heading4"/>
    <w:rsid w:val="00F05DC7"/>
    <w:rPr>
      <w:rFonts w:ascii="Arial" w:hAnsi="Arial"/>
      <w:sz w:val="24"/>
    </w:rPr>
  </w:style>
  <w:style w:type="character" w:customStyle="1" w:styleId="HeaderChar">
    <w:name w:val="Header Char"/>
    <w:basedOn w:val="DefaultParagraphFont"/>
    <w:link w:val="Header"/>
    <w:uiPriority w:val="99"/>
    <w:rsid w:val="00F05DC7"/>
    <w:rPr>
      <w:rFonts w:ascii="Arial" w:hAnsi="Arial"/>
      <w:caps/>
      <w:sz w:val="24"/>
    </w:rPr>
  </w:style>
  <w:style w:type="character" w:customStyle="1" w:styleId="QuoteChar">
    <w:name w:val="Quote Char"/>
    <w:basedOn w:val="DefaultParagraphFont"/>
    <w:link w:val="Quote"/>
    <w:rsid w:val="00F05DC7"/>
    <w:rPr>
      <w:sz w:val="22"/>
    </w:rPr>
  </w:style>
  <w:style w:type="character" w:customStyle="1" w:styleId="BoxChar">
    <w:name w:val="Box Char"/>
    <w:basedOn w:val="DefaultParagraphFont"/>
    <w:link w:val="Box"/>
    <w:locked/>
    <w:rsid w:val="00F05DC7"/>
    <w:rPr>
      <w:rFonts w:ascii="Arial" w:hAnsi="Arial"/>
    </w:rPr>
  </w:style>
  <w:style w:type="character" w:customStyle="1" w:styleId="FigureChar">
    <w:name w:val="Figure Char"/>
    <w:basedOn w:val="DefaultParagraphFont"/>
    <w:link w:val="Figure"/>
    <w:locked/>
    <w:rsid w:val="00F05DC7"/>
    <w:rPr>
      <w:sz w:val="24"/>
    </w:rPr>
  </w:style>
  <w:style w:type="character" w:customStyle="1" w:styleId="NoteChar">
    <w:name w:val="Note Char"/>
    <w:basedOn w:val="DefaultParagraphFont"/>
    <w:link w:val="Note"/>
    <w:locked/>
    <w:rsid w:val="00F05DC7"/>
    <w:rPr>
      <w:rFonts w:ascii="Arial" w:hAnsi="Arial"/>
      <w:sz w:val="18"/>
    </w:rPr>
  </w:style>
  <w:style w:type="character" w:customStyle="1" w:styleId="SourceChar">
    <w:name w:val="Source Char"/>
    <w:basedOn w:val="DefaultParagraphFont"/>
    <w:link w:val="Source"/>
    <w:locked/>
    <w:rsid w:val="00F05DC7"/>
    <w:rPr>
      <w:rFonts w:ascii="Arial" w:hAnsi="Arial"/>
      <w:sz w:val="18"/>
    </w:rPr>
  </w:style>
  <w:style w:type="character" w:customStyle="1" w:styleId="TableBodyTextChar">
    <w:name w:val="Table Body Text Char"/>
    <w:link w:val="TableBodyText"/>
    <w:rsid w:val="00F05DC7"/>
    <w:rPr>
      <w:rFonts w:ascii="Arial" w:hAnsi="Arial"/>
      <w:sz w:val="18"/>
    </w:rPr>
  </w:style>
  <w:style w:type="character" w:customStyle="1" w:styleId="TableColumnHeadingChar">
    <w:name w:val="Table Column Heading Char"/>
    <w:link w:val="TableColumnHeading"/>
    <w:rsid w:val="00F05DC7"/>
    <w:rPr>
      <w:rFonts w:ascii="Arial" w:hAnsi="Arial"/>
      <w:i/>
      <w:sz w:val="18"/>
    </w:rPr>
  </w:style>
  <w:style w:type="character" w:customStyle="1" w:styleId="TableTitleChar">
    <w:name w:val="Table Title Char"/>
    <w:basedOn w:val="DefaultParagraphFont"/>
    <w:link w:val="TableTitle"/>
    <w:rsid w:val="00F05DC7"/>
    <w:rPr>
      <w:rFonts w:ascii="Arial" w:hAnsi="Arial"/>
      <w:b/>
      <w:sz w:val="24"/>
      <w:szCs w:val="24"/>
    </w:rPr>
  </w:style>
  <w:style w:type="paragraph" w:styleId="CommentSubject">
    <w:name w:val="annotation subject"/>
    <w:basedOn w:val="CommentText"/>
    <w:next w:val="CommentText"/>
    <w:link w:val="CommentSubjectChar"/>
    <w:unhideWhenUsed/>
    <w:rsid w:val="00F05DC7"/>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F05DC7"/>
    <w:rPr>
      <w:szCs w:val="24"/>
    </w:rPr>
  </w:style>
  <w:style w:type="character" w:customStyle="1" w:styleId="CommentSubjectChar">
    <w:name w:val="Comment Subject Char"/>
    <w:basedOn w:val="CommentTextChar"/>
    <w:link w:val="CommentSubject"/>
    <w:rsid w:val="00F05DC7"/>
    <w:rPr>
      <w:b/>
      <w:bCs/>
      <w:szCs w:val="24"/>
    </w:rPr>
  </w:style>
  <w:style w:type="paragraph" w:styleId="Revision">
    <w:name w:val="Revision"/>
    <w:hidden/>
    <w:uiPriority w:val="99"/>
    <w:semiHidden/>
    <w:rsid w:val="00F05DC7"/>
    <w:rPr>
      <w:sz w:val="24"/>
      <w:szCs w:val="24"/>
    </w:rPr>
  </w:style>
  <w:style w:type="character" w:styleId="Hyperlink">
    <w:name w:val="Hyperlink"/>
    <w:basedOn w:val="DefaultParagraphFont"/>
    <w:unhideWhenUsed/>
    <w:rsid w:val="00F05DC7"/>
    <w:rPr>
      <w:color w:val="000000" w:themeColor="hyperlink"/>
      <w:u w:val="single"/>
    </w:rPr>
  </w:style>
  <w:style w:type="character" w:styleId="FollowedHyperlink">
    <w:name w:val="FollowedHyperlink"/>
    <w:basedOn w:val="DefaultParagraphFont"/>
    <w:semiHidden/>
    <w:unhideWhenUsed/>
    <w:rsid w:val="00F05DC7"/>
    <w:rPr>
      <w:color w:val="BFBFBF" w:themeColor="followedHyperlink"/>
      <w:u w:val="single"/>
    </w:rPr>
  </w:style>
  <w:style w:type="paragraph" w:customStyle="1" w:styleId="BoxSpaceAboveElement">
    <w:name w:val="Box Space Above Element"/>
    <w:basedOn w:val="BoxSpaceAbove"/>
    <w:link w:val="BoxSpaceAboveElementChar"/>
    <w:qFormat/>
    <w:rsid w:val="00F05DC7"/>
    <w:pPr>
      <w:spacing w:before="240"/>
    </w:pPr>
    <w:rPr>
      <w:b/>
      <w:vanish/>
      <w:color w:val="FF00FF"/>
      <w:sz w:val="14"/>
    </w:rPr>
  </w:style>
  <w:style w:type="character" w:customStyle="1" w:styleId="BoxSpaceAboveElementChar">
    <w:name w:val="Box Space Above Element Char"/>
    <w:basedOn w:val="DefaultParagraphFont"/>
    <w:link w:val="BoxSpaceAboveElement"/>
    <w:rsid w:val="00F05DC7"/>
    <w:rPr>
      <w:b/>
      <w:vanish/>
      <w:color w:val="FF00FF"/>
      <w:sz w:val="14"/>
    </w:rPr>
  </w:style>
  <w:style w:type="character" w:customStyle="1" w:styleId="FootnoteTextChar">
    <w:name w:val="Footnote Text Char"/>
    <w:basedOn w:val="DefaultParagraphFont"/>
    <w:link w:val="FootnoteText"/>
    <w:uiPriority w:val="99"/>
    <w:rsid w:val="00F05DC7"/>
  </w:style>
  <w:style w:type="paragraph" w:styleId="Bibliography">
    <w:name w:val="Bibliography"/>
    <w:basedOn w:val="Normal"/>
    <w:next w:val="Normal"/>
    <w:uiPriority w:val="37"/>
    <w:unhideWhenUsed/>
    <w:rsid w:val="00F05DC7"/>
    <w:pPr>
      <w:spacing w:after="240"/>
      <w:ind w:left="720" w:hanging="720"/>
    </w:pPr>
  </w:style>
  <w:style w:type="paragraph" w:styleId="ListParagraph">
    <w:name w:val="List Paragraph"/>
    <w:basedOn w:val="Normal"/>
    <w:uiPriority w:val="34"/>
    <w:qFormat/>
    <w:rsid w:val="00F05DC7"/>
    <w:pPr>
      <w:ind w:left="720"/>
      <w:contextualSpacing/>
    </w:pPr>
  </w:style>
  <w:style w:type="character" w:customStyle="1" w:styleId="normaltextrun">
    <w:name w:val="normaltextrun"/>
    <w:basedOn w:val="DefaultParagraphFont"/>
    <w:rsid w:val="00F05DC7"/>
  </w:style>
  <w:style w:type="character" w:customStyle="1" w:styleId="apple-converted-space">
    <w:name w:val="apple-converted-space"/>
    <w:basedOn w:val="DefaultParagraphFont"/>
    <w:rsid w:val="00F05DC7"/>
  </w:style>
  <w:style w:type="paragraph" w:styleId="NormalWeb">
    <w:name w:val="Normal (Web)"/>
    <w:basedOn w:val="Normal"/>
    <w:uiPriority w:val="99"/>
    <w:unhideWhenUsed/>
    <w:rsid w:val="00F05DC7"/>
    <w:pPr>
      <w:spacing w:before="100" w:beforeAutospacing="1" w:after="100" w:afterAutospacing="1"/>
    </w:pPr>
    <w:rPr>
      <w:rFonts w:eastAsiaTheme="minorEastAsia"/>
    </w:rPr>
  </w:style>
  <w:style w:type="character" w:styleId="EndnoteReference">
    <w:name w:val="endnote reference"/>
    <w:basedOn w:val="DefaultParagraphFont"/>
    <w:unhideWhenUsed/>
    <w:rsid w:val="00F05DC7"/>
    <w:rPr>
      <w:vertAlign w:val="superscript"/>
    </w:rPr>
  </w:style>
  <w:style w:type="paragraph" w:styleId="EndnoteText">
    <w:name w:val="endnote text"/>
    <w:basedOn w:val="Normal"/>
    <w:link w:val="EndnoteTextChar"/>
    <w:semiHidden/>
    <w:unhideWhenUsed/>
    <w:rsid w:val="00F05DC7"/>
    <w:rPr>
      <w:sz w:val="20"/>
      <w:szCs w:val="20"/>
    </w:rPr>
  </w:style>
  <w:style w:type="character" w:customStyle="1" w:styleId="EndnoteTextChar">
    <w:name w:val="Endnote Text Char"/>
    <w:basedOn w:val="DefaultParagraphFont"/>
    <w:link w:val="EndnoteText"/>
    <w:semiHidden/>
    <w:rsid w:val="00F05DC7"/>
  </w:style>
  <w:style w:type="paragraph" w:customStyle="1" w:styleId="Default">
    <w:name w:val="Default"/>
    <w:rsid w:val="00F05DC7"/>
    <w:pPr>
      <w:autoSpaceDE w:val="0"/>
      <w:autoSpaceDN w:val="0"/>
      <w:adjustRightInd w:val="0"/>
    </w:pPr>
    <w:rPr>
      <w:rFonts w:ascii="Century Gothic" w:eastAsiaTheme="minorHAnsi" w:hAnsi="Century Gothic" w:cs="Century Gothic"/>
      <w:color w:val="000000"/>
      <w:sz w:val="24"/>
      <w:szCs w:val="24"/>
      <w:lang w:eastAsia="en-US"/>
    </w:rPr>
  </w:style>
  <w:style w:type="character" w:styleId="PlaceholderText">
    <w:name w:val="Placeholder Text"/>
    <w:basedOn w:val="DefaultParagraphFont"/>
    <w:uiPriority w:val="99"/>
    <w:semiHidden/>
    <w:rsid w:val="00F05DC7"/>
    <w:rPr>
      <w:color w:val="808080"/>
    </w:rPr>
  </w:style>
  <w:style w:type="paragraph" w:customStyle="1" w:styleId="CGCBulletlist">
    <w:name w:val="CGC Bullet list"/>
    <w:aliases w:val="CGC List 1"/>
    <w:basedOn w:val="Normal"/>
    <w:link w:val="CGCBulletlistCharChar"/>
    <w:qFormat/>
    <w:rsid w:val="00F05DC7"/>
    <w:pPr>
      <w:numPr>
        <w:numId w:val="21"/>
      </w:numPr>
      <w:tabs>
        <w:tab w:val="left" w:pos="1134"/>
      </w:tabs>
      <w:spacing w:before="80" w:after="80" w:line="300" w:lineRule="atLeast"/>
    </w:pPr>
    <w:rPr>
      <w:szCs w:val="20"/>
    </w:rPr>
  </w:style>
  <w:style w:type="character" w:customStyle="1" w:styleId="CGCBulletlistCharChar">
    <w:name w:val="CGC Bullet list Char Char"/>
    <w:basedOn w:val="DefaultParagraphFont"/>
    <w:link w:val="CGCBulletlist"/>
    <w:locked/>
    <w:rsid w:val="00F05DC7"/>
    <w:rPr>
      <w:sz w:val="24"/>
    </w:rPr>
  </w:style>
  <w:style w:type="character" w:customStyle="1" w:styleId="BoxListBulletChar">
    <w:name w:val="Box List Bullet Char"/>
    <w:basedOn w:val="DefaultParagraphFont"/>
    <w:link w:val="BoxListBullet"/>
    <w:locked/>
    <w:rsid w:val="00F05DC7"/>
    <w:rPr>
      <w:rFonts w:ascii="Arial" w:hAnsi="Arial"/>
    </w:rPr>
  </w:style>
  <w:style w:type="character" w:styleId="HTMLCite">
    <w:name w:val="HTML Cite"/>
    <w:basedOn w:val="DefaultParagraphFont"/>
    <w:uiPriority w:val="99"/>
    <w:unhideWhenUsed/>
    <w:rsid w:val="00F05DC7"/>
    <w:rPr>
      <w:i/>
      <w:iCs/>
    </w:rPr>
  </w:style>
  <w:style w:type="character" w:customStyle="1" w:styleId="title-prefix">
    <w:name w:val="title-prefix"/>
    <w:basedOn w:val="DefaultParagraphFont"/>
    <w:rsid w:val="00F05DC7"/>
  </w:style>
  <w:style w:type="paragraph" w:customStyle="1" w:styleId="CGCNumberedPara">
    <w:name w:val="CGC Numbered Para"/>
    <w:aliases w:val="CGC Para No"/>
    <w:basedOn w:val="Normal"/>
    <w:link w:val="CGCParaNoChar"/>
    <w:qFormat/>
    <w:rsid w:val="00F05DC7"/>
    <w:pPr>
      <w:numPr>
        <w:ilvl w:val="1"/>
        <w:numId w:val="22"/>
      </w:numPr>
      <w:spacing w:before="120" w:after="80" w:line="320" w:lineRule="atLeast"/>
    </w:pPr>
    <w:rPr>
      <w:rFonts w:asciiTheme="minorHAnsi" w:eastAsiaTheme="minorHAnsi" w:hAnsiTheme="minorHAnsi" w:cstheme="minorBidi"/>
      <w:lang w:eastAsia="en-US"/>
    </w:rPr>
  </w:style>
  <w:style w:type="character" w:customStyle="1" w:styleId="CaptionChar">
    <w:name w:val="Caption Char"/>
    <w:basedOn w:val="DefaultParagraphFont"/>
    <w:link w:val="Caption"/>
    <w:rsid w:val="00F05DC7"/>
    <w:rPr>
      <w:rFonts w:ascii="Arial" w:hAnsi="Arial"/>
      <w:b/>
      <w:sz w:val="24"/>
      <w:szCs w:val="24"/>
    </w:rPr>
  </w:style>
  <w:style w:type="character" w:customStyle="1" w:styleId="CGCParaNoChar">
    <w:name w:val="CGC Para No Char"/>
    <w:aliases w:val="CGC Numbered Para Char"/>
    <w:basedOn w:val="DefaultParagraphFont"/>
    <w:link w:val="CGCNumberedPara"/>
    <w:rsid w:val="00F05DC7"/>
    <w:rPr>
      <w:rFonts w:asciiTheme="minorHAnsi" w:eastAsiaTheme="minorHAnsi" w:hAnsiTheme="minorHAnsi" w:cstheme="minorBidi"/>
      <w:sz w:val="24"/>
      <w:szCs w:val="24"/>
      <w:lang w:eastAsia="en-US"/>
    </w:rPr>
  </w:style>
  <w:style w:type="character" w:styleId="Strong">
    <w:name w:val="Strong"/>
    <w:basedOn w:val="DefaultParagraphFont"/>
    <w:uiPriority w:val="22"/>
    <w:qFormat/>
    <w:rsid w:val="00F05DC7"/>
    <w:rPr>
      <w:b/>
      <w:bCs/>
    </w:rPr>
  </w:style>
  <w:style w:type="character" w:customStyle="1" w:styleId="CGCBulletlistChar">
    <w:name w:val="CGC Bullet list Char"/>
    <w:basedOn w:val="DefaultParagraphFont"/>
    <w:rsid w:val="00F05DC7"/>
    <w:rPr>
      <w:rFonts w:ascii="Times New Roman" w:eastAsia="Times New Roman" w:hAnsi="Times New Roman" w:cs="Times New Roman"/>
      <w:szCs w:val="20"/>
    </w:rPr>
  </w:style>
  <w:style w:type="paragraph" w:styleId="PlainText">
    <w:name w:val="Plain Text"/>
    <w:basedOn w:val="Normal"/>
    <w:link w:val="PlainTextChar"/>
    <w:uiPriority w:val="99"/>
    <w:semiHidden/>
    <w:unhideWhenUsed/>
    <w:rsid w:val="00F05DC7"/>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5DC7"/>
    <w:rPr>
      <w:rFonts w:ascii="Calibri" w:eastAsiaTheme="minorHAnsi" w:hAnsi="Calibri" w:cstheme="minorBidi"/>
      <w:sz w:val="22"/>
      <w:szCs w:val="21"/>
      <w:lang w:eastAsia="en-US"/>
    </w:rPr>
  </w:style>
  <w:style w:type="paragraph" w:customStyle="1" w:styleId="Heading2NotTOC">
    <w:name w:val="Heading 2 Not TOC"/>
    <w:basedOn w:val="Heading2"/>
    <w:next w:val="BodyText"/>
    <w:rsid w:val="00341944"/>
  </w:style>
  <w:style w:type="paragraph" w:customStyle="1" w:styleId="Heading1NotTOC">
    <w:name w:val="Heading 1 Not TOC"/>
    <w:basedOn w:val="Heading1"/>
    <w:next w:val="BodyText"/>
    <w:rsid w:val="00341944"/>
    <w:rPr>
      <w:kern w:val="28"/>
      <w:szCs w:val="26"/>
      <w:lang w:eastAsia="en-US"/>
    </w:rPr>
  </w:style>
  <w:style w:type="paragraph" w:customStyle="1" w:styleId="PCAddress">
    <w:name w:val="PC Address"/>
    <w:basedOn w:val="Normal"/>
    <w:rsid w:val="00341944"/>
    <w:pPr>
      <w:tabs>
        <w:tab w:val="left" w:pos="866"/>
      </w:tabs>
      <w:spacing w:after="60"/>
    </w:pPr>
    <w:rPr>
      <w:sz w:val="16"/>
      <w:szCs w:val="20"/>
    </w:rPr>
  </w:style>
  <w:style w:type="paragraph" w:styleId="Salutation">
    <w:name w:val="Salutation"/>
    <w:basedOn w:val="Normal"/>
    <w:next w:val="Normal"/>
    <w:link w:val="SalutationChar"/>
    <w:autoRedefine/>
    <w:rsid w:val="00341944"/>
    <w:rPr>
      <w:noProof/>
      <w:szCs w:val="20"/>
    </w:rPr>
  </w:style>
  <w:style w:type="character" w:customStyle="1" w:styleId="SalutationChar">
    <w:name w:val="Salutation Char"/>
    <w:basedOn w:val="DefaultParagraphFont"/>
    <w:link w:val="Salutation"/>
    <w:rsid w:val="00341944"/>
    <w:rPr>
      <w:noProof/>
      <w:sz w:val="24"/>
    </w:rPr>
  </w:style>
  <w:style w:type="paragraph" w:customStyle="1" w:styleId="Signoff">
    <w:name w:val="Signoff"/>
    <w:basedOn w:val="Normal"/>
    <w:autoRedefine/>
    <w:rsid w:val="00341944"/>
    <w:pPr>
      <w:spacing w:before="480" w:after="1000"/>
    </w:pPr>
    <w:rPr>
      <w:szCs w:val="20"/>
    </w:rPr>
  </w:style>
  <w:style w:type="paragraph" w:customStyle="1" w:styleId="LetterDate">
    <w:name w:val="Letter Date"/>
    <w:basedOn w:val="BodyText"/>
    <w:rsid w:val="00341944"/>
    <w:pPr>
      <w:spacing w:before="0" w:after="240" w:line="240" w:lineRule="auto"/>
      <w:ind w:left="-108"/>
      <w:jc w:val="left"/>
    </w:pPr>
  </w:style>
  <w:style w:type="paragraph" w:customStyle="1" w:styleId="LetterAddress">
    <w:name w:val="Letter Address"/>
    <w:basedOn w:val="BodyText"/>
    <w:rsid w:val="00341944"/>
    <w:pPr>
      <w:spacing w:before="0" w:line="240" w:lineRule="auto"/>
      <w:jc w:val="left"/>
    </w:pPr>
  </w:style>
  <w:style w:type="paragraph" w:customStyle="1" w:styleId="Copyrightheading">
    <w:name w:val="Copyright heading"/>
    <w:basedOn w:val="TOC1"/>
    <w:link w:val="CopyrightheadingChar"/>
    <w:qFormat/>
    <w:rsid w:val="00341944"/>
    <w:pPr>
      <w:spacing w:line="300" w:lineRule="exact"/>
    </w:pPr>
    <w:rPr>
      <w:sz w:val="22"/>
    </w:rPr>
  </w:style>
  <w:style w:type="character" w:customStyle="1" w:styleId="CopyrightheadingChar">
    <w:name w:val="Copyright heading Char"/>
    <w:basedOn w:val="TOC1Char"/>
    <w:link w:val="Copyrightheading"/>
    <w:rsid w:val="00341944"/>
    <w:rPr>
      <w:rFonts w:ascii="Arial" w:hAnsi="Arial"/>
      <w:b/>
      <w:sz w:val="22"/>
      <w:szCs w:val="26"/>
      <w:lang w:eastAsia="en-US"/>
    </w:rPr>
  </w:style>
  <w:style w:type="paragraph" w:customStyle="1" w:styleId="Copyrightsubtitle">
    <w:name w:val="Copyright subtitle"/>
    <w:basedOn w:val="BodyText"/>
    <w:rsid w:val="00341944"/>
    <w:rPr>
      <w:rFonts w:ascii="Arial" w:hAnsi="Arial"/>
      <w:b/>
      <w:sz w:val="22"/>
      <w:szCs w:val="25"/>
    </w:rPr>
  </w:style>
  <w:style w:type="paragraph" w:customStyle="1" w:styleId="Copyrightbodytext">
    <w:name w:val="Copyright bodytext"/>
    <w:basedOn w:val="BodyText"/>
    <w:link w:val="CopyrightbodytextChar"/>
    <w:qFormat/>
    <w:rsid w:val="00341944"/>
    <w:pPr>
      <w:spacing w:before="60"/>
    </w:pPr>
  </w:style>
  <w:style w:type="character" w:customStyle="1" w:styleId="CopyrightbodytextChar">
    <w:name w:val="Copyright bodytext Char"/>
    <w:basedOn w:val="BodyTextChar"/>
    <w:link w:val="Copyrightbodytext"/>
    <w:rsid w:val="0034194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07607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2.xml"/><Relationship Id="rId21" Type="http://schemas.openxmlformats.org/officeDocument/2006/relationships/footer" Target="footer4.xml"/><Relationship Id="rId42" Type="http://schemas.openxmlformats.org/officeDocument/2006/relationships/header" Target="header12.xml"/><Relationship Id="rId63" Type="http://schemas.openxmlformats.org/officeDocument/2006/relationships/footer" Target="footer20.xml"/><Relationship Id="rId84" Type="http://schemas.openxmlformats.org/officeDocument/2006/relationships/image" Target="media/image22.emf"/><Relationship Id="rId138" Type="http://schemas.openxmlformats.org/officeDocument/2006/relationships/image" Target="media/image52.emf"/><Relationship Id="rId159" Type="http://schemas.openxmlformats.org/officeDocument/2006/relationships/image" Target="media/image65.emf"/><Relationship Id="rId170" Type="http://schemas.openxmlformats.org/officeDocument/2006/relationships/image" Target="media/image72.emf"/><Relationship Id="rId191" Type="http://schemas.openxmlformats.org/officeDocument/2006/relationships/footer" Target="footer53.xml"/><Relationship Id="rId205" Type="http://schemas.openxmlformats.org/officeDocument/2006/relationships/image" Target="media/image83.emf"/><Relationship Id="rId107" Type="http://schemas.openxmlformats.org/officeDocument/2006/relationships/image" Target="media/image37.emf"/><Relationship Id="rId11" Type="http://schemas.openxmlformats.org/officeDocument/2006/relationships/hyperlink" Target="http://www.pc.gov.au" TargetMode="External"/><Relationship Id="rId32" Type="http://schemas.openxmlformats.org/officeDocument/2006/relationships/footer" Target="footer9.xml"/><Relationship Id="rId53" Type="http://schemas.openxmlformats.org/officeDocument/2006/relationships/image" Target="media/image13.emf"/><Relationship Id="rId74" Type="http://schemas.openxmlformats.org/officeDocument/2006/relationships/header" Target="header24.xml"/><Relationship Id="rId128" Type="http://schemas.openxmlformats.org/officeDocument/2006/relationships/footer" Target="footer36.xml"/><Relationship Id="rId149" Type="http://schemas.openxmlformats.org/officeDocument/2006/relationships/header" Target="header42.xml"/><Relationship Id="rId5" Type="http://schemas.openxmlformats.org/officeDocument/2006/relationships/webSettings" Target="webSettings.xml"/><Relationship Id="rId95" Type="http://schemas.openxmlformats.org/officeDocument/2006/relationships/footer" Target="footer29.xml"/><Relationship Id="rId160" Type="http://schemas.openxmlformats.org/officeDocument/2006/relationships/image" Target="media/image66.emf"/><Relationship Id="rId181" Type="http://schemas.openxmlformats.org/officeDocument/2006/relationships/image" Target="media/image75.emf"/><Relationship Id="rId216" Type="http://schemas.openxmlformats.org/officeDocument/2006/relationships/header" Target="header57.xml"/><Relationship Id="rId211" Type="http://schemas.openxmlformats.org/officeDocument/2006/relationships/image" Target="media/image89.emf"/><Relationship Id="rId22" Type="http://schemas.openxmlformats.org/officeDocument/2006/relationships/header" Target="header4.xml"/><Relationship Id="rId27" Type="http://schemas.openxmlformats.org/officeDocument/2006/relationships/header" Target="header7.xml"/><Relationship Id="rId43" Type="http://schemas.openxmlformats.org/officeDocument/2006/relationships/footer" Target="footer12.xml"/><Relationship Id="rId48" Type="http://schemas.openxmlformats.org/officeDocument/2006/relationships/header" Target="header14.xml"/><Relationship Id="rId64" Type="http://schemas.openxmlformats.org/officeDocument/2006/relationships/footer" Target="footer21.xml"/><Relationship Id="rId69" Type="http://schemas.openxmlformats.org/officeDocument/2006/relationships/header" Target="header21.xml"/><Relationship Id="rId113" Type="http://schemas.openxmlformats.org/officeDocument/2006/relationships/image" Target="media/image43.emf"/><Relationship Id="rId118" Type="http://schemas.openxmlformats.org/officeDocument/2006/relationships/footer" Target="footer33.xml"/><Relationship Id="rId134" Type="http://schemas.openxmlformats.org/officeDocument/2006/relationships/footer" Target="footer38.xml"/><Relationship Id="rId139" Type="http://schemas.openxmlformats.org/officeDocument/2006/relationships/image" Target="media/image53.emf"/><Relationship Id="rId80" Type="http://schemas.openxmlformats.org/officeDocument/2006/relationships/footer" Target="footer26.xml"/><Relationship Id="rId85" Type="http://schemas.openxmlformats.org/officeDocument/2006/relationships/image" Target="media/image23.emf"/><Relationship Id="rId150" Type="http://schemas.openxmlformats.org/officeDocument/2006/relationships/footer" Target="footer42.xml"/><Relationship Id="rId155" Type="http://schemas.openxmlformats.org/officeDocument/2006/relationships/image" Target="media/image61.emf"/><Relationship Id="rId171" Type="http://schemas.openxmlformats.org/officeDocument/2006/relationships/image" Target="media/image73.emf"/><Relationship Id="rId176" Type="http://schemas.openxmlformats.org/officeDocument/2006/relationships/header" Target="header47.xml"/><Relationship Id="rId192" Type="http://schemas.openxmlformats.org/officeDocument/2006/relationships/header" Target="header53.xml"/><Relationship Id="rId197" Type="http://schemas.openxmlformats.org/officeDocument/2006/relationships/header" Target="header55.xml"/><Relationship Id="rId206" Type="http://schemas.openxmlformats.org/officeDocument/2006/relationships/image" Target="media/image84.emf"/><Relationship Id="rId201" Type="http://schemas.openxmlformats.org/officeDocument/2006/relationships/image" Target="media/image79.emf"/><Relationship Id="rId222" Type="http://schemas.openxmlformats.org/officeDocument/2006/relationships/footer" Target="footer60.xml"/><Relationship Id="rId12" Type="http://schemas.openxmlformats.org/officeDocument/2006/relationships/image" Target="media/image3.png"/><Relationship Id="rId17" Type="http://schemas.openxmlformats.org/officeDocument/2006/relationships/footer" Target="footer2.xml"/><Relationship Id="rId33" Type="http://schemas.openxmlformats.org/officeDocument/2006/relationships/footer" Target="footer10.xml"/><Relationship Id="rId38" Type="http://schemas.openxmlformats.org/officeDocument/2006/relationships/image" Target="media/image8.emf"/><Relationship Id="rId59" Type="http://schemas.openxmlformats.org/officeDocument/2006/relationships/header" Target="header18.xml"/><Relationship Id="rId103" Type="http://schemas.openxmlformats.org/officeDocument/2006/relationships/footer" Target="footer31.xml"/><Relationship Id="rId108" Type="http://schemas.openxmlformats.org/officeDocument/2006/relationships/image" Target="media/image38.emf"/><Relationship Id="rId124" Type="http://schemas.openxmlformats.org/officeDocument/2006/relationships/footer" Target="footer34.xml"/><Relationship Id="rId129" Type="http://schemas.openxmlformats.org/officeDocument/2006/relationships/footer" Target="footer37.xml"/><Relationship Id="rId54" Type="http://schemas.openxmlformats.org/officeDocument/2006/relationships/image" Target="media/image14.emf"/><Relationship Id="rId70" Type="http://schemas.openxmlformats.org/officeDocument/2006/relationships/header" Target="header22.xml"/><Relationship Id="rId75" Type="http://schemas.openxmlformats.org/officeDocument/2006/relationships/footer" Target="footer24.xml"/><Relationship Id="rId91" Type="http://schemas.openxmlformats.org/officeDocument/2006/relationships/image" Target="media/image29.emf"/><Relationship Id="rId96" Type="http://schemas.openxmlformats.org/officeDocument/2006/relationships/image" Target="media/image30.emf"/><Relationship Id="rId140" Type="http://schemas.openxmlformats.org/officeDocument/2006/relationships/image" Target="media/image54.emf"/><Relationship Id="rId145" Type="http://schemas.openxmlformats.org/officeDocument/2006/relationships/footer" Target="footer40.xml"/><Relationship Id="rId161" Type="http://schemas.openxmlformats.org/officeDocument/2006/relationships/header" Target="header43.xml"/><Relationship Id="rId166" Type="http://schemas.openxmlformats.org/officeDocument/2006/relationships/image" Target="media/image68.emf"/><Relationship Id="rId182" Type="http://schemas.openxmlformats.org/officeDocument/2006/relationships/header" Target="header49.xml"/><Relationship Id="rId187" Type="http://schemas.openxmlformats.org/officeDocument/2006/relationships/image" Target="media/image77.emf"/><Relationship Id="rId217" Type="http://schemas.openxmlformats.org/officeDocument/2006/relationships/header" Target="header5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0.emf"/><Relationship Id="rId23" Type="http://schemas.openxmlformats.org/officeDocument/2006/relationships/header" Target="header5.xml"/><Relationship Id="rId28" Type="http://schemas.openxmlformats.org/officeDocument/2006/relationships/footer" Target="footer7.xml"/><Relationship Id="rId49" Type="http://schemas.openxmlformats.org/officeDocument/2006/relationships/header" Target="header15.xml"/><Relationship Id="rId114" Type="http://schemas.openxmlformats.org/officeDocument/2006/relationships/image" Target="media/image44.emf"/><Relationship Id="rId119" Type="http://schemas.openxmlformats.org/officeDocument/2006/relationships/image" Target="media/image45.emf"/><Relationship Id="rId44" Type="http://schemas.openxmlformats.org/officeDocument/2006/relationships/footer" Target="footer13.xml"/><Relationship Id="rId60" Type="http://schemas.openxmlformats.org/officeDocument/2006/relationships/footer" Target="footer19.xml"/><Relationship Id="rId65" Type="http://schemas.openxmlformats.org/officeDocument/2006/relationships/image" Target="media/image15.emf"/><Relationship Id="rId81" Type="http://schemas.openxmlformats.org/officeDocument/2006/relationships/footer" Target="footer27.xml"/><Relationship Id="rId86" Type="http://schemas.openxmlformats.org/officeDocument/2006/relationships/image" Target="media/image24.emf"/><Relationship Id="rId130" Type="http://schemas.openxmlformats.org/officeDocument/2006/relationships/image" Target="media/image48.emf"/><Relationship Id="rId135" Type="http://schemas.openxmlformats.org/officeDocument/2006/relationships/footer" Target="footer39.xml"/><Relationship Id="rId151" Type="http://schemas.openxmlformats.org/officeDocument/2006/relationships/footer" Target="footer43.xml"/><Relationship Id="rId156" Type="http://schemas.openxmlformats.org/officeDocument/2006/relationships/image" Target="media/image62.emf"/><Relationship Id="rId177" Type="http://schemas.openxmlformats.org/officeDocument/2006/relationships/header" Target="header48.xml"/><Relationship Id="rId198" Type="http://schemas.openxmlformats.org/officeDocument/2006/relationships/header" Target="header56.xml"/><Relationship Id="rId172" Type="http://schemas.openxmlformats.org/officeDocument/2006/relationships/header" Target="header45.xml"/><Relationship Id="rId193" Type="http://schemas.openxmlformats.org/officeDocument/2006/relationships/header" Target="header54.xml"/><Relationship Id="rId202" Type="http://schemas.openxmlformats.org/officeDocument/2006/relationships/image" Target="media/image80.emf"/><Relationship Id="rId207" Type="http://schemas.openxmlformats.org/officeDocument/2006/relationships/image" Target="media/image85.emf"/><Relationship Id="rId223" Type="http://schemas.openxmlformats.org/officeDocument/2006/relationships/footer" Target="footer61.xml"/><Relationship Id="rId13" Type="http://schemas.openxmlformats.org/officeDocument/2006/relationships/image" Target="media/image4.emf"/><Relationship Id="rId18" Type="http://schemas.openxmlformats.org/officeDocument/2006/relationships/header" Target="header2.xml"/><Relationship Id="rId39" Type="http://schemas.openxmlformats.org/officeDocument/2006/relationships/image" Target="media/image9.emf"/><Relationship Id="rId109" Type="http://schemas.openxmlformats.org/officeDocument/2006/relationships/image" Target="media/image39.emf"/><Relationship Id="rId34" Type="http://schemas.openxmlformats.org/officeDocument/2006/relationships/header" Target="header10.xml"/><Relationship Id="rId50" Type="http://schemas.openxmlformats.org/officeDocument/2006/relationships/footer" Target="footer15.xml"/><Relationship Id="rId55" Type="http://schemas.openxmlformats.org/officeDocument/2006/relationships/header" Target="header16.xml"/><Relationship Id="rId76" Type="http://schemas.openxmlformats.org/officeDocument/2006/relationships/footer" Target="footer25.xml"/><Relationship Id="rId97" Type="http://schemas.openxmlformats.org/officeDocument/2006/relationships/image" Target="media/image31.emf"/><Relationship Id="rId104" Type="http://schemas.openxmlformats.org/officeDocument/2006/relationships/image" Target="media/image34.emf"/><Relationship Id="rId120" Type="http://schemas.openxmlformats.org/officeDocument/2006/relationships/image" Target="media/image46.emf"/><Relationship Id="rId125" Type="http://schemas.openxmlformats.org/officeDocument/2006/relationships/footer" Target="footer35.xml"/><Relationship Id="rId141" Type="http://schemas.openxmlformats.org/officeDocument/2006/relationships/image" Target="media/image55.emf"/><Relationship Id="rId146" Type="http://schemas.openxmlformats.org/officeDocument/2006/relationships/footer" Target="footer41.xml"/><Relationship Id="rId167" Type="http://schemas.openxmlformats.org/officeDocument/2006/relationships/image" Target="media/image69.emf"/><Relationship Id="rId188"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header" Target="header27.xml"/><Relationship Id="rId162" Type="http://schemas.openxmlformats.org/officeDocument/2006/relationships/header" Target="header44.xml"/><Relationship Id="rId183" Type="http://schemas.openxmlformats.org/officeDocument/2006/relationships/header" Target="header50.xml"/><Relationship Id="rId213" Type="http://schemas.openxmlformats.org/officeDocument/2006/relationships/image" Target="media/image91.emf"/><Relationship Id="rId218" Type="http://schemas.openxmlformats.org/officeDocument/2006/relationships/footer" Target="footer58.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image" Target="media/image10.emf"/><Relationship Id="rId45" Type="http://schemas.openxmlformats.org/officeDocument/2006/relationships/header" Target="header13.xml"/><Relationship Id="rId66" Type="http://schemas.openxmlformats.org/officeDocument/2006/relationships/image" Target="media/image16.emf"/><Relationship Id="rId87" Type="http://schemas.openxmlformats.org/officeDocument/2006/relationships/image" Target="media/image25.emf"/><Relationship Id="rId110" Type="http://schemas.openxmlformats.org/officeDocument/2006/relationships/image" Target="media/image40.emf"/><Relationship Id="rId115" Type="http://schemas.openxmlformats.org/officeDocument/2006/relationships/header" Target="header31.xml"/><Relationship Id="rId131" Type="http://schemas.openxmlformats.org/officeDocument/2006/relationships/image" Target="media/image49.emf"/><Relationship Id="rId136" Type="http://schemas.openxmlformats.org/officeDocument/2006/relationships/image" Target="media/image50.emf"/><Relationship Id="rId157" Type="http://schemas.openxmlformats.org/officeDocument/2006/relationships/image" Target="media/image63.emf"/><Relationship Id="rId178" Type="http://schemas.openxmlformats.org/officeDocument/2006/relationships/footer" Target="footer48.xml"/><Relationship Id="rId61" Type="http://schemas.openxmlformats.org/officeDocument/2006/relationships/header" Target="header19.xml"/><Relationship Id="rId82" Type="http://schemas.openxmlformats.org/officeDocument/2006/relationships/image" Target="media/image20.emf"/><Relationship Id="rId152" Type="http://schemas.openxmlformats.org/officeDocument/2006/relationships/image" Target="media/image58.emf"/><Relationship Id="rId173" Type="http://schemas.openxmlformats.org/officeDocument/2006/relationships/header" Target="header46.xml"/><Relationship Id="rId194" Type="http://schemas.openxmlformats.org/officeDocument/2006/relationships/footer" Target="footer54.xml"/><Relationship Id="rId199" Type="http://schemas.openxmlformats.org/officeDocument/2006/relationships/footer" Target="footer56.xml"/><Relationship Id="rId203" Type="http://schemas.openxmlformats.org/officeDocument/2006/relationships/image" Target="media/image81.emf"/><Relationship Id="rId208" Type="http://schemas.openxmlformats.org/officeDocument/2006/relationships/image" Target="media/image86.emf"/><Relationship Id="rId19" Type="http://schemas.openxmlformats.org/officeDocument/2006/relationships/header" Target="header3.xml"/><Relationship Id="rId224" Type="http://schemas.openxmlformats.org/officeDocument/2006/relationships/fontTable" Target="fontTable.xml"/><Relationship Id="rId14" Type="http://schemas.openxmlformats.org/officeDocument/2006/relationships/image" Target="media/image5.emf"/><Relationship Id="rId30" Type="http://schemas.openxmlformats.org/officeDocument/2006/relationships/header" Target="header8.xml"/><Relationship Id="rId35" Type="http://schemas.openxmlformats.org/officeDocument/2006/relationships/footer" Target="footer11.xml"/><Relationship Id="rId56" Type="http://schemas.openxmlformats.org/officeDocument/2006/relationships/header" Target="header17.xml"/><Relationship Id="rId77" Type="http://schemas.openxmlformats.org/officeDocument/2006/relationships/image" Target="media/image19.emf"/><Relationship Id="rId100" Type="http://schemas.openxmlformats.org/officeDocument/2006/relationships/header" Target="header29.xml"/><Relationship Id="rId105" Type="http://schemas.openxmlformats.org/officeDocument/2006/relationships/image" Target="media/image35.png"/><Relationship Id="rId126" Type="http://schemas.openxmlformats.org/officeDocument/2006/relationships/header" Target="header35.xml"/><Relationship Id="rId147" Type="http://schemas.openxmlformats.org/officeDocument/2006/relationships/image" Target="media/image57.emf"/><Relationship Id="rId168" Type="http://schemas.openxmlformats.org/officeDocument/2006/relationships/image" Target="media/image70.emf"/><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footer" Target="footer23.xml"/><Relationship Id="rId93" Type="http://schemas.openxmlformats.org/officeDocument/2006/relationships/header" Target="header28.xml"/><Relationship Id="rId98" Type="http://schemas.openxmlformats.org/officeDocument/2006/relationships/image" Target="media/image32.emf"/><Relationship Id="rId121" Type="http://schemas.openxmlformats.org/officeDocument/2006/relationships/image" Target="media/image47.emf"/><Relationship Id="rId142" Type="http://schemas.openxmlformats.org/officeDocument/2006/relationships/image" Target="media/image56.emf"/><Relationship Id="rId163" Type="http://schemas.openxmlformats.org/officeDocument/2006/relationships/footer" Target="footer44.xml"/><Relationship Id="rId184" Type="http://schemas.openxmlformats.org/officeDocument/2006/relationships/footer" Target="footer50.xml"/><Relationship Id="rId189" Type="http://schemas.openxmlformats.org/officeDocument/2006/relationships/header" Target="header52.xml"/><Relationship Id="rId219" Type="http://schemas.openxmlformats.org/officeDocument/2006/relationships/footer" Target="footer59.xml"/><Relationship Id="rId3" Type="http://schemas.openxmlformats.org/officeDocument/2006/relationships/styles" Target="styles.xml"/><Relationship Id="rId214" Type="http://schemas.openxmlformats.org/officeDocument/2006/relationships/image" Target="media/image92.emf"/><Relationship Id="rId25" Type="http://schemas.openxmlformats.org/officeDocument/2006/relationships/footer" Target="footer6.xml"/><Relationship Id="rId46" Type="http://schemas.openxmlformats.org/officeDocument/2006/relationships/footer" Target="footer14.xml"/><Relationship Id="rId67" Type="http://schemas.openxmlformats.org/officeDocument/2006/relationships/image" Target="media/image17.emf"/><Relationship Id="rId116" Type="http://schemas.openxmlformats.org/officeDocument/2006/relationships/header" Target="header32.xml"/><Relationship Id="rId137" Type="http://schemas.openxmlformats.org/officeDocument/2006/relationships/image" Target="media/image51.emf"/><Relationship Id="rId158" Type="http://schemas.openxmlformats.org/officeDocument/2006/relationships/image" Target="media/image64.emf"/><Relationship Id="rId20" Type="http://schemas.openxmlformats.org/officeDocument/2006/relationships/footer" Target="footer3.xml"/><Relationship Id="rId41" Type="http://schemas.openxmlformats.org/officeDocument/2006/relationships/header" Target="header11.xml"/><Relationship Id="rId62" Type="http://schemas.openxmlformats.org/officeDocument/2006/relationships/header" Target="header20.xml"/><Relationship Id="rId83" Type="http://schemas.openxmlformats.org/officeDocument/2006/relationships/image" Target="media/image21.emf"/><Relationship Id="rId88" Type="http://schemas.openxmlformats.org/officeDocument/2006/relationships/image" Target="media/image26.emf"/><Relationship Id="rId111" Type="http://schemas.openxmlformats.org/officeDocument/2006/relationships/image" Target="media/image41.emf"/><Relationship Id="rId132" Type="http://schemas.openxmlformats.org/officeDocument/2006/relationships/header" Target="header37.xml"/><Relationship Id="rId153" Type="http://schemas.openxmlformats.org/officeDocument/2006/relationships/image" Target="media/image59.emf"/><Relationship Id="rId174" Type="http://schemas.openxmlformats.org/officeDocument/2006/relationships/footer" Target="footer46.xml"/><Relationship Id="rId179" Type="http://schemas.openxmlformats.org/officeDocument/2006/relationships/footer" Target="footer49.xml"/><Relationship Id="rId195" Type="http://schemas.openxmlformats.org/officeDocument/2006/relationships/footer" Target="footer55.xml"/><Relationship Id="rId209" Type="http://schemas.openxmlformats.org/officeDocument/2006/relationships/image" Target="media/image87.emf"/><Relationship Id="rId190" Type="http://schemas.openxmlformats.org/officeDocument/2006/relationships/footer" Target="footer52.xml"/><Relationship Id="rId204" Type="http://schemas.openxmlformats.org/officeDocument/2006/relationships/image" Target="media/image82.emf"/><Relationship Id="rId220" Type="http://schemas.openxmlformats.org/officeDocument/2006/relationships/header" Target="header59.xml"/><Relationship Id="rId225"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image" Target="media/image6.emf"/><Relationship Id="rId57" Type="http://schemas.openxmlformats.org/officeDocument/2006/relationships/footer" Target="footer17.xml"/><Relationship Id="rId106" Type="http://schemas.openxmlformats.org/officeDocument/2006/relationships/image" Target="media/image36.emf"/><Relationship Id="rId127" Type="http://schemas.openxmlformats.org/officeDocument/2006/relationships/header" Target="header36.xml"/><Relationship Id="rId10" Type="http://schemas.openxmlformats.org/officeDocument/2006/relationships/hyperlink" Target="https://www.pmc.gov.au/government/commonwealth-coat-arms" TargetMode="External"/><Relationship Id="rId31" Type="http://schemas.openxmlformats.org/officeDocument/2006/relationships/header" Target="header9.xml"/><Relationship Id="rId52" Type="http://schemas.openxmlformats.org/officeDocument/2006/relationships/image" Target="media/image12.emf"/><Relationship Id="rId73" Type="http://schemas.openxmlformats.org/officeDocument/2006/relationships/header" Target="header23.xml"/><Relationship Id="rId78" Type="http://schemas.openxmlformats.org/officeDocument/2006/relationships/header" Target="header25.xml"/><Relationship Id="rId94" Type="http://schemas.openxmlformats.org/officeDocument/2006/relationships/footer" Target="footer28.xml"/><Relationship Id="rId99" Type="http://schemas.openxmlformats.org/officeDocument/2006/relationships/image" Target="media/image33.emf"/><Relationship Id="rId101" Type="http://schemas.openxmlformats.org/officeDocument/2006/relationships/header" Target="header30.xml"/><Relationship Id="rId122" Type="http://schemas.openxmlformats.org/officeDocument/2006/relationships/header" Target="header33.xml"/><Relationship Id="rId143" Type="http://schemas.openxmlformats.org/officeDocument/2006/relationships/header" Target="header39.xml"/><Relationship Id="rId148" Type="http://schemas.openxmlformats.org/officeDocument/2006/relationships/header" Target="header41.xml"/><Relationship Id="rId164" Type="http://schemas.openxmlformats.org/officeDocument/2006/relationships/footer" Target="footer45.xml"/><Relationship Id="rId169" Type="http://schemas.openxmlformats.org/officeDocument/2006/relationships/image" Target="media/image71.emf"/><Relationship Id="rId185" Type="http://schemas.openxmlformats.org/officeDocument/2006/relationships/footer" Target="footer5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74.emf"/><Relationship Id="rId210" Type="http://schemas.openxmlformats.org/officeDocument/2006/relationships/image" Target="media/image88.emf"/><Relationship Id="rId215" Type="http://schemas.openxmlformats.org/officeDocument/2006/relationships/image" Target="media/image93.emf"/><Relationship Id="rId26" Type="http://schemas.openxmlformats.org/officeDocument/2006/relationships/header" Target="header6.xml"/><Relationship Id="rId47" Type="http://schemas.openxmlformats.org/officeDocument/2006/relationships/image" Target="media/image11.emf"/><Relationship Id="rId68" Type="http://schemas.openxmlformats.org/officeDocument/2006/relationships/image" Target="media/image18.emf"/><Relationship Id="rId89" Type="http://schemas.openxmlformats.org/officeDocument/2006/relationships/image" Target="media/image27.emf"/><Relationship Id="rId112" Type="http://schemas.openxmlformats.org/officeDocument/2006/relationships/image" Target="media/image42.emf"/><Relationship Id="rId133" Type="http://schemas.openxmlformats.org/officeDocument/2006/relationships/header" Target="header38.xml"/><Relationship Id="rId154" Type="http://schemas.openxmlformats.org/officeDocument/2006/relationships/image" Target="media/image60.emf"/><Relationship Id="rId175" Type="http://schemas.openxmlformats.org/officeDocument/2006/relationships/footer" Target="footer47.xml"/><Relationship Id="rId196" Type="http://schemas.openxmlformats.org/officeDocument/2006/relationships/image" Target="media/image78.emf"/><Relationship Id="rId200" Type="http://schemas.openxmlformats.org/officeDocument/2006/relationships/footer" Target="footer57.xml"/><Relationship Id="rId16" Type="http://schemas.openxmlformats.org/officeDocument/2006/relationships/footer" Target="footer1.xml"/><Relationship Id="rId221" Type="http://schemas.openxmlformats.org/officeDocument/2006/relationships/header" Target="header60.xml"/><Relationship Id="rId37" Type="http://schemas.openxmlformats.org/officeDocument/2006/relationships/image" Target="media/image7.emf"/><Relationship Id="rId58" Type="http://schemas.openxmlformats.org/officeDocument/2006/relationships/footer" Target="footer18.xml"/><Relationship Id="rId79" Type="http://schemas.openxmlformats.org/officeDocument/2006/relationships/header" Target="header26.xml"/><Relationship Id="rId102" Type="http://schemas.openxmlformats.org/officeDocument/2006/relationships/footer" Target="footer30.xml"/><Relationship Id="rId123" Type="http://schemas.openxmlformats.org/officeDocument/2006/relationships/header" Target="header34.xml"/><Relationship Id="rId144" Type="http://schemas.openxmlformats.org/officeDocument/2006/relationships/header" Target="header40.xml"/><Relationship Id="rId90" Type="http://schemas.openxmlformats.org/officeDocument/2006/relationships/image" Target="media/image28.emf"/><Relationship Id="rId165" Type="http://schemas.openxmlformats.org/officeDocument/2006/relationships/image" Target="media/image67.emf"/><Relationship Id="rId186" Type="http://schemas.openxmlformats.org/officeDocument/2006/relationships/image" Target="media/image76.emf"/></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C3EB1-D832-4795-8B94-993F886EE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5AB90B13.dotm</Template>
  <TotalTime>26</TotalTime>
  <Pages>80</Pages>
  <Words>144743</Words>
  <Characters>825040</Characters>
  <Application>Microsoft Office Word</Application>
  <DocSecurity>0</DocSecurity>
  <Lines>6875</Lines>
  <Paragraphs>1935</Paragraphs>
  <ScaleCrop>false</ScaleCrop>
  <HeadingPairs>
    <vt:vector size="2" baseType="variant">
      <vt:variant>
        <vt:lpstr>Title</vt:lpstr>
      </vt:variant>
      <vt:variant>
        <vt:i4>1</vt:i4>
      </vt:variant>
    </vt:vector>
  </HeadingPairs>
  <TitlesOfParts>
    <vt:vector size="1" baseType="lpstr">
      <vt:lpstr> Inquiry Report - Horizontal Fiscal Equalisation</vt:lpstr>
    </vt:vector>
  </TitlesOfParts>
  <Company>Productivity Commission</Company>
  <LinksUpToDate>false</LinksUpToDate>
  <CharactersWithSpaces>967848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Horizontal Fiscal Equalisation</dc:title>
  <dc:subject/>
  <dc:creator>Productivity Commission</dc:creator>
  <cp:keywords/>
  <dc:description/>
  <cp:lastModifiedBy>Alston, Chris</cp:lastModifiedBy>
  <cp:revision>6</cp:revision>
  <cp:lastPrinted>2018-06-29T01:09:00Z</cp:lastPrinted>
  <dcterms:created xsi:type="dcterms:W3CDTF">2018-05-14T04:23:00Z</dcterms:created>
  <dcterms:modified xsi:type="dcterms:W3CDTF">2018-06-29T01:12:00Z</dcterms:modified>
</cp:coreProperties>
</file>